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5E0" w:firstRow="1" w:lastRow="1" w:firstColumn="1" w:lastColumn="1" w:noHBand="0" w:noVBand="1"/>
      </w:tblPr>
      <w:tblGrid>
        <w:gridCol w:w="5040"/>
        <w:gridCol w:w="5040"/>
      </w:tblGrid>
      <w:tr w:rsidR="004E5608" w:rsidRPr="00981405" w:rsidTr="004E5608">
        <w:trPr>
          <w:jc w:val="center"/>
        </w:trPr>
        <w:tc>
          <w:tcPr>
            <w:tcW w:w="5040" w:type="dxa"/>
            <w:shd w:val="clear" w:color="auto" w:fill="auto"/>
          </w:tcPr>
          <w:p w:rsidR="00AF3300" w:rsidRPr="00981405" w:rsidRDefault="00AF3300" w:rsidP="00AF3300">
            <w:pPr>
              <w:framePr w:hSpace="180" w:wrap="around" w:vAnchor="page" w:hAnchor="page" w:x="1037" w:y="1743" w:anchorLock="1"/>
              <w:spacing w:line="270" w:lineRule="exact"/>
              <w:rPr>
                <w:sz w:val="24"/>
              </w:rPr>
            </w:pPr>
            <w:r w:rsidRPr="00981405">
              <w:rPr>
                <w:b/>
                <w:sz w:val="24"/>
              </w:rPr>
              <w:t>General Assembly</w:t>
            </w:r>
            <w:r w:rsidRPr="00981405">
              <w:rPr>
                <w:b/>
                <w:sz w:val="24"/>
              </w:rPr>
              <w:br/>
            </w:r>
            <w:r w:rsidRPr="00981405">
              <w:rPr>
                <w:sz w:val="24"/>
              </w:rPr>
              <w:t>Official Records</w:t>
            </w:r>
            <w:r w:rsidRPr="00981405">
              <w:rPr>
                <w:sz w:val="24"/>
              </w:rPr>
              <w:br/>
              <w:t>Seventieth Session</w:t>
            </w:r>
            <w:r w:rsidRPr="00981405">
              <w:rPr>
                <w:sz w:val="24"/>
              </w:rPr>
              <w:br/>
              <w:t>Supplement No. 10</w:t>
            </w:r>
          </w:p>
          <w:p w:rsidR="004E5608" w:rsidRPr="00981405" w:rsidRDefault="004E5608" w:rsidP="004E5608">
            <w:pPr>
              <w:framePr w:hSpace="180" w:wrap="around" w:vAnchor="page" w:hAnchor="page" w:x="1037" w:y="1743" w:anchorLock="1"/>
              <w:spacing w:line="270" w:lineRule="exact"/>
              <w:rPr>
                <w:sz w:val="24"/>
              </w:rPr>
            </w:pPr>
          </w:p>
        </w:tc>
        <w:tc>
          <w:tcPr>
            <w:tcW w:w="5040" w:type="dxa"/>
            <w:shd w:val="clear" w:color="auto" w:fill="auto"/>
          </w:tcPr>
          <w:p w:rsidR="004E5608" w:rsidRPr="00981405" w:rsidRDefault="00EF153A" w:rsidP="004E5608">
            <w:pPr>
              <w:framePr w:hSpace="180" w:wrap="around" w:vAnchor="page" w:hAnchor="page" w:x="1037" w:y="1743" w:anchorLock="1"/>
              <w:spacing w:line="270" w:lineRule="exact"/>
              <w:jc w:val="right"/>
            </w:pPr>
            <w:hyperlink r:id="rId9" w:history="1">
              <w:r w:rsidR="00F304EB" w:rsidRPr="00F304EB">
                <w:rPr>
                  <w:rStyle w:val="Hyperlink"/>
                </w:rPr>
                <w:t>A/70/10</w:t>
              </w:r>
            </w:hyperlink>
          </w:p>
        </w:tc>
      </w:tr>
    </w:tbl>
    <w:p w:rsidR="004E5608" w:rsidRPr="00D97463" w:rsidRDefault="004E5608" w:rsidP="004E5608">
      <w:pPr>
        <w:framePr w:w="9864" w:h="1440" w:hSpace="180" w:wrap="around" w:vAnchor="page" w:hAnchor="page" w:x="1037" w:y="11808" w:anchorLock="1"/>
        <w:spacing w:before="600"/>
        <w:ind w:left="1267"/>
      </w:pPr>
      <w:r w:rsidRPr="00D97463">
        <w:rPr>
          <w:noProof/>
        </w:rPr>
        <w:drawing>
          <wp:inline distT="0" distB="0" distL="0" distR="0" wp14:anchorId="1D3DC9DF" wp14:editId="667625BC">
            <wp:extent cx="533400" cy="4318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3400" cy="431800"/>
                    </a:xfrm>
                    <a:prstGeom prst="rect">
                      <a:avLst/>
                    </a:prstGeom>
                  </pic:spPr>
                </pic:pic>
              </a:graphicData>
            </a:graphic>
          </wp:inline>
        </w:drawing>
      </w:r>
      <w:r w:rsidRPr="00981405">
        <w:br/>
        <w:t>United</w:t>
      </w:r>
      <w:r w:rsidR="00190923" w:rsidRPr="00981405">
        <w:t xml:space="preserve"> </w:t>
      </w:r>
      <w:r w:rsidRPr="00D97463">
        <w:t>Nations</w:t>
      </w:r>
      <w:r w:rsidR="00190923" w:rsidRPr="00981405">
        <w:t xml:space="preserve"> </w:t>
      </w:r>
      <w:r w:rsidRPr="00D97463">
        <w:sym w:font="Symbol" w:char="F0B7"/>
      </w:r>
      <w:r w:rsidR="00190923" w:rsidRPr="00981405">
        <w:t xml:space="preserve"> </w:t>
      </w:r>
      <w:r w:rsidRPr="00D97463">
        <w:t>New</w:t>
      </w:r>
      <w:r w:rsidR="00190923" w:rsidRPr="00981405">
        <w:t xml:space="preserve"> </w:t>
      </w:r>
      <w:r w:rsidRPr="00D97463">
        <w:t>York,</w:t>
      </w:r>
      <w:r w:rsidR="00190923" w:rsidRPr="00981405">
        <w:t xml:space="preserve"> </w:t>
      </w:r>
      <w:r w:rsidRPr="00D97463">
        <w:t>2015</w:t>
      </w:r>
    </w:p>
    <w:p w:rsidR="00924CEA" w:rsidRPr="00981405" w:rsidRDefault="004E5608" w:rsidP="004E5608">
      <w:pPr>
        <w:spacing w:after="800"/>
      </w:pPr>
      <w:r w:rsidRPr="00981405">
        <w:commentReference w:id="0"/>
      </w:r>
    </w:p>
    <w:p w:rsidR="004E5608" w:rsidRPr="00981405" w:rsidRDefault="002422F7" w:rsidP="002422F7">
      <w:pPr>
        <w:pStyle w:val="SM"/>
      </w:pP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p>
    <w:p w:rsidR="004E5608" w:rsidRPr="00981405" w:rsidRDefault="004E5608" w:rsidP="004E5608">
      <w:pPr>
        <w:spacing w:line="240" w:lineRule="auto"/>
        <w:ind w:left="1260"/>
        <w:rPr>
          <w:sz w:val="12"/>
        </w:rPr>
      </w:pPr>
    </w:p>
    <w:p w:rsidR="004E5608" w:rsidRPr="00981405" w:rsidRDefault="004E5608" w:rsidP="004E5608">
      <w:pPr>
        <w:spacing w:line="240" w:lineRule="auto"/>
        <w:ind w:left="1260"/>
        <w:rPr>
          <w:sz w:val="12"/>
        </w:rPr>
      </w:pPr>
    </w:p>
    <w:p w:rsidR="004E5608" w:rsidRPr="00981405" w:rsidRDefault="002422F7" w:rsidP="004E5608">
      <w:pPr>
        <w:spacing w:line="240" w:lineRule="auto"/>
        <w:ind w:left="1260"/>
        <w:rPr>
          <w:b/>
          <w:bCs/>
          <w:sz w:val="28"/>
          <w:szCs w:val="28"/>
        </w:rPr>
      </w:pPr>
      <w:r w:rsidRPr="00981405">
        <w:rPr>
          <w:b/>
          <w:bCs/>
          <w:sz w:val="28"/>
          <w:szCs w:val="28"/>
        </w:rPr>
        <w:t>Sixty-seventh</w:t>
      </w:r>
      <w:r w:rsidR="00190923" w:rsidRPr="00981405">
        <w:rPr>
          <w:b/>
          <w:bCs/>
          <w:sz w:val="28"/>
          <w:szCs w:val="28"/>
        </w:rPr>
        <w:t xml:space="preserve"> </w:t>
      </w:r>
      <w:r w:rsidRPr="00981405">
        <w:rPr>
          <w:b/>
          <w:bCs/>
          <w:sz w:val="28"/>
          <w:szCs w:val="28"/>
        </w:rPr>
        <w:t>session</w:t>
      </w:r>
    </w:p>
    <w:p w:rsidR="002422F7" w:rsidRPr="00981405" w:rsidRDefault="002422F7" w:rsidP="002422F7">
      <w:pPr>
        <w:spacing w:line="240" w:lineRule="auto"/>
        <w:ind w:left="1260"/>
        <w:rPr>
          <w:b/>
          <w:bCs/>
          <w:sz w:val="28"/>
          <w:szCs w:val="28"/>
        </w:rPr>
      </w:pPr>
      <w:r w:rsidRPr="00981405">
        <w:rPr>
          <w:b/>
          <w:bCs/>
          <w:sz w:val="28"/>
          <w:szCs w:val="28"/>
        </w:rPr>
        <w:t>(4</w:t>
      </w:r>
      <w:r w:rsidR="00190923" w:rsidRPr="00981405">
        <w:rPr>
          <w:b/>
          <w:bCs/>
          <w:sz w:val="28"/>
          <w:szCs w:val="28"/>
        </w:rPr>
        <w:t xml:space="preserve"> </w:t>
      </w:r>
      <w:r w:rsidRPr="00981405">
        <w:rPr>
          <w:b/>
          <w:bCs/>
          <w:sz w:val="28"/>
          <w:szCs w:val="28"/>
        </w:rPr>
        <w:t>May-5</w:t>
      </w:r>
      <w:r w:rsidR="00190923" w:rsidRPr="00981405">
        <w:rPr>
          <w:b/>
          <w:bCs/>
          <w:sz w:val="28"/>
          <w:szCs w:val="28"/>
        </w:rPr>
        <w:t xml:space="preserve"> </w:t>
      </w:r>
      <w:r w:rsidRPr="00981405">
        <w:rPr>
          <w:b/>
          <w:bCs/>
          <w:sz w:val="28"/>
          <w:szCs w:val="28"/>
        </w:rPr>
        <w:t>June</w:t>
      </w:r>
      <w:r w:rsidR="00190923" w:rsidRPr="00981405">
        <w:rPr>
          <w:b/>
          <w:bCs/>
          <w:sz w:val="28"/>
          <w:szCs w:val="28"/>
        </w:rPr>
        <w:t xml:space="preserve"> </w:t>
      </w:r>
      <w:r w:rsidRPr="00981405">
        <w:rPr>
          <w:b/>
          <w:bCs/>
          <w:sz w:val="28"/>
          <w:szCs w:val="28"/>
        </w:rPr>
        <w:t>and</w:t>
      </w:r>
      <w:r w:rsidR="00190923" w:rsidRPr="00981405">
        <w:rPr>
          <w:b/>
          <w:bCs/>
          <w:sz w:val="28"/>
          <w:szCs w:val="28"/>
        </w:rPr>
        <w:t xml:space="preserve"> </w:t>
      </w:r>
      <w:r w:rsidRPr="00981405">
        <w:rPr>
          <w:b/>
          <w:bCs/>
          <w:sz w:val="28"/>
          <w:szCs w:val="28"/>
        </w:rPr>
        <w:t>6</w:t>
      </w:r>
      <w:r w:rsidR="00190923" w:rsidRPr="00981405">
        <w:rPr>
          <w:b/>
          <w:bCs/>
          <w:sz w:val="28"/>
          <w:szCs w:val="28"/>
        </w:rPr>
        <w:t xml:space="preserve"> </w:t>
      </w:r>
      <w:r w:rsidRPr="00981405">
        <w:rPr>
          <w:b/>
          <w:bCs/>
          <w:sz w:val="28"/>
          <w:szCs w:val="28"/>
        </w:rPr>
        <w:t>July-7</w:t>
      </w:r>
      <w:r w:rsidR="00190923" w:rsidRPr="00981405">
        <w:rPr>
          <w:b/>
          <w:bCs/>
          <w:sz w:val="28"/>
          <w:szCs w:val="28"/>
        </w:rPr>
        <w:t xml:space="preserve"> </w:t>
      </w:r>
      <w:r w:rsidRPr="00981405">
        <w:rPr>
          <w:b/>
          <w:bCs/>
          <w:sz w:val="28"/>
          <w:szCs w:val="28"/>
        </w:rPr>
        <w:t>August</w:t>
      </w:r>
      <w:r w:rsidR="00190923" w:rsidRPr="00981405">
        <w:rPr>
          <w:b/>
          <w:bCs/>
          <w:sz w:val="28"/>
          <w:szCs w:val="28"/>
        </w:rPr>
        <w:t xml:space="preserve"> </w:t>
      </w:r>
      <w:r w:rsidRPr="00981405">
        <w:rPr>
          <w:b/>
          <w:bCs/>
          <w:sz w:val="28"/>
          <w:szCs w:val="28"/>
        </w:rPr>
        <w:t>2015)</w:t>
      </w:r>
    </w:p>
    <w:p w:rsidR="004E5608" w:rsidRPr="00981405" w:rsidRDefault="004E5608" w:rsidP="004E5608">
      <w:pPr>
        <w:spacing w:line="240" w:lineRule="auto"/>
        <w:ind w:left="1260"/>
        <w:rPr>
          <w:sz w:val="12"/>
        </w:rPr>
      </w:pPr>
    </w:p>
    <w:p w:rsidR="004E5608" w:rsidRPr="00981405" w:rsidRDefault="004E5608" w:rsidP="004E5608">
      <w:pPr>
        <w:spacing w:line="240" w:lineRule="auto"/>
        <w:ind w:left="1260"/>
        <w:rPr>
          <w:sz w:val="12"/>
        </w:rPr>
      </w:pPr>
    </w:p>
    <w:p w:rsidR="004E5608" w:rsidRPr="00981405" w:rsidRDefault="004E5608" w:rsidP="004E5608">
      <w:pPr>
        <w:spacing w:line="240" w:lineRule="auto"/>
        <w:ind w:left="1260"/>
        <w:rPr>
          <w:sz w:val="12"/>
        </w:rPr>
      </w:pPr>
    </w:p>
    <w:p w:rsidR="004E5608" w:rsidRPr="00981405" w:rsidRDefault="004E5608">
      <w:pPr>
        <w:suppressAutoHyphens w:val="0"/>
        <w:spacing w:line="240" w:lineRule="auto"/>
      </w:pPr>
      <w:r w:rsidRPr="00981405">
        <w:br w:type="page"/>
      </w:r>
    </w:p>
    <w:p w:rsidR="004E5608" w:rsidRPr="00981405" w:rsidRDefault="004E5608" w:rsidP="004E5608">
      <w:pPr>
        <w:spacing w:line="240" w:lineRule="auto"/>
        <w:ind w:left="1260"/>
      </w:pPr>
    </w:p>
    <w:p w:rsidR="004E5608" w:rsidRPr="00981405" w:rsidRDefault="004E5608" w:rsidP="004E5608">
      <w:pPr>
        <w:framePr w:w="2880" w:h="288" w:hSpace="180" w:wrap="notBeside" w:vAnchor="page" w:hAnchor="margin" w:x="1268" w:y="13393" w:anchorLock="1"/>
      </w:pPr>
      <w:r w:rsidRPr="00981405">
        <w:t>ISSN</w:t>
      </w:r>
      <w:r w:rsidR="00190923" w:rsidRPr="00981405">
        <w:t xml:space="preserve"> </w:t>
      </w:r>
      <w:r w:rsidRPr="00981405">
        <w:t>0251-822X</w:t>
      </w:r>
    </w:p>
    <w:p w:rsidR="00D46137" w:rsidRPr="00981405" w:rsidRDefault="004E5608" w:rsidP="00D46137">
      <w:pPr>
        <w:spacing w:before="1400" w:line="240" w:lineRule="auto"/>
        <w:ind w:left="1260"/>
        <w:rPr>
          <w:i/>
        </w:rPr>
      </w:pPr>
      <w:r w:rsidRPr="00981405">
        <w:rPr>
          <w:i/>
        </w:rPr>
        <w:t>Note</w:t>
      </w:r>
    </w:p>
    <w:p w:rsidR="00D46137" w:rsidRPr="00981405" w:rsidRDefault="00D46137" w:rsidP="00D46137">
      <w:pPr>
        <w:spacing w:line="120" w:lineRule="exact"/>
        <w:ind w:left="1260"/>
        <w:rPr>
          <w:i/>
          <w:sz w:val="10"/>
        </w:rPr>
      </w:pPr>
    </w:p>
    <w:p w:rsidR="00D46137" w:rsidRPr="00981405" w:rsidRDefault="00D46137" w:rsidP="00D46137">
      <w:pPr>
        <w:spacing w:line="120" w:lineRule="exact"/>
        <w:ind w:left="1260"/>
        <w:rPr>
          <w:i/>
          <w:sz w:val="10"/>
        </w:rPr>
      </w:pPr>
    </w:p>
    <w:p w:rsidR="00D46137" w:rsidRPr="00981405" w:rsidRDefault="00D46137" w:rsidP="00D46137">
      <w:pPr>
        <w:pStyle w:val="SingleTxt"/>
      </w:pPr>
      <w:r w:rsidRPr="00981405">
        <w:tab/>
        <w:t>Symbols</w:t>
      </w:r>
      <w:r w:rsidR="00190923" w:rsidRPr="00981405">
        <w:t xml:space="preserve"> </w:t>
      </w:r>
      <w:r w:rsidRPr="00981405">
        <w:t>of</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documents</w:t>
      </w:r>
      <w:r w:rsidR="00190923" w:rsidRPr="00981405">
        <w:t xml:space="preserve"> </w:t>
      </w:r>
      <w:r w:rsidRPr="00981405">
        <w:t>are</w:t>
      </w:r>
      <w:r w:rsidR="00190923" w:rsidRPr="00981405">
        <w:t xml:space="preserve"> </w:t>
      </w:r>
      <w:r w:rsidRPr="00981405">
        <w:t>composed</w:t>
      </w:r>
      <w:r w:rsidR="00190923" w:rsidRPr="00981405">
        <w:t xml:space="preserve"> </w:t>
      </w:r>
      <w:r w:rsidRPr="00981405">
        <w:t>of</w:t>
      </w:r>
      <w:r w:rsidR="00190923" w:rsidRPr="00981405">
        <w:t xml:space="preserve"> </w:t>
      </w:r>
      <w:r w:rsidRPr="00981405">
        <w:t>capital</w:t>
      </w:r>
      <w:r w:rsidR="00190923" w:rsidRPr="00981405">
        <w:t xml:space="preserve"> </w:t>
      </w:r>
      <w:r w:rsidRPr="00981405">
        <w:t>letters</w:t>
      </w:r>
      <w:r w:rsidR="00190923" w:rsidRPr="00981405">
        <w:t xml:space="preserve"> </w:t>
      </w:r>
      <w:r w:rsidRPr="00981405">
        <w:t>combined</w:t>
      </w:r>
      <w:r w:rsidR="00190923" w:rsidRPr="00981405">
        <w:t xml:space="preserve"> </w:t>
      </w:r>
      <w:r w:rsidRPr="00981405">
        <w:t>with</w:t>
      </w:r>
      <w:r w:rsidR="00190923" w:rsidRPr="00981405">
        <w:t xml:space="preserve"> </w:t>
      </w:r>
      <w:r w:rsidRPr="00981405">
        <w:t>figures.</w:t>
      </w:r>
      <w:r w:rsidR="00190923" w:rsidRPr="00981405">
        <w:t xml:space="preserve"> </w:t>
      </w:r>
      <w:r w:rsidRPr="00981405">
        <w:t>Mention</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symbol</w:t>
      </w:r>
      <w:r w:rsidR="00190923" w:rsidRPr="00981405">
        <w:t xml:space="preserve"> </w:t>
      </w:r>
      <w:r w:rsidRPr="00981405">
        <w:t>indicates</w:t>
      </w:r>
      <w:r w:rsidR="00190923" w:rsidRPr="00981405">
        <w:t xml:space="preserve"> </w:t>
      </w:r>
      <w:r w:rsidRPr="00981405">
        <w:t>a</w:t>
      </w:r>
      <w:r w:rsidR="00190923" w:rsidRPr="00981405">
        <w:t xml:space="preserve"> </w:t>
      </w:r>
      <w:r w:rsidRPr="00981405">
        <w:t>reference</w:t>
      </w:r>
      <w:r w:rsidR="00190923" w:rsidRPr="00981405">
        <w:t xml:space="preserve"> </w:t>
      </w:r>
      <w:r w:rsidRPr="00981405">
        <w:t>to</w:t>
      </w:r>
      <w:r w:rsidR="00190923" w:rsidRPr="00981405">
        <w:t xml:space="preserve"> </w:t>
      </w:r>
      <w:r w:rsidRPr="00981405">
        <w:t>a</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document.</w:t>
      </w:r>
    </w:p>
    <w:p w:rsidR="00D46137" w:rsidRPr="00981405" w:rsidRDefault="00D46137" w:rsidP="00D46137">
      <w:pPr>
        <w:pStyle w:val="SingleTxt"/>
        <w:rPr>
          <w:i/>
        </w:rPr>
      </w:pPr>
      <w:r w:rsidRPr="00981405">
        <w:tab/>
        <w:t>The</w:t>
      </w:r>
      <w:r w:rsidR="00190923" w:rsidRPr="00981405">
        <w:t xml:space="preserve"> </w:t>
      </w:r>
      <w:r w:rsidRPr="00981405">
        <w:t>word</w:t>
      </w:r>
      <w:r w:rsidR="00190923" w:rsidRPr="00981405">
        <w:t xml:space="preserve"> </w:t>
      </w:r>
      <w:r w:rsidRPr="00981405">
        <w:rPr>
          <w:i/>
        </w:rPr>
        <w:t>Yearbook</w:t>
      </w:r>
      <w:r w:rsidR="00190923" w:rsidRPr="00981405">
        <w:t xml:space="preserve"> </w:t>
      </w:r>
      <w:r w:rsidRPr="00981405">
        <w:t>followed</w:t>
      </w:r>
      <w:r w:rsidR="00190923" w:rsidRPr="00981405">
        <w:t xml:space="preserve"> </w:t>
      </w:r>
      <w:r w:rsidRPr="00981405">
        <w:t>by</w:t>
      </w:r>
      <w:r w:rsidR="00190923" w:rsidRPr="00981405">
        <w:t xml:space="preserve"> </w:t>
      </w:r>
      <w:r w:rsidRPr="00981405">
        <w:t>suspension</w:t>
      </w:r>
      <w:r w:rsidR="00190923" w:rsidRPr="00981405">
        <w:t xml:space="preserve"> </w:t>
      </w:r>
      <w:r w:rsidRPr="00981405">
        <w:t>points</w:t>
      </w:r>
      <w:r w:rsidR="00190923" w:rsidRPr="00981405">
        <w:t xml:space="preserve"> </w:t>
      </w:r>
      <w:r w:rsidRPr="00981405">
        <w:t>and</w:t>
      </w:r>
      <w:r w:rsidR="00190923" w:rsidRPr="00981405">
        <w:t xml:space="preserve"> </w:t>
      </w:r>
      <w:r w:rsidRPr="00981405">
        <w:t>the</w:t>
      </w:r>
      <w:r w:rsidR="00190923" w:rsidRPr="00981405">
        <w:t xml:space="preserve"> </w:t>
      </w:r>
      <w:r w:rsidRPr="00981405">
        <w:t>year</w:t>
      </w:r>
      <w:r w:rsidR="00190923" w:rsidRPr="00981405">
        <w:t xml:space="preserve"> </w:t>
      </w:r>
      <w:r w:rsidRPr="00981405">
        <w:t>(e.g.</w:t>
      </w:r>
      <w:r w:rsidR="00190923" w:rsidRPr="00981405">
        <w:t xml:space="preserve"> </w:t>
      </w:r>
      <w:r w:rsidRPr="00981405">
        <w:rPr>
          <w:i/>
        </w:rPr>
        <w:t>Yearbook</w:t>
      </w:r>
      <w:r w:rsidR="00190923" w:rsidRPr="00981405">
        <w:rPr>
          <w:i/>
        </w:rPr>
        <w:t xml:space="preserve"> </w:t>
      </w:r>
      <w:r w:rsidRPr="00981405">
        <w:rPr>
          <w:i/>
        </w:rPr>
        <w:t>...</w:t>
      </w:r>
      <w:r w:rsidR="00190923" w:rsidRPr="00981405">
        <w:rPr>
          <w:i/>
        </w:rPr>
        <w:t xml:space="preserve"> </w:t>
      </w:r>
      <w:r w:rsidRPr="00981405">
        <w:rPr>
          <w:i/>
        </w:rPr>
        <w:t>1971</w:t>
      </w:r>
      <w:r w:rsidRPr="00981405">
        <w:t>)</w:t>
      </w:r>
      <w:r w:rsidR="00190923" w:rsidRPr="00981405">
        <w:rPr>
          <w:i/>
        </w:rPr>
        <w:t xml:space="preserve"> </w:t>
      </w:r>
      <w:r w:rsidRPr="00981405">
        <w:t>indicates</w:t>
      </w:r>
      <w:r w:rsidR="00190923" w:rsidRPr="00981405">
        <w:t xml:space="preserve"> </w:t>
      </w:r>
      <w:r w:rsidRPr="00981405">
        <w:t>a</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rPr>
          <w:i/>
        </w:rPr>
        <w:t>Yearbook</w:t>
      </w:r>
      <w:r w:rsidR="00190923" w:rsidRPr="00981405">
        <w:rPr>
          <w:i/>
        </w:rPr>
        <w:t xml:space="preserve"> </w:t>
      </w:r>
      <w:r w:rsidRPr="00981405">
        <w:rPr>
          <w:i/>
        </w:rPr>
        <w:t>of</w:t>
      </w:r>
      <w:r w:rsidR="00190923" w:rsidRPr="00981405">
        <w:rPr>
          <w:i/>
        </w:rPr>
        <w:t xml:space="preserve"> </w:t>
      </w:r>
      <w:r w:rsidRPr="00981405">
        <w:rPr>
          <w:i/>
        </w:rPr>
        <w:t>the</w:t>
      </w:r>
      <w:r w:rsidR="00190923" w:rsidRPr="00981405">
        <w:rPr>
          <w:i/>
        </w:rPr>
        <w:t xml:space="preserve"> </w:t>
      </w:r>
      <w:r w:rsidRPr="00981405">
        <w:rPr>
          <w:i/>
        </w:rPr>
        <w:t>International</w:t>
      </w:r>
      <w:r w:rsidR="00190923" w:rsidRPr="00981405">
        <w:rPr>
          <w:i/>
        </w:rPr>
        <w:t xml:space="preserve"> </w:t>
      </w:r>
      <w:r w:rsidRPr="00981405">
        <w:rPr>
          <w:i/>
        </w:rPr>
        <w:t>Law</w:t>
      </w:r>
      <w:r w:rsidR="00190923" w:rsidRPr="00981405">
        <w:rPr>
          <w:i/>
        </w:rPr>
        <w:t xml:space="preserve"> </w:t>
      </w:r>
      <w:r w:rsidRPr="00981405">
        <w:rPr>
          <w:i/>
        </w:rPr>
        <w:t>Commission.</w:t>
      </w:r>
    </w:p>
    <w:p w:rsidR="004E5608" w:rsidRPr="00981405" w:rsidRDefault="00D46137" w:rsidP="00D46137">
      <w:pPr>
        <w:pStyle w:val="SingleTxt"/>
      </w:pPr>
      <w:r w:rsidRPr="00981405">
        <w:rPr>
          <w:i/>
        </w:rPr>
        <w:tab/>
      </w:r>
      <w:r w:rsidRPr="00981405">
        <w:t>A</w:t>
      </w:r>
      <w:r w:rsidR="00190923" w:rsidRPr="00981405">
        <w:t xml:space="preserve"> </w:t>
      </w:r>
      <w:r w:rsidRPr="00981405">
        <w:t>typeset</w:t>
      </w:r>
      <w:r w:rsidR="00190923" w:rsidRPr="00981405">
        <w:t xml:space="preserve"> </w:t>
      </w:r>
      <w:r w:rsidRPr="00981405">
        <w:t>version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will</w:t>
      </w:r>
      <w:r w:rsidR="00190923" w:rsidRPr="00981405">
        <w:t xml:space="preserve"> </w:t>
      </w:r>
      <w:r w:rsidRPr="00981405">
        <w:t>be</w:t>
      </w:r>
      <w:r w:rsidR="00190923" w:rsidRPr="00981405">
        <w:t xml:space="preserve"> </w:t>
      </w:r>
      <w:r w:rsidRPr="00981405">
        <w:t>included</w:t>
      </w:r>
      <w:r w:rsidR="00190923" w:rsidRPr="00981405">
        <w:t xml:space="preserve"> </w:t>
      </w:r>
      <w:r w:rsidRPr="00981405">
        <w:t>in</w:t>
      </w:r>
      <w:r w:rsidR="00190923" w:rsidRPr="00981405">
        <w:t xml:space="preserve"> </w:t>
      </w:r>
      <w:r w:rsidRPr="00981405">
        <w:t>Part</w:t>
      </w:r>
      <w:r w:rsidR="00190923" w:rsidRPr="00981405">
        <w:t xml:space="preserve"> </w:t>
      </w:r>
      <w:r w:rsidRPr="00981405">
        <w:t>Two</w:t>
      </w:r>
      <w:r w:rsidR="00190923" w:rsidRPr="00981405">
        <w:t xml:space="preserve"> </w:t>
      </w:r>
      <w:r w:rsidRPr="00981405">
        <w:t>of</w:t>
      </w:r>
      <w:r w:rsidR="00190923" w:rsidRPr="00981405">
        <w:t xml:space="preserve"> </w:t>
      </w:r>
      <w:r w:rsidRPr="00981405">
        <w:t>volume</w:t>
      </w:r>
      <w:r w:rsidR="00190923" w:rsidRPr="00981405">
        <w:t xml:space="preserve"> </w:t>
      </w:r>
      <w:r w:rsidRPr="00981405">
        <w:t>II</w:t>
      </w:r>
      <w:r w:rsidR="00190923" w:rsidRPr="00981405">
        <w:t xml:space="preserve"> </w:t>
      </w:r>
      <w:r w:rsidRPr="00981405">
        <w:t>of</w:t>
      </w:r>
      <w:r w:rsidR="00190923" w:rsidRPr="00981405">
        <w:t xml:space="preserve"> </w:t>
      </w:r>
      <w:r w:rsidRPr="00981405">
        <w:t>the</w:t>
      </w:r>
      <w:r w:rsidR="00190923" w:rsidRPr="00981405">
        <w:t xml:space="preserve"> </w:t>
      </w:r>
      <w:r w:rsidRPr="00981405">
        <w:rPr>
          <w:i/>
        </w:rPr>
        <w:t>Yearbook</w:t>
      </w:r>
      <w:r w:rsidR="00190923" w:rsidRPr="00981405">
        <w:rPr>
          <w:i/>
        </w:rPr>
        <w:t xml:space="preserve"> </w:t>
      </w:r>
      <w:r w:rsidRPr="00981405">
        <w:rPr>
          <w:i/>
        </w:rPr>
        <w:t>of</w:t>
      </w:r>
      <w:r w:rsidR="00190923" w:rsidRPr="00981405">
        <w:rPr>
          <w:i/>
        </w:rPr>
        <w:t xml:space="preserve"> </w:t>
      </w:r>
      <w:r w:rsidRPr="00981405">
        <w:rPr>
          <w:i/>
        </w:rPr>
        <w:t>the</w:t>
      </w:r>
      <w:r w:rsidR="00190923" w:rsidRPr="00981405">
        <w:rPr>
          <w:i/>
        </w:rPr>
        <w:t xml:space="preserve"> </w:t>
      </w:r>
      <w:r w:rsidRPr="00981405">
        <w:rPr>
          <w:i/>
        </w:rPr>
        <w:t>International</w:t>
      </w:r>
      <w:r w:rsidR="00190923" w:rsidRPr="00981405">
        <w:rPr>
          <w:i/>
        </w:rPr>
        <w:t xml:space="preserve"> </w:t>
      </w:r>
      <w:r w:rsidRPr="00981405">
        <w:rPr>
          <w:i/>
        </w:rPr>
        <w:t>Law</w:t>
      </w:r>
      <w:r w:rsidR="00190923" w:rsidRPr="00981405">
        <w:rPr>
          <w:i/>
        </w:rPr>
        <w:t xml:space="preserve"> </w:t>
      </w:r>
      <w:r w:rsidRPr="00981405">
        <w:rPr>
          <w:i/>
        </w:rPr>
        <w:t>Commission</w:t>
      </w:r>
      <w:r w:rsidR="00190923" w:rsidRPr="00981405">
        <w:rPr>
          <w:i/>
        </w:rPr>
        <w:t xml:space="preserve"> </w:t>
      </w:r>
      <w:r w:rsidRPr="00981405">
        <w:rPr>
          <w:i/>
        </w:rPr>
        <w:t>2015.</w:t>
      </w:r>
    </w:p>
    <w:p w:rsidR="004E5608" w:rsidRPr="00981405" w:rsidRDefault="004E5608" w:rsidP="004E5608">
      <w:pPr>
        <w:spacing w:before="240" w:line="240" w:lineRule="auto"/>
        <w:ind w:left="1260" w:right="1260" w:firstLine="475"/>
        <w:jc w:val="both"/>
        <w:sectPr w:rsidR="004E5608" w:rsidRPr="00981405" w:rsidSect="00F1485E">
          <w:headerReference w:type="default" r:id="rId12"/>
          <w:footerReference w:type="even" r:id="rId13"/>
          <w:footerReference w:type="default" r:id="rId14"/>
          <w:endnotePr>
            <w:numFmt w:val="decimal"/>
          </w:endnotePr>
          <w:type w:val="continuous"/>
          <w:pgSz w:w="11909" w:h="16834" w:code="1"/>
          <w:pgMar w:top="1742" w:right="936" w:bottom="1898" w:left="936" w:header="576" w:footer="1030" w:gutter="0"/>
          <w:pgNumType w:start="1"/>
          <w:cols w:space="720"/>
          <w:noEndnote/>
          <w:docGrid w:linePitch="278"/>
        </w:sectPr>
      </w:pPr>
    </w:p>
    <w:p w:rsidR="004E5608" w:rsidRPr="00981405" w:rsidRDefault="004E5608" w:rsidP="004E5608">
      <w:pPr>
        <w:spacing w:before="240" w:line="240" w:lineRule="auto"/>
        <w:ind w:left="1260" w:right="1260" w:firstLine="475"/>
        <w:jc w:val="both"/>
      </w:pPr>
    </w:p>
    <w:p w:rsidR="004E5608" w:rsidRPr="00981405" w:rsidRDefault="004E5608" w:rsidP="002E0010">
      <w:pPr>
        <w:jc w:val="right"/>
      </w:pPr>
      <w:r w:rsidRPr="00981405">
        <w:t>[</w:t>
      </w:r>
      <w:r w:rsidR="002E0010" w:rsidRPr="00981405">
        <w:t>14</w:t>
      </w:r>
      <w:r w:rsidR="00190923" w:rsidRPr="00981405">
        <w:t xml:space="preserve"> </w:t>
      </w:r>
      <w:r w:rsidR="002E0010" w:rsidRPr="00981405">
        <w:t>August</w:t>
      </w:r>
      <w:r w:rsidR="00190923" w:rsidRPr="00981405">
        <w:t xml:space="preserve"> </w:t>
      </w:r>
      <w:r w:rsidR="002E0010" w:rsidRPr="00981405">
        <w:t>2015</w:t>
      </w:r>
      <w:r w:rsidRPr="00981405">
        <w:t>]</w:t>
      </w:r>
    </w:p>
    <w:p w:rsidR="004E5608" w:rsidRPr="00981405" w:rsidRDefault="00D46137" w:rsidP="004E5608">
      <w:pPr>
        <w:pStyle w:val="HCh"/>
        <w:spacing w:before="880" w:after="100"/>
        <w:rPr>
          <w:b w:val="0"/>
        </w:rPr>
      </w:pPr>
      <w:r w:rsidRPr="00981405">
        <w:rPr>
          <w:b w:val="0"/>
        </w:rPr>
        <w:t>Summary</w:t>
      </w:r>
      <w:r w:rsidR="00190923" w:rsidRPr="00981405">
        <w:rPr>
          <w:b w:val="0"/>
        </w:rPr>
        <w:t xml:space="preserve"> </w:t>
      </w:r>
      <w:r w:rsidRPr="00981405">
        <w:rPr>
          <w:b w:val="0"/>
        </w:rPr>
        <w:t>of</w:t>
      </w:r>
      <w:r w:rsidR="00190923" w:rsidRPr="00981405">
        <w:rPr>
          <w:b w:val="0"/>
        </w:rPr>
        <w:t xml:space="preserve"> </w:t>
      </w:r>
      <w:r w:rsidRPr="00981405">
        <w:rPr>
          <w:b w:val="0"/>
        </w:rPr>
        <w:t>c</w:t>
      </w:r>
      <w:r w:rsidR="004E5608" w:rsidRPr="00981405">
        <w:rPr>
          <w:b w:val="0"/>
        </w:rPr>
        <w:t>ontents</w:t>
      </w:r>
    </w:p>
    <w:tbl>
      <w:tblPr>
        <w:tblW w:w="10017" w:type="dxa"/>
        <w:jc w:val="center"/>
        <w:tblLayout w:type="fixed"/>
        <w:tblCellMar>
          <w:left w:w="0" w:type="dxa"/>
          <w:right w:w="0" w:type="dxa"/>
        </w:tblCellMar>
        <w:tblLook w:val="0000" w:firstRow="0" w:lastRow="0" w:firstColumn="0" w:lastColumn="0" w:noHBand="0" w:noVBand="0"/>
      </w:tblPr>
      <w:tblGrid>
        <w:gridCol w:w="1060"/>
        <w:gridCol w:w="7315"/>
        <w:gridCol w:w="994"/>
        <w:gridCol w:w="533"/>
        <w:gridCol w:w="115"/>
      </w:tblGrid>
      <w:tr w:rsidR="004E5608" w:rsidRPr="00981405" w:rsidTr="004E5608">
        <w:trPr>
          <w:jc w:val="center"/>
        </w:trPr>
        <w:tc>
          <w:tcPr>
            <w:tcW w:w="1060" w:type="dxa"/>
            <w:shd w:val="clear" w:color="auto" w:fill="auto"/>
          </w:tcPr>
          <w:p w:rsidR="004E5608" w:rsidRPr="00981405" w:rsidRDefault="004E5608" w:rsidP="004E5608">
            <w:pPr>
              <w:spacing w:after="120"/>
              <w:jc w:val="right"/>
              <w:rPr>
                <w:i/>
                <w:sz w:val="14"/>
              </w:rPr>
            </w:pPr>
            <w:r w:rsidRPr="00981405">
              <w:rPr>
                <w:i/>
                <w:sz w:val="14"/>
              </w:rPr>
              <w:t>Chapter</w:t>
            </w:r>
          </w:p>
        </w:tc>
        <w:tc>
          <w:tcPr>
            <w:tcW w:w="7315" w:type="dxa"/>
            <w:shd w:val="clear" w:color="auto" w:fill="auto"/>
          </w:tcPr>
          <w:p w:rsidR="004E5608" w:rsidRPr="00981405" w:rsidRDefault="004E5608" w:rsidP="004E5608">
            <w:pPr>
              <w:spacing w:after="120"/>
              <w:rPr>
                <w:i/>
                <w:sz w:val="14"/>
              </w:rPr>
            </w:pPr>
          </w:p>
        </w:tc>
        <w:tc>
          <w:tcPr>
            <w:tcW w:w="994" w:type="dxa"/>
            <w:shd w:val="clear" w:color="auto" w:fill="auto"/>
          </w:tcPr>
          <w:p w:rsidR="004E5608" w:rsidRPr="00981405" w:rsidRDefault="004E5608" w:rsidP="004E5608">
            <w:pPr>
              <w:spacing w:after="120"/>
              <w:jc w:val="right"/>
              <w:rPr>
                <w:i/>
                <w:sz w:val="14"/>
              </w:rPr>
            </w:pPr>
          </w:p>
        </w:tc>
        <w:tc>
          <w:tcPr>
            <w:tcW w:w="648" w:type="dxa"/>
            <w:gridSpan w:val="2"/>
            <w:shd w:val="clear" w:color="auto" w:fill="auto"/>
          </w:tcPr>
          <w:p w:rsidR="004E5608" w:rsidRPr="00981405" w:rsidRDefault="004E5608" w:rsidP="004E5608">
            <w:pPr>
              <w:spacing w:after="120"/>
              <w:jc w:val="right"/>
              <w:rPr>
                <w:i/>
                <w:sz w:val="14"/>
              </w:rPr>
            </w:pPr>
            <w:r w:rsidRPr="00981405">
              <w:rPr>
                <w:i/>
                <w:sz w:val="14"/>
              </w:rPr>
              <w:t>Page</w:t>
            </w:r>
          </w:p>
        </w:tc>
      </w:tr>
      <w:tr w:rsidR="00D46137" w:rsidRPr="00981405" w:rsidTr="00D46137">
        <w:trPr>
          <w:gridAfter w:val="1"/>
          <w:wAfter w:w="115" w:type="dxa"/>
          <w:jc w:val="center"/>
        </w:trPr>
        <w:tc>
          <w:tcPr>
            <w:tcW w:w="9369" w:type="dxa"/>
            <w:gridSpan w:val="3"/>
            <w:shd w:val="clear" w:color="auto" w:fill="auto"/>
          </w:tcPr>
          <w:p w:rsidR="00D46137" w:rsidRPr="00981405" w:rsidRDefault="00685137" w:rsidP="00DE618E">
            <w:pPr>
              <w:numPr>
                <w:ilvl w:val="0"/>
                <w:numId w:val="4"/>
              </w:numPr>
              <w:tabs>
                <w:tab w:val="right" w:pos="1080"/>
                <w:tab w:val="left" w:pos="1296"/>
                <w:tab w:val="left" w:pos="1728"/>
                <w:tab w:val="left" w:pos="2160"/>
                <w:tab w:val="right" w:leader="dot" w:pos="9360"/>
              </w:tabs>
              <w:spacing w:after="120"/>
            </w:pPr>
            <w:r w:rsidRPr="00981405">
              <w:tab/>
              <w:t>Introduction</w:t>
            </w:r>
            <w:r w:rsidR="00DE618E" w:rsidRPr="00981405">
              <w:rPr>
                <w:spacing w:val="60"/>
                <w:sz w:val="17"/>
              </w:rPr>
              <w:tab/>
            </w:r>
          </w:p>
        </w:tc>
        <w:tc>
          <w:tcPr>
            <w:tcW w:w="533" w:type="dxa"/>
            <w:shd w:val="clear" w:color="auto" w:fill="auto"/>
            <w:vAlign w:val="bottom"/>
          </w:tcPr>
          <w:p w:rsidR="00D46137" w:rsidRPr="00981405" w:rsidRDefault="00A543BB" w:rsidP="00D46137">
            <w:pPr>
              <w:spacing w:after="120"/>
              <w:jc w:val="right"/>
            </w:pPr>
            <w:r w:rsidRPr="00981405">
              <w:t>8</w:t>
            </w:r>
          </w:p>
        </w:tc>
      </w:tr>
      <w:tr w:rsidR="00D46137" w:rsidRPr="00981405" w:rsidTr="00D46137">
        <w:trPr>
          <w:gridAfter w:val="1"/>
          <w:wAfter w:w="115" w:type="dxa"/>
          <w:jc w:val="center"/>
        </w:trPr>
        <w:tc>
          <w:tcPr>
            <w:tcW w:w="9369" w:type="dxa"/>
            <w:gridSpan w:val="3"/>
            <w:shd w:val="clear" w:color="auto" w:fill="auto"/>
          </w:tcPr>
          <w:p w:rsidR="00D46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ab/>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00DE618E" w:rsidRPr="00981405">
              <w:rPr>
                <w:spacing w:val="60"/>
                <w:sz w:val="17"/>
              </w:rPr>
              <w:tab/>
            </w:r>
          </w:p>
        </w:tc>
        <w:tc>
          <w:tcPr>
            <w:tcW w:w="533" w:type="dxa"/>
            <w:shd w:val="clear" w:color="auto" w:fill="auto"/>
            <w:vAlign w:val="bottom"/>
          </w:tcPr>
          <w:p w:rsidR="00D46137" w:rsidRPr="00981405" w:rsidRDefault="00A543BB" w:rsidP="00D46137">
            <w:pPr>
              <w:spacing w:after="120"/>
              <w:jc w:val="right"/>
            </w:pPr>
            <w:r w:rsidRPr="00981405">
              <w:t>12</w:t>
            </w:r>
          </w:p>
        </w:tc>
      </w:tr>
      <w:tr w:rsidR="00D46137" w:rsidRPr="00981405" w:rsidTr="00D46137">
        <w:trPr>
          <w:gridAfter w:val="1"/>
          <w:wAfter w:w="115" w:type="dxa"/>
          <w:jc w:val="center"/>
        </w:trPr>
        <w:tc>
          <w:tcPr>
            <w:tcW w:w="9369" w:type="dxa"/>
            <w:gridSpan w:val="3"/>
            <w:shd w:val="clear" w:color="auto" w:fill="auto"/>
          </w:tcPr>
          <w:p w:rsidR="00D46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pPr>
            <w:r w:rsidRPr="00981405">
              <w:tab/>
              <w:t>Specific</w:t>
            </w:r>
            <w:r w:rsidR="00190923" w:rsidRPr="00981405">
              <w:t xml:space="preserve"> </w:t>
            </w:r>
            <w:r w:rsidRPr="00981405">
              <w:t>issues</w:t>
            </w:r>
            <w:r w:rsidR="00190923" w:rsidRPr="00981405">
              <w:t xml:space="preserve"> </w:t>
            </w:r>
            <w:r w:rsidRPr="00981405">
              <w:t>on</w:t>
            </w:r>
            <w:r w:rsidR="00190923" w:rsidRPr="00981405">
              <w:t xml:space="preserve"> </w:t>
            </w:r>
            <w:r w:rsidRPr="00981405">
              <w:t>which</w:t>
            </w:r>
            <w:r w:rsidR="00190923" w:rsidRPr="00981405">
              <w:t xml:space="preserve"> </w:t>
            </w:r>
            <w:r w:rsidRPr="00981405">
              <w:t>comments</w:t>
            </w:r>
            <w:r w:rsidR="00190923" w:rsidRPr="00981405">
              <w:t xml:space="preserve"> </w:t>
            </w:r>
            <w:r w:rsidRPr="00981405">
              <w:t>would</w:t>
            </w:r>
            <w:r w:rsidR="00190923" w:rsidRPr="00981405">
              <w:t xml:space="preserve"> </w:t>
            </w:r>
            <w:r w:rsidRPr="00981405">
              <w:t>be</w:t>
            </w:r>
            <w:r w:rsidR="00190923" w:rsidRPr="00981405">
              <w:t xml:space="preserve"> </w:t>
            </w:r>
            <w:r w:rsidRPr="00981405">
              <w:t>of</w:t>
            </w:r>
            <w:r w:rsidR="00190923" w:rsidRPr="00981405">
              <w:t xml:space="preserve"> </w:t>
            </w:r>
            <w:r w:rsidRPr="00981405">
              <w:t>particular</w:t>
            </w:r>
            <w:r w:rsidR="00190923" w:rsidRPr="00981405">
              <w:t xml:space="preserve"> </w:t>
            </w:r>
            <w:r w:rsidRPr="00981405">
              <w:t>interest</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DE618E" w:rsidRPr="00981405">
              <w:rPr>
                <w:spacing w:val="60"/>
                <w:sz w:val="17"/>
              </w:rPr>
              <w:tab/>
            </w:r>
          </w:p>
        </w:tc>
        <w:tc>
          <w:tcPr>
            <w:tcW w:w="533" w:type="dxa"/>
            <w:shd w:val="clear" w:color="auto" w:fill="auto"/>
            <w:vAlign w:val="bottom"/>
          </w:tcPr>
          <w:p w:rsidR="00D46137" w:rsidRPr="00981405" w:rsidRDefault="00A543BB" w:rsidP="00D46137">
            <w:pPr>
              <w:spacing w:after="120"/>
              <w:jc w:val="right"/>
            </w:pPr>
            <w:r w:rsidRPr="00981405">
              <w:t>15</w:t>
            </w:r>
          </w:p>
        </w:tc>
      </w:tr>
      <w:tr w:rsidR="00D46137" w:rsidRPr="00981405" w:rsidTr="00D46137">
        <w:trPr>
          <w:gridAfter w:val="1"/>
          <w:wAfter w:w="115" w:type="dxa"/>
          <w:jc w:val="center"/>
        </w:trPr>
        <w:tc>
          <w:tcPr>
            <w:tcW w:w="9369" w:type="dxa"/>
            <w:gridSpan w:val="3"/>
            <w:shd w:val="clear" w:color="auto" w:fill="auto"/>
          </w:tcPr>
          <w:p w:rsidR="00D46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ab/>
              <w:t>The</w:t>
            </w:r>
            <w:r w:rsidR="00190923" w:rsidRPr="00981405">
              <w:t xml:space="preserve"> </w:t>
            </w:r>
            <w:r w:rsidRPr="00981405">
              <w:t>Most-Favoured-Nation</w:t>
            </w:r>
            <w:r w:rsidR="00190923" w:rsidRPr="00981405">
              <w:t xml:space="preserve"> </w:t>
            </w:r>
            <w:r w:rsidRPr="00981405">
              <w:t>clause</w:t>
            </w:r>
            <w:r w:rsidR="00DE618E" w:rsidRPr="00981405">
              <w:rPr>
                <w:spacing w:val="60"/>
                <w:sz w:val="17"/>
              </w:rPr>
              <w:tab/>
            </w:r>
          </w:p>
        </w:tc>
        <w:tc>
          <w:tcPr>
            <w:tcW w:w="533" w:type="dxa"/>
            <w:shd w:val="clear" w:color="auto" w:fill="auto"/>
            <w:vAlign w:val="bottom"/>
          </w:tcPr>
          <w:p w:rsidR="00D46137" w:rsidRPr="00981405" w:rsidRDefault="00A543BB" w:rsidP="00D46137">
            <w:pPr>
              <w:spacing w:after="120"/>
              <w:jc w:val="right"/>
            </w:pPr>
            <w:r w:rsidRPr="00981405">
              <w:t>17</w:t>
            </w:r>
          </w:p>
        </w:tc>
      </w:tr>
      <w:tr w:rsidR="00D46137" w:rsidRPr="00981405" w:rsidTr="00D46137">
        <w:trPr>
          <w:gridAfter w:val="1"/>
          <w:wAfter w:w="115" w:type="dxa"/>
          <w:jc w:val="center"/>
        </w:trPr>
        <w:tc>
          <w:tcPr>
            <w:tcW w:w="9369" w:type="dxa"/>
            <w:gridSpan w:val="3"/>
            <w:shd w:val="clear" w:color="auto" w:fill="auto"/>
          </w:tcPr>
          <w:p w:rsidR="00D46137" w:rsidRPr="00981405" w:rsidRDefault="00685137" w:rsidP="00DE618E">
            <w:pPr>
              <w:numPr>
                <w:ilvl w:val="0"/>
                <w:numId w:val="4"/>
              </w:numPr>
              <w:tabs>
                <w:tab w:val="right" w:pos="1080"/>
                <w:tab w:val="left" w:pos="1296"/>
                <w:tab w:val="left" w:pos="1728"/>
                <w:tab w:val="left" w:pos="2160"/>
                <w:tab w:val="left" w:pos="2592"/>
                <w:tab w:val="left" w:pos="3024"/>
                <w:tab w:val="right" w:leader="dot" w:pos="9360"/>
              </w:tabs>
              <w:spacing w:after="120"/>
            </w:pPr>
            <w:r w:rsidRPr="00981405">
              <w:tab/>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DE618E" w:rsidRPr="00981405">
              <w:rPr>
                <w:spacing w:val="60"/>
                <w:sz w:val="17"/>
              </w:rPr>
              <w:tab/>
            </w:r>
          </w:p>
        </w:tc>
        <w:tc>
          <w:tcPr>
            <w:tcW w:w="533" w:type="dxa"/>
            <w:shd w:val="clear" w:color="auto" w:fill="auto"/>
            <w:vAlign w:val="bottom"/>
          </w:tcPr>
          <w:p w:rsidR="00D46137" w:rsidRPr="00981405" w:rsidRDefault="00A543BB" w:rsidP="00D46137">
            <w:pPr>
              <w:spacing w:after="120"/>
              <w:jc w:val="right"/>
            </w:pPr>
            <w:r w:rsidRPr="00981405">
              <w:t>20</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81405">
              <w:tab/>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DE618E" w:rsidRPr="00981405">
              <w:rPr>
                <w:spacing w:val="60"/>
                <w:sz w:val="17"/>
              </w:rPr>
              <w:tab/>
            </w:r>
          </w:p>
        </w:tc>
        <w:tc>
          <w:tcPr>
            <w:tcW w:w="533" w:type="dxa"/>
            <w:shd w:val="clear" w:color="auto" w:fill="auto"/>
            <w:vAlign w:val="bottom"/>
          </w:tcPr>
          <w:p w:rsidR="00685137" w:rsidRPr="00981405" w:rsidRDefault="00A543BB" w:rsidP="00D97463">
            <w:pPr>
              <w:spacing w:after="120"/>
              <w:jc w:val="right"/>
              <w:rPr>
                <w:spacing w:val="60"/>
                <w:sz w:val="17"/>
              </w:rPr>
            </w:pPr>
            <w:r w:rsidRPr="00D97463">
              <w:t>38</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numPr>
                <w:ilvl w:val="0"/>
                <w:numId w:val="4"/>
              </w:numPr>
              <w:tabs>
                <w:tab w:val="right" w:pos="1080"/>
                <w:tab w:val="left" w:pos="1296"/>
                <w:tab w:val="left" w:pos="1728"/>
                <w:tab w:val="left" w:pos="2160"/>
                <w:tab w:val="left" w:pos="2592"/>
                <w:tab w:val="left" w:pos="3024"/>
                <w:tab w:val="right" w:leader="dot" w:pos="9360"/>
              </w:tabs>
              <w:spacing w:after="120"/>
            </w:pPr>
            <w:r w:rsidRPr="00981405">
              <w:tab/>
              <w:t>Crimes</w:t>
            </w:r>
            <w:r w:rsidR="00190923" w:rsidRPr="00981405">
              <w:t xml:space="preserve"> </w:t>
            </w:r>
            <w:r w:rsidRPr="00981405">
              <w:t>against</w:t>
            </w:r>
            <w:r w:rsidR="00190923" w:rsidRPr="00981405">
              <w:t xml:space="preserve"> </w:t>
            </w:r>
            <w:r w:rsidRPr="00981405">
              <w:t>humanity</w:t>
            </w:r>
            <w:r w:rsidR="00DE618E" w:rsidRPr="00981405">
              <w:rPr>
                <w:spacing w:val="60"/>
                <w:sz w:val="17"/>
              </w:rPr>
              <w:tab/>
            </w:r>
          </w:p>
        </w:tc>
        <w:tc>
          <w:tcPr>
            <w:tcW w:w="533" w:type="dxa"/>
            <w:shd w:val="clear" w:color="auto" w:fill="auto"/>
            <w:vAlign w:val="bottom"/>
          </w:tcPr>
          <w:p w:rsidR="00685137" w:rsidRPr="00981405" w:rsidRDefault="00A543BB" w:rsidP="00D46137">
            <w:pPr>
              <w:spacing w:after="120"/>
              <w:jc w:val="right"/>
            </w:pPr>
            <w:r w:rsidRPr="00981405">
              <w:t>49</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97463">
            <w:pPr>
              <w:numPr>
                <w:ilvl w:val="0"/>
                <w:numId w:val="4"/>
              </w:numPr>
              <w:tabs>
                <w:tab w:val="right" w:pos="1080"/>
                <w:tab w:val="left" w:pos="1296"/>
                <w:tab w:val="left" w:pos="1728"/>
                <w:tab w:val="left" w:pos="2160"/>
                <w:tab w:val="left" w:pos="2592"/>
                <w:tab w:val="left" w:pos="3024"/>
                <w:tab w:val="right" w:leader="dot" w:pos="9360"/>
              </w:tabs>
              <w:spacing w:after="120"/>
            </w:pP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002F65A0" w:rsidRPr="00981405">
              <w:br/>
              <w:t>interpretation</w:t>
            </w:r>
            <w:r w:rsidR="00190923" w:rsidRPr="00981405">
              <w:t xml:space="preserve"> </w:t>
            </w:r>
            <w:r w:rsidRPr="00981405">
              <w:t>of</w:t>
            </w:r>
            <w:r w:rsidR="00190923" w:rsidRPr="00981405">
              <w:t xml:space="preserve"> </w:t>
            </w:r>
            <w:r w:rsidRPr="00981405">
              <w:t>treaties</w:t>
            </w:r>
            <w:r w:rsidR="002F65A0" w:rsidRPr="00981405">
              <w:rPr>
                <w:spacing w:val="60"/>
                <w:sz w:val="17"/>
              </w:rPr>
              <w:tab/>
            </w:r>
          </w:p>
        </w:tc>
        <w:tc>
          <w:tcPr>
            <w:tcW w:w="533" w:type="dxa"/>
            <w:shd w:val="clear" w:color="auto" w:fill="auto"/>
            <w:vAlign w:val="bottom"/>
          </w:tcPr>
          <w:p w:rsidR="00685137" w:rsidRPr="00981405" w:rsidRDefault="00A543BB" w:rsidP="00D46137">
            <w:pPr>
              <w:spacing w:after="120"/>
              <w:jc w:val="right"/>
            </w:pPr>
            <w:r w:rsidRPr="00981405">
              <w:t>84</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ab/>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r w:rsidR="00DE618E" w:rsidRPr="00981405">
              <w:rPr>
                <w:spacing w:val="60"/>
                <w:sz w:val="17"/>
              </w:rPr>
              <w:tab/>
            </w:r>
          </w:p>
        </w:tc>
        <w:tc>
          <w:tcPr>
            <w:tcW w:w="533" w:type="dxa"/>
            <w:shd w:val="clear" w:color="auto" w:fill="auto"/>
            <w:vAlign w:val="bottom"/>
          </w:tcPr>
          <w:p w:rsidR="00685137" w:rsidRPr="00981405" w:rsidRDefault="00A543BB" w:rsidP="00D97463">
            <w:pPr>
              <w:spacing w:after="120"/>
              <w:jc w:val="right"/>
              <w:rPr>
                <w:spacing w:val="60"/>
                <w:sz w:val="17"/>
              </w:rPr>
            </w:pPr>
            <w:r w:rsidRPr="00D97463">
              <w:t>104</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981405">
              <w:tab/>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DE618E" w:rsidRPr="00981405">
              <w:rPr>
                <w:spacing w:val="60"/>
                <w:sz w:val="17"/>
              </w:rPr>
              <w:tab/>
            </w:r>
          </w:p>
        </w:tc>
        <w:tc>
          <w:tcPr>
            <w:tcW w:w="533" w:type="dxa"/>
            <w:shd w:val="clear" w:color="auto" w:fill="auto"/>
            <w:vAlign w:val="bottom"/>
          </w:tcPr>
          <w:p w:rsidR="00685137" w:rsidRPr="00981405" w:rsidRDefault="00A543BB" w:rsidP="00D46137">
            <w:pPr>
              <w:spacing w:after="120"/>
              <w:jc w:val="right"/>
            </w:pPr>
            <w:r w:rsidRPr="00981405">
              <w:t>115</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ab/>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DE618E" w:rsidRPr="00981405">
              <w:rPr>
                <w:spacing w:val="60"/>
                <w:sz w:val="17"/>
              </w:rPr>
              <w:tab/>
            </w:r>
          </w:p>
        </w:tc>
        <w:tc>
          <w:tcPr>
            <w:tcW w:w="533" w:type="dxa"/>
            <w:shd w:val="clear" w:color="auto" w:fill="auto"/>
            <w:vAlign w:val="bottom"/>
          </w:tcPr>
          <w:p w:rsidR="00685137" w:rsidRPr="00981405" w:rsidRDefault="00A543BB" w:rsidP="00D46137">
            <w:pPr>
              <w:spacing w:after="120"/>
              <w:jc w:val="right"/>
            </w:pPr>
            <w:r w:rsidRPr="00981405">
              <w:t>130</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ab/>
              <w:t>Other</w:t>
            </w:r>
            <w:r w:rsidR="00190923" w:rsidRPr="00981405">
              <w:t xml:space="preserve"> </w:t>
            </w:r>
            <w:r w:rsidRPr="00981405">
              <w:t>decisions</w:t>
            </w:r>
            <w:r w:rsidR="00190923" w:rsidRPr="00981405">
              <w:t xml:space="preserve"> </w:t>
            </w:r>
            <w:r w:rsidRPr="00981405">
              <w:t>and</w:t>
            </w:r>
            <w:r w:rsidR="00190923" w:rsidRPr="00981405">
              <w:t xml:space="preserve"> </w:t>
            </w:r>
            <w:r w:rsidRPr="00981405">
              <w:t>conclusions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DE618E" w:rsidRPr="00981405">
              <w:rPr>
                <w:spacing w:val="60"/>
                <w:sz w:val="17"/>
              </w:rPr>
              <w:tab/>
            </w:r>
          </w:p>
        </w:tc>
        <w:tc>
          <w:tcPr>
            <w:tcW w:w="533" w:type="dxa"/>
            <w:shd w:val="clear" w:color="auto" w:fill="auto"/>
            <w:vAlign w:val="bottom"/>
          </w:tcPr>
          <w:p w:rsidR="00685137" w:rsidRPr="00981405" w:rsidRDefault="00A543BB" w:rsidP="00D46137">
            <w:pPr>
              <w:spacing w:after="120"/>
              <w:jc w:val="right"/>
            </w:pPr>
            <w:r w:rsidRPr="00981405">
              <w:t>138</w:t>
            </w:r>
          </w:p>
        </w:tc>
      </w:tr>
      <w:tr w:rsidR="00685137" w:rsidRPr="00981405" w:rsidTr="00D46137">
        <w:trPr>
          <w:gridAfter w:val="1"/>
          <w:wAfter w:w="115" w:type="dxa"/>
          <w:jc w:val="center"/>
        </w:trPr>
        <w:tc>
          <w:tcPr>
            <w:tcW w:w="9369" w:type="dxa"/>
            <w:gridSpan w:val="3"/>
            <w:shd w:val="clear" w:color="auto" w:fill="auto"/>
          </w:tcPr>
          <w:p w:rsidR="00685137" w:rsidRPr="00981405" w:rsidRDefault="00685137" w:rsidP="00DE618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ind w:left="476"/>
              <w:rPr>
                <w:spacing w:val="60"/>
                <w:sz w:val="17"/>
              </w:rPr>
            </w:pPr>
            <w:r w:rsidRPr="00981405">
              <w:t>Annex</w:t>
            </w:r>
            <w:r w:rsidRPr="00981405">
              <w:tab/>
            </w:r>
            <w:r w:rsidR="00DE618E" w:rsidRPr="00981405">
              <w:tab/>
            </w:r>
            <w:r w:rsidRPr="00981405">
              <w:t>Final</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clause</w:t>
            </w:r>
            <w:r w:rsidR="00DE618E" w:rsidRPr="00981405">
              <w:rPr>
                <w:spacing w:val="60"/>
                <w:sz w:val="17"/>
              </w:rPr>
              <w:tab/>
            </w:r>
          </w:p>
        </w:tc>
        <w:tc>
          <w:tcPr>
            <w:tcW w:w="533" w:type="dxa"/>
            <w:shd w:val="clear" w:color="auto" w:fill="auto"/>
            <w:vAlign w:val="bottom"/>
          </w:tcPr>
          <w:p w:rsidR="00685137" w:rsidRPr="00981405" w:rsidRDefault="00A543BB" w:rsidP="00D46137">
            <w:pPr>
              <w:spacing w:after="120"/>
              <w:jc w:val="right"/>
            </w:pPr>
            <w:r w:rsidRPr="00981405">
              <w:t>147</w:t>
            </w:r>
          </w:p>
        </w:tc>
      </w:tr>
    </w:tbl>
    <w:p w:rsidR="004E5608" w:rsidRPr="00981405" w:rsidRDefault="004E5608" w:rsidP="004E5608">
      <w:pPr>
        <w:sectPr w:rsidR="004E5608" w:rsidRPr="00981405" w:rsidSect="004E5608">
          <w:headerReference w:type="even" r:id="rId15"/>
          <w:headerReference w:type="default" r:id="rId16"/>
          <w:footerReference w:type="even" r:id="rId17"/>
          <w:footerReference w:type="default" r:id="rId18"/>
          <w:endnotePr>
            <w:numFmt w:val="decimal"/>
          </w:endnotePr>
          <w:pgSz w:w="11909" w:h="16834" w:code="1"/>
          <w:pgMar w:top="1742" w:right="936" w:bottom="1898" w:left="936" w:header="576" w:footer="1030" w:gutter="0"/>
          <w:cols w:space="720"/>
          <w:noEndnote/>
          <w:docGrid w:linePitch="278"/>
        </w:sectPr>
      </w:pPr>
    </w:p>
    <w:p w:rsidR="004E5608" w:rsidRPr="00981405" w:rsidRDefault="004E5608" w:rsidP="004E5608">
      <w:pPr>
        <w:suppressAutoHyphens w:val="0"/>
        <w:spacing w:line="20" w:lineRule="exact"/>
        <w:ind w:left="1267" w:right="1267"/>
        <w:jc w:val="both"/>
        <w:sectPr w:rsidR="004E5608" w:rsidRPr="00981405" w:rsidSect="004E5608">
          <w:headerReference w:type="even" r:id="rId19"/>
          <w:headerReference w:type="default" r:id="rId20"/>
          <w:footerReference w:type="even" r:id="rId21"/>
          <w:footerReference w:type="default" r:id="rId22"/>
          <w:endnotePr>
            <w:numFmt w:val="decimal"/>
          </w:endnotePr>
          <w:pgSz w:w="11909" w:h="16834" w:code="1"/>
          <w:pgMar w:top="1742" w:right="936" w:bottom="1898" w:left="936" w:header="576" w:footer="1030" w:gutter="0"/>
          <w:cols w:space="720"/>
          <w:noEndnote/>
          <w:docGrid w:linePitch="278"/>
        </w:sectPr>
      </w:pPr>
    </w:p>
    <w:p w:rsidR="00DE618E" w:rsidRPr="00981405" w:rsidRDefault="00DE618E" w:rsidP="00DE618E">
      <w:pPr>
        <w:pStyle w:val="HCh"/>
        <w:spacing w:after="120"/>
        <w:rPr>
          <w:b w:val="0"/>
        </w:rPr>
      </w:pPr>
      <w:r w:rsidRPr="00981405">
        <w:rPr>
          <w:b w:val="0"/>
        </w:rPr>
        <w:lastRenderedPageBreak/>
        <w:t>Contents</w:t>
      </w:r>
    </w:p>
    <w:tbl>
      <w:tblPr>
        <w:tblW w:w="10031" w:type="dxa"/>
        <w:tblLayout w:type="fixed"/>
        <w:tblCellMar>
          <w:left w:w="0" w:type="dxa"/>
          <w:right w:w="0" w:type="dxa"/>
        </w:tblCellMar>
        <w:tblLook w:val="0000" w:firstRow="0" w:lastRow="0" w:firstColumn="0" w:lastColumn="0" w:noHBand="0" w:noVBand="0"/>
      </w:tblPr>
      <w:tblGrid>
        <w:gridCol w:w="1060"/>
        <w:gridCol w:w="7315"/>
        <w:gridCol w:w="994"/>
        <w:gridCol w:w="533"/>
        <w:gridCol w:w="129"/>
      </w:tblGrid>
      <w:tr w:rsidR="00DE618E" w:rsidRPr="00981405" w:rsidTr="00DE618E">
        <w:tc>
          <w:tcPr>
            <w:tcW w:w="1060" w:type="dxa"/>
            <w:shd w:val="clear" w:color="auto" w:fill="auto"/>
          </w:tcPr>
          <w:p w:rsidR="00DE618E" w:rsidRPr="00981405" w:rsidRDefault="00DE618E" w:rsidP="00DE618E">
            <w:pPr>
              <w:spacing w:after="120" w:line="240" w:lineRule="auto"/>
              <w:jc w:val="right"/>
              <w:rPr>
                <w:i/>
                <w:sz w:val="14"/>
              </w:rPr>
            </w:pPr>
            <w:r w:rsidRPr="00981405">
              <w:rPr>
                <w:i/>
                <w:sz w:val="14"/>
              </w:rPr>
              <w:t>Chapter</w:t>
            </w:r>
          </w:p>
        </w:tc>
        <w:tc>
          <w:tcPr>
            <w:tcW w:w="7315" w:type="dxa"/>
            <w:shd w:val="clear" w:color="auto" w:fill="auto"/>
          </w:tcPr>
          <w:p w:rsidR="00DE618E" w:rsidRPr="00981405" w:rsidRDefault="00DE618E" w:rsidP="00DE618E">
            <w:pPr>
              <w:spacing w:after="120" w:line="240" w:lineRule="auto"/>
              <w:rPr>
                <w:i/>
                <w:sz w:val="14"/>
              </w:rPr>
            </w:pPr>
          </w:p>
        </w:tc>
        <w:tc>
          <w:tcPr>
            <w:tcW w:w="994" w:type="dxa"/>
            <w:shd w:val="clear" w:color="auto" w:fill="auto"/>
          </w:tcPr>
          <w:p w:rsidR="00DE618E" w:rsidRPr="00981405" w:rsidRDefault="00DE618E" w:rsidP="00274209">
            <w:pPr>
              <w:spacing w:after="120" w:line="240" w:lineRule="auto"/>
              <w:jc w:val="right"/>
              <w:rPr>
                <w:i/>
                <w:sz w:val="14"/>
              </w:rPr>
            </w:pPr>
          </w:p>
        </w:tc>
        <w:tc>
          <w:tcPr>
            <w:tcW w:w="662" w:type="dxa"/>
            <w:gridSpan w:val="2"/>
            <w:shd w:val="clear" w:color="auto" w:fill="auto"/>
          </w:tcPr>
          <w:p w:rsidR="00DE618E" w:rsidRPr="00981405" w:rsidRDefault="00DE618E" w:rsidP="00DE618E">
            <w:pPr>
              <w:spacing w:after="120" w:line="240" w:lineRule="auto"/>
              <w:jc w:val="right"/>
              <w:rPr>
                <w:i/>
                <w:sz w:val="14"/>
              </w:rPr>
            </w:pPr>
            <w:r w:rsidRPr="00981405">
              <w:rPr>
                <w:i/>
                <w:sz w:val="14"/>
              </w:rPr>
              <w:t>Page</w:t>
            </w:r>
          </w:p>
        </w:tc>
      </w:tr>
      <w:tr w:rsidR="00DE618E" w:rsidRPr="00981405" w:rsidTr="00DE618E">
        <w:trPr>
          <w:gridAfter w:val="1"/>
          <w:wAfter w:w="129" w:type="dxa"/>
        </w:trPr>
        <w:tc>
          <w:tcPr>
            <w:tcW w:w="9369" w:type="dxa"/>
            <w:gridSpan w:val="3"/>
            <w:shd w:val="clear" w:color="auto" w:fill="auto"/>
          </w:tcPr>
          <w:p w:rsidR="00DE618E" w:rsidRPr="00981405" w:rsidRDefault="00DE618E" w:rsidP="00F212B3">
            <w:pPr>
              <w:numPr>
                <w:ilvl w:val="0"/>
                <w:numId w:val="6"/>
              </w:numPr>
              <w:tabs>
                <w:tab w:val="right" w:pos="1080"/>
                <w:tab w:val="left" w:pos="1296"/>
                <w:tab w:val="left" w:pos="1728"/>
                <w:tab w:val="left" w:pos="2160"/>
                <w:tab w:val="right" w:leader="dot" w:pos="9360"/>
              </w:tabs>
              <w:spacing w:after="120"/>
            </w:pPr>
            <w:r w:rsidRPr="00981405">
              <w:tab/>
              <w:t>Introduction</w:t>
            </w:r>
            <w:r w:rsidR="00F212B3"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8</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left" w:pos="2592"/>
                <w:tab w:val="right" w:leader="dot" w:pos="9360"/>
              </w:tabs>
              <w:spacing w:after="120"/>
            </w:pPr>
            <w:r w:rsidRPr="00981405">
              <w:t>Membership</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8</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left" w:pos="2592"/>
                <w:tab w:val="left" w:pos="3024"/>
                <w:tab w:val="right" w:leader="dot" w:pos="9360"/>
              </w:tabs>
              <w:spacing w:after="120"/>
            </w:pPr>
            <w:r w:rsidRPr="00981405">
              <w:t>Casual</w:t>
            </w:r>
            <w:r w:rsidR="00190923" w:rsidRPr="00981405">
              <w:t xml:space="preserve"> </w:t>
            </w:r>
            <w:r w:rsidRPr="00981405">
              <w:t>vacancy</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9</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981405">
              <w:t>Officers</w:t>
            </w:r>
            <w:r w:rsidR="00190923" w:rsidRPr="00981405">
              <w:t xml:space="preserve"> </w:t>
            </w:r>
            <w:r w:rsidRPr="00981405">
              <w:t>and</w:t>
            </w:r>
            <w:r w:rsidR="00190923" w:rsidRPr="00981405">
              <w:t xml:space="preserve"> </w:t>
            </w:r>
            <w:r w:rsidRPr="00981405">
              <w:t>the</w:t>
            </w:r>
            <w:r w:rsidR="00190923" w:rsidRPr="00981405">
              <w:t xml:space="preserve"> </w:t>
            </w:r>
            <w:r w:rsidRPr="00981405">
              <w:t>Enlarged</w:t>
            </w:r>
            <w:r w:rsidR="00190923" w:rsidRPr="00981405">
              <w:t xml:space="preserve"> </w:t>
            </w:r>
            <w:r w:rsidRPr="00981405">
              <w:t>Bureau</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9</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left" w:pos="2592"/>
                <w:tab w:val="left" w:pos="3024"/>
                <w:tab w:val="right" w:leader="dot" w:pos="9360"/>
              </w:tabs>
              <w:spacing w:after="120"/>
            </w:pPr>
            <w:r w:rsidRPr="00981405">
              <w:t>Drafting</w:t>
            </w:r>
            <w:r w:rsidR="00190923" w:rsidRPr="00981405">
              <w:t xml:space="preserve"> </w:t>
            </w:r>
            <w:r w:rsidRPr="00981405">
              <w:t>Committee</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10</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left" w:pos="2592"/>
                <w:tab w:val="right" w:leader="dot" w:pos="9360"/>
              </w:tabs>
              <w:spacing w:after="120"/>
            </w:pPr>
            <w:r w:rsidRPr="00981405">
              <w:t>Study</w:t>
            </w:r>
            <w:r w:rsidR="00190923" w:rsidRPr="00981405">
              <w:t xml:space="preserve"> </w:t>
            </w:r>
            <w:r w:rsidRPr="00981405">
              <w:t>Group</w:t>
            </w:r>
            <w:r w:rsidR="00D11E0B">
              <w:t xml:space="preserve"> and Working Group</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10</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left" w:pos="2592"/>
                <w:tab w:val="right" w:leader="dot" w:pos="9360"/>
              </w:tabs>
              <w:spacing w:after="120"/>
            </w:pPr>
            <w:r w:rsidRPr="00981405">
              <w:t>Secretariat</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11</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1"/>
                <w:numId w:val="6"/>
              </w:numPr>
              <w:tabs>
                <w:tab w:val="right" w:pos="1080"/>
                <w:tab w:val="left" w:pos="1296"/>
                <w:tab w:val="left" w:pos="1728"/>
                <w:tab w:val="left" w:pos="2160"/>
                <w:tab w:val="right" w:leader="dot" w:pos="9360"/>
              </w:tabs>
              <w:spacing w:after="120"/>
            </w:pPr>
            <w:r w:rsidRPr="00981405">
              <w:t>Agenda</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11</w:t>
            </w:r>
          </w:p>
        </w:tc>
      </w:tr>
      <w:tr w:rsidR="00DE618E" w:rsidRPr="00981405" w:rsidTr="00DE618E">
        <w:trPr>
          <w:gridAfter w:val="1"/>
          <w:wAfter w:w="129" w:type="dxa"/>
        </w:trPr>
        <w:tc>
          <w:tcPr>
            <w:tcW w:w="9369" w:type="dxa"/>
            <w:gridSpan w:val="3"/>
            <w:shd w:val="clear" w:color="auto" w:fill="auto"/>
          </w:tcPr>
          <w:p w:rsidR="00DE618E" w:rsidRPr="00981405" w:rsidRDefault="00F212B3" w:rsidP="00022096">
            <w:pPr>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ab/>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00022096" w:rsidRPr="00981405">
              <w:rPr>
                <w:spacing w:val="60"/>
                <w:sz w:val="17"/>
              </w:rPr>
              <w:tab/>
            </w:r>
          </w:p>
        </w:tc>
        <w:tc>
          <w:tcPr>
            <w:tcW w:w="533" w:type="dxa"/>
            <w:shd w:val="clear" w:color="auto" w:fill="auto"/>
            <w:vAlign w:val="bottom"/>
          </w:tcPr>
          <w:p w:rsidR="00DE618E" w:rsidRPr="00981405" w:rsidRDefault="00A543BB" w:rsidP="00DE618E">
            <w:pPr>
              <w:spacing w:after="120"/>
              <w:jc w:val="right"/>
            </w:pPr>
            <w:r w:rsidRPr="00981405">
              <w:t>12</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pPr>
            <w:r w:rsidRPr="00981405">
              <w:tab/>
              <w:t>Specific</w:t>
            </w:r>
            <w:r w:rsidR="00190923" w:rsidRPr="00981405">
              <w:t xml:space="preserve"> </w:t>
            </w:r>
            <w:r w:rsidRPr="00981405">
              <w:t>issues</w:t>
            </w:r>
            <w:r w:rsidR="00190923" w:rsidRPr="00981405">
              <w:t xml:space="preserve"> </w:t>
            </w:r>
            <w:r w:rsidRPr="00981405">
              <w:t>on</w:t>
            </w:r>
            <w:r w:rsidR="00190923" w:rsidRPr="00981405">
              <w:t xml:space="preserve"> </w:t>
            </w:r>
            <w:r w:rsidRPr="00981405">
              <w:t>which</w:t>
            </w:r>
            <w:r w:rsidR="00190923" w:rsidRPr="00981405">
              <w:t xml:space="preserve"> </w:t>
            </w:r>
            <w:r w:rsidRPr="00981405">
              <w:t>comments</w:t>
            </w:r>
            <w:r w:rsidR="00190923" w:rsidRPr="00981405">
              <w:t xml:space="preserve"> </w:t>
            </w:r>
            <w:r w:rsidRPr="00981405">
              <w:t>would</w:t>
            </w:r>
            <w:r w:rsidR="00190923" w:rsidRPr="00981405">
              <w:t xml:space="preserve"> </w:t>
            </w:r>
            <w:r w:rsidRPr="00981405">
              <w:t>be</w:t>
            </w:r>
            <w:r w:rsidR="00190923" w:rsidRPr="00981405">
              <w:t xml:space="preserve"> </w:t>
            </w:r>
            <w:r w:rsidRPr="00981405">
              <w:t>of</w:t>
            </w:r>
            <w:r w:rsidR="00190923" w:rsidRPr="00981405">
              <w:t xml:space="preserve"> </w:t>
            </w:r>
            <w:r w:rsidRPr="00981405">
              <w:t>particular</w:t>
            </w:r>
            <w:r w:rsidR="00190923" w:rsidRPr="00981405">
              <w:t xml:space="preserve"> </w:t>
            </w:r>
            <w:r w:rsidRPr="00981405">
              <w:t>interest</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15</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right" w:leader="dot" w:pos="9360"/>
              </w:tabs>
              <w:spacing w:after="120"/>
            </w:pP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00B74417">
              <w:br/>
            </w:r>
            <w:r w:rsidRPr="00981405">
              <w:t>of</w:t>
            </w:r>
            <w:r w:rsidR="00190923" w:rsidRPr="00981405">
              <w:t xml:space="preserve"> </w:t>
            </w:r>
            <w:r w:rsidRPr="00981405">
              <w:t>treaties</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15</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15</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16</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16</w:t>
            </w:r>
          </w:p>
        </w:tc>
      </w:tr>
      <w:tr w:rsidR="00F212B3" w:rsidRPr="00981405" w:rsidTr="00DE618E">
        <w:trPr>
          <w:gridAfter w:val="1"/>
          <w:wAfter w:w="129" w:type="dxa"/>
        </w:trPr>
        <w:tc>
          <w:tcPr>
            <w:tcW w:w="9369" w:type="dxa"/>
            <w:gridSpan w:val="3"/>
            <w:shd w:val="clear" w:color="auto" w:fill="auto"/>
          </w:tcPr>
          <w:p w:rsidR="00F212B3" w:rsidRPr="00981405" w:rsidRDefault="003E5EB1" w:rsidP="00022096">
            <w:pPr>
              <w:numPr>
                <w:ilvl w:val="1"/>
                <w:numId w:val="6"/>
              </w:numPr>
              <w:tabs>
                <w:tab w:val="right" w:pos="1080"/>
                <w:tab w:val="left" w:pos="1296"/>
                <w:tab w:val="left" w:pos="1728"/>
                <w:tab w:val="left" w:pos="2160"/>
                <w:tab w:val="left" w:pos="2592"/>
                <w:tab w:val="right" w:leader="dot" w:pos="9360"/>
              </w:tabs>
              <w:spacing w:after="120"/>
            </w:pPr>
            <w:r w:rsidRPr="00981405">
              <w:rPr>
                <w:i/>
                <w:iCs/>
              </w:rPr>
              <w:t>Jus</w:t>
            </w:r>
            <w:r w:rsidR="00190923" w:rsidRPr="00981405">
              <w:rPr>
                <w:i/>
                <w:iCs/>
              </w:rPr>
              <w:t xml:space="preserve"> </w:t>
            </w:r>
            <w:r w:rsidRPr="00981405">
              <w:rPr>
                <w:i/>
                <w:iCs/>
              </w:rPr>
              <w:t>cogens</w:t>
            </w:r>
            <w:r w:rsidR="00022096" w:rsidRPr="00BA12B3">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16</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0"/>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ab/>
              <w:t>The</w:t>
            </w:r>
            <w:r w:rsidR="00190923" w:rsidRPr="00981405">
              <w:t xml:space="preserve"> </w:t>
            </w:r>
            <w:r w:rsidRPr="00981405">
              <w:t>Most-Favoured-Nation</w:t>
            </w:r>
            <w:r w:rsidR="00190923" w:rsidRPr="00981405">
              <w:t xml:space="preserve"> </w:t>
            </w:r>
            <w:r w:rsidRPr="00981405">
              <w:t>clause</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17</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17</w:t>
            </w:r>
          </w:p>
        </w:tc>
      </w:tr>
      <w:tr w:rsidR="00F212B3" w:rsidRPr="00981405" w:rsidTr="00DE618E">
        <w:trPr>
          <w:gridAfter w:val="1"/>
          <w:wAfter w:w="129" w:type="dxa"/>
        </w:trPr>
        <w:tc>
          <w:tcPr>
            <w:tcW w:w="9369" w:type="dxa"/>
            <w:gridSpan w:val="3"/>
            <w:shd w:val="clear" w:color="auto" w:fill="auto"/>
          </w:tcPr>
          <w:p w:rsidR="00F212B3" w:rsidRPr="00981405" w:rsidRDefault="00F212B3"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530F1C"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17</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Tribute</w:t>
            </w:r>
            <w:r w:rsidR="00190923" w:rsidRPr="00981405">
              <w:t xml:space="preserve"> </w:t>
            </w:r>
            <w:r w:rsidRPr="00981405">
              <w:t>to</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and</w:t>
            </w:r>
            <w:r w:rsidR="00190923" w:rsidRPr="00981405">
              <w:t xml:space="preserve"> </w:t>
            </w:r>
            <w:r w:rsidRPr="00981405">
              <w:t>its</w:t>
            </w:r>
            <w:r w:rsidR="00190923" w:rsidRPr="00981405">
              <w:t xml:space="preserve"> </w:t>
            </w:r>
            <w:r w:rsidRPr="00981405">
              <w:t>Chairman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19</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0"/>
                <w:numId w:val="6"/>
              </w:numPr>
              <w:tabs>
                <w:tab w:val="right" w:pos="1080"/>
                <w:tab w:val="left" w:pos="1296"/>
                <w:tab w:val="left" w:pos="1728"/>
                <w:tab w:val="left" w:pos="2160"/>
                <w:tab w:val="left" w:pos="2592"/>
                <w:tab w:val="left" w:pos="3024"/>
                <w:tab w:val="left" w:pos="3456"/>
                <w:tab w:val="right" w:leader="dot" w:pos="9360"/>
              </w:tabs>
              <w:spacing w:after="120"/>
            </w:pPr>
            <w:r w:rsidRPr="00981405">
              <w:tab/>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20</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00022096" w:rsidRPr="00BA12B3">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20</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20</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together</w:t>
            </w:r>
            <w:r w:rsidR="00190923" w:rsidRPr="00981405">
              <w:t xml:space="preserve"> </w:t>
            </w:r>
            <w:r w:rsidRPr="00981405">
              <w:t>with</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so</w:t>
            </w:r>
            <w:r w:rsidR="00190923" w:rsidRPr="00981405">
              <w:t xml:space="preserve"> </w:t>
            </w:r>
            <w:r w:rsidRPr="00981405">
              <w:t>far</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22</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preambular</w:t>
            </w:r>
            <w:r w:rsidR="00190923" w:rsidRPr="00981405">
              <w:t xml:space="preserve"> </w:t>
            </w:r>
            <w:r w:rsidRPr="00981405">
              <w:t>paragraphs</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22</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numPr>
                <w:ilvl w:val="2"/>
                <w:numId w:val="6"/>
              </w:numPr>
              <w:tabs>
                <w:tab w:val="right" w:pos="1080"/>
                <w:tab w:val="left" w:pos="1296"/>
                <w:tab w:val="left" w:pos="1728"/>
                <w:tab w:val="left" w:pos="2160"/>
                <w:tab w:val="left" w:pos="2592"/>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and</w:t>
            </w:r>
            <w:r w:rsidR="00190923" w:rsidRPr="00981405">
              <w:t xml:space="preserve"> </w:t>
            </w:r>
            <w:r w:rsidRPr="00981405">
              <w:t>commentaries</w:t>
            </w:r>
            <w:r w:rsidR="00190923" w:rsidRPr="00981405">
              <w:t xml:space="preserve"> </w:t>
            </w:r>
            <w:r w:rsidRPr="00981405">
              <w:t>thereto</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00022096" w:rsidRPr="00981405">
              <w:br/>
            </w:r>
            <w:r w:rsidRPr="00981405">
              <w:t>sixty-seventh</w:t>
            </w:r>
            <w:r w:rsidR="00190923" w:rsidRPr="00981405">
              <w:t xml:space="preserve"> </w:t>
            </w:r>
            <w:r w:rsidRPr="00981405">
              <w:t>session</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24</w:t>
            </w:r>
          </w:p>
        </w:tc>
      </w:tr>
      <w:tr w:rsidR="00F212B3" w:rsidRPr="00981405" w:rsidTr="00DE618E">
        <w:trPr>
          <w:gridAfter w:val="1"/>
          <w:wAfter w:w="129" w:type="dxa"/>
        </w:trPr>
        <w:tc>
          <w:tcPr>
            <w:tcW w:w="9369" w:type="dxa"/>
            <w:gridSpan w:val="3"/>
            <w:shd w:val="clear" w:color="auto" w:fill="auto"/>
          </w:tcPr>
          <w:p w:rsidR="00F212B3" w:rsidRPr="00981405" w:rsidRDefault="00F212B3" w:rsidP="00022096">
            <w:pPr>
              <w:tabs>
                <w:tab w:val="right" w:pos="1080"/>
                <w:tab w:val="left" w:pos="1296"/>
                <w:tab w:val="left" w:pos="1728"/>
                <w:tab w:val="left" w:pos="2160"/>
                <w:tab w:val="left" w:pos="2592"/>
                <w:tab w:val="left" w:pos="3024"/>
                <w:tab w:val="left" w:pos="3456"/>
                <w:tab w:val="left" w:pos="3888"/>
                <w:tab w:val="right" w:leader="dot" w:pos="9360"/>
              </w:tabs>
              <w:spacing w:after="120"/>
              <w:ind w:left="2160"/>
              <w:rPr>
                <w:spacing w:val="60"/>
                <w:sz w:val="17"/>
              </w:rPr>
            </w:pPr>
            <w:r w:rsidRPr="00981405">
              <w:t>General</w:t>
            </w:r>
            <w:r w:rsidR="00190923" w:rsidRPr="00981405">
              <w:t xml:space="preserve"> </w:t>
            </w:r>
            <w:r w:rsidRPr="00981405">
              <w:t>commentary</w:t>
            </w:r>
            <w:r w:rsidR="00022096"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24</w:t>
            </w:r>
          </w:p>
        </w:tc>
      </w:tr>
      <w:tr w:rsidR="00F212B3" w:rsidRPr="00981405" w:rsidTr="00DE618E">
        <w:trPr>
          <w:gridAfter w:val="1"/>
          <w:wAfter w:w="129" w:type="dxa"/>
        </w:trPr>
        <w:tc>
          <w:tcPr>
            <w:tcW w:w="9369" w:type="dxa"/>
            <w:gridSpan w:val="3"/>
            <w:shd w:val="clear" w:color="auto" w:fill="auto"/>
          </w:tcPr>
          <w:p w:rsidR="00F212B3" w:rsidRPr="00981405" w:rsidRDefault="00022096" w:rsidP="00022096">
            <w:pPr>
              <w:tabs>
                <w:tab w:val="right" w:pos="1080"/>
                <w:tab w:val="left" w:pos="1296"/>
                <w:tab w:val="left" w:pos="1728"/>
                <w:tab w:val="left" w:pos="2160"/>
                <w:tab w:val="left" w:pos="2592"/>
                <w:tab w:val="right" w:leader="dot" w:pos="9360"/>
              </w:tabs>
              <w:spacing w:after="120"/>
              <w:ind w:left="2160"/>
              <w:rPr>
                <w:spacing w:val="60"/>
                <w:sz w:val="17"/>
              </w:rPr>
            </w:pPr>
            <w:r w:rsidRPr="00981405">
              <w:t>Preamble</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24</w:t>
            </w:r>
          </w:p>
        </w:tc>
      </w:tr>
      <w:tr w:rsidR="00F212B3" w:rsidRPr="00981405" w:rsidTr="00DE618E">
        <w:trPr>
          <w:gridAfter w:val="1"/>
          <w:wAfter w:w="129" w:type="dxa"/>
        </w:trPr>
        <w:tc>
          <w:tcPr>
            <w:tcW w:w="9369" w:type="dxa"/>
            <w:gridSpan w:val="3"/>
            <w:shd w:val="clear" w:color="auto" w:fill="auto"/>
          </w:tcPr>
          <w:p w:rsidR="00F212B3" w:rsidRPr="00981405" w:rsidRDefault="00022096" w:rsidP="00022096">
            <w:pPr>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Pr="00981405">
              <w:tab/>
            </w:r>
            <w:r w:rsidRPr="00981405">
              <w:tab/>
              <w:t>Commentary</w:t>
            </w:r>
            <w:r w:rsidR="00BB369E" w:rsidRPr="00BA12B3">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24</w:t>
            </w:r>
          </w:p>
        </w:tc>
      </w:tr>
      <w:tr w:rsidR="00F212B3" w:rsidRPr="00981405" w:rsidTr="00DE618E">
        <w:trPr>
          <w:gridAfter w:val="1"/>
          <w:wAfter w:w="129" w:type="dxa"/>
        </w:trPr>
        <w:tc>
          <w:tcPr>
            <w:tcW w:w="9369" w:type="dxa"/>
            <w:gridSpan w:val="3"/>
            <w:shd w:val="clear" w:color="auto" w:fill="auto"/>
          </w:tcPr>
          <w:p w:rsidR="00F212B3" w:rsidRPr="00981405" w:rsidRDefault="00022096" w:rsidP="00022096">
            <w:pPr>
              <w:tabs>
                <w:tab w:val="right" w:pos="1080"/>
                <w:tab w:val="left" w:pos="1296"/>
                <w:tab w:val="right" w:pos="1714"/>
                <w:tab w:val="left" w:pos="2160"/>
                <w:tab w:val="left" w:pos="3024"/>
                <w:tab w:val="left" w:pos="3456"/>
                <w:tab w:val="left" w:pos="3940"/>
                <w:tab w:val="right" w:leader="dot" w:pos="9360"/>
              </w:tabs>
              <w:spacing w:after="120"/>
              <w:ind w:left="2160"/>
            </w:pPr>
            <w:r w:rsidRPr="00981405">
              <w:t>Guideline</w:t>
            </w:r>
            <w:r w:rsidR="00190923" w:rsidRPr="00981405">
              <w:t xml:space="preserve"> </w:t>
            </w:r>
            <w:r w:rsidRPr="00981405">
              <w:t>1</w:t>
            </w:r>
            <w:r w:rsidRPr="00981405">
              <w:tab/>
            </w:r>
            <w:r w:rsidRPr="00981405">
              <w:tab/>
              <w:t>Use</w:t>
            </w:r>
            <w:r w:rsidR="00190923" w:rsidRPr="00981405">
              <w:t xml:space="preserve"> </w:t>
            </w:r>
            <w:r w:rsidRPr="00981405">
              <w:t>of</w:t>
            </w:r>
            <w:r w:rsidR="00190923" w:rsidRPr="00981405">
              <w:t xml:space="preserve"> </w:t>
            </w:r>
            <w:r w:rsidRPr="00981405">
              <w:t>terms</w:t>
            </w:r>
            <w:r w:rsidR="00BB369E"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27</w:t>
            </w:r>
          </w:p>
        </w:tc>
      </w:tr>
      <w:tr w:rsidR="00F212B3" w:rsidRPr="00981405" w:rsidTr="00DE618E">
        <w:trPr>
          <w:gridAfter w:val="1"/>
          <w:wAfter w:w="129" w:type="dxa"/>
        </w:trPr>
        <w:tc>
          <w:tcPr>
            <w:tcW w:w="9369" w:type="dxa"/>
            <w:gridSpan w:val="3"/>
            <w:shd w:val="clear" w:color="auto" w:fill="auto"/>
          </w:tcPr>
          <w:p w:rsidR="00F212B3" w:rsidRPr="00981405" w:rsidRDefault="00022096" w:rsidP="00022096">
            <w:pPr>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Pr="00981405">
              <w:tab/>
            </w:r>
            <w:r w:rsidRPr="00981405">
              <w:tab/>
              <w:t>Commentary</w:t>
            </w:r>
            <w:r w:rsidR="00BB369E"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27</w:t>
            </w:r>
          </w:p>
        </w:tc>
      </w:tr>
      <w:tr w:rsidR="00F212B3" w:rsidRPr="00981405" w:rsidTr="00DE618E">
        <w:trPr>
          <w:gridAfter w:val="1"/>
          <w:wAfter w:w="129" w:type="dxa"/>
        </w:trPr>
        <w:tc>
          <w:tcPr>
            <w:tcW w:w="9369" w:type="dxa"/>
            <w:gridSpan w:val="3"/>
            <w:shd w:val="clear" w:color="auto" w:fill="auto"/>
          </w:tcPr>
          <w:p w:rsidR="00F212B3" w:rsidRPr="00981405" w:rsidRDefault="00022096" w:rsidP="00BB369E">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lastRenderedPageBreak/>
              <w:t>Guideline</w:t>
            </w:r>
            <w:r w:rsidR="00190923" w:rsidRPr="00981405">
              <w:t xml:space="preserve"> </w:t>
            </w:r>
            <w:r w:rsidRPr="00981405">
              <w:t>2</w:t>
            </w:r>
            <w:r w:rsidRPr="00981405">
              <w:tab/>
            </w:r>
            <w:r w:rsidR="00BB369E" w:rsidRPr="00981405">
              <w:tab/>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guidelines</w:t>
            </w:r>
            <w:r w:rsidR="00BB369E"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32</w:t>
            </w:r>
          </w:p>
        </w:tc>
      </w:tr>
      <w:tr w:rsidR="00F212B3" w:rsidRPr="00981405" w:rsidTr="00DE618E">
        <w:trPr>
          <w:gridAfter w:val="1"/>
          <w:wAfter w:w="129" w:type="dxa"/>
        </w:trPr>
        <w:tc>
          <w:tcPr>
            <w:tcW w:w="9369" w:type="dxa"/>
            <w:gridSpan w:val="3"/>
            <w:shd w:val="clear" w:color="auto" w:fill="auto"/>
          </w:tcPr>
          <w:p w:rsidR="00F212B3" w:rsidRPr="00981405" w:rsidRDefault="00022096" w:rsidP="00BB369E">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Pr="00981405">
              <w:tab/>
            </w:r>
            <w:r w:rsidR="00BB369E" w:rsidRPr="00981405">
              <w:tab/>
            </w:r>
            <w:r w:rsidRPr="00981405">
              <w:t>Commentary</w:t>
            </w:r>
            <w:r w:rsidR="00BB369E"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32</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Guideline</w:t>
            </w:r>
            <w:r w:rsidR="00190923" w:rsidRPr="00981405">
              <w:t xml:space="preserve"> </w:t>
            </w:r>
            <w:r w:rsidRPr="00981405">
              <w:t>5</w:t>
            </w:r>
            <w:r w:rsidRPr="00981405">
              <w:tab/>
            </w:r>
            <w:r w:rsidRPr="00981405">
              <w:tab/>
              <w:t>International</w:t>
            </w:r>
            <w:r w:rsidR="00190923" w:rsidRPr="00981405">
              <w:t xml:space="preserve"> </w:t>
            </w:r>
            <w:r w:rsidRPr="00981405">
              <w:t>cooperation</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34</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Pr="00981405">
              <w:tab/>
            </w:r>
            <w:r w:rsidRPr="00981405">
              <w:tab/>
              <w:t>Commentary</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34</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81405">
              <w:tab/>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38</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38</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38</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Introduction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40</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2"/>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debate</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42</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General</w:t>
            </w:r>
            <w:r w:rsidR="00190923" w:rsidRPr="00981405">
              <w:t xml:space="preserve"> </w:t>
            </w:r>
            <w:r w:rsidRPr="00981405">
              <w:t>comments</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42</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Relationship</w:t>
            </w:r>
            <w:r w:rsidR="00190923" w:rsidRPr="00981405">
              <w:t xml:space="preserve"> </w:t>
            </w:r>
            <w:r w:rsidRPr="00981405">
              <w:t>between</w:t>
            </w:r>
            <w:r w:rsidR="00190923" w:rsidRPr="00981405">
              <w:t xml:space="preserve"> </w:t>
            </w:r>
            <w:r w:rsidRPr="00981405">
              <w:t>the</w:t>
            </w:r>
            <w:r w:rsidR="00190923" w:rsidRPr="00981405">
              <w:t xml:space="preserve"> </w:t>
            </w:r>
            <w:r w:rsidRPr="00981405">
              <w:t>two</w:t>
            </w:r>
            <w:r w:rsidR="00190923" w:rsidRPr="00981405">
              <w:t xml:space="preserve"> </w:t>
            </w:r>
            <w:r w:rsidRPr="00981405">
              <w:t>constituent</w:t>
            </w:r>
            <w:r w:rsidR="00190923" w:rsidRPr="00981405">
              <w:t xml:space="preserve"> </w:t>
            </w:r>
            <w:r w:rsidRPr="00981405">
              <w:t>elements</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43</w:t>
            </w:r>
          </w:p>
        </w:tc>
      </w:tr>
      <w:tr w:rsidR="00F212B3" w:rsidRPr="00981405" w:rsidTr="00DE618E">
        <w:trPr>
          <w:gridAfter w:val="1"/>
          <w:wAfter w:w="129" w:type="dxa"/>
        </w:trPr>
        <w:tc>
          <w:tcPr>
            <w:tcW w:w="9369" w:type="dxa"/>
            <w:gridSpan w:val="3"/>
            <w:shd w:val="clear" w:color="auto" w:fill="auto"/>
          </w:tcPr>
          <w:p w:rsidR="00F212B3" w:rsidRPr="00981405" w:rsidRDefault="00BB369E" w:rsidP="00BB369E">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pPr>
            <w:r w:rsidRPr="00981405">
              <w:t>Inaction</w:t>
            </w:r>
            <w:r w:rsidR="00190923" w:rsidRPr="00981405">
              <w:t xml:space="preserve"> </w:t>
            </w:r>
            <w:r w:rsidRPr="00981405">
              <w:t>as</w:t>
            </w:r>
            <w:r w:rsidR="00190923" w:rsidRPr="00981405">
              <w:t xml:space="preserve"> </w:t>
            </w:r>
            <w:r w:rsidRPr="00981405">
              <w:t>practice</w:t>
            </w:r>
            <w:r w:rsidR="00190923" w:rsidRPr="00981405">
              <w:t xml:space="preserve"> </w:t>
            </w:r>
            <w:r w:rsidRPr="00981405">
              <w:t>and/or</w:t>
            </w:r>
            <w:r w:rsidR="00190923" w:rsidRPr="00981405">
              <w:t xml:space="preserve"> </w:t>
            </w:r>
            <w:r w:rsidRPr="00981405">
              <w:t>evidence</w:t>
            </w:r>
            <w:r w:rsidR="00190923" w:rsidRPr="00981405">
              <w:t xml:space="preserve"> </w:t>
            </w:r>
            <w:r w:rsidRPr="00981405">
              <w:t>of</w:t>
            </w:r>
            <w:r w:rsidR="00190923" w:rsidRPr="00981405">
              <w:t xml:space="preserve"> </w:t>
            </w:r>
            <w:r w:rsidRPr="00981405">
              <w:t>acceptance</w:t>
            </w:r>
            <w:r w:rsidR="00190923" w:rsidRPr="00981405">
              <w:t xml:space="preserve"> </w:t>
            </w:r>
            <w:r w:rsidRPr="00981405">
              <w:t>law</w:t>
            </w:r>
            <w:r w:rsidR="00190923" w:rsidRPr="00981405">
              <w:t xml:space="preserve"> </w:t>
            </w:r>
            <w:r w:rsidRPr="00981405">
              <w:t>(</w:t>
            </w:r>
            <w:r w:rsidRPr="00981405">
              <w:rPr>
                <w:i/>
                <w:iCs/>
              </w:rPr>
              <w:t>opinio</w:t>
            </w:r>
            <w:r w:rsidR="00190923" w:rsidRPr="00981405">
              <w:rPr>
                <w:i/>
                <w:iCs/>
              </w:rPr>
              <w:t xml:space="preserve"> </w:t>
            </w:r>
            <w:r w:rsidRPr="00981405">
              <w:rPr>
                <w:i/>
                <w:iCs/>
              </w:rPr>
              <w:t>juris</w:t>
            </w:r>
            <w:r w:rsidRPr="00981405">
              <w:t>)</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43</w:t>
            </w:r>
          </w:p>
        </w:tc>
      </w:tr>
      <w:tr w:rsidR="00F212B3" w:rsidRPr="00981405" w:rsidTr="00DE618E">
        <w:trPr>
          <w:gridAfter w:val="1"/>
          <w:wAfter w:w="129" w:type="dxa"/>
        </w:trPr>
        <w:tc>
          <w:tcPr>
            <w:tcW w:w="9369" w:type="dxa"/>
            <w:gridSpan w:val="3"/>
            <w:shd w:val="clear" w:color="auto" w:fill="auto"/>
          </w:tcPr>
          <w:p w:rsidR="00F212B3" w:rsidRPr="00981405" w:rsidRDefault="00BB369E" w:rsidP="00FD2584">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resolutions</w:t>
            </w:r>
            <w:r w:rsidR="00FD2584"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43</w:t>
            </w:r>
          </w:p>
        </w:tc>
      </w:tr>
      <w:tr w:rsidR="00F212B3" w:rsidRPr="00981405" w:rsidTr="00DE618E">
        <w:trPr>
          <w:gridAfter w:val="1"/>
          <w:wAfter w:w="129" w:type="dxa"/>
        </w:trPr>
        <w:tc>
          <w:tcPr>
            <w:tcW w:w="9369" w:type="dxa"/>
            <w:gridSpan w:val="3"/>
            <w:shd w:val="clear" w:color="auto" w:fill="auto"/>
          </w:tcPr>
          <w:p w:rsidR="00F212B3" w:rsidRPr="00981405" w:rsidRDefault="00BB369E" w:rsidP="00FD2584">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FD2584"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44</w:t>
            </w:r>
          </w:p>
        </w:tc>
      </w:tr>
      <w:tr w:rsidR="00F212B3" w:rsidRPr="00981405" w:rsidTr="00DE618E">
        <w:trPr>
          <w:gridAfter w:val="1"/>
          <w:wAfter w:w="129" w:type="dxa"/>
        </w:trPr>
        <w:tc>
          <w:tcPr>
            <w:tcW w:w="9369" w:type="dxa"/>
            <w:gridSpan w:val="3"/>
            <w:shd w:val="clear" w:color="auto" w:fill="auto"/>
          </w:tcPr>
          <w:p w:rsidR="00F212B3" w:rsidRPr="00981405" w:rsidRDefault="00FD2584" w:rsidP="00FD2584">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pP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non-State</w:t>
            </w:r>
            <w:r w:rsidR="00190923" w:rsidRPr="00981405">
              <w:t xml:space="preserve"> </w:t>
            </w:r>
            <w:r w:rsidRPr="00981405">
              <w:t>actors</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45</w:t>
            </w:r>
          </w:p>
        </w:tc>
      </w:tr>
      <w:tr w:rsidR="00F212B3" w:rsidRPr="00981405" w:rsidTr="00DE618E">
        <w:trPr>
          <w:gridAfter w:val="1"/>
          <w:wAfter w:w="129" w:type="dxa"/>
        </w:trPr>
        <w:tc>
          <w:tcPr>
            <w:tcW w:w="9369" w:type="dxa"/>
            <w:gridSpan w:val="3"/>
            <w:shd w:val="clear" w:color="auto" w:fill="auto"/>
          </w:tcPr>
          <w:p w:rsidR="00F212B3" w:rsidRPr="00981405" w:rsidRDefault="00FD2584" w:rsidP="00FD2584">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Particular</w:t>
            </w:r>
            <w:r w:rsidR="00190923" w:rsidRPr="00981405">
              <w:t xml:space="preserve"> </w:t>
            </w:r>
            <w:r w:rsidRPr="00981405">
              <w:t>custom</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45</w:t>
            </w:r>
          </w:p>
        </w:tc>
      </w:tr>
      <w:tr w:rsidR="00F212B3" w:rsidRPr="00981405" w:rsidTr="00DE618E">
        <w:trPr>
          <w:gridAfter w:val="1"/>
          <w:wAfter w:w="129" w:type="dxa"/>
        </w:trPr>
        <w:tc>
          <w:tcPr>
            <w:tcW w:w="9369" w:type="dxa"/>
            <w:gridSpan w:val="3"/>
            <w:shd w:val="clear" w:color="auto" w:fill="auto"/>
          </w:tcPr>
          <w:p w:rsidR="00F212B3" w:rsidRPr="00981405" w:rsidRDefault="00FD2584" w:rsidP="00FD2584">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Persistent</w:t>
            </w:r>
            <w:r w:rsidR="00190923" w:rsidRPr="00981405">
              <w:t xml:space="preserve"> </w:t>
            </w:r>
            <w:r w:rsidRPr="00981405">
              <w:t>objector</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46</w:t>
            </w:r>
          </w:p>
        </w:tc>
      </w:tr>
      <w:tr w:rsidR="00F212B3" w:rsidRPr="00981405" w:rsidTr="00DE618E">
        <w:trPr>
          <w:gridAfter w:val="1"/>
          <w:wAfter w:w="129" w:type="dxa"/>
        </w:trPr>
        <w:tc>
          <w:tcPr>
            <w:tcW w:w="9369" w:type="dxa"/>
            <w:gridSpan w:val="3"/>
            <w:shd w:val="clear" w:color="auto" w:fill="auto"/>
          </w:tcPr>
          <w:p w:rsidR="00F212B3" w:rsidRPr="00981405" w:rsidRDefault="00FD2584" w:rsidP="00FD2584">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81405">
              <w:t>Future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46</w:t>
            </w:r>
          </w:p>
        </w:tc>
      </w:tr>
      <w:tr w:rsidR="00F212B3" w:rsidRPr="00981405" w:rsidTr="00DE618E">
        <w:trPr>
          <w:gridAfter w:val="1"/>
          <w:wAfter w:w="129" w:type="dxa"/>
        </w:trPr>
        <w:tc>
          <w:tcPr>
            <w:tcW w:w="9369" w:type="dxa"/>
            <w:gridSpan w:val="3"/>
            <w:shd w:val="clear" w:color="auto" w:fill="auto"/>
          </w:tcPr>
          <w:p w:rsidR="00F212B3" w:rsidRPr="00981405" w:rsidRDefault="00FD2584" w:rsidP="00FD2584">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Concluding</w:t>
            </w:r>
            <w:r w:rsidR="00190923" w:rsidRPr="00981405">
              <w:t xml:space="preserve"> </w:t>
            </w:r>
            <w:r w:rsidRPr="00981405">
              <w:t>remarks</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46</w:t>
            </w:r>
          </w:p>
        </w:tc>
      </w:tr>
      <w:tr w:rsidR="00F212B3" w:rsidRPr="00981405" w:rsidTr="00DE618E">
        <w:trPr>
          <w:gridAfter w:val="1"/>
          <w:wAfter w:w="129" w:type="dxa"/>
        </w:trPr>
        <w:tc>
          <w:tcPr>
            <w:tcW w:w="9369" w:type="dxa"/>
            <w:gridSpan w:val="3"/>
            <w:shd w:val="clear" w:color="auto" w:fill="auto"/>
          </w:tcPr>
          <w:p w:rsidR="00F212B3" w:rsidRPr="00981405" w:rsidRDefault="00FD2584" w:rsidP="00D97463">
            <w:pPr>
              <w:numPr>
                <w:ilvl w:val="0"/>
                <w:numId w:val="6"/>
              </w:numPr>
              <w:tabs>
                <w:tab w:val="right" w:pos="1080"/>
                <w:tab w:val="left" w:pos="1296"/>
                <w:tab w:val="left" w:pos="1728"/>
                <w:tab w:val="left" w:pos="2160"/>
                <w:tab w:val="left" w:pos="2592"/>
                <w:tab w:val="left" w:pos="3024"/>
                <w:tab w:val="right" w:leader="dot" w:pos="9360"/>
              </w:tabs>
              <w:spacing w:after="120"/>
            </w:pPr>
            <w:r w:rsidRPr="00981405">
              <w:tab/>
              <w:t>Crimes</w:t>
            </w:r>
            <w:r w:rsidR="00190923" w:rsidRPr="00981405">
              <w:t xml:space="preserve"> </w:t>
            </w:r>
            <w:r w:rsidRPr="00981405">
              <w:t>against</w:t>
            </w:r>
            <w:r w:rsidR="00190923" w:rsidRPr="00981405">
              <w:t xml:space="preserve"> </w:t>
            </w:r>
            <w:r w:rsidRPr="00981405">
              <w:t>humanity</w:t>
            </w:r>
            <w:r w:rsidRPr="00981405">
              <w:rPr>
                <w:spacing w:val="60"/>
                <w:sz w:val="17"/>
              </w:rPr>
              <w:tab/>
            </w:r>
          </w:p>
        </w:tc>
        <w:tc>
          <w:tcPr>
            <w:tcW w:w="533" w:type="dxa"/>
            <w:shd w:val="clear" w:color="auto" w:fill="auto"/>
            <w:vAlign w:val="bottom"/>
          </w:tcPr>
          <w:p w:rsidR="00F212B3" w:rsidRPr="00981405" w:rsidRDefault="00A543BB" w:rsidP="00DE618E">
            <w:pPr>
              <w:spacing w:after="120"/>
              <w:jc w:val="right"/>
            </w:pPr>
            <w:r w:rsidRPr="00981405">
              <w:t>49</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49</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49</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50</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numPr>
                <w:ilvl w:val="2"/>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50</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and</w:t>
            </w:r>
            <w:r w:rsidR="00190923" w:rsidRPr="00981405">
              <w:t xml:space="preserve"> </w:t>
            </w:r>
            <w:r w:rsidRPr="00981405">
              <w:t>commentaries</w:t>
            </w:r>
            <w:r w:rsidR="00190923" w:rsidRPr="00981405">
              <w:t xml:space="preserve"> </w:t>
            </w:r>
            <w:r w:rsidRPr="00981405">
              <w:t>thereto,</w:t>
            </w:r>
            <w:r w:rsidR="00190923" w:rsidRPr="00981405">
              <w:t xml:space="preserve"> </w:t>
            </w:r>
            <w:r w:rsidRPr="00981405">
              <w:t>as</w:t>
            </w:r>
            <w:r w:rsidR="00190923" w:rsidRPr="00981405">
              <w:t xml:space="preserve"> </w:t>
            </w:r>
            <w:r w:rsidRPr="00981405">
              <w:t>provisionally</w:t>
            </w:r>
            <w:r w:rsidR="00190923" w:rsidRPr="00981405">
              <w:t xml:space="preserve"> </w:t>
            </w:r>
            <w:r w:rsidR="00B74417">
              <w:br/>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52</w:t>
            </w:r>
          </w:p>
        </w:tc>
      </w:tr>
      <w:tr w:rsidR="00FD2584" w:rsidRPr="00981405" w:rsidTr="00DE618E">
        <w:trPr>
          <w:gridAfter w:val="1"/>
          <w:wAfter w:w="129" w:type="dxa"/>
        </w:trPr>
        <w:tc>
          <w:tcPr>
            <w:tcW w:w="9369" w:type="dxa"/>
            <w:gridSpan w:val="3"/>
            <w:shd w:val="clear" w:color="auto" w:fill="auto"/>
          </w:tcPr>
          <w:p w:rsidR="00FD2584" w:rsidRPr="00D97463" w:rsidRDefault="00FD2584" w:rsidP="00D97463">
            <w:pPr>
              <w:keepNext/>
              <w:keepLines/>
              <w:tabs>
                <w:tab w:val="right" w:pos="1080"/>
                <w:tab w:val="left" w:pos="1296"/>
                <w:tab w:val="left" w:pos="1728"/>
                <w:tab w:val="left" w:pos="2160"/>
                <w:tab w:val="left" w:pos="2592"/>
                <w:tab w:val="left" w:pos="3024"/>
                <w:tab w:val="left" w:pos="3456"/>
                <w:tab w:val="left" w:pos="3888"/>
                <w:tab w:val="right" w:leader="dot" w:pos="9360"/>
              </w:tabs>
              <w:spacing w:after="120"/>
              <w:ind w:left="2160"/>
              <w:rPr>
                <w:spacing w:val="60"/>
                <w:sz w:val="17"/>
              </w:rPr>
            </w:pPr>
            <w:r w:rsidRPr="00981405">
              <w:t>Article</w:t>
            </w:r>
            <w:r w:rsidR="00190923" w:rsidRPr="00981405">
              <w:t xml:space="preserve"> </w:t>
            </w:r>
            <w:r w:rsidRPr="00981405">
              <w:t>1</w:t>
            </w:r>
            <w:r w:rsidRPr="00981405">
              <w:tab/>
            </w:r>
            <w:r w:rsidR="00B12370" w:rsidRPr="00981405">
              <w:tab/>
            </w:r>
            <w:r w:rsidRPr="00981405">
              <w:t>Scope</w:t>
            </w:r>
            <w:r w:rsidR="00B12370"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52</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00B12370" w:rsidRPr="00981405">
              <w:tab/>
            </w:r>
            <w:r w:rsidRPr="00981405">
              <w:t>Commentary</w:t>
            </w:r>
            <w:r w:rsidR="00B12370"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52</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Article</w:t>
            </w:r>
            <w:r w:rsidR="00190923" w:rsidRPr="00981405">
              <w:t xml:space="preserve"> </w:t>
            </w:r>
            <w:r w:rsidRPr="00981405">
              <w:t>2</w:t>
            </w:r>
            <w:r w:rsidRPr="00981405">
              <w:tab/>
            </w:r>
            <w:r w:rsidR="00B12370" w:rsidRPr="00981405">
              <w:tab/>
            </w:r>
            <w:r w:rsidRPr="00981405">
              <w:t>General</w:t>
            </w:r>
            <w:r w:rsidR="00190923" w:rsidRPr="00981405">
              <w:t xml:space="preserve"> </w:t>
            </w:r>
            <w:r w:rsidRPr="00981405">
              <w:t>obligations</w:t>
            </w:r>
            <w:r w:rsidR="00B12370"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53</w:t>
            </w:r>
          </w:p>
        </w:tc>
      </w:tr>
      <w:tr w:rsidR="00FD2584" w:rsidRPr="00981405" w:rsidTr="00DE618E">
        <w:trPr>
          <w:gridAfter w:val="1"/>
          <w:wAfter w:w="129" w:type="dxa"/>
        </w:trPr>
        <w:tc>
          <w:tcPr>
            <w:tcW w:w="9369" w:type="dxa"/>
            <w:gridSpan w:val="3"/>
            <w:shd w:val="clear" w:color="auto" w:fill="auto"/>
          </w:tcPr>
          <w:p w:rsidR="00FD2584" w:rsidRPr="00981405" w:rsidRDefault="00FD2584"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00B12370" w:rsidRPr="00981405">
              <w:tab/>
            </w:r>
            <w:r w:rsidRPr="00981405">
              <w:t>Commentary</w:t>
            </w:r>
            <w:r w:rsidR="00B12370"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53</w:t>
            </w:r>
          </w:p>
        </w:tc>
      </w:tr>
      <w:tr w:rsidR="00FD2584" w:rsidRPr="00981405" w:rsidTr="00DE618E">
        <w:trPr>
          <w:gridAfter w:val="1"/>
          <w:wAfter w:w="129" w:type="dxa"/>
        </w:trPr>
        <w:tc>
          <w:tcPr>
            <w:tcW w:w="9369" w:type="dxa"/>
            <w:gridSpan w:val="3"/>
            <w:shd w:val="clear" w:color="auto" w:fill="auto"/>
          </w:tcPr>
          <w:p w:rsidR="00FD2584" w:rsidRPr="00981405" w:rsidRDefault="00B12370"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Article</w:t>
            </w:r>
            <w:r w:rsidR="00190923" w:rsidRPr="00981405">
              <w:t xml:space="preserve"> </w:t>
            </w:r>
            <w:r w:rsidRPr="00981405">
              <w:t>3</w:t>
            </w:r>
            <w:r w:rsidRPr="00981405">
              <w:tab/>
            </w:r>
            <w:r w:rsidRPr="00981405">
              <w:tab/>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56</w:t>
            </w:r>
          </w:p>
        </w:tc>
      </w:tr>
      <w:tr w:rsidR="00FD2584" w:rsidRPr="00981405" w:rsidTr="00DE618E">
        <w:trPr>
          <w:gridAfter w:val="1"/>
          <w:wAfter w:w="129" w:type="dxa"/>
        </w:trPr>
        <w:tc>
          <w:tcPr>
            <w:tcW w:w="9369" w:type="dxa"/>
            <w:gridSpan w:val="3"/>
            <w:shd w:val="clear" w:color="auto" w:fill="auto"/>
          </w:tcPr>
          <w:p w:rsidR="00FD2584" w:rsidRPr="00981405" w:rsidRDefault="00B12370"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Pr="00981405">
              <w:tab/>
              <w:t>Commentary</w:t>
            </w:r>
            <w:r w:rsidRPr="00981405">
              <w:rPr>
                <w:spacing w:val="60"/>
                <w:sz w:val="17"/>
              </w:rPr>
              <w:tab/>
            </w:r>
          </w:p>
        </w:tc>
        <w:tc>
          <w:tcPr>
            <w:tcW w:w="533" w:type="dxa"/>
            <w:shd w:val="clear" w:color="auto" w:fill="auto"/>
            <w:vAlign w:val="bottom"/>
          </w:tcPr>
          <w:p w:rsidR="00FD2584" w:rsidRPr="00981405" w:rsidRDefault="00A543BB" w:rsidP="00DE618E">
            <w:pPr>
              <w:spacing w:after="120"/>
              <w:jc w:val="right"/>
            </w:pPr>
            <w:r w:rsidRPr="00981405">
              <w:t>58</w:t>
            </w:r>
          </w:p>
        </w:tc>
      </w:tr>
      <w:tr w:rsidR="00FD2584" w:rsidRPr="00981405" w:rsidTr="00DE618E">
        <w:trPr>
          <w:gridAfter w:val="1"/>
          <w:wAfter w:w="129" w:type="dxa"/>
        </w:trPr>
        <w:tc>
          <w:tcPr>
            <w:tcW w:w="9369" w:type="dxa"/>
            <w:gridSpan w:val="3"/>
            <w:shd w:val="clear" w:color="auto" w:fill="auto"/>
          </w:tcPr>
          <w:p w:rsidR="00FD2584" w:rsidRPr="00981405" w:rsidRDefault="00B12370"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Article</w:t>
            </w:r>
            <w:r w:rsidR="00190923" w:rsidRPr="00981405">
              <w:t xml:space="preserve"> </w:t>
            </w:r>
            <w:r w:rsidRPr="00981405">
              <w:t>4</w:t>
            </w:r>
            <w:r w:rsidRPr="00981405">
              <w:tab/>
            </w:r>
            <w:r w:rsidRPr="00981405">
              <w:tab/>
              <w:t>Obligation</w:t>
            </w:r>
            <w:r w:rsidR="00190923" w:rsidRPr="00981405">
              <w:t xml:space="preserve"> </w:t>
            </w:r>
            <w:r w:rsidRPr="00981405">
              <w:t>of</w:t>
            </w:r>
            <w:r w:rsidR="00190923" w:rsidRPr="00981405">
              <w:t xml:space="preserve"> </w:t>
            </w:r>
            <w:r w:rsidRPr="00981405">
              <w:t>Prevention</w:t>
            </w:r>
            <w:r w:rsidRPr="00981405">
              <w:rPr>
                <w:spacing w:val="60"/>
                <w:sz w:val="17"/>
              </w:rPr>
              <w:tab/>
            </w:r>
          </w:p>
        </w:tc>
        <w:tc>
          <w:tcPr>
            <w:tcW w:w="533" w:type="dxa"/>
            <w:shd w:val="clear" w:color="auto" w:fill="auto"/>
            <w:vAlign w:val="bottom"/>
          </w:tcPr>
          <w:p w:rsidR="00FD2584" w:rsidRPr="00981405" w:rsidRDefault="00260557" w:rsidP="00090753">
            <w:pPr>
              <w:spacing w:after="120"/>
              <w:jc w:val="right"/>
            </w:pPr>
            <w:r w:rsidRPr="00981405">
              <w:t>7</w:t>
            </w:r>
            <w:r w:rsidR="00090753">
              <w:t>3</w:t>
            </w:r>
          </w:p>
        </w:tc>
      </w:tr>
      <w:tr w:rsidR="00FD2584" w:rsidRPr="00981405" w:rsidTr="00DE618E">
        <w:trPr>
          <w:gridAfter w:val="1"/>
          <w:wAfter w:w="129" w:type="dxa"/>
        </w:trPr>
        <w:tc>
          <w:tcPr>
            <w:tcW w:w="9369" w:type="dxa"/>
            <w:gridSpan w:val="3"/>
            <w:shd w:val="clear" w:color="auto" w:fill="auto"/>
          </w:tcPr>
          <w:p w:rsidR="00FD2584" w:rsidRPr="00981405" w:rsidRDefault="00B12370" w:rsidP="00D97463">
            <w:pPr>
              <w:keepNext/>
              <w:keepLines/>
              <w:tabs>
                <w:tab w:val="right" w:pos="1080"/>
                <w:tab w:val="left" w:pos="1296"/>
                <w:tab w:val="right" w:pos="1714"/>
                <w:tab w:val="left" w:pos="2160"/>
                <w:tab w:val="left" w:pos="3024"/>
                <w:tab w:val="left" w:pos="3456"/>
                <w:tab w:val="left" w:pos="3940"/>
                <w:tab w:val="right" w:leader="dot" w:pos="9360"/>
              </w:tabs>
              <w:spacing w:after="120"/>
              <w:ind w:left="2160"/>
            </w:pPr>
            <w:r w:rsidRPr="00981405">
              <w:tab/>
            </w:r>
            <w:r w:rsidRPr="00981405">
              <w:tab/>
              <w:t>Commentary</w:t>
            </w:r>
            <w:r w:rsidRPr="00981405">
              <w:rPr>
                <w:spacing w:val="60"/>
                <w:sz w:val="17"/>
              </w:rPr>
              <w:tab/>
            </w:r>
          </w:p>
        </w:tc>
        <w:tc>
          <w:tcPr>
            <w:tcW w:w="533" w:type="dxa"/>
            <w:shd w:val="clear" w:color="auto" w:fill="auto"/>
            <w:vAlign w:val="bottom"/>
          </w:tcPr>
          <w:p w:rsidR="00FD2584" w:rsidRPr="00981405" w:rsidRDefault="00260557" w:rsidP="00DE618E">
            <w:pPr>
              <w:spacing w:after="120"/>
              <w:jc w:val="right"/>
            </w:pPr>
            <w:r w:rsidRPr="00981405">
              <w:t>73</w:t>
            </w:r>
          </w:p>
        </w:tc>
      </w:tr>
      <w:tr w:rsidR="00FD2584" w:rsidRPr="00981405" w:rsidTr="00DE618E">
        <w:trPr>
          <w:gridAfter w:val="1"/>
          <w:wAfter w:w="129" w:type="dxa"/>
        </w:trPr>
        <w:tc>
          <w:tcPr>
            <w:tcW w:w="9369" w:type="dxa"/>
            <w:gridSpan w:val="3"/>
            <w:shd w:val="clear" w:color="auto" w:fill="auto"/>
          </w:tcPr>
          <w:p w:rsidR="00FD2584" w:rsidRPr="00981405" w:rsidRDefault="00B12370" w:rsidP="00D97463">
            <w:pPr>
              <w:numPr>
                <w:ilvl w:val="0"/>
                <w:numId w:val="6"/>
              </w:numPr>
              <w:tabs>
                <w:tab w:val="right" w:pos="1080"/>
                <w:tab w:val="left" w:pos="1296"/>
                <w:tab w:val="left" w:pos="1728"/>
                <w:tab w:val="right" w:leader="dot" w:pos="9360"/>
              </w:tabs>
              <w:spacing w:after="120"/>
            </w:pP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00951308" w:rsidRPr="00981405">
              <w:t>interpretation</w:t>
            </w:r>
            <w:r w:rsidR="00190923" w:rsidRPr="00981405">
              <w:t xml:space="preserve"> </w:t>
            </w:r>
            <w:r w:rsidR="00202627">
              <w:br/>
            </w:r>
            <w:r w:rsidRPr="00981405">
              <w:t>of</w:t>
            </w:r>
            <w:r w:rsidR="00190923" w:rsidRPr="00981405">
              <w:t xml:space="preserve"> </w:t>
            </w:r>
            <w:r w:rsidRPr="00981405">
              <w:t>treaties</w:t>
            </w:r>
            <w:r w:rsidR="00202627">
              <w:rPr>
                <w:spacing w:val="60"/>
                <w:sz w:val="17"/>
              </w:rPr>
              <w:tab/>
            </w:r>
          </w:p>
        </w:tc>
        <w:tc>
          <w:tcPr>
            <w:tcW w:w="533" w:type="dxa"/>
            <w:shd w:val="clear" w:color="auto" w:fill="auto"/>
            <w:vAlign w:val="bottom"/>
          </w:tcPr>
          <w:p w:rsidR="00FD2584" w:rsidRPr="00981405" w:rsidRDefault="00260557" w:rsidP="00DE618E">
            <w:pPr>
              <w:spacing w:after="120"/>
              <w:jc w:val="right"/>
            </w:pPr>
            <w:r w:rsidRPr="00981405">
              <w:t>84</w:t>
            </w:r>
          </w:p>
        </w:tc>
      </w:tr>
      <w:tr w:rsidR="00FD2584" w:rsidRPr="00981405" w:rsidTr="00DE618E">
        <w:trPr>
          <w:gridAfter w:val="1"/>
          <w:wAfter w:w="129" w:type="dxa"/>
        </w:trPr>
        <w:tc>
          <w:tcPr>
            <w:tcW w:w="9369" w:type="dxa"/>
            <w:gridSpan w:val="3"/>
            <w:shd w:val="clear" w:color="auto" w:fill="auto"/>
          </w:tcPr>
          <w:p w:rsidR="00FD2584" w:rsidRPr="00981405" w:rsidRDefault="00B12370" w:rsidP="00D97463">
            <w:pPr>
              <w:numPr>
                <w:ilvl w:val="1"/>
                <w:numId w:val="6"/>
              </w:numPr>
              <w:tabs>
                <w:tab w:val="right" w:pos="1080"/>
                <w:tab w:val="left" w:pos="1296"/>
                <w:tab w:val="left" w:pos="1728"/>
                <w:tab w:val="left" w:pos="2160"/>
                <w:tab w:val="left" w:pos="2592"/>
                <w:tab w:val="right" w:leader="dot" w:pos="9360"/>
              </w:tabs>
              <w:spacing w:after="120"/>
            </w:pPr>
            <w:r w:rsidRPr="00981405">
              <w:lastRenderedPageBreak/>
              <w:t>Introduction</w:t>
            </w:r>
            <w:r w:rsidRPr="00981405">
              <w:rPr>
                <w:spacing w:val="60"/>
                <w:sz w:val="17"/>
              </w:rPr>
              <w:tab/>
            </w:r>
          </w:p>
        </w:tc>
        <w:tc>
          <w:tcPr>
            <w:tcW w:w="533" w:type="dxa"/>
            <w:shd w:val="clear" w:color="auto" w:fill="auto"/>
            <w:vAlign w:val="bottom"/>
          </w:tcPr>
          <w:p w:rsidR="00FD2584" w:rsidRPr="00981405" w:rsidRDefault="00260557" w:rsidP="00DE618E">
            <w:pPr>
              <w:spacing w:after="120"/>
              <w:jc w:val="right"/>
            </w:pPr>
            <w:r w:rsidRPr="00981405">
              <w:t>84</w:t>
            </w:r>
          </w:p>
        </w:tc>
      </w:tr>
      <w:tr w:rsidR="00B12370" w:rsidRPr="00981405" w:rsidTr="00DE618E">
        <w:trPr>
          <w:gridAfter w:val="1"/>
          <w:wAfter w:w="129" w:type="dxa"/>
        </w:trPr>
        <w:tc>
          <w:tcPr>
            <w:tcW w:w="9369" w:type="dxa"/>
            <w:gridSpan w:val="3"/>
            <w:shd w:val="clear" w:color="auto" w:fill="auto"/>
          </w:tcPr>
          <w:p w:rsidR="00B12370" w:rsidRPr="00981405" w:rsidRDefault="00B12370"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85</w:t>
            </w:r>
          </w:p>
        </w:tc>
      </w:tr>
      <w:tr w:rsidR="00B12370" w:rsidRPr="00981405" w:rsidTr="00DE618E">
        <w:trPr>
          <w:gridAfter w:val="1"/>
          <w:wAfter w:w="129" w:type="dxa"/>
        </w:trPr>
        <w:tc>
          <w:tcPr>
            <w:tcW w:w="9369" w:type="dxa"/>
            <w:gridSpan w:val="3"/>
            <w:shd w:val="clear" w:color="auto" w:fill="auto"/>
          </w:tcPr>
          <w:p w:rsidR="00B12370" w:rsidRPr="00981405" w:rsidRDefault="00B12370" w:rsidP="00D97463">
            <w:pPr>
              <w:numPr>
                <w:ilvl w:val="1"/>
                <w:numId w:val="6"/>
              </w:numPr>
              <w:tabs>
                <w:tab w:val="right" w:pos="1080"/>
                <w:tab w:val="left" w:pos="1296"/>
                <w:tab w:val="left" w:pos="1728"/>
                <w:tab w:val="left" w:pos="2160"/>
                <w:tab w:val="left" w:pos="2592"/>
                <w:tab w:val="left" w:pos="3024"/>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on</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00B152B3">
              <w:br/>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provisionally</w:t>
            </w:r>
            <w:r w:rsidR="00190923" w:rsidRPr="00981405">
              <w:t xml:space="preserve"> </w:t>
            </w:r>
            <w:r w:rsidRPr="00981405">
              <w:t>adopted</w:t>
            </w:r>
            <w:r w:rsidR="00190923" w:rsidRPr="00981405">
              <w:t xml:space="preserve"> </w:t>
            </w:r>
            <w:r w:rsidR="00B152B3">
              <w:br/>
            </w:r>
            <w:r w:rsidRPr="00981405">
              <w:t>so</w:t>
            </w:r>
            <w:r w:rsidR="00190923" w:rsidRPr="00981405">
              <w:t xml:space="preserve"> </w:t>
            </w:r>
            <w:r w:rsidRPr="00981405">
              <w:t>far</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530F1C"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86</w:t>
            </w:r>
          </w:p>
        </w:tc>
      </w:tr>
      <w:tr w:rsidR="00B12370" w:rsidRPr="00981405" w:rsidTr="00DE618E">
        <w:trPr>
          <w:gridAfter w:val="1"/>
          <w:wAfter w:w="129" w:type="dxa"/>
        </w:trPr>
        <w:tc>
          <w:tcPr>
            <w:tcW w:w="9369" w:type="dxa"/>
            <w:gridSpan w:val="3"/>
            <w:shd w:val="clear" w:color="auto" w:fill="auto"/>
          </w:tcPr>
          <w:p w:rsidR="00B12370" w:rsidRPr="00981405" w:rsidRDefault="00B12370"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86</w:t>
            </w:r>
          </w:p>
        </w:tc>
      </w:tr>
      <w:tr w:rsidR="00B12370" w:rsidRPr="00981405" w:rsidTr="00DE618E">
        <w:trPr>
          <w:gridAfter w:val="1"/>
          <w:wAfter w:w="129" w:type="dxa"/>
        </w:trPr>
        <w:tc>
          <w:tcPr>
            <w:tcW w:w="9369" w:type="dxa"/>
            <w:gridSpan w:val="3"/>
            <w:shd w:val="clear" w:color="auto" w:fill="auto"/>
          </w:tcPr>
          <w:p w:rsidR="00B12370" w:rsidRPr="00981405" w:rsidRDefault="00B12370"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and</w:t>
            </w:r>
            <w:r w:rsidR="00190923" w:rsidRPr="00981405">
              <w:t xml:space="preserve"> </w:t>
            </w:r>
            <w:r w:rsidRPr="00981405">
              <w:t>commentary</w:t>
            </w:r>
            <w:r w:rsidR="00190923" w:rsidRPr="00981405">
              <w:t xml:space="preserve"> </w:t>
            </w:r>
            <w:r w:rsidRPr="00981405">
              <w:t>thereto</w:t>
            </w:r>
            <w:r w:rsidR="00190923" w:rsidRPr="00981405">
              <w:t xml:space="preserve"> </w:t>
            </w:r>
            <w:r w:rsidRPr="00981405">
              <w:t>provisionally</w:t>
            </w:r>
            <w:r w:rsidR="00190923" w:rsidRPr="00981405">
              <w:t xml:space="preserve"> </w:t>
            </w:r>
            <w:r w:rsidRPr="00981405">
              <w:t>adopted</w:t>
            </w:r>
            <w:r w:rsidR="00190923" w:rsidRPr="00981405">
              <w:t xml:space="preserve"> </w:t>
            </w:r>
            <w:r w:rsidR="00B152B3">
              <w:br/>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89</w:t>
            </w:r>
          </w:p>
        </w:tc>
      </w:tr>
      <w:tr w:rsidR="00B12370" w:rsidRPr="00981405" w:rsidTr="00DE618E">
        <w:trPr>
          <w:gridAfter w:val="1"/>
          <w:wAfter w:w="129" w:type="dxa"/>
        </w:trPr>
        <w:tc>
          <w:tcPr>
            <w:tcW w:w="9369" w:type="dxa"/>
            <w:gridSpan w:val="3"/>
            <w:shd w:val="clear" w:color="auto" w:fill="auto"/>
          </w:tcPr>
          <w:p w:rsidR="00B12370" w:rsidRPr="00D97463" w:rsidRDefault="00B12370" w:rsidP="00D97463">
            <w:pPr>
              <w:keepNext/>
              <w:keepLines/>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ind w:left="2160"/>
              <w:rPr>
                <w:spacing w:val="60"/>
                <w:sz w:val="17"/>
              </w:rPr>
            </w:pPr>
            <w:r w:rsidRPr="00981405">
              <w:t>Conclusion</w:t>
            </w:r>
            <w:r w:rsidR="00190923" w:rsidRPr="00981405">
              <w:t xml:space="preserve"> </w:t>
            </w:r>
            <w:r w:rsidRPr="00981405">
              <w:t>11</w:t>
            </w:r>
            <w:r w:rsidRPr="00981405">
              <w:tab/>
            </w:r>
            <w:r w:rsidRPr="00981405">
              <w:tab/>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00E55F78" w:rsidRPr="00981405">
              <w:t>organizations</w:t>
            </w:r>
            <w:r w:rsidR="003F07B8"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89</w:t>
            </w:r>
          </w:p>
        </w:tc>
      </w:tr>
      <w:tr w:rsidR="00B12370" w:rsidRPr="00981405" w:rsidTr="00DE618E">
        <w:trPr>
          <w:gridAfter w:val="1"/>
          <w:wAfter w:w="129" w:type="dxa"/>
        </w:trPr>
        <w:tc>
          <w:tcPr>
            <w:tcW w:w="9369" w:type="dxa"/>
            <w:gridSpan w:val="3"/>
            <w:shd w:val="clear" w:color="auto" w:fill="auto"/>
          </w:tcPr>
          <w:p w:rsidR="00B12370" w:rsidRPr="00981405" w:rsidRDefault="00B12370" w:rsidP="00D97463">
            <w:pPr>
              <w:keepNext/>
              <w:keepLines/>
              <w:tabs>
                <w:tab w:val="right" w:pos="1080"/>
                <w:tab w:val="left" w:pos="1296"/>
                <w:tab w:val="right" w:pos="1714"/>
                <w:tab w:val="left" w:pos="2160"/>
                <w:tab w:val="left" w:pos="3024"/>
                <w:tab w:val="left" w:pos="3456"/>
                <w:tab w:val="left" w:pos="3870"/>
                <w:tab w:val="right" w:leader="dot" w:pos="9360"/>
              </w:tabs>
              <w:spacing w:after="120"/>
              <w:ind w:left="2160"/>
            </w:pPr>
            <w:r w:rsidRPr="00981405">
              <w:tab/>
            </w:r>
            <w:r w:rsidRPr="00981405">
              <w:tab/>
            </w:r>
            <w:r w:rsidRPr="00981405">
              <w:tab/>
              <w:t>Commentary</w:t>
            </w:r>
            <w:r w:rsidR="003F07B8"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89</w:t>
            </w:r>
          </w:p>
        </w:tc>
      </w:tr>
      <w:tr w:rsidR="00B12370" w:rsidRPr="00981405" w:rsidTr="00DE618E">
        <w:trPr>
          <w:gridAfter w:val="1"/>
          <w:wAfter w:w="129" w:type="dxa"/>
        </w:trPr>
        <w:tc>
          <w:tcPr>
            <w:tcW w:w="9369" w:type="dxa"/>
            <w:gridSpan w:val="3"/>
            <w:shd w:val="clear" w:color="auto" w:fill="auto"/>
          </w:tcPr>
          <w:p w:rsidR="00B12370" w:rsidRPr="00981405" w:rsidRDefault="003F07B8" w:rsidP="00D97463">
            <w:pPr>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ab/>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r w:rsidRPr="00981405">
              <w:rPr>
                <w:spacing w:val="60"/>
                <w:sz w:val="17"/>
              </w:rPr>
              <w:tab/>
            </w:r>
          </w:p>
        </w:tc>
        <w:tc>
          <w:tcPr>
            <w:tcW w:w="533" w:type="dxa"/>
            <w:shd w:val="clear" w:color="auto" w:fill="auto"/>
            <w:vAlign w:val="bottom"/>
          </w:tcPr>
          <w:p w:rsidR="00B12370" w:rsidRPr="00981405" w:rsidRDefault="00260557" w:rsidP="00DE618E">
            <w:pPr>
              <w:spacing w:after="120"/>
              <w:jc w:val="right"/>
            </w:pPr>
            <w:r w:rsidRPr="00981405">
              <w:t>104</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104</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104</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Introduction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106</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2"/>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debate</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107</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General</w:t>
            </w:r>
            <w:r w:rsidR="00190923" w:rsidRPr="00981405">
              <w:t xml:space="preserve"> </w:t>
            </w:r>
            <w:r w:rsidRPr="00981405">
              <w:t>comments</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107</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right" w:leader="dot" w:pos="9360"/>
              </w:tabs>
              <w:spacing w:after="120"/>
            </w:pPr>
            <w:r w:rsidRPr="00981405">
              <w:t>Scope</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109</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right" w:leader="dot" w:pos="9360"/>
              </w:tabs>
              <w:spacing w:after="120"/>
            </w:pPr>
            <w:r w:rsidRPr="00981405">
              <w:t>Purpose</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110</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right" w:leader="dot" w:pos="9360"/>
              </w:tabs>
              <w:spacing w:after="120"/>
            </w:pPr>
            <w:r w:rsidRPr="00981405">
              <w:t>Use</w:t>
            </w:r>
            <w:r w:rsidR="00190923" w:rsidRPr="00981405">
              <w:t xml:space="preserve"> </w:t>
            </w:r>
            <w:r w:rsidRPr="00981405">
              <w:t>of</w:t>
            </w:r>
            <w:r w:rsidR="00190923" w:rsidRPr="00981405">
              <w:t xml:space="preserve"> </w:t>
            </w:r>
            <w:r w:rsidRPr="00981405">
              <w:t>terms</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110</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Draft</w:t>
            </w:r>
            <w:r w:rsidR="00190923" w:rsidRPr="00981405">
              <w:t xml:space="preserve"> </w:t>
            </w:r>
            <w:r w:rsidRPr="00981405">
              <w:t>principle</w:t>
            </w:r>
            <w:r w:rsidR="00190923" w:rsidRPr="00981405">
              <w:t xml:space="preserve"> </w:t>
            </w:r>
            <w:r w:rsidRPr="00981405">
              <w:t>1</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110</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Draft</w:t>
            </w:r>
            <w:r w:rsidR="00190923" w:rsidRPr="00981405">
              <w:t xml:space="preserve"> </w:t>
            </w:r>
            <w:r w:rsidRPr="00981405">
              <w:t>principle</w:t>
            </w:r>
            <w:r w:rsidR="00190923" w:rsidRPr="00981405">
              <w:t xml:space="preserve"> </w:t>
            </w:r>
            <w:r w:rsidRPr="00981405">
              <w:t>2</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111</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Draft</w:t>
            </w:r>
            <w:r w:rsidR="00190923" w:rsidRPr="00981405">
              <w:t xml:space="preserve"> </w:t>
            </w:r>
            <w:r w:rsidRPr="00981405">
              <w:t>principle</w:t>
            </w:r>
            <w:r w:rsidR="00190923" w:rsidRPr="00981405">
              <w:t xml:space="preserve"> </w:t>
            </w:r>
            <w:r w:rsidRPr="00981405">
              <w:t>3</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111</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Draft</w:t>
            </w:r>
            <w:r w:rsidR="00190923" w:rsidRPr="00981405">
              <w:t xml:space="preserve"> </w:t>
            </w:r>
            <w:r w:rsidRPr="00981405">
              <w:t>principle</w:t>
            </w:r>
            <w:r w:rsidR="00190923" w:rsidRPr="00981405">
              <w:t xml:space="preserve"> </w:t>
            </w:r>
            <w:r w:rsidRPr="00981405">
              <w:t>4</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112</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Draft</w:t>
            </w:r>
            <w:r w:rsidR="00190923" w:rsidRPr="00981405">
              <w:t xml:space="preserve"> </w:t>
            </w:r>
            <w:r w:rsidRPr="00981405">
              <w:t>principle</w:t>
            </w:r>
            <w:r w:rsidR="00190923" w:rsidRPr="00981405">
              <w:t xml:space="preserve"> </w:t>
            </w:r>
            <w:r w:rsidRPr="00981405">
              <w:t>5</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112</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81405">
              <w:t>Future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Pr="00981405">
              <w:rPr>
                <w:spacing w:val="60"/>
                <w:sz w:val="17"/>
              </w:rPr>
              <w:tab/>
            </w:r>
          </w:p>
        </w:tc>
        <w:tc>
          <w:tcPr>
            <w:tcW w:w="533" w:type="dxa"/>
            <w:shd w:val="clear" w:color="auto" w:fill="auto"/>
            <w:vAlign w:val="bottom"/>
          </w:tcPr>
          <w:p w:rsidR="003F07B8" w:rsidRPr="00981405" w:rsidRDefault="00260557">
            <w:pPr>
              <w:spacing w:after="120"/>
              <w:jc w:val="right"/>
            </w:pPr>
            <w:r w:rsidRPr="00981405">
              <w:t>113</w:t>
            </w:r>
          </w:p>
        </w:tc>
      </w:tr>
      <w:tr w:rsidR="003F07B8" w:rsidRPr="00981405" w:rsidTr="00DE618E">
        <w:trPr>
          <w:gridAfter w:val="1"/>
          <w:wAfter w:w="129" w:type="dxa"/>
        </w:trPr>
        <w:tc>
          <w:tcPr>
            <w:tcW w:w="9369" w:type="dxa"/>
            <w:gridSpan w:val="3"/>
            <w:shd w:val="clear" w:color="auto" w:fill="auto"/>
          </w:tcPr>
          <w:p w:rsidR="003F07B8" w:rsidRPr="00981405" w:rsidRDefault="003F07B8"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Concluding</w:t>
            </w:r>
            <w:r w:rsidR="00190923" w:rsidRPr="00981405">
              <w:t xml:space="preserve"> </w:t>
            </w:r>
            <w:r w:rsidRPr="00981405">
              <w:t>remarks</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113</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981405">
              <w:tab/>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115</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115</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116</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Introduction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117</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2"/>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debate</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120</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General</w:t>
            </w:r>
            <w:r w:rsidR="00190923" w:rsidRPr="00981405">
              <w:t xml:space="preserve"> </w:t>
            </w:r>
            <w:r w:rsidRPr="00981405">
              <w:t>comments</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120</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3"/>
                <w:numId w:val="6"/>
              </w:numPr>
              <w:tabs>
                <w:tab w:val="right" w:pos="1080"/>
                <w:tab w:val="left" w:pos="1296"/>
                <w:tab w:val="left" w:pos="1728"/>
                <w:tab w:val="left" w:pos="2160"/>
                <w:tab w:val="left" w:pos="2592"/>
                <w:tab w:val="left" w:pos="3024"/>
                <w:tab w:val="left" w:pos="3456"/>
                <w:tab w:val="right" w:leader="dot" w:pos="9360"/>
              </w:tabs>
              <w:spacing w:after="120"/>
            </w:pPr>
            <w:r w:rsidRPr="00981405">
              <w:t>Methodology</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122</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pP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(f):</w:t>
            </w:r>
            <w:r w:rsidR="00B92E2C" w:rsidRPr="00981405">
              <w:t xml:space="preserve"> </w:t>
            </w:r>
            <w:r w:rsidRPr="00981405">
              <w:t>Definition</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123</w:t>
            </w:r>
          </w:p>
        </w:tc>
      </w:tr>
      <w:tr w:rsidR="003F07B8" w:rsidRPr="00981405" w:rsidTr="00DE618E">
        <w:trPr>
          <w:gridAfter w:val="1"/>
          <w:wAfter w:w="129" w:type="dxa"/>
        </w:trPr>
        <w:tc>
          <w:tcPr>
            <w:tcW w:w="9369" w:type="dxa"/>
            <w:gridSpan w:val="3"/>
            <w:shd w:val="clear" w:color="auto" w:fill="auto"/>
          </w:tcPr>
          <w:p w:rsidR="003F07B8" w:rsidRPr="00981405" w:rsidRDefault="00B92E2C" w:rsidP="00D97463">
            <w:pPr>
              <w:numPr>
                <w:ilvl w:val="4"/>
                <w:numId w:val="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981405">
              <w:t>“</w:t>
            </w:r>
            <w:r w:rsidR="0037751B" w:rsidRPr="00981405">
              <w:t>Act</w:t>
            </w:r>
            <w:r w:rsidR="00190923" w:rsidRPr="00981405">
              <w:t xml:space="preserve"> </w:t>
            </w:r>
            <w:r w:rsidR="0037751B" w:rsidRPr="00981405">
              <w:t>performed</w:t>
            </w:r>
            <w:r w:rsidR="00190923" w:rsidRPr="00981405">
              <w:t xml:space="preserve"> </w:t>
            </w:r>
            <w:r w:rsidR="0037751B" w:rsidRPr="00981405">
              <w:t>in</w:t>
            </w:r>
            <w:r w:rsidR="00190923" w:rsidRPr="00981405">
              <w:t xml:space="preserve"> </w:t>
            </w:r>
            <w:r w:rsidR="0037751B" w:rsidRPr="00981405">
              <w:t>an</w:t>
            </w:r>
            <w:r w:rsidR="00190923" w:rsidRPr="00981405">
              <w:t xml:space="preserve"> </w:t>
            </w:r>
            <w:r w:rsidR="0037751B" w:rsidRPr="00981405">
              <w:t>official</w:t>
            </w:r>
            <w:r w:rsidR="00190923" w:rsidRPr="00981405">
              <w:t xml:space="preserve"> </w:t>
            </w:r>
            <w:r w:rsidR="0037751B" w:rsidRPr="00981405">
              <w:t>capacity</w:t>
            </w:r>
            <w:r w:rsidRPr="00981405">
              <w:t>”</w:t>
            </w:r>
            <w:r w:rsidR="00190923" w:rsidRPr="00981405">
              <w:t xml:space="preserve"> </w:t>
            </w:r>
            <w:r w:rsidR="0037751B" w:rsidRPr="00981405">
              <w:t>versus</w:t>
            </w:r>
            <w:r w:rsidR="00190923" w:rsidRPr="00981405">
              <w:t xml:space="preserve"> </w:t>
            </w:r>
            <w:r w:rsidRPr="00981405">
              <w:t>“</w:t>
            </w:r>
            <w:r w:rsidR="0037751B" w:rsidRPr="00981405">
              <w:t>act</w:t>
            </w:r>
            <w:r w:rsidR="00190923" w:rsidRPr="00981405">
              <w:t xml:space="preserve"> </w:t>
            </w:r>
            <w:r w:rsidR="0037751B" w:rsidRPr="00981405">
              <w:t>performed</w:t>
            </w:r>
            <w:r w:rsidR="00190923" w:rsidRPr="00981405">
              <w:t xml:space="preserve"> </w:t>
            </w:r>
            <w:r w:rsidR="0037751B" w:rsidRPr="00981405">
              <w:t>in</w:t>
            </w:r>
            <w:r w:rsidR="00190923" w:rsidRPr="00981405">
              <w:t xml:space="preserve"> </w:t>
            </w:r>
            <w:r w:rsidR="0037751B" w:rsidRPr="00981405">
              <w:t>a</w:t>
            </w:r>
            <w:r w:rsidR="00190923" w:rsidRPr="00981405">
              <w:t xml:space="preserve"> </w:t>
            </w:r>
            <w:r w:rsidR="0037751B" w:rsidRPr="00981405">
              <w:t>private</w:t>
            </w:r>
            <w:r w:rsidR="00190923" w:rsidRPr="00981405">
              <w:t xml:space="preserve"> </w:t>
            </w:r>
            <w:r w:rsidR="0037751B" w:rsidRPr="00981405">
              <w:t>capacity</w:t>
            </w:r>
            <w:r w:rsidRPr="00981405">
              <w:t>”</w:t>
            </w:r>
            <w:r w:rsidR="0037751B"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123</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4"/>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Criminal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123</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4"/>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lastRenderedPageBreak/>
              <w:t>Attribution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125</w:t>
            </w:r>
          </w:p>
        </w:tc>
      </w:tr>
      <w:tr w:rsidR="003F07B8" w:rsidRPr="00981405" w:rsidTr="00DE618E">
        <w:trPr>
          <w:gridAfter w:val="1"/>
          <w:wAfter w:w="129" w:type="dxa"/>
        </w:trPr>
        <w:tc>
          <w:tcPr>
            <w:tcW w:w="9369" w:type="dxa"/>
            <w:gridSpan w:val="3"/>
            <w:shd w:val="clear" w:color="auto" w:fill="auto"/>
          </w:tcPr>
          <w:p w:rsidR="003F07B8" w:rsidRPr="00981405" w:rsidRDefault="0037751B" w:rsidP="00D97463">
            <w:pPr>
              <w:numPr>
                <w:ilvl w:val="4"/>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pPr>
            <w:r w:rsidRPr="00981405">
              <w:t>Sovereignty</w:t>
            </w:r>
            <w:r w:rsidR="00190923" w:rsidRPr="00981405">
              <w:t xml:space="preserve"> </w:t>
            </w:r>
            <w:r w:rsidRPr="00981405">
              <w:t>and</w:t>
            </w:r>
            <w:r w:rsidR="00190923" w:rsidRPr="00981405">
              <w:t xml:space="preserve"> </w:t>
            </w:r>
            <w:r w:rsidRPr="00981405">
              <w:t>exercise</w:t>
            </w:r>
            <w:r w:rsidR="00190923" w:rsidRPr="00981405">
              <w:t xml:space="preserve"> </w:t>
            </w:r>
            <w:r w:rsidRPr="00981405">
              <w:t>of</w:t>
            </w:r>
            <w:r w:rsidR="00190923" w:rsidRPr="00981405">
              <w:t xml:space="preserve"> </w:t>
            </w:r>
            <w:r w:rsidRPr="00981405">
              <w:t>elements</w:t>
            </w:r>
            <w:r w:rsidR="00190923" w:rsidRPr="00981405">
              <w:t xml:space="preserve"> </w:t>
            </w:r>
            <w:r w:rsidRPr="00981405">
              <w:t>of</w:t>
            </w:r>
            <w:r w:rsidR="00190923" w:rsidRPr="00981405">
              <w:t xml:space="preserve"> </w:t>
            </w:r>
            <w:r w:rsidRPr="00981405">
              <w:t>the</w:t>
            </w:r>
            <w:r w:rsidR="00190923" w:rsidRPr="00981405">
              <w:t xml:space="preserve"> </w:t>
            </w:r>
            <w:r w:rsidRPr="00981405">
              <w:t>governmental</w:t>
            </w:r>
            <w:r w:rsidR="00190923" w:rsidRPr="00981405">
              <w:t xml:space="preserve"> </w:t>
            </w:r>
            <w:r w:rsidRPr="00981405">
              <w:t>authority</w:t>
            </w:r>
            <w:r w:rsidRPr="00981405">
              <w:rPr>
                <w:spacing w:val="60"/>
                <w:sz w:val="17"/>
              </w:rPr>
              <w:tab/>
            </w:r>
          </w:p>
        </w:tc>
        <w:tc>
          <w:tcPr>
            <w:tcW w:w="533" w:type="dxa"/>
            <w:shd w:val="clear" w:color="auto" w:fill="auto"/>
            <w:vAlign w:val="bottom"/>
          </w:tcPr>
          <w:p w:rsidR="003F07B8" w:rsidRPr="00981405" w:rsidRDefault="00260557" w:rsidP="00DE618E">
            <w:pPr>
              <w:spacing w:after="120"/>
              <w:jc w:val="right"/>
            </w:pPr>
            <w:r w:rsidRPr="00981405">
              <w:t>126</w:t>
            </w:r>
          </w:p>
        </w:tc>
      </w:tr>
      <w:tr w:rsidR="0037751B" w:rsidRPr="00981405" w:rsidTr="00DE618E">
        <w:trPr>
          <w:gridAfter w:val="1"/>
          <w:wAfter w:w="129" w:type="dxa"/>
        </w:trPr>
        <w:tc>
          <w:tcPr>
            <w:tcW w:w="9369" w:type="dxa"/>
            <w:gridSpan w:val="3"/>
            <w:shd w:val="clear" w:color="auto" w:fill="auto"/>
          </w:tcPr>
          <w:p w:rsidR="0037751B" w:rsidRPr="00981405" w:rsidRDefault="0037751B" w:rsidP="00D97463">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Draft</w:t>
            </w:r>
            <w:r w:rsidR="00190923" w:rsidRPr="00981405">
              <w:t xml:space="preserve"> </w:t>
            </w:r>
            <w:r w:rsidRPr="00981405">
              <w:t>article</w:t>
            </w:r>
            <w:r w:rsidR="00190923" w:rsidRPr="00981405">
              <w:t xml:space="preserve"> </w:t>
            </w:r>
            <w:r w:rsidRPr="00981405">
              <w:t>6:</w:t>
            </w:r>
            <w:r w:rsidR="00B92E2C"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003E5EB1" w:rsidRPr="00981405">
              <w:rPr>
                <w:i/>
                <w:iCs/>
              </w:rPr>
              <w:t>ratione</w:t>
            </w:r>
            <w:r w:rsidR="00190923" w:rsidRPr="00981405">
              <w:rPr>
                <w:i/>
                <w:iCs/>
              </w:rPr>
              <w:t xml:space="preserve"> </w:t>
            </w:r>
            <w:r w:rsidR="003E5EB1" w:rsidRPr="00981405">
              <w:rPr>
                <w:i/>
                <w:iCs/>
              </w:rPr>
              <w:t>materiae</w:t>
            </w:r>
            <w:r w:rsidRPr="00D97463">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127</w:t>
            </w:r>
          </w:p>
        </w:tc>
      </w:tr>
      <w:tr w:rsidR="0037751B" w:rsidRPr="00981405" w:rsidTr="00DE618E">
        <w:trPr>
          <w:gridAfter w:val="1"/>
          <w:wAfter w:w="129" w:type="dxa"/>
        </w:trPr>
        <w:tc>
          <w:tcPr>
            <w:tcW w:w="9369" w:type="dxa"/>
            <w:gridSpan w:val="3"/>
            <w:shd w:val="clear" w:color="auto" w:fill="auto"/>
          </w:tcPr>
          <w:p w:rsidR="0037751B" w:rsidRPr="00981405" w:rsidRDefault="0037751B"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Future</w:t>
            </w:r>
            <w:r w:rsidR="00190923" w:rsidRPr="00981405">
              <w:t xml:space="preserve"> </w:t>
            </w:r>
            <w:r w:rsidRPr="00981405">
              <w:t>work</w:t>
            </w:r>
            <w:r w:rsidR="00190923" w:rsidRPr="00981405">
              <w:t xml:space="preserve"> </w:t>
            </w:r>
            <w:r w:rsidRPr="00981405">
              <w:t>plan</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127</w:t>
            </w:r>
          </w:p>
        </w:tc>
      </w:tr>
      <w:tr w:rsidR="0037751B" w:rsidRPr="00981405" w:rsidTr="00DE618E">
        <w:trPr>
          <w:gridAfter w:val="1"/>
          <w:wAfter w:w="129" w:type="dxa"/>
        </w:trPr>
        <w:tc>
          <w:tcPr>
            <w:tcW w:w="9369" w:type="dxa"/>
            <w:gridSpan w:val="3"/>
            <w:shd w:val="clear" w:color="auto" w:fill="auto"/>
          </w:tcPr>
          <w:p w:rsidR="0037751B" w:rsidRPr="00981405" w:rsidRDefault="0037751B"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Concluding</w:t>
            </w:r>
            <w:r w:rsidR="00190923" w:rsidRPr="00981405">
              <w:t xml:space="preserve"> </w:t>
            </w:r>
            <w:r w:rsidRPr="00981405">
              <w:t>remarks</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127</w:t>
            </w:r>
          </w:p>
        </w:tc>
      </w:tr>
      <w:tr w:rsidR="0037751B" w:rsidRPr="00981405" w:rsidTr="00DE618E">
        <w:trPr>
          <w:gridAfter w:val="1"/>
          <w:wAfter w:w="129" w:type="dxa"/>
        </w:trPr>
        <w:tc>
          <w:tcPr>
            <w:tcW w:w="9369" w:type="dxa"/>
            <w:gridSpan w:val="3"/>
            <w:shd w:val="clear" w:color="auto" w:fill="auto"/>
          </w:tcPr>
          <w:p w:rsidR="0037751B" w:rsidRPr="00981405" w:rsidRDefault="0037751B" w:rsidP="00D97463">
            <w:pPr>
              <w:numPr>
                <w:ilvl w:val="0"/>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ab/>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E537AA"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130</w:t>
            </w:r>
          </w:p>
        </w:tc>
      </w:tr>
      <w:tr w:rsidR="0037751B" w:rsidRPr="00981405" w:rsidTr="00DE618E">
        <w:trPr>
          <w:gridAfter w:val="1"/>
          <w:wAfter w:w="129" w:type="dxa"/>
        </w:trPr>
        <w:tc>
          <w:tcPr>
            <w:tcW w:w="9369" w:type="dxa"/>
            <w:gridSpan w:val="3"/>
            <w:shd w:val="clear" w:color="auto" w:fill="auto"/>
          </w:tcPr>
          <w:p w:rsidR="0037751B" w:rsidRPr="00981405" w:rsidRDefault="0037751B" w:rsidP="00D97463">
            <w:pPr>
              <w:numPr>
                <w:ilvl w:val="1"/>
                <w:numId w:val="6"/>
              </w:numPr>
              <w:tabs>
                <w:tab w:val="right" w:pos="1080"/>
                <w:tab w:val="left" w:pos="1296"/>
                <w:tab w:val="left" w:pos="1728"/>
                <w:tab w:val="left" w:pos="2160"/>
                <w:tab w:val="left" w:pos="2592"/>
                <w:tab w:val="right" w:leader="dot" w:pos="9360"/>
              </w:tabs>
              <w:spacing w:after="120"/>
            </w:pPr>
            <w:r w:rsidRPr="00981405">
              <w:t>Introduction</w:t>
            </w:r>
            <w:r w:rsidR="00E537AA"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130</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130</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Introduction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131</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debate</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132</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3"/>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General</w:t>
            </w:r>
            <w:r w:rsidR="00190923" w:rsidRPr="00981405">
              <w:t xml:space="preserve"> </w:t>
            </w:r>
            <w:r w:rsidRPr="00981405">
              <w:t>remarks</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132</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pPr>
            <w:r w:rsidRPr="00981405">
              <w:t>Relationship</w:t>
            </w:r>
            <w:r w:rsidR="00190923" w:rsidRPr="00981405">
              <w:t xml:space="preserve"> </w:t>
            </w:r>
            <w:r w:rsidRPr="00981405">
              <w:t>with</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134</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3"/>
                <w:numId w:val="6"/>
              </w:numPr>
              <w:tabs>
                <w:tab w:val="right" w:pos="1080"/>
                <w:tab w:val="left" w:pos="1296"/>
                <w:tab w:val="left" w:pos="1728"/>
                <w:tab w:val="left" w:pos="2160"/>
                <w:tab w:val="left" w:pos="2592"/>
                <w:tab w:val="left" w:pos="3024"/>
                <w:tab w:val="left" w:pos="3456"/>
                <w:tab w:val="right" w:leader="dot" w:pos="9360"/>
              </w:tabs>
              <w:spacing w:after="120"/>
            </w:pPr>
            <w:r w:rsidRPr="00981405">
              <w:t>Provisional</w:t>
            </w:r>
            <w:r w:rsidR="00190923" w:rsidRPr="00981405">
              <w:t xml:space="preserve"> </w:t>
            </w:r>
            <w:r w:rsidRPr="00981405">
              <w:t>application</w:t>
            </w:r>
            <w:r w:rsidR="00B92E2C" w:rsidRPr="00981405">
              <w:t xml:space="preserve"> </w:t>
            </w:r>
            <w:r w:rsidRPr="00981405">
              <w:t>of</w:t>
            </w:r>
            <w:r w:rsidR="00B92E2C" w:rsidRPr="00981405">
              <w:t xml:space="preserve"> </w:t>
            </w:r>
            <w:r w:rsidRPr="00981405">
              <w:t>a</w:t>
            </w:r>
            <w:r w:rsidR="00190923" w:rsidRPr="00981405">
              <w:t xml:space="preserve"> </w:t>
            </w:r>
            <w:r w:rsidRPr="00981405">
              <w:t>treaty</w:t>
            </w:r>
            <w:r w:rsidR="00190923" w:rsidRPr="00981405">
              <w:t xml:space="preserve"> </w:t>
            </w:r>
            <w:r w:rsidRPr="00981405">
              <w:t>with</w:t>
            </w:r>
            <w:r w:rsidR="00190923" w:rsidRPr="00981405">
              <w:t xml:space="preserve"> </w:t>
            </w:r>
            <w:r w:rsidRPr="00981405">
              <w:t>the</w:t>
            </w:r>
            <w:r w:rsidR="00190923" w:rsidRPr="00981405">
              <w:t xml:space="preserve"> </w:t>
            </w:r>
            <w:r w:rsidRPr="00981405">
              <w:t>participation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Pr="00981405">
              <w:rPr>
                <w:spacing w:val="60"/>
                <w:sz w:val="17"/>
              </w:rPr>
              <w:tab/>
            </w:r>
          </w:p>
        </w:tc>
        <w:tc>
          <w:tcPr>
            <w:tcW w:w="533" w:type="dxa"/>
            <w:shd w:val="clear" w:color="auto" w:fill="auto"/>
            <w:vAlign w:val="bottom"/>
          </w:tcPr>
          <w:p w:rsidR="0037751B" w:rsidRPr="00981405" w:rsidRDefault="00260557">
            <w:pPr>
              <w:spacing w:after="120"/>
              <w:jc w:val="right"/>
            </w:pPr>
            <w:r w:rsidRPr="00981405">
              <w:t>135</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3"/>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Comments</w:t>
            </w:r>
            <w:r w:rsidR="00190923" w:rsidRPr="00981405">
              <w:t xml:space="preserve"> </w:t>
            </w:r>
            <w:r w:rsidRPr="00981405">
              <w:t>on</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135</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Concluding</w:t>
            </w:r>
            <w:r w:rsidR="00190923" w:rsidRPr="00981405">
              <w:t xml:space="preserve"> </w:t>
            </w:r>
            <w:r w:rsidRPr="00981405">
              <w:t>remarks</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136</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0"/>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981405">
              <w:tab/>
              <w:t>Other</w:t>
            </w:r>
            <w:r w:rsidR="00190923" w:rsidRPr="00981405">
              <w:t xml:space="preserve"> </w:t>
            </w:r>
            <w:r w:rsidRPr="00981405">
              <w:t>decisions</w:t>
            </w:r>
            <w:r w:rsidR="00190923" w:rsidRPr="00981405">
              <w:t xml:space="preserve"> </w:t>
            </w:r>
            <w:r w:rsidRPr="00981405">
              <w:t>and</w:t>
            </w:r>
            <w:r w:rsidR="00190923" w:rsidRPr="00981405">
              <w:t xml:space="preserve"> </w:t>
            </w:r>
            <w:r w:rsidRPr="00981405">
              <w:t>conclusions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138</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1"/>
                <w:numId w:val="6"/>
              </w:numPr>
              <w:tabs>
                <w:tab w:val="right" w:pos="1080"/>
                <w:tab w:val="left" w:pos="1296"/>
                <w:tab w:val="left" w:pos="1728"/>
                <w:tab w:val="left" w:pos="2160"/>
                <w:tab w:val="left" w:pos="2592"/>
                <w:tab w:val="left" w:pos="3024"/>
                <w:tab w:val="right" w:leader="dot" w:pos="9360"/>
              </w:tabs>
              <w:spacing w:after="120"/>
            </w:pPr>
            <w:r w:rsidRPr="00981405">
              <w:t>Programme,</w:t>
            </w:r>
            <w:r w:rsidR="00190923" w:rsidRPr="00981405">
              <w:t xml:space="preserve"> </w:t>
            </w:r>
            <w:r w:rsidRPr="00981405">
              <w:t>procedures</w:t>
            </w:r>
            <w:r w:rsidR="00190923" w:rsidRPr="00981405">
              <w:t xml:space="preserve"> </w:t>
            </w:r>
            <w:r w:rsidRPr="00981405">
              <w:t>and</w:t>
            </w:r>
            <w:r w:rsidR="00190923" w:rsidRPr="00981405">
              <w:t xml:space="preserve"> </w:t>
            </w:r>
            <w:r w:rsidRPr="00981405">
              <w:t>working</w:t>
            </w:r>
            <w:r w:rsidR="00190923" w:rsidRPr="00981405">
              <w:t xml:space="preserve"> </w:t>
            </w:r>
            <w:r w:rsidRPr="00981405">
              <w:t>methods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2B210B" w:rsidRPr="00981405">
              <w:br/>
            </w:r>
            <w:r w:rsidRPr="00981405">
              <w:t>its</w:t>
            </w:r>
            <w:r w:rsidR="00190923" w:rsidRPr="00981405">
              <w:t xml:space="preserve"> </w:t>
            </w:r>
            <w:r w:rsidRPr="00981405">
              <w:t>documentation</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138</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pPr>
            <w:r w:rsidRPr="00981405">
              <w:t>Inclusion</w:t>
            </w:r>
            <w:r w:rsidR="00190923" w:rsidRPr="00981405">
              <w:t xml:space="preserve"> </w:t>
            </w:r>
            <w:r w:rsidRPr="00981405">
              <w:t>of</w:t>
            </w:r>
            <w:r w:rsidR="00190923" w:rsidRPr="00981405">
              <w:t xml:space="preserve"> </w:t>
            </w:r>
            <w:r w:rsidRPr="00981405">
              <w:t>a</w:t>
            </w:r>
            <w:r w:rsidR="00190923" w:rsidRPr="00981405">
              <w:t xml:space="preserve"> </w:t>
            </w:r>
            <w:r w:rsidRPr="00981405">
              <w:t>new</w:t>
            </w:r>
            <w:r w:rsidR="00190923" w:rsidRPr="00981405">
              <w:t xml:space="preserve"> </w:t>
            </w:r>
            <w:r w:rsidRPr="00981405">
              <w:t>topic</w:t>
            </w:r>
            <w:r w:rsidR="00190923" w:rsidRPr="00981405">
              <w:t xml:space="preserve"> </w:t>
            </w:r>
            <w:r w:rsidRPr="00981405">
              <w:t>in</w:t>
            </w:r>
            <w:r w:rsidR="00190923" w:rsidRPr="00981405">
              <w:t xml:space="preserve"> </w:t>
            </w:r>
            <w:r w:rsidRPr="00981405">
              <w:t>the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138</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981405">
              <w:t>Working</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Long-term</w:t>
            </w:r>
            <w:r w:rsidR="00190923" w:rsidRPr="00981405">
              <w:t xml:space="preserve"> </w:t>
            </w:r>
            <w:r w:rsidR="00B11A17">
              <w:t>P</w:t>
            </w:r>
            <w:r w:rsidRPr="00981405">
              <w:t>rogramme</w:t>
            </w:r>
            <w:r w:rsidR="00190923" w:rsidRPr="00981405">
              <w:t xml:space="preserve"> </w:t>
            </w:r>
            <w:r w:rsidRPr="00981405">
              <w:t>of</w:t>
            </w:r>
            <w:r w:rsidR="00190923" w:rsidRPr="00981405">
              <w:t xml:space="preserve"> </w:t>
            </w:r>
            <w:r w:rsidRPr="00981405">
              <w:t>Work</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138</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Pr="00981405">
              <w:t>69/123</w:t>
            </w:r>
            <w:r w:rsidR="00190923" w:rsidRPr="00981405">
              <w:t xml:space="preserve"> </w:t>
            </w:r>
            <w:r w:rsidRPr="00981405">
              <w:t>of</w:t>
            </w:r>
            <w:r w:rsidR="00190923" w:rsidRPr="00981405">
              <w:t xml:space="preserve"> </w:t>
            </w:r>
            <w:r w:rsidRPr="00981405">
              <w:t>10</w:t>
            </w:r>
            <w:r w:rsidR="00190923" w:rsidRPr="00981405">
              <w:t xml:space="preserve"> </w:t>
            </w:r>
            <w:r w:rsidRPr="00981405">
              <w:t>December</w:t>
            </w:r>
            <w:r w:rsidR="00190923" w:rsidRPr="00981405">
              <w:t xml:space="preserve"> </w:t>
            </w:r>
            <w:r w:rsidRPr="00981405">
              <w:t>2014</w:t>
            </w:r>
            <w:r w:rsidR="00190923" w:rsidRPr="00981405">
              <w:t xml:space="preserve"> </w:t>
            </w:r>
            <w:r w:rsidR="00530F1C" w:rsidRPr="00981405">
              <w:br/>
            </w:r>
            <w:r w:rsidRPr="00981405">
              <w:t>on</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at</w:t>
            </w:r>
            <w:r w:rsidR="00190923" w:rsidRPr="00981405">
              <w:t xml:space="preserve"> </w:t>
            </w:r>
            <w:r w:rsidRPr="00981405">
              <w:t>the</w:t>
            </w:r>
            <w:r w:rsidR="00190923" w:rsidRPr="00981405">
              <w:t xml:space="preserve"> </w:t>
            </w:r>
            <w:r w:rsidRPr="00981405">
              <w:t>national</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levels</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138</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right" w:leader="dot" w:pos="9360"/>
              </w:tabs>
              <w:spacing w:after="120"/>
            </w:pPr>
            <w:r w:rsidRPr="00981405">
              <w:t>Consideration</w:t>
            </w:r>
            <w:r w:rsidR="00190923" w:rsidRPr="00981405">
              <w:t xml:space="preserve"> </w:t>
            </w:r>
            <w:r w:rsidRPr="00981405">
              <w:t>of</w:t>
            </w:r>
            <w:r w:rsidR="00190923" w:rsidRPr="00981405">
              <w:t xml:space="preserve"> </w:t>
            </w:r>
            <w:r w:rsidRPr="00981405">
              <w:t>paragraphs</w:t>
            </w:r>
            <w:r w:rsidR="00190923" w:rsidRPr="00981405">
              <w:t xml:space="preserve"> </w:t>
            </w:r>
            <w:r w:rsidRPr="00981405">
              <w:t>10</w:t>
            </w:r>
            <w:r w:rsidR="00190923" w:rsidRPr="00981405">
              <w:t xml:space="preserve"> </w:t>
            </w:r>
            <w:r w:rsidRPr="00981405">
              <w:t>to</w:t>
            </w:r>
            <w:r w:rsidR="00190923" w:rsidRPr="00981405">
              <w:t xml:space="preserve"> </w:t>
            </w:r>
            <w:r w:rsidRPr="00981405">
              <w:t>13</w:t>
            </w:r>
            <w:r w:rsidR="00190923" w:rsidRPr="00981405">
              <w:t xml:space="preserve"> </w:t>
            </w:r>
            <w:r w:rsidRPr="00981405">
              <w:t>of</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00274209" w:rsidRPr="00981405">
              <w:t>69</w:t>
            </w:r>
            <w:r w:rsidRPr="00981405">
              <w:t>/118</w:t>
            </w:r>
            <w:r w:rsidR="00190923" w:rsidRPr="00981405">
              <w:t xml:space="preserve"> </w:t>
            </w:r>
            <w:r w:rsidR="00B152B3">
              <w:br/>
            </w:r>
            <w:r w:rsidRPr="00981405">
              <w:t>of</w:t>
            </w:r>
            <w:r w:rsidR="00190923" w:rsidRPr="00981405">
              <w:t xml:space="preserve"> </w:t>
            </w:r>
            <w:r w:rsidRPr="00981405">
              <w:t>10</w:t>
            </w:r>
            <w:r w:rsidR="00190923" w:rsidRPr="00981405">
              <w:t xml:space="preserve"> </w:t>
            </w:r>
            <w:r w:rsidRPr="00981405">
              <w:t>December</w:t>
            </w:r>
            <w:r w:rsidR="00190923" w:rsidRPr="00981405">
              <w:t xml:space="preserve"> </w:t>
            </w:r>
            <w:r w:rsidRPr="00981405">
              <w:t>2014</w:t>
            </w:r>
            <w:r w:rsidR="00190923" w:rsidRPr="00981405">
              <w:t xml:space="preserve"> </w:t>
            </w:r>
            <w:r w:rsidRPr="00981405">
              <w:t>on</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Commission</w:t>
            </w:r>
            <w:r w:rsidR="00190923" w:rsidRPr="00981405">
              <w:t xml:space="preserve"> </w:t>
            </w:r>
            <w:r w:rsidR="00B152B3">
              <w:br/>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140</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right" w:leader="dot" w:pos="9360"/>
              </w:tabs>
              <w:spacing w:after="120"/>
            </w:pPr>
            <w:r w:rsidRPr="00981405">
              <w:t>Honoraria</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141</w:t>
            </w:r>
          </w:p>
        </w:tc>
      </w:tr>
      <w:tr w:rsidR="0037751B" w:rsidRPr="00981405" w:rsidTr="00DE618E">
        <w:trPr>
          <w:gridAfter w:val="1"/>
          <w:wAfter w:w="129" w:type="dxa"/>
        </w:trPr>
        <w:tc>
          <w:tcPr>
            <w:tcW w:w="9369" w:type="dxa"/>
            <w:gridSpan w:val="3"/>
            <w:shd w:val="clear" w:color="auto" w:fill="auto"/>
          </w:tcPr>
          <w:p w:rsidR="0037751B"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81405">
              <w:t>Documentation</w:t>
            </w:r>
            <w:r w:rsidR="00190923" w:rsidRPr="00981405">
              <w:t xml:space="preserve"> </w:t>
            </w:r>
            <w:r w:rsidRPr="00981405">
              <w:t>and</w:t>
            </w:r>
            <w:r w:rsidR="00190923" w:rsidRPr="00981405">
              <w:t xml:space="preserve"> </w:t>
            </w:r>
            <w:r w:rsidRPr="00981405">
              <w:t>publications</w:t>
            </w:r>
            <w:r w:rsidR="002B210B" w:rsidRPr="00981405">
              <w:rPr>
                <w:spacing w:val="60"/>
                <w:sz w:val="17"/>
              </w:rPr>
              <w:tab/>
            </w:r>
          </w:p>
        </w:tc>
        <w:tc>
          <w:tcPr>
            <w:tcW w:w="533" w:type="dxa"/>
            <w:shd w:val="clear" w:color="auto" w:fill="auto"/>
            <w:vAlign w:val="bottom"/>
          </w:tcPr>
          <w:p w:rsidR="0037751B" w:rsidRPr="00981405" w:rsidRDefault="00260557" w:rsidP="00DE618E">
            <w:pPr>
              <w:spacing w:after="120"/>
              <w:jc w:val="right"/>
            </w:pPr>
            <w:r w:rsidRPr="00981405">
              <w:t>141</w:t>
            </w:r>
          </w:p>
        </w:tc>
      </w:tr>
      <w:tr w:rsidR="0037751B" w:rsidRPr="00981405" w:rsidTr="00DE618E">
        <w:trPr>
          <w:gridAfter w:val="1"/>
          <w:wAfter w:w="129" w:type="dxa"/>
        </w:trPr>
        <w:tc>
          <w:tcPr>
            <w:tcW w:w="9369" w:type="dxa"/>
            <w:gridSpan w:val="3"/>
            <w:shd w:val="clear" w:color="auto" w:fill="auto"/>
          </w:tcPr>
          <w:p w:rsidR="0037751B" w:rsidRPr="00D97463"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rPr>
                <w:i/>
                <w:iCs/>
              </w:rPr>
            </w:pPr>
            <w:r w:rsidRPr="00D97463">
              <w:rPr>
                <w:i/>
                <w:iCs/>
              </w:rPr>
              <w:t>Yearbook</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International</w:t>
            </w:r>
            <w:r w:rsidR="00190923" w:rsidRPr="00981405">
              <w:rPr>
                <w:i/>
                <w:iCs/>
              </w:rPr>
              <w:t xml:space="preserve"> </w:t>
            </w:r>
            <w:r w:rsidRPr="00D97463">
              <w:rPr>
                <w:i/>
                <w:iCs/>
              </w:rPr>
              <w:t>Law</w:t>
            </w:r>
            <w:r w:rsidR="00190923" w:rsidRPr="00981405">
              <w:rPr>
                <w:i/>
                <w:iCs/>
              </w:rPr>
              <w:t xml:space="preserve"> </w:t>
            </w:r>
            <w:r w:rsidRPr="00D97463">
              <w:rPr>
                <w:i/>
                <w:iCs/>
              </w:rPr>
              <w:t>Commission</w:t>
            </w:r>
            <w:r w:rsidR="002B210B" w:rsidRPr="00981405">
              <w:rPr>
                <w:i/>
                <w:iCs/>
                <w:spacing w:val="60"/>
                <w:sz w:val="17"/>
              </w:rPr>
              <w:tab/>
            </w:r>
          </w:p>
        </w:tc>
        <w:tc>
          <w:tcPr>
            <w:tcW w:w="533" w:type="dxa"/>
            <w:shd w:val="clear" w:color="auto" w:fill="auto"/>
            <w:vAlign w:val="bottom"/>
          </w:tcPr>
          <w:p w:rsidR="0037751B" w:rsidRPr="00981405" w:rsidRDefault="00260557" w:rsidP="00DE618E">
            <w:pPr>
              <w:spacing w:after="120"/>
              <w:jc w:val="right"/>
            </w:pPr>
            <w:r w:rsidRPr="00981405">
              <w:t>142</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Assistance</w:t>
            </w:r>
            <w:r w:rsidR="00190923" w:rsidRPr="00981405">
              <w:t xml:space="preserve"> </w:t>
            </w:r>
            <w:r w:rsidRPr="00981405">
              <w:t>of</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142</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2"/>
                <w:numId w:val="6"/>
              </w:numPr>
              <w:tabs>
                <w:tab w:val="right" w:pos="1080"/>
                <w:tab w:val="left" w:pos="1296"/>
                <w:tab w:val="left" w:pos="1728"/>
                <w:tab w:val="left" w:pos="2160"/>
                <w:tab w:val="left" w:pos="2592"/>
                <w:tab w:val="right" w:leader="dot" w:pos="9360"/>
              </w:tabs>
              <w:spacing w:after="120"/>
            </w:pPr>
            <w:r w:rsidRPr="00981405">
              <w:t>Websites</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142</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2"/>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United</w:t>
            </w:r>
            <w:r w:rsidR="00190923" w:rsidRPr="00981405">
              <w:t xml:space="preserve"> </w:t>
            </w:r>
            <w:r w:rsidRPr="00981405">
              <w:t>Nations</w:t>
            </w:r>
            <w:r w:rsidR="00190923" w:rsidRPr="00981405">
              <w:t xml:space="preserve"> </w:t>
            </w:r>
            <w:r w:rsidRPr="00981405">
              <w:t>Audiovisual</w:t>
            </w:r>
            <w:r w:rsidR="00190923" w:rsidRPr="00981405">
              <w:t xml:space="preserve"> </w:t>
            </w:r>
            <w:r w:rsidRPr="00981405">
              <w:t>Library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143</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Date</w:t>
            </w:r>
            <w:r w:rsidR="00190923" w:rsidRPr="00981405">
              <w:t xml:space="preserve"> </w:t>
            </w:r>
            <w:r w:rsidRPr="00981405">
              <w:t>and</w:t>
            </w:r>
            <w:r w:rsidR="00190923" w:rsidRPr="00981405">
              <w:t xml:space="preserve"> </w:t>
            </w:r>
            <w:r w:rsidRPr="00981405">
              <w:t>place</w:t>
            </w:r>
            <w:r w:rsidR="00190923" w:rsidRPr="00981405">
              <w:t xml:space="preserve"> </w:t>
            </w:r>
            <w:r w:rsidRPr="00981405">
              <w:t>of</w:t>
            </w:r>
            <w:r w:rsidR="00190923" w:rsidRPr="00981405">
              <w:t xml:space="preserve"> </w:t>
            </w:r>
            <w:r w:rsidRPr="00981405">
              <w:t>the</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143</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81405">
              <w:t>Tribute</w:t>
            </w:r>
            <w:r w:rsidR="00190923" w:rsidRPr="00981405">
              <w:t xml:space="preserve"> </w:t>
            </w:r>
            <w:r w:rsidRPr="00981405">
              <w:t>to</w:t>
            </w:r>
            <w:r w:rsidR="00190923" w:rsidRPr="00981405">
              <w:t xml:space="preserve"> </w:t>
            </w:r>
            <w:r w:rsidRPr="00981405">
              <w:t>the</w:t>
            </w:r>
            <w:r w:rsidR="00190923" w:rsidRPr="00981405">
              <w:t xml:space="preserve"> </w:t>
            </w:r>
            <w:r w:rsidRPr="00981405">
              <w:t>Secretary</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143</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981405">
              <w:t>Cooperation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bodies</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143</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81405">
              <w:t>Representation</w:t>
            </w:r>
            <w:r w:rsidR="00190923" w:rsidRPr="00981405">
              <w:t xml:space="preserve"> </w:t>
            </w:r>
            <w:r w:rsidRPr="00981405">
              <w:t>at</w:t>
            </w:r>
            <w:r w:rsidR="00190923" w:rsidRPr="00981405">
              <w:t xml:space="preserve"> </w:t>
            </w:r>
            <w:r w:rsidRPr="00981405">
              <w:t>the</w:t>
            </w:r>
            <w:r w:rsidR="00190923" w:rsidRPr="00981405">
              <w:t xml:space="preserve"> </w:t>
            </w:r>
            <w:r w:rsidRPr="00981405">
              <w:t>seventieth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144</w:t>
            </w:r>
          </w:p>
        </w:tc>
      </w:tr>
      <w:tr w:rsidR="00E537AA" w:rsidRPr="00981405" w:rsidTr="00DE618E">
        <w:trPr>
          <w:gridAfter w:val="1"/>
          <w:wAfter w:w="129" w:type="dxa"/>
        </w:trPr>
        <w:tc>
          <w:tcPr>
            <w:tcW w:w="9369" w:type="dxa"/>
            <w:gridSpan w:val="3"/>
            <w:shd w:val="clear" w:color="auto" w:fill="auto"/>
          </w:tcPr>
          <w:p w:rsidR="00E537AA" w:rsidRPr="00981405" w:rsidRDefault="00E537AA" w:rsidP="00D97463">
            <w:pPr>
              <w:numPr>
                <w:ilvl w:val="1"/>
                <w:numId w:val="6"/>
              </w:numPr>
              <w:tabs>
                <w:tab w:val="right" w:pos="1080"/>
                <w:tab w:val="left" w:pos="1296"/>
                <w:tab w:val="left" w:pos="1728"/>
                <w:tab w:val="left" w:pos="2160"/>
                <w:tab w:val="left" w:pos="2592"/>
                <w:tab w:val="left" w:pos="3024"/>
                <w:tab w:val="left" w:pos="3456"/>
                <w:tab w:val="left" w:pos="3888"/>
                <w:tab w:val="right" w:leader="dot" w:pos="9360"/>
              </w:tabs>
              <w:spacing w:after="120"/>
            </w:pPr>
            <w:r w:rsidRPr="00981405">
              <w:t>International</w:t>
            </w:r>
            <w:r w:rsidR="00190923" w:rsidRPr="00981405">
              <w:t xml:space="preserve"> </w:t>
            </w:r>
            <w:r w:rsidRPr="00981405">
              <w:t>Law</w:t>
            </w:r>
            <w:r w:rsidR="00190923" w:rsidRPr="00981405">
              <w:t xml:space="preserve"> </w:t>
            </w:r>
            <w:r w:rsidRPr="00981405">
              <w:t>Seminar</w:t>
            </w:r>
            <w:r w:rsidR="002B210B" w:rsidRPr="00981405">
              <w:rPr>
                <w:spacing w:val="60"/>
                <w:sz w:val="17"/>
              </w:rPr>
              <w:tab/>
            </w:r>
          </w:p>
        </w:tc>
        <w:tc>
          <w:tcPr>
            <w:tcW w:w="533" w:type="dxa"/>
            <w:shd w:val="clear" w:color="auto" w:fill="auto"/>
            <w:vAlign w:val="bottom"/>
          </w:tcPr>
          <w:p w:rsidR="00E537AA" w:rsidRPr="00981405" w:rsidRDefault="00260557" w:rsidP="00DE618E">
            <w:pPr>
              <w:spacing w:after="120"/>
              <w:jc w:val="right"/>
            </w:pPr>
            <w:r w:rsidRPr="00981405">
              <w:t>144</w:t>
            </w:r>
          </w:p>
        </w:tc>
      </w:tr>
      <w:tr w:rsidR="00E537AA" w:rsidRPr="00981405" w:rsidTr="00DE618E">
        <w:trPr>
          <w:gridAfter w:val="1"/>
          <w:wAfter w:w="129" w:type="dxa"/>
        </w:trPr>
        <w:tc>
          <w:tcPr>
            <w:tcW w:w="9369" w:type="dxa"/>
            <w:gridSpan w:val="3"/>
            <w:shd w:val="clear" w:color="auto" w:fill="auto"/>
          </w:tcPr>
          <w:p w:rsidR="00E537AA" w:rsidRPr="00D97463" w:rsidRDefault="00E537AA" w:rsidP="00D97463">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ind w:left="476"/>
              <w:rPr>
                <w:spacing w:val="60"/>
                <w:sz w:val="17"/>
              </w:rPr>
            </w:pPr>
            <w:r w:rsidRPr="00981405">
              <w:t>Annex</w:t>
            </w:r>
            <w:r w:rsidR="002B210B" w:rsidRPr="00981405">
              <w:t>.</w:t>
            </w:r>
            <w:r w:rsidR="002B210B" w:rsidRPr="00981405">
              <w:tab/>
              <w:t>Final</w:t>
            </w:r>
            <w:r w:rsidR="00190923" w:rsidRPr="00981405">
              <w:t xml:space="preserve"> </w:t>
            </w:r>
            <w:r w:rsidR="002B210B" w:rsidRPr="00981405">
              <w:t>Report</w:t>
            </w:r>
            <w:r w:rsidR="00190923" w:rsidRPr="00981405">
              <w:t xml:space="preserve"> </w:t>
            </w:r>
            <w:r w:rsidR="002B210B" w:rsidRPr="00981405">
              <w:t>of</w:t>
            </w:r>
            <w:r w:rsidR="00190923" w:rsidRPr="00981405">
              <w:t xml:space="preserve"> </w:t>
            </w:r>
            <w:r w:rsidR="002B210B" w:rsidRPr="00981405">
              <w:t>the</w:t>
            </w:r>
            <w:r w:rsidR="00190923" w:rsidRPr="00981405">
              <w:t xml:space="preserve"> </w:t>
            </w:r>
            <w:r w:rsidR="002B210B" w:rsidRPr="00981405">
              <w:t>Study</w:t>
            </w:r>
            <w:r w:rsidR="00190923" w:rsidRPr="00981405">
              <w:t xml:space="preserve"> </w:t>
            </w:r>
            <w:r w:rsidR="002B210B" w:rsidRPr="00981405">
              <w:t>Group</w:t>
            </w:r>
            <w:r w:rsidR="00190923" w:rsidRPr="00981405">
              <w:t xml:space="preserve"> </w:t>
            </w:r>
            <w:r w:rsidR="002B210B" w:rsidRPr="00981405">
              <w:t>on</w:t>
            </w:r>
            <w:r w:rsidR="00190923" w:rsidRPr="00981405">
              <w:t xml:space="preserve"> </w:t>
            </w:r>
            <w:r w:rsidR="002B210B" w:rsidRPr="00981405">
              <w:t>The</w:t>
            </w:r>
            <w:r w:rsidR="00190923" w:rsidRPr="00981405">
              <w:t xml:space="preserve"> </w:t>
            </w:r>
            <w:r w:rsidR="002B210B" w:rsidRPr="00981405">
              <w:t>Most-Favoured-Nation</w:t>
            </w:r>
            <w:r w:rsidR="00190923" w:rsidRPr="00981405">
              <w:t xml:space="preserve"> </w:t>
            </w:r>
            <w:r w:rsidR="002B210B" w:rsidRPr="00981405">
              <w:t>clause</w:t>
            </w:r>
            <w:r w:rsidR="002B210B" w:rsidRPr="00981405">
              <w:rPr>
                <w:spacing w:val="60"/>
                <w:sz w:val="17"/>
              </w:rPr>
              <w:tab/>
            </w:r>
          </w:p>
        </w:tc>
        <w:tc>
          <w:tcPr>
            <w:tcW w:w="533" w:type="dxa"/>
            <w:shd w:val="clear" w:color="auto" w:fill="auto"/>
            <w:vAlign w:val="bottom"/>
          </w:tcPr>
          <w:p w:rsidR="00E537AA" w:rsidRPr="00981405" w:rsidRDefault="00260557">
            <w:pPr>
              <w:spacing w:after="120"/>
              <w:jc w:val="right"/>
            </w:pPr>
            <w:r w:rsidRPr="00981405">
              <w:t>147</w:t>
            </w:r>
          </w:p>
        </w:tc>
      </w:tr>
    </w:tbl>
    <w:p w:rsidR="002E0010" w:rsidRPr="00981405" w:rsidRDefault="002E0010" w:rsidP="00D97463">
      <w:pPr>
        <w:pStyle w:val="SingleTxt"/>
        <w:spacing w:after="0" w:line="120" w:lineRule="exact"/>
        <w:rPr>
          <w:sz w:val="10"/>
        </w:rPr>
      </w:pPr>
    </w:p>
    <w:p w:rsidR="002E0010" w:rsidRPr="00981405" w:rsidRDefault="002E0010" w:rsidP="00D97463">
      <w:pPr>
        <w:pStyle w:val="SingleTxt"/>
        <w:spacing w:after="0" w:line="120" w:lineRule="exact"/>
        <w:rPr>
          <w:sz w:val="10"/>
        </w:rPr>
      </w:pPr>
    </w:p>
    <w:p w:rsidR="00B62AD9" w:rsidRPr="00D97463" w:rsidRDefault="00B62AD9" w:rsidP="00D97463">
      <w:pPr>
        <w:pStyle w:val="HCh"/>
        <w:ind w:left="1267" w:right="1260" w:hanging="1267"/>
      </w:pPr>
      <w:r w:rsidRPr="00D97463">
        <w:tab/>
      </w:r>
      <w:r w:rsidRPr="00D97463">
        <w:tab/>
      </w:r>
      <w:bookmarkStart w:id="1" w:name="_Toc427828340"/>
      <w:r w:rsidRPr="00D97463">
        <w:t>Chapter</w:t>
      </w:r>
      <w:r w:rsidR="00190923" w:rsidRPr="00D97463">
        <w:t xml:space="preserve"> </w:t>
      </w:r>
      <w:r w:rsidRPr="00D97463">
        <w:t>I</w:t>
      </w:r>
      <w:bookmarkStart w:id="2" w:name="_Toc427828341"/>
      <w:bookmarkEnd w:id="1"/>
      <w:r w:rsidR="00495BC6">
        <w:br/>
      </w:r>
      <w:r w:rsidRPr="00D97463">
        <w:t>Introduction</w:t>
      </w:r>
      <w:bookmarkEnd w:id="2"/>
    </w:p>
    <w:p w:rsidR="00B62AD9" w:rsidRPr="00D97463" w:rsidRDefault="00B62AD9" w:rsidP="00D97463">
      <w:pPr>
        <w:pStyle w:val="SingleTxt"/>
        <w:spacing w:after="0" w:line="120" w:lineRule="exact"/>
        <w:rPr>
          <w:sz w:val="10"/>
        </w:rPr>
      </w:pPr>
    </w:p>
    <w:p w:rsidR="002B210B" w:rsidRPr="00D97463" w:rsidRDefault="002B210B" w:rsidP="00D97463">
      <w:pPr>
        <w:pStyle w:val="SingleTxt"/>
        <w:spacing w:after="0" w:line="120" w:lineRule="exact"/>
        <w:rPr>
          <w:sz w:val="10"/>
        </w:rPr>
      </w:pPr>
    </w:p>
    <w:p w:rsidR="00B62AD9" w:rsidRPr="00981405" w:rsidRDefault="00B62AD9" w:rsidP="00D97463">
      <w:pPr>
        <w:pStyle w:val="SingleTxt"/>
      </w:pPr>
      <w:r w:rsidRPr="00981405">
        <w:t>1.</w:t>
      </w:r>
      <w:r w:rsidRPr="00981405">
        <w:tab/>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held</w:t>
      </w:r>
      <w:r w:rsidR="00190923" w:rsidRPr="00981405">
        <w:t xml:space="preserve"> </w:t>
      </w:r>
      <w:r w:rsidRPr="00981405">
        <w:t>the</w:t>
      </w:r>
      <w:r w:rsidR="00190923" w:rsidRPr="00981405">
        <w:t xml:space="preserve"> </w:t>
      </w:r>
      <w:r w:rsidRPr="00981405">
        <w:t>first</w:t>
      </w:r>
      <w:r w:rsidR="00190923" w:rsidRPr="00981405">
        <w:t xml:space="preserve"> </w:t>
      </w:r>
      <w:r w:rsidRPr="00981405">
        <w:t>part</w:t>
      </w:r>
      <w:r w:rsidR="00190923" w:rsidRPr="00981405">
        <w:t xml:space="preserve"> </w:t>
      </w:r>
      <w:r w:rsidRPr="00981405">
        <w:t>of</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from</w:t>
      </w:r>
      <w:r w:rsidR="00190923" w:rsidRPr="00981405">
        <w:t xml:space="preserve"> </w:t>
      </w:r>
      <w:r w:rsidRPr="00981405">
        <w:t>4</w:t>
      </w:r>
      <w:r w:rsidR="00190923" w:rsidRPr="00981405">
        <w:t xml:space="preserve"> </w:t>
      </w:r>
      <w:r w:rsidRPr="00981405">
        <w:t>May</w:t>
      </w:r>
      <w:r w:rsidR="00190923" w:rsidRPr="00981405">
        <w:t xml:space="preserve"> </w:t>
      </w:r>
      <w:r w:rsidRPr="00981405">
        <w:t>to</w:t>
      </w:r>
      <w:r w:rsidR="00190923" w:rsidRPr="00981405">
        <w:t xml:space="preserve"> </w:t>
      </w:r>
      <w:r w:rsidRPr="00981405">
        <w:t>5</w:t>
      </w:r>
      <w:r w:rsidR="00190923" w:rsidRPr="00981405">
        <w:t xml:space="preserve"> </w:t>
      </w:r>
      <w:r w:rsidRPr="00981405">
        <w:t>June</w:t>
      </w:r>
      <w:r w:rsidR="00190923" w:rsidRPr="00981405">
        <w:t xml:space="preserve"> </w:t>
      </w:r>
      <w:r w:rsidRPr="00981405">
        <w:t>2015</w:t>
      </w:r>
      <w:r w:rsidR="00190923" w:rsidRPr="00981405">
        <w:t xml:space="preserve"> </w:t>
      </w:r>
      <w:r w:rsidRPr="00981405">
        <w:t>and</w:t>
      </w:r>
      <w:r w:rsidR="00190923" w:rsidRPr="00981405">
        <w:t xml:space="preserve"> </w:t>
      </w:r>
      <w:r w:rsidRPr="00981405">
        <w:t>the</w:t>
      </w:r>
      <w:r w:rsidR="00190923" w:rsidRPr="00981405">
        <w:t xml:space="preserve"> </w:t>
      </w:r>
      <w:r w:rsidRPr="00981405">
        <w:t>second</w:t>
      </w:r>
      <w:r w:rsidR="00190923" w:rsidRPr="00981405">
        <w:t xml:space="preserve"> </w:t>
      </w:r>
      <w:r w:rsidRPr="00981405">
        <w:t>part</w:t>
      </w:r>
      <w:r w:rsidR="00190923" w:rsidRPr="00981405">
        <w:t xml:space="preserve"> </w:t>
      </w:r>
      <w:r w:rsidRPr="00981405">
        <w:t>from</w:t>
      </w:r>
      <w:r w:rsidR="00190923" w:rsidRPr="00981405">
        <w:t xml:space="preserve"> </w:t>
      </w:r>
      <w:r w:rsidRPr="00981405">
        <w:t>6</w:t>
      </w:r>
      <w:r w:rsidR="00190923" w:rsidRPr="00981405">
        <w:t xml:space="preserve"> </w:t>
      </w:r>
      <w:r w:rsidRPr="00981405">
        <w:t>July</w:t>
      </w:r>
      <w:r w:rsidR="00190923" w:rsidRPr="00981405">
        <w:t xml:space="preserve"> </w:t>
      </w:r>
      <w:r w:rsidRPr="00981405">
        <w:t>to</w:t>
      </w:r>
      <w:r w:rsidR="00190923" w:rsidRPr="00981405">
        <w:t xml:space="preserve"> </w:t>
      </w:r>
      <w:r w:rsidRPr="00981405">
        <w:t>7</w:t>
      </w:r>
      <w:r w:rsidR="00190923" w:rsidRPr="00981405">
        <w:t xml:space="preserve"> </w:t>
      </w:r>
      <w:r w:rsidRPr="00981405">
        <w:t>August</w:t>
      </w:r>
      <w:r w:rsidR="00190923" w:rsidRPr="00981405">
        <w:t xml:space="preserve"> </w:t>
      </w:r>
      <w:r w:rsidRPr="00981405">
        <w:t>2015</w:t>
      </w:r>
      <w:r w:rsidR="00190923" w:rsidRPr="00981405">
        <w:t xml:space="preserve"> </w:t>
      </w:r>
      <w:r w:rsidRPr="00981405">
        <w:t>at</w:t>
      </w:r>
      <w:r w:rsidR="00190923" w:rsidRPr="00981405">
        <w:t xml:space="preserve"> </w:t>
      </w:r>
      <w:r w:rsidRPr="00981405">
        <w:t>its</w:t>
      </w:r>
      <w:r w:rsidR="00190923" w:rsidRPr="00981405">
        <w:t xml:space="preserve"> </w:t>
      </w:r>
      <w:r w:rsidRPr="00981405">
        <w:t>seat</w:t>
      </w:r>
      <w:r w:rsidR="00190923" w:rsidRPr="00981405">
        <w:t xml:space="preserve"> </w:t>
      </w:r>
      <w:r w:rsidRPr="00981405">
        <w:t>at</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Office</w:t>
      </w:r>
      <w:r w:rsidR="00190923" w:rsidRPr="00981405">
        <w:t xml:space="preserve"> </w:t>
      </w:r>
      <w:r w:rsidRPr="00981405">
        <w:t>at</w:t>
      </w:r>
      <w:r w:rsidR="00190923" w:rsidRPr="00981405">
        <w:t xml:space="preserve"> </w:t>
      </w:r>
      <w:r w:rsidRPr="00981405">
        <w:t>Geneva.</w:t>
      </w:r>
      <w:r w:rsidR="00190923" w:rsidRPr="00981405">
        <w:t xml:space="preserve"> </w:t>
      </w:r>
      <w:r w:rsidRPr="00981405">
        <w:t>The</w:t>
      </w:r>
      <w:r w:rsidR="00190923" w:rsidRPr="00981405">
        <w:t xml:space="preserve"> </w:t>
      </w:r>
      <w:r w:rsidRPr="00981405">
        <w:t>session</w:t>
      </w:r>
      <w:r w:rsidR="00190923" w:rsidRPr="00981405">
        <w:t xml:space="preserve"> </w:t>
      </w:r>
      <w:r w:rsidRPr="00981405">
        <w:t>was</w:t>
      </w:r>
      <w:r w:rsidR="00190923" w:rsidRPr="00981405">
        <w:t xml:space="preserve"> </w:t>
      </w:r>
      <w:r w:rsidRPr="00981405">
        <w:t>opened</w:t>
      </w:r>
      <w:r w:rsidR="00190923" w:rsidRPr="00981405">
        <w:t xml:space="preserve"> </w:t>
      </w:r>
      <w:r w:rsidRPr="00981405">
        <w:t>by</w:t>
      </w:r>
      <w:r w:rsidR="00190923" w:rsidRPr="00981405">
        <w:t xml:space="preserve"> </w:t>
      </w:r>
      <w:r w:rsidRPr="00981405">
        <w:t>Mr.</w:t>
      </w:r>
      <w:r w:rsidR="00190923" w:rsidRPr="00981405">
        <w:t xml:space="preserve"> </w:t>
      </w:r>
      <w:r w:rsidRPr="00981405">
        <w:t>Shinya</w:t>
      </w:r>
      <w:r w:rsidR="00190923" w:rsidRPr="00981405">
        <w:t xml:space="preserve"> </w:t>
      </w:r>
      <w:r w:rsidRPr="00981405">
        <w:t>Murase,</w:t>
      </w:r>
      <w:r w:rsidR="00190923" w:rsidRPr="00981405">
        <w:t xml:space="preserve"> </w:t>
      </w:r>
      <w:r w:rsidRPr="00981405">
        <w:t>First</w:t>
      </w:r>
      <w:r w:rsidR="00190923" w:rsidRPr="00981405">
        <w:t xml:space="preserve"> </w:t>
      </w:r>
      <w:r w:rsidRPr="00981405">
        <w:t>Vice-Chairman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p>
    <w:p w:rsidR="00B62AD9" w:rsidRPr="00D97463" w:rsidRDefault="00B62AD9" w:rsidP="00D97463">
      <w:pPr>
        <w:pStyle w:val="SingleTxt"/>
        <w:spacing w:after="0" w:line="120" w:lineRule="exact"/>
        <w:rPr>
          <w:sz w:val="10"/>
        </w:rPr>
      </w:pPr>
    </w:p>
    <w:p w:rsidR="002B210B" w:rsidRPr="00D97463" w:rsidRDefault="002B210B" w:rsidP="00D97463">
      <w:pPr>
        <w:pStyle w:val="SingleTxt"/>
        <w:spacing w:after="0" w:line="120" w:lineRule="exact"/>
        <w:rPr>
          <w:sz w:val="10"/>
        </w:rPr>
      </w:pPr>
    </w:p>
    <w:p w:rsidR="00B62AD9" w:rsidRPr="00D97463" w:rsidRDefault="00B62AD9" w:rsidP="00D97463">
      <w:pPr>
        <w:pStyle w:val="H1"/>
        <w:ind w:right="1260"/>
      </w:pPr>
      <w:r w:rsidRPr="00D97463">
        <w:tab/>
      </w:r>
      <w:bookmarkStart w:id="3" w:name="_Toc427828342"/>
      <w:r w:rsidRPr="00D97463">
        <w:t>A.</w:t>
      </w:r>
      <w:r w:rsidRPr="00D97463">
        <w:tab/>
        <w:t>Membership</w:t>
      </w:r>
      <w:bookmarkEnd w:id="3"/>
    </w:p>
    <w:p w:rsidR="00B62AD9" w:rsidRPr="00D97463" w:rsidRDefault="00B62AD9" w:rsidP="00D97463">
      <w:pPr>
        <w:pStyle w:val="SingleTxt"/>
        <w:spacing w:after="0" w:line="120" w:lineRule="exact"/>
        <w:rPr>
          <w:sz w:val="10"/>
        </w:rPr>
      </w:pPr>
    </w:p>
    <w:p w:rsidR="002B210B" w:rsidRPr="00D97463" w:rsidRDefault="002B210B" w:rsidP="00D97463">
      <w:pPr>
        <w:pStyle w:val="SingleTxt"/>
        <w:spacing w:after="0" w:line="120" w:lineRule="exact"/>
        <w:rPr>
          <w:sz w:val="10"/>
        </w:rPr>
      </w:pPr>
    </w:p>
    <w:p w:rsidR="00B62AD9" w:rsidRPr="00981405" w:rsidRDefault="00B62AD9" w:rsidP="00D97463">
      <w:pPr>
        <w:pStyle w:val="SingleTxt"/>
      </w:pPr>
      <w:r w:rsidRPr="00981405">
        <w:t>2.</w:t>
      </w:r>
      <w:r w:rsidRPr="00981405">
        <w:tab/>
        <w:t>The</w:t>
      </w:r>
      <w:r w:rsidR="00190923" w:rsidRPr="00981405">
        <w:t xml:space="preserve"> </w:t>
      </w:r>
      <w:r w:rsidRPr="00981405">
        <w:t>Commission</w:t>
      </w:r>
      <w:r w:rsidR="00190923" w:rsidRPr="00981405">
        <w:t xml:space="preserve"> </w:t>
      </w:r>
      <w:r w:rsidRPr="00981405">
        <w:t>consists</w:t>
      </w:r>
      <w:r w:rsidR="00190923" w:rsidRPr="00981405">
        <w:t xml:space="preserve"> </w:t>
      </w:r>
      <w:r w:rsidRPr="00981405">
        <w:t>of</w:t>
      </w:r>
      <w:r w:rsidR="00190923" w:rsidRPr="00981405">
        <w:t xml:space="preserve"> </w:t>
      </w:r>
      <w:r w:rsidRPr="00981405">
        <w:t>the</w:t>
      </w:r>
      <w:r w:rsidR="00190923" w:rsidRPr="00981405">
        <w:t xml:space="preserve"> </w:t>
      </w:r>
      <w:r w:rsidRPr="00981405">
        <w:t>following</w:t>
      </w:r>
      <w:r w:rsidR="00190923" w:rsidRPr="00981405">
        <w:t xml:space="preserve"> </w:t>
      </w:r>
      <w:r w:rsidRPr="00981405">
        <w:t>members:</w:t>
      </w:r>
    </w:p>
    <w:p w:rsidR="00B62AD9" w:rsidRPr="00981405" w:rsidRDefault="00B62AD9" w:rsidP="00D97463">
      <w:pPr>
        <w:pStyle w:val="SingleTxt"/>
      </w:pPr>
      <w:r w:rsidRPr="00981405">
        <w:tab/>
        <w:t>Mr.</w:t>
      </w:r>
      <w:r w:rsidR="00190923" w:rsidRPr="00981405">
        <w:t xml:space="preserve"> </w:t>
      </w:r>
      <w:r w:rsidRPr="00981405">
        <w:t>Mohammed</w:t>
      </w:r>
      <w:r w:rsidR="00190923" w:rsidRPr="00981405">
        <w:t xml:space="preserve"> </w:t>
      </w:r>
      <w:r w:rsidRPr="00981405">
        <w:t>Bello</w:t>
      </w:r>
      <w:r w:rsidR="00190923" w:rsidRPr="00981405">
        <w:t xml:space="preserve"> </w:t>
      </w:r>
      <w:r w:rsidRPr="00981405">
        <w:t>Adoke</w:t>
      </w:r>
      <w:r w:rsidR="00190923" w:rsidRPr="00981405">
        <w:t xml:space="preserve"> </w:t>
      </w:r>
      <w:r w:rsidRPr="00981405">
        <w:t>(Nigeria)</w:t>
      </w:r>
    </w:p>
    <w:p w:rsidR="00B62AD9" w:rsidRPr="00981405" w:rsidRDefault="00B62AD9" w:rsidP="00D97463">
      <w:pPr>
        <w:pStyle w:val="SingleTxt"/>
      </w:pPr>
      <w:r w:rsidRPr="00981405">
        <w:tab/>
        <w:t>Mr.</w:t>
      </w:r>
      <w:r w:rsidR="00190923" w:rsidRPr="00981405">
        <w:t xml:space="preserve"> </w:t>
      </w:r>
      <w:r w:rsidRPr="00981405">
        <w:t>Ali</w:t>
      </w:r>
      <w:r w:rsidR="00190923" w:rsidRPr="00981405">
        <w:t xml:space="preserve"> </w:t>
      </w:r>
      <w:r w:rsidRPr="00981405">
        <w:t>Mohsen</w:t>
      </w:r>
      <w:r w:rsidR="00190923" w:rsidRPr="00981405">
        <w:t xml:space="preserve"> </w:t>
      </w:r>
      <w:r w:rsidRPr="00981405">
        <w:t>Fetais</w:t>
      </w:r>
      <w:r w:rsidR="00190923" w:rsidRPr="00981405">
        <w:t xml:space="preserve"> </w:t>
      </w:r>
      <w:r w:rsidRPr="00981405">
        <w:t>Al-Marri</w:t>
      </w:r>
      <w:r w:rsidR="00190923" w:rsidRPr="00981405">
        <w:t xml:space="preserve"> </w:t>
      </w:r>
      <w:r w:rsidRPr="00981405">
        <w:t>(Qatar)</w:t>
      </w:r>
    </w:p>
    <w:p w:rsidR="00B62AD9" w:rsidRPr="00981405" w:rsidRDefault="00B62AD9" w:rsidP="00D97463">
      <w:pPr>
        <w:pStyle w:val="SingleTxt"/>
      </w:pPr>
      <w:r w:rsidRPr="00981405">
        <w:tab/>
        <w:t>Mr.</w:t>
      </w:r>
      <w:r w:rsidR="00190923" w:rsidRPr="00981405">
        <w:t xml:space="preserve"> </w:t>
      </w:r>
      <w:r w:rsidRPr="00981405">
        <w:t>Lucius</w:t>
      </w:r>
      <w:r w:rsidR="00190923" w:rsidRPr="00981405">
        <w:t xml:space="preserve"> </w:t>
      </w:r>
      <w:r w:rsidRPr="00981405">
        <w:t>Caflisch</w:t>
      </w:r>
      <w:r w:rsidR="00190923" w:rsidRPr="00981405">
        <w:t xml:space="preserve"> </w:t>
      </w:r>
      <w:r w:rsidRPr="00981405">
        <w:t>(Switzerland)</w:t>
      </w:r>
    </w:p>
    <w:p w:rsidR="00B62AD9" w:rsidRPr="00D97463" w:rsidRDefault="00B62AD9" w:rsidP="00D97463">
      <w:pPr>
        <w:pStyle w:val="SingleTxt"/>
        <w:rPr>
          <w:lang w:val="es-ES"/>
        </w:rPr>
      </w:pPr>
      <w:r w:rsidRPr="00981405">
        <w:tab/>
      </w:r>
      <w:r w:rsidRPr="00D97463">
        <w:rPr>
          <w:lang w:val="es-ES"/>
        </w:rPr>
        <w:t>Mr.</w:t>
      </w:r>
      <w:r w:rsidR="00190923" w:rsidRPr="00495BC6">
        <w:rPr>
          <w:lang w:val="es-ES"/>
        </w:rPr>
        <w:t xml:space="preserve"> </w:t>
      </w:r>
      <w:r w:rsidRPr="00D97463">
        <w:rPr>
          <w:lang w:val="es-ES"/>
        </w:rPr>
        <w:t>Enrique</w:t>
      </w:r>
      <w:r w:rsidR="00190923" w:rsidRPr="00495BC6">
        <w:rPr>
          <w:lang w:val="es-ES"/>
        </w:rPr>
        <w:t xml:space="preserve"> </w:t>
      </w:r>
      <w:r w:rsidRPr="00D97463">
        <w:rPr>
          <w:lang w:val="es-ES"/>
        </w:rPr>
        <w:t>J.A.</w:t>
      </w:r>
      <w:r w:rsidR="00190923" w:rsidRPr="00495BC6">
        <w:rPr>
          <w:lang w:val="es-ES"/>
        </w:rPr>
        <w:t xml:space="preserve"> </w:t>
      </w:r>
      <w:r w:rsidRPr="00D97463">
        <w:rPr>
          <w:lang w:val="es-ES"/>
        </w:rPr>
        <w:t>Candioti</w:t>
      </w:r>
      <w:r w:rsidR="00190923" w:rsidRPr="00495BC6">
        <w:rPr>
          <w:lang w:val="es-ES"/>
        </w:rPr>
        <w:t xml:space="preserve"> </w:t>
      </w:r>
      <w:r w:rsidRPr="00D97463">
        <w:rPr>
          <w:lang w:val="es-ES"/>
        </w:rPr>
        <w:t>(Argentina)</w:t>
      </w:r>
    </w:p>
    <w:p w:rsidR="00B62AD9" w:rsidRPr="00D97463" w:rsidRDefault="00B62AD9" w:rsidP="00D97463">
      <w:pPr>
        <w:pStyle w:val="SingleTxt"/>
        <w:rPr>
          <w:lang w:val="es-ES"/>
        </w:rPr>
      </w:pPr>
      <w:r w:rsidRPr="00D97463">
        <w:rPr>
          <w:lang w:val="es-ES"/>
        </w:rPr>
        <w:tab/>
        <w:t>Mr.</w:t>
      </w:r>
      <w:r w:rsidR="00190923" w:rsidRPr="00495BC6">
        <w:rPr>
          <w:lang w:val="es-ES"/>
        </w:rPr>
        <w:t xml:space="preserve"> </w:t>
      </w:r>
      <w:r w:rsidRPr="00D97463">
        <w:rPr>
          <w:lang w:val="es-ES"/>
        </w:rPr>
        <w:t>Pedro</w:t>
      </w:r>
      <w:r w:rsidR="00190923" w:rsidRPr="00495BC6">
        <w:rPr>
          <w:lang w:val="es-ES"/>
        </w:rPr>
        <w:t xml:space="preserve"> </w:t>
      </w:r>
      <w:r w:rsidRPr="00D97463">
        <w:rPr>
          <w:lang w:val="es-ES"/>
        </w:rPr>
        <w:t>Comissário</w:t>
      </w:r>
      <w:r w:rsidR="00190923" w:rsidRPr="00495BC6">
        <w:rPr>
          <w:lang w:val="es-ES"/>
        </w:rPr>
        <w:t xml:space="preserve"> </w:t>
      </w:r>
      <w:r w:rsidRPr="00D97463">
        <w:rPr>
          <w:lang w:val="es-ES"/>
        </w:rPr>
        <w:t>Afonso</w:t>
      </w:r>
      <w:r w:rsidR="00190923" w:rsidRPr="00495BC6">
        <w:rPr>
          <w:lang w:val="es-ES"/>
        </w:rPr>
        <w:t xml:space="preserve"> </w:t>
      </w:r>
      <w:r w:rsidRPr="00D97463">
        <w:rPr>
          <w:lang w:val="es-ES"/>
        </w:rPr>
        <w:t>(Mozambique)</w:t>
      </w:r>
    </w:p>
    <w:p w:rsidR="00B62AD9" w:rsidRPr="00D97463" w:rsidRDefault="00B62AD9" w:rsidP="00D97463">
      <w:pPr>
        <w:pStyle w:val="SingleTxt"/>
        <w:rPr>
          <w:lang w:val="es-ES"/>
        </w:rPr>
      </w:pPr>
      <w:r w:rsidRPr="00D97463">
        <w:rPr>
          <w:lang w:val="es-ES"/>
        </w:rPr>
        <w:tab/>
        <w:t>Mr.</w:t>
      </w:r>
      <w:r w:rsidR="00190923" w:rsidRPr="00495BC6">
        <w:rPr>
          <w:lang w:val="es-ES"/>
        </w:rPr>
        <w:t xml:space="preserve"> </w:t>
      </w:r>
      <w:r w:rsidRPr="00D97463">
        <w:rPr>
          <w:lang w:val="es-ES"/>
        </w:rPr>
        <w:t>Abdelrazeg</w:t>
      </w:r>
      <w:r w:rsidR="00190923" w:rsidRPr="00495BC6">
        <w:rPr>
          <w:lang w:val="es-ES"/>
        </w:rPr>
        <w:t xml:space="preserve"> </w:t>
      </w:r>
      <w:r w:rsidRPr="00D97463">
        <w:rPr>
          <w:lang w:val="es-ES"/>
        </w:rPr>
        <w:t>El-Murtadi</w:t>
      </w:r>
      <w:r w:rsidR="00190923" w:rsidRPr="00495BC6">
        <w:rPr>
          <w:lang w:val="es-ES"/>
        </w:rPr>
        <w:t xml:space="preserve"> </w:t>
      </w:r>
      <w:r w:rsidRPr="00D97463">
        <w:rPr>
          <w:lang w:val="es-ES"/>
        </w:rPr>
        <w:t>Suleiman</w:t>
      </w:r>
      <w:r w:rsidR="00190923" w:rsidRPr="00495BC6">
        <w:rPr>
          <w:lang w:val="es-ES"/>
        </w:rPr>
        <w:t xml:space="preserve"> </w:t>
      </w:r>
      <w:r w:rsidRPr="00D97463">
        <w:rPr>
          <w:lang w:val="es-ES"/>
        </w:rPr>
        <w:t>Gouider</w:t>
      </w:r>
      <w:r w:rsidR="00190923" w:rsidRPr="00495BC6">
        <w:rPr>
          <w:lang w:val="es-ES"/>
        </w:rPr>
        <w:t xml:space="preserve"> </w:t>
      </w:r>
      <w:r w:rsidRPr="00D97463">
        <w:rPr>
          <w:lang w:val="es-ES"/>
        </w:rPr>
        <w:t>(Libya)</w:t>
      </w:r>
    </w:p>
    <w:p w:rsidR="00B62AD9" w:rsidRPr="00D97463" w:rsidRDefault="00B62AD9" w:rsidP="00D97463">
      <w:pPr>
        <w:pStyle w:val="SingleTxt"/>
        <w:rPr>
          <w:lang w:val="es-ES"/>
        </w:rPr>
      </w:pPr>
      <w:r w:rsidRPr="00D97463">
        <w:rPr>
          <w:lang w:val="es-ES"/>
        </w:rPr>
        <w:tab/>
        <w:t>Ms.</w:t>
      </w:r>
      <w:r w:rsidR="00190923" w:rsidRPr="00495BC6">
        <w:rPr>
          <w:lang w:val="es-ES"/>
        </w:rPr>
        <w:t xml:space="preserve"> </w:t>
      </w:r>
      <w:r w:rsidRPr="00D97463">
        <w:rPr>
          <w:lang w:val="es-ES"/>
        </w:rPr>
        <w:t>Concepción</w:t>
      </w:r>
      <w:r w:rsidR="00190923" w:rsidRPr="00495BC6">
        <w:rPr>
          <w:lang w:val="es-ES"/>
        </w:rPr>
        <w:t xml:space="preserve"> </w:t>
      </w:r>
      <w:r w:rsidRPr="00D97463">
        <w:rPr>
          <w:lang w:val="es-ES"/>
        </w:rPr>
        <w:t>Escobar</w:t>
      </w:r>
      <w:r w:rsidR="00190923" w:rsidRPr="00495BC6">
        <w:rPr>
          <w:lang w:val="es-ES"/>
        </w:rPr>
        <w:t xml:space="preserve"> </w:t>
      </w:r>
      <w:r w:rsidRPr="00D97463">
        <w:rPr>
          <w:lang w:val="es-ES"/>
        </w:rPr>
        <w:t>Hernández</w:t>
      </w:r>
      <w:r w:rsidR="00190923" w:rsidRPr="00495BC6">
        <w:rPr>
          <w:lang w:val="es-ES"/>
        </w:rPr>
        <w:t xml:space="preserve"> </w:t>
      </w:r>
      <w:r w:rsidRPr="00D97463">
        <w:rPr>
          <w:lang w:val="es-ES"/>
        </w:rPr>
        <w:t>(Spain)</w:t>
      </w:r>
    </w:p>
    <w:p w:rsidR="00B62AD9" w:rsidRPr="00D97463" w:rsidRDefault="00B62AD9" w:rsidP="00D97463">
      <w:pPr>
        <w:pStyle w:val="SingleTxt"/>
        <w:rPr>
          <w:lang w:val="es-ES"/>
        </w:rPr>
      </w:pPr>
      <w:r w:rsidRPr="00D97463">
        <w:rPr>
          <w:lang w:val="es-ES"/>
        </w:rPr>
        <w:tab/>
        <w:t>Mr.</w:t>
      </w:r>
      <w:r w:rsidR="00190923" w:rsidRPr="00495BC6">
        <w:rPr>
          <w:lang w:val="es-ES"/>
        </w:rPr>
        <w:t xml:space="preserve"> </w:t>
      </w:r>
      <w:r w:rsidRPr="00D97463">
        <w:rPr>
          <w:lang w:val="es-ES"/>
        </w:rPr>
        <w:t>Mathias</w:t>
      </w:r>
      <w:r w:rsidR="00190923" w:rsidRPr="00495BC6">
        <w:rPr>
          <w:lang w:val="es-ES"/>
        </w:rPr>
        <w:t xml:space="preserve"> </w:t>
      </w:r>
      <w:r w:rsidRPr="00D97463">
        <w:rPr>
          <w:lang w:val="es-ES"/>
        </w:rPr>
        <w:t>Forteau</w:t>
      </w:r>
      <w:r w:rsidR="00190923" w:rsidRPr="00495BC6">
        <w:rPr>
          <w:lang w:val="es-ES"/>
        </w:rPr>
        <w:t xml:space="preserve"> </w:t>
      </w:r>
      <w:r w:rsidRPr="00D97463">
        <w:rPr>
          <w:lang w:val="es-ES"/>
        </w:rPr>
        <w:t>(France)</w:t>
      </w:r>
    </w:p>
    <w:p w:rsidR="00B62AD9" w:rsidRPr="00D97463" w:rsidRDefault="00B62AD9" w:rsidP="00D97463">
      <w:pPr>
        <w:pStyle w:val="SingleTxt"/>
        <w:rPr>
          <w:lang w:val="es-ES"/>
        </w:rPr>
      </w:pPr>
      <w:r w:rsidRPr="00D97463">
        <w:rPr>
          <w:lang w:val="es-ES"/>
        </w:rPr>
        <w:tab/>
        <w:t>Mr.</w:t>
      </w:r>
      <w:r w:rsidR="00190923" w:rsidRPr="00495BC6">
        <w:rPr>
          <w:lang w:val="es-ES"/>
        </w:rPr>
        <w:t xml:space="preserve"> </w:t>
      </w:r>
      <w:r w:rsidRPr="00D97463">
        <w:rPr>
          <w:lang w:val="es-ES"/>
        </w:rPr>
        <w:t>Juan</w:t>
      </w:r>
      <w:r w:rsidR="00190923" w:rsidRPr="00495BC6">
        <w:rPr>
          <w:lang w:val="es-ES"/>
        </w:rPr>
        <w:t xml:space="preserve"> </w:t>
      </w:r>
      <w:r w:rsidRPr="00D97463">
        <w:rPr>
          <w:lang w:val="es-ES"/>
        </w:rPr>
        <w:t>Manuel</w:t>
      </w:r>
      <w:r w:rsidR="00190923" w:rsidRPr="00495BC6">
        <w:rPr>
          <w:lang w:val="es-ES"/>
        </w:rPr>
        <w:t xml:space="preserve"> </w:t>
      </w:r>
      <w:r w:rsidRPr="00D97463">
        <w:rPr>
          <w:lang w:val="es-ES"/>
        </w:rPr>
        <w:t>Gómez-Robledo</w:t>
      </w:r>
      <w:r w:rsidR="00190923" w:rsidRPr="00495BC6">
        <w:rPr>
          <w:lang w:val="es-ES"/>
        </w:rPr>
        <w:t xml:space="preserve"> </w:t>
      </w:r>
      <w:r w:rsidRPr="00D97463">
        <w:rPr>
          <w:lang w:val="es-ES"/>
        </w:rPr>
        <w:t>(Mexico)</w:t>
      </w:r>
    </w:p>
    <w:p w:rsidR="00B62AD9" w:rsidRPr="00981405" w:rsidRDefault="00B62AD9" w:rsidP="00D97463">
      <w:pPr>
        <w:pStyle w:val="SingleTxt"/>
      </w:pPr>
      <w:r w:rsidRPr="00D97463">
        <w:rPr>
          <w:lang w:val="es-ES"/>
        </w:rPr>
        <w:tab/>
      </w:r>
      <w:r w:rsidRPr="00981405">
        <w:t>Mr.</w:t>
      </w:r>
      <w:r w:rsidR="00190923" w:rsidRPr="00981405">
        <w:t xml:space="preserve"> </w:t>
      </w:r>
      <w:r w:rsidRPr="00981405">
        <w:t>Hussein</w:t>
      </w:r>
      <w:r w:rsidR="00190923" w:rsidRPr="00981405">
        <w:t xml:space="preserve"> </w:t>
      </w:r>
      <w:r w:rsidRPr="00981405">
        <w:t>A.</w:t>
      </w:r>
      <w:r w:rsidR="00190923" w:rsidRPr="00981405">
        <w:t xml:space="preserve"> </w:t>
      </w:r>
      <w:r w:rsidRPr="00981405">
        <w:t>Hassouna</w:t>
      </w:r>
      <w:r w:rsidR="00190923" w:rsidRPr="00981405">
        <w:t xml:space="preserve"> </w:t>
      </w:r>
      <w:r w:rsidRPr="00981405">
        <w:t>(Egypt)</w:t>
      </w:r>
    </w:p>
    <w:p w:rsidR="00B62AD9" w:rsidRPr="00981405" w:rsidRDefault="00B62AD9" w:rsidP="00D97463">
      <w:pPr>
        <w:pStyle w:val="SingleTxt"/>
      </w:pPr>
      <w:r w:rsidRPr="00981405">
        <w:tab/>
        <w:t>Mr.</w:t>
      </w:r>
      <w:r w:rsidR="00190923" w:rsidRPr="00981405">
        <w:t xml:space="preserve"> </w:t>
      </w:r>
      <w:r w:rsidRPr="00981405">
        <w:t>Mahmoud</w:t>
      </w:r>
      <w:r w:rsidR="00190923" w:rsidRPr="00981405">
        <w:t xml:space="preserve"> </w:t>
      </w:r>
      <w:r w:rsidRPr="00981405">
        <w:t>D.</w:t>
      </w:r>
      <w:r w:rsidR="00190923" w:rsidRPr="00981405">
        <w:t xml:space="preserve"> </w:t>
      </w:r>
      <w:r w:rsidRPr="00981405">
        <w:t>Hmoud</w:t>
      </w:r>
      <w:r w:rsidR="00190923" w:rsidRPr="00981405">
        <w:t xml:space="preserve"> </w:t>
      </w:r>
      <w:r w:rsidRPr="00981405">
        <w:t>(Jordan)</w:t>
      </w:r>
    </w:p>
    <w:p w:rsidR="00B62AD9" w:rsidRPr="00981405" w:rsidRDefault="00B62AD9" w:rsidP="00D97463">
      <w:pPr>
        <w:pStyle w:val="SingleTxt"/>
      </w:pPr>
      <w:r w:rsidRPr="00981405">
        <w:tab/>
        <w:t>Mr.</w:t>
      </w:r>
      <w:r w:rsidR="00190923" w:rsidRPr="00981405">
        <w:t xml:space="preserve"> </w:t>
      </w:r>
      <w:r w:rsidRPr="00981405">
        <w:t>Huikang</w:t>
      </w:r>
      <w:r w:rsidR="00190923" w:rsidRPr="00981405">
        <w:t xml:space="preserve"> </w:t>
      </w:r>
      <w:r w:rsidRPr="00981405">
        <w:t>Huang</w:t>
      </w:r>
      <w:r w:rsidR="00190923" w:rsidRPr="00981405">
        <w:t xml:space="preserve"> </w:t>
      </w:r>
      <w:r w:rsidRPr="00981405">
        <w:t>(China)</w:t>
      </w:r>
    </w:p>
    <w:p w:rsidR="00B62AD9" w:rsidRPr="00981405" w:rsidRDefault="00B62AD9" w:rsidP="00D97463">
      <w:pPr>
        <w:pStyle w:val="SingleTxt"/>
      </w:pPr>
      <w:r w:rsidRPr="00981405">
        <w:tab/>
        <w:t>Ms.</w:t>
      </w:r>
      <w:r w:rsidR="00190923" w:rsidRPr="00981405">
        <w:t xml:space="preserve"> </w:t>
      </w:r>
      <w:r w:rsidRPr="00981405">
        <w:t>Marie</w:t>
      </w:r>
      <w:r w:rsidR="00190923" w:rsidRPr="00981405">
        <w:t xml:space="preserve"> </w:t>
      </w:r>
      <w:r w:rsidRPr="00981405">
        <w:t>G.</w:t>
      </w:r>
      <w:r w:rsidR="00190923" w:rsidRPr="00981405">
        <w:t xml:space="preserve"> </w:t>
      </w:r>
      <w:r w:rsidRPr="00981405">
        <w:t>Jacobsson</w:t>
      </w:r>
      <w:r w:rsidR="00190923" w:rsidRPr="00981405">
        <w:t xml:space="preserve"> </w:t>
      </w:r>
      <w:r w:rsidRPr="00981405">
        <w:t>(Sweden)</w:t>
      </w:r>
    </w:p>
    <w:p w:rsidR="00B62AD9" w:rsidRPr="00981405" w:rsidRDefault="00B62AD9" w:rsidP="00D97463">
      <w:pPr>
        <w:pStyle w:val="SingleTxt"/>
      </w:pPr>
      <w:r w:rsidRPr="00981405">
        <w:tab/>
        <w:t>Mr.</w:t>
      </w:r>
      <w:r w:rsidR="00190923" w:rsidRPr="00981405">
        <w:t xml:space="preserve"> </w:t>
      </w:r>
      <w:r w:rsidRPr="00981405">
        <w:t>Maurice</w:t>
      </w:r>
      <w:r w:rsidR="00190923" w:rsidRPr="00981405">
        <w:t xml:space="preserve"> </w:t>
      </w:r>
      <w:r w:rsidRPr="00981405">
        <w:t>Kamto</w:t>
      </w:r>
      <w:r w:rsidR="00190923" w:rsidRPr="00981405">
        <w:t xml:space="preserve"> </w:t>
      </w:r>
      <w:r w:rsidRPr="00981405">
        <w:t>(Cameroon)</w:t>
      </w:r>
    </w:p>
    <w:p w:rsidR="00B62AD9" w:rsidRPr="00981405" w:rsidRDefault="00B62AD9" w:rsidP="00D97463">
      <w:pPr>
        <w:pStyle w:val="SingleTxt"/>
      </w:pPr>
      <w:r w:rsidRPr="00981405">
        <w:tab/>
        <w:t>Mr.</w:t>
      </w:r>
      <w:r w:rsidR="00190923" w:rsidRPr="00981405">
        <w:t xml:space="preserve"> </w:t>
      </w:r>
      <w:r w:rsidRPr="00981405">
        <w:t>Kriangsak</w:t>
      </w:r>
      <w:r w:rsidR="00190923" w:rsidRPr="00981405">
        <w:t xml:space="preserve"> </w:t>
      </w:r>
      <w:r w:rsidRPr="00981405">
        <w:t>Kittichaisaree</w:t>
      </w:r>
      <w:r w:rsidR="00190923" w:rsidRPr="00981405">
        <w:t xml:space="preserve"> </w:t>
      </w:r>
      <w:r w:rsidRPr="00981405">
        <w:t>(Thailand)</w:t>
      </w:r>
    </w:p>
    <w:p w:rsidR="00B62AD9" w:rsidRPr="00981405" w:rsidRDefault="00B62AD9" w:rsidP="00D97463">
      <w:pPr>
        <w:pStyle w:val="SingleTxt"/>
      </w:pPr>
      <w:r w:rsidRPr="00981405">
        <w:tab/>
        <w:t>Mr.</w:t>
      </w:r>
      <w:r w:rsidR="00190923" w:rsidRPr="00981405">
        <w:t xml:space="preserve"> </w:t>
      </w:r>
      <w:r w:rsidRPr="00981405">
        <w:t>Roman</w:t>
      </w:r>
      <w:r w:rsidR="00190923" w:rsidRPr="00981405">
        <w:t xml:space="preserve"> </w:t>
      </w:r>
      <w:r w:rsidRPr="00981405">
        <w:t>A.</w:t>
      </w:r>
      <w:r w:rsidR="00190923" w:rsidRPr="00981405">
        <w:t xml:space="preserve"> </w:t>
      </w:r>
      <w:r w:rsidRPr="00981405">
        <w:t>Kolodkin</w:t>
      </w:r>
      <w:r w:rsidR="00190923" w:rsidRPr="00981405">
        <w:t xml:space="preserve"> </w:t>
      </w:r>
      <w:r w:rsidRPr="00981405">
        <w:t>(Russian</w:t>
      </w:r>
      <w:r w:rsidR="00190923" w:rsidRPr="00981405">
        <w:t xml:space="preserve"> </w:t>
      </w:r>
      <w:r w:rsidRPr="00981405">
        <w:t>Federation)</w:t>
      </w:r>
      <w:r w:rsidRPr="00D97463">
        <w:rPr>
          <w:rStyle w:val="FootnoteReference"/>
        </w:rPr>
        <w:footnoteReference w:id="1"/>
      </w:r>
    </w:p>
    <w:p w:rsidR="00B62AD9" w:rsidRPr="00981405" w:rsidRDefault="00B62AD9" w:rsidP="00D97463">
      <w:pPr>
        <w:pStyle w:val="SingleTxt"/>
      </w:pPr>
      <w:r w:rsidRPr="00981405">
        <w:tab/>
        <w:t>Mr.</w:t>
      </w:r>
      <w:r w:rsidR="00190923" w:rsidRPr="00981405">
        <w:t xml:space="preserve"> </w:t>
      </w:r>
      <w:r w:rsidRPr="00981405">
        <w:t>Ahmed</w:t>
      </w:r>
      <w:r w:rsidR="00190923" w:rsidRPr="00981405">
        <w:t xml:space="preserve"> </w:t>
      </w:r>
      <w:r w:rsidRPr="00981405">
        <w:t>Laraba</w:t>
      </w:r>
      <w:r w:rsidR="00190923" w:rsidRPr="00981405">
        <w:t xml:space="preserve"> </w:t>
      </w:r>
      <w:r w:rsidRPr="00981405">
        <w:t>(Algeria)</w:t>
      </w:r>
    </w:p>
    <w:p w:rsidR="00B62AD9" w:rsidRPr="00981405" w:rsidRDefault="00B62AD9" w:rsidP="00D97463">
      <w:pPr>
        <w:pStyle w:val="SingleTxt"/>
      </w:pPr>
      <w:r w:rsidRPr="00981405">
        <w:tab/>
        <w:t>Mr.</w:t>
      </w:r>
      <w:r w:rsidR="00190923" w:rsidRPr="00981405">
        <w:t xml:space="preserve"> </w:t>
      </w:r>
      <w:r w:rsidRPr="00981405">
        <w:t>Donald</w:t>
      </w:r>
      <w:r w:rsidR="00190923" w:rsidRPr="00981405">
        <w:t xml:space="preserve"> </w:t>
      </w:r>
      <w:r w:rsidRPr="00981405">
        <w:t>M.</w:t>
      </w:r>
      <w:r w:rsidR="00190923" w:rsidRPr="00981405">
        <w:t xml:space="preserve"> </w:t>
      </w:r>
      <w:r w:rsidRPr="00981405">
        <w:t>McRae</w:t>
      </w:r>
      <w:r w:rsidR="00190923" w:rsidRPr="00981405">
        <w:t xml:space="preserve"> </w:t>
      </w:r>
      <w:r w:rsidRPr="00981405">
        <w:t>(Canada)</w:t>
      </w:r>
    </w:p>
    <w:p w:rsidR="00B62AD9" w:rsidRPr="00981405" w:rsidRDefault="00B62AD9" w:rsidP="00D97463">
      <w:pPr>
        <w:pStyle w:val="SingleTxt"/>
      </w:pPr>
      <w:r w:rsidRPr="00981405">
        <w:tab/>
        <w:t>Mr.</w:t>
      </w:r>
      <w:r w:rsidR="00190923" w:rsidRPr="00981405">
        <w:t xml:space="preserve"> </w:t>
      </w:r>
      <w:r w:rsidRPr="00981405">
        <w:t>Shinya</w:t>
      </w:r>
      <w:r w:rsidR="00190923" w:rsidRPr="00981405">
        <w:t xml:space="preserve"> </w:t>
      </w:r>
      <w:r w:rsidRPr="00981405">
        <w:t>Murase</w:t>
      </w:r>
      <w:r w:rsidR="00190923" w:rsidRPr="00981405">
        <w:t xml:space="preserve"> </w:t>
      </w:r>
      <w:r w:rsidRPr="00981405">
        <w:t>(Japan)</w:t>
      </w:r>
    </w:p>
    <w:p w:rsidR="00B62AD9" w:rsidRPr="00981405" w:rsidRDefault="00B62AD9" w:rsidP="00D97463">
      <w:pPr>
        <w:pStyle w:val="SingleTxt"/>
      </w:pPr>
      <w:r w:rsidRPr="00981405">
        <w:tab/>
        <w:t>Mr.</w:t>
      </w:r>
      <w:r w:rsidR="00190923" w:rsidRPr="00981405">
        <w:t xml:space="preserve"> </w:t>
      </w:r>
      <w:r w:rsidRPr="00981405">
        <w:t>Sean</w:t>
      </w:r>
      <w:r w:rsidR="00190923" w:rsidRPr="00981405">
        <w:t xml:space="preserve"> </w:t>
      </w:r>
      <w:r w:rsidRPr="00981405">
        <w:t>D.</w:t>
      </w:r>
      <w:r w:rsidR="00190923" w:rsidRPr="00981405">
        <w:t xml:space="preserve"> </w:t>
      </w:r>
      <w:r w:rsidRPr="00981405">
        <w:t>Murphy</w:t>
      </w:r>
      <w:r w:rsidR="00190923" w:rsidRPr="00981405">
        <w:t xml:space="preserve"> </w:t>
      </w:r>
      <w:r w:rsidRPr="00981405">
        <w:t>(United</w:t>
      </w:r>
      <w:r w:rsidR="00190923" w:rsidRPr="00981405">
        <w:t xml:space="preserve"> </w:t>
      </w:r>
      <w:r w:rsidRPr="00981405">
        <w:t>States</w:t>
      </w:r>
      <w:r w:rsidR="00190923" w:rsidRPr="00981405">
        <w:t xml:space="preserve"> </w:t>
      </w:r>
      <w:r w:rsidRPr="00981405">
        <w:t>of</w:t>
      </w:r>
      <w:r w:rsidR="00190923" w:rsidRPr="00981405">
        <w:t xml:space="preserve"> </w:t>
      </w:r>
      <w:r w:rsidRPr="00981405">
        <w:t>America)</w:t>
      </w:r>
    </w:p>
    <w:p w:rsidR="00B62AD9" w:rsidRPr="00981405" w:rsidRDefault="00B62AD9" w:rsidP="00D97463">
      <w:pPr>
        <w:pStyle w:val="SingleTxt"/>
      </w:pPr>
      <w:r w:rsidRPr="00981405">
        <w:tab/>
        <w:t>Mr.</w:t>
      </w:r>
      <w:r w:rsidR="00190923" w:rsidRPr="00981405">
        <w:t xml:space="preserve"> </w:t>
      </w:r>
      <w:r w:rsidRPr="00981405">
        <w:t>Bernd</w:t>
      </w:r>
      <w:r w:rsidR="00190923" w:rsidRPr="00981405">
        <w:t xml:space="preserve"> </w:t>
      </w:r>
      <w:r w:rsidRPr="00981405">
        <w:t>H.</w:t>
      </w:r>
      <w:r w:rsidR="00190923" w:rsidRPr="00981405">
        <w:t xml:space="preserve"> </w:t>
      </w:r>
      <w:r w:rsidRPr="00981405">
        <w:t>Niehaus</w:t>
      </w:r>
      <w:r w:rsidR="00190923" w:rsidRPr="00981405">
        <w:t xml:space="preserve"> </w:t>
      </w:r>
      <w:r w:rsidRPr="00981405">
        <w:t>(Costa</w:t>
      </w:r>
      <w:r w:rsidR="00190923" w:rsidRPr="00981405">
        <w:t xml:space="preserve"> </w:t>
      </w:r>
      <w:r w:rsidRPr="00981405">
        <w:t>Rica)</w:t>
      </w:r>
    </w:p>
    <w:p w:rsidR="00B62AD9" w:rsidRPr="00981405" w:rsidRDefault="00B62AD9" w:rsidP="00D97463">
      <w:pPr>
        <w:pStyle w:val="SingleTxt"/>
      </w:pPr>
      <w:r w:rsidRPr="00981405">
        <w:tab/>
        <w:t>Mr.</w:t>
      </w:r>
      <w:r w:rsidR="00190923" w:rsidRPr="00981405">
        <w:t xml:space="preserve"> </w:t>
      </w:r>
      <w:r w:rsidRPr="00981405">
        <w:t>Georg</w:t>
      </w:r>
      <w:r w:rsidR="00190923" w:rsidRPr="00981405">
        <w:t xml:space="preserve"> </w:t>
      </w:r>
      <w:r w:rsidRPr="00981405">
        <w:t>Nolte</w:t>
      </w:r>
      <w:r w:rsidR="00190923" w:rsidRPr="00981405">
        <w:t xml:space="preserve"> </w:t>
      </w:r>
      <w:r w:rsidRPr="00981405">
        <w:t>(Germany)</w:t>
      </w:r>
    </w:p>
    <w:p w:rsidR="00B62AD9" w:rsidRPr="00981405" w:rsidRDefault="00B62AD9" w:rsidP="00D97463">
      <w:pPr>
        <w:pStyle w:val="SingleTxt"/>
      </w:pPr>
      <w:r w:rsidRPr="00981405">
        <w:tab/>
        <w:t>Mr.</w:t>
      </w:r>
      <w:r w:rsidR="00190923" w:rsidRPr="00981405">
        <w:t xml:space="preserve"> </w:t>
      </w:r>
      <w:r w:rsidRPr="00981405">
        <w:t>Ki</w:t>
      </w:r>
      <w:r w:rsidR="00190923" w:rsidRPr="00981405">
        <w:t xml:space="preserve"> </w:t>
      </w:r>
      <w:r w:rsidRPr="00981405">
        <w:t>Gab</w:t>
      </w:r>
      <w:r w:rsidR="00190923" w:rsidRPr="00981405">
        <w:t xml:space="preserve"> </w:t>
      </w:r>
      <w:r w:rsidRPr="00981405">
        <w:t>Park</w:t>
      </w:r>
      <w:r w:rsidR="00190923" w:rsidRPr="00981405">
        <w:t xml:space="preserve"> </w:t>
      </w:r>
      <w:r w:rsidRPr="00981405">
        <w:t>(Republic</w:t>
      </w:r>
      <w:r w:rsidR="00190923" w:rsidRPr="00981405">
        <w:t xml:space="preserve"> </w:t>
      </w:r>
      <w:r w:rsidRPr="00981405">
        <w:t>of</w:t>
      </w:r>
      <w:r w:rsidR="00190923" w:rsidRPr="00981405">
        <w:t xml:space="preserve"> </w:t>
      </w:r>
      <w:r w:rsidRPr="00981405">
        <w:t>Korea)</w:t>
      </w:r>
    </w:p>
    <w:p w:rsidR="00B62AD9" w:rsidRPr="00981405" w:rsidRDefault="00B62AD9" w:rsidP="00D97463">
      <w:pPr>
        <w:pStyle w:val="SingleTxt"/>
      </w:pPr>
      <w:r w:rsidRPr="00981405">
        <w:tab/>
        <w:t>Mr.</w:t>
      </w:r>
      <w:r w:rsidR="00190923" w:rsidRPr="00981405">
        <w:t xml:space="preserve"> </w:t>
      </w:r>
      <w:r w:rsidRPr="00981405">
        <w:t>Chris</w:t>
      </w:r>
      <w:r w:rsidR="00190923" w:rsidRPr="00981405">
        <w:t xml:space="preserve"> </w:t>
      </w:r>
      <w:r w:rsidRPr="00981405">
        <w:t>Maina</w:t>
      </w:r>
      <w:r w:rsidR="00190923" w:rsidRPr="00981405">
        <w:t xml:space="preserve"> </w:t>
      </w:r>
      <w:r w:rsidRPr="00981405">
        <w:t>Peter</w:t>
      </w:r>
      <w:r w:rsidR="00190923" w:rsidRPr="00981405">
        <w:t xml:space="preserve"> </w:t>
      </w:r>
      <w:r w:rsidRPr="00981405">
        <w:t>(United</w:t>
      </w:r>
      <w:r w:rsidR="00190923" w:rsidRPr="00981405">
        <w:t xml:space="preserve"> </w:t>
      </w:r>
      <w:r w:rsidRPr="00981405">
        <w:t>Republic</w:t>
      </w:r>
      <w:r w:rsidR="00190923" w:rsidRPr="00981405">
        <w:t xml:space="preserve"> </w:t>
      </w:r>
      <w:r w:rsidRPr="00981405">
        <w:t>of</w:t>
      </w:r>
      <w:r w:rsidR="00190923" w:rsidRPr="00981405">
        <w:t xml:space="preserve"> </w:t>
      </w:r>
      <w:r w:rsidRPr="00981405">
        <w:t>Tanzania)</w:t>
      </w:r>
    </w:p>
    <w:p w:rsidR="00B62AD9" w:rsidRPr="00981405" w:rsidRDefault="00B62AD9" w:rsidP="00D97463">
      <w:pPr>
        <w:pStyle w:val="SingleTxt"/>
      </w:pPr>
      <w:r w:rsidRPr="00981405">
        <w:tab/>
        <w:t>Mr.</w:t>
      </w:r>
      <w:r w:rsidR="00190923" w:rsidRPr="00981405">
        <w:t xml:space="preserve"> </w:t>
      </w:r>
      <w:r w:rsidRPr="00981405">
        <w:t>Ernest</w:t>
      </w:r>
      <w:r w:rsidR="00190923" w:rsidRPr="00981405">
        <w:t xml:space="preserve"> </w:t>
      </w:r>
      <w:r w:rsidRPr="00981405">
        <w:t>Petrič</w:t>
      </w:r>
      <w:r w:rsidR="00190923" w:rsidRPr="00981405">
        <w:t xml:space="preserve"> </w:t>
      </w:r>
      <w:r w:rsidRPr="00981405">
        <w:t>(Slovenia)</w:t>
      </w:r>
    </w:p>
    <w:p w:rsidR="00B62AD9" w:rsidRPr="00981405" w:rsidRDefault="00B62AD9" w:rsidP="00D97463">
      <w:pPr>
        <w:pStyle w:val="SingleTxt"/>
      </w:pPr>
      <w:r w:rsidRPr="00981405">
        <w:tab/>
        <w:t>Mr.</w:t>
      </w:r>
      <w:r w:rsidR="00190923" w:rsidRPr="00981405">
        <w:t xml:space="preserve"> </w:t>
      </w:r>
      <w:r w:rsidRPr="00981405">
        <w:t>Gilberto</w:t>
      </w:r>
      <w:r w:rsidR="00190923" w:rsidRPr="00981405">
        <w:t xml:space="preserve"> </w:t>
      </w:r>
      <w:r w:rsidRPr="00981405">
        <w:t>Vergne</w:t>
      </w:r>
      <w:r w:rsidR="00190923" w:rsidRPr="00981405">
        <w:t xml:space="preserve"> </w:t>
      </w:r>
      <w:r w:rsidRPr="00981405">
        <w:t>Saboia</w:t>
      </w:r>
      <w:r w:rsidR="00190923" w:rsidRPr="00981405">
        <w:t xml:space="preserve"> </w:t>
      </w:r>
      <w:r w:rsidRPr="00981405">
        <w:t>(Brazil)</w:t>
      </w:r>
    </w:p>
    <w:p w:rsidR="00B62AD9" w:rsidRPr="00981405" w:rsidRDefault="00B62AD9" w:rsidP="00D97463">
      <w:pPr>
        <w:pStyle w:val="SingleTxt"/>
      </w:pPr>
      <w:r w:rsidRPr="00981405">
        <w:lastRenderedPageBreak/>
        <w:tab/>
        <w:t>Mr.</w:t>
      </w:r>
      <w:r w:rsidR="00190923" w:rsidRPr="00981405">
        <w:t xml:space="preserve"> </w:t>
      </w:r>
      <w:r w:rsidRPr="00981405">
        <w:t>Narinder</w:t>
      </w:r>
      <w:r w:rsidR="00190923" w:rsidRPr="00981405">
        <w:t xml:space="preserve"> </w:t>
      </w:r>
      <w:r w:rsidRPr="00981405">
        <w:t>Singh</w:t>
      </w:r>
      <w:r w:rsidR="00190923" w:rsidRPr="00981405">
        <w:t xml:space="preserve"> </w:t>
      </w:r>
      <w:r w:rsidRPr="00981405">
        <w:t>(India)</w:t>
      </w:r>
    </w:p>
    <w:p w:rsidR="00B62AD9" w:rsidRPr="00981405" w:rsidRDefault="00B62AD9" w:rsidP="00D97463">
      <w:pPr>
        <w:pStyle w:val="SingleTxt"/>
      </w:pPr>
      <w:r w:rsidRPr="00981405">
        <w:tab/>
        <w:t>Mr.</w:t>
      </w:r>
      <w:r w:rsidR="00190923" w:rsidRPr="00981405">
        <w:t xml:space="preserve"> </w:t>
      </w:r>
      <w:r w:rsidRPr="00981405">
        <w:t>Pavel</w:t>
      </w:r>
      <w:r w:rsidR="00190923" w:rsidRPr="00981405">
        <w:t xml:space="preserve"> </w:t>
      </w:r>
      <w:r w:rsidRPr="00981405">
        <w:t>Šturma</w:t>
      </w:r>
      <w:r w:rsidR="00190923" w:rsidRPr="00981405">
        <w:t xml:space="preserve"> </w:t>
      </w:r>
      <w:r w:rsidRPr="00981405">
        <w:t>(Czech</w:t>
      </w:r>
      <w:r w:rsidR="00190923" w:rsidRPr="00981405">
        <w:t xml:space="preserve"> </w:t>
      </w:r>
      <w:r w:rsidRPr="00981405">
        <w:t>Republic)</w:t>
      </w:r>
    </w:p>
    <w:p w:rsidR="00B62AD9" w:rsidRPr="00981405" w:rsidRDefault="00B62AD9" w:rsidP="00D97463">
      <w:pPr>
        <w:pStyle w:val="SingleTxt"/>
      </w:pPr>
      <w:r w:rsidRPr="00981405">
        <w:tab/>
        <w:t>Mr.</w:t>
      </w:r>
      <w:r w:rsidR="00190923" w:rsidRPr="00981405">
        <w:t xml:space="preserve"> </w:t>
      </w:r>
      <w:r w:rsidRPr="00981405">
        <w:t>Dire</w:t>
      </w:r>
      <w:r w:rsidR="00190923" w:rsidRPr="00981405">
        <w:t xml:space="preserve"> </w:t>
      </w:r>
      <w:r w:rsidRPr="00981405">
        <w:t>D.</w:t>
      </w:r>
      <w:r w:rsidR="00190923" w:rsidRPr="00981405">
        <w:t xml:space="preserve"> </w:t>
      </w:r>
      <w:r w:rsidRPr="00981405">
        <w:t>Tladi</w:t>
      </w:r>
      <w:r w:rsidR="00190923" w:rsidRPr="00981405">
        <w:t xml:space="preserve"> </w:t>
      </w:r>
      <w:r w:rsidRPr="00981405">
        <w:t>(South</w:t>
      </w:r>
      <w:r w:rsidR="00190923" w:rsidRPr="00981405">
        <w:t xml:space="preserve"> </w:t>
      </w:r>
      <w:r w:rsidRPr="00981405">
        <w:t>Africa)</w:t>
      </w:r>
    </w:p>
    <w:p w:rsidR="00B62AD9" w:rsidRPr="00D97463" w:rsidRDefault="00B62AD9" w:rsidP="00D97463">
      <w:pPr>
        <w:pStyle w:val="SingleTxt"/>
        <w:rPr>
          <w:lang w:val="es-ES"/>
        </w:rPr>
      </w:pPr>
      <w:r w:rsidRPr="00981405">
        <w:tab/>
      </w:r>
      <w:r w:rsidRPr="00D97463">
        <w:rPr>
          <w:lang w:val="es-ES"/>
        </w:rPr>
        <w:t>Mr.</w:t>
      </w:r>
      <w:r w:rsidR="00190923" w:rsidRPr="00495BC6">
        <w:rPr>
          <w:lang w:val="es-ES"/>
        </w:rPr>
        <w:t xml:space="preserve"> </w:t>
      </w:r>
      <w:r w:rsidRPr="00D97463">
        <w:rPr>
          <w:lang w:val="es-ES"/>
        </w:rPr>
        <w:t>Eduardo</w:t>
      </w:r>
      <w:r w:rsidR="00190923" w:rsidRPr="00495BC6">
        <w:rPr>
          <w:lang w:val="es-ES"/>
        </w:rPr>
        <w:t xml:space="preserve"> </w:t>
      </w:r>
      <w:r w:rsidRPr="00D97463">
        <w:rPr>
          <w:lang w:val="es-ES"/>
        </w:rPr>
        <w:t>Valencia-Ospina</w:t>
      </w:r>
      <w:r w:rsidR="00190923" w:rsidRPr="00495BC6">
        <w:rPr>
          <w:lang w:val="es-ES"/>
        </w:rPr>
        <w:t xml:space="preserve"> </w:t>
      </w:r>
      <w:r w:rsidRPr="00D97463">
        <w:rPr>
          <w:lang w:val="es-ES"/>
        </w:rPr>
        <w:t>(Colombia)</w:t>
      </w:r>
    </w:p>
    <w:p w:rsidR="00B62AD9" w:rsidRPr="00D97463" w:rsidRDefault="00B62AD9" w:rsidP="00D97463">
      <w:pPr>
        <w:pStyle w:val="SingleTxt"/>
        <w:rPr>
          <w:lang w:val="es-ES"/>
        </w:rPr>
      </w:pPr>
      <w:r w:rsidRPr="00D97463">
        <w:rPr>
          <w:lang w:val="es-ES"/>
        </w:rPr>
        <w:tab/>
        <w:t>Mr.</w:t>
      </w:r>
      <w:r w:rsidR="00190923" w:rsidRPr="00495BC6">
        <w:rPr>
          <w:lang w:val="es-ES"/>
        </w:rPr>
        <w:t xml:space="preserve"> </w:t>
      </w:r>
      <w:r w:rsidRPr="00D97463">
        <w:rPr>
          <w:lang w:val="es-ES"/>
        </w:rPr>
        <w:t>Marcelo</w:t>
      </w:r>
      <w:r w:rsidR="00190923" w:rsidRPr="00495BC6">
        <w:rPr>
          <w:lang w:val="es-ES"/>
        </w:rPr>
        <w:t xml:space="preserve"> </w:t>
      </w:r>
      <w:r w:rsidRPr="00D97463">
        <w:rPr>
          <w:lang w:val="es-ES"/>
        </w:rPr>
        <w:t>Vázquez-Bermúdez</w:t>
      </w:r>
      <w:r w:rsidR="00190923" w:rsidRPr="00495BC6">
        <w:rPr>
          <w:lang w:val="es-ES"/>
        </w:rPr>
        <w:t xml:space="preserve"> </w:t>
      </w:r>
      <w:r w:rsidRPr="00D97463">
        <w:rPr>
          <w:lang w:val="es-ES"/>
        </w:rPr>
        <w:t>(Ecuador)</w:t>
      </w:r>
    </w:p>
    <w:p w:rsidR="00B62AD9" w:rsidRPr="00981405" w:rsidRDefault="00B62AD9" w:rsidP="00D97463">
      <w:pPr>
        <w:pStyle w:val="SingleTxt"/>
      </w:pPr>
      <w:r w:rsidRPr="00D97463">
        <w:rPr>
          <w:lang w:val="es-ES"/>
        </w:rPr>
        <w:tab/>
      </w:r>
      <w:r w:rsidRPr="00981405">
        <w:t>Mr.</w:t>
      </w:r>
      <w:r w:rsidR="00190923" w:rsidRPr="00981405">
        <w:t xml:space="preserve"> </w:t>
      </w:r>
      <w:r w:rsidRPr="00981405">
        <w:t>Amos</w:t>
      </w:r>
      <w:r w:rsidR="00190923" w:rsidRPr="00981405">
        <w:t xml:space="preserve"> </w:t>
      </w:r>
      <w:r w:rsidRPr="00981405">
        <w:t>S.</w:t>
      </w:r>
      <w:r w:rsidR="00190923" w:rsidRPr="00981405">
        <w:t xml:space="preserve"> </w:t>
      </w:r>
      <w:r w:rsidRPr="00981405">
        <w:t>Wako</w:t>
      </w:r>
      <w:r w:rsidR="00190923" w:rsidRPr="00981405">
        <w:t xml:space="preserve"> </w:t>
      </w:r>
      <w:r w:rsidRPr="00981405">
        <w:t>(Kenya)</w:t>
      </w:r>
    </w:p>
    <w:p w:rsidR="00B62AD9" w:rsidRPr="00981405" w:rsidRDefault="00B62AD9" w:rsidP="00D97463">
      <w:pPr>
        <w:pStyle w:val="SingleTxt"/>
      </w:pPr>
      <w:r w:rsidRPr="00981405">
        <w:tab/>
        <w:t>Mr.</w:t>
      </w:r>
      <w:r w:rsidR="00190923" w:rsidRPr="00981405">
        <w:t xml:space="preserve"> </w:t>
      </w:r>
      <w:r w:rsidRPr="00981405">
        <w:t>Nugroho</w:t>
      </w:r>
      <w:r w:rsidR="00190923" w:rsidRPr="00981405">
        <w:t xml:space="preserve"> </w:t>
      </w:r>
      <w:r w:rsidRPr="00981405">
        <w:t>Wisnumurti</w:t>
      </w:r>
      <w:r w:rsidR="00190923" w:rsidRPr="00981405">
        <w:t xml:space="preserve"> </w:t>
      </w:r>
      <w:r w:rsidRPr="00981405">
        <w:t>(Indonesia)</w:t>
      </w:r>
    </w:p>
    <w:p w:rsidR="00B62AD9" w:rsidRPr="00981405" w:rsidRDefault="00B62AD9" w:rsidP="00D97463">
      <w:pPr>
        <w:pStyle w:val="SingleTxt"/>
      </w:pPr>
      <w:r w:rsidRPr="00981405">
        <w:tab/>
        <w:t>Mr.</w:t>
      </w:r>
      <w:r w:rsidR="00190923" w:rsidRPr="00981405">
        <w:t xml:space="preserve"> </w:t>
      </w:r>
      <w:r w:rsidRPr="00981405">
        <w:t>Michael</w:t>
      </w:r>
      <w:r w:rsidR="00190923" w:rsidRPr="00981405">
        <w:t xml:space="preserve"> </w:t>
      </w:r>
      <w:r w:rsidRPr="00981405">
        <w:t>Wood</w:t>
      </w:r>
      <w:r w:rsidR="00190923" w:rsidRPr="00981405">
        <w:t xml:space="preserve"> </w:t>
      </w:r>
      <w:r w:rsidRPr="00981405">
        <w:t>(United</w:t>
      </w:r>
      <w:r w:rsidR="00190923" w:rsidRPr="00981405">
        <w:t xml:space="preserve"> </w:t>
      </w:r>
      <w:r w:rsidRPr="00981405">
        <w:t>Kingdom</w:t>
      </w:r>
      <w:r w:rsidR="00190923" w:rsidRPr="00981405">
        <w:t xml:space="preserve"> </w:t>
      </w:r>
      <w:r w:rsidRPr="00981405">
        <w:t>of</w:t>
      </w:r>
      <w:r w:rsidR="00190923" w:rsidRPr="00981405">
        <w:t xml:space="preserve"> </w:t>
      </w:r>
      <w:r w:rsidRPr="00981405">
        <w:t>Great</w:t>
      </w:r>
      <w:r w:rsidR="00190923" w:rsidRPr="00981405">
        <w:t xml:space="preserve"> </w:t>
      </w:r>
      <w:r w:rsidRPr="00981405">
        <w:t>Britain</w:t>
      </w:r>
      <w:r w:rsidR="00190923" w:rsidRPr="00981405">
        <w:t xml:space="preserve"> </w:t>
      </w:r>
      <w:r w:rsidRPr="00981405">
        <w:t>and</w:t>
      </w:r>
      <w:r w:rsidR="00190923" w:rsidRPr="00981405">
        <w:t xml:space="preserve"> </w:t>
      </w:r>
      <w:r w:rsidRPr="00981405">
        <w:t>Northern</w:t>
      </w:r>
      <w:r w:rsidR="00190923" w:rsidRPr="00981405">
        <w:t xml:space="preserve"> </w:t>
      </w:r>
      <w:r w:rsidRPr="00981405">
        <w:t>Ireland)</w:t>
      </w:r>
    </w:p>
    <w:p w:rsidR="00B62AD9" w:rsidRPr="00D97463" w:rsidRDefault="00B62AD9" w:rsidP="00D97463">
      <w:pPr>
        <w:pStyle w:val="SingleTxt"/>
        <w:spacing w:after="0" w:line="120" w:lineRule="exact"/>
        <w:rPr>
          <w:sz w:val="10"/>
        </w:rPr>
      </w:pPr>
    </w:p>
    <w:p w:rsidR="002B210B" w:rsidRPr="00D97463" w:rsidRDefault="002B210B" w:rsidP="00D97463">
      <w:pPr>
        <w:pStyle w:val="SingleTxt"/>
        <w:spacing w:after="0" w:line="120" w:lineRule="exact"/>
        <w:rPr>
          <w:sz w:val="10"/>
        </w:rPr>
      </w:pPr>
    </w:p>
    <w:p w:rsidR="00B62AD9" w:rsidRPr="00D97463" w:rsidRDefault="002B210B" w:rsidP="00D97463">
      <w:pPr>
        <w:pStyle w:val="H1"/>
        <w:ind w:right="1260"/>
      </w:pPr>
      <w:bookmarkStart w:id="4" w:name="_Toc427828343"/>
      <w:r w:rsidRPr="00D97463">
        <w:tab/>
      </w:r>
      <w:r w:rsidR="00B62AD9" w:rsidRPr="00D97463">
        <w:t>B.</w:t>
      </w:r>
      <w:r w:rsidR="00B62AD9" w:rsidRPr="00D97463">
        <w:tab/>
        <w:t>Casual</w:t>
      </w:r>
      <w:r w:rsidR="00190923" w:rsidRPr="00D97463">
        <w:t xml:space="preserve"> </w:t>
      </w:r>
      <w:r w:rsidR="00B62AD9" w:rsidRPr="00D97463">
        <w:t>vacancy</w:t>
      </w:r>
      <w:bookmarkEnd w:id="4"/>
    </w:p>
    <w:p w:rsidR="002B210B" w:rsidRPr="00D97463" w:rsidRDefault="002B210B" w:rsidP="00D97463">
      <w:pPr>
        <w:pStyle w:val="SingleTxt"/>
        <w:spacing w:after="0" w:line="120" w:lineRule="exact"/>
        <w:rPr>
          <w:sz w:val="10"/>
        </w:rPr>
      </w:pPr>
    </w:p>
    <w:p w:rsidR="002B210B" w:rsidRPr="00D97463" w:rsidRDefault="002B210B" w:rsidP="00D97463">
      <w:pPr>
        <w:pStyle w:val="SingleTxt"/>
        <w:spacing w:after="0" w:line="120" w:lineRule="exact"/>
        <w:rPr>
          <w:sz w:val="10"/>
        </w:rPr>
      </w:pPr>
    </w:p>
    <w:p w:rsidR="00397032" w:rsidRPr="00981405" w:rsidRDefault="00397032" w:rsidP="00D97463">
      <w:pPr>
        <w:pStyle w:val="SingleTxt"/>
      </w:pPr>
      <w:bookmarkStart w:id="5" w:name="_Ref284942900"/>
      <w:bookmarkEnd w:id="5"/>
      <w:r w:rsidRPr="00981405">
        <w:t>3.</w:t>
      </w:r>
      <w:r w:rsidRPr="00981405">
        <w:tab/>
        <w:t>On</w:t>
      </w:r>
      <w:r w:rsidR="00190923" w:rsidRPr="00981405">
        <w:t xml:space="preserve"> </w:t>
      </w:r>
      <w:r w:rsidRPr="00981405">
        <w:t>8</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elected</w:t>
      </w:r>
      <w:r w:rsidR="00190923" w:rsidRPr="00981405">
        <w:t xml:space="preserve"> </w:t>
      </w:r>
      <w:r w:rsidRPr="00981405">
        <w:t>Mr.</w:t>
      </w:r>
      <w:r w:rsidR="00190923" w:rsidRPr="00981405">
        <w:t xml:space="preserve"> </w:t>
      </w:r>
      <w:r w:rsidRPr="00981405">
        <w:t>Roman</w:t>
      </w:r>
      <w:r w:rsidR="00190923" w:rsidRPr="00981405">
        <w:t xml:space="preserve"> </w:t>
      </w:r>
      <w:r w:rsidRPr="00981405">
        <w:t>A.</w:t>
      </w:r>
      <w:r w:rsidR="00190923" w:rsidRPr="00981405">
        <w:t xml:space="preserve"> </w:t>
      </w:r>
      <w:r w:rsidRPr="00981405">
        <w:t>Kolodkin</w:t>
      </w:r>
      <w:r w:rsidR="00190923" w:rsidRPr="00981405">
        <w:t xml:space="preserve"> </w:t>
      </w:r>
      <w:r w:rsidRPr="00981405">
        <w:t>to</w:t>
      </w:r>
      <w:r w:rsidR="00190923" w:rsidRPr="00981405">
        <w:t xml:space="preserve"> </w:t>
      </w:r>
      <w:r w:rsidRPr="00981405">
        <w:t>fill</w:t>
      </w:r>
      <w:r w:rsidR="00190923" w:rsidRPr="00981405">
        <w:t xml:space="preserve"> </w:t>
      </w:r>
      <w:r w:rsidRPr="00981405">
        <w:t>the</w:t>
      </w:r>
      <w:r w:rsidR="00190923" w:rsidRPr="00981405">
        <w:t xml:space="preserve"> </w:t>
      </w:r>
      <w:r w:rsidRPr="00981405">
        <w:t>casual</w:t>
      </w:r>
      <w:r w:rsidR="00190923" w:rsidRPr="00981405">
        <w:t xml:space="preserve"> </w:t>
      </w:r>
      <w:r w:rsidRPr="00981405">
        <w:t>vacancy</w:t>
      </w:r>
      <w:r w:rsidR="00190923" w:rsidRPr="00981405">
        <w:t xml:space="preserve"> </w:t>
      </w:r>
      <w:r w:rsidRPr="00981405">
        <w:t>occasioned</w:t>
      </w:r>
      <w:r w:rsidR="00190923" w:rsidRPr="00981405">
        <w:t xml:space="preserve"> </w:t>
      </w:r>
      <w:r w:rsidRPr="00981405">
        <w:t>by</w:t>
      </w:r>
      <w:r w:rsidR="00190923" w:rsidRPr="00981405">
        <w:t xml:space="preserve"> </w:t>
      </w:r>
      <w:r w:rsidRPr="00981405">
        <w:t>the</w:t>
      </w:r>
      <w:r w:rsidR="00190923" w:rsidRPr="00981405">
        <w:t xml:space="preserve"> </w:t>
      </w:r>
      <w:r w:rsidRPr="00981405">
        <w:t>resignation</w:t>
      </w:r>
      <w:r w:rsidR="00190923" w:rsidRPr="00981405">
        <w:t xml:space="preserve"> </w:t>
      </w:r>
      <w:r w:rsidRPr="00981405">
        <w:t>of</w:t>
      </w:r>
      <w:r w:rsidR="00190923" w:rsidRPr="00981405">
        <w:t xml:space="preserve"> </w:t>
      </w:r>
      <w:r w:rsidRPr="00981405">
        <w:t>Mr.</w:t>
      </w:r>
      <w:r w:rsidR="00190923" w:rsidRPr="00981405">
        <w:t xml:space="preserve"> </w:t>
      </w:r>
      <w:r w:rsidRPr="00981405">
        <w:t>Kirill</w:t>
      </w:r>
      <w:r w:rsidR="00190923" w:rsidRPr="00981405">
        <w:t xml:space="preserve"> </w:t>
      </w:r>
      <w:r w:rsidRPr="00981405">
        <w:t>Gevorgian.</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1"/>
        <w:ind w:right="1260"/>
      </w:pPr>
      <w:r w:rsidRPr="00D97463">
        <w:tab/>
      </w:r>
      <w:bookmarkStart w:id="6" w:name="_Toc427938070"/>
      <w:r w:rsidRPr="00D97463">
        <w:t>C.</w:t>
      </w:r>
      <w:r w:rsidRPr="00D97463">
        <w:tab/>
        <w:t>Officers</w:t>
      </w:r>
      <w:r w:rsidR="00190923" w:rsidRPr="00D97463">
        <w:t xml:space="preserve"> </w:t>
      </w:r>
      <w:r w:rsidRPr="00D97463">
        <w:t>and</w:t>
      </w:r>
      <w:r w:rsidR="00190923" w:rsidRPr="00D97463">
        <w:t xml:space="preserve"> </w:t>
      </w:r>
      <w:r w:rsidRPr="00D97463">
        <w:t>the</w:t>
      </w:r>
      <w:r w:rsidR="00190923" w:rsidRPr="00D97463">
        <w:t xml:space="preserve"> </w:t>
      </w:r>
      <w:r w:rsidRPr="00D97463">
        <w:t>Enlarged</w:t>
      </w:r>
      <w:r w:rsidR="00190923" w:rsidRPr="00D97463">
        <w:t xml:space="preserve"> </w:t>
      </w:r>
      <w:r w:rsidRPr="00D97463">
        <w:t>Bureau</w:t>
      </w:r>
      <w:bookmarkEnd w:id="6"/>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4.</w:t>
      </w:r>
      <w:r w:rsidRPr="00981405">
        <w:tab/>
        <w:t>At</w:t>
      </w:r>
      <w:r w:rsidR="00190923" w:rsidRPr="00981405">
        <w:t xml:space="preserve"> </w:t>
      </w:r>
      <w:r w:rsidRPr="00981405">
        <w:t>its</w:t>
      </w:r>
      <w:r w:rsidR="00190923" w:rsidRPr="00981405">
        <w:t xml:space="preserve"> </w:t>
      </w:r>
      <w:r w:rsidRPr="00981405">
        <w:t>3244th</w:t>
      </w:r>
      <w:r w:rsidR="00190923" w:rsidRPr="00981405">
        <w:t xml:space="preserve"> </w:t>
      </w:r>
      <w:r w:rsidRPr="00981405">
        <w:t>meeting,</w:t>
      </w:r>
      <w:r w:rsidR="00190923" w:rsidRPr="00981405">
        <w:t xml:space="preserve"> </w:t>
      </w:r>
      <w:r w:rsidRPr="00981405">
        <w:t>on</w:t>
      </w:r>
      <w:r w:rsidR="00190923" w:rsidRPr="00981405">
        <w:t xml:space="preserve"> </w:t>
      </w:r>
      <w:r w:rsidRPr="00981405">
        <w:t>4</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elected</w:t>
      </w:r>
      <w:r w:rsidR="00190923" w:rsidRPr="00981405">
        <w:t xml:space="preserve"> </w:t>
      </w:r>
      <w:r w:rsidRPr="00981405">
        <w:t>the</w:t>
      </w:r>
      <w:r w:rsidR="00190923" w:rsidRPr="00981405">
        <w:t xml:space="preserve"> </w:t>
      </w:r>
      <w:r w:rsidRPr="00981405">
        <w:t>following</w:t>
      </w:r>
      <w:r w:rsidR="00190923" w:rsidRPr="00981405">
        <w:t xml:space="preserve"> </w:t>
      </w:r>
      <w:r w:rsidRPr="00981405">
        <w:t>officers:</w:t>
      </w:r>
    </w:p>
    <w:p w:rsidR="00397032" w:rsidRPr="00981405" w:rsidRDefault="00397032" w:rsidP="00D97463">
      <w:pPr>
        <w:pStyle w:val="SingleTxt"/>
      </w:pPr>
      <w:r w:rsidRPr="00981405">
        <w:tab/>
        <w:t>Chairman:</w:t>
      </w:r>
      <w:r w:rsidRPr="00981405">
        <w:tab/>
      </w:r>
      <w:r w:rsidRPr="00981405">
        <w:tab/>
      </w:r>
      <w:r w:rsidRPr="00981405">
        <w:tab/>
      </w:r>
      <w:r w:rsidRPr="00981405">
        <w:tab/>
      </w:r>
      <w:r w:rsidRPr="00981405">
        <w:tab/>
      </w:r>
      <w:r w:rsidRPr="00981405">
        <w:tab/>
        <w:t>Mr.</w:t>
      </w:r>
      <w:r w:rsidR="00190923" w:rsidRPr="00981405">
        <w:t xml:space="preserve"> </w:t>
      </w:r>
      <w:r w:rsidRPr="00981405">
        <w:t>Narinder</w:t>
      </w:r>
      <w:r w:rsidR="00190923" w:rsidRPr="00981405">
        <w:t xml:space="preserve"> </w:t>
      </w:r>
      <w:r w:rsidRPr="00981405">
        <w:t>Singh</w:t>
      </w:r>
      <w:r w:rsidR="00190923" w:rsidRPr="00981405">
        <w:t xml:space="preserve"> </w:t>
      </w:r>
      <w:r w:rsidRPr="00981405">
        <w:t>(India)</w:t>
      </w:r>
    </w:p>
    <w:p w:rsidR="00397032" w:rsidRPr="00981405" w:rsidRDefault="00397032" w:rsidP="00D97463">
      <w:pPr>
        <w:pStyle w:val="SingleTxt"/>
      </w:pPr>
      <w:r w:rsidRPr="00981405">
        <w:tab/>
        <w:t>First</w:t>
      </w:r>
      <w:r w:rsidR="00190923" w:rsidRPr="00981405">
        <w:t xml:space="preserve"> </w:t>
      </w:r>
      <w:r w:rsidRPr="00981405">
        <w:t>Vice-Chairman:</w:t>
      </w:r>
      <w:r w:rsidRPr="00981405">
        <w:tab/>
      </w:r>
      <w:r w:rsidRPr="00981405">
        <w:tab/>
      </w:r>
      <w:r w:rsidRPr="00981405">
        <w:tab/>
      </w:r>
      <w:r w:rsidRPr="00981405">
        <w:tab/>
        <w:t>Mr.</w:t>
      </w:r>
      <w:r w:rsidR="00190923" w:rsidRPr="00981405">
        <w:t xml:space="preserve"> </w:t>
      </w:r>
      <w:r w:rsidRPr="00981405">
        <w:t>Amos</w:t>
      </w:r>
      <w:r w:rsidR="00190923" w:rsidRPr="00981405">
        <w:t xml:space="preserve"> </w:t>
      </w:r>
      <w:r w:rsidRPr="00981405">
        <w:t>S.</w:t>
      </w:r>
      <w:r w:rsidR="00190923" w:rsidRPr="00981405">
        <w:t xml:space="preserve"> </w:t>
      </w:r>
      <w:r w:rsidRPr="00981405">
        <w:t>Wako</w:t>
      </w:r>
      <w:r w:rsidR="00190923" w:rsidRPr="00981405">
        <w:t xml:space="preserve"> </w:t>
      </w:r>
      <w:r w:rsidRPr="00981405">
        <w:t>(Kenya)</w:t>
      </w:r>
    </w:p>
    <w:p w:rsidR="00397032" w:rsidRPr="00981405" w:rsidRDefault="00397032" w:rsidP="00D97463">
      <w:pPr>
        <w:pStyle w:val="SingleTxt"/>
      </w:pPr>
      <w:r w:rsidRPr="00981405">
        <w:tab/>
        <w:t>Second</w:t>
      </w:r>
      <w:r w:rsidR="00190923" w:rsidRPr="00981405">
        <w:t xml:space="preserve"> </w:t>
      </w:r>
      <w:r w:rsidRPr="00981405">
        <w:t>Vice-Chairman:</w:t>
      </w:r>
      <w:r w:rsidRPr="00981405">
        <w:tab/>
      </w:r>
      <w:r w:rsidRPr="00981405">
        <w:tab/>
      </w:r>
      <w:r w:rsidRPr="00981405">
        <w:tab/>
        <w:t>Mr.</w:t>
      </w:r>
      <w:r w:rsidR="00190923" w:rsidRPr="00981405">
        <w:t xml:space="preserve"> </w:t>
      </w:r>
      <w:r w:rsidRPr="00981405">
        <w:t>Pavel</w:t>
      </w:r>
      <w:r w:rsidR="00190923" w:rsidRPr="00981405">
        <w:t xml:space="preserve"> </w:t>
      </w:r>
      <w:r w:rsidRPr="00981405">
        <w:t>Šturma</w:t>
      </w:r>
      <w:r w:rsidR="00190923" w:rsidRPr="00981405">
        <w:t xml:space="preserve"> </w:t>
      </w:r>
      <w:r w:rsidRPr="00981405">
        <w:t>(Czech</w:t>
      </w:r>
      <w:r w:rsidR="00190923" w:rsidRPr="00981405">
        <w:t xml:space="preserve"> </w:t>
      </w:r>
      <w:r w:rsidRPr="00981405">
        <w:t>Republic)</w:t>
      </w:r>
    </w:p>
    <w:p w:rsidR="00397032" w:rsidRPr="00981405" w:rsidRDefault="00397032" w:rsidP="00D97463">
      <w:pPr>
        <w:pStyle w:val="SingleTxt"/>
      </w:pPr>
      <w:r w:rsidRPr="00981405">
        <w:tab/>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Pr="00981405">
        <w:tab/>
        <w:t>Mr.</w:t>
      </w:r>
      <w:r w:rsidR="00190923" w:rsidRPr="00981405">
        <w:t xml:space="preserve"> </w:t>
      </w:r>
      <w:r w:rsidRPr="00981405">
        <w:t>Mathias</w:t>
      </w:r>
      <w:r w:rsidR="00190923" w:rsidRPr="00981405">
        <w:t xml:space="preserve"> </w:t>
      </w:r>
      <w:r w:rsidRPr="00981405">
        <w:t>Forteau</w:t>
      </w:r>
      <w:r w:rsidR="00190923" w:rsidRPr="00981405">
        <w:t xml:space="preserve"> </w:t>
      </w:r>
      <w:r w:rsidRPr="00981405">
        <w:t>(France)</w:t>
      </w:r>
    </w:p>
    <w:p w:rsidR="00397032" w:rsidRPr="00D97463" w:rsidRDefault="00397032" w:rsidP="00D97463">
      <w:pPr>
        <w:pStyle w:val="SingleTxt"/>
        <w:rPr>
          <w:lang w:val="es-ES"/>
        </w:rPr>
      </w:pPr>
      <w:r w:rsidRPr="00981405">
        <w:tab/>
      </w:r>
      <w:r w:rsidRPr="00D97463">
        <w:rPr>
          <w:lang w:val="es-ES"/>
        </w:rPr>
        <w:t>Rapporteur:</w:t>
      </w:r>
      <w:r w:rsidRPr="00D97463">
        <w:rPr>
          <w:lang w:val="es-ES"/>
        </w:rPr>
        <w:tab/>
      </w:r>
      <w:r w:rsidRPr="00D97463">
        <w:rPr>
          <w:lang w:val="es-ES"/>
        </w:rPr>
        <w:tab/>
      </w:r>
      <w:r w:rsidRPr="00D97463">
        <w:rPr>
          <w:lang w:val="es-ES"/>
        </w:rPr>
        <w:tab/>
      </w:r>
      <w:r w:rsidRPr="00D97463">
        <w:rPr>
          <w:lang w:val="es-ES"/>
        </w:rPr>
        <w:tab/>
      </w:r>
      <w:r w:rsidRPr="00D97463">
        <w:rPr>
          <w:lang w:val="es-ES"/>
        </w:rPr>
        <w:tab/>
        <w:t>Mr.</w:t>
      </w:r>
      <w:r w:rsidR="00190923" w:rsidRPr="00495BC6">
        <w:rPr>
          <w:lang w:val="es-ES"/>
        </w:rPr>
        <w:t xml:space="preserve"> </w:t>
      </w:r>
      <w:r w:rsidRPr="00D97463">
        <w:rPr>
          <w:lang w:val="es-ES"/>
        </w:rPr>
        <w:t>Marcelo</w:t>
      </w:r>
      <w:r w:rsidR="00190923" w:rsidRPr="00495BC6">
        <w:rPr>
          <w:lang w:val="es-ES"/>
        </w:rPr>
        <w:t xml:space="preserve"> </w:t>
      </w:r>
      <w:r w:rsidRPr="00D97463">
        <w:rPr>
          <w:lang w:val="es-ES"/>
        </w:rPr>
        <w:t>Vázquez-Bermúdez</w:t>
      </w:r>
      <w:r w:rsidRPr="00495BC6">
        <w:rPr>
          <w:lang w:val="es-ES"/>
        </w:rPr>
        <w:tab/>
      </w:r>
      <w:r w:rsidRPr="00495BC6">
        <w:rPr>
          <w:lang w:val="es-ES"/>
        </w:rPr>
        <w:tab/>
      </w:r>
      <w:r w:rsidRPr="00495BC6">
        <w:rPr>
          <w:lang w:val="es-ES"/>
        </w:rPr>
        <w:tab/>
      </w:r>
      <w:r w:rsidRPr="00495BC6">
        <w:rPr>
          <w:lang w:val="es-ES"/>
        </w:rPr>
        <w:tab/>
      </w:r>
      <w:r w:rsidRPr="00495BC6">
        <w:rPr>
          <w:lang w:val="es-ES"/>
        </w:rPr>
        <w:tab/>
      </w:r>
      <w:r w:rsidRPr="00495BC6">
        <w:rPr>
          <w:lang w:val="es-ES"/>
        </w:rPr>
        <w:tab/>
      </w:r>
      <w:r w:rsidRPr="00495BC6">
        <w:rPr>
          <w:lang w:val="es-ES"/>
        </w:rPr>
        <w:tab/>
      </w:r>
      <w:r w:rsidRPr="00495BC6">
        <w:rPr>
          <w:lang w:val="es-ES"/>
        </w:rPr>
        <w:tab/>
      </w:r>
      <w:r w:rsidR="003342A7">
        <w:rPr>
          <w:lang w:val="es-ES"/>
        </w:rPr>
        <w:tab/>
      </w:r>
      <w:r w:rsidR="003342A7">
        <w:rPr>
          <w:lang w:val="es-ES"/>
        </w:rPr>
        <w:tab/>
      </w:r>
      <w:r w:rsidRPr="00D97463">
        <w:rPr>
          <w:lang w:val="es-ES"/>
        </w:rPr>
        <w:t>(Ecuador)</w:t>
      </w:r>
    </w:p>
    <w:p w:rsidR="00397032" w:rsidRPr="00981405" w:rsidRDefault="00397032" w:rsidP="00D97463">
      <w:pPr>
        <w:pStyle w:val="SingleTxt"/>
      </w:pPr>
      <w:r w:rsidRPr="00981405">
        <w:t>5.</w:t>
      </w:r>
      <w:r w:rsidRPr="00981405">
        <w:tab/>
        <w:t>The</w:t>
      </w:r>
      <w:r w:rsidR="00190923" w:rsidRPr="00981405">
        <w:t xml:space="preserve"> </w:t>
      </w:r>
      <w:r w:rsidRPr="00981405">
        <w:t>Enlarged</w:t>
      </w:r>
      <w:r w:rsidR="00190923" w:rsidRPr="00981405">
        <w:t xml:space="preserve"> </w:t>
      </w:r>
      <w:r w:rsidRPr="00981405">
        <w:t>Bureau</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composed</w:t>
      </w:r>
      <w:r w:rsidR="00190923" w:rsidRPr="00981405">
        <w:t xml:space="preserve"> </w:t>
      </w:r>
      <w:r w:rsidRPr="00981405">
        <w:t>of</w:t>
      </w:r>
      <w:r w:rsidR="00190923" w:rsidRPr="00981405">
        <w:t xml:space="preserve"> </w:t>
      </w:r>
      <w:r w:rsidRPr="00981405">
        <w:t>the</w:t>
      </w:r>
      <w:r w:rsidR="00190923" w:rsidRPr="00981405">
        <w:t xml:space="preserve"> </w:t>
      </w:r>
      <w:r w:rsidRPr="00981405">
        <w:t>officers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previous</w:t>
      </w:r>
      <w:r w:rsidR="00190923" w:rsidRPr="00981405">
        <w:t xml:space="preserve"> </w:t>
      </w:r>
      <w:r w:rsidRPr="00981405">
        <w:t>Chairmen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Pr="00981405">
        <w:rPr>
          <w:rStyle w:val="FootnoteReference"/>
        </w:rPr>
        <w:footnoteReference w:id="2"/>
      </w:r>
      <w:r w:rsidR="00190923" w:rsidRPr="00981405">
        <w:t xml:space="preserve"> </w:t>
      </w:r>
      <w:r w:rsidRPr="00981405">
        <w:t>and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Rapporteurs.</w:t>
      </w:r>
      <w:r w:rsidRPr="00981405">
        <w:rPr>
          <w:rStyle w:val="FootnoteReference"/>
        </w:rPr>
        <w:footnoteReference w:id="3"/>
      </w:r>
    </w:p>
    <w:p w:rsidR="00397032" w:rsidRPr="00981405" w:rsidRDefault="00397032" w:rsidP="00D97463">
      <w:pPr>
        <w:pStyle w:val="SingleTxt"/>
      </w:pPr>
      <w:r w:rsidRPr="00981405">
        <w:t>6.</w:t>
      </w:r>
      <w:r w:rsidRPr="00981405">
        <w:tab/>
        <w:t>The</w:t>
      </w:r>
      <w:r w:rsidR="00190923" w:rsidRPr="00981405">
        <w:t xml:space="preserve"> </w:t>
      </w:r>
      <w:r w:rsidRPr="00981405">
        <w:t>Commission</w:t>
      </w:r>
      <w:r w:rsidR="00190923" w:rsidRPr="00981405">
        <w:t xml:space="preserve"> </w:t>
      </w:r>
      <w:r w:rsidRPr="00981405">
        <w:t>set</w:t>
      </w:r>
      <w:r w:rsidR="00190923" w:rsidRPr="00981405">
        <w:t xml:space="preserve"> </w:t>
      </w:r>
      <w:r w:rsidRPr="00981405">
        <w:t>up</w:t>
      </w:r>
      <w:r w:rsidR="00190923" w:rsidRPr="00981405">
        <w:t xml:space="preserve"> </w:t>
      </w:r>
      <w:r w:rsidRPr="00981405">
        <w:t>a</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composed</w:t>
      </w:r>
      <w:r w:rsidR="00190923" w:rsidRPr="00981405">
        <w:t xml:space="preserve"> </w:t>
      </w:r>
      <w:r w:rsidRPr="00981405">
        <w:t>of</w:t>
      </w:r>
      <w:r w:rsidR="00190923" w:rsidRPr="00981405">
        <w:t xml:space="preserve"> </w:t>
      </w:r>
      <w:r w:rsidRPr="00981405">
        <w:t>the</w:t>
      </w:r>
      <w:r w:rsidR="00190923" w:rsidRPr="00981405">
        <w:t xml:space="preserve"> </w:t>
      </w:r>
      <w:r w:rsidRPr="00981405">
        <w:t>following</w:t>
      </w:r>
      <w:r w:rsidR="00190923" w:rsidRPr="00981405">
        <w:t xml:space="preserve"> </w:t>
      </w:r>
      <w:r w:rsidRPr="00981405">
        <w:t>members:</w:t>
      </w:r>
      <w:r w:rsidR="00190923" w:rsidRPr="00981405">
        <w:t xml:space="preserve"> </w:t>
      </w:r>
      <w:r w:rsidRPr="00981405">
        <w:t>Mr.</w:t>
      </w:r>
      <w:r w:rsidR="00190923" w:rsidRPr="00981405">
        <w:t xml:space="preserve"> </w:t>
      </w:r>
      <w:r w:rsidRPr="00981405">
        <w:t>Amos</w:t>
      </w:r>
      <w:r w:rsidR="00190923" w:rsidRPr="00981405">
        <w:t xml:space="preserve"> </w:t>
      </w:r>
      <w:r w:rsidRPr="00981405">
        <w:t>S.</w:t>
      </w:r>
      <w:r w:rsidR="00190923" w:rsidRPr="00981405">
        <w:t xml:space="preserve"> </w:t>
      </w:r>
      <w:r w:rsidRPr="00981405">
        <w:t>Wako</w:t>
      </w:r>
      <w:r w:rsidR="00190923" w:rsidRPr="00981405">
        <w:t xml:space="preserve"> </w:t>
      </w:r>
      <w:r w:rsidRPr="00981405">
        <w:t>(Chairman),</w:t>
      </w:r>
      <w:r w:rsidR="00190923" w:rsidRPr="00981405">
        <w:t xml:space="preserve"> </w:t>
      </w:r>
      <w:r w:rsidRPr="00981405">
        <w:t>Mr.</w:t>
      </w:r>
      <w:r w:rsidR="00190923" w:rsidRPr="00981405">
        <w:t xml:space="preserve"> </w:t>
      </w:r>
      <w:r w:rsidRPr="00981405">
        <w:t>L.</w:t>
      </w:r>
      <w:r w:rsidR="00190923" w:rsidRPr="00981405">
        <w:t xml:space="preserve"> </w:t>
      </w:r>
      <w:r w:rsidRPr="00981405">
        <w:t>Caflisch,</w:t>
      </w:r>
      <w:r w:rsidR="00190923" w:rsidRPr="00981405">
        <w:t xml:space="preserve"> </w:t>
      </w:r>
      <w:r w:rsidRPr="00981405">
        <w:t>Mr.</w:t>
      </w:r>
      <w:r w:rsidR="00190923" w:rsidRPr="00981405">
        <w:t xml:space="preserve"> </w:t>
      </w:r>
      <w:r w:rsidRPr="00981405">
        <w:t>P.</w:t>
      </w:r>
      <w:r w:rsidR="00190923" w:rsidRPr="00981405">
        <w:t xml:space="preserve"> </w:t>
      </w:r>
      <w:r w:rsidRPr="00981405">
        <w:t>Comissário</w:t>
      </w:r>
      <w:r w:rsidR="00190923" w:rsidRPr="00981405">
        <w:t xml:space="preserve"> </w:t>
      </w:r>
      <w:r w:rsidRPr="00981405">
        <w:t>Afonso,</w:t>
      </w:r>
      <w:r w:rsidR="00190923" w:rsidRPr="00981405">
        <w:t xml:space="preserve"> </w:t>
      </w:r>
      <w:r w:rsidRPr="00981405">
        <w:t>Mr.</w:t>
      </w:r>
      <w:r w:rsidR="00190923" w:rsidRPr="00981405">
        <w:t xml:space="preserve"> </w:t>
      </w:r>
      <w:r w:rsidRPr="00981405">
        <w:t>A.</w:t>
      </w:r>
      <w:r w:rsidR="00190923" w:rsidRPr="00981405">
        <w:t xml:space="preserve"> </w:t>
      </w:r>
      <w:r w:rsidRPr="00981405">
        <w:t>El-Murtadi</w:t>
      </w:r>
      <w:r w:rsidR="00190923" w:rsidRPr="00981405">
        <w:t xml:space="preserve"> </w:t>
      </w:r>
      <w:r w:rsidRPr="00981405">
        <w:t>Suleiman</w:t>
      </w:r>
      <w:r w:rsidR="00190923" w:rsidRPr="00981405">
        <w:t xml:space="preserve"> </w:t>
      </w:r>
      <w:r w:rsidRPr="00981405">
        <w:t>Gouider,</w:t>
      </w:r>
      <w:r w:rsidR="00190923" w:rsidRPr="00981405">
        <w:t xml:space="preserve"> </w:t>
      </w:r>
      <w:r w:rsidRPr="00981405">
        <w:t>Ms.</w:t>
      </w:r>
      <w:r w:rsidR="00190923" w:rsidRPr="00981405">
        <w:t xml:space="preserve"> </w:t>
      </w:r>
      <w:r w:rsidRPr="00981405">
        <w:t>C.</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Mr.</w:t>
      </w:r>
      <w:r w:rsidR="00190923" w:rsidRPr="00981405">
        <w:t xml:space="preserve"> </w:t>
      </w:r>
      <w:r w:rsidRPr="00981405">
        <w:t>H.A.</w:t>
      </w:r>
      <w:r w:rsidR="00190923" w:rsidRPr="00981405">
        <w:t xml:space="preserve"> </w:t>
      </w:r>
      <w:r w:rsidRPr="00981405">
        <w:t>Hassouna,</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Mr.</w:t>
      </w:r>
      <w:r w:rsidR="00190923" w:rsidRPr="00981405">
        <w:t xml:space="preserve"> </w:t>
      </w:r>
      <w:r w:rsidRPr="00981405">
        <w:t>H.</w:t>
      </w:r>
      <w:r w:rsidR="00190923" w:rsidRPr="00981405">
        <w:t xml:space="preserve"> </w:t>
      </w:r>
      <w:r w:rsidRPr="00981405">
        <w:t>Huang,</w:t>
      </w:r>
      <w:r w:rsidR="00190923" w:rsidRPr="00981405">
        <w:t xml:space="preserve"> </w:t>
      </w:r>
      <w:r w:rsidRPr="00981405">
        <w:t>Ms.</w:t>
      </w:r>
      <w:r w:rsidR="00190923" w:rsidRPr="00981405">
        <w:t xml:space="preserve"> </w:t>
      </w:r>
      <w:r w:rsidRPr="00981405">
        <w:t>M.G.</w:t>
      </w:r>
      <w:r w:rsidR="00190923" w:rsidRPr="00981405">
        <w:t xml:space="preserve"> </w:t>
      </w:r>
      <w:r w:rsidRPr="00981405">
        <w:t>Jacobsson,</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A.</w:t>
      </w:r>
      <w:r w:rsidR="00190923" w:rsidRPr="00981405">
        <w:t xml:space="preserve"> </w:t>
      </w:r>
      <w:r w:rsidRPr="00981405">
        <w:t>Laraba,</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w:t>
      </w:r>
      <w:r w:rsidR="00190923" w:rsidRPr="00981405">
        <w:t xml:space="preserve"> </w:t>
      </w:r>
      <w:r w:rsidRPr="00981405">
        <w:t>Murase,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B.H.</w:t>
      </w:r>
      <w:r w:rsidR="00190923" w:rsidRPr="00981405">
        <w:t xml:space="preserve"> </w:t>
      </w:r>
      <w:r w:rsidRPr="00981405">
        <w:t>Niehaus,</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P.</w:t>
      </w:r>
      <w:r w:rsidR="00190923" w:rsidRPr="00981405">
        <w:t xml:space="preserve"> </w:t>
      </w:r>
      <w:r w:rsidRPr="00981405">
        <w:t>Šturma,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N.</w:t>
      </w:r>
      <w:r w:rsidR="00190923" w:rsidRPr="00981405">
        <w:t xml:space="preserve"> </w:t>
      </w:r>
      <w:r w:rsidRPr="00981405">
        <w:t>Wisnumurti,</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r w:rsidR="00190923" w:rsidRPr="00981405">
        <w:t xml:space="preserve"> </w:t>
      </w:r>
    </w:p>
    <w:p w:rsidR="00397032" w:rsidRPr="00D97463" w:rsidRDefault="00397032" w:rsidP="00D97463">
      <w:pPr>
        <w:pStyle w:val="SingleTxt"/>
        <w:keepNext/>
        <w:keepLines/>
        <w:spacing w:after="0" w:line="120" w:lineRule="exact"/>
        <w:rPr>
          <w:sz w:val="10"/>
        </w:rPr>
      </w:pPr>
    </w:p>
    <w:p w:rsidR="00397032" w:rsidRPr="00D97463" w:rsidRDefault="00397032" w:rsidP="00D97463">
      <w:pPr>
        <w:pStyle w:val="SingleTxt"/>
        <w:keepNext/>
        <w:keepLines/>
        <w:spacing w:after="0" w:line="120" w:lineRule="exact"/>
        <w:rPr>
          <w:sz w:val="10"/>
        </w:rPr>
      </w:pPr>
    </w:p>
    <w:p w:rsidR="00397032" w:rsidRPr="00D97463" w:rsidRDefault="00397032" w:rsidP="00D97463">
      <w:pPr>
        <w:pStyle w:val="H1"/>
        <w:ind w:right="1260"/>
      </w:pPr>
      <w:r w:rsidRPr="00D97463">
        <w:tab/>
      </w:r>
      <w:bookmarkStart w:id="7" w:name="_Toc427938071"/>
      <w:r w:rsidRPr="00D97463">
        <w:t>D.</w:t>
      </w:r>
      <w:r w:rsidRPr="00D97463">
        <w:tab/>
        <w:t>Drafting</w:t>
      </w:r>
      <w:r w:rsidR="00190923" w:rsidRPr="00D97463">
        <w:t xml:space="preserve"> </w:t>
      </w:r>
      <w:r w:rsidRPr="00D97463">
        <w:t>Committee</w:t>
      </w:r>
      <w:bookmarkEnd w:id="7"/>
    </w:p>
    <w:p w:rsidR="00397032" w:rsidRPr="00D97463" w:rsidRDefault="00397032" w:rsidP="00D97463">
      <w:pPr>
        <w:pStyle w:val="SingleTxt"/>
        <w:keepNext/>
        <w:keepLines/>
        <w:spacing w:after="0" w:line="120" w:lineRule="exact"/>
        <w:rPr>
          <w:sz w:val="10"/>
        </w:rPr>
      </w:pPr>
    </w:p>
    <w:p w:rsidR="00397032" w:rsidRPr="00D97463" w:rsidRDefault="00397032"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7.</w:t>
      </w:r>
      <w:r w:rsidRPr="00981405">
        <w:tab/>
        <w:t>At</w:t>
      </w:r>
      <w:r w:rsidR="00190923" w:rsidRPr="00981405">
        <w:t xml:space="preserve"> </w:t>
      </w:r>
      <w:r w:rsidRPr="00981405">
        <w:t>its</w:t>
      </w:r>
      <w:r w:rsidR="00190923" w:rsidRPr="00981405">
        <w:t xml:space="preserve"> </w:t>
      </w:r>
      <w:r w:rsidRPr="00981405">
        <w:t>3245th,</w:t>
      </w:r>
      <w:r w:rsidR="00190923" w:rsidRPr="00981405">
        <w:t xml:space="preserve"> </w:t>
      </w:r>
      <w:r w:rsidRPr="00981405">
        <w:t>3250th,</w:t>
      </w:r>
      <w:r w:rsidR="00190923" w:rsidRPr="00981405">
        <w:t xml:space="preserve"> </w:t>
      </w:r>
      <w:r w:rsidRPr="00981405">
        <w:t>3257th,</w:t>
      </w:r>
      <w:r w:rsidR="00190923" w:rsidRPr="00981405">
        <w:t xml:space="preserve"> </w:t>
      </w:r>
      <w:r w:rsidRPr="00981405">
        <w:t>3261st,</w:t>
      </w:r>
      <w:r w:rsidR="00190923" w:rsidRPr="00981405">
        <w:t xml:space="preserve"> </w:t>
      </w:r>
      <w:r w:rsidRPr="00981405">
        <w:t>3269th,</w:t>
      </w:r>
      <w:r w:rsidR="00190923" w:rsidRPr="00981405">
        <w:t xml:space="preserve"> </w:t>
      </w:r>
      <w:r w:rsidRPr="00981405">
        <w:t>3278th</w:t>
      </w:r>
      <w:r w:rsidR="00190923" w:rsidRPr="00981405">
        <w:t xml:space="preserve"> </w:t>
      </w:r>
      <w:r w:rsidRPr="00981405">
        <w:t>and</w:t>
      </w:r>
      <w:r w:rsidR="00190923" w:rsidRPr="00981405">
        <w:t xml:space="preserve"> </w:t>
      </w:r>
      <w:r w:rsidRPr="00981405">
        <w:t>3280th</w:t>
      </w:r>
      <w:r w:rsidR="00190923" w:rsidRPr="00981405">
        <w:t xml:space="preserve"> </w:t>
      </w:r>
      <w:r w:rsidRPr="00981405">
        <w:t>meetings,</w:t>
      </w:r>
      <w:r w:rsidR="00190923" w:rsidRPr="00981405">
        <w:t xml:space="preserve"> </w:t>
      </w:r>
      <w:r w:rsidRPr="00981405">
        <w:t>on</w:t>
      </w:r>
      <w:r w:rsidR="00190923" w:rsidRPr="00981405">
        <w:t xml:space="preserve"> </w:t>
      </w:r>
      <w:r w:rsidRPr="00981405">
        <w:t>5,</w:t>
      </w:r>
      <w:r w:rsidR="00190923" w:rsidRPr="00981405">
        <w:t xml:space="preserve"> </w:t>
      </w:r>
      <w:r w:rsidRPr="00981405">
        <w:t>13</w:t>
      </w:r>
      <w:r w:rsidR="00190923" w:rsidRPr="00981405">
        <w:t xml:space="preserve"> </w:t>
      </w:r>
      <w:r w:rsidRPr="00981405">
        <w:t>and</w:t>
      </w:r>
      <w:r w:rsidR="00190923" w:rsidRPr="00981405">
        <w:t xml:space="preserve"> </w:t>
      </w:r>
      <w:r w:rsidRPr="00981405">
        <w:t>27</w:t>
      </w:r>
      <w:r w:rsidR="00190923" w:rsidRPr="00981405">
        <w:t xml:space="preserve"> </w:t>
      </w:r>
      <w:r w:rsidRPr="00981405">
        <w:t>May</w:t>
      </w:r>
      <w:r w:rsidR="00190923" w:rsidRPr="00981405">
        <w:t xml:space="preserve"> </w:t>
      </w:r>
      <w:r w:rsidRPr="00981405">
        <w:t>and</w:t>
      </w:r>
      <w:r w:rsidR="00190923" w:rsidRPr="00981405">
        <w:t xml:space="preserve"> </w:t>
      </w:r>
      <w:r w:rsidRPr="00981405">
        <w:t>on</w:t>
      </w:r>
      <w:r w:rsidR="00190923" w:rsidRPr="00981405">
        <w:t xml:space="preserve"> </w:t>
      </w:r>
      <w:r w:rsidRPr="00981405">
        <w:t>3</w:t>
      </w:r>
      <w:r w:rsidR="00190923" w:rsidRPr="00981405">
        <w:t xml:space="preserve"> </w:t>
      </w:r>
      <w:r w:rsidRPr="00981405">
        <w:t>June</w:t>
      </w:r>
      <w:r w:rsidR="00190923" w:rsidRPr="00981405">
        <w:t xml:space="preserve"> </w:t>
      </w:r>
      <w:r w:rsidRPr="00981405">
        <w:t>and</w:t>
      </w:r>
      <w:r w:rsidR="00190923" w:rsidRPr="00981405">
        <w:t xml:space="preserve"> </w:t>
      </w:r>
      <w:r w:rsidRPr="00981405">
        <w:t>14,</w:t>
      </w:r>
      <w:r w:rsidR="00190923" w:rsidRPr="00981405">
        <w:t xml:space="preserve"> </w:t>
      </w:r>
      <w:r w:rsidRPr="00981405">
        <w:t>24</w:t>
      </w:r>
      <w:r w:rsidR="00190923" w:rsidRPr="00981405">
        <w:t xml:space="preserve"> </w:t>
      </w:r>
      <w:r w:rsidRPr="00981405">
        <w:t>and</w:t>
      </w:r>
      <w:r w:rsidR="00190923" w:rsidRPr="00981405">
        <w:t xml:space="preserve"> </w:t>
      </w:r>
      <w:r w:rsidRPr="00981405">
        <w:t>29</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established</w:t>
      </w:r>
      <w:r w:rsidR="00190923" w:rsidRPr="00981405">
        <w:t xml:space="preserve"> </w:t>
      </w:r>
      <w:r w:rsidRPr="00981405">
        <w:t>a</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composed</w:t>
      </w:r>
      <w:r w:rsidR="00190923" w:rsidRPr="00981405">
        <w:t xml:space="preserve"> </w:t>
      </w:r>
      <w:r w:rsidRPr="00981405">
        <w:t>of</w:t>
      </w:r>
      <w:r w:rsidR="00190923" w:rsidRPr="00981405">
        <w:t xml:space="preserve"> </w:t>
      </w:r>
      <w:r w:rsidRPr="00981405">
        <w:t>the</w:t>
      </w:r>
      <w:r w:rsidR="00190923" w:rsidRPr="00981405">
        <w:t xml:space="preserve"> </w:t>
      </w:r>
      <w:r w:rsidRPr="00981405">
        <w:t>following</w:t>
      </w:r>
      <w:r w:rsidR="00190923" w:rsidRPr="00981405">
        <w:t xml:space="preserve"> </w:t>
      </w:r>
      <w:r w:rsidRPr="00981405">
        <w:t>members</w:t>
      </w:r>
      <w:r w:rsidR="00190923" w:rsidRPr="00981405">
        <w:t xml:space="preserve"> </w:t>
      </w:r>
      <w:r w:rsidRPr="00981405">
        <w:t>for</w:t>
      </w:r>
      <w:r w:rsidR="00190923" w:rsidRPr="00981405">
        <w:t xml:space="preserve"> </w:t>
      </w:r>
      <w:r w:rsidRPr="00981405">
        <w:t>the</w:t>
      </w:r>
      <w:r w:rsidR="00190923" w:rsidRPr="00981405">
        <w:t xml:space="preserve"> </w:t>
      </w:r>
      <w:r w:rsidRPr="00981405">
        <w:t>topics</w:t>
      </w:r>
      <w:r w:rsidR="00190923" w:rsidRPr="00981405">
        <w:t xml:space="preserve"> </w:t>
      </w:r>
      <w:r w:rsidRPr="00981405">
        <w:t>indicated:</w:t>
      </w:r>
    </w:p>
    <w:p w:rsidR="00397032" w:rsidRPr="00981405" w:rsidRDefault="00397032" w:rsidP="00D97463">
      <w:pPr>
        <w:pStyle w:val="SingleTxt"/>
      </w:pPr>
      <w:r w:rsidRPr="00981405">
        <w:tab/>
        <w:t>(a)</w:t>
      </w:r>
      <w:r w:rsidRPr="00981405">
        <w:tab/>
      </w:r>
      <w:r w:rsidRPr="00D97463">
        <w:rPr>
          <w:i/>
          <w:iCs/>
        </w:rPr>
        <w:t>Identification</w:t>
      </w:r>
      <w:r w:rsidR="00190923" w:rsidRPr="00981405">
        <w:rPr>
          <w:i/>
          <w:iCs/>
        </w:rPr>
        <w:t xml:space="preserve"> </w:t>
      </w:r>
      <w:r w:rsidRPr="00D97463">
        <w:rPr>
          <w:i/>
          <w:iCs/>
        </w:rPr>
        <w:t>of</w:t>
      </w:r>
      <w:r w:rsidR="00190923" w:rsidRPr="00981405">
        <w:rPr>
          <w:i/>
          <w:iCs/>
        </w:rPr>
        <w:t xml:space="preserve"> </w:t>
      </w:r>
      <w:r w:rsidRPr="00D97463">
        <w:rPr>
          <w:i/>
          <w:iCs/>
        </w:rPr>
        <w:t>customary</w:t>
      </w:r>
      <w:r w:rsidR="00190923" w:rsidRPr="00981405">
        <w:rPr>
          <w:i/>
          <w:iCs/>
        </w:rPr>
        <w:t xml:space="preserve"> </w:t>
      </w:r>
      <w:r w:rsidRPr="00D97463">
        <w:rPr>
          <w:i/>
          <w:iCs/>
        </w:rPr>
        <w:t>international</w:t>
      </w:r>
      <w:r w:rsidR="00190923" w:rsidRPr="00981405">
        <w:rPr>
          <w:i/>
          <w:iCs/>
        </w:rPr>
        <w:t xml:space="preserve"> </w:t>
      </w:r>
      <w:r w:rsidRPr="00D97463">
        <w:rPr>
          <w:i/>
          <w:iCs/>
        </w:rPr>
        <w:t>law</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Mr.</w:t>
      </w:r>
      <w:r w:rsidR="00190923" w:rsidRPr="00981405">
        <w:t xml:space="preserve"> </w:t>
      </w:r>
      <w:r w:rsidRPr="00981405">
        <w:t>H.</w:t>
      </w:r>
      <w:r w:rsidR="00190923" w:rsidRPr="00981405">
        <w:t xml:space="preserve"> </w:t>
      </w:r>
      <w:r w:rsidRPr="00981405">
        <w:t>Huang,</w:t>
      </w:r>
      <w:r w:rsidR="00190923" w:rsidRPr="00981405">
        <w:t xml:space="preserve"> </w:t>
      </w:r>
      <w:r w:rsidRPr="00981405">
        <w:t>Mr.</w:t>
      </w:r>
      <w:r w:rsidR="00190923" w:rsidRPr="00981405">
        <w:t xml:space="preserve"> </w:t>
      </w:r>
      <w:r w:rsidRPr="00981405">
        <w:t>M.</w:t>
      </w:r>
      <w:r w:rsidR="00190923" w:rsidRPr="00981405">
        <w:t xml:space="preserve"> </w:t>
      </w:r>
      <w:r w:rsidRPr="00981405">
        <w:t>Kamto,</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R.A.</w:t>
      </w:r>
      <w:r w:rsidR="00190923" w:rsidRPr="00981405">
        <w:t xml:space="preserve"> </w:t>
      </w:r>
      <w:r w:rsidRPr="00981405">
        <w:t>Kolodkin,</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w:t>
      </w:r>
      <w:r w:rsidR="00190923" w:rsidRPr="00981405">
        <w:t xml:space="preserve"> </w:t>
      </w:r>
      <w:r w:rsidRPr="00981405">
        <w:t>Murase,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P.</w:t>
      </w:r>
      <w:r w:rsidR="00190923" w:rsidRPr="00981405">
        <w:t xml:space="preserve"> </w:t>
      </w:r>
      <w:r w:rsidRPr="00981405">
        <w:t>Sturma,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ab/>
        <w:t>(b)</w:t>
      </w:r>
      <w:r w:rsidRPr="00981405">
        <w:tab/>
      </w:r>
      <w:r w:rsidRPr="00D97463">
        <w:rPr>
          <w:i/>
          <w:iCs/>
        </w:rPr>
        <w:t>Protection</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atmosphere</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Mr.</w:t>
      </w:r>
      <w:r w:rsidR="00190923" w:rsidRPr="00981405">
        <w:t xml:space="preserve"> </w:t>
      </w:r>
      <w:r w:rsidRPr="00981405">
        <w:t>S.</w:t>
      </w:r>
      <w:r w:rsidR="00190923" w:rsidRPr="00981405">
        <w:t xml:space="preserve"> </w:t>
      </w:r>
      <w:r w:rsidRPr="00981405">
        <w:t>Murase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Mr.</w:t>
      </w:r>
      <w:r w:rsidR="00190923" w:rsidRPr="00981405">
        <w:t xml:space="preserve"> </w:t>
      </w:r>
      <w:r w:rsidRPr="00981405">
        <w:t>H.</w:t>
      </w:r>
      <w:r w:rsidR="00190923" w:rsidRPr="00981405">
        <w:t xml:space="preserve"> </w:t>
      </w:r>
      <w:r w:rsidRPr="00981405">
        <w:t>Huang,</w:t>
      </w:r>
      <w:r w:rsidR="00190923" w:rsidRPr="00981405">
        <w:t xml:space="preserve"> </w:t>
      </w:r>
      <w:r w:rsidRPr="00981405">
        <w:t>Mr.</w:t>
      </w:r>
      <w:r w:rsidR="00190923" w:rsidRPr="00981405">
        <w:t xml:space="preserve"> </w:t>
      </w:r>
      <w:r w:rsidRPr="00981405">
        <w:t>M.</w:t>
      </w:r>
      <w:r w:rsidR="00190923" w:rsidRPr="00981405">
        <w:t xml:space="preserve"> </w:t>
      </w:r>
      <w:r w:rsidRPr="00981405">
        <w:t>Kamto,</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ab/>
        <w:t>(c)</w:t>
      </w:r>
      <w:r w:rsidRPr="00981405">
        <w:tab/>
      </w:r>
      <w:r w:rsidRPr="00D97463">
        <w:rPr>
          <w:i/>
          <w:iCs/>
        </w:rPr>
        <w:t>Crimes</w:t>
      </w:r>
      <w:r w:rsidR="00190923" w:rsidRPr="00981405">
        <w:rPr>
          <w:i/>
          <w:iCs/>
        </w:rPr>
        <w:t xml:space="preserve"> </w:t>
      </w:r>
      <w:r w:rsidRPr="00D97463">
        <w:rPr>
          <w:i/>
          <w:iCs/>
        </w:rPr>
        <w:t>against</w:t>
      </w:r>
      <w:r w:rsidR="00190923" w:rsidRPr="00981405">
        <w:rPr>
          <w:i/>
          <w:iCs/>
        </w:rPr>
        <w:t xml:space="preserve"> </w:t>
      </w:r>
      <w:r w:rsidRPr="00D97463">
        <w:rPr>
          <w:i/>
          <w:iCs/>
        </w:rPr>
        <w:t>humanity</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Ms.</w:t>
      </w:r>
      <w:r w:rsidR="00190923" w:rsidRPr="00981405">
        <w:t xml:space="preserve"> </w:t>
      </w:r>
      <w:r w:rsidRPr="00981405">
        <w:t>C.</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Ms.</w:t>
      </w:r>
      <w:r w:rsidR="00190923" w:rsidRPr="00981405">
        <w:t xml:space="preserve"> </w:t>
      </w:r>
      <w:r w:rsidRPr="00981405">
        <w:t>M.G.</w:t>
      </w:r>
      <w:r w:rsidR="00190923" w:rsidRPr="00981405">
        <w:t xml:space="preserve"> </w:t>
      </w:r>
      <w:r w:rsidRPr="00981405">
        <w:t>Jacobsson,</w:t>
      </w:r>
      <w:r w:rsidR="00190923" w:rsidRPr="00981405">
        <w:t xml:space="preserve"> </w:t>
      </w:r>
      <w:r w:rsidRPr="00981405">
        <w:t>Mr.</w:t>
      </w:r>
      <w:r w:rsidR="00190923" w:rsidRPr="00981405">
        <w:t xml:space="preserve"> </w:t>
      </w:r>
      <w:r w:rsidRPr="00981405">
        <w:t>M.</w:t>
      </w:r>
      <w:r w:rsidR="00190923" w:rsidRPr="00981405">
        <w:t xml:space="preserve"> </w:t>
      </w:r>
      <w:r w:rsidRPr="00981405">
        <w:t>Kamto,</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R.A.</w:t>
      </w:r>
      <w:r w:rsidR="00190923" w:rsidRPr="00981405">
        <w:t xml:space="preserve"> </w:t>
      </w:r>
      <w:r w:rsidRPr="00981405">
        <w:t>Kolodkin,</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G.V.</w:t>
      </w:r>
      <w:r w:rsidR="00190923" w:rsidRPr="00981405">
        <w:t xml:space="preserve"> </w:t>
      </w:r>
      <w:r w:rsidRPr="00981405">
        <w:t>Saboia,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A.S.</w:t>
      </w:r>
      <w:r w:rsidR="00190923" w:rsidRPr="00981405">
        <w:t xml:space="preserve"> </w:t>
      </w:r>
      <w:r w:rsidRPr="00981405">
        <w:t>Wako,</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ab/>
        <w:t>(d)</w:t>
      </w:r>
      <w:r w:rsidRPr="00981405">
        <w:tab/>
      </w:r>
      <w:r w:rsidRPr="00D97463">
        <w:rPr>
          <w:i/>
          <w:iCs/>
        </w:rPr>
        <w:t>Subsequent</w:t>
      </w:r>
      <w:r w:rsidR="00190923" w:rsidRPr="00981405">
        <w:rPr>
          <w:i/>
          <w:iCs/>
        </w:rPr>
        <w:t xml:space="preserve"> </w:t>
      </w:r>
      <w:r w:rsidRPr="00D97463">
        <w:rPr>
          <w:i/>
          <w:iCs/>
        </w:rPr>
        <w:t>agreements</w:t>
      </w:r>
      <w:r w:rsidR="00190923" w:rsidRPr="00981405">
        <w:rPr>
          <w:i/>
          <w:iCs/>
        </w:rPr>
        <w:t xml:space="preserve"> </w:t>
      </w:r>
      <w:r w:rsidRPr="00D97463">
        <w:rPr>
          <w:i/>
          <w:iCs/>
        </w:rPr>
        <w:t>and</w:t>
      </w:r>
      <w:r w:rsidR="00190923" w:rsidRPr="00981405">
        <w:rPr>
          <w:i/>
          <w:iCs/>
        </w:rPr>
        <w:t xml:space="preserve"> </w:t>
      </w:r>
      <w:r w:rsidRPr="00D97463">
        <w:rPr>
          <w:i/>
          <w:iCs/>
        </w:rPr>
        <w:t>subsequent</w:t>
      </w:r>
      <w:r w:rsidR="00190923" w:rsidRPr="00981405">
        <w:rPr>
          <w:i/>
          <w:iCs/>
        </w:rPr>
        <w:t xml:space="preserve"> </w:t>
      </w:r>
      <w:r w:rsidRPr="00D97463">
        <w:rPr>
          <w:i/>
          <w:iCs/>
        </w:rPr>
        <w:t>practice</w:t>
      </w:r>
      <w:r w:rsidR="00190923" w:rsidRPr="00981405">
        <w:rPr>
          <w:i/>
          <w:iCs/>
        </w:rPr>
        <w:t xml:space="preserve"> </w:t>
      </w:r>
      <w:r w:rsidRPr="00D97463">
        <w:rPr>
          <w:i/>
          <w:iCs/>
        </w:rPr>
        <w:t>in</w:t>
      </w:r>
      <w:r w:rsidR="00190923" w:rsidRPr="00981405">
        <w:rPr>
          <w:i/>
          <w:iCs/>
        </w:rPr>
        <w:t xml:space="preserve"> </w:t>
      </w:r>
      <w:r w:rsidRPr="00D97463">
        <w:rPr>
          <w:i/>
          <w:iCs/>
        </w:rPr>
        <w:t>relation</w:t>
      </w:r>
      <w:r w:rsidR="00190923" w:rsidRPr="00981405">
        <w:rPr>
          <w:i/>
          <w:iCs/>
        </w:rPr>
        <w:t xml:space="preserve"> </w:t>
      </w:r>
      <w:r w:rsidRPr="00D97463">
        <w:rPr>
          <w:i/>
          <w:iCs/>
        </w:rPr>
        <w:t>to</w:t>
      </w:r>
      <w:r w:rsidR="00190923" w:rsidRPr="00981405">
        <w:rPr>
          <w:i/>
          <w:iCs/>
        </w:rPr>
        <w:t xml:space="preserve"> </w:t>
      </w:r>
      <w:r w:rsidRPr="00D97463">
        <w:rPr>
          <w:i/>
          <w:iCs/>
        </w:rPr>
        <w:t>the</w:t>
      </w:r>
      <w:r w:rsidR="00190923" w:rsidRPr="00981405">
        <w:rPr>
          <w:i/>
          <w:iCs/>
        </w:rPr>
        <w:t xml:space="preserve"> </w:t>
      </w:r>
      <w:r w:rsidRPr="00D97463">
        <w:rPr>
          <w:i/>
          <w:iCs/>
        </w:rPr>
        <w:t>interpretation</w:t>
      </w:r>
      <w:r w:rsidR="00190923" w:rsidRPr="00981405">
        <w:rPr>
          <w:i/>
          <w:iCs/>
        </w:rPr>
        <w:t xml:space="preserve"> </w:t>
      </w:r>
      <w:r w:rsidRPr="00D97463">
        <w:rPr>
          <w:i/>
          <w:iCs/>
        </w:rPr>
        <w:t>of</w:t>
      </w:r>
      <w:r w:rsidR="00190923" w:rsidRPr="00981405">
        <w:rPr>
          <w:i/>
          <w:iCs/>
        </w:rPr>
        <w:t xml:space="preserve"> </w:t>
      </w:r>
      <w:r w:rsidRPr="00D97463">
        <w:rPr>
          <w:i/>
          <w:iCs/>
        </w:rPr>
        <w:t>treaties</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R.A.</w:t>
      </w:r>
      <w:r w:rsidR="00190923" w:rsidRPr="00981405">
        <w:t xml:space="preserve"> </w:t>
      </w:r>
      <w:r w:rsidRPr="00981405">
        <w:t>Kolodkin,</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P.</w:t>
      </w:r>
      <w:r w:rsidR="00190923" w:rsidRPr="00981405">
        <w:t xml:space="preserve"> </w:t>
      </w:r>
      <w:r w:rsidRPr="00981405">
        <w:t>Šturma,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ab/>
        <w:t>(e)</w:t>
      </w:r>
      <w:r w:rsidRPr="00981405">
        <w:tab/>
      </w:r>
      <w:r w:rsidRPr="00D97463">
        <w:rPr>
          <w:i/>
          <w:iCs/>
        </w:rPr>
        <w:t>Protection</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environment</w:t>
      </w:r>
      <w:r w:rsidR="00190923" w:rsidRPr="00981405">
        <w:rPr>
          <w:i/>
          <w:iCs/>
        </w:rPr>
        <w:t xml:space="preserve"> </w:t>
      </w:r>
      <w:r w:rsidRPr="00D97463">
        <w:rPr>
          <w:i/>
          <w:iCs/>
        </w:rPr>
        <w:t>in</w:t>
      </w:r>
      <w:r w:rsidR="00190923" w:rsidRPr="00981405">
        <w:rPr>
          <w:i/>
          <w:iCs/>
        </w:rPr>
        <w:t xml:space="preserve"> </w:t>
      </w:r>
      <w:r w:rsidRPr="00D97463">
        <w:rPr>
          <w:i/>
          <w:iCs/>
        </w:rPr>
        <w:t>relation</w:t>
      </w:r>
      <w:r w:rsidR="00190923" w:rsidRPr="00981405">
        <w:rPr>
          <w:i/>
          <w:iCs/>
        </w:rPr>
        <w:t xml:space="preserve"> </w:t>
      </w:r>
      <w:r w:rsidRPr="00D97463">
        <w:rPr>
          <w:i/>
          <w:iCs/>
        </w:rPr>
        <w:t>to</w:t>
      </w:r>
      <w:r w:rsidR="00190923" w:rsidRPr="00981405">
        <w:rPr>
          <w:i/>
          <w:iCs/>
        </w:rPr>
        <w:t xml:space="preserve"> </w:t>
      </w:r>
      <w:r w:rsidRPr="00D97463">
        <w:rPr>
          <w:i/>
          <w:iCs/>
        </w:rPr>
        <w:t>armed</w:t>
      </w:r>
      <w:r w:rsidR="00190923" w:rsidRPr="00981405">
        <w:rPr>
          <w:i/>
          <w:iCs/>
        </w:rPr>
        <w:t xml:space="preserve"> </w:t>
      </w:r>
      <w:r w:rsidRPr="00D97463">
        <w:rPr>
          <w:i/>
          <w:iCs/>
        </w:rPr>
        <w:t>conflicts</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Ms.</w:t>
      </w:r>
      <w:r w:rsidR="00190923" w:rsidRPr="00981405">
        <w:t xml:space="preserve"> </w:t>
      </w:r>
      <w:r w:rsidRPr="00981405">
        <w:t>M.G.</w:t>
      </w:r>
      <w:r w:rsidR="00190923" w:rsidRPr="00981405">
        <w:t xml:space="preserve"> </w:t>
      </w:r>
      <w:r w:rsidRPr="00981405">
        <w:t>Jacobsson</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Ms.</w:t>
      </w:r>
      <w:r w:rsidR="00190923" w:rsidRPr="00981405">
        <w:t xml:space="preserve"> </w:t>
      </w:r>
      <w:r w:rsidRPr="00981405">
        <w:t>C.</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Mr.</w:t>
      </w:r>
      <w:r w:rsidR="00190923" w:rsidRPr="00981405">
        <w:t xml:space="preserve"> </w:t>
      </w:r>
      <w:r w:rsidRPr="00981405">
        <w:t>J.M.</w:t>
      </w:r>
      <w:r w:rsidR="00190923" w:rsidRPr="00981405">
        <w:t xml:space="preserve"> </w:t>
      </w:r>
      <w:r w:rsidRPr="00981405">
        <w:t>Gómez-Robledo,</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Mr.</w:t>
      </w:r>
      <w:r w:rsidR="00190923" w:rsidRPr="00981405">
        <w:t xml:space="preserve"> </w:t>
      </w:r>
      <w:r w:rsidRPr="00981405">
        <w:t>H.</w:t>
      </w:r>
      <w:r w:rsidR="00190923" w:rsidRPr="00981405">
        <w:t xml:space="preserve"> </w:t>
      </w:r>
      <w:r w:rsidRPr="00981405">
        <w:t>Huang,</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w:t>
      </w:r>
      <w:r w:rsidR="00190923" w:rsidRPr="00981405">
        <w:t xml:space="preserve"> </w:t>
      </w:r>
      <w:r w:rsidRPr="00981405">
        <w:t>Murase,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G.V.</w:t>
      </w:r>
      <w:r w:rsidR="00190923" w:rsidRPr="00981405">
        <w:t xml:space="preserve"> </w:t>
      </w:r>
      <w:r w:rsidRPr="00981405">
        <w:t>Saboia,</w:t>
      </w:r>
      <w:r w:rsidR="00190923" w:rsidRPr="00981405">
        <w:t xml:space="preserve"> </w:t>
      </w:r>
      <w:r w:rsidRPr="00981405">
        <w:t>Mr.</w:t>
      </w:r>
      <w:r w:rsidR="00190923" w:rsidRPr="00981405">
        <w:t xml:space="preserve"> </w:t>
      </w:r>
      <w:r w:rsidRPr="00981405">
        <w:t>P.</w:t>
      </w:r>
      <w:r w:rsidR="00190923" w:rsidRPr="00981405">
        <w:t xml:space="preserve"> </w:t>
      </w:r>
      <w:r w:rsidRPr="00981405">
        <w:t>Šturma,</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ab/>
        <w:t>(f)</w:t>
      </w:r>
      <w:r w:rsidRPr="00981405">
        <w:tab/>
      </w:r>
      <w:r w:rsidRPr="00D97463">
        <w:rPr>
          <w:i/>
          <w:iCs/>
        </w:rPr>
        <w:t>Immunity</w:t>
      </w:r>
      <w:r w:rsidR="00190923" w:rsidRPr="00981405">
        <w:rPr>
          <w:i/>
          <w:iCs/>
        </w:rPr>
        <w:t xml:space="preserve"> </w:t>
      </w:r>
      <w:r w:rsidRPr="00D97463">
        <w:rPr>
          <w:i/>
          <w:iCs/>
        </w:rPr>
        <w:t>of</w:t>
      </w:r>
      <w:r w:rsidR="00190923" w:rsidRPr="00981405">
        <w:rPr>
          <w:i/>
          <w:iCs/>
        </w:rPr>
        <w:t xml:space="preserve"> </w:t>
      </w:r>
      <w:r w:rsidRPr="00D97463">
        <w:rPr>
          <w:i/>
          <w:iCs/>
        </w:rPr>
        <w:t>State</w:t>
      </w:r>
      <w:r w:rsidR="00190923" w:rsidRPr="00981405">
        <w:rPr>
          <w:i/>
          <w:iCs/>
        </w:rPr>
        <w:t xml:space="preserve"> </w:t>
      </w:r>
      <w:r w:rsidRPr="00D97463">
        <w:rPr>
          <w:i/>
          <w:iCs/>
        </w:rPr>
        <w:t>officials</w:t>
      </w:r>
      <w:r w:rsidR="00190923" w:rsidRPr="00981405">
        <w:rPr>
          <w:i/>
          <w:iCs/>
        </w:rPr>
        <w:t xml:space="preserve"> </w:t>
      </w:r>
      <w:r w:rsidRPr="00D97463">
        <w:rPr>
          <w:i/>
          <w:iCs/>
        </w:rPr>
        <w:t>from</w:t>
      </w:r>
      <w:r w:rsidR="00190923" w:rsidRPr="00981405">
        <w:rPr>
          <w:i/>
          <w:iCs/>
        </w:rPr>
        <w:t xml:space="preserve"> </w:t>
      </w:r>
      <w:r w:rsidRPr="00D97463">
        <w:rPr>
          <w:i/>
          <w:iCs/>
        </w:rPr>
        <w:t>foreign</w:t>
      </w:r>
      <w:r w:rsidR="00190923" w:rsidRPr="00981405">
        <w:rPr>
          <w:i/>
          <w:iCs/>
        </w:rPr>
        <w:t xml:space="preserve"> </w:t>
      </w:r>
      <w:r w:rsidRPr="00D97463">
        <w:rPr>
          <w:i/>
          <w:iCs/>
        </w:rPr>
        <w:t>criminal</w:t>
      </w:r>
      <w:r w:rsidR="00190923" w:rsidRPr="00981405">
        <w:rPr>
          <w:i/>
          <w:iCs/>
        </w:rPr>
        <w:t xml:space="preserve"> </w:t>
      </w:r>
      <w:r w:rsidRPr="00D97463">
        <w:rPr>
          <w:i/>
          <w:iCs/>
        </w:rPr>
        <w:t>jurisdiction</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Ms.</w:t>
      </w:r>
      <w:r w:rsidR="00190923" w:rsidRPr="00981405">
        <w:t xml:space="preserve"> </w:t>
      </w:r>
      <w:r w:rsidRPr="00981405">
        <w:t>C.</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Ms.</w:t>
      </w:r>
      <w:r w:rsidR="00190923" w:rsidRPr="00981405">
        <w:t xml:space="preserve"> </w:t>
      </w:r>
      <w:r w:rsidRPr="00981405">
        <w:t>M.G.</w:t>
      </w:r>
      <w:r w:rsidR="00190923" w:rsidRPr="00981405">
        <w:t xml:space="preserve"> </w:t>
      </w:r>
      <w:r w:rsidRPr="00981405">
        <w:t>Jacobsson,</w:t>
      </w:r>
      <w:r w:rsidR="00190923" w:rsidRPr="00981405">
        <w:t xml:space="preserve"> </w:t>
      </w:r>
      <w:r w:rsidRPr="00981405">
        <w:t>Mr.</w:t>
      </w:r>
      <w:r w:rsidR="00190923" w:rsidRPr="00981405">
        <w:t xml:space="preserve"> </w:t>
      </w:r>
      <w:r w:rsidRPr="00981405">
        <w:t>M.</w:t>
      </w:r>
      <w:r w:rsidR="00190923" w:rsidRPr="00981405">
        <w:t xml:space="preserve"> </w:t>
      </w:r>
      <w:r w:rsidRPr="00981405">
        <w:t>Kamto,</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R.A.</w:t>
      </w:r>
      <w:r w:rsidR="00190923" w:rsidRPr="00981405">
        <w:t xml:space="preserve"> </w:t>
      </w:r>
      <w:r w:rsidRPr="00981405">
        <w:t>Kolodkin,</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G.V.</w:t>
      </w:r>
      <w:r w:rsidR="00190923" w:rsidRPr="00981405">
        <w:t xml:space="preserve"> </w:t>
      </w:r>
      <w:r w:rsidRPr="00981405">
        <w:t>Saboia,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A.S.</w:t>
      </w:r>
      <w:r w:rsidR="00190923" w:rsidRPr="00981405">
        <w:t xml:space="preserve"> </w:t>
      </w:r>
      <w:r w:rsidRPr="00981405">
        <w:t>Wako,</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ab/>
        <w:t>(g)</w:t>
      </w:r>
      <w:r w:rsidR="00190923" w:rsidRPr="00981405">
        <w:t xml:space="preserve"> </w:t>
      </w:r>
      <w:r w:rsidRPr="00981405">
        <w:tab/>
      </w:r>
      <w:r w:rsidRPr="00D97463">
        <w:rPr>
          <w:i/>
          <w:iCs/>
        </w:rPr>
        <w:t>Provisional</w:t>
      </w:r>
      <w:r w:rsidR="00190923" w:rsidRPr="00981405">
        <w:rPr>
          <w:i/>
          <w:iCs/>
        </w:rPr>
        <w:t xml:space="preserve"> </w:t>
      </w:r>
      <w:r w:rsidRPr="00D97463">
        <w:rPr>
          <w:i/>
          <w:iCs/>
        </w:rPr>
        <w:t>applications</w:t>
      </w:r>
      <w:r w:rsidR="00190923" w:rsidRPr="00981405">
        <w:rPr>
          <w:i/>
          <w:iCs/>
        </w:rPr>
        <w:t xml:space="preserve"> </w:t>
      </w:r>
      <w:r w:rsidRPr="00D97463">
        <w:rPr>
          <w:i/>
          <w:iCs/>
        </w:rPr>
        <w:t>of</w:t>
      </w:r>
      <w:r w:rsidR="00190923" w:rsidRPr="00981405">
        <w:rPr>
          <w:i/>
          <w:iCs/>
        </w:rPr>
        <w:t xml:space="preserve"> </w:t>
      </w:r>
      <w:r w:rsidRPr="00D97463">
        <w:rPr>
          <w:i/>
          <w:iCs/>
        </w:rPr>
        <w:t>treaties</w:t>
      </w:r>
      <w:r w:rsidRPr="00981405">
        <w:t>:</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(Chairman),</w:t>
      </w:r>
      <w:r w:rsidR="00190923" w:rsidRPr="00981405">
        <w:t xml:space="preserve"> </w:t>
      </w:r>
      <w:r w:rsidRPr="00981405">
        <w:t>Mr.</w:t>
      </w:r>
      <w:r w:rsidR="00190923" w:rsidRPr="00981405">
        <w:t xml:space="preserve"> </w:t>
      </w:r>
      <w:r w:rsidRPr="00981405">
        <w:t>J.M.</w:t>
      </w:r>
      <w:r w:rsidR="00190923" w:rsidRPr="00981405">
        <w:t xml:space="preserve"> </w:t>
      </w:r>
      <w:r w:rsidRPr="00981405">
        <w:t>Gómez-Robledo</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Ms.</w:t>
      </w:r>
      <w:r w:rsidR="00190923" w:rsidRPr="00981405">
        <w:t xml:space="preserve"> </w:t>
      </w:r>
      <w:r w:rsidRPr="00981405">
        <w:t>C.</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Mr.</w:t>
      </w:r>
      <w:r w:rsidR="00190923" w:rsidRPr="00981405">
        <w:t xml:space="preserve"> </w:t>
      </w:r>
      <w:r w:rsidRPr="00981405">
        <w:t>M.</w:t>
      </w:r>
      <w:r w:rsidR="00190923" w:rsidRPr="00981405">
        <w:t xml:space="preserve"> </w:t>
      </w:r>
      <w:r w:rsidRPr="00981405">
        <w:t>Kamto,</w:t>
      </w:r>
      <w:r w:rsidR="00190923" w:rsidRPr="00981405">
        <w:t xml:space="preserve"> </w:t>
      </w:r>
      <w:r w:rsidRPr="00981405">
        <w:t>Mr.</w:t>
      </w:r>
      <w:r w:rsidR="00190923" w:rsidRPr="00981405">
        <w:t xml:space="preserve"> </w:t>
      </w:r>
      <w:r w:rsidRPr="00981405">
        <w:t>R.A.</w:t>
      </w:r>
      <w:r w:rsidR="00190923" w:rsidRPr="00981405">
        <w:t xml:space="preserve"> </w:t>
      </w:r>
      <w:r w:rsidRPr="00981405">
        <w:t>Kolodkin,</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8.</w:t>
      </w:r>
      <w:r w:rsidRPr="00981405">
        <w:tab/>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held</w:t>
      </w:r>
      <w:r w:rsidR="00190923" w:rsidRPr="00981405">
        <w:t xml:space="preserve"> </w:t>
      </w:r>
      <w:r w:rsidRPr="00981405">
        <w:t>a</w:t>
      </w:r>
      <w:r w:rsidR="00190923" w:rsidRPr="00981405">
        <w:t xml:space="preserve"> </w:t>
      </w:r>
      <w:r w:rsidRPr="00981405">
        <w:t>total</w:t>
      </w:r>
      <w:r w:rsidR="00190923" w:rsidRPr="00981405">
        <w:t xml:space="preserve"> </w:t>
      </w:r>
      <w:r w:rsidRPr="00981405">
        <w:t>of</w:t>
      </w:r>
      <w:r w:rsidR="00190923" w:rsidRPr="00981405">
        <w:t xml:space="preserve"> </w:t>
      </w:r>
      <w:r w:rsidRPr="00981405">
        <w:t>34</w:t>
      </w:r>
      <w:r w:rsidR="00190923" w:rsidRPr="00981405">
        <w:t xml:space="preserve"> </w:t>
      </w:r>
      <w:r w:rsidRPr="00981405">
        <w:t>meetings</w:t>
      </w:r>
      <w:r w:rsidR="00190923" w:rsidRPr="00981405">
        <w:t xml:space="preserve"> </w:t>
      </w:r>
      <w:r w:rsidRPr="00981405">
        <w:t>on</w:t>
      </w:r>
      <w:r w:rsidR="00190923" w:rsidRPr="00981405">
        <w:t xml:space="preserve"> </w:t>
      </w:r>
      <w:r w:rsidRPr="00981405">
        <w:t>the</w:t>
      </w:r>
      <w:r w:rsidR="00190923" w:rsidRPr="00981405">
        <w:t xml:space="preserve"> </w:t>
      </w:r>
      <w:r w:rsidRPr="00981405">
        <w:t>seven</w:t>
      </w:r>
      <w:r w:rsidR="00190923" w:rsidRPr="00981405">
        <w:t xml:space="preserve"> </w:t>
      </w:r>
      <w:r w:rsidRPr="00981405">
        <w:t>topics</w:t>
      </w:r>
      <w:r w:rsidR="00190923" w:rsidRPr="00981405">
        <w:t xml:space="preserve"> </w:t>
      </w:r>
      <w:r w:rsidRPr="00981405">
        <w:t>indicated</w:t>
      </w:r>
      <w:r w:rsidR="00190923" w:rsidRPr="00981405">
        <w:t xml:space="preserve"> </w:t>
      </w:r>
      <w:r w:rsidRPr="00981405">
        <w:t>above.</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1"/>
        <w:ind w:right="1260"/>
      </w:pPr>
      <w:r w:rsidRPr="00D97463">
        <w:tab/>
      </w:r>
      <w:bookmarkStart w:id="8" w:name="_Toc427938072"/>
      <w:r w:rsidRPr="00D97463">
        <w:t>E.</w:t>
      </w:r>
      <w:r w:rsidRPr="00D97463">
        <w:tab/>
        <w:t>Study</w:t>
      </w:r>
      <w:r w:rsidR="00190923" w:rsidRPr="00D97463">
        <w:t xml:space="preserve"> </w:t>
      </w:r>
      <w:r w:rsidRPr="00D97463">
        <w:t>Group</w:t>
      </w:r>
      <w:bookmarkEnd w:id="8"/>
      <w:r w:rsidR="00D11E0B">
        <w:t xml:space="preserve"> and Working Group</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9.</w:t>
      </w:r>
      <w:r w:rsidRPr="00981405">
        <w:tab/>
        <w:t>At</w:t>
      </w:r>
      <w:r w:rsidR="00190923" w:rsidRPr="00981405">
        <w:t xml:space="preserve"> </w:t>
      </w:r>
      <w:r w:rsidRPr="00981405">
        <w:t>its</w:t>
      </w:r>
      <w:r w:rsidR="00190923" w:rsidRPr="00981405">
        <w:t xml:space="preserve"> </w:t>
      </w:r>
      <w:r w:rsidRPr="00981405">
        <w:t>3249th</w:t>
      </w:r>
      <w:r w:rsidR="00190923" w:rsidRPr="00981405">
        <w:t xml:space="preserve"> </w:t>
      </w:r>
      <w:r w:rsidRPr="00981405">
        <w:t>meeting</w:t>
      </w:r>
      <w:r w:rsidR="00190923" w:rsidRPr="00981405">
        <w:t xml:space="preserve"> </w:t>
      </w:r>
      <w:r w:rsidRPr="00981405">
        <w:t>on</w:t>
      </w:r>
      <w:r w:rsidR="00190923" w:rsidRPr="00981405">
        <w:t xml:space="preserve"> </w:t>
      </w:r>
      <w:r w:rsidRPr="00981405">
        <w:t>12</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reconstituted</w:t>
      </w:r>
      <w:r w:rsidR="00190923" w:rsidRPr="00981405">
        <w:t xml:space="preserve"> </w:t>
      </w:r>
      <w:r w:rsidRPr="00981405">
        <w:t>the</w:t>
      </w:r>
      <w:r w:rsidR="00190923" w:rsidRPr="00981405">
        <w:t xml:space="preserve"> </w:t>
      </w:r>
      <w:r w:rsidRPr="00981405">
        <w:t>following</w:t>
      </w:r>
      <w:r w:rsidR="00190923" w:rsidRPr="00981405">
        <w:t xml:space="preserve"> </w:t>
      </w:r>
      <w:r w:rsidRPr="00981405">
        <w:t>Study</w:t>
      </w:r>
      <w:r w:rsidR="00190923" w:rsidRPr="00981405">
        <w:t xml:space="preserve"> </w:t>
      </w:r>
      <w:r w:rsidRPr="00981405">
        <w:t>Group:</w:t>
      </w:r>
    </w:p>
    <w:p w:rsidR="00397032" w:rsidRPr="00981405" w:rsidRDefault="00397032" w:rsidP="00D97463">
      <w:pPr>
        <w:pStyle w:val="SingleTxt"/>
      </w:pPr>
      <w:r w:rsidRPr="00981405">
        <w:lastRenderedPageBreak/>
        <w:tab/>
      </w:r>
      <w:r w:rsidRPr="00D97463">
        <w:rPr>
          <w:i/>
          <w:iCs/>
        </w:rPr>
        <w:t>Study</w:t>
      </w:r>
      <w:r w:rsidR="00190923" w:rsidRPr="00981405">
        <w:rPr>
          <w:i/>
          <w:iCs/>
        </w:rPr>
        <w:t xml:space="preserve"> </w:t>
      </w:r>
      <w:r w:rsidRPr="00D97463">
        <w:rPr>
          <w:i/>
          <w:iCs/>
        </w:rPr>
        <w:t>Group</w:t>
      </w:r>
      <w:r w:rsidR="00190923" w:rsidRPr="00981405">
        <w:rPr>
          <w:i/>
          <w:iCs/>
        </w:rPr>
        <w:t xml:space="preserve"> </w:t>
      </w:r>
      <w:r w:rsidRPr="00D97463">
        <w:rPr>
          <w:i/>
          <w:iCs/>
        </w:rPr>
        <w:t>on</w:t>
      </w:r>
      <w:r w:rsidR="00190923" w:rsidRPr="00981405">
        <w:rPr>
          <w:i/>
          <w:iCs/>
        </w:rPr>
        <w:t xml:space="preserve"> </w:t>
      </w:r>
      <w:r w:rsidRPr="00D97463">
        <w:rPr>
          <w:i/>
          <w:iCs/>
        </w:rPr>
        <w:t>The</w:t>
      </w:r>
      <w:r w:rsidR="00190923" w:rsidRPr="00981405">
        <w:rPr>
          <w:i/>
          <w:iCs/>
        </w:rPr>
        <w:t xml:space="preserve"> </w:t>
      </w:r>
      <w:r w:rsidRPr="00D97463">
        <w:rPr>
          <w:i/>
          <w:iCs/>
        </w:rPr>
        <w:t>Most-Favoured-Nation</w:t>
      </w:r>
      <w:r w:rsidR="00190923" w:rsidRPr="00981405">
        <w:rPr>
          <w:i/>
          <w:iCs/>
        </w:rPr>
        <w:t xml:space="preserve"> </w:t>
      </w:r>
      <w:r w:rsidRPr="00D97463">
        <w:rPr>
          <w:i/>
          <w:iCs/>
        </w:rPr>
        <w:t>clause</w:t>
      </w:r>
      <w:r w:rsidRPr="00981405">
        <w:t>:</w:t>
      </w:r>
      <w:r w:rsidR="00190923" w:rsidRPr="00981405">
        <w:t xml:space="preserve"> </w:t>
      </w:r>
      <w:r w:rsidRPr="00981405">
        <w:t>Mr.</w:t>
      </w:r>
      <w:r w:rsidR="00190923" w:rsidRPr="00981405">
        <w:t xml:space="preserve"> </w:t>
      </w:r>
      <w:r w:rsidRPr="00981405">
        <w:t>D.M.</w:t>
      </w:r>
      <w:r w:rsidR="00190923" w:rsidRPr="00981405">
        <w:t xml:space="preserve"> </w:t>
      </w:r>
      <w:r w:rsidRPr="00981405">
        <w:t>McRae</w:t>
      </w:r>
      <w:r w:rsidR="00190923" w:rsidRPr="00981405">
        <w:t xml:space="preserve"> </w:t>
      </w:r>
      <w:r w:rsidRPr="00981405">
        <w:t>(Chairman),</w:t>
      </w:r>
      <w:r w:rsidR="00190923" w:rsidRPr="00981405">
        <w:t xml:space="preserve"> </w:t>
      </w:r>
      <w:r w:rsidRPr="00981405">
        <w:t>Mr.</w:t>
      </w:r>
      <w:r w:rsidR="00190923" w:rsidRPr="00981405">
        <w:t xml:space="preserve"> </w:t>
      </w:r>
      <w:r w:rsidRPr="00981405">
        <w:t>L.</w:t>
      </w:r>
      <w:r w:rsidR="00190923" w:rsidRPr="00981405">
        <w:t xml:space="preserve"> </w:t>
      </w:r>
      <w:r w:rsidRPr="00981405">
        <w:t>Caflisch,</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Mr.</w:t>
      </w:r>
      <w:r w:rsidR="00190923" w:rsidRPr="00981405">
        <w:t xml:space="preserve"> </w:t>
      </w:r>
      <w:r w:rsidRPr="00981405">
        <w:t>M.</w:t>
      </w:r>
      <w:r w:rsidR="00190923" w:rsidRPr="00981405">
        <w:t xml:space="preserve"> </w:t>
      </w:r>
      <w:r w:rsidRPr="00981405">
        <w:t>Kamto,</w:t>
      </w:r>
      <w:r w:rsidR="00190923" w:rsidRPr="00981405">
        <w:t xml:space="preserve"> </w:t>
      </w:r>
      <w:r w:rsidRPr="00981405">
        <w:t>Mr.</w:t>
      </w:r>
      <w:r w:rsidR="00190923" w:rsidRPr="00981405">
        <w:t xml:space="preserve"> </w:t>
      </w:r>
      <w:r w:rsidRPr="00981405">
        <w:t>S.</w:t>
      </w:r>
      <w:r w:rsidR="00190923" w:rsidRPr="00981405">
        <w:t xml:space="preserve"> </w:t>
      </w:r>
      <w:r w:rsidRPr="00981405">
        <w:t>Murase,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N.</w:t>
      </w:r>
      <w:r w:rsidR="00190923" w:rsidRPr="00981405">
        <w:t xml:space="preserve"> </w:t>
      </w:r>
      <w:r w:rsidRPr="00981405">
        <w:t>Singh,</w:t>
      </w:r>
      <w:r w:rsidR="00190923" w:rsidRPr="00981405">
        <w:t xml:space="preserve"> </w:t>
      </w:r>
      <w:r w:rsidRPr="00981405">
        <w:t>Mr.</w:t>
      </w:r>
      <w:r w:rsidR="00190923" w:rsidRPr="00981405">
        <w:t xml:space="preserve"> </w:t>
      </w:r>
      <w:r w:rsidRPr="00981405">
        <w:t>P.</w:t>
      </w:r>
      <w:r w:rsidR="00190923" w:rsidRPr="00981405">
        <w:t xml:space="preserve"> </w:t>
      </w:r>
      <w:r w:rsidRPr="00981405">
        <w:t>Šturma,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981405" w:rsidRDefault="00397032" w:rsidP="00D97463">
      <w:pPr>
        <w:pStyle w:val="SingleTxt"/>
      </w:pPr>
      <w:r w:rsidRPr="00981405">
        <w:t>10.</w:t>
      </w:r>
      <w:r w:rsidRPr="00981405">
        <w:tab/>
        <w:t>The</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reconstituted</w:t>
      </w:r>
      <w:r w:rsidR="00190923" w:rsidRPr="00981405">
        <w:t xml:space="preserve"> </w:t>
      </w:r>
      <w:r w:rsidRPr="00981405">
        <w:t>the</w:t>
      </w:r>
      <w:r w:rsidR="00190923" w:rsidRPr="00981405">
        <w:t xml:space="preserve"> </w:t>
      </w:r>
      <w:r w:rsidRPr="00981405">
        <w:t>following</w:t>
      </w:r>
      <w:r w:rsidR="00190923" w:rsidRPr="00981405">
        <w:t xml:space="preserve"> </w:t>
      </w:r>
      <w:r w:rsidRPr="00981405">
        <w:t>Working</w:t>
      </w:r>
      <w:r w:rsidR="00190923" w:rsidRPr="00981405">
        <w:t xml:space="preserve"> </w:t>
      </w:r>
      <w:r w:rsidRPr="00981405">
        <w:t>Group:</w:t>
      </w:r>
    </w:p>
    <w:p w:rsidR="00397032" w:rsidRPr="00981405" w:rsidRDefault="00397032" w:rsidP="00D97463">
      <w:pPr>
        <w:pStyle w:val="SingleTxt"/>
      </w:pPr>
      <w:r w:rsidRPr="00981405">
        <w:tab/>
      </w:r>
      <w:r w:rsidRPr="00D97463">
        <w:rPr>
          <w:i/>
          <w:iCs/>
        </w:rPr>
        <w:t>Working</w:t>
      </w:r>
      <w:r w:rsidR="00190923" w:rsidRPr="00981405">
        <w:rPr>
          <w:i/>
          <w:iCs/>
        </w:rPr>
        <w:t xml:space="preserve"> </w:t>
      </w:r>
      <w:r w:rsidRPr="00D97463">
        <w:rPr>
          <w:i/>
          <w:iCs/>
        </w:rPr>
        <w:t>Group</w:t>
      </w:r>
      <w:r w:rsidR="00190923" w:rsidRPr="00981405">
        <w:rPr>
          <w:i/>
          <w:iCs/>
        </w:rPr>
        <w:t xml:space="preserve"> </w:t>
      </w:r>
      <w:r w:rsidRPr="00D97463">
        <w:rPr>
          <w:i/>
          <w:iCs/>
        </w:rPr>
        <w:t>on</w:t>
      </w:r>
      <w:r w:rsidR="00190923" w:rsidRPr="00981405">
        <w:rPr>
          <w:i/>
          <w:iCs/>
        </w:rPr>
        <w:t xml:space="preserve"> </w:t>
      </w:r>
      <w:r w:rsidRPr="00D97463">
        <w:rPr>
          <w:i/>
          <w:iCs/>
        </w:rPr>
        <w:t>Long-term</w:t>
      </w:r>
      <w:r w:rsidR="00190923" w:rsidRPr="00981405">
        <w:rPr>
          <w:i/>
          <w:iCs/>
        </w:rPr>
        <w:t xml:space="preserve"> </w:t>
      </w:r>
      <w:r w:rsidRPr="00D97463">
        <w:rPr>
          <w:i/>
          <w:iCs/>
        </w:rPr>
        <w:t>Programme</w:t>
      </w:r>
      <w:r w:rsidR="00190923" w:rsidRPr="00981405">
        <w:rPr>
          <w:i/>
          <w:iCs/>
        </w:rPr>
        <w:t xml:space="preserve"> </w:t>
      </w:r>
      <w:r w:rsidRPr="00D97463">
        <w:rPr>
          <w:i/>
          <w:iCs/>
        </w:rPr>
        <w:t>of</w:t>
      </w:r>
      <w:r w:rsidR="00190923" w:rsidRPr="00981405">
        <w:rPr>
          <w:i/>
          <w:iCs/>
        </w:rPr>
        <w:t xml:space="preserve"> </w:t>
      </w:r>
      <w:r w:rsidRPr="00D97463">
        <w:rPr>
          <w:i/>
          <w:iCs/>
        </w:rPr>
        <w:t>work</w:t>
      </w:r>
      <w:r w:rsidR="00190923" w:rsidRPr="00981405">
        <w:rPr>
          <w:i/>
          <w:iCs/>
        </w:rPr>
        <w:t xml:space="preserve"> </w:t>
      </w:r>
      <w:r w:rsidRPr="00D97463">
        <w:rPr>
          <w:i/>
          <w:iCs/>
        </w:rPr>
        <w:t>for</w:t>
      </w:r>
      <w:r w:rsidR="00190923" w:rsidRPr="00981405">
        <w:rPr>
          <w:i/>
          <w:iCs/>
        </w:rPr>
        <w:t xml:space="preserve"> </w:t>
      </w:r>
      <w:r w:rsidRPr="00D97463">
        <w:rPr>
          <w:i/>
          <w:iCs/>
        </w:rPr>
        <w:t>the</w:t>
      </w:r>
      <w:r w:rsidR="00190923" w:rsidRPr="00981405">
        <w:rPr>
          <w:i/>
          <w:iCs/>
        </w:rPr>
        <w:t xml:space="preserve"> </w:t>
      </w:r>
      <w:r w:rsidRPr="00D97463">
        <w:rPr>
          <w:i/>
          <w:iCs/>
        </w:rPr>
        <w:t>quinquennium</w:t>
      </w:r>
      <w:r w:rsidRPr="00981405">
        <w:t>:</w:t>
      </w:r>
      <w:r w:rsidR="00190923" w:rsidRPr="00981405">
        <w:t xml:space="preserve"> </w:t>
      </w:r>
      <w:r w:rsidRPr="00981405">
        <w:t>Mr.</w:t>
      </w:r>
      <w:r w:rsidR="00190923" w:rsidRPr="00981405">
        <w:t xml:space="preserve"> </w:t>
      </w:r>
      <w:r w:rsidRPr="00981405">
        <w:t>D.</w:t>
      </w:r>
      <w:r w:rsidR="00190923" w:rsidRPr="00981405">
        <w:t xml:space="preserve"> </w:t>
      </w:r>
      <w:r w:rsidRPr="00981405">
        <w:t>McRae</w:t>
      </w:r>
      <w:r w:rsidR="00190923" w:rsidRPr="00981405">
        <w:t xml:space="preserve"> </w:t>
      </w:r>
      <w:r w:rsidRPr="00981405">
        <w:t>(Chairman),</w:t>
      </w:r>
      <w:r w:rsidR="00190923" w:rsidRPr="00981405">
        <w:t xml:space="preserve"> </w:t>
      </w:r>
      <w:r w:rsidRPr="00981405">
        <w:t>Mr.</w:t>
      </w:r>
      <w:r w:rsidR="00190923" w:rsidRPr="00981405">
        <w:t xml:space="preserve"> </w:t>
      </w:r>
      <w:r w:rsidRPr="00981405">
        <w:t>L.</w:t>
      </w:r>
      <w:r w:rsidR="00190923" w:rsidRPr="00981405">
        <w:t xml:space="preserve"> </w:t>
      </w:r>
      <w:r w:rsidRPr="00981405">
        <w:t>Caflisch,</w:t>
      </w:r>
      <w:r w:rsidR="00190923" w:rsidRPr="00981405">
        <w:t xml:space="preserve"> </w:t>
      </w:r>
      <w:r w:rsidRPr="00981405">
        <w:t>Ms.</w:t>
      </w:r>
      <w:r w:rsidR="00190923" w:rsidRPr="00981405">
        <w:t xml:space="preserve"> </w:t>
      </w:r>
      <w:r w:rsidRPr="00981405">
        <w:t>C.</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Mr.</w:t>
      </w:r>
      <w:r w:rsidR="00190923" w:rsidRPr="00981405">
        <w:t xml:space="preserve"> </w:t>
      </w:r>
      <w:r w:rsidRPr="00981405">
        <w:t>M.</w:t>
      </w:r>
      <w:r w:rsidR="00190923" w:rsidRPr="00981405">
        <w:t xml:space="preserve"> </w:t>
      </w:r>
      <w:r w:rsidRPr="00981405">
        <w:t>Forteau,</w:t>
      </w:r>
      <w:r w:rsidR="00190923" w:rsidRPr="00981405">
        <w:t xml:space="preserve"> </w:t>
      </w:r>
      <w:r w:rsidRPr="00981405">
        <w:t>Mr.</w:t>
      </w:r>
      <w:r w:rsidR="00190923" w:rsidRPr="00981405">
        <w:t xml:space="preserve"> </w:t>
      </w:r>
      <w:r w:rsidRPr="00981405">
        <w:t>H.A.</w:t>
      </w:r>
      <w:r w:rsidR="00190923" w:rsidRPr="00981405">
        <w:t xml:space="preserve"> </w:t>
      </w:r>
      <w:r w:rsidRPr="00981405">
        <w:t>Hassouna,</w:t>
      </w:r>
      <w:r w:rsidR="00190923" w:rsidRPr="00981405">
        <w:t xml:space="preserve"> </w:t>
      </w:r>
      <w:r w:rsidRPr="00981405">
        <w:t>Mr.</w:t>
      </w:r>
      <w:r w:rsidR="00190923" w:rsidRPr="00981405">
        <w:t xml:space="preserve"> </w:t>
      </w:r>
      <w:r w:rsidRPr="00981405">
        <w:t>M.D.</w:t>
      </w:r>
      <w:r w:rsidR="00190923" w:rsidRPr="00981405">
        <w:t xml:space="preserve"> </w:t>
      </w:r>
      <w:r w:rsidRPr="00981405">
        <w:t>Hmoud,</w:t>
      </w:r>
      <w:r w:rsidR="00190923" w:rsidRPr="00981405">
        <w:t xml:space="preserve"> </w:t>
      </w:r>
      <w:r w:rsidRPr="00981405">
        <w:t>Ms.</w:t>
      </w:r>
      <w:r w:rsidR="00190923" w:rsidRPr="00981405">
        <w:t xml:space="preserve"> </w:t>
      </w:r>
      <w:r w:rsidRPr="00981405">
        <w:t>M.G.</w:t>
      </w:r>
      <w:r w:rsidR="00190923" w:rsidRPr="00981405">
        <w:t xml:space="preserve"> </w:t>
      </w:r>
      <w:r w:rsidRPr="00981405">
        <w:t>Jacobsson,</w:t>
      </w:r>
      <w:r w:rsidR="00190923" w:rsidRPr="00981405">
        <w:t xml:space="preserve"> </w:t>
      </w:r>
      <w:r w:rsidRPr="00981405">
        <w:t>Mr.</w:t>
      </w:r>
      <w:r w:rsidR="00190923" w:rsidRPr="00981405">
        <w:t xml:space="preserve"> </w:t>
      </w:r>
      <w:r w:rsidRPr="00981405">
        <w:t>K.</w:t>
      </w:r>
      <w:r w:rsidR="00190923" w:rsidRPr="00981405">
        <w:t xml:space="preserve"> </w:t>
      </w:r>
      <w:r w:rsidRPr="00981405">
        <w:t>Kittichaisaree,</w:t>
      </w:r>
      <w:r w:rsidR="00190923" w:rsidRPr="00981405">
        <w:t xml:space="preserve"> </w:t>
      </w:r>
      <w:r w:rsidRPr="00981405">
        <w:t>Mr.</w:t>
      </w:r>
      <w:r w:rsidR="00190923" w:rsidRPr="00981405">
        <w:t xml:space="preserve"> </w:t>
      </w:r>
      <w:r w:rsidRPr="00981405">
        <w:t>A.</w:t>
      </w:r>
      <w:r w:rsidR="00190923" w:rsidRPr="00981405">
        <w:t xml:space="preserve"> </w:t>
      </w:r>
      <w:r w:rsidRPr="00981405">
        <w:t>Laraba,</w:t>
      </w:r>
      <w:r w:rsidR="00190923" w:rsidRPr="00981405">
        <w:t xml:space="preserve"> </w:t>
      </w:r>
      <w:r w:rsidRPr="00981405">
        <w:t>Mr.</w:t>
      </w:r>
      <w:r w:rsidR="00190923" w:rsidRPr="00981405">
        <w:t xml:space="preserve"> </w:t>
      </w:r>
      <w:r w:rsidRPr="00981405">
        <w:t>S.</w:t>
      </w:r>
      <w:r w:rsidR="00190923" w:rsidRPr="00981405">
        <w:t xml:space="preserve"> </w:t>
      </w:r>
      <w:r w:rsidRPr="00981405">
        <w:t>Murase,</w:t>
      </w:r>
      <w:r w:rsidR="00190923" w:rsidRPr="00981405">
        <w:t xml:space="preserve"> </w:t>
      </w:r>
      <w:r w:rsidRPr="00981405">
        <w:t>Mr.</w:t>
      </w:r>
      <w:r w:rsidR="00190923" w:rsidRPr="00981405">
        <w:t xml:space="preserve"> </w:t>
      </w:r>
      <w:r w:rsidRPr="00981405">
        <w:t>S.D.</w:t>
      </w:r>
      <w:r w:rsidR="00190923" w:rsidRPr="00981405">
        <w:t xml:space="preserve"> </w:t>
      </w:r>
      <w:r w:rsidRPr="00981405">
        <w:t>Murphy,</w:t>
      </w:r>
      <w:r w:rsidR="00190923" w:rsidRPr="00981405">
        <w:t xml:space="preserve"> </w:t>
      </w:r>
      <w:r w:rsidRPr="00981405">
        <w:t>Mr.</w:t>
      </w:r>
      <w:r w:rsidR="00190923" w:rsidRPr="00981405">
        <w:t xml:space="preserve"> </w:t>
      </w:r>
      <w:r w:rsidRPr="00981405">
        <w:t>G.</w:t>
      </w:r>
      <w:r w:rsidR="00190923" w:rsidRPr="00981405">
        <w:t xml:space="preserve"> </w:t>
      </w:r>
      <w:r w:rsidRPr="00981405">
        <w:t>Nolte,</w:t>
      </w:r>
      <w:r w:rsidR="00190923" w:rsidRPr="00981405">
        <w:t xml:space="preserve"> </w:t>
      </w:r>
      <w:r w:rsidRPr="00981405">
        <w:t>Mr.</w:t>
      </w:r>
      <w:r w:rsidR="00190923" w:rsidRPr="00981405">
        <w:t xml:space="preserve"> </w:t>
      </w:r>
      <w:r w:rsidRPr="00981405">
        <w:t>K.G.</w:t>
      </w:r>
      <w:r w:rsidR="00190923" w:rsidRPr="00981405">
        <w:t xml:space="preserve"> </w:t>
      </w:r>
      <w:r w:rsidRPr="00981405">
        <w:t>Park,</w:t>
      </w:r>
      <w:r w:rsidR="00190923" w:rsidRPr="00981405">
        <w:t xml:space="preserve"> </w:t>
      </w:r>
      <w:r w:rsidRPr="00981405">
        <w:t>Mr.</w:t>
      </w:r>
      <w:r w:rsidR="00190923" w:rsidRPr="00981405">
        <w:t xml:space="preserve"> </w:t>
      </w:r>
      <w:r w:rsidRPr="00981405">
        <w:t>E.</w:t>
      </w:r>
      <w:r w:rsidR="00190923" w:rsidRPr="00981405">
        <w:t xml:space="preserve"> </w:t>
      </w:r>
      <w:r w:rsidRPr="00981405">
        <w:t>Petrič,</w:t>
      </w:r>
      <w:r w:rsidR="00190923" w:rsidRPr="00981405">
        <w:t xml:space="preserve"> </w:t>
      </w:r>
      <w:r w:rsidRPr="00981405">
        <w:t>Mr.</w:t>
      </w:r>
      <w:r w:rsidR="00190923" w:rsidRPr="00981405">
        <w:t xml:space="preserve"> </w:t>
      </w:r>
      <w:r w:rsidRPr="00981405">
        <w:t>N.</w:t>
      </w:r>
      <w:r w:rsidR="00190923" w:rsidRPr="00981405">
        <w:t xml:space="preserve"> </w:t>
      </w:r>
      <w:r w:rsidRPr="00981405">
        <w:t>Singh,</w:t>
      </w:r>
      <w:r w:rsidR="00190923" w:rsidRPr="00981405">
        <w:t xml:space="preserve"> </w:t>
      </w:r>
      <w:r w:rsidRPr="00981405">
        <w:t>Mr.</w:t>
      </w:r>
      <w:r w:rsidR="00190923" w:rsidRPr="00981405">
        <w:t xml:space="preserve"> </w:t>
      </w:r>
      <w:r w:rsidRPr="00981405">
        <w:t>P.</w:t>
      </w:r>
      <w:r w:rsidR="00190923" w:rsidRPr="00981405">
        <w:t xml:space="preserve"> </w:t>
      </w:r>
      <w:r w:rsidRPr="00981405">
        <w:t>Šturma,</w:t>
      </w:r>
      <w:r w:rsidR="00190923" w:rsidRPr="00981405">
        <w:t xml:space="preserve"> </w:t>
      </w:r>
      <w:r w:rsidRPr="00981405">
        <w:t>Mr.</w:t>
      </w:r>
      <w:r w:rsidR="00190923" w:rsidRPr="00981405">
        <w:t xml:space="preserve"> </w:t>
      </w:r>
      <w:r w:rsidRPr="00981405">
        <w:t>D.D.</w:t>
      </w:r>
      <w:r w:rsidR="00190923" w:rsidRPr="00981405">
        <w:t xml:space="preserve"> </w:t>
      </w:r>
      <w:r w:rsidRPr="00981405">
        <w:t>Tladi,</w:t>
      </w:r>
      <w:r w:rsidR="00190923" w:rsidRPr="00981405">
        <w:t xml:space="preserve"> </w:t>
      </w:r>
      <w:r w:rsidRPr="00981405">
        <w:t>Mr.</w:t>
      </w:r>
      <w:r w:rsidR="00190923" w:rsidRPr="00981405">
        <w:t xml:space="preserve"> </w:t>
      </w:r>
      <w:r w:rsidRPr="00981405">
        <w:t>A.S.</w:t>
      </w:r>
      <w:r w:rsidR="00190923" w:rsidRPr="00981405">
        <w:t xml:space="preserve"> </w:t>
      </w:r>
      <w:r w:rsidRPr="00981405">
        <w:t>Wako,</w:t>
      </w:r>
      <w:r w:rsidR="00190923" w:rsidRPr="00981405">
        <w:t xml:space="preserve"> </w:t>
      </w:r>
      <w:r w:rsidRPr="00981405">
        <w:t>Mr.</w:t>
      </w:r>
      <w:r w:rsidR="00190923" w:rsidRPr="00981405">
        <w:t xml:space="preserve"> </w:t>
      </w:r>
      <w:r w:rsidRPr="00981405">
        <w:t>N.</w:t>
      </w:r>
      <w:r w:rsidR="00190923" w:rsidRPr="00981405">
        <w:t xml:space="preserve"> </w:t>
      </w:r>
      <w:r w:rsidRPr="00981405">
        <w:t>Wisnumurti,</w:t>
      </w:r>
      <w:r w:rsidR="00190923" w:rsidRPr="00981405">
        <w:t xml:space="preserve"> </w:t>
      </w:r>
      <w:r w:rsidRPr="00981405">
        <w:t>Mr.</w:t>
      </w:r>
      <w:r w:rsidR="00190923" w:rsidRPr="00981405">
        <w:t xml:space="preserve"> </w:t>
      </w:r>
      <w:r w:rsidRPr="00981405">
        <w:t>M.</w:t>
      </w:r>
      <w:r w:rsidR="00190923" w:rsidRPr="00981405">
        <w:t xml:space="preserve"> </w:t>
      </w:r>
      <w:r w:rsidRPr="00981405">
        <w:t>Wood,</w:t>
      </w:r>
      <w:r w:rsidR="00190923" w:rsidRPr="00981405">
        <w:t xml:space="preserve"> </w:t>
      </w:r>
      <w:r w:rsidRPr="00981405">
        <w:t>and</w:t>
      </w:r>
      <w:r w:rsidR="00190923" w:rsidRPr="00981405">
        <w:t xml:space="preserve"> </w:t>
      </w:r>
      <w:r w:rsidRPr="00981405">
        <w:t>Mr.</w:t>
      </w:r>
      <w:r w:rsidR="00190923" w:rsidRPr="00981405">
        <w:t xml:space="preserve"> </w:t>
      </w:r>
      <w:r w:rsidRPr="00981405">
        <w:t>M.</w:t>
      </w:r>
      <w:r w:rsidR="00190923" w:rsidRPr="00981405">
        <w:t xml:space="preserve"> </w:t>
      </w:r>
      <w:r w:rsidRPr="00981405">
        <w:t>Vázquez-Bermúdez</w:t>
      </w:r>
      <w:r w:rsidR="00190923" w:rsidRPr="00981405">
        <w:t xml:space="preserve"> </w:t>
      </w:r>
      <w:r w:rsidRPr="00981405">
        <w:t>(</w:t>
      </w:r>
      <w:r w:rsidRPr="00981405">
        <w:rPr>
          <w:i/>
          <w:iCs/>
        </w:rPr>
        <w:t>ex</w:t>
      </w:r>
      <w:r w:rsidR="00190923" w:rsidRPr="00981405">
        <w:rPr>
          <w:i/>
          <w:iCs/>
        </w:rPr>
        <w:t xml:space="preserve"> </w:t>
      </w:r>
      <w:r w:rsidRPr="00981405">
        <w:rPr>
          <w:i/>
          <w:iCs/>
        </w:rPr>
        <w:t>officio</w:t>
      </w:r>
      <w:r w:rsidRPr="00981405">
        <w:t>).</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1"/>
        <w:ind w:right="1260"/>
      </w:pPr>
      <w:r w:rsidRPr="00D97463">
        <w:tab/>
      </w:r>
      <w:bookmarkStart w:id="9" w:name="_Toc427938073"/>
      <w:r w:rsidRPr="00D97463">
        <w:t>F.</w:t>
      </w:r>
      <w:r w:rsidRPr="00D97463">
        <w:tab/>
        <w:t>Secretariat</w:t>
      </w:r>
      <w:bookmarkEnd w:id="9"/>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11.</w:t>
      </w:r>
      <w:r w:rsidRPr="00981405">
        <w:tab/>
        <w:t>Mr.</w:t>
      </w:r>
      <w:r w:rsidR="00190923" w:rsidRPr="00981405">
        <w:t xml:space="preserve"> </w:t>
      </w:r>
      <w:r w:rsidRPr="00981405">
        <w:t>Miguel</w:t>
      </w:r>
      <w:r w:rsidR="00190923" w:rsidRPr="00981405">
        <w:t xml:space="preserve"> </w:t>
      </w:r>
      <w:r w:rsidRPr="00981405">
        <w:t>de</w:t>
      </w:r>
      <w:r w:rsidR="00190923" w:rsidRPr="00981405">
        <w:t xml:space="preserve"> </w:t>
      </w:r>
      <w:r w:rsidRPr="00981405">
        <w:t>Serpa</w:t>
      </w:r>
      <w:r w:rsidR="00190923" w:rsidRPr="00981405">
        <w:t xml:space="preserve"> </w:t>
      </w:r>
      <w:r w:rsidRPr="00981405">
        <w:t>Soares,</w:t>
      </w:r>
      <w:r w:rsidR="00190923" w:rsidRPr="00981405">
        <w:t xml:space="preserve"> </w:t>
      </w:r>
      <w:r w:rsidRPr="00981405">
        <w:t>Under-Secretary-General</w:t>
      </w:r>
      <w:r w:rsidR="00190923" w:rsidRPr="00981405">
        <w:t xml:space="preserve"> </w:t>
      </w:r>
      <w:r w:rsidRPr="00981405">
        <w:t>and</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Legal</w:t>
      </w:r>
      <w:r w:rsidR="00190923" w:rsidRPr="00981405">
        <w:t xml:space="preserve"> </w:t>
      </w:r>
      <w:r w:rsidRPr="00981405">
        <w:t>Counsel,</w:t>
      </w:r>
      <w:r w:rsidR="00190923" w:rsidRPr="00981405">
        <w:t xml:space="preserve"> </w:t>
      </w:r>
      <w:r w:rsidRPr="00981405">
        <w:t>represented</w:t>
      </w:r>
      <w:r w:rsidR="00190923" w:rsidRPr="00981405">
        <w:t xml:space="preserve"> </w:t>
      </w:r>
      <w:r w:rsidRPr="00981405">
        <w:t>the</w:t>
      </w:r>
      <w:r w:rsidR="00190923" w:rsidRPr="00981405">
        <w:t xml:space="preserve"> </w:t>
      </w:r>
      <w:r w:rsidRPr="00981405">
        <w:t>Secretary-General.</w:t>
      </w:r>
      <w:r w:rsidR="00190923" w:rsidRPr="00981405">
        <w:t xml:space="preserve"> </w:t>
      </w:r>
      <w:r w:rsidRPr="00981405">
        <w:t>Mr.</w:t>
      </w:r>
      <w:r w:rsidR="00190923" w:rsidRPr="00981405">
        <w:t xml:space="preserve"> </w:t>
      </w:r>
      <w:r w:rsidRPr="00981405">
        <w:t>George</w:t>
      </w:r>
      <w:r w:rsidR="00190923" w:rsidRPr="00981405">
        <w:t xml:space="preserve"> </w:t>
      </w:r>
      <w:r w:rsidRPr="00981405">
        <w:t>Korontzis,</w:t>
      </w:r>
      <w:r w:rsidR="00190923" w:rsidRPr="00981405">
        <w:t xml:space="preserve"> </w:t>
      </w:r>
      <w:r w:rsidRPr="00981405">
        <w:t>Director</w:t>
      </w:r>
      <w:r w:rsidR="00190923" w:rsidRPr="00981405">
        <w:t xml:space="preserve"> </w:t>
      </w:r>
      <w:r w:rsidRPr="00981405">
        <w:t>of</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190923" w:rsidRPr="00981405">
        <w:t xml:space="preserve"> </w:t>
      </w:r>
      <w:r w:rsidRPr="00981405">
        <w:t>of</w:t>
      </w:r>
      <w:r w:rsidR="00190923" w:rsidRPr="00981405">
        <w:t xml:space="preserve"> </w:t>
      </w:r>
      <w:r w:rsidRPr="00981405">
        <w:t>the</w:t>
      </w:r>
      <w:r w:rsidR="00190923" w:rsidRPr="00981405">
        <w:t xml:space="preserve"> </w:t>
      </w:r>
      <w:r w:rsidRPr="00981405">
        <w:t>Office</w:t>
      </w:r>
      <w:r w:rsidR="00190923" w:rsidRPr="00981405">
        <w:t xml:space="preserve"> </w:t>
      </w:r>
      <w:r w:rsidRPr="00981405">
        <w:t>of</w:t>
      </w:r>
      <w:r w:rsidR="00190923" w:rsidRPr="00981405">
        <w:t xml:space="preserve"> </w:t>
      </w:r>
      <w:r w:rsidRPr="00981405">
        <w:t>Legal</w:t>
      </w:r>
      <w:r w:rsidR="00190923" w:rsidRPr="00981405">
        <w:t xml:space="preserve"> </w:t>
      </w:r>
      <w:r w:rsidRPr="00981405">
        <w:t>Affairs,</w:t>
      </w:r>
      <w:r w:rsidR="00190923" w:rsidRPr="00981405">
        <w:t xml:space="preserve"> </w:t>
      </w:r>
      <w:r w:rsidRPr="00981405">
        <w:t>acted</w:t>
      </w:r>
      <w:r w:rsidR="00190923" w:rsidRPr="00981405">
        <w:t xml:space="preserve"> </w:t>
      </w:r>
      <w:r w:rsidRPr="00981405">
        <w:t>as</w:t>
      </w:r>
      <w:r w:rsidR="00190923" w:rsidRPr="00981405">
        <w:t xml:space="preserve"> </w:t>
      </w:r>
      <w:r w:rsidRPr="00981405">
        <w:t>Secretary</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absence</w:t>
      </w:r>
      <w:r w:rsidR="00190923" w:rsidRPr="00981405">
        <w:t xml:space="preserve"> </w:t>
      </w:r>
      <w:r w:rsidRPr="00981405">
        <w:t>of</w:t>
      </w:r>
      <w:r w:rsidR="00190923" w:rsidRPr="00981405">
        <w:t xml:space="preserve"> </w:t>
      </w:r>
      <w:r w:rsidRPr="00981405">
        <w:t>the</w:t>
      </w:r>
      <w:r w:rsidR="00190923" w:rsidRPr="00981405">
        <w:t xml:space="preserve"> </w:t>
      </w:r>
      <w:r w:rsidRPr="00981405">
        <w:t>Legal</w:t>
      </w:r>
      <w:r w:rsidR="00190923" w:rsidRPr="00981405">
        <w:t xml:space="preserve"> </w:t>
      </w:r>
      <w:r w:rsidRPr="00981405">
        <w:t>Counsel,</w:t>
      </w:r>
      <w:r w:rsidR="00190923" w:rsidRPr="00981405">
        <w:t xml:space="preserve"> </w:t>
      </w:r>
      <w:r w:rsidRPr="00981405">
        <w:t>represented</w:t>
      </w:r>
      <w:r w:rsidR="00190923" w:rsidRPr="00981405">
        <w:t xml:space="preserve"> </w:t>
      </w:r>
      <w:r w:rsidRPr="00981405">
        <w:t>the</w:t>
      </w:r>
      <w:r w:rsidR="00190923" w:rsidRPr="00981405">
        <w:t xml:space="preserve"> </w:t>
      </w:r>
      <w:r w:rsidRPr="00981405">
        <w:t>Secretary-General</w:t>
      </w:r>
      <w:r w:rsidR="00190923" w:rsidRPr="00981405">
        <w:t xml:space="preserve"> </w:t>
      </w:r>
      <w:r w:rsidRPr="00981405">
        <w:t>from</w:t>
      </w:r>
      <w:r w:rsidR="00190923" w:rsidRPr="00981405">
        <w:t xml:space="preserve"> </w:t>
      </w:r>
      <w:r w:rsidRPr="00981405">
        <w:t>4</w:t>
      </w:r>
      <w:r w:rsidR="00190923" w:rsidRPr="00981405">
        <w:t xml:space="preserve"> </w:t>
      </w:r>
      <w:r w:rsidRPr="00981405">
        <w:t>May</w:t>
      </w:r>
      <w:r w:rsidR="00190923" w:rsidRPr="00981405">
        <w:t xml:space="preserve"> </w:t>
      </w:r>
      <w:r w:rsidRPr="00981405">
        <w:t>to</w:t>
      </w:r>
      <w:r w:rsidR="00190923" w:rsidRPr="00981405">
        <w:t xml:space="preserve"> </w:t>
      </w:r>
      <w:r w:rsidRPr="00981405">
        <w:t>5</w:t>
      </w:r>
      <w:r w:rsidR="00190923" w:rsidRPr="00981405">
        <w:t xml:space="preserve"> </w:t>
      </w:r>
      <w:r w:rsidRPr="00981405">
        <w:t>June</w:t>
      </w:r>
      <w:r w:rsidR="00190923" w:rsidRPr="00981405">
        <w:t xml:space="preserve"> </w:t>
      </w:r>
      <w:r w:rsidRPr="00981405">
        <w:t>2015.</w:t>
      </w:r>
      <w:r w:rsidR="00190923" w:rsidRPr="00981405">
        <w:t xml:space="preserve"> </w:t>
      </w:r>
      <w:r w:rsidRPr="00981405">
        <w:t>Mr.</w:t>
      </w:r>
      <w:r w:rsidR="00190923" w:rsidRPr="00981405">
        <w:t xml:space="preserve"> </w:t>
      </w:r>
      <w:r w:rsidRPr="00981405">
        <w:t>Huw</w:t>
      </w:r>
      <w:r w:rsidR="00190923" w:rsidRPr="00981405">
        <w:t xml:space="preserve"> </w:t>
      </w:r>
      <w:r w:rsidRPr="00981405">
        <w:t>Llewellyn,</w:t>
      </w:r>
      <w:r w:rsidR="00190923" w:rsidRPr="00981405">
        <w:t xml:space="preserve"> </w:t>
      </w:r>
      <w:r w:rsidRPr="00981405">
        <w:t>Principal</w:t>
      </w:r>
      <w:r w:rsidR="00190923" w:rsidRPr="00981405">
        <w:t xml:space="preserve"> </w:t>
      </w:r>
      <w:r w:rsidRPr="00981405">
        <w:t>Legal</w:t>
      </w:r>
      <w:r w:rsidR="00190923" w:rsidRPr="00981405">
        <w:t xml:space="preserve"> </w:t>
      </w:r>
      <w:r w:rsidRPr="00981405">
        <w:t>Officer,</w:t>
      </w:r>
      <w:r w:rsidR="00190923" w:rsidRPr="00981405">
        <w:t xml:space="preserve"> </w:t>
      </w:r>
      <w:r w:rsidRPr="00981405">
        <w:t>served</w:t>
      </w:r>
      <w:r w:rsidR="00190923" w:rsidRPr="00981405">
        <w:t xml:space="preserve"> </w:t>
      </w:r>
      <w:r w:rsidRPr="00981405">
        <w:t>as</w:t>
      </w:r>
      <w:r w:rsidR="00190923" w:rsidRPr="00981405">
        <w:t xml:space="preserve"> </w:t>
      </w:r>
      <w:r w:rsidRPr="00981405">
        <w:t>Principal</w:t>
      </w:r>
      <w:r w:rsidR="00190923" w:rsidRPr="00981405">
        <w:t xml:space="preserve"> </w:t>
      </w:r>
      <w:r w:rsidRPr="00981405">
        <w:t>Assistant</w:t>
      </w:r>
      <w:r w:rsidR="00190923" w:rsidRPr="00981405">
        <w:t xml:space="preserve"> </w:t>
      </w:r>
      <w:r w:rsidRPr="00981405">
        <w:t>Secretary.</w:t>
      </w:r>
      <w:r w:rsidR="00190923" w:rsidRPr="00981405">
        <w:t xml:space="preserve"> </w:t>
      </w:r>
      <w:r w:rsidRPr="00981405">
        <w:t>Upon</w:t>
      </w:r>
      <w:r w:rsidR="00190923" w:rsidRPr="00981405">
        <w:t xml:space="preserve"> </w:t>
      </w:r>
      <w:r w:rsidRPr="00981405">
        <w:t>the</w:t>
      </w:r>
      <w:r w:rsidR="00190923" w:rsidRPr="00981405">
        <w:t xml:space="preserve"> </w:t>
      </w:r>
      <w:r w:rsidRPr="00981405">
        <w:t>retirement</w:t>
      </w:r>
      <w:r w:rsidR="00190923" w:rsidRPr="00981405">
        <w:t xml:space="preserve"> </w:t>
      </w:r>
      <w:r w:rsidRPr="00981405">
        <w:t>of</w:t>
      </w:r>
      <w:r w:rsidR="00190923" w:rsidRPr="00981405">
        <w:t xml:space="preserve"> </w:t>
      </w:r>
      <w:r w:rsidRPr="00981405">
        <w:t>Mr.</w:t>
      </w:r>
      <w:r w:rsidR="00190923" w:rsidRPr="00981405">
        <w:t xml:space="preserve"> </w:t>
      </w:r>
      <w:r w:rsidRPr="00981405">
        <w:t>George</w:t>
      </w:r>
      <w:r w:rsidR="00190923" w:rsidRPr="00981405">
        <w:t xml:space="preserve"> </w:t>
      </w:r>
      <w:r w:rsidRPr="00981405">
        <w:t>Korontzis</w:t>
      </w:r>
      <w:r w:rsidR="00190923" w:rsidRPr="00981405">
        <w:t xml:space="preserve"> </w:t>
      </w:r>
      <w:r w:rsidRPr="00981405">
        <w:t>and</w:t>
      </w:r>
      <w:r w:rsidR="00190923" w:rsidRPr="00981405">
        <w:t xml:space="preserve"> </w:t>
      </w:r>
      <w:r w:rsidRPr="00981405">
        <w:t>the</w:t>
      </w:r>
      <w:r w:rsidR="00190923" w:rsidRPr="00981405">
        <w:t xml:space="preserve"> </w:t>
      </w:r>
      <w:r w:rsidRPr="00981405">
        <w:t>appointment</w:t>
      </w:r>
      <w:r w:rsidR="00190923" w:rsidRPr="00981405">
        <w:t xml:space="preserve"> </w:t>
      </w:r>
      <w:r w:rsidRPr="00981405">
        <w:t>of</w:t>
      </w:r>
      <w:r w:rsidR="00190923" w:rsidRPr="00981405">
        <w:t xml:space="preserve"> </w:t>
      </w:r>
      <w:r w:rsidRPr="00981405">
        <w:t>Mr.</w:t>
      </w:r>
      <w:r w:rsidR="00190923" w:rsidRPr="00981405">
        <w:t xml:space="preserve"> </w:t>
      </w:r>
      <w:r w:rsidRPr="00981405">
        <w:t>Huw</w:t>
      </w:r>
      <w:r w:rsidR="00190923" w:rsidRPr="00981405">
        <w:t xml:space="preserve"> </w:t>
      </w:r>
      <w:r w:rsidRPr="00981405">
        <w:t>Llewellyn</w:t>
      </w:r>
      <w:r w:rsidR="00190923" w:rsidRPr="00981405">
        <w:t xml:space="preserve"> </w:t>
      </w:r>
      <w:r w:rsidRPr="00981405">
        <w:t>as</w:t>
      </w:r>
      <w:r w:rsidR="00190923" w:rsidRPr="00981405">
        <w:t xml:space="preserve"> </w:t>
      </w:r>
      <w:r w:rsidRPr="00981405">
        <w:t>Director</w:t>
      </w:r>
      <w:r w:rsidR="00190923" w:rsidRPr="00981405">
        <w:t xml:space="preserve"> </w:t>
      </w:r>
      <w:r w:rsidRPr="00981405">
        <w:t>of</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190923" w:rsidRPr="00981405">
        <w:t xml:space="preserve"> </w:t>
      </w:r>
      <w:r w:rsidRPr="00981405">
        <w:t>of</w:t>
      </w:r>
      <w:r w:rsidR="00190923" w:rsidRPr="00981405">
        <w:t xml:space="preserve"> </w:t>
      </w:r>
      <w:r w:rsidRPr="00981405">
        <w:t>the</w:t>
      </w:r>
      <w:r w:rsidR="00190923" w:rsidRPr="00981405">
        <w:t xml:space="preserve"> </w:t>
      </w:r>
      <w:r w:rsidRPr="00981405">
        <w:t>Office</w:t>
      </w:r>
      <w:r w:rsidR="00190923" w:rsidRPr="00981405">
        <w:t xml:space="preserve"> </w:t>
      </w:r>
      <w:r w:rsidRPr="00981405">
        <w:t>of</w:t>
      </w:r>
      <w:r w:rsidR="00190923" w:rsidRPr="00981405">
        <w:t xml:space="preserve"> </w:t>
      </w:r>
      <w:r w:rsidRPr="00981405">
        <w:t>Legal</w:t>
      </w:r>
      <w:r w:rsidR="00190923" w:rsidRPr="00981405">
        <w:t xml:space="preserve"> </w:t>
      </w:r>
      <w:r w:rsidRPr="00981405">
        <w:t>Affairs,</w:t>
      </w:r>
      <w:r w:rsidR="00190923" w:rsidRPr="00981405">
        <w:t xml:space="preserve"> </w:t>
      </w:r>
      <w:r w:rsidRPr="00981405">
        <w:t>Mr.</w:t>
      </w:r>
      <w:r w:rsidR="00190923" w:rsidRPr="00981405">
        <w:t xml:space="preserve"> </w:t>
      </w:r>
      <w:r w:rsidRPr="00981405">
        <w:t>Huw</w:t>
      </w:r>
      <w:r w:rsidR="00190923" w:rsidRPr="00981405">
        <w:t xml:space="preserve"> </w:t>
      </w:r>
      <w:r w:rsidRPr="00981405">
        <w:t>Llewellyn</w:t>
      </w:r>
      <w:r w:rsidR="00190923" w:rsidRPr="00981405">
        <w:t xml:space="preserve"> </w:t>
      </w:r>
      <w:r w:rsidRPr="00981405">
        <w:t>served</w:t>
      </w:r>
      <w:r w:rsidR="00190923" w:rsidRPr="00981405">
        <w:t xml:space="preserve"> </w:t>
      </w:r>
      <w:r w:rsidRPr="00981405">
        <w:t>as</w:t>
      </w:r>
      <w:r w:rsidR="00190923" w:rsidRPr="00981405">
        <w:t xml:space="preserve"> </w:t>
      </w:r>
      <w:r w:rsidRPr="00981405">
        <w:t>Secretary</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from</w:t>
      </w:r>
      <w:r w:rsidR="00190923" w:rsidRPr="00981405">
        <w:t xml:space="preserve"> </w:t>
      </w:r>
      <w:r w:rsidRPr="00981405">
        <w:t>8</w:t>
      </w:r>
      <w:r w:rsidR="00190923" w:rsidRPr="00981405">
        <w:t xml:space="preserve"> </w:t>
      </w:r>
      <w:r w:rsidRPr="00981405">
        <w:t>June</w:t>
      </w:r>
      <w:r w:rsidR="00190923" w:rsidRPr="00981405">
        <w:t xml:space="preserve"> </w:t>
      </w:r>
      <w:r w:rsidRPr="00981405">
        <w:t>2015.</w:t>
      </w:r>
      <w:r w:rsidR="00190923" w:rsidRPr="00981405">
        <w:t xml:space="preserve"> </w:t>
      </w:r>
      <w:r w:rsidRPr="00981405">
        <w:t>Mr.</w:t>
      </w:r>
      <w:r w:rsidR="00190923" w:rsidRPr="00981405">
        <w:t xml:space="preserve"> </w:t>
      </w:r>
      <w:r w:rsidRPr="00981405">
        <w:t>Trevor</w:t>
      </w:r>
      <w:r w:rsidR="00190923" w:rsidRPr="00981405">
        <w:t xml:space="preserve"> </w:t>
      </w:r>
      <w:r w:rsidRPr="00981405">
        <w:t>Chimimba</w:t>
      </w:r>
      <w:r w:rsidR="00190923" w:rsidRPr="00981405">
        <w:t xml:space="preserve"> </w:t>
      </w:r>
      <w:r w:rsidRPr="00981405">
        <w:t>and</w:t>
      </w:r>
      <w:r w:rsidR="00190923" w:rsidRPr="00981405">
        <w:t xml:space="preserve"> </w:t>
      </w:r>
      <w:r w:rsidRPr="00981405">
        <w:t>Mr.</w:t>
      </w:r>
      <w:r w:rsidR="00190923" w:rsidRPr="00981405">
        <w:t xml:space="preserve"> </w:t>
      </w:r>
      <w:r w:rsidRPr="00981405">
        <w:t>Arnold</w:t>
      </w:r>
      <w:r w:rsidR="00190923" w:rsidRPr="00981405">
        <w:t xml:space="preserve"> </w:t>
      </w:r>
      <w:r w:rsidRPr="00981405">
        <w:t>Pronto,</w:t>
      </w:r>
      <w:r w:rsidR="00190923" w:rsidRPr="00981405">
        <w:t xml:space="preserve"> </w:t>
      </w:r>
      <w:r w:rsidRPr="00981405">
        <w:t>Senior</w:t>
      </w:r>
      <w:r w:rsidR="00190923" w:rsidRPr="00981405">
        <w:t xml:space="preserve"> </w:t>
      </w:r>
      <w:r w:rsidRPr="00981405">
        <w:t>Legal</w:t>
      </w:r>
      <w:r w:rsidR="00190923" w:rsidRPr="00981405">
        <w:t xml:space="preserve"> </w:t>
      </w:r>
      <w:r w:rsidRPr="00981405">
        <w:t>Officers,</w:t>
      </w:r>
      <w:r w:rsidR="00190923" w:rsidRPr="00981405">
        <w:t xml:space="preserve"> </w:t>
      </w:r>
      <w:r w:rsidRPr="00981405">
        <w:t>served</w:t>
      </w:r>
      <w:r w:rsidR="00190923" w:rsidRPr="00981405">
        <w:t xml:space="preserve"> </w:t>
      </w:r>
      <w:r w:rsidRPr="00981405">
        <w:t>as</w:t>
      </w:r>
      <w:r w:rsidR="00190923" w:rsidRPr="00981405">
        <w:t xml:space="preserve"> </w:t>
      </w:r>
      <w:r w:rsidRPr="00981405">
        <w:t>Senior</w:t>
      </w:r>
      <w:r w:rsidR="00190923" w:rsidRPr="00981405">
        <w:t xml:space="preserve"> </w:t>
      </w:r>
      <w:r w:rsidRPr="00981405">
        <w:t>Assistant</w:t>
      </w:r>
      <w:r w:rsidR="00190923" w:rsidRPr="00981405">
        <w:t xml:space="preserve"> </w:t>
      </w:r>
      <w:r w:rsidRPr="00981405">
        <w:t>Secretaries.</w:t>
      </w:r>
      <w:r w:rsidR="00190923" w:rsidRPr="00981405">
        <w:t xml:space="preserve"> </w:t>
      </w:r>
      <w:r w:rsidRPr="00981405">
        <w:t>Ms.</w:t>
      </w:r>
      <w:r w:rsidR="00190923" w:rsidRPr="00981405">
        <w:t xml:space="preserve"> </w:t>
      </w:r>
      <w:r w:rsidRPr="00981405">
        <w:t>Hanna</w:t>
      </w:r>
      <w:r w:rsidR="00190923" w:rsidRPr="00981405">
        <w:t xml:space="preserve"> </w:t>
      </w:r>
      <w:r w:rsidRPr="00981405">
        <w:t>Dreifeldt-Lainé</w:t>
      </w:r>
      <w:r w:rsidR="00190923" w:rsidRPr="00981405">
        <w:t xml:space="preserve"> </w:t>
      </w:r>
      <w:r w:rsidRPr="00981405">
        <w:t>and</w:t>
      </w:r>
      <w:r w:rsidR="00190923" w:rsidRPr="00981405">
        <w:t xml:space="preserve"> </w:t>
      </w:r>
      <w:r w:rsidRPr="00981405">
        <w:t>Mr.</w:t>
      </w:r>
      <w:r w:rsidR="00190923" w:rsidRPr="00981405">
        <w:t xml:space="preserve"> </w:t>
      </w:r>
      <w:r w:rsidRPr="00981405">
        <w:t>David</w:t>
      </w:r>
      <w:r w:rsidR="00190923" w:rsidRPr="00981405">
        <w:t xml:space="preserve"> </w:t>
      </w:r>
      <w:r w:rsidRPr="00981405">
        <w:t>Nanopoulos,</w:t>
      </w:r>
      <w:r w:rsidR="00190923" w:rsidRPr="00981405">
        <w:t xml:space="preserve"> </w:t>
      </w:r>
      <w:r w:rsidRPr="00981405">
        <w:t>Legal</w:t>
      </w:r>
      <w:r w:rsidR="00190923" w:rsidRPr="00981405">
        <w:t xml:space="preserve"> </w:t>
      </w:r>
      <w:r w:rsidRPr="00981405">
        <w:t>Officers,</w:t>
      </w:r>
      <w:r w:rsidR="00190923" w:rsidRPr="00981405">
        <w:t xml:space="preserve"> </w:t>
      </w:r>
      <w:r w:rsidRPr="00981405">
        <w:t>served</w:t>
      </w:r>
      <w:r w:rsidR="00190923" w:rsidRPr="00981405">
        <w:t xml:space="preserve"> </w:t>
      </w:r>
      <w:r w:rsidRPr="00981405">
        <w:t>as</w:t>
      </w:r>
      <w:r w:rsidR="00190923" w:rsidRPr="00981405">
        <w:t xml:space="preserve"> </w:t>
      </w:r>
      <w:r w:rsidRPr="00981405">
        <w:t>Assistant</w:t>
      </w:r>
      <w:r w:rsidR="00190923" w:rsidRPr="00981405">
        <w:t xml:space="preserve"> </w:t>
      </w:r>
      <w:r w:rsidRPr="00981405">
        <w:t>Secretaries</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1"/>
        <w:ind w:right="1260"/>
      </w:pPr>
      <w:r w:rsidRPr="00D97463">
        <w:tab/>
      </w:r>
      <w:bookmarkStart w:id="10" w:name="_Toc427938074"/>
      <w:r w:rsidRPr="00D97463">
        <w:t>G.</w:t>
      </w:r>
      <w:r w:rsidRPr="00D97463">
        <w:tab/>
        <w:t>Agenda</w:t>
      </w:r>
      <w:bookmarkEnd w:id="10"/>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12.</w:t>
      </w:r>
      <w:r w:rsidRPr="00981405">
        <w:tab/>
        <w:t>At</w:t>
      </w:r>
      <w:r w:rsidR="00190923" w:rsidRPr="00981405">
        <w:t xml:space="preserve"> </w:t>
      </w:r>
      <w:r w:rsidRPr="00981405">
        <w:t>its</w:t>
      </w:r>
      <w:r w:rsidR="00190923" w:rsidRPr="00981405">
        <w:t xml:space="preserve"> </w:t>
      </w:r>
      <w:r w:rsidRPr="00981405">
        <w:t>3244th</w:t>
      </w:r>
      <w:r w:rsidR="00190923" w:rsidRPr="00981405">
        <w:t xml:space="preserve"> </w:t>
      </w:r>
      <w:r w:rsidRPr="00981405">
        <w:t>meeting,</w:t>
      </w:r>
      <w:r w:rsidR="00190923" w:rsidRPr="00981405">
        <w:t xml:space="preserve"> </w:t>
      </w:r>
      <w:r w:rsidRPr="00981405">
        <w:t>on</w:t>
      </w:r>
      <w:r w:rsidR="00190923" w:rsidRPr="00981405">
        <w:t xml:space="preserve"> </w:t>
      </w:r>
      <w:r w:rsidRPr="00981405">
        <w:t>4</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an</w:t>
      </w:r>
      <w:r w:rsidR="00190923" w:rsidRPr="00981405">
        <w:t xml:space="preserve"> </w:t>
      </w:r>
      <w:r w:rsidRPr="00981405">
        <w:t>agenda</w:t>
      </w:r>
      <w:r w:rsidR="00190923" w:rsidRPr="00981405">
        <w:t xml:space="preserve"> </w:t>
      </w:r>
      <w:r w:rsidRPr="00981405">
        <w:t>for</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consisting</w:t>
      </w:r>
      <w:r w:rsidR="00190923" w:rsidRPr="00981405">
        <w:t xml:space="preserve"> </w:t>
      </w:r>
      <w:r w:rsidRPr="00981405">
        <w:t>of</w:t>
      </w:r>
      <w:r w:rsidR="00190923" w:rsidRPr="00981405">
        <w:t xml:space="preserve"> </w:t>
      </w:r>
      <w:r w:rsidRPr="00981405">
        <w:t>the</w:t>
      </w:r>
      <w:r w:rsidR="00190923" w:rsidRPr="00981405">
        <w:t xml:space="preserve"> </w:t>
      </w:r>
      <w:r w:rsidRPr="00981405">
        <w:t>following</w:t>
      </w:r>
      <w:r w:rsidR="00190923" w:rsidRPr="00981405">
        <w:t xml:space="preserve"> </w:t>
      </w:r>
      <w:r w:rsidRPr="00981405">
        <w:t>items:</w:t>
      </w:r>
    </w:p>
    <w:p w:rsidR="00397032" w:rsidRPr="00981405" w:rsidRDefault="00397032" w:rsidP="00D97463">
      <w:pPr>
        <w:pStyle w:val="SingleTxt"/>
        <w:ind w:left="1742"/>
      </w:pPr>
      <w:r w:rsidRPr="00981405">
        <w:t>1.</w:t>
      </w:r>
      <w:r w:rsidRPr="00981405">
        <w:tab/>
        <w:t>Organization</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session.</w:t>
      </w:r>
    </w:p>
    <w:p w:rsidR="00397032" w:rsidRPr="00981405" w:rsidRDefault="00397032" w:rsidP="00D97463">
      <w:pPr>
        <w:pStyle w:val="SingleTxt"/>
        <w:ind w:left="1742"/>
      </w:pPr>
      <w:r w:rsidRPr="00981405">
        <w:t>2.</w:t>
      </w:r>
      <w:r w:rsidRPr="00981405">
        <w:tab/>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p>
    <w:p w:rsidR="00397032" w:rsidRPr="00981405" w:rsidRDefault="00397032" w:rsidP="00D97463">
      <w:pPr>
        <w:pStyle w:val="SingleTxt"/>
        <w:ind w:left="1742"/>
      </w:pPr>
      <w:r w:rsidRPr="00981405">
        <w:t>3.</w:t>
      </w: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008D4335">
        <w:tab/>
      </w:r>
      <w:r w:rsidRPr="00981405">
        <w:t>interpretation</w:t>
      </w:r>
      <w:r w:rsidR="00190923" w:rsidRPr="00981405">
        <w:t xml:space="preserve"> </w:t>
      </w:r>
      <w:r w:rsidRPr="00981405">
        <w:t>of</w:t>
      </w:r>
      <w:r w:rsidR="00190923" w:rsidRPr="00981405">
        <w:t xml:space="preserve"> </w:t>
      </w:r>
      <w:r w:rsidRPr="00981405">
        <w:t>treaties.</w:t>
      </w:r>
    </w:p>
    <w:p w:rsidR="00397032" w:rsidRPr="00981405" w:rsidRDefault="00397032" w:rsidP="00D97463">
      <w:pPr>
        <w:pStyle w:val="SingleTxt"/>
        <w:ind w:left="1742"/>
      </w:pPr>
      <w:r w:rsidRPr="00981405">
        <w:t>4.</w:t>
      </w:r>
      <w:r w:rsidRPr="00981405">
        <w:tab/>
        <w:t>The</w:t>
      </w:r>
      <w:r w:rsidR="00190923" w:rsidRPr="00981405">
        <w:t xml:space="preserve"> </w:t>
      </w:r>
      <w:r w:rsidRPr="00981405">
        <w:t>Most-Favoured-Nation</w:t>
      </w:r>
      <w:r w:rsidR="00190923" w:rsidRPr="00981405">
        <w:t xml:space="preserve"> </w:t>
      </w:r>
      <w:r w:rsidRPr="00981405">
        <w:t>clause.</w:t>
      </w:r>
    </w:p>
    <w:p w:rsidR="00397032" w:rsidRPr="00981405" w:rsidRDefault="00397032" w:rsidP="00D97463">
      <w:pPr>
        <w:pStyle w:val="SingleTxt"/>
        <w:ind w:left="1742"/>
      </w:pPr>
      <w:r w:rsidRPr="00981405">
        <w:t>5.</w:t>
      </w:r>
      <w:r w:rsidRPr="00981405">
        <w:tab/>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p>
    <w:p w:rsidR="00397032" w:rsidRPr="00981405" w:rsidRDefault="00397032" w:rsidP="00D97463">
      <w:pPr>
        <w:pStyle w:val="SingleTxt"/>
        <w:ind w:left="1742"/>
      </w:pPr>
      <w:r w:rsidRPr="00981405">
        <w:t>6.</w:t>
      </w:r>
      <w:r w:rsidRPr="00981405">
        <w:tab/>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ind w:left="1742"/>
      </w:pPr>
      <w:r w:rsidRPr="00981405">
        <w:t>7.</w:t>
      </w:r>
      <w:r w:rsidRPr="00981405">
        <w:tab/>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p>
    <w:p w:rsidR="00397032" w:rsidRPr="00981405" w:rsidRDefault="00397032" w:rsidP="00D97463">
      <w:pPr>
        <w:pStyle w:val="SingleTxt"/>
        <w:ind w:left="1742"/>
      </w:pPr>
      <w:r w:rsidRPr="00981405">
        <w:t>8.</w:t>
      </w:r>
      <w:r w:rsidRPr="00981405">
        <w:tab/>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p>
    <w:p w:rsidR="00397032" w:rsidRPr="00981405" w:rsidRDefault="00397032" w:rsidP="00D97463">
      <w:pPr>
        <w:pStyle w:val="SingleTxt"/>
        <w:ind w:left="1742"/>
      </w:pPr>
      <w:r w:rsidRPr="00981405">
        <w:t>9.</w:t>
      </w:r>
      <w:r w:rsidRPr="00981405">
        <w:tab/>
        <w:t>Crimes</w:t>
      </w:r>
      <w:r w:rsidR="00190923" w:rsidRPr="00981405">
        <w:t xml:space="preserve"> </w:t>
      </w:r>
      <w:r w:rsidRPr="00981405">
        <w:t>against</w:t>
      </w:r>
      <w:r w:rsidR="00190923" w:rsidRPr="00981405">
        <w:t xml:space="preserve"> </w:t>
      </w:r>
      <w:r w:rsidRPr="00981405">
        <w:t>humanity.</w:t>
      </w:r>
    </w:p>
    <w:p w:rsidR="00397032" w:rsidRPr="00981405" w:rsidRDefault="00397032" w:rsidP="00D97463">
      <w:pPr>
        <w:pStyle w:val="SingleTxt"/>
        <w:ind w:left="1742"/>
      </w:pPr>
      <w:r w:rsidRPr="00981405">
        <w:t>10.</w:t>
      </w:r>
      <w:r w:rsidRPr="00981405">
        <w:tab/>
        <w:t>Programme,</w:t>
      </w:r>
      <w:r w:rsidR="00190923" w:rsidRPr="00981405">
        <w:t xml:space="preserve"> </w:t>
      </w:r>
      <w:r w:rsidRPr="00981405">
        <w:t>procedures</w:t>
      </w:r>
      <w:r w:rsidR="00190923" w:rsidRPr="00981405">
        <w:t xml:space="preserve"> </w:t>
      </w:r>
      <w:r w:rsidRPr="00981405">
        <w:t>and</w:t>
      </w:r>
      <w:r w:rsidR="00190923" w:rsidRPr="00981405">
        <w:t xml:space="preserve"> </w:t>
      </w:r>
      <w:r w:rsidRPr="00981405">
        <w:t>working</w:t>
      </w:r>
      <w:r w:rsidR="00190923" w:rsidRPr="00981405">
        <w:t xml:space="preserve"> </w:t>
      </w:r>
      <w:r w:rsidRPr="00981405">
        <w:t>methods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its</w:t>
      </w:r>
      <w:r w:rsidR="00190923" w:rsidRPr="00981405">
        <w:t xml:space="preserve"> </w:t>
      </w:r>
      <w:r w:rsidR="008D4335">
        <w:tab/>
      </w:r>
      <w:r w:rsidRPr="00981405">
        <w:t>documentation.</w:t>
      </w:r>
    </w:p>
    <w:p w:rsidR="00397032" w:rsidRPr="00981405" w:rsidRDefault="00397032" w:rsidP="00D97463">
      <w:pPr>
        <w:pStyle w:val="SingleTxt"/>
        <w:ind w:left="1742"/>
      </w:pPr>
      <w:r w:rsidRPr="00981405">
        <w:t>11.</w:t>
      </w:r>
      <w:r w:rsidRPr="00981405">
        <w:tab/>
        <w:t>Date</w:t>
      </w:r>
      <w:r w:rsidR="00190923" w:rsidRPr="00981405">
        <w:t xml:space="preserve"> </w:t>
      </w:r>
      <w:r w:rsidRPr="00981405">
        <w:t>and</w:t>
      </w:r>
      <w:r w:rsidR="00190923" w:rsidRPr="00981405">
        <w:t xml:space="preserve"> </w:t>
      </w:r>
      <w:r w:rsidRPr="00981405">
        <w:t>place</w:t>
      </w:r>
      <w:r w:rsidR="00190923" w:rsidRPr="00981405">
        <w:t xml:space="preserve"> </w:t>
      </w:r>
      <w:r w:rsidRPr="00981405">
        <w:t>of</w:t>
      </w:r>
      <w:r w:rsidR="00190923" w:rsidRPr="00981405">
        <w:t xml:space="preserve"> </w:t>
      </w:r>
      <w:r w:rsidRPr="00981405">
        <w:t>the</w:t>
      </w:r>
      <w:r w:rsidR="00190923" w:rsidRPr="00981405">
        <w:t xml:space="preserve"> </w:t>
      </w:r>
      <w:r w:rsidRPr="00981405">
        <w:t>sixty-eighth</w:t>
      </w:r>
      <w:r w:rsidR="00190923" w:rsidRPr="00981405">
        <w:t xml:space="preserve"> </w:t>
      </w:r>
      <w:r w:rsidRPr="00981405">
        <w:t>session.</w:t>
      </w:r>
    </w:p>
    <w:p w:rsidR="00397032" w:rsidRPr="00981405" w:rsidRDefault="00397032" w:rsidP="00D97463">
      <w:pPr>
        <w:pStyle w:val="SingleTxt"/>
        <w:ind w:left="1742"/>
      </w:pPr>
      <w:r w:rsidRPr="00981405">
        <w:t>12.</w:t>
      </w:r>
      <w:r w:rsidRPr="00981405">
        <w:tab/>
        <w:t>Cooperation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bodies.</w:t>
      </w:r>
    </w:p>
    <w:p w:rsidR="00397032" w:rsidRPr="00981405" w:rsidRDefault="00397032" w:rsidP="00D97463">
      <w:pPr>
        <w:pStyle w:val="SingleTxt"/>
        <w:ind w:left="1742"/>
      </w:pPr>
      <w:r w:rsidRPr="00981405">
        <w:t>13.</w:t>
      </w:r>
      <w:r w:rsidRPr="00981405">
        <w:tab/>
        <w:t>Other</w:t>
      </w:r>
      <w:r w:rsidR="00190923" w:rsidRPr="00981405">
        <w:t xml:space="preserve"> </w:t>
      </w:r>
      <w:r w:rsidRPr="00981405">
        <w:t>business.</w:t>
      </w:r>
      <w:r w:rsidRPr="00981405">
        <w:br w:type="page"/>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1" w:name="_Toc427938075"/>
      <w:r w:rsidRPr="00D97463">
        <w:t>Chapter</w:t>
      </w:r>
      <w:r w:rsidR="00190923" w:rsidRPr="00D97463">
        <w:t xml:space="preserve"> </w:t>
      </w:r>
      <w:r w:rsidRPr="00D97463">
        <w:t>II</w:t>
      </w:r>
      <w:r w:rsidRPr="00D97463">
        <w:br/>
        <w:t>Summary</w:t>
      </w:r>
      <w:r w:rsidR="00190923" w:rsidRPr="00D97463">
        <w:t xml:space="preserve"> </w:t>
      </w:r>
      <w:r w:rsidRPr="00D97463">
        <w:t>of</w:t>
      </w:r>
      <w:r w:rsidR="00190923" w:rsidRPr="00D97463">
        <w:t xml:space="preserve"> </w:t>
      </w:r>
      <w:r w:rsidRPr="00D97463">
        <w:t>the</w:t>
      </w:r>
      <w:r w:rsidR="00190923" w:rsidRPr="00D97463">
        <w:t xml:space="preserve"> </w:t>
      </w:r>
      <w:r w:rsidRPr="00D97463">
        <w:t>work</w:t>
      </w:r>
      <w:r w:rsidR="00190923" w:rsidRPr="00D97463">
        <w:t xml:space="preserve"> </w:t>
      </w:r>
      <w:r w:rsidRPr="00D97463">
        <w:t>of</w:t>
      </w:r>
      <w:r w:rsidR="00190923" w:rsidRPr="00D97463">
        <w:t xml:space="preserve"> </w:t>
      </w:r>
      <w:r w:rsidRPr="00D97463">
        <w:t>the</w:t>
      </w:r>
      <w:r w:rsidR="00190923" w:rsidRPr="00D97463">
        <w:t xml:space="preserve"> </w:t>
      </w:r>
      <w:r w:rsidRPr="00D97463">
        <w:t>Commission</w:t>
      </w:r>
      <w:r w:rsidRPr="00D97463">
        <w:br/>
        <w:t>at</w:t>
      </w:r>
      <w:r w:rsidR="00190923" w:rsidRPr="00D97463">
        <w:t xml:space="preserve"> </w:t>
      </w:r>
      <w:r w:rsidRPr="00D97463">
        <w:t>its</w:t>
      </w:r>
      <w:r w:rsidR="00190923" w:rsidRPr="00D97463">
        <w:t xml:space="preserve"> </w:t>
      </w:r>
      <w:r w:rsidRPr="00D97463">
        <w:t>sixty-seventh</w:t>
      </w:r>
      <w:r w:rsidR="00190923" w:rsidRPr="00D97463">
        <w:t xml:space="preserve"> </w:t>
      </w:r>
      <w:r w:rsidRPr="00D97463">
        <w:t>session</w:t>
      </w:r>
      <w:bookmarkEnd w:id="11"/>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13.</w:t>
      </w:r>
      <w:r w:rsidRPr="00981405">
        <w:tab/>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The</w:t>
      </w:r>
      <w:r w:rsidR="00190923" w:rsidRPr="00981405">
        <w:rPr>
          <w:b/>
          <w:bCs/>
        </w:rPr>
        <w:t xml:space="preserve"> </w:t>
      </w:r>
      <w:r w:rsidRPr="00D97463">
        <w:rPr>
          <w:b/>
          <w:bCs/>
        </w:rPr>
        <w:t>Most-Favoured-Nation</w:t>
      </w:r>
      <w:r w:rsidR="00190923" w:rsidRPr="00981405">
        <w:rPr>
          <w:b/>
          <w:bCs/>
        </w:rPr>
        <w:t xml:space="preserve"> </w:t>
      </w:r>
      <w:r w:rsidRPr="00D97463">
        <w:rPr>
          <w:b/>
          <w:bCs/>
        </w:rPr>
        <w:t>clause</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and</w:t>
      </w:r>
      <w:r w:rsidR="00190923" w:rsidRPr="00981405">
        <w:t xml:space="preserve"> </w:t>
      </w:r>
      <w:r w:rsidRPr="00981405">
        <w:t>welcomed</w:t>
      </w:r>
      <w:r w:rsidR="00190923" w:rsidRPr="00981405">
        <w:t xml:space="preserve"> </w:t>
      </w:r>
      <w:r w:rsidRPr="00981405">
        <w:t>with</w:t>
      </w:r>
      <w:r w:rsidR="00190923" w:rsidRPr="00981405">
        <w:t xml:space="preserve"> </w:t>
      </w:r>
      <w:r w:rsidRPr="00981405">
        <w:t>appreciation</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clause</w:t>
      </w:r>
      <w:r w:rsidR="00190923" w:rsidRPr="00981405">
        <w:t xml:space="preserve"> </w:t>
      </w:r>
      <w:r w:rsidRPr="00981405">
        <w:t>and</w:t>
      </w:r>
      <w:r w:rsidR="00190923" w:rsidRPr="00981405">
        <w:t xml:space="preserve"> </w:t>
      </w:r>
      <w:r w:rsidRPr="00981405">
        <w:t>endorsed</w:t>
      </w:r>
      <w:r w:rsidR="00190923" w:rsidRPr="00981405">
        <w:t xml:space="preserve"> </w:t>
      </w:r>
      <w:r w:rsidRPr="00981405">
        <w:t>the</w:t>
      </w:r>
      <w:r w:rsidR="00190923" w:rsidRPr="00981405">
        <w:t xml:space="preserve"> </w:t>
      </w:r>
      <w:r w:rsidRPr="00981405">
        <w:t>summary</w:t>
      </w:r>
      <w:r w:rsidR="00190923" w:rsidRPr="00981405">
        <w:t xml:space="preserve"> </w:t>
      </w:r>
      <w:r w:rsidRPr="00981405">
        <w:t>conclusions</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commended</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attention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and</w:t>
      </w:r>
      <w:r w:rsidR="00190923" w:rsidRPr="00981405">
        <w:t xml:space="preserve"> </w:t>
      </w:r>
      <w:r w:rsidRPr="00981405">
        <w:t>encouraged</w:t>
      </w:r>
      <w:r w:rsidR="00190923" w:rsidRPr="00981405">
        <w:t xml:space="preserve"> </w:t>
      </w:r>
      <w:r w:rsidRPr="00981405">
        <w:t>its</w:t>
      </w:r>
      <w:r w:rsidR="00190923" w:rsidRPr="00981405">
        <w:t xml:space="preserve"> </w:t>
      </w:r>
      <w:r w:rsidRPr="00981405">
        <w:t>widest</w:t>
      </w:r>
      <w:r w:rsidR="00190923" w:rsidRPr="00981405">
        <w:t xml:space="preserve"> </w:t>
      </w:r>
      <w:r w:rsidRPr="00981405">
        <w:t>possible</w:t>
      </w:r>
      <w:r w:rsidR="00190923" w:rsidRPr="00981405">
        <w:t xml:space="preserve"> </w:t>
      </w:r>
      <w:r w:rsidRPr="00981405">
        <w:t>dissemination.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thus</w:t>
      </w:r>
      <w:r w:rsidR="00190923" w:rsidRPr="00981405">
        <w:t xml:space="preserve"> </w:t>
      </w:r>
      <w:r w:rsidRPr="00981405">
        <w:t>concluded</w:t>
      </w:r>
      <w:r w:rsidR="00190923" w:rsidRPr="00981405">
        <w:t xml:space="preserve"> </w:t>
      </w:r>
      <w:r w:rsidRPr="00981405">
        <w:t>its</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(chap.</w:t>
      </w:r>
      <w:r w:rsidR="00190923" w:rsidRPr="00981405">
        <w:t xml:space="preserve"> </w:t>
      </w:r>
      <w:r w:rsidRPr="00981405">
        <w:t>IV).</w:t>
      </w:r>
    </w:p>
    <w:p w:rsidR="00397032" w:rsidRPr="00981405" w:rsidRDefault="00397032" w:rsidP="00D97463">
      <w:pPr>
        <w:pStyle w:val="SingleTxt"/>
      </w:pPr>
      <w:r w:rsidRPr="00981405">
        <w:t>14.</w:t>
      </w:r>
      <w:r w:rsidRPr="00981405">
        <w:tab/>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Protection</w:t>
      </w:r>
      <w:r w:rsidR="00190923" w:rsidRPr="00981405">
        <w:rPr>
          <w:b/>
          <w:bCs/>
        </w:rPr>
        <w:t xml:space="preserve"> </w:t>
      </w:r>
      <w:r w:rsidRPr="00D97463">
        <w:rPr>
          <w:b/>
          <w:bCs/>
        </w:rPr>
        <w:t>of</w:t>
      </w:r>
      <w:r w:rsidR="00190923" w:rsidRPr="00981405">
        <w:rPr>
          <w:b/>
          <w:bCs/>
        </w:rPr>
        <w:t xml:space="preserve"> </w:t>
      </w:r>
      <w:r w:rsidRPr="00D97463">
        <w:rPr>
          <w:b/>
          <w:bCs/>
        </w:rPr>
        <w:t>the</w:t>
      </w:r>
      <w:r w:rsidR="00190923" w:rsidRPr="00981405">
        <w:rPr>
          <w:b/>
          <w:bCs/>
        </w:rPr>
        <w:t xml:space="preserve"> </w:t>
      </w:r>
      <w:r w:rsidRPr="00D97463">
        <w:rPr>
          <w:b/>
          <w:bCs/>
        </w:rPr>
        <w:t>atmosphere</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23" w:history="1">
        <w:r w:rsidR="00F304EB" w:rsidRPr="00F304EB">
          <w:rPr>
            <w:rStyle w:val="Hyperlink"/>
          </w:rPr>
          <w:t>A/CN.4/681</w:t>
        </w:r>
      </w:hyperlink>
      <w:r w:rsidR="00190923" w:rsidRPr="00981405">
        <w:t xml:space="preserve"> </w:t>
      </w:r>
      <w:r w:rsidRPr="00981405">
        <w:t>and</w:t>
      </w:r>
      <w:r w:rsidR="00190923" w:rsidRPr="00981405">
        <w:t xml:space="preserve"> </w:t>
      </w:r>
      <w:hyperlink r:id="rId24" w:history="1">
        <w:r w:rsidRPr="00425E49">
          <w:rPr>
            <w:rStyle w:val="Hyperlink"/>
          </w:rPr>
          <w:t>Corr.1</w:t>
        </w:r>
      </w:hyperlink>
      <w:r w:rsidR="00190923" w:rsidRPr="00981405">
        <w:t xml:space="preserve"> </w:t>
      </w:r>
      <w:r w:rsidRPr="00981405">
        <w:t>(Chinese</w:t>
      </w:r>
      <w:r w:rsidR="00190923" w:rsidRPr="00981405">
        <w:t xml:space="preserve"> </w:t>
      </w:r>
      <w:r w:rsidRPr="00981405">
        <w:t>only)),</w:t>
      </w:r>
      <w:r w:rsidR="00190923" w:rsidRPr="00981405">
        <w:t xml:space="preserve"> </w:t>
      </w:r>
      <w:r w:rsidRPr="00981405">
        <w:t>which,</w:t>
      </w:r>
      <w:r w:rsidR="00190923" w:rsidRPr="00981405">
        <w:t xml:space="preserve"> </w:t>
      </w:r>
      <w:r w:rsidRPr="00981405">
        <w:t>upon</w:t>
      </w:r>
      <w:r w:rsidR="00190923" w:rsidRPr="00981405">
        <w:t xml:space="preserve"> </w:t>
      </w:r>
      <w:r w:rsidRPr="00981405">
        <w:t>a</w:t>
      </w:r>
      <w:r w:rsidR="00190923" w:rsidRPr="00981405">
        <w:t xml:space="preserve"> </w:t>
      </w:r>
      <w:r w:rsidRPr="00981405">
        <w:t>further</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submitted</w:t>
      </w:r>
      <w:r w:rsidR="00190923" w:rsidRPr="00981405">
        <w:t xml:space="preserve"> </w:t>
      </w:r>
      <w:r w:rsidRPr="00981405">
        <w:t>in</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presented</w:t>
      </w:r>
      <w:r w:rsidR="00190923" w:rsidRPr="00981405">
        <w:t xml:space="preserve"> </w:t>
      </w:r>
      <w:r w:rsidRPr="00981405">
        <w:t>a</w:t>
      </w:r>
      <w:r w:rsidR="00190923" w:rsidRPr="00981405">
        <w:t xml:space="preserve"> </w:t>
      </w:r>
      <w:r w:rsidRPr="00981405">
        <w:t>set</w:t>
      </w:r>
      <w:r w:rsidR="00190923" w:rsidRPr="00981405">
        <w:t xml:space="preserve"> </w:t>
      </w:r>
      <w:r w:rsidRPr="00981405">
        <w:t>of</w:t>
      </w:r>
      <w:r w:rsidR="00190923" w:rsidRPr="00981405">
        <w:t xml:space="preserve"> </w:t>
      </w:r>
      <w:r w:rsidRPr="00981405">
        <w:t>revised</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and</w:t>
      </w:r>
      <w:r w:rsidR="00190923" w:rsidRPr="00981405">
        <w:t xml:space="preserve"> </w:t>
      </w:r>
      <w:r w:rsidRPr="00981405">
        <w:t>the</w:t>
      </w:r>
      <w:r w:rsidR="00190923" w:rsidRPr="00981405">
        <w:t xml:space="preserve"> </w:t>
      </w:r>
      <w:r w:rsidRPr="00981405">
        <w:t>common</w:t>
      </w:r>
      <w:r w:rsidR="00190923" w:rsidRPr="00981405">
        <w:t xml:space="preserve"> </w:t>
      </w:r>
      <w:r w:rsidRPr="00981405">
        <w:t>concern</w:t>
      </w:r>
      <w:r w:rsidR="00190923" w:rsidRPr="00981405">
        <w:t xml:space="preserve"> </w:t>
      </w:r>
      <w:r w:rsidRPr="00981405">
        <w:t>of</w:t>
      </w:r>
      <w:r w:rsidR="00190923" w:rsidRPr="00981405">
        <w:t xml:space="preserve"> </w:t>
      </w:r>
      <w:r w:rsidRPr="00981405">
        <w:t>humankind,</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Following</w:t>
      </w:r>
      <w:r w:rsidR="00190923" w:rsidRPr="00981405">
        <w:t xml:space="preserve"> </w:t>
      </w:r>
      <w:r w:rsidRPr="00981405">
        <w:t>its</w:t>
      </w:r>
      <w:r w:rsidR="00190923" w:rsidRPr="00981405">
        <w:t xml:space="preserve"> </w:t>
      </w:r>
      <w:r w:rsidRPr="00981405">
        <w:t>debate</w:t>
      </w:r>
      <w:r w:rsidR="00190923" w:rsidRPr="00981405">
        <w:t xml:space="preserve"> </w:t>
      </w:r>
      <w:r w:rsidRPr="00981405">
        <w:t>on</w:t>
      </w:r>
      <w:r w:rsidR="00190923" w:rsidRPr="00981405">
        <w:t xml:space="preserve"> </w:t>
      </w:r>
      <w:r w:rsidRPr="00981405">
        <w:t>the</w:t>
      </w:r>
      <w:r w:rsidR="00190923" w:rsidRPr="00981405">
        <w:t xml:space="preserve"> </w:t>
      </w:r>
      <w:r w:rsidRPr="00981405">
        <w:t>report,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2,</w:t>
      </w:r>
      <w:r w:rsidR="00190923" w:rsidRPr="00981405">
        <w:t xml:space="preserve"> </w:t>
      </w:r>
      <w:r w:rsidRPr="00981405">
        <w:t>3</w:t>
      </w:r>
      <w:r w:rsidR="00190923" w:rsidRPr="00981405">
        <w:t xml:space="preserve"> </w:t>
      </w:r>
      <w:r w:rsidRPr="00981405">
        <w:t>and</w:t>
      </w:r>
      <w:r w:rsidR="00190923" w:rsidRPr="00981405">
        <w:t xml:space="preserve"> </w:t>
      </w:r>
      <w:r w:rsidRPr="00981405">
        <w:t>5,</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second</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with</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that</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3</w:t>
      </w:r>
      <w:r w:rsidR="00190923" w:rsidRPr="00981405">
        <w:t xml:space="preserve"> </w:t>
      </w:r>
      <w:r w:rsidRPr="00981405">
        <w:t>be</w:t>
      </w:r>
      <w:r w:rsidR="00190923" w:rsidRPr="00981405">
        <w:t xml:space="preserve"> </w:t>
      </w:r>
      <w:r w:rsidRPr="00981405">
        <w:t>considered</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w:t>
      </w:r>
      <w:r w:rsidR="00190923" w:rsidRPr="00981405">
        <w:t xml:space="preserve"> </w:t>
      </w:r>
      <w:r w:rsidRPr="00981405">
        <w:t>possible</w:t>
      </w:r>
      <w:r w:rsidR="00190923" w:rsidRPr="00981405">
        <w:t xml:space="preserve"> </w:t>
      </w:r>
      <w:r w:rsidRPr="00981405">
        <w:t>preamble.</w:t>
      </w:r>
      <w:r w:rsidR="00190923" w:rsidRPr="00981405">
        <w:t xml:space="preserve"> </w:t>
      </w:r>
      <w:r w:rsidRPr="00981405">
        <w:t>Upon</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t>
      </w:r>
      <w:hyperlink r:id="rId25" w:history="1">
        <w:r w:rsidR="00F304EB" w:rsidRPr="00F304EB">
          <w:rPr>
            <w:rStyle w:val="Hyperlink"/>
          </w:rPr>
          <w:t>A/CN.4/L.851</w:t>
        </w:r>
      </w:hyperlink>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2</w:t>
      </w:r>
      <w:r w:rsidR="00190923" w:rsidRPr="00981405">
        <w:t xml:space="preserve"> </w:t>
      </w:r>
      <w:r w:rsidRPr="00981405">
        <w:t>and</w:t>
      </w:r>
      <w:r w:rsidR="00190923" w:rsidRPr="00981405">
        <w:t xml:space="preserve"> </w:t>
      </w:r>
      <w:r w:rsidRPr="00981405">
        <w:t>5</w:t>
      </w:r>
      <w:r w:rsidR="00190923" w:rsidRPr="00981405">
        <w:t xml:space="preserve"> </w:t>
      </w:r>
      <w:r w:rsidRPr="00981405">
        <w:t>and</w:t>
      </w:r>
      <w:r w:rsidR="00190923" w:rsidRPr="00981405">
        <w:t xml:space="preserve"> </w:t>
      </w:r>
      <w:r w:rsidRPr="00981405">
        <w:t>four</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commentaries</w:t>
      </w:r>
      <w:r w:rsidR="00190923" w:rsidRPr="00981405">
        <w:t xml:space="preserve"> </w:t>
      </w:r>
      <w:r w:rsidRPr="00981405">
        <w:t>thereto</w:t>
      </w:r>
      <w:r w:rsidR="00190923" w:rsidRPr="00981405">
        <w:t xml:space="preserve"> </w:t>
      </w:r>
      <w:r w:rsidRPr="00981405">
        <w:t>(chap.</w:t>
      </w:r>
      <w:r w:rsidR="00190923" w:rsidRPr="00981405">
        <w:t xml:space="preserve"> </w:t>
      </w:r>
      <w:r w:rsidRPr="00981405">
        <w:t>V).</w:t>
      </w:r>
    </w:p>
    <w:p w:rsidR="00397032" w:rsidRPr="00981405" w:rsidRDefault="00397032" w:rsidP="00D97463">
      <w:pPr>
        <w:pStyle w:val="SingleTxt"/>
      </w:pPr>
      <w:r w:rsidRPr="00981405">
        <w:t>15.</w:t>
      </w:r>
      <w:r w:rsidRPr="00981405">
        <w:tab/>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Identification</w:t>
      </w:r>
      <w:r w:rsidR="00190923" w:rsidRPr="00981405">
        <w:rPr>
          <w:b/>
          <w:bCs/>
        </w:rPr>
        <w:t xml:space="preserve"> </w:t>
      </w:r>
      <w:r w:rsidRPr="00D97463">
        <w:rPr>
          <w:b/>
          <w:bCs/>
        </w:rPr>
        <w:t>of</w:t>
      </w:r>
      <w:r w:rsidR="00190923" w:rsidRPr="00981405">
        <w:rPr>
          <w:b/>
          <w:bCs/>
        </w:rPr>
        <w:t xml:space="preserve"> </w:t>
      </w:r>
      <w:r w:rsidRPr="00D97463">
        <w:rPr>
          <w:b/>
          <w:bCs/>
        </w:rPr>
        <w:t>customary</w:t>
      </w:r>
      <w:r w:rsidR="00190923" w:rsidRPr="00981405">
        <w:rPr>
          <w:b/>
          <w:bCs/>
        </w:rPr>
        <w:t xml:space="preserve"> </w:t>
      </w:r>
      <w:r w:rsidRPr="00D97463">
        <w:rPr>
          <w:b/>
          <w:bCs/>
        </w:rPr>
        <w:t>international</w:t>
      </w:r>
      <w:r w:rsidR="00190923" w:rsidRPr="00981405">
        <w:rPr>
          <w:b/>
          <w:bCs/>
        </w:rPr>
        <w:t xml:space="preserve"> </w:t>
      </w:r>
      <w:r w:rsidRPr="00D97463">
        <w:rPr>
          <w:b/>
          <w:bCs/>
        </w:rPr>
        <w:t>law</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26" w:history="1">
        <w:r w:rsidR="00F304EB" w:rsidRPr="00F304EB">
          <w:rPr>
            <w:rStyle w:val="Hyperlink"/>
          </w:rPr>
          <w:t>A/CN.4/682</w:t>
        </w:r>
      </w:hyperlink>
      <w:r w:rsidRPr="00981405">
        <w:t>),</w:t>
      </w:r>
      <w:r w:rsidR="00190923" w:rsidRPr="00981405">
        <w:t xml:space="preserve"> </w:t>
      </w:r>
      <w:r w:rsidRPr="00981405">
        <w:t>which</w:t>
      </w:r>
      <w:r w:rsidR="00190923" w:rsidRPr="00981405">
        <w:t xml:space="preserve"> </w:t>
      </w:r>
      <w:r w:rsidRPr="00981405">
        <w:t>contained,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additional</w:t>
      </w:r>
      <w:r w:rsidR="00190923" w:rsidRPr="00981405">
        <w:t xml:space="preserve"> </w:t>
      </w:r>
      <w:r w:rsidRPr="00981405">
        <w:t>paragraphs</w:t>
      </w:r>
      <w:r w:rsidR="00190923" w:rsidRPr="00981405">
        <w:t xml:space="preserve"> </w:t>
      </w:r>
      <w:r w:rsidRPr="00981405">
        <w:t>to</w:t>
      </w:r>
      <w:r w:rsidR="00190923" w:rsidRPr="00981405">
        <w:t xml:space="preserve"> </w:t>
      </w:r>
      <w:r w:rsidRPr="00981405">
        <w:t>three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proposed</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and</w:t>
      </w:r>
      <w:r w:rsidR="00190923" w:rsidRPr="00981405">
        <w:t xml:space="preserve"> </w:t>
      </w:r>
      <w:r w:rsidRPr="00981405">
        <w:t>five</w:t>
      </w:r>
      <w:r w:rsidR="00190923" w:rsidRPr="00981405">
        <w:t xml:space="preserve"> </w:t>
      </w:r>
      <w:r w:rsidRPr="00981405">
        <w:t>new</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relating</w:t>
      </w:r>
      <w:r w:rsidR="00190923" w:rsidRPr="00981405">
        <w:t xml:space="preserve"> </w:t>
      </w:r>
      <w:r w:rsidRPr="00981405">
        <w:t>respectively</w:t>
      </w:r>
      <w:r w:rsidR="00190923" w:rsidRPr="00981405">
        <w:t xml:space="preserve"> </w:t>
      </w:r>
      <w:r w:rsidRPr="00981405">
        <w:t>to</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the</w:t>
      </w:r>
      <w:r w:rsidR="00190923" w:rsidRPr="00981405">
        <w:t xml:space="preserve"> </w:t>
      </w:r>
      <w:r w:rsidRPr="00981405">
        <w:t>two</w:t>
      </w:r>
      <w:r w:rsidR="00190923" w:rsidRPr="00981405">
        <w:t xml:space="preserve"> </w:t>
      </w:r>
      <w:r w:rsidRPr="00981405">
        <w:t>constituent</w:t>
      </w:r>
      <w:r w:rsidR="00190923" w:rsidRPr="00981405">
        <w:t xml:space="preserve"> </w:t>
      </w:r>
      <w:r w:rsidRPr="00981405">
        <w:t>elements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inaction,</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resolutions,</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and</w:t>
      </w:r>
      <w:r w:rsidR="00190923" w:rsidRPr="00981405">
        <w:t xml:space="preserve"> </w:t>
      </w:r>
      <w:r w:rsidRPr="00981405">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Following</w:t>
      </w:r>
      <w:r w:rsidR="00190923" w:rsidRPr="00981405">
        <w:t xml:space="preserve"> </w:t>
      </w:r>
      <w:r w:rsidRPr="00981405">
        <w:t>the</w:t>
      </w:r>
      <w:r w:rsidR="00190923" w:rsidRPr="00981405">
        <w:t xml:space="preserve"> </w:t>
      </w:r>
      <w:r w:rsidRPr="00981405">
        <w:t>debate</w:t>
      </w:r>
      <w:r w:rsidR="00190923" w:rsidRPr="00981405">
        <w:t xml:space="preserve"> </w:t>
      </w:r>
      <w:r w:rsidRPr="00981405">
        <w:t>in</w:t>
      </w:r>
      <w:r w:rsidR="00190923" w:rsidRPr="00981405">
        <w:t xml:space="preserve"> </w:t>
      </w:r>
      <w:r w:rsidRPr="00981405">
        <w:t>Plenary,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t>
      </w:r>
      <w:hyperlink r:id="rId27" w:history="1">
        <w:r w:rsidR="00F304EB" w:rsidRPr="00F304EB">
          <w:rPr>
            <w:rStyle w:val="Hyperlink"/>
          </w:rPr>
          <w:t>A/CN.4/L.869</w:t>
        </w:r>
      </w:hyperlink>
      <w:r w:rsidRPr="00981405">
        <w:t>),</w:t>
      </w:r>
      <w:r w:rsidR="00190923" w:rsidRPr="00981405">
        <w:t xml:space="preserve"> </w:t>
      </w:r>
      <w:r w:rsidRPr="00981405">
        <w:t>and</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1</w:t>
      </w:r>
      <w:r w:rsidR="00190923" w:rsidRPr="00981405">
        <w:t xml:space="preserve"> </w:t>
      </w:r>
      <w:r w:rsidRPr="00981405">
        <w:t>to</w:t>
      </w:r>
      <w:r w:rsidR="00190923" w:rsidRPr="00981405">
        <w:t xml:space="preserve"> </w:t>
      </w:r>
      <w:r w:rsidRPr="00981405">
        <w:t>16</w:t>
      </w:r>
      <w:r w:rsidR="00190923" w:rsidRPr="00981405">
        <w:t xml:space="preserve"> </w:t>
      </w:r>
      <w:r w:rsidRPr="00981405">
        <w:t>[15]</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sixty-sixth</w:t>
      </w:r>
      <w:r w:rsidR="00190923" w:rsidRPr="00981405">
        <w:t xml:space="preserve"> </w:t>
      </w:r>
      <w:r w:rsidRPr="00981405">
        <w:t>and</w:t>
      </w:r>
      <w:r w:rsidR="00190923" w:rsidRPr="00981405">
        <w:t xml:space="preserve"> </w:t>
      </w:r>
      <w:r w:rsidRPr="00981405">
        <w:t>sixty-seventh</w:t>
      </w:r>
      <w:r w:rsidR="00190923" w:rsidRPr="00981405">
        <w:t xml:space="preserve"> </w:t>
      </w:r>
      <w:r w:rsidRPr="00981405">
        <w:t>sessions</w:t>
      </w:r>
      <w:r w:rsidR="00190923" w:rsidRPr="00981405">
        <w:t xml:space="preserve"> </w:t>
      </w:r>
      <w:r w:rsidRPr="00981405">
        <w:t>(chap.</w:t>
      </w:r>
      <w:r w:rsidR="00190923" w:rsidRPr="00981405">
        <w:t xml:space="preserve"> </w:t>
      </w:r>
      <w:r w:rsidRPr="00981405">
        <w:t>VI).</w:t>
      </w:r>
    </w:p>
    <w:p w:rsidR="00397032" w:rsidRPr="00981405" w:rsidRDefault="00397032" w:rsidP="00D97463">
      <w:pPr>
        <w:pStyle w:val="SingleTxt"/>
      </w:pPr>
      <w:r w:rsidRPr="00981405">
        <w:t>16.</w:t>
      </w:r>
      <w:r w:rsidRPr="00981405">
        <w:tab/>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Crimes</w:t>
      </w:r>
      <w:r w:rsidR="00190923" w:rsidRPr="00981405">
        <w:rPr>
          <w:b/>
          <w:bCs/>
        </w:rPr>
        <w:t xml:space="preserve"> </w:t>
      </w:r>
      <w:r w:rsidRPr="00D97463">
        <w:rPr>
          <w:b/>
          <w:bCs/>
        </w:rPr>
        <w:t>against</w:t>
      </w:r>
      <w:r w:rsidR="00190923" w:rsidRPr="00981405">
        <w:rPr>
          <w:b/>
          <w:bCs/>
        </w:rPr>
        <w:t xml:space="preserve"> </w:t>
      </w:r>
      <w:r w:rsidRPr="00D97463">
        <w:rPr>
          <w:b/>
          <w:bCs/>
        </w:rPr>
        <w:t>humanity</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28" w:history="1">
        <w:r w:rsidR="00F304EB" w:rsidRPr="00F304EB">
          <w:rPr>
            <w:rStyle w:val="Hyperlink"/>
          </w:rPr>
          <w:t>A/CN.4/680</w:t>
        </w:r>
      </w:hyperlink>
      <w:r w:rsidRPr="00981405">
        <w:t>),</w:t>
      </w:r>
      <w:r w:rsidR="00190923" w:rsidRPr="00981405">
        <w:t xml:space="preserve"> </w:t>
      </w:r>
      <w:r w:rsidRPr="00981405">
        <w:t>which</w:t>
      </w:r>
      <w:r w:rsidR="00190923" w:rsidRPr="00981405">
        <w:t xml:space="preserve"> </w:t>
      </w:r>
      <w:r w:rsidRPr="00981405">
        <w:t>contained,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two</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relating</w:t>
      </w:r>
      <w:r w:rsidR="00190923" w:rsidRPr="00981405">
        <w:t xml:space="preserve"> </w:t>
      </w:r>
      <w:r w:rsidRPr="00981405">
        <w:t>respectively</w:t>
      </w:r>
      <w:r w:rsidR="00190923" w:rsidRPr="00981405">
        <w:t xml:space="preserve"> </w:t>
      </w:r>
      <w:r w:rsidRPr="00981405">
        <w:t>to</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and</w:t>
      </w:r>
      <w:r w:rsidR="00190923" w:rsidRPr="00981405">
        <w:t xml:space="preserve"> </w:t>
      </w:r>
      <w:r w:rsidRPr="00981405">
        <w:t>punishment</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and</w:t>
      </w:r>
      <w:r w:rsidR="00190923" w:rsidRPr="00981405">
        <w:t xml:space="preserve"> </w:t>
      </w:r>
      <w:r w:rsidRPr="00981405">
        <w:t>to</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Following</w:t>
      </w:r>
      <w:r w:rsidR="00190923" w:rsidRPr="00981405">
        <w:t xml:space="preserve"> </w:t>
      </w:r>
      <w:r w:rsidRPr="00981405">
        <w:t>the</w:t>
      </w:r>
      <w:r w:rsidR="00190923" w:rsidRPr="00981405">
        <w:t xml:space="preserve"> </w:t>
      </w:r>
      <w:r w:rsidRPr="00981405">
        <w:t>debate</w:t>
      </w:r>
      <w:r w:rsidR="00190923" w:rsidRPr="00981405">
        <w:t xml:space="preserve"> </w:t>
      </w:r>
      <w:r w:rsidRPr="00981405">
        <w:t>in</w:t>
      </w:r>
      <w:r w:rsidR="00190923" w:rsidRPr="00981405">
        <w:t xml:space="preserve"> </w:t>
      </w:r>
      <w:r w:rsidRPr="00981405">
        <w:t>Plenary,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Upon</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t>
      </w:r>
      <w:hyperlink r:id="rId29" w:history="1">
        <w:r w:rsidR="00F304EB" w:rsidRPr="00F304EB">
          <w:rPr>
            <w:rStyle w:val="Hyperlink"/>
          </w:rPr>
          <w:t>A/CN.4/L.853</w:t>
        </w:r>
      </w:hyperlink>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1</w:t>
      </w:r>
      <w:r w:rsidR="00190923" w:rsidRPr="00981405">
        <w:t xml:space="preserve"> </w:t>
      </w:r>
      <w:r w:rsidRPr="00981405">
        <w:t>to</w:t>
      </w:r>
      <w:r w:rsidR="00190923" w:rsidRPr="00981405">
        <w:t xml:space="preserve"> </w:t>
      </w:r>
      <w:r w:rsidRPr="00981405">
        <w:t>4,</w:t>
      </w:r>
      <w:r w:rsidR="00190923" w:rsidRPr="00981405">
        <w:t xml:space="preserve"> </w:t>
      </w:r>
      <w:r w:rsidRPr="00981405">
        <w:t>together</w:t>
      </w:r>
      <w:r w:rsidR="00190923" w:rsidRPr="00981405">
        <w:t xml:space="preserve"> </w:t>
      </w:r>
      <w:r w:rsidRPr="00981405">
        <w:t>with</w:t>
      </w:r>
      <w:r w:rsidR="00190923" w:rsidRPr="00981405">
        <w:t xml:space="preserve"> </w:t>
      </w:r>
      <w:r w:rsidRPr="00981405">
        <w:t>commentaries</w:t>
      </w:r>
      <w:r w:rsidR="00190923" w:rsidRPr="00981405">
        <w:t xml:space="preserve"> </w:t>
      </w:r>
      <w:r w:rsidRPr="00981405">
        <w:t>thereto</w:t>
      </w:r>
      <w:r w:rsidR="00190923" w:rsidRPr="00981405">
        <w:t xml:space="preserve"> </w:t>
      </w:r>
      <w:r w:rsidRPr="00981405">
        <w:t>(chap.</w:t>
      </w:r>
      <w:r w:rsidR="00190923" w:rsidRPr="00981405">
        <w:t xml:space="preserve"> </w:t>
      </w:r>
      <w:r w:rsidRPr="00981405">
        <w:t>VII).</w:t>
      </w:r>
    </w:p>
    <w:p w:rsidR="00115690" w:rsidRDefault="00397032" w:rsidP="00D97463">
      <w:pPr>
        <w:pStyle w:val="SingleTxt"/>
      </w:pPr>
      <w:r w:rsidRPr="00981405">
        <w:t>17.</w:t>
      </w:r>
      <w:r w:rsidRPr="00981405">
        <w:tab/>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Subsequent</w:t>
      </w:r>
      <w:r w:rsidR="00190923" w:rsidRPr="00981405">
        <w:rPr>
          <w:b/>
          <w:bCs/>
        </w:rPr>
        <w:t xml:space="preserve"> </w:t>
      </w:r>
      <w:r w:rsidRPr="00D97463">
        <w:rPr>
          <w:b/>
          <w:bCs/>
        </w:rPr>
        <w:t>agreements</w:t>
      </w:r>
      <w:r w:rsidR="00190923" w:rsidRPr="00981405">
        <w:rPr>
          <w:b/>
          <w:bCs/>
        </w:rPr>
        <w:t xml:space="preserve"> </w:t>
      </w:r>
      <w:r w:rsidRPr="00D97463">
        <w:rPr>
          <w:b/>
          <w:bCs/>
        </w:rPr>
        <w:t>and</w:t>
      </w:r>
      <w:r w:rsidR="00190923" w:rsidRPr="00981405">
        <w:rPr>
          <w:b/>
          <w:bCs/>
        </w:rPr>
        <w:t xml:space="preserve"> </w:t>
      </w:r>
      <w:r w:rsidRPr="00D97463">
        <w:rPr>
          <w:b/>
          <w:bCs/>
        </w:rPr>
        <w:t>subsequent</w:t>
      </w:r>
      <w:r w:rsidR="00190923" w:rsidRPr="00981405">
        <w:rPr>
          <w:b/>
          <w:bCs/>
        </w:rPr>
        <w:t xml:space="preserve"> </w:t>
      </w:r>
      <w:r w:rsidRPr="00D97463">
        <w:rPr>
          <w:b/>
          <w:bCs/>
        </w:rPr>
        <w:t>practice</w:t>
      </w:r>
      <w:r w:rsidR="00190923" w:rsidRPr="00981405">
        <w:rPr>
          <w:b/>
          <w:bCs/>
        </w:rPr>
        <w:t xml:space="preserve"> </w:t>
      </w:r>
      <w:r w:rsidRPr="00D97463">
        <w:rPr>
          <w:b/>
          <w:bCs/>
        </w:rPr>
        <w:t>in</w:t>
      </w:r>
      <w:r w:rsidR="00190923" w:rsidRPr="00981405">
        <w:rPr>
          <w:b/>
          <w:bCs/>
        </w:rPr>
        <w:t xml:space="preserve"> </w:t>
      </w:r>
      <w:r w:rsidRPr="00D97463">
        <w:rPr>
          <w:b/>
          <w:bCs/>
        </w:rPr>
        <w:t>relation</w:t>
      </w:r>
      <w:r w:rsidR="00190923" w:rsidRPr="00981405">
        <w:rPr>
          <w:b/>
          <w:bCs/>
        </w:rPr>
        <w:t xml:space="preserve"> </w:t>
      </w:r>
      <w:r w:rsidRPr="00D97463">
        <w:rPr>
          <w:b/>
          <w:bCs/>
        </w:rPr>
        <w:t>to</w:t>
      </w:r>
      <w:r w:rsidR="00190923" w:rsidRPr="00981405">
        <w:rPr>
          <w:b/>
          <w:bCs/>
        </w:rPr>
        <w:t xml:space="preserve"> </w:t>
      </w:r>
      <w:r w:rsidRPr="00D97463">
        <w:rPr>
          <w:b/>
          <w:bCs/>
        </w:rPr>
        <w:t>the</w:t>
      </w:r>
      <w:r w:rsidR="00190923" w:rsidRPr="00981405">
        <w:rPr>
          <w:b/>
          <w:bCs/>
        </w:rPr>
        <w:t xml:space="preserve"> </w:t>
      </w:r>
      <w:r w:rsidRPr="00D97463">
        <w:rPr>
          <w:b/>
          <w:bCs/>
        </w:rPr>
        <w:t>interpretation</w:t>
      </w:r>
      <w:r w:rsidR="00190923" w:rsidRPr="00981405">
        <w:rPr>
          <w:b/>
          <w:bCs/>
        </w:rPr>
        <w:t xml:space="preserve"> </w:t>
      </w:r>
      <w:r w:rsidRPr="00D97463">
        <w:rPr>
          <w:b/>
          <w:bCs/>
        </w:rPr>
        <w:t>of</w:t>
      </w:r>
      <w:r w:rsidR="00190923" w:rsidRPr="00981405">
        <w:rPr>
          <w:b/>
          <w:bCs/>
        </w:rPr>
        <w:t xml:space="preserve"> </w:t>
      </w:r>
      <w:r w:rsidRPr="00D97463">
        <w:rPr>
          <w:b/>
          <w:bCs/>
        </w:rPr>
        <w:t>treaties</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30" w:history="1">
        <w:r w:rsidR="00F304EB" w:rsidRPr="00F304EB">
          <w:rPr>
            <w:rStyle w:val="Hyperlink"/>
          </w:rPr>
          <w:t>A/CN.4/683</w:t>
        </w:r>
      </w:hyperlink>
      <w:r w:rsidRPr="00981405">
        <w:t>),</w:t>
      </w:r>
      <w:r w:rsidR="00190923" w:rsidRPr="00981405">
        <w:t xml:space="preserve"> </w:t>
      </w:r>
      <w:r w:rsidRPr="00981405">
        <w:t>which</w:t>
      </w:r>
      <w:r w:rsidR="00190923" w:rsidRPr="00981405">
        <w:t xml:space="preserve"> </w:t>
      </w:r>
      <w:r w:rsidRPr="00981405">
        <w:t>contained,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one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relating</w:t>
      </w:r>
      <w:r w:rsidR="00190923" w:rsidRPr="00981405">
        <w:t xml:space="preserve"> </w:t>
      </w:r>
      <w:r w:rsidRPr="00981405">
        <w:t>to</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Following</w:t>
      </w:r>
      <w:r w:rsidR="00190923" w:rsidRPr="00981405">
        <w:t xml:space="preserve"> </w:t>
      </w:r>
      <w:r w:rsidRPr="00981405">
        <w:t>the</w:t>
      </w:r>
      <w:r w:rsidR="00190923" w:rsidRPr="00981405">
        <w:t xml:space="preserve"> </w:t>
      </w:r>
      <w:r w:rsidRPr="00981405">
        <w:t>debate</w:t>
      </w:r>
      <w:r w:rsidR="00190923" w:rsidRPr="00981405">
        <w:t xml:space="preserve"> </w:t>
      </w:r>
      <w:r w:rsidRPr="00981405">
        <w:t>in</w:t>
      </w:r>
      <w:r w:rsidR="00190923" w:rsidRPr="00981405">
        <w:t xml:space="preserve"> </w:t>
      </w:r>
      <w:r w:rsidRPr="00981405">
        <w:t>Plenary,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Upon</w:t>
      </w:r>
      <w:r w:rsidR="00190923" w:rsidRPr="00981405">
        <w:t xml:space="preserve"> </w:t>
      </w:r>
      <w:r w:rsidRPr="00981405">
        <w:t>consideration</w:t>
      </w:r>
      <w:r w:rsidR="00190923" w:rsidRPr="00981405">
        <w:t xml:space="preserve"> </w:t>
      </w:r>
      <w:r w:rsidRPr="00981405">
        <w:t>of</w:t>
      </w:r>
      <w:r w:rsidR="00190923" w:rsidRPr="00981405">
        <w:t xml:space="preserve"> </w:t>
      </w:r>
    </w:p>
    <w:p w:rsidR="00397032" w:rsidRPr="00981405" w:rsidRDefault="00397032" w:rsidP="00D97463">
      <w:pPr>
        <w:pStyle w:val="SingleTxt"/>
      </w:pPr>
      <w:r w:rsidRPr="00981405">
        <w:lastRenderedPageBreak/>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t>
      </w:r>
      <w:hyperlink r:id="rId31" w:history="1">
        <w:r w:rsidR="00F304EB" w:rsidRPr="00F304EB">
          <w:rPr>
            <w:rStyle w:val="Hyperlink"/>
          </w:rPr>
          <w:t>A/CN.4/L.854</w:t>
        </w:r>
      </w:hyperlink>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together</w:t>
      </w:r>
      <w:r w:rsidR="00190923" w:rsidRPr="00981405">
        <w:t xml:space="preserve"> </w:t>
      </w:r>
      <w:r w:rsidRPr="00981405">
        <w:t>with</w:t>
      </w:r>
      <w:r w:rsidR="00190923" w:rsidRPr="00981405">
        <w:t xml:space="preserve"> </w:t>
      </w:r>
      <w:r w:rsidRPr="00981405">
        <w:t>a</w:t>
      </w:r>
      <w:r w:rsidR="00190923" w:rsidRPr="00981405">
        <w:t xml:space="preserve"> </w:t>
      </w:r>
      <w:r w:rsidRPr="00981405">
        <w:t>commentary</w:t>
      </w:r>
      <w:r w:rsidR="00190923" w:rsidRPr="00981405">
        <w:t xml:space="preserve"> </w:t>
      </w:r>
      <w:r w:rsidRPr="00981405">
        <w:t>thereto</w:t>
      </w:r>
      <w:r w:rsidR="00190923" w:rsidRPr="00981405">
        <w:t xml:space="preserve"> </w:t>
      </w:r>
      <w:r w:rsidRPr="00981405">
        <w:t>(chap.</w:t>
      </w:r>
      <w:r w:rsidR="00190923" w:rsidRPr="00981405">
        <w:t xml:space="preserve"> </w:t>
      </w:r>
      <w:r w:rsidRPr="00981405">
        <w:t>VIII).</w:t>
      </w:r>
    </w:p>
    <w:p w:rsidR="00397032" w:rsidRPr="00981405" w:rsidRDefault="00397032" w:rsidP="00D97463">
      <w:pPr>
        <w:pStyle w:val="SingleTxt"/>
      </w:pPr>
      <w:r w:rsidRPr="00981405">
        <w:t>18.</w:t>
      </w:r>
      <w:r w:rsidRPr="00981405">
        <w:tab/>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Protection</w:t>
      </w:r>
      <w:r w:rsidR="00190923" w:rsidRPr="00981405">
        <w:rPr>
          <w:b/>
          <w:bCs/>
        </w:rPr>
        <w:t xml:space="preserve"> </w:t>
      </w:r>
      <w:r w:rsidRPr="00D97463">
        <w:rPr>
          <w:b/>
          <w:bCs/>
        </w:rPr>
        <w:t>of</w:t>
      </w:r>
      <w:r w:rsidR="00190923" w:rsidRPr="00981405">
        <w:rPr>
          <w:b/>
          <w:bCs/>
        </w:rPr>
        <w:t xml:space="preserve"> </w:t>
      </w:r>
      <w:r w:rsidRPr="00D97463">
        <w:rPr>
          <w:b/>
          <w:bCs/>
        </w:rPr>
        <w:t>the</w:t>
      </w:r>
      <w:r w:rsidR="00190923" w:rsidRPr="00981405">
        <w:rPr>
          <w:b/>
          <w:bCs/>
        </w:rPr>
        <w:t xml:space="preserve"> </w:t>
      </w:r>
      <w:r w:rsidRPr="00D97463">
        <w:rPr>
          <w:b/>
          <w:bCs/>
        </w:rPr>
        <w:t>environment</w:t>
      </w:r>
      <w:r w:rsidR="00190923" w:rsidRPr="00981405">
        <w:rPr>
          <w:b/>
          <w:bCs/>
        </w:rPr>
        <w:t xml:space="preserve"> </w:t>
      </w:r>
      <w:r w:rsidRPr="00D97463">
        <w:rPr>
          <w:b/>
          <w:bCs/>
        </w:rPr>
        <w:t>in</w:t>
      </w:r>
      <w:r w:rsidR="00190923" w:rsidRPr="00981405">
        <w:rPr>
          <w:b/>
          <w:bCs/>
        </w:rPr>
        <w:t xml:space="preserve"> </w:t>
      </w:r>
      <w:r w:rsidRPr="00D97463">
        <w:rPr>
          <w:b/>
          <w:bCs/>
        </w:rPr>
        <w:t>relation</w:t>
      </w:r>
      <w:r w:rsidR="00190923" w:rsidRPr="00981405">
        <w:rPr>
          <w:b/>
          <w:bCs/>
        </w:rPr>
        <w:t xml:space="preserve"> </w:t>
      </w:r>
      <w:r w:rsidRPr="00D97463">
        <w:rPr>
          <w:b/>
          <w:bCs/>
        </w:rPr>
        <w:t>to</w:t>
      </w:r>
      <w:r w:rsidR="00190923" w:rsidRPr="00981405">
        <w:rPr>
          <w:b/>
          <w:bCs/>
        </w:rPr>
        <w:t xml:space="preserve"> </w:t>
      </w:r>
      <w:r w:rsidRPr="00D97463">
        <w:rPr>
          <w:b/>
          <w:bCs/>
        </w:rPr>
        <w:t>armed</w:t>
      </w:r>
      <w:r w:rsidR="00190923" w:rsidRPr="00981405">
        <w:rPr>
          <w:b/>
          <w:bCs/>
        </w:rPr>
        <w:t xml:space="preserve"> </w:t>
      </w:r>
      <w:r w:rsidRPr="00D97463">
        <w:rPr>
          <w:b/>
          <w:bCs/>
        </w:rPr>
        <w:t>conflicts</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32" w:history="1">
        <w:r w:rsidR="00F304EB" w:rsidRPr="00F304EB">
          <w:rPr>
            <w:rStyle w:val="Hyperlink"/>
          </w:rPr>
          <w:t>A/CN.4/685</w:t>
        </w:r>
      </w:hyperlink>
      <w:r w:rsidRPr="00981405">
        <w:t>),</w:t>
      </w:r>
      <w:r w:rsidR="00190923" w:rsidRPr="00981405">
        <w:t xml:space="preserve"> </w:t>
      </w:r>
      <w:r w:rsidRPr="00981405">
        <w:t>which,</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identified</w:t>
      </w:r>
      <w:r w:rsidR="00190923" w:rsidRPr="00981405">
        <w:t xml:space="preserve"> </w:t>
      </w:r>
      <w:r w:rsidRPr="00981405">
        <w:t>and</w:t>
      </w:r>
      <w:r w:rsidR="00190923" w:rsidRPr="00981405">
        <w:t xml:space="preserve"> </w:t>
      </w:r>
      <w:r w:rsidRPr="00981405">
        <w:t>examined</w:t>
      </w:r>
      <w:r w:rsidR="00190923" w:rsidRPr="00981405">
        <w:t xml:space="preserve"> </w:t>
      </w:r>
      <w:r w:rsidRPr="00981405">
        <w:t>existing</w:t>
      </w:r>
      <w:r w:rsidR="00190923" w:rsidRPr="00981405">
        <w:t xml:space="preserve"> </w:t>
      </w:r>
      <w:r w:rsidRPr="00981405">
        <w:t>rules</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directly</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report</w:t>
      </w:r>
      <w:r w:rsidR="00190923" w:rsidRPr="00981405">
        <w:t xml:space="preserve"> </w:t>
      </w:r>
      <w:r w:rsidRPr="00981405">
        <w:t>contained</w:t>
      </w:r>
      <w:r w:rsidR="00190923" w:rsidRPr="00981405">
        <w:t xml:space="preserve"> </w:t>
      </w:r>
      <w:r w:rsidRPr="00981405">
        <w:t>five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and</w:t>
      </w:r>
      <w:r w:rsidR="00190923" w:rsidRPr="00981405">
        <w:t xml:space="preserve"> </w:t>
      </w:r>
      <w:r w:rsidRPr="00981405">
        <w:t>three</w:t>
      </w:r>
      <w:r w:rsidR="00190923" w:rsidRPr="00981405">
        <w:t xml:space="preserve"> </w:t>
      </w:r>
      <w:r w:rsidRPr="00981405">
        <w:t>draft</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scope</w:t>
      </w:r>
      <w:r w:rsidR="00190923" w:rsidRPr="00981405">
        <w:t xml:space="preserve"> </w:t>
      </w:r>
      <w:r w:rsidRPr="00981405">
        <w:t>and</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Following</w:t>
      </w:r>
      <w:r w:rsidR="00190923" w:rsidRPr="00981405">
        <w:t xml:space="preserve"> </w:t>
      </w:r>
      <w:r w:rsidRPr="00981405">
        <w:t>the</w:t>
      </w:r>
      <w:r w:rsidR="00190923" w:rsidRPr="00981405">
        <w:t xml:space="preserve"> </w:t>
      </w:r>
      <w:r w:rsidRPr="00981405">
        <w:t>debate</w:t>
      </w:r>
      <w:r w:rsidR="00190923" w:rsidRPr="00981405">
        <w:t xml:space="preserve"> </w:t>
      </w:r>
      <w:r w:rsidRPr="00981405">
        <w:t>in</w:t>
      </w:r>
      <w:r w:rsidR="00190923" w:rsidRPr="00981405">
        <w:t xml:space="preserve"> </w:t>
      </w:r>
      <w:r w:rsidRPr="00981405">
        <w:t>Plenary,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the</w:t>
      </w:r>
      <w:r w:rsidR="00190923" w:rsidRPr="00981405">
        <w:t xml:space="preserve"> </w:t>
      </w:r>
      <w:r w:rsidRPr="00981405">
        <w:t>draft</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and</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with</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w:t>
      </w:r>
      <w:r w:rsidR="00190923" w:rsidRPr="00981405">
        <w:t xml:space="preserve"> </w:t>
      </w:r>
      <w:r w:rsidRPr="00981405">
        <w:t>on</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was</w:t>
      </w:r>
      <w:r w:rsidR="00190923" w:rsidRPr="00981405">
        <w:t xml:space="preserve"> </w:t>
      </w:r>
      <w:r w:rsidRPr="00981405">
        <w:t>referred</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facilitating</w:t>
      </w:r>
      <w:r w:rsidR="00190923" w:rsidRPr="00981405">
        <w:t xml:space="preserve"> </w:t>
      </w:r>
      <w:r w:rsidRPr="00981405">
        <w:t>discussions</w:t>
      </w:r>
      <w:r w:rsidR="00190923" w:rsidRPr="00981405">
        <w:t xml:space="preserve"> </w:t>
      </w:r>
      <w:r w:rsidRPr="00981405">
        <w:t>and</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left</w:t>
      </w:r>
      <w:r w:rsidR="00190923" w:rsidRPr="00981405">
        <w:t xml:space="preserve"> </w:t>
      </w:r>
      <w:r w:rsidRPr="00981405">
        <w:t>pending</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subsequently</w:t>
      </w:r>
      <w:r w:rsidR="00190923" w:rsidRPr="00981405">
        <w:t xml:space="preserve"> </w:t>
      </w:r>
      <w:r w:rsidRPr="00981405">
        <w:t>received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t>
      </w:r>
      <w:hyperlink r:id="rId33" w:history="1">
        <w:r w:rsidR="00F304EB" w:rsidRPr="00F304EB">
          <w:rPr>
            <w:rStyle w:val="Hyperlink"/>
          </w:rPr>
          <w:t>A/CN.4/L.870</w:t>
        </w:r>
      </w:hyperlink>
      <w:r w:rsidRPr="00981405">
        <w:t>),</w:t>
      </w:r>
      <w:r w:rsidR="00190923" w:rsidRPr="00981405">
        <w:t xml:space="preserve"> </w:t>
      </w:r>
      <w:r w:rsidRPr="00981405">
        <w:t>and</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introductory</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I-(x)</w:t>
      </w:r>
      <w:r w:rsidR="00190923" w:rsidRPr="00981405">
        <w:t xml:space="preserve"> </w:t>
      </w:r>
      <w:r w:rsidRPr="00981405">
        <w:t>to</w:t>
      </w:r>
      <w:r w:rsidR="00190923" w:rsidRPr="00981405">
        <w:t xml:space="preserve"> </w:t>
      </w:r>
      <w:r w:rsidRPr="00981405">
        <w:t>II-5,</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(chap.</w:t>
      </w:r>
      <w:r w:rsidR="00190923" w:rsidRPr="00981405">
        <w:t xml:space="preserve"> </w:t>
      </w:r>
      <w:r w:rsidRPr="00981405">
        <w:t>IX).</w:t>
      </w:r>
      <w:r w:rsidR="00190923" w:rsidRPr="00981405">
        <w:t xml:space="preserve"> </w:t>
      </w:r>
    </w:p>
    <w:p w:rsidR="00397032" w:rsidRPr="00981405" w:rsidRDefault="00397032" w:rsidP="00D97463">
      <w:pPr>
        <w:pStyle w:val="SingleTxt"/>
      </w:pPr>
      <w:r w:rsidRPr="00981405">
        <w:t>19.</w:t>
      </w:r>
      <w:r w:rsidRPr="00981405">
        <w:tab/>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Immunity</w:t>
      </w:r>
      <w:r w:rsidR="00190923" w:rsidRPr="00981405">
        <w:rPr>
          <w:b/>
          <w:bCs/>
        </w:rPr>
        <w:t xml:space="preserve"> </w:t>
      </w:r>
      <w:r w:rsidRPr="00D97463">
        <w:rPr>
          <w:b/>
          <w:bCs/>
        </w:rPr>
        <w:t>of</w:t>
      </w:r>
      <w:r w:rsidR="00190923" w:rsidRPr="00981405">
        <w:rPr>
          <w:b/>
          <w:bCs/>
        </w:rPr>
        <w:t xml:space="preserve"> </w:t>
      </w:r>
      <w:r w:rsidRPr="00D97463">
        <w:rPr>
          <w:b/>
          <w:bCs/>
        </w:rPr>
        <w:t>State</w:t>
      </w:r>
      <w:r w:rsidR="00190923" w:rsidRPr="00981405">
        <w:rPr>
          <w:b/>
          <w:bCs/>
        </w:rPr>
        <w:t xml:space="preserve"> </w:t>
      </w:r>
      <w:r w:rsidRPr="00D97463">
        <w:rPr>
          <w:b/>
          <w:bCs/>
        </w:rPr>
        <w:t>officials</w:t>
      </w:r>
      <w:r w:rsidR="00190923" w:rsidRPr="00981405">
        <w:rPr>
          <w:b/>
          <w:bCs/>
        </w:rPr>
        <w:t xml:space="preserve"> </w:t>
      </w:r>
      <w:r w:rsidRPr="00D97463">
        <w:rPr>
          <w:b/>
          <w:bCs/>
        </w:rPr>
        <w:t>from</w:t>
      </w:r>
      <w:r w:rsidR="00190923" w:rsidRPr="00981405">
        <w:rPr>
          <w:b/>
          <w:bCs/>
        </w:rPr>
        <w:t xml:space="preserve"> </w:t>
      </w:r>
      <w:r w:rsidRPr="00D97463">
        <w:rPr>
          <w:b/>
          <w:bCs/>
        </w:rPr>
        <w:t>foreign</w:t>
      </w:r>
      <w:r w:rsidR="00190923" w:rsidRPr="00981405">
        <w:rPr>
          <w:b/>
          <w:bCs/>
        </w:rPr>
        <w:t xml:space="preserve"> </w:t>
      </w:r>
      <w:r w:rsidRPr="00D97463">
        <w:rPr>
          <w:b/>
          <w:bCs/>
        </w:rPr>
        <w:t>criminal</w:t>
      </w:r>
      <w:r w:rsidR="00190923" w:rsidRPr="00981405">
        <w:rPr>
          <w:b/>
          <w:bCs/>
        </w:rPr>
        <w:t xml:space="preserve"> </w:t>
      </w:r>
      <w:r w:rsidRPr="00D97463">
        <w:rPr>
          <w:b/>
          <w:bCs/>
        </w:rPr>
        <w:t>jurisdiction</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34" w:history="1">
        <w:r w:rsidR="00F304EB" w:rsidRPr="00F304EB">
          <w:rPr>
            <w:rStyle w:val="Hyperlink"/>
          </w:rPr>
          <w:t>A/CN.4/686</w:t>
        </w:r>
      </w:hyperlink>
      <w:r w:rsidRPr="00981405">
        <w:t>),</w:t>
      </w:r>
      <w:r w:rsidR="00190923" w:rsidRPr="00981405">
        <w:t xml:space="preserve"> </w:t>
      </w:r>
      <w:r w:rsidRPr="00981405">
        <w:t>which</w:t>
      </w:r>
      <w:r w:rsidR="00190923" w:rsidRPr="00981405">
        <w:t xml:space="preserve"> </w:t>
      </w:r>
      <w:r w:rsidRPr="00981405">
        <w:t>was</w:t>
      </w:r>
      <w:r w:rsidR="00190923" w:rsidRPr="00981405">
        <w:t xml:space="preserve"> </w:t>
      </w:r>
      <w:r w:rsidRPr="00981405">
        <w:t>devoted</w:t>
      </w:r>
      <w:r w:rsidR="00190923" w:rsidRPr="00981405">
        <w:t xml:space="preserve"> </w:t>
      </w:r>
      <w:r w:rsidRPr="00981405">
        <w:t>to</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remaining</w:t>
      </w:r>
      <w:r w:rsidR="00190923" w:rsidRPr="00981405">
        <w:t xml:space="preserve"> </w:t>
      </w:r>
      <w:r w:rsidRPr="00981405">
        <w:t>aspects</w:t>
      </w:r>
      <w:r w:rsidR="00190923" w:rsidRPr="00981405">
        <w:t xml:space="preserve"> </w:t>
      </w:r>
      <w:r w:rsidRPr="00981405">
        <w:t>of</w:t>
      </w:r>
      <w:r w:rsidR="00190923" w:rsidRPr="00981405">
        <w:t xml:space="preserve"> </w:t>
      </w:r>
      <w:r w:rsidRPr="00981405">
        <w:t>the</w:t>
      </w:r>
      <w:r w:rsidR="00190923" w:rsidRPr="00981405">
        <w:t xml:space="preserve"> </w:t>
      </w:r>
      <w:r w:rsidRPr="00981405">
        <w:t>material</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namely</w:t>
      </w:r>
      <w:r w:rsidR="00190923" w:rsidRPr="00981405">
        <w:t xml:space="preserve"> </w:t>
      </w:r>
      <w:r w:rsidRPr="00981405">
        <w:t>what</w:t>
      </w:r>
      <w:r w:rsidR="00190923" w:rsidRPr="00981405">
        <w:t xml:space="preserve"> </w:t>
      </w:r>
      <w:r w:rsidRPr="00981405">
        <w:t>constituted</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and</w:t>
      </w:r>
      <w:r w:rsidR="00190923" w:rsidRPr="00981405">
        <w:t xml:space="preserve"> </w:t>
      </w:r>
      <w:r w:rsidRPr="00981405">
        <w:t>its</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The</w:t>
      </w:r>
      <w:r w:rsidR="00190923" w:rsidRPr="00981405">
        <w:t xml:space="preserve"> </w:t>
      </w:r>
      <w:r w:rsidRPr="00981405">
        <w:t>report</w:t>
      </w:r>
      <w:r w:rsidR="00190923" w:rsidRPr="00981405">
        <w:t xml:space="preserve"> </w:t>
      </w:r>
      <w:r w:rsidRPr="00981405">
        <w:t>contained</w:t>
      </w:r>
      <w:r w:rsidR="00190923" w:rsidRPr="00981405">
        <w:t xml:space="preserve"> </w:t>
      </w:r>
      <w:r w:rsidRPr="00981405">
        <w:t>proposals</w:t>
      </w:r>
      <w:r w:rsidR="00190923" w:rsidRPr="00981405">
        <w:t xml:space="preserve"> </w:t>
      </w:r>
      <w:r w:rsidRPr="00981405">
        <w:t>for</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subparagraph</w:t>
      </w:r>
      <w:r w:rsidR="00190923" w:rsidRPr="00981405">
        <w:t xml:space="preserve"> </w:t>
      </w:r>
      <w:r w:rsidRPr="00981405">
        <w:t>(f),</w:t>
      </w:r>
      <w:r w:rsidR="00190923" w:rsidRPr="00981405">
        <w:t xml:space="preserve"> </w:t>
      </w:r>
      <w:r w:rsidRPr="00981405">
        <w:t>defining</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Following</w:t>
      </w:r>
      <w:r w:rsidR="00190923" w:rsidRPr="00981405">
        <w:t xml:space="preserve"> </w:t>
      </w:r>
      <w:r w:rsidRPr="00981405">
        <w:t>the</w:t>
      </w:r>
      <w:r w:rsidR="00190923" w:rsidRPr="00981405">
        <w:t xml:space="preserve"> </w:t>
      </w:r>
      <w:r w:rsidRPr="00981405">
        <w:t>debate</w:t>
      </w:r>
      <w:r w:rsidR="00190923" w:rsidRPr="00981405">
        <w:t xml:space="preserve"> </w:t>
      </w:r>
      <w:r w:rsidRPr="00981405">
        <w:t>in</w:t>
      </w:r>
      <w:r w:rsidR="00190923" w:rsidRPr="00981405">
        <w:t xml:space="preserve"> </w:t>
      </w:r>
      <w:r w:rsidRPr="00981405">
        <w:t>Plenary,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the</w:t>
      </w:r>
      <w:r w:rsidR="00190923" w:rsidRPr="00981405">
        <w:t xml:space="preserve"> </w:t>
      </w:r>
      <w:r w:rsidRPr="00981405">
        <w:t>two</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subsequently</w:t>
      </w:r>
      <w:r w:rsidR="00190923" w:rsidRPr="00981405">
        <w:t xml:space="preserve"> </w:t>
      </w:r>
      <w:r w:rsidRPr="00981405">
        <w:t>received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t>
      </w:r>
      <w:hyperlink r:id="rId35" w:history="1">
        <w:r w:rsidR="00F304EB" w:rsidRPr="00F304EB">
          <w:rPr>
            <w:rStyle w:val="Hyperlink"/>
          </w:rPr>
          <w:t>A/CN.4/L.865</w:t>
        </w:r>
      </w:hyperlink>
      <w:r w:rsidRPr="00981405">
        <w:t>),</w:t>
      </w:r>
      <w:r w:rsidR="00190923" w:rsidRPr="00981405">
        <w:t xml:space="preserve"> </w:t>
      </w:r>
      <w:r w:rsidRPr="00981405">
        <w:t>and</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2,</w:t>
      </w:r>
      <w:r w:rsidR="00190923" w:rsidRPr="00981405">
        <w:t xml:space="preserve"> </w:t>
      </w:r>
      <w:r w:rsidRPr="00981405">
        <w:t>subparagraph</w:t>
      </w:r>
      <w:r w:rsidR="00190923" w:rsidRPr="00981405">
        <w:t xml:space="preserve"> </w:t>
      </w:r>
      <w:r w:rsidRPr="00981405">
        <w:t>(f),</w:t>
      </w:r>
      <w:r w:rsidR="00190923" w:rsidRPr="00981405">
        <w:t xml:space="preserve"> </w:t>
      </w:r>
      <w:r w:rsidRPr="00981405">
        <w:t>and</w:t>
      </w:r>
      <w:r w:rsidR="00190923" w:rsidRPr="00981405">
        <w:t xml:space="preserve"> </w:t>
      </w:r>
      <w:r w:rsidRPr="00981405">
        <w:t>6,</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(chap.</w:t>
      </w:r>
      <w:r w:rsidR="00190923" w:rsidRPr="00981405">
        <w:t xml:space="preserve"> </w:t>
      </w:r>
      <w:r w:rsidRPr="00981405">
        <w:t>X).</w:t>
      </w:r>
    </w:p>
    <w:p w:rsidR="00397032" w:rsidRPr="00981405" w:rsidDel="003E05B0" w:rsidRDefault="00397032" w:rsidP="00D97463">
      <w:pPr>
        <w:pStyle w:val="SingleTxt"/>
      </w:pPr>
      <w:r w:rsidRPr="00981405">
        <w:t>20.</w:t>
      </w:r>
      <w:r w:rsidRPr="00981405">
        <w:tab/>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b/>
          <w:bCs/>
        </w:rPr>
        <w:t>Provisional</w:t>
      </w:r>
      <w:r w:rsidR="00190923" w:rsidRPr="00981405">
        <w:rPr>
          <w:b/>
          <w:bCs/>
        </w:rPr>
        <w:t xml:space="preserve"> </w:t>
      </w:r>
      <w:r w:rsidRPr="00D97463">
        <w:rPr>
          <w:b/>
          <w:bCs/>
        </w:rPr>
        <w:t>application</w:t>
      </w:r>
      <w:r w:rsidR="00190923" w:rsidRPr="00981405">
        <w:rPr>
          <w:b/>
          <w:bCs/>
        </w:rPr>
        <w:t xml:space="preserve"> </w:t>
      </w:r>
      <w:r w:rsidRPr="00D97463">
        <w:rPr>
          <w:b/>
          <w:bCs/>
        </w:rPr>
        <w:t>of</w:t>
      </w:r>
      <w:r w:rsidR="00190923" w:rsidRPr="00981405">
        <w:rPr>
          <w:b/>
          <w:bCs/>
        </w:rPr>
        <w:t xml:space="preserve"> </w:t>
      </w:r>
      <w:r w:rsidRPr="00D97463">
        <w:rPr>
          <w:b/>
          <w:bCs/>
        </w:rPr>
        <w:t>treaties</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36" w:history="1">
        <w:r w:rsidR="00F304EB" w:rsidRPr="00F304EB">
          <w:rPr>
            <w:rStyle w:val="Hyperlink"/>
          </w:rPr>
          <w:t>A/CN.4/687</w:t>
        </w:r>
      </w:hyperlink>
      <w:r w:rsidRPr="00981405">
        <w:t>),</w:t>
      </w:r>
      <w:r w:rsidR="00190923" w:rsidRPr="00981405">
        <w:t xml:space="preserve"> </w:t>
      </w:r>
      <w:r w:rsidRPr="00981405">
        <w:t>which</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to</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of</w:t>
      </w:r>
      <w:r w:rsidR="00190923" w:rsidRPr="00981405">
        <w:t xml:space="preserve"> </w:t>
      </w:r>
      <w:r w:rsidRPr="00981405">
        <w:t>1969,</w:t>
      </w:r>
      <w:r w:rsidR="00190923" w:rsidRPr="00981405">
        <w:t xml:space="preserve"> </w:t>
      </w:r>
      <w:r w:rsidRPr="00981405">
        <w:t>and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a</w:t>
      </w:r>
      <w:r w:rsidR="00190923" w:rsidRPr="00981405">
        <w:t xml:space="preserve"> </w:t>
      </w:r>
      <w:r w:rsidRPr="00981405">
        <w:t>memorandum</w:t>
      </w:r>
      <w:r w:rsidR="00190923" w:rsidRPr="00981405">
        <w:t xml:space="preserve"> </w:t>
      </w:r>
      <w:r w:rsidRPr="00981405">
        <w:t>(</w:t>
      </w:r>
      <w:hyperlink r:id="rId37" w:history="1">
        <w:r w:rsidR="00F304EB" w:rsidRPr="00F304EB">
          <w:rPr>
            <w:rStyle w:val="Hyperlink"/>
          </w:rPr>
          <w:t>A/CN.4/676</w:t>
        </w:r>
      </w:hyperlink>
      <w:r w:rsidRPr="00981405">
        <w:t>),</w:t>
      </w:r>
      <w:r w:rsidR="00190923" w:rsidRPr="00981405">
        <w:t xml:space="preserve"> </w:t>
      </w:r>
      <w:r w:rsidRPr="00981405">
        <w:t>prepared</w:t>
      </w:r>
      <w:r w:rsidR="00190923" w:rsidRPr="00981405">
        <w:t xml:space="preserve"> </w:t>
      </w:r>
      <w:r w:rsidRPr="00981405">
        <w:t>by</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on</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under</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between</w:t>
      </w:r>
      <w:r w:rsidR="00190923" w:rsidRPr="00981405">
        <w:t xml:space="preserve"> </w:t>
      </w:r>
      <w:r w:rsidRPr="00981405">
        <w:t>States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between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of</w:t>
      </w:r>
      <w:r w:rsidR="00190923" w:rsidRPr="00981405">
        <w:t xml:space="preserve"> </w:t>
      </w:r>
      <w:r w:rsidRPr="00981405">
        <w:t>1986.</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referred</w:t>
      </w:r>
      <w:r w:rsidR="00190923" w:rsidRPr="00981405">
        <w:t xml:space="preserve"> </w:t>
      </w:r>
      <w:r w:rsidRPr="00981405">
        <w:t>six</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subsequently</w:t>
      </w:r>
      <w:r w:rsidR="00190923" w:rsidRPr="00981405">
        <w:t xml:space="preserve"> </w:t>
      </w:r>
      <w:r w:rsidRPr="00981405">
        <w:t>received</w:t>
      </w:r>
      <w:r w:rsidR="00190923" w:rsidRPr="00981405">
        <w:t xml:space="preserve"> </w:t>
      </w:r>
      <w:r w:rsidRPr="00981405">
        <w:t>an</w:t>
      </w:r>
      <w:r w:rsidR="00190923" w:rsidRPr="00981405">
        <w:t xml:space="preserve"> </w:t>
      </w:r>
      <w:r w:rsidRPr="00981405">
        <w:t>interim</w:t>
      </w:r>
      <w:r w:rsidR="00190923" w:rsidRPr="00981405">
        <w:t xml:space="preserve"> </w:t>
      </w:r>
      <w:r w:rsidRPr="00981405">
        <w:t>oral</w:t>
      </w:r>
      <w:r w:rsidR="00190923" w:rsidRPr="00981405">
        <w:t xml:space="preserve"> </w:t>
      </w:r>
      <w:r w:rsidRPr="00981405">
        <w:t>report,</w:t>
      </w:r>
      <w:r w:rsidR="00190923" w:rsidRPr="00981405">
        <w:t xml:space="preserve"> </w:t>
      </w:r>
      <w:r w:rsidRPr="00981405">
        <w:t>presented</w:t>
      </w:r>
      <w:r w:rsidR="00190923" w:rsidRPr="00981405">
        <w:t xml:space="preserve"> </w:t>
      </w:r>
      <w:r w:rsidRPr="00981405">
        <w:t>by</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on</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and</w:t>
      </w:r>
      <w:r w:rsidR="00190923" w:rsidRPr="00981405">
        <w:t xml:space="preserve"> </w:t>
      </w:r>
      <w:r w:rsidRPr="00981405">
        <w:t>which</w:t>
      </w:r>
      <w:r w:rsidR="00190923" w:rsidRPr="00981405">
        <w:t xml:space="preserve"> </w:t>
      </w:r>
      <w:r w:rsidRPr="00981405">
        <w:t>was</w:t>
      </w:r>
      <w:r w:rsidR="00190923" w:rsidRPr="00981405">
        <w:t xml:space="preserve"> </w:t>
      </w:r>
      <w:r w:rsidRPr="00981405">
        <w:t>presented</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for</w:t>
      </w:r>
      <w:r w:rsidR="00190923" w:rsidRPr="00981405">
        <w:t xml:space="preserve"> </w:t>
      </w:r>
      <w:r w:rsidRPr="00981405">
        <w:t>information</w:t>
      </w:r>
      <w:r w:rsidR="00190923" w:rsidRPr="00981405">
        <w:t xml:space="preserve"> </w:t>
      </w:r>
      <w:r w:rsidRPr="00981405">
        <w:t>only</w:t>
      </w:r>
      <w:r w:rsidR="00190923" w:rsidRPr="00981405">
        <w:t xml:space="preserve"> </w:t>
      </w:r>
      <w:r w:rsidRPr="00981405">
        <w:t>(chap.</w:t>
      </w:r>
      <w:r w:rsidR="00190923" w:rsidRPr="00981405">
        <w:t xml:space="preserve"> </w:t>
      </w:r>
      <w:r w:rsidRPr="00981405">
        <w:t>XI).</w:t>
      </w:r>
    </w:p>
    <w:p w:rsidR="00397032" w:rsidRPr="00981405" w:rsidRDefault="00397032" w:rsidP="00D97463">
      <w:pPr>
        <w:pStyle w:val="SingleTxt"/>
      </w:pPr>
      <w:r w:rsidRPr="00981405">
        <w:t>21.</w:t>
      </w:r>
      <w:r w:rsidRPr="00981405">
        <w:tab/>
        <w:t>The</w:t>
      </w:r>
      <w:r w:rsidR="00190923" w:rsidRPr="00981405">
        <w:t xml:space="preserve"> </w:t>
      </w:r>
      <w:r w:rsidRPr="00981405">
        <w:t>Commission</w:t>
      </w:r>
      <w:r w:rsidR="00190923" w:rsidRPr="00981405">
        <w:t xml:space="preserve"> </w:t>
      </w:r>
      <w:r w:rsidRPr="00981405">
        <w:t>established</w:t>
      </w:r>
      <w:r w:rsidR="00190923" w:rsidRPr="00981405">
        <w:t xml:space="preserve"> </w:t>
      </w:r>
      <w:r w:rsidRPr="00981405">
        <w:t>a</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to</w:t>
      </w:r>
      <w:r w:rsidR="00190923" w:rsidRPr="00981405">
        <w:t xml:space="preserve"> </w:t>
      </w:r>
      <w:r w:rsidRPr="00981405">
        <w:t>consider</w:t>
      </w:r>
      <w:r w:rsidR="00190923" w:rsidRPr="00981405">
        <w:t xml:space="preserve"> </w:t>
      </w:r>
      <w:r w:rsidRPr="00981405">
        <w:t>its</w:t>
      </w:r>
      <w:r w:rsidR="00190923" w:rsidRPr="00981405">
        <w:t xml:space="preserve"> </w:t>
      </w:r>
      <w:r w:rsidRPr="00981405">
        <w:t>programme,</w:t>
      </w:r>
      <w:r w:rsidR="00190923" w:rsidRPr="00981405">
        <w:t xml:space="preserve"> </w:t>
      </w:r>
      <w:r w:rsidRPr="00981405">
        <w:t>procedures</w:t>
      </w:r>
      <w:r w:rsidR="00190923" w:rsidRPr="00981405">
        <w:t xml:space="preserve"> </w:t>
      </w:r>
      <w:r w:rsidRPr="00981405">
        <w:t>and</w:t>
      </w:r>
      <w:r w:rsidR="00190923" w:rsidRPr="00981405">
        <w:t xml:space="preserve"> </w:t>
      </w:r>
      <w:r w:rsidRPr="00981405">
        <w:t>working</w:t>
      </w:r>
      <w:r w:rsidR="00190923" w:rsidRPr="00981405">
        <w:t xml:space="preserve"> </w:t>
      </w:r>
      <w:r w:rsidRPr="00981405">
        <w:t>methods</w:t>
      </w:r>
      <w:r w:rsidR="00190923" w:rsidRPr="00981405">
        <w:t xml:space="preserve"> </w:t>
      </w:r>
      <w:r w:rsidRPr="00981405">
        <w:t>(chap.</w:t>
      </w:r>
      <w:r w:rsidR="00190923" w:rsidRPr="00981405">
        <w:t xml:space="preserve"> </w:t>
      </w:r>
      <w:r w:rsidRPr="00981405">
        <w:t>XII,</w:t>
      </w:r>
      <w:r w:rsidR="00190923" w:rsidRPr="00981405">
        <w:t xml:space="preserve"> </w:t>
      </w:r>
      <w:r w:rsidRPr="00981405">
        <w:t>sect.</w:t>
      </w:r>
      <w:r w:rsidR="00190923" w:rsidRPr="00981405">
        <w:t xml:space="preserve"> </w:t>
      </w:r>
      <w:r w:rsidRPr="00981405">
        <w:t>A).</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i/>
          <w:iCs/>
        </w:rPr>
        <w:t>Jus</w:t>
      </w:r>
      <w:r w:rsidR="00190923" w:rsidRPr="00981405">
        <w:rPr>
          <w:i/>
          <w:iCs/>
        </w:rPr>
        <w:t xml:space="preserve"> </w:t>
      </w:r>
      <w:r w:rsidRPr="00D97463">
        <w:rPr>
          <w:i/>
          <w:iCs/>
        </w:rPr>
        <w:t>cogens</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to</w:t>
      </w:r>
      <w:r w:rsidR="00190923" w:rsidRPr="00981405">
        <w:t xml:space="preserve"> </w:t>
      </w:r>
      <w:r w:rsidRPr="00981405">
        <w:t>appoint</w:t>
      </w:r>
      <w:r w:rsidR="00190923" w:rsidRPr="00981405">
        <w:t xml:space="preserve"> </w:t>
      </w:r>
      <w:r w:rsidRPr="00981405">
        <w:t>Mr.</w:t>
      </w:r>
      <w:r w:rsidR="00190923" w:rsidRPr="00981405">
        <w:t xml:space="preserve"> </w:t>
      </w:r>
      <w:r w:rsidRPr="00981405">
        <w:t>Dire</w:t>
      </w:r>
      <w:r w:rsidR="00190923" w:rsidRPr="00981405">
        <w:t xml:space="preserve"> </w:t>
      </w:r>
      <w:r w:rsidRPr="00981405">
        <w:t>Tladi</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Pr="00981405">
        <w:t>(chap.</w:t>
      </w:r>
      <w:r w:rsidR="00190923" w:rsidRPr="00981405">
        <w:t xml:space="preserve"> </w:t>
      </w:r>
      <w:r w:rsidRPr="00981405">
        <w:t>XII,</w:t>
      </w:r>
      <w:r w:rsidR="00190923" w:rsidRPr="00981405">
        <w:t xml:space="preserve"> </w:t>
      </w:r>
      <w:r w:rsidRPr="00981405">
        <w:t>sect.</w:t>
      </w:r>
      <w:r w:rsidR="00190923" w:rsidRPr="00981405">
        <w:t xml:space="preserve"> </w:t>
      </w:r>
      <w:r w:rsidRPr="00981405">
        <w:t>A.1).</w:t>
      </w:r>
      <w:r w:rsidR="00190923" w:rsidRPr="00981405">
        <w:t xml:space="preserve"> </w:t>
      </w:r>
    </w:p>
    <w:p w:rsidR="00397032" w:rsidRPr="00981405" w:rsidRDefault="00397032" w:rsidP="00D97463">
      <w:pPr>
        <w:pStyle w:val="SingleTxt"/>
      </w:pPr>
      <w:r w:rsidRPr="00981405">
        <w:t>22.</w:t>
      </w:r>
      <w:r w:rsidRPr="00981405">
        <w:tab/>
        <w:t>The</w:t>
      </w:r>
      <w:r w:rsidR="00190923" w:rsidRPr="00981405">
        <w:t xml:space="preserve"> </w:t>
      </w:r>
      <w:r w:rsidRPr="00981405">
        <w:t>Commission</w:t>
      </w:r>
      <w:r w:rsidR="00190923" w:rsidRPr="00981405">
        <w:t xml:space="preserve"> </w:t>
      </w:r>
      <w:r w:rsidRPr="00981405">
        <w:t>continued</w:t>
      </w:r>
      <w:r w:rsidR="00190923" w:rsidRPr="00981405">
        <w:t xml:space="preserve"> </w:t>
      </w:r>
      <w:r w:rsidRPr="00981405">
        <w:t>its</w:t>
      </w:r>
      <w:r w:rsidR="00190923" w:rsidRPr="00981405">
        <w:t xml:space="preserve"> </w:t>
      </w:r>
      <w:r w:rsidRPr="00981405">
        <w:t>exchange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with</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the</w:t>
      </w:r>
      <w:r w:rsidR="00190923" w:rsidRPr="00981405">
        <w:t xml:space="preserve"> </w:t>
      </w:r>
      <w:r w:rsidRPr="00981405">
        <w:t>Asian-African</w:t>
      </w:r>
      <w:r w:rsidR="00190923" w:rsidRPr="00981405">
        <w:t xml:space="preserve"> </w:t>
      </w:r>
      <w:r w:rsidRPr="00981405">
        <w:t>Legal</w:t>
      </w:r>
      <w:r w:rsidR="00190923" w:rsidRPr="00981405">
        <w:t xml:space="preserve"> </w:t>
      </w:r>
      <w:r w:rsidRPr="00981405">
        <w:t>Consultative</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Inter-American</w:t>
      </w:r>
      <w:r w:rsidR="00190923" w:rsidRPr="00981405">
        <w:t xml:space="preserve"> </w:t>
      </w:r>
      <w:r w:rsidRPr="00981405">
        <w:t>Juridical</w:t>
      </w:r>
      <w:r w:rsidR="00190923" w:rsidRPr="00981405">
        <w:t xml:space="preserve"> </w:t>
      </w:r>
      <w:r w:rsidRPr="00981405">
        <w:t>Committee,</w:t>
      </w:r>
      <w:r w:rsidR="00190923" w:rsidRPr="00981405">
        <w:t xml:space="preserve"> </w:t>
      </w:r>
      <w:r w:rsidRPr="00981405">
        <w:t>the</w:t>
      </w:r>
      <w:r w:rsidR="00190923" w:rsidRPr="00981405">
        <w:t xml:space="preserve"> </w:t>
      </w:r>
      <w:r w:rsidRPr="00981405">
        <w:t>Committee</w:t>
      </w:r>
      <w:r w:rsidR="00190923" w:rsidRPr="00981405">
        <w:t xml:space="preserve"> </w:t>
      </w:r>
      <w:r w:rsidRPr="00981405">
        <w:t>of</w:t>
      </w:r>
      <w:r w:rsidR="00190923" w:rsidRPr="00981405">
        <w:t xml:space="preserve"> </w:t>
      </w:r>
      <w:r w:rsidRPr="00981405">
        <w:t>Legal</w:t>
      </w:r>
      <w:r w:rsidR="00190923" w:rsidRPr="00981405">
        <w:t xml:space="preserve"> </w:t>
      </w:r>
      <w:r w:rsidRPr="00981405">
        <w:t>Advisers</w:t>
      </w:r>
      <w:r w:rsidR="00190923" w:rsidRPr="00981405">
        <w:t xml:space="preserve"> </w:t>
      </w:r>
      <w:r w:rsidRPr="00981405">
        <w:t>on</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of</w:t>
      </w:r>
      <w:r w:rsidR="00190923" w:rsidRPr="00981405">
        <w:t xml:space="preserve"> </w:t>
      </w:r>
      <w:r w:rsidRPr="00981405">
        <w:t>the</w:t>
      </w:r>
      <w:r w:rsidR="00190923" w:rsidRPr="00981405">
        <w:t xml:space="preserve"> </w:t>
      </w:r>
      <w:r w:rsidRPr="00981405">
        <w:t>Council</w:t>
      </w:r>
      <w:r w:rsidR="00190923" w:rsidRPr="00981405">
        <w:t xml:space="preserve"> </w:t>
      </w:r>
      <w:r w:rsidRPr="00981405">
        <w:t>of</w:t>
      </w:r>
      <w:r w:rsidR="00190923" w:rsidRPr="00981405">
        <w:t xml:space="preserve"> </w:t>
      </w:r>
      <w:r w:rsidRPr="00981405">
        <w:t>Europe</w:t>
      </w:r>
      <w:r w:rsidR="00190923" w:rsidRPr="00981405">
        <w:t xml:space="preserve"> </w:t>
      </w:r>
      <w:r w:rsidRPr="00981405">
        <w:t>and</w:t>
      </w:r>
      <w:r w:rsidR="00190923" w:rsidRPr="00981405">
        <w:t xml:space="preserve"> </w:t>
      </w:r>
      <w:r w:rsidRPr="00981405">
        <w:t>the</w:t>
      </w:r>
      <w:r w:rsidR="00190923" w:rsidRPr="00981405">
        <w:t xml:space="preserve"> </w:t>
      </w:r>
      <w:r w:rsidRPr="00981405">
        <w:t>African</w:t>
      </w:r>
      <w:r w:rsidR="00190923" w:rsidRPr="00981405">
        <w:t xml:space="preserve"> </w:t>
      </w:r>
      <w:r w:rsidRPr="00981405">
        <w:t>Union</w:t>
      </w:r>
      <w:r w:rsidR="00190923" w:rsidRPr="00981405">
        <w:t xml:space="preserve"> </w:t>
      </w:r>
      <w:r w:rsidRPr="00981405">
        <w:t>Commission</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High</w:t>
      </w:r>
      <w:r w:rsidR="00190923" w:rsidRPr="00981405">
        <w:t xml:space="preserve"> </w:t>
      </w:r>
      <w:r w:rsidRPr="00981405">
        <w:t>Commissioner</w:t>
      </w:r>
      <w:r w:rsidR="00190923" w:rsidRPr="00981405">
        <w:t xml:space="preserve"> </w:t>
      </w:r>
      <w:r w:rsidRPr="00981405">
        <w:t>for</w:t>
      </w:r>
      <w:r w:rsidR="00190923" w:rsidRPr="00981405">
        <w:t xml:space="preserve"> </w:t>
      </w:r>
      <w:r w:rsidRPr="00981405">
        <w:t>Human</w:t>
      </w:r>
      <w:r w:rsidR="00190923" w:rsidRPr="00981405">
        <w:t xml:space="preserve"> </w:t>
      </w:r>
      <w:r w:rsidRPr="00981405">
        <w:t>Rights</w:t>
      </w:r>
      <w:r w:rsidR="00190923" w:rsidRPr="00981405">
        <w:t xml:space="preserve"> </w:t>
      </w:r>
      <w:r w:rsidRPr="00981405">
        <w:t>also</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w:t>
      </w:r>
      <w:r w:rsidR="00190923" w:rsidRPr="00981405">
        <w:t xml:space="preserve"> </w:t>
      </w:r>
      <w:r w:rsidRPr="00981405">
        <w:t>informal</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was</w:t>
      </w:r>
      <w:r w:rsidR="00190923" w:rsidRPr="00981405">
        <w:t xml:space="preserve"> </w:t>
      </w:r>
      <w:r w:rsidRPr="00981405">
        <w:t>held</w:t>
      </w:r>
      <w:r w:rsidR="00190923" w:rsidRPr="00981405">
        <w:t xml:space="preserve"> </w:t>
      </w:r>
      <w:r w:rsidRPr="00981405">
        <w:t>between</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t>Red</w:t>
      </w:r>
      <w:r w:rsidR="00190923" w:rsidRPr="00981405">
        <w:t xml:space="preserve"> </w:t>
      </w:r>
      <w:r w:rsidRPr="00981405">
        <w:t>Cross.</w:t>
      </w:r>
    </w:p>
    <w:p w:rsidR="00397032" w:rsidRPr="00981405" w:rsidRDefault="00397032" w:rsidP="00D97463">
      <w:pPr>
        <w:pStyle w:val="SingleTxt"/>
      </w:pPr>
      <w:r w:rsidRPr="00981405">
        <w:lastRenderedPageBreak/>
        <w:t>23.</w:t>
      </w:r>
      <w:r w:rsidRPr="00981405">
        <w:tab/>
        <w:t>The</w:t>
      </w:r>
      <w:r w:rsidR="00190923" w:rsidRPr="00981405">
        <w:t xml:space="preserve"> </w:t>
      </w:r>
      <w:r w:rsidRPr="00981405">
        <w:t>Commission</w:t>
      </w:r>
      <w:r w:rsidR="00190923" w:rsidRPr="00981405">
        <w:t xml:space="preserve"> </w:t>
      </w:r>
      <w:r w:rsidRPr="00981405">
        <w:t>recommended</w:t>
      </w:r>
      <w:r w:rsidR="00190923" w:rsidRPr="00981405">
        <w:t xml:space="preserve"> </w:t>
      </w:r>
      <w:r w:rsidRPr="00981405">
        <w:t>that</w:t>
      </w:r>
      <w:r w:rsidR="00190923" w:rsidRPr="00981405">
        <w:t xml:space="preserve"> </w:t>
      </w:r>
      <w:r w:rsidRPr="00981405">
        <w:t>its</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be</w:t>
      </w:r>
      <w:r w:rsidR="00190923" w:rsidRPr="00981405">
        <w:t xml:space="preserve"> </w:t>
      </w:r>
      <w:r w:rsidRPr="00981405">
        <w:t>held</w:t>
      </w:r>
      <w:r w:rsidR="00190923" w:rsidRPr="00981405">
        <w:t xml:space="preserve"> </w:t>
      </w:r>
      <w:r w:rsidRPr="00981405">
        <w:t>in</w:t>
      </w:r>
      <w:r w:rsidR="00190923" w:rsidRPr="00981405">
        <w:t xml:space="preserve"> </w:t>
      </w:r>
      <w:r w:rsidRPr="00981405">
        <w:t>Geneva</w:t>
      </w:r>
      <w:r w:rsidR="00190923" w:rsidRPr="00981405">
        <w:t xml:space="preserve"> </w:t>
      </w:r>
      <w:r w:rsidRPr="00981405">
        <w:t>from</w:t>
      </w:r>
      <w:r w:rsidR="00190923" w:rsidRPr="00981405">
        <w:t xml:space="preserve"> </w:t>
      </w:r>
      <w:r w:rsidRPr="00981405">
        <w:t>2</w:t>
      </w:r>
      <w:r w:rsidR="00190923" w:rsidRPr="00981405">
        <w:t xml:space="preserve"> </w:t>
      </w:r>
      <w:r w:rsidRPr="00981405">
        <w:t>May</w:t>
      </w:r>
      <w:r w:rsidR="00190923" w:rsidRPr="00981405">
        <w:t xml:space="preserve"> </w:t>
      </w:r>
      <w:r w:rsidRPr="00981405">
        <w:t>to</w:t>
      </w:r>
      <w:r w:rsidR="00190923" w:rsidRPr="00981405">
        <w:t xml:space="preserve"> </w:t>
      </w:r>
      <w:r w:rsidRPr="00981405">
        <w:t>10</w:t>
      </w:r>
      <w:r w:rsidR="00190923" w:rsidRPr="00981405">
        <w:t xml:space="preserve"> </w:t>
      </w:r>
      <w:r w:rsidRPr="00981405">
        <w:t>June</w:t>
      </w:r>
      <w:r w:rsidR="00190923" w:rsidRPr="00981405">
        <w:t xml:space="preserve"> </w:t>
      </w:r>
      <w:r w:rsidRPr="00981405">
        <w:t>and</w:t>
      </w:r>
      <w:r w:rsidR="00190923" w:rsidRPr="00981405">
        <w:t xml:space="preserve"> </w:t>
      </w:r>
      <w:r w:rsidRPr="00981405">
        <w:t>4</w:t>
      </w:r>
      <w:r w:rsidR="00190923" w:rsidRPr="00981405">
        <w:t xml:space="preserve"> </w:t>
      </w:r>
      <w:r w:rsidRPr="00981405">
        <w:t>July</w:t>
      </w:r>
      <w:r w:rsidR="00190923" w:rsidRPr="00981405">
        <w:t xml:space="preserve"> </w:t>
      </w:r>
      <w:r w:rsidRPr="00981405">
        <w:t>to</w:t>
      </w:r>
      <w:r w:rsidR="00190923" w:rsidRPr="00981405">
        <w:t xml:space="preserve"> </w:t>
      </w:r>
      <w:r w:rsidRPr="00981405">
        <w:t>12</w:t>
      </w:r>
      <w:r w:rsidR="00190923" w:rsidRPr="00981405">
        <w:t xml:space="preserve"> </w:t>
      </w:r>
      <w:r w:rsidRPr="00981405">
        <w:t>August</w:t>
      </w:r>
      <w:r w:rsidR="00190923" w:rsidRPr="00981405">
        <w:t xml:space="preserve"> </w:t>
      </w:r>
      <w:r w:rsidRPr="00981405">
        <w:t>2016</w:t>
      </w:r>
      <w:r w:rsidR="00190923" w:rsidRPr="00981405">
        <w:t xml:space="preserve"> </w:t>
      </w:r>
      <w:r w:rsidRPr="00981405">
        <w:t>(chap.</w:t>
      </w:r>
      <w:r w:rsidR="00190923" w:rsidRPr="00981405">
        <w:t xml:space="preserve"> </w:t>
      </w:r>
      <w:r w:rsidRPr="00981405">
        <w:t>XII,</w:t>
      </w:r>
      <w:r w:rsidR="00190923" w:rsidRPr="00981405">
        <w:t xml:space="preserve"> </w:t>
      </w:r>
      <w:r w:rsidRPr="00981405">
        <w:t>sect.</w:t>
      </w:r>
      <w:r w:rsidR="00190923" w:rsidRPr="00981405">
        <w:t xml:space="preserve"> </w:t>
      </w:r>
      <w:r w:rsidRPr="00981405">
        <w:t>B).</w:t>
      </w:r>
    </w:p>
    <w:p w:rsidR="00397032" w:rsidRPr="00981405" w:rsidRDefault="00397032" w:rsidP="00D97463">
      <w:pPr>
        <w:pStyle w:val="SingleTxt"/>
      </w:pPr>
      <w:r w:rsidRPr="00981405">
        <w:br w:type="page"/>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2" w:name="_Toc427938076"/>
      <w:r w:rsidRPr="00D97463">
        <w:t>Chapter</w:t>
      </w:r>
      <w:r w:rsidR="00190923" w:rsidRPr="00D97463">
        <w:t xml:space="preserve"> </w:t>
      </w:r>
      <w:r w:rsidRPr="00D97463">
        <w:t>III</w:t>
      </w:r>
      <w:bookmarkStart w:id="13" w:name="_Toc427938077"/>
      <w:bookmarkEnd w:id="12"/>
      <w:r w:rsidRPr="00D97463">
        <w:br/>
        <w:t>Specific</w:t>
      </w:r>
      <w:r w:rsidR="00190923" w:rsidRPr="00D97463">
        <w:t xml:space="preserve"> </w:t>
      </w:r>
      <w:r w:rsidRPr="00D97463">
        <w:t>issues</w:t>
      </w:r>
      <w:r w:rsidR="00190923" w:rsidRPr="00D97463">
        <w:t xml:space="preserve"> </w:t>
      </w:r>
      <w:r w:rsidRPr="00D97463">
        <w:t>on</w:t>
      </w:r>
      <w:r w:rsidR="00190923" w:rsidRPr="00D97463">
        <w:t xml:space="preserve"> </w:t>
      </w:r>
      <w:r w:rsidRPr="00D97463">
        <w:t>which</w:t>
      </w:r>
      <w:r w:rsidR="00190923" w:rsidRPr="00D97463">
        <w:t xml:space="preserve"> </w:t>
      </w:r>
      <w:r w:rsidRPr="00D97463">
        <w:t>comments</w:t>
      </w:r>
      <w:r w:rsidR="00190923" w:rsidRPr="00D97463">
        <w:t xml:space="preserve"> </w:t>
      </w:r>
      <w:r w:rsidRPr="00D97463">
        <w:t>would</w:t>
      </w:r>
      <w:r w:rsidR="00190923" w:rsidRPr="00D97463">
        <w:t xml:space="preserve"> </w:t>
      </w:r>
      <w:r w:rsidRPr="00D97463">
        <w:t>be</w:t>
      </w:r>
      <w:r w:rsidR="00190923" w:rsidRPr="00D97463">
        <w:t xml:space="preserve"> </w:t>
      </w:r>
      <w:r w:rsidRPr="00D97463">
        <w:t>of</w:t>
      </w:r>
      <w:r w:rsidR="00190923" w:rsidRPr="00D97463">
        <w:t xml:space="preserve"> </w:t>
      </w:r>
      <w:r w:rsidRPr="00D97463">
        <w:t>particular</w:t>
      </w:r>
      <w:r w:rsidR="00190923" w:rsidRPr="00D97463">
        <w:t xml:space="preserve"> </w:t>
      </w:r>
      <w:r w:rsidRPr="00D97463">
        <w:t>interest</w:t>
      </w:r>
      <w:r w:rsidR="00190923" w:rsidRPr="00D97463">
        <w:t xml:space="preserve"> </w:t>
      </w:r>
      <w:r w:rsidRPr="00D97463">
        <w:t>to</w:t>
      </w:r>
      <w:r w:rsidR="00190923" w:rsidRPr="00D97463">
        <w:t xml:space="preserve"> </w:t>
      </w:r>
      <w:r w:rsidRPr="00D97463">
        <w:t>the</w:t>
      </w:r>
      <w:r w:rsidR="00190923" w:rsidRPr="00D97463">
        <w:t xml:space="preserve"> </w:t>
      </w:r>
      <w:r w:rsidRPr="00D97463">
        <w:t>Commission</w:t>
      </w:r>
      <w:bookmarkEnd w:id="13"/>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24.</w:t>
      </w:r>
      <w:r w:rsidR="00190923" w:rsidRPr="00981405">
        <w:t xml:space="preserve"> </w:t>
      </w:r>
      <w:r w:rsidRPr="00981405">
        <w:tab/>
        <w:t>The</w:t>
      </w:r>
      <w:r w:rsidR="00190923" w:rsidRPr="00981405">
        <w:t xml:space="preserve"> </w:t>
      </w:r>
      <w:r w:rsidRPr="00981405">
        <w:t>Commission</w:t>
      </w:r>
      <w:r w:rsidR="00190923" w:rsidRPr="00981405">
        <w:t xml:space="preserve"> </w:t>
      </w:r>
      <w:r w:rsidRPr="00981405">
        <w:t>considers</w:t>
      </w:r>
      <w:r w:rsidR="00190923" w:rsidRPr="00981405">
        <w:t xml:space="preserve"> </w:t>
      </w:r>
      <w:r w:rsidRPr="00981405">
        <w:t>as</w:t>
      </w:r>
      <w:r w:rsidR="00190923" w:rsidRPr="00981405">
        <w:t xml:space="preserve"> </w:t>
      </w:r>
      <w:r w:rsidRPr="00981405">
        <w:t>still</w:t>
      </w:r>
      <w:r w:rsidR="00190923" w:rsidRPr="00981405">
        <w:t xml:space="preserve"> </w:t>
      </w:r>
      <w:r w:rsidRPr="00981405">
        <w:t>relevant</w:t>
      </w:r>
      <w:r w:rsidR="00190923" w:rsidRPr="00981405">
        <w:t xml:space="preserve"> </w:t>
      </w:r>
      <w:r w:rsidRPr="00981405">
        <w:t>the</w:t>
      </w:r>
      <w:r w:rsidR="00190923" w:rsidRPr="00981405">
        <w:t xml:space="preserve"> </w:t>
      </w:r>
      <w:r w:rsidRPr="00981405">
        <w:t>requests</w:t>
      </w:r>
      <w:r w:rsidR="00190923" w:rsidRPr="00981405">
        <w:t xml:space="preserve"> </w:t>
      </w:r>
      <w:r w:rsidRPr="00981405">
        <w:t>for</w:t>
      </w:r>
      <w:r w:rsidR="00190923" w:rsidRPr="00981405">
        <w:t xml:space="preserve"> </w:t>
      </w:r>
      <w:r w:rsidRPr="00981405">
        <w:t>information</w:t>
      </w:r>
      <w:r w:rsidR="00190923" w:rsidRPr="00981405">
        <w:t xml:space="preserve"> </w:t>
      </w:r>
      <w:r w:rsidRPr="00981405">
        <w:t>contained</w:t>
      </w:r>
      <w:r w:rsidR="00190923" w:rsidRPr="00981405">
        <w:t xml:space="preserve"> </w:t>
      </w:r>
      <w:r w:rsidRPr="00981405">
        <w:t>in</w:t>
      </w:r>
      <w:r w:rsidR="00190923" w:rsidRPr="00981405">
        <w:t xml:space="preserve"> </w:t>
      </w:r>
      <w:r w:rsidRPr="00981405">
        <w:t>Chapter</w:t>
      </w:r>
      <w:r w:rsidR="00190923" w:rsidRPr="00981405">
        <w:t xml:space="preserve"> </w:t>
      </w:r>
      <w:r w:rsidRPr="00981405">
        <w:t>III</w:t>
      </w:r>
      <w:r w:rsidR="00190923" w:rsidRPr="00981405">
        <w:t xml:space="preserve"> </w:t>
      </w:r>
      <w:r w:rsidRPr="00981405">
        <w:t>of</w:t>
      </w:r>
      <w:r w:rsidR="00190923" w:rsidRPr="00981405">
        <w:t xml:space="preserve"> </w:t>
      </w:r>
      <w:r w:rsidRPr="00981405">
        <w:t>its</w:t>
      </w:r>
      <w:r w:rsidR="00190923" w:rsidRPr="00981405">
        <w:t xml:space="preserve"> </w:t>
      </w:r>
      <w:r w:rsidRPr="00981405">
        <w:t>Report</w:t>
      </w:r>
      <w:r w:rsidR="00190923" w:rsidRPr="00981405">
        <w:t xml:space="preserve"> </w:t>
      </w:r>
      <w:r w:rsidRPr="00981405">
        <w:t>on</w:t>
      </w:r>
      <w:r w:rsidR="00190923" w:rsidRPr="00981405">
        <w:t xml:space="preserve"> </w:t>
      </w:r>
      <w:r w:rsidRPr="00981405">
        <w:t>its</w:t>
      </w:r>
      <w:r w:rsidR="00190923" w:rsidRPr="00981405">
        <w:t xml:space="preserve"> </w:t>
      </w:r>
      <w:r w:rsidRPr="00981405">
        <w:t>last</w:t>
      </w:r>
      <w:r w:rsidR="00190923" w:rsidRPr="00981405">
        <w:t xml:space="preserve"> </w:t>
      </w:r>
      <w:r w:rsidRPr="00981405">
        <w:t>session</w:t>
      </w:r>
      <w:r w:rsidR="00190923" w:rsidRPr="00981405">
        <w:t xml:space="preserve"> </w:t>
      </w:r>
      <w:r w:rsidRPr="00981405">
        <w:t>on</w:t>
      </w:r>
      <w:r w:rsidR="00190923" w:rsidRPr="00981405">
        <w:t xml:space="preserve"> </w:t>
      </w:r>
      <w:r w:rsidRPr="00981405">
        <w:t>the</w:t>
      </w:r>
      <w:r w:rsidR="00190923" w:rsidRPr="00981405">
        <w:t xml:space="preserve"> </w:t>
      </w:r>
      <w:r w:rsidRPr="00981405">
        <w:t>topics</w:t>
      </w:r>
      <w:r w:rsidR="00190923" w:rsidRPr="00981405">
        <w:t xml:space="preserve"> </w:t>
      </w:r>
      <w:r w:rsidR="00B92E2C" w:rsidRPr="00981405">
        <w:t>“</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B92E2C" w:rsidRPr="00981405">
        <w:t>”</w:t>
      </w:r>
      <w:r w:rsidRPr="00981405">
        <w:rPr>
          <w:rStyle w:val="FootnoteReference"/>
        </w:rPr>
        <w:footnoteReference w:id="4"/>
      </w:r>
      <w:r w:rsidRPr="00981405">
        <w:t>,</w:t>
      </w:r>
      <w:r w:rsidR="00190923" w:rsidRPr="00981405">
        <w:t xml:space="preserve"> </w:t>
      </w:r>
      <w:r w:rsidR="00B92E2C" w:rsidRPr="00981405">
        <w:t>“</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rPr>
          <w:rStyle w:val="FootnoteReference"/>
        </w:rPr>
        <w:footnoteReference w:id="5"/>
      </w:r>
      <w:r w:rsidR="00190923" w:rsidRPr="00981405">
        <w:t xml:space="preserve"> </w:t>
      </w:r>
      <w:r w:rsidRPr="00981405">
        <w:t>and</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Pr="00981405">
        <w:rPr>
          <w:rStyle w:val="FootnoteReference"/>
        </w:rPr>
        <w:footnoteReference w:id="6"/>
      </w:r>
      <w:r w:rsidRPr="00981405">
        <w:t>,</w:t>
      </w:r>
      <w:r w:rsidR="00190923" w:rsidRPr="00981405">
        <w:t xml:space="preserve"> </w:t>
      </w:r>
      <w:r w:rsidRPr="00981405">
        <w:t>and</w:t>
      </w:r>
      <w:r w:rsidR="00190923" w:rsidRPr="00981405">
        <w:t xml:space="preserve"> </w:t>
      </w:r>
      <w:r w:rsidRPr="00981405">
        <w:t>would</w:t>
      </w:r>
      <w:r w:rsidR="00190923" w:rsidRPr="00981405">
        <w:t xml:space="preserve"> </w:t>
      </w:r>
      <w:r w:rsidRPr="00981405">
        <w:t>welcome</w:t>
      </w:r>
      <w:r w:rsidR="00190923" w:rsidRPr="00981405">
        <w:t xml:space="preserve"> </w:t>
      </w:r>
      <w:r w:rsidRPr="00981405">
        <w:t>any</w:t>
      </w:r>
      <w:r w:rsidR="00190923" w:rsidRPr="00981405">
        <w:t xml:space="preserve"> </w:t>
      </w:r>
      <w:r w:rsidRPr="00981405">
        <w:t>additional</w:t>
      </w:r>
      <w:r w:rsidR="00190923" w:rsidRPr="00981405">
        <w:t xml:space="preserve"> </w:t>
      </w:r>
      <w:r w:rsidRPr="00981405">
        <w:t>information.</w:t>
      </w:r>
    </w:p>
    <w:p w:rsidR="00397032" w:rsidRPr="00981405" w:rsidRDefault="00397032" w:rsidP="00D97463">
      <w:pPr>
        <w:pStyle w:val="SingleTxt"/>
      </w:pPr>
      <w:r w:rsidRPr="00981405">
        <w:t>25.</w:t>
      </w:r>
      <w:r w:rsidRPr="00981405">
        <w:tab/>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also</w:t>
      </w:r>
      <w:r w:rsidR="00190923" w:rsidRPr="00981405">
        <w:t xml:space="preserve"> </w:t>
      </w:r>
      <w:r w:rsidRPr="00981405">
        <w:t>welcome</w:t>
      </w:r>
      <w:r w:rsidR="00190923" w:rsidRPr="00981405">
        <w:t xml:space="preserve"> </w:t>
      </w:r>
      <w:r w:rsidRPr="00981405">
        <w:t>any</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the</w:t>
      </w:r>
      <w:r w:rsidR="00190923" w:rsidRPr="00981405">
        <w:t xml:space="preserve"> </w:t>
      </w:r>
      <w:r w:rsidRPr="00981405">
        <w:t>following</w:t>
      </w:r>
      <w:r w:rsidR="00190923" w:rsidRPr="00981405">
        <w:t xml:space="preserve"> </w:t>
      </w:r>
      <w:r w:rsidRPr="00981405">
        <w:t>issues,</w:t>
      </w:r>
      <w:r w:rsidR="00190923" w:rsidRPr="00981405">
        <w:t xml:space="preserve"> </w:t>
      </w:r>
      <w:r w:rsidRPr="00981405">
        <w:t>by</w:t>
      </w:r>
      <w:r w:rsidR="00190923" w:rsidRPr="00981405">
        <w:t xml:space="preserve"> </w:t>
      </w:r>
      <w:r w:rsidRPr="00981405">
        <w:t>31</w:t>
      </w:r>
      <w:r w:rsidR="00190923" w:rsidRPr="00981405">
        <w:t xml:space="preserve"> </w:t>
      </w:r>
      <w:r w:rsidRPr="00981405">
        <w:t>January</w:t>
      </w:r>
      <w:r w:rsidR="00190923" w:rsidRPr="00981405">
        <w:t xml:space="preserve"> </w:t>
      </w:r>
      <w:r w:rsidRPr="00981405">
        <w:t>2016,</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in</w:t>
      </w:r>
      <w:r w:rsidR="00190923" w:rsidRPr="00981405">
        <w:t xml:space="preserve"> </w:t>
      </w:r>
      <w:r w:rsidRPr="00981405">
        <w:t>the</w:t>
      </w:r>
      <w:r w:rsidR="00190923" w:rsidRPr="00981405">
        <w:t xml:space="preserve"> </w:t>
      </w:r>
      <w:r w:rsidRPr="00981405">
        <w:t>respective</w:t>
      </w:r>
      <w:r w:rsidR="00190923" w:rsidRPr="00981405">
        <w:t xml:space="preserve"> </w:t>
      </w:r>
      <w:r w:rsidRPr="00981405">
        <w:t>reports</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Rapporteurs.</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1"/>
        <w:ind w:right="1260"/>
      </w:pPr>
      <w:r w:rsidRPr="00D97463">
        <w:tab/>
      </w:r>
      <w:bookmarkStart w:id="14" w:name="_Toc427938078"/>
      <w:r w:rsidRPr="00D97463">
        <w:t>A.</w:t>
      </w:r>
      <w:r w:rsidRPr="00D97463">
        <w:tab/>
        <w:t>Subsequent</w:t>
      </w:r>
      <w:r w:rsidR="00190923" w:rsidRPr="00D97463">
        <w:t xml:space="preserve"> </w:t>
      </w:r>
      <w:r w:rsidRPr="00D97463">
        <w:t>agreements</w:t>
      </w:r>
      <w:r w:rsidR="00190923" w:rsidRPr="00D97463">
        <w:t xml:space="preserve"> </w:t>
      </w:r>
      <w:r w:rsidRPr="00D97463">
        <w:t>and</w:t>
      </w:r>
      <w:r w:rsidR="00190923" w:rsidRPr="00D97463">
        <w:t xml:space="preserve"> </w:t>
      </w:r>
      <w:r w:rsidRPr="00D97463">
        <w:t>subsequent</w:t>
      </w:r>
      <w:r w:rsidR="00190923" w:rsidRPr="00D97463">
        <w:t xml:space="preserve"> </w:t>
      </w:r>
      <w:r w:rsidRPr="00D97463">
        <w:t>practice</w:t>
      </w:r>
      <w:r w:rsidR="00190923" w:rsidRPr="00D97463">
        <w:t xml:space="preserve"> </w:t>
      </w:r>
      <w:r w:rsidRPr="00D97463">
        <w:t>in</w:t>
      </w:r>
      <w:r w:rsidR="00190923" w:rsidRPr="00D97463">
        <w:t xml:space="preserve"> </w:t>
      </w:r>
      <w:r w:rsidRPr="00D97463">
        <w:t>relation</w:t>
      </w:r>
      <w:r w:rsidR="00190923" w:rsidRPr="00D97463">
        <w:t xml:space="preserve"> </w:t>
      </w:r>
      <w:r w:rsidRPr="00D97463">
        <w:t>to</w:t>
      </w:r>
      <w:r w:rsidR="00190923" w:rsidRPr="00D97463">
        <w:t xml:space="preserve"> </w:t>
      </w:r>
      <w:r w:rsidRPr="00D97463">
        <w:t>the</w:t>
      </w:r>
      <w:r w:rsidR="00190923" w:rsidRPr="00D97463">
        <w:t xml:space="preserve"> </w:t>
      </w:r>
      <w:r w:rsidRPr="00D97463">
        <w:t>interpretation</w:t>
      </w:r>
      <w:r w:rsidR="00190923" w:rsidRPr="00D97463">
        <w:t xml:space="preserve"> </w:t>
      </w:r>
      <w:r w:rsidRPr="00D97463">
        <w:t>of</w:t>
      </w:r>
      <w:r w:rsidR="00190923" w:rsidRPr="00D97463">
        <w:t xml:space="preserve"> </w:t>
      </w:r>
      <w:r w:rsidRPr="00D97463">
        <w:t>treaties</w:t>
      </w:r>
      <w:bookmarkEnd w:id="14"/>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26.</w:t>
      </w:r>
      <w:r w:rsidRPr="00981405">
        <w:tab/>
        <w:t>It</w:t>
      </w:r>
      <w:r w:rsidR="00190923" w:rsidRPr="00981405">
        <w:t xml:space="preserve"> </w:t>
      </w:r>
      <w:r w:rsidRPr="00981405">
        <w:t>would</w:t>
      </w:r>
      <w:r w:rsidR="00190923" w:rsidRPr="00981405">
        <w:t xml:space="preserve"> </w:t>
      </w:r>
      <w:r w:rsidRPr="00981405">
        <w:t>assist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if</w:t>
      </w:r>
      <w:r w:rsidR="00190923" w:rsidRPr="00981405">
        <w:t xml:space="preserve"> </w:t>
      </w:r>
      <w:r w:rsidRPr="00981405">
        <w:t>States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could</w:t>
      </w:r>
      <w:r w:rsidR="00190923" w:rsidRPr="00981405">
        <w:t xml:space="preserve"> </w:t>
      </w:r>
      <w:r w:rsidRPr="00981405">
        <w:t>provide</w:t>
      </w:r>
      <w:r w:rsidR="00190923" w:rsidRPr="00981405">
        <w:t xml:space="preserve"> </w:t>
      </w:r>
      <w:r w:rsidRPr="00981405">
        <w:t>it</w:t>
      </w:r>
      <w:r w:rsidR="00190923" w:rsidRPr="00981405">
        <w:t xml:space="preserve"> </w:t>
      </w:r>
      <w:r w:rsidRPr="00981405">
        <w:t>with:</w:t>
      </w:r>
    </w:p>
    <w:p w:rsidR="00397032" w:rsidRPr="00981405" w:rsidRDefault="00397032" w:rsidP="00D97463">
      <w:pPr>
        <w:pStyle w:val="SingleTxt"/>
      </w:pPr>
      <w:r w:rsidRPr="00981405">
        <w:tab/>
        <w:t>(a)</w:t>
      </w:r>
      <w:r w:rsidRPr="00981405">
        <w:tab/>
        <w:t>any</w:t>
      </w:r>
      <w:r w:rsidR="00190923" w:rsidRPr="00981405">
        <w:t xml:space="preserve"> </w:t>
      </w:r>
      <w:r w:rsidRPr="00981405">
        <w:t>examples</w:t>
      </w:r>
      <w:r w:rsidR="00190923" w:rsidRPr="00981405">
        <w:t xml:space="preserve"> </w:t>
      </w:r>
      <w:r w:rsidRPr="00981405">
        <w:t>of</w:t>
      </w:r>
      <w:r w:rsidR="00190923" w:rsidRPr="00981405">
        <w:t xml:space="preserve"> </w:t>
      </w:r>
      <w:r w:rsidRPr="00981405">
        <w:t>decisions</w:t>
      </w:r>
      <w:r w:rsidR="00190923" w:rsidRPr="00981405">
        <w:t xml:space="preserve"> </w:t>
      </w:r>
      <w:r w:rsidRPr="00981405">
        <w:t>of</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in</w:t>
      </w:r>
      <w:r w:rsidR="00190923" w:rsidRPr="00981405">
        <w:t xml:space="preserve"> </w:t>
      </w:r>
      <w:r w:rsidRPr="00981405">
        <w:t>which</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has</w:t>
      </w:r>
      <w:r w:rsidR="00190923" w:rsidRPr="00981405">
        <w:t xml:space="preserve"> </w:t>
      </w:r>
      <w:r w:rsidRPr="00981405">
        <w:t>contributed</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and</w:t>
      </w:r>
    </w:p>
    <w:p w:rsidR="00397032" w:rsidRPr="00981405" w:rsidRDefault="00397032" w:rsidP="00D97463">
      <w:pPr>
        <w:pStyle w:val="SingleTxt"/>
      </w:pPr>
      <w:r w:rsidRPr="00981405">
        <w:tab/>
        <w:t>(b)</w:t>
      </w:r>
      <w:r w:rsidRPr="00981405">
        <w:tab/>
        <w:t>any</w:t>
      </w:r>
      <w:r w:rsidR="00190923" w:rsidRPr="00981405">
        <w:t xml:space="preserve"> </w:t>
      </w:r>
      <w:r w:rsidRPr="00981405">
        <w:t>examples</w:t>
      </w:r>
      <w:r w:rsidR="00190923" w:rsidRPr="00981405">
        <w:t xml:space="preserve"> </w:t>
      </w:r>
      <w:r w:rsidRPr="00981405">
        <w:t>where</w:t>
      </w:r>
      <w:r w:rsidR="00190923" w:rsidRPr="00981405">
        <w:t xml:space="preserve"> </w:t>
      </w:r>
      <w:r w:rsidRPr="00981405">
        <w:t>pronouncements</w:t>
      </w:r>
      <w:r w:rsidR="00190923" w:rsidRPr="00981405">
        <w:t xml:space="preserve"> </w:t>
      </w:r>
      <w:r w:rsidRPr="00981405">
        <w:t>or</w:t>
      </w:r>
      <w:r w:rsidR="00190923" w:rsidRPr="00981405">
        <w:t xml:space="preserve"> </w:t>
      </w:r>
      <w:r w:rsidRPr="00981405">
        <w:t>other</w:t>
      </w:r>
      <w:r w:rsidR="00190923" w:rsidRPr="00981405">
        <w:t xml:space="preserve"> </w:t>
      </w:r>
      <w:r w:rsidRPr="00981405">
        <w:t>action</w:t>
      </w:r>
      <w:r w:rsidR="00190923" w:rsidRPr="00981405">
        <w:t xml:space="preserve"> </w:t>
      </w:r>
      <w:r w:rsidRPr="00981405">
        <w:t>by</w:t>
      </w:r>
      <w:r w:rsidR="00190923" w:rsidRPr="00981405">
        <w:t xml:space="preserve"> </w:t>
      </w:r>
      <w:r w:rsidRPr="00981405">
        <w:t>a</w:t>
      </w:r>
      <w:r w:rsidR="00190923" w:rsidRPr="00981405">
        <w:t xml:space="preserve"> </w:t>
      </w:r>
      <w:r w:rsidRPr="00981405">
        <w:t>treaty</w:t>
      </w:r>
      <w:r w:rsidR="00190923" w:rsidRPr="00981405">
        <w:t xml:space="preserve"> </w:t>
      </w:r>
      <w:r w:rsidRPr="00981405">
        <w:t>body</w:t>
      </w:r>
      <w:r w:rsidR="00190923" w:rsidRPr="00981405">
        <w:t xml:space="preserve"> </w:t>
      </w:r>
      <w:r w:rsidRPr="00981405">
        <w:t>consisting</w:t>
      </w:r>
      <w:r w:rsidR="00190923" w:rsidRPr="00981405">
        <w:t xml:space="preserve"> </w:t>
      </w:r>
      <w:r w:rsidRPr="00981405">
        <w:t>of</w:t>
      </w:r>
      <w:r w:rsidR="00190923" w:rsidRPr="00981405">
        <w:t xml:space="preserve"> </w:t>
      </w:r>
      <w:r w:rsidRPr="00981405">
        <w:t>independent</w:t>
      </w:r>
      <w:r w:rsidR="00190923" w:rsidRPr="00981405">
        <w:t xml:space="preserve"> </w:t>
      </w:r>
      <w:r w:rsidRPr="00981405">
        <w:t>experts</w:t>
      </w:r>
      <w:r w:rsidR="00190923" w:rsidRPr="00981405">
        <w:t xml:space="preserve"> </w:t>
      </w:r>
      <w:r w:rsidRPr="00981405">
        <w:t>have</w:t>
      </w:r>
      <w:r w:rsidR="00190923" w:rsidRPr="00981405">
        <w:t xml:space="preserve"> </w:t>
      </w:r>
      <w:r w:rsidRPr="00981405">
        <w:t>been</w:t>
      </w:r>
      <w:r w:rsidR="00190923" w:rsidRPr="00981405">
        <w:t xml:space="preserve"> </w:t>
      </w:r>
      <w:r w:rsidRPr="00981405">
        <w:t>considered</w:t>
      </w:r>
      <w:r w:rsidR="00190923" w:rsidRPr="00981405">
        <w:t xml:space="preserve"> </w:t>
      </w:r>
      <w:r w:rsidRPr="00981405">
        <w:t>as</w:t>
      </w:r>
      <w:r w:rsidR="00190923" w:rsidRPr="00981405">
        <w:t xml:space="preserve"> </w:t>
      </w:r>
      <w:r w:rsidRPr="00981405">
        <w:t>giving</w:t>
      </w:r>
      <w:r w:rsidR="00190923" w:rsidRPr="00981405">
        <w:t xml:space="preserve"> </w:t>
      </w:r>
      <w:r w:rsidRPr="00981405">
        <w:t>rise</w:t>
      </w:r>
      <w:r w:rsidR="00190923" w:rsidRPr="00981405">
        <w:t xml:space="preserve"> </w:t>
      </w:r>
      <w:r w:rsidRPr="00981405">
        <w:t>to</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D97463" w:rsidRDefault="00397032" w:rsidP="00D97463">
      <w:pPr>
        <w:pStyle w:val="H1"/>
        <w:ind w:right="1260"/>
      </w:pPr>
      <w:r w:rsidRPr="00D97463">
        <w:tab/>
      </w:r>
      <w:bookmarkStart w:id="15" w:name="_Toc427938079"/>
      <w:r w:rsidRPr="00D97463">
        <w:t>B.</w:t>
      </w:r>
      <w:r w:rsidRPr="00D97463">
        <w:tab/>
        <w:t>Protection</w:t>
      </w:r>
      <w:r w:rsidR="00190923" w:rsidRPr="00D97463">
        <w:t xml:space="preserve"> </w:t>
      </w:r>
      <w:r w:rsidRPr="00D97463">
        <w:t>of</w:t>
      </w:r>
      <w:r w:rsidR="00190923" w:rsidRPr="00D97463">
        <w:t xml:space="preserve"> </w:t>
      </w:r>
      <w:r w:rsidRPr="00D97463">
        <w:t>the</w:t>
      </w:r>
      <w:r w:rsidR="00190923" w:rsidRPr="00D97463">
        <w:t xml:space="preserve"> </w:t>
      </w:r>
      <w:r w:rsidRPr="00D97463">
        <w:t>environment</w:t>
      </w:r>
      <w:r w:rsidR="00190923" w:rsidRPr="00D97463">
        <w:t xml:space="preserve"> </w:t>
      </w:r>
      <w:r w:rsidRPr="00D97463">
        <w:t>in</w:t>
      </w:r>
      <w:r w:rsidR="00190923" w:rsidRPr="00D97463">
        <w:t xml:space="preserve"> </w:t>
      </w:r>
      <w:r w:rsidRPr="00D97463">
        <w:t>relation</w:t>
      </w:r>
      <w:r w:rsidR="00190923" w:rsidRPr="00D97463">
        <w:t xml:space="preserve"> </w:t>
      </w:r>
      <w:r w:rsidRPr="00D97463">
        <w:t>to</w:t>
      </w:r>
      <w:r w:rsidR="00190923" w:rsidRPr="00D97463">
        <w:t xml:space="preserve"> </w:t>
      </w:r>
      <w:r w:rsidRPr="00D97463">
        <w:t>armed</w:t>
      </w:r>
      <w:r w:rsidR="00190923" w:rsidRPr="00D97463">
        <w:t xml:space="preserve"> </w:t>
      </w:r>
      <w:r w:rsidRPr="00D97463">
        <w:t>conflicts</w:t>
      </w:r>
      <w:bookmarkEnd w:id="15"/>
    </w:p>
    <w:p w:rsidR="00397032" w:rsidRPr="00D97463" w:rsidRDefault="00397032" w:rsidP="00D97463">
      <w:pPr>
        <w:pStyle w:val="SingleTxt"/>
        <w:spacing w:after="0" w:line="120" w:lineRule="exact"/>
        <w:rPr>
          <w:sz w:val="10"/>
        </w:rPr>
      </w:pP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27.</w:t>
      </w:r>
      <w:r w:rsidRPr="00981405">
        <w:tab/>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appreciate</w:t>
      </w:r>
      <w:r w:rsidR="00190923" w:rsidRPr="00981405">
        <w:t xml:space="preserve"> </w:t>
      </w:r>
      <w:r w:rsidRPr="00981405">
        <w:t>being</w:t>
      </w:r>
      <w:r w:rsidR="00190923" w:rsidRPr="00981405">
        <w:t xml:space="preserve"> </w:t>
      </w:r>
      <w:r w:rsidRPr="00981405">
        <w:t>provided</w:t>
      </w:r>
      <w:r w:rsidR="00190923" w:rsidRPr="00981405">
        <w:t xml:space="preserve"> </w:t>
      </w:r>
      <w:r w:rsidRPr="00981405">
        <w:t>by</w:t>
      </w:r>
      <w:r w:rsidR="00190923" w:rsidRPr="00981405">
        <w:t xml:space="preserve"> </w:t>
      </w:r>
      <w:r w:rsidRPr="00981405">
        <w:t>States</w:t>
      </w:r>
      <w:r w:rsidR="00190923" w:rsidRPr="00981405">
        <w:t xml:space="preserve"> </w:t>
      </w:r>
      <w:r w:rsidRPr="00981405">
        <w:t>with</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whether,</w:t>
      </w:r>
      <w:r w:rsidR="00190923" w:rsidRPr="00981405">
        <w:t xml:space="preserve"> </w:t>
      </w:r>
      <w:r w:rsidRPr="00981405">
        <w:t>in</w:t>
      </w:r>
      <w:r w:rsidR="00190923" w:rsidRPr="00981405">
        <w:t xml:space="preserve"> </w:t>
      </w:r>
      <w:r w:rsidRPr="00981405">
        <w:t>their</w:t>
      </w:r>
      <w:r w:rsidR="00190923" w:rsidRPr="00981405">
        <w:t xml:space="preserve"> </w:t>
      </w:r>
      <w:r w:rsidRPr="00981405">
        <w:t>practice,</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domestic</w:t>
      </w:r>
      <w:r w:rsidR="00190923" w:rsidRPr="00981405">
        <w:t xml:space="preserve"> </w:t>
      </w:r>
      <w:r w:rsidRPr="00981405">
        <w:t>environmental</w:t>
      </w:r>
      <w:r w:rsidR="00190923" w:rsidRPr="00981405">
        <w:t xml:space="preserve"> </w:t>
      </w:r>
      <w:r w:rsidRPr="00981405">
        <w:t>law</w:t>
      </w:r>
      <w:r w:rsidR="00190923" w:rsidRPr="00981405">
        <w:t xml:space="preserve"> </w:t>
      </w:r>
      <w:r w:rsidRPr="00981405">
        <w:t>has</w:t>
      </w:r>
      <w:r w:rsidR="00190923" w:rsidRPr="00981405">
        <w:t xml:space="preserve"> </w:t>
      </w:r>
      <w:r w:rsidRPr="00981405">
        <w:t>been</w:t>
      </w:r>
      <w:r w:rsidR="00190923" w:rsidRPr="00981405">
        <w:t xml:space="preserve"> </w:t>
      </w:r>
      <w:r w:rsidRPr="00981405">
        <w:t>interpreted</w:t>
      </w:r>
      <w:r w:rsidR="00190923" w:rsidRPr="00981405">
        <w:t xml:space="preserve"> </w:t>
      </w:r>
      <w:r w:rsidRPr="00981405">
        <w:t>as</w:t>
      </w:r>
      <w:r w:rsidR="00190923" w:rsidRPr="00981405">
        <w:t xml:space="preserve"> </w:t>
      </w:r>
      <w:r w:rsidRPr="00981405">
        <w:t>applicable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non-international</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particularly</w:t>
      </w:r>
      <w:r w:rsidR="00190923" w:rsidRPr="00981405">
        <w:t xml:space="preserve"> </w:t>
      </w:r>
      <w:r w:rsidRPr="00981405">
        <w:t>appreciate</w:t>
      </w:r>
      <w:r w:rsidR="00190923" w:rsidRPr="00981405">
        <w:t xml:space="preserve"> </w:t>
      </w:r>
      <w:r w:rsidRPr="00981405">
        <w:t>receiving</w:t>
      </w:r>
      <w:r w:rsidR="00190923" w:rsidRPr="00981405">
        <w:t xml:space="preserve"> </w:t>
      </w:r>
      <w:r w:rsidRPr="00981405">
        <w:t>examples</w:t>
      </w:r>
      <w:r w:rsidR="00190923" w:rsidRPr="00981405">
        <w:t xml:space="preserve"> </w:t>
      </w:r>
      <w:r w:rsidRPr="00981405">
        <w:t>of:</w:t>
      </w:r>
    </w:p>
    <w:p w:rsidR="00397032" w:rsidRPr="00981405" w:rsidRDefault="00397032" w:rsidP="00D97463">
      <w:pPr>
        <w:pStyle w:val="SingleTxt"/>
      </w:pPr>
      <w:r w:rsidRPr="00981405">
        <w:tab/>
        <w:t>(a)</w:t>
      </w:r>
      <w:r w:rsidRPr="00981405">
        <w:tab/>
        <w:t>treaties,</w:t>
      </w:r>
      <w:r w:rsidR="00190923" w:rsidRPr="00981405">
        <w:t xml:space="preserve"> </w:t>
      </w:r>
      <w:r w:rsidRPr="00981405">
        <w:t>including</w:t>
      </w:r>
      <w:r w:rsidR="00190923" w:rsidRPr="00981405">
        <w:t xml:space="preserve"> </w:t>
      </w:r>
      <w:r w:rsidRPr="00981405">
        <w:t>relevant</w:t>
      </w:r>
      <w:r w:rsidR="00190923" w:rsidRPr="00981405">
        <w:t xml:space="preserve"> </w:t>
      </w:r>
      <w:r w:rsidRPr="00981405">
        <w:t>regional</w:t>
      </w:r>
      <w:r w:rsidR="00190923" w:rsidRPr="00981405">
        <w:t xml:space="preserve"> </w:t>
      </w:r>
      <w:r w:rsidRPr="00981405">
        <w:t>or</w:t>
      </w:r>
      <w:r w:rsidR="00190923" w:rsidRPr="00981405">
        <w:t xml:space="preserve"> </w:t>
      </w:r>
      <w:r w:rsidRPr="00981405">
        <w:t>bilateral</w:t>
      </w:r>
      <w:r w:rsidR="00190923" w:rsidRPr="00981405">
        <w:t xml:space="preserve"> </w:t>
      </w:r>
      <w:r w:rsidRPr="00981405">
        <w:t>treaties;</w:t>
      </w:r>
    </w:p>
    <w:p w:rsidR="00397032" w:rsidRPr="00981405" w:rsidRDefault="00397032" w:rsidP="00D97463">
      <w:pPr>
        <w:pStyle w:val="SingleTxt"/>
      </w:pPr>
      <w:r w:rsidRPr="00981405">
        <w:tab/>
        <w:t>(b)</w:t>
      </w:r>
      <w:r w:rsidRPr="00981405">
        <w:tab/>
        <w:t>national</w:t>
      </w:r>
      <w:r w:rsidR="00190923" w:rsidRPr="00981405">
        <w:t xml:space="preserve"> </w:t>
      </w:r>
      <w:r w:rsidRPr="00981405">
        <w:t>legislation</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including</w:t>
      </w:r>
      <w:r w:rsidR="00190923" w:rsidRPr="00981405">
        <w:t xml:space="preserve"> </w:t>
      </w:r>
      <w:r w:rsidRPr="00981405">
        <w:t>legislation</w:t>
      </w:r>
      <w:r w:rsidR="00190923" w:rsidRPr="00981405">
        <w:t xml:space="preserve"> </w:t>
      </w:r>
      <w:r w:rsidRPr="00981405">
        <w:t>implementing</w:t>
      </w:r>
      <w:r w:rsidR="00190923" w:rsidRPr="00981405">
        <w:t xml:space="preserve"> </w:t>
      </w:r>
      <w:r w:rsidRPr="00981405">
        <w:t>regional</w:t>
      </w:r>
      <w:r w:rsidR="00190923" w:rsidRPr="00981405">
        <w:t xml:space="preserve"> </w:t>
      </w:r>
      <w:r w:rsidRPr="00981405">
        <w:t>or</w:t>
      </w:r>
      <w:r w:rsidR="00190923" w:rsidRPr="00981405">
        <w:t xml:space="preserve"> </w:t>
      </w:r>
      <w:r w:rsidRPr="00981405">
        <w:t>bilateral</w:t>
      </w:r>
      <w:r w:rsidR="00190923" w:rsidRPr="00981405">
        <w:t xml:space="preserve"> </w:t>
      </w:r>
      <w:r w:rsidRPr="00981405">
        <w:t>treaties;</w:t>
      </w:r>
    </w:p>
    <w:p w:rsidR="00397032" w:rsidRPr="00981405" w:rsidRDefault="00397032" w:rsidP="00D97463">
      <w:pPr>
        <w:pStyle w:val="SingleTxt"/>
      </w:pPr>
      <w:r w:rsidRPr="00981405">
        <w:tab/>
        <w:t>(c)</w:t>
      </w:r>
      <w:r w:rsidRPr="00981405">
        <w:tab/>
        <w:t>case-law</w:t>
      </w:r>
      <w:r w:rsidR="00190923" w:rsidRPr="00981405">
        <w:t xml:space="preserve"> </w:t>
      </w:r>
      <w:r w:rsidRPr="00981405">
        <w:t>in</w:t>
      </w:r>
      <w:r w:rsidR="00190923" w:rsidRPr="00981405">
        <w:t xml:space="preserve"> </w:t>
      </w:r>
      <w:r w:rsidRPr="00981405">
        <w:t>which</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domestic</w:t>
      </w:r>
      <w:r w:rsidR="00190923" w:rsidRPr="00981405">
        <w:t xml:space="preserve"> </w:t>
      </w:r>
      <w:r w:rsidRPr="00981405">
        <w:t>environmental</w:t>
      </w:r>
      <w:r w:rsidR="00190923" w:rsidRPr="00981405">
        <w:t xml:space="preserve"> </w:t>
      </w:r>
      <w:r w:rsidRPr="00981405">
        <w:t>law</w:t>
      </w:r>
      <w:r w:rsidR="00190923" w:rsidRPr="00981405">
        <w:t xml:space="preserve"> </w:t>
      </w:r>
      <w:r w:rsidRPr="00981405">
        <w:t>was</w:t>
      </w:r>
      <w:r w:rsidR="00190923" w:rsidRPr="00981405">
        <w:t xml:space="preserve"> </w:t>
      </w:r>
      <w:r w:rsidRPr="00981405">
        <w:t>applied</w:t>
      </w:r>
      <w:r w:rsidR="00190923" w:rsidRPr="00981405">
        <w:t xml:space="preserve"> </w:t>
      </w:r>
      <w:r w:rsidRPr="00981405">
        <w:t>to</w:t>
      </w:r>
      <w:r w:rsidR="00190923" w:rsidRPr="00981405">
        <w:t xml:space="preserve"> </w:t>
      </w:r>
      <w:r w:rsidRPr="00981405">
        <w:t>disputes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p>
    <w:p w:rsidR="00397032" w:rsidRPr="00981405" w:rsidRDefault="00397032" w:rsidP="00D97463">
      <w:pPr>
        <w:pStyle w:val="SingleTxt"/>
      </w:pPr>
      <w:r w:rsidRPr="00981405">
        <w:t>28.</w:t>
      </w:r>
      <w:r w:rsidRPr="00981405">
        <w:tab/>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also</w:t>
      </w:r>
      <w:r w:rsidR="00190923" w:rsidRPr="00981405">
        <w:t xml:space="preserve"> </w:t>
      </w:r>
      <w:r w:rsidRPr="00981405">
        <w:t>invite</w:t>
      </w:r>
      <w:r w:rsidR="00190923" w:rsidRPr="00981405">
        <w:t xml:space="preserve"> </w:t>
      </w:r>
      <w:r w:rsidRPr="00981405">
        <w:t>information</w:t>
      </w:r>
      <w:r w:rsidR="00190923" w:rsidRPr="00981405">
        <w:t xml:space="preserve"> </w:t>
      </w:r>
      <w:r w:rsidRPr="00981405">
        <w:t>from</w:t>
      </w:r>
      <w:r w:rsidR="00190923" w:rsidRPr="00981405">
        <w:t xml:space="preserve"> </w:t>
      </w:r>
      <w:r w:rsidRPr="00981405">
        <w:t>States</w:t>
      </w:r>
      <w:r w:rsidR="00190923" w:rsidRPr="00981405">
        <w:t xml:space="preserve"> </w:t>
      </w:r>
      <w:r w:rsidRPr="00981405">
        <w:t>as</w:t>
      </w:r>
      <w:r w:rsidR="00190923" w:rsidRPr="00981405">
        <w:t xml:space="preserve"> </w:t>
      </w:r>
      <w:r w:rsidRPr="00981405">
        <w:t>to</w:t>
      </w:r>
      <w:r w:rsidR="00190923" w:rsidRPr="00981405">
        <w:t xml:space="preserve"> </w:t>
      </w:r>
      <w:r w:rsidRPr="00981405">
        <w:t>whether</w:t>
      </w:r>
      <w:r w:rsidR="00190923" w:rsidRPr="00981405">
        <w:t xml:space="preserve"> </w:t>
      </w:r>
      <w:r w:rsidRPr="00981405">
        <w:t>they</w:t>
      </w:r>
      <w:r w:rsidR="00190923" w:rsidRPr="00981405">
        <w:t xml:space="preserve"> </w:t>
      </w:r>
      <w:r w:rsidRPr="00981405">
        <w:t>have</w:t>
      </w:r>
      <w:r w:rsidR="00190923" w:rsidRPr="00981405">
        <w:t xml:space="preserve"> </w:t>
      </w:r>
      <w:r w:rsidRPr="00981405">
        <w:t>any</w:t>
      </w:r>
      <w:r w:rsidR="00190923" w:rsidRPr="00981405">
        <w:t xml:space="preserve"> </w:t>
      </w:r>
      <w:r w:rsidRPr="00981405">
        <w:t>instruments</w:t>
      </w:r>
      <w:r w:rsidR="00190923" w:rsidRPr="00981405">
        <w:t xml:space="preserve"> </w:t>
      </w:r>
      <w:r w:rsidRPr="00981405">
        <w:t>aimed</w:t>
      </w:r>
      <w:r w:rsidR="00190923" w:rsidRPr="00981405">
        <w:t xml:space="preserve"> </w:t>
      </w:r>
      <w:r w:rsidRPr="00981405">
        <w:t>at</w:t>
      </w:r>
      <w:r w:rsidR="00190923" w:rsidRPr="00981405">
        <w:t xml:space="preserve"> </w:t>
      </w:r>
      <w:r w:rsidRPr="00981405">
        <w:t>protecting</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for</w:t>
      </w:r>
      <w:r w:rsidR="00190923" w:rsidRPr="00981405">
        <w:t xml:space="preserve"> </w:t>
      </w:r>
      <w:r w:rsidRPr="00981405">
        <w:t>example,</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and</w:t>
      </w:r>
      <w:r w:rsidR="00190923" w:rsidRPr="00981405">
        <w:t xml:space="preserve"> </w:t>
      </w:r>
      <w:r w:rsidRPr="00981405">
        <w:t>regulations;</w:t>
      </w:r>
      <w:r w:rsidR="00190923" w:rsidRPr="00981405">
        <w:t xml:space="preserve"> </w:t>
      </w:r>
      <w:r w:rsidRPr="00981405">
        <w:t>military</w:t>
      </w:r>
      <w:r w:rsidR="00190923" w:rsidRPr="00981405">
        <w:t xml:space="preserve"> </w:t>
      </w:r>
      <w:r w:rsidRPr="00981405">
        <w:t>manuals,</w:t>
      </w:r>
      <w:r w:rsidR="00190923" w:rsidRPr="00981405">
        <w:t xml:space="preserve"> </w:t>
      </w:r>
      <w:r w:rsidRPr="00981405">
        <w:t>standard</w:t>
      </w:r>
      <w:r w:rsidR="00190923" w:rsidRPr="00981405">
        <w:t xml:space="preserve"> </w:t>
      </w:r>
      <w:r w:rsidRPr="00981405">
        <w:t>operating</w:t>
      </w:r>
      <w:r w:rsidR="00190923" w:rsidRPr="00981405">
        <w:t xml:space="preserve"> </w:t>
      </w:r>
      <w:r w:rsidRPr="00981405">
        <w:t>procedures,</w:t>
      </w:r>
      <w:r w:rsidR="00190923" w:rsidRPr="00981405">
        <w:t xml:space="preserve"> </w:t>
      </w:r>
      <w:r w:rsidRPr="00981405">
        <w:t>Rules</w:t>
      </w:r>
      <w:r w:rsidR="00190923" w:rsidRPr="00981405">
        <w:t xml:space="preserve"> </w:t>
      </w:r>
      <w:r w:rsidRPr="00981405">
        <w:t>of</w:t>
      </w:r>
      <w:r w:rsidR="00190923" w:rsidRPr="00981405">
        <w:t xml:space="preserve"> </w:t>
      </w:r>
      <w:r w:rsidRPr="00981405">
        <w:t>Engagement</w:t>
      </w:r>
      <w:r w:rsidR="00190923" w:rsidRPr="00981405">
        <w:t xml:space="preserve"> </w:t>
      </w:r>
      <w:r w:rsidRPr="00981405">
        <w:t>or</w:t>
      </w:r>
      <w:r w:rsidR="00190923" w:rsidRPr="00981405">
        <w:t xml:space="preserve"> </w:t>
      </w:r>
      <w:r w:rsidRPr="00981405">
        <w:t>Status</w:t>
      </w:r>
      <w:r w:rsidR="00190923" w:rsidRPr="00981405">
        <w:t xml:space="preserve"> </w:t>
      </w:r>
      <w:r w:rsidRPr="00981405">
        <w:t>of</w:t>
      </w:r>
      <w:r w:rsidR="00190923" w:rsidRPr="00981405">
        <w:t xml:space="preserve"> </w:t>
      </w:r>
      <w:r w:rsidRPr="00981405">
        <w:t>Forces</w:t>
      </w:r>
      <w:r w:rsidR="00190923" w:rsidRPr="00981405">
        <w:t xml:space="preserve"> </w:t>
      </w:r>
      <w:r w:rsidRPr="00981405">
        <w:t>Agreements</w:t>
      </w:r>
      <w:r w:rsidR="00190923" w:rsidRPr="00981405">
        <w:t xml:space="preserve"> </w:t>
      </w:r>
      <w:r w:rsidRPr="00981405">
        <w:t>applicable</w:t>
      </w:r>
      <w:r w:rsidR="00190923" w:rsidRPr="00981405">
        <w:t xml:space="preserve"> </w:t>
      </w:r>
      <w:r w:rsidRPr="00981405">
        <w:t>during</w:t>
      </w:r>
      <w:r w:rsidR="00190923" w:rsidRPr="00981405">
        <w:t xml:space="preserve"> </w:t>
      </w:r>
      <w:r w:rsidRPr="00981405">
        <w:t>international</w:t>
      </w:r>
      <w:r w:rsidR="00190923" w:rsidRPr="00981405">
        <w:t xml:space="preserve"> </w:t>
      </w:r>
      <w:r w:rsidRPr="00981405">
        <w:t>operations;</w:t>
      </w:r>
      <w:r w:rsidR="00190923" w:rsidRPr="00981405">
        <w:t xml:space="preserve"> </w:t>
      </w:r>
      <w:r w:rsidRPr="00981405">
        <w:t>and</w:t>
      </w:r>
      <w:r w:rsidR="00190923" w:rsidRPr="00981405">
        <w:t xml:space="preserve"> </w:t>
      </w:r>
      <w:r w:rsidRPr="00981405">
        <w:t>environmental</w:t>
      </w:r>
      <w:r w:rsidR="00190923" w:rsidRPr="00981405">
        <w:t xml:space="preserve"> </w:t>
      </w:r>
      <w:r w:rsidRPr="00981405">
        <w:t>management</w:t>
      </w:r>
      <w:r w:rsidR="00190923" w:rsidRPr="00981405">
        <w:t xml:space="preserve"> </w:t>
      </w:r>
      <w:r w:rsidRPr="00981405">
        <w:t>policies</w:t>
      </w:r>
      <w:r w:rsidR="00190923" w:rsidRPr="00981405">
        <w:t xml:space="preserve"> </w:t>
      </w:r>
      <w:r w:rsidRPr="00981405">
        <w:t>related</w:t>
      </w:r>
      <w:r w:rsidR="00190923" w:rsidRPr="00981405">
        <w:t xml:space="preserve"> </w:t>
      </w:r>
      <w:r w:rsidRPr="00981405">
        <w:t>to</w:t>
      </w:r>
      <w:r w:rsidR="00190923" w:rsidRPr="00981405">
        <w:t xml:space="preserve"> </w:t>
      </w:r>
      <w:r w:rsidRPr="00981405">
        <w:t>defence-related</w:t>
      </w:r>
      <w:r w:rsidR="00190923" w:rsidRPr="00981405">
        <w:t xml:space="preserve"> </w:t>
      </w:r>
      <w:r w:rsidRPr="00981405">
        <w:t>activities.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be</w:t>
      </w:r>
      <w:r w:rsidR="00190923" w:rsidRPr="00981405">
        <w:t xml:space="preserve"> </w:t>
      </w:r>
      <w:r w:rsidRPr="00981405">
        <w:t>interested</w:t>
      </w:r>
      <w:r w:rsidR="00190923" w:rsidRPr="00981405">
        <w:t xml:space="preserve"> </w:t>
      </w:r>
      <w:r w:rsidRPr="00981405">
        <w:t>in</w:t>
      </w:r>
      <w:r w:rsidR="00190923" w:rsidRPr="00981405">
        <w:t xml:space="preserve"> </w:t>
      </w:r>
      <w:r w:rsidRPr="00981405">
        <w:t>instruments</w:t>
      </w:r>
      <w:r w:rsidR="00190923" w:rsidRPr="00981405">
        <w:t xml:space="preserve"> </w:t>
      </w:r>
      <w:r w:rsidRPr="00981405">
        <w:t>related</w:t>
      </w:r>
      <w:r w:rsidR="00190923" w:rsidRPr="00981405">
        <w:t xml:space="preserve"> </w:t>
      </w:r>
      <w:r w:rsidRPr="00981405">
        <w:t>to</w:t>
      </w:r>
      <w:r w:rsidR="00190923" w:rsidRPr="00981405">
        <w:t xml:space="preserve"> </w:t>
      </w:r>
      <w:r w:rsidRPr="00981405">
        <w:t>preventive</w:t>
      </w:r>
      <w:r w:rsidR="00190923" w:rsidRPr="00981405">
        <w:t xml:space="preserve"> </w:t>
      </w:r>
      <w:r w:rsidRPr="00981405">
        <w:t>and</w:t>
      </w:r>
      <w:r w:rsidR="00190923" w:rsidRPr="00981405">
        <w:t xml:space="preserve"> </w:t>
      </w:r>
      <w:r w:rsidRPr="00981405">
        <w:t>remedial</w:t>
      </w:r>
      <w:r w:rsidR="00190923" w:rsidRPr="00981405">
        <w:t xml:space="preserve"> </w:t>
      </w:r>
      <w:r w:rsidRPr="00981405">
        <w:t>measures.</w:t>
      </w:r>
    </w:p>
    <w:p w:rsidR="00397032" w:rsidRPr="00981405" w:rsidRDefault="00397032" w:rsidP="00D97463">
      <w:pPr>
        <w:pStyle w:val="SingleTxt"/>
      </w:pPr>
    </w:p>
    <w:p w:rsidR="00397032" w:rsidRDefault="00397032" w:rsidP="00D97463">
      <w:pPr>
        <w:pStyle w:val="SingleTxt"/>
        <w:spacing w:after="0" w:line="120" w:lineRule="exact"/>
        <w:rPr>
          <w:sz w:val="10"/>
        </w:rPr>
      </w:pPr>
    </w:p>
    <w:p w:rsidR="00115690" w:rsidRPr="00D97463" w:rsidRDefault="00115690"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D97463" w:rsidRDefault="00761C88" w:rsidP="00D97463">
      <w:pPr>
        <w:pStyle w:val="H1"/>
        <w:ind w:right="1260"/>
      </w:pPr>
      <w:bookmarkStart w:id="16" w:name="_Toc427938080"/>
      <w:r w:rsidRPr="00D97463">
        <w:tab/>
      </w:r>
      <w:r w:rsidR="00397032" w:rsidRPr="00D97463">
        <w:t>C.</w:t>
      </w:r>
      <w:r w:rsidR="00397032" w:rsidRPr="00D97463">
        <w:tab/>
        <w:t>Immunity</w:t>
      </w:r>
      <w:r w:rsidR="00190923" w:rsidRPr="00D97463">
        <w:t xml:space="preserve"> </w:t>
      </w:r>
      <w:r w:rsidR="00397032" w:rsidRPr="00D97463">
        <w:t>of</w:t>
      </w:r>
      <w:r w:rsidR="00190923" w:rsidRPr="00D97463">
        <w:t xml:space="preserve"> </w:t>
      </w:r>
      <w:r w:rsidR="00397032" w:rsidRPr="00D97463">
        <w:t>State</w:t>
      </w:r>
      <w:r w:rsidR="00190923" w:rsidRPr="00D97463">
        <w:t xml:space="preserve"> </w:t>
      </w:r>
      <w:r w:rsidR="00397032" w:rsidRPr="00D97463">
        <w:t>officials</w:t>
      </w:r>
      <w:r w:rsidR="00190923" w:rsidRPr="00D97463">
        <w:t xml:space="preserve"> </w:t>
      </w:r>
      <w:r w:rsidR="00397032" w:rsidRPr="00D97463">
        <w:t>from</w:t>
      </w:r>
      <w:r w:rsidR="00190923" w:rsidRPr="00D97463">
        <w:t xml:space="preserve"> </w:t>
      </w:r>
      <w:r w:rsidR="00397032" w:rsidRPr="00D97463">
        <w:t>foreign</w:t>
      </w:r>
      <w:r w:rsidR="00190923" w:rsidRPr="00D97463">
        <w:t xml:space="preserve"> </w:t>
      </w:r>
      <w:r w:rsidR="00397032" w:rsidRPr="00D97463">
        <w:t>criminal</w:t>
      </w:r>
      <w:r w:rsidR="00190923" w:rsidRPr="00D97463">
        <w:t xml:space="preserve"> </w:t>
      </w:r>
      <w:r w:rsidR="00397032" w:rsidRPr="00D97463">
        <w:t>jurisdiction</w:t>
      </w:r>
      <w:bookmarkEnd w:id="16"/>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981405" w:rsidRDefault="00397032" w:rsidP="00D97463">
      <w:pPr>
        <w:pStyle w:val="SingleTxt"/>
      </w:pPr>
      <w:r w:rsidRPr="00981405">
        <w:t>29.</w:t>
      </w:r>
      <w:r w:rsidRPr="00981405">
        <w:tab/>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appreciate</w:t>
      </w:r>
      <w:r w:rsidR="00190923" w:rsidRPr="00981405">
        <w:t xml:space="preserve"> </w:t>
      </w:r>
      <w:r w:rsidRPr="00981405">
        <w:t>being</w:t>
      </w:r>
      <w:r w:rsidR="00190923" w:rsidRPr="00981405">
        <w:t xml:space="preserve"> </w:t>
      </w:r>
      <w:r w:rsidRPr="00981405">
        <w:t>provided</w:t>
      </w:r>
      <w:r w:rsidR="00190923" w:rsidRPr="00981405">
        <w:t xml:space="preserve"> </w:t>
      </w:r>
      <w:r w:rsidRPr="00981405">
        <w:t>by</w:t>
      </w:r>
      <w:r w:rsidR="00190923" w:rsidRPr="00981405">
        <w:t xml:space="preserve"> </w:t>
      </w:r>
      <w:r w:rsidRPr="00981405">
        <w:t>States</w:t>
      </w:r>
      <w:r w:rsidR="00190923" w:rsidRPr="00981405">
        <w:t xml:space="preserve"> </w:t>
      </w:r>
      <w:r w:rsidRPr="00981405">
        <w:t>with</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their</w:t>
      </w:r>
      <w:r w:rsidR="00190923" w:rsidRPr="00981405">
        <w:t xml:space="preserve"> </w:t>
      </w:r>
      <w:r w:rsidRPr="00981405">
        <w:t>legislation</w:t>
      </w:r>
      <w:r w:rsidR="00190923" w:rsidRPr="00981405">
        <w:t xml:space="preserve"> </w:t>
      </w:r>
      <w:r w:rsidRPr="00981405">
        <w:t>and</w:t>
      </w:r>
      <w:r w:rsidR="00190923" w:rsidRPr="00981405">
        <w:t xml:space="preserve"> </w:t>
      </w:r>
      <w:r w:rsidRPr="00981405">
        <w:t>practice,</w:t>
      </w:r>
      <w:r w:rsidR="00190923" w:rsidRPr="00981405">
        <w:t xml:space="preserve"> </w:t>
      </w:r>
      <w:r w:rsidRPr="00981405">
        <w:t>in</w:t>
      </w:r>
      <w:r w:rsidR="00190923" w:rsidRPr="00981405">
        <w:t xml:space="preserve"> </w:t>
      </w:r>
      <w:r w:rsidRPr="00981405">
        <w:t>particular</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related</w:t>
      </w:r>
      <w:r w:rsidR="00190923" w:rsidRPr="00981405">
        <w:t xml:space="preserve"> </w:t>
      </w:r>
      <w:r w:rsidRPr="00981405">
        <w:t>to</w:t>
      </w:r>
      <w:r w:rsidR="00190923" w:rsidRPr="00981405">
        <w:t xml:space="preserve"> </w:t>
      </w:r>
      <w:r w:rsidRPr="00981405">
        <w:t>limits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to</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D97463" w:rsidRDefault="00397032" w:rsidP="00D97463">
      <w:pPr>
        <w:pStyle w:val="H1"/>
        <w:ind w:right="1260"/>
      </w:pPr>
      <w:r w:rsidRPr="00D97463">
        <w:tab/>
      </w:r>
      <w:bookmarkStart w:id="17" w:name="_Toc427938081"/>
      <w:r w:rsidRPr="00D97463">
        <w:t>D.</w:t>
      </w:r>
      <w:r w:rsidRPr="00D97463">
        <w:tab/>
        <w:t>Provisional</w:t>
      </w:r>
      <w:r w:rsidR="00190923" w:rsidRPr="00D97463">
        <w:t xml:space="preserve"> </w:t>
      </w:r>
      <w:r w:rsidRPr="00D97463">
        <w:t>application</w:t>
      </w:r>
      <w:r w:rsidR="00190923" w:rsidRPr="00D97463">
        <w:t xml:space="preserve"> </w:t>
      </w:r>
      <w:r w:rsidRPr="00D97463">
        <w:t>of</w:t>
      </w:r>
      <w:r w:rsidR="00190923" w:rsidRPr="00D97463">
        <w:t xml:space="preserve"> </w:t>
      </w:r>
      <w:r w:rsidRPr="00D97463">
        <w:t>treaties</w:t>
      </w:r>
      <w:bookmarkEnd w:id="17"/>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981405" w:rsidRDefault="00397032" w:rsidP="00D97463">
      <w:pPr>
        <w:pStyle w:val="SingleTxt"/>
      </w:pPr>
      <w:r w:rsidRPr="00981405">
        <w:t>30.</w:t>
      </w:r>
      <w:r w:rsidRPr="00981405">
        <w:tab/>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appreciate</w:t>
      </w:r>
      <w:r w:rsidR="00190923" w:rsidRPr="00981405">
        <w:t xml:space="preserve"> </w:t>
      </w:r>
      <w:r w:rsidRPr="00981405">
        <w:t>being</w:t>
      </w:r>
      <w:r w:rsidR="00190923" w:rsidRPr="00981405">
        <w:t xml:space="preserve"> </w:t>
      </w:r>
      <w:r w:rsidRPr="00981405">
        <w:t>provided</w:t>
      </w:r>
      <w:r w:rsidR="00190923" w:rsidRPr="00981405">
        <w:t xml:space="preserve"> </w:t>
      </w:r>
      <w:r w:rsidRPr="00981405">
        <w:t>by</w:t>
      </w:r>
      <w:r w:rsidR="00190923" w:rsidRPr="00981405">
        <w:t xml:space="preserve"> </w:t>
      </w:r>
      <w:r w:rsidRPr="00981405">
        <w:t>States</w:t>
      </w:r>
      <w:r w:rsidR="00190923" w:rsidRPr="00981405">
        <w:t xml:space="preserve"> </w:t>
      </w:r>
      <w:r w:rsidRPr="00981405">
        <w:t>with</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their</w:t>
      </w:r>
      <w:r w:rsidR="00190923" w:rsidRPr="00981405">
        <w:t xml:space="preserve"> </w:t>
      </w:r>
      <w:r w:rsidRPr="00981405">
        <w:t>practice</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including</w:t>
      </w:r>
      <w:r w:rsidR="00190923" w:rsidRPr="00981405">
        <w:t xml:space="preserve"> </w:t>
      </w:r>
      <w:r w:rsidRPr="00981405">
        <w:t>domestic</w:t>
      </w:r>
      <w:r w:rsidR="00190923" w:rsidRPr="00981405">
        <w:t xml:space="preserve"> </w:t>
      </w:r>
      <w:r w:rsidRPr="00981405">
        <w:t>legislation</w:t>
      </w:r>
      <w:r w:rsidR="00190923" w:rsidRPr="00981405">
        <w:t xml:space="preserve"> </w:t>
      </w:r>
      <w:r w:rsidRPr="00981405">
        <w:t>pertaining</w:t>
      </w:r>
      <w:r w:rsidR="00190923" w:rsidRPr="00981405">
        <w:t xml:space="preserve"> </w:t>
      </w:r>
      <w:r w:rsidRPr="00981405">
        <w:t>thereto,</w:t>
      </w:r>
      <w:r w:rsidR="00190923" w:rsidRPr="00981405">
        <w:t xml:space="preserve"> </w:t>
      </w:r>
      <w:r w:rsidRPr="00981405">
        <w:t>with</w:t>
      </w:r>
      <w:r w:rsidR="00190923" w:rsidRPr="00981405">
        <w:t xml:space="preserve"> </w:t>
      </w:r>
      <w:r w:rsidRPr="00981405">
        <w:t>examples,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p>
    <w:p w:rsidR="00397032" w:rsidRPr="00981405" w:rsidRDefault="00397032" w:rsidP="00D97463">
      <w:pPr>
        <w:pStyle w:val="SingleTxt"/>
      </w:pPr>
      <w:r w:rsidRPr="00981405">
        <w:tab/>
        <w:t>(a)</w:t>
      </w:r>
      <w:r w:rsidRPr="00981405">
        <w:tab/>
        <w:t>the</w:t>
      </w:r>
      <w:r w:rsidR="00190923" w:rsidRPr="00981405">
        <w:t xml:space="preserve"> </w:t>
      </w:r>
      <w:r w:rsidRPr="00981405">
        <w:t>decision</w:t>
      </w:r>
      <w:r w:rsidR="00190923" w:rsidRPr="00981405">
        <w:t xml:space="preserve"> </w:t>
      </w:r>
      <w:r w:rsidRPr="00981405">
        <w:t>to</w:t>
      </w:r>
      <w:r w:rsidR="00190923" w:rsidRPr="00981405">
        <w:t xml:space="preserve"> </w:t>
      </w:r>
      <w:r w:rsidRPr="00981405">
        <w:t>provisionally</w:t>
      </w:r>
      <w:r w:rsidR="00190923" w:rsidRPr="00981405">
        <w:t xml:space="preserve"> </w:t>
      </w:r>
      <w:r w:rsidRPr="00981405">
        <w:t>apply</w:t>
      </w:r>
      <w:r w:rsidR="00190923" w:rsidRPr="00981405">
        <w:t xml:space="preserve"> </w:t>
      </w:r>
      <w:r w:rsidRPr="00981405">
        <w:t>a</w:t>
      </w:r>
      <w:r w:rsidR="00190923" w:rsidRPr="00981405">
        <w:t xml:space="preserve"> </w:t>
      </w:r>
      <w:r w:rsidRPr="00981405">
        <w:t>treaty;</w:t>
      </w:r>
      <w:r w:rsidR="00190923" w:rsidRPr="00981405">
        <w:t xml:space="preserve"> </w:t>
      </w:r>
    </w:p>
    <w:p w:rsidR="00397032" w:rsidRPr="00981405" w:rsidRDefault="00397032" w:rsidP="00D97463">
      <w:pPr>
        <w:pStyle w:val="SingleTxt"/>
      </w:pPr>
      <w:r w:rsidRPr="00981405">
        <w:tab/>
        <w:t>(b)</w:t>
      </w:r>
      <w:r w:rsidRPr="00981405">
        <w:tab/>
        <w:t>the</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such</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and</w:t>
      </w:r>
      <w:r w:rsidR="00190923" w:rsidRPr="00981405">
        <w:t xml:space="preserve"> </w:t>
      </w:r>
    </w:p>
    <w:p w:rsidR="00397032" w:rsidRPr="00981405" w:rsidRDefault="00397032" w:rsidP="00D97463">
      <w:pPr>
        <w:pStyle w:val="SingleTxt"/>
      </w:pPr>
      <w:r w:rsidRPr="00981405">
        <w:tab/>
        <w:t>(c)</w:t>
      </w:r>
      <w:r w:rsidRPr="00981405">
        <w:tab/>
        <w:t>the</w:t>
      </w:r>
      <w:r w:rsidR="00190923" w:rsidRPr="00981405">
        <w:t xml:space="preserve"> </w:t>
      </w:r>
      <w:r w:rsidRPr="00981405">
        <w:t>legal</w:t>
      </w:r>
      <w:r w:rsidR="00190923" w:rsidRPr="00981405">
        <w:t xml:space="preserve"> </w:t>
      </w:r>
      <w:r w:rsidRPr="00981405">
        <w:t>effects</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D97463" w:rsidRDefault="00397032" w:rsidP="00D97463">
      <w:pPr>
        <w:pStyle w:val="H1"/>
        <w:ind w:right="1260"/>
      </w:pPr>
      <w:r w:rsidRPr="00D97463">
        <w:tab/>
      </w:r>
      <w:bookmarkStart w:id="18" w:name="_Toc427938082"/>
      <w:r w:rsidRPr="00D97463">
        <w:t>E.</w:t>
      </w:r>
      <w:r w:rsidRPr="00D97463">
        <w:tab/>
      </w:r>
      <w:r w:rsidRPr="00D97463">
        <w:rPr>
          <w:i/>
          <w:iCs/>
        </w:rPr>
        <w:t>Jus</w:t>
      </w:r>
      <w:r w:rsidR="00190923" w:rsidRPr="00D97463">
        <w:rPr>
          <w:i/>
          <w:iCs/>
        </w:rPr>
        <w:t xml:space="preserve"> </w:t>
      </w:r>
      <w:r w:rsidRPr="00D97463">
        <w:rPr>
          <w:i/>
          <w:iCs/>
        </w:rPr>
        <w:t>cogens</w:t>
      </w:r>
      <w:bookmarkEnd w:id="18"/>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981405" w:rsidRDefault="00397032" w:rsidP="00D97463">
      <w:pPr>
        <w:pStyle w:val="SingleTxt"/>
      </w:pPr>
      <w:r w:rsidRPr="00981405">
        <w:t>31.</w:t>
      </w:r>
      <w:r w:rsidR="00190923" w:rsidRPr="00981405">
        <w:t xml:space="preserve"> </w:t>
      </w:r>
      <w:r w:rsidRPr="00981405">
        <w:tab/>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appreciate</w:t>
      </w:r>
      <w:r w:rsidR="00190923" w:rsidRPr="00981405">
        <w:t xml:space="preserve"> </w:t>
      </w:r>
      <w:r w:rsidRPr="00981405">
        <w:t>being</w:t>
      </w:r>
      <w:r w:rsidR="00190923" w:rsidRPr="00981405">
        <w:t xml:space="preserve"> </w:t>
      </w:r>
      <w:r w:rsidRPr="00981405">
        <w:t>provided</w:t>
      </w:r>
      <w:r w:rsidR="00190923" w:rsidRPr="00981405">
        <w:t xml:space="preserve"> </w:t>
      </w:r>
      <w:r w:rsidRPr="00981405">
        <w:t>by</w:t>
      </w:r>
      <w:r w:rsidR="00190923" w:rsidRPr="00981405">
        <w:t xml:space="preserve"> </w:t>
      </w:r>
      <w:r w:rsidRPr="00981405">
        <w:t>States</w:t>
      </w:r>
      <w:r w:rsidR="00190923" w:rsidRPr="00981405">
        <w:t xml:space="preserve"> </w:t>
      </w:r>
      <w:r w:rsidRPr="00981405">
        <w:t>with</w:t>
      </w:r>
      <w:r w:rsidR="00190923" w:rsidRPr="00981405">
        <w:t xml:space="preserve"> </w:t>
      </w:r>
      <w:r w:rsidRPr="00981405">
        <w:t>information,</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their</w:t>
      </w:r>
      <w:r w:rsidR="00190923" w:rsidRPr="00981405">
        <w:t xml:space="preserve"> </w:t>
      </w:r>
      <w:r w:rsidRPr="00981405">
        <w:t>practice</w:t>
      </w:r>
      <w:r w:rsidR="00190923" w:rsidRPr="00981405">
        <w:t xml:space="preserve"> </w:t>
      </w:r>
      <w:r w:rsidRPr="00981405">
        <w:t>on</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rPr>
          <w:i/>
          <w:iCs/>
        </w:rPr>
        <w:t>jus</w:t>
      </w:r>
      <w:r w:rsidR="00190923" w:rsidRPr="00981405">
        <w:rPr>
          <w:i/>
          <w:iCs/>
        </w:rPr>
        <w:t xml:space="preserve"> </w:t>
      </w:r>
      <w:r w:rsidRPr="00981405">
        <w:rPr>
          <w:i/>
          <w:iCs/>
        </w:rPr>
        <w:t>cogens</w:t>
      </w:r>
      <w:r w:rsidRPr="00981405">
        <w:t>,</w:t>
      </w:r>
      <w:r w:rsidR="00190923" w:rsidRPr="00981405">
        <w:t xml:space="preserve"> </w:t>
      </w:r>
      <w:r w:rsidRPr="00981405">
        <w:t>the</w:t>
      </w:r>
      <w:r w:rsidR="00190923" w:rsidRPr="00981405">
        <w:t xml:space="preserve"> </w:t>
      </w:r>
      <w:r w:rsidRPr="00981405">
        <w:t>criteria</w:t>
      </w:r>
      <w:r w:rsidR="00190923" w:rsidRPr="00981405">
        <w:t xml:space="preserve"> </w:t>
      </w:r>
      <w:r w:rsidRPr="00981405">
        <w:t>for</w:t>
      </w:r>
      <w:r w:rsidR="00190923" w:rsidRPr="00981405">
        <w:t xml:space="preserve"> </w:t>
      </w:r>
      <w:r w:rsidRPr="00981405">
        <w:t>its</w:t>
      </w:r>
      <w:r w:rsidR="00190923" w:rsidRPr="00981405">
        <w:t xml:space="preserve"> </w:t>
      </w:r>
      <w:r w:rsidRPr="00981405">
        <w:t>formation</w:t>
      </w:r>
      <w:r w:rsidR="00190923" w:rsidRPr="00981405">
        <w:t xml:space="preserve"> </w:t>
      </w:r>
      <w:r w:rsidRPr="00981405">
        <w:t>and</w:t>
      </w:r>
      <w:r w:rsidR="00190923" w:rsidRPr="00981405">
        <w:t xml:space="preserve"> </w:t>
      </w:r>
      <w:r w:rsidRPr="00981405">
        <w:t>the</w:t>
      </w:r>
      <w:r w:rsidR="00190923" w:rsidRPr="00981405">
        <w:t xml:space="preserve"> </w:t>
      </w:r>
      <w:r w:rsidRPr="00981405">
        <w:t>consequences</w:t>
      </w:r>
      <w:r w:rsidR="00190923" w:rsidRPr="00981405">
        <w:t xml:space="preserve"> </w:t>
      </w:r>
      <w:r w:rsidRPr="00981405">
        <w:t>flowing</w:t>
      </w:r>
      <w:r w:rsidR="00190923" w:rsidRPr="00981405">
        <w:t xml:space="preserve"> </w:t>
      </w:r>
      <w:r w:rsidRPr="00981405">
        <w:t>therefrom</w:t>
      </w:r>
      <w:r w:rsidR="00190923" w:rsidRPr="00981405">
        <w:t xml:space="preserve"> </w:t>
      </w:r>
      <w:r w:rsidRPr="00981405">
        <w:t>as</w:t>
      </w:r>
      <w:r w:rsidR="00190923" w:rsidRPr="00981405">
        <w:t xml:space="preserve"> </w:t>
      </w:r>
      <w:r w:rsidRPr="00981405">
        <w:t>expressed</w:t>
      </w:r>
      <w:r w:rsidR="00190923" w:rsidRPr="00981405">
        <w:t xml:space="preserve"> </w:t>
      </w:r>
      <w:r w:rsidRPr="00981405">
        <w:t>in:</w:t>
      </w:r>
    </w:p>
    <w:p w:rsidR="00397032" w:rsidRPr="00981405" w:rsidRDefault="00397032" w:rsidP="00D97463">
      <w:pPr>
        <w:pStyle w:val="SingleTxt"/>
      </w:pPr>
      <w:r w:rsidRPr="00981405">
        <w:tab/>
        <w:t>(a)</w:t>
      </w:r>
      <w:r w:rsidRPr="00981405">
        <w:tab/>
        <w:t>official</w:t>
      </w:r>
      <w:r w:rsidR="00190923" w:rsidRPr="00981405">
        <w:t xml:space="preserve"> </w:t>
      </w:r>
      <w:r w:rsidRPr="00981405">
        <w:t>statements,</w:t>
      </w:r>
      <w:r w:rsidR="00190923" w:rsidRPr="00981405">
        <w:t xml:space="preserve"> </w:t>
      </w:r>
      <w:r w:rsidRPr="00981405">
        <w:t>including</w:t>
      </w:r>
      <w:r w:rsidR="00190923" w:rsidRPr="00981405">
        <w:t xml:space="preserve"> </w:t>
      </w:r>
      <w:r w:rsidRPr="00981405">
        <w:t>official</w:t>
      </w:r>
      <w:r w:rsidR="00190923" w:rsidRPr="00981405">
        <w:t xml:space="preserve"> </w:t>
      </w:r>
      <w:r w:rsidRPr="00981405">
        <w:t>statements</w:t>
      </w:r>
      <w:r w:rsidR="00190923" w:rsidRPr="00981405">
        <w:t xml:space="preserve"> </w:t>
      </w:r>
      <w:r w:rsidRPr="00981405">
        <w:t>before</w:t>
      </w:r>
      <w:r w:rsidR="00190923" w:rsidRPr="00981405">
        <w:t xml:space="preserve"> </w:t>
      </w:r>
      <w:r w:rsidRPr="00981405">
        <w:t>legislatures,</w:t>
      </w:r>
      <w:r w:rsidR="00190923" w:rsidRPr="00981405">
        <w:t xml:space="preserve"> </w:t>
      </w:r>
      <w:r w:rsidRPr="00981405">
        <w:t>courts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p>
    <w:p w:rsidR="00397032" w:rsidRPr="00981405" w:rsidRDefault="00397032" w:rsidP="00D97463">
      <w:pPr>
        <w:pStyle w:val="SingleTxt"/>
      </w:pPr>
      <w:r w:rsidRPr="00981405">
        <w:tab/>
        <w:t>(b)</w:t>
      </w:r>
      <w:r w:rsidRPr="00981405">
        <w:tab/>
        <w:t>decisions</w:t>
      </w:r>
      <w:r w:rsidR="00190923" w:rsidRPr="00981405">
        <w:t xml:space="preserve"> </w:t>
      </w:r>
      <w:r w:rsidRPr="00981405">
        <w:t>of</w:t>
      </w:r>
      <w:r w:rsidR="00190923" w:rsidRPr="00981405">
        <w:t xml:space="preserve"> </w:t>
      </w:r>
      <w:r w:rsidRPr="00981405">
        <w:t>national</w:t>
      </w:r>
      <w:r w:rsidR="00190923" w:rsidRPr="00981405">
        <w:t xml:space="preserve"> </w:t>
      </w:r>
      <w:r w:rsidRPr="00981405">
        <w:t>and</w:t>
      </w:r>
      <w:r w:rsidR="00190923" w:rsidRPr="00981405">
        <w:t xml:space="preserve"> </w:t>
      </w:r>
      <w:r w:rsidRPr="00981405">
        <w:t>regional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including</w:t>
      </w:r>
      <w:r w:rsidR="00190923" w:rsidRPr="00981405">
        <w:t xml:space="preserve"> </w:t>
      </w:r>
      <w:r w:rsidRPr="00981405">
        <w:t>quasi-judicial</w:t>
      </w:r>
      <w:r w:rsidR="00190923" w:rsidRPr="00981405">
        <w:t xml:space="preserve"> </w:t>
      </w:r>
      <w:r w:rsidRPr="00981405">
        <w:t>bodies.</w:t>
      </w:r>
    </w:p>
    <w:p w:rsidR="00397032" w:rsidRPr="00981405" w:rsidRDefault="00397032" w:rsidP="00D97463">
      <w:pPr>
        <w:pStyle w:val="SingleTxt"/>
      </w:pPr>
      <w:r w:rsidRPr="00981405">
        <w:br w:type="page"/>
      </w:r>
    </w:p>
    <w:p w:rsidR="00761C88" w:rsidRPr="00D97463" w:rsidRDefault="00761C88"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9" w:name="_Toc427938083"/>
      <w:r w:rsidRPr="00D97463">
        <w:t>Chapter</w:t>
      </w:r>
      <w:r w:rsidR="00190923" w:rsidRPr="00D97463">
        <w:t xml:space="preserve"> </w:t>
      </w:r>
      <w:r w:rsidRPr="00D97463">
        <w:t>IV</w:t>
      </w:r>
      <w:bookmarkStart w:id="20" w:name="_Toc427938084"/>
      <w:bookmarkEnd w:id="19"/>
      <w:r w:rsidR="00761C88" w:rsidRPr="00D97463">
        <w:br/>
      </w:r>
      <w:r w:rsidRPr="00D97463">
        <w:t>The</w:t>
      </w:r>
      <w:r w:rsidR="00190923" w:rsidRPr="00D97463">
        <w:t xml:space="preserve"> </w:t>
      </w:r>
      <w:r w:rsidRPr="00D97463">
        <w:t>Most-Favoured-Nation</w:t>
      </w:r>
      <w:r w:rsidR="00190923" w:rsidRPr="00D97463">
        <w:t xml:space="preserve"> </w:t>
      </w:r>
      <w:r w:rsidRPr="00D97463">
        <w:t>clause</w:t>
      </w:r>
      <w:bookmarkEnd w:id="20"/>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D97463" w:rsidRDefault="00397032" w:rsidP="00D97463">
      <w:pPr>
        <w:pStyle w:val="H1"/>
        <w:ind w:right="1260"/>
      </w:pPr>
      <w:r w:rsidRPr="00D97463">
        <w:tab/>
      </w:r>
      <w:bookmarkStart w:id="21" w:name="_Toc398107349"/>
      <w:bookmarkStart w:id="22" w:name="_Toc427938085"/>
      <w:r w:rsidRPr="00D97463">
        <w:t>A.</w:t>
      </w:r>
      <w:r w:rsidRPr="00D97463">
        <w:tab/>
        <w:t>Introduction</w:t>
      </w:r>
      <w:bookmarkEnd w:id="21"/>
      <w:bookmarkEnd w:id="22"/>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981405" w:rsidRDefault="00397032" w:rsidP="00D97463">
      <w:pPr>
        <w:pStyle w:val="SingleTxt"/>
      </w:pPr>
      <w:r w:rsidRPr="00981405">
        <w:t>32.</w:t>
      </w:r>
      <w:r w:rsidRPr="00981405">
        <w:tab/>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sixtieth</w:t>
      </w:r>
      <w:r w:rsidR="00190923" w:rsidRPr="00981405">
        <w:t xml:space="preserve"> </w:t>
      </w:r>
      <w:r w:rsidRPr="00981405">
        <w:t>session</w:t>
      </w:r>
      <w:r w:rsidR="00190923" w:rsidRPr="00981405">
        <w:t xml:space="preserve"> </w:t>
      </w:r>
      <w:r w:rsidRPr="00981405">
        <w:t>(2008),</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The</w:t>
      </w:r>
      <w:r w:rsidR="00190923" w:rsidRPr="00981405">
        <w:t xml:space="preserve"> </w:t>
      </w:r>
      <w:r w:rsidRPr="00981405">
        <w:t>Most-Favoured-Nation</w:t>
      </w:r>
      <w:r w:rsidR="00190923" w:rsidRPr="00981405">
        <w:t xml:space="preserve"> </w:t>
      </w:r>
      <w:r w:rsidRPr="00981405">
        <w:t>clause</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to</w:t>
      </w:r>
      <w:r w:rsidR="00190923" w:rsidRPr="00981405">
        <w:t xml:space="preserve"> </w:t>
      </w:r>
      <w:r w:rsidRPr="00981405">
        <w:t>establish,</w:t>
      </w:r>
      <w:r w:rsidR="00190923" w:rsidRPr="00981405">
        <w:t xml:space="preserve"> </w:t>
      </w:r>
      <w:r w:rsidRPr="00981405">
        <w:t>at</w:t>
      </w:r>
      <w:r w:rsidR="00190923" w:rsidRPr="00981405">
        <w:t xml:space="preserve"> </w:t>
      </w:r>
      <w:r w:rsidRPr="00981405">
        <w:t>its</w:t>
      </w:r>
      <w:r w:rsidR="00190923" w:rsidRPr="00981405">
        <w:t xml:space="preserve"> </w:t>
      </w:r>
      <w:r w:rsidRPr="00981405">
        <w:t>sixty-first</w:t>
      </w:r>
      <w:r w:rsidR="00190923" w:rsidRPr="00981405">
        <w:t xml:space="preserve"> </w:t>
      </w:r>
      <w:r w:rsidRPr="00981405">
        <w:t>session,</w:t>
      </w:r>
      <w:r w:rsidR="00190923" w:rsidRPr="00981405">
        <w:t xml:space="preserve"> </w:t>
      </w:r>
      <w:r w:rsidRPr="00981405">
        <w:t>a</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Pr="00981405">
        <w:rPr>
          <w:rStyle w:val="FootnoteReference"/>
        </w:rPr>
        <w:footnoteReference w:id="7"/>
      </w:r>
    </w:p>
    <w:p w:rsidR="00397032" w:rsidRPr="00981405" w:rsidRDefault="00397032" w:rsidP="00D97463">
      <w:pPr>
        <w:pStyle w:val="SingleTxt"/>
      </w:pPr>
      <w:r w:rsidRPr="00981405">
        <w:t>33.</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co-chaired</w:t>
      </w:r>
      <w:r w:rsidR="00190923" w:rsidRPr="00981405">
        <w:t xml:space="preserve"> </w:t>
      </w:r>
      <w:r w:rsidRPr="00981405">
        <w:t>by</w:t>
      </w:r>
      <w:r w:rsidR="00190923" w:rsidRPr="00981405">
        <w:t xml:space="preserve"> </w:t>
      </w:r>
      <w:r w:rsidRPr="00981405">
        <w:t>Mr.</w:t>
      </w:r>
      <w:r w:rsidR="00190923" w:rsidRPr="00981405">
        <w:t xml:space="preserve"> </w:t>
      </w:r>
      <w:r w:rsidRPr="00981405">
        <w:t>Donald</w:t>
      </w:r>
      <w:r w:rsidR="00190923" w:rsidRPr="00981405">
        <w:t xml:space="preserve"> </w:t>
      </w:r>
      <w:r w:rsidRPr="00981405">
        <w:t>M.</w:t>
      </w:r>
      <w:r w:rsidR="00190923" w:rsidRPr="00981405">
        <w:t xml:space="preserve"> </w:t>
      </w:r>
      <w:r w:rsidRPr="00981405">
        <w:t>McRae</w:t>
      </w:r>
      <w:r w:rsidR="00190923" w:rsidRPr="00981405">
        <w:t xml:space="preserve"> </w:t>
      </w:r>
      <w:r w:rsidRPr="00981405">
        <w:t>and</w:t>
      </w:r>
      <w:r w:rsidR="00190923" w:rsidRPr="00981405">
        <w:t xml:space="preserve"> </w:t>
      </w:r>
      <w:r w:rsidRPr="00981405">
        <w:t>Mr.</w:t>
      </w:r>
      <w:r w:rsidR="00190923" w:rsidRPr="00981405">
        <w:t xml:space="preserve"> </w:t>
      </w:r>
      <w:r w:rsidRPr="00981405">
        <w:t>A.</w:t>
      </w:r>
      <w:r w:rsidR="00190923" w:rsidRPr="00981405">
        <w:t xml:space="preserve"> </w:t>
      </w:r>
      <w:r w:rsidRPr="00981405">
        <w:t>Rohan</w:t>
      </w:r>
      <w:r w:rsidR="00190923" w:rsidRPr="00981405">
        <w:t xml:space="preserve"> </w:t>
      </w:r>
      <w:r w:rsidRPr="00981405">
        <w:t>Perera,</w:t>
      </w:r>
      <w:r w:rsidR="00190923" w:rsidRPr="00981405">
        <w:t xml:space="preserve"> </w:t>
      </w:r>
      <w:r w:rsidRPr="00981405">
        <w:t>was</w:t>
      </w:r>
      <w:r w:rsidR="00190923" w:rsidRPr="00981405">
        <w:t xml:space="preserve"> </w:t>
      </w:r>
      <w:r w:rsidRPr="00981405">
        <w:t>established</w:t>
      </w:r>
      <w:r w:rsidR="00190923" w:rsidRPr="00981405">
        <w:t xml:space="preserve"> </w:t>
      </w:r>
      <w:r w:rsidRPr="00981405">
        <w:t>at</w:t>
      </w:r>
      <w:r w:rsidR="00190923" w:rsidRPr="00981405">
        <w:t xml:space="preserve"> </w:t>
      </w:r>
      <w:r w:rsidRPr="00981405">
        <w:t>the</w:t>
      </w:r>
      <w:r w:rsidR="00190923" w:rsidRPr="00981405">
        <w:t xml:space="preserve"> </w:t>
      </w:r>
      <w:r w:rsidRPr="00981405">
        <w:t>sixty-first</w:t>
      </w:r>
      <w:r w:rsidR="00190923" w:rsidRPr="00981405">
        <w:t xml:space="preserve"> </w:t>
      </w:r>
      <w:r w:rsidRPr="00981405">
        <w:t>session</w:t>
      </w:r>
      <w:r w:rsidR="00190923" w:rsidRPr="00981405">
        <w:t xml:space="preserve"> </w:t>
      </w:r>
      <w:r w:rsidRPr="00981405">
        <w:t>(2009),</w:t>
      </w:r>
      <w:r w:rsidRPr="00981405">
        <w:rPr>
          <w:rStyle w:val="FootnoteReference"/>
        </w:rPr>
        <w:footnoteReference w:id="8"/>
      </w:r>
      <w:r w:rsidR="00190923" w:rsidRPr="00981405">
        <w:t xml:space="preserve"> </w:t>
      </w:r>
      <w:r w:rsidRPr="00981405">
        <w:t>and</w:t>
      </w:r>
      <w:r w:rsidR="00190923" w:rsidRPr="00981405">
        <w:t xml:space="preserve"> </w:t>
      </w:r>
      <w:r w:rsidRPr="00981405">
        <w:t>was</w:t>
      </w:r>
      <w:r w:rsidR="00190923" w:rsidRPr="00981405">
        <w:t xml:space="preserve"> </w:t>
      </w:r>
      <w:r w:rsidRPr="00981405">
        <w:t>reconstituted</w:t>
      </w:r>
      <w:r w:rsidR="00190923" w:rsidRPr="00981405">
        <w:t xml:space="preserve"> </w:t>
      </w:r>
      <w:r w:rsidRPr="00981405">
        <w:t>at</w:t>
      </w:r>
      <w:r w:rsidR="00190923" w:rsidRPr="00981405">
        <w:t xml:space="preserve"> </w:t>
      </w:r>
      <w:r w:rsidRPr="00981405">
        <w:t>the</w:t>
      </w:r>
      <w:r w:rsidR="00190923" w:rsidRPr="00981405">
        <w:t xml:space="preserve"> </w:t>
      </w:r>
      <w:r w:rsidRPr="00981405">
        <w:t>sixty-second</w:t>
      </w:r>
      <w:r w:rsidR="00190923" w:rsidRPr="00981405">
        <w:t xml:space="preserve"> </w:t>
      </w:r>
      <w:r w:rsidRPr="00981405">
        <w:t>(2010)</w:t>
      </w:r>
      <w:r w:rsidR="00190923" w:rsidRPr="00981405">
        <w:t xml:space="preserve"> </w:t>
      </w:r>
      <w:r w:rsidRPr="00981405">
        <w:t>and</w:t>
      </w:r>
      <w:r w:rsidR="00190923" w:rsidRPr="00981405">
        <w:t xml:space="preserve"> </w:t>
      </w:r>
      <w:r w:rsidRPr="00981405">
        <w:t>sixty-third</w:t>
      </w:r>
      <w:r w:rsidR="00190923" w:rsidRPr="00981405">
        <w:t xml:space="preserve"> </w:t>
      </w:r>
      <w:r w:rsidRPr="00981405">
        <w:t>(2011)</w:t>
      </w:r>
      <w:r w:rsidR="00190923" w:rsidRPr="00981405">
        <w:t xml:space="preserve"> </w:t>
      </w:r>
      <w:r w:rsidRPr="00981405">
        <w:t>sessions,</w:t>
      </w:r>
      <w:r w:rsidR="00190923" w:rsidRPr="00981405">
        <w:t xml:space="preserve"> </w:t>
      </w:r>
      <w:r w:rsidRPr="00981405">
        <w:t>under</w:t>
      </w:r>
      <w:r w:rsidR="00190923" w:rsidRPr="00981405">
        <w:t xml:space="preserve"> </w:t>
      </w:r>
      <w:r w:rsidRPr="00981405">
        <w:t>the</w:t>
      </w:r>
      <w:r w:rsidR="00190923" w:rsidRPr="00981405">
        <w:t xml:space="preserve"> </w:t>
      </w:r>
      <w:r w:rsidRPr="00981405">
        <w:t>same</w:t>
      </w:r>
      <w:r w:rsidR="00190923" w:rsidRPr="00981405">
        <w:t xml:space="preserve"> </w:t>
      </w:r>
      <w:r w:rsidRPr="00981405">
        <w:t>co-chairmanship.</w:t>
      </w:r>
      <w:r w:rsidRPr="00981405">
        <w:rPr>
          <w:rStyle w:val="FootnoteReference"/>
        </w:rPr>
        <w:footnoteReference w:id="9"/>
      </w:r>
      <w:r w:rsidR="00190923" w:rsidRPr="00981405">
        <w:t xml:space="preserve"> </w:t>
      </w:r>
      <w:r w:rsidRPr="00981405">
        <w:t>At</w:t>
      </w:r>
      <w:r w:rsidR="00190923" w:rsidRPr="00981405">
        <w:t xml:space="preserve"> </w:t>
      </w:r>
      <w:r w:rsidRPr="00981405">
        <w:t>the</w:t>
      </w:r>
      <w:r w:rsidR="00190923" w:rsidRPr="00981405">
        <w:t xml:space="preserve"> </w:t>
      </w:r>
      <w:r w:rsidRPr="00981405">
        <w:t>sixty-fourth</w:t>
      </w:r>
      <w:r w:rsidR="00190923" w:rsidRPr="00981405">
        <w:t xml:space="preserve"> </w:t>
      </w:r>
      <w:r w:rsidRPr="00981405">
        <w:t>(2012),</w:t>
      </w:r>
      <w:r w:rsidR="00190923" w:rsidRPr="00981405">
        <w:t xml:space="preserve"> </w:t>
      </w:r>
      <w:r w:rsidRPr="00981405">
        <w:t>sixty-fifth</w:t>
      </w:r>
      <w:r w:rsidR="00190923" w:rsidRPr="00981405">
        <w:t xml:space="preserve"> </w:t>
      </w:r>
      <w:r w:rsidRPr="00981405">
        <w:t>(2013)</w:t>
      </w:r>
      <w:r w:rsidR="00190923" w:rsidRPr="00981405">
        <w:t xml:space="preserve"> </w:t>
      </w:r>
      <w:r w:rsidRPr="00981405">
        <w:t>and</w:t>
      </w:r>
      <w:r w:rsidR="00190923" w:rsidRPr="00981405">
        <w:t xml:space="preserve"> </w:t>
      </w:r>
      <w:r w:rsidRPr="00981405">
        <w:t>sixty-sixth</w:t>
      </w:r>
      <w:r w:rsidR="00190923" w:rsidRPr="00981405">
        <w:t xml:space="preserve"> </w:t>
      </w:r>
      <w:r w:rsidRPr="00981405">
        <w:t>sessions,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reconstituted</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under</w:t>
      </w:r>
      <w:r w:rsidR="00190923" w:rsidRPr="00981405">
        <w:t xml:space="preserve"> </w:t>
      </w:r>
      <w:r w:rsidRPr="00981405">
        <w:t>the</w:t>
      </w:r>
      <w:r w:rsidR="00190923" w:rsidRPr="00981405">
        <w:t xml:space="preserve"> </w:t>
      </w:r>
      <w:r w:rsidRPr="00981405">
        <w:t>chairmanship</w:t>
      </w:r>
      <w:r w:rsidR="00190923" w:rsidRPr="00981405">
        <w:t xml:space="preserve"> </w:t>
      </w:r>
      <w:r w:rsidRPr="00981405">
        <w:t>of</w:t>
      </w:r>
      <w:r w:rsidR="00190923" w:rsidRPr="00981405">
        <w:t xml:space="preserve"> </w:t>
      </w:r>
      <w:r w:rsidRPr="00981405">
        <w:t>Mr.</w:t>
      </w:r>
      <w:r w:rsidR="00190923" w:rsidRPr="00981405">
        <w:t xml:space="preserve"> </w:t>
      </w:r>
      <w:r w:rsidRPr="00981405">
        <w:t>Donald</w:t>
      </w:r>
      <w:r w:rsidR="00190923" w:rsidRPr="00981405">
        <w:t xml:space="preserve"> </w:t>
      </w:r>
      <w:r w:rsidRPr="00981405">
        <w:t>M.</w:t>
      </w:r>
      <w:r w:rsidR="00190923" w:rsidRPr="00981405">
        <w:t xml:space="preserve"> </w:t>
      </w:r>
      <w:r w:rsidRPr="00981405">
        <w:t>McRae.</w:t>
      </w:r>
      <w:r w:rsidRPr="00981405">
        <w:rPr>
          <w:rStyle w:val="FootnoteReference"/>
        </w:rPr>
        <w:footnoteReference w:id="10"/>
      </w:r>
      <w:r w:rsidR="00190923" w:rsidRPr="00981405">
        <w:t xml:space="preserve"> </w:t>
      </w:r>
      <w:r w:rsidRPr="00981405">
        <w:t>In</w:t>
      </w:r>
      <w:r w:rsidR="00190923" w:rsidRPr="00981405">
        <w:t xml:space="preserve"> </w:t>
      </w:r>
      <w:r w:rsidRPr="00981405">
        <w:t>the</w:t>
      </w:r>
      <w:r w:rsidR="00190923" w:rsidRPr="00981405">
        <w:t xml:space="preserve"> </w:t>
      </w:r>
      <w:r w:rsidRPr="00981405">
        <w:t>absence</w:t>
      </w:r>
      <w:r w:rsidR="00190923" w:rsidRPr="00981405">
        <w:t xml:space="preserve"> </w:t>
      </w:r>
      <w:r w:rsidRPr="00981405">
        <w:t>of</w:t>
      </w:r>
      <w:r w:rsidR="00190923" w:rsidRPr="00981405">
        <w:t xml:space="preserve"> </w:t>
      </w:r>
      <w:r w:rsidRPr="00981405">
        <w:t>Mr.</w:t>
      </w:r>
      <w:r w:rsidR="00190923" w:rsidRPr="00981405">
        <w:t xml:space="preserve"> </w:t>
      </w:r>
      <w:r w:rsidRPr="00981405">
        <w:t>McRae</w:t>
      </w:r>
      <w:r w:rsidR="00190923" w:rsidRPr="00981405">
        <w:t xml:space="preserve"> </w:t>
      </w:r>
      <w:r w:rsidRPr="00981405">
        <w:t>during</w:t>
      </w:r>
      <w:r w:rsidR="00190923" w:rsidRPr="00981405">
        <w:t xml:space="preserve"> </w:t>
      </w:r>
      <w:r w:rsidRPr="00981405">
        <w:t>the</w:t>
      </w:r>
      <w:r w:rsidR="00190923" w:rsidRPr="00981405">
        <w:t xml:space="preserve"> </w:t>
      </w:r>
      <w:r w:rsidRPr="00981405">
        <w:t>2013</w:t>
      </w:r>
      <w:r w:rsidR="00190923" w:rsidRPr="00981405">
        <w:t xml:space="preserve"> </w:t>
      </w:r>
      <w:r w:rsidRPr="00981405">
        <w:t>and</w:t>
      </w:r>
      <w:r w:rsidR="00190923" w:rsidRPr="00981405">
        <w:t xml:space="preserve"> </w:t>
      </w:r>
      <w:r w:rsidRPr="00981405">
        <w:t>2014</w:t>
      </w:r>
      <w:r w:rsidR="00190923" w:rsidRPr="00981405">
        <w:t xml:space="preserve"> </w:t>
      </w:r>
      <w:r w:rsidRPr="00981405">
        <w:t>sessions,</w:t>
      </w:r>
      <w:r w:rsidR="00190923" w:rsidRPr="00981405">
        <w:t xml:space="preserve"> </w:t>
      </w:r>
      <w:r w:rsidRPr="00981405">
        <w:t>Mr.</w:t>
      </w:r>
      <w:r w:rsidR="00190923" w:rsidRPr="00981405">
        <w:t xml:space="preserve"> </w:t>
      </w:r>
      <w:r w:rsidRPr="00981405">
        <w:t>Mathias</w:t>
      </w:r>
      <w:r w:rsidR="00190923" w:rsidRPr="00981405">
        <w:t xml:space="preserve"> </w:t>
      </w:r>
      <w:r w:rsidRPr="00981405">
        <w:t>Forteau</w:t>
      </w:r>
      <w:r w:rsidR="00190923" w:rsidRPr="00981405">
        <w:t xml:space="preserve"> </w:t>
      </w:r>
      <w:r w:rsidRPr="00981405">
        <w:t>served</w:t>
      </w:r>
      <w:r w:rsidR="00190923" w:rsidRPr="00981405">
        <w:t xml:space="preserve"> </w:t>
      </w:r>
      <w:r w:rsidRPr="00981405">
        <w:t>as</w:t>
      </w:r>
      <w:r w:rsidR="00190923" w:rsidRPr="00981405">
        <w:t xml:space="preserve"> </w:t>
      </w:r>
      <w:r w:rsidRPr="00981405">
        <w:t>chairman.</w:t>
      </w:r>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D97463" w:rsidRDefault="00397032" w:rsidP="00D97463">
      <w:pPr>
        <w:pStyle w:val="H1"/>
        <w:ind w:right="1260"/>
      </w:pPr>
      <w:r w:rsidRPr="00D97463">
        <w:tab/>
      </w:r>
      <w:bookmarkStart w:id="23" w:name="_Toc398107350"/>
      <w:bookmarkStart w:id="24" w:name="_Toc427938086"/>
      <w:r w:rsidRPr="00D97463">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bookmarkEnd w:id="23"/>
      <w:bookmarkEnd w:id="24"/>
    </w:p>
    <w:p w:rsidR="00397032" w:rsidRPr="00D97463" w:rsidRDefault="00397032" w:rsidP="00D97463">
      <w:pPr>
        <w:pStyle w:val="SingleTxt"/>
        <w:spacing w:after="0" w:line="120" w:lineRule="exact"/>
        <w:rPr>
          <w:sz w:val="10"/>
        </w:rPr>
      </w:pPr>
    </w:p>
    <w:p w:rsidR="00761C88" w:rsidRPr="00D97463" w:rsidRDefault="00761C88" w:rsidP="00D97463">
      <w:pPr>
        <w:pStyle w:val="SingleTxt"/>
        <w:spacing w:after="0" w:line="120" w:lineRule="exact"/>
        <w:rPr>
          <w:sz w:val="10"/>
        </w:rPr>
      </w:pPr>
    </w:p>
    <w:p w:rsidR="00397032" w:rsidRPr="00981405" w:rsidRDefault="00397032" w:rsidP="00D97463">
      <w:pPr>
        <w:pStyle w:val="SingleTxt"/>
      </w:pPr>
      <w:r w:rsidRPr="00981405">
        <w:t>34.</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3249th</w:t>
      </w:r>
      <w:r w:rsidR="00190923" w:rsidRPr="00981405">
        <w:t xml:space="preserve"> </w:t>
      </w:r>
      <w:r w:rsidRPr="00981405">
        <w:t>meeting</w:t>
      </w:r>
      <w:r w:rsidR="00190923" w:rsidRPr="00981405">
        <w:t xml:space="preserve"> </w:t>
      </w:r>
      <w:r w:rsidRPr="00981405">
        <w:t>on</w:t>
      </w:r>
      <w:r w:rsidR="00190923" w:rsidRPr="00981405">
        <w:t xml:space="preserve"> </w:t>
      </w:r>
      <w:r w:rsidRPr="00981405">
        <w:t>12</w:t>
      </w:r>
      <w:r w:rsidR="00190923" w:rsidRPr="00981405">
        <w:t xml:space="preserve"> </w:t>
      </w:r>
      <w:r w:rsidRPr="00981405">
        <w:t>May</w:t>
      </w:r>
      <w:r w:rsidR="00190923" w:rsidRPr="00981405">
        <w:t xml:space="preserve"> </w:t>
      </w:r>
      <w:r w:rsidRPr="00981405">
        <w:t>2015,</w:t>
      </w:r>
      <w:r w:rsidR="00190923" w:rsidRPr="00981405">
        <w:t xml:space="preserve"> </w:t>
      </w:r>
      <w:r w:rsidRPr="00981405">
        <w:t>reconstituted</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clause,</w:t>
      </w:r>
      <w:r w:rsidR="00190923" w:rsidRPr="00981405">
        <w:t xml:space="preserve"> </w:t>
      </w:r>
      <w:r w:rsidRPr="00981405">
        <w:t>under</w:t>
      </w:r>
      <w:r w:rsidR="00190923" w:rsidRPr="00981405">
        <w:t xml:space="preserve"> </w:t>
      </w:r>
      <w:r w:rsidRPr="00981405">
        <w:t>the</w:t>
      </w:r>
      <w:r w:rsidR="00190923" w:rsidRPr="00981405">
        <w:t xml:space="preserve"> </w:t>
      </w:r>
      <w:r w:rsidRPr="00981405">
        <w:t>chairmanship</w:t>
      </w:r>
      <w:r w:rsidR="00190923" w:rsidRPr="00981405">
        <w:t xml:space="preserve"> </w:t>
      </w:r>
      <w:r w:rsidRPr="00981405">
        <w:t>of</w:t>
      </w:r>
      <w:r w:rsidR="00190923" w:rsidRPr="00981405">
        <w:t xml:space="preserve"> </w:t>
      </w:r>
      <w:r w:rsidRPr="00981405">
        <w:t>Mr.</w:t>
      </w:r>
      <w:r w:rsidR="00190923" w:rsidRPr="00981405">
        <w:t xml:space="preserve"> </w:t>
      </w:r>
      <w:r w:rsidRPr="00981405">
        <w:t>Donald</w:t>
      </w:r>
      <w:r w:rsidR="00190923" w:rsidRPr="00981405">
        <w:t xml:space="preserve"> </w:t>
      </w:r>
      <w:r w:rsidRPr="00981405">
        <w:t>M.</w:t>
      </w:r>
      <w:r w:rsidR="00190923" w:rsidRPr="00981405">
        <w:t xml:space="preserve"> </w:t>
      </w:r>
      <w:r w:rsidRPr="00981405">
        <w:t>McRae.</w:t>
      </w:r>
      <w:r w:rsidR="00190923" w:rsidRPr="00981405">
        <w:t xml:space="preserve"> </w:t>
      </w:r>
    </w:p>
    <w:p w:rsidR="00397032" w:rsidRPr="00981405" w:rsidRDefault="00397032" w:rsidP="00D97463">
      <w:pPr>
        <w:pStyle w:val="SingleTxt"/>
      </w:pPr>
      <w:r w:rsidRPr="00981405">
        <w:t>35.</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held</w:t>
      </w:r>
      <w:r w:rsidR="00190923" w:rsidRPr="00981405">
        <w:t xml:space="preserve"> </w:t>
      </w:r>
      <w:r w:rsidRPr="00981405">
        <w:t>two</w:t>
      </w:r>
      <w:r w:rsidR="00190923" w:rsidRPr="00981405">
        <w:t xml:space="preserve"> </w:t>
      </w:r>
      <w:r w:rsidRPr="00981405">
        <w:t>meetings,</w:t>
      </w:r>
      <w:r w:rsidR="00190923" w:rsidRPr="00981405">
        <w:t xml:space="preserve"> </w:t>
      </w:r>
      <w:r w:rsidRPr="00981405">
        <w:t>on</w:t>
      </w:r>
      <w:r w:rsidR="00190923" w:rsidRPr="00981405">
        <w:t xml:space="preserve"> </w:t>
      </w:r>
      <w:r w:rsidRPr="00981405">
        <w:t>12</w:t>
      </w:r>
      <w:r w:rsidR="00190923" w:rsidRPr="00981405">
        <w:t xml:space="preserve"> </w:t>
      </w:r>
      <w:r w:rsidRPr="00981405">
        <w:t>May</w:t>
      </w:r>
      <w:r w:rsidR="00190923" w:rsidRPr="00981405">
        <w:t xml:space="preserve"> </w:t>
      </w:r>
      <w:r w:rsidRPr="00981405">
        <w:t>and</w:t>
      </w:r>
      <w:r w:rsidR="00190923" w:rsidRPr="00981405">
        <w:t xml:space="preserve"> </w:t>
      </w:r>
      <w:r w:rsidRPr="00981405">
        <w:t>16</w:t>
      </w:r>
      <w:r w:rsidR="00190923" w:rsidRPr="00981405">
        <w:t xml:space="preserve"> </w:t>
      </w:r>
      <w:r w:rsidRPr="00981405">
        <w:t>July</w:t>
      </w:r>
      <w:r w:rsidR="00190923" w:rsidRPr="00981405">
        <w:t xml:space="preserve"> </w:t>
      </w:r>
      <w:r w:rsidRPr="00981405">
        <w:t>2015,</w:t>
      </w:r>
      <w:r w:rsidR="00190923" w:rsidRPr="00981405">
        <w:t xml:space="preserve"> </w:t>
      </w:r>
      <w:r w:rsidRPr="00981405">
        <w:t>during</w:t>
      </w:r>
      <w:r w:rsidR="00190923" w:rsidRPr="00981405">
        <w:t xml:space="preserve"> </w:t>
      </w:r>
      <w:r w:rsidRPr="00981405">
        <w:t>which</w:t>
      </w:r>
      <w:r w:rsidR="00190923" w:rsidRPr="00981405">
        <w:t xml:space="preserve"> </w:t>
      </w:r>
      <w:r w:rsidRPr="00981405">
        <w:t>it</w:t>
      </w:r>
      <w:r w:rsidR="00190923" w:rsidRPr="00981405">
        <w:t xml:space="preserve"> </w:t>
      </w:r>
      <w:r w:rsidRPr="00981405">
        <w:t>undertook</w:t>
      </w:r>
      <w:r w:rsidR="00190923" w:rsidRPr="00981405">
        <w:t xml:space="preserve"> </w:t>
      </w:r>
      <w:r w:rsidRPr="00981405">
        <w:t>and</w:t>
      </w:r>
      <w:r w:rsidR="00190923" w:rsidRPr="00981405">
        <w:t xml:space="preserve"> </w:t>
      </w:r>
      <w:r w:rsidRPr="00981405">
        <w:t>completed</w:t>
      </w:r>
      <w:r w:rsidR="00190923" w:rsidRPr="00981405">
        <w:t xml:space="preserve"> </w:t>
      </w:r>
      <w:r w:rsidRPr="00981405">
        <w:t>a</w:t>
      </w:r>
      <w:r w:rsidR="00190923" w:rsidRPr="00981405">
        <w:t xml:space="preserve"> </w:t>
      </w:r>
      <w:r w:rsidRPr="00981405">
        <w:t>substantive</w:t>
      </w:r>
      <w:r w:rsidR="00190923" w:rsidRPr="00981405">
        <w:t xml:space="preserve"> </w:t>
      </w:r>
      <w:r w:rsidRPr="00981405">
        <w:t>and</w:t>
      </w:r>
      <w:r w:rsidR="00190923" w:rsidRPr="00981405">
        <w:t xml:space="preserve"> </w:t>
      </w:r>
      <w:r w:rsidRPr="00981405">
        <w:t>technical</w:t>
      </w:r>
      <w:r w:rsidR="00190923" w:rsidRPr="00981405">
        <w:t xml:space="preserve"> </w:t>
      </w:r>
      <w:r w:rsidRPr="00981405">
        <w:t>review</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final</w:t>
      </w:r>
      <w:r w:rsidR="00190923" w:rsidRPr="00981405">
        <w:t xml:space="preserve"> </w:t>
      </w:r>
      <w:r w:rsidRPr="00981405">
        <w:t>report.</w:t>
      </w:r>
      <w:r w:rsidR="00190923" w:rsidRPr="00981405">
        <w:t xml:space="preserve"> </w:t>
      </w:r>
      <w:r w:rsidRPr="00981405">
        <w:t>Overall,</w:t>
      </w:r>
      <w:r w:rsidR="00190923" w:rsidRPr="00981405">
        <w:t xml:space="preserve"> </w:t>
      </w:r>
      <w:r w:rsidRPr="00981405">
        <w:t>since</w:t>
      </w:r>
      <w:r w:rsidR="00190923" w:rsidRPr="00981405">
        <w:t xml:space="preserve"> </w:t>
      </w:r>
      <w:r w:rsidRPr="00981405">
        <w:t>it</w:t>
      </w:r>
      <w:r w:rsidR="00190923" w:rsidRPr="00981405">
        <w:t xml:space="preserve"> </w:t>
      </w:r>
      <w:r w:rsidRPr="00981405">
        <w:t>was</w:t>
      </w:r>
      <w:r w:rsidR="00190923" w:rsidRPr="00981405">
        <w:t xml:space="preserve"> </w:t>
      </w:r>
      <w:r w:rsidRPr="00981405">
        <w:t>first</w:t>
      </w:r>
      <w:r w:rsidR="00190923" w:rsidRPr="00981405">
        <w:t xml:space="preserve"> </w:t>
      </w:r>
      <w:r w:rsidRPr="00981405">
        <w:t>established</w:t>
      </w:r>
      <w:r w:rsidR="00190923" w:rsidRPr="00981405">
        <w:t xml:space="preserve"> </w:t>
      </w:r>
      <w:r w:rsidRPr="00981405">
        <w:t>in</w:t>
      </w:r>
      <w:r w:rsidR="00190923" w:rsidRPr="00981405">
        <w:t xml:space="preserve"> </w:t>
      </w:r>
      <w:r w:rsidRPr="00981405">
        <w:t>2009,</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held</w:t>
      </w:r>
      <w:r w:rsidR="00190923" w:rsidRPr="00981405">
        <w:t xml:space="preserve"> </w:t>
      </w:r>
      <w:r w:rsidRPr="00981405">
        <w:t>24</w:t>
      </w:r>
      <w:r w:rsidR="00190923" w:rsidRPr="00981405">
        <w:t xml:space="preserve"> </w:t>
      </w:r>
      <w:r w:rsidRPr="00981405">
        <w:t>meetings.</w:t>
      </w:r>
    </w:p>
    <w:p w:rsidR="00397032" w:rsidRPr="00981405" w:rsidRDefault="00397032" w:rsidP="00D97463">
      <w:pPr>
        <w:pStyle w:val="SingleTxt"/>
      </w:pPr>
      <w:r w:rsidRPr="00981405">
        <w:lastRenderedPageBreak/>
        <w:t>36.</w:t>
      </w:r>
      <w:r w:rsidRPr="00981405">
        <w:tab/>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and</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at</w:t>
      </w:r>
      <w:r w:rsidR="00190923" w:rsidRPr="00981405">
        <w:t xml:space="preserve"> </w:t>
      </w:r>
      <w:r w:rsidRPr="00981405">
        <w:t>its</w:t>
      </w:r>
      <w:r w:rsidR="00190923" w:rsidRPr="00981405">
        <w:t xml:space="preserve"> </w:t>
      </w:r>
      <w:r w:rsidRPr="00981405">
        <w:t>3264th</w:t>
      </w:r>
      <w:r w:rsidR="00190923" w:rsidRPr="00981405">
        <w:t xml:space="preserve"> </w:t>
      </w:r>
      <w:r w:rsidRPr="00981405">
        <w:t>and</w:t>
      </w:r>
      <w:r w:rsidR="00190923" w:rsidRPr="00981405">
        <w:t xml:space="preserve"> </w:t>
      </w:r>
      <w:r w:rsidRPr="00981405">
        <w:t>3277th</w:t>
      </w:r>
      <w:r w:rsidR="00190923" w:rsidRPr="00981405">
        <w:t xml:space="preserve"> </w:t>
      </w:r>
      <w:r w:rsidRPr="00981405">
        <w:t>meetings</w:t>
      </w:r>
      <w:r w:rsidR="00190923" w:rsidRPr="00981405">
        <w:t xml:space="preserve"> </w:t>
      </w:r>
      <w:r w:rsidRPr="00981405">
        <w:t>on</w:t>
      </w:r>
      <w:r w:rsidR="00190923" w:rsidRPr="00981405">
        <w:t xml:space="preserve"> </w:t>
      </w:r>
      <w:r w:rsidRPr="00981405">
        <w:t>6</w:t>
      </w:r>
      <w:r w:rsidR="00190923" w:rsidRPr="00981405">
        <w:t xml:space="preserve"> </w:t>
      </w:r>
      <w:r w:rsidRPr="00981405">
        <w:t>and</w:t>
      </w:r>
      <w:r w:rsidR="00190923" w:rsidRPr="00981405">
        <w:t xml:space="preserve"> </w:t>
      </w:r>
      <w:r w:rsidRPr="00981405">
        <w:t>23</w:t>
      </w:r>
      <w:r w:rsidR="00190923" w:rsidRPr="00981405">
        <w:t xml:space="preserve"> </w:t>
      </w:r>
      <w:r w:rsidRPr="00981405">
        <w:t>July</w:t>
      </w:r>
      <w:r w:rsidR="00190923" w:rsidRPr="00981405">
        <w:t xml:space="preserve"> </w:t>
      </w:r>
      <w:r w:rsidRPr="00981405">
        <w:t>2015,</w:t>
      </w:r>
      <w:r w:rsidR="00190923" w:rsidRPr="00981405">
        <w:t xml:space="preserve"> </w:t>
      </w:r>
      <w:r w:rsidRPr="00981405">
        <w:t>respectively.</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appears</w:t>
      </w:r>
      <w:r w:rsidR="00190923" w:rsidRPr="00981405">
        <w:t xml:space="preserve"> </w:t>
      </w:r>
      <w:r w:rsidRPr="00981405">
        <w:t>as</w:t>
      </w:r>
      <w:r w:rsidR="00190923" w:rsidRPr="00981405">
        <w:t xml:space="preserve"> </w:t>
      </w:r>
      <w:r w:rsidRPr="00981405">
        <w:t>an</w:t>
      </w:r>
      <w:r w:rsidR="00190923" w:rsidRPr="00981405">
        <w:t xml:space="preserve"> </w:t>
      </w:r>
      <w:r w:rsidRPr="00981405">
        <w:t>annex</w:t>
      </w:r>
      <w:r w:rsidR="00190923" w:rsidRPr="00981405">
        <w:t xml:space="preserve"> </w:t>
      </w:r>
      <w:r w:rsidRPr="00981405">
        <w:t>to</w:t>
      </w:r>
      <w:r w:rsidR="00190923" w:rsidRPr="00981405">
        <w:t xml:space="preserve"> </w:t>
      </w:r>
      <w:r w:rsidRPr="00981405">
        <w:t>the</w:t>
      </w:r>
      <w:r w:rsidR="00190923" w:rsidRPr="00981405">
        <w:t xml:space="preserve"> </w:t>
      </w:r>
      <w:r w:rsidRPr="00981405">
        <w:t>present</w:t>
      </w:r>
      <w:r w:rsidR="00190923" w:rsidRPr="00981405">
        <w:t xml:space="preserve"> </w:t>
      </w:r>
      <w:r w:rsidRPr="00981405">
        <w:t>report.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notes</w:t>
      </w:r>
      <w:r w:rsidR="00190923" w:rsidRPr="00981405">
        <w:t xml:space="preserve"> </w:t>
      </w:r>
      <w:r w:rsidRPr="00981405">
        <w:t>that</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is</w:t>
      </w:r>
      <w:r w:rsidR="00190923" w:rsidRPr="00981405">
        <w:t xml:space="preserve"> </w:t>
      </w:r>
      <w:r w:rsidRPr="00981405">
        <w:t>divided</w:t>
      </w:r>
      <w:r w:rsidR="00190923" w:rsidRPr="00981405">
        <w:t xml:space="preserve"> </w:t>
      </w:r>
      <w:r w:rsidRPr="00981405">
        <w:t>into</w:t>
      </w:r>
      <w:r w:rsidR="00190923" w:rsidRPr="00981405">
        <w:t xml:space="preserve"> </w:t>
      </w:r>
      <w:r w:rsidRPr="00981405">
        <w:t>five</w:t>
      </w:r>
      <w:r w:rsidR="00190923" w:rsidRPr="00981405">
        <w:t xml:space="preserve"> </w:t>
      </w:r>
      <w:r w:rsidRPr="00981405">
        <w:t>parts.</w:t>
      </w:r>
      <w:r w:rsidR="00190923" w:rsidRPr="00981405">
        <w:t xml:space="preserve"> </w:t>
      </w:r>
      <w:r w:rsidRPr="00981405">
        <w:t>Part</w:t>
      </w:r>
      <w:r w:rsidR="00190923" w:rsidRPr="00981405">
        <w:t xml:space="preserve"> </w:t>
      </w:r>
      <w:r w:rsidRPr="00981405">
        <w:t>I</w:t>
      </w:r>
      <w:r w:rsidR="00190923" w:rsidRPr="00981405">
        <w:t xml:space="preserve"> </w:t>
      </w:r>
      <w:r w:rsidRPr="00981405">
        <w:t>provides</w:t>
      </w:r>
      <w:r w:rsidR="00190923" w:rsidRPr="00981405">
        <w:t xml:space="preserve"> </w:t>
      </w:r>
      <w:r w:rsidRPr="00981405">
        <w:t>the</w:t>
      </w:r>
      <w:r w:rsidR="00190923" w:rsidRPr="00981405">
        <w:t xml:space="preserve"> </w:t>
      </w:r>
      <w:r w:rsidRPr="00981405">
        <w:t>background,</w:t>
      </w:r>
      <w:r w:rsidR="00190923" w:rsidRPr="00981405">
        <w:t xml:space="preserve"> </w:t>
      </w:r>
      <w:r w:rsidRPr="00981405">
        <w:t>including</w:t>
      </w:r>
      <w:r w:rsidR="00190923" w:rsidRPr="00981405">
        <w:t xml:space="preserve"> </w:t>
      </w:r>
      <w:r w:rsidRPr="00981405">
        <w:t>the</w:t>
      </w:r>
      <w:r w:rsidR="00190923" w:rsidRPr="00981405">
        <w:t xml:space="preserve"> </w:t>
      </w:r>
      <w:r w:rsidRPr="00981405">
        <w:t>origins</w:t>
      </w:r>
      <w:r w:rsidR="00190923" w:rsidRPr="00981405">
        <w:t xml:space="preserve"> </w:t>
      </w:r>
      <w:r w:rsidRPr="00981405">
        <w:t>and</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prior</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(MFN)</w:t>
      </w:r>
      <w:r w:rsidR="00190923" w:rsidRPr="00981405">
        <w:t xml:space="preserve"> </w:t>
      </w:r>
      <w:r w:rsidRPr="00981405">
        <w:t>clause,</w:t>
      </w:r>
      <w:r w:rsidR="00190923" w:rsidRPr="00981405">
        <w:t xml:space="preserve"> </w:t>
      </w:r>
      <w:r w:rsidRPr="00981405">
        <w:t>and</w:t>
      </w:r>
      <w:r w:rsidR="00190923" w:rsidRPr="00981405">
        <w:t xml:space="preserve"> </w:t>
      </w:r>
      <w:r w:rsidRPr="00981405">
        <w:t>of</w:t>
      </w:r>
      <w:r w:rsidR="00190923" w:rsidRPr="00981405">
        <w:t xml:space="preserve"> </w:t>
      </w:r>
      <w:r w:rsidRPr="00981405">
        <w:t>developments</w:t>
      </w:r>
      <w:r w:rsidR="00190923" w:rsidRPr="00981405">
        <w:t xml:space="preserve"> </w:t>
      </w:r>
      <w:r w:rsidRPr="00981405">
        <w:t>subsequent</w:t>
      </w:r>
      <w:r w:rsidR="00190923" w:rsidRPr="00981405">
        <w:t xml:space="preserve"> </w:t>
      </w:r>
      <w:r w:rsidRPr="00981405">
        <w:t>to</w:t>
      </w:r>
      <w:r w:rsidR="00190923" w:rsidRPr="00981405">
        <w:t xml:space="preserve"> </w:t>
      </w:r>
      <w:r w:rsidRPr="00981405">
        <w:t>the</w:t>
      </w:r>
      <w:r w:rsidR="00190923" w:rsidRPr="00981405">
        <w:t xml:space="preserve"> </w:t>
      </w:r>
      <w:r w:rsidRPr="00981405">
        <w:t>completion</w:t>
      </w:r>
      <w:r w:rsidR="00190923" w:rsidRPr="00981405">
        <w:t xml:space="preserve"> </w:t>
      </w:r>
      <w:r w:rsidRPr="00981405">
        <w:t>of</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Pr="00981405">
        <w:t>the</w:t>
      </w:r>
      <w:r w:rsidR="00190923" w:rsidRPr="00981405">
        <w:t xml:space="preserve"> </w:t>
      </w:r>
      <w:r w:rsidRPr="00981405">
        <w:t>area</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other</w:t>
      </w:r>
      <w:r w:rsidR="00190923" w:rsidRPr="00981405">
        <w:t xml:space="preserve"> </w:t>
      </w:r>
      <w:r w:rsidRPr="00981405">
        <w:t>bodies,</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Conference</w:t>
      </w:r>
      <w:r w:rsidR="00190923" w:rsidRPr="00981405">
        <w:t xml:space="preserve"> </w:t>
      </w:r>
      <w:r w:rsidRPr="00981405">
        <w:t>on</w:t>
      </w:r>
      <w:r w:rsidR="00190923" w:rsidRPr="00981405">
        <w:t xml:space="preserve"> </w:t>
      </w:r>
      <w:r w:rsidRPr="00981405">
        <w:t>Trade</w:t>
      </w:r>
      <w:r w:rsidR="00190923" w:rsidRPr="00981405">
        <w:t xml:space="preserve"> </w:t>
      </w:r>
      <w:r w:rsidRPr="00981405">
        <w:t>and</w:t>
      </w:r>
      <w:r w:rsidR="00190923" w:rsidRPr="00981405">
        <w:t xml:space="preserve"> </w:t>
      </w:r>
      <w:r w:rsidRPr="00981405">
        <w:t>Development</w:t>
      </w:r>
      <w:r w:rsidR="00190923" w:rsidRPr="00981405">
        <w:t xml:space="preserve"> </w:t>
      </w:r>
      <w:r w:rsidRPr="00981405">
        <w:t>and</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for</w:t>
      </w:r>
      <w:r w:rsidR="00190923" w:rsidRPr="00981405">
        <w:t xml:space="preserve"> </w:t>
      </w:r>
      <w:r w:rsidRPr="00981405">
        <w:t>Economic</w:t>
      </w:r>
      <w:r w:rsidR="00190923" w:rsidRPr="00981405">
        <w:t xml:space="preserve"> </w:t>
      </w:r>
      <w:r w:rsidRPr="00981405">
        <w:t>Co-operation</w:t>
      </w:r>
      <w:r w:rsidR="00190923" w:rsidRPr="00981405">
        <w:t xml:space="preserve"> </w:t>
      </w:r>
      <w:r w:rsidRPr="00981405">
        <w:t>and</w:t>
      </w:r>
      <w:r w:rsidR="00190923" w:rsidRPr="00981405">
        <w:t xml:space="preserve"> </w:t>
      </w:r>
      <w:r w:rsidRPr="00981405">
        <w:t>Development.</w:t>
      </w:r>
      <w:r w:rsidR="00190923" w:rsidRPr="00981405">
        <w:t xml:space="preserve"> </w:t>
      </w:r>
      <w:r w:rsidRPr="00981405">
        <w:t>The</w:t>
      </w:r>
      <w:r w:rsidR="00190923" w:rsidRPr="00981405">
        <w:t xml:space="preserve"> </w:t>
      </w:r>
      <w:r w:rsidRPr="00981405">
        <w:t>general</w:t>
      </w:r>
      <w:r w:rsidR="00190923" w:rsidRPr="00981405">
        <w:t xml:space="preserve"> </w:t>
      </w:r>
      <w:r w:rsidRPr="00981405">
        <w:t>orientation</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has</w:t>
      </w:r>
      <w:r w:rsidR="00190923" w:rsidRPr="00981405">
        <w:t xml:space="preserve"> </w:t>
      </w:r>
      <w:r w:rsidRPr="00981405">
        <w:t>been</w:t>
      </w:r>
      <w:r w:rsidR="00190923" w:rsidRPr="00981405">
        <w:t xml:space="preserve"> </w:t>
      </w:r>
      <w:r w:rsidRPr="00981405">
        <w:t>not</w:t>
      </w:r>
      <w:r w:rsidR="00190923" w:rsidRPr="00981405">
        <w:t xml:space="preserve"> </w:t>
      </w:r>
      <w:r w:rsidRPr="00981405">
        <w:t>to</w:t>
      </w:r>
      <w:r w:rsidR="00190923" w:rsidRPr="00981405">
        <w:t xml:space="preserve"> </w:t>
      </w:r>
      <w:r w:rsidRPr="00981405">
        <w:t>seek</w:t>
      </w:r>
      <w:r w:rsidR="00190923" w:rsidRPr="00981405">
        <w:t xml:space="preserve"> </w:t>
      </w:r>
      <w:r w:rsidRPr="00981405">
        <w:t>a</w:t>
      </w:r>
      <w:r w:rsidR="00190923" w:rsidRPr="00981405">
        <w:t xml:space="preserve"> </w:t>
      </w:r>
      <w:r w:rsidRPr="00981405">
        <w:t>revision</w:t>
      </w:r>
      <w:r w:rsidR="00190923" w:rsidRPr="00981405">
        <w:t xml:space="preserve"> </w:t>
      </w:r>
      <w:r w:rsidRPr="00981405">
        <w:t>of</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or</w:t>
      </w:r>
      <w:r w:rsidR="00190923" w:rsidRPr="00981405">
        <w:t xml:space="preserve"> </w:t>
      </w:r>
      <w:r w:rsidRPr="00981405">
        <w:t>to</w:t>
      </w:r>
      <w:r w:rsidR="00190923" w:rsidRPr="00981405">
        <w:t xml:space="preserve"> </w:t>
      </w:r>
      <w:r w:rsidRPr="00981405">
        <w:t>prepare</w:t>
      </w:r>
      <w:r w:rsidR="00190923" w:rsidRPr="00981405">
        <w:t xml:space="preserve"> </w:t>
      </w:r>
      <w:r w:rsidRPr="00981405">
        <w:t>a</w:t>
      </w:r>
      <w:r w:rsidR="00190923" w:rsidRPr="00981405">
        <w:t xml:space="preserve"> </w:t>
      </w:r>
      <w:r w:rsidRPr="00981405">
        <w:t>new</w:t>
      </w:r>
      <w:r w:rsidR="00190923" w:rsidRPr="00981405">
        <w:t xml:space="preserve"> </w:t>
      </w:r>
      <w:r w:rsidRPr="00981405">
        <w:t>set</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articles.</w:t>
      </w:r>
    </w:p>
    <w:p w:rsidR="00397032" w:rsidRPr="00981405" w:rsidRDefault="00397032" w:rsidP="00D97463">
      <w:pPr>
        <w:pStyle w:val="SingleTxt"/>
      </w:pPr>
      <w:r w:rsidRPr="00981405">
        <w:t>37.</w:t>
      </w:r>
      <w:r w:rsidRPr="00981405">
        <w:tab/>
        <w:t>Part</w:t>
      </w:r>
      <w:r w:rsidR="00190923" w:rsidRPr="00981405">
        <w:t xml:space="preserve"> </w:t>
      </w:r>
      <w:r w:rsidRPr="00981405">
        <w:t>II</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addresses</w:t>
      </w:r>
      <w:r w:rsidR="00190923" w:rsidRPr="00981405">
        <w:t xml:space="preserve"> </w:t>
      </w:r>
      <w:r w:rsidRPr="00981405">
        <w:t>the</w:t>
      </w:r>
      <w:r w:rsidR="00190923" w:rsidRPr="00981405">
        <w:t xml:space="preserve"> </w:t>
      </w:r>
      <w:r w:rsidRPr="00981405">
        <w:t>contemporary</w:t>
      </w:r>
      <w:r w:rsidR="00190923" w:rsidRPr="00981405">
        <w:t xml:space="preserve"> </w:t>
      </w:r>
      <w:r w:rsidRPr="00981405">
        <w:t>relevance</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and</w:t>
      </w:r>
      <w:r w:rsidR="00190923" w:rsidRPr="00981405">
        <w:t xml:space="preserve"> </w:t>
      </w:r>
      <w:r w:rsidRPr="00981405">
        <w:t>issues</w:t>
      </w:r>
      <w:r w:rsidR="00190923" w:rsidRPr="00981405">
        <w:t xml:space="preserve"> </w:t>
      </w:r>
      <w:r w:rsidRPr="00981405">
        <w:t>concerning</w:t>
      </w:r>
      <w:r w:rsidR="00190923" w:rsidRPr="00981405">
        <w:t xml:space="preserve"> </w:t>
      </w:r>
      <w:r w:rsidRPr="00981405">
        <w:t>their</w:t>
      </w:r>
      <w:r w:rsidR="00190923" w:rsidRPr="00981405">
        <w:t xml:space="preserve"> </w:t>
      </w:r>
      <w:r w:rsidRPr="00981405">
        <w:t>interpretation,</w:t>
      </w:r>
      <w:r w:rsidR="00190923" w:rsidRPr="00981405">
        <w:t xml:space="preserve"> </w:t>
      </w:r>
      <w:r w:rsidRPr="00981405">
        <w:t>including</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Agreement</w:t>
      </w:r>
      <w:r w:rsidR="00190923" w:rsidRPr="00981405">
        <w:t xml:space="preserve"> </w:t>
      </w:r>
      <w:r w:rsidRPr="00981405">
        <w:t>on</w:t>
      </w:r>
      <w:r w:rsidR="00190923" w:rsidRPr="00981405">
        <w:t xml:space="preserve"> </w:t>
      </w:r>
      <w:r w:rsidRPr="00981405">
        <w:t>Tariffs</w:t>
      </w:r>
      <w:r w:rsidR="00190923" w:rsidRPr="00981405">
        <w:t xml:space="preserve"> </w:t>
      </w:r>
      <w:r w:rsidRPr="00981405">
        <w:t>and</w:t>
      </w:r>
      <w:r w:rsidR="00190923" w:rsidRPr="00981405">
        <w:t xml:space="preserve"> </w:t>
      </w:r>
      <w:r w:rsidRPr="00981405">
        <w:t>Trade</w:t>
      </w:r>
      <w:r w:rsidR="00190923" w:rsidRPr="00981405">
        <w:t xml:space="preserve"> </w:t>
      </w:r>
      <w:r w:rsidRPr="00981405">
        <w:t>and</w:t>
      </w:r>
      <w:r w:rsidR="00190923" w:rsidRPr="00981405">
        <w:t xml:space="preserve"> </w:t>
      </w:r>
      <w:r w:rsidRPr="00981405">
        <w:t>the</w:t>
      </w:r>
      <w:r w:rsidR="00190923" w:rsidRPr="00981405">
        <w:t xml:space="preserve"> </w:t>
      </w:r>
      <w:r w:rsidRPr="00981405">
        <w:t>World</w:t>
      </w:r>
      <w:r w:rsidR="00190923" w:rsidRPr="00981405">
        <w:t xml:space="preserve"> </w:t>
      </w:r>
      <w:r w:rsidRPr="00981405">
        <w:t>Trade</w:t>
      </w:r>
      <w:r w:rsidR="00190923" w:rsidRPr="00981405">
        <w:t xml:space="preserve"> </w:t>
      </w:r>
      <w:r w:rsidRPr="00981405">
        <w:t>Organization,</w:t>
      </w:r>
      <w:r w:rsidR="00190923" w:rsidRPr="00981405">
        <w:t xml:space="preserve"> </w:t>
      </w:r>
      <w:r w:rsidRPr="00981405">
        <w:t>other</w:t>
      </w:r>
      <w:r w:rsidR="00190923" w:rsidRPr="00981405">
        <w:t xml:space="preserve"> </w:t>
      </w:r>
      <w:r w:rsidRPr="00981405">
        <w:t>trade</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It</w:t>
      </w:r>
      <w:r w:rsidR="00190923" w:rsidRPr="00981405">
        <w:t xml:space="preserve"> </w:t>
      </w:r>
      <w:r w:rsidRPr="00981405">
        <w:t>also</w:t>
      </w:r>
      <w:r w:rsidR="00190923" w:rsidRPr="00981405">
        <w:t xml:space="preserve"> </w:t>
      </w:r>
      <w:r w:rsidRPr="00981405">
        <w:t>considers</w:t>
      </w:r>
      <w:r w:rsidR="00190923" w:rsidRPr="00981405">
        <w:t xml:space="preserve"> </w:t>
      </w:r>
      <w:r w:rsidRPr="00981405">
        <w:t>the</w:t>
      </w:r>
      <w:r w:rsidR="00190923" w:rsidRPr="00981405">
        <w:t xml:space="preserve"> </w:t>
      </w:r>
      <w:r w:rsidRPr="00981405">
        <w:t>types</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(BIT)</w:t>
      </w:r>
      <w:r w:rsidR="00190923" w:rsidRPr="00981405">
        <w:t xml:space="preserve"> </w:t>
      </w:r>
      <w:r w:rsidRPr="00981405">
        <w:t>and</w:t>
      </w:r>
      <w:r w:rsidR="00190923" w:rsidRPr="00981405">
        <w:t xml:space="preserve"> </w:t>
      </w:r>
      <w:r w:rsidRPr="00981405">
        <w:t>highlights</w:t>
      </w:r>
      <w:r w:rsidR="00190923" w:rsidRPr="00981405">
        <w:t xml:space="preserve"> </w:t>
      </w:r>
      <w:r w:rsidRPr="00981405">
        <w:t>the</w:t>
      </w:r>
      <w:r w:rsidR="00190923" w:rsidRPr="00981405">
        <w:t xml:space="preserve"> </w:t>
      </w:r>
      <w:r w:rsidRPr="00981405">
        <w:t>interpretative</w:t>
      </w:r>
      <w:r w:rsidR="00190923" w:rsidRPr="00981405">
        <w:t xml:space="preserve"> </w:t>
      </w:r>
      <w:r w:rsidRPr="00981405">
        <w:t>issues</w:t>
      </w:r>
      <w:r w:rsidR="00190923" w:rsidRPr="00981405">
        <w:t xml:space="preserve"> </w:t>
      </w:r>
      <w:r w:rsidRPr="00981405">
        <w:t>that</w:t>
      </w:r>
      <w:r w:rsidR="00190923" w:rsidRPr="00981405">
        <w:t xml:space="preserve"> </w:t>
      </w:r>
      <w:r w:rsidRPr="00981405">
        <w:t>have</w:t>
      </w:r>
      <w:r w:rsidR="00190923" w:rsidRPr="00981405">
        <w:t xml:space="preserve"> </w:t>
      </w:r>
      <w:r w:rsidRPr="00981405">
        <w:t>arisen</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BITs,</w:t>
      </w:r>
      <w:r w:rsidR="00190923" w:rsidRPr="00981405">
        <w:t xml:space="preserve"> </w:t>
      </w:r>
      <w:r w:rsidRPr="00981405">
        <w:t>namely:</w:t>
      </w:r>
      <w:r w:rsidR="00190923" w:rsidRPr="00981405">
        <w:t xml:space="preserve"> </w:t>
      </w:r>
      <w:r w:rsidRPr="00981405">
        <w:t>(a)</w:t>
      </w:r>
      <w:r w:rsidR="00190923" w:rsidRPr="00981405">
        <w:t xml:space="preserve"> </w:t>
      </w:r>
      <w:r w:rsidRPr="00981405">
        <w:t>defining</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(b)</w:t>
      </w:r>
      <w:r w:rsidR="00190923" w:rsidRPr="00981405">
        <w:t xml:space="preserve"> </w:t>
      </w:r>
      <w:r w:rsidRPr="00981405">
        <w:t>defining</w:t>
      </w:r>
      <w:r w:rsidR="00190923" w:rsidRPr="00981405">
        <w:t xml:space="preserve"> </w:t>
      </w:r>
      <w:r w:rsidRPr="00981405">
        <w:t>the</w:t>
      </w:r>
      <w:r w:rsidR="00190923" w:rsidRPr="00981405">
        <w:t xml:space="preserve"> </w:t>
      </w:r>
      <w:r w:rsidRPr="00981405">
        <w:t>necessary</w:t>
      </w:r>
      <w:r w:rsidR="00190923" w:rsidRPr="00981405">
        <w:t xml:space="preserve"> </w:t>
      </w:r>
      <w:r w:rsidRPr="00981405">
        <w:t>treatment;</w:t>
      </w:r>
      <w:r w:rsidR="00190923" w:rsidRPr="00981405">
        <w:t xml:space="preserve"> </w:t>
      </w:r>
      <w:r w:rsidRPr="00981405">
        <w:t>and</w:t>
      </w:r>
      <w:r w:rsidR="00190923" w:rsidRPr="00981405">
        <w:t xml:space="preserve"> </w:t>
      </w:r>
      <w:r w:rsidRPr="00981405">
        <w:t>(c)</w:t>
      </w:r>
      <w:r w:rsidR="00190923" w:rsidRPr="00981405">
        <w:t xml:space="preserve"> </w:t>
      </w:r>
      <w:r w:rsidRPr="00981405">
        <w:t>defining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p>
    <w:p w:rsidR="00397032" w:rsidRPr="00981405" w:rsidRDefault="00397032" w:rsidP="00D97463">
      <w:pPr>
        <w:pStyle w:val="SingleTxt"/>
      </w:pPr>
      <w:r w:rsidRPr="00981405">
        <w:t>38.</w:t>
      </w:r>
      <w:r w:rsidRPr="00981405">
        <w:tab/>
        <w:t>Part</w:t>
      </w:r>
      <w:r w:rsidR="00190923" w:rsidRPr="00981405">
        <w:t xml:space="preserve"> </w:t>
      </w:r>
      <w:r w:rsidRPr="00981405">
        <w:t>III</w:t>
      </w:r>
      <w:r w:rsidR="00190923" w:rsidRPr="00981405">
        <w:t xml:space="preserve"> </w:t>
      </w:r>
      <w:r w:rsidRPr="00981405">
        <w:t>analyses:</w:t>
      </w:r>
      <w:r w:rsidR="00190923" w:rsidRPr="00981405">
        <w:t xml:space="preserve"> </w:t>
      </w:r>
      <w:r w:rsidRPr="00981405">
        <w:t>(a)</w:t>
      </w:r>
      <w:r w:rsidR="00190923" w:rsidRPr="00981405">
        <w:t xml:space="preserve"> </w:t>
      </w:r>
      <w:r w:rsidRPr="00981405">
        <w:t>the</w:t>
      </w:r>
      <w:r w:rsidR="00190923" w:rsidRPr="00981405">
        <w:t xml:space="preserve"> </w:t>
      </w:r>
      <w:r w:rsidRPr="00981405">
        <w:t>policy</w:t>
      </w:r>
      <w:r w:rsidR="00190923" w:rsidRPr="00981405">
        <w:t xml:space="preserve"> </w:t>
      </w:r>
      <w:r w:rsidRPr="00981405">
        <w:t>considerations</w:t>
      </w:r>
      <w:r w:rsidR="00190923" w:rsidRPr="00981405">
        <w:t xml:space="preserve"> </w:t>
      </w:r>
      <w:r w:rsidRPr="00981405">
        <w:t>in</w:t>
      </w:r>
      <w:r w:rsidR="00190923" w:rsidRPr="00981405">
        <w:t xml:space="preserve"> </w:t>
      </w:r>
      <w:r w:rsidRPr="00981405">
        <w:t>investment</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questions</w:t>
      </w:r>
      <w:r w:rsidR="00190923" w:rsidRPr="00981405">
        <w:t xml:space="preserve"> </w:t>
      </w:r>
      <w:r w:rsidRPr="00981405">
        <w:t>of</w:t>
      </w:r>
      <w:r w:rsidR="00190923" w:rsidRPr="00981405">
        <w:t xml:space="preserve"> </w:t>
      </w:r>
      <w:r w:rsidRPr="00981405">
        <w:t>asymmetry</w:t>
      </w:r>
      <w:r w:rsidR="00190923" w:rsidRPr="00981405">
        <w:t xml:space="preserve"> </w:t>
      </w:r>
      <w:r w:rsidRPr="00981405">
        <w:t>in</w:t>
      </w:r>
      <w:r w:rsidR="00190923" w:rsidRPr="00981405">
        <w:t xml:space="preserve"> </w:t>
      </w:r>
      <w:r w:rsidRPr="00981405">
        <w:t>BIT</w:t>
      </w:r>
      <w:r w:rsidR="00190923" w:rsidRPr="00981405">
        <w:t xml:space="preserve"> </w:t>
      </w:r>
      <w:r w:rsidRPr="00981405">
        <w:t>negotiations</w:t>
      </w:r>
      <w:r w:rsidR="00190923" w:rsidRPr="00981405">
        <w:t xml:space="preserve"> </w:t>
      </w:r>
      <w:r w:rsidRPr="00981405">
        <w:t>and</w:t>
      </w:r>
      <w:r w:rsidR="00190923" w:rsidRPr="00981405">
        <w:t xml:space="preserve"> </w:t>
      </w:r>
      <w:r w:rsidRPr="00981405">
        <w:t>the</w:t>
      </w:r>
      <w:r w:rsidR="00190923" w:rsidRPr="00981405">
        <w:t xml:space="preserve"> </w:t>
      </w:r>
      <w:r w:rsidRPr="00981405">
        <w:t>specificity</w:t>
      </w:r>
      <w:r w:rsidR="00190923" w:rsidRPr="00981405">
        <w:t xml:space="preserve"> </w:t>
      </w:r>
      <w:r w:rsidRPr="00981405">
        <w:t>of</w:t>
      </w:r>
      <w:r w:rsidR="00190923" w:rsidRPr="00981405">
        <w:t xml:space="preserve"> </w:t>
      </w:r>
      <w:r w:rsidRPr="00981405">
        <w:t>each</w:t>
      </w:r>
      <w:r w:rsidR="00190923" w:rsidRPr="00981405">
        <w:t xml:space="preserve"> </w:t>
      </w:r>
      <w:r w:rsidRPr="00981405">
        <w:t>BIT;</w:t>
      </w:r>
      <w:r w:rsidR="00190923" w:rsidRPr="00981405">
        <w:t xml:space="preserve"> </w:t>
      </w:r>
      <w:r w:rsidRPr="00981405">
        <w:t>(b)</w:t>
      </w:r>
      <w:r w:rsidR="00190923" w:rsidRPr="00981405">
        <w:t xml:space="preserve"> </w:t>
      </w:r>
      <w:r w:rsidRPr="00981405">
        <w:t>the</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arbitration</w:t>
      </w:r>
      <w:r w:rsidR="00190923" w:rsidRPr="00981405">
        <w:t xml:space="preserve"> </w:t>
      </w:r>
      <w:r w:rsidRPr="00981405">
        <w:t>as</w:t>
      </w:r>
      <w:r w:rsidR="00190923" w:rsidRPr="00981405">
        <w:t xml:space="preserve"> </w:t>
      </w:r>
      <w:r w:rsidR="00B92E2C" w:rsidRPr="00981405">
        <w:t>“</w:t>
      </w:r>
      <w:r w:rsidRPr="00981405">
        <w:t>mixed</w:t>
      </w:r>
      <w:r w:rsidR="00190923" w:rsidRPr="00981405">
        <w:t xml:space="preserve"> </w:t>
      </w:r>
      <w:r w:rsidRPr="00981405">
        <w:t>arbitration</w:t>
      </w:r>
      <w:r w:rsidR="00B92E2C" w:rsidRPr="00981405">
        <w:t>”</w:t>
      </w:r>
      <w:r w:rsidRPr="00981405">
        <w:t>;</w:t>
      </w:r>
      <w:r w:rsidR="00190923" w:rsidRPr="00981405">
        <w:t xml:space="preserve"> </w:t>
      </w:r>
      <w:r w:rsidRPr="00981405">
        <w:t>and</w:t>
      </w:r>
      <w:r w:rsidR="00190923" w:rsidRPr="00981405">
        <w:t xml:space="preserve"> </w:t>
      </w:r>
      <w:r w:rsidRPr="00981405">
        <w:t>(c)</w:t>
      </w:r>
      <w:r w:rsidR="00190923" w:rsidRPr="00981405">
        <w:t xml:space="preserve"> </w:t>
      </w:r>
      <w:r w:rsidRPr="00981405">
        <w:t>the</w:t>
      </w:r>
      <w:r w:rsidR="00190923" w:rsidRPr="00981405">
        <w:t xml:space="preserve"> </w:t>
      </w:r>
      <w:r w:rsidRPr="00981405">
        <w:t>contemporary</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p>
    <w:p w:rsidR="00397032" w:rsidRPr="00981405" w:rsidRDefault="00397032" w:rsidP="00D97463">
      <w:pPr>
        <w:pStyle w:val="SingleTxt"/>
      </w:pPr>
      <w:r w:rsidRPr="00981405">
        <w:t>39.</w:t>
      </w:r>
      <w:r w:rsidRPr="00981405">
        <w:tab/>
        <w:t>Part</w:t>
      </w:r>
      <w:r w:rsidR="00190923" w:rsidRPr="00981405">
        <w:t xml:space="preserve"> </w:t>
      </w:r>
      <w:r w:rsidRPr="00981405">
        <w:t>IV</w:t>
      </w:r>
      <w:r w:rsidR="00190923" w:rsidRPr="00981405">
        <w:t xml:space="preserve"> </w:t>
      </w:r>
      <w:r w:rsidRPr="00981405">
        <w:t>seeks</w:t>
      </w:r>
      <w:r w:rsidR="00190923" w:rsidRPr="00981405">
        <w:t xml:space="preserve"> </w:t>
      </w:r>
      <w:r w:rsidRPr="00981405">
        <w:t>to</w:t>
      </w:r>
      <w:r w:rsidR="00190923" w:rsidRPr="00981405">
        <w:t xml:space="preserve"> </w:t>
      </w:r>
      <w:r w:rsidRPr="00981405">
        <w:t>provide</w:t>
      </w:r>
      <w:r w:rsidR="00190923" w:rsidRPr="00981405">
        <w:t xml:space="preserve"> </w:t>
      </w:r>
      <w:r w:rsidRPr="00981405">
        <w:t>some</w:t>
      </w:r>
      <w:r w:rsidR="00190923" w:rsidRPr="00981405">
        <w:t xml:space="preserve"> </w:t>
      </w:r>
      <w:r w:rsidRPr="00981405">
        <w:t>guidance</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setting</w:t>
      </w:r>
      <w:r w:rsidR="00190923" w:rsidRPr="00981405">
        <w:t xml:space="preserve"> </w:t>
      </w:r>
      <w:r w:rsidRPr="00981405">
        <w:t>out</w:t>
      </w:r>
      <w:r w:rsidR="00190923" w:rsidRPr="00981405">
        <w:t xml:space="preserve"> </w:t>
      </w:r>
      <w:r w:rsidRPr="00981405">
        <w:t>a</w:t>
      </w:r>
      <w:r w:rsidR="00190923" w:rsidRPr="00981405">
        <w:t xml:space="preserve"> </w:t>
      </w:r>
      <w:r w:rsidRPr="00981405">
        <w:t>framework</w:t>
      </w:r>
      <w:r w:rsidR="00190923" w:rsidRPr="00981405">
        <w:t xml:space="preserve"> </w:t>
      </w:r>
      <w:r w:rsidRPr="00981405">
        <w:t>for</w:t>
      </w:r>
      <w:r w:rsidR="00190923" w:rsidRPr="00981405">
        <w:t xml:space="preserve"> </w:t>
      </w:r>
      <w:r w:rsidRPr="00981405">
        <w:t>the</w:t>
      </w:r>
      <w:r w:rsidR="00190923" w:rsidRPr="00981405">
        <w:t xml:space="preserve"> </w:t>
      </w:r>
      <w:r w:rsidRPr="00981405">
        <w:t>proper</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principles</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to</w:t>
      </w:r>
      <w:r w:rsidR="00190923" w:rsidRPr="00981405">
        <w:t xml:space="preserve"> </w:t>
      </w:r>
      <w:r w:rsidRPr="00981405">
        <w:t>MFN</w:t>
      </w:r>
      <w:r w:rsidR="00190923" w:rsidRPr="00981405">
        <w:t xml:space="preserve"> </w:t>
      </w:r>
      <w:r w:rsidRPr="00981405">
        <w:t>clauses.</w:t>
      </w:r>
      <w:r w:rsidR="00190923" w:rsidRPr="00981405">
        <w:t xml:space="preserve"> </w:t>
      </w:r>
      <w:r w:rsidRPr="00981405">
        <w:t>It</w:t>
      </w:r>
      <w:r w:rsidR="00190923" w:rsidRPr="00981405">
        <w:t xml:space="preserve"> </w:t>
      </w:r>
      <w:r w:rsidRPr="00981405">
        <w:t>surveys</w:t>
      </w:r>
      <w:r w:rsidR="00190923" w:rsidRPr="00981405">
        <w:t xml:space="preserve"> </w:t>
      </w:r>
      <w:r w:rsidRPr="00981405">
        <w:t>the</w:t>
      </w:r>
      <w:r w:rsidR="00190923" w:rsidRPr="00981405">
        <w:t xml:space="preserve"> </w:t>
      </w:r>
      <w:r w:rsidRPr="00981405">
        <w:t>different</w:t>
      </w:r>
      <w:r w:rsidR="00190923" w:rsidRPr="00981405">
        <w:t xml:space="preserve"> </w:t>
      </w:r>
      <w:r w:rsidRPr="00981405">
        <w:t>approaches</w:t>
      </w:r>
      <w:r w:rsidR="00190923" w:rsidRPr="00981405">
        <w:t xml:space="preserve"> </w:t>
      </w:r>
      <w:r w:rsidRPr="00981405">
        <w:t>in</w:t>
      </w:r>
      <w:r w:rsidR="00190923" w:rsidRPr="00981405">
        <w:t xml:space="preserve"> </w:t>
      </w:r>
      <w:r w:rsidRPr="00981405">
        <w:t>the</w:t>
      </w:r>
      <w:r w:rsidR="00190923" w:rsidRPr="00981405">
        <w:t xml:space="preserve"> </w:t>
      </w:r>
      <w:r w:rsidRPr="00981405">
        <w:t>case-law</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addressing</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three</w:t>
      </w:r>
      <w:r w:rsidR="00190923" w:rsidRPr="00981405">
        <w:t xml:space="preserve"> </w:t>
      </w:r>
      <w:r w:rsidRPr="00981405">
        <w:t>central</w:t>
      </w:r>
      <w:r w:rsidR="00190923" w:rsidRPr="00981405">
        <w:t xml:space="preserve"> </w:t>
      </w:r>
      <w:r w:rsidRPr="00981405">
        <w:t>questions:</w:t>
      </w:r>
      <w:r w:rsidR="00190923" w:rsidRPr="00981405">
        <w:t xml:space="preserve"> </w:t>
      </w:r>
      <w:r w:rsidRPr="00981405">
        <w:t>(a)</w:t>
      </w:r>
      <w:r w:rsidR="00190923" w:rsidRPr="00981405">
        <w:t xml:space="preserve"> </w:t>
      </w:r>
      <w:r w:rsidRPr="00981405">
        <w:t>Are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principle</w:t>
      </w:r>
      <w:r w:rsidR="00190923" w:rsidRPr="00981405">
        <w:t xml:space="preserve"> </w:t>
      </w:r>
      <w:r w:rsidRPr="00981405">
        <w:t>capable</w:t>
      </w:r>
      <w:r w:rsidR="00190923" w:rsidRPr="00981405">
        <w:t xml:space="preserve"> </w:t>
      </w:r>
      <w:r w:rsidRPr="00981405">
        <w:t>of</w:t>
      </w:r>
      <w:r w:rsidR="00190923" w:rsidRPr="00981405">
        <w:t xml:space="preserve"> </w:t>
      </w:r>
      <w:r w:rsidRPr="00981405">
        <w:t>applying</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BITs?;</w:t>
      </w:r>
      <w:r w:rsidR="00190923" w:rsidRPr="00981405">
        <w:t xml:space="preserve"> </w:t>
      </w:r>
      <w:r w:rsidRPr="00981405">
        <w:t>(b)</w:t>
      </w:r>
      <w:r w:rsidR="00190923" w:rsidRPr="00981405">
        <w:t xml:space="preserve"> </w:t>
      </w:r>
      <w:r w:rsidRPr="00981405">
        <w:t>Is</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tribunal</w:t>
      </w:r>
      <w:r w:rsidR="00190923" w:rsidRPr="00981405">
        <w:t xml:space="preserve"> </w:t>
      </w:r>
      <w:r w:rsidRPr="00981405">
        <w:t>affected</w:t>
      </w:r>
      <w:r w:rsidR="00190923" w:rsidRPr="00981405">
        <w:t xml:space="preserve"> </w:t>
      </w:r>
      <w:r w:rsidRPr="00981405">
        <w:t>by</w:t>
      </w:r>
      <w:r w:rsidR="00190923" w:rsidRPr="00981405">
        <w:t xml:space="preserve"> </w:t>
      </w:r>
      <w:r w:rsidRPr="00981405">
        <w:t>conditions</w:t>
      </w:r>
      <w:r w:rsidR="00190923" w:rsidRPr="00981405">
        <w:t xml:space="preserve"> </w:t>
      </w:r>
      <w:r w:rsidRPr="00981405">
        <w:t>in</w:t>
      </w:r>
      <w:r w:rsidR="00190923" w:rsidRPr="00981405">
        <w:t xml:space="preserve"> </w:t>
      </w:r>
      <w:r w:rsidRPr="00981405">
        <w:t>BITs</w:t>
      </w:r>
      <w:r w:rsidR="00190923" w:rsidRPr="00981405">
        <w:t xml:space="preserve"> </w:t>
      </w:r>
      <w:r w:rsidRPr="00981405">
        <w:t>regarding</w:t>
      </w:r>
      <w:r w:rsidR="00190923" w:rsidRPr="00981405">
        <w:t xml:space="preserve"> </w:t>
      </w:r>
      <w:r w:rsidRPr="00981405">
        <w:t>which</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may</w:t>
      </w:r>
      <w:r w:rsidR="00190923" w:rsidRPr="00981405">
        <w:t xml:space="preserve"> </w:t>
      </w:r>
      <w:r w:rsidRPr="00981405">
        <w:t>be</w:t>
      </w:r>
      <w:r w:rsidR="00190923" w:rsidRPr="00981405">
        <w:t xml:space="preserve"> </w:t>
      </w:r>
      <w:r w:rsidRPr="00981405">
        <w:t>invoked</w:t>
      </w:r>
      <w:r w:rsidR="00190923" w:rsidRPr="00981405">
        <w:t xml:space="preserve"> </w:t>
      </w:r>
      <w:r w:rsidRPr="00981405">
        <w:t>by</w:t>
      </w:r>
      <w:r w:rsidR="00190923" w:rsidRPr="00981405">
        <w:t xml:space="preserve"> </w:t>
      </w:r>
      <w:r w:rsidRPr="00981405">
        <w:t>investors?;</w:t>
      </w:r>
      <w:r w:rsidR="00190923" w:rsidRPr="00981405">
        <w:t xml:space="preserve"> </w:t>
      </w:r>
      <w:r w:rsidRPr="00981405">
        <w:t>(c)</w:t>
      </w:r>
      <w:r w:rsidR="00190923" w:rsidRPr="00981405">
        <w:t xml:space="preserve"> </w:t>
      </w:r>
      <w:r w:rsidRPr="00981405">
        <w:t>In</w:t>
      </w:r>
      <w:r w:rsidR="00190923" w:rsidRPr="00981405">
        <w:t xml:space="preserve"> </w:t>
      </w:r>
      <w:r w:rsidRPr="00981405">
        <w:t>determining</w:t>
      </w:r>
      <w:r w:rsidR="00190923" w:rsidRPr="00981405">
        <w:t xml:space="preserve"> </w:t>
      </w:r>
      <w:r w:rsidRPr="00981405">
        <w:t>whether</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a</w:t>
      </w:r>
      <w:r w:rsidR="00190923" w:rsidRPr="00981405">
        <w:t xml:space="preserve"> </w:t>
      </w:r>
      <w:r w:rsidRPr="00981405">
        <w:t>BIT</w:t>
      </w:r>
      <w:r w:rsidR="00190923" w:rsidRPr="00981405">
        <w:t xml:space="preserve"> </w:t>
      </w:r>
      <w:r w:rsidRPr="00981405">
        <w:t>applies</w:t>
      </w:r>
      <w:r w:rsidR="00190923" w:rsidRPr="00981405">
        <w:t xml:space="preserve"> </w:t>
      </w:r>
      <w:r w:rsidRPr="00981405">
        <w:t>to</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invoking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what</w:t>
      </w:r>
      <w:r w:rsidR="00190923" w:rsidRPr="00981405">
        <w:t xml:space="preserve"> </w:t>
      </w:r>
      <w:r w:rsidRPr="00981405">
        <w:t>factors</w:t>
      </w:r>
      <w:r w:rsidR="00190923" w:rsidRPr="00981405">
        <w:t xml:space="preserve"> </w:t>
      </w:r>
      <w:r w:rsidRPr="00981405">
        <w:t>are</w:t>
      </w:r>
      <w:r w:rsidR="00190923" w:rsidRPr="00981405">
        <w:t xml:space="preserve"> </w:t>
      </w:r>
      <w:r w:rsidRPr="00981405">
        <w:t>relevant</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interpretative</w:t>
      </w:r>
      <w:r w:rsidR="00190923" w:rsidRPr="00981405">
        <w:t xml:space="preserve"> </w:t>
      </w:r>
      <w:r w:rsidRPr="00981405">
        <w:t>process?</w:t>
      </w:r>
      <w:r w:rsidR="00190923" w:rsidRPr="00981405">
        <w:t xml:space="preserve"> </w:t>
      </w:r>
      <w:r w:rsidRPr="00981405">
        <w:t>This</w:t>
      </w:r>
      <w:r w:rsidR="00190923" w:rsidRPr="00981405">
        <w:t xml:space="preserve"> </w:t>
      </w:r>
      <w:r w:rsidRPr="00981405">
        <w:t>Part</w:t>
      </w:r>
      <w:r w:rsidR="00190923" w:rsidRPr="00981405">
        <w:t xml:space="preserve"> </w:t>
      </w:r>
      <w:r w:rsidRPr="00981405">
        <w:t>also</w:t>
      </w:r>
      <w:r w:rsidR="00190923" w:rsidRPr="00981405">
        <w:t xml:space="preserve"> </w:t>
      </w:r>
      <w:r w:rsidRPr="00981405">
        <w:t>examines</w:t>
      </w:r>
      <w:r w:rsidR="00190923" w:rsidRPr="00981405">
        <w:t xml:space="preserve"> </w:t>
      </w:r>
      <w:r w:rsidRPr="00981405">
        <w:t>the</w:t>
      </w:r>
      <w:r w:rsidR="00190923" w:rsidRPr="00981405">
        <w:t xml:space="preserve"> </w:t>
      </w:r>
      <w:r w:rsidRPr="00981405">
        <w:t>various</w:t>
      </w:r>
      <w:r w:rsidR="00190923" w:rsidRPr="00981405">
        <w:t xml:space="preserve"> </w:t>
      </w:r>
      <w:r w:rsidRPr="00981405">
        <w:t>ways</w:t>
      </w:r>
      <w:r w:rsidR="00190923" w:rsidRPr="00981405">
        <w:t xml:space="preserve"> </w:t>
      </w:r>
      <w:r w:rsidRPr="00981405">
        <w:t>in</w:t>
      </w:r>
      <w:r w:rsidR="00190923" w:rsidRPr="00981405">
        <w:t xml:space="preserve"> </w:t>
      </w:r>
      <w:r w:rsidRPr="00981405">
        <w:t>which</w:t>
      </w:r>
      <w:r w:rsidR="00190923" w:rsidRPr="00981405">
        <w:t xml:space="preserve"> </w:t>
      </w:r>
      <w:r w:rsidRPr="00981405">
        <w:t>States</w:t>
      </w:r>
      <w:r w:rsidR="00190923" w:rsidRPr="00981405">
        <w:t xml:space="preserve"> </w:t>
      </w:r>
      <w:r w:rsidRPr="00981405">
        <w:t>have</w:t>
      </w:r>
      <w:r w:rsidR="00190923" w:rsidRPr="00981405">
        <w:t xml:space="preserve"> </w:t>
      </w:r>
      <w:r w:rsidRPr="00981405">
        <w:t>reacted</w:t>
      </w:r>
      <w:r w:rsidR="00190923" w:rsidRPr="00981405">
        <w:t xml:space="preserve"> </w:t>
      </w:r>
      <w:r w:rsidRPr="00981405">
        <w:t>in</w:t>
      </w:r>
      <w:r w:rsidR="00190923" w:rsidRPr="00981405">
        <w:t xml:space="preserve"> </w:t>
      </w:r>
      <w:r w:rsidRPr="00981405">
        <w:t>their</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to</w:t>
      </w:r>
      <w:r w:rsidR="00190923" w:rsidRPr="00981405">
        <w:t xml:space="preserve"> </w:t>
      </w:r>
      <w:r w:rsidRPr="00981405">
        <w:t>the</w:t>
      </w:r>
      <w:r w:rsidR="00190923" w:rsidRPr="00981405">
        <w:t xml:space="preserve"> </w:t>
      </w:r>
      <w:r w:rsidRPr="00D97463">
        <w:rPr>
          <w:i/>
          <w:iCs/>
        </w:rPr>
        <w:t>Maffezini</w:t>
      </w:r>
      <w:r w:rsidR="00190923" w:rsidRPr="00981405">
        <w:t xml:space="preserve"> </w:t>
      </w:r>
      <w:r w:rsidRPr="00981405">
        <w:t>decision</w:t>
      </w:r>
      <w:r w:rsidRPr="00981405">
        <w:rPr>
          <w:rStyle w:val="FootnoteReference"/>
        </w:rPr>
        <w:footnoteReference w:id="11"/>
      </w:r>
      <w:r w:rsidRPr="00981405">
        <w:t>,</w:t>
      </w:r>
      <w:r w:rsidR="00190923" w:rsidRPr="00981405">
        <w:t xml:space="preserve"> </w:t>
      </w:r>
      <w:r w:rsidRPr="00981405">
        <w:t>including</w:t>
      </w:r>
      <w:r w:rsidR="00190923" w:rsidRPr="00981405">
        <w:t xml:space="preserve"> </w:t>
      </w:r>
      <w:r w:rsidRPr="00981405">
        <w:t>by:</w:t>
      </w:r>
      <w:r w:rsidR="00190923" w:rsidRPr="00981405">
        <w:t xml:space="preserve"> </w:t>
      </w:r>
      <w:r w:rsidRPr="00981405">
        <w:t>(a)</w:t>
      </w:r>
      <w:r w:rsidR="00190923" w:rsidRPr="00981405">
        <w:t xml:space="preserve"> </w:t>
      </w:r>
      <w:r w:rsidRPr="00981405">
        <w:t>Specifically</w:t>
      </w:r>
      <w:r w:rsidR="00190923" w:rsidRPr="00981405">
        <w:t xml:space="preserve"> </w:t>
      </w:r>
      <w:r w:rsidRPr="00981405">
        <w:t>stating</w:t>
      </w:r>
      <w:r w:rsidR="00190923" w:rsidRPr="00981405">
        <w:t xml:space="preserve"> </w:t>
      </w:r>
      <w:r w:rsidRPr="00981405">
        <w:t>that</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does</w:t>
      </w:r>
      <w:r w:rsidR="00190923" w:rsidRPr="00981405">
        <w:t xml:space="preserve"> </w:t>
      </w:r>
      <w:r w:rsidRPr="00981405">
        <w:t>not</w:t>
      </w:r>
      <w:r w:rsidR="00190923" w:rsidRPr="00981405">
        <w:t xml:space="preserve"> </w:t>
      </w:r>
      <w:r w:rsidRPr="00981405">
        <w:t>apply</w:t>
      </w:r>
      <w:r w:rsidR="00190923" w:rsidRPr="00981405">
        <w:t xml:space="preserve"> </w:t>
      </w:r>
      <w:r w:rsidRPr="00981405">
        <w:t>to</w:t>
      </w:r>
      <w:r w:rsidR="00190923" w:rsidRPr="00981405">
        <w:t xml:space="preserve"> </w:t>
      </w:r>
      <w:r w:rsidRPr="00981405">
        <w:t>dispute</w:t>
      </w:r>
      <w:r w:rsidR="00190923" w:rsidRPr="00981405">
        <w:t xml:space="preserve"> </w:t>
      </w:r>
      <w:r w:rsidRPr="00981405">
        <w:t>resolution</w:t>
      </w:r>
      <w:r w:rsidR="00190923" w:rsidRPr="00981405">
        <w:t xml:space="preserve"> </w:t>
      </w:r>
      <w:r w:rsidRPr="00981405">
        <w:t>provisions;</w:t>
      </w:r>
      <w:r w:rsidR="00190923" w:rsidRPr="00981405">
        <w:t xml:space="preserve"> </w:t>
      </w:r>
      <w:r w:rsidRPr="00981405">
        <w:t>(b)</w:t>
      </w:r>
      <w:r w:rsidR="00190923" w:rsidRPr="00981405">
        <w:t xml:space="preserve"> </w:t>
      </w:r>
      <w:r w:rsidRPr="00981405">
        <w:t>specifically</w:t>
      </w:r>
      <w:r w:rsidR="00190923" w:rsidRPr="00981405">
        <w:t xml:space="preserve"> </w:t>
      </w:r>
      <w:r w:rsidRPr="00981405">
        <w:t>stating</w:t>
      </w:r>
      <w:r w:rsidR="00190923" w:rsidRPr="00981405">
        <w:t xml:space="preserve"> </w:t>
      </w:r>
      <w:r w:rsidRPr="00981405">
        <w:t>that</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does</w:t>
      </w:r>
      <w:r w:rsidR="00190923" w:rsidRPr="00981405">
        <w:t xml:space="preserve"> </w:t>
      </w:r>
      <w:r w:rsidRPr="00981405">
        <w:t>apply</w:t>
      </w:r>
      <w:r w:rsidR="00190923" w:rsidRPr="00981405">
        <w:t xml:space="preserve"> </w:t>
      </w:r>
      <w:r w:rsidRPr="00981405">
        <w:t>to</w:t>
      </w:r>
      <w:r w:rsidR="00190923" w:rsidRPr="00981405">
        <w:t xml:space="preserve"> </w:t>
      </w:r>
      <w:r w:rsidRPr="00981405">
        <w:t>dispute</w:t>
      </w:r>
      <w:r w:rsidR="00190923" w:rsidRPr="00981405">
        <w:t xml:space="preserve"> </w:t>
      </w:r>
      <w:r w:rsidRPr="00981405">
        <w:t>resolution</w:t>
      </w:r>
      <w:r w:rsidR="00190923" w:rsidRPr="00981405">
        <w:t xml:space="preserve"> </w:t>
      </w:r>
      <w:r w:rsidRPr="00981405">
        <w:t>provisions;</w:t>
      </w:r>
      <w:r w:rsidR="00190923" w:rsidRPr="00981405">
        <w:t xml:space="preserve"> </w:t>
      </w:r>
      <w:r w:rsidRPr="00981405">
        <w:t>or</w:t>
      </w:r>
      <w:r w:rsidR="00190923" w:rsidRPr="00981405">
        <w:t xml:space="preserve"> </w:t>
      </w:r>
      <w:r w:rsidRPr="00981405">
        <w:t>(c)</w:t>
      </w:r>
      <w:r w:rsidR="00190923" w:rsidRPr="00981405">
        <w:t xml:space="preserve"> </w:t>
      </w:r>
      <w:r w:rsidRPr="00981405">
        <w:t>specifically</w:t>
      </w:r>
      <w:r w:rsidR="00190923" w:rsidRPr="00981405">
        <w:t xml:space="preserve"> </w:t>
      </w:r>
      <w:r w:rsidRPr="00981405">
        <w:t>enumerating</w:t>
      </w:r>
      <w:r w:rsidR="00190923" w:rsidRPr="00981405">
        <w:t xml:space="preserve"> </w:t>
      </w:r>
      <w:r w:rsidRPr="00981405">
        <w:t>the</w:t>
      </w:r>
      <w:r w:rsidR="00190923" w:rsidRPr="00981405">
        <w:t xml:space="preserve"> </w:t>
      </w:r>
      <w:r w:rsidRPr="00981405">
        <w:t>fields</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applies.</w:t>
      </w:r>
    </w:p>
    <w:p w:rsidR="00397032" w:rsidRPr="00981405" w:rsidRDefault="00397032" w:rsidP="00D97463">
      <w:pPr>
        <w:pStyle w:val="SingleTxt"/>
      </w:pPr>
      <w:r w:rsidRPr="00981405">
        <w:t>40.</w:t>
      </w:r>
      <w:r w:rsidRPr="00981405">
        <w:tab/>
        <w:t>Part</w:t>
      </w:r>
      <w:r w:rsidR="00190923" w:rsidRPr="00981405">
        <w:t xml:space="preserve"> </w:t>
      </w:r>
      <w:r w:rsidRPr="00981405">
        <w:t>V</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contains</w:t>
      </w:r>
      <w:r w:rsidR="00190923" w:rsidRPr="00981405">
        <w:t xml:space="preserve"> </w:t>
      </w:r>
      <w:r w:rsidRPr="00981405">
        <w:t>the</w:t>
      </w:r>
      <w:r w:rsidR="00190923" w:rsidRPr="00981405">
        <w:t xml:space="preserve"> </w:t>
      </w:r>
      <w:r w:rsidRPr="00981405">
        <w:t>conclusions</w:t>
      </w:r>
      <w:r w:rsidR="00190923" w:rsidRPr="00981405">
        <w:t xml:space="preserve"> </w:t>
      </w:r>
      <w:r w:rsidRPr="00981405">
        <w:t>reached</w:t>
      </w:r>
      <w:r w:rsidR="00190923" w:rsidRPr="00981405">
        <w:t xml:space="preserve"> </w:t>
      </w:r>
      <w:r w:rsidRPr="00981405">
        <w:t>by</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underlining,</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and</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(VCLT),</w:t>
      </w:r>
      <w:r w:rsidR="00190923" w:rsidRPr="00981405">
        <w:t xml:space="preserve"> </w:t>
      </w:r>
      <w:r w:rsidRPr="00981405">
        <w:t>as</w:t>
      </w:r>
      <w:r w:rsidR="00190923" w:rsidRPr="00981405">
        <w:t xml:space="preserve"> </w:t>
      </w:r>
      <w:r w:rsidRPr="00981405">
        <w:t>a</w:t>
      </w:r>
      <w:r w:rsidR="00190923" w:rsidRPr="00981405">
        <w:t xml:space="preserve"> </w:t>
      </w:r>
      <w:r w:rsidRPr="00981405">
        <w:t>point</w:t>
      </w:r>
      <w:r w:rsidR="00190923" w:rsidRPr="00981405">
        <w:t xml:space="preserve"> </w:t>
      </w:r>
      <w:r w:rsidRPr="00981405">
        <w:t>of</w:t>
      </w:r>
      <w:r w:rsidR="00190923" w:rsidRPr="00981405">
        <w:t xml:space="preserve"> </w:t>
      </w:r>
      <w:r w:rsidRPr="00981405">
        <w:t>departure,</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undertaken</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as</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the</w:t>
      </w:r>
      <w:r w:rsidR="00190923" w:rsidRPr="00981405">
        <w:t xml:space="preserve"> </w:t>
      </w:r>
      <w:r w:rsidRPr="00981405">
        <w:t>VCLT.</w:t>
      </w:r>
    </w:p>
    <w:p w:rsidR="00397032" w:rsidRPr="00981405" w:rsidRDefault="00397032" w:rsidP="00D97463">
      <w:pPr>
        <w:pStyle w:val="SingleTxt"/>
      </w:pPr>
      <w:r w:rsidRPr="00981405">
        <w:t>41.</w:t>
      </w:r>
      <w:r w:rsidRPr="00981405">
        <w:tab/>
        <w:t>At</w:t>
      </w:r>
      <w:r w:rsidR="00190923" w:rsidRPr="00981405">
        <w:t xml:space="preserve"> </w:t>
      </w:r>
      <w:r w:rsidRPr="00981405">
        <w:t>its</w:t>
      </w:r>
      <w:r w:rsidR="00190923" w:rsidRPr="00981405">
        <w:t xml:space="preserve"> </w:t>
      </w:r>
      <w:r w:rsidRPr="00981405">
        <w:t>3277th</w:t>
      </w:r>
      <w:r w:rsidR="00190923" w:rsidRPr="00981405">
        <w:t xml:space="preserve"> </w:t>
      </w:r>
      <w:r w:rsidRPr="00981405">
        <w:t>meeting,</w:t>
      </w:r>
      <w:r w:rsidR="00190923" w:rsidRPr="00981405">
        <w:t xml:space="preserve"> </w:t>
      </w:r>
      <w:r w:rsidRPr="00981405">
        <w:t>on</w:t>
      </w:r>
      <w:r w:rsidR="00190923" w:rsidRPr="00981405">
        <w:t xml:space="preserve"> </w:t>
      </w:r>
      <w:r w:rsidRPr="00981405">
        <w:t>23</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welcomed</w:t>
      </w:r>
      <w:r w:rsidR="00190923" w:rsidRPr="00981405">
        <w:t xml:space="preserve"> </w:t>
      </w:r>
      <w:r w:rsidRPr="00981405">
        <w:t>with</w:t>
      </w:r>
      <w:r w:rsidR="00190923" w:rsidRPr="00981405">
        <w:t xml:space="preserve"> </w:t>
      </w:r>
      <w:r w:rsidRPr="00981405">
        <w:t>appreciation</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The</w:t>
      </w:r>
      <w:r w:rsidR="00190923" w:rsidRPr="00981405">
        <w:t xml:space="preserve"> </w:t>
      </w:r>
      <w:r w:rsidRPr="00981405">
        <w:t>Commission</w:t>
      </w:r>
      <w:r w:rsidR="00190923" w:rsidRPr="00981405">
        <w:rPr>
          <w:rFonts w:eastAsia="Calibri"/>
        </w:rPr>
        <w:t xml:space="preserve"> </w:t>
      </w:r>
      <w:r w:rsidRPr="00981405">
        <w:t>commended</w:t>
      </w:r>
      <w:r w:rsidR="00190923" w:rsidRPr="00981405">
        <w:t xml:space="preserve"> </w:t>
      </w:r>
      <w:r w:rsidRPr="00981405">
        <w:t>the</w:t>
      </w:r>
      <w:r w:rsidR="00190923" w:rsidRPr="00981405">
        <w:t xml:space="preserve"> </w:t>
      </w:r>
      <w:r w:rsidRPr="00981405">
        <w:t>final</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attention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and</w:t>
      </w:r>
      <w:r w:rsidR="00190923" w:rsidRPr="00981405">
        <w:t xml:space="preserve"> </w:t>
      </w:r>
      <w:r w:rsidRPr="00981405">
        <w:t>encouraged</w:t>
      </w:r>
      <w:r w:rsidR="00190923" w:rsidRPr="00981405">
        <w:t xml:space="preserve"> </w:t>
      </w:r>
      <w:r w:rsidRPr="00981405">
        <w:t>its</w:t>
      </w:r>
      <w:r w:rsidR="00190923" w:rsidRPr="00981405">
        <w:t xml:space="preserve"> </w:t>
      </w:r>
      <w:r w:rsidRPr="00981405">
        <w:t>widest</w:t>
      </w:r>
      <w:r w:rsidR="00190923" w:rsidRPr="00981405">
        <w:t xml:space="preserve"> </w:t>
      </w:r>
      <w:r w:rsidRPr="00981405">
        <w:t>possible</w:t>
      </w:r>
      <w:r w:rsidR="00190923" w:rsidRPr="00981405">
        <w:t xml:space="preserve"> </w:t>
      </w:r>
      <w:r w:rsidRPr="00981405">
        <w:t>dissemination.</w:t>
      </w:r>
    </w:p>
    <w:p w:rsidR="00397032" w:rsidRPr="00981405" w:rsidRDefault="00397032" w:rsidP="00D97463">
      <w:pPr>
        <w:pStyle w:val="SingleTxt"/>
      </w:pPr>
      <w:r w:rsidRPr="00981405">
        <w:lastRenderedPageBreak/>
        <w:t>42.</w:t>
      </w:r>
      <w:r w:rsidR="00190923" w:rsidRPr="00981405">
        <w:t xml:space="preserve"> </w:t>
      </w:r>
      <w:r w:rsidRPr="00981405">
        <w:t>At</w:t>
      </w:r>
      <w:r w:rsidR="00190923" w:rsidRPr="00981405">
        <w:t xml:space="preserve"> </w:t>
      </w:r>
      <w:r w:rsidRPr="00981405">
        <w:t>its</w:t>
      </w:r>
      <w:r w:rsidR="00190923" w:rsidRPr="00981405">
        <w:t xml:space="preserve"> </w:t>
      </w:r>
      <w:r w:rsidRPr="00981405">
        <w:t>3277th</w:t>
      </w:r>
      <w:r w:rsidR="00190923" w:rsidRPr="00981405">
        <w:t xml:space="preserve"> </w:t>
      </w:r>
      <w:r w:rsidRPr="00981405">
        <w:t>meeting,</w:t>
      </w:r>
      <w:r w:rsidR="00190923" w:rsidRPr="00981405">
        <w:t xml:space="preserve"> </w:t>
      </w:r>
      <w:r w:rsidRPr="00981405">
        <w:t>on</w:t>
      </w:r>
      <w:r w:rsidR="00190923" w:rsidRPr="00981405">
        <w:t xml:space="preserve"> </w:t>
      </w:r>
      <w:r w:rsidRPr="00981405">
        <w:t>23</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the</w:t>
      </w:r>
      <w:r w:rsidR="00190923" w:rsidRPr="00981405">
        <w:t xml:space="preserve"> </w:t>
      </w:r>
      <w:r w:rsidRPr="00981405">
        <w:t>following</w:t>
      </w:r>
      <w:r w:rsidR="00190923" w:rsidRPr="00981405">
        <w:t xml:space="preserve"> </w:t>
      </w:r>
      <w:r w:rsidRPr="00981405">
        <w:t>summary</w:t>
      </w:r>
      <w:r w:rsidR="00190923" w:rsidRPr="00981405">
        <w:t xml:space="preserve"> </w:t>
      </w:r>
      <w:r w:rsidRPr="00981405">
        <w:t>conclusions:</w:t>
      </w:r>
    </w:p>
    <w:p w:rsidR="00397032" w:rsidRPr="00981405" w:rsidRDefault="00D94FA8" w:rsidP="00D97463">
      <w:pPr>
        <w:pStyle w:val="SingleTxt"/>
      </w:pPr>
      <w:r w:rsidRPr="00981405">
        <w:tab/>
      </w:r>
      <w:r w:rsidR="00397032" w:rsidRPr="00981405">
        <w:t>(a)</w:t>
      </w:r>
      <w:r w:rsidR="00397032" w:rsidRPr="00981405">
        <w:tab/>
        <w:t>The</w:t>
      </w:r>
      <w:r w:rsidR="00190923" w:rsidRPr="00981405">
        <w:t xml:space="preserve"> </w:t>
      </w:r>
      <w:r w:rsidR="00397032" w:rsidRPr="00981405">
        <w:t>Commission</w:t>
      </w:r>
      <w:r w:rsidR="00190923" w:rsidRPr="00981405">
        <w:t xml:space="preserve"> </w:t>
      </w:r>
      <w:r w:rsidR="00397032" w:rsidRPr="00981405">
        <w:t>notes</w:t>
      </w:r>
      <w:r w:rsidR="00190923" w:rsidRPr="00981405">
        <w:t xml:space="preserve"> </w:t>
      </w:r>
      <w:r w:rsidR="00397032" w:rsidRPr="00981405">
        <w:t>that</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remain</w:t>
      </w:r>
      <w:r w:rsidR="00190923" w:rsidRPr="00981405">
        <w:t xml:space="preserve"> </w:t>
      </w:r>
      <w:r w:rsidR="00397032" w:rsidRPr="00981405">
        <w:t>unchanged</w:t>
      </w:r>
      <w:r w:rsidR="00190923" w:rsidRPr="00981405">
        <w:t xml:space="preserve"> </w:t>
      </w:r>
      <w:r w:rsidR="00397032" w:rsidRPr="00981405">
        <w:t>in</w:t>
      </w:r>
      <w:r w:rsidR="00190923" w:rsidRPr="00981405">
        <w:t xml:space="preserve"> </w:t>
      </w:r>
      <w:r w:rsidR="00397032" w:rsidRPr="00981405">
        <w:t>character</w:t>
      </w:r>
      <w:r w:rsidR="00190923" w:rsidRPr="00981405">
        <w:t xml:space="preserve"> </w:t>
      </w:r>
      <w:r w:rsidR="00397032" w:rsidRPr="00981405">
        <w:t>from</w:t>
      </w:r>
      <w:r w:rsidR="00190923" w:rsidRPr="00981405">
        <w:t xml:space="preserve"> </w:t>
      </w:r>
      <w:r w:rsidR="00397032" w:rsidRPr="00981405">
        <w:t>the</w:t>
      </w:r>
      <w:r w:rsidR="00190923" w:rsidRPr="00981405">
        <w:t xml:space="preserve"> </w:t>
      </w:r>
      <w:r w:rsidR="00397032" w:rsidRPr="00981405">
        <w:t>time</w:t>
      </w:r>
      <w:r w:rsidR="00190923" w:rsidRPr="00981405">
        <w:t xml:space="preserve"> </w:t>
      </w:r>
      <w:r w:rsidR="00397032" w:rsidRPr="00981405">
        <w:t>the</w:t>
      </w:r>
      <w:r w:rsidR="00190923" w:rsidRPr="00981405">
        <w:t xml:space="preserve"> </w:t>
      </w:r>
      <w:r w:rsidR="00397032" w:rsidRPr="00981405">
        <w:t>1978</w:t>
      </w:r>
      <w:r w:rsidR="00190923" w:rsidRPr="00981405">
        <w:t xml:space="preserve"> </w:t>
      </w:r>
      <w:r w:rsidR="00397032" w:rsidRPr="00981405">
        <w:t>draft</w:t>
      </w:r>
      <w:r w:rsidR="00190923" w:rsidRPr="00981405">
        <w:t xml:space="preserve"> </w:t>
      </w:r>
      <w:r w:rsidR="00397032" w:rsidRPr="00981405">
        <w:t>articles</w:t>
      </w:r>
      <w:r w:rsidR="00190923" w:rsidRPr="00981405">
        <w:t xml:space="preserve"> </w:t>
      </w:r>
      <w:r w:rsidR="00397032" w:rsidRPr="00981405">
        <w:t>were</w:t>
      </w:r>
      <w:r w:rsidR="00190923" w:rsidRPr="00981405">
        <w:t xml:space="preserve"> </w:t>
      </w:r>
      <w:r w:rsidR="00397032" w:rsidRPr="00981405">
        <w:t>concluded.</w:t>
      </w:r>
      <w:r w:rsidR="00190923" w:rsidRPr="00981405">
        <w:t xml:space="preserve"> </w:t>
      </w:r>
      <w:r w:rsidR="00397032" w:rsidRPr="00981405">
        <w:t>The</w:t>
      </w:r>
      <w:r w:rsidR="00190923" w:rsidRPr="00981405">
        <w:t xml:space="preserve"> </w:t>
      </w:r>
      <w:r w:rsidR="00397032" w:rsidRPr="00981405">
        <w:t>core</w:t>
      </w:r>
      <w:r w:rsidR="00190923" w:rsidRPr="00981405">
        <w:t xml:space="preserve"> </w:t>
      </w:r>
      <w:r w:rsidR="00397032" w:rsidRPr="00981405">
        <w:t>provisions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1978</w:t>
      </w:r>
      <w:r w:rsidR="00190923" w:rsidRPr="00981405">
        <w:t xml:space="preserve"> </w:t>
      </w:r>
      <w:r w:rsidR="00397032" w:rsidRPr="00981405">
        <w:t>draft</w:t>
      </w:r>
      <w:r w:rsidR="00190923" w:rsidRPr="00981405">
        <w:t xml:space="preserve"> </w:t>
      </w:r>
      <w:r w:rsidR="00397032" w:rsidRPr="00981405">
        <w:t>articles</w:t>
      </w:r>
      <w:r w:rsidR="00190923" w:rsidRPr="00981405">
        <w:t xml:space="preserve"> </w:t>
      </w:r>
      <w:r w:rsidR="00397032" w:rsidRPr="00981405">
        <w:t>continue</w:t>
      </w:r>
      <w:r w:rsidR="00190923" w:rsidRPr="00981405">
        <w:t xml:space="preserve"> </w:t>
      </w:r>
      <w:r w:rsidR="00397032" w:rsidRPr="00981405">
        <w:t>to</w:t>
      </w:r>
      <w:r w:rsidR="00190923" w:rsidRPr="00981405">
        <w:t xml:space="preserve"> </w:t>
      </w:r>
      <w:r w:rsidR="00397032" w:rsidRPr="00981405">
        <w:t>be</w:t>
      </w:r>
      <w:r w:rsidR="00190923" w:rsidRPr="00981405">
        <w:t xml:space="preserve"> </w:t>
      </w:r>
      <w:r w:rsidR="00397032" w:rsidRPr="00981405">
        <w:t>the</w:t>
      </w:r>
      <w:r w:rsidR="00190923" w:rsidRPr="00981405">
        <w:t xml:space="preserve"> </w:t>
      </w:r>
      <w:r w:rsidR="00397032" w:rsidRPr="00981405">
        <w:t>basis</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and</w:t>
      </w:r>
      <w:r w:rsidR="00190923" w:rsidRPr="00981405">
        <w:t xml:space="preserve"> </w:t>
      </w:r>
      <w:r w:rsidR="00397032" w:rsidRPr="00981405">
        <w:t>application</w:t>
      </w:r>
      <w:r w:rsidR="00190923" w:rsidRPr="00981405">
        <w:t xml:space="preserve"> </w:t>
      </w:r>
      <w:r w:rsidR="00397032" w:rsidRPr="00981405">
        <w:t>of</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today.</w:t>
      </w:r>
      <w:r w:rsidR="00190923" w:rsidRPr="00981405">
        <w:t xml:space="preserve"> </w:t>
      </w:r>
      <w:r w:rsidR="00397032" w:rsidRPr="00981405">
        <w:t>However,</w:t>
      </w:r>
      <w:r w:rsidR="00190923" w:rsidRPr="00981405">
        <w:t xml:space="preserve"> </w:t>
      </w:r>
      <w:r w:rsidR="00397032" w:rsidRPr="00981405">
        <w:t>they</w:t>
      </w:r>
      <w:r w:rsidR="00190923" w:rsidRPr="00981405">
        <w:t xml:space="preserve"> </w:t>
      </w:r>
      <w:r w:rsidR="00397032" w:rsidRPr="00981405">
        <w:t>do</w:t>
      </w:r>
      <w:r w:rsidR="00190923" w:rsidRPr="00981405">
        <w:t xml:space="preserve"> </w:t>
      </w:r>
      <w:r w:rsidR="00397032" w:rsidRPr="00981405">
        <w:t>not</w:t>
      </w:r>
      <w:r w:rsidR="00190923" w:rsidRPr="00981405">
        <w:t xml:space="preserve"> </w:t>
      </w:r>
      <w:r w:rsidR="00397032" w:rsidRPr="00981405">
        <w:t>provide</w:t>
      </w:r>
      <w:r w:rsidR="00190923" w:rsidRPr="00981405">
        <w:t xml:space="preserve"> </w:t>
      </w:r>
      <w:r w:rsidR="00397032" w:rsidRPr="00981405">
        <w:t>answers</w:t>
      </w:r>
      <w:r w:rsidR="00190923" w:rsidRPr="00981405">
        <w:t xml:space="preserve"> </w:t>
      </w:r>
      <w:r w:rsidR="00397032" w:rsidRPr="00981405">
        <w:t>to</w:t>
      </w:r>
      <w:r w:rsidR="00190923" w:rsidRPr="00981405">
        <w:t xml:space="preserve"> </w:t>
      </w:r>
      <w:r w:rsidR="00397032" w:rsidRPr="00981405">
        <w:t>all</w:t>
      </w:r>
      <w:r w:rsidR="00190923" w:rsidRPr="00981405">
        <w:t xml:space="preserve"> </w:t>
      </w:r>
      <w:r w:rsidR="00397032" w:rsidRPr="00981405">
        <w:t>the</w:t>
      </w:r>
      <w:r w:rsidR="00190923" w:rsidRPr="00981405">
        <w:t xml:space="preserve"> </w:t>
      </w:r>
      <w:r w:rsidR="00397032" w:rsidRPr="00981405">
        <w:t>interpretative</w:t>
      </w:r>
      <w:r w:rsidR="00190923" w:rsidRPr="00981405">
        <w:t xml:space="preserve"> </w:t>
      </w:r>
      <w:r w:rsidR="00397032" w:rsidRPr="00981405">
        <w:t>issues</w:t>
      </w:r>
      <w:r w:rsidR="00190923" w:rsidRPr="00981405">
        <w:t xml:space="preserve"> </w:t>
      </w:r>
      <w:r w:rsidR="00397032" w:rsidRPr="00981405">
        <w:t>that</w:t>
      </w:r>
      <w:r w:rsidR="00190923" w:rsidRPr="00981405">
        <w:t xml:space="preserve"> </w:t>
      </w:r>
      <w:r w:rsidR="00397032" w:rsidRPr="00981405">
        <w:t>can</w:t>
      </w:r>
      <w:r w:rsidR="00190923" w:rsidRPr="00981405">
        <w:t xml:space="preserve"> </w:t>
      </w:r>
      <w:r w:rsidR="00397032" w:rsidRPr="00981405">
        <w:t>arise</w:t>
      </w:r>
      <w:r w:rsidR="00190923" w:rsidRPr="00981405">
        <w:t xml:space="preserve"> </w:t>
      </w:r>
      <w:r w:rsidR="00397032" w:rsidRPr="00981405">
        <w:t>with</w:t>
      </w:r>
      <w:r w:rsidR="00190923" w:rsidRPr="00981405">
        <w:t xml:space="preserve"> </w:t>
      </w:r>
      <w:r w:rsidR="00397032" w:rsidRPr="00981405">
        <w:t>MFN</w:t>
      </w:r>
      <w:r w:rsidR="00190923" w:rsidRPr="00981405">
        <w:t xml:space="preserve"> </w:t>
      </w:r>
      <w:r w:rsidR="00397032" w:rsidRPr="00981405">
        <w:t>clauses</w:t>
      </w:r>
      <w:r w:rsidR="00AD4831">
        <w:t>;</w:t>
      </w:r>
    </w:p>
    <w:p w:rsidR="00397032" w:rsidRPr="00981405" w:rsidRDefault="00D94FA8" w:rsidP="00D97463">
      <w:pPr>
        <w:pStyle w:val="SingleTxt"/>
      </w:pPr>
      <w:r w:rsidRPr="00981405">
        <w:tab/>
      </w:r>
      <w:r w:rsidR="00397032" w:rsidRPr="00981405">
        <w:t>(b)</w:t>
      </w:r>
      <w:r w:rsidR="00397032" w:rsidRPr="00981405">
        <w:tab/>
        <w:t>The</w:t>
      </w:r>
      <w:r w:rsidR="00190923" w:rsidRPr="00981405">
        <w:t xml:space="preserve"> </w:t>
      </w:r>
      <w:r w:rsidR="00397032" w:rsidRPr="00981405">
        <w:t>Commission</w:t>
      </w:r>
      <w:r w:rsidR="00190923" w:rsidRPr="00981405">
        <w:t xml:space="preserve"> </w:t>
      </w:r>
      <w:r w:rsidR="00397032" w:rsidRPr="00981405">
        <w:t>underlines</w:t>
      </w:r>
      <w:r w:rsidR="00190923" w:rsidRPr="00981405">
        <w:t xml:space="preserve"> </w:t>
      </w:r>
      <w:r w:rsidR="00397032" w:rsidRPr="00981405">
        <w:t>the</w:t>
      </w:r>
      <w:r w:rsidR="00190923" w:rsidRPr="00981405">
        <w:t xml:space="preserve"> </w:t>
      </w:r>
      <w:r w:rsidR="00397032" w:rsidRPr="00981405">
        <w:t>importance</w:t>
      </w:r>
      <w:r w:rsidR="00190923" w:rsidRPr="00981405">
        <w:t xml:space="preserve"> </w:t>
      </w:r>
      <w:r w:rsidR="00397032" w:rsidRPr="00981405">
        <w:t>and</w:t>
      </w:r>
      <w:r w:rsidR="00190923" w:rsidRPr="00981405">
        <w:t xml:space="preserve"> </w:t>
      </w:r>
      <w:r w:rsidR="00397032" w:rsidRPr="00981405">
        <w:t>relevance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Vienna</w:t>
      </w:r>
      <w:r w:rsidR="00190923" w:rsidRPr="00981405">
        <w:t xml:space="preserve"> </w:t>
      </w:r>
      <w:r w:rsidR="00397032" w:rsidRPr="00981405">
        <w:t>Convention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Law</w:t>
      </w:r>
      <w:r w:rsidR="00190923" w:rsidRPr="00981405">
        <w:t xml:space="preserve"> </w:t>
      </w:r>
      <w:r w:rsidR="00397032" w:rsidRPr="00981405">
        <w:t>of</w:t>
      </w:r>
      <w:r w:rsidR="00190923" w:rsidRPr="00981405">
        <w:t xml:space="preserve"> </w:t>
      </w:r>
      <w:r w:rsidR="00397032" w:rsidRPr="00981405">
        <w:t>Treaties</w:t>
      </w:r>
      <w:r w:rsidR="00190923" w:rsidRPr="00981405">
        <w:t xml:space="preserve"> </w:t>
      </w:r>
      <w:r w:rsidR="00397032" w:rsidRPr="00981405">
        <w:t>(VCLT),</w:t>
      </w:r>
      <w:r w:rsidR="00190923" w:rsidRPr="00981405">
        <w:t xml:space="preserve"> </w:t>
      </w:r>
      <w:r w:rsidR="00397032" w:rsidRPr="00981405">
        <w:t>as</w:t>
      </w:r>
      <w:r w:rsidR="00190923" w:rsidRPr="00981405">
        <w:t xml:space="preserve"> </w:t>
      </w:r>
      <w:r w:rsidR="00397032" w:rsidRPr="00981405">
        <w:t>a</w:t>
      </w:r>
      <w:r w:rsidR="00190923" w:rsidRPr="00981405">
        <w:t xml:space="preserve"> </w:t>
      </w:r>
      <w:r w:rsidR="00397032" w:rsidRPr="00981405">
        <w:t>point</w:t>
      </w:r>
      <w:r w:rsidR="00190923" w:rsidRPr="00981405">
        <w:t xml:space="preserve"> </w:t>
      </w:r>
      <w:r w:rsidR="00397032" w:rsidRPr="00981405">
        <w:t>of</w:t>
      </w:r>
      <w:r w:rsidR="00190923" w:rsidRPr="00981405">
        <w:t xml:space="preserve"> </w:t>
      </w:r>
      <w:r w:rsidR="00397032" w:rsidRPr="00981405">
        <w:t>departure,</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investment</w:t>
      </w:r>
      <w:r w:rsidR="00190923" w:rsidRPr="00981405">
        <w:t xml:space="preserve"> </w:t>
      </w:r>
      <w:r w:rsidR="00397032" w:rsidRPr="00981405">
        <w:t>treaties.</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is</w:t>
      </w:r>
      <w:r w:rsidR="00190923" w:rsidRPr="00981405">
        <w:t xml:space="preserve"> </w:t>
      </w:r>
      <w:r w:rsidR="00397032" w:rsidRPr="00981405">
        <w:t>to</w:t>
      </w:r>
      <w:r w:rsidR="00190923" w:rsidRPr="00981405">
        <w:t xml:space="preserve"> </w:t>
      </w:r>
      <w:r w:rsidR="00397032" w:rsidRPr="00981405">
        <w:t>be</w:t>
      </w:r>
      <w:r w:rsidR="00190923" w:rsidRPr="00981405">
        <w:t xml:space="preserve"> </w:t>
      </w:r>
      <w:r w:rsidR="00397032" w:rsidRPr="00981405">
        <w:t>undertaken</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basis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rules</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treaties</w:t>
      </w:r>
      <w:r w:rsidR="00190923" w:rsidRPr="00981405">
        <w:t xml:space="preserve"> </w:t>
      </w:r>
      <w:r w:rsidR="00397032" w:rsidRPr="00981405">
        <w:t>as</w:t>
      </w:r>
      <w:r w:rsidR="00190923" w:rsidRPr="00981405">
        <w:t xml:space="preserve"> </w:t>
      </w:r>
      <w:r w:rsidR="00397032" w:rsidRPr="00981405">
        <w:t>set</w:t>
      </w:r>
      <w:r w:rsidR="00190923" w:rsidRPr="00981405">
        <w:t xml:space="preserve"> </w:t>
      </w:r>
      <w:r w:rsidR="00397032" w:rsidRPr="00981405">
        <w:t>out</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VCLT</w:t>
      </w:r>
      <w:r w:rsidR="00AD4831">
        <w:t>;</w:t>
      </w:r>
    </w:p>
    <w:p w:rsidR="00397032" w:rsidRPr="00981405" w:rsidRDefault="00D94FA8" w:rsidP="00D97463">
      <w:pPr>
        <w:pStyle w:val="SingleTxt"/>
      </w:pPr>
      <w:r w:rsidRPr="00981405">
        <w:tab/>
      </w:r>
      <w:r w:rsidR="00397032" w:rsidRPr="00981405">
        <w:t>(c)</w:t>
      </w:r>
      <w:r w:rsidR="00397032" w:rsidRPr="00981405">
        <w:tab/>
        <w:t>The</w:t>
      </w:r>
      <w:r w:rsidR="00190923" w:rsidRPr="00981405">
        <w:t xml:space="preserve"> </w:t>
      </w:r>
      <w:r w:rsidR="00397032" w:rsidRPr="00981405">
        <w:t>central</w:t>
      </w:r>
      <w:r w:rsidR="00190923" w:rsidRPr="00981405">
        <w:t xml:space="preserve"> </w:t>
      </w:r>
      <w:r w:rsidR="00397032" w:rsidRPr="00981405">
        <w:t>interpretative</w:t>
      </w:r>
      <w:r w:rsidR="00190923" w:rsidRPr="00981405">
        <w:t xml:space="preserve"> </w:t>
      </w:r>
      <w:r w:rsidR="00397032" w:rsidRPr="00981405">
        <w:t>issue</w:t>
      </w:r>
      <w:r w:rsidR="00190923" w:rsidRPr="00981405">
        <w:t xml:space="preserve"> </w:t>
      </w:r>
      <w:r w:rsidR="00397032" w:rsidRPr="00981405">
        <w:t>in</w:t>
      </w:r>
      <w:r w:rsidR="00190923" w:rsidRPr="00981405">
        <w:t xml:space="preserve"> </w:t>
      </w:r>
      <w:r w:rsidR="00397032" w:rsidRPr="00981405">
        <w:t>respect</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relates</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scope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clause</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application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D97463">
        <w:rPr>
          <w:i/>
          <w:iCs/>
        </w:rPr>
        <w:t>ejusdem</w:t>
      </w:r>
      <w:r w:rsidR="00190923" w:rsidRPr="00981405">
        <w:rPr>
          <w:i/>
          <w:iCs/>
        </w:rPr>
        <w:t xml:space="preserve"> </w:t>
      </w:r>
      <w:r w:rsidR="00397032" w:rsidRPr="00D97463">
        <w:rPr>
          <w:i/>
          <w:iCs/>
        </w:rPr>
        <w:t>generis</w:t>
      </w:r>
      <w:r w:rsidR="00190923" w:rsidRPr="00981405">
        <w:t xml:space="preserve"> </w:t>
      </w:r>
      <w:r w:rsidR="00397032" w:rsidRPr="00981405">
        <w:t>principle.</w:t>
      </w:r>
      <w:r w:rsidR="00190923" w:rsidRPr="00981405">
        <w:t xml:space="preserve"> </w:t>
      </w:r>
      <w:r w:rsidR="00397032" w:rsidRPr="00981405">
        <w:t>That</w:t>
      </w:r>
      <w:r w:rsidR="00190923" w:rsidRPr="00981405">
        <w:t xml:space="preserve"> </w:t>
      </w:r>
      <w:r w:rsidR="00397032" w:rsidRPr="00981405">
        <w:t>is,</w:t>
      </w:r>
      <w:r w:rsidR="00190923" w:rsidRPr="00981405">
        <w:t xml:space="preserve"> </w:t>
      </w:r>
      <w:r w:rsidR="00397032" w:rsidRPr="00981405">
        <w:t>the</w:t>
      </w:r>
      <w:r w:rsidR="00190923" w:rsidRPr="00981405">
        <w:t xml:space="preserve"> </w:t>
      </w:r>
      <w:r w:rsidR="00397032" w:rsidRPr="00981405">
        <w:t>scope</w:t>
      </w:r>
      <w:r w:rsidR="00190923" w:rsidRPr="00981405">
        <w:t xml:space="preserve"> </w:t>
      </w:r>
      <w:r w:rsidR="00397032" w:rsidRPr="00981405">
        <w:t>and</w:t>
      </w:r>
      <w:r w:rsidR="00190923" w:rsidRPr="00981405">
        <w:t xml:space="preserve"> </w:t>
      </w:r>
      <w:r w:rsidR="00397032" w:rsidRPr="00981405">
        <w:t>nature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benefit</w:t>
      </w:r>
      <w:r w:rsidR="00190923" w:rsidRPr="00981405">
        <w:t xml:space="preserve"> </w:t>
      </w:r>
      <w:r w:rsidR="00397032" w:rsidRPr="00981405">
        <w:t>that</w:t>
      </w:r>
      <w:r w:rsidR="00190923" w:rsidRPr="00981405">
        <w:t xml:space="preserve"> </w:t>
      </w:r>
      <w:r w:rsidR="00397032" w:rsidRPr="00981405">
        <w:t>can</w:t>
      </w:r>
      <w:r w:rsidR="00190923" w:rsidRPr="00981405">
        <w:t xml:space="preserve"> </w:t>
      </w:r>
      <w:r w:rsidR="00397032" w:rsidRPr="00981405">
        <w:t>be</w:t>
      </w:r>
      <w:r w:rsidR="00190923" w:rsidRPr="00981405">
        <w:t xml:space="preserve"> </w:t>
      </w:r>
      <w:r w:rsidR="00397032" w:rsidRPr="00981405">
        <w:t>obtained</w:t>
      </w:r>
      <w:r w:rsidR="00190923" w:rsidRPr="00981405">
        <w:t xml:space="preserve"> </w:t>
      </w:r>
      <w:r w:rsidR="00397032" w:rsidRPr="00981405">
        <w:t>under</w:t>
      </w:r>
      <w:r w:rsidR="00190923" w:rsidRPr="00981405">
        <w:t xml:space="preserve"> </w:t>
      </w:r>
      <w:r w:rsidR="00397032" w:rsidRPr="00981405">
        <w:t>an</w:t>
      </w:r>
      <w:r w:rsidR="00190923" w:rsidRPr="00981405">
        <w:t xml:space="preserve"> </w:t>
      </w:r>
      <w:r w:rsidR="00397032" w:rsidRPr="00981405">
        <w:t>MFN</w:t>
      </w:r>
      <w:r w:rsidR="00190923" w:rsidRPr="00981405">
        <w:t xml:space="preserve"> </w:t>
      </w:r>
      <w:r w:rsidR="00397032" w:rsidRPr="00981405">
        <w:t>provision</w:t>
      </w:r>
      <w:r w:rsidR="00190923" w:rsidRPr="00981405">
        <w:t xml:space="preserve"> </w:t>
      </w:r>
      <w:r w:rsidR="00397032" w:rsidRPr="00981405">
        <w:t>depends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MFN</w:t>
      </w:r>
      <w:r w:rsidR="00190923" w:rsidRPr="00981405">
        <w:t xml:space="preserve"> </w:t>
      </w:r>
      <w:r w:rsidR="00397032" w:rsidRPr="00981405">
        <w:t>provision</w:t>
      </w:r>
      <w:r w:rsidR="00190923" w:rsidRPr="00981405">
        <w:t xml:space="preserve"> </w:t>
      </w:r>
      <w:r w:rsidR="00397032" w:rsidRPr="00981405">
        <w:t>itself</w:t>
      </w:r>
      <w:r w:rsidR="00AD4831">
        <w:t>;</w:t>
      </w:r>
    </w:p>
    <w:p w:rsidR="00397032" w:rsidRPr="00981405" w:rsidRDefault="00D94FA8" w:rsidP="00D97463">
      <w:pPr>
        <w:pStyle w:val="SingleTxt"/>
      </w:pPr>
      <w:r w:rsidRPr="00981405">
        <w:tab/>
      </w:r>
      <w:r w:rsidR="00397032" w:rsidRPr="00981405">
        <w:t>(d)</w:t>
      </w:r>
      <w:r w:rsidR="00397032" w:rsidRPr="00981405">
        <w:tab/>
        <w:t>The</w:t>
      </w:r>
      <w:r w:rsidR="00190923" w:rsidRPr="00981405">
        <w:t xml:space="preserve"> </w:t>
      </w:r>
      <w:r w:rsidR="00397032" w:rsidRPr="00981405">
        <w:t>application</w:t>
      </w:r>
      <w:r w:rsidR="00190923" w:rsidRPr="00981405">
        <w:t xml:space="preserve"> </w:t>
      </w:r>
      <w:r w:rsidR="00397032" w:rsidRPr="00981405">
        <w:t>of</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to</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provisions</w:t>
      </w:r>
      <w:r w:rsidR="00190923" w:rsidRPr="00981405">
        <w:t xml:space="preserve"> </w:t>
      </w:r>
      <w:r w:rsidR="00397032" w:rsidRPr="00981405">
        <w:t>in</w:t>
      </w:r>
      <w:r w:rsidR="00190923" w:rsidRPr="00981405">
        <w:t xml:space="preserve"> </w:t>
      </w:r>
      <w:r w:rsidR="00397032" w:rsidRPr="00981405">
        <w:t>investment</w:t>
      </w:r>
      <w:r w:rsidR="00190923" w:rsidRPr="00981405">
        <w:t xml:space="preserve"> </w:t>
      </w:r>
      <w:r w:rsidR="00397032" w:rsidRPr="00981405">
        <w:t>treaty</w:t>
      </w:r>
      <w:r w:rsidR="00190923" w:rsidRPr="00981405">
        <w:t xml:space="preserve"> </w:t>
      </w:r>
      <w:r w:rsidR="00397032" w:rsidRPr="00981405">
        <w:t>arbitration,</w:t>
      </w:r>
      <w:r w:rsidR="00190923" w:rsidRPr="00981405">
        <w:t xml:space="preserve"> </w:t>
      </w:r>
      <w:r w:rsidR="00397032" w:rsidRPr="00981405">
        <w:t>rather</w:t>
      </w:r>
      <w:r w:rsidR="00190923" w:rsidRPr="00981405">
        <w:t xml:space="preserve"> </w:t>
      </w:r>
      <w:r w:rsidR="00397032" w:rsidRPr="00981405">
        <w:t>than</w:t>
      </w:r>
      <w:r w:rsidR="00190923" w:rsidRPr="00981405">
        <w:t xml:space="preserve"> </w:t>
      </w:r>
      <w:r w:rsidR="00397032" w:rsidRPr="00981405">
        <w:t>limiting</w:t>
      </w:r>
      <w:r w:rsidR="00190923" w:rsidRPr="00981405">
        <w:t xml:space="preserve"> </w:t>
      </w:r>
      <w:r w:rsidR="00397032" w:rsidRPr="00981405">
        <w:t>them</w:t>
      </w:r>
      <w:r w:rsidR="00190923" w:rsidRPr="00981405">
        <w:t xml:space="preserve"> </w:t>
      </w:r>
      <w:r w:rsidR="00397032" w:rsidRPr="00981405">
        <w:t>to</w:t>
      </w:r>
      <w:r w:rsidR="00190923" w:rsidRPr="00981405">
        <w:t xml:space="preserve"> </w:t>
      </w:r>
      <w:r w:rsidR="00397032" w:rsidRPr="00981405">
        <w:t>substantive</w:t>
      </w:r>
      <w:r w:rsidR="00190923" w:rsidRPr="00981405">
        <w:t xml:space="preserve"> </w:t>
      </w:r>
      <w:r w:rsidR="00397032" w:rsidRPr="00981405">
        <w:t>obligations,</w:t>
      </w:r>
      <w:r w:rsidR="00190923" w:rsidRPr="00981405">
        <w:t xml:space="preserve"> </w:t>
      </w:r>
      <w:r w:rsidR="00397032" w:rsidRPr="00981405">
        <w:t>brought</w:t>
      </w:r>
      <w:r w:rsidR="00190923" w:rsidRPr="00981405">
        <w:t xml:space="preserve"> </w:t>
      </w:r>
      <w:r w:rsidR="00397032" w:rsidRPr="00981405">
        <w:t>a</w:t>
      </w:r>
      <w:r w:rsidR="00190923" w:rsidRPr="00981405">
        <w:t xml:space="preserve"> </w:t>
      </w:r>
      <w:r w:rsidR="00397032" w:rsidRPr="00981405">
        <w:t>new</w:t>
      </w:r>
      <w:r w:rsidR="00190923" w:rsidRPr="00981405">
        <w:t xml:space="preserve"> </w:t>
      </w:r>
      <w:r w:rsidR="00397032" w:rsidRPr="00981405">
        <w:t>dimension</w:t>
      </w:r>
      <w:r w:rsidR="00190923" w:rsidRPr="00981405">
        <w:t xml:space="preserve"> </w:t>
      </w:r>
      <w:r w:rsidR="00397032" w:rsidRPr="00981405">
        <w:t>to</w:t>
      </w:r>
      <w:r w:rsidR="00190923" w:rsidRPr="00981405">
        <w:t xml:space="preserve"> </w:t>
      </w:r>
      <w:r w:rsidR="00397032" w:rsidRPr="00981405">
        <w:t>thinking</w:t>
      </w:r>
      <w:r w:rsidR="00190923" w:rsidRPr="00981405">
        <w:t xml:space="preserve"> </w:t>
      </w:r>
      <w:r w:rsidR="00397032" w:rsidRPr="00981405">
        <w:t>about</w:t>
      </w:r>
      <w:r w:rsidR="00190923" w:rsidRPr="00981405">
        <w:t xml:space="preserve"> </w:t>
      </w:r>
      <w:r w:rsidR="00397032" w:rsidRPr="00981405">
        <w:t>MFN</w:t>
      </w:r>
      <w:r w:rsidR="00190923" w:rsidRPr="00981405">
        <w:t xml:space="preserve"> </w:t>
      </w:r>
      <w:r w:rsidR="00397032" w:rsidRPr="00981405">
        <w:t>provisions</w:t>
      </w:r>
      <w:r w:rsidR="00190923" w:rsidRPr="00981405">
        <w:t xml:space="preserve"> </w:t>
      </w:r>
      <w:r w:rsidR="00397032" w:rsidRPr="00981405">
        <w:t>and</w:t>
      </w:r>
      <w:r w:rsidR="00190923" w:rsidRPr="00981405">
        <w:t xml:space="preserve"> </w:t>
      </w:r>
      <w:r w:rsidR="00397032" w:rsidRPr="00981405">
        <w:t>perhaps</w:t>
      </w:r>
      <w:r w:rsidR="00190923" w:rsidRPr="00981405">
        <w:t xml:space="preserve"> </w:t>
      </w:r>
      <w:r w:rsidR="00397032" w:rsidRPr="00981405">
        <w:t>consequences</w:t>
      </w:r>
      <w:r w:rsidR="00190923" w:rsidRPr="00981405">
        <w:t xml:space="preserve"> </w:t>
      </w:r>
      <w:r w:rsidR="00397032" w:rsidRPr="00981405">
        <w:t>that</w:t>
      </w:r>
      <w:r w:rsidR="00190923" w:rsidRPr="00981405">
        <w:t xml:space="preserve"> </w:t>
      </w:r>
      <w:r w:rsidR="00397032" w:rsidRPr="00981405">
        <w:t>had</w:t>
      </w:r>
      <w:r w:rsidR="00190923" w:rsidRPr="00981405">
        <w:t xml:space="preserve"> </w:t>
      </w:r>
      <w:r w:rsidR="00397032" w:rsidRPr="00981405">
        <w:t>not</w:t>
      </w:r>
      <w:r w:rsidR="00190923" w:rsidRPr="00981405">
        <w:t xml:space="preserve"> </w:t>
      </w:r>
      <w:r w:rsidR="00397032" w:rsidRPr="00981405">
        <w:t>been</w:t>
      </w:r>
      <w:r w:rsidR="00190923" w:rsidRPr="00981405">
        <w:t xml:space="preserve"> </w:t>
      </w:r>
      <w:r w:rsidR="00397032" w:rsidRPr="00981405">
        <w:t>foreseen</w:t>
      </w:r>
      <w:r w:rsidR="00190923" w:rsidRPr="00981405">
        <w:t xml:space="preserve"> </w:t>
      </w:r>
      <w:r w:rsidR="00397032" w:rsidRPr="00981405">
        <w:t>by</w:t>
      </w:r>
      <w:r w:rsidR="00190923" w:rsidRPr="00981405">
        <w:t xml:space="preserve"> </w:t>
      </w:r>
      <w:r w:rsidR="00397032" w:rsidRPr="00981405">
        <w:t>parties</w:t>
      </w:r>
      <w:r w:rsidR="00190923" w:rsidRPr="00981405">
        <w:t xml:space="preserve"> </w:t>
      </w:r>
      <w:r w:rsidR="00397032" w:rsidRPr="00981405">
        <w:t>when</w:t>
      </w:r>
      <w:r w:rsidR="00190923" w:rsidRPr="00981405">
        <w:t xml:space="preserve"> </w:t>
      </w:r>
      <w:r w:rsidR="00397032" w:rsidRPr="00981405">
        <w:t>they</w:t>
      </w:r>
      <w:r w:rsidR="00190923" w:rsidRPr="00981405">
        <w:t xml:space="preserve"> </w:t>
      </w:r>
      <w:r w:rsidR="00397032" w:rsidRPr="00981405">
        <w:t>negotiated</w:t>
      </w:r>
      <w:r w:rsidR="00190923" w:rsidRPr="00981405">
        <w:t xml:space="preserve"> </w:t>
      </w:r>
      <w:r w:rsidR="00397032" w:rsidRPr="00981405">
        <w:t>their</w:t>
      </w:r>
      <w:r w:rsidR="00190923" w:rsidRPr="00981405">
        <w:t xml:space="preserve"> </w:t>
      </w:r>
      <w:r w:rsidR="00397032" w:rsidRPr="00981405">
        <w:t>investment</w:t>
      </w:r>
      <w:r w:rsidR="00190923" w:rsidRPr="00981405">
        <w:t xml:space="preserve"> </w:t>
      </w:r>
      <w:r w:rsidR="00397032" w:rsidRPr="00981405">
        <w:t>agreements.</w:t>
      </w:r>
      <w:r w:rsidR="00190923" w:rsidRPr="00981405">
        <w:t xml:space="preserve"> </w:t>
      </w:r>
      <w:r w:rsidR="00397032" w:rsidRPr="00981405">
        <w:t>Nonetheless,</w:t>
      </w:r>
      <w:r w:rsidR="00190923" w:rsidRPr="00981405">
        <w:t xml:space="preserve"> </w:t>
      </w:r>
      <w:r w:rsidR="00397032" w:rsidRPr="00981405">
        <w:t>the</w:t>
      </w:r>
      <w:r w:rsidR="00190923" w:rsidRPr="00981405">
        <w:t xml:space="preserve"> </w:t>
      </w:r>
      <w:r w:rsidR="00397032" w:rsidRPr="00981405">
        <w:t>matter</w:t>
      </w:r>
      <w:r w:rsidR="00190923" w:rsidRPr="00981405">
        <w:t xml:space="preserve"> </w:t>
      </w:r>
      <w:r w:rsidR="00397032" w:rsidRPr="00981405">
        <w:t>remains</w:t>
      </w:r>
      <w:r w:rsidR="00190923" w:rsidRPr="00981405">
        <w:t xml:space="preserve"> </w:t>
      </w:r>
      <w:r w:rsidR="00397032" w:rsidRPr="00981405">
        <w:t>one</w:t>
      </w:r>
      <w:r w:rsidR="00190923" w:rsidRPr="00981405">
        <w:t xml:space="preserve"> </w:t>
      </w:r>
      <w:r w:rsidR="00397032" w:rsidRPr="00981405">
        <w:t>of</w:t>
      </w:r>
      <w:r w:rsidR="00190923" w:rsidRPr="00981405">
        <w:t xml:space="preserve"> </w:t>
      </w:r>
      <w:r w:rsidR="00397032" w:rsidRPr="00981405">
        <w:t>treaty</w:t>
      </w:r>
      <w:r w:rsidR="00190923" w:rsidRPr="00981405">
        <w:t xml:space="preserve"> </w:t>
      </w:r>
      <w:r w:rsidR="00397032" w:rsidRPr="00981405">
        <w:t>interpretation</w:t>
      </w:r>
      <w:r w:rsidR="00AD4831">
        <w:t>;</w:t>
      </w:r>
    </w:p>
    <w:p w:rsidR="00397032" w:rsidRPr="00981405" w:rsidRDefault="00D94FA8" w:rsidP="00D97463">
      <w:pPr>
        <w:pStyle w:val="SingleTxt"/>
      </w:pPr>
      <w:r w:rsidRPr="00981405">
        <w:tab/>
      </w:r>
      <w:r w:rsidR="00397032" w:rsidRPr="00981405">
        <w:t>(e)</w:t>
      </w:r>
      <w:r w:rsidR="00397032" w:rsidRPr="00981405">
        <w:tab/>
        <w:t>Whether</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are</w:t>
      </w:r>
      <w:r w:rsidR="00190923" w:rsidRPr="00981405">
        <w:t xml:space="preserve"> </w:t>
      </w:r>
      <w:r w:rsidR="00397032" w:rsidRPr="00981405">
        <w:t>to</w:t>
      </w:r>
      <w:r w:rsidR="00190923" w:rsidRPr="00981405">
        <w:t xml:space="preserve"> </w:t>
      </w:r>
      <w:r w:rsidR="00397032" w:rsidRPr="00981405">
        <w:t>encompass</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provisions</w:t>
      </w:r>
      <w:r w:rsidR="00190923" w:rsidRPr="00981405">
        <w:t xml:space="preserve"> </w:t>
      </w:r>
      <w:r w:rsidR="00397032" w:rsidRPr="00981405">
        <w:t>is</w:t>
      </w:r>
      <w:r w:rsidR="00190923" w:rsidRPr="00981405">
        <w:t xml:space="preserve"> </w:t>
      </w:r>
      <w:r w:rsidR="00397032" w:rsidRPr="00981405">
        <w:t>ultimately</w:t>
      </w:r>
      <w:r w:rsidR="00190923" w:rsidRPr="00981405">
        <w:t xml:space="preserve"> </w:t>
      </w:r>
      <w:r w:rsidR="00397032" w:rsidRPr="00981405">
        <w:t>up</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States</w:t>
      </w:r>
      <w:r w:rsidR="00190923" w:rsidRPr="00981405">
        <w:t xml:space="preserve"> </w:t>
      </w:r>
      <w:r w:rsidR="00397032" w:rsidRPr="00981405">
        <w:t>that</w:t>
      </w:r>
      <w:r w:rsidR="00190923" w:rsidRPr="00981405">
        <w:t xml:space="preserve"> </w:t>
      </w:r>
      <w:r w:rsidR="00397032" w:rsidRPr="00981405">
        <w:t>negotiate</w:t>
      </w:r>
      <w:r w:rsidR="00190923" w:rsidRPr="00981405">
        <w:t xml:space="preserve"> </w:t>
      </w:r>
      <w:r w:rsidR="00397032" w:rsidRPr="00981405">
        <w:t>such</w:t>
      </w:r>
      <w:r w:rsidR="00190923" w:rsidRPr="00981405">
        <w:t xml:space="preserve"> </w:t>
      </w:r>
      <w:r w:rsidR="00397032" w:rsidRPr="00981405">
        <w:t>clauses.</w:t>
      </w:r>
      <w:r w:rsidR="00190923" w:rsidRPr="00981405">
        <w:t xml:space="preserve"> </w:t>
      </w:r>
      <w:r w:rsidR="00397032" w:rsidRPr="00981405">
        <w:t>Explicit</w:t>
      </w:r>
      <w:r w:rsidR="00190923" w:rsidRPr="00981405">
        <w:t xml:space="preserve"> </w:t>
      </w:r>
      <w:r w:rsidR="00397032" w:rsidRPr="00981405">
        <w:t>language</w:t>
      </w:r>
      <w:r w:rsidR="00190923" w:rsidRPr="00981405">
        <w:t xml:space="preserve"> </w:t>
      </w:r>
      <w:r w:rsidR="00397032" w:rsidRPr="00981405">
        <w:t>can</w:t>
      </w:r>
      <w:r w:rsidR="00190923" w:rsidRPr="00981405">
        <w:t xml:space="preserve"> </w:t>
      </w:r>
      <w:r w:rsidR="00397032" w:rsidRPr="00981405">
        <w:t>ensure</w:t>
      </w:r>
      <w:r w:rsidR="00190923" w:rsidRPr="00981405">
        <w:t xml:space="preserve"> </w:t>
      </w:r>
      <w:r w:rsidR="00397032" w:rsidRPr="00981405">
        <w:t>that</w:t>
      </w:r>
      <w:r w:rsidR="00190923" w:rsidRPr="00981405">
        <w:t xml:space="preserve"> </w:t>
      </w:r>
      <w:r w:rsidR="00397032" w:rsidRPr="00981405">
        <w:t>an</w:t>
      </w:r>
      <w:r w:rsidR="00190923" w:rsidRPr="00981405">
        <w:t xml:space="preserve"> </w:t>
      </w:r>
      <w:r w:rsidR="00397032" w:rsidRPr="00981405">
        <w:t>MFN</w:t>
      </w:r>
      <w:r w:rsidR="00190923" w:rsidRPr="00981405">
        <w:t xml:space="preserve"> </w:t>
      </w:r>
      <w:r w:rsidR="00397032" w:rsidRPr="00981405">
        <w:t>provision</w:t>
      </w:r>
      <w:r w:rsidR="00190923" w:rsidRPr="00981405">
        <w:t xml:space="preserve"> </w:t>
      </w:r>
      <w:r w:rsidR="00397032" w:rsidRPr="00981405">
        <w:t>does</w:t>
      </w:r>
      <w:r w:rsidR="00190923" w:rsidRPr="00981405">
        <w:t xml:space="preserve"> </w:t>
      </w:r>
      <w:r w:rsidR="00397032" w:rsidRPr="00981405">
        <w:t>or</w:t>
      </w:r>
      <w:r w:rsidR="00190923" w:rsidRPr="00981405">
        <w:t xml:space="preserve"> </w:t>
      </w:r>
      <w:r w:rsidR="00397032" w:rsidRPr="00981405">
        <w:t>does</w:t>
      </w:r>
      <w:r w:rsidR="00190923" w:rsidRPr="00981405">
        <w:t xml:space="preserve"> </w:t>
      </w:r>
      <w:r w:rsidR="00397032" w:rsidRPr="00981405">
        <w:t>not</w:t>
      </w:r>
      <w:r w:rsidR="00190923" w:rsidRPr="00981405">
        <w:t xml:space="preserve"> </w:t>
      </w:r>
      <w:r w:rsidR="00397032" w:rsidRPr="00981405">
        <w:t>apply</w:t>
      </w:r>
      <w:r w:rsidR="00190923" w:rsidRPr="00981405">
        <w:t xml:space="preserve"> </w:t>
      </w:r>
      <w:r w:rsidR="00397032" w:rsidRPr="00981405">
        <w:t>to</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provisions.</w:t>
      </w:r>
      <w:r w:rsidR="00190923" w:rsidRPr="00981405">
        <w:t xml:space="preserve"> </w:t>
      </w:r>
      <w:r w:rsidR="00397032" w:rsidRPr="00981405">
        <w:t>Otherwise</w:t>
      </w:r>
      <w:r w:rsidR="00190923" w:rsidRPr="00981405">
        <w:t xml:space="preserve"> </w:t>
      </w:r>
      <w:r w:rsidR="00397032" w:rsidRPr="00981405">
        <w:t>the</w:t>
      </w:r>
      <w:r w:rsidR="00190923" w:rsidRPr="00981405">
        <w:t xml:space="preserve"> </w:t>
      </w:r>
      <w:r w:rsidR="00397032" w:rsidRPr="00981405">
        <w:t>matter</w:t>
      </w:r>
      <w:r w:rsidR="00190923" w:rsidRPr="00981405">
        <w:t xml:space="preserve"> </w:t>
      </w:r>
      <w:r w:rsidR="00397032" w:rsidRPr="00981405">
        <w:t>will</w:t>
      </w:r>
      <w:r w:rsidR="00190923" w:rsidRPr="00981405">
        <w:t xml:space="preserve"> </w:t>
      </w:r>
      <w:r w:rsidR="00397032" w:rsidRPr="00981405">
        <w:t>be</w:t>
      </w:r>
      <w:r w:rsidR="00190923" w:rsidRPr="00981405">
        <w:t xml:space="preserve"> </w:t>
      </w:r>
      <w:r w:rsidR="00397032" w:rsidRPr="00981405">
        <w:t>left</w:t>
      </w:r>
      <w:r w:rsidR="00190923" w:rsidRPr="00981405">
        <w:t xml:space="preserve"> </w:t>
      </w:r>
      <w:r w:rsidR="00397032" w:rsidRPr="00981405">
        <w:t>to</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tribunals</w:t>
      </w:r>
      <w:r w:rsidR="00190923" w:rsidRPr="00981405">
        <w:t xml:space="preserve"> </w:t>
      </w:r>
      <w:r w:rsidR="00397032" w:rsidRPr="00981405">
        <w:t>to</w:t>
      </w:r>
      <w:r w:rsidR="00190923" w:rsidRPr="00981405">
        <w:t xml:space="preserve"> </w:t>
      </w:r>
      <w:r w:rsidR="00397032" w:rsidRPr="00981405">
        <w:t>interpret</w:t>
      </w:r>
      <w:r w:rsidR="00190923" w:rsidRPr="00981405">
        <w:t xml:space="preserve"> </w:t>
      </w:r>
      <w:r w:rsidR="00397032" w:rsidRPr="00981405">
        <w:t>MFN</w:t>
      </w:r>
      <w:r w:rsidR="00190923" w:rsidRPr="00981405">
        <w:t xml:space="preserve"> </w:t>
      </w:r>
      <w:r w:rsidR="00397032" w:rsidRPr="00981405">
        <w:t>clauses</w:t>
      </w:r>
      <w:r w:rsidR="00190923" w:rsidRPr="00981405">
        <w:t xml:space="preserve"> </w:t>
      </w:r>
      <w:r w:rsidR="00397032" w:rsidRPr="00981405">
        <w:t>on</w:t>
      </w:r>
      <w:r w:rsidR="00190923" w:rsidRPr="00981405">
        <w:t xml:space="preserve"> </w:t>
      </w:r>
      <w:r w:rsidR="00397032" w:rsidRPr="00981405">
        <w:t>a</w:t>
      </w:r>
      <w:r w:rsidR="00190923" w:rsidRPr="00981405">
        <w:t xml:space="preserve"> </w:t>
      </w:r>
      <w:r w:rsidR="00397032" w:rsidRPr="00981405">
        <w:t>case-by-case</w:t>
      </w:r>
      <w:r w:rsidR="00190923" w:rsidRPr="00981405">
        <w:t xml:space="preserve"> </w:t>
      </w:r>
      <w:r w:rsidR="00397032" w:rsidRPr="00981405">
        <w:t>basis.</w:t>
      </w:r>
    </w:p>
    <w:p w:rsidR="00397032" w:rsidRPr="00981405" w:rsidRDefault="00397032" w:rsidP="00D97463">
      <w:pPr>
        <w:pStyle w:val="SingleTxt"/>
      </w:pPr>
      <w:r w:rsidRPr="00981405">
        <w:t>43.</w:t>
      </w:r>
      <w:r w:rsidRPr="00981405">
        <w:tab/>
        <w:t>The</w:t>
      </w:r>
      <w:r w:rsidR="00190923" w:rsidRPr="00981405">
        <w:t xml:space="preserve"> </w:t>
      </w:r>
      <w:r w:rsidRPr="00981405">
        <w:t>Commission</w:t>
      </w:r>
      <w:r w:rsidR="00190923" w:rsidRPr="00981405">
        <w:t xml:space="preserve"> </w:t>
      </w:r>
      <w:r w:rsidRPr="00981405">
        <w:t>wishes</w:t>
      </w:r>
      <w:r w:rsidR="00190923" w:rsidRPr="00981405">
        <w:t xml:space="preserve"> </w:t>
      </w:r>
      <w:r w:rsidRPr="00981405">
        <w:t>to</w:t>
      </w:r>
      <w:r w:rsidR="00190923" w:rsidRPr="00981405">
        <w:t xml:space="preserve"> </w:t>
      </w:r>
      <w:r w:rsidRPr="00981405">
        <w:t>highlight</w:t>
      </w:r>
      <w:r w:rsidR="00190923" w:rsidRPr="00981405">
        <w:t xml:space="preserve"> </w:t>
      </w:r>
      <w:r w:rsidRPr="00981405">
        <w:t>that</w:t>
      </w:r>
      <w:r w:rsidR="00190923" w:rsidRPr="00981405">
        <w:t xml:space="preserve"> </w:t>
      </w:r>
      <w:r w:rsidRPr="00981405">
        <w:t>the</w:t>
      </w:r>
      <w:r w:rsidR="00190923" w:rsidRPr="00981405">
        <w:t xml:space="preserve"> </w:t>
      </w:r>
      <w:r w:rsidRPr="00981405">
        <w:t>interpretative</w:t>
      </w:r>
      <w:r w:rsidR="00190923" w:rsidRPr="00981405">
        <w:t xml:space="preserve"> </w:t>
      </w:r>
      <w:r w:rsidRPr="00981405">
        <w:t>techniques</w:t>
      </w:r>
      <w:r w:rsidR="00190923" w:rsidRPr="00981405">
        <w:t xml:space="preserve"> </w:t>
      </w:r>
      <w:r w:rsidRPr="00981405">
        <w:t>reviewed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are</w:t>
      </w:r>
      <w:r w:rsidR="00190923" w:rsidRPr="00981405">
        <w:t xml:space="preserve"> </w:t>
      </w:r>
      <w:r w:rsidRPr="00981405">
        <w:t>designed</w:t>
      </w:r>
      <w:r w:rsidR="00190923" w:rsidRPr="00981405">
        <w:t xml:space="preserve"> </w:t>
      </w:r>
      <w:r w:rsidRPr="00981405">
        <w:t>to</w:t>
      </w:r>
      <w:r w:rsidR="00190923" w:rsidRPr="00981405">
        <w:t xml:space="preserve"> </w:t>
      </w:r>
      <w:r w:rsidRPr="00981405">
        <w:t>assist</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p>
    <w:p w:rsidR="00397032" w:rsidRPr="00D97463" w:rsidRDefault="00397032" w:rsidP="00D97463">
      <w:pPr>
        <w:pStyle w:val="SingleTxt"/>
        <w:spacing w:after="0" w:line="120" w:lineRule="exact"/>
        <w:rPr>
          <w:sz w:val="10"/>
        </w:rPr>
      </w:pPr>
    </w:p>
    <w:p w:rsidR="00D94FA8" w:rsidRPr="00D97463" w:rsidRDefault="00D94FA8" w:rsidP="00D97463">
      <w:pPr>
        <w:pStyle w:val="SingleTxt"/>
        <w:spacing w:after="0" w:line="120" w:lineRule="exact"/>
        <w:rPr>
          <w:sz w:val="10"/>
        </w:rPr>
      </w:pPr>
    </w:p>
    <w:p w:rsidR="00397032" w:rsidRPr="00D97463" w:rsidRDefault="00397032" w:rsidP="00D97463">
      <w:pPr>
        <w:pStyle w:val="H1"/>
        <w:ind w:right="1260"/>
      </w:pPr>
      <w:r w:rsidRPr="00D97463">
        <w:tab/>
      </w:r>
      <w:bookmarkStart w:id="25" w:name="_Toc427938087"/>
      <w:r w:rsidRPr="00D97463">
        <w:t>C.</w:t>
      </w:r>
      <w:r w:rsidRPr="00D97463">
        <w:tab/>
        <w:t>Tribute</w:t>
      </w:r>
      <w:r w:rsidR="00190923" w:rsidRPr="00D97463">
        <w:t xml:space="preserve"> </w:t>
      </w:r>
      <w:r w:rsidRPr="00D97463">
        <w:t>to</w:t>
      </w:r>
      <w:r w:rsidR="00190923" w:rsidRPr="00D97463">
        <w:t xml:space="preserve"> </w:t>
      </w:r>
      <w:r w:rsidRPr="00D97463">
        <w:t>the</w:t>
      </w:r>
      <w:r w:rsidR="00190923" w:rsidRPr="00D97463">
        <w:t xml:space="preserve"> </w:t>
      </w:r>
      <w:r w:rsidRPr="00D97463">
        <w:t>Study</w:t>
      </w:r>
      <w:r w:rsidR="00190923" w:rsidRPr="00D97463">
        <w:t xml:space="preserve"> </w:t>
      </w:r>
      <w:r w:rsidRPr="00D97463">
        <w:t>Group</w:t>
      </w:r>
      <w:r w:rsidR="00190923" w:rsidRPr="00D97463">
        <w:t xml:space="preserve"> </w:t>
      </w:r>
      <w:r w:rsidRPr="00D97463">
        <w:t>and</w:t>
      </w:r>
      <w:r w:rsidR="00190923" w:rsidRPr="00D97463">
        <w:t xml:space="preserve"> </w:t>
      </w:r>
      <w:r w:rsidRPr="00D97463">
        <w:t>its</w:t>
      </w:r>
      <w:r w:rsidR="00190923" w:rsidRPr="00D97463">
        <w:t xml:space="preserve"> </w:t>
      </w:r>
      <w:r w:rsidRPr="00D97463">
        <w:t>Chairman</w:t>
      </w:r>
      <w:bookmarkEnd w:id="25"/>
    </w:p>
    <w:p w:rsidR="00397032" w:rsidRPr="00D97463" w:rsidRDefault="00397032" w:rsidP="00D97463">
      <w:pPr>
        <w:pStyle w:val="SingleTxt"/>
        <w:spacing w:after="0" w:line="120" w:lineRule="exact"/>
        <w:rPr>
          <w:sz w:val="10"/>
        </w:rPr>
      </w:pPr>
    </w:p>
    <w:p w:rsidR="00D94FA8" w:rsidRPr="00D97463" w:rsidRDefault="00D94FA8" w:rsidP="00D97463">
      <w:pPr>
        <w:pStyle w:val="SingleTxt"/>
        <w:spacing w:after="0" w:line="120" w:lineRule="exact"/>
        <w:rPr>
          <w:sz w:val="10"/>
        </w:rPr>
      </w:pPr>
    </w:p>
    <w:p w:rsidR="00397032" w:rsidRPr="00981405" w:rsidRDefault="00397032" w:rsidP="00D97463">
      <w:pPr>
        <w:pStyle w:val="SingleTxt"/>
      </w:pPr>
      <w:r w:rsidRPr="00981405">
        <w:t>44.</w:t>
      </w:r>
      <w:r w:rsidRPr="00981405">
        <w:tab/>
        <w:t>At</w:t>
      </w:r>
      <w:r w:rsidR="00190923" w:rsidRPr="00981405">
        <w:t xml:space="preserve"> </w:t>
      </w:r>
      <w:r w:rsidRPr="00981405">
        <w:t>its</w:t>
      </w:r>
      <w:r w:rsidR="00190923" w:rsidRPr="00981405">
        <w:t xml:space="preserve"> </w:t>
      </w:r>
      <w:r w:rsidRPr="00981405">
        <w:t>3277th</w:t>
      </w:r>
      <w:r w:rsidR="00190923" w:rsidRPr="00981405">
        <w:t xml:space="preserve"> </w:t>
      </w:r>
      <w:r w:rsidRPr="00981405">
        <w:t>meeting,</w:t>
      </w:r>
      <w:r w:rsidR="00190923" w:rsidRPr="00981405">
        <w:t xml:space="preserve"> </w:t>
      </w:r>
      <w:r w:rsidRPr="00981405">
        <w:t>on</w:t>
      </w:r>
      <w:r w:rsidR="00190923" w:rsidRPr="00981405">
        <w:t xml:space="preserve"> </w:t>
      </w:r>
      <w:r w:rsidRPr="00981405">
        <w:t>23</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the</w:t>
      </w:r>
      <w:r w:rsidR="00190923" w:rsidRPr="00981405">
        <w:t xml:space="preserve"> </w:t>
      </w:r>
      <w:r w:rsidRPr="00981405">
        <w:t>following</w:t>
      </w:r>
      <w:r w:rsidR="00190923" w:rsidRPr="00981405">
        <w:t xml:space="preserve"> </w:t>
      </w:r>
      <w:r w:rsidRPr="00981405">
        <w:t>resolution</w:t>
      </w:r>
      <w:r w:rsidR="00190923" w:rsidRPr="00981405">
        <w:t xml:space="preserve"> </w:t>
      </w:r>
      <w:r w:rsidRPr="00981405">
        <w:t>by</w:t>
      </w:r>
      <w:r w:rsidR="00190923" w:rsidRPr="00981405">
        <w:t xml:space="preserve"> </w:t>
      </w:r>
      <w:r w:rsidRPr="00981405">
        <w:t>acclamation:</w:t>
      </w:r>
    </w:p>
    <w:p w:rsidR="00397032" w:rsidRPr="00981405" w:rsidRDefault="00397032" w:rsidP="00D97463">
      <w:pPr>
        <w:pStyle w:val="SingleTxt"/>
        <w:ind w:left="1742"/>
      </w:pPr>
      <w:r w:rsidRPr="00981405">
        <w:tab/>
      </w:r>
      <w:r w:rsidR="00B92E2C" w:rsidRPr="00981405">
        <w:t>“</w:t>
      </w:r>
      <w:r w:rsidRPr="00D97463">
        <w:rPr>
          <w:i/>
          <w:iCs/>
        </w:rPr>
        <w:t>The</w:t>
      </w:r>
      <w:r w:rsidR="00190923" w:rsidRPr="00981405">
        <w:rPr>
          <w:i/>
          <w:iCs/>
        </w:rPr>
        <w:t xml:space="preserve"> </w:t>
      </w:r>
      <w:r w:rsidRPr="00D97463">
        <w:rPr>
          <w:i/>
          <w:iCs/>
        </w:rPr>
        <w:t>International</w:t>
      </w:r>
      <w:r w:rsidR="00190923" w:rsidRPr="00981405">
        <w:rPr>
          <w:i/>
          <w:iCs/>
        </w:rPr>
        <w:t xml:space="preserve"> </w:t>
      </w:r>
      <w:r w:rsidRPr="00D97463">
        <w:rPr>
          <w:i/>
          <w:iCs/>
        </w:rPr>
        <w:t>Law</w:t>
      </w:r>
      <w:r w:rsidR="00190923" w:rsidRPr="00981405">
        <w:rPr>
          <w:i/>
          <w:iCs/>
        </w:rPr>
        <w:t xml:space="preserve"> </w:t>
      </w:r>
      <w:r w:rsidRPr="00D97463">
        <w:rPr>
          <w:i/>
          <w:iCs/>
        </w:rPr>
        <w:t>Commission</w:t>
      </w:r>
      <w:r w:rsidRPr="00981405">
        <w:t>,</w:t>
      </w:r>
    </w:p>
    <w:p w:rsidR="00397032" w:rsidRPr="00981405" w:rsidRDefault="00397032" w:rsidP="00D97463">
      <w:pPr>
        <w:pStyle w:val="SingleTxt"/>
        <w:ind w:left="1742"/>
      </w:pPr>
      <w:r w:rsidRPr="00981405">
        <w:tab/>
      </w:r>
      <w:r w:rsidRPr="00D97463">
        <w:rPr>
          <w:i/>
          <w:iCs/>
        </w:rPr>
        <w:t>Having</w:t>
      </w:r>
      <w:r w:rsidR="00190923" w:rsidRPr="00981405">
        <w:rPr>
          <w:i/>
          <w:iCs/>
        </w:rPr>
        <w:t xml:space="preserve"> </w:t>
      </w:r>
      <w:r w:rsidRPr="00D97463">
        <w:rPr>
          <w:i/>
          <w:iCs/>
        </w:rPr>
        <w:t>welcomed</w:t>
      </w:r>
      <w:r w:rsidR="00190923" w:rsidRPr="00981405">
        <w:rPr>
          <w:i/>
          <w:iCs/>
        </w:rPr>
        <w:t xml:space="preserve"> </w:t>
      </w:r>
      <w:r w:rsidRPr="00D97463">
        <w:rPr>
          <w:i/>
          <w:iCs/>
        </w:rPr>
        <w:t>with</w:t>
      </w:r>
      <w:r w:rsidR="00190923" w:rsidRPr="00981405">
        <w:rPr>
          <w:i/>
          <w:iCs/>
        </w:rPr>
        <w:t xml:space="preserve"> </w:t>
      </w:r>
      <w:r w:rsidRPr="00D97463">
        <w:rPr>
          <w:i/>
          <w:iCs/>
        </w:rPr>
        <w:t>appreciation</w:t>
      </w:r>
      <w:r w:rsidR="00190923" w:rsidRPr="00981405">
        <w:rPr>
          <w:i/>
          <w:iCs/>
        </w:rPr>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Most-Favoured</w:t>
      </w:r>
      <w:r w:rsidR="00190923" w:rsidRPr="00981405">
        <w:t xml:space="preserve"> </w:t>
      </w:r>
      <w:r w:rsidRPr="00981405">
        <w:t>Nation</w:t>
      </w:r>
      <w:r w:rsidR="00190923" w:rsidRPr="00981405">
        <w:t xml:space="preserve"> </w:t>
      </w:r>
      <w:r w:rsidRPr="00981405">
        <w:t>clause,</w:t>
      </w:r>
    </w:p>
    <w:p w:rsidR="00397032" w:rsidRPr="00981405" w:rsidRDefault="00397032" w:rsidP="00D97463">
      <w:pPr>
        <w:pStyle w:val="SingleTxt"/>
        <w:ind w:left="1742"/>
      </w:pPr>
      <w:r w:rsidRPr="00981405">
        <w:tab/>
      </w:r>
      <w:r w:rsidRPr="00D97463">
        <w:rPr>
          <w:i/>
          <w:iCs/>
        </w:rPr>
        <w:t>Expresses</w:t>
      </w:r>
      <w:r w:rsidR="00190923" w:rsidRPr="00981405">
        <w:t xml:space="preserve"> </w:t>
      </w:r>
      <w:r w:rsidRPr="00981405">
        <w:t>to</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and</w:t>
      </w:r>
      <w:r w:rsidR="00190923" w:rsidRPr="00981405">
        <w:t xml:space="preserve"> </w:t>
      </w:r>
      <w:r w:rsidRPr="00981405">
        <w:t>its</w:t>
      </w:r>
      <w:r w:rsidR="00190923" w:rsidRPr="00981405">
        <w:t xml:space="preserve"> </w:t>
      </w:r>
      <w:r w:rsidRPr="00981405">
        <w:t>Chairman,</w:t>
      </w:r>
      <w:r w:rsidR="00190923" w:rsidRPr="00981405">
        <w:t xml:space="preserve"> </w:t>
      </w:r>
      <w:r w:rsidRPr="00981405">
        <w:t>Mr.</w:t>
      </w:r>
      <w:r w:rsidR="00190923" w:rsidRPr="00981405">
        <w:t xml:space="preserve"> </w:t>
      </w:r>
      <w:r w:rsidRPr="00981405">
        <w:t>Donald</w:t>
      </w:r>
      <w:r w:rsidR="00190923" w:rsidRPr="00981405">
        <w:t xml:space="preserve"> </w:t>
      </w:r>
      <w:r w:rsidRPr="00981405">
        <w:t>M.</w:t>
      </w:r>
      <w:r w:rsidR="00190923" w:rsidRPr="00981405">
        <w:t xml:space="preserve"> </w:t>
      </w:r>
      <w:r w:rsidRPr="00981405">
        <w:t>McRae,</w:t>
      </w:r>
      <w:r w:rsidR="00190923" w:rsidRPr="00981405">
        <w:t xml:space="preserve"> </w:t>
      </w:r>
      <w:r w:rsidRPr="00981405">
        <w:t>its</w:t>
      </w:r>
      <w:r w:rsidR="00190923" w:rsidRPr="00981405">
        <w:t xml:space="preserve"> </w:t>
      </w:r>
      <w:r w:rsidRPr="00981405">
        <w:t>deep</w:t>
      </w:r>
      <w:r w:rsidR="00190923" w:rsidRPr="00981405">
        <w:t xml:space="preserve"> </w:t>
      </w:r>
      <w:r w:rsidRPr="00981405">
        <w:t>appreciation</w:t>
      </w:r>
      <w:r w:rsidR="00190923" w:rsidRPr="00981405">
        <w:t xml:space="preserve"> </w:t>
      </w:r>
      <w:r w:rsidRPr="00981405">
        <w:t>and</w:t>
      </w:r>
      <w:r w:rsidR="00190923" w:rsidRPr="00981405">
        <w:t xml:space="preserve"> </w:t>
      </w:r>
      <w:r w:rsidRPr="00981405">
        <w:t>warm</w:t>
      </w:r>
      <w:r w:rsidR="00190923" w:rsidRPr="00981405">
        <w:t xml:space="preserve"> </w:t>
      </w:r>
      <w:r w:rsidRPr="00981405">
        <w:t>congratulations</w:t>
      </w:r>
      <w:r w:rsidR="00190923" w:rsidRPr="00981405">
        <w:t xml:space="preserve"> </w:t>
      </w:r>
      <w:r w:rsidRPr="00981405">
        <w:t>for</w:t>
      </w:r>
      <w:r w:rsidR="00190923" w:rsidRPr="00981405">
        <w:t xml:space="preserve"> </w:t>
      </w:r>
      <w:r w:rsidRPr="00981405">
        <w:t>the</w:t>
      </w:r>
      <w:r w:rsidR="00190923" w:rsidRPr="00981405">
        <w:t xml:space="preserve"> </w:t>
      </w:r>
      <w:r w:rsidRPr="00981405">
        <w:t>outstanding</w:t>
      </w:r>
      <w:r w:rsidR="00190923" w:rsidRPr="00981405">
        <w:t xml:space="preserve"> </w:t>
      </w:r>
      <w:r w:rsidRPr="00981405">
        <w:t>contribution</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preparation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Most-Favoured</w:t>
      </w:r>
      <w:r w:rsidR="00190923" w:rsidRPr="00981405">
        <w:t xml:space="preserve"> </w:t>
      </w:r>
      <w:r w:rsidRPr="00981405">
        <w:t>Nation</w:t>
      </w:r>
      <w:r w:rsidR="00190923" w:rsidRPr="00981405">
        <w:t xml:space="preserve"> </w:t>
      </w:r>
      <w:r w:rsidRPr="00981405">
        <w:t>clause</w:t>
      </w:r>
      <w:r w:rsidR="00190923" w:rsidRPr="00981405">
        <w:t xml:space="preserve"> </w:t>
      </w:r>
      <w:r w:rsidRPr="00981405">
        <w:t>and</w:t>
      </w:r>
      <w:r w:rsidR="00190923" w:rsidRPr="00981405">
        <w:t xml:space="preserve"> </w:t>
      </w:r>
      <w:r w:rsidRPr="00981405">
        <w:t>for</w:t>
      </w:r>
      <w:r w:rsidR="00190923" w:rsidRPr="00981405">
        <w:t xml:space="preserve"> </w:t>
      </w:r>
      <w:r w:rsidRPr="00981405">
        <w:t>the</w:t>
      </w:r>
      <w:r w:rsidR="00190923" w:rsidRPr="00981405">
        <w:t xml:space="preserve"> </w:t>
      </w:r>
      <w:r w:rsidRPr="00981405">
        <w:t>results</w:t>
      </w:r>
      <w:r w:rsidR="00190923" w:rsidRPr="00981405">
        <w:t xml:space="preserve"> </w:t>
      </w:r>
      <w:r w:rsidRPr="00981405">
        <w:t>achieved</w:t>
      </w:r>
      <w:r w:rsidR="00190923" w:rsidRPr="00981405">
        <w:t xml:space="preserve"> </w:t>
      </w:r>
      <w:r w:rsidRPr="00981405">
        <w:t>by</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p>
    <w:p w:rsidR="00397032" w:rsidRPr="00981405" w:rsidRDefault="00397032" w:rsidP="00D97463">
      <w:pPr>
        <w:pStyle w:val="SingleTxt"/>
        <w:ind w:left="1742"/>
      </w:pPr>
      <w:r w:rsidRPr="00981405">
        <w:tab/>
      </w:r>
      <w:r w:rsidRPr="00D97463">
        <w:rPr>
          <w:i/>
          <w:iCs/>
        </w:rPr>
        <w:t>Recalls</w:t>
      </w:r>
      <w:r w:rsidRPr="00981405">
        <w:t>,</w:t>
      </w:r>
      <w:r w:rsidR="00190923" w:rsidRPr="00981405">
        <w:t xml:space="preserve"> </w:t>
      </w:r>
      <w:r w:rsidRPr="00981405">
        <w:t>with</w:t>
      </w:r>
      <w:r w:rsidR="00190923" w:rsidRPr="00981405">
        <w:t xml:space="preserve"> </w:t>
      </w:r>
      <w:r w:rsidRPr="00981405">
        <w:t>gratitude,</w:t>
      </w:r>
      <w:r w:rsidR="00190923" w:rsidRPr="00981405">
        <w:t xml:space="preserve"> </w:t>
      </w:r>
      <w:r w:rsidRPr="00981405">
        <w:t>the</w:t>
      </w:r>
      <w:r w:rsidR="00190923" w:rsidRPr="00981405">
        <w:t xml:space="preserve"> </w:t>
      </w:r>
      <w:r w:rsidRPr="00981405">
        <w:t>contribution</w:t>
      </w:r>
      <w:r w:rsidR="00190923" w:rsidRPr="00981405">
        <w:t xml:space="preserve"> </w:t>
      </w:r>
      <w:r w:rsidRPr="00981405">
        <w:t>of</w:t>
      </w:r>
      <w:r w:rsidR="00190923" w:rsidRPr="00981405">
        <w:t xml:space="preserve"> </w:t>
      </w:r>
      <w:r w:rsidRPr="00981405">
        <w:t>Mr.</w:t>
      </w:r>
      <w:r w:rsidR="00190923" w:rsidRPr="00981405">
        <w:t xml:space="preserve"> </w:t>
      </w:r>
      <w:r w:rsidRPr="00981405">
        <w:t>A.</w:t>
      </w:r>
      <w:r w:rsidR="00190923" w:rsidRPr="00981405">
        <w:t xml:space="preserve"> </w:t>
      </w:r>
      <w:r w:rsidRPr="00981405">
        <w:t>Rohan</w:t>
      </w:r>
      <w:r w:rsidR="00190923" w:rsidRPr="00981405">
        <w:t xml:space="preserve"> </w:t>
      </w:r>
      <w:r w:rsidRPr="00981405">
        <w:t>Perera,</w:t>
      </w:r>
      <w:r w:rsidR="00190923" w:rsidRPr="00981405">
        <w:t xml:space="preserve"> </w:t>
      </w:r>
      <w:r w:rsidRPr="00981405">
        <w:t>who</w:t>
      </w:r>
      <w:r w:rsidR="00190923" w:rsidRPr="00981405">
        <w:t xml:space="preserve"> </w:t>
      </w:r>
      <w:r w:rsidRPr="00981405">
        <w:t>served</w:t>
      </w:r>
      <w:r w:rsidR="00190923" w:rsidRPr="00981405">
        <w:t xml:space="preserve"> </w:t>
      </w:r>
      <w:r w:rsidRPr="00981405">
        <w:t>as</w:t>
      </w:r>
      <w:r w:rsidR="00190923" w:rsidRPr="00981405">
        <w:t xml:space="preserve"> </w:t>
      </w:r>
      <w:r w:rsidRPr="00981405">
        <w:t>co-chairman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from</w:t>
      </w:r>
      <w:r w:rsidR="00190923" w:rsidRPr="00981405">
        <w:t xml:space="preserve"> </w:t>
      </w:r>
      <w:r w:rsidRPr="00981405">
        <w:t>2009</w:t>
      </w:r>
      <w:r w:rsidR="00190923" w:rsidRPr="00981405">
        <w:t xml:space="preserve"> </w:t>
      </w:r>
      <w:r w:rsidRPr="00981405">
        <w:t>to</w:t>
      </w:r>
      <w:r w:rsidR="00190923" w:rsidRPr="00981405">
        <w:t xml:space="preserve"> </w:t>
      </w:r>
      <w:r w:rsidRPr="00981405">
        <w:t>2011,</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of</w:t>
      </w:r>
      <w:r w:rsidR="00190923" w:rsidRPr="00981405">
        <w:t xml:space="preserve"> </w:t>
      </w:r>
      <w:r w:rsidRPr="00981405">
        <w:t>Mr.</w:t>
      </w:r>
      <w:r w:rsidR="00190923" w:rsidRPr="00981405">
        <w:t xml:space="preserve"> </w:t>
      </w:r>
      <w:r w:rsidRPr="00981405">
        <w:t>Mathias</w:t>
      </w:r>
      <w:r w:rsidR="00190923" w:rsidRPr="00981405">
        <w:t xml:space="preserve"> </w:t>
      </w:r>
      <w:r w:rsidRPr="00981405">
        <w:t>Forteau,</w:t>
      </w:r>
      <w:r w:rsidR="00190923" w:rsidRPr="00981405">
        <w:t xml:space="preserve"> </w:t>
      </w:r>
      <w:r w:rsidRPr="00981405">
        <w:t>who</w:t>
      </w:r>
      <w:r w:rsidR="00190923" w:rsidRPr="00981405">
        <w:t xml:space="preserve"> </w:t>
      </w:r>
      <w:r w:rsidRPr="00981405">
        <w:t>served</w:t>
      </w:r>
      <w:r w:rsidR="00190923" w:rsidRPr="00981405">
        <w:t xml:space="preserve"> </w:t>
      </w:r>
      <w:r w:rsidRPr="00981405">
        <w:t>as</w:t>
      </w:r>
      <w:r w:rsidR="00190923" w:rsidRPr="00981405">
        <w:t xml:space="preserve"> </w:t>
      </w:r>
      <w:r w:rsidRPr="00981405">
        <w:t>chairman,</w:t>
      </w:r>
      <w:r w:rsidR="00190923" w:rsidRPr="00981405">
        <w:t xml:space="preserve"> </w:t>
      </w:r>
      <w:r w:rsidRPr="00981405">
        <w:t>in</w:t>
      </w:r>
      <w:r w:rsidR="00190923" w:rsidRPr="00981405">
        <w:t xml:space="preserve"> </w:t>
      </w:r>
      <w:r w:rsidRPr="00981405">
        <w:t>the</w:t>
      </w:r>
      <w:r w:rsidR="00190923" w:rsidRPr="00981405">
        <w:t xml:space="preserve"> </w:t>
      </w:r>
      <w:r w:rsidRPr="00981405">
        <w:t>absence</w:t>
      </w:r>
      <w:r w:rsidR="00190923" w:rsidRPr="00981405">
        <w:t xml:space="preserve"> </w:t>
      </w:r>
      <w:r w:rsidRPr="00981405">
        <w:t>of</w:t>
      </w:r>
      <w:r w:rsidR="00190923" w:rsidRPr="00981405">
        <w:t xml:space="preserve"> </w:t>
      </w:r>
      <w:r w:rsidRPr="00981405">
        <w:t>Mr.</w:t>
      </w:r>
      <w:r w:rsidR="00190923" w:rsidRPr="00981405">
        <w:t xml:space="preserve"> </w:t>
      </w:r>
      <w:r w:rsidRPr="00981405">
        <w:t>McRae</w:t>
      </w:r>
      <w:r w:rsidR="00190923" w:rsidRPr="00981405">
        <w:t xml:space="preserve"> </w:t>
      </w:r>
      <w:r w:rsidRPr="00981405">
        <w:t>during</w:t>
      </w:r>
      <w:r w:rsidR="00190923" w:rsidRPr="00981405">
        <w:t xml:space="preserve"> </w:t>
      </w:r>
      <w:r w:rsidRPr="00981405">
        <w:t>the</w:t>
      </w:r>
      <w:r w:rsidR="00190923" w:rsidRPr="00981405">
        <w:t xml:space="preserve"> </w:t>
      </w:r>
      <w:r w:rsidRPr="00981405">
        <w:t>2013</w:t>
      </w:r>
      <w:r w:rsidR="00190923" w:rsidRPr="00981405">
        <w:t xml:space="preserve"> </w:t>
      </w:r>
      <w:r w:rsidRPr="00981405">
        <w:t>and</w:t>
      </w:r>
      <w:r w:rsidR="00190923" w:rsidRPr="00981405">
        <w:t xml:space="preserve"> </w:t>
      </w:r>
      <w:r w:rsidRPr="00981405">
        <w:t>2014</w:t>
      </w:r>
      <w:r w:rsidR="00190923" w:rsidRPr="00981405">
        <w:t xml:space="preserve"> </w:t>
      </w:r>
      <w:r w:rsidRPr="00981405">
        <w:t>sessions.</w:t>
      </w:r>
      <w:r w:rsidR="00B92E2C" w:rsidRPr="00981405">
        <w:t>”</w:t>
      </w:r>
    </w:p>
    <w:p w:rsidR="00D94FA8" w:rsidRPr="00981405" w:rsidRDefault="00397032" w:rsidP="00D97463">
      <w:pPr>
        <w:pStyle w:val="SingleTxt"/>
      </w:pPr>
      <w:r w:rsidRPr="00981405">
        <w:br w:type="page"/>
      </w:r>
    </w:p>
    <w:p w:rsidR="00D94FA8" w:rsidRPr="00D97463" w:rsidRDefault="00D94FA8" w:rsidP="00D97463">
      <w:pPr>
        <w:pStyle w:val="SingleTxt"/>
        <w:spacing w:after="0" w:line="120" w:lineRule="exact"/>
        <w:rPr>
          <w:sz w:val="10"/>
        </w:rPr>
      </w:pPr>
    </w:p>
    <w:p w:rsidR="00D94FA8" w:rsidRPr="00D97463" w:rsidRDefault="00D94FA8"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t>Chapter</w:t>
      </w:r>
      <w:r w:rsidR="00190923" w:rsidRPr="00D97463">
        <w:t xml:space="preserve"> </w:t>
      </w:r>
      <w:r w:rsidRPr="00D97463">
        <w:t>V</w:t>
      </w:r>
      <w:r w:rsidRPr="00D97463">
        <w:br/>
        <w:t>Protection</w:t>
      </w:r>
      <w:r w:rsidR="00190923" w:rsidRPr="00D97463">
        <w:t xml:space="preserve"> </w:t>
      </w:r>
      <w:r w:rsidRPr="00D97463">
        <w:t>of</w:t>
      </w:r>
      <w:r w:rsidR="00190923" w:rsidRPr="00D97463">
        <w:t xml:space="preserve"> </w:t>
      </w:r>
      <w:r w:rsidRPr="00D97463">
        <w:t>the</w:t>
      </w:r>
      <w:r w:rsidR="00190923" w:rsidRPr="00D97463">
        <w:t xml:space="preserve"> </w:t>
      </w:r>
      <w:r w:rsidRPr="00D97463">
        <w:t>atmosphere</w:t>
      </w:r>
    </w:p>
    <w:p w:rsidR="00D94FA8" w:rsidRPr="00D97463" w:rsidRDefault="00D94FA8" w:rsidP="00D97463">
      <w:pPr>
        <w:pStyle w:val="SingleTxt"/>
        <w:spacing w:after="0" w:line="120" w:lineRule="exact"/>
        <w:rPr>
          <w:sz w:val="10"/>
        </w:rPr>
      </w:pPr>
    </w:p>
    <w:p w:rsidR="00D94FA8" w:rsidRPr="00D97463" w:rsidRDefault="00D94FA8" w:rsidP="00D97463">
      <w:pPr>
        <w:pStyle w:val="SingleTxt"/>
        <w:spacing w:after="0" w:line="120" w:lineRule="exact"/>
        <w:rPr>
          <w:sz w:val="10"/>
        </w:rPr>
      </w:pPr>
    </w:p>
    <w:p w:rsidR="00397032" w:rsidRPr="00D97463" w:rsidRDefault="00397032" w:rsidP="00D97463">
      <w:pPr>
        <w:pStyle w:val="H1"/>
        <w:ind w:right="1260"/>
      </w:pPr>
      <w:bookmarkStart w:id="26" w:name="_Toc398107300"/>
      <w:r w:rsidRPr="00D97463">
        <w:tab/>
        <w:t>A.</w:t>
      </w:r>
      <w:r w:rsidRPr="00D97463">
        <w:tab/>
        <w:t>Introduction</w:t>
      </w:r>
      <w:bookmarkEnd w:id="26"/>
    </w:p>
    <w:p w:rsidR="00D94FA8" w:rsidRPr="00D97463" w:rsidRDefault="00D94FA8" w:rsidP="00D97463">
      <w:pPr>
        <w:pStyle w:val="SingleTxt"/>
        <w:spacing w:after="0" w:line="120" w:lineRule="exact"/>
        <w:rPr>
          <w:sz w:val="10"/>
        </w:rPr>
      </w:pPr>
    </w:p>
    <w:p w:rsidR="00D94FA8" w:rsidRPr="00D97463" w:rsidRDefault="00D94FA8" w:rsidP="00D97463">
      <w:pPr>
        <w:pStyle w:val="SingleTxt"/>
        <w:spacing w:after="0" w:line="120" w:lineRule="exact"/>
        <w:rPr>
          <w:sz w:val="10"/>
        </w:rPr>
      </w:pPr>
    </w:p>
    <w:p w:rsidR="00397032" w:rsidRPr="00981405" w:rsidRDefault="00397032" w:rsidP="00D97463">
      <w:pPr>
        <w:pStyle w:val="SingleTxt"/>
      </w:pPr>
      <w:r w:rsidRPr="00981405">
        <w:t>45.</w:t>
      </w:r>
      <w:r w:rsidRPr="00981405">
        <w:tab/>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together</w:t>
      </w:r>
      <w:r w:rsidR="00190923" w:rsidRPr="00981405">
        <w:t xml:space="preserve"> </w:t>
      </w:r>
      <w:r w:rsidRPr="00981405">
        <w:t>with</w:t>
      </w:r>
      <w:r w:rsidR="00190923" w:rsidRPr="00981405">
        <w:t xml:space="preserve"> </w:t>
      </w:r>
      <w:r w:rsidRPr="00981405">
        <w:t>an</w:t>
      </w:r>
      <w:r w:rsidR="00190923" w:rsidRPr="00981405">
        <w:t xml:space="preserve"> </w:t>
      </w:r>
      <w:r w:rsidRPr="00981405">
        <w:t>understanding,</w:t>
      </w:r>
      <w:r w:rsidR="00190923" w:rsidRPr="00981405">
        <w:t xml:space="preserve"> </w:t>
      </w:r>
      <w:r w:rsidRPr="00981405">
        <w:t>and</w:t>
      </w:r>
      <w:r w:rsidR="00190923" w:rsidRPr="00981405">
        <w:t xml:space="preserve"> </w:t>
      </w:r>
      <w:r w:rsidRPr="00981405">
        <w:t>appointed</w:t>
      </w:r>
      <w:r w:rsidR="00190923" w:rsidRPr="00981405">
        <w:t xml:space="preserve"> </w:t>
      </w:r>
      <w:r w:rsidRPr="00981405">
        <w:t>Mr.</w:t>
      </w:r>
      <w:r w:rsidR="00190923" w:rsidRPr="00981405">
        <w:t xml:space="preserve"> </w:t>
      </w:r>
      <w:r w:rsidRPr="00981405">
        <w:t>Shinya</w:t>
      </w:r>
      <w:r w:rsidR="00190923" w:rsidRPr="00981405">
        <w:t xml:space="preserve"> </w:t>
      </w:r>
      <w:r w:rsidRPr="00981405">
        <w:t>Murase</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Pr="00981405">
        <w:rPr>
          <w:rStyle w:val="FootnoteReference"/>
        </w:rPr>
        <w:footnoteReference w:id="12"/>
      </w:r>
    </w:p>
    <w:p w:rsidR="00397032" w:rsidRPr="00981405" w:rsidRDefault="00397032" w:rsidP="00D97463">
      <w:pPr>
        <w:pStyle w:val="SingleTxt"/>
      </w:pPr>
      <w:r w:rsidRPr="00981405">
        <w:t>46.</w:t>
      </w:r>
      <w:r w:rsidRPr="00981405">
        <w:tab/>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and</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at</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(2014).</w:t>
      </w:r>
      <w:r w:rsidRPr="00981405">
        <w:rPr>
          <w:rStyle w:val="FootnoteReference"/>
        </w:rPr>
        <w:footnoteReference w:id="13"/>
      </w:r>
      <w:r w:rsidR="00190923" w:rsidRPr="00981405">
        <w:t xml:space="preserve"> </w:t>
      </w:r>
    </w:p>
    <w:p w:rsidR="00F26841" w:rsidRPr="00D97463" w:rsidRDefault="00F26841" w:rsidP="00D97463">
      <w:pPr>
        <w:pStyle w:val="SingleTxt"/>
        <w:spacing w:after="0" w:line="120" w:lineRule="exact"/>
        <w:rPr>
          <w:sz w:val="10"/>
        </w:rPr>
      </w:pPr>
    </w:p>
    <w:p w:rsidR="00F26841" w:rsidRPr="00D97463" w:rsidRDefault="00F26841" w:rsidP="00D97463">
      <w:pPr>
        <w:pStyle w:val="SingleTxt"/>
        <w:spacing w:after="0" w:line="120" w:lineRule="exact"/>
        <w:rPr>
          <w:sz w:val="10"/>
        </w:rPr>
      </w:pPr>
    </w:p>
    <w:p w:rsidR="00397032" w:rsidRPr="00D97463" w:rsidRDefault="00397032" w:rsidP="00D97463">
      <w:pPr>
        <w:pStyle w:val="H1"/>
        <w:ind w:right="1260"/>
      </w:pPr>
      <w:r w:rsidRPr="00D97463">
        <w:tab/>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p>
    <w:p w:rsidR="00F26841" w:rsidRPr="00D97463" w:rsidRDefault="00F26841" w:rsidP="00D97463">
      <w:pPr>
        <w:pStyle w:val="SingleTxt"/>
        <w:spacing w:after="0" w:line="120" w:lineRule="exact"/>
        <w:rPr>
          <w:sz w:val="10"/>
        </w:rPr>
      </w:pPr>
    </w:p>
    <w:p w:rsidR="00F26841" w:rsidRPr="00D97463" w:rsidRDefault="00F26841" w:rsidP="00D97463">
      <w:pPr>
        <w:pStyle w:val="SingleTxt"/>
        <w:spacing w:after="0" w:line="120" w:lineRule="exact"/>
        <w:rPr>
          <w:sz w:val="10"/>
        </w:rPr>
      </w:pPr>
    </w:p>
    <w:p w:rsidR="00397032" w:rsidRPr="00981405" w:rsidRDefault="00397032" w:rsidP="00D97463">
      <w:pPr>
        <w:pStyle w:val="SingleTxt"/>
      </w:pPr>
      <w:r w:rsidRPr="00981405">
        <w:t>47.</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38" w:history="1">
        <w:r w:rsidR="00F304EB" w:rsidRPr="00F304EB">
          <w:rPr>
            <w:rStyle w:val="Hyperlink"/>
          </w:rPr>
          <w:t>A/CN.4/681</w:t>
        </w:r>
      </w:hyperlink>
      <w:r w:rsidR="00190923" w:rsidRPr="00981405">
        <w:t xml:space="preserve"> </w:t>
      </w:r>
      <w:r w:rsidRPr="00981405">
        <w:t>and</w:t>
      </w:r>
      <w:r w:rsidR="00190923" w:rsidRPr="00981405">
        <w:t xml:space="preserve"> </w:t>
      </w:r>
      <w:r w:rsidR="008A71B7" w:rsidRPr="00D97463">
        <w:t>Corr.1</w:t>
      </w:r>
      <w:r w:rsidR="00190923" w:rsidRPr="00981405">
        <w:t xml:space="preserve"> </w:t>
      </w:r>
      <w:r w:rsidRPr="00981405">
        <w:t>(Chinese</w:t>
      </w:r>
      <w:r w:rsidR="00190923" w:rsidRPr="00981405">
        <w:t xml:space="preserve"> </w:t>
      </w:r>
      <w:r w:rsidRPr="00981405">
        <w:t>only)).</w:t>
      </w:r>
      <w:r w:rsidR="00190923" w:rsidRPr="00981405">
        <w:t xml:space="preserve"> </w:t>
      </w:r>
      <w:r w:rsidRPr="00981405">
        <w:t>Building</w:t>
      </w:r>
      <w:r w:rsidR="00190923" w:rsidRPr="00981405">
        <w:t xml:space="preserve"> </w:t>
      </w:r>
      <w:r w:rsidRPr="00981405">
        <w:t>upon</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comments</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provided</w:t>
      </w:r>
      <w:r w:rsidR="00190923" w:rsidRPr="00981405">
        <w:t xml:space="preserve"> </w:t>
      </w:r>
      <w:r w:rsidRPr="00981405">
        <w:t>a</w:t>
      </w:r>
      <w:r w:rsidR="00190923" w:rsidRPr="00981405">
        <w:t xml:space="preserve"> </w:t>
      </w:r>
      <w:r w:rsidRPr="00981405">
        <w:t>further</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submitted</w:t>
      </w:r>
      <w:r w:rsidR="00190923" w:rsidRPr="00981405">
        <w:t xml:space="preserve"> </w:t>
      </w:r>
      <w:r w:rsidRPr="00981405">
        <w:t>in</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offering</w:t>
      </w:r>
      <w:r w:rsidR="00190923" w:rsidRPr="00981405">
        <w:t xml:space="preserve"> </w:t>
      </w:r>
      <w:r w:rsidRPr="00981405">
        <w:t>a</w:t>
      </w:r>
      <w:r w:rsidR="00190923" w:rsidRPr="00981405">
        <w:t xml:space="preserve"> </w:t>
      </w:r>
      <w:r w:rsidRPr="00981405">
        <w:t>set</w:t>
      </w:r>
      <w:r w:rsidR="00190923" w:rsidRPr="00981405">
        <w:t xml:space="preserve"> </w:t>
      </w:r>
      <w:r w:rsidRPr="00981405">
        <w:t>of</w:t>
      </w:r>
      <w:r w:rsidR="00190923" w:rsidRPr="00981405">
        <w:t xml:space="preserve"> </w:t>
      </w:r>
      <w:r w:rsidRPr="00981405">
        <w:t>revised</w:t>
      </w:r>
      <w:r w:rsidR="00190923" w:rsidRPr="00981405">
        <w:t xml:space="preserve"> </w:t>
      </w:r>
      <w:r w:rsidRPr="00981405">
        <w:t>guidelines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including</w:t>
      </w:r>
      <w:r w:rsidR="00190923" w:rsidRPr="00981405">
        <w:t xml:space="preserve"> </w:t>
      </w:r>
      <w:r w:rsidRPr="00981405">
        <w:t>a</w:t>
      </w:r>
      <w:r w:rsidR="00190923" w:rsidRPr="00981405">
        <w:t xml:space="preserve"> </w:t>
      </w:r>
      <w:r w:rsidRPr="00981405">
        <w:t>definition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and</w:t>
      </w:r>
      <w:r w:rsidR="00190923" w:rsidRPr="00981405">
        <w:t xml:space="preserve"> </w:t>
      </w:r>
      <w:r w:rsidRPr="00981405">
        <w:t>the</w:t>
      </w:r>
      <w:r w:rsidR="00190923" w:rsidRPr="00981405">
        <w:t xml:space="preserve"> </w:t>
      </w:r>
      <w:r w:rsidRPr="00981405">
        <w:t>Common</w:t>
      </w:r>
      <w:r w:rsidR="00190923" w:rsidRPr="00981405">
        <w:t xml:space="preserve"> </w:t>
      </w:r>
      <w:r w:rsidRPr="00981405">
        <w:t>concern</w:t>
      </w:r>
      <w:r w:rsidR="00190923" w:rsidRPr="00981405">
        <w:t xml:space="preserve"> </w:t>
      </w:r>
      <w:r w:rsidRPr="00981405">
        <w:t>of</w:t>
      </w:r>
      <w:r w:rsidR="00190923" w:rsidRPr="00981405">
        <w:t xml:space="preserve"> </w:t>
      </w:r>
      <w:r w:rsidRPr="00981405">
        <w:t>humankind.</w:t>
      </w:r>
      <w:r w:rsidR="00190923" w:rsidRPr="00981405">
        <w:t xml:space="preserve"> </w:t>
      </w:r>
      <w:r w:rsidRPr="00981405">
        <w:t>Moreover,</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offered</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were</w:t>
      </w:r>
      <w:r w:rsidR="00190923" w:rsidRPr="00981405">
        <w:t xml:space="preserve"> </w:t>
      </w:r>
      <w:r w:rsidRPr="00981405">
        <w:t>presented</w:t>
      </w:r>
      <w:r w:rsidR="00190923" w:rsidRPr="00981405">
        <w:t xml:space="preserve"> </w:t>
      </w:r>
      <w:r w:rsidRPr="00981405">
        <w:t>on</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cooperation.</w:t>
      </w:r>
      <w:r w:rsidRPr="00981405">
        <w:rPr>
          <w:rStyle w:val="FootnoteReference"/>
        </w:rPr>
        <w:footnoteReference w:id="14"/>
      </w:r>
      <w:r w:rsidR="00190923" w:rsidRPr="00981405">
        <w:rPr>
          <w:rFonts w:eastAsia="Calibri"/>
        </w:rPr>
        <w:t xml:space="preserve"> </w:t>
      </w:r>
      <w:r w:rsidRPr="00981405">
        <w:t>He</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common</w:t>
      </w:r>
      <w:r w:rsidR="00190923" w:rsidRPr="00981405">
        <w:t xml:space="preserve"> </w:t>
      </w:r>
      <w:r w:rsidRPr="00981405">
        <w:t>concern</w:t>
      </w:r>
      <w:r w:rsidR="00190923" w:rsidRPr="00981405">
        <w:t xml:space="preserve"> </w:t>
      </w:r>
      <w:r w:rsidRPr="00981405">
        <w:t>of</w:t>
      </w:r>
      <w:r w:rsidR="00190923" w:rsidRPr="00981405">
        <w:t xml:space="preserve"> </w:t>
      </w:r>
      <w:r w:rsidRPr="00981405">
        <w:lastRenderedPageBreak/>
        <w:t>humankind,</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were</w:t>
      </w:r>
      <w:r w:rsidR="00190923" w:rsidRPr="00981405">
        <w:t xml:space="preserve"> </w:t>
      </w:r>
      <w:r w:rsidRPr="00981405">
        <w:t>established</w:t>
      </w:r>
      <w:r w:rsidR="00190923" w:rsidRPr="00981405">
        <w:t xml:space="preserve"> </w:t>
      </w:r>
      <w:r w:rsidRPr="00981405">
        <w:t>in</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and</w:t>
      </w:r>
      <w:r w:rsidR="00190923" w:rsidRPr="00981405">
        <w:t xml:space="preserve"> </w:t>
      </w:r>
      <w:r w:rsidRPr="00981405">
        <w:t>fundamentally</w:t>
      </w:r>
      <w:r w:rsidR="00190923" w:rsidRPr="00981405">
        <w:t xml:space="preserve"> </w:t>
      </w:r>
      <w:r w:rsidRPr="00981405">
        <w:t>interconnected,</w:t>
      </w:r>
      <w:r w:rsidR="00190923" w:rsidRPr="00981405">
        <w:t xml:space="preserve"> </w:t>
      </w:r>
      <w:r w:rsidRPr="00981405">
        <w:t>thereby</w:t>
      </w:r>
      <w:r w:rsidR="00190923" w:rsidRPr="00981405">
        <w:t xml:space="preserve"> </w:t>
      </w:r>
      <w:r w:rsidRPr="00981405">
        <w:t>forming</w:t>
      </w:r>
      <w:r w:rsidR="00190923" w:rsidRPr="00981405">
        <w:t xml:space="preserve"> </w:t>
      </w:r>
      <w:r w:rsidRPr="00981405">
        <w:t>a</w:t>
      </w:r>
      <w:r w:rsidR="00190923" w:rsidRPr="00981405">
        <w:t xml:space="preserve"> </w:t>
      </w:r>
      <w:r w:rsidRPr="00981405">
        <w:t>trinity</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presented</w:t>
      </w:r>
      <w:r w:rsidR="00190923" w:rsidRPr="00981405">
        <w:t xml:space="preserve"> </w:t>
      </w:r>
      <w:r w:rsidRPr="00981405">
        <w:t>a</w:t>
      </w:r>
      <w:r w:rsidR="00190923" w:rsidRPr="00981405">
        <w:t xml:space="preserve"> </w:t>
      </w:r>
      <w:r w:rsidRPr="00981405">
        <w:t>detailed</w:t>
      </w:r>
      <w:r w:rsidR="00190923" w:rsidRPr="00981405">
        <w:t xml:space="preserve"> </w:t>
      </w:r>
      <w:r w:rsidRPr="00981405">
        <w:t>future</w:t>
      </w:r>
      <w:r w:rsidR="00190923" w:rsidRPr="00981405">
        <w:t xml:space="preserve"> </w:t>
      </w:r>
      <w:r w:rsidRPr="00981405">
        <w:t>plan</w:t>
      </w:r>
      <w:r w:rsidR="00190923" w:rsidRPr="00981405">
        <w:t xml:space="preserve"> </w:t>
      </w:r>
      <w:r w:rsidRPr="00981405">
        <w:t>of</w:t>
      </w:r>
      <w:r w:rsidR="00190923" w:rsidRPr="00981405">
        <w:t xml:space="preserve"> </w:t>
      </w:r>
      <w:r w:rsidRPr="00981405">
        <w:t>work,</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comments</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2014</w:t>
      </w:r>
      <w:r w:rsidR="00190923" w:rsidRPr="00981405">
        <w:t xml:space="preserve"> </w:t>
      </w:r>
      <w:r w:rsidRPr="00981405">
        <w:t>requesting</w:t>
      </w:r>
      <w:r w:rsidR="00190923" w:rsidRPr="00981405">
        <w:t xml:space="preserve"> </w:t>
      </w:r>
      <w:r w:rsidRPr="00981405">
        <w:t>such</w:t>
      </w:r>
      <w:r w:rsidR="00190923" w:rsidRPr="00981405">
        <w:t xml:space="preserve"> </w:t>
      </w:r>
      <w:r w:rsidRPr="00981405">
        <w:t>a</w:t>
      </w:r>
      <w:r w:rsidR="00190923" w:rsidRPr="00981405">
        <w:t xml:space="preserve"> </w:t>
      </w:r>
      <w:r w:rsidRPr="00981405">
        <w:t>plan.</w:t>
      </w:r>
      <w:r w:rsidR="00190923" w:rsidRPr="00981405">
        <w:t xml:space="preserve"> </w:t>
      </w:r>
      <w:r w:rsidRPr="00981405">
        <w:t>He</w:t>
      </w:r>
      <w:r w:rsidR="00190923" w:rsidRPr="00981405">
        <w:t xml:space="preserve"> </w:t>
      </w:r>
      <w:r w:rsidRPr="00981405">
        <w:t>estimated,</w:t>
      </w:r>
      <w:r w:rsidR="00190923" w:rsidRPr="00981405">
        <w:t xml:space="preserve"> </w:t>
      </w:r>
      <w:r w:rsidRPr="00981405">
        <w:t>on</w:t>
      </w:r>
      <w:r w:rsidR="00190923" w:rsidRPr="00981405">
        <w:t xml:space="preserve"> </w:t>
      </w:r>
      <w:r w:rsidRPr="00981405">
        <w:t>a</w:t>
      </w:r>
      <w:r w:rsidR="00190923" w:rsidRPr="00981405">
        <w:t xml:space="preserve"> </w:t>
      </w:r>
      <w:r w:rsidRPr="00981405">
        <w:t>tentative</w:t>
      </w:r>
      <w:r w:rsidR="00190923" w:rsidRPr="00981405">
        <w:t xml:space="preserve"> </w:t>
      </w:r>
      <w:r w:rsidRPr="00981405">
        <w:t>basis,</w:t>
      </w:r>
      <w:r w:rsidR="00190923" w:rsidRPr="00981405">
        <w:t xml:space="preserve"> </w:t>
      </w:r>
      <w:r w:rsidRPr="00981405">
        <w:t>that</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could</w:t>
      </w:r>
      <w:r w:rsidR="00190923" w:rsidRPr="00981405">
        <w:t xml:space="preserve"> </w:t>
      </w:r>
      <w:r w:rsidRPr="00981405">
        <w:t>be</w:t>
      </w:r>
      <w:r w:rsidR="00190923" w:rsidRPr="00981405">
        <w:t xml:space="preserve"> </w:t>
      </w:r>
      <w:r w:rsidRPr="00981405">
        <w:t>completed</w:t>
      </w:r>
      <w:r w:rsidR="00190923" w:rsidRPr="00981405">
        <w:t xml:space="preserve"> </w:t>
      </w:r>
      <w:r w:rsidRPr="00981405">
        <w:t>in</w:t>
      </w:r>
      <w:r w:rsidR="00190923" w:rsidRPr="00981405">
        <w:t xml:space="preserve"> </w:t>
      </w:r>
      <w:r w:rsidRPr="00981405">
        <w:t>2020,</w:t>
      </w:r>
      <w:r w:rsidR="00190923" w:rsidRPr="00981405">
        <w:t xml:space="preserve"> </w:t>
      </w:r>
      <w:r w:rsidRPr="00981405">
        <w:t>following</w:t>
      </w:r>
      <w:r w:rsidR="00190923" w:rsidRPr="00981405">
        <w:t xml:space="preserve"> </w:t>
      </w:r>
      <w:r w:rsidRPr="00981405">
        <w:t>a</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such</w:t>
      </w:r>
      <w:r w:rsidR="00190923" w:rsidRPr="00981405">
        <w:t xml:space="preserve"> </w:t>
      </w:r>
      <w:r w:rsidRPr="00981405">
        <w:t>issues</w:t>
      </w:r>
      <w:r w:rsidR="00190923" w:rsidRPr="00981405">
        <w:t xml:space="preserve"> </w:t>
      </w:r>
      <w:r w:rsidRPr="00981405">
        <w:t>as</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D97463">
        <w:rPr>
          <w:i/>
          <w:iCs/>
        </w:rPr>
        <w:t>sic</w:t>
      </w:r>
      <w:r w:rsidR="00190923" w:rsidRPr="00981405">
        <w:rPr>
          <w:i/>
          <w:iCs/>
        </w:rPr>
        <w:t xml:space="preserve"> </w:t>
      </w:r>
      <w:r w:rsidRPr="00D97463">
        <w:rPr>
          <w:i/>
          <w:iCs/>
        </w:rPr>
        <w:t>utere</w:t>
      </w:r>
      <w:r w:rsidR="00190923" w:rsidRPr="00981405">
        <w:rPr>
          <w:i/>
          <w:iCs/>
        </w:rPr>
        <w:t xml:space="preserve"> </w:t>
      </w:r>
      <w:r w:rsidRPr="00D97463">
        <w:rPr>
          <w:i/>
          <w:iCs/>
        </w:rPr>
        <w:t>tuo</w:t>
      </w:r>
      <w:r w:rsidR="00190923" w:rsidRPr="00981405">
        <w:rPr>
          <w:i/>
          <w:iCs/>
        </w:rPr>
        <w:t xml:space="preserve"> </w:t>
      </w:r>
      <w:r w:rsidRPr="00D97463">
        <w:rPr>
          <w:i/>
          <w:iCs/>
        </w:rPr>
        <w:t>ut</w:t>
      </w:r>
      <w:r w:rsidR="00190923" w:rsidRPr="00981405">
        <w:rPr>
          <w:i/>
          <w:iCs/>
        </w:rPr>
        <w:t xml:space="preserve"> </w:t>
      </w:r>
      <w:r w:rsidRPr="00D97463">
        <w:rPr>
          <w:i/>
          <w:iCs/>
        </w:rPr>
        <w:t>alienum</w:t>
      </w:r>
      <w:r w:rsidR="00190923" w:rsidRPr="00981405">
        <w:rPr>
          <w:i/>
          <w:iCs/>
        </w:rPr>
        <w:t xml:space="preserve"> </w:t>
      </w:r>
      <w:r w:rsidRPr="00D97463">
        <w:rPr>
          <w:i/>
          <w:iCs/>
        </w:rPr>
        <w:t>non</w:t>
      </w:r>
      <w:r w:rsidR="00190923" w:rsidRPr="00981405">
        <w:rPr>
          <w:i/>
          <w:iCs/>
        </w:rPr>
        <w:t xml:space="preserve"> </w:t>
      </w:r>
      <w:r w:rsidRPr="00D97463">
        <w:rPr>
          <w:i/>
          <w:iCs/>
        </w:rPr>
        <w:t>laedas</w:t>
      </w:r>
      <w:r w:rsidRPr="00981405">
        <w:t>,</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sustainable</w:t>
      </w:r>
      <w:r w:rsidR="00190923" w:rsidRPr="00981405">
        <w:t xml:space="preserve"> </w:t>
      </w:r>
      <w:r w:rsidRPr="00981405">
        <w:t>development</w:t>
      </w:r>
      <w:r w:rsidR="00190923" w:rsidRPr="00981405">
        <w:t xml:space="preserve"> </w:t>
      </w:r>
      <w:r w:rsidRPr="00981405">
        <w:t>(utilization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environmental</w:t>
      </w:r>
      <w:r w:rsidR="00190923" w:rsidRPr="00981405">
        <w:t xml:space="preserve"> </w:t>
      </w:r>
      <w:r w:rsidRPr="00981405">
        <w:t>impact</w:t>
      </w:r>
      <w:r w:rsidR="00190923" w:rsidRPr="00981405">
        <w:t xml:space="preserve"> </w:t>
      </w:r>
      <w:r w:rsidRPr="00981405">
        <w:t>assessment),</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equity,</w:t>
      </w:r>
      <w:r w:rsidR="00190923" w:rsidRPr="00981405">
        <w:t xml:space="preserve"> </w:t>
      </w:r>
      <w:r w:rsidRPr="00981405">
        <w:t>special</w:t>
      </w:r>
      <w:r w:rsidR="00190923" w:rsidRPr="00981405">
        <w:t xml:space="preserve"> </w:t>
      </w:r>
      <w:r w:rsidRPr="00981405">
        <w:t>circumstances</w:t>
      </w:r>
      <w:r w:rsidR="00190923" w:rsidRPr="00981405">
        <w:t xml:space="preserve"> </w:t>
      </w:r>
      <w:r w:rsidRPr="00981405">
        <w:t>and</w:t>
      </w:r>
      <w:r w:rsidR="00190923" w:rsidRPr="00981405">
        <w:t xml:space="preserve"> </w:t>
      </w:r>
      <w:r w:rsidRPr="00981405">
        <w:t>vulnerability,</w:t>
      </w:r>
      <w:r w:rsidR="00190923" w:rsidRPr="00981405">
        <w:t xml:space="preserve"> </w:t>
      </w:r>
      <w:r w:rsidRPr="00981405">
        <w:t>in</w:t>
      </w:r>
      <w:r w:rsidR="00190923" w:rsidRPr="00981405">
        <w:t xml:space="preserve"> </w:t>
      </w:r>
      <w:r w:rsidRPr="00981405">
        <w:t>2016;</w:t>
      </w:r>
      <w:r w:rsidR="00190923" w:rsidRPr="00981405">
        <w:t xml:space="preserve"> </w:t>
      </w:r>
      <w:r w:rsidRPr="00981405">
        <w:t>prevention,</w:t>
      </w:r>
      <w:r w:rsidR="00190923" w:rsidRPr="00981405">
        <w:t xml:space="preserve"> </w:t>
      </w:r>
      <w:r w:rsidRPr="00981405">
        <w:t>due</w:t>
      </w:r>
      <w:r w:rsidR="00190923" w:rsidRPr="00981405">
        <w:t xml:space="preserve"> </w:t>
      </w:r>
      <w:r w:rsidRPr="00981405">
        <w:t>diligence</w:t>
      </w:r>
      <w:r w:rsidR="00190923" w:rsidRPr="00981405">
        <w:t xml:space="preserve"> </w:t>
      </w:r>
      <w:r w:rsidRPr="00981405">
        <w:t>and</w:t>
      </w:r>
      <w:r w:rsidR="00190923" w:rsidRPr="00981405">
        <w:t xml:space="preserve"> </w:t>
      </w:r>
      <w:r w:rsidRPr="00981405">
        <w:t>precaution,</w:t>
      </w:r>
      <w:r w:rsidR="00190923" w:rsidRPr="00981405">
        <w:t xml:space="preserve"> </w:t>
      </w:r>
      <w:r w:rsidRPr="00981405">
        <w:t>in</w:t>
      </w:r>
      <w:r w:rsidR="00190923" w:rsidRPr="00981405">
        <w:t xml:space="preserve"> </w:t>
      </w:r>
      <w:r w:rsidRPr="00981405">
        <w:t>2017;</w:t>
      </w:r>
      <w:r w:rsidR="00190923" w:rsidRPr="00981405">
        <w:t xml:space="preserve"> </w:t>
      </w:r>
      <w:r w:rsidRPr="00981405">
        <w:t>principles</w:t>
      </w:r>
      <w:r w:rsidR="00190923" w:rsidRPr="00981405">
        <w:t xml:space="preserve"> </w:t>
      </w:r>
      <w:r w:rsidRPr="00981405">
        <w:t>guiding</w:t>
      </w:r>
      <w:r w:rsidR="00190923" w:rsidRPr="00981405">
        <w:t xml:space="preserve"> </w:t>
      </w:r>
      <w:r w:rsidRPr="00981405">
        <w:t>interrelationships</w:t>
      </w:r>
      <w:r w:rsidR="00190923" w:rsidRPr="00981405">
        <w:t xml:space="preserve"> </w:t>
      </w:r>
      <w:r w:rsidRPr="00981405">
        <w:t>with</w:t>
      </w:r>
      <w:r w:rsidR="00190923" w:rsidRPr="00981405">
        <w:t xml:space="preserve"> </w:t>
      </w:r>
      <w:r w:rsidRPr="00981405">
        <w:t>other</w:t>
      </w:r>
      <w:r w:rsidR="00190923" w:rsidRPr="00981405">
        <w:t xml:space="preserve"> </w:t>
      </w:r>
      <w:r w:rsidRPr="00981405">
        <w:t>fields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w:t>
      </w:r>
      <w:r w:rsidR="00190923" w:rsidRPr="00981405">
        <w:t xml:space="preserve"> </w:t>
      </w:r>
      <w:r w:rsidRPr="00981405">
        <w:t>2018;</w:t>
      </w:r>
      <w:r w:rsidR="00190923" w:rsidRPr="00981405">
        <w:t xml:space="preserve"> </w:t>
      </w:r>
      <w:r w:rsidRPr="00981405">
        <w:t>compliance</w:t>
      </w:r>
      <w:r w:rsidR="00190923" w:rsidRPr="00981405">
        <w:t xml:space="preserve"> </w:t>
      </w:r>
      <w:r w:rsidRPr="00981405">
        <w:t>and</w:t>
      </w:r>
      <w:r w:rsidR="00190923" w:rsidRPr="00981405">
        <w:t xml:space="preserve"> </w:t>
      </w:r>
      <w:r w:rsidRPr="00981405">
        <w:t>implementation,</w:t>
      </w:r>
      <w:r w:rsidR="00190923" w:rsidRPr="00981405">
        <w:t xml:space="preserve"> </w:t>
      </w:r>
      <w:r w:rsidRPr="00981405">
        <w:t>and</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in</w:t>
      </w:r>
      <w:r w:rsidR="00190923" w:rsidRPr="00981405">
        <w:t xml:space="preserve"> </w:t>
      </w:r>
      <w:r w:rsidRPr="00981405">
        <w:t>2019.</w:t>
      </w:r>
    </w:p>
    <w:p w:rsidR="00397032" w:rsidRPr="00981405" w:rsidRDefault="00397032" w:rsidP="00D97463">
      <w:pPr>
        <w:pStyle w:val="SingleTxt"/>
      </w:pPr>
      <w:r w:rsidRPr="00981405">
        <w:t>48.</w:t>
      </w:r>
      <w:r w:rsidRPr="00981405">
        <w:tab/>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report</w:t>
      </w:r>
      <w:r w:rsidR="00190923" w:rsidRPr="00981405">
        <w:t xml:space="preserve"> </w:t>
      </w:r>
      <w:r w:rsidRPr="00981405">
        <w:t>at</w:t>
      </w:r>
      <w:r w:rsidR="00190923" w:rsidRPr="00981405">
        <w:t xml:space="preserve"> </w:t>
      </w:r>
      <w:r w:rsidRPr="00981405">
        <w:t>its</w:t>
      </w:r>
      <w:r w:rsidR="00190923" w:rsidRPr="00981405">
        <w:t xml:space="preserve"> </w:t>
      </w:r>
      <w:r w:rsidRPr="00981405">
        <w:t>3244th</w:t>
      </w:r>
      <w:r w:rsidR="00190923" w:rsidRPr="00981405">
        <w:t xml:space="preserve"> </w:t>
      </w:r>
      <w:r w:rsidRPr="00981405">
        <w:t>to</w:t>
      </w:r>
      <w:r w:rsidR="00190923" w:rsidRPr="00981405">
        <w:t xml:space="preserve"> </w:t>
      </w:r>
      <w:r w:rsidRPr="00981405">
        <w:t>3249th</w:t>
      </w:r>
      <w:r w:rsidR="00190923" w:rsidRPr="00981405">
        <w:t xml:space="preserve"> </w:t>
      </w:r>
      <w:r w:rsidRPr="00981405">
        <w:t>meetings,</w:t>
      </w:r>
      <w:r w:rsidR="00190923" w:rsidRPr="00981405">
        <w:t xml:space="preserve"> </w:t>
      </w:r>
      <w:r w:rsidRPr="00981405">
        <w:t>on</w:t>
      </w:r>
      <w:r w:rsidR="00190923" w:rsidRPr="00981405">
        <w:t xml:space="preserve"> </w:t>
      </w:r>
      <w:r w:rsidRPr="00981405">
        <w:t>4,</w:t>
      </w:r>
      <w:r w:rsidR="00190923" w:rsidRPr="00981405">
        <w:t xml:space="preserve"> </w:t>
      </w:r>
      <w:r w:rsidRPr="00981405">
        <w:t>5,</w:t>
      </w:r>
      <w:r w:rsidR="00190923" w:rsidRPr="00981405">
        <w:t xml:space="preserve"> </w:t>
      </w:r>
      <w:r w:rsidRPr="00981405">
        <w:t>6,</w:t>
      </w:r>
      <w:r w:rsidR="00190923" w:rsidRPr="00981405">
        <w:t xml:space="preserve"> </w:t>
      </w:r>
      <w:r w:rsidRPr="00981405">
        <w:t>7,</w:t>
      </w:r>
      <w:r w:rsidR="00190923" w:rsidRPr="00981405">
        <w:t xml:space="preserve"> </w:t>
      </w:r>
      <w:r w:rsidRPr="00981405">
        <w:t>8</w:t>
      </w:r>
      <w:r w:rsidR="00190923" w:rsidRPr="00981405">
        <w:t xml:space="preserve"> </w:t>
      </w:r>
      <w:r w:rsidRPr="00981405">
        <w:t>and</w:t>
      </w:r>
      <w:r w:rsidR="00190923" w:rsidRPr="00981405">
        <w:t xml:space="preserve"> </w:t>
      </w:r>
      <w:r w:rsidRPr="00981405">
        <w:t>12</w:t>
      </w:r>
      <w:r w:rsidR="00190923" w:rsidRPr="00981405">
        <w:t xml:space="preserve"> </w:t>
      </w:r>
      <w:r w:rsidRPr="00981405">
        <w:t>May</w:t>
      </w:r>
      <w:r w:rsidR="00190923" w:rsidRPr="00981405">
        <w:t xml:space="preserve"> </w:t>
      </w:r>
      <w:r w:rsidRPr="00981405">
        <w:t>2015.</w:t>
      </w:r>
    </w:p>
    <w:p w:rsidR="00397032" w:rsidRPr="00981405" w:rsidRDefault="00397032" w:rsidP="00D97463">
      <w:pPr>
        <w:pStyle w:val="SingleTxt"/>
        <w:keepNext/>
        <w:keepLines/>
      </w:pPr>
      <w:r w:rsidRPr="00981405">
        <w:lastRenderedPageBreak/>
        <w:t>49.</w:t>
      </w:r>
      <w:r w:rsidR="00190923" w:rsidRPr="00981405">
        <w:t xml:space="preserve"> </w:t>
      </w:r>
      <w:r w:rsidRPr="00981405">
        <w:tab/>
        <w:t>In</w:t>
      </w:r>
      <w:r w:rsidR="00190923" w:rsidRPr="00981405">
        <w:t xml:space="preserve"> </w:t>
      </w:r>
      <w:r w:rsidRPr="00981405">
        <w:t>addition</w:t>
      </w:r>
      <w:r w:rsidR="00190923" w:rsidRPr="00981405">
        <w:t xml:space="preserve"> </w:t>
      </w:r>
      <w:r w:rsidRPr="00981405">
        <w:t>to</w:t>
      </w:r>
      <w:r w:rsidR="00190923" w:rsidRPr="00981405">
        <w:t xml:space="preserve"> </w:t>
      </w:r>
      <w:r w:rsidRPr="00981405">
        <w:t>the</w:t>
      </w:r>
      <w:r w:rsidR="00190923" w:rsidRPr="00981405">
        <w:t xml:space="preserve"> </w:t>
      </w:r>
      <w:r w:rsidRPr="00981405">
        <w:t>debate</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there</w:t>
      </w:r>
      <w:r w:rsidR="00190923" w:rsidRPr="00981405">
        <w:t xml:space="preserve"> </w:t>
      </w:r>
      <w:r w:rsidRPr="00981405">
        <w:t>was</w:t>
      </w:r>
      <w:r w:rsidR="00190923" w:rsidRPr="00981405">
        <w:t xml:space="preserve"> </w:t>
      </w:r>
      <w:r w:rsidRPr="00981405">
        <w:t>a</w:t>
      </w:r>
      <w:r w:rsidR="00190923" w:rsidRPr="00981405">
        <w:t xml:space="preserve"> </w:t>
      </w:r>
      <w:r w:rsidRPr="00981405">
        <w:t>dialogue</w:t>
      </w:r>
      <w:r w:rsidR="00190923" w:rsidRPr="00981405">
        <w:t xml:space="preserve"> </w:t>
      </w:r>
      <w:r w:rsidRPr="00981405">
        <w:t>with</w:t>
      </w:r>
      <w:r w:rsidR="00190923" w:rsidRPr="00981405">
        <w:t xml:space="preserve"> </w:t>
      </w:r>
      <w:r w:rsidRPr="00981405">
        <w:t>scientists</w:t>
      </w:r>
      <w:r w:rsidR="00190923" w:rsidRPr="00981405">
        <w:t xml:space="preserve"> </w:t>
      </w:r>
      <w:r w:rsidRPr="00981405">
        <w:t>organized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on</w:t>
      </w:r>
      <w:r w:rsidR="00190923" w:rsidRPr="00981405">
        <w:t xml:space="preserve"> </w:t>
      </w:r>
      <w:r w:rsidRPr="00981405">
        <w:t>7</w:t>
      </w:r>
      <w:r w:rsidR="00190923" w:rsidRPr="00981405">
        <w:t xml:space="preserve"> </w:t>
      </w:r>
      <w:r w:rsidRPr="00981405">
        <w:t>May</w:t>
      </w:r>
      <w:r w:rsidR="00190923" w:rsidRPr="00981405">
        <w:t xml:space="preserve"> </w:t>
      </w:r>
      <w:r w:rsidRPr="00981405">
        <w:t>2015.</w:t>
      </w:r>
      <w:r w:rsidRPr="00981405">
        <w:rPr>
          <w:rStyle w:val="FootnoteReference"/>
        </w:rPr>
        <w:footnoteReference w:id="15"/>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found</w:t>
      </w:r>
      <w:r w:rsidR="00190923" w:rsidRPr="00981405">
        <w:t xml:space="preserve"> </w:t>
      </w:r>
      <w:r w:rsidRPr="00981405">
        <w:t>the</w:t>
      </w:r>
      <w:r w:rsidR="00190923" w:rsidRPr="00981405">
        <w:t xml:space="preserve"> </w:t>
      </w:r>
      <w:r w:rsidRPr="00981405">
        <w:t>dialogue</w:t>
      </w:r>
      <w:r w:rsidR="00190923" w:rsidRPr="00981405">
        <w:t xml:space="preserve"> </w:t>
      </w:r>
      <w:r w:rsidRPr="00981405">
        <w:t>useful</w:t>
      </w:r>
      <w:r w:rsidR="00190923" w:rsidRPr="00981405">
        <w:t xml:space="preserve"> </w:t>
      </w:r>
      <w:r w:rsidRPr="00981405">
        <w:t>and</w:t>
      </w:r>
      <w:r w:rsidR="00190923" w:rsidRPr="00981405">
        <w:t xml:space="preserve"> </w:t>
      </w:r>
      <w:r w:rsidRPr="00981405">
        <w:t>were</w:t>
      </w:r>
      <w:r w:rsidR="00190923" w:rsidRPr="00981405">
        <w:t xml:space="preserve"> </w:t>
      </w:r>
      <w:r w:rsidRPr="00981405">
        <w:t>appreciative</w:t>
      </w:r>
      <w:r w:rsidR="00190923" w:rsidRPr="00981405">
        <w:t xml:space="preserve"> </w:t>
      </w:r>
      <w:r w:rsidRPr="00981405">
        <w:t>to</w:t>
      </w:r>
      <w:r w:rsidR="00190923" w:rsidRPr="00981405">
        <w:t xml:space="preserve"> </w:t>
      </w:r>
      <w:r w:rsidRPr="00981405">
        <w:t>the</w:t>
      </w:r>
      <w:r w:rsidR="00190923" w:rsidRPr="00981405">
        <w:t xml:space="preserve"> </w:t>
      </w:r>
      <w:r w:rsidRPr="00981405">
        <w:t>presenters</w:t>
      </w:r>
      <w:r w:rsidR="00190923" w:rsidRPr="00981405">
        <w:t xml:space="preserve"> </w:t>
      </w:r>
      <w:r w:rsidRPr="00981405">
        <w:t>for</w:t>
      </w:r>
      <w:r w:rsidR="00190923" w:rsidRPr="00981405">
        <w:t xml:space="preserve"> </w:t>
      </w:r>
      <w:r w:rsidRPr="00981405">
        <w:t>the</w:t>
      </w:r>
      <w:r w:rsidR="00190923" w:rsidRPr="00981405">
        <w:t xml:space="preserve"> </w:t>
      </w:r>
      <w:r w:rsidRPr="00981405">
        <w:t>contributions</w:t>
      </w:r>
      <w:r w:rsidR="00190923" w:rsidRPr="00981405">
        <w:t xml:space="preserve"> </w:t>
      </w:r>
      <w:r w:rsidRPr="00981405">
        <w:t>made.</w:t>
      </w:r>
    </w:p>
    <w:p w:rsidR="00397032" w:rsidRPr="00981405" w:rsidRDefault="00397032" w:rsidP="00D97463">
      <w:pPr>
        <w:pStyle w:val="SingleTxt"/>
      </w:pPr>
      <w:r w:rsidRPr="00981405">
        <w:t>50.</w:t>
      </w:r>
      <w:r w:rsidRPr="00981405">
        <w:tab/>
        <w:t>Following</w:t>
      </w:r>
      <w:r w:rsidR="00190923" w:rsidRPr="00981405">
        <w:t xml:space="preserve"> </w:t>
      </w:r>
      <w:r w:rsidRPr="00981405">
        <w:t>its</w:t>
      </w:r>
      <w:r w:rsidR="00190923" w:rsidRPr="00981405">
        <w:t xml:space="preserve"> </w:t>
      </w:r>
      <w:r w:rsidRPr="00981405">
        <w:t>debate</w:t>
      </w:r>
      <w:r w:rsidR="00190923" w:rsidRPr="00981405">
        <w:t xml:space="preserve"> </w:t>
      </w:r>
      <w:r w:rsidRPr="00981405">
        <w:t>on</w:t>
      </w:r>
      <w:r w:rsidR="00190923" w:rsidRPr="00981405">
        <w:t xml:space="preserve"> </w:t>
      </w:r>
      <w:r w:rsidRPr="00981405">
        <w:t>the</w:t>
      </w:r>
      <w:r w:rsidR="00190923" w:rsidRPr="00981405">
        <w:t xml:space="preserve"> </w:t>
      </w:r>
      <w:r w:rsidRPr="00981405">
        <w:t>report,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3249th</w:t>
      </w:r>
      <w:r w:rsidR="00190923" w:rsidRPr="00981405">
        <w:t xml:space="preserve"> </w:t>
      </w:r>
      <w:r w:rsidRPr="00981405">
        <w:t>meeting,</w:t>
      </w:r>
      <w:r w:rsidR="00190923" w:rsidRPr="00981405">
        <w:t xml:space="preserve"> </w:t>
      </w:r>
      <w:r w:rsidRPr="00981405">
        <w:t>on</w:t>
      </w:r>
      <w:r w:rsidR="00190923" w:rsidRPr="00981405">
        <w:t xml:space="preserve"> </w:t>
      </w:r>
      <w:r w:rsidRPr="00981405">
        <w:t>12</w:t>
      </w:r>
      <w:r w:rsidR="00190923" w:rsidRPr="00981405">
        <w:t xml:space="preserve"> </w:t>
      </w:r>
      <w:r w:rsidRPr="00981405">
        <w:t>May</w:t>
      </w:r>
      <w:r w:rsidR="00190923" w:rsidRPr="00981405">
        <w:t xml:space="preserve"> </w:t>
      </w:r>
      <w:r w:rsidRPr="00981405">
        <w:t>2015,</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2,</w:t>
      </w:r>
      <w:r w:rsidR="00190923" w:rsidRPr="00981405">
        <w:t xml:space="preserve"> </w:t>
      </w:r>
      <w:r w:rsidRPr="00981405">
        <w:t>3</w:t>
      </w:r>
      <w:r w:rsidR="00190923" w:rsidRPr="00981405">
        <w:t xml:space="preserve"> </w:t>
      </w:r>
      <w:r w:rsidRPr="00981405">
        <w:t>and</w:t>
      </w:r>
      <w:r w:rsidR="00190923" w:rsidRPr="00981405">
        <w:t xml:space="preserve"> </w:t>
      </w:r>
      <w:r w:rsidRPr="00981405">
        <w:t>5,</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second</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with</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that</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3</w:t>
      </w:r>
      <w:r w:rsidR="00190923" w:rsidRPr="00981405">
        <w:t xml:space="preserve"> </w:t>
      </w:r>
      <w:r w:rsidRPr="00981405">
        <w:t>be</w:t>
      </w:r>
      <w:r w:rsidR="00190923" w:rsidRPr="00981405">
        <w:t xml:space="preserve"> </w:t>
      </w:r>
      <w:r w:rsidRPr="00981405">
        <w:t>considered</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w:t>
      </w:r>
      <w:r w:rsidR="00190923" w:rsidRPr="00981405">
        <w:t xml:space="preserve"> </w:t>
      </w:r>
      <w:r w:rsidRPr="00981405">
        <w:t>possible</w:t>
      </w:r>
      <w:r w:rsidR="00190923" w:rsidRPr="00981405">
        <w:t xml:space="preserve"> </w:t>
      </w:r>
      <w:r w:rsidRPr="00981405">
        <w:t>preamble.</w:t>
      </w:r>
      <w:r w:rsidR="00190923" w:rsidRPr="00981405">
        <w:t xml:space="preserve"> </w:t>
      </w:r>
      <w:r w:rsidRPr="00981405">
        <w:t>Moreover,</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proposed</w:t>
      </w:r>
      <w:r w:rsidR="00190923" w:rsidRPr="00981405">
        <w:t xml:space="preserve"> </w:t>
      </w:r>
      <w:r w:rsidRPr="00981405">
        <w:t>to</w:t>
      </w:r>
      <w:r w:rsidR="00190923" w:rsidRPr="00981405">
        <w:t xml:space="preserve"> </w:t>
      </w:r>
      <w:r w:rsidRPr="00981405">
        <w:t>defer</w:t>
      </w:r>
      <w:r w:rsidR="00190923" w:rsidRPr="00981405">
        <w:t xml:space="preserve"> </w:t>
      </w:r>
      <w:r w:rsidRPr="00981405">
        <w:t>the</w:t>
      </w:r>
      <w:r w:rsidR="00190923" w:rsidRPr="00981405">
        <w:t xml:space="preserve"> </w:t>
      </w:r>
      <w:r w:rsidRPr="00981405">
        <w:t>referral</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4</w:t>
      </w:r>
      <w:r w:rsidR="00190923" w:rsidRPr="00981405">
        <w:t xml:space="preserve"> </w:t>
      </w:r>
      <w:r w:rsidRPr="00981405">
        <w:t>on</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atmosphere</w:t>
      </w:r>
      <w:r w:rsidRPr="00981405">
        <w:rPr>
          <w:rStyle w:val="FootnoteReference"/>
        </w:rPr>
        <w:footnoteReference w:id="16"/>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pending</w:t>
      </w:r>
      <w:r w:rsidR="00190923" w:rsidRPr="00981405">
        <w:t xml:space="preserve"> </w:t>
      </w:r>
      <w:r w:rsidRPr="00981405">
        <w:t>further</w:t>
      </w:r>
      <w:r w:rsidR="00190923" w:rsidRPr="00981405">
        <w:t xml:space="preserve"> </w:t>
      </w:r>
      <w:r w:rsidRPr="00981405">
        <w:t>analysis</w:t>
      </w:r>
      <w:r w:rsidR="00190923" w:rsidRPr="00981405">
        <w:t xml:space="preserve"> </w:t>
      </w:r>
      <w:r w:rsidRPr="00981405">
        <w:t>in</w:t>
      </w:r>
      <w:r w:rsidR="00190923" w:rsidRPr="00981405">
        <w:t xml:space="preserve"> </w:t>
      </w:r>
      <w:r w:rsidRPr="00981405">
        <w:t>2016.</w:t>
      </w:r>
    </w:p>
    <w:p w:rsidR="00397032" w:rsidRPr="00981405" w:rsidRDefault="00397032" w:rsidP="00D97463">
      <w:pPr>
        <w:pStyle w:val="SingleTxt"/>
      </w:pPr>
      <w:r w:rsidRPr="00981405">
        <w:t>51.</w:t>
      </w:r>
      <w:r w:rsidRPr="00981405">
        <w:tab/>
        <w:t>At</w:t>
      </w:r>
      <w:r w:rsidR="00190923" w:rsidRPr="00981405">
        <w:t xml:space="preserve"> </w:t>
      </w:r>
      <w:r w:rsidRPr="00981405">
        <w:t>its</w:t>
      </w:r>
      <w:r w:rsidR="00190923" w:rsidRPr="00981405">
        <w:t xml:space="preserve"> </w:t>
      </w:r>
      <w:r w:rsidRPr="00981405">
        <w:t>3260th</w:t>
      </w:r>
      <w:r w:rsidR="00190923" w:rsidRPr="00981405">
        <w:t xml:space="preserve"> </w:t>
      </w:r>
      <w:r w:rsidRPr="00981405">
        <w:t>meeting,</w:t>
      </w:r>
      <w:r w:rsidR="00190923" w:rsidRPr="00981405">
        <w:t xml:space="preserve"> </w:t>
      </w:r>
      <w:r w:rsidRPr="00981405">
        <w:t>on</w:t>
      </w:r>
      <w:r w:rsidR="00190923" w:rsidRPr="00981405">
        <w:t xml:space="preserve"> </w:t>
      </w:r>
      <w:r w:rsidRPr="00981405">
        <w:t>2</w:t>
      </w:r>
      <w:r w:rsidR="00190923" w:rsidRPr="00981405">
        <w:t xml:space="preserve"> </w:t>
      </w:r>
      <w:r w:rsidRPr="00981405">
        <w:t>June</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and</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2</w:t>
      </w:r>
      <w:r w:rsidR="00190923" w:rsidRPr="00981405">
        <w:t xml:space="preserve"> </w:t>
      </w:r>
      <w:r w:rsidRPr="00981405">
        <w:t>and</w:t>
      </w:r>
      <w:r w:rsidR="00190923" w:rsidRPr="00981405">
        <w:t xml:space="preserve"> </w:t>
      </w:r>
      <w:r w:rsidRPr="00981405">
        <w:t>5</w:t>
      </w:r>
      <w:r w:rsidR="00190923" w:rsidRPr="00981405">
        <w:t xml:space="preserve"> </w:t>
      </w:r>
      <w:r w:rsidRPr="00981405">
        <w:t>and</w:t>
      </w:r>
      <w:r w:rsidR="00190923" w:rsidRPr="00981405">
        <w:t xml:space="preserve"> </w:t>
      </w:r>
      <w:r w:rsidRPr="00981405">
        <w:t>four</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(see</w:t>
      </w:r>
      <w:r w:rsidR="00190923" w:rsidRPr="00981405">
        <w:t xml:space="preserve"> </w:t>
      </w:r>
      <w:r w:rsidRPr="00981405">
        <w:t>section</w:t>
      </w:r>
      <w:r w:rsidR="00190923" w:rsidRPr="00981405">
        <w:t xml:space="preserve"> </w:t>
      </w:r>
      <w:r w:rsidRPr="00981405">
        <w:t>C.1,</w:t>
      </w:r>
      <w:r w:rsidR="00190923" w:rsidRPr="00981405">
        <w:t xml:space="preserve"> </w:t>
      </w:r>
      <w:r w:rsidRPr="00981405">
        <w:t>below).</w:t>
      </w:r>
      <w:r w:rsidR="00190923" w:rsidRPr="00981405">
        <w:t xml:space="preserve"> </w:t>
      </w:r>
    </w:p>
    <w:p w:rsidR="00397032" w:rsidRPr="00981405" w:rsidRDefault="00397032" w:rsidP="00D97463">
      <w:pPr>
        <w:pStyle w:val="SingleTxt"/>
      </w:pPr>
      <w:r w:rsidRPr="00981405">
        <w:t>52.</w:t>
      </w:r>
      <w:r w:rsidRPr="00981405">
        <w:tab/>
        <w:t>At</w:t>
      </w:r>
      <w:r w:rsidR="00190923" w:rsidRPr="00981405">
        <w:t xml:space="preserve"> </w:t>
      </w:r>
      <w:r w:rsidRPr="00981405">
        <w:t>its</w:t>
      </w:r>
      <w:r w:rsidR="00190923" w:rsidRPr="00981405">
        <w:t xml:space="preserve"> </w:t>
      </w:r>
      <w:r w:rsidRPr="00981405">
        <w:t>3287th</w:t>
      </w:r>
      <w:r w:rsidR="00190923" w:rsidRPr="00981405">
        <w:t xml:space="preserve"> </w:t>
      </w:r>
      <w:r w:rsidRPr="00981405">
        <w:t>to</w:t>
      </w:r>
      <w:r w:rsidR="00190923" w:rsidRPr="00981405">
        <w:t xml:space="preserve"> </w:t>
      </w:r>
      <w:r w:rsidRPr="00981405">
        <w:t>3288th</w:t>
      </w:r>
      <w:r w:rsidR="00190923" w:rsidRPr="00981405">
        <w:t xml:space="preserve"> </w:t>
      </w:r>
      <w:r w:rsidRPr="00981405">
        <w:t>meetings,</w:t>
      </w:r>
      <w:r w:rsidR="00190923" w:rsidRPr="00981405">
        <w:t xml:space="preserve"> </w:t>
      </w:r>
      <w:r w:rsidRPr="00981405">
        <w:t>on</w:t>
      </w:r>
      <w:r w:rsidR="00190923" w:rsidRPr="00981405">
        <w:t xml:space="preserve"> </w:t>
      </w:r>
      <w:r w:rsidRPr="00981405">
        <w:t>5</w:t>
      </w:r>
      <w:r w:rsidR="00190923" w:rsidRPr="00981405">
        <w:t xml:space="preserve"> </w:t>
      </w:r>
      <w:r w:rsidRPr="00981405">
        <w:t>and</w:t>
      </w:r>
      <w:r w:rsidR="00190923" w:rsidRPr="00981405">
        <w:t xml:space="preserve"> </w:t>
      </w:r>
      <w:r w:rsidRPr="00981405">
        <w:t>6</w:t>
      </w:r>
      <w:r w:rsidR="00190923" w:rsidRPr="00981405">
        <w:t xml:space="preserve"> </w:t>
      </w:r>
      <w:r w:rsidRPr="00981405">
        <w:t>August</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the</w:t>
      </w:r>
      <w:r w:rsidR="00190923" w:rsidRPr="00981405">
        <w:t xml:space="preserve"> </w:t>
      </w:r>
      <w:r w:rsidRPr="00981405">
        <w:t>commentaries</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(see</w:t>
      </w:r>
      <w:r w:rsidR="00190923" w:rsidRPr="00981405">
        <w:t xml:space="preserve"> </w:t>
      </w:r>
      <w:r w:rsidRPr="00981405">
        <w:t>section</w:t>
      </w:r>
      <w:r w:rsidR="00190923" w:rsidRPr="00981405">
        <w:t xml:space="preserve"> </w:t>
      </w:r>
      <w:r w:rsidRPr="00981405">
        <w:t>C.2,</w:t>
      </w:r>
      <w:r w:rsidR="00190923" w:rsidRPr="00981405">
        <w:t xml:space="preserve"> </w:t>
      </w:r>
      <w:r w:rsidRPr="00981405">
        <w:t>below).</w:t>
      </w:r>
    </w:p>
    <w:p w:rsidR="00F26841" w:rsidRPr="00D97463" w:rsidRDefault="00F26841" w:rsidP="00D97463">
      <w:pPr>
        <w:pStyle w:val="SingleTxt"/>
        <w:spacing w:after="0" w:line="120" w:lineRule="exact"/>
        <w:rPr>
          <w:sz w:val="10"/>
        </w:rPr>
      </w:pPr>
    </w:p>
    <w:p w:rsidR="00F26841" w:rsidRPr="00D97463" w:rsidRDefault="00F26841" w:rsidP="00D97463">
      <w:pPr>
        <w:pStyle w:val="SingleTxt"/>
        <w:spacing w:after="0" w:line="120" w:lineRule="exact"/>
        <w:rPr>
          <w:sz w:val="10"/>
        </w:rPr>
      </w:pPr>
    </w:p>
    <w:p w:rsidR="00397032" w:rsidRPr="00D97463" w:rsidRDefault="00397032" w:rsidP="00D97463">
      <w:pPr>
        <w:pStyle w:val="H1"/>
        <w:ind w:right="1260"/>
      </w:pPr>
      <w:r w:rsidRPr="00D97463">
        <w:tab/>
        <w:t>C.</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guidelines</w:t>
      </w:r>
      <w:r w:rsidR="00190923" w:rsidRPr="00D97463">
        <w:t xml:space="preserve"> </w:t>
      </w:r>
      <w:r w:rsidRPr="00D97463">
        <w:t>on</w:t>
      </w:r>
      <w:r w:rsidR="00190923" w:rsidRPr="00D97463">
        <w:t xml:space="preserve"> </w:t>
      </w:r>
      <w:r w:rsidRPr="00D97463">
        <w:t>the</w:t>
      </w:r>
      <w:r w:rsidR="00190923" w:rsidRPr="00D97463">
        <w:t xml:space="preserve"> </w:t>
      </w:r>
      <w:r w:rsidRPr="00D97463">
        <w:t>protection</w:t>
      </w:r>
      <w:r w:rsidR="00190923" w:rsidRPr="00D97463">
        <w:t xml:space="preserve"> </w:t>
      </w:r>
      <w:r w:rsidRPr="00D97463">
        <w:t>of</w:t>
      </w:r>
      <w:r w:rsidR="00190923" w:rsidRPr="00D97463">
        <w:t xml:space="preserve"> </w:t>
      </w:r>
      <w:r w:rsidRPr="00D97463">
        <w:t>the</w:t>
      </w:r>
      <w:r w:rsidR="00190923" w:rsidRPr="00D97463">
        <w:t xml:space="preserve"> </w:t>
      </w:r>
      <w:r w:rsidRPr="00D97463">
        <w:t>atmosphere,</w:t>
      </w:r>
      <w:r w:rsidR="00190923" w:rsidRPr="00D97463">
        <w:t xml:space="preserve"> </w:t>
      </w:r>
      <w:r w:rsidRPr="00D97463">
        <w:t>together</w:t>
      </w:r>
      <w:r w:rsidR="00190923" w:rsidRPr="00D97463">
        <w:t xml:space="preserve"> </w:t>
      </w:r>
      <w:r w:rsidRPr="00D97463">
        <w:t>with</w:t>
      </w:r>
      <w:r w:rsidR="00190923" w:rsidRPr="00D97463">
        <w:t xml:space="preserve"> </w:t>
      </w:r>
      <w:r w:rsidRPr="00D97463">
        <w:t>preambular</w:t>
      </w:r>
      <w:r w:rsidR="00190923" w:rsidRPr="00D97463">
        <w:t xml:space="preserve"> </w:t>
      </w:r>
      <w:r w:rsidRPr="00D97463">
        <w:t>paragraphs,</w:t>
      </w:r>
      <w:r w:rsidR="00190923" w:rsidRPr="00D97463">
        <w:t xml:space="preserve"> </w:t>
      </w:r>
      <w:r w:rsidRPr="00D97463">
        <w:t>provisionally</w:t>
      </w:r>
      <w:r w:rsidR="00190923" w:rsidRPr="00D97463">
        <w:t xml:space="preserve"> </w:t>
      </w:r>
      <w:r w:rsidRPr="00D97463">
        <w:t>adopted</w:t>
      </w:r>
      <w:r w:rsidR="00190923" w:rsidRPr="00D97463">
        <w:t xml:space="preserve"> </w:t>
      </w:r>
      <w:r w:rsidRPr="00D97463">
        <w:t>so</w:t>
      </w:r>
      <w:r w:rsidR="00190923" w:rsidRPr="00D97463">
        <w:t xml:space="preserve"> </w:t>
      </w:r>
      <w:r w:rsidRPr="00D97463">
        <w:t>far</w:t>
      </w:r>
      <w:r w:rsidR="00190923" w:rsidRPr="00D97463">
        <w:t xml:space="preserve"> </w:t>
      </w:r>
      <w:r w:rsidRPr="00D97463">
        <w:t>by</w:t>
      </w:r>
      <w:r w:rsidR="00190923" w:rsidRPr="00D97463">
        <w:t xml:space="preserve"> </w:t>
      </w:r>
      <w:r w:rsidRPr="00D97463">
        <w:t>the</w:t>
      </w:r>
      <w:r w:rsidR="00190923" w:rsidRPr="00D97463">
        <w:t xml:space="preserve"> </w:t>
      </w:r>
      <w:r w:rsidRPr="00D97463">
        <w:t>Commission</w:t>
      </w:r>
    </w:p>
    <w:p w:rsidR="00F26841" w:rsidRPr="00D97463" w:rsidRDefault="00F26841" w:rsidP="00D97463">
      <w:pPr>
        <w:pStyle w:val="SingleTxt"/>
        <w:spacing w:after="0" w:line="120" w:lineRule="exact"/>
        <w:rPr>
          <w:sz w:val="10"/>
        </w:rPr>
      </w:pPr>
    </w:p>
    <w:p w:rsidR="00F26841" w:rsidRPr="00D97463" w:rsidRDefault="00F26841" w:rsidP="00D97463">
      <w:pPr>
        <w:pStyle w:val="SingleTxt"/>
        <w:spacing w:after="0" w:line="120" w:lineRule="exact"/>
        <w:rPr>
          <w:sz w:val="10"/>
        </w:rPr>
      </w:pPr>
    </w:p>
    <w:p w:rsidR="00397032" w:rsidRPr="00D97463" w:rsidRDefault="00397032" w:rsidP="00D97463">
      <w:pPr>
        <w:pStyle w:val="H23"/>
        <w:ind w:right="1260"/>
      </w:pPr>
      <w:r w:rsidRPr="00D97463">
        <w:tab/>
        <w:t>1.</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guidelines,</w:t>
      </w:r>
      <w:r w:rsidR="00190923" w:rsidRPr="00D97463">
        <w:t xml:space="preserve"> </w:t>
      </w:r>
      <w:r w:rsidRPr="00D97463">
        <w:t>together</w:t>
      </w:r>
      <w:r w:rsidR="00190923" w:rsidRPr="00D97463">
        <w:t xml:space="preserve"> </w:t>
      </w:r>
      <w:r w:rsidRPr="00D97463">
        <w:t>with</w:t>
      </w:r>
      <w:r w:rsidR="00190923" w:rsidRPr="00D97463">
        <w:t xml:space="preserve"> </w:t>
      </w:r>
      <w:r w:rsidRPr="00D97463">
        <w:t>preambular</w:t>
      </w:r>
      <w:r w:rsidR="00190923" w:rsidRPr="00D97463">
        <w:t xml:space="preserve"> </w:t>
      </w:r>
      <w:r w:rsidRPr="00D97463">
        <w:t>paragraphs</w:t>
      </w:r>
    </w:p>
    <w:p w:rsidR="00F26841" w:rsidRPr="00D97463" w:rsidRDefault="00F26841" w:rsidP="00D97463">
      <w:pPr>
        <w:pStyle w:val="SingleTxt"/>
        <w:spacing w:after="0" w:line="120" w:lineRule="exact"/>
        <w:rPr>
          <w:sz w:val="10"/>
        </w:rPr>
      </w:pPr>
    </w:p>
    <w:p w:rsidR="00397032" w:rsidRPr="00981405" w:rsidRDefault="00397032" w:rsidP="00D97463">
      <w:pPr>
        <w:pStyle w:val="SingleTxt"/>
      </w:pPr>
      <w:r w:rsidRPr="00981405">
        <w:t>53.</w:t>
      </w:r>
      <w:r w:rsidRPr="00981405">
        <w:tab/>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together</w:t>
      </w:r>
      <w:r w:rsidR="00190923" w:rsidRPr="00981405">
        <w:t xml:space="preserve"> </w:t>
      </w:r>
      <w:r w:rsidRPr="00981405">
        <w:t>with</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so</w:t>
      </w:r>
      <w:r w:rsidR="00190923" w:rsidRPr="00981405">
        <w:t xml:space="preserve"> </w:t>
      </w:r>
      <w:r w:rsidRPr="00981405">
        <w:t>far</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reproduced</w:t>
      </w:r>
      <w:r w:rsidR="00190923" w:rsidRPr="00981405">
        <w:t xml:space="preserve"> </w:t>
      </w:r>
      <w:r w:rsidRPr="00981405">
        <w:t>below.</w:t>
      </w:r>
      <w:r w:rsidR="00190923" w:rsidRPr="00981405">
        <w:t xml:space="preserve"> </w:t>
      </w:r>
    </w:p>
    <w:p w:rsidR="00397032" w:rsidRPr="00D97463" w:rsidRDefault="00397032" w:rsidP="00D97463">
      <w:pPr>
        <w:pStyle w:val="SingleTxt"/>
        <w:ind w:left="1742"/>
        <w:rPr>
          <w:b/>
          <w:bCs/>
        </w:rPr>
      </w:pPr>
      <w:r w:rsidRPr="00D97463">
        <w:rPr>
          <w:b/>
          <w:bCs/>
        </w:rPr>
        <w:t>Preamble</w:t>
      </w:r>
    </w:p>
    <w:p w:rsidR="00397032" w:rsidRPr="00981405" w:rsidRDefault="00397032" w:rsidP="00D97463">
      <w:pPr>
        <w:pStyle w:val="SingleTxt"/>
        <w:ind w:left="1742"/>
      </w:pPr>
      <w:r w:rsidRPr="00981405">
        <w:t>…</w:t>
      </w:r>
    </w:p>
    <w:p w:rsidR="00397032" w:rsidRPr="00981405" w:rsidRDefault="00397032" w:rsidP="00D97463">
      <w:pPr>
        <w:pStyle w:val="SingleTxt"/>
        <w:ind w:left="1742"/>
      </w:pPr>
      <w:r w:rsidRPr="00981405">
        <w:tab/>
      </w:r>
      <w:r w:rsidRPr="00D97463">
        <w:rPr>
          <w:i/>
          <w:iCs/>
        </w:rPr>
        <w:t>Acknowledging</w:t>
      </w:r>
      <w:r w:rsidR="00190923" w:rsidRPr="00981405">
        <w:t xml:space="preserve"> </w:t>
      </w:r>
      <w:r w:rsidRPr="00981405">
        <w:t>that</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essential</w:t>
      </w:r>
      <w:r w:rsidR="00190923" w:rsidRPr="00981405">
        <w:t xml:space="preserve"> </w:t>
      </w:r>
      <w:r w:rsidRPr="00981405">
        <w:t>for</w:t>
      </w:r>
      <w:r w:rsidR="00190923" w:rsidRPr="00981405">
        <w:t xml:space="preserve"> </w:t>
      </w:r>
      <w:r w:rsidRPr="00981405">
        <w:t>sustaining</w:t>
      </w:r>
      <w:r w:rsidR="00190923" w:rsidRPr="00981405">
        <w:t xml:space="preserve"> </w:t>
      </w:r>
      <w:r w:rsidRPr="00981405">
        <w:t>life</w:t>
      </w:r>
      <w:r w:rsidR="00190923" w:rsidRPr="00981405">
        <w:t xml:space="preserve"> </w:t>
      </w:r>
      <w:r w:rsidRPr="00981405">
        <w:t>on</w:t>
      </w:r>
      <w:r w:rsidR="00190923" w:rsidRPr="00981405">
        <w:t xml:space="preserve"> </w:t>
      </w:r>
      <w:r w:rsidRPr="00981405">
        <w:t>Earth,</w:t>
      </w:r>
      <w:r w:rsidR="00190923" w:rsidRPr="00981405">
        <w:t xml:space="preserve"> </w:t>
      </w:r>
      <w:r w:rsidRPr="00981405">
        <w:t>human</w:t>
      </w:r>
      <w:r w:rsidR="00190923" w:rsidRPr="00981405">
        <w:t xml:space="preserve"> </w:t>
      </w:r>
      <w:r w:rsidRPr="00981405">
        <w:t>health</w:t>
      </w:r>
      <w:r w:rsidR="00190923" w:rsidRPr="00981405">
        <w:t xml:space="preserve"> </w:t>
      </w:r>
      <w:r w:rsidRPr="00981405">
        <w:t>and</w:t>
      </w:r>
      <w:r w:rsidR="00190923" w:rsidRPr="00981405">
        <w:t xml:space="preserve"> </w:t>
      </w:r>
      <w:r w:rsidRPr="00981405">
        <w:t>welfare,</w:t>
      </w:r>
      <w:r w:rsidR="00190923" w:rsidRPr="00981405">
        <w:t xml:space="preserve"> </w:t>
      </w:r>
      <w:r w:rsidRPr="00981405">
        <w:t>and</w:t>
      </w:r>
      <w:r w:rsidR="00190923" w:rsidRPr="00981405">
        <w:t xml:space="preserve"> </w:t>
      </w:r>
      <w:r w:rsidRPr="00981405">
        <w:t>aquatic</w:t>
      </w:r>
      <w:r w:rsidR="00190923" w:rsidRPr="00981405">
        <w:t xml:space="preserve"> </w:t>
      </w:r>
      <w:r w:rsidRPr="00981405">
        <w:t>and</w:t>
      </w:r>
      <w:r w:rsidR="00190923" w:rsidRPr="00981405">
        <w:t xml:space="preserve"> </w:t>
      </w:r>
      <w:r w:rsidRPr="00981405">
        <w:t>terrestrial</w:t>
      </w:r>
      <w:r w:rsidR="00190923" w:rsidRPr="00981405">
        <w:t xml:space="preserve"> </w:t>
      </w:r>
      <w:r w:rsidRPr="00981405">
        <w:t>ecosystems,</w:t>
      </w:r>
      <w:r w:rsidR="00190923" w:rsidRPr="00981405">
        <w:t xml:space="preserve"> </w:t>
      </w:r>
    </w:p>
    <w:p w:rsidR="00397032" w:rsidRPr="00981405" w:rsidRDefault="00397032" w:rsidP="00D97463">
      <w:pPr>
        <w:pStyle w:val="SingleTxt"/>
        <w:ind w:left="1742"/>
      </w:pPr>
      <w:r w:rsidRPr="00981405">
        <w:tab/>
      </w:r>
      <w:r w:rsidRPr="00D97463">
        <w:rPr>
          <w:i/>
          <w:iCs/>
        </w:rPr>
        <w:t>Bearing</w:t>
      </w:r>
      <w:r w:rsidR="00190923" w:rsidRPr="00981405">
        <w:rPr>
          <w:i/>
          <w:iCs/>
        </w:rPr>
        <w:t xml:space="preserve"> </w:t>
      </w:r>
      <w:r w:rsidRPr="00D97463">
        <w:rPr>
          <w:i/>
          <w:iCs/>
        </w:rPr>
        <w:t>in</w:t>
      </w:r>
      <w:r w:rsidR="00190923" w:rsidRPr="00981405">
        <w:rPr>
          <w:i/>
          <w:iCs/>
        </w:rPr>
        <w:t xml:space="preserve"> </w:t>
      </w:r>
      <w:r w:rsidRPr="00D97463">
        <w:rPr>
          <w:i/>
          <w:iCs/>
        </w:rPr>
        <w:t>mind</w:t>
      </w:r>
      <w:r w:rsidR="00190923" w:rsidRPr="00981405">
        <w:rPr>
          <w:i/>
          <w:iCs/>
        </w:rPr>
        <w:t xml:space="preserve"> </w:t>
      </w:r>
      <w:r w:rsidRPr="00981405">
        <w:t>that</w:t>
      </w:r>
      <w:r w:rsidR="00190923" w:rsidRPr="00981405">
        <w:t xml:space="preserve"> </w:t>
      </w:r>
      <w:r w:rsidRPr="00981405">
        <w:t>the</w:t>
      </w:r>
      <w:r w:rsidR="00190923" w:rsidRPr="00981405">
        <w:t xml:space="preserve"> </w:t>
      </w:r>
      <w:r w:rsidRPr="00981405">
        <w:t>transport</w:t>
      </w:r>
      <w:r w:rsidR="00190923" w:rsidRPr="00981405">
        <w:t xml:space="preserve"> </w:t>
      </w:r>
      <w:r w:rsidRPr="00981405">
        <w:t>and</w:t>
      </w:r>
      <w:r w:rsidR="00190923" w:rsidRPr="00981405">
        <w:t xml:space="preserve"> </w:t>
      </w:r>
      <w:r w:rsidRPr="00981405">
        <w:t>dispersion</w:t>
      </w:r>
      <w:r w:rsidR="00190923" w:rsidRPr="00981405">
        <w:t xml:space="preserve"> </w:t>
      </w:r>
      <w:r w:rsidRPr="00981405">
        <w:t>of</w:t>
      </w:r>
      <w:r w:rsidR="00190923" w:rsidRPr="00981405">
        <w:t xml:space="preserve"> </w:t>
      </w:r>
      <w:r w:rsidRPr="00981405">
        <w:t>polluting</w:t>
      </w:r>
      <w:r w:rsidR="00190923" w:rsidRPr="00981405">
        <w:t xml:space="preserve"> </w:t>
      </w:r>
      <w:r w:rsidRPr="00981405">
        <w:t>and</w:t>
      </w:r>
      <w:r w:rsidR="00190923" w:rsidRPr="00981405">
        <w:t xml:space="preserve"> </w:t>
      </w:r>
      <w:r w:rsidRPr="00981405">
        <w:t>degrading</w:t>
      </w:r>
      <w:r w:rsidR="00190923" w:rsidRPr="00981405">
        <w:t xml:space="preserve"> </w:t>
      </w:r>
      <w:r w:rsidRPr="00981405">
        <w:t>substances</w:t>
      </w:r>
      <w:r w:rsidR="00190923" w:rsidRPr="00981405">
        <w:t xml:space="preserve"> </w:t>
      </w:r>
      <w:r w:rsidRPr="00981405">
        <w:t>occur</w:t>
      </w:r>
      <w:r w:rsidR="00190923" w:rsidRPr="00981405">
        <w:t xml:space="preserve"> </w:t>
      </w:r>
      <w:r w:rsidRPr="00981405">
        <w:t>within</w:t>
      </w:r>
      <w:r w:rsidR="00190923" w:rsidRPr="00981405">
        <w:t xml:space="preserve"> </w:t>
      </w:r>
      <w:r w:rsidRPr="00981405">
        <w:t>the</w:t>
      </w:r>
      <w:r w:rsidR="00190923" w:rsidRPr="00981405">
        <w:t xml:space="preserve"> </w:t>
      </w:r>
      <w:r w:rsidRPr="00981405">
        <w:t>atmosphere,</w:t>
      </w:r>
    </w:p>
    <w:p w:rsidR="00397032" w:rsidRPr="00981405" w:rsidRDefault="00397032" w:rsidP="00D97463">
      <w:pPr>
        <w:pStyle w:val="SingleTxt"/>
        <w:ind w:left="1742"/>
      </w:pPr>
      <w:r w:rsidRPr="00981405">
        <w:tab/>
      </w:r>
      <w:r w:rsidRPr="00D97463">
        <w:rPr>
          <w:i/>
          <w:iCs/>
        </w:rPr>
        <w:t>Recognising</w:t>
      </w:r>
      <w:r w:rsidR="00190923" w:rsidRPr="00981405">
        <w:rPr>
          <w:i/>
          <w:iCs/>
        </w:rPr>
        <w:t xml:space="preserve"> </w:t>
      </w:r>
      <w:r w:rsidRPr="00D97463">
        <w:rPr>
          <w:i/>
          <w:iCs/>
        </w:rPr>
        <w:t>therefore</w:t>
      </w:r>
      <w:r w:rsidR="00190923" w:rsidRPr="00981405">
        <w:rPr>
          <w:i/>
          <w:iCs/>
        </w:rPr>
        <w:t xml:space="preserve"> </w:t>
      </w:r>
      <w:r w:rsidRPr="00981405">
        <w:t>that</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is</w:t>
      </w:r>
      <w:r w:rsidR="00190923" w:rsidRPr="00981405">
        <w:t xml:space="preserve"> </w:t>
      </w:r>
      <w:r w:rsidRPr="00981405">
        <w:t>a</w:t>
      </w:r>
      <w:r w:rsidR="00190923" w:rsidRPr="00981405">
        <w:t xml:space="preserve"> </w:t>
      </w:r>
      <w:r w:rsidRPr="00981405">
        <w:t>pressing</w:t>
      </w:r>
      <w:r w:rsidR="00190923" w:rsidRPr="00981405">
        <w:t xml:space="preserve"> </w:t>
      </w:r>
      <w:r w:rsidRPr="00981405">
        <w:t>concern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p>
    <w:p w:rsidR="00397032" w:rsidRPr="00981405" w:rsidRDefault="00397032" w:rsidP="00D97463">
      <w:pPr>
        <w:pStyle w:val="SingleTxt"/>
        <w:ind w:left="1742"/>
      </w:pPr>
      <w:r w:rsidRPr="00981405">
        <w:tab/>
      </w:r>
      <w:r w:rsidRPr="00D97463">
        <w:rPr>
          <w:i/>
          <w:iCs/>
        </w:rPr>
        <w:t>Recalling</w:t>
      </w:r>
      <w:r w:rsidR="00190923" w:rsidRPr="00981405">
        <w:t xml:space="preserve"> </w:t>
      </w:r>
      <w:r w:rsidRPr="00981405">
        <w:t>that</w:t>
      </w:r>
      <w:r w:rsidR="00190923" w:rsidRPr="00981405">
        <w:t xml:space="preserve"> </w:t>
      </w:r>
      <w:r w:rsidRPr="00981405">
        <w:t>these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are</w:t>
      </w:r>
      <w:r w:rsidR="00190923" w:rsidRPr="00981405">
        <w:t xml:space="preserve"> </w:t>
      </w:r>
      <w:r w:rsidRPr="00981405">
        <w:t>not</w:t>
      </w:r>
      <w:r w:rsidR="00190923" w:rsidRPr="00981405">
        <w:t xml:space="preserve"> </w:t>
      </w:r>
      <w:r w:rsidRPr="00981405">
        <w:t>to</w:t>
      </w:r>
      <w:r w:rsidR="00190923" w:rsidRPr="00981405">
        <w:t xml:space="preserve"> </w:t>
      </w:r>
      <w:r w:rsidRPr="00981405">
        <w:t>interfere</w:t>
      </w:r>
      <w:r w:rsidR="00190923" w:rsidRPr="00981405">
        <w:t xml:space="preserve"> </w:t>
      </w:r>
      <w:r w:rsidRPr="00981405">
        <w:t>with</w:t>
      </w:r>
      <w:r w:rsidR="00190923" w:rsidRPr="00981405">
        <w:t xml:space="preserve"> </w:t>
      </w:r>
      <w:r w:rsidRPr="00981405">
        <w:t>relevant</w:t>
      </w:r>
      <w:r w:rsidR="00190923" w:rsidRPr="00981405">
        <w:t xml:space="preserve"> </w:t>
      </w:r>
      <w:r w:rsidRPr="00981405">
        <w:t>political</w:t>
      </w:r>
      <w:r w:rsidR="00190923" w:rsidRPr="00981405">
        <w:t xml:space="preserve"> </w:t>
      </w:r>
      <w:r w:rsidRPr="00981405">
        <w:t>negotiations,</w:t>
      </w:r>
      <w:r w:rsidR="00190923" w:rsidRPr="00981405">
        <w:t xml:space="preserve"> </w:t>
      </w:r>
      <w:r w:rsidRPr="00981405">
        <w:t>including</w:t>
      </w:r>
      <w:r w:rsidR="00190923" w:rsidRPr="00981405">
        <w:t xml:space="preserve"> </w:t>
      </w:r>
      <w:r w:rsidRPr="00981405">
        <w:t>those</w:t>
      </w:r>
      <w:r w:rsidR="00190923" w:rsidRPr="00981405">
        <w:t xml:space="preserve"> </w:t>
      </w:r>
      <w:r w:rsidRPr="00981405">
        <w:t>on</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ozone</w:t>
      </w:r>
      <w:r w:rsidR="00190923" w:rsidRPr="00981405">
        <w:t xml:space="preserve"> </w:t>
      </w:r>
      <w:r w:rsidRPr="00981405">
        <w:t>depletion,</w:t>
      </w:r>
      <w:r w:rsidR="00190923" w:rsidRPr="00981405">
        <w:t xml:space="preserve"> </w:t>
      </w:r>
      <w:r w:rsidRPr="00981405">
        <w:t>and</w:t>
      </w:r>
      <w:r w:rsidR="00190923" w:rsidRPr="00981405">
        <w:t xml:space="preserve"> </w:t>
      </w:r>
      <w:r w:rsidRPr="00981405">
        <w:t>long-range</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190923" w:rsidRPr="00981405">
        <w:t xml:space="preserve"> </w:t>
      </w:r>
      <w:r w:rsidRPr="00981405">
        <w:t>and</w:t>
      </w:r>
      <w:r w:rsidR="00190923" w:rsidRPr="00981405">
        <w:t xml:space="preserve"> </w:t>
      </w:r>
      <w:r w:rsidRPr="00981405">
        <w:t>that</w:t>
      </w:r>
      <w:r w:rsidR="00190923" w:rsidRPr="00981405">
        <w:t xml:space="preserve"> </w:t>
      </w:r>
      <w:r w:rsidRPr="00981405">
        <w:t>they</w:t>
      </w:r>
      <w:r w:rsidR="00190923" w:rsidRPr="00981405">
        <w:t xml:space="preserve"> </w:t>
      </w:r>
      <w:r w:rsidRPr="00981405">
        <w:t>also</w:t>
      </w:r>
      <w:r w:rsidR="00190923" w:rsidRPr="00981405">
        <w:t xml:space="preserve"> </w:t>
      </w:r>
      <w:r w:rsidRPr="00981405">
        <w:t>neither</w:t>
      </w:r>
      <w:r w:rsidR="00190923" w:rsidRPr="00981405">
        <w:t xml:space="preserve"> </w:t>
      </w:r>
      <w:r w:rsidRPr="00981405">
        <w:t>seek</w:t>
      </w:r>
      <w:r w:rsidR="00190923" w:rsidRPr="00981405">
        <w:t xml:space="preserve"> </w:t>
      </w:r>
      <w:r w:rsidRPr="00981405">
        <w:t>to</w:t>
      </w:r>
      <w:r w:rsidR="00190923" w:rsidRPr="00981405">
        <w:t xml:space="preserve"> </w:t>
      </w:r>
      <w:r w:rsidR="00B92E2C" w:rsidRPr="00981405">
        <w:t>“</w:t>
      </w:r>
      <w:r w:rsidRPr="00981405">
        <w:t>fill</w:t>
      </w:r>
      <w:r w:rsidR="00B92E2C" w:rsidRPr="00981405">
        <w:t>”</w:t>
      </w:r>
      <w:r w:rsidR="00190923" w:rsidRPr="00981405">
        <w:t xml:space="preserve"> </w:t>
      </w:r>
      <w:r w:rsidRPr="00981405">
        <w:lastRenderedPageBreak/>
        <w:t>gaps</w:t>
      </w:r>
      <w:r w:rsidR="00190923" w:rsidRPr="00981405">
        <w:t xml:space="preserve"> </w:t>
      </w:r>
      <w:r w:rsidRPr="00981405">
        <w:t>in</w:t>
      </w:r>
      <w:r w:rsidR="00190923" w:rsidRPr="00981405">
        <w:t xml:space="preserve"> </w:t>
      </w:r>
      <w:r w:rsidRPr="00981405">
        <w:t>treaty</w:t>
      </w:r>
      <w:r w:rsidR="00190923" w:rsidRPr="00981405">
        <w:t xml:space="preserve"> </w:t>
      </w:r>
      <w:r w:rsidRPr="00981405">
        <w:t>regimes</w:t>
      </w:r>
      <w:r w:rsidR="00190923" w:rsidRPr="00981405">
        <w:t xml:space="preserve"> </w:t>
      </w:r>
      <w:r w:rsidRPr="00981405">
        <w:t>nor</w:t>
      </w:r>
      <w:r w:rsidR="00190923" w:rsidRPr="00981405">
        <w:t xml:space="preserve"> </w:t>
      </w:r>
      <w:r w:rsidRPr="00981405">
        <w:t>impose</w:t>
      </w:r>
      <w:r w:rsidR="00190923" w:rsidRPr="00981405">
        <w:t xml:space="preserve"> </w:t>
      </w:r>
      <w:r w:rsidRPr="00981405">
        <w:t>on</w:t>
      </w:r>
      <w:r w:rsidR="00190923" w:rsidRPr="00981405">
        <w:t xml:space="preserve"> </w:t>
      </w:r>
      <w:r w:rsidRPr="00981405">
        <w:t>current</w:t>
      </w:r>
      <w:r w:rsidR="00190923" w:rsidRPr="00981405">
        <w:t xml:space="preserve"> </w:t>
      </w:r>
      <w:r w:rsidRPr="00981405">
        <w:t>treaty</w:t>
      </w:r>
      <w:r w:rsidR="00190923" w:rsidRPr="00981405">
        <w:t xml:space="preserve"> </w:t>
      </w:r>
      <w:r w:rsidRPr="00981405">
        <w:t>regimes</w:t>
      </w:r>
      <w:r w:rsidR="00190923" w:rsidRPr="00981405">
        <w:t xml:space="preserve"> </w:t>
      </w:r>
      <w:r w:rsidRPr="00981405">
        <w:t>legal</w:t>
      </w:r>
      <w:r w:rsidR="00190923" w:rsidRPr="00981405">
        <w:t xml:space="preserve"> </w:t>
      </w:r>
      <w:r w:rsidRPr="00981405">
        <w:t>rules</w:t>
      </w:r>
      <w:r w:rsidR="00190923" w:rsidRPr="00981405">
        <w:t xml:space="preserve"> </w:t>
      </w:r>
      <w:r w:rsidRPr="00981405">
        <w:t>or</w:t>
      </w:r>
      <w:r w:rsidR="00190923" w:rsidRPr="00981405">
        <w:t xml:space="preserve"> </w:t>
      </w:r>
      <w:r w:rsidRPr="00981405">
        <w:t>legal</w:t>
      </w:r>
      <w:r w:rsidR="00190923" w:rsidRPr="00981405">
        <w:t xml:space="preserve"> </w:t>
      </w:r>
      <w:r w:rsidRPr="00981405">
        <w:t>principles</w:t>
      </w:r>
      <w:r w:rsidR="00190923" w:rsidRPr="00981405">
        <w:t xml:space="preserve"> </w:t>
      </w:r>
      <w:r w:rsidRPr="00981405">
        <w:t>not</w:t>
      </w:r>
      <w:r w:rsidR="00190923" w:rsidRPr="00981405">
        <w:t xml:space="preserve"> </w:t>
      </w:r>
      <w:r w:rsidRPr="00981405">
        <w:t>already</w:t>
      </w:r>
      <w:r w:rsidR="00190923" w:rsidRPr="00981405">
        <w:t xml:space="preserve"> </w:t>
      </w:r>
      <w:r w:rsidRPr="00981405">
        <w:t>contained</w:t>
      </w:r>
      <w:r w:rsidR="00190923" w:rsidRPr="00981405">
        <w:t xml:space="preserve"> </w:t>
      </w:r>
      <w:r w:rsidRPr="00981405">
        <w:t>therein,</w:t>
      </w:r>
      <w:r w:rsidRPr="00981405">
        <w:rPr>
          <w:rStyle w:val="FootnoteReference"/>
        </w:rPr>
        <w:footnoteReference w:id="17"/>
      </w:r>
    </w:p>
    <w:p w:rsidR="00397032" w:rsidRPr="00981405" w:rsidRDefault="00397032" w:rsidP="00D97463">
      <w:pPr>
        <w:pStyle w:val="SingleTxt"/>
        <w:ind w:left="1742"/>
      </w:pPr>
      <w:r w:rsidRPr="00981405">
        <w:t>[Some</w:t>
      </w:r>
      <w:r w:rsidR="00190923" w:rsidRPr="00981405">
        <w:t xml:space="preserve"> </w:t>
      </w:r>
      <w:r w:rsidRPr="00981405">
        <w:t>other</w:t>
      </w:r>
      <w:r w:rsidR="00190923" w:rsidRPr="00981405">
        <w:t xml:space="preserve"> </w:t>
      </w:r>
      <w:r w:rsidRPr="00981405">
        <w:t>paragraphs</w:t>
      </w:r>
      <w:r w:rsidR="00190923" w:rsidRPr="00981405">
        <w:t xml:space="preserve"> </w:t>
      </w:r>
      <w:r w:rsidRPr="00981405">
        <w:t>may</w:t>
      </w:r>
      <w:r w:rsidR="00190923" w:rsidRPr="00981405">
        <w:t xml:space="preserve"> </w:t>
      </w:r>
      <w:r w:rsidRPr="00981405">
        <w:t>be</w:t>
      </w:r>
      <w:r w:rsidR="00190923" w:rsidRPr="00981405">
        <w:t xml:space="preserve"> </w:t>
      </w:r>
      <w:r w:rsidRPr="00981405">
        <w:t>added,</w:t>
      </w:r>
      <w:r w:rsidR="00190923" w:rsidRPr="00981405">
        <w:t xml:space="preserve"> </w:t>
      </w:r>
      <w:r w:rsidRPr="00981405">
        <w:t>and</w:t>
      </w:r>
      <w:r w:rsidR="00190923" w:rsidRPr="00981405">
        <w:t xml:space="preserve"> </w:t>
      </w:r>
      <w:r w:rsidRPr="00981405">
        <w:t>the</w:t>
      </w:r>
      <w:r w:rsidR="00190923" w:rsidRPr="00981405">
        <w:t xml:space="preserve"> </w:t>
      </w:r>
      <w:r w:rsidRPr="00981405">
        <w:t>order</w:t>
      </w:r>
      <w:r w:rsidR="00190923" w:rsidRPr="00981405">
        <w:t xml:space="preserve"> </w:t>
      </w:r>
      <w:r w:rsidRPr="00981405">
        <w:t>of</w:t>
      </w:r>
      <w:r w:rsidR="00190923" w:rsidRPr="00981405">
        <w:t xml:space="preserve"> </w:t>
      </w:r>
      <w:r w:rsidRPr="00981405">
        <w:t>paragraphs</w:t>
      </w:r>
      <w:r w:rsidR="00190923" w:rsidRPr="00981405">
        <w:t xml:space="preserve"> </w:t>
      </w:r>
      <w:r w:rsidRPr="00981405">
        <w:t>may</w:t>
      </w:r>
      <w:r w:rsidR="00190923" w:rsidRPr="00981405">
        <w:t xml:space="preserve"> </w:t>
      </w:r>
      <w:r w:rsidRPr="00981405">
        <w:t>be</w:t>
      </w:r>
      <w:r w:rsidR="00190923" w:rsidRPr="00981405">
        <w:t xml:space="preserve"> </w:t>
      </w:r>
      <w:r w:rsidRPr="00981405">
        <w:t>coordinated,</w:t>
      </w:r>
      <w:r w:rsidR="00190923" w:rsidRPr="00981405">
        <w:t xml:space="preserve"> </w:t>
      </w:r>
      <w:r w:rsidRPr="00981405">
        <w:t>at</w:t>
      </w:r>
      <w:r w:rsidR="00190923" w:rsidRPr="00981405">
        <w:t xml:space="preserve"> </w:t>
      </w:r>
      <w:r w:rsidRPr="00981405">
        <w:t>a</w:t>
      </w:r>
      <w:r w:rsidR="00190923" w:rsidRPr="00981405">
        <w:t xml:space="preserve"> </w:t>
      </w:r>
      <w:r w:rsidRPr="00981405">
        <w:t>later</w:t>
      </w:r>
      <w:r w:rsidR="00190923" w:rsidRPr="00981405">
        <w:t xml:space="preserve"> </w:t>
      </w:r>
      <w:r w:rsidRPr="00981405">
        <w:t>stage.]</w:t>
      </w:r>
    </w:p>
    <w:p w:rsidR="00397032" w:rsidRPr="00981405" w:rsidRDefault="00397032" w:rsidP="00D97463">
      <w:pPr>
        <w:pStyle w:val="SingleTxt"/>
        <w:ind w:left="1742"/>
      </w:pPr>
      <w:r w:rsidRPr="00981405">
        <w:t>…</w:t>
      </w:r>
      <w:r w:rsidR="00190923" w:rsidRPr="00981405">
        <w:t xml:space="preserve"> </w:t>
      </w:r>
    </w:p>
    <w:p w:rsidR="00397032" w:rsidRPr="00D97463" w:rsidRDefault="00397032" w:rsidP="00D97463">
      <w:pPr>
        <w:pStyle w:val="SingleTxt"/>
        <w:ind w:left="1742"/>
        <w:jc w:val="left"/>
        <w:rPr>
          <w:b/>
          <w:bCs/>
        </w:rPr>
      </w:pPr>
      <w:r w:rsidRPr="00D97463">
        <w:rPr>
          <w:b/>
          <w:bCs/>
        </w:rPr>
        <w:t>Guideline</w:t>
      </w:r>
      <w:r w:rsidR="00190923" w:rsidRPr="00981405">
        <w:rPr>
          <w:b/>
          <w:bCs/>
        </w:rPr>
        <w:t xml:space="preserve"> </w:t>
      </w:r>
      <w:r w:rsidRPr="00D97463">
        <w:rPr>
          <w:b/>
          <w:bCs/>
        </w:rPr>
        <w:t>1</w:t>
      </w:r>
      <w:r w:rsidR="00F26841" w:rsidRPr="00981405">
        <w:rPr>
          <w:b/>
          <w:bCs/>
        </w:rPr>
        <w:br/>
      </w:r>
      <w:r w:rsidRPr="00D97463">
        <w:rPr>
          <w:b/>
          <w:bCs/>
        </w:rPr>
        <w:t>Use</w:t>
      </w:r>
      <w:r w:rsidR="00190923" w:rsidRPr="00981405">
        <w:rPr>
          <w:b/>
          <w:bCs/>
        </w:rPr>
        <w:t xml:space="preserve"> </w:t>
      </w:r>
      <w:r w:rsidRPr="00D97463">
        <w:rPr>
          <w:b/>
          <w:bCs/>
        </w:rPr>
        <w:t>of</w:t>
      </w:r>
      <w:r w:rsidR="00190923" w:rsidRPr="00981405">
        <w:rPr>
          <w:b/>
          <w:bCs/>
        </w:rPr>
        <w:t xml:space="preserve"> </w:t>
      </w:r>
      <w:r w:rsidRPr="00D97463">
        <w:rPr>
          <w:b/>
          <w:bCs/>
        </w:rPr>
        <w:t>terms</w:t>
      </w:r>
    </w:p>
    <w:p w:rsidR="00397032" w:rsidRPr="00981405" w:rsidRDefault="008822A8" w:rsidP="00D97463">
      <w:pPr>
        <w:pStyle w:val="SingleTxt"/>
        <w:ind w:left="1742"/>
      </w:pPr>
      <w:r>
        <w:tab/>
      </w:r>
      <w:r w:rsidR="00397032" w:rsidRPr="00981405">
        <w:t>For</w:t>
      </w:r>
      <w:r w:rsidR="00190923" w:rsidRPr="00981405">
        <w:t xml:space="preserve"> </w:t>
      </w:r>
      <w:r w:rsidR="00397032" w:rsidRPr="00981405">
        <w:t>the</w:t>
      </w:r>
      <w:r w:rsidR="00190923" w:rsidRPr="00981405">
        <w:t xml:space="preserve"> </w:t>
      </w:r>
      <w:r w:rsidR="00397032" w:rsidRPr="00981405">
        <w:t>purposes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present</w:t>
      </w:r>
      <w:r w:rsidR="00190923" w:rsidRPr="00981405">
        <w:t xml:space="preserve"> </w:t>
      </w:r>
      <w:r w:rsidR="00397032" w:rsidRPr="00981405">
        <w:t>draft</w:t>
      </w:r>
      <w:r w:rsidR="00190923" w:rsidRPr="00981405">
        <w:t xml:space="preserve"> </w:t>
      </w:r>
      <w:r w:rsidR="00397032" w:rsidRPr="00981405">
        <w:t>guidelines,</w:t>
      </w:r>
    </w:p>
    <w:p w:rsidR="00397032" w:rsidRPr="00981405" w:rsidRDefault="00397032" w:rsidP="00D97463">
      <w:pPr>
        <w:pStyle w:val="SingleTxt"/>
        <w:ind w:left="1742"/>
      </w:pPr>
      <w:r w:rsidRPr="00981405">
        <w:tab/>
        <w:t>(a)</w:t>
      </w:r>
      <w:r w:rsidRPr="00981405">
        <w:tab/>
      </w:r>
      <w:r w:rsidR="00B92E2C" w:rsidRPr="00981405">
        <w:t>“</w:t>
      </w:r>
      <w:r w:rsidRPr="00981405">
        <w:t>Atmosphere</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envelope</w:t>
      </w:r>
      <w:r w:rsidR="00190923" w:rsidRPr="00981405">
        <w:t xml:space="preserve"> </w:t>
      </w:r>
      <w:r w:rsidRPr="00981405">
        <w:t>of</w:t>
      </w:r>
      <w:r w:rsidR="00190923" w:rsidRPr="00981405">
        <w:t xml:space="preserve"> </w:t>
      </w:r>
      <w:r w:rsidRPr="00981405">
        <w:t>gases</w:t>
      </w:r>
      <w:r w:rsidR="00190923" w:rsidRPr="00981405">
        <w:t xml:space="preserve"> </w:t>
      </w:r>
      <w:r w:rsidRPr="00981405">
        <w:t>surrounding</w:t>
      </w:r>
      <w:r w:rsidR="00190923" w:rsidRPr="00981405">
        <w:t xml:space="preserve"> </w:t>
      </w:r>
      <w:r w:rsidRPr="00981405">
        <w:t>the</w:t>
      </w:r>
      <w:r w:rsidR="00190923" w:rsidRPr="00981405">
        <w:t xml:space="preserve"> </w:t>
      </w:r>
      <w:r w:rsidRPr="00981405">
        <w:t>Earth;</w:t>
      </w:r>
    </w:p>
    <w:p w:rsidR="00397032" w:rsidRPr="00981405" w:rsidRDefault="00397032" w:rsidP="00D97463">
      <w:pPr>
        <w:pStyle w:val="SingleTxt"/>
        <w:ind w:left="1742"/>
      </w:pPr>
      <w:r w:rsidRPr="00981405">
        <w:tab/>
        <w:t>(b)</w:t>
      </w:r>
      <w:r w:rsidRPr="00981405">
        <w:tab/>
      </w:r>
      <w:r w:rsidR="00B92E2C" w:rsidRPr="00981405">
        <w:t>“</w:t>
      </w:r>
      <w:r w:rsidRPr="00981405">
        <w:t>Atmospheric</w:t>
      </w:r>
      <w:r w:rsidR="00190923" w:rsidRPr="00981405">
        <w:t xml:space="preserve"> </w:t>
      </w:r>
      <w:r w:rsidRPr="00981405">
        <w:t>pollution</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introduction</w:t>
      </w:r>
      <w:r w:rsidR="00190923" w:rsidRPr="00981405">
        <w:t xml:space="preserve"> </w:t>
      </w:r>
      <w:r w:rsidRPr="00981405">
        <w:t>or</w:t>
      </w:r>
      <w:r w:rsidR="00190923" w:rsidRPr="00981405">
        <w:t xml:space="preserve"> </w:t>
      </w:r>
      <w:r w:rsidRPr="00981405">
        <w:t>release</w:t>
      </w:r>
      <w:r w:rsidR="00190923" w:rsidRPr="00981405">
        <w:t xml:space="preserve"> </w:t>
      </w:r>
      <w:r w:rsidRPr="00981405">
        <w:t>by</w:t>
      </w:r>
      <w:r w:rsidR="00190923" w:rsidRPr="00981405">
        <w:t xml:space="preserve"> </w:t>
      </w:r>
      <w:r w:rsidRPr="00981405">
        <w:t>humans,</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into</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of</w:t>
      </w:r>
      <w:r w:rsidR="00190923" w:rsidRPr="00981405">
        <w:t xml:space="preserve"> </w:t>
      </w:r>
      <w:r w:rsidRPr="00981405">
        <w:t>substances</w:t>
      </w:r>
      <w:r w:rsidR="00190923" w:rsidRPr="00981405">
        <w:t xml:space="preserve"> </w:t>
      </w:r>
      <w:r w:rsidRPr="00981405">
        <w:t>contributing</w:t>
      </w:r>
      <w:r w:rsidR="00190923" w:rsidRPr="00981405">
        <w:t xml:space="preserve"> </w:t>
      </w:r>
      <w:r w:rsidRPr="00981405">
        <w:t>to</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extending</w:t>
      </w:r>
      <w:r w:rsidR="00190923" w:rsidRPr="00981405">
        <w:t xml:space="preserve"> </w:t>
      </w:r>
      <w:r w:rsidRPr="00981405">
        <w:t>beyond</w:t>
      </w:r>
      <w:r w:rsidR="00190923" w:rsidRPr="00981405">
        <w:t xml:space="preserve"> </w:t>
      </w:r>
      <w:r w:rsidRPr="00981405">
        <w:t>the</w:t>
      </w:r>
      <w:r w:rsidR="00190923" w:rsidRPr="00981405">
        <w:t xml:space="preserve"> </w:t>
      </w:r>
      <w:r w:rsidRPr="00981405">
        <w:t>State</w:t>
      </w:r>
      <w:r w:rsidR="00190923" w:rsidRPr="00981405">
        <w:t xml:space="preserve"> </w:t>
      </w:r>
      <w:r w:rsidRPr="00981405">
        <w:t>of</w:t>
      </w:r>
      <w:r w:rsidR="00190923" w:rsidRPr="00981405">
        <w:t xml:space="preserve"> </w:t>
      </w:r>
      <w:r w:rsidRPr="00981405">
        <w:t>origin,</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nature</w:t>
      </w:r>
      <w:r w:rsidR="00190923" w:rsidRPr="00981405">
        <w:t xml:space="preserve"> </w:t>
      </w:r>
      <w:r w:rsidRPr="00981405">
        <w:t>as</w:t>
      </w:r>
      <w:r w:rsidR="00190923" w:rsidRPr="00981405">
        <w:t xml:space="preserve"> </w:t>
      </w:r>
      <w:r w:rsidRPr="00981405">
        <w:t>to</w:t>
      </w:r>
      <w:r w:rsidR="00190923" w:rsidRPr="00981405">
        <w:t xml:space="preserve"> </w:t>
      </w:r>
      <w:r w:rsidRPr="00981405">
        <w:t>endanger</w:t>
      </w:r>
      <w:r w:rsidR="00190923" w:rsidRPr="00981405">
        <w:t xml:space="preserve"> </w:t>
      </w:r>
      <w:r w:rsidRPr="00981405">
        <w:t>human</w:t>
      </w:r>
      <w:r w:rsidR="00190923" w:rsidRPr="00981405">
        <w:t xml:space="preserve"> </w:t>
      </w:r>
      <w:r w:rsidRPr="00981405">
        <w:t>life</w:t>
      </w:r>
      <w:r w:rsidR="00190923" w:rsidRPr="00981405">
        <w:t xml:space="preserve"> </w:t>
      </w:r>
      <w:r w:rsidRPr="00981405">
        <w:t>and</w:t>
      </w:r>
      <w:r w:rsidR="00190923" w:rsidRPr="00981405">
        <w:t xml:space="preserve"> </w:t>
      </w:r>
      <w:r w:rsidRPr="00981405">
        <w:t>health</w:t>
      </w:r>
      <w:r w:rsidR="00190923" w:rsidRPr="00981405">
        <w:t xml:space="preserve"> </w:t>
      </w:r>
      <w:r w:rsidRPr="00981405">
        <w:t>and</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natural</w:t>
      </w:r>
      <w:r w:rsidR="00190923" w:rsidRPr="00981405">
        <w:t xml:space="preserve"> </w:t>
      </w:r>
      <w:r w:rsidRPr="00981405">
        <w:t>environment;</w:t>
      </w:r>
    </w:p>
    <w:p w:rsidR="00397032" w:rsidRPr="00981405" w:rsidRDefault="00397032" w:rsidP="00D97463">
      <w:pPr>
        <w:pStyle w:val="SingleTxt"/>
        <w:ind w:left="1742"/>
      </w:pPr>
      <w:r w:rsidRPr="00981405">
        <w:tab/>
        <w:t>(c)</w:t>
      </w:r>
      <w:r w:rsidRPr="00981405">
        <w:tab/>
      </w:r>
      <w:r w:rsidR="00B92E2C" w:rsidRPr="00981405">
        <w:t>“</w:t>
      </w:r>
      <w:r w:rsidRPr="00981405">
        <w:t>Atmospheric</w:t>
      </w:r>
      <w:r w:rsidR="00190923" w:rsidRPr="00981405">
        <w:t xml:space="preserve"> </w:t>
      </w:r>
      <w:r w:rsidRPr="00981405">
        <w:t>degradation</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alteration</w:t>
      </w:r>
      <w:r w:rsidR="00190923" w:rsidRPr="00981405">
        <w:t xml:space="preserve"> </w:t>
      </w:r>
      <w:r w:rsidRPr="00981405">
        <w:t>by</w:t>
      </w:r>
      <w:r w:rsidR="00190923" w:rsidRPr="00981405">
        <w:t xml:space="preserve"> </w:t>
      </w:r>
      <w:r w:rsidRPr="00981405">
        <w:t>humans,</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conditions</w:t>
      </w:r>
      <w:r w:rsidR="00190923" w:rsidRPr="00981405">
        <w:t xml:space="preserve"> </w:t>
      </w:r>
      <w:r w:rsidRPr="00981405">
        <w:t>having</w:t>
      </w:r>
      <w:r w:rsidR="00190923" w:rsidRPr="00981405">
        <w:t xml:space="preserve"> </w:t>
      </w:r>
      <w:r w:rsidRPr="00981405">
        <w:t>significant</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nature</w:t>
      </w:r>
      <w:r w:rsidR="00190923" w:rsidRPr="00981405">
        <w:t xml:space="preserve"> </w:t>
      </w:r>
      <w:r w:rsidRPr="00981405">
        <w:t>as</w:t>
      </w:r>
      <w:r w:rsidR="00190923" w:rsidRPr="00981405">
        <w:t xml:space="preserve"> </w:t>
      </w:r>
      <w:r w:rsidRPr="00981405">
        <w:t>to</w:t>
      </w:r>
      <w:r w:rsidR="00190923" w:rsidRPr="00981405">
        <w:t xml:space="preserve"> </w:t>
      </w:r>
      <w:r w:rsidRPr="00981405">
        <w:t>endanger</w:t>
      </w:r>
      <w:r w:rsidR="00190923" w:rsidRPr="00981405">
        <w:t xml:space="preserve"> </w:t>
      </w:r>
      <w:r w:rsidRPr="00981405">
        <w:t>human</w:t>
      </w:r>
      <w:r w:rsidR="00190923" w:rsidRPr="00981405">
        <w:t xml:space="preserve"> </w:t>
      </w:r>
      <w:r w:rsidRPr="00981405">
        <w:t>life</w:t>
      </w:r>
      <w:r w:rsidR="00190923" w:rsidRPr="00981405">
        <w:t xml:space="preserve"> </w:t>
      </w:r>
      <w:r w:rsidRPr="00981405">
        <w:t>and</w:t>
      </w:r>
      <w:r w:rsidR="00190923" w:rsidRPr="00981405">
        <w:t xml:space="preserve"> </w:t>
      </w:r>
      <w:r w:rsidRPr="00981405">
        <w:t>health</w:t>
      </w:r>
      <w:r w:rsidR="00190923" w:rsidRPr="00981405">
        <w:t xml:space="preserve"> </w:t>
      </w:r>
      <w:r w:rsidRPr="00981405">
        <w:t>and</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natural</w:t>
      </w:r>
      <w:r w:rsidR="00190923" w:rsidRPr="00981405">
        <w:t xml:space="preserve"> </w:t>
      </w:r>
      <w:r w:rsidRPr="00981405">
        <w:t>environment.</w:t>
      </w:r>
      <w:r w:rsidR="00190923" w:rsidRPr="00981405">
        <w:t xml:space="preserve"> </w:t>
      </w:r>
    </w:p>
    <w:p w:rsidR="00397032" w:rsidRPr="00D97463" w:rsidRDefault="00397032" w:rsidP="00D97463">
      <w:pPr>
        <w:pStyle w:val="SingleTxt"/>
        <w:ind w:left="1742"/>
        <w:jc w:val="left"/>
        <w:rPr>
          <w:b/>
          <w:bCs/>
        </w:rPr>
      </w:pPr>
      <w:r w:rsidRPr="00D97463">
        <w:rPr>
          <w:b/>
          <w:bCs/>
        </w:rPr>
        <w:t>Guideline</w:t>
      </w:r>
      <w:r w:rsidR="00190923" w:rsidRPr="00981405">
        <w:rPr>
          <w:b/>
          <w:bCs/>
        </w:rPr>
        <w:t xml:space="preserve"> </w:t>
      </w:r>
      <w:r w:rsidRPr="00D97463">
        <w:rPr>
          <w:b/>
          <w:bCs/>
        </w:rPr>
        <w:t>2</w:t>
      </w:r>
      <w:r w:rsidR="00F26841" w:rsidRPr="00981405">
        <w:rPr>
          <w:b/>
          <w:bCs/>
        </w:rPr>
        <w:br/>
      </w:r>
      <w:r w:rsidRPr="00D97463">
        <w:rPr>
          <w:b/>
          <w:bCs/>
        </w:rPr>
        <w:t>Scope</w:t>
      </w:r>
      <w:r w:rsidR="00190923" w:rsidRPr="00981405">
        <w:rPr>
          <w:b/>
          <w:bCs/>
        </w:rPr>
        <w:t xml:space="preserve"> </w:t>
      </w:r>
      <w:r w:rsidRPr="00D97463">
        <w:rPr>
          <w:b/>
          <w:bCs/>
        </w:rPr>
        <w:t>of</w:t>
      </w:r>
      <w:r w:rsidR="00190923" w:rsidRPr="00981405">
        <w:rPr>
          <w:b/>
          <w:bCs/>
        </w:rPr>
        <w:t xml:space="preserve"> </w:t>
      </w:r>
      <w:r w:rsidRPr="00D97463">
        <w:rPr>
          <w:b/>
          <w:bCs/>
        </w:rPr>
        <w:t>the</w:t>
      </w:r>
      <w:r w:rsidR="00190923" w:rsidRPr="00981405">
        <w:rPr>
          <w:b/>
          <w:bCs/>
        </w:rPr>
        <w:t xml:space="preserve"> </w:t>
      </w:r>
      <w:r w:rsidRPr="00D97463">
        <w:rPr>
          <w:b/>
          <w:bCs/>
        </w:rPr>
        <w:t>guidelines</w:t>
      </w:r>
    </w:p>
    <w:p w:rsidR="00397032" w:rsidRPr="00981405" w:rsidRDefault="00397032" w:rsidP="00D97463">
      <w:pPr>
        <w:pStyle w:val="SingleTxt"/>
        <w:ind w:left="1742"/>
      </w:pPr>
      <w:r w:rsidRPr="00981405">
        <w:t>1.</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[contain</w:t>
      </w:r>
      <w:r w:rsidR="00190923" w:rsidRPr="00981405">
        <w:t xml:space="preserve"> </w:t>
      </w:r>
      <w:r w:rsidRPr="00981405">
        <w:t>guiding</w:t>
      </w:r>
      <w:r w:rsidR="00190923" w:rsidRPr="00981405">
        <w:t xml:space="preserve"> </w:t>
      </w:r>
      <w:r w:rsidRPr="00981405">
        <w:t>principles</w:t>
      </w:r>
      <w:r w:rsidR="00190923" w:rsidRPr="00981405">
        <w:t xml:space="preserve"> </w:t>
      </w:r>
      <w:r w:rsidRPr="00981405">
        <w:t>relating</w:t>
      </w:r>
      <w:r w:rsidR="00190923" w:rsidRPr="00981405">
        <w:t xml:space="preserve"> </w:t>
      </w:r>
      <w:r w:rsidRPr="00981405">
        <w:t>to]</w:t>
      </w:r>
      <w:r w:rsidR="00190923" w:rsidRPr="00981405">
        <w:t xml:space="preserve"> </w:t>
      </w:r>
      <w:r w:rsidRPr="00981405">
        <w:t>[deal</w:t>
      </w:r>
      <w:r w:rsidR="00190923" w:rsidRPr="00981405">
        <w:t xml:space="preserve"> </w:t>
      </w:r>
      <w:r w:rsidRPr="00981405">
        <w:t>with]</w:t>
      </w:r>
      <w:r w:rsidRPr="00981405">
        <w:rPr>
          <w:rStyle w:val="FootnoteReference"/>
        </w:rPr>
        <w:footnoteReference w:id="18"/>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p>
    <w:p w:rsidR="00397032" w:rsidRPr="00981405" w:rsidRDefault="00397032" w:rsidP="00D97463">
      <w:pPr>
        <w:pStyle w:val="SingleTxt"/>
        <w:ind w:left="1742"/>
      </w:pPr>
      <w:r w:rsidRPr="00981405">
        <w:t>2.</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do</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but</w:t>
      </w:r>
      <w:r w:rsidR="00190923" w:rsidRPr="00981405">
        <w:t xml:space="preserve"> </w:t>
      </w:r>
      <w:r w:rsidRPr="00981405">
        <w:t>are</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questions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polluter-pays-principle,</w:t>
      </w:r>
      <w:r w:rsidR="00190923" w:rsidRPr="00981405">
        <w:t xml:space="preserve"> </w:t>
      </w:r>
      <w:r w:rsidRPr="00981405">
        <w:t>the</w:t>
      </w:r>
      <w:r w:rsidR="00190923" w:rsidRPr="00981405">
        <w:t xml:space="preserve"> </w:t>
      </w:r>
      <w:r w:rsidRPr="00981405">
        <w:t>precautionary</w:t>
      </w:r>
      <w:r w:rsidR="00190923" w:rsidRPr="00981405">
        <w:t xml:space="preserve"> </w:t>
      </w:r>
      <w:r w:rsidRPr="00981405">
        <w:t>principle,</w:t>
      </w:r>
      <w:r w:rsidR="00190923" w:rsidRPr="00981405">
        <w:t xml:space="preserve"> </w:t>
      </w:r>
      <w:r w:rsidRPr="00981405">
        <w:t>common</w:t>
      </w:r>
      <w:r w:rsidR="00190923" w:rsidRPr="00981405">
        <w:t xml:space="preserve"> </w:t>
      </w:r>
      <w:r w:rsidRPr="00981405">
        <w:t>but</w:t>
      </w:r>
      <w:r w:rsidR="00190923" w:rsidRPr="00981405">
        <w:t xml:space="preserve"> </w:t>
      </w:r>
      <w:r w:rsidRPr="00981405">
        <w:t>differentiated</w:t>
      </w:r>
      <w:r w:rsidR="00190923" w:rsidRPr="00981405">
        <w:t xml:space="preserve"> </w:t>
      </w:r>
      <w:r w:rsidRPr="00981405">
        <w:t>responsibilities,</w:t>
      </w:r>
      <w:r w:rsidR="00190923" w:rsidRPr="00981405">
        <w:t xml:space="preserve"> </w:t>
      </w:r>
      <w:r w:rsidRPr="00981405">
        <w:t>the</w:t>
      </w:r>
      <w:r w:rsidR="00190923" w:rsidRPr="00981405">
        <w:t xml:space="preserve"> </w:t>
      </w:r>
      <w:r w:rsidRPr="00981405">
        <w:t>liability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and</w:t>
      </w:r>
      <w:r w:rsidR="00190923" w:rsidRPr="00981405">
        <w:t xml:space="preserve"> </w:t>
      </w:r>
      <w:r w:rsidRPr="00981405">
        <w:t>their</w:t>
      </w:r>
      <w:r w:rsidR="00190923" w:rsidRPr="00981405">
        <w:t xml:space="preserve"> </w:t>
      </w:r>
      <w:r w:rsidRPr="00981405">
        <w:t>nationals,</w:t>
      </w:r>
      <w:r w:rsidR="00190923" w:rsidRPr="00981405">
        <w:t xml:space="preserve"> </w:t>
      </w:r>
      <w:r w:rsidRPr="00981405">
        <w:t>and</w:t>
      </w:r>
      <w:r w:rsidR="00190923" w:rsidRPr="00981405">
        <w:t xml:space="preserve"> </w:t>
      </w:r>
      <w:r w:rsidRPr="00981405">
        <w:t>the</w:t>
      </w:r>
      <w:r w:rsidR="00190923" w:rsidRPr="00981405">
        <w:t xml:space="preserve"> </w:t>
      </w:r>
      <w:r w:rsidRPr="00981405">
        <w:t>transfer</w:t>
      </w:r>
      <w:r w:rsidR="00190923" w:rsidRPr="00981405">
        <w:t xml:space="preserve"> </w:t>
      </w:r>
      <w:r w:rsidRPr="00981405">
        <w:t>of</w:t>
      </w:r>
      <w:r w:rsidR="00190923" w:rsidRPr="00981405">
        <w:t xml:space="preserve"> </w:t>
      </w:r>
      <w:r w:rsidRPr="00981405">
        <w:t>funds</w:t>
      </w:r>
      <w:r w:rsidR="00190923" w:rsidRPr="00981405">
        <w:t xml:space="preserve"> </w:t>
      </w:r>
      <w:r w:rsidRPr="00981405">
        <w:t>and</w:t>
      </w:r>
      <w:r w:rsidR="00190923" w:rsidRPr="00981405">
        <w:t xml:space="preserve"> </w:t>
      </w:r>
      <w:r w:rsidRPr="00981405">
        <w:t>technology</w:t>
      </w:r>
      <w:r w:rsidR="00190923" w:rsidRPr="00981405">
        <w:t xml:space="preserve"> </w:t>
      </w:r>
      <w:r w:rsidRPr="00981405">
        <w:t>to</w:t>
      </w:r>
      <w:r w:rsidR="00190923" w:rsidRPr="00981405">
        <w:t xml:space="preserve"> </w:t>
      </w:r>
      <w:r w:rsidRPr="00981405">
        <w:t>developing</w:t>
      </w:r>
      <w:r w:rsidR="00190923" w:rsidRPr="00981405">
        <w:t xml:space="preserve"> </w:t>
      </w:r>
      <w:r w:rsidRPr="00981405">
        <w:t>countries,</w:t>
      </w:r>
      <w:r w:rsidR="00190923" w:rsidRPr="00981405">
        <w:t xml:space="preserve"> </w:t>
      </w:r>
      <w:r w:rsidRPr="00981405">
        <w:t>including</w:t>
      </w:r>
      <w:r w:rsidR="00190923" w:rsidRPr="00981405">
        <w:t xml:space="preserve"> </w:t>
      </w:r>
      <w:r w:rsidRPr="00981405">
        <w:t>intellectual</w:t>
      </w:r>
      <w:r w:rsidR="00190923" w:rsidRPr="00981405">
        <w:t xml:space="preserve"> </w:t>
      </w:r>
      <w:r w:rsidRPr="00981405">
        <w:t>property</w:t>
      </w:r>
      <w:r w:rsidR="00190923" w:rsidRPr="00981405">
        <w:t xml:space="preserve"> </w:t>
      </w:r>
      <w:r w:rsidRPr="00981405">
        <w:t>rights.</w:t>
      </w:r>
      <w:r w:rsidR="00190923" w:rsidRPr="00981405">
        <w:t xml:space="preserve"> </w:t>
      </w:r>
    </w:p>
    <w:p w:rsidR="00397032" w:rsidRPr="00981405" w:rsidRDefault="00397032" w:rsidP="00D97463">
      <w:pPr>
        <w:pStyle w:val="SingleTxt"/>
        <w:ind w:left="1742"/>
      </w:pPr>
      <w:r w:rsidRPr="00981405">
        <w:t>3.</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do</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specific</w:t>
      </w:r>
      <w:r w:rsidR="00190923" w:rsidRPr="00981405">
        <w:t xml:space="preserve"> </w:t>
      </w:r>
      <w:r w:rsidRPr="00981405">
        <w:t>substances,</w:t>
      </w:r>
      <w:r w:rsidR="00190923" w:rsidRPr="00981405">
        <w:t xml:space="preserve"> </w:t>
      </w:r>
      <w:r w:rsidRPr="00981405">
        <w:t>such</w:t>
      </w:r>
      <w:r w:rsidR="00190923" w:rsidRPr="00981405">
        <w:t xml:space="preserve"> </w:t>
      </w:r>
      <w:r w:rsidRPr="00981405">
        <w:t>as</w:t>
      </w:r>
      <w:r w:rsidR="00190923" w:rsidRPr="00981405">
        <w:t xml:space="preserve"> </w:t>
      </w:r>
      <w:r w:rsidRPr="00981405">
        <w:t>black</w:t>
      </w:r>
      <w:r w:rsidR="00190923" w:rsidRPr="00981405">
        <w:t xml:space="preserve"> </w:t>
      </w:r>
      <w:r w:rsidRPr="00981405">
        <w:t>carbon,</w:t>
      </w:r>
      <w:r w:rsidR="00190923" w:rsidRPr="00981405">
        <w:t xml:space="preserve"> </w:t>
      </w:r>
      <w:r w:rsidRPr="00981405">
        <w:t>tropospheric</w:t>
      </w:r>
      <w:r w:rsidR="00190923" w:rsidRPr="00981405">
        <w:t xml:space="preserve"> </w:t>
      </w:r>
      <w:r w:rsidRPr="00981405">
        <w:t>ozone,</w:t>
      </w:r>
      <w:r w:rsidR="00190923" w:rsidRPr="00981405">
        <w:t xml:space="preserve"> </w:t>
      </w:r>
      <w:r w:rsidRPr="00981405">
        <w:t>and</w:t>
      </w:r>
      <w:r w:rsidR="00190923" w:rsidRPr="00981405">
        <w:t xml:space="preserve"> </w:t>
      </w:r>
      <w:r w:rsidRPr="00981405">
        <w:t>other</w:t>
      </w:r>
      <w:r w:rsidR="00190923" w:rsidRPr="00981405">
        <w:t xml:space="preserve"> </w:t>
      </w:r>
      <w:r w:rsidRPr="00981405">
        <w:t>dual-impact</w:t>
      </w:r>
      <w:r w:rsidR="00190923" w:rsidRPr="00981405">
        <w:t xml:space="preserve"> </w:t>
      </w:r>
      <w:r w:rsidRPr="00981405">
        <w:t>substances,</w:t>
      </w:r>
      <w:r w:rsidR="00190923" w:rsidRPr="00981405">
        <w:t xml:space="preserve"> </w:t>
      </w:r>
      <w:r w:rsidRPr="00981405">
        <w:t>which</w:t>
      </w:r>
      <w:r w:rsidR="00190923" w:rsidRPr="00981405">
        <w:t xml:space="preserve"> </w:t>
      </w:r>
      <w:r w:rsidRPr="00981405">
        <w:t>are</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negotiations</w:t>
      </w:r>
      <w:r w:rsidR="00190923" w:rsidRPr="00981405">
        <w:t xml:space="preserve"> </w:t>
      </w:r>
      <w:r w:rsidRPr="00981405">
        <w:t>among</w:t>
      </w:r>
      <w:r w:rsidR="00190923" w:rsidRPr="00981405">
        <w:t xml:space="preserve"> </w:t>
      </w:r>
      <w:r w:rsidRPr="00981405">
        <w:t>States.</w:t>
      </w:r>
    </w:p>
    <w:p w:rsidR="00397032" w:rsidRPr="00981405" w:rsidRDefault="00397032" w:rsidP="00D97463">
      <w:pPr>
        <w:pStyle w:val="SingleTxt"/>
        <w:ind w:left="1742"/>
      </w:pPr>
      <w:r w:rsidRPr="00981405">
        <w:t>4.</w:t>
      </w:r>
      <w:r w:rsidRPr="00981405">
        <w:tab/>
        <w:t>Nothing</w:t>
      </w:r>
      <w:r w:rsidR="00190923" w:rsidRPr="00981405">
        <w:t xml:space="preserve"> </w:t>
      </w:r>
      <w:r w:rsidRPr="00981405">
        <w:t>in</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affects</w:t>
      </w:r>
      <w:r w:rsidR="00190923" w:rsidRPr="00981405">
        <w:t xml:space="preserve"> </w:t>
      </w:r>
      <w:r w:rsidRPr="00981405">
        <w:t>the</w:t>
      </w:r>
      <w:r w:rsidR="00190923" w:rsidRPr="00981405">
        <w:t xml:space="preserve"> </w:t>
      </w:r>
      <w:r w:rsidRPr="00981405">
        <w:t>status</w:t>
      </w:r>
      <w:r w:rsidR="00190923" w:rsidRPr="00981405">
        <w:t xml:space="preserve"> </w:t>
      </w:r>
      <w:r w:rsidRPr="00981405">
        <w:t>of</w:t>
      </w:r>
      <w:r w:rsidR="00190923" w:rsidRPr="00981405">
        <w:t xml:space="preserve"> </w:t>
      </w:r>
      <w:r w:rsidRPr="00981405">
        <w:t>airspace</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nor</w:t>
      </w:r>
      <w:r w:rsidR="00190923" w:rsidRPr="00981405">
        <w:t xml:space="preserve"> </w:t>
      </w:r>
      <w:r w:rsidRPr="00981405">
        <w:t>questions</w:t>
      </w:r>
      <w:r w:rsidR="00190923" w:rsidRPr="00981405">
        <w:t xml:space="preserve"> </w:t>
      </w:r>
      <w:r w:rsidRPr="00981405">
        <w:t>related</w:t>
      </w:r>
      <w:r w:rsidR="00190923" w:rsidRPr="00981405">
        <w:t xml:space="preserve"> </w:t>
      </w:r>
      <w:r w:rsidRPr="00981405">
        <w:t>to</w:t>
      </w:r>
      <w:r w:rsidR="00190923" w:rsidRPr="00981405">
        <w:t xml:space="preserve"> </w:t>
      </w:r>
      <w:r w:rsidRPr="00981405">
        <w:t>outer</w:t>
      </w:r>
      <w:r w:rsidR="00190923" w:rsidRPr="00981405">
        <w:t xml:space="preserve"> </w:t>
      </w:r>
      <w:r w:rsidRPr="00981405">
        <w:t>space,</w:t>
      </w:r>
      <w:r w:rsidR="00190923" w:rsidRPr="00981405">
        <w:t xml:space="preserve"> </w:t>
      </w:r>
      <w:r w:rsidRPr="00981405">
        <w:t>including</w:t>
      </w:r>
      <w:r w:rsidR="00190923" w:rsidRPr="00981405">
        <w:t xml:space="preserve"> </w:t>
      </w:r>
      <w:r w:rsidRPr="00981405">
        <w:t>its</w:t>
      </w:r>
      <w:r w:rsidR="00190923" w:rsidRPr="00981405">
        <w:t xml:space="preserve"> </w:t>
      </w:r>
      <w:r w:rsidRPr="00981405">
        <w:t>delimitation.</w:t>
      </w:r>
    </w:p>
    <w:p w:rsidR="00397032" w:rsidRPr="00D97463" w:rsidRDefault="00397032" w:rsidP="00D97463">
      <w:pPr>
        <w:pStyle w:val="SingleTxt"/>
        <w:ind w:left="1742"/>
        <w:jc w:val="left"/>
        <w:rPr>
          <w:b/>
          <w:bCs/>
        </w:rPr>
      </w:pPr>
      <w:r w:rsidRPr="00D97463">
        <w:rPr>
          <w:b/>
          <w:bCs/>
        </w:rPr>
        <w:t>Guideline</w:t>
      </w:r>
      <w:r w:rsidR="00190923" w:rsidRPr="00981405">
        <w:rPr>
          <w:b/>
          <w:bCs/>
        </w:rPr>
        <w:t xml:space="preserve"> </w:t>
      </w:r>
      <w:r w:rsidRPr="00D97463">
        <w:rPr>
          <w:b/>
          <w:bCs/>
        </w:rPr>
        <w:t>5</w:t>
      </w:r>
      <w:r w:rsidR="00F26841" w:rsidRPr="00981405">
        <w:rPr>
          <w:b/>
          <w:bCs/>
        </w:rPr>
        <w:br/>
      </w:r>
      <w:r w:rsidRPr="00D97463">
        <w:rPr>
          <w:b/>
          <w:bCs/>
        </w:rPr>
        <w:t>International</w:t>
      </w:r>
      <w:r w:rsidR="00190923" w:rsidRPr="00981405">
        <w:rPr>
          <w:b/>
          <w:bCs/>
        </w:rPr>
        <w:t xml:space="preserve"> </w:t>
      </w:r>
      <w:r w:rsidRPr="00D97463">
        <w:rPr>
          <w:b/>
          <w:bCs/>
        </w:rPr>
        <w:t>cooperation</w:t>
      </w:r>
    </w:p>
    <w:p w:rsidR="00397032" w:rsidRPr="00981405" w:rsidRDefault="00397032" w:rsidP="00D97463">
      <w:pPr>
        <w:pStyle w:val="SingleTxt"/>
        <w:ind w:left="1742"/>
      </w:pPr>
      <w:r w:rsidRPr="00981405">
        <w:t>1.</w:t>
      </w:r>
      <w:r w:rsidRPr="00981405">
        <w:tab/>
        <w:t>States</w:t>
      </w:r>
      <w:r w:rsidR="00190923" w:rsidRPr="00981405">
        <w:t xml:space="preserve"> </w:t>
      </w:r>
      <w:r w:rsidRPr="00981405">
        <w:t>have</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with</w:t>
      </w:r>
      <w:r w:rsidR="00190923" w:rsidRPr="00981405">
        <w:t xml:space="preserve"> </w:t>
      </w:r>
      <w:r w:rsidRPr="00981405">
        <w:t>each</w:t>
      </w:r>
      <w:r w:rsidR="00190923" w:rsidRPr="00981405">
        <w:t xml:space="preserve"> </w:t>
      </w:r>
      <w:r w:rsidRPr="00981405">
        <w:t>other</w:t>
      </w:r>
      <w:r w:rsidR="00190923" w:rsidRPr="00981405">
        <w:t xml:space="preserve"> </w:t>
      </w:r>
      <w:r w:rsidRPr="00981405">
        <w:t>and</w:t>
      </w:r>
      <w:r w:rsidR="00190923" w:rsidRPr="00981405">
        <w:t xml:space="preserve"> </w:t>
      </w:r>
      <w:r w:rsidRPr="00981405">
        <w:t>with</w:t>
      </w:r>
      <w:r w:rsidR="00190923" w:rsidRPr="00981405">
        <w:t xml:space="preserve"> </w:t>
      </w:r>
      <w:r w:rsidRPr="00981405">
        <w:t>relevant</w:t>
      </w:r>
      <w:r w:rsidR="00190923" w:rsidRPr="00981405">
        <w:t xml:space="preserve"> </w:t>
      </w:r>
      <w:r w:rsidRPr="00981405">
        <w:t>international</w:t>
      </w:r>
      <w:r w:rsidR="00190923" w:rsidRPr="00981405">
        <w:t xml:space="preserve"> </w:t>
      </w:r>
      <w:r w:rsidRPr="00981405">
        <w:t>organisations</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p>
    <w:p w:rsidR="00397032" w:rsidRPr="00981405" w:rsidRDefault="00397032" w:rsidP="00D97463">
      <w:pPr>
        <w:pStyle w:val="SingleTxt"/>
        <w:ind w:left="1742"/>
      </w:pPr>
      <w:r w:rsidRPr="00981405">
        <w:t>2.</w:t>
      </w:r>
      <w:r w:rsidRPr="00981405">
        <w:tab/>
        <w:t>States</w:t>
      </w:r>
      <w:r w:rsidR="00190923" w:rsidRPr="00981405">
        <w:t xml:space="preserve"> </w:t>
      </w:r>
      <w:r w:rsidRPr="00981405">
        <w:t>should</w:t>
      </w:r>
      <w:r w:rsidR="00190923" w:rsidRPr="00981405">
        <w:t xml:space="preserve"> </w:t>
      </w:r>
      <w:r w:rsidRPr="00981405">
        <w:t>cooperate</w:t>
      </w:r>
      <w:r w:rsidR="00190923" w:rsidRPr="00981405">
        <w:t xml:space="preserve"> </w:t>
      </w:r>
      <w:r w:rsidRPr="00981405">
        <w:t>in</w:t>
      </w:r>
      <w:r w:rsidR="00190923" w:rsidRPr="00981405">
        <w:t xml:space="preserve"> </w:t>
      </w:r>
      <w:r w:rsidRPr="00981405">
        <w:t>further</w:t>
      </w:r>
      <w:r w:rsidR="00190923" w:rsidRPr="00981405">
        <w:t xml:space="preserve"> </w:t>
      </w:r>
      <w:r w:rsidRPr="00981405">
        <w:t>enhancing</w:t>
      </w:r>
      <w:r w:rsidR="00190923" w:rsidRPr="00981405">
        <w:t xml:space="preserve"> </w:t>
      </w:r>
      <w:r w:rsidRPr="00981405">
        <w:t>scientific</w:t>
      </w:r>
      <w:r w:rsidR="00190923" w:rsidRPr="00981405">
        <w:t xml:space="preserve"> </w:t>
      </w:r>
      <w:r w:rsidRPr="00981405">
        <w:t>knowledge</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causes</w:t>
      </w:r>
      <w:r w:rsidR="00190923" w:rsidRPr="00981405">
        <w:t xml:space="preserve"> </w:t>
      </w:r>
      <w:r w:rsidRPr="00981405">
        <w:t>and</w:t>
      </w:r>
      <w:r w:rsidR="00190923" w:rsidRPr="00981405">
        <w:t xml:space="preserve"> </w:t>
      </w:r>
      <w:r w:rsidRPr="00981405">
        <w:t>impacts</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Cooperation</w:t>
      </w:r>
      <w:r w:rsidR="00190923" w:rsidRPr="00981405">
        <w:t xml:space="preserve"> </w:t>
      </w:r>
      <w:r w:rsidRPr="00981405">
        <w:t>could</w:t>
      </w:r>
      <w:r w:rsidR="00190923" w:rsidRPr="00981405">
        <w:t xml:space="preserve"> </w:t>
      </w:r>
      <w:r w:rsidRPr="00981405">
        <w:t>include</w:t>
      </w:r>
      <w:r w:rsidR="00190923" w:rsidRPr="00981405">
        <w:t xml:space="preserve"> </w:t>
      </w:r>
      <w:r w:rsidRPr="00981405">
        <w:t>exchange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and</w:t>
      </w:r>
      <w:r w:rsidR="00190923" w:rsidRPr="00981405">
        <w:t xml:space="preserve"> </w:t>
      </w:r>
      <w:r w:rsidRPr="00981405">
        <w:t>joint</w:t>
      </w:r>
      <w:r w:rsidR="00190923" w:rsidRPr="00981405">
        <w:t xml:space="preserve"> </w:t>
      </w:r>
      <w:r w:rsidRPr="00981405">
        <w:t>monitoring.</w:t>
      </w:r>
      <w:r w:rsidR="00190923" w:rsidRPr="00981405">
        <w:t xml:space="preserve"> </w:t>
      </w:r>
    </w:p>
    <w:p w:rsidR="00F26841" w:rsidRPr="00D97463" w:rsidRDefault="00F26841" w:rsidP="00D97463">
      <w:pPr>
        <w:pStyle w:val="SingleTxt"/>
        <w:keepNext/>
        <w:keepLines/>
        <w:spacing w:after="0" w:line="120" w:lineRule="exact"/>
        <w:rPr>
          <w:sz w:val="10"/>
        </w:rPr>
      </w:pPr>
    </w:p>
    <w:p w:rsidR="00397032" w:rsidRPr="00D97463" w:rsidRDefault="00397032" w:rsidP="00D97463">
      <w:pPr>
        <w:pStyle w:val="H23"/>
        <w:ind w:right="1260"/>
      </w:pPr>
      <w:r w:rsidRPr="00D97463">
        <w:tab/>
        <w:t>2.</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guidelines</w:t>
      </w:r>
      <w:r w:rsidR="00DC294B">
        <w:t>,</w:t>
      </w:r>
      <w:r w:rsidR="00190923" w:rsidRPr="00D97463">
        <w:t xml:space="preserve"> </w:t>
      </w:r>
      <w:r w:rsidRPr="00D97463">
        <w:t>together</w:t>
      </w:r>
      <w:r w:rsidR="00190923" w:rsidRPr="00D97463">
        <w:t xml:space="preserve"> </w:t>
      </w:r>
      <w:r w:rsidRPr="00D97463">
        <w:t>with</w:t>
      </w:r>
      <w:r w:rsidR="00190923" w:rsidRPr="00D97463">
        <w:t xml:space="preserve"> </w:t>
      </w:r>
      <w:r w:rsidRPr="00D97463">
        <w:t>preambular</w:t>
      </w:r>
      <w:r w:rsidR="00190923" w:rsidRPr="00D97463">
        <w:t xml:space="preserve"> </w:t>
      </w:r>
      <w:r w:rsidRPr="00D97463">
        <w:t>paragraphs,</w:t>
      </w:r>
      <w:r w:rsidR="00190923" w:rsidRPr="00D97463">
        <w:t xml:space="preserve"> </w:t>
      </w:r>
      <w:r w:rsidRPr="00D97463">
        <w:t>and</w:t>
      </w:r>
      <w:r w:rsidR="00190923" w:rsidRPr="00D97463">
        <w:t xml:space="preserve"> </w:t>
      </w:r>
      <w:r w:rsidRPr="00D97463">
        <w:t>commentaries</w:t>
      </w:r>
      <w:r w:rsidR="00190923" w:rsidRPr="00D97463">
        <w:t xml:space="preserve"> </w:t>
      </w:r>
      <w:r w:rsidRPr="00D97463">
        <w:t>thereto</w:t>
      </w:r>
      <w:r w:rsidR="00190923" w:rsidRPr="00D97463">
        <w:t xml:space="preserve"> </w:t>
      </w:r>
      <w:r w:rsidRPr="00D97463">
        <w:t>provisionally</w:t>
      </w:r>
      <w:r w:rsidR="00190923" w:rsidRPr="00D97463">
        <w:t xml:space="preserve"> </w:t>
      </w:r>
      <w:r w:rsidRPr="00D97463">
        <w:t>adopted</w:t>
      </w:r>
      <w:r w:rsidR="00190923" w:rsidRPr="00D97463">
        <w:t xml:space="preserve"> </w:t>
      </w:r>
      <w:r w:rsidRPr="00D97463">
        <w:t>by</w:t>
      </w:r>
      <w:r w:rsidR="00190923" w:rsidRPr="00D97463">
        <w:t xml:space="preserve"> </w:t>
      </w:r>
      <w:r w:rsidRPr="00D97463">
        <w:t>the</w:t>
      </w:r>
      <w:r w:rsidR="00190923" w:rsidRPr="00D97463">
        <w:t xml:space="preserve"> </w:t>
      </w:r>
      <w:r w:rsidRPr="00D97463">
        <w:t>Commission</w:t>
      </w:r>
      <w:r w:rsidR="00190923" w:rsidRPr="00D97463">
        <w:t xml:space="preserve"> </w:t>
      </w:r>
      <w:r w:rsidRPr="00D97463">
        <w:t>at</w:t>
      </w:r>
      <w:r w:rsidR="00190923" w:rsidRPr="00D97463">
        <w:t xml:space="preserve"> </w:t>
      </w:r>
      <w:r w:rsidRPr="00D97463">
        <w:t>its</w:t>
      </w:r>
      <w:r w:rsidR="00190923" w:rsidRPr="00D97463">
        <w:t xml:space="preserve"> </w:t>
      </w:r>
      <w:r w:rsidRPr="00D97463">
        <w:t>sixty-seventh</w:t>
      </w:r>
      <w:r w:rsidR="00190923" w:rsidRPr="00D97463">
        <w:t xml:space="preserve"> </w:t>
      </w:r>
      <w:r w:rsidRPr="00D97463">
        <w:t>session</w:t>
      </w:r>
    </w:p>
    <w:p w:rsidR="00F26841" w:rsidRPr="00D97463" w:rsidRDefault="00F26841"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54.</w:t>
      </w:r>
      <w:r w:rsidRPr="00981405">
        <w:tab/>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and</w:t>
      </w:r>
      <w:r w:rsidR="00190923" w:rsidRPr="00981405">
        <w:t xml:space="preserve"> </w:t>
      </w:r>
      <w:r w:rsidRPr="00981405">
        <w:t>commentaries</w:t>
      </w:r>
      <w:r w:rsidR="00190923" w:rsidRPr="00981405">
        <w:t xml:space="preserve"> </w:t>
      </w:r>
      <w:r w:rsidRPr="00981405">
        <w:t>thereto,</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is</w:t>
      </w:r>
      <w:r w:rsidR="00190923" w:rsidRPr="00981405">
        <w:t xml:space="preserve"> </w:t>
      </w:r>
      <w:r w:rsidRPr="00981405">
        <w:t>reproduced</w:t>
      </w:r>
      <w:r w:rsidR="00190923" w:rsidRPr="00981405">
        <w:t xml:space="preserve"> </w:t>
      </w:r>
      <w:r w:rsidRPr="00981405">
        <w:t>below.</w:t>
      </w:r>
    </w:p>
    <w:p w:rsidR="00C439A1" w:rsidRPr="00D97463" w:rsidRDefault="00C439A1"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27" w:name="_Toc427938088"/>
      <w:r w:rsidRPr="00D97463">
        <w:t>General</w:t>
      </w:r>
      <w:r w:rsidR="00190923" w:rsidRPr="00D97463">
        <w:t xml:space="preserve"> </w:t>
      </w:r>
      <w:r w:rsidRPr="00D97463">
        <w:t>commentary</w:t>
      </w:r>
      <w:bookmarkEnd w:id="2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ab/>
        <w:t>The</w:t>
      </w:r>
      <w:r w:rsidR="00190923" w:rsidRPr="00981405">
        <w:t xml:space="preserve"> </w:t>
      </w:r>
      <w:r w:rsidRPr="00981405">
        <w:t>Commission</w:t>
      </w:r>
      <w:r w:rsidR="00190923" w:rsidRPr="00981405">
        <w:t xml:space="preserve"> </w:t>
      </w:r>
      <w:r w:rsidRPr="00981405">
        <w:t>recognises</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being</w:t>
      </w:r>
      <w:r w:rsidR="00190923" w:rsidRPr="00981405">
        <w:t xml:space="preserve"> </w:t>
      </w:r>
      <w:r w:rsidRPr="00981405">
        <w:t>fully</w:t>
      </w:r>
      <w:r w:rsidR="00190923" w:rsidRPr="00981405">
        <w:t xml:space="preserve"> </w:t>
      </w:r>
      <w:r w:rsidRPr="00981405">
        <w:t>engaged</w:t>
      </w:r>
      <w:r w:rsidR="00190923" w:rsidRPr="00981405">
        <w:t xml:space="preserve"> </w:t>
      </w:r>
      <w:r w:rsidRPr="00981405">
        <w:t>with</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B92E2C" w:rsidRPr="00981405">
        <w:t>’</w:t>
      </w:r>
      <w:r w:rsidRPr="00981405">
        <w:t>s</w:t>
      </w:r>
      <w:r w:rsidR="00190923" w:rsidRPr="00981405">
        <w:t xml:space="preserve"> </w:t>
      </w:r>
      <w:r w:rsidRPr="00981405">
        <w:t>present-day</w:t>
      </w:r>
      <w:r w:rsidR="00190923" w:rsidRPr="00981405">
        <w:t xml:space="preserve"> </w:t>
      </w:r>
      <w:r w:rsidRPr="00981405">
        <w:t>needs.</w:t>
      </w:r>
      <w:r w:rsidR="00190923" w:rsidRPr="00981405">
        <w:t xml:space="preserve"> </w:t>
      </w:r>
      <w:r w:rsidRPr="00981405">
        <w:t>It</w:t>
      </w:r>
      <w:r w:rsidR="00190923" w:rsidRPr="00981405">
        <w:t xml:space="preserve"> </w:t>
      </w:r>
      <w:r w:rsidRPr="00981405">
        <w:t>is</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both</w:t>
      </w:r>
      <w:r w:rsidR="00190923" w:rsidRPr="00981405">
        <w:t xml:space="preserve"> </w:t>
      </w:r>
      <w:r w:rsidRPr="00981405">
        <w:t>the</w:t>
      </w:r>
      <w:r w:rsidR="00190923" w:rsidRPr="00981405">
        <w:t xml:space="preserve"> </w:t>
      </w:r>
      <w:r w:rsidRPr="00981405">
        <w:t>human</w:t>
      </w:r>
      <w:r w:rsidR="00190923" w:rsidRPr="00981405">
        <w:t xml:space="preserve"> </w:t>
      </w:r>
      <w:r w:rsidRPr="00981405">
        <w:t>and</w:t>
      </w:r>
      <w:r w:rsidR="00190923" w:rsidRPr="00981405">
        <w:t xml:space="preserve"> </w:t>
      </w:r>
      <w:r w:rsidRPr="00981405">
        <w:t>natural</w:t>
      </w:r>
      <w:r w:rsidR="00190923" w:rsidRPr="00981405">
        <w:t xml:space="preserve"> </w:t>
      </w:r>
      <w:r w:rsidRPr="00981405">
        <w:t>environments</w:t>
      </w:r>
      <w:r w:rsidR="00190923" w:rsidRPr="00981405">
        <w:t xml:space="preserve"> </w:t>
      </w:r>
      <w:r w:rsidRPr="00981405">
        <w:t>can</w:t>
      </w:r>
      <w:r w:rsidR="00190923" w:rsidRPr="00981405">
        <w:t xml:space="preserve"> </w:t>
      </w:r>
      <w:r w:rsidRPr="00981405">
        <w:t>be</w:t>
      </w:r>
      <w:r w:rsidR="00190923" w:rsidRPr="00981405">
        <w:t xml:space="preserve"> </w:t>
      </w:r>
      <w:r w:rsidRPr="00981405">
        <w:t>adversely</w:t>
      </w:r>
      <w:r w:rsidR="00190923" w:rsidRPr="00981405">
        <w:t xml:space="preserve"> </w:t>
      </w:r>
      <w:r w:rsidRPr="00981405">
        <w:t>affected</w:t>
      </w:r>
      <w:r w:rsidR="00190923" w:rsidRPr="00981405">
        <w:t xml:space="preserve"> </w:t>
      </w:r>
      <w:r w:rsidRPr="00981405">
        <w:t>by</w:t>
      </w:r>
      <w:r w:rsidR="00190923" w:rsidRPr="00981405">
        <w:t xml:space="preserve"> </w:t>
      </w:r>
      <w:r w:rsidRPr="00981405">
        <w:t>certain</w:t>
      </w:r>
      <w:r w:rsidR="00190923" w:rsidRPr="00981405">
        <w:t xml:space="preserve"> </w:t>
      </w:r>
      <w:r w:rsidRPr="00981405">
        <w:t>changes</w:t>
      </w:r>
      <w:r w:rsidR="00190923" w:rsidRPr="00981405">
        <w:t xml:space="preserve"> </w:t>
      </w:r>
      <w:r w:rsidRPr="00981405">
        <w:t>in</w:t>
      </w:r>
      <w:r w:rsidR="00190923" w:rsidRPr="00981405">
        <w:t xml:space="preserve"> </w:t>
      </w:r>
      <w:r w:rsidRPr="00981405">
        <w:t>the</w:t>
      </w:r>
      <w:r w:rsidR="00190923" w:rsidRPr="00981405">
        <w:t xml:space="preserve"> </w:t>
      </w:r>
      <w:r w:rsidRPr="00981405">
        <w:t>condition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mainly</w:t>
      </w:r>
      <w:r w:rsidR="00190923" w:rsidRPr="00981405">
        <w:t xml:space="preserve"> </w:t>
      </w:r>
      <w:r w:rsidRPr="00981405">
        <w:t>caused</w:t>
      </w:r>
      <w:r w:rsidR="00190923" w:rsidRPr="00981405">
        <w:t xml:space="preserve"> </w:t>
      </w:r>
      <w:r w:rsidRPr="00981405">
        <w:t>by</w:t>
      </w:r>
      <w:r w:rsidR="00190923" w:rsidRPr="00981405">
        <w:t xml:space="preserve"> </w:t>
      </w:r>
      <w:r w:rsidRPr="00981405">
        <w:t>the</w:t>
      </w:r>
      <w:r w:rsidR="00190923" w:rsidRPr="00981405">
        <w:t xml:space="preserve"> </w:t>
      </w:r>
      <w:r w:rsidRPr="00981405">
        <w:t>introduction</w:t>
      </w:r>
      <w:r w:rsidR="00190923" w:rsidRPr="00981405">
        <w:t xml:space="preserve"> </w:t>
      </w:r>
      <w:r w:rsidRPr="00981405">
        <w:t>of</w:t>
      </w:r>
      <w:r w:rsidR="00190923" w:rsidRPr="00981405">
        <w:t xml:space="preserve"> </w:t>
      </w:r>
      <w:r w:rsidRPr="00981405">
        <w:t>harmful</w:t>
      </w:r>
      <w:r w:rsidR="00190923" w:rsidRPr="00981405">
        <w:t xml:space="preserve"> </w:t>
      </w:r>
      <w:r w:rsidRPr="00981405">
        <w:t>substances,</w:t>
      </w:r>
      <w:r w:rsidR="00190923" w:rsidRPr="00981405">
        <w:t xml:space="preserve"> </w:t>
      </w:r>
      <w:r w:rsidRPr="00981405">
        <w:t>causing</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190923" w:rsidRPr="00981405">
        <w:t xml:space="preserve"> </w:t>
      </w:r>
      <w:r w:rsidRPr="00981405">
        <w:t>ozone</w:t>
      </w:r>
      <w:r w:rsidR="00190923" w:rsidRPr="00981405">
        <w:t xml:space="preserve"> </w:t>
      </w:r>
      <w:r w:rsidRPr="00981405">
        <w:t>depletion,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changes</w:t>
      </w:r>
      <w:r w:rsidR="00190923" w:rsidRPr="00981405">
        <w:t xml:space="preserve"> </w:t>
      </w:r>
      <w:r w:rsidRPr="00981405">
        <w:t>in</w:t>
      </w:r>
      <w:r w:rsidR="00190923" w:rsidRPr="00981405">
        <w:t xml:space="preserve"> </w:t>
      </w:r>
      <w:r w:rsidRPr="00981405">
        <w:t>the</w:t>
      </w:r>
      <w:r w:rsidR="00190923" w:rsidRPr="00981405">
        <w:t xml:space="preserve"> </w:t>
      </w:r>
      <w:r w:rsidRPr="00981405">
        <w:t>atmospheric</w:t>
      </w:r>
      <w:r w:rsidR="00190923" w:rsidRPr="00981405">
        <w:t xml:space="preserve"> </w:t>
      </w:r>
      <w:r w:rsidRPr="00981405">
        <w:t>conditions</w:t>
      </w:r>
      <w:r w:rsidR="00190923" w:rsidRPr="00981405">
        <w:t xml:space="preserve"> </w:t>
      </w:r>
      <w:r w:rsidRPr="00981405">
        <w:t>leading</w:t>
      </w:r>
      <w:r w:rsidR="00190923" w:rsidRPr="00981405">
        <w:t xml:space="preserve"> </w:t>
      </w:r>
      <w:r w:rsidRPr="00981405">
        <w:t>to</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seeks,</w:t>
      </w:r>
      <w:r w:rsidR="00190923" w:rsidRPr="00981405">
        <w:t xml:space="preserve"> </w:t>
      </w:r>
      <w:r w:rsidRPr="00981405">
        <w:t>through</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its</w:t>
      </w:r>
      <w:r w:rsidR="00190923" w:rsidRPr="00981405">
        <w:t xml:space="preserve"> </w:t>
      </w:r>
      <w:r w:rsidRPr="00981405">
        <w:t>codification,</w:t>
      </w:r>
      <w:r w:rsidR="00190923" w:rsidRPr="00981405">
        <w:t xml:space="preserve"> </w:t>
      </w:r>
      <w:r w:rsidRPr="00981405">
        <w:t>to</w:t>
      </w:r>
      <w:r w:rsidR="00190923" w:rsidRPr="00981405">
        <w:t xml:space="preserve"> </w:t>
      </w:r>
      <w:r w:rsidRPr="00981405">
        <w:t>provide</w:t>
      </w:r>
      <w:r w:rsidR="00190923" w:rsidRPr="00981405">
        <w:t xml:space="preserve"> </w:t>
      </w:r>
      <w:r w:rsidRPr="00981405">
        <w:t>guidelines</w:t>
      </w:r>
      <w:r w:rsidR="00190923" w:rsidRPr="00981405">
        <w:t xml:space="preserve"> </w:t>
      </w:r>
      <w:r w:rsidRPr="00981405">
        <w:t>that</w:t>
      </w:r>
      <w:r w:rsidR="00190923" w:rsidRPr="00981405">
        <w:t xml:space="preserve"> </w:t>
      </w:r>
      <w:r w:rsidRPr="00981405">
        <w:t>may</w:t>
      </w:r>
      <w:r w:rsidR="00190923" w:rsidRPr="00981405">
        <w:t xml:space="preserve"> </w:t>
      </w:r>
      <w:r w:rsidRPr="00981405">
        <w:t>assist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it</w:t>
      </w:r>
      <w:r w:rsidR="00190923" w:rsidRPr="00981405">
        <w:t xml:space="preserve"> </w:t>
      </w:r>
      <w:r w:rsidRPr="00981405">
        <w:t>addresses</w:t>
      </w:r>
      <w:r w:rsidR="00190923" w:rsidRPr="00981405">
        <w:t xml:space="preserve"> </w:t>
      </w:r>
      <w:r w:rsidRPr="00981405">
        <w:t>critical</w:t>
      </w:r>
      <w:r w:rsidR="00190923" w:rsidRPr="00981405">
        <w:t xml:space="preserve"> </w:t>
      </w:r>
      <w:r w:rsidRPr="00981405">
        <w:t>questions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transboundary</w:t>
      </w:r>
      <w:r w:rsidR="00190923" w:rsidRPr="00981405">
        <w:t xml:space="preserve"> </w:t>
      </w:r>
      <w:r w:rsidRPr="00981405">
        <w:t>and</w:t>
      </w:r>
      <w:r w:rsidR="00190923" w:rsidRPr="00981405">
        <w:t xml:space="preserve"> </w:t>
      </w:r>
      <w:r w:rsidRPr="00981405">
        <w:t>global</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In</w:t>
      </w:r>
      <w:r w:rsidR="00190923" w:rsidRPr="00981405">
        <w:t xml:space="preserve"> </w:t>
      </w:r>
      <w:r w:rsidRPr="00981405">
        <w:t>doing</w:t>
      </w:r>
      <w:r w:rsidR="00190923" w:rsidRPr="00981405">
        <w:t xml:space="preserve"> </w:t>
      </w:r>
      <w:r w:rsidRPr="00981405">
        <w:t>so,</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does</w:t>
      </w:r>
      <w:r w:rsidR="00190923" w:rsidRPr="00981405">
        <w:t xml:space="preserve"> </w:t>
      </w:r>
      <w:r w:rsidRPr="00981405">
        <w:t>not</w:t>
      </w:r>
      <w:r w:rsidR="00190923" w:rsidRPr="00981405">
        <w:t xml:space="preserve"> </w:t>
      </w:r>
      <w:r w:rsidRPr="00981405">
        <w:t>desire</w:t>
      </w:r>
      <w:r w:rsidR="00190923" w:rsidRPr="00981405">
        <w:t xml:space="preserve"> </w:t>
      </w:r>
      <w:r w:rsidRPr="00981405">
        <w:t>to</w:t>
      </w:r>
      <w:r w:rsidR="00190923" w:rsidRPr="00981405">
        <w:t xml:space="preserve"> </w:t>
      </w:r>
      <w:r w:rsidRPr="00981405">
        <w:t>interfere</w:t>
      </w:r>
      <w:r w:rsidR="00190923" w:rsidRPr="00981405">
        <w:t xml:space="preserve"> </w:t>
      </w:r>
      <w:r w:rsidRPr="00981405">
        <w:t>with</w:t>
      </w:r>
      <w:r w:rsidR="00190923" w:rsidRPr="00981405">
        <w:t xml:space="preserve"> </w:t>
      </w:r>
      <w:r w:rsidRPr="00981405">
        <w:t>relevant</w:t>
      </w:r>
      <w:r w:rsidR="00190923" w:rsidRPr="00981405">
        <w:t xml:space="preserve"> </w:t>
      </w:r>
      <w:r w:rsidRPr="00981405">
        <w:t>political</w:t>
      </w:r>
      <w:r w:rsidR="00190923" w:rsidRPr="00981405">
        <w:t xml:space="preserve"> </w:t>
      </w:r>
      <w:r w:rsidRPr="00981405">
        <w:t>negotiations,</w:t>
      </w:r>
      <w:r w:rsidR="00190923" w:rsidRPr="00981405">
        <w:t xml:space="preserve"> </w:t>
      </w:r>
      <w:r w:rsidRPr="00981405">
        <w:t>including</w:t>
      </w:r>
      <w:r w:rsidR="00190923" w:rsidRPr="00981405">
        <w:t xml:space="preserve"> </w:t>
      </w:r>
      <w:r w:rsidRPr="00981405">
        <w:t>those</w:t>
      </w:r>
      <w:r w:rsidR="00190923" w:rsidRPr="00981405">
        <w:t xml:space="preserve"> </w:t>
      </w:r>
      <w:r w:rsidRPr="00981405">
        <w:t>on</w:t>
      </w:r>
      <w:r w:rsidR="00190923" w:rsidRPr="00981405">
        <w:t xml:space="preserve"> </w:t>
      </w:r>
      <w:r w:rsidRPr="00981405">
        <w:t>long-range</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190923" w:rsidRPr="00981405">
        <w:t xml:space="preserve"> </w:t>
      </w:r>
      <w:r w:rsidRPr="00981405">
        <w:t>ozone</w:t>
      </w:r>
      <w:r w:rsidR="00190923" w:rsidRPr="00981405">
        <w:t xml:space="preserve"> </w:t>
      </w:r>
      <w:r w:rsidRPr="00981405">
        <w:t>depletion</w:t>
      </w:r>
      <w:r w:rsidR="00190923" w:rsidRPr="00981405">
        <w:t xml:space="preserve"> </w:t>
      </w:r>
      <w:r w:rsidRPr="00981405">
        <w:t>and</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seek</w:t>
      </w:r>
      <w:r w:rsidR="00190923" w:rsidRPr="00981405">
        <w:t xml:space="preserve"> </w:t>
      </w:r>
      <w:r w:rsidRPr="00981405">
        <w:t>to</w:t>
      </w:r>
      <w:r w:rsidR="00190923" w:rsidRPr="00981405">
        <w:t xml:space="preserve"> </w:t>
      </w:r>
      <w:r w:rsidR="00B92E2C" w:rsidRPr="00981405">
        <w:t>“</w:t>
      </w:r>
      <w:r w:rsidRPr="00981405">
        <w:t>fill</w:t>
      </w:r>
      <w:r w:rsidR="00B92E2C" w:rsidRPr="00981405">
        <w:t>”</w:t>
      </w:r>
      <w:r w:rsidR="00190923" w:rsidRPr="00981405">
        <w:t xml:space="preserve"> </w:t>
      </w:r>
      <w:r w:rsidRPr="00981405">
        <w:t>gaps</w:t>
      </w:r>
      <w:r w:rsidR="00190923" w:rsidRPr="00981405">
        <w:t xml:space="preserve"> </w:t>
      </w:r>
      <w:r w:rsidRPr="00981405">
        <w:t>in</w:t>
      </w:r>
      <w:r w:rsidR="00190923" w:rsidRPr="00981405">
        <w:t xml:space="preserve"> </w:t>
      </w:r>
      <w:r w:rsidRPr="00981405">
        <w:t>treaty</w:t>
      </w:r>
      <w:r w:rsidR="00190923" w:rsidRPr="00981405">
        <w:t xml:space="preserve"> </w:t>
      </w:r>
      <w:r w:rsidRPr="00981405">
        <w:t>regimes</w:t>
      </w:r>
      <w:r w:rsidR="00190923" w:rsidRPr="00981405">
        <w:t xml:space="preserve"> </w:t>
      </w:r>
      <w:r w:rsidRPr="00981405">
        <w:t>nor</w:t>
      </w:r>
      <w:r w:rsidR="00190923" w:rsidRPr="00981405">
        <w:t xml:space="preserve"> </w:t>
      </w:r>
      <w:r w:rsidRPr="00981405">
        <w:t>to</w:t>
      </w:r>
      <w:r w:rsidR="00190923" w:rsidRPr="00981405">
        <w:t xml:space="preserve"> </w:t>
      </w:r>
      <w:r w:rsidRPr="00981405">
        <w:t>impose</w:t>
      </w:r>
      <w:r w:rsidR="00190923" w:rsidRPr="00981405">
        <w:t xml:space="preserve"> </w:t>
      </w:r>
      <w:r w:rsidRPr="00981405">
        <w:t>on</w:t>
      </w:r>
      <w:r w:rsidR="00190923" w:rsidRPr="00981405">
        <w:t xml:space="preserve"> </w:t>
      </w:r>
      <w:r w:rsidRPr="00981405">
        <w:t>current</w:t>
      </w:r>
      <w:r w:rsidR="00190923" w:rsidRPr="00981405">
        <w:t xml:space="preserve"> </w:t>
      </w:r>
      <w:r w:rsidRPr="00981405">
        <w:t>treaty</w:t>
      </w:r>
      <w:r w:rsidR="00190923" w:rsidRPr="00981405">
        <w:t xml:space="preserve"> </w:t>
      </w:r>
      <w:r w:rsidRPr="00981405">
        <w:t>regimes</w:t>
      </w:r>
      <w:r w:rsidR="00190923" w:rsidRPr="00981405">
        <w:t xml:space="preserve"> </w:t>
      </w:r>
      <w:r w:rsidRPr="00981405">
        <w:t>legal</w:t>
      </w:r>
      <w:r w:rsidR="00190923" w:rsidRPr="00981405">
        <w:t xml:space="preserve"> </w:t>
      </w:r>
      <w:r w:rsidRPr="00981405">
        <w:t>rules</w:t>
      </w:r>
      <w:r w:rsidR="00190923" w:rsidRPr="00981405">
        <w:t xml:space="preserve"> </w:t>
      </w:r>
      <w:r w:rsidRPr="00981405">
        <w:t>or</w:t>
      </w:r>
      <w:r w:rsidR="00190923" w:rsidRPr="00981405">
        <w:t xml:space="preserve"> </w:t>
      </w:r>
      <w:r w:rsidRPr="00981405">
        <w:t>legal</w:t>
      </w:r>
      <w:r w:rsidR="00190923" w:rsidRPr="00981405">
        <w:t xml:space="preserve"> </w:t>
      </w:r>
      <w:r w:rsidRPr="00981405">
        <w:t>principles</w:t>
      </w:r>
      <w:r w:rsidR="00190923" w:rsidRPr="00981405">
        <w:t xml:space="preserve"> </w:t>
      </w:r>
      <w:r w:rsidRPr="00981405">
        <w:t>not</w:t>
      </w:r>
      <w:r w:rsidR="00190923" w:rsidRPr="00981405">
        <w:t xml:space="preserve"> </w:t>
      </w:r>
      <w:r w:rsidRPr="00981405">
        <w:t>already</w:t>
      </w:r>
      <w:r w:rsidR="00190923" w:rsidRPr="00981405">
        <w:t xml:space="preserve"> </w:t>
      </w:r>
      <w:r w:rsidRPr="00981405">
        <w:t>contained</w:t>
      </w:r>
      <w:r w:rsidR="00190923" w:rsidRPr="00981405">
        <w:t xml:space="preserve"> </w:t>
      </w:r>
      <w:r w:rsidRPr="00981405">
        <w:t>therein.</w:t>
      </w:r>
      <w:r w:rsidR="00190923" w:rsidRPr="00981405">
        <w:t xml:space="preserve"> </w:t>
      </w:r>
    </w:p>
    <w:p w:rsidR="00397032" w:rsidRPr="00D97463" w:rsidRDefault="00397032" w:rsidP="00D97463">
      <w:pPr>
        <w:pStyle w:val="SingleTxt"/>
        <w:ind w:left="1742"/>
        <w:rPr>
          <w:b/>
          <w:bCs/>
        </w:rPr>
      </w:pPr>
      <w:r w:rsidRPr="00D97463">
        <w:rPr>
          <w:b/>
          <w:bCs/>
        </w:rPr>
        <w:t>Preamble</w:t>
      </w:r>
    </w:p>
    <w:p w:rsidR="00397032" w:rsidRPr="00981405" w:rsidRDefault="00397032" w:rsidP="00D97463">
      <w:pPr>
        <w:pStyle w:val="SingleTxt"/>
        <w:ind w:left="1742"/>
      </w:pPr>
      <w:r w:rsidRPr="00981405">
        <w:t>…</w:t>
      </w:r>
    </w:p>
    <w:p w:rsidR="00397032" w:rsidRPr="00981405" w:rsidRDefault="00AD4831" w:rsidP="00D97463">
      <w:pPr>
        <w:pStyle w:val="SingleTxt"/>
        <w:ind w:left="1742"/>
      </w:pPr>
      <w:r>
        <w:rPr>
          <w:i/>
          <w:iCs/>
        </w:rPr>
        <w:tab/>
      </w:r>
      <w:r w:rsidR="00397032" w:rsidRPr="00D97463">
        <w:rPr>
          <w:i/>
          <w:iCs/>
        </w:rPr>
        <w:t>Acknowledging</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atmosphere</w:t>
      </w:r>
      <w:r w:rsidR="00190923" w:rsidRPr="00981405">
        <w:t xml:space="preserve"> </w:t>
      </w:r>
      <w:r w:rsidR="00397032" w:rsidRPr="00981405">
        <w:t>is</w:t>
      </w:r>
      <w:r w:rsidR="00190923" w:rsidRPr="00981405">
        <w:t xml:space="preserve"> </w:t>
      </w:r>
      <w:r w:rsidR="00397032" w:rsidRPr="00981405">
        <w:t>essential</w:t>
      </w:r>
      <w:r w:rsidR="00190923" w:rsidRPr="00981405">
        <w:t xml:space="preserve"> </w:t>
      </w:r>
      <w:r w:rsidR="00397032" w:rsidRPr="00981405">
        <w:t>for</w:t>
      </w:r>
      <w:r w:rsidR="00190923" w:rsidRPr="00981405">
        <w:t xml:space="preserve"> </w:t>
      </w:r>
      <w:r w:rsidR="00397032" w:rsidRPr="00981405">
        <w:t>sustaining</w:t>
      </w:r>
      <w:r w:rsidR="00190923" w:rsidRPr="00981405">
        <w:t xml:space="preserve"> </w:t>
      </w:r>
      <w:r w:rsidR="00397032" w:rsidRPr="00981405">
        <w:t>life</w:t>
      </w:r>
      <w:r w:rsidR="00190923" w:rsidRPr="00981405">
        <w:t xml:space="preserve"> </w:t>
      </w:r>
      <w:r w:rsidR="00397032" w:rsidRPr="00981405">
        <w:t>on</w:t>
      </w:r>
      <w:r w:rsidR="00190923" w:rsidRPr="00981405">
        <w:t xml:space="preserve"> </w:t>
      </w:r>
      <w:r w:rsidR="00397032" w:rsidRPr="00981405">
        <w:t>Earth,</w:t>
      </w:r>
      <w:r w:rsidR="00190923" w:rsidRPr="00981405">
        <w:t xml:space="preserve"> </w:t>
      </w:r>
      <w:r w:rsidR="00397032" w:rsidRPr="00981405">
        <w:t>human</w:t>
      </w:r>
      <w:r w:rsidR="00190923" w:rsidRPr="00981405">
        <w:t xml:space="preserve"> </w:t>
      </w:r>
      <w:r w:rsidR="00397032" w:rsidRPr="00981405">
        <w:t>health</w:t>
      </w:r>
      <w:r w:rsidR="00190923" w:rsidRPr="00981405">
        <w:t xml:space="preserve"> </w:t>
      </w:r>
      <w:r w:rsidR="00397032" w:rsidRPr="00981405">
        <w:t>and</w:t>
      </w:r>
      <w:r w:rsidR="00190923" w:rsidRPr="00981405">
        <w:t xml:space="preserve"> </w:t>
      </w:r>
      <w:r w:rsidR="00397032" w:rsidRPr="00981405">
        <w:t>welfare,</w:t>
      </w:r>
      <w:r w:rsidR="00190923" w:rsidRPr="00981405">
        <w:t xml:space="preserve"> </w:t>
      </w:r>
      <w:r w:rsidR="00397032" w:rsidRPr="00981405">
        <w:t>and</w:t>
      </w:r>
      <w:r w:rsidR="00190923" w:rsidRPr="00981405">
        <w:t xml:space="preserve"> </w:t>
      </w:r>
      <w:r w:rsidR="00397032" w:rsidRPr="00981405">
        <w:t>aquatic</w:t>
      </w:r>
      <w:r w:rsidR="00190923" w:rsidRPr="00981405">
        <w:t xml:space="preserve"> </w:t>
      </w:r>
      <w:r w:rsidR="00397032" w:rsidRPr="00981405">
        <w:t>and</w:t>
      </w:r>
      <w:r w:rsidR="00190923" w:rsidRPr="00981405">
        <w:t xml:space="preserve"> </w:t>
      </w:r>
      <w:r w:rsidR="00397032" w:rsidRPr="00981405">
        <w:t>terrestrial</w:t>
      </w:r>
      <w:r w:rsidR="00190923" w:rsidRPr="00981405">
        <w:t xml:space="preserve"> </w:t>
      </w:r>
      <w:r w:rsidR="00397032" w:rsidRPr="00981405">
        <w:t>ecosystems,</w:t>
      </w:r>
    </w:p>
    <w:p w:rsidR="00397032" w:rsidRPr="00981405" w:rsidRDefault="00AD4831" w:rsidP="00D97463">
      <w:pPr>
        <w:pStyle w:val="SingleTxt"/>
        <w:ind w:left="1742"/>
      </w:pPr>
      <w:r>
        <w:rPr>
          <w:i/>
          <w:iCs/>
        </w:rPr>
        <w:tab/>
      </w:r>
      <w:r w:rsidR="00397032" w:rsidRPr="00D97463">
        <w:rPr>
          <w:i/>
          <w:iCs/>
        </w:rPr>
        <w:t>Bearing</w:t>
      </w:r>
      <w:r w:rsidR="00190923" w:rsidRPr="00981405">
        <w:rPr>
          <w:i/>
          <w:iCs/>
        </w:rPr>
        <w:t xml:space="preserve"> </w:t>
      </w:r>
      <w:r w:rsidR="00397032" w:rsidRPr="00D97463">
        <w:rPr>
          <w:i/>
          <w:iCs/>
        </w:rPr>
        <w:t>in</w:t>
      </w:r>
      <w:r w:rsidR="00190923" w:rsidRPr="00981405">
        <w:rPr>
          <w:i/>
          <w:iCs/>
        </w:rPr>
        <w:t xml:space="preserve"> </w:t>
      </w:r>
      <w:r w:rsidR="00397032" w:rsidRPr="00D97463">
        <w:rPr>
          <w:i/>
          <w:iCs/>
        </w:rPr>
        <w:t>mind</w:t>
      </w:r>
      <w:r w:rsidR="00190923" w:rsidRPr="00981405">
        <w:rPr>
          <w:i/>
          <w:iCs/>
        </w:rPr>
        <w:t xml:space="preserve"> </w:t>
      </w:r>
      <w:r w:rsidR="00397032" w:rsidRPr="00981405">
        <w:t>that</w:t>
      </w:r>
      <w:r w:rsidR="00190923" w:rsidRPr="00981405">
        <w:t xml:space="preserve"> </w:t>
      </w:r>
      <w:r w:rsidR="00397032" w:rsidRPr="00981405">
        <w:t>the</w:t>
      </w:r>
      <w:r w:rsidR="00190923" w:rsidRPr="00981405">
        <w:t xml:space="preserve"> </w:t>
      </w:r>
      <w:r w:rsidR="00397032" w:rsidRPr="00981405">
        <w:t>transport</w:t>
      </w:r>
      <w:r w:rsidR="00190923" w:rsidRPr="00981405">
        <w:t xml:space="preserve"> </w:t>
      </w:r>
      <w:r w:rsidR="00397032" w:rsidRPr="00981405">
        <w:t>and</w:t>
      </w:r>
      <w:r w:rsidR="00190923" w:rsidRPr="00981405">
        <w:t xml:space="preserve"> </w:t>
      </w:r>
      <w:r w:rsidR="00397032" w:rsidRPr="00981405">
        <w:t>dispersion</w:t>
      </w:r>
      <w:r w:rsidR="00190923" w:rsidRPr="00981405">
        <w:t xml:space="preserve"> </w:t>
      </w:r>
      <w:r w:rsidR="00397032" w:rsidRPr="00981405">
        <w:t>of</w:t>
      </w:r>
      <w:r w:rsidR="00190923" w:rsidRPr="00981405">
        <w:t xml:space="preserve"> </w:t>
      </w:r>
      <w:r w:rsidR="00397032" w:rsidRPr="00981405">
        <w:t>polluting</w:t>
      </w:r>
      <w:r w:rsidR="00190923" w:rsidRPr="00981405">
        <w:t xml:space="preserve"> </w:t>
      </w:r>
      <w:r w:rsidR="00397032" w:rsidRPr="00981405">
        <w:t>and</w:t>
      </w:r>
      <w:r w:rsidR="00190923" w:rsidRPr="00981405">
        <w:t xml:space="preserve"> </w:t>
      </w:r>
      <w:r w:rsidR="00397032" w:rsidRPr="00981405">
        <w:t>degrading</w:t>
      </w:r>
      <w:r w:rsidR="00190923" w:rsidRPr="00981405">
        <w:t xml:space="preserve"> </w:t>
      </w:r>
      <w:r w:rsidR="00397032" w:rsidRPr="00981405">
        <w:t>substances</w:t>
      </w:r>
      <w:r w:rsidR="00190923" w:rsidRPr="00981405">
        <w:t xml:space="preserve"> </w:t>
      </w:r>
      <w:r w:rsidR="00397032" w:rsidRPr="00981405">
        <w:t>occur</w:t>
      </w:r>
      <w:r w:rsidR="00190923" w:rsidRPr="00981405">
        <w:t xml:space="preserve"> </w:t>
      </w:r>
      <w:r w:rsidR="00397032" w:rsidRPr="00981405">
        <w:t>within</w:t>
      </w:r>
      <w:r w:rsidR="00190923" w:rsidRPr="00981405">
        <w:t xml:space="preserve"> </w:t>
      </w:r>
      <w:r w:rsidR="00397032" w:rsidRPr="00981405">
        <w:t>the</w:t>
      </w:r>
      <w:r w:rsidR="00190923" w:rsidRPr="00981405">
        <w:t xml:space="preserve"> </w:t>
      </w:r>
      <w:r w:rsidR="00397032" w:rsidRPr="00981405">
        <w:t>atmosphere,</w:t>
      </w:r>
    </w:p>
    <w:p w:rsidR="00397032" w:rsidRPr="00981405" w:rsidRDefault="00AD4831" w:rsidP="00D97463">
      <w:pPr>
        <w:pStyle w:val="SingleTxt"/>
        <w:ind w:left="1742"/>
      </w:pPr>
      <w:r>
        <w:rPr>
          <w:i/>
          <w:iCs/>
        </w:rPr>
        <w:tab/>
      </w:r>
      <w:r w:rsidR="00397032" w:rsidRPr="00D97463">
        <w:rPr>
          <w:i/>
          <w:iCs/>
        </w:rPr>
        <w:t>Recognising</w:t>
      </w:r>
      <w:r w:rsidR="00190923" w:rsidRPr="00981405">
        <w:rPr>
          <w:i/>
          <w:iCs/>
        </w:rPr>
        <w:t xml:space="preserve"> </w:t>
      </w:r>
      <w:r w:rsidR="00397032" w:rsidRPr="00D97463">
        <w:rPr>
          <w:i/>
          <w:iCs/>
        </w:rPr>
        <w:t>therefore</w:t>
      </w:r>
      <w:r w:rsidR="00190923" w:rsidRPr="00981405">
        <w:rPr>
          <w:i/>
          <w:iCs/>
        </w:rPr>
        <w:t xml:space="preserve"> </w:t>
      </w:r>
      <w:r w:rsidR="00397032" w:rsidRPr="00981405">
        <w:t>that</w:t>
      </w:r>
      <w:r w:rsidR="00190923" w:rsidRPr="00981405">
        <w:t xml:space="preserve"> </w:t>
      </w:r>
      <w:r w:rsidR="00397032" w:rsidRPr="00981405">
        <w:t>the</w:t>
      </w:r>
      <w:r w:rsidR="00190923" w:rsidRPr="00981405">
        <w:t xml:space="preserve"> </w:t>
      </w:r>
      <w:r w:rsidR="00397032" w:rsidRPr="00981405">
        <w:t>protection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atmosphere</w:t>
      </w:r>
      <w:r w:rsidR="00190923" w:rsidRPr="00981405">
        <w:t xml:space="preserve"> </w:t>
      </w:r>
      <w:r w:rsidR="00397032" w:rsidRPr="00981405">
        <w:t>from</w:t>
      </w:r>
      <w:r w:rsidR="00190923" w:rsidRPr="00981405">
        <w:t xml:space="preserve"> </w:t>
      </w:r>
      <w:r w:rsidR="00397032" w:rsidRPr="00981405">
        <w:t>atmospheric</w:t>
      </w:r>
      <w:r w:rsidR="00190923" w:rsidRPr="00981405">
        <w:t xml:space="preserve"> </w:t>
      </w:r>
      <w:r w:rsidR="00397032" w:rsidRPr="00981405">
        <w:t>pollution</w:t>
      </w:r>
      <w:r w:rsidR="00190923" w:rsidRPr="00981405">
        <w:t xml:space="preserve"> </w:t>
      </w:r>
      <w:r w:rsidR="00397032" w:rsidRPr="00981405">
        <w:t>and</w:t>
      </w:r>
      <w:r w:rsidR="00190923" w:rsidRPr="00981405">
        <w:t xml:space="preserve"> </w:t>
      </w:r>
      <w:r w:rsidR="00397032" w:rsidRPr="00981405">
        <w:t>atmospheric</w:t>
      </w:r>
      <w:r w:rsidR="00190923" w:rsidRPr="00981405">
        <w:t xml:space="preserve"> </w:t>
      </w:r>
      <w:r w:rsidR="00397032" w:rsidRPr="00981405">
        <w:t>degradation</w:t>
      </w:r>
      <w:r w:rsidR="00190923" w:rsidRPr="00981405">
        <w:t xml:space="preserve"> </w:t>
      </w:r>
      <w:r w:rsidR="00397032" w:rsidRPr="00981405">
        <w:t>is</w:t>
      </w:r>
      <w:r w:rsidR="00190923" w:rsidRPr="00981405">
        <w:t xml:space="preserve"> </w:t>
      </w:r>
      <w:r w:rsidR="00397032" w:rsidRPr="00981405">
        <w:t>a</w:t>
      </w:r>
      <w:r w:rsidR="00190923" w:rsidRPr="00981405">
        <w:t xml:space="preserve"> </w:t>
      </w:r>
      <w:r w:rsidR="00397032" w:rsidRPr="00981405">
        <w:t>pressing</w:t>
      </w:r>
      <w:r w:rsidR="00190923" w:rsidRPr="00981405">
        <w:t xml:space="preserve"> </w:t>
      </w:r>
      <w:r w:rsidR="00397032" w:rsidRPr="00981405">
        <w:t>concern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international</w:t>
      </w:r>
      <w:r w:rsidR="00190923" w:rsidRPr="00981405">
        <w:t xml:space="preserve"> </w:t>
      </w:r>
      <w:r w:rsidR="00397032" w:rsidRPr="00981405">
        <w:t>community</w:t>
      </w:r>
      <w:r w:rsidR="00190923" w:rsidRPr="00981405">
        <w:t xml:space="preserve"> </w:t>
      </w:r>
      <w:r w:rsidR="00397032" w:rsidRPr="00981405">
        <w:t>as</w:t>
      </w:r>
      <w:r w:rsidR="00190923" w:rsidRPr="00981405">
        <w:t xml:space="preserve"> </w:t>
      </w:r>
      <w:r w:rsidR="00397032" w:rsidRPr="00981405">
        <w:t>a</w:t>
      </w:r>
      <w:r w:rsidR="00190923" w:rsidRPr="00981405">
        <w:t xml:space="preserve"> </w:t>
      </w:r>
      <w:r w:rsidR="00397032" w:rsidRPr="00981405">
        <w:t>whole,</w:t>
      </w:r>
    </w:p>
    <w:p w:rsidR="00397032" w:rsidRPr="00981405" w:rsidRDefault="00AD4831" w:rsidP="00D97463">
      <w:pPr>
        <w:pStyle w:val="SingleTxt"/>
        <w:ind w:left="1742"/>
      </w:pPr>
      <w:r>
        <w:rPr>
          <w:i/>
          <w:iCs/>
        </w:rPr>
        <w:tab/>
      </w:r>
      <w:r w:rsidR="00397032" w:rsidRPr="00D97463">
        <w:rPr>
          <w:i/>
          <w:iCs/>
        </w:rPr>
        <w:t>Recalling</w:t>
      </w:r>
      <w:r w:rsidR="00190923" w:rsidRPr="00981405">
        <w:t xml:space="preserve"> </w:t>
      </w:r>
      <w:r w:rsidR="00397032" w:rsidRPr="00981405">
        <w:t>that</w:t>
      </w:r>
      <w:r w:rsidR="00190923" w:rsidRPr="00981405">
        <w:t xml:space="preserve"> </w:t>
      </w:r>
      <w:r w:rsidR="00397032" w:rsidRPr="00981405">
        <w:t>these</w:t>
      </w:r>
      <w:r w:rsidR="00190923" w:rsidRPr="00981405">
        <w:t xml:space="preserve"> </w:t>
      </w:r>
      <w:r w:rsidR="00397032" w:rsidRPr="00981405">
        <w:t>draft</w:t>
      </w:r>
      <w:r w:rsidR="00190923" w:rsidRPr="00981405">
        <w:t xml:space="preserve"> </w:t>
      </w:r>
      <w:r w:rsidR="00397032" w:rsidRPr="00981405">
        <w:t>guidelines</w:t>
      </w:r>
      <w:r w:rsidR="00190923" w:rsidRPr="00981405">
        <w:t xml:space="preserve"> </w:t>
      </w:r>
      <w:r w:rsidR="00397032" w:rsidRPr="00981405">
        <w:t>are</w:t>
      </w:r>
      <w:r w:rsidR="00190923" w:rsidRPr="00981405">
        <w:t xml:space="preserve"> </w:t>
      </w:r>
      <w:r w:rsidR="00397032" w:rsidRPr="00981405">
        <w:t>not</w:t>
      </w:r>
      <w:r w:rsidR="00190923" w:rsidRPr="00981405">
        <w:t xml:space="preserve"> </w:t>
      </w:r>
      <w:r w:rsidR="00397032" w:rsidRPr="00981405">
        <w:t>to</w:t>
      </w:r>
      <w:r w:rsidR="00190923" w:rsidRPr="00981405">
        <w:t xml:space="preserve"> </w:t>
      </w:r>
      <w:r w:rsidR="00397032" w:rsidRPr="00981405">
        <w:t>interfere</w:t>
      </w:r>
      <w:r w:rsidR="00190923" w:rsidRPr="00981405">
        <w:t xml:space="preserve"> </w:t>
      </w:r>
      <w:r w:rsidR="00397032" w:rsidRPr="00981405">
        <w:t>with</w:t>
      </w:r>
      <w:r w:rsidR="00190923" w:rsidRPr="00981405">
        <w:t xml:space="preserve"> </w:t>
      </w:r>
      <w:r w:rsidR="00397032" w:rsidRPr="00981405">
        <w:t>relevant</w:t>
      </w:r>
      <w:r w:rsidR="00190923" w:rsidRPr="00981405">
        <w:t xml:space="preserve"> </w:t>
      </w:r>
      <w:r w:rsidR="00397032" w:rsidRPr="00981405">
        <w:t>political</w:t>
      </w:r>
      <w:r w:rsidR="00190923" w:rsidRPr="00981405">
        <w:t xml:space="preserve"> </w:t>
      </w:r>
      <w:r w:rsidR="00397032" w:rsidRPr="00981405">
        <w:t>negotiations,</w:t>
      </w:r>
      <w:r w:rsidR="00190923" w:rsidRPr="00981405">
        <w:t xml:space="preserve"> </w:t>
      </w:r>
      <w:r w:rsidR="00397032" w:rsidRPr="00981405">
        <w:t>including</w:t>
      </w:r>
      <w:r w:rsidR="00190923" w:rsidRPr="00981405">
        <w:t xml:space="preserve"> </w:t>
      </w:r>
      <w:r w:rsidR="00397032" w:rsidRPr="00981405">
        <w:t>those</w:t>
      </w:r>
      <w:r w:rsidR="00190923" w:rsidRPr="00981405">
        <w:t xml:space="preserve"> </w:t>
      </w:r>
      <w:r w:rsidR="00397032" w:rsidRPr="00981405">
        <w:t>on</w:t>
      </w:r>
      <w:r w:rsidR="00190923" w:rsidRPr="00981405">
        <w:t xml:space="preserve"> </w:t>
      </w:r>
      <w:r w:rsidR="00397032" w:rsidRPr="00981405">
        <w:t>climate</w:t>
      </w:r>
      <w:r w:rsidR="00190923" w:rsidRPr="00981405">
        <w:t xml:space="preserve"> </w:t>
      </w:r>
      <w:r w:rsidR="00397032" w:rsidRPr="00981405">
        <w:t>change,</w:t>
      </w:r>
      <w:r w:rsidR="00190923" w:rsidRPr="00981405">
        <w:t xml:space="preserve"> </w:t>
      </w:r>
      <w:r w:rsidR="00397032" w:rsidRPr="00981405">
        <w:t>ozone</w:t>
      </w:r>
      <w:r w:rsidR="00190923" w:rsidRPr="00981405">
        <w:t xml:space="preserve"> </w:t>
      </w:r>
      <w:r w:rsidR="00397032" w:rsidRPr="00981405">
        <w:t>depletion,</w:t>
      </w:r>
      <w:r w:rsidR="00190923" w:rsidRPr="00981405">
        <w:t xml:space="preserve"> </w:t>
      </w:r>
      <w:r w:rsidR="00397032" w:rsidRPr="00981405">
        <w:t>and</w:t>
      </w:r>
      <w:r w:rsidR="00190923" w:rsidRPr="00981405">
        <w:t xml:space="preserve"> </w:t>
      </w:r>
      <w:r w:rsidR="00397032" w:rsidRPr="00981405">
        <w:t>long-range</w:t>
      </w:r>
      <w:r w:rsidR="00190923" w:rsidRPr="00981405">
        <w:t xml:space="preserve"> </w:t>
      </w:r>
      <w:r w:rsidR="00397032" w:rsidRPr="00981405">
        <w:t>transboundary</w:t>
      </w:r>
      <w:r w:rsidR="00190923" w:rsidRPr="00981405">
        <w:t xml:space="preserve"> </w:t>
      </w:r>
      <w:r w:rsidR="00397032" w:rsidRPr="00981405">
        <w:t>air</w:t>
      </w:r>
      <w:r w:rsidR="00190923" w:rsidRPr="00981405">
        <w:t xml:space="preserve"> </w:t>
      </w:r>
      <w:r w:rsidR="00397032" w:rsidRPr="00981405">
        <w:t>pollution,</w:t>
      </w:r>
      <w:r w:rsidR="00190923" w:rsidRPr="00981405">
        <w:t xml:space="preserve"> </w:t>
      </w:r>
      <w:r w:rsidR="00397032" w:rsidRPr="00981405">
        <w:t>and</w:t>
      </w:r>
      <w:r w:rsidR="00190923" w:rsidRPr="00981405">
        <w:t xml:space="preserve"> </w:t>
      </w:r>
      <w:r w:rsidR="00397032" w:rsidRPr="00981405">
        <w:t>that</w:t>
      </w:r>
      <w:r w:rsidR="00190923" w:rsidRPr="00981405">
        <w:t xml:space="preserve"> </w:t>
      </w:r>
      <w:r w:rsidR="00397032" w:rsidRPr="00981405">
        <w:t>they</w:t>
      </w:r>
      <w:r w:rsidR="00190923" w:rsidRPr="00981405">
        <w:t xml:space="preserve"> </w:t>
      </w:r>
      <w:r w:rsidR="00397032" w:rsidRPr="00981405">
        <w:t>also</w:t>
      </w:r>
      <w:r w:rsidR="00190923" w:rsidRPr="00981405">
        <w:t xml:space="preserve"> </w:t>
      </w:r>
      <w:r w:rsidR="00397032" w:rsidRPr="00981405">
        <w:t>neither</w:t>
      </w:r>
      <w:r w:rsidR="00190923" w:rsidRPr="00981405">
        <w:t xml:space="preserve"> </w:t>
      </w:r>
      <w:r w:rsidR="00397032" w:rsidRPr="00981405">
        <w:t>seek</w:t>
      </w:r>
      <w:r w:rsidR="00190923" w:rsidRPr="00981405">
        <w:t xml:space="preserve"> </w:t>
      </w:r>
      <w:r w:rsidR="00397032" w:rsidRPr="00981405">
        <w:t>to</w:t>
      </w:r>
      <w:r w:rsidR="00190923" w:rsidRPr="00981405">
        <w:t xml:space="preserve"> </w:t>
      </w:r>
      <w:r w:rsidR="00B92E2C" w:rsidRPr="00981405">
        <w:t>“</w:t>
      </w:r>
      <w:r w:rsidR="00397032" w:rsidRPr="00981405">
        <w:t>fill</w:t>
      </w:r>
      <w:r w:rsidR="00B92E2C" w:rsidRPr="00981405">
        <w:t>”</w:t>
      </w:r>
      <w:r w:rsidR="00190923" w:rsidRPr="00981405">
        <w:t xml:space="preserve"> </w:t>
      </w:r>
      <w:r w:rsidR="00397032" w:rsidRPr="00981405">
        <w:t>gaps</w:t>
      </w:r>
      <w:r w:rsidR="00190923" w:rsidRPr="00981405">
        <w:t xml:space="preserve"> </w:t>
      </w:r>
      <w:r w:rsidR="00397032" w:rsidRPr="00981405">
        <w:t>in</w:t>
      </w:r>
      <w:r w:rsidR="00190923" w:rsidRPr="00981405">
        <w:t xml:space="preserve"> </w:t>
      </w:r>
      <w:r w:rsidR="00397032" w:rsidRPr="00981405">
        <w:t>treaty</w:t>
      </w:r>
      <w:r w:rsidR="00190923" w:rsidRPr="00981405">
        <w:t xml:space="preserve"> </w:t>
      </w:r>
      <w:r w:rsidR="00397032" w:rsidRPr="00981405">
        <w:t>regimes</w:t>
      </w:r>
      <w:r w:rsidR="00190923" w:rsidRPr="00981405">
        <w:t xml:space="preserve"> </w:t>
      </w:r>
      <w:r w:rsidR="00397032" w:rsidRPr="00981405">
        <w:t>nor</w:t>
      </w:r>
      <w:r w:rsidR="00190923" w:rsidRPr="00981405">
        <w:t xml:space="preserve"> </w:t>
      </w:r>
      <w:r w:rsidR="00397032" w:rsidRPr="00981405">
        <w:t>impose</w:t>
      </w:r>
      <w:r w:rsidR="00190923" w:rsidRPr="00981405">
        <w:t xml:space="preserve"> </w:t>
      </w:r>
      <w:r w:rsidR="00397032" w:rsidRPr="00981405">
        <w:t>on</w:t>
      </w:r>
      <w:r w:rsidR="00190923" w:rsidRPr="00981405">
        <w:t xml:space="preserve"> </w:t>
      </w:r>
      <w:r w:rsidR="00397032" w:rsidRPr="00981405">
        <w:t>current</w:t>
      </w:r>
      <w:r w:rsidR="00190923" w:rsidRPr="00981405">
        <w:t xml:space="preserve"> </w:t>
      </w:r>
      <w:r w:rsidR="00397032" w:rsidRPr="00981405">
        <w:t>treaty</w:t>
      </w:r>
      <w:r w:rsidR="00190923" w:rsidRPr="00981405">
        <w:t xml:space="preserve"> </w:t>
      </w:r>
      <w:r w:rsidR="00397032" w:rsidRPr="00981405">
        <w:t>regimes</w:t>
      </w:r>
      <w:r w:rsidR="00190923" w:rsidRPr="00981405">
        <w:t xml:space="preserve"> </w:t>
      </w:r>
      <w:r w:rsidR="00397032" w:rsidRPr="00981405">
        <w:t>legal</w:t>
      </w:r>
      <w:r w:rsidR="00190923" w:rsidRPr="00981405">
        <w:t xml:space="preserve"> </w:t>
      </w:r>
      <w:r w:rsidR="00397032" w:rsidRPr="00981405">
        <w:t>rules</w:t>
      </w:r>
      <w:r w:rsidR="00190923" w:rsidRPr="00981405">
        <w:t xml:space="preserve"> </w:t>
      </w:r>
      <w:r w:rsidR="00397032" w:rsidRPr="00981405">
        <w:t>or</w:t>
      </w:r>
      <w:r w:rsidR="00190923" w:rsidRPr="00981405">
        <w:t xml:space="preserve"> </w:t>
      </w:r>
      <w:r w:rsidR="00397032" w:rsidRPr="00981405">
        <w:t>legal</w:t>
      </w:r>
      <w:r w:rsidR="00190923" w:rsidRPr="00981405">
        <w:t xml:space="preserve"> </w:t>
      </w:r>
      <w:r w:rsidR="00397032" w:rsidRPr="00981405">
        <w:t>principles</w:t>
      </w:r>
      <w:r w:rsidR="00190923" w:rsidRPr="00981405">
        <w:t xml:space="preserve"> </w:t>
      </w:r>
      <w:r w:rsidR="00397032" w:rsidRPr="00981405">
        <w:t>not</w:t>
      </w:r>
      <w:r w:rsidR="00190923" w:rsidRPr="00981405">
        <w:t xml:space="preserve"> </w:t>
      </w:r>
      <w:r w:rsidR="00397032" w:rsidRPr="00981405">
        <w:t>already</w:t>
      </w:r>
      <w:r w:rsidR="00190923" w:rsidRPr="00981405">
        <w:t xml:space="preserve"> </w:t>
      </w:r>
      <w:r w:rsidR="00397032" w:rsidRPr="00981405">
        <w:t>contained</w:t>
      </w:r>
      <w:r w:rsidR="00190923" w:rsidRPr="00981405">
        <w:t xml:space="preserve"> </w:t>
      </w:r>
      <w:r w:rsidR="00397032" w:rsidRPr="00981405">
        <w:t>therein,</w:t>
      </w:r>
      <w:r w:rsidR="00397032" w:rsidRPr="00981405">
        <w:rPr>
          <w:rStyle w:val="FootnoteReference"/>
        </w:rPr>
        <w:footnoteReference w:id="19"/>
      </w:r>
    </w:p>
    <w:p w:rsidR="00397032" w:rsidRPr="00981405" w:rsidRDefault="00397032" w:rsidP="00D97463">
      <w:pPr>
        <w:pStyle w:val="SingleTxt"/>
        <w:ind w:left="1742"/>
      </w:pPr>
      <w:r w:rsidRPr="00981405">
        <w:t>[Some</w:t>
      </w:r>
      <w:r w:rsidR="00190923" w:rsidRPr="00981405">
        <w:t xml:space="preserve"> </w:t>
      </w:r>
      <w:r w:rsidRPr="00981405">
        <w:t>other</w:t>
      </w:r>
      <w:r w:rsidR="00190923" w:rsidRPr="00981405">
        <w:t xml:space="preserve"> </w:t>
      </w:r>
      <w:r w:rsidRPr="00981405">
        <w:t>paragraphs</w:t>
      </w:r>
      <w:r w:rsidR="00190923" w:rsidRPr="00981405">
        <w:t xml:space="preserve"> </w:t>
      </w:r>
      <w:r w:rsidRPr="00981405">
        <w:t>may</w:t>
      </w:r>
      <w:r w:rsidR="00190923" w:rsidRPr="00981405">
        <w:t xml:space="preserve"> </w:t>
      </w:r>
      <w:r w:rsidRPr="00981405">
        <w:t>be</w:t>
      </w:r>
      <w:r w:rsidR="00190923" w:rsidRPr="00981405">
        <w:t xml:space="preserve"> </w:t>
      </w:r>
      <w:r w:rsidRPr="00981405">
        <w:t>added,</w:t>
      </w:r>
      <w:r w:rsidR="00190923" w:rsidRPr="00981405">
        <w:t xml:space="preserve"> </w:t>
      </w:r>
      <w:r w:rsidRPr="00981405">
        <w:t>and</w:t>
      </w:r>
      <w:r w:rsidR="00190923" w:rsidRPr="00981405">
        <w:t xml:space="preserve"> </w:t>
      </w:r>
      <w:r w:rsidRPr="00981405">
        <w:t>the</w:t>
      </w:r>
      <w:r w:rsidR="00190923" w:rsidRPr="00981405">
        <w:t xml:space="preserve"> </w:t>
      </w:r>
      <w:r w:rsidRPr="00981405">
        <w:t>order</w:t>
      </w:r>
      <w:r w:rsidR="00190923" w:rsidRPr="00981405">
        <w:t xml:space="preserve"> </w:t>
      </w:r>
      <w:r w:rsidRPr="00981405">
        <w:t>of</w:t>
      </w:r>
      <w:r w:rsidR="00190923" w:rsidRPr="00981405">
        <w:t xml:space="preserve"> </w:t>
      </w:r>
      <w:r w:rsidRPr="00981405">
        <w:t>paragraphs</w:t>
      </w:r>
      <w:r w:rsidR="00190923" w:rsidRPr="00981405">
        <w:t xml:space="preserve"> </w:t>
      </w:r>
      <w:r w:rsidRPr="00981405">
        <w:t>may</w:t>
      </w:r>
      <w:r w:rsidR="00190923" w:rsidRPr="00981405">
        <w:t xml:space="preserve"> </w:t>
      </w:r>
      <w:r w:rsidRPr="00981405">
        <w:t>be</w:t>
      </w:r>
      <w:r w:rsidR="00190923" w:rsidRPr="00981405">
        <w:t xml:space="preserve"> </w:t>
      </w:r>
      <w:r w:rsidRPr="00981405">
        <w:t>coordinated,</w:t>
      </w:r>
      <w:r w:rsidR="00190923" w:rsidRPr="00981405">
        <w:t xml:space="preserve"> </w:t>
      </w:r>
      <w:r w:rsidRPr="00981405">
        <w:t>at</w:t>
      </w:r>
      <w:r w:rsidR="00190923" w:rsidRPr="00981405">
        <w:t xml:space="preserve"> </w:t>
      </w:r>
      <w:r w:rsidRPr="00981405">
        <w:t>a</w:t>
      </w:r>
      <w:r w:rsidR="00190923" w:rsidRPr="00981405">
        <w:t xml:space="preserve"> </w:t>
      </w:r>
      <w:r w:rsidRPr="00981405">
        <w:t>later</w:t>
      </w:r>
      <w:r w:rsidR="00190923" w:rsidRPr="00981405">
        <w:t xml:space="preserve"> </w:t>
      </w:r>
      <w:r w:rsidRPr="00981405">
        <w:t>stage.]</w:t>
      </w:r>
    </w:p>
    <w:p w:rsidR="00397032" w:rsidRPr="00981405" w:rsidRDefault="00397032" w:rsidP="00D97463">
      <w:pPr>
        <w:pStyle w:val="SingleTxt"/>
        <w:ind w:left="1742"/>
      </w:pPr>
      <w:r w:rsidRPr="00981405">
        <w:t>…</w:t>
      </w:r>
    </w:p>
    <w:p w:rsidR="002F65A0" w:rsidRPr="00D97463" w:rsidRDefault="002F65A0"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28" w:name="_Toc427938089"/>
      <w:r w:rsidRPr="00D97463">
        <w:t>Commentary</w:t>
      </w:r>
      <w:bookmarkEnd w:id="28"/>
    </w:p>
    <w:p w:rsidR="002F65A0" w:rsidRPr="00D97463" w:rsidRDefault="002F65A0" w:rsidP="00D97463">
      <w:pPr>
        <w:pStyle w:val="SingleTxt"/>
        <w:spacing w:after="0" w:line="120" w:lineRule="exact"/>
        <w:rPr>
          <w:sz w:val="10"/>
        </w:rPr>
      </w:pPr>
    </w:p>
    <w:p w:rsidR="00397032" w:rsidRPr="00981405" w:rsidRDefault="00397032" w:rsidP="00D97463">
      <w:pPr>
        <w:pStyle w:val="SingleTxt"/>
      </w:pPr>
      <w:r w:rsidRPr="00981405">
        <w:t>(1)</w:t>
      </w:r>
      <w:r w:rsidRPr="00981405">
        <w:tab/>
        <w:t>On</w:t>
      </w:r>
      <w:r w:rsidR="00190923" w:rsidRPr="00981405">
        <w:t xml:space="preserve"> </w:t>
      </w:r>
      <w:r w:rsidRPr="00981405">
        <w:t>previous</w:t>
      </w:r>
      <w:r w:rsidR="00190923" w:rsidRPr="00981405">
        <w:t xml:space="preserve"> </w:t>
      </w:r>
      <w:r w:rsidRPr="00981405">
        <w:t>occasions,</w:t>
      </w:r>
      <w:r w:rsidR="00190923" w:rsidRPr="00981405">
        <w:t xml:space="preserve"> </w:t>
      </w:r>
      <w:r w:rsidRPr="00981405">
        <w:t>preambles</w:t>
      </w:r>
      <w:r w:rsidR="00190923" w:rsidRPr="00981405">
        <w:t xml:space="preserve"> </w:t>
      </w:r>
      <w:r w:rsidRPr="00981405">
        <w:t>have</w:t>
      </w:r>
      <w:r w:rsidR="00190923" w:rsidRPr="00981405">
        <w:t xml:space="preserve"> </w:t>
      </w:r>
      <w:r w:rsidRPr="00981405">
        <w:t>been</w:t>
      </w:r>
      <w:r w:rsidR="00190923" w:rsidRPr="00981405">
        <w:t xml:space="preserve"> </w:t>
      </w:r>
      <w:r w:rsidRPr="00981405">
        <w:t>prepared</w:t>
      </w:r>
      <w:r w:rsidR="00190923" w:rsidRPr="00981405">
        <w:t xml:space="preserve"> </w:t>
      </w:r>
      <w:r w:rsidRPr="00981405">
        <w:t>once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concluded</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topic.</w:t>
      </w:r>
      <w:r w:rsidRPr="00981405">
        <w:rPr>
          <w:rStyle w:val="FootnoteReference"/>
        </w:rPr>
        <w:footnoteReference w:id="20"/>
      </w:r>
      <w:r w:rsidR="00190923" w:rsidRPr="00981405">
        <w:t xml:space="preserve"> </w:t>
      </w:r>
      <w:r w:rsidRPr="00981405">
        <w:t>In</w:t>
      </w:r>
      <w:r w:rsidR="00190923" w:rsidRPr="00981405">
        <w:t xml:space="preserve"> </w:t>
      </w:r>
      <w:r w:rsidRPr="00981405">
        <w:t>the</w:t>
      </w:r>
      <w:r w:rsidR="00190923" w:rsidRPr="00981405">
        <w:t xml:space="preserve"> </w:t>
      </w:r>
      <w:r w:rsidRPr="00981405">
        <w:t>present</w:t>
      </w:r>
      <w:r w:rsidR="00190923" w:rsidRPr="00981405">
        <w:t xml:space="preserve"> </w:t>
      </w:r>
      <w:r w:rsidRPr="00981405">
        <w:t>case,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referred</w:t>
      </w:r>
      <w:r w:rsidR="00190923" w:rsidRPr="00981405">
        <w:t xml:space="preserve"> </w:t>
      </w:r>
      <w:r w:rsidRPr="00981405">
        <w:lastRenderedPageBreak/>
        <w:t>draft</w:t>
      </w:r>
      <w:r w:rsidR="00190923" w:rsidRPr="00981405">
        <w:t xml:space="preserve"> </w:t>
      </w:r>
      <w:r w:rsidRPr="00981405">
        <w:t>guideline</w:t>
      </w:r>
      <w:r w:rsidR="00190923" w:rsidRPr="00981405">
        <w:t xml:space="preserve"> </w:t>
      </w:r>
      <w:r w:rsidRPr="00981405">
        <w:t>3</w:t>
      </w:r>
      <w:r w:rsidR="00190923" w:rsidRPr="00981405">
        <w:t xml:space="preserve"> </w:t>
      </w:r>
      <w:r w:rsidRPr="00981405">
        <w:t>(on</w:t>
      </w:r>
      <w:r w:rsidR="00190923" w:rsidRPr="00981405">
        <w:t xml:space="preserve"> </w:t>
      </w:r>
      <w:r w:rsidRPr="00981405">
        <w:t>the</w:t>
      </w:r>
      <w:r w:rsidR="00190923" w:rsidRPr="00981405">
        <w:t xml:space="preserve"> </w:t>
      </w:r>
      <w:r w:rsidRPr="00981405">
        <w:t>common</w:t>
      </w:r>
      <w:r w:rsidR="00190923" w:rsidRPr="00981405">
        <w:t xml:space="preserve"> </w:t>
      </w:r>
      <w:r w:rsidRPr="00981405">
        <w:t>concern</w:t>
      </w:r>
      <w:r w:rsidR="00190923" w:rsidRPr="00981405">
        <w:t xml:space="preserve"> </w:t>
      </w:r>
      <w:r w:rsidRPr="00981405">
        <w:t>of</w:t>
      </w:r>
      <w:r w:rsidR="00190923" w:rsidRPr="00981405">
        <w:t xml:space="preserve"> </w:t>
      </w:r>
      <w:r w:rsidRPr="00981405">
        <w:t>humankind),</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second</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for</w:t>
      </w:r>
      <w:r w:rsidR="00190923" w:rsidRPr="00981405">
        <w:t xml:space="preserve"> </w:t>
      </w:r>
      <w:r w:rsidRPr="00981405">
        <w:t>consideration</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w:t>
      </w:r>
      <w:r w:rsidR="00190923" w:rsidRPr="00981405">
        <w:t xml:space="preserve"> </w:t>
      </w:r>
      <w:r w:rsidRPr="00981405">
        <w:t>possible</w:t>
      </w:r>
      <w:r w:rsidR="00190923" w:rsidRPr="00981405">
        <w:t xml:space="preserve"> </w:t>
      </w:r>
      <w:r w:rsidRPr="00981405">
        <w:t>preamble.</w:t>
      </w:r>
      <w:r w:rsidR="00190923" w:rsidRPr="00981405">
        <w:t xml:space="preserve"> </w:t>
      </w:r>
      <w:r w:rsidRPr="00981405">
        <w:t>Accordingly,</w:t>
      </w:r>
      <w:r w:rsidR="00190923" w:rsidRPr="00981405">
        <w:t xml:space="preserve"> </w:t>
      </w:r>
      <w:r w:rsidRPr="00981405">
        <w:t>a</w:t>
      </w:r>
      <w:r w:rsidR="00190923" w:rsidRPr="00981405">
        <w:t xml:space="preserve"> </w:t>
      </w:r>
      <w:r w:rsidRPr="00981405">
        <w:t>preamble</w:t>
      </w:r>
      <w:r w:rsidR="00190923" w:rsidRPr="00981405">
        <w:t xml:space="preserve"> </w:t>
      </w:r>
      <w:r w:rsidRPr="00981405">
        <w:t>was</w:t>
      </w:r>
      <w:r w:rsidR="00190923" w:rsidRPr="00981405">
        <w:t xml:space="preserve"> </w:t>
      </w:r>
      <w:r w:rsidRPr="00981405">
        <w:t>prepared</w:t>
      </w:r>
      <w:r w:rsidR="00190923" w:rsidRPr="00981405">
        <w:t xml:space="preserve"> </w:t>
      </w:r>
      <w:r w:rsidRPr="00981405">
        <w:t>reflecting</w:t>
      </w:r>
      <w:r w:rsidR="00190923" w:rsidRPr="00981405">
        <w:t xml:space="preserve"> </w:t>
      </w:r>
      <w:r w:rsidRPr="00981405">
        <w:t>the</w:t>
      </w:r>
      <w:r w:rsidR="00190923" w:rsidRPr="00981405">
        <w:t xml:space="preserve"> </w:t>
      </w:r>
      <w:r w:rsidRPr="00981405">
        <w:t>current</w:t>
      </w:r>
      <w:r w:rsidR="00190923" w:rsidRPr="00981405">
        <w:t xml:space="preserve"> </w:t>
      </w:r>
      <w:r w:rsidRPr="00981405">
        <w:t>stage</w:t>
      </w:r>
      <w:r w:rsidR="00190923" w:rsidRPr="00981405">
        <w:t xml:space="preserve"> </w:t>
      </w:r>
      <w:r w:rsidRPr="00981405">
        <w:t>of</w:t>
      </w:r>
      <w:r w:rsidR="00190923" w:rsidRPr="00981405">
        <w:t xml:space="preserve"> </w:t>
      </w:r>
      <w:r w:rsidRPr="00981405">
        <w:t>consideration,</w:t>
      </w:r>
      <w:r w:rsidR="00190923" w:rsidRPr="00981405">
        <w:t xml:space="preserve"> </w:t>
      </w:r>
      <w:r w:rsidRPr="00981405">
        <w:t>it</w:t>
      </w:r>
      <w:r w:rsidR="00190923" w:rsidRPr="00981405">
        <w:t xml:space="preserve"> </w:t>
      </w:r>
      <w:r w:rsidRPr="00981405">
        <w:t>being</w:t>
      </w:r>
      <w:r w:rsidR="00190923" w:rsidRPr="00981405">
        <w:t xml:space="preserve"> </w:t>
      </w:r>
      <w:r w:rsidRPr="00981405">
        <w:t>understood</w:t>
      </w:r>
      <w:r w:rsidR="00190923" w:rsidRPr="00981405">
        <w:t xml:space="preserve"> </w:t>
      </w:r>
      <w:r w:rsidRPr="00981405">
        <w:t>that</w:t>
      </w:r>
      <w:r w:rsidR="00190923" w:rsidRPr="00981405">
        <w:t xml:space="preserve"> </w:t>
      </w:r>
      <w:r w:rsidRPr="00981405">
        <w:t>there</w:t>
      </w:r>
      <w:r w:rsidR="00190923" w:rsidRPr="00981405">
        <w:t xml:space="preserve"> </w:t>
      </w:r>
      <w:r w:rsidRPr="00981405">
        <w:t>may</w:t>
      </w:r>
      <w:r w:rsidR="00190923" w:rsidRPr="00981405">
        <w:t xml:space="preserve"> </w:t>
      </w:r>
      <w:r w:rsidRPr="00981405">
        <w:t>be</w:t>
      </w:r>
      <w:r w:rsidR="00190923" w:rsidRPr="00981405">
        <w:t xml:space="preserve"> </w:t>
      </w:r>
      <w:r w:rsidRPr="00981405">
        <w:t>additional</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as</w:t>
      </w:r>
      <w:r w:rsidR="00190923" w:rsidRPr="00981405">
        <w:t xml:space="preserve"> </w:t>
      </w:r>
      <w:r w:rsidRPr="00981405">
        <w:t>the</w:t>
      </w:r>
      <w:r w:rsidR="00190923" w:rsidRPr="00981405">
        <w:t xml:space="preserve"> </w:t>
      </w:r>
      <w:r w:rsidRPr="00981405">
        <w:t>work</w:t>
      </w:r>
      <w:r w:rsidR="00190923" w:rsidRPr="00981405">
        <w:t xml:space="preserve"> </w:t>
      </w:r>
      <w:r w:rsidRPr="00981405">
        <w:t>progresses.</w:t>
      </w:r>
    </w:p>
    <w:p w:rsidR="00397032" w:rsidRPr="00981405" w:rsidRDefault="00397032" w:rsidP="00D97463">
      <w:pPr>
        <w:pStyle w:val="SingleTxt"/>
      </w:pPr>
      <w:r w:rsidRPr="00981405">
        <w:t>(2)</w:t>
      </w:r>
      <w:r w:rsidRPr="00981405">
        <w:tab/>
        <w:t>The</w:t>
      </w:r>
      <w:r w:rsidR="00190923" w:rsidRPr="00981405">
        <w:t xml:space="preserve"> </w:t>
      </w:r>
      <w:r w:rsidRPr="00981405">
        <w:t>preamble</w:t>
      </w:r>
      <w:r w:rsidR="00190923" w:rsidRPr="00981405">
        <w:t xml:space="preserve"> </w:t>
      </w:r>
      <w:r w:rsidRPr="00981405">
        <w:t>seeks</w:t>
      </w:r>
      <w:r w:rsidR="00190923" w:rsidRPr="00981405">
        <w:t xml:space="preserve"> </w:t>
      </w:r>
      <w:r w:rsidRPr="00981405">
        <w:t>to</w:t>
      </w:r>
      <w:r w:rsidR="00190923" w:rsidRPr="00981405">
        <w:t xml:space="preserve"> </w:t>
      </w:r>
      <w:r w:rsidRPr="00981405">
        <w:t>provide</w:t>
      </w:r>
      <w:r w:rsidR="00190923" w:rsidRPr="00981405">
        <w:t xml:space="preserve"> </w:t>
      </w:r>
      <w:r w:rsidRPr="00981405">
        <w:t>a</w:t>
      </w:r>
      <w:r w:rsidR="00190923" w:rsidRPr="00981405">
        <w:t xml:space="preserve"> </w:t>
      </w:r>
      <w:r w:rsidRPr="00981405">
        <w:t>contextual</w:t>
      </w:r>
      <w:r w:rsidR="00190923" w:rsidRPr="00981405">
        <w:t xml:space="preserve"> </w:t>
      </w:r>
      <w:r w:rsidRPr="00981405">
        <w:t>framework</w:t>
      </w:r>
      <w:r w:rsidR="00190923" w:rsidRPr="00981405">
        <w:t xml:space="preserve"> </w:t>
      </w:r>
      <w:r w:rsidRPr="00981405">
        <w:t>for</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The</w:t>
      </w:r>
      <w:r w:rsidR="00190923" w:rsidRPr="00981405">
        <w:t xml:space="preserve"> </w:t>
      </w:r>
      <w:r w:rsidRPr="00981405">
        <w:t>first</w:t>
      </w:r>
      <w:r w:rsidR="00190923" w:rsidRPr="00981405">
        <w:t xml:space="preserve"> </w:t>
      </w:r>
      <w:r w:rsidRPr="00981405">
        <w:t>preambular</w:t>
      </w:r>
      <w:r w:rsidR="00190923" w:rsidRPr="00981405">
        <w:t xml:space="preserve"> </w:t>
      </w:r>
      <w:r w:rsidRPr="00981405">
        <w:t>paragraph</w:t>
      </w:r>
      <w:r w:rsidR="00190923" w:rsidRPr="00981405">
        <w:t xml:space="preserve"> </w:t>
      </w:r>
      <w:r w:rsidRPr="00981405">
        <w:t>is</w:t>
      </w:r>
      <w:r w:rsidR="00190923" w:rsidRPr="00981405">
        <w:t xml:space="preserve"> </w:t>
      </w:r>
      <w:r w:rsidRPr="00981405">
        <w:t>overarching</w:t>
      </w:r>
      <w:r w:rsidR="00190923" w:rsidRPr="00981405">
        <w:t xml:space="preserve"> </w:t>
      </w:r>
      <w:r w:rsidRPr="00981405">
        <w:t>in</w:t>
      </w:r>
      <w:r w:rsidR="00190923" w:rsidRPr="00981405">
        <w:t xml:space="preserve"> </w:t>
      </w:r>
      <w:r w:rsidRPr="00981405">
        <w:t>acknowledging</w:t>
      </w:r>
      <w:r w:rsidR="00190923" w:rsidRPr="00981405">
        <w:t xml:space="preserve"> </w:t>
      </w:r>
      <w:r w:rsidRPr="00981405">
        <w:t>the</w:t>
      </w:r>
      <w:r w:rsidR="00190923" w:rsidRPr="00981405">
        <w:t xml:space="preserve"> </w:t>
      </w:r>
      <w:r w:rsidRPr="00981405">
        <w:t>essential</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for</w:t>
      </w:r>
      <w:r w:rsidR="00190923" w:rsidRPr="00981405">
        <w:t xml:space="preserve"> </w:t>
      </w:r>
      <w:r w:rsidRPr="00981405">
        <w:t>sustaining</w:t>
      </w:r>
      <w:r w:rsidR="00190923" w:rsidRPr="00981405">
        <w:t xml:space="preserve"> </w:t>
      </w:r>
      <w:r w:rsidRPr="00981405">
        <w:t>life</w:t>
      </w:r>
      <w:r w:rsidR="00190923" w:rsidRPr="00981405">
        <w:t xml:space="preserve"> </w:t>
      </w:r>
      <w:r w:rsidRPr="00981405">
        <w:t>on</w:t>
      </w:r>
      <w:r w:rsidR="00190923" w:rsidRPr="00981405">
        <w:t xml:space="preserve"> </w:t>
      </w:r>
      <w:r w:rsidRPr="00981405">
        <w:t>Earth,</w:t>
      </w:r>
      <w:r w:rsidR="00190923" w:rsidRPr="00981405">
        <w:t xml:space="preserve"> </w:t>
      </w:r>
      <w:r w:rsidRPr="00981405">
        <w:t>human</w:t>
      </w:r>
      <w:r w:rsidR="00190923" w:rsidRPr="00981405">
        <w:t xml:space="preserve"> </w:t>
      </w:r>
      <w:r w:rsidRPr="00981405">
        <w:t>health</w:t>
      </w:r>
      <w:r w:rsidR="00190923" w:rsidRPr="00981405">
        <w:t xml:space="preserve"> </w:t>
      </w:r>
      <w:r w:rsidRPr="00981405">
        <w:t>and</w:t>
      </w:r>
      <w:r w:rsidR="00190923" w:rsidRPr="00981405">
        <w:t xml:space="preserve"> </w:t>
      </w:r>
      <w:r w:rsidRPr="00981405">
        <w:t>welfare,</w:t>
      </w:r>
      <w:r w:rsidR="00190923" w:rsidRPr="00981405">
        <w:t xml:space="preserve"> </w:t>
      </w:r>
      <w:r w:rsidRPr="00981405">
        <w:t>and</w:t>
      </w:r>
      <w:r w:rsidR="00190923" w:rsidRPr="00981405">
        <w:t xml:space="preserve"> </w:t>
      </w:r>
      <w:r w:rsidRPr="00981405">
        <w:t>aquatic</w:t>
      </w:r>
      <w:r w:rsidR="00190923" w:rsidRPr="00981405">
        <w:t xml:space="preserve"> </w:t>
      </w:r>
      <w:r w:rsidRPr="00981405">
        <w:t>and</w:t>
      </w:r>
      <w:r w:rsidR="00190923" w:rsidRPr="00981405">
        <w:t xml:space="preserve"> </w:t>
      </w:r>
      <w:r w:rsidRPr="00981405">
        <w:t>terrestrial</w:t>
      </w:r>
      <w:r w:rsidR="00190923" w:rsidRPr="00981405">
        <w:t xml:space="preserve"> </w:t>
      </w:r>
      <w:r w:rsidRPr="00981405">
        <w:t>ecosystems.</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largest</w:t>
      </w:r>
      <w:r w:rsidR="00190923" w:rsidRPr="00981405">
        <w:t xml:space="preserve"> </w:t>
      </w:r>
      <w:r w:rsidRPr="00981405">
        <w:t>single</w:t>
      </w:r>
      <w:r w:rsidR="00190923" w:rsidRPr="00981405">
        <w:t xml:space="preserve"> </w:t>
      </w:r>
      <w:r w:rsidRPr="00981405">
        <w:t>and</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most</w:t>
      </w:r>
      <w:r w:rsidR="00190923" w:rsidRPr="00981405">
        <w:t xml:space="preserve"> </w:t>
      </w:r>
      <w:r w:rsidRPr="00981405">
        <w:t>important</w:t>
      </w:r>
      <w:r w:rsidR="00190923" w:rsidRPr="00981405">
        <w:t xml:space="preserve"> </w:t>
      </w:r>
      <w:r w:rsidRPr="00981405">
        <w:t>natural</w:t>
      </w:r>
      <w:r w:rsidR="00190923" w:rsidRPr="00981405">
        <w:t xml:space="preserve"> </w:t>
      </w:r>
      <w:r w:rsidRPr="00981405">
        <w:t>resources.</w:t>
      </w:r>
      <w:r w:rsidR="00190923" w:rsidRPr="00981405">
        <w:t xml:space="preserve"> </w:t>
      </w:r>
      <w:r w:rsidRPr="00981405">
        <w:t>It</w:t>
      </w:r>
      <w:r w:rsidR="00190923" w:rsidRPr="00981405">
        <w:t xml:space="preserve"> </w:t>
      </w:r>
      <w:r w:rsidRPr="00981405">
        <w:t>was</w:t>
      </w:r>
      <w:r w:rsidR="00190923" w:rsidRPr="00981405">
        <w:t xml:space="preserve"> </w:t>
      </w:r>
      <w:r w:rsidRPr="00981405">
        <w:t>listed</w:t>
      </w:r>
      <w:r w:rsidR="00190923" w:rsidRPr="00981405">
        <w:t xml:space="preserve"> </w:t>
      </w:r>
      <w:r w:rsidRPr="00981405">
        <w:t>as</w:t>
      </w:r>
      <w:r w:rsidR="00190923" w:rsidRPr="00981405">
        <w:t xml:space="preserve"> </w:t>
      </w:r>
      <w:r w:rsidRPr="00981405">
        <w:t>a</w:t>
      </w:r>
      <w:r w:rsidR="00190923" w:rsidRPr="00981405">
        <w:t xml:space="preserve"> </w:t>
      </w:r>
      <w:r w:rsidRPr="00981405">
        <w:t>natural</w:t>
      </w:r>
      <w:r w:rsidR="00190923" w:rsidRPr="00981405">
        <w:t xml:space="preserve"> </w:t>
      </w:r>
      <w:r w:rsidRPr="00981405">
        <w:t>resource</w:t>
      </w:r>
      <w:r w:rsidR="00190923" w:rsidRPr="00981405">
        <w:t xml:space="preserve"> </w:t>
      </w:r>
      <w:r w:rsidRPr="00981405">
        <w:t>—</w:t>
      </w:r>
      <w:r w:rsidR="00190923" w:rsidRPr="00981405">
        <w:t xml:space="preserve"> </w:t>
      </w:r>
      <w:r w:rsidRPr="00981405">
        <w:t>along</w:t>
      </w:r>
      <w:r w:rsidR="00190923" w:rsidRPr="00981405">
        <w:t xml:space="preserve"> </w:t>
      </w:r>
      <w:r w:rsidRPr="00981405">
        <w:t>with</w:t>
      </w:r>
      <w:r w:rsidR="00190923" w:rsidRPr="00981405">
        <w:t xml:space="preserve"> </w:t>
      </w:r>
      <w:r w:rsidRPr="00981405">
        <w:t>mineral,</w:t>
      </w:r>
      <w:r w:rsidR="00190923" w:rsidRPr="00981405">
        <w:t xml:space="preserve"> </w:t>
      </w:r>
      <w:r w:rsidRPr="00981405">
        <w:t>energy</w:t>
      </w:r>
      <w:r w:rsidR="00190923" w:rsidRPr="00981405">
        <w:t xml:space="preserve"> </w:t>
      </w:r>
      <w:r w:rsidRPr="00981405">
        <w:t>and</w:t>
      </w:r>
      <w:r w:rsidR="00190923" w:rsidRPr="00981405">
        <w:t xml:space="preserve"> </w:t>
      </w:r>
      <w:r w:rsidRPr="00981405">
        <w:t>water</w:t>
      </w:r>
      <w:r w:rsidR="00190923" w:rsidRPr="00981405">
        <w:t xml:space="preserve"> </w:t>
      </w:r>
      <w:r w:rsidRPr="00981405">
        <w:t>resources</w:t>
      </w:r>
      <w:r w:rsidR="00190923" w:rsidRPr="00981405">
        <w:t xml:space="preserve"> </w:t>
      </w:r>
      <w:r w:rsidRPr="00981405">
        <w:t>—</w:t>
      </w:r>
      <w:r w:rsidR="00190923" w:rsidRPr="00981405">
        <w:t xml:space="preserve"> </w:t>
      </w:r>
      <w:r w:rsidRPr="00981405">
        <w:t>by</w:t>
      </w:r>
      <w:r w:rsidR="00190923" w:rsidRPr="00981405">
        <w:t xml:space="preserve"> </w:t>
      </w:r>
      <w:r w:rsidRPr="00981405">
        <w:t>the</w:t>
      </w:r>
      <w:r w:rsidR="00190923" w:rsidRPr="00981405">
        <w:t xml:space="preserve"> </w:t>
      </w:r>
      <w:r w:rsidRPr="00981405">
        <w:t>former</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Committee</w:t>
      </w:r>
      <w:r w:rsidR="00190923" w:rsidRPr="00981405">
        <w:t xml:space="preserve"> </w:t>
      </w:r>
      <w:r w:rsidRPr="00981405">
        <w:t>on</w:t>
      </w:r>
      <w:r w:rsidR="00190923" w:rsidRPr="00981405">
        <w:t xml:space="preserve"> </w:t>
      </w:r>
      <w:r w:rsidRPr="00981405">
        <w:t>Natural</w:t>
      </w:r>
      <w:r w:rsidR="00190923" w:rsidRPr="00981405">
        <w:t xml:space="preserve"> </w:t>
      </w:r>
      <w:r w:rsidRPr="00981405">
        <w:t>Resources,</w:t>
      </w:r>
      <w:r w:rsidRPr="00981405">
        <w:rPr>
          <w:rStyle w:val="FootnoteReference"/>
        </w:rPr>
        <w:footnoteReference w:id="21"/>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in</w:t>
      </w:r>
      <w:r w:rsidR="00190923" w:rsidRPr="00981405">
        <w:t xml:space="preserve"> </w:t>
      </w:r>
      <w:r w:rsidRPr="00981405">
        <w:t>the</w:t>
      </w:r>
      <w:r w:rsidR="00190923" w:rsidRPr="00981405">
        <w:t xml:space="preserve"> </w:t>
      </w:r>
      <w:r w:rsidRPr="00981405">
        <w:t>1972</w:t>
      </w:r>
      <w:r w:rsidR="00190923" w:rsidRPr="00981405">
        <w:t xml:space="preserve"> </w:t>
      </w:r>
      <w:r w:rsidRPr="00981405">
        <w:t>Stockholm</w:t>
      </w:r>
      <w:r w:rsidR="00190923" w:rsidRPr="00981405">
        <w:t xml:space="preserve"> </w:t>
      </w:r>
      <w:r w:rsidRPr="00981405">
        <w:t>Declaration</w:t>
      </w:r>
      <w:r w:rsidR="00190923" w:rsidRPr="00981405">
        <w:t xml:space="preserve"> </w:t>
      </w:r>
      <w:r w:rsidRPr="00981405">
        <w:t>on</w:t>
      </w:r>
      <w:r w:rsidR="00190923" w:rsidRPr="00981405">
        <w:t xml:space="preserve"> </w:t>
      </w:r>
      <w:r w:rsidRPr="00981405">
        <w:t>the</w:t>
      </w:r>
      <w:r w:rsidR="00190923" w:rsidRPr="00981405">
        <w:t xml:space="preserve"> </w:t>
      </w:r>
      <w:r w:rsidRPr="00981405">
        <w:t>Human</w:t>
      </w:r>
      <w:r w:rsidR="00190923" w:rsidRPr="00981405">
        <w:t xml:space="preserve"> </w:t>
      </w:r>
      <w:r w:rsidRPr="00981405">
        <w:t>Environment</w:t>
      </w:r>
      <w:r w:rsidRPr="00981405">
        <w:rPr>
          <w:rStyle w:val="FootnoteReference"/>
        </w:rPr>
        <w:footnoteReference w:id="22"/>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1982</w:t>
      </w:r>
      <w:r w:rsidR="00190923" w:rsidRPr="00981405">
        <w:t xml:space="preserve"> </w:t>
      </w:r>
      <w:r w:rsidRPr="00981405">
        <w:t>World</w:t>
      </w:r>
      <w:r w:rsidR="00190923" w:rsidRPr="00981405">
        <w:t xml:space="preserve"> </w:t>
      </w:r>
      <w:r w:rsidRPr="00981405">
        <w:t>Charter</w:t>
      </w:r>
      <w:r w:rsidR="00190923" w:rsidRPr="00981405">
        <w:t xml:space="preserve"> </w:t>
      </w:r>
      <w:r w:rsidRPr="00981405">
        <w:t>for</w:t>
      </w:r>
      <w:r w:rsidR="00190923" w:rsidRPr="00981405">
        <w:t xml:space="preserve"> </w:t>
      </w:r>
      <w:r w:rsidRPr="00981405">
        <w:t>Nature.</w:t>
      </w:r>
      <w:r w:rsidRPr="00981405">
        <w:rPr>
          <w:rStyle w:val="FootnoteReference"/>
        </w:rPr>
        <w:footnoteReference w:id="23"/>
      </w:r>
      <w:r w:rsidR="00190923" w:rsidRPr="00981405">
        <w:t xml:space="preserve"> </w:t>
      </w:r>
      <w:r w:rsidRPr="00981405">
        <w:t>The</w:t>
      </w:r>
      <w:r w:rsidR="00190923" w:rsidRPr="00981405">
        <w:t xml:space="preserve"> </w:t>
      </w:r>
      <w:r w:rsidRPr="00981405">
        <w:t>atmosphere</w:t>
      </w:r>
      <w:r w:rsidR="00190923" w:rsidRPr="00981405">
        <w:t xml:space="preserve"> </w:t>
      </w:r>
      <w:r w:rsidRPr="00981405">
        <w:t>provides</w:t>
      </w:r>
      <w:r w:rsidR="00190923" w:rsidRPr="00981405">
        <w:t xml:space="preserve"> </w:t>
      </w:r>
      <w:r w:rsidRPr="00981405">
        <w:t>renewable</w:t>
      </w:r>
      <w:r w:rsidR="00190923" w:rsidRPr="00981405">
        <w:t xml:space="preserve"> </w:t>
      </w:r>
      <w:r w:rsidR="00B92E2C" w:rsidRPr="00981405">
        <w:t>“</w:t>
      </w:r>
      <w:r w:rsidRPr="00981405">
        <w:t>flow</w:t>
      </w:r>
      <w:r w:rsidR="00190923" w:rsidRPr="00981405">
        <w:t xml:space="preserve"> </w:t>
      </w:r>
      <w:r w:rsidRPr="00981405">
        <w:t>resources</w:t>
      </w:r>
      <w:r w:rsidR="00B92E2C" w:rsidRPr="00981405">
        <w:t>”</w:t>
      </w:r>
      <w:r w:rsidR="00190923" w:rsidRPr="00981405">
        <w:t xml:space="preserve"> </w:t>
      </w:r>
      <w:r w:rsidRPr="00981405">
        <w:t>essential</w:t>
      </w:r>
      <w:r w:rsidR="00190923" w:rsidRPr="00981405">
        <w:t xml:space="preserve"> </w:t>
      </w:r>
      <w:r w:rsidRPr="00981405">
        <w:t>for</w:t>
      </w:r>
      <w:r w:rsidR="00190923" w:rsidRPr="00981405">
        <w:t xml:space="preserve"> </w:t>
      </w:r>
      <w:r w:rsidRPr="00981405">
        <w:t>human,</w:t>
      </w:r>
      <w:r w:rsidR="00190923" w:rsidRPr="00981405">
        <w:t xml:space="preserve"> </w:t>
      </w:r>
      <w:r w:rsidRPr="00981405">
        <w:t>plant</w:t>
      </w:r>
      <w:r w:rsidR="00190923" w:rsidRPr="00981405">
        <w:t xml:space="preserve"> </w:t>
      </w:r>
      <w:r w:rsidRPr="00981405">
        <w:t>and</w:t>
      </w:r>
      <w:r w:rsidR="00190923" w:rsidRPr="00981405">
        <w:t xml:space="preserve"> </w:t>
      </w:r>
      <w:r w:rsidRPr="00981405">
        <w:t>animal</w:t>
      </w:r>
      <w:r w:rsidR="00190923" w:rsidRPr="00981405">
        <w:t xml:space="preserve"> </w:t>
      </w:r>
      <w:r w:rsidRPr="00981405">
        <w:t>survival</w:t>
      </w:r>
      <w:r w:rsidR="00190923" w:rsidRPr="00981405">
        <w:t xml:space="preserve"> </w:t>
      </w:r>
      <w:r w:rsidRPr="00981405">
        <w:t>on</w:t>
      </w:r>
      <w:r w:rsidR="00190923" w:rsidRPr="00981405">
        <w:t xml:space="preserve"> </w:t>
      </w:r>
      <w:r w:rsidRPr="00981405">
        <w:t>the</w:t>
      </w:r>
      <w:r w:rsidR="00190923" w:rsidRPr="00981405">
        <w:t xml:space="preserve"> </w:t>
      </w:r>
      <w:r w:rsidRPr="00981405">
        <w:t>planet,</w:t>
      </w:r>
      <w:r w:rsidR="00190923" w:rsidRPr="00981405">
        <w:t xml:space="preserve"> </w:t>
      </w:r>
      <w:r w:rsidRPr="00981405">
        <w:t>and</w:t>
      </w:r>
      <w:r w:rsidR="00190923" w:rsidRPr="00981405">
        <w:t xml:space="preserve"> </w:t>
      </w:r>
      <w:r w:rsidRPr="00981405">
        <w:t>it</w:t>
      </w:r>
      <w:r w:rsidR="00190923" w:rsidRPr="00981405">
        <w:t xml:space="preserve"> </w:t>
      </w:r>
      <w:r w:rsidRPr="00981405">
        <w:t>serves</w:t>
      </w:r>
      <w:r w:rsidR="00190923" w:rsidRPr="00981405">
        <w:t xml:space="preserve"> </w:t>
      </w:r>
      <w:r w:rsidRPr="00981405">
        <w:t>as</w:t>
      </w:r>
      <w:r w:rsidR="00190923" w:rsidRPr="00981405">
        <w:t xml:space="preserve"> </w:t>
      </w:r>
      <w:r w:rsidRPr="00981405">
        <w:t>a</w:t>
      </w:r>
      <w:r w:rsidR="00190923" w:rsidRPr="00981405">
        <w:t xml:space="preserve"> </w:t>
      </w:r>
      <w:r w:rsidRPr="00981405">
        <w:t>medium</w:t>
      </w:r>
      <w:r w:rsidR="00190923" w:rsidRPr="00981405">
        <w:t xml:space="preserve"> </w:t>
      </w:r>
      <w:r w:rsidRPr="00981405">
        <w:t>for</w:t>
      </w:r>
      <w:r w:rsidR="00190923" w:rsidRPr="00981405">
        <w:t xml:space="preserve"> </w:t>
      </w:r>
      <w:r w:rsidRPr="00981405">
        <w:t>transportation</w:t>
      </w:r>
      <w:r w:rsidR="00190923" w:rsidRPr="00981405">
        <w:t xml:space="preserve"> </w:t>
      </w:r>
      <w:r w:rsidRPr="00981405">
        <w:t>and</w:t>
      </w:r>
      <w:r w:rsidR="00190923" w:rsidRPr="00981405">
        <w:t xml:space="preserve"> </w:t>
      </w:r>
      <w:r w:rsidRPr="00981405">
        <w:t>communication.</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was</w:t>
      </w:r>
      <w:r w:rsidR="00190923" w:rsidRPr="00981405">
        <w:t xml:space="preserve"> </w:t>
      </w:r>
      <w:r w:rsidRPr="00981405">
        <w:t>long</w:t>
      </w:r>
      <w:r w:rsidR="00190923" w:rsidRPr="00981405">
        <w:t xml:space="preserve"> </w:t>
      </w:r>
      <w:r w:rsidRPr="00981405">
        <w:t>considered</w:t>
      </w:r>
      <w:r w:rsidR="00190923" w:rsidRPr="00981405">
        <w:t xml:space="preserve"> </w:t>
      </w:r>
      <w:r w:rsidRPr="00981405">
        <w:t>to</w:t>
      </w:r>
      <w:r w:rsidR="00190923" w:rsidRPr="00981405">
        <w:t xml:space="preserve"> </w:t>
      </w:r>
      <w:r w:rsidRPr="00981405">
        <w:t>be</w:t>
      </w:r>
      <w:r w:rsidR="00190923" w:rsidRPr="00981405">
        <w:t xml:space="preserve"> </w:t>
      </w:r>
      <w:r w:rsidRPr="00981405">
        <w:t>non-exhaustible</w:t>
      </w:r>
      <w:r w:rsidR="00190923" w:rsidRPr="00981405">
        <w:t xml:space="preserve"> </w:t>
      </w:r>
      <w:r w:rsidRPr="00981405">
        <w:t>and</w:t>
      </w:r>
      <w:r w:rsidR="00190923" w:rsidRPr="00981405">
        <w:t xml:space="preserve"> </w:t>
      </w:r>
      <w:r w:rsidRPr="00981405">
        <w:t>non-exclusive,</w:t>
      </w:r>
      <w:r w:rsidR="00190923" w:rsidRPr="00981405">
        <w:t xml:space="preserve"> </w:t>
      </w:r>
      <w:r w:rsidRPr="00981405">
        <w:t>since</w:t>
      </w:r>
      <w:r w:rsidR="00190923" w:rsidRPr="00981405">
        <w:t xml:space="preserve"> </w:t>
      </w:r>
      <w:r w:rsidRPr="00981405">
        <w:t>it</w:t>
      </w:r>
      <w:r w:rsidR="00190923" w:rsidRPr="00981405">
        <w:t xml:space="preserve"> </w:t>
      </w:r>
      <w:r w:rsidRPr="00981405">
        <w:t>was</w:t>
      </w:r>
      <w:r w:rsidR="00190923" w:rsidRPr="00981405">
        <w:t xml:space="preserve"> </w:t>
      </w:r>
      <w:r w:rsidRPr="00981405">
        <w:t>assumed</w:t>
      </w:r>
      <w:r w:rsidR="00190923" w:rsidRPr="00981405">
        <w:t xml:space="preserve"> </w:t>
      </w:r>
      <w:r w:rsidRPr="00981405">
        <w:t>that</w:t>
      </w:r>
      <w:r w:rsidR="00190923" w:rsidRPr="00981405">
        <w:t xml:space="preserve"> </w:t>
      </w:r>
      <w:r w:rsidRPr="00981405">
        <w:t>everyone</w:t>
      </w:r>
      <w:r w:rsidR="00190923" w:rsidRPr="00981405">
        <w:t xml:space="preserve"> </w:t>
      </w:r>
      <w:r w:rsidRPr="00981405">
        <w:t>could</w:t>
      </w:r>
      <w:r w:rsidR="00190923" w:rsidRPr="00981405">
        <w:t xml:space="preserve"> </w:t>
      </w:r>
      <w:r w:rsidRPr="00981405">
        <w:t>benefit</w:t>
      </w:r>
      <w:r w:rsidR="00190923" w:rsidRPr="00981405">
        <w:t xml:space="preserve"> </w:t>
      </w:r>
      <w:r w:rsidRPr="00981405">
        <w:t>from</w:t>
      </w:r>
      <w:r w:rsidR="00190923" w:rsidRPr="00981405">
        <w:t xml:space="preserve"> </w:t>
      </w:r>
      <w:r w:rsidRPr="00981405">
        <w:t>it</w:t>
      </w:r>
      <w:r w:rsidR="00190923" w:rsidRPr="00981405">
        <w:t xml:space="preserve"> </w:t>
      </w:r>
      <w:r w:rsidRPr="00981405">
        <w:t>without</w:t>
      </w:r>
      <w:r w:rsidR="00190923" w:rsidRPr="00981405">
        <w:t xml:space="preserve"> </w:t>
      </w:r>
      <w:r w:rsidRPr="00981405">
        <w:t>depriving</w:t>
      </w:r>
      <w:r w:rsidR="00190923" w:rsidRPr="00981405">
        <w:t xml:space="preserve"> </w:t>
      </w:r>
      <w:r w:rsidRPr="00981405">
        <w:t>others.</w:t>
      </w:r>
      <w:r w:rsidR="00190923" w:rsidRPr="00981405">
        <w:t xml:space="preserve"> </w:t>
      </w:r>
      <w:r w:rsidRPr="00981405">
        <w:t>That</w:t>
      </w:r>
      <w:r w:rsidR="00190923" w:rsidRPr="00981405">
        <w:t xml:space="preserve"> </w:t>
      </w:r>
      <w:r w:rsidRPr="00981405">
        <w:t>view</w:t>
      </w:r>
      <w:r w:rsidR="00190923" w:rsidRPr="00981405">
        <w:t xml:space="preserve"> </w:t>
      </w:r>
      <w:r w:rsidRPr="00981405">
        <w:t>is</w:t>
      </w:r>
      <w:r w:rsidR="00190923" w:rsidRPr="00981405">
        <w:t xml:space="preserve"> </w:t>
      </w:r>
      <w:r w:rsidRPr="00981405">
        <w:t>no</w:t>
      </w:r>
      <w:r w:rsidR="00190923" w:rsidRPr="00981405">
        <w:t xml:space="preserve"> </w:t>
      </w:r>
      <w:r w:rsidRPr="00981405">
        <w:t>longer</w:t>
      </w:r>
      <w:r w:rsidR="00190923" w:rsidRPr="00981405">
        <w:t xml:space="preserve"> </w:t>
      </w:r>
      <w:r w:rsidRPr="00981405">
        <w:t>held.</w:t>
      </w:r>
      <w:r w:rsidRPr="00981405">
        <w:rPr>
          <w:rStyle w:val="FootnoteReference"/>
        </w:rPr>
        <w:footnoteReference w:id="24"/>
      </w:r>
      <w:r w:rsidR="00190923" w:rsidRPr="00981405">
        <w:t xml:space="preserve"> </w:t>
      </w:r>
      <w:r w:rsidRPr="00981405">
        <w:t>It</w:t>
      </w:r>
      <w:r w:rsidR="00190923" w:rsidRPr="00981405">
        <w:t xml:space="preserve"> </w:t>
      </w:r>
      <w:r w:rsidRPr="00981405">
        <w:t>must</w:t>
      </w:r>
      <w:r w:rsidR="00190923" w:rsidRPr="00981405">
        <w:t xml:space="preserve"> </w:t>
      </w:r>
      <w:r w:rsidRPr="00981405">
        <w:t>be</w:t>
      </w:r>
      <w:r w:rsidR="00190923" w:rsidRPr="00981405">
        <w:t xml:space="preserve"> </w:t>
      </w:r>
      <w:r w:rsidRPr="00981405">
        <w:t>borne</w:t>
      </w:r>
      <w:r w:rsidR="00190923" w:rsidRPr="00981405">
        <w:t xml:space="preserve"> </w:t>
      </w:r>
      <w:r w:rsidRPr="00981405">
        <w:t>in</w:t>
      </w:r>
      <w:r w:rsidR="00190923" w:rsidRPr="00981405">
        <w:t xml:space="preserve"> </w:t>
      </w:r>
      <w:r w:rsidRPr="00981405">
        <w:t>mind</w:t>
      </w:r>
      <w:r w:rsidR="00190923" w:rsidRPr="00981405">
        <w:t xml:space="preserve"> </w:t>
      </w:r>
      <w:r w:rsidRPr="00981405">
        <w:t>that</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a</w:t>
      </w:r>
      <w:r w:rsidR="00190923" w:rsidRPr="00981405">
        <w:t xml:space="preserve"> </w:t>
      </w:r>
      <w:r w:rsidRPr="00981405">
        <w:t>limited</w:t>
      </w:r>
      <w:r w:rsidR="00190923" w:rsidRPr="00981405">
        <w:t xml:space="preserve"> </w:t>
      </w:r>
      <w:r w:rsidRPr="00981405">
        <w:t>resource</w:t>
      </w:r>
      <w:r w:rsidR="00190923" w:rsidRPr="00981405">
        <w:t xml:space="preserve"> </w:t>
      </w:r>
      <w:r w:rsidRPr="00981405">
        <w:t>with</w:t>
      </w:r>
      <w:r w:rsidR="00190923" w:rsidRPr="00981405">
        <w:t xml:space="preserve"> </w:t>
      </w:r>
      <w:r w:rsidRPr="00981405">
        <w:t>limited</w:t>
      </w:r>
      <w:r w:rsidR="00190923" w:rsidRPr="00981405">
        <w:t xml:space="preserve"> </w:t>
      </w:r>
      <w:r w:rsidRPr="00981405">
        <w:t>assimilation</w:t>
      </w:r>
      <w:r w:rsidR="00190923" w:rsidRPr="00981405">
        <w:t xml:space="preserve"> </w:t>
      </w:r>
      <w:r w:rsidRPr="00981405">
        <w:t>capacity.</w:t>
      </w:r>
    </w:p>
    <w:p w:rsidR="00397032" w:rsidRPr="00981405" w:rsidRDefault="00397032" w:rsidP="00D97463">
      <w:pPr>
        <w:pStyle w:val="SingleTxt"/>
      </w:pPr>
      <w:r w:rsidRPr="00981405">
        <w:t>(3)</w:t>
      </w:r>
      <w:r w:rsidRPr="00981405">
        <w:tab/>
        <w:t>The</w:t>
      </w:r>
      <w:r w:rsidR="00190923" w:rsidRPr="00981405">
        <w:t xml:space="preserve"> </w:t>
      </w:r>
      <w:r w:rsidRPr="00981405">
        <w:t>second</w:t>
      </w:r>
      <w:r w:rsidR="00190923" w:rsidRPr="00981405">
        <w:t xml:space="preserve"> </w:t>
      </w:r>
      <w:r w:rsidRPr="00981405">
        <w:t>preambular</w:t>
      </w:r>
      <w:r w:rsidR="00190923" w:rsidRPr="00981405">
        <w:t xml:space="preserve"> </w:t>
      </w:r>
      <w:r w:rsidRPr="00981405">
        <w:t>paragraph</w:t>
      </w:r>
      <w:r w:rsidR="00190923" w:rsidRPr="00981405">
        <w:t xml:space="preserve"> </w:t>
      </w:r>
      <w:r w:rsidRPr="00981405">
        <w:t>addresses</w:t>
      </w:r>
      <w:r w:rsidR="00190923" w:rsidRPr="00981405">
        <w:t xml:space="preserve"> </w:t>
      </w:r>
      <w:r w:rsidRPr="00981405">
        <w:t>the</w:t>
      </w:r>
      <w:r w:rsidR="00190923" w:rsidRPr="00981405">
        <w:t xml:space="preserve"> </w:t>
      </w:r>
      <w:r w:rsidRPr="00981405">
        <w:t>functional</w:t>
      </w:r>
      <w:r w:rsidR="00190923" w:rsidRPr="00981405">
        <w:t xml:space="preserve"> </w:t>
      </w:r>
      <w:r w:rsidRPr="00981405">
        <w:t>aspect</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as</w:t>
      </w:r>
      <w:r w:rsidR="00190923" w:rsidRPr="00981405">
        <w:t xml:space="preserve"> </w:t>
      </w:r>
      <w:r w:rsidRPr="00981405">
        <w:t>a</w:t>
      </w:r>
      <w:r w:rsidR="00190923" w:rsidRPr="00981405">
        <w:t xml:space="preserve"> </w:t>
      </w:r>
      <w:r w:rsidRPr="00981405">
        <w:t>medium</w:t>
      </w:r>
      <w:r w:rsidR="00190923" w:rsidRPr="00981405">
        <w:t xml:space="preserve"> </w:t>
      </w:r>
      <w:r w:rsidRPr="00981405">
        <w:t>through</w:t>
      </w:r>
      <w:r w:rsidR="00190923" w:rsidRPr="00981405">
        <w:t xml:space="preserve"> </w:t>
      </w:r>
      <w:r w:rsidRPr="00981405">
        <w:t>which</w:t>
      </w:r>
      <w:r w:rsidR="00190923" w:rsidRPr="00981405">
        <w:t xml:space="preserve"> </w:t>
      </w:r>
      <w:r w:rsidRPr="00981405">
        <w:t>transport</w:t>
      </w:r>
      <w:r w:rsidR="00190923" w:rsidRPr="00981405">
        <w:t xml:space="preserve"> </w:t>
      </w:r>
      <w:r w:rsidRPr="00981405">
        <w:t>and</w:t>
      </w:r>
      <w:r w:rsidR="00190923" w:rsidRPr="00981405">
        <w:t xml:space="preserve"> </w:t>
      </w:r>
      <w:r w:rsidRPr="00981405">
        <w:t>dispersion</w:t>
      </w:r>
      <w:r w:rsidR="00190923" w:rsidRPr="00981405">
        <w:t xml:space="preserve"> </w:t>
      </w:r>
      <w:r w:rsidRPr="00981405">
        <w:t>of</w:t>
      </w:r>
      <w:r w:rsidR="00190923" w:rsidRPr="00981405">
        <w:t xml:space="preserve"> </w:t>
      </w:r>
      <w:r w:rsidRPr="00981405">
        <w:t>polluting</w:t>
      </w:r>
      <w:r w:rsidR="00190923" w:rsidRPr="00981405">
        <w:t xml:space="preserve"> </w:t>
      </w:r>
      <w:r w:rsidRPr="00981405">
        <w:t>and</w:t>
      </w:r>
      <w:r w:rsidR="00190923" w:rsidRPr="00981405">
        <w:t xml:space="preserve"> </w:t>
      </w:r>
      <w:r w:rsidRPr="00981405">
        <w:t>degrading</w:t>
      </w:r>
      <w:r w:rsidR="00190923" w:rsidRPr="00981405">
        <w:t xml:space="preserve"> </w:t>
      </w:r>
      <w:r w:rsidRPr="00981405">
        <w:t>substances</w:t>
      </w:r>
      <w:r w:rsidR="00190923" w:rsidRPr="00981405">
        <w:t xml:space="preserve"> </w:t>
      </w:r>
      <w:r w:rsidRPr="00981405">
        <w:t>occur.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it</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refer</w:t>
      </w:r>
      <w:r w:rsidR="00190923" w:rsidRPr="00981405">
        <w:t xml:space="preserve"> </w:t>
      </w:r>
      <w:r w:rsidRPr="00981405">
        <w:t>to</w:t>
      </w:r>
      <w:r w:rsidR="00190923" w:rsidRPr="00981405">
        <w:t xml:space="preserve"> </w:t>
      </w:r>
      <w:r w:rsidRPr="00981405">
        <w:t>this</w:t>
      </w:r>
      <w:r w:rsidR="00190923" w:rsidRPr="00981405">
        <w:t xml:space="preserve"> </w:t>
      </w:r>
      <w:r w:rsidRPr="00981405">
        <w:t>functional</w:t>
      </w:r>
      <w:r w:rsidR="00190923" w:rsidRPr="00981405">
        <w:t xml:space="preserve"> </w:t>
      </w:r>
      <w:r w:rsidRPr="00981405">
        <w:t>aspect</w:t>
      </w:r>
      <w:r w:rsidR="00190923" w:rsidRPr="00981405">
        <w:t xml:space="preserve"> </w:t>
      </w:r>
      <w:r w:rsidRPr="00981405">
        <w:t>in</w:t>
      </w:r>
      <w:r w:rsidR="00190923" w:rsidRPr="00981405">
        <w:t xml:space="preserve"> </w:t>
      </w:r>
      <w:r w:rsidRPr="00981405">
        <w:t>the</w:t>
      </w:r>
      <w:r w:rsidR="00190923" w:rsidRPr="00981405">
        <w:t xml:space="preserve"> </w:t>
      </w:r>
      <w:r w:rsidRPr="00981405">
        <w:t>preamble.</w:t>
      </w:r>
      <w:r w:rsidR="00190923" w:rsidRPr="00981405">
        <w:t xml:space="preserve"> </w:t>
      </w:r>
      <w:r w:rsidRPr="00981405">
        <w:t>This</w:t>
      </w:r>
      <w:r w:rsidR="00190923" w:rsidRPr="00981405">
        <w:t xml:space="preserve"> </w:t>
      </w:r>
      <w:r w:rsidRPr="00981405">
        <w:t>decision</w:t>
      </w:r>
      <w:r w:rsidR="00190923" w:rsidRPr="00981405">
        <w:t xml:space="preserve"> </w:t>
      </w:r>
      <w:r w:rsidRPr="00981405">
        <w:t>reflects</w:t>
      </w:r>
      <w:r w:rsidR="00190923" w:rsidRPr="00981405">
        <w:t xml:space="preserve"> </w:t>
      </w:r>
      <w:r w:rsidRPr="00981405">
        <w:t>a</w:t>
      </w:r>
      <w:r w:rsidR="00190923" w:rsidRPr="00981405">
        <w:t xml:space="preserve"> </w:t>
      </w:r>
      <w:r w:rsidRPr="00981405">
        <w:t>concern</w:t>
      </w:r>
      <w:r w:rsidR="00190923" w:rsidRPr="00981405">
        <w:t xml:space="preserve"> </w:t>
      </w:r>
      <w:r w:rsidRPr="00981405">
        <w:t>that</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functional</w:t>
      </w:r>
      <w:r w:rsidR="00190923" w:rsidRPr="00981405">
        <w:t xml:space="preserve"> </w:t>
      </w:r>
      <w:r w:rsidRPr="00981405">
        <w:t>aspect</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may</w:t>
      </w:r>
      <w:r w:rsidR="00190923" w:rsidRPr="00981405">
        <w:t xml:space="preserve"> </w:t>
      </w:r>
      <w:r w:rsidRPr="00981405">
        <w:t>suggest</w:t>
      </w:r>
      <w:r w:rsidR="00190923" w:rsidRPr="00981405">
        <w:t xml:space="preserve"> </w:t>
      </w:r>
      <w:r w:rsidRPr="00981405">
        <w:t>that</w:t>
      </w:r>
      <w:r w:rsidR="00190923" w:rsidRPr="00981405">
        <w:t xml:space="preserve"> </w:t>
      </w:r>
      <w:r w:rsidRPr="00981405">
        <w:t>this</w:t>
      </w:r>
      <w:r w:rsidR="00190923" w:rsidRPr="00981405">
        <w:t xml:space="preserve"> </w:t>
      </w:r>
      <w:r w:rsidRPr="00981405">
        <w:t>transport</w:t>
      </w:r>
      <w:r w:rsidR="00190923" w:rsidRPr="00981405">
        <w:t xml:space="preserve"> </w:t>
      </w:r>
      <w:r w:rsidRPr="00981405">
        <w:t>and</w:t>
      </w:r>
      <w:r w:rsidR="00190923" w:rsidRPr="00981405">
        <w:t xml:space="preserve"> </w:t>
      </w:r>
      <w:r w:rsidRPr="00981405">
        <w:t>dispersion</w:t>
      </w:r>
      <w:r w:rsidR="00190923" w:rsidRPr="00981405">
        <w:t xml:space="preserve"> </w:t>
      </w:r>
      <w:r w:rsidRPr="00981405">
        <w:t>is</w:t>
      </w:r>
      <w:r w:rsidR="00190923" w:rsidRPr="00981405">
        <w:t xml:space="preserve"> </w:t>
      </w:r>
      <w:r w:rsidRPr="00981405">
        <w:t>desirable,</w:t>
      </w:r>
      <w:r w:rsidR="00190923" w:rsidRPr="00981405">
        <w:t xml:space="preserve"> </w:t>
      </w:r>
      <w:r w:rsidRPr="00981405">
        <w:t>which</w:t>
      </w:r>
      <w:r w:rsidR="00190923" w:rsidRPr="00981405">
        <w:t xml:space="preserve"> </w:t>
      </w:r>
      <w:r w:rsidRPr="00981405">
        <w:t>is</w:t>
      </w:r>
      <w:r w:rsidR="00190923" w:rsidRPr="00981405">
        <w:t xml:space="preserve"> </w:t>
      </w:r>
      <w:r w:rsidRPr="00981405">
        <w:t>not</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Long-range</w:t>
      </w:r>
      <w:r w:rsidR="00190923" w:rsidRPr="00981405">
        <w:t xml:space="preserve"> </w:t>
      </w:r>
      <w:r w:rsidRPr="00981405">
        <w:lastRenderedPageBreak/>
        <w:t>transboundary</w:t>
      </w:r>
      <w:r w:rsidR="00190923" w:rsidRPr="00981405">
        <w:t xml:space="preserve"> </w:t>
      </w:r>
      <w:r w:rsidRPr="00981405">
        <w:t>movement</w:t>
      </w:r>
      <w:r w:rsidR="00190923" w:rsidRPr="00981405">
        <w:t xml:space="preserve"> </w:t>
      </w:r>
      <w:r w:rsidRPr="00981405">
        <w:t>of</w:t>
      </w:r>
      <w:r w:rsidR="00190923" w:rsidRPr="00981405">
        <w:t xml:space="preserve"> </w:t>
      </w:r>
      <w:r w:rsidRPr="00981405">
        <w:t>polluting</w:t>
      </w:r>
      <w:r w:rsidR="00190923" w:rsidRPr="00981405">
        <w:t xml:space="preserve"> </w:t>
      </w:r>
      <w:r w:rsidRPr="00981405">
        <w:t>and</w:t>
      </w:r>
      <w:r w:rsidR="00190923" w:rsidRPr="00981405">
        <w:t xml:space="preserve"> </w:t>
      </w:r>
      <w:r w:rsidRPr="00981405">
        <w:t>degrading</w:t>
      </w:r>
      <w:r w:rsidR="00190923" w:rsidRPr="00981405">
        <w:t xml:space="preserve"> </w:t>
      </w:r>
      <w:r w:rsidRPr="00981405">
        <w:t>substances</w:t>
      </w:r>
      <w:r w:rsidR="00190923" w:rsidRPr="00981405">
        <w:t xml:space="preserve"> </w:t>
      </w:r>
      <w:r w:rsidRPr="00981405">
        <w:t>is</w:t>
      </w:r>
      <w:r w:rsidR="00190923" w:rsidRPr="00981405">
        <w:t xml:space="preserve"> </w:t>
      </w:r>
      <w:r w:rsidRPr="00981405">
        <w:t>recognized</w:t>
      </w:r>
      <w:r w:rsidR="00190923" w:rsidRPr="00981405">
        <w:t xml:space="preserve"> </w:t>
      </w:r>
      <w:r w:rsidRPr="00981405">
        <w:t>as</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major</w:t>
      </w:r>
      <w:r w:rsidR="00190923" w:rsidRPr="00981405">
        <w:t xml:space="preserve"> </w:t>
      </w:r>
      <w:r w:rsidRPr="00981405">
        <w:t>problems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present-day</w:t>
      </w:r>
      <w:r w:rsidR="00190923" w:rsidRPr="00981405">
        <w:t xml:space="preserve"> </w:t>
      </w:r>
      <w:r w:rsidRPr="00981405">
        <w:t>atmospheric</w:t>
      </w:r>
      <w:r w:rsidR="00190923" w:rsidRPr="00981405">
        <w:t xml:space="preserve"> </w:t>
      </w:r>
      <w:r w:rsidRPr="00981405">
        <w:t>environment,</w:t>
      </w:r>
      <w:r w:rsidRPr="00981405">
        <w:rPr>
          <w:rStyle w:val="FootnoteReference"/>
        </w:rPr>
        <w:footnoteReference w:id="25"/>
      </w:r>
      <w:r w:rsidR="00190923" w:rsidRPr="00981405">
        <w:t xml:space="preserve"> </w:t>
      </w:r>
      <w:r w:rsidRPr="00981405">
        <w:t>with</w:t>
      </w:r>
      <w:r w:rsidR="00190923" w:rsidRPr="00981405">
        <w:t xml:space="preserve"> </w:t>
      </w:r>
      <w:r w:rsidRPr="00981405">
        <w:t>the</w:t>
      </w:r>
      <w:r w:rsidR="00190923" w:rsidRPr="00981405">
        <w:t xml:space="preserve"> </w:t>
      </w:r>
      <w:r w:rsidRPr="00981405">
        <w:t>Arctic</w:t>
      </w:r>
      <w:r w:rsidR="00190923" w:rsidRPr="00981405">
        <w:t xml:space="preserve"> </w:t>
      </w:r>
      <w:r w:rsidRPr="00981405">
        <w:t>region</w:t>
      </w:r>
      <w:r w:rsidR="00190923" w:rsidRPr="00981405">
        <w:t xml:space="preserve"> </w:t>
      </w:r>
      <w:r w:rsidRPr="00981405">
        <w:t>being</w:t>
      </w:r>
      <w:r w:rsidR="00190923" w:rsidRPr="00981405">
        <w:t xml:space="preserve"> </w:t>
      </w:r>
      <w:r w:rsidRPr="00981405">
        <w:t>identified</w:t>
      </w:r>
      <w:r w:rsidR="00190923" w:rsidRPr="00981405">
        <w:t xml:space="preserve"> </w:t>
      </w:r>
      <w:r w:rsidRPr="00981405">
        <w:t>as</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areas</w:t>
      </w:r>
      <w:r w:rsidR="00190923" w:rsidRPr="00981405">
        <w:t xml:space="preserve"> </w:t>
      </w:r>
      <w:r w:rsidRPr="00981405">
        <w:t>most</w:t>
      </w:r>
      <w:r w:rsidR="00190923" w:rsidRPr="00981405">
        <w:t xml:space="preserve"> </w:t>
      </w:r>
      <w:r w:rsidRPr="00981405">
        <w:t>seriously</w:t>
      </w:r>
      <w:r w:rsidR="00190923" w:rsidRPr="00981405">
        <w:t xml:space="preserve"> </w:t>
      </w:r>
      <w:r w:rsidRPr="00981405">
        <w:t>affected</w:t>
      </w:r>
      <w:r w:rsidR="00190923" w:rsidRPr="00981405">
        <w:t xml:space="preserve"> </w:t>
      </w:r>
      <w:r w:rsidRPr="00981405">
        <w:t>by</w:t>
      </w:r>
      <w:r w:rsidR="00190923" w:rsidRPr="00981405">
        <w:t xml:space="preserve"> </w:t>
      </w:r>
      <w:r w:rsidRPr="00981405">
        <w:t>the</w:t>
      </w:r>
      <w:r w:rsidR="00190923" w:rsidRPr="00981405">
        <w:t xml:space="preserve"> </w:t>
      </w:r>
      <w:r w:rsidRPr="00981405">
        <w:t>worldwide</w:t>
      </w:r>
      <w:r w:rsidR="00190923" w:rsidRPr="00981405">
        <w:t xml:space="preserve"> </w:t>
      </w:r>
      <w:r w:rsidRPr="00981405">
        <w:t>spread</w:t>
      </w:r>
      <w:r w:rsidR="00190923" w:rsidRPr="00981405">
        <w:t xml:space="preserve"> </w:t>
      </w:r>
      <w:r w:rsidRPr="00981405">
        <w:t>of</w:t>
      </w:r>
      <w:r w:rsidR="00190923" w:rsidRPr="00981405">
        <w:t xml:space="preserve"> </w:t>
      </w:r>
      <w:r w:rsidRPr="00981405">
        <w:t>deleterious</w:t>
      </w:r>
      <w:r w:rsidR="00190923" w:rsidRPr="00981405">
        <w:t xml:space="preserve"> </w:t>
      </w:r>
      <w:r w:rsidRPr="00981405">
        <w:t>pollutants.</w:t>
      </w:r>
      <w:r w:rsidRPr="00981405">
        <w:rPr>
          <w:rStyle w:val="FootnoteReference"/>
        </w:rPr>
        <w:footnoteReference w:id="26"/>
      </w:r>
    </w:p>
    <w:p w:rsidR="00397032" w:rsidRPr="00981405" w:rsidRDefault="00397032" w:rsidP="00D97463">
      <w:pPr>
        <w:pStyle w:val="SingleTxt"/>
      </w:pPr>
      <w:r w:rsidRPr="00981405">
        <w:t>(4)</w:t>
      </w:r>
      <w:r w:rsidRPr="00981405">
        <w:tab/>
        <w:t>The</w:t>
      </w:r>
      <w:r w:rsidR="00190923" w:rsidRPr="00981405">
        <w:t xml:space="preserve"> </w:t>
      </w:r>
      <w:r w:rsidRPr="00981405">
        <w:t>third</w:t>
      </w:r>
      <w:r w:rsidR="00190923" w:rsidRPr="00981405">
        <w:t xml:space="preserve"> </w:t>
      </w:r>
      <w:r w:rsidRPr="00981405">
        <w:t>preambular</w:t>
      </w:r>
      <w:r w:rsidR="00190923" w:rsidRPr="00981405">
        <w:t xml:space="preserve"> </w:t>
      </w:r>
      <w:r w:rsidRPr="00981405">
        <w:t>paragraph</w:t>
      </w:r>
      <w:r w:rsidR="00190923" w:rsidRPr="00981405">
        <w:t xml:space="preserve"> </w:t>
      </w:r>
      <w:r w:rsidRPr="00981405">
        <w:t>pronounces,</w:t>
      </w:r>
      <w:r w:rsidR="00190923" w:rsidRPr="00981405">
        <w:t xml:space="preserve"> </w:t>
      </w:r>
      <w:r w:rsidRPr="00981405">
        <w:t>bearing</w:t>
      </w:r>
      <w:r w:rsidR="00190923" w:rsidRPr="00981405">
        <w:t xml:space="preserve"> </w:t>
      </w:r>
      <w:r w:rsidRPr="00981405">
        <w:t>in</w:t>
      </w:r>
      <w:r w:rsidR="00190923" w:rsidRPr="00981405">
        <w:t xml:space="preserve"> </w:t>
      </w:r>
      <w:r w:rsidRPr="00981405">
        <w:t>mind</w:t>
      </w:r>
      <w:r w:rsidR="00190923" w:rsidRPr="00981405">
        <w:t xml:space="preserve"> </w:t>
      </w:r>
      <w:r w:rsidRPr="00981405">
        <w:t>the</w:t>
      </w:r>
      <w:r w:rsidR="00190923" w:rsidRPr="00981405">
        <w:t xml:space="preserve"> </w:t>
      </w:r>
      <w:r w:rsidRPr="00981405">
        <w:t>aforementioned</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problems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that</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is</w:t>
      </w:r>
      <w:r w:rsidR="00190923" w:rsidRPr="00981405">
        <w:t xml:space="preserve"> </w:t>
      </w:r>
      <w:r w:rsidRPr="00981405">
        <w:t>a</w:t>
      </w:r>
      <w:r w:rsidR="00190923" w:rsidRPr="00981405">
        <w:t xml:space="preserve"> </w:t>
      </w:r>
      <w:r w:rsidR="00B92E2C" w:rsidRPr="00981405">
        <w:t>“</w:t>
      </w:r>
      <w:r w:rsidRPr="00981405">
        <w:t>pressing</w:t>
      </w:r>
      <w:r w:rsidR="00190923" w:rsidRPr="00981405">
        <w:t xml:space="preserve"> </w:t>
      </w:r>
      <w:r w:rsidRPr="00981405">
        <w:t>concern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B92E2C" w:rsidRPr="00981405">
        <w:t>”</w:t>
      </w:r>
      <w:r w:rsidR="00190923" w:rsidRPr="00981405">
        <w:t xml:space="preserve"> </w:t>
      </w:r>
      <w:r w:rsidRPr="00981405">
        <w:t>While</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literature</w:t>
      </w:r>
      <w:r w:rsidR="00190923" w:rsidRPr="00981405">
        <w:t xml:space="preserve"> </w:t>
      </w:r>
      <w:r w:rsidRPr="00981405">
        <w:t>demonstrate</w:t>
      </w:r>
      <w:r w:rsidR="00190923" w:rsidRPr="00981405">
        <w:t xml:space="preserve"> </w:t>
      </w:r>
      <w:r w:rsidRPr="00981405">
        <w:t>some</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00B92E2C" w:rsidRPr="00981405">
        <w:t>“</w:t>
      </w:r>
      <w:r w:rsidRPr="00981405">
        <w:t>common</w:t>
      </w:r>
      <w:r w:rsidR="00190923" w:rsidRPr="00981405">
        <w:t xml:space="preserve"> </w:t>
      </w:r>
      <w:r w:rsidRPr="00981405">
        <w:t>concern</w:t>
      </w:r>
      <w:r w:rsidR="00190923" w:rsidRPr="00981405">
        <w:t xml:space="preserve"> </w:t>
      </w:r>
      <w:r w:rsidRPr="00981405">
        <w:t>of</w:t>
      </w:r>
      <w:r w:rsidR="00190923" w:rsidRPr="00981405">
        <w:t xml:space="preserve"> </w:t>
      </w:r>
      <w:r w:rsidRPr="00981405">
        <w:t>humankind</w:t>
      </w:r>
      <w:r w:rsidR="00B92E2C" w:rsidRPr="00981405">
        <w:t>”</w:t>
      </w:r>
      <w:r w:rsidRPr="00981405">
        <w:rPr>
          <w:rStyle w:val="FootnoteReference"/>
        </w:rPr>
        <w:footnoteReference w:id="27"/>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not</w:t>
      </w:r>
      <w:r w:rsidR="00190923" w:rsidRPr="00981405">
        <w:t xml:space="preserve"> </w:t>
      </w:r>
      <w:r w:rsidRPr="00981405">
        <w:t>to</w:t>
      </w:r>
      <w:r w:rsidR="00190923" w:rsidRPr="00981405">
        <w:t xml:space="preserve"> </w:t>
      </w:r>
      <w:r w:rsidRPr="00981405">
        <w:t>adopt</w:t>
      </w:r>
      <w:r w:rsidR="00190923" w:rsidRPr="00981405">
        <w:t xml:space="preserve"> </w:t>
      </w:r>
      <w:r w:rsidRPr="00981405">
        <w:t>this</w:t>
      </w:r>
      <w:r w:rsidR="00190923" w:rsidRPr="00981405">
        <w:t xml:space="preserve"> </w:t>
      </w:r>
      <w:r w:rsidRPr="00981405">
        <w:t>language</w:t>
      </w:r>
      <w:r w:rsidR="00190923" w:rsidRPr="00981405">
        <w:t xml:space="preserve"> </w:t>
      </w:r>
      <w:r w:rsidRPr="00981405">
        <w:t>for</w:t>
      </w:r>
      <w:r w:rsidR="00190923" w:rsidRPr="00981405">
        <w:t xml:space="preserve"> </w:t>
      </w:r>
      <w:r w:rsidRPr="00981405">
        <w:t>the</w:t>
      </w:r>
      <w:r w:rsidR="00190923" w:rsidRPr="00981405">
        <w:t xml:space="preserve"> </w:t>
      </w:r>
      <w:r w:rsidRPr="00981405">
        <w:lastRenderedPageBreak/>
        <w:t>characterization</w:t>
      </w:r>
      <w:r w:rsidR="00190923" w:rsidRPr="00981405">
        <w:t xml:space="preserve"> </w:t>
      </w:r>
      <w:r w:rsidRPr="00981405">
        <w:t>of</w:t>
      </w:r>
      <w:r w:rsidR="00190923" w:rsidRPr="00981405">
        <w:t xml:space="preserve"> </w:t>
      </w:r>
      <w:r w:rsidRPr="00981405">
        <w:t>the</w:t>
      </w:r>
      <w:r w:rsidR="00190923" w:rsidRPr="00981405">
        <w:t xml:space="preserve"> </w:t>
      </w:r>
      <w:r w:rsidRPr="00981405">
        <w:t>problem,</w:t>
      </w:r>
      <w:r w:rsidR="00190923" w:rsidRPr="00981405">
        <w:t xml:space="preserve"> </w:t>
      </w:r>
      <w:r w:rsidRPr="00981405">
        <w:t>as</w:t>
      </w:r>
      <w:r w:rsidR="00190923" w:rsidRPr="00981405">
        <w:t xml:space="preserve"> </w:t>
      </w:r>
      <w:r w:rsidRPr="00981405">
        <w:t>the</w:t>
      </w:r>
      <w:r w:rsidR="00190923" w:rsidRPr="00981405">
        <w:t xml:space="preserve"> </w:t>
      </w:r>
      <w:r w:rsidRPr="00981405">
        <w:t>legal</w:t>
      </w:r>
      <w:r w:rsidR="00190923" w:rsidRPr="00981405">
        <w:t xml:space="preserve"> </w:t>
      </w:r>
      <w:r w:rsidRPr="00981405">
        <w:t>consequences</w:t>
      </w:r>
      <w:r w:rsidR="00190923" w:rsidRPr="00981405">
        <w:t xml:space="preserve"> </w:t>
      </w:r>
      <w:r w:rsidRPr="00981405">
        <w:t>of</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common</w:t>
      </w:r>
      <w:r w:rsidR="00190923" w:rsidRPr="00981405">
        <w:t xml:space="preserve"> </w:t>
      </w:r>
      <w:r w:rsidRPr="00981405">
        <w:t>concern</w:t>
      </w:r>
      <w:r w:rsidR="00190923" w:rsidRPr="00981405">
        <w:t xml:space="preserve"> </w:t>
      </w:r>
      <w:r w:rsidRPr="00981405">
        <w:t>of</w:t>
      </w:r>
      <w:r w:rsidR="00190923" w:rsidRPr="00981405">
        <w:t xml:space="preserve"> </w:t>
      </w:r>
      <w:r w:rsidRPr="00981405">
        <w:t>humankind</w:t>
      </w:r>
      <w:r w:rsidR="00190923" w:rsidRPr="00981405">
        <w:t xml:space="preserve"> </w:t>
      </w:r>
      <w:r w:rsidRPr="00981405">
        <w:t>remain</w:t>
      </w:r>
      <w:r w:rsidR="00190923" w:rsidRPr="00981405">
        <w:t xml:space="preserve"> </w:t>
      </w:r>
      <w:r w:rsidRPr="00981405">
        <w:t>unclear</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stage</w:t>
      </w:r>
      <w:r w:rsidR="00190923" w:rsidRPr="00981405">
        <w:t xml:space="preserve"> </w:t>
      </w:r>
      <w:r w:rsidRPr="00981405">
        <w:t>of</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It</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express</w:t>
      </w:r>
      <w:r w:rsidR="00190923" w:rsidRPr="00981405">
        <w:t xml:space="preserve"> </w:t>
      </w:r>
      <w:r w:rsidRPr="00981405">
        <w:t>the</w:t>
      </w:r>
      <w:r w:rsidR="00190923" w:rsidRPr="00981405">
        <w:t xml:space="preserve"> </w:t>
      </w:r>
      <w:r w:rsidRPr="00981405">
        <w:t>concern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a</w:t>
      </w:r>
      <w:r w:rsidR="00190923" w:rsidRPr="00981405">
        <w:t xml:space="preserve"> </w:t>
      </w:r>
      <w:r w:rsidRPr="00981405">
        <w:t>factual</w:t>
      </w:r>
      <w:r w:rsidR="00190923" w:rsidRPr="00981405">
        <w:t xml:space="preserve"> </w:t>
      </w:r>
      <w:r w:rsidRPr="00981405">
        <w:t>statement,</w:t>
      </w:r>
      <w:r w:rsidR="00190923" w:rsidRPr="00981405">
        <w:t xml:space="preserve"> </w:t>
      </w:r>
      <w:r w:rsidRPr="00981405">
        <w:t>and</w:t>
      </w:r>
      <w:r w:rsidR="00190923" w:rsidRPr="00981405">
        <w:t xml:space="preserve"> </w:t>
      </w:r>
      <w:r w:rsidRPr="00981405">
        <w:t>not</w:t>
      </w:r>
      <w:r w:rsidR="00190923" w:rsidRPr="00981405">
        <w:t xml:space="preserve"> </w:t>
      </w:r>
      <w:r w:rsidRPr="00981405">
        <w:t>as</w:t>
      </w:r>
      <w:r w:rsidR="00190923" w:rsidRPr="00981405">
        <w:t xml:space="preserve"> </w:t>
      </w:r>
      <w:r w:rsidRPr="00981405">
        <w:t>a</w:t>
      </w:r>
      <w:r w:rsidR="00190923" w:rsidRPr="00981405">
        <w:t xml:space="preserve"> </w:t>
      </w:r>
      <w:r w:rsidRPr="00981405">
        <w:t>normative</w:t>
      </w:r>
      <w:r w:rsidR="00190923" w:rsidRPr="00981405">
        <w:t xml:space="preserve"> </w:t>
      </w:r>
      <w:r w:rsidRPr="00981405">
        <w:t>statement,</w:t>
      </w:r>
      <w:r w:rsidR="00190923" w:rsidRPr="00981405">
        <w:t xml:space="preserve"> </w:t>
      </w:r>
      <w:r w:rsidRPr="00981405">
        <w:t>as</w:t>
      </w:r>
      <w:r w:rsidR="00190923" w:rsidRPr="00981405">
        <w:t xml:space="preserve"> </w:t>
      </w:r>
      <w:r w:rsidRPr="00981405">
        <w:t>such,</w:t>
      </w:r>
      <w:r w:rsidR="00190923" w:rsidRPr="00981405">
        <w:t xml:space="preserve"> </w:t>
      </w:r>
      <w:r w:rsidRPr="00981405">
        <w:t>of</w:t>
      </w:r>
      <w:r w:rsidR="00190923" w:rsidRPr="00981405">
        <w:t xml:space="preserve"> </w:t>
      </w:r>
      <w:r w:rsidRPr="00981405">
        <w:t>the</w:t>
      </w:r>
      <w:r w:rsidR="00190923" w:rsidRPr="00981405">
        <w:t xml:space="preserve"> </w:t>
      </w:r>
      <w:r w:rsidRPr="00981405">
        <w:t>gravity</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atmospheric</w:t>
      </w:r>
      <w:r w:rsidR="00190923" w:rsidRPr="00981405">
        <w:t xml:space="preserve"> </w:t>
      </w:r>
      <w:r w:rsidRPr="00981405">
        <w:t>problems.</w:t>
      </w:r>
      <w:r w:rsidR="00190923" w:rsidRPr="00981405">
        <w:t xml:space="preserve"> </w:t>
      </w:r>
      <w:r w:rsidRPr="00981405">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therefore,</w:t>
      </w:r>
      <w:r w:rsidR="00190923" w:rsidRPr="00981405">
        <w:t xml:space="preserve"> </w:t>
      </w:r>
      <w:r w:rsidRPr="00981405">
        <w:t>the</w:t>
      </w:r>
      <w:r w:rsidR="00190923" w:rsidRPr="00981405">
        <w:t xml:space="preserve"> </w:t>
      </w:r>
      <w:r w:rsidRPr="00981405">
        <w:t>expression</w:t>
      </w:r>
      <w:r w:rsidR="00190923" w:rsidRPr="00981405">
        <w:t xml:space="preserve"> </w:t>
      </w:r>
      <w:r w:rsidR="00B92E2C" w:rsidRPr="00981405">
        <w:t>“</w:t>
      </w:r>
      <w:r w:rsidRPr="00981405">
        <w:t>a</w:t>
      </w:r>
      <w:r w:rsidR="00190923" w:rsidRPr="00981405">
        <w:t xml:space="preserve"> </w:t>
      </w:r>
      <w:r w:rsidRPr="00981405">
        <w:t>pressing</w:t>
      </w:r>
      <w:r w:rsidR="00190923" w:rsidRPr="00981405">
        <w:t xml:space="preserve"> </w:t>
      </w:r>
      <w:r w:rsidRPr="00981405">
        <w:t>concern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B92E2C" w:rsidRPr="00981405">
        <w:t>”</w:t>
      </w:r>
      <w:r w:rsidR="00190923" w:rsidRPr="00981405">
        <w:t xml:space="preserve"> </w:t>
      </w:r>
      <w:r w:rsidRPr="00981405">
        <w:t>has</w:t>
      </w:r>
      <w:r w:rsidR="00190923" w:rsidRPr="00981405">
        <w:t xml:space="preserve"> </w:t>
      </w:r>
      <w:r w:rsidRPr="00981405">
        <w:t>been</w:t>
      </w:r>
      <w:r w:rsidR="00190923" w:rsidRPr="00981405">
        <w:t xml:space="preserve"> </w:t>
      </w:r>
      <w:r w:rsidRPr="00981405">
        <w:t>employed.</w:t>
      </w:r>
      <w:r w:rsidR="00190923" w:rsidRPr="00981405">
        <w:t xml:space="preserve"> </w:t>
      </w:r>
      <w:r w:rsidRPr="00981405">
        <w:t>This</w:t>
      </w:r>
      <w:r w:rsidR="00190923" w:rsidRPr="00981405">
        <w:t xml:space="preserve"> </w:t>
      </w:r>
      <w:r w:rsidRPr="00981405">
        <w:t>is</w:t>
      </w:r>
      <w:r w:rsidR="00190923" w:rsidRPr="00981405">
        <w:t xml:space="preserve"> </w:t>
      </w:r>
      <w:r w:rsidRPr="00981405">
        <w:t>an</w:t>
      </w:r>
      <w:r w:rsidR="00190923" w:rsidRPr="00981405">
        <w:t xml:space="preserve"> </w:t>
      </w:r>
      <w:r w:rsidRPr="00981405">
        <w:t>expression</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frequently</w:t>
      </w:r>
      <w:r w:rsidR="00190923" w:rsidRPr="00981405">
        <w:t xml:space="preserve"> </w:t>
      </w:r>
      <w:r w:rsidRPr="00981405">
        <w:t>employed</w:t>
      </w:r>
      <w:r w:rsidR="00190923" w:rsidRPr="00981405">
        <w:t xml:space="preserve"> </w:t>
      </w:r>
      <w:r w:rsidRPr="00981405">
        <w:t>as</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criteria</w:t>
      </w:r>
      <w:r w:rsidR="00190923" w:rsidRPr="00981405">
        <w:t xml:space="preserve"> </w:t>
      </w:r>
      <w:r w:rsidRPr="00981405">
        <w:t>for</w:t>
      </w:r>
      <w:r w:rsidR="00190923" w:rsidRPr="00981405">
        <w:t xml:space="preserve"> </w:t>
      </w:r>
      <w:r w:rsidRPr="00981405">
        <w:t>the</w:t>
      </w:r>
      <w:r w:rsidR="00190923" w:rsidRPr="00981405">
        <w:t xml:space="preserve"> </w:t>
      </w:r>
      <w:r w:rsidRPr="00981405">
        <w:t>selection</w:t>
      </w:r>
      <w:r w:rsidR="00190923" w:rsidRPr="00981405">
        <w:t xml:space="preserve"> </w:t>
      </w:r>
      <w:r w:rsidRPr="00981405">
        <w:t>of</w:t>
      </w:r>
      <w:r w:rsidR="00190923" w:rsidRPr="00981405">
        <w:t xml:space="preserve"> </w:t>
      </w:r>
      <w:r w:rsidRPr="00981405">
        <w:t>new</w:t>
      </w:r>
      <w:r w:rsidR="00190923" w:rsidRPr="00981405">
        <w:t xml:space="preserve"> </w:t>
      </w:r>
      <w:r w:rsidRPr="00981405">
        <w:t>topics</w:t>
      </w:r>
      <w:r w:rsidR="00190923" w:rsidRPr="00981405">
        <w:t xml:space="preserve"> </w:t>
      </w:r>
      <w:r w:rsidRPr="00981405">
        <w:t>for</w:t>
      </w:r>
      <w:r w:rsidR="00190923" w:rsidRPr="00981405">
        <w:t xml:space="preserve"> </w:t>
      </w:r>
      <w:r w:rsidRPr="00981405">
        <w:t>inclusion</w:t>
      </w:r>
      <w:r w:rsidR="00190923" w:rsidRPr="00981405">
        <w:t xml:space="preserve"> </w:t>
      </w:r>
      <w:r w:rsidRPr="00981405">
        <w:t>in</w:t>
      </w:r>
      <w:r w:rsidR="00190923" w:rsidRPr="00981405">
        <w:t xml:space="preserve"> </w:t>
      </w:r>
      <w:r w:rsidRPr="00981405">
        <w:t>its</w:t>
      </w:r>
      <w:r w:rsidR="00190923" w:rsidRPr="00981405">
        <w:t xml:space="preserve"> </w:t>
      </w:r>
      <w:r w:rsidRPr="00981405">
        <w:t>long-term</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Pr="00981405">
        <w:rPr>
          <w:rStyle w:val="FootnoteReference"/>
        </w:rPr>
        <w:footnoteReference w:id="28"/>
      </w:r>
    </w:p>
    <w:p w:rsidR="00397032" w:rsidRPr="00981405" w:rsidRDefault="00397032" w:rsidP="00D97463">
      <w:pPr>
        <w:pStyle w:val="SingleTxt"/>
      </w:pPr>
      <w:r w:rsidRPr="00981405">
        <w:t>(5)</w:t>
      </w:r>
      <w:r w:rsidRPr="00981405">
        <w:tab/>
        <w:t>The</w:t>
      </w:r>
      <w:r w:rsidR="00190923" w:rsidRPr="00981405">
        <w:t xml:space="preserve"> </w:t>
      </w:r>
      <w:r w:rsidRPr="00981405">
        <w:t>fourth</w:t>
      </w:r>
      <w:r w:rsidR="00190923" w:rsidRPr="00981405">
        <w:t xml:space="preserve"> </w:t>
      </w:r>
      <w:r w:rsidRPr="00981405">
        <w:t>preambular</w:t>
      </w:r>
      <w:r w:rsidR="00190923" w:rsidRPr="00981405">
        <w:t xml:space="preserve"> </w:t>
      </w:r>
      <w:r w:rsidRPr="00981405">
        <w:t>paragraph</w:t>
      </w:r>
      <w:r w:rsidR="00190923" w:rsidRPr="00981405">
        <w:t xml:space="preserve"> </w:t>
      </w:r>
      <w:r w:rsidRPr="00981405">
        <w:t>is</w:t>
      </w:r>
      <w:r w:rsidR="00190923" w:rsidRPr="00981405">
        <w:t xml:space="preserve"> </w:t>
      </w:r>
      <w:r w:rsidRPr="00981405">
        <w:t>the</w:t>
      </w:r>
      <w:r w:rsidR="00190923" w:rsidRPr="00981405">
        <w:t xml:space="preserve"> </w:t>
      </w:r>
      <w:r w:rsidRPr="00981405">
        <w:t>reproduction</w:t>
      </w:r>
      <w:r w:rsidR="00190923" w:rsidRPr="00981405">
        <w:t xml:space="preserve"> </w:t>
      </w:r>
      <w:r w:rsidRPr="00981405">
        <w:t>of</w:t>
      </w:r>
      <w:r w:rsidR="00190923" w:rsidRPr="00981405">
        <w:t xml:space="preserve"> </w:t>
      </w:r>
      <w:r w:rsidRPr="00981405">
        <w:t>the</w:t>
      </w:r>
      <w:r w:rsidR="00190923" w:rsidRPr="00981405">
        <w:t xml:space="preserve"> </w:t>
      </w:r>
      <w:r w:rsidRPr="00981405">
        <w:t>2013</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in</w:t>
      </w:r>
      <w:r w:rsidR="00190923" w:rsidRPr="00981405">
        <w:t xml:space="preserve"> </w:t>
      </w:r>
      <w:r w:rsidRPr="00981405">
        <w:t>2013.</w:t>
      </w:r>
      <w:r w:rsidR="00190923" w:rsidRPr="00981405">
        <w:t xml:space="preserve"> </w:t>
      </w:r>
      <w:r w:rsidRPr="00981405">
        <w:t>It</w:t>
      </w:r>
      <w:r w:rsidR="00190923" w:rsidRPr="00981405">
        <w:t xml:space="preserve"> </w:t>
      </w:r>
      <w:r w:rsidRPr="00981405">
        <w:t>was</w:t>
      </w:r>
      <w:r w:rsidR="00190923" w:rsidRPr="00981405">
        <w:t xml:space="preserve"> </w:t>
      </w:r>
      <w:r w:rsidRPr="00981405">
        <w:t>agreed</w:t>
      </w:r>
      <w:r w:rsidR="00190923" w:rsidRPr="00981405">
        <w:t xml:space="preserve"> </w:t>
      </w:r>
      <w:r w:rsidRPr="00981405">
        <w:t>that</w:t>
      </w:r>
      <w:r w:rsidR="00190923" w:rsidRPr="00981405">
        <w:t xml:space="preserve"> </w:t>
      </w:r>
      <w:r w:rsidRPr="00981405">
        <w:t>the</w:t>
      </w:r>
      <w:r w:rsidR="00190923" w:rsidRPr="00981405">
        <w:t xml:space="preserve"> </w:t>
      </w:r>
      <w:r w:rsidRPr="00981405">
        <w:t>terminology</w:t>
      </w:r>
      <w:r w:rsidR="00190923" w:rsidRPr="00981405">
        <w:t xml:space="preserve"> </w:t>
      </w:r>
      <w:r w:rsidRPr="00981405">
        <w:t>and</w:t>
      </w:r>
      <w:r w:rsidR="00190923" w:rsidRPr="00981405">
        <w:t xml:space="preserve"> </w:t>
      </w:r>
      <w:r w:rsidRPr="00981405">
        <w:t>location</w:t>
      </w:r>
      <w:r w:rsidR="00190923" w:rsidRPr="00981405">
        <w:t xml:space="preserve"> </w:t>
      </w:r>
      <w:r w:rsidRPr="00981405">
        <w:t>of</w:t>
      </w:r>
      <w:r w:rsidR="00190923" w:rsidRPr="00981405">
        <w:t xml:space="preserve"> </w:t>
      </w:r>
      <w:r w:rsidRPr="00981405">
        <w:t>this</w:t>
      </w:r>
      <w:r w:rsidR="00190923" w:rsidRPr="00981405">
        <w:t xml:space="preserve"> </w:t>
      </w:r>
      <w:r w:rsidRPr="00981405">
        <w:t>paragraph</w:t>
      </w:r>
      <w:r w:rsidR="00190923" w:rsidRPr="00981405">
        <w:t xml:space="preserve"> </w:t>
      </w:r>
      <w:r w:rsidRPr="00981405">
        <w:t>would</w:t>
      </w:r>
      <w:r w:rsidR="00190923" w:rsidRPr="00981405">
        <w:t xml:space="preserve"> </w:t>
      </w:r>
      <w:r w:rsidRPr="00981405">
        <w:t>be</w:t>
      </w:r>
      <w:r w:rsidR="00190923" w:rsidRPr="00981405">
        <w:t xml:space="preserve"> </w:t>
      </w:r>
      <w:r w:rsidRPr="00981405">
        <w:t>revisited</w:t>
      </w:r>
      <w:r w:rsidR="00190923" w:rsidRPr="00981405">
        <w:t xml:space="preserve"> </w:t>
      </w:r>
      <w:r w:rsidRPr="00981405">
        <w:t>at</w:t>
      </w:r>
      <w:r w:rsidR="00190923" w:rsidRPr="00981405">
        <w:t xml:space="preserve"> </w:t>
      </w:r>
      <w:r w:rsidRPr="00981405">
        <w:t>a</w:t>
      </w:r>
      <w:r w:rsidR="00190923" w:rsidRPr="00981405">
        <w:t xml:space="preserve"> </w:t>
      </w:r>
      <w:r w:rsidRPr="00981405">
        <w:t>later</w:t>
      </w:r>
      <w:r w:rsidR="00190923" w:rsidRPr="00981405">
        <w:t xml:space="preserve"> </w:t>
      </w:r>
      <w:r w:rsidRPr="00981405">
        <w:t>stage</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work</w:t>
      </w:r>
      <w:r w:rsidR="00190923" w:rsidRPr="00981405">
        <w:t xml:space="preserve"> </w:t>
      </w:r>
      <w:r w:rsidRPr="00981405">
        <w:t>on</w:t>
      </w:r>
      <w:r w:rsidR="00190923" w:rsidRPr="00981405">
        <w:t xml:space="preserve"> </w:t>
      </w:r>
      <w:r w:rsidRPr="00981405">
        <w:t>this</w:t>
      </w:r>
      <w:r w:rsidR="00190923" w:rsidRPr="00981405">
        <w:t xml:space="preserve"> </w:t>
      </w:r>
      <w:r w:rsidRPr="00981405">
        <w:t>topic.</w:t>
      </w:r>
      <w:r w:rsidRPr="00981405">
        <w:rPr>
          <w:rStyle w:val="FootnoteReference"/>
        </w:rPr>
        <w:footnoteReference w:id="29"/>
      </w:r>
    </w:p>
    <w:p w:rsidR="00397032" w:rsidRPr="00981405" w:rsidRDefault="00397032" w:rsidP="00D97463">
      <w:pPr>
        <w:pStyle w:val="SingleTxt"/>
      </w:pPr>
      <w:r w:rsidRPr="00981405">
        <w:t>(6)</w:t>
      </w:r>
      <w:r w:rsidRPr="00981405">
        <w:tab/>
        <w:t>Some</w:t>
      </w:r>
      <w:r w:rsidR="00190923" w:rsidRPr="00981405">
        <w:t xml:space="preserve"> </w:t>
      </w:r>
      <w:r w:rsidRPr="00981405">
        <w:t>other</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may</w:t>
      </w:r>
      <w:r w:rsidR="00190923" w:rsidRPr="00981405">
        <w:t xml:space="preserve"> </w:t>
      </w:r>
      <w:r w:rsidRPr="00981405">
        <w:t>be</w:t>
      </w:r>
      <w:r w:rsidR="00190923" w:rsidRPr="00981405">
        <w:t xml:space="preserve"> </w:t>
      </w:r>
      <w:r w:rsidRPr="00981405">
        <w:t>added,</w:t>
      </w:r>
      <w:r w:rsidR="00190923" w:rsidRPr="00981405">
        <w:t xml:space="preserve"> </w:t>
      </w:r>
      <w:r w:rsidRPr="00981405">
        <w:t>and</w:t>
      </w:r>
      <w:r w:rsidR="00190923" w:rsidRPr="00981405">
        <w:t xml:space="preserve"> </w:t>
      </w:r>
      <w:r w:rsidRPr="00981405">
        <w:t>the</w:t>
      </w:r>
      <w:r w:rsidR="00190923" w:rsidRPr="00981405">
        <w:t xml:space="preserve"> </w:t>
      </w:r>
      <w:r w:rsidRPr="00981405">
        <w:t>order</w:t>
      </w:r>
      <w:r w:rsidR="00190923" w:rsidRPr="00981405">
        <w:t xml:space="preserve"> </w:t>
      </w:r>
      <w:r w:rsidRPr="00981405">
        <w:t>of</w:t>
      </w:r>
      <w:r w:rsidR="00190923" w:rsidRPr="00981405">
        <w:t xml:space="preserve"> </w:t>
      </w:r>
      <w:r w:rsidRPr="00981405">
        <w:t>paragraphs</w:t>
      </w:r>
      <w:r w:rsidR="00190923" w:rsidRPr="00981405">
        <w:t xml:space="preserve"> </w:t>
      </w:r>
      <w:r w:rsidRPr="00981405">
        <w:t>may</w:t>
      </w:r>
      <w:r w:rsidR="00190923" w:rsidRPr="00981405">
        <w:t xml:space="preserve"> </w:t>
      </w:r>
      <w:r w:rsidRPr="00981405">
        <w:t>be</w:t>
      </w:r>
      <w:r w:rsidR="00190923" w:rsidRPr="00981405">
        <w:t xml:space="preserve"> </w:t>
      </w:r>
      <w:r w:rsidRPr="00981405">
        <w:t>coordinated,</w:t>
      </w:r>
      <w:r w:rsidR="00190923" w:rsidRPr="00981405">
        <w:t xml:space="preserve"> </w:t>
      </w:r>
      <w:r w:rsidRPr="00981405">
        <w:t>at</w:t>
      </w:r>
      <w:r w:rsidR="00190923" w:rsidRPr="00981405">
        <w:t xml:space="preserve"> </w:t>
      </w:r>
      <w:r w:rsidRPr="00981405">
        <w:t>a</w:t>
      </w:r>
      <w:r w:rsidR="00190923" w:rsidRPr="00981405">
        <w:t xml:space="preserve"> </w:t>
      </w:r>
      <w:r w:rsidRPr="00981405">
        <w:t>later</w:t>
      </w:r>
      <w:r w:rsidR="00190923" w:rsidRPr="00981405">
        <w:t xml:space="preserve"> </w:t>
      </w:r>
      <w:r w:rsidRPr="00981405">
        <w:t>stage.</w:t>
      </w:r>
    </w:p>
    <w:p w:rsidR="00397032" w:rsidRPr="00D97463" w:rsidRDefault="00397032" w:rsidP="00D97463">
      <w:pPr>
        <w:pStyle w:val="SingleTxt"/>
        <w:ind w:left="1742"/>
        <w:jc w:val="left"/>
        <w:rPr>
          <w:b/>
          <w:bCs/>
        </w:rPr>
      </w:pPr>
      <w:bookmarkStart w:id="29" w:name="_Toc427938090"/>
      <w:r w:rsidRPr="00D97463">
        <w:rPr>
          <w:b/>
          <w:bCs/>
        </w:rPr>
        <w:t>Guideline</w:t>
      </w:r>
      <w:r w:rsidR="00190923" w:rsidRPr="00981405">
        <w:rPr>
          <w:b/>
          <w:bCs/>
        </w:rPr>
        <w:t xml:space="preserve"> </w:t>
      </w:r>
      <w:r w:rsidRPr="00D97463">
        <w:rPr>
          <w:b/>
          <w:bCs/>
        </w:rPr>
        <w:t>1</w:t>
      </w:r>
      <w:r w:rsidRPr="00D97463">
        <w:rPr>
          <w:b/>
          <w:bCs/>
        </w:rPr>
        <w:br/>
        <w:t>Use</w:t>
      </w:r>
      <w:r w:rsidR="00190923" w:rsidRPr="00981405">
        <w:rPr>
          <w:b/>
          <w:bCs/>
        </w:rPr>
        <w:t xml:space="preserve"> </w:t>
      </w:r>
      <w:r w:rsidRPr="00D97463">
        <w:rPr>
          <w:b/>
          <w:bCs/>
        </w:rPr>
        <w:t>of</w:t>
      </w:r>
      <w:r w:rsidR="00190923" w:rsidRPr="00981405">
        <w:rPr>
          <w:b/>
          <w:bCs/>
        </w:rPr>
        <w:t xml:space="preserve"> </w:t>
      </w:r>
      <w:r w:rsidRPr="00D97463">
        <w:rPr>
          <w:b/>
          <w:bCs/>
        </w:rPr>
        <w:t>terms</w:t>
      </w:r>
      <w:bookmarkEnd w:id="29"/>
      <w:r w:rsidR="00190923" w:rsidRPr="00981405">
        <w:rPr>
          <w:b/>
          <w:bCs/>
        </w:rPr>
        <w:t xml:space="preserve"> </w:t>
      </w:r>
    </w:p>
    <w:p w:rsidR="00397032" w:rsidRPr="00981405" w:rsidRDefault="009F76A0" w:rsidP="00D97463">
      <w:pPr>
        <w:pStyle w:val="SingleTxt"/>
        <w:ind w:left="1742"/>
      </w:pPr>
      <w:r>
        <w:tab/>
      </w:r>
      <w:r w:rsidR="00397032" w:rsidRPr="00981405">
        <w:t>For</w:t>
      </w:r>
      <w:r w:rsidR="00190923" w:rsidRPr="00981405">
        <w:t xml:space="preserve"> </w:t>
      </w:r>
      <w:r w:rsidR="00397032" w:rsidRPr="00981405">
        <w:t>the</w:t>
      </w:r>
      <w:r w:rsidR="00190923" w:rsidRPr="00981405">
        <w:t xml:space="preserve"> </w:t>
      </w:r>
      <w:r w:rsidR="00397032" w:rsidRPr="00981405">
        <w:t>purposes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present</w:t>
      </w:r>
      <w:r w:rsidR="00190923" w:rsidRPr="00981405">
        <w:t xml:space="preserve"> </w:t>
      </w:r>
      <w:r w:rsidR="00397032" w:rsidRPr="00981405">
        <w:t>draft</w:t>
      </w:r>
      <w:r w:rsidR="00190923" w:rsidRPr="00981405">
        <w:t xml:space="preserve"> </w:t>
      </w:r>
      <w:r w:rsidR="00397032" w:rsidRPr="00981405">
        <w:t>guidelines,</w:t>
      </w:r>
    </w:p>
    <w:p w:rsidR="00397032" w:rsidRPr="00981405" w:rsidRDefault="00397032" w:rsidP="00D97463">
      <w:pPr>
        <w:pStyle w:val="SingleTxt"/>
        <w:ind w:left="1742"/>
      </w:pPr>
      <w:r w:rsidRPr="00981405">
        <w:tab/>
        <w:t>(a)</w:t>
      </w:r>
      <w:r w:rsidRPr="00981405">
        <w:tab/>
      </w:r>
      <w:r w:rsidR="00B92E2C" w:rsidRPr="00981405">
        <w:t>“</w:t>
      </w:r>
      <w:r w:rsidRPr="00981405">
        <w:t>Atmosphere</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envelope</w:t>
      </w:r>
      <w:r w:rsidR="00190923" w:rsidRPr="00981405">
        <w:t xml:space="preserve"> </w:t>
      </w:r>
      <w:r w:rsidRPr="00981405">
        <w:t>of</w:t>
      </w:r>
      <w:r w:rsidR="00190923" w:rsidRPr="00981405">
        <w:t xml:space="preserve"> </w:t>
      </w:r>
      <w:r w:rsidRPr="00981405">
        <w:t>gases</w:t>
      </w:r>
      <w:r w:rsidR="00190923" w:rsidRPr="00981405">
        <w:t xml:space="preserve"> </w:t>
      </w:r>
      <w:r w:rsidRPr="00981405">
        <w:t>surrounding</w:t>
      </w:r>
      <w:r w:rsidR="00190923" w:rsidRPr="00981405">
        <w:t xml:space="preserve"> </w:t>
      </w:r>
      <w:r w:rsidRPr="00981405">
        <w:t>the</w:t>
      </w:r>
      <w:r w:rsidR="00190923" w:rsidRPr="00981405">
        <w:t xml:space="preserve"> </w:t>
      </w:r>
      <w:r w:rsidRPr="00981405">
        <w:t>Earth;</w:t>
      </w:r>
      <w:r w:rsidR="00190923" w:rsidRPr="00981405">
        <w:t xml:space="preserve"> </w:t>
      </w:r>
    </w:p>
    <w:p w:rsidR="00397032" w:rsidRPr="00981405" w:rsidRDefault="00397032" w:rsidP="00D97463">
      <w:pPr>
        <w:pStyle w:val="SingleTxt"/>
        <w:ind w:left="1742"/>
      </w:pPr>
      <w:r w:rsidRPr="00981405">
        <w:tab/>
        <w:t>(b)</w:t>
      </w:r>
      <w:r w:rsidRPr="00981405">
        <w:tab/>
      </w:r>
      <w:r w:rsidR="00B92E2C" w:rsidRPr="00981405">
        <w:t>“</w:t>
      </w:r>
      <w:r w:rsidRPr="00981405">
        <w:t>Atmospheric</w:t>
      </w:r>
      <w:r w:rsidR="00190923" w:rsidRPr="00981405">
        <w:t xml:space="preserve"> </w:t>
      </w:r>
      <w:r w:rsidRPr="00981405">
        <w:t>pollution</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introduction</w:t>
      </w:r>
      <w:r w:rsidR="00190923" w:rsidRPr="00981405">
        <w:t xml:space="preserve"> </w:t>
      </w:r>
      <w:r w:rsidRPr="00981405">
        <w:t>or</w:t>
      </w:r>
      <w:r w:rsidR="00190923" w:rsidRPr="00981405">
        <w:t xml:space="preserve"> </w:t>
      </w:r>
      <w:r w:rsidRPr="00981405">
        <w:t>release</w:t>
      </w:r>
      <w:r w:rsidR="00190923" w:rsidRPr="00981405">
        <w:t xml:space="preserve"> </w:t>
      </w:r>
      <w:r w:rsidRPr="00981405">
        <w:t>by</w:t>
      </w:r>
      <w:r w:rsidR="00190923" w:rsidRPr="00981405">
        <w:t xml:space="preserve"> </w:t>
      </w:r>
      <w:r w:rsidRPr="00981405">
        <w:t>humans,</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into</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of</w:t>
      </w:r>
      <w:r w:rsidR="00190923" w:rsidRPr="00981405">
        <w:t xml:space="preserve"> </w:t>
      </w:r>
      <w:r w:rsidRPr="00981405">
        <w:t>substances</w:t>
      </w:r>
      <w:r w:rsidR="00190923" w:rsidRPr="00981405">
        <w:t xml:space="preserve"> </w:t>
      </w:r>
      <w:r w:rsidRPr="00981405">
        <w:t>contributing</w:t>
      </w:r>
      <w:r w:rsidR="00190923" w:rsidRPr="00981405">
        <w:t xml:space="preserve"> </w:t>
      </w:r>
      <w:r w:rsidRPr="00981405">
        <w:t>to</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extending</w:t>
      </w:r>
      <w:r w:rsidR="00190923" w:rsidRPr="00981405">
        <w:t xml:space="preserve"> </w:t>
      </w:r>
      <w:r w:rsidRPr="00981405">
        <w:t>beyond</w:t>
      </w:r>
      <w:r w:rsidR="00190923" w:rsidRPr="00981405">
        <w:t xml:space="preserve"> </w:t>
      </w:r>
      <w:r w:rsidRPr="00981405">
        <w:t>the</w:t>
      </w:r>
      <w:r w:rsidR="00190923" w:rsidRPr="00981405">
        <w:t xml:space="preserve"> </w:t>
      </w:r>
      <w:r w:rsidRPr="00981405">
        <w:t>State</w:t>
      </w:r>
      <w:r w:rsidR="00190923" w:rsidRPr="00981405">
        <w:t xml:space="preserve"> </w:t>
      </w:r>
      <w:r w:rsidRPr="00981405">
        <w:t>of</w:t>
      </w:r>
      <w:r w:rsidR="00190923" w:rsidRPr="00981405">
        <w:t xml:space="preserve"> </w:t>
      </w:r>
      <w:r w:rsidRPr="00981405">
        <w:t>origin,</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nature</w:t>
      </w:r>
      <w:r w:rsidR="00190923" w:rsidRPr="00981405">
        <w:t xml:space="preserve"> </w:t>
      </w:r>
      <w:r w:rsidRPr="00981405">
        <w:t>as</w:t>
      </w:r>
      <w:r w:rsidR="00190923" w:rsidRPr="00981405">
        <w:t xml:space="preserve"> </w:t>
      </w:r>
      <w:r w:rsidRPr="00981405">
        <w:t>to</w:t>
      </w:r>
      <w:r w:rsidR="00190923" w:rsidRPr="00981405">
        <w:t xml:space="preserve"> </w:t>
      </w:r>
      <w:r w:rsidRPr="00981405">
        <w:t>endanger</w:t>
      </w:r>
      <w:r w:rsidR="00190923" w:rsidRPr="00981405">
        <w:t xml:space="preserve"> </w:t>
      </w:r>
      <w:r w:rsidRPr="00981405">
        <w:t>human</w:t>
      </w:r>
      <w:r w:rsidR="00190923" w:rsidRPr="00981405">
        <w:t xml:space="preserve"> </w:t>
      </w:r>
      <w:r w:rsidRPr="00981405">
        <w:t>life</w:t>
      </w:r>
      <w:r w:rsidR="00190923" w:rsidRPr="00981405">
        <w:t xml:space="preserve"> </w:t>
      </w:r>
      <w:r w:rsidRPr="00981405">
        <w:t>and</w:t>
      </w:r>
      <w:r w:rsidR="00190923" w:rsidRPr="00981405">
        <w:t xml:space="preserve"> </w:t>
      </w:r>
      <w:r w:rsidRPr="00981405">
        <w:t>health</w:t>
      </w:r>
      <w:r w:rsidR="00190923" w:rsidRPr="00981405">
        <w:t xml:space="preserve"> </w:t>
      </w:r>
      <w:r w:rsidRPr="00981405">
        <w:t>and</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natural</w:t>
      </w:r>
      <w:r w:rsidR="00190923" w:rsidRPr="00981405">
        <w:t xml:space="preserve"> </w:t>
      </w:r>
      <w:r w:rsidRPr="00981405">
        <w:t>environment;</w:t>
      </w:r>
    </w:p>
    <w:p w:rsidR="00397032" w:rsidRPr="00981405" w:rsidRDefault="00397032" w:rsidP="00D97463">
      <w:pPr>
        <w:pStyle w:val="SingleTxt"/>
        <w:ind w:left="1742"/>
      </w:pPr>
      <w:r w:rsidRPr="00981405">
        <w:tab/>
        <w:t>(c)</w:t>
      </w:r>
      <w:r w:rsidRPr="00981405">
        <w:tab/>
      </w:r>
      <w:r w:rsidR="00B92E2C" w:rsidRPr="00981405">
        <w:t>“</w:t>
      </w:r>
      <w:r w:rsidRPr="00981405">
        <w:t>Atmospheric</w:t>
      </w:r>
      <w:r w:rsidR="00190923" w:rsidRPr="00981405">
        <w:t xml:space="preserve"> </w:t>
      </w:r>
      <w:r w:rsidRPr="00981405">
        <w:t>degradation</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alteration</w:t>
      </w:r>
      <w:r w:rsidR="00190923" w:rsidRPr="00981405">
        <w:t xml:space="preserve"> </w:t>
      </w:r>
      <w:r w:rsidRPr="00981405">
        <w:t>by</w:t>
      </w:r>
      <w:r w:rsidR="00190923" w:rsidRPr="00981405">
        <w:t xml:space="preserve"> </w:t>
      </w:r>
      <w:r w:rsidRPr="00981405">
        <w:t>humans,</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conditions</w:t>
      </w:r>
      <w:r w:rsidR="00190923" w:rsidRPr="00981405">
        <w:t xml:space="preserve"> </w:t>
      </w:r>
      <w:r w:rsidRPr="00981405">
        <w:t>having</w:t>
      </w:r>
      <w:r w:rsidR="00190923" w:rsidRPr="00981405">
        <w:t xml:space="preserve"> </w:t>
      </w:r>
      <w:r w:rsidRPr="00981405">
        <w:t>significant</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nature</w:t>
      </w:r>
      <w:r w:rsidR="00190923" w:rsidRPr="00981405">
        <w:t xml:space="preserve"> </w:t>
      </w:r>
      <w:r w:rsidRPr="00981405">
        <w:t>as</w:t>
      </w:r>
      <w:r w:rsidR="00190923" w:rsidRPr="00981405">
        <w:t xml:space="preserve"> </w:t>
      </w:r>
      <w:r w:rsidRPr="00981405">
        <w:t>to</w:t>
      </w:r>
      <w:r w:rsidR="00190923" w:rsidRPr="00981405">
        <w:t xml:space="preserve"> </w:t>
      </w:r>
      <w:r w:rsidRPr="00981405">
        <w:t>endanger</w:t>
      </w:r>
      <w:r w:rsidR="00190923" w:rsidRPr="00981405">
        <w:t xml:space="preserve"> </w:t>
      </w:r>
      <w:r w:rsidRPr="00981405">
        <w:t>human</w:t>
      </w:r>
      <w:r w:rsidR="00190923" w:rsidRPr="00981405">
        <w:t xml:space="preserve"> </w:t>
      </w:r>
      <w:r w:rsidRPr="00981405">
        <w:t>life</w:t>
      </w:r>
      <w:r w:rsidR="00190923" w:rsidRPr="00981405">
        <w:t xml:space="preserve"> </w:t>
      </w:r>
      <w:r w:rsidRPr="00981405">
        <w:t>and</w:t>
      </w:r>
      <w:r w:rsidR="00190923" w:rsidRPr="00981405">
        <w:t xml:space="preserve"> </w:t>
      </w:r>
      <w:r w:rsidRPr="00981405">
        <w:t>health</w:t>
      </w:r>
      <w:r w:rsidR="00190923" w:rsidRPr="00981405">
        <w:t xml:space="preserve"> </w:t>
      </w:r>
      <w:r w:rsidRPr="00981405">
        <w:t>and</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natural</w:t>
      </w:r>
      <w:r w:rsidR="00190923" w:rsidRPr="00981405">
        <w:t xml:space="preserve"> </w:t>
      </w:r>
      <w:r w:rsidRPr="00981405">
        <w:t>environment.</w:t>
      </w:r>
      <w:r w:rsidR="00190923" w:rsidRPr="00981405">
        <w:t xml:space="preserve"> </w:t>
      </w:r>
    </w:p>
    <w:p w:rsidR="002D1AB7" w:rsidRPr="00D97463" w:rsidRDefault="002D1AB7"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30" w:name="_Toc427938091"/>
      <w:r w:rsidRPr="00D97463">
        <w:t>Commentary</w:t>
      </w:r>
      <w:bookmarkEnd w:id="3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considered</w:t>
      </w:r>
      <w:r w:rsidR="00190923" w:rsidRPr="00981405">
        <w:t xml:space="preserve"> </w:t>
      </w:r>
      <w:r w:rsidRPr="00981405">
        <w:t>it</w:t>
      </w:r>
      <w:r w:rsidR="00190923" w:rsidRPr="00981405">
        <w:t xml:space="preserve"> </w:t>
      </w:r>
      <w:r w:rsidRPr="00981405">
        <w:t>desirable,</w:t>
      </w:r>
      <w:r w:rsidR="00190923" w:rsidRPr="00981405">
        <w:t xml:space="preserve"> </w:t>
      </w:r>
      <w:r w:rsidRPr="00981405">
        <w:t>as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practical</w:t>
      </w:r>
      <w:r w:rsidR="00190923" w:rsidRPr="00981405">
        <w:t xml:space="preserve"> </w:t>
      </w:r>
      <w:r w:rsidRPr="00981405">
        <w:t>necessity,</w:t>
      </w:r>
      <w:r w:rsidR="00190923" w:rsidRPr="00981405">
        <w:t xml:space="preserve"> </w:t>
      </w:r>
      <w:r w:rsidRPr="00981405">
        <w:t>to</w:t>
      </w:r>
      <w:r w:rsidR="00190923" w:rsidRPr="00981405">
        <w:t xml:space="preserve"> </w:t>
      </w:r>
      <w:r w:rsidRPr="00981405">
        <w:t>provide</w:t>
      </w:r>
      <w:r w:rsidR="00190923" w:rsidRPr="00981405">
        <w:t xml:space="preserve"> </w:t>
      </w:r>
      <w:r w:rsidRPr="00981405">
        <w:t>a</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on</w:t>
      </w:r>
      <w:r w:rsidR="00190923" w:rsidRPr="00981405">
        <w:t xml:space="preserve"> </w:t>
      </w:r>
      <w:r w:rsidRPr="00981405">
        <w:t>the</w:t>
      </w:r>
      <w:r w:rsidR="00190923" w:rsidRPr="00981405">
        <w:t xml:space="preserve"> </w:t>
      </w:r>
      <w:r w:rsidR="00B92E2C" w:rsidRPr="00981405">
        <w:t>“</w:t>
      </w:r>
      <w:r w:rsidRPr="00981405">
        <w:t>Use</w:t>
      </w:r>
      <w:r w:rsidR="00190923" w:rsidRPr="00981405">
        <w:t xml:space="preserve"> </w:t>
      </w:r>
      <w:r w:rsidRPr="00981405">
        <w:t>of</w:t>
      </w:r>
      <w:r w:rsidR="00190923" w:rsidRPr="00981405">
        <w:t xml:space="preserve"> </w:t>
      </w:r>
      <w:r w:rsidRPr="00981405">
        <w:t>terms</w:t>
      </w:r>
      <w:r w:rsidR="00B92E2C" w:rsidRPr="00981405">
        <w:t>”</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have</w:t>
      </w:r>
      <w:r w:rsidR="00190923" w:rsidRPr="00981405">
        <w:t xml:space="preserve"> </w:t>
      </w:r>
      <w:r w:rsidRPr="00981405">
        <w:t>a</w:t>
      </w:r>
      <w:r w:rsidR="00190923" w:rsidRPr="00981405">
        <w:t xml:space="preserve"> </w:t>
      </w:r>
      <w:r w:rsidRPr="00981405">
        <w:t>common</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what</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covered</w:t>
      </w:r>
      <w:r w:rsidR="00190923" w:rsidRPr="00981405">
        <w:t xml:space="preserve"> </w:t>
      </w:r>
      <w:r w:rsidRPr="00981405">
        <w:t>by</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The</w:t>
      </w:r>
      <w:r w:rsidR="00190923" w:rsidRPr="00981405">
        <w:t xml:space="preserve"> </w:t>
      </w:r>
      <w:r w:rsidRPr="00981405">
        <w:t>terms</w:t>
      </w:r>
      <w:r w:rsidR="00190923" w:rsidRPr="00981405">
        <w:t xml:space="preserve"> </w:t>
      </w:r>
      <w:r w:rsidRPr="00981405">
        <w:t>used</w:t>
      </w:r>
      <w:r w:rsidR="00190923" w:rsidRPr="00981405">
        <w:t xml:space="preserve"> </w:t>
      </w:r>
      <w:r w:rsidRPr="00981405">
        <w:t>are</w:t>
      </w:r>
      <w:r w:rsidR="00190923" w:rsidRPr="00981405">
        <w:t xml:space="preserve"> </w:t>
      </w:r>
      <w:r w:rsidRPr="00981405">
        <w:t>provided</w:t>
      </w:r>
      <w:r w:rsidR="00190923" w:rsidRPr="00981405">
        <w:t xml:space="preserve"> </w:t>
      </w:r>
      <w:r w:rsidRPr="00981405">
        <w:t>only</w:t>
      </w:r>
      <w:r w:rsidR="00190923" w:rsidRPr="00981405">
        <w:t xml:space="preserve"> </w:t>
      </w:r>
      <w:r w:rsidR="00B92E2C" w:rsidRPr="00981405">
        <w:t>“</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B92E2C" w:rsidRPr="00981405">
        <w:t>”</w:t>
      </w:r>
      <w:r w:rsidRPr="00981405">
        <w:t>,</w:t>
      </w:r>
      <w:r w:rsidR="00190923" w:rsidRPr="00981405">
        <w:t xml:space="preserve"> </w:t>
      </w:r>
      <w:r w:rsidRPr="00981405">
        <w:t>and</w:t>
      </w:r>
      <w:r w:rsidR="00190923" w:rsidRPr="00981405">
        <w:t xml:space="preserve"> </w:t>
      </w:r>
      <w:r w:rsidRPr="00981405">
        <w:t>are</w:t>
      </w:r>
      <w:r w:rsidR="00190923" w:rsidRPr="00981405">
        <w:t xml:space="preserve"> </w:t>
      </w:r>
      <w:r w:rsidRPr="00981405">
        <w:t>not</w:t>
      </w:r>
      <w:r w:rsidR="00190923" w:rsidRPr="00981405">
        <w:t xml:space="preserve"> </w:t>
      </w:r>
      <w:r w:rsidRPr="00981405">
        <w:t>intended</w:t>
      </w:r>
      <w:r w:rsidR="00190923" w:rsidRPr="00981405">
        <w:t xml:space="preserve"> </w:t>
      </w:r>
      <w:r w:rsidRPr="00981405">
        <w:t>in</w:t>
      </w:r>
      <w:r w:rsidR="00190923" w:rsidRPr="00981405">
        <w:t xml:space="preserve"> </w:t>
      </w:r>
      <w:r w:rsidRPr="00981405">
        <w:t>any</w:t>
      </w:r>
      <w:r w:rsidR="00190923" w:rsidRPr="00981405">
        <w:t xml:space="preserve"> </w:t>
      </w:r>
      <w:r w:rsidRPr="00981405">
        <w:t>way</w:t>
      </w:r>
      <w:r w:rsidR="00190923" w:rsidRPr="00981405">
        <w:t xml:space="preserve"> </w:t>
      </w:r>
      <w:r w:rsidRPr="00981405">
        <w:t>to</w:t>
      </w:r>
      <w:r w:rsidR="00190923" w:rsidRPr="00981405">
        <w:t xml:space="preserve"> </w:t>
      </w:r>
      <w:r w:rsidRPr="00981405">
        <w:t>affect</w:t>
      </w:r>
      <w:r w:rsidR="00190923" w:rsidRPr="00981405">
        <w:t xml:space="preserve"> </w:t>
      </w:r>
      <w:r w:rsidRPr="00981405">
        <w:t>any</w:t>
      </w:r>
      <w:r w:rsidR="00190923" w:rsidRPr="00981405">
        <w:t xml:space="preserve"> </w:t>
      </w:r>
      <w:r w:rsidRPr="00981405">
        <w:t>existing</w:t>
      </w:r>
      <w:r w:rsidR="00190923" w:rsidRPr="00981405">
        <w:t xml:space="preserve"> </w:t>
      </w:r>
      <w:r w:rsidRPr="00981405">
        <w:t>or</w:t>
      </w:r>
      <w:r w:rsidR="00190923" w:rsidRPr="00981405">
        <w:t xml:space="preserve"> </w:t>
      </w:r>
      <w:r w:rsidRPr="00981405">
        <w:t>future</w:t>
      </w:r>
      <w:r w:rsidR="00190923" w:rsidRPr="00981405">
        <w:t xml:space="preserve"> </w:t>
      </w:r>
      <w:r w:rsidRPr="00981405">
        <w:t>definitions</w:t>
      </w:r>
      <w:r w:rsidR="00190923" w:rsidRPr="00981405">
        <w:t xml:space="preserve"> </w:t>
      </w:r>
      <w:r w:rsidRPr="00981405">
        <w:t>of</w:t>
      </w:r>
      <w:r w:rsidR="00190923" w:rsidRPr="00981405">
        <w:t xml:space="preserve"> </w:t>
      </w:r>
      <w:r w:rsidRPr="00981405">
        <w:t>any</w:t>
      </w:r>
      <w:r w:rsidR="00190923" w:rsidRPr="00981405">
        <w:t xml:space="preserve"> </w:t>
      </w:r>
      <w:r w:rsidRPr="00981405">
        <w:t>such</w:t>
      </w:r>
      <w:r w:rsidR="00190923" w:rsidRPr="00981405">
        <w:t xml:space="preserve"> </w:t>
      </w:r>
      <w:r w:rsidRPr="00981405">
        <w:t>terms</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pPr>
      <w:r w:rsidRPr="00981405">
        <w:t>(2)</w:t>
      </w:r>
      <w:r w:rsidRPr="00981405">
        <w:tab/>
        <w:t>No</w:t>
      </w:r>
      <w:r w:rsidR="00190923" w:rsidRPr="00981405">
        <w:t xml:space="preserve"> </w:t>
      </w:r>
      <w:r w:rsidRPr="00981405">
        <w:t>definition</w:t>
      </w:r>
      <w:r w:rsidR="00190923" w:rsidRPr="00981405">
        <w:t xml:space="preserve"> </w:t>
      </w:r>
      <w:r w:rsidRPr="00981405">
        <w:t>has</w:t>
      </w:r>
      <w:r w:rsidR="00190923" w:rsidRPr="00981405">
        <w:t xml:space="preserve"> </w:t>
      </w:r>
      <w:r w:rsidRPr="00981405">
        <w:t>been</w:t>
      </w:r>
      <w:r w:rsidR="00190923" w:rsidRPr="00981405">
        <w:t xml:space="preserve"> </w:t>
      </w:r>
      <w:r w:rsidRPr="00981405">
        <w:t>given</w:t>
      </w:r>
      <w:r w:rsidR="00190923" w:rsidRPr="00981405">
        <w:t xml:space="preserve"> </w:t>
      </w:r>
      <w:r w:rsidRPr="00981405">
        <w:t>to</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atmosphere</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relevant</w:t>
      </w:r>
      <w:r w:rsidR="00190923" w:rsidRPr="00981405">
        <w:t xml:space="preserve"> </w:t>
      </w:r>
      <w:r w:rsidRPr="00981405">
        <w:t>international</w:t>
      </w:r>
      <w:r w:rsidR="00190923" w:rsidRPr="00981405">
        <w:t xml:space="preserve"> </w:t>
      </w:r>
      <w:r w:rsidRPr="00981405">
        <w:t>instruments.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however,</w:t>
      </w:r>
      <w:r w:rsidR="00190923" w:rsidRPr="00981405">
        <w:t xml:space="preserve"> </w:t>
      </w:r>
      <w:r w:rsidRPr="00981405">
        <w:t>considered</w:t>
      </w:r>
      <w:r w:rsidR="00190923" w:rsidRPr="00981405">
        <w:t xml:space="preserve"> </w:t>
      </w:r>
      <w:r w:rsidRPr="00981405">
        <w:t>it</w:t>
      </w:r>
      <w:r w:rsidR="00190923" w:rsidRPr="00981405">
        <w:t xml:space="preserve"> </w:t>
      </w:r>
      <w:r w:rsidRPr="00981405">
        <w:t>necessary</w:t>
      </w:r>
      <w:r w:rsidR="00190923" w:rsidRPr="00981405">
        <w:t xml:space="preserve"> </w:t>
      </w:r>
      <w:r w:rsidRPr="00981405">
        <w:t>to</w:t>
      </w:r>
      <w:r w:rsidR="00190923" w:rsidRPr="00981405">
        <w:t xml:space="preserve"> </w:t>
      </w:r>
      <w:r w:rsidRPr="00981405">
        <w:lastRenderedPageBreak/>
        <w:t>provide</w:t>
      </w:r>
      <w:r w:rsidR="00190923" w:rsidRPr="00981405">
        <w:t xml:space="preserve"> </w:t>
      </w:r>
      <w:r w:rsidRPr="00981405">
        <w:t>a</w:t>
      </w:r>
      <w:r w:rsidR="00190923" w:rsidRPr="00981405">
        <w:t xml:space="preserve"> </w:t>
      </w:r>
      <w:r w:rsidRPr="00981405">
        <w:t>working</w:t>
      </w:r>
      <w:r w:rsidR="00190923" w:rsidRPr="00981405">
        <w:t xml:space="preserve"> </w:t>
      </w:r>
      <w:r w:rsidRPr="00981405">
        <w:t>definition</w:t>
      </w:r>
      <w:r w:rsidR="00190923" w:rsidRPr="00981405">
        <w:t xml:space="preserve"> </w:t>
      </w:r>
      <w:r w:rsidRPr="00981405">
        <w:t>for</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and</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given</w:t>
      </w:r>
      <w:r w:rsidR="00190923" w:rsidRPr="00981405">
        <w:t xml:space="preserve"> </w:t>
      </w:r>
      <w:r w:rsidRPr="00981405">
        <w:t>in</w:t>
      </w:r>
      <w:r w:rsidR="00190923" w:rsidRPr="00981405">
        <w:t xml:space="preserve"> </w:t>
      </w:r>
      <w:r w:rsidRPr="00981405">
        <w:t>paragraph</w:t>
      </w:r>
      <w:r w:rsidR="00190923" w:rsidRPr="00981405">
        <w:t xml:space="preserve"> </w:t>
      </w:r>
      <w:r w:rsidRPr="00981405">
        <w:t>(a)</w:t>
      </w:r>
      <w:r w:rsidR="00190923" w:rsidRPr="00981405">
        <w:t xml:space="preserve"> </w:t>
      </w:r>
      <w:r w:rsidRPr="00981405">
        <w:t>is</w:t>
      </w:r>
      <w:r w:rsidR="00190923" w:rsidRPr="00981405">
        <w:t xml:space="preserve"> </w:t>
      </w:r>
      <w:r w:rsidRPr="00981405">
        <w:t>inspired</w:t>
      </w:r>
      <w:r w:rsidR="00190923" w:rsidRPr="00981405">
        <w:t xml:space="preserve"> </w:t>
      </w:r>
      <w:r w:rsidRPr="00981405">
        <w:t>by</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given</w:t>
      </w:r>
      <w:r w:rsidR="00190923" w:rsidRPr="00981405">
        <w:t xml:space="preserve"> </w:t>
      </w:r>
      <w:r w:rsidRPr="00981405">
        <w:t>by</w:t>
      </w:r>
      <w:r w:rsidR="00190923" w:rsidRPr="00981405">
        <w:t xml:space="preserve"> </w:t>
      </w:r>
      <w:r w:rsidRPr="00981405">
        <w:t>a</w:t>
      </w:r>
      <w:r w:rsidR="00190923" w:rsidRPr="00981405">
        <w:t xml:space="preserve"> </w:t>
      </w:r>
      <w:r w:rsidRPr="00981405">
        <w:t>working</w:t>
      </w:r>
      <w:r w:rsidR="00190923" w:rsidRPr="00981405">
        <w:t xml:space="preserve"> </w:t>
      </w:r>
      <w:r w:rsidRPr="00981405">
        <w:t>group</w:t>
      </w:r>
      <w:r w:rsidR="00190923" w:rsidRPr="00981405">
        <w:t xml:space="preserve"> </w:t>
      </w:r>
      <w:r w:rsidRPr="00981405">
        <w:t>of</w:t>
      </w:r>
      <w:r w:rsidR="00190923" w:rsidRPr="00981405">
        <w:t xml:space="preserve"> </w:t>
      </w:r>
      <w:r w:rsidRPr="00981405">
        <w:t>the</w:t>
      </w:r>
      <w:r w:rsidR="00190923" w:rsidRPr="00981405">
        <w:t xml:space="preserve"> </w:t>
      </w:r>
      <w:r w:rsidRPr="00981405">
        <w:t>Intergovernmental</w:t>
      </w:r>
      <w:r w:rsidR="00190923" w:rsidRPr="00981405">
        <w:t xml:space="preserve"> </w:t>
      </w:r>
      <w:r w:rsidRPr="00981405">
        <w:t>Panel</w:t>
      </w:r>
      <w:r w:rsidR="00190923" w:rsidRPr="00981405">
        <w:t xml:space="preserve"> </w:t>
      </w:r>
      <w:r w:rsidRPr="00981405">
        <w:t>on</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(IPCC).</w:t>
      </w:r>
      <w:r w:rsidRPr="00981405">
        <w:rPr>
          <w:rStyle w:val="FootnoteReference"/>
        </w:rPr>
        <w:footnoteReference w:id="30"/>
      </w:r>
    </w:p>
    <w:p w:rsidR="00397032" w:rsidRPr="00981405" w:rsidRDefault="00397032" w:rsidP="00D97463">
      <w:pPr>
        <w:pStyle w:val="SingleTxt"/>
      </w:pPr>
      <w:r w:rsidRPr="00981405">
        <w:t>(3)</w:t>
      </w:r>
      <w:r w:rsidRPr="00981405">
        <w:tab/>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it</w:t>
      </w:r>
      <w:r w:rsidR="00190923" w:rsidRPr="00981405">
        <w:t xml:space="preserve"> </w:t>
      </w:r>
      <w:r w:rsidRPr="00981405">
        <w:t>necessary</w:t>
      </w:r>
      <w:r w:rsidR="00190923" w:rsidRPr="00981405">
        <w:t xml:space="preserve"> </w:t>
      </w:r>
      <w:r w:rsidRPr="00981405">
        <w:t>that</w:t>
      </w:r>
      <w:r w:rsidR="00190923" w:rsidRPr="00981405">
        <w:t xml:space="preserve"> </w:t>
      </w:r>
      <w:r w:rsidRPr="00981405">
        <w:t>its</w:t>
      </w:r>
      <w:r w:rsidR="00190923" w:rsidRPr="00981405">
        <w:t xml:space="preserve"> </w:t>
      </w:r>
      <w:r w:rsidRPr="00981405">
        <w:t>legal</w:t>
      </w:r>
      <w:r w:rsidR="00190923" w:rsidRPr="00981405">
        <w:t xml:space="preserve"> </w:t>
      </w:r>
      <w:r w:rsidRPr="00981405">
        <w:t>definition</w:t>
      </w:r>
      <w:r w:rsidR="00190923" w:rsidRPr="00981405">
        <w:t xml:space="preserve"> </w:t>
      </w:r>
      <w:r w:rsidRPr="00981405">
        <w:t>be</w:t>
      </w:r>
      <w:r w:rsidR="00190923" w:rsidRPr="00981405">
        <w:t xml:space="preserve"> </w:t>
      </w:r>
      <w:r w:rsidRPr="00981405">
        <w:t>consistent</w:t>
      </w:r>
      <w:r w:rsidR="00190923" w:rsidRPr="00981405">
        <w:t xml:space="preserve"> </w:t>
      </w:r>
      <w:r w:rsidRPr="00981405">
        <w:t>with</w:t>
      </w:r>
      <w:r w:rsidR="00190923" w:rsidRPr="00981405">
        <w:t xml:space="preserve"> </w:t>
      </w:r>
      <w:r w:rsidRPr="00981405">
        <w:t>the</w:t>
      </w:r>
      <w:r w:rsidR="00190923" w:rsidRPr="00981405">
        <w:t xml:space="preserve"> </w:t>
      </w:r>
      <w:r w:rsidRPr="00981405">
        <w:t>approach</w:t>
      </w:r>
      <w:r w:rsidR="00190923" w:rsidRPr="00981405">
        <w:t xml:space="preserve"> </w:t>
      </w:r>
      <w:r w:rsidRPr="00981405">
        <w:t>of</w:t>
      </w:r>
      <w:r w:rsidR="00190923" w:rsidRPr="00981405">
        <w:t xml:space="preserve"> </w:t>
      </w:r>
      <w:r w:rsidRPr="00981405">
        <w:t>scientists.</w:t>
      </w:r>
      <w:r w:rsidR="00190923" w:rsidRPr="00981405">
        <w:t xml:space="preserve"> </w:t>
      </w:r>
      <w:r w:rsidRPr="00981405">
        <w:t>According</w:t>
      </w:r>
      <w:r w:rsidR="00190923" w:rsidRPr="00981405">
        <w:t xml:space="preserve"> </w:t>
      </w:r>
      <w:r w:rsidRPr="00981405">
        <w:t>to</w:t>
      </w:r>
      <w:r w:rsidR="00190923" w:rsidRPr="00981405">
        <w:t xml:space="preserve"> </w:t>
      </w:r>
      <w:r w:rsidRPr="00981405">
        <w:t>scientists,</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exists</w:t>
      </w:r>
      <w:r w:rsidR="00190923" w:rsidRPr="00981405">
        <w:t xml:space="preserve"> </w:t>
      </w:r>
      <w:r w:rsidRPr="00981405">
        <w:t>in</w:t>
      </w:r>
      <w:r w:rsidR="00190923" w:rsidRPr="00981405">
        <w:t xml:space="preserve"> </w:t>
      </w:r>
      <w:r w:rsidRPr="00981405">
        <w:t>what</w:t>
      </w:r>
      <w:r w:rsidR="00190923" w:rsidRPr="00981405">
        <w:t xml:space="preserve"> </w:t>
      </w:r>
      <w:r w:rsidRPr="00981405">
        <w:t>is</w:t>
      </w:r>
      <w:r w:rsidR="00190923" w:rsidRPr="00981405">
        <w:t xml:space="preserve"> </w:t>
      </w:r>
      <w:r w:rsidRPr="00981405">
        <w:t>called</w:t>
      </w:r>
      <w:r w:rsidR="00190923" w:rsidRPr="00981405">
        <w:t xml:space="preserve"> </w:t>
      </w:r>
      <w:r w:rsidRPr="00981405">
        <w:t>the</w:t>
      </w:r>
      <w:r w:rsidR="00190923" w:rsidRPr="00981405">
        <w:t xml:space="preserve"> </w:t>
      </w:r>
      <w:r w:rsidRPr="00981405">
        <w:t>atmospheric</w:t>
      </w:r>
      <w:r w:rsidR="00190923" w:rsidRPr="00981405">
        <w:t xml:space="preserve"> </w:t>
      </w:r>
      <w:r w:rsidRPr="00981405">
        <w:t>shell.</w:t>
      </w:r>
      <w:r w:rsidRPr="00981405">
        <w:rPr>
          <w:rStyle w:val="FootnoteReference"/>
        </w:rPr>
        <w:footnoteReference w:id="31"/>
      </w:r>
      <w:r w:rsidR="00190923" w:rsidRPr="00981405">
        <w:t xml:space="preserve"> </w:t>
      </w:r>
      <w:r w:rsidRPr="00981405">
        <w:t>It</w:t>
      </w:r>
      <w:r w:rsidR="00190923" w:rsidRPr="00981405">
        <w:t xml:space="preserve"> </w:t>
      </w:r>
      <w:r w:rsidRPr="00981405">
        <w:t>extends</w:t>
      </w:r>
      <w:r w:rsidR="00190923" w:rsidRPr="00981405">
        <w:t xml:space="preserve"> </w:t>
      </w:r>
      <w:r w:rsidRPr="00981405">
        <w:t>upwards</w:t>
      </w:r>
      <w:r w:rsidR="00190923" w:rsidRPr="00981405">
        <w:t xml:space="preserve"> </w:t>
      </w:r>
      <w:r w:rsidRPr="00981405">
        <w:t>from</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surface,</w:t>
      </w:r>
      <w:r w:rsidR="00190923" w:rsidRPr="00981405">
        <w:t xml:space="preserve"> </w:t>
      </w:r>
      <w:r w:rsidRPr="00981405">
        <w:t>which</w:t>
      </w:r>
      <w:r w:rsidR="00190923" w:rsidRPr="00981405">
        <w:t xml:space="preserve"> </w:t>
      </w:r>
      <w:r w:rsidRPr="00981405">
        <w:t>is</w:t>
      </w:r>
      <w:r w:rsidR="00190923" w:rsidRPr="00981405">
        <w:t xml:space="preserve"> </w:t>
      </w:r>
      <w:r w:rsidRPr="00981405">
        <w:t>the</w:t>
      </w:r>
      <w:r w:rsidR="00190923" w:rsidRPr="00981405">
        <w:t xml:space="preserve"> </w:t>
      </w:r>
      <w:r w:rsidRPr="00981405">
        <w:t>bottom</w:t>
      </w:r>
      <w:r w:rsidR="00190923" w:rsidRPr="00981405">
        <w:t xml:space="preserve"> </w:t>
      </w:r>
      <w:r w:rsidRPr="00981405">
        <w:t>boundary</w:t>
      </w:r>
      <w:r w:rsidR="00190923" w:rsidRPr="00981405">
        <w:t xml:space="preserve"> </w:t>
      </w:r>
      <w:r w:rsidRPr="00981405">
        <w:t>of</w:t>
      </w:r>
      <w:r w:rsidR="00190923" w:rsidRPr="00981405">
        <w:t xml:space="preserve"> </w:t>
      </w:r>
      <w:r w:rsidRPr="00981405">
        <w:t>the</w:t>
      </w:r>
      <w:r w:rsidR="00190923" w:rsidRPr="00981405">
        <w:t xml:space="preserve"> </w:t>
      </w:r>
      <w:r w:rsidRPr="00981405">
        <w:t>dry</w:t>
      </w:r>
      <w:r w:rsidR="00190923" w:rsidRPr="00981405">
        <w:t xml:space="preserve"> </w:t>
      </w:r>
      <w:r w:rsidRPr="00981405">
        <w:t>atmosphere.</w:t>
      </w:r>
      <w:r w:rsidR="00190923" w:rsidRPr="00981405">
        <w:t xml:space="preserve"> </w:t>
      </w:r>
      <w:r w:rsidRPr="00981405">
        <w:t>The</w:t>
      </w:r>
      <w:r w:rsidR="00190923" w:rsidRPr="00981405">
        <w:t xml:space="preserve"> </w:t>
      </w:r>
      <w:r w:rsidRPr="00981405">
        <w:t>average</w:t>
      </w:r>
      <w:r w:rsidR="00190923" w:rsidRPr="00981405">
        <w:t xml:space="preserve"> </w:t>
      </w:r>
      <w:r w:rsidRPr="00981405">
        <w:t>composition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up</w:t>
      </w:r>
      <w:r w:rsidR="00190923" w:rsidRPr="00981405">
        <w:t xml:space="preserve"> </w:t>
      </w:r>
      <w:r w:rsidRPr="00981405">
        <w:t>to</w:t>
      </w:r>
      <w:r w:rsidR="00190923" w:rsidRPr="00981405">
        <w:t xml:space="preserve"> </w:t>
      </w:r>
      <w:r w:rsidRPr="00981405">
        <w:t>an</w:t>
      </w:r>
      <w:r w:rsidR="00190923" w:rsidRPr="00981405">
        <w:t xml:space="preserve"> </w:t>
      </w:r>
      <w:r w:rsidRPr="00981405">
        <w:t>altitude</w:t>
      </w:r>
      <w:r w:rsidR="00190923" w:rsidRPr="00981405">
        <w:t xml:space="preserve"> </w:t>
      </w:r>
      <w:r w:rsidRPr="00981405">
        <w:t>of</w:t>
      </w:r>
      <w:r w:rsidR="00190923" w:rsidRPr="00981405">
        <w:t xml:space="preserve"> </w:t>
      </w:r>
      <w:r w:rsidRPr="00981405">
        <w:t>25</w:t>
      </w:r>
      <w:r w:rsidR="00190923" w:rsidRPr="00981405">
        <w:t xml:space="preserve"> </w:t>
      </w:r>
      <w:r w:rsidRPr="00981405">
        <w:t>kilometres</w:t>
      </w:r>
      <w:r w:rsidR="00190923" w:rsidRPr="00981405">
        <w:t xml:space="preserve"> </w:t>
      </w:r>
      <w:r w:rsidRPr="00981405">
        <w:t>is</w:t>
      </w:r>
      <w:r w:rsidR="00190923" w:rsidRPr="00981405">
        <w:t xml:space="preserve"> </w:t>
      </w:r>
      <w:r w:rsidRPr="00981405">
        <w:t>as</w:t>
      </w:r>
      <w:r w:rsidR="00190923" w:rsidRPr="00981405">
        <w:t xml:space="preserve"> </w:t>
      </w:r>
      <w:r w:rsidRPr="00981405">
        <w:t>follows:</w:t>
      </w:r>
      <w:r w:rsidR="00190923" w:rsidRPr="00981405">
        <w:t xml:space="preserve"> </w:t>
      </w:r>
      <w:r w:rsidRPr="00981405">
        <w:t>Nitrogen</w:t>
      </w:r>
      <w:r w:rsidR="00190923" w:rsidRPr="00981405">
        <w:t xml:space="preserve"> </w:t>
      </w:r>
      <w:r w:rsidRPr="00981405">
        <w:t>(78.08%),</w:t>
      </w:r>
      <w:r w:rsidR="00190923" w:rsidRPr="00981405">
        <w:t xml:space="preserve"> </w:t>
      </w:r>
      <w:r w:rsidRPr="00981405">
        <w:t>oxygen</w:t>
      </w:r>
      <w:r w:rsidR="00190923" w:rsidRPr="00981405">
        <w:t xml:space="preserve"> </w:t>
      </w:r>
      <w:r w:rsidRPr="00981405">
        <w:t>(20.95%),</w:t>
      </w:r>
      <w:r w:rsidR="00190923" w:rsidRPr="00981405">
        <w:t xml:space="preserve"> </w:t>
      </w:r>
      <w:r w:rsidRPr="00981405">
        <w:t>together</w:t>
      </w:r>
      <w:r w:rsidR="00190923" w:rsidRPr="00981405">
        <w:t xml:space="preserve"> </w:t>
      </w:r>
      <w:r w:rsidRPr="00981405">
        <w:t>with</w:t>
      </w:r>
      <w:r w:rsidR="00190923" w:rsidRPr="00981405">
        <w:t xml:space="preserve"> </w:t>
      </w:r>
      <w:r w:rsidRPr="00981405">
        <w:t>trace</w:t>
      </w:r>
      <w:r w:rsidR="00190923" w:rsidRPr="00981405">
        <w:t xml:space="preserve"> </w:t>
      </w:r>
      <w:r w:rsidRPr="00981405">
        <w:t>gases,</w:t>
      </w:r>
      <w:r w:rsidR="00190923" w:rsidRPr="00981405">
        <w:t xml:space="preserve"> </w:t>
      </w:r>
      <w:r w:rsidRPr="00981405">
        <w:t>such</w:t>
      </w:r>
      <w:r w:rsidR="00190923" w:rsidRPr="00981405">
        <w:t xml:space="preserve"> </w:t>
      </w:r>
      <w:r w:rsidRPr="00981405">
        <w:t>as</w:t>
      </w:r>
      <w:r w:rsidR="00190923" w:rsidRPr="00981405">
        <w:t xml:space="preserve"> </w:t>
      </w:r>
      <w:r w:rsidRPr="00981405">
        <w:t>argon</w:t>
      </w:r>
      <w:r w:rsidR="00190923" w:rsidRPr="00981405">
        <w:t xml:space="preserve"> </w:t>
      </w:r>
      <w:r w:rsidRPr="00981405">
        <w:t>(0.93%),</w:t>
      </w:r>
      <w:r w:rsidR="00190923" w:rsidRPr="00981405">
        <w:t xml:space="preserve"> </w:t>
      </w:r>
      <w:r w:rsidRPr="00981405">
        <w:t>helium</w:t>
      </w:r>
      <w:r w:rsidR="00190923" w:rsidRPr="00981405">
        <w:t xml:space="preserve"> </w:t>
      </w:r>
      <w:r w:rsidRPr="00981405">
        <w:t>and</w:t>
      </w:r>
      <w:r w:rsidR="00190923" w:rsidRPr="00981405">
        <w:t xml:space="preserve"> </w:t>
      </w:r>
      <w:r w:rsidRPr="00981405">
        <w:t>radiatively</w:t>
      </w:r>
      <w:r w:rsidR="00190923" w:rsidRPr="00981405">
        <w:t xml:space="preserve"> </w:t>
      </w:r>
      <w:r w:rsidRPr="00981405">
        <w:t>active</w:t>
      </w:r>
      <w:r w:rsidR="00190923" w:rsidRPr="00981405">
        <w:t xml:space="preserve"> </w:t>
      </w:r>
      <w:r w:rsidRPr="00981405">
        <w:t>greenhouse</w:t>
      </w:r>
      <w:r w:rsidR="00190923" w:rsidRPr="00981405">
        <w:t xml:space="preserve"> </w:t>
      </w:r>
      <w:r w:rsidRPr="00981405">
        <w:t>gases,</w:t>
      </w:r>
      <w:r w:rsidR="00190923" w:rsidRPr="00981405">
        <w:t xml:space="preserve"> </w:t>
      </w:r>
      <w:r w:rsidRPr="00981405">
        <w:t>such</w:t>
      </w:r>
      <w:r w:rsidR="00190923" w:rsidRPr="00981405">
        <w:t xml:space="preserve"> </w:t>
      </w:r>
      <w:r w:rsidRPr="00981405">
        <w:t>as</w:t>
      </w:r>
      <w:r w:rsidR="00190923" w:rsidRPr="00981405">
        <w:t xml:space="preserve"> </w:t>
      </w:r>
      <w:r w:rsidRPr="00981405">
        <w:t>carbon</w:t>
      </w:r>
      <w:r w:rsidR="00190923" w:rsidRPr="00981405">
        <w:t xml:space="preserve"> </w:t>
      </w:r>
      <w:r w:rsidRPr="00981405">
        <w:t>dioxide</w:t>
      </w:r>
      <w:r w:rsidR="00190923" w:rsidRPr="00981405">
        <w:t xml:space="preserve"> </w:t>
      </w:r>
      <w:r w:rsidRPr="00981405">
        <w:t>(0.035%)</w:t>
      </w:r>
      <w:r w:rsidR="00190923" w:rsidRPr="00981405">
        <w:t xml:space="preserve"> </w:t>
      </w:r>
      <w:r w:rsidRPr="00981405">
        <w:t>and</w:t>
      </w:r>
      <w:r w:rsidR="00190923" w:rsidRPr="00981405">
        <w:t xml:space="preserve"> </w:t>
      </w:r>
      <w:r w:rsidRPr="00981405">
        <w:t>ozone,</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greenhouse</w:t>
      </w:r>
      <w:r w:rsidR="00190923" w:rsidRPr="00981405">
        <w:t xml:space="preserve"> </w:t>
      </w:r>
      <w:r w:rsidRPr="00981405">
        <w:t>water</w:t>
      </w:r>
      <w:r w:rsidR="00190923" w:rsidRPr="00981405">
        <w:t xml:space="preserve"> </w:t>
      </w:r>
      <w:r w:rsidRPr="00981405">
        <w:t>vapour</w:t>
      </w:r>
      <w:r w:rsidR="00190923" w:rsidRPr="00981405">
        <w:t xml:space="preserve"> </w:t>
      </w:r>
      <w:r w:rsidRPr="00981405">
        <w:t>in</w:t>
      </w:r>
      <w:r w:rsidR="00190923" w:rsidRPr="00981405">
        <w:t xml:space="preserve"> </w:t>
      </w:r>
      <w:r w:rsidRPr="00981405">
        <w:t>highly</w:t>
      </w:r>
      <w:r w:rsidR="00190923" w:rsidRPr="00981405">
        <w:t xml:space="preserve"> </w:t>
      </w:r>
      <w:r w:rsidRPr="00981405">
        <w:t>variable</w:t>
      </w:r>
      <w:r w:rsidR="00190923" w:rsidRPr="00981405">
        <w:t xml:space="preserve"> </w:t>
      </w:r>
      <w:r w:rsidRPr="00981405">
        <w:t>amounts.</w:t>
      </w:r>
      <w:r w:rsidRPr="00981405">
        <w:rPr>
          <w:rStyle w:val="FootnoteReference"/>
        </w:rPr>
        <w:footnoteReference w:id="32"/>
      </w:r>
      <w:r w:rsidR="00190923" w:rsidRPr="00981405">
        <w:t xml:space="preserve"> </w:t>
      </w:r>
      <w:r w:rsidRPr="00981405">
        <w:t>The</w:t>
      </w:r>
      <w:r w:rsidR="00190923" w:rsidRPr="00981405">
        <w:t xml:space="preserve"> </w:t>
      </w:r>
      <w:r w:rsidRPr="00981405">
        <w:t>atmosphere</w:t>
      </w:r>
      <w:r w:rsidR="00190923" w:rsidRPr="00981405">
        <w:t xml:space="preserve"> </w:t>
      </w:r>
      <w:r w:rsidRPr="00981405">
        <w:t>also</w:t>
      </w:r>
      <w:r w:rsidR="00190923" w:rsidRPr="00981405">
        <w:t xml:space="preserve"> </w:t>
      </w:r>
      <w:r w:rsidRPr="00981405">
        <w:t>contains</w:t>
      </w:r>
      <w:r w:rsidR="00190923" w:rsidRPr="00981405">
        <w:t xml:space="preserve"> </w:t>
      </w:r>
      <w:r w:rsidRPr="00981405">
        <w:t>clouds</w:t>
      </w:r>
      <w:r w:rsidR="00190923" w:rsidRPr="00981405">
        <w:t xml:space="preserve"> </w:t>
      </w:r>
      <w:r w:rsidRPr="00981405">
        <w:t>and</w:t>
      </w:r>
      <w:r w:rsidR="00190923" w:rsidRPr="00981405">
        <w:t xml:space="preserve"> </w:t>
      </w:r>
      <w:r w:rsidRPr="00981405">
        <w:t>aerosols.</w:t>
      </w:r>
      <w:r w:rsidRPr="00981405">
        <w:rPr>
          <w:rStyle w:val="FootnoteReference"/>
        </w:rPr>
        <w:footnoteReference w:id="33"/>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divided</w:t>
      </w:r>
      <w:r w:rsidR="00190923" w:rsidRPr="00981405">
        <w:t xml:space="preserve"> </w:t>
      </w:r>
      <w:r w:rsidRPr="00981405">
        <w:t>vertically</w:t>
      </w:r>
      <w:r w:rsidR="00190923" w:rsidRPr="00981405">
        <w:t xml:space="preserve"> </w:t>
      </w:r>
      <w:r w:rsidRPr="00981405">
        <w:t>into</w:t>
      </w:r>
      <w:r w:rsidR="00190923" w:rsidRPr="00981405">
        <w:t xml:space="preserve"> </w:t>
      </w:r>
      <w:r w:rsidRPr="00981405">
        <w:t>five</w:t>
      </w:r>
      <w:r w:rsidR="00190923" w:rsidRPr="00981405">
        <w:t xml:space="preserve"> </w:t>
      </w:r>
      <w:r w:rsidRPr="00981405">
        <w:t>spheres</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temperature</w:t>
      </w:r>
      <w:r w:rsidR="00190923" w:rsidRPr="00981405">
        <w:t xml:space="preserve"> </w:t>
      </w:r>
      <w:r w:rsidRPr="00981405">
        <w:t>characteristics.</w:t>
      </w:r>
      <w:r w:rsidR="00190923" w:rsidRPr="00981405">
        <w:t xml:space="preserve"> </w:t>
      </w:r>
      <w:r w:rsidRPr="00981405">
        <w:t>From</w:t>
      </w:r>
      <w:r w:rsidR="00190923" w:rsidRPr="00981405">
        <w:t xml:space="preserve"> </w:t>
      </w:r>
      <w:r w:rsidRPr="00981405">
        <w:t>the</w:t>
      </w:r>
      <w:r w:rsidR="00190923" w:rsidRPr="00981405">
        <w:t xml:space="preserve"> </w:t>
      </w:r>
      <w:r w:rsidRPr="00981405">
        <w:t>lower</w:t>
      </w:r>
      <w:r w:rsidR="00190923" w:rsidRPr="00981405">
        <w:t xml:space="preserve"> </w:t>
      </w:r>
      <w:r w:rsidRPr="00981405">
        <w:t>to</w:t>
      </w:r>
      <w:r w:rsidR="00190923" w:rsidRPr="00981405">
        <w:t xml:space="preserve"> </w:t>
      </w:r>
      <w:r w:rsidRPr="00981405">
        <w:t>upper</w:t>
      </w:r>
      <w:r w:rsidR="00190923" w:rsidRPr="00981405">
        <w:t xml:space="preserve"> </w:t>
      </w:r>
      <w:r w:rsidRPr="00981405">
        <w:t>layers,</w:t>
      </w:r>
      <w:r w:rsidR="00190923" w:rsidRPr="00981405">
        <w:t xml:space="preserve"> </w:t>
      </w:r>
      <w:r w:rsidRPr="00981405">
        <w:t>these</w:t>
      </w:r>
      <w:r w:rsidR="00190923" w:rsidRPr="00981405">
        <w:t xml:space="preserve"> </w:t>
      </w:r>
      <w:r w:rsidRPr="00981405">
        <w:t>spheres</w:t>
      </w:r>
      <w:r w:rsidR="00190923" w:rsidRPr="00981405">
        <w:t xml:space="preserve"> </w:t>
      </w:r>
      <w:r w:rsidRPr="00981405">
        <w:t>are:</w:t>
      </w:r>
      <w:r w:rsidR="00190923" w:rsidRPr="00981405">
        <w:t xml:space="preserve"> </w:t>
      </w:r>
      <w:r w:rsidRPr="00981405">
        <w:t>troposphere,</w:t>
      </w:r>
      <w:r w:rsidR="00190923" w:rsidRPr="00981405">
        <w:t xml:space="preserve"> </w:t>
      </w:r>
      <w:r w:rsidRPr="00981405">
        <w:t>stratosphere,</w:t>
      </w:r>
      <w:r w:rsidR="00190923" w:rsidRPr="00981405">
        <w:t xml:space="preserve"> </w:t>
      </w:r>
      <w:r w:rsidRPr="00981405">
        <w:t>mesosphere,</w:t>
      </w:r>
      <w:r w:rsidR="00190923" w:rsidRPr="00981405">
        <w:t xml:space="preserve"> </w:t>
      </w:r>
      <w:r w:rsidRPr="00981405">
        <w:t>thermosphere,</w:t>
      </w:r>
      <w:r w:rsidR="00190923" w:rsidRPr="00981405">
        <w:t xml:space="preserve"> </w:t>
      </w:r>
      <w:r w:rsidRPr="00981405">
        <w:t>and</w:t>
      </w:r>
      <w:r w:rsidR="00190923" w:rsidRPr="00981405">
        <w:t xml:space="preserve"> </w:t>
      </w:r>
      <w:r w:rsidRPr="00981405">
        <w:t>the</w:t>
      </w:r>
      <w:r w:rsidR="00190923" w:rsidRPr="00981405">
        <w:t xml:space="preserve"> </w:t>
      </w:r>
      <w:r w:rsidRPr="00981405">
        <w:t>exosphere.</w:t>
      </w:r>
      <w:r w:rsidR="00190923" w:rsidRPr="00981405">
        <w:t xml:space="preserve"> </w:t>
      </w:r>
      <w:r w:rsidRPr="00981405">
        <w:t>Approximately</w:t>
      </w:r>
      <w:r w:rsidR="00190923" w:rsidRPr="00981405">
        <w:t xml:space="preserve"> </w:t>
      </w:r>
      <w:r w:rsidRPr="00981405">
        <w:t>80%</w:t>
      </w:r>
      <w:r w:rsidR="00190923" w:rsidRPr="00981405">
        <w:t xml:space="preserve"> </w:t>
      </w:r>
      <w:r w:rsidRPr="00981405">
        <w:t>of</w:t>
      </w:r>
      <w:r w:rsidR="00190923" w:rsidRPr="00981405">
        <w:t xml:space="preserve"> </w:t>
      </w:r>
      <w:r w:rsidRPr="00981405">
        <w:t>air</w:t>
      </w:r>
      <w:r w:rsidR="00190923" w:rsidRPr="00981405">
        <w:t xml:space="preserve"> </w:t>
      </w:r>
      <w:r w:rsidRPr="00981405">
        <w:t>mass</w:t>
      </w:r>
      <w:r w:rsidR="00190923" w:rsidRPr="00981405">
        <w:t xml:space="preserve"> </w:t>
      </w:r>
      <w:r w:rsidRPr="00981405">
        <w:t>exists</w:t>
      </w:r>
      <w:r w:rsidR="00190923" w:rsidRPr="00981405">
        <w:t xml:space="preserve"> </w:t>
      </w:r>
      <w:r w:rsidRPr="00981405">
        <w:t>in</w:t>
      </w:r>
      <w:r w:rsidR="00190923" w:rsidRPr="00981405">
        <w:t xml:space="preserve"> </w:t>
      </w:r>
      <w:r w:rsidRPr="00981405">
        <w:t>the</w:t>
      </w:r>
      <w:r w:rsidR="00190923" w:rsidRPr="00981405">
        <w:t xml:space="preserve"> </w:t>
      </w:r>
      <w:r w:rsidRPr="00981405">
        <w:t>troposphere</w:t>
      </w:r>
      <w:r w:rsidR="00190923" w:rsidRPr="00981405">
        <w:t xml:space="preserve"> </w:t>
      </w:r>
      <w:r w:rsidRPr="00981405">
        <w:t>and</w:t>
      </w:r>
      <w:r w:rsidR="00190923" w:rsidRPr="00981405">
        <w:t xml:space="preserve"> </w:t>
      </w:r>
      <w:r w:rsidRPr="00981405">
        <w:t>20%</w:t>
      </w:r>
      <w:r w:rsidR="00190923" w:rsidRPr="00981405">
        <w:t xml:space="preserve"> </w:t>
      </w:r>
      <w:r w:rsidRPr="00981405">
        <w:t>in</w:t>
      </w:r>
      <w:r w:rsidR="00190923" w:rsidRPr="00981405">
        <w:t xml:space="preserve"> </w:t>
      </w:r>
      <w:r w:rsidRPr="00981405">
        <w:t>the</w:t>
      </w:r>
      <w:r w:rsidR="00190923" w:rsidRPr="00981405">
        <w:t xml:space="preserve"> </w:t>
      </w:r>
      <w:r w:rsidRPr="00981405">
        <w:t>stratosphere.</w:t>
      </w:r>
      <w:r w:rsidR="00190923" w:rsidRPr="00981405">
        <w:t xml:space="preserve"> </w:t>
      </w:r>
      <w:r w:rsidRPr="00981405">
        <w:t>The</w:t>
      </w:r>
      <w:r w:rsidR="00190923" w:rsidRPr="00981405">
        <w:t xml:space="preserve"> </w:t>
      </w:r>
      <w:r w:rsidRPr="00981405">
        <w:t>thin,</w:t>
      </w:r>
      <w:r w:rsidR="00190923" w:rsidRPr="00981405">
        <w:t xml:space="preserve"> </w:t>
      </w:r>
      <w:r w:rsidRPr="00981405">
        <w:t>white,</w:t>
      </w:r>
      <w:r w:rsidR="00190923" w:rsidRPr="00981405">
        <w:t xml:space="preserve"> </w:t>
      </w:r>
      <w:r w:rsidRPr="00981405">
        <w:t>hazy</w:t>
      </w:r>
      <w:r w:rsidR="00190923" w:rsidRPr="00981405">
        <w:t xml:space="preserve"> </w:t>
      </w:r>
      <w:r w:rsidRPr="00981405">
        <w:t>belt</w:t>
      </w:r>
      <w:r w:rsidR="00190923" w:rsidRPr="00981405">
        <w:t xml:space="preserve"> </w:t>
      </w:r>
      <w:r w:rsidRPr="00981405">
        <w:t>(with</w:t>
      </w:r>
      <w:r w:rsidR="00190923" w:rsidRPr="00981405">
        <w:t xml:space="preserve"> </w:t>
      </w:r>
      <w:r w:rsidRPr="00981405">
        <w:t>a</w:t>
      </w:r>
      <w:r w:rsidR="00190923" w:rsidRPr="00981405">
        <w:t xml:space="preserve"> </w:t>
      </w:r>
      <w:r w:rsidRPr="00981405">
        <w:t>thickness</w:t>
      </w:r>
      <w:r w:rsidR="00190923" w:rsidRPr="00981405">
        <w:t xml:space="preserve"> </w:t>
      </w:r>
      <w:r w:rsidRPr="00981405">
        <w:t>of</w:t>
      </w:r>
      <w:r w:rsidR="00190923" w:rsidRPr="00981405">
        <w:t xml:space="preserve"> </w:t>
      </w:r>
      <w:r w:rsidRPr="00981405">
        <w:t>less</w:t>
      </w:r>
      <w:r w:rsidR="00190923" w:rsidRPr="00981405">
        <w:t xml:space="preserve"> </w:t>
      </w:r>
      <w:r w:rsidRPr="00981405">
        <w:t>than</w:t>
      </w:r>
      <w:r w:rsidR="00190923" w:rsidRPr="00981405">
        <w:t xml:space="preserve"> </w:t>
      </w:r>
      <w:r w:rsidRPr="00981405">
        <w:t>1%</w:t>
      </w:r>
      <w:r w:rsidR="00190923" w:rsidRPr="00981405">
        <w:t xml:space="preserve"> </w:t>
      </w:r>
      <w:r w:rsidRPr="00981405">
        <w:t>of</w:t>
      </w:r>
      <w:r w:rsidR="00190923" w:rsidRPr="00981405">
        <w:t xml:space="preserve"> </w:t>
      </w:r>
      <w:r w:rsidRPr="00981405">
        <w:t>the</w:t>
      </w:r>
      <w:r w:rsidR="00190923" w:rsidRPr="00981405">
        <w:t xml:space="preserve"> </w:t>
      </w:r>
      <w:r w:rsidRPr="00981405">
        <w:t>radius</w:t>
      </w:r>
      <w:r w:rsidR="00190923" w:rsidRPr="00981405">
        <w:t xml:space="preserve"> </w:t>
      </w:r>
      <w:r w:rsidRPr="00981405">
        <w:t>of</w:t>
      </w:r>
      <w:r w:rsidR="00190923" w:rsidRPr="00981405">
        <w:t xml:space="preserve"> </w:t>
      </w:r>
      <w:r w:rsidRPr="00981405">
        <w:t>the</w:t>
      </w:r>
      <w:r w:rsidR="00190923" w:rsidRPr="00981405">
        <w:t xml:space="preserve"> </w:t>
      </w:r>
      <w:r w:rsidRPr="00981405">
        <w:t>globe)</w:t>
      </w:r>
      <w:r w:rsidR="00190923" w:rsidRPr="00981405">
        <w:t xml:space="preserve"> </w:t>
      </w:r>
      <w:r w:rsidRPr="00981405">
        <w:t>that</w:t>
      </w:r>
      <w:r w:rsidR="00190923" w:rsidRPr="00981405">
        <w:t xml:space="preserve"> </w:t>
      </w:r>
      <w:r w:rsidRPr="00981405">
        <w:t>one</w:t>
      </w:r>
      <w:r w:rsidR="00190923" w:rsidRPr="00981405">
        <w:t xml:space="preserve"> </w:t>
      </w:r>
      <w:r w:rsidRPr="00981405">
        <w:t>sees</w:t>
      </w:r>
      <w:r w:rsidR="00190923" w:rsidRPr="00981405">
        <w:t xml:space="preserve"> </w:t>
      </w:r>
      <w:r w:rsidRPr="00981405">
        <w:t>when</w:t>
      </w:r>
      <w:r w:rsidR="00190923" w:rsidRPr="00981405">
        <w:t xml:space="preserve"> </w:t>
      </w:r>
      <w:r w:rsidRPr="00981405">
        <w:t>looking</w:t>
      </w:r>
      <w:r w:rsidR="00190923" w:rsidRPr="00981405">
        <w:t xml:space="preserve"> </w:t>
      </w:r>
      <w:r w:rsidRPr="00981405">
        <w:t>at</w:t>
      </w:r>
      <w:r w:rsidR="00190923" w:rsidRPr="00981405">
        <w:t xml:space="preserve"> </w:t>
      </w:r>
      <w:r w:rsidRPr="00981405">
        <w:t>the</w:t>
      </w:r>
      <w:r w:rsidR="00190923" w:rsidRPr="00981405">
        <w:t xml:space="preserve"> </w:t>
      </w:r>
      <w:r w:rsidRPr="00981405">
        <w:t>earth</w:t>
      </w:r>
      <w:r w:rsidR="00190923" w:rsidRPr="00981405">
        <w:t xml:space="preserve"> </w:t>
      </w:r>
      <w:r w:rsidRPr="00981405">
        <w:t>from</w:t>
      </w:r>
      <w:r w:rsidR="00190923" w:rsidRPr="00981405">
        <w:t xml:space="preserve"> </w:t>
      </w:r>
      <w:r w:rsidRPr="00981405">
        <w:t>a</w:t>
      </w:r>
      <w:r w:rsidR="00190923" w:rsidRPr="00981405">
        <w:t xml:space="preserve"> </w:t>
      </w:r>
      <w:r w:rsidRPr="00981405">
        <w:t>distance</w:t>
      </w:r>
      <w:r w:rsidR="00190923" w:rsidRPr="00981405">
        <w:t xml:space="preserve"> </w:t>
      </w:r>
      <w:r w:rsidRPr="00981405">
        <w:t>is</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Scientifically</w:t>
      </w:r>
      <w:r w:rsidR="00190923" w:rsidRPr="00981405">
        <w:t xml:space="preserve"> </w:t>
      </w:r>
      <w:r w:rsidRPr="00981405">
        <w:t>these</w:t>
      </w:r>
      <w:r w:rsidR="00190923" w:rsidRPr="00981405">
        <w:t xml:space="preserve"> </w:t>
      </w:r>
      <w:r w:rsidRPr="00981405">
        <w:t>spheres</w:t>
      </w:r>
      <w:r w:rsidR="00190923" w:rsidRPr="00981405">
        <w:t xml:space="preserve"> </w:t>
      </w:r>
      <w:r w:rsidRPr="00981405">
        <w:t>are</w:t>
      </w:r>
      <w:r w:rsidR="00190923" w:rsidRPr="00981405">
        <w:t xml:space="preserve"> </w:t>
      </w:r>
      <w:r w:rsidRPr="00981405">
        <w:t>grouped</w:t>
      </w:r>
      <w:r w:rsidR="00190923" w:rsidRPr="00981405">
        <w:t xml:space="preserve"> </w:t>
      </w:r>
      <w:r w:rsidRPr="00981405">
        <w:t>together</w:t>
      </w:r>
      <w:r w:rsidR="00190923" w:rsidRPr="00981405">
        <w:t xml:space="preserve"> </w:t>
      </w:r>
      <w:r w:rsidRPr="00981405">
        <w:t>as</w:t>
      </w:r>
      <w:r w:rsidR="00190923" w:rsidRPr="00981405">
        <w:t xml:space="preserve"> </w:t>
      </w:r>
      <w:r w:rsidRPr="00981405">
        <w:t>the</w:t>
      </w:r>
      <w:r w:rsidR="00190923" w:rsidRPr="00981405">
        <w:t xml:space="preserve"> </w:t>
      </w:r>
      <w:r w:rsidR="00B92E2C" w:rsidRPr="00981405">
        <w:t>“</w:t>
      </w:r>
      <w:r w:rsidRPr="00D97463">
        <w:rPr>
          <w:i/>
          <w:iCs/>
        </w:rPr>
        <w:t>lower</w:t>
      </w:r>
      <w:r w:rsidR="00190923" w:rsidRPr="00981405">
        <w:rPr>
          <w:i/>
          <w:iCs/>
        </w:rPr>
        <w:t xml:space="preserve"> </w:t>
      </w:r>
      <w:r w:rsidRPr="00D97463">
        <w:rPr>
          <w:i/>
          <w:iCs/>
        </w:rPr>
        <w:t>atmosphere</w:t>
      </w:r>
      <w:r w:rsidRPr="00981405">
        <w:t>,</w:t>
      </w:r>
      <w:r w:rsidR="00B92E2C" w:rsidRPr="00981405">
        <w:t>”</w:t>
      </w:r>
      <w:r w:rsidR="00190923" w:rsidRPr="00981405">
        <w:t xml:space="preserve"> </w:t>
      </w:r>
      <w:r w:rsidRPr="00981405">
        <w:t>which</w:t>
      </w:r>
      <w:r w:rsidR="00190923" w:rsidRPr="00981405">
        <w:t xml:space="preserve"> </w:t>
      </w:r>
      <w:r w:rsidRPr="00981405">
        <w:t>extends</w:t>
      </w:r>
      <w:r w:rsidR="00190923" w:rsidRPr="00981405">
        <w:t xml:space="preserve"> </w:t>
      </w:r>
      <w:r w:rsidRPr="00981405">
        <w:t>to</w:t>
      </w:r>
      <w:r w:rsidR="00190923" w:rsidRPr="00981405">
        <w:t xml:space="preserve"> </w:t>
      </w:r>
      <w:r w:rsidRPr="00981405">
        <w:t>an</w:t>
      </w:r>
      <w:r w:rsidR="00190923" w:rsidRPr="00981405">
        <w:t xml:space="preserve"> </w:t>
      </w:r>
      <w:r w:rsidRPr="00981405">
        <w:t>average</w:t>
      </w:r>
      <w:r w:rsidR="00190923" w:rsidRPr="00981405">
        <w:t xml:space="preserve"> </w:t>
      </w:r>
      <w:r w:rsidRPr="00981405">
        <w:t>altitude</w:t>
      </w:r>
      <w:r w:rsidR="00190923" w:rsidRPr="00981405">
        <w:t xml:space="preserve"> </w:t>
      </w:r>
      <w:r w:rsidRPr="00981405">
        <w:t>of</w:t>
      </w:r>
      <w:r w:rsidR="00190923" w:rsidRPr="00981405">
        <w:t xml:space="preserve"> </w:t>
      </w:r>
      <w:r w:rsidRPr="00981405">
        <w:t>50</w:t>
      </w:r>
      <w:r w:rsidR="00190923" w:rsidRPr="00981405">
        <w:t xml:space="preserve"> </w:t>
      </w:r>
      <w:r w:rsidRPr="00981405">
        <w:t>kilometres,</w:t>
      </w:r>
      <w:r w:rsidR="00190923" w:rsidRPr="00981405">
        <w:t xml:space="preserve"> </w:t>
      </w:r>
      <w:r w:rsidRPr="00981405">
        <w:t>and</w:t>
      </w:r>
      <w:r w:rsidR="00190923" w:rsidRPr="00981405">
        <w:t xml:space="preserve"> </w:t>
      </w:r>
      <w:r w:rsidRPr="00981405">
        <w:t>can</w:t>
      </w:r>
      <w:r w:rsidR="00190923" w:rsidRPr="00981405">
        <w:t xml:space="preserve"> </w:t>
      </w:r>
      <w:r w:rsidRPr="00981405">
        <w:t>be</w:t>
      </w:r>
      <w:r w:rsidR="00190923" w:rsidRPr="00981405">
        <w:t xml:space="preserve"> </w:t>
      </w:r>
      <w:r w:rsidRPr="00981405">
        <w:t>distinguished</w:t>
      </w:r>
      <w:r w:rsidR="00190923" w:rsidRPr="00981405">
        <w:t xml:space="preserve"> </w:t>
      </w:r>
      <w:r w:rsidRPr="00981405">
        <w:t>from</w:t>
      </w:r>
      <w:r w:rsidR="00190923" w:rsidRPr="00981405">
        <w:t xml:space="preserve"> </w:t>
      </w:r>
      <w:r w:rsidRPr="00981405">
        <w:t>the</w:t>
      </w:r>
      <w:r w:rsidR="00190923" w:rsidRPr="00981405">
        <w:t xml:space="preserve"> </w:t>
      </w:r>
      <w:r w:rsidR="00B92E2C" w:rsidRPr="00981405">
        <w:t>“</w:t>
      </w:r>
      <w:r w:rsidRPr="00D97463">
        <w:rPr>
          <w:i/>
          <w:iCs/>
        </w:rPr>
        <w:t>upper</w:t>
      </w:r>
      <w:r w:rsidR="00190923" w:rsidRPr="00981405">
        <w:rPr>
          <w:i/>
          <w:iCs/>
        </w:rPr>
        <w:t xml:space="preserve"> </w:t>
      </w:r>
      <w:r w:rsidRPr="00D97463">
        <w:rPr>
          <w:i/>
          <w:iCs/>
        </w:rPr>
        <w:t>atmosphere</w:t>
      </w:r>
      <w:r w:rsidR="00B92E2C" w:rsidRPr="00981405">
        <w:t>”</w:t>
      </w:r>
      <w:r w:rsidRPr="00981405">
        <w:t>.</w:t>
      </w:r>
      <w:r w:rsidRPr="00981405">
        <w:rPr>
          <w:rStyle w:val="FootnoteReference"/>
        </w:rPr>
        <w:footnoteReference w:id="34"/>
      </w:r>
      <w:r w:rsidR="00190923" w:rsidRPr="00981405">
        <w:t xml:space="preserve"> </w:t>
      </w:r>
      <w:r w:rsidRPr="00981405">
        <w:t>The</w:t>
      </w:r>
      <w:r w:rsidR="00190923" w:rsidRPr="00981405">
        <w:t xml:space="preserve"> </w:t>
      </w:r>
      <w:r w:rsidRPr="00981405">
        <w:t>temperature</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changes</w:t>
      </w:r>
      <w:r w:rsidR="00190923" w:rsidRPr="00981405">
        <w:t xml:space="preserve"> </w:t>
      </w:r>
      <w:r w:rsidRPr="00981405">
        <w:t>with</w:t>
      </w:r>
      <w:r w:rsidR="00190923" w:rsidRPr="00981405">
        <w:t xml:space="preserve"> </w:t>
      </w:r>
      <w:r w:rsidRPr="00981405">
        <w:t>altitude.</w:t>
      </w:r>
      <w:r w:rsidR="00190923" w:rsidRPr="00981405">
        <w:t xml:space="preserve"> </w:t>
      </w:r>
      <w:r w:rsidRPr="00981405">
        <w:t>In</w:t>
      </w:r>
      <w:r w:rsidR="00190923" w:rsidRPr="00981405">
        <w:t xml:space="preserve"> </w:t>
      </w:r>
      <w:r w:rsidRPr="00981405">
        <w:t>the</w:t>
      </w:r>
      <w:r w:rsidR="00190923" w:rsidRPr="00981405">
        <w:t xml:space="preserve"> </w:t>
      </w:r>
      <w:r w:rsidRPr="00981405">
        <w:t>troposphere</w:t>
      </w:r>
      <w:r w:rsidR="00190923" w:rsidRPr="00981405">
        <w:t xml:space="preserve"> </w:t>
      </w:r>
      <w:r w:rsidRPr="00981405">
        <w:t>(up</w:t>
      </w:r>
      <w:r w:rsidR="00190923" w:rsidRPr="00981405">
        <w:t xml:space="preserve"> </w:t>
      </w:r>
      <w:r w:rsidRPr="00981405">
        <w:t>to</w:t>
      </w:r>
      <w:r w:rsidR="00190923" w:rsidRPr="00981405">
        <w:t xml:space="preserve"> </w:t>
      </w:r>
      <w:r w:rsidRPr="00981405">
        <w:t>the</w:t>
      </w:r>
      <w:r w:rsidR="00190923" w:rsidRPr="00981405">
        <w:t xml:space="preserve"> </w:t>
      </w:r>
      <w:r w:rsidRPr="00981405">
        <w:t>tropopause,</w:t>
      </w:r>
      <w:r w:rsidR="00190923" w:rsidRPr="00981405">
        <w:t xml:space="preserve"> </w:t>
      </w:r>
      <w:r w:rsidRPr="00981405">
        <w:t>at</w:t>
      </w:r>
      <w:r w:rsidR="00190923" w:rsidRPr="00981405">
        <w:t xml:space="preserve"> </w:t>
      </w:r>
      <w:r w:rsidRPr="00981405">
        <w:t>a</w:t>
      </w:r>
      <w:r w:rsidR="00190923" w:rsidRPr="00981405">
        <w:t xml:space="preserve"> </w:t>
      </w:r>
      <w:r w:rsidRPr="00981405">
        <w:t>height</w:t>
      </w:r>
      <w:r w:rsidR="00190923" w:rsidRPr="00981405">
        <w:t xml:space="preserve"> </w:t>
      </w:r>
      <w:r w:rsidRPr="00981405">
        <w:t>of</w:t>
      </w:r>
      <w:r w:rsidR="00190923" w:rsidRPr="00981405">
        <w:t xml:space="preserve"> </w:t>
      </w:r>
      <w:r w:rsidRPr="00981405">
        <w:t>about</w:t>
      </w:r>
      <w:r w:rsidR="00190923" w:rsidRPr="00981405">
        <w:t xml:space="preserve"> </w:t>
      </w:r>
      <w:r w:rsidRPr="00981405">
        <w:t>12</w:t>
      </w:r>
      <w:r w:rsidR="00190923" w:rsidRPr="00981405">
        <w:t xml:space="preserve"> </w:t>
      </w:r>
      <w:r w:rsidRPr="00981405">
        <w:t>kilometres),</w:t>
      </w:r>
      <w:r w:rsidR="00190923" w:rsidRPr="00981405">
        <w:t xml:space="preserve"> </w:t>
      </w:r>
      <w:r w:rsidRPr="00981405">
        <w:t>the</w:t>
      </w:r>
      <w:r w:rsidR="00190923" w:rsidRPr="00981405">
        <w:t xml:space="preserve"> </w:t>
      </w:r>
      <w:r w:rsidRPr="00981405">
        <w:t>temperature</w:t>
      </w:r>
      <w:r w:rsidR="00190923" w:rsidRPr="00981405">
        <w:t xml:space="preserve"> </w:t>
      </w:r>
      <w:r w:rsidRPr="00981405">
        <w:t>decreases</w:t>
      </w:r>
      <w:r w:rsidR="00190923" w:rsidRPr="00981405">
        <w:t xml:space="preserve"> </w:t>
      </w:r>
      <w:r w:rsidRPr="00981405">
        <w:t>as</w:t>
      </w:r>
      <w:r w:rsidR="00190923" w:rsidRPr="00981405">
        <w:t xml:space="preserve"> </w:t>
      </w:r>
      <w:r w:rsidRPr="00981405">
        <w:t>altitude</w:t>
      </w:r>
      <w:r w:rsidR="00190923" w:rsidRPr="00981405">
        <w:t xml:space="preserve"> </w:t>
      </w:r>
      <w:r w:rsidRPr="00981405">
        <w:t>increases</w:t>
      </w:r>
      <w:r w:rsidR="00190923" w:rsidRPr="00981405">
        <w:t xml:space="preserve"> </w:t>
      </w:r>
      <w:r w:rsidRPr="00981405">
        <w:t>because</w:t>
      </w:r>
      <w:r w:rsidR="00190923" w:rsidRPr="00981405">
        <w:t xml:space="preserve"> </w:t>
      </w:r>
      <w:r w:rsidRPr="00981405">
        <w:t>of</w:t>
      </w:r>
      <w:r w:rsidR="00190923" w:rsidRPr="00981405">
        <w:t xml:space="preserve"> </w:t>
      </w:r>
      <w:r w:rsidRPr="00981405">
        <w:t>the</w:t>
      </w:r>
      <w:r w:rsidR="00190923" w:rsidRPr="00981405">
        <w:t xml:space="preserve"> </w:t>
      </w:r>
      <w:r w:rsidRPr="00981405">
        <w:t>absorption</w:t>
      </w:r>
      <w:r w:rsidR="00190923" w:rsidRPr="00981405">
        <w:t xml:space="preserve"> </w:t>
      </w:r>
      <w:r w:rsidRPr="00981405">
        <w:t>and</w:t>
      </w:r>
      <w:r w:rsidR="00190923" w:rsidRPr="00981405">
        <w:t xml:space="preserve"> </w:t>
      </w:r>
      <w:r w:rsidRPr="00981405">
        <w:t>radiation</w:t>
      </w:r>
      <w:r w:rsidR="00190923" w:rsidRPr="00981405">
        <w:t xml:space="preserve"> </w:t>
      </w:r>
      <w:r w:rsidRPr="00981405">
        <w:t>of</w:t>
      </w:r>
      <w:r w:rsidR="00190923" w:rsidRPr="00981405">
        <w:t xml:space="preserve"> </w:t>
      </w:r>
      <w:r w:rsidRPr="00981405">
        <w:t>solar</w:t>
      </w:r>
      <w:r w:rsidR="00190923" w:rsidRPr="00981405">
        <w:t xml:space="preserve"> </w:t>
      </w:r>
      <w:r w:rsidRPr="00981405">
        <w:t>energy</w:t>
      </w:r>
      <w:r w:rsidR="00190923" w:rsidRPr="00981405">
        <w:t xml:space="preserve"> </w:t>
      </w:r>
      <w:r w:rsidRPr="00981405">
        <w:t>by</w:t>
      </w:r>
      <w:r w:rsidR="00190923" w:rsidRPr="00981405">
        <w:t xml:space="preserve"> </w:t>
      </w:r>
      <w:r w:rsidRPr="00981405">
        <w:t>the</w:t>
      </w:r>
      <w:r w:rsidR="00190923" w:rsidRPr="00981405">
        <w:t xml:space="preserve"> </w:t>
      </w:r>
      <w:r w:rsidRPr="00981405">
        <w:t>surface</w:t>
      </w:r>
      <w:r w:rsidR="00190923" w:rsidRPr="00981405">
        <w:t xml:space="preserve"> </w:t>
      </w:r>
      <w:r w:rsidRPr="00981405">
        <w:t>of</w:t>
      </w:r>
      <w:r w:rsidR="00190923" w:rsidRPr="00981405">
        <w:t xml:space="preserve"> </w:t>
      </w:r>
      <w:r w:rsidRPr="00981405">
        <w:t>the</w:t>
      </w:r>
      <w:r w:rsidR="00190923" w:rsidRPr="00981405">
        <w:t xml:space="preserve"> </w:t>
      </w:r>
      <w:r w:rsidRPr="00981405">
        <w:t>planet.</w:t>
      </w:r>
      <w:r w:rsidRPr="00981405">
        <w:rPr>
          <w:rStyle w:val="FootnoteReference"/>
        </w:rPr>
        <w:footnoteReference w:id="35"/>
      </w:r>
      <w:r w:rsidR="00190923" w:rsidRPr="00981405">
        <w:t xml:space="preserve"> </w:t>
      </w:r>
      <w:r w:rsidRPr="00981405">
        <w:t>In</w:t>
      </w:r>
      <w:r w:rsidR="00190923" w:rsidRPr="00981405">
        <w:t xml:space="preserve"> </w:t>
      </w:r>
      <w:r w:rsidRPr="00981405">
        <w:t>contrast,</w:t>
      </w:r>
      <w:r w:rsidR="00190923" w:rsidRPr="00981405">
        <w:t xml:space="preserve"> </w:t>
      </w:r>
      <w:r w:rsidRPr="00981405">
        <w:t>in</w:t>
      </w:r>
      <w:r w:rsidR="00190923" w:rsidRPr="00981405">
        <w:t xml:space="preserve"> </w:t>
      </w:r>
      <w:r w:rsidRPr="00981405">
        <w:t>the</w:t>
      </w:r>
      <w:r w:rsidR="00190923" w:rsidRPr="00981405">
        <w:t xml:space="preserve"> </w:t>
      </w:r>
      <w:r w:rsidRPr="00981405">
        <w:t>stratosphere</w:t>
      </w:r>
      <w:r w:rsidR="00190923" w:rsidRPr="00981405">
        <w:t xml:space="preserve"> </w:t>
      </w:r>
      <w:r w:rsidRPr="00981405">
        <w:t>(up</w:t>
      </w:r>
      <w:r w:rsidR="00190923" w:rsidRPr="00981405">
        <w:t xml:space="preserve"> </w:t>
      </w:r>
      <w:r w:rsidRPr="00981405">
        <w:t>to</w:t>
      </w:r>
      <w:r w:rsidR="00190923" w:rsidRPr="00981405">
        <w:t xml:space="preserve"> </w:t>
      </w:r>
      <w:r w:rsidRPr="00981405">
        <w:t>the</w:t>
      </w:r>
      <w:r w:rsidR="00190923" w:rsidRPr="00981405">
        <w:t xml:space="preserve"> </w:t>
      </w:r>
      <w:r w:rsidRPr="00981405">
        <w:t>stratopause,</w:t>
      </w:r>
      <w:r w:rsidR="00190923" w:rsidRPr="00981405">
        <w:t xml:space="preserve"> </w:t>
      </w:r>
      <w:r w:rsidRPr="00981405">
        <w:t>at</w:t>
      </w:r>
      <w:r w:rsidR="00190923" w:rsidRPr="00981405">
        <w:t xml:space="preserve"> </w:t>
      </w:r>
      <w:r w:rsidRPr="00981405">
        <w:t>a</w:t>
      </w:r>
      <w:r w:rsidR="00190923" w:rsidRPr="00981405">
        <w:t xml:space="preserve"> </w:t>
      </w:r>
      <w:r w:rsidRPr="00981405">
        <w:t>height</w:t>
      </w:r>
      <w:r w:rsidR="00190923" w:rsidRPr="00981405">
        <w:t xml:space="preserve"> </w:t>
      </w:r>
      <w:r w:rsidRPr="00981405">
        <w:t>of</w:t>
      </w:r>
      <w:r w:rsidR="00190923" w:rsidRPr="00981405">
        <w:t xml:space="preserve"> </w:t>
      </w:r>
      <w:r w:rsidRPr="00981405">
        <w:t>nearly</w:t>
      </w:r>
      <w:r w:rsidR="00190923" w:rsidRPr="00981405">
        <w:t xml:space="preserve"> </w:t>
      </w:r>
      <w:r w:rsidRPr="00981405">
        <w:t>50</w:t>
      </w:r>
      <w:r w:rsidR="00190923" w:rsidRPr="00981405">
        <w:t xml:space="preserve"> </w:t>
      </w:r>
      <w:r w:rsidRPr="00981405">
        <w:t>kilometres),</w:t>
      </w:r>
      <w:r w:rsidR="00190923" w:rsidRPr="00981405">
        <w:t xml:space="preserve"> </w:t>
      </w:r>
      <w:r w:rsidRPr="00981405">
        <w:t>temperature</w:t>
      </w:r>
      <w:r w:rsidR="00190923" w:rsidRPr="00981405">
        <w:t xml:space="preserve"> </w:t>
      </w:r>
      <w:r w:rsidRPr="00981405">
        <w:t>gradually</w:t>
      </w:r>
      <w:r w:rsidR="00190923" w:rsidRPr="00981405">
        <w:t xml:space="preserve"> </w:t>
      </w:r>
      <w:r w:rsidRPr="00981405">
        <w:t>increases</w:t>
      </w:r>
      <w:r w:rsidR="00190923" w:rsidRPr="00981405">
        <w:t xml:space="preserve"> </w:t>
      </w:r>
      <w:r w:rsidRPr="00981405">
        <w:t>with</w:t>
      </w:r>
      <w:r w:rsidR="00190923" w:rsidRPr="00981405">
        <w:t xml:space="preserve"> </w:t>
      </w:r>
      <w:r w:rsidRPr="00981405">
        <w:t>height</w:t>
      </w:r>
      <w:r w:rsidRPr="00981405">
        <w:rPr>
          <w:rStyle w:val="FootnoteReference"/>
        </w:rPr>
        <w:footnoteReference w:id="36"/>
      </w:r>
      <w:r w:rsidR="00190923" w:rsidRPr="00981405">
        <w:t xml:space="preserve"> </w:t>
      </w:r>
      <w:r w:rsidRPr="00981405">
        <w:t>because</w:t>
      </w:r>
      <w:r w:rsidR="00190923" w:rsidRPr="00981405">
        <w:t xml:space="preserve"> </w:t>
      </w:r>
      <w:r w:rsidRPr="00981405">
        <w:t>of</w:t>
      </w:r>
      <w:r w:rsidR="00190923" w:rsidRPr="00981405">
        <w:t xml:space="preserve"> </w:t>
      </w:r>
      <w:r w:rsidRPr="00981405">
        <w:t>the</w:t>
      </w:r>
      <w:r w:rsidR="00190923" w:rsidRPr="00981405">
        <w:t xml:space="preserve"> </w:t>
      </w:r>
      <w:r w:rsidRPr="00981405">
        <w:t>absorption</w:t>
      </w:r>
      <w:r w:rsidR="00190923" w:rsidRPr="00981405">
        <w:t xml:space="preserve"> </w:t>
      </w:r>
      <w:r w:rsidRPr="00981405">
        <w:t>of</w:t>
      </w:r>
      <w:r w:rsidR="00190923" w:rsidRPr="00981405">
        <w:t xml:space="preserve"> </w:t>
      </w:r>
      <w:r w:rsidRPr="00981405">
        <w:t>ultraviolet</w:t>
      </w:r>
      <w:r w:rsidR="00190923" w:rsidRPr="00981405">
        <w:t xml:space="preserve"> </w:t>
      </w:r>
      <w:r w:rsidRPr="00981405">
        <w:t>radiation</w:t>
      </w:r>
      <w:r w:rsidR="00190923" w:rsidRPr="00981405">
        <w:t xml:space="preserve"> </w:t>
      </w:r>
      <w:r w:rsidRPr="00981405">
        <w:t>by</w:t>
      </w:r>
      <w:r w:rsidR="00190923" w:rsidRPr="00981405">
        <w:t xml:space="preserve"> </w:t>
      </w:r>
      <w:r w:rsidRPr="00981405">
        <w:t>ozone.</w:t>
      </w:r>
      <w:r w:rsidR="00190923" w:rsidRPr="00981405">
        <w:t xml:space="preserve"> </w:t>
      </w:r>
      <w:r w:rsidRPr="00981405">
        <w:t>In</w:t>
      </w:r>
      <w:r w:rsidR="00190923" w:rsidRPr="00981405">
        <w:t xml:space="preserve"> </w:t>
      </w:r>
      <w:r w:rsidRPr="00981405">
        <w:t>the</w:t>
      </w:r>
      <w:r w:rsidR="00190923" w:rsidRPr="00981405">
        <w:t xml:space="preserve"> </w:t>
      </w:r>
      <w:r w:rsidRPr="00981405">
        <w:t>mesosphere</w:t>
      </w:r>
      <w:r w:rsidR="00190923" w:rsidRPr="00981405">
        <w:t xml:space="preserve"> </w:t>
      </w:r>
      <w:r w:rsidRPr="00981405">
        <w:t>(up</w:t>
      </w:r>
      <w:r w:rsidR="00190923" w:rsidRPr="00981405">
        <w:t xml:space="preserve"> </w:t>
      </w:r>
      <w:r w:rsidRPr="00981405">
        <w:t>to</w:t>
      </w:r>
      <w:r w:rsidR="00190923" w:rsidRPr="00981405">
        <w:t xml:space="preserve"> </w:t>
      </w:r>
      <w:r w:rsidRPr="00981405">
        <w:t>the</w:t>
      </w:r>
      <w:r w:rsidR="00190923" w:rsidRPr="00981405">
        <w:t xml:space="preserve"> </w:t>
      </w:r>
      <w:r w:rsidRPr="00981405">
        <w:t>mesopause,</w:t>
      </w:r>
      <w:r w:rsidR="00190923" w:rsidRPr="00981405">
        <w:t xml:space="preserve"> </w:t>
      </w:r>
      <w:r w:rsidRPr="00981405">
        <w:t>at</w:t>
      </w:r>
      <w:r w:rsidR="00190923" w:rsidRPr="00981405">
        <w:t xml:space="preserve"> </w:t>
      </w:r>
      <w:r w:rsidRPr="00981405">
        <w:t>a</w:t>
      </w:r>
      <w:r w:rsidR="00190923" w:rsidRPr="00981405">
        <w:t xml:space="preserve"> </w:t>
      </w:r>
      <w:r w:rsidRPr="00981405">
        <w:t>height</w:t>
      </w:r>
      <w:r w:rsidR="00190923" w:rsidRPr="00981405">
        <w:t xml:space="preserve"> </w:t>
      </w:r>
      <w:r w:rsidRPr="00981405">
        <w:t>of</w:t>
      </w:r>
      <w:r w:rsidR="00190923" w:rsidRPr="00981405">
        <w:t xml:space="preserve"> </w:t>
      </w:r>
      <w:r w:rsidRPr="00981405">
        <w:t>above</w:t>
      </w:r>
      <w:r w:rsidR="00190923" w:rsidRPr="00981405">
        <w:t xml:space="preserve"> </w:t>
      </w:r>
      <w:r w:rsidRPr="00981405">
        <w:t>80</w:t>
      </w:r>
      <w:r w:rsidR="00190923" w:rsidRPr="00981405">
        <w:t xml:space="preserve"> </w:t>
      </w:r>
      <w:r w:rsidRPr="00981405">
        <w:t>kilometres),</w:t>
      </w:r>
      <w:r w:rsidR="00190923" w:rsidRPr="00981405">
        <w:t xml:space="preserve"> </w:t>
      </w:r>
      <w:r w:rsidRPr="00981405">
        <w:t>temperatures</w:t>
      </w:r>
      <w:r w:rsidR="00190923" w:rsidRPr="00981405">
        <w:t xml:space="preserve"> </w:t>
      </w:r>
      <w:r w:rsidRPr="00981405">
        <w:t>again</w:t>
      </w:r>
      <w:r w:rsidR="00190923" w:rsidRPr="00981405">
        <w:t xml:space="preserve"> </w:t>
      </w:r>
      <w:r w:rsidRPr="00981405">
        <w:t>decrease</w:t>
      </w:r>
      <w:r w:rsidR="00190923" w:rsidRPr="00981405">
        <w:t xml:space="preserve"> </w:t>
      </w:r>
      <w:r w:rsidRPr="00981405">
        <w:t>with</w:t>
      </w:r>
      <w:r w:rsidR="00190923" w:rsidRPr="00981405">
        <w:t xml:space="preserve"> </w:t>
      </w:r>
      <w:r w:rsidRPr="00981405">
        <w:t>altitude.</w:t>
      </w:r>
      <w:r w:rsidR="00190923" w:rsidRPr="00981405">
        <w:t xml:space="preserve"> </w:t>
      </w:r>
      <w:r w:rsidRPr="00981405">
        <w:t>In</w:t>
      </w:r>
      <w:r w:rsidR="00190923" w:rsidRPr="00981405">
        <w:t xml:space="preserve"> </w:t>
      </w:r>
      <w:r w:rsidRPr="00981405">
        <w:t>the</w:t>
      </w:r>
      <w:r w:rsidR="00190923" w:rsidRPr="00981405">
        <w:t xml:space="preserve"> </w:t>
      </w:r>
      <w:r w:rsidRPr="00981405">
        <w:t>thermosphere,</w:t>
      </w:r>
      <w:r w:rsidR="00190923" w:rsidRPr="00981405">
        <w:t xml:space="preserve"> </w:t>
      </w:r>
      <w:r w:rsidRPr="00981405">
        <w:t>temperatures</w:t>
      </w:r>
      <w:r w:rsidR="00190923" w:rsidRPr="00981405">
        <w:t xml:space="preserve"> </w:t>
      </w:r>
      <w:r w:rsidRPr="00981405">
        <w:t>once</w:t>
      </w:r>
      <w:r w:rsidR="00190923" w:rsidRPr="00981405">
        <w:t xml:space="preserve"> </w:t>
      </w:r>
      <w:r w:rsidRPr="00981405">
        <w:t>more</w:t>
      </w:r>
      <w:r w:rsidR="00190923" w:rsidRPr="00981405">
        <w:t xml:space="preserve"> </w:t>
      </w:r>
      <w:r w:rsidRPr="00981405">
        <w:t>rise</w:t>
      </w:r>
      <w:r w:rsidR="00190923" w:rsidRPr="00981405">
        <w:t xml:space="preserve"> </w:t>
      </w:r>
      <w:r w:rsidRPr="00981405">
        <w:t>rapidly</w:t>
      </w:r>
      <w:r w:rsidR="00190923" w:rsidRPr="00981405">
        <w:t xml:space="preserve"> </w:t>
      </w:r>
      <w:r w:rsidRPr="00981405">
        <w:t>because</w:t>
      </w:r>
      <w:r w:rsidR="00190923" w:rsidRPr="00981405">
        <w:t xml:space="preserve"> </w:t>
      </w:r>
      <w:r w:rsidRPr="00981405">
        <w:t>of</w:t>
      </w:r>
      <w:r w:rsidR="00190923" w:rsidRPr="00981405">
        <w:t xml:space="preserve"> </w:t>
      </w:r>
      <w:r w:rsidRPr="00981405">
        <w:t>X-</w:t>
      </w:r>
      <w:r w:rsidRPr="00981405">
        <w:lastRenderedPageBreak/>
        <w:t>ray</w:t>
      </w:r>
      <w:r w:rsidR="00190923" w:rsidRPr="00981405">
        <w:t xml:space="preserve"> </w:t>
      </w:r>
      <w:r w:rsidRPr="00981405">
        <w:t>and</w:t>
      </w:r>
      <w:r w:rsidR="00190923" w:rsidRPr="00981405">
        <w:t xml:space="preserve"> </w:t>
      </w:r>
      <w:r w:rsidRPr="00981405">
        <w:t>ultraviolet</w:t>
      </w:r>
      <w:r w:rsidR="00190923" w:rsidRPr="00981405">
        <w:t xml:space="preserve"> </w:t>
      </w:r>
      <w:r w:rsidRPr="00981405">
        <w:t>radiation</w:t>
      </w:r>
      <w:r w:rsidR="00190923" w:rsidRPr="00981405">
        <w:t xml:space="preserve"> </w:t>
      </w:r>
      <w:r w:rsidRPr="00981405">
        <w:t>from</w:t>
      </w:r>
      <w:r w:rsidR="00190923" w:rsidRPr="00981405">
        <w:t xml:space="preserve"> </w:t>
      </w:r>
      <w:r w:rsidRPr="00981405">
        <w:t>the</w:t>
      </w:r>
      <w:r w:rsidR="00190923" w:rsidRPr="00981405">
        <w:t xml:space="preserve"> </w:t>
      </w:r>
      <w:r w:rsidRPr="00981405">
        <w:t>sun.</w:t>
      </w:r>
      <w:r w:rsidR="00190923" w:rsidRPr="00981405">
        <w:t xml:space="preserve"> </w:t>
      </w:r>
      <w:r w:rsidRPr="00981405">
        <w:t>The</w:t>
      </w:r>
      <w:r w:rsidR="00190923" w:rsidRPr="00981405">
        <w:t xml:space="preserve"> </w:t>
      </w:r>
      <w:r w:rsidRPr="00981405">
        <w:t>atmosphere</w:t>
      </w:r>
      <w:r w:rsidR="00190923" w:rsidRPr="00981405">
        <w:t xml:space="preserve"> </w:t>
      </w:r>
      <w:r w:rsidR="00B92E2C" w:rsidRPr="00981405">
        <w:t>“</w:t>
      </w:r>
      <w:r w:rsidRPr="00981405">
        <w:t>has</w:t>
      </w:r>
      <w:r w:rsidR="00190923" w:rsidRPr="00981405">
        <w:t xml:space="preserve"> </w:t>
      </w:r>
      <w:r w:rsidRPr="00981405">
        <w:t>no</w:t>
      </w:r>
      <w:r w:rsidR="00190923" w:rsidRPr="00981405">
        <w:t xml:space="preserve"> </w:t>
      </w:r>
      <w:r w:rsidRPr="00981405">
        <w:t>well-defined</w:t>
      </w:r>
      <w:r w:rsidR="00190923" w:rsidRPr="00981405">
        <w:t xml:space="preserve"> </w:t>
      </w:r>
      <w:r w:rsidRPr="00981405">
        <w:t>upper</w:t>
      </w:r>
      <w:r w:rsidR="00190923" w:rsidRPr="00981405">
        <w:t xml:space="preserve"> </w:t>
      </w:r>
      <w:r w:rsidRPr="00981405">
        <w:t>limit</w:t>
      </w:r>
      <w:r w:rsidR="00B92E2C" w:rsidRPr="00981405">
        <w:t>”</w:t>
      </w:r>
      <w:r w:rsidRPr="00981405">
        <w:t>.</w:t>
      </w:r>
      <w:r w:rsidRPr="00981405">
        <w:rPr>
          <w:rStyle w:val="FootnoteReference"/>
        </w:rPr>
        <w:footnoteReference w:id="37"/>
      </w:r>
    </w:p>
    <w:p w:rsidR="00397032" w:rsidRPr="00981405" w:rsidRDefault="00397032" w:rsidP="00D97463">
      <w:pPr>
        <w:pStyle w:val="SingleTxt"/>
      </w:pPr>
      <w:r w:rsidRPr="00981405">
        <w:t>(4)</w:t>
      </w:r>
      <w:r w:rsidRPr="00981405">
        <w:tab/>
        <w:t>The</w:t>
      </w:r>
      <w:r w:rsidR="00190923" w:rsidRPr="00981405">
        <w:t xml:space="preserve"> </w:t>
      </w:r>
      <w:r w:rsidRPr="00981405">
        <w:t>definition,</w:t>
      </w:r>
      <w:r w:rsidR="00190923" w:rsidRPr="00981405">
        <w:t xml:space="preserve"> </w:t>
      </w:r>
      <w:r w:rsidRPr="00981405">
        <w:t>in</w:t>
      </w:r>
      <w:r w:rsidR="00190923" w:rsidRPr="00981405">
        <w:t xml:space="preserve"> </w:t>
      </w:r>
      <w:r w:rsidRPr="00981405">
        <w:t>paragraph</w:t>
      </w:r>
      <w:r w:rsidR="00190923" w:rsidRPr="00981405">
        <w:t xml:space="preserve"> </w:t>
      </w:r>
      <w:r w:rsidRPr="00981405">
        <w:t>(a),</w:t>
      </w:r>
      <w:r w:rsidR="00190923" w:rsidRPr="00981405">
        <w:t xml:space="preserve"> </w:t>
      </w:r>
      <w:r w:rsidRPr="00981405">
        <w:t>of</w:t>
      </w:r>
      <w:r w:rsidR="00190923" w:rsidRPr="00981405">
        <w:t xml:space="preserve"> </w:t>
      </w:r>
      <w:r w:rsidRPr="00981405">
        <w:t>the</w:t>
      </w:r>
      <w:r w:rsidR="00190923" w:rsidRPr="00981405">
        <w:t xml:space="preserve"> </w:t>
      </w:r>
      <w:r w:rsidR="00B92E2C" w:rsidRPr="00981405">
        <w:t>“</w:t>
      </w:r>
      <w:r w:rsidRPr="00981405">
        <w:t>atmosphere</w:t>
      </w:r>
      <w:r w:rsidR="00B92E2C" w:rsidRPr="00981405">
        <w:t>”</w:t>
      </w:r>
      <w:r w:rsidR="00190923" w:rsidRPr="00981405">
        <w:t xml:space="preserve"> </w:t>
      </w:r>
      <w:r w:rsidRPr="00981405">
        <w:t>as</w:t>
      </w:r>
      <w:r w:rsidR="00190923" w:rsidRPr="00981405">
        <w:t xml:space="preserve"> </w:t>
      </w:r>
      <w:r w:rsidRPr="00981405">
        <w:t>the</w:t>
      </w:r>
      <w:r w:rsidR="00190923" w:rsidRPr="00981405">
        <w:t xml:space="preserve"> </w:t>
      </w:r>
      <w:r w:rsidRPr="00981405">
        <w:t>envelope</w:t>
      </w:r>
      <w:r w:rsidR="00190923" w:rsidRPr="00981405">
        <w:t xml:space="preserve"> </w:t>
      </w:r>
      <w:r w:rsidRPr="00981405">
        <w:t>of</w:t>
      </w:r>
      <w:r w:rsidR="00190923" w:rsidRPr="00981405">
        <w:t xml:space="preserve"> </w:t>
      </w:r>
      <w:r w:rsidRPr="00981405">
        <w:t>gases</w:t>
      </w:r>
      <w:r w:rsidR="00190923" w:rsidRPr="00981405">
        <w:t xml:space="preserve"> </w:t>
      </w:r>
      <w:r w:rsidRPr="00981405">
        <w:t>surrounding</w:t>
      </w:r>
      <w:r w:rsidR="00190923" w:rsidRPr="00981405">
        <w:t xml:space="preserve"> </w:t>
      </w:r>
      <w:r w:rsidRPr="00981405">
        <w:t>the</w:t>
      </w:r>
      <w:r w:rsidR="00190923" w:rsidRPr="00981405">
        <w:t xml:space="preserve"> </w:t>
      </w:r>
      <w:r w:rsidRPr="00981405">
        <w:t>Earth</w:t>
      </w:r>
      <w:r w:rsidR="00190923" w:rsidRPr="00981405">
        <w:t xml:space="preserve"> </w:t>
      </w:r>
      <w:r w:rsidRPr="00981405">
        <w:t>represents</w:t>
      </w:r>
      <w:r w:rsidR="00190923" w:rsidRPr="00981405">
        <w:t xml:space="preserve"> </w:t>
      </w:r>
      <w:r w:rsidRPr="00981405">
        <w:t>a</w:t>
      </w:r>
      <w:r w:rsidR="00190923" w:rsidRPr="00981405">
        <w:t xml:space="preserve"> </w:t>
      </w:r>
      <w:r w:rsidR="00B92E2C" w:rsidRPr="00981405">
        <w:t>“</w:t>
      </w:r>
      <w:r w:rsidRPr="00981405">
        <w:t>physical</w:t>
      </w:r>
      <w:r w:rsidR="00B92E2C" w:rsidRPr="00981405">
        <w:t>”</w:t>
      </w:r>
      <w:r w:rsidR="00190923" w:rsidRPr="00981405">
        <w:t xml:space="preserve"> </w:t>
      </w:r>
      <w:r w:rsidRPr="00981405">
        <w:t>description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There</w:t>
      </w:r>
      <w:r w:rsidR="00190923" w:rsidRPr="00981405">
        <w:t xml:space="preserve"> </w:t>
      </w:r>
      <w:r w:rsidRPr="00981405">
        <w:t>is</w:t>
      </w:r>
      <w:r w:rsidR="00190923" w:rsidRPr="00981405">
        <w:t xml:space="preserve"> </w:t>
      </w:r>
      <w:r w:rsidRPr="00981405">
        <w:t>also</w:t>
      </w:r>
      <w:r w:rsidR="00190923" w:rsidRPr="00981405">
        <w:t xml:space="preserve"> </w:t>
      </w:r>
      <w:r w:rsidRPr="00981405">
        <w:t>a</w:t>
      </w:r>
      <w:r w:rsidR="00190923" w:rsidRPr="00981405">
        <w:t xml:space="preserve"> </w:t>
      </w:r>
      <w:r w:rsidR="00B92E2C" w:rsidRPr="00981405">
        <w:t>“</w:t>
      </w:r>
      <w:r w:rsidRPr="00981405">
        <w:t>functional</w:t>
      </w:r>
      <w:r w:rsidR="00B92E2C" w:rsidRPr="00981405">
        <w:t>”</w:t>
      </w:r>
      <w:r w:rsidR="00190923" w:rsidRPr="00981405">
        <w:t xml:space="preserve"> </w:t>
      </w:r>
      <w:r w:rsidRPr="00981405">
        <w:t>aspect,</w:t>
      </w:r>
      <w:r w:rsidR="00190923" w:rsidRPr="00981405">
        <w:t xml:space="preserve"> </w:t>
      </w:r>
      <w:r w:rsidRPr="00981405">
        <w:t>which</w:t>
      </w:r>
      <w:r w:rsidR="00190923" w:rsidRPr="00981405">
        <w:t xml:space="preserve"> </w:t>
      </w:r>
      <w:r w:rsidRPr="00981405">
        <w:t>involves</w:t>
      </w:r>
      <w:r w:rsidR="00190923" w:rsidRPr="00981405">
        <w:t xml:space="preserve"> </w:t>
      </w:r>
      <w:r w:rsidRPr="00981405">
        <w:t>the</w:t>
      </w:r>
      <w:r w:rsidR="00190923" w:rsidRPr="00981405">
        <w:t xml:space="preserve"> </w:t>
      </w:r>
      <w:r w:rsidRPr="00981405">
        <w:t>large-scale</w:t>
      </w:r>
      <w:r w:rsidR="00190923" w:rsidRPr="00981405">
        <w:t xml:space="preserve"> </w:t>
      </w:r>
      <w:r w:rsidRPr="00981405">
        <w:t>movement</w:t>
      </w:r>
      <w:r w:rsidR="00190923" w:rsidRPr="00981405">
        <w:t xml:space="preserve"> </w:t>
      </w:r>
      <w:r w:rsidRPr="00981405">
        <w:t>of</w:t>
      </w:r>
      <w:r w:rsidR="00190923" w:rsidRPr="00981405">
        <w:t xml:space="preserve"> </w:t>
      </w:r>
      <w:r w:rsidRPr="00981405">
        <w:t>air.</w:t>
      </w:r>
      <w:r w:rsidR="00190923" w:rsidRPr="00981405">
        <w:t xml:space="preserve"> </w:t>
      </w:r>
      <w:r w:rsidRPr="00981405">
        <w:t>The</w:t>
      </w:r>
      <w:r w:rsidR="00190923" w:rsidRPr="00981405">
        <w:t xml:space="preserve"> </w:t>
      </w:r>
      <w:r w:rsidRPr="00981405">
        <w:t>atmospheric</w:t>
      </w:r>
      <w:r w:rsidR="00190923" w:rsidRPr="00981405">
        <w:t xml:space="preserve"> </w:t>
      </w:r>
      <w:r w:rsidRPr="00981405">
        <w:t>movement</w:t>
      </w:r>
      <w:r w:rsidR="00190923" w:rsidRPr="00981405">
        <w:t xml:space="preserve"> </w:t>
      </w:r>
      <w:r w:rsidRPr="00981405">
        <w:t>has</w:t>
      </w:r>
      <w:r w:rsidR="00190923" w:rsidRPr="00981405">
        <w:t xml:space="preserve"> </w:t>
      </w:r>
      <w:r w:rsidRPr="00981405">
        <w:t>a</w:t>
      </w:r>
      <w:r w:rsidR="00190923" w:rsidRPr="00981405">
        <w:t xml:space="preserve"> </w:t>
      </w:r>
      <w:r w:rsidRPr="00981405">
        <w:t>dynamic</w:t>
      </w:r>
      <w:r w:rsidR="00190923" w:rsidRPr="00981405">
        <w:t xml:space="preserve"> </w:t>
      </w:r>
      <w:r w:rsidRPr="00981405">
        <w:t>and</w:t>
      </w:r>
      <w:r w:rsidR="00190923" w:rsidRPr="00981405">
        <w:t xml:space="preserve"> </w:t>
      </w:r>
      <w:r w:rsidRPr="00981405">
        <w:t>fluctuating</w:t>
      </w:r>
      <w:r w:rsidR="00190923" w:rsidRPr="00981405">
        <w:t xml:space="preserve"> </w:t>
      </w:r>
      <w:r w:rsidRPr="00981405">
        <w:t>feature.</w:t>
      </w:r>
      <w:r w:rsidR="00190923" w:rsidRPr="00981405">
        <w:t xml:space="preserve"> </w:t>
      </w:r>
      <w:r w:rsidRPr="00981405">
        <w:t>The</w:t>
      </w:r>
      <w:r w:rsidR="00190923" w:rsidRPr="00981405">
        <w:t xml:space="preserve"> </w:t>
      </w:r>
      <w:r w:rsidRPr="00981405">
        <w:t>air</w:t>
      </w:r>
      <w:r w:rsidR="00190923" w:rsidRPr="00981405">
        <w:t xml:space="preserve"> </w:t>
      </w:r>
      <w:r w:rsidRPr="00981405">
        <w:t>moves</w:t>
      </w:r>
      <w:r w:rsidR="00190923" w:rsidRPr="00981405">
        <w:t xml:space="preserve"> </w:t>
      </w:r>
      <w:r w:rsidRPr="00981405">
        <w:t>and</w:t>
      </w:r>
      <w:r w:rsidR="00190923" w:rsidRPr="00981405">
        <w:t xml:space="preserve"> </w:t>
      </w:r>
      <w:r w:rsidRPr="00981405">
        <w:t>circulates</w:t>
      </w:r>
      <w:r w:rsidR="00190923" w:rsidRPr="00981405">
        <w:t xml:space="preserve"> </w:t>
      </w:r>
      <w:r w:rsidRPr="00981405">
        <w:t>around</w:t>
      </w:r>
      <w:r w:rsidR="00190923" w:rsidRPr="00981405">
        <w:t xml:space="preserve"> </w:t>
      </w:r>
      <w:r w:rsidRPr="00981405">
        <w:t>the</w:t>
      </w:r>
      <w:r w:rsidR="00190923" w:rsidRPr="00981405">
        <w:t xml:space="preserve"> </w:t>
      </w:r>
      <w:r w:rsidRPr="00981405">
        <w:t>earth</w:t>
      </w:r>
      <w:r w:rsidR="00190923" w:rsidRPr="00981405">
        <w:t xml:space="preserve"> </w:t>
      </w:r>
      <w:r w:rsidRPr="00981405">
        <w:t>in</w:t>
      </w:r>
      <w:r w:rsidR="00190923" w:rsidRPr="00981405">
        <w:t xml:space="preserve"> </w:t>
      </w:r>
      <w:r w:rsidRPr="00981405">
        <w:t>a</w:t>
      </w:r>
      <w:r w:rsidR="00190923" w:rsidRPr="00981405">
        <w:t xml:space="preserve"> </w:t>
      </w:r>
      <w:r w:rsidRPr="00981405">
        <w:t>complicated</w:t>
      </w:r>
      <w:r w:rsidR="00190923" w:rsidRPr="00981405">
        <w:t xml:space="preserve"> </w:t>
      </w:r>
      <w:r w:rsidRPr="00981405">
        <w:t>formation</w:t>
      </w:r>
      <w:r w:rsidR="00190923" w:rsidRPr="00981405">
        <w:t xml:space="preserve"> </w:t>
      </w:r>
      <w:r w:rsidRPr="00981405">
        <w:t>called</w:t>
      </w:r>
      <w:r w:rsidR="00190923" w:rsidRPr="00981405">
        <w:t xml:space="preserve"> </w:t>
      </w:r>
      <w:r w:rsidR="00B92E2C" w:rsidRPr="00981405">
        <w:t>“</w:t>
      </w:r>
      <w:r w:rsidRPr="00981405">
        <w:t>atmospheric</w:t>
      </w:r>
      <w:r w:rsidR="00190923" w:rsidRPr="00981405">
        <w:t xml:space="preserve"> </w:t>
      </w:r>
      <w:r w:rsidRPr="00981405">
        <w:t>circulation</w:t>
      </w:r>
      <w:r w:rsidR="00B92E2C" w:rsidRPr="00981405">
        <w:t>”</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decided,</w:t>
      </w:r>
      <w:r w:rsidR="00190923" w:rsidRPr="00981405">
        <w:t xml:space="preserve"> </w:t>
      </w:r>
      <w:r w:rsidRPr="00981405">
        <w:t>as</w:t>
      </w:r>
      <w:r w:rsidR="00190923" w:rsidRPr="00981405">
        <w:t xml:space="preserve"> </w:t>
      </w:r>
      <w:r w:rsidRPr="00981405">
        <w:t>noted</w:t>
      </w:r>
      <w:r w:rsidR="00190923" w:rsidRPr="00981405">
        <w:t xml:space="preserve"> </w:t>
      </w:r>
      <w:r w:rsidRPr="00981405">
        <w:t>earlier</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to</w:t>
      </w:r>
      <w:r w:rsidR="00190923" w:rsidRPr="00981405">
        <w:t xml:space="preserve"> </w:t>
      </w:r>
      <w:r w:rsidRPr="00981405">
        <w:t>the</w:t>
      </w:r>
      <w:r w:rsidR="00190923" w:rsidRPr="00981405">
        <w:t xml:space="preserve"> </w:t>
      </w:r>
      <w:r w:rsidRPr="00981405">
        <w:t>preamble,</w:t>
      </w:r>
      <w:r w:rsidR="00190923" w:rsidRPr="00981405">
        <w:t xml:space="preserve"> </w:t>
      </w:r>
      <w:r w:rsidRPr="00981405">
        <w:t>to</w:t>
      </w:r>
      <w:r w:rsidR="00190923" w:rsidRPr="00981405">
        <w:t xml:space="preserve"> </w:t>
      </w:r>
      <w:r w:rsidRPr="00981405">
        <w:t>refer</w:t>
      </w:r>
      <w:r w:rsidR="00190923" w:rsidRPr="00981405">
        <w:t xml:space="preserve"> </w:t>
      </w:r>
      <w:r w:rsidRPr="00981405">
        <w:t>to</w:t>
      </w:r>
      <w:r w:rsidR="00190923" w:rsidRPr="00981405">
        <w:t xml:space="preserve"> </w:t>
      </w:r>
      <w:r w:rsidRPr="00981405">
        <w:t>this</w:t>
      </w:r>
      <w:r w:rsidR="00190923" w:rsidRPr="00981405">
        <w:t xml:space="preserve"> </w:t>
      </w:r>
      <w:r w:rsidRPr="00981405">
        <w:t>functional</w:t>
      </w:r>
      <w:r w:rsidR="00190923" w:rsidRPr="00981405">
        <w:t xml:space="preserve"> </w:t>
      </w:r>
      <w:r w:rsidRPr="00981405">
        <w:t>aspect</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paragraph</w:t>
      </w:r>
      <w:r w:rsidR="00190923" w:rsidRPr="00981405">
        <w:t xml:space="preserve"> </w:t>
      </w:r>
      <w:r w:rsidRPr="00981405">
        <w:t>of</w:t>
      </w:r>
      <w:r w:rsidR="00190923" w:rsidRPr="00981405">
        <w:t xml:space="preserve"> </w:t>
      </w:r>
      <w:r w:rsidRPr="00981405">
        <w:t>the</w:t>
      </w:r>
      <w:r w:rsidR="00190923" w:rsidRPr="00981405">
        <w:t xml:space="preserve"> </w:t>
      </w:r>
      <w:r w:rsidRPr="00981405">
        <w:t>preamble.</w:t>
      </w:r>
      <w:r w:rsidRPr="00981405">
        <w:rPr>
          <w:rStyle w:val="FootnoteReference"/>
        </w:rPr>
        <w:footnoteReference w:id="38"/>
      </w:r>
    </w:p>
    <w:p w:rsidR="00397032" w:rsidRPr="00981405" w:rsidRDefault="00397032" w:rsidP="00D97463">
      <w:pPr>
        <w:pStyle w:val="SingleTxt"/>
      </w:pPr>
      <w:r w:rsidRPr="00981405">
        <w:t>(5)</w:t>
      </w:r>
      <w:r w:rsidRPr="00981405">
        <w:tab/>
        <w:t>It</w:t>
      </w:r>
      <w:r w:rsidR="00190923" w:rsidRPr="00981405">
        <w:t xml:space="preserve"> </w:t>
      </w:r>
      <w:r w:rsidRPr="00981405">
        <w:t>is</w:t>
      </w:r>
      <w:r w:rsidR="00190923" w:rsidRPr="00981405">
        <w:t xml:space="preserve"> </w:t>
      </w:r>
      <w:r w:rsidRPr="00981405">
        <w:t>particularly</w:t>
      </w:r>
      <w:r w:rsidR="00190923" w:rsidRPr="00981405">
        <w:t xml:space="preserve"> </w:t>
      </w:r>
      <w:r w:rsidRPr="00981405">
        <w:t>important</w:t>
      </w:r>
      <w:r w:rsidR="00190923" w:rsidRPr="00981405">
        <w:t xml:space="preserve"> </w:t>
      </w:r>
      <w:r w:rsidRPr="00981405">
        <w:t>to</w:t>
      </w:r>
      <w:r w:rsidR="00190923" w:rsidRPr="00981405">
        <w:t xml:space="preserve"> </w:t>
      </w:r>
      <w:r w:rsidRPr="00981405">
        <w:t>recognize</w:t>
      </w:r>
      <w:r w:rsidR="00190923" w:rsidRPr="00981405">
        <w:t xml:space="preserve"> </w:t>
      </w:r>
      <w:r w:rsidRPr="00981405">
        <w:t>the</w:t>
      </w:r>
      <w:r w:rsidR="00190923" w:rsidRPr="00981405">
        <w:t xml:space="preserve"> </w:t>
      </w:r>
      <w:r w:rsidRPr="00981405">
        <w:t>function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as</w:t>
      </w:r>
      <w:r w:rsidR="00190923" w:rsidRPr="00981405">
        <w:t xml:space="preserve"> </w:t>
      </w:r>
      <w:r w:rsidRPr="00981405">
        <w:t>a</w:t>
      </w:r>
      <w:r w:rsidR="00190923" w:rsidRPr="00981405">
        <w:t xml:space="preserve"> </w:t>
      </w:r>
      <w:r w:rsidRPr="00981405">
        <w:t>medium</w:t>
      </w:r>
      <w:r w:rsidR="00190923" w:rsidRPr="00981405">
        <w:t xml:space="preserve"> </w:t>
      </w:r>
      <w:r w:rsidRPr="00981405">
        <w:t>within</w:t>
      </w:r>
      <w:r w:rsidR="00190923" w:rsidRPr="00981405">
        <w:t xml:space="preserve"> </w:t>
      </w:r>
      <w:r w:rsidRPr="00981405">
        <w:t>which</w:t>
      </w:r>
      <w:r w:rsidR="00190923" w:rsidRPr="00981405">
        <w:t xml:space="preserve"> </w:t>
      </w:r>
      <w:r w:rsidRPr="00981405">
        <w:t>there</w:t>
      </w:r>
      <w:r w:rsidR="00190923" w:rsidRPr="00981405">
        <w:t xml:space="preserve"> </w:t>
      </w:r>
      <w:r w:rsidRPr="00981405">
        <w:t>is</w:t>
      </w:r>
      <w:r w:rsidR="00190923" w:rsidRPr="00981405">
        <w:t xml:space="preserve"> </w:t>
      </w:r>
      <w:r w:rsidRPr="00981405">
        <w:t>constant</w:t>
      </w:r>
      <w:r w:rsidR="00190923" w:rsidRPr="00981405">
        <w:t xml:space="preserve"> </w:t>
      </w:r>
      <w:r w:rsidRPr="00981405">
        <w:t>movement</w:t>
      </w:r>
      <w:r w:rsidR="00190923" w:rsidRPr="00981405">
        <w:t xml:space="preserve"> </w:t>
      </w:r>
      <w:r w:rsidRPr="00981405">
        <w:t>as</w:t>
      </w:r>
      <w:r w:rsidR="00190923" w:rsidRPr="00981405">
        <w:t xml:space="preserve"> </w:t>
      </w:r>
      <w:r w:rsidRPr="00981405">
        <w:t>it</w:t>
      </w:r>
      <w:r w:rsidR="00190923" w:rsidRPr="00981405">
        <w:t xml:space="preserve"> </w:t>
      </w:r>
      <w:r w:rsidRPr="00981405">
        <w:t>is</w:t>
      </w:r>
      <w:r w:rsidR="00190923" w:rsidRPr="00981405">
        <w:t xml:space="preserve"> </w:t>
      </w:r>
      <w:r w:rsidRPr="00981405">
        <w:t>within</w:t>
      </w:r>
      <w:r w:rsidR="00190923" w:rsidRPr="00981405">
        <w:t xml:space="preserve"> </w:t>
      </w:r>
      <w:r w:rsidRPr="00981405">
        <w:t>that</w:t>
      </w:r>
      <w:r w:rsidR="00190923" w:rsidRPr="00981405">
        <w:t xml:space="preserve"> </w:t>
      </w:r>
      <w:r w:rsidRPr="00981405">
        <w:t>context</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transport</w:t>
      </w:r>
      <w:r w:rsidR="00190923" w:rsidRPr="00981405">
        <w:t xml:space="preserve"> </w:t>
      </w:r>
      <w:r w:rsidRPr="00981405">
        <w:t>and</w:t>
      </w:r>
      <w:r w:rsidR="00190923" w:rsidRPr="00981405">
        <w:t xml:space="preserve"> </w:t>
      </w:r>
      <w:r w:rsidRPr="00981405">
        <w:t>dispersion</w:t>
      </w:r>
      <w:r w:rsidR="00B92E2C" w:rsidRPr="00981405">
        <w:t>”</w:t>
      </w:r>
      <w:r w:rsidR="00190923" w:rsidRPr="00981405">
        <w:t xml:space="preserve"> </w:t>
      </w:r>
      <w:r w:rsidRPr="00981405">
        <w:t>of</w:t>
      </w:r>
      <w:r w:rsidR="00190923" w:rsidRPr="00981405">
        <w:t xml:space="preserve"> </w:t>
      </w:r>
      <w:r w:rsidRPr="00981405">
        <w:t>polluting</w:t>
      </w:r>
      <w:r w:rsidR="00190923" w:rsidRPr="00981405">
        <w:t xml:space="preserve"> </w:t>
      </w:r>
      <w:r w:rsidRPr="00981405">
        <w:t>and</w:t>
      </w:r>
      <w:r w:rsidR="00190923" w:rsidRPr="00981405">
        <w:t xml:space="preserve"> </w:t>
      </w:r>
      <w:r w:rsidRPr="00981405">
        <w:t>degrading</w:t>
      </w:r>
      <w:r w:rsidR="00190923" w:rsidRPr="00981405">
        <w:t xml:space="preserve"> </w:t>
      </w:r>
      <w:r w:rsidRPr="00981405">
        <w:t>substances</w:t>
      </w:r>
      <w:r w:rsidR="00190923" w:rsidRPr="00981405">
        <w:t xml:space="preserve"> </w:t>
      </w:r>
      <w:r w:rsidRPr="00981405">
        <w:t>occurs.</w:t>
      </w:r>
      <w:r w:rsidR="00190923" w:rsidRPr="00981405">
        <w:t xml:space="preserve"> </w:t>
      </w:r>
      <w:r w:rsidRPr="00981405">
        <w:t>Indeed,</w:t>
      </w:r>
      <w:r w:rsidR="00190923" w:rsidRPr="00981405">
        <w:t xml:space="preserve"> </w:t>
      </w:r>
      <w:r w:rsidRPr="00981405">
        <w:t>the</w:t>
      </w:r>
      <w:r w:rsidR="00190923" w:rsidRPr="00981405">
        <w:t xml:space="preserve"> </w:t>
      </w:r>
      <w:r w:rsidRPr="00981405">
        <w:t>long-range</w:t>
      </w:r>
      <w:r w:rsidR="00190923" w:rsidRPr="00981405">
        <w:t xml:space="preserve"> </w:t>
      </w:r>
      <w:r w:rsidRPr="00981405">
        <w:t>transboundary</w:t>
      </w:r>
      <w:r w:rsidR="00190923" w:rsidRPr="00981405">
        <w:t xml:space="preserve"> </w:t>
      </w:r>
      <w:r w:rsidRPr="00981405">
        <w:t>movement</w:t>
      </w:r>
      <w:r w:rsidR="00190923" w:rsidRPr="00981405">
        <w:t xml:space="preserve"> </w:t>
      </w:r>
      <w:r w:rsidRPr="00981405">
        <w:t>of</w:t>
      </w:r>
      <w:r w:rsidR="00190923" w:rsidRPr="00981405">
        <w:t xml:space="preserve"> </w:t>
      </w:r>
      <w:r w:rsidRPr="00981405">
        <w:t>polluting</w:t>
      </w:r>
      <w:r w:rsidR="00190923" w:rsidRPr="00981405">
        <w:t xml:space="preserve"> </w:t>
      </w:r>
      <w:r w:rsidRPr="00981405">
        <w:t>substances</w:t>
      </w:r>
      <w:r w:rsidR="00190923" w:rsidRPr="00981405">
        <w:t xml:space="preserve"> </w:t>
      </w:r>
      <w:r w:rsidRPr="00981405">
        <w:t>is</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major</w:t>
      </w:r>
      <w:r w:rsidR="00190923" w:rsidRPr="00981405">
        <w:t xml:space="preserve"> </w:t>
      </w:r>
      <w:r w:rsidRPr="00981405">
        <w:t>problems</w:t>
      </w:r>
      <w:r w:rsidR="00190923" w:rsidRPr="00981405">
        <w:t xml:space="preserve"> </w:t>
      </w:r>
      <w:r w:rsidRPr="00981405">
        <w:t>for</w:t>
      </w:r>
      <w:r w:rsidR="00190923" w:rsidRPr="00981405">
        <w:t xml:space="preserve"> </w:t>
      </w:r>
      <w:r w:rsidRPr="00981405">
        <w:t>the</w:t>
      </w:r>
      <w:r w:rsidR="00190923" w:rsidRPr="00981405">
        <w:t xml:space="preserve"> </w:t>
      </w:r>
      <w:r w:rsidRPr="00981405">
        <w:t>atmospheric</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addition</w:t>
      </w:r>
      <w:r w:rsidR="00190923" w:rsidRPr="00981405">
        <w:t xml:space="preserve"> </w:t>
      </w:r>
      <w:r w:rsidRPr="00981405">
        <w:t>to</w:t>
      </w:r>
      <w:r w:rsidR="00190923" w:rsidRPr="00981405">
        <w:t xml:space="preserve"> </w:t>
      </w:r>
      <w:r w:rsidRPr="00981405">
        <w:t>transboundary</w:t>
      </w:r>
      <w:r w:rsidR="00190923" w:rsidRPr="00981405">
        <w:t xml:space="preserve"> </w:t>
      </w:r>
      <w:r w:rsidRPr="00981405">
        <w:t>pollution,</w:t>
      </w:r>
      <w:r w:rsidR="00190923" w:rsidRPr="00981405">
        <w:t xml:space="preserve"> </w:t>
      </w:r>
      <w:r w:rsidRPr="00981405">
        <w:t>other</w:t>
      </w:r>
      <w:r w:rsidR="00190923" w:rsidRPr="00981405">
        <w:t xml:space="preserve"> </w:t>
      </w:r>
      <w:r w:rsidRPr="00981405">
        <w:t>concerns</w:t>
      </w:r>
      <w:r w:rsidR="00190923" w:rsidRPr="00981405">
        <w:t xml:space="preserve"> </w:t>
      </w:r>
      <w:r w:rsidRPr="00981405">
        <w:t>relate</w:t>
      </w:r>
      <w:r w:rsidR="00190923" w:rsidRPr="00981405">
        <w:t xml:space="preserve"> </w:t>
      </w:r>
      <w:r w:rsidRPr="00981405">
        <w:t>to</w:t>
      </w:r>
      <w:r w:rsidR="00190923" w:rsidRPr="00981405">
        <w:t xml:space="preserve"> </w:t>
      </w:r>
      <w:r w:rsidRPr="00981405">
        <w:t>the</w:t>
      </w:r>
      <w:r w:rsidR="00190923" w:rsidRPr="00981405">
        <w:t xml:space="preserve"> </w:t>
      </w:r>
      <w:r w:rsidRPr="00981405">
        <w:t>depletion</w:t>
      </w:r>
      <w:r w:rsidR="00190923" w:rsidRPr="00981405">
        <w:t xml:space="preserve"> </w:t>
      </w:r>
      <w:r w:rsidRPr="00981405">
        <w:t>of</w:t>
      </w:r>
      <w:r w:rsidR="00190923" w:rsidRPr="00981405">
        <w:t xml:space="preserve"> </w:t>
      </w:r>
      <w:r w:rsidRPr="00981405">
        <w:t>the</w:t>
      </w:r>
      <w:r w:rsidR="00190923" w:rsidRPr="00981405">
        <w:t xml:space="preserve"> </w:t>
      </w:r>
      <w:r w:rsidRPr="00981405">
        <w:t>ozone</w:t>
      </w:r>
      <w:r w:rsidR="00190923" w:rsidRPr="00981405">
        <w:t xml:space="preserve"> </w:t>
      </w:r>
      <w:r w:rsidRPr="00981405">
        <w:t>layer</w:t>
      </w:r>
      <w:r w:rsidR="00190923" w:rsidRPr="00981405">
        <w:t xml:space="preserve"> </w:t>
      </w:r>
      <w:r w:rsidRPr="00981405">
        <w:t>and</w:t>
      </w:r>
      <w:r w:rsidR="00190923" w:rsidRPr="00981405">
        <w:t xml:space="preserve"> </w:t>
      </w:r>
      <w:r w:rsidRPr="00981405">
        <w:t>to</w:t>
      </w:r>
      <w:r w:rsidR="00190923" w:rsidRPr="00981405">
        <w:t xml:space="preserve"> </w:t>
      </w:r>
      <w:r w:rsidRPr="00981405">
        <w:t>climate</w:t>
      </w:r>
      <w:r w:rsidR="00190923" w:rsidRPr="00981405">
        <w:t xml:space="preserve"> </w:t>
      </w:r>
      <w:r w:rsidRPr="00981405">
        <w:t>change.</w:t>
      </w:r>
      <w:r w:rsidR="00190923" w:rsidRPr="00981405">
        <w:t xml:space="preserve"> </w:t>
      </w:r>
    </w:p>
    <w:p w:rsidR="00397032" w:rsidRPr="00981405" w:rsidRDefault="00397032" w:rsidP="00D97463">
      <w:pPr>
        <w:pStyle w:val="SingleTxt"/>
      </w:pPr>
      <w:r w:rsidRPr="00981405">
        <w:t>(6)</w:t>
      </w:r>
      <w:r w:rsidRPr="00981405">
        <w:tab/>
        <w:t>Paragraph</w:t>
      </w:r>
      <w:r w:rsidR="00190923" w:rsidRPr="00981405">
        <w:t xml:space="preserve"> </w:t>
      </w:r>
      <w:r w:rsidRPr="00981405">
        <w:t>(b)</w:t>
      </w:r>
      <w:r w:rsidR="00190923" w:rsidRPr="00981405">
        <w:t xml:space="preserve"> </w:t>
      </w:r>
      <w:r w:rsidRPr="00981405">
        <w:t>defines</w:t>
      </w:r>
      <w:r w:rsidR="00190923" w:rsidRPr="00981405">
        <w:t xml:space="preserve"> </w:t>
      </w:r>
      <w:r w:rsidR="00B92E2C" w:rsidRPr="00981405">
        <w:t>“</w:t>
      </w:r>
      <w:r w:rsidRPr="00981405">
        <w:t>atmospheric</w:t>
      </w:r>
      <w:r w:rsidR="00190923" w:rsidRPr="00981405">
        <w:t xml:space="preserve"> </w:t>
      </w:r>
      <w:r w:rsidRPr="00981405">
        <w:t>pollution</w:t>
      </w:r>
      <w:r w:rsidR="00B92E2C" w:rsidRPr="00981405">
        <w:t>”</w:t>
      </w:r>
      <w:r w:rsidR="00190923" w:rsidRPr="00981405">
        <w:t xml:space="preserve"> </w:t>
      </w:r>
      <w:r w:rsidRPr="00981405">
        <w:t>and</w:t>
      </w:r>
      <w:r w:rsidR="00190923" w:rsidRPr="00981405">
        <w:t xml:space="preserve"> </w:t>
      </w:r>
      <w:r w:rsidRPr="00981405">
        <w:t>addresses</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190923" w:rsidRPr="00981405">
        <w:t xml:space="preserve"> </w:t>
      </w:r>
      <w:r w:rsidRPr="00981405">
        <w:t>whereas</w:t>
      </w:r>
      <w:r w:rsidR="00190923" w:rsidRPr="00981405">
        <w:t xml:space="preserve"> </w:t>
      </w:r>
      <w:r w:rsidRPr="00981405">
        <w:t>paragraph</w:t>
      </w:r>
      <w:r w:rsidR="00190923" w:rsidRPr="00981405">
        <w:t xml:space="preserve"> </w:t>
      </w:r>
      <w:r w:rsidRPr="00981405">
        <w:t>(c)</w:t>
      </w:r>
      <w:r w:rsidR="00190923" w:rsidRPr="00981405">
        <w:t xml:space="preserve"> </w:t>
      </w:r>
      <w:r w:rsidRPr="00981405">
        <w:t>defines</w:t>
      </w:r>
      <w:r w:rsidR="00190923" w:rsidRPr="00981405">
        <w:t xml:space="preserve"> </w:t>
      </w:r>
      <w:r w:rsidR="00B92E2C" w:rsidRPr="00981405">
        <w:t>“</w:t>
      </w:r>
      <w:r w:rsidRPr="00981405">
        <w:t>atmospheric</w:t>
      </w:r>
      <w:r w:rsidR="00190923" w:rsidRPr="00981405">
        <w:t xml:space="preserve"> </w:t>
      </w:r>
      <w:r w:rsidRPr="00981405">
        <w:t>degradation</w:t>
      </w:r>
      <w:r w:rsidR="00B92E2C" w:rsidRPr="00981405">
        <w:t>”</w:t>
      </w:r>
      <w:r w:rsidR="00190923" w:rsidRPr="00981405">
        <w:t xml:space="preserve"> </w:t>
      </w:r>
      <w:r w:rsidRPr="00981405">
        <w:t>and</w:t>
      </w:r>
      <w:r w:rsidR="00190923" w:rsidRPr="00981405">
        <w:t xml:space="preserve"> </w:t>
      </w:r>
      <w:r w:rsidRPr="00981405">
        <w:t>refers</w:t>
      </w:r>
      <w:r w:rsidR="00190923" w:rsidRPr="00981405">
        <w:t xml:space="preserve"> </w:t>
      </w:r>
      <w:r w:rsidRPr="00981405">
        <w:t>to</w:t>
      </w:r>
      <w:r w:rsidR="00190923" w:rsidRPr="00981405">
        <w:t xml:space="preserve"> </w:t>
      </w:r>
      <w:r w:rsidRPr="00981405">
        <w:t>global</w:t>
      </w:r>
      <w:r w:rsidR="00190923" w:rsidRPr="00981405">
        <w:t xml:space="preserve"> </w:t>
      </w:r>
      <w:r w:rsidRPr="00981405">
        <w:t>atmospheric</w:t>
      </w:r>
      <w:r w:rsidR="00190923" w:rsidRPr="00981405">
        <w:t xml:space="preserve"> </w:t>
      </w:r>
      <w:r w:rsidRPr="00981405">
        <w:t>problems.</w:t>
      </w:r>
      <w:r w:rsidR="00190923" w:rsidRPr="00981405">
        <w:t xml:space="preserve"> </w:t>
      </w:r>
      <w:r w:rsidRPr="00981405">
        <w:t>By</w:t>
      </w:r>
      <w:r w:rsidR="00190923" w:rsidRPr="00981405">
        <w:t xml:space="preserve"> </w:t>
      </w:r>
      <w:r w:rsidRPr="00981405">
        <w:t>stating</w:t>
      </w:r>
      <w:r w:rsidR="00190923" w:rsidRPr="00981405">
        <w:t xml:space="preserve"> </w:t>
      </w:r>
      <w:r w:rsidR="00B92E2C" w:rsidRPr="00981405">
        <w:t>“</w:t>
      </w:r>
      <w:r w:rsidRPr="00981405">
        <w:t>by</w:t>
      </w:r>
      <w:r w:rsidR="00190923" w:rsidRPr="00981405">
        <w:t xml:space="preserve"> </w:t>
      </w:r>
      <w:r w:rsidRPr="00981405">
        <w:t>humans</w:t>
      </w:r>
      <w:r w:rsidR="00B92E2C" w:rsidRPr="00981405">
        <w:t>”</w:t>
      </w:r>
      <w:r w:rsidRPr="00981405">
        <w:t>,</w:t>
      </w:r>
      <w:r w:rsidR="00190923" w:rsidRPr="00981405">
        <w:t xml:space="preserve"> </w:t>
      </w:r>
      <w:r w:rsidRPr="00981405">
        <w:t>both</w:t>
      </w:r>
      <w:r w:rsidR="00190923" w:rsidRPr="00981405">
        <w:t xml:space="preserve"> </w:t>
      </w:r>
      <w:r w:rsidRPr="00981405">
        <w:t>paragraphs</w:t>
      </w:r>
      <w:r w:rsidR="00190923" w:rsidRPr="00981405">
        <w:t xml:space="preserve"> </w:t>
      </w:r>
      <w:r w:rsidRPr="00981405">
        <w:t>(b)</w:t>
      </w:r>
      <w:r w:rsidR="00190923" w:rsidRPr="00981405">
        <w:t xml:space="preserve"> </w:t>
      </w:r>
      <w:r w:rsidRPr="00981405">
        <w:t>and</w:t>
      </w:r>
      <w:r w:rsidR="00190923" w:rsidRPr="00981405">
        <w:t xml:space="preserve"> </w:t>
      </w:r>
      <w:r w:rsidRPr="00981405">
        <w:t>(c)</w:t>
      </w:r>
      <w:r w:rsidR="00190923" w:rsidRPr="00981405">
        <w:t xml:space="preserve"> </w:t>
      </w:r>
      <w:r w:rsidRPr="00981405">
        <w:t>make</w:t>
      </w:r>
      <w:r w:rsidR="00190923" w:rsidRPr="00981405">
        <w:t xml:space="preserve"> </w:t>
      </w:r>
      <w:r w:rsidRPr="00981405">
        <w:t>it</w:t>
      </w:r>
      <w:r w:rsidR="00190923" w:rsidRPr="00981405">
        <w:t xml:space="preserve"> </w:t>
      </w:r>
      <w:r w:rsidRPr="00981405">
        <w:t>clear</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address</w:t>
      </w:r>
      <w:r w:rsidR="00190923" w:rsidRPr="00981405">
        <w:t xml:space="preserve"> </w:t>
      </w:r>
      <w:r w:rsidR="00B92E2C" w:rsidRPr="00981405">
        <w:t>“</w:t>
      </w:r>
      <w:r w:rsidRPr="00981405">
        <w:t>anthropogenic</w:t>
      </w:r>
      <w:r w:rsidR="00B92E2C" w:rsidRPr="00981405">
        <w:t>”</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aware</w:t>
      </w:r>
      <w:r w:rsidR="00190923" w:rsidRPr="00981405">
        <w:t xml:space="preserve"> </w:t>
      </w:r>
      <w:r w:rsidRPr="00981405">
        <w:t>that</w:t>
      </w:r>
      <w:r w:rsidR="00190923" w:rsidRPr="00981405">
        <w:t xml:space="preserve"> </w:t>
      </w:r>
      <w:r w:rsidRPr="00981405">
        <w:t>the</w:t>
      </w:r>
      <w:r w:rsidR="00190923" w:rsidRPr="00981405">
        <w:t xml:space="preserve"> </w:t>
      </w:r>
      <w:r w:rsidRPr="00981405">
        <w:t>focus</w:t>
      </w:r>
      <w:r w:rsidR="00190923" w:rsidRPr="00981405">
        <w:t xml:space="preserve"> </w:t>
      </w:r>
      <w:r w:rsidRPr="00981405">
        <w:t>on</w:t>
      </w:r>
      <w:r w:rsidR="00190923" w:rsidRPr="00981405">
        <w:t xml:space="preserve"> </w:t>
      </w:r>
      <w:r w:rsidRPr="00981405">
        <w:t>human</w:t>
      </w:r>
      <w:r w:rsidR="00190923" w:rsidRPr="00981405">
        <w:t xml:space="preserve"> </w:t>
      </w:r>
      <w:r w:rsidRPr="00981405">
        <w:t>activity,</w:t>
      </w:r>
      <w:r w:rsidR="00190923" w:rsidRPr="00981405">
        <w:t xml:space="preserve"> </w:t>
      </w:r>
      <w:r w:rsidRPr="00981405">
        <w:t>whether</w:t>
      </w:r>
      <w:r w:rsidR="00190923" w:rsidRPr="00981405">
        <w:t xml:space="preserve"> </w:t>
      </w:r>
      <w:r w:rsidRPr="00981405">
        <w:t>direct</w:t>
      </w:r>
      <w:r w:rsidR="00190923" w:rsidRPr="00981405">
        <w:t xml:space="preserve"> </w:t>
      </w:r>
      <w:r w:rsidRPr="00981405">
        <w:t>or</w:t>
      </w:r>
      <w:r w:rsidR="00190923" w:rsidRPr="00981405">
        <w:t xml:space="preserve"> </w:t>
      </w:r>
      <w:r w:rsidRPr="00981405">
        <w:t>indirect,</w:t>
      </w:r>
      <w:r w:rsidR="00190923" w:rsidRPr="00981405">
        <w:t xml:space="preserve"> </w:t>
      </w:r>
      <w:r w:rsidRPr="00981405">
        <w:t>is</w:t>
      </w:r>
      <w:r w:rsidR="00190923" w:rsidRPr="00981405">
        <w:t xml:space="preserve"> </w:t>
      </w:r>
      <w:r w:rsidRPr="00981405">
        <w:t>a</w:t>
      </w:r>
      <w:r w:rsidR="00190923" w:rsidRPr="00981405">
        <w:t xml:space="preserve"> </w:t>
      </w:r>
      <w:r w:rsidRPr="00981405">
        <w:t>deliberate</w:t>
      </w:r>
      <w:r w:rsidR="00190923" w:rsidRPr="00981405">
        <w:t xml:space="preserve"> </w:t>
      </w:r>
      <w:r w:rsidRPr="00981405">
        <w:t>one</w:t>
      </w:r>
      <w:r w:rsidR="00190923" w:rsidRPr="00981405">
        <w:t xml:space="preserve"> </w:t>
      </w:r>
      <w:r w:rsidRPr="00981405">
        <w:t>as</w:t>
      </w:r>
      <w:r w:rsidR="00190923" w:rsidRPr="00981405">
        <w:t xml:space="preserve"> </w:t>
      </w:r>
      <w:r w:rsidRPr="00981405">
        <w:t>the</w:t>
      </w:r>
      <w:r w:rsidR="00190923" w:rsidRPr="00981405">
        <w:t xml:space="preserve"> </w:t>
      </w:r>
      <w:r w:rsidRPr="00981405">
        <w:t>present</w:t>
      </w:r>
      <w:r w:rsidR="00190923" w:rsidRPr="00981405">
        <w:t xml:space="preserve"> </w:t>
      </w:r>
      <w:r w:rsidRPr="00981405">
        <w:t>guidelines</w:t>
      </w:r>
      <w:r w:rsidR="00190923" w:rsidRPr="00981405">
        <w:t xml:space="preserve"> </w:t>
      </w:r>
      <w:r w:rsidRPr="00981405">
        <w:t>seek</w:t>
      </w:r>
      <w:r w:rsidR="00190923" w:rsidRPr="00981405">
        <w:t xml:space="preserve"> </w:t>
      </w:r>
      <w:r w:rsidRPr="00981405">
        <w:t>to</w:t>
      </w:r>
      <w:r w:rsidR="00190923" w:rsidRPr="00981405">
        <w:t xml:space="preserve"> </w:t>
      </w:r>
      <w:r w:rsidRPr="00981405">
        <w:t>provide</w:t>
      </w:r>
      <w:r w:rsidR="00190923" w:rsidRPr="00981405">
        <w:t xml:space="preserve"> </w:t>
      </w:r>
      <w:r w:rsidRPr="00981405">
        <w:t>guidance</w:t>
      </w:r>
      <w:r w:rsidR="00190923" w:rsidRPr="00981405">
        <w:t xml:space="preserve"> </w:t>
      </w:r>
      <w:r w:rsidRPr="00981405">
        <w:t>to</w:t>
      </w:r>
      <w:r w:rsidR="00190923" w:rsidRPr="00981405">
        <w:t xml:space="preserve"> </w:t>
      </w:r>
      <w:r w:rsidRPr="00981405">
        <w:t>States</w:t>
      </w:r>
      <w:r w:rsidR="00190923" w:rsidRPr="00981405">
        <w:t xml:space="preserve"> </w:t>
      </w:r>
      <w:r w:rsidRPr="00981405">
        <w:t>and</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p>
    <w:p w:rsidR="00397032" w:rsidRPr="00981405" w:rsidRDefault="00397032" w:rsidP="00D97463">
      <w:pPr>
        <w:pStyle w:val="SingleTxt"/>
      </w:pPr>
      <w:r w:rsidRPr="00981405">
        <w:t>(7)</w:t>
      </w:r>
      <w:r w:rsidRPr="00981405">
        <w:tab/>
        <w:t>The</w:t>
      </w:r>
      <w:r w:rsidR="00190923" w:rsidRPr="00981405">
        <w:t xml:space="preserve"> </w:t>
      </w:r>
      <w:r w:rsidRPr="00981405">
        <w:t>term</w:t>
      </w:r>
      <w:r w:rsidR="00190923" w:rsidRPr="00981405">
        <w:t xml:space="preserve"> </w:t>
      </w:r>
      <w:r w:rsidR="00B92E2C" w:rsidRPr="00981405">
        <w:t>“</w:t>
      </w:r>
      <w:r w:rsidRPr="00981405">
        <w:t>atmospheric</w:t>
      </w:r>
      <w:r w:rsidR="00190923" w:rsidRPr="00981405">
        <w:t xml:space="preserve"> </w:t>
      </w:r>
      <w:r w:rsidRPr="00981405">
        <w:t>pollution</w:t>
      </w:r>
      <w:r w:rsidR="00B92E2C" w:rsidRPr="00981405">
        <w:t>”</w:t>
      </w:r>
      <w:r w:rsidR="00190923" w:rsidRPr="00981405">
        <w:t xml:space="preserve"> </w:t>
      </w:r>
      <w:r w:rsidRPr="00981405">
        <w:t>(or,</w:t>
      </w:r>
      <w:r w:rsidR="00190923" w:rsidRPr="00981405">
        <w:t xml:space="preserve"> </w:t>
      </w:r>
      <w:r w:rsidRPr="00981405">
        <w:t>air</w:t>
      </w:r>
      <w:r w:rsidR="00190923" w:rsidRPr="00981405">
        <w:t xml:space="preserve"> </w:t>
      </w:r>
      <w:r w:rsidRPr="00981405">
        <w:t>pollution)</w:t>
      </w:r>
      <w:r w:rsidR="00190923" w:rsidRPr="00981405">
        <w:t xml:space="preserve"> </w:t>
      </w:r>
      <w:r w:rsidRPr="00981405">
        <w:t>is</w:t>
      </w:r>
      <w:r w:rsidR="00190923" w:rsidRPr="00981405">
        <w:t xml:space="preserve"> </w:t>
      </w:r>
      <w:r w:rsidRPr="00981405">
        <w:t>sometimes</w:t>
      </w:r>
      <w:r w:rsidR="00190923" w:rsidRPr="00981405">
        <w:t xml:space="preserve"> </w:t>
      </w:r>
      <w:r w:rsidRPr="00981405">
        <w:t>used</w:t>
      </w:r>
      <w:r w:rsidR="00190923" w:rsidRPr="00981405">
        <w:t xml:space="preserve"> </w:t>
      </w:r>
      <w:r w:rsidRPr="00981405">
        <w:t>broadly</w:t>
      </w:r>
      <w:r w:rsidR="00190923" w:rsidRPr="00981405">
        <w:t xml:space="preserve"> </w:t>
      </w:r>
      <w:r w:rsidRPr="00981405">
        <w:t>to</w:t>
      </w:r>
      <w:r w:rsidR="00190923" w:rsidRPr="00981405">
        <w:t xml:space="preserve"> </w:t>
      </w:r>
      <w:r w:rsidRPr="00981405">
        <w:t>include</w:t>
      </w:r>
      <w:r w:rsidR="00190923" w:rsidRPr="00981405">
        <w:t xml:space="preserve"> </w:t>
      </w:r>
      <w:r w:rsidRPr="00981405">
        <w:t>global</w:t>
      </w:r>
      <w:r w:rsidR="00190923" w:rsidRPr="00981405">
        <w:t xml:space="preserve"> </w:t>
      </w:r>
      <w:r w:rsidRPr="00981405">
        <w:t>deterioration</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conditions</w:t>
      </w:r>
      <w:r w:rsidR="00190923" w:rsidRPr="00981405">
        <w:t xml:space="preserve"> </w:t>
      </w:r>
      <w:r w:rsidRPr="00981405">
        <w:t>such</w:t>
      </w:r>
      <w:r w:rsidR="00190923" w:rsidRPr="00981405">
        <w:t xml:space="preserve"> </w:t>
      </w:r>
      <w:r w:rsidRPr="00981405">
        <w:t>as</w:t>
      </w:r>
      <w:r w:rsidR="00190923" w:rsidRPr="00981405">
        <w:t xml:space="preserve"> </w:t>
      </w:r>
      <w:r w:rsidRPr="00981405">
        <w:t>ozone</w:t>
      </w:r>
      <w:r w:rsidR="00190923" w:rsidRPr="00981405">
        <w:t xml:space="preserve"> </w:t>
      </w:r>
      <w:r w:rsidRPr="00981405">
        <w:t>depletion</w:t>
      </w:r>
      <w:r w:rsidR="00190923" w:rsidRPr="00981405">
        <w:t xml:space="preserve"> </w:t>
      </w:r>
      <w:r w:rsidRPr="00981405">
        <w:t>and</w:t>
      </w:r>
      <w:r w:rsidR="00190923" w:rsidRPr="00981405">
        <w:t xml:space="preserve"> </w:t>
      </w:r>
      <w:r w:rsidRPr="00981405">
        <w:t>climate</w:t>
      </w:r>
      <w:r w:rsidR="00190923" w:rsidRPr="00981405">
        <w:t xml:space="preserve"> </w:t>
      </w:r>
      <w:r w:rsidRPr="00981405">
        <w:t>change,</w:t>
      </w:r>
      <w:r w:rsidRPr="00981405">
        <w:rPr>
          <w:rStyle w:val="FootnoteReference"/>
        </w:rPr>
        <w:footnoteReference w:id="39"/>
      </w:r>
      <w:r w:rsidR="00190923" w:rsidRPr="00981405">
        <w:t xml:space="preserve"> </w:t>
      </w:r>
      <w:r w:rsidRPr="00981405">
        <w:t>but</w:t>
      </w:r>
      <w:r w:rsidR="00190923" w:rsidRPr="00981405">
        <w:t xml:space="preserve"> </w:t>
      </w:r>
      <w:r w:rsidRPr="00981405">
        <w:t>the</w:t>
      </w:r>
      <w:r w:rsidR="00190923" w:rsidRPr="00981405">
        <w:t xml:space="preserve"> </w:t>
      </w:r>
      <w:r w:rsidRPr="00981405">
        <w:t>term</w:t>
      </w:r>
      <w:r w:rsidR="00190923" w:rsidRPr="00981405">
        <w:t xml:space="preserve"> </w:t>
      </w:r>
      <w:r w:rsidRPr="00981405">
        <w:t>is</w:t>
      </w:r>
      <w:r w:rsidR="00190923" w:rsidRPr="00981405">
        <w:t xml:space="preserve"> </w:t>
      </w:r>
      <w:r w:rsidRPr="00981405">
        <w:t>used</w:t>
      </w:r>
      <w:r w:rsidR="00190923" w:rsidRPr="00981405">
        <w:t xml:space="preserve"> </w:t>
      </w:r>
      <w:r w:rsidRPr="00981405">
        <w:t>in</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in</w:t>
      </w:r>
      <w:r w:rsidR="00190923" w:rsidRPr="00981405">
        <w:t xml:space="preserve"> </w:t>
      </w:r>
      <w:r w:rsidRPr="00981405">
        <w:t>a</w:t>
      </w:r>
      <w:r w:rsidR="00190923" w:rsidRPr="00981405">
        <w:t xml:space="preserve"> </w:t>
      </w:r>
      <w:r w:rsidRPr="00981405">
        <w:t>narrow</w:t>
      </w:r>
      <w:r w:rsidR="00190923" w:rsidRPr="00981405">
        <w:t xml:space="preserve"> </w:t>
      </w:r>
      <w:r w:rsidRPr="00981405">
        <w:t>sense,</w:t>
      </w:r>
      <w:r w:rsidR="00190923" w:rsidRPr="00981405">
        <w:t xml:space="preserve"> </w:t>
      </w:r>
      <w:r w:rsidRPr="00981405">
        <w:t>in</w:t>
      </w:r>
      <w:r w:rsidR="00190923" w:rsidRPr="00981405">
        <w:t xml:space="preserve"> </w:t>
      </w:r>
      <w:r w:rsidRPr="00981405">
        <w:t>line</w:t>
      </w:r>
      <w:r w:rsidR="00190923" w:rsidRPr="00981405">
        <w:t xml:space="preserve"> </w:t>
      </w:r>
      <w:r w:rsidRPr="00981405">
        <w:t>with</w:t>
      </w:r>
      <w:r w:rsidR="00190923" w:rsidRPr="00981405">
        <w:t xml:space="preserve"> </w:t>
      </w:r>
      <w:r w:rsidRPr="00981405">
        <w:t>existing</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It</w:t>
      </w:r>
      <w:r w:rsidR="00190923" w:rsidRPr="00981405">
        <w:t xml:space="preserve"> </w:t>
      </w:r>
      <w:r w:rsidRPr="00981405">
        <w:t>thus</w:t>
      </w:r>
      <w:r w:rsidR="00190923" w:rsidRPr="00981405">
        <w:t xml:space="preserve"> </w:t>
      </w:r>
      <w:r w:rsidRPr="00981405">
        <w:t>excludes</w:t>
      </w:r>
      <w:r w:rsidR="00190923" w:rsidRPr="00981405">
        <w:t xml:space="preserve"> </w:t>
      </w:r>
      <w:r w:rsidRPr="00981405">
        <w:t>the</w:t>
      </w:r>
      <w:r w:rsidR="00190923" w:rsidRPr="00981405">
        <w:t xml:space="preserve"> </w:t>
      </w:r>
      <w:r w:rsidRPr="00981405">
        <w:t>global</w:t>
      </w:r>
      <w:r w:rsidR="00190923" w:rsidRPr="00981405">
        <w:t xml:space="preserve"> </w:t>
      </w:r>
      <w:r w:rsidRPr="00981405">
        <w:t>issues</w:t>
      </w:r>
      <w:r w:rsidR="00190923" w:rsidRPr="00981405">
        <w:t xml:space="preserve"> </w:t>
      </w:r>
      <w:r w:rsidRPr="00981405">
        <w:t>from</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pollution.</w:t>
      </w:r>
    </w:p>
    <w:p w:rsidR="00397032" w:rsidRPr="00981405" w:rsidRDefault="00397032" w:rsidP="00D97463">
      <w:pPr>
        <w:pStyle w:val="SingleTxt"/>
      </w:pPr>
      <w:r w:rsidRPr="00981405">
        <w:t>(8)</w:t>
      </w:r>
      <w:r w:rsidRPr="00981405">
        <w:tab/>
        <w:t>In</w:t>
      </w:r>
      <w:r w:rsidR="00190923" w:rsidRPr="00981405">
        <w:t xml:space="preserve"> </w:t>
      </w:r>
      <w:r w:rsidRPr="00981405">
        <w:t>defining</w:t>
      </w:r>
      <w:r w:rsidR="00190923" w:rsidRPr="00981405">
        <w:t xml:space="preserve"> </w:t>
      </w:r>
      <w:r w:rsidR="00B92E2C" w:rsidRPr="00981405">
        <w:t>“</w:t>
      </w:r>
      <w:r w:rsidRPr="00981405">
        <w:t>atmospheric</w:t>
      </w:r>
      <w:r w:rsidR="00190923" w:rsidRPr="00981405">
        <w:t xml:space="preserve"> </w:t>
      </w:r>
      <w:r w:rsidRPr="00981405">
        <w:t>pollution</w:t>
      </w:r>
      <w:r w:rsidR="00B92E2C" w:rsidRPr="00981405">
        <w:t>”</w:t>
      </w:r>
      <w:r w:rsidRPr="00981405">
        <w:t>,</w:t>
      </w:r>
      <w:r w:rsidR="00190923" w:rsidRPr="00981405">
        <w:t xml:space="preserve"> </w:t>
      </w:r>
      <w:r w:rsidRPr="00981405">
        <w:t>paragraph</w:t>
      </w:r>
      <w:r w:rsidR="00190923" w:rsidRPr="00981405">
        <w:t xml:space="preserve"> </w:t>
      </w:r>
      <w:r w:rsidRPr="00981405">
        <w:t>(b),</w:t>
      </w:r>
      <w:r w:rsidR="00190923" w:rsidRPr="00981405">
        <w:t xml:space="preserve"> </w:t>
      </w:r>
      <w:r w:rsidRPr="00981405">
        <w:t>uses</w:t>
      </w:r>
      <w:r w:rsidR="00190923" w:rsidRPr="00981405">
        <w:t xml:space="preserve"> </w:t>
      </w:r>
      <w:r w:rsidRPr="00981405">
        <w:t>the</w:t>
      </w:r>
      <w:r w:rsidR="00190923" w:rsidRPr="00981405">
        <w:t xml:space="preserve"> </w:t>
      </w:r>
      <w:r w:rsidRPr="00981405">
        <w:t>language</w:t>
      </w:r>
      <w:r w:rsidR="00190923" w:rsidRPr="00981405">
        <w:t xml:space="preserve"> </w:t>
      </w:r>
      <w:r w:rsidRPr="00981405">
        <w:t>that</w:t>
      </w:r>
      <w:r w:rsidR="00190923" w:rsidRPr="00981405">
        <w:t xml:space="preserve"> </w:t>
      </w:r>
      <w:r w:rsidRPr="00981405">
        <w:t>is</w:t>
      </w:r>
      <w:r w:rsidR="00190923" w:rsidRPr="00981405">
        <w:t xml:space="preserve"> </w:t>
      </w:r>
      <w:r w:rsidRPr="00981405">
        <w:t>essentially</w:t>
      </w:r>
      <w:r w:rsidR="00190923" w:rsidRPr="00981405">
        <w:t xml:space="preserve"> </w:t>
      </w:r>
      <w:r w:rsidRPr="00981405">
        <w:t>based</w:t>
      </w:r>
      <w:r w:rsidR="00190923" w:rsidRPr="00981405">
        <w:t xml:space="preserve"> </w:t>
      </w:r>
      <w:r w:rsidRPr="00981405">
        <w:t>on</w:t>
      </w:r>
      <w:r w:rsidR="00190923" w:rsidRPr="00981405">
        <w:t xml:space="preserve"> </w:t>
      </w:r>
      <w:r w:rsidRPr="00981405">
        <w:t>article</w:t>
      </w:r>
      <w:r w:rsidR="00190923" w:rsidRPr="00981405">
        <w:t xml:space="preserve"> </w:t>
      </w:r>
      <w:r w:rsidRPr="00981405">
        <w:t>1</w:t>
      </w:r>
      <w:r w:rsidR="00190923" w:rsidRPr="00981405">
        <w:t xml:space="preserve"> </w:t>
      </w:r>
      <w:r w:rsidRPr="00981405">
        <w:t>(a)</w:t>
      </w:r>
      <w:r w:rsidR="00190923" w:rsidRPr="00981405">
        <w:t xml:space="preserve"> </w:t>
      </w:r>
      <w:r w:rsidRPr="00981405">
        <w:t>of</w:t>
      </w:r>
      <w:r w:rsidR="00190923" w:rsidRPr="00981405">
        <w:t xml:space="preserve"> </w:t>
      </w:r>
      <w:r w:rsidRPr="00981405">
        <w:t>the</w:t>
      </w:r>
      <w:r w:rsidR="00190923" w:rsidRPr="00981405">
        <w:t xml:space="preserve"> </w:t>
      </w:r>
      <w:r w:rsidRPr="00981405">
        <w:t>1979</w:t>
      </w:r>
      <w:r w:rsidR="00190923" w:rsidRPr="00981405">
        <w:t xml:space="preserve"> </w:t>
      </w:r>
      <w:r w:rsidRPr="00981405">
        <w:t>Convention</w:t>
      </w:r>
      <w:r w:rsidR="00190923" w:rsidRPr="00981405">
        <w:t xml:space="preserve"> </w:t>
      </w:r>
      <w:r w:rsidRPr="00981405">
        <w:t>on</w:t>
      </w:r>
      <w:r w:rsidR="00190923" w:rsidRPr="00981405">
        <w:t xml:space="preserve"> </w:t>
      </w:r>
      <w:r w:rsidRPr="00981405">
        <w:t>Long-Range</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190923" w:rsidRPr="00981405">
        <w:t xml:space="preserve"> </w:t>
      </w:r>
      <w:r w:rsidRPr="00981405">
        <w:t>(LRTAP),</w:t>
      </w:r>
      <w:r w:rsidRPr="00981405">
        <w:rPr>
          <w:rStyle w:val="FootnoteReference"/>
        </w:rPr>
        <w:footnoteReference w:id="40"/>
      </w:r>
      <w:r w:rsidR="00190923" w:rsidRPr="00981405">
        <w:t xml:space="preserve"> </w:t>
      </w:r>
      <w:r w:rsidRPr="00981405">
        <w:t>which</w:t>
      </w:r>
      <w:r w:rsidR="00190923" w:rsidRPr="00981405">
        <w:t xml:space="preserve"> </w:t>
      </w:r>
      <w:r w:rsidRPr="00981405">
        <w:t>provides</w:t>
      </w:r>
      <w:r w:rsidR="00190923" w:rsidRPr="00981405">
        <w:t xml:space="preserve"> </w:t>
      </w:r>
      <w:r w:rsidRPr="00981405">
        <w:t>that:</w:t>
      </w:r>
    </w:p>
    <w:p w:rsidR="00397032" w:rsidRPr="00981405" w:rsidRDefault="00B92E2C" w:rsidP="00D97463">
      <w:pPr>
        <w:pStyle w:val="SingleTxt"/>
        <w:ind w:left="1742"/>
      </w:pPr>
      <w:r w:rsidRPr="00981405">
        <w:lastRenderedPageBreak/>
        <w:t>“</w:t>
      </w:r>
      <w:r w:rsidR="00397032" w:rsidRPr="00981405">
        <w:t>[a]ir</w:t>
      </w:r>
      <w:r w:rsidR="00190923" w:rsidRPr="00981405">
        <w:t xml:space="preserve"> </w:t>
      </w:r>
      <w:r w:rsidR="00397032" w:rsidRPr="00981405">
        <w:t>pollution</w:t>
      </w:r>
      <w:r w:rsidRPr="00981405">
        <w:t>”</w:t>
      </w:r>
      <w:r w:rsidR="00190923" w:rsidRPr="00981405">
        <w:t xml:space="preserve"> </w:t>
      </w:r>
      <w:r w:rsidR="00397032" w:rsidRPr="00981405">
        <w:t>means</w:t>
      </w:r>
      <w:r w:rsidR="00190923" w:rsidRPr="00981405">
        <w:t xml:space="preserve"> </w:t>
      </w:r>
      <w:r w:rsidRPr="00981405">
        <w:t>“</w:t>
      </w:r>
      <w:r w:rsidR="00397032" w:rsidRPr="00981405">
        <w:t>the</w:t>
      </w:r>
      <w:r w:rsidR="00190923" w:rsidRPr="00981405">
        <w:t xml:space="preserve"> </w:t>
      </w:r>
      <w:r w:rsidR="00397032" w:rsidRPr="00981405">
        <w:t>introduction</w:t>
      </w:r>
      <w:r w:rsidR="00190923" w:rsidRPr="00981405">
        <w:t xml:space="preserve"> </w:t>
      </w:r>
      <w:r w:rsidR="00397032" w:rsidRPr="00981405">
        <w:t>by</w:t>
      </w:r>
      <w:r w:rsidR="00190923" w:rsidRPr="00981405">
        <w:t xml:space="preserve"> </w:t>
      </w:r>
      <w:r w:rsidR="00397032" w:rsidRPr="00981405">
        <w:t>man,</w:t>
      </w:r>
      <w:r w:rsidR="00190923" w:rsidRPr="00981405">
        <w:t xml:space="preserve"> </w:t>
      </w:r>
      <w:r w:rsidR="00397032" w:rsidRPr="00981405">
        <w:t>directly</w:t>
      </w:r>
      <w:r w:rsidR="00190923" w:rsidRPr="00981405">
        <w:t xml:space="preserve"> </w:t>
      </w:r>
      <w:r w:rsidR="00397032" w:rsidRPr="00981405">
        <w:t>or</w:t>
      </w:r>
      <w:r w:rsidR="00190923" w:rsidRPr="00981405">
        <w:t xml:space="preserve"> </w:t>
      </w:r>
      <w:r w:rsidR="00397032" w:rsidRPr="00981405">
        <w:t>indirectly,</w:t>
      </w:r>
      <w:r w:rsidR="00190923" w:rsidRPr="00981405">
        <w:t xml:space="preserve"> </w:t>
      </w:r>
      <w:r w:rsidR="00397032" w:rsidRPr="00981405">
        <w:t>of</w:t>
      </w:r>
      <w:r w:rsidR="00190923" w:rsidRPr="00981405">
        <w:t xml:space="preserve"> </w:t>
      </w:r>
      <w:r w:rsidR="00397032" w:rsidRPr="00981405">
        <w:t>substances</w:t>
      </w:r>
      <w:r w:rsidR="00190923" w:rsidRPr="00981405">
        <w:t xml:space="preserve"> </w:t>
      </w:r>
      <w:r w:rsidR="00397032" w:rsidRPr="00981405">
        <w:t>or</w:t>
      </w:r>
      <w:r w:rsidR="00190923" w:rsidRPr="00981405">
        <w:t xml:space="preserve"> </w:t>
      </w:r>
      <w:r w:rsidR="00397032" w:rsidRPr="00981405">
        <w:t>energy</w:t>
      </w:r>
      <w:r w:rsidR="00190923" w:rsidRPr="00981405">
        <w:t xml:space="preserve"> </w:t>
      </w:r>
      <w:r w:rsidR="00397032" w:rsidRPr="00981405">
        <w:t>into</w:t>
      </w:r>
      <w:r w:rsidR="00190923" w:rsidRPr="00981405">
        <w:t xml:space="preserve"> </w:t>
      </w:r>
      <w:r w:rsidR="00397032" w:rsidRPr="00981405">
        <w:t>the</w:t>
      </w:r>
      <w:r w:rsidR="00190923" w:rsidRPr="00981405">
        <w:t xml:space="preserve"> </w:t>
      </w:r>
      <w:r w:rsidR="00397032" w:rsidRPr="00981405">
        <w:t>air</w:t>
      </w:r>
      <w:r w:rsidR="00190923" w:rsidRPr="00981405">
        <w:t xml:space="preserve"> </w:t>
      </w:r>
      <w:r w:rsidR="00397032" w:rsidRPr="00981405">
        <w:t>resulting</w:t>
      </w:r>
      <w:r w:rsidR="00190923" w:rsidRPr="00981405">
        <w:t xml:space="preserve"> </w:t>
      </w:r>
      <w:r w:rsidR="00397032" w:rsidRPr="00981405">
        <w:t>in</w:t>
      </w:r>
      <w:r w:rsidR="00190923" w:rsidRPr="00981405">
        <w:t xml:space="preserve"> </w:t>
      </w:r>
      <w:r w:rsidR="00397032" w:rsidRPr="00981405">
        <w:t>deleterious</w:t>
      </w:r>
      <w:r w:rsidR="00190923" w:rsidRPr="00981405">
        <w:t xml:space="preserve"> </w:t>
      </w:r>
      <w:r w:rsidR="00397032" w:rsidRPr="00981405">
        <w:t>effects</w:t>
      </w:r>
      <w:r w:rsidR="00190923" w:rsidRPr="00981405">
        <w:t xml:space="preserve"> </w:t>
      </w:r>
      <w:r w:rsidR="00397032" w:rsidRPr="00981405">
        <w:t>of</w:t>
      </w:r>
      <w:r w:rsidR="00190923" w:rsidRPr="00981405">
        <w:t xml:space="preserve"> </w:t>
      </w:r>
      <w:r w:rsidR="00397032" w:rsidRPr="00981405">
        <w:t>such</w:t>
      </w:r>
      <w:r w:rsidR="00190923" w:rsidRPr="00981405">
        <w:t xml:space="preserve"> </w:t>
      </w:r>
      <w:r w:rsidR="00397032" w:rsidRPr="00981405">
        <w:t>a</w:t>
      </w:r>
      <w:r w:rsidR="00190923" w:rsidRPr="00981405">
        <w:t xml:space="preserve"> </w:t>
      </w:r>
      <w:r w:rsidR="00397032" w:rsidRPr="00981405">
        <w:t>nature</w:t>
      </w:r>
      <w:r w:rsidR="00190923" w:rsidRPr="00981405">
        <w:t xml:space="preserve"> </w:t>
      </w:r>
      <w:r w:rsidR="00397032" w:rsidRPr="00981405">
        <w:t>as</w:t>
      </w:r>
      <w:r w:rsidR="00190923" w:rsidRPr="00981405">
        <w:t xml:space="preserve"> </w:t>
      </w:r>
      <w:r w:rsidR="00397032" w:rsidRPr="00981405">
        <w:t>to</w:t>
      </w:r>
      <w:r w:rsidR="00190923" w:rsidRPr="00981405">
        <w:t xml:space="preserve"> </w:t>
      </w:r>
      <w:r w:rsidR="00397032" w:rsidRPr="00981405">
        <w:t>endanger</w:t>
      </w:r>
      <w:r w:rsidR="00190923" w:rsidRPr="00981405">
        <w:t xml:space="preserve"> </w:t>
      </w:r>
      <w:r w:rsidR="00397032" w:rsidRPr="00981405">
        <w:t>human</w:t>
      </w:r>
      <w:r w:rsidR="00190923" w:rsidRPr="00981405">
        <w:t xml:space="preserve"> </w:t>
      </w:r>
      <w:r w:rsidR="00397032" w:rsidRPr="00981405">
        <w:t>health,</w:t>
      </w:r>
      <w:r w:rsidR="00190923" w:rsidRPr="00981405">
        <w:t xml:space="preserve"> </w:t>
      </w:r>
      <w:r w:rsidR="00397032" w:rsidRPr="00981405">
        <w:t>harm</w:t>
      </w:r>
      <w:r w:rsidR="00190923" w:rsidRPr="00981405">
        <w:t xml:space="preserve"> </w:t>
      </w:r>
      <w:r w:rsidR="00397032" w:rsidRPr="00981405">
        <w:t>living</w:t>
      </w:r>
      <w:r w:rsidR="00190923" w:rsidRPr="00981405">
        <w:t xml:space="preserve"> </w:t>
      </w:r>
      <w:r w:rsidR="00397032" w:rsidRPr="00981405">
        <w:t>resources</w:t>
      </w:r>
      <w:r w:rsidR="00190923" w:rsidRPr="00981405">
        <w:t xml:space="preserve"> </w:t>
      </w:r>
      <w:r w:rsidR="00397032" w:rsidRPr="00981405">
        <w:t>and</w:t>
      </w:r>
      <w:r w:rsidR="00190923" w:rsidRPr="00981405">
        <w:t xml:space="preserve"> </w:t>
      </w:r>
      <w:r w:rsidR="00397032" w:rsidRPr="00981405">
        <w:t>ecosystems</w:t>
      </w:r>
      <w:r w:rsidR="00190923" w:rsidRPr="00981405">
        <w:t xml:space="preserve"> </w:t>
      </w:r>
      <w:r w:rsidR="00397032" w:rsidRPr="00981405">
        <w:t>and</w:t>
      </w:r>
      <w:r w:rsidR="00190923" w:rsidRPr="00981405">
        <w:t xml:space="preserve"> </w:t>
      </w:r>
      <w:r w:rsidR="00397032" w:rsidRPr="00981405">
        <w:t>material</w:t>
      </w:r>
      <w:r w:rsidR="00190923" w:rsidRPr="00981405">
        <w:t xml:space="preserve"> </w:t>
      </w:r>
      <w:r w:rsidR="00397032" w:rsidRPr="00981405">
        <w:t>property</w:t>
      </w:r>
      <w:r w:rsidR="00190923" w:rsidRPr="00981405">
        <w:t xml:space="preserve"> </w:t>
      </w:r>
      <w:r w:rsidR="00397032" w:rsidRPr="00981405">
        <w:t>and</w:t>
      </w:r>
      <w:r w:rsidR="00190923" w:rsidRPr="00981405">
        <w:t xml:space="preserve"> </w:t>
      </w:r>
      <w:r w:rsidR="00397032" w:rsidRPr="00981405">
        <w:t>impair</w:t>
      </w:r>
      <w:r w:rsidR="00190923" w:rsidRPr="00981405">
        <w:t xml:space="preserve"> </w:t>
      </w:r>
      <w:r w:rsidR="00397032" w:rsidRPr="00981405">
        <w:t>or</w:t>
      </w:r>
      <w:r w:rsidR="00190923" w:rsidRPr="00981405">
        <w:t xml:space="preserve"> </w:t>
      </w:r>
      <w:r w:rsidR="00397032" w:rsidRPr="00981405">
        <w:t>interfere</w:t>
      </w:r>
      <w:r w:rsidR="00190923" w:rsidRPr="00981405">
        <w:t xml:space="preserve"> </w:t>
      </w:r>
      <w:r w:rsidR="00397032" w:rsidRPr="00981405">
        <w:t>with</w:t>
      </w:r>
      <w:r w:rsidR="00190923" w:rsidRPr="00981405">
        <w:t xml:space="preserve"> </w:t>
      </w:r>
      <w:r w:rsidR="00397032" w:rsidRPr="00981405">
        <w:t>amenities</w:t>
      </w:r>
      <w:r w:rsidR="00190923" w:rsidRPr="00981405">
        <w:t xml:space="preserve"> </w:t>
      </w:r>
      <w:r w:rsidR="00397032" w:rsidRPr="00981405">
        <w:t>and</w:t>
      </w:r>
      <w:r w:rsidR="00190923" w:rsidRPr="00981405">
        <w:t xml:space="preserve"> </w:t>
      </w:r>
      <w:r w:rsidR="00397032" w:rsidRPr="00981405">
        <w:t>other</w:t>
      </w:r>
      <w:r w:rsidR="00190923" w:rsidRPr="00981405">
        <w:t xml:space="preserve"> </w:t>
      </w:r>
      <w:r w:rsidR="00397032" w:rsidRPr="00981405">
        <w:t>legitimate</w:t>
      </w:r>
      <w:r w:rsidR="00190923" w:rsidRPr="00981405">
        <w:t xml:space="preserve"> </w:t>
      </w:r>
      <w:r w:rsidR="00397032" w:rsidRPr="00981405">
        <w:t>uses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environment,</w:t>
      </w:r>
      <w:r w:rsidR="00190923" w:rsidRPr="00981405">
        <w:t xml:space="preserve"> </w:t>
      </w:r>
      <w:r w:rsidR="00397032" w:rsidRPr="00981405">
        <w:t>and</w:t>
      </w:r>
      <w:r w:rsidR="00190923" w:rsidRPr="00981405">
        <w:t xml:space="preserve"> </w:t>
      </w:r>
      <w:r w:rsidRPr="00981405">
        <w:t>‘</w:t>
      </w:r>
      <w:r w:rsidR="00397032" w:rsidRPr="00981405">
        <w:t>air</w:t>
      </w:r>
      <w:r w:rsidR="00190923" w:rsidRPr="00981405">
        <w:t xml:space="preserve"> </w:t>
      </w:r>
      <w:r w:rsidR="00397032" w:rsidRPr="00981405">
        <w:t>pollutants</w:t>
      </w:r>
      <w:r w:rsidRPr="00981405">
        <w:t>’</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00397032" w:rsidRPr="00981405">
        <w:t>construed</w:t>
      </w:r>
      <w:r w:rsidR="00190923" w:rsidRPr="00981405">
        <w:t xml:space="preserve"> </w:t>
      </w:r>
      <w:r w:rsidR="00397032" w:rsidRPr="00981405">
        <w:t>accordingly.</w:t>
      </w:r>
      <w:r w:rsidRPr="00981405">
        <w:t>”</w:t>
      </w:r>
    </w:p>
    <w:p w:rsidR="00397032" w:rsidRPr="00981405" w:rsidRDefault="00397032" w:rsidP="00D97463">
      <w:pPr>
        <w:pStyle w:val="SingleTxt"/>
      </w:pPr>
      <w:r w:rsidRPr="00981405">
        <w:t>It</w:t>
      </w:r>
      <w:r w:rsidR="00190923" w:rsidRPr="00981405">
        <w:t xml:space="preserve"> </w:t>
      </w:r>
      <w:r w:rsidRPr="00981405">
        <w:t>may</w:t>
      </w:r>
      <w:r w:rsidR="00190923" w:rsidRPr="00981405">
        <w:t xml:space="preserve"> </w:t>
      </w:r>
      <w:r w:rsidRPr="00981405">
        <w:t>also</w:t>
      </w:r>
      <w:r w:rsidR="00190923" w:rsidRPr="00981405">
        <w:t xml:space="preserve"> </w:t>
      </w:r>
      <w:r w:rsidRPr="00981405">
        <w:t>be</w:t>
      </w:r>
      <w:r w:rsidR="00190923" w:rsidRPr="00981405">
        <w:t xml:space="preserve"> </w:t>
      </w:r>
      <w:r w:rsidRPr="00981405">
        <w:t>noted</w:t>
      </w:r>
      <w:r w:rsidR="00190923" w:rsidRPr="00981405">
        <w:t xml:space="preserve"> </w:t>
      </w:r>
      <w:r w:rsidRPr="00981405">
        <w:t>that</w:t>
      </w:r>
      <w:r w:rsidR="00190923" w:rsidRPr="00981405">
        <w:t xml:space="preserve"> </w:t>
      </w:r>
      <w:r w:rsidRPr="00981405">
        <w:t>article</w:t>
      </w:r>
      <w:r w:rsidR="00190923" w:rsidRPr="00981405">
        <w:t xml:space="preserve"> </w:t>
      </w:r>
      <w:r w:rsidRPr="00981405">
        <w:t>1,</w:t>
      </w:r>
      <w:r w:rsidR="00190923" w:rsidRPr="00981405">
        <w:t xml:space="preserve"> </w:t>
      </w:r>
      <w:r w:rsidRPr="00981405">
        <w:t>paragraph</w:t>
      </w:r>
      <w:r w:rsidR="00190923" w:rsidRPr="00981405">
        <w:t xml:space="preserve"> </w:t>
      </w:r>
      <w:r w:rsidRPr="00981405">
        <w:t>(4),</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the</w:t>
      </w:r>
      <w:r w:rsidR="00190923" w:rsidRPr="00981405">
        <w:t xml:space="preserve"> </w:t>
      </w:r>
      <w:r w:rsidRPr="00981405">
        <w:t>Sea</w:t>
      </w:r>
      <w:r w:rsidR="00190923" w:rsidRPr="00981405">
        <w:t xml:space="preserve"> </w:t>
      </w:r>
      <w:r w:rsidRPr="00981405">
        <w:t>(UNCLOS)</w:t>
      </w:r>
      <w:r w:rsidRPr="00981405">
        <w:rPr>
          <w:rStyle w:val="FootnoteReference"/>
        </w:rPr>
        <w:footnoteReference w:id="41"/>
      </w:r>
      <w:r w:rsidR="00190923" w:rsidRPr="00981405">
        <w:t xml:space="preserve"> </w:t>
      </w:r>
      <w:r w:rsidRPr="00981405">
        <w:t>defines</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pollution</w:t>
      </w:r>
      <w:r w:rsidR="00B92E2C" w:rsidRPr="00981405">
        <w:t>”</w:t>
      </w:r>
      <w:r w:rsidR="00190923" w:rsidRPr="00981405">
        <w:t xml:space="preserve"> </w:t>
      </w:r>
      <w:r w:rsidRPr="00981405">
        <w:t>as</w:t>
      </w:r>
      <w:r w:rsidR="00190923" w:rsidRPr="00981405">
        <w:t xml:space="preserve"> </w:t>
      </w:r>
      <w:r w:rsidRPr="00981405">
        <w:t>meaning</w:t>
      </w:r>
      <w:r w:rsidR="00190923" w:rsidRPr="00981405">
        <w:t xml:space="preserve"> </w:t>
      </w:r>
      <w:r w:rsidR="00B92E2C" w:rsidRPr="00981405">
        <w:t>“</w:t>
      </w:r>
      <w:r w:rsidRPr="00981405">
        <w:t>the</w:t>
      </w:r>
      <w:r w:rsidR="00190923" w:rsidRPr="00981405">
        <w:t xml:space="preserve"> </w:t>
      </w:r>
      <w:r w:rsidRPr="00981405">
        <w:t>introduction</w:t>
      </w:r>
      <w:r w:rsidR="00190923" w:rsidRPr="00981405">
        <w:t xml:space="preserve"> </w:t>
      </w:r>
      <w:r w:rsidRPr="00981405">
        <w:t>by</w:t>
      </w:r>
      <w:r w:rsidR="00190923" w:rsidRPr="00981405">
        <w:t xml:space="preserve"> </w:t>
      </w:r>
      <w:r w:rsidRPr="00981405">
        <w:t>man,</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of</w:t>
      </w:r>
      <w:r w:rsidR="00190923" w:rsidRPr="00981405">
        <w:t xml:space="preserve"> </w:t>
      </w:r>
      <w:r w:rsidRPr="00981405">
        <w:t>substances</w:t>
      </w:r>
      <w:r w:rsidR="00190923" w:rsidRPr="00981405">
        <w:t xml:space="preserve"> </w:t>
      </w:r>
      <w:r w:rsidRPr="00981405">
        <w:t>or</w:t>
      </w:r>
      <w:r w:rsidR="00190923" w:rsidRPr="00981405">
        <w:t xml:space="preserve"> </w:t>
      </w:r>
      <w:r w:rsidRPr="00981405">
        <w:t>energy</w:t>
      </w:r>
      <w:r w:rsidR="00190923" w:rsidRPr="00981405">
        <w:t xml:space="preserve"> </w:t>
      </w:r>
      <w:r w:rsidRPr="00981405">
        <w:t>into</w:t>
      </w:r>
      <w:r w:rsidR="00190923" w:rsidRPr="00981405">
        <w:t xml:space="preserve"> </w:t>
      </w:r>
      <w:r w:rsidRPr="00981405">
        <w:t>the</w:t>
      </w:r>
      <w:r w:rsidR="00190923" w:rsidRPr="00981405">
        <w:t xml:space="preserve"> </w:t>
      </w:r>
      <w:r w:rsidRPr="00981405">
        <w:t>marine</w:t>
      </w:r>
      <w:r w:rsidR="00190923" w:rsidRPr="00981405">
        <w:t xml:space="preserve"> </w:t>
      </w:r>
      <w:r w:rsidRPr="00981405">
        <w:t>environment,</w:t>
      </w:r>
      <w:r w:rsidR="00190923" w:rsidRPr="00981405">
        <w:t xml:space="preserve"> </w:t>
      </w:r>
      <w:r w:rsidRPr="00981405">
        <w:t>including</w:t>
      </w:r>
      <w:r w:rsidR="00190923" w:rsidRPr="00981405">
        <w:t xml:space="preserve"> </w:t>
      </w:r>
      <w:r w:rsidRPr="00981405">
        <w:t>estuaries,</w:t>
      </w:r>
      <w:r w:rsidR="00190923" w:rsidRPr="00981405">
        <w:t xml:space="preserve"> </w:t>
      </w:r>
      <w:r w:rsidRPr="00981405">
        <w:t>which</w:t>
      </w:r>
      <w:r w:rsidR="00190923" w:rsidRPr="00981405">
        <w:t xml:space="preserve"> </w:t>
      </w:r>
      <w:r w:rsidRPr="00981405">
        <w:t>results</w:t>
      </w:r>
      <w:r w:rsidR="00190923" w:rsidRPr="00981405">
        <w:t xml:space="preserve"> </w:t>
      </w:r>
      <w:r w:rsidRPr="00981405">
        <w:t>or</w:t>
      </w:r>
      <w:r w:rsidR="00190923" w:rsidRPr="00981405">
        <w:t xml:space="preserve"> </w:t>
      </w:r>
      <w:r w:rsidRPr="00981405">
        <w:t>is</w:t>
      </w:r>
      <w:r w:rsidR="00190923" w:rsidRPr="00981405">
        <w:t xml:space="preserve"> </w:t>
      </w:r>
      <w:r w:rsidRPr="00981405">
        <w:t>likely</w:t>
      </w:r>
      <w:r w:rsidR="00190923" w:rsidRPr="00981405">
        <w:t xml:space="preserve"> </w:t>
      </w:r>
      <w:r w:rsidRPr="00981405">
        <w:t>to</w:t>
      </w:r>
      <w:r w:rsidR="00190923" w:rsidRPr="00981405">
        <w:t xml:space="preserve"> </w:t>
      </w:r>
      <w:r w:rsidRPr="00981405">
        <w:t>result</w:t>
      </w:r>
      <w:r w:rsidR="00190923" w:rsidRPr="00981405">
        <w:t xml:space="preserve"> </w:t>
      </w:r>
      <w:r w:rsidRPr="00981405">
        <w:t>in</w:t>
      </w:r>
      <w:r w:rsidR="00190923" w:rsidRPr="00981405">
        <w:t xml:space="preserve"> </w:t>
      </w:r>
      <w:r w:rsidRPr="00981405">
        <w:t>such</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as</w:t>
      </w:r>
      <w:r w:rsidR="00190923" w:rsidRPr="00981405">
        <w:t xml:space="preserve"> </w:t>
      </w:r>
      <w:r w:rsidRPr="00981405">
        <w:t>harm</w:t>
      </w:r>
      <w:r w:rsidR="00190923" w:rsidRPr="00981405">
        <w:t xml:space="preserve"> </w:t>
      </w:r>
      <w:r w:rsidRPr="00981405">
        <w:t>to</w:t>
      </w:r>
      <w:r w:rsidR="00190923" w:rsidRPr="00981405">
        <w:t xml:space="preserve"> </w:t>
      </w:r>
      <w:r w:rsidRPr="00981405">
        <w:t>living</w:t>
      </w:r>
      <w:r w:rsidR="00190923" w:rsidRPr="00981405">
        <w:t xml:space="preserve"> </w:t>
      </w:r>
      <w:r w:rsidRPr="00981405">
        <w:t>resources</w:t>
      </w:r>
      <w:r w:rsidR="00190923" w:rsidRPr="00981405">
        <w:t xml:space="preserve"> </w:t>
      </w:r>
      <w:r w:rsidRPr="00981405">
        <w:t>and</w:t>
      </w:r>
      <w:r w:rsidR="00190923" w:rsidRPr="00981405">
        <w:t xml:space="preserve"> </w:t>
      </w:r>
      <w:r w:rsidRPr="00981405">
        <w:t>marine</w:t>
      </w:r>
      <w:r w:rsidR="00190923" w:rsidRPr="00981405">
        <w:t xml:space="preserve"> </w:t>
      </w:r>
      <w:r w:rsidRPr="00981405">
        <w:t>life,</w:t>
      </w:r>
      <w:r w:rsidR="00190923" w:rsidRPr="00981405">
        <w:t xml:space="preserve"> </w:t>
      </w:r>
      <w:r w:rsidRPr="00981405">
        <w:t>hazards</w:t>
      </w:r>
      <w:r w:rsidR="00190923" w:rsidRPr="00981405">
        <w:t xml:space="preserve"> </w:t>
      </w:r>
      <w:r w:rsidRPr="00981405">
        <w:t>to</w:t>
      </w:r>
      <w:r w:rsidR="00190923" w:rsidRPr="00981405">
        <w:t xml:space="preserve"> </w:t>
      </w:r>
      <w:r w:rsidRPr="00981405">
        <w:t>human</w:t>
      </w:r>
      <w:r w:rsidR="00190923" w:rsidRPr="00981405">
        <w:t xml:space="preserve"> </w:t>
      </w:r>
      <w:r w:rsidRPr="00981405">
        <w:t>health</w:t>
      </w:r>
      <w:r w:rsidR="00190923" w:rsidRPr="00981405">
        <w:t xml:space="preserve"> </w:t>
      </w:r>
      <w:r w:rsidRPr="00981405">
        <w:t>…</w:t>
      </w:r>
      <w:r w:rsidR="00B92E2C" w:rsidRPr="00981405">
        <w:t>”</w:t>
      </w:r>
      <w:r w:rsidRPr="00981405">
        <w:rPr>
          <w:rStyle w:val="FootnoteReference"/>
        </w:rPr>
        <w:footnoteReference w:id="42"/>
      </w:r>
      <w:r w:rsidR="00190923" w:rsidRPr="00981405">
        <w:t xml:space="preserve"> </w:t>
      </w:r>
      <w:r w:rsidRPr="00981405">
        <w:t>The</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arising</w:t>
      </w:r>
      <w:r w:rsidR="00190923" w:rsidRPr="00981405">
        <w:t xml:space="preserve"> </w:t>
      </w:r>
      <w:r w:rsidRPr="00981405">
        <w:t>from</w:t>
      </w:r>
      <w:r w:rsidR="00190923" w:rsidRPr="00981405">
        <w:t xml:space="preserve"> </w:t>
      </w:r>
      <w:r w:rsidRPr="00981405">
        <w:t>an</w:t>
      </w:r>
      <w:r w:rsidR="00190923" w:rsidRPr="00981405">
        <w:t xml:space="preserve"> </w:t>
      </w:r>
      <w:r w:rsidRPr="00981405">
        <w:t>introduction</w:t>
      </w:r>
      <w:r w:rsidR="00190923" w:rsidRPr="00981405">
        <w:t xml:space="preserve"> </w:t>
      </w:r>
      <w:r w:rsidRPr="00981405">
        <w:t>or</w:t>
      </w:r>
      <w:r w:rsidR="00190923" w:rsidRPr="00981405">
        <w:t xml:space="preserve"> </w:t>
      </w:r>
      <w:r w:rsidRPr="00981405">
        <w:t>release</w:t>
      </w:r>
      <w:r w:rsidR="00190923" w:rsidRPr="00981405">
        <w:t xml:space="preserve"> </w:t>
      </w:r>
      <w:r w:rsidRPr="00981405">
        <w:t>have</w:t>
      </w:r>
      <w:r w:rsidR="00190923" w:rsidRPr="00981405">
        <w:t xml:space="preserve"> </w:t>
      </w:r>
      <w:r w:rsidRPr="00981405">
        <w:t>to</w:t>
      </w:r>
      <w:r w:rsidR="00190923" w:rsidRPr="00981405">
        <w:t xml:space="preserve"> </w:t>
      </w:r>
      <w:r w:rsidRPr="00981405">
        <w:t>be</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nature</w:t>
      </w:r>
      <w:r w:rsidR="00190923" w:rsidRPr="00981405">
        <w:t xml:space="preserve"> </w:t>
      </w:r>
      <w:r w:rsidRPr="00981405">
        <w:t>as</w:t>
      </w:r>
      <w:r w:rsidR="00190923" w:rsidRPr="00981405">
        <w:t xml:space="preserve"> </w:t>
      </w:r>
      <w:r w:rsidRPr="00981405">
        <w:t>to</w:t>
      </w:r>
      <w:r w:rsidR="00190923" w:rsidRPr="00981405">
        <w:t xml:space="preserve"> </w:t>
      </w:r>
      <w:r w:rsidRPr="00981405">
        <w:t>endanger</w:t>
      </w:r>
      <w:r w:rsidR="00190923" w:rsidRPr="00981405">
        <w:t xml:space="preserve"> </w:t>
      </w:r>
      <w:r w:rsidRPr="00981405">
        <w:t>human</w:t>
      </w:r>
      <w:r w:rsidR="00190923" w:rsidRPr="00981405">
        <w:t xml:space="preserve"> </w:t>
      </w:r>
      <w:r w:rsidRPr="00981405">
        <w:t>life</w:t>
      </w:r>
      <w:r w:rsidR="00190923" w:rsidRPr="00981405">
        <w:t xml:space="preserve"> </w:t>
      </w:r>
      <w:r w:rsidRPr="00981405">
        <w:t>and</w:t>
      </w:r>
      <w:r w:rsidR="00190923" w:rsidRPr="00981405">
        <w:t xml:space="preserve"> </w:t>
      </w:r>
      <w:r w:rsidRPr="00981405">
        <w:t>health</w:t>
      </w:r>
      <w:r w:rsidR="00190923" w:rsidRPr="00981405">
        <w:t xml:space="preserve"> </w:t>
      </w:r>
      <w:r w:rsidRPr="00981405">
        <w:t>and</w:t>
      </w:r>
      <w:r w:rsidR="00190923" w:rsidRPr="00981405">
        <w:t xml:space="preserve"> </w:t>
      </w:r>
      <w:r w:rsidRPr="00981405">
        <w:t>the</w:t>
      </w:r>
      <w:r w:rsidR="00190923" w:rsidRPr="00981405">
        <w:t xml:space="preserve"> </w:t>
      </w:r>
      <w:r w:rsidRPr="00981405">
        <w:t>Earth</w:t>
      </w:r>
      <w:r w:rsidR="00B92E2C" w:rsidRPr="00981405">
        <w:t>’</w:t>
      </w:r>
      <w:r w:rsidRPr="00981405">
        <w:t>s</w:t>
      </w:r>
      <w:r w:rsidR="00190923" w:rsidRPr="00981405">
        <w:t xml:space="preserve"> </w:t>
      </w:r>
      <w:r w:rsidRPr="00981405">
        <w:t>natural</w:t>
      </w:r>
      <w:r w:rsidR="00190923" w:rsidRPr="00981405">
        <w:t xml:space="preserve"> </w:t>
      </w:r>
      <w:r w:rsidRPr="00981405">
        <w:t>environment,</w:t>
      </w:r>
      <w:r w:rsidR="00190923" w:rsidRPr="00981405">
        <w:t xml:space="preserve"> </w:t>
      </w:r>
      <w:r w:rsidRPr="00981405">
        <w:t>including</w:t>
      </w:r>
      <w:r w:rsidR="00190923" w:rsidRPr="00981405">
        <w:t xml:space="preserve"> </w:t>
      </w:r>
      <w:r w:rsidRPr="00981405">
        <w:t>by</w:t>
      </w:r>
      <w:r w:rsidR="00190923" w:rsidRPr="00981405">
        <w:t xml:space="preserve"> </w:t>
      </w:r>
      <w:r w:rsidRPr="00981405">
        <w:t>contributing</w:t>
      </w:r>
      <w:r w:rsidR="00190923" w:rsidRPr="00981405">
        <w:t xml:space="preserve"> </w:t>
      </w:r>
      <w:r w:rsidRPr="00981405">
        <w:t>to</w:t>
      </w:r>
      <w:r w:rsidR="00190923" w:rsidRPr="00981405">
        <w:t xml:space="preserve"> </w:t>
      </w:r>
      <w:r w:rsidRPr="00981405">
        <w:t>endangering</w:t>
      </w:r>
      <w:r w:rsidR="00190923" w:rsidRPr="00981405">
        <w:t xml:space="preserve"> </w:t>
      </w:r>
      <w:r w:rsidRPr="00981405">
        <w:t>them.</w:t>
      </w:r>
      <w:r w:rsidR="00190923" w:rsidRPr="00981405">
        <w:t xml:space="preserve"> </w:t>
      </w:r>
    </w:p>
    <w:p w:rsidR="00397032" w:rsidRPr="00981405" w:rsidRDefault="00397032" w:rsidP="00D97463">
      <w:pPr>
        <w:pStyle w:val="SingleTxt"/>
      </w:pPr>
      <w:r w:rsidRPr="00981405">
        <w:t>(9)</w:t>
      </w:r>
      <w:r w:rsidRPr="00981405">
        <w:tab/>
        <w:t>While</w:t>
      </w:r>
      <w:r w:rsidR="00190923" w:rsidRPr="00981405">
        <w:t xml:space="preserve"> </w:t>
      </w:r>
      <w:r w:rsidRPr="00981405">
        <w:t>article</w:t>
      </w:r>
      <w:r w:rsidR="00190923" w:rsidRPr="00981405">
        <w:t xml:space="preserve"> </w:t>
      </w:r>
      <w:r w:rsidRPr="00981405">
        <w:t>1</w:t>
      </w:r>
      <w:r w:rsidR="00190923" w:rsidRPr="00981405">
        <w:t xml:space="preserve"> </w:t>
      </w:r>
      <w:r w:rsidRPr="00981405">
        <w:t>(a)</w:t>
      </w:r>
      <w:r w:rsidR="00190923" w:rsidRPr="00981405">
        <w:t xml:space="preserve"> </w:t>
      </w:r>
      <w:r w:rsidRPr="00981405">
        <w:t>of</w:t>
      </w:r>
      <w:r w:rsidR="00190923" w:rsidRPr="00981405">
        <w:t xml:space="preserve"> </w:t>
      </w:r>
      <w:r w:rsidRPr="00981405">
        <w:t>the</w:t>
      </w:r>
      <w:r w:rsidR="00190923" w:rsidRPr="00981405">
        <w:t xml:space="preserve"> </w:t>
      </w:r>
      <w:r w:rsidRPr="00981405">
        <w:t>LRTAP</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the</w:t>
      </w:r>
      <w:r w:rsidR="00190923" w:rsidRPr="00981405">
        <w:t xml:space="preserve"> </w:t>
      </w:r>
      <w:r w:rsidRPr="00981405">
        <w:t>article</w:t>
      </w:r>
      <w:r w:rsidR="00190923" w:rsidRPr="00981405">
        <w:t xml:space="preserve"> </w:t>
      </w:r>
      <w:r w:rsidRPr="00981405">
        <w:t>1,</w:t>
      </w:r>
      <w:r w:rsidR="00190923" w:rsidRPr="00981405">
        <w:t xml:space="preserve"> </w:t>
      </w:r>
      <w:r w:rsidRPr="00981405">
        <w:t>paragraph</w:t>
      </w:r>
      <w:r w:rsidR="00190923" w:rsidRPr="00981405">
        <w:t xml:space="preserve"> </w:t>
      </w:r>
      <w:r w:rsidRPr="00981405">
        <w:t>1</w:t>
      </w:r>
      <w:r w:rsidR="00190923" w:rsidRPr="00981405">
        <w:t xml:space="preserve"> </w:t>
      </w:r>
      <w:r w:rsidRPr="00981405">
        <w:t>(4),</w:t>
      </w:r>
      <w:r w:rsidR="00190923" w:rsidRPr="00981405">
        <w:t xml:space="preserve"> </w:t>
      </w:r>
      <w:r w:rsidRPr="00981405">
        <w:t>of</w:t>
      </w:r>
      <w:r w:rsidR="00190923" w:rsidRPr="00981405">
        <w:t xml:space="preserve"> </w:t>
      </w:r>
      <w:r w:rsidRPr="00981405">
        <w:t>the</w:t>
      </w:r>
      <w:r w:rsidR="00190923" w:rsidRPr="00981405">
        <w:t xml:space="preserve"> </w:t>
      </w:r>
      <w:r w:rsidRPr="00981405">
        <w:t>UNCLOS</w:t>
      </w:r>
      <w:r w:rsidR="00190923" w:rsidRPr="00981405">
        <w:t xml:space="preserve"> </w:t>
      </w:r>
      <w:r w:rsidRPr="00981405">
        <w:t>provide</w:t>
      </w:r>
      <w:r w:rsidR="00190923" w:rsidRPr="00981405">
        <w:t xml:space="preserve"> </w:t>
      </w:r>
      <w:r w:rsidRPr="00981405">
        <w:t>for</w:t>
      </w:r>
      <w:r w:rsidR="00190923" w:rsidRPr="00981405">
        <w:t xml:space="preserve"> </w:t>
      </w:r>
      <w:r w:rsidR="00B92E2C" w:rsidRPr="00981405">
        <w:t>“</w:t>
      </w:r>
      <w:r w:rsidRPr="00981405">
        <w:t>introduction</w:t>
      </w:r>
      <w:r w:rsidR="00190923" w:rsidRPr="00981405">
        <w:t xml:space="preserve"> </w:t>
      </w:r>
      <w:r w:rsidRPr="00981405">
        <w:t>of</w:t>
      </w:r>
      <w:r w:rsidR="00190923" w:rsidRPr="00981405">
        <w:t xml:space="preserve"> </w:t>
      </w:r>
      <w:r w:rsidRPr="00981405">
        <w:t>energy</w:t>
      </w:r>
      <w:r w:rsidR="00B92E2C" w:rsidRPr="00981405">
        <w: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substances)</w:t>
      </w:r>
      <w:r w:rsidR="00190923" w:rsidRPr="00981405">
        <w:t xml:space="preserve"> </w:t>
      </w:r>
      <w:r w:rsidRPr="00981405">
        <w:t>into</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00B92E2C" w:rsidRPr="00981405">
        <w:t>“</w:t>
      </w:r>
      <w:r w:rsidRPr="00981405">
        <w:t>pollution,</w:t>
      </w:r>
      <w:r w:rsidR="00B92E2C"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decided</w:t>
      </w:r>
      <w:r w:rsidR="00190923" w:rsidRPr="00981405">
        <w:t xml:space="preserve"> </w:t>
      </w:r>
      <w:r w:rsidRPr="00981405">
        <w:t>not</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energy</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paragraph</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It</w:t>
      </w:r>
      <w:r w:rsidR="00190923" w:rsidRPr="00981405">
        <w:t xml:space="preserve"> </w:t>
      </w:r>
      <w:r w:rsidRPr="00981405">
        <w:t>is</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that,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the</w:t>
      </w:r>
      <w:r w:rsidR="00190923" w:rsidRPr="00981405">
        <w:t xml:space="preserve"> </w:t>
      </w:r>
      <w:r w:rsidRPr="00981405">
        <w:t>word</w:t>
      </w:r>
      <w:r w:rsidR="00190923" w:rsidRPr="00981405">
        <w:t xml:space="preserve"> </w:t>
      </w:r>
      <w:r w:rsidR="00B92E2C" w:rsidRPr="00981405">
        <w:t>“</w:t>
      </w:r>
      <w:r w:rsidRPr="00981405">
        <w:t>substances</w:t>
      </w:r>
      <w:r w:rsidR="00B92E2C" w:rsidRPr="00981405">
        <w:t>”</w:t>
      </w:r>
      <w:r w:rsidR="00190923" w:rsidRPr="00981405">
        <w:t xml:space="preserve"> </w:t>
      </w:r>
      <w:r w:rsidRPr="00981405">
        <w:t>includes</w:t>
      </w:r>
      <w:r w:rsidR="00190923" w:rsidRPr="00981405">
        <w:t xml:space="preserve"> </w:t>
      </w:r>
      <w:r w:rsidR="00B92E2C" w:rsidRPr="00981405">
        <w:t>“</w:t>
      </w:r>
      <w:r w:rsidRPr="00981405">
        <w:t>energy.</w:t>
      </w:r>
      <w:r w:rsidR="00B92E2C" w:rsidRPr="00981405">
        <w:t>”</w:t>
      </w:r>
      <w:r w:rsidR="00190923" w:rsidRPr="00981405">
        <w:t xml:space="preserve"> </w:t>
      </w:r>
      <w:r w:rsidR="00B92E2C" w:rsidRPr="00981405">
        <w:t>“</w:t>
      </w:r>
      <w:r w:rsidRPr="00981405">
        <w:t>Energy</w:t>
      </w:r>
      <w:r w:rsidR="00B92E2C" w:rsidRPr="00981405">
        <w:t>”</w:t>
      </w:r>
      <w:r w:rsidR="00190923" w:rsidRPr="00981405">
        <w:t xml:space="preserve"> </w:t>
      </w:r>
      <w:r w:rsidRPr="00981405">
        <w:t>is</w:t>
      </w:r>
      <w:r w:rsidR="00190923" w:rsidRPr="00981405">
        <w:t xml:space="preserve"> </w:t>
      </w:r>
      <w:r w:rsidRPr="00981405">
        <w:t>understood</w:t>
      </w:r>
      <w:r w:rsidR="00190923" w:rsidRPr="00981405">
        <w:t xml:space="preserve"> </w:t>
      </w:r>
      <w:r w:rsidRPr="00981405">
        <w:t>to</w:t>
      </w:r>
      <w:r w:rsidR="00190923" w:rsidRPr="00981405">
        <w:t xml:space="preserve"> </w:t>
      </w:r>
      <w:r w:rsidRPr="00981405">
        <w:t>include</w:t>
      </w:r>
      <w:r w:rsidR="00190923" w:rsidRPr="00981405">
        <w:t xml:space="preserve"> </w:t>
      </w:r>
      <w:r w:rsidRPr="00981405">
        <w:t>heat,</w:t>
      </w:r>
      <w:r w:rsidR="00190923" w:rsidRPr="00981405">
        <w:t xml:space="preserve"> </w:t>
      </w:r>
      <w:r w:rsidRPr="00981405">
        <w:t>light,</w:t>
      </w:r>
      <w:r w:rsidR="00190923" w:rsidRPr="00981405">
        <w:t xml:space="preserve"> </w:t>
      </w:r>
      <w:r w:rsidRPr="00981405">
        <w:t>noise</w:t>
      </w:r>
      <w:r w:rsidR="00190923" w:rsidRPr="00981405">
        <w:t xml:space="preserve"> </w:t>
      </w:r>
      <w:r w:rsidRPr="00981405">
        <w:t>and</w:t>
      </w:r>
      <w:r w:rsidR="00190923" w:rsidRPr="00981405">
        <w:t xml:space="preserve"> </w:t>
      </w:r>
      <w:r w:rsidRPr="00981405">
        <w:t>radioactivity</w:t>
      </w:r>
      <w:r w:rsidR="00190923" w:rsidRPr="00981405">
        <w:t xml:space="preserve"> </w:t>
      </w:r>
      <w:r w:rsidRPr="00981405">
        <w:t>introduced</w:t>
      </w:r>
      <w:r w:rsidR="00190923" w:rsidRPr="00981405">
        <w:t xml:space="preserve"> </w:t>
      </w:r>
      <w:r w:rsidRPr="00981405">
        <w:t>and</w:t>
      </w:r>
      <w:r w:rsidR="00190923" w:rsidRPr="00981405">
        <w:t xml:space="preserve"> </w:t>
      </w:r>
      <w:r w:rsidRPr="00981405">
        <w:t>released</w:t>
      </w:r>
      <w:r w:rsidR="00190923" w:rsidRPr="00981405">
        <w:t xml:space="preserve"> </w:t>
      </w:r>
      <w:r w:rsidRPr="00981405">
        <w:t>into</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through</w:t>
      </w:r>
      <w:r w:rsidR="00190923" w:rsidRPr="00981405">
        <w:t xml:space="preserve"> </w:t>
      </w:r>
      <w:r w:rsidRPr="00981405">
        <w:t>human</w:t>
      </w:r>
      <w:r w:rsidR="00190923" w:rsidRPr="00981405">
        <w:t xml:space="preserve"> </w:t>
      </w:r>
      <w:r w:rsidRPr="00981405">
        <w:t>activities.</w:t>
      </w:r>
      <w:r w:rsidRPr="00981405">
        <w:rPr>
          <w:rStyle w:val="FootnoteReference"/>
        </w:rPr>
        <w:footnoteReference w:id="43"/>
      </w:r>
      <w:r w:rsidR="00190923" w:rsidRPr="00981405">
        <w:t xml:space="preserve"> </w:t>
      </w:r>
    </w:p>
    <w:p w:rsidR="00397032" w:rsidRPr="00981405" w:rsidRDefault="00397032" w:rsidP="00D97463">
      <w:pPr>
        <w:pStyle w:val="SingleTxt"/>
      </w:pPr>
      <w:r w:rsidRPr="00981405">
        <w:t>(10)</w:t>
      </w:r>
      <w:r w:rsidRPr="00981405">
        <w:tab/>
        <w:t>The</w:t>
      </w:r>
      <w:r w:rsidR="00190923" w:rsidRPr="00981405">
        <w:t xml:space="preserve"> </w:t>
      </w:r>
      <w:r w:rsidRPr="00981405">
        <w:t>expression</w:t>
      </w:r>
      <w:r w:rsidR="00190923" w:rsidRPr="00981405">
        <w:t xml:space="preserve"> </w:t>
      </w:r>
      <w:r w:rsidR="00B92E2C" w:rsidRPr="00981405">
        <w:t>“</w:t>
      </w:r>
      <w:r w:rsidRPr="00981405">
        <w:t>effects</w:t>
      </w:r>
      <w:r w:rsidR="00190923" w:rsidRPr="00981405">
        <w:t xml:space="preserve"> </w:t>
      </w:r>
      <w:r w:rsidRPr="00981405">
        <w:t>extending</w:t>
      </w:r>
      <w:r w:rsidR="00190923" w:rsidRPr="00981405">
        <w:t xml:space="preserve"> </w:t>
      </w:r>
      <w:r w:rsidRPr="00981405">
        <w:t>beyond</w:t>
      </w:r>
      <w:r w:rsidR="00190923" w:rsidRPr="00981405">
        <w:t xml:space="preserve"> </w:t>
      </w:r>
      <w:r w:rsidRPr="00981405">
        <w:t>the</w:t>
      </w:r>
      <w:r w:rsidR="00190923" w:rsidRPr="00981405">
        <w:t xml:space="preserve"> </w:t>
      </w:r>
      <w:r w:rsidRPr="00981405">
        <w:t>State</w:t>
      </w:r>
      <w:r w:rsidR="00190923" w:rsidRPr="00981405">
        <w:t xml:space="preserve"> </w:t>
      </w:r>
      <w:r w:rsidRPr="00981405">
        <w:t>of</w:t>
      </w:r>
      <w:r w:rsidR="00190923" w:rsidRPr="00981405">
        <w:t xml:space="preserve"> </w:t>
      </w:r>
      <w:r w:rsidRPr="00981405">
        <w:t>origin</w:t>
      </w:r>
      <w:r w:rsidR="00B92E2C" w:rsidRPr="00981405">
        <w:t>”</w:t>
      </w:r>
      <w:r w:rsidR="00190923" w:rsidRPr="00981405">
        <w:t xml:space="preserve"> </w:t>
      </w:r>
      <w:r w:rsidRPr="00981405">
        <w:t>in</w:t>
      </w:r>
      <w:r w:rsidR="00190923" w:rsidRPr="00981405">
        <w:t xml:space="preserve"> </w:t>
      </w:r>
      <w:r w:rsidRPr="00981405">
        <w:t>paragraph</w:t>
      </w:r>
      <w:r w:rsidR="00190923" w:rsidRPr="00981405">
        <w:t xml:space="preserve"> </w:t>
      </w:r>
      <w:r w:rsidRPr="00981405">
        <w:t>(b)</w:t>
      </w:r>
      <w:r w:rsidR="00190923" w:rsidRPr="00981405">
        <w:t xml:space="preserve"> </w:t>
      </w:r>
      <w:r w:rsidRPr="00981405">
        <w:t>clarifies</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address</w:t>
      </w:r>
      <w:r w:rsidR="00190923" w:rsidRPr="00981405">
        <w:t xml:space="preserve"> </w:t>
      </w:r>
      <w:r w:rsidRPr="00981405">
        <w:t>the</w:t>
      </w:r>
      <w:r w:rsidR="00190923" w:rsidRPr="00981405">
        <w:t xml:space="preserve"> </w:t>
      </w:r>
      <w:r w:rsidRPr="00981405">
        <w:t>transboundary</w:t>
      </w:r>
      <w:r w:rsidR="00190923" w:rsidRPr="00981405">
        <w:t xml:space="preserve"> </w:t>
      </w:r>
      <w:r w:rsidRPr="00981405">
        <w:t>effects</w:t>
      </w:r>
      <w:r w:rsidR="00190923" w:rsidRPr="00981405">
        <w:t xml:space="preserve"> </w:t>
      </w:r>
      <w:r w:rsidRPr="00981405">
        <w:t>in</w:t>
      </w:r>
      <w:r w:rsidR="00190923" w:rsidRPr="00981405">
        <w:t xml:space="preserve"> </w:t>
      </w:r>
      <w:r w:rsidRPr="00981405">
        <w:t>the</w:t>
      </w:r>
      <w:r w:rsidR="00190923" w:rsidRPr="00981405">
        <w:t xml:space="preserve"> </w:t>
      </w:r>
      <w:r w:rsidRPr="00981405">
        <w:t>sense</w:t>
      </w:r>
      <w:r w:rsidR="00190923" w:rsidRPr="00981405">
        <w:t xml:space="preserve"> </w:t>
      </w:r>
      <w:r w:rsidRPr="00981405">
        <w:lastRenderedPageBreak/>
        <w:t>provided</w:t>
      </w:r>
      <w:r w:rsidR="00190923" w:rsidRPr="00981405">
        <w:t xml:space="preserve"> </w:t>
      </w:r>
      <w:r w:rsidRPr="00981405">
        <w:t>in</w:t>
      </w:r>
      <w:r w:rsidR="00190923" w:rsidRPr="00981405">
        <w:t xml:space="preserve"> </w:t>
      </w:r>
      <w:r w:rsidRPr="00981405">
        <w:t>article</w:t>
      </w:r>
      <w:r w:rsidR="00190923" w:rsidRPr="00981405">
        <w:t xml:space="preserve"> </w:t>
      </w:r>
      <w:r w:rsidRPr="00981405">
        <w:t>1</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1979</w:t>
      </w:r>
      <w:r w:rsidR="00190923" w:rsidRPr="00981405">
        <w:t xml:space="preserve"> </w:t>
      </w:r>
      <w:r w:rsidRPr="00981405">
        <w:t>LRTAP</w:t>
      </w:r>
      <w:r w:rsidR="00190923" w:rsidRPr="00981405">
        <w:t xml:space="preserve"> </w:t>
      </w:r>
      <w:r w:rsidRPr="00981405">
        <w:t>Convention</w:t>
      </w:r>
      <w:r w:rsidR="00190923" w:rsidRPr="00981405">
        <w:t xml:space="preserve"> </w:t>
      </w:r>
      <w:r w:rsidRPr="00981405">
        <w:t>that</w:t>
      </w:r>
      <w:r w:rsidR="00190923" w:rsidRPr="00981405">
        <w:t xml:space="preserve"> </w:t>
      </w:r>
      <w:r w:rsidR="00B92E2C" w:rsidRPr="00981405">
        <w:t>“</w:t>
      </w:r>
      <w:r w:rsidRPr="00981405">
        <w:t>[l]ong-range</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B92E2C" w:rsidRPr="00981405">
        <w:t>”</w:t>
      </w:r>
      <w:r w:rsidR="00190923" w:rsidRPr="00981405">
        <w:t xml:space="preserve"> </w:t>
      </w:r>
      <w:r w:rsidRPr="00981405">
        <w:t>means</w:t>
      </w:r>
      <w:r w:rsidR="00190923" w:rsidRPr="00981405">
        <w:t xml:space="preserve"> </w:t>
      </w:r>
      <w:r w:rsidR="00B92E2C" w:rsidRPr="00981405">
        <w:t>“</w:t>
      </w:r>
      <w:r w:rsidRPr="00981405">
        <w:t>air</w:t>
      </w:r>
      <w:r w:rsidR="00190923" w:rsidRPr="00981405">
        <w:t xml:space="preserve"> </w:t>
      </w:r>
      <w:r w:rsidRPr="00981405">
        <w:t>pollution</w:t>
      </w:r>
      <w:r w:rsidR="00190923" w:rsidRPr="00981405">
        <w:t xml:space="preserve"> </w:t>
      </w:r>
      <w:r w:rsidRPr="00981405">
        <w:t>whose</w:t>
      </w:r>
      <w:r w:rsidR="00190923" w:rsidRPr="00981405">
        <w:t xml:space="preserve"> </w:t>
      </w:r>
      <w:r w:rsidRPr="00981405">
        <w:t>physical</w:t>
      </w:r>
      <w:r w:rsidR="00190923" w:rsidRPr="00981405">
        <w:t xml:space="preserve"> </w:t>
      </w:r>
      <w:r w:rsidRPr="00981405">
        <w:t>origin</w:t>
      </w:r>
      <w:r w:rsidR="00190923" w:rsidRPr="00981405">
        <w:t xml:space="preserve"> </w:t>
      </w:r>
      <w:r w:rsidRPr="00981405">
        <w:t>is</w:t>
      </w:r>
      <w:r w:rsidR="00190923" w:rsidRPr="00981405">
        <w:t xml:space="preserve"> </w:t>
      </w:r>
      <w:r w:rsidRPr="00981405">
        <w:t>situated</w:t>
      </w:r>
      <w:r w:rsidR="00190923" w:rsidRPr="00981405">
        <w:t xml:space="preserve"> </w:t>
      </w:r>
      <w:r w:rsidRPr="00981405">
        <w:t>wholly</w:t>
      </w:r>
      <w:r w:rsidR="00190923" w:rsidRPr="00981405">
        <w:t xml:space="preserve"> </w:t>
      </w:r>
      <w:r w:rsidRPr="00981405">
        <w:t>or</w:t>
      </w:r>
      <w:r w:rsidR="00190923" w:rsidRPr="00981405">
        <w:t xml:space="preserve"> </w:t>
      </w:r>
      <w:r w:rsidRPr="00981405">
        <w:t>in</w:t>
      </w:r>
      <w:r w:rsidR="00190923" w:rsidRPr="00981405">
        <w:t xml:space="preserve"> </w:t>
      </w:r>
      <w:r w:rsidRPr="00981405">
        <w:t>part</w:t>
      </w:r>
      <w:r w:rsidR="00190923" w:rsidRPr="00981405">
        <w:t xml:space="preserve"> </w:t>
      </w:r>
      <w:r w:rsidRPr="00981405">
        <w:t>within</w:t>
      </w:r>
      <w:r w:rsidR="00190923" w:rsidRPr="00981405">
        <w:t xml:space="preserve"> </w:t>
      </w:r>
      <w:r w:rsidRPr="00981405">
        <w:t>the</w:t>
      </w:r>
      <w:r w:rsidR="00190923" w:rsidRPr="00981405">
        <w:t xml:space="preserve"> </w:t>
      </w:r>
      <w:r w:rsidRPr="00981405">
        <w:t>area</w:t>
      </w:r>
      <w:r w:rsidR="00190923" w:rsidRPr="00981405">
        <w:t xml:space="preserve"> </w:t>
      </w:r>
      <w:r w:rsidRPr="00981405">
        <w:t>under</w:t>
      </w:r>
      <w:r w:rsidR="00190923" w:rsidRPr="00981405">
        <w:t xml:space="preserve"> </w:t>
      </w:r>
      <w:r w:rsidRPr="00981405">
        <w:t>the</w:t>
      </w:r>
      <w:r w:rsidR="00190923" w:rsidRPr="00981405">
        <w:t xml:space="preserve"> </w:t>
      </w:r>
      <w:r w:rsidRPr="00981405">
        <w:t>national</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one</w:t>
      </w:r>
      <w:r w:rsidR="00190923" w:rsidRPr="00981405">
        <w:t xml:space="preserve"> </w:t>
      </w:r>
      <w:r w:rsidRPr="00981405">
        <w:t>State</w:t>
      </w:r>
      <w:r w:rsidR="00190923" w:rsidRPr="00981405">
        <w:t xml:space="preserve"> </w:t>
      </w:r>
      <w:r w:rsidRPr="00981405">
        <w:t>and</w:t>
      </w:r>
      <w:r w:rsidR="00190923" w:rsidRPr="00981405">
        <w:t xml:space="preserve"> </w:t>
      </w:r>
      <w:r w:rsidRPr="00981405">
        <w:t>which</w:t>
      </w:r>
      <w:r w:rsidR="00190923" w:rsidRPr="00981405">
        <w:t xml:space="preserve"> </w:t>
      </w:r>
      <w:r w:rsidRPr="00981405">
        <w:t>has</w:t>
      </w:r>
      <w:r w:rsidR="00190923" w:rsidRPr="00981405">
        <w:t xml:space="preserve"> </w:t>
      </w:r>
      <w:r w:rsidRPr="00981405">
        <w:t>adverse</w:t>
      </w:r>
      <w:r w:rsidR="00190923" w:rsidRPr="00981405">
        <w:t xml:space="preserve"> </w:t>
      </w:r>
      <w:r w:rsidRPr="00981405">
        <w:t>effects</w:t>
      </w:r>
      <w:r w:rsidR="00190923" w:rsidRPr="00981405">
        <w:t xml:space="preserve"> </w:t>
      </w:r>
      <w:r w:rsidRPr="00981405">
        <w:t>in</w:t>
      </w:r>
      <w:r w:rsidR="00190923" w:rsidRPr="00981405">
        <w:t xml:space="preserve"> </w:t>
      </w:r>
      <w:r w:rsidRPr="00981405">
        <w:t>the</w:t>
      </w:r>
      <w:r w:rsidR="00190923" w:rsidRPr="00981405">
        <w:t xml:space="preserve"> </w:t>
      </w:r>
      <w:r w:rsidRPr="00981405">
        <w:t>area</w:t>
      </w:r>
      <w:r w:rsidR="00190923" w:rsidRPr="00981405">
        <w:t xml:space="preserve"> </w:t>
      </w:r>
      <w:r w:rsidRPr="00981405">
        <w:t>under</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another</w:t>
      </w:r>
      <w:r w:rsidR="00190923" w:rsidRPr="00981405">
        <w:t xml:space="preserve"> </w:t>
      </w:r>
      <w:r w:rsidRPr="00981405">
        <w:t>State</w:t>
      </w:r>
      <w:r w:rsidR="00190923" w:rsidRPr="00981405">
        <w:t xml:space="preserve"> </w:t>
      </w:r>
      <w:r w:rsidRPr="00981405">
        <w:t>at</w:t>
      </w:r>
      <w:r w:rsidR="00190923" w:rsidRPr="00981405">
        <w:t xml:space="preserve"> </w:t>
      </w:r>
      <w:r w:rsidRPr="00981405">
        <w:t>such</w:t>
      </w:r>
      <w:r w:rsidR="00190923" w:rsidRPr="00981405">
        <w:t xml:space="preserve"> </w:t>
      </w:r>
      <w:r w:rsidRPr="00981405">
        <w:t>a</w:t>
      </w:r>
      <w:r w:rsidR="00190923" w:rsidRPr="00981405">
        <w:t xml:space="preserve"> </w:t>
      </w:r>
      <w:r w:rsidRPr="00981405">
        <w:t>distance</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not</w:t>
      </w:r>
      <w:r w:rsidR="00190923" w:rsidRPr="00981405">
        <w:t xml:space="preserve"> </w:t>
      </w:r>
      <w:r w:rsidRPr="00981405">
        <w:t>generally</w:t>
      </w:r>
      <w:r w:rsidR="00190923" w:rsidRPr="00981405">
        <w:t xml:space="preserve"> </w:t>
      </w:r>
      <w:r w:rsidRPr="00981405">
        <w:t>possible</w:t>
      </w:r>
      <w:r w:rsidR="00190923" w:rsidRPr="00981405">
        <w:t xml:space="preserve"> </w:t>
      </w:r>
      <w:r w:rsidRPr="00981405">
        <w:t>to</w:t>
      </w:r>
      <w:r w:rsidR="00190923" w:rsidRPr="00981405">
        <w:t xml:space="preserve"> </w:t>
      </w:r>
      <w:r w:rsidRPr="00981405">
        <w:t>distinguish</w:t>
      </w:r>
      <w:r w:rsidR="00190923" w:rsidRPr="00981405">
        <w:t xml:space="preserve"> </w:t>
      </w:r>
      <w:r w:rsidRPr="00981405">
        <w:t>the</w:t>
      </w:r>
      <w:r w:rsidR="00190923" w:rsidRPr="00981405">
        <w:t xml:space="preserve"> </w:t>
      </w:r>
      <w:r w:rsidRPr="00981405">
        <w:t>contribution</w:t>
      </w:r>
      <w:r w:rsidR="00190923" w:rsidRPr="00981405">
        <w:t xml:space="preserve"> </w:t>
      </w:r>
      <w:r w:rsidRPr="00981405">
        <w:t>of</w:t>
      </w:r>
      <w:r w:rsidR="00190923" w:rsidRPr="00981405">
        <w:t xml:space="preserve"> </w:t>
      </w:r>
      <w:r w:rsidRPr="00981405">
        <w:t>individual</w:t>
      </w:r>
      <w:r w:rsidR="00190923" w:rsidRPr="00981405">
        <w:t xml:space="preserve"> </w:t>
      </w:r>
      <w:r w:rsidRPr="00981405">
        <w:t>emission</w:t>
      </w:r>
      <w:r w:rsidR="00190923" w:rsidRPr="00981405">
        <w:t xml:space="preserve"> </w:t>
      </w:r>
      <w:r w:rsidRPr="00981405">
        <w:t>sources</w:t>
      </w:r>
      <w:r w:rsidR="00190923" w:rsidRPr="00981405">
        <w:t xml:space="preserve"> </w:t>
      </w:r>
      <w:r w:rsidRPr="00981405">
        <w:t>or</w:t>
      </w:r>
      <w:r w:rsidR="00190923" w:rsidRPr="00981405">
        <w:t xml:space="preserve"> </w:t>
      </w:r>
      <w:r w:rsidRPr="00981405">
        <w:t>groups</w:t>
      </w:r>
      <w:r w:rsidR="00190923" w:rsidRPr="00981405">
        <w:t xml:space="preserve"> </w:t>
      </w:r>
      <w:r w:rsidRPr="00981405">
        <w:t>of</w:t>
      </w:r>
      <w:r w:rsidR="00190923" w:rsidRPr="00981405">
        <w:t xml:space="preserve"> </w:t>
      </w:r>
      <w:r w:rsidRPr="00981405">
        <w:t>sources.</w:t>
      </w:r>
      <w:r w:rsidR="00B92E2C" w:rsidRPr="00981405">
        <w:t>”</w:t>
      </w:r>
      <w:r w:rsidR="00190923" w:rsidRPr="00981405">
        <w:t xml:space="preserve"> </w:t>
      </w:r>
    </w:p>
    <w:p w:rsidR="00397032" w:rsidRPr="00981405" w:rsidRDefault="00397032" w:rsidP="00D97463">
      <w:pPr>
        <w:pStyle w:val="SingleTxt"/>
      </w:pPr>
      <w:r w:rsidRPr="00981405">
        <w:t>(11)</w:t>
      </w:r>
      <w:r w:rsidRPr="00981405">
        <w:tab/>
        <w:t>Since</w:t>
      </w:r>
      <w:r w:rsidR="00190923" w:rsidRPr="00981405">
        <w:t xml:space="preserve"> </w:t>
      </w:r>
      <w:r w:rsidR="00B92E2C" w:rsidRPr="00981405">
        <w:t>“</w:t>
      </w:r>
      <w:r w:rsidRPr="00981405">
        <w:t>atmospheric</w:t>
      </w:r>
      <w:r w:rsidR="00190923" w:rsidRPr="00981405">
        <w:t xml:space="preserve"> </w:t>
      </w:r>
      <w:r w:rsidRPr="00981405">
        <w:t>pollution</w:t>
      </w:r>
      <w:r w:rsidR="00B92E2C" w:rsidRPr="00981405">
        <w:t>”</w:t>
      </w:r>
      <w:r w:rsidR="00190923" w:rsidRPr="00981405">
        <w:t xml:space="preserve"> </w:t>
      </w:r>
      <w:r w:rsidRPr="00981405">
        <w:t>is</w:t>
      </w:r>
      <w:r w:rsidR="00190923" w:rsidRPr="00981405">
        <w:t xml:space="preserve"> </w:t>
      </w:r>
      <w:r w:rsidRPr="00981405">
        <w:t>defined</w:t>
      </w:r>
      <w:r w:rsidR="00190923" w:rsidRPr="00981405">
        <w:t xml:space="preserve"> </w:t>
      </w:r>
      <w:r w:rsidRPr="00981405">
        <w:t>narrowly</w:t>
      </w:r>
      <w:r w:rsidR="00190923" w:rsidRPr="00981405">
        <w:t xml:space="preserve"> </w:t>
      </w:r>
      <w:r w:rsidRPr="00981405">
        <w:t>in</w:t>
      </w:r>
      <w:r w:rsidR="00190923" w:rsidRPr="00981405">
        <w:t xml:space="preserve"> </w:t>
      </w:r>
      <w:r w:rsidRPr="00981405">
        <w:t>paragraph</w:t>
      </w:r>
      <w:r w:rsidR="00190923" w:rsidRPr="00981405">
        <w:t xml:space="preserve"> </w:t>
      </w:r>
      <w:r w:rsidRPr="00981405">
        <w:t>(b),</w:t>
      </w:r>
      <w:r w:rsidR="00190923" w:rsidRPr="00981405">
        <w:t xml:space="preserve"> </w:t>
      </w:r>
      <w:r w:rsidRPr="00981405">
        <w:t>it</w:t>
      </w:r>
      <w:r w:rsidR="00190923" w:rsidRPr="00981405">
        <w:t xml:space="preserve"> </w:t>
      </w:r>
      <w:r w:rsidRPr="00981405">
        <w:t>is</w:t>
      </w:r>
      <w:r w:rsidR="00190923" w:rsidRPr="00981405">
        <w:t xml:space="preserve"> </w:t>
      </w:r>
      <w:r w:rsidRPr="00981405">
        <w:t>necessary,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to</w:t>
      </w:r>
      <w:r w:rsidR="00190923" w:rsidRPr="00981405">
        <w:t xml:space="preserve"> </w:t>
      </w:r>
      <w:r w:rsidRPr="00981405">
        <w:t>address</w:t>
      </w:r>
      <w:r w:rsidR="00190923" w:rsidRPr="00981405">
        <w:t xml:space="preserve"> </w:t>
      </w:r>
      <w:r w:rsidRPr="00981405">
        <w:t>issues</w:t>
      </w:r>
      <w:r w:rsidR="00190923" w:rsidRPr="00981405">
        <w:t xml:space="preserve"> </w:t>
      </w:r>
      <w:r w:rsidRPr="00981405">
        <w:t>other</w:t>
      </w:r>
      <w:r w:rsidR="00190923" w:rsidRPr="00981405">
        <w:t xml:space="preserve"> </w:t>
      </w:r>
      <w:r w:rsidRPr="00981405">
        <w:t>than</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by</w:t>
      </w:r>
      <w:r w:rsidR="00190923" w:rsidRPr="00981405">
        <w:t xml:space="preserve"> </w:t>
      </w:r>
      <w:r w:rsidRPr="00981405">
        <w:t>means</w:t>
      </w:r>
      <w:r w:rsidR="00190923" w:rsidRPr="00981405">
        <w:t xml:space="preserve"> </w:t>
      </w:r>
      <w:r w:rsidRPr="00981405">
        <w:t>of</w:t>
      </w:r>
      <w:r w:rsidR="00190923" w:rsidRPr="00981405">
        <w:t xml:space="preserve"> </w:t>
      </w:r>
      <w:r w:rsidRPr="00981405">
        <w:t>a</w:t>
      </w:r>
      <w:r w:rsidR="00190923" w:rsidRPr="00981405">
        <w:t xml:space="preserve"> </w:t>
      </w:r>
      <w:r w:rsidRPr="00981405">
        <w:t>different</w:t>
      </w:r>
      <w:r w:rsidR="00190923" w:rsidRPr="00981405">
        <w:t xml:space="preserve"> </w:t>
      </w:r>
      <w:r w:rsidRPr="00981405">
        <w:t>definition.</w:t>
      </w:r>
      <w:r w:rsidR="00190923" w:rsidRPr="00981405">
        <w:t xml:space="preserve"> </w:t>
      </w:r>
      <w:r w:rsidRPr="00981405">
        <w:t>For</w:t>
      </w:r>
      <w:r w:rsidR="00190923" w:rsidRPr="00981405">
        <w:t xml:space="preserve"> </w:t>
      </w:r>
      <w:r w:rsidRPr="00981405">
        <w:t>this</w:t>
      </w:r>
      <w:r w:rsidR="00190923" w:rsidRPr="00981405">
        <w:t xml:space="preserve"> </w:t>
      </w:r>
      <w:r w:rsidRPr="00981405">
        <w:t>purpose,</w:t>
      </w:r>
      <w:r w:rsidR="00190923" w:rsidRPr="00981405">
        <w:t xml:space="preserve"> </w:t>
      </w:r>
      <w:r w:rsidRPr="00981405">
        <w:t>paragraph</w:t>
      </w:r>
      <w:r w:rsidR="00190923" w:rsidRPr="00981405">
        <w:t xml:space="preserve"> </w:t>
      </w:r>
      <w:r w:rsidRPr="00981405">
        <w:t>(c)</w:t>
      </w:r>
      <w:r w:rsidR="00190923" w:rsidRPr="00981405">
        <w:t xml:space="preserve"> </w:t>
      </w:r>
      <w:r w:rsidRPr="00981405">
        <w:t>provides</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atmospheric</w:t>
      </w:r>
      <w:r w:rsidR="00190923" w:rsidRPr="00981405">
        <w:t xml:space="preserve"> </w:t>
      </w:r>
      <w:r w:rsidRPr="00981405">
        <w:t>degradation</w:t>
      </w:r>
      <w:r w:rsidR="00B92E2C" w:rsidRPr="00981405">
        <w:t>”</w:t>
      </w:r>
      <w:r w:rsidRPr="00981405">
        <w:t>.</w:t>
      </w:r>
      <w:r w:rsidR="00190923" w:rsidRPr="00981405">
        <w:t xml:space="preserve"> </w:t>
      </w:r>
      <w:r w:rsidRPr="00981405">
        <w:t>This</w:t>
      </w:r>
      <w:r w:rsidR="00190923" w:rsidRPr="00981405">
        <w:t xml:space="preserve"> </w:t>
      </w:r>
      <w:r w:rsidRPr="00981405">
        <w:t>definition</w:t>
      </w:r>
      <w:r w:rsidR="00190923" w:rsidRPr="00981405">
        <w:t xml:space="preserve"> </w:t>
      </w:r>
      <w:r w:rsidRPr="00981405">
        <w:t>is</w:t>
      </w:r>
      <w:r w:rsidR="00190923" w:rsidRPr="00981405">
        <w:t xml:space="preserve"> </w:t>
      </w:r>
      <w:r w:rsidRPr="00981405">
        <w:t>intended</w:t>
      </w:r>
      <w:r w:rsidR="00190923" w:rsidRPr="00981405">
        <w:t xml:space="preserve"> </w:t>
      </w:r>
      <w:r w:rsidRPr="00981405">
        <w:t>to</w:t>
      </w:r>
      <w:r w:rsidR="00190923" w:rsidRPr="00981405">
        <w:t xml:space="preserve"> </w:t>
      </w:r>
      <w:r w:rsidRPr="00981405">
        <w:t>include</w:t>
      </w:r>
      <w:r w:rsidR="00190923" w:rsidRPr="00981405">
        <w:t xml:space="preserve"> </w:t>
      </w:r>
      <w:r w:rsidRPr="00981405">
        <w:t>problems</w:t>
      </w:r>
      <w:r w:rsidR="00190923" w:rsidRPr="00981405">
        <w:t xml:space="preserve"> </w:t>
      </w:r>
      <w:r w:rsidRPr="00981405">
        <w:t>of</w:t>
      </w:r>
      <w:r w:rsidR="00190923" w:rsidRPr="00981405">
        <w:t xml:space="preserve"> </w:t>
      </w:r>
      <w:r w:rsidRPr="00981405">
        <w:t>ozone</w:t>
      </w:r>
      <w:r w:rsidR="00190923" w:rsidRPr="00981405">
        <w:t xml:space="preserve"> </w:t>
      </w:r>
      <w:r w:rsidRPr="00981405">
        <w:t>depletion</w:t>
      </w:r>
      <w:r w:rsidR="00190923" w:rsidRPr="00981405">
        <w:t xml:space="preserve"> </w:t>
      </w:r>
      <w:r w:rsidRPr="00981405">
        <w:t>and</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It</w:t>
      </w:r>
      <w:r w:rsidR="00190923" w:rsidRPr="00981405">
        <w:t xml:space="preserve"> </w:t>
      </w:r>
      <w:r w:rsidRPr="00981405">
        <w:t>covers</w:t>
      </w:r>
      <w:r w:rsidR="00190923" w:rsidRPr="00981405">
        <w:t xml:space="preserve"> </w:t>
      </w:r>
      <w:r w:rsidRPr="00981405">
        <w:t>the</w:t>
      </w:r>
      <w:r w:rsidR="00190923" w:rsidRPr="00981405">
        <w:t xml:space="preserve"> </w:t>
      </w:r>
      <w:r w:rsidRPr="00981405">
        <w:t>alteration</w:t>
      </w:r>
      <w:r w:rsidR="00190923" w:rsidRPr="00981405">
        <w:t xml:space="preserve"> </w:t>
      </w:r>
      <w:r w:rsidRPr="00981405">
        <w:t>of</w:t>
      </w:r>
      <w:r w:rsidR="00190923" w:rsidRPr="00981405">
        <w:t xml:space="preserve"> </w:t>
      </w:r>
      <w:r w:rsidRPr="00981405">
        <w:t>the</w:t>
      </w:r>
      <w:r w:rsidR="00190923" w:rsidRPr="00981405">
        <w:t xml:space="preserve"> </w:t>
      </w:r>
      <w:r w:rsidRPr="00981405">
        <w:t>global</w:t>
      </w:r>
      <w:r w:rsidR="00190923" w:rsidRPr="00981405">
        <w:t xml:space="preserve"> </w:t>
      </w:r>
      <w:r w:rsidRPr="00981405">
        <w:t>atmospheric</w:t>
      </w:r>
      <w:r w:rsidR="00190923" w:rsidRPr="00981405">
        <w:t xml:space="preserve"> </w:t>
      </w:r>
      <w:r w:rsidRPr="00981405">
        <w:t>conditions</w:t>
      </w:r>
      <w:r w:rsidR="00190923" w:rsidRPr="00981405">
        <w:t xml:space="preserve"> </w:t>
      </w:r>
      <w:r w:rsidRPr="00981405">
        <w:t>caused</w:t>
      </w:r>
      <w:r w:rsidR="00190923" w:rsidRPr="00981405">
        <w:t xml:space="preserve"> </w:t>
      </w:r>
      <w:r w:rsidRPr="00981405">
        <w:t>by</w:t>
      </w:r>
      <w:r w:rsidR="00190923" w:rsidRPr="00981405">
        <w:t xml:space="preserve"> </w:t>
      </w:r>
      <w:r w:rsidRPr="00981405">
        <w:t>humans,</w:t>
      </w:r>
      <w:r w:rsidR="00190923" w:rsidRPr="00981405">
        <w:t xml:space="preserve"> </w:t>
      </w:r>
      <w:r w:rsidRPr="00981405">
        <w:t>whether</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These</w:t>
      </w:r>
      <w:r w:rsidR="00190923" w:rsidRPr="00981405">
        <w:t xml:space="preserve"> </w:t>
      </w:r>
      <w:r w:rsidRPr="00981405">
        <w:t>may</w:t>
      </w:r>
      <w:r w:rsidR="00190923" w:rsidRPr="00981405">
        <w:t xml:space="preserve"> </w:t>
      </w:r>
      <w:r w:rsidRPr="00981405">
        <w:t>be</w:t>
      </w:r>
      <w:r w:rsidR="00190923" w:rsidRPr="00981405">
        <w:t xml:space="preserve"> </w:t>
      </w:r>
      <w:r w:rsidRPr="00981405">
        <w:t>changes</w:t>
      </w:r>
      <w:r w:rsidR="00190923" w:rsidRPr="00981405">
        <w:t xml:space="preserve"> </w:t>
      </w:r>
      <w:r w:rsidRPr="00981405">
        <w:t>to</w:t>
      </w:r>
      <w:r w:rsidR="00190923" w:rsidRPr="00981405">
        <w:t xml:space="preserve"> </w:t>
      </w:r>
      <w:r w:rsidRPr="00981405">
        <w:t>the</w:t>
      </w:r>
      <w:r w:rsidR="00190923" w:rsidRPr="00981405">
        <w:t xml:space="preserve"> </w:t>
      </w:r>
      <w:r w:rsidRPr="00981405">
        <w:t>physical</w:t>
      </w:r>
      <w:r w:rsidR="00190923" w:rsidRPr="00981405">
        <w:t xml:space="preserve"> </w:t>
      </w:r>
      <w:r w:rsidRPr="00981405">
        <w:t>environment</w:t>
      </w:r>
      <w:r w:rsidR="00190923" w:rsidRPr="00981405">
        <w:t xml:space="preserve"> </w:t>
      </w:r>
      <w:r w:rsidRPr="00981405">
        <w:t>or</w:t>
      </w:r>
      <w:r w:rsidR="00190923" w:rsidRPr="00981405">
        <w:t xml:space="preserve"> </w:t>
      </w:r>
      <w:r w:rsidRPr="00981405">
        <w:t>biota</w:t>
      </w:r>
      <w:r w:rsidR="00190923" w:rsidRPr="00981405">
        <w:t xml:space="preserve"> </w:t>
      </w:r>
      <w:r w:rsidRPr="00981405">
        <w:t>or</w:t>
      </w:r>
      <w:r w:rsidR="00190923" w:rsidRPr="00981405">
        <w:t xml:space="preserve"> </w:t>
      </w:r>
      <w:r w:rsidRPr="00981405">
        <w:t>alterations</w:t>
      </w:r>
      <w:r w:rsidR="00190923" w:rsidRPr="00981405">
        <w:t xml:space="preserve"> </w:t>
      </w:r>
      <w:r w:rsidRPr="00981405">
        <w:t>to</w:t>
      </w:r>
      <w:r w:rsidR="00190923" w:rsidRPr="00981405">
        <w:t xml:space="preserve"> </w:t>
      </w:r>
      <w:r w:rsidRPr="00981405">
        <w:t>the</w:t>
      </w:r>
      <w:r w:rsidR="00190923" w:rsidRPr="00981405">
        <w:t xml:space="preserve"> </w:t>
      </w:r>
      <w:r w:rsidRPr="00981405">
        <w:t>composition</w:t>
      </w:r>
      <w:r w:rsidR="00190923" w:rsidRPr="00981405">
        <w:t xml:space="preserve"> </w:t>
      </w:r>
      <w:r w:rsidRPr="00981405">
        <w:t>of</w:t>
      </w:r>
      <w:r w:rsidR="00190923" w:rsidRPr="00981405">
        <w:t xml:space="preserve"> </w:t>
      </w:r>
      <w:r w:rsidRPr="00981405">
        <w:t>the</w:t>
      </w:r>
      <w:r w:rsidR="00190923" w:rsidRPr="00981405">
        <w:t xml:space="preserve"> </w:t>
      </w:r>
      <w:r w:rsidRPr="00981405">
        <w:t>global</w:t>
      </w:r>
      <w:r w:rsidR="00190923" w:rsidRPr="00981405">
        <w:t xml:space="preserve"> </w:t>
      </w:r>
      <w:r w:rsidRPr="00981405">
        <w:t>atmosphere.</w:t>
      </w:r>
      <w:r w:rsidR="00190923" w:rsidRPr="00981405">
        <w:t xml:space="preserve"> </w:t>
      </w:r>
      <w:r w:rsidRPr="00981405">
        <w:t>The</w:t>
      </w:r>
      <w:r w:rsidR="00190923" w:rsidRPr="00981405">
        <w:t xml:space="preserve"> </w:t>
      </w:r>
      <w:r w:rsidRPr="00981405">
        <w:t>1985</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Ozone</w:t>
      </w:r>
      <w:r w:rsidR="00190923" w:rsidRPr="00981405">
        <w:t xml:space="preserve"> </w:t>
      </w:r>
      <w:r w:rsidRPr="00981405">
        <w:t>Layer</w:t>
      </w:r>
      <w:r w:rsidRPr="00981405">
        <w:rPr>
          <w:rStyle w:val="FootnoteReference"/>
        </w:rPr>
        <w:footnoteReference w:id="44"/>
      </w:r>
      <w:r w:rsidR="00190923" w:rsidRPr="00981405">
        <w:t xml:space="preserve"> </w:t>
      </w:r>
      <w:r w:rsidRPr="00981405">
        <w:t>provides</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adverse</w:t>
      </w:r>
      <w:r w:rsidR="00190923" w:rsidRPr="00981405">
        <w:t xml:space="preserve"> </w:t>
      </w:r>
      <w:r w:rsidRPr="00981405">
        <w:t>effects</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1,</w:t>
      </w:r>
      <w:r w:rsidR="00190923" w:rsidRPr="00981405">
        <w:t xml:space="preserve"> </w:t>
      </w:r>
      <w:r w:rsidRPr="00981405">
        <w:t>paragraph</w:t>
      </w:r>
      <w:r w:rsidR="00190923" w:rsidRPr="00981405">
        <w:t xml:space="preserve"> </w:t>
      </w:r>
      <w:r w:rsidRPr="00981405">
        <w:t>(2),</w:t>
      </w:r>
      <w:r w:rsidR="00190923" w:rsidRPr="00981405">
        <w:t xml:space="preserve"> </w:t>
      </w:r>
      <w:r w:rsidRPr="00981405">
        <w:t>as</w:t>
      </w:r>
      <w:r w:rsidR="00190923" w:rsidRPr="00981405">
        <w:t xml:space="preserve"> </w:t>
      </w:r>
      <w:r w:rsidRPr="00981405">
        <w:t>meaning</w:t>
      </w:r>
      <w:r w:rsidR="00190923" w:rsidRPr="00981405">
        <w:t xml:space="preserve"> </w:t>
      </w:r>
      <w:r w:rsidR="00B92E2C" w:rsidRPr="00981405">
        <w:t>“</w:t>
      </w:r>
      <w:r w:rsidRPr="00981405">
        <w:t>changes</w:t>
      </w:r>
      <w:r w:rsidR="00190923" w:rsidRPr="00981405">
        <w:t xml:space="preserve"> </w:t>
      </w:r>
      <w:r w:rsidRPr="00981405">
        <w:t>in</w:t>
      </w:r>
      <w:r w:rsidR="00190923" w:rsidRPr="00981405">
        <w:t xml:space="preserve"> </w:t>
      </w:r>
      <w:r w:rsidRPr="00981405">
        <w:t>the</w:t>
      </w:r>
      <w:r w:rsidR="00190923" w:rsidRPr="00981405">
        <w:t xml:space="preserve"> </w:t>
      </w:r>
      <w:r w:rsidRPr="00981405">
        <w:t>physical</w:t>
      </w:r>
      <w:r w:rsidR="00190923" w:rsidRPr="00981405">
        <w:t xml:space="preserve"> </w:t>
      </w:r>
      <w:r w:rsidRPr="00981405">
        <w:t>environment</w:t>
      </w:r>
      <w:r w:rsidR="00190923" w:rsidRPr="00981405">
        <w:t xml:space="preserve"> </w:t>
      </w:r>
      <w:r w:rsidRPr="00981405">
        <w:t>or</w:t>
      </w:r>
      <w:r w:rsidR="00190923" w:rsidRPr="00981405">
        <w:t xml:space="preserve"> </w:t>
      </w:r>
      <w:r w:rsidRPr="00981405">
        <w:t>biota,</w:t>
      </w:r>
      <w:r w:rsidR="00190923" w:rsidRPr="00981405">
        <w:t xml:space="preserve"> </w:t>
      </w:r>
      <w:r w:rsidRPr="00981405">
        <w:t>including</w:t>
      </w:r>
      <w:r w:rsidR="00190923" w:rsidRPr="00981405">
        <w:t xml:space="preserve"> </w:t>
      </w:r>
      <w:r w:rsidRPr="00981405">
        <w:t>changes</w:t>
      </w:r>
      <w:r w:rsidR="00190923" w:rsidRPr="00981405">
        <w:t xml:space="preserve"> </w:t>
      </w:r>
      <w:r w:rsidRPr="00981405">
        <w:t>in</w:t>
      </w:r>
      <w:r w:rsidR="00190923" w:rsidRPr="00981405">
        <w:t xml:space="preserve"> </w:t>
      </w:r>
      <w:r w:rsidRPr="00981405">
        <w:t>climate,</w:t>
      </w:r>
      <w:r w:rsidR="00190923" w:rsidRPr="00981405">
        <w:t xml:space="preserve"> </w:t>
      </w:r>
      <w:r w:rsidRPr="00981405">
        <w:t>which</w:t>
      </w:r>
      <w:r w:rsidR="00190923" w:rsidRPr="00981405">
        <w:t xml:space="preserve"> </w:t>
      </w:r>
      <w:r w:rsidRPr="00981405">
        <w:t>have</w:t>
      </w:r>
      <w:r w:rsidR="00190923" w:rsidRPr="00981405">
        <w:t xml:space="preserve"> </w:t>
      </w:r>
      <w:r w:rsidRPr="00981405">
        <w:t>significant</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on</w:t>
      </w:r>
      <w:r w:rsidR="00190923" w:rsidRPr="00981405">
        <w:t xml:space="preserve"> </w:t>
      </w:r>
      <w:r w:rsidRPr="00981405">
        <w:t>human</w:t>
      </w:r>
      <w:r w:rsidR="00190923" w:rsidRPr="00981405">
        <w:t xml:space="preserve"> </w:t>
      </w:r>
      <w:r w:rsidRPr="00981405">
        <w:t>health</w:t>
      </w:r>
      <w:r w:rsidR="00190923" w:rsidRPr="00981405">
        <w:t xml:space="preserve"> </w:t>
      </w:r>
      <w:r w:rsidRPr="00981405">
        <w:t>or</w:t>
      </w:r>
      <w:r w:rsidR="00190923" w:rsidRPr="00981405">
        <w:t xml:space="preserve"> </w:t>
      </w:r>
      <w:r w:rsidRPr="00981405">
        <w:t>on</w:t>
      </w:r>
      <w:r w:rsidR="00190923" w:rsidRPr="00981405">
        <w:t xml:space="preserve"> </w:t>
      </w:r>
      <w:r w:rsidRPr="00981405">
        <w:t>the</w:t>
      </w:r>
      <w:r w:rsidR="00190923" w:rsidRPr="00981405">
        <w:t xml:space="preserve"> </w:t>
      </w:r>
      <w:r w:rsidRPr="00981405">
        <w:t>composition,</w:t>
      </w:r>
      <w:r w:rsidR="00190923" w:rsidRPr="00981405">
        <w:t xml:space="preserve"> </w:t>
      </w:r>
      <w:r w:rsidRPr="00981405">
        <w:t>resilience</w:t>
      </w:r>
      <w:r w:rsidR="00190923" w:rsidRPr="00981405">
        <w:t xml:space="preserve"> </w:t>
      </w:r>
      <w:r w:rsidRPr="00981405">
        <w:t>and</w:t>
      </w:r>
      <w:r w:rsidR="00190923" w:rsidRPr="00981405">
        <w:t xml:space="preserve"> </w:t>
      </w:r>
      <w:r w:rsidRPr="00981405">
        <w:t>productivity</w:t>
      </w:r>
      <w:r w:rsidR="00190923" w:rsidRPr="00981405">
        <w:t xml:space="preserve"> </w:t>
      </w:r>
      <w:r w:rsidRPr="00981405">
        <w:t>of</w:t>
      </w:r>
      <w:r w:rsidR="00190923" w:rsidRPr="00981405">
        <w:t xml:space="preserve"> </w:t>
      </w:r>
      <w:r w:rsidRPr="00981405">
        <w:t>natural</w:t>
      </w:r>
      <w:r w:rsidR="00190923" w:rsidRPr="00981405">
        <w:t xml:space="preserve"> </w:t>
      </w:r>
      <w:r w:rsidRPr="00981405">
        <w:t>and</w:t>
      </w:r>
      <w:r w:rsidR="00190923" w:rsidRPr="00981405">
        <w:t xml:space="preserve"> </w:t>
      </w:r>
      <w:r w:rsidRPr="00981405">
        <w:t>managed</w:t>
      </w:r>
      <w:r w:rsidR="00190923" w:rsidRPr="00981405">
        <w:t xml:space="preserve"> </w:t>
      </w:r>
      <w:r w:rsidRPr="00981405">
        <w:t>ecosystems,</w:t>
      </w:r>
      <w:r w:rsidR="00190923" w:rsidRPr="00981405">
        <w:t xml:space="preserve"> </w:t>
      </w:r>
      <w:r w:rsidRPr="00981405">
        <w:t>or</w:t>
      </w:r>
      <w:r w:rsidR="00190923" w:rsidRPr="00981405">
        <w:t xml:space="preserve"> </w:t>
      </w:r>
      <w:r w:rsidRPr="00981405">
        <w:t>on</w:t>
      </w:r>
      <w:r w:rsidR="00190923" w:rsidRPr="00981405">
        <w:t xml:space="preserve"> </w:t>
      </w:r>
      <w:r w:rsidRPr="00981405">
        <w:t>materials</w:t>
      </w:r>
      <w:r w:rsidR="00190923" w:rsidRPr="00981405">
        <w:t xml:space="preserve"> </w:t>
      </w:r>
      <w:r w:rsidRPr="00981405">
        <w:t>useful</w:t>
      </w:r>
      <w:r w:rsidR="00190923" w:rsidRPr="00981405">
        <w:t xml:space="preserve"> </w:t>
      </w:r>
      <w:r w:rsidRPr="00981405">
        <w:t>to</w:t>
      </w:r>
      <w:r w:rsidR="00190923" w:rsidRPr="00981405">
        <w:t xml:space="preserve"> </w:t>
      </w:r>
      <w:r w:rsidRPr="00981405">
        <w:t>mankind.</w:t>
      </w:r>
      <w:r w:rsidR="00B92E2C" w:rsidRPr="00981405">
        <w:t>”</w:t>
      </w:r>
      <w:r w:rsidR="00190923" w:rsidRPr="00981405">
        <w:t xml:space="preserve"> </w:t>
      </w:r>
      <w:r w:rsidRPr="00981405">
        <w:t>Article</w:t>
      </w:r>
      <w:r w:rsidR="00190923" w:rsidRPr="00981405">
        <w:t xml:space="preserve"> </w:t>
      </w:r>
      <w:r w:rsidRPr="00981405">
        <w:t>1,</w:t>
      </w:r>
      <w:r w:rsidR="00190923" w:rsidRPr="00981405">
        <w:t xml:space="preserve"> </w:t>
      </w:r>
      <w:r w:rsidRPr="00981405">
        <w:t>paragraph</w:t>
      </w:r>
      <w:r w:rsidR="00190923" w:rsidRPr="00981405">
        <w:t xml:space="preserve"> </w:t>
      </w:r>
      <w:r w:rsidRPr="00981405">
        <w:t>(2),</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Framework</w:t>
      </w:r>
      <w:r w:rsidR="00190923" w:rsidRPr="00981405">
        <w:t xml:space="preserve"> </w:t>
      </w:r>
      <w:r w:rsidRPr="00981405">
        <w:t>Convention</w:t>
      </w:r>
      <w:r w:rsidR="00190923" w:rsidRPr="00981405">
        <w:t xml:space="preserve"> </w:t>
      </w:r>
      <w:r w:rsidRPr="00981405">
        <w:t>on</w:t>
      </w:r>
      <w:r w:rsidR="00190923" w:rsidRPr="00981405">
        <w:t xml:space="preserve"> </w:t>
      </w:r>
      <w:r w:rsidRPr="00981405">
        <w:t>Climate</w:t>
      </w:r>
      <w:r w:rsidR="00190923" w:rsidRPr="00981405">
        <w:t xml:space="preserve"> </w:t>
      </w:r>
      <w:r w:rsidRPr="00981405">
        <w:t>defines</w:t>
      </w:r>
      <w:r w:rsidR="00190923" w:rsidRPr="00981405">
        <w:t xml:space="preserve"> </w:t>
      </w:r>
      <w:r w:rsidR="00B92E2C" w:rsidRPr="00981405">
        <w:t>“</w:t>
      </w:r>
      <w:r w:rsidRPr="00981405">
        <w:t>climate</w:t>
      </w:r>
      <w:r w:rsidR="00190923" w:rsidRPr="00981405">
        <w:t xml:space="preserve"> </w:t>
      </w:r>
      <w:r w:rsidRPr="00981405">
        <w:t>change</w:t>
      </w:r>
      <w:r w:rsidR="00B92E2C" w:rsidRPr="00981405">
        <w:t>”</w:t>
      </w:r>
      <w:r w:rsidR="00190923" w:rsidRPr="00981405">
        <w:t xml:space="preserve"> </w:t>
      </w:r>
      <w:r w:rsidRPr="00981405">
        <w:t>as</w:t>
      </w:r>
      <w:r w:rsidR="00190923" w:rsidRPr="00981405">
        <w:t xml:space="preserve"> </w:t>
      </w:r>
      <w:r w:rsidR="00B92E2C" w:rsidRPr="00981405">
        <w:t>“</w:t>
      </w:r>
      <w:r w:rsidRPr="00981405">
        <w:t>a</w:t>
      </w:r>
      <w:r w:rsidR="00190923" w:rsidRPr="00981405">
        <w:t xml:space="preserve"> </w:t>
      </w:r>
      <w:r w:rsidRPr="00981405">
        <w:t>change</w:t>
      </w:r>
      <w:r w:rsidR="00190923" w:rsidRPr="00981405">
        <w:t xml:space="preserve"> </w:t>
      </w:r>
      <w:r w:rsidRPr="00981405">
        <w:t>of</w:t>
      </w:r>
      <w:r w:rsidR="00190923" w:rsidRPr="00981405">
        <w:t xml:space="preserve"> </w:t>
      </w:r>
      <w:r w:rsidRPr="00981405">
        <w:t>climate</w:t>
      </w:r>
      <w:r w:rsidR="00190923" w:rsidRPr="00981405">
        <w:t xml:space="preserve"> </w:t>
      </w:r>
      <w:r w:rsidRPr="00981405">
        <w:t>which</w:t>
      </w:r>
      <w:r w:rsidR="00190923" w:rsidRPr="00981405">
        <w:t xml:space="preserve"> </w:t>
      </w:r>
      <w:r w:rsidRPr="00981405">
        <w:t>is</w:t>
      </w:r>
      <w:r w:rsidR="00190923" w:rsidRPr="00981405">
        <w:t xml:space="preserve"> </w:t>
      </w:r>
      <w:r w:rsidRPr="00981405">
        <w:t>attributed</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to</w:t>
      </w:r>
      <w:r w:rsidR="00190923" w:rsidRPr="00981405">
        <w:t xml:space="preserve"> </w:t>
      </w:r>
      <w:r w:rsidRPr="00981405">
        <w:t>human</w:t>
      </w:r>
      <w:r w:rsidR="00190923" w:rsidRPr="00981405">
        <w:t xml:space="preserve"> </w:t>
      </w:r>
      <w:r w:rsidRPr="00981405">
        <w:t>activity</w:t>
      </w:r>
      <w:r w:rsidR="00190923" w:rsidRPr="00981405">
        <w:t xml:space="preserve"> </w:t>
      </w:r>
      <w:r w:rsidRPr="00981405">
        <w:t>that</w:t>
      </w:r>
      <w:r w:rsidR="00190923" w:rsidRPr="00981405">
        <w:t xml:space="preserve"> </w:t>
      </w:r>
      <w:r w:rsidRPr="00981405">
        <w:t>alters</w:t>
      </w:r>
      <w:r w:rsidR="00190923" w:rsidRPr="00981405">
        <w:t xml:space="preserve"> </w:t>
      </w:r>
      <w:r w:rsidRPr="00981405">
        <w:t>the</w:t>
      </w:r>
      <w:r w:rsidR="00190923" w:rsidRPr="00981405">
        <w:t xml:space="preserve"> </w:t>
      </w:r>
      <w:r w:rsidRPr="00981405">
        <w:t>composition</w:t>
      </w:r>
      <w:r w:rsidR="00190923" w:rsidRPr="00981405">
        <w:t xml:space="preserve"> </w:t>
      </w:r>
      <w:r w:rsidRPr="00981405">
        <w:t>of</w:t>
      </w:r>
      <w:r w:rsidR="00190923" w:rsidRPr="00981405">
        <w:t xml:space="preserve"> </w:t>
      </w:r>
      <w:r w:rsidRPr="00981405">
        <w:t>the</w:t>
      </w:r>
      <w:r w:rsidR="00190923" w:rsidRPr="00981405">
        <w:t xml:space="preserve"> </w:t>
      </w:r>
      <w:r w:rsidRPr="00981405">
        <w:t>global</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which</w:t>
      </w:r>
      <w:r w:rsidR="00190923" w:rsidRPr="00981405">
        <w:t xml:space="preserve"> </w:t>
      </w:r>
      <w:r w:rsidRPr="00981405">
        <w:t>is</w:t>
      </w:r>
      <w:r w:rsidR="00190923" w:rsidRPr="00981405">
        <w:t xml:space="preserve"> </w:t>
      </w:r>
      <w:r w:rsidRPr="00981405">
        <w:t>in</w:t>
      </w:r>
      <w:r w:rsidR="00190923" w:rsidRPr="00981405">
        <w:t xml:space="preserve"> </w:t>
      </w:r>
      <w:r w:rsidRPr="00981405">
        <w:t>addition</w:t>
      </w:r>
      <w:r w:rsidR="00190923" w:rsidRPr="00981405">
        <w:t xml:space="preserve"> </w:t>
      </w:r>
      <w:r w:rsidRPr="00981405">
        <w:t>to</w:t>
      </w:r>
      <w:r w:rsidR="00190923" w:rsidRPr="00981405">
        <w:t xml:space="preserve"> </w:t>
      </w:r>
      <w:r w:rsidRPr="00981405">
        <w:t>natural</w:t>
      </w:r>
      <w:r w:rsidR="00190923" w:rsidRPr="00981405">
        <w:t xml:space="preserve"> </w:t>
      </w:r>
      <w:r w:rsidRPr="00981405">
        <w:t>climate</w:t>
      </w:r>
      <w:r w:rsidR="00190923" w:rsidRPr="00981405">
        <w:t xml:space="preserve"> </w:t>
      </w:r>
      <w:r w:rsidRPr="00981405">
        <w:t>variability</w:t>
      </w:r>
      <w:r w:rsidR="00190923" w:rsidRPr="00981405">
        <w:t xml:space="preserve"> </w:t>
      </w:r>
      <w:r w:rsidRPr="00981405">
        <w:t>observed</w:t>
      </w:r>
      <w:r w:rsidR="00190923" w:rsidRPr="00981405">
        <w:t xml:space="preserve"> </w:t>
      </w:r>
      <w:r w:rsidRPr="00981405">
        <w:t>over</w:t>
      </w:r>
      <w:r w:rsidR="00190923" w:rsidRPr="00981405">
        <w:t xml:space="preserve"> </w:t>
      </w:r>
      <w:r w:rsidRPr="00981405">
        <w:t>comparable</w:t>
      </w:r>
      <w:r w:rsidR="00190923" w:rsidRPr="00981405">
        <w:t xml:space="preserve"> </w:t>
      </w:r>
      <w:r w:rsidRPr="00981405">
        <w:t>time</w:t>
      </w:r>
      <w:r w:rsidR="00190923" w:rsidRPr="00981405">
        <w:t xml:space="preserve"> </w:t>
      </w:r>
      <w:r w:rsidRPr="00981405">
        <w:t>periods.</w:t>
      </w:r>
      <w:r w:rsidR="00B92E2C" w:rsidRPr="00981405">
        <w:t>”</w:t>
      </w:r>
      <w:r w:rsidR="00190923" w:rsidRPr="00981405">
        <w:t xml:space="preserve"> </w:t>
      </w:r>
    </w:p>
    <w:p w:rsidR="00397032" w:rsidRPr="00981405" w:rsidRDefault="00397032" w:rsidP="00D97463">
      <w:pPr>
        <w:pStyle w:val="SingleTxt"/>
      </w:pPr>
      <w:r w:rsidRPr="00981405">
        <w:t>(12)</w:t>
      </w:r>
      <w:r w:rsidRPr="00981405">
        <w:tab/>
        <w:t>The</w:t>
      </w:r>
      <w:r w:rsidR="00190923" w:rsidRPr="00981405">
        <w:t xml:space="preserve"> </w:t>
      </w:r>
      <w:r w:rsidRPr="00981405">
        <w:t>term</w:t>
      </w:r>
      <w:r w:rsidR="00190923" w:rsidRPr="00981405">
        <w:t xml:space="preserve"> </w:t>
      </w:r>
      <w:r w:rsidR="00B92E2C" w:rsidRPr="00981405">
        <w:t>“</w:t>
      </w:r>
      <w:r w:rsidRPr="00981405">
        <w:t>significant</w:t>
      </w:r>
      <w:r w:rsidR="00190923" w:rsidRPr="00981405">
        <w:t xml:space="preserve"> </w:t>
      </w:r>
      <w:r w:rsidRPr="00981405">
        <w:t>deleterious</w:t>
      </w:r>
      <w:r w:rsidR="00190923" w:rsidRPr="00981405">
        <w:t xml:space="preserve"> </w:t>
      </w:r>
      <w:r w:rsidRPr="00981405">
        <w:t>effects</w:t>
      </w:r>
      <w:r w:rsidR="00B92E2C" w:rsidRPr="00981405">
        <w:t>”</w:t>
      </w:r>
      <w:r w:rsidR="00190923" w:rsidRPr="00981405">
        <w:t xml:space="preserve"> </w:t>
      </w:r>
      <w:r w:rsidRPr="00981405">
        <w:t>is</w:t>
      </w:r>
      <w:r w:rsidR="00190923" w:rsidRPr="00981405">
        <w:t xml:space="preserve"> </w:t>
      </w:r>
      <w:r w:rsidRPr="00981405">
        <w:t>intended</w:t>
      </w:r>
      <w:r w:rsidR="00190923" w:rsidRPr="00981405">
        <w:t xml:space="preserve"> </w:t>
      </w:r>
      <w:r w:rsidRPr="00981405">
        <w:t>to</w:t>
      </w:r>
      <w:r w:rsidR="00190923" w:rsidRPr="00981405">
        <w:t xml:space="preserve"> </w:t>
      </w:r>
      <w:r w:rsidRPr="00981405">
        <w:t>qualify</w:t>
      </w:r>
      <w:r w:rsidR="00190923" w:rsidRPr="00981405">
        <w:t xml:space="preserve"> </w:t>
      </w:r>
      <w:r w:rsidRPr="00981405">
        <w:t>the</w:t>
      </w:r>
      <w:r w:rsidR="00190923" w:rsidRPr="00981405">
        <w:t xml:space="preserve"> </w:t>
      </w:r>
      <w:r w:rsidRPr="00981405">
        <w:t>range</w:t>
      </w:r>
      <w:r w:rsidR="00190923" w:rsidRPr="00981405">
        <w:t xml:space="preserve"> </w:t>
      </w:r>
      <w:r w:rsidRPr="00981405">
        <w:t>of</w:t>
      </w:r>
      <w:r w:rsidR="00190923" w:rsidRPr="00981405">
        <w:t xml:space="preserve"> </w:t>
      </w:r>
      <w:r w:rsidRPr="00981405">
        <w:t>human</w:t>
      </w:r>
      <w:r w:rsidR="00190923" w:rsidRPr="00981405">
        <w:t xml:space="preserve"> </w:t>
      </w:r>
      <w:r w:rsidRPr="00981405">
        <w:t>activities</w:t>
      </w:r>
      <w:r w:rsidR="00190923" w:rsidRPr="00981405">
        <w:t xml:space="preserve"> </w:t>
      </w:r>
      <w:r w:rsidRPr="00981405">
        <w:t>to</w:t>
      </w:r>
      <w:r w:rsidR="00190923" w:rsidRPr="00981405">
        <w:t xml:space="preserve"> </w:t>
      </w:r>
      <w:r w:rsidRPr="00981405">
        <w:t>be</w:t>
      </w:r>
      <w:r w:rsidR="00190923" w:rsidRPr="00981405">
        <w:t xml:space="preserve"> </w:t>
      </w:r>
      <w:r w:rsidRPr="00981405">
        <w:t>covered</w:t>
      </w:r>
      <w:r w:rsidR="00190923" w:rsidRPr="00981405">
        <w:t xml:space="preserve"> </w:t>
      </w:r>
      <w:r w:rsidRPr="00981405">
        <w:t>by</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frequently</w:t>
      </w:r>
      <w:r w:rsidR="00190923" w:rsidRPr="00981405">
        <w:t xml:space="preserve"> </w:t>
      </w:r>
      <w:r w:rsidRPr="00981405">
        <w:t>employed</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significant</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previous</w:t>
      </w:r>
      <w:r w:rsidR="00190923" w:rsidRPr="00981405">
        <w:t xml:space="preserve"> </w:t>
      </w:r>
      <w:r w:rsidRPr="00981405">
        <w:t>work.</w:t>
      </w:r>
      <w:r w:rsidRPr="00981405">
        <w:rPr>
          <w:rStyle w:val="FootnoteReference"/>
        </w:rPr>
        <w:footnoteReference w:id="45"/>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stated</w:t>
      </w:r>
      <w:r w:rsidR="00190923" w:rsidRPr="00981405">
        <w:t xml:space="preserve"> </w:t>
      </w:r>
      <w:r w:rsidRPr="00981405">
        <w:t>that</w:t>
      </w:r>
      <w:r w:rsidR="00190923" w:rsidRPr="00981405">
        <w:t xml:space="preserve"> </w:t>
      </w:r>
      <w:r w:rsidR="00B92E2C" w:rsidRPr="00981405">
        <w:t>“</w:t>
      </w:r>
      <w:r w:rsidRPr="00981405">
        <w:t>…</w:t>
      </w:r>
      <w:r w:rsidR="00190923" w:rsidRPr="00981405">
        <w:t xml:space="preserve"> </w:t>
      </w:r>
      <w:r w:rsidRPr="00D97463">
        <w:rPr>
          <w:i/>
          <w:iCs/>
        </w:rPr>
        <w:t>significant</w:t>
      </w:r>
      <w:r w:rsidR="00190923" w:rsidRPr="00981405">
        <w:rPr>
          <w:i/>
          <w:iCs/>
        </w:rPr>
        <w:t xml:space="preserve"> </w:t>
      </w:r>
      <w:r w:rsidRPr="00D97463">
        <w:rPr>
          <w:i/>
          <w:iCs/>
        </w:rPr>
        <w:t>is</w:t>
      </w:r>
      <w:r w:rsidR="00190923" w:rsidRPr="00981405">
        <w:rPr>
          <w:i/>
          <w:iCs/>
        </w:rPr>
        <w:t xml:space="preserve"> </w:t>
      </w:r>
      <w:r w:rsidRPr="00D97463">
        <w:rPr>
          <w:i/>
          <w:iCs/>
        </w:rPr>
        <w:t>something</w:t>
      </w:r>
      <w:r w:rsidR="00190923" w:rsidRPr="00981405">
        <w:rPr>
          <w:i/>
          <w:iCs/>
        </w:rPr>
        <w:t xml:space="preserve"> </w:t>
      </w:r>
      <w:r w:rsidRPr="00D97463">
        <w:rPr>
          <w:i/>
          <w:iCs/>
        </w:rPr>
        <w:t>more</w:t>
      </w:r>
      <w:r w:rsidR="00190923" w:rsidRPr="00981405">
        <w:rPr>
          <w:i/>
          <w:iCs/>
        </w:rPr>
        <w:t xml:space="preserve"> </w:t>
      </w:r>
      <w:r w:rsidRPr="00D97463">
        <w:rPr>
          <w:i/>
          <w:iCs/>
        </w:rPr>
        <w:t>than</w:t>
      </w:r>
      <w:r w:rsidR="00190923" w:rsidRPr="00981405">
        <w:rPr>
          <w:i/>
          <w:iCs/>
        </w:rPr>
        <w:t xml:space="preserve"> </w:t>
      </w:r>
      <w:r w:rsidR="00B92E2C" w:rsidRPr="00981405">
        <w:rPr>
          <w:i/>
          <w:iCs/>
        </w:rPr>
        <w:t>‘</w:t>
      </w:r>
      <w:r w:rsidRPr="00D97463">
        <w:rPr>
          <w:i/>
          <w:iCs/>
        </w:rPr>
        <w:t>detectable</w:t>
      </w:r>
      <w:r w:rsidR="00B92E2C" w:rsidRPr="00981405">
        <w:rPr>
          <w:i/>
          <w:iCs/>
        </w:rPr>
        <w:t>’</w:t>
      </w:r>
      <w:r w:rsidR="00190923" w:rsidRPr="00981405">
        <w:rPr>
          <w:i/>
          <w:iCs/>
        </w:rPr>
        <w:t xml:space="preserve"> </w:t>
      </w:r>
      <w:r w:rsidRPr="00D97463">
        <w:rPr>
          <w:i/>
          <w:iCs/>
        </w:rPr>
        <w:t>but</w:t>
      </w:r>
      <w:r w:rsidR="00190923" w:rsidRPr="00981405">
        <w:rPr>
          <w:i/>
          <w:iCs/>
        </w:rPr>
        <w:t xml:space="preserve"> </w:t>
      </w:r>
      <w:r w:rsidRPr="00D97463">
        <w:rPr>
          <w:i/>
          <w:iCs/>
        </w:rPr>
        <w:t>need</w:t>
      </w:r>
      <w:r w:rsidR="00190923" w:rsidRPr="00981405">
        <w:rPr>
          <w:i/>
          <w:iCs/>
        </w:rPr>
        <w:t xml:space="preserve"> </w:t>
      </w:r>
      <w:r w:rsidRPr="00D97463">
        <w:rPr>
          <w:i/>
          <w:iCs/>
        </w:rPr>
        <w:t>not</w:t>
      </w:r>
      <w:r w:rsidR="00190923" w:rsidRPr="00981405">
        <w:rPr>
          <w:i/>
          <w:iCs/>
        </w:rPr>
        <w:t xml:space="preserve"> </w:t>
      </w:r>
      <w:r w:rsidRPr="00D97463">
        <w:rPr>
          <w:i/>
          <w:iCs/>
        </w:rPr>
        <w:t>be</w:t>
      </w:r>
      <w:r w:rsidR="00190923" w:rsidRPr="00981405">
        <w:rPr>
          <w:i/>
          <w:iCs/>
        </w:rPr>
        <w:t xml:space="preserve"> </w:t>
      </w:r>
      <w:r w:rsidRPr="00D97463">
        <w:rPr>
          <w:i/>
          <w:iCs/>
        </w:rPr>
        <w:t>at</w:t>
      </w:r>
      <w:r w:rsidR="00190923" w:rsidRPr="00981405">
        <w:rPr>
          <w:i/>
          <w:iCs/>
        </w:rPr>
        <w:t xml:space="preserve"> </w:t>
      </w:r>
      <w:r w:rsidRPr="00D97463">
        <w:rPr>
          <w:i/>
          <w:iCs/>
        </w:rPr>
        <w:t>the</w:t>
      </w:r>
      <w:r w:rsidR="00190923" w:rsidRPr="00981405">
        <w:rPr>
          <w:i/>
          <w:iCs/>
        </w:rPr>
        <w:t xml:space="preserve"> </w:t>
      </w:r>
      <w:r w:rsidRPr="00D97463">
        <w:rPr>
          <w:i/>
          <w:iCs/>
        </w:rPr>
        <w:t>level</w:t>
      </w:r>
      <w:r w:rsidR="00190923" w:rsidRPr="00981405">
        <w:rPr>
          <w:i/>
          <w:iCs/>
        </w:rPr>
        <w:t xml:space="preserve"> </w:t>
      </w:r>
      <w:r w:rsidRPr="00D97463">
        <w:rPr>
          <w:i/>
          <w:iCs/>
        </w:rPr>
        <w:t>of</w:t>
      </w:r>
      <w:r w:rsidR="00190923" w:rsidRPr="00981405">
        <w:rPr>
          <w:i/>
          <w:iCs/>
        </w:rPr>
        <w:t xml:space="preserve"> </w:t>
      </w:r>
      <w:r w:rsidR="00B92E2C" w:rsidRPr="00981405">
        <w:rPr>
          <w:i/>
          <w:iCs/>
        </w:rPr>
        <w:t>‘</w:t>
      </w:r>
      <w:r w:rsidRPr="00D97463">
        <w:rPr>
          <w:i/>
          <w:iCs/>
        </w:rPr>
        <w:t>serious</w:t>
      </w:r>
      <w:r w:rsidR="00B92E2C" w:rsidRPr="00981405">
        <w:rPr>
          <w:i/>
          <w:iCs/>
        </w:rPr>
        <w:t>’</w:t>
      </w:r>
      <w:r w:rsidR="00190923" w:rsidRPr="00981405">
        <w:rPr>
          <w:i/>
          <w:iCs/>
        </w:rPr>
        <w:t xml:space="preserve"> </w:t>
      </w:r>
      <w:r w:rsidRPr="00D97463">
        <w:rPr>
          <w:i/>
          <w:iCs/>
        </w:rPr>
        <w:t>or</w:t>
      </w:r>
      <w:r w:rsidR="00190923" w:rsidRPr="00981405">
        <w:rPr>
          <w:i/>
          <w:iCs/>
        </w:rPr>
        <w:t xml:space="preserve"> </w:t>
      </w:r>
      <w:r w:rsidR="00B92E2C" w:rsidRPr="00981405">
        <w:rPr>
          <w:i/>
          <w:iCs/>
        </w:rPr>
        <w:t>‘</w:t>
      </w:r>
      <w:r w:rsidRPr="00D97463">
        <w:rPr>
          <w:i/>
          <w:iCs/>
        </w:rPr>
        <w:t>substantial</w:t>
      </w:r>
      <w:r w:rsidR="00B92E2C" w:rsidRPr="00981405">
        <w:rPr>
          <w:i/>
          <w:iCs/>
        </w:rPr>
        <w:t>’</w:t>
      </w:r>
      <w:r w:rsidRPr="00981405">
        <w:t>.</w:t>
      </w:r>
      <w:r w:rsidR="00190923" w:rsidRPr="00981405">
        <w:t xml:space="preserve"> </w:t>
      </w:r>
      <w:r w:rsidRPr="00981405">
        <w:t>The</w:t>
      </w:r>
      <w:r w:rsidR="00190923" w:rsidRPr="00981405">
        <w:t xml:space="preserve"> </w:t>
      </w:r>
      <w:r w:rsidRPr="00981405">
        <w:t>harm</w:t>
      </w:r>
      <w:r w:rsidR="00190923" w:rsidRPr="00981405">
        <w:t xml:space="preserve"> </w:t>
      </w:r>
      <w:r w:rsidRPr="00981405">
        <w:t>must</w:t>
      </w:r>
      <w:r w:rsidR="00190923" w:rsidRPr="00981405">
        <w:t xml:space="preserve"> </w:t>
      </w:r>
      <w:r w:rsidRPr="00981405">
        <w:t>lead</w:t>
      </w:r>
      <w:r w:rsidR="00190923" w:rsidRPr="00981405">
        <w:t xml:space="preserve"> </w:t>
      </w:r>
      <w:r w:rsidRPr="00981405">
        <w:t>to</w:t>
      </w:r>
      <w:r w:rsidR="00190923" w:rsidRPr="00981405">
        <w:t xml:space="preserve"> </w:t>
      </w:r>
      <w:r w:rsidRPr="00981405">
        <w:t>real</w:t>
      </w:r>
      <w:r w:rsidR="00190923" w:rsidRPr="00981405">
        <w:t xml:space="preserve"> </w:t>
      </w:r>
      <w:r w:rsidRPr="00981405">
        <w:t>detrimental</w:t>
      </w:r>
      <w:r w:rsidR="00190923" w:rsidRPr="00981405">
        <w:t xml:space="preserve"> </w:t>
      </w:r>
      <w:r w:rsidRPr="00981405">
        <w:t>effects</w:t>
      </w:r>
      <w:r w:rsidR="00190923" w:rsidRPr="00981405">
        <w:t xml:space="preserve"> </w:t>
      </w:r>
      <w:r w:rsidRPr="00981405">
        <w:t>[and]…</w:t>
      </w:r>
      <w:r w:rsidR="00190923" w:rsidRPr="00981405">
        <w:t xml:space="preserve"> </w:t>
      </w:r>
      <w:r w:rsidRPr="00981405">
        <w:t>such</w:t>
      </w:r>
      <w:r w:rsidR="00190923" w:rsidRPr="00981405">
        <w:t xml:space="preserve"> </w:t>
      </w:r>
      <w:r w:rsidRPr="00981405">
        <w:t>detrimental</w:t>
      </w:r>
      <w:r w:rsidR="00190923" w:rsidRPr="00981405">
        <w:t xml:space="preserve"> </w:t>
      </w:r>
      <w:r w:rsidRPr="00981405">
        <w:t>effects</w:t>
      </w:r>
      <w:r w:rsidR="00190923" w:rsidRPr="00981405">
        <w:t xml:space="preserve"> </w:t>
      </w:r>
      <w:r w:rsidRPr="00981405">
        <w:t>must</w:t>
      </w:r>
      <w:r w:rsidR="00190923" w:rsidRPr="00981405">
        <w:t xml:space="preserve"> </w:t>
      </w:r>
      <w:r w:rsidRPr="00981405">
        <w:t>be</w:t>
      </w:r>
      <w:r w:rsidR="00190923" w:rsidRPr="00981405">
        <w:t xml:space="preserve"> </w:t>
      </w:r>
      <w:r w:rsidRPr="00981405">
        <w:t>able</w:t>
      </w:r>
      <w:r w:rsidR="00190923" w:rsidRPr="00981405">
        <w:t xml:space="preserve"> </w:t>
      </w:r>
      <w:r w:rsidRPr="00981405">
        <w:t>to</w:t>
      </w:r>
      <w:r w:rsidR="00190923" w:rsidRPr="00981405">
        <w:t xml:space="preserve"> </w:t>
      </w:r>
      <w:r w:rsidRPr="00981405">
        <w:t>be</w:t>
      </w:r>
      <w:r w:rsidR="00190923" w:rsidRPr="00981405">
        <w:t xml:space="preserve"> </w:t>
      </w:r>
      <w:r w:rsidRPr="00981405">
        <w:t>measured</w:t>
      </w:r>
      <w:r w:rsidR="00190923" w:rsidRPr="00981405">
        <w:t xml:space="preserve"> </w:t>
      </w:r>
      <w:r w:rsidRPr="00981405">
        <w:t>by</w:t>
      </w:r>
      <w:r w:rsidR="00190923" w:rsidRPr="00981405">
        <w:t xml:space="preserve"> </w:t>
      </w:r>
      <w:r w:rsidRPr="00981405">
        <w:t>factual</w:t>
      </w:r>
      <w:r w:rsidR="00190923" w:rsidRPr="00981405">
        <w:t xml:space="preserve"> </w:t>
      </w:r>
      <w:r w:rsidRPr="00981405">
        <w:t>and</w:t>
      </w:r>
      <w:r w:rsidR="00190923" w:rsidRPr="00981405">
        <w:t xml:space="preserve"> </w:t>
      </w:r>
      <w:r w:rsidRPr="00981405">
        <w:t>objective</w:t>
      </w:r>
      <w:r w:rsidR="00190923" w:rsidRPr="00981405">
        <w:t xml:space="preserve"> </w:t>
      </w:r>
      <w:r w:rsidRPr="00981405">
        <w:t>standards.</w:t>
      </w:r>
      <w:r w:rsidR="00B92E2C" w:rsidRPr="00981405">
        <w:t>”</w:t>
      </w:r>
      <w:r w:rsidRPr="00981405">
        <w:rPr>
          <w:rStyle w:val="FootnoteReference"/>
        </w:rPr>
        <w:footnoteReference w:id="46"/>
      </w:r>
      <w:r w:rsidR="00190923" w:rsidRPr="00981405">
        <w:t xml:space="preserve"> </w:t>
      </w:r>
      <w:r w:rsidRPr="00981405">
        <w:t>Moreover,</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significant</w:t>
      </w:r>
      <w:r w:rsidR="00B92E2C" w:rsidRPr="00981405">
        <w:t>”</w:t>
      </w:r>
      <w:r w:rsidRPr="00981405">
        <w:t>,</w:t>
      </w:r>
      <w:r w:rsidR="00190923" w:rsidRPr="00981405">
        <w:t xml:space="preserve"> </w:t>
      </w:r>
      <w:r w:rsidRPr="00981405">
        <w:t>while</w:t>
      </w:r>
      <w:r w:rsidR="00190923" w:rsidRPr="00981405">
        <w:t xml:space="preserve"> </w:t>
      </w:r>
      <w:r w:rsidRPr="00981405">
        <w:t>determined</w:t>
      </w:r>
      <w:r w:rsidR="00190923" w:rsidRPr="00981405">
        <w:t xml:space="preserve"> </w:t>
      </w:r>
      <w:r w:rsidRPr="00981405">
        <w:t>by</w:t>
      </w:r>
      <w:r w:rsidR="00190923" w:rsidRPr="00981405">
        <w:t xml:space="preserve"> </w:t>
      </w:r>
      <w:r w:rsidRPr="00981405">
        <w:t>factual</w:t>
      </w:r>
      <w:r w:rsidR="00190923" w:rsidRPr="00981405">
        <w:t xml:space="preserve"> </w:t>
      </w:r>
      <w:r w:rsidRPr="00981405">
        <w:t>and</w:t>
      </w:r>
      <w:r w:rsidR="00190923" w:rsidRPr="00981405">
        <w:t xml:space="preserve"> </w:t>
      </w:r>
      <w:r w:rsidRPr="00981405">
        <w:t>objective</w:t>
      </w:r>
      <w:r w:rsidR="00190923" w:rsidRPr="00981405">
        <w:t xml:space="preserve"> </w:t>
      </w:r>
      <w:r w:rsidRPr="00981405">
        <w:t>criteria,</w:t>
      </w:r>
      <w:r w:rsidR="00190923" w:rsidRPr="00981405">
        <w:t xml:space="preserve"> </w:t>
      </w:r>
      <w:r w:rsidRPr="00981405">
        <w:t>also</w:t>
      </w:r>
      <w:r w:rsidR="00190923" w:rsidRPr="00981405">
        <w:t xml:space="preserve"> </w:t>
      </w:r>
      <w:r w:rsidRPr="00981405">
        <w:t>involves</w:t>
      </w:r>
      <w:r w:rsidR="00190923" w:rsidRPr="00981405">
        <w:t xml:space="preserve"> </w:t>
      </w:r>
      <w:r w:rsidRPr="00981405">
        <w:t>a</w:t>
      </w:r>
      <w:r w:rsidR="00190923" w:rsidRPr="00981405">
        <w:t xml:space="preserve"> </w:t>
      </w:r>
      <w:r w:rsidRPr="00981405">
        <w:t>value</w:t>
      </w:r>
      <w:r w:rsidR="00190923" w:rsidRPr="00981405">
        <w:t xml:space="preserve"> </w:t>
      </w:r>
      <w:r w:rsidRPr="00981405">
        <w:t>determination</w:t>
      </w:r>
      <w:r w:rsidR="00190923" w:rsidRPr="00981405">
        <w:t xml:space="preserve"> </w:t>
      </w:r>
      <w:r w:rsidRPr="00981405">
        <w:t>that</w:t>
      </w:r>
      <w:r w:rsidR="00190923" w:rsidRPr="00981405">
        <w:t xml:space="preserve"> </w:t>
      </w:r>
      <w:r w:rsidRPr="00981405">
        <w:t>depends</w:t>
      </w:r>
      <w:r w:rsidR="00190923" w:rsidRPr="00981405">
        <w:t xml:space="preserve"> </w:t>
      </w:r>
      <w:r w:rsidRPr="00981405">
        <w:t>on</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case</w:t>
      </w:r>
      <w:r w:rsidR="00190923" w:rsidRPr="00981405">
        <w:t xml:space="preserve"> </w:t>
      </w:r>
      <w:r w:rsidRPr="00981405">
        <w:t>and</w:t>
      </w:r>
      <w:r w:rsidR="00190923" w:rsidRPr="00981405">
        <w:t xml:space="preserve"> </w:t>
      </w:r>
      <w:r w:rsidRPr="00981405">
        <w:t>the</w:t>
      </w:r>
      <w:r w:rsidR="00190923" w:rsidRPr="00981405">
        <w:t xml:space="preserve"> </w:t>
      </w:r>
      <w:r w:rsidRPr="00981405">
        <w:t>period</w:t>
      </w:r>
      <w:r w:rsidR="00190923" w:rsidRPr="00981405">
        <w:t xml:space="preserve"> </w:t>
      </w:r>
      <w:r w:rsidRPr="00981405">
        <w:t>in</w:t>
      </w:r>
      <w:r w:rsidR="00190923" w:rsidRPr="00981405">
        <w:t xml:space="preserve"> </w:t>
      </w:r>
      <w:r w:rsidRPr="00981405">
        <w:t>which</w:t>
      </w:r>
      <w:r w:rsidR="00190923" w:rsidRPr="00981405">
        <w:t xml:space="preserve"> </w:t>
      </w:r>
      <w:r w:rsidRPr="00981405">
        <w:t>such</w:t>
      </w:r>
      <w:r w:rsidR="00190923" w:rsidRPr="00981405">
        <w:t xml:space="preserve"> </w:t>
      </w:r>
      <w:r w:rsidRPr="00981405">
        <w:t>determination</w:t>
      </w:r>
      <w:r w:rsidR="00190923" w:rsidRPr="00981405">
        <w:t xml:space="preserve"> </w:t>
      </w:r>
      <w:r w:rsidRPr="00981405">
        <w:t>is</w:t>
      </w:r>
      <w:r w:rsidR="00190923" w:rsidRPr="00981405">
        <w:t xml:space="preserve"> </w:t>
      </w:r>
      <w:r w:rsidRPr="00981405">
        <w:t>made.</w:t>
      </w:r>
      <w:r w:rsidR="00190923" w:rsidRPr="00981405">
        <w:t xml:space="preserve"> </w:t>
      </w:r>
      <w:r w:rsidRPr="00981405">
        <w:t>For</w:t>
      </w:r>
      <w:r w:rsidR="00190923" w:rsidRPr="00981405">
        <w:t xml:space="preserve"> </w:t>
      </w:r>
      <w:r w:rsidRPr="00981405">
        <w:t>instance,</w:t>
      </w:r>
      <w:r w:rsidR="00190923" w:rsidRPr="00981405">
        <w:t xml:space="preserve"> </w:t>
      </w:r>
      <w:r w:rsidRPr="00981405">
        <w:t>a</w:t>
      </w:r>
      <w:r w:rsidR="00190923" w:rsidRPr="00981405">
        <w:t xml:space="preserve"> </w:t>
      </w:r>
      <w:r w:rsidRPr="00981405">
        <w:t>particular</w:t>
      </w:r>
      <w:r w:rsidR="00190923" w:rsidRPr="00981405">
        <w:t xml:space="preserve"> </w:t>
      </w:r>
      <w:r w:rsidRPr="00981405">
        <w:t>deprivation</w:t>
      </w:r>
      <w:r w:rsidR="00190923" w:rsidRPr="00981405">
        <w:t xml:space="preserve"> </w:t>
      </w:r>
      <w:r w:rsidRPr="00981405">
        <w:t>at</w:t>
      </w:r>
      <w:r w:rsidR="00190923" w:rsidRPr="00981405">
        <w:t xml:space="preserve"> </w:t>
      </w:r>
      <w:r w:rsidRPr="00981405">
        <w:t>a</w:t>
      </w:r>
      <w:r w:rsidR="00190923" w:rsidRPr="00981405">
        <w:t xml:space="preserve"> </w:t>
      </w:r>
      <w:r w:rsidRPr="00981405">
        <w:t>particular</w:t>
      </w:r>
      <w:r w:rsidR="00190923" w:rsidRPr="00981405">
        <w:t xml:space="preserve"> </w:t>
      </w:r>
      <w:r w:rsidRPr="00981405">
        <w:t>time</w:t>
      </w:r>
      <w:r w:rsidR="00190923" w:rsidRPr="00981405">
        <w:t xml:space="preserve"> </w:t>
      </w:r>
      <w:r w:rsidRPr="00981405">
        <w:t>might</w:t>
      </w:r>
      <w:r w:rsidR="00190923" w:rsidRPr="00981405">
        <w:t xml:space="preserve"> </w:t>
      </w:r>
      <w:r w:rsidRPr="00981405">
        <w:t>not</w:t>
      </w:r>
      <w:r w:rsidR="00190923" w:rsidRPr="00981405">
        <w:t xml:space="preserve"> </w:t>
      </w:r>
      <w:r w:rsidRPr="00981405">
        <w:t>be</w:t>
      </w:r>
      <w:r w:rsidR="00190923" w:rsidRPr="00981405">
        <w:t xml:space="preserve"> </w:t>
      </w:r>
      <w:r w:rsidRPr="00981405">
        <w:t>considered</w:t>
      </w:r>
      <w:r w:rsidR="00190923" w:rsidRPr="00981405">
        <w:t xml:space="preserve"> </w:t>
      </w:r>
      <w:r w:rsidR="00B92E2C" w:rsidRPr="00981405">
        <w:t>“</w:t>
      </w:r>
      <w:r w:rsidRPr="00981405">
        <w:t>significant</w:t>
      </w:r>
      <w:r w:rsidR="00B92E2C" w:rsidRPr="00981405">
        <w:t>”</w:t>
      </w:r>
      <w:r w:rsidR="00190923" w:rsidRPr="00981405">
        <w:t xml:space="preserve"> </w:t>
      </w:r>
      <w:r w:rsidRPr="00981405">
        <w:t>because</w:t>
      </w:r>
      <w:r w:rsidR="00190923" w:rsidRPr="00981405">
        <w:t xml:space="preserve"> </w:t>
      </w:r>
      <w:r w:rsidRPr="00981405">
        <w:t>at</w:t>
      </w:r>
      <w:r w:rsidR="00190923" w:rsidRPr="00981405">
        <w:t xml:space="preserve"> </w:t>
      </w:r>
      <w:r w:rsidRPr="00981405">
        <w:t>that</w:t>
      </w:r>
      <w:r w:rsidR="00190923" w:rsidRPr="00981405">
        <w:t xml:space="preserve"> </w:t>
      </w:r>
      <w:r w:rsidRPr="00981405">
        <w:t>time</w:t>
      </w:r>
      <w:r w:rsidR="00190923" w:rsidRPr="00981405">
        <w:t xml:space="preserve"> </w:t>
      </w:r>
      <w:r w:rsidRPr="00981405">
        <w:t>scientific</w:t>
      </w:r>
      <w:r w:rsidR="00190923" w:rsidRPr="00981405">
        <w:t xml:space="preserve"> </w:t>
      </w:r>
      <w:r w:rsidRPr="00981405">
        <w:t>knowledge</w:t>
      </w:r>
      <w:r w:rsidR="00190923" w:rsidRPr="00981405">
        <w:t xml:space="preserve"> </w:t>
      </w:r>
      <w:r w:rsidRPr="00981405">
        <w:t>or</w:t>
      </w:r>
      <w:r w:rsidR="00190923" w:rsidRPr="00981405">
        <w:t xml:space="preserve"> </w:t>
      </w:r>
      <w:r w:rsidRPr="00981405">
        <w:t>human</w:t>
      </w:r>
      <w:r w:rsidR="00190923" w:rsidRPr="00981405">
        <w:t xml:space="preserve"> </w:t>
      </w:r>
      <w:r w:rsidRPr="00981405">
        <w:t>appreciation</w:t>
      </w:r>
      <w:r w:rsidR="00190923" w:rsidRPr="00981405">
        <w:t xml:space="preserve"> </w:t>
      </w:r>
      <w:r w:rsidRPr="00981405">
        <w:t>did</w:t>
      </w:r>
      <w:r w:rsidR="00190923" w:rsidRPr="00981405">
        <w:t xml:space="preserve"> </w:t>
      </w:r>
      <w:r w:rsidRPr="00981405">
        <w:t>not</w:t>
      </w:r>
      <w:r w:rsidR="00190923" w:rsidRPr="00981405">
        <w:t xml:space="preserve"> </w:t>
      </w:r>
      <w:r w:rsidRPr="00981405">
        <w:t>assign</w:t>
      </w:r>
      <w:r w:rsidR="00190923" w:rsidRPr="00981405">
        <w:t xml:space="preserve"> </w:t>
      </w:r>
      <w:r w:rsidRPr="00981405">
        <w:t>much</w:t>
      </w:r>
      <w:r w:rsidR="00190923" w:rsidRPr="00981405">
        <w:t xml:space="preserve"> </w:t>
      </w:r>
      <w:r w:rsidRPr="00981405">
        <w:t>value</w:t>
      </w:r>
      <w:r w:rsidR="00190923" w:rsidRPr="00981405">
        <w:t xml:space="preserve"> </w:t>
      </w:r>
      <w:r w:rsidRPr="00981405">
        <w:t>to</w:t>
      </w:r>
      <w:r w:rsidR="00190923" w:rsidRPr="00981405">
        <w:t xml:space="preserve"> </w:t>
      </w:r>
      <w:r w:rsidRPr="00981405">
        <w:t>the</w:t>
      </w:r>
      <w:r w:rsidR="00190923" w:rsidRPr="00981405">
        <w:t xml:space="preserve"> </w:t>
      </w:r>
      <w:r w:rsidRPr="00981405">
        <w:t>resource.</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what</w:t>
      </w:r>
      <w:r w:rsidR="00190923" w:rsidRPr="00981405">
        <w:t xml:space="preserve"> </w:t>
      </w:r>
      <w:r w:rsidRPr="00981405">
        <w:t>constitutes</w:t>
      </w:r>
      <w:r w:rsidR="00190923" w:rsidRPr="00981405">
        <w:t xml:space="preserve"> </w:t>
      </w:r>
      <w:r w:rsidR="00B92E2C" w:rsidRPr="00981405">
        <w:t>“</w:t>
      </w:r>
      <w:r w:rsidRPr="00981405">
        <w:t>significant</w:t>
      </w:r>
      <w:r w:rsidR="00B92E2C" w:rsidRPr="00981405">
        <w:t>”</w:t>
      </w:r>
      <w:r w:rsidR="00190923" w:rsidRPr="00981405">
        <w:t xml:space="preserve"> </w:t>
      </w:r>
      <w:r w:rsidRPr="00981405">
        <w:t>is</w:t>
      </w:r>
      <w:r w:rsidR="00190923" w:rsidRPr="00981405">
        <w:t xml:space="preserve"> </w:t>
      </w:r>
      <w:r w:rsidRPr="00981405">
        <w:t>more</w:t>
      </w:r>
      <w:r w:rsidR="00190923" w:rsidRPr="00981405">
        <w:t xml:space="preserve"> </w:t>
      </w:r>
      <w:r w:rsidRPr="00981405">
        <w:t>of</w:t>
      </w:r>
      <w:r w:rsidR="00190923" w:rsidRPr="00981405">
        <w:t xml:space="preserve"> </w:t>
      </w:r>
      <w:r w:rsidRPr="00981405">
        <w:t>a</w:t>
      </w:r>
      <w:r w:rsidR="00190923" w:rsidRPr="00981405">
        <w:t xml:space="preserve"> </w:t>
      </w:r>
      <w:r w:rsidRPr="00981405">
        <w:t>factual</w:t>
      </w:r>
      <w:r w:rsidR="00190923" w:rsidRPr="00981405">
        <w:t xml:space="preserve"> </w:t>
      </w:r>
      <w:r w:rsidRPr="00981405">
        <w:t>assessment.</w:t>
      </w:r>
      <w:r w:rsidRPr="00981405">
        <w:rPr>
          <w:rStyle w:val="FootnoteReference"/>
        </w:rPr>
        <w:footnoteReference w:id="47"/>
      </w:r>
    </w:p>
    <w:p w:rsidR="00397032" w:rsidRPr="00981405" w:rsidRDefault="00397032" w:rsidP="00D97463">
      <w:pPr>
        <w:pStyle w:val="SingleTxt"/>
      </w:pPr>
      <w:r w:rsidRPr="00981405">
        <w:t>(13)</w:t>
      </w:r>
      <w:r w:rsidRPr="00981405">
        <w:tab/>
        <w:t>While</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00B92E2C" w:rsidRPr="00981405">
        <w:t>“</w:t>
      </w:r>
      <w:r w:rsidRPr="00981405">
        <w:t>atmospheric</w:t>
      </w:r>
      <w:r w:rsidR="00190923" w:rsidRPr="00981405">
        <w:t xml:space="preserve"> </w:t>
      </w:r>
      <w:r w:rsidRPr="00981405">
        <w:t>pollution</w:t>
      </w:r>
      <w:r w:rsidR="00B92E2C" w:rsidRPr="00981405">
        <w:t>”</w:t>
      </w:r>
      <w:r w:rsidR="00190923" w:rsidRPr="00981405">
        <w:t xml:space="preserve"> </w:t>
      </w:r>
      <w:r w:rsidRPr="00981405">
        <w:t>the</w:t>
      </w:r>
      <w:r w:rsidR="00190923" w:rsidRPr="00981405">
        <w:t xml:space="preserve"> </w:t>
      </w:r>
      <w:r w:rsidRPr="00981405">
        <w:t>introduction</w:t>
      </w:r>
      <w:r w:rsidR="00190923" w:rsidRPr="00981405">
        <w:t xml:space="preserve"> </w:t>
      </w:r>
      <w:r w:rsidRPr="00981405">
        <w:t>or</w:t>
      </w:r>
      <w:r w:rsidR="00190923" w:rsidRPr="00981405">
        <w:t xml:space="preserve"> </w:t>
      </w:r>
      <w:r w:rsidRPr="00981405">
        <w:t>release</w:t>
      </w:r>
      <w:r w:rsidR="00190923" w:rsidRPr="00981405">
        <w:t xml:space="preserve"> </w:t>
      </w:r>
      <w:r w:rsidRPr="00981405">
        <w:t>of</w:t>
      </w:r>
      <w:r w:rsidR="00190923" w:rsidRPr="00981405">
        <w:t xml:space="preserve"> </w:t>
      </w:r>
      <w:r w:rsidRPr="00981405">
        <w:t>substances</w:t>
      </w:r>
      <w:r w:rsidR="00190923" w:rsidRPr="00981405">
        <w:t xml:space="preserve"> </w:t>
      </w:r>
      <w:r w:rsidRPr="00981405">
        <w:t>has</w:t>
      </w:r>
      <w:r w:rsidR="00190923" w:rsidRPr="00981405">
        <w:t xml:space="preserve"> </w:t>
      </w:r>
      <w:r w:rsidRPr="00981405">
        <w:t>to</w:t>
      </w:r>
      <w:r w:rsidR="00190923" w:rsidRPr="00981405">
        <w:t xml:space="preserve"> </w:t>
      </w:r>
      <w:r w:rsidRPr="00981405">
        <w:t>contribute</w:t>
      </w:r>
      <w:r w:rsidR="00190923" w:rsidRPr="00981405">
        <w:t xml:space="preserve"> </w:t>
      </w:r>
      <w:r w:rsidRPr="00981405">
        <w:t>only</w:t>
      </w:r>
      <w:r w:rsidR="00190923" w:rsidRPr="00981405">
        <w:t xml:space="preserve"> </w:t>
      </w:r>
      <w:r w:rsidRPr="00981405">
        <w:t>to</w:t>
      </w:r>
      <w:r w:rsidR="00190923" w:rsidRPr="00981405">
        <w:t xml:space="preserve"> </w:t>
      </w:r>
      <w:r w:rsidR="00B92E2C" w:rsidRPr="00981405">
        <w:t>“</w:t>
      </w:r>
      <w:r w:rsidRPr="00981405">
        <w:t>deleterious</w:t>
      </w:r>
      <w:r w:rsidR="00B92E2C" w:rsidRPr="00981405">
        <w:t>”</w:t>
      </w:r>
      <w:r w:rsidR="00190923" w:rsidRPr="00981405">
        <w:t xml:space="preserve"> </w:t>
      </w:r>
      <w:r w:rsidRPr="00981405">
        <w:t>effects,</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00B92E2C" w:rsidRPr="00981405">
        <w:t>“</w:t>
      </w:r>
      <w:r w:rsidRPr="00981405">
        <w:t>atmospheric</w:t>
      </w:r>
      <w:r w:rsidR="00190923" w:rsidRPr="00981405">
        <w:t xml:space="preserve"> </w:t>
      </w:r>
      <w:r w:rsidRPr="00981405">
        <w:t>degradation</w:t>
      </w:r>
      <w:r w:rsidR="00B92E2C" w:rsidRPr="00981405">
        <w:t>”</w:t>
      </w:r>
      <w:r w:rsidR="00190923" w:rsidRPr="00981405">
        <w:t xml:space="preserve"> </w:t>
      </w:r>
      <w:r w:rsidRPr="00981405">
        <w:t>the</w:t>
      </w:r>
      <w:r w:rsidR="00190923" w:rsidRPr="00981405">
        <w:t xml:space="preserve"> </w:t>
      </w:r>
      <w:r w:rsidRPr="00981405">
        <w:t>alteration</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conditions</w:t>
      </w:r>
      <w:r w:rsidR="00190923" w:rsidRPr="00981405">
        <w:t xml:space="preserve"> </w:t>
      </w:r>
      <w:r w:rsidRPr="00981405">
        <w:t>must</w:t>
      </w:r>
      <w:r w:rsidR="00190923" w:rsidRPr="00981405">
        <w:t xml:space="preserve"> </w:t>
      </w:r>
      <w:r w:rsidRPr="00981405">
        <w:t>have</w:t>
      </w:r>
      <w:r w:rsidR="00190923" w:rsidRPr="00981405">
        <w:t xml:space="preserve"> </w:t>
      </w:r>
      <w:r w:rsidR="00B92E2C" w:rsidRPr="00981405">
        <w:t>“</w:t>
      </w:r>
      <w:r w:rsidRPr="00981405">
        <w:t>significant</w:t>
      </w:r>
      <w:r w:rsidR="00190923" w:rsidRPr="00981405">
        <w:t xml:space="preserve"> </w:t>
      </w:r>
      <w:r w:rsidRPr="00981405">
        <w:t>deleterious</w:t>
      </w:r>
      <w:r w:rsidR="00190923" w:rsidRPr="00981405">
        <w:t xml:space="preserve"> </w:t>
      </w:r>
      <w:r w:rsidRPr="00981405">
        <w:t>effects</w:t>
      </w:r>
      <w:r w:rsidR="00B92E2C" w:rsidRPr="00981405">
        <w:t>”</w:t>
      </w:r>
      <w:r w:rsidRPr="00981405">
        <w:t>.</w:t>
      </w:r>
      <w:r w:rsidR="00190923" w:rsidRPr="00981405">
        <w:t xml:space="preserve"> </w:t>
      </w:r>
      <w:r w:rsidRPr="00981405">
        <w:t>As</w:t>
      </w:r>
      <w:r w:rsidR="00190923" w:rsidRPr="00981405">
        <w:t xml:space="preserve"> </w:t>
      </w:r>
      <w:r w:rsidRPr="00981405">
        <w:t>is</w:t>
      </w:r>
      <w:r w:rsidR="00190923" w:rsidRPr="00981405">
        <w:t xml:space="preserve"> </w:t>
      </w:r>
      <w:r w:rsidRPr="00981405">
        <w:t>evident</w:t>
      </w:r>
      <w:r w:rsidR="00190923" w:rsidRPr="00981405">
        <w:t xml:space="preserve"> </w:t>
      </w:r>
      <w:r w:rsidRPr="00981405">
        <w:t>from</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2,</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lastRenderedPageBreak/>
        <w:t>guidelines,</w:t>
      </w:r>
      <w:r w:rsidR="00190923" w:rsidRPr="00981405">
        <w:t xml:space="preserve"> </w:t>
      </w:r>
      <w:r w:rsidRPr="00981405">
        <w:t>the</w:t>
      </w:r>
      <w:r w:rsidR="00190923" w:rsidRPr="00981405">
        <w:t xml:space="preserve"> </w:t>
      </w:r>
      <w:r w:rsidRPr="00981405">
        <w:t>present</w:t>
      </w:r>
      <w:r w:rsidR="00190923" w:rsidRPr="00981405">
        <w:t xml:space="preserve"> </w:t>
      </w:r>
      <w:r w:rsidRPr="00981405">
        <w:t>guidelines</w:t>
      </w:r>
      <w:r w:rsidR="00190923" w:rsidRPr="00981405">
        <w:t xml:space="preserve"> </w:t>
      </w:r>
      <w:r w:rsidRPr="00981405">
        <w:t>are</w:t>
      </w:r>
      <w:r w:rsidR="00190923" w:rsidRPr="00981405">
        <w:t xml:space="preserve"> </w:t>
      </w:r>
      <w:r w:rsidRPr="00981405">
        <w:t>concerned</w:t>
      </w:r>
      <w:r w:rsidR="00190923" w:rsidRPr="00981405">
        <w:t xml:space="preserve"> </w:t>
      </w:r>
      <w:r w:rsidRPr="00981405">
        <w:t>with</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both</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As</w:t>
      </w:r>
      <w:r w:rsidR="00190923" w:rsidRPr="00981405">
        <w:t xml:space="preserve"> </w:t>
      </w:r>
      <w:r w:rsidRPr="00981405">
        <w:t>noted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(11)</w:t>
      </w:r>
      <w:r w:rsidR="00190923" w:rsidRPr="00981405">
        <w:t xml:space="preserve"> </w:t>
      </w:r>
      <w:r w:rsidRPr="00981405">
        <w:t>above,</w:t>
      </w:r>
      <w:r w:rsidR="00190923" w:rsidRPr="00981405">
        <w:t xml:space="preserve"> </w:t>
      </w:r>
      <w:r w:rsidR="00B92E2C" w:rsidRPr="00981405">
        <w:t>“</w:t>
      </w:r>
      <w:r w:rsidRPr="00981405">
        <w:t>adverse</w:t>
      </w:r>
      <w:r w:rsidR="00190923" w:rsidRPr="00981405">
        <w:t xml:space="preserve"> </w:t>
      </w:r>
      <w:r w:rsidRPr="00981405">
        <w:t>effects</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Ozone</w:t>
      </w:r>
      <w:r w:rsidR="00190923" w:rsidRPr="00981405">
        <w:t xml:space="preserve"> </w:t>
      </w:r>
      <w:r w:rsidRPr="00981405">
        <w:t>Layer</w:t>
      </w:r>
      <w:r w:rsidRPr="00981405">
        <w:rPr>
          <w:rStyle w:val="FootnoteReference"/>
        </w:rPr>
        <w:footnoteReference w:id="48"/>
      </w:r>
      <w:r w:rsidR="00190923" w:rsidRPr="00981405">
        <w:t xml:space="preserve"> </w:t>
      </w:r>
      <w:r w:rsidRPr="00981405">
        <w:t>refers</w:t>
      </w:r>
      <w:r w:rsidR="00190923" w:rsidRPr="00981405">
        <w:t xml:space="preserve"> </w:t>
      </w:r>
      <w:r w:rsidRPr="00981405">
        <w:t>to</w:t>
      </w:r>
      <w:r w:rsidR="00190923" w:rsidRPr="00981405">
        <w:t xml:space="preserve"> </w:t>
      </w:r>
      <w:r w:rsidRPr="00981405">
        <w:t>changes,</w:t>
      </w:r>
      <w:r w:rsidR="00190923" w:rsidRPr="00981405">
        <w:t xml:space="preserve"> </w:t>
      </w:r>
      <w:r w:rsidRPr="00981405">
        <w:t>which</w:t>
      </w:r>
      <w:r w:rsidR="00190923" w:rsidRPr="00981405">
        <w:t xml:space="preserve"> </w:t>
      </w:r>
      <w:r w:rsidRPr="00981405">
        <w:t>have</w:t>
      </w:r>
      <w:r w:rsidR="00190923" w:rsidRPr="00981405">
        <w:t xml:space="preserve"> </w:t>
      </w:r>
      <w:r w:rsidRPr="00981405">
        <w:t>significant</w:t>
      </w:r>
      <w:r w:rsidR="00190923" w:rsidRPr="00981405">
        <w:t xml:space="preserve"> </w:t>
      </w:r>
      <w:r w:rsidRPr="00981405">
        <w:t>deleterious</w:t>
      </w:r>
      <w:r w:rsidR="00190923" w:rsidRPr="00981405">
        <w:t xml:space="preserve"> </w:t>
      </w:r>
      <w:r w:rsidRPr="00981405">
        <w:t>effects.</w:t>
      </w:r>
      <w:r w:rsidR="00190923" w:rsidRPr="00981405">
        <w:t xml:space="preserve"> </w:t>
      </w:r>
      <w:r w:rsidRPr="00981405">
        <w:t>The</w:t>
      </w:r>
      <w:r w:rsidR="00190923" w:rsidRPr="00981405">
        <w:t xml:space="preserve"> </w:t>
      </w:r>
      <w:r w:rsidRPr="00981405">
        <w:t>word</w:t>
      </w:r>
      <w:r w:rsidR="00190923" w:rsidRPr="00981405">
        <w:t xml:space="preserve"> </w:t>
      </w:r>
      <w:r w:rsidR="00B92E2C" w:rsidRPr="00981405">
        <w:t>“</w:t>
      </w:r>
      <w:r w:rsidRPr="00981405">
        <w:t>deleterious</w:t>
      </w:r>
      <w:r w:rsidR="00B92E2C" w:rsidRPr="00981405">
        <w:t>”</w:t>
      </w:r>
      <w:r w:rsidR="00190923" w:rsidRPr="00981405">
        <w:t xml:space="preserve"> </w:t>
      </w:r>
      <w:r w:rsidRPr="00981405">
        <w:t>refers</w:t>
      </w:r>
      <w:r w:rsidR="00190923" w:rsidRPr="00981405">
        <w:t xml:space="preserve"> </w:t>
      </w:r>
      <w:r w:rsidRPr="00981405">
        <w:t>to</w:t>
      </w:r>
      <w:r w:rsidR="00190923" w:rsidRPr="00981405">
        <w:t xml:space="preserve"> </w:t>
      </w:r>
      <w:r w:rsidRPr="00981405">
        <w:t>something</w:t>
      </w:r>
      <w:r w:rsidR="00190923" w:rsidRPr="00981405">
        <w:t xml:space="preserve"> </w:t>
      </w:r>
      <w:r w:rsidRPr="00981405">
        <w:t>harmful,</w:t>
      </w:r>
      <w:r w:rsidR="00190923" w:rsidRPr="00981405">
        <w:t xml:space="preserve"> </w:t>
      </w:r>
      <w:r w:rsidRPr="00981405">
        <w:t>often</w:t>
      </w:r>
      <w:r w:rsidR="00190923" w:rsidRPr="00981405">
        <w:t xml:space="preserve"> </w:t>
      </w:r>
      <w:r w:rsidRPr="00981405">
        <w:t>in</w:t>
      </w:r>
      <w:r w:rsidR="00190923" w:rsidRPr="00981405">
        <w:t xml:space="preserve"> </w:t>
      </w:r>
      <w:r w:rsidRPr="00981405">
        <w:t>a</w:t>
      </w:r>
      <w:r w:rsidR="00190923" w:rsidRPr="00981405">
        <w:t xml:space="preserve"> </w:t>
      </w:r>
      <w:r w:rsidRPr="00981405">
        <w:t>subtle</w:t>
      </w:r>
      <w:r w:rsidR="00190923" w:rsidRPr="00981405">
        <w:t xml:space="preserve"> </w:t>
      </w:r>
      <w:r w:rsidRPr="00981405">
        <w:t>or</w:t>
      </w:r>
      <w:r w:rsidR="00190923" w:rsidRPr="00981405">
        <w:t xml:space="preserve"> </w:t>
      </w:r>
      <w:r w:rsidRPr="00981405">
        <w:t>unexpected</w:t>
      </w:r>
      <w:r w:rsidR="00190923" w:rsidRPr="00981405">
        <w:t xml:space="preserve"> </w:t>
      </w:r>
      <w:r w:rsidRPr="00981405">
        <w:t>way.</w:t>
      </w:r>
      <w:r w:rsidR="00B92E2C" w:rsidRPr="00981405">
        <w:t xml:space="preserve"> </w:t>
      </w:r>
    </w:p>
    <w:p w:rsidR="00397032" w:rsidRPr="00D97463" w:rsidRDefault="00397032" w:rsidP="00D97463">
      <w:pPr>
        <w:pStyle w:val="SingleTxt"/>
        <w:ind w:left="1742"/>
        <w:jc w:val="left"/>
        <w:rPr>
          <w:b/>
          <w:bCs/>
        </w:rPr>
      </w:pPr>
      <w:bookmarkStart w:id="31" w:name="_Toc427938092"/>
      <w:r w:rsidRPr="00D97463">
        <w:rPr>
          <w:b/>
          <w:bCs/>
        </w:rPr>
        <w:t>Guideline</w:t>
      </w:r>
      <w:r w:rsidR="00190923" w:rsidRPr="00981405">
        <w:rPr>
          <w:b/>
          <w:bCs/>
        </w:rPr>
        <w:t xml:space="preserve"> </w:t>
      </w:r>
      <w:r w:rsidRPr="00D97463">
        <w:rPr>
          <w:b/>
          <w:bCs/>
        </w:rPr>
        <w:t>2</w:t>
      </w:r>
      <w:r w:rsidRPr="00D97463">
        <w:rPr>
          <w:b/>
          <w:bCs/>
        </w:rPr>
        <w:br/>
        <w:t>Scope</w:t>
      </w:r>
      <w:r w:rsidR="00190923" w:rsidRPr="00981405">
        <w:rPr>
          <w:b/>
          <w:bCs/>
        </w:rPr>
        <w:t xml:space="preserve"> </w:t>
      </w:r>
      <w:r w:rsidRPr="00D97463">
        <w:rPr>
          <w:b/>
          <w:bCs/>
        </w:rPr>
        <w:t>of</w:t>
      </w:r>
      <w:r w:rsidR="00190923" w:rsidRPr="00981405">
        <w:rPr>
          <w:b/>
          <w:bCs/>
        </w:rPr>
        <w:t xml:space="preserve"> </w:t>
      </w:r>
      <w:r w:rsidRPr="00D97463">
        <w:rPr>
          <w:b/>
          <w:bCs/>
        </w:rPr>
        <w:t>the</w:t>
      </w:r>
      <w:r w:rsidR="00190923" w:rsidRPr="00981405">
        <w:rPr>
          <w:b/>
          <w:bCs/>
        </w:rPr>
        <w:t xml:space="preserve"> </w:t>
      </w:r>
      <w:r w:rsidRPr="00D97463">
        <w:rPr>
          <w:b/>
          <w:bCs/>
        </w:rPr>
        <w:t>guidelines</w:t>
      </w:r>
      <w:bookmarkEnd w:id="31"/>
    </w:p>
    <w:p w:rsidR="00397032" w:rsidRPr="00981405" w:rsidRDefault="00397032" w:rsidP="00D97463">
      <w:pPr>
        <w:pStyle w:val="SingleTxt"/>
        <w:ind w:left="1742"/>
      </w:pPr>
      <w:r w:rsidRPr="00981405">
        <w:t>1.</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[contain</w:t>
      </w:r>
      <w:r w:rsidR="00190923" w:rsidRPr="00981405">
        <w:t xml:space="preserve"> </w:t>
      </w:r>
      <w:r w:rsidRPr="00981405">
        <w:t>guiding</w:t>
      </w:r>
      <w:r w:rsidR="00190923" w:rsidRPr="00981405">
        <w:t xml:space="preserve"> </w:t>
      </w:r>
      <w:r w:rsidRPr="00981405">
        <w:t>principles</w:t>
      </w:r>
      <w:r w:rsidR="00190923" w:rsidRPr="00981405">
        <w:t xml:space="preserve"> </w:t>
      </w:r>
      <w:r w:rsidRPr="00981405">
        <w:t>relating</w:t>
      </w:r>
      <w:r w:rsidR="00190923" w:rsidRPr="00981405">
        <w:t xml:space="preserve"> </w:t>
      </w:r>
      <w:r w:rsidRPr="00981405">
        <w:t>to]</w:t>
      </w:r>
      <w:r w:rsidR="00190923" w:rsidRPr="00981405">
        <w:t xml:space="preserve"> </w:t>
      </w:r>
      <w:r w:rsidRPr="00981405">
        <w:t>[deal</w:t>
      </w:r>
      <w:r w:rsidR="00190923" w:rsidRPr="00981405">
        <w:t xml:space="preserve"> </w:t>
      </w:r>
      <w:r w:rsidRPr="00981405">
        <w:t>with]</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p>
    <w:p w:rsidR="00397032" w:rsidRPr="00981405" w:rsidRDefault="00397032" w:rsidP="00D97463">
      <w:pPr>
        <w:pStyle w:val="SingleTxt"/>
        <w:ind w:left="1742"/>
      </w:pPr>
      <w:r w:rsidRPr="00981405">
        <w:t>2.</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do</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but</w:t>
      </w:r>
      <w:r w:rsidR="00190923" w:rsidRPr="00981405">
        <w:t xml:space="preserve"> </w:t>
      </w:r>
      <w:r w:rsidRPr="00981405">
        <w:t>are</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questions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polluter-pays-principle,</w:t>
      </w:r>
      <w:r w:rsidR="00190923" w:rsidRPr="00981405">
        <w:t xml:space="preserve"> </w:t>
      </w:r>
      <w:r w:rsidRPr="00981405">
        <w:t>the</w:t>
      </w:r>
      <w:r w:rsidR="00190923" w:rsidRPr="00981405">
        <w:t xml:space="preserve"> </w:t>
      </w:r>
      <w:r w:rsidRPr="00981405">
        <w:t>precautionary</w:t>
      </w:r>
      <w:r w:rsidR="00190923" w:rsidRPr="00981405">
        <w:t xml:space="preserve"> </w:t>
      </w:r>
      <w:r w:rsidRPr="00981405">
        <w:t>principle,</w:t>
      </w:r>
      <w:r w:rsidR="00190923" w:rsidRPr="00981405">
        <w:t xml:space="preserve"> </w:t>
      </w:r>
      <w:r w:rsidRPr="00981405">
        <w:t>common</w:t>
      </w:r>
      <w:r w:rsidR="00190923" w:rsidRPr="00981405">
        <w:t xml:space="preserve"> </w:t>
      </w:r>
      <w:r w:rsidRPr="00981405">
        <w:t>but</w:t>
      </w:r>
      <w:r w:rsidR="00190923" w:rsidRPr="00981405">
        <w:t xml:space="preserve"> </w:t>
      </w:r>
      <w:r w:rsidRPr="00981405">
        <w:t>differentiated</w:t>
      </w:r>
      <w:r w:rsidR="00190923" w:rsidRPr="00981405">
        <w:t xml:space="preserve"> </w:t>
      </w:r>
      <w:r w:rsidRPr="00981405">
        <w:t>responsibilities,</w:t>
      </w:r>
      <w:r w:rsidR="00190923" w:rsidRPr="00981405">
        <w:t xml:space="preserve"> </w:t>
      </w:r>
      <w:r w:rsidRPr="00981405">
        <w:t>the</w:t>
      </w:r>
      <w:r w:rsidR="00190923" w:rsidRPr="00981405">
        <w:t xml:space="preserve"> </w:t>
      </w:r>
      <w:r w:rsidRPr="00981405">
        <w:t>liability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and</w:t>
      </w:r>
      <w:r w:rsidR="00190923" w:rsidRPr="00981405">
        <w:t xml:space="preserve"> </w:t>
      </w:r>
      <w:r w:rsidRPr="00981405">
        <w:t>their</w:t>
      </w:r>
      <w:r w:rsidR="00190923" w:rsidRPr="00981405">
        <w:t xml:space="preserve"> </w:t>
      </w:r>
      <w:r w:rsidRPr="00981405">
        <w:t>nationals,</w:t>
      </w:r>
      <w:r w:rsidR="00190923" w:rsidRPr="00981405">
        <w:t xml:space="preserve"> </w:t>
      </w:r>
      <w:r w:rsidRPr="00981405">
        <w:t>and</w:t>
      </w:r>
      <w:r w:rsidR="00190923" w:rsidRPr="00981405">
        <w:t xml:space="preserve"> </w:t>
      </w:r>
      <w:r w:rsidRPr="00981405">
        <w:t>the</w:t>
      </w:r>
      <w:r w:rsidR="00190923" w:rsidRPr="00981405">
        <w:t xml:space="preserve"> </w:t>
      </w:r>
      <w:r w:rsidRPr="00981405">
        <w:t>transfer</w:t>
      </w:r>
      <w:r w:rsidR="00190923" w:rsidRPr="00981405">
        <w:t xml:space="preserve"> </w:t>
      </w:r>
      <w:r w:rsidRPr="00981405">
        <w:t>of</w:t>
      </w:r>
      <w:r w:rsidR="00190923" w:rsidRPr="00981405">
        <w:t xml:space="preserve"> </w:t>
      </w:r>
      <w:r w:rsidRPr="00981405">
        <w:t>funds</w:t>
      </w:r>
      <w:r w:rsidR="00190923" w:rsidRPr="00981405">
        <w:t xml:space="preserve"> </w:t>
      </w:r>
      <w:r w:rsidRPr="00981405">
        <w:t>and</w:t>
      </w:r>
      <w:r w:rsidR="00190923" w:rsidRPr="00981405">
        <w:t xml:space="preserve"> </w:t>
      </w:r>
      <w:r w:rsidRPr="00981405">
        <w:t>technologies</w:t>
      </w:r>
      <w:r w:rsidR="00190923" w:rsidRPr="00981405">
        <w:t xml:space="preserve"> </w:t>
      </w:r>
      <w:r w:rsidRPr="00981405">
        <w:t>to</w:t>
      </w:r>
      <w:r w:rsidR="00190923" w:rsidRPr="00981405">
        <w:t xml:space="preserve"> </w:t>
      </w:r>
      <w:r w:rsidRPr="00981405">
        <w:t>developing</w:t>
      </w:r>
      <w:r w:rsidR="00190923" w:rsidRPr="00981405">
        <w:t xml:space="preserve"> </w:t>
      </w:r>
      <w:r w:rsidRPr="00981405">
        <w:t>countries,</w:t>
      </w:r>
      <w:r w:rsidR="00190923" w:rsidRPr="00981405">
        <w:t xml:space="preserve"> </w:t>
      </w:r>
      <w:r w:rsidRPr="00981405">
        <w:t>including</w:t>
      </w:r>
      <w:r w:rsidR="00190923" w:rsidRPr="00981405">
        <w:t xml:space="preserve"> </w:t>
      </w:r>
      <w:r w:rsidRPr="00981405">
        <w:t>intellectual</w:t>
      </w:r>
      <w:r w:rsidR="00190923" w:rsidRPr="00981405">
        <w:t xml:space="preserve"> </w:t>
      </w:r>
      <w:r w:rsidRPr="00981405">
        <w:t>property</w:t>
      </w:r>
      <w:r w:rsidR="00190923" w:rsidRPr="00981405">
        <w:t xml:space="preserve"> </w:t>
      </w:r>
      <w:r w:rsidRPr="00981405">
        <w:t>rights.</w:t>
      </w:r>
      <w:r w:rsidR="00190923" w:rsidRPr="00981405">
        <w:t xml:space="preserve"> </w:t>
      </w:r>
    </w:p>
    <w:p w:rsidR="00397032" w:rsidRPr="00981405" w:rsidRDefault="00397032" w:rsidP="00D97463">
      <w:pPr>
        <w:pStyle w:val="SingleTxt"/>
        <w:ind w:left="1742"/>
      </w:pPr>
      <w:r w:rsidRPr="00981405">
        <w:t>3.</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do</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specific</w:t>
      </w:r>
      <w:r w:rsidR="00190923" w:rsidRPr="00981405">
        <w:t xml:space="preserve"> </w:t>
      </w:r>
      <w:r w:rsidRPr="00981405">
        <w:t>substances,</w:t>
      </w:r>
      <w:r w:rsidR="00190923" w:rsidRPr="00981405">
        <w:t xml:space="preserve"> </w:t>
      </w:r>
      <w:r w:rsidRPr="00981405">
        <w:t>such</w:t>
      </w:r>
      <w:r w:rsidR="00190923" w:rsidRPr="00981405">
        <w:t xml:space="preserve"> </w:t>
      </w:r>
      <w:r w:rsidRPr="00981405">
        <w:t>as</w:t>
      </w:r>
      <w:r w:rsidR="00190923" w:rsidRPr="00981405">
        <w:t xml:space="preserve"> </w:t>
      </w:r>
      <w:r w:rsidRPr="00981405">
        <w:t>black</w:t>
      </w:r>
      <w:r w:rsidR="00190923" w:rsidRPr="00981405">
        <w:t xml:space="preserve"> </w:t>
      </w:r>
      <w:r w:rsidRPr="00981405">
        <w:t>carbon,</w:t>
      </w:r>
      <w:r w:rsidR="00190923" w:rsidRPr="00981405">
        <w:t xml:space="preserve"> </w:t>
      </w:r>
      <w:r w:rsidRPr="00981405">
        <w:t>tropospheric</w:t>
      </w:r>
      <w:r w:rsidR="00190923" w:rsidRPr="00981405">
        <w:t xml:space="preserve"> </w:t>
      </w:r>
      <w:r w:rsidRPr="00981405">
        <w:t>ozone,</w:t>
      </w:r>
      <w:r w:rsidR="00190923" w:rsidRPr="00981405">
        <w:t xml:space="preserve"> </w:t>
      </w:r>
      <w:r w:rsidRPr="00981405">
        <w:t>and</w:t>
      </w:r>
      <w:r w:rsidR="00190923" w:rsidRPr="00981405">
        <w:t xml:space="preserve"> </w:t>
      </w:r>
      <w:r w:rsidRPr="00981405">
        <w:t>other</w:t>
      </w:r>
      <w:r w:rsidR="00190923" w:rsidRPr="00981405">
        <w:t xml:space="preserve"> </w:t>
      </w:r>
      <w:r w:rsidRPr="00981405">
        <w:t>dual-impact</w:t>
      </w:r>
      <w:r w:rsidR="00190923" w:rsidRPr="00981405">
        <w:t xml:space="preserve"> </w:t>
      </w:r>
      <w:r w:rsidRPr="00981405">
        <w:t>substances,</w:t>
      </w:r>
      <w:r w:rsidR="00190923" w:rsidRPr="00981405">
        <w:t xml:space="preserve"> </w:t>
      </w:r>
      <w:r w:rsidRPr="00981405">
        <w:t>which</w:t>
      </w:r>
      <w:r w:rsidR="00190923" w:rsidRPr="00981405">
        <w:t xml:space="preserve"> </w:t>
      </w:r>
      <w:r w:rsidRPr="00981405">
        <w:t>are</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negotiations</w:t>
      </w:r>
      <w:r w:rsidR="00190923" w:rsidRPr="00981405">
        <w:t xml:space="preserve"> </w:t>
      </w:r>
      <w:r w:rsidRPr="00981405">
        <w:t>among</w:t>
      </w:r>
      <w:r w:rsidR="00190923" w:rsidRPr="00981405">
        <w:t xml:space="preserve"> </w:t>
      </w:r>
      <w:r w:rsidRPr="00981405">
        <w:t>States.</w:t>
      </w:r>
    </w:p>
    <w:p w:rsidR="00397032" w:rsidRPr="00981405" w:rsidRDefault="00397032" w:rsidP="00D97463">
      <w:pPr>
        <w:pStyle w:val="SingleTxt"/>
        <w:ind w:left="1742"/>
      </w:pPr>
      <w:r w:rsidRPr="00981405">
        <w:t>4.</w:t>
      </w:r>
      <w:r w:rsidRPr="00981405">
        <w:tab/>
        <w:t>Nothing</w:t>
      </w:r>
      <w:r w:rsidR="00190923" w:rsidRPr="00981405">
        <w:t xml:space="preserve"> </w:t>
      </w:r>
      <w:r w:rsidRPr="00981405">
        <w:t>in</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affects</w:t>
      </w:r>
      <w:r w:rsidR="00190923" w:rsidRPr="00981405">
        <w:t xml:space="preserve"> </w:t>
      </w:r>
      <w:r w:rsidRPr="00981405">
        <w:t>the</w:t>
      </w:r>
      <w:r w:rsidR="00190923" w:rsidRPr="00981405">
        <w:t xml:space="preserve"> </w:t>
      </w:r>
      <w:r w:rsidRPr="00981405">
        <w:t>status</w:t>
      </w:r>
      <w:r w:rsidR="00190923" w:rsidRPr="00981405">
        <w:t xml:space="preserve"> </w:t>
      </w:r>
      <w:r w:rsidRPr="00981405">
        <w:t>of</w:t>
      </w:r>
      <w:r w:rsidR="00190923" w:rsidRPr="00981405">
        <w:t xml:space="preserve"> </w:t>
      </w:r>
      <w:r w:rsidRPr="00981405">
        <w:t>airspace</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nor</w:t>
      </w:r>
      <w:r w:rsidR="00190923" w:rsidRPr="00981405">
        <w:t xml:space="preserve"> </w:t>
      </w:r>
      <w:r w:rsidRPr="00981405">
        <w:t>questions</w:t>
      </w:r>
      <w:r w:rsidR="00190923" w:rsidRPr="00981405">
        <w:t xml:space="preserve"> </w:t>
      </w:r>
      <w:r w:rsidRPr="00981405">
        <w:t>related</w:t>
      </w:r>
      <w:r w:rsidR="00190923" w:rsidRPr="00981405">
        <w:t xml:space="preserve"> </w:t>
      </w:r>
      <w:r w:rsidRPr="00981405">
        <w:t>to</w:t>
      </w:r>
      <w:r w:rsidR="00190923" w:rsidRPr="00981405">
        <w:t xml:space="preserve"> </w:t>
      </w:r>
      <w:r w:rsidRPr="00981405">
        <w:t>outer</w:t>
      </w:r>
      <w:r w:rsidR="00190923" w:rsidRPr="00981405">
        <w:t xml:space="preserve"> </w:t>
      </w:r>
      <w:r w:rsidRPr="00981405">
        <w:t>space,</w:t>
      </w:r>
      <w:r w:rsidR="00190923" w:rsidRPr="00981405">
        <w:t xml:space="preserve"> </w:t>
      </w:r>
      <w:r w:rsidRPr="00981405">
        <w:t>including</w:t>
      </w:r>
      <w:r w:rsidR="00190923" w:rsidRPr="00981405">
        <w:t xml:space="preserve"> </w:t>
      </w:r>
      <w:r w:rsidRPr="00981405">
        <w:t>its</w:t>
      </w:r>
      <w:r w:rsidR="00190923" w:rsidRPr="00981405">
        <w:t xml:space="preserve"> </w:t>
      </w:r>
      <w:r w:rsidRPr="00981405">
        <w:t>delimitation.</w:t>
      </w:r>
    </w:p>
    <w:p w:rsidR="005A05EB" w:rsidRPr="00D97463" w:rsidRDefault="005A05EB"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32" w:name="_Toc427938093"/>
      <w:r w:rsidRPr="00D97463">
        <w:t>Commentary</w:t>
      </w:r>
      <w:bookmarkEnd w:id="3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Draft</w:t>
      </w:r>
      <w:r w:rsidR="00190923" w:rsidRPr="00981405">
        <w:t xml:space="preserve"> </w:t>
      </w:r>
      <w:r w:rsidRPr="00981405">
        <w:t>guideline</w:t>
      </w:r>
      <w:r w:rsidR="00190923" w:rsidRPr="00981405">
        <w:t xml:space="preserve"> </w:t>
      </w:r>
      <w:r w:rsidRPr="00981405">
        <w:t>2</w:t>
      </w:r>
      <w:r w:rsidR="00190923" w:rsidRPr="00981405">
        <w:t xml:space="preserve"> </w:t>
      </w:r>
      <w:r w:rsidRPr="00981405">
        <w:t>sets</w:t>
      </w:r>
      <w:r w:rsidR="00190923" w:rsidRPr="00981405">
        <w:t xml:space="preserve"> </w:t>
      </w:r>
      <w:r w:rsidRPr="00981405">
        <w:t>out</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Paragraph</w:t>
      </w:r>
      <w:r w:rsidR="00190923" w:rsidRPr="00981405">
        <w:t xml:space="preserve"> </w:t>
      </w:r>
      <w:r w:rsidRPr="00981405">
        <w:t>1</w:t>
      </w:r>
      <w:r w:rsidR="00190923" w:rsidRPr="00981405">
        <w:t xml:space="preserve"> </w:t>
      </w:r>
      <w:r w:rsidRPr="00981405">
        <w:t>describes</w:t>
      </w:r>
      <w:r w:rsidR="00190923" w:rsidRPr="00981405">
        <w:t xml:space="preserve"> </w:t>
      </w:r>
      <w:r w:rsidRPr="00981405">
        <w:t>the</w:t>
      </w:r>
      <w:r w:rsidR="00190923" w:rsidRPr="00981405">
        <w:t xml:space="preserve"> </w:t>
      </w:r>
      <w:r w:rsidRPr="00981405">
        <w:t>scope</w:t>
      </w:r>
      <w:r w:rsidR="00190923" w:rsidRPr="00981405">
        <w:t xml:space="preserve"> </w:t>
      </w:r>
      <w:r w:rsidRPr="00981405">
        <w:t>in</w:t>
      </w:r>
      <w:r w:rsidR="00190923" w:rsidRPr="00981405">
        <w:t xml:space="preserve"> </w:t>
      </w:r>
      <w:r w:rsidRPr="00981405">
        <w:t>a</w:t>
      </w:r>
      <w:r w:rsidR="00190923" w:rsidRPr="00981405">
        <w:t xml:space="preserve"> </w:t>
      </w:r>
      <w:r w:rsidRPr="00981405">
        <w:t>positive</w:t>
      </w:r>
      <w:r w:rsidR="00190923" w:rsidRPr="00981405">
        <w:t xml:space="preserve"> </w:t>
      </w:r>
      <w:r w:rsidRPr="00981405">
        <w:t>manner,</w:t>
      </w:r>
      <w:r w:rsidR="00190923" w:rsidRPr="00981405">
        <w:t xml:space="preserve"> </w:t>
      </w:r>
      <w:r w:rsidRPr="00981405">
        <w:t>indicating</w:t>
      </w:r>
      <w:r w:rsidR="00190923" w:rsidRPr="00981405">
        <w:t xml:space="preserve"> </w:t>
      </w:r>
      <w:r w:rsidRPr="00981405">
        <w:t>what</w:t>
      </w:r>
      <w:r w:rsidR="00190923" w:rsidRPr="00981405">
        <w:t xml:space="preserve"> </w:t>
      </w:r>
      <w:r w:rsidRPr="00981405">
        <w:t>is</w:t>
      </w:r>
      <w:r w:rsidR="00190923" w:rsidRPr="00981405">
        <w:t xml:space="preserve"> </w:t>
      </w:r>
      <w:r w:rsidRPr="00981405">
        <w:t>dealt</w:t>
      </w:r>
      <w:r w:rsidR="00190923" w:rsidRPr="00981405">
        <w:t xml:space="preserve"> </w:t>
      </w:r>
      <w:r w:rsidRPr="00981405">
        <w:t>with</w:t>
      </w:r>
      <w:r w:rsidR="00190923" w:rsidRPr="00981405">
        <w:t xml:space="preserve"> </w:t>
      </w:r>
      <w:r w:rsidRPr="00981405">
        <w:t>by</w:t>
      </w:r>
      <w:r w:rsidR="00190923" w:rsidRPr="00981405">
        <w:t xml:space="preserve"> </w:t>
      </w:r>
      <w:r w:rsidRPr="00981405">
        <w:t>the</w:t>
      </w:r>
      <w:r w:rsidR="00190923" w:rsidRPr="00981405">
        <w:t xml:space="preserve"> </w:t>
      </w:r>
      <w:r w:rsidRPr="00981405">
        <w:t>guidelines,</w:t>
      </w:r>
      <w:r w:rsidR="00190923" w:rsidRPr="00981405">
        <w:t xml:space="preserve"> </w:t>
      </w:r>
      <w:r w:rsidRPr="00981405">
        <w:t>while</w:t>
      </w:r>
      <w:r w:rsidR="00190923" w:rsidRPr="00981405">
        <w:t xml:space="preserve"> </w:t>
      </w:r>
      <w:r w:rsidRPr="00981405">
        <w:t>paragraphs</w:t>
      </w:r>
      <w:r w:rsidR="00190923" w:rsidRPr="00981405">
        <w:t xml:space="preserve"> </w:t>
      </w:r>
      <w:r w:rsidRPr="00981405">
        <w:t>2</w:t>
      </w:r>
      <w:r w:rsidR="00190923" w:rsidRPr="00981405">
        <w:t xml:space="preserve"> </w:t>
      </w:r>
      <w:r w:rsidRPr="00981405">
        <w:t>and</w:t>
      </w:r>
      <w:r w:rsidR="00190923" w:rsidRPr="00981405">
        <w:t xml:space="preserve"> </w:t>
      </w:r>
      <w:r w:rsidRPr="00981405">
        <w:t>3</w:t>
      </w:r>
      <w:r w:rsidR="00190923" w:rsidRPr="00981405">
        <w:t xml:space="preserve"> </w:t>
      </w:r>
      <w:r w:rsidRPr="00981405">
        <w:t>are</w:t>
      </w:r>
      <w:r w:rsidR="00190923" w:rsidRPr="00981405">
        <w:t xml:space="preserve"> </w:t>
      </w:r>
      <w:r w:rsidRPr="00981405">
        <w:t>formulated</w:t>
      </w:r>
      <w:r w:rsidR="00190923" w:rsidRPr="00981405">
        <w:t xml:space="preserve"> </w:t>
      </w:r>
      <w:r w:rsidRPr="00981405">
        <w:t>in</w:t>
      </w:r>
      <w:r w:rsidR="00190923" w:rsidRPr="00981405">
        <w:t xml:space="preserve"> </w:t>
      </w:r>
      <w:r w:rsidRPr="00981405">
        <w:t>a</w:t>
      </w:r>
      <w:r w:rsidR="00190923" w:rsidRPr="00981405">
        <w:t xml:space="preserve"> </w:t>
      </w:r>
      <w:r w:rsidRPr="00981405">
        <w:t>negative</w:t>
      </w:r>
      <w:r w:rsidR="00190923" w:rsidRPr="00981405">
        <w:t xml:space="preserve"> </w:t>
      </w:r>
      <w:r w:rsidRPr="00981405">
        <w:t>way,</w:t>
      </w:r>
      <w:r w:rsidR="00190923" w:rsidRPr="00981405">
        <w:t xml:space="preserve"> </w:t>
      </w:r>
      <w:r w:rsidRPr="00981405">
        <w:t>specifying</w:t>
      </w:r>
      <w:r w:rsidR="00190923" w:rsidRPr="00981405">
        <w:t xml:space="preserve"> </w:t>
      </w:r>
      <w:r w:rsidRPr="00981405">
        <w:t>what</w:t>
      </w:r>
      <w:r w:rsidR="00190923" w:rsidRPr="00981405">
        <w:t xml:space="preserve"> </w:t>
      </w:r>
      <w:r w:rsidRPr="00981405">
        <w:t>is</w:t>
      </w:r>
      <w:r w:rsidR="00190923" w:rsidRPr="00981405">
        <w:t xml:space="preserve"> </w:t>
      </w:r>
      <w:r w:rsidRPr="00981405">
        <w:t>not</w:t>
      </w:r>
      <w:r w:rsidR="00190923" w:rsidRPr="00981405">
        <w:t xml:space="preserve"> </w:t>
      </w:r>
      <w:r w:rsidRPr="00981405">
        <w:t>covered</w:t>
      </w:r>
      <w:r w:rsidR="00190923" w:rsidRPr="00981405">
        <w:t xml:space="preserve"> </w:t>
      </w:r>
      <w:r w:rsidRPr="00981405">
        <w:t>by</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Paragraph</w:t>
      </w:r>
      <w:r w:rsidR="00190923" w:rsidRPr="00981405">
        <w:t xml:space="preserve"> </w:t>
      </w:r>
      <w:r w:rsidRPr="00981405">
        <w:t>4</w:t>
      </w:r>
      <w:r w:rsidR="00190923" w:rsidRPr="00981405">
        <w:t xml:space="preserve"> </w:t>
      </w:r>
      <w:r w:rsidRPr="00981405">
        <w:t>contains</w:t>
      </w:r>
      <w:r w:rsidR="00190923" w:rsidRPr="00981405">
        <w:t xml:space="preserve"> </w:t>
      </w:r>
      <w:r w:rsidRPr="00981405">
        <w:t>a</w:t>
      </w:r>
      <w:r w:rsidR="00190923" w:rsidRPr="00981405">
        <w:t xml:space="preserve"> </w:t>
      </w:r>
      <w:r w:rsidRPr="00981405">
        <w:t>saving</w:t>
      </w:r>
      <w:r w:rsidR="00190923" w:rsidRPr="00981405">
        <w:t xml:space="preserve"> </w:t>
      </w:r>
      <w:r w:rsidRPr="00981405">
        <w:t>clause</w:t>
      </w:r>
      <w:r w:rsidR="00190923" w:rsidRPr="00981405">
        <w:t xml:space="preserve"> </w:t>
      </w:r>
      <w:r w:rsidRPr="00981405">
        <w:t>on</w:t>
      </w:r>
      <w:r w:rsidR="00190923" w:rsidRPr="00981405">
        <w:t xml:space="preserve"> </w:t>
      </w:r>
      <w:r w:rsidRPr="00981405">
        <w:t>airspace</w:t>
      </w:r>
      <w:r w:rsidR="00190923" w:rsidRPr="00981405">
        <w:t xml:space="preserve"> </w:t>
      </w:r>
      <w:r w:rsidRPr="00981405">
        <w:t>and</w:t>
      </w:r>
      <w:r w:rsidR="00190923" w:rsidRPr="00981405">
        <w:t xml:space="preserve"> </w:t>
      </w:r>
      <w:r w:rsidRPr="00981405">
        <w:t>outer</w:t>
      </w:r>
      <w:r w:rsidR="00190923" w:rsidRPr="00981405">
        <w:t xml:space="preserve"> </w:t>
      </w:r>
      <w:r w:rsidRPr="00981405">
        <w:t>space.</w:t>
      </w:r>
    </w:p>
    <w:p w:rsidR="00397032" w:rsidRPr="00981405" w:rsidRDefault="00397032" w:rsidP="00D97463">
      <w:pPr>
        <w:pStyle w:val="SingleTxt"/>
      </w:pPr>
      <w:r w:rsidRPr="00981405">
        <w:t>(2)</w:t>
      </w:r>
      <w:r w:rsidRPr="00981405">
        <w:tab/>
        <w:t>Paragraph</w:t>
      </w:r>
      <w:r w:rsidR="00190923" w:rsidRPr="00981405">
        <w:t xml:space="preserve"> </w:t>
      </w:r>
      <w:r w:rsidRPr="00981405">
        <w:t>1</w:t>
      </w:r>
      <w:r w:rsidR="00190923" w:rsidRPr="00981405">
        <w:t xml:space="preserve"> </w:t>
      </w:r>
      <w:r w:rsidRPr="00981405">
        <w:t>defines</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definitions</w:t>
      </w:r>
      <w:r w:rsidR="00190923" w:rsidRPr="00981405">
        <w:t xml:space="preserve"> </w:t>
      </w:r>
      <w:r w:rsidRPr="00981405">
        <w:t>contained</w:t>
      </w:r>
      <w:r w:rsidR="00190923" w:rsidRPr="00981405">
        <w:t xml:space="preserve"> </w:t>
      </w:r>
      <w:r w:rsidRPr="00981405">
        <w:t>in</w:t>
      </w:r>
      <w:r w:rsidR="00190923" w:rsidRPr="00981405">
        <w:t xml:space="preserve"> </w:t>
      </w:r>
      <w:r w:rsidRPr="00981405">
        <w:t>paragraphs</w:t>
      </w:r>
      <w:r w:rsidR="00190923" w:rsidRPr="00981405">
        <w:t xml:space="preserve"> </w:t>
      </w:r>
      <w:r w:rsidRPr="00981405">
        <w:t>(b)</w:t>
      </w:r>
      <w:r w:rsidR="00190923" w:rsidRPr="00981405">
        <w:t xml:space="preserve"> </w:t>
      </w:r>
      <w:r w:rsidRPr="00981405">
        <w:t>and</w:t>
      </w:r>
      <w:r w:rsidR="00190923" w:rsidRPr="00981405">
        <w:t xml:space="preserve"> </w:t>
      </w:r>
      <w:r w:rsidRPr="00981405">
        <w:t>(c)</w:t>
      </w:r>
      <w:r w:rsidR="00190923" w:rsidRPr="00981405">
        <w:t xml:space="preserve"> </w:t>
      </w:r>
      <w:r w:rsidRPr="00981405">
        <w:t>of</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1.</w:t>
      </w:r>
      <w:r w:rsidR="00190923" w:rsidRPr="00981405">
        <w:t xml:space="preserve"> </w:t>
      </w:r>
      <w:r w:rsidRPr="00981405">
        <w:t>It</w:t>
      </w:r>
      <w:r w:rsidR="00190923" w:rsidRPr="00981405">
        <w:t xml:space="preserve"> </w:t>
      </w:r>
      <w:r w:rsidRPr="00981405">
        <w:t>deals</w:t>
      </w:r>
      <w:r w:rsidR="00190923" w:rsidRPr="00981405">
        <w:t xml:space="preserve"> </w:t>
      </w:r>
      <w:r w:rsidRPr="00981405">
        <w:t>with</w:t>
      </w:r>
      <w:r w:rsidR="00190923" w:rsidRPr="00981405">
        <w:t xml:space="preserve"> </w:t>
      </w:r>
      <w:r w:rsidRPr="00981405">
        <w:t>questions</w:t>
      </w:r>
      <w:r w:rsidR="00190923" w:rsidRPr="00981405">
        <w:t xml:space="preserve"> </w:t>
      </w:r>
      <w:r w:rsidRPr="00981405">
        <w:t>of</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in</w:t>
      </w:r>
      <w:r w:rsidR="00190923" w:rsidRPr="00981405">
        <w:t xml:space="preserve"> </w:t>
      </w:r>
      <w:r w:rsidRPr="00981405">
        <w:t>two</w:t>
      </w:r>
      <w:r w:rsidR="00190923" w:rsidRPr="00981405">
        <w:t xml:space="preserve"> </w:t>
      </w:r>
      <w:r w:rsidRPr="00981405">
        <w:t>areas,</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are</w:t>
      </w:r>
      <w:r w:rsidR="00190923" w:rsidRPr="00981405">
        <w:t xml:space="preserve"> </w:t>
      </w:r>
      <w:r w:rsidRPr="00981405">
        <w:t>concerned</w:t>
      </w:r>
      <w:r w:rsidR="00190923" w:rsidRPr="00981405">
        <w:t xml:space="preserve"> </w:t>
      </w:r>
      <w:r w:rsidRPr="00981405">
        <w:t>only</w:t>
      </w:r>
      <w:r w:rsidR="00190923" w:rsidRPr="00981405">
        <w:t xml:space="preserve"> </w:t>
      </w:r>
      <w:r w:rsidRPr="00981405">
        <w:t>with</w:t>
      </w:r>
      <w:r w:rsidR="00190923" w:rsidRPr="00981405">
        <w:t xml:space="preserve"> </w:t>
      </w:r>
      <w:r w:rsidRPr="00981405">
        <w:t>anthropogenic</w:t>
      </w:r>
      <w:r w:rsidR="00190923" w:rsidRPr="00981405">
        <w:t xml:space="preserve"> </w:t>
      </w:r>
      <w:r w:rsidRPr="00981405">
        <w:t>causes</w:t>
      </w:r>
      <w:r w:rsidR="00190923" w:rsidRPr="00981405">
        <w:t xml:space="preserve"> </w:t>
      </w:r>
      <w:r w:rsidRPr="00981405">
        <w:t>and</w:t>
      </w:r>
      <w:r w:rsidR="00190923" w:rsidRPr="00981405">
        <w:t xml:space="preserve"> </w:t>
      </w:r>
      <w:r w:rsidRPr="00981405">
        <w:t>not</w:t>
      </w:r>
      <w:r w:rsidR="00190923" w:rsidRPr="00981405">
        <w:t xml:space="preserve"> </w:t>
      </w:r>
      <w:r w:rsidRPr="00981405">
        <w:t>with</w:t>
      </w:r>
      <w:r w:rsidR="00190923" w:rsidRPr="00981405">
        <w:t xml:space="preserve"> </w:t>
      </w:r>
      <w:r w:rsidRPr="00981405">
        <w:t>those</w:t>
      </w:r>
      <w:r w:rsidR="00190923" w:rsidRPr="00981405">
        <w:t xml:space="preserve"> </w:t>
      </w:r>
      <w:r w:rsidRPr="00981405">
        <w:t>of</w:t>
      </w:r>
      <w:r w:rsidR="00190923" w:rsidRPr="00981405">
        <w:t xml:space="preserve"> </w:t>
      </w:r>
      <w:r w:rsidRPr="00981405">
        <w:t>natural</w:t>
      </w:r>
      <w:r w:rsidR="00190923" w:rsidRPr="00981405">
        <w:t xml:space="preserve"> </w:t>
      </w:r>
      <w:r w:rsidRPr="00981405">
        <w:t>origins</w:t>
      </w:r>
      <w:r w:rsidR="00190923" w:rsidRPr="00981405">
        <w:t xml:space="preserve"> </w:t>
      </w:r>
      <w:r w:rsidRPr="00981405">
        <w:t>such</w:t>
      </w:r>
      <w:r w:rsidR="00190923" w:rsidRPr="00981405">
        <w:t xml:space="preserve"> </w:t>
      </w:r>
      <w:r w:rsidRPr="00981405">
        <w:t>as</w:t>
      </w:r>
      <w:r w:rsidR="00190923" w:rsidRPr="00981405">
        <w:t xml:space="preserve"> </w:t>
      </w:r>
      <w:r w:rsidRPr="00981405">
        <w:t>volcanic</w:t>
      </w:r>
      <w:r w:rsidR="00190923" w:rsidRPr="00981405">
        <w:t xml:space="preserve"> </w:t>
      </w:r>
      <w:r w:rsidRPr="00981405">
        <w:t>eruptions</w:t>
      </w:r>
      <w:r w:rsidR="00190923" w:rsidRPr="00981405">
        <w:t xml:space="preserve"> </w:t>
      </w:r>
      <w:r w:rsidRPr="00981405">
        <w:t>and</w:t>
      </w:r>
      <w:r w:rsidR="00190923" w:rsidRPr="00981405">
        <w:t xml:space="preserve"> </w:t>
      </w:r>
      <w:r w:rsidRPr="00981405">
        <w:t>meteorite</w:t>
      </w:r>
      <w:r w:rsidR="00190923" w:rsidRPr="00981405">
        <w:t xml:space="preserve"> </w:t>
      </w:r>
      <w:r w:rsidRPr="00981405">
        <w:t>collisions.</w:t>
      </w:r>
      <w:r w:rsidR="00190923" w:rsidRPr="00981405">
        <w:t xml:space="preserve"> </w:t>
      </w:r>
      <w:r w:rsidRPr="00981405">
        <w:t>The</w:t>
      </w:r>
      <w:r w:rsidR="00190923" w:rsidRPr="00981405">
        <w:t xml:space="preserve"> </w:t>
      </w:r>
      <w:r w:rsidRPr="00981405">
        <w:t>focus</w:t>
      </w:r>
      <w:r w:rsidR="00190923" w:rsidRPr="00981405">
        <w:t xml:space="preserve"> </w:t>
      </w:r>
      <w:r w:rsidRPr="00981405">
        <w:t>on</w:t>
      </w:r>
      <w:r w:rsidR="00190923" w:rsidRPr="00981405">
        <w:t xml:space="preserve"> </w:t>
      </w:r>
      <w:r w:rsidRPr="00981405">
        <w:t>transboundary</w:t>
      </w:r>
      <w:r w:rsidR="00190923" w:rsidRPr="00981405">
        <w:t xml:space="preserve"> </w:t>
      </w:r>
      <w:r w:rsidRPr="00981405">
        <w:t>pollution</w:t>
      </w:r>
      <w:r w:rsidR="00190923" w:rsidRPr="00981405">
        <w:t xml:space="preserve"> </w:t>
      </w:r>
      <w:r w:rsidRPr="00981405">
        <w:t>and</w:t>
      </w:r>
      <w:r w:rsidR="00190923" w:rsidRPr="00981405">
        <w:t xml:space="preserve"> </w:t>
      </w:r>
      <w:r w:rsidRPr="00981405">
        <w:t>global</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caused</w:t>
      </w:r>
      <w:r w:rsidR="00190923" w:rsidRPr="00981405">
        <w:t xml:space="preserve"> </w:t>
      </w:r>
      <w:r w:rsidRPr="00981405">
        <w:t>by</w:t>
      </w:r>
      <w:r w:rsidR="00190923" w:rsidRPr="00981405">
        <w:t xml:space="preserve"> </w:t>
      </w:r>
      <w:r w:rsidRPr="00981405">
        <w:t>human</w:t>
      </w:r>
      <w:r w:rsidR="00190923" w:rsidRPr="00981405">
        <w:t xml:space="preserve"> </w:t>
      </w:r>
      <w:r w:rsidRPr="00981405">
        <w:t>activity</w:t>
      </w:r>
      <w:r w:rsidR="00190923" w:rsidRPr="00981405">
        <w:t xml:space="preserve"> </w:t>
      </w:r>
      <w:r w:rsidRPr="00981405">
        <w:t>reflects</w:t>
      </w:r>
      <w:r w:rsidR="00190923" w:rsidRPr="00981405">
        <w:t xml:space="preserve"> </w:t>
      </w:r>
      <w:r w:rsidRPr="00981405">
        <w:t>the</w:t>
      </w:r>
      <w:r w:rsidR="00190923" w:rsidRPr="00981405">
        <w:t xml:space="preserve"> </w:t>
      </w:r>
      <w:r w:rsidRPr="00981405">
        <w:t>current</w:t>
      </w:r>
      <w:r w:rsidR="00190923" w:rsidRPr="00981405">
        <w:t xml:space="preserve"> </w:t>
      </w:r>
      <w:r w:rsidRPr="00981405">
        <w:t>realities,</w:t>
      </w:r>
      <w:r w:rsidR="00190923" w:rsidRPr="00981405">
        <w:t xml:space="preserve"> </w:t>
      </w:r>
      <w:r w:rsidRPr="00981405">
        <w:t>which</w:t>
      </w:r>
      <w:r w:rsidR="00190923" w:rsidRPr="00981405">
        <w:t xml:space="preserve"> </w:t>
      </w:r>
      <w:r w:rsidRPr="00981405">
        <w:t>are</w:t>
      </w:r>
      <w:r w:rsidR="00190923" w:rsidRPr="00981405">
        <w:t xml:space="preserve"> </w:t>
      </w:r>
      <w:r w:rsidRPr="00981405">
        <w:t>supported</w:t>
      </w:r>
      <w:r w:rsidR="00190923" w:rsidRPr="00981405">
        <w:t xml:space="preserve"> </w:t>
      </w:r>
      <w:r w:rsidRPr="00981405">
        <w:t>by</w:t>
      </w:r>
      <w:r w:rsidR="00190923" w:rsidRPr="00981405">
        <w:t xml:space="preserve"> </w:t>
      </w:r>
      <w:r w:rsidRPr="00981405">
        <w:t>the</w:t>
      </w:r>
      <w:r w:rsidR="00190923" w:rsidRPr="00981405">
        <w:t xml:space="preserve"> </w:t>
      </w:r>
      <w:r w:rsidRPr="00981405">
        <w:t>science.</w:t>
      </w:r>
      <w:r w:rsidRPr="00981405">
        <w:rPr>
          <w:rStyle w:val="FootnoteReference"/>
        </w:rPr>
        <w:footnoteReference w:id="49"/>
      </w:r>
      <w:r w:rsidR="00190923" w:rsidRPr="00981405">
        <w:t xml:space="preserve"> </w:t>
      </w:r>
      <w:r w:rsidRPr="00981405">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IPCC,</w:t>
      </w:r>
      <w:r w:rsidR="00190923" w:rsidRPr="00981405">
        <w:t xml:space="preserve"> </w:t>
      </w:r>
      <w:r w:rsidRPr="00981405">
        <w:t>the</w:t>
      </w:r>
      <w:r w:rsidR="00190923" w:rsidRPr="00981405">
        <w:t xml:space="preserve"> </w:t>
      </w:r>
      <w:r w:rsidRPr="00981405">
        <w:t>science</w:t>
      </w:r>
      <w:r w:rsidR="00190923" w:rsidRPr="00981405">
        <w:t xml:space="preserve"> </w:t>
      </w:r>
      <w:r w:rsidRPr="00981405">
        <w:t>indicates</w:t>
      </w:r>
      <w:r w:rsidR="00190923" w:rsidRPr="00981405">
        <w:t xml:space="preserve"> </w:t>
      </w:r>
      <w:r w:rsidRPr="00981405">
        <w:t>with</w:t>
      </w:r>
      <w:r w:rsidR="00190923" w:rsidRPr="00981405">
        <w:t xml:space="preserve"> </w:t>
      </w:r>
      <w:r w:rsidRPr="00981405">
        <w:t>95</w:t>
      </w:r>
      <w:r w:rsidR="00190923" w:rsidRPr="00981405">
        <w:t xml:space="preserve"> </w:t>
      </w:r>
      <w:r w:rsidRPr="00981405">
        <w:t>percent</w:t>
      </w:r>
      <w:r w:rsidR="00190923" w:rsidRPr="00981405">
        <w:t xml:space="preserve"> </w:t>
      </w:r>
      <w:r w:rsidRPr="00981405">
        <w:t>certainty</w:t>
      </w:r>
      <w:r w:rsidR="00190923" w:rsidRPr="00981405">
        <w:t xml:space="preserve"> </w:t>
      </w:r>
      <w:r w:rsidRPr="00981405">
        <w:t>that</w:t>
      </w:r>
      <w:r w:rsidR="00190923" w:rsidRPr="00981405">
        <w:t xml:space="preserve"> </w:t>
      </w:r>
      <w:r w:rsidRPr="00981405">
        <w:t>human</w:t>
      </w:r>
      <w:r w:rsidR="00190923" w:rsidRPr="00981405">
        <w:t xml:space="preserve"> </w:t>
      </w:r>
      <w:r w:rsidRPr="00981405">
        <w:t>activity</w:t>
      </w:r>
      <w:r w:rsidR="00190923" w:rsidRPr="00981405">
        <w:t xml:space="preserve"> </w:t>
      </w:r>
      <w:r w:rsidRPr="00981405">
        <w:t>is</w:t>
      </w:r>
      <w:r w:rsidR="00190923" w:rsidRPr="00981405">
        <w:t xml:space="preserve"> </w:t>
      </w:r>
      <w:r w:rsidRPr="00981405">
        <w:t>the</w:t>
      </w:r>
      <w:r w:rsidR="00190923" w:rsidRPr="00981405">
        <w:t xml:space="preserve"> </w:t>
      </w:r>
      <w:r w:rsidRPr="00981405">
        <w:t>dominant</w:t>
      </w:r>
      <w:r w:rsidR="00190923" w:rsidRPr="00981405">
        <w:t xml:space="preserve"> </w:t>
      </w:r>
      <w:r w:rsidRPr="00981405">
        <w:t>cause</w:t>
      </w:r>
      <w:r w:rsidR="00190923" w:rsidRPr="00981405">
        <w:t xml:space="preserve"> </w:t>
      </w:r>
      <w:r w:rsidRPr="00981405">
        <w:t>of</w:t>
      </w:r>
      <w:r w:rsidR="00190923" w:rsidRPr="00981405">
        <w:t xml:space="preserve"> </w:t>
      </w:r>
      <w:r w:rsidRPr="00981405">
        <w:t>observed</w:t>
      </w:r>
      <w:r w:rsidR="00190923" w:rsidRPr="00981405">
        <w:t xml:space="preserve"> </w:t>
      </w:r>
      <w:r w:rsidRPr="00981405">
        <w:t>warm</w:t>
      </w:r>
      <w:r w:rsidRPr="00981405">
        <w:softHyphen/>
        <w:t>ing</w:t>
      </w:r>
      <w:r w:rsidR="00190923" w:rsidRPr="00981405">
        <w:t xml:space="preserve"> </w:t>
      </w:r>
      <w:r w:rsidRPr="00981405">
        <w:t>since</w:t>
      </w:r>
      <w:r w:rsidR="00190923" w:rsidRPr="00981405">
        <w:t xml:space="preserve"> </w:t>
      </w:r>
      <w:r w:rsidRPr="00981405">
        <w:t>the</w:t>
      </w:r>
      <w:r w:rsidR="00190923" w:rsidRPr="00981405">
        <w:t xml:space="preserve"> </w:t>
      </w:r>
      <w:r w:rsidRPr="00981405">
        <w:t>mid-20th</w:t>
      </w:r>
      <w:r w:rsidR="00190923" w:rsidRPr="00981405">
        <w:t xml:space="preserve"> </w:t>
      </w:r>
      <w:r w:rsidRPr="00981405">
        <w:t>century.</w:t>
      </w:r>
      <w:r w:rsidR="00190923" w:rsidRPr="00981405">
        <w:t xml:space="preserve"> </w:t>
      </w:r>
      <w:r w:rsidRPr="00981405">
        <w:t>The</w:t>
      </w:r>
      <w:r w:rsidR="00190923" w:rsidRPr="00981405">
        <w:t xml:space="preserve"> </w:t>
      </w:r>
      <w:r w:rsidRPr="00981405">
        <w:t>IPCC</w:t>
      </w:r>
      <w:r w:rsidR="00190923" w:rsidRPr="00981405">
        <w:t xml:space="preserve"> </w:t>
      </w:r>
      <w:r w:rsidRPr="00981405">
        <w:t>noted</w:t>
      </w:r>
      <w:r w:rsidR="00190923" w:rsidRPr="00981405">
        <w:t xml:space="preserve"> </w:t>
      </w:r>
      <w:r w:rsidRPr="00981405">
        <w:t>that</w:t>
      </w:r>
      <w:r w:rsidR="00190923" w:rsidRPr="00981405">
        <w:t xml:space="preserve"> </w:t>
      </w:r>
      <w:r w:rsidRPr="00981405">
        <w:t>human</w:t>
      </w:r>
      <w:r w:rsidR="00190923" w:rsidRPr="00981405">
        <w:t xml:space="preserve"> </w:t>
      </w:r>
      <w:r w:rsidRPr="00981405">
        <w:t>influence</w:t>
      </w:r>
      <w:r w:rsidR="00190923" w:rsidRPr="00981405">
        <w:t xml:space="preserve"> </w:t>
      </w:r>
      <w:r w:rsidRPr="00981405">
        <w:t>on</w:t>
      </w:r>
      <w:r w:rsidR="00190923" w:rsidRPr="00981405">
        <w:t xml:space="preserve"> </w:t>
      </w:r>
      <w:r w:rsidRPr="00981405">
        <w:t>the</w:t>
      </w:r>
      <w:r w:rsidR="00190923" w:rsidRPr="00981405">
        <w:t xml:space="preserve"> </w:t>
      </w:r>
      <w:r w:rsidRPr="00981405">
        <w:t>climate</w:t>
      </w:r>
      <w:r w:rsidR="00190923" w:rsidRPr="00981405">
        <w:t xml:space="preserve"> </w:t>
      </w:r>
      <w:r w:rsidRPr="00981405">
        <w:t>system</w:t>
      </w:r>
      <w:r w:rsidR="00190923" w:rsidRPr="00981405">
        <w:t xml:space="preserve"> </w:t>
      </w:r>
      <w:r w:rsidRPr="00981405">
        <w:t>is</w:t>
      </w:r>
      <w:r w:rsidR="00190923" w:rsidRPr="00981405">
        <w:t xml:space="preserve"> </w:t>
      </w:r>
      <w:r w:rsidRPr="00981405">
        <w:t>clear.</w:t>
      </w:r>
      <w:r w:rsidR="00190923" w:rsidRPr="00981405">
        <w:t xml:space="preserve"> </w:t>
      </w:r>
      <w:r w:rsidRPr="00981405">
        <w:t>Such</w:t>
      </w:r>
      <w:r w:rsidR="00190923" w:rsidRPr="00981405">
        <w:t xml:space="preserve"> </w:t>
      </w:r>
      <w:r w:rsidRPr="00981405">
        <w:t>influence</w:t>
      </w:r>
      <w:r w:rsidR="00190923" w:rsidRPr="00981405">
        <w:t xml:space="preserve"> </w:t>
      </w:r>
      <w:r w:rsidRPr="00981405">
        <w:t>has</w:t>
      </w:r>
      <w:r w:rsidR="00190923" w:rsidRPr="00981405">
        <w:t xml:space="preserve"> </w:t>
      </w:r>
      <w:r w:rsidRPr="00981405">
        <w:t>been</w:t>
      </w:r>
      <w:r w:rsidR="00190923" w:rsidRPr="00981405">
        <w:t xml:space="preserve"> </w:t>
      </w:r>
      <w:r w:rsidRPr="00981405">
        <w:t>detected</w:t>
      </w:r>
      <w:r w:rsidR="00190923" w:rsidRPr="00981405">
        <w:t xml:space="preserve"> </w:t>
      </w:r>
      <w:r w:rsidRPr="00981405">
        <w:t>in</w:t>
      </w:r>
      <w:r w:rsidR="00190923" w:rsidRPr="00981405">
        <w:t xml:space="preserve"> </w:t>
      </w:r>
      <w:r w:rsidRPr="00981405">
        <w:t>warming</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the</w:t>
      </w:r>
      <w:r w:rsidR="00190923" w:rsidRPr="00981405">
        <w:t xml:space="preserve"> </w:t>
      </w:r>
      <w:r w:rsidRPr="00981405">
        <w:t>ocean,</w:t>
      </w:r>
      <w:r w:rsidR="00190923" w:rsidRPr="00981405">
        <w:t xml:space="preserve"> </w:t>
      </w:r>
      <w:r w:rsidRPr="00981405">
        <w:t>in</w:t>
      </w:r>
      <w:r w:rsidR="00190923" w:rsidRPr="00981405">
        <w:t xml:space="preserve"> </w:t>
      </w:r>
      <w:r w:rsidRPr="00981405">
        <w:t>changes</w:t>
      </w:r>
      <w:r w:rsidR="00190923" w:rsidRPr="00981405">
        <w:t xml:space="preserve"> </w:t>
      </w:r>
      <w:r w:rsidRPr="00981405">
        <w:t>in</w:t>
      </w:r>
      <w:r w:rsidR="00190923" w:rsidRPr="00981405">
        <w:t xml:space="preserve"> </w:t>
      </w:r>
      <w:r w:rsidRPr="00981405">
        <w:t>the</w:t>
      </w:r>
      <w:r w:rsidR="00190923" w:rsidRPr="00981405">
        <w:t xml:space="preserve"> </w:t>
      </w:r>
      <w:r w:rsidRPr="00981405">
        <w:t>global</w:t>
      </w:r>
      <w:r w:rsidR="00190923" w:rsidRPr="00981405">
        <w:t xml:space="preserve"> </w:t>
      </w:r>
      <w:r w:rsidRPr="00981405">
        <w:t>water</w:t>
      </w:r>
      <w:r w:rsidR="00190923" w:rsidRPr="00981405">
        <w:t xml:space="preserve"> </w:t>
      </w:r>
      <w:r w:rsidRPr="00981405">
        <w:t>cycle,</w:t>
      </w:r>
      <w:r w:rsidR="00190923" w:rsidRPr="00981405">
        <w:t xml:space="preserve"> </w:t>
      </w:r>
      <w:r w:rsidRPr="00981405">
        <w:t>in</w:t>
      </w:r>
      <w:r w:rsidR="00190923" w:rsidRPr="00981405">
        <w:t xml:space="preserve"> </w:t>
      </w:r>
      <w:r w:rsidRPr="00981405">
        <w:t>reductions</w:t>
      </w:r>
      <w:r w:rsidR="00190923" w:rsidRPr="00981405">
        <w:t xml:space="preserve"> </w:t>
      </w:r>
      <w:r w:rsidRPr="00981405">
        <w:t>in</w:t>
      </w:r>
      <w:r w:rsidR="00190923" w:rsidRPr="00981405">
        <w:t xml:space="preserve"> </w:t>
      </w:r>
      <w:r w:rsidRPr="00981405">
        <w:t>snow</w:t>
      </w:r>
      <w:r w:rsidR="00190923" w:rsidRPr="00981405">
        <w:t xml:space="preserve"> </w:t>
      </w:r>
      <w:r w:rsidRPr="00981405">
        <w:t>and</w:t>
      </w:r>
      <w:r w:rsidR="00190923" w:rsidRPr="00981405">
        <w:t xml:space="preserve"> </w:t>
      </w:r>
      <w:r w:rsidRPr="00981405">
        <w:t>ice,</w:t>
      </w:r>
      <w:r w:rsidR="00190923" w:rsidRPr="00981405">
        <w:t xml:space="preserve"> </w:t>
      </w:r>
      <w:r w:rsidRPr="00981405">
        <w:t>in</w:t>
      </w:r>
      <w:r w:rsidR="00190923" w:rsidRPr="00981405">
        <w:t xml:space="preserve"> </w:t>
      </w:r>
      <w:r w:rsidRPr="00981405">
        <w:t>global</w:t>
      </w:r>
      <w:r w:rsidR="00190923" w:rsidRPr="00981405">
        <w:t xml:space="preserve"> </w:t>
      </w:r>
      <w:r w:rsidRPr="00981405">
        <w:t>mean</w:t>
      </w:r>
      <w:r w:rsidR="00190923" w:rsidRPr="00981405">
        <w:t xml:space="preserve"> </w:t>
      </w:r>
      <w:r w:rsidRPr="00981405">
        <w:t>sea</w:t>
      </w:r>
      <w:r w:rsidR="00190923" w:rsidRPr="00981405">
        <w:t xml:space="preserve"> </w:t>
      </w:r>
      <w:r w:rsidRPr="00981405">
        <w:t>level</w:t>
      </w:r>
      <w:r w:rsidR="00190923" w:rsidRPr="00981405">
        <w:t xml:space="preserve"> </w:t>
      </w:r>
      <w:r w:rsidRPr="00981405">
        <w:t>rise,</w:t>
      </w:r>
      <w:r w:rsidR="00190923" w:rsidRPr="00981405">
        <w:t xml:space="preserve"> </w:t>
      </w:r>
      <w:r w:rsidRPr="00981405">
        <w:t>and</w:t>
      </w:r>
      <w:r w:rsidR="00190923" w:rsidRPr="00981405">
        <w:t xml:space="preserve"> </w:t>
      </w:r>
      <w:r w:rsidRPr="00981405">
        <w:t>in</w:t>
      </w:r>
      <w:r w:rsidR="00190923" w:rsidRPr="00981405">
        <w:t xml:space="preserve"> </w:t>
      </w:r>
      <w:r w:rsidRPr="00981405">
        <w:t>changes</w:t>
      </w:r>
      <w:r w:rsidR="00190923" w:rsidRPr="00981405">
        <w:t xml:space="preserve"> </w:t>
      </w:r>
      <w:r w:rsidRPr="00981405">
        <w:t>in</w:t>
      </w:r>
      <w:r w:rsidR="00190923" w:rsidRPr="00981405">
        <w:t xml:space="preserve"> </w:t>
      </w:r>
      <w:r w:rsidRPr="00981405">
        <w:t>some</w:t>
      </w:r>
      <w:r w:rsidR="00190923" w:rsidRPr="00981405">
        <w:t xml:space="preserve"> </w:t>
      </w:r>
      <w:r w:rsidRPr="00981405">
        <w:t>climate</w:t>
      </w:r>
      <w:r w:rsidR="00190923" w:rsidRPr="00981405">
        <w:t xml:space="preserve"> </w:t>
      </w:r>
      <w:r w:rsidRPr="00981405">
        <w:t>extremes.</w:t>
      </w:r>
      <w:r w:rsidRPr="00981405">
        <w:rPr>
          <w:rStyle w:val="FootnoteReference"/>
        </w:rPr>
        <w:footnoteReference w:id="50"/>
      </w:r>
      <w:r w:rsidR="00190923" w:rsidRPr="00981405">
        <w:t xml:space="preserve"> </w:t>
      </w:r>
      <w:r w:rsidRPr="00981405">
        <w:t>The</w:t>
      </w:r>
      <w:r w:rsidR="00190923" w:rsidRPr="00981405">
        <w:t xml:space="preserve"> </w:t>
      </w:r>
      <w:r w:rsidRPr="00981405">
        <w:t>IPCC</w:t>
      </w:r>
      <w:r w:rsidR="00190923" w:rsidRPr="00981405">
        <w:t xml:space="preserve"> </w:t>
      </w:r>
      <w:r w:rsidRPr="00981405">
        <w:t>further</w:t>
      </w:r>
      <w:r w:rsidR="00190923" w:rsidRPr="00981405">
        <w:t xml:space="preserve"> </w:t>
      </w:r>
      <w:r w:rsidRPr="00981405">
        <w:t>noted</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extremely</w:t>
      </w:r>
      <w:r w:rsidR="00190923" w:rsidRPr="00981405">
        <w:t xml:space="preserve"> </w:t>
      </w:r>
      <w:r w:rsidRPr="00981405">
        <w:t>likely</w:t>
      </w:r>
      <w:r w:rsidR="00190923" w:rsidRPr="00981405">
        <w:t xml:space="preserve"> </w:t>
      </w:r>
      <w:r w:rsidRPr="00981405">
        <w:t>that</w:t>
      </w:r>
      <w:r w:rsidR="00190923" w:rsidRPr="00981405">
        <w:t xml:space="preserve"> </w:t>
      </w:r>
      <w:r w:rsidRPr="00981405">
        <w:t>more</w:t>
      </w:r>
      <w:r w:rsidR="00190923" w:rsidRPr="00981405">
        <w:t xml:space="preserve"> </w:t>
      </w:r>
      <w:r w:rsidRPr="00981405">
        <w:t>than</w:t>
      </w:r>
      <w:r w:rsidR="00190923" w:rsidRPr="00981405">
        <w:t xml:space="preserve"> </w:t>
      </w:r>
      <w:r w:rsidRPr="00981405">
        <w:t>half</w:t>
      </w:r>
      <w:r w:rsidR="00190923" w:rsidRPr="00981405">
        <w:t xml:space="preserve"> </w:t>
      </w:r>
      <w:r w:rsidRPr="00981405">
        <w:t>of</w:t>
      </w:r>
      <w:r w:rsidR="00190923" w:rsidRPr="00981405">
        <w:t xml:space="preserve"> </w:t>
      </w:r>
      <w:r w:rsidRPr="00981405">
        <w:t>the</w:t>
      </w:r>
      <w:r w:rsidR="00190923" w:rsidRPr="00981405">
        <w:t xml:space="preserve"> </w:t>
      </w:r>
      <w:r w:rsidRPr="00981405">
        <w:t>observed</w:t>
      </w:r>
      <w:r w:rsidR="00190923" w:rsidRPr="00981405">
        <w:t xml:space="preserve"> </w:t>
      </w:r>
      <w:r w:rsidRPr="00981405">
        <w:t>increase</w:t>
      </w:r>
      <w:r w:rsidR="00190923" w:rsidRPr="00981405">
        <w:t xml:space="preserve"> </w:t>
      </w:r>
      <w:r w:rsidRPr="00981405">
        <w:t>in</w:t>
      </w:r>
      <w:r w:rsidR="00190923" w:rsidRPr="00981405">
        <w:t xml:space="preserve"> </w:t>
      </w:r>
      <w:r w:rsidRPr="00981405">
        <w:t>global</w:t>
      </w:r>
      <w:r w:rsidR="00190923" w:rsidRPr="00981405">
        <w:t xml:space="preserve"> </w:t>
      </w:r>
      <w:r w:rsidRPr="00981405">
        <w:t>average</w:t>
      </w:r>
      <w:r w:rsidR="00190923" w:rsidRPr="00981405">
        <w:t xml:space="preserve"> </w:t>
      </w:r>
      <w:r w:rsidRPr="00981405">
        <w:t>surface</w:t>
      </w:r>
      <w:r w:rsidR="00190923" w:rsidRPr="00981405">
        <w:t xml:space="preserve"> </w:t>
      </w:r>
      <w:r w:rsidRPr="00981405">
        <w:t>temperature</w:t>
      </w:r>
      <w:r w:rsidR="00190923" w:rsidRPr="00981405">
        <w:t xml:space="preserve"> </w:t>
      </w:r>
      <w:r w:rsidRPr="00981405">
        <w:t>from</w:t>
      </w:r>
      <w:r w:rsidR="00190923" w:rsidRPr="00981405">
        <w:t xml:space="preserve"> </w:t>
      </w:r>
      <w:r w:rsidRPr="00981405">
        <w:t>1951</w:t>
      </w:r>
      <w:r w:rsidR="00190923" w:rsidRPr="00981405">
        <w:t xml:space="preserve"> </w:t>
      </w:r>
      <w:r w:rsidRPr="00981405">
        <w:t>to</w:t>
      </w:r>
      <w:r w:rsidR="00190923" w:rsidRPr="00981405">
        <w:t xml:space="preserve"> </w:t>
      </w:r>
      <w:r w:rsidRPr="00981405">
        <w:t>2010</w:t>
      </w:r>
      <w:r w:rsidR="00190923" w:rsidRPr="00981405">
        <w:t xml:space="preserve"> </w:t>
      </w:r>
      <w:r w:rsidRPr="00981405">
        <w:t>was</w:t>
      </w:r>
      <w:r w:rsidR="00190923" w:rsidRPr="00981405">
        <w:t xml:space="preserve"> </w:t>
      </w:r>
      <w:r w:rsidRPr="00981405">
        <w:t>caused</w:t>
      </w:r>
      <w:r w:rsidR="00190923" w:rsidRPr="00981405">
        <w:t xml:space="preserve"> </w:t>
      </w:r>
      <w:r w:rsidRPr="00981405">
        <w:t>by</w:t>
      </w:r>
      <w:r w:rsidR="00190923" w:rsidRPr="00981405">
        <w:t xml:space="preserve"> </w:t>
      </w:r>
      <w:r w:rsidRPr="00981405">
        <w:t>the</w:t>
      </w:r>
      <w:r w:rsidR="00190923" w:rsidRPr="00981405">
        <w:t xml:space="preserve"> </w:t>
      </w:r>
      <w:r w:rsidRPr="00981405">
        <w:t>anthropogenic</w:t>
      </w:r>
      <w:r w:rsidR="00190923" w:rsidRPr="00981405">
        <w:t xml:space="preserve"> </w:t>
      </w:r>
      <w:r w:rsidRPr="00981405">
        <w:t>increase</w:t>
      </w:r>
      <w:r w:rsidR="00190923" w:rsidRPr="00981405">
        <w:t xml:space="preserve"> </w:t>
      </w:r>
      <w:r w:rsidRPr="00981405">
        <w:t>in</w:t>
      </w:r>
      <w:r w:rsidR="00190923" w:rsidRPr="00981405">
        <w:t xml:space="preserve"> </w:t>
      </w:r>
      <w:r w:rsidRPr="00981405">
        <w:t>greenhouse</w:t>
      </w:r>
      <w:r w:rsidR="00190923" w:rsidRPr="00981405">
        <w:t xml:space="preserve"> </w:t>
      </w:r>
      <w:r w:rsidRPr="00981405">
        <w:t>gas</w:t>
      </w:r>
      <w:r w:rsidR="00190923" w:rsidRPr="00981405">
        <w:t xml:space="preserve"> </w:t>
      </w:r>
      <w:r w:rsidRPr="00981405">
        <w:t>concentrations</w:t>
      </w:r>
      <w:r w:rsidR="00190923" w:rsidRPr="00981405">
        <w:t xml:space="preserve"> </w:t>
      </w:r>
      <w:r w:rsidRPr="00981405">
        <w:t>and</w:t>
      </w:r>
      <w:r w:rsidR="00190923" w:rsidRPr="00981405">
        <w:t xml:space="preserve"> </w:t>
      </w:r>
      <w:r w:rsidRPr="00981405">
        <w:t>other</w:t>
      </w:r>
      <w:r w:rsidR="00190923" w:rsidRPr="00981405">
        <w:t xml:space="preserve"> </w:t>
      </w:r>
      <w:r w:rsidRPr="00981405">
        <w:t>anthropogenic</w:t>
      </w:r>
      <w:r w:rsidR="00190923" w:rsidRPr="00981405">
        <w:t xml:space="preserve"> </w:t>
      </w:r>
      <w:r w:rsidR="00B92E2C" w:rsidRPr="00981405">
        <w:t>“</w:t>
      </w:r>
      <w:r w:rsidRPr="00981405">
        <w:t>forcings</w:t>
      </w:r>
      <w:r w:rsidR="00B92E2C" w:rsidRPr="00981405">
        <w:t>”</w:t>
      </w:r>
      <w:r w:rsidR="00190923" w:rsidRPr="00981405">
        <w:t xml:space="preserve"> </w:t>
      </w:r>
      <w:r w:rsidRPr="00981405">
        <w:t>together.</w:t>
      </w:r>
      <w:r w:rsidRPr="00981405">
        <w:rPr>
          <w:rStyle w:val="FootnoteReference"/>
        </w:rPr>
        <w:footnoteReference w:id="51"/>
      </w:r>
      <w:r w:rsidR="00190923" w:rsidRPr="00981405">
        <w:t xml:space="preserve"> </w:t>
      </w:r>
    </w:p>
    <w:p w:rsidR="00397032" w:rsidRPr="00981405" w:rsidRDefault="00397032" w:rsidP="00D97463">
      <w:pPr>
        <w:pStyle w:val="SingleTxt"/>
      </w:pPr>
      <w:r w:rsidRPr="00981405">
        <w:lastRenderedPageBreak/>
        <w:t>(3)</w:t>
      </w:r>
      <w:r w:rsidRPr="00981405">
        <w:tab/>
        <w:t>The</w:t>
      </w:r>
      <w:r w:rsidR="00190923" w:rsidRPr="00981405">
        <w:t xml:space="preserve"> </w:t>
      </w:r>
      <w:r w:rsidRPr="00981405">
        <w:t>guidelines</w:t>
      </w:r>
      <w:r w:rsidR="00190923" w:rsidRPr="00981405">
        <w:t xml:space="preserve"> </w:t>
      </w:r>
      <w:r w:rsidRPr="00981405">
        <w:t>will</w:t>
      </w:r>
      <w:r w:rsidR="00190923" w:rsidRPr="00981405">
        <w:t xml:space="preserve"> </w:t>
      </w:r>
      <w:r w:rsidRPr="00981405">
        <w:t>also</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domestic</w:t>
      </w:r>
      <w:r w:rsidR="00190923" w:rsidRPr="00981405">
        <w:t xml:space="preserve"> </w:t>
      </w:r>
      <w:r w:rsidRPr="00981405">
        <w:t>or</w:t>
      </w:r>
      <w:r w:rsidR="00190923" w:rsidRPr="00981405">
        <w:t xml:space="preserve"> </w:t>
      </w:r>
      <w:r w:rsidRPr="00981405">
        <w:t>local</w:t>
      </w:r>
      <w:r w:rsidR="00190923" w:rsidRPr="00981405">
        <w:t xml:space="preserve"> </w:t>
      </w:r>
      <w:r w:rsidRPr="00981405">
        <w:t>pollution.</w:t>
      </w:r>
      <w:r w:rsidR="00190923" w:rsidRPr="00981405">
        <w:t xml:space="preserve"> </w:t>
      </w:r>
      <w:r w:rsidRPr="00981405">
        <w:t>It</w:t>
      </w:r>
      <w:r w:rsidR="00190923" w:rsidRPr="00981405">
        <w:t xml:space="preserve"> </w:t>
      </w:r>
      <w:r w:rsidRPr="00981405">
        <w:t>may</w:t>
      </w:r>
      <w:r w:rsidR="00190923" w:rsidRPr="00981405">
        <w:t xml:space="preserve"> </w:t>
      </w:r>
      <w:r w:rsidRPr="00981405">
        <w:t>be</w:t>
      </w:r>
      <w:r w:rsidR="00190923" w:rsidRPr="00981405">
        <w:t xml:space="preserve"> </w:t>
      </w:r>
      <w:r w:rsidRPr="00981405">
        <w:t>noted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whatever</w:t>
      </w:r>
      <w:r w:rsidR="00190923" w:rsidRPr="00981405">
        <w:t xml:space="preserve"> </w:t>
      </w:r>
      <w:r w:rsidRPr="00981405">
        <w:t>happens</w:t>
      </w:r>
      <w:r w:rsidR="00190923" w:rsidRPr="00981405">
        <w:t xml:space="preserve"> </w:t>
      </w:r>
      <w:r w:rsidRPr="00981405">
        <w:t>locally</w:t>
      </w:r>
      <w:r w:rsidR="00190923" w:rsidRPr="00981405">
        <w:t xml:space="preserve"> </w:t>
      </w:r>
      <w:r w:rsidRPr="00981405">
        <w:t>may</w:t>
      </w:r>
      <w:r w:rsidR="00190923" w:rsidRPr="00981405">
        <w:t xml:space="preserve"> </w:t>
      </w:r>
      <w:r w:rsidRPr="00981405">
        <w:t>sometimes</w:t>
      </w:r>
      <w:r w:rsidR="00190923" w:rsidRPr="00981405">
        <w:t xml:space="preserve"> </w:t>
      </w:r>
      <w:r w:rsidRPr="00981405">
        <w:t>have</w:t>
      </w:r>
      <w:r w:rsidR="00190923" w:rsidRPr="00981405">
        <w:t xml:space="preserve"> </w:t>
      </w:r>
      <w:r w:rsidRPr="00981405">
        <w:t>a</w:t>
      </w:r>
      <w:r w:rsidR="00190923" w:rsidRPr="00981405">
        <w:t xml:space="preserve"> </w:t>
      </w:r>
      <w:r w:rsidRPr="00981405">
        <w:t>bearing</w:t>
      </w:r>
      <w:r w:rsidR="00190923" w:rsidRPr="00981405">
        <w:t xml:space="preserve"> </w:t>
      </w:r>
      <w:r w:rsidRPr="00981405">
        <w:t>on</w:t>
      </w:r>
      <w:r w:rsidR="00190923" w:rsidRPr="00981405">
        <w:t xml:space="preserve"> </w:t>
      </w:r>
      <w:r w:rsidRPr="00981405">
        <w:t>the</w:t>
      </w:r>
      <w:r w:rsidR="00190923" w:rsidRPr="00981405">
        <w:t xml:space="preserve"> </w:t>
      </w:r>
      <w:r w:rsidRPr="00981405">
        <w:t>transboundary</w:t>
      </w:r>
      <w:r w:rsidR="00190923" w:rsidRPr="00981405">
        <w:t xml:space="preserve"> </w:t>
      </w:r>
      <w:r w:rsidRPr="00981405">
        <w:t>and</w:t>
      </w:r>
      <w:r w:rsidR="00190923" w:rsidRPr="00981405">
        <w:t xml:space="preserve"> </w:t>
      </w:r>
      <w:r w:rsidRPr="00981405">
        <w:t>global</w:t>
      </w:r>
      <w:r w:rsidR="00190923" w:rsidRPr="00981405">
        <w:t xml:space="preserve"> </w:t>
      </w:r>
      <w:r w:rsidRPr="00981405">
        <w:t>context</w:t>
      </w:r>
      <w:r w:rsidR="00190923" w:rsidRPr="00981405">
        <w:t xml:space="preserve"> </w:t>
      </w:r>
      <w:r w:rsidRPr="00981405">
        <w:t>in</w:t>
      </w:r>
      <w:r w:rsidR="00190923" w:rsidRPr="00981405">
        <w:t xml:space="preserve"> </w:t>
      </w:r>
      <w:r w:rsidRPr="00981405">
        <w:t>so</w:t>
      </w:r>
      <w:r w:rsidR="00190923" w:rsidRPr="00981405">
        <w:t xml:space="preserve"> </w:t>
      </w:r>
      <w:r w:rsidRPr="00981405">
        <w:t>far</w:t>
      </w:r>
      <w:r w:rsidR="00190923" w:rsidRPr="00981405">
        <w:t xml:space="preserve"> </w:t>
      </w:r>
      <w:r w:rsidRPr="00981405">
        <w:t>as</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concerned.</w:t>
      </w:r>
      <w:r w:rsidR="00190923" w:rsidRPr="00981405">
        <w:t xml:space="preserve"> </w:t>
      </w:r>
      <w:r w:rsidRPr="00981405">
        <w:t>Ameliorative</w:t>
      </w:r>
      <w:r w:rsidR="00190923" w:rsidRPr="00981405">
        <w:t xml:space="preserve"> </w:t>
      </w:r>
      <w:r w:rsidRPr="00981405">
        <w:t>human</w:t>
      </w:r>
      <w:r w:rsidR="00190923" w:rsidRPr="00981405">
        <w:t xml:space="preserve"> </w:t>
      </w:r>
      <w:r w:rsidRPr="00981405">
        <w:t>action,</w:t>
      </w:r>
      <w:r w:rsidR="00190923" w:rsidRPr="00981405">
        <w:t xml:space="preserve"> </w:t>
      </w:r>
      <w:r w:rsidRPr="00981405">
        <w:t>taken</w:t>
      </w:r>
      <w:r w:rsidR="00190923" w:rsidRPr="00981405">
        <w:t xml:space="preserve"> </w:t>
      </w:r>
      <w:r w:rsidRPr="00981405">
        <w:t>individually</w:t>
      </w:r>
      <w:r w:rsidR="00190923" w:rsidRPr="00981405">
        <w:t xml:space="preserve"> </w:t>
      </w:r>
      <w:r w:rsidRPr="00981405">
        <w:t>or</w:t>
      </w:r>
      <w:r w:rsidR="00190923" w:rsidRPr="00981405">
        <w:t xml:space="preserve"> </w:t>
      </w:r>
      <w:r w:rsidRPr="00981405">
        <w:t>collectively,</w:t>
      </w:r>
      <w:r w:rsidR="00190923" w:rsidRPr="00981405">
        <w:t xml:space="preserve"> </w:t>
      </w:r>
      <w:r w:rsidRPr="00981405">
        <w:t>may</w:t>
      </w:r>
      <w:r w:rsidR="00190923" w:rsidRPr="00981405">
        <w:t xml:space="preserve"> </w:t>
      </w:r>
      <w:r w:rsidRPr="00981405">
        <w:t>need</w:t>
      </w:r>
      <w:r w:rsidR="00190923" w:rsidRPr="00981405">
        <w:t xml:space="preserve"> </w:t>
      </w:r>
      <w:r w:rsidRPr="00981405">
        <w:t>to</w:t>
      </w:r>
      <w:r w:rsidR="00190923" w:rsidRPr="00981405">
        <w:t xml:space="preserve"> </w:t>
      </w:r>
      <w:r w:rsidRPr="00981405">
        <w:t>take</w:t>
      </w:r>
      <w:r w:rsidR="00190923" w:rsidRPr="00981405">
        <w:t xml:space="preserve"> </w:t>
      </w:r>
      <w:r w:rsidRPr="00981405">
        <w:t>into</w:t>
      </w:r>
      <w:r w:rsidR="00190923" w:rsidRPr="00981405">
        <w:t xml:space="preserve"> </w:t>
      </w:r>
      <w:r w:rsidRPr="00981405">
        <w:t>account</w:t>
      </w:r>
      <w:r w:rsidR="00190923" w:rsidRPr="00981405">
        <w:t xml:space="preserve"> </w:t>
      </w:r>
      <w:r w:rsidRPr="00981405">
        <w:t>the</w:t>
      </w:r>
      <w:r w:rsidR="00190923" w:rsidRPr="00981405">
        <w:t xml:space="preserve"> </w:t>
      </w:r>
      <w:r w:rsidRPr="00981405">
        <w:t>totality</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hydrosphere,</w:t>
      </w:r>
      <w:r w:rsidR="00190923" w:rsidRPr="00981405">
        <w:t xml:space="preserve"> </w:t>
      </w:r>
      <w:r w:rsidRPr="00981405">
        <w:t>biosphere</w:t>
      </w:r>
      <w:r w:rsidR="00190923" w:rsidRPr="00981405">
        <w:t xml:space="preserve"> </w:t>
      </w:r>
      <w:r w:rsidRPr="00981405">
        <w:t>and</w:t>
      </w:r>
      <w:r w:rsidR="00190923" w:rsidRPr="00981405">
        <w:t xml:space="preserve"> </w:t>
      </w:r>
      <w:r w:rsidRPr="00981405">
        <w:t>geosphere</w:t>
      </w:r>
      <w:r w:rsidR="00190923" w:rsidRPr="00981405">
        <w:t xml:space="preserve"> </w:t>
      </w:r>
      <w:r w:rsidRPr="00981405">
        <w:t>and</w:t>
      </w:r>
      <w:r w:rsidR="00190923" w:rsidRPr="00981405">
        <w:t xml:space="preserve"> </w:t>
      </w:r>
      <w:r w:rsidRPr="00981405">
        <w:t>their</w:t>
      </w:r>
      <w:r w:rsidR="00190923" w:rsidRPr="00981405">
        <w:t xml:space="preserve"> </w:t>
      </w:r>
      <w:r w:rsidRPr="00981405">
        <w:t>interactions.</w:t>
      </w:r>
    </w:p>
    <w:p w:rsidR="00397032" w:rsidRPr="00981405" w:rsidRDefault="00397032" w:rsidP="00D97463">
      <w:pPr>
        <w:pStyle w:val="SingleTxt"/>
      </w:pPr>
      <w:r w:rsidRPr="00981405">
        <w:t>(4)</w:t>
      </w:r>
      <w:r w:rsidRPr="00981405">
        <w:tab/>
        <w:t>Sulphur</w:t>
      </w:r>
      <w:r w:rsidR="00190923" w:rsidRPr="00981405">
        <w:t xml:space="preserve"> </w:t>
      </w:r>
      <w:r w:rsidRPr="00981405">
        <w:t>dioxide</w:t>
      </w:r>
      <w:r w:rsidR="00190923" w:rsidRPr="00981405">
        <w:t xml:space="preserve"> </w:t>
      </w:r>
      <w:r w:rsidRPr="00981405">
        <w:t>and</w:t>
      </w:r>
      <w:r w:rsidR="00190923" w:rsidRPr="00981405">
        <w:t xml:space="preserve"> </w:t>
      </w:r>
      <w:r w:rsidRPr="00981405">
        <w:t>nitrogen</w:t>
      </w:r>
      <w:r w:rsidR="00190923" w:rsidRPr="00981405">
        <w:t xml:space="preserve"> </w:t>
      </w:r>
      <w:r w:rsidRPr="00981405">
        <w:t>oxides</w:t>
      </w:r>
      <w:r w:rsidR="00190923" w:rsidRPr="00981405">
        <w:t xml:space="preserve"> </w:t>
      </w:r>
      <w:r w:rsidRPr="00981405">
        <w:t>are</w:t>
      </w:r>
      <w:r w:rsidR="00190923" w:rsidRPr="00981405">
        <w:t xml:space="preserve"> </w:t>
      </w:r>
      <w:r w:rsidRPr="00981405">
        <w:t>the</w:t>
      </w:r>
      <w:r w:rsidR="00190923" w:rsidRPr="00981405">
        <w:t xml:space="preserve"> </w:t>
      </w:r>
      <w:r w:rsidRPr="00981405">
        <w:t>main</w:t>
      </w:r>
      <w:r w:rsidR="00190923" w:rsidRPr="00981405">
        <w:t xml:space="preserve"> </w:t>
      </w:r>
      <w:r w:rsidRPr="00981405">
        <w:t>sources</w:t>
      </w:r>
      <w:r w:rsidR="00190923" w:rsidRPr="00981405">
        <w:t xml:space="preserve"> </w:t>
      </w:r>
      <w:r w:rsidRPr="00981405">
        <w:t>of</w:t>
      </w:r>
      <w:r w:rsidR="00190923" w:rsidRPr="00981405">
        <w:t xml:space="preserve"> </w:t>
      </w:r>
      <w:r w:rsidRPr="00981405">
        <w:t>transboundary</w:t>
      </w:r>
      <w:r w:rsidR="00190923" w:rsidRPr="00981405">
        <w:t xml:space="preserve"> </w:t>
      </w:r>
      <w:r w:rsidRPr="00981405">
        <w:t>atmospheric</w:t>
      </w:r>
      <w:r w:rsidR="00190923" w:rsidRPr="00981405">
        <w:t xml:space="preserve"> </w:t>
      </w:r>
      <w:r w:rsidRPr="00981405">
        <w:t>pollution,</w:t>
      </w:r>
      <w:r w:rsidRPr="00981405">
        <w:rPr>
          <w:rStyle w:val="FootnoteReference"/>
        </w:rPr>
        <w:footnoteReference w:id="52"/>
      </w:r>
      <w:r w:rsidR="00190923" w:rsidRPr="00981405">
        <w:t xml:space="preserve"> </w:t>
      </w:r>
      <w:r w:rsidRPr="00981405">
        <w:t>while</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and</w:t>
      </w:r>
      <w:r w:rsidR="00190923" w:rsidRPr="00981405">
        <w:t xml:space="preserve"> </w:t>
      </w:r>
      <w:r w:rsidRPr="00981405">
        <w:t>depletion</w:t>
      </w:r>
      <w:r w:rsidR="00190923" w:rsidRPr="00981405">
        <w:t xml:space="preserve"> </w:t>
      </w:r>
      <w:r w:rsidRPr="00981405">
        <w:t>of</w:t>
      </w:r>
      <w:r w:rsidR="00190923" w:rsidRPr="00981405">
        <w:t xml:space="preserve"> </w:t>
      </w:r>
      <w:r w:rsidRPr="00981405">
        <w:t>the</w:t>
      </w:r>
      <w:r w:rsidR="00190923" w:rsidRPr="00981405">
        <w:t xml:space="preserve"> </w:t>
      </w:r>
      <w:r w:rsidRPr="00981405">
        <w:t>ozone</w:t>
      </w:r>
      <w:r w:rsidR="00190923" w:rsidRPr="00981405">
        <w:t xml:space="preserve"> </w:t>
      </w:r>
      <w:r w:rsidRPr="00981405">
        <w:t>layer</w:t>
      </w:r>
      <w:r w:rsidR="00190923" w:rsidRPr="00981405">
        <w:t xml:space="preserve"> </w:t>
      </w:r>
      <w:r w:rsidRPr="00981405">
        <w:t>are</w:t>
      </w:r>
      <w:r w:rsidR="00190923" w:rsidRPr="00981405">
        <w:t xml:space="preserve"> </w:t>
      </w:r>
      <w:r w:rsidRPr="00981405">
        <w:t>the</w:t>
      </w:r>
      <w:r w:rsidR="00190923" w:rsidRPr="00981405">
        <w:t xml:space="preserve"> </w:t>
      </w:r>
      <w:r w:rsidRPr="00981405">
        <w:t>two</w:t>
      </w:r>
      <w:r w:rsidR="00190923" w:rsidRPr="00981405">
        <w:t xml:space="preserve"> </w:t>
      </w:r>
      <w:r w:rsidRPr="00981405">
        <w:t>principal</w:t>
      </w:r>
      <w:r w:rsidR="00190923" w:rsidRPr="00981405">
        <w:t xml:space="preserve"> </w:t>
      </w:r>
      <w:r w:rsidRPr="00981405">
        <w:t>concerns</w:t>
      </w:r>
      <w:r w:rsidR="00190923" w:rsidRPr="00981405">
        <w:t xml:space="preserve"> </w:t>
      </w:r>
      <w:r w:rsidRPr="00981405">
        <w:t>leading</w:t>
      </w:r>
      <w:r w:rsidR="00190923" w:rsidRPr="00981405">
        <w:t xml:space="preserve"> </w:t>
      </w:r>
      <w:r w:rsidRPr="00981405">
        <w:t>to</w:t>
      </w:r>
      <w:r w:rsidR="00190923" w:rsidRPr="00981405">
        <w:t xml:space="preserve"> </w:t>
      </w:r>
      <w:r w:rsidRPr="00981405">
        <w:t>atmospheric</w:t>
      </w:r>
      <w:r w:rsidR="00190923" w:rsidRPr="00981405">
        <w:t xml:space="preserve"> </w:t>
      </w:r>
      <w:r w:rsidRPr="00981405">
        <w:t>degradation.</w:t>
      </w:r>
      <w:r w:rsidRPr="00981405">
        <w:rPr>
          <w:rStyle w:val="FootnoteReference"/>
        </w:rPr>
        <w:footnoteReference w:id="53"/>
      </w:r>
      <w:r w:rsidR="00190923" w:rsidRPr="00981405">
        <w:t xml:space="preserve"> </w:t>
      </w:r>
      <w:r w:rsidRPr="00981405">
        <w:t>Certain</w:t>
      </w:r>
      <w:r w:rsidR="00190923" w:rsidRPr="00981405">
        <w:t xml:space="preserve"> </w:t>
      </w:r>
      <w:r w:rsidRPr="00981405">
        <w:t>ozone</w:t>
      </w:r>
      <w:r w:rsidR="00190923" w:rsidRPr="00981405">
        <w:t xml:space="preserve"> </w:t>
      </w:r>
      <w:r w:rsidRPr="00981405">
        <w:t>depleting</w:t>
      </w:r>
      <w:r w:rsidR="00190923" w:rsidRPr="00981405">
        <w:t xml:space="preserve"> </w:t>
      </w:r>
      <w:r w:rsidRPr="00981405">
        <w:t>substances</w:t>
      </w:r>
      <w:r w:rsidR="00190923" w:rsidRPr="00981405">
        <w:t xml:space="preserve"> </w:t>
      </w:r>
      <w:r w:rsidRPr="00981405">
        <w:t>also</w:t>
      </w:r>
      <w:r w:rsidR="00190923" w:rsidRPr="00981405">
        <w:t xml:space="preserve"> </w:t>
      </w:r>
      <w:r w:rsidRPr="00981405">
        <w:t>contribute</w:t>
      </w:r>
      <w:r w:rsidR="00190923" w:rsidRPr="00981405">
        <w:t xml:space="preserve"> </w:t>
      </w:r>
      <w:r w:rsidRPr="00981405">
        <w:t>to</w:t>
      </w:r>
      <w:r w:rsidR="00190923" w:rsidRPr="00981405">
        <w:t xml:space="preserve"> </w:t>
      </w:r>
      <w:r w:rsidRPr="00981405">
        <w:t>global</w:t>
      </w:r>
      <w:r w:rsidR="00190923" w:rsidRPr="00981405">
        <w:t xml:space="preserve"> </w:t>
      </w:r>
      <w:r w:rsidRPr="00981405">
        <w:t>warming.</w:t>
      </w:r>
      <w:r w:rsidRPr="00981405">
        <w:rPr>
          <w:rStyle w:val="FootnoteReference"/>
        </w:rPr>
        <w:footnoteReference w:id="54"/>
      </w:r>
    </w:p>
    <w:p w:rsidR="00397032" w:rsidRPr="00981405" w:rsidRDefault="00397032" w:rsidP="00D97463">
      <w:pPr>
        <w:pStyle w:val="SingleTxt"/>
      </w:pPr>
      <w:r w:rsidRPr="00981405">
        <w:t>(5)</w:t>
      </w:r>
      <w:r w:rsidRPr="00981405">
        <w:tab/>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00B92E2C" w:rsidRPr="00981405">
        <w:t>“</w:t>
      </w:r>
      <w:r w:rsidRPr="00981405">
        <w:t>contain</w:t>
      </w:r>
      <w:r w:rsidR="00190923" w:rsidRPr="00981405">
        <w:t xml:space="preserve"> </w:t>
      </w:r>
      <w:r w:rsidRPr="00981405">
        <w:t>guiding</w:t>
      </w:r>
      <w:r w:rsidR="00190923" w:rsidRPr="00981405">
        <w:t xml:space="preserve"> </w:t>
      </w:r>
      <w:r w:rsidRPr="00981405">
        <w:t>principles</w:t>
      </w:r>
      <w:r w:rsidR="00190923" w:rsidRPr="00981405">
        <w:t xml:space="preserve"> </w:t>
      </w:r>
      <w:r w:rsidRPr="00981405">
        <w:t>relating</w:t>
      </w:r>
      <w:r w:rsidR="00190923" w:rsidRPr="00981405">
        <w:t xml:space="preserve"> </w:t>
      </w:r>
      <w:r w:rsidRPr="00981405">
        <w:t>to</w:t>
      </w:r>
      <w:r w:rsidR="00B92E2C" w:rsidRPr="00981405">
        <w:t>”</w:t>
      </w:r>
      <w:r w:rsidR="00190923" w:rsidRPr="00981405">
        <w:t xml:space="preserve"> </w:t>
      </w:r>
      <w:r w:rsidRPr="00981405">
        <w:t>or</w:t>
      </w:r>
      <w:r w:rsidR="00190923" w:rsidRPr="00981405">
        <w:t xml:space="preserve"> </w:t>
      </w:r>
      <w:r w:rsidR="00B92E2C" w:rsidRPr="00981405">
        <w:t>“</w:t>
      </w:r>
      <w:r w:rsidRPr="00981405">
        <w:t>deal</w:t>
      </w:r>
      <w:r w:rsidR="00190923" w:rsidRPr="00981405">
        <w:t xml:space="preserve"> </w:t>
      </w:r>
      <w:r w:rsidRPr="00981405">
        <w:t>with</w:t>
      </w:r>
      <w:r w:rsidR="00B92E2C" w:rsidRPr="00981405">
        <w:t>”</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is</w:t>
      </w:r>
      <w:r w:rsidR="00190923" w:rsidRPr="00981405">
        <w:t xml:space="preserve"> </w:t>
      </w:r>
      <w:r w:rsidRPr="00981405">
        <w:t>a</w:t>
      </w:r>
      <w:r w:rsidR="00190923" w:rsidRPr="00981405">
        <w:t xml:space="preserve"> </w:t>
      </w:r>
      <w:r w:rsidRPr="00981405">
        <w:t>matter</w:t>
      </w:r>
      <w:r w:rsidR="00190923" w:rsidRPr="00981405">
        <w:t xml:space="preserve"> </w:t>
      </w:r>
      <w:r w:rsidRPr="00981405">
        <w:t>that</w:t>
      </w:r>
      <w:r w:rsidR="00190923" w:rsidRPr="00981405">
        <w:t xml:space="preserve"> </w:t>
      </w:r>
      <w:r w:rsidRPr="00981405">
        <w:t>will</w:t>
      </w:r>
      <w:r w:rsidR="00190923" w:rsidRPr="00981405">
        <w:t xml:space="preserve"> </w:t>
      </w:r>
      <w:r w:rsidRPr="00981405">
        <w:t>have</w:t>
      </w:r>
      <w:r w:rsidR="00190923" w:rsidRPr="00981405">
        <w:t xml:space="preserve"> </w:t>
      </w:r>
      <w:r w:rsidRPr="00981405">
        <w:t>to</w:t>
      </w:r>
      <w:r w:rsidR="00190923" w:rsidRPr="00981405">
        <w:t xml:space="preserve"> </w:t>
      </w:r>
      <w:r w:rsidRPr="00981405">
        <w:t>be</w:t>
      </w:r>
      <w:r w:rsidR="00190923" w:rsidRPr="00981405">
        <w:t xml:space="preserve"> </w:t>
      </w:r>
      <w:r w:rsidRPr="00981405">
        <w:t>given</w:t>
      </w:r>
      <w:r w:rsidR="00190923" w:rsidRPr="00981405">
        <w:t xml:space="preserve"> </w:t>
      </w:r>
      <w:r w:rsidRPr="00981405">
        <w:t>further</w:t>
      </w:r>
      <w:r w:rsidR="00190923" w:rsidRPr="00981405">
        <w:t xml:space="preserve"> </w:t>
      </w:r>
      <w:r w:rsidRPr="00981405">
        <w:t>consideration</w:t>
      </w:r>
      <w:r w:rsidR="00190923" w:rsidRPr="00981405">
        <w:t xml:space="preserve"> </w:t>
      </w:r>
      <w:r w:rsidRPr="00981405">
        <w:t>as</w:t>
      </w:r>
      <w:r w:rsidR="00190923" w:rsidRPr="00981405">
        <w:t xml:space="preserve"> </w:t>
      </w:r>
      <w:r w:rsidRPr="00981405">
        <w:t>the</w:t>
      </w:r>
      <w:r w:rsidR="00190923" w:rsidRPr="00981405">
        <w:t xml:space="preserve"> </w:t>
      </w:r>
      <w:r w:rsidRPr="00981405">
        <w:t>work</w:t>
      </w:r>
      <w:r w:rsidR="00190923" w:rsidRPr="00981405">
        <w:t xml:space="preserve"> </w:t>
      </w:r>
      <w:r w:rsidRPr="00981405">
        <w:t>progresses.</w:t>
      </w:r>
      <w:r w:rsidR="00190923" w:rsidRPr="00981405">
        <w:t xml:space="preserve"> </w:t>
      </w:r>
    </w:p>
    <w:p w:rsidR="00397032" w:rsidRPr="00981405" w:rsidRDefault="00397032" w:rsidP="00D97463">
      <w:pPr>
        <w:pStyle w:val="SingleTxt"/>
      </w:pPr>
      <w:r w:rsidRPr="00981405">
        <w:t>(6)</w:t>
      </w:r>
      <w:r w:rsidRPr="00981405">
        <w:tab/>
        <w:t>Paragraphs</w:t>
      </w:r>
      <w:r w:rsidR="00190923" w:rsidRPr="00981405">
        <w:t xml:space="preserve"> </w:t>
      </w:r>
      <w:r w:rsidRPr="00981405">
        <w:t>2</w:t>
      </w:r>
      <w:r w:rsidR="00190923" w:rsidRPr="00981405">
        <w:t xml:space="preserve"> </w:t>
      </w:r>
      <w:r w:rsidRPr="00981405">
        <w:t>and</w:t>
      </w:r>
      <w:r w:rsidR="00190923" w:rsidRPr="00981405">
        <w:t xml:space="preserve"> </w:t>
      </w:r>
      <w:r w:rsidRPr="00981405">
        <w:t>3,</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fourth</w:t>
      </w:r>
      <w:r w:rsidR="00190923" w:rsidRPr="00981405">
        <w:t xml:space="preserve"> </w:t>
      </w:r>
      <w:r w:rsidRPr="00981405">
        <w:t>preambular</w:t>
      </w:r>
      <w:r w:rsidR="00190923" w:rsidRPr="00981405">
        <w:t xml:space="preserve"> </w:t>
      </w:r>
      <w:r w:rsidRPr="00981405">
        <w:t>paragraph,</w:t>
      </w:r>
      <w:r w:rsidR="00190923" w:rsidRPr="00981405">
        <w:t xml:space="preserve"> </w:t>
      </w:r>
      <w:r w:rsidRPr="00981405">
        <w:t>reflect</w:t>
      </w:r>
      <w:r w:rsidR="00190923" w:rsidRPr="00981405">
        <w:t xml:space="preserve"> </w:t>
      </w:r>
      <w:r w:rsidRPr="00981405">
        <w:t>the</w:t>
      </w:r>
      <w:r w:rsidR="00190923" w:rsidRPr="00981405">
        <w:t xml:space="preserve"> </w:t>
      </w:r>
      <w:r w:rsidRPr="00981405">
        <w:t>2013</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when</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Pr="00981405">
        <w:t>included</w:t>
      </w:r>
      <w:r w:rsidR="00190923" w:rsidRPr="00981405">
        <w:t xml:space="preserve"> </w:t>
      </w:r>
      <w:r w:rsidRPr="00981405">
        <w:t>in</w:t>
      </w:r>
      <w:r w:rsidR="00190923" w:rsidRPr="00981405">
        <w:t xml:space="preserve"> </w:t>
      </w:r>
      <w:r w:rsidRPr="00981405">
        <w:t>the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in</w:t>
      </w:r>
      <w:r w:rsidR="00190923" w:rsidRPr="00981405">
        <w:t xml:space="preserve"> </w:t>
      </w:r>
      <w:r w:rsidRPr="00981405">
        <w:t>2013.</w:t>
      </w:r>
      <w:r w:rsidRPr="00981405">
        <w:rPr>
          <w:rStyle w:val="FootnoteReference"/>
        </w:rPr>
        <w:footnoteReference w:id="55"/>
      </w:r>
    </w:p>
    <w:p w:rsidR="00397032" w:rsidRPr="00981405" w:rsidRDefault="00397032" w:rsidP="00D97463">
      <w:pPr>
        <w:pStyle w:val="SingleTxt"/>
      </w:pPr>
      <w:r w:rsidRPr="00981405">
        <w:t>(7)</w:t>
      </w:r>
      <w:r w:rsidRPr="00981405">
        <w:tab/>
        <w:t>Paragraph</w:t>
      </w:r>
      <w:r w:rsidR="00190923" w:rsidRPr="00981405">
        <w:t xml:space="preserve"> </w:t>
      </w:r>
      <w:r w:rsidRPr="00981405">
        <w:t>4</w:t>
      </w:r>
      <w:r w:rsidR="00190923" w:rsidRPr="00981405">
        <w:t xml:space="preserve"> </w:t>
      </w:r>
      <w:r w:rsidRPr="00981405">
        <w:t>is</w:t>
      </w:r>
      <w:r w:rsidR="00190923" w:rsidRPr="00981405">
        <w:t xml:space="preserve"> </w:t>
      </w:r>
      <w:r w:rsidRPr="00981405">
        <w:t>a</w:t>
      </w:r>
      <w:r w:rsidR="00190923" w:rsidRPr="00981405">
        <w:t xml:space="preserve"> </w:t>
      </w:r>
      <w:r w:rsidRPr="00981405">
        <w:t>saving</w:t>
      </w:r>
      <w:r w:rsidR="00190923" w:rsidRPr="00981405">
        <w:t xml:space="preserve"> </w:t>
      </w:r>
      <w:r w:rsidRPr="00981405">
        <w:t>clause</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do</w:t>
      </w:r>
      <w:r w:rsidR="00190923" w:rsidRPr="00981405">
        <w:t xml:space="preserve"> </w:t>
      </w:r>
      <w:r w:rsidRPr="00981405">
        <w:t>not</w:t>
      </w:r>
      <w:r w:rsidR="00190923" w:rsidRPr="00981405">
        <w:t xml:space="preserve"> </w:t>
      </w:r>
      <w:r w:rsidRPr="00981405">
        <w:t>affect</w:t>
      </w:r>
      <w:r w:rsidR="00190923" w:rsidRPr="00981405">
        <w:t xml:space="preserve"> </w:t>
      </w:r>
      <w:r w:rsidRPr="00981405">
        <w:t>the</w:t>
      </w:r>
      <w:r w:rsidR="00190923" w:rsidRPr="00981405">
        <w:t xml:space="preserve"> </w:t>
      </w:r>
      <w:r w:rsidRPr="00981405">
        <w:t>status</w:t>
      </w:r>
      <w:r w:rsidR="00190923" w:rsidRPr="00981405">
        <w:t xml:space="preserve"> </w:t>
      </w:r>
      <w:r w:rsidRPr="00981405">
        <w:t>of</w:t>
      </w:r>
      <w:r w:rsidR="00190923" w:rsidRPr="00981405">
        <w:t xml:space="preserve"> </w:t>
      </w:r>
      <w:r w:rsidRPr="00981405">
        <w:t>airspace</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airspace</w:t>
      </w:r>
      <w:r w:rsidR="00190923" w:rsidRPr="00981405">
        <w:t xml:space="preserve"> </w:t>
      </w:r>
      <w:r w:rsidRPr="00981405">
        <w:t>are</w:t>
      </w:r>
      <w:r w:rsidR="00190923" w:rsidRPr="00981405">
        <w:t xml:space="preserve"> </w:t>
      </w:r>
      <w:r w:rsidRPr="00981405">
        <w:t>two</w:t>
      </w:r>
      <w:r w:rsidR="00190923" w:rsidRPr="00981405">
        <w:t xml:space="preserve"> </w:t>
      </w:r>
      <w:r w:rsidRPr="00981405">
        <w:t>entirely</w:t>
      </w:r>
      <w:r w:rsidR="00190923" w:rsidRPr="00981405">
        <w:t xml:space="preserve"> </w:t>
      </w:r>
      <w:r w:rsidRPr="00981405">
        <w:t>different</w:t>
      </w:r>
      <w:r w:rsidR="00190923" w:rsidRPr="00981405">
        <w:t xml:space="preserve"> </w:t>
      </w:r>
      <w:r w:rsidRPr="00981405">
        <w:t>concepts,</w:t>
      </w:r>
      <w:r w:rsidR="00190923" w:rsidRPr="00981405">
        <w:t xml:space="preserve"> </w:t>
      </w:r>
      <w:r w:rsidRPr="00981405">
        <w:t>which</w:t>
      </w:r>
      <w:r w:rsidR="00190923" w:rsidRPr="00981405">
        <w:t xml:space="preserve"> </w:t>
      </w:r>
      <w:r w:rsidRPr="00981405">
        <w:t>should</w:t>
      </w:r>
      <w:r w:rsidR="00190923" w:rsidRPr="00981405">
        <w:t xml:space="preserve"> </w:t>
      </w:r>
      <w:r w:rsidRPr="00981405">
        <w:t>be</w:t>
      </w:r>
      <w:r w:rsidR="00190923" w:rsidRPr="00981405">
        <w:t xml:space="preserve"> </w:t>
      </w:r>
      <w:r w:rsidRPr="00981405">
        <w:t>distinguished.</w:t>
      </w:r>
      <w:r w:rsidR="00190923" w:rsidRPr="00981405">
        <w:t xml:space="preserve"> </w:t>
      </w:r>
      <w:r w:rsidRPr="00981405">
        <w:t>Airspace</w:t>
      </w:r>
      <w:r w:rsidR="00190923" w:rsidRPr="00981405">
        <w:t xml:space="preserve"> </w:t>
      </w:r>
      <w:r w:rsidRPr="00981405">
        <w:t>is</w:t>
      </w:r>
      <w:r w:rsidR="00190923" w:rsidRPr="00981405">
        <w:t xml:space="preserve"> </w:t>
      </w:r>
      <w:r w:rsidRPr="00981405">
        <w:rPr>
          <w:rFonts w:eastAsia="PMingLiU"/>
        </w:rPr>
        <w:t>a</w:t>
      </w:r>
      <w:r w:rsidR="00190923" w:rsidRPr="00981405">
        <w:t xml:space="preserve"> </w:t>
      </w:r>
      <w:r w:rsidRPr="00981405">
        <w:t>static</w:t>
      </w:r>
      <w:r w:rsidR="00190923" w:rsidRPr="00981405">
        <w:t xml:space="preserve"> </w:t>
      </w:r>
      <w:r w:rsidRPr="00981405">
        <w:t>and</w:t>
      </w:r>
      <w:r w:rsidR="00190923" w:rsidRPr="00981405">
        <w:t xml:space="preserve"> </w:t>
      </w:r>
      <w:r w:rsidRPr="00981405">
        <w:t>spatial</w:t>
      </w:r>
      <w:r w:rsidRPr="00981405">
        <w:rPr>
          <w:rFonts w:eastAsia="PMingLiU"/>
        </w:rPr>
        <w:t>-</w:t>
      </w:r>
      <w:r w:rsidRPr="00981405">
        <w:t>based</w:t>
      </w:r>
      <w:r w:rsidR="00190923" w:rsidRPr="00981405">
        <w:t xml:space="preserve"> </w:t>
      </w:r>
      <w:r w:rsidRPr="00981405">
        <w:t>institution</w:t>
      </w:r>
      <w:r w:rsidR="00190923" w:rsidRPr="00981405">
        <w:t xml:space="preserve"> </w:t>
      </w:r>
      <w:r w:rsidRPr="00981405">
        <w:t>over</w:t>
      </w:r>
      <w:r w:rsidR="00190923" w:rsidRPr="00981405">
        <w:t xml:space="preserve"> </w:t>
      </w:r>
      <w:r w:rsidRPr="00981405">
        <w:t>which</w:t>
      </w:r>
      <w:r w:rsidR="00190923" w:rsidRPr="00981405">
        <w:t xml:space="preserve"> </w:t>
      </w:r>
      <w:r w:rsidRPr="00981405">
        <w:t>the</w:t>
      </w:r>
      <w:r w:rsidR="00190923" w:rsidRPr="00981405">
        <w:t xml:space="preserve"> </w:t>
      </w:r>
      <w:r w:rsidRPr="00981405">
        <w:t>State,</w:t>
      </w:r>
      <w:r w:rsidR="00190923" w:rsidRPr="00981405">
        <w:t xml:space="preserve"> </w:t>
      </w:r>
      <w:r w:rsidRPr="00981405">
        <w:t>within</w:t>
      </w:r>
      <w:r w:rsidR="00190923" w:rsidRPr="00981405">
        <w:t xml:space="preserve"> </w:t>
      </w:r>
      <w:r w:rsidRPr="00981405">
        <w:t>its</w:t>
      </w:r>
      <w:r w:rsidR="00190923" w:rsidRPr="00981405">
        <w:t xml:space="preserve"> </w:t>
      </w:r>
      <w:r w:rsidRPr="00981405">
        <w:t>territory,</w:t>
      </w:r>
      <w:r w:rsidR="00190923" w:rsidRPr="00981405">
        <w:t xml:space="preserve"> </w:t>
      </w:r>
      <w:r w:rsidRPr="00981405">
        <w:t>has</w:t>
      </w:r>
      <w:r w:rsidR="00190923" w:rsidRPr="00981405">
        <w:t xml:space="preserve"> </w:t>
      </w:r>
      <w:r w:rsidR="00B92E2C" w:rsidRPr="00981405">
        <w:t>“</w:t>
      </w:r>
      <w:r w:rsidRPr="00981405">
        <w:t>complete</w:t>
      </w:r>
      <w:r w:rsidR="00190923" w:rsidRPr="00981405">
        <w:t xml:space="preserve"> </w:t>
      </w:r>
      <w:r w:rsidRPr="00981405">
        <w:t>and</w:t>
      </w:r>
      <w:r w:rsidR="00190923" w:rsidRPr="00981405">
        <w:t xml:space="preserve"> </w:t>
      </w:r>
      <w:r w:rsidRPr="00981405">
        <w:t>exclusive</w:t>
      </w:r>
      <w:r w:rsidR="00190923" w:rsidRPr="00981405">
        <w:t xml:space="preserve"> </w:t>
      </w:r>
      <w:r w:rsidRPr="00981405">
        <w:t>sovereignty.</w:t>
      </w:r>
      <w:r w:rsidR="00B92E2C" w:rsidRPr="00981405">
        <w:t>”</w:t>
      </w:r>
      <w:r w:rsidR="00190923" w:rsidRPr="00981405">
        <w:t xml:space="preserve"> </w:t>
      </w:r>
      <w:r w:rsidRPr="00981405">
        <w:t>For</w:t>
      </w:r>
      <w:r w:rsidR="00190923" w:rsidRPr="00981405">
        <w:t xml:space="preserve"> </w:t>
      </w:r>
      <w:r w:rsidRPr="00981405">
        <w:t>instance,</w:t>
      </w:r>
      <w:r w:rsidR="00190923" w:rsidRPr="00981405">
        <w:t xml:space="preserve"> </w:t>
      </w:r>
      <w:r w:rsidRPr="00981405">
        <w:t>article</w:t>
      </w:r>
      <w:r w:rsidR="00190923" w:rsidRPr="00981405">
        <w:t xml:space="preserve"> </w:t>
      </w:r>
      <w:r w:rsidRPr="00981405">
        <w:t>1</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Civil</w:t>
      </w:r>
      <w:r w:rsidR="00190923" w:rsidRPr="00981405">
        <w:t xml:space="preserve"> </w:t>
      </w:r>
      <w:r w:rsidRPr="00981405">
        <w:t>Aviation,</w:t>
      </w:r>
      <w:r w:rsidRPr="00981405">
        <w:rPr>
          <w:rStyle w:val="FootnoteReference"/>
        </w:rPr>
        <w:footnoteReference w:id="56"/>
      </w:r>
      <w:r w:rsidR="00190923" w:rsidRPr="00981405">
        <w:t xml:space="preserve"> </w:t>
      </w:r>
      <w:r w:rsidRPr="00981405">
        <w:t>provides</w:t>
      </w:r>
      <w:r w:rsidR="00190923" w:rsidRPr="00981405">
        <w:t xml:space="preserve"> </w:t>
      </w:r>
      <w:r w:rsidRPr="00981405">
        <w:t>that</w:t>
      </w:r>
      <w:r w:rsidR="00190923" w:rsidRPr="00981405">
        <w:t xml:space="preserve"> </w:t>
      </w:r>
      <w:r w:rsidR="00B92E2C" w:rsidRPr="00981405">
        <w:t>“</w:t>
      </w:r>
      <w:r w:rsidRPr="00981405">
        <w:t>…</w:t>
      </w:r>
      <w:r w:rsidR="00190923" w:rsidRPr="00981405">
        <w:t xml:space="preserve"> </w:t>
      </w:r>
      <w:r w:rsidRPr="00981405">
        <w:t>every</w:t>
      </w:r>
      <w:r w:rsidR="00190923" w:rsidRPr="00981405">
        <w:t xml:space="preserve"> </w:t>
      </w:r>
      <w:r w:rsidRPr="00981405">
        <w:t>State</w:t>
      </w:r>
      <w:r w:rsidR="00190923" w:rsidRPr="00981405">
        <w:t xml:space="preserve"> </w:t>
      </w:r>
      <w:r w:rsidRPr="00981405">
        <w:t>has</w:t>
      </w:r>
      <w:r w:rsidR="00190923" w:rsidRPr="00981405">
        <w:t xml:space="preserve"> </w:t>
      </w:r>
      <w:r w:rsidRPr="00981405">
        <w:t>complete</w:t>
      </w:r>
      <w:r w:rsidR="00190923" w:rsidRPr="00981405">
        <w:t xml:space="preserve"> </w:t>
      </w:r>
      <w:r w:rsidRPr="00981405">
        <w:t>and</w:t>
      </w:r>
      <w:r w:rsidR="00190923" w:rsidRPr="00981405">
        <w:t xml:space="preserve"> </w:t>
      </w:r>
      <w:r w:rsidRPr="00981405">
        <w:t>exclusive</w:t>
      </w:r>
      <w:r w:rsidR="00190923" w:rsidRPr="00981405">
        <w:t xml:space="preserve"> </w:t>
      </w:r>
      <w:r w:rsidRPr="00981405">
        <w:t>sovereignty</w:t>
      </w:r>
      <w:r w:rsidR="00190923" w:rsidRPr="00981405">
        <w:t xml:space="preserve"> </w:t>
      </w:r>
      <w:r w:rsidRPr="00981405">
        <w:t>over</w:t>
      </w:r>
      <w:r w:rsidR="00190923" w:rsidRPr="00981405">
        <w:t xml:space="preserve"> </w:t>
      </w:r>
      <w:r w:rsidRPr="00981405">
        <w:t>the</w:t>
      </w:r>
      <w:r w:rsidR="00190923" w:rsidRPr="00981405">
        <w:t xml:space="preserve"> </w:t>
      </w:r>
      <w:r w:rsidR="00B92E2C" w:rsidRPr="00981405">
        <w:t>‘</w:t>
      </w:r>
      <w:r w:rsidRPr="00981405">
        <w:t>airspace</w:t>
      </w:r>
      <w:r w:rsidR="00B92E2C" w:rsidRPr="00981405">
        <w:t>’</w:t>
      </w:r>
      <w:r w:rsidR="00190923" w:rsidRPr="00981405">
        <w:t xml:space="preserve"> </w:t>
      </w:r>
      <w:r w:rsidRPr="00981405">
        <w:t>above</w:t>
      </w:r>
      <w:r w:rsidR="00190923" w:rsidRPr="00981405">
        <w:t xml:space="preserve"> </w:t>
      </w:r>
      <w:r w:rsidRPr="00981405">
        <w:t>its</w:t>
      </w:r>
      <w:r w:rsidR="00190923" w:rsidRPr="00981405">
        <w:t xml:space="preserve"> </w:t>
      </w:r>
      <w:r w:rsidRPr="00981405">
        <w:t>territory</w:t>
      </w:r>
      <w:r w:rsidR="00B92E2C" w:rsidRPr="00981405">
        <w:t>”</w:t>
      </w:r>
      <w:r w:rsidRPr="00981405">
        <w:t>.</w:t>
      </w:r>
      <w:r w:rsidRPr="00981405">
        <w:rPr>
          <w:rStyle w:val="FootnoteReference"/>
        </w:rPr>
        <w:footnoteReference w:id="57"/>
      </w:r>
      <w:r w:rsidR="00190923" w:rsidRPr="00981405">
        <w:t xml:space="preserve"> </w:t>
      </w:r>
      <w:r w:rsidRPr="00981405">
        <w:t>In</w:t>
      </w:r>
      <w:r w:rsidR="00190923" w:rsidRPr="00981405">
        <w:t xml:space="preserve"> </w:t>
      </w:r>
      <w:r w:rsidRPr="00981405">
        <w:t>turn,</w:t>
      </w:r>
      <w:r w:rsidR="00190923" w:rsidRPr="00981405">
        <w:t xml:space="preserve"> </w:t>
      </w:r>
      <w:r w:rsidRPr="00981405">
        <w:t>article</w:t>
      </w:r>
      <w:r w:rsidR="00190923" w:rsidRPr="00981405">
        <w:t xml:space="preserve"> </w:t>
      </w:r>
      <w:r w:rsidRPr="00981405">
        <w:t>2</w:t>
      </w:r>
      <w:r w:rsidR="00190923" w:rsidRPr="00981405">
        <w:t xml:space="preserve"> </w:t>
      </w:r>
      <w:r w:rsidRPr="00981405">
        <w:t>of</w:t>
      </w:r>
      <w:r w:rsidR="00190923" w:rsidRPr="00981405">
        <w:t xml:space="preserve"> </w:t>
      </w:r>
      <w:r w:rsidRPr="00981405">
        <w:t>the</w:t>
      </w:r>
      <w:r w:rsidR="00190923" w:rsidRPr="00981405">
        <w:t xml:space="preserve"> </w:t>
      </w:r>
      <w:r w:rsidRPr="00981405">
        <w:t>same</w:t>
      </w:r>
      <w:r w:rsidR="00190923" w:rsidRPr="00981405">
        <w:t xml:space="preserve"> </w:t>
      </w:r>
      <w:r w:rsidRPr="00981405">
        <w:t>Convention</w:t>
      </w:r>
      <w:r w:rsidR="00190923" w:rsidRPr="00981405">
        <w:t xml:space="preserve"> </w:t>
      </w:r>
      <w:r w:rsidRPr="00981405">
        <w:t>deems</w:t>
      </w:r>
      <w:r w:rsidR="00190923" w:rsidRPr="00981405">
        <w:t xml:space="preserve"> </w:t>
      </w:r>
      <w:r w:rsidRPr="00981405">
        <w:t>the</w:t>
      </w:r>
      <w:r w:rsidR="00190923" w:rsidRPr="00981405">
        <w:t xml:space="preserve"> </w:t>
      </w:r>
      <w:r w:rsidRPr="00981405">
        <w:t>territory</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to</w:t>
      </w:r>
      <w:r w:rsidR="00190923" w:rsidRPr="00981405">
        <w:t xml:space="preserve"> </w:t>
      </w:r>
      <w:r w:rsidRPr="00981405">
        <w:t>be</w:t>
      </w:r>
      <w:r w:rsidR="00190923" w:rsidRPr="00981405">
        <w:t xml:space="preserve"> </w:t>
      </w:r>
      <w:r w:rsidRPr="00981405">
        <w:t>the</w:t>
      </w:r>
      <w:r w:rsidR="00190923" w:rsidRPr="00981405">
        <w:t xml:space="preserve"> </w:t>
      </w:r>
      <w:r w:rsidRPr="00981405">
        <w:t>land</w:t>
      </w:r>
      <w:r w:rsidR="00190923" w:rsidRPr="00981405">
        <w:t xml:space="preserve"> </w:t>
      </w:r>
      <w:r w:rsidRPr="00981405">
        <w:t>areas</w:t>
      </w:r>
      <w:r w:rsidR="00190923" w:rsidRPr="00981405">
        <w:t xml:space="preserve"> </w:t>
      </w:r>
      <w:r w:rsidRPr="00981405">
        <w:t>and</w:t>
      </w:r>
      <w:r w:rsidR="00190923" w:rsidRPr="00981405">
        <w:t xml:space="preserve"> </w:t>
      </w:r>
      <w:r w:rsidRPr="00981405">
        <w:t>territorial</w:t>
      </w:r>
      <w:r w:rsidR="00190923" w:rsidRPr="00981405">
        <w:t xml:space="preserve"> </w:t>
      </w:r>
      <w:r w:rsidRPr="00981405">
        <w:t>waters</w:t>
      </w:r>
      <w:r w:rsidR="00190923" w:rsidRPr="00981405">
        <w:t xml:space="preserve"> </w:t>
      </w:r>
      <w:r w:rsidRPr="00981405">
        <w:t>adjacent</w:t>
      </w:r>
      <w:r w:rsidR="00190923" w:rsidRPr="00981405">
        <w:t xml:space="preserve"> </w:t>
      </w:r>
      <w:r w:rsidRPr="00981405">
        <w:t>thereto</w:t>
      </w:r>
      <w:r w:rsidR="00190923" w:rsidRPr="00981405">
        <w:t xml:space="preserve"> </w:t>
      </w:r>
      <w:r w:rsidRPr="00981405">
        <w:t>under</w:t>
      </w:r>
      <w:r w:rsidR="00190923" w:rsidRPr="00981405">
        <w:t xml:space="preserve"> </w:t>
      </w:r>
      <w:r w:rsidRPr="00981405">
        <w:t>the</w:t>
      </w:r>
      <w:r w:rsidR="00190923" w:rsidRPr="00981405">
        <w:t xml:space="preserve"> </w:t>
      </w:r>
      <w:r w:rsidRPr="00981405">
        <w:t>sovereignty,</w:t>
      </w:r>
      <w:r w:rsidR="00190923" w:rsidRPr="00981405">
        <w:t xml:space="preserve"> </w:t>
      </w:r>
      <w:r w:rsidRPr="00981405">
        <w:t>suzerainty,</w:t>
      </w:r>
      <w:r w:rsidR="00190923" w:rsidRPr="00981405">
        <w:t xml:space="preserve"> </w:t>
      </w:r>
      <w:r w:rsidRPr="00981405">
        <w:t>protection</w:t>
      </w:r>
      <w:r w:rsidR="00190923" w:rsidRPr="00981405">
        <w:t xml:space="preserve"> </w:t>
      </w:r>
      <w:r w:rsidRPr="00981405">
        <w:t>or</w:t>
      </w:r>
      <w:r w:rsidR="00190923" w:rsidRPr="00981405">
        <w:t xml:space="preserve"> </w:t>
      </w:r>
      <w:r w:rsidRPr="00981405">
        <w:t>mandate</w:t>
      </w:r>
      <w:r w:rsidR="00190923" w:rsidRPr="00981405">
        <w:t xml:space="preserve"> </w:t>
      </w:r>
      <w:r w:rsidRPr="00981405">
        <w:t>of</w:t>
      </w:r>
      <w:r w:rsidR="00190923" w:rsidRPr="00981405">
        <w:t xml:space="preserve"> </w:t>
      </w:r>
      <w:r w:rsidRPr="00981405">
        <w:t>such</w:t>
      </w:r>
      <w:r w:rsidR="00190923" w:rsidRPr="00981405">
        <w:t xml:space="preserve"> </w:t>
      </w:r>
      <w:r w:rsidRPr="00981405">
        <w:t>State.</w:t>
      </w:r>
      <w:r w:rsidR="00190923" w:rsidRPr="00981405">
        <w:t xml:space="preserve"> </w:t>
      </w:r>
      <w:r w:rsidRPr="00981405">
        <w:t>The</w:t>
      </w:r>
      <w:r w:rsidR="00190923" w:rsidRPr="00981405">
        <w:t xml:space="preserve"> </w:t>
      </w:r>
      <w:r w:rsidRPr="00981405">
        <w:t>airspace</w:t>
      </w:r>
      <w:r w:rsidR="00190923" w:rsidRPr="00981405">
        <w:t xml:space="preserve"> </w:t>
      </w:r>
      <w:r w:rsidRPr="00981405">
        <w:t>beyond</w:t>
      </w:r>
      <w:r w:rsidR="00190923" w:rsidRPr="00981405">
        <w:t xml:space="preserve"> </w:t>
      </w:r>
      <w:r w:rsidRPr="00981405">
        <w:t>the</w:t>
      </w:r>
      <w:r w:rsidR="00190923" w:rsidRPr="00981405">
        <w:t xml:space="preserve"> </w:t>
      </w:r>
      <w:r w:rsidRPr="00981405">
        <w:t>boundaries</w:t>
      </w:r>
      <w:r w:rsidR="00190923" w:rsidRPr="00981405">
        <w:t xml:space="preserve"> </w:t>
      </w:r>
      <w:r w:rsidRPr="00981405">
        <w:t>of</w:t>
      </w:r>
      <w:r w:rsidR="00190923" w:rsidRPr="00981405">
        <w:t xml:space="preserve"> </w:t>
      </w:r>
      <w:r w:rsidRPr="00981405">
        <w:t>territorial</w:t>
      </w:r>
      <w:r w:rsidR="00190923" w:rsidRPr="00981405">
        <w:t xml:space="preserve"> </w:t>
      </w:r>
      <w:r w:rsidRPr="00981405">
        <w:t>waters</w:t>
      </w:r>
      <w:r w:rsidR="00190923" w:rsidRPr="00981405">
        <w:t xml:space="preserve"> </w:t>
      </w:r>
      <w:r w:rsidRPr="00981405">
        <w:t>is</w:t>
      </w:r>
      <w:r w:rsidR="00190923" w:rsidRPr="00981405">
        <w:t xml:space="preserve"> </w:t>
      </w:r>
      <w:r w:rsidRPr="00981405">
        <w:t>regarded</w:t>
      </w:r>
      <w:r w:rsidR="00190923" w:rsidRPr="00981405">
        <w:t xml:space="preserve"> </w:t>
      </w:r>
      <w:r w:rsidRPr="00981405">
        <w:t>as</w:t>
      </w:r>
      <w:r w:rsidR="00190923" w:rsidRPr="00981405">
        <w:t xml:space="preserve"> </w:t>
      </w:r>
      <w:r w:rsidRPr="00981405">
        <w:t>being</w:t>
      </w:r>
      <w:r w:rsidR="00190923" w:rsidRPr="00981405">
        <w:t xml:space="preserve"> </w:t>
      </w:r>
      <w:r w:rsidRPr="00981405">
        <w:t>outside</w:t>
      </w:r>
      <w:r w:rsidR="00190923" w:rsidRPr="00981405">
        <w:t xml:space="preserve"> </w:t>
      </w:r>
      <w:r w:rsidRPr="00981405">
        <w:t>the</w:t>
      </w:r>
      <w:r w:rsidR="00190923" w:rsidRPr="00981405">
        <w:t xml:space="preserve"> </w:t>
      </w:r>
      <w:r w:rsidRPr="00981405">
        <w:t>sovereignty</w:t>
      </w:r>
      <w:r w:rsidR="00190923" w:rsidRPr="00981405">
        <w:t xml:space="preserve"> </w:t>
      </w:r>
      <w:r w:rsidRPr="00981405">
        <w:t>of</w:t>
      </w:r>
      <w:r w:rsidR="00190923" w:rsidRPr="00981405">
        <w:t xml:space="preserve"> </w:t>
      </w:r>
      <w:r w:rsidRPr="00981405">
        <w:t>any</w:t>
      </w:r>
      <w:r w:rsidR="00190923" w:rsidRPr="00981405">
        <w:t xml:space="preserve"> </w:t>
      </w:r>
      <w:r w:rsidRPr="00981405">
        <w:t>State</w:t>
      </w:r>
      <w:r w:rsidR="00190923" w:rsidRPr="00981405">
        <w:t xml:space="preserve"> </w:t>
      </w:r>
      <w:r w:rsidRPr="00981405">
        <w:t>and</w:t>
      </w:r>
      <w:r w:rsidR="00190923" w:rsidRPr="00981405">
        <w:t xml:space="preserve"> </w:t>
      </w:r>
      <w:r w:rsidRPr="00981405">
        <w:t>is</w:t>
      </w:r>
      <w:r w:rsidR="00190923" w:rsidRPr="00981405">
        <w:t xml:space="preserve"> </w:t>
      </w:r>
      <w:r w:rsidRPr="00981405">
        <w:t>open</w:t>
      </w:r>
      <w:r w:rsidR="00190923" w:rsidRPr="00981405">
        <w:t xml:space="preserve"> </w:t>
      </w:r>
      <w:r w:rsidRPr="00981405">
        <w:t>for</w:t>
      </w:r>
      <w:r w:rsidR="00190923" w:rsidRPr="00981405">
        <w:t xml:space="preserve"> </w:t>
      </w:r>
      <w:r w:rsidRPr="00981405">
        <w:t>use</w:t>
      </w:r>
      <w:r w:rsidR="00190923" w:rsidRPr="00981405">
        <w:t xml:space="preserve"> </w:t>
      </w:r>
      <w:r w:rsidRPr="00981405">
        <w:t>by</w:t>
      </w:r>
      <w:r w:rsidR="00190923" w:rsidRPr="00981405">
        <w:t xml:space="preserve"> </w:t>
      </w:r>
      <w:r w:rsidRPr="00981405">
        <w:t>all</w:t>
      </w:r>
      <w:r w:rsidR="00190923" w:rsidRPr="00981405">
        <w:t xml:space="preserve"> </w:t>
      </w:r>
      <w:r w:rsidRPr="00981405">
        <w:t>States,</w:t>
      </w:r>
      <w:r w:rsidR="00190923" w:rsidRPr="00981405">
        <w:t xml:space="preserve"> </w:t>
      </w:r>
      <w:r w:rsidRPr="00981405">
        <w:t>like</w:t>
      </w:r>
      <w:r w:rsidR="00190923" w:rsidRPr="00981405">
        <w:t xml:space="preserve"> </w:t>
      </w:r>
      <w:r w:rsidRPr="00981405">
        <w:t>the</w:t>
      </w:r>
      <w:r w:rsidR="00190923" w:rsidRPr="00981405">
        <w:t xml:space="preserve"> </w:t>
      </w:r>
      <w:r w:rsidRPr="00981405">
        <w:t>high</w:t>
      </w:r>
      <w:r w:rsidR="00190923" w:rsidRPr="00981405">
        <w:t xml:space="preserve"> </w:t>
      </w:r>
      <w:r w:rsidRPr="00981405">
        <w:t>seas.</w:t>
      </w:r>
      <w:r w:rsidR="00190923" w:rsidRPr="00981405">
        <w:t xml:space="preserve"> </w:t>
      </w:r>
      <w:r w:rsidRPr="00981405">
        <w:t>On</w:t>
      </w:r>
      <w:r w:rsidR="00190923" w:rsidRPr="00981405">
        <w:t xml:space="preserve"> </w:t>
      </w:r>
      <w:r w:rsidRPr="00981405">
        <w:t>the</w:t>
      </w:r>
      <w:r w:rsidR="00190923" w:rsidRPr="00981405">
        <w:t xml:space="preserve"> </w:t>
      </w:r>
      <w:r w:rsidRPr="00981405">
        <w:t>other</w:t>
      </w:r>
      <w:r w:rsidR="00190923" w:rsidRPr="00981405">
        <w:t xml:space="preserve"> </w:t>
      </w:r>
      <w:r w:rsidRPr="00981405">
        <w:t>hand,</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as</w:t>
      </w:r>
      <w:r w:rsidR="00190923" w:rsidRPr="00981405">
        <w:t xml:space="preserve"> </w:t>
      </w:r>
      <w:r w:rsidRPr="00981405">
        <w:t>an</w:t>
      </w:r>
      <w:r w:rsidR="00190923" w:rsidRPr="00981405">
        <w:t xml:space="preserve"> </w:t>
      </w:r>
      <w:r w:rsidRPr="00981405">
        <w:t>envelope</w:t>
      </w:r>
      <w:r w:rsidR="00190923" w:rsidRPr="00981405">
        <w:t xml:space="preserve"> </w:t>
      </w:r>
      <w:r w:rsidRPr="00981405">
        <w:t>of</w:t>
      </w:r>
      <w:r w:rsidR="00190923" w:rsidRPr="00981405">
        <w:t xml:space="preserve"> </w:t>
      </w:r>
      <w:r w:rsidRPr="00981405">
        <w:t>gases</w:t>
      </w:r>
      <w:r w:rsidR="00190923" w:rsidRPr="00981405">
        <w:t xml:space="preserve"> </w:t>
      </w:r>
      <w:r w:rsidRPr="00981405">
        <w:t>surrounding</w:t>
      </w:r>
      <w:r w:rsidR="00190923" w:rsidRPr="00981405">
        <w:t xml:space="preserve"> </w:t>
      </w:r>
      <w:r w:rsidRPr="00981405">
        <w:t>the</w:t>
      </w:r>
      <w:r w:rsidR="00190923" w:rsidRPr="00981405">
        <w:t xml:space="preserve"> </w:t>
      </w:r>
      <w:r w:rsidRPr="00981405">
        <w:t>Earth,</w:t>
      </w:r>
      <w:r w:rsidR="00190923" w:rsidRPr="00981405">
        <w:t xml:space="preserve"> </w:t>
      </w:r>
      <w:r w:rsidRPr="00981405">
        <w:t>is</w:t>
      </w:r>
      <w:r w:rsidR="00190923" w:rsidRPr="00981405">
        <w:t xml:space="preserve"> </w:t>
      </w:r>
      <w:r w:rsidRPr="00981405">
        <w:t>dynamic</w:t>
      </w:r>
      <w:r w:rsidR="00190923" w:rsidRPr="00981405">
        <w:t xml:space="preserve"> </w:t>
      </w:r>
      <w:r w:rsidRPr="00981405">
        <w:t>and</w:t>
      </w:r>
      <w:r w:rsidR="00190923" w:rsidRPr="00981405">
        <w:t xml:space="preserve"> </w:t>
      </w:r>
      <w:r w:rsidRPr="00981405">
        <w:t>fluctuating,</w:t>
      </w:r>
      <w:r w:rsidR="00190923" w:rsidRPr="00981405">
        <w:t xml:space="preserve"> </w:t>
      </w:r>
      <w:r w:rsidRPr="00981405">
        <w:t>with</w:t>
      </w:r>
      <w:r w:rsidR="00190923" w:rsidRPr="00981405">
        <w:t xml:space="preserve"> </w:t>
      </w:r>
      <w:r w:rsidRPr="00981405">
        <w:t>gases</w:t>
      </w:r>
      <w:r w:rsidR="00190923" w:rsidRPr="00981405">
        <w:t xml:space="preserve"> </w:t>
      </w:r>
      <w:r w:rsidRPr="00981405">
        <w:t>that</w:t>
      </w:r>
      <w:r w:rsidR="00190923" w:rsidRPr="00981405">
        <w:t xml:space="preserve"> </w:t>
      </w:r>
      <w:r w:rsidRPr="00981405">
        <w:rPr>
          <w:rFonts w:eastAsia="PMingLiU"/>
        </w:rPr>
        <w:t>constantly</w:t>
      </w:r>
      <w:r w:rsidR="00190923" w:rsidRPr="00981405">
        <w:rPr>
          <w:rFonts w:eastAsia="PMingLiU"/>
        </w:rPr>
        <w:t xml:space="preserve"> </w:t>
      </w:r>
      <w:r w:rsidRPr="00981405">
        <w:t>move</w:t>
      </w:r>
      <w:r w:rsidR="00190923" w:rsidRPr="00981405">
        <w:t xml:space="preserve"> </w:t>
      </w:r>
      <w:r w:rsidRPr="00981405">
        <w:t>without</w:t>
      </w:r>
      <w:r w:rsidR="00190923" w:rsidRPr="00981405">
        <w:t xml:space="preserve"> </w:t>
      </w:r>
      <w:r w:rsidRPr="00981405">
        <w:t>regard</w:t>
      </w:r>
      <w:r w:rsidR="00190923" w:rsidRPr="00981405">
        <w:t xml:space="preserve"> </w:t>
      </w:r>
      <w:r w:rsidRPr="00981405">
        <w:t>to</w:t>
      </w:r>
      <w:r w:rsidR="00190923" w:rsidRPr="00981405">
        <w:t xml:space="preserve"> </w:t>
      </w:r>
      <w:r w:rsidRPr="00981405">
        <w:t>territorial</w:t>
      </w:r>
      <w:r w:rsidR="00190923" w:rsidRPr="00981405">
        <w:t xml:space="preserve"> </w:t>
      </w:r>
      <w:r w:rsidRPr="00981405">
        <w:t>boundaries.</w:t>
      </w:r>
      <w:r w:rsidRPr="00981405">
        <w:rPr>
          <w:rStyle w:val="FootnoteReference"/>
        </w:rPr>
        <w:footnoteReference w:id="58"/>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invisible,</w:t>
      </w:r>
      <w:r w:rsidR="00190923" w:rsidRPr="00981405">
        <w:t xml:space="preserve"> </w:t>
      </w:r>
      <w:r w:rsidRPr="00981405">
        <w:t>intangible</w:t>
      </w:r>
      <w:r w:rsidR="00190923" w:rsidRPr="00981405">
        <w:t xml:space="preserve"> </w:t>
      </w:r>
      <w:r w:rsidRPr="00981405">
        <w:t>and</w:t>
      </w:r>
      <w:r w:rsidR="00190923" w:rsidRPr="00981405">
        <w:t xml:space="preserve"> </w:t>
      </w:r>
      <w:r w:rsidRPr="00981405">
        <w:t>non-separable.</w:t>
      </w:r>
    </w:p>
    <w:p w:rsidR="00397032" w:rsidRPr="00981405" w:rsidRDefault="00397032" w:rsidP="00D97463">
      <w:pPr>
        <w:pStyle w:val="SingleTxt"/>
      </w:pPr>
      <w:r w:rsidRPr="00981405">
        <w:t>(8)</w:t>
      </w:r>
      <w:r w:rsidRPr="00981405">
        <w:tab/>
        <w:t>Moreover,</w:t>
      </w:r>
      <w:r w:rsidR="00190923" w:rsidRPr="00981405">
        <w:t xml:space="preserve"> </w:t>
      </w:r>
      <w:r w:rsidRPr="00981405">
        <w:t>while</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is</w:t>
      </w:r>
      <w:r w:rsidR="00190923" w:rsidRPr="00981405">
        <w:t xml:space="preserve"> </w:t>
      </w:r>
      <w:r w:rsidRPr="00981405">
        <w:t>spatially</w:t>
      </w:r>
      <w:r w:rsidR="00190923" w:rsidRPr="00981405">
        <w:t xml:space="preserve"> </w:t>
      </w:r>
      <w:r w:rsidRPr="00981405">
        <w:t>divided</w:t>
      </w:r>
      <w:r w:rsidR="00190923" w:rsidRPr="00981405">
        <w:t xml:space="preserve"> </w:t>
      </w:r>
      <w:r w:rsidRPr="00981405">
        <w:t>into</w:t>
      </w:r>
      <w:r w:rsidR="00190923" w:rsidRPr="00981405">
        <w:t xml:space="preserve"> </w:t>
      </w:r>
      <w:r w:rsidRPr="00981405">
        <w:t>spheres</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temperature</w:t>
      </w:r>
      <w:r w:rsidR="00190923" w:rsidRPr="00981405">
        <w:t xml:space="preserve"> </w:t>
      </w:r>
      <w:r w:rsidRPr="00981405">
        <w:t>characteristics,</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sharp</w:t>
      </w:r>
      <w:r w:rsidR="00190923" w:rsidRPr="00981405">
        <w:t xml:space="preserve"> </w:t>
      </w:r>
      <w:r w:rsidRPr="00981405">
        <w:t>scientific</w:t>
      </w:r>
      <w:r w:rsidR="00190923" w:rsidRPr="00981405">
        <w:t xml:space="preserve"> </w:t>
      </w:r>
      <w:r w:rsidRPr="00981405">
        <w:t>boundary</w:t>
      </w:r>
      <w:r w:rsidR="00190923" w:rsidRPr="00981405">
        <w:t xml:space="preserve"> </w:t>
      </w:r>
      <w:r w:rsidRPr="00981405">
        <w:t>between</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and</w:t>
      </w:r>
      <w:r w:rsidR="00190923" w:rsidRPr="00981405">
        <w:t xml:space="preserve"> </w:t>
      </w:r>
      <w:r w:rsidRPr="00981405">
        <w:t>outer</w:t>
      </w:r>
      <w:r w:rsidR="00190923" w:rsidRPr="00981405">
        <w:t xml:space="preserve"> </w:t>
      </w:r>
      <w:r w:rsidRPr="00981405">
        <w:t>space.</w:t>
      </w:r>
      <w:r w:rsidR="00190923" w:rsidRPr="00981405">
        <w:t xml:space="preserve"> </w:t>
      </w:r>
      <w:r w:rsidRPr="00981405">
        <w:t>Beyond</w:t>
      </w:r>
      <w:r w:rsidR="00190923" w:rsidRPr="00981405">
        <w:t xml:space="preserve"> </w:t>
      </w:r>
      <w:r w:rsidRPr="00981405">
        <w:t>100</w:t>
      </w:r>
      <w:r w:rsidR="00190923" w:rsidRPr="00981405">
        <w:t xml:space="preserve"> </w:t>
      </w:r>
      <w:r w:rsidRPr="00981405">
        <w:t>kilometres,</w:t>
      </w:r>
      <w:r w:rsidR="00190923" w:rsidRPr="00981405">
        <w:t xml:space="preserve"> </w:t>
      </w:r>
      <w:r w:rsidRPr="00981405">
        <w:t>traces</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gradually</w:t>
      </w:r>
      <w:r w:rsidR="00190923" w:rsidRPr="00981405">
        <w:t xml:space="preserve"> </w:t>
      </w:r>
      <w:r w:rsidRPr="00981405">
        <w:t>merge</w:t>
      </w:r>
      <w:r w:rsidR="00190923" w:rsidRPr="00981405">
        <w:t xml:space="preserve"> </w:t>
      </w:r>
      <w:r w:rsidRPr="00981405">
        <w:t>with</w:t>
      </w:r>
      <w:r w:rsidR="00190923" w:rsidRPr="00981405">
        <w:t xml:space="preserve"> </w:t>
      </w:r>
      <w:r w:rsidRPr="00981405">
        <w:t>the</w:t>
      </w:r>
      <w:r w:rsidR="00190923" w:rsidRPr="00981405">
        <w:t xml:space="preserve"> </w:t>
      </w:r>
      <w:r w:rsidRPr="00981405">
        <w:t>emptiness</w:t>
      </w:r>
      <w:r w:rsidR="00190923" w:rsidRPr="00981405">
        <w:t xml:space="preserve"> </w:t>
      </w:r>
      <w:r w:rsidRPr="00981405">
        <w:t>of</w:t>
      </w:r>
      <w:r w:rsidR="00190923" w:rsidRPr="00981405">
        <w:t xml:space="preserve"> </w:t>
      </w:r>
      <w:r w:rsidRPr="00981405">
        <w:t>space.</w:t>
      </w:r>
      <w:r w:rsidRPr="00981405">
        <w:rPr>
          <w:rStyle w:val="FootnoteReference"/>
        </w:rPr>
        <w:footnoteReference w:id="59"/>
      </w:r>
      <w:r w:rsidR="00190923" w:rsidRPr="00981405">
        <w:t xml:space="preserve"> </w:t>
      </w:r>
      <w:r w:rsidRPr="00981405">
        <w:t>The</w:t>
      </w:r>
      <w:r w:rsidR="00190923" w:rsidRPr="00981405">
        <w:t xml:space="preserve"> </w:t>
      </w:r>
      <w:r w:rsidRPr="00981405">
        <w:t>Treaty</w:t>
      </w:r>
      <w:r w:rsidR="00190923" w:rsidRPr="00981405">
        <w:t xml:space="preserve"> </w:t>
      </w:r>
      <w:r w:rsidRPr="00981405">
        <w:t>on</w:t>
      </w:r>
      <w:r w:rsidR="00190923" w:rsidRPr="00981405">
        <w:t xml:space="preserve"> </w:t>
      </w:r>
      <w:r w:rsidRPr="00981405">
        <w:t>Principles</w:t>
      </w:r>
      <w:r w:rsidR="00190923" w:rsidRPr="00981405">
        <w:t xml:space="preserve"> </w:t>
      </w:r>
      <w:r w:rsidRPr="00981405">
        <w:t>Governing</w:t>
      </w:r>
      <w:r w:rsidR="00190923" w:rsidRPr="00981405">
        <w:t xml:space="preserve"> </w:t>
      </w:r>
      <w:r w:rsidRPr="00981405">
        <w:t>the</w:t>
      </w:r>
      <w:r w:rsidR="00190923" w:rsidRPr="00981405">
        <w:t xml:space="preserve"> </w:t>
      </w:r>
      <w:r w:rsidRPr="00981405">
        <w:t>Activities</w:t>
      </w:r>
      <w:r w:rsidR="00190923" w:rsidRPr="00981405">
        <w:t xml:space="preserve"> </w:t>
      </w:r>
      <w:r w:rsidRPr="00981405">
        <w:t>of</w:t>
      </w:r>
      <w:r w:rsidR="00190923" w:rsidRPr="00981405">
        <w:t xml:space="preserve"> </w:t>
      </w:r>
      <w:r w:rsidRPr="00981405">
        <w:t>States</w:t>
      </w:r>
      <w:r w:rsidR="00190923" w:rsidRPr="00981405">
        <w:t xml:space="preserve"> </w:t>
      </w:r>
      <w:r w:rsidRPr="00981405">
        <w:t>in</w:t>
      </w:r>
      <w:r w:rsidR="00190923" w:rsidRPr="00981405">
        <w:t xml:space="preserve"> </w:t>
      </w:r>
      <w:r w:rsidRPr="00981405">
        <w:t>the</w:t>
      </w:r>
      <w:r w:rsidR="00190923" w:rsidRPr="00981405">
        <w:t xml:space="preserve"> </w:t>
      </w:r>
      <w:r w:rsidRPr="00981405">
        <w:t>Exploration</w:t>
      </w:r>
      <w:r w:rsidR="00190923" w:rsidRPr="00981405">
        <w:t xml:space="preserve"> </w:t>
      </w:r>
      <w:r w:rsidRPr="00981405">
        <w:t>and</w:t>
      </w:r>
      <w:r w:rsidR="00190923" w:rsidRPr="00981405">
        <w:t xml:space="preserve"> </w:t>
      </w:r>
      <w:r w:rsidRPr="00981405">
        <w:t>Use</w:t>
      </w:r>
      <w:r w:rsidR="00190923" w:rsidRPr="00981405">
        <w:t xml:space="preserve"> </w:t>
      </w:r>
      <w:r w:rsidRPr="00981405">
        <w:t>of</w:t>
      </w:r>
      <w:r w:rsidR="00190923" w:rsidRPr="00981405">
        <w:t xml:space="preserve"> </w:t>
      </w:r>
      <w:r w:rsidRPr="00981405">
        <w:t>Outer</w:t>
      </w:r>
      <w:r w:rsidR="00190923" w:rsidRPr="00981405">
        <w:t xml:space="preserve"> </w:t>
      </w:r>
      <w:r w:rsidRPr="00981405">
        <w:t>Space,</w:t>
      </w:r>
      <w:r w:rsidR="00190923" w:rsidRPr="00981405">
        <w:t xml:space="preserve"> </w:t>
      </w:r>
      <w:r w:rsidRPr="00981405">
        <w:t>including</w:t>
      </w:r>
      <w:r w:rsidR="00190923" w:rsidRPr="00981405">
        <w:t xml:space="preserve"> </w:t>
      </w:r>
      <w:r w:rsidRPr="00981405">
        <w:t>the</w:t>
      </w:r>
      <w:r w:rsidR="00190923" w:rsidRPr="00981405">
        <w:t xml:space="preserve"> </w:t>
      </w:r>
      <w:r w:rsidRPr="00981405">
        <w:t>Moon</w:t>
      </w:r>
      <w:r w:rsidR="00190923" w:rsidRPr="00981405">
        <w:t xml:space="preserve"> </w:t>
      </w:r>
      <w:r w:rsidRPr="00981405">
        <w:t>and</w:t>
      </w:r>
      <w:r w:rsidR="00190923" w:rsidRPr="00981405">
        <w:t xml:space="preserve"> </w:t>
      </w:r>
      <w:r w:rsidRPr="00981405">
        <w:t>Other</w:t>
      </w:r>
      <w:r w:rsidR="00190923" w:rsidRPr="00981405">
        <w:t xml:space="preserve"> </w:t>
      </w:r>
      <w:r w:rsidRPr="00981405">
        <w:t>Celestial</w:t>
      </w:r>
      <w:r w:rsidR="00190923" w:rsidRPr="00981405">
        <w:t xml:space="preserve"> </w:t>
      </w:r>
      <w:r w:rsidRPr="00981405">
        <w:t>Bodies</w:t>
      </w:r>
      <w:r w:rsidR="00190923" w:rsidRPr="00981405">
        <w:t xml:space="preserve"> </w:t>
      </w:r>
      <w:r w:rsidRPr="00981405">
        <w:t>is</w:t>
      </w:r>
      <w:r w:rsidR="00190923" w:rsidRPr="00981405">
        <w:t xml:space="preserve"> </w:t>
      </w:r>
      <w:r w:rsidRPr="00981405">
        <w:t>silent</w:t>
      </w:r>
      <w:r w:rsidR="00190923" w:rsidRPr="00981405">
        <w:t xml:space="preserve"> </w:t>
      </w:r>
      <w:r w:rsidRPr="00981405">
        <w:t>on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outer</w:t>
      </w:r>
      <w:r w:rsidR="00190923" w:rsidRPr="00981405">
        <w:t xml:space="preserve"> </w:t>
      </w:r>
      <w:r w:rsidRPr="00981405">
        <w:t>space</w:t>
      </w:r>
      <w:r w:rsidR="00B92E2C" w:rsidRPr="00981405">
        <w:t>”</w:t>
      </w:r>
      <w:r w:rsidRPr="00981405">
        <w:t>.</w:t>
      </w:r>
      <w:r w:rsidRPr="00981405">
        <w:rPr>
          <w:rStyle w:val="FootnoteReference"/>
        </w:rPr>
        <w:footnoteReference w:id="60"/>
      </w:r>
      <w:r w:rsidR="00190923" w:rsidRPr="00981405">
        <w:t xml:space="preserve"> </w:t>
      </w:r>
      <w:r w:rsidRPr="00981405">
        <w:t>The</w:t>
      </w:r>
      <w:r w:rsidR="00190923" w:rsidRPr="00981405">
        <w:t xml:space="preserve"> </w:t>
      </w:r>
      <w:r w:rsidRPr="00981405">
        <w:t>matter</w:t>
      </w:r>
      <w:r w:rsidR="00190923" w:rsidRPr="00981405">
        <w:t xml:space="preserve"> </w:t>
      </w:r>
      <w:r w:rsidRPr="00981405">
        <w:t>has</w:t>
      </w:r>
      <w:r w:rsidR="00190923" w:rsidRPr="00981405">
        <w:t xml:space="preserve"> </w:t>
      </w:r>
      <w:r w:rsidRPr="00981405">
        <w:t>been</w:t>
      </w:r>
      <w:r w:rsidR="00190923" w:rsidRPr="00981405">
        <w:t xml:space="preserve"> </w:t>
      </w:r>
      <w:r w:rsidRPr="00981405">
        <w:t>under</w:t>
      </w:r>
      <w:r w:rsidR="00190923" w:rsidRPr="00981405">
        <w:t xml:space="preserve"> </w:t>
      </w:r>
      <w:r w:rsidRPr="00981405">
        <w:t>discussion</w:t>
      </w:r>
      <w:r w:rsidR="00190923" w:rsidRPr="00981405">
        <w:t xml:space="preserve"> </w:t>
      </w:r>
      <w:r w:rsidRPr="00981405">
        <w:t>within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Legal</w:t>
      </w:r>
      <w:r w:rsidR="00190923" w:rsidRPr="00981405">
        <w:t xml:space="preserve"> </w:t>
      </w:r>
      <w:r w:rsidRPr="00981405">
        <w:t>Sub-Committee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lastRenderedPageBreak/>
        <w:t>United</w:t>
      </w:r>
      <w:r w:rsidR="00190923" w:rsidRPr="00981405">
        <w:t xml:space="preserve"> </w:t>
      </w:r>
      <w:r w:rsidRPr="00981405">
        <w:t>Nations</w:t>
      </w:r>
      <w:r w:rsidR="00190923" w:rsidRPr="00981405">
        <w:t xml:space="preserve"> </w:t>
      </w:r>
      <w:r w:rsidRPr="00981405">
        <w:t>Committee</w:t>
      </w:r>
      <w:r w:rsidR="00190923" w:rsidRPr="00981405">
        <w:t xml:space="preserve"> </w:t>
      </w:r>
      <w:r w:rsidRPr="00981405">
        <w:t>on</w:t>
      </w:r>
      <w:r w:rsidR="00190923" w:rsidRPr="00981405">
        <w:t xml:space="preserve"> </w:t>
      </w:r>
      <w:r w:rsidRPr="00981405">
        <w:t>the</w:t>
      </w:r>
      <w:r w:rsidR="00190923" w:rsidRPr="00981405">
        <w:t xml:space="preserve"> </w:t>
      </w:r>
      <w:r w:rsidRPr="00981405">
        <w:t>Peaceful</w:t>
      </w:r>
      <w:r w:rsidR="00190923" w:rsidRPr="00981405">
        <w:t xml:space="preserve"> </w:t>
      </w:r>
      <w:r w:rsidRPr="00981405">
        <w:t>Uses</w:t>
      </w:r>
      <w:r w:rsidR="00190923" w:rsidRPr="00981405">
        <w:t xml:space="preserve"> </w:t>
      </w:r>
      <w:r w:rsidRPr="00981405">
        <w:t>of</w:t>
      </w:r>
      <w:r w:rsidR="00190923" w:rsidRPr="00981405">
        <w:t xml:space="preserve"> </w:t>
      </w:r>
      <w:r w:rsidRPr="00981405">
        <w:t>Outer</w:t>
      </w:r>
      <w:r w:rsidR="00190923" w:rsidRPr="00981405">
        <w:t xml:space="preserve"> </w:t>
      </w:r>
      <w:r w:rsidRPr="00981405">
        <w:t>Space</w:t>
      </w:r>
      <w:r w:rsidR="00190923" w:rsidRPr="00981405">
        <w:t xml:space="preserve"> </w:t>
      </w:r>
      <w:r w:rsidRPr="00981405">
        <w:t>(UNCOPUOS)</w:t>
      </w:r>
      <w:r w:rsidR="00190923" w:rsidRPr="00981405">
        <w:t xml:space="preserve"> </w:t>
      </w:r>
      <w:r w:rsidRPr="00981405">
        <w:t>since</w:t>
      </w:r>
      <w:r w:rsidR="00190923" w:rsidRPr="00981405">
        <w:t xml:space="preserve"> </w:t>
      </w:r>
      <w:r w:rsidRPr="00981405">
        <w:t>1959,</w:t>
      </w:r>
      <w:r w:rsidR="00190923" w:rsidRPr="00981405">
        <w:t xml:space="preserve"> </w:t>
      </w:r>
      <w:r w:rsidRPr="00981405">
        <w:t>which</w:t>
      </w:r>
      <w:r w:rsidR="00190923" w:rsidRPr="00981405">
        <w:t xml:space="preserve"> </w:t>
      </w:r>
      <w:r w:rsidRPr="00981405">
        <w:t>has</w:t>
      </w:r>
      <w:r w:rsidR="00190923" w:rsidRPr="00981405">
        <w:t xml:space="preserve"> </w:t>
      </w:r>
      <w:r w:rsidRPr="00981405">
        <w:t>looked</w:t>
      </w:r>
      <w:r w:rsidR="00190923" w:rsidRPr="00981405">
        <w:t xml:space="preserve"> </w:t>
      </w:r>
      <w:r w:rsidRPr="00981405">
        <w:t>at</w:t>
      </w:r>
      <w:r w:rsidR="00190923" w:rsidRPr="00981405">
        <w:t xml:space="preserve"> </w:t>
      </w:r>
      <w:r w:rsidRPr="00981405">
        <w:t>both</w:t>
      </w:r>
      <w:r w:rsidR="00190923" w:rsidRPr="00981405">
        <w:t xml:space="preserve"> </w:t>
      </w:r>
      <w:r w:rsidRPr="00981405">
        <w:t>spatial</w:t>
      </w:r>
      <w:r w:rsidR="00190923" w:rsidRPr="00981405">
        <w:t xml:space="preserve"> </w:t>
      </w:r>
      <w:r w:rsidRPr="00981405">
        <w:t>and</w:t>
      </w:r>
      <w:r w:rsidR="00190923" w:rsidRPr="00981405">
        <w:t xml:space="preserve"> </w:t>
      </w:r>
      <w:r w:rsidRPr="00981405">
        <w:t>function</w:t>
      </w:r>
      <w:r w:rsidR="00190923" w:rsidRPr="00981405">
        <w:t xml:space="preserve"> </w:t>
      </w:r>
      <w:r w:rsidRPr="00981405">
        <w:t>approaches</w:t>
      </w:r>
      <w:r w:rsidR="00190923" w:rsidRPr="00981405">
        <w:t xml:space="preserve"> </w:t>
      </w:r>
      <w:r w:rsidRPr="00981405">
        <w:t>to</w:t>
      </w:r>
      <w:r w:rsidR="00190923" w:rsidRPr="00981405">
        <w:t xml:space="preserve"> </w:t>
      </w:r>
      <w:r w:rsidRPr="00981405">
        <w:t>the</w:t>
      </w:r>
      <w:r w:rsidR="00190923" w:rsidRPr="00981405">
        <w:t xml:space="preserve"> </w:t>
      </w:r>
      <w:r w:rsidRPr="00981405">
        <w:t>questions</w:t>
      </w:r>
      <w:r w:rsidR="00190923" w:rsidRPr="00981405">
        <w:t xml:space="preserve"> </w:t>
      </w:r>
      <w:r w:rsidRPr="00981405">
        <w:t>of</w:t>
      </w:r>
      <w:r w:rsidR="00190923" w:rsidRPr="00981405">
        <w:t xml:space="preserve"> </w:t>
      </w:r>
      <w:r w:rsidRPr="00981405">
        <w:t>delimitation.</w:t>
      </w:r>
      <w:r w:rsidRPr="00981405">
        <w:rPr>
          <w:rStyle w:val="FootnoteReference"/>
        </w:rPr>
        <w:footnoteReference w:id="61"/>
      </w:r>
    </w:p>
    <w:p w:rsidR="00397032" w:rsidRPr="00981405" w:rsidRDefault="00397032" w:rsidP="00D97463">
      <w:pPr>
        <w:pStyle w:val="SingleTxt"/>
      </w:pPr>
      <w:r w:rsidRPr="00981405">
        <w:t>(9)</w:t>
      </w:r>
      <w:r w:rsidRPr="00981405">
        <w:tab/>
        <w:t>Accordingly,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elected,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4,</w:t>
      </w:r>
      <w:r w:rsidR="00190923" w:rsidRPr="00981405">
        <w:t xml:space="preserve"> </w:t>
      </w:r>
      <w:r w:rsidRPr="00981405">
        <w:t>to</w:t>
      </w:r>
      <w:r w:rsidR="00190923" w:rsidRPr="00981405">
        <w:t xml:space="preserve"> </w:t>
      </w:r>
      <w:r w:rsidRPr="00981405">
        <w:t>indicate</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do</w:t>
      </w:r>
      <w:r w:rsidR="00190923" w:rsidRPr="00981405">
        <w:t xml:space="preserve"> </w:t>
      </w:r>
      <w:r w:rsidRPr="00981405">
        <w:t>not</w:t>
      </w:r>
      <w:r w:rsidR="00190923" w:rsidRPr="00981405">
        <w:t xml:space="preserve"> </w:t>
      </w:r>
      <w:r w:rsidRPr="00981405">
        <w:t>affect</w:t>
      </w:r>
      <w:r w:rsidR="00190923" w:rsidRPr="00981405">
        <w:t xml:space="preserve"> </w:t>
      </w:r>
      <w:r w:rsidRPr="00981405">
        <w:t>the</w:t>
      </w:r>
      <w:r w:rsidR="00190923" w:rsidRPr="00981405">
        <w:t xml:space="preserve"> </w:t>
      </w:r>
      <w:r w:rsidRPr="00981405">
        <w:t>legal</w:t>
      </w:r>
      <w:r w:rsidR="00190923" w:rsidRPr="00981405">
        <w:t xml:space="preserve"> </w:t>
      </w:r>
      <w:r w:rsidRPr="00981405">
        <w:t>status</w:t>
      </w:r>
      <w:r w:rsidR="00190923" w:rsidRPr="00981405">
        <w:t xml:space="preserve"> </w:t>
      </w:r>
      <w:r w:rsidRPr="00981405">
        <w:t>of</w:t>
      </w:r>
      <w:r w:rsidR="00190923" w:rsidRPr="00981405">
        <w:t xml:space="preserve"> </w:t>
      </w:r>
      <w:r w:rsidRPr="00981405">
        <w:t>airspace</w:t>
      </w:r>
      <w:r w:rsidR="00190923" w:rsidRPr="00981405">
        <w:t xml:space="preserve"> </w:t>
      </w:r>
      <w:r w:rsidRPr="00981405">
        <w:t>nor</w:t>
      </w:r>
      <w:r w:rsidR="00190923" w:rsidRPr="00981405">
        <w:t xml:space="preserve"> </w:t>
      </w:r>
      <w:r w:rsidRPr="00981405">
        <w:t>address</w:t>
      </w:r>
      <w:r w:rsidR="00190923" w:rsidRPr="00981405">
        <w:t xml:space="preserve"> </w:t>
      </w:r>
      <w:r w:rsidRPr="00981405">
        <w:t>questions</w:t>
      </w:r>
      <w:r w:rsidR="00190923" w:rsidRPr="00981405">
        <w:t xml:space="preserve"> </w:t>
      </w:r>
      <w:r w:rsidRPr="00981405">
        <w:t>related</w:t>
      </w:r>
      <w:r w:rsidR="00190923" w:rsidRPr="00981405">
        <w:t xml:space="preserve"> </w:t>
      </w:r>
      <w:r w:rsidRPr="00981405">
        <w:t>to</w:t>
      </w:r>
      <w:r w:rsidR="00190923" w:rsidRPr="00981405">
        <w:t xml:space="preserve"> </w:t>
      </w:r>
      <w:r w:rsidRPr="00981405">
        <w:t>outer</w:t>
      </w:r>
      <w:r w:rsidR="00190923" w:rsidRPr="00981405">
        <w:t xml:space="preserve"> </w:t>
      </w:r>
      <w:r w:rsidRPr="00981405">
        <w:t>space.</w:t>
      </w:r>
      <w:r w:rsidR="00190923" w:rsidRPr="00981405">
        <w:t xml:space="preserve"> </w:t>
      </w:r>
      <w:r w:rsidRPr="00981405">
        <w:t>Moreover,</w:t>
      </w:r>
      <w:r w:rsidR="00190923" w:rsidRPr="00981405">
        <w:t xml:space="preserve"> </w:t>
      </w:r>
      <w:r w:rsidRPr="00981405">
        <w:t>the</w:t>
      </w:r>
      <w:r w:rsidR="00190923" w:rsidRPr="00981405">
        <w:t xml:space="preserve"> </w:t>
      </w:r>
      <w:r w:rsidRPr="00981405">
        <w:t>reference</w:t>
      </w:r>
      <w:r w:rsidR="00190923" w:rsidRPr="00981405">
        <w:t xml:space="preserve"> </w:t>
      </w:r>
      <w:r w:rsidRPr="00981405">
        <w:t>to</w:t>
      </w:r>
      <w:r w:rsidR="00190923" w:rsidRPr="00981405">
        <w:t xml:space="preserve"> </w:t>
      </w:r>
      <w:r w:rsidRPr="00981405">
        <w:t>outer</w:t>
      </w:r>
      <w:r w:rsidR="00190923" w:rsidRPr="00981405">
        <w:t xml:space="preserve"> </w:t>
      </w:r>
      <w:r w:rsidRPr="00981405">
        <w:t>space</w:t>
      </w:r>
      <w:r w:rsidR="00190923" w:rsidRPr="00981405">
        <w:t xml:space="preserve"> </w:t>
      </w:r>
      <w:r w:rsidRPr="00981405">
        <w:t>reflects</w:t>
      </w:r>
      <w:r w:rsidR="00190923" w:rsidRPr="00981405">
        <w:t xml:space="preserve"> </w:t>
      </w:r>
      <w:r w:rsidRPr="00981405">
        <w:t>of</w:t>
      </w:r>
      <w:r w:rsidR="00190923" w:rsidRPr="00981405">
        <w:t xml:space="preserve"> </w:t>
      </w:r>
      <w:r w:rsidRPr="00981405">
        <w:t>the</w:t>
      </w:r>
      <w:r w:rsidR="00190923" w:rsidRPr="00981405">
        <w:t xml:space="preserve"> </w:t>
      </w:r>
      <w:r w:rsidRPr="00981405">
        <w:t>2013</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p>
    <w:p w:rsidR="00397032" w:rsidRPr="00D97463" w:rsidRDefault="00397032" w:rsidP="00D97463">
      <w:pPr>
        <w:pStyle w:val="SingleTxt"/>
        <w:ind w:left="1742"/>
        <w:jc w:val="left"/>
        <w:rPr>
          <w:b/>
          <w:bCs/>
        </w:rPr>
      </w:pPr>
      <w:bookmarkStart w:id="33" w:name="_Toc427938094"/>
      <w:r w:rsidRPr="00D97463">
        <w:rPr>
          <w:b/>
          <w:bCs/>
        </w:rPr>
        <w:t>Guideline</w:t>
      </w:r>
      <w:r w:rsidR="00190923" w:rsidRPr="00981405">
        <w:rPr>
          <w:b/>
          <w:bCs/>
        </w:rPr>
        <w:t xml:space="preserve"> </w:t>
      </w:r>
      <w:r w:rsidRPr="00D97463">
        <w:rPr>
          <w:b/>
          <w:bCs/>
        </w:rPr>
        <w:t>5</w:t>
      </w:r>
      <w:r w:rsidRPr="00D97463">
        <w:rPr>
          <w:b/>
          <w:bCs/>
        </w:rPr>
        <w:br/>
        <w:t>International</w:t>
      </w:r>
      <w:r w:rsidR="00190923" w:rsidRPr="00981405">
        <w:rPr>
          <w:b/>
          <w:bCs/>
        </w:rPr>
        <w:t xml:space="preserve"> </w:t>
      </w:r>
      <w:r w:rsidRPr="00D97463">
        <w:rPr>
          <w:b/>
          <w:bCs/>
        </w:rPr>
        <w:t>cooperation</w:t>
      </w:r>
      <w:bookmarkEnd w:id="33"/>
    </w:p>
    <w:p w:rsidR="00397032" w:rsidRPr="00981405" w:rsidRDefault="00397032" w:rsidP="00D97463">
      <w:pPr>
        <w:pStyle w:val="SingleTxt"/>
        <w:ind w:left="1742"/>
      </w:pPr>
      <w:r w:rsidRPr="00981405">
        <w:t>1.</w:t>
      </w:r>
      <w:r w:rsidRPr="00981405">
        <w:tab/>
        <w:t>States</w:t>
      </w:r>
      <w:r w:rsidR="00190923" w:rsidRPr="00981405">
        <w:t xml:space="preserve"> </w:t>
      </w:r>
      <w:r w:rsidRPr="00981405">
        <w:t>have</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with</w:t>
      </w:r>
      <w:r w:rsidR="00190923" w:rsidRPr="00981405">
        <w:t xml:space="preserve"> </w:t>
      </w:r>
      <w:r w:rsidRPr="00981405">
        <w:t>each</w:t>
      </w:r>
      <w:r w:rsidR="00190923" w:rsidRPr="00981405">
        <w:t xml:space="preserve"> </w:t>
      </w:r>
      <w:r w:rsidRPr="00981405">
        <w:t>other</w:t>
      </w:r>
      <w:r w:rsidR="00190923" w:rsidRPr="00981405">
        <w:t xml:space="preserve"> </w:t>
      </w:r>
      <w:r w:rsidRPr="00981405">
        <w:t>and</w:t>
      </w:r>
      <w:r w:rsidR="00190923" w:rsidRPr="00981405">
        <w:t xml:space="preserve"> </w:t>
      </w:r>
      <w:r w:rsidRPr="00981405">
        <w:t>with</w:t>
      </w:r>
      <w:r w:rsidR="00190923" w:rsidRPr="00981405">
        <w:t xml:space="preserve"> </w:t>
      </w:r>
      <w:r w:rsidRPr="00981405">
        <w:t>relevant</w:t>
      </w:r>
      <w:r w:rsidR="00190923" w:rsidRPr="00981405">
        <w:t xml:space="preserve"> </w:t>
      </w:r>
      <w:r w:rsidRPr="00981405">
        <w:t>international</w:t>
      </w:r>
      <w:r w:rsidR="00190923" w:rsidRPr="00981405">
        <w:t xml:space="preserve"> </w:t>
      </w:r>
      <w:r w:rsidRPr="00981405">
        <w:t>organisations,</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p>
    <w:p w:rsidR="00397032" w:rsidRPr="00981405" w:rsidRDefault="00397032" w:rsidP="00D97463">
      <w:pPr>
        <w:pStyle w:val="SingleTxt"/>
        <w:ind w:left="1742"/>
      </w:pPr>
      <w:r w:rsidRPr="00981405">
        <w:t>2.</w:t>
      </w:r>
      <w:r w:rsidRPr="00981405">
        <w:tab/>
        <w:t>States</w:t>
      </w:r>
      <w:r w:rsidR="00190923" w:rsidRPr="00981405">
        <w:t xml:space="preserve"> </w:t>
      </w:r>
      <w:r w:rsidRPr="00981405">
        <w:t>should</w:t>
      </w:r>
      <w:r w:rsidR="00190923" w:rsidRPr="00981405">
        <w:t xml:space="preserve"> </w:t>
      </w:r>
      <w:r w:rsidRPr="00981405">
        <w:t>cooperate</w:t>
      </w:r>
      <w:r w:rsidR="00190923" w:rsidRPr="00981405">
        <w:t xml:space="preserve"> </w:t>
      </w:r>
      <w:r w:rsidRPr="00981405">
        <w:t>in</w:t>
      </w:r>
      <w:r w:rsidR="00190923" w:rsidRPr="00981405">
        <w:t xml:space="preserve"> </w:t>
      </w:r>
      <w:r w:rsidRPr="00981405">
        <w:t>further</w:t>
      </w:r>
      <w:r w:rsidR="00190923" w:rsidRPr="00981405">
        <w:t xml:space="preserve"> </w:t>
      </w:r>
      <w:r w:rsidRPr="00981405">
        <w:t>enhancing</w:t>
      </w:r>
      <w:r w:rsidR="00190923" w:rsidRPr="00981405">
        <w:t xml:space="preserve"> </w:t>
      </w:r>
      <w:r w:rsidRPr="00981405">
        <w:t>scientific</w:t>
      </w:r>
      <w:r w:rsidR="00190923" w:rsidRPr="00981405">
        <w:t xml:space="preserve"> </w:t>
      </w:r>
      <w:r w:rsidRPr="00981405">
        <w:t>knowledge</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causes</w:t>
      </w:r>
      <w:r w:rsidR="00190923" w:rsidRPr="00981405">
        <w:t xml:space="preserve"> </w:t>
      </w:r>
      <w:r w:rsidRPr="00981405">
        <w:t>and</w:t>
      </w:r>
      <w:r w:rsidR="00190923" w:rsidRPr="00981405">
        <w:t xml:space="preserve"> </w:t>
      </w:r>
      <w:r w:rsidRPr="00981405">
        <w:t>impacts</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Cooperation</w:t>
      </w:r>
      <w:r w:rsidR="00190923" w:rsidRPr="00981405">
        <w:t xml:space="preserve"> </w:t>
      </w:r>
      <w:r w:rsidRPr="00981405">
        <w:t>could</w:t>
      </w:r>
      <w:r w:rsidR="00190923" w:rsidRPr="00981405">
        <w:t xml:space="preserve"> </w:t>
      </w:r>
      <w:r w:rsidRPr="00981405">
        <w:t>include</w:t>
      </w:r>
      <w:r w:rsidR="00190923" w:rsidRPr="00981405">
        <w:t xml:space="preserve"> </w:t>
      </w:r>
      <w:r w:rsidRPr="00981405">
        <w:t>exchange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and</w:t>
      </w:r>
      <w:r w:rsidR="00190923" w:rsidRPr="00981405">
        <w:t xml:space="preserve"> </w:t>
      </w:r>
      <w:r w:rsidRPr="00981405">
        <w:t>joint</w:t>
      </w:r>
      <w:r w:rsidR="00190923" w:rsidRPr="00981405">
        <w:t xml:space="preserve"> </w:t>
      </w:r>
      <w:r w:rsidRPr="00981405">
        <w:t>monitoring.</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34" w:name="_Toc427938095"/>
      <w:r w:rsidRPr="00D97463">
        <w:t>Commentary</w:t>
      </w:r>
      <w:bookmarkEnd w:id="3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International</w:t>
      </w:r>
      <w:r w:rsidR="00190923" w:rsidRPr="00981405">
        <w:t xml:space="preserve"> </w:t>
      </w:r>
      <w:r w:rsidRPr="00981405">
        <w:t>cooperation</w:t>
      </w:r>
      <w:r w:rsidR="00190923" w:rsidRPr="00981405">
        <w:t xml:space="preserve"> </w:t>
      </w:r>
      <w:r w:rsidRPr="00981405">
        <w:t>is</w:t>
      </w:r>
      <w:r w:rsidR="00190923" w:rsidRPr="00981405">
        <w:t xml:space="preserve"> </w:t>
      </w:r>
      <w:r w:rsidRPr="00981405">
        <w:t>at</w:t>
      </w:r>
      <w:r w:rsidR="00190923" w:rsidRPr="00981405">
        <w:t xml:space="preserve"> </w:t>
      </w:r>
      <w:r w:rsidRPr="00981405">
        <w:t>the</w:t>
      </w:r>
      <w:r w:rsidR="00190923" w:rsidRPr="00981405">
        <w:t xml:space="preserve"> </w:t>
      </w:r>
      <w:r w:rsidRPr="00981405">
        <w:t>core</w:t>
      </w:r>
      <w:r w:rsidR="00190923" w:rsidRPr="00981405">
        <w:t xml:space="preserve"> </w:t>
      </w:r>
      <w:r w:rsidRPr="00981405">
        <w:t>of</w:t>
      </w:r>
      <w:r w:rsidR="00190923" w:rsidRPr="00981405">
        <w:t xml:space="preserve"> </w:t>
      </w:r>
      <w:r w:rsidRPr="00981405">
        <w:t>the</w:t>
      </w:r>
      <w:r w:rsidR="00190923" w:rsidRPr="00981405">
        <w:t xml:space="preserve"> </w:t>
      </w:r>
      <w:r w:rsidRPr="00981405">
        <w:t>whole</w:t>
      </w:r>
      <w:r w:rsidR="00190923" w:rsidRPr="00981405">
        <w:t xml:space="preserve"> </w:t>
      </w:r>
      <w:r w:rsidRPr="00981405">
        <w:t>set</w:t>
      </w:r>
      <w:r w:rsidR="00190923" w:rsidRPr="00981405">
        <w:t xml:space="preserve"> </w:t>
      </w:r>
      <w:r w:rsidRPr="00981405">
        <w:t>of</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has</w:t>
      </w:r>
      <w:r w:rsidR="00190923" w:rsidRPr="00981405">
        <w:t xml:space="preserve"> </w:t>
      </w:r>
      <w:r w:rsidRPr="00981405">
        <w:t>undergone</w:t>
      </w:r>
      <w:r w:rsidR="00190923" w:rsidRPr="00981405">
        <w:t xml:space="preserve"> </w:t>
      </w:r>
      <w:r w:rsidRPr="00981405">
        <w:t>a</w:t>
      </w:r>
      <w:r w:rsidR="00190923" w:rsidRPr="00981405">
        <w:t xml:space="preserve"> </w:t>
      </w:r>
      <w:r w:rsidRPr="00981405">
        <w:t>significant</w:t>
      </w:r>
      <w:r w:rsidR="00190923" w:rsidRPr="00981405">
        <w:t xml:space="preserve"> </w:t>
      </w:r>
      <w:r w:rsidRPr="00981405">
        <w:t>change</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law,</w:t>
      </w:r>
      <w:r w:rsidRPr="00981405">
        <w:rPr>
          <w:rStyle w:val="FootnoteReference"/>
        </w:rPr>
        <w:footnoteReference w:id="62"/>
      </w:r>
      <w:r w:rsidR="00190923" w:rsidRPr="00981405">
        <w:t xml:space="preserve"> </w:t>
      </w:r>
      <w:r w:rsidRPr="00981405">
        <w:t>and</w:t>
      </w:r>
      <w:r w:rsidR="00190923" w:rsidRPr="00981405">
        <w:t xml:space="preserve"> </w:t>
      </w:r>
      <w:r w:rsidRPr="00981405">
        <w:t>today</w:t>
      </w:r>
      <w:r w:rsidR="00190923" w:rsidRPr="00981405">
        <w:t xml:space="preserve"> </w:t>
      </w:r>
      <w:r w:rsidRPr="00981405">
        <w:t>is</w:t>
      </w:r>
      <w:r w:rsidR="00190923" w:rsidRPr="00981405">
        <w:t xml:space="preserve"> </w:t>
      </w:r>
      <w:r w:rsidRPr="00981405">
        <w:t>to</w:t>
      </w:r>
      <w:r w:rsidR="00190923" w:rsidRPr="00981405">
        <w:t xml:space="preserve"> </w:t>
      </w:r>
      <w:r w:rsidRPr="00981405">
        <w:t>a</w:t>
      </w:r>
      <w:r w:rsidR="00190923" w:rsidRPr="00981405">
        <w:t xml:space="preserve"> </w:t>
      </w:r>
      <w:r w:rsidRPr="00981405">
        <w:t>large</w:t>
      </w:r>
      <w:r w:rsidR="00190923" w:rsidRPr="00981405">
        <w:t xml:space="preserve"> </w:t>
      </w:r>
      <w:r w:rsidRPr="00981405">
        <w:t>extent</w:t>
      </w:r>
      <w:r w:rsidR="00190923" w:rsidRPr="00981405">
        <w:t xml:space="preserve"> </w:t>
      </w:r>
      <w:r w:rsidRPr="00981405">
        <w:t>built</w:t>
      </w:r>
      <w:r w:rsidR="00190923" w:rsidRPr="00981405">
        <w:t xml:space="preserve"> </w:t>
      </w:r>
      <w:r w:rsidRPr="00981405">
        <w:t>on</w:t>
      </w:r>
      <w:r w:rsidR="00190923" w:rsidRPr="00981405">
        <w:t xml:space="preserve"> </w:t>
      </w:r>
      <w:r w:rsidRPr="00981405">
        <w:t>the</w:t>
      </w:r>
      <w:r w:rsidR="00190923" w:rsidRPr="00981405">
        <w:t xml:space="preserve"> </w:t>
      </w:r>
      <w:r w:rsidRPr="00981405">
        <w:t>notion</w:t>
      </w:r>
      <w:r w:rsidR="00190923" w:rsidRPr="00981405">
        <w:t xml:space="preserve"> </w:t>
      </w:r>
      <w:r w:rsidRPr="00981405">
        <w:t>of</w:t>
      </w:r>
      <w:r w:rsidR="00190923" w:rsidRPr="00981405">
        <w:t xml:space="preserve"> </w:t>
      </w:r>
      <w:r w:rsidRPr="00981405">
        <w:t>common</w:t>
      </w:r>
      <w:r w:rsidR="00190923" w:rsidRPr="00981405">
        <w:t xml:space="preserve"> </w:t>
      </w:r>
      <w:r w:rsidRPr="00981405">
        <w:t>interests</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Pr="00981405">
        <w:rPr>
          <w:rStyle w:val="FootnoteReference"/>
        </w:rPr>
        <w:footnoteReference w:id="63"/>
      </w:r>
      <w:r w:rsidR="00190923" w:rsidRPr="00981405">
        <w:t xml:space="preserve"> </w:t>
      </w:r>
      <w:r w:rsidRPr="00981405">
        <w:t>The</w:t>
      </w:r>
      <w:r w:rsidR="00190923" w:rsidRPr="00981405">
        <w:t xml:space="preserve"> </w:t>
      </w:r>
      <w:r w:rsidRPr="00981405">
        <w:t>third</w:t>
      </w:r>
      <w:r w:rsidR="00190923" w:rsidRPr="00981405">
        <w:t xml:space="preserve"> </w:t>
      </w:r>
      <w:r w:rsidRPr="00981405">
        <w:t>paragraph</w:t>
      </w:r>
      <w:r w:rsidR="00190923" w:rsidRPr="00981405">
        <w:t xml:space="preserve"> </w:t>
      </w:r>
      <w:r w:rsidRPr="00981405">
        <w:t>of</w:t>
      </w:r>
      <w:r w:rsidR="00190923" w:rsidRPr="00981405">
        <w:t xml:space="preserve"> </w:t>
      </w:r>
      <w:r w:rsidRPr="00981405">
        <w:t>the</w:t>
      </w:r>
      <w:r w:rsidR="00190923" w:rsidRPr="00981405">
        <w:t xml:space="preserve"> </w:t>
      </w:r>
      <w:r w:rsidRPr="00981405">
        <w:t>preamble</w:t>
      </w:r>
      <w:r w:rsidR="00190923" w:rsidRPr="00981405">
        <w:t xml:space="preserve"> </w:t>
      </w:r>
      <w:r w:rsidRPr="00981405">
        <w:t>to</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recognises</w:t>
      </w:r>
      <w:r w:rsidR="00190923" w:rsidRPr="00981405">
        <w:t xml:space="preserve"> </w:t>
      </w:r>
      <w:r w:rsidRPr="00981405">
        <w:t>this</w:t>
      </w:r>
      <w:r w:rsidR="00190923" w:rsidRPr="00981405">
        <w:t xml:space="preserve"> </w:t>
      </w:r>
      <w:r w:rsidRPr="00981405">
        <w:t>in</w:t>
      </w:r>
      <w:r w:rsidR="00190923" w:rsidRPr="00981405">
        <w:t xml:space="preserve"> </w:t>
      </w:r>
      <w:r w:rsidRPr="00981405">
        <w:t>stating</w:t>
      </w:r>
      <w:r w:rsidR="00190923" w:rsidRPr="00981405">
        <w:t xml:space="preserve"> </w:t>
      </w:r>
      <w:r w:rsidRPr="00981405">
        <w:t>that</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from</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degradation</w:t>
      </w:r>
      <w:r w:rsidR="00190923" w:rsidRPr="00981405">
        <w:t xml:space="preserve"> </w:t>
      </w:r>
      <w:r w:rsidRPr="00981405">
        <w:t>is</w:t>
      </w:r>
      <w:r w:rsidR="00190923" w:rsidRPr="00981405">
        <w:t xml:space="preserve"> </w:t>
      </w:r>
      <w:r w:rsidR="00B92E2C" w:rsidRPr="00981405">
        <w:t>“</w:t>
      </w:r>
      <w:r w:rsidRPr="00981405">
        <w:t>a</w:t>
      </w:r>
      <w:r w:rsidR="00190923" w:rsidRPr="00981405">
        <w:t xml:space="preserve"> </w:t>
      </w:r>
      <w:r w:rsidRPr="00981405">
        <w:t>pressing</w:t>
      </w:r>
      <w:r w:rsidR="00190923" w:rsidRPr="00981405">
        <w:t xml:space="preserve"> </w:t>
      </w:r>
      <w:r w:rsidRPr="00981405">
        <w:t>concern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community</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B92E2C" w:rsidRPr="00981405">
        <w:t>”</w:t>
      </w:r>
      <w:r w:rsidRPr="00981405">
        <w:t>.</w:t>
      </w:r>
      <w:r w:rsidR="00190923" w:rsidRPr="00981405">
        <w:t xml:space="preserve"> </w:t>
      </w:r>
    </w:p>
    <w:p w:rsidR="00397032" w:rsidRPr="00981405" w:rsidRDefault="00397032" w:rsidP="00D97463">
      <w:pPr>
        <w:pStyle w:val="SingleTxt"/>
      </w:pPr>
      <w:r w:rsidRPr="00981405">
        <w:t>(2)</w:t>
      </w:r>
      <w:r w:rsidRPr="00981405">
        <w:tab/>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5,</w:t>
      </w:r>
      <w:r w:rsidR="00190923" w:rsidRPr="00981405">
        <w:t xml:space="preserve"> </w:t>
      </w:r>
      <w:r w:rsidRPr="00981405">
        <w:t>paragraph</w:t>
      </w:r>
      <w:r w:rsidR="00190923" w:rsidRPr="00981405">
        <w:t xml:space="preserve"> </w:t>
      </w:r>
      <w:r w:rsidRPr="00981405">
        <w:t>1,</w:t>
      </w:r>
      <w:r w:rsidR="00190923" w:rsidRPr="00981405">
        <w:t xml:space="preserve"> </w:t>
      </w:r>
      <w:r w:rsidRPr="00981405">
        <w:t>provides</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cooperate,</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In</w:t>
      </w:r>
      <w:r w:rsidR="00190923" w:rsidRPr="00981405">
        <w:t xml:space="preserve"> </w:t>
      </w:r>
      <w:r w:rsidRPr="00981405">
        <w:t>concrete</w:t>
      </w:r>
      <w:r w:rsidR="00190923" w:rsidRPr="00981405">
        <w:t xml:space="preserve"> </w:t>
      </w:r>
      <w:r w:rsidRPr="00981405">
        <w:t>terms,</w:t>
      </w:r>
      <w:r w:rsidR="00190923" w:rsidRPr="00981405">
        <w:t xml:space="preserve"> </w:t>
      </w:r>
      <w:r w:rsidRPr="00981405">
        <w:t>such</w:t>
      </w:r>
      <w:r w:rsidR="00190923" w:rsidRPr="00981405">
        <w:t xml:space="preserve"> </w:t>
      </w:r>
      <w:r w:rsidRPr="00981405">
        <w:t>cooperation</w:t>
      </w:r>
      <w:r w:rsidR="00190923" w:rsidRPr="00981405">
        <w:t xml:space="preserve"> </w:t>
      </w:r>
      <w:r w:rsidRPr="00981405">
        <w:t>is</w:t>
      </w:r>
      <w:r w:rsidR="00190923" w:rsidRPr="00981405">
        <w:t xml:space="preserve"> </w:t>
      </w:r>
      <w:r w:rsidRPr="00981405">
        <w:t>with</w:t>
      </w:r>
      <w:r w:rsidR="00190923" w:rsidRPr="00981405">
        <w:t xml:space="preserve"> </w:t>
      </w:r>
      <w:r w:rsidRPr="00981405">
        <w:t>other</w:t>
      </w:r>
      <w:r w:rsidR="00190923" w:rsidRPr="00981405">
        <w:t xml:space="preserve"> </w:t>
      </w:r>
      <w:r w:rsidRPr="00981405">
        <w:t>States</w:t>
      </w:r>
      <w:r w:rsidR="00190923" w:rsidRPr="00981405">
        <w:t xml:space="preserve"> </w:t>
      </w:r>
      <w:r w:rsidRPr="00981405">
        <w:t>and</w:t>
      </w:r>
      <w:r w:rsidR="00190923" w:rsidRPr="00981405">
        <w:t xml:space="preserve"> </w:t>
      </w:r>
      <w:r w:rsidRPr="00981405">
        <w:t>with</w:t>
      </w:r>
      <w:r w:rsidR="00190923" w:rsidRPr="00981405">
        <w:t xml:space="preserve"> </w:t>
      </w:r>
      <w:r w:rsidRPr="00981405">
        <w:t>relevant</w:t>
      </w:r>
      <w:r w:rsidR="00190923" w:rsidRPr="00981405">
        <w:t xml:space="preserve"> </w:t>
      </w:r>
      <w:r w:rsidRPr="00981405">
        <w:t>international</w:t>
      </w:r>
      <w:r w:rsidR="00190923" w:rsidRPr="00981405">
        <w:t xml:space="preserve"> </w:t>
      </w:r>
      <w:r w:rsidRPr="00981405">
        <w:t>organisations.</w:t>
      </w:r>
      <w:r w:rsidR="00190923" w:rsidRPr="00981405">
        <w:t xml:space="preserve"> </w:t>
      </w:r>
      <w:r w:rsidRPr="00981405">
        <w:t>The</w:t>
      </w:r>
      <w:r w:rsidR="00190923" w:rsidRPr="00981405">
        <w:t xml:space="preserve"> </w:t>
      </w:r>
      <w:r w:rsidRPr="00981405">
        <w:t>phrase</w:t>
      </w:r>
      <w:r w:rsidR="00190923" w:rsidRPr="00981405">
        <w:t xml:space="preserve"> </w:t>
      </w:r>
      <w:r w:rsidR="00B92E2C" w:rsidRPr="00981405">
        <w:t>“</w:t>
      </w:r>
      <w:r w:rsidRPr="00981405">
        <w:t>as</w:t>
      </w:r>
      <w:r w:rsidR="00190923" w:rsidRPr="00981405">
        <w:t xml:space="preserve"> </w:t>
      </w:r>
      <w:r w:rsidRPr="00981405">
        <w:t>appropriate</w:t>
      </w:r>
      <w:r w:rsidR="00B92E2C" w:rsidRPr="00981405">
        <w:t>”</w:t>
      </w:r>
      <w:r w:rsidR="00190923" w:rsidRPr="00981405">
        <w:t xml:space="preserve"> </w:t>
      </w:r>
      <w:r w:rsidRPr="00981405">
        <w:t>denotes</w:t>
      </w:r>
      <w:r w:rsidR="00190923" w:rsidRPr="00981405">
        <w:t xml:space="preserve"> </w:t>
      </w:r>
      <w:r w:rsidRPr="00981405">
        <w:t>certain</w:t>
      </w:r>
      <w:r w:rsidR="00190923" w:rsidRPr="00981405">
        <w:t xml:space="preserve"> </w:t>
      </w:r>
      <w:r w:rsidRPr="00981405">
        <w:t>flexibility</w:t>
      </w:r>
      <w:r w:rsidR="00190923" w:rsidRPr="00981405">
        <w:t xml:space="preserve"> </w:t>
      </w:r>
      <w:r w:rsidRPr="00981405">
        <w:t>and</w:t>
      </w:r>
      <w:r w:rsidR="00190923" w:rsidRPr="00981405">
        <w:t xml:space="preserve"> </w:t>
      </w:r>
      <w:r w:rsidRPr="00981405">
        <w:t>latitude</w:t>
      </w:r>
      <w:r w:rsidR="00190923" w:rsidRPr="00981405">
        <w:t xml:space="preserve"> </w:t>
      </w:r>
      <w:r w:rsidRPr="00981405">
        <w:t>for</w:t>
      </w:r>
      <w:r w:rsidR="00190923" w:rsidRPr="00981405">
        <w:t xml:space="preserve"> </w:t>
      </w:r>
      <w:r w:rsidRPr="00981405">
        <w:t>States</w:t>
      </w:r>
      <w:r w:rsidR="00190923" w:rsidRPr="00981405">
        <w:t xml:space="preserve"> </w:t>
      </w:r>
      <w:r w:rsidRPr="00981405">
        <w:t>in</w:t>
      </w:r>
      <w:r w:rsidR="00190923" w:rsidRPr="00981405">
        <w:t xml:space="preserve"> </w:t>
      </w:r>
      <w:r w:rsidRPr="00981405">
        <w:t>carrying</w:t>
      </w:r>
      <w:r w:rsidR="00190923" w:rsidRPr="00981405">
        <w:t xml:space="preserve"> </w:t>
      </w:r>
      <w:r w:rsidRPr="00981405">
        <w:t>out</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depending</w:t>
      </w:r>
      <w:r w:rsidR="00190923" w:rsidRPr="00981405">
        <w:t xml:space="preserve"> </w:t>
      </w:r>
      <w:r w:rsidRPr="00981405">
        <w:t>on</w:t>
      </w:r>
      <w:r w:rsidR="00190923" w:rsidRPr="00981405">
        <w:t xml:space="preserve"> </w:t>
      </w:r>
      <w:r w:rsidRPr="00981405">
        <w:t>the</w:t>
      </w:r>
      <w:r w:rsidR="00190923" w:rsidRPr="00981405">
        <w:t xml:space="preserve"> </w:t>
      </w:r>
      <w:r w:rsidRPr="00981405">
        <w:t>nature</w:t>
      </w:r>
      <w:r w:rsidR="00190923" w:rsidRPr="00981405">
        <w:t xml:space="preserve"> </w:t>
      </w:r>
      <w:r w:rsidRPr="00981405">
        <w:t>and</w:t>
      </w:r>
      <w:r w:rsidR="00190923" w:rsidRPr="00981405">
        <w:t xml:space="preserve"> </w:t>
      </w:r>
      <w:r w:rsidRPr="00981405">
        <w:t>subject</w:t>
      </w:r>
      <w:r w:rsidR="00190923" w:rsidRPr="00981405">
        <w:t xml:space="preserve"> </w:t>
      </w:r>
      <w:r w:rsidRPr="00981405">
        <w:t>matter</w:t>
      </w:r>
      <w:r w:rsidR="00190923" w:rsidRPr="00981405">
        <w:t xml:space="preserve"> </w:t>
      </w:r>
      <w:r w:rsidRPr="00981405">
        <w:t>required</w:t>
      </w:r>
      <w:r w:rsidR="00190923" w:rsidRPr="00981405">
        <w:t xml:space="preserve"> </w:t>
      </w:r>
      <w:r w:rsidRPr="00981405">
        <w:t>for</w:t>
      </w:r>
      <w:r w:rsidR="00190923" w:rsidRPr="00981405">
        <w:t xml:space="preserve"> </w:t>
      </w:r>
      <w:r w:rsidRPr="00981405">
        <w:t>cooperation.</w:t>
      </w:r>
      <w:r w:rsidR="00190923" w:rsidRPr="00981405">
        <w:t xml:space="preserve"> </w:t>
      </w:r>
      <w:r w:rsidRPr="00981405">
        <w:t>The</w:t>
      </w:r>
      <w:r w:rsidR="00190923" w:rsidRPr="00981405">
        <w:t xml:space="preserve"> </w:t>
      </w:r>
      <w:r w:rsidRPr="00981405">
        <w:t>forms</w:t>
      </w:r>
      <w:r w:rsidR="00190923" w:rsidRPr="00981405">
        <w:t xml:space="preserve"> </w:t>
      </w:r>
      <w:r w:rsidRPr="00981405">
        <w:t>in</w:t>
      </w:r>
      <w:r w:rsidR="00190923" w:rsidRPr="00981405">
        <w:t xml:space="preserve"> </w:t>
      </w:r>
      <w:r w:rsidRPr="00981405">
        <w:t>which</w:t>
      </w:r>
      <w:r w:rsidR="00190923" w:rsidRPr="00981405">
        <w:t xml:space="preserve"> </w:t>
      </w:r>
      <w:r w:rsidRPr="00981405">
        <w:t>such</w:t>
      </w:r>
      <w:r w:rsidR="00190923" w:rsidRPr="00981405">
        <w:t xml:space="preserve"> </w:t>
      </w:r>
      <w:r w:rsidRPr="00981405">
        <w:t>cooperation</w:t>
      </w:r>
      <w:r w:rsidR="00190923" w:rsidRPr="00981405">
        <w:t xml:space="preserve"> </w:t>
      </w:r>
      <w:r w:rsidRPr="00981405">
        <w:t>may</w:t>
      </w:r>
      <w:r w:rsidR="00190923" w:rsidRPr="00981405">
        <w:t xml:space="preserve"> </w:t>
      </w:r>
      <w:r w:rsidRPr="00981405">
        <w:t>occur</w:t>
      </w:r>
      <w:r w:rsidR="00190923" w:rsidRPr="00981405">
        <w:t xml:space="preserve"> </w:t>
      </w:r>
      <w:r w:rsidRPr="00981405">
        <w:t>may</w:t>
      </w:r>
      <w:r w:rsidR="00190923" w:rsidRPr="00981405">
        <w:t xml:space="preserve"> </w:t>
      </w:r>
      <w:r w:rsidRPr="00981405">
        <w:t>also</w:t>
      </w:r>
      <w:r w:rsidR="00190923" w:rsidRPr="00981405">
        <w:t xml:space="preserve"> </w:t>
      </w:r>
      <w:r w:rsidRPr="00981405">
        <w:t>vary</w:t>
      </w:r>
      <w:r w:rsidR="00190923" w:rsidRPr="00981405">
        <w:t xml:space="preserve"> </w:t>
      </w:r>
      <w:r w:rsidRPr="00981405">
        <w:t>depending</w:t>
      </w:r>
      <w:r w:rsidR="00190923" w:rsidRPr="00981405">
        <w:t xml:space="preserve"> </w:t>
      </w:r>
      <w:r w:rsidRPr="00981405">
        <w:t>on</w:t>
      </w:r>
      <w:r w:rsidR="00190923" w:rsidRPr="00981405">
        <w:t xml:space="preserve"> </w:t>
      </w:r>
      <w:r w:rsidRPr="00981405">
        <w:t>the</w:t>
      </w:r>
      <w:r w:rsidR="00190923" w:rsidRPr="00981405">
        <w:t xml:space="preserve"> </w:t>
      </w:r>
      <w:r w:rsidRPr="00981405">
        <w:t>situation</w:t>
      </w:r>
      <w:r w:rsidR="00190923" w:rsidRPr="00981405">
        <w:t xml:space="preserve"> </w:t>
      </w:r>
      <w:r w:rsidRPr="00981405">
        <w:t>and</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a</w:t>
      </w:r>
      <w:r w:rsidR="00190923" w:rsidRPr="00981405">
        <w:t xml:space="preserve"> </w:t>
      </w:r>
      <w:r w:rsidRPr="00981405">
        <w:t>certain</w:t>
      </w:r>
      <w:r w:rsidR="00190923" w:rsidRPr="00981405">
        <w:t xml:space="preserve"> </w:t>
      </w:r>
      <w:r w:rsidRPr="00981405">
        <w:t>margin</w:t>
      </w:r>
      <w:r w:rsidR="00190923" w:rsidRPr="00981405">
        <w:t xml:space="preserve"> </w:t>
      </w:r>
      <w:r w:rsidRPr="00981405">
        <w:t>of</w:t>
      </w:r>
      <w:r w:rsidR="00190923" w:rsidRPr="00981405">
        <w:t xml:space="preserve"> </w:t>
      </w:r>
      <w:r w:rsidRPr="00981405">
        <w:t>appreciation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It</w:t>
      </w:r>
      <w:r w:rsidR="00190923" w:rsidRPr="00981405">
        <w:t xml:space="preserve"> </w:t>
      </w:r>
      <w:r w:rsidRPr="00981405">
        <w:t>may</w:t>
      </w:r>
      <w:r w:rsidR="00190923" w:rsidRPr="00981405">
        <w:t xml:space="preserve"> </w:t>
      </w:r>
      <w:r w:rsidRPr="00981405">
        <w:t>be</w:t>
      </w:r>
      <w:r w:rsidR="00190923" w:rsidRPr="00981405">
        <w:t xml:space="preserve"> </w:t>
      </w:r>
      <w:r w:rsidRPr="00981405">
        <w:t>at</w:t>
      </w:r>
      <w:r w:rsidR="00190923" w:rsidRPr="00981405">
        <w:t xml:space="preserve"> </w:t>
      </w:r>
      <w:r w:rsidRPr="00981405">
        <w:t>the</w:t>
      </w:r>
      <w:r w:rsidR="00190923" w:rsidRPr="00981405">
        <w:t xml:space="preserve"> </w:t>
      </w:r>
      <w:r w:rsidRPr="00981405">
        <w:t>bilateral,</w:t>
      </w:r>
      <w:r w:rsidR="00190923" w:rsidRPr="00981405">
        <w:t xml:space="preserve"> </w:t>
      </w:r>
      <w:r w:rsidRPr="00981405">
        <w:t>regional</w:t>
      </w:r>
      <w:r w:rsidR="00190923" w:rsidRPr="00981405">
        <w:t xml:space="preserve"> </w:t>
      </w:r>
      <w:r w:rsidRPr="00981405">
        <w:t>or</w:t>
      </w:r>
      <w:r w:rsidR="00190923" w:rsidRPr="00981405">
        <w:t xml:space="preserve"> </w:t>
      </w:r>
      <w:r w:rsidRPr="00981405">
        <w:t>multilateral</w:t>
      </w:r>
      <w:r w:rsidR="00190923" w:rsidRPr="00981405">
        <w:t xml:space="preserve"> </w:t>
      </w:r>
      <w:r w:rsidRPr="00981405">
        <w:t>levels.</w:t>
      </w:r>
      <w:r w:rsidR="00190923" w:rsidRPr="00981405">
        <w:t xml:space="preserve"> </w:t>
      </w:r>
      <w:r w:rsidRPr="00981405">
        <w:t>States</w:t>
      </w:r>
      <w:r w:rsidR="00190923" w:rsidRPr="00981405">
        <w:t xml:space="preserve"> </w:t>
      </w:r>
      <w:r w:rsidRPr="00981405">
        <w:t>may</w:t>
      </w:r>
      <w:r w:rsidR="00190923" w:rsidRPr="00981405">
        <w:t xml:space="preserve"> </w:t>
      </w:r>
      <w:r w:rsidRPr="00981405">
        <w:t>also</w:t>
      </w:r>
      <w:r w:rsidR="00190923" w:rsidRPr="00981405">
        <w:t xml:space="preserve"> </w:t>
      </w:r>
      <w:r w:rsidRPr="00981405">
        <w:t>individually</w:t>
      </w:r>
      <w:r w:rsidR="00190923" w:rsidRPr="00981405">
        <w:t xml:space="preserve"> </w:t>
      </w:r>
      <w:r w:rsidRPr="00981405">
        <w:t>take</w:t>
      </w:r>
      <w:r w:rsidR="00190923" w:rsidRPr="00981405">
        <w:t xml:space="preserve"> </w:t>
      </w:r>
      <w:r w:rsidRPr="00981405">
        <w:t>appropriate</w:t>
      </w:r>
      <w:r w:rsidR="00190923" w:rsidRPr="00981405">
        <w:t xml:space="preserve"> </w:t>
      </w:r>
      <w:r w:rsidRPr="00981405">
        <w:t>action.</w:t>
      </w:r>
    </w:p>
    <w:p w:rsidR="00397032" w:rsidRPr="00981405" w:rsidRDefault="00397032" w:rsidP="00D97463">
      <w:pPr>
        <w:pStyle w:val="SingleTxt"/>
      </w:pPr>
      <w:r w:rsidRPr="00981405">
        <w:t>(3)</w:t>
      </w:r>
      <w:r w:rsidRPr="00981405">
        <w:tab/>
        <w:t>International</w:t>
      </w:r>
      <w:r w:rsidR="00190923" w:rsidRPr="00981405">
        <w:t xml:space="preserve"> </w:t>
      </w:r>
      <w:r w:rsidRPr="00981405">
        <w:t>cooperation</w:t>
      </w:r>
      <w:r w:rsidR="00190923" w:rsidRPr="00981405">
        <w:t xml:space="preserve"> </w:t>
      </w:r>
      <w:r w:rsidRPr="00981405">
        <w:t>is</w:t>
      </w:r>
      <w:r w:rsidR="00190923" w:rsidRPr="00981405">
        <w:t xml:space="preserve"> </w:t>
      </w:r>
      <w:r w:rsidRPr="00981405">
        <w:t>found</w:t>
      </w:r>
      <w:r w:rsidR="00190923" w:rsidRPr="00981405">
        <w:t xml:space="preserve"> </w:t>
      </w:r>
      <w:r w:rsidRPr="00981405">
        <w:t>in</w:t>
      </w:r>
      <w:r w:rsidR="00190923" w:rsidRPr="00981405">
        <w:t xml:space="preserve"> </w:t>
      </w:r>
      <w:r w:rsidRPr="00981405">
        <w:t>several</w:t>
      </w:r>
      <w:r w:rsidR="00190923" w:rsidRPr="00981405">
        <w:t xml:space="preserve"> </w:t>
      </w:r>
      <w:r w:rsidRPr="00981405">
        <w:t>multilateral</w:t>
      </w:r>
      <w:r w:rsidR="00190923" w:rsidRPr="00981405">
        <w:t xml:space="preserve"> </w:t>
      </w:r>
      <w:r w:rsidRPr="00981405">
        <w:t>instruments</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Both</w:t>
      </w:r>
      <w:r w:rsidR="00190923" w:rsidRPr="00981405">
        <w:t xml:space="preserve"> </w:t>
      </w:r>
      <w:r w:rsidRPr="00981405">
        <w:t>the</w:t>
      </w:r>
      <w:r w:rsidR="00190923" w:rsidRPr="00981405">
        <w:t xml:space="preserve"> </w:t>
      </w:r>
      <w:r w:rsidRPr="00981405">
        <w:t>Stockholm</w:t>
      </w:r>
      <w:r w:rsidR="00190923" w:rsidRPr="00981405">
        <w:t xml:space="preserve"> </w:t>
      </w:r>
      <w:r w:rsidRPr="00981405">
        <w:t>Declaration</w:t>
      </w:r>
      <w:r w:rsidR="00190923" w:rsidRPr="00981405">
        <w:t xml:space="preserve"> </w:t>
      </w:r>
      <w:r w:rsidRPr="00981405">
        <w:t>on</w:t>
      </w:r>
      <w:r w:rsidR="00190923" w:rsidRPr="00981405">
        <w:t xml:space="preserve"> </w:t>
      </w:r>
      <w:r w:rsidRPr="00981405">
        <w:t>the</w:t>
      </w:r>
      <w:r w:rsidR="00190923" w:rsidRPr="00981405">
        <w:t xml:space="preserve"> </w:t>
      </w:r>
      <w:r w:rsidRPr="00981405">
        <w:t>Human</w:t>
      </w:r>
      <w:r w:rsidR="00190923" w:rsidRPr="00981405">
        <w:t xml:space="preserve"> </w:t>
      </w:r>
      <w:r w:rsidRPr="00981405">
        <w:t>Environment</w:t>
      </w:r>
      <w:r w:rsidR="00190923" w:rsidRPr="00981405">
        <w:t xml:space="preserve"> </w:t>
      </w:r>
      <w:r w:rsidRPr="00981405">
        <w:t>and</w:t>
      </w:r>
      <w:r w:rsidR="00190923" w:rsidRPr="00981405">
        <w:t xml:space="preserve"> </w:t>
      </w:r>
      <w:r w:rsidRPr="00981405">
        <w:t>the</w:t>
      </w:r>
      <w:r w:rsidR="00190923" w:rsidRPr="00981405">
        <w:t xml:space="preserve"> </w:t>
      </w:r>
      <w:r w:rsidRPr="00981405">
        <w:t>Rio</w:t>
      </w:r>
      <w:r w:rsidR="00190923" w:rsidRPr="00981405">
        <w:t xml:space="preserve"> </w:t>
      </w:r>
      <w:r w:rsidRPr="00981405">
        <w:t>Declaration</w:t>
      </w:r>
      <w:r w:rsidR="00190923" w:rsidRPr="00981405">
        <w:t xml:space="preserve"> </w:t>
      </w:r>
      <w:r w:rsidRPr="00981405">
        <w:t>on</w:t>
      </w:r>
      <w:r w:rsidR="00190923" w:rsidRPr="00981405">
        <w:t xml:space="preserve"> </w:t>
      </w:r>
      <w:r w:rsidRPr="00981405">
        <w:t>Environment</w:t>
      </w:r>
      <w:r w:rsidR="00190923" w:rsidRPr="00981405">
        <w:t xml:space="preserve"> </w:t>
      </w:r>
      <w:r w:rsidRPr="00981405">
        <w:t>and</w:t>
      </w:r>
      <w:r w:rsidR="00190923" w:rsidRPr="00981405">
        <w:t xml:space="preserve"> </w:t>
      </w:r>
      <w:r w:rsidRPr="00981405">
        <w:t>Development,</w:t>
      </w:r>
      <w:r w:rsidR="00190923" w:rsidRPr="00981405">
        <w:t xml:space="preserve"> </w:t>
      </w:r>
      <w:r w:rsidRPr="00981405">
        <w:t>in</w:t>
      </w:r>
      <w:r w:rsidR="00190923" w:rsidRPr="00981405">
        <w:t xml:space="preserve"> </w:t>
      </w:r>
      <w:r w:rsidRPr="00981405">
        <w:t>principle</w:t>
      </w:r>
      <w:r w:rsidR="00190923" w:rsidRPr="00981405">
        <w:t xml:space="preserve"> </w:t>
      </w:r>
      <w:r w:rsidRPr="00981405">
        <w:lastRenderedPageBreak/>
        <w:t>24</w:t>
      </w:r>
      <w:r w:rsidR="00190923" w:rsidRPr="00981405">
        <w:t xml:space="preserve"> </w:t>
      </w:r>
      <w:r w:rsidRPr="00981405">
        <w:t>and</w:t>
      </w:r>
      <w:r w:rsidR="00190923" w:rsidRPr="00981405">
        <w:t xml:space="preserve"> </w:t>
      </w:r>
      <w:r w:rsidRPr="00981405">
        <w:t>principle</w:t>
      </w:r>
      <w:r w:rsidR="00190923" w:rsidRPr="00981405">
        <w:t xml:space="preserve"> </w:t>
      </w:r>
      <w:r w:rsidRPr="00981405">
        <w:t>27,</w:t>
      </w:r>
      <w:r w:rsidR="00190923" w:rsidRPr="00981405">
        <w:t xml:space="preserve"> </w:t>
      </w:r>
      <w:r w:rsidRPr="00981405">
        <w:t>respectively,</w:t>
      </w:r>
      <w:r w:rsidR="00190923" w:rsidRPr="00981405">
        <w:t xml:space="preserve"> </w:t>
      </w:r>
      <w:r w:rsidRPr="00981405">
        <w:t>stress</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cooperation.</w:t>
      </w:r>
      <w:r w:rsidRPr="00981405">
        <w:rPr>
          <w:rStyle w:val="FootnoteReference"/>
        </w:rPr>
        <w:footnoteReference w:id="64"/>
      </w:r>
      <w:r w:rsidR="00190923" w:rsidRPr="00981405">
        <w:t xml:space="preserve"> </w:t>
      </w:r>
      <w:r w:rsidRPr="00981405">
        <w:t>In</w:t>
      </w:r>
      <w:r w:rsidR="00190923" w:rsidRPr="00981405">
        <w:t xml:space="preserve"> </w:t>
      </w:r>
      <w:r w:rsidRPr="00981405">
        <w:t>addition,</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Pulp</w:t>
      </w:r>
      <w:r w:rsidR="00190923" w:rsidRPr="00981405">
        <w:rPr>
          <w:i/>
          <w:iCs/>
        </w:rPr>
        <w:t xml:space="preserve"> </w:t>
      </w:r>
      <w:r w:rsidRPr="00D97463">
        <w:rPr>
          <w:i/>
          <w:iCs/>
        </w:rPr>
        <w:t>Mills</w:t>
      </w:r>
      <w:r w:rsidR="00190923" w:rsidRPr="00981405">
        <w:t xml:space="preserve"> </w:t>
      </w:r>
      <w:r w:rsidRPr="00981405">
        <w:t>case,</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emphasized</w:t>
      </w:r>
      <w:r w:rsidR="00190923" w:rsidRPr="00981405">
        <w:t xml:space="preserve"> </w:t>
      </w:r>
      <w:r w:rsidRPr="00981405">
        <w:t>linkages</w:t>
      </w:r>
      <w:r w:rsidR="00190923" w:rsidRPr="00981405">
        <w:t xml:space="preserve"> </w:t>
      </w:r>
      <w:r w:rsidRPr="00981405">
        <w:t>attendant</w:t>
      </w:r>
      <w:r w:rsidR="00190923" w:rsidRPr="00981405">
        <w:t xml:space="preserve"> </w:t>
      </w:r>
      <w:r w:rsidRPr="00981405">
        <w:t>to</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inform,</w:t>
      </w:r>
      <w:r w:rsidR="00190923" w:rsidRPr="00981405">
        <w:t xml:space="preserve"> </w:t>
      </w:r>
      <w:r w:rsidRPr="00981405">
        <w:t>cooperation</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and</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of</w:t>
      </w:r>
      <w:r w:rsidR="00190923" w:rsidRPr="00981405">
        <w:t xml:space="preserve"> </w:t>
      </w:r>
      <w:r w:rsidRPr="00981405">
        <w:t>prevention.</w:t>
      </w:r>
      <w:r w:rsidR="00190923" w:rsidRPr="00981405">
        <w:t xml:space="preserve"> </w:t>
      </w:r>
      <w:r w:rsidRPr="00981405">
        <w:t>The</w:t>
      </w:r>
      <w:r w:rsidR="00190923" w:rsidRPr="00981405">
        <w:t xml:space="preserve"> </w:t>
      </w:r>
      <w:r w:rsidRPr="00981405">
        <w:t>Court</w:t>
      </w:r>
      <w:r w:rsidR="00190923" w:rsidRPr="00981405">
        <w:t xml:space="preserve"> </w:t>
      </w:r>
      <w:r w:rsidRPr="00981405">
        <w:t>noted</w:t>
      </w:r>
      <w:r w:rsidR="00190923" w:rsidRPr="00981405">
        <w:t xml:space="preserve"> </w:t>
      </w:r>
      <w:r w:rsidRPr="00981405">
        <w:t>that,</w:t>
      </w:r>
      <w:r w:rsidR="00190923" w:rsidRPr="00981405">
        <w:t xml:space="preserve"> </w:t>
      </w:r>
      <w:r w:rsidR="00B92E2C" w:rsidRPr="00981405">
        <w:t>“</w:t>
      </w:r>
      <w:r w:rsidRPr="00981405">
        <w:t>it</w:t>
      </w:r>
      <w:r w:rsidR="00190923" w:rsidRPr="00981405">
        <w:t xml:space="preserve"> </w:t>
      </w:r>
      <w:r w:rsidRPr="00981405">
        <w:t>is</w:t>
      </w:r>
      <w:r w:rsidR="00190923" w:rsidRPr="00981405">
        <w:t xml:space="preserve"> </w:t>
      </w:r>
      <w:r w:rsidRPr="00981405">
        <w:t>by</w:t>
      </w:r>
      <w:r w:rsidR="00190923" w:rsidRPr="00981405">
        <w:t xml:space="preserve"> </w:t>
      </w:r>
      <w:r w:rsidRPr="00981405">
        <w:t>cooperating</w:t>
      </w:r>
      <w:r w:rsidR="00190923" w:rsidRPr="00981405">
        <w:t xml:space="preserve"> </w:t>
      </w:r>
      <w:r w:rsidRPr="00981405">
        <w:t>that</w:t>
      </w:r>
      <w:r w:rsidR="00190923" w:rsidRPr="00981405">
        <w:t xml:space="preserve"> </w:t>
      </w:r>
      <w:r w:rsidRPr="00981405">
        <w:t>the</w:t>
      </w:r>
      <w:r w:rsidR="00190923" w:rsidRPr="00981405">
        <w:t xml:space="preserve"> </w:t>
      </w:r>
      <w:r w:rsidRPr="00981405">
        <w:t>States</w:t>
      </w:r>
      <w:r w:rsidR="00190923" w:rsidRPr="00981405">
        <w:t xml:space="preserve"> </w:t>
      </w:r>
      <w:r w:rsidRPr="00981405">
        <w:t>concerned</w:t>
      </w:r>
      <w:r w:rsidR="00190923" w:rsidRPr="00981405">
        <w:t xml:space="preserve"> </w:t>
      </w:r>
      <w:r w:rsidRPr="00981405">
        <w:t>can</w:t>
      </w:r>
      <w:r w:rsidR="00190923" w:rsidRPr="00981405">
        <w:t xml:space="preserve"> </w:t>
      </w:r>
      <w:r w:rsidRPr="00981405">
        <w:t>jointly</w:t>
      </w:r>
      <w:r w:rsidR="00190923" w:rsidRPr="00981405">
        <w:t xml:space="preserve"> </w:t>
      </w:r>
      <w:r w:rsidRPr="00981405">
        <w:t>manage</w:t>
      </w:r>
      <w:r w:rsidR="00190923" w:rsidRPr="00981405">
        <w:t xml:space="preserve"> </w:t>
      </w:r>
      <w:r w:rsidRPr="00981405">
        <w:t>the</w:t>
      </w:r>
      <w:r w:rsidR="00190923" w:rsidRPr="00981405">
        <w:t xml:space="preserve"> </w:t>
      </w:r>
      <w:r w:rsidRPr="00981405">
        <w:t>risks</w:t>
      </w:r>
      <w:r w:rsidR="00190923" w:rsidRPr="00981405">
        <w:t xml:space="preserve"> </w:t>
      </w:r>
      <w:r w:rsidRPr="00981405">
        <w:t>of</w:t>
      </w:r>
      <w:r w:rsidR="00190923" w:rsidRPr="00981405">
        <w:t xml:space="preserve"> </w:t>
      </w:r>
      <w:r w:rsidRPr="00981405">
        <w:t>damage</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prevent</w:t>
      </w:r>
      <w:r w:rsidR="00190923" w:rsidRPr="00981405">
        <w:t xml:space="preserve"> </w:t>
      </w:r>
      <w:r w:rsidRPr="00981405">
        <w:t>the</w:t>
      </w:r>
      <w:r w:rsidR="00190923" w:rsidRPr="00981405">
        <w:t xml:space="preserve"> </w:t>
      </w:r>
      <w:r w:rsidRPr="00981405">
        <w:t>damage</w:t>
      </w:r>
      <w:r w:rsidR="00190923" w:rsidRPr="00981405">
        <w:t xml:space="preserve"> </w:t>
      </w:r>
      <w:r w:rsidRPr="00981405">
        <w:t>in</w:t>
      </w:r>
      <w:r w:rsidR="00190923" w:rsidRPr="00981405">
        <w:t xml:space="preserve"> </w:t>
      </w:r>
      <w:r w:rsidRPr="00981405">
        <w:t>question.</w:t>
      </w:r>
      <w:r w:rsidR="00B92E2C" w:rsidRPr="00981405">
        <w:t>”</w:t>
      </w:r>
      <w:r w:rsidRPr="00981405">
        <w:rPr>
          <w:rStyle w:val="FootnoteReference"/>
        </w:rPr>
        <w:footnoteReference w:id="65"/>
      </w:r>
      <w:r w:rsidR="00190923" w:rsidRPr="00981405">
        <w:t xml:space="preserve"> </w:t>
      </w:r>
    </w:p>
    <w:p w:rsidR="00397032" w:rsidRPr="00981405" w:rsidRDefault="00397032" w:rsidP="00D97463">
      <w:pPr>
        <w:pStyle w:val="SingleTxt"/>
      </w:pPr>
      <w:r w:rsidRPr="00981405">
        <w:t>(4)</w:t>
      </w:r>
      <w:r w:rsidRPr="00981405">
        <w:tab/>
        <w:t>Among</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existing</w:t>
      </w:r>
      <w:r w:rsidR="00190923" w:rsidRPr="00981405">
        <w:t xml:space="preserve"> </w:t>
      </w:r>
      <w:r w:rsidRPr="00981405">
        <w:t>treaties,</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Ozone</w:t>
      </w:r>
      <w:r w:rsidR="00190923" w:rsidRPr="00981405">
        <w:t xml:space="preserve"> </w:t>
      </w:r>
      <w:r w:rsidRPr="00981405">
        <w:t>Layer</w:t>
      </w:r>
      <w:r w:rsidR="00190923" w:rsidRPr="00981405">
        <w:t xml:space="preserve"> </w:t>
      </w:r>
      <w:r w:rsidRPr="00981405">
        <w:t>(1985)</w:t>
      </w:r>
      <w:r w:rsidR="00190923" w:rsidRPr="00981405">
        <w:t xml:space="preserve"> </w:t>
      </w:r>
      <w:r w:rsidRPr="00981405">
        <w:t>provides,</w:t>
      </w:r>
      <w:r w:rsidR="00190923" w:rsidRPr="00981405">
        <w:t xml:space="preserve"> </w:t>
      </w:r>
      <w:r w:rsidRPr="00981405">
        <w:t>in</w:t>
      </w:r>
      <w:r w:rsidR="00190923" w:rsidRPr="00981405">
        <w:t xml:space="preserve"> </w:t>
      </w:r>
      <w:r w:rsidRPr="00981405">
        <w:t>its</w:t>
      </w:r>
      <w:r w:rsidR="00190923" w:rsidRPr="00981405">
        <w:t xml:space="preserve"> </w:t>
      </w:r>
      <w:r w:rsidRPr="00981405">
        <w:t>preamble,</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this</w:t>
      </w:r>
      <w:r w:rsidR="00190923" w:rsidRPr="00981405">
        <w:t xml:space="preserve"> </w:t>
      </w:r>
      <w:r w:rsidRPr="00981405">
        <w:t>Convention</w:t>
      </w:r>
      <w:r w:rsidR="00190923" w:rsidRPr="00981405">
        <w:t xml:space="preserve"> </w:t>
      </w:r>
      <w:r w:rsidRPr="00981405">
        <w:t>are</w:t>
      </w:r>
      <w:r w:rsidR="00190923" w:rsidRPr="00981405">
        <w:t xml:space="preserve"> </w:t>
      </w:r>
      <w:r w:rsidR="00B92E2C" w:rsidRPr="00981405">
        <w:t>“</w:t>
      </w:r>
      <w:r w:rsidRPr="00981405">
        <w:t>[</w:t>
      </w:r>
      <w:r w:rsidRPr="00D97463">
        <w:rPr>
          <w:i/>
          <w:iCs/>
        </w:rPr>
        <w:t>a</w:t>
      </w:r>
      <w:r w:rsidRPr="00981405">
        <w:t>]</w:t>
      </w:r>
      <w:r w:rsidRPr="00D97463">
        <w:rPr>
          <w:i/>
          <w:iCs/>
        </w:rPr>
        <w:t>ware</w:t>
      </w:r>
      <w:r w:rsidR="00190923" w:rsidRPr="00981405">
        <w:t xml:space="preserve"> </w:t>
      </w:r>
      <w:r w:rsidRPr="00981405">
        <w:t>that</w:t>
      </w:r>
      <w:r w:rsidR="00190923" w:rsidRPr="00981405">
        <w:t xml:space="preserve"> </w:t>
      </w:r>
      <w:r w:rsidRPr="00981405">
        <w:t>measures</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ozone</w:t>
      </w:r>
      <w:r w:rsidR="00190923" w:rsidRPr="00981405">
        <w:t xml:space="preserve"> </w:t>
      </w:r>
      <w:r w:rsidRPr="00981405">
        <w:t>layer</w:t>
      </w:r>
      <w:r w:rsidR="00190923" w:rsidRPr="00981405">
        <w:t xml:space="preserve"> </w:t>
      </w:r>
      <w:r w:rsidRPr="00981405">
        <w:t>from</w:t>
      </w:r>
      <w:r w:rsidR="00190923" w:rsidRPr="00981405">
        <w:t xml:space="preserve"> </w:t>
      </w:r>
      <w:r w:rsidRPr="00981405">
        <w:t>modifications</w:t>
      </w:r>
      <w:r w:rsidR="00190923" w:rsidRPr="00981405">
        <w:t xml:space="preserve"> </w:t>
      </w:r>
      <w:r w:rsidRPr="00981405">
        <w:t>due</w:t>
      </w:r>
      <w:r w:rsidR="00190923" w:rsidRPr="00981405">
        <w:t xml:space="preserve"> </w:t>
      </w:r>
      <w:r w:rsidRPr="00981405">
        <w:t>to</w:t>
      </w:r>
      <w:r w:rsidR="00190923" w:rsidRPr="00981405">
        <w:t xml:space="preserve"> </w:t>
      </w:r>
      <w:r w:rsidRPr="00981405">
        <w:t>human</w:t>
      </w:r>
      <w:r w:rsidR="00190923" w:rsidRPr="00981405">
        <w:t xml:space="preserve"> </w:t>
      </w:r>
      <w:r w:rsidRPr="00981405">
        <w:t>activities</w:t>
      </w:r>
      <w:r w:rsidR="00190923" w:rsidRPr="00981405">
        <w:t xml:space="preserve"> </w:t>
      </w:r>
      <w:r w:rsidRPr="00981405">
        <w:t>require</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and</w:t>
      </w:r>
      <w:r w:rsidR="00190923" w:rsidRPr="00981405">
        <w:t xml:space="preserve"> </w:t>
      </w:r>
      <w:r w:rsidRPr="00981405">
        <w:t>action.</w:t>
      </w:r>
      <w:r w:rsidR="00B92E2C" w:rsidRPr="00981405">
        <w:t>”</w:t>
      </w:r>
      <w:r w:rsidR="00190923" w:rsidRPr="00981405">
        <w:t xml:space="preserve"> </w:t>
      </w:r>
      <w:r w:rsidRPr="00981405">
        <w:t>Furthermore,</w:t>
      </w:r>
      <w:r w:rsidR="00190923" w:rsidRPr="00981405">
        <w:t xml:space="preserve"> </w:t>
      </w:r>
      <w:r w:rsidRPr="00981405">
        <w:rPr>
          <w:rFonts w:eastAsia="PMingLiU"/>
        </w:rPr>
        <w:t>the</w:t>
      </w:r>
      <w:r w:rsidR="00190923" w:rsidRPr="00981405">
        <w:rPr>
          <w:rFonts w:eastAsia="PMingLiU"/>
        </w:rPr>
        <w:t xml:space="preserve"> </w:t>
      </w:r>
      <w:r w:rsidRPr="00981405">
        <w:t>Preamble</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Framework</w:t>
      </w:r>
      <w:r w:rsidR="00190923" w:rsidRPr="00981405">
        <w:t xml:space="preserve"> </w:t>
      </w:r>
      <w:r w:rsidRPr="00981405">
        <w:t>Convention</w:t>
      </w:r>
      <w:r w:rsidR="00190923" w:rsidRPr="00981405">
        <w:t xml:space="preserve"> </w:t>
      </w:r>
      <w:r w:rsidRPr="00981405">
        <w:t>on</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(1992)</w:t>
      </w:r>
      <w:r w:rsidR="00190923" w:rsidRPr="00981405">
        <w:t xml:space="preserve"> </w:t>
      </w:r>
      <w:r w:rsidRPr="00981405">
        <w:t>acknowledges</w:t>
      </w:r>
      <w:r w:rsidR="00190923" w:rsidRPr="00981405">
        <w:t xml:space="preserve"> </w:t>
      </w:r>
      <w:r w:rsidRPr="00981405">
        <w:t>that</w:t>
      </w:r>
      <w:r w:rsidR="00190923" w:rsidRPr="00981405">
        <w:t xml:space="preserve"> </w:t>
      </w:r>
      <w:r w:rsidR="00B92E2C" w:rsidRPr="00981405">
        <w:t>“</w:t>
      </w:r>
      <w:r w:rsidRPr="00981405">
        <w:t>the</w:t>
      </w:r>
      <w:r w:rsidR="00190923" w:rsidRPr="00981405">
        <w:t xml:space="preserve"> </w:t>
      </w:r>
      <w:r w:rsidRPr="00981405">
        <w:t>global</w:t>
      </w:r>
      <w:r w:rsidR="00190923" w:rsidRPr="00981405">
        <w:t xml:space="preserve"> </w:t>
      </w:r>
      <w:r w:rsidRPr="00981405">
        <w:t>nature</w:t>
      </w:r>
      <w:r w:rsidR="00190923" w:rsidRPr="00981405">
        <w:t xml:space="preserve"> </w:t>
      </w:r>
      <w:r w:rsidRPr="00981405">
        <w:t>of</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calls</w:t>
      </w:r>
      <w:r w:rsidR="00190923" w:rsidRPr="00981405">
        <w:t xml:space="preserve"> </w:t>
      </w:r>
      <w:r w:rsidRPr="00981405">
        <w:t>for</w:t>
      </w:r>
      <w:r w:rsidR="00190923" w:rsidRPr="00981405">
        <w:t xml:space="preserve"> </w:t>
      </w:r>
      <w:r w:rsidRPr="00981405">
        <w:t>the</w:t>
      </w:r>
      <w:r w:rsidR="00190923" w:rsidRPr="00981405">
        <w:t xml:space="preserve"> </w:t>
      </w:r>
      <w:r w:rsidRPr="00981405">
        <w:t>widest</w:t>
      </w:r>
      <w:r w:rsidR="00190923" w:rsidRPr="00981405">
        <w:t xml:space="preserve"> </w:t>
      </w:r>
      <w:r w:rsidRPr="00981405">
        <w:t>possible</w:t>
      </w:r>
      <w:r w:rsidR="00190923" w:rsidRPr="00981405">
        <w:t xml:space="preserve"> </w:t>
      </w:r>
      <w:r w:rsidRPr="00981405">
        <w:t>cooperation</w:t>
      </w:r>
      <w:r w:rsidR="00190923" w:rsidRPr="00981405">
        <w:t xml:space="preserve"> </w:t>
      </w:r>
      <w:r w:rsidRPr="00981405">
        <w:t>by</w:t>
      </w:r>
      <w:r w:rsidR="00190923" w:rsidRPr="00981405">
        <w:t xml:space="preserve"> </w:t>
      </w:r>
      <w:r w:rsidRPr="00981405">
        <w:t>all</w:t>
      </w:r>
      <w:r w:rsidR="00190923" w:rsidRPr="00981405">
        <w:t xml:space="preserve"> </w:t>
      </w:r>
      <w:r w:rsidRPr="00981405">
        <w:t>countries</w:t>
      </w:r>
      <w:r w:rsidR="00190923" w:rsidRPr="00981405">
        <w:t xml:space="preserve"> </w:t>
      </w:r>
      <w:r w:rsidRPr="00981405">
        <w:t>and</w:t>
      </w:r>
      <w:r w:rsidR="00190923" w:rsidRPr="00981405">
        <w:t xml:space="preserve"> </w:t>
      </w:r>
      <w:r w:rsidRPr="00981405">
        <w:t>their</w:t>
      </w:r>
      <w:r w:rsidR="00190923" w:rsidRPr="00981405">
        <w:t xml:space="preserve"> </w:t>
      </w:r>
      <w:r w:rsidRPr="00981405">
        <w:t>participation</w:t>
      </w:r>
      <w:r w:rsidR="00190923" w:rsidRPr="00981405">
        <w:t xml:space="preserve"> </w:t>
      </w:r>
      <w:r w:rsidRPr="00981405">
        <w:t>in</w:t>
      </w:r>
      <w:r w:rsidR="00190923" w:rsidRPr="00981405">
        <w:t xml:space="preserve"> </w:t>
      </w:r>
      <w:r w:rsidRPr="00981405">
        <w:t>an</w:t>
      </w:r>
      <w:r w:rsidR="00190923" w:rsidRPr="00981405">
        <w:t xml:space="preserve"> </w:t>
      </w:r>
      <w:r w:rsidRPr="00981405">
        <w:t>effective</w:t>
      </w:r>
      <w:r w:rsidR="00190923" w:rsidRPr="00981405">
        <w:t xml:space="preserve"> </w:t>
      </w:r>
      <w:r w:rsidRPr="00981405">
        <w:t>and</w:t>
      </w:r>
      <w:r w:rsidR="00190923" w:rsidRPr="00981405">
        <w:t xml:space="preserve"> </w:t>
      </w:r>
      <w:r w:rsidRPr="00981405">
        <w:t>appropriate</w:t>
      </w:r>
      <w:r w:rsidR="00190923" w:rsidRPr="00981405">
        <w:t xml:space="preserve"> </w:t>
      </w:r>
      <w:r w:rsidRPr="00981405">
        <w:t>international</w:t>
      </w:r>
      <w:r w:rsidR="00190923" w:rsidRPr="00981405">
        <w:t xml:space="preserve"> </w:t>
      </w:r>
      <w:r w:rsidRPr="00981405">
        <w:t>response</w:t>
      </w:r>
      <w:r w:rsidR="00190923" w:rsidRPr="00981405">
        <w:t xml:space="preserve"> </w:t>
      </w:r>
      <w:r w:rsidRPr="00981405">
        <w:t>…,</w:t>
      </w:r>
      <w:r w:rsidR="00B92E2C" w:rsidRPr="00981405">
        <w:t>”</w:t>
      </w:r>
      <w:r w:rsidR="00190923" w:rsidRPr="00981405">
        <w:t xml:space="preserve"> </w:t>
      </w:r>
      <w:r w:rsidRPr="00981405">
        <w:t>while</w:t>
      </w:r>
      <w:r w:rsidR="00190923" w:rsidRPr="00981405">
        <w:t xml:space="preserve"> </w:t>
      </w:r>
      <w:r w:rsidRPr="00981405">
        <w:t>reaffirming</w:t>
      </w:r>
      <w:r w:rsidR="00190923" w:rsidRPr="00981405">
        <w:t xml:space="preserve"> </w:t>
      </w:r>
      <w:r w:rsidR="00B92E2C" w:rsidRPr="00981405">
        <w:t>“</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of</w:t>
      </w:r>
      <w:r w:rsidR="00190923" w:rsidRPr="00981405">
        <w:t xml:space="preserve"> </w:t>
      </w:r>
      <w:r w:rsidRPr="00981405">
        <w:t>States</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to</w:t>
      </w:r>
      <w:r w:rsidR="00190923" w:rsidRPr="00981405">
        <w:t xml:space="preserve"> </w:t>
      </w:r>
      <w:r w:rsidRPr="00981405">
        <w:t>address</w:t>
      </w:r>
      <w:r w:rsidR="00190923" w:rsidRPr="00981405">
        <w:t xml:space="preserve"> </w:t>
      </w:r>
      <w:r w:rsidRPr="00981405">
        <w:t>climate</w:t>
      </w:r>
      <w:r w:rsidR="00190923" w:rsidRPr="00981405">
        <w:t xml:space="preserve"> </w:t>
      </w:r>
      <w:r w:rsidRPr="00981405">
        <w:t>change.</w:t>
      </w:r>
      <w:r w:rsidR="00B92E2C" w:rsidRPr="00981405">
        <w:t>”</w:t>
      </w:r>
      <w:r w:rsidRPr="00981405">
        <w:rPr>
          <w:rStyle w:val="FootnoteReference"/>
        </w:rPr>
        <w:footnoteReference w:id="66"/>
      </w:r>
    </w:p>
    <w:p w:rsidR="00397032" w:rsidRPr="00981405" w:rsidRDefault="00397032" w:rsidP="00D97463">
      <w:pPr>
        <w:pStyle w:val="SingleTxt"/>
      </w:pPr>
      <w:r w:rsidRPr="00981405">
        <w:t>(5)</w:t>
      </w:r>
      <w:r w:rsidRPr="00981405">
        <w:tab/>
        <w:t>Article</w:t>
      </w:r>
      <w:r w:rsidR="00190923" w:rsidRPr="00981405">
        <w:t xml:space="preserve"> </w:t>
      </w:r>
      <w:r w:rsidRPr="00981405">
        <w:t>8</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the</w:t>
      </w:r>
      <w:r w:rsidR="00190923" w:rsidRPr="00981405">
        <w:t xml:space="preserve"> </w:t>
      </w:r>
      <w:r w:rsidRPr="00981405">
        <w:t>Non-navigational</w:t>
      </w:r>
      <w:r w:rsidR="00190923" w:rsidRPr="00981405">
        <w:t xml:space="preserve"> </w:t>
      </w:r>
      <w:r w:rsidRPr="00981405">
        <w:t>Uses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Watercourses,</w:t>
      </w:r>
      <w:r w:rsidR="00190923" w:rsidRPr="00981405">
        <w:t xml:space="preserve"> </w:t>
      </w:r>
      <w:r w:rsidRPr="00981405">
        <w:t>on</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provides</w:t>
      </w:r>
      <w:r w:rsidR="00190923" w:rsidRPr="00981405">
        <w:t xml:space="preserve"> </w:t>
      </w:r>
      <w:r w:rsidRPr="00981405">
        <w:t>that:</w:t>
      </w:r>
      <w:r w:rsidR="00190923" w:rsidRPr="00981405">
        <w:t xml:space="preserve"> </w:t>
      </w:r>
    </w:p>
    <w:p w:rsidR="00397032" w:rsidRPr="00981405" w:rsidRDefault="00B92E2C" w:rsidP="00D97463">
      <w:pPr>
        <w:pStyle w:val="SingleTxt"/>
        <w:ind w:left="1742"/>
      </w:pPr>
      <w:r w:rsidRPr="00981405">
        <w:t>“</w:t>
      </w:r>
      <w:r w:rsidR="00397032" w:rsidRPr="00981405">
        <w:t>[W]atercourse</w:t>
      </w:r>
      <w:r w:rsidR="00190923" w:rsidRPr="00981405">
        <w:t xml:space="preserve"> </w:t>
      </w:r>
      <w:r w:rsidR="00397032" w:rsidRPr="00981405">
        <w:t>States</w:t>
      </w:r>
      <w:r w:rsidR="00190923" w:rsidRPr="00981405">
        <w:t xml:space="preserve"> </w:t>
      </w:r>
      <w:r w:rsidR="00397032" w:rsidRPr="00981405">
        <w:t>shall</w:t>
      </w:r>
      <w:r w:rsidR="00190923" w:rsidRPr="00981405">
        <w:t xml:space="preserve"> </w:t>
      </w:r>
      <w:r w:rsidR="00397032" w:rsidRPr="00981405">
        <w:t>cooperate</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basis</w:t>
      </w:r>
      <w:r w:rsidR="00190923" w:rsidRPr="00981405">
        <w:t xml:space="preserve"> </w:t>
      </w:r>
      <w:r w:rsidR="00397032" w:rsidRPr="00981405">
        <w:t>of</w:t>
      </w:r>
      <w:r w:rsidR="00190923" w:rsidRPr="00981405">
        <w:t xml:space="preserve"> </w:t>
      </w:r>
      <w:r w:rsidR="00397032" w:rsidRPr="00981405">
        <w:t>sovereign</w:t>
      </w:r>
      <w:r w:rsidR="00190923" w:rsidRPr="00981405">
        <w:t xml:space="preserve"> </w:t>
      </w:r>
      <w:r w:rsidR="00397032" w:rsidRPr="00981405">
        <w:t>equality,</w:t>
      </w:r>
      <w:r w:rsidR="00190923" w:rsidRPr="00981405">
        <w:t xml:space="preserve"> </w:t>
      </w:r>
      <w:r w:rsidR="00397032" w:rsidRPr="00981405">
        <w:t>territorial</w:t>
      </w:r>
      <w:r w:rsidR="00190923" w:rsidRPr="00981405">
        <w:t xml:space="preserve"> </w:t>
      </w:r>
      <w:r w:rsidR="00397032" w:rsidRPr="00981405">
        <w:t>integrity</w:t>
      </w:r>
      <w:r w:rsidR="00190923" w:rsidRPr="00981405">
        <w:t xml:space="preserve"> </w:t>
      </w:r>
      <w:r w:rsidR="00397032" w:rsidRPr="00981405">
        <w:t>and</w:t>
      </w:r>
      <w:r w:rsidR="00190923" w:rsidRPr="00981405">
        <w:t xml:space="preserve"> </w:t>
      </w:r>
      <w:r w:rsidR="00397032" w:rsidRPr="00981405">
        <w:t>mutual</w:t>
      </w:r>
      <w:r w:rsidR="00190923" w:rsidRPr="00981405">
        <w:t xml:space="preserve"> </w:t>
      </w:r>
      <w:r w:rsidR="00397032" w:rsidRPr="00981405">
        <w:t>benefit</w:t>
      </w:r>
      <w:r w:rsidR="00190923" w:rsidRPr="00981405">
        <w:t xml:space="preserve"> </w:t>
      </w:r>
      <w:r w:rsidR="00397032" w:rsidRPr="00981405">
        <w:t>in</w:t>
      </w:r>
      <w:r w:rsidR="00190923" w:rsidRPr="00981405">
        <w:t xml:space="preserve"> </w:t>
      </w:r>
      <w:r w:rsidR="00397032" w:rsidRPr="00981405">
        <w:t>order</w:t>
      </w:r>
      <w:r w:rsidR="00190923" w:rsidRPr="00981405">
        <w:t xml:space="preserve"> </w:t>
      </w:r>
      <w:r w:rsidR="00397032" w:rsidRPr="00981405">
        <w:t>to</w:t>
      </w:r>
      <w:r w:rsidR="00190923" w:rsidRPr="00981405">
        <w:t xml:space="preserve"> </w:t>
      </w:r>
      <w:r w:rsidR="00397032" w:rsidRPr="00981405">
        <w:t>attain</w:t>
      </w:r>
      <w:r w:rsidR="00190923" w:rsidRPr="00981405">
        <w:t xml:space="preserve"> </w:t>
      </w:r>
      <w:r w:rsidR="00397032" w:rsidRPr="00981405">
        <w:t>optimal</w:t>
      </w:r>
      <w:r w:rsidR="00190923" w:rsidRPr="00981405">
        <w:t xml:space="preserve"> </w:t>
      </w:r>
      <w:r w:rsidR="00397032" w:rsidRPr="00981405">
        <w:t>utilization</w:t>
      </w:r>
      <w:r w:rsidR="00190923" w:rsidRPr="00981405">
        <w:t xml:space="preserve"> </w:t>
      </w:r>
      <w:r w:rsidR="00397032" w:rsidRPr="00981405">
        <w:t>and</w:t>
      </w:r>
      <w:r w:rsidR="00190923" w:rsidRPr="00981405">
        <w:t xml:space="preserve"> </w:t>
      </w:r>
      <w:r w:rsidR="00397032" w:rsidRPr="00981405">
        <w:t>adequate</w:t>
      </w:r>
      <w:r w:rsidR="00190923" w:rsidRPr="00981405">
        <w:t xml:space="preserve"> </w:t>
      </w:r>
      <w:r w:rsidR="00397032" w:rsidRPr="00981405">
        <w:t>protection</w:t>
      </w:r>
      <w:r w:rsidR="00190923" w:rsidRPr="00981405">
        <w:t xml:space="preserve"> </w:t>
      </w:r>
      <w:r w:rsidR="00397032" w:rsidRPr="00981405">
        <w:t>of</w:t>
      </w:r>
      <w:r w:rsidR="00190923" w:rsidRPr="00981405">
        <w:t xml:space="preserve"> </w:t>
      </w:r>
      <w:r w:rsidR="00397032" w:rsidRPr="00981405">
        <w:t>an</w:t>
      </w:r>
      <w:r w:rsidR="00190923" w:rsidRPr="00981405">
        <w:t xml:space="preserve"> </w:t>
      </w:r>
      <w:r w:rsidR="00397032" w:rsidRPr="00981405">
        <w:t>international</w:t>
      </w:r>
      <w:r w:rsidR="00190923" w:rsidRPr="00981405">
        <w:t xml:space="preserve"> </w:t>
      </w:r>
      <w:r w:rsidR="00397032" w:rsidRPr="00981405">
        <w:t>watercourse.</w:t>
      </w:r>
      <w:r w:rsidRPr="00981405">
        <w:t>”</w:t>
      </w:r>
    </w:p>
    <w:p w:rsidR="00397032" w:rsidRPr="00981405" w:rsidRDefault="00397032" w:rsidP="00D97463">
      <w:pPr>
        <w:pStyle w:val="SingleTxt"/>
      </w:pPr>
      <w:r w:rsidRPr="00981405">
        <w:t>(6)</w:t>
      </w:r>
      <w:r w:rsidRPr="00981405">
        <w:tab/>
        <w:t>In</w:t>
      </w:r>
      <w:r w:rsidR="00190923" w:rsidRPr="00981405">
        <w:t xml:space="preserve"> </w:t>
      </w:r>
      <w:r w:rsidRPr="00981405">
        <w:t>its</w:t>
      </w:r>
      <w:r w:rsidR="00190923" w:rsidRPr="00981405">
        <w:t xml:space="preserve"> </w:t>
      </w:r>
      <w:r w:rsidRPr="00981405">
        <w:t>work,</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also</w:t>
      </w:r>
      <w:r w:rsidR="00190923" w:rsidRPr="00981405">
        <w:t xml:space="preserve"> </w:t>
      </w:r>
      <w:r w:rsidRPr="00981405">
        <w:t>recognized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prevention</w:t>
      </w:r>
      <w:r w:rsidR="00190923" w:rsidRPr="00981405">
        <w:t xml:space="preserve"> </w:t>
      </w:r>
      <w:r w:rsidRPr="00981405">
        <w:t>of</w:t>
      </w:r>
      <w:r w:rsidR="00190923" w:rsidRPr="00981405">
        <w:t xml:space="preserve"> </w:t>
      </w:r>
      <w:r w:rsidRPr="00981405">
        <w:t>transboundary</w:t>
      </w:r>
      <w:r w:rsidR="00190923" w:rsidRPr="00981405">
        <w:t xml:space="preserve"> </w:t>
      </w:r>
      <w:r w:rsidRPr="00981405">
        <w:t>harm</w:t>
      </w:r>
      <w:r w:rsidR="00190923" w:rsidRPr="00981405">
        <w:t xml:space="preserve"> </w:t>
      </w:r>
      <w:r w:rsidRPr="00981405">
        <w:t>from</w:t>
      </w:r>
      <w:r w:rsidR="00190923" w:rsidRPr="00981405">
        <w:t xml:space="preserve"> </w:t>
      </w:r>
      <w:r w:rsidRPr="00981405">
        <w:t>hazardous</w:t>
      </w:r>
      <w:r w:rsidR="00190923" w:rsidRPr="00981405">
        <w:t xml:space="preserve"> </w:t>
      </w:r>
      <w:r w:rsidRPr="00981405">
        <w:t>activities</w:t>
      </w:r>
      <w:r w:rsidR="00190923" w:rsidRPr="00981405">
        <w:t xml:space="preserve"> </w:t>
      </w:r>
      <w:r w:rsidRPr="00981405">
        <w:t>(2001)</w:t>
      </w:r>
      <w:r w:rsidR="00190923" w:rsidRPr="00981405">
        <w:t xml:space="preserve"> </w:t>
      </w:r>
      <w:r w:rsidRPr="00981405">
        <w:t>provide</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on</w:t>
      </w:r>
      <w:r w:rsidR="00190923" w:rsidRPr="00981405">
        <w:t xml:space="preserve"> </w:t>
      </w:r>
      <w:r w:rsidRPr="00981405">
        <w:t>cooperation,</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States</w:t>
      </w:r>
      <w:r w:rsidR="00190923" w:rsidRPr="00981405">
        <w:t xml:space="preserve"> </w:t>
      </w:r>
      <w:r w:rsidR="00397032" w:rsidRPr="00981405">
        <w:t>concerned</w:t>
      </w:r>
      <w:r w:rsidR="00190923" w:rsidRPr="00981405">
        <w:t xml:space="preserve"> </w:t>
      </w:r>
      <w:r w:rsidR="00397032" w:rsidRPr="00981405">
        <w:t>shall</w:t>
      </w:r>
      <w:r w:rsidR="00190923" w:rsidRPr="00981405">
        <w:t xml:space="preserve"> </w:t>
      </w:r>
      <w:r w:rsidR="00397032" w:rsidRPr="00981405">
        <w:t>cooperate</w:t>
      </w:r>
      <w:r w:rsidR="00190923" w:rsidRPr="00981405">
        <w:t xml:space="preserve"> </w:t>
      </w:r>
      <w:r w:rsidR="00397032" w:rsidRPr="00981405">
        <w:t>in</w:t>
      </w:r>
      <w:r w:rsidR="00190923" w:rsidRPr="00981405">
        <w:t xml:space="preserve"> </w:t>
      </w:r>
      <w:r w:rsidR="00397032" w:rsidRPr="00981405">
        <w:t>good</w:t>
      </w:r>
      <w:r w:rsidR="00190923" w:rsidRPr="00981405">
        <w:t xml:space="preserve"> </w:t>
      </w:r>
      <w:r w:rsidR="00397032" w:rsidRPr="00981405">
        <w:t>faith</w:t>
      </w:r>
      <w:r w:rsidR="00190923" w:rsidRPr="00981405">
        <w:t xml:space="preserve"> </w:t>
      </w:r>
      <w:r w:rsidR="00397032" w:rsidRPr="00981405">
        <w:t>and,</w:t>
      </w:r>
      <w:r w:rsidR="00190923" w:rsidRPr="00981405">
        <w:t xml:space="preserve"> </w:t>
      </w:r>
      <w:r w:rsidR="00397032" w:rsidRPr="00981405">
        <w:t>as</w:t>
      </w:r>
      <w:r w:rsidR="00190923" w:rsidRPr="00981405">
        <w:t xml:space="preserve"> </w:t>
      </w:r>
      <w:r w:rsidR="00397032" w:rsidRPr="00981405">
        <w:t>necessary,</w:t>
      </w:r>
      <w:r w:rsidR="00190923" w:rsidRPr="00981405">
        <w:t xml:space="preserve"> </w:t>
      </w:r>
      <w:r w:rsidR="00397032" w:rsidRPr="00981405">
        <w:t>seek</w:t>
      </w:r>
      <w:r w:rsidR="00190923" w:rsidRPr="00981405">
        <w:t xml:space="preserve"> </w:t>
      </w:r>
      <w:r w:rsidR="00397032" w:rsidRPr="00981405">
        <w:t>the</w:t>
      </w:r>
      <w:r w:rsidR="00190923" w:rsidRPr="00981405">
        <w:t xml:space="preserve"> </w:t>
      </w:r>
      <w:r w:rsidR="00397032" w:rsidRPr="00981405">
        <w:t>assistance</w:t>
      </w:r>
      <w:r w:rsidR="00190923" w:rsidRPr="00981405">
        <w:t xml:space="preserve"> </w:t>
      </w:r>
      <w:r w:rsidR="00397032" w:rsidRPr="00981405">
        <w:t>of</w:t>
      </w:r>
      <w:r w:rsidR="00190923" w:rsidRPr="00981405">
        <w:t xml:space="preserve"> </w:t>
      </w:r>
      <w:r w:rsidR="00397032" w:rsidRPr="00981405">
        <w:t>one</w:t>
      </w:r>
      <w:r w:rsidR="00190923" w:rsidRPr="00981405">
        <w:t xml:space="preserve"> </w:t>
      </w:r>
      <w:r w:rsidR="00397032" w:rsidRPr="00981405">
        <w:t>or</w:t>
      </w:r>
      <w:r w:rsidR="00190923" w:rsidRPr="00981405">
        <w:t xml:space="preserve"> </w:t>
      </w:r>
      <w:r w:rsidR="00397032" w:rsidRPr="00981405">
        <w:t>more</w:t>
      </w:r>
      <w:r w:rsidR="00190923" w:rsidRPr="00981405">
        <w:t xml:space="preserve"> </w:t>
      </w:r>
      <w:r w:rsidR="00397032" w:rsidRPr="00981405">
        <w:t>competent</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in</w:t>
      </w:r>
      <w:r w:rsidR="00190923" w:rsidRPr="00981405">
        <w:t xml:space="preserve"> </w:t>
      </w:r>
      <w:r w:rsidR="00397032" w:rsidRPr="00981405">
        <w:t>preventing</w:t>
      </w:r>
      <w:r w:rsidR="00190923" w:rsidRPr="00981405">
        <w:t xml:space="preserve"> </w:t>
      </w:r>
      <w:r w:rsidR="00397032" w:rsidRPr="00981405">
        <w:t>significant</w:t>
      </w:r>
      <w:r w:rsidR="00190923" w:rsidRPr="00981405">
        <w:t xml:space="preserve"> </w:t>
      </w:r>
      <w:r w:rsidR="00397032" w:rsidRPr="00981405">
        <w:t>transboundary</w:t>
      </w:r>
      <w:r w:rsidR="00190923" w:rsidRPr="00981405">
        <w:t xml:space="preserve"> </w:t>
      </w:r>
      <w:r w:rsidR="00397032" w:rsidRPr="00981405">
        <w:t>harm</w:t>
      </w:r>
      <w:r w:rsidR="00190923" w:rsidRPr="00981405">
        <w:t xml:space="preserve"> </w:t>
      </w:r>
      <w:r w:rsidR="00397032" w:rsidRPr="00981405">
        <w:t>or</w:t>
      </w:r>
      <w:r w:rsidR="00190923" w:rsidRPr="00981405">
        <w:t xml:space="preserve"> </w:t>
      </w:r>
      <w:r w:rsidR="00397032" w:rsidRPr="00981405">
        <w:t>at</w:t>
      </w:r>
      <w:r w:rsidR="00190923" w:rsidRPr="00981405">
        <w:t xml:space="preserve"> </w:t>
      </w:r>
      <w:r w:rsidR="00397032" w:rsidRPr="00981405">
        <w:t>any</w:t>
      </w:r>
      <w:r w:rsidR="00190923" w:rsidRPr="00981405">
        <w:t xml:space="preserve"> </w:t>
      </w:r>
      <w:r w:rsidR="00397032" w:rsidRPr="00981405">
        <w:t>event</w:t>
      </w:r>
      <w:r w:rsidR="00190923" w:rsidRPr="00981405">
        <w:t xml:space="preserve"> </w:t>
      </w:r>
      <w:r w:rsidR="00397032" w:rsidRPr="00981405">
        <w:t>in</w:t>
      </w:r>
      <w:r w:rsidR="00190923" w:rsidRPr="00981405">
        <w:t xml:space="preserve"> </w:t>
      </w:r>
      <w:r w:rsidR="00397032" w:rsidRPr="00981405">
        <w:t>minimizing</w:t>
      </w:r>
      <w:r w:rsidR="00190923" w:rsidRPr="00981405">
        <w:t xml:space="preserve"> </w:t>
      </w:r>
      <w:r w:rsidR="00397032" w:rsidRPr="00981405">
        <w:t>the</w:t>
      </w:r>
      <w:r w:rsidR="00190923" w:rsidRPr="00981405">
        <w:t xml:space="preserve"> </w:t>
      </w:r>
      <w:r w:rsidR="00397032" w:rsidRPr="00981405">
        <w:t>risk</w:t>
      </w:r>
      <w:r w:rsidR="00190923" w:rsidRPr="00981405">
        <w:t xml:space="preserve"> </w:t>
      </w:r>
      <w:r w:rsidR="00397032" w:rsidRPr="00981405">
        <w:t>thereof.</w:t>
      </w:r>
      <w:r w:rsidRPr="00981405">
        <w:t>”</w:t>
      </w:r>
    </w:p>
    <w:p w:rsidR="00397032" w:rsidRPr="00981405" w:rsidRDefault="00397032" w:rsidP="00D97463">
      <w:pPr>
        <w:pStyle w:val="SingleTxt"/>
      </w:pPr>
      <w:r w:rsidRPr="00981405">
        <w:lastRenderedPageBreak/>
        <w:t>Further,</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transboundary</w:t>
      </w:r>
      <w:r w:rsidR="00190923" w:rsidRPr="00981405">
        <w:t xml:space="preserve"> </w:t>
      </w:r>
      <w:r w:rsidRPr="00981405">
        <w:t>aquifers</w:t>
      </w:r>
      <w:r w:rsidR="00190923" w:rsidRPr="00981405">
        <w:t xml:space="preserve"> </w:t>
      </w:r>
      <w:r w:rsidRPr="00981405">
        <w:t>provide</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7,</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that:</w:t>
      </w:r>
      <w:r w:rsidR="00190923" w:rsidRPr="00981405">
        <w:t xml:space="preserve"> </w:t>
      </w:r>
    </w:p>
    <w:p w:rsidR="00397032" w:rsidRPr="00981405" w:rsidRDefault="00B92E2C" w:rsidP="00D97463">
      <w:pPr>
        <w:pStyle w:val="SingleTxt"/>
        <w:ind w:left="1742"/>
      </w:pPr>
      <w:r w:rsidRPr="00981405">
        <w:t>“</w:t>
      </w:r>
      <w:r w:rsidR="00397032" w:rsidRPr="00981405">
        <w:t>1.</w:t>
      </w:r>
      <w:r w:rsidR="00397032" w:rsidRPr="00981405">
        <w:tab/>
        <w:t>Aquifer</w:t>
      </w:r>
      <w:r w:rsidR="00190923" w:rsidRPr="00981405">
        <w:t xml:space="preserve"> </w:t>
      </w:r>
      <w:r w:rsidR="00397032" w:rsidRPr="00981405">
        <w:t>States</w:t>
      </w:r>
      <w:r w:rsidR="00190923" w:rsidRPr="00981405">
        <w:t xml:space="preserve"> </w:t>
      </w:r>
      <w:r w:rsidR="00397032" w:rsidRPr="00981405">
        <w:t>shall</w:t>
      </w:r>
      <w:r w:rsidR="00190923" w:rsidRPr="00981405">
        <w:t xml:space="preserve"> </w:t>
      </w:r>
      <w:r w:rsidR="00397032" w:rsidRPr="00981405">
        <w:t>cooperate</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basis</w:t>
      </w:r>
      <w:r w:rsidR="00190923" w:rsidRPr="00981405">
        <w:t xml:space="preserve"> </w:t>
      </w:r>
      <w:r w:rsidR="00397032" w:rsidRPr="00981405">
        <w:t>of</w:t>
      </w:r>
      <w:r w:rsidR="00190923" w:rsidRPr="00981405">
        <w:t xml:space="preserve"> </w:t>
      </w:r>
      <w:r w:rsidR="00397032" w:rsidRPr="00981405">
        <w:t>sovereign</w:t>
      </w:r>
      <w:r w:rsidR="00190923" w:rsidRPr="00981405">
        <w:t xml:space="preserve"> </w:t>
      </w:r>
      <w:r w:rsidR="00397032" w:rsidRPr="00981405">
        <w:t>equality,</w:t>
      </w:r>
      <w:r w:rsidR="00190923" w:rsidRPr="00981405">
        <w:t xml:space="preserve"> </w:t>
      </w:r>
      <w:r w:rsidR="00397032" w:rsidRPr="00981405">
        <w:t>territorial</w:t>
      </w:r>
      <w:r w:rsidR="00190923" w:rsidRPr="00981405">
        <w:t xml:space="preserve"> </w:t>
      </w:r>
      <w:r w:rsidR="00397032" w:rsidRPr="00981405">
        <w:t>integrity,</w:t>
      </w:r>
      <w:r w:rsidR="00190923" w:rsidRPr="00981405">
        <w:t xml:space="preserve"> </w:t>
      </w:r>
      <w:r w:rsidR="00397032" w:rsidRPr="00981405">
        <w:t>sustainable</w:t>
      </w:r>
      <w:r w:rsidR="00190923" w:rsidRPr="00981405">
        <w:t xml:space="preserve"> </w:t>
      </w:r>
      <w:r w:rsidR="00397032" w:rsidRPr="00981405">
        <w:t>development,</w:t>
      </w:r>
      <w:r w:rsidR="00190923" w:rsidRPr="00981405">
        <w:t xml:space="preserve"> </w:t>
      </w:r>
      <w:r w:rsidR="00397032" w:rsidRPr="00981405">
        <w:t>mutual</w:t>
      </w:r>
      <w:r w:rsidR="00190923" w:rsidRPr="00981405">
        <w:t xml:space="preserve"> </w:t>
      </w:r>
      <w:r w:rsidR="00397032" w:rsidRPr="00981405">
        <w:t>benefit</w:t>
      </w:r>
      <w:r w:rsidR="00190923" w:rsidRPr="00981405">
        <w:t xml:space="preserve"> </w:t>
      </w:r>
      <w:r w:rsidR="00397032" w:rsidRPr="00981405">
        <w:t>and</w:t>
      </w:r>
      <w:r w:rsidR="00190923" w:rsidRPr="00981405">
        <w:t xml:space="preserve"> </w:t>
      </w:r>
      <w:r w:rsidR="00397032" w:rsidRPr="00981405">
        <w:t>good</w:t>
      </w:r>
      <w:r w:rsidR="00190923" w:rsidRPr="00981405">
        <w:t xml:space="preserve"> </w:t>
      </w:r>
      <w:r w:rsidR="00397032" w:rsidRPr="00981405">
        <w:t>faith</w:t>
      </w:r>
      <w:r w:rsidR="00190923" w:rsidRPr="00981405">
        <w:t xml:space="preserve"> </w:t>
      </w:r>
      <w:r w:rsidR="00397032" w:rsidRPr="00981405">
        <w:t>in</w:t>
      </w:r>
      <w:r w:rsidR="00190923" w:rsidRPr="00981405">
        <w:t xml:space="preserve"> </w:t>
      </w:r>
      <w:r w:rsidR="00397032" w:rsidRPr="00981405">
        <w:t>order</w:t>
      </w:r>
      <w:r w:rsidR="00190923" w:rsidRPr="00981405">
        <w:t xml:space="preserve"> </w:t>
      </w:r>
      <w:r w:rsidR="00397032" w:rsidRPr="00981405">
        <w:t>to</w:t>
      </w:r>
      <w:r w:rsidR="00190923" w:rsidRPr="00981405">
        <w:t xml:space="preserve"> </w:t>
      </w:r>
      <w:r w:rsidR="00397032" w:rsidRPr="00981405">
        <w:t>attain</w:t>
      </w:r>
      <w:r w:rsidR="00190923" w:rsidRPr="00981405">
        <w:t xml:space="preserve"> </w:t>
      </w:r>
      <w:r w:rsidR="00397032" w:rsidRPr="00981405">
        <w:t>equitable</w:t>
      </w:r>
      <w:r w:rsidR="00190923" w:rsidRPr="00981405">
        <w:t xml:space="preserve"> </w:t>
      </w:r>
      <w:r w:rsidR="00397032" w:rsidRPr="00981405">
        <w:t>and</w:t>
      </w:r>
      <w:r w:rsidR="00190923" w:rsidRPr="00981405">
        <w:t xml:space="preserve"> </w:t>
      </w:r>
      <w:r w:rsidR="00397032" w:rsidRPr="00981405">
        <w:t>reasonable</w:t>
      </w:r>
      <w:r w:rsidR="00190923" w:rsidRPr="00981405">
        <w:t xml:space="preserve"> </w:t>
      </w:r>
      <w:r w:rsidR="00397032" w:rsidRPr="00981405">
        <w:t>utilization</w:t>
      </w:r>
      <w:r w:rsidR="00190923" w:rsidRPr="00981405">
        <w:t xml:space="preserve"> </w:t>
      </w:r>
      <w:r w:rsidR="00397032" w:rsidRPr="00981405">
        <w:t>and</w:t>
      </w:r>
      <w:r w:rsidR="00190923" w:rsidRPr="00981405">
        <w:t xml:space="preserve"> </w:t>
      </w:r>
      <w:r w:rsidR="00397032" w:rsidRPr="00981405">
        <w:t>appropriate</w:t>
      </w:r>
      <w:r w:rsidR="00190923" w:rsidRPr="00981405">
        <w:t xml:space="preserve"> </w:t>
      </w:r>
      <w:r w:rsidR="00397032" w:rsidRPr="00981405">
        <w:t>protection</w:t>
      </w:r>
      <w:r w:rsidR="00190923" w:rsidRPr="00981405">
        <w:t xml:space="preserve"> </w:t>
      </w:r>
      <w:r w:rsidR="00397032" w:rsidRPr="00981405">
        <w:t>of</w:t>
      </w:r>
      <w:r w:rsidR="00190923" w:rsidRPr="00981405">
        <w:t xml:space="preserve"> </w:t>
      </w:r>
      <w:r w:rsidR="00397032" w:rsidRPr="00981405">
        <w:t>their</w:t>
      </w:r>
      <w:r w:rsidR="00190923" w:rsidRPr="00981405">
        <w:t xml:space="preserve"> </w:t>
      </w:r>
      <w:r w:rsidR="00397032" w:rsidRPr="00981405">
        <w:t>transboundary</w:t>
      </w:r>
      <w:r w:rsidR="00190923" w:rsidRPr="00981405">
        <w:t xml:space="preserve"> </w:t>
      </w:r>
      <w:r w:rsidR="00397032" w:rsidRPr="00981405">
        <w:t>aquifers</w:t>
      </w:r>
      <w:r w:rsidR="00190923" w:rsidRPr="00981405">
        <w:t xml:space="preserve"> </w:t>
      </w:r>
      <w:r w:rsidR="00397032" w:rsidRPr="00981405">
        <w:t>or</w:t>
      </w:r>
      <w:r w:rsidR="00190923" w:rsidRPr="00981405">
        <w:t xml:space="preserve"> </w:t>
      </w:r>
      <w:r w:rsidR="00397032" w:rsidRPr="00981405">
        <w:t>aquifer</w:t>
      </w:r>
      <w:r w:rsidR="00190923" w:rsidRPr="00981405">
        <w:t xml:space="preserve"> </w:t>
      </w:r>
      <w:r w:rsidR="00397032" w:rsidRPr="00981405">
        <w:t>systems.</w:t>
      </w:r>
    </w:p>
    <w:p w:rsidR="00397032" w:rsidRPr="00981405" w:rsidRDefault="00397032" w:rsidP="00D97463">
      <w:pPr>
        <w:pStyle w:val="SingleTxt"/>
        <w:ind w:left="1742"/>
      </w:pPr>
      <w:r w:rsidRPr="00981405">
        <w:t>2.</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paragraph</w:t>
      </w:r>
      <w:r w:rsidR="00190923" w:rsidRPr="00981405">
        <w:t xml:space="preserve"> </w:t>
      </w:r>
      <w:r w:rsidRPr="00981405">
        <w:t>1,</w:t>
      </w:r>
      <w:r w:rsidR="00190923" w:rsidRPr="00981405">
        <w:t xml:space="preserve"> </w:t>
      </w:r>
      <w:r w:rsidRPr="00981405">
        <w:t>aquifer</w:t>
      </w:r>
      <w:r w:rsidR="00190923" w:rsidRPr="00981405">
        <w:t xml:space="preserve"> </w:t>
      </w:r>
      <w:r w:rsidRPr="00981405">
        <w:t>States</w:t>
      </w:r>
      <w:r w:rsidR="00190923" w:rsidRPr="00981405">
        <w:t xml:space="preserve"> </w:t>
      </w:r>
      <w:r w:rsidRPr="00981405">
        <w:t>should</w:t>
      </w:r>
      <w:r w:rsidR="00190923" w:rsidRPr="00981405">
        <w:t xml:space="preserve"> </w:t>
      </w:r>
      <w:r w:rsidRPr="00981405">
        <w:t>establish</w:t>
      </w:r>
      <w:r w:rsidR="00190923" w:rsidRPr="00981405">
        <w:t xml:space="preserve"> </w:t>
      </w:r>
      <w:r w:rsidRPr="00981405">
        <w:t>joint</w:t>
      </w:r>
      <w:r w:rsidR="00190923" w:rsidRPr="00981405">
        <w:t xml:space="preserve"> </w:t>
      </w:r>
      <w:r w:rsidRPr="00981405">
        <w:t>mechanisms</w:t>
      </w:r>
      <w:r w:rsidR="00190923" w:rsidRPr="00981405">
        <w:t xml:space="preserve"> </w:t>
      </w:r>
      <w:r w:rsidRPr="00981405">
        <w:t>of</w:t>
      </w:r>
      <w:r w:rsidR="00190923" w:rsidRPr="00981405">
        <w:t xml:space="preserve"> </w:t>
      </w:r>
      <w:r w:rsidRPr="00981405">
        <w:t>cooperation.</w:t>
      </w:r>
      <w:r w:rsidR="00B92E2C" w:rsidRPr="00981405">
        <w:t>”</w:t>
      </w:r>
    </w:p>
    <w:p w:rsidR="00397032" w:rsidRPr="00981405" w:rsidRDefault="00397032" w:rsidP="00D97463">
      <w:pPr>
        <w:pStyle w:val="SingleTxt"/>
      </w:pPr>
      <w:r w:rsidRPr="00981405">
        <w:t>(7)</w:t>
      </w:r>
      <w:r w:rsidRPr="00981405">
        <w:tab/>
        <w:t>Finally,</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in</w:t>
      </w:r>
      <w:r w:rsidR="00190923" w:rsidRPr="00981405">
        <w:t xml:space="preserve"> </w:t>
      </w:r>
      <w:r w:rsidRPr="00981405">
        <w:t>the</w:t>
      </w:r>
      <w:r w:rsidR="00190923" w:rsidRPr="00981405">
        <w:t xml:space="preserve"> </w:t>
      </w:r>
      <w:r w:rsidRPr="00981405">
        <w:t>event</w:t>
      </w:r>
      <w:r w:rsidR="00190923" w:rsidRPr="00981405">
        <w:t xml:space="preserve"> </w:t>
      </w:r>
      <w:r w:rsidRPr="00981405">
        <w:t>of</w:t>
      </w:r>
      <w:r w:rsidR="00190923" w:rsidRPr="00981405">
        <w:t xml:space="preserve"> </w:t>
      </w:r>
      <w:r w:rsidRPr="00981405">
        <w:t>disasters,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on</w:t>
      </w:r>
      <w:r w:rsidR="00190923" w:rsidRPr="00981405">
        <w:t xml:space="preserve"> </w:t>
      </w:r>
      <w:r w:rsidRPr="00981405">
        <w:t>first</w:t>
      </w:r>
      <w:r w:rsidR="00190923" w:rsidRPr="00981405">
        <w:t xml:space="preserve"> </w:t>
      </w:r>
      <w:r w:rsidRPr="00981405">
        <w:t>reading</w:t>
      </w:r>
      <w:r w:rsidR="00190923" w:rsidRPr="00981405">
        <w:t xml:space="preserve"> </w:t>
      </w:r>
      <w:r w:rsidRPr="00981405">
        <w:t>in</w:t>
      </w:r>
      <w:r w:rsidR="00190923" w:rsidRPr="00981405">
        <w:t xml:space="preserve"> </w:t>
      </w:r>
      <w:r w:rsidRPr="00981405">
        <w:t>2014,</w:t>
      </w:r>
      <w:r w:rsidR="00190923" w:rsidRPr="00981405">
        <w:t xml:space="preserve"> </w:t>
      </w:r>
      <w:r w:rsidRPr="00981405">
        <w:t>provides,</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8,</w:t>
      </w:r>
      <w:r w:rsidR="00190923" w:rsidRPr="00981405">
        <w:t xml:space="preserve"> </w:t>
      </w:r>
      <w:r w:rsidRPr="00981405">
        <w:t>a</w:t>
      </w:r>
      <w:r w:rsidR="00190923" w:rsidRPr="00981405">
        <w:t xml:space="preserve"> </w:t>
      </w:r>
      <w:r w:rsidRPr="00981405">
        <w:t>duty</w:t>
      </w:r>
      <w:r w:rsidR="00190923" w:rsidRPr="00981405">
        <w:t xml:space="preserve"> </w:t>
      </w:r>
      <w:r w:rsidRPr="00981405">
        <w:t>to</w:t>
      </w:r>
      <w:r w:rsidR="00190923" w:rsidRPr="00981405">
        <w:t xml:space="preserve"> </w:t>
      </w:r>
      <w:r w:rsidRPr="00981405">
        <w:t>cooperate.</w:t>
      </w:r>
      <w:r w:rsidRPr="00981405">
        <w:rPr>
          <w:rStyle w:val="FootnoteReference"/>
        </w:rPr>
        <w:footnoteReference w:id="67"/>
      </w:r>
    </w:p>
    <w:p w:rsidR="00397032" w:rsidRPr="00981405" w:rsidRDefault="00397032" w:rsidP="00D97463">
      <w:pPr>
        <w:pStyle w:val="SingleTxt"/>
      </w:pPr>
      <w:r w:rsidRPr="00981405">
        <w:t>(8)</w:t>
      </w:r>
      <w:r w:rsidRPr="00981405">
        <w:tab/>
        <w:t>Cooperation</w:t>
      </w:r>
      <w:r w:rsidR="00190923" w:rsidRPr="00981405">
        <w:t xml:space="preserve"> </w:t>
      </w:r>
      <w:r w:rsidRPr="00981405">
        <w:t>could</w:t>
      </w:r>
      <w:r w:rsidR="00190923" w:rsidRPr="00981405">
        <w:t xml:space="preserve"> </w:t>
      </w:r>
      <w:r w:rsidRPr="00981405">
        <w:t>take</w:t>
      </w:r>
      <w:r w:rsidR="00190923" w:rsidRPr="00981405">
        <w:t xml:space="preserve"> </w:t>
      </w:r>
      <w:r w:rsidRPr="00981405">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forms.</w:t>
      </w:r>
      <w:r w:rsidR="00190923" w:rsidRPr="00981405">
        <w:t xml:space="preserve"> </w:t>
      </w:r>
      <w:r w:rsidRPr="00981405">
        <w:t>Paragraph</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stresses,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cooperation</w:t>
      </w:r>
      <w:r w:rsidR="00190923" w:rsidRPr="00981405">
        <w:t xml:space="preserve"> </w:t>
      </w:r>
      <w:r w:rsidRPr="00981405">
        <w:t>in</w:t>
      </w:r>
      <w:r w:rsidR="00190923" w:rsidRPr="00981405">
        <w:t xml:space="preserve"> </w:t>
      </w:r>
      <w:r w:rsidRPr="00981405">
        <w:t>enhancing</w:t>
      </w:r>
      <w:r w:rsidR="00190923" w:rsidRPr="00981405">
        <w:t xml:space="preserve"> </w:t>
      </w:r>
      <w:r w:rsidRPr="00981405">
        <w:t>scientific</w:t>
      </w:r>
      <w:r w:rsidR="00190923" w:rsidRPr="00981405">
        <w:t xml:space="preserve"> </w:t>
      </w:r>
      <w:r w:rsidRPr="00981405">
        <w:t>knowledge</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causes</w:t>
      </w:r>
      <w:r w:rsidR="00190923" w:rsidRPr="00981405">
        <w:t xml:space="preserve"> </w:t>
      </w:r>
      <w:r w:rsidRPr="00981405">
        <w:t>and</w:t>
      </w:r>
      <w:r w:rsidR="00190923" w:rsidRPr="00981405">
        <w:t xml:space="preserve"> </w:t>
      </w:r>
      <w:r w:rsidRPr="00981405">
        <w:t>impacts</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Paragraph</w:t>
      </w:r>
      <w:r w:rsidR="00190923" w:rsidRPr="00981405">
        <w:t xml:space="preserve"> </w:t>
      </w:r>
      <w:r w:rsidRPr="00981405">
        <w:t>(b)</w:t>
      </w:r>
      <w:r w:rsidR="00190923" w:rsidRPr="00981405">
        <w:t xml:space="preserve"> </w:t>
      </w:r>
      <w:r w:rsidRPr="00981405">
        <w:t>also</w:t>
      </w:r>
      <w:r w:rsidR="00190923" w:rsidRPr="00981405">
        <w:t xml:space="preserve"> </w:t>
      </w:r>
      <w:r w:rsidRPr="00981405">
        <w:t>highlights</w:t>
      </w:r>
      <w:r w:rsidR="00190923" w:rsidRPr="00981405">
        <w:t xml:space="preserve"> </w:t>
      </w:r>
      <w:r w:rsidRPr="00981405">
        <w:t>the</w:t>
      </w:r>
      <w:r w:rsidR="00190923" w:rsidRPr="00981405">
        <w:t xml:space="preserve"> </w:t>
      </w:r>
      <w:r w:rsidRPr="00981405">
        <w:t>exchange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and</w:t>
      </w:r>
      <w:r w:rsidR="00190923" w:rsidRPr="00981405">
        <w:t xml:space="preserve"> </w:t>
      </w:r>
      <w:r w:rsidRPr="00981405">
        <w:t>joint</w:t>
      </w:r>
      <w:r w:rsidR="00190923" w:rsidRPr="00981405">
        <w:t xml:space="preserve"> </w:t>
      </w:r>
      <w:r w:rsidRPr="00981405">
        <w:t>monitoring.</w:t>
      </w:r>
      <w:r w:rsidR="00190923" w:rsidRPr="00981405">
        <w:t xml:space="preserve"> </w:t>
      </w:r>
    </w:p>
    <w:p w:rsidR="00397032" w:rsidRPr="00981405" w:rsidRDefault="00397032" w:rsidP="00D97463">
      <w:pPr>
        <w:pStyle w:val="SingleTxt"/>
      </w:pPr>
      <w:r w:rsidRPr="00981405">
        <w:t>(9)</w:t>
      </w:r>
      <w:r w:rsidRPr="00981405">
        <w:tab/>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Ozone</w:t>
      </w:r>
      <w:r w:rsidR="00190923" w:rsidRPr="00981405">
        <w:t xml:space="preserve"> </w:t>
      </w:r>
      <w:r w:rsidRPr="00981405">
        <w:t>Layer</w:t>
      </w:r>
      <w:r w:rsidR="00190923" w:rsidRPr="00981405">
        <w:t xml:space="preserve"> </w:t>
      </w:r>
      <w:r w:rsidRPr="00981405">
        <w:t>provides,</w:t>
      </w:r>
      <w:r w:rsidR="00190923" w:rsidRPr="00981405">
        <w:t xml:space="preserve"> </w:t>
      </w:r>
      <w:r w:rsidRPr="00981405">
        <w:t>in</w:t>
      </w:r>
      <w:r w:rsidR="00190923" w:rsidRPr="00981405">
        <w:t xml:space="preserve"> </w:t>
      </w:r>
      <w:r w:rsidRPr="00981405">
        <w:t>its</w:t>
      </w:r>
      <w:r w:rsidR="00190923" w:rsidRPr="00981405">
        <w:t xml:space="preserve"> </w:t>
      </w:r>
      <w:r w:rsidRPr="00981405">
        <w:t>preamble,</w:t>
      </w:r>
      <w:r w:rsidR="00190923" w:rsidRPr="00981405">
        <w:t xml:space="preserve"> </w:t>
      </w:r>
      <w:r w:rsidRPr="00981405">
        <w:t>that</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and</w:t>
      </w:r>
      <w:r w:rsidR="00190923" w:rsidRPr="00981405">
        <w:t xml:space="preserve"> </w:t>
      </w:r>
      <w:r w:rsidRPr="00981405">
        <w:t>action</w:t>
      </w:r>
      <w:r w:rsidR="00190923" w:rsidRPr="00981405">
        <w:t xml:space="preserve"> </w:t>
      </w:r>
      <w:r w:rsidRPr="00981405">
        <w:t>should</w:t>
      </w:r>
      <w:r w:rsidR="00190923" w:rsidRPr="00981405">
        <w:t xml:space="preserve"> </w:t>
      </w:r>
      <w:r w:rsidRPr="00981405">
        <w:t>be</w:t>
      </w:r>
      <w:r w:rsidR="00190923" w:rsidRPr="00981405">
        <w:t xml:space="preserve"> </w:t>
      </w:r>
      <w:r w:rsidR="00B92E2C" w:rsidRPr="00981405">
        <w:t>“</w:t>
      </w:r>
      <w:r w:rsidRPr="00981405">
        <w:t>based</w:t>
      </w:r>
      <w:r w:rsidR="00190923" w:rsidRPr="00981405">
        <w:t xml:space="preserve"> </w:t>
      </w:r>
      <w:r w:rsidRPr="00981405">
        <w:t>on</w:t>
      </w:r>
      <w:r w:rsidR="00190923" w:rsidRPr="00981405">
        <w:t xml:space="preserve"> </w:t>
      </w:r>
      <w:r w:rsidRPr="00981405">
        <w:t>relevant</w:t>
      </w:r>
      <w:r w:rsidR="00190923" w:rsidRPr="00981405">
        <w:t xml:space="preserve"> </w:t>
      </w:r>
      <w:r w:rsidRPr="00981405">
        <w:t>scientific</w:t>
      </w:r>
      <w:r w:rsidR="00190923" w:rsidRPr="00981405">
        <w:t xml:space="preserve"> </w:t>
      </w:r>
      <w:r w:rsidRPr="00981405">
        <w:t>and</w:t>
      </w:r>
      <w:r w:rsidR="00190923" w:rsidRPr="00981405">
        <w:t xml:space="preserve"> </w:t>
      </w:r>
      <w:r w:rsidRPr="00981405">
        <w:t>technical</w:t>
      </w:r>
      <w:r w:rsidR="00190923" w:rsidRPr="00981405">
        <w:t xml:space="preserve"> </w:t>
      </w:r>
      <w:r w:rsidRPr="00981405">
        <w:t>considerations</w:t>
      </w:r>
      <w:r w:rsidR="00B92E2C" w:rsidRPr="00981405">
        <w:t>”</w:t>
      </w:r>
      <w:r w:rsidRPr="00981405">
        <w:t>,</w:t>
      </w:r>
      <w:r w:rsidR="00190923" w:rsidRPr="00981405">
        <w:t xml:space="preserve"> </w:t>
      </w:r>
      <w:r w:rsidRPr="00981405">
        <w:t>and</w:t>
      </w:r>
      <w:r w:rsidR="00190923" w:rsidRPr="00981405">
        <w:t xml:space="preserve"> </w:t>
      </w:r>
      <w:r w:rsidRPr="00981405">
        <w:t>in</w:t>
      </w:r>
      <w:r w:rsidR="00190923" w:rsidRPr="00981405">
        <w:t xml:space="preserve"> </w:t>
      </w:r>
      <w:r w:rsidRPr="00981405">
        <w:t>article</w:t>
      </w:r>
      <w:r w:rsidR="00190923" w:rsidRPr="00981405">
        <w:t xml:space="preserve"> </w:t>
      </w:r>
      <w:r w:rsidRPr="00981405">
        <w:t>4,</w:t>
      </w:r>
      <w:r w:rsidR="00190923" w:rsidRPr="00981405">
        <w:t xml:space="preserve"> </w:t>
      </w:r>
      <w:r w:rsidRPr="00981405">
        <w:t>paragraph</w:t>
      </w:r>
      <w:r w:rsidR="00190923" w:rsidRPr="00981405">
        <w:t xml:space="preserve"> </w:t>
      </w:r>
      <w:r w:rsidRPr="00981405">
        <w:t>(1),</w:t>
      </w:r>
      <w:r w:rsidR="00190923" w:rsidRPr="00981405">
        <w:t xml:space="preserve"> </w:t>
      </w:r>
      <w:r w:rsidRPr="00981405">
        <w:t>on</w:t>
      </w:r>
      <w:r w:rsidR="00190923" w:rsidRPr="00981405">
        <w:t xml:space="preserve"> </w:t>
      </w:r>
      <w:r w:rsidRPr="00981405">
        <w:t>co-operation</w:t>
      </w:r>
      <w:r w:rsidR="00190923" w:rsidRPr="00981405">
        <w:t xml:space="preserve"> </w:t>
      </w:r>
      <w:r w:rsidRPr="00981405">
        <w:t>in</w:t>
      </w:r>
      <w:r w:rsidR="00190923" w:rsidRPr="00981405">
        <w:t xml:space="preserve"> </w:t>
      </w:r>
      <w:r w:rsidRPr="00981405">
        <w:t>the</w:t>
      </w:r>
      <w:r w:rsidR="00190923" w:rsidRPr="00981405">
        <w:t xml:space="preserve"> </w:t>
      </w:r>
      <w:r w:rsidRPr="00981405">
        <w:t>legal,</w:t>
      </w:r>
      <w:r w:rsidR="00190923" w:rsidRPr="00981405">
        <w:t xml:space="preserve"> </w:t>
      </w:r>
      <w:r w:rsidRPr="00981405">
        <w:t>scientific</w:t>
      </w:r>
      <w:r w:rsidR="00190923" w:rsidRPr="00981405">
        <w:t xml:space="preserve"> </w:t>
      </w:r>
      <w:r w:rsidRPr="00981405">
        <w:t>and</w:t>
      </w:r>
      <w:r w:rsidR="00190923" w:rsidRPr="00981405">
        <w:t xml:space="preserve"> </w:t>
      </w:r>
      <w:r w:rsidRPr="00981405">
        <w:t>technical</w:t>
      </w:r>
      <w:r w:rsidR="00190923" w:rsidRPr="00981405">
        <w:t xml:space="preserve"> </w:t>
      </w:r>
      <w:r w:rsidRPr="00981405">
        <w:t>fields,</w:t>
      </w:r>
      <w:r w:rsidR="00190923" w:rsidRPr="00981405">
        <w:t xml:space="preserve"> </w:t>
      </w:r>
      <w:r w:rsidRPr="00981405">
        <w:t>there</w:t>
      </w:r>
      <w:r w:rsidR="00190923" w:rsidRPr="00981405">
        <w:t xml:space="preserve"> </w:t>
      </w:r>
      <w:r w:rsidRPr="00981405">
        <w:t>is</w:t>
      </w:r>
      <w:r w:rsidR="00190923" w:rsidRPr="00981405">
        <w:t xml:space="preserve"> </w:t>
      </w:r>
      <w:r w:rsidRPr="00981405">
        <w:t>provision</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Parties</w:t>
      </w:r>
      <w:r w:rsidR="00190923" w:rsidRPr="00981405">
        <w:t xml:space="preserve"> </w:t>
      </w:r>
      <w:r w:rsidR="00397032" w:rsidRPr="00981405">
        <w:t>shall</w:t>
      </w:r>
      <w:r w:rsidR="00190923" w:rsidRPr="00981405">
        <w:t xml:space="preserve"> </w:t>
      </w:r>
      <w:r w:rsidR="00397032" w:rsidRPr="00981405">
        <w:t>facilitate</w:t>
      </w:r>
      <w:r w:rsidR="00190923" w:rsidRPr="00981405">
        <w:t xml:space="preserve"> </w:t>
      </w:r>
      <w:r w:rsidR="00397032" w:rsidRPr="00981405">
        <w:t>and</w:t>
      </w:r>
      <w:r w:rsidR="00190923" w:rsidRPr="00981405">
        <w:t xml:space="preserve"> </w:t>
      </w:r>
      <w:r w:rsidR="00397032" w:rsidRPr="00981405">
        <w:t>encourage</w:t>
      </w:r>
      <w:r w:rsidR="00190923" w:rsidRPr="00981405">
        <w:t xml:space="preserve"> </w:t>
      </w:r>
      <w:r w:rsidR="00397032" w:rsidRPr="00981405">
        <w:t>the</w:t>
      </w:r>
      <w:r w:rsidR="00190923" w:rsidRPr="00981405">
        <w:t xml:space="preserve"> </w:t>
      </w:r>
      <w:r w:rsidR="00397032" w:rsidRPr="00981405">
        <w:t>exchange</w:t>
      </w:r>
      <w:r w:rsidR="00190923" w:rsidRPr="00981405">
        <w:t xml:space="preserve"> </w:t>
      </w:r>
      <w:r w:rsidR="00397032" w:rsidRPr="00981405">
        <w:t>of</w:t>
      </w:r>
      <w:r w:rsidR="00190923" w:rsidRPr="00981405">
        <w:t xml:space="preserve"> </w:t>
      </w:r>
      <w:r w:rsidR="00397032" w:rsidRPr="00981405">
        <w:t>scientific,</w:t>
      </w:r>
      <w:r w:rsidR="00190923" w:rsidRPr="00981405">
        <w:t xml:space="preserve"> </w:t>
      </w:r>
      <w:r w:rsidR="00397032" w:rsidRPr="00981405">
        <w:t>technical,</w:t>
      </w:r>
      <w:r w:rsidR="00190923" w:rsidRPr="00981405">
        <w:t xml:space="preserve"> </w:t>
      </w:r>
      <w:r w:rsidR="00397032" w:rsidRPr="00981405">
        <w:t>socio-economic,</w:t>
      </w:r>
      <w:r w:rsidR="00190923" w:rsidRPr="00981405">
        <w:t xml:space="preserve"> </w:t>
      </w:r>
      <w:r w:rsidR="00397032" w:rsidRPr="00981405">
        <w:t>commercial</w:t>
      </w:r>
      <w:r w:rsidR="00190923" w:rsidRPr="00981405">
        <w:t xml:space="preserve"> </w:t>
      </w:r>
      <w:r w:rsidR="00397032" w:rsidRPr="00981405">
        <w:t>and</w:t>
      </w:r>
      <w:r w:rsidR="00190923" w:rsidRPr="00981405">
        <w:t xml:space="preserve"> </w:t>
      </w:r>
      <w:r w:rsidR="00397032" w:rsidRPr="00981405">
        <w:t>legal</w:t>
      </w:r>
      <w:r w:rsidR="00190923" w:rsidRPr="00981405">
        <w:t xml:space="preserve"> </w:t>
      </w:r>
      <w:r w:rsidR="00397032" w:rsidRPr="00981405">
        <w:t>information</w:t>
      </w:r>
      <w:r w:rsidR="00190923" w:rsidRPr="00981405">
        <w:t xml:space="preserve"> </w:t>
      </w:r>
      <w:r w:rsidR="00397032" w:rsidRPr="00981405">
        <w:t>relevant</w:t>
      </w:r>
      <w:r w:rsidR="00190923" w:rsidRPr="00981405">
        <w:t xml:space="preserve"> </w:t>
      </w:r>
      <w:r w:rsidR="00397032" w:rsidRPr="00981405">
        <w:t>to</w:t>
      </w:r>
      <w:r w:rsidR="00190923" w:rsidRPr="00981405">
        <w:t xml:space="preserve"> </w:t>
      </w:r>
      <w:r w:rsidR="00397032" w:rsidRPr="00981405">
        <w:t>this</w:t>
      </w:r>
      <w:r w:rsidR="00190923" w:rsidRPr="00981405">
        <w:t xml:space="preserve"> </w:t>
      </w:r>
      <w:r w:rsidR="00397032" w:rsidRPr="00981405">
        <w:t>Convention</w:t>
      </w:r>
      <w:r w:rsidR="00190923" w:rsidRPr="00981405">
        <w:t xml:space="preserve"> </w:t>
      </w:r>
      <w:r w:rsidR="00397032" w:rsidRPr="00981405">
        <w:t>as</w:t>
      </w:r>
      <w:r w:rsidR="00190923" w:rsidRPr="00981405">
        <w:t xml:space="preserve"> </w:t>
      </w:r>
      <w:r w:rsidR="00397032" w:rsidRPr="00981405">
        <w:t>further</w:t>
      </w:r>
      <w:r w:rsidR="00190923" w:rsidRPr="00981405">
        <w:t xml:space="preserve"> </w:t>
      </w:r>
      <w:r w:rsidR="00397032" w:rsidRPr="00981405">
        <w:t>elaborated</w:t>
      </w:r>
      <w:r w:rsidR="00190923" w:rsidRPr="00981405">
        <w:t xml:space="preserve"> </w:t>
      </w:r>
      <w:r w:rsidR="00397032" w:rsidRPr="00981405">
        <w:t>in</w:t>
      </w:r>
      <w:r w:rsidR="00190923" w:rsidRPr="00981405">
        <w:t xml:space="preserve"> </w:t>
      </w:r>
      <w:r w:rsidR="00397032" w:rsidRPr="00981405">
        <w:t>annex</w:t>
      </w:r>
      <w:r w:rsidR="00190923" w:rsidRPr="00981405">
        <w:t xml:space="preserve"> </w:t>
      </w:r>
      <w:r w:rsidR="00397032" w:rsidRPr="00981405">
        <w:t>II.</w:t>
      </w:r>
      <w:r w:rsidR="00190923" w:rsidRPr="00981405">
        <w:t xml:space="preserve"> </w:t>
      </w:r>
      <w:r w:rsidR="00397032" w:rsidRPr="00981405">
        <w:t>Such</w:t>
      </w:r>
      <w:r w:rsidR="00190923" w:rsidRPr="00981405">
        <w:t xml:space="preserve"> </w:t>
      </w:r>
      <w:r w:rsidR="00397032" w:rsidRPr="00981405">
        <w:t>information</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00397032" w:rsidRPr="00981405">
        <w:t>supplied</w:t>
      </w:r>
      <w:r w:rsidR="00190923" w:rsidRPr="00981405">
        <w:t xml:space="preserve"> </w:t>
      </w:r>
      <w:r w:rsidR="00397032" w:rsidRPr="00981405">
        <w:t>to</w:t>
      </w:r>
      <w:r w:rsidR="00190923" w:rsidRPr="00981405">
        <w:t xml:space="preserve"> </w:t>
      </w:r>
      <w:r w:rsidR="00397032" w:rsidRPr="00981405">
        <w:t>bodies</w:t>
      </w:r>
      <w:r w:rsidR="00190923" w:rsidRPr="00981405">
        <w:t xml:space="preserve"> </w:t>
      </w:r>
      <w:r w:rsidR="00397032" w:rsidRPr="00981405">
        <w:t>agreed</w:t>
      </w:r>
      <w:r w:rsidR="00190923" w:rsidRPr="00981405">
        <w:t xml:space="preserve"> </w:t>
      </w:r>
      <w:r w:rsidR="00397032" w:rsidRPr="00981405">
        <w:t>upon</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Parties.</w:t>
      </w:r>
      <w:r w:rsidRPr="00981405">
        <w:t>”</w:t>
      </w:r>
    </w:p>
    <w:p w:rsidR="00397032" w:rsidRPr="00981405" w:rsidRDefault="00397032" w:rsidP="00D97463">
      <w:pPr>
        <w:pStyle w:val="SingleTxt"/>
      </w:pPr>
      <w:r w:rsidRPr="00981405">
        <w:t>Annex</w:t>
      </w:r>
      <w:r w:rsidR="00190923" w:rsidRPr="00981405">
        <w:t xml:space="preserve"> </w:t>
      </w:r>
      <w:r w:rsidRPr="00981405">
        <w:t>II</w:t>
      </w:r>
      <w:r w:rsidR="00190923" w:rsidRPr="00981405">
        <w:t xml:space="preserve"> </w:t>
      </w:r>
      <w:r w:rsidRPr="00981405">
        <w:t>to</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gives</w:t>
      </w:r>
      <w:r w:rsidR="00190923" w:rsidRPr="00981405">
        <w:t xml:space="preserve"> </w:t>
      </w:r>
      <w:r w:rsidRPr="00981405">
        <w:t>a</w:t>
      </w:r>
      <w:r w:rsidR="00190923" w:rsidRPr="00981405">
        <w:t xml:space="preserve"> </w:t>
      </w:r>
      <w:r w:rsidRPr="00981405">
        <w:t>detailed</w:t>
      </w:r>
      <w:r w:rsidR="00190923" w:rsidRPr="00981405">
        <w:t xml:space="preserve"> </w:t>
      </w:r>
      <w:r w:rsidRPr="00981405">
        <w:t>set</w:t>
      </w:r>
      <w:r w:rsidR="00190923" w:rsidRPr="00981405">
        <w:t xml:space="preserve"> </w:t>
      </w:r>
      <w:r w:rsidRPr="00981405">
        <w:t>of</w:t>
      </w:r>
      <w:r w:rsidR="00190923" w:rsidRPr="00981405">
        <w:t xml:space="preserve"> </w:t>
      </w:r>
      <w:r w:rsidRPr="00981405">
        <w:t>items</w:t>
      </w:r>
      <w:r w:rsidR="00190923" w:rsidRPr="00981405">
        <w:t xml:space="preserve"> </w:t>
      </w:r>
      <w:r w:rsidRPr="00981405">
        <w:t>for</w:t>
      </w:r>
      <w:r w:rsidR="00190923" w:rsidRPr="00981405">
        <w:t xml:space="preserve"> </w:t>
      </w:r>
      <w:r w:rsidRPr="00981405">
        <w:t>information</w:t>
      </w:r>
      <w:r w:rsidR="00190923" w:rsidRPr="00981405">
        <w:t xml:space="preserve"> </w:t>
      </w:r>
      <w:r w:rsidRPr="00981405">
        <w:t>exchange.</w:t>
      </w:r>
      <w:r w:rsidR="00190923" w:rsidRPr="00981405">
        <w:t xml:space="preserve"> </w:t>
      </w:r>
      <w:r w:rsidRPr="00981405">
        <w:t>Article</w:t>
      </w:r>
      <w:r w:rsidR="00190923" w:rsidRPr="00981405">
        <w:t xml:space="preserve"> </w:t>
      </w:r>
      <w:r w:rsidRPr="00981405">
        <w:t>4,</w:t>
      </w:r>
      <w:r w:rsidR="00190923" w:rsidRPr="00981405">
        <w:t xml:space="preserve"> </w:t>
      </w:r>
      <w:r w:rsidR="00E55F78" w:rsidRPr="00981405">
        <w:t>paragraph</w:t>
      </w:r>
      <w:r w:rsidR="00190923" w:rsidRPr="00981405">
        <w:t xml:space="preserve"> </w:t>
      </w:r>
      <w:r w:rsidRPr="00981405">
        <w:t>(2),</w:t>
      </w:r>
      <w:r w:rsidR="00190923" w:rsidRPr="00981405">
        <w:t xml:space="preserve"> </w:t>
      </w:r>
      <w:r w:rsidRPr="00981405">
        <w:t>provides</w:t>
      </w:r>
      <w:r w:rsidR="00190923" w:rsidRPr="00981405">
        <w:t xml:space="preserve"> </w:t>
      </w:r>
      <w:r w:rsidRPr="00981405">
        <w:t>for</w:t>
      </w:r>
      <w:r w:rsidR="00190923" w:rsidRPr="00981405">
        <w:t xml:space="preserve"> </w:t>
      </w:r>
      <w:r w:rsidRPr="00981405">
        <w:t>cooperation</w:t>
      </w:r>
      <w:r w:rsidR="00190923" w:rsidRPr="00981405">
        <w:t xml:space="preserve"> </w:t>
      </w:r>
      <w:r w:rsidRPr="00981405">
        <w:t>in</w:t>
      </w:r>
      <w:r w:rsidR="00190923" w:rsidRPr="00981405">
        <w:t xml:space="preserve"> </w:t>
      </w:r>
      <w:r w:rsidRPr="00981405">
        <w:t>the</w:t>
      </w:r>
      <w:r w:rsidR="00190923" w:rsidRPr="00981405">
        <w:t xml:space="preserve"> </w:t>
      </w:r>
      <w:r w:rsidRPr="00981405">
        <w:t>technical</w:t>
      </w:r>
      <w:r w:rsidR="00190923" w:rsidRPr="00981405">
        <w:t xml:space="preserve"> </w:t>
      </w:r>
      <w:r w:rsidRPr="00981405">
        <w:t>fields,</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the</w:t>
      </w:r>
      <w:r w:rsidR="00190923" w:rsidRPr="00981405">
        <w:t xml:space="preserve"> </w:t>
      </w:r>
      <w:r w:rsidRPr="00981405">
        <w:t>needs</w:t>
      </w:r>
      <w:r w:rsidR="00190923" w:rsidRPr="00981405">
        <w:t xml:space="preserve"> </w:t>
      </w:r>
      <w:r w:rsidRPr="00981405">
        <w:t>of</w:t>
      </w:r>
      <w:r w:rsidR="00190923" w:rsidRPr="00981405">
        <w:t xml:space="preserve"> </w:t>
      </w:r>
      <w:r w:rsidRPr="00981405">
        <w:t>developing</w:t>
      </w:r>
      <w:r w:rsidR="00190923" w:rsidRPr="00981405">
        <w:t xml:space="preserve"> </w:t>
      </w:r>
      <w:r w:rsidRPr="00981405">
        <w:t>countries.</w:t>
      </w:r>
      <w:r w:rsidR="00190923" w:rsidRPr="00981405">
        <w:t xml:space="preserve"> </w:t>
      </w:r>
    </w:p>
    <w:p w:rsidR="00397032" w:rsidRPr="00981405" w:rsidRDefault="00397032" w:rsidP="00D97463">
      <w:pPr>
        <w:pStyle w:val="SingleTxt"/>
      </w:pPr>
      <w:r w:rsidRPr="00981405">
        <w:t>(10)</w:t>
      </w:r>
      <w:r w:rsidRPr="00981405">
        <w:tab/>
        <w:t>Article</w:t>
      </w:r>
      <w:r w:rsidR="00190923" w:rsidRPr="00981405">
        <w:t xml:space="preserve"> </w:t>
      </w:r>
      <w:r w:rsidRPr="00981405">
        <w:t>4,</w:t>
      </w:r>
      <w:r w:rsidR="00190923" w:rsidRPr="00981405">
        <w:t xml:space="preserve"> </w:t>
      </w:r>
      <w:r w:rsidRPr="00981405">
        <w:t>paragraph</w:t>
      </w:r>
      <w:r w:rsidR="00190923" w:rsidRPr="00981405">
        <w:t xml:space="preserve"> </w:t>
      </w:r>
      <w:r w:rsidRPr="00981405">
        <w:t>(1),</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Framework</w:t>
      </w:r>
      <w:r w:rsidR="00190923" w:rsidRPr="00981405">
        <w:t xml:space="preserve"> </w:t>
      </w:r>
      <w:r w:rsidRPr="00981405">
        <w:t>Convention</w:t>
      </w:r>
      <w:r w:rsidR="00190923" w:rsidRPr="00981405">
        <w:t xml:space="preserve"> </w:t>
      </w:r>
      <w:r w:rsidRPr="00981405">
        <w:t>on</w:t>
      </w:r>
      <w:r w:rsidR="00190923" w:rsidRPr="00981405">
        <w:t xml:space="preserve"> </w:t>
      </w:r>
      <w:r w:rsidRPr="00981405">
        <w:t>Climate</w:t>
      </w:r>
      <w:r w:rsidR="00190923" w:rsidRPr="00981405">
        <w:t xml:space="preserve"> </w:t>
      </w:r>
      <w:r w:rsidRPr="00981405">
        <w:t>Change,</w:t>
      </w:r>
      <w:r w:rsidR="00190923" w:rsidRPr="00981405">
        <w:t xml:space="preserve"> </w:t>
      </w:r>
      <w:r w:rsidRPr="00981405">
        <w:t>regarding</w:t>
      </w:r>
      <w:r w:rsidR="00190923" w:rsidRPr="00981405">
        <w:t xml:space="preserve"> </w:t>
      </w:r>
      <w:r w:rsidRPr="00981405">
        <w:t>commitments,</w:t>
      </w:r>
      <w:r w:rsidR="00190923" w:rsidRPr="00981405">
        <w:t xml:space="preserve"> </w:t>
      </w:r>
      <w:r w:rsidRPr="00981405">
        <w:t>provides</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All</w:t>
      </w:r>
      <w:r w:rsidR="00190923" w:rsidRPr="00981405">
        <w:t xml:space="preserve"> </w:t>
      </w:r>
      <w:r w:rsidR="00397032" w:rsidRPr="00981405">
        <w:t>Parties</w:t>
      </w:r>
      <w:r w:rsidR="00190923" w:rsidRPr="00981405">
        <w:t xml:space="preserve"> </w:t>
      </w:r>
      <w:r w:rsidR="00397032" w:rsidRPr="00981405">
        <w:t>…</w:t>
      </w:r>
      <w:r w:rsidR="00190923" w:rsidRPr="00981405">
        <w:t xml:space="preserve"> </w:t>
      </w:r>
      <w:r w:rsidR="00397032" w:rsidRPr="00981405">
        <w:t>shall</w:t>
      </w:r>
      <w:r w:rsidR="00190923" w:rsidRPr="00981405">
        <w:t xml:space="preserve"> </w:t>
      </w:r>
      <w:r w:rsidR="00397032" w:rsidRPr="00981405">
        <w:t>(e)</w:t>
      </w:r>
      <w:r w:rsidR="00190923" w:rsidRPr="00981405">
        <w:t xml:space="preserve"> </w:t>
      </w:r>
      <w:r w:rsidR="00397032" w:rsidRPr="00981405">
        <w:t>Cooperate</w:t>
      </w:r>
      <w:r w:rsidR="00190923" w:rsidRPr="00981405">
        <w:t xml:space="preserve"> </w:t>
      </w:r>
      <w:r w:rsidR="00397032" w:rsidRPr="00981405">
        <w:t>in</w:t>
      </w:r>
      <w:r w:rsidR="00190923" w:rsidRPr="00981405">
        <w:t xml:space="preserve"> </w:t>
      </w:r>
      <w:r w:rsidR="00397032" w:rsidRPr="00981405">
        <w:t>preparing</w:t>
      </w:r>
      <w:r w:rsidR="00190923" w:rsidRPr="00981405">
        <w:t xml:space="preserve"> </w:t>
      </w:r>
      <w:r w:rsidR="00397032" w:rsidRPr="00981405">
        <w:t>for</w:t>
      </w:r>
      <w:r w:rsidR="00190923" w:rsidRPr="00981405">
        <w:t xml:space="preserve"> </w:t>
      </w:r>
      <w:r w:rsidR="00397032" w:rsidRPr="00981405">
        <w:t>adaptation</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impacts</w:t>
      </w:r>
      <w:r w:rsidR="00190923" w:rsidRPr="00981405">
        <w:t xml:space="preserve"> </w:t>
      </w:r>
      <w:r w:rsidR="00397032" w:rsidRPr="00981405">
        <w:t>of</w:t>
      </w:r>
      <w:r w:rsidR="00190923" w:rsidRPr="00981405">
        <w:t xml:space="preserve"> </w:t>
      </w:r>
      <w:r w:rsidR="00397032" w:rsidRPr="00981405">
        <w:t>climate</w:t>
      </w:r>
      <w:r w:rsidR="00190923" w:rsidRPr="00981405">
        <w:t xml:space="preserve"> </w:t>
      </w:r>
      <w:r w:rsidR="00397032" w:rsidRPr="00981405">
        <w:t>change;</w:t>
      </w:r>
      <w:r w:rsidR="00190923" w:rsidRPr="00981405">
        <w:t xml:space="preserve"> </w:t>
      </w:r>
      <w:r w:rsidR="00397032" w:rsidRPr="00981405">
        <w:t>…</w:t>
      </w:r>
      <w:r w:rsidR="00190923" w:rsidRPr="00981405">
        <w:t xml:space="preserve"> </w:t>
      </w:r>
      <w:r w:rsidR="00397032" w:rsidRPr="00981405">
        <w:t>(g)</w:t>
      </w:r>
      <w:r w:rsidR="00190923" w:rsidRPr="00981405">
        <w:t xml:space="preserve"> </w:t>
      </w:r>
      <w:r w:rsidR="00397032" w:rsidRPr="00981405">
        <w:t>Promote</w:t>
      </w:r>
      <w:r w:rsidR="00190923" w:rsidRPr="00981405">
        <w:t xml:space="preserve"> </w:t>
      </w:r>
      <w:r w:rsidR="00397032" w:rsidRPr="00981405">
        <w:t>and</w:t>
      </w:r>
      <w:r w:rsidR="00190923" w:rsidRPr="00981405">
        <w:t xml:space="preserve"> </w:t>
      </w:r>
      <w:r w:rsidR="00397032" w:rsidRPr="00981405">
        <w:t>cooperate</w:t>
      </w:r>
      <w:r w:rsidR="00190923" w:rsidRPr="00981405">
        <w:t xml:space="preserve"> </w:t>
      </w:r>
      <w:r w:rsidR="00397032" w:rsidRPr="00981405">
        <w:t>in</w:t>
      </w:r>
      <w:r w:rsidR="00190923" w:rsidRPr="00981405">
        <w:t xml:space="preserve"> </w:t>
      </w:r>
      <w:r w:rsidR="00397032" w:rsidRPr="00981405">
        <w:t>scientific,</w:t>
      </w:r>
      <w:r w:rsidR="00190923" w:rsidRPr="00981405">
        <w:t xml:space="preserve"> </w:t>
      </w:r>
      <w:r w:rsidR="00397032" w:rsidRPr="00981405">
        <w:t>technological,</w:t>
      </w:r>
      <w:r w:rsidR="00190923" w:rsidRPr="00981405">
        <w:t xml:space="preserve"> </w:t>
      </w:r>
      <w:r w:rsidR="00397032" w:rsidRPr="00981405">
        <w:t>technical,</w:t>
      </w:r>
      <w:r w:rsidR="00190923" w:rsidRPr="00981405">
        <w:t xml:space="preserve"> </w:t>
      </w:r>
      <w:r w:rsidR="00397032" w:rsidRPr="00981405">
        <w:t>socio-economic</w:t>
      </w:r>
      <w:r w:rsidR="00190923" w:rsidRPr="00981405">
        <w:t xml:space="preserve"> </w:t>
      </w:r>
      <w:r w:rsidR="00397032" w:rsidRPr="00981405">
        <w:t>and</w:t>
      </w:r>
      <w:r w:rsidR="00190923" w:rsidRPr="00981405">
        <w:t xml:space="preserve"> </w:t>
      </w:r>
      <w:r w:rsidR="00397032" w:rsidRPr="00981405">
        <w:t>other</w:t>
      </w:r>
      <w:r w:rsidR="00190923" w:rsidRPr="00981405">
        <w:t xml:space="preserve"> </w:t>
      </w:r>
      <w:r w:rsidR="00397032" w:rsidRPr="00981405">
        <w:t>research,</w:t>
      </w:r>
      <w:r w:rsidR="00190923" w:rsidRPr="00981405">
        <w:t xml:space="preserve"> </w:t>
      </w:r>
      <w:r w:rsidR="00397032" w:rsidRPr="00981405">
        <w:t>systematic</w:t>
      </w:r>
      <w:r w:rsidR="00190923" w:rsidRPr="00981405">
        <w:t xml:space="preserve"> </w:t>
      </w:r>
      <w:r w:rsidR="00397032" w:rsidRPr="00981405">
        <w:t>observation</w:t>
      </w:r>
      <w:r w:rsidR="00190923" w:rsidRPr="00981405">
        <w:t xml:space="preserve"> </w:t>
      </w:r>
      <w:r w:rsidR="00397032" w:rsidRPr="00981405">
        <w:t>and</w:t>
      </w:r>
      <w:r w:rsidR="00190923" w:rsidRPr="00981405">
        <w:t xml:space="preserve"> </w:t>
      </w:r>
      <w:r w:rsidR="00397032" w:rsidRPr="00981405">
        <w:t>development</w:t>
      </w:r>
      <w:r w:rsidR="00190923" w:rsidRPr="00981405">
        <w:t xml:space="preserve"> </w:t>
      </w:r>
      <w:r w:rsidR="00397032" w:rsidRPr="00981405">
        <w:t>of</w:t>
      </w:r>
      <w:r w:rsidR="00190923" w:rsidRPr="00981405">
        <w:t xml:space="preserve"> </w:t>
      </w:r>
      <w:r w:rsidR="00397032" w:rsidRPr="00981405">
        <w:t>data</w:t>
      </w:r>
      <w:r w:rsidR="00190923" w:rsidRPr="00981405">
        <w:t xml:space="preserve"> </w:t>
      </w:r>
      <w:r w:rsidR="00397032" w:rsidRPr="00981405">
        <w:t>archives</w:t>
      </w:r>
      <w:r w:rsidR="00190923" w:rsidRPr="00981405">
        <w:t xml:space="preserve"> </w:t>
      </w:r>
      <w:r w:rsidR="00397032" w:rsidRPr="00981405">
        <w:t>related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climate</w:t>
      </w:r>
      <w:r w:rsidR="00190923" w:rsidRPr="00981405">
        <w:t xml:space="preserve"> </w:t>
      </w:r>
      <w:r w:rsidR="00397032" w:rsidRPr="00981405">
        <w:t>system</w:t>
      </w:r>
      <w:r w:rsidR="00190923" w:rsidRPr="00981405">
        <w:t xml:space="preserve"> </w:t>
      </w:r>
      <w:r w:rsidR="00397032" w:rsidRPr="00981405">
        <w:t>and</w:t>
      </w:r>
      <w:r w:rsidR="00190923" w:rsidRPr="00981405">
        <w:t xml:space="preserve"> </w:t>
      </w:r>
      <w:r w:rsidR="00397032" w:rsidRPr="00981405">
        <w:t>intended</w:t>
      </w:r>
      <w:r w:rsidR="00190923" w:rsidRPr="00981405">
        <w:t xml:space="preserve"> </w:t>
      </w:r>
      <w:r w:rsidR="00397032" w:rsidRPr="00981405">
        <w:t>to</w:t>
      </w:r>
      <w:r w:rsidR="00190923" w:rsidRPr="00981405">
        <w:t xml:space="preserve"> </w:t>
      </w:r>
      <w:r w:rsidR="00397032" w:rsidRPr="00981405">
        <w:t>further</w:t>
      </w:r>
      <w:r w:rsidR="00190923" w:rsidRPr="00981405">
        <w:t xml:space="preserve"> </w:t>
      </w:r>
      <w:r w:rsidR="00397032" w:rsidRPr="00981405">
        <w:t>the</w:t>
      </w:r>
      <w:r w:rsidR="00190923" w:rsidRPr="00981405">
        <w:t xml:space="preserve"> </w:t>
      </w:r>
      <w:r w:rsidR="00397032" w:rsidRPr="00981405">
        <w:t>understanding</w:t>
      </w:r>
      <w:r w:rsidR="00190923" w:rsidRPr="00981405">
        <w:t xml:space="preserve"> </w:t>
      </w:r>
      <w:r w:rsidR="00397032" w:rsidRPr="00981405">
        <w:t>and</w:t>
      </w:r>
      <w:r w:rsidR="00190923" w:rsidRPr="00981405">
        <w:t xml:space="preserve"> </w:t>
      </w:r>
      <w:r w:rsidR="00397032" w:rsidRPr="00981405">
        <w:t>to</w:t>
      </w:r>
      <w:r w:rsidR="00190923" w:rsidRPr="00981405">
        <w:t xml:space="preserve"> </w:t>
      </w:r>
      <w:r w:rsidR="00397032" w:rsidRPr="00981405">
        <w:t>reduce</w:t>
      </w:r>
      <w:r w:rsidR="00190923" w:rsidRPr="00981405">
        <w:t xml:space="preserve"> </w:t>
      </w:r>
      <w:r w:rsidR="00397032" w:rsidRPr="00981405">
        <w:t>or</w:t>
      </w:r>
      <w:r w:rsidR="00190923" w:rsidRPr="00981405">
        <w:t xml:space="preserve"> </w:t>
      </w:r>
      <w:r w:rsidR="00397032" w:rsidRPr="00981405">
        <w:t>eliminate</w:t>
      </w:r>
      <w:r w:rsidR="00190923" w:rsidRPr="00981405">
        <w:t xml:space="preserve"> </w:t>
      </w:r>
      <w:r w:rsidR="00397032" w:rsidRPr="00981405">
        <w:t>the</w:t>
      </w:r>
      <w:r w:rsidR="00190923" w:rsidRPr="00981405">
        <w:t xml:space="preserve"> </w:t>
      </w:r>
      <w:r w:rsidR="00397032" w:rsidRPr="00981405">
        <w:t>remaining</w:t>
      </w:r>
      <w:r w:rsidR="00190923" w:rsidRPr="00981405">
        <w:t xml:space="preserve"> </w:t>
      </w:r>
      <w:r w:rsidR="00397032" w:rsidRPr="00981405">
        <w:t>uncertainties</w:t>
      </w:r>
      <w:r w:rsidR="00190923" w:rsidRPr="00981405">
        <w:t xml:space="preserve"> </w:t>
      </w:r>
      <w:r w:rsidR="00397032" w:rsidRPr="00981405">
        <w:t>regarding</w:t>
      </w:r>
      <w:r w:rsidR="00190923" w:rsidRPr="00981405">
        <w:t xml:space="preserve"> </w:t>
      </w:r>
      <w:r w:rsidR="00397032" w:rsidRPr="00981405">
        <w:t>the</w:t>
      </w:r>
      <w:r w:rsidR="00190923" w:rsidRPr="00981405">
        <w:t xml:space="preserve"> </w:t>
      </w:r>
      <w:r w:rsidR="00397032" w:rsidRPr="00981405">
        <w:t>causes,</w:t>
      </w:r>
      <w:r w:rsidR="00190923" w:rsidRPr="00981405">
        <w:t xml:space="preserve"> </w:t>
      </w:r>
      <w:r w:rsidR="00397032" w:rsidRPr="00981405">
        <w:t>effects,</w:t>
      </w:r>
      <w:r w:rsidR="00190923" w:rsidRPr="00981405">
        <w:t xml:space="preserve"> </w:t>
      </w:r>
      <w:r w:rsidR="00397032" w:rsidRPr="00981405">
        <w:t>magnitude</w:t>
      </w:r>
      <w:r w:rsidR="00190923" w:rsidRPr="00981405">
        <w:t xml:space="preserve"> </w:t>
      </w:r>
      <w:r w:rsidR="00397032" w:rsidRPr="00981405">
        <w:t>and</w:t>
      </w:r>
      <w:r w:rsidR="00190923" w:rsidRPr="00981405">
        <w:t xml:space="preserve"> </w:t>
      </w:r>
      <w:r w:rsidR="00397032" w:rsidRPr="00981405">
        <w:t>timing</w:t>
      </w:r>
      <w:r w:rsidR="00190923" w:rsidRPr="00981405">
        <w:t xml:space="preserve"> </w:t>
      </w:r>
      <w:r w:rsidR="00397032" w:rsidRPr="00981405">
        <w:t>of</w:t>
      </w:r>
      <w:r w:rsidR="00190923" w:rsidRPr="00981405">
        <w:t xml:space="preserve"> </w:t>
      </w:r>
      <w:r w:rsidR="00397032" w:rsidRPr="00981405">
        <w:t>climate</w:t>
      </w:r>
      <w:r w:rsidR="00190923" w:rsidRPr="00981405">
        <w:t xml:space="preserve"> </w:t>
      </w:r>
      <w:r w:rsidR="00397032" w:rsidRPr="00981405">
        <w:t>change</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economic</w:t>
      </w:r>
      <w:r w:rsidR="00190923" w:rsidRPr="00981405">
        <w:t xml:space="preserve"> </w:t>
      </w:r>
      <w:r w:rsidR="00397032" w:rsidRPr="00981405">
        <w:t>and</w:t>
      </w:r>
      <w:r w:rsidR="00190923" w:rsidRPr="00981405">
        <w:t xml:space="preserve"> </w:t>
      </w:r>
      <w:r w:rsidR="00397032" w:rsidRPr="00981405">
        <w:t>social</w:t>
      </w:r>
      <w:r w:rsidR="00190923" w:rsidRPr="00981405">
        <w:t xml:space="preserve"> </w:t>
      </w:r>
      <w:r w:rsidR="00397032" w:rsidRPr="00981405">
        <w:t>consequences</w:t>
      </w:r>
      <w:r w:rsidR="00190923" w:rsidRPr="00981405">
        <w:t xml:space="preserve"> </w:t>
      </w:r>
      <w:r w:rsidR="00397032" w:rsidRPr="00981405">
        <w:t>of</w:t>
      </w:r>
      <w:r w:rsidR="00190923" w:rsidRPr="00981405">
        <w:t xml:space="preserve"> </w:t>
      </w:r>
      <w:r w:rsidR="00397032" w:rsidRPr="00981405">
        <w:t>various</w:t>
      </w:r>
      <w:r w:rsidR="00190923" w:rsidRPr="00981405">
        <w:t xml:space="preserve"> </w:t>
      </w:r>
      <w:r w:rsidR="00397032" w:rsidRPr="00981405">
        <w:t>response</w:t>
      </w:r>
      <w:r w:rsidR="00190923" w:rsidRPr="00981405">
        <w:t xml:space="preserve"> </w:t>
      </w:r>
      <w:r w:rsidR="00397032" w:rsidRPr="00981405">
        <w:t>strategies;</w:t>
      </w:r>
      <w:r w:rsidR="00190923" w:rsidRPr="00981405">
        <w:t xml:space="preserve"> </w:t>
      </w:r>
      <w:r w:rsidR="00397032" w:rsidRPr="00981405">
        <w:t>(h)</w:t>
      </w:r>
      <w:r w:rsidR="00190923" w:rsidRPr="00981405">
        <w:t xml:space="preserve"> </w:t>
      </w:r>
      <w:r w:rsidR="00397032" w:rsidRPr="00981405">
        <w:t>Promote</w:t>
      </w:r>
      <w:r w:rsidR="00190923" w:rsidRPr="00981405">
        <w:t xml:space="preserve"> </w:t>
      </w:r>
      <w:r w:rsidR="00397032" w:rsidRPr="00981405">
        <w:t>and</w:t>
      </w:r>
      <w:r w:rsidR="00190923" w:rsidRPr="00981405">
        <w:t xml:space="preserve"> </w:t>
      </w:r>
      <w:r w:rsidR="00397032" w:rsidRPr="00981405">
        <w:t>cooperate</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full,</w:t>
      </w:r>
      <w:r w:rsidR="00190923" w:rsidRPr="00981405">
        <w:t xml:space="preserve"> </w:t>
      </w:r>
      <w:r w:rsidR="00397032" w:rsidRPr="00981405">
        <w:t>open</w:t>
      </w:r>
      <w:r w:rsidR="00190923" w:rsidRPr="00981405">
        <w:t xml:space="preserve"> </w:t>
      </w:r>
      <w:r w:rsidR="00397032" w:rsidRPr="00981405">
        <w:t>and</w:t>
      </w:r>
      <w:r w:rsidR="00190923" w:rsidRPr="00981405">
        <w:t xml:space="preserve"> </w:t>
      </w:r>
      <w:r w:rsidR="00397032" w:rsidRPr="00981405">
        <w:t>prompt</w:t>
      </w:r>
      <w:r w:rsidR="00190923" w:rsidRPr="00981405">
        <w:t xml:space="preserve"> </w:t>
      </w:r>
      <w:r w:rsidR="00397032" w:rsidRPr="00981405">
        <w:t>exchange</w:t>
      </w:r>
      <w:r w:rsidR="00190923" w:rsidRPr="00981405">
        <w:t xml:space="preserve"> </w:t>
      </w:r>
      <w:r w:rsidR="00397032" w:rsidRPr="00981405">
        <w:t>of</w:t>
      </w:r>
      <w:r w:rsidR="00190923" w:rsidRPr="00981405">
        <w:t xml:space="preserve"> </w:t>
      </w:r>
      <w:r w:rsidR="00397032" w:rsidRPr="00981405">
        <w:t>relevant</w:t>
      </w:r>
      <w:r w:rsidR="00190923" w:rsidRPr="00981405">
        <w:t xml:space="preserve"> </w:t>
      </w:r>
      <w:r w:rsidR="00397032" w:rsidRPr="00981405">
        <w:t>scientific,</w:t>
      </w:r>
      <w:r w:rsidR="00190923" w:rsidRPr="00981405">
        <w:t xml:space="preserve"> </w:t>
      </w:r>
      <w:r w:rsidR="00397032" w:rsidRPr="00981405">
        <w:t>technological,</w:t>
      </w:r>
      <w:r w:rsidR="00190923" w:rsidRPr="00981405">
        <w:t xml:space="preserve"> </w:t>
      </w:r>
      <w:r w:rsidR="00397032" w:rsidRPr="00981405">
        <w:t>technical,</w:t>
      </w:r>
      <w:r w:rsidR="00190923" w:rsidRPr="00981405">
        <w:t xml:space="preserve"> </w:t>
      </w:r>
      <w:r w:rsidR="00397032" w:rsidRPr="00981405">
        <w:t>socio-economic</w:t>
      </w:r>
      <w:r w:rsidR="00190923" w:rsidRPr="00981405">
        <w:t xml:space="preserve"> </w:t>
      </w:r>
      <w:r w:rsidR="00397032" w:rsidRPr="00981405">
        <w:t>and</w:t>
      </w:r>
      <w:r w:rsidR="00190923" w:rsidRPr="00981405">
        <w:t xml:space="preserve"> </w:t>
      </w:r>
      <w:r w:rsidR="00397032" w:rsidRPr="00981405">
        <w:t>legal</w:t>
      </w:r>
      <w:r w:rsidR="00190923" w:rsidRPr="00981405">
        <w:t xml:space="preserve"> </w:t>
      </w:r>
      <w:r w:rsidR="00397032" w:rsidRPr="00981405">
        <w:t>information</w:t>
      </w:r>
      <w:r w:rsidR="00190923" w:rsidRPr="00981405">
        <w:t xml:space="preserve"> </w:t>
      </w:r>
      <w:r w:rsidR="00397032" w:rsidRPr="00981405">
        <w:t>related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climate</w:t>
      </w:r>
      <w:r w:rsidR="00190923" w:rsidRPr="00981405">
        <w:t xml:space="preserve"> </w:t>
      </w:r>
      <w:r w:rsidR="00397032" w:rsidRPr="00981405">
        <w:t>system</w:t>
      </w:r>
      <w:r w:rsidR="00190923" w:rsidRPr="00981405">
        <w:t xml:space="preserve"> </w:t>
      </w:r>
      <w:r w:rsidR="00397032" w:rsidRPr="00981405">
        <w:t>and</w:t>
      </w:r>
      <w:r w:rsidR="00190923" w:rsidRPr="00981405">
        <w:t xml:space="preserve"> </w:t>
      </w:r>
      <w:r w:rsidR="00397032" w:rsidRPr="00981405">
        <w:t>climate</w:t>
      </w:r>
      <w:r w:rsidR="00190923" w:rsidRPr="00981405">
        <w:t xml:space="preserve"> </w:t>
      </w:r>
      <w:r w:rsidR="00397032" w:rsidRPr="00981405">
        <w:t>change,</w:t>
      </w:r>
      <w:r w:rsidR="00190923" w:rsidRPr="00981405">
        <w:t xml:space="preserve"> </w:t>
      </w:r>
      <w:r w:rsidR="00397032" w:rsidRPr="00981405">
        <w:t>and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economic</w:t>
      </w:r>
      <w:r w:rsidR="00190923" w:rsidRPr="00981405">
        <w:t xml:space="preserve"> </w:t>
      </w:r>
      <w:r w:rsidR="00397032" w:rsidRPr="00981405">
        <w:t>and</w:t>
      </w:r>
      <w:r w:rsidR="00190923" w:rsidRPr="00981405">
        <w:t xml:space="preserve"> </w:t>
      </w:r>
      <w:r w:rsidR="00397032" w:rsidRPr="00981405">
        <w:t>social</w:t>
      </w:r>
      <w:r w:rsidR="00190923" w:rsidRPr="00981405">
        <w:t xml:space="preserve"> </w:t>
      </w:r>
      <w:r w:rsidR="00397032" w:rsidRPr="00981405">
        <w:t>consequences</w:t>
      </w:r>
      <w:r w:rsidR="00190923" w:rsidRPr="00981405">
        <w:t xml:space="preserve"> </w:t>
      </w:r>
      <w:r w:rsidR="00397032" w:rsidRPr="00981405">
        <w:t>of</w:t>
      </w:r>
      <w:r w:rsidR="00190923" w:rsidRPr="00981405">
        <w:t xml:space="preserve"> </w:t>
      </w:r>
      <w:r w:rsidR="00397032" w:rsidRPr="00981405">
        <w:t>various</w:t>
      </w:r>
      <w:r w:rsidR="00190923" w:rsidRPr="00981405">
        <w:t xml:space="preserve"> </w:t>
      </w:r>
      <w:r w:rsidR="00397032" w:rsidRPr="00981405">
        <w:t>response</w:t>
      </w:r>
      <w:r w:rsidR="00190923" w:rsidRPr="00981405">
        <w:t xml:space="preserve"> </w:t>
      </w:r>
      <w:r w:rsidR="00397032" w:rsidRPr="00981405">
        <w:t>strategies;</w:t>
      </w:r>
      <w:r w:rsidR="00190923" w:rsidRPr="00981405">
        <w:t xml:space="preserve"> </w:t>
      </w:r>
      <w:r w:rsidR="00397032" w:rsidRPr="00981405">
        <w:t>(i)</w:t>
      </w:r>
      <w:r w:rsidR="00190923" w:rsidRPr="00981405">
        <w:t xml:space="preserve"> </w:t>
      </w:r>
      <w:r w:rsidR="00397032" w:rsidRPr="00981405">
        <w:t>Promote</w:t>
      </w:r>
      <w:r w:rsidR="00190923" w:rsidRPr="00981405">
        <w:t xml:space="preserve"> </w:t>
      </w:r>
      <w:r w:rsidR="00397032" w:rsidRPr="00981405">
        <w:t>and</w:t>
      </w:r>
      <w:r w:rsidR="00190923" w:rsidRPr="00981405">
        <w:t xml:space="preserve"> </w:t>
      </w:r>
      <w:r w:rsidR="00397032" w:rsidRPr="00981405">
        <w:t>cooperate</w:t>
      </w:r>
      <w:r w:rsidR="00190923" w:rsidRPr="00981405">
        <w:t xml:space="preserve"> </w:t>
      </w:r>
      <w:r w:rsidR="00397032" w:rsidRPr="00981405">
        <w:t>in</w:t>
      </w:r>
      <w:r w:rsidR="00190923" w:rsidRPr="00981405">
        <w:t xml:space="preserve"> </w:t>
      </w:r>
      <w:r w:rsidR="00397032" w:rsidRPr="00981405">
        <w:t>education,</w:t>
      </w:r>
      <w:r w:rsidR="00190923" w:rsidRPr="00981405">
        <w:t xml:space="preserve"> </w:t>
      </w:r>
      <w:r w:rsidR="00397032" w:rsidRPr="00981405">
        <w:t>training</w:t>
      </w:r>
      <w:r w:rsidR="00190923" w:rsidRPr="00981405">
        <w:t xml:space="preserve"> </w:t>
      </w:r>
      <w:r w:rsidR="00397032" w:rsidRPr="00981405">
        <w:t>and</w:t>
      </w:r>
      <w:r w:rsidR="00190923" w:rsidRPr="00981405">
        <w:t xml:space="preserve"> </w:t>
      </w:r>
      <w:r w:rsidR="00397032" w:rsidRPr="00981405">
        <w:t>public</w:t>
      </w:r>
      <w:r w:rsidR="00190923" w:rsidRPr="00981405">
        <w:t xml:space="preserve"> </w:t>
      </w:r>
      <w:r w:rsidR="00397032" w:rsidRPr="00981405">
        <w:t>awareness</w:t>
      </w:r>
      <w:r w:rsidR="00190923" w:rsidRPr="00981405">
        <w:t xml:space="preserve"> </w:t>
      </w:r>
      <w:r w:rsidR="00397032" w:rsidRPr="00981405">
        <w:t>related</w:t>
      </w:r>
      <w:r w:rsidR="00190923" w:rsidRPr="00981405">
        <w:t xml:space="preserve"> </w:t>
      </w:r>
      <w:r w:rsidR="00397032" w:rsidRPr="00981405">
        <w:t>to</w:t>
      </w:r>
      <w:r w:rsidR="00190923" w:rsidRPr="00981405">
        <w:t xml:space="preserve"> </w:t>
      </w:r>
      <w:r w:rsidR="00397032" w:rsidRPr="00981405">
        <w:t>climate</w:t>
      </w:r>
      <w:r w:rsidR="00190923" w:rsidRPr="00981405">
        <w:t xml:space="preserve"> </w:t>
      </w:r>
      <w:r w:rsidR="00397032" w:rsidRPr="00981405">
        <w:t>change</w:t>
      </w:r>
      <w:r w:rsidR="00190923" w:rsidRPr="00981405">
        <w:t xml:space="preserve"> </w:t>
      </w:r>
      <w:r w:rsidR="00397032" w:rsidRPr="00981405">
        <w:t>and</w:t>
      </w:r>
      <w:r w:rsidR="00190923" w:rsidRPr="00981405">
        <w:t xml:space="preserve"> </w:t>
      </w:r>
      <w:r w:rsidR="00397032" w:rsidRPr="00981405">
        <w:t>encourage</w:t>
      </w:r>
      <w:r w:rsidR="00190923" w:rsidRPr="00981405">
        <w:t xml:space="preserve"> </w:t>
      </w:r>
      <w:r w:rsidR="00397032" w:rsidRPr="00981405">
        <w:t>the</w:t>
      </w:r>
      <w:r w:rsidR="00190923" w:rsidRPr="00981405">
        <w:t xml:space="preserve"> </w:t>
      </w:r>
      <w:r w:rsidR="00397032" w:rsidRPr="00981405">
        <w:t>widest</w:t>
      </w:r>
      <w:r w:rsidR="00190923" w:rsidRPr="00981405">
        <w:t xml:space="preserve"> </w:t>
      </w:r>
      <w:r w:rsidR="00397032" w:rsidRPr="00981405">
        <w:t>participation</w:t>
      </w:r>
      <w:r w:rsidR="00190923" w:rsidRPr="00981405">
        <w:t xml:space="preserve"> </w:t>
      </w:r>
      <w:r w:rsidR="00397032" w:rsidRPr="00981405">
        <w:t>in</w:t>
      </w:r>
      <w:r w:rsidR="00190923" w:rsidRPr="00981405">
        <w:t xml:space="preserve"> </w:t>
      </w:r>
      <w:r w:rsidR="00397032" w:rsidRPr="00981405">
        <w:t>this</w:t>
      </w:r>
      <w:r w:rsidR="00190923" w:rsidRPr="00981405">
        <w:t xml:space="preserve"> </w:t>
      </w:r>
      <w:r w:rsidR="00397032" w:rsidRPr="00981405">
        <w:t>process,</w:t>
      </w:r>
      <w:r w:rsidR="00190923" w:rsidRPr="00981405">
        <w:t xml:space="preserve"> </w:t>
      </w:r>
      <w:r w:rsidR="00397032" w:rsidRPr="00981405">
        <w:t>including</w:t>
      </w:r>
      <w:r w:rsidR="00190923" w:rsidRPr="00981405">
        <w:t xml:space="preserve"> </w:t>
      </w:r>
      <w:r w:rsidR="00397032" w:rsidRPr="00981405">
        <w:t>that</w:t>
      </w:r>
      <w:r w:rsidR="00190923" w:rsidRPr="00981405">
        <w:t xml:space="preserve"> </w:t>
      </w:r>
      <w:r w:rsidR="00397032" w:rsidRPr="00981405">
        <w:t>of</w:t>
      </w:r>
      <w:r w:rsidR="00190923" w:rsidRPr="00981405">
        <w:t xml:space="preserve"> </w:t>
      </w:r>
      <w:r w:rsidR="00397032" w:rsidRPr="00981405">
        <w:t>non-governmental</w:t>
      </w:r>
      <w:r w:rsidR="00190923" w:rsidRPr="00981405">
        <w:t xml:space="preserve"> </w:t>
      </w:r>
      <w:r w:rsidR="00397032" w:rsidRPr="00981405">
        <w:t>organizations</w:t>
      </w:r>
      <w:r w:rsidR="00190923" w:rsidRPr="00981405">
        <w:t xml:space="preserve"> </w:t>
      </w:r>
      <w:r w:rsidR="00397032" w:rsidRPr="00981405">
        <w:t>…</w:t>
      </w:r>
      <w:r w:rsidRPr="00981405">
        <w:t>”</w:t>
      </w:r>
    </w:p>
    <w:p w:rsidR="00397032" w:rsidRPr="00981405" w:rsidRDefault="00397032" w:rsidP="00D97463">
      <w:pPr>
        <w:pStyle w:val="SingleTxt"/>
      </w:pPr>
      <w:r w:rsidRPr="00981405">
        <w:lastRenderedPageBreak/>
        <w:t>(11)</w:t>
      </w:r>
      <w:r w:rsidRPr="00981405">
        <w:tab/>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cooperate</w:t>
      </w:r>
      <w:r w:rsidR="00190923" w:rsidRPr="00981405">
        <w:t xml:space="preserve"> </w:t>
      </w:r>
      <w:r w:rsidRPr="00981405">
        <w:t>includes,</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the</w:t>
      </w:r>
      <w:r w:rsidR="00190923" w:rsidRPr="00981405">
        <w:t xml:space="preserve"> </w:t>
      </w:r>
      <w:r w:rsidRPr="00981405">
        <w:t>exchange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In</w:t>
      </w:r>
      <w:r w:rsidR="00190923" w:rsidRPr="00981405">
        <w:t xml:space="preserve"> </w:t>
      </w:r>
      <w:r w:rsidRPr="00981405">
        <w:t>this</w:t>
      </w:r>
      <w:r w:rsidR="00190923" w:rsidRPr="00981405">
        <w:t xml:space="preserve"> </w:t>
      </w:r>
      <w:r w:rsidRPr="00981405">
        <w:t>respect,</w:t>
      </w:r>
      <w:r w:rsidR="00190923" w:rsidRPr="00981405">
        <w:t xml:space="preserve"> </w:t>
      </w:r>
      <w:r w:rsidRPr="00981405">
        <w:t>it</w:t>
      </w:r>
      <w:r w:rsidR="00190923" w:rsidRPr="00981405">
        <w:t xml:space="preserve"> </w:t>
      </w:r>
      <w:r w:rsidRPr="00981405">
        <w:t>may</w:t>
      </w:r>
      <w:r w:rsidR="00190923" w:rsidRPr="00981405">
        <w:t xml:space="preserve"> </w:t>
      </w:r>
      <w:r w:rsidRPr="00981405">
        <w:t>also</w:t>
      </w:r>
      <w:r w:rsidR="00190923" w:rsidRPr="00981405">
        <w:t xml:space="preserve"> </w:t>
      </w:r>
      <w:r w:rsidRPr="00981405">
        <w:t>be</w:t>
      </w:r>
      <w:r w:rsidR="00190923" w:rsidRPr="00981405">
        <w:t xml:space="preserve"> </w:t>
      </w:r>
      <w:r w:rsidRPr="00981405">
        <w:t>noted</w:t>
      </w:r>
      <w:r w:rsidR="00190923" w:rsidRPr="00981405">
        <w:t xml:space="preserve"> </w:t>
      </w:r>
      <w:r w:rsidRPr="00981405">
        <w:t>that</w:t>
      </w:r>
      <w:r w:rsidR="00190923" w:rsidRPr="00981405">
        <w:t xml:space="preserve"> </w:t>
      </w:r>
      <w:r w:rsidRPr="00981405">
        <w:t>article</w:t>
      </w:r>
      <w:r w:rsidR="00190923" w:rsidRPr="00981405">
        <w:t xml:space="preserve"> </w:t>
      </w:r>
      <w:r w:rsidRPr="00981405">
        <w:t>9</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the</w:t>
      </w:r>
      <w:r w:rsidR="00190923" w:rsidRPr="00981405">
        <w:t xml:space="preserve"> </w:t>
      </w:r>
      <w:r w:rsidRPr="00981405">
        <w:t>Non-navigational</w:t>
      </w:r>
      <w:r w:rsidR="00190923" w:rsidRPr="00981405">
        <w:t xml:space="preserve"> </w:t>
      </w:r>
      <w:r w:rsidRPr="00981405">
        <w:t>Uses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Watercourses</w:t>
      </w:r>
      <w:r w:rsidR="00190923" w:rsidRPr="00981405">
        <w:t xml:space="preserve"> </w:t>
      </w:r>
      <w:r w:rsidRPr="00981405">
        <w:t>has</w:t>
      </w:r>
      <w:r w:rsidR="00190923" w:rsidRPr="00981405">
        <w:t xml:space="preserve"> </w:t>
      </w:r>
      <w:r w:rsidRPr="00981405">
        <w:t>a</w:t>
      </w:r>
      <w:r w:rsidR="00190923" w:rsidRPr="00981405">
        <w:t xml:space="preserve"> </w:t>
      </w:r>
      <w:r w:rsidRPr="00981405">
        <w:t>detailed</w:t>
      </w:r>
      <w:r w:rsidR="00190923" w:rsidRPr="00981405">
        <w:t xml:space="preserve"> </w:t>
      </w:r>
      <w:r w:rsidRPr="00981405">
        <w:t>set</w:t>
      </w:r>
      <w:r w:rsidR="00190923" w:rsidRPr="00981405">
        <w:t xml:space="preserve"> </w:t>
      </w:r>
      <w:r w:rsidRPr="00981405">
        <w:t>of</w:t>
      </w:r>
      <w:r w:rsidR="00190923" w:rsidRPr="00981405">
        <w:t xml:space="preserve"> </w:t>
      </w:r>
      <w:r w:rsidRPr="00981405">
        <w:t>provisions</w:t>
      </w:r>
      <w:r w:rsidR="00190923" w:rsidRPr="00981405">
        <w:t xml:space="preserve"> </w:t>
      </w:r>
      <w:r w:rsidRPr="00981405">
        <w:t>on</w:t>
      </w:r>
      <w:r w:rsidR="00190923" w:rsidRPr="00981405">
        <w:t xml:space="preserve"> </w:t>
      </w:r>
      <w:r w:rsidRPr="00981405">
        <w:t>exchange</w:t>
      </w:r>
      <w:r w:rsidR="00190923" w:rsidRPr="00981405">
        <w:t xml:space="preserve"> </w:t>
      </w:r>
      <w:r w:rsidRPr="00981405">
        <w:t>of</w:t>
      </w:r>
      <w:r w:rsidR="00190923" w:rsidRPr="00981405">
        <w:t xml:space="preserve"> </w:t>
      </w:r>
      <w:r w:rsidRPr="00981405">
        <w:t>data</w:t>
      </w:r>
      <w:r w:rsidR="00190923" w:rsidRPr="00981405">
        <w:t xml:space="preserve"> </w:t>
      </w:r>
      <w:r w:rsidRPr="00981405">
        <w:t>and</w:t>
      </w:r>
      <w:r w:rsidR="00190923" w:rsidRPr="00981405">
        <w:t xml:space="preserve"> </w:t>
      </w:r>
      <w:r w:rsidRPr="00981405">
        <w:t>information.</w:t>
      </w:r>
      <w:r w:rsidR="00190923" w:rsidRPr="00981405">
        <w:t xml:space="preserve"> </w:t>
      </w:r>
      <w:r w:rsidRPr="00981405">
        <w:t>Moreover,</w:t>
      </w:r>
      <w:r w:rsidR="00190923" w:rsidRPr="00981405">
        <w:t xml:space="preserve"> </w:t>
      </w:r>
      <w:r w:rsidRPr="00981405">
        <w:t>the</w:t>
      </w:r>
      <w:r w:rsidR="00190923" w:rsidRPr="00981405">
        <w:t xml:space="preserve"> </w:t>
      </w:r>
      <w:r w:rsidRPr="00981405">
        <w:t>LRTAP</w:t>
      </w:r>
      <w:r w:rsidR="00190923" w:rsidRPr="00981405">
        <w:t xml:space="preserve"> </w:t>
      </w:r>
      <w:r w:rsidRPr="00981405">
        <w:t>Convention</w:t>
      </w:r>
      <w:r w:rsidR="00190923" w:rsidRPr="00981405">
        <w:t xml:space="preserve"> </w:t>
      </w:r>
      <w:r w:rsidRPr="00981405">
        <w:t>provides</w:t>
      </w:r>
      <w:r w:rsidR="00190923" w:rsidRPr="00981405">
        <w:t xml:space="preserve"> </w:t>
      </w:r>
      <w:r w:rsidRPr="00981405">
        <w:t>in</w:t>
      </w:r>
      <w:r w:rsidR="00190923" w:rsidRPr="00981405">
        <w:t xml:space="preserve"> </w:t>
      </w:r>
      <w:r w:rsidRPr="00981405">
        <w:t>article</w:t>
      </w:r>
      <w:r w:rsidR="00190923" w:rsidRPr="00981405">
        <w:t xml:space="preserve"> </w:t>
      </w:r>
      <w:r w:rsidRPr="00981405">
        <w:t>4</w:t>
      </w:r>
      <w:r w:rsidR="00190923" w:rsidRPr="00981405">
        <w:t xml:space="preserve"> </w:t>
      </w:r>
      <w:r w:rsidRPr="00981405">
        <w:t>that</w:t>
      </w:r>
      <w:r w:rsidR="00190923" w:rsidRPr="00981405">
        <w:t xml:space="preserve"> </w:t>
      </w:r>
      <w:r w:rsidRPr="00981405">
        <w:t>the</w:t>
      </w:r>
      <w:r w:rsidR="00190923" w:rsidRPr="00981405">
        <w:t xml:space="preserve"> </w:t>
      </w:r>
      <w:r w:rsidRPr="00981405">
        <w:t>Contracting</w:t>
      </w:r>
      <w:r w:rsidR="00190923" w:rsidRPr="00981405">
        <w:t xml:space="preserve"> </w:t>
      </w:r>
      <w:r w:rsidRPr="00981405">
        <w:t>Parties</w:t>
      </w:r>
      <w:r w:rsidR="00190923" w:rsidRPr="00981405">
        <w:t xml:space="preserve"> </w:t>
      </w:r>
      <w:r w:rsidR="00B92E2C" w:rsidRPr="00981405">
        <w:t>“</w:t>
      </w:r>
      <w:r w:rsidRPr="00981405">
        <w:t>shall</w:t>
      </w:r>
      <w:r w:rsidR="00190923" w:rsidRPr="00981405">
        <w:t xml:space="preserve"> </w:t>
      </w:r>
      <w:r w:rsidRPr="00981405">
        <w:t>exchange</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and</w:t>
      </w:r>
      <w:r w:rsidR="00190923" w:rsidRPr="00981405">
        <w:t xml:space="preserve"> </w:t>
      </w:r>
      <w:r w:rsidRPr="00981405">
        <w:t>review</w:t>
      </w:r>
      <w:r w:rsidR="00190923" w:rsidRPr="00981405">
        <w:t xml:space="preserve"> </w:t>
      </w:r>
      <w:r w:rsidRPr="00981405">
        <w:t>their</w:t>
      </w:r>
      <w:r w:rsidR="00190923" w:rsidRPr="00981405">
        <w:t xml:space="preserve"> </w:t>
      </w:r>
      <w:r w:rsidRPr="00981405">
        <w:t>policies,</w:t>
      </w:r>
      <w:r w:rsidR="00190923" w:rsidRPr="00981405">
        <w:t xml:space="preserve"> </w:t>
      </w:r>
      <w:r w:rsidRPr="00981405">
        <w:t>scientific</w:t>
      </w:r>
      <w:r w:rsidR="00190923" w:rsidRPr="00981405">
        <w:t xml:space="preserve"> </w:t>
      </w:r>
      <w:r w:rsidRPr="00981405">
        <w:t>activities</w:t>
      </w:r>
      <w:r w:rsidR="00190923" w:rsidRPr="00981405">
        <w:t xml:space="preserve"> </w:t>
      </w:r>
      <w:r w:rsidRPr="00981405">
        <w:t>and</w:t>
      </w:r>
      <w:r w:rsidR="00190923" w:rsidRPr="00981405">
        <w:t xml:space="preserve"> </w:t>
      </w:r>
      <w:r w:rsidRPr="00981405">
        <w:t>technical</w:t>
      </w:r>
      <w:r w:rsidR="00190923" w:rsidRPr="00981405">
        <w:t xml:space="preserve"> </w:t>
      </w:r>
      <w:r w:rsidRPr="00981405">
        <w:t>measures</w:t>
      </w:r>
      <w:r w:rsidR="00190923" w:rsidRPr="00981405">
        <w:t xml:space="preserve"> </w:t>
      </w:r>
      <w:r w:rsidRPr="00981405">
        <w:t>aimed</w:t>
      </w:r>
      <w:r w:rsidR="00190923" w:rsidRPr="00981405">
        <w:t xml:space="preserve"> </w:t>
      </w:r>
      <w:r w:rsidRPr="00981405">
        <w:t>at</w:t>
      </w:r>
      <w:r w:rsidR="00190923" w:rsidRPr="00981405">
        <w:t xml:space="preserve"> </w:t>
      </w:r>
      <w:r w:rsidRPr="00981405">
        <w:t>combating,</w:t>
      </w:r>
      <w:r w:rsidR="00190923" w:rsidRPr="00981405">
        <w:t xml:space="preserve"> </w:t>
      </w:r>
      <w:r w:rsidRPr="00981405">
        <w:t>as</w:t>
      </w:r>
      <w:r w:rsidR="00190923" w:rsidRPr="00981405">
        <w:t xml:space="preserve"> </w:t>
      </w:r>
      <w:r w:rsidRPr="00981405">
        <w:t>far</w:t>
      </w:r>
      <w:r w:rsidR="00190923" w:rsidRPr="00981405">
        <w:t xml:space="preserve"> </w:t>
      </w:r>
      <w:r w:rsidRPr="00981405">
        <w:t>as</w:t>
      </w:r>
      <w:r w:rsidR="00190923" w:rsidRPr="00981405">
        <w:t xml:space="preserve"> </w:t>
      </w:r>
      <w:r w:rsidRPr="00981405">
        <w:t>possible,</w:t>
      </w:r>
      <w:r w:rsidR="00190923" w:rsidRPr="00981405">
        <w:t xml:space="preserve"> </w:t>
      </w:r>
      <w:r w:rsidRPr="00981405">
        <w:t>the</w:t>
      </w:r>
      <w:r w:rsidR="00190923" w:rsidRPr="00981405">
        <w:t xml:space="preserve"> </w:t>
      </w:r>
      <w:r w:rsidRPr="00981405">
        <w:t>discharge</w:t>
      </w:r>
      <w:r w:rsidR="00190923" w:rsidRPr="00981405">
        <w:t xml:space="preserve"> </w:t>
      </w:r>
      <w:r w:rsidRPr="00981405">
        <w:t>of</w:t>
      </w:r>
      <w:r w:rsidR="00190923" w:rsidRPr="00981405">
        <w:t xml:space="preserve"> </w:t>
      </w:r>
      <w:r w:rsidRPr="00981405">
        <w:t>air</w:t>
      </w:r>
      <w:r w:rsidR="00190923" w:rsidRPr="00981405">
        <w:t xml:space="preserve"> </w:t>
      </w:r>
      <w:r w:rsidRPr="00981405">
        <w:t>pollutants</w:t>
      </w:r>
      <w:r w:rsidR="00190923" w:rsidRPr="00981405">
        <w:t xml:space="preserve"> </w:t>
      </w:r>
      <w:r w:rsidRPr="00981405">
        <w:t>which</w:t>
      </w:r>
      <w:r w:rsidR="00190923" w:rsidRPr="00981405">
        <w:t xml:space="preserve"> </w:t>
      </w:r>
      <w:r w:rsidRPr="00981405">
        <w:t>may</w:t>
      </w:r>
      <w:r w:rsidR="00190923" w:rsidRPr="00981405">
        <w:t xml:space="preserve"> </w:t>
      </w:r>
      <w:r w:rsidRPr="00981405">
        <w:t>have</w:t>
      </w:r>
      <w:r w:rsidR="00190923" w:rsidRPr="00981405">
        <w:t xml:space="preserve"> </w:t>
      </w:r>
      <w:r w:rsidRPr="00981405">
        <w:t>adverse</w:t>
      </w:r>
      <w:r w:rsidR="00190923" w:rsidRPr="00981405">
        <w:t xml:space="preserve"> </w:t>
      </w:r>
      <w:r w:rsidRPr="00981405">
        <w:t>effects,</w:t>
      </w:r>
      <w:r w:rsidR="00190923" w:rsidRPr="00981405">
        <w:t xml:space="preserve"> </w:t>
      </w:r>
      <w:r w:rsidRPr="00981405">
        <w:t>thereby</w:t>
      </w:r>
      <w:r w:rsidR="00190923" w:rsidRPr="00981405">
        <w:t xml:space="preserve"> </w:t>
      </w:r>
      <w:r w:rsidRPr="00981405">
        <w:t>contributing</w:t>
      </w:r>
      <w:r w:rsidR="00190923" w:rsidRPr="00981405">
        <w:t xml:space="preserve"> </w:t>
      </w:r>
      <w:r w:rsidRPr="00981405">
        <w:t>to</w:t>
      </w:r>
      <w:r w:rsidR="00190923" w:rsidRPr="00981405">
        <w:t xml:space="preserve"> </w:t>
      </w:r>
      <w:r w:rsidRPr="00981405">
        <w:t>the</w:t>
      </w:r>
      <w:r w:rsidR="00190923" w:rsidRPr="00981405">
        <w:t xml:space="preserve"> </w:t>
      </w:r>
      <w:r w:rsidRPr="00981405">
        <w:t>reduction</w:t>
      </w:r>
      <w:r w:rsidR="00190923" w:rsidRPr="00981405">
        <w:t xml:space="preserve"> </w:t>
      </w:r>
      <w:r w:rsidRPr="00981405">
        <w:t>of</w:t>
      </w:r>
      <w:r w:rsidR="00190923" w:rsidRPr="00981405">
        <w:t xml:space="preserve"> </w:t>
      </w:r>
      <w:r w:rsidRPr="00981405">
        <w:t>air</w:t>
      </w:r>
      <w:r w:rsidR="00190923" w:rsidRPr="00981405">
        <w:t xml:space="preserve"> </w:t>
      </w:r>
      <w:r w:rsidRPr="00981405">
        <w:t>pollution</w:t>
      </w:r>
      <w:r w:rsidR="00190923" w:rsidRPr="00981405">
        <w:t xml:space="preserve"> </w:t>
      </w:r>
      <w:r w:rsidRPr="00981405">
        <w:t>including</w:t>
      </w:r>
      <w:r w:rsidR="00190923" w:rsidRPr="00981405">
        <w:t xml:space="preserve"> </w:t>
      </w:r>
      <w:r w:rsidRPr="00981405">
        <w:t>long-range</w:t>
      </w:r>
      <w:r w:rsidR="00190923" w:rsidRPr="00981405">
        <w:t xml:space="preserve"> </w:t>
      </w:r>
      <w:r w:rsidRPr="00981405">
        <w:t>transboundary</w:t>
      </w:r>
      <w:r w:rsidR="00190923" w:rsidRPr="00981405">
        <w:t xml:space="preserve"> </w:t>
      </w:r>
      <w:r w:rsidRPr="00981405">
        <w:t>air</w:t>
      </w:r>
      <w:r w:rsidR="00190923" w:rsidRPr="00981405">
        <w:t xml:space="preserve"> </w:t>
      </w:r>
      <w:r w:rsidRPr="00981405">
        <w:t>pollution.</w:t>
      </w:r>
      <w:r w:rsidR="00B92E2C" w:rsidRPr="00981405">
        <w:t>”</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also</w:t>
      </w:r>
      <w:r w:rsidR="00190923" w:rsidRPr="00981405">
        <w:t xml:space="preserve"> </w:t>
      </w:r>
      <w:r w:rsidRPr="00981405">
        <w:t>has</w:t>
      </w:r>
      <w:r w:rsidR="00190923" w:rsidRPr="00981405">
        <w:t xml:space="preserve"> </w:t>
      </w:r>
      <w:r w:rsidRPr="00981405">
        <w:t>detailed</w:t>
      </w:r>
      <w:r w:rsidR="00190923" w:rsidRPr="00981405">
        <w:t xml:space="preserve"> </w:t>
      </w:r>
      <w:r w:rsidRPr="00981405">
        <w:t>provisions</w:t>
      </w:r>
      <w:r w:rsidR="00190923" w:rsidRPr="00981405">
        <w:t xml:space="preserve"> </w:t>
      </w:r>
      <w:r w:rsidRPr="00981405">
        <w:t>on</w:t>
      </w:r>
      <w:r w:rsidR="00190923" w:rsidRPr="00981405">
        <w:t xml:space="preserve"> </w:t>
      </w:r>
      <w:r w:rsidRPr="00981405">
        <w:t>cooperation</w:t>
      </w:r>
      <w:r w:rsidR="00190923" w:rsidRPr="00981405">
        <w:t xml:space="preserve"> </w:t>
      </w:r>
      <w:r w:rsidRPr="00981405">
        <w:t>in</w:t>
      </w:r>
      <w:r w:rsidR="00190923" w:rsidRPr="00981405">
        <w:t xml:space="preserve"> </w:t>
      </w:r>
      <w:r w:rsidRPr="00981405">
        <w:t>the</w:t>
      </w:r>
      <w:r w:rsidR="00190923" w:rsidRPr="00981405">
        <w:t xml:space="preserve"> </w:t>
      </w:r>
      <w:r w:rsidRPr="00981405">
        <w:t>fields</w:t>
      </w:r>
      <w:r w:rsidR="00190923" w:rsidRPr="00981405">
        <w:t xml:space="preserve"> </w:t>
      </w:r>
      <w:r w:rsidRPr="00981405">
        <w:t>of</w:t>
      </w:r>
      <w:r w:rsidR="00190923" w:rsidRPr="00981405">
        <w:t xml:space="preserve"> </w:t>
      </w:r>
      <w:r w:rsidRPr="00981405">
        <w:t>research</w:t>
      </w:r>
      <w:r w:rsidR="00190923" w:rsidRPr="00981405">
        <w:t xml:space="preserve"> </w:t>
      </w:r>
      <w:r w:rsidRPr="00981405">
        <w:t>and</w:t>
      </w:r>
      <w:r w:rsidR="00190923" w:rsidRPr="00981405">
        <w:t xml:space="preserve"> </w:t>
      </w:r>
      <w:r w:rsidRPr="00981405">
        <w:t>development</w:t>
      </w:r>
      <w:r w:rsidR="00190923" w:rsidRPr="00981405">
        <w:t xml:space="preserve"> </w:t>
      </w:r>
      <w:r w:rsidRPr="00981405">
        <w:t>(article</w:t>
      </w:r>
      <w:r w:rsidR="00190923" w:rsidRPr="00981405">
        <w:t xml:space="preserve"> </w:t>
      </w:r>
      <w:r w:rsidRPr="00981405">
        <w:t>7);</w:t>
      </w:r>
      <w:r w:rsidR="00190923" w:rsidRPr="00981405">
        <w:t xml:space="preserve"> </w:t>
      </w:r>
      <w:r w:rsidRPr="00981405">
        <w:t>exchange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(article</w:t>
      </w:r>
      <w:r w:rsidR="00190923" w:rsidRPr="00981405">
        <w:t xml:space="preserve"> </w:t>
      </w:r>
      <w:r w:rsidRPr="00981405">
        <w:t>8);</w:t>
      </w:r>
      <w:r w:rsidR="00190923" w:rsidRPr="00981405">
        <w:t xml:space="preserve"> </w:t>
      </w:r>
      <w:r w:rsidRPr="00981405">
        <w:t>and</w:t>
      </w:r>
      <w:r w:rsidR="00190923" w:rsidRPr="00981405">
        <w:t xml:space="preserve"> </w:t>
      </w:r>
      <w:r w:rsidRPr="00981405">
        <w:t>implementation</w:t>
      </w:r>
      <w:r w:rsidR="00190923" w:rsidRPr="00981405">
        <w:t xml:space="preserve"> </w:t>
      </w:r>
      <w:r w:rsidRPr="00981405">
        <w:t>and</w:t>
      </w:r>
      <w:r w:rsidR="00190923" w:rsidRPr="00981405">
        <w:t xml:space="preserve"> </w:t>
      </w:r>
      <w:r w:rsidRPr="00981405">
        <w:t>further</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the</w:t>
      </w:r>
      <w:r w:rsidR="00190923" w:rsidRPr="00981405">
        <w:t xml:space="preserve"> </w:t>
      </w:r>
      <w:r w:rsidRPr="00981405">
        <w:t>cooperative</w:t>
      </w:r>
      <w:r w:rsidR="00190923" w:rsidRPr="00981405">
        <w:t xml:space="preserve"> </w:t>
      </w:r>
      <w:r w:rsidRPr="00981405">
        <w:t>programme</w:t>
      </w:r>
      <w:r w:rsidR="00190923" w:rsidRPr="00981405">
        <w:t xml:space="preserve"> </w:t>
      </w:r>
      <w:r w:rsidRPr="00981405">
        <w:t>for</w:t>
      </w:r>
      <w:r w:rsidR="00190923" w:rsidRPr="00981405">
        <w:t xml:space="preserve"> </w:t>
      </w:r>
      <w:r w:rsidRPr="00981405">
        <w:t>the</w:t>
      </w:r>
      <w:r w:rsidR="00190923" w:rsidRPr="00981405">
        <w:t xml:space="preserve"> </w:t>
      </w:r>
      <w:r w:rsidRPr="00981405">
        <w:t>monitoring</w:t>
      </w:r>
      <w:r w:rsidR="00190923" w:rsidRPr="00981405">
        <w:t xml:space="preserve"> </w:t>
      </w:r>
      <w:r w:rsidRPr="00981405">
        <w:t>and</w:t>
      </w:r>
      <w:r w:rsidR="00190923" w:rsidRPr="00981405">
        <w:t xml:space="preserve"> </w:t>
      </w:r>
      <w:r w:rsidRPr="00981405">
        <w:t>evaluation</w:t>
      </w:r>
      <w:r w:rsidR="00190923" w:rsidRPr="00981405">
        <w:t xml:space="preserve"> </w:t>
      </w:r>
      <w:r w:rsidRPr="00981405">
        <w:t>of</w:t>
      </w:r>
      <w:r w:rsidR="00190923" w:rsidRPr="00981405">
        <w:t xml:space="preserve"> </w:t>
      </w:r>
      <w:r w:rsidRPr="00981405">
        <w:t>the</w:t>
      </w:r>
      <w:r w:rsidR="00190923" w:rsidRPr="00981405">
        <w:t xml:space="preserve"> </w:t>
      </w:r>
      <w:r w:rsidRPr="00981405">
        <w:t>long-range</w:t>
      </w:r>
      <w:r w:rsidR="00190923" w:rsidRPr="00981405">
        <w:t xml:space="preserve"> </w:t>
      </w:r>
      <w:r w:rsidRPr="00981405">
        <w:t>transmission</w:t>
      </w:r>
      <w:r w:rsidR="00190923" w:rsidRPr="00981405">
        <w:t xml:space="preserve"> </w:t>
      </w:r>
      <w:r w:rsidRPr="00981405">
        <w:t>of</w:t>
      </w:r>
      <w:r w:rsidR="00190923" w:rsidRPr="00981405">
        <w:t xml:space="preserve"> </w:t>
      </w:r>
      <w:r w:rsidRPr="00981405">
        <w:t>air</w:t>
      </w:r>
      <w:r w:rsidR="00190923" w:rsidRPr="00981405">
        <w:t xml:space="preserve"> </w:t>
      </w:r>
      <w:r w:rsidRPr="00981405">
        <w:t>pollutants</w:t>
      </w:r>
      <w:r w:rsidR="00190923" w:rsidRPr="00981405">
        <w:t xml:space="preserve"> </w:t>
      </w:r>
      <w:r w:rsidRPr="00981405">
        <w:t>in</w:t>
      </w:r>
      <w:r w:rsidR="00190923" w:rsidRPr="00981405">
        <w:t xml:space="preserve"> </w:t>
      </w:r>
      <w:r w:rsidRPr="00981405">
        <w:t>Europe</w:t>
      </w:r>
      <w:r w:rsidR="00190923" w:rsidRPr="00981405">
        <w:t xml:space="preserve"> </w:t>
      </w:r>
      <w:r w:rsidRPr="00981405">
        <w:t>(article</w:t>
      </w:r>
      <w:r w:rsidR="00190923" w:rsidRPr="00981405">
        <w:t xml:space="preserve"> </w:t>
      </w:r>
      <w:r w:rsidRPr="00981405">
        <w:t>9).</w:t>
      </w:r>
      <w:r w:rsidR="00190923" w:rsidRPr="00981405">
        <w:t xml:space="preserve"> </w:t>
      </w:r>
      <w:r w:rsidRPr="00981405">
        <w:t>Similarly,</w:t>
      </w:r>
      <w:r w:rsidR="00190923" w:rsidRPr="00981405">
        <w:t xml:space="preserve"> </w:t>
      </w:r>
      <w:r w:rsidRPr="00981405">
        <w:t>the</w:t>
      </w:r>
      <w:r w:rsidR="00190923" w:rsidRPr="00981405">
        <w:t xml:space="preserve"> </w:t>
      </w:r>
      <w:r w:rsidRPr="00981405">
        <w:t>Eastern</w:t>
      </w:r>
      <w:r w:rsidR="00190923" w:rsidRPr="00981405">
        <w:t xml:space="preserve"> </w:t>
      </w:r>
      <w:r w:rsidRPr="00981405">
        <w:t>Africa</w:t>
      </w:r>
      <w:r w:rsidR="00190923" w:rsidRPr="00981405">
        <w:t xml:space="preserve"> </w:t>
      </w:r>
      <w:r w:rsidRPr="00981405">
        <w:t>Regional</w:t>
      </w:r>
      <w:r w:rsidR="00190923" w:rsidRPr="00981405">
        <w:t xml:space="preserve"> </w:t>
      </w:r>
      <w:r w:rsidRPr="00981405">
        <w:t>Framework</w:t>
      </w:r>
      <w:r w:rsidR="00190923" w:rsidRPr="00981405">
        <w:t xml:space="preserve"> </w:t>
      </w:r>
      <w:r w:rsidRPr="00981405">
        <w:t>Agreement</w:t>
      </w:r>
      <w:r w:rsidR="00190923" w:rsidRPr="00981405">
        <w:t xml:space="preserve"> </w:t>
      </w:r>
      <w:r w:rsidRPr="00981405">
        <w:t>on</w:t>
      </w:r>
      <w:r w:rsidR="00190923" w:rsidRPr="00981405">
        <w:t xml:space="preserve"> </w:t>
      </w:r>
      <w:r w:rsidRPr="00981405">
        <w:t>Air</w:t>
      </w:r>
      <w:r w:rsidR="00190923" w:rsidRPr="00981405">
        <w:t xml:space="preserve"> </w:t>
      </w:r>
      <w:r w:rsidRPr="00981405">
        <w:t>Pollution</w:t>
      </w:r>
      <w:r w:rsidR="00190923" w:rsidRPr="00981405">
        <w:t xml:space="preserve"> </w:t>
      </w:r>
      <w:r w:rsidRPr="00981405">
        <w:t>(Nairobi</w:t>
      </w:r>
      <w:r w:rsidR="00190923" w:rsidRPr="00981405">
        <w:t xml:space="preserve"> </w:t>
      </w:r>
      <w:r w:rsidRPr="00981405">
        <w:t>Agreement,</w:t>
      </w:r>
      <w:r w:rsidR="00190923" w:rsidRPr="00981405">
        <w:t xml:space="preserve"> </w:t>
      </w:r>
      <w:r w:rsidRPr="00981405">
        <w:t>2008)</w:t>
      </w:r>
      <w:r w:rsidRPr="00981405">
        <w:rPr>
          <w:rStyle w:val="FootnoteReference"/>
        </w:rPr>
        <w:footnoteReference w:id="68"/>
      </w:r>
      <w:r w:rsidR="00190923" w:rsidRPr="00981405">
        <w:t xml:space="preserve"> </w:t>
      </w:r>
      <w:r w:rsidRPr="00981405">
        <w:t>and</w:t>
      </w:r>
      <w:r w:rsidR="00190923" w:rsidRPr="00981405">
        <w:t xml:space="preserve"> </w:t>
      </w:r>
      <w:r w:rsidRPr="00981405">
        <w:t>the</w:t>
      </w:r>
      <w:r w:rsidR="00190923" w:rsidRPr="00981405">
        <w:t xml:space="preserve"> </w:t>
      </w:r>
      <w:r w:rsidRPr="00981405">
        <w:t>West</w:t>
      </w:r>
      <w:r w:rsidR="00190923" w:rsidRPr="00981405">
        <w:t xml:space="preserve"> </w:t>
      </w:r>
      <w:r w:rsidRPr="00981405">
        <w:t>and</w:t>
      </w:r>
      <w:r w:rsidR="00190923" w:rsidRPr="00981405">
        <w:t xml:space="preserve"> </w:t>
      </w:r>
      <w:r w:rsidRPr="00981405">
        <w:t>Central</w:t>
      </w:r>
      <w:r w:rsidR="00190923" w:rsidRPr="00981405">
        <w:t xml:space="preserve"> </w:t>
      </w:r>
      <w:r w:rsidRPr="00981405">
        <w:t>Africa</w:t>
      </w:r>
      <w:r w:rsidR="00190923" w:rsidRPr="00981405">
        <w:t xml:space="preserve"> </w:t>
      </w:r>
      <w:r w:rsidRPr="00981405">
        <w:t>Regional</w:t>
      </w:r>
      <w:r w:rsidR="00190923" w:rsidRPr="00981405">
        <w:t xml:space="preserve"> </w:t>
      </w:r>
      <w:r w:rsidRPr="00981405">
        <w:t>Framework</w:t>
      </w:r>
      <w:r w:rsidR="00190923" w:rsidRPr="00981405">
        <w:t xml:space="preserve"> </w:t>
      </w:r>
      <w:r w:rsidRPr="00981405">
        <w:t>Agreement</w:t>
      </w:r>
      <w:r w:rsidR="00190923" w:rsidRPr="00981405">
        <w:t xml:space="preserve"> </w:t>
      </w:r>
      <w:r w:rsidRPr="00981405">
        <w:t>on</w:t>
      </w:r>
      <w:r w:rsidR="00190923" w:rsidRPr="00981405">
        <w:t xml:space="preserve"> </w:t>
      </w:r>
      <w:r w:rsidRPr="00981405">
        <w:t>Air</w:t>
      </w:r>
      <w:r w:rsidR="00190923" w:rsidRPr="00981405">
        <w:t xml:space="preserve"> </w:t>
      </w:r>
      <w:r w:rsidRPr="00981405">
        <w:t>Pollution</w:t>
      </w:r>
      <w:r w:rsidR="00190923" w:rsidRPr="00981405">
        <w:t xml:space="preserve"> </w:t>
      </w:r>
      <w:r w:rsidRPr="00981405">
        <w:t>(Abidjan</w:t>
      </w:r>
      <w:r w:rsidR="00190923" w:rsidRPr="00981405">
        <w:t xml:space="preserve"> </w:t>
      </w:r>
      <w:r w:rsidRPr="00981405">
        <w:t>Agreement,</w:t>
      </w:r>
      <w:r w:rsidR="00190923" w:rsidRPr="00981405">
        <w:t xml:space="preserve"> </w:t>
      </w:r>
      <w:r w:rsidRPr="00981405">
        <w:t>2009)</w:t>
      </w:r>
      <w:r w:rsidRPr="00981405">
        <w:rPr>
          <w:rStyle w:val="FootnoteReference"/>
        </w:rPr>
        <w:footnoteReference w:id="69"/>
      </w:r>
      <w:r w:rsidR="00190923" w:rsidRPr="00981405">
        <w:t xml:space="preserve"> </w:t>
      </w:r>
      <w:r w:rsidRPr="00981405">
        <w:t>have</w:t>
      </w:r>
      <w:r w:rsidR="00190923" w:rsidRPr="00981405">
        <w:t xml:space="preserve"> </w:t>
      </w:r>
      <w:r w:rsidRPr="00981405">
        <w:t>identical</w:t>
      </w:r>
      <w:r w:rsidR="00190923" w:rsidRPr="00981405">
        <w:t xml:space="preserve"> </w:t>
      </w:r>
      <w:r w:rsidRPr="00981405">
        <w:t>provision</w:t>
      </w:r>
      <w:r w:rsidRPr="00981405">
        <w:rPr>
          <w:rFonts w:eastAsia="PMingLiU"/>
        </w:rPr>
        <w:t>s</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cooperation.</w:t>
      </w:r>
      <w:r w:rsidR="00190923" w:rsidRPr="00981405">
        <w:t xml:space="preserve"> </w:t>
      </w:r>
      <w:r w:rsidRPr="00981405">
        <w:t>The</w:t>
      </w:r>
      <w:r w:rsidR="00190923" w:rsidRPr="00981405">
        <w:t xml:space="preserve"> </w:t>
      </w:r>
      <w:r w:rsidRPr="00981405">
        <w:t>parties</w:t>
      </w:r>
      <w:r w:rsidR="00190923" w:rsidRPr="00981405">
        <w:t xml:space="preserve"> </w:t>
      </w:r>
      <w:r w:rsidRPr="00981405">
        <w:t>agree</w:t>
      </w:r>
      <w:r w:rsidR="00190923" w:rsidRPr="00981405">
        <w:t xml:space="preserve"> </w:t>
      </w:r>
      <w:r w:rsidRPr="00981405">
        <w:t>to:</w:t>
      </w:r>
    </w:p>
    <w:p w:rsidR="00397032" w:rsidRPr="00981405" w:rsidRDefault="00B92E2C" w:rsidP="00D97463">
      <w:pPr>
        <w:pStyle w:val="SingleTxt"/>
        <w:ind w:left="1742"/>
      </w:pPr>
      <w:r w:rsidRPr="00981405">
        <w:t>“</w:t>
      </w:r>
      <w:r w:rsidR="00397032" w:rsidRPr="00981405">
        <w:t>1.2</w:t>
      </w:r>
      <w:r w:rsidR="00190923" w:rsidRPr="00981405">
        <w:t xml:space="preserve"> </w:t>
      </w:r>
      <w:r w:rsidR="00397032" w:rsidRPr="00981405">
        <w:t>Consider</w:t>
      </w:r>
      <w:r w:rsidR="00190923" w:rsidRPr="00981405">
        <w:t xml:space="preserve"> </w:t>
      </w:r>
      <w:r w:rsidR="00397032" w:rsidRPr="00981405">
        <w:t>the</w:t>
      </w:r>
      <w:r w:rsidR="00190923" w:rsidRPr="00981405">
        <w:t xml:space="preserve"> </w:t>
      </w:r>
      <w:r w:rsidR="00397032" w:rsidRPr="00981405">
        <w:t>synergies</w:t>
      </w:r>
      <w:r w:rsidR="00190923" w:rsidRPr="00981405">
        <w:t xml:space="preserve"> </w:t>
      </w:r>
      <w:r w:rsidR="00397032" w:rsidRPr="00981405">
        <w:t>and</w:t>
      </w:r>
      <w:r w:rsidR="00190923" w:rsidRPr="00981405">
        <w:t xml:space="preserve"> </w:t>
      </w:r>
      <w:r w:rsidR="00397032" w:rsidRPr="00981405">
        <w:t>co-benefits</w:t>
      </w:r>
      <w:r w:rsidR="00190923" w:rsidRPr="00981405">
        <w:t xml:space="preserve"> </w:t>
      </w:r>
      <w:r w:rsidR="00397032" w:rsidRPr="00981405">
        <w:t>of</w:t>
      </w:r>
      <w:r w:rsidR="00190923" w:rsidRPr="00981405">
        <w:t xml:space="preserve"> </w:t>
      </w:r>
      <w:r w:rsidR="00397032" w:rsidRPr="00981405">
        <w:t>taking</w:t>
      </w:r>
      <w:r w:rsidR="00190923" w:rsidRPr="00981405">
        <w:t xml:space="preserve"> </w:t>
      </w:r>
      <w:r w:rsidR="00397032" w:rsidRPr="00981405">
        <w:t>joint</w:t>
      </w:r>
      <w:r w:rsidR="00190923" w:rsidRPr="00981405">
        <w:t xml:space="preserve"> </w:t>
      </w:r>
      <w:r w:rsidR="00397032" w:rsidRPr="00981405">
        <w:t>measures</w:t>
      </w:r>
      <w:r w:rsidR="00190923" w:rsidRPr="00981405">
        <w:t xml:space="preserve"> </w:t>
      </w:r>
      <w:r w:rsidR="00397032" w:rsidRPr="00981405">
        <w:t>against</w:t>
      </w:r>
      <w:r w:rsidR="00190923" w:rsidRPr="00981405">
        <w:t xml:space="preserve"> </w:t>
      </w:r>
      <w:r w:rsidR="00397032" w:rsidRPr="00981405">
        <w:t>the</w:t>
      </w:r>
      <w:r w:rsidR="00190923" w:rsidRPr="00981405">
        <w:t xml:space="preserve"> </w:t>
      </w:r>
      <w:r w:rsidR="00397032" w:rsidRPr="00981405">
        <w:t>emission</w:t>
      </w:r>
      <w:r w:rsidR="00190923" w:rsidRPr="00981405">
        <w:t xml:space="preserve"> </w:t>
      </w:r>
      <w:r w:rsidR="00397032" w:rsidRPr="00981405">
        <w:t>of</w:t>
      </w:r>
      <w:r w:rsidR="00190923" w:rsidRPr="00981405">
        <w:t xml:space="preserve"> </w:t>
      </w:r>
      <w:r w:rsidR="00397032" w:rsidRPr="00981405">
        <w:t>air</w:t>
      </w:r>
      <w:r w:rsidR="00190923" w:rsidRPr="00981405">
        <w:t xml:space="preserve"> </w:t>
      </w:r>
      <w:r w:rsidR="00397032" w:rsidRPr="00981405">
        <w:t>pollutants</w:t>
      </w:r>
      <w:r w:rsidR="00190923" w:rsidRPr="00981405">
        <w:t xml:space="preserve"> </w:t>
      </w:r>
      <w:r w:rsidR="00397032" w:rsidRPr="00981405">
        <w:t>and</w:t>
      </w:r>
      <w:r w:rsidR="00190923" w:rsidRPr="00981405">
        <w:t xml:space="preserve"> </w:t>
      </w:r>
      <w:r w:rsidR="00397032" w:rsidRPr="00981405">
        <w:t>greenhouse</w:t>
      </w:r>
      <w:r w:rsidR="00190923" w:rsidRPr="00981405">
        <w:t xml:space="preserve"> </w:t>
      </w:r>
      <w:r w:rsidR="00397032" w:rsidRPr="00981405">
        <w:t>gases;</w:t>
      </w:r>
      <w:r w:rsidR="00190923" w:rsidRPr="00981405">
        <w:t xml:space="preserve"> </w:t>
      </w:r>
      <w:r w:rsidR="00397032" w:rsidRPr="00981405">
        <w:t>1.4</w:t>
      </w:r>
      <w:r w:rsidR="00190923" w:rsidRPr="00981405">
        <w:t xml:space="preserve"> </w:t>
      </w:r>
      <w:r w:rsidR="00397032" w:rsidRPr="00981405">
        <w:t>Promote</w:t>
      </w:r>
      <w:r w:rsidR="00190923" w:rsidRPr="00981405">
        <w:t xml:space="preserve"> </w:t>
      </w:r>
      <w:r w:rsidR="00397032" w:rsidRPr="00981405">
        <w:t>the</w:t>
      </w:r>
      <w:r w:rsidR="00190923" w:rsidRPr="00981405">
        <w:t xml:space="preserve"> </w:t>
      </w:r>
      <w:r w:rsidR="00397032" w:rsidRPr="00981405">
        <w:t>exchange</w:t>
      </w:r>
      <w:r w:rsidR="00190923" w:rsidRPr="00981405">
        <w:t xml:space="preserve"> </w:t>
      </w:r>
      <w:r w:rsidR="00397032" w:rsidRPr="00981405">
        <w:t>of</w:t>
      </w:r>
      <w:r w:rsidR="00190923" w:rsidRPr="00981405">
        <w:t xml:space="preserve"> </w:t>
      </w:r>
      <w:r w:rsidR="00397032" w:rsidRPr="00981405">
        <w:t>educational</w:t>
      </w:r>
      <w:r w:rsidR="00190923" w:rsidRPr="00981405">
        <w:t xml:space="preserve"> </w:t>
      </w:r>
      <w:r w:rsidR="00397032" w:rsidRPr="00981405">
        <w:t>and</w:t>
      </w:r>
      <w:r w:rsidR="00190923" w:rsidRPr="00981405">
        <w:t xml:space="preserve"> </w:t>
      </w:r>
      <w:r w:rsidR="00397032" w:rsidRPr="00981405">
        <w:t>research</w:t>
      </w:r>
      <w:r w:rsidR="00190923" w:rsidRPr="00981405">
        <w:t xml:space="preserve"> </w:t>
      </w:r>
      <w:r w:rsidR="00397032" w:rsidRPr="00981405">
        <w:t>information</w:t>
      </w:r>
      <w:r w:rsidR="00190923" w:rsidRPr="00981405">
        <w:t xml:space="preserve"> </w:t>
      </w:r>
      <w:r w:rsidR="00397032" w:rsidRPr="00981405">
        <w:t>on</w:t>
      </w:r>
      <w:r w:rsidR="00190923" w:rsidRPr="00981405">
        <w:t xml:space="preserve"> </w:t>
      </w:r>
      <w:r w:rsidR="00397032" w:rsidRPr="00981405">
        <w:t>air</w:t>
      </w:r>
      <w:r w:rsidR="00190923" w:rsidRPr="00981405">
        <w:t xml:space="preserve"> </w:t>
      </w:r>
      <w:r w:rsidR="00397032" w:rsidRPr="00981405">
        <w:t>quality</w:t>
      </w:r>
      <w:r w:rsidR="00190923" w:rsidRPr="00981405">
        <w:t xml:space="preserve"> </w:t>
      </w:r>
      <w:r w:rsidR="00397032" w:rsidRPr="00981405">
        <w:t>management;</w:t>
      </w:r>
      <w:r w:rsidR="00190923" w:rsidRPr="00981405">
        <w:t xml:space="preserve"> </w:t>
      </w:r>
      <w:r w:rsidR="00397032" w:rsidRPr="00981405">
        <w:t>1.5</w:t>
      </w:r>
      <w:r w:rsidR="00190923" w:rsidRPr="00981405">
        <w:t xml:space="preserve"> </w:t>
      </w:r>
      <w:r w:rsidR="00397032" w:rsidRPr="00981405">
        <w:t>Promote</w:t>
      </w:r>
      <w:r w:rsidR="00190923" w:rsidRPr="00981405">
        <w:t xml:space="preserve"> </w:t>
      </w:r>
      <w:r w:rsidR="00397032" w:rsidRPr="00981405">
        <w:t>regional</w:t>
      </w:r>
      <w:r w:rsidR="00190923" w:rsidRPr="00981405">
        <w:t xml:space="preserve"> </w:t>
      </w:r>
      <w:r w:rsidR="00397032" w:rsidRPr="00981405">
        <w:t>cooperation</w:t>
      </w:r>
      <w:r w:rsidR="00190923" w:rsidRPr="00981405">
        <w:t xml:space="preserve"> </w:t>
      </w:r>
      <w:r w:rsidR="00397032" w:rsidRPr="00981405">
        <w:t>to</w:t>
      </w:r>
      <w:r w:rsidR="00190923" w:rsidRPr="00981405">
        <w:t xml:space="preserve"> </w:t>
      </w:r>
      <w:r w:rsidR="00397032" w:rsidRPr="00981405">
        <w:t>strengthen</w:t>
      </w:r>
      <w:r w:rsidR="00190923" w:rsidRPr="00981405">
        <w:t xml:space="preserve"> </w:t>
      </w:r>
      <w:r w:rsidR="00397032" w:rsidRPr="00981405">
        <w:t>the</w:t>
      </w:r>
      <w:r w:rsidR="00190923" w:rsidRPr="00981405">
        <w:t xml:space="preserve"> </w:t>
      </w:r>
      <w:r w:rsidR="00397032" w:rsidRPr="00981405">
        <w:t>regulatory</w:t>
      </w:r>
      <w:r w:rsidR="00190923" w:rsidRPr="00981405">
        <w:t xml:space="preserve"> </w:t>
      </w:r>
      <w:r w:rsidR="00397032" w:rsidRPr="00981405">
        <w:t>institutions</w:t>
      </w:r>
      <w:r w:rsidR="00190923" w:rsidRPr="00981405">
        <w:t xml:space="preserve"> </w:t>
      </w:r>
      <w:r w:rsidR="00397032" w:rsidRPr="00981405">
        <w:t>…</w:t>
      </w:r>
      <w:r w:rsidRPr="00981405">
        <w:t>”</w:t>
      </w:r>
    </w:p>
    <w:p w:rsidR="00397032" w:rsidRPr="00981405" w:rsidRDefault="00397032" w:rsidP="00D97463">
      <w:pPr>
        <w:pStyle w:val="SingleTxt"/>
      </w:pPr>
      <w:r w:rsidRPr="00981405">
        <w:t>(12)</w:t>
      </w:r>
      <w:r w:rsidRPr="00981405">
        <w:tab/>
        <w:t>The</w:t>
      </w:r>
      <w:r w:rsidR="00190923" w:rsidRPr="00981405">
        <w:t xml:space="preserve"> </w:t>
      </w:r>
      <w:r w:rsidRPr="00981405">
        <w:t>second</w:t>
      </w:r>
      <w:r w:rsidR="00190923" w:rsidRPr="00981405">
        <w:t xml:space="preserve"> </w:t>
      </w:r>
      <w:r w:rsidRPr="00981405">
        <w:t>sentence</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17,</w:t>
      </w:r>
      <w:r w:rsidR="00190923" w:rsidRPr="00981405">
        <w:t xml:space="preserve"> </w:t>
      </w:r>
      <w:r w:rsidRPr="00981405">
        <w:t>paragraph</w:t>
      </w:r>
      <w:r w:rsidR="00190923" w:rsidRPr="00981405">
        <w:t xml:space="preserve"> </w:t>
      </w:r>
      <w:r w:rsidRPr="00981405">
        <w:t>(4),</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transboundary</w:t>
      </w:r>
      <w:r w:rsidR="00190923" w:rsidRPr="00981405">
        <w:t xml:space="preserve"> </w:t>
      </w:r>
      <w:r w:rsidRPr="00981405">
        <w:t>aquifers</w:t>
      </w:r>
      <w:r w:rsidR="00190923" w:rsidRPr="00981405">
        <w:t xml:space="preserve"> </w:t>
      </w:r>
      <w:r w:rsidRPr="00981405">
        <w:t>provides</w:t>
      </w:r>
      <w:r w:rsidR="00190923" w:rsidRPr="00981405">
        <w:t xml:space="preserve"> </w:t>
      </w:r>
      <w:r w:rsidRPr="00981405">
        <w:t>that:</w:t>
      </w:r>
      <w:r w:rsidR="00190923" w:rsidRPr="00981405">
        <w:t xml:space="preserve"> </w:t>
      </w:r>
      <w:r w:rsidR="00B92E2C" w:rsidRPr="00981405">
        <w:t>“</w:t>
      </w:r>
      <w:r w:rsidRPr="00981405">
        <w:t>Cooperation</w:t>
      </w:r>
      <w:r w:rsidR="00190923" w:rsidRPr="00981405">
        <w:t xml:space="preserve"> </w:t>
      </w:r>
      <w:r w:rsidRPr="00981405">
        <w:t>may</w:t>
      </w:r>
      <w:r w:rsidR="00190923" w:rsidRPr="00981405">
        <w:t xml:space="preserve"> </w:t>
      </w:r>
      <w:r w:rsidRPr="00981405">
        <w:t>include</w:t>
      </w:r>
      <w:r w:rsidR="00190923" w:rsidRPr="00981405">
        <w:t xml:space="preserve"> </w:t>
      </w:r>
      <w:r w:rsidRPr="00981405">
        <w:t>coordination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emergency</w:t>
      </w:r>
      <w:r w:rsidR="00190923" w:rsidRPr="00981405">
        <w:t xml:space="preserve"> </w:t>
      </w:r>
      <w:r w:rsidRPr="00981405">
        <w:t>actions</w:t>
      </w:r>
      <w:r w:rsidR="00190923" w:rsidRPr="00981405">
        <w:t xml:space="preserve"> </w:t>
      </w:r>
      <w:r w:rsidRPr="00981405">
        <w:t>and</w:t>
      </w:r>
      <w:r w:rsidR="00190923" w:rsidRPr="00981405">
        <w:t xml:space="preserve"> </w:t>
      </w:r>
      <w:r w:rsidRPr="00981405">
        <w:t>communications,</w:t>
      </w:r>
      <w:r w:rsidR="00190923" w:rsidRPr="00981405">
        <w:t xml:space="preserve"> </w:t>
      </w:r>
      <w:r w:rsidRPr="00981405">
        <w:t>making</w:t>
      </w:r>
      <w:r w:rsidR="00190923" w:rsidRPr="00981405">
        <w:t xml:space="preserve"> </w:t>
      </w:r>
      <w:r w:rsidRPr="00981405">
        <w:t>available</w:t>
      </w:r>
      <w:r w:rsidR="00190923" w:rsidRPr="00981405">
        <w:t xml:space="preserve"> </w:t>
      </w:r>
      <w:r w:rsidRPr="00981405">
        <w:t>emergency</w:t>
      </w:r>
      <w:r w:rsidR="00190923" w:rsidRPr="00981405">
        <w:t xml:space="preserve"> </w:t>
      </w:r>
      <w:r w:rsidRPr="00981405">
        <w:t>response</w:t>
      </w:r>
      <w:r w:rsidR="00190923" w:rsidRPr="00981405">
        <w:t xml:space="preserve"> </w:t>
      </w:r>
      <w:r w:rsidRPr="00981405">
        <w:t>personnel,</w:t>
      </w:r>
      <w:r w:rsidR="00190923" w:rsidRPr="00981405">
        <w:t xml:space="preserve"> </w:t>
      </w:r>
      <w:r w:rsidRPr="00981405">
        <w:t>emergency</w:t>
      </w:r>
      <w:r w:rsidR="00190923" w:rsidRPr="00981405">
        <w:t xml:space="preserve"> </w:t>
      </w:r>
      <w:r w:rsidRPr="00981405">
        <w:t>response</w:t>
      </w:r>
      <w:r w:rsidR="00190923" w:rsidRPr="00981405">
        <w:t xml:space="preserve"> </w:t>
      </w:r>
      <w:r w:rsidRPr="00981405">
        <w:t>equipment</w:t>
      </w:r>
      <w:r w:rsidR="00190923" w:rsidRPr="00981405">
        <w:t xml:space="preserve"> </w:t>
      </w:r>
      <w:r w:rsidRPr="00981405">
        <w:t>and</w:t>
      </w:r>
      <w:r w:rsidR="00190923" w:rsidRPr="00981405">
        <w:t xml:space="preserve"> </w:t>
      </w:r>
      <w:r w:rsidRPr="00981405">
        <w:t>supplies,</w:t>
      </w:r>
      <w:r w:rsidR="00190923" w:rsidRPr="00981405">
        <w:t xml:space="preserve"> </w:t>
      </w:r>
      <w:r w:rsidRPr="00981405">
        <w:t>scientific</w:t>
      </w:r>
      <w:r w:rsidR="00190923" w:rsidRPr="00981405">
        <w:t xml:space="preserve"> </w:t>
      </w:r>
      <w:r w:rsidRPr="00981405">
        <w:t>and</w:t>
      </w:r>
      <w:r w:rsidR="00190923" w:rsidRPr="00981405">
        <w:t xml:space="preserve"> </w:t>
      </w:r>
      <w:r w:rsidRPr="00981405">
        <w:t>technical</w:t>
      </w:r>
      <w:r w:rsidR="00190923" w:rsidRPr="00981405">
        <w:t xml:space="preserve"> </w:t>
      </w:r>
      <w:r w:rsidRPr="00981405">
        <w:t>expertise</w:t>
      </w:r>
      <w:r w:rsidR="00190923" w:rsidRPr="00981405">
        <w:t xml:space="preserve"> </w:t>
      </w:r>
      <w:r w:rsidRPr="00981405">
        <w:t>and</w:t>
      </w:r>
      <w:r w:rsidR="00190923" w:rsidRPr="00981405">
        <w:t xml:space="preserve"> </w:t>
      </w:r>
      <w:r w:rsidRPr="00981405">
        <w:t>humanitarian</w:t>
      </w:r>
      <w:r w:rsidR="00190923" w:rsidRPr="00981405">
        <w:t xml:space="preserve"> </w:t>
      </w:r>
      <w:r w:rsidRPr="00981405">
        <w:t>assistance.</w:t>
      </w:r>
      <w:r w:rsidR="00B92E2C" w:rsidRPr="00981405">
        <w:t>”</w:t>
      </w:r>
      <w:r w:rsidR="00190923" w:rsidRPr="00981405">
        <w:t xml:space="preserve"> </w:t>
      </w:r>
      <w:r w:rsidRPr="00981405">
        <w:t>In</w:t>
      </w:r>
      <w:r w:rsidR="00190923" w:rsidRPr="00981405">
        <w:t xml:space="preserve"> </w:t>
      </w:r>
      <w:r w:rsidRPr="00981405">
        <w:t>turn,</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in</w:t>
      </w:r>
      <w:r w:rsidR="00190923" w:rsidRPr="00981405">
        <w:t xml:space="preserve"> </w:t>
      </w:r>
      <w:r w:rsidRPr="00981405">
        <w:t>the</w:t>
      </w:r>
      <w:r w:rsidR="00190923" w:rsidRPr="00981405">
        <w:t xml:space="preserve"> </w:t>
      </w:r>
      <w:r w:rsidRPr="00981405">
        <w:t>event</w:t>
      </w:r>
      <w:r w:rsidR="00190923" w:rsidRPr="00981405">
        <w:t xml:space="preserve"> </w:t>
      </w:r>
      <w:r w:rsidRPr="00981405">
        <w:t>of</w:t>
      </w:r>
      <w:r w:rsidR="00190923" w:rsidRPr="00981405">
        <w:t xml:space="preserve"> </w:t>
      </w:r>
      <w:r w:rsidRPr="00981405">
        <w:t>disaster,</w:t>
      </w:r>
      <w:r w:rsidR="00190923" w:rsidRPr="00981405">
        <w:t xml:space="preserve"> </w:t>
      </w:r>
      <w:r w:rsidRPr="00981405">
        <w:t>provides</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9,</w:t>
      </w:r>
      <w:r w:rsidR="00190923" w:rsidRPr="00981405">
        <w:t xml:space="preserve"> </w:t>
      </w:r>
      <w:r w:rsidRPr="00981405">
        <w:t>that</w:t>
      </w:r>
      <w:r w:rsidR="00190923" w:rsidRPr="00981405">
        <w:t xml:space="preserve"> </w:t>
      </w:r>
      <w:r w:rsidR="00B92E2C" w:rsidRPr="00981405">
        <w:t>“</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cooperation</w:t>
      </w:r>
      <w:r w:rsidR="00190923" w:rsidRPr="00981405">
        <w:t xml:space="preserve"> </w:t>
      </w:r>
      <w:r w:rsidRPr="00981405">
        <w:t>includes</w:t>
      </w:r>
      <w:r w:rsidR="00190923" w:rsidRPr="00981405">
        <w:t xml:space="preserve"> </w:t>
      </w:r>
      <w:r w:rsidRPr="00981405">
        <w:t>humanitarian</w:t>
      </w:r>
      <w:r w:rsidR="00190923" w:rsidRPr="00981405">
        <w:t xml:space="preserve"> </w:t>
      </w:r>
      <w:r w:rsidRPr="00981405">
        <w:t>assistance,</w:t>
      </w:r>
      <w:r w:rsidR="00190923" w:rsidRPr="00981405">
        <w:t xml:space="preserve"> </w:t>
      </w:r>
      <w:r w:rsidRPr="00981405">
        <w:t>coordination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relief</w:t>
      </w:r>
      <w:r w:rsidR="00190923" w:rsidRPr="00981405">
        <w:t xml:space="preserve"> </w:t>
      </w:r>
      <w:r w:rsidRPr="00981405">
        <w:t>actions</w:t>
      </w:r>
      <w:r w:rsidR="00190923" w:rsidRPr="00981405">
        <w:t xml:space="preserve"> </w:t>
      </w:r>
      <w:r w:rsidRPr="00981405">
        <w:t>and</w:t>
      </w:r>
      <w:r w:rsidR="00190923" w:rsidRPr="00981405">
        <w:t xml:space="preserve"> </w:t>
      </w:r>
      <w:r w:rsidRPr="00981405">
        <w:t>communications,</w:t>
      </w:r>
      <w:r w:rsidR="00190923" w:rsidRPr="00981405">
        <w:t xml:space="preserve"> </w:t>
      </w:r>
      <w:r w:rsidRPr="00981405">
        <w:t>and</w:t>
      </w:r>
      <w:r w:rsidR="00190923" w:rsidRPr="00981405">
        <w:t xml:space="preserve"> </w:t>
      </w:r>
      <w:r w:rsidRPr="00981405">
        <w:t>making</w:t>
      </w:r>
      <w:r w:rsidR="00190923" w:rsidRPr="00981405">
        <w:t xml:space="preserve"> </w:t>
      </w:r>
      <w:r w:rsidRPr="00981405">
        <w:t>available</w:t>
      </w:r>
      <w:r w:rsidR="00190923" w:rsidRPr="00981405">
        <w:t xml:space="preserve"> </w:t>
      </w:r>
      <w:r w:rsidRPr="00981405">
        <w:t>relief</w:t>
      </w:r>
      <w:r w:rsidR="00190923" w:rsidRPr="00981405">
        <w:t xml:space="preserve"> </w:t>
      </w:r>
      <w:r w:rsidRPr="00981405">
        <w:t>personnel,</w:t>
      </w:r>
      <w:r w:rsidR="00190923" w:rsidRPr="00981405">
        <w:t xml:space="preserve"> </w:t>
      </w:r>
      <w:r w:rsidRPr="00981405">
        <w:t>equipment</w:t>
      </w:r>
      <w:r w:rsidR="00190923" w:rsidRPr="00981405">
        <w:t xml:space="preserve"> </w:t>
      </w:r>
      <w:r w:rsidRPr="00981405">
        <w:t>and</w:t>
      </w:r>
      <w:r w:rsidR="00190923" w:rsidRPr="00981405">
        <w:t xml:space="preserve"> </w:t>
      </w:r>
      <w:r w:rsidRPr="00981405">
        <w:t>goods,</w:t>
      </w:r>
      <w:r w:rsidR="00190923" w:rsidRPr="00981405">
        <w:t xml:space="preserve"> </w:t>
      </w:r>
      <w:r w:rsidRPr="00981405">
        <w:t>and</w:t>
      </w:r>
      <w:r w:rsidR="00190923" w:rsidRPr="00981405">
        <w:t xml:space="preserve"> </w:t>
      </w:r>
      <w:r w:rsidRPr="00981405">
        <w:t>scientific,</w:t>
      </w:r>
      <w:r w:rsidR="00190923" w:rsidRPr="00981405">
        <w:t xml:space="preserve"> </w:t>
      </w:r>
      <w:r w:rsidRPr="00981405">
        <w:t>medical</w:t>
      </w:r>
      <w:r w:rsidR="00190923" w:rsidRPr="00981405">
        <w:t xml:space="preserve"> </w:t>
      </w:r>
      <w:r w:rsidRPr="00981405">
        <w:t>and</w:t>
      </w:r>
      <w:r w:rsidR="00190923" w:rsidRPr="00981405">
        <w:t xml:space="preserve"> </w:t>
      </w:r>
      <w:r w:rsidRPr="00981405">
        <w:t>technical</w:t>
      </w:r>
      <w:r w:rsidR="00190923" w:rsidRPr="00981405">
        <w:t xml:space="preserve"> </w:t>
      </w:r>
      <w:r w:rsidRPr="00981405">
        <w:t>resources</w:t>
      </w:r>
      <w:r w:rsidR="00B92E2C" w:rsidRPr="00981405">
        <w:t>”</w:t>
      </w:r>
      <w:r w:rsidRPr="00981405">
        <w:t>.</w:t>
      </w:r>
      <w:r w:rsidR="00190923" w:rsidRPr="00981405">
        <w:t xml:space="preserve"> </w:t>
      </w:r>
      <w:r w:rsidRPr="00981405">
        <w:t>Further,</w:t>
      </w:r>
      <w:r w:rsidR="00190923" w:rsidRPr="00981405">
        <w:t xml:space="preserve"> </w:t>
      </w:r>
      <w:r w:rsidRPr="00981405">
        <w:t>draft</w:t>
      </w:r>
      <w:r w:rsidR="00190923" w:rsidRPr="00981405">
        <w:t xml:space="preserve"> </w:t>
      </w:r>
      <w:r w:rsidRPr="00981405">
        <w:t>article</w:t>
      </w:r>
      <w:r w:rsidR="00190923" w:rsidRPr="00981405">
        <w:t xml:space="preserve"> </w:t>
      </w:r>
      <w:r w:rsidRPr="00981405">
        <w:t>10</w:t>
      </w:r>
      <w:r w:rsidR="00190923" w:rsidRPr="00981405">
        <w:t xml:space="preserve"> </w:t>
      </w:r>
      <w:r w:rsidRPr="00981405">
        <w:t>(Cooperation</w:t>
      </w:r>
      <w:r w:rsidR="00190923" w:rsidRPr="00981405">
        <w:t xml:space="preserve"> </w:t>
      </w:r>
      <w:r w:rsidRPr="00981405">
        <w:t>for</w:t>
      </w:r>
      <w:r w:rsidR="00190923" w:rsidRPr="00981405">
        <w:t xml:space="preserve"> </w:t>
      </w:r>
      <w:r w:rsidRPr="00981405">
        <w:t>risk</w:t>
      </w:r>
      <w:r w:rsidR="00190923" w:rsidRPr="00981405">
        <w:t xml:space="preserve"> </w:t>
      </w:r>
      <w:r w:rsidRPr="00981405">
        <w:t>reduction)</w:t>
      </w:r>
      <w:r w:rsidR="00190923" w:rsidRPr="00981405">
        <w:t xml:space="preserve"> </w:t>
      </w:r>
      <w:r w:rsidRPr="00981405">
        <w:t>provides</w:t>
      </w:r>
      <w:r w:rsidR="00190923" w:rsidRPr="00981405">
        <w:t xml:space="preserve"> </w:t>
      </w:r>
      <w:r w:rsidRPr="00981405">
        <w:t>that</w:t>
      </w:r>
      <w:r w:rsidR="00190923" w:rsidRPr="00981405">
        <w:t xml:space="preserve"> </w:t>
      </w:r>
      <w:r w:rsidR="00B92E2C" w:rsidRPr="00981405">
        <w:t>“</w:t>
      </w:r>
      <w:r w:rsidRPr="00981405">
        <w:t>[c]ooperation</w:t>
      </w:r>
      <w:r w:rsidR="00190923" w:rsidRPr="00981405">
        <w:t xml:space="preserve"> </w:t>
      </w:r>
      <w:r w:rsidRPr="00981405">
        <w:t>shall</w:t>
      </w:r>
      <w:r w:rsidR="00190923" w:rsidRPr="00981405">
        <w:t xml:space="preserve"> </w:t>
      </w:r>
      <w:r w:rsidRPr="00981405">
        <w:t>extend</w:t>
      </w:r>
      <w:r w:rsidR="00190923" w:rsidRPr="00981405">
        <w:t xml:space="preserve"> </w:t>
      </w:r>
      <w:r w:rsidRPr="00981405">
        <w:t>to</w:t>
      </w:r>
      <w:r w:rsidR="00190923" w:rsidRPr="00981405">
        <w:t xml:space="preserve"> </w:t>
      </w:r>
      <w:r w:rsidRPr="00981405">
        <w:t>the</w:t>
      </w:r>
      <w:r w:rsidR="00190923" w:rsidRPr="00981405">
        <w:t xml:space="preserve"> </w:t>
      </w:r>
      <w:r w:rsidRPr="00981405">
        <w:t>taking</w:t>
      </w:r>
      <w:r w:rsidR="00190923" w:rsidRPr="00981405">
        <w:t xml:space="preserve"> </w:t>
      </w:r>
      <w:r w:rsidRPr="00981405">
        <w:t>of</w:t>
      </w:r>
      <w:r w:rsidR="00190923" w:rsidRPr="00981405">
        <w:t xml:space="preserve"> </w:t>
      </w:r>
      <w:r w:rsidRPr="00981405">
        <w:t>measures</w:t>
      </w:r>
      <w:r w:rsidR="00190923" w:rsidRPr="00981405">
        <w:t xml:space="preserve"> </w:t>
      </w:r>
      <w:r w:rsidRPr="00981405">
        <w:t>intended</w:t>
      </w:r>
      <w:r w:rsidR="00190923" w:rsidRPr="00981405">
        <w:t xml:space="preserve"> </w:t>
      </w:r>
      <w:r w:rsidRPr="00981405">
        <w:t>to</w:t>
      </w:r>
      <w:r w:rsidR="00190923" w:rsidRPr="00981405">
        <w:t xml:space="preserve"> </w:t>
      </w:r>
      <w:r w:rsidRPr="00981405">
        <w:t>reduce</w:t>
      </w:r>
      <w:r w:rsidR="00190923" w:rsidRPr="00981405">
        <w:t xml:space="preserve"> </w:t>
      </w:r>
      <w:r w:rsidRPr="00981405">
        <w:t>the</w:t>
      </w:r>
      <w:r w:rsidR="00190923" w:rsidRPr="00981405">
        <w:t xml:space="preserve"> </w:t>
      </w:r>
      <w:r w:rsidRPr="00981405">
        <w:t>risk</w:t>
      </w:r>
      <w:r w:rsidR="00190923" w:rsidRPr="00981405">
        <w:t xml:space="preserve"> </w:t>
      </w:r>
      <w:r w:rsidRPr="00981405">
        <w:t>of</w:t>
      </w:r>
      <w:r w:rsidR="00190923" w:rsidRPr="00981405">
        <w:t xml:space="preserve"> </w:t>
      </w:r>
      <w:r w:rsidRPr="00981405">
        <w:t>disasters</w:t>
      </w:r>
      <w:r w:rsidR="00B92E2C" w:rsidRPr="00981405">
        <w:t>”</w:t>
      </w:r>
      <w:r w:rsidRPr="00981405">
        <w:t>.</w:t>
      </w:r>
    </w:p>
    <w:p w:rsidR="00397032" w:rsidRPr="00981405" w:rsidRDefault="00397032" w:rsidP="00D97463">
      <w:pPr>
        <w:pStyle w:val="SingleTxt"/>
      </w:pPr>
      <w:r w:rsidRPr="00981405">
        <w:t>(13)</w:t>
      </w:r>
      <w:r w:rsidRPr="00981405">
        <w:tab/>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protecting</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190923" w:rsidRPr="00981405">
        <w:t xml:space="preserve"> </w:t>
      </w:r>
      <w:r w:rsidRPr="00981405">
        <w:t>enhancing</w:t>
      </w:r>
      <w:r w:rsidR="00190923" w:rsidRPr="00981405">
        <w:t xml:space="preserve"> </w:t>
      </w:r>
      <w:r w:rsidRPr="00981405">
        <w:t>scientific</w:t>
      </w:r>
      <w:r w:rsidR="00190923" w:rsidRPr="00981405">
        <w:t xml:space="preserve"> </w:t>
      </w:r>
      <w:r w:rsidRPr="00981405">
        <w:t>knowledge</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causes</w:t>
      </w:r>
      <w:r w:rsidR="00190923" w:rsidRPr="00981405">
        <w:t xml:space="preserve"> </w:t>
      </w:r>
      <w:r w:rsidRPr="00981405">
        <w:t>and</w:t>
      </w:r>
      <w:r w:rsidR="00190923" w:rsidRPr="00981405">
        <w:t xml:space="preserve"> </w:t>
      </w:r>
      <w:r w:rsidRPr="00981405">
        <w:t>impacts</w:t>
      </w:r>
      <w:r w:rsidR="00190923" w:rsidRPr="00981405">
        <w:t xml:space="preserve"> </w:t>
      </w:r>
      <w:r w:rsidRPr="00981405">
        <w:t>of</w:t>
      </w:r>
      <w:r w:rsidR="00190923" w:rsidRPr="00981405">
        <w:t xml:space="preserve"> </w:t>
      </w:r>
      <w:r w:rsidRPr="00981405">
        <w:t>atmospheric</w:t>
      </w:r>
      <w:r w:rsidR="00190923" w:rsidRPr="00981405">
        <w:t xml:space="preserve"> </w:t>
      </w:r>
      <w:r w:rsidRPr="00981405">
        <w:t>pollution</w:t>
      </w:r>
      <w:r w:rsidR="00190923" w:rsidRPr="00981405">
        <w:t xml:space="preserve"> </w:t>
      </w:r>
      <w:r w:rsidRPr="00981405">
        <w:t>and</w:t>
      </w:r>
      <w:r w:rsidR="00190923" w:rsidRPr="00981405">
        <w:t xml:space="preserve"> </w:t>
      </w:r>
      <w:r w:rsidRPr="00981405">
        <w:t>atmospheric</w:t>
      </w:r>
      <w:r w:rsidR="00190923" w:rsidRPr="00981405">
        <w:t xml:space="preserve"> </w:t>
      </w:r>
      <w:r w:rsidRPr="00981405">
        <w:t>degradation</w:t>
      </w:r>
      <w:r w:rsidR="00190923" w:rsidRPr="00981405">
        <w:t xml:space="preserve"> </w:t>
      </w:r>
      <w:r w:rsidRPr="00981405">
        <w:t>is</w:t>
      </w:r>
      <w:r w:rsidR="00190923" w:rsidRPr="00981405">
        <w:t xml:space="preserve"> </w:t>
      </w:r>
      <w:r w:rsidRPr="00981405">
        <w:t>considered</w:t>
      </w:r>
      <w:r w:rsidR="00190923" w:rsidRPr="00981405">
        <w:t xml:space="preserve"> </w:t>
      </w:r>
      <w:r w:rsidRPr="00981405">
        <w:t>key</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p>
    <w:p w:rsidR="00397032" w:rsidRPr="00981405" w:rsidRDefault="00397032" w:rsidP="00D97463">
      <w:pPr>
        <w:pStyle w:val="SingleTxt"/>
      </w:pPr>
      <w:r w:rsidRPr="00981405">
        <w:br w:type="page"/>
      </w:r>
    </w:p>
    <w:p w:rsidR="008E1387" w:rsidRPr="00D97463" w:rsidRDefault="008E1387" w:rsidP="00D97463">
      <w:pPr>
        <w:pStyle w:val="SingleTxt"/>
        <w:spacing w:after="0" w:line="120" w:lineRule="exact"/>
        <w:rPr>
          <w:sz w:val="10"/>
        </w:rPr>
      </w:pPr>
    </w:p>
    <w:p w:rsidR="008E1387" w:rsidRPr="00D97463" w:rsidRDefault="008E1387"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35" w:name="_Toc427938096"/>
      <w:r w:rsidRPr="00D97463">
        <w:t>Chapter</w:t>
      </w:r>
      <w:r w:rsidR="00190923" w:rsidRPr="00D97463">
        <w:t xml:space="preserve"> </w:t>
      </w:r>
      <w:r w:rsidRPr="00D97463">
        <w:t>VI</w:t>
      </w:r>
      <w:r w:rsidRPr="00D97463">
        <w:br/>
        <w:t>Identification</w:t>
      </w:r>
      <w:r w:rsidR="00190923" w:rsidRPr="00D97463">
        <w:t xml:space="preserve"> </w:t>
      </w:r>
      <w:r w:rsidRPr="00D97463">
        <w:t>of</w:t>
      </w:r>
      <w:r w:rsidR="00190923" w:rsidRPr="00D97463">
        <w:t xml:space="preserve"> </w:t>
      </w:r>
      <w:r w:rsidRPr="00D97463">
        <w:t>customary</w:t>
      </w:r>
      <w:r w:rsidR="00190923" w:rsidRPr="00D97463">
        <w:t xml:space="preserve"> </w:t>
      </w:r>
      <w:r w:rsidRPr="00D97463">
        <w:t>international</w:t>
      </w:r>
      <w:r w:rsidR="00190923" w:rsidRPr="00D97463">
        <w:t xml:space="preserve"> </w:t>
      </w:r>
      <w:r w:rsidRPr="00D97463">
        <w:t>law</w:t>
      </w:r>
      <w:bookmarkEnd w:id="35"/>
    </w:p>
    <w:p w:rsidR="00397032" w:rsidRPr="00D97463" w:rsidRDefault="00397032" w:rsidP="00D97463">
      <w:pPr>
        <w:pStyle w:val="SingleTxt"/>
        <w:spacing w:after="0" w:line="120" w:lineRule="exact"/>
        <w:rPr>
          <w:sz w:val="10"/>
        </w:rPr>
      </w:pPr>
    </w:p>
    <w:p w:rsidR="008E1387" w:rsidRPr="00D97463" w:rsidRDefault="008E1387" w:rsidP="00D97463">
      <w:pPr>
        <w:pStyle w:val="SingleTxt"/>
        <w:spacing w:after="0" w:line="120" w:lineRule="exact"/>
        <w:rPr>
          <w:sz w:val="10"/>
        </w:rPr>
      </w:pPr>
    </w:p>
    <w:p w:rsidR="00397032" w:rsidRPr="00D97463" w:rsidRDefault="00397032" w:rsidP="00D97463">
      <w:pPr>
        <w:pStyle w:val="H1"/>
        <w:ind w:right="1260"/>
      </w:pPr>
      <w:r w:rsidRPr="00D97463">
        <w:tab/>
      </w:r>
      <w:bookmarkStart w:id="36" w:name="_Toc427938097"/>
      <w:r w:rsidRPr="00D97463">
        <w:t>A.</w:t>
      </w:r>
      <w:r w:rsidRPr="00D97463">
        <w:tab/>
        <w:t>Introduction</w:t>
      </w:r>
      <w:bookmarkEnd w:id="36"/>
    </w:p>
    <w:p w:rsidR="00397032" w:rsidRPr="00D97463" w:rsidRDefault="00397032" w:rsidP="00D97463">
      <w:pPr>
        <w:pStyle w:val="SingleTxt"/>
        <w:spacing w:after="0" w:line="120" w:lineRule="exact"/>
        <w:rPr>
          <w:sz w:val="10"/>
        </w:rPr>
      </w:pPr>
    </w:p>
    <w:p w:rsidR="008E1387" w:rsidRPr="00D97463" w:rsidRDefault="008E1387" w:rsidP="00D97463">
      <w:pPr>
        <w:pStyle w:val="SingleTxt"/>
        <w:spacing w:after="0" w:line="120" w:lineRule="exact"/>
        <w:rPr>
          <w:sz w:val="10"/>
        </w:rPr>
      </w:pPr>
    </w:p>
    <w:p w:rsidR="00397032" w:rsidRPr="00981405" w:rsidRDefault="00397032" w:rsidP="00D97463">
      <w:pPr>
        <w:pStyle w:val="SingleTxt"/>
      </w:pPr>
      <w:r w:rsidRPr="00981405">
        <w:t>55.</w:t>
      </w:r>
      <w:r w:rsidRPr="00981405">
        <w:tab/>
        <w:t>At</w:t>
      </w:r>
      <w:r w:rsidR="00190923" w:rsidRPr="00981405">
        <w:t xml:space="preserve"> </w:t>
      </w:r>
      <w:r w:rsidRPr="00981405">
        <w:t>its</w:t>
      </w:r>
      <w:r w:rsidR="00190923" w:rsidRPr="00981405">
        <w:t xml:space="preserve"> </w:t>
      </w:r>
      <w:r w:rsidRPr="00981405">
        <w:t>sixty-fourth</w:t>
      </w:r>
      <w:r w:rsidR="00190923" w:rsidRPr="00981405">
        <w:t xml:space="preserve"> </w:t>
      </w:r>
      <w:r w:rsidRPr="00981405">
        <w:t>session</w:t>
      </w:r>
      <w:r w:rsidR="00190923" w:rsidRPr="00981405">
        <w:t xml:space="preserve"> </w:t>
      </w:r>
      <w:r w:rsidRPr="00981405">
        <w:t>(2012),</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Formation</w:t>
      </w:r>
      <w:r w:rsidR="00190923" w:rsidRPr="00981405">
        <w:t xml:space="preserve"> </w:t>
      </w:r>
      <w:r w:rsidRPr="00981405">
        <w:t>and</w:t>
      </w:r>
      <w:r w:rsidR="00190923" w:rsidRPr="00981405">
        <w:t xml:space="preserve"> </w:t>
      </w:r>
      <w:r w:rsidRPr="00981405">
        <w:t>evidence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appointed</w:t>
      </w:r>
      <w:r w:rsidR="00190923" w:rsidRPr="00981405">
        <w:t xml:space="preserve"> </w:t>
      </w:r>
      <w:r w:rsidRPr="00981405">
        <w:t>Mr.</w:t>
      </w:r>
      <w:r w:rsidR="00190923" w:rsidRPr="00981405">
        <w:t xml:space="preserve"> </w:t>
      </w:r>
      <w:r w:rsidRPr="00981405">
        <w:t>Michael</w:t>
      </w:r>
      <w:r w:rsidR="00190923" w:rsidRPr="00981405">
        <w:t xml:space="preserve"> </w:t>
      </w:r>
      <w:r w:rsidRPr="00981405">
        <w:t>Wood</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Pr="00981405">
        <w:rPr>
          <w:rStyle w:val="FootnoteReference"/>
        </w:rPr>
        <w:footnoteReference w:id="70"/>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a</w:t>
      </w:r>
      <w:r w:rsidR="00190923" w:rsidRPr="00981405">
        <w:t xml:space="preserve"> </w:t>
      </w:r>
      <w:r w:rsidRPr="00981405">
        <w:t>Note</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39" w:history="1">
        <w:r w:rsidR="00F304EB" w:rsidRPr="00F304EB">
          <w:rPr>
            <w:rStyle w:val="Hyperlink"/>
          </w:rPr>
          <w:t>A/CN.4/653</w:t>
        </w:r>
      </w:hyperlink>
      <w:r w:rsidRPr="00981405">
        <w:t>).</w:t>
      </w:r>
      <w:r w:rsidRPr="00981405">
        <w:rPr>
          <w:rStyle w:val="FootnoteReference"/>
        </w:rPr>
        <w:footnoteReference w:id="71"/>
      </w:r>
      <w:r w:rsidR="00190923" w:rsidRPr="00981405">
        <w:t xml:space="preserve"> </w:t>
      </w:r>
      <w:r w:rsidRPr="00981405">
        <w:t>Also</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requested</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to</w:t>
      </w:r>
      <w:r w:rsidR="00190923" w:rsidRPr="00981405">
        <w:t xml:space="preserve"> </w:t>
      </w:r>
      <w:r w:rsidRPr="00981405">
        <w:t>prepare</w:t>
      </w:r>
      <w:r w:rsidR="00190923" w:rsidRPr="00981405">
        <w:t xml:space="preserve"> </w:t>
      </w:r>
      <w:r w:rsidRPr="00981405">
        <w:t>a</w:t>
      </w:r>
      <w:r w:rsidR="00190923" w:rsidRPr="00981405">
        <w:t xml:space="preserve"> </w:t>
      </w:r>
      <w:r w:rsidRPr="00981405">
        <w:t>memorandum</w:t>
      </w:r>
      <w:r w:rsidR="00190923" w:rsidRPr="00981405">
        <w:t xml:space="preserve"> </w:t>
      </w:r>
      <w:r w:rsidRPr="00981405">
        <w:t>identifying</w:t>
      </w:r>
      <w:r w:rsidR="00190923" w:rsidRPr="00981405">
        <w:t xml:space="preserve"> </w:t>
      </w:r>
      <w:r w:rsidRPr="00981405">
        <w:t>elements</w:t>
      </w:r>
      <w:r w:rsidR="00190923" w:rsidRPr="00981405">
        <w:t xml:space="preserve"> </w:t>
      </w:r>
      <w:r w:rsidRPr="00981405">
        <w:t>in</w:t>
      </w:r>
      <w:r w:rsidR="00190923" w:rsidRPr="00981405">
        <w:t xml:space="preserve"> </w:t>
      </w:r>
      <w:r w:rsidRPr="00981405">
        <w:t>the</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that</w:t>
      </w:r>
      <w:r w:rsidR="00190923" w:rsidRPr="00981405">
        <w:t xml:space="preserve"> </w:t>
      </w:r>
      <w:r w:rsidRPr="00981405">
        <w:t>could</w:t>
      </w:r>
      <w:r w:rsidR="00190923" w:rsidRPr="00981405">
        <w:t xml:space="preserve"> </w:t>
      </w:r>
      <w:r w:rsidRPr="00981405">
        <w:t>be</w:t>
      </w:r>
      <w:r w:rsidR="00190923" w:rsidRPr="00981405">
        <w:t xml:space="preserve"> </w:t>
      </w:r>
      <w:r w:rsidRPr="00981405">
        <w:t>particularly</w:t>
      </w:r>
      <w:r w:rsidR="00190923" w:rsidRPr="00981405">
        <w:t xml:space="preserve"> </w:t>
      </w:r>
      <w:r w:rsidRPr="00981405">
        <w:t>relevant</w:t>
      </w:r>
      <w:r w:rsidR="00190923" w:rsidRPr="00981405">
        <w:t xml:space="preserve"> </w:t>
      </w:r>
      <w:r w:rsidRPr="00981405">
        <w:t>to</w:t>
      </w:r>
      <w:r w:rsidR="00190923" w:rsidRPr="00981405">
        <w:t xml:space="preserve"> </w:t>
      </w:r>
      <w:r w:rsidRPr="00981405">
        <w:t>this</w:t>
      </w:r>
      <w:r w:rsidR="00190923" w:rsidRPr="00981405">
        <w:t xml:space="preserve"> </w:t>
      </w:r>
      <w:r w:rsidRPr="00981405">
        <w:t>topic.</w:t>
      </w:r>
      <w:r w:rsidRPr="00981405">
        <w:rPr>
          <w:rStyle w:val="FootnoteReference"/>
        </w:rPr>
        <w:footnoteReference w:id="72"/>
      </w:r>
    </w:p>
    <w:p w:rsidR="00397032" w:rsidRPr="00981405" w:rsidRDefault="00397032" w:rsidP="00D97463">
      <w:pPr>
        <w:pStyle w:val="SingleTxt"/>
      </w:pPr>
      <w:r w:rsidRPr="00981405">
        <w:t>56.</w:t>
      </w:r>
      <w:r w:rsidRPr="00981405">
        <w:tab/>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0" w:history="1">
        <w:r w:rsidR="00F304EB" w:rsidRPr="00F304EB">
          <w:rPr>
            <w:rStyle w:val="Hyperlink"/>
          </w:rPr>
          <w:t>A/CN.4/663</w:t>
        </w:r>
      </w:hyperlink>
      <w:r w:rsidRPr="00981405">
        <w: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w:t>
      </w:r>
      <w:r w:rsidR="00190923" w:rsidRPr="00981405">
        <w:t xml:space="preserve"> </w:t>
      </w:r>
      <w:r w:rsidRPr="00981405">
        <w:t>memorandum</w:t>
      </w:r>
      <w:r w:rsidR="00190923" w:rsidRPr="00981405">
        <w:t xml:space="preserve"> </w:t>
      </w:r>
      <w:r w:rsidRPr="00981405">
        <w:t>by</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w:t>
      </w:r>
      <w:hyperlink r:id="rId41" w:history="1">
        <w:r w:rsidR="00F304EB" w:rsidRPr="00F304EB">
          <w:rPr>
            <w:rStyle w:val="Hyperlink"/>
          </w:rPr>
          <w:t>A/CN.4/659</w:t>
        </w:r>
      </w:hyperlink>
      <w:r w:rsidRPr="00981405">
        <w:t>).</w:t>
      </w:r>
      <w:r w:rsidRPr="00981405">
        <w:rPr>
          <w:rStyle w:val="FootnoteReference"/>
        </w:rPr>
        <w:footnoteReference w:id="73"/>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title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to</w:t>
      </w:r>
      <w:r w:rsidR="00190923" w:rsidRPr="00981405">
        <w:t xml:space="preserve"> </w:t>
      </w:r>
      <w:r w:rsidR="00B92E2C" w:rsidRPr="00981405">
        <w:t>“</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t>.</w:t>
      </w:r>
      <w:r w:rsidR="00190923" w:rsidRPr="00981405">
        <w:t xml:space="preserve"> </w:t>
      </w:r>
      <w:r w:rsidRPr="00981405">
        <w:t>At</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(2014),</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2" w:history="1">
        <w:r w:rsidR="00F304EB" w:rsidRPr="00F304EB">
          <w:rPr>
            <w:rStyle w:val="Hyperlink"/>
          </w:rPr>
          <w:t>A/CN.4/672</w:t>
        </w:r>
      </w:hyperlink>
      <w:r w:rsidRPr="00981405">
        <w:t>).</w:t>
      </w:r>
      <w:r w:rsidRPr="00981405">
        <w:rPr>
          <w:rStyle w:val="FootnoteReference"/>
        </w:rPr>
        <w:footnoteReference w:id="74"/>
      </w:r>
    </w:p>
    <w:p w:rsidR="00397032" w:rsidRPr="00981405" w:rsidRDefault="00397032" w:rsidP="00D97463">
      <w:pPr>
        <w:pStyle w:val="SingleTxt"/>
      </w:pPr>
      <w:r w:rsidRPr="00981405">
        <w:t>57.</w:t>
      </w:r>
      <w:r w:rsidRPr="00981405">
        <w:tab/>
        <w:t>Following</w:t>
      </w:r>
      <w:r w:rsidR="00190923" w:rsidRPr="00981405">
        <w:t xml:space="preserve"> </w:t>
      </w:r>
      <w:r w:rsidRPr="00981405">
        <w:t>its</w:t>
      </w:r>
      <w:r w:rsidR="00190923" w:rsidRPr="00981405">
        <w:t xml:space="preserve"> </w:t>
      </w:r>
      <w:r w:rsidRPr="00981405">
        <w:t>debate</w:t>
      </w:r>
      <w:r w:rsidR="00190923" w:rsidRPr="00981405">
        <w:t xml:space="preserve"> </w:t>
      </w:r>
      <w:r w:rsidRPr="00981405">
        <w:t>on</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3227th</w:t>
      </w:r>
      <w:r w:rsidR="00190923" w:rsidRPr="00981405">
        <w:t xml:space="preserve"> </w:t>
      </w:r>
      <w:r w:rsidRPr="00981405">
        <w:t>meeting,</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1</w:t>
      </w:r>
      <w:r w:rsidR="00190923" w:rsidRPr="00981405">
        <w:t xml:space="preserve"> </w:t>
      </w:r>
      <w:r w:rsidRPr="00981405">
        <w:t>to</w:t>
      </w:r>
      <w:r w:rsidR="00190923" w:rsidRPr="00981405">
        <w:t xml:space="preserve"> </w:t>
      </w:r>
      <w:r w:rsidRPr="00981405">
        <w:t>11,</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3242nd</w:t>
      </w:r>
      <w:r w:rsidR="00190923" w:rsidRPr="00981405">
        <w:t xml:space="preserve"> </w:t>
      </w:r>
      <w:r w:rsidRPr="00981405">
        <w:t>meeting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presented</w:t>
      </w:r>
      <w:r w:rsidR="00190923" w:rsidRPr="00981405">
        <w:t xml:space="preserve"> </w:t>
      </w:r>
      <w:r w:rsidRPr="00981405">
        <w:t>the</w:t>
      </w:r>
      <w:r w:rsidR="00190923" w:rsidRPr="00981405">
        <w:t xml:space="preserve"> </w:t>
      </w:r>
      <w:r w:rsidRPr="00981405">
        <w:t>interim</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on</w:t>
      </w:r>
      <w:r w:rsidR="00190923" w:rsidRPr="00981405">
        <w:t xml:space="preserve"> </w:t>
      </w:r>
      <w:r w:rsidR="00B92E2C" w:rsidRPr="00981405">
        <w:t>“</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t>,</w:t>
      </w:r>
      <w:r w:rsidR="00190923" w:rsidRPr="00981405">
        <w:t xml:space="preserve"> </w:t>
      </w:r>
      <w:r w:rsidRPr="00981405">
        <w:t>containing</w:t>
      </w:r>
      <w:r w:rsidR="00190923" w:rsidRPr="00981405">
        <w:t xml:space="preserve"> </w:t>
      </w:r>
      <w:r w:rsidRPr="00981405">
        <w:t>the</w:t>
      </w:r>
      <w:r w:rsidR="00190923" w:rsidRPr="00981405">
        <w:t xml:space="preserve"> </w:t>
      </w:r>
      <w:r w:rsidRPr="00981405">
        <w:t>eight</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sixty-sixth</w:t>
      </w:r>
      <w:r w:rsidR="00190923" w:rsidRPr="00981405">
        <w:t xml:space="preserve"> </w:t>
      </w:r>
      <w:r w:rsidRPr="00981405">
        <w:t>session.</w:t>
      </w:r>
    </w:p>
    <w:p w:rsidR="00397032" w:rsidRPr="00D97463" w:rsidRDefault="00397032" w:rsidP="00D97463">
      <w:pPr>
        <w:pStyle w:val="SingleTxt"/>
        <w:spacing w:after="0" w:line="120" w:lineRule="exact"/>
        <w:rPr>
          <w:sz w:val="10"/>
        </w:rPr>
      </w:pPr>
    </w:p>
    <w:p w:rsidR="008E1387" w:rsidRPr="00D97463" w:rsidRDefault="008E1387" w:rsidP="00D97463">
      <w:pPr>
        <w:pStyle w:val="SingleTxt"/>
        <w:spacing w:after="0" w:line="120" w:lineRule="exact"/>
        <w:rPr>
          <w:sz w:val="10"/>
        </w:rPr>
      </w:pPr>
    </w:p>
    <w:p w:rsidR="00397032" w:rsidRPr="00D97463" w:rsidRDefault="00397032" w:rsidP="00D97463">
      <w:pPr>
        <w:pStyle w:val="H1"/>
        <w:ind w:right="1260"/>
      </w:pPr>
      <w:r w:rsidRPr="00D97463">
        <w:tab/>
      </w:r>
      <w:bookmarkStart w:id="37" w:name="_Toc427938098"/>
      <w:r w:rsidRPr="00D97463">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bookmarkEnd w:id="37"/>
    </w:p>
    <w:p w:rsidR="00397032" w:rsidRPr="00D97463" w:rsidRDefault="00397032" w:rsidP="00D97463">
      <w:pPr>
        <w:pStyle w:val="SingleTxt"/>
        <w:spacing w:after="0" w:line="120" w:lineRule="exact"/>
        <w:rPr>
          <w:sz w:val="10"/>
        </w:rPr>
      </w:pPr>
    </w:p>
    <w:p w:rsidR="008E1387" w:rsidRPr="00D97463" w:rsidRDefault="008E1387" w:rsidP="00D97463">
      <w:pPr>
        <w:pStyle w:val="SingleTxt"/>
        <w:spacing w:after="0" w:line="120" w:lineRule="exact"/>
        <w:rPr>
          <w:sz w:val="10"/>
        </w:rPr>
      </w:pPr>
    </w:p>
    <w:p w:rsidR="00397032" w:rsidRPr="00981405" w:rsidRDefault="00397032" w:rsidP="00D97463">
      <w:pPr>
        <w:pStyle w:val="SingleTxt"/>
      </w:pPr>
      <w:r w:rsidRPr="00981405">
        <w:t>58.</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3" w:history="1">
        <w:r w:rsidR="00F304EB" w:rsidRPr="00F304EB">
          <w:rPr>
            <w:rStyle w:val="Hyperlink"/>
          </w:rPr>
          <w:t>A/CN.4/682</w:t>
        </w:r>
      </w:hyperlink>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report</w:t>
      </w:r>
      <w:r w:rsidR="00190923" w:rsidRPr="00981405">
        <w:t xml:space="preserve"> </w:t>
      </w:r>
      <w:r w:rsidRPr="00981405">
        <w:t>at</w:t>
      </w:r>
      <w:r w:rsidR="00190923" w:rsidRPr="00981405">
        <w:t xml:space="preserve"> </w:t>
      </w:r>
      <w:r w:rsidRPr="00981405">
        <w:t>its</w:t>
      </w:r>
      <w:r w:rsidR="00190923" w:rsidRPr="00981405">
        <w:t xml:space="preserve"> </w:t>
      </w:r>
      <w:r w:rsidRPr="00981405">
        <w:t>3250th</w:t>
      </w:r>
      <w:r w:rsidR="00190923" w:rsidRPr="00981405">
        <w:t xml:space="preserve"> </w:t>
      </w:r>
      <w:r w:rsidRPr="00981405">
        <w:t>to</w:t>
      </w:r>
      <w:r w:rsidR="00190923" w:rsidRPr="00981405">
        <w:t xml:space="preserve"> </w:t>
      </w:r>
      <w:r w:rsidRPr="00981405">
        <w:t>3254th</w:t>
      </w:r>
      <w:r w:rsidR="00190923" w:rsidRPr="00981405">
        <w:t xml:space="preserve"> </w:t>
      </w:r>
      <w:r w:rsidRPr="00981405">
        <w:t>meetings,</w:t>
      </w:r>
      <w:r w:rsidR="00190923" w:rsidRPr="00981405">
        <w:t xml:space="preserve"> </w:t>
      </w:r>
      <w:r w:rsidRPr="00981405">
        <w:t>from</w:t>
      </w:r>
      <w:r w:rsidR="00190923" w:rsidRPr="00981405">
        <w:t xml:space="preserve"> </w:t>
      </w:r>
      <w:r w:rsidRPr="00981405">
        <w:t>13</w:t>
      </w:r>
      <w:r w:rsidR="00190923" w:rsidRPr="00981405">
        <w:t xml:space="preserve"> </w:t>
      </w:r>
      <w:r w:rsidRPr="00981405">
        <w:t>to</w:t>
      </w:r>
      <w:r w:rsidR="00190923" w:rsidRPr="00981405">
        <w:t xml:space="preserve"> </w:t>
      </w:r>
      <w:r w:rsidRPr="00981405">
        <w:t>21</w:t>
      </w:r>
      <w:r w:rsidR="00190923" w:rsidRPr="00981405">
        <w:t xml:space="preserve"> </w:t>
      </w:r>
      <w:r w:rsidRPr="00981405">
        <w:t>May</w:t>
      </w:r>
      <w:r w:rsidR="00190923" w:rsidRPr="00981405">
        <w:t xml:space="preserve"> </w:t>
      </w:r>
      <w:r w:rsidRPr="00981405">
        <w:t>2015.</w:t>
      </w:r>
    </w:p>
    <w:p w:rsidR="00397032" w:rsidRPr="00981405" w:rsidRDefault="00397032" w:rsidP="00D97463">
      <w:pPr>
        <w:pStyle w:val="SingleTxt"/>
      </w:pPr>
      <w:r w:rsidRPr="00981405">
        <w:lastRenderedPageBreak/>
        <w:t>59.</w:t>
      </w:r>
      <w:r w:rsidRPr="00981405">
        <w:tab/>
        <w:t>At</w:t>
      </w:r>
      <w:r w:rsidR="00190923" w:rsidRPr="00981405">
        <w:t xml:space="preserve"> </w:t>
      </w:r>
      <w:r w:rsidRPr="00981405">
        <w:t>its</w:t>
      </w:r>
      <w:r w:rsidR="00190923" w:rsidRPr="00981405">
        <w:t xml:space="preserve"> </w:t>
      </w:r>
      <w:r w:rsidRPr="00981405">
        <w:t>3254th</w:t>
      </w:r>
      <w:r w:rsidR="00190923" w:rsidRPr="00981405">
        <w:t xml:space="preserve"> </w:t>
      </w:r>
      <w:r w:rsidRPr="00981405">
        <w:t>meeting,</w:t>
      </w:r>
      <w:r w:rsidR="00190923" w:rsidRPr="00981405">
        <w:t xml:space="preserve"> </w:t>
      </w:r>
      <w:r w:rsidRPr="00981405">
        <w:t>on</w:t>
      </w:r>
      <w:r w:rsidR="00190923" w:rsidRPr="00981405">
        <w:t xml:space="preserve"> </w:t>
      </w:r>
      <w:r w:rsidRPr="00981405">
        <w:t>21</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referred</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Pr="00981405">
        <w:rPr>
          <w:rStyle w:val="FootnoteReference"/>
        </w:rPr>
        <w:footnoteReference w:id="75"/>
      </w:r>
      <w:r w:rsidR="00190923" w:rsidRPr="00981405">
        <w:t xml:space="preserve"> </w:t>
      </w:r>
    </w:p>
    <w:p w:rsidR="00397032" w:rsidRPr="00981405" w:rsidRDefault="00397032" w:rsidP="00D97463">
      <w:pPr>
        <w:pStyle w:val="SingleTxt"/>
      </w:pPr>
      <w:r w:rsidRPr="00981405">
        <w:lastRenderedPageBreak/>
        <w:t>60.</w:t>
      </w:r>
      <w:r w:rsidR="00190923" w:rsidRPr="00981405">
        <w:t xml:space="preserve"> </w:t>
      </w:r>
      <w:r w:rsidR="00BF1D0D" w:rsidRPr="00981405">
        <w:tab/>
      </w:r>
      <w:r w:rsidRPr="00981405">
        <w:t>At</w:t>
      </w:r>
      <w:r w:rsidR="00190923" w:rsidRPr="00981405">
        <w:t xml:space="preserve"> </w:t>
      </w:r>
      <w:r w:rsidRPr="00981405">
        <w:t>the</w:t>
      </w:r>
      <w:r w:rsidR="00190923" w:rsidRPr="00981405">
        <w:t xml:space="preserve"> </w:t>
      </w:r>
      <w:r w:rsidRPr="00981405">
        <w:t>3280th</w:t>
      </w:r>
      <w:r w:rsidR="00190923" w:rsidRPr="00981405">
        <w:t xml:space="preserve"> </w:t>
      </w:r>
      <w:r w:rsidRPr="00981405">
        <w:t>meeting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29</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presented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on</w:t>
      </w:r>
      <w:r w:rsidR="00190923" w:rsidRPr="00981405">
        <w:t xml:space="preserve"> </w:t>
      </w:r>
      <w:r w:rsidR="00B92E2C" w:rsidRPr="00981405">
        <w:t>“</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t>,</w:t>
      </w:r>
      <w:r w:rsidR="00190923" w:rsidRPr="00981405">
        <w:t xml:space="preserve"> </w:t>
      </w:r>
      <w:r w:rsidRPr="00981405">
        <w:t>containing</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1</w:t>
      </w:r>
      <w:r w:rsidR="00190923" w:rsidRPr="00981405">
        <w:t xml:space="preserve"> </w:t>
      </w:r>
      <w:r w:rsidRPr="00981405">
        <w:t>to</w:t>
      </w:r>
      <w:r w:rsidR="00190923" w:rsidRPr="00981405">
        <w:t xml:space="preserve"> </w:t>
      </w:r>
      <w:r w:rsidRPr="00981405">
        <w:t>16</w:t>
      </w:r>
      <w:r w:rsidR="00190923" w:rsidRPr="00981405">
        <w:t xml:space="preserve"> </w:t>
      </w:r>
      <w:r w:rsidRPr="00981405">
        <w:t>[15],</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sixty-sixth</w:t>
      </w:r>
      <w:r w:rsidR="00190923" w:rsidRPr="00981405">
        <w:t xml:space="preserve"> </w:t>
      </w:r>
      <w:r w:rsidRPr="00981405">
        <w:t>and</w:t>
      </w:r>
      <w:r w:rsidR="00190923" w:rsidRPr="00981405">
        <w:t xml:space="preserve"> </w:t>
      </w:r>
      <w:r w:rsidRPr="00981405">
        <w:t>sixty-seventh</w:t>
      </w:r>
      <w:r w:rsidR="00190923" w:rsidRPr="00981405">
        <w:t xml:space="preserve"> </w:t>
      </w:r>
      <w:r w:rsidRPr="00981405">
        <w:t>sessions</w:t>
      </w:r>
      <w:r w:rsidR="00190923" w:rsidRPr="00981405">
        <w:t xml:space="preserve"> </w:t>
      </w:r>
      <w:r w:rsidRPr="00981405">
        <w:t>(</w:t>
      </w:r>
      <w:hyperlink r:id="rId44" w:history="1">
        <w:r w:rsidR="00F304EB" w:rsidRPr="00F304EB">
          <w:rPr>
            <w:rStyle w:val="Hyperlink"/>
          </w:rPr>
          <w:t>A/CN.4/L.869</w:t>
        </w:r>
      </w:hyperlink>
      <w:r w:rsidRPr="00981405">
        <w:t>).</w:t>
      </w:r>
      <w:r w:rsidRPr="00981405">
        <w:rPr>
          <w:rStyle w:val="FootnoteReference"/>
        </w:rPr>
        <w:footnoteReference w:id="76"/>
      </w:r>
      <w:r w:rsidR="00190923" w:rsidRPr="00981405">
        <w:t xml:space="preserve"> </w:t>
      </w:r>
      <w:r w:rsidRPr="00981405">
        <w:t>At</w:t>
      </w:r>
      <w:r w:rsidR="00190923" w:rsidRPr="00981405">
        <w:t xml:space="preserve"> </w:t>
      </w:r>
      <w:r w:rsidRPr="00981405">
        <w:t>its</w:t>
      </w:r>
      <w:r w:rsidR="00190923" w:rsidRPr="00981405">
        <w:t xml:space="preserve"> </w:t>
      </w:r>
      <w:r w:rsidRPr="00981405">
        <w:t>3288th</w:t>
      </w:r>
      <w:r w:rsidR="00190923" w:rsidRPr="00981405">
        <w:t xml:space="preserve"> </w:t>
      </w:r>
      <w:r w:rsidRPr="00981405">
        <w:t>meeting,</w:t>
      </w:r>
      <w:r w:rsidR="00190923" w:rsidRPr="00981405">
        <w:t xml:space="preserve"> </w:t>
      </w:r>
      <w:r w:rsidRPr="00981405">
        <w:t>on</w:t>
      </w:r>
      <w:r w:rsidR="00190923" w:rsidRPr="00981405">
        <w:t xml:space="preserve"> </w:t>
      </w:r>
      <w:r w:rsidRPr="00981405">
        <w:t>6</w:t>
      </w:r>
      <w:r w:rsidR="00190923" w:rsidRPr="00981405">
        <w:t xml:space="preserve"> </w:t>
      </w:r>
      <w:r w:rsidRPr="00981405">
        <w:t>August</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1</w:t>
      </w:r>
      <w:r w:rsidR="00190923" w:rsidRPr="00981405">
        <w:t xml:space="preserve"> </w:t>
      </w:r>
      <w:r w:rsidRPr="00981405">
        <w:t>to</w:t>
      </w:r>
      <w:r w:rsidR="00190923" w:rsidRPr="00981405">
        <w:t xml:space="preserve"> </w:t>
      </w:r>
      <w:r w:rsidRPr="00981405">
        <w:t>16.</w:t>
      </w:r>
      <w:r w:rsidR="00190923" w:rsidRPr="00981405">
        <w:t xml:space="preserve"> </w:t>
      </w:r>
      <w:r w:rsidRPr="00981405">
        <w:t>It</w:t>
      </w:r>
      <w:r w:rsidR="00190923" w:rsidRPr="00981405">
        <w:t xml:space="preserve"> </w:t>
      </w:r>
      <w:r w:rsidRPr="00981405">
        <w:t>is</w:t>
      </w:r>
      <w:r w:rsidR="00190923" w:rsidRPr="00981405">
        <w:t xml:space="preserve"> </w:t>
      </w:r>
      <w:r w:rsidRPr="00981405">
        <w:t>anticipated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will,</w:t>
      </w:r>
      <w:r w:rsidR="00190923" w:rsidRPr="00981405">
        <w:t xml:space="preserve"> </w:t>
      </w:r>
      <w:r w:rsidRPr="00981405">
        <w:t>at</w:t>
      </w:r>
      <w:r w:rsidR="00190923" w:rsidRPr="00981405">
        <w:t xml:space="preserve"> </w:t>
      </w:r>
      <w:r w:rsidRPr="00981405">
        <w:t>its</w:t>
      </w:r>
      <w:r w:rsidR="00190923" w:rsidRPr="00981405">
        <w:t xml:space="preserve"> </w:t>
      </w:r>
      <w:r w:rsidRPr="00981405">
        <w:t>next</w:t>
      </w:r>
      <w:r w:rsidR="00190923" w:rsidRPr="00981405">
        <w:t xml:space="preserve"> </w:t>
      </w:r>
      <w:r w:rsidRPr="00981405">
        <w:t>session,</w:t>
      </w:r>
      <w:r w:rsidR="00190923" w:rsidRPr="00981405">
        <w:t xml:space="preserve"> </w:t>
      </w:r>
      <w:r w:rsidRPr="00981405">
        <w:t>consider</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adoption</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commentaries</w:t>
      </w:r>
      <w:r w:rsidR="00190923" w:rsidRPr="00981405">
        <w:t xml:space="preserve"> </w:t>
      </w:r>
      <w:r w:rsidRPr="00981405">
        <w:t>thereto.</w:t>
      </w:r>
      <w:r w:rsidR="00190923" w:rsidRPr="00981405">
        <w:t xml:space="preserve"> </w:t>
      </w:r>
    </w:p>
    <w:p w:rsidR="00397032" w:rsidRPr="00981405" w:rsidRDefault="00397032" w:rsidP="00D97463">
      <w:pPr>
        <w:pStyle w:val="SingleTxt"/>
      </w:pPr>
      <w:r w:rsidRPr="00981405">
        <w:t>61.</w:t>
      </w:r>
      <w:r w:rsidR="00BF1D0D" w:rsidRPr="00981405">
        <w:tab/>
      </w:r>
      <w:r w:rsidRPr="00981405">
        <w:t>At</w:t>
      </w:r>
      <w:r w:rsidR="00190923" w:rsidRPr="00981405">
        <w:t xml:space="preserve"> </w:t>
      </w:r>
      <w:r w:rsidRPr="00981405">
        <w:t>its</w:t>
      </w:r>
      <w:r w:rsidR="00190923" w:rsidRPr="00981405">
        <w:t xml:space="preserve"> </w:t>
      </w:r>
      <w:r w:rsidRPr="00981405">
        <w:t>3288th</w:t>
      </w:r>
      <w:r w:rsidR="00190923" w:rsidRPr="00981405">
        <w:t xml:space="preserve"> </w:t>
      </w:r>
      <w:r w:rsidRPr="00981405">
        <w:t>meeting,</w:t>
      </w:r>
      <w:r w:rsidR="00190923" w:rsidRPr="00981405">
        <w:t xml:space="preserve"> </w:t>
      </w:r>
      <w:r w:rsidRPr="00981405">
        <w:t>on</w:t>
      </w:r>
      <w:r w:rsidR="00190923" w:rsidRPr="00981405">
        <w:t xml:space="preserve"> </w:t>
      </w:r>
      <w:r w:rsidRPr="00981405">
        <w:t>6</w:t>
      </w:r>
      <w:r w:rsidR="00190923" w:rsidRPr="00981405">
        <w:t xml:space="preserve"> </w:t>
      </w:r>
      <w:r w:rsidRPr="00981405">
        <w:t>August</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requested</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to</w:t>
      </w:r>
      <w:r w:rsidR="00190923" w:rsidRPr="00981405">
        <w:t xml:space="preserve"> </w:t>
      </w:r>
      <w:r w:rsidRPr="00981405">
        <w:t>prepare</w:t>
      </w:r>
      <w:r w:rsidR="00190923" w:rsidRPr="00981405">
        <w:t xml:space="preserve"> </w:t>
      </w:r>
      <w:r w:rsidRPr="00981405">
        <w:t>a</w:t>
      </w:r>
      <w:r w:rsidR="00190923" w:rsidRPr="00981405">
        <w:t xml:space="preserve"> </w:t>
      </w:r>
      <w:r w:rsidRPr="00981405">
        <w:t>memorandum</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decisions</w:t>
      </w:r>
      <w:r w:rsidR="00190923" w:rsidRPr="00981405">
        <w:t xml:space="preserve"> </w:t>
      </w:r>
      <w:r w:rsidRPr="00981405">
        <w:t>of</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in</w:t>
      </w:r>
      <w:r w:rsidR="00190923" w:rsidRPr="00981405">
        <w:t xml:space="preserve"> </w:t>
      </w:r>
      <w:r w:rsidRPr="00981405">
        <w:t>the</w:t>
      </w:r>
      <w:r w:rsidR="00190923" w:rsidRPr="00981405">
        <w:t xml:space="preserve"> </w:t>
      </w:r>
      <w:r w:rsidRPr="00981405">
        <w:t>case-law</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of</w:t>
      </w:r>
      <w:r w:rsidR="00190923" w:rsidRPr="00981405">
        <w:t xml:space="preserve"> </w:t>
      </w:r>
      <w:r w:rsidRPr="00981405">
        <w:t>a</w:t>
      </w:r>
      <w:r w:rsidR="00190923" w:rsidRPr="00981405">
        <w:t xml:space="preserve"> </w:t>
      </w:r>
      <w:r w:rsidRPr="00981405">
        <w:t>universal</w:t>
      </w:r>
      <w:r w:rsidR="00190923" w:rsidRPr="00981405">
        <w:t xml:space="preserve"> </w:t>
      </w:r>
      <w:r w:rsidRPr="00981405">
        <w:t>character</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p>
    <w:p w:rsidR="00BF1D0D" w:rsidRPr="00D97463" w:rsidRDefault="00BF1D0D" w:rsidP="00D97463">
      <w:pPr>
        <w:pStyle w:val="SingleTxt"/>
        <w:spacing w:after="0" w:line="120" w:lineRule="exact"/>
        <w:rPr>
          <w:sz w:val="10"/>
        </w:rPr>
      </w:pPr>
    </w:p>
    <w:p w:rsidR="00397032" w:rsidRPr="00D97463" w:rsidRDefault="00397032" w:rsidP="00D97463">
      <w:pPr>
        <w:pStyle w:val="H23"/>
        <w:ind w:right="1260"/>
      </w:pPr>
      <w:r w:rsidRPr="00D97463">
        <w:tab/>
      </w:r>
      <w:bookmarkStart w:id="38" w:name="_Toc427938099"/>
      <w:r w:rsidRPr="00D97463">
        <w:t>1.</w:t>
      </w:r>
      <w:r w:rsidRPr="00D97463">
        <w:tab/>
        <w:t>Introduction</w:t>
      </w:r>
      <w:r w:rsidR="00190923" w:rsidRPr="00D97463">
        <w:t xml:space="preserve"> </w:t>
      </w:r>
      <w:r w:rsidRPr="00D97463">
        <w:t>by</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r w:rsidR="00190923" w:rsidRPr="00D97463">
        <w:t xml:space="preserve"> </w:t>
      </w:r>
      <w:r w:rsidRPr="00D97463">
        <w:t>of</w:t>
      </w:r>
      <w:r w:rsidR="00190923" w:rsidRPr="00D97463">
        <w:t xml:space="preserve"> </w:t>
      </w:r>
      <w:r w:rsidRPr="00D97463">
        <w:t>the</w:t>
      </w:r>
      <w:r w:rsidR="00190923" w:rsidRPr="00D97463">
        <w:t xml:space="preserve"> </w:t>
      </w:r>
      <w:r w:rsidRPr="00D97463">
        <w:t>third</w:t>
      </w:r>
      <w:r w:rsidR="00190923" w:rsidRPr="00D97463">
        <w:t xml:space="preserve"> </w:t>
      </w:r>
      <w:r w:rsidRPr="00D97463">
        <w:t>report</w:t>
      </w:r>
      <w:bookmarkEnd w:id="38"/>
    </w:p>
    <w:p w:rsidR="00BF1D0D" w:rsidRPr="00D97463" w:rsidRDefault="00BF1D0D" w:rsidP="00D97463">
      <w:pPr>
        <w:pStyle w:val="SingleTxt"/>
        <w:spacing w:after="0" w:line="120" w:lineRule="exact"/>
        <w:rPr>
          <w:sz w:val="10"/>
        </w:rPr>
      </w:pPr>
    </w:p>
    <w:p w:rsidR="00397032" w:rsidRPr="00981405" w:rsidRDefault="00397032" w:rsidP="00D97463">
      <w:pPr>
        <w:pStyle w:val="SingleTxt"/>
      </w:pPr>
      <w:r w:rsidRPr="00981405">
        <w:t>62.</w:t>
      </w:r>
      <w:r w:rsidRPr="00981405">
        <w:tab/>
        <w:t>When</w:t>
      </w:r>
      <w:r w:rsidR="00190923" w:rsidRPr="00981405">
        <w:t xml:space="preserve"> </w:t>
      </w:r>
      <w:r w:rsidRPr="00981405">
        <w:t>presenting</w:t>
      </w:r>
      <w:r w:rsidR="00190923" w:rsidRPr="00981405">
        <w:t xml:space="preserve"> </w:t>
      </w:r>
      <w:r w:rsidRPr="00981405">
        <w:t>his</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it</w:t>
      </w:r>
      <w:r w:rsidR="00190923" w:rsidRPr="00981405">
        <w:t xml:space="preserve"> </w:t>
      </w:r>
      <w:r w:rsidRPr="00981405">
        <w:t>sought</w:t>
      </w:r>
      <w:r w:rsidR="00190923" w:rsidRPr="00981405">
        <w:t xml:space="preserve"> </w:t>
      </w:r>
      <w:r w:rsidRPr="00981405">
        <w:t>to</w:t>
      </w:r>
      <w:r w:rsidR="00190923" w:rsidRPr="00981405">
        <w:t xml:space="preserve"> </w:t>
      </w:r>
      <w:r w:rsidRPr="00981405">
        <w:t>cover</w:t>
      </w:r>
      <w:r w:rsidR="00190923" w:rsidRPr="00981405">
        <w:t xml:space="preserve"> </w:t>
      </w:r>
      <w:r w:rsidRPr="00981405">
        <w:t>issues</w:t>
      </w:r>
      <w:r w:rsidR="00190923" w:rsidRPr="00981405">
        <w:t xml:space="preserve"> </w:t>
      </w:r>
      <w:r w:rsidRPr="00981405">
        <w:t>that</w:t>
      </w:r>
      <w:r w:rsidR="00190923" w:rsidRPr="00981405">
        <w:t xml:space="preserve"> </w:t>
      </w:r>
      <w:r w:rsidRPr="00981405">
        <w:t>were</w:t>
      </w:r>
      <w:r w:rsidR="00190923" w:rsidRPr="00981405">
        <w:t xml:space="preserve"> </w:t>
      </w:r>
      <w:r w:rsidRPr="00981405">
        <w:t>raised</w:t>
      </w:r>
      <w:r w:rsidR="00190923" w:rsidRPr="00981405">
        <w:t xml:space="preserve"> </w:t>
      </w:r>
      <w:r w:rsidRPr="00981405">
        <w:t>in</w:t>
      </w:r>
      <w:r w:rsidR="00190923" w:rsidRPr="00981405">
        <w:t xml:space="preserve"> </w:t>
      </w:r>
      <w:r w:rsidRPr="00981405">
        <w:t>2014</w:t>
      </w:r>
      <w:r w:rsidR="00190923" w:rsidRPr="00981405">
        <w:t xml:space="preserve"> </w:t>
      </w:r>
      <w:r w:rsidRPr="00981405">
        <w:t>regarding</w:t>
      </w:r>
      <w:r w:rsidR="00190923" w:rsidRPr="00981405">
        <w:t xml:space="preserve"> </w:t>
      </w:r>
      <w:r w:rsidRPr="00981405">
        <w:t>the</w:t>
      </w:r>
      <w:r w:rsidR="00190923" w:rsidRPr="00981405">
        <w:t xml:space="preserve"> </w:t>
      </w:r>
      <w:r w:rsidRPr="00981405">
        <w:t>two</w:t>
      </w:r>
      <w:r w:rsidR="00190923" w:rsidRPr="00981405">
        <w:t xml:space="preserve"> </w:t>
      </w:r>
      <w:r w:rsidRPr="00981405">
        <w:t>constituent</w:t>
      </w:r>
      <w:r w:rsidR="00190923" w:rsidRPr="00981405">
        <w:t xml:space="preserve"> </w:t>
      </w:r>
      <w:r w:rsidRPr="00981405">
        <w:t>elements</w:t>
      </w:r>
      <w:r w:rsidR="00190923" w:rsidRPr="00981405">
        <w:t xml:space="preserve"> </w:t>
      </w:r>
      <w:r w:rsidRPr="00981405">
        <w:t>(</w:t>
      </w:r>
      <w:r w:rsidR="00B92E2C" w:rsidRPr="00981405">
        <w:t>“</w:t>
      </w:r>
      <w:r w:rsidRPr="00981405">
        <w:t>a</w:t>
      </w:r>
      <w:r w:rsidR="00190923" w:rsidRPr="00981405">
        <w:t xml:space="preserve"> </w:t>
      </w:r>
      <w:r w:rsidRPr="00981405">
        <w:t>general</w:t>
      </w:r>
      <w:r w:rsidR="00190923" w:rsidRPr="00981405">
        <w:t xml:space="preserve"> </w:t>
      </w:r>
      <w:r w:rsidRPr="00981405">
        <w:t>practice</w:t>
      </w:r>
      <w:r w:rsidR="00B92E2C" w:rsidRPr="00981405">
        <w:t>”</w:t>
      </w:r>
      <w:r w:rsidR="00190923" w:rsidRPr="00981405">
        <w:t xml:space="preserve"> </w:t>
      </w:r>
      <w:r w:rsidRPr="00981405">
        <w:t>and</w:t>
      </w:r>
      <w:r w:rsidR="00190923" w:rsidRPr="00981405">
        <w:t xml:space="preserve"> </w:t>
      </w:r>
      <w:r w:rsidR="00B92E2C" w:rsidRPr="00981405">
        <w:t>“</w:t>
      </w:r>
      <w:r w:rsidRPr="00981405">
        <w:t>accepted</w:t>
      </w:r>
      <w:r w:rsidR="00190923" w:rsidRPr="00981405">
        <w:t xml:space="preserve"> </w:t>
      </w:r>
      <w:r w:rsidRPr="00981405">
        <w:t>as</w:t>
      </w:r>
      <w:r w:rsidR="00190923" w:rsidRPr="00981405">
        <w:t xml:space="preserve"> </w:t>
      </w:r>
      <w:r w:rsidRPr="00981405">
        <w:t>law</w:t>
      </w:r>
      <w:r w:rsidR="00190923" w:rsidRPr="00981405">
        <w:t xml:space="preserve"> </w:t>
      </w:r>
      <w:r w:rsidRPr="00981405">
        <w:t>(</w:t>
      </w:r>
      <w:r w:rsidR="00BF1D0D" w:rsidRPr="00981405">
        <w:rPr>
          <w:i/>
          <w:iCs/>
        </w:rPr>
        <w:t>opinio</w:t>
      </w:r>
      <w:r w:rsidR="00190923" w:rsidRPr="00981405">
        <w:rPr>
          <w:i/>
          <w:iCs/>
        </w:rPr>
        <w:t xml:space="preserve"> </w:t>
      </w:r>
      <w:r w:rsidR="00BF1D0D" w:rsidRPr="00981405">
        <w:rPr>
          <w:i/>
          <w:iCs/>
        </w:rPr>
        <w:t>juris</w:t>
      </w:r>
      <w:r w:rsidRPr="00981405">
        <w:t>)</w:t>
      </w:r>
      <w:r w:rsidR="00B92E2C" w:rsidRPr="00981405">
        <w:t>”</w:t>
      </w:r>
      <w:r w:rsidRPr="00981405">
        <w: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new</w:t>
      </w:r>
      <w:r w:rsidR="00190923" w:rsidRPr="00981405">
        <w:t xml:space="preserve"> </w:t>
      </w:r>
      <w:r w:rsidRPr="00981405">
        <w:t>issues</w:t>
      </w:r>
      <w:r w:rsidR="00190923" w:rsidRPr="00981405">
        <w:t xml:space="preserve"> </w:t>
      </w:r>
      <w:r w:rsidRPr="00981405">
        <w:t>such</w:t>
      </w:r>
      <w:r w:rsidR="00190923" w:rsidRPr="00981405">
        <w:t xml:space="preserve"> </w:t>
      </w:r>
      <w:r w:rsidRPr="00981405">
        <w:t>as</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and</w:t>
      </w:r>
      <w:r w:rsidR="00190923" w:rsidRPr="00981405">
        <w:t xml:space="preserve"> </w:t>
      </w:r>
      <w:r w:rsidRPr="00981405">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The</w:t>
      </w:r>
      <w:r w:rsidR="00190923" w:rsidRPr="00981405">
        <w:t xml:space="preserve"> </w:t>
      </w:r>
      <w:r w:rsidRPr="00981405">
        <w:t>report</w:t>
      </w:r>
      <w:r w:rsidR="00190923" w:rsidRPr="00981405">
        <w:t xml:space="preserve"> </w:t>
      </w:r>
      <w:r w:rsidRPr="00981405">
        <w:t>proposed</w:t>
      </w:r>
      <w:r w:rsidR="00190923" w:rsidRPr="00981405">
        <w:t xml:space="preserve"> </w:t>
      </w:r>
      <w:r w:rsidRPr="00981405">
        <w:t>additional</w:t>
      </w:r>
      <w:r w:rsidR="00190923" w:rsidRPr="00981405">
        <w:t xml:space="preserve"> </w:t>
      </w:r>
      <w:r w:rsidRPr="00981405">
        <w:t>paragraphs</w:t>
      </w:r>
      <w:r w:rsidR="00190923" w:rsidRPr="00981405">
        <w:t xml:space="preserve"> </w:t>
      </w:r>
      <w:r w:rsidRPr="00981405">
        <w:t>to</w:t>
      </w:r>
      <w:r w:rsidR="00190923" w:rsidRPr="00981405">
        <w:t xml:space="preserve"> </w:t>
      </w:r>
      <w:r w:rsidRPr="00981405">
        <w:t>three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proposed</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five</w:t>
      </w:r>
      <w:r w:rsidR="00190923" w:rsidRPr="00981405">
        <w:t xml:space="preserve"> </w:t>
      </w:r>
      <w:r w:rsidRPr="00981405">
        <w:t>new</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which</w:t>
      </w:r>
      <w:r w:rsidR="00190923" w:rsidRPr="00981405">
        <w:t xml:space="preserve"> </w:t>
      </w:r>
      <w:r w:rsidRPr="00981405">
        <w:t>fell</w:t>
      </w:r>
      <w:r w:rsidR="00190923" w:rsidRPr="00981405">
        <w:t xml:space="preserve"> </w:t>
      </w:r>
      <w:r w:rsidRPr="00981405">
        <w:t>into</w:t>
      </w:r>
      <w:r w:rsidR="00190923" w:rsidRPr="00981405">
        <w:t xml:space="preserve"> </w:t>
      </w:r>
      <w:r w:rsidRPr="00981405">
        <w:t>two</w:t>
      </w:r>
      <w:r w:rsidR="00190923" w:rsidRPr="00981405">
        <w:t xml:space="preserve"> </w:t>
      </w:r>
      <w:r w:rsidRPr="00981405">
        <w:t>new</w:t>
      </w:r>
      <w:r w:rsidR="00190923" w:rsidRPr="00981405">
        <w:t xml:space="preserve"> </w:t>
      </w:r>
      <w:r w:rsidRPr="00981405">
        <w:t>parts</w:t>
      </w:r>
      <w:r w:rsidR="00190923" w:rsidRPr="00981405">
        <w:t xml:space="preserve"> </w:t>
      </w:r>
      <w:r w:rsidRPr="00981405">
        <w:t>(Part</w:t>
      </w:r>
      <w:r w:rsidR="00190923" w:rsidRPr="00981405">
        <w:t xml:space="preserve"> </w:t>
      </w:r>
      <w:r w:rsidRPr="00981405">
        <w:t>five</w:t>
      </w:r>
      <w:r w:rsidR="00190923" w:rsidRPr="00981405">
        <w:t xml:space="preserve"> </w:t>
      </w:r>
      <w:r w:rsidR="00B92E2C" w:rsidRPr="00981405">
        <w:t>“</w:t>
      </w:r>
      <w:r w:rsidRPr="00981405">
        <w:t>Particular</w:t>
      </w:r>
      <w:r w:rsidR="00190923" w:rsidRPr="00981405">
        <w:t xml:space="preserve"> </w:t>
      </w:r>
      <w:r w:rsidRPr="00981405">
        <w:t>form</w:t>
      </w:r>
      <w:r w:rsidR="00190923" w:rsidRPr="00981405">
        <w:t xml:space="preserve"> </w:t>
      </w:r>
      <w:r w:rsidRPr="00981405">
        <w:t>of</w:t>
      </w:r>
      <w:r w:rsidR="00190923" w:rsidRPr="00981405">
        <w:t xml:space="preserve"> </w:t>
      </w:r>
      <w:r w:rsidRPr="00981405">
        <w:t>practice</w:t>
      </w:r>
      <w:r w:rsidR="00190923" w:rsidRPr="00981405">
        <w:t xml:space="preserve"> </w:t>
      </w:r>
      <w:r w:rsidRPr="00981405">
        <w:t>and</w:t>
      </w:r>
      <w:r w:rsidR="00190923" w:rsidRPr="00981405">
        <w:t xml:space="preserve"> </w:t>
      </w:r>
      <w:r w:rsidRPr="00981405">
        <w:t>evidence</w:t>
      </w:r>
      <w:r w:rsidR="00B92E2C" w:rsidRPr="00981405">
        <w:t>”</w:t>
      </w:r>
      <w:r w:rsidR="00190923" w:rsidRPr="00981405">
        <w:t xml:space="preserve"> </w:t>
      </w:r>
      <w:r w:rsidRPr="00981405">
        <w:t>and</w:t>
      </w:r>
      <w:r w:rsidR="00190923" w:rsidRPr="00981405">
        <w:t xml:space="preserve"> </w:t>
      </w:r>
      <w:r w:rsidRPr="00981405">
        <w:t>Part</w:t>
      </w:r>
      <w:r w:rsidR="00190923" w:rsidRPr="00981405">
        <w:t xml:space="preserve"> </w:t>
      </w:r>
      <w:r w:rsidRPr="00981405">
        <w:t>six</w:t>
      </w:r>
      <w:r w:rsidR="00190923" w:rsidRPr="00981405">
        <w:t xml:space="preserve"> </w:t>
      </w:r>
      <w:r w:rsidR="00B92E2C" w:rsidRPr="00981405">
        <w:t>“</w:t>
      </w:r>
      <w:r w:rsidRPr="00981405">
        <w:t>Exceptions</w:t>
      </w:r>
      <w:r w:rsidR="00190923" w:rsidRPr="00981405">
        <w:t xml:space="preserve"> </w:t>
      </w:r>
      <w:r w:rsidRPr="00981405">
        <w:t>to</w:t>
      </w:r>
      <w:r w:rsidR="00190923" w:rsidRPr="00981405">
        <w:t xml:space="preserve"> </w:t>
      </w:r>
      <w:r w:rsidRPr="00981405">
        <w:t>the</w:t>
      </w:r>
      <w:r w:rsidR="00190923" w:rsidRPr="00981405">
        <w:t xml:space="preserve"> </w:t>
      </w:r>
      <w:r w:rsidRPr="00981405">
        <w:t>general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t>).</w:t>
      </w:r>
    </w:p>
    <w:p w:rsidR="00397032" w:rsidRPr="00981405" w:rsidRDefault="00397032" w:rsidP="00D97463">
      <w:pPr>
        <w:pStyle w:val="SingleTxt"/>
      </w:pPr>
      <w:r w:rsidRPr="00981405">
        <w:t>63.</w:t>
      </w:r>
      <w:r w:rsidRPr="00981405">
        <w:tab/>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comprised</w:t>
      </w:r>
      <w:r w:rsidR="00190923" w:rsidRPr="00981405">
        <w:t xml:space="preserve"> </w:t>
      </w:r>
      <w:r w:rsidRPr="00981405">
        <w:t>nine</w:t>
      </w:r>
      <w:r w:rsidR="00190923" w:rsidRPr="00981405">
        <w:t xml:space="preserve"> </w:t>
      </w:r>
      <w:r w:rsidRPr="00981405">
        <w:t>sections.</w:t>
      </w:r>
      <w:r w:rsidR="00190923" w:rsidRPr="00981405">
        <w:t xml:space="preserve"> </w:t>
      </w:r>
      <w:r w:rsidRPr="00981405">
        <w:t>The</w:t>
      </w:r>
      <w:r w:rsidR="00190923" w:rsidRPr="00981405">
        <w:t xml:space="preserve"> </w:t>
      </w:r>
      <w:r w:rsidRPr="00981405">
        <w:t>first</w:t>
      </w:r>
      <w:r w:rsidR="00190923" w:rsidRPr="00981405">
        <w:t xml:space="preserve"> </w:t>
      </w:r>
      <w:r w:rsidRPr="00981405">
        <w:t>section</w:t>
      </w:r>
      <w:r w:rsidR="00190923" w:rsidRPr="00981405">
        <w:t xml:space="preserve"> </w:t>
      </w:r>
      <w:r w:rsidRPr="00981405">
        <w:t>constituted</w:t>
      </w:r>
      <w:r w:rsidR="00190923" w:rsidRPr="00981405">
        <w:t xml:space="preserve"> </w:t>
      </w:r>
      <w:r w:rsidRPr="00981405">
        <w:t>an</w:t>
      </w:r>
      <w:r w:rsidR="00190923" w:rsidRPr="00981405">
        <w:t xml:space="preserve"> </w:t>
      </w:r>
      <w:r w:rsidRPr="00981405">
        <w:t>introduction</w:t>
      </w:r>
      <w:r w:rsidR="00190923" w:rsidRPr="00981405">
        <w:t xml:space="preserve"> </w:t>
      </w:r>
      <w:r w:rsidRPr="00981405">
        <w:t>recalling</w:t>
      </w:r>
      <w:r w:rsidR="00190923" w:rsidRPr="00981405">
        <w:t xml:space="preserve"> </w:t>
      </w:r>
      <w:r w:rsidRPr="00981405">
        <w:t>the</w:t>
      </w:r>
      <w:r w:rsidR="00190923" w:rsidRPr="00981405">
        <w:t xml:space="preserve"> </w:t>
      </w:r>
      <w:r w:rsidRPr="00981405">
        <w:t>history</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work</w:t>
      </w:r>
      <w:r w:rsidR="00190923" w:rsidRPr="00981405">
        <w:t xml:space="preserve"> </w:t>
      </w:r>
      <w:r w:rsidRPr="00981405">
        <w:t>done</w:t>
      </w:r>
      <w:r w:rsidR="00190923" w:rsidRPr="00981405">
        <w:t xml:space="preserve"> </w:t>
      </w:r>
      <w:r w:rsidRPr="00981405">
        <w:t>during</w:t>
      </w:r>
      <w:r w:rsidR="00190923" w:rsidRPr="00981405">
        <w:t xml:space="preserve"> </w:t>
      </w:r>
      <w:r w:rsidRPr="00981405">
        <w:t>the</w:t>
      </w:r>
      <w:r w:rsidR="00190923" w:rsidRPr="00981405">
        <w:t xml:space="preserve"> </w:t>
      </w:r>
      <w:r w:rsidRPr="00981405">
        <w:t>previous</w:t>
      </w:r>
      <w:r w:rsidR="00190923" w:rsidRPr="00981405">
        <w:t xml:space="preserve"> </w:t>
      </w:r>
      <w:r w:rsidRPr="00981405">
        <w:t>session</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debate</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in</w:t>
      </w:r>
      <w:r w:rsidR="00190923" w:rsidRPr="00981405">
        <w:t xml:space="preserve"> </w:t>
      </w:r>
      <w:r w:rsidRPr="00981405">
        <w:t>2014.</w:t>
      </w:r>
      <w:r w:rsidR="00190923" w:rsidRPr="00981405">
        <w:t xml:space="preserve"> </w:t>
      </w:r>
      <w:r w:rsidRPr="00981405">
        <w:t>Section</w:t>
      </w:r>
      <w:r w:rsidR="00190923" w:rsidRPr="00981405">
        <w:t xml:space="preserve"> </w:t>
      </w:r>
      <w:r w:rsidRPr="00981405">
        <w:t>II</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returned</w:t>
      </w:r>
      <w:r w:rsidR="00190923" w:rsidRPr="00981405">
        <w:t xml:space="preserve"> </w:t>
      </w:r>
      <w:r w:rsidRPr="00981405">
        <w:t>to</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and</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3</w:t>
      </w:r>
      <w:r w:rsidR="00190923" w:rsidRPr="00981405">
        <w:t xml:space="preserve"> </w:t>
      </w:r>
      <w:r w:rsidRPr="00981405">
        <w:t>[4],</w:t>
      </w:r>
      <w:r w:rsidR="00190923" w:rsidRPr="00981405">
        <w:t xml:space="preserve"> </w:t>
      </w:r>
      <w:r w:rsidRPr="00981405">
        <w:t>paragraph</w:t>
      </w:r>
      <w:r w:rsidR="00190923" w:rsidRPr="00981405">
        <w:t xml:space="preserve"> </w:t>
      </w:r>
      <w:r w:rsidRPr="00981405">
        <w:t>2).</w:t>
      </w:r>
      <w:r w:rsidR="00190923" w:rsidRPr="00981405">
        <w:t xml:space="preserve"> </w:t>
      </w:r>
      <w:r w:rsidRPr="00981405">
        <w:t>Section</w:t>
      </w:r>
      <w:r w:rsidR="00190923" w:rsidRPr="00981405">
        <w:t xml:space="preserve"> </w:t>
      </w:r>
      <w:r w:rsidRPr="00981405">
        <w:t>III</w:t>
      </w:r>
      <w:r w:rsidR="00190923" w:rsidRPr="00981405">
        <w:t xml:space="preserve"> </w:t>
      </w:r>
      <w:r w:rsidRPr="00981405">
        <w:t>dealt</w:t>
      </w:r>
      <w:r w:rsidR="00190923" w:rsidRPr="00981405">
        <w:t xml:space="preserve"> </w:t>
      </w:r>
      <w:r w:rsidRPr="00981405">
        <w:t>with</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inaction</w:t>
      </w:r>
      <w:r w:rsidR="00190923" w:rsidRPr="00981405">
        <w:t xml:space="preserve"> </w:t>
      </w:r>
      <w:r w:rsidRPr="00981405">
        <w:t>as</w:t>
      </w:r>
      <w:r w:rsidR="00190923" w:rsidRPr="00981405">
        <w:t xml:space="preserve"> </w:t>
      </w:r>
      <w:r w:rsidRPr="00981405">
        <w:t>a</w:t>
      </w:r>
      <w:r w:rsidR="00190923" w:rsidRPr="00981405">
        <w:t xml:space="preserve"> </w:t>
      </w:r>
      <w:r w:rsidRPr="00981405">
        <w:t>form</w:t>
      </w:r>
      <w:r w:rsidR="00190923" w:rsidRPr="00981405">
        <w:t xml:space="preserve"> </w:t>
      </w:r>
      <w:r w:rsidRPr="00981405">
        <w:t>of</w:t>
      </w:r>
      <w:r w:rsidR="00190923" w:rsidRPr="00981405">
        <w:t xml:space="preserve"> </w:t>
      </w:r>
      <w:r w:rsidRPr="00981405">
        <w:t>practice</w:t>
      </w:r>
      <w:r w:rsidR="00190923" w:rsidRPr="00981405">
        <w:t xml:space="preserve"> </w:t>
      </w:r>
      <w:r w:rsidRPr="00981405">
        <w:t>and/or</w:t>
      </w:r>
      <w:r w:rsidR="00190923" w:rsidRPr="00981405">
        <w:t xml:space="preserve"> </w:t>
      </w:r>
      <w:r w:rsidRPr="00981405">
        <w:t>evidence</w:t>
      </w:r>
      <w:r w:rsidR="00190923" w:rsidRPr="00981405">
        <w:t xml:space="preserve"> </w:t>
      </w:r>
      <w:r w:rsidRPr="00981405">
        <w:t>of</w:t>
      </w:r>
      <w:r w:rsidR="00190923" w:rsidRPr="00981405">
        <w:t xml:space="preserve"> </w:t>
      </w:r>
      <w:r w:rsidRPr="00981405">
        <w:t>acceptance</w:t>
      </w:r>
      <w:r w:rsidR="00190923" w:rsidRPr="00981405">
        <w:t xml:space="preserve"> </w:t>
      </w:r>
      <w:r w:rsidRPr="00981405">
        <w:t>as</w:t>
      </w:r>
      <w:r w:rsidR="00190923" w:rsidRPr="00981405">
        <w:t xml:space="preserve"> </w:t>
      </w:r>
      <w:r w:rsidRPr="00981405">
        <w:t>law</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paragraph</w:t>
      </w:r>
      <w:r w:rsidR="00190923" w:rsidRPr="00981405">
        <w:t xml:space="preserve"> </w:t>
      </w:r>
      <w:r w:rsidRPr="00981405">
        <w:t>3).</w:t>
      </w:r>
      <w:r w:rsidR="00190923" w:rsidRPr="00981405">
        <w:t xml:space="preserve"> </w:t>
      </w:r>
      <w:r w:rsidRPr="00981405">
        <w:t>Other</w:t>
      </w:r>
      <w:r w:rsidR="00190923" w:rsidRPr="00981405">
        <w:t xml:space="preserve"> </w:t>
      </w:r>
      <w:r w:rsidRPr="00981405">
        <w:t>particular</w:t>
      </w:r>
      <w:r w:rsidR="00190923" w:rsidRPr="00981405">
        <w:t xml:space="preserve"> </w:t>
      </w:r>
      <w:r w:rsidRPr="00981405">
        <w:t>forms</w:t>
      </w:r>
      <w:r w:rsidR="00190923" w:rsidRPr="00981405">
        <w:t xml:space="preserve"> </w:t>
      </w:r>
      <w:r w:rsidRPr="00981405">
        <w:t>of</w:t>
      </w:r>
      <w:r w:rsidR="00190923" w:rsidRPr="00981405">
        <w:t xml:space="preserve"> </w:t>
      </w:r>
      <w:r w:rsidRPr="00981405">
        <w:t>practice</w:t>
      </w:r>
      <w:r w:rsidR="00190923" w:rsidRPr="00981405">
        <w:t xml:space="preserve"> </w:t>
      </w:r>
      <w:r w:rsidRPr="00981405">
        <w:t>and</w:t>
      </w:r>
      <w:r w:rsidR="00190923" w:rsidRPr="00981405">
        <w:t xml:space="preserve"> </w:t>
      </w:r>
      <w:r w:rsidRPr="00981405">
        <w:t>evidence</w:t>
      </w:r>
      <w:r w:rsidR="00190923" w:rsidRPr="00981405">
        <w:t xml:space="preserve"> </w:t>
      </w:r>
      <w:r w:rsidRPr="00981405">
        <w:t>were</w:t>
      </w:r>
      <w:r w:rsidR="00190923" w:rsidRPr="00981405">
        <w:t xml:space="preserve"> </w:t>
      </w:r>
      <w:r w:rsidRPr="00981405">
        <w:t>addressed</w:t>
      </w:r>
      <w:r w:rsidR="00190923" w:rsidRPr="00981405">
        <w:t xml:space="preserve"> </w:t>
      </w:r>
      <w:r w:rsidRPr="00981405">
        <w:t>under</w:t>
      </w:r>
      <w:r w:rsidR="00190923" w:rsidRPr="00981405">
        <w:t xml:space="preserve"> </w:t>
      </w:r>
      <w:r w:rsidRPr="00981405">
        <w:t>Sections</w:t>
      </w:r>
      <w:r w:rsidR="00190923" w:rsidRPr="00981405">
        <w:t xml:space="preserve"> </w:t>
      </w:r>
      <w:r w:rsidRPr="00981405">
        <w:t>IV</w:t>
      </w:r>
      <w:r w:rsidR="00190923" w:rsidRPr="00981405">
        <w:t xml:space="preserve"> </w:t>
      </w:r>
      <w:r w:rsidRPr="00981405">
        <w:t>and</w:t>
      </w:r>
      <w:r w:rsidR="00190923" w:rsidRPr="00981405">
        <w:t xml:space="preserve"> </w:t>
      </w:r>
      <w:r w:rsidRPr="00981405">
        <w:t>V:</w:t>
      </w:r>
      <w:r w:rsidR="00190923" w:rsidRPr="00981405">
        <w:t xml:space="preserve"> </w:t>
      </w:r>
      <w:r w:rsidRPr="00981405">
        <w:t>Section</w:t>
      </w:r>
      <w:r w:rsidR="00190923" w:rsidRPr="00981405">
        <w:t xml:space="preserve"> </w:t>
      </w:r>
      <w:r w:rsidRPr="00981405">
        <w:t>IV</w:t>
      </w:r>
      <w:r w:rsidR="00190923" w:rsidRPr="00981405">
        <w:t xml:space="preserve"> </w:t>
      </w:r>
      <w:r w:rsidRPr="00981405">
        <w:t>examined</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resolutions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conferences</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12</w:t>
      </w:r>
      <w:r w:rsidR="00190923" w:rsidRPr="00981405">
        <w:t xml:space="preserve"> </w:t>
      </w:r>
      <w:r w:rsidRPr="00981405">
        <w:t>and</w:t>
      </w:r>
      <w:r w:rsidR="00190923" w:rsidRPr="00981405">
        <w:t xml:space="preserve"> </w:t>
      </w:r>
      <w:r w:rsidRPr="00981405">
        <w:t>13</w:t>
      </w:r>
      <w:r w:rsidR="00190923" w:rsidRPr="00981405">
        <w:t xml:space="preserve"> </w:t>
      </w:r>
      <w:r w:rsidRPr="00981405">
        <w:t>respectively),</w:t>
      </w:r>
      <w:r w:rsidR="00190923" w:rsidRPr="00981405">
        <w:t xml:space="preserve"> </w:t>
      </w:r>
      <w:r w:rsidRPr="00981405">
        <w:t>and</w:t>
      </w:r>
      <w:r w:rsidR="00190923" w:rsidRPr="00981405">
        <w:t xml:space="preserve"> </w:t>
      </w:r>
      <w:r w:rsidRPr="00981405">
        <w:t>two</w:t>
      </w:r>
      <w:r w:rsidR="00190923" w:rsidRPr="00981405">
        <w:t xml:space="preserve"> </w:t>
      </w:r>
      <w:r w:rsidRPr="00981405">
        <w:t>subsidiary</w:t>
      </w:r>
      <w:r w:rsidR="00190923" w:rsidRPr="00981405">
        <w:t xml:space="preserve"> </w:t>
      </w:r>
      <w:r w:rsidRPr="00981405">
        <w:t>means</w:t>
      </w:r>
      <w:r w:rsidR="00190923" w:rsidRPr="00981405">
        <w:t xml:space="preserve"> </w:t>
      </w:r>
      <w:r w:rsidRPr="00981405">
        <w:t>for</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namely</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14),</w:t>
      </w:r>
      <w:r w:rsidR="00190923" w:rsidRPr="00981405">
        <w:t xml:space="preserve"> </w:t>
      </w:r>
      <w:r w:rsidRPr="00981405">
        <w:t>were</w:t>
      </w:r>
      <w:r w:rsidR="00190923" w:rsidRPr="00981405">
        <w:t xml:space="preserve"> </w:t>
      </w:r>
      <w:r w:rsidRPr="00981405">
        <w:t>considered</w:t>
      </w:r>
      <w:r w:rsidR="00190923" w:rsidRPr="00981405">
        <w:t xml:space="preserve"> </w:t>
      </w:r>
      <w:r w:rsidRPr="00981405">
        <w:t>in</w:t>
      </w:r>
      <w:r w:rsidR="00190923" w:rsidRPr="00981405">
        <w:t xml:space="preserve"> </w:t>
      </w:r>
      <w:r w:rsidRPr="00981405">
        <w:t>Section</w:t>
      </w:r>
      <w:r w:rsidR="00190923" w:rsidRPr="00981405">
        <w:t xml:space="preserve"> </w:t>
      </w:r>
      <w:r w:rsidRPr="00981405">
        <w:t>V.</w:t>
      </w:r>
      <w:r w:rsidR="00190923" w:rsidRPr="00981405">
        <w:t xml:space="preserve"> </w:t>
      </w:r>
      <w:r w:rsidRPr="00981405">
        <w:t>Section</w:t>
      </w:r>
      <w:r w:rsidR="00190923" w:rsidRPr="00981405">
        <w:t xml:space="preserve"> </w:t>
      </w:r>
      <w:r w:rsidRPr="00981405">
        <w:t>VI</w:t>
      </w:r>
      <w:r w:rsidR="00190923" w:rsidRPr="00981405">
        <w:t xml:space="preserve"> </w:t>
      </w:r>
      <w:r w:rsidRPr="00981405">
        <w:t>addressed</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4</w:t>
      </w:r>
      <w:r w:rsidR="00190923" w:rsidRPr="00981405">
        <w:t xml:space="preserve"> </w:t>
      </w:r>
      <w:r w:rsidRPr="00981405">
        <w:t>[5],</w:t>
      </w:r>
      <w:r w:rsidR="00190923" w:rsidRPr="00981405">
        <w:t xml:space="preserve"> </w:t>
      </w:r>
      <w:r w:rsidRPr="00981405">
        <w:t>paragraph</w:t>
      </w:r>
      <w:r w:rsidR="00190923" w:rsidRPr="00981405">
        <w:t xml:space="preserve"> </w:t>
      </w:r>
      <w:r w:rsidRPr="00981405">
        <w:t>3).</w:t>
      </w:r>
      <w:r w:rsidR="00190923" w:rsidRPr="00981405">
        <w:t xml:space="preserve"> </w:t>
      </w:r>
      <w:r w:rsidRPr="00981405">
        <w:t>Finally,</w:t>
      </w:r>
      <w:r w:rsidR="00190923" w:rsidRPr="00981405">
        <w:t xml:space="preserve"> </w:t>
      </w:r>
      <w:r w:rsidRPr="00981405">
        <w:t>sections</w:t>
      </w:r>
      <w:r w:rsidR="00190923" w:rsidRPr="00981405">
        <w:t xml:space="preserve"> </w:t>
      </w:r>
      <w:r w:rsidRPr="00981405">
        <w:t>VII</w:t>
      </w:r>
      <w:r w:rsidR="00190923" w:rsidRPr="00981405">
        <w:t xml:space="preserve"> </w:t>
      </w:r>
      <w:r w:rsidRPr="00981405">
        <w:t>and</w:t>
      </w:r>
      <w:r w:rsidR="00190923" w:rsidRPr="00981405">
        <w:t xml:space="preserve"> </w:t>
      </w:r>
      <w:r w:rsidRPr="00981405">
        <w:t>VIII</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concerned,</w:t>
      </w:r>
      <w:r w:rsidR="00190923" w:rsidRPr="00981405">
        <w:t xml:space="preserve"> </w:t>
      </w:r>
      <w:r w:rsidRPr="00981405">
        <w:t>in</w:t>
      </w:r>
      <w:r w:rsidR="00190923" w:rsidRPr="00981405">
        <w:t xml:space="preserve"> </w:t>
      </w:r>
      <w:r w:rsidRPr="00981405">
        <w:t>different</w:t>
      </w:r>
      <w:r w:rsidR="00190923" w:rsidRPr="00981405">
        <w:t xml:space="preserve"> </w:t>
      </w:r>
      <w:r w:rsidRPr="00981405">
        <w:t>ways,</w:t>
      </w:r>
      <w:r w:rsidR="00190923" w:rsidRPr="00981405">
        <w:t xml:space="preserve"> </w:t>
      </w:r>
      <w:r w:rsidRPr="00981405">
        <w:t>the</w:t>
      </w:r>
      <w:r w:rsidR="00190923" w:rsidRPr="00981405">
        <w:t xml:space="preserve"> </w:t>
      </w:r>
      <w:r w:rsidRPr="00981405">
        <w:t>application</w:t>
      </w:r>
      <w:r w:rsidR="00190923" w:rsidRPr="00981405">
        <w:t xml:space="preserve"> </w:t>
      </w:r>
      <w:r w:rsidR="00BF1D0D" w:rsidRPr="00981405">
        <w:rPr>
          <w:i/>
          <w:iCs/>
        </w:rPr>
        <w:t>ratione</w:t>
      </w:r>
      <w:r w:rsidR="00190923" w:rsidRPr="00981405">
        <w:rPr>
          <w:i/>
          <w:iCs/>
        </w:rPr>
        <w:t xml:space="preserve"> </w:t>
      </w:r>
      <w:r w:rsidR="00BF1D0D" w:rsidRPr="00981405">
        <w:rPr>
          <w:i/>
          <w:iCs/>
        </w:rPr>
        <w:t>personae</w:t>
      </w:r>
      <w:r w:rsidR="00190923" w:rsidRPr="00981405">
        <w:rPr>
          <w:i/>
          <w:iCs/>
        </w:rPr>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to</w:t>
      </w:r>
      <w:r w:rsidR="00190923" w:rsidRPr="00981405">
        <w:t xml:space="preserve"> </w:t>
      </w:r>
      <w:r w:rsidRPr="00981405">
        <w:t>which</w:t>
      </w:r>
      <w:r w:rsidR="00190923" w:rsidRPr="00981405">
        <w:t xml:space="preserve"> </w:t>
      </w:r>
      <w:r w:rsidRPr="00981405">
        <w:t>Part</w:t>
      </w:r>
      <w:r w:rsidR="00190923" w:rsidRPr="00981405">
        <w:t xml:space="preserve"> </w:t>
      </w:r>
      <w:r w:rsidRPr="00981405">
        <w:t>six</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was</w:t>
      </w:r>
      <w:r w:rsidR="00190923" w:rsidRPr="00981405">
        <w:t xml:space="preserve"> </w:t>
      </w:r>
      <w:r w:rsidRPr="00981405">
        <w:t>devoted.</w:t>
      </w:r>
      <w:r w:rsidR="00190923" w:rsidRPr="00981405">
        <w:t xml:space="preserve"> </w:t>
      </w:r>
      <w:r w:rsidRPr="00981405">
        <w:t>Part</w:t>
      </w:r>
      <w:r w:rsidR="00190923" w:rsidRPr="00981405">
        <w:t xml:space="preserve"> </w:t>
      </w:r>
      <w:r w:rsidRPr="00981405">
        <w:t>six</w:t>
      </w:r>
      <w:r w:rsidR="00190923" w:rsidRPr="00981405">
        <w:t xml:space="preserve"> </w:t>
      </w:r>
      <w:r w:rsidRPr="00981405">
        <w:t>comprised</w:t>
      </w:r>
      <w:r w:rsidR="00190923" w:rsidRPr="00981405">
        <w:t xml:space="preserve"> </w:t>
      </w:r>
      <w:r w:rsidRPr="00981405">
        <w:t>two</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on</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and</w:t>
      </w:r>
      <w:r w:rsidR="00190923" w:rsidRPr="00981405">
        <w:t xml:space="preserve"> </w:t>
      </w:r>
      <w:r w:rsidRPr="00981405">
        <w:t>on</w:t>
      </w:r>
      <w:r w:rsidR="00190923" w:rsidRPr="00981405">
        <w:t xml:space="preserve"> </w:t>
      </w:r>
      <w:r w:rsidRPr="00981405">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respectively</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15</w:t>
      </w:r>
      <w:r w:rsidR="00190923" w:rsidRPr="00981405">
        <w:t xml:space="preserve"> </w:t>
      </w:r>
      <w:r w:rsidRPr="00981405">
        <w:t>and</w:t>
      </w:r>
      <w:r w:rsidR="00190923" w:rsidRPr="00981405">
        <w:t xml:space="preserve"> </w:t>
      </w:r>
      <w:r w:rsidRPr="00981405">
        <w:t>16).</w:t>
      </w:r>
    </w:p>
    <w:p w:rsidR="00397032" w:rsidRPr="00981405" w:rsidRDefault="00397032" w:rsidP="00D97463">
      <w:pPr>
        <w:pStyle w:val="SingleTxt"/>
      </w:pPr>
      <w:r w:rsidRPr="00981405">
        <w:t>64.</w:t>
      </w:r>
      <w:r w:rsidRPr="00981405">
        <w:tab/>
        <w:t>In</w:t>
      </w:r>
      <w:r w:rsidR="00190923" w:rsidRPr="00981405">
        <w:t xml:space="preserve"> </w:t>
      </w:r>
      <w:r w:rsidRPr="00981405">
        <w:t>his</w:t>
      </w:r>
      <w:r w:rsidR="00190923" w:rsidRPr="00981405">
        <w:t xml:space="preserve"> </w:t>
      </w:r>
      <w:r w:rsidRPr="00981405">
        <w:t>introduction,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expressed</w:t>
      </w:r>
      <w:r w:rsidR="00190923" w:rsidRPr="00981405">
        <w:t xml:space="preserve"> </w:t>
      </w:r>
      <w:r w:rsidRPr="00981405">
        <w:t>his</w:t>
      </w:r>
      <w:r w:rsidR="00190923" w:rsidRPr="00981405">
        <w:t xml:space="preserve"> </w:t>
      </w:r>
      <w:r w:rsidRPr="00981405">
        <w:t>appreciation</w:t>
      </w:r>
      <w:r w:rsidR="00190923" w:rsidRPr="00981405">
        <w:t xml:space="preserve"> </w:t>
      </w:r>
      <w:r w:rsidRPr="00981405">
        <w:t>for</w:t>
      </w:r>
      <w:r w:rsidR="00190923" w:rsidRPr="00981405">
        <w:t xml:space="preserve"> </w:t>
      </w:r>
      <w:r w:rsidRPr="00981405">
        <w:t>the</w:t>
      </w:r>
      <w:r w:rsidR="00190923" w:rsidRPr="00981405">
        <w:t xml:space="preserve"> </w:t>
      </w:r>
      <w:r w:rsidRPr="00981405">
        <w:t>input</w:t>
      </w:r>
      <w:r w:rsidR="00190923" w:rsidRPr="00981405">
        <w:t xml:space="preserve"> </w:t>
      </w:r>
      <w:r w:rsidRPr="00981405">
        <w:t>and</w:t>
      </w:r>
      <w:r w:rsidR="00190923" w:rsidRPr="00981405">
        <w:t xml:space="preserve"> </w:t>
      </w:r>
      <w:r w:rsidRPr="00981405">
        <w:t>support</w:t>
      </w:r>
      <w:r w:rsidR="00190923" w:rsidRPr="00981405">
        <w:t xml:space="preserve"> </w:t>
      </w:r>
      <w:r w:rsidRPr="00981405">
        <w:t>he</w:t>
      </w:r>
      <w:r w:rsidR="00190923" w:rsidRPr="00981405">
        <w:t xml:space="preserve"> </w:t>
      </w:r>
      <w:r w:rsidRPr="00981405">
        <w:t>had</w:t>
      </w:r>
      <w:r w:rsidR="00190923" w:rsidRPr="00981405">
        <w:t xml:space="preserve"> </w:t>
      </w:r>
      <w:r w:rsidRPr="00981405">
        <w:t>received</w:t>
      </w:r>
      <w:r w:rsidR="00190923" w:rsidRPr="00981405">
        <w:t xml:space="preserve"> </w:t>
      </w:r>
      <w:r w:rsidRPr="00981405">
        <w:t>in</w:t>
      </w:r>
      <w:r w:rsidR="00190923" w:rsidRPr="00981405">
        <w:t xml:space="preserve"> </w:t>
      </w:r>
      <w:r w:rsidRPr="00981405">
        <w:t>preparing</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for</w:t>
      </w:r>
      <w:r w:rsidR="00190923" w:rsidRPr="00981405">
        <w:t xml:space="preserve"> </w:t>
      </w:r>
      <w:r w:rsidRPr="00981405">
        <w:t>the</w:t>
      </w:r>
      <w:r w:rsidR="00190923" w:rsidRPr="00981405">
        <w:t xml:space="preserve"> </w:t>
      </w:r>
      <w:r w:rsidRPr="00981405">
        <w:t>written</w:t>
      </w:r>
      <w:r w:rsidR="00190923" w:rsidRPr="00981405">
        <w:t xml:space="preserve"> </w:t>
      </w:r>
      <w:r w:rsidRPr="00981405">
        <w:t>submissions</w:t>
      </w:r>
      <w:r w:rsidR="00190923" w:rsidRPr="00981405">
        <w:t xml:space="preserve"> </w:t>
      </w:r>
      <w:r w:rsidRPr="00981405">
        <w:t>received</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from</w:t>
      </w:r>
      <w:r w:rsidR="00190923" w:rsidRPr="00981405">
        <w:t xml:space="preserve"> </w:t>
      </w:r>
      <w:r w:rsidRPr="00981405">
        <w:t>several</w:t>
      </w:r>
      <w:r w:rsidR="00190923" w:rsidRPr="00981405">
        <w:t xml:space="preserve"> </w:t>
      </w:r>
      <w:r w:rsidRPr="00981405">
        <w:t>Governments.</w:t>
      </w:r>
      <w:r w:rsidR="00B92E2C" w:rsidRPr="00981405">
        <w:t xml:space="preserve"> </w:t>
      </w:r>
      <w:r w:rsidRPr="00981405">
        <w:t>He</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he</w:t>
      </w:r>
      <w:r w:rsidR="00190923" w:rsidRPr="00981405">
        <w:t xml:space="preserve"> </w:t>
      </w:r>
      <w:r w:rsidRPr="00981405">
        <w:t>had</w:t>
      </w:r>
      <w:r w:rsidR="00190923" w:rsidRPr="00981405">
        <w:t xml:space="preserve"> </w:t>
      </w:r>
      <w:r w:rsidRPr="00981405">
        <w:t>sought</w:t>
      </w:r>
      <w:r w:rsidR="00190923" w:rsidRPr="00981405">
        <w:t xml:space="preserve"> </w:t>
      </w:r>
      <w:r w:rsidRPr="00981405">
        <w:t>to</w:t>
      </w:r>
      <w:r w:rsidR="00190923" w:rsidRPr="00981405">
        <w:t xml:space="preserve"> </w:t>
      </w:r>
      <w:r w:rsidRPr="00981405">
        <w:t>complete</w:t>
      </w:r>
      <w:r w:rsidR="00190923" w:rsidRPr="00981405">
        <w:t xml:space="preserve"> </w:t>
      </w:r>
      <w:r w:rsidRPr="00981405">
        <w:t>the</w:t>
      </w:r>
      <w:r w:rsidR="00190923" w:rsidRPr="00981405">
        <w:t xml:space="preserve"> </w:t>
      </w:r>
      <w:r w:rsidRPr="00981405">
        <w:t>set</w:t>
      </w:r>
      <w:r w:rsidR="00190923" w:rsidRPr="00981405">
        <w:t xml:space="preserve"> </w:t>
      </w:r>
      <w:r w:rsidRPr="00981405">
        <w:t>of</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to</w:t>
      </w:r>
      <w:r w:rsidR="00190923" w:rsidRPr="00981405">
        <w:t xml:space="preserve"> </w:t>
      </w:r>
      <w:r w:rsidRPr="00981405">
        <w:t>be</w:t>
      </w:r>
      <w:r w:rsidR="00190923" w:rsidRPr="00981405">
        <w:t xml:space="preserve"> </w:t>
      </w:r>
      <w:r w:rsidRPr="00981405">
        <w:t>covered</w:t>
      </w:r>
      <w:r w:rsidR="00190923" w:rsidRPr="00981405">
        <w:t xml:space="preserve"> </w:t>
      </w:r>
      <w:r w:rsidRPr="00981405">
        <w:t>in</w:t>
      </w:r>
      <w:r w:rsidR="00190923" w:rsidRPr="00981405">
        <w:t xml:space="preserve"> </w:t>
      </w:r>
      <w:r w:rsidRPr="00981405">
        <w:t>the</w:t>
      </w:r>
      <w:r w:rsidR="00190923" w:rsidRPr="00981405">
        <w:t xml:space="preserve"> </w:t>
      </w:r>
      <w:r w:rsidRPr="00981405">
        <w:t>final</w:t>
      </w:r>
      <w:r w:rsidR="00190923" w:rsidRPr="00981405">
        <w:t xml:space="preserve"> </w:t>
      </w:r>
      <w:r w:rsidRPr="00981405">
        <w:lastRenderedPageBreak/>
        <w:t>product</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and</w:t>
      </w:r>
      <w:r w:rsidR="00190923" w:rsidRPr="00981405">
        <w:t xml:space="preserve"> </w:t>
      </w:r>
      <w:r w:rsidRPr="00981405">
        <w:t>invited</w:t>
      </w:r>
      <w:r w:rsidR="00190923" w:rsidRPr="00981405">
        <w:t xml:space="preserve"> </w:t>
      </w:r>
      <w:r w:rsidRPr="00981405">
        <w:t>members</w:t>
      </w:r>
      <w:r w:rsidR="00190923" w:rsidRPr="00981405">
        <w:t xml:space="preserve"> </w:t>
      </w:r>
      <w:r w:rsidRPr="00981405">
        <w:t>to</w:t>
      </w:r>
      <w:r w:rsidR="00190923" w:rsidRPr="00981405">
        <w:t xml:space="preserve"> </w:t>
      </w:r>
      <w:r w:rsidRPr="00981405">
        <w:t>suggest</w:t>
      </w:r>
      <w:r w:rsidR="00190923" w:rsidRPr="00981405">
        <w:t xml:space="preserve"> </w:t>
      </w:r>
      <w:r w:rsidRPr="00981405">
        <w:t>any</w:t>
      </w:r>
      <w:r w:rsidR="00190923" w:rsidRPr="00981405">
        <w:t xml:space="preserve"> </w:t>
      </w:r>
      <w:r w:rsidRPr="00981405">
        <w:t>issues</w:t>
      </w:r>
      <w:r w:rsidR="00190923" w:rsidRPr="00981405">
        <w:t xml:space="preserve"> </w:t>
      </w:r>
      <w:r w:rsidRPr="00981405">
        <w:t>that</w:t>
      </w:r>
      <w:r w:rsidR="00190923" w:rsidRPr="00981405">
        <w:t xml:space="preserve"> </w:t>
      </w:r>
      <w:r w:rsidRPr="00981405">
        <w:t>had</w:t>
      </w:r>
      <w:r w:rsidR="00190923" w:rsidRPr="00981405">
        <w:t xml:space="preserve"> </w:t>
      </w:r>
      <w:r w:rsidRPr="00981405">
        <w:t>been</w:t>
      </w:r>
      <w:r w:rsidR="00190923" w:rsidRPr="00981405">
        <w:t xml:space="preserve"> </w:t>
      </w:r>
      <w:r w:rsidRPr="00981405">
        <w:t>overlooked.</w:t>
      </w:r>
      <w:r w:rsidR="00190923" w:rsidRPr="00981405">
        <w:t xml:space="preserve"> </w:t>
      </w:r>
      <w:r w:rsidRPr="00981405">
        <w:t>He</w:t>
      </w:r>
      <w:r w:rsidR="00190923" w:rsidRPr="00981405">
        <w:t xml:space="preserve"> </w:t>
      </w:r>
      <w:r w:rsidRPr="00981405">
        <w:t>highlighted</w:t>
      </w:r>
      <w:r w:rsidR="00190923" w:rsidRPr="00981405">
        <w:t xml:space="preserve"> </w:t>
      </w:r>
      <w:r w:rsidRPr="00981405">
        <w:t>the</w:t>
      </w:r>
      <w:r w:rsidR="00190923" w:rsidRPr="00981405">
        <w:t xml:space="preserve"> </w:t>
      </w:r>
      <w:r w:rsidRPr="00981405">
        <w:t>interconnections</w:t>
      </w:r>
      <w:r w:rsidR="00190923" w:rsidRPr="00981405">
        <w:t xml:space="preserve"> </w:t>
      </w:r>
      <w:r w:rsidRPr="00981405">
        <w:t>between</w:t>
      </w:r>
      <w:r w:rsidR="00190923" w:rsidRPr="00981405">
        <w:t xml:space="preserve"> </w:t>
      </w:r>
      <w:r w:rsidRPr="00981405">
        <w:t>the</w:t>
      </w:r>
      <w:r w:rsidR="00190923" w:rsidRPr="00981405">
        <w:t xml:space="preserve"> </w:t>
      </w:r>
      <w:r w:rsidRPr="00981405">
        <w:t>topic</w:t>
      </w:r>
      <w:r w:rsidR="00190923" w:rsidRPr="00981405">
        <w:t xml:space="preserve"> </w:t>
      </w:r>
      <w:r w:rsidRPr="00981405">
        <w:t>and</w:t>
      </w:r>
      <w:r w:rsidR="00190923" w:rsidRPr="00981405">
        <w:t xml:space="preserve"> </w:t>
      </w:r>
      <w:r w:rsidRPr="00981405">
        <w:t>other</w:t>
      </w:r>
      <w:r w:rsidR="00190923" w:rsidRPr="00981405">
        <w:t xml:space="preserve"> </w:t>
      </w:r>
      <w:r w:rsidRPr="00981405">
        <w:t>topics</w:t>
      </w:r>
      <w:r w:rsidR="00190923" w:rsidRPr="00981405">
        <w:t xml:space="preserve"> </w:t>
      </w:r>
      <w:r w:rsidRPr="00981405">
        <w:t>that</w:t>
      </w:r>
      <w:r w:rsidR="00190923" w:rsidRPr="00981405">
        <w:t xml:space="preserve"> </w:t>
      </w:r>
      <w:r w:rsidRPr="00981405">
        <w:t>had</w:t>
      </w:r>
      <w:r w:rsidR="00190923" w:rsidRPr="00981405">
        <w:t xml:space="preserve"> </w:t>
      </w:r>
      <w:r w:rsidRPr="00981405">
        <w:t>been,</w:t>
      </w:r>
      <w:r w:rsidR="00190923" w:rsidRPr="00981405">
        <w:t xml:space="preserve"> </w:t>
      </w:r>
      <w:r w:rsidRPr="00981405">
        <w:t>and</w:t>
      </w:r>
      <w:r w:rsidR="00190923" w:rsidRPr="00981405">
        <w:t xml:space="preserve"> </w:t>
      </w:r>
      <w:r w:rsidRPr="00981405">
        <w:t>were,</w:t>
      </w:r>
      <w:r w:rsidR="00190923" w:rsidRPr="00981405">
        <w:t xml:space="preserve"> </w:t>
      </w:r>
      <w:r w:rsidRPr="00981405">
        <w:t>on</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B92E2C" w:rsidRPr="00981405">
        <w:t>’</w:t>
      </w:r>
      <w:r w:rsidRPr="00981405">
        <w:t>s</w:t>
      </w:r>
      <w:r w:rsidR="00190923" w:rsidRPr="00981405">
        <w:t xml:space="preserve"> </w:t>
      </w:r>
      <w:r w:rsidRPr="00981405">
        <w:t>agenda,</w:t>
      </w:r>
      <w:r w:rsidR="00190923" w:rsidRPr="00981405">
        <w:t xml:space="preserve"> </w:t>
      </w:r>
      <w:r w:rsidRPr="00981405">
        <w:t>and</w:t>
      </w:r>
      <w:r w:rsidR="00190923" w:rsidRPr="00981405">
        <w:t xml:space="preserve"> </w:t>
      </w:r>
      <w:r w:rsidRPr="00981405">
        <w:t>affirmed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work</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seen</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p>
    <w:p w:rsidR="00397032" w:rsidRPr="00981405" w:rsidRDefault="00397032" w:rsidP="00D97463">
      <w:pPr>
        <w:pStyle w:val="SingleTxt"/>
      </w:pPr>
      <w:r w:rsidRPr="00981405">
        <w:t>65.</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recalled</w:t>
      </w:r>
      <w:r w:rsidR="00190923" w:rsidRPr="00981405">
        <w:t xml:space="preserve"> </w:t>
      </w:r>
      <w:r w:rsidRPr="00981405">
        <w:t>that,</w:t>
      </w:r>
      <w:r w:rsidR="00190923" w:rsidRPr="00981405">
        <w:t xml:space="preserve"> </w:t>
      </w:r>
      <w:r w:rsidRPr="00981405">
        <w:t>further</w:t>
      </w:r>
      <w:r w:rsidR="00190923" w:rsidRPr="00981405">
        <w:t xml:space="preserve"> </w:t>
      </w:r>
      <w:r w:rsidRPr="00981405">
        <w:t>to</w:t>
      </w:r>
      <w:r w:rsidR="00190923" w:rsidRPr="00981405">
        <w:t xml:space="preserve"> </w:t>
      </w:r>
      <w:r w:rsidRPr="00981405">
        <w:t>the</w:t>
      </w:r>
      <w:r w:rsidR="00190923" w:rsidRPr="00981405">
        <w:t xml:space="preserve"> </w:t>
      </w:r>
      <w:r w:rsidRPr="00981405">
        <w:t>request</w:t>
      </w:r>
      <w:r w:rsidR="00190923" w:rsidRPr="00981405">
        <w:t xml:space="preserve"> </w:t>
      </w:r>
      <w:r w:rsidRPr="00981405">
        <w:t>made</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he</w:t>
      </w:r>
      <w:r w:rsidR="00190923" w:rsidRPr="00981405">
        <w:t xml:space="preserve"> </w:t>
      </w:r>
      <w:r w:rsidRPr="00981405">
        <w:t>had</w:t>
      </w:r>
      <w:r w:rsidR="00190923" w:rsidRPr="00981405">
        <w:t xml:space="preserve"> </w:t>
      </w:r>
      <w:r w:rsidRPr="00981405">
        <w:t>returned</w:t>
      </w:r>
      <w:r w:rsidR="00190923" w:rsidRPr="00981405">
        <w:t xml:space="preserve"> </w:t>
      </w:r>
      <w:r w:rsidRPr="00981405">
        <w:t>to</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and</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He</w:t>
      </w:r>
      <w:r w:rsidR="00190923" w:rsidRPr="00981405">
        <w:t xml:space="preserve"> </w:t>
      </w:r>
      <w:r w:rsidRPr="00981405">
        <w:t>concluded</w:t>
      </w:r>
      <w:r w:rsidR="00190923" w:rsidRPr="00981405">
        <w:t xml:space="preserve"> </w:t>
      </w:r>
      <w:r w:rsidRPr="00981405">
        <w:t>therein</w:t>
      </w:r>
      <w:r w:rsidR="00190923" w:rsidRPr="00981405">
        <w:t xml:space="preserve"> </w:t>
      </w:r>
      <w:r w:rsidRPr="00981405">
        <w:t>that,</w:t>
      </w:r>
      <w:r w:rsidR="00190923" w:rsidRPr="00981405">
        <w:t xml:space="preserve"> </w:t>
      </w:r>
      <w:r w:rsidRPr="00981405">
        <w:t>in</w:t>
      </w:r>
      <w:r w:rsidR="00190923" w:rsidRPr="00981405">
        <w:t xml:space="preserve"> </w:t>
      </w:r>
      <w:r w:rsidRPr="00981405">
        <w:t>seeking</w:t>
      </w:r>
      <w:r w:rsidR="00190923" w:rsidRPr="00981405">
        <w:t xml:space="preserve"> </w:t>
      </w:r>
      <w:r w:rsidRPr="00981405">
        <w:t>to</w:t>
      </w:r>
      <w:r w:rsidR="00190923" w:rsidRPr="00981405">
        <w:t xml:space="preserve"> </w:t>
      </w:r>
      <w:r w:rsidRPr="00981405">
        <w:t>ascertain</w:t>
      </w:r>
      <w:r w:rsidR="00190923" w:rsidRPr="00981405">
        <w:t xml:space="preserve"> </w:t>
      </w:r>
      <w:r w:rsidRPr="00981405">
        <w:t>whether</w:t>
      </w:r>
      <w:r w:rsidR="00190923" w:rsidRPr="00981405">
        <w:t xml:space="preserve"> </w:t>
      </w:r>
      <w:r w:rsidRPr="00981405">
        <w:t>a</w:t>
      </w:r>
      <w:r w:rsidR="00190923" w:rsidRPr="00981405">
        <w:t xml:space="preserve"> </w:t>
      </w:r>
      <w:r w:rsidRPr="00981405">
        <w:t>rule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had</w:t>
      </w:r>
      <w:r w:rsidR="00190923" w:rsidRPr="00981405">
        <w:t xml:space="preserve"> </w:t>
      </w:r>
      <w:r w:rsidRPr="00981405">
        <w:t>emerged,</w:t>
      </w:r>
      <w:r w:rsidR="00190923" w:rsidRPr="00981405">
        <w:t xml:space="preserve"> </w:t>
      </w:r>
      <w:r w:rsidRPr="00981405">
        <w:t>it</w:t>
      </w:r>
      <w:r w:rsidR="00190923" w:rsidRPr="00981405">
        <w:t xml:space="preserve"> </w:t>
      </w:r>
      <w:r w:rsidRPr="00981405">
        <w:t>was</w:t>
      </w:r>
      <w:r w:rsidR="00190923" w:rsidRPr="00981405">
        <w:t xml:space="preserve"> </w:t>
      </w:r>
      <w:r w:rsidRPr="00981405">
        <w:t>necessary</w:t>
      </w:r>
      <w:r w:rsidR="00190923" w:rsidRPr="00981405">
        <w:t xml:space="preserve"> </w:t>
      </w:r>
      <w:r w:rsidRPr="00981405">
        <w:t>in</w:t>
      </w:r>
      <w:r w:rsidR="00190923" w:rsidRPr="00981405">
        <w:t xml:space="preserve"> </w:t>
      </w:r>
      <w:r w:rsidRPr="00981405">
        <w:t>every</w:t>
      </w:r>
      <w:r w:rsidR="00190923" w:rsidRPr="00981405">
        <w:t xml:space="preserve"> </w:t>
      </w:r>
      <w:r w:rsidRPr="00981405">
        <w:t>case</w:t>
      </w:r>
      <w:r w:rsidR="00190923" w:rsidRPr="00981405">
        <w:t xml:space="preserve"> </w:t>
      </w:r>
      <w:r w:rsidRPr="00981405">
        <w:t>to</w:t>
      </w:r>
      <w:r w:rsidR="00190923" w:rsidRPr="00981405">
        <w:t xml:space="preserve"> </w:t>
      </w:r>
      <w:r w:rsidRPr="00981405">
        <w:t>consider</w:t>
      </w:r>
      <w:r w:rsidR="00190923" w:rsidRPr="00981405">
        <w:t xml:space="preserve"> </w:t>
      </w:r>
      <w:r w:rsidRPr="00981405">
        <w:t>and</w:t>
      </w:r>
      <w:r w:rsidR="00190923" w:rsidRPr="00981405">
        <w:t xml:space="preserve"> </w:t>
      </w:r>
      <w:r w:rsidRPr="00981405">
        <w:t>verify</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each</w:t>
      </w:r>
      <w:r w:rsidR="00190923" w:rsidRPr="00981405">
        <w:t xml:space="preserve"> </w:t>
      </w:r>
      <w:r w:rsidRPr="00981405">
        <w:t>element</w:t>
      </w:r>
      <w:r w:rsidR="00190923" w:rsidRPr="00981405">
        <w:t xml:space="preserve"> </w:t>
      </w:r>
      <w:r w:rsidRPr="00981405">
        <w:t>separately</w:t>
      </w:r>
      <w:r w:rsidR="00190923" w:rsidRPr="00981405">
        <w:t xml:space="preserve"> </w:t>
      </w:r>
      <w:r w:rsidRPr="00981405">
        <w:t>and</w:t>
      </w:r>
      <w:r w:rsidR="00190923" w:rsidRPr="00981405">
        <w:t xml:space="preserve"> </w:t>
      </w:r>
      <w:r w:rsidRPr="00981405">
        <w:t>that</w:t>
      </w:r>
      <w:r w:rsidR="00190923" w:rsidRPr="00981405">
        <w:t xml:space="preserve"> </w:t>
      </w:r>
      <w:r w:rsidRPr="00981405">
        <w:t>that</w:t>
      </w:r>
      <w:r w:rsidR="00190923" w:rsidRPr="00981405">
        <w:t xml:space="preserve"> </w:t>
      </w:r>
      <w:r w:rsidRPr="00981405">
        <w:t>generally</w:t>
      </w:r>
      <w:r w:rsidR="00190923" w:rsidRPr="00981405">
        <w:t xml:space="preserve"> </w:t>
      </w:r>
      <w:r w:rsidRPr="00981405">
        <w:t>required</w:t>
      </w:r>
      <w:r w:rsidR="00190923" w:rsidRPr="00981405">
        <w:t xml:space="preserve"> </w:t>
      </w:r>
      <w:r w:rsidRPr="00981405">
        <w:t>an</w:t>
      </w:r>
      <w:r w:rsidR="00190923" w:rsidRPr="00981405">
        <w:t xml:space="preserve"> </w:t>
      </w:r>
      <w:r w:rsidRPr="00981405">
        <w:t>assessment</w:t>
      </w:r>
      <w:r w:rsidR="00190923" w:rsidRPr="00981405">
        <w:t xml:space="preserve"> </w:t>
      </w:r>
      <w:r w:rsidRPr="00981405">
        <w:t>of</w:t>
      </w:r>
      <w:r w:rsidR="00190923" w:rsidRPr="00981405">
        <w:t xml:space="preserve"> </w:t>
      </w:r>
      <w:r w:rsidRPr="00981405">
        <w:t>different</w:t>
      </w:r>
      <w:r w:rsidR="00190923" w:rsidRPr="00981405">
        <w:t xml:space="preserve"> </w:t>
      </w:r>
      <w:r w:rsidRPr="00981405">
        <w:t>evidence</w:t>
      </w:r>
      <w:r w:rsidR="00190923" w:rsidRPr="00981405">
        <w:t xml:space="preserve"> </w:t>
      </w:r>
      <w:r w:rsidRPr="00981405">
        <w:t>for</w:t>
      </w:r>
      <w:r w:rsidR="00190923" w:rsidRPr="00981405">
        <w:t xml:space="preserve"> </w:t>
      </w:r>
      <w:r w:rsidRPr="00981405">
        <w:t>each</w:t>
      </w:r>
      <w:r w:rsidR="00190923" w:rsidRPr="00981405">
        <w:t xml:space="preserve"> </w:t>
      </w:r>
      <w:r w:rsidRPr="00981405">
        <w:t>element.</w:t>
      </w:r>
      <w:r w:rsidR="00190923" w:rsidRPr="00981405">
        <w:t xml:space="preserve"> </w:t>
      </w:r>
      <w:r w:rsidRPr="00981405">
        <w:t>Another</w:t>
      </w:r>
      <w:r w:rsidR="00190923" w:rsidRPr="00981405">
        <w:t xml:space="preserve"> </w:t>
      </w:r>
      <w:r w:rsidRPr="00981405">
        <w:t>point</w:t>
      </w:r>
      <w:r w:rsidR="00190923" w:rsidRPr="00981405">
        <w:t xml:space="preserve"> </w:t>
      </w:r>
      <w:r w:rsidRPr="00981405">
        <w:t>was</w:t>
      </w:r>
      <w:r w:rsidR="00190923" w:rsidRPr="00981405">
        <w:t xml:space="preserve"> </w:t>
      </w:r>
      <w:r w:rsidRPr="00981405">
        <w:t>that</w:t>
      </w:r>
      <w:r w:rsidR="00190923" w:rsidRPr="00981405">
        <w:t xml:space="preserve"> </w:t>
      </w:r>
      <w:r w:rsidRPr="00981405">
        <w:t>in</w:t>
      </w:r>
      <w:r w:rsidR="00190923" w:rsidRPr="00981405">
        <w:t xml:space="preserve"> </w:t>
      </w:r>
      <w:r w:rsidRPr="00981405">
        <w:t>identifying</w:t>
      </w:r>
      <w:r w:rsidR="00190923" w:rsidRPr="00981405">
        <w:t xml:space="preserve"> </w:t>
      </w:r>
      <w:r w:rsidRPr="00981405">
        <w:t>whether</w:t>
      </w:r>
      <w:r w:rsidR="00190923" w:rsidRPr="00981405">
        <w:t xml:space="preserve"> </w:t>
      </w:r>
      <w:r w:rsidRPr="00981405">
        <w:t>a</w:t>
      </w:r>
      <w:r w:rsidR="00190923" w:rsidRPr="00981405">
        <w:t xml:space="preserve"> </w:t>
      </w:r>
      <w:r w:rsidRPr="00981405">
        <w:t>rule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exists,</w:t>
      </w:r>
      <w:r w:rsidR="00190923" w:rsidRPr="00981405">
        <w:t xml:space="preserve"> </w:t>
      </w:r>
      <w:r w:rsidRPr="00981405">
        <w:t>what</w:t>
      </w:r>
      <w:r w:rsidR="00190923" w:rsidRPr="00981405">
        <w:t xml:space="preserve"> </w:t>
      </w:r>
      <w:r w:rsidRPr="00981405">
        <w:t>mattered</w:t>
      </w:r>
      <w:r w:rsidR="00190923" w:rsidRPr="00981405">
        <w:t xml:space="preserve"> </w:t>
      </w:r>
      <w:r w:rsidRPr="00981405">
        <w:t>was</w:t>
      </w:r>
      <w:r w:rsidR="00190923" w:rsidRPr="00981405">
        <w:t xml:space="preserve"> </w:t>
      </w:r>
      <w:r w:rsidRPr="00981405">
        <w:t>that</w:t>
      </w:r>
      <w:r w:rsidR="00190923" w:rsidRPr="00981405">
        <w:t xml:space="preserve"> </w:t>
      </w:r>
      <w:r w:rsidRPr="00981405">
        <w:t>both</w:t>
      </w:r>
      <w:r w:rsidR="00190923" w:rsidRPr="00981405">
        <w:t xml:space="preserve"> </w:t>
      </w:r>
      <w:r w:rsidRPr="00981405">
        <w:t>elements</w:t>
      </w:r>
      <w:r w:rsidR="00190923" w:rsidRPr="00981405">
        <w:t xml:space="preserve"> </w:t>
      </w:r>
      <w:r w:rsidRPr="00981405">
        <w:t>were</w:t>
      </w:r>
      <w:r w:rsidR="00190923" w:rsidRPr="00981405">
        <w:t xml:space="preserve"> </w:t>
      </w:r>
      <w:r w:rsidRPr="00981405">
        <w:t>present</w:t>
      </w:r>
      <w:r w:rsidR="00190923" w:rsidRPr="00981405">
        <w:t xml:space="preserve"> </w:t>
      </w:r>
      <w:r w:rsidRPr="00981405">
        <w:t>rather</w:t>
      </w:r>
      <w:r w:rsidR="00190923" w:rsidRPr="00981405">
        <w:t xml:space="preserve"> </w:t>
      </w:r>
      <w:r w:rsidRPr="00981405">
        <w:t>than</w:t>
      </w:r>
      <w:r w:rsidR="00190923" w:rsidRPr="00981405">
        <w:t xml:space="preserve"> </w:t>
      </w:r>
      <w:r w:rsidRPr="00981405">
        <w:t>their</w:t>
      </w:r>
      <w:r w:rsidR="00190923" w:rsidRPr="00981405">
        <w:t xml:space="preserve"> </w:t>
      </w:r>
      <w:r w:rsidRPr="00981405">
        <w:t>temporal</w:t>
      </w:r>
      <w:r w:rsidR="00190923" w:rsidRPr="00981405">
        <w:t xml:space="preserve"> </w:t>
      </w:r>
      <w:r w:rsidRPr="00981405">
        <w:t>order.</w:t>
      </w:r>
      <w:r w:rsidR="00190923" w:rsidRPr="00981405">
        <w:t xml:space="preserve"> </w:t>
      </w:r>
      <w:r w:rsidRPr="00981405">
        <w:t>Finally,</w:t>
      </w:r>
      <w:r w:rsidR="00190923" w:rsidRPr="00981405">
        <w:t xml:space="preserve"> </w:t>
      </w:r>
      <w:r w:rsidRPr="00981405">
        <w:t>the</w:t>
      </w:r>
      <w:r w:rsidR="00190923" w:rsidRPr="00981405">
        <w:t xml:space="preserve"> </w:t>
      </w:r>
      <w:r w:rsidRPr="00981405">
        <w:t>report</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there</w:t>
      </w:r>
      <w:r w:rsidR="00190923" w:rsidRPr="00981405">
        <w:t xml:space="preserve"> </w:t>
      </w:r>
      <w:r w:rsidRPr="00981405">
        <w:t>could</w:t>
      </w:r>
      <w:r w:rsidR="00190923" w:rsidRPr="00981405">
        <w:t xml:space="preserve"> </w:t>
      </w:r>
      <w:r w:rsidRPr="00981405">
        <w:t>be</w:t>
      </w:r>
      <w:r w:rsidR="00190923" w:rsidRPr="00981405">
        <w:t xml:space="preserve"> </w:t>
      </w:r>
      <w:r w:rsidRPr="00981405">
        <w:t>a</w:t>
      </w:r>
      <w:r w:rsidR="00190923" w:rsidRPr="00981405">
        <w:t xml:space="preserve"> </w:t>
      </w:r>
      <w:r w:rsidRPr="00981405">
        <w:t>difference</w:t>
      </w:r>
      <w:r w:rsidR="00190923" w:rsidRPr="00981405">
        <w:t xml:space="preserve"> </w:t>
      </w:r>
      <w:r w:rsidRPr="00981405">
        <w:t>in</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two-element</w:t>
      </w:r>
      <w:r w:rsidR="00190923" w:rsidRPr="00981405">
        <w:t xml:space="preserve"> </w:t>
      </w:r>
      <w:r w:rsidRPr="00981405">
        <w:t>approach</w:t>
      </w:r>
      <w:r w:rsidR="00190923" w:rsidRPr="00981405">
        <w:t xml:space="preserve"> </w:t>
      </w:r>
      <w:r w:rsidRPr="00981405">
        <w:t>in</w:t>
      </w:r>
      <w:r w:rsidR="00190923" w:rsidRPr="00981405">
        <w:t xml:space="preserve"> </w:t>
      </w:r>
      <w:r w:rsidRPr="00981405">
        <w:t>different</w:t>
      </w:r>
      <w:r w:rsidR="00190923" w:rsidRPr="00981405">
        <w:t xml:space="preserve"> </w:t>
      </w:r>
      <w:r w:rsidRPr="00981405">
        <w:t>fields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that,</w:t>
      </w:r>
      <w:r w:rsidR="00190923" w:rsidRPr="00981405">
        <w:t xml:space="preserve"> </w:t>
      </w:r>
      <w:r w:rsidRPr="00981405">
        <w:t>in</w:t>
      </w:r>
      <w:r w:rsidR="00190923" w:rsidRPr="00981405">
        <w:t xml:space="preserve"> </w:t>
      </w:r>
      <w:r w:rsidRPr="00981405">
        <w:t>some</w:t>
      </w:r>
      <w:r w:rsidR="00190923" w:rsidRPr="00981405">
        <w:t xml:space="preserve"> </w:t>
      </w:r>
      <w:r w:rsidRPr="00981405">
        <w:t>cases,</w:t>
      </w:r>
      <w:r w:rsidR="00190923" w:rsidRPr="00981405">
        <w:t xml:space="preserve"> </w:t>
      </w:r>
      <w:r w:rsidRPr="00981405">
        <w:t>a</w:t>
      </w:r>
      <w:r w:rsidR="00190923" w:rsidRPr="00981405">
        <w:t xml:space="preserve"> </w:t>
      </w:r>
      <w:r w:rsidRPr="00981405">
        <w:t>particular</w:t>
      </w:r>
      <w:r w:rsidR="00190923" w:rsidRPr="00981405">
        <w:t xml:space="preserve"> </w:t>
      </w:r>
      <w:r w:rsidRPr="00981405">
        <w:t>form</w:t>
      </w:r>
      <w:r w:rsidR="00190923" w:rsidRPr="00981405">
        <w:t xml:space="preserve"> </w:t>
      </w:r>
      <w:r w:rsidRPr="00981405">
        <w:t>(or</w:t>
      </w:r>
      <w:r w:rsidR="00190923" w:rsidRPr="00981405">
        <w:t xml:space="preserve"> </w:t>
      </w:r>
      <w:r w:rsidRPr="00981405">
        <w:t>particular</w:t>
      </w:r>
      <w:r w:rsidR="00190923" w:rsidRPr="00981405">
        <w:t xml:space="preserve"> </w:t>
      </w:r>
      <w:r w:rsidRPr="00981405">
        <w:t>instances)</w:t>
      </w:r>
      <w:r w:rsidR="00190923" w:rsidRPr="00981405">
        <w:t xml:space="preserve"> </w:t>
      </w:r>
      <w:r w:rsidRPr="00981405">
        <w:t>of</w:t>
      </w:r>
      <w:r w:rsidR="00190923" w:rsidRPr="00981405">
        <w:t xml:space="preserve"> </w:t>
      </w:r>
      <w:r w:rsidRPr="00981405">
        <w:t>practice,</w:t>
      </w:r>
      <w:r w:rsidR="00190923" w:rsidRPr="00981405">
        <w:t xml:space="preserve"> </w:t>
      </w:r>
      <w:r w:rsidRPr="00981405">
        <w:t>or</w:t>
      </w:r>
      <w:r w:rsidR="00190923" w:rsidRPr="00981405">
        <w:t xml:space="preserve"> </w:t>
      </w:r>
      <w:r w:rsidRPr="00981405">
        <w:t>particular</w:t>
      </w:r>
      <w:r w:rsidR="00190923" w:rsidRPr="00981405">
        <w:t xml:space="preserve"> </w:t>
      </w:r>
      <w:r w:rsidRPr="00981405">
        <w:t>evidence</w:t>
      </w:r>
      <w:r w:rsidR="00190923" w:rsidRPr="00981405">
        <w:t xml:space="preserve"> </w:t>
      </w:r>
      <w:r w:rsidRPr="00981405">
        <w:t>of</w:t>
      </w:r>
      <w:r w:rsidR="00190923" w:rsidRPr="00981405">
        <w:t xml:space="preserve"> </w:t>
      </w:r>
      <w:r w:rsidRPr="00981405">
        <w:t>acceptance</w:t>
      </w:r>
      <w:r w:rsidR="00190923" w:rsidRPr="00981405">
        <w:t xml:space="preserve"> </w:t>
      </w:r>
      <w:r w:rsidRPr="00981405">
        <w:t>as</w:t>
      </w:r>
      <w:r w:rsidR="00190923" w:rsidRPr="00981405">
        <w:t xml:space="preserve"> </w:t>
      </w:r>
      <w:r w:rsidRPr="00981405">
        <w:t>law,</w:t>
      </w:r>
      <w:r w:rsidR="00190923" w:rsidRPr="00981405">
        <w:t xml:space="preserve"> </w:t>
      </w:r>
      <w:r w:rsidRPr="00981405">
        <w:t>could</w:t>
      </w:r>
      <w:r w:rsidR="00190923" w:rsidRPr="00981405">
        <w:t xml:space="preserve"> </w:t>
      </w:r>
      <w:r w:rsidRPr="00981405">
        <w:t>be</w:t>
      </w:r>
      <w:r w:rsidR="00190923" w:rsidRPr="00981405">
        <w:t xml:space="preserve"> </w:t>
      </w:r>
      <w:r w:rsidRPr="00981405">
        <w:t>more</w:t>
      </w:r>
      <w:r w:rsidR="00190923" w:rsidRPr="00981405">
        <w:t xml:space="preserve"> </w:t>
      </w:r>
      <w:r w:rsidRPr="00981405">
        <w:t>relevant</w:t>
      </w:r>
      <w:r w:rsidR="00190923" w:rsidRPr="00981405">
        <w:t xml:space="preserve"> </w:t>
      </w:r>
      <w:r w:rsidRPr="00981405">
        <w:t>than</w:t>
      </w:r>
      <w:r w:rsidR="00190923" w:rsidRPr="00981405">
        <w:t xml:space="preserve"> </w:t>
      </w:r>
      <w:r w:rsidRPr="00981405">
        <w:t>in</w:t>
      </w:r>
      <w:r w:rsidR="00190923" w:rsidRPr="00981405">
        <w:t xml:space="preserve"> </w:t>
      </w:r>
      <w:r w:rsidRPr="00981405">
        <w:t>others.</w:t>
      </w:r>
    </w:p>
    <w:p w:rsidR="00397032" w:rsidRPr="00981405" w:rsidRDefault="00397032" w:rsidP="00D97463">
      <w:pPr>
        <w:pStyle w:val="SingleTxt"/>
      </w:pPr>
      <w:r w:rsidRPr="00981405">
        <w:t>66.</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revisited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inaction,</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its</w:t>
      </w:r>
      <w:r w:rsidR="00190923" w:rsidRPr="00981405">
        <w:t xml:space="preserve"> </w:t>
      </w:r>
      <w:r w:rsidRPr="00981405">
        <w:t>possible</w:t>
      </w:r>
      <w:r w:rsidR="00190923" w:rsidRPr="00981405">
        <w:t xml:space="preserve"> </w:t>
      </w:r>
      <w:r w:rsidRPr="00981405">
        <w:t>contribution</w:t>
      </w:r>
      <w:r w:rsidR="00190923" w:rsidRPr="00981405">
        <w:t xml:space="preserve"> </w:t>
      </w:r>
      <w:r w:rsidRPr="00981405">
        <w:t>to</w:t>
      </w:r>
      <w:r w:rsidR="00190923" w:rsidRPr="00981405">
        <w:t xml:space="preserve"> </w:t>
      </w:r>
      <w:r w:rsidRPr="00981405">
        <w:t>a</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and</w:t>
      </w:r>
      <w:r w:rsidR="00190923" w:rsidRPr="00981405">
        <w:t xml:space="preserve"> </w:t>
      </w:r>
      <w:r w:rsidRPr="00981405">
        <w:t>possible</w:t>
      </w:r>
      <w:r w:rsidR="00190923" w:rsidRPr="00981405">
        <w:t xml:space="preserve"> </w:t>
      </w:r>
      <w:r w:rsidRPr="00981405">
        <w:t>role</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Pr="00981405">
        <w:t>acceptance</w:t>
      </w:r>
      <w:r w:rsidR="00190923" w:rsidRPr="00981405">
        <w:t xml:space="preserve"> </w:t>
      </w:r>
      <w:r w:rsidRPr="00981405">
        <w:t>as</w:t>
      </w:r>
      <w:r w:rsidR="00190923" w:rsidRPr="00981405">
        <w:t xml:space="preserve"> </w:t>
      </w:r>
      <w:r w:rsidRPr="00981405">
        <w:t>law.</w:t>
      </w:r>
      <w:r w:rsidR="00190923" w:rsidRPr="00981405">
        <w:t xml:space="preserve"> </w:t>
      </w:r>
      <w:r w:rsidRPr="00981405">
        <w:t>He</w:t>
      </w:r>
      <w:r w:rsidR="00190923" w:rsidRPr="00981405">
        <w:t xml:space="preserve"> </w:t>
      </w:r>
      <w:r w:rsidRPr="00981405">
        <w:t>stressed</w:t>
      </w:r>
      <w:r w:rsidR="00190923" w:rsidRPr="00981405">
        <w:t xml:space="preserve"> </w:t>
      </w:r>
      <w:r w:rsidRPr="00981405">
        <w:t>that,</w:t>
      </w:r>
      <w:r w:rsidR="00190923" w:rsidRPr="00981405">
        <w:t xml:space="preserve"> </w:t>
      </w:r>
      <w:r w:rsidRPr="00981405">
        <w:t>despite</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inaction</w:t>
      </w:r>
      <w:r w:rsidR="00190923" w:rsidRPr="00981405">
        <w:t xml:space="preserve"> </w:t>
      </w:r>
      <w:r w:rsidRPr="00981405">
        <w:t>for</w:t>
      </w:r>
      <w:r w:rsidR="00190923" w:rsidRPr="00981405">
        <w:t xml:space="preserve"> </w:t>
      </w:r>
      <w:r w:rsidRPr="00981405">
        <w:t>establishing</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in</w:t>
      </w:r>
      <w:r w:rsidR="00190923" w:rsidRPr="00981405">
        <w:t xml:space="preserve"> </w:t>
      </w:r>
      <w:r w:rsidRPr="00981405">
        <w:t>some</w:t>
      </w:r>
      <w:r w:rsidR="00190923" w:rsidRPr="00981405">
        <w:t xml:space="preserve"> </w:t>
      </w:r>
      <w:r w:rsidRPr="00981405">
        <w:t>cases,</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in</w:t>
      </w:r>
      <w:r w:rsidR="00190923" w:rsidRPr="00981405">
        <w:t xml:space="preserve"> </w:t>
      </w:r>
      <w:r w:rsidRPr="00981405">
        <w:t>which</w:t>
      </w:r>
      <w:r w:rsidR="00190923" w:rsidRPr="00981405">
        <w:t xml:space="preserve"> </w:t>
      </w:r>
      <w:r w:rsidRPr="00981405">
        <w:t>inaction</w:t>
      </w:r>
      <w:r w:rsidR="00190923" w:rsidRPr="00981405">
        <w:t xml:space="preserve"> </w:t>
      </w:r>
      <w:r w:rsidRPr="00981405">
        <w:t>could</w:t>
      </w:r>
      <w:r w:rsidR="00190923" w:rsidRPr="00981405">
        <w:t xml:space="preserve"> </w:t>
      </w:r>
      <w:r w:rsidRPr="00981405">
        <w:t>be</w:t>
      </w:r>
      <w:r w:rsidR="00190923" w:rsidRPr="00981405">
        <w:t xml:space="preserve"> </w:t>
      </w:r>
      <w:r w:rsidRPr="00981405">
        <w:t>relevant</w:t>
      </w:r>
      <w:r w:rsidR="00190923" w:rsidRPr="00981405">
        <w:t xml:space="preserve"> </w:t>
      </w:r>
      <w:r w:rsidRPr="00981405">
        <w:t>were</w:t>
      </w:r>
      <w:r w:rsidR="00190923" w:rsidRPr="00981405">
        <w:t xml:space="preserve"> </w:t>
      </w:r>
      <w:r w:rsidRPr="00981405">
        <w:t>not</w:t>
      </w:r>
      <w:r w:rsidR="00190923" w:rsidRPr="00981405">
        <w:t xml:space="preserve"> </w:t>
      </w:r>
      <w:r w:rsidRPr="00981405">
        <w:t>always</w:t>
      </w:r>
      <w:r w:rsidR="00190923" w:rsidRPr="00981405">
        <w:t xml:space="preserve"> </w:t>
      </w:r>
      <w:r w:rsidRPr="00981405">
        <w:t>obvious.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added</w:t>
      </w:r>
      <w:r w:rsidR="00190923" w:rsidRPr="00981405">
        <w:t xml:space="preserve"> </w:t>
      </w:r>
      <w:r w:rsidRPr="00981405">
        <w:t>that</w:t>
      </w:r>
      <w:r w:rsidR="00190923" w:rsidRPr="00981405">
        <w:t xml:space="preserve"> </w:t>
      </w:r>
      <w:r w:rsidRPr="00981405">
        <w:t>inaction</w:t>
      </w:r>
      <w:r w:rsidR="00190923" w:rsidRPr="00981405">
        <w:t xml:space="preserve"> </w:t>
      </w:r>
      <w:r w:rsidRPr="00981405">
        <w:t>could</w:t>
      </w:r>
      <w:r w:rsidR="00190923" w:rsidRPr="00981405">
        <w:t xml:space="preserve"> </w:t>
      </w:r>
      <w:r w:rsidRPr="00981405">
        <w:t>serve</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00190923" w:rsidRPr="00981405">
        <w:t xml:space="preserve"> </w:t>
      </w:r>
      <w:r w:rsidRPr="00981405">
        <w:t>when</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called</w:t>
      </w:r>
      <w:r w:rsidR="00190923" w:rsidRPr="00981405">
        <w:t xml:space="preserve"> </w:t>
      </w:r>
      <w:r w:rsidRPr="00981405">
        <w:t>for</w:t>
      </w:r>
      <w:r w:rsidR="00190923" w:rsidRPr="00981405">
        <w:t xml:space="preserve"> </w:t>
      </w:r>
      <w:r w:rsidRPr="00981405">
        <w:t>some</w:t>
      </w:r>
      <w:r w:rsidR="00190923" w:rsidRPr="00981405">
        <w:t xml:space="preserve"> </w:t>
      </w:r>
      <w:r w:rsidRPr="00981405">
        <w:t>reaction.</w:t>
      </w:r>
      <w:r w:rsidR="00190923" w:rsidRPr="00981405">
        <w:t xml:space="preserve"> </w:t>
      </w:r>
      <w:r w:rsidRPr="00981405">
        <w:t>This</w:t>
      </w:r>
      <w:r w:rsidR="00190923" w:rsidRPr="00981405">
        <w:t xml:space="preserve"> </w:t>
      </w:r>
      <w:r w:rsidRPr="00981405">
        <w:t>entailed</w:t>
      </w:r>
      <w:r w:rsidR="00190923" w:rsidRPr="00981405">
        <w:t xml:space="preserve"> </w:t>
      </w:r>
      <w:r w:rsidRPr="00981405">
        <w:t>that</w:t>
      </w:r>
      <w:r w:rsidR="00190923" w:rsidRPr="00981405">
        <w:t xml:space="preserve"> </w:t>
      </w:r>
      <w:r w:rsidRPr="00981405">
        <w:t>the</w:t>
      </w:r>
      <w:r w:rsidR="00190923" w:rsidRPr="00981405">
        <w:t xml:space="preserve"> </w:t>
      </w:r>
      <w:r w:rsidRPr="00981405">
        <w:t>State</w:t>
      </w:r>
      <w:r w:rsidR="00190923" w:rsidRPr="00981405">
        <w:t xml:space="preserve"> </w:t>
      </w:r>
      <w:r w:rsidRPr="00981405">
        <w:t>concerned</w:t>
      </w:r>
      <w:r w:rsidR="00190923" w:rsidRPr="00981405">
        <w:t xml:space="preserve"> </w:t>
      </w:r>
      <w:r w:rsidRPr="00981405">
        <w:t>had</w:t>
      </w:r>
      <w:r w:rsidR="00190923" w:rsidRPr="00981405">
        <w:t xml:space="preserve"> </w:t>
      </w:r>
      <w:r w:rsidRPr="00981405">
        <w:t>to</w:t>
      </w:r>
      <w:r w:rsidR="00190923" w:rsidRPr="00981405">
        <w:t xml:space="preserve"> </w:t>
      </w:r>
      <w:r w:rsidRPr="00981405">
        <w:t>have</w:t>
      </w:r>
      <w:r w:rsidR="00190923" w:rsidRPr="00981405">
        <w:t xml:space="preserve"> </w:t>
      </w:r>
      <w:r w:rsidRPr="00981405">
        <w:t>had</w:t>
      </w:r>
      <w:r w:rsidR="00190923" w:rsidRPr="00981405">
        <w:t xml:space="preserve"> </w:t>
      </w:r>
      <w:r w:rsidRPr="00981405">
        <w:t>actual</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in</w:t>
      </w:r>
      <w:r w:rsidR="00190923" w:rsidRPr="00981405">
        <w:t xml:space="preserve"> </w:t>
      </w:r>
      <w:r w:rsidRPr="00981405">
        <w:t>question</w:t>
      </w:r>
      <w:r w:rsidR="00190923" w:rsidRPr="00981405">
        <w:t xml:space="preserve"> </w:t>
      </w:r>
      <w:r w:rsidRPr="00981405">
        <w:t>or</w:t>
      </w:r>
      <w:r w:rsidR="00190923" w:rsidRPr="00981405">
        <w:t xml:space="preserve"> </w:t>
      </w:r>
      <w:r w:rsidRPr="00981405">
        <w:t>that</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had</w:t>
      </w:r>
      <w:r w:rsidR="00190923" w:rsidRPr="00981405">
        <w:t xml:space="preserve"> </w:t>
      </w:r>
      <w:r w:rsidRPr="00981405">
        <w:t>to</w:t>
      </w:r>
      <w:r w:rsidR="00190923" w:rsidRPr="00981405">
        <w:t xml:space="preserve"> </w:t>
      </w:r>
      <w:r w:rsidRPr="00981405">
        <w:t>have</w:t>
      </w:r>
      <w:r w:rsidR="00190923" w:rsidRPr="00981405">
        <w:t xml:space="preserve"> </w:t>
      </w:r>
      <w:r w:rsidRPr="00981405">
        <w:t>been</w:t>
      </w:r>
      <w:r w:rsidR="00190923" w:rsidRPr="00981405">
        <w:t xml:space="preserve"> </w:t>
      </w:r>
      <w:r w:rsidRPr="00981405">
        <w:t>such</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deemed</w:t>
      </w:r>
      <w:r w:rsidR="00190923" w:rsidRPr="00981405">
        <w:t xml:space="preserve"> </w:t>
      </w:r>
      <w:r w:rsidRPr="00981405">
        <w:t>to</w:t>
      </w:r>
      <w:r w:rsidR="00190923" w:rsidRPr="00981405">
        <w:t xml:space="preserve"> </w:t>
      </w:r>
      <w:r w:rsidRPr="00981405">
        <w:t>have</w:t>
      </w:r>
      <w:r w:rsidR="00190923" w:rsidRPr="00981405">
        <w:t xml:space="preserve"> </w:t>
      </w:r>
      <w:r w:rsidRPr="00981405">
        <w:t>had</w:t>
      </w:r>
      <w:r w:rsidR="00190923" w:rsidRPr="00981405">
        <w:t xml:space="preserve"> </w:t>
      </w:r>
      <w:r w:rsidRPr="00981405">
        <w:t>such</w:t>
      </w:r>
      <w:r w:rsidR="00190923" w:rsidRPr="00981405">
        <w:t xml:space="preserve"> </w:t>
      </w:r>
      <w:r w:rsidRPr="00981405">
        <w:t>knowledge,</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inaction</w:t>
      </w:r>
      <w:r w:rsidR="00190923" w:rsidRPr="00981405">
        <w:t xml:space="preserve"> </w:t>
      </w:r>
      <w:r w:rsidRPr="00981405">
        <w:t>needed</w:t>
      </w:r>
      <w:r w:rsidR="00190923" w:rsidRPr="00981405">
        <w:t xml:space="preserve"> </w:t>
      </w:r>
      <w:r w:rsidRPr="00981405">
        <w:t>to</w:t>
      </w:r>
      <w:r w:rsidR="00190923" w:rsidRPr="00981405">
        <w:t xml:space="preserve"> </w:t>
      </w:r>
      <w:r w:rsidRPr="00981405">
        <w:t>have</w:t>
      </w:r>
      <w:r w:rsidR="00190923" w:rsidRPr="00981405">
        <w:t xml:space="preserve"> </w:t>
      </w:r>
      <w:r w:rsidRPr="00981405">
        <w:t>been</w:t>
      </w:r>
      <w:r w:rsidR="00190923" w:rsidRPr="00981405">
        <w:t xml:space="preserve"> </w:t>
      </w:r>
      <w:r w:rsidRPr="00981405">
        <w:t>maintained</w:t>
      </w:r>
      <w:r w:rsidR="00190923" w:rsidRPr="00981405">
        <w:t xml:space="preserve"> </w:t>
      </w:r>
      <w:r w:rsidRPr="00981405">
        <w:t>over</w:t>
      </w:r>
      <w:r w:rsidR="00190923" w:rsidRPr="00981405">
        <w:t xml:space="preserve"> </w:t>
      </w:r>
      <w:r w:rsidRPr="00981405">
        <w:t>a</w:t>
      </w:r>
      <w:r w:rsidR="00190923" w:rsidRPr="00981405">
        <w:t xml:space="preserve"> </w:t>
      </w:r>
      <w:r w:rsidRPr="00981405">
        <w:t>sufficient</w:t>
      </w:r>
      <w:r w:rsidR="00190923" w:rsidRPr="00981405">
        <w:t xml:space="preserve"> </w:t>
      </w:r>
      <w:r w:rsidRPr="00981405">
        <w:t>period</w:t>
      </w:r>
      <w:r w:rsidR="00190923" w:rsidRPr="00981405">
        <w:t xml:space="preserve"> </w:t>
      </w:r>
      <w:r w:rsidRPr="00981405">
        <w:t>of</w:t>
      </w:r>
      <w:r w:rsidR="00190923" w:rsidRPr="00981405">
        <w:t xml:space="preserve"> </w:t>
      </w:r>
      <w:r w:rsidRPr="00981405">
        <w:t>time.</w:t>
      </w:r>
    </w:p>
    <w:p w:rsidR="00397032" w:rsidRPr="00981405" w:rsidRDefault="00397032" w:rsidP="00D97463">
      <w:pPr>
        <w:pStyle w:val="SingleTxt"/>
      </w:pPr>
      <w:r w:rsidRPr="00981405">
        <w:t>67.</w:t>
      </w:r>
      <w:r w:rsidRPr="00981405">
        <w:tab/>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considered</w:t>
      </w:r>
      <w:r w:rsidR="00190923" w:rsidRPr="00981405">
        <w:t xml:space="preserve"> </w:t>
      </w:r>
      <w:r w:rsidRPr="00981405">
        <w:t>certain</w:t>
      </w:r>
      <w:r w:rsidR="00190923" w:rsidRPr="00981405">
        <w:t xml:space="preserve"> </w:t>
      </w:r>
      <w:r w:rsidRPr="00981405">
        <w:t>particular</w:t>
      </w:r>
      <w:r w:rsidR="00190923" w:rsidRPr="00981405">
        <w:t xml:space="preserve"> </w:t>
      </w:r>
      <w:r w:rsidRPr="00981405">
        <w:t>forms</w:t>
      </w:r>
      <w:r w:rsidR="00190923" w:rsidRPr="00981405">
        <w:t xml:space="preserve"> </w:t>
      </w:r>
      <w:r w:rsidRPr="00981405">
        <w:t>of</w:t>
      </w:r>
      <w:r w:rsidR="00190923" w:rsidRPr="00981405">
        <w:t xml:space="preserve"> </w:t>
      </w:r>
      <w:r w:rsidRPr="00981405">
        <w:t>practice</w:t>
      </w:r>
      <w:r w:rsidR="00190923" w:rsidRPr="00981405">
        <w:t xml:space="preserve"> </w:t>
      </w:r>
      <w:r w:rsidRPr="00981405">
        <w:t>and</w:t>
      </w:r>
      <w:r w:rsidR="00190923" w:rsidRPr="00981405">
        <w:t xml:space="preserve"> </w:t>
      </w:r>
      <w:r w:rsidRPr="00981405">
        <w:t>of</w:t>
      </w:r>
      <w:r w:rsidR="00190923" w:rsidRPr="00981405">
        <w:t xml:space="preserve"> </w:t>
      </w:r>
      <w:r w:rsidRPr="00981405">
        <w:t>evidence</w:t>
      </w:r>
      <w:r w:rsidR="00190923" w:rsidRPr="00981405">
        <w:t xml:space="preserve"> </w:t>
      </w:r>
      <w:r w:rsidRPr="00981405">
        <w:t>of</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Pr="00981405">
        <w:t>,</w:t>
      </w:r>
      <w:r w:rsidR="00190923" w:rsidRPr="00981405">
        <w:t xml:space="preserve"> </w:t>
      </w:r>
      <w:r w:rsidRPr="00981405">
        <w:t>namely</w:t>
      </w:r>
      <w:r w:rsidR="00190923" w:rsidRPr="00981405">
        <w:t xml:space="preserve"> </w:t>
      </w:r>
      <w:r w:rsidRPr="00981405">
        <w:t>treaties</w:t>
      </w:r>
      <w:r w:rsidR="00190923" w:rsidRPr="00981405">
        <w:t xml:space="preserve"> </w:t>
      </w:r>
      <w:r w:rsidRPr="00981405">
        <w:t>and</w:t>
      </w:r>
      <w:r w:rsidR="00190923" w:rsidRPr="00981405">
        <w:t xml:space="preserve"> </w:t>
      </w:r>
      <w:r w:rsidRPr="00981405">
        <w:t>resolutions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conferences,</w:t>
      </w:r>
      <w:r w:rsidR="00190923" w:rsidRPr="00981405">
        <w:t xml:space="preserve"> </w:t>
      </w:r>
      <w:r w:rsidRPr="00981405">
        <w:t>given</w:t>
      </w:r>
      <w:r w:rsidR="00190923" w:rsidRPr="00981405">
        <w:t xml:space="preserve"> </w:t>
      </w:r>
      <w:r w:rsidRPr="00981405">
        <w:t>that</w:t>
      </w:r>
      <w:r w:rsidR="00190923" w:rsidRPr="00981405">
        <w:t xml:space="preserve"> </w:t>
      </w:r>
      <w:r w:rsidRPr="00981405">
        <w:t>they</w:t>
      </w:r>
      <w:r w:rsidR="00190923" w:rsidRPr="00981405">
        <w:t xml:space="preserve"> </w:t>
      </w:r>
      <w:r w:rsidRPr="00981405">
        <w:t>are</w:t>
      </w:r>
      <w:r w:rsidR="00190923" w:rsidRPr="00981405">
        <w:t xml:space="preserve"> </w:t>
      </w:r>
      <w:r w:rsidRPr="00981405">
        <w:t>frequently</w:t>
      </w:r>
      <w:r w:rsidR="00190923" w:rsidRPr="00981405">
        <w:t xml:space="preserve"> </w:t>
      </w:r>
      <w:r w:rsidRPr="00981405">
        <w:t>resorted</w:t>
      </w:r>
      <w:r w:rsidR="00190923" w:rsidRPr="00981405">
        <w:t xml:space="preserve"> </w:t>
      </w:r>
      <w:r w:rsidRPr="00981405">
        <w:t>to</w:t>
      </w:r>
      <w:r w:rsidR="00190923" w:rsidRPr="00981405">
        <w:t xml:space="preserve"> </w:t>
      </w:r>
      <w:r w:rsidRPr="00981405">
        <w:t>in</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similar</w:t>
      </w:r>
      <w:r w:rsidR="00190923" w:rsidRPr="00981405">
        <w:t xml:space="preserve"> </w:t>
      </w:r>
      <w:r w:rsidRPr="00981405">
        <w:t>considerations</w:t>
      </w:r>
      <w:r w:rsidR="00190923" w:rsidRPr="00981405">
        <w:t xml:space="preserve"> </w:t>
      </w:r>
      <w:r w:rsidRPr="00981405">
        <w:t>could</w:t>
      </w:r>
      <w:r w:rsidR="00190923" w:rsidRPr="00981405">
        <w:t xml:space="preserve"> </w:t>
      </w:r>
      <w:r w:rsidRPr="00981405">
        <w:t>also</w:t>
      </w:r>
      <w:r w:rsidR="00190923" w:rsidRPr="00981405">
        <w:t xml:space="preserve"> </w:t>
      </w:r>
      <w:r w:rsidRPr="00981405">
        <w:t>apply</w:t>
      </w:r>
      <w:r w:rsidR="00190923" w:rsidRPr="00981405">
        <w:t xml:space="preserve"> </w:t>
      </w:r>
      <w:r w:rsidRPr="00981405">
        <w:t>to</w:t>
      </w:r>
      <w:r w:rsidR="00190923" w:rsidRPr="00981405">
        <w:t xml:space="preserve"> </w:t>
      </w:r>
      <w:r w:rsidRPr="00981405">
        <w:t>other</w:t>
      </w:r>
      <w:r w:rsidR="00190923" w:rsidRPr="00981405">
        <w:t xml:space="preserve"> </w:t>
      </w:r>
      <w:r w:rsidRPr="00981405">
        <w:t>written</w:t>
      </w:r>
      <w:r w:rsidR="00190923" w:rsidRPr="00981405">
        <w:t xml:space="preserve"> </w:t>
      </w:r>
      <w:r w:rsidRPr="00981405">
        <w:t>texts,</w:t>
      </w:r>
      <w:r w:rsidR="00190923" w:rsidRPr="00981405">
        <w:t xml:space="preserve"> </w:t>
      </w:r>
      <w:r w:rsidRPr="00981405">
        <w:t>such</w:t>
      </w:r>
      <w:r w:rsidR="00190923" w:rsidRPr="00981405">
        <w:t xml:space="preserve"> </w:t>
      </w:r>
      <w:r w:rsidRPr="00981405">
        <w:t>as</w:t>
      </w:r>
      <w:r w:rsidR="00190923" w:rsidRPr="00981405">
        <w:t xml:space="preserve"> </w:t>
      </w:r>
      <w:r w:rsidRPr="00981405">
        <w:t>those</w:t>
      </w:r>
      <w:r w:rsidR="00190923" w:rsidRPr="00981405">
        <w:t xml:space="preserve"> </w:t>
      </w:r>
      <w:r w:rsidRPr="00981405">
        <w:t>produced</w:t>
      </w:r>
      <w:r w:rsidR="00190923" w:rsidRPr="00981405">
        <w:t xml:space="preserve"> </w:t>
      </w:r>
      <w:r w:rsidRPr="00981405">
        <w:t>by</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report</w:t>
      </w:r>
      <w:r w:rsidR="00190923" w:rsidRPr="00981405">
        <w:t xml:space="preserve"> </w:t>
      </w:r>
      <w:r w:rsidRPr="00981405">
        <w:t>sought</w:t>
      </w:r>
      <w:r w:rsidR="00190923" w:rsidRPr="00981405">
        <w:t xml:space="preserve"> </w:t>
      </w:r>
      <w:r w:rsidRPr="00981405">
        <w:t>to</w:t>
      </w:r>
      <w:r w:rsidR="00190923" w:rsidRPr="00981405">
        <w:t xml:space="preserve"> </w:t>
      </w:r>
      <w:r w:rsidRPr="00981405">
        <w:t>advise</w:t>
      </w:r>
      <w:r w:rsidR="00190923" w:rsidRPr="00981405">
        <w:t xml:space="preserve"> </w:t>
      </w:r>
      <w:r w:rsidRPr="00981405">
        <w:t>caution</w:t>
      </w:r>
      <w:r w:rsidR="00190923" w:rsidRPr="00981405">
        <w:t xml:space="preserve"> </w:t>
      </w:r>
      <w:r w:rsidRPr="00981405">
        <w:t>when</w:t>
      </w:r>
      <w:r w:rsidR="00190923" w:rsidRPr="00981405">
        <w:t xml:space="preserve"> </w:t>
      </w:r>
      <w:r w:rsidRPr="00981405">
        <w:t>considering</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those</w:t>
      </w:r>
      <w:r w:rsidR="00190923" w:rsidRPr="00981405">
        <w:t xml:space="preserve"> </w:t>
      </w:r>
      <w:r w:rsidRPr="00981405">
        <w:t>texts</w:t>
      </w:r>
      <w:r w:rsidR="00190923" w:rsidRPr="00981405">
        <w:t xml:space="preserve"> </w:t>
      </w:r>
      <w:r w:rsidRPr="00981405">
        <w:t>may</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to</w:t>
      </w:r>
      <w:r w:rsidR="00190923" w:rsidRPr="00981405">
        <w:t xml:space="preserve"> </w:t>
      </w:r>
      <w:r w:rsidRPr="00981405">
        <w:t>reiterate</w:t>
      </w:r>
      <w:r w:rsidR="00190923" w:rsidRPr="00981405">
        <w:t xml:space="preserve"> </w:t>
      </w:r>
      <w:r w:rsidRPr="00981405">
        <w:t>that</w:t>
      </w:r>
      <w:r w:rsidR="00190923" w:rsidRPr="00981405">
        <w:t xml:space="preserve"> </w:t>
      </w:r>
      <w:r w:rsidRPr="00981405">
        <w:t>all</w:t>
      </w:r>
      <w:r w:rsidR="00190923" w:rsidRPr="00981405">
        <w:t xml:space="preserve"> </w:t>
      </w:r>
      <w:r w:rsidRPr="00981405">
        <w:t>the</w:t>
      </w:r>
      <w:r w:rsidR="00190923" w:rsidRPr="00981405">
        <w:t xml:space="preserve"> </w:t>
      </w:r>
      <w:r w:rsidRPr="00981405">
        <w:t>surrounding</w:t>
      </w:r>
      <w:r w:rsidR="00190923" w:rsidRPr="00981405">
        <w:t xml:space="preserve"> </w:t>
      </w:r>
      <w:r w:rsidRPr="00981405">
        <w:t>circumstances</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and</w:t>
      </w:r>
      <w:r w:rsidR="00190923" w:rsidRPr="00981405">
        <w:t xml:space="preserve"> </w:t>
      </w:r>
      <w:r w:rsidRPr="00981405">
        <w:t>weighed.</w:t>
      </w:r>
      <w:r w:rsidR="00190923" w:rsidRPr="00981405">
        <w:t xml:space="preserve"> </w:t>
      </w:r>
      <w:r w:rsidRPr="00981405">
        <w:t>In</w:t>
      </w:r>
      <w:r w:rsidR="00190923" w:rsidRPr="00981405">
        <w:t xml:space="preserve"> </w:t>
      </w:r>
      <w:r w:rsidRPr="00981405">
        <w:t>any</w:t>
      </w:r>
      <w:r w:rsidR="00190923" w:rsidRPr="00981405">
        <w:t xml:space="preserve"> </w:t>
      </w:r>
      <w:r w:rsidRPr="00981405">
        <w:t>event,</w:t>
      </w:r>
      <w:r w:rsidR="00190923" w:rsidRPr="00981405">
        <w:t xml:space="preserve"> </w:t>
      </w:r>
      <w:r w:rsidRPr="00981405">
        <w:t>the</w:t>
      </w:r>
      <w:r w:rsidR="00190923" w:rsidRPr="00981405">
        <w:t xml:space="preserve"> </w:t>
      </w:r>
      <w:r w:rsidRPr="00981405">
        <w:t>written</w:t>
      </w:r>
      <w:r w:rsidR="00190923" w:rsidRPr="00981405">
        <w:t xml:space="preserve"> </w:t>
      </w:r>
      <w:r w:rsidRPr="00981405">
        <w:t>texts</w:t>
      </w:r>
      <w:r w:rsidR="00190923" w:rsidRPr="00981405">
        <w:t xml:space="preserve"> </w:t>
      </w:r>
      <w:r w:rsidRPr="00981405">
        <w:t>could</w:t>
      </w:r>
      <w:r w:rsidR="00190923" w:rsidRPr="00981405">
        <w:t xml:space="preserve"> </w:t>
      </w:r>
      <w:r w:rsidRPr="00981405">
        <w:t>not,</w:t>
      </w:r>
      <w:r w:rsidR="00190923" w:rsidRPr="00981405">
        <w:t xml:space="preserve"> </w:t>
      </w:r>
      <w:r w:rsidRPr="00981405">
        <w:t>in</w:t>
      </w:r>
      <w:r w:rsidR="00190923" w:rsidRPr="00981405">
        <w:t xml:space="preserve"> </w:t>
      </w:r>
      <w:r w:rsidRPr="00981405">
        <w:t>and</w:t>
      </w:r>
      <w:r w:rsidR="00190923" w:rsidRPr="00981405">
        <w:t xml:space="preserve"> </w:t>
      </w:r>
      <w:r w:rsidRPr="00981405">
        <w:t>of</w:t>
      </w:r>
      <w:r w:rsidR="00190923" w:rsidRPr="00981405">
        <w:t xml:space="preserve"> </w:t>
      </w:r>
      <w:r w:rsidRPr="00981405">
        <w:t>themselves,</w:t>
      </w:r>
      <w:r w:rsidR="00190923" w:rsidRPr="00981405">
        <w:t xml:space="preserve"> </w:t>
      </w:r>
      <w:r w:rsidRPr="00981405">
        <w:t>constitute</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pPr>
      <w:r w:rsidRPr="00981405">
        <w:t>68.</w:t>
      </w:r>
      <w:r w:rsidRPr="00981405">
        <w:tab/>
        <w:t>Regarding</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treaty-making,</w:t>
      </w:r>
      <w:r w:rsidR="00190923" w:rsidRPr="00981405">
        <w:t xml:space="preserve"> </w:t>
      </w:r>
      <w:r w:rsidRPr="00981405">
        <w:t>the</w:t>
      </w:r>
      <w:r w:rsidR="00190923" w:rsidRPr="00981405">
        <w:t xml:space="preserve"> </w:t>
      </w:r>
      <w:r w:rsidRPr="00981405">
        <w:t>report</w:t>
      </w:r>
      <w:r w:rsidR="00190923" w:rsidRPr="00981405">
        <w:t xml:space="preserve"> </w:t>
      </w:r>
      <w:r w:rsidRPr="00981405">
        <w:t>recalled</w:t>
      </w:r>
      <w:r w:rsidR="00190923" w:rsidRPr="00981405">
        <w:t xml:space="preserve"> </w:t>
      </w:r>
      <w:r w:rsidRPr="00981405">
        <w:t>three</w:t>
      </w:r>
      <w:r w:rsidR="00190923" w:rsidRPr="00981405">
        <w:t xml:space="preserve"> </w:t>
      </w:r>
      <w:r w:rsidRPr="00981405">
        <w:t>ways</w:t>
      </w:r>
      <w:r w:rsidR="00190923" w:rsidRPr="00981405">
        <w:t xml:space="preserve"> </w:t>
      </w:r>
      <w:r w:rsidRPr="00981405">
        <w:t>in</w:t>
      </w:r>
      <w:r w:rsidR="00190923" w:rsidRPr="00981405">
        <w:t xml:space="preserve"> </w:t>
      </w:r>
      <w:r w:rsidRPr="00981405">
        <w:t>which</w:t>
      </w:r>
      <w:r w:rsidR="00190923" w:rsidRPr="00981405">
        <w:t xml:space="preserve"> </w:t>
      </w:r>
      <w:r w:rsidRPr="00981405">
        <w:t>such</w:t>
      </w:r>
      <w:r w:rsidR="00190923" w:rsidRPr="00981405">
        <w:t xml:space="preserve"> </w:t>
      </w:r>
      <w:r w:rsidRPr="00981405">
        <w:t>written</w:t>
      </w:r>
      <w:r w:rsidR="00190923" w:rsidRPr="00981405">
        <w:t xml:space="preserve"> </w:t>
      </w:r>
      <w:r w:rsidRPr="00981405">
        <w:t>texts</w:t>
      </w:r>
      <w:r w:rsidR="00190923" w:rsidRPr="00981405">
        <w:t xml:space="preserve"> </w:t>
      </w:r>
      <w:r w:rsidRPr="00981405">
        <w:t>could</w:t>
      </w:r>
      <w:r w:rsidR="00190923" w:rsidRPr="00981405">
        <w:t xml:space="preserve"> </w:t>
      </w:r>
      <w:r w:rsidRPr="00981405">
        <w:t>relate</w:t>
      </w:r>
      <w:r w:rsidR="00190923" w:rsidRPr="00981405">
        <w:t xml:space="preserve"> </w:t>
      </w:r>
      <w:r w:rsidRPr="00981405">
        <w:t>to</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codification</w:t>
      </w:r>
      <w:r w:rsidR="00190923" w:rsidRPr="00981405">
        <w:t xml:space="preserve"> </w:t>
      </w:r>
      <w:r w:rsidRPr="00981405">
        <w:t>of</w:t>
      </w:r>
      <w:r w:rsidR="00190923" w:rsidRPr="00981405">
        <w:t xml:space="preserve"> </w:t>
      </w:r>
      <w:r w:rsidRPr="00981405">
        <w:t>existing</w:t>
      </w:r>
      <w:r w:rsidR="00190923" w:rsidRPr="00981405">
        <w:t xml:space="preserve"> </w:t>
      </w:r>
      <w:r w:rsidRPr="00981405">
        <w:t>law,</w:t>
      </w:r>
      <w:r w:rsidR="00190923" w:rsidRPr="00981405">
        <w:t xml:space="preserve"> </w:t>
      </w:r>
      <w:r w:rsidRPr="00981405">
        <w:t>crystallization</w:t>
      </w:r>
      <w:r w:rsidR="00190923" w:rsidRPr="00981405">
        <w:t xml:space="preserve"> </w:t>
      </w:r>
      <w:r w:rsidRPr="00981405">
        <w:t>of</w:t>
      </w:r>
      <w:r w:rsidR="00190923" w:rsidRPr="00981405">
        <w:t xml:space="preserve"> </w:t>
      </w:r>
      <w:r w:rsidRPr="00981405">
        <w:t>emerging</w:t>
      </w:r>
      <w:r w:rsidR="00190923" w:rsidRPr="00981405">
        <w:t xml:space="preserve"> </w:t>
      </w:r>
      <w:r w:rsidRPr="00981405">
        <w:t>law,</w:t>
      </w:r>
      <w:r w:rsidR="00190923" w:rsidRPr="00981405">
        <w:t xml:space="preserve"> </w:t>
      </w:r>
      <w:r w:rsidRPr="00981405">
        <w:t>or</w:t>
      </w:r>
      <w:r w:rsidR="00190923" w:rsidRPr="00981405">
        <w:t xml:space="preserve"> </w:t>
      </w:r>
      <w:r w:rsidRPr="00981405">
        <w:t>as</w:t>
      </w:r>
      <w:r w:rsidR="00190923" w:rsidRPr="00981405">
        <w:t xml:space="preserve"> </w:t>
      </w:r>
      <w:r w:rsidRPr="00981405">
        <w:t>the</w:t>
      </w:r>
      <w:r w:rsidR="00190923" w:rsidRPr="00981405">
        <w:t xml:space="preserve"> </w:t>
      </w:r>
      <w:r w:rsidRPr="00981405">
        <w:t>origin</w:t>
      </w:r>
      <w:r w:rsidR="00190923" w:rsidRPr="00981405">
        <w:t xml:space="preserve"> </w:t>
      </w:r>
      <w:r w:rsidRPr="00981405">
        <w:t>of</w:t>
      </w:r>
      <w:r w:rsidR="00190923" w:rsidRPr="00981405">
        <w:t xml:space="preserve"> </w:t>
      </w:r>
      <w:r w:rsidRPr="00981405">
        <w:t>new</w:t>
      </w:r>
      <w:r w:rsidR="00190923" w:rsidRPr="00981405">
        <w:t xml:space="preserve"> </w:t>
      </w:r>
      <w:r w:rsidRPr="00981405">
        <w:t>law.</w:t>
      </w:r>
      <w:r w:rsidR="00190923" w:rsidRPr="00981405">
        <w:t xml:space="preserve"> </w:t>
      </w:r>
      <w:r w:rsidRPr="00981405">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addressed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to</w:t>
      </w:r>
      <w:r w:rsidR="00190923" w:rsidRPr="00981405">
        <w:t xml:space="preserve"> </w:t>
      </w:r>
      <w:r w:rsidRPr="00981405">
        <w:t>multilateral</w:t>
      </w:r>
      <w:r w:rsidR="00190923" w:rsidRPr="00981405">
        <w:t xml:space="preserve"> </w:t>
      </w:r>
      <w:r w:rsidRPr="00981405">
        <w:t>conventions,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possible</w:t>
      </w:r>
      <w:r w:rsidR="00190923" w:rsidRPr="00981405">
        <w:t xml:space="preserve"> </w:t>
      </w:r>
      <w:r w:rsidRPr="00981405">
        <w:t>relevance</w:t>
      </w:r>
      <w:r w:rsidR="00190923" w:rsidRPr="00981405">
        <w:t xml:space="preserve"> </w:t>
      </w:r>
      <w:r w:rsidRPr="00981405">
        <w:t>of</w:t>
      </w:r>
      <w:r w:rsidR="00190923" w:rsidRPr="00981405">
        <w:t xml:space="preserve"> </w:t>
      </w:r>
      <w:r w:rsidRPr="00981405">
        <w:t>bilateral</w:t>
      </w:r>
      <w:r w:rsidR="00190923" w:rsidRPr="00981405">
        <w:t xml:space="preserve"> </w:t>
      </w:r>
      <w:r w:rsidRPr="00981405">
        <w:t>treaties.</w:t>
      </w:r>
    </w:p>
    <w:p w:rsidR="00397032" w:rsidRPr="00981405" w:rsidRDefault="00397032" w:rsidP="00D97463">
      <w:pPr>
        <w:pStyle w:val="SingleTxt"/>
      </w:pPr>
      <w:r w:rsidRPr="00981405">
        <w:t>69.</w:t>
      </w:r>
      <w:r w:rsidRPr="00981405">
        <w:tab/>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dealt</w:t>
      </w:r>
      <w:r w:rsidR="00190923" w:rsidRPr="00981405">
        <w:t xml:space="preserve"> </w:t>
      </w:r>
      <w:r w:rsidRPr="00981405">
        <w:t>with</w:t>
      </w:r>
      <w:r w:rsidR="00190923" w:rsidRPr="00981405">
        <w:t xml:space="preserve"> </w:t>
      </w:r>
      <w:r w:rsidRPr="00981405">
        <w:t>the</w:t>
      </w:r>
      <w:r w:rsidR="00190923" w:rsidRPr="00981405">
        <w:t xml:space="preserve"> </w:t>
      </w:r>
      <w:r w:rsidRPr="00981405">
        <w:t>issue</w:t>
      </w:r>
      <w:r w:rsidR="00190923" w:rsidRPr="00981405">
        <w:t xml:space="preserve"> </w:t>
      </w:r>
      <w:r w:rsidRPr="00981405">
        <w:t>of</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resolutions</w:t>
      </w:r>
      <w:r w:rsidR="00190923" w:rsidRPr="00981405">
        <w:t xml:space="preserve"> </w:t>
      </w:r>
      <w:r w:rsidRPr="00981405">
        <w:t>adopted</w:t>
      </w:r>
      <w:r w:rsidR="00190923" w:rsidRPr="00981405">
        <w:t xml:space="preserve"> </w:t>
      </w:r>
      <w:r w:rsidRPr="00981405">
        <w:t>by</w:t>
      </w:r>
      <w:r w:rsidR="00190923" w:rsidRPr="00981405">
        <w:t xml:space="preserve"> </w:t>
      </w:r>
      <w:r w:rsidRPr="00981405">
        <w:t>States</w:t>
      </w:r>
      <w:r w:rsidR="00190923" w:rsidRPr="00981405">
        <w:t xml:space="preserve"> </w:t>
      </w:r>
      <w:r w:rsidRPr="00981405">
        <w:t>at</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international</w:t>
      </w:r>
      <w:r w:rsidR="00190923" w:rsidRPr="00981405">
        <w:t xml:space="preserve"> </w:t>
      </w:r>
      <w:r w:rsidRPr="00981405">
        <w:t>conferences</w:t>
      </w:r>
      <w:r w:rsidR="00190923" w:rsidRPr="00981405">
        <w:t xml:space="preserve"> </w:t>
      </w:r>
      <w:r w:rsidRPr="00981405">
        <w:t>as</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or</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Pr="00981405">
        <w: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acknowledged</w:t>
      </w:r>
      <w:r w:rsidR="00190923" w:rsidRPr="00981405">
        <w:t xml:space="preserve"> </w:t>
      </w:r>
      <w:r w:rsidRPr="00981405">
        <w:t>the</w:t>
      </w:r>
      <w:r w:rsidR="00190923" w:rsidRPr="00981405">
        <w:t xml:space="preserve"> </w:t>
      </w:r>
      <w:r w:rsidRPr="00981405">
        <w:t>important</w:t>
      </w:r>
      <w:r w:rsidR="00190923" w:rsidRPr="00981405">
        <w:t xml:space="preserve"> </w:t>
      </w:r>
      <w:r w:rsidRPr="00981405">
        <w:t>role</w:t>
      </w:r>
      <w:r w:rsidR="00190923" w:rsidRPr="00981405">
        <w:t xml:space="preserve"> </w:t>
      </w:r>
      <w:r w:rsidRPr="00981405">
        <w:t>such</w:t>
      </w:r>
      <w:r w:rsidR="00190923" w:rsidRPr="00981405">
        <w:t xml:space="preserve"> </w:t>
      </w:r>
      <w:r w:rsidRPr="00981405">
        <w:t>resolutions</w:t>
      </w:r>
      <w:r w:rsidR="00190923" w:rsidRPr="00981405">
        <w:t xml:space="preserve"> </w:t>
      </w:r>
      <w:r w:rsidRPr="00981405">
        <w:t>could</w:t>
      </w:r>
      <w:r w:rsidR="00190923" w:rsidRPr="00981405">
        <w:t xml:space="preserve"> </w:t>
      </w:r>
      <w:r w:rsidRPr="00981405">
        <w:t>play,</w:t>
      </w:r>
      <w:r w:rsidR="00190923" w:rsidRPr="00981405">
        <w:t xml:space="preserve"> </w:t>
      </w:r>
      <w:r w:rsidRPr="00981405">
        <w:t>in</w:t>
      </w:r>
      <w:r w:rsidR="00190923" w:rsidRPr="00981405">
        <w:t xml:space="preserve"> </w:t>
      </w:r>
      <w:r w:rsidRPr="00981405">
        <w:t>certain</w:t>
      </w:r>
      <w:r w:rsidR="00190923" w:rsidRPr="00981405">
        <w:t xml:space="preserve"> </w:t>
      </w:r>
      <w:r w:rsidRPr="00981405">
        <w:t>circumstances,</w:t>
      </w:r>
      <w:r w:rsidR="00190923" w:rsidRPr="00981405">
        <w:t xml:space="preserve"> </w:t>
      </w:r>
      <w:r w:rsidRPr="00981405">
        <w:t>in</w:t>
      </w:r>
      <w:r w:rsidR="00190923" w:rsidRPr="00981405">
        <w:t xml:space="preserve"> </w:t>
      </w:r>
      <w:r w:rsidRPr="00981405">
        <w:t>the</w:t>
      </w:r>
      <w:r w:rsidR="00190923" w:rsidRPr="00981405">
        <w:t xml:space="preserve"> </w:t>
      </w:r>
      <w:r w:rsidRPr="00981405">
        <w:t>formation</w:t>
      </w:r>
      <w:r w:rsidR="00190923" w:rsidRPr="00981405">
        <w:t xml:space="preserve"> </w:t>
      </w:r>
      <w:r w:rsidRPr="00981405">
        <w:t>and</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They</w:t>
      </w:r>
      <w:r w:rsidR="00190923" w:rsidRPr="00981405">
        <w:t xml:space="preserve"> </w:t>
      </w:r>
      <w:r w:rsidRPr="00981405">
        <w:t>could</w:t>
      </w:r>
      <w:r w:rsidR="00190923" w:rsidRPr="00981405">
        <w:t xml:space="preserve"> </w:t>
      </w:r>
      <w:r w:rsidRPr="00981405">
        <w:t>not,</w:t>
      </w:r>
      <w:r w:rsidR="00190923" w:rsidRPr="00981405">
        <w:t xml:space="preserve"> </w:t>
      </w:r>
      <w:r w:rsidRPr="00981405">
        <w:t>in</w:t>
      </w:r>
      <w:r w:rsidR="00190923" w:rsidRPr="00981405">
        <w:t xml:space="preserve"> </w:t>
      </w:r>
      <w:r w:rsidRPr="00981405">
        <w:t>and</w:t>
      </w:r>
      <w:r w:rsidR="00190923" w:rsidRPr="00981405">
        <w:t xml:space="preserve"> </w:t>
      </w:r>
      <w:r w:rsidRPr="00981405">
        <w:t>of</w:t>
      </w:r>
      <w:r w:rsidR="00190923" w:rsidRPr="00981405">
        <w:t xml:space="preserve"> </w:t>
      </w:r>
      <w:r w:rsidRPr="00981405">
        <w:t>themselves,</w:t>
      </w:r>
      <w:r w:rsidR="00190923" w:rsidRPr="00981405">
        <w:t xml:space="preserve"> </w:t>
      </w:r>
      <w:r w:rsidRPr="00981405">
        <w:t>create</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but</w:t>
      </w:r>
      <w:r w:rsidR="00190923" w:rsidRPr="00981405">
        <w:t xml:space="preserve"> </w:t>
      </w:r>
      <w:r w:rsidRPr="00981405">
        <w:t>could</w:t>
      </w:r>
      <w:r w:rsidR="00190923" w:rsidRPr="00981405">
        <w:t xml:space="preserve"> </w:t>
      </w:r>
      <w:r w:rsidRPr="00981405">
        <w:t>provide</w:t>
      </w:r>
      <w:r w:rsidR="00190923" w:rsidRPr="00981405">
        <w:t xml:space="preserve"> </w:t>
      </w:r>
      <w:r w:rsidRPr="00981405">
        <w:t>evidence</w:t>
      </w:r>
      <w:r w:rsidR="00190923" w:rsidRPr="00981405">
        <w:t xml:space="preserve"> </w:t>
      </w:r>
      <w:r w:rsidRPr="00981405">
        <w:t>of</w:t>
      </w:r>
      <w:r w:rsidR="00190923" w:rsidRPr="00981405">
        <w:t xml:space="preserve"> </w:t>
      </w:r>
      <w:r w:rsidRPr="00981405">
        <w:t>existing</w:t>
      </w:r>
      <w:r w:rsidR="00190923" w:rsidRPr="00981405">
        <w:t xml:space="preserve"> </w:t>
      </w:r>
      <w:r w:rsidRPr="00981405">
        <w:t>or</w:t>
      </w:r>
      <w:r w:rsidR="00190923" w:rsidRPr="00981405">
        <w:t xml:space="preserve"> </w:t>
      </w:r>
      <w:r w:rsidRPr="00981405">
        <w:t>emerging</w:t>
      </w:r>
      <w:r w:rsidR="00190923" w:rsidRPr="00981405">
        <w:t xml:space="preserve"> </w:t>
      </w:r>
      <w:r w:rsidRPr="00981405">
        <w:t>law</w:t>
      </w:r>
      <w:r w:rsidR="00190923" w:rsidRPr="00981405">
        <w:t xml:space="preserve"> </w:t>
      </w:r>
      <w:r w:rsidRPr="00981405">
        <w:t>and</w:t>
      </w:r>
      <w:r w:rsidR="00190923" w:rsidRPr="00981405">
        <w:t xml:space="preserve"> </w:t>
      </w:r>
      <w:r w:rsidRPr="00981405">
        <w:t>indeed</w:t>
      </w:r>
      <w:r w:rsidR="00190923" w:rsidRPr="00981405">
        <w:t xml:space="preserve"> </w:t>
      </w:r>
      <w:r w:rsidRPr="00981405">
        <w:t>give</w:t>
      </w:r>
      <w:r w:rsidR="00190923" w:rsidRPr="00981405">
        <w:t xml:space="preserve"> </w:t>
      </w:r>
      <w:r w:rsidRPr="00981405">
        <w:t>rise</w:t>
      </w:r>
      <w:r w:rsidR="00190923" w:rsidRPr="00981405">
        <w:t xml:space="preserve"> </w:t>
      </w:r>
      <w:r w:rsidRPr="00981405">
        <w:t>to</w:t>
      </w:r>
      <w:r w:rsidR="00190923" w:rsidRPr="00981405">
        <w:t xml:space="preserve"> </w:t>
      </w:r>
      <w:r w:rsidRPr="00981405">
        <w:t>practice</w:t>
      </w:r>
      <w:r w:rsidR="00190923" w:rsidRPr="00981405">
        <w:t xml:space="preserve"> </w:t>
      </w:r>
      <w:r w:rsidRPr="00981405">
        <w:t>that</w:t>
      </w:r>
      <w:r w:rsidR="00190923" w:rsidRPr="00981405">
        <w:t xml:space="preserve"> </w:t>
      </w:r>
      <w:r w:rsidRPr="00981405">
        <w:t>may</w:t>
      </w:r>
      <w:r w:rsidR="00190923" w:rsidRPr="00981405">
        <w:t xml:space="preserve"> </w:t>
      </w:r>
      <w:r w:rsidRPr="00981405">
        <w:t>lead</w:t>
      </w:r>
      <w:r w:rsidR="00190923" w:rsidRPr="00981405">
        <w:t xml:space="preserve"> </w:t>
      </w:r>
      <w:r w:rsidRPr="00981405">
        <w:t>to</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of</w:t>
      </w:r>
      <w:r w:rsidR="00190923" w:rsidRPr="00981405">
        <w:t xml:space="preserve"> </w:t>
      </w:r>
      <w:r w:rsidRPr="00981405">
        <w:t>a</w:t>
      </w:r>
      <w:r w:rsidR="00190923" w:rsidRPr="00981405">
        <w:t xml:space="preserve"> </w:t>
      </w:r>
      <w:r w:rsidRPr="00981405">
        <w:t>new</w:t>
      </w:r>
      <w:r w:rsidR="00190923" w:rsidRPr="00981405">
        <w:t xml:space="preserve"> </w:t>
      </w:r>
      <w:r w:rsidRPr="00981405">
        <w:t>rule.</w:t>
      </w:r>
      <w:r w:rsidR="00190923" w:rsidRPr="00981405">
        <w:t xml:space="preserve"> </w:t>
      </w:r>
      <w:r w:rsidRPr="00981405">
        <w:t>In</w:t>
      </w:r>
      <w:r w:rsidR="00190923" w:rsidRPr="00981405">
        <w:t xml:space="preserve"> </w:t>
      </w:r>
      <w:r w:rsidRPr="00981405">
        <w:t>such</w:t>
      </w:r>
      <w:r w:rsidR="00190923" w:rsidRPr="00981405">
        <w:t xml:space="preserve"> </w:t>
      </w:r>
      <w:r w:rsidRPr="00981405">
        <w:t>a</w:t>
      </w:r>
      <w:r w:rsidR="00190923" w:rsidRPr="00981405">
        <w:t xml:space="preserve"> </w:t>
      </w:r>
      <w:r w:rsidRPr="00981405">
        <w:t>process</w:t>
      </w:r>
      <w:r w:rsidR="00190923" w:rsidRPr="00981405">
        <w:t xml:space="preserve"> </w:t>
      </w:r>
      <w:r w:rsidRPr="00981405">
        <w:t>of</w:t>
      </w:r>
      <w:r w:rsidR="00190923" w:rsidRPr="00981405">
        <w:t xml:space="preserve"> </w:t>
      </w:r>
      <w:r w:rsidRPr="00981405">
        <w:t>assessment,</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wording</w:t>
      </w:r>
      <w:r w:rsidR="00190923" w:rsidRPr="00981405">
        <w:t xml:space="preserve"> </w:t>
      </w:r>
      <w:r w:rsidRPr="00981405">
        <w:t>used</w:t>
      </w:r>
      <w:r w:rsidR="00190923" w:rsidRPr="00981405">
        <w:t xml:space="preserve"> </w:t>
      </w:r>
      <w:r w:rsidRPr="00981405">
        <w:t>in</w:t>
      </w:r>
      <w:r w:rsidR="00190923" w:rsidRPr="00981405">
        <w:t xml:space="preserve"> </w:t>
      </w:r>
      <w:r w:rsidRPr="00981405">
        <w:t>a</w:t>
      </w:r>
      <w:r w:rsidR="00190923" w:rsidRPr="00981405">
        <w:t xml:space="preserve"> </w:t>
      </w:r>
      <w:r w:rsidRPr="00981405">
        <w:t>given</w:t>
      </w:r>
      <w:r w:rsidR="00190923" w:rsidRPr="00981405">
        <w:t xml:space="preserve"> </w:t>
      </w:r>
      <w:r w:rsidRPr="00981405">
        <w:t>resolution</w:t>
      </w:r>
      <w:r w:rsidR="00190923" w:rsidRPr="00981405">
        <w:t xml:space="preserve"> </w:t>
      </w:r>
      <w:r w:rsidRPr="00981405">
        <w:t>was</w:t>
      </w:r>
      <w:r w:rsidR="00190923" w:rsidRPr="00981405">
        <w:t xml:space="preserve"> </w:t>
      </w:r>
      <w:r w:rsidRPr="00981405">
        <w:t>of</w:t>
      </w:r>
      <w:r w:rsidR="00190923" w:rsidRPr="00981405">
        <w:t xml:space="preserve"> </w:t>
      </w:r>
      <w:r w:rsidRPr="00981405">
        <w:t>critical</w:t>
      </w:r>
      <w:r w:rsidR="00190923" w:rsidRPr="00981405">
        <w:t xml:space="preserve"> </w:t>
      </w:r>
      <w:r w:rsidRPr="00981405">
        <w:t>importance,</w:t>
      </w:r>
      <w:r w:rsidR="00190923" w:rsidRPr="00981405">
        <w:t xml:space="preserve"> </w:t>
      </w:r>
      <w:r w:rsidRPr="00981405">
        <w:t>as</w:t>
      </w:r>
      <w:r w:rsidR="00190923" w:rsidRPr="00981405">
        <w:t xml:space="preserve"> </w:t>
      </w:r>
      <w:r w:rsidRPr="00981405">
        <w:t>were</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surrounding</w:t>
      </w:r>
      <w:r w:rsidR="00190923" w:rsidRPr="00981405">
        <w:t xml:space="preserve"> </w:t>
      </w:r>
      <w:r w:rsidRPr="00981405">
        <w:t>the</w:t>
      </w:r>
      <w:r w:rsidR="00190923" w:rsidRPr="00981405">
        <w:t xml:space="preserve"> </w:t>
      </w:r>
      <w:r w:rsidRPr="00981405">
        <w:t>adoption</w:t>
      </w:r>
      <w:r w:rsidR="00190923" w:rsidRPr="00981405">
        <w:t xml:space="preserve"> </w:t>
      </w:r>
      <w:r w:rsidRPr="00981405">
        <w:t>of</w:t>
      </w:r>
      <w:r w:rsidR="00190923" w:rsidRPr="00981405">
        <w:t xml:space="preserve"> </w:t>
      </w:r>
      <w:r w:rsidRPr="00981405">
        <w:t>the</w:t>
      </w:r>
      <w:r w:rsidR="00190923" w:rsidRPr="00981405">
        <w:t xml:space="preserve"> </w:t>
      </w:r>
      <w:r w:rsidRPr="00981405">
        <w:t>resolution</w:t>
      </w:r>
      <w:r w:rsidR="00190923" w:rsidRPr="00981405">
        <w:t xml:space="preserve"> </w:t>
      </w:r>
      <w:r w:rsidRPr="00981405">
        <w:t>in</w:t>
      </w:r>
      <w:r w:rsidR="00190923" w:rsidRPr="00981405">
        <w:t xml:space="preserve"> </w:t>
      </w:r>
      <w:r w:rsidRPr="00981405">
        <w:t>question.</w:t>
      </w:r>
    </w:p>
    <w:p w:rsidR="00397032" w:rsidRPr="00981405" w:rsidRDefault="00397032" w:rsidP="00D97463">
      <w:pPr>
        <w:pStyle w:val="SingleTxt"/>
      </w:pPr>
      <w:r w:rsidRPr="00981405">
        <w:lastRenderedPageBreak/>
        <w:t>70.</w:t>
      </w:r>
      <w:r w:rsidRPr="00981405">
        <w:tab/>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proceeded</w:t>
      </w:r>
      <w:r w:rsidR="00190923" w:rsidRPr="00981405">
        <w:t xml:space="preserve"> </w:t>
      </w:r>
      <w:r w:rsidRPr="00981405">
        <w:t>to</w:t>
      </w:r>
      <w:r w:rsidR="00190923" w:rsidRPr="00981405">
        <w:t xml:space="preserve"> </w:t>
      </w:r>
      <w:r w:rsidRPr="00981405">
        <w:t>consider</w:t>
      </w:r>
      <w:r w:rsidR="00190923" w:rsidRPr="00981405">
        <w:t xml:space="preserve"> </w:t>
      </w:r>
      <w:r w:rsidRPr="00981405">
        <w:t>two</w:t>
      </w:r>
      <w:r w:rsidR="00190923" w:rsidRPr="00981405">
        <w:t xml:space="preserve"> </w:t>
      </w:r>
      <w:r w:rsidR="00B92E2C" w:rsidRPr="00981405">
        <w:t>‘</w:t>
      </w:r>
      <w:r w:rsidRPr="00981405">
        <w:t>subsidiary</w:t>
      </w:r>
      <w:r w:rsidR="00B92E2C" w:rsidRPr="00981405">
        <w:t>’</w:t>
      </w:r>
      <w:r w:rsidRPr="00981405">
        <w:t>,</w:t>
      </w:r>
      <w:r w:rsidR="00190923" w:rsidRPr="00981405">
        <w:t xml:space="preserve"> </w:t>
      </w:r>
      <w:r w:rsidRPr="00981405">
        <w:t>albeit</w:t>
      </w:r>
      <w:r w:rsidR="00190923" w:rsidRPr="00981405">
        <w:t xml:space="preserve"> </w:t>
      </w:r>
      <w:r w:rsidRPr="00981405">
        <w:t>significant,</w:t>
      </w:r>
      <w:r w:rsidR="00190923" w:rsidRPr="00981405">
        <w:t xml:space="preserve"> </w:t>
      </w:r>
      <w:r w:rsidRPr="00981405">
        <w:t>means</w:t>
      </w:r>
      <w:r w:rsidR="00190923" w:rsidRPr="00981405">
        <w:t xml:space="preserve"> </w:t>
      </w:r>
      <w:r w:rsidRPr="00981405">
        <w:t>for</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190923" w:rsidRPr="00981405">
        <w:t xml:space="preserve"> </w:t>
      </w:r>
      <w:r w:rsidRPr="00981405">
        <w:t>By</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the</w:t>
      </w:r>
      <w:r w:rsidR="00190923" w:rsidRPr="00981405">
        <w:t xml:space="preserve"> </w:t>
      </w:r>
      <w:r w:rsidRPr="00981405">
        <w:t>report</w:t>
      </w:r>
      <w:r w:rsidR="00190923" w:rsidRPr="00981405">
        <w:t xml:space="preserve"> </w:t>
      </w:r>
      <w:r w:rsidRPr="00981405">
        <w:t>referred</w:t>
      </w:r>
      <w:r w:rsidR="00190923" w:rsidRPr="00981405">
        <w:t xml:space="preserve"> </w:t>
      </w:r>
      <w:r w:rsidRPr="00981405">
        <w:t>to</w:t>
      </w:r>
      <w:r w:rsidR="00190923" w:rsidRPr="00981405">
        <w:t xml:space="preserve"> </w:t>
      </w:r>
      <w:r w:rsidRPr="00981405">
        <w:t>both</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and</w:t>
      </w:r>
      <w:r w:rsidR="00190923" w:rsidRPr="00981405">
        <w:t xml:space="preserve"> </w:t>
      </w:r>
      <w:r w:rsidRPr="00981405">
        <w:t>decisions</w:t>
      </w:r>
      <w:r w:rsidR="00190923" w:rsidRPr="00981405">
        <w:t xml:space="preserve"> </w:t>
      </w:r>
      <w:r w:rsidRPr="00981405">
        <w:t>of</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former</w:t>
      </w:r>
      <w:r w:rsidR="00190923" w:rsidRPr="00981405">
        <w:t xml:space="preserve"> </w:t>
      </w:r>
      <w:r w:rsidRPr="00981405">
        <w:t>was</w:t>
      </w:r>
      <w:r w:rsidR="00190923" w:rsidRPr="00981405">
        <w:t xml:space="preserve"> </w:t>
      </w:r>
      <w:r w:rsidRPr="00981405">
        <w:t>underlined.</w:t>
      </w:r>
      <w:r w:rsidR="00190923" w:rsidRPr="00981405">
        <w:t xml:space="preserve"> </w:t>
      </w:r>
      <w:r w:rsidRPr="00981405">
        <w:t>Decisions</w:t>
      </w:r>
      <w:r w:rsidR="00190923" w:rsidRPr="00981405">
        <w:t xml:space="preserve"> </w:t>
      </w:r>
      <w:r w:rsidRPr="00981405">
        <w:t>of</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could</w:t>
      </w:r>
      <w:r w:rsidR="00190923" w:rsidRPr="00981405">
        <w:t xml:space="preserve"> </w:t>
      </w:r>
      <w:r w:rsidRPr="00981405">
        <w:t>also</w:t>
      </w:r>
      <w:r w:rsidR="00190923" w:rsidRPr="00981405">
        <w:t xml:space="preserve"> </w:t>
      </w:r>
      <w:r w:rsidRPr="00981405">
        <w:t>be</w:t>
      </w:r>
      <w:r w:rsidR="00190923" w:rsidRPr="00981405">
        <w:t xml:space="preserve"> </w:t>
      </w:r>
      <w:r w:rsidRPr="00981405">
        <w:t>influential,</w:t>
      </w:r>
      <w:r w:rsidR="00190923" w:rsidRPr="00981405">
        <w:t xml:space="preserve"> </w:t>
      </w:r>
      <w:r w:rsidRPr="00981405">
        <w:t>but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approached</w:t>
      </w:r>
      <w:r w:rsidR="00190923" w:rsidRPr="00981405">
        <w:t xml:space="preserve"> </w:t>
      </w:r>
      <w:r w:rsidRPr="00981405">
        <w:t>with</w:t>
      </w:r>
      <w:r w:rsidR="00190923" w:rsidRPr="00981405">
        <w:t xml:space="preserve"> </w:t>
      </w:r>
      <w:r w:rsidRPr="00981405">
        <w:t>some</w:t>
      </w:r>
      <w:r w:rsidR="00190923" w:rsidRPr="00981405">
        <w:t xml:space="preserve"> </w:t>
      </w:r>
      <w:r w:rsidRPr="00981405">
        <w:t>caution.</w:t>
      </w:r>
      <w:r w:rsidR="00B92E2C" w:rsidRPr="00981405">
        <w:t xml:space="preserve"> </w:t>
      </w:r>
      <w:r w:rsidRPr="00981405">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recognized</w:t>
      </w:r>
      <w:r w:rsidR="00190923" w:rsidRPr="00981405">
        <w:t xml:space="preserve"> </w:t>
      </w:r>
      <w:r w:rsidRPr="00981405">
        <w:t>that</w:t>
      </w:r>
      <w:r w:rsidR="00190923" w:rsidRPr="00981405">
        <w:t xml:space="preserve"> </w:t>
      </w:r>
      <w:r w:rsidRPr="00981405">
        <w:t>writings</w:t>
      </w:r>
      <w:r w:rsidR="00190923" w:rsidRPr="00981405">
        <w:t xml:space="preserve"> </w:t>
      </w:r>
      <w:r w:rsidRPr="00981405">
        <w:t>remained</w:t>
      </w:r>
      <w:r w:rsidR="00190923" w:rsidRPr="00981405">
        <w:t xml:space="preserve"> </w:t>
      </w:r>
      <w:r w:rsidRPr="00981405">
        <w:t>a</w:t>
      </w:r>
      <w:r w:rsidR="00190923" w:rsidRPr="00981405">
        <w:t xml:space="preserve"> </w:t>
      </w:r>
      <w:r w:rsidRPr="00981405">
        <w:t>useful</w:t>
      </w:r>
      <w:r w:rsidR="00190923" w:rsidRPr="00981405">
        <w:t xml:space="preserve"> </w:t>
      </w:r>
      <w:r w:rsidRPr="00981405">
        <w:t>source</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and</w:t>
      </w:r>
      <w:r w:rsidR="00190923" w:rsidRPr="00981405">
        <w:t xml:space="preserve"> </w:t>
      </w:r>
      <w:r w:rsidRPr="00981405">
        <w:t>analysis</w:t>
      </w:r>
      <w:r w:rsidR="00190923" w:rsidRPr="00981405">
        <w:t xml:space="preserve"> </w:t>
      </w:r>
      <w:r w:rsidRPr="00981405">
        <w:t>for</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although</w:t>
      </w:r>
      <w:r w:rsidR="00190923" w:rsidRPr="00981405">
        <w:t xml:space="preserve"> </w:t>
      </w:r>
      <w:r w:rsidRPr="00981405">
        <w:t>it</w:t>
      </w:r>
      <w:r w:rsidR="00190923" w:rsidRPr="00981405">
        <w:t xml:space="preserve"> </w:t>
      </w:r>
      <w:r w:rsidRPr="00981405">
        <w:t>was</w:t>
      </w:r>
      <w:r w:rsidR="00190923" w:rsidRPr="00981405">
        <w:t xml:space="preserve"> </w:t>
      </w:r>
      <w:r w:rsidRPr="00981405">
        <w:t>important</w:t>
      </w:r>
      <w:r w:rsidR="00190923" w:rsidRPr="00981405">
        <w:t xml:space="preserve"> </w:t>
      </w:r>
      <w:r w:rsidRPr="00981405">
        <w:t>to</w:t>
      </w:r>
      <w:r w:rsidR="00190923" w:rsidRPr="00981405">
        <w:t xml:space="preserve"> </w:t>
      </w:r>
      <w:r w:rsidRPr="00981405">
        <w:t>distinguish</w:t>
      </w:r>
      <w:r w:rsidR="00190923" w:rsidRPr="00981405">
        <w:t xml:space="preserve"> </w:t>
      </w:r>
      <w:r w:rsidRPr="00981405">
        <w:t>between</w:t>
      </w:r>
      <w:r w:rsidR="00190923" w:rsidRPr="00981405">
        <w:t xml:space="preserve"> </w:t>
      </w:r>
      <w:r w:rsidRPr="00981405">
        <w:t>those</w:t>
      </w:r>
      <w:r w:rsidR="00190923" w:rsidRPr="00981405">
        <w:t xml:space="preserve"> </w:t>
      </w:r>
      <w:r w:rsidRPr="00981405">
        <w:t>that</w:t>
      </w:r>
      <w:r w:rsidR="00190923" w:rsidRPr="00981405">
        <w:t xml:space="preserve"> </w:t>
      </w:r>
      <w:r w:rsidRPr="00981405">
        <w:t>were</w:t>
      </w:r>
      <w:r w:rsidR="00190923" w:rsidRPr="00981405">
        <w:t xml:space="preserve"> </w:t>
      </w:r>
      <w:r w:rsidRPr="00981405">
        <w:t>intended</w:t>
      </w:r>
      <w:r w:rsidR="00190923" w:rsidRPr="00981405">
        <w:t xml:space="preserve"> </w:t>
      </w:r>
      <w:r w:rsidRPr="00981405">
        <w:t>to</w:t>
      </w:r>
      <w:r w:rsidR="00190923" w:rsidRPr="00981405">
        <w:t xml:space="preserve"> </w:t>
      </w:r>
      <w:r w:rsidRPr="00981405">
        <w:t>reflect</w:t>
      </w:r>
      <w:r w:rsidR="00190923" w:rsidRPr="00981405">
        <w:t xml:space="preserve"> </w:t>
      </w:r>
      <w:r w:rsidRPr="00981405">
        <w:t>existing</w:t>
      </w:r>
      <w:r w:rsidR="00190923" w:rsidRPr="00981405">
        <w:t xml:space="preserve"> </w:t>
      </w:r>
      <w:r w:rsidRPr="00981405">
        <w:t>law</w:t>
      </w:r>
      <w:r w:rsidR="00190923" w:rsidRPr="00981405">
        <w:t xml:space="preserve"> </w:t>
      </w:r>
      <w:r w:rsidRPr="00981405">
        <w:t>(</w:t>
      </w:r>
      <w:r w:rsidR="00BF1D0D" w:rsidRPr="00981405">
        <w:rPr>
          <w:i/>
          <w:iCs/>
        </w:rPr>
        <w:t>lex</w:t>
      </w:r>
      <w:r w:rsidR="00190923" w:rsidRPr="00981405">
        <w:rPr>
          <w:i/>
          <w:iCs/>
        </w:rPr>
        <w:t xml:space="preserve"> </w:t>
      </w:r>
      <w:r w:rsidR="00BF1D0D" w:rsidRPr="00981405">
        <w:rPr>
          <w:i/>
          <w:iCs/>
        </w:rPr>
        <w:t>lata</w:t>
      </w:r>
      <w:r w:rsidRPr="00981405">
        <w:t>)</w:t>
      </w:r>
      <w:r w:rsidR="00190923" w:rsidRPr="00981405">
        <w:t xml:space="preserve"> </w:t>
      </w:r>
      <w:r w:rsidRPr="00981405">
        <w:t>and</w:t>
      </w:r>
      <w:r w:rsidR="00190923" w:rsidRPr="00981405">
        <w:t xml:space="preserve"> </w:t>
      </w:r>
      <w:r w:rsidRPr="00981405">
        <w:t>those</w:t>
      </w:r>
      <w:r w:rsidR="00190923" w:rsidRPr="00981405">
        <w:t xml:space="preserve"> </w:t>
      </w:r>
      <w:r w:rsidRPr="00981405">
        <w:t>that</w:t>
      </w:r>
      <w:r w:rsidR="00190923" w:rsidRPr="00981405">
        <w:t xml:space="preserve"> </w:t>
      </w:r>
      <w:r w:rsidRPr="00981405">
        <w:t>were</w:t>
      </w:r>
      <w:r w:rsidR="00190923" w:rsidRPr="00981405">
        <w:t xml:space="preserve"> </w:t>
      </w:r>
      <w:r w:rsidRPr="00981405">
        <w:t>put</w:t>
      </w:r>
      <w:r w:rsidR="00190923" w:rsidRPr="00981405">
        <w:t xml:space="preserve"> </w:t>
      </w:r>
      <w:r w:rsidRPr="00981405">
        <w:t>forward</w:t>
      </w:r>
      <w:r w:rsidR="00190923" w:rsidRPr="00981405">
        <w:t xml:space="preserve"> </w:t>
      </w:r>
      <w:r w:rsidRPr="00981405">
        <w:t>as</w:t>
      </w:r>
      <w:r w:rsidR="00190923" w:rsidRPr="00981405">
        <w:t xml:space="preserve"> </w:t>
      </w:r>
      <w:r w:rsidRPr="00981405">
        <w:t>emerging</w:t>
      </w:r>
      <w:r w:rsidR="00190923" w:rsidRPr="00981405">
        <w:t xml:space="preserve"> </w:t>
      </w:r>
      <w:r w:rsidRPr="00981405">
        <w:t>law</w:t>
      </w:r>
      <w:r w:rsidR="00190923" w:rsidRPr="00981405">
        <w:t xml:space="preserve"> </w:t>
      </w:r>
      <w:r w:rsidRPr="00981405">
        <w:t>(</w:t>
      </w:r>
      <w:r w:rsidRPr="00D97463">
        <w:rPr>
          <w:i/>
          <w:iCs/>
        </w:rPr>
        <w:t>lex</w:t>
      </w:r>
      <w:r w:rsidR="00190923" w:rsidRPr="00981405">
        <w:rPr>
          <w:i/>
          <w:iCs/>
        </w:rPr>
        <w:t xml:space="preserve"> </w:t>
      </w:r>
      <w:r w:rsidRPr="00D97463">
        <w:rPr>
          <w:i/>
          <w:iCs/>
        </w:rPr>
        <w:t>ferenda</w:t>
      </w:r>
      <w:r w:rsidRPr="00981405">
        <w:t>).</w:t>
      </w:r>
    </w:p>
    <w:p w:rsidR="00397032" w:rsidRPr="00981405" w:rsidRDefault="00397032" w:rsidP="00D97463">
      <w:pPr>
        <w:pStyle w:val="SingleTxt"/>
      </w:pPr>
      <w:r w:rsidRPr="00981405">
        <w:t>71.</w:t>
      </w:r>
      <w:r w:rsidRPr="00981405">
        <w:tab/>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report</w:t>
      </w:r>
      <w:r w:rsidR="00190923" w:rsidRPr="00981405">
        <w:t xml:space="preserve"> </w:t>
      </w:r>
      <w:r w:rsidRPr="00981405">
        <w:t>recalled</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reached</w:t>
      </w:r>
      <w:r w:rsidR="00190923" w:rsidRPr="00981405">
        <w:t xml:space="preserve"> </w:t>
      </w:r>
      <w:r w:rsidRPr="00981405">
        <w:t>last</w:t>
      </w:r>
      <w:r w:rsidR="00190923" w:rsidRPr="00981405">
        <w:t xml:space="preserve"> </w:t>
      </w:r>
      <w:r w:rsidRPr="00981405">
        <w:t>year</w:t>
      </w:r>
      <w:r w:rsidR="00190923" w:rsidRPr="00981405">
        <w:t xml:space="preserve"> </w:t>
      </w:r>
      <w:r w:rsidRPr="00981405">
        <w:t>that,</w:t>
      </w:r>
      <w:r w:rsidR="00190923" w:rsidRPr="00981405">
        <w:t xml:space="preserve"> </w:t>
      </w:r>
      <w:r w:rsidRPr="00981405">
        <w:t>in</w:t>
      </w:r>
      <w:r w:rsidR="00190923" w:rsidRPr="00981405">
        <w:t xml:space="preserve"> </w:t>
      </w:r>
      <w:r w:rsidRPr="00981405">
        <w:t>certain</w:t>
      </w:r>
      <w:r w:rsidR="00190923" w:rsidRPr="00981405">
        <w:t xml:space="preserve"> </w:t>
      </w:r>
      <w:r w:rsidRPr="00981405">
        <w:t>cases,</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also</w:t>
      </w:r>
      <w:r w:rsidR="00190923" w:rsidRPr="00981405">
        <w:t xml:space="preserve"> </w:t>
      </w:r>
      <w:r w:rsidRPr="00981405">
        <w:t>contributed</w:t>
      </w:r>
      <w:r w:rsidR="00190923" w:rsidRPr="00981405">
        <w:t xml:space="preserve"> </w:t>
      </w:r>
      <w:r w:rsidRPr="00981405">
        <w:t>to</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or</w:t>
      </w:r>
      <w:r w:rsidR="00190923" w:rsidRPr="00981405">
        <w:t xml:space="preserve"> </w:t>
      </w:r>
      <w:r w:rsidRPr="00981405">
        <w:t>expression,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emphasized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within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that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themselves.</w:t>
      </w:r>
      <w:r w:rsidR="00190923" w:rsidRPr="00981405">
        <w:t xml:space="preserve"> </w:t>
      </w:r>
      <w:r w:rsidRPr="00981405">
        <w:t>He</w:t>
      </w:r>
      <w:r w:rsidR="00190923" w:rsidRPr="00981405">
        <w:t xml:space="preserve"> </w:t>
      </w:r>
      <w:r w:rsidRPr="00981405">
        <w:t>also</w:t>
      </w:r>
      <w:r w:rsidR="00190923" w:rsidRPr="00981405">
        <w:t xml:space="preserve"> </w:t>
      </w:r>
      <w:r w:rsidRPr="00981405">
        <w:t>highlighted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distinguishing</w:t>
      </w:r>
      <w:r w:rsidR="00190923" w:rsidRPr="00981405">
        <w:t xml:space="preserve"> </w:t>
      </w:r>
      <w:r w:rsidRPr="00981405">
        <w:t>between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that</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internal</w:t>
      </w:r>
      <w:r w:rsidR="00190923" w:rsidRPr="00981405">
        <w:t xml:space="preserve"> </w:t>
      </w:r>
      <w:r w:rsidRPr="00981405">
        <w:t>operation</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and</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its</w:t>
      </w:r>
      <w:r w:rsidR="00190923" w:rsidRPr="00981405">
        <w:t xml:space="preserve"> </w:t>
      </w:r>
      <w:r w:rsidRPr="00981405">
        <w:t>relations</w:t>
      </w:r>
      <w:r w:rsidR="00190923" w:rsidRPr="00981405">
        <w:t xml:space="preserve"> </w:t>
      </w:r>
      <w:r w:rsidRPr="00981405">
        <w:t>with</w:t>
      </w:r>
      <w:r w:rsidR="00190923" w:rsidRPr="00981405">
        <w:t xml:space="preserve"> </w:t>
      </w:r>
      <w:r w:rsidRPr="00981405">
        <w:t>States</w:t>
      </w:r>
      <w:r w:rsidR="00190923" w:rsidRPr="00981405">
        <w:t xml:space="preserve"> </w:t>
      </w:r>
      <w:r w:rsidRPr="00981405">
        <w:t>and</w:t>
      </w:r>
      <w:r w:rsidR="00190923" w:rsidRPr="00981405">
        <w:t xml:space="preserve"> </w:t>
      </w:r>
      <w:r w:rsidRPr="00981405">
        <w:t>others.</w:t>
      </w:r>
      <w:r w:rsidR="00190923" w:rsidRPr="00981405">
        <w:t xml:space="preserve"> </w:t>
      </w:r>
      <w:r w:rsidRPr="00981405">
        <w:t>In</w:t>
      </w:r>
      <w:r w:rsidR="00190923" w:rsidRPr="00981405">
        <w:t xml:space="preserve"> </w:t>
      </w:r>
      <w:r w:rsidRPr="00981405">
        <w:t>addition,</w:t>
      </w:r>
      <w:r w:rsidR="00190923" w:rsidRPr="00981405">
        <w:t xml:space="preserve"> </w:t>
      </w:r>
      <w:r w:rsidRPr="00981405">
        <w:t>it</w:t>
      </w:r>
      <w:r w:rsidR="00190923" w:rsidRPr="00981405">
        <w:t xml:space="preserve"> </w:t>
      </w:r>
      <w:r w:rsidRPr="00981405">
        <w:t>was</w:t>
      </w:r>
      <w:r w:rsidR="00190923" w:rsidRPr="00981405">
        <w:t xml:space="preserve"> </w:t>
      </w:r>
      <w:r w:rsidRPr="00981405">
        <w:t>proposed</w:t>
      </w:r>
      <w:r w:rsidR="00190923" w:rsidRPr="00981405">
        <w:t xml:space="preserve"> </w:t>
      </w:r>
      <w:r w:rsidRPr="00981405">
        <w:t>that</w:t>
      </w:r>
      <w:r w:rsidR="00190923" w:rsidRPr="00981405">
        <w:t xml:space="preserve"> </w:t>
      </w:r>
      <w:r w:rsidRPr="00981405">
        <w:t>the</w:t>
      </w:r>
      <w:r w:rsidR="00190923" w:rsidRPr="00981405">
        <w:t xml:space="preserve"> </w:t>
      </w:r>
      <w:r w:rsidRPr="00981405">
        <w:t>conduct</w:t>
      </w:r>
      <w:r w:rsidR="00190923" w:rsidRPr="00981405">
        <w:t xml:space="preserve"> </w:t>
      </w:r>
      <w:r w:rsidRPr="00981405">
        <w:t>of</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other</w:t>
      </w:r>
      <w:r w:rsidR="00190923" w:rsidRPr="00981405">
        <w:t xml:space="preserve"> </w:t>
      </w:r>
      <w:r w:rsidRPr="00981405">
        <w:t>than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p>
    <w:p w:rsidR="00397032" w:rsidRPr="00981405" w:rsidRDefault="00397032" w:rsidP="00D97463">
      <w:pPr>
        <w:pStyle w:val="SingleTxt"/>
      </w:pPr>
      <w:r w:rsidRPr="00981405">
        <w:t>72.</w:t>
      </w:r>
      <w:r w:rsidRPr="00981405">
        <w:tab/>
        <w:t>The</w:t>
      </w:r>
      <w:r w:rsidR="00190923" w:rsidRPr="00981405">
        <w:t xml:space="preserve"> </w:t>
      </w:r>
      <w:r w:rsidRPr="00981405">
        <w:t>report</w:t>
      </w:r>
      <w:r w:rsidR="00190923" w:rsidRPr="00981405">
        <w:t xml:space="preserve"> </w:t>
      </w:r>
      <w:r w:rsidRPr="00981405">
        <w:t>turned</w:t>
      </w:r>
      <w:r w:rsidR="00190923" w:rsidRPr="00981405">
        <w:t xml:space="preserve"> </w:t>
      </w:r>
      <w:r w:rsidRPr="00981405">
        <w:t>to</w:t>
      </w:r>
      <w:r w:rsidR="00190923" w:rsidRPr="00981405">
        <w:t xml:space="preserve"> </w:t>
      </w:r>
      <w:r w:rsidRPr="00981405">
        <w:t>the</w:t>
      </w:r>
      <w:r w:rsidR="00190923" w:rsidRPr="00981405">
        <w:t xml:space="preserve"> </w:t>
      </w:r>
      <w:r w:rsidRPr="00981405">
        <w:t>category</w:t>
      </w:r>
      <w:r w:rsidR="00190923" w:rsidRPr="00981405">
        <w:t xml:space="preserve"> </w:t>
      </w:r>
      <w:r w:rsidRPr="00981405">
        <w:t>of</w:t>
      </w:r>
      <w:r w:rsidR="00190923" w:rsidRPr="00981405">
        <w:t xml:space="preserve"> </w:t>
      </w:r>
      <w:r w:rsidR="00B92E2C" w:rsidRPr="00981405">
        <w:t>“</w:t>
      </w:r>
      <w:r w:rsidRPr="00981405">
        <w:t>particular</w:t>
      </w:r>
      <w:r w:rsidR="00190923" w:rsidRPr="00981405">
        <w:t xml:space="preserve"> </w:t>
      </w:r>
      <w:r w:rsidRPr="00981405">
        <w:t>custom</w:t>
      </w:r>
      <w:r w:rsidR="00B92E2C" w:rsidRPr="00981405">
        <w:t>”</w:t>
      </w:r>
      <w:r w:rsidRPr="00981405">
        <w:t>,</w:t>
      </w:r>
      <w:r w:rsidR="00190923" w:rsidRPr="00981405">
        <w:t xml:space="preserve"> </w:t>
      </w:r>
      <w:r w:rsidRPr="00981405">
        <w:t>a</w:t>
      </w:r>
      <w:r w:rsidR="00190923" w:rsidRPr="00981405">
        <w:t xml:space="preserve"> </w:t>
      </w:r>
      <w:r w:rsidRPr="00981405">
        <w:t>term</w:t>
      </w:r>
      <w:r w:rsidR="00190923" w:rsidRPr="00981405">
        <w:t xml:space="preserve"> </w:t>
      </w:r>
      <w:r w:rsidRPr="00981405">
        <w:t>which</w:t>
      </w:r>
      <w:r w:rsidR="00190923" w:rsidRPr="00981405">
        <w:t xml:space="preserve"> </w:t>
      </w:r>
      <w:r w:rsidRPr="00981405">
        <w:t>was</w:t>
      </w:r>
      <w:r w:rsidR="00190923" w:rsidRPr="00981405">
        <w:t xml:space="preserve"> </w:t>
      </w:r>
      <w:r w:rsidRPr="00981405">
        <w:t>intended</w:t>
      </w:r>
      <w:r w:rsidR="00190923" w:rsidRPr="00981405">
        <w:t xml:space="preserve"> </w:t>
      </w:r>
      <w:r w:rsidRPr="00981405">
        <w:t>to</w:t>
      </w:r>
      <w:r w:rsidR="00190923" w:rsidRPr="00981405">
        <w:t xml:space="preserve"> </w:t>
      </w:r>
      <w:r w:rsidRPr="00981405">
        <w:t>cover,</w:t>
      </w:r>
      <w:r w:rsidR="00190923" w:rsidRPr="00981405">
        <w:t xml:space="preserve"> </w:t>
      </w:r>
      <w:r w:rsidRPr="00981405">
        <w:t>as</w:t>
      </w:r>
      <w:r w:rsidR="00190923" w:rsidRPr="00981405">
        <w:t xml:space="preserve"> </w:t>
      </w:r>
      <w:r w:rsidRPr="00981405">
        <w:t>explained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what</w:t>
      </w:r>
      <w:r w:rsidR="00190923" w:rsidRPr="00981405">
        <w:t xml:space="preserve"> </w:t>
      </w:r>
      <w:r w:rsidRPr="00981405">
        <w:t>were</w:t>
      </w:r>
      <w:r w:rsidR="00190923" w:rsidRPr="00981405">
        <w:t xml:space="preserve"> </w:t>
      </w:r>
      <w:r w:rsidRPr="00981405">
        <w:t>sometimes</w:t>
      </w:r>
      <w:r w:rsidR="00190923" w:rsidRPr="00981405">
        <w:t xml:space="preserve"> </w:t>
      </w:r>
      <w:r w:rsidRPr="00981405">
        <w:t>referred</w:t>
      </w:r>
      <w:r w:rsidR="00190923" w:rsidRPr="00981405">
        <w:t xml:space="preserve"> </w:t>
      </w:r>
      <w:r w:rsidRPr="00981405">
        <w:t>to</w:t>
      </w:r>
      <w:r w:rsidR="00190923" w:rsidRPr="00981405">
        <w:t xml:space="preserve"> </w:t>
      </w:r>
      <w:r w:rsidRPr="00981405">
        <w:t>as</w:t>
      </w:r>
      <w:r w:rsidR="00190923" w:rsidRPr="00981405">
        <w:t xml:space="preserve"> </w:t>
      </w:r>
      <w:r w:rsidR="00B92E2C" w:rsidRPr="00981405">
        <w:t>“</w:t>
      </w:r>
      <w:r w:rsidRPr="00981405">
        <w:t>special</w:t>
      </w:r>
      <w:r w:rsidR="00B92E2C" w:rsidRPr="00981405">
        <w:t>”</w:t>
      </w:r>
      <w:r w:rsidRPr="00981405">
        <w:t>,</w:t>
      </w:r>
      <w:r w:rsidR="00190923" w:rsidRPr="00981405">
        <w:t xml:space="preserve"> </w:t>
      </w:r>
      <w:r w:rsidR="00B92E2C" w:rsidRPr="00981405">
        <w:t>“</w:t>
      </w:r>
      <w:r w:rsidRPr="00981405">
        <w:t>regional</w:t>
      </w:r>
      <w:r w:rsidR="00B92E2C" w:rsidRPr="00981405">
        <w:t>”</w:t>
      </w:r>
      <w:r w:rsidRPr="00981405">
        <w:t>,</w:t>
      </w:r>
      <w:r w:rsidR="00190923" w:rsidRPr="00981405">
        <w:t xml:space="preserve"> </w:t>
      </w:r>
      <w:r w:rsidR="00B92E2C" w:rsidRPr="00981405">
        <w:t>“</w:t>
      </w:r>
      <w:r w:rsidRPr="00981405">
        <w:t>local</w:t>
      </w:r>
      <w:r w:rsidR="00B92E2C" w:rsidRPr="00981405">
        <w:t>”</w:t>
      </w:r>
      <w:r w:rsidR="00190923" w:rsidRPr="00981405">
        <w:t xml:space="preserve"> </w:t>
      </w:r>
      <w:r w:rsidRPr="00981405">
        <w:t>or</w:t>
      </w:r>
      <w:r w:rsidR="00190923" w:rsidRPr="00981405">
        <w:t xml:space="preserve"> </w:t>
      </w:r>
      <w:r w:rsidR="00B92E2C" w:rsidRPr="00981405">
        <w:t>“</w:t>
      </w:r>
      <w:r w:rsidRPr="00981405">
        <w:t>bilateral</w:t>
      </w:r>
      <w:r w:rsidR="00B92E2C" w:rsidRPr="00981405">
        <w:t>”</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stressed</w:t>
      </w:r>
      <w:r w:rsidR="00190923" w:rsidRPr="00981405">
        <w:t xml:space="preserve"> </w:t>
      </w:r>
      <w:r w:rsidRPr="00981405">
        <w:t>that,</w:t>
      </w:r>
      <w:r w:rsidR="00190923" w:rsidRPr="00981405">
        <w:t xml:space="preserve"> </w:t>
      </w:r>
      <w:r w:rsidRPr="00981405">
        <w:t>given</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as</w:t>
      </w:r>
      <w:r w:rsidR="00190923" w:rsidRPr="00981405">
        <w:t xml:space="preserve"> </w:t>
      </w:r>
      <w:r w:rsidRPr="00981405">
        <w:t>binding</w:t>
      </w:r>
      <w:r w:rsidR="00190923" w:rsidRPr="00981405">
        <w:t xml:space="preserve"> </w:t>
      </w:r>
      <w:r w:rsidRPr="00981405">
        <w:t>only</w:t>
      </w:r>
      <w:r w:rsidR="00190923" w:rsidRPr="00981405">
        <w:t xml:space="preserve"> </w:t>
      </w:r>
      <w:r w:rsidRPr="00981405">
        <w:t>on</w:t>
      </w:r>
      <w:r w:rsidR="00190923" w:rsidRPr="00981405">
        <w:t xml:space="preserve"> </w:t>
      </w:r>
      <w:r w:rsidRPr="00981405">
        <w:t>a</w:t>
      </w:r>
      <w:r w:rsidR="00190923" w:rsidRPr="00981405">
        <w:t xml:space="preserve"> </w:t>
      </w:r>
      <w:r w:rsidRPr="00981405">
        <w:t>limited</w:t>
      </w:r>
      <w:r w:rsidR="00190923" w:rsidRPr="00981405">
        <w:t xml:space="preserve"> </w:t>
      </w:r>
      <w:r w:rsidRPr="00981405">
        <w:t>number</w:t>
      </w:r>
      <w:r w:rsidR="00190923" w:rsidRPr="00981405">
        <w:t xml:space="preserve"> </w:t>
      </w:r>
      <w:r w:rsidRPr="00981405">
        <w:t>of</w:t>
      </w:r>
      <w:r w:rsidR="00190923" w:rsidRPr="00981405">
        <w:t xml:space="preserve"> </w:t>
      </w:r>
      <w:r w:rsidRPr="00981405">
        <w:t>States,</w:t>
      </w:r>
      <w:r w:rsidR="00190923" w:rsidRPr="00981405">
        <w:t xml:space="preserve"> </w:t>
      </w:r>
      <w:r w:rsidRPr="00981405">
        <w:t>it</w:t>
      </w:r>
      <w:r w:rsidR="00190923" w:rsidRPr="00981405">
        <w:t xml:space="preserve"> </w:t>
      </w:r>
      <w:r w:rsidRPr="00981405">
        <w:t>was</w:t>
      </w:r>
      <w:r w:rsidR="00190923" w:rsidRPr="00981405">
        <w:t xml:space="preserve"> </w:t>
      </w:r>
      <w:r w:rsidRPr="00981405">
        <w:t>essential</w:t>
      </w:r>
      <w:r w:rsidR="00190923" w:rsidRPr="00981405">
        <w:t xml:space="preserve"> </w:t>
      </w:r>
      <w:r w:rsidRPr="00981405">
        <w:t>to</w:t>
      </w:r>
      <w:r w:rsidR="00190923" w:rsidRPr="00981405">
        <w:t xml:space="preserve"> </w:t>
      </w:r>
      <w:r w:rsidRPr="00981405">
        <w:t>identify</w:t>
      </w:r>
      <w:r w:rsidR="00190923" w:rsidRPr="00981405">
        <w:t xml:space="preserve"> </w:t>
      </w:r>
      <w:r w:rsidRPr="00981405">
        <w:t>clearly</w:t>
      </w:r>
      <w:r w:rsidR="00190923" w:rsidRPr="00981405">
        <w:t xml:space="preserve"> </w:t>
      </w:r>
      <w:r w:rsidRPr="00981405">
        <w:t>which</w:t>
      </w:r>
      <w:r w:rsidR="00190923" w:rsidRPr="00981405">
        <w:t xml:space="preserve"> </w:t>
      </w:r>
      <w:r w:rsidRPr="00981405">
        <w:t>States</w:t>
      </w:r>
      <w:r w:rsidR="00190923" w:rsidRPr="00981405">
        <w:t xml:space="preserve"> </w:t>
      </w:r>
      <w:r w:rsidRPr="00981405">
        <w:t>had</w:t>
      </w:r>
      <w:r w:rsidR="00190923" w:rsidRPr="00981405">
        <w:t xml:space="preserve"> </w:t>
      </w:r>
      <w:r w:rsidRPr="00981405">
        <w:t>participated</w:t>
      </w:r>
      <w:r w:rsidR="00190923" w:rsidRPr="00981405">
        <w:t xml:space="preserve"> </w:t>
      </w:r>
      <w:r w:rsidRPr="00981405">
        <w:t>in</w:t>
      </w:r>
      <w:r w:rsidR="00190923" w:rsidRPr="00981405">
        <w:t xml:space="preserve"> </w:t>
      </w:r>
      <w:r w:rsidRPr="00981405">
        <w:t>the</w:t>
      </w:r>
      <w:r w:rsidR="00190923" w:rsidRPr="00981405">
        <w:t xml:space="preserve"> </w:t>
      </w:r>
      <w:r w:rsidRPr="00981405">
        <w:t>practice</w:t>
      </w:r>
      <w:r w:rsidR="00190923" w:rsidRPr="00981405">
        <w:t xml:space="preserve"> </w:t>
      </w:r>
      <w:r w:rsidRPr="00981405">
        <w:t>and</w:t>
      </w:r>
      <w:r w:rsidR="00190923" w:rsidRPr="00981405">
        <w:t xml:space="preserve"> </w:t>
      </w:r>
      <w:r w:rsidRPr="00981405">
        <w:t>accepted</w:t>
      </w:r>
      <w:r w:rsidR="00190923" w:rsidRPr="00981405">
        <w:t xml:space="preserve"> </w:t>
      </w:r>
      <w:r w:rsidRPr="00981405">
        <w:t>it</w:t>
      </w:r>
      <w:r w:rsidR="00190923" w:rsidRPr="00981405">
        <w:t xml:space="preserve"> </w:t>
      </w:r>
      <w:r w:rsidRPr="00981405">
        <w:t>as</w:t>
      </w:r>
      <w:r w:rsidR="00190923" w:rsidRPr="00981405">
        <w:t xml:space="preserve"> </w:t>
      </w:r>
      <w:r w:rsidRPr="00981405">
        <w:t>law.</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determine</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custom,</w:t>
      </w:r>
      <w:r w:rsidR="00190923" w:rsidRPr="00981405">
        <w:t xml:space="preserve"> </w:t>
      </w:r>
      <w:r w:rsidRPr="00981405">
        <w:t>it</w:t>
      </w:r>
      <w:r w:rsidR="00190923" w:rsidRPr="00981405">
        <w:t xml:space="preserve"> </w:t>
      </w:r>
      <w:r w:rsidRPr="00981405">
        <w:t>was</w:t>
      </w:r>
      <w:r w:rsidR="00190923" w:rsidRPr="00981405">
        <w:t xml:space="preserve"> </w:t>
      </w:r>
      <w:r w:rsidRPr="00981405">
        <w:t>therefore</w:t>
      </w:r>
      <w:r w:rsidR="00190923" w:rsidRPr="00981405">
        <w:t xml:space="preserve"> </w:t>
      </w:r>
      <w:r w:rsidRPr="00981405">
        <w:t>necessary</w:t>
      </w:r>
      <w:r w:rsidR="00190923" w:rsidRPr="00981405">
        <w:t xml:space="preserve"> </w:t>
      </w:r>
      <w:r w:rsidRPr="00981405">
        <w:t>to</w:t>
      </w:r>
      <w:r w:rsidR="00190923" w:rsidRPr="00981405">
        <w:t xml:space="preserve"> </w:t>
      </w:r>
      <w:r w:rsidRPr="00981405">
        <w:t>ascertain</w:t>
      </w:r>
      <w:r w:rsidR="00190923" w:rsidRPr="00981405">
        <w:t xml:space="preserve"> </w:t>
      </w:r>
      <w:r w:rsidRPr="00981405">
        <w:t>whether</w:t>
      </w:r>
      <w:r w:rsidR="00190923" w:rsidRPr="00981405">
        <w:t xml:space="preserve"> </w:t>
      </w:r>
      <w:r w:rsidRPr="00981405">
        <w:t>there</w:t>
      </w:r>
      <w:r w:rsidR="00190923" w:rsidRPr="00981405">
        <w:t xml:space="preserve"> </w:t>
      </w:r>
      <w:r w:rsidRPr="00981405">
        <w:t>was</w:t>
      </w:r>
      <w:r w:rsidR="00190923" w:rsidRPr="00981405">
        <w:t xml:space="preserve"> </w:t>
      </w:r>
      <w:r w:rsidRPr="00981405">
        <w:t>a</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among</w:t>
      </w:r>
      <w:r w:rsidR="00190923" w:rsidRPr="00981405">
        <w:t xml:space="preserve"> </w:t>
      </w:r>
      <w:r w:rsidRPr="00981405">
        <w:t>the</w:t>
      </w:r>
      <w:r w:rsidR="00190923" w:rsidRPr="00981405">
        <w:t xml:space="preserve"> </w:t>
      </w:r>
      <w:r w:rsidRPr="00981405">
        <w:t>States</w:t>
      </w:r>
      <w:r w:rsidR="00190923" w:rsidRPr="00981405">
        <w:t xml:space="preserve"> </w:t>
      </w:r>
      <w:r w:rsidRPr="00981405">
        <w:t>concerned</w:t>
      </w:r>
      <w:r w:rsidR="00190923" w:rsidRPr="00981405">
        <w:t xml:space="preserve"> </w:t>
      </w:r>
      <w:r w:rsidRPr="00981405">
        <w:t>that</w:t>
      </w:r>
      <w:r w:rsidR="00190923" w:rsidRPr="00981405">
        <w:t xml:space="preserve"> </w:t>
      </w:r>
      <w:r w:rsidRPr="00981405">
        <w:t>was</w:t>
      </w:r>
      <w:r w:rsidR="00190923" w:rsidRPr="00981405">
        <w:t xml:space="preserve"> </w:t>
      </w:r>
      <w:r w:rsidRPr="00981405">
        <w:t>accepted</w:t>
      </w:r>
      <w:r w:rsidR="00190923" w:rsidRPr="00981405">
        <w:t xml:space="preserve"> </w:t>
      </w:r>
      <w:r w:rsidRPr="00981405">
        <w:t>by</w:t>
      </w:r>
      <w:r w:rsidR="00190923" w:rsidRPr="00981405">
        <w:t xml:space="preserve"> </w:t>
      </w:r>
      <w:r w:rsidRPr="00981405">
        <w:t>each</w:t>
      </w:r>
      <w:r w:rsidR="00190923" w:rsidRPr="00981405">
        <w:t xml:space="preserve"> </w:t>
      </w:r>
      <w:r w:rsidRPr="00981405">
        <w:t>of</w:t>
      </w:r>
      <w:r w:rsidR="00190923" w:rsidRPr="00981405">
        <w:t xml:space="preserve"> </w:t>
      </w:r>
      <w:r w:rsidRPr="00981405">
        <w:t>them</w:t>
      </w:r>
      <w:r w:rsidR="00190923" w:rsidRPr="00981405">
        <w:t xml:space="preserve"> </w:t>
      </w:r>
      <w:r w:rsidRPr="00981405">
        <w:t>as</w:t>
      </w:r>
      <w:r w:rsidR="00190923" w:rsidRPr="00981405">
        <w:t xml:space="preserve"> </w:t>
      </w:r>
      <w:r w:rsidRPr="00981405">
        <w:t>law</w:t>
      </w:r>
      <w:r w:rsidR="00190923" w:rsidRPr="00981405">
        <w:t xml:space="preserve"> </w:t>
      </w:r>
      <w:r w:rsidRPr="00981405">
        <w:t>(</w:t>
      </w:r>
      <w:r w:rsidR="00BF1D0D" w:rsidRPr="00981405">
        <w:rPr>
          <w:i/>
          <w:iCs/>
        </w:rPr>
        <w:t>opinio</w:t>
      </w:r>
      <w:r w:rsidR="00190923" w:rsidRPr="00981405">
        <w:rPr>
          <w:i/>
          <w:iCs/>
        </w:rPr>
        <w:t xml:space="preserve"> </w:t>
      </w:r>
      <w:r w:rsidR="00BF1D0D" w:rsidRPr="00981405">
        <w:rPr>
          <w:i/>
          <w:iCs/>
        </w:rPr>
        <w:t>juris</w:t>
      </w:r>
      <w:r w:rsidRPr="00981405">
        <w:t>).</w:t>
      </w:r>
    </w:p>
    <w:p w:rsidR="00397032" w:rsidRPr="00981405" w:rsidRDefault="00397032" w:rsidP="00D97463">
      <w:pPr>
        <w:pStyle w:val="SingleTxt"/>
      </w:pPr>
      <w:r w:rsidRPr="00981405">
        <w:t>73.</w:t>
      </w:r>
      <w:r w:rsidRPr="00981405">
        <w:tab/>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addressed</w:t>
      </w:r>
      <w:r w:rsidR="00190923" w:rsidRPr="00981405">
        <w:t xml:space="preserve"> </w:t>
      </w:r>
      <w:r w:rsidRPr="00981405">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rule,</w:t>
      </w:r>
      <w:r w:rsidR="00190923" w:rsidRPr="00981405">
        <w:t xml:space="preserve"> </w:t>
      </w:r>
      <w:r w:rsidRPr="00981405">
        <w:t>whereby</w:t>
      </w:r>
      <w:r w:rsidR="00190923" w:rsidRPr="00981405">
        <w:t xml:space="preserve"> </w:t>
      </w:r>
      <w:r w:rsidRPr="00981405">
        <w:t>a</w:t>
      </w:r>
      <w:r w:rsidR="00190923" w:rsidRPr="00981405">
        <w:t xml:space="preserve"> </w:t>
      </w:r>
      <w:r w:rsidRPr="00981405">
        <w:t>State</w:t>
      </w:r>
      <w:r w:rsidR="00190923" w:rsidRPr="00981405">
        <w:t xml:space="preserve"> </w:t>
      </w:r>
      <w:r w:rsidRPr="00981405">
        <w:t>which</w:t>
      </w:r>
      <w:r w:rsidR="00190923" w:rsidRPr="00981405">
        <w:t xml:space="preserve"> </w:t>
      </w:r>
      <w:r w:rsidRPr="00981405">
        <w:t>had</w:t>
      </w:r>
      <w:r w:rsidR="00190923" w:rsidRPr="00981405">
        <w:t xml:space="preserve"> </w:t>
      </w:r>
      <w:r w:rsidRPr="00981405">
        <w:t>persistently</w:t>
      </w:r>
      <w:r w:rsidR="00190923" w:rsidRPr="00981405">
        <w:t xml:space="preserve"> </w:t>
      </w:r>
      <w:r w:rsidRPr="00981405">
        <w:t>objected</w:t>
      </w:r>
      <w:r w:rsidR="00190923" w:rsidRPr="00981405">
        <w:t xml:space="preserve"> </w:t>
      </w:r>
      <w:r w:rsidRPr="00981405">
        <w:t>to</w:t>
      </w:r>
      <w:r w:rsidR="00190923" w:rsidRPr="00981405">
        <w:t xml:space="preserve"> </w:t>
      </w:r>
      <w:r w:rsidRPr="00981405">
        <w:t>an</w:t>
      </w:r>
      <w:r w:rsidR="00190923" w:rsidRPr="00981405">
        <w:t xml:space="preserve"> </w:t>
      </w:r>
      <w:r w:rsidRPr="00981405">
        <w:t>emerging</w:t>
      </w:r>
      <w:r w:rsidR="00190923" w:rsidRPr="00981405">
        <w:t xml:space="preserve"> </w:t>
      </w:r>
      <w:r w:rsidRPr="00981405">
        <w:t>rule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maintained</w:t>
      </w:r>
      <w:r w:rsidR="00190923" w:rsidRPr="00981405">
        <w:t xml:space="preserve"> </w:t>
      </w:r>
      <w:r w:rsidRPr="00981405">
        <w:t>its</w:t>
      </w:r>
      <w:r w:rsidR="00190923" w:rsidRPr="00981405">
        <w:t xml:space="preserve"> </w:t>
      </w:r>
      <w:r w:rsidRPr="00981405">
        <w:t>objection</w:t>
      </w:r>
      <w:r w:rsidR="00190923" w:rsidRPr="00981405">
        <w:t xml:space="preserve"> </w:t>
      </w:r>
      <w:r w:rsidRPr="00981405">
        <w:t>after</w:t>
      </w:r>
      <w:r w:rsidR="00190923" w:rsidRPr="00981405">
        <w:t xml:space="preserve"> </w:t>
      </w:r>
      <w:r w:rsidRPr="00981405">
        <w:t>the</w:t>
      </w:r>
      <w:r w:rsidR="00190923" w:rsidRPr="00981405">
        <w:t xml:space="preserve"> </w:t>
      </w:r>
      <w:r w:rsidRPr="00981405">
        <w:t>rule</w:t>
      </w:r>
      <w:r w:rsidR="00190923" w:rsidRPr="00981405">
        <w:t xml:space="preserve"> </w:t>
      </w:r>
      <w:r w:rsidRPr="00981405">
        <w:t>had</w:t>
      </w:r>
      <w:r w:rsidR="00190923" w:rsidRPr="00981405">
        <w:t xml:space="preserve"> </w:t>
      </w:r>
      <w:r w:rsidRPr="00981405">
        <w:t>crystallized,</w:t>
      </w:r>
      <w:r w:rsidR="00190923" w:rsidRPr="00981405">
        <w:t xml:space="preserve"> </w:t>
      </w:r>
      <w:r w:rsidRPr="00981405">
        <w:t>was</w:t>
      </w:r>
      <w:r w:rsidR="00190923" w:rsidRPr="00981405">
        <w:t xml:space="preserve"> </w:t>
      </w:r>
      <w:r w:rsidRPr="00981405">
        <w:t>not</w:t>
      </w:r>
      <w:r w:rsidR="00190923" w:rsidRPr="00981405">
        <w:t xml:space="preserve"> </w:t>
      </w:r>
      <w:r w:rsidRPr="00981405">
        <w:t>bound</w:t>
      </w:r>
      <w:r w:rsidR="00190923" w:rsidRPr="00981405">
        <w:t xml:space="preserve"> </w:t>
      </w:r>
      <w:r w:rsidRPr="00981405">
        <w:t>by</w:t>
      </w:r>
      <w:r w:rsidR="00190923" w:rsidRPr="00981405">
        <w:t xml:space="preserve"> </w:t>
      </w:r>
      <w:r w:rsidRPr="00981405">
        <w:t>it.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emphasized</w:t>
      </w:r>
      <w:r w:rsidR="00190923" w:rsidRPr="00981405">
        <w:t xml:space="preserve"> </w:t>
      </w:r>
      <w:r w:rsidRPr="00981405">
        <w:t>that</w:t>
      </w:r>
      <w:r w:rsidR="00190923" w:rsidRPr="00981405">
        <w:t xml:space="preserve"> </w:t>
      </w:r>
      <w:r w:rsidRPr="00981405">
        <w:t>the</w:t>
      </w:r>
      <w:r w:rsidR="00190923" w:rsidRPr="00981405">
        <w:t xml:space="preserve"> </w:t>
      </w:r>
      <w:r w:rsidRPr="00981405">
        <w:t>rule</w:t>
      </w:r>
      <w:r w:rsidR="00190923" w:rsidRPr="00981405">
        <w:t xml:space="preserve"> </w:t>
      </w:r>
      <w:r w:rsidRPr="00981405">
        <w:t>was</w:t>
      </w:r>
      <w:r w:rsidR="00190923" w:rsidRPr="00981405">
        <w:t xml:space="preserve"> </w:t>
      </w:r>
      <w:r w:rsidRPr="00981405">
        <w:t>well</w:t>
      </w:r>
      <w:r w:rsidR="00190923" w:rsidRPr="00981405">
        <w:t xml:space="preserve"> </w:t>
      </w:r>
      <w:r w:rsidRPr="00981405">
        <w:t>established</w:t>
      </w:r>
      <w:r w:rsidR="00190923" w:rsidRPr="00981405">
        <w:t xml:space="preserve"> </w:t>
      </w:r>
      <w:r w:rsidRPr="00981405">
        <w:t>in</w:t>
      </w:r>
      <w:r w:rsidR="00190923" w:rsidRPr="00981405">
        <w:t xml:space="preserve"> </w:t>
      </w:r>
      <w:r w:rsidRPr="00981405">
        <w:t>jurisprudence,</w:t>
      </w:r>
      <w:r w:rsidR="00190923" w:rsidRPr="00981405">
        <w:t xml:space="preserve"> </w:t>
      </w:r>
      <w:r w:rsidRPr="00981405">
        <w:t>in</w:t>
      </w:r>
      <w:r w:rsidR="00190923" w:rsidRPr="00981405">
        <w:t xml:space="preserve"> </w:t>
      </w:r>
      <w:r w:rsidRPr="00981405">
        <w:t>the</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literature.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stressed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addressing</w:t>
      </w:r>
      <w:r w:rsidR="00190923" w:rsidRPr="00981405">
        <w:t xml:space="preserve"> </w:t>
      </w:r>
      <w:r w:rsidRPr="00981405">
        <w:t>the</w:t>
      </w:r>
      <w:r w:rsidR="00190923" w:rsidRPr="00981405">
        <w:t xml:space="preserve"> </w:t>
      </w:r>
      <w:r w:rsidRPr="00981405">
        <w:t>rule,</w:t>
      </w:r>
      <w:r w:rsidR="00190923" w:rsidRPr="00981405">
        <w:t xml:space="preserve"> </w:t>
      </w:r>
      <w:r w:rsidRPr="00981405">
        <w:t>among</w:t>
      </w:r>
      <w:r w:rsidR="00190923" w:rsidRPr="00981405">
        <w:t xml:space="preserve"> </w:t>
      </w:r>
      <w:r w:rsidRPr="00981405">
        <w:t>other</w:t>
      </w:r>
      <w:r w:rsidR="00190923" w:rsidRPr="00981405">
        <w:t xml:space="preserve"> </w:t>
      </w:r>
      <w:r w:rsidRPr="00981405">
        <w:t>things</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clarify</w:t>
      </w:r>
      <w:r w:rsidR="00190923" w:rsidRPr="00981405">
        <w:t xml:space="preserve"> </w:t>
      </w:r>
      <w:r w:rsidRPr="00981405">
        <w:t>its</w:t>
      </w:r>
      <w:r w:rsidR="00190923" w:rsidRPr="00981405">
        <w:t xml:space="preserve"> </w:t>
      </w:r>
      <w:r w:rsidRPr="00981405">
        <w:t>stringent</w:t>
      </w:r>
      <w:r w:rsidR="00190923" w:rsidRPr="00981405">
        <w:t xml:space="preserve"> </w:t>
      </w:r>
      <w:r w:rsidRPr="00981405">
        <w:t>requirements.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39" w:name="_Toc427938100"/>
      <w:r w:rsidRPr="00D97463">
        <w:t>2.</w:t>
      </w:r>
      <w:r w:rsidRPr="00D97463">
        <w:tab/>
        <w:t>Summary</w:t>
      </w:r>
      <w:r w:rsidR="00190923" w:rsidRPr="00D97463">
        <w:t xml:space="preserve"> </w:t>
      </w:r>
      <w:r w:rsidRPr="00D97463">
        <w:t>of</w:t>
      </w:r>
      <w:r w:rsidR="00190923" w:rsidRPr="00D97463">
        <w:t xml:space="preserve"> </w:t>
      </w:r>
      <w:r w:rsidRPr="00D97463">
        <w:t>the</w:t>
      </w:r>
      <w:r w:rsidR="00190923" w:rsidRPr="00D97463">
        <w:t xml:space="preserve"> </w:t>
      </w:r>
      <w:r w:rsidRPr="00D97463">
        <w:t>debate</w:t>
      </w:r>
      <w:bookmarkEnd w:id="39"/>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0" w:name="_Toc427938101"/>
      <w:r w:rsidRPr="00D97463">
        <w:t>(a)</w:t>
      </w:r>
      <w:r w:rsidRPr="00D97463">
        <w:tab/>
        <w:t>General</w:t>
      </w:r>
      <w:r w:rsidR="00190923" w:rsidRPr="00D97463">
        <w:t xml:space="preserve"> </w:t>
      </w:r>
      <w:r w:rsidRPr="00D97463">
        <w:t>comments</w:t>
      </w:r>
      <w:bookmarkEnd w:id="4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74.</w:t>
      </w:r>
      <w:r w:rsidRPr="00981405">
        <w:tab/>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their</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two-element</w:t>
      </w:r>
      <w:r w:rsidR="00190923" w:rsidRPr="00981405">
        <w:t xml:space="preserve"> </w:t>
      </w:r>
      <w:r w:rsidRPr="00981405">
        <w:t>approach</w:t>
      </w:r>
      <w:r w:rsidR="00190923" w:rsidRPr="00981405">
        <w:t xml:space="preserve"> </w:t>
      </w:r>
      <w:r w:rsidRPr="00981405">
        <w:t>followed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There</w:t>
      </w:r>
      <w:r w:rsidR="00190923" w:rsidRPr="00981405">
        <w:t xml:space="preserve"> </w:t>
      </w:r>
      <w:r w:rsidRPr="00981405">
        <w:t>was</w:t>
      </w:r>
      <w:r w:rsidR="00190923" w:rsidRPr="00981405">
        <w:t xml:space="preserve"> </w:t>
      </w:r>
      <w:r w:rsidRPr="00981405">
        <w:t>general</w:t>
      </w:r>
      <w:r w:rsidR="00190923" w:rsidRPr="00981405">
        <w:t xml:space="preserve"> </w:t>
      </w:r>
      <w:r w:rsidRPr="00981405">
        <w:t>agreement</w:t>
      </w:r>
      <w:r w:rsidR="00190923" w:rsidRPr="00981405">
        <w:t xml:space="preserve"> </w:t>
      </w:r>
      <w:r w:rsidRPr="00981405">
        <w:t>that</w:t>
      </w:r>
      <w:r w:rsidR="00190923" w:rsidRPr="00981405">
        <w:t xml:space="preserve"> </w:t>
      </w:r>
      <w:r w:rsidRPr="00981405">
        <w:t>the</w:t>
      </w:r>
      <w:r w:rsidR="00190923" w:rsidRPr="00981405">
        <w:t xml:space="preserve"> </w:t>
      </w:r>
      <w:r w:rsidRPr="00981405">
        <w:t>outcome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should</w:t>
      </w:r>
      <w:r w:rsidR="00190923" w:rsidRPr="00981405">
        <w:t xml:space="preserve"> </w:t>
      </w:r>
      <w:r w:rsidRPr="00981405">
        <w:t>be</w:t>
      </w:r>
      <w:r w:rsidR="00190923" w:rsidRPr="00981405">
        <w:t xml:space="preserve"> </w:t>
      </w:r>
      <w:r w:rsidRPr="00981405">
        <w:t>a</w:t>
      </w:r>
      <w:r w:rsidR="00190923" w:rsidRPr="00981405">
        <w:t xml:space="preserve"> </w:t>
      </w:r>
      <w:r w:rsidRPr="00981405">
        <w:t>set</w:t>
      </w:r>
      <w:r w:rsidR="00190923" w:rsidRPr="00981405">
        <w:t xml:space="preserve"> </w:t>
      </w:r>
      <w:r w:rsidRPr="00981405">
        <w:t>of</w:t>
      </w:r>
      <w:r w:rsidR="00190923" w:rsidRPr="00981405">
        <w:t xml:space="preserve"> </w:t>
      </w:r>
      <w:r w:rsidRPr="00981405">
        <w:t>practical</w:t>
      </w:r>
      <w:r w:rsidR="00190923" w:rsidRPr="00981405">
        <w:t xml:space="preserve"> </w:t>
      </w:r>
      <w:r w:rsidRPr="00981405">
        <w:t>and</w:t>
      </w:r>
      <w:r w:rsidR="00190923" w:rsidRPr="00981405">
        <w:t xml:space="preserve"> </w:t>
      </w:r>
      <w:r w:rsidRPr="00981405">
        <w:t>simple</w:t>
      </w:r>
      <w:r w:rsidR="00190923" w:rsidRPr="00981405">
        <w:t xml:space="preserve"> </w:t>
      </w:r>
      <w:r w:rsidRPr="00981405">
        <w:t>conclusions,</w:t>
      </w:r>
      <w:r w:rsidR="00190923" w:rsidRPr="00981405">
        <w:t xml:space="preserve"> </w:t>
      </w:r>
      <w:r w:rsidRPr="00981405">
        <w:t>with</w:t>
      </w:r>
      <w:r w:rsidR="00190923" w:rsidRPr="00981405">
        <w:t xml:space="preserve"> </w:t>
      </w:r>
      <w:r w:rsidRPr="00981405">
        <w:t>a</w:t>
      </w:r>
      <w:r w:rsidR="00190923" w:rsidRPr="00981405">
        <w:t xml:space="preserve"> </w:t>
      </w:r>
      <w:r w:rsidRPr="00981405">
        <w:t>commentary,</w:t>
      </w:r>
      <w:r w:rsidR="00190923" w:rsidRPr="00981405">
        <w:t xml:space="preserve"> </w:t>
      </w:r>
      <w:r w:rsidRPr="00981405">
        <w:t>aiming</w:t>
      </w:r>
      <w:r w:rsidR="00190923" w:rsidRPr="00981405">
        <w:t xml:space="preserve"> </w:t>
      </w:r>
      <w:r w:rsidRPr="00981405">
        <w:t>at</w:t>
      </w:r>
      <w:r w:rsidR="00190923" w:rsidRPr="00981405">
        <w:t xml:space="preserve"> </w:t>
      </w:r>
      <w:r w:rsidRPr="00981405">
        <w:t>assisting</w:t>
      </w:r>
      <w:r w:rsidR="00190923" w:rsidRPr="00981405">
        <w:t xml:space="preserve"> </w:t>
      </w:r>
      <w:r w:rsidRPr="00981405">
        <w:t>practitioners</w:t>
      </w:r>
      <w:r w:rsidR="00190923" w:rsidRPr="00981405">
        <w:t xml:space="preserve"> </w:t>
      </w:r>
      <w:r w:rsidRPr="00981405">
        <w:t>in</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or</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Caution</w:t>
      </w:r>
      <w:r w:rsidR="00190923" w:rsidRPr="00981405">
        <w:t xml:space="preserve"> </w:t>
      </w:r>
      <w:r w:rsidRPr="00981405">
        <w:t>was</w:t>
      </w:r>
      <w:r w:rsidR="00190923" w:rsidRPr="00981405">
        <w:t xml:space="preserve"> </w:t>
      </w:r>
      <w:r w:rsidRPr="00981405">
        <w:t>advised</w:t>
      </w:r>
      <w:r w:rsidR="00190923" w:rsidRPr="00981405">
        <w:t xml:space="preserve"> </w:t>
      </w:r>
      <w:r w:rsidRPr="00981405">
        <w:t>against</w:t>
      </w:r>
      <w:r w:rsidR="00190923" w:rsidRPr="00981405">
        <w:t xml:space="preserve"> </w:t>
      </w:r>
      <w:r w:rsidRPr="00981405">
        <w:t>oversimplification</w:t>
      </w:r>
      <w:r w:rsidR="00190923" w:rsidRPr="00981405">
        <w:t xml:space="preserve"> </w:t>
      </w:r>
      <w:r w:rsidRPr="00981405">
        <w:t>and</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would</w:t>
      </w:r>
      <w:r w:rsidR="00190923" w:rsidRPr="00981405">
        <w:t xml:space="preserve"> </w:t>
      </w:r>
      <w:r w:rsidRPr="00981405">
        <w:t>benefit</w:t>
      </w:r>
      <w:r w:rsidR="00190923" w:rsidRPr="00981405">
        <w:t xml:space="preserve"> </w:t>
      </w:r>
      <w:r w:rsidRPr="00981405">
        <w:t>from</w:t>
      </w:r>
      <w:r w:rsidR="00190923" w:rsidRPr="00981405">
        <w:t xml:space="preserve"> </w:t>
      </w:r>
      <w:r w:rsidRPr="00981405">
        <w:t>further</w:t>
      </w:r>
      <w:r w:rsidR="00190923" w:rsidRPr="00981405">
        <w:t xml:space="preserve"> </w:t>
      </w:r>
      <w:r w:rsidRPr="00981405">
        <w:t>specification.</w:t>
      </w:r>
    </w:p>
    <w:p w:rsidR="00397032" w:rsidRPr="00981405" w:rsidRDefault="00397032" w:rsidP="00D97463">
      <w:pPr>
        <w:pStyle w:val="SingleTxt"/>
      </w:pPr>
      <w:r w:rsidRPr="00981405">
        <w:t>75.</w:t>
      </w:r>
      <w:r w:rsidRPr="00981405">
        <w:tab/>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took</w:t>
      </w:r>
      <w:r w:rsidR="00190923" w:rsidRPr="00981405">
        <w:t xml:space="preserve"> </w:t>
      </w:r>
      <w:r w:rsidRPr="00981405">
        <w:t>place</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topic</w:t>
      </w:r>
      <w:r w:rsidR="00190923" w:rsidRPr="00981405">
        <w:t xml:space="preserve"> </w:t>
      </w:r>
      <w:r w:rsidRPr="00981405">
        <w:t>should</w:t>
      </w:r>
      <w:r w:rsidR="00190923" w:rsidRPr="00981405">
        <w:t xml:space="preserve"> </w:t>
      </w:r>
      <w:r w:rsidRPr="00981405">
        <w:t>deal</w:t>
      </w:r>
      <w:r w:rsidR="00190923" w:rsidRPr="00981405">
        <w:t xml:space="preserve"> </w:t>
      </w:r>
      <w:r w:rsidRPr="00981405">
        <w:t>more</w:t>
      </w:r>
      <w:r w:rsidR="00190923" w:rsidRPr="00981405">
        <w:t xml:space="preserve"> </w:t>
      </w:r>
      <w:r w:rsidRPr="00981405">
        <w:t>in</w:t>
      </w:r>
      <w:r w:rsidR="00190923" w:rsidRPr="00981405">
        <w:t xml:space="preserve"> </w:t>
      </w:r>
      <w:r w:rsidRPr="00981405">
        <w:t>depth</w:t>
      </w:r>
      <w:r w:rsidR="00190923" w:rsidRPr="00981405">
        <w:t xml:space="preserve"> </w:t>
      </w:r>
      <w:r w:rsidRPr="00981405">
        <w:t>with</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According</w:t>
      </w:r>
      <w:r w:rsidR="00190923" w:rsidRPr="00981405">
        <w:t xml:space="preserve"> </w:t>
      </w:r>
      <w:r w:rsidRPr="00981405">
        <w:t>to</w:t>
      </w:r>
      <w:r w:rsidR="00190923" w:rsidRPr="00981405">
        <w:t xml:space="preserve"> </w:t>
      </w:r>
      <w:r w:rsidRPr="00981405">
        <w:t>this</w:t>
      </w:r>
      <w:r w:rsidR="00190923" w:rsidRPr="00981405">
        <w:t xml:space="preserve"> </w:t>
      </w:r>
      <w:r w:rsidRPr="00981405">
        <w:t>view,</w:t>
      </w:r>
      <w:r w:rsidR="00190923" w:rsidRPr="00981405">
        <w:t xml:space="preserve"> </w:t>
      </w:r>
      <w:r w:rsidRPr="00981405">
        <w:t>the</w:t>
      </w:r>
      <w:r w:rsidR="00190923" w:rsidRPr="00981405">
        <w:t xml:space="preserve"> </w:t>
      </w:r>
      <w:r w:rsidRPr="00981405">
        <w:t>change</w:t>
      </w:r>
      <w:r w:rsidR="00190923" w:rsidRPr="00981405">
        <w:t xml:space="preserve"> </w:t>
      </w:r>
      <w:r w:rsidRPr="00981405">
        <w:t>in</w:t>
      </w:r>
      <w:r w:rsidR="00190923" w:rsidRPr="00981405">
        <w:t xml:space="preserve"> </w:t>
      </w:r>
      <w:r w:rsidRPr="00981405">
        <w:t>the</w:t>
      </w:r>
      <w:r w:rsidR="00190923" w:rsidRPr="00981405">
        <w:t xml:space="preserve"> </w:t>
      </w:r>
      <w:r w:rsidRPr="00981405">
        <w:t>name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Pr="00981405">
        <w:t>not</w:t>
      </w:r>
      <w:r w:rsidR="00190923" w:rsidRPr="00981405">
        <w:t xml:space="preserve"> </w:t>
      </w:r>
      <w:r w:rsidRPr="00981405">
        <w:t>intended</w:t>
      </w:r>
      <w:r w:rsidR="00190923" w:rsidRPr="00981405">
        <w:t xml:space="preserve"> </w:t>
      </w:r>
      <w:r w:rsidRPr="00981405">
        <w:t>to</w:t>
      </w:r>
      <w:r w:rsidR="00190923" w:rsidRPr="00981405">
        <w:t xml:space="preserve"> </w:t>
      </w:r>
      <w:r w:rsidRPr="00981405">
        <w:t>affect</w:t>
      </w:r>
      <w:r w:rsidR="00190923" w:rsidRPr="00981405">
        <w:t xml:space="preserve"> </w:t>
      </w:r>
      <w:r w:rsidRPr="00981405">
        <w:t>the</w:t>
      </w:r>
      <w:r w:rsidR="00190923" w:rsidRPr="00981405">
        <w:t xml:space="preserve"> </w:t>
      </w:r>
      <w:r w:rsidRPr="00981405">
        <w:t>focus</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According</w:t>
      </w:r>
      <w:r w:rsidR="00190923" w:rsidRPr="00981405">
        <w:t xml:space="preserve"> </w:t>
      </w:r>
      <w:r w:rsidRPr="00981405">
        <w:t>to</w:t>
      </w:r>
      <w:r w:rsidR="00190923" w:rsidRPr="00981405">
        <w:t xml:space="preserve"> </w:t>
      </w:r>
      <w:r w:rsidRPr="00981405">
        <w:t>another</w:t>
      </w:r>
      <w:r w:rsidR="00190923" w:rsidRPr="00981405">
        <w:t xml:space="preserve"> </w:t>
      </w:r>
      <w:r w:rsidRPr="00981405">
        <w:t>view,</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should</w:t>
      </w:r>
      <w:r w:rsidR="00190923" w:rsidRPr="00981405">
        <w:t xml:space="preserve"> </w:t>
      </w:r>
      <w:r w:rsidRPr="00981405">
        <w:t>be</w:t>
      </w:r>
      <w:r w:rsidR="00190923" w:rsidRPr="00981405">
        <w:t xml:space="preserve"> </w:t>
      </w:r>
      <w:r w:rsidRPr="00981405">
        <w:t>restricted</w:t>
      </w:r>
      <w:r w:rsidR="00190923" w:rsidRPr="00981405">
        <w:t xml:space="preserve"> </w:t>
      </w:r>
      <w:r w:rsidRPr="00981405">
        <w:t>to</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such</w:t>
      </w:r>
      <w:r w:rsidR="00190923" w:rsidRPr="00981405">
        <w:t xml:space="preserve"> </w:t>
      </w:r>
      <w:r w:rsidRPr="00981405">
        <w:t>rules</w:t>
      </w:r>
      <w:r w:rsidR="00190923" w:rsidRPr="00981405">
        <w:t xml:space="preserve"> </w:t>
      </w:r>
      <w:r w:rsidRPr="00981405">
        <w:t>and</w:t>
      </w:r>
      <w:r w:rsidR="00190923" w:rsidRPr="00981405">
        <w:t xml:space="preserve"> </w:t>
      </w:r>
      <w:r w:rsidRPr="00981405">
        <w:t>should</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their</w:t>
      </w:r>
      <w:r w:rsidR="00190923" w:rsidRPr="00981405">
        <w:t xml:space="preserve"> </w:t>
      </w:r>
      <w:r w:rsidRPr="00981405">
        <w:t>formation</w:t>
      </w:r>
      <w:r w:rsidR="00190923" w:rsidRPr="00981405">
        <w:t xml:space="preserve"> </w:t>
      </w:r>
      <w:r w:rsidRPr="00981405">
        <w:t>as</w:t>
      </w:r>
      <w:r w:rsidR="00190923" w:rsidRPr="00981405">
        <w:t xml:space="preserve"> </w:t>
      </w:r>
      <w:r w:rsidRPr="00981405">
        <w:t>such.</w:t>
      </w:r>
      <w:r w:rsidR="00190923" w:rsidRPr="00981405">
        <w:t xml:space="preserve"> </w:t>
      </w:r>
      <w:r w:rsidRPr="00981405">
        <w:t>It</w:t>
      </w:r>
      <w:r w:rsidR="00190923" w:rsidRPr="00981405">
        <w:t xml:space="preserve"> </w:t>
      </w:r>
      <w:r w:rsidRPr="00981405">
        <w:t>was</w:t>
      </w:r>
      <w:r w:rsidR="00190923" w:rsidRPr="00981405">
        <w:t xml:space="preserve"> </w:t>
      </w:r>
      <w:r w:rsidRPr="00981405">
        <w:lastRenderedPageBreak/>
        <w:t>indicated,</w:t>
      </w:r>
      <w:r w:rsidR="00190923" w:rsidRPr="00981405">
        <w:t xml:space="preserve"> </w:t>
      </w:r>
      <w:r w:rsidRPr="00981405">
        <w:t>in</w:t>
      </w:r>
      <w:r w:rsidR="00190923" w:rsidRPr="00981405">
        <w:t xml:space="preserve"> </w:t>
      </w:r>
      <w:r w:rsidRPr="00981405">
        <w:t>this</w:t>
      </w:r>
      <w:r w:rsidR="00190923" w:rsidRPr="00981405">
        <w:t xml:space="preserve"> </w:t>
      </w:r>
      <w:r w:rsidRPr="00981405">
        <w:t>respect,</w:t>
      </w:r>
      <w:r w:rsidR="00190923" w:rsidRPr="00981405">
        <w:t xml:space="preserve"> </w:t>
      </w:r>
      <w:r w:rsidRPr="00981405">
        <w:t>that</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Pr="00981405">
        <w:t>concerned</w:t>
      </w:r>
      <w:r w:rsidR="00190923" w:rsidRPr="00981405">
        <w:t xml:space="preserve"> </w:t>
      </w:r>
      <w:r w:rsidRPr="00981405">
        <w:t>with</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a</w:t>
      </w:r>
      <w:r w:rsidR="00190923" w:rsidRPr="00981405">
        <w:t xml:space="preserve"> </w:t>
      </w:r>
      <w:r w:rsidRPr="00981405">
        <w:t>customary</w:t>
      </w:r>
      <w:r w:rsidR="00190923" w:rsidRPr="00981405">
        <w:t xml:space="preserve"> </w:t>
      </w:r>
      <w:r w:rsidRPr="00981405">
        <w:t>rule</w:t>
      </w:r>
      <w:r w:rsidR="00190923" w:rsidRPr="00981405">
        <w:t xml:space="preserve"> </w:t>
      </w:r>
      <w:r w:rsidRPr="00981405">
        <w:t>at</w:t>
      </w:r>
      <w:r w:rsidR="00190923" w:rsidRPr="00981405">
        <w:t xml:space="preserve"> </w:t>
      </w:r>
      <w:r w:rsidRPr="00981405">
        <w:t>a</w:t>
      </w:r>
      <w:r w:rsidR="00190923" w:rsidRPr="00981405">
        <w:t xml:space="preserve"> </w:t>
      </w:r>
      <w:r w:rsidRPr="00981405">
        <w:t>precise</w:t>
      </w:r>
      <w:r w:rsidR="00190923" w:rsidRPr="00981405">
        <w:t xml:space="preserve"> </w:t>
      </w:r>
      <w:r w:rsidRPr="00981405">
        <w:t>time,</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the</w:t>
      </w:r>
      <w:r w:rsidR="00190923" w:rsidRPr="00981405">
        <w:t xml:space="preserve"> </w:t>
      </w:r>
      <w:r w:rsidRPr="00981405">
        <w:t>future</w:t>
      </w:r>
      <w:r w:rsidR="00190923" w:rsidRPr="00981405">
        <w:t xml:space="preserve"> </w:t>
      </w:r>
      <w:r w:rsidRPr="00981405">
        <w:t>evolution</w:t>
      </w:r>
      <w:r w:rsidR="00190923" w:rsidRPr="00981405">
        <w:t xml:space="preserve"> </w:t>
      </w:r>
      <w:r w:rsidRPr="00981405">
        <w:t>of</w:t>
      </w:r>
      <w:r w:rsidR="00190923" w:rsidRPr="00981405">
        <w:t xml:space="preserve"> </w:t>
      </w:r>
      <w:r w:rsidRPr="00981405">
        <w:t>this</w:t>
      </w:r>
      <w:r w:rsidR="00190923" w:rsidRPr="00981405">
        <w:t xml:space="preserve"> </w:t>
      </w:r>
      <w:r w:rsidRPr="00981405">
        <w:t>rule.</w:t>
      </w:r>
      <w:r w:rsidR="00190923" w:rsidRPr="00981405">
        <w:t xml:space="preserve"> </w:t>
      </w:r>
      <w:r w:rsidRPr="00981405">
        <w:t>Another</w:t>
      </w:r>
      <w:r w:rsidR="00190923" w:rsidRPr="00981405">
        <w:t xml:space="preserve"> </w:t>
      </w:r>
      <w:r w:rsidRPr="00981405">
        <w:t>view</w:t>
      </w:r>
      <w:r w:rsidR="00190923" w:rsidRPr="00981405">
        <w:t xml:space="preserve"> </w:t>
      </w:r>
      <w:r w:rsidRPr="00981405">
        <w:t>was</w:t>
      </w:r>
      <w:r w:rsidR="00190923" w:rsidRPr="00981405">
        <w:t xml:space="preserve"> </w:t>
      </w:r>
      <w:r w:rsidRPr="00981405">
        <w:t>that,</w:t>
      </w:r>
      <w:r w:rsidR="00190923" w:rsidRPr="00981405">
        <w:t xml:space="preserve"> </w:t>
      </w:r>
      <w:r w:rsidRPr="00981405">
        <w:t>while</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Pr="00981405">
        <w:t>focused</w:t>
      </w:r>
      <w:r w:rsidR="00190923" w:rsidRPr="00981405">
        <w:t xml:space="preserve"> </w:t>
      </w:r>
      <w:r w:rsidRPr="00981405">
        <w:t>on</w:t>
      </w:r>
      <w:r w:rsidR="00190923" w:rsidRPr="00981405">
        <w:t xml:space="preserve"> </w:t>
      </w:r>
      <w:r w:rsidRPr="00981405">
        <w:t>identification,</w:t>
      </w:r>
      <w:r w:rsidR="00190923" w:rsidRPr="00981405">
        <w:t xml:space="preserve"> </w:t>
      </w:r>
      <w:r w:rsidRPr="00981405">
        <w:t>this</w:t>
      </w:r>
      <w:r w:rsidR="00190923" w:rsidRPr="00981405">
        <w:t xml:space="preserve"> </w:t>
      </w:r>
      <w:r w:rsidRPr="00981405">
        <w:t>did</w:t>
      </w:r>
      <w:r w:rsidR="00190923" w:rsidRPr="00981405">
        <w:t xml:space="preserve"> </w:t>
      </w:r>
      <w:r w:rsidRPr="00981405">
        <w:t>not</w:t>
      </w:r>
      <w:r w:rsidR="00190923" w:rsidRPr="00981405">
        <w:t xml:space="preserve"> </w:t>
      </w:r>
      <w:r w:rsidRPr="00981405">
        <w:t>preclude</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formation</w:t>
      </w:r>
      <w:r w:rsidR="00190923" w:rsidRPr="00981405">
        <w:t xml:space="preserve"> </w:t>
      </w:r>
      <w:r w:rsidRPr="00981405">
        <w:t>issues</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they</w:t>
      </w:r>
      <w:r w:rsidR="00190923" w:rsidRPr="00981405">
        <w:t xml:space="preserve"> </w:t>
      </w:r>
      <w:r w:rsidRPr="00981405">
        <w:t>were</w:t>
      </w:r>
      <w:r w:rsidR="00190923" w:rsidRPr="00981405">
        <w:t xml:space="preserve"> </w:t>
      </w:r>
      <w:r w:rsidRPr="00981405">
        <w:t>relevant</w:t>
      </w:r>
      <w:r w:rsidR="00190923" w:rsidRPr="00981405">
        <w:t xml:space="preserve"> </w:t>
      </w:r>
      <w:r w:rsidRPr="00981405">
        <w:t>for</w:t>
      </w:r>
      <w:r w:rsidR="00190923" w:rsidRPr="00981405">
        <w:t xml:space="preserve"> </w:t>
      </w:r>
      <w:r w:rsidRPr="00981405">
        <w:t>identification.</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1" w:name="_Toc427938102"/>
      <w:r w:rsidRPr="00D97463">
        <w:t>(b)</w:t>
      </w:r>
      <w:r w:rsidRPr="00D97463">
        <w:tab/>
        <w:t>Relationship</w:t>
      </w:r>
      <w:r w:rsidR="00190923" w:rsidRPr="00D97463">
        <w:t xml:space="preserve"> </w:t>
      </w:r>
      <w:r w:rsidRPr="00D97463">
        <w:t>between</w:t>
      </w:r>
      <w:r w:rsidR="00190923" w:rsidRPr="00D97463">
        <w:t xml:space="preserve"> </w:t>
      </w:r>
      <w:r w:rsidRPr="00D97463">
        <w:t>the</w:t>
      </w:r>
      <w:r w:rsidR="00190923" w:rsidRPr="00D97463">
        <w:t xml:space="preserve"> </w:t>
      </w:r>
      <w:r w:rsidRPr="00D97463">
        <w:t>two</w:t>
      </w:r>
      <w:r w:rsidR="00190923" w:rsidRPr="00D97463">
        <w:t xml:space="preserve"> </w:t>
      </w:r>
      <w:r w:rsidRPr="00D97463">
        <w:t>constituent</w:t>
      </w:r>
      <w:r w:rsidR="00190923" w:rsidRPr="00D97463">
        <w:t xml:space="preserve"> </w:t>
      </w:r>
      <w:r w:rsidRPr="00D97463">
        <w:t>elements</w:t>
      </w:r>
      <w:bookmarkEnd w:id="41"/>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76.</w:t>
      </w:r>
      <w:r w:rsidRPr="00981405">
        <w:tab/>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supported</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although</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always</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present,</w:t>
      </w:r>
      <w:r w:rsidR="00190923" w:rsidRPr="00981405">
        <w:t xml:space="preserve"> </w:t>
      </w:r>
      <w:r w:rsidRPr="00981405">
        <w:t>there</w:t>
      </w:r>
      <w:r w:rsidR="00190923" w:rsidRPr="00981405">
        <w:t xml:space="preserve"> </w:t>
      </w:r>
      <w:r w:rsidRPr="00981405">
        <w:t>could</w:t>
      </w:r>
      <w:r w:rsidR="00190923" w:rsidRPr="00981405">
        <w:t xml:space="preserve"> </w:t>
      </w:r>
      <w:r w:rsidRPr="00981405">
        <w:t>be</w:t>
      </w:r>
      <w:r w:rsidR="00190923" w:rsidRPr="00981405">
        <w:t xml:space="preserve"> </w:t>
      </w:r>
      <w:r w:rsidRPr="00981405">
        <w:t>a</w:t>
      </w:r>
      <w:r w:rsidR="00190923" w:rsidRPr="00981405">
        <w:t xml:space="preserve"> </w:t>
      </w:r>
      <w:r w:rsidRPr="00981405">
        <w:t>difference</w:t>
      </w:r>
      <w:r w:rsidR="00190923" w:rsidRPr="00981405">
        <w:t xml:space="preserve"> </w:t>
      </w:r>
      <w:r w:rsidRPr="00981405">
        <w:t>in</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two-element</w:t>
      </w:r>
      <w:r w:rsidR="00190923" w:rsidRPr="00981405">
        <w:t xml:space="preserve"> </w:t>
      </w:r>
      <w:r w:rsidRPr="00981405">
        <w:t>approach</w:t>
      </w:r>
      <w:r w:rsidR="00190923" w:rsidRPr="00981405">
        <w:t xml:space="preserve"> </w:t>
      </w:r>
      <w:r w:rsidRPr="00981405">
        <w:t>in</w:t>
      </w:r>
      <w:r w:rsidR="00190923" w:rsidRPr="00981405">
        <w:t xml:space="preserve"> </w:t>
      </w:r>
      <w:r w:rsidRPr="00981405">
        <w:t>different</w:t>
      </w:r>
      <w:r w:rsidR="00190923" w:rsidRPr="00981405">
        <w:t xml:space="preserve"> </w:t>
      </w:r>
      <w:r w:rsidRPr="00981405">
        <w:t>fields</w:t>
      </w:r>
      <w:r w:rsidR="00190923" w:rsidRPr="00981405">
        <w:t xml:space="preserve"> </w:t>
      </w:r>
      <w:r w:rsidRPr="00981405">
        <w:t>or</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different</w:t>
      </w:r>
      <w:r w:rsidR="00190923" w:rsidRPr="00981405">
        <w:t xml:space="preserve"> </w:t>
      </w:r>
      <w:r w:rsidRPr="00981405">
        <w:t>types</w:t>
      </w:r>
      <w:r w:rsidR="00190923" w:rsidRPr="00981405">
        <w:t xml:space="preserve"> </w:t>
      </w:r>
      <w:r w:rsidRPr="00981405">
        <w:t>of</w:t>
      </w:r>
      <w:r w:rsidR="00190923" w:rsidRPr="00981405">
        <w:t xml:space="preserve"> </w:t>
      </w:r>
      <w:r w:rsidRPr="00981405">
        <w:t>rule.</w:t>
      </w:r>
      <w:r w:rsidR="00190923" w:rsidRPr="00981405">
        <w:t xml:space="preserve"> </w:t>
      </w:r>
      <w:r w:rsidRPr="00981405">
        <w:t>It</w:t>
      </w:r>
      <w:r w:rsidR="00190923" w:rsidRPr="00981405">
        <w:t xml:space="preserve"> </w:t>
      </w:r>
      <w:r w:rsidRPr="00981405">
        <w:t>was</w:t>
      </w:r>
      <w:r w:rsidR="00190923" w:rsidRPr="00981405">
        <w:t xml:space="preserve"> </w:t>
      </w:r>
      <w:r w:rsidRPr="00981405">
        <w:t>stated,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a</w:t>
      </w:r>
      <w:r w:rsidR="00190923" w:rsidRPr="00981405">
        <w:t xml:space="preserve"> </w:t>
      </w:r>
      <w:r w:rsidRPr="00981405">
        <w:t>uniform</w:t>
      </w:r>
      <w:r w:rsidR="00190923" w:rsidRPr="00981405">
        <w:t xml:space="preserve"> </w:t>
      </w:r>
      <w:r w:rsidRPr="00981405">
        <w:t>standard</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upheld</w:t>
      </w:r>
      <w:r w:rsidR="00190923" w:rsidRPr="00981405">
        <w:t xml:space="preserve"> </w:t>
      </w:r>
      <w:r w:rsidRPr="00981405">
        <w:t>regarding</w:t>
      </w:r>
      <w:r w:rsidR="00190923" w:rsidRPr="00981405">
        <w:t xml:space="preserve"> </w:t>
      </w:r>
      <w:r w:rsidRPr="00981405">
        <w:t>all</w:t>
      </w:r>
      <w:r w:rsidR="00190923" w:rsidRPr="00981405">
        <w:t xml:space="preserve"> </w:t>
      </w:r>
      <w:r w:rsidRPr="00981405">
        <w:t>different</w:t>
      </w:r>
      <w:r w:rsidR="00190923" w:rsidRPr="00981405">
        <w:t xml:space="preserve"> </w:t>
      </w:r>
      <w:r w:rsidRPr="00981405">
        <w:t>fields.</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had</w:t>
      </w:r>
      <w:r w:rsidR="00190923" w:rsidRPr="00981405">
        <w:t xml:space="preserve"> </w:t>
      </w:r>
      <w:r w:rsidRPr="00981405">
        <w:t>not</w:t>
      </w:r>
      <w:r w:rsidR="00190923" w:rsidRPr="00981405">
        <w:t xml:space="preserve"> </w:t>
      </w:r>
      <w:r w:rsidRPr="00981405">
        <w:t>been</w:t>
      </w:r>
      <w:r w:rsidR="00190923" w:rsidRPr="00981405">
        <w:t xml:space="preserve"> </w:t>
      </w:r>
      <w:r w:rsidRPr="00981405">
        <w:t>applied</w:t>
      </w:r>
      <w:r w:rsidR="00190923" w:rsidRPr="00981405">
        <w:t xml:space="preserve"> </w:t>
      </w:r>
      <w:r w:rsidRPr="00981405">
        <w:t>consistently</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topic</w:t>
      </w:r>
      <w:r w:rsidR="00190923" w:rsidRPr="00981405">
        <w:t xml:space="preserve"> </w:t>
      </w:r>
      <w:r w:rsidRPr="00981405">
        <w:t>would</w:t>
      </w:r>
      <w:r w:rsidR="00190923" w:rsidRPr="00981405">
        <w:t xml:space="preserve"> </w:t>
      </w:r>
      <w:r w:rsidRPr="00981405">
        <w:t>benefit</w:t>
      </w:r>
      <w:r w:rsidR="00190923" w:rsidRPr="00981405">
        <w:t xml:space="preserve"> </w:t>
      </w:r>
      <w:r w:rsidRPr="00981405">
        <w:t>from</w:t>
      </w:r>
      <w:r w:rsidR="00190923" w:rsidRPr="00981405">
        <w:t xml:space="preserve"> </w:t>
      </w:r>
      <w:r w:rsidRPr="00981405">
        <w:t>further</w:t>
      </w:r>
      <w:r w:rsidR="00190923" w:rsidRPr="00981405">
        <w:t xml:space="preserve"> </w:t>
      </w:r>
      <w:r w:rsidRPr="00981405">
        <w:t>exploration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respective</w:t>
      </w:r>
      <w:r w:rsidR="00190923" w:rsidRPr="00981405">
        <w:t xml:space="preserve"> </w:t>
      </w:r>
      <w:r w:rsidRPr="00981405">
        <w:t>weight</w:t>
      </w:r>
      <w:r w:rsidR="00190923" w:rsidRPr="00981405">
        <w:t xml:space="preserve"> </w:t>
      </w:r>
      <w:r w:rsidRPr="00981405">
        <w:t>of</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in</w:t>
      </w:r>
      <w:r w:rsidR="00190923" w:rsidRPr="00981405">
        <w:t xml:space="preserve"> </w:t>
      </w:r>
      <w:r w:rsidRPr="00981405">
        <w:t>different</w:t>
      </w:r>
      <w:r w:rsidR="00190923" w:rsidRPr="00981405">
        <w:t xml:space="preserve"> </w:t>
      </w:r>
      <w:r w:rsidRPr="00981405">
        <w:t>fields.</w:t>
      </w:r>
    </w:p>
    <w:p w:rsidR="00397032" w:rsidRPr="00981405" w:rsidRDefault="00397032" w:rsidP="00D97463">
      <w:pPr>
        <w:pStyle w:val="SingleTxt"/>
      </w:pPr>
      <w:r w:rsidRPr="00981405">
        <w:t>77.</w:t>
      </w:r>
      <w:r w:rsidRPr="00981405">
        <w:tab/>
        <w:t>Support</w:t>
      </w:r>
      <w:r w:rsidR="00190923" w:rsidRPr="00981405">
        <w:t xml:space="preserve"> </w:t>
      </w:r>
      <w:r w:rsidRPr="00981405">
        <w:t>was</w:t>
      </w:r>
      <w:r w:rsidR="00190923" w:rsidRPr="00981405">
        <w:t xml:space="preserve"> </w:t>
      </w:r>
      <w:r w:rsidRPr="00981405">
        <w:t>expressed</w:t>
      </w:r>
      <w:r w:rsidR="00190923" w:rsidRPr="00981405">
        <w:t xml:space="preserve"> </w:t>
      </w:r>
      <w:r w:rsidRPr="00981405">
        <w:t>for</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each</w:t>
      </w:r>
      <w:r w:rsidR="00190923" w:rsidRPr="00981405">
        <w:t xml:space="preserve"> </w:t>
      </w:r>
      <w:r w:rsidRPr="00981405">
        <w:t>element</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separately</w:t>
      </w:r>
      <w:r w:rsidR="00190923" w:rsidRPr="00981405">
        <w:t xml:space="preserve"> </w:t>
      </w:r>
      <w:r w:rsidRPr="00981405">
        <w:t>ascertained</w:t>
      </w:r>
      <w:r w:rsidR="00190923" w:rsidRPr="00981405">
        <w:t xml:space="preserve"> </w:t>
      </w:r>
      <w:r w:rsidRPr="00981405">
        <w:t>and</w:t>
      </w:r>
      <w:r w:rsidR="00190923" w:rsidRPr="00981405">
        <w:t xml:space="preserve"> </w:t>
      </w:r>
      <w:r w:rsidRPr="00981405">
        <w:t>that</w:t>
      </w:r>
      <w:r w:rsidR="00190923" w:rsidRPr="00981405">
        <w:t xml:space="preserve"> </w:t>
      </w:r>
      <w:r w:rsidRPr="00981405">
        <w:t>that</w:t>
      </w:r>
      <w:r w:rsidR="00190923" w:rsidRPr="00981405">
        <w:t xml:space="preserve"> </w:t>
      </w:r>
      <w:r w:rsidRPr="00981405">
        <w:t>generally</w:t>
      </w:r>
      <w:r w:rsidR="00190923" w:rsidRPr="00981405">
        <w:t xml:space="preserve"> </w:t>
      </w:r>
      <w:r w:rsidRPr="00981405">
        <w:t>required</w:t>
      </w:r>
      <w:r w:rsidR="00190923" w:rsidRPr="00981405">
        <w:t xml:space="preserve"> </w:t>
      </w:r>
      <w:r w:rsidRPr="00981405">
        <w:t>an</w:t>
      </w:r>
      <w:r w:rsidR="00190923" w:rsidRPr="00981405">
        <w:t xml:space="preserve"> </w:t>
      </w:r>
      <w:r w:rsidRPr="00981405">
        <w:t>assessment</w:t>
      </w:r>
      <w:r w:rsidR="00190923" w:rsidRPr="00981405">
        <w:t xml:space="preserve"> </w:t>
      </w:r>
      <w:r w:rsidRPr="00981405">
        <w:t>of</w:t>
      </w:r>
      <w:r w:rsidR="00190923" w:rsidRPr="00981405">
        <w:t xml:space="preserve"> </w:t>
      </w:r>
      <w:r w:rsidRPr="00981405">
        <w:t>specific</w:t>
      </w:r>
      <w:r w:rsidR="00190923" w:rsidRPr="00981405">
        <w:t xml:space="preserve"> </w:t>
      </w:r>
      <w:r w:rsidRPr="00981405">
        <w:t>evidence</w:t>
      </w:r>
      <w:r w:rsidR="00190923" w:rsidRPr="00981405">
        <w:t xml:space="preserve"> </w:t>
      </w:r>
      <w:r w:rsidRPr="00981405">
        <w:t>for</w:t>
      </w:r>
      <w:r w:rsidR="00190923" w:rsidRPr="00981405">
        <w:t xml:space="preserve"> </w:t>
      </w:r>
      <w:r w:rsidRPr="00981405">
        <w:t>each</w:t>
      </w:r>
      <w:r w:rsidR="00190923" w:rsidRPr="00981405">
        <w:t xml:space="preserve"> </w:t>
      </w:r>
      <w:r w:rsidRPr="00981405">
        <w:t>element.</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stressed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separate</w:t>
      </w:r>
      <w:r w:rsidR="00190923" w:rsidRPr="00981405">
        <w:t xml:space="preserve"> </w:t>
      </w:r>
      <w:r w:rsidRPr="00981405">
        <w:t>assessment</w:t>
      </w:r>
      <w:r w:rsidR="00190923" w:rsidRPr="00981405">
        <w:t xml:space="preserve"> </w:t>
      </w:r>
      <w:r w:rsidRPr="00981405">
        <w:t>of</w:t>
      </w:r>
      <w:r w:rsidR="00190923" w:rsidRPr="00981405">
        <w:t xml:space="preserve"> </w:t>
      </w:r>
      <w:r w:rsidRPr="00981405">
        <w:t>the</w:t>
      </w:r>
      <w:r w:rsidR="00190923" w:rsidRPr="00981405">
        <w:t xml:space="preserve"> </w:t>
      </w:r>
      <w:r w:rsidRPr="00981405">
        <w:t>two</w:t>
      </w:r>
      <w:r w:rsidR="00190923" w:rsidRPr="00981405">
        <w:t xml:space="preserve"> </w:t>
      </w:r>
      <w:r w:rsidRPr="00981405">
        <w:t>requirements</w:t>
      </w:r>
      <w:r w:rsidR="00190923" w:rsidRPr="00981405">
        <w:t xml:space="preserve"> </w:t>
      </w:r>
      <w:r w:rsidRPr="00981405">
        <w:t>did</w:t>
      </w:r>
      <w:r w:rsidR="00190923" w:rsidRPr="00981405">
        <w:t xml:space="preserve"> </w:t>
      </w:r>
      <w:r w:rsidRPr="00981405">
        <w:t>not</w:t>
      </w:r>
      <w:r w:rsidR="00190923" w:rsidRPr="00981405">
        <w:t xml:space="preserve"> </w:t>
      </w:r>
      <w:r w:rsidRPr="00981405">
        <w:t>mean</w:t>
      </w:r>
      <w:r w:rsidR="00190923" w:rsidRPr="00981405">
        <w:t xml:space="preserve"> </w:t>
      </w:r>
      <w:r w:rsidRPr="00981405">
        <w:t>that</w:t>
      </w:r>
      <w:r w:rsidR="00190923" w:rsidRPr="00981405">
        <w:t xml:space="preserve"> </w:t>
      </w:r>
      <w:r w:rsidRPr="00981405">
        <w:t>the</w:t>
      </w:r>
      <w:r w:rsidR="00190923" w:rsidRPr="00981405">
        <w:t xml:space="preserve"> </w:t>
      </w:r>
      <w:r w:rsidRPr="00981405">
        <w:t>same</w:t>
      </w:r>
      <w:r w:rsidR="00190923" w:rsidRPr="00981405">
        <w:t xml:space="preserve"> </w:t>
      </w:r>
      <w:r w:rsidRPr="00981405">
        <w:t>material</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evidence</w:t>
      </w:r>
      <w:r w:rsidR="00190923" w:rsidRPr="00981405">
        <w:t xml:space="preserve"> </w:t>
      </w:r>
      <w:r w:rsidRPr="00981405">
        <w:t>of</w:t>
      </w:r>
      <w:r w:rsidR="00190923" w:rsidRPr="00981405">
        <w:t xml:space="preserve"> </w:t>
      </w:r>
      <w:r w:rsidRPr="00981405">
        <w:t>both</w:t>
      </w:r>
      <w:r w:rsidR="00190923" w:rsidRPr="00981405">
        <w:t xml:space="preserve"> </w:t>
      </w:r>
      <w:r w:rsidRPr="00981405">
        <w:t>elements.</w:t>
      </w:r>
    </w:p>
    <w:p w:rsidR="00397032" w:rsidRPr="00981405" w:rsidRDefault="00397032" w:rsidP="00D97463">
      <w:pPr>
        <w:pStyle w:val="SingleTxt"/>
      </w:pPr>
      <w:r w:rsidRPr="00981405">
        <w:t>78.</w:t>
      </w:r>
      <w:r w:rsidRPr="00981405">
        <w:tab/>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temporal</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of</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a</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practice</w:t>
      </w:r>
      <w:r w:rsidR="00190923" w:rsidRPr="00981405">
        <w:t xml:space="preserve"> </w:t>
      </w:r>
      <w:r w:rsidRPr="00981405">
        <w:t>should</w:t>
      </w:r>
      <w:r w:rsidR="00190923" w:rsidRPr="00981405">
        <w:t xml:space="preserve"> </w:t>
      </w:r>
      <w:r w:rsidRPr="00981405">
        <w:t>precede</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Pr="00981405">
        <w:t>,</w:t>
      </w:r>
      <w:r w:rsidR="00190923" w:rsidRPr="00981405">
        <w:t xml:space="preserve"> </w:t>
      </w:r>
      <w:r w:rsidRPr="00981405">
        <w:t>while,</w:t>
      </w:r>
      <w:r w:rsidR="00190923" w:rsidRPr="00981405">
        <w:t xml:space="preserve"> </w:t>
      </w:r>
      <w:r w:rsidRPr="00981405">
        <w:t>according</w:t>
      </w:r>
      <w:r w:rsidR="00190923" w:rsidRPr="00981405">
        <w:t xml:space="preserve"> </w:t>
      </w:r>
      <w:r w:rsidRPr="00981405">
        <w:t>to</w:t>
      </w:r>
      <w:r w:rsidR="00190923" w:rsidRPr="00981405">
        <w:t xml:space="preserve"> </w:t>
      </w:r>
      <w:r w:rsidRPr="00981405">
        <w:t>another</w:t>
      </w:r>
      <w:r w:rsidR="00190923" w:rsidRPr="00981405">
        <w:t xml:space="preserve"> </w:t>
      </w:r>
      <w:r w:rsidRPr="00981405">
        <w:t>view,</w:t>
      </w:r>
      <w:r w:rsidR="00190923" w:rsidRPr="00981405">
        <w:t xml:space="preserve"> </w:t>
      </w:r>
      <w:r w:rsidRPr="00981405">
        <w:t>there</w:t>
      </w:r>
      <w:r w:rsidR="00190923" w:rsidRPr="00981405">
        <w:t xml:space="preserve"> </w:t>
      </w:r>
      <w:r w:rsidRPr="00981405">
        <w:t>was</w:t>
      </w:r>
      <w:r w:rsidR="00190923" w:rsidRPr="00981405">
        <w:t xml:space="preserve"> </w:t>
      </w:r>
      <w:r w:rsidRPr="00981405">
        <w:t>no</w:t>
      </w:r>
      <w:r w:rsidR="00190923" w:rsidRPr="00981405">
        <w:t xml:space="preserve"> </w:t>
      </w:r>
      <w:r w:rsidRPr="00981405">
        <w:t>necessary</w:t>
      </w:r>
      <w:r w:rsidR="00190923" w:rsidRPr="00981405">
        <w:t xml:space="preserve"> </w:t>
      </w:r>
      <w:r w:rsidRPr="00981405">
        <w:t>sequence</w:t>
      </w:r>
      <w:r w:rsidR="00190923" w:rsidRPr="00981405">
        <w:t xml:space="preserve"> </w:t>
      </w:r>
      <w:r w:rsidRPr="00981405">
        <w:t>between</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2" w:name="_Toc427938103"/>
      <w:r w:rsidRPr="00D97463">
        <w:t>(c)</w:t>
      </w:r>
      <w:r w:rsidRPr="00D97463">
        <w:tab/>
        <w:t>Inaction</w:t>
      </w:r>
      <w:r w:rsidR="00190923" w:rsidRPr="00D97463">
        <w:t xml:space="preserve"> </w:t>
      </w:r>
      <w:r w:rsidRPr="00D97463">
        <w:t>as</w:t>
      </w:r>
      <w:r w:rsidR="00190923" w:rsidRPr="00D97463">
        <w:t xml:space="preserve"> </w:t>
      </w:r>
      <w:r w:rsidRPr="00D97463">
        <w:t>practice</w:t>
      </w:r>
      <w:r w:rsidR="00190923" w:rsidRPr="00D97463">
        <w:t xml:space="preserve"> </w:t>
      </w:r>
      <w:r w:rsidRPr="00D97463">
        <w:t>and/or</w:t>
      </w:r>
      <w:r w:rsidR="00190923" w:rsidRPr="00D97463">
        <w:t xml:space="preserve"> </w:t>
      </w:r>
      <w:r w:rsidRPr="00D97463">
        <w:t>evidence</w:t>
      </w:r>
      <w:r w:rsidR="00190923" w:rsidRPr="00D97463">
        <w:t xml:space="preserve"> </w:t>
      </w:r>
      <w:r w:rsidRPr="00D97463">
        <w:t>of</w:t>
      </w:r>
      <w:r w:rsidR="00190923" w:rsidRPr="00D97463">
        <w:t xml:space="preserve"> </w:t>
      </w:r>
      <w:r w:rsidRPr="00D97463">
        <w:t>acceptance</w:t>
      </w:r>
      <w:r w:rsidR="00190923" w:rsidRPr="00D97463">
        <w:t xml:space="preserve"> </w:t>
      </w:r>
      <w:r w:rsidRPr="00D97463">
        <w:t>as</w:t>
      </w:r>
      <w:r w:rsidR="00190923" w:rsidRPr="00D97463">
        <w:t xml:space="preserve"> </w:t>
      </w:r>
      <w:r w:rsidRPr="00D97463">
        <w:t>law</w:t>
      </w:r>
      <w:r w:rsidR="00190923" w:rsidRPr="00D97463">
        <w:t xml:space="preserve"> </w:t>
      </w:r>
      <w:r w:rsidRPr="00D97463">
        <w:t>(</w:t>
      </w:r>
      <w:r w:rsidR="00BF1D0D" w:rsidRPr="00D97463">
        <w:rPr>
          <w:i/>
          <w:iCs/>
        </w:rPr>
        <w:t>opinio</w:t>
      </w:r>
      <w:r w:rsidR="00190923" w:rsidRPr="00D97463">
        <w:rPr>
          <w:i/>
          <w:iCs/>
        </w:rPr>
        <w:t xml:space="preserve"> </w:t>
      </w:r>
      <w:r w:rsidR="00BF1D0D" w:rsidRPr="00D97463">
        <w:rPr>
          <w:i/>
          <w:iCs/>
        </w:rPr>
        <w:t>juris</w:t>
      </w:r>
      <w:r w:rsidRPr="00D97463">
        <w:t>)</w:t>
      </w:r>
      <w:bookmarkEnd w:id="4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79.</w:t>
      </w:r>
      <w:r w:rsidRPr="00981405">
        <w:tab/>
        <w:t>While</w:t>
      </w:r>
      <w:r w:rsidR="00190923" w:rsidRPr="00981405">
        <w:t xml:space="preserve"> </w:t>
      </w:r>
      <w:r w:rsidRPr="00981405">
        <w:t>the</w:t>
      </w:r>
      <w:r w:rsidR="00190923" w:rsidRPr="00981405">
        <w:t xml:space="preserve"> </w:t>
      </w:r>
      <w:r w:rsidRPr="00981405">
        <w:t>analysis</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inaction</w:t>
      </w:r>
      <w:r w:rsidR="00190923" w:rsidRPr="00981405">
        <w:t xml:space="preserve"> </w:t>
      </w:r>
      <w:r w:rsidRPr="00981405">
        <w:t>for</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was</w:t>
      </w:r>
      <w:r w:rsidR="00190923" w:rsidRPr="00981405">
        <w:t xml:space="preserve"> </w:t>
      </w:r>
      <w:r w:rsidRPr="00981405">
        <w:t>generally</w:t>
      </w:r>
      <w:r w:rsidR="00190923" w:rsidRPr="00981405">
        <w:t xml:space="preserve"> </w:t>
      </w:r>
      <w:r w:rsidRPr="00981405">
        <w:t>welcomed,</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pointed</w:t>
      </w:r>
      <w:r w:rsidR="00190923" w:rsidRPr="00981405">
        <w:t xml:space="preserve"> </w:t>
      </w:r>
      <w:r w:rsidRPr="00981405">
        <w:t>out</w:t>
      </w:r>
      <w:r w:rsidR="00190923" w:rsidRPr="00981405">
        <w:t xml:space="preserve"> </w:t>
      </w:r>
      <w:r w:rsidRPr="00981405">
        <w:t>the</w:t>
      </w:r>
      <w:r w:rsidR="00190923" w:rsidRPr="00981405">
        <w:t xml:space="preserve"> </w:t>
      </w:r>
      <w:r w:rsidRPr="00981405">
        <w:t>practical</w:t>
      </w:r>
      <w:r w:rsidR="00190923" w:rsidRPr="00981405">
        <w:t xml:space="preserve"> </w:t>
      </w:r>
      <w:r w:rsidRPr="00981405">
        <w:t>difficulty</w:t>
      </w:r>
      <w:r w:rsidR="00190923" w:rsidRPr="00981405">
        <w:t xml:space="preserve"> </w:t>
      </w:r>
      <w:r w:rsidRPr="00981405">
        <w:t>of</w:t>
      </w:r>
      <w:r w:rsidR="00190923" w:rsidRPr="00981405">
        <w:t xml:space="preserve"> </w:t>
      </w:r>
      <w:r w:rsidRPr="00981405">
        <w:t>qualifying</w:t>
      </w:r>
      <w:r w:rsidR="00190923" w:rsidRPr="00981405">
        <w:t xml:space="preserve"> </w:t>
      </w:r>
      <w:r w:rsidRPr="00981405">
        <w:t>inaction</w:t>
      </w:r>
      <w:r w:rsidR="00190923" w:rsidRPr="00981405">
        <w:t xml:space="preserve"> </w:t>
      </w:r>
      <w:r w:rsidRPr="00981405">
        <w:t>for</w:t>
      </w:r>
      <w:r w:rsidR="00190923" w:rsidRPr="00981405">
        <w:t xml:space="preserve"> </w:t>
      </w:r>
      <w:r w:rsidRPr="00981405">
        <w:t>that</w:t>
      </w:r>
      <w:r w:rsidR="00190923" w:rsidRPr="00981405">
        <w:t xml:space="preserve"> </w:t>
      </w:r>
      <w:r w:rsidRPr="00981405">
        <w:t>purpose.</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clarify</w:t>
      </w:r>
      <w:r w:rsidR="00190923" w:rsidRPr="00981405">
        <w:t xml:space="preserve"> </w:t>
      </w:r>
      <w:r w:rsidRPr="00981405">
        <w:t>the</w:t>
      </w:r>
      <w:r w:rsidR="00190923" w:rsidRPr="00981405">
        <w:t xml:space="preserve"> </w:t>
      </w:r>
      <w:r w:rsidRPr="00981405">
        <w:t>specific</w:t>
      </w:r>
      <w:r w:rsidR="00190923" w:rsidRPr="00981405">
        <w:t xml:space="preserve"> </w:t>
      </w:r>
      <w:r w:rsidRPr="00981405">
        <w:t>circumstances</w:t>
      </w:r>
      <w:r w:rsidR="00190923" w:rsidRPr="00981405">
        <w:t xml:space="preserve"> </w:t>
      </w:r>
      <w:r w:rsidRPr="00981405">
        <w:t>under</w:t>
      </w:r>
      <w:r w:rsidR="00190923" w:rsidRPr="00981405">
        <w:t xml:space="preserve"> </w:t>
      </w:r>
      <w:r w:rsidRPr="00981405">
        <w:t>which</w:t>
      </w:r>
      <w:r w:rsidR="00190923" w:rsidRPr="00981405">
        <w:t xml:space="preserve"> </w:t>
      </w:r>
      <w:r w:rsidRPr="00981405">
        <w:t>inaction</w:t>
      </w:r>
      <w:r w:rsidR="00190923" w:rsidRPr="00981405">
        <w:t xml:space="preserve"> </w:t>
      </w:r>
      <w:r w:rsidRPr="00981405">
        <w:t>was</w:t>
      </w:r>
      <w:r w:rsidR="00190923" w:rsidRPr="00981405">
        <w:t xml:space="preserve"> </w:t>
      </w:r>
      <w:r w:rsidRPr="00981405">
        <w:t>relevant,</w:t>
      </w:r>
      <w:r w:rsidR="00190923" w:rsidRPr="00981405">
        <w:t xml:space="preserve"> </w:t>
      </w:r>
      <w:r w:rsidRPr="00981405">
        <w:t>especially</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assessment</w:t>
      </w:r>
      <w:r w:rsidR="00190923" w:rsidRPr="00981405">
        <w:t xml:space="preserve"> </w:t>
      </w:r>
      <w:r w:rsidRPr="00981405">
        <w:t>of</w:t>
      </w:r>
      <w:r w:rsidR="00190923" w:rsidRPr="00981405">
        <w:t xml:space="preserve"> </w:t>
      </w:r>
      <w:r w:rsidRPr="00981405">
        <w:t>acceptance</w:t>
      </w:r>
      <w:r w:rsidR="00190923" w:rsidRPr="00981405">
        <w:t xml:space="preserve"> </w:t>
      </w:r>
      <w:r w:rsidRPr="00981405">
        <w:t>as</w:t>
      </w:r>
      <w:r w:rsidR="00190923" w:rsidRPr="00981405">
        <w:t xml:space="preserve"> </w:t>
      </w:r>
      <w:r w:rsidRPr="00981405">
        <w:t>law</w:t>
      </w:r>
      <w:r w:rsidR="00190923" w:rsidRPr="00981405">
        <w:t xml:space="preserve"> </w:t>
      </w:r>
      <w:r w:rsidRPr="00981405">
        <w:t>(</w:t>
      </w:r>
      <w:r w:rsidR="00BF1D0D" w:rsidRPr="00981405">
        <w:rPr>
          <w:i/>
          <w:iCs/>
        </w:rPr>
        <w:t>opinio</w:t>
      </w:r>
      <w:r w:rsidR="00190923" w:rsidRPr="00981405">
        <w:rPr>
          <w:i/>
          <w:iCs/>
        </w:rPr>
        <w:t xml:space="preserve"> </w:t>
      </w:r>
      <w:r w:rsidR="00BF1D0D" w:rsidRPr="00981405">
        <w:rPr>
          <w:i/>
          <w:iCs/>
        </w:rPr>
        <w:t>juris</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specific</w:t>
      </w:r>
      <w:r w:rsidR="00190923" w:rsidRPr="00981405">
        <w:t xml:space="preserve"> </w:t>
      </w:r>
      <w:r w:rsidRPr="00981405">
        <w:t>criteria</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to</w:t>
      </w:r>
      <w:r w:rsidR="00190923" w:rsidRPr="00981405">
        <w:t xml:space="preserve"> </w:t>
      </w:r>
      <w:r w:rsidRPr="00981405">
        <w:t>qualify</w:t>
      </w:r>
      <w:r w:rsidR="00190923" w:rsidRPr="00981405">
        <w:t xml:space="preserve"> </w:t>
      </w:r>
      <w:r w:rsidRPr="00981405">
        <w:t>inaction</w:t>
      </w:r>
      <w:r w:rsidR="00190923" w:rsidRPr="00981405">
        <w:t xml:space="preserve"> </w:t>
      </w:r>
      <w:r w:rsidRPr="00981405">
        <w:t>be</w:t>
      </w:r>
      <w:r w:rsidR="00190923" w:rsidRPr="00981405">
        <w:t xml:space="preserve"> </w:t>
      </w:r>
      <w:r w:rsidRPr="00981405">
        <w:t>indicated</w:t>
      </w:r>
      <w:r w:rsidR="00190923" w:rsidRPr="00981405">
        <w:t xml:space="preserve"> </w:t>
      </w:r>
      <w:r w:rsidRPr="00981405">
        <w:t>in</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itself.</w:t>
      </w:r>
    </w:p>
    <w:p w:rsidR="00397032" w:rsidRPr="00981405" w:rsidRDefault="00397032" w:rsidP="00D97463">
      <w:pPr>
        <w:pStyle w:val="SingleTxt"/>
      </w:pPr>
      <w:r w:rsidRPr="00981405">
        <w:t>80.</w:t>
      </w:r>
      <w:r w:rsidRPr="00981405">
        <w:tab/>
        <w:t>The</w:t>
      </w:r>
      <w:r w:rsidR="00190923" w:rsidRPr="00981405">
        <w:t xml:space="preserve"> </w:t>
      </w:r>
      <w:r w:rsidRPr="00981405">
        <w:t>criteria</w:t>
      </w:r>
      <w:r w:rsidR="00190923" w:rsidRPr="00981405">
        <w:t xml:space="preserve"> </w:t>
      </w:r>
      <w:r w:rsidRPr="00981405">
        <w:t>enunciated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for</w:t>
      </w:r>
      <w:r w:rsidR="00190923" w:rsidRPr="00981405">
        <w:t xml:space="preserve"> </w:t>
      </w:r>
      <w:r w:rsidRPr="00981405">
        <w:t>inaction</w:t>
      </w:r>
      <w:r w:rsidR="00190923" w:rsidRPr="00981405">
        <w:t xml:space="preserve"> </w:t>
      </w:r>
      <w:r w:rsidRPr="00981405">
        <w:t>to</w:t>
      </w:r>
      <w:r w:rsidR="00190923" w:rsidRPr="00981405">
        <w:t xml:space="preserve"> </w:t>
      </w:r>
      <w:r w:rsidRPr="00981405">
        <w:t>serve</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Pr="00981405">
        <w:t>acceptance</w:t>
      </w:r>
      <w:r w:rsidR="00190923" w:rsidRPr="00981405">
        <w:t xml:space="preserve"> </w:t>
      </w:r>
      <w:r w:rsidRPr="00981405">
        <w:t>as</w:t>
      </w:r>
      <w:r w:rsidR="00190923" w:rsidRPr="00981405">
        <w:t xml:space="preserve"> </w:t>
      </w:r>
      <w:r w:rsidRPr="00981405">
        <w:t>law</w:t>
      </w:r>
      <w:r w:rsidR="00190923" w:rsidRPr="00981405">
        <w:t xml:space="preserve"> </w:t>
      </w:r>
      <w:r w:rsidRPr="00981405">
        <w:t>received</w:t>
      </w:r>
      <w:r w:rsidR="00190923" w:rsidRPr="00981405">
        <w:t xml:space="preserve"> </w:t>
      </w:r>
      <w:r w:rsidRPr="00981405">
        <w:t>broad</w:t>
      </w:r>
      <w:r w:rsidR="00190923" w:rsidRPr="00981405">
        <w:t xml:space="preserve"> </w:t>
      </w:r>
      <w:r w:rsidRPr="00981405">
        <w:t>support</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situation</w:t>
      </w:r>
      <w:r w:rsidR="00190923" w:rsidRPr="00981405">
        <w:t xml:space="preserve"> </w:t>
      </w:r>
      <w:r w:rsidRPr="00981405">
        <w:t>should</w:t>
      </w:r>
      <w:r w:rsidR="00190923" w:rsidRPr="00981405">
        <w:t xml:space="preserve"> </w:t>
      </w:r>
      <w:r w:rsidRPr="00981405">
        <w:t>warrant</w:t>
      </w:r>
      <w:r w:rsidR="00190923" w:rsidRPr="00981405">
        <w:t xml:space="preserve"> </w:t>
      </w:r>
      <w:r w:rsidRPr="00981405">
        <w:t>reaction</w:t>
      </w:r>
      <w:r w:rsidR="00190923" w:rsidRPr="00981405">
        <w:t xml:space="preserve"> </w:t>
      </w:r>
      <w:r w:rsidRPr="00981405">
        <w:t>by</w:t>
      </w:r>
      <w:r w:rsidR="00190923" w:rsidRPr="00981405">
        <w:t xml:space="preserve"> </w:t>
      </w:r>
      <w:r w:rsidRPr="00981405">
        <w:t>the</w:t>
      </w:r>
      <w:r w:rsidR="00190923" w:rsidRPr="00981405">
        <w:t xml:space="preserve"> </w:t>
      </w:r>
      <w:r w:rsidRPr="00981405">
        <w:t>States</w:t>
      </w:r>
      <w:r w:rsidR="00190923" w:rsidRPr="00981405">
        <w:t xml:space="preserve"> </w:t>
      </w:r>
      <w:r w:rsidRPr="00981405">
        <w:t>concerned,</w:t>
      </w:r>
      <w:r w:rsidR="00190923" w:rsidRPr="00981405">
        <w:t xml:space="preserve"> </w:t>
      </w:r>
      <w:r w:rsidRPr="00981405">
        <w:t>that</w:t>
      </w:r>
      <w:r w:rsidR="00190923" w:rsidRPr="00981405">
        <w:t xml:space="preserve"> </w:t>
      </w:r>
      <w:r w:rsidRPr="00981405">
        <w:t>States</w:t>
      </w:r>
      <w:r w:rsidR="00190923" w:rsidRPr="00981405">
        <w:t xml:space="preserve"> </w:t>
      </w:r>
      <w:r w:rsidRPr="00981405">
        <w:t>must</w:t>
      </w:r>
      <w:r w:rsidR="00190923" w:rsidRPr="00981405">
        <w:t xml:space="preserve"> </w:t>
      </w:r>
      <w:r w:rsidRPr="00981405">
        <w:t>have</w:t>
      </w:r>
      <w:r w:rsidR="00190923" w:rsidRPr="00981405">
        <w:t xml:space="preserve"> </w:t>
      </w:r>
      <w:r w:rsidRPr="00981405">
        <w:t>actual</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in</w:t>
      </w:r>
      <w:r w:rsidR="00190923" w:rsidRPr="00981405">
        <w:t xml:space="preserve"> </w:t>
      </w:r>
      <w:r w:rsidRPr="00981405">
        <w:t>question</w:t>
      </w:r>
      <w:r w:rsidR="00190923" w:rsidRPr="00981405">
        <w:t xml:space="preserve"> </w:t>
      </w:r>
      <w:r w:rsidRPr="00981405">
        <w:t>and</w:t>
      </w:r>
      <w:r w:rsidR="00190923" w:rsidRPr="00981405">
        <w:t xml:space="preserve"> </w:t>
      </w:r>
      <w:r w:rsidRPr="00981405">
        <w:t>that</w:t>
      </w:r>
      <w:r w:rsidR="00190923" w:rsidRPr="00981405">
        <w:t xml:space="preserve"> </w:t>
      </w:r>
      <w:r w:rsidRPr="00981405">
        <w:t>inaction</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maintained</w:t>
      </w:r>
      <w:r w:rsidR="00190923" w:rsidRPr="00981405">
        <w:t xml:space="preserve"> </w:t>
      </w:r>
      <w:r w:rsidRPr="00981405">
        <w:t>for</w:t>
      </w:r>
      <w:r w:rsidR="00190923" w:rsidRPr="00981405">
        <w:t xml:space="preserve"> </w:t>
      </w:r>
      <w:r w:rsidRPr="00981405">
        <w:t>a</w:t>
      </w:r>
      <w:r w:rsidR="00190923" w:rsidRPr="00981405">
        <w:t xml:space="preserve"> </w:t>
      </w:r>
      <w:r w:rsidRPr="00981405">
        <w:t>sufficient</w:t>
      </w:r>
      <w:r w:rsidR="00190923" w:rsidRPr="00981405">
        <w:t xml:space="preserve"> </w:t>
      </w:r>
      <w:r w:rsidRPr="00981405">
        <w:t>period</w:t>
      </w:r>
      <w:r w:rsidR="00190923" w:rsidRPr="00981405">
        <w:t xml:space="preserve"> </w:t>
      </w:r>
      <w:r w:rsidRPr="00981405">
        <w:t>of</w:t>
      </w:r>
      <w:r w:rsidR="00190923" w:rsidRPr="00981405">
        <w:t xml:space="preserve"> </w:t>
      </w:r>
      <w:r w:rsidRPr="00981405">
        <w:t>time.</w:t>
      </w:r>
      <w:r w:rsidR="00190923" w:rsidRPr="00981405">
        <w:t xml:space="preserve"> </w:t>
      </w:r>
      <w:r w:rsidRPr="00981405">
        <w:t>Different</w:t>
      </w:r>
      <w:r w:rsidR="00190923" w:rsidRPr="00981405">
        <w:t xml:space="preserve"> </w:t>
      </w:r>
      <w:r w:rsidRPr="00981405">
        <w:t>views</w:t>
      </w:r>
      <w:r w:rsidR="00190923" w:rsidRPr="00981405">
        <w:t xml:space="preserve"> </w:t>
      </w:r>
      <w:r w:rsidRPr="00981405">
        <w:t>were</w:t>
      </w:r>
      <w:r w:rsidR="00190923" w:rsidRPr="00981405">
        <w:t xml:space="preserve"> </w:t>
      </w:r>
      <w:r w:rsidRPr="00981405">
        <w:t>expressed,</w:t>
      </w:r>
      <w:r w:rsidR="00190923" w:rsidRPr="00981405">
        <w:t xml:space="preserve"> </w:t>
      </w:r>
      <w:r w:rsidRPr="00981405">
        <w:t>however,</w:t>
      </w:r>
      <w:r w:rsidR="00190923" w:rsidRPr="00981405">
        <w:t xml:space="preserve"> </w:t>
      </w:r>
      <w:r w:rsidRPr="00981405">
        <w:t>as</w:t>
      </w:r>
      <w:r w:rsidR="00190923" w:rsidRPr="00981405">
        <w:t xml:space="preserve"> </w:t>
      </w:r>
      <w:r w:rsidRPr="00981405">
        <w:t>to</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inaction,</w:t>
      </w:r>
      <w:r w:rsidR="00190923" w:rsidRPr="00981405">
        <w:t xml:space="preserve"> </w:t>
      </w:r>
      <w:r w:rsidRPr="00981405">
        <w:t>in</w:t>
      </w:r>
      <w:r w:rsidR="00190923" w:rsidRPr="00981405">
        <w:t xml:space="preserve"> </w:t>
      </w:r>
      <w:r w:rsidRPr="00981405">
        <w:t>that</w:t>
      </w:r>
      <w:r w:rsidR="00190923" w:rsidRPr="00981405">
        <w:t xml:space="preserve"> </w:t>
      </w:r>
      <w:r w:rsidRPr="00981405">
        <w:t>context,</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equated</w:t>
      </w:r>
      <w:r w:rsidR="00190923" w:rsidRPr="00981405">
        <w:t xml:space="preserve"> </w:t>
      </w:r>
      <w:r w:rsidRPr="00981405">
        <w:t>with</w:t>
      </w:r>
      <w:r w:rsidR="00190923" w:rsidRPr="00981405">
        <w:t xml:space="preserve"> </w:t>
      </w:r>
      <w:r w:rsidRPr="00981405">
        <w:t>acquiescence.</w:t>
      </w:r>
      <w:r w:rsidR="00190923" w:rsidRPr="00981405">
        <w:t xml:space="preserve"> </w:t>
      </w:r>
      <w:r w:rsidRPr="00981405">
        <w:t>It</w:t>
      </w:r>
      <w:r w:rsidR="00190923" w:rsidRPr="00981405">
        <w:t xml:space="preserve"> </w:t>
      </w:r>
      <w:r w:rsidRPr="00981405">
        <w:t>was</w:t>
      </w:r>
      <w:r w:rsidR="00190923" w:rsidRPr="00981405">
        <w:t xml:space="preserve"> </w:t>
      </w:r>
      <w:r w:rsidRPr="00981405">
        <w:t>added</w:t>
      </w:r>
      <w:r w:rsidR="00190923" w:rsidRPr="00981405">
        <w:t xml:space="preserve"> </w:t>
      </w:r>
      <w:r w:rsidRPr="00981405">
        <w:t>that</w:t>
      </w:r>
      <w:r w:rsidR="00190923" w:rsidRPr="00981405">
        <w:t xml:space="preserve"> </w:t>
      </w:r>
      <w:r w:rsidRPr="00981405">
        <w:t>what</w:t>
      </w:r>
      <w:r w:rsidR="00190923" w:rsidRPr="00981405">
        <w:t xml:space="preserve"> </w:t>
      </w:r>
      <w:r w:rsidRPr="00981405">
        <w:t>was</w:t>
      </w:r>
      <w:r w:rsidR="00190923" w:rsidRPr="00981405">
        <w:t xml:space="preserve"> </w:t>
      </w:r>
      <w:r w:rsidRPr="00981405">
        <w:t>important</w:t>
      </w:r>
      <w:r w:rsidR="00190923" w:rsidRPr="00981405">
        <w:t xml:space="preserve"> </w:t>
      </w:r>
      <w:r w:rsidRPr="00981405">
        <w:t>was</w:t>
      </w:r>
      <w:r w:rsidR="00190923" w:rsidRPr="00981405">
        <w:t xml:space="preserve"> </w:t>
      </w:r>
      <w:r w:rsidRPr="00981405">
        <w:t>to</w:t>
      </w:r>
      <w:r w:rsidR="00190923" w:rsidRPr="00981405">
        <w:t xml:space="preserve"> </w:t>
      </w:r>
      <w:r w:rsidRPr="00981405">
        <w:t>establish</w:t>
      </w:r>
      <w:r w:rsidR="00190923" w:rsidRPr="00981405">
        <w:t xml:space="preserve"> </w:t>
      </w:r>
      <w:r w:rsidRPr="00981405">
        <w:t>if</w:t>
      </w:r>
      <w:r w:rsidR="00190923" w:rsidRPr="00981405">
        <w:t xml:space="preserve"> </w:t>
      </w:r>
      <w:r w:rsidRPr="00981405">
        <w:t>inaction,</w:t>
      </w:r>
      <w:r w:rsidR="00190923" w:rsidRPr="00981405">
        <w:t xml:space="preserve"> </w:t>
      </w:r>
      <w:r w:rsidRPr="00981405">
        <w:t>in</w:t>
      </w:r>
      <w:r w:rsidR="00190923" w:rsidRPr="00981405">
        <w:t xml:space="preserve"> </w:t>
      </w:r>
      <w:r w:rsidRPr="00981405">
        <w:t>a</w:t>
      </w:r>
      <w:r w:rsidR="00190923" w:rsidRPr="00981405">
        <w:t xml:space="preserve"> </w:t>
      </w:r>
      <w:r w:rsidRPr="00981405">
        <w:t>particular</w:t>
      </w:r>
      <w:r w:rsidR="00190923" w:rsidRPr="00981405">
        <w:t xml:space="preserve"> </w:t>
      </w:r>
      <w:r w:rsidRPr="00981405">
        <w:t>case,</w:t>
      </w:r>
      <w:r w:rsidR="00190923" w:rsidRPr="00981405">
        <w:t xml:space="preserve"> </w:t>
      </w:r>
      <w:r w:rsidRPr="00981405">
        <w:t>could</w:t>
      </w:r>
      <w:r w:rsidR="00190923" w:rsidRPr="00981405">
        <w:t xml:space="preserve"> </w:t>
      </w:r>
      <w:r w:rsidRPr="00981405">
        <w:t>be</w:t>
      </w:r>
      <w:r w:rsidR="00190923" w:rsidRPr="00981405">
        <w:t xml:space="preserve"> </w:t>
      </w:r>
      <w:r w:rsidRPr="00981405">
        <w:t>equated</w:t>
      </w:r>
      <w:r w:rsidR="00190923" w:rsidRPr="00981405">
        <w:t xml:space="preserve"> </w:t>
      </w:r>
      <w:r w:rsidRPr="00981405">
        <w:t>with</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Pr="00981405">
        <w:t>.</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3" w:name="_Toc427938104"/>
      <w:r w:rsidRPr="00D97463">
        <w:t>(d)</w:t>
      </w:r>
      <w:r w:rsidRPr="00D97463">
        <w:tab/>
        <w:t>The</w:t>
      </w:r>
      <w:r w:rsidR="00190923" w:rsidRPr="00D97463">
        <w:t xml:space="preserve"> </w:t>
      </w:r>
      <w:r w:rsidRPr="00D97463">
        <w:t>role</w:t>
      </w:r>
      <w:r w:rsidR="00190923" w:rsidRPr="00D97463">
        <w:t xml:space="preserve"> </w:t>
      </w:r>
      <w:r w:rsidRPr="00D97463">
        <w:t>of</w:t>
      </w:r>
      <w:r w:rsidR="00190923" w:rsidRPr="00D97463">
        <w:t xml:space="preserve"> </w:t>
      </w:r>
      <w:r w:rsidRPr="00D97463">
        <w:t>treaties</w:t>
      </w:r>
      <w:r w:rsidR="00190923" w:rsidRPr="00D97463">
        <w:t xml:space="preserve"> </w:t>
      </w:r>
      <w:r w:rsidRPr="00D97463">
        <w:t>and</w:t>
      </w:r>
      <w:r w:rsidR="00190923" w:rsidRPr="00D97463">
        <w:t xml:space="preserve"> </w:t>
      </w:r>
      <w:r w:rsidRPr="00D97463">
        <w:t>resolutions</w:t>
      </w:r>
      <w:bookmarkEnd w:id="43"/>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81.</w:t>
      </w:r>
      <w:r w:rsidRPr="00981405">
        <w:tab/>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expressed</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reached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treaties</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that</w:t>
      </w:r>
      <w:r w:rsidR="00190923" w:rsidRPr="00981405">
        <w:t xml:space="preserve"> </w:t>
      </w:r>
      <w:r w:rsidRPr="00981405">
        <w:t>references</w:t>
      </w:r>
      <w:r w:rsidR="00190923" w:rsidRPr="00981405">
        <w:t xml:space="preserve"> </w:t>
      </w:r>
      <w:r w:rsidRPr="00981405">
        <w:t>to</w:t>
      </w:r>
      <w:r w:rsidR="00190923" w:rsidRPr="00981405">
        <w:t xml:space="preserve"> </w:t>
      </w:r>
      <w:r w:rsidRPr="00981405">
        <w:t>the</w:t>
      </w:r>
      <w:r w:rsidR="00190923" w:rsidRPr="00981405">
        <w:t xml:space="preserve"> </w:t>
      </w:r>
      <w:r w:rsidRPr="00981405">
        <w:t>effect</w:t>
      </w:r>
      <w:r w:rsidR="00190923" w:rsidRPr="00981405">
        <w:t xml:space="preserve"> </w:t>
      </w:r>
      <w:r w:rsidRPr="00981405">
        <w:t>of</w:t>
      </w:r>
      <w:r w:rsidR="00190923" w:rsidRPr="00981405">
        <w:t xml:space="preserve"> </w:t>
      </w:r>
      <w:r w:rsidRPr="00981405">
        <w:t>treaties</w:t>
      </w:r>
      <w:r w:rsidR="00190923" w:rsidRPr="00981405">
        <w:t xml:space="preserve"> </w:t>
      </w:r>
      <w:r w:rsidRPr="00981405">
        <w:t>on</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be</w:t>
      </w:r>
      <w:r w:rsidR="00190923" w:rsidRPr="00981405">
        <w:t xml:space="preserve"> </w:t>
      </w:r>
      <w:r w:rsidRPr="00981405">
        <w:t>set</w:t>
      </w:r>
      <w:r w:rsidR="00190923" w:rsidRPr="00981405">
        <w:t xml:space="preserve"> </w:t>
      </w:r>
      <w:r w:rsidRPr="00981405">
        <w:t>aside</w:t>
      </w:r>
      <w:r w:rsidR="00190923" w:rsidRPr="00981405">
        <w:t xml:space="preserve"> </w:t>
      </w:r>
      <w:r w:rsidRPr="00981405">
        <w:t>and</w:t>
      </w:r>
      <w:r w:rsidR="00190923" w:rsidRPr="00981405">
        <w:t xml:space="preserve"> </w:t>
      </w:r>
      <w:r w:rsidRPr="00981405">
        <w:t>that</w:t>
      </w:r>
      <w:r w:rsidR="00190923" w:rsidRPr="00981405">
        <w:t xml:space="preserve"> </w:t>
      </w:r>
      <w:r w:rsidRPr="00981405">
        <w:t>focus</w:t>
      </w:r>
      <w:r w:rsidR="00190923" w:rsidRPr="00981405">
        <w:t xml:space="preserve"> </w:t>
      </w:r>
      <w:r w:rsidRPr="00981405">
        <w:t>be</w:t>
      </w:r>
      <w:r w:rsidR="00190923" w:rsidRPr="00981405">
        <w:t xml:space="preserve"> </w:t>
      </w:r>
      <w:r w:rsidRPr="00981405">
        <w:t>placed</w:t>
      </w:r>
      <w:r w:rsidR="00190923" w:rsidRPr="00981405">
        <w:t xml:space="preserve"> </w:t>
      </w:r>
      <w:r w:rsidRPr="00981405">
        <w:t>on</w:t>
      </w:r>
      <w:r w:rsidR="00190923" w:rsidRPr="00981405">
        <w:t xml:space="preserve"> </w:t>
      </w:r>
      <w:r w:rsidRPr="00981405">
        <w:t>their</w:t>
      </w:r>
      <w:r w:rsidR="00190923" w:rsidRPr="00981405">
        <w:t xml:space="preserve"> </w:t>
      </w:r>
      <w:r w:rsidRPr="00981405">
        <w:t>evidentiary</w:t>
      </w:r>
      <w:r w:rsidR="00190923" w:rsidRPr="00981405">
        <w:t xml:space="preserve"> </w:t>
      </w:r>
      <w:r w:rsidRPr="00981405">
        <w:t>value</w:t>
      </w:r>
      <w:r w:rsidR="00190923" w:rsidRPr="00981405">
        <w:t xml:space="preserve"> </w:t>
      </w:r>
      <w:r w:rsidRPr="00981405">
        <w:t>exclusively.</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there</w:t>
      </w:r>
      <w:r w:rsidR="00190923" w:rsidRPr="00981405">
        <w:t xml:space="preserve"> </w:t>
      </w:r>
      <w:r w:rsidRPr="00981405">
        <w:t>was</w:t>
      </w:r>
      <w:r w:rsidR="00190923" w:rsidRPr="00981405">
        <w:t xml:space="preserve"> </w:t>
      </w:r>
      <w:r w:rsidRPr="00981405">
        <w:t>no</w:t>
      </w:r>
      <w:r w:rsidR="00190923" w:rsidRPr="00981405">
        <w:t xml:space="preserve"> </w:t>
      </w:r>
      <w:r w:rsidRPr="00981405">
        <w:t>difference</w:t>
      </w:r>
      <w:r w:rsidR="00190923" w:rsidRPr="00981405">
        <w:t xml:space="preserve"> </w:t>
      </w:r>
      <w:r w:rsidRPr="00981405">
        <w:t>between</w:t>
      </w:r>
      <w:r w:rsidR="00190923" w:rsidRPr="00981405">
        <w:t xml:space="preserve"> </w:t>
      </w:r>
      <w:r w:rsidRPr="00981405">
        <w:t>the</w:t>
      </w:r>
      <w:r w:rsidR="00190923" w:rsidRPr="00981405">
        <w:t xml:space="preserve"> </w:t>
      </w:r>
      <w:r w:rsidRPr="00981405">
        <w:t>crystallization</w:t>
      </w:r>
      <w:r w:rsidR="00190923" w:rsidRPr="00981405">
        <w:t xml:space="preserve"> </w:t>
      </w:r>
      <w:r w:rsidRPr="00981405">
        <w:t>of</w:t>
      </w:r>
      <w:r w:rsidR="00190923" w:rsidRPr="00981405">
        <w:t xml:space="preserve"> </w:t>
      </w:r>
      <w:r w:rsidRPr="00981405">
        <w:t>a</w:t>
      </w:r>
      <w:r w:rsidR="00190923" w:rsidRPr="00981405">
        <w:t xml:space="preserve"> </w:t>
      </w:r>
      <w:r w:rsidRPr="00981405">
        <w:t>customary</w:t>
      </w:r>
      <w:r w:rsidR="00190923" w:rsidRPr="00981405">
        <w:t xml:space="preserve"> </w:t>
      </w:r>
      <w:r w:rsidRPr="00981405">
        <w:t>rule</w:t>
      </w:r>
      <w:r w:rsidR="00190923" w:rsidRPr="00981405">
        <w:t xml:space="preserve"> </w:t>
      </w:r>
      <w:r w:rsidRPr="00981405">
        <w:t>and</w:t>
      </w:r>
      <w:r w:rsidR="00190923" w:rsidRPr="00981405">
        <w:t xml:space="preserve"> </w:t>
      </w:r>
      <w:r w:rsidRPr="00981405">
        <w:t>the</w:t>
      </w:r>
      <w:r w:rsidR="00190923" w:rsidRPr="00981405">
        <w:t xml:space="preserve"> </w:t>
      </w:r>
      <w:r w:rsidRPr="00981405">
        <w:t>generation</w:t>
      </w:r>
      <w:r w:rsidR="00190923" w:rsidRPr="00981405">
        <w:t xml:space="preserve"> </w:t>
      </w:r>
      <w:r w:rsidRPr="00981405">
        <w:t>of</w:t>
      </w:r>
      <w:r w:rsidR="00190923" w:rsidRPr="00981405">
        <w:t xml:space="preserve"> </w:t>
      </w:r>
      <w:r w:rsidRPr="00981405">
        <w:t>a</w:t>
      </w:r>
      <w:r w:rsidR="00190923" w:rsidRPr="00981405">
        <w:t xml:space="preserve"> </w:t>
      </w:r>
      <w:r w:rsidRPr="00981405">
        <w:t>new</w:t>
      </w:r>
      <w:r w:rsidR="00190923" w:rsidRPr="00981405">
        <w:t xml:space="preserve"> </w:t>
      </w:r>
      <w:r w:rsidRPr="00981405">
        <w:t>rule</w:t>
      </w:r>
      <w:r w:rsidR="00190923" w:rsidRPr="00981405">
        <w:t xml:space="preserve"> </w:t>
      </w:r>
      <w:r w:rsidRPr="00981405">
        <w:t>through</w:t>
      </w:r>
      <w:r w:rsidR="00190923" w:rsidRPr="00981405">
        <w:t xml:space="preserve"> </w:t>
      </w:r>
      <w:r w:rsidRPr="00981405">
        <w:t>the</w:t>
      </w:r>
      <w:r w:rsidR="00190923" w:rsidRPr="00981405">
        <w:t xml:space="preserve"> </w:t>
      </w:r>
      <w:r w:rsidRPr="00981405">
        <w:t>adoption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Furthermore,</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to</w:t>
      </w:r>
      <w:r w:rsidR="00190923" w:rsidRPr="00981405">
        <w:t xml:space="preserve"> </w:t>
      </w:r>
      <w:r w:rsidRPr="00981405">
        <w:t>address</w:t>
      </w:r>
      <w:r w:rsidR="00190923" w:rsidRPr="00981405">
        <w:t xml:space="preserve"> </w:t>
      </w:r>
      <w:r w:rsidRPr="00981405">
        <w:t>article</w:t>
      </w:r>
      <w:r w:rsidR="00190923" w:rsidRPr="00981405">
        <w:t xml:space="preserve"> </w:t>
      </w:r>
      <w:r w:rsidRPr="00981405">
        <w:t>38</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Some</w:t>
      </w:r>
      <w:r w:rsidR="00190923" w:rsidRPr="00981405">
        <w:t xml:space="preserve"> </w:t>
      </w:r>
      <w:r w:rsidRPr="00981405">
        <w:t>members</w:t>
      </w:r>
      <w:r w:rsidR="00190923" w:rsidRPr="00981405">
        <w:t xml:space="preserve"> </w:t>
      </w:r>
      <w:r w:rsidRPr="00981405">
        <w:t>stressed</w:t>
      </w:r>
      <w:r w:rsidR="00190923" w:rsidRPr="00981405">
        <w:t xml:space="preserve"> </w:t>
      </w:r>
      <w:r w:rsidRPr="00981405">
        <w:t>that</w:t>
      </w:r>
      <w:r w:rsidR="00190923" w:rsidRPr="00981405">
        <w:t xml:space="preserve"> </w:t>
      </w:r>
      <w:r w:rsidRPr="00981405">
        <w:t>all</w:t>
      </w:r>
      <w:r w:rsidR="00190923" w:rsidRPr="00981405">
        <w:t xml:space="preserve"> </w:t>
      </w:r>
      <w:r w:rsidRPr="00981405">
        <w:t>treaty</w:t>
      </w:r>
      <w:r w:rsidR="00190923" w:rsidRPr="00981405">
        <w:t xml:space="preserve"> </w:t>
      </w:r>
      <w:r w:rsidRPr="00981405">
        <w:t>provisions</w:t>
      </w:r>
      <w:r w:rsidR="00190923" w:rsidRPr="00981405">
        <w:t xml:space="preserve"> </w:t>
      </w:r>
      <w:r w:rsidRPr="00981405">
        <w:t>were</w:t>
      </w:r>
      <w:r w:rsidR="00190923" w:rsidRPr="00981405">
        <w:t xml:space="preserve"> </w:t>
      </w:r>
      <w:r w:rsidRPr="00981405">
        <w:t>not</w:t>
      </w:r>
      <w:r w:rsidR="00190923" w:rsidRPr="00981405">
        <w:t xml:space="preserve"> </w:t>
      </w:r>
      <w:r w:rsidRPr="00981405">
        <w:t>equally</w:t>
      </w:r>
      <w:r w:rsidR="00190923" w:rsidRPr="00981405">
        <w:t xml:space="preserve"> </w:t>
      </w:r>
      <w:r w:rsidRPr="00981405">
        <w:t>relevant</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lastRenderedPageBreak/>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that</w:t>
      </w:r>
      <w:r w:rsidR="00190923" w:rsidRPr="00981405">
        <w:t xml:space="preserve"> </w:t>
      </w:r>
      <w:r w:rsidRPr="00981405">
        <w:t>only</w:t>
      </w:r>
      <w:r w:rsidR="00190923" w:rsidRPr="00981405">
        <w:t xml:space="preserve"> </w:t>
      </w:r>
      <w:r w:rsidRPr="00981405">
        <w:t>treaty</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00B92E2C" w:rsidRPr="00981405">
        <w:t>“</w:t>
      </w:r>
      <w:r w:rsidRPr="00981405">
        <w:t>fundamentally</w:t>
      </w:r>
      <w:r w:rsidR="00190923" w:rsidRPr="00981405">
        <w:t xml:space="preserve"> </w:t>
      </w:r>
      <w:r w:rsidRPr="00981405">
        <w:t>norm-creating</w:t>
      </w:r>
      <w:r w:rsidR="00190923" w:rsidRPr="00981405">
        <w:t xml:space="preserve"> </w:t>
      </w:r>
      <w:r w:rsidRPr="00981405">
        <w:t>character</w:t>
      </w:r>
      <w:r w:rsidR="00B92E2C" w:rsidRPr="00981405">
        <w:t>”</w:t>
      </w:r>
      <w:r w:rsidR="00190923" w:rsidRPr="00981405">
        <w:t xml:space="preserve"> </w:t>
      </w:r>
      <w:r w:rsidRPr="00981405">
        <w:t>could</w:t>
      </w:r>
      <w:r w:rsidR="00190923" w:rsidRPr="00981405">
        <w:t xml:space="preserve"> </w:t>
      </w:r>
      <w:r w:rsidRPr="00981405">
        <w:t>generate</w:t>
      </w:r>
      <w:r w:rsidR="00190923" w:rsidRPr="00981405">
        <w:t xml:space="preserve"> </w:t>
      </w:r>
      <w:r w:rsidRPr="00981405">
        <w:t>such</w:t>
      </w:r>
      <w:r w:rsidR="00190923" w:rsidRPr="00981405">
        <w:t xml:space="preserve"> </w:t>
      </w:r>
      <w:r w:rsidRPr="00981405">
        <w:t>rules.</w:t>
      </w:r>
    </w:p>
    <w:p w:rsidR="00397032" w:rsidRPr="00981405" w:rsidRDefault="00397032" w:rsidP="00D97463">
      <w:pPr>
        <w:pStyle w:val="SingleTxt"/>
      </w:pPr>
      <w:r w:rsidRPr="00981405">
        <w:t>82.</w:t>
      </w:r>
      <w:r w:rsidRPr="00981405">
        <w:tab/>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establishing</w:t>
      </w:r>
      <w:r w:rsidR="00190923" w:rsidRPr="00981405">
        <w:t xml:space="preserve"> </w:t>
      </w:r>
      <w:r w:rsidRPr="00981405">
        <w:t>the</w:t>
      </w:r>
      <w:r w:rsidR="00190923" w:rsidRPr="00981405">
        <w:t xml:space="preserve"> </w:t>
      </w:r>
      <w:r w:rsidRPr="00981405">
        <w:t>criteria</w:t>
      </w:r>
      <w:r w:rsidR="00190923" w:rsidRPr="00981405">
        <w:t xml:space="preserve"> </w:t>
      </w:r>
      <w:r w:rsidRPr="00981405">
        <w:t>for</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provision</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Pr="00981405">
        <w:t>a</w:t>
      </w:r>
      <w:r w:rsidR="00190923" w:rsidRPr="00981405">
        <w:t xml:space="preserve"> </w:t>
      </w:r>
      <w:r w:rsidRPr="00981405">
        <w:t>rule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was</w:t>
      </w:r>
      <w:r w:rsidR="00190923" w:rsidRPr="00981405">
        <w:t xml:space="preserve"> </w:t>
      </w:r>
      <w:r w:rsidRPr="00981405">
        <w:t>highlighted.</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stated</w:t>
      </w:r>
      <w:r w:rsidR="00190923" w:rsidRPr="00981405">
        <w:t xml:space="preserve"> </w:t>
      </w:r>
      <w:r w:rsidRPr="00981405">
        <w:t>that</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00B92E2C" w:rsidRPr="00981405">
        <w:t>“</w:t>
      </w:r>
      <w:r w:rsidRPr="00981405">
        <w:t>specially</w:t>
      </w:r>
      <w:r w:rsidR="00190923" w:rsidRPr="00981405">
        <w:t xml:space="preserve"> </w:t>
      </w:r>
      <w:r w:rsidRPr="00981405">
        <w:t>affected</w:t>
      </w:r>
      <w:r w:rsidR="00190923" w:rsidRPr="00981405">
        <w:t xml:space="preserve"> </w:t>
      </w:r>
      <w:r w:rsidRPr="00981405">
        <w:t>States</w:t>
      </w:r>
      <w:r w:rsidR="00B92E2C" w:rsidRPr="00981405">
        <w:t>”</w:t>
      </w:r>
      <w:r w:rsidR="00190923" w:rsidRPr="00981405">
        <w:t xml:space="preserve"> </w:t>
      </w:r>
      <w:r w:rsidRPr="00981405">
        <w:t>was</w:t>
      </w:r>
      <w:r w:rsidR="00190923" w:rsidRPr="00981405">
        <w:t xml:space="preserve"> </w:t>
      </w:r>
      <w:r w:rsidRPr="00981405">
        <w:t>not</w:t>
      </w:r>
      <w:r w:rsidR="00190923" w:rsidRPr="00981405">
        <w:t xml:space="preserve"> </w:t>
      </w:r>
      <w:r w:rsidRPr="00981405">
        <w:t>acceptable,</w:t>
      </w:r>
      <w:r w:rsidR="00190923" w:rsidRPr="00981405">
        <w:t xml:space="preserve"> </w:t>
      </w:r>
      <w:r w:rsidRPr="00981405">
        <w:t>while</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geographical</w:t>
      </w:r>
      <w:r w:rsidR="00190923" w:rsidRPr="00981405">
        <w:t xml:space="preserve"> </w:t>
      </w:r>
      <w:r w:rsidRPr="00981405">
        <w:t>distribution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could</w:t>
      </w:r>
      <w:r w:rsidR="00190923" w:rsidRPr="00981405">
        <w:t xml:space="preserve"> </w:t>
      </w:r>
      <w:r w:rsidRPr="00981405">
        <w:t>serve</w:t>
      </w:r>
      <w:r w:rsidR="00190923" w:rsidRPr="00981405">
        <w:t xml:space="preserve"> </w:t>
      </w:r>
      <w:r w:rsidRPr="00981405">
        <w:t>as</w:t>
      </w:r>
      <w:r w:rsidR="00190923" w:rsidRPr="00981405">
        <w:t xml:space="preserve"> </w:t>
      </w:r>
      <w:r w:rsidRPr="00981405">
        <w:t>evidence</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character</w:t>
      </w:r>
      <w:r w:rsidR="00190923" w:rsidRPr="00981405">
        <w:t xml:space="preserve"> </w:t>
      </w:r>
      <w:r w:rsidRPr="00981405">
        <w:t>of</w:t>
      </w:r>
      <w:r w:rsidR="00190923" w:rsidRPr="00981405">
        <w:t xml:space="preserve"> </w:t>
      </w:r>
      <w:r w:rsidRPr="00981405">
        <w:t>practice.</w:t>
      </w:r>
    </w:p>
    <w:p w:rsidR="00397032" w:rsidRPr="00981405" w:rsidRDefault="00397032" w:rsidP="00D97463">
      <w:pPr>
        <w:pStyle w:val="SingleTxt"/>
      </w:pPr>
      <w:r w:rsidRPr="00981405">
        <w:t>83.</w:t>
      </w:r>
      <w:r w:rsidRPr="00981405">
        <w:tab/>
        <w:t>There</w:t>
      </w:r>
      <w:r w:rsidR="00190923" w:rsidRPr="00981405">
        <w:t xml:space="preserve"> </w:t>
      </w:r>
      <w:r w:rsidRPr="00981405">
        <w:t>were</w:t>
      </w:r>
      <w:r w:rsidR="00190923" w:rsidRPr="00981405">
        <w:t xml:space="preserve"> </w:t>
      </w:r>
      <w:r w:rsidRPr="00981405">
        <w:t>a</w:t>
      </w:r>
      <w:r w:rsidR="00190923" w:rsidRPr="00981405">
        <w:t xml:space="preserve"> </w:t>
      </w:r>
      <w:r w:rsidRPr="00981405">
        <w:t>range</w:t>
      </w:r>
      <w:r w:rsidR="00190923" w:rsidRPr="00981405">
        <w:t xml:space="preserve"> </w:t>
      </w:r>
      <w:r w:rsidRPr="00981405">
        <w:t>of</w:t>
      </w:r>
      <w:r w:rsidR="00190923" w:rsidRPr="00981405">
        <w:t xml:space="preserve"> </w:t>
      </w:r>
      <w:r w:rsidRPr="00981405">
        <w:t>views</w:t>
      </w:r>
      <w:r w:rsidR="00190923" w:rsidRPr="00981405">
        <w:t xml:space="preserve"> </w:t>
      </w:r>
      <w:r w:rsidRPr="00981405">
        <w:t>on</w:t>
      </w:r>
      <w:r w:rsidR="00190923" w:rsidRPr="00981405">
        <w:t xml:space="preserve"> </w:t>
      </w:r>
      <w:r w:rsidRPr="00981405">
        <w:t>the</w:t>
      </w:r>
      <w:r w:rsidR="00190923" w:rsidRPr="00981405">
        <w:t xml:space="preserve"> </w:t>
      </w:r>
      <w:r w:rsidRPr="00981405">
        <w:t>evidentiary</w:t>
      </w:r>
      <w:r w:rsidR="00190923" w:rsidRPr="00981405">
        <w:t xml:space="preserve"> </w:t>
      </w:r>
      <w:r w:rsidRPr="00981405">
        <w:t>value</w:t>
      </w:r>
      <w:r w:rsidR="00190923" w:rsidRPr="00981405">
        <w:t xml:space="preserve"> </w:t>
      </w:r>
      <w:r w:rsidRPr="00981405">
        <w:t>of</w:t>
      </w:r>
      <w:r w:rsidR="00190923" w:rsidRPr="00981405">
        <w:t xml:space="preserve"> </w:t>
      </w:r>
      <w:r w:rsidRPr="00981405">
        <w:t>resolutions</w:t>
      </w:r>
      <w:r w:rsidR="00190923" w:rsidRPr="00981405">
        <w:t xml:space="preserve"> </w:t>
      </w:r>
      <w:r w:rsidRPr="00981405">
        <w:t>adopted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at</w:t>
      </w:r>
      <w:r w:rsidR="00190923" w:rsidRPr="00981405">
        <w:t xml:space="preserve"> </w:t>
      </w:r>
      <w:r w:rsidRPr="00981405">
        <w:t>international</w:t>
      </w:r>
      <w:r w:rsidR="00190923" w:rsidRPr="00981405">
        <w:t xml:space="preserve"> </w:t>
      </w:r>
      <w:r w:rsidRPr="00981405">
        <w:t>conferences.</w:t>
      </w:r>
      <w:r w:rsidR="00190923" w:rsidRPr="00981405">
        <w:t xml:space="preserve"> </w:t>
      </w:r>
      <w:r w:rsidRPr="00981405">
        <w:t>According</w:t>
      </w:r>
      <w:r w:rsidR="00190923" w:rsidRPr="00981405">
        <w:t xml:space="preserve"> </w:t>
      </w:r>
      <w:r w:rsidRPr="00981405">
        <w:t>to</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such</w:t>
      </w:r>
      <w:r w:rsidR="00190923" w:rsidRPr="00981405">
        <w:t xml:space="preserve"> </w:t>
      </w:r>
      <w:r w:rsidRPr="00981405">
        <w:t>resolutions,</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resolutions</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could</w:t>
      </w:r>
      <w:r w:rsidR="00190923" w:rsidRPr="00981405">
        <w:t xml:space="preserve"> </w:t>
      </w:r>
      <w:r w:rsidRPr="00981405">
        <w:t>under</w:t>
      </w:r>
      <w:r w:rsidR="00190923" w:rsidRPr="00981405">
        <w:t xml:space="preserve"> </w:t>
      </w:r>
      <w:r w:rsidRPr="00981405">
        <w:t>certain</w:t>
      </w:r>
      <w:r w:rsidR="00190923" w:rsidRPr="00981405">
        <w:t xml:space="preserve"> </w:t>
      </w:r>
      <w:r w:rsidRPr="00981405">
        <w:t>circumstances</w:t>
      </w:r>
      <w:r w:rsidR="00190923" w:rsidRPr="00981405">
        <w:t xml:space="preserve"> </w:t>
      </w:r>
      <w:r w:rsidRPr="00981405">
        <w:t>be</w:t>
      </w:r>
      <w:r w:rsidR="00190923" w:rsidRPr="00981405">
        <w:t xml:space="preserve"> </w:t>
      </w:r>
      <w:r w:rsidRPr="00981405">
        <w:t>regarded</w:t>
      </w:r>
      <w:r w:rsidR="00190923" w:rsidRPr="00981405">
        <w:t xml:space="preserve"> </w:t>
      </w:r>
      <w:r w:rsidRPr="00981405">
        <w:t>as</w:t>
      </w:r>
      <w:r w:rsidR="00190923" w:rsidRPr="00981405">
        <w:t xml:space="preserve"> </w:t>
      </w:r>
      <w:r w:rsidRPr="00981405">
        <w:t>sources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evidentiary</w:t>
      </w:r>
      <w:r w:rsidR="00190923" w:rsidRPr="00981405">
        <w:t xml:space="preserve"> </w:t>
      </w:r>
      <w:r w:rsidRPr="00981405">
        <w:t>value</w:t>
      </w:r>
      <w:r w:rsidR="00190923" w:rsidRPr="00981405">
        <w:t xml:space="preserve"> </w:t>
      </w:r>
      <w:r w:rsidRPr="00981405">
        <w:t>of</w:t>
      </w:r>
      <w:r w:rsidR="00190923" w:rsidRPr="00981405">
        <w:t xml:space="preserve"> </w:t>
      </w:r>
      <w:r w:rsidRPr="00981405">
        <w:t>these</w:t>
      </w:r>
      <w:r w:rsidR="00190923" w:rsidRPr="00981405">
        <w:t xml:space="preserve"> </w:t>
      </w:r>
      <w:r w:rsidRPr="00981405">
        <w:t>resolutions</w:t>
      </w:r>
      <w:r w:rsidR="00190923" w:rsidRPr="00981405">
        <w:t xml:space="preserve"> </w:t>
      </w:r>
      <w:r w:rsidRPr="00981405">
        <w:t>were</w:t>
      </w:r>
      <w:r w:rsidR="00190923" w:rsidRPr="00981405">
        <w:t xml:space="preserve"> </w:t>
      </w:r>
      <w:r w:rsidRPr="00981405">
        <w:t>in</w:t>
      </w:r>
      <w:r w:rsidR="00190923" w:rsidRPr="00981405">
        <w:t xml:space="preserve"> </w:t>
      </w:r>
      <w:r w:rsidRPr="00981405">
        <w:t>any</w:t>
      </w:r>
      <w:r w:rsidR="00190923" w:rsidRPr="00981405">
        <w:t xml:space="preserve"> </w:t>
      </w:r>
      <w:r w:rsidRPr="00981405">
        <w:t>case</w:t>
      </w:r>
      <w:r w:rsidR="00190923" w:rsidRPr="00981405">
        <w:t xml:space="preserve"> </w:t>
      </w:r>
      <w:r w:rsidRPr="00981405">
        <w:t>to</w:t>
      </w:r>
      <w:r w:rsidR="00190923" w:rsidRPr="00981405">
        <w:t xml:space="preserve"> </w:t>
      </w:r>
      <w:r w:rsidRPr="00981405">
        <w:t>be</w:t>
      </w:r>
      <w:r w:rsidR="00190923" w:rsidRPr="00981405">
        <w:t xml:space="preserve"> </w:t>
      </w:r>
      <w:r w:rsidRPr="00981405">
        <w:t>assessed</w:t>
      </w:r>
      <w:r w:rsidR="00190923" w:rsidRPr="00981405">
        <w:t xml:space="preserve"> </w:t>
      </w:r>
      <w:r w:rsidRPr="00981405">
        <w:t>with</w:t>
      </w:r>
      <w:r w:rsidR="00190923" w:rsidRPr="00981405">
        <w:t xml:space="preserve"> </w:t>
      </w:r>
      <w:r w:rsidRPr="00981405">
        <w:t>great</w:t>
      </w:r>
      <w:r w:rsidR="00190923" w:rsidRPr="00981405">
        <w:t xml:space="preserve"> </w:t>
      </w:r>
      <w:r w:rsidRPr="00981405">
        <w:t>caution.</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elements</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composition</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voting</w:t>
      </w:r>
      <w:r w:rsidR="00190923" w:rsidRPr="00981405">
        <w:t xml:space="preserve"> </w:t>
      </w:r>
      <w:r w:rsidRPr="00981405">
        <w:t>and</w:t>
      </w:r>
      <w:r w:rsidR="00190923" w:rsidRPr="00981405">
        <w:t xml:space="preserve"> </w:t>
      </w:r>
      <w:r w:rsidRPr="00981405">
        <w:t>procedure</w:t>
      </w:r>
      <w:r w:rsidR="00190923" w:rsidRPr="00981405">
        <w:t xml:space="preserve"> </w:t>
      </w:r>
      <w:r w:rsidRPr="00981405">
        <w:t>used</w:t>
      </w:r>
      <w:r w:rsidR="00190923" w:rsidRPr="00981405">
        <w:t xml:space="preserve"> </w:t>
      </w:r>
      <w:r w:rsidRPr="00981405">
        <w:t>in</w:t>
      </w:r>
      <w:r w:rsidR="00190923" w:rsidRPr="00981405">
        <w:t xml:space="preserve"> </w:t>
      </w:r>
      <w:r w:rsidRPr="00981405">
        <w:t>adopting</w:t>
      </w:r>
      <w:r w:rsidR="00190923" w:rsidRPr="00981405">
        <w:t xml:space="preserve"> </w:t>
      </w:r>
      <w:r w:rsidRPr="00981405">
        <w:t>the</w:t>
      </w:r>
      <w:r w:rsidR="00190923" w:rsidRPr="00981405">
        <w:t xml:space="preserve"> </w:t>
      </w:r>
      <w:r w:rsidRPr="00981405">
        <w:t>resolution</w:t>
      </w:r>
      <w:r w:rsidR="00190923" w:rsidRPr="00981405">
        <w:t xml:space="preserve"> </w:t>
      </w:r>
      <w:r w:rsidRPr="00981405">
        <w:t>and</w:t>
      </w:r>
      <w:r w:rsidR="00190923" w:rsidRPr="00981405">
        <w:t xml:space="preserve"> </w:t>
      </w:r>
      <w:r w:rsidRPr="00981405">
        <w:t>the</w:t>
      </w:r>
      <w:r w:rsidR="00190923" w:rsidRPr="00981405">
        <w:t xml:space="preserve"> </w:t>
      </w:r>
      <w:r w:rsidRPr="00981405">
        <w:t>resolution</w:t>
      </w:r>
      <w:r w:rsidR="00B92E2C" w:rsidRPr="00981405">
        <w:t>’</w:t>
      </w:r>
      <w:r w:rsidRPr="00981405">
        <w:t>s</w:t>
      </w:r>
      <w:r w:rsidR="00190923" w:rsidRPr="00981405">
        <w:t xml:space="preserve"> </w:t>
      </w:r>
      <w:r w:rsidRPr="00981405">
        <w:t>object</w:t>
      </w:r>
      <w:r w:rsidR="00190923" w:rsidRPr="00981405">
        <w:t xml:space="preserve"> </w:t>
      </w:r>
      <w:r w:rsidR="00BF1D0D" w:rsidRPr="00981405">
        <w:t>were</w:t>
      </w:r>
      <w:r w:rsidR="00190923" w:rsidRPr="00981405">
        <w:t xml:space="preserve"> </w:t>
      </w:r>
      <w:r w:rsidR="00BF1D0D" w:rsidRPr="00981405">
        <w:t>highlighted</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resolutions</w:t>
      </w:r>
      <w:r w:rsidR="00190923" w:rsidRPr="00981405">
        <w:t xml:space="preserve"> </w:t>
      </w:r>
      <w:r w:rsidRPr="00981405">
        <w:t>adopted</w:t>
      </w:r>
      <w:r w:rsidR="00190923" w:rsidRPr="00981405">
        <w:t xml:space="preserve"> </w:t>
      </w:r>
      <w:r w:rsidRPr="00981405">
        <w:t>at</w:t>
      </w:r>
      <w:r w:rsidR="00190923" w:rsidRPr="00981405">
        <w:t xml:space="preserve"> </w:t>
      </w:r>
      <w:r w:rsidRPr="00981405">
        <w:t>international</w:t>
      </w:r>
      <w:r w:rsidR="00190923" w:rsidRPr="00981405">
        <w:t xml:space="preserve"> </w:t>
      </w:r>
      <w:r w:rsidRPr="00981405">
        <w:t>conferences</w:t>
      </w:r>
      <w:r w:rsidR="00190923" w:rsidRPr="00981405">
        <w:t xml:space="preserve"> </w:t>
      </w:r>
      <w:r w:rsidRPr="00981405">
        <w:t>depended</w:t>
      </w:r>
      <w:r w:rsidR="00190923" w:rsidRPr="00981405">
        <w:t xml:space="preserve"> </w:t>
      </w:r>
      <w:r w:rsidRPr="00981405">
        <w:t>on</w:t>
      </w:r>
      <w:r w:rsidR="00190923" w:rsidRPr="00981405">
        <w:t xml:space="preserve"> </w:t>
      </w:r>
      <w:r w:rsidRPr="00981405">
        <w:t>the</w:t>
      </w:r>
      <w:r w:rsidR="00190923" w:rsidRPr="00981405">
        <w:t xml:space="preserve"> </w:t>
      </w:r>
      <w:r w:rsidRPr="00981405">
        <w:t>participation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the</w:t>
      </w:r>
      <w:r w:rsidR="00190923" w:rsidRPr="00981405">
        <w:t xml:space="preserve"> </w:t>
      </w:r>
      <w:r w:rsidRPr="00981405">
        <w:t>conference</w:t>
      </w:r>
      <w:r w:rsidR="00190923" w:rsidRPr="00981405">
        <w:t xml:space="preserve"> </w:t>
      </w:r>
      <w:r w:rsidRPr="00981405">
        <w:t>in</w:t>
      </w:r>
      <w:r w:rsidR="00190923" w:rsidRPr="00981405">
        <w:t xml:space="preserve"> </w:t>
      </w:r>
      <w:r w:rsidRPr="00981405">
        <w:t>question.</w:t>
      </w:r>
    </w:p>
    <w:p w:rsidR="00397032" w:rsidRPr="00981405" w:rsidRDefault="00397032" w:rsidP="00D97463">
      <w:pPr>
        <w:pStyle w:val="SingleTxt"/>
      </w:pPr>
      <w:r w:rsidRPr="00981405">
        <w:t>84.</w:t>
      </w:r>
      <w:r w:rsidRPr="00981405">
        <w:tab/>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generally</w:t>
      </w:r>
      <w:r w:rsidR="00190923" w:rsidRPr="00981405">
        <w:t xml:space="preserve"> </w:t>
      </w:r>
      <w:r w:rsidRPr="00981405">
        <w:t>agreed</w:t>
      </w:r>
      <w:r w:rsidR="00190923" w:rsidRPr="00981405">
        <w:t xml:space="preserve"> </w:t>
      </w:r>
      <w:r w:rsidRPr="00981405">
        <w:t>that</w:t>
      </w:r>
      <w:r w:rsidR="00190923" w:rsidRPr="00981405">
        <w:t xml:space="preserve"> </w:t>
      </w:r>
      <w:r w:rsidRPr="00981405">
        <w:t>resolutions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conferences</w:t>
      </w:r>
      <w:r w:rsidR="00190923" w:rsidRPr="00981405">
        <w:t xml:space="preserve"> </w:t>
      </w:r>
      <w:r w:rsidRPr="00981405">
        <w:t>could</w:t>
      </w:r>
      <w:r w:rsidR="00190923" w:rsidRPr="00981405">
        <w:t xml:space="preserve"> </w:t>
      </w:r>
      <w:r w:rsidRPr="00981405">
        <w:t>not,</w:t>
      </w:r>
      <w:r w:rsidR="00190923" w:rsidRPr="00981405">
        <w:t xml:space="preserve"> </w:t>
      </w:r>
      <w:r w:rsidRPr="00981405">
        <w:t>in</w:t>
      </w:r>
      <w:r w:rsidR="00190923" w:rsidRPr="00981405">
        <w:t xml:space="preserve"> </w:t>
      </w:r>
      <w:r w:rsidRPr="00981405">
        <w:t>and</w:t>
      </w:r>
      <w:r w:rsidR="00190923" w:rsidRPr="00981405">
        <w:t xml:space="preserve"> </w:t>
      </w:r>
      <w:r w:rsidRPr="00981405">
        <w:t>of</w:t>
      </w:r>
      <w:r w:rsidR="00190923" w:rsidRPr="00981405">
        <w:t xml:space="preserve"> </w:t>
      </w:r>
      <w:r w:rsidRPr="00981405">
        <w:t>themselves,</w:t>
      </w:r>
      <w:r w:rsidR="00190923" w:rsidRPr="00981405">
        <w:t xml:space="preserve"> </w:t>
      </w:r>
      <w:r w:rsidRPr="00981405">
        <w:t>constitute</w:t>
      </w:r>
      <w:r w:rsidR="00190923" w:rsidRPr="00981405">
        <w:t xml:space="preserve"> </w:t>
      </w:r>
      <w:r w:rsidRPr="00981405">
        <w:t>sufficient</w:t>
      </w:r>
      <w:r w:rsidR="00190923" w:rsidRPr="00981405">
        <w:t xml:space="preserve"> </w:t>
      </w:r>
      <w:r w:rsidRPr="00981405">
        <w:t>evidence</w:t>
      </w:r>
      <w:r w:rsidR="00190923" w:rsidRPr="00981405">
        <w:t xml:space="preserve"> </w:t>
      </w:r>
      <w:r w:rsidRPr="00981405">
        <w:t>of</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a</w:t>
      </w:r>
      <w:r w:rsidR="00190923" w:rsidRPr="00981405">
        <w:t xml:space="preserve"> </w:t>
      </w:r>
      <w:r w:rsidRPr="00981405">
        <w:t>customary</w:t>
      </w:r>
      <w:r w:rsidR="00190923" w:rsidRPr="00981405">
        <w:t xml:space="preserve"> </w:t>
      </w:r>
      <w:r w:rsidRPr="00981405">
        <w:t>rule.</w:t>
      </w:r>
      <w:r w:rsidR="00190923" w:rsidRPr="00981405">
        <w:t xml:space="preserve"> </w:t>
      </w:r>
      <w:r w:rsidRPr="00981405">
        <w:t>A</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it</w:t>
      </w:r>
      <w:r w:rsidR="00190923" w:rsidRPr="00981405">
        <w:t xml:space="preserve"> </w:t>
      </w:r>
      <w:r w:rsidRPr="00981405">
        <w:t>may,</w:t>
      </w:r>
      <w:r w:rsidR="00190923" w:rsidRPr="00981405">
        <w:t xml:space="preserve"> </w:t>
      </w:r>
      <w:r w:rsidRPr="00981405">
        <w:t>in</w:t>
      </w:r>
      <w:r w:rsidR="00190923" w:rsidRPr="00981405">
        <w:t xml:space="preserve"> </w:t>
      </w:r>
      <w:r w:rsidRPr="00981405">
        <w:t>some</w:t>
      </w:r>
      <w:r w:rsidR="00190923" w:rsidRPr="00981405">
        <w:t xml:space="preserve"> </w:t>
      </w:r>
      <w:r w:rsidRPr="00981405">
        <w:t>cases,</w:t>
      </w:r>
      <w:r w:rsidR="00190923" w:rsidRPr="00981405">
        <w:t xml:space="preserve"> </w:t>
      </w:r>
      <w:r w:rsidRPr="00981405">
        <w:t>be</w:t>
      </w:r>
      <w:r w:rsidR="00190923" w:rsidRPr="00981405">
        <w:t xml:space="preserve"> </w:t>
      </w:r>
      <w:r w:rsidRPr="00981405">
        <w:t>possible</w:t>
      </w:r>
      <w:r w:rsidR="00190923" w:rsidRPr="00981405">
        <w:t xml:space="preserve"> </w:t>
      </w:r>
      <w:r w:rsidRPr="00981405">
        <w:t>for</w:t>
      </w:r>
      <w:r w:rsidR="00190923" w:rsidRPr="00981405">
        <w:t xml:space="preserve"> </w:t>
      </w:r>
      <w:r w:rsidRPr="00981405">
        <w:t>resolutions</w:t>
      </w:r>
      <w:r w:rsidR="00190923" w:rsidRPr="00981405">
        <w:t xml:space="preserve"> </w:t>
      </w:r>
      <w:r w:rsidRPr="00981405">
        <w:t>to</w:t>
      </w:r>
      <w:r w:rsidR="00190923" w:rsidRPr="00981405">
        <w:t xml:space="preserve"> </w:t>
      </w:r>
      <w:r w:rsidRPr="00981405">
        <w:t>constitute</w:t>
      </w:r>
      <w:r w:rsidR="00190923" w:rsidRPr="00981405">
        <w:t xml:space="preserve"> </w:t>
      </w:r>
      <w:r w:rsidRPr="00981405">
        <w:t>evidence</w:t>
      </w:r>
      <w:r w:rsidR="00190923" w:rsidRPr="00981405">
        <w:t xml:space="preserve"> </w:t>
      </w:r>
      <w:r w:rsidRPr="00981405">
        <w:t>of</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evidentiary</w:t>
      </w:r>
      <w:r w:rsidR="00190923" w:rsidRPr="00981405">
        <w:t xml:space="preserve"> </w:t>
      </w:r>
      <w:r w:rsidRPr="00981405">
        <w:t>value</w:t>
      </w:r>
      <w:r w:rsidR="00190923" w:rsidRPr="00981405">
        <w:t xml:space="preserve"> </w:t>
      </w:r>
      <w:r w:rsidRPr="00981405">
        <w:t>of</w:t>
      </w:r>
      <w:r w:rsidR="00190923" w:rsidRPr="00981405">
        <w:t xml:space="preserve"> </w:t>
      </w:r>
      <w:r w:rsidRPr="00981405">
        <w:t>such</w:t>
      </w:r>
      <w:r w:rsidR="00190923" w:rsidRPr="00981405">
        <w:t xml:space="preserve"> </w:t>
      </w:r>
      <w:r w:rsidRPr="00981405">
        <w:t>resolutions</w:t>
      </w:r>
      <w:r w:rsidR="00190923" w:rsidRPr="00981405">
        <w:t xml:space="preserve"> </w:t>
      </w:r>
      <w:r w:rsidRPr="00981405">
        <w:t>depended</w:t>
      </w:r>
      <w:r w:rsidR="00190923" w:rsidRPr="00981405">
        <w:t xml:space="preserve"> </w:t>
      </w:r>
      <w:r w:rsidRPr="00981405">
        <w:t>on</w:t>
      </w:r>
      <w:r w:rsidR="00190923" w:rsidRPr="00981405">
        <w:t xml:space="preserve"> </w:t>
      </w:r>
      <w:r w:rsidRPr="00981405">
        <w:t>other</w:t>
      </w:r>
      <w:r w:rsidR="00190923" w:rsidRPr="00981405">
        <w:t xml:space="preserve"> </w:t>
      </w:r>
      <w:r w:rsidRPr="00981405">
        <w:t>corroborating</w:t>
      </w:r>
      <w:r w:rsidR="00190923" w:rsidRPr="00981405">
        <w:t xml:space="preserve"> </w:t>
      </w:r>
      <w:r w:rsidRPr="00981405">
        <w:t>evidence</w:t>
      </w:r>
      <w:r w:rsidR="00190923" w:rsidRPr="00981405">
        <w:t xml:space="preserve"> </w:t>
      </w:r>
      <w:r w:rsidRPr="00981405">
        <w:t>of</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and</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a</w:t>
      </w:r>
      <w:r w:rsidR="00190923" w:rsidRPr="00981405">
        <w:t xml:space="preserve"> </w:t>
      </w:r>
      <w:r w:rsidRPr="00981405">
        <w:t>separate</w:t>
      </w:r>
      <w:r w:rsidR="00190923" w:rsidRPr="00981405">
        <w:t xml:space="preserve"> </w:t>
      </w:r>
      <w:r w:rsidRPr="00981405">
        <w:t>assessment</w:t>
      </w:r>
      <w:r w:rsidR="00190923" w:rsidRPr="00981405">
        <w:t xml:space="preserve"> </w:t>
      </w:r>
      <w:r w:rsidRPr="00981405">
        <w:t>of</w:t>
      </w:r>
      <w:r w:rsidR="00190923" w:rsidRPr="00981405">
        <w:t xml:space="preserve"> </w:t>
      </w:r>
      <w:r w:rsidRPr="00981405">
        <w:t>whether</w:t>
      </w:r>
      <w:r w:rsidR="00190923" w:rsidRPr="00981405">
        <w:t xml:space="preserve"> </w:t>
      </w:r>
      <w:r w:rsidRPr="00981405">
        <w:t>a</w:t>
      </w:r>
      <w:r w:rsidR="00190923" w:rsidRPr="00981405">
        <w:t xml:space="preserve"> </w:t>
      </w:r>
      <w:r w:rsidRPr="00981405">
        <w:t>rule</w:t>
      </w:r>
      <w:r w:rsidR="00190923" w:rsidRPr="00981405">
        <w:t xml:space="preserve"> </w:t>
      </w:r>
      <w:r w:rsidRPr="00981405">
        <w:t>contained</w:t>
      </w:r>
      <w:r w:rsidR="00190923" w:rsidRPr="00981405">
        <w:t xml:space="preserve"> </w:t>
      </w:r>
      <w:r w:rsidRPr="00981405">
        <w:t>in</w:t>
      </w:r>
      <w:r w:rsidR="00190923" w:rsidRPr="00981405">
        <w:t xml:space="preserve"> </w:t>
      </w:r>
      <w:r w:rsidRPr="00981405">
        <w:t>a</w:t>
      </w:r>
      <w:r w:rsidR="00190923" w:rsidRPr="00981405">
        <w:t xml:space="preserve"> </w:t>
      </w:r>
      <w:r w:rsidRPr="00981405">
        <w:t>resolution</w:t>
      </w:r>
      <w:r w:rsidR="00190923" w:rsidRPr="00981405">
        <w:t xml:space="preserve"> </w:t>
      </w:r>
      <w:r w:rsidRPr="00981405">
        <w:t>was</w:t>
      </w:r>
      <w:r w:rsidR="00190923" w:rsidRPr="00981405">
        <w:t xml:space="preserve"> </w:t>
      </w:r>
      <w:r w:rsidRPr="00981405">
        <w:t>supported</w:t>
      </w:r>
      <w:r w:rsidR="00190923" w:rsidRPr="00981405">
        <w:t xml:space="preserve"> </w:t>
      </w:r>
      <w:r w:rsidRPr="00981405">
        <w:t>by</w:t>
      </w:r>
      <w:r w:rsidR="00190923" w:rsidRPr="00981405">
        <w:t xml:space="preserve"> </w:t>
      </w:r>
      <w:r w:rsidRPr="00981405">
        <w:t>a</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that</w:t>
      </w:r>
      <w:r w:rsidR="00190923" w:rsidRPr="00981405">
        <w:t xml:space="preserve"> </w:t>
      </w:r>
      <w:r w:rsidRPr="00981405">
        <w:t>is</w:t>
      </w:r>
      <w:r w:rsidR="00190923" w:rsidRPr="00981405">
        <w:t xml:space="preserve"> </w:t>
      </w:r>
      <w:r w:rsidRPr="00981405">
        <w:t>accepted</w:t>
      </w:r>
      <w:r w:rsidR="00190923" w:rsidRPr="00981405">
        <w:t xml:space="preserve"> </w:t>
      </w:r>
      <w:r w:rsidRPr="00981405">
        <w:t>as</w:t>
      </w:r>
      <w:r w:rsidR="00190923" w:rsidRPr="00981405">
        <w:t xml:space="preserve"> </w:t>
      </w:r>
      <w:r w:rsidRPr="00981405">
        <w:t>law</w:t>
      </w:r>
      <w:r w:rsidR="00190923" w:rsidRPr="00981405">
        <w:t xml:space="preserve"> </w:t>
      </w:r>
      <w:r w:rsidRPr="00981405">
        <w:t>(</w:t>
      </w:r>
      <w:r w:rsidR="00BF1D0D" w:rsidRPr="00981405">
        <w:rPr>
          <w:i/>
          <w:iCs/>
        </w:rPr>
        <w:t>opinio</w:t>
      </w:r>
      <w:r w:rsidR="00190923" w:rsidRPr="00981405">
        <w:rPr>
          <w:i/>
          <w:iCs/>
        </w:rPr>
        <w:t xml:space="preserve"> </w:t>
      </w:r>
      <w:r w:rsidR="00BF1D0D" w:rsidRPr="00981405">
        <w:rPr>
          <w:i/>
          <w:iCs/>
        </w:rPr>
        <w:t>juris</w:t>
      </w:r>
      <w:r w:rsidRPr="00981405">
        <w:t>)</w:t>
      </w:r>
      <w:r w:rsidR="00190923" w:rsidRPr="00981405">
        <w:t xml:space="preserve"> </w:t>
      </w:r>
      <w:r w:rsidRPr="00981405">
        <w:t>was</w:t>
      </w:r>
      <w:r w:rsidR="00190923" w:rsidRPr="00981405">
        <w:t xml:space="preserve"> </w:t>
      </w:r>
      <w:r w:rsidRPr="00981405">
        <w:t>required</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rely</w:t>
      </w:r>
      <w:r w:rsidR="00190923" w:rsidRPr="00981405">
        <w:t xml:space="preserve"> </w:t>
      </w:r>
      <w:r w:rsidRPr="00981405">
        <w:t>on</w:t>
      </w:r>
      <w:r w:rsidR="00190923" w:rsidRPr="00981405">
        <w:t xml:space="preserve"> </w:t>
      </w:r>
      <w:r w:rsidRPr="00981405">
        <w:t>a</w:t>
      </w:r>
      <w:r w:rsidR="00190923" w:rsidRPr="00981405">
        <w:t xml:space="preserve"> </w:t>
      </w:r>
      <w:r w:rsidRPr="00981405">
        <w:t>resolution</w:t>
      </w:r>
      <w:r w:rsidR="00190923" w:rsidRPr="00981405">
        <w:t xml:space="preserve"> </w:t>
      </w:r>
      <w:r w:rsidRPr="00981405">
        <w:t>(which</w:t>
      </w:r>
      <w:r w:rsidR="00190923" w:rsidRPr="00981405">
        <w:t xml:space="preserve"> </w:t>
      </w:r>
      <w:r w:rsidRPr="00981405">
        <w:t>may,</w:t>
      </w:r>
      <w:r w:rsidR="00190923" w:rsidRPr="00981405">
        <w:t xml:space="preserve"> </w:t>
      </w:r>
      <w:r w:rsidRPr="00981405">
        <w:t>however,</w:t>
      </w:r>
      <w:r w:rsidR="00190923" w:rsidRPr="00981405">
        <w:t xml:space="preserve"> </w:t>
      </w:r>
      <w:r w:rsidRPr="00981405">
        <w:t>serve</w:t>
      </w:r>
      <w:r w:rsidR="00190923" w:rsidRPr="00981405">
        <w:t xml:space="preserve"> </w:t>
      </w:r>
      <w:r w:rsidRPr="00981405">
        <w:t>as</w:t>
      </w:r>
      <w:r w:rsidR="00190923" w:rsidRPr="00981405">
        <w:t xml:space="preserve"> </w:t>
      </w:r>
      <w:r w:rsidRPr="00981405">
        <w:t>evidence</w:t>
      </w:r>
      <w:r w:rsidR="00190923" w:rsidRPr="00981405">
        <w:t xml:space="preserve"> </w:t>
      </w:r>
      <w:r w:rsidRPr="00981405">
        <w:t>for</w:t>
      </w:r>
      <w:r w:rsidR="00190923" w:rsidRPr="00981405">
        <w:t xml:space="preserve"> </w:t>
      </w:r>
      <w:r w:rsidRPr="00981405">
        <w:t>that</w:t>
      </w:r>
      <w:r w:rsidR="00190923" w:rsidRPr="00981405">
        <w:t xml:space="preserve"> </w:t>
      </w:r>
      <w:r w:rsidRPr="00981405">
        <w:t>purpose).</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4" w:name="_Toc427938105"/>
      <w:r w:rsidRPr="00D97463">
        <w:t>(e)</w:t>
      </w:r>
      <w:r w:rsidRPr="00D97463">
        <w:tab/>
        <w:t>Judicial</w:t>
      </w:r>
      <w:r w:rsidR="00190923" w:rsidRPr="00D97463">
        <w:t xml:space="preserve"> </w:t>
      </w:r>
      <w:r w:rsidRPr="00D97463">
        <w:t>decisions</w:t>
      </w:r>
      <w:r w:rsidR="00190923" w:rsidRPr="00D97463">
        <w:t xml:space="preserve"> </w:t>
      </w:r>
      <w:r w:rsidRPr="00D97463">
        <w:t>and</w:t>
      </w:r>
      <w:r w:rsidR="00190923" w:rsidRPr="00D97463">
        <w:t xml:space="preserve"> </w:t>
      </w:r>
      <w:r w:rsidRPr="00D97463">
        <w:t>writings</w:t>
      </w:r>
      <w:bookmarkEnd w:id="4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85.</w:t>
      </w:r>
      <w:r w:rsidRPr="00981405">
        <w:tab/>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welcomed</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according</w:t>
      </w:r>
      <w:r w:rsidR="00190923" w:rsidRPr="00981405">
        <w:t xml:space="preserve"> </w:t>
      </w:r>
      <w:r w:rsidRPr="00981405">
        <w:t>to</w:t>
      </w:r>
      <w:r w:rsidR="00190923" w:rsidRPr="00981405">
        <w:t xml:space="preserve"> </w:t>
      </w:r>
      <w:r w:rsidRPr="00981405">
        <w:t>which</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190923" w:rsidRPr="00981405">
        <w:t xml:space="preserve"> </w:t>
      </w:r>
      <w:r w:rsidRPr="00981405">
        <w:t>were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There</w:t>
      </w:r>
      <w:r w:rsidR="00190923" w:rsidRPr="00981405">
        <w:t xml:space="preserve"> </w:t>
      </w:r>
      <w:r w:rsidRPr="00981405">
        <w:t>was</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specific</w:t>
      </w:r>
      <w:r w:rsidR="00190923" w:rsidRPr="00981405">
        <w:t xml:space="preserve"> </w:t>
      </w:r>
      <w:r w:rsidRPr="00981405">
        <w:t>roles</w:t>
      </w:r>
      <w:r w:rsidR="00190923" w:rsidRPr="00981405">
        <w:t xml:space="preserve"> </w:t>
      </w:r>
      <w:r w:rsidRPr="00981405">
        <w:t>played</w:t>
      </w:r>
      <w:r w:rsidR="00190923" w:rsidRPr="00981405">
        <w:t xml:space="preserve"> </w:t>
      </w:r>
      <w:r w:rsidRPr="00981405">
        <w:t>by</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190923" w:rsidRPr="00981405">
        <w:t xml:space="preserve"> </w:t>
      </w:r>
      <w:r w:rsidRPr="00981405">
        <w:t>respectively.</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they</w:t>
      </w:r>
      <w:r w:rsidR="00190923" w:rsidRPr="00981405">
        <w:t xml:space="preserve"> </w:t>
      </w:r>
      <w:r w:rsidRPr="00981405">
        <w:t>did</w:t>
      </w:r>
      <w:r w:rsidR="00190923" w:rsidRPr="00981405">
        <w:t xml:space="preserve"> </w:t>
      </w:r>
      <w:r w:rsidRPr="00981405">
        <w:t>not</w:t>
      </w:r>
      <w:r w:rsidR="00190923" w:rsidRPr="00981405">
        <w:t xml:space="preserve"> </w:t>
      </w:r>
      <w:r w:rsidRPr="00981405">
        <w:t>have</w:t>
      </w:r>
      <w:r w:rsidR="00190923" w:rsidRPr="00981405">
        <w:t xml:space="preserve"> </w:t>
      </w:r>
      <w:r w:rsidRPr="00981405">
        <w:t>the</w:t>
      </w:r>
      <w:r w:rsidR="00190923" w:rsidRPr="00981405">
        <w:t xml:space="preserve"> </w:t>
      </w:r>
      <w:r w:rsidRPr="00981405">
        <w:t>same</w:t>
      </w:r>
      <w:r w:rsidR="00190923" w:rsidRPr="00981405">
        <w:t xml:space="preserve"> </w:t>
      </w:r>
      <w:r w:rsidRPr="00981405">
        <w:t>character</w:t>
      </w:r>
      <w:r w:rsidR="00190923" w:rsidRPr="00981405">
        <w:t xml:space="preserve"> </w:t>
      </w:r>
      <w:r w:rsidRPr="00981405">
        <w:t>and</w:t>
      </w:r>
      <w:r w:rsidR="00190923" w:rsidRPr="00981405">
        <w:t xml:space="preserve"> </w:t>
      </w:r>
      <w:r w:rsidRPr="00981405">
        <w:t>should</w:t>
      </w:r>
      <w:r w:rsidR="00190923" w:rsidRPr="00981405">
        <w:t xml:space="preserve"> </w:t>
      </w:r>
      <w:r w:rsidRPr="00981405">
        <w:t>therefore</w:t>
      </w:r>
      <w:r w:rsidR="00190923" w:rsidRPr="00981405">
        <w:t xml:space="preserve"> </w:t>
      </w:r>
      <w:r w:rsidRPr="00981405">
        <w:t>be</w:t>
      </w:r>
      <w:r w:rsidR="00190923" w:rsidRPr="00981405">
        <w:t xml:space="preserve"> </w:t>
      </w:r>
      <w:r w:rsidRPr="00981405">
        <w:t>dealt</w:t>
      </w:r>
      <w:r w:rsidR="00190923" w:rsidRPr="00981405">
        <w:t xml:space="preserve"> </w:t>
      </w:r>
      <w:r w:rsidRPr="00981405">
        <w:t>with</w:t>
      </w:r>
      <w:r w:rsidR="00190923" w:rsidRPr="00981405">
        <w:t xml:space="preserve"> </w:t>
      </w:r>
      <w:r w:rsidRPr="00981405">
        <w:t>in</w:t>
      </w:r>
      <w:r w:rsidR="00190923" w:rsidRPr="00981405">
        <w:t xml:space="preserve"> </w:t>
      </w:r>
      <w:r w:rsidRPr="00981405">
        <w:t>separate</w:t>
      </w:r>
      <w:r w:rsidR="00190923" w:rsidRPr="00981405">
        <w:t xml:space="preserve"> </w:t>
      </w:r>
      <w:r w:rsidRPr="00981405">
        <w:t>conclusions.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noted</w:t>
      </w:r>
      <w:r w:rsidR="00190923" w:rsidRPr="00981405">
        <w:t xml:space="preserve"> </w:t>
      </w:r>
      <w:r w:rsidRPr="00981405">
        <w:t>that</w:t>
      </w:r>
      <w:r w:rsidR="00190923" w:rsidRPr="00981405">
        <w:t xml:space="preserve"> </w:t>
      </w:r>
      <w:r w:rsidRPr="00981405">
        <w:t>their</w:t>
      </w:r>
      <w:r w:rsidR="00190923" w:rsidRPr="00981405">
        <w:t xml:space="preserve"> </w:t>
      </w:r>
      <w:r w:rsidRPr="00981405">
        <w:t>importance</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addressed</w:t>
      </w:r>
      <w:r w:rsidR="00190923" w:rsidRPr="00981405">
        <w:t xml:space="preserve"> </w:t>
      </w:r>
      <w:r w:rsidRPr="00981405">
        <w:t>generally</w:t>
      </w:r>
      <w:r w:rsidR="00190923" w:rsidRPr="00981405">
        <w:t xml:space="preserve"> </w:t>
      </w:r>
      <w:r w:rsidRPr="00981405">
        <w:t>and</w:t>
      </w:r>
      <w:r w:rsidR="00190923" w:rsidRPr="00981405">
        <w:t xml:space="preserve"> </w:t>
      </w:r>
      <w:r w:rsidRPr="00981405">
        <w:t>should</w:t>
      </w:r>
      <w:r w:rsidR="00190923" w:rsidRPr="00981405">
        <w:t xml:space="preserve"> </w:t>
      </w:r>
      <w:r w:rsidRPr="00981405">
        <w:t>rather</w:t>
      </w:r>
      <w:r w:rsidR="00190923" w:rsidRPr="00981405">
        <w:t xml:space="preserve"> </w:t>
      </w:r>
      <w:r w:rsidRPr="00981405">
        <w:t>be</w:t>
      </w:r>
      <w:r w:rsidR="00190923" w:rsidRPr="00981405">
        <w:t xml:space="preserve"> </w:t>
      </w:r>
      <w:r w:rsidRPr="00981405">
        <w:t>considered</w:t>
      </w:r>
      <w:r w:rsidR="00190923" w:rsidRPr="00981405">
        <w:t xml:space="preserve"> </w:t>
      </w:r>
      <w:r w:rsidRPr="00981405">
        <w:t>on</w:t>
      </w:r>
      <w:r w:rsidR="00190923" w:rsidRPr="00981405">
        <w:t xml:space="preserve"> </w:t>
      </w:r>
      <w:r w:rsidRPr="00981405">
        <w:t>a</w:t>
      </w:r>
      <w:r w:rsidR="00190923" w:rsidRPr="00981405">
        <w:t xml:space="preserve"> </w:t>
      </w:r>
      <w:r w:rsidRPr="00981405">
        <w:t>case-by-case</w:t>
      </w:r>
      <w:r w:rsidR="00190923" w:rsidRPr="00981405">
        <w:t xml:space="preserve"> </w:t>
      </w:r>
      <w:r w:rsidRPr="00981405">
        <w:t>basis.</w:t>
      </w:r>
    </w:p>
    <w:p w:rsidR="00397032" w:rsidRPr="00981405" w:rsidRDefault="00397032" w:rsidP="00D97463">
      <w:pPr>
        <w:pStyle w:val="SingleTxt"/>
      </w:pPr>
      <w:r w:rsidRPr="00981405">
        <w:t>86.</w:t>
      </w:r>
      <w:r w:rsidRPr="00981405">
        <w:tab/>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emphasized</w:t>
      </w:r>
      <w:r w:rsidR="00190923" w:rsidRPr="00981405">
        <w:t xml:space="preserve"> </w:t>
      </w:r>
      <w:r w:rsidRPr="00981405">
        <w:t>the</w:t>
      </w:r>
      <w:r w:rsidR="00190923" w:rsidRPr="00981405">
        <w:t xml:space="preserve"> </w:t>
      </w:r>
      <w:r w:rsidRPr="00981405">
        <w:t>special</w:t>
      </w:r>
      <w:r w:rsidR="00190923" w:rsidRPr="00981405">
        <w:t xml:space="preserve"> </w:t>
      </w:r>
      <w:r w:rsidRPr="00981405">
        <w:t>importance</w:t>
      </w:r>
      <w:r w:rsidR="00190923" w:rsidRPr="00981405">
        <w:t xml:space="preserve"> </w:t>
      </w:r>
      <w:r w:rsidRPr="00981405">
        <w:t>of</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which</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as</w:t>
      </w:r>
      <w:r w:rsidR="00190923" w:rsidRPr="00981405">
        <w:t xml:space="preserve"> </w:t>
      </w:r>
      <w:r w:rsidRPr="00981405">
        <w:t>secondary</w:t>
      </w:r>
      <w:r w:rsidR="00190923" w:rsidRPr="00981405">
        <w:t xml:space="preserve"> </w:t>
      </w:r>
      <w:r w:rsidRPr="00981405">
        <w:t>or</w:t>
      </w:r>
      <w:r w:rsidR="00190923" w:rsidRPr="00981405">
        <w:t xml:space="preserve"> </w:t>
      </w:r>
      <w:r w:rsidRPr="00981405">
        <w:t>subsidiary</w:t>
      </w:r>
      <w:r w:rsidR="00190923" w:rsidRPr="00981405">
        <w:t xml:space="preserve"> </w:t>
      </w:r>
      <w:r w:rsidRPr="00981405">
        <w:t>evidence.</w:t>
      </w:r>
      <w:r w:rsidR="00190923" w:rsidRPr="00981405">
        <w:t xml:space="preserve"> </w:t>
      </w:r>
      <w:r w:rsidRPr="00981405">
        <w:t>The</w:t>
      </w:r>
      <w:r w:rsidR="00190923" w:rsidRPr="00981405">
        <w:t xml:space="preserve"> </w:t>
      </w:r>
      <w:r w:rsidRPr="00981405">
        <w:t>central</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was</w:t>
      </w:r>
      <w:r w:rsidR="00190923" w:rsidRPr="00981405">
        <w:t xml:space="preserve"> </w:t>
      </w:r>
      <w:r w:rsidRPr="00981405">
        <w:t>highlighted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while</w:t>
      </w:r>
      <w:r w:rsidR="00190923" w:rsidRPr="00981405">
        <w:t xml:space="preserve"> </w:t>
      </w:r>
      <w:r w:rsidRPr="00981405">
        <w:t>some</w:t>
      </w:r>
      <w:r w:rsidR="00190923" w:rsidRPr="00981405">
        <w:t xml:space="preserve"> </w:t>
      </w:r>
      <w:r w:rsidRPr="00981405">
        <w:t>others</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case-law</w:t>
      </w:r>
      <w:r w:rsidR="00190923" w:rsidRPr="00981405">
        <w:t xml:space="preserve"> </w:t>
      </w:r>
      <w:r w:rsidRPr="00981405">
        <w:t>of</w:t>
      </w:r>
      <w:r w:rsidR="00190923" w:rsidRPr="00981405">
        <w:t xml:space="preserve"> </w:t>
      </w:r>
      <w:r w:rsidRPr="00981405">
        <w:t>other</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overlooked,</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separate</w:t>
      </w:r>
      <w:r w:rsidR="00190923" w:rsidRPr="00981405">
        <w:t xml:space="preserve"> </w:t>
      </w:r>
      <w:r w:rsidRPr="00981405">
        <w:t>and</w:t>
      </w:r>
      <w:r w:rsidR="00190923" w:rsidRPr="00981405">
        <w:t xml:space="preserve"> </w:t>
      </w:r>
      <w:r w:rsidRPr="00981405">
        <w:t>dissenting</w:t>
      </w:r>
      <w:r w:rsidR="00190923" w:rsidRPr="00981405">
        <w:t xml:space="preserve"> </w:t>
      </w:r>
      <w:r w:rsidRPr="00981405">
        <w:t>opinions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judges.</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w:t>
      </w:r>
      <w:r w:rsidR="00190923" w:rsidRPr="00981405">
        <w:t xml:space="preserve"> </w:t>
      </w:r>
      <w:r w:rsidRPr="00981405">
        <w:t>took</w:t>
      </w:r>
      <w:r w:rsidR="00190923" w:rsidRPr="00981405">
        <w:t xml:space="preserve"> </w:t>
      </w:r>
      <w:r w:rsidRPr="00981405">
        <w:t>place</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decisions</w:t>
      </w:r>
      <w:r w:rsidR="00190923" w:rsidRPr="00981405">
        <w:t xml:space="preserve"> </w:t>
      </w:r>
      <w:r w:rsidRPr="00981405">
        <w:t>of</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According</w:t>
      </w:r>
      <w:r w:rsidR="00190923" w:rsidRPr="00981405">
        <w:t xml:space="preserve"> </w:t>
      </w:r>
      <w:r w:rsidRPr="00981405">
        <w:t>to</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those</w:t>
      </w:r>
      <w:r w:rsidR="00190923" w:rsidRPr="00981405">
        <w:t xml:space="preserve"> </w:t>
      </w:r>
      <w:r w:rsidRPr="00981405">
        <w:t>decisions</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included</w:t>
      </w:r>
      <w:r w:rsidR="00190923" w:rsidRPr="00981405">
        <w:t xml:space="preserve"> </w:t>
      </w:r>
      <w:r w:rsidRPr="00981405">
        <w:t>within</w:t>
      </w:r>
      <w:r w:rsidR="00190923" w:rsidRPr="00981405">
        <w:t xml:space="preserve"> </w:t>
      </w:r>
      <w:r w:rsidRPr="00981405">
        <w:t>the</w:t>
      </w:r>
      <w:r w:rsidR="00190923" w:rsidRPr="00981405">
        <w:t xml:space="preserve"> </w:t>
      </w:r>
      <w:r w:rsidRPr="00981405">
        <w:t>category</w:t>
      </w:r>
      <w:r w:rsidR="00190923" w:rsidRPr="00981405">
        <w:t xml:space="preserve"> </w:t>
      </w:r>
      <w:r w:rsidRPr="00981405">
        <w:t>of</w:t>
      </w:r>
      <w:r w:rsidR="00190923" w:rsidRPr="00981405">
        <w:t xml:space="preserve"> </w:t>
      </w:r>
      <w:r w:rsidR="00B92E2C" w:rsidRPr="00981405">
        <w:t>“</w:t>
      </w:r>
      <w:r w:rsidRPr="00981405">
        <w:t>judicial</w:t>
      </w:r>
      <w:r w:rsidR="00190923" w:rsidRPr="00981405">
        <w:t xml:space="preserve"> </w:t>
      </w:r>
      <w:r w:rsidRPr="00981405">
        <w:t>decision</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however,</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such</w:t>
      </w:r>
      <w:r w:rsidR="00190923" w:rsidRPr="00981405">
        <w:t xml:space="preserve"> </w:t>
      </w:r>
      <w:r w:rsidRPr="00981405">
        <w:t>decisions</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addressed</w:t>
      </w:r>
      <w:r w:rsidR="00190923" w:rsidRPr="00981405">
        <w:t xml:space="preserve"> </w:t>
      </w:r>
      <w:r w:rsidRPr="00981405">
        <w:t>separately</w:t>
      </w:r>
      <w:r w:rsidR="00190923" w:rsidRPr="00981405">
        <w:t xml:space="preserve"> </w:t>
      </w:r>
      <w:r w:rsidRPr="00981405">
        <w:t>and</w:t>
      </w:r>
      <w:r w:rsidR="00190923" w:rsidRPr="00981405">
        <w:t xml:space="preserve"> </w:t>
      </w:r>
      <w:r w:rsidRPr="00981405">
        <w:t>that</w:t>
      </w:r>
      <w:r w:rsidR="00190923" w:rsidRPr="00981405">
        <w:t xml:space="preserve"> </w:t>
      </w:r>
      <w:r w:rsidRPr="00981405">
        <w:t>their</w:t>
      </w:r>
      <w:r w:rsidR="00190923" w:rsidRPr="00981405">
        <w:t xml:space="preserve"> </w:t>
      </w:r>
      <w:r w:rsidRPr="00981405">
        <w:t>role</w:t>
      </w:r>
      <w:r w:rsidR="00190923" w:rsidRPr="00981405">
        <w:t xml:space="preserve"> </w:t>
      </w:r>
      <w:r w:rsidRPr="00981405">
        <w:t>should</w:t>
      </w:r>
      <w:r w:rsidR="00190923" w:rsidRPr="00981405">
        <w:t xml:space="preserve"> </w:t>
      </w:r>
      <w:r w:rsidRPr="00981405">
        <w:t>be</w:t>
      </w:r>
      <w:r w:rsidR="00190923" w:rsidRPr="00981405">
        <w:t xml:space="preserve"> </w:t>
      </w:r>
      <w:r w:rsidRPr="00981405">
        <w:t>assessed</w:t>
      </w:r>
      <w:r w:rsidR="00190923" w:rsidRPr="00981405">
        <w:t xml:space="preserve"> </w:t>
      </w:r>
      <w:r w:rsidRPr="00981405">
        <w:t>with</w:t>
      </w:r>
      <w:r w:rsidR="00190923" w:rsidRPr="00981405">
        <w:t xml:space="preserve"> </w:t>
      </w:r>
      <w:r w:rsidRPr="00981405">
        <w:t>caution.</w:t>
      </w:r>
    </w:p>
    <w:p w:rsidR="00397032" w:rsidRPr="00981405" w:rsidRDefault="00397032" w:rsidP="00D97463">
      <w:pPr>
        <w:pStyle w:val="SingleTxt"/>
      </w:pPr>
      <w:r w:rsidRPr="00981405">
        <w:t>87.</w:t>
      </w:r>
      <w:r w:rsidRPr="00981405">
        <w:tab/>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writings</w:t>
      </w:r>
      <w:r w:rsidR="00B92E2C" w:rsidRPr="00981405">
        <w:t>”</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was</w:t>
      </w:r>
      <w:r w:rsidR="00190923" w:rsidRPr="00981405">
        <w:t xml:space="preserve"> </w:t>
      </w:r>
      <w:r w:rsidRPr="00981405">
        <w:t>too</w:t>
      </w:r>
      <w:r w:rsidR="00190923" w:rsidRPr="00981405">
        <w:t xml:space="preserve"> </w:t>
      </w:r>
      <w:r w:rsidRPr="00981405">
        <w:t>broad</w:t>
      </w:r>
      <w:r w:rsidR="00190923" w:rsidRPr="00981405">
        <w:t xml:space="preserve"> </w:t>
      </w:r>
      <w:r w:rsidRPr="00981405">
        <w:t>and</w:t>
      </w:r>
      <w:r w:rsidR="00190923" w:rsidRPr="00981405">
        <w:t xml:space="preserve"> </w:t>
      </w:r>
      <w:r w:rsidRPr="00981405">
        <w:t>should</w:t>
      </w:r>
      <w:r w:rsidR="00190923" w:rsidRPr="00981405">
        <w:t xml:space="preserve"> </w:t>
      </w:r>
      <w:r w:rsidRPr="00981405">
        <w:t>be</w:t>
      </w:r>
      <w:r w:rsidR="00190923" w:rsidRPr="00981405">
        <w:t xml:space="preserve"> </w:t>
      </w:r>
      <w:r w:rsidRPr="00981405">
        <w:t>qualified.</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lastRenderedPageBreak/>
        <w:t>stated</w:t>
      </w:r>
      <w:r w:rsidR="00190923" w:rsidRPr="00981405">
        <w:t xml:space="preserve"> </w:t>
      </w:r>
      <w:r w:rsidRPr="00981405">
        <w:t>that</w:t>
      </w:r>
      <w:r w:rsidR="00190923" w:rsidRPr="00981405">
        <w:t xml:space="preserve"> </w:t>
      </w:r>
      <w:r w:rsidRPr="00981405">
        <w:t>the</w:t>
      </w:r>
      <w:r w:rsidR="00190923" w:rsidRPr="00981405">
        <w:t xml:space="preserve"> </w:t>
      </w:r>
      <w:r w:rsidRPr="00981405">
        <w:t>selection</w:t>
      </w:r>
      <w:r w:rsidR="00190923" w:rsidRPr="00981405">
        <w:t xml:space="preserve"> </w:t>
      </w:r>
      <w:r w:rsidRPr="00981405">
        <w:t>of</w:t>
      </w:r>
      <w:r w:rsidR="00190923" w:rsidRPr="00981405">
        <w:t xml:space="preserve"> </w:t>
      </w:r>
      <w:r w:rsidRPr="00981405">
        <w:t>relevant</w:t>
      </w:r>
      <w:r w:rsidR="00190923" w:rsidRPr="00981405">
        <w:t xml:space="preserve"> </w:t>
      </w:r>
      <w:r w:rsidRPr="00981405">
        <w:t>writings</w:t>
      </w:r>
      <w:r w:rsidR="00190923" w:rsidRPr="00981405">
        <w:t xml:space="preserve"> </w:t>
      </w:r>
      <w:r w:rsidRPr="00981405">
        <w:t>could</w:t>
      </w:r>
      <w:r w:rsidR="00190923" w:rsidRPr="00981405">
        <w:t xml:space="preserve"> </w:t>
      </w:r>
      <w:r w:rsidRPr="00981405">
        <w:t>not</w:t>
      </w:r>
      <w:r w:rsidR="00190923" w:rsidRPr="00981405">
        <w:t xml:space="preserve"> </w:t>
      </w:r>
      <w:r w:rsidRPr="00981405">
        <w:t>amount</w:t>
      </w:r>
      <w:r w:rsidR="00190923" w:rsidRPr="00981405">
        <w:t xml:space="preserve"> </w:t>
      </w:r>
      <w:r w:rsidRPr="00981405">
        <w:t>to</w:t>
      </w:r>
      <w:r w:rsidR="00190923" w:rsidRPr="00981405">
        <w:t xml:space="preserve"> </w:t>
      </w:r>
      <w:r w:rsidRPr="00981405">
        <w:t>preference</w:t>
      </w:r>
      <w:r w:rsidR="00190923" w:rsidRPr="00981405">
        <w:t xml:space="preserve"> </w:t>
      </w:r>
      <w:r w:rsidRPr="00981405">
        <w:t>for</w:t>
      </w:r>
      <w:r w:rsidR="00190923" w:rsidRPr="00981405">
        <w:t xml:space="preserve"> </w:t>
      </w:r>
      <w:r w:rsidRPr="00981405">
        <w:t>writers</w:t>
      </w:r>
      <w:r w:rsidR="00190923" w:rsidRPr="00981405">
        <w:t xml:space="preserve"> </w:t>
      </w:r>
      <w:r w:rsidRPr="00981405">
        <w:t>from</w:t>
      </w:r>
      <w:r w:rsidR="00190923" w:rsidRPr="00981405">
        <w:t xml:space="preserve"> </w:t>
      </w:r>
      <w:r w:rsidRPr="00981405">
        <w:t>specific</w:t>
      </w:r>
      <w:r w:rsidR="00190923" w:rsidRPr="00981405">
        <w:t xml:space="preserve"> </w:t>
      </w:r>
      <w:r w:rsidRPr="00981405">
        <w:t>regions</w:t>
      </w:r>
      <w:r w:rsidR="00190923" w:rsidRPr="00981405">
        <w:t xml:space="preserve"> </w:t>
      </w:r>
      <w:r w:rsidRPr="00981405">
        <w:t>but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universal.</w:t>
      </w:r>
    </w:p>
    <w:p w:rsidR="00397032" w:rsidRPr="00981405" w:rsidRDefault="00397032" w:rsidP="00D97463">
      <w:pPr>
        <w:pStyle w:val="SingleTxt"/>
      </w:pPr>
      <w:r w:rsidRPr="00981405">
        <w:t>88.</w:t>
      </w:r>
      <w:r w:rsidRPr="00981405">
        <w:tab/>
        <w:t>Several</w:t>
      </w:r>
      <w:r w:rsidR="00190923" w:rsidRPr="00981405">
        <w:t xml:space="preserve"> </w:t>
      </w:r>
      <w:r w:rsidRPr="00981405">
        <w:t>members</w:t>
      </w:r>
      <w:r w:rsidR="00190923" w:rsidRPr="00981405">
        <w:t xml:space="preserve"> </w:t>
      </w:r>
      <w:r w:rsidRPr="00981405">
        <w:t>affirmed</w:t>
      </w:r>
      <w:r w:rsidR="00190923" w:rsidRPr="00981405">
        <w:t xml:space="preserve"> </w:t>
      </w:r>
      <w:r w:rsidRPr="00981405">
        <w:t>that</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which</w:t>
      </w:r>
      <w:r w:rsidR="00190923" w:rsidRPr="00981405">
        <w:t xml:space="preserve"> </w:t>
      </w:r>
      <w:r w:rsidRPr="00981405">
        <w:t>is</w:t>
      </w:r>
      <w:r w:rsidR="00190923" w:rsidRPr="00981405">
        <w:t xml:space="preserve"> </w:t>
      </w:r>
      <w:r w:rsidRPr="00981405">
        <w:t>a</w:t>
      </w:r>
      <w:r w:rsidR="00190923" w:rsidRPr="00981405">
        <w:t xml:space="preserve"> </w:t>
      </w:r>
      <w:r w:rsidRPr="00981405">
        <w:t>subsidiary</w:t>
      </w:r>
      <w:r w:rsidR="00190923" w:rsidRPr="00981405">
        <w:t xml:space="preserve"> </w:t>
      </w:r>
      <w:r w:rsidRPr="00981405">
        <w:t>organ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entrusted</w:t>
      </w:r>
      <w:r w:rsidR="00190923" w:rsidRPr="00981405">
        <w:t xml:space="preserve"> </w:t>
      </w:r>
      <w:r w:rsidRPr="00981405">
        <w:t>with</w:t>
      </w:r>
      <w:r w:rsidR="00190923" w:rsidRPr="00981405">
        <w:t xml:space="preserve"> </w:t>
      </w:r>
      <w:r w:rsidRPr="00981405">
        <w:t>the</w:t>
      </w:r>
      <w:r w:rsidR="00190923" w:rsidRPr="00981405">
        <w:t xml:space="preserve"> </w:t>
      </w:r>
      <w:r w:rsidRPr="00981405">
        <w:t>mandate</w:t>
      </w:r>
      <w:r w:rsidR="00190923" w:rsidRPr="00981405">
        <w:t xml:space="preserve"> </w:t>
      </w:r>
      <w:r w:rsidRPr="00981405">
        <w:t>to</w:t>
      </w:r>
      <w:r w:rsidR="00190923" w:rsidRPr="00981405">
        <w:t xml:space="preserve"> </w:t>
      </w:r>
      <w:r w:rsidRPr="00981405">
        <w:t>promote</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its</w:t>
      </w:r>
      <w:r w:rsidR="00190923" w:rsidRPr="00981405">
        <w:t xml:space="preserve"> </w:t>
      </w:r>
      <w:r w:rsidRPr="00981405">
        <w:t>codification,</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equated</w:t>
      </w:r>
      <w:r w:rsidR="00190923" w:rsidRPr="00981405">
        <w:t xml:space="preserve"> </w:t>
      </w:r>
      <w:r w:rsidRPr="00981405">
        <w:t>to</w:t>
      </w:r>
      <w:r w:rsidR="00190923" w:rsidRPr="00981405">
        <w:t xml:space="preserve"> </w:t>
      </w:r>
      <w:r w:rsidR="00B92E2C" w:rsidRPr="00981405">
        <w:t>“</w:t>
      </w:r>
      <w:r w:rsidRPr="00981405">
        <w:t>writings</w:t>
      </w:r>
      <w:r w:rsidR="00B92E2C" w:rsidRPr="00981405">
        <w:t>”</w:t>
      </w:r>
      <w:r w:rsidR="00190923" w:rsidRPr="00981405">
        <w:t xml:space="preserve"> </w:t>
      </w:r>
      <w:r w:rsidRPr="00981405">
        <w:t>or</w:t>
      </w:r>
      <w:r w:rsidR="00190923" w:rsidRPr="00981405">
        <w:t xml:space="preserve"> </w:t>
      </w:r>
      <w:r w:rsidRPr="00981405">
        <w:t>teachings</w:t>
      </w:r>
      <w:r w:rsidR="00190923" w:rsidRPr="00981405">
        <w:t xml:space="preserve"> </w:t>
      </w:r>
      <w:r w:rsidRPr="00981405">
        <w:t>of</w:t>
      </w:r>
      <w:r w:rsidR="00190923" w:rsidRPr="00981405">
        <w:t xml:space="preserve"> </w:t>
      </w:r>
      <w:r w:rsidRPr="00981405">
        <w:t>publicists.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5" w:name="_Toc427938106"/>
      <w:r w:rsidRPr="00D97463">
        <w:t>(f)</w:t>
      </w:r>
      <w:r w:rsidRPr="00D97463">
        <w:tab/>
        <w:t>The</w:t>
      </w:r>
      <w:r w:rsidR="00190923" w:rsidRPr="00D97463">
        <w:t xml:space="preserve"> </w:t>
      </w:r>
      <w:r w:rsidRPr="00D97463">
        <w:t>relevance</w:t>
      </w:r>
      <w:r w:rsidR="00190923" w:rsidRPr="00D97463">
        <w:t xml:space="preserve"> </w:t>
      </w:r>
      <w:r w:rsidRPr="00D97463">
        <w:t>of</w:t>
      </w:r>
      <w:r w:rsidR="00190923" w:rsidRPr="00D97463">
        <w:t xml:space="preserve"> </w:t>
      </w:r>
      <w:r w:rsidRPr="00D97463">
        <w:t>international</w:t>
      </w:r>
      <w:r w:rsidR="00190923" w:rsidRPr="00D97463">
        <w:t xml:space="preserve"> </w:t>
      </w:r>
      <w:r w:rsidRPr="00D97463">
        <w:t>organizations</w:t>
      </w:r>
      <w:r w:rsidR="00190923" w:rsidRPr="00D97463">
        <w:t xml:space="preserve"> </w:t>
      </w:r>
      <w:r w:rsidRPr="00D97463">
        <w:t>and</w:t>
      </w:r>
      <w:r w:rsidR="00190923" w:rsidRPr="00D97463">
        <w:t xml:space="preserve"> </w:t>
      </w:r>
      <w:r w:rsidRPr="00D97463">
        <w:t>non-State</w:t>
      </w:r>
      <w:r w:rsidR="00190923" w:rsidRPr="00D97463">
        <w:t xml:space="preserve"> </w:t>
      </w:r>
      <w:r w:rsidRPr="00D97463">
        <w:t>actors</w:t>
      </w:r>
      <w:bookmarkEnd w:id="45"/>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89.</w:t>
      </w:r>
      <w:r w:rsidRPr="00981405">
        <w:tab/>
        <w:t>There</w:t>
      </w:r>
      <w:r w:rsidR="00190923" w:rsidRPr="00981405">
        <w:t xml:space="preserve"> </w:t>
      </w:r>
      <w:r w:rsidRPr="00981405">
        <w:t>were</w:t>
      </w:r>
      <w:r w:rsidR="00190923" w:rsidRPr="00981405">
        <w:t xml:space="preserve"> </w:t>
      </w:r>
      <w:r w:rsidRPr="00981405">
        <w:t>different</w:t>
      </w:r>
      <w:r w:rsidR="00190923" w:rsidRPr="00981405">
        <w:t xml:space="preserve"> </w:t>
      </w:r>
      <w:r w:rsidRPr="00981405">
        <w:t>views</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such</w:t>
      </w:r>
      <w:r w:rsidR="00190923" w:rsidRPr="00981405">
        <w:t xml:space="preserve"> </w:t>
      </w:r>
      <w:r w:rsidRPr="00981405">
        <w:t>practice</w:t>
      </w:r>
      <w:r w:rsidR="00190923" w:rsidRPr="00981405">
        <w:t xml:space="preserve"> </w:t>
      </w:r>
      <w:r w:rsidRPr="00981405">
        <w:t>could</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or</w:t>
      </w:r>
      <w:r w:rsidR="00190923" w:rsidRPr="00981405">
        <w:t xml:space="preserve"> </w:t>
      </w:r>
      <w:r w:rsidRPr="00981405">
        <w:t>expression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in</w:t>
      </w:r>
      <w:r w:rsidR="00190923" w:rsidRPr="00981405">
        <w:t xml:space="preserve"> </w:t>
      </w:r>
      <w:r w:rsidRPr="00981405">
        <w:t>some</w:t>
      </w:r>
      <w:r w:rsidR="00190923" w:rsidRPr="00981405">
        <w:t xml:space="preserve"> </w:t>
      </w:r>
      <w:r w:rsidRPr="00981405">
        <w:t>areas</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emphasized.</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stressed</w:t>
      </w:r>
      <w:r w:rsidR="00190923" w:rsidRPr="00981405">
        <w:t xml:space="preserve"> </w:t>
      </w:r>
      <w:r w:rsidRPr="00981405">
        <w:t>that</w:t>
      </w:r>
      <w:r w:rsidR="00190923" w:rsidRPr="00981405">
        <w:t xml:space="preserve"> </w:t>
      </w:r>
      <w:r w:rsidRPr="00981405">
        <w:t>this</w:t>
      </w:r>
      <w:r w:rsidR="00190923" w:rsidRPr="00981405">
        <w:t xml:space="preserve"> </w:t>
      </w:r>
      <w:r w:rsidRPr="00981405">
        <w:t>could</w:t>
      </w:r>
      <w:r w:rsidR="00190923" w:rsidRPr="00981405">
        <w:t xml:space="preserve"> </w:t>
      </w:r>
      <w:r w:rsidRPr="00981405">
        <w:t>be</w:t>
      </w:r>
      <w:r w:rsidR="00190923" w:rsidRPr="00981405">
        <w:t xml:space="preserve"> </w:t>
      </w:r>
      <w:r w:rsidRPr="00981405">
        <w:t>the</w:t>
      </w:r>
      <w:r w:rsidR="00190923" w:rsidRPr="00981405">
        <w:t xml:space="preserve"> </w:t>
      </w:r>
      <w:r w:rsidRPr="00981405">
        <w:t>case</w:t>
      </w:r>
      <w:r w:rsidR="00190923" w:rsidRPr="00981405">
        <w:t xml:space="preserve"> </w:t>
      </w:r>
      <w:r w:rsidRPr="00981405">
        <w:t>only</w:t>
      </w:r>
      <w:r w:rsidR="00190923" w:rsidRPr="00981405">
        <w:t xml:space="preserve"> </w:t>
      </w:r>
      <w:r w:rsidRPr="00981405">
        <w:t>if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reflected</w:t>
      </w:r>
      <w:r w:rsidR="00190923" w:rsidRPr="00981405">
        <w:t xml:space="preserve"> </w:t>
      </w:r>
      <w:r w:rsidRPr="00981405">
        <w:t>the</w:t>
      </w:r>
      <w:r w:rsidR="00190923" w:rsidRPr="00981405">
        <w:t xml:space="preserve"> </w:t>
      </w:r>
      <w:r w:rsidRPr="00981405">
        <w:t>practice</w:t>
      </w:r>
      <w:r w:rsidR="00190923" w:rsidRPr="00981405">
        <w:t xml:space="preserve"> </w:t>
      </w:r>
      <w:r w:rsidRPr="00981405">
        <w:t>or</w:t>
      </w:r>
      <w:r w:rsidR="00190923" w:rsidRPr="00981405">
        <w:t xml:space="preserve"> </w:t>
      </w:r>
      <w:r w:rsidRPr="00981405">
        <w:t>conviction</w:t>
      </w:r>
      <w:r w:rsidR="00190923" w:rsidRPr="00981405">
        <w:t xml:space="preserve"> </w:t>
      </w:r>
      <w:r w:rsidRPr="00981405">
        <w:t>of</w:t>
      </w:r>
      <w:r w:rsidR="00190923" w:rsidRPr="00981405">
        <w:t xml:space="preserve"> </w:t>
      </w:r>
      <w:r w:rsidRPr="00981405">
        <w:t>its</w:t>
      </w:r>
      <w:r w:rsidR="00190923" w:rsidRPr="00981405">
        <w:t xml:space="preserve"> </w:t>
      </w:r>
      <w:r w:rsidRPr="00981405">
        <w:t>member</w:t>
      </w:r>
      <w:r w:rsidR="00190923" w:rsidRPr="00981405">
        <w:t xml:space="preserve"> </w:t>
      </w:r>
      <w:r w:rsidRPr="00981405">
        <w:t>States</w:t>
      </w:r>
      <w:r w:rsidR="00190923" w:rsidRPr="00981405">
        <w:t xml:space="preserve"> </w:t>
      </w:r>
      <w:r w:rsidRPr="00981405">
        <w:t>or</w:t>
      </w:r>
      <w:r w:rsidR="00190923" w:rsidRPr="00981405">
        <w:t xml:space="preserve"> </w:t>
      </w:r>
      <w:r w:rsidRPr="00981405">
        <w:t>if</w:t>
      </w:r>
      <w:r w:rsidR="00190923" w:rsidRPr="00981405">
        <w:t xml:space="preserve"> </w:t>
      </w:r>
      <w:r w:rsidRPr="00981405">
        <w:t>it</w:t>
      </w:r>
      <w:r w:rsidR="00190923" w:rsidRPr="00981405">
        <w:t xml:space="preserve"> </w:t>
      </w:r>
      <w:r w:rsidRPr="00981405">
        <w:t>would</w:t>
      </w:r>
      <w:r w:rsidR="00190923" w:rsidRPr="00981405">
        <w:t xml:space="preserve"> </w:t>
      </w:r>
      <w:r w:rsidRPr="00981405">
        <w:t>catalyse</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but</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such</w:t>
      </w:r>
      <w:r w:rsidR="00190923" w:rsidRPr="00981405">
        <w:t xml:space="preserve"> </w:t>
      </w:r>
      <w:r w:rsidRPr="00981405">
        <w:t>was</w:t>
      </w:r>
      <w:r w:rsidR="00190923" w:rsidRPr="00981405">
        <w:t xml:space="preserve"> </w:t>
      </w:r>
      <w:r w:rsidRPr="00981405">
        <w:t>not</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assessment</w:t>
      </w:r>
      <w:r w:rsidR="00190923" w:rsidRPr="00981405">
        <w:t xml:space="preserve"> </w:t>
      </w:r>
      <w:r w:rsidRPr="00981405">
        <w:t>of</w:t>
      </w:r>
      <w:r w:rsidR="00190923" w:rsidRPr="00981405">
        <w:t xml:space="preserve"> </w:t>
      </w:r>
      <w:r w:rsidRPr="00981405">
        <w:t>a</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as</w:t>
      </w:r>
      <w:r w:rsidR="00190923" w:rsidRPr="00981405">
        <w:t xml:space="preserve"> </w:t>
      </w:r>
      <w:r w:rsidRPr="00981405">
        <w:t>written</w:t>
      </w:r>
      <w:r w:rsidR="00190923" w:rsidRPr="00981405">
        <w:t xml:space="preserve"> </w:t>
      </w:r>
      <w:r w:rsidRPr="00981405">
        <w:t>failed</w:t>
      </w:r>
      <w:r w:rsidR="00190923" w:rsidRPr="00981405">
        <w:t xml:space="preserve"> </w:t>
      </w:r>
      <w:r w:rsidRPr="00981405">
        <w:t>to</w:t>
      </w:r>
      <w:r w:rsidR="00190923" w:rsidRPr="00981405">
        <w:t xml:space="preserve"> </w:t>
      </w:r>
      <w:r w:rsidRPr="00981405">
        <w:t>address</w:t>
      </w:r>
      <w:r w:rsidR="00190923" w:rsidRPr="00981405">
        <w:t xml:space="preserve"> </w:t>
      </w:r>
      <w:r w:rsidRPr="00981405">
        <w:t>key</w:t>
      </w:r>
      <w:r w:rsidR="00190923" w:rsidRPr="00981405">
        <w:t xml:space="preserve"> </w:t>
      </w:r>
      <w:r w:rsidRPr="00981405">
        <w:t>issues,</w:t>
      </w:r>
      <w:r w:rsidR="00190923" w:rsidRPr="00981405">
        <w:t xml:space="preserve"> </w:t>
      </w:r>
      <w:r w:rsidRPr="00981405">
        <w:t>such</w:t>
      </w:r>
      <w:r w:rsidR="00190923" w:rsidRPr="00981405">
        <w:t xml:space="preserve"> </w:t>
      </w:r>
      <w:r w:rsidRPr="00981405">
        <w:t>as</w:t>
      </w:r>
      <w:r w:rsidR="00190923" w:rsidRPr="00981405">
        <w:t xml:space="preserve"> </w:t>
      </w:r>
      <w:r w:rsidRPr="00981405">
        <w:t>whether</w:t>
      </w:r>
      <w:r w:rsidR="00190923" w:rsidRPr="00981405">
        <w:t xml:space="preserve"> </w:t>
      </w:r>
      <w:r w:rsidRPr="00981405">
        <w:t>inaction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counted</w:t>
      </w:r>
      <w:r w:rsidR="00190923" w:rsidRPr="00981405">
        <w:t xml:space="preserve"> </w:t>
      </w:r>
      <w:r w:rsidRPr="00981405">
        <w:t>as</w:t>
      </w:r>
      <w:r w:rsidR="00190923" w:rsidRPr="00981405">
        <w:t xml:space="preserve"> </w:t>
      </w:r>
      <w:r w:rsidRPr="00981405">
        <w:t>practice,</w:t>
      </w:r>
      <w:r w:rsidR="00190923" w:rsidRPr="00981405">
        <w:t xml:space="preserve"> </w:t>
      </w:r>
      <w:r w:rsidRPr="00981405">
        <w:t>whether</w:t>
      </w:r>
      <w:r w:rsidR="00190923" w:rsidRPr="00981405">
        <w:t xml:space="preserve"> </w:t>
      </w:r>
      <w:r w:rsidRPr="00981405">
        <w:t>both</w:t>
      </w:r>
      <w:r w:rsidR="00190923" w:rsidRPr="00981405">
        <w:t xml:space="preserve"> </w:t>
      </w:r>
      <w:r w:rsidRPr="00981405">
        <w:t>practice</w:t>
      </w:r>
      <w:r w:rsidR="00190923" w:rsidRPr="00981405">
        <w:t xml:space="preserve"> </w:t>
      </w:r>
      <w:r w:rsidRPr="00981405">
        <w:t>and</w:t>
      </w:r>
      <w:r w:rsidR="00190923" w:rsidRPr="00981405">
        <w:t xml:space="preserve"> </w:t>
      </w:r>
      <w:r w:rsidR="00BF1D0D" w:rsidRPr="00981405">
        <w:rPr>
          <w:i/>
          <w:iCs/>
        </w:rPr>
        <w:t>opinio</w:t>
      </w:r>
      <w:r w:rsidR="00190923" w:rsidRPr="00981405">
        <w:rPr>
          <w:i/>
          <w:iCs/>
        </w:rPr>
        <w:t xml:space="preserve"> </w:t>
      </w:r>
      <w:r w:rsidR="00BF1D0D" w:rsidRPr="00981405">
        <w:rPr>
          <w:i/>
          <w:iCs/>
        </w:rPr>
        <w:t>juris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was</w:t>
      </w:r>
      <w:r w:rsidR="00190923" w:rsidRPr="00981405">
        <w:t xml:space="preserve"> </w:t>
      </w:r>
      <w:r w:rsidRPr="00981405">
        <w:t>required,</w:t>
      </w:r>
      <w:r w:rsidR="00190923" w:rsidRPr="00981405">
        <w:t xml:space="preserve"> </w:t>
      </w:r>
      <w:r w:rsidRPr="00981405">
        <w:t>and</w:t>
      </w:r>
      <w:r w:rsidR="00190923" w:rsidRPr="00981405">
        <w:t xml:space="preserve"> </w:t>
      </w:r>
      <w:r w:rsidRPr="00981405">
        <w:t>whether</w:t>
      </w:r>
      <w:r w:rsidR="00190923" w:rsidRPr="00981405">
        <w:t xml:space="preserve"> </w:t>
      </w:r>
      <w:r w:rsidRPr="00981405">
        <w:t>the</w:t>
      </w:r>
      <w:r w:rsidR="00190923" w:rsidRPr="00981405">
        <w:t xml:space="preserve"> </w:t>
      </w:r>
      <w:r w:rsidRPr="00981405">
        <w:t>rule</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contributes</w:t>
      </w:r>
      <w:r w:rsidR="00190923" w:rsidRPr="00981405">
        <w:t xml:space="preserve"> </w:t>
      </w:r>
      <w:r w:rsidRPr="00981405">
        <w:t>is</w:t>
      </w:r>
      <w:r w:rsidR="00190923" w:rsidRPr="00981405">
        <w:t xml:space="preserve"> </w:t>
      </w:r>
      <w:r w:rsidRPr="00981405">
        <w:t>binding</w:t>
      </w:r>
      <w:r w:rsidR="00190923" w:rsidRPr="00981405">
        <w:t xml:space="preserve"> </w:t>
      </w:r>
      <w:r w:rsidRPr="00981405">
        <w:t>only</w:t>
      </w:r>
      <w:r w:rsidR="00190923" w:rsidRPr="00981405">
        <w:t xml:space="preserve"> </w:t>
      </w:r>
      <w:r w:rsidRPr="00981405">
        <w:t>upon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only</w:t>
      </w:r>
      <w:r w:rsidR="00190923" w:rsidRPr="00981405">
        <w:t xml:space="preserve"> </w:t>
      </w:r>
      <w:r w:rsidRPr="00981405">
        <w:t>upon</w:t>
      </w:r>
      <w:r w:rsidR="00190923" w:rsidRPr="00981405">
        <w:t xml:space="preserve"> </w:t>
      </w:r>
      <w:r w:rsidRPr="00981405">
        <w:t>States,</w:t>
      </w:r>
      <w:r w:rsidR="00190923" w:rsidRPr="00981405">
        <w:t xml:space="preserve"> </w:t>
      </w:r>
      <w:r w:rsidRPr="00981405">
        <w:t>or</w:t>
      </w:r>
      <w:r w:rsidR="00190923" w:rsidRPr="00981405">
        <w:t xml:space="preserve"> </w:t>
      </w:r>
      <w:r w:rsidRPr="00981405">
        <w:t>upon</w:t>
      </w:r>
      <w:r w:rsidR="00190923" w:rsidRPr="00981405">
        <w:t xml:space="preserve"> </w:t>
      </w:r>
      <w:r w:rsidRPr="00981405">
        <w:t>both.</w:t>
      </w:r>
    </w:p>
    <w:p w:rsidR="00397032" w:rsidRPr="00981405" w:rsidRDefault="00397032" w:rsidP="00D97463">
      <w:pPr>
        <w:pStyle w:val="SingleTxt"/>
      </w:pPr>
      <w:r w:rsidRPr="00981405">
        <w:t>90.</w:t>
      </w:r>
      <w:r w:rsidRPr="00981405">
        <w:tab/>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that</w:t>
      </w:r>
      <w:r w:rsidR="00190923" w:rsidRPr="00981405">
        <w:t xml:space="preserve"> </w:t>
      </w:r>
      <w:r w:rsidRPr="00981405">
        <w:t>the</w:t>
      </w:r>
      <w:r w:rsidR="00190923" w:rsidRPr="00981405">
        <w:t xml:space="preserve"> </w:t>
      </w:r>
      <w:r w:rsidRPr="00981405">
        <w:t>conduct</w:t>
      </w:r>
      <w:r w:rsidR="00190923" w:rsidRPr="00981405">
        <w:t xml:space="preserve"> </w:t>
      </w:r>
      <w:r w:rsidRPr="00981405">
        <w:t>of</w:t>
      </w:r>
      <w:r w:rsidR="00190923" w:rsidRPr="00981405">
        <w:t xml:space="preserve"> </w:t>
      </w:r>
      <w:r w:rsidRPr="00981405">
        <w:t>other</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was</w:t>
      </w:r>
      <w:r w:rsidR="00190923" w:rsidRPr="00981405">
        <w:t xml:space="preserve"> </w:t>
      </w:r>
      <w:r w:rsidRPr="00981405">
        <w:t>not</w:t>
      </w:r>
      <w:r w:rsidR="00190923" w:rsidRPr="00981405">
        <w:t xml:space="preserve"> </w:t>
      </w:r>
      <w:r w:rsidRPr="00981405">
        <w:t>practice</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or</w:t>
      </w:r>
      <w:r w:rsidR="00190923" w:rsidRPr="00981405">
        <w:t xml:space="preserve"> </w:t>
      </w:r>
      <w:r w:rsidRPr="00981405">
        <w:t>identification</w:t>
      </w:r>
      <w:r w:rsidR="00190923" w:rsidRPr="00981405">
        <w:t xml:space="preserve"> </w:t>
      </w:r>
      <w:r w:rsidRPr="00981405">
        <w:t>was</w:t>
      </w:r>
      <w:r w:rsidR="00190923" w:rsidRPr="00981405">
        <w:t xml:space="preserve"> </w:t>
      </w:r>
      <w:r w:rsidRPr="00981405">
        <w:t>supported</w:t>
      </w:r>
      <w:r w:rsidR="00190923" w:rsidRPr="00981405">
        <w:t xml:space="preserve"> </w:t>
      </w:r>
      <w:r w:rsidRPr="00981405">
        <w:t>by</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other</w:t>
      </w:r>
      <w:r w:rsidR="00190923" w:rsidRPr="00981405">
        <w:t xml:space="preserve"> </w:t>
      </w:r>
      <w:r w:rsidRPr="00981405">
        <w:t>non-State</w:t>
      </w:r>
      <w:r w:rsidR="00190923" w:rsidRPr="00981405">
        <w:t xml:space="preserve"> </w:t>
      </w:r>
      <w:r w:rsidRPr="00981405">
        <w:t>actors</w:t>
      </w:r>
      <w:r w:rsidR="00B92E2C" w:rsidRPr="00981405">
        <w:t>”</w:t>
      </w:r>
      <w:r w:rsidR="00190923" w:rsidRPr="00981405">
        <w:t xml:space="preserve"> </w:t>
      </w:r>
      <w:r w:rsidRPr="00981405">
        <w:t>was</w:t>
      </w:r>
      <w:r w:rsidR="00190923" w:rsidRPr="00981405">
        <w:t xml:space="preserve"> </w:t>
      </w:r>
      <w:r w:rsidRPr="00981405">
        <w:t>not</w:t>
      </w:r>
      <w:r w:rsidR="00190923" w:rsidRPr="00981405">
        <w:t xml:space="preserve"> </w:t>
      </w:r>
      <w:r w:rsidRPr="00981405">
        <w:t>considered</w:t>
      </w:r>
      <w:r w:rsidR="00190923" w:rsidRPr="00981405">
        <w:t xml:space="preserve"> </w:t>
      </w:r>
      <w:r w:rsidRPr="00981405">
        <w:t>entirely</w:t>
      </w:r>
      <w:r w:rsidR="00190923" w:rsidRPr="00981405">
        <w:t xml:space="preserve"> </w:t>
      </w:r>
      <w:r w:rsidRPr="00981405">
        <w:t>clear</w:t>
      </w:r>
      <w:r w:rsidR="00190923" w:rsidRPr="00981405">
        <w:t xml:space="preserve"> </w:t>
      </w:r>
      <w:r w:rsidRPr="00981405">
        <w:t>since</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were</w:t>
      </w:r>
      <w:r w:rsidR="00190923" w:rsidRPr="00981405">
        <w:t xml:space="preserve"> </w:t>
      </w:r>
      <w:r w:rsidRPr="00981405">
        <w:t>composed</w:t>
      </w:r>
      <w:r w:rsidR="00190923" w:rsidRPr="00981405">
        <w:t xml:space="preserve"> </w:t>
      </w:r>
      <w:r w:rsidRPr="00981405">
        <w:t>of</w:t>
      </w:r>
      <w:r w:rsidR="00190923" w:rsidRPr="00981405">
        <w:t xml:space="preserve"> </w:t>
      </w:r>
      <w:r w:rsidRPr="00981405">
        <w:t>States.</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proposal</w:t>
      </w:r>
      <w:r w:rsidR="00190923" w:rsidRPr="00981405">
        <w:t xml:space="preserve"> </w:t>
      </w:r>
      <w:r w:rsidRPr="00981405">
        <w:t>to</w:t>
      </w:r>
      <w:r w:rsidR="00190923" w:rsidRPr="00981405">
        <w:t xml:space="preserve"> </w:t>
      </w:r>
      <w:r w:rsidRPr="00981405">
        <w:t>be</w:t>
      </w:r>
      <w:r w:rsidR="00190923" w:rsidRPr="00981405">
        <w:t xml:space="preserve"> </w:t>
      </w:r>
      <w:r w:rsidRPr="00981405">
        <w:t>too</w:t>
      </w:r>
      <w:r w:rsidR="00190923" w:rsidRPr="00981405">
        <w:t xml:space="preserve"> </w:t>
      </w:r>
      <w:r w:rsidRPr="00981405">
        <w:t>strict,</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certain</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t>Red</w:t>
      </w:r>
      <w:r w:rsidR="00190923" w:rsidRPr="00981405">
        <w:t xml:space="preserve"> </w:t>
      </w:r>
      <w:r w:rsidRPr="00981405">
        <w:t>Cross,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activities</w:t>
      </w:r>
      <w:r w:rsidR="00190923" w:rsidRPr="00981405">
        <w:t xml:space="preserve"> </w:t>
      </w:r>
      <w:r w:rsidRPr="00981405">
        <w:t>involving</w:t>
      </w:r>
      <w:r w:rsidR="00190923" w:rsidRPr="00981405">
        <w:t xml:space="preserve"> </w:t>
      </w:r>
      <w:r w:rsidRPr="00981405">
        <w:t>both</w:t>
      </w:r>
      <w:r w:rsidR="00190923" w:rsidRPr="00981405">
        <w:t xml:space="preserve"> </w:t>
      </w:r>
      <w:r w:rsidRPr="00981405">
        <w:t>States</w:t>
      </w:r>
      <w:r w:rsidR="00190923" w:rsidRPr="00981405">
        <w:t xml:space="preserve"> </w:t>
      </w:r>
      <w:r w:rsidRPr="00981405">
        <w:t>and</w:t>
      </w:r>
      <w:r w:rsidR="00190923" w:rsidRPr="00981405">
        <w:t xml:space="preserve"> </w:t>
      </w:r>
      <w:r w:rsidRPr="00981405">
        <w:t>non-State</w:t>
      </w:r>
      <w:r w:rsidR="00190923" w:rsidRPr="00981405">
        <w:t xml:space="preserve"> </w:t>
      </w:r>
      <w:r w:rsidRPr="00981405">
        <w:t>actors.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6" w:name="_Toc427938107"/>
      <w:r w:rsidRPr="00D97463">
        <w:t>(g)</w:t>
      </w:r>
      <w:r w:rsidRPr="00D97463">
        <w:tab/>
        <w:t>Particular</w:t>
      </w:r>
      <w:r w:rsidR="00190923" w:rsidRPr="00D97463">
        <w:t xml:space="preserve"> </w:t>
      </w:r>
      <w:r w:rsidRPr="00D97463">
        <w:t>custom</w:t>
      </w:r>
      <w:bookmarkEnd w:id="46"/>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91.</w:t>
      </w:r>
      <w:r w:rsidRPr="00981405">
        <w:tab/>
        <w:t>A</w:t>
      </w:r>
      <w:r w:rsidR="00190923" w:rsidRPr="00981405">
        <w:t xml:space="preserve"> </w:t>
      </w:r>
      <w:r w:rsidRPr="00981405">
        <w:t>discussion</w:t>
      </w:r>
      <w:r w:rsidR="00190923" w:rsidRPr="00981405">
        <w:t xml:space="preserve"> </w:t>
      </w:r>
      <w:r w:rsidRPr="00981405">
        <w:t>took</w:t>
      </w:r>
      <w:r w:rsidR="00190923" w:rsidRPr="00981405">
        <w:t xml:space="preserve"> </w:t>
      </w:r>
      <w:r w:rsidRPr="00981405">
        <w:t>place</w:t>
      </w:r>
      <w:r w:rsidR="00190923" w:rsidRPr="00981405">
        <w:t xml:space="preserve"> </w:t>
      </w:r>
      <w:r w:rsidRPr="00981405">
        <w:t>regarding</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While</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supported</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expressed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did</w:t>
      </w:r>
      <w:r w:rsidR="00190923" w:rsidRPr="00981405">
        <w:t xml:space="preserve"> </w:t>
      </w:r>
      <w:r w:rsidRPr="00981405">
        <w:t>not</w:t>
      </w:r>
      <w:r w:rsidR="00190923" w:rsidRPr="00981405">
        <w:t xml:space="preserve"> </w:t>
      </w:r>
      <w:r w:rsidRPr="00981405">
        <w:t>fall</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Questions</w:t>
      </w:r>
      <w:r w:rsidR="00190923" w:rsidRPr="00981405">
        <w:t xml:space="preserve"> </w:t>
      </w:r>
      <w:r w:rsidRPr="00981405">
        <w:t>were</w:t>
      </w:r>
      <w:r w:rsidR="00190923" w:rsidRPr="00981405">
        <w:t xml:space="preserve"> </w:t>
      </w:r>
      <w:r w:rsidRPr="00981405">
        <w:t>also</w:t>
      </w:r>
      <w:r w:rsidR="00190923" w:rsidRPr="00981405">
        <w:t xml:space="preserve"> </w:t>
      </w:r>
      <w:r w:rsidRPr="00981405">
        <w:t>raised</w:t>
      </w:r>
      <w:r w:rsidR="00190923" w:rsidRPr="00981405">
        <w:t xml:space="preserve"> </w:t>
      </w:r>
      <w:r w:rsidRPr="00981405">
        <w:t>regarding</w:t>
      </w:r>
      <w:r w:rsidR="00190923" w:rsidRPr="00981405">
        <w:t xml:space="preserve"> </w:t>
      </w:r>
      <w:r w:rsidRPr="00981405">
        <w:t>the</w:t>
      </w:r>
      <w:r w:rsidR="00190923" w:rsidRPr="00981405">
        <w:t xml:space="preserve"> </w:t>
      </w:r>
      <w:r w:rsidRPr="00981405">
        <w:t>most</w:t>
      </w:r>
      <w:r w:rsidR="00190923" w:rsidRPr="00981405">
        <w:t xml:space="preserve"> </w:t>
      </w:r>
      <w:r w:rsidRPr="00981405">
        <w:t>appropriate</w:t>
      </w:r>
      <w:r w:rsidR="00190923" w:rsidRPr="00981405">
        <w:t xml:space="preserve"> </w:t>
      </w:r>
      <w:r w:rsidRPr="00981405">
        <w:t>terminology</w:t>
      </w:r>
      <w:r w:rsidR="00190923" w:rsidRPr="00981405">
        <w:t xml:space="preserve"> </w:t>
      </w:r>
      <w:r w:rsidRPr="00981405">
        <w:t>to</w:t>
      </w:r>
      <w:r w:rsidR="00190923" w:rsidRPr="00981405">
        <w:t xml:space="preserve"> </w:t>
      </w:r>
      <w:r w:rsidRPr="00981405">
        <w:t>designate</w:t>
      </w:r>
      <w:r w:rsidR="00190923" w:rsidRPr="00981405">
        <w:t xml:space="preserve"> </w:t>
      </w:r>
      <w:r w:rsidRPr="00981405">
        <w:t>such</w:t>
      </w:r>
      <w:r w:rsidR="00190923" w:rsidRPr="00981405">
        <w:t xml:space="preserve"> </w:t>
      </w:r>
      <w:r w:rsidRPr="00981405">
        <w:t>specific</w:t>
      </w:r>
      <w:r w:rsidR="00190923" w:rsidRPr="00981405">
        <w:t xml:space="preserve"> </w:t>
      </w:r>
      <w:r w:rsidRPr="00981405">
        <w:t>category</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which</w:t>
      </w:r>
      <w:r w:rsidR="00190923" w:rsidRPr="00981405">
        <w:t xml:space="preserve"> </w:t>
      </w:r>
      <w:r w:rsidRPr="00981405">
        <w:t>had</w:t>
      </w:r>
      <w:r w:rsidR="00190923" w:rsidRPr="00981405">
        <w:t xml:space="preserve"> </w:t>
      </w:r>
      <w:r w:rsidRPr="00981405">
        <w:t>been</w:t>
      </w:r>
      <w:r w:rsidR="00190923" w:rsidRPr="00981405">
        <w:t xml:space="preserve"> </w:t>
      </w:r>
      <w:r w:rsidRPr="00981405">
        <w:t>referred</w:t>
      </w:r>
      <w:r w:rsidR="00190923" w:rsidRPr="00981405">
        <w:t xml:space="preserve"> </w:t>
      </w:r>
      <w:r w:rsidRPr="00981405">
        <w:t>to</w:t>
      </w:r>
      <w:r w:rsidR="00190923" w:rsidRPr="00981405">
        <w:t xml:space="preserve"> </w:t>
      </w:r>
      <w:r w:rsidRPr="00981405">
        <w:t>as</w:t>
      </w:r>
      <w:r w:rsidR="00190923" w:rsidRPr="00981405">
        <w:t xml:space="preserve"> </w:t>
      </w:r>
      <w:r w:rsidR="00B92E2C" w:rsidRPr="00981405">
        <w:t>“</w:t>
      </w:r>
      <w:r w:rsidRPr="00981405">
        <w:t>regional</w:t>
      </w:r>
      <w:r w:rsidR="00B92E2C" w:rsidRPr="00981405">
        <w:t>”</w:t>
      </w:r>
      <w:r w:rsidRPr="00981405">
        <w:t>,</w:t>
      </w:r>
      <w:r w:rsidR="00190923" w:rsidRPr="00981405">
        <w:t xml:space="preserve"> </w:t>
      </w:r>
      <w:r w:rsidR="00B92E2C" w:rsidRPr="00981405">
        <w:t>“</w:t>
      </w:r>
      <w:r w:rsidRPr="00981405">
        <w:t>local</w:t>
      </w:r>
      <w:r w:rsidR="00B92E2C" w:rsidRPr="00981405">
        <w:t>”</w:t>
      </w:r>
      <w:r w:rsidR="00190923" w:rsidRPr="00981405">
        <w:t xml:space="preserve"> </w:t>
      </w:r>
      <w:r w:rsidRPr="00981405">
        <w:t>or</w:t>
      </w:r>
      <w:r w:rsidR="00190923" w:rsidRPr="00981405">
        <w:t xml:space="preserve"> </w:t>
      </w:r>
      <w:r w:rsidR="00B92E2C" w:rsidRPr="00981405">
        <w:t>“</w:t>
      </w:r>
      <w:r w:rsidRPr="00981405">
        <w:t>particular</w:t>
      </w:r>
      <w:r w:rsidR="00B92E2C" w:rsidRPr="00981405">
        <w:t>”</w:t>
      </w:r>
      <w:r w:rsidR="00190923" w:rsidRPr="00981405">
        <w:t xml:space="preserve"> </w:t>
      </w:r>
      <w:r w:rsidRPr="00981405">
        <w:t>customs.</w:t>
      </w:r>
      <w:r w:rsidR="00190923" w:rsidRPr="00981405">
        <w:t xml:space="preserve"> </w:t>
      </w:r>
      <w:r w:rsidRPr="00981405">
        <w:t>Moreover,</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to</w:t>
      </w:r>
      <w:r w:rsidR="00190923" w:rsidRPr="00981405">
        <w:t xml:space="preserve"> </w:t>
      </w:r>
      <w:r w:rsidRPr="00981405">
        <w:t>clarify</w:t>
      </w:r>
      <w:r w:rsidR="00190923" w:rsidRPr="00981405">
        <w:t xml:space="preserve"> </w:t>
      </w:r>
      <w:r w:rsidRPr="00981405">
        <w:t>the</w:t>
      </w:r>
      <w:r w:rsidR="00190923" w:rsidRPr="00981405">
        <w:t xml:space="preserve"> </w:t>
      </w:r>
      <w:r w:rsidRPr="00981405">
        <w:t>notion</w:t>
      </w:r>
      <w:r w:rsidR="00190923" w:rsidRPr="00981405">
        <w:t xml:space="preserve"> </w:t>
      </w:r>
      <w:r w:rsidRPr="00981405">
        <w:t>of</w:t>
      </w:r>
      <w:r w:rsidR="00190923" w:rsidRPr="00981405">
        <w:t xml:space="preserve"> </w:t>
      </w:r>
      <w:r w:rsidR="00B92E2C" w:rsidRPr="00981405">
        <w:t>“</w:t>
      </w:r>
      <w:r w:rsidRPr="00981405">
        <w:t>region</w:t>
      </w:r>
      <w:r w:rsidR="00B92E2C" w:rsidRPr="00981405">
        <w:t>”</w:t>
      </w:r>
      <w:r w:rsidR="00190923" w:rsidRPr="00981405">
        <w:t xml:space="preserve"> </w:t>
      </w:r>
      <w:r w:rsidRPr="00981405">
        <w:t>and</w:t>
      </w:r>
      <w:r w:rsidR="00190923" w:rsidRPr="00981405">
        <w:t xml:space="preserve"> </w:t>
      </w:r>
      <w:r w:rsidRPr="00981405">
        <w:t>to</w:t>
      </w:r>
      <w:r w:rsidR="00190923" w:rsidRPr="00981405">
        <w:t xml:space="preserve"> </w:t>
      </w:r>
      <w:r w:rsidRPr="00981405">
        <w:t>address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geographical</w:t>
      </w:r>
      <w:r w:rsidR="00190923" w:rsidRPr="00981405">
        <w:t xml:space="preserve"> </w:t>
      </w:r>
      <w:r w:rsidRPr="00981405">
        <w:t>nexus</w:t>
      </w:r>
      <w:r w:rsidR="00190923" w:rsidRPr="00981405">
        <w:t xml:space="preserve"> </w:t>
      </w:r>
      <w:r w:rsidRPr="00981405">
        <w:t>between</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regional</w:t>
      </w:r>
      <w:r w:rsidR="00190923" w:rsidRPr="00981405">
        <w:t xml:space="preserve"> </w:t>
      </w:r>
      <w:r w:rsidRPr="00981405">
        <w:t>custom.</w:t>
      </w:r>
    </w:p>
    <w:p w:rsidR="00397032" w:rsidRPr="00981405" w:rsidRDefault="00397032" w:rsidP="00D97463">
      <w:pPr>
        <w:pStyle w:val="SingleTxt"/>
      </w:pPr>
      <w:r w:rsidRPr="00981405">
        <w:t>92.</w:t>
      </w:r>
      <w:r w:rsidRPr="00981405">
        <w:tab/>
        <w:t>It</w:t>
      </w:r>
      <w:r w:rsidR="00190923" w:rsidRPr="00981405">
        <w:t xml:space="preserve"> </w:t>
      </w:r>
      <w:r w:rsidRPr="00981405">
        <w:t>was</w:t>
      </w:r>
      <w:r w:rsidR="00190923" w:rsidRPr="00981405">
        <w:t xml:space="preserve"> </w:t>
      </w:r>
      <w:r w:rsidRPr="00981405">
        <w:t>stressed</w:t>
      </w:r>
      <w:r w:rsidR="00190923" w:rsidRPr="00981405">
        <w:t xml:space="preserve"> </w:t>
      </w:r>
      <w:r w:rsidRPr="00981405">
        <w:t>that</w:t>
      </w:r>
      <w:r w:rsidR="00190923" w:rsidRPr="00981405">
        <w:t xml:space="preserve"> </w:t>
      </w:r>
      <w:r w:rsidRPr="00981405">
        <w:t>special</w:t>
      </w:r>
      <w:r w:rsidR="00190923" w:rsidRPr="00981405">
        <w:t xml:space="preserve"> </w:t>
      </w:r>
      <w:r w:rsidRPr="00981405">
        <w:t>attention</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paid</w:t>
      </w:r>
      <w:r w:rsidR="00190923" w:rsidRPr="00981405">
        <w:t xml:space="preserve"> </w:t>
      </w:r>
      <w:r w:rsidRPr="00981405">
        <w:t>to</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acquiescence</w:t>
      </w:r>
      <w:r w:rsidR="00190923" w:rsidRPr="00981405">
        <w:t xml:space="preserve"> </w:t>
      </w:r>
      <w:r w:rsidRPr="00981405">
        <w:t>for</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According</w:t>
      </w:r>
      <w:r w:rsidR="00190923" w:rsidRPr="00981405">
        <w:t xml:space="preserve"> </w:t>
      </w:r>
      <w:r w:rsidRPr="00981405">
        <w:t>to</w:t>
      </w:r>
      <w:r w:rsidR="00190923" w:rsidRPr="00981405">
        <w:t xml:space="preserve"> </w:t>
      </w:r>
      <w:r w:rsidRPr="00981405">
        <w:t>some</w:t>
      </w:r>
      <w:r w:rsidR="00190923" w:rsidRPr="00981405">
        <w:t xml:space="preserve"> </w:t>
      </w:r>
      <w:r w:rsidRPr="00981405">
        <w:t>members,</w:t>
      </w:r>
      <w:r w:rsidR="00190923" w:rsidRPr="00981405">
        <w:t xml:space="preserve"> </w:t>
      </w:r>
      <w:r w:rsidRPr="00981405">
        <w:t>it</w:t>
      </w:r>
      <w:r w:rsidR="00190923" w:rsidRPr="00981405">
        <w:t xml:space="preserve"> </w:t>
      </w:r>
      <w:r w:rsidRPr="00981405">
        <w:t>followed</w:t>
      </w:r>
      <w:r w:rsidR="00190923" w:rsidRPr="00981405">
        <w:t xml:space="preserve"> </w:t>
      </w:r>
      <w:r w:rsidRPr="00981405">
        <w:t>that</w:t>
      </w:r>
      <w:r w:rsidR="00190923" w:rsidRPr="00981405">
        <w:t xml:space="preserve"> </w:t>
      </w:r>
      <w:r w:rsidRPr="00981405">
        <w:t>a</w:t>
      </w:r>
      <w:r w:rsidR="00190923" w:rsidRPr="00981405">
        <w:t xml:space="preserve"> </w:t>
      </w:r>
      <w:r w:rsidRPr="00981405">
        <w:t>stricter</w:t>
      </w:r>
      <w:r w:rsidR="00190923" w:rsidRPr="00981405">
        <w:t xml:space="preserve"> </w:t>
      </w:r>
      <w:r w:rsidRPr="00981405">
        <w:t>standard</w:t>
      </w:r>
      <w:r w:rsidR="00190923" w:rsidRPr="00981405">
        <w:t xml:space="preserve"> </w:t>
      </w:r>
      <w:r w:rsidRPr="00981405">
        <w:t>existed</w:t>
      </w:r>
      <w:r w:rsidR="00190923" w:rsidRPr="00981405">
        <w:t xml:space="preserve"> </w:t>
      </w:r>
      <w:r w:rsidRPr="00981405">
        <w:t>for</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than</w:t>
      </w:r>
      <w:r w:rsidR="00190923" w:rsidRPr="00981405">
        <w:t xml:space="preserve"> </w:t>
      </w:r>
      <w:r w:rsidRPr="00981405">
        <w:t>for</w:t>
      </w:r>
      <w:r w:rsidR="00190923" w:rsidRPr="00981405">
        <w:t xml:space="preserve"> </w:t>
      </w:r>
      <w:r w:rsidRPr="00981405">
        <w:t>general</w:t>
      </w:r>
      <w:r w:rsidR="00190923" w:rsidRPr="00981405">
        <w:t xml:space="preserve"> </w:t>
      </w:r>
      <w:r w:rsidRPr="00981405">
        <w:t>or</w:t>
      </w:r>
      <w:r w:rsidR="00190923" w:rsidRPr="00981405">
        <w:t xml:space="preserve"> </w:t>
      </w:r>
      <w:r w:rsidRPr="00981405">
        <w:t>universal</w:t>
      </w:r>
      <w:r w:rsidR="00190923" w:rsidRPr="00981405">
        <w:t xml:space="preserve"> </w:t>
      </w:r>
      <w:r w:rsidRPr="00981405">
        <w:t>custom.</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however,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all</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were</w:t>
      </w:r>
      <w:r w:rsidR="00190923" w:rsidRPr="00981405">
        <w:t xml:space="preserve"> </w:t>
      </w: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981405">
        <w:t>same</w:t>
      </w:r>
      <w:r w:rsidR="00190923" w:rsidRPr="00981405">
        <w:t xml:space="preserve"> </w:t>
      </w:r>
      <w:r w:rsidRPr="00981405">
        <w:t>conditions.</w:t>
      </w:r>
      <w:r w:rsidR="00190923" w:rsidRPr="00981405">
        <w:t xml:space="preserve"> </w:t>
      </w:r>
      <w:r w:rsidRPr="00981405">
        <w:t>A</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by</w:t>
      </w:r>
      <w:r w:rsidR="00190923" w:rsidRPr="00981405">
        <w:t xml:space="preserve"> </w:t>
      </w:r>
      <w:r w:rsidRPr="00981405">
        <w:t>envisaging</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among</w:t>
      </w:r>
      <w:r w:rsidR="00190923" w:rsidRPr="00981405">
        <w:t xml:space="preserve"> </w:t>
      </w:r>
      <w:r w:rsidRPr="00981405">
        <w:t>a</w:t>
      </w:r>
      <w:r w:rsidR="00190923" w:rsidRPr="00981405">
        <w:t xml:space="preserve"> </w:t>
      </w:r>
      <w:r w:rsidRPr="00981405">
        <w:t>widely</w:t>
      </w:r>
      <w:r w:rsidR="00190923" w:rsidRPr="00981405">
        <w:t xml:space="preserve"> </w:t>
      </w:r>
      <w:r w:rsidRPr="00981405">
        <w:t>dispersed</w:t>
      </w:r>
      <w:r w:rsidR="00190923" w:rsidRPr="00981405">
        <w:t xml:space="preserve"> </w:t>
      </w:r>
      <w:r w:rsidRPr="00981405">
        <w:t>group</w:t>
      </w:r>
      <w:r w:rsidR="00190923" w:rsidRPr="00981405">
        <w:t xml:space="preserve"> </w:t>
      </w:r>
      <w:r w:rsidRPr="00981405">
        <w:t>of</w:t>
      </w:r>
      <w:r w:rsidR="00190923" w:rsidRPr="00981405">
        <w:t xml:space="preserve"> </w:t>
      </w:r>
      <w:r w:rsidRPr="00981405">
        <w:t>States</w:t>
      </w:r>
      <w:r w:rsidR="00190923" w:rsidRPr="00981405">
        <w:t xml:space="preserve"> </w:t>
      </w:r>
      <w:r w:rsidRPr="00981405">
        <w:t>having</w:t>
      </w:r>
      <w:r w:rsidR="00190923" w:rsidRPr="00981405">
        <w:t xml:space="preserve"> </w:t>
      </w:r>
      <w:r w:rsidRPr="00981405">
        <w:t>no</w:t>
      </w:r>
      <w:r w:rsidR="00190923" w:rsidRPr="00981405">
        <w:t xml:space="preserve"> </w:t>
      </w:r>
      <w:r w:rsidRPr="00981405">
        <w:t>geographical</w:t>
      </w:r>
      <w:r w:rsidR="00190923" w:rsidRPr="00981405">
        <w:t xml:space="preserve"> </w:t>
      </w:r>
      <w:r w:rsidRPr="00981405">
        <w:t>nexus,</w:t>
      </w:r>
      <w:r w:rsidR="00190923" w:rsidRPr="00981405">
        <w:t xml:space="preserve"> </w:t>
      </w:r>
      <w:r w:rsidRPr="00981405">
        <w:t>the</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invited</w:t>
      </w:r>
      <w:r w:rsidR="00190923" w:rsidRPr="00981405">
        <w:t xml:space="preserve"> </w:t>
      </w:r>
      <w:r w:rsidRPr="00981405">
        <w:t>confusing</w:t>
      </w:r>
      <w:r w:rsidR="00190923" w:rsidRPr="00981405">
        <w:t xml:space="preserve"> </w:t>
      </w:r>
      <w:r w:rsidRPr="00981405">
        <w:t>claims</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such</w:t>
      </w:r>
      <w:r w:rsidR="00190923" w:rsidRPr="00981405">
        <w:t xml:space="preserve"> </w:t>
      </w:r>
      <w:r w:rsidRPr="00981405">
        <w:t>custom</w:t>
      </w:r>
      <w:r w:rsidR="00190923" w:rsidRPr="00981405">
        <w:t xml:space="preserve"> </w:t>
      </w:r>
      <w:r w:rsidRPr="00981405">
        <w:t>and</w:t>
      </w:r>
      <w:r w:rsidR="00190923" w:rsidRPr="00981405">
        <w:t xml:space="preserve"> </w:t>
      </w:r>
      <w:r w:rsidRPr="00981405">
        <w:t>risked</w:t>
      </w:r>
      <w:r w:rsidR="00190923" w:rsidRPr="00981405">
        <w:t xml:space="preserve"> </w:t>
      </w:r>
      <w:r w:rsidRPr="00981405">
        <w:t>fragmenting</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without</w:t>
      </w:r>
      <w:r w:rsidR="00190923" w:rsidRPr="00981405">
        <w:t xml:space="preserve"> </w:t>
      </w:r>
      <w:r w:rsidRPr="00981405">
        <w:t>any</w:t>
      </w:r>
      <w:r w:rsidR="00190923" w:rsidRPr="00981405">
        <w:t xml:space="preserve"> </w:t>
      </w:r>
      <w:r w:rsidRPr="00981405">
        <w:t>basis</w:t>
      </w:r>
      <w:r w:rsidR="00190923" w:rsidRPr="00981405">
        <w:t xml:space="preserve"> </w:t>
      </w:r>
      <w:r w:rsidRPr="00981405">
        <w:t>in</w:t>
      </w:r>
      <w:r w:rsidR="00190923" w:rsidRPr="00981405">
        <w:t xml:space="preserve"> </w:t>
      </w:r>
      <w:r w:rsidRPr="00981405">
        <w:t>practice.</w:t>
      </w:r>
    </w:p>
    <w:p w:rsidR="00397032" w:rsidRPr="00D97463" w:rsidRDefault="00397032" w:rsidP="00D97463">
      <w:pPr>
        <w:pStyle w:val="SingleTxt"/>
        <w:keepNext/>
        <w:keepLines/>
        <w:spacing w:after="0" w:line="120" w:lineRule="exact"/>
        <w:rPr>
          <w:sz w:val="10"/>
        </w:rPr>
      </w:pPr>
    </w:p>
    <w:p w:rsidR="00397032" w:rsidRPr="00D97463" w:rsidRDefault="00397032" w:rsidP="00D97463">
      <w:pPr>
        <w:pStyle w:val="H23"/>
        <w:ind w:right="1260"/>
      </w:pPr>
      <w:r w:rsidRPr="00D97463">
        <w:tab/>
      </w:r>
      <w:bookmarkStart w:id="47" w:name="_Toc427938108"/>
      <w:r w:rsidRPr="00D97463">
        <w:t>(h)</w:t>
      </w:r>
      <w:r w:rsidRPr="00D97463">
        <w:tab/>
        <w:t>Persistent</w:t>
      </w:r>
      <w:r w:rsidR="00190923" w:rsidRPr="00D97463">
        <w:t xml:space="preserve"> </w:t>
      </w:r>
      <w:r w:rsidRPr="00D97463">
        <w:t>objector</w:t>
      </w:r>
      <w:bookmarkEnd w:id="4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93.</w:t>
      </w:r>
      <w:r w:rsidRPr="00981405">
        <w:tab/>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rule</w:t>
      </w:r>
      <w:r w:rsidR="00190923" w:rsidRPr="00981405">
        <w:t xml:space="preserve"> </w:t>
      </w:r>
      <w:r w:rsidRPr="00981405">
        <w:t>was</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wide-ranging</w:t>
      </w:r>
      <w:r w:rsidR="00190923" w:rsidRPr="00981405">
        <w:t xml:space="preserve"> </w:t>
      </w:r>
      <w:r w:rsidRPr="00981405">
        <w:t>debate.</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rule</w:t>
      </w:r>
      <w:r w:rsidR="00190923" w:rsidRPr="00981405">
        <w:t xml:space="preserve"> </w:t>
      </w:r>
      <w:r w:rsidRPr="00981405">
        <w:t>in</w:t>
      </w:r>
      <w:r w:rsidR="00190923" w:rsidRPr="00981405">
        <w:t xml:space="preserve"> </w:t>
      </w:r>
      <w:r w:rsidRPr="00981405">
        <w:t>the</w:t>
      </w:r>
      <w:r w:rsidR="00190923" w:rsidRPr="00981405">
        <w:t xml:space="preserve"> </w:t>
      </w:r>
      <w:r w:rsidRPr="00981405">
        <w:t>set</w:t>
      </w:r>
      <w:r w:rsidR="00190923" w:rsidRPr="00981405">
        <w:t xml:space="preserve"> </w:t>
      </w:r>
      <w:r w:rsidRPr="00981405">
        <w:t>of</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while</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a</w:t>
      </w:r>
      <w:r w:rsidR="00190923" w:rsidRPr="00981405">
        <w:t xml:space="preserve"> </w:t>
      </w:r>
      <w:r w:rsidRPr="00981405">
        <w:t>controversial</w:t>
      </w:r>
      <w:r w:rsidR="00190923" w:rsidRPr="00981405">
        <w:t xml:space="preserve"> </w:t>
      </w:r>
      <w:r w:rsidRPr="00981405">
        <w:t>theory</w:t>
      </w:r>
      <w:r w:rsidR="00190923" w:rsidRPr="00981405">
        <w:t xml:space="preserve"> </w:t>
      </w:r>
      <w:r w:rsidRPr="00981405">
        <w:t>not</w:t>
      </w:r>
      <w:r w:rsidR="00190923" w:rsidRPr="00981405">
        <w:t xml:space="preserve"> </w:t>
      </w:r>
      <w:r w:rsidRPr="00981405">
        <w:t>supported</w:t>
      </w:r>
      <w:r w:rsidR="00190923" w:rsidRPr="00981405">
        <w:t xml:space="preserve"> </w:t>
      </w:r>
      <w:r w:rsidRPr="00981405">
        <w:t>by</w:t>
      </w:r>
      <w:r w:rsidR="00190923" w:rsidRPr="00981405">
        <w:t xml:space="preserve"> </w:t>
      </w:r>
      <w:r w:rsidRPr="00981405">
        <w:t>sufficient</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and</w:t>
      </w:r>
      <w:r w:rsidR="00190923" w:rsidRPr="00981405">
        <w:t xml:space="preserve"> </w:t>
      </w:r>
      <w:r w:rsidRPr="00981405">
        <w:t>jurisprudence,</w:t>
      </w:r>
      <w:r w:rsidR="00190923" w:rsidRPr="00981405">
        <w:t xml:space="preserve"> </w:t>
      </w:r>
      <w:r w:rsidRPr="00981405">
        <w:t>and</w:t>
      </w:r>
      <w:r w:rsidR="00190923" w:rsidRPr="00981405">
        <w:t xml:space="preserve"> </w:t>
      </w:r>
      <w:r w:rsidRPr="00981405">
        <w:t>which</w:t>
      </w:r>
      <w:r w:rsidR="00190923" w:rsidRPr="00981405">
        <w:t xml:space="preserve"> </w:t>
      </w:r>
      <w:r w:rsidRPr="00981405">
        <w:t>could</w:t>
      </w:r>
      <w:r w:rsidR="00190923" w:rsidRPr="00981405">
        <w:t xml:space="preserve"> </w:t>
      </w:r>
      <w:r w:rsidRPr="00981405">
        <w:t>lead</w:t>
      </w:r>
      <w:r w:rsidR="00190923" w:rsidRPr="00981405">
        <w:t xml:space="preserve"> </w:t>
      </w:r>
      <w:r w:rsidRPr="00981405">
        <w:t>to</w:t>
      </w:r>
      <w:r w:rsidR="00190923" w:rsidRPr="00981405">
        <w:t xml:space="preserve"> </w:t>
      </w:r>
      <w:r w:rsidRPr="00981405">
        <w:t>the</w:t>
      </w:r>
      <w:r w:rsidR="00190923" w:rsidRPr="00981405">
        <w:t xml:space="preserve"> </w:t>
      </w:r>
      <w:r w:rsidRPr="00981405">
        <w:t>fragmentation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concrete</w:t>
      </w:r>
      <w:r w:rsidR="00190923" w:rsidRPr="00981405">
        <w:t xml:space="preserve"> </w:t>
      </w:r>
      <w:r w:rsidRPr="00981405">
        <w:t>examples</w:t>
      </w:r>
      <w:r w:rsidR="00190923" w:rsidRPr="00981405">
        <w:t xml:space="preserve"> </w:t>
      </w:r>
      <w:r w:rsidRPr="00981405">
        <w:t>be</w:t>
      </w:r>
      <w:r w:rsidR="00190923" w:rsidRPr="00981405">
        <w:t xml:space="preserve"> </w:t>
      </w:r>
      <w:r w:rsidRPr="00981405">
        <w:t>provided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to</w:t>
      </w:r>
      <w:r w:rsidR="00190923" w:rsidRPr="00981405">
        <w:t xml:space="preserve"> </w:t>
      </w:r>
      <w:r w:rsidRPr="00981405">
        <w:t>substantiate</w:t>
      </w:r>
      <w:r w:rsidR="00190923" w:rsidRPr="00981405">
        <w:t xml:space="preserve"> </w:t>
      </w:r>
      <w:r w:rsidRPr="00981405">
        <w:t>the</w:t>
      </w:r>
      <w:r w:rsidR="00190923" w:rsidRPr="00981405">
        <w:t xml:space="preserve"> </w:t>
      </w:r>
      <w:r w:rsidRPr="00981405">
        <w:t>rule,</w:t>
      </w:r>
      <w:r w:rsidR="00190923" w:rsidRPr="00981405">
        <w:t xml:space="preserve"> </w:t>
      </w:r>
      <w:r w:rsidRPr="00981405">
        <w:t>which</w:t>
      </w:r>
      <w:r w:rsidR="00190923" w:rsidRPr="00981405">
        <w:t xml:space="preserve"> </w:t>
      </w:r>
      <w:r w:rsidRPr="00981405">
        <w:t>was,</w:t>
      </w:r>
      <w:r w:rsidR="00190923" w:rsidRPr="00981405">
        <w:t xml:space="preserve"> </w:t>
      </w:r>
      <w:r w:rsidRPr="00981405">
        <w:t>according</w:t>
      </w:r>
      <w:r w:rsidR="00190923" w:rsidRPr="00981405">
        <w:t xml:space="preserve"> </w:t>
      </w:r>
      <w:r w:rsidRPr="00981405">
        <w:t>to</w:t>
      </w:r>
      <w:r w:rsidR="00190923" w:rsidRPr="00981405">
        <w:t xml:space="preserve"> </w:t>
      </w:r>
      <w:r w:rsidRPr="00981405">
        <w:t>some</w:t>
      </w:r>
      <w:r w:rsidR="00190923" w:rsidRPr="00981405">
        <w:t xml:space="preserve"> </w:t>
      </w:r>
      <w:r w:rsidRPr="00981405">
        <w:t>members,</w:t>
      </w:r>
      <w:r w:rsidR="00190923" w:rsidRPr="00981405">
        <w:t xml:space="preserve"> </w:t>
      </w:r>
      <w:r w:rsidRPr="00981405">
        <w:t>largely</w:t>
      </w:r>
      <w:r w:rsidR="00190923" w:rsidRPr="00981405">
        <w:t xml:space="preserve"> </w:t>
      </w:r>
      <w:r w:rsidRPr="00981405">
        <w:t>accepted</w:t>
      </w:r>
      <w:r w:rsidR="00190923" w:rsidRPr="00981405">
        <w:t xml:space="preserve"> </w:t>
      </w:r>
      <w:r w:rsidRPr="00981405">
        <w:t>in</w:t>
      </w:r>
      <w:r w:rsidR="00190923" w:rsidRPr="00981405">
        <w:t xml:space="preserve"> </w:t>
      </w:r>
      <w:r w:rsidRPr="00981405">
        <w:t>the</w:t>
      </w:r>
      <w:r w:rsidR="00190923" w:rsidRPr="00981405">
        <w:t xml:space="preserve"> </w:t>
      </w:r>
      <w:r w:rsidRPr="00981405">
        <w:t>literature.</w:t>
      </w:r>
    </w:p>
    <w:p w:rsidR="00397032" w:rsidRPr="00981405" w:rsidRDefault="00397032" w:rsidP="00D97463">
      <w:pPr>
        <w:pStyle w:val="SingleTxt"/>
      </w:pPr>
      <w:r w:rsidRPr="00981405">
        <w:t>94.</w:t>
      </w:r>
      <w:r w:rsidRPr="00981405">
        <w:tab/>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discussed</w:t>
      </w:r>
      <w:r w:rsidR="00190923" w:rsidRPr="00981405">
        <w:t xml:space="preserve"> </w:t>
      </w:r>
      <w:r w:rsidRPr="00981405">
        <w:t>extensively</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of</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rule,</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its</w:t>
      </w:r>
      <w:r w:rsidR="00190923" w:rsidRPr="00981405">
        <w:t xml:space="preserve"> </w:t>
      </w:r>
      <w:r w:rsidRPr="00981405">
        <w:t>consequences.</w:t>
      </w:r>
      <w:r w:rsidR="00190923" w:rsidRPr="00981405">
        <w:t xml:space="preserve"> </w:t>
      </w:r>
      <w:r w:rsidRPr="00981405">
        <w:t>Some</w:t>
      </w:r>
      <w:r w:rsidR="00190923" w:rsidRPr="00981405">
        <w:t xml:space="preserve"> </w:t>
      </w:r>
      <w:r w:rsidRPr="00981405">
        <w:t>members</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in</w:t>
      </w:r>
      <w:r w:rsidR="00190923" w:rsidRPr="00981405">
        <w:t xml:space="preserve"> </w:t>
      </w:r>
      <w:r w:rsidRPr="00981405">
        <w:t>any</w:t>
      </w:r>
      <w:r w:rsidR="00190923" w:rsidRPr="00981405">
        <w:t xml:space="preserve"> </w:t>
      </w:r>
      <w:r w:rsidRPr="00981405">
        <w:t>case,</w:t>
      </w:r>
      <w:r w:rsidR="00190923" w:rsidRPr="00981405">
        <w:t xml:space="preserve"> </w:t>
      </w:r>
      <w:r w:rsidRPr="00981405">
        <w:t>even</w:t>
      </w:r>
      <w:r w:rsidR="00190923" w:rsidRPr="00981405">
        <w:t xml:space="preserve"> </w:t>
      </w:r>
      <w:r w:rsidRPr="00981405">
        <w:t>if</w:t>
      </w:r>
      <w:r w:rsidR="00190923" w:rsidRPr="00981405">
        <w:t xml:space="preserve"> </w:t>
      </w:r>
      <w:r w:rsidRPr="00981405">
        <w:t>such</w:t>
      </w:r>
      <w:r w:rsidR="00190923" w:rsidRPr="00981405">
        <w:t xml:space="preserve"> </w:t>
      </w:r>
      <w:r w:rsidRPr="00981405">
        <w:t>a</w:t>
      </w:r>
      <w:r w:rsidR="00190923" w:rsidRPr="00981405">
        <w:t xml:space="preserve"> </w:t>
      </w:r>
      <w:r w:rsidRPr="00981405">
        <w:t>rule</w:t>
      </w:r>
      <w:r w:rsidR="00190923" w:rsidRPr="00981405">
        <w:t xml:space="preserve"> </w:t>
      </w:r>
      <w:r w:rsidRPr="00981405">
        <w:t>existed,</w:t>
      </w:r>
      <w:r w:rsidR="00190923" w:rsidRPr="00981405">
        <w:t xml:space="preserve"> </w:t>
      </w:r>
      <w:r w:rsidRPr="00981405">
        <w:t>it</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applicable</w:t>
      </w:r>
      <w:r w:rsidR="00190923" w:rsidRPr="00981405">
        <w:t xml:space="preserve"> </w:t>
      </w:r>
      <w:r w:rsidRPr="00981405">
        <w:t>to</w:t>
      </w:r>
      <w:r w:rsidR="00190923" w:rsidRPr="00981405">
        <w:t xml:space="preserve"> </w:t>
      </w:r>
      <w:r w:rsidRPr="00981405">
        <w:t>obligations</w:t>
      </w:r>
      <w:r w:rsidR="00190923" w:rsidRPr="00981405">
        <w:t xml:space="preserve"> </w:t>
      </w:r>
      <w:r w:rsidR="00BF1D0D" w:rsidRPr="00981405">
        <w:rPr>
          <w:i/>
          <w:iCs/>
        </w:rPr>
        <w:t>erga</w:t>
      </w:r>
      <w:r w:rsidR="00190923" w:rsidRPr="00981405">
        <w:rPr>
          <w:i/>
          <w:iCs/>
        </w:rPr>
        <w:t xml:space="preserve"> </w:t>
      </w:r>
      <w:r w:rsidR="00BF1D0D" w:rsidRPr="00981405">
        <w:rPr>
          <w:i/>
          <w:iCs/>
        </w:rPr>
        <w:t>omnes</w:t>
      </w:r>
      <w:r w:rsidR="00190923" w:rsidRPr="00981405">
        <w:rPr>
          <w:i/>
          <w:iCs/>
        </w:rPr>
        <w:t xml:space="preserve"> </w:t>
      </w:r>
      <w:r w:rsidRPr="00981405">
        <w:t>or</w:t>
      </w:r>
      <w:r w:rsidR="00190923" w:rsidRPr="00981405">
        <w:t xml:space="preserve"> </w:t>
      </w:r>
      <w:r w:rsidRPr="00981405">
        <w:t>rules</w:t>
      </w:r>
      <w:r w:rsidR="00190923" w:rsidRPr="00981405">
        <w:t xml:space="preserve"> </w:t>
      </w:r>
      <w:r w:rsidRPr="00981405">
        <w:t>having</w:t>
      </w:r>
      <w:r w:rsidR="00190923" w:rsidRPr="00981405">
        <w:t xml:space="preserve"> </w:t>
      </w:r>
      <w:r w:rsidRPr="00981405">
        <w:t>a</w:t>
      </w:r>
      <w:r w:rsidR="00190923" w:rsidRPr="00981405">
        <w:t xml:space="preserve"> </w:t>
      </w:r>
      <w:r w:rsidRPr="00981405">
        <w:t>peremptory</w:t>
      </w:r>
      <w:r w:rsidR="00190923" w:rsidRPr="00981405">
        <w:t xml:space="preserve"> </w:t>
      </w:r>
      <w:r w:rsidRPr="00981405">
        <w:t>character</w:t>
      </w:r>
      <w:r w:rsidR="00190923" w:rsidRPr="00981405">
        <w:t xml:space="preserve"> </w:t>
      </w:r>
      <w:r w:rsidRPr="00981405">
        <w:t>(</w:t>
      </w:r>
      <w:r w:rsidRPr="00981405">
        <w:rPr>
          <w:i/>
          <w:iCs/>
        </w:rPr>
        <w:t>jus</w:t>
      </w:r>
      <w:r w:rsidR="00190923" w:rsidRPr="00981405">
        <w:rPr>
          <w:i/>
          <w:iCs/>
        </w:rPr>
        <w:t xml:space="preserve"> </w:t>
      </w:r>
      <w:r w:rsidRPr="00981405">
        <w:rPr>
          <w:i/>
          <w:iCs/>
        </w:rPr>
        <w:t>cogens</w:t>
      </w:r>
      <w:r w:rsidRPr="00981405">
        <w:t>).</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8" w:name="_Toc427938109"/>
      <w:r w:rsidRPr="00D97463">
        <w:t>(i)</w:t>
      </w:r>
      <w:r w:rsidRPr="00D97463">
        <w:tab/>
        <w:t>Future</w:t>
      </w:r>
      <w:r w:rsidR="00190923" w:rsidRPr="00D97463">
        <w:t xml:space="preserve"> </w:t>
      </w:r>
      <w:r w:rsidRPr="00D97463">
        <w:t>programme</w:t>
      </w:r>
      <w:r w:rsidR="00190923" w:rsidRPr="00D97463">
        <w:t xml:space="preserve"> </w:t>
      </w:r>
      <w:r w:rsidRPr="00D97463">
        <w:t>of</w:t>
      </w:r>
      <w:r w:rsidR="00190923" w:rsidRPr="00D97463">
        <w:t xml:space="preserve"> </w:t>
      </w:r>
      <w:r w:rsidRPr="00D97463">
        <w:t>work</w:t>
      </w:r>
      <w:bookmarkEnd w:id="48"/>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95.</w:t>
      </w:r>
      <w:r w:rsidRPr="00981405">
        <w:tab/>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future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the</w:t>
      </w:r>
      <w:r w:rsidR="00190923" w:rsidRPr="00981405">
        <w:t xml:space="preserve"> </w:t>
      </w:r>
      <w:r w:rsidRPr="00981405">
        <w:t>suggestion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examine</w:t>
      </w:r>
      <w:r w:rsidR="00190923" w:rsidRPr="00981405">
        <w:t xml:space="preserve"> </w:t>
      </w:r>
      <w:r w:rsidRPr="00981405">
        <w:t>practical</w:t>
      </w:r>
      <w:r w:rsidR="00190923" w:rsidRPr="00981405">
        <w:t xml:space="preserve"> </w:t>
      </w:r>
      <w:r w:rsidRPr="00981405">
        <w:t>means</w:t>
      </w:r>
      <w:r w:rsidR="00190923" w:rsidRPr="00981405">
        <w:t xml:space="preserve"> </w:t>
      </w:r>
      <w:r w:rsidRPr="00981405">
        <w:t>of</w:t>
      </w:r>
      <w:r w:rsidR="00190923" w:rsidRPr="00981405">
        <w:t xml:space="preserve"> </w:t>
      </w:r>
      <w:r w:rsidRPr="00981405">
        <w:t>enhancing</w:t>
      </w:r>
      <w:r w:rsidR="00190923" w:rsidRPr="00981405">
        <w:t xml:space="preserve"> </w:t>
      </w:r>
      <w:r w:rsidRPr="00981405">
        <w:t>the</w:t>
      </w:r>
      <w:r w:rsidR="00190923" w:rsidRPr="00981405">
        <w:t xml:space="preserve"> </w:t>
      </w:r>
      <w:r w:rsidRPr="00981405">
        <w:t>availability</w:t>
      </w:r>
      <w:r w:rsidR="00190923" w:rsidRPr="00981405">
        <w:t xml:space="preserve"> </w:t>
      </w:r>
      <w:r w:rsidRPr="00981405">
        <w:t>of</w:t>
      </w:r>
      <w:r w:rsidR="00190923" w:rsidRPr="00981405">
        <w:t xml:space="preserve"> </w:t>
      </w:r>
      <w:r w:rsidRPr="00981405">
        <w:t>materials</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which</w:t>
      </w:r>
      <w:r w:rsidR="00190923" w:rsidRPr="00981405">
        <w:t xml:space="preserve"> </w:t>
      </w:r>
      <w:r w:rsidRPr="00981405">
        <w:t>a</w:t>
      </w:r>
      <w:r w:rsidR="00190923" w:rsidRPr="00981405">
        <w:t xml:space="preserve"> </w:t>
      </w:r>
      <w:r w:rsidRPr="00981405">
        <w:t>general</w:t>
      </w:r>
      <w:r w:rsidR="00190923" w:rsidRPr="00981405">
        <w:t xml:space="preserve"> </w:t>
      </w:r>
      <w:r w:rsidRPr="00981405">
        <w:t>practice</w:t>
      </w:r>
      <w:r w:rsidR="00190923" w:rsidRPr="00981405">
        <w:t xml:space="preserve"> </w:t>
      </w:r>
      <w:r w:rsidRPr="00981405">
        <w:t>and</w:t>
      </w:r>
      <w:r w:rsidR="00190923" w:rsidRPr="00981405">
        <w:t xml:space="preserve"> </w:t>
      </w:r>
      <w:r w:rsidRPr="00981405">
        <w:t>acceptance</w:t>
      </w:r>
      <w:r w:rsidR="00190923" w:rsidRPr="00981405">
        <w:t xml:space="preserve"> </w:t>
      </w:r>
      <w:r w:rsidRPr="00981405">
        <w:t>as</w:t>
      </w:r>
      <w:r w:rsidR="00190923" w:rsidRPr="00981405">
        <w:t xml:space="preserve"> </w:t>
      </w:r>
      <w:r w:rsidRPr="00981405">
        <w:t>law</w:t>
      </w:r>
      <w:r w:rsidR="00190923" w:rsidRPr="00981405">
        <w:t xml:space="preserve"> </w:t>
      </w:r>
      <w:r w:rsidRPr="00981405">
        <w:t>may</w:t>
      </w:r>
      <w:r w:rsidR="00190923" w:rsidRPr="00981405">
        <w:t xml:space="preserve"> </w:t>
      </w:r>
      <w:r w:rsidRPr="00981405">
        <w:t>be</w:t>
      </w:r>
      <w:r w:rsidR="00190923" w:rsidRPr="00981405">
        <w:t xml:space="preserve"> </w:t>
      </w:r>
      <w:r w:rsidRPr="00981405">
        <w:t>determined</w:t>
      </w:r>
      <w:r w:rsidR="00190923" w:rsidRPr="00981405">
        <w:t xml:space="preserve"> </w:t>
      </w:r>
      <w:r w:rsidRPr="00981405">
        <w:t>was</w:t>
      </w:r>
      <w:r w:rsidR="00190923" w:rsidRPr="00981405">
        <w:t xml:space="preserve"> </w:t>
      </w:r>
      <w:r w:rsidRPr="00981405">
        <w:t>welcomed.</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study</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change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over</w:t>
      </w:r>
      <w:r w:rsidR="00190923" w:rsidRPr="00981405">
        <w:t xml:space="preserve"> </w:t>
      </w:r>
      <w:r w:rsidRPr="00981405">
        <w:t>time,</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related</w:t>
      </w:r>
      <w:r w:rsidR="00190923" w:rsidRPr="00981405">
        <w:t xml:space="preserve"> </w:t>
      </w:r>
      <w:r w:rsidRPr="00981405">
        <w:t>issues.</w:t>
      </w:r>
    </w:p>
    <w:p w:rsidR="00397032" w:rsidRPr="00981405" w:rsidRDefault="00397032" w:rsidP="00D97463">
      <w:pPr>
        <w:pStyle w:val="SingleTxt"/>
      </w:pPr>
      <w:r w:rsidRPr="00981405">
        <w:t>96.</w:t>
      </w:r>
      <w:r w:rsidRPr="00981405">
        <w:tab/>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sufficient</w:t>
      </w:r>
      <w:r w:rsidR="00190923" w:rsidRPr="00981405">
        <w:t xml:space="preserve"> </w:t>
      </w:r>
      <w:r w:rsidRPr="00981405">
        <w:t>time</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allocated</w:t>
      </w:r>
      <w:r w:rsidR="00190923" w:rsidRPr="00981405">
        <w:t xml:space="preserve"> </w:t>
      </w:r>
      <w:r w:rsidRPr="00981405">
        <w:t>for</w:t>
      </w:r>
      <w:r w:rsidR="00190923" w:rsidRPr="00981405">
        <w:t xml:space="preserve"> </w:t>
      </w:r>
      <w:r w:rsidRPr="00981405">
        <w:t>the</w:t>
      </w:r>
      <w:r w:rsidR="00190923" w:rsidRPr="00981405">
        <w:t xml:space="preserve"> </w:t>
      </w:r>
      <w:r w:rsidRPr="00981405">
        <w:t>completion</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that</w:t>
      </w:r>
      <w:r w:rsidR="00190923" w:rsidRPr="00981405">
        <w:t xml:space="preserve"> </w:t>
      </w:r>
      <w:r w:rsidRPr="00981405">
        <w:t>progress</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made</w:t>
      </w:r>
      <w:r w:rsidR="00190923" w:rsidRPr="00981405">
        <w:t xml:space="preserve"> </w:t>
      </w:r>
      <w:r w:rsidRPr="00981405">
        <w:t>at</w:t>
      </w:r>
      <w:r w:rsidR="00190923" w:rsidRPr="00981405">
        <w:t xml:space="preserve"> </w:t>
      </w:r>
      <w:r w:rsidRPr="00981405">
        <w:t>the</w:t>
      </w:r>
      <w:r w:rsidR="00190923" w:rsidRPr="00981405">
        <w:t xml:space="preserve"> </w:t>
      </w:r>
      <w:r w:rsidRPr="00981405">
        <w:t>expense</w:t>
      </w:r>
      <w:r w:rsidR="00190923" w:rsidRPr="00981405">
        <w:t xml:space="preserve"> </w:t>
      </w:r>
      <w:r w:rsidRPr="00981405">
        <w:t>of</w:t>
      </w:r>
      <w:r w:rsidR="00190923" w:rsidRPr="00981405">
        <w:t xml:space="preserve"> </w:t>
      </w:r>
      <w:r w:rsidRPr="00981405">
        <w:t>quality.</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49" w:name="_Toc427938110"/>
      <w:r w:rsidRPr="00D97463">
        <w:t>3.</w:t>
      </w:r>
      <w:r w:rsidRPr="00D97463">
        <w:tab/>
        <w:t>Concluding</w:t>
      </w:r>
      <w:r w:rsidR="00190923" w:rsidRPr="00D97463">
        <w:t xml:space="preserve"> </w:t>
      </w:r>
      <w:r w:rsidRPr="00D97463">
        <w:t>remarks</w:t>
      </w:r>
      <w:r w:rsidR="00190923" w:rsidRPr="00D97463">
        <w:t xml:space="preserve"> </w:t>
      </w:r>
      <w:r w:rsidRPr="00D97463">
        <w:t>of</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bookmarkEnd w:id="49"/>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97.</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emphasized</w:t>
      </w:r>
      <w:r w:rsidR="00190923" w:rsidRPr="00981405">
        <w:t xml:space="preserve"> </w:t>
      </w:r>
      <w:r w:rsidRPr="00981405">
        <w:t>that</w:t>
      </w:r>
      <w:r w:rsidR="00190923" w:rsidRPr="00981405">
        <w:t xml:space="preserve"> </w:t>
      </w:r>
      <w:r w:rsidRPr="00981405">
        <w:t>the</w:t>
      </w:r>
      <w:r w:rsidR="00190923" w:rsidRPr="00981405">
        <w:t xml:space="preserve"> </w:t>
      </w:r>
      <w:r w:rsidRPr="00981405">
        <w:t>aim</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Pr="00981405">
        <w:t>to</w:t>
      </w:r>
      <w:r w:rsidR="00190923" w:rsidRPr="00981405">
        <w:t xml:space="preserve"> </w:t>
      </w:r>
      <w:r w:rsidRPr="00981405">
        <w:t>assist</w:t>
      </w:r>
      <w:r w:rsidR="00190923" w:rsidRPr="00981405">
        <w:t xml:space="preserve"> </w:t>
      </w:r>
      <w:r w:rsidRPr="00981405">
        <w:t>in</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or</w:t>
      </w:r>
      <w:r w:rsidR="00190923" w:rsidRPr="00981405">
        <w:t xml:space="preserve"> </w:t>
      </w:r>
      <w:r w:rsidRPr="00981405">
        <w:t>not</w:t>
      </w:r>
      <w:r w:rsidR="00190923" w:rsidRPr="00981405">
        <w:t xml:space="preserve"> </w:t>
      </w:r>
      <w:r w:rsidRPr="00981405">
        <w:t>of</w:t>
      </w:r>
      <w:r w:rsidR="00190923" w:rsidRPr="00981405">
        <w:t xml:space="preserve"> </w:t>
      </w:r>
      <w:r w:rsidRPr="00981405">
        <w:t>a</w:t>
      </w:r>
      <w:r w:rsidR="00190923" w:rsidRPr="00981405">
        <w:t xml:space="preserve"> </w:t>
      </w:r>
      <w:r w:rsidRPr="00981405">
        <w:t>rule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its</w:t>
      </w:r>
      <w:r w:rsidR="00190923" w:rsidRPr="00981405">
        <w:t xml:space="preserve"> </w:t>
      </w:r>
      <w:r w:rsidRPr="00981405">
        <w:t>content.</w:t>
      </w:r>
      <w:r w:rsidR="00190923" w:rsidRPr="00981405">
        <w:t xml:space="preserve"> </w:t>
      </w:r>
      <w:r w:rsidRPr="00981405">
        <w:t>That</w:t>
      </w:r>
      <w:r w:rsidR="00190923" w:rsidRPr="00981405">
        <w:t xml:space="preserve"> </w:t>
      </w:r>
      <w:r w:rsidRPr="00981405">
        <w:t>was</w:t>
      </w:r>
      <w:r w:rsidR="00190923" w:rsidRPr="00981405">
        <w:t xml:space="preserve"> </w:t>
      </w:r>
      <w:r w:rsidRPr="00981405">
        <w:t>the</w:t>
      </w:r>
      <w:r w:rsidR="00190923" w:rsidRPr="00981405">
        <w:t xml:space="preserve"> </w:t>
      </w:r>
      <w:r w:rsidRPr="00981405">
        <w:t>task</w:t>
      </w:r>
      <w:r w:rsidR="00190923" w:rsidRPr="00981405">
        <w:t xml:space="preserve"> </w:t>
      </w:r>
      <w:r w:rsidRPr="00981405">
        <w:t>faced</w:t>
      </w:r>
      <w:r w:rsidR="00190923" w:rsidRPr="00981405">
        <w:t xml:space="preserve"> </w:t>
      </w:r>
      <w:r w:rsidRPr="00981405">
        <w:t>by</w:t>
      </w:r>
      <w:r w:rsidR="00190923" w:rsidRPr="00981405">
        <w:t xml:space="preserve"> </w:t>
      </w:r>
      <w:r w:rsidRPr="00981405">
        <w:t>judges,</w:t>
      </w:r>
      <w:r w:rsidR="00190923" w:rsidRPr="00981405">
        <w:t xml:space="preserve"> </w:t>
      </w:r>
      <w:r w:rsidRPr="00981405">
        <w:t>arbitrators</w:t>
      </w:r>
      <w:r w:rsidR="00190923" w:rsidRPr="00981405">
        <w:t xml:space="preserve"> </w:t>
      </w:r>
      <w:r w:rsidRPr="00981405">
        <w:t>and</w:t>
      </w:r>
      <w:r w:rsidR="00190923" w:rsidRPr="00981405">
        <w:t xml:space="preserve"> </w:t>
      </w:r>
      <w:r w:rsidRPr="00981405">
        <w:t>lawyers</w:t>
      </w:r>
      <w:r w:rsidR="00190923" w:rsidRPr="00981405">
        <w:t xml:space="preserve"> </w:t>
      </w:r>
      <w:r w:rsidRPr="00981405">
        <w:t>advising</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as</w:t>
      </w:r>
      <w:r w:rsidR="00190923" w:rsidRPr="00981405">
        <w:t xml:space="preserve"> </w:t>
      </w:r>
      <w:r w:rsidRPr="00981405">
        <w:t>it</w:t>
      </w:r>
      <w:r w:rsidR="00190923" w:rsidRPr="00981405">
        <w:t xml:space="preserve"> </w:t>
      </w:r>
      <w:r w:rsidRPr="00981405">
        <w:t>existed</w:t>
      </w:r>
      <w:r w:rsidR="00190923" w:rsidRPr="00981405">
        <w:t xml:space="preserve"> </w:t>
      </w:r>
      <w:r w:rsidRPr="00981405">
        <w:t>at</w:t>
      </w:r>
      <w:r w:rsidR="00190923" w:rsidRPr="00981405">
        <w:t xml:space="preserve"> </w:t>
      </w:r>
      <w:r w:rsidRPr="00981405">
        <w:t>a</w:t>
      </w:r>
      <w:r w:rsidR="00190923" w:rsidRPr="00981405">
        <w:t xml:space="preserve"> </w:t>
      </w:r>
      <w:r w:rsidRPr="00981405">
        <w:t>particular</w:t>
      </w:r>
      <w:r w:rsidR="00190923" w:rsidRPr="00981405">
        <w:t xml:space="preserve"> </w:t>
      </w:r>
      <w:r w:rsidRPr="00981405">
        <w:t>time,</w:t>
      </w:r>
      <w:r w:rsidR="00190923" w:rsidRPr="00981405">
        <w:t xml:space="preserve"> </w:t>
      </w:r>
      <w:r w:rsidRPr="00981405">
        <w:t>as</w:t>
      </w:r>
      <w:r w:rsidR="00190923" w:rsidRPr="00981405">
        <w:t xml:space="preserve"> </w:t>
      </w:r>
      <w:r w:rsidRPr="00981405">
        <w:t>opposed</w:t>
      </w:r>
      <w:r w:rsidR="00190923" w:rsidRPr="00981405">
        <w:t xml:space="preserve"> </w:t>
      </w:r>
      <w:r w:rsidRPr="00981405">
        <w:t>to</w:t>
      </w:r>
      <w:r w:rsidR="00190923" w:rsidRPr="00981405">
        <w:t xml:space="preserve"> </w:t>
      </w:r>
      <w:r w:rsidRPr="00981405">
        <w:t>those</w:t>
      </w:r>
      <w:r w:rsidR="00190923" w:rsidRPr="00981405">
        <w:t xml:space="preserve"> </w:t>
      </w:r>
      <w:r w:rsidRPr="00981405">
        <w:t>advising</w:t>
      </w:r>
      <w:r w:rsidR="00190923" w:rsidRPr="00981405">
        <w:t xml:space="preserve"> </w:t>
      </w:r>
      <w:r w:rsidRPr="00981405">
        <w:t>on</w:t>
      </w:r>
      <w:r w:rsidR="00190923" w:rsidRPr="00981405">
        <w:t xml:space="preserve"> </w:t>
      </w:r>
      <w:r w:rsidRPr="00981405">
        <w:t>how</w:t>
      </w:r>
      <w:r w:rsidR="00190923" w:rsidRPr="00981405">
        <w:t xml:space="preserve"> </w:t>
      </w:r>
      <w:r w:rsidRPr="00981405">
        <w:t>the</w:t>
      </w:r>
      <w:r w:rsidR="00190923" w:rsidRPr="00981405">
        <w:t xml:space="preserve"> </w:t>
      </w:r>
      <w:r w:rsidRPr="00981405">
        <w:t>law</w:t>
      </w:r>
      <w:r w:rsidR="00190923" w:rsidRPr="00981405">
        <w:t xml:space="preserve"> </w:t>
      </w:r>
      <w:r w:rsidRPr="00981405">
        <w:t>might</w:t>
      </w:r>
      <w:r w:rsidR="00190923" w:rsidRPr="00981405">
        <w:t xml:space="preserve"> </w:t>
      </w:r>
      <w:r w:rsidRPr="00981405">
        <w:t>develop</w:t>
      </w:r>
      <w:r w:rsidR="00190923" w:rsidRPr="00981405">
        <w:t xml:space="preserve"> </w:t>
      </w:r>
      <w:r w:rsidRPr="00981405">
        <w:t>or</w:t>
      </w:r>
      <w:r w:rsidR="00190923" w:rsidRPr="00981405">
        <w:t xml:space="preserve"> </w:t>
      </w:r>
      <w:r w:rsidRPr="00981405">
        <w:t>be</w:t>
      </w:r>
      <w:r w:rsidR="00190923" w:rsidRPr="00981405">
        <w:t xml:space="preserve"> </w:t>
      </w:r>
      <w:r w:rsidRPr="00981405">
        <w:t>developed.</w:t>
      </w:r>
      <w:r w:rsidR="00190923" w:rsidRPr="00981405">
        <w:t xml:space="preserve"> </w:t>
      </w:r>
      <w:r w:rsidRPr="00981405">
        <w:t>An</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how</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emerged</w:t>
      </w:r>
      <w:r w:rsidR="00190923" w:rsidRPr="00981405">
        <w:t xml:space="preserve"> </w:t>
      </w:r>
      <w:r w:rsidRPr="00981405">
        <w:t>and</w:t>
      </w:r>
      <w:r w:rsidR="00190923" w:rsidRPr="00981405">
        <w:t xml:space="preserve"> </w:t>
      </w:r>
      <w:r w:rsidRPr="00981405">
        <w:t>evolved</w:t>
      </w:r>
      <w:r w:rsidR="00190923" w:rsidRPr="00981405">
        <w:t xml:space="preserve"> </w:t>
      </w:r>
      <w:r w:rsidRPr="00981405">
        <w:t>nevertheless</w:t>
      </w:r>
      <w:r w:rsidR="00190923" w:rsidRPr="00981405">
        <w:t xml:space="preserve"> </w:t>
      </w:r>
      <w:r w:rsidRPr="00981405">
        <w:t>formed</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background</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and</w:t>
      </w:r>
      <w:r w:rsidR="00190923" w:rsidRPr="00981405">
        <w:t xml:space="preserve"> </w:t>
      </w:r>
      <w:r w:rsidRPr="00981405">
        <w:t>would</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p>
    <w:p w:rsidR="00397032" w:rsidRPr="00981405" w:rsidRDefault="00397032" w:rsidP="00D97463">
      <w:pPr>
        <w:pStyle w:val="SingleTxt"/>
      </w:pPr>
      <w:r w:rsidRPr="00981405">
        <w:t>98.</w:t>
      </w:r>
      <w:r w:rsidRPr="00981405">
        <w:tab/>
        <w:t>On</w:t>
      </w:r>
      <w:r w:rsidR="00190923" w:rsidRPr="00981405">
        <w:t xml:space="preserve"> </w:t>
      </w:r>
      <w:r w:rsidRPr="00981405">
        <w:t>the</w:t>
      </w:r>
      <w:r w:rsidR="00190923" w:rsidRPr="00981405">
        <w:t xml:space="preserve"> </w:t>
      </w:r>
      <w:r w:rsidRPr="00981405">
        <w:t>various</w:t>
      </w:r>
      <w:r w:rsidR="00190923" w:rsidRPr="00981405">
        <w:t xml:space="preserve"> </w:t>
      </w:r>
      <w:r w:rsidRPr="00981405">
        <w:t>questions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interrelationship</w:t>
      </w:r>
      <w:r w:rsidR="00190923" w:rsidRPr="00981405">
        <w:t xml:space="preserve"> </w:t>
      </w:r>
      <w:r w:rsidRPr="00981405">
        <w:t>between</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temporal</w:t>
      </w:r>
      <w:r w:rsidR="00190923" w:rsidRPr="00981405">
        <w:t xml:space="preserve"> </w:t>
      </w:r>
      <w:r w:rsidRPr="00981405">
        <w:t>aspect</w:t>
      </w:r>
      <w:r w:rsidR="00190923" w:rsidRPr="00981405">
        <w:t xml:space="preserve"> </w:t>
      </w:r>
      <w:r w:rsidRPr="00981405">
        <w:t>of</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was</w:t>
      </w:r>
      <w:r w:rsidR="00190923" w:rsidRPr="00981405">
        <w:t xml:space="preserve"> </w:t>
      </w:r>
      <w:r w:rsidRPr="00981405">
        <w:t>more</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formation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than</w:t>
      </w:r>
      <w:r w:rsidR="00190923" w:rsidRPr="00981405">
        <w:t xml:space="preserve"> </w:t>
      </w:r>
      <w:r w:rsidRPr="00981405">
        <w:t>to</w:t>
      </w:r>
      <w:r w:rsidR="00190923" w:rsidRPr="00981405">
        <w:t xml:space="preserve"> </w:t>
      </w:r>
      <w:r w:rsidRPr="00981405">
        <w:t>their</w:t>
      </w:r>
      <w:r w:rsidR="00190923" w:rsidRPr="00981405">
        <w:t xml:space="preserve"> </w:t>
      </w:r>
      <w:r w:rsidRPr="00981405">
        <w:t>identification,</w:t>
      </w:r>
      <w:r w:rsidR="00190923" w:rsidRPr="00981405">
        <w:t xml:space="preserve"> </w:t>
      </w:r>
      <w:r w:rsidRPr="00981405">
        <w:t>but</w:t>
      </w:r>
      <w:r w:rsidR="00190923" w:rsidRPr="00981405">
        <w:t xml:space="preserve"> </w:t>
      </w:r>
      <w:r w:rsidRPr="00981405">
        <w:t>was</w:t>
      </w:r>
      <w:r w:rsidR="00190923" w:rsidRPr="00981405">
        <w:t xml:space="preserve"> </w:t>
      </w:r>
      <w:r w:rsidRPr="00981405">
        <w:t>nevertheless</w:t>
      </w:r>
      <w:r w:rsidR="00190923" w:rsidRPr="00981405">
        <w:t xml:space="preserve"> </w:t>
      </w:r>
      <w:r w:rsidRPr="00981405">
        <w:t>an</w:t>
      </w:r>
      <w:r w:rsidR="00190923" w:rsidRPr="00981405">
        <w:t xml:space="preserve"> </w:t>
      </w:r>
      <w:r w:rsidRPr="00981405">
        <w:t>important</w:t>
      </w:r>
      <w:r w:rsidR="00190923" w:rsidRPr="00981405">
        <w:t xml:space="preserve"> </w:t>
      </w:r>
      <w:r w:rsidRPr="00981405">
        <w:t>aspect</w:t>
      </w:r>
      <w:r w:rsidR="00190923" w:rsidRPr="00981405">
        <w:t xml:space="preserve"> </w:t>
      </w:r>
      <w:r w:rsidRPr="00981405">
        <w:t>that</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covered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Regarding</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two-element</w:t>
      </w:r>
      <w:r w:rsidR="00190923" w:rsidRPr="00981405">
        <w:t xml:space="preserve"> </w:t>
      </w:r>
      <w:r w:rsidRPr="00981405">
        <w:t>approach</w:t>
      </w:r>
      <w:r w:rsidR="00190923" w:rsidRPr="00981405">
        <w:t xml:space="preserve"> </w:t>
      </w:r>
      <w:r w:rsidRPr="00981405">
        <w:t>in</w:t>
      </w:r>
      <w:r w:rsidR="00190923" w:rsidRPr="00981405">
        <w:t xml:space="preserve"> </w:t>
      </w:r>
      <w:r w:rsidRPr="00981405">
        <w:t>different</w:t>
      </w:r>
      <w:r w:rsidR="00190923" w:rsidRPr="00981405">
        <w:t xml:space="preserve"> </w:t>
      </w:r>
      <w:r w:rsidRPr="00981405">
        <w:t>fields,</w:t>
      </w:r>
      <w:r w:rsidR="00190923" w:rsidRPr="00981405">
        <w:t xml:space="preserve"> </w:t>
      </w:r>
      <w:r w:rsidRPr="00981405">
        <w:t>he</w:t>
      </w:r>
      <w:r w:rsidR="00190923" w:rsidRPr="00981405">
        <w:t xml:space="preserve"> </w:t>
      </w:r>
      <w:r w:rsidRPr="00981405">
        <w:t>stressed</w:t>
      </w:r>
      <w:r w:rsidR="00190923" w:rsidRPr="00981405">
        <w:t xml:space="preserve"> </w:t>
      </w:r>
      <w:r w:rsidRPr="00981405">
        <w:t>that</w:t>
      </w:r>
      <w:r w:rsidR="00190923" w:rsidRPr="00981405">
        <w:t xml:space="preserve"> </w:t>
      </w:r>
      <w:r w:rsidRPr="00981405">
        <w:t>regard</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had</w:t>
      </w:r>
      <w:r w:rsidR="00190923" w:rsidRPr="00981405">
        <w:t xml:space="preserve"> </w:t>
      </w:r>
      <w:r w:rsidRPr="00981405">
        <w:t>to</w:t>
      </w:r>
      <w:r w:rsidR="00190923" w:rsidRPr="00981405">
        <w:t xml:space="preserve"> </w:t>
      </w:r>
      <w:r w:rsidRPr="00981405">
        <w:t>the</w:t>
      </w:r>
      <w:r w:rsidR="00190923" w:rsidRPr="00981405">
        <w:t xml:space="preserve"> </w:t>
      </w:r>
      <w:r w:rsidRPr="00981405">
        <w:t>context</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evidence</w:t>
      </w:r>
      <w:r w:rsidR="00190923" w:rsidRPr="00981405">
        <w:t xml:space="preserve"> </w:t>
      </w:r>
      <w:r w:rsidRPr="00981405">
        <w:t>arose</w:t>
      </w:r>
      <w:r w:rsidR="00190923" w:rsidRPr="00981405">
        <w:t xml:space="preserve"> </w:t>
      </w:r>
      <w:r w:rsidRPr="00981405">
        <w:t>and</w:t>
      </w:r>
      <w:r w:rsidR="00190923" w:rsidRPr="00981405">
        <w:t xml:space="preserve"> </w:t>
      </w:r>
      <w:r w:rsidRPr="00981405">
        <w:t>that</w:t>
      </w:r>
      <w:r w:rsidR="00190923" w:rsidRPr="00981405">
        <w:t xml:space="preserve"> </w:t>
      </w:r>
      <w:r w:rsidRPr="00981405">
        <w:t>that</w:t>
      </w:r>
      <w:r w:rsidR="00190923" w:rsidRPr="00981405">
        <w:t xml:space="preserve"> </w:t>
      </w:r>
      <w:r w:rsidRPr="00981405">
        <w:t>required</w:t>
      </w:r>
      <w:r w:rsidR="00190923" w:rsidRPr="00981405">
        <w:t xml:space="preserve"> </w:t>
      </w:r>
      <w:r w:rsidRPr="00981405">
        <w:t>a</w:t>
      </w:r>
      <w:r w:rsidR="00190923" w:rsidRPr="00981405">
        <w:t xml:space="preserve"> </w:t>
      </w:r>
      <w:r w:rsidRPr="00981405">
        <w:t>careful</w:t>
      </w:r>
      <w:r w:rsidR="00190923" w:rsidRPr="00981405">
        <w:t xml:space="preserve"> </w:t>
      </w:r>
      <w:r w:rsidRPr="00981405">
        <w:t>evaluation</w:t>
      </w:r>
      <w:r w:rsidR="00190923" w:rsidRPr="00981405">
        <w:t xml:space="preserve"> </w:t>
      </w:r>
      <w:r w:rsidRPr="00981405">
        <w:t>of</w:t>
      </w:r>
      <w:r w:rsidR="00190923" w:rsidRPr="00981405">
        <w:t xml:space="preserve"> </w:t>
      </w:r>
      <w:r w:rsidRPr="00981405">
        <w:t>the</w:t>
      </w:r>
      <w:r w:rsidR="00190923" w:rsidRPr="00981405">
        <w:t xml:space="preserve"> </w:t>
      </w:r>
      <w:r w:rsidRPr="00981405">
        <w:t>factual</w:t>
      </w:r>
      <w:r w:rsidR="00190923" w:rsidRPr="00981405">
        <w:t xml:space="preserve"> </w:t>
      </w:r>
      <w:r w:rsidRPr="00981405">
        <w:t>foundations</w:t>
      </w:r>
      <w:r w:rsidR="00190923" w:rsidRPr="00981405">
        <w:t xml:space="preserve"> </w:t>
      </w:r>
      <w:r w:rsidRPr="00981405">
        <w:t>of</w:t>
      </w:r>
      <w:r w:rsidR="00190923" w:rsidRPr="00981405">
        <w:t xml:space="preserve"> </w:t>
      </w:r>
      <w:r w:rsidRPr="00981405">
        <w:t>each</w:t>
      </w:r>
      <w:r w:rsidR="00190923" w:rsidRPr="00981405">
        <w:t xml:space="preserve"> </w:t>
      </w:r>
      <w:r w:rsidRPr="00981405">
        <w:t>case</w:t>
      </w:r>
      <w:r w:rsidR="00190923" w:rsidRPr="00981405">
        <w:t xml:space="preserve"> </w:t>
      </w:r>
      <w:r w:rsidRPr="00981405">
        <w:t>and</w:t>
      </w:r>
      <w:r w:rsidR="00190923" w:rsidRPr="00981405">
        <w:t xml:space="preserve"> </w:t>
      </w:r>
      <w:r w:rsidRPr="00981405">
        <w:t>their</w:t>
      </w:r>
      <w:r w:rsidR="00190923" w:rsidRPr="00981405">
        <w:t xml:space="preserve"> </w:t>
      </w:r>
      <w:r w:rsidRPr="00981405">
        <w:t>significance.</w:t>
      </w:r>
      <w:r w:rsidR="00190923" w:rsidRPr="00981405">
        <w:t xml:space="preserve"> </w:t>
      </w:r>
      <w:r w:rsidRPr="00981405">
        <w:t>Finally,</w:t>
      </w:r>
      <w:r w:rsidR="00190923" w:rsidRPr="00981405">
        <w:t xml:space="preserve"> </w:t>
      </w:r>
      <w:r w:rsidRPr="00981405">
        <w:t>on</w:t>
      </w:r>
      <w:r w:rsidR="00190923" w:rsidRPr="00981405">
        <w:t xml:space="preserve"> </w:t>
      </w:r>
      <w:r w:rsidRPr="00981405">
        <w:t>the</w:t>
      </w:r>
      <w:r w:rsidR="00190923" w:rsidRPr="00981405">
        <w:t xml:space="preserve"> </w:t>
      </w:r>
      <w:r w:rsidRPr="00981405">
        <w:t>issue</w:t>
      </w:r>
      <w:r w:rsidR="00190923" w:rsidRPr="00981405">
        <w:t xml:space="preserve"> </w:t>
      </w:r>
      <w:r w:rsidRPr="00981405">
        <w:t>of</w:t>
      </w:r>
      <w:r w:rsidR="00190923" w:rsidRPr="00981405">
        <w:t xml:space="preserve"> </w:t>
      </w:r>
      <w:r w:rsidRPr="00981405">
        <w:t>the</w:t>
      </w:r>
      <w:r w:rsidR="00190923" w:rsidRPr="00981405">
        <w:t xml:space="preserve"> </w:t>
      </w:r>
      <w:r w:rsidRPr="00981405">
        <w:t>separate</w:t>
      </w:r>
      <w:r w:rsidR="00190923" w:rsidRPr="00981405">
        <w:t xml:space="preserve"> </w:t>
      </w:r>
      <w:r w:rsidRPr="00981405">
        <w:t>assessment</w:t>
      </w:r>
      <w:r w:rsidR="00190923" w:rsidRPr="00981405">
        <w:t xml:space="preserve"> </w:t>
      </w:r>
      <w:r w:rsidRPr="00981405">
        <w:t>of</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the</w:t>
      </w:r>
      <w:r w:rsidR="00190923" w:rsidRPr="00981405">
        <w:t xml:space="preserve"> </w:t>
      </w:r>
      <w:r w:rsidRPr="00981405">
        <w:t>general</w:t>
      </w:r>
      <w:r w:rsidR="00190923" w:rsidRPr="00981405">
        <w:t xml:space="preserve"> </w:t>
      </w:r>
      <w:r w:rsidRPr="00981405">
        <w:t>agreement</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that</w:t>
      </w:r>
      <w:r w:rsidR="00190923" w:rsidRPr="00981405">
        <w:t xml:space="preserve"> </w:t>
      </w:r>
      <w:r w:rsidRPr="00981405">
        <w:t>each</w:t>
      </w:r>
      <w:r w:rsidR="00190923" w:rsidRPr="00981405">
        <w:t xml:space="preserve"> </w:t>
      </w:r>
      <w:r w:rsidRPr="00981405">
        <w:t>element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separately</w:t>
      </w:r>
      <w:r w:rsidR="00190923" w:rsidRPr="00981405">
        <w:t xml:space="preserve"> </w:t>
      </w:r>
      <w:r w:rsidRPr="00981405">
        <w:t>ascertained</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identify</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issue</w:t>
      </w:r>
      <w:r w:rsidR="00190923" w:rsidRPr="00981405">
        <w:t xml:space="preserve"> </w:t>
      </w:r>
      <w:r w:rsidRPr="00981405">
        <w:t>referred</w:t>
      </w:r>
      <w:r w:rsidR="00190923" w:rsidRPr="00981405">
        <w:t xml:space="preserve"> </w:t>
      </w:r>
      <w:r w:rsidRPr="00981405">
        <w:t>to</w:t>
      </w:r>
      <w:r w:rsidR="00190923" w:rsidRPr="00981405">
        <w:t xml:space="preserve"> </w:t>
      </w:r>
      <w:r w:rsidRPr="00981405">
        <w:t>at</w:t>
      </w:r>
      <w:r w:rsidR="00190923" w:rsidRPr="00981405">
        <w:t xml:space="preserve"> </w:t>
      </w:r>
      <w:r w:rsidRPr="00981405">
        <w:t>times</w:t>
      </w:r>
      <w:r w:rsidR="00190923" w:rsidRPr="00981405">
        <w:t xml:space="preserve"> </w:t>
      </w:r>
      <w:r w:rsidRPr="00981405">
        <w:t>as</w:t>
      </w:r>
      <w:r w:rsidR="00190923" w:rsidRPr="00981405">
        <w:t xml:space="preserve"> </w:t>
      </w:r>
      <w:r w:rsidR="00B92E2C" w:rsidRPr="00981405">
        <w:t>“</w:t>
      </w:r>
      <w:r w:rsidRPr="00981405">
        <w:t>double-counting</w:t>
      </w:r>
      <w:r w:rsidR="00B92E2C" w:rsidRPr="00981405">
        <w:t>”</w:t>
      </w:r>
      <w:r w:rsidR="00190923" w:rsidRPr="00981405">
        <w:t xml:space="preserve"> </w:t>
      </w:r>
      <w:r w:rsidRPr="00981405">
        <w:t>proved</w:t>
      </w:r>
      <w:r w:rsidR="00190923" w:rsidRPr="00981405">
        <w:t xml:space="preserve"> </w:t>
      </w:r>
      <w:r w:rsidRPr="00981405">
        <w:t>to</w:t>
      </w:r>
      <w:r w:rsidR="00190923" w:rsidRPr="00981405">
        <w:t xml:space="preserve"> </w:t>
      </w:r>
      <w:r w:rsidRPr="00981405">
        <w:t>be</w:t>
      </w:r>
      <w:r w:rsidR="00190923" w:rsidRPr="00981405">
        <w:t xml:space="preserve"> </w:t>
      </w:r>
      <w:r w:rsidRPr="00981405">
        <w:t>more</w:t>
      </w:r>
      <w:r w:rsidR="00190923" w:rsidRPr="00981405">
        <w:t xml:space="preserve"> </w:t>
      </w:r>
      <w:r w:rsidRPr="00981405">
        <w:t>controversial.</w:t>
      </w:r>
      <w:r w:rsidR="00190923" w:rsidRPr="00981405">
        <w:t xml:space="preserve"> </w:t>
      </w:r>
      <w:r w:rsidRPr="00981405">
        <w:t>On</w:t>
      </w:r>
      <w:r w:rsidR="00190923" w:rsidRPr="00981405">
        <w:t xml:space="preserve"> </w:t>
      </w:r>
      <w:r w:rsidRPr="00981405">
        <w:t>that</w:t>
      </w:r>
      <w:r w:rsidR="00190923" w:rsidRPr="00981405">
        <w:t xml:space="preserve"> </w:t>
      </w:r>
      <w:r w:rsidRPr="00981405">
        <w:t>aspect,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clarified</w:t>
      </w:r>
      <w:r w:rsidR="00190923" w:rsidRPr="00981405">
        <w:t xml:space="preserve"> </w:t>
      </w:r>
      <w:r w:rsidRPr="00981405">
        <w:t>that</w:t>
      </w:r>
      <w:r w:rsidR="00190923" w:rsidRPr="00981405">
        <w:t xml:space="preserve"> </w:t>
      </w:r>
      <w:r w:rsidRPr="00981405">
        <w:t>there</w:t>
      </w:r>
      <w:r w:rsidR="00190923" w:rsidRPr="00981405">
        <w:t xml:space="preserve"> </w:t>
      </w:r>
      <w:r w:rsidRPr="00981405">
        <w:t>could</w:t>
      </w:r>
      <w:r w:rsidR="00190923" w:rsidRPr="00981405">
        <w:t xml:space="preserve"> </w:t>
      </w:r>
      <w:r w:rsidRPr="00981405">
        <w:t>be</w:t>
      </w:r>
      <w:r w:rsidR="00190923" w:rsidRPr="00981405">
        <w:t xml:space="preserve"> </w:t>
      </w:r>
      <w:r w:rsidRPr="00981405">
        <w:t>occasions</w:t>
      </w:r>
      <w:r w:rsidR="00190923" w:rsidRPr="00981405">
        <w:t xml:space="preserve"> </w:t>
      </w:r>
      <w:r w:rsidRPr="00981405">
        <w:t>where</w:t>
      </w:r>
      <w:r w:rsidR="00190923" w:rsidRPr="00981405">
        <w:t xml:space="preserve"> </w:t>
      </w:r>
      <w:r w:rsidRPr="00981405">
        <w:t>the</w:t>
      </w:r>
      <w:r w:rsidR="00190923" w:rsidRPr="00981405">
        <w:t xml:space="preserve"> </w:t>
      </w:r>
      <w:r w:rsidRPr="00981405">
        <w:t>same</w:t>
      </w:r>
      <w:r w:rsidR="00190923" w:rsidRPr="00981405">
        <w:t xml:space="preserve"> </w:t>
      </w:r>
      <w:r w:rsidRPr="00981405">
        <w:t>evidence</w:t>
      </w:r>
      <w:r w:rsidR="00190923" w:rsidRPr="00981405">
        <w:t xml:space="preserve"> </w:t>
      </w:r>
      <w:r w:rsidRPr="00981405">
        <w:t>might</w:t>
      </w:r>
      <w:r w:rsidR="00190923" w:rsidRPr="00981405">
        <w:t xml:space="preserve"> </w:t>
      </w:r>
      <w:r w:rsidRPr="00981405">
        <w:t>be</w:t>
      </w:r>
      <w:r w:rsidR="00190923" w:rsidRPr="00981405">
        <w:t xml:space="preserve"> </w:t>
      </w:r>
      <w:r w:rsidRPr="00981405">
        <w:t>used</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ascertain</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The</w:t>
      </w:r>
      <w:r w:rsidR="00190923" w:rsidRPr="00981405">
        <w:t xml:space="preserve"> </w:t>
      </w:r>
      <w:r w:rsidRPr="00981405">
        <w:t>important</w:t>
      </w:r>
      <w:r w:rsidR="00190923" w:rsidRPr="00981405">
        <w:t xml:space="preserve"> </w:t>
      </w:r>
      <w:r w:rsidRPr="00981405">
        <w:t>aspect</w:t>
      </w:r>
      <w:r w:rsidR="00190923" w:rsidRPr="00981405">
        <w:t xml:space="preserve"> </w:t>
      </w:r>
      <w:r w:rsidRPr="00981405">
        <w:t>is</w:t>
      </w:r>
      <w:r w:rsidR="00190923" w:rsidRPr="00981405">
        <w:t xml:space="preserve"> </w:t>
      </w:r>
      <w:r w:rsidRPr="00981405">
        <w:t>that</w:t>
      </w:r>
      <w:r w:rsidR="00190923" w:rsidRPr="00981405">
        <w:t xml:space="preserve"> </w:t>
      </w:r>
      <w:r w:rsidRPr="00981405">
        <w:t>both</w:t>
      </w:r>
      <w:r w:rsidR="00190923" w:rsidRPr="00981405">
        <w:t xml:space="preserve"> </w:t>
      </w:r>
      <w:r w:rsidRPr="00981405">
        <w:t>elements</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present,</w:t>
      </w:r>
      <w:r w:rsidR="00190923" w:rsidRPr="00981405">
        <w:t xml:space="preserve"> </w:t>
      </w:r>
      <w:r w:rsidRPr="00981405">
        <w:t>and</w:t>
      </w:r>
      <w:r w:rsidR="00190923" w:rsidRPr="00981405">
        <w:t xml:space="preserve"> </w:t>
      </w:r>
      <w:r w:rsidRPr="00981405">
        <w:t>that</w:t>
      </w:r>
      <w:r w:rsidR="00190923" w:rsidRPr="00981405">
        <w:t xml:space="preserve"> </w:t>
      </w:r>
      <w:r w:rsidRPr="00981405">
        <w:t>theories</w:t>
      </w:r>
      <w:r w:rsidR="00190923" w:rsidRPr="00981405">
        <w:t xml:space="preserve"> </w:t>
      </w:r>
      <w:r w:rsidRPr="00981405">
        <w:t>according</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extensive</w:t>
      </w:r>
      <w:r w:rsidR="00190923" w:rsidRPr="00981405">
        <w:t xml:space="preserve"> </w:t>
      </w:r>
      <w:r w:rsidRPr="00981405">
        <w:t>presence</w:t>
      </w:r>
      <w:r w:rsidR="00190923" w:rsidRPr="00981405">
        <w:t xml:space="preserve"> </w:t>
      </w:r>
      <w:r w:rsidRPr="00981405">
        <w:t>of</w:t>
      </w:r>
      <w:r w:rsidR="00190923" w:rsidRPr="00981405">
        <w:t xml:space="preserve"> </w:t>
      </w:r>
      <w:r w:rsidRPr="00981405">
        <w:t>one</w:t>
      </w:r>
      <w:r w:rsidR="00190923" w:rsidRPr="00981405">
        <w:t xml:space="preserve"> </w:t>
      </w:r>
      <w:r w:rsidRPr="00981405">
        <w:t>element</w:t>
      </w:r>
      <w:r w:rsidR="00190923" w:rsidRPr="00981405">
        <w:t xml:space="preserve"> </w:t>
      </w:r>
      <w:r w:rsidRPr="00981405">
        <w:t>could</w:t>
      </w:r>
      <w:r w:rsidR="00190923" w:rsidRPr="00981405">
        <w:t xml:space="preserve"> </w:t>
      </w:r>
      <w:r w:rsidRPr="00981405">
        <w:t>compensate</w:t>
      </w:r>
      <w:r w:rsidR="00190923" w:rsidRPr="00981405">
        <w:t xml:space="preserve"> </w:t>
      </w:r>
      <w:r w:rsidRPr="00981405">
        <w:t>for</w:t>
      </w:r>
      <w:r w:rsidR="00190923" w:rsidRPr="00981405">
        <w:t xml:space="preserve"> </w:t>
      </w:r>
      <w:r w:rsidRPr="00981405">
        <w:t>the</w:t>
      </w:r>
      <w:r w:rsidR="00190923" w:rsidRPr="00981405">
        <w:t xml:space="preserve"> </w:t>
      </w:r>
      <w:r w:rsidRPr="00981405">
        <w:t>lack</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were</w:t>
      </w:r>
      <w:r w:rsidR="00190923" w:rsidRPr="00981405">
        <w:t xml:space="preserve"> </w:t>
      </w:r>
      <w:r w:rsidRPr="00981405">
        <w:t>not</w:t>
      </w:r>
      <w:r w:rsidR="00190923" w:rsidRPr="00981405">
        <w:t xml:space="preserve"> </w:t>
      </w:r>
      <w:r w:rsidRPr="00981405">
        <w:t>convincing.</w:t>
      </w:r>
    </w:p>
    <w:p w:rsidR="00397032" w:rsidRPr="00981405" w:rsidRDefault="00397032" w:rsidP="00D97463">
      <w:pPr>
        <w:pStyle w:val="SingleTxt"/>
      </w:pPr>
      <w:r w:rsidRPr="00981405">
        <w:t>99.</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such</w:t>
      </w:r>
      <w:r w:rsidR="00190923" w:rsidRPr="00981405">
        <w:t xml:space="preserve"> </w:t>
      </w:r>
      <w:r w:rsidRPr="00981405">
        <w:t>was</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lastRenderedPageBreak/>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was</w:t>
      </w:r>
      <w:r w:rsidR="00190923" w:rsidRPr="00981405">
        <w:t xml:space="preserve"> </w:t>
      </w:r>
      <w:r w:rsidRPr="00981405">
        <w:t>not</w:t>
      </w:r>
      <w:r w:rsidR="00190923" w:rsidRPr="00981405">
        <w:t xml:space="preserve"> </w:t>
      </w:r>
      <w:r w:rsidRPr="00981405">
        <w:t>controversial</w:t>
      </w:r>
      <w:r w:rsidR="00190923" w:rsidRPr="00981405">
        <w:t xml:space="preserve"> </w:t>
      </w:r>
      <w:r w:rsidRPr="00981405">
        <w:t>since</w:t>
      </w:r>
      <w:r w:rsidR="00190923" w:rsidRPr="00981405">
        <w:t xml:space="preserve"> </w:t>
      </w:r>
      <w:r w:rsidRPr="00981405">
        <w:t>it</w:t>
      </w:r>
      <w:r w:rsidR="00190923" w:rsidRPr="00981405">
        <w:t xml:space="preserve"> </w:t>
      </w:r>
      <w:r w:rsidRPr="00981405">
        <w:t>appeared</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in</w:t>
      </w:r>
      <w:r w:rsidR="00190923" w:rsidRPr="00981405">
        <w:t xml:space="preserve"> </w:t>
      </w:r>
      <w:r w:rsidRPr="00981405">
        <w:t>their</w:t>
      </w:r>
      <w:r w:rsidR="00190923" w:rsidRPr="00981405">
        <w:t xml:space="preserve"> </w:t>
      </w:r>
      <w:r w:rsidRPr="00981405">
        <w:t>relations</w:t>
      </w:r>
      <w:r w:rsidR="00190923" w:rsidRPr="00981405">
        <w:t xml:space="preserve"> </w:t>
      </w:r>
      <w:r w:rsidRPr="00981405">
        <w:t>among</w:t>
      </w:r>
      <w:r w:rsidR="00190923" w:rsidRPr="00981405">
        <w:t xml:space="preserve"> </w:t>
      </w:r>
      <w:r w:rsidRPr="00981405">
        <w:t>themselves,</w:t>
      </w:r>
      <w:r w:rsidR="00190923" w:rsidRPr="00981405">
        <w:t xml:space="preserve"> </w:t>
      </w:r>
      <w:r w:rsidRPr="00981405">
        <w:t>at</w:t>
      </w:r>
      <w:r w:rsidR="00190923" w:rsidRPr="00981405">
        <w:t xml:space="preserve"> </w:t>
      </w:r>
      <w:r w:rsidRPr="00981405">
        <w:t>least,</w:t>
      </w:r>
      <w:r w:rsidR="00190923" w:rsidRPr="00981405">
        <w:t xml:space="preserve"> </w:t>
      </w:r>
      <w:r w:rsidRPr="00981405">
        <w:t>could</w:t>
      </w:r>
      <w:r w:rsidR="00190923" w:rsidRPr="00981405">
        <w:t xml:space="preserve"> </w:t>
      </w:r>
      <w:r w:rsidRPr="00981405">
        <w:t>give</w:t>
      </w:r>
      <w:r w:rsidR="00190923" w:rsidRPr="00981405">
        <w:t xml:space="preserve"> </w:t>
      </w:r>
      <w:r w:rsidRPr="00981405">
        <w:t>rise</w:t>
      </w:r>
      <w:r w:rsidR="00190923" w:rsidRPr="00981405">
        <w:t xml:space="preserve"> </w:t>
      </w:r>
      <w:r w:rsidRPr="00981405">
        <w:t>to</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binding</w:t>
      </w:r>
      <w:r w:rsidR="00190923" w:rsidRPr="00981405">
        <w:t xml:space="preserve"> </w:t>
      </w:r>
      <w:r w:rsidRPr="00981405">
        <w:t>in</w:t>
      </w:r>
      <w:r w:rsidR="00190923" w:rsidRPr="00981405">
        <w:t xml:space="preserve"> </w:t>
      </w:r>
      <w:r w:rsidRPr="00981405">
        <w:t>such</w:t>
      </w:r>
      <w:r w:rsidR="00190923" w:rsidRPr="00981405">
        <w:t xml:space="preserve"> </w:t>
      </w:r>
      <w:r w:rsidRPr="00981405">
        <w:t>relations.</w:t>
      </w:r>
      <w:r w:rsidR="00190923" w:rsidRPr="00981405">
        <w:t xml:space="preserve"> </w:t>
      </w:r>
      <w:r w:rsidRPr="00981405">
        <w:t>Such</w:t>
      </w:r>
      <w:r w:rsidR="00190923" w:rsidRPr="00981405">
        <w:t xml:space="preserve"> </w:t>
      </w:r>
      <w:r w:rsidRPr="00981405">
        <w:t>conclusion</w:t>
      </w:r>
      <w:r w:rsidR="00190923" w:rsidRPr="00981405">
        <w:t xml:space="preserve"> </w:t>
      </w:r>
      <w:r w:rsidRPr="00981405">
        <w:t>was</w:t>
      </w:r>
      <w:r w:rsidR="00190923" w:rsidRPr="00981405">
        <w:t xml:space="preserve"> </w:t>
      </w:r>
      <w:r w:rsidRPr="00981405">
        <w:t>also</w:t>
      </w:r>
      <w:r w:rsidR="00190923" w:rsidRPr="00981405">
        <w:t xml:space="preserve"> </w:t>
      </w:r>
      <w:r w:rsidRPr="00981405">
        <w:t>important</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European</w:t>
      </w:r>
      <w:r w:rsidR="00190923" w:rsidRPr="00981405">
        <w:t xml:space="preserve"> </w:t>
      </w:r>
      <w:r w:rsidRPr="00981405">
        <w:t>Union,</w:t>
      </w:r>
      <w:r w:rsidR="00190923" w:rsidRPr="00981405">
        <w:t xml:space="preserve"> </w:t>
      </w:r>
      <w:r w:rsidRPr="00981405">
        <w:t>exercising</w:t>
      </w:r>
      <w:r w:rsidR="00190923" w:rsidRPr="00981405">
        <w:t xml:space="preserve"> </w:t>
      </w:r>
      <w:r w:rsidRPr="00981405">
        <w:t>competences</w:t>
      </w:r>
      <w:r w:rsidR="00190923" w:rsidRPr="00981405">
        <w:t xml:space="preserve"> </w:t>
      </w:r>
      <w:r w:rsidRPr="00981405">
        <w:t>on</w:t>
      </w:r>
      <w:r w:rsidR="00190923" w:rsidRPr="00981405">
        <w:t xml:space="preserve"> </w:t>
      </w:r>
      <w:r w:rsidRPr="00981405">
        <w:t>behalf</w:t>
      </w:r>
      <w:r w:rsidR="00190923" w:rsidRPr="00981405">
        <w:t xml:space="preserve"> </w:t>
      </w:r>
      <w:r w:rsidRPr="00981405">
        <w:t>of</w:t>
      </w:r>
      <w:r w:rsidR="00190923" w:rsidRPr="00981405">
        <w:t xml:space="preserve"> </w:t>
      </w:r>
      <w:r w:rsidRPr="00981405">
        <w:t>their</w:t>
      </w:r>
      <w:r w:rsidR="00190923" w:rsidRPr="00981405">
        <w:t xml:space="preserve"> </w:t>
      </w:r>
      <w:r w:rsidRPr="00981405">
        <w:t>member</w:t>
      </w:r>
      <w:r w:rsidR="00190923" w:rsidRPr="00981405">
        <w:t xml:space="preserve"> </w:t>
      </w:r>
      <w:r w:rsidRPr="00981405">
        <w:t>States.</w:t>
      </w:r>
      <w:r w:rsidR="00190923" w:rsidRPr="00981405">
        <w:t xml:space="preserve"> </w:t>
      </w:r>
      <w:r w:rsidRPr="00981405">
        <w:t>That</w:t>
      </w:r>
      <w:r w:rsidR="00190923" w:rsidRPr="00981405">
        <w:t xml:space="preserve"> </w:t>
      </w:r>
      <w:r w:rsidRPr="00981405">
        <w:t>conclusion,</w:t>
      </w:r>
      <w:r w:rsidR="00190923" w:rsidRPr="00981405">
        <w:t xml:space="preserve"> </w:t>
      </w:r>
      <w:r w:rsidRPr="00981405">
        <w:t>which</w:t>
      </w:r>
      <w:r w:rsidR="00190923" w:rsidRPr="00981405">
        <w:t xml:space="preserve"> </w:t>
      </w:r>
      <w:r w:rsidRPr="00981405">
        <w:t>had</w:t>
      </w:r>
      <w:r w:rsidR="00190923" w:rsidRPr="00981405">
        <w:t xml:space="preserve"> </w:t>
      </w:r>
      <w:r w:rsidRPr="00981405">
        <w:t>been</w:t>
      </w:r>
      <w:r w:rsidR="00190923" w:rsidRPr="00981405">
        <w:t xml:space="preserve"> </w:t>
      </w:r>
      <w:r w:rsidRPr="00981405">
        <w:t>recognized</w:t>
      </w:r>
      <w:r w:rsidR="00190923" w:rsidRPr="00981405">
        <w:t xml:space="preserve"> </w:t>
      </w:r>
      <w:r w:rsidRPr="00981405">
        <w:t>in</w:t>
      </w:r>
      <w:r w:rsidR="00190923" w:rsidRPr="00981405">
        <w:t xml:space="preserve"> </w:t>
      </w:r>
      <w:r w:rsidRPr="00981405">
        <w:t>the</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seemed</w:t>
      </w:r>
      <w:r w:rsidR="00190923" w:rsidRPr="00981405">
        <w:t xml:space="preserve"> </w:t>
      </w:r>
      <w:r w:rsidRPr="00981405">
        <w:t>to</w:t>
      </w:r>
      <w:r w:rsidR="00190923" w:rsidRPr="00981405">
        <w:t xml:space="preserve"> </w:t>
      </w:r>
      <w:r w:rsidRPr="00981405">
        <w:t>be</w:t>
      </w:r>
      <w:r w:rsidR="00190923" w:rsidRPr="00981405">
        <w:t xml:space="preserve"> </w:t>
      </w:r>
      <w:r w:rsidRPr="00981405">
        <w:t>generally</w:t>
      </w:r>
      <w:r w:rsidR="00190923" w:rsidRPr="00981405">
        <w:t xml:space="preserve"> </w:t>
      </w:r>
      <w:r w:rsidRPr="00981405">
        <w:t>accepted</w:t>
      </w:r>
      <w:r w:rsidR="00190923" w:rsidRPr="00981405">
        <w:t xml:space="preserve"> </w:t>
      </w:r>
      <w:r w:rsidRPr="00981405">
        <w:t>by</w:t>
      </w:r>
      <w:r w:rsidR="00190923" w:rsidRPr="00981405">
        <w:t xml:space="preserve"> </w:t>
      </w:r>
      <w:r w:rsidRPr="00981405">
        <w:t>States.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stressed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despite</w:t>
      </w:r>
      <w:r w:rsidR="00190923" w:rsidRPr="00981405">
        <w:t xml:space="preserve"> </w:t>
      </w:r>
      <w:r w:rsidRPr="00981405">
        <w:t>their</w:t>
      </w:r>
      <w:r w:rsidR="00190923" w:rsidRPr="00981405">
        <w:t xml:space="preserve"> </w:t>
      </w:r>
      <w:r w:rsidRPr="00981405">
        <w:t>importance,</w:t>
      </w:r>
      <w:r w:rsidR="00190923" w:rsidRPr="00981405">
        <w:t xml:space="preserve"> </w:t>
      </w:r>
      <w:r w:rsidRPr="00981405">
        <w:t>was</w:t>
      </w:r>
      <w:r w:rsidR="00190923" w:rsidRPr="00981405">
        <w:t xml:space="preserve"> </w:t>
      </w:r>
      <w:r w:rsidRPr="00981405">
        <w:t>not</w:t>
      </w:r>
      <w:r w:rsidR="00190923" w:rsidRPr="00981405">
        <w:t xml:space="preserve"> </w:t>
      </w:r>
      <w:r w:rsidRPr="00981405">
        <w:t>comparable</w:t>
      </w:r>
      <w:r w:rsidR="00190923" w:rsidRPr="00981405">
        <w:t xml:space="preserve"> </w:t>
      </w:r>
      <w:r w:rsidRPr="00981405">
        <w:t>to</w:t>
      </w:r>
      <w:r w:rsidR="00190923" w:rsidRPr="00981405">
        <w:t xml:space="preserve"> </w:t>
      </w:r>
      <w:r w:rsidRPr="00981405">
        <w:t>that</w:t>
      </w:r>
      <w:r w:rsidR="00190923" w:rsidRPr="00981405">
        <w:t xml:space="preserve"> </w:t>
      </w:r>
      <w:r w:rsidRPr="00981405">
        <w:t>of</w:t>
      </w:r>
      <w:r w:rsidR="00190923" w:rsidRPr="00981405">
        <w:t xml:space="preserve"> </w:t>
      </w:r>
      <w:r w:rsidRPr="00981405">
        <w:t>States.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such</w:t>
      </w:r>
      <w:r w:rsidR="00190923" w:rsidRPr="00981405">
        <w:t xml:space="preserve"> </w:t>
      </w:r>
      <w:r w:rsidRPr="00981405">
        <w:t>entities</w:t>
      </w:r>
      <w:r w:rsidR="00190923" w:rsidRPr="00981405">
        <w:t xml:space="preserve"> </w:t>
      </w:r>
      <w:r w:rsidRPr="00981405">
        <w:t>might</w:t>
      </w:r>
      <w:r w:rsidR="00190923" w:rsidRPr="00981405">
        <w:t xml:space="preserve"> </w:t>
      </w:r>
      <w:r w:rsidRPr="00981405">
        <w:t>have</w:t>
      </w:r>
      <w:r w:rsidR="00190923" w:rsidRPr="00981405">
        <w:t xml:space="preserve"> </w:t>
      </w:r>
      <w:r w:rsidRPr="00981405">
        <w:t>a</w:t>
      </w:r>
      <w:r w:rsidR="00190923" w:rsidRPr="00981405">
        <w:t xml:space="preserve"> </w:t>
      </w:r>
      <w:r w:rsidRPr="00981405">
        <w:t>role</w:t>
      </w:r>
      <w:r w:rsidR="00190923" w:rsidRPr="00981405">
        <w:t xml:space="preserve"> </w:t>
      </w:r>
      <w:r w:rsidRPr="00981405">
        <w:t>in</w:t>
      </w:r>
      <w:r w:rsidR="00190923" w:rsidRPr="00981405">
        <w:t xml:space="preserve"> </w:t>
      </w:r>
      <w:r w:rsidRPr="00981405">
        <w:t>the</w:t>
      </w:r>
      <w:r w:rsidR="00190923" w:rsidRPr="00981405">
        <w:t xml:space="preserve"> </w:t>
      </w:r>
      <w:r w:rsidRPr="00981405">
        <w:t>formation</w:t>
      </w:r>
      <w:r w:rsidR="00190923" w:rsidRPr="00981405">
        <w:t xml:space="preserve"> </w:t>
      </w:r>
      <w:r w:rsidRPr="00981405">
        <w:t>and</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00B92E2C" w:rsidRPr="00981405">
        <w:t>—</w:t>
      </w:r>
      <w:r w:rsidR="00190923" w:rsidRPr="00981405">
        <w:t xml:space="preserve"> </w:t>
      </w:r>
      <w:r w:rsidRPr="00981405">
        <w:t>but</w:t>
      </w:r>
      <w:r w:rsidR="00190923" w:rsidRPr="00981405">
        <w:t xml:space="preserve"> </w:t>
      </w:r>
      <w:r w:rsidRPr="00981405">
        <w:t>through</w:t>
      </w:r>
      <w:r w:rsidR="00190923" w:rsidRPr="00981405">
        <w:t xml:space="preserve"> </w:t>
      </w:r>
      <w:r w:rsidRPr="00981405">
        <w:t>prompting</w:t>
      </w:r>
      <w:r w:rsidR="00190923" w:rsidRPr="00981405">
        <w:t xml:space="preserve"> </w:t>
      </w:r>
      <w:r w:rsidRPr="00981405">
        <w:t>or</w:t>
      </w:r>
      <w:r w:rsidR="00190923" w:rsidRPr="00981405">
        <w:t xml:space="preserve"> </w:t>
      </w:r>
      <w:r w:rsidRPr="00981405">
        <w:t>recording</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and</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not</w:t>
      </w:r>
      <w:r w:rsidR="00190923" w:rsidRPr="00981405">
        <w:t xml:space="preserve"> </w:t>
      </w:r>
      <w:r w:rsidRPr="00981405">
        <w:t>by</w:t>
      </w:r>
      <w:r w:rsidR="00190923" w:rsidRPr="00981405">
        <w:t xml:space="preserve"> </w:t>
      </w:r>
      <w:r w:rsidRPr="00981405">
        <w:t>their</w:t>
      </w:r>
      <w:r w:rsidR="00190923" w:rsidRPr="00981405">
        <w:t xml:space="preserve"> </w:t>
      </w:r>
      <w:r w:rsidRPr="00981405">
        <w:t>own</w:t>
      </w:r>
      <w:r w:rsidR="00190923" w:rsidRPr="00981405">
        <w:t xml:space="preserve"> </w:t>
      </w:r>
      <w:r w:rsidRPr="00981405">
        <w:t>conduct</w:t>
      </w:r>
      <w:r w:rsidR="00190923" w:rsidRPr="00981405">
        <w:t xml:space="preserve"> </w:t>
      </w:r>
      <w:r w:rsidRPr="00981405">
        <w:t>as</w:t>
      </w:r>
      <w:r w:rsidR="00190923" w:rsidRPr="00981405">
        <w:t xml:space="preserve"> </w:t>
      </w:r>
      <w:r w:rsidRPr="00981405">
        <w:t>such.</w:t>
      </w:r>
    </w:p>
    <w:p w:rsidR="00397032" w:rsidRPr="00981405" w:rsidRDefault="00397032" w:rsidP="00D97463">
      <w:pPr>
        <w:pStyle w:val="SingleTxt"/>
      </w:pPr>
      <w:r w:rsidRPr="00981405">
        <w:t>100.</w:t>
      </w:r>
      <w:r w:rsidRPr="00981405">
        <w:tab/>
        <w:t>On</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inaction,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suggestion</w:t>
      </w:r>
      <w:r w:rsidR="00190923" w:rsidRPr="00981405">
        <w:t xml:space="preserve"> </w:t>
      </w:r>
      <w:r w:rsidRPr="00981405">
        <w:t>that</w:t>
      </w:r>
      <w:r w:rsidR="00190923" w:rsidRPr="00981405">
        <w:t xml:space="preserve"> </w:t>
      </w:r>
      <w:r w:rsidRPr="00981405">
        <w:t>the</w:t>
      </w:r>
      <w:r w:rsidR="00190923" w:rsidRPr="00981405">
        <w:t xml:space="preserve"> </w:t>
      </w:r>
      <w:r w:rsidRPr="00981405">
        <w:t>corresponding</w:t>
      </w:r>
      <w:r w:rsidR="00190923" w:rsidRPr="00981405">
        <w:t xml:space="preserve"> </w:t>
      </w:r>
      <w:r w:rsidRPr="00981405">
        <w:t>paragraph</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needed</w:t>
      </w:r>
      <w:r w:rsidR="00190923" w:rsidRPr="00981405">
        <w:t xml:space="preserve"> </w:t>
      </w:r>
      <w:r w:rsidRPr="00981405">
        <w:t>to</w:t>
      </w:r>
      <w:r w:rsidR="00190923" w:rsidRPr="00981405">
        <w:t xml:space="preserve"> </w:t>
      </w:r>
      <w:r w:rsidRPr="00981405">
        <w:t>reflect</w:t>
      </w:r>
      <w:r w:rsidR="00190923" w:rsidRPr="00981405">
        <w:t xml:space="preserve"> </w:t>
      </w:r>
      <w:r w:rsidRPr="00981405">
        <w:t>the</w:t>
      </w:r>
      <w:r w:rsidR="00190923" w:rsidRPr="00981405">
        <w:t xml:space="preserve"> </w:t>
      </w:r>
      <w:r w:rsidRPr="00981405">
        <w:t>essence</w:t>
      </w:r>
      <w:r w:rsidR="00190923" w:rsidRPr="00981405">
        <w:t xml:space="preserve"> </w:t>
      </w:r>
      <w:r w:rsidRPr="00981405">
        <w:t>of</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deserved</w:t>
      </w:r>
      <w:r w:rsidR="00190923" w:rsidRPr="00981405">
        <w:t xml:space="preserve"> </w:t>
      </w:r>
      <w:r w:rsidRPr="00981405">
        <w:t>serious</w:t>
      </w:r>
      <w:r w:rsidR="00190923" w:rsidRPr="00981405">
        <w:t xml:space="preserve"> </w:t>
      </w:r>
      <w:r w:rsidRPr="00981405">
        <w:t>consideration.</w:t>
      </w:r>
    </w:p>
    <w:p w:rsidR="00397032" w:rsidRPr="00981405" w:rsidRDefault="00397032" w:rsidP="00D97463">
      <w:pPr>
        <w:pStyle w:val="SingleTxt"/>
      </w:pPr>
      <w:r w:rsidRPr="00981405">
        <w:t>101.</w:t>
      </w:r>
      <w:r w:rsidRPr="00981405">
        <w:tab/>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treaties</w:t>
      </w:r>
      <w:r w:rsidR="00190923" w:rsidRPr="00981405">
        <w:t xml:space="preserve"> </w:t>
      </w:r>
      <w:r w:rsidRPr="00981405">
        <w:t>in</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rules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while</w:t>
      </w:r>
      <w:r w:rsidR="00190923" w:rsidRPr="00981405">
        <w:t xml:space="preserve"> </w:t>
      </w:r>
      <w:r w:rsidRPr="00981405">
        <w:t>acknowledging</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multilateral</w:t>
      </w:r>
      <w:r w:rsidR="00190923" w:rsidRPr="00981405">
        <w:t xml:space="preserve"> </w:t>
      </w:r>
      <w:r w:rsidRPr="00981405">
        <w:t>treaties,</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bilateral</w:t>
      </w:r>
      <w:r w:rsidR="00190923" w:rsidRPr="00981405">
        <w:t xml:space="preserve"> </w:t>
      </w:r>
      <w:r w:rsidRPr="00981405">
        <w:t>treaties</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excluded</w:t>
      </w:r>
      <w:r w:rsidR="00190923" w:rsidRPr="00981405">
        <w:t xml:space="preserve"> </w:t>
      </w:r>
      <w:r w:rsidRPr="00981405">
        <w:t>from</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their</w:t>
      </w:r>
      <w:r w:rsidR="00190923" w:rsidRPr="00981405">
        <w:t xml:space="preserve"> </w:t>
      </w:r>
      <w:r w:rsidRPr="00981405">
        <w:t>impact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approached</w:t>
      </w:r>
      <w:r w:rsidR="00190923" w:rsidRPr="00981405">
        <w:t xml:space="preserve"> </w:t>
      </w:r>
      <w:r w:rsidRPr="00981405">
        <w:t>with</w:t>
      </w:r>
      <w:r w:rsidR="00190923" w:rsidRPr="00981405">
        <w:t xml:space="preserve"> </w:t>
      </w:r>
      <w:r w:rsidRPr="00981405">
        <w:t>particular</w:t>
      </w:r>
      <w:r w:rsidR="00190923" w:rsidRPr="00981405">
        <w:t xml:space="preserve"> </w:t>
      </w:r>
      <w:r w:rsidRPr="00981405">
        <w:t>caution.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significance</w:t>
      </w:r>
      <w:r w:rsidR="00190923" w:rsidRPr="00981405">
        <w:t xml:space="preserve"> </w:t>
      </w:r>
      <w:r w:rsidRPr="00981405">
        <w:t>of</w:t>
      </w:r>
      <w:r w:rsidR="00190923" w:rsidRPr="00981405">
        <w:t xml:space="preserve"> </w:t>
      </w:r>
      <w:r w:rsidRPr="00981405">
        <w:t>article</w:t>
      </w:r>
      <w:r w:rsidR="00190923" w:rsidRPr="00981405">
        <w:t xml:space="preserve"> </w:t>
      </w:r>
      <w:r w:rsidRPr="00981405">
        <w:t>38</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Pr="00981405">
        <w:t>would</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notion</w:t>
      </w:r>
      <w:r w:rsidR="00190923" w:rsidRPr="00981405">
        <w:t xml:space="preserve"> </w:t>
      </w:r>
      <w:r w:rsidRPr="00981405">
        <w:t>of</w:t>
      </w:r>
      <w:r w:rsidR="00190923" w:rsidRPr="00981405">
        <w:t xml:space="preserve"> </w:t>
      </w:r>
      <w:r w:rsidR="00B92E2C" w:rsidRPr="00981405">
        <w:t>“</w:t>
      </w:r>
      <w:r w:rsidRPr="00981405">
        <w:t>fundamentally</w:t>
      </w:r>
      <w:r w:rsidR="00190923" w:rsidRPr="00981405">
        <w:t xml:space="preserve"> </w:t>
      </w:r>
      <w:r w:rsidRPr="00981405">
        <w:t>norm-creating</w:t>
      </w:r>
      <w:r w:rsidR="00190923" w:rsidRPr="00981405">
        <w:t xml:space="preserve"> </w:t>
      </w:r>
      <w:r w:rsidRPr="00981405">
        <w:t>character</w:t>
      </w:r>
      <w:r w:rsidR="00B92E2C" w:rsidRPr="00981405">
        <w:t>”</w:t>
      </w:r>
      <w:r w:rsidR="00190923" w:rsidRPr="00981405">
        <w:t xml:space="preserve"> </w:t>
      </w:r>
      <w:r w:rsidRPr="00981405">
        <w:t>would</w:t>
      </w:r>
      <w:r w:rsidR="00190923" w:rsidRPr="00981405">
        <w:t xml:space="preserve"> </w:t>
      </w:r>
      <w:r w:rsidRPr="00981405">
        <w:t>be</w:t>
      </w:r>
      <w:r w:rsidR="00190923" w:rsidRPr="00981405">
        <w:t xml:space="preserve"> </w:t>
      </w:r>
      <w:r w:rsidRPr="00981405">
        <w:t>captured</w:t>
      </w:r>
      <w:r w:rsidR="00190923" w:rsidRPr="00981405">
        <w:t xml:space="preserve"> </w:t>
      </w:r>
      <w:r w:rsidRPr="00981405">
        <w:t>therein.</w:t>
      </w:r>
    </w:p>
    <w:p w:rsidR="00397032" w:rsidRPr="00981405" w:rsidRDefault="00397032" w:rsidP="00D97463">
      <w:pPr>
        <w:pStyle w:val="SingleTxt"/>
      </w:pPr>
      <w:r w:rsidRPr="00981405">
        <w:t>102.</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on</w:t>
      </w:r>
      <w:r w:rsidR="00190923" w:rsidRPr="00981405">
        <w:t xml:space="preserve"> </w:t>
      </w:r>
      <w:r w:rsidRPr="00981405">
        <w:t>resolutions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conferences</w:t>
      </w:r>
      <w:r w:rsidR="00190923" w:rsidRPr="00981405">
        <w:t xml:space="preserve"> </w:t>
      </w:r>
      <w:r w:rsidRPr="00981405">
        <w:t>had</w:t>
      </w:r>
      <w:r w:rsidR="00190923" w:rsidRPr="00981405">
        <w:t xml:space="preserve"> </w:t>
      </w:r>
      <w:r w:rsidRPr="00981405">
        <w:t>not</w:t>
      </w:r>
      <w:r w:rsidR="00190923" w:rsidRPr="00981405">
        <w:t xml:space="preserve"> </w:t>
      </w:r>
      <w:r w:rsidRPr="00981405">
        <w:t>been</w:t>
      </w:r>
      <w:r w:rsidR="00190923" w:rsidRPr="00981405">
        <w:t xml:space="preserve"> </w:t>
      </w:r>
      <w:r w:rsidRPr="00981405">
        <w:t>particularly</w:t>
      </w:r>
      <w:r w:rsidR="00190923" w:rsidRPr="00981405">
        <w:t xml:space="preserve"> </w:t>
      </w:r>
      <w:r w:rsidRPr="00981405">
        <w:t>controversial</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He</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their</w:t>
      </w:r>
      <w:r w:rsidR="00190923" w:rsidRPr="00981405">
        <w:t xml:space="preserve"> </w:t>
      </w:r>
      <w:r w:rsidRPr="00981405">
        <w:t>role</w:t>
      </w:r>
      <w:r w:rsidR="00190923" w:rsidRPr="00981405">
        <w:t xml:space="preserve"> </w:t>
      </w:r>
      <w:r w:rsidRPr="00981405">
        <w:t>could</w:t>
      </w:r>
      <w:r w:rsidR="00190923" w:rsidRPr="00981405">
        <w:t xml:space="preserve"> </w:t>
      </w:r>
      <w:r w:rsidRPr="00981405">
        <w:t>be</w:t>
      </w:r>
      <w:r w:rsidR="00190923" w:rsidRPr="00981405">
        <w:t xml:space="preserve"> </w:t>
      </w:r>
      <w:r w:rsidRPr="00981405">
        <w:t>expressed</w:t>
      </w:r>
      <w:r w:rsidR="00190923" w:rsidRPr="00981405">
        <w:t xml:space="preserve"> </w:t>
      </w:r>
      <w:r w:rsidRPr="00981405">
        <w:t>more</w:t>
      </w:r>
      <w:r w:rsidR="00190923" w:rsidRPr="00981405">
        <w:t xml:space="preserve"> </w:t>
      </w:r>
      <w:r w:rsidRPr="00981405">
        <w:t>positively,</w:t>
      </w:r>
      <w:r w:rsidR="00190923" w:rsidRPr="00981405">
        <w:t xml:space="preserve"> </w:t>
      </w:r>
      <w:r w:rsidRPr="00981405">
        <w:t>even</w:t>
      </w:r>
      <w:r w:rsidR="00190923" w:rsidRPr="00981405">
        <w:t xml:space="preserve"> </w:t>
      </w:r>
      <w:r w:rsidRPr="00981405">
        <w:t>if</w:t>
      </w:r>
      <w:r w:rsidR="00190923" w:rsidRPr="00981405">
        <w:t xml:space="preserve"> </w:t>
      </w:r>
      <w:r w:rsidRPr="00981405">
        <w:t>such</w:t>
      </w:r>
      <w:r w:rsidR="00190923" w:rsidRPr="00981405">
        <w:t xml:space="preserve"> </w:t>
      </w:r>
      <w:r w:rsidRPr="00981405">
        <w:t>resolutions</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referred</w:t>
      </w:r>
      <w:r w:rsidR="00190923" w:rsidRPr="00981405">
        <w:t xml:space="preserve"> </w:t>
      </w:r>
      <w:r w:rsidRPr="00981405">
        <w:t>to</w:t>
      </w:r>
      <w:r w:rsidR="00190923" w:rsidRPr="00981405">
        <w:t xml:space="preserve"> </w:t>
      </w:r>
      <w:r w:rsidRPr="00981405">
        <w:t>with</w:t>
      </w:r>
      <w:r w:rsidR="00190923" w:rsidRPr="00981405">
        <w:t xml:space="preserve"> </w:t>
      </w:r>
      <w:r w:rsidRPr="00981405">
        <w:t>caution.</w:t>
      </w:r>
    </w:p>
    <w:p w:rsidR="00397032" w:rsidRPr="00981405" w:rsidRDefault="00397032" w:rsidP="00D97463">
      <w:pPr>
        <w:pStyle w:val="SingleTxt"/>
      </w:pPr>
      <w:r w:rsidRPr="00981405">
        <w:t>103.</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on</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and</w:t>
      </w:r>
      <w:r w:rsidR="00190923" w:rsidRPr="00981405">
        <w:t xml:space="preserve"> </w:t>
      </w:r>
      <w:r w:rsidRPr="00981405">
        <w:t>writings</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developed</w:t>
      </w:r>
      <w:r w:rsidR="00190923" w:rsidRPr="00981405">
        <w:t xml:space="preserve"> </w:t>
      </w:r>
      <w:r w:rsidRPr="00981405">
        <w:t>further</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two</w:t>
      </w:r>
      <w:r w:rsidR="00190923" w:rsidRPr="00981405">
        <w:t xml:space="preserve"> </w:t>
      </w:r>
      <w:r w:rsidRPr="00981405">
        <w:t>sources</w:t>
      </w:r>
      <w:r w:rsidR="00190923" w:rsidRPr="00981405">
        <w:t xml:space="preserve"> </w:t>
      </w:r>
      <w:r w:rsidRPr="00981405">
        <w:t>should</w:t>
      </w:r>
      <w:r w:rsidR="00190923" w:rsidRPr="00981405">
        <w:t xml:space="preserve"> </w:t>
      </w:r>
      <w:r w:rsidRPr="00981405">
        <w:t>be</w:t>
      </w:r>
      <w:r w:rsidR="00190923" w:rsidRPr="00981405">
        <w:t xml:space="preserve"> </w:t>
      </w:r>
      <w:r w:rsidRPr="00981405">
        <w:t>dealt</w:t>
      </w:r>
      <w:r w:rsidR="00190923" w:rsidRPr="00981405">
        <w:t xml:space="preserve"> </w:t>
      </w:r>
      <w:r w:rsidRPr="00981405">
        <w:t>with</w:t>
      </w:r>
      <w:r w:rsidR="00190923" w:rsidRPr="00981405">
        <w:t xml:space="preserve"> </w:t>
      </w:r>
      <w:r w:rsidRPr="00981405">
        <w:t>in</w:t>
      </w:r>
      <w:r w:rsidR="00190923" w:rsidRPr="00981405">
        <w:t xml:space="preserve"> </w:t>
      </w:r>
      <w:r w:rsidRPr="00981405">
        <w:t>separate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concurred</w:t>
      </w:r>
      <w:r w:rsidR="00190923" w:rsidRPr="00981405">
        <w:t xml:space="preserve"> </w:t>
      </w:r>
      <w:r w:rsidRPr="00981405">
        <w:t>with</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in</w:t>
      </w:r>
      <w:r w:rsidR="00190923" w:rsidRPr="00981405">
        <w:t xml:space="preserve"> </w:t>
      </w:r>
      <w:r w:rsidRPr="00981405">
        <w:t>reality</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came</w:t>
      </w:r>
      <w:r w:rsidR="00190923" w:rsidRPr="00981405">
        <w:t xml:space="preserve"> </w:t>
      </w:r>
      <w:r w:rsidRPr="00981405">
        <w:t>into</w:t>
      </w:r>
      <w:r w:rsidR="00190923" w:rsidRPr="00981405">
        <w:t xml:space="preserve"> </w:t>
      </w:r>
      <w:r w:rsidRPr="00981405">
        <w:t>play</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single</w:t>
      </w:r>
      <w:r w:rsidR="00190923" w:rsidRPr="00981405">
        <w:t xml:space="preserve"> </w:t>
      </w:r>
      <w:r w:rsidRPr="00981405">
        <w:t>process</w:t>
      </w:r>
      <w:r w:rsidR="00190923" w:rsidRPr="00981405">
        <w:t xml:space="preserve"> </w:t>
      </w:r>
      <w:r w:rsidRPr="00981405">
        <w:t>of</w:t>
      </w:r>
      <w:r w:rsidR="00190923" w:rsidRPr="00981405">
        <w:t xml:space="preserve"> </w:t>
      </w:r>
      <w:r w:rsidRPr="00981405">
        <w:t>determining</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a</w:t>
      </w:r>
      <w:r w:rsidR="00190923" w:rsidRPr="00981405">
        <w:t xml:space="preserve"> </w:t>
      </w:r>
      <w:r w:rsidRPr="00981405">
        <w:t>certain</w:t>
      </w:r>
      <w:r w:rsidR="00190923" w:rsidRPr="00981405">
        <w:t xml:space="preserve"> </w:t>
      </w:r>
      <w:r w:rsidRPr="00981405">
        <w:t>customary</w:t>
      </w:r>
      <w:r w:rsidR="00190923" w:rsidRPr="00981405">
        <w:t xml:space="preserve"> </w:t>
      </w:r>
      <w:r w:rsidRPr="00981405">
        <w:t>rule</w:t>
      </w:r>
      <w:r w:rsidR="00190923" w:rsidRPr="00981405">
        <w:t xml:space="preserve"> </w:t>
      </w:r>
      <w:r w:rsidRPr="00981405">
        <w:t>existed.</w:t>
      </w:r>
      <w:r w:rsidR="00190923" w:rsidRPr="00981405">
        <w:t xml:space="preserve"> </w:t>
      </w:r>
      <w:r w:rsidRPr="00981405">
        <w:t>He</w:t>
      </w:r>
      <w:r w:rsidR="00190923" w:rsidRPr="00981405">
        <w:t xml:space="preserve"> </w:t>
      </w:r>
      <w:r w:rsidRPr="00981405">
        <w:t>also</w:t>
      </w:r>
      <w:r w:rsidR="00190923" w:rsidRPr="00981405">
        <w:t xml:space="preserve"> </w:t>
      </w:r>
      <w:r w:rsidRPr="00981405">
        <w:t>recognized</w:t>
      </w:r>
      <w:r w:rsidR="00190923" w:rsidRPr="00981405">
        <w:t xml:space="preserve"> </w:t>
      </w:r>
      <w:r w:rsidRPr="00981405">
        <w:t>that</w:t>
      </w:r>
      <w:r w:rsidR="00190923" w:rsidRPr="00981405">
        <w:t xml:space="preserve"> </w:t>
      </w:r>
      <w:r w:rsidRPr="00981405">
        <w:t>separate</w:t>
      </w:r>
      <w:r w:rsidR="00190923" w:rsidRPr="00981405">
        <w:t xml:space="preserve"> </w:t>
      </w:r>
      <w:r w:rsidRPr="00981405">
        <w:t>and</w:t>
      </w:r>
      <w:r w:rsidR="00190923" w:rsidRPr="00981405">
        <w:t xml:space="preserve"> </w:t>
      </w:r>
      <w:r w:rsidRPr="00981405">
        <w:t>dissenting</w:t>
      </w:r>
      <w:r w:rsidR="00190923" w:rsidRPr="00981405">
        <w:t xml:space="preserve"> </w:t>
      </w:r>
      <w:r w:rsidRPr="00981405">
        <w:t>opinions,</w:t>
      </w:r>
      <w:r w:rsidR="00190923" w:rsidRPr="00981405">
        <w:t xml:space="preserve"> </w:t>
      </w:r>
      <w:r w:rsidRPr="00981405">
        <w:t>while</w:t>
      </w:r>
      <w:r w:rsidR="00190923" w:rsidRPr="00981405">
        <w:t xml:space="preserve"> </w:t>
      </w:r>
      <w:r w:rsidRPr="00981405">
        <w:t>in</w:t>
      </w:r>
      <w:r w:rsidR="00190923" w:rsidRPr="00981405">
        <w:t xml:space="preserve"> </w:t>
      </w:r>
      <w:r w:rsidRPr="00981405">
        <w:t>his</w:t>
      </w:r>
      <w:r w:rsidR="00190923" w:rsidRPr="00981405">
        <w:t xml:space="preserve"> </w:t>
      </w:r>
      <w:r w:rsidRPr="00981405">
        <w:t>view</w:t>
      </w:r>
      <w:r w:rsidR="00190923" w:rsidRPr="00981405">
        <w:t xml:space="preserve"> </w:t>
      </w:r>
      <w:r w:rsidRPr="00981405">
        <w:t>not</w:t>
      </w:r>
      <w:r w:rsidR="00190923" w:rsidRPr="00981405">
        <w:t xml:space="preserve"> </w:t>
      </w:r>
      <w:r w:rsidRPr="00981405">
        <w:t>judicial</w:t>
      </w:r>
      <w:r w:rsidR="00190923" w:rsidRPr="00981405">
        <w:t xml:space="preserve"> </w:t>
      </w:r>
      <w:r w:rsidRPr="00981405">
        <w:t>decisions</w:t>
      </w:r>
      <w:r w:rsidR="00190923" w:rsidRPr="00981405">
        <w:t xml:space="preserve"> </w:t>
      </w:r>
      <w:r w:rsidRPr="00981405">
        <w:t>within</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Article</w:t>
      </w:r>
      <w:r w:rsidR="00190923" w:rsidRPr="00981405">
        <w:t xml:space="preserve"> </w:t>
      </w:r>
      <w:r w:rsidRPr="00981405">
        <w:t>38,</w:t>
      </w:r>
      <w:r w:rsidR="00190923" w:rsidRPr="00981405">
        <w:t xml:space="preserve"> </w:t>
      </w:r>
      <w:r w:rsidRPr="00981405">
        <w:t>paragraph</w:t>
      </w:r>
      <w:r w:rsidR="00190923" w:rsidRPr="00981405">
        <w:t xml:space="preserve"> </w:t>
      </w:r>
      <w:r w:rsidRPr="00981405">
        <w:t>(1)</w:t>
      </w:r>
      <w:r w:rsidR="00190923" w:rsidRPr="00981405">
        <w:t xml:space="preserve"> </w:t>
      </w:r>
      <w:r w:rsidRPr="00981405">
        <w:t>(d),</w:t>
      </w:r>
      <w:r w:rsidR="00190923" w:rsidRPr="00981405">
        <w:t xml:space="preserve"> </w:t>
      </w:r>
      <w:r w:rsidRPr="00981405">
        <w:t>were</w:t>
      </w:r>
      <w:r w:rsidR="00190923" w:rsidRPr="00981405">
        <w:t xml:space="preserve"> </w:t>
      </w:r>
      <w:r w:rsidRPr="00981405">
        <w:t>not</w:t>
      </w:r>
      <w:r w:rsidR="00190923" w:rsidRPr="00981405">
        <w:t xml:space="preserve"> </w:t>
      </w:r>
      <w:r w:rsidRPr="00981405">
        <w:t>without</w:t>
      </w:r>
      <w:r w:rsidR="00190923" w:rsidRPr="00981405">
        <w:t xml:space="preserve"> </w:t>
      </w:r>
      <w:r w:rsidRPr="00981405">
        <w:t>importance</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by</w:t>
      </w:r>
      <w:r w:rsidR="00190923" w:rsidRPr="00981405">
        <w:t xml:space="preserve"> </w:t>
      </w:r>
      <w:r w:rsidR="00B92E2C" w:rsidRPr="00981405">
        <w:t>“</w:t>
      </w:r>
      <w:r w:rsidRPr="00981405">
        <w:t>writings</w:t>
      </w:r>
      <w:r w:rsidR="00B92E2C" w:rsidRPr="00981405">
        <w:t>”</w:t>
      </w:r>
      <w:r w:rsidRPr="00981405">
        <w:t>,</w:t>
      </w:r>
      <w:r w:rsidR="00190923" w:rsidRPr="00981405">
        <w:t xml:space="preserve"> </w:t>
      </w:r>
      <w:r w:rsidRPr="00981405">
        <w:t>he</w:t>
      </w:r>
      <w:r w:rsidR="00190923" w:rsidRPr="00981405">
        <w:t xml:space="preserve"> </w:t>
      </w:r>
      <w:r w:rsidRPr="00981405">
        <w:t>was</w:t>
      </w:r>
      <w:r w:rsidR="00190923" w:rsidRPr="00981405">
        <w:t xml:space="preserve"> </w:t>
      </w:r>
      <w:r w:rsidRPr="00981405">
        <w:t>referring</w:t>
      </w:r>
      <w:r w:rsidR="00190923" w:rsidRPr="00981405">
        <w:t xml:space="preserve"> </w:t>
      </w:r>
      <w:r w:rsidRPr="00981405">
        <w:t>to</w:t>
      </w:r>
      <w:r w:rsidR="00190923" w:rsidRPr="00981405">
        <w:t xml:space="preserve"> </w:t>
      </w:r>
      <w:r w:rsidRPr="00981405">
        <w:t>the</w:t>
      </w:r>
      <w:r w:rsidR="00190923" w:rsidRPr="00981405">
        <w:t xml:space="preserve"> </w:t>
      </w:r>
      <w:r w:rsidR="00B92E2C" w:rsidRPr="00981405">
        <w:t>“</w:t>
      </w:r>
      <w:r w:rsidRPr="00981405">
        <w:t>writings</w:t>
      </w:r>
      <w:r w:rsidR="00190923" w:rsidRPr="00981405">
        <w:t xml:space="preserve"> </w:t>
      </w:r>
      <w:r w:rsidRPr="00981405">
        <w:t>of</w:t>
      </w:r>
      <w:r w:rsidR="00190923" w:rsidRPr="00981405">
        <w:t xml:space="preserve"> </w:t>
      </w:r>
      <w:r w:rsidRPr="00981405">
        <w:t>jurists</w:t>
      </w:r>
      <w:r w:rsidR="00B92E2C" w:rsidRPr="00981405">
        <w:t>”</w:t>
      </w:r>
      <w:r w:rsidRPr="00981405">
        <w:t>.</w:t>
      </w:r>
      <w:r w:rsidR="00190923" w:rsidRPr="00981405">
        <w:t xml:space="preserve"> </w:t>
      </w:r>
      <w:r w:rsidRPr="00981405">
        <w:t>He</w:t>
      </w:r>
      <w:r w:rsidR="00190923" w:rsidRPr="00981405">
        <w:t xml:space="preserve"> </w:t>
      </w:r>
      <w:r w:rsidRPr="00981405">
        <w:t>also</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considering</w:t>
      </w:r>
      <w:r w:rsidR="00190923" w:rsidRPr="00981405">
        <w:t xml:space="preserve"> </w:t>
      </w:r>
      <w:r w:rsidRPr="00981405">
        <w:t>the</w:t>
      </w:r>
      <w:r w:rsidR="00190923" w:rsidRPr="00981405">
        <w:t xml:space="preserve"> </w:t>
      </w:r>
      <w:r w:rsidRPr="00981405">
        <w:t>writings</w:t>
      </w:r>
      <w:r w:rsidR="00190923" w:rsidRPr="00981405">
        <w:t xml:space="preserve"> </w:t>
      </w:r>
      <w:r w:rsidRPr="00981405">
        <w:t>of</w:t>
      </w:r>
      <w:r w:rsidR="00190923" w:rsidRPr="00981405">
        <w:t xml:space="preserve"> </w:t>
      </w:r>
      <w:r w:rsidRPr="00981405">
        <w:t>jurists</w:t>
      </w:r>
      <w:r w:rsidR="00190923" w:rsidRPr="00981405">
        <w:t xml:space="preserve"> </w:t>
      </w:r>
      <w:r w:rsidRPr="00981405">
        <w:t>representing</w:t>
      </w:r>
      <w:r w:rsidR="00190923" w:rsidRPr="00981405">
        <w:t xml:space="preserve"> </w:t>
      </w:r>
      <w:r w:rsidRPr="00981405">
        <w:t>different</w:t>
      </w:r>
      <w:r w:rsidR="00190923" w:rsidRPr="00981405">
        <w:t xml:space="preserve"> </w:t>
      </w:r>
      <w:r w:rsidRPr="00981405">
        <w:t>legal</w:t>
      </w:r>
      <w:r w:rsidR="00190923" w:rsidRPr="00981405">
        <w:t xml:space="preserve"> </w:t>
      </w:r>
      <w:r w:rsidRPr="00981405">
        <w:t>systems</w:t>
      </w:r>
      <w:r w:rsidR="00190923" w:rsidRPr="00981405">
        <w:t xml:space="preserve"> </w:t>
      </w:r>
      <w:r w:rsidRPr="00981405">
        <w:t>of</w:t>
      </w:r>
      <w:r w:rsidR="00190923" w:rsidRPr="00981405">
        <w:t xml:space="preserve"> </w:t>
      </w:r>
      <w:r w:rsidRPr="00981405">
        <w:t>the</w:t>
      </w:r>
      <w:r w:rsidR="00190923" w:rsidRPr="00981405">
        <w:t xml:space="preserve"> </w:t>
      </w:r>
      <w:r w:rsidRPr="00981405">
        <w:t>world</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reflected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p>
    <w:p w:rsidR="00397032" w:rsidRPr="00981405" w:rsidRDefault="00397032" w:rsidP="00D97463">
      <w:pPr>
        <w:pStyle w:val="SingleTxt"/>
      </w:pPr>
      <w:r w:rsidRPr="00981405">
        <w:t>104.</w:t>
      </w:r>
      <w:r w:rsidR="00BF1D0D" w:rsidRPr="00981405">
        <w:tab/>
      </w:r>
      <w:r w:rsidRPr="00981405">
        <w:rPr>
          <w:rFonts w:eastAsia="Calibri"/>
        </w:rPr>
        <w:t>The</w:t>
      </w:r>
      <w:r w:rsidR="00190923" w:rsidRPr="00981405">
        <w:rPr>
          <w:rFonts w:eastAsia="Calibri"/>
        </w:rPr>
        <w:t xml:space="preserve"> </w:t>
      </w:r>
      <w:r w:rsidRPr="00981405">
        <w:rPr>
          <w:rFonts w:eastAsia="Calibri"/>
        </w:rPr>
        <w:t>Special</w:t>
      </w:r>
      <w:r w:rsidR="00190923" w:rsidRPr="00981405">
        <w:rPr>
          <w:rFonts w:eastAsia="Calibri"/>
        </w:rPr>
        <w:t xml:space="preserve"> </w:t>
      </w:r>
      <w:r w:rsidRPr="00981405">
        <w:rPr>
          <w:rFonts w:eastAsia="Calibri"/>
        </w:rPr>
        <w:t>Rapporteur</w:t>
      </w:r>
      <w:r w:rsidR="00190923" w:rsidRPr="00981405">
        <w:rPr>
          <w:rFonts w:eastAsia="Calibri"/>
        </w:rPr>
        <w:t xml:space="preserve"> </w:t>
      </w:r>
      <w:r w:rsidRPr="00981405">
        <w:rPr>
          <w:rFonts w:eastAsia="Calibri"/>
        </w:rPr>
        <w:t>noted</w:t>
      </w:r>
      <w:r w:rsidR="00190923" w:rsidRPr="00981405">
        <w:rPr>
          <w:rFonts w:eastAsia="Calibri"/>
        </w:rPr>
        <w:t xml:space="preserve"> </w:t>
      </w:r>
      <w:r w:rsidRPr="00981405">
        <w:rPr>
          <w:rFonts w:eastAsia="Calibri"/>
        </w:rPr>
        <w:t>that</w:t>
      </w:r>
      <w:r w:rsidR="00190923" w:rsidRPr="00981405">
        <w:rPr>
          <w:rFonts w:eastAsia="Calibri"/>
        </w:rPr>
        <w:t xml:space="preserve"> </w:t>
      </w:r>
      <w:r w:rsidRPr="00981405">
        <w:rPr>
          <w:rFonts w:eastAsia="Calibri"/>
        </w:rPr>
        <w:t>many</w:t>
      </w:r>
      <w:r w:rsidR="00190923" w:rsidRPr="00981405">
        <w:rPr>
          <w:rFonts w:eastAsia="Calibri"/>
        </w:rPr>
        <w:t xml:space="preserve"> </w:t>
      </w:r>
      <w:r w:rsidRPr="00981405">
        <w:rPr>
          <w:rFonts w:eastAsia="Calibri"/>
        </w:rPr>
        <w:t>colleagues</w:t>
      </w:r>
      <w:r w:rsidR="00190923" w:rsidRPr="00981405">
        <w:rPr>
          <w:rFonts w:eastAsia="Calibri"/>
        </w:rPr>
        <w:t xml:space="preserve"> </w:t>
      </w:r>
      <w:r w:rsidRPr="00981405">
        <w:rPr>
          <w:rFonts w:eastAsia="Calibri"/>
        </w:rPr>
        <w:t>had</w:t>
      </w:r>
      <w:r w:rsidR="00190923" w:rsidRPr="00981405">
        <w:rPr>
          <w:rFonts w:eastAsia="Calibri"/>
        </w:rPr>
        <w:t xml:space="preserve"> </w:t>
      </w:r>
      <w:r w:rsidRPr="00981405">
        <w:rPr>
          <w:rFonts w:eastAsia="Calibri"/>
        </w:rPr>
        <w:t>suggested</w:t>
      </w:r>
      <w:r w:rsidR="00190923" w:rsidRPr="00981405">
        <w:rPr>
          <w:rFonts w:eastAsia="Calibri"/>
        </w:rPr>
        <w:t xml:space="preserve"> </w:t>
      </w:r>
      <w:r w:rsidRPr="00981405">
        <w:rPr>
          <w:rFonts w:eastAsia="Calibri"/>
        </w:rPr>
        <w:t>that</w:t>
      </w:r>
      <w:r w:rsidR="00190923" w:rsidRPr="00981405">
        <w:rPr>
          <w:rFonts w:eastAsia="Calibri"/>
        </w:rPr>
        <w:t xml:space="preserve"> </w:t>
      </w:r>
      <w:r w:rsidRPr="00981405">
        <w:rPr>
          <w:rFonts w:eastAsia="Calibri"/>
        </w:rPr>
        <w:t>there</w:t>
      </w:r>
      <w:r w:rsidR="00190923" w:rsidRPr="00981405">
        <w:rPr>
          <w:rFonts w:eastAsia="Calibri"/>
        </w:rPr>
        <w:t xml:space="preserve"> </w:t>
      </w:r>
      <w:r w:rsidRPr="00981405">
        <w:rPr>
          <w:rFonts w:eastAsia="Calibri"/>
        </w:rPr>
        <w:t>should</w:t>
      </w:r>
      <w:r w:rsidR="00190923" w:rsidRPr="00981405">
        <w:rPr>
          <w:rFonts w:eastAsia="Calibri"/>
        </w:rPr>
        <w:t xml:space="preserve"> </w:t>
      </w:r>
      <w:r w:rsidRPr="00981405">
        <w:rPr>
          <w:rFonts w:eastAsia="Calibri"/>
        </w:rPr>
        <w:t>be</w:t>
      </w:r>
      <w:r w:rsidR="00190923" w:rsidRPr="00981405">
        <w:rPr>
          <w:rFonts w:eastAsia="Calibri"/>
        </w:rPr>
        <w:t xml:space="preserve"> </w:t>
      </w:r>
      <w:r w:rsidRPr="00981405">
        <w:rPr>
          <w:rFonts w:eastAsia="Calibri"/>
        </w:rPr>
        <w:t>a</w:t>
      </w:r>
      <w:r w:rsidR="00190923" w:rsidRPr="00981405">
        <w:rPr>
          <w:rFonts w:eastAsia="Calibri"/>
        </w:rPr>
        <w:t xml:space="preserve"> </w:t>
      </w:r>
      <w:r w:rsidRPr="00981405">
        <w:rPr>
          <w:rFonts w:eastAsia="Calibri"/>
        </w:rPr>
        <w:t>separate</w:t>
      </w:r>
      <w:r w:rsidR="00190923" w:rsidRPr="00981405">
        <w:rPr>
          <w:rFonts w:eastAsia="Calibri"/>
        </w:rPr>
        <w:t xml:space="preserve"> </w:t>
      </w:r>
      <w:r w:rsidRPr="00981405">
        <w:rPr>
          <w:rFonts w:eastAsia="Calibri"/>
        </w:rPr>
        <w:t>conclusion</w:t>
      </w:r>
      <w:r w:rsidR="00190923" w:rsidRPr="00981405">
        <w:rPr>
          <w:rFonts w:eastAsia="Calibri"/>
        </w:rPr>
        <w:t xml:space="preserve"> </w:t>
      </w:r>
      <w:r w:rsidRPr="00981405">
        <w:rPr>
          <w:rFonts w:eastAsia="Calibri"/>
        </w:rPr>
        <w:t>on</w:t>
      </w:r>
      <w:r w:rsidR="00190923" w:rsidRPr="00981405">
        <w:rPr>
          <w:rFonts w:eastAsia="Calibri"/>
        </w:rPr>
        <w:t xml:space="preserve"> </w:t>
      </w:r>
      <w:r w:rsidRPr="00981405">
        <w:rPr>
          <w:rFonts w:eastAsia="Calibri"/>
        </w:rPr>
        <w:t>work</w:t>
      </w:r>
      <w:r w:rsidR="00190923" w:rsidRPr="00981405">
        <w:rPr>
          <w:rFonts w:eastAsia="Calibri"/>
        </w:rPr>
        <w:t xml:space="preserve"> </w:t>
      </w:r>
      <w:r w:rsidRPr="00981405">
        <w:rPr>
          <w:rFonts w:eastAsia="Calibri"/>
        </w:rPr>
        <w:t>of</w:t>
      </w:r>
      <w:r w:rsidR="00190923" w:rsidRPr="00981405">
        <w:rPr>
          <w:rFonts w:eastAsia="Calibri"/>
        </w:rPr>
        <w:t xml:space="preserve"> </w:t>
      </w:r>
      <w:r w:rsidRPr="00981405">
        <w:rPr>
          <w:rFonts w:eastAsia="Calibri"/>
        </w:rPr>
        <w:t>the</w:t>
      </w:r>
      <w:r w:rsidR="00190923" w:rsidRPr="00981405">
        <w:rPr>
          <w:rFonts w:eastAsia="Calibri"/>
        </w:rPr>
        <w:t xml:space="preserve"> </w:t>
      </w:r>
      <w:r w:rsidRPr="00981405">
        <w:rPr>
          <w:rFonts w:eastAsia="Calibri"/>
        </w:rPr>
        <w:t>International</w:t>
      </w:r>
      <w:r w:rsidR="00190923" w:rsidRPr="00981405">
        <w:rPr>
          <w:rFonts w:eastAsia="Calibri"/>
        </w:rPr>
        <w:t xml:space="preserve"> </w:t>
      </w:r>
      <w:r w:rsidRPr="00981405">
        <w:rPr>
          <w:rFonts w:eastAsia="Calibri"/>
        </w:rPr>
        <w:t>Law</w:t>
      </w:r>
      <w:r w:rsidR="00190923" w:rsidRPr="00981405">
        <w:rPr>
          <w:rFonts w:eastAsia="Calibri"/>
        </w:rPr>
        <w:t xml:space="preserve"> </w:t>
      </w:r>
      <w:r w:rsidRPr="00981405">
        <w:rPr>
          <w:rFonts w:eastAsia="Calibri"/>
        </w:rPr>
        <w:t>Commission.</w:t>
      </w:r>
      <w:r w:rsidR="00190923" w:rsidRPr="00981405">
        <w:rPr>
          <w:rFonts w:eastAsia="Calibri"/>
        </w:rPr>
        <w:t xml:space="preserve"> </w:t>
      </w:r>
      <w:r w:rsidRPr="00981405">
        <w:rPr>
          <w:rFonts w:eastAsia="Calibri"/>
        </w:rPr>
        <w:t>He</w:t>
      </w:r>
      <w:r w:rsidR="00190923" w:rsidRPr="00981405">
        <w:rPr>
          <w:rFonts w:eastAsia="Calibri"/>
        </w:rPr>
        <w:t xml:space="preserve"> </w:t>
      </w:r>
      <w:r w:rsidRPr="00981405">
        <w:rPr>
          <w:rFonts w:eastAsia="Calibri"/>
        </w:rPr>
        <w:t>was</w:t>
      </w:r>
      <w:r w:rsidR="00190923" w:rsidRPr="00981405">
        <w:rPr>
          <w:rFonts w:eastAsia="Calibri"/>
        </w:rPr>
        <w:t xml:space="preserve"> </w:t>
      </w:r>
      <w:r w:rsidRPr="00981405">
        <w:rPr>
          <w:rFonts w:eastAsia="Calibri"/>
        </w:rPr>
        <w:t>not</w:t>
      </w:r>
      <w:r w:rsidR="00190923" w:rsidRPr="00981405">
        <w:rPr>
          <w:rFonts w:eastAsia="Calibri"/>
        </w:rPr>
        <w:t xml:space="preserve"> </w:t>
      </w:r>
      <w:r w:rsidRPr="00981405">
        <w:rPr>
          <w:rFonts w:eastAsia="Calibri"/>
        </w:rPr>
        <w:t>convinced</w:t>
      </w:r>
      <w:r w:rsidR="00190923" w:rsidRPr="00981405">
        <w:rPr>
          <w:rFonts w:eastAsia="Calibri"/>
        </w:rPr>
        <w:t xml:space="preserve"> </w:t>
      </w:r>
      <w:r w:rsidRPr="00981405">
        <w:rPr>
          <w:rFonts w:eastAsia="Calibri"/>
        </w:rPr>
        <w:t>of</w:t>
      </w:r>
      <w:r w:rsidR="00190923" w:rsidRPr="00981405">
        <w:rPr>
          <w:rFonts w:eastAsia="Calibri"/>
        </w:rPr>
        <w:t xml:space="preserve"> </w:t>
      </w:r>
      <w:r w:rsidRPr="00981405">
        <w:rPr>
          <w:rFonts w:eastAsia="Calibri"/>
        </w:rPr>
        <w:t>the</w:t>
      </w:r>
      <w:r w:rsidR="00190923" w:rsidRPr="00981405">
        <w:rPr>
          <w:rFonts w:eastAsia="Calibri"/>
        </w:rPr>
        <w:t xml:space="preserve"> </w:t>
      </w:r>
      <w:r w:rsidRPr="00981405">
        <w:rPr>
          <w:rFonts w:eastAsia="Calibri"/>
        </w:rPr>
        <w:t>need</w:t>
      </w:r>
      <w:r w:rsidR="00190923" w:rsidRPr="00981405">
        <w:rPr>
          <w:rFonts w:eastAsia="Calibri"/>
        </w:rPr>
        <w:t xml:space="preserve"> </w:t>
      </w:r>
      <w:r w:rsidRPr="00981405">
        <w:rPr>
          <w:rFonts w:eastAsia="Calibri"/>
        </w:rPr>
        <w:t>for</w:t>
      </w:r>
      <w:r w:rsidR="00190923" w:rsidRPr="00981405">
        <w:rPr>
          <w:rFonts w:eastAsia="Calibri"/>
        </w:rPr>
        <w:t xml:space="preserve"> </w:t>
      </w:r>
      <w:r w:rsidRPr="00981405">
        <w:rPr>
          <w:rFonts w:eastAsia="Calibri"/>
        </w:rPr>
        <w:t>a</w:t>
      </w:r>
      <w:r w:rsidR="00190923" w:rsidRPr="00981405">
        <w:rPr>
          <w:rFonts w:eastAsia="Calibri"/>
        </w:rPr>
        <w:t xml:space="preserve"> </w:t>
      </w:r>
      <w:r w:rsidRPr="00981405">
        <w:rPr>
          <w:rFonts w:eastAsia="Calibri"/>
        </w:rPr>
        <w:t>separate</w:t>
      </w:r>
      <w:r w:rsidR="00190923" w:rsidRPr="00981405">
        <w:rPr>
          <w:rFonts w:eastAsia="Calibri"/>
        </w:rPr>
        <w:t xml:space="preserve"> </w:t>
      </w:r>
      <w:r w:rsidRPr="00981405">
        <w:rPr>
          <w:rFonts w:eastAsia="Calibri"/>
        </w:rPr>
        <w:t>conclusion,</w:t>
      </w:r>
      <w:r w:rsidR="00190923" w:rsidRPr="00981405">
        <w:rPr>
          <w:rFonts w:eastAsia="Calibri"/>
        </w:rPr>
        <w:t xml:space="preserve"> </w:t>
      </w:r>
      <w:r w:rsidRPr="00981405">
        <w:rPr>
          <w:rFonts w:eastAsia="Calibri"/>
        </w:rPr>
        <w:t>as</w:t>
      </w:r>
      <w:r w:rsidR="00190923" w:rsidRPr="00981405">
        <w:rPr>
          <w:rFonts w:eastAsia="Calibri"/>
        </w:rPr>
        <w:t xml:space="preserve"> </w:t>
      </w:r>
      <w:r w:rsidRPr="00981405">
        <w:rPr>
          <w:rFonts w:eastAsia="Calibri"/>
        </w:rPr>
        <w:t>opposed</w:t>
      </w:r>
      <w:r w:rsidR="00190923" w:rsidRPr="00981405">
        <w:rPr>
          <w:rFonts w:eastAsia="Calibri"/>
        </w:rPr>
        <w:t xml:space="preserve"> </w:t>
      </w:r>
      <w:r w:rsidRPr="00981405">
        <w:rPr>
          <w:rFonts w:eastAsia="Calibri"/>
        </w:rPr>
        <w:t>to</w:t>
      </w:r>
      <w:r w:rsidR="00190923" w:rsidRPr="00981405">
        <w:rPr>
          <w:rFonts w:eastAsia="Calibri"/>
        </w:rPr>
        <w:t xml:space="preserve"> </w:t>
      </w:r>
      <w:r w:rsidRPr="00981405">
        <w:rPr>
          <w:rFonts w:eastAsia="Calibri"/>
        </w:rPr>
        <w:t>explaining</w:t>
      </w:r>
      <w:r w:rsidR="00190923" w:rsidRPr="00981405">
        <w:rPr>
          <w:rFonts w:eastAsia="Calibri"/>
        </w:rPr>
        <w:t xml:space="preserve"> </w:t>
      </w:r>
      <w:r w:rsidRPr="00981405">
        <w:rPr>
          <w:rFonts w:eastAsia="Calibri"/>
        </w:rPr>
        <w:t>the</w:t>
      </w:r>
      <w:r w:rsidR="00190923" w:rsidRPr="00981405">
        <w:rPr>
          <w:rFonts w:eastAsia="Calibri"/>
        </w:rPr>
        <w:t xml:space="preserve"> </w:t>
      </w:r>
      <w:r w:rsidRPr="00981405">
        <w:rPr>
          <w:rFonts w:eastAsia="Calibri"/>
        </w:rPr>
        <w:t>Commission</w:t>
      </w:r>
      <w:r w:rsidR="00B92E2C" w:rsidRPr="00981405">
        <w:rPr>
          <w:rFonts w:eastAsia="Calibri"/>
        </w:rPr>
        <w:t>’</w:t>
      </w:r>
      <w:r w:rsidRPr="00981405">
        <w:rPr>
          <w:rFonts w:eastAsia="Calibri"/>
        </w:rPr>
        <w:t>s</w:t>
      </w:r>
      <w:r w:rsidR="00190923" w:rsidRPr="00981405">
        <w:rPr>
          <w:rFonts w:eastAsia="Calibri"/>
        </w:rPr>
        <w:t xml:space="preserve"> </w:t>
      </w:r>
      <w:r w:rsidRPr="00981405">
        <w:rPr>
          <w:rFonts w:eastAsia="Calibri"/>
        </w:rPr>
        <w:t>role</w:t>
      </w:r>
      <w:r w:rsidR="00190923" w:rsidRPr="00981405">
        <w:rPr>
          <w:rFonts w:eastAsia="Calibri"/>
        </w:rPr>
        <w:t xml:space="preserve"> </w:t>
      </w:r>
      <w:r w:rsidRPr="00981405">
        <w:rPr>
          <w:rFonts w:eastAsia="Calibri"/>
        </w:rPr>
        <w:t>in</w:t>
      </w:r>
      <w:r w:rsidR="00190923" w:rsidRPr="00981405">
        <w:rPr>
          <w:rFonts w:eastAsia="Calibri"/>
        </w:rPr>
        <w:t xml:space="preserve"> </w:t>
      </w:r>
      <w:r w:rsidRPr="00981405">
        <w:rPr>
          <w:rFonts w:eastAsia="Calibri"/>
        </w:rPr>
        <w:t>the</w:t>
      </w:r>
      <w:r w:rsidR="00190923" w:rsidRPr="00981405">
        <w:rPr>
          <w:rFonts w:eastAsia="Calibri"/>
        </w:rPr>
        <w:t xml:space="preserve"> </w:t>
      </w:r>
      <w:r w:rsidRPr="00981405">
        <w:rPr>
          <w:rFonts w:eastAsia="Calibri"/>
        </w:rPr>
        <w:t>commentaries.</w:t>
      </w:r>
      <w:r w:rsidR="00190923" w:rsidRPr="00981405">
        <w:rPr>
          <w:rFonts w:eastAsia="Calibri"/>
        </w:rPr>
        <w:t xml:space="preserve"> </w:t>
      </w:r>
      <w:r w:rsidRPr="00981405">
        <w:rPr>
          <w:rFonts w:eastAsia="Calibri"/>
        </w:rPr>
        <w:t>He</w:t>
      </w:r>
      <w:r w:rsidR="00190923" w:rsidRPr="00981405">
        <w:rPr>
          <w:rFonts w:eastAsia="Calibri"/>
        </w:rPr>
        <w:t xml:space="preserve"> </w:t>
      </w:r>
      <w:r w:rsidRPr="00981405">
        <w:rPr>
          <w:rFonts w:eastAsia="Calibri"/>
        </w:rPr>
        <w:t>nevertheless</w:t>
      </w:r>
      <w:r w:rsidR="00190923" w:rsidRPr="00981405">
        <w:rPr>
          <w:rFonts w:eastAsia="Calibri"/>
        </w:rPr>
        <w:t xml:space="preserve"> </w:t>
      </w:r>
      <w:r w:rsidRPr="00981405">
        <w:rPr>
          <w:rFonts w:eastAsia="Calibri"/>
        </w:rPr>
        <w:t>hoped</w:t>
      </w:r>
      <w:r w:rsidR="00190923" w:rsidRPr="00981405">
        <w:rPr>
          <w:rFonts w:eastAsia="Calibri"/>
        </w:rPr>
        <w:t xml:space="preserve"> </w:t>
      </w:r>
      <w:r w:rsidRPr="00981405">
        <w:rPr>
          <w:rFonts w:eastAsia="Calibri"/>
        </w:rPr>
        <w:t>that</w:t>
      </w:r>
      <w:r w:rsidR="00190923" w:rsidRPr="00981405">
        <w:rPr>
          <w:rFonts w:eastAsia="Calibri"/>
        </w:rPr>
        <w:t xml:space="preserve"> </w:t>
      </w:r>
      <w:r w:rsidRPr="00981405">
        <w:rPr>
          <w:rFonts w:eastAsia="Calibri"/>
        </w:rPr>
        <w:t>the</w:t>
      </w:r>
      <w:r w:rsidR="00190923" w:rsidRPr="00981405">
        <w:rPr>
          <w:rFonts w:eastAsia="Calibri"/>
        </w:rPr>
        <w:t xml:space="preserve"> </w:t>
      </w:r>
      <w:r w:rsidRPr="00981405">
        <w:rPr>
          <w:rFonts w:eastAsia="Calibri"/>
        </w:rPr>
        <w:t>Drafting</w:t>
      </w:r>
      <w:r w:rsidR="00190923" w:rsidRPr="00981405">
        <w:rPr>
          <w:rFonts w:eastAsia="Calibri"/>
        </w:rPr>
        <w:t xml:space="preserve"> </w:t>
      </w:r>
      <w:r w:rsidRPr="00981405">
        <w:rPr>
          <w:rFonts w:eastAsia="Calibri"/>
        </w:rPr>
        <w:t>Committee</w:t>
      </w:r>
      <w:r w:rsidR="00190923" w:rsidRPr="00981405">
        <w:rPr>
          <w:rFonts w:eastAsia="Calibri"/>
        </w:rPr>
        <w:t xml:space="preserve"> </w:t>
      </w:r>
      <w:r w:rsidRPr="00981405">
        <w:rPr>
          <w:rFonts w:eastAsia="Calibri"/>
        </w:rPr>
        <w:t>would</w:t>
      </w:r>
      <w:r w:rsidR="00190923" w:rsidRPr="00981405">
        <w:rPr>
          <w:rFonts w:eastAsia="Calibri"/>
        </w:rPr>
        <w:t xml:space="preserve"> </w:t>
      </w:r>
      <w:r w:rsidRPr="00981405">
        <w:rPr>
          <w:rFonts w:eastAsia="Calibri"/>
        </w:rPr>
        <w:t>consider</w:t>
      </w:r>
      <w:r w:rsidR="00190923" w:rsidRPr="00981405">
        <w:rPr>
          <w:rFonts w:eastAsia="Calibri"/>
        </w:rPr>
        <w:t xml:space="preserve"> </w:t>
      </w:r>
      <w:r w:rsidRPr="00981405">
        <w:rPr>
          <w:rFonts w:eastAsia="Calibri"/>
        </w:rPr>
        <w:t>the</w:t>
      </w:r>
      <w:r w:rsidR="00190923" w:rsidRPr="00981405">
        <w:rPr>
          <w:rFonts w:eastAsia="Calibri"/>
        </w:rPr>
        <w:t xml:space="preserve"> </w:t>
      </w:r>
      <w:r w:rsidRPr="00981405">
        <w:rPr>
          <w:rFonts w:eastAsia="Calibri"/>
        </w:rPr>
        <w:t>matter.</w:t>
      </w:r>
    </w:p>
    <w:p w:rsidR="00397032" w:rsidRPr="00981405" w:rsidRDefault="00397032" w:rsidP="00D97463">
      <w:pPr>
        <w:pStyle w:val="SingleTxt"/>
      </w:pPr>
      <w:r w:rsidRPr="00981405">
        <w:t>105.</w:t>
      </w:r>
      <w:r w:rsidRPr="00981405">
        <w:tab/>
        <w:t>On</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confirmed</w:t>
      </w:r>
      <w:r w:rsidR="00190923" w:rsidRPr="00981405">
        <w:t xml:space="preserve"> </w:t>
      </w:r>
      <w:r w:rsidRPr="00981405">
        <w:t>that</w:t>
      </w:r>
      <w:r w:rsidR="00190923" w:rsidRPr="00981405">
        <w:t xml:space="preserve"> </w:t>
      </w:r>
      <w:r w:rsidRPr="00981405">
        <w:t>all</w:t>
      </w:r>
      <w:r w:rsidR="00190923" w:rsidRPr="00981405">
        <w:t xml:space="preserve"> </w:t>
      </w:r>
      <w:r w:rsidRPr="00981405">
        <w:t>the</w:t>
      </w:r>
      <w:r w:rsidR="00190923" w:rsidRPr="00981405">
        <w:t xml:space="preserve"> </w:t>
      </w:r>
      <w:r w:rsidRPr="00981405">
        <w:t>other</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were</w:t>
      </w:r>
      <w:r w:rsidR="00190923" w:rsidRPr="00981405">
        <w:t xml:space="preserve"> </w:t>
      </w:r>
      <w:r w:rsidRPr="00981405">
        <w:t>applicable</w:t>
      </w:r>
      <w:r w:rsidR="00190923" w:rsidRPr="00981405">
        <w:t xml:space="preserve"> </w:t>
      </w:r>
      <w:r w:rsidRPr="00981405">
        <w:t>to</w:t>
      </w:r>
      <w:r w:rsidR="00190923" w:rsidRPr="00981405">
        <w:t xml:space="preserve"> </w:t>
      </w:r>
      <w:r w:rsidRPr="00981405">
        <w:t>particular</w:t>
      </w:r>
      <w:r w:rsidR="00190923" w:rsidRPr="00981405">
        <w:t xml:space="preserve"> </w:t>
      </w:r>
      <w:r w:rsidRPr="00981405">
        <w:t>custom,</w:t>
      </w:r>
      <w:r w:rsidR="00190923" w:rsidRPr="00981405">
        <w:t xml:space="preserve"> </w:t>
      </w:r>
      <w:r w:rsidRPr="00981405">
        <w:t>including</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on</w:t>
      </w:r>
      <w:r w:rsidR="00190923" w:rsidRPr="00981405">
        <w:t xml:space="preserve"> </w:t>
      </w:r>
      <w:r w:rsidRPr="00981405">
        <w:t>treaties,</w:t>
      </w:r>
      <w:r w:rsidR="00190923" w:rsidRPr="00981405">
        <w:t xml:space="preserve"> </w:t>
      </w:r>
      <w:r w:rsidRPr="00981405">
        <w:t>except</w:t>
      </w:r>
      <w:r w:rsidR="00190923" w:rsidRPr="00981405">
        <w:t xml:space="preserve"> </w:t>
      </w:r>
      <w:r w:rsidRPr="00981405">
        <w:t>in</w:t>
      </w:r>
      <w:r w:rsidR="00190923" w:rsidRPr="00981405">
        <w:t xml:space="preserve"> </w:t>
      </w:r>
      <w:r w:rsidRPr="00981405">
        <w:t>so</w:t>
      </w:r>
      <w:r w:rsidR="00190923" w:rsidRPr="00981405">
        <w:t xml:space="preserve"> </w:t>
      </w:r>
      <w:r w:rsidRPr="00981405">
        <w:t>far</w:t>
      </w:r>
      <w:r w:rsidR="00190923" w:rsidRPr="00981405">
        <w:t xml:space="preserve"> </w:t>
      </w:r>
      <w:r w:rsidRPr="00981405">
        <w:t>as</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15</w:t>
      </w:r>
      <w:r w:rsidR="00190923" w:rsidRPr="00981405">
        <w:t xml:space="preserve"> </w:t>
      </w:r>
      <w:r w:rsidRPr="00981405">
        <w:t>provided</w:t>
      </w:r>
      <w:r w:rsidR="00190923" w:rsidRPr="00981405">
        <w:t xml:space="preserve"> </w:t>
      </w:r>
      <w:r w:rsidRPr="00981405">
        <w:t>otherwise.</w:t>
      </w:r>
      <w:r w:rsidR="00190923" w:rsidRPr="00981405">
        <w:t xml:space="preserve"> </w:t>
      </w:r>
      <w:r w:rsidRPr="00981405">
        <w:t>He</w:t>
      </w:r>
      <w:r w:rsidR="00190923" w:rsidRPr="00981405">
        <w:t xml:space="preserve"> </w:t>
      </w:r>
      <w:r w:rsidRPr="00981405">
        <w:t>added</w:t>
      </w:r>
      <w:r w:rsidR="00190923" w:rsidRPr="00981405">
        <w:t xml:space="preserve"> </w:t>
      </w:r>
      <w:r w:rsidRPr="00981405">
        <w:t>that,</w:t>
      </w:r>
      <w:r w:rsidR="00190923" w:rsidRPr="00981405">
        <w:t xml:space="preserve"> </w:t>
      </w:r>
      <w:r w:rsidRPr="00981405">
        <w:t>even</w:t>
      </w:r>
      <w:r w:rsidR="00190923" w:rsidRPr="00981405">
        <w:t xml:space="preserve"> </w:t>
      </w:r>
      <w:r w:rsidRPr="00981405">
        <w:t>if</w:t>
      </w:r>
      <w:r w:rsidR="00190923" w:rsidRPr="00981405">
        <w:t xml:space="preserve"> </w:t>
      </w:r>
      <w:r w:rsidRPr="00981405">
        <w:t>in</w:t>
      </w:r>
      <w:r w:rsidR="00190923" w:rsidRPr="00981405">
        <w:t xml:space="preserve"> </w:t>
      </w:r>
      <w:r w:rsidRPr="00981405">
        <w:t>theory</w:t>
      </w:r>
      <w:r w:rsidR="00190923" w:rsidRPr="00981405">
        <w:t xml:space="preserve"> </w:t>
      </w:r>
      <w:r w:rsidRPr="00981405">
        <w:t>a</w:t>
      </w:r>
      <w:r w:rsidR="00190923" w:rsidRPr="00981405">
        <w:t xml:space="preserve"> </w:t>
      </w:r>
      <w:r w:rsidRPr="00981405">
        <w:t>geographical</w:t>
      </w:r>
      <w:r w:rsidR="00190923" w:rsidRPr="00981405">
        <w:t xml:space="preserve"> </w:t>
      </w:r>
      <w:r w:rsidRPr="00981405">
        <w:t>nexus</w:t>
      </w:r>
      <w:r w:rsidR="00190923" w:rsidRPr="00981405">
        <w:t xml:space="preserve"> </w:t>
      </w:r>
      <w:r w:rsidRPr="00981405">
        <w:t>between</w:t>
      </w:r>
      <w:r w:rsidR="00190923" w:rsidRPr="00981405">
        <w:t xml:space="preserve"> </w:t>
      </w:r>
      <w:r w:rsidRPr="00981405">
        <w:t>the</w:t>
      </w:r>
      <w:r w:rsidR="00190923" w:rsidRPr="00981405">
        <w:t xml:space="preserve"> </w:t>
      </w:r>
      <w:r w:rsidRPr="00981405">
        <w:t>States</w:t>
      </w:r>
      <w:r w:rsidR="00190923" w:rsidRPr="00981405">
        <w:t xml:space="preserve"> </w:t>
      </w:r>
      <w:r w:rsidRPr="00981405">
        <w:t>bound</w:t>
      </w:r>
      <w:r w:rsidR="00190923" w:rsidRPr="00981405">
        <w:t xml:space="preserve"> </w:t>
      </w:r>
      <w:r w:rsidRPr="00981405">
        <w:t>by</w:t>
      </w:r>
      <w:r w:rsidR="00190923" w:rsidRPr="00981405">
        <w:t xml:space="preserve"> </w:t>
      </w:r>
      <w:r w:rsidRPr="00981405">
        <w:t>such</w:t>
      </w:r>
      <w:r w:rsidR="00190923" w:rsidRPr="00981405">
        <w:t xml:space="preserve"> </w:t>
      </w:r>
      <w:r w:rsidRPr="00981405">
        <w:t>rule</w:t>
      </w:r>
      <w:r w:rsidR="00190923" w:rsidRPr="00981405">
        <w:t xml:space="preserve"> </w:t>
      </w:r>
      <w:r w:rsidRPr="00981405">
        <w:t>was</w:t>
      </w:r>
      <w:r w:rsidR="00190923" w:rsidRPr="00981405">
        <w:t xml:space="preserve"> </w:t>
      </w:r>
      <w:r w:rsidRPr="00981405">
        <w:t>not</w:t>
      </w:r>
      <w:r w:rsidR="00190923" w:rsidRPr="00981405">
        <w:t xml:space="preserve"> </w:t>
      </w:r>
      <w:r w:rsidRPr="00981405">
        <w:t>required,</w:t>
      </w:r>
      <w:r w:rsidR="00190923" w:rsidRPr="00981405">
        <w:t xml:space="preserve"> </w:t>
      </w:r>
      <w:r w:rsidRPr="00981405">
        <w:t>it</w:t>
      </w:r>
      <w:r w:rsidR="00190923" w:rsidRPr="00981405">
        <w:t xml:space="preserve"> </w:t>
      </w:r>
      <w:r w:rsidRPr="00981405">
        <w:t>was</w:t>
      </w:r>
      <w:r w:rsidR="00190923" w:rsidRPr="00981405">
        <w:t xml:space="preserve"> </w:t>
      </w:r>
      <w:r w:rsidRPr="00981405">
        <w:t>often</w:t>
      </w:r>
      <w:r w:rsidR="00190923" w:rsidRPr="00981405">
        <w:t xml:space="preserve"> </w:t>
      </w:r>
      <w:r w:rsidRPr="00981405">
        <w:t>called</w:t>
      </w:r>
      <w:r w:rsidR="00190923" w:rsidRPr="00981405">
        <w:t xml:space="preserve"> </w:t>
      </w:r>
      <w:r w:rsidRPr="00981405">
        <w:t>for</w:t>
      </w:r>
      <w:r w:rsidR="00190923" w:rsidRPr="00981405">
        <w:t xml:space="preserve"> </w:t>
      </w:r>
      <w:r w:rsidRPr="00981405">
        <w:t>in</w:t>
      </w:r>
      <w:r w:rsidR="00190923" w:rsidRPr="00981405">
        <w:t xml:space="preserve"> </w:t>
      </w:r>
      <w:r w:rsidRPr="00981405">
        <w:t>practice.</w:t>
      </w:r>
    </w:p>
    <w:p w:rsidR="00397032" w:rsidRPr="00981405" w:rsidRDefault="00397032" w:rsidP="00D97463">
      <w:pPr>
        <w:pStyle w:val="SingleTxt"/>
      </w:pPr>
      <w:r w:rsidRPr="00981405">
        <w:t>106.</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16</w:t>
      </w:r>
      <w:r w:rsidR="00190923" w:rsidRPr="00981405">
        <w:t xml:space="preserve"> </w:t>
      </w:r>
      <w:r w:rsidRPr="00981405">
        <w:t>on</w:t>
      </w:r>
      <w:r w:rsidR="00190923" w:rsidRPr="00981405">
        <w:t xml:space="preserve"> </w:t>
      </w:r>
      <w:r w:rsidRPr="00981405">
        <w:t>the</w:t>
      </w:r>
      <w:r w:rsidR="00190923" w:rsidRPr="00981405">
        <w:t xml:space="preserve"> </w:t>
      </w:r>
      <w:r w:rsidRPr="00981405">
        <w:t>persistent</w:t>
      </w:r>
      <w:r w:rsidR="00190923" w:rsidRPr="00981405">
        <w:t xml:space="preserve"> </w:t>
      </w:r>
      <w:r w:rsidRPr="00981405">
        <w:t>objector</w:t>
      </w:r>
      <w:r w:rsidR="00190923" w:rsidRPr="00981405">
        <w:t xml:space="preserve"> </w:t>
      </w:r>
      <w:r w:rsidRPr="00981405">
        <w:t>received</w:t>
      </w:r>
      <w:r w:rsidR="00190923" w:rsidRPr="00981405">
        <w:t xml:space="preserve"> </w:t>
      </w:r>
      <w:r w:rsidRPr="00981405">
        <w:t>widespread</w:t>
      </w:r>
      <w:r w:rsidR="00190923" w:rsidRPr="00981405">
        <w:t xml:space="preserve"> </w:t>
      </w:r>
      <w:r w:rsidRPr="00981405">
        <w:t>support</w:t>
      </w:r>
      <w:r w:rsidR="00190923" w:rsidRPr="00981405">
        <w:t xml:space="preserve"> </w:t>
      </w:r>
      <w:r w:rsidRPr="00981405">
        <w:t>and</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it</w:t>
      </w:r>
      <w:r w:rsidR="00190923" w:rsidRPr="00981405">
        <w:t xml:space="preserve"> </w:t>
      </w:r>
      <w:r w:rsidRPr="00981405">
        <w:t>had</w:t>
      </w:r>
      <w:r w:rsidR="00190923" w:rsidRPr="00981405">
        <w:t xml:space="preserve"> </w:t>
      </w:r>
      <w:r w:rsidRPr="00981405">
        <w:t>been</w:t>
      </w:r>
      <w:r w:rsidR="00190923" w:rsidRPr="00981405">
        <w:t xml:space="preserve"> </w:t>
      </w:r>
      <w:r w:rsidRPr="00981405">
        <w:t>illustrated</w:t>
      </w:r>
      <w:r w:rsidR="00190923" w:rsidRPr="00981405">
        <w:t xml:space="preserve"> </w:t>
      </w:r>
      <w:r w:rsidRPr="00981405">
        <w:t>by</w:t>
      </w:r>
      <w:r w:rsidR="00190923" w:rsidRPr="00981405">
        <w:t xml:space="preserve"> </w:t>
      </w:r>
      <w:r w:rsidRPr="00981405">
        <w:t>reference</w:t>
      </w:r>
      <w:r w:rsidR="00190923" w:rsidRPr="00981405">
        <w:t xml:space="preserve"> </w:t>
      </w:r>
      <w:r w:rsidRPr="00981405">
        <w:t>to</w:t>
      </w:r>
      <w:r w:rsidR="00190923" w:rsidRPr="00981405">
        <w:t xml:space="preserve"> </w:t>
      </w:r>
      <w:r w:rsidRPr="00981405">
        <w:t>practical</w:t>
      </w:r>
      <w:r w:rsidR="00190923" w:rsidRPr="00981405">
        <w:t xml:space="preserve"> </w:t>
      </w:r>
      <w:r w:rsidRPr="00981405">
        <w:t>examples</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He</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persistent</w:t>
      </w:r>
      <w:r w:rsidR="00190923" w:rsidRPr="00981405">
        <w:t xml:space="preserve"> </w:t>
      </w:r>
      <w:r w:rsidRPr="00981405">
        <w:lastRenderedPageBreak/>
        <w:t>objector</w:t>
      </w:r>
      <w:r w:rsidR="00190923" w:rsidRPr="00981405">
        <w:t xml:space="preserve"> </w:t>
      </w:r>
      <w:r w:rsidRPr="00981405">
        <w:t>rule</w:t>
      </w:r>
      <w:r w:rsidR="00190923" w:rsidRPr="00981405">
        <w:t xml:space="preserve"> </w:t>
      </w:r>
      <w:r w:rsidRPr="00981405">
        <w:t>could</w:t>
      </w:r>
      <w:r w:rsidR="00190923" w:rsidRPr="00981405">
        <w:t xml:space="preserve"> </w:t>
      </w:r>
      <w:r w:rsidRPr="00981405">
        <w:t>be</w:t>
      </w:r>
      <w:r w:rsidR="00190923" w:rsidRPr="00981405">
        <w:t xml:space="preserve"> </w:t>
      </w:r>
      <w:r w:rsidRPr="00981405">
        <w:t>and</w:t>
      </w:r>
      <w:r w:rsidR="00190923" w:rsidRPr="00981405">
        <w:t xml:space="preserve"> </w:t>
      </w:r>
      <w:r w:rsidRPr="00981405">
        <w:t>not</w:t>
      </w:r>
      <w:r w:rsidR="00190923" w:rsidRPr="00981405">
        <w:t xml:space="preserve"> </w:t>
      </w:r>
      <w:r w:rsidRPr="00981405">
        <w:t>infrequently</w:t>
      </w:r>
      <w:r w:rsidR="00190923" w:rsidRPr="00981405">
        <w:t xml:space="preserve"> </w:t>
      </w:r>
      <w:r w:rsidRPr="00981405">
        <w:t>is</w:t>
      </w:r>
      <w:r w:rsidR="00190923" w:rsidRPr="00981405">
        <w:t xml:space="preserve"> </w:t>
      </w:r>
      <w:r w:rsidRPr="00981405">
        <w:t>raised</w:t>
      </w:r>
      <w:r w:rsidR="00190923" w:rsidRPr="00981405">
        <w:t xml:space="preserve"> </w:t>
      </w:r>
      <w:r w:rsidRPr="00981405">
        <w:t>before</w:t>
      </w:r>
      <w:r w:rsidR="00190923" w:rsidRPr="00981405">
        <w:t xml:space="preserve"> </w:t>
      </w:r>
      <w:r w:rsidRPr="00981405">
        <w:t>judges</w:t>
      </w:r>
      <w:r w:rsidR="00190923" w:rsidRPr="00981405">
        <w:t xml:space="preserve"> </w:t>
      </w:r>
      <w:r w:rsidRPr="00981405">
        <w:t>asked</w:t>
      </w:r>
      <w:r w:rsidR="00190923" w:rsidRPr="00981405">
        <w:t xml:space="preserve"> </w:t>
      </w:r>
      <w:r w:rsidRPr="00981405">
        <w:t>to</w:t>
      </w:r>
      <w:r w:rsidR="00190923" w:rsidRPr="00981405">
        <w:t xml:space="preserve"> </w:t>
      </w:r>
      <w:r w:rsidRPr="00981405">
        <w:t>identify</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therefore</w:t>
      </w:r>
      <w:r w:rsidR="00190923" w:rsidRPr="00981405">
        <w:t xml:space="preserve"> </w:t>
      </w:r>
      <w:r w:rsidRPr="00981405">
        <w:t>important</w:t>
      </w:r>
      <w:r w:rsidR="00190923" w:rsidRPr="00981405">
        <w:t xml:space="preserve"> </w:t>
      </w:r>
      <w:r w:rsidRPr="00981405">
        <w:t>to</w:t>
      </w:r>
      <w:r w:rsidR="00190923" w:rsidRPr="00981405">
        <w:t xml:space="preserve"> </w:t>
      </w:r>
      <w:r w:rsidRPr="00981405">
        <w:t>provide</w:t>
      </w:r>
      <w:r w:rsidR="00190923" w:rsidRPr="00981405">
        <w:t xml:space="preserve"> </w:t>
      </w:r>
      <w:r w:rsidRPr="00981405">
        <w:t>practitioners</w:t>
      </w:r>
      <w:r w:rsidR="00190923" w:rsidRPr="00981405">
        <w:t xml:space="preserve"> </w:t>
      </w:r>
      <w:r w:rsidRPr="00981405">
        <w:t>with</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matter,</w:t>
      </w:r>
      <w:r w:rsidR="00190923" w:rsidRPr="00981405">
        <w:t xml:space="preserve"> </w:t>
      </w:r>
      <w:r w:rsidRPr="00981405">
        <w:t>and</w:t>
      </w:r>
      <w:r w:rsidR="00190923" w:rsidRPr="00981405">
        <w:t xml:space="preserve"> </w:t>
      </w:r>
      <w:r w:rsidRPr="00981405">
        <w:t>especially</w:t>
      </w:r>
      <w:r w:rsidR="00190923" w:rsidRPr="00981405">
        <w:t xml:space="preserve"> </w:t>
      </w:r>
      <w:r w:rsidRPr="00981405">
        <w:t>to</w:t>
      </w:r>
      <w:r w:rsidR="00190923" w:rsidRPr="00981405">
        <w:t xml:space="preserve"> </w:t>
      </w:r>
      <w:r w:rsidRPr="00981405">
        <w:t>clarify</w:t>
      </w:r>
      <w:r w:rsidR="00190923" w:rsidRPr="00981405">
        <w:t xml:space="preserve"> </w:t>
      </w:r>
      <w:r w:rsidRPr="00981405">
        <w:t>the</w:t>
      </w:r>
      <w:r w:rsidR="00190923" w:rsidRPr="00981405">
        <w:t xml:space="preserve"> </w:t>
      </w:r>
      <w:r w:rsidRPr="00981405">
        <w:t>requirements</w:t>
      </w:r>
      <w:r w:rsidR="00190923" w:rsidRPr="00981405">
        <w:t xml:space="preserve"> </w:t>
      </w:r>
      <w:r w:rsidRPr="00981405">
        <w:t>for</w:t>
      </w:r>
      <w:r w:rsidR="00190923" w:rsidRPr="00981405">
        <w:t xml:space="preserve"> </w:t>
      </w:r>
      <w:r w:rsidRPr="00981405">
        <w:t>a</w:t>
      </w:r>
      <w:r w:rsidR="00190923" w:rsidRPr="00981405">
        <w:t xml:space="preserve"> </w:t>
      </w:r>
      <w:r w:rsidRPr="00981405">
        <w:t>State</w:t>
      </w:r>
      <w:r w:rsidR="00190923" w:rsidRPr="00981405">
        <w:t xml:space="preserve"> </w:t>
      </w:r>
      <w:r w:rsidRPr="00981405">
        <w:t>to</w:t>
      </w:r>
      <w:r w:rsidR="00190923" w:rsidRPr="00981405">
        <w:t xml:space="preserve"> </w:t>
      </w:r>
      <w:r w:rsidRPr="00981405">
        <w:t>become</w:t>
      </w:r>
      <w:r w:rsidR="00190923" w:rsidRPr="00981405">
        <w:t xml:space="preserve"> </w:t>
      </w:r>
      <w:r w:rsidRPr="00981405">
        <w:t>a</w:t>
      </w:r>
      <w:r w:rsidR="00190923" w:rsidRPr="00981405">
        <w:t xml:space="preserve"> </w:t>
      </w:r>
      <w:r w:rsidRPr="00981405">
        <w:t>persistent</w:t>
      </w:r>
      <w:r w:rsidR="00190923" w:rsidRPr="00981405">
        <w:t xml:space="preserve"> </w:t>
      </w:r>
      <w:r w:rsidRPr="00981405">
        <w:t>objector.</w:t>
      </w:r>
    </w:p>
    <w:p w:rsidR="00397032" w:rsidRPr="00981405" w:rsidRDefault="00397032" w:rsidP="00D97463">
      <w:pPr>
        <w:pStyle w:val="SingleTxt"/>
      </w:pPr>
      <w:r w:rsidRPr="00981405">
        <w:t>107.</w:t>
      </w:r>
      <w:r w:rsidRPr="00981405">
        <w:tab/>
        <w:t>As</w:t>
      </w:r>
      <w:r w:rsidR="00190923" w:rsidRPr="00981405">
        <w:t xml:space="preserve"> </w:t>
      </w:r>
      <w:r w:rsidRPr="00981405">
        <w:t>to</w:t>
      </w:r>
      <w:r w:rsidR="00190923" w:rsidRPr="00981405">
        <w:t xml:space="preserve"> </w:t>
      </w:r>
      <w:r w:rsidRPr="00981405">
        <w:t>the</w:t>
      </w:r>
      <w:r w:rsidR="00190923" w:rsidRPr="00981405">
        <w:t xml:space="preserve"> </w:t>
      </w:r>
      <w:r w:rsidRPr="00981405">
        <w:t>future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all</w:t>
      </w:r>
      <w:r w:rsidR="00190923" w:rsidRPr="00981405">
        <w:t xml:space="preserve"> </w:t>
      </w:r>
      <w:r w:rsidRPr="00981405">
        <w:t>that</w:t>
      </w:r>
      <w:r w:rsidR="00190923" w:rsidRPr="00981405">
        <w:t xml:space="preserve"> </w:t>
      </w:r>
      <w:r w:rsidRPr="00981405">
        <w:t>had</w:t>
      </w:r>
      <w:r w:rsidR="00190923" w:rsidRPr="00981405">
        <w:t xml:space="preserve"> </w:t>
      </w:r>
      <w:r w:rsidRPr="00981405">
        <w:t>been</w:t>
      </w:r>
      <w:r w:rsidR="00190923" w:rsidRPr="00981405">
        <w:t xml:space="preserve"> </w:t>
      </w:r>
      <w:r w:rsidRPr="00981405">
        <w:t>said</w:t>
      </w:r>
      <w:r w:rsidR="00190923" w:rsidRPr="00981405">
        <w:t xml:space="preserve"> </w:t>
      </w:r>
      <w:r w:rsidRPr="00981405">
        <w:t>in</w:t>
      </w:r>
      <w:r w:rsidR="00190923" w:rsidRPr="00981405">
        <w:t xml:space="preserve"> </w:t>
      </w:r>
      <w:r w:rsidRPr="00981405">
        <w:t>the</w:t>
      </w:r>
      <w:r w:rsidR="00190923" w:rsidRPr="00981405">
        <w:t xml:space="preserve"> </w:t>
      </w:r>
      <w:r w:rsidRPr="00981405">
        <w:t>debate,</w:t>
      </w:r>
      <w:r w:rsidR="00190923" w:rsidRPr="00981405">
        <w:t xml:space="preserve"> </w:t>
      </w:r>
      <w:r w:rsidRPr="00981405">
        <w:t>a</w:t>
      </w:r>
      <w:r w:rsidR="00190923" w:rsidRPr="00981405">
        <w:t xml:space="preserve"> </w:t>
      </w:r>
      <w:r w:rsidRPr="00981405">
        <w:t>realistic</w:t>
      </w:r>
      <w:r w:rsidR="00190923" w:rsidRPr="00981405">
        <w:t xml:space="preserve"> </w:t>
      </w:r>
      <w:r w:rsidRPr="00981405">
        <w:t>aim</w:t>
      </w:r>
      <w:r w:rsidR="00190923" w:rsidRPr="00981405">
        <w:t xml:space="preserve"> </w:t>
      </w:r>
      <w:r w:rsidRPr="00981405">
        <w:t>would</w:t>
      </w:r>
      <w:r w:rsidR="00190923" w:rsidRPr="00981405">
        <w:t xml:space="preserve"> </w:t>
      </w:r>
      <w:r w:rsidRPr="00981405">
        <w:t>be</w:t>
      </w:r>
      <w:r w:rsidR="00190923" w:rsidRPr="00981405">
        <w:t xml:space="preserve"> </w:t>
      </w:r>
      <w:r w:rsidRPr="00981405">
        <w:t>to</w:t>
      </w:r>
      <w:r w:rsidR="00190923" w:rsidRPr="00981405">
        <w:t xml:space="preserve"> </w:t>
      </w:r>
      <w:r w:rsidRPr="00981405">
        <w:t>complete</w:t>
      </w:r>
      <w:r w:rsidR="00190923" w:rsidRPr="00981405">
        <w:t xml:space="preserve"> </w:t>
      </w:r>
      <w:r w:rsidRPr="00981405">
        <w:t>a</w:t>
      </w:r>
      <w:r w:rsidR="00190923" w:rsidRPr="00981405">
        <w:t xml:space="preserve"> </w:t>
      </w:r>
      <w:r w:rsidRPr="00981405">
        <w:t>first</w:t>
      </w:r>
      <w:r w:rsidR="00190923" w:rsidRPr="00981405">
        <w:t xml:space="preserve"> </w:t>
      </w:r>
      <w:r w:rsidRPr="00981405">
        <w:t>reading</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and</w:t>
      </w:r>
      <w:r w:rsidR="00190923" w:rsidRPr="00981405">
        <w:t xml:space="preserve"> </w:t>
      </w:r>
      <w:r w:rsidRPr="00981405">
        <w:t>commentaries</w:t>
      </w:r>
      <w:r w:rsidR="00190923" w:rsidRPr="00981405">
        <w:t xml:space="preserve"> </w:t>
      </w:r>
      <w:r w:rsidRPr="00981405">
        <w:t>by</w:t>
      </w:r>
      <w:r w:rsidR="00190923" w:rsidRPr="00981405">
        <w:t xml:space="preserve"> </w:t>
      </w:r>
      <w:r w:rsidRPr="00981405">
        <w:t>the</w:t>
      </w:r>
      <w:r w:rsidR="00190923" w:rsidRPr="00981405">
        <w:t xml:space="preserve"> </w:t>
      </w:r>
      <w:r w:rsidRPr="00981405">
        <w:t>end</w:t>
      </w:r>
      <w:r w:rsidR="00190923" w:rsidRPr="00981405">
        <w:t xml:space="preserve"> </w:t>
      </w:r>
      <w:r w:rsidRPr="00981405">
        <w:t>of</w:t>
      </w:r>
      <w:r w:rsidR="00190923" w:rsidRPr="00981405">
        <w:t xml:space="preserve"> </w:t>
      </w:r>
      <w:r w:rsidRPr="00981405">
        <w:t>the</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(2016).</w:t>
      </w:r>
      <w:r w:rsidR="00190923" w:rsidRPr="00981405">
        <w:t xml:space="preserve"> </w:t>
      </w:r>
      <w:r w:rsidRPr="00981405">
        <w:t>The</w:t>
      </w:r>
      <w:r w:rsidR="00190923" w:rsidRPr="00981405">
        <w:t xml:space="preserve"> </w:t>
      </w:r>
      <w:r w:rsidRPr="00981405">
        <w:t>question</w:t>
      </w:r>
      <w:r w:rsidR="00190923" w:rsidRPr="00981405">
        <w:t xml:space="preserve"> </w:t>
      </w:r>
      <w:r w:rsidRPr="00981405">
        <w:t>would</w:t>
      </w:r>
      <w:r w:rsidR="00190923" w:rsidRPr="00981405">
        <w:t xml:space="preserve"> </w:t>
      </w:r>
      <w:r w:rsidRPr="00981405">
        <w:t>then</w:t>
      </w:r>
      <w:r w:rsidR="00190923" w:rsidRPr="00981405">
        <w:t xml:space="preserve"> </w:t>
      </w:r>
      <w:r w:rsidRPr="00981405">
        <w:t>be</w:t>
      </w:r>
      <w:r w:rsidR="00190923" w:rsidRPr="00981405">
        <w:t xml:space="preserve"> </w:t>
      </w:r>
      <w:r w:rsidRPr="00981405">
        <w:t>how</w:t>
      </w:r>
      <w:r w:rsidR="00190923" w:rsidRPr="00981405">
        <w:t xml:space="preserve"> </w:t>
      </w:r>
      <w:r w:rsidRPr="00981405">
        <w:t>to</w:t>
      </w:r>
      <w:r w:rsidR="00190923" w:rsidRPr="00981405">
        <w:t xml:space="preserve"> </w:t>
      </w:r>
      <w:r w:rsidRPr="00981405">
        <w:t>divide</w:t>
      </w:r>
      <w:r w:rsidR="00190923" w:rsidRPr="00981405">
        <w:t xml:space="preserve"> </w:t>
      </w:r>
      <w:r w:rsidRPr="00981405">
        <w:t>the</w:t>
      </w:r>
      <w:r w:rsidR="00190923" w:rsidRPr="00981405">
        <w:t xml:space="preserve"> </w:t>
      </w:r>
      <w:r w:rsidRPr="00981405">
        <w:t>work</w:t>
      </w:r>
      <w:r w:rsidR="00190923" w:rsidRPr="00981405">
        <w:t xml:space="preserve"> </w:t>
      </w:r>
      <w:r w:rsidRPr="00981405">
        <w:t>between</w:t>
      </w:r>
      <w:r w:rsidR="00190923" w:rsidRPr="00981405">
        <w:t xml:space="preserve"> </w:t>
      </w:r>
      <w:r w:rsidRPr="00981405">
        <w:t>this</w:t>
      </w:r>
      <w:r w:rsidR="00190923" w:rsidRPr="00981405">
        <w:t xml:space="preserve"> </w:t>
      </w:r>
      <w:r w:rsidRPr="00981405">
        <w:t>session</w:t>
      </w:r>
      <w:r w:rsidR="00190923" w:rsidRPr="00981405">
        <w:t xml:space="preserve"> </w:t>
      </w:r>
      <w:r w:rsidRPr="00981405">
        <w:t>and</w:t>
      </w:r>
      <w:r w:rsidR="00190923" w:rsidRPr="00981405">
        <w:t xml:space="preserve"> </w:t>
      </w:r>
      <w:r w:rsidRPr="00981405">
        <w:t>the</w:t>
      </w:r>
      <w:r w:rsidR="00190923" w:rsidRPr="00981405">
        <w:t xml:space="preserve"> </w:t>
      </w:r>
      <w:r w:rsidRPr="00981405">
        <w:t>next</w:t>
      </w:r>
      <w:r w:rsidR="00190923" w:rsidRPr="00981405">
        <w:t xml:space="preserve"> </w:t>
      </w:r>
      <w:r w:rsidRPr="00981405">
        <w:t>one.</w:t>
      </w:r>
      <w:r w:rsidR="00190923" w:rsidRPr="00981405">
        <w:t xml:space="preserve"> </w:t>
      </w:r>
      <w:r w:rsidRPr="00981405">
        <w:t>Given</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commentaries,</w:t>
      </w:r>
      <w:r w:rsidR="00190923" w:rsidRPr="00981405">
        <w:t xml:space="preserve"> </w:t>
      </w:r>
      <w:r w:rsidRPr="00981405">
        <w:t>it</w:t>
      </w:r>
      <w:r w:rsidR="00190923" w:rsidRPr="00981405">
        <w:t xml:space="preserve"> </w:t>
      </w:r>
      <w:r w:rsidRPr="00981405">
        <w:t>seemed</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have</w:t>
      </w:r>
      <w:r w:rsidR="00190923" w:rsidRPr="00981405">
        <w:t xml:space="preserve"> </w:t>
      </w:r>
      <w:r w:rsidRPr="00981405">
        <w:t>two</w:t>
      </w:r>
      <w:r w:rsidR="00190923" w:rsidRPr="00981405">
        <w:t xml:space="preserve"> </w:t>
      </w:r>
      <w:r w:rsidRPr="00981405">
        <w:t>stages.</w:t>
      </w:r>
      <w:r w:rsidR="00190923" w:rsidRPr="00981405">
        <w:t xml:space="preserve"> </w:t>
      </w:r>
      <w:r w:rsidRPr="00981405">
        <w:t>First,</w:t>
      </w:r>
      <w:r w:rsidR="00190923" w:rsidRPr="00981405">
        <w:t xml:space="preserve"> </w:t>
      </w:r>
      <w:r w:rsidRPr="00981405">
        <w:t>if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was</w:t>
      </w:r>
      <w:r w:rsidR="00190923" w:rsidRPr="00981405">
        <w:t xml:space="preserve"> </w:t>
      </w:r>
      <w:r w:rsidRPr="00981405">
        <w:t>able</w:t>
      </w:r>
      <w:r w:rsidR="00190923" w:rsidRPr="00981405">
        <w:t xml:space="preserve"> </w:t>
      </w:r>
      <w:r w:rsidRPr="00981405">
        <w:t>to</w:t>
      </w:r>
      <w:r w:rsidR="00190923" w:rsidRPr="00981405">
        <w:t xml:space="preserve"> </w:t>
      </w:r>
      <w:r w:rsidRPr="00981405">
        <w:t>complete</w:t>
      </w:r>
      <w:r w:rsidR="00190923" w:rsidRPr="00981405">
        <w:t xml:space="preserve"> </w:t>
      </w:r>
      <w:r w:rsidRPr="00981405">
        <w:t>its</w:t>
      </w:r>
      <w:r w:rsidR="00190923" w:rsidRPr="00981405">
        <w:t xml:space="preserve"> </w:t>
      </w:r>
      <w:r w:rsidRPr="00981405">
        <w:t>work</w:t>
      </w:r>
      <w:r w:rsidR="00190923" w:rsidRPr="00981405">
        <w:t xml:space="preserve"> </w:t>
      </w:r>
      <w:r w:rsidRPr="00981405">
        <w:t>this</w:t>
      </w:r>
      <w:r w:rsidR="00190923" w:rsidRPr="00981405">
        <w:t xml:space="preserve"> </w:t>
      </w:r>
      <w:r w:rsidRPr="00981405">
        <w:t>session,</w:t>
      </w:r>
      <w:r w:rsidR="00190923" w:rsidRPr="00981405">
        <w:t xml:space="preserve"> </w:t>
      </w:r>
      <w:r w:rsidRPr="00981405">
        <w:t>and</w:t>
      </w:r>
      <w:r w:rsidR="00190923" w:rsidRPr="00981405">
        <w:t xml:space="preserve"> </w:t>
      </w:r>
      <w:r w:rsidRPr="00981405">
        <w:t>provisionally</w:t>
      </w:r>
      <w:r w:rsidR="00190923" w:rsidRPr="00981405">
        <w:t xml:space="preserve"> </w:t>
      </w:r>
      <w:r w:rsidRPr="00981405">
        <w:t>adopt</w:t>
      </w:r>
      <w:r w:rsidR="00190923" w:rsidRPr="00981405">
        <w:t xml:space="preserve"> </w:t>
      </w:r>
      <w:r w:rsidRPr="00981405">
        <w:t>a</w:t>
      </w:r>
      <w:r w:rsidR="00190923" w:rsidRPr="00981405">
        <w:t xml:space="preserve"> </w:t>
      </w:r>
      <w:r w:rsidRPr="00981405">
        <w:t>complete</w:t>
      </w:r>
      <w:r w:rsidR="00190923" w:rsidRPr="00981405">
        <w:t xml:space="preserve"> </w:t>
      </w:r>
      <w:r w:rsidRPr="00981405">
        <w:t>set</w:t>
      </w:r>
      <w:r w:rsidR="00190923" w:rsidRPr="00981405">
        <w:t xml:space="preserve"> </w:t>
      </w:r>
      <w:r w:rsidRPr="00981405">
        <w:t>of</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(complete,</w:t>
      </w:r>
      <w:r w:rsidR="00190923" w:rsidRPr="00981405">
        <w:t xml:space="preserve"> </w:t>
      </w:r>
      <w:r w:rsidRPr="00981405">
        <w:t>that</w:t>
      </w:r>
      <w:r w:rsidR="00190923" w:rsidRPr="00981405">
        <w:t xml:space="preserve"> </w:t>
      </w:r>
      <w:r w:rsidRPr="00981405">
        <w:t>is,</w:t>
      </w:r>
      <w:r w:rsidR="00190923" w:rsidRPr="00981405">
        <w:t xml:space="preserve"> </w:t>
      </w:r>
      <w:r w:rsidRPr="00981405">
        <w:t>subject</w:t>
      </w:r>
      <w:r w:rsidR="00190923" w:rsidRPr="00981405">
        <w:t xml:space="preserve"> </w:t>
      </w:r>
      <w:r w:rsidRPr="00981405">
        <w:t>to</w:t>
      </w:r>
      <w:r w:rsidR="00190923" w:rsidRPr="00981405">
        <w:t xml:space="preserve"> </w:t>
      </w:r>
      <w:r w:rsidRPr="00981405">
        <w:t>any</w:t>
      </w:r>
      <w:r w:rsidR="00190923" w:rsidRPr="00981405">
        <w:t xml:space="preserve"> </w:t>
      </w:r>
      <w:r w:rsidRPr="00981405">
        <w:t>additional</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suggestions</w:t>
      </w:r>
      <w:r w:rsidR="00190923" w:rsidRPr="00981405">
        <w:t xml:space="preserve"> </w:t>
      </w:r>
      <w:r w:rsidRPr="00981405">
        <w:t>that</w:t>
      </w:r>
      <w:r w:rsidR="00190923" w:rsidRPr="00981405">
        <w:t xml:space="preserve"> </w:t>
      </w:r>
      <w:r w:rsidRPr="00981405">
        <w:t>might</w:t>
      </w:r>
      <w:r w:rsidR="00190923" w:rsidRPr="00981405">
        <w:t xml:space="preserve"> </w:t>
      </w:r>
      <w:r w:rsidRPr="00981405">
        <w:t>emerge</w:t>
      </w:r>
      <w:r w:rsidR="00190923" w:rsidRPr="00981405">
        <w:t xml:space="preserve"> </w:t>
      </w:r>
      <w:r w:rsidRPr="00981405">
        <w:t>from</w:t>
      </w:r>
      <w:r w:rsidR="00190923" w:rsidRPr="00981405">
        <w:t xml:space="preserve"> </w:t>
      </w:r>
      <w:r w:rsidRPr="00981405">
        <w:t>the</w:t>
      </w:r>
      <w:r w:rsidR="00190923" w:rsidRPr="00981405">
        <w:t xml:space="preserve"> </w:t>
      </w:r>
      <w:r w:rsidRPr="00981405">
        <w:t>debate</w:t>
      </w:r>
      <w:r w:rsidR="00190923" w:rsidRPr="00981405">
        <w:t xml:space="preserve"> </w:t>
      </w:r>
      <w:r w:rsidRPr="00981405">
        <w:t>on</w:t>
      </w:r>
      <w:r w:rsidR="00190923" w:rsidRPr="00981405">
        <w:t xml:space="preserve"> </w:t>
      </w:r>
      <w:r w:rsidRPr="00981405">
        <w:t>a</w:t>
      </w:r>
      <w:r w:rsidR="00190923" w:rsidRPr="00981405">
        <w:t xml:space="preserve"> </w:t>
      </w:r>
      <w:r w:rsidRPr="00981405">
        <w:t>fourth</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could</w:t>
      </w:r>
      <w:r w:rsidR="00190923" w:rsidRPr="00981405">
        <w:t xml:space="preserve"> </w:t>
      </w:r>
      <w:r w:rsidRPr="00981405">
        <w:t>then</w:t>
      </w:r>
      <w:r w:rsidR="00190923" w:rsidRPr="00981405">
        <w:t xml:space="preserve"> </w:t>
      </w:r>
      <w:r w:rsidRPr="00981405">
        <w:t>prepare</w:t>
      </w:r>
      <w:r w:rsidR="00190923" w:rsidRPr="00981405">
        <w:t xml:space="preserve"> </w:t>
      </w:r>
      <w:r w:rsidRPr="00981405">
        <w:t>draft</w:t>
      </w:r>
      <w:r w:rsidR="00190923" w:rsidRPr="00981405">
        <w:t xml:space="preserve"> </w:t>
      </w:r>
      <w:r w:rsidRPr="00981405">
        <w:t>commentaries</w:t>
      </w:r>
      <w:r w:rsidR="00190923" w:rsidRPr="00981405">
        <w:t xml:space="preserve"> </w:t>
      </w:r>
      <w:r w:rsidRPr="00981405">
        <w:t>on</w:t>
      </w:r>
      <w:r w:rsidR="00190923" w:rsidRPr="00981405">
        <w:t xml:space="preserve"> </w:t>
      </w:r>
      <w:r w:rsidRPr="00981405">
        <w:t>all</w:t>
      </w:r>
      <w:r w:rsidR="00190923" w:rsidRPr="00981405">
        <w:t xml:space="preserve"> </w:t>
      </w:r>
      <w:r w:rsidRPr="00981405">
        <w:t>the</w:t>
      </w:r>
      <w:r w:rsidR="00190923" w:rsidRPr="00981405">
        <w:t xml:space="preserve"> </w:t>
      </w:r>
      <w:r w:rsidRPr="00981405">
        <w:t>conclusions</w:t>
      </w:r>
      <w:r w:rsidR="00190923" w:rsidRPr="00981405">
        <w:t xml:space="preserve"> </w:t>
      </w:r>
      <w:r w:rsidRPr="00981405">
        <w:t>in</w:t>
      </w:r>
      <w:r w:rsidR="00190923" w:rsidRPr="00981405">
        <w:t xml:space="preserve"> </w:t>
      </w:r>
      <w:r w:rsidRPr="00981405">
        <w:t>time</w:t>
      </w:r>
      <w:r w:rsidR="00190923" w:rsidRPr="00981405">
        <w:t xml:space="preserve"> </w:t>
      </w:r>
      <w:r w:rsidRPr="00981405">
        <w:t>for</w:t>
      </w:r>
      <w:r w:rsidR="00190923" w:rsidRPr="00981405">
        <w:t xml:space="preserve"> </w:t>
      </w:r>
      <w:r w:rsidRPr="00981405">
        <w:t>the</w:t>
      </w:r>
      <w:r w:rsidR="00190923" w:rsidRPr="00981405">
        <w:t xml:space="preserve"> </w:t>
      </w:r>
      <w:r w:rsidRPr="00981405">
        <w:t>beginning</w:t>
      </w:r>
      <w:r w:rsidR="00190923" w:rsidRPr="00981405">
        <w:t xml:space="preserve"> </w:t>
      </w:r>
      <w:r w:rsidRPr="00981405">
        <w:t>of</w:t>
      </w:r>
      <w:r w:rsidR="00190923" w:rsidRPr="00981405">
        <w:t xml:space="preserve"> </w:t>
      </w:r>
      <w:r w:rsidRPr="00981405">
        <w:t>the</w:t>
      </w:r>
      <w:r w:rsidR="00190923" w:rsidRPr="00981405">
        <w:t xml:space="preserve"> </w:t>
      </w:r>
      <w:r w:rsidRPr="00981405">
        <w:t>2016</w:t>
      </w:r>
      <w:r w:rsidR="00190923" w:rsidRPr="00981405">
        <w:t xml:space="preserve"> </w:t>
      </w:r>
      <w:r w:rsidRPr="00981405">
        <w:t>session.</w:t>
      </w:r>
      <w:r w:rsidR="00190923" w:rsidRPr="00981405">
        <w:t xml:space="preserve"> </w:t>
      </w:r>
      <w:r w:rsidRPr="00981405">
        <w:t>Members</w:t>
      </w:r>
      <w:r w:rsidR="00190923" w:rsidRPr="00981405">
        <w:t xml:space="preserve"> </w:t>
      </w:r>
      <w:r w:rsidRPr="00981405">
        <w:t>would</w:t>
      </w:r>
      <w:r w:rsidR="00190923" w:rsidRPr="00981405">
        <w:t xml:space="preserve"> </w:t>
      </w:r>
      <w:r w:rsidRPr="00981405">
        <w:t>then</w:t>
      </w:r>
      <w:r w:rsidR="00190923" w:rsidRPr="00981405">
        <w:t xml:space="preserve"> </w:t>
      </w:r>
      <w:r w:rsidRPr="00981405">
        <w:t>have</w:t>
      </w:r>
      <w:r w:rsidR="00190923" w:rsidRPr="00981405">
        <w:t xml:space="preserve"> </w:t>
      </w:r>
      <w:r w:rsidRPr="00981405">
        <w:t>adequate</w:t>
      </w:r>
      <w:r w:rsidR="00190923" w:rsidRPr="00981405">
        <w:t xml:space="preserve"> </w:t>
      </w:r>
      <w:r w:rsidRPr="00981405">
        <w:t>time</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w:t>
      </w:r>
      <w:r w:rsidR="00190923" w:rsidRPr="00981405">
        <w:t xml:space="preserve"> </w:t>
      </w:r>
      <w:r w:rsidRPr="00981405">
        <w:t>draft</w:t>
      </w:r>
      <w:r w:rsidR="00190923" w:rsidRPr="00981405">
        <w:t xml:space="preserve"> </w:t>
      </w:r>
      <w:r w:rsidRPr="00981405">
        <w:t>commentaries</w:t>
      </w:r>
      <w:r w:rsidR="00190923" w:rsidRPr="00981405">
        <w:t xml:space="preserve"> </w:t>
      </w:r>
      <w:r w:rsidRPr="00981405">
        <w:t>carefully,</w:t>
      </w:r>
      <w:r w:rsidR="00190923" w:rsidRPr="00981405">
        <w:t xml:space="preserve"> </w:t>
      </w:r>
      <w:r w:rsidRPr="00981405">
        <w:t>and</w:t>
      </w:r>
      <w:r w:rsidR="00190923" w:rsidRPr="00981405">
        <w:t xml:space="preserve"> </w:t>
      </w:r>
      <w:r w:rsidRPr="00981405">
        <w:t>hopefully</w:t>
      </w:r>
      <w:r w:rsidR="00190923" w:rsidRPr="00981405">
        <w:t xml:space="preserve"> </w:t>
      </w:r>
      <w:r w:rsidRPr="00981405">
        <w:t>the</w:t>
      </w:r>
      <w:r w:rsidR="00190923" w:rsidRPr="00981405">
        <w:t xml:space="preserve"> </w:t>
      </w:r>
      <w:r w:rsidRPr="00981405">
        <w:t>full</w:t>
      </w:r>
      <w:r w:rsidR="00190923" w:rsidRPr="00981405">
        <w:t xml:space="preserve"> </w:t>
      </w:r>
      <w:r w:rsidRPr="00981405">
        <w:t>set</w:t>
      </w:r>
      <w:r w:rsidR="00190923" w:rsidRPr="00981405">
        <w:t xml:space="preserve"> </w:t>
      </w:r>
      <w:r w:rsidRPr="00981405">
        <w:t>of</w:t>
      </w:r>
      <w:r w:rsidR="00190923" w:rsidRPr="00981405">
        <w:t xml:space="preserve"> </w:t>
      </w:r>
      <w:r w:rsidRPr="00981405">
        <w:t>first</w:t>
      </w:r>
      <w:r w:rsidR="00190923" w:rsidRPr="00981405">
        <w:t xml:space="preserve"> </w:t>
      </w:r>
      <w:r w:rsidRPr="00981405">
        <w:t>reading</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and</w:t>
      </w:r>
      <w:r w:rsidR="00190923" w:rsidRPr="00981405">
        <w:t xml:space="preserve"> </w:t>
      </w:r>
      <w:r w:rsidRPr="00981405">
        <w:t>commentaries</w:t>
      </w:r>
      <w:r w:rsidR="00190923" w:rsidRPr="00981405">
        <w:t xml:space="preserve"> </w:t>
      </w:r>
      <w:r w:rsidRPr="00981405">
        <w:t>could</w:t>
      </w:r>
      <w:r w:rsidR="00190923" w:rsidRPr="00981405">
        <w:t xml:space="preserve"> </w:t>
      </w:r>
      <w:r w:rsidRPr="00981405">
        <w:t>be</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by</w:t>
      </w:r>
      <w:r w:rsidR="00190923" w:rsidRPr="00981405">
        <w:t xml:space="preserve"> </w:t>
      </w:r>
      <w:r w:rsidRPr="00981405">
        <w:t>the</w:t>
      </w:r>
      <w:r w:rsidR="00190923" w:rsidRPr="00981405">
        <w:t xml:space="preserve"> </w:t>
      </w:r>
      <w:r w:rsidRPr="00981405">
        <w:t>end</w:t>
      </w:r>
      <w:r w:rsidR="00190923" w:rsidRPr="00981405">
        <w:t xml:space="preserve"> </w:t>
      </w:r>
      <w:r w:rsidRPr="00981405">
        <w:t>of</w:t>
      </w:r>
      <w:r w:rsidR="00190923" w:rsidRPr="00981405">
        <w:t xml:space="preserve"> </w:t>
      </w:r>
      <w:r w:rsidRPr="00981405">
        <w:t>its</w:t>
      </w:r>
      <w:r w:rsidR="00190923" w:rsidRPr="00981405">
        <w:t xml:space="preserve"> </w:t>
      </w:r>
      <w:r w:rsidRPr="00981405">
        <w:t>2016</w:t>
      </w:r>
      <w:r w:rsidR="00190923" w:rsidRPr="00981405">
        <w:t xml:space="preserve"> </w:t>
      </w:r>
      <w:r w:rsidRPr="00981405">
        <w:t>session.</w:t>
      </w:r>
    </w:p>
    <w:p w:rsidR="00A84604" w:rsidRPr="00D97463" w:rsidRDefault="00397032" w:rsidP="00D97463">
      <w:pPr>
        <w:pStyle w:val="SingleTxt"/>
        <w:rPr>
          <w:sz w:val="10"/>
        </w:rPr>
      </w:pPr>
      <w:r w:rsidRPr="00D97463">
        <w:br w:type="page"/>
      </w:r>
      <w:bookmarkStart w:id="50" w:name="A_Introduction"/>
    </w:p>
    <w:p w:rsidR="00A84604" w:rsidRPr="00981405" w:rsidRDefault="00A84604">
      <w:pPr>
        <w:pStyle w:val="SingleTxt"/>
        <w:spacing w:after="0" w:line="120" w:lineRule="exact"/>
        <w:rPr>
          <w:sz w:val="10"/>
        </w:rPr>
      </w:pPr>
    </w:p>
    <w:p w:rsidR="00A84604" w:rsidRPr="00907FB7" w:rsidRDefault="00A84604" w:rsidP="00907FB7">
      <w:pPr>
        <w:pStyle w:val="SingleTxt"/>
        <w:spacing w:after="0" w:line="120" w:lineRule="exact"/>
        <w:rPr>
          <w:sz w:val="10"/>
        </w:rPr>
      </w:pPr>
    </w:p>
    <w:p w:rsidR="00397032" w:rsidRPr="00D97463" w:rsidRDefault="00A84604" w:rsidP="00D97463">
      <w:pPr>
        <w:pStyle w:val="HCh"/>
        <w:ind w:left="1267" w:right="1260" w:hanging="1267"/>
      </w:pPr>
      <w:r w:rsidRPr="00D97463">
        <w:tab/>
      </w:r>
      <w:r w:rsidRPr="00D97463">
        <w:tab/>
      </w:r>
      <w:r w:rsidR="00397032" w:rsidRPr="00D97463">
        <w:t>Chapter</w:t>
      </w:r>
      <w:r w:rsidR="00190923" w:rsidRPr="00D97463">
        <w:t xml:space="preserve"> </w:t>
      </w:r>
      <w:r w:rsidR="00397032" w:rsidRPr="00D97463">
        <w:t>VII</w:t>
      </w:r>
      <w:r w:rsidRPr="00D97463">
        <w:br/>
      </w:r>
      <w:r w:rsidR="00397032" w:rsidRPr="00D97463">
        <w:t>Crimes</w:t>
      </w:r>
      <w:r w:rsidR="00190923" w:rsidRPr="00D97463">
        <w:t xml:space="preserve"> </w:t>
      </w:r>
      <w:r w:rsidR="00397032" w:rsidRPr="00D97463">
        <w:t>against</w:t>
      </w:r>
      <w:r w:rsidR="00190923" w:rsidRPr="00D97463">
        <w:t xml:space="preserve"> </w:t>
      </w:r>
      <w:r w:rsidR="00397032" w:rsidRPr="00D97463">
        <w:t>humanity</w:t>
      </w:r>
    </w:p>
    <w:p w:rsidR="00A84604" w:rsidRPr="00907FB7" w:rsidRDefault="00A84604" w:rsidP="00907FB7">
      <w:pPr>
        <w:pStyle w:val="SingleTxt"/>
        <w:spacing w:after="0" w:line="120" w:lineRule="exact"/>
        <w:rPr>
          <w:sz w:val="10"/>
        </w:rPr>
      </w:pPr>
    </w:p>
    <w:p w:rsidR="00A84604" w:rsidRPr="00D97463" w:rsidRDefault="00A84604" w:rsidP="00D97463">
      <w:pPr>
        <w:pStyle w:val="SingleTxt"/>
        <w:spacing w:after="0" w:line="120" w:lineRule="exact"/>
        <w:rPr>
          <w:sz w:val="10"/>
        </w:rPr>
      </w:pPr>
    </w:p>
    <w:p w:rsidR="00397032" w:rsidRPr="00D97463" w:rsidRDefault="00397032" w:rsidP="00D97463">
      <w:pPr>
        <w:pStyle w:val="H1"/>
        <w:ind w:right="1260"/>
      </w:pPr>
      <w:r w:rsidRPr="00D97463">
        <w:tab/>
        <w:t>A.</w:t>
      </w:r>
      <w:r w:rsidRPr="00D97463">
        <w:tab/>
      </w:r>
      <w:bookmarkEnd w:id="50"/>
      <w:r w:rsidRPr="00D97463">
        <w:t>Introduction</w:t>
      </w:r>
    </w:p>
    <w:p w:rsidR="00A84604" w:rsidRPr="00D97463" w:rsidRDefault="00A84604" w:rsidP="00D97463">
      <w:pPr>
        <w:pStyle w:val="SingleTxt"/>
        <w:spacing w:after="0" w:line="120" w:lineRule="exact"/>
        <w:rPr>
          <w:sz w:val="10"/>
        </w:rPr>
      </w:pPr>
    </w:p>
    <w:p w:rsidR="00A84604" w:rsidRPr="00D97463" w:rsidRDefault="00A84604" w:rsidP="00D97463">
      <w:pPr>
        <w:pStyle w:val="SingleTxt"/>
        <w:spacing w:after="0" w:line="120" w:lineRule="exact"/>
        <w:rPr>
          <w:sz w:val="10"/>
        </w:rPr>
      </w:pPr>
    </w:p>
    <w:p w:rsidR="00397032" w:rsidRPr="00981405" w:rsidRDefault="00397032" w:rsidP="00D97463">
      <w:pPr>
        <w:pStyle w:val="SingleTxt"/>
      </w:pPr>
      <w:r w:rsidRPr="00981405">
        <w:t>108.</w:t>
      </w:r>
      <w:r w:rsidRPr="00981405">
        <w:tab/>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long-term</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Pr="00981405">
        <w:rPr>
          <w:rStyle w:val="FootnoteReference"/>
        </w:rPr>
        <w:footnoteReference w:id="77"/>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proposal</w:t>
      </w:r>
      <w:r w:rsidR="00190923" w:rsidRPr="00981405">
        <w:t xml:space="preserve"> </w:t>
      </w:r>
      <w:r w:rsidRPr="00981405">
        <w:t>prepared</w:t>
      </w:r>
      <w:r w:rsidR="00190923" w:rsidRPr="00981405">
        <w:t xml:space="preserve"> </w:t>
      </w:r>
      <w:r w:rsidRPr="00981405">
        <w:t>by</w:t>
      </w:r>
      <w:r w:rsidR="00190923" w:rsidRPr="00981405">
        <w:t xml:space="preserve"> </w:t>
      </w:r>
      <w:r w:rsidRPr="00981405">
        <w:t>Mr.</w:t>
      </w:r>
      <w:r w:rsidR="00190923" w:rsidRPr="00981405">
        <w:t xml:space="preserve"> </w:t>
      </w:r>
      <w:r w:rsidRPr="00981405">
        <w:t>Sean</w:t>
      </w:r>
      <w:r w:rsidR="00190923" w:rsidRPr="00981405">
        <w:t xml:space="preserve"> </w:t>
      </w:r>
      <w:r w:rsidRPr="00981405">
        <w:t>D.</w:t>
      </w:r>
      <w:r w:rsidR="00190923" w:rsidRPr="00981405">
        <w:t xml:space="preserve"> </w:t>
      </w:r>
      <w:r w:rsidRPr="00981405">
        <w:t>Murphy</w:t>
      </w:r>
      <w:r w:rsidR="00190923" w:rsidRPr="00981405">
        <w:t xml:space="preserve"> </w:t>
      </w:r>
      <w:r w:rsidRPr="00981405">
        <w:t>and</w:t>
      </w:r>
      <w:r w:rsidR="00190923" w:rsidRPr="00981405">
        <w:t xml:space="preserve"> </w:t>
      </w:r>
      <w:r w:rsidRPr="00981405">
        <w:t>reproduced</w:t>
      </w:r>
      <w:r w:rsidR="00190923" w:rsidRPr="00981405">
        <w:t xml:space="preserve"> </w:t>
      </w:r>
      <w:r w:rsidRPr="00981405">
        <w:t>in</w:t>
      </w:r>
      <w:r w:rsidR="00190923" w:rsidRPr="00981405">
        <w:t xml:space="preserve"> </w:t>
      </w:r>
      <w:r w:rsidRPr="00981405">
        <w:t>annex</w:t>
      </w:r>
      <w:r w:rsidR="00190923" w:rsidRPr="00981405">
        <w:t xml:space="preserve"> </w:t>
      </w:r>
      <w:r w:rsidRPr="00981405">
        <w:t>B</w:t>
      </w:r>
      <w:r w:rsidR="00190923" w:rsidRPr="00981405">
        <w:t xml:space="preserve"> </w:t>
      </w:r>
      <w:r w:rsidRPr="00981405">
        <w:t>to</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that</w:t>
      </w:r>
      <w:r w:rsidR="00190923" w:rsidRPr="00981405">
        <w:t xml:space="preserve"> </w:t>
      </w:r>
      <w:r w:rsidRPr="00981405">
        <w:t>session.</w:t>
      </w:r>
      <w:r w:rsidRPr="00981405">
        <w:rPr>
          <w:rStyle w:val="FootnoteReference"/>
        </w:rPr>
        <w:footnoteReference w:id="78"/>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in</w:t>
      </w:r>
      <w:r w:rsidR="00190923" w:rsidRPr="00981405">
        <w:t xml:space="preserve"> </w:t>
      </w:r>
      <w:r w:rsidRPr="00981405">
        <w:t>paragraph</w:t>
      </w:r>
      <w:r w:rsidR="00190923" w:rsidRPr="00981405">
        <w:t xml:space="preserve"> </w:t>
      </w:r>
      <w:r w:rsidRPr="00981405">
        <w:t>8</w:t>
      </w:r>
      <w:r w:rsidR="00190923" w:rsidRPr="00981405">
        <w:t xml:space="preserve"> </w:t>
      </w:r>
      <w:r w:rsidRPr="00981405">
        <w:t>of</w:t>
      </w:r>
      <w:r w:rsidR="00190923" w:rsidRPr="00981405">
        <w:t xml:space="preserve"> </w:t>
      </w:r>
      <w:r w:rsidRPr="00981405">
        <w:t>its</w:t>
      </w:r>
      <w:r w:rsidR="00190923" w:rsidRPr="00981405">
        <w:t xml:space="preserve"> </w:t>
      </w:r>
      <w:r w:rsidRPr="00981405">
        <w:t>resolution</w:t>
      </w:r>
      <w:r w:rsidR="00190923" w:rsidRPr="00981405">
        <w:t xml:space="preserve"> </w:t>
      </w:r>
      <w:r w:rsidRPr="00981405">
        <w:t>68/112</w:t>
      </w:r>
      <w:r w:rsidR="00190923" w:rsidRPr="00981405">
        <w:t xml:space="preserve"> </w:t>
      </w:r>
      <w:r w:rsidRPr="00981405">
        <w:t>of</w:t>
      </w:r>
      <w:r w:rsidR="00190923" w:rsidRPr="00981405">
        <w:t xml:space="preserve"> </w:t>
      </w:r>
      <w:r w:rsidRPr="00981405">
        <w:t>16</w:t>
      </w:r>
      <w:r w:rsidR="00190923" w:rsidRPr="00981405">
        <w:t xml:space="preserve"> </w:t>
      </w:r>
      <w:r w:rsidRPr="00981405">
        <w:t>December</w:t>
      </w:r>
      <w:r w:rsidR="00190923" w:rsidRPr="00981405">
        <w:t xml:space="preserve"> </w:t>
      </w:r>
      <w:r w:rsidRPr="00981405">
        <w:t>2013,</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this</w:t>
      </w:r>
      <w:r w:rsidR="00190923" w:rsidRPr="00981405">
        <w:t xml:space="preserve"> </w:t>
      </w:r>
      <w:r w:rsidRPr="00981405">
        <w:t>topic</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long-term</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p>
    <w:p w:rsidR="00397032" w:rsidRPr="00981405" w:rsidRDefault="00397032" w:rsidP="00D97463">
      <w:pPr>
        <w:pStyle w:val="SingleTxt"/>
      </w:pPr>
      <w:r w:rsidRPr="00981405">
        <w:t>109.</w:t>
      </w:r>
      <w:r w:rsidRPr="00981405">
        <w:tab/>
        <w:t>At</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(2014),</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appointed</w:t>
      </w:r>
      <w:r w:rsidR="00190923" w:rsidRPr="00981405">
        <w:t xml:space="preserve"> </w:t>
      </w:r>
      <w:r w:rsidRPr="00981405">
        <w:t>Mr.</w:t>
      </w:r>
      <w:r w:rsidR="00190923" w:rsidRPr="00981405">
        <w:t xml:space="preserve"> </w:t>
      </w:r>
      <w:r w:rsidRPr="00981405">
        <w:t>Sean</w:t>
      </w:r>
      <w:r w:rsidR="00190923" w:rsidRPr="00981405">
        <w:t xml:space="preserve"> </w:t>
      </w:r>
      <w:r w:rsidRPr="00981405">
        <w:t>D.</w:t>
      </w:r>
      <w:r w:rsidR="00190923" w:rsidRPr="00981405">
        <w:t xml:space="preserve"> </w:t>
      </w:r>
      <w:r w:rsidRPr="00981405">
        <w:t>Murphy</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Pr="00981405">
        <w:rPr>
          <w:rStyle w:val="FootnoteReference"/>
        </w:rPr>
        <w:footnoteReference w:id="79"/>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subsequently,</w:t>
      </w:r>
      <w:r w:rsidR="00190923" w:rsidRPr="00981405">
        <w:t xml:space="preserve"> </w:t>
      </w:r>
      <w:r w:rsidRPr="00981405">
        <w:t>in</w:t>
      </w:r>
      <w:r w:rsidR="00190923" w:rsidRPr="00981405">
        <w:t xml:space="preserve"> </w:t>
      </w:r>
      <w:r w:rsidRPr="00981405">
        <w:t>paragraph</w:t>
      </w:r>
      <w:r w:rsidR="00190923" w:rsidRPr="00981405">
        <w:t xml:space="preserve"> </w:t>
      </w:r>
      <w:r w:rsidRPr="00981405">
        <w:t>7</w:t>
      </w:r>
      <w:r w:rsidR="00190923" w:rsidRPr="00981405">
        <w:t xml:space="preserve"> </w:t>
      </w:r>
      <w:r w:rsidRPr="00981405">
        <w:t>of</w:t>
      </w:r>
      <w:r w:rsidR="00190923" w:rsidRPr="00981405">
        <w:t xml:space="preserve"> </w:t>
      </w:r>
      <w:r w:rsidRPr="00981405">
        <w:t>its</w:t>
      </w:r>
      <w:r w:rsidR="00190923" w:rsidRPr="00981405">
        <w:t xml:space="preserve"> </w:t>
      </w:r>
      <w:r w:rsidRPr="00981405">
        <w:t>resolution</w:t>
      </w:r>
      <w:r w:rsidR="00190923" w:rsidRPr="00981405">
        <w:t xml:space="preserve"> </w:t>
      </w:r>
      <w:r w:rsidRPr="00981405">
        <w:t>69/118</w:t>
      </w:r>
      <w:r w:rsidR="00190923" w:rsidRPr="00981405">
        <w:t xml:space="preserve"> </w:t>
      </w:r>
      <w:r w:rsidRPr="00981405">
        <w:t>of</w:t>
      </w:r>
      <w:r w:rsidR="00190923" w:rsidRPr="00981405">
        <w:t xml:space="preserve"> </w:t>
      </w:r>
      <w:r w:rsidRPr="00981405">
        <w:t>10</w:t>
      </w:r>
      <w:r w:rsidR="00190923" w:rsidRPr="00981405">
        <w:t xml:space="preserve"> </w:t>
      </w:r>
      <w:r w:rsidRPr="00981405">
        <w:t>December</w:t>
      </w:r>
      <w:r w:rsidR="00190923" w:rsidRPr="00981405">
        <w:t xml:space="preserve"> </w:t>
      </w:r>
      <w:r w:rsidRPr="00981405">
        <w:t>2014,</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the</w:t>
      </w:r>
      <w:r w:rsidR="00190923" w:rsidRPr="00981405">
        <w:t xml:space="preserve"> </w:t>
      </w:r>
      <w:r w:rsidRPr="00981405">
        <w:t>decision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p>
    <w:p w:rsidR="00A84604" w:rsidRPr="00D97463" w:rsidRDefault="00A84604" w:rsidP="00D97463">
      <w:pPr>
        <w:pStyle w:val="SingleTxt"/>
        <w:spacing w:after="0" w:line="120" w:lineRule="exact"/>
        <w:rPr>
          <w:sz w:val="10"/>
        </w:rPr>
      </w:pPr>
    </w:p>
    <w:p w:rsidR="00A84604" w:rsidRPr="00D97463" w:rsidRDefault="00A84604" w:rsidP="00D97463">
      <w:pPr>
        <w:pStyle w:val="SingleTxt"/>
        <w:spacing w:after="0" w:line="120" w:lineRule="exact"/>
        <w:rPr>
          <w:sz w:val="10"/>
        </w:rPr>
      </w:pPr>
    </w:p>
    <w:p w:rsidR="00397032" w:rsidRPr="00D97463" w:rsidRDefault="00397032" w:rsidP="00D97463">
      <w:pPr>
        <w:pStyle w:val="H1"/>
        <w:ind w:right="1260"/>
      </w:pPr>
      <w:r w:rsidRPr="00D97463">
        <w:tab/>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p>
    <w:p w:rsidR="00A84604" w:rsidRPr="00D97463" w:rsidRDefault="00A84604" w:rsidP="00D97463">
      <w:pPr>
        <w:pStyle w:val="SingleTxt"/>
        <w:spacing w:after="0" w:line="120" w:lineRule="exact"/>
        <w:rPr>
          <w:sz w:val="10"/>
        </w:rPr>
      </w:pPr>
    </w:p>
    <w:p w:rsidR="00A84604" w:rsidRPr="00D97463" w:rsidRDefault="00A84604" w:rsidP="00D97463">
      <w:pPr>
        <w:pStyle w:val="SingleTxt"/>
        <w:spacing w:after="0" w:line="120" w:lineRule="exact"/>
        <w:rPr>
          <w:sz w:val="10"/>
        </w:rPr>
      </w:pPr>
    </w:p>
    <w:p w:rsidR="00397032" w:rsidRPr="00981405" w:rsidRDefault="00397032" w:rsidP="00D97463">
      <w:pPr>
        <w:pStyle w:val="SingleTxt"/>
      </w:pPr>
      <w:r w:rsidRPr="00981405">
        <w:t>110.</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5" w:history="1">
        <w:r w:rsidR="00F304EB" w:rsidRPr="00F304EB">
          <w:rPr>
            <w:rStyle w:val="Hyperlink"/>
          </w:rPr>
          <w:t>A/CN.4/680</w:t>
        </w:r>
      </w:hyperlink>
      <w:r w:rsidRPr="00981405">
        <w:t>),</w:t>
      </w:r>
      <w:r w:rsidR="00190923" w:rsidRPr="00981405">
        <w:t xml:space="preserve"> </w:t>
      </w:r>
      <w:r w:rsidRPr="00981405">
        <w:t>which</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at</w:t>
      </w:r>
      <w:r w:rsidR="00190923" w:rsidRPr="00981405">
        <w:t xml:space="preserve"> </w:t>
      </w:r>
      <w:r w:rsidRPr="00981405">
        <w:t>its</w:t>
      </w:r>
      <w:r w:rsidR="00190923" w:rsidRPr="00981405">
        <w:t xml:space="preserve"> </w:t>
      </w:r>
      <w:r w:rsidRPr="00981405">
        <w:t>3254th</w:t>
      </w:r>
      <w:r w:rsidR="00190923" w:rsidRPr="00981405">
        <w:t xml:space="preserve"> </w:t>
      </w:r>
      <w:r w:rsidRPr="00981405">
        <w:t>to</w:t>
      </w:r>
      <w:r w:rsidR="00190923" w:rsidRPr="00981405">
        <w:t xml:space="preserve"> </w:t>
      </w:r>
      <w:r w:rsidRPr="00981405">
        <w:t>3258th</w:t>
      </w:r>
      <w:r w:rsidR="00190923" w:rsidRPr="00981405">
        <w:t xml:space="preserve"> </w:t>
      </w:r>
      <w:r w:rsidRPr="00981405">
        <w:t>meetings,</w:t>
      </w:r>
      <w:r w:rsidR="00190923" w:rsidRPr="00981405">
        <w:t xml:space="preserve"> </w:t>
      </w:r>
      <w:r w:rsidRPr="00981405">
        <w:t>from</w:t>
      </w:r>
      <w:r w:rsidR="00190923" w:rsidRPr="00981405">
        <w:t xml:space="preserve"> </w:t>
      </w:r>
      <w:r w:rsidRPr="00981405">
        <w:t>21</w:t>
      </w:r>
      <w:r w:rsidR="00190923" w:rsidRPr="00981405">
        <w:t xml:space="preserve"> </w:t>
      </w:r>
      <w:r w:rsidRPr="00981405">
        <w:t>to</w:t>
      </w:r>
      <w:r w:rsidR="00190923" w:rsidRPr="00981405">
        <w:t xml:space="preserve"> </w:t>
      </w:r>
      <w:r w:rsidRPr="00981405">
        <w:t>28</w:t>
      </w:r>
      <w:r w:rsidR="00190923" w:rsidRPr="00981405">
        <w:t xml:space="preserve"> </w:t>
      </w:r>
      <w:r w:rsidRPr="00981405">
        <w:t>May</w:t>
      </w:r>
      <w:r w:rsidR="00190923" w:rsidRPr="00981405">
        <w:t xml:space="preserve"> </w:t>
      </w:r>
      <w:r w:rsidRPr="00981405">
        <w:t>2015.</w:t>
      </w:r>
      <w:r w:rsidRPr="00981405">
        <w:rPr>
          <w:rStyle w:val="FootnoteReference"/>
        </w:rPr>
        <w:footnoteReference w:id="80"/>
      </w:r>
    </w:p>
    <w:p w:rsidR="00397032" w:rsidRPr="00981405" w:rsidRDefault="00397032" w:rsidP="00D97463">
      <w:pPr>
        <w:pStyle w:val="SingleTxt"/>
      </w:pPr>
      <w:r w:rsidRPr="00981405">
        <w:t>111.</w:t>
      </w:r>
      <w:r w:rsidRPr="00981405">
        <w:tab/>
        <w:t>In</w:t>
      </w:r>
      <w:r w:rsidR="00190923" w:rsidRPr="00981405">
        <w:t xml:space="preserve"> </w:t>
      </w:r>
      <w:r w:rsidRPr="00981405">
        <w:t>his</w:t>
      </w:r>
      <w:r w:rsidR="00190923" w:rsidRPr="00981405">
        <w:t xml:space="preserve"> </w:t>
      </w:r>
      <w:r w:rsidRPr="00981405">
        <w:t>first</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after</w:t>
      </w:r>
      <w:r w:rsidR="00190923" w:rsidRPr="00981405">
        <w:t xml:space="preserve"> </w:t>
      </w:r>
      <w:r w:rsidRPr="00981405">
        <w:t>assessing</w:t>
      </w:r>
      <w:r w:rsidR="00190923" w:rsidRPr="00981405">
        <w:t xml:space="preserve"> </w:t>
      </w:r>
      <w:r w:rsidRPr="00981405">
        <w:t>the</w:t>
      </w:r>
      <w:r w:rsidR="00190923" w:rsidRPr="00981405">
        <w:t xml:space="preserve"> </w:t>
      </w:r>
      <w:r w:rsidRPr="00981405">
        <w:t>potential</w:t>
      </w:r>
      <w:r w:rsidR="00190923" w:rsidRPr="00981405">
        <w:t xml:space="preserve"> </w:t>
      </w:r>
      <w:r w:rsidRPr="00981405">
        <w:t>benefits</w:t>
      </w:r>
      <w:r w:rsidR="00190923" w:rsidRPr="00981405">
        <w:t xml:space="preserve"> </w:t>
      </w:r>
      <w:r w:rsidRPr="00981405">
        <w:t>of</w:t>
      </w:r>
      <w:r w:rsidR="00190923" w:rsidRPr="00981405">
        <w:t xml:space="preserve"> </w:t>
      </w:r>
      <w:r w:rsidRPr="00981405">
        <w:t>developing</w:t>
      </w:r>
      <w:r w:rsidR="00190923" w:rsidRPr="00981405">
        <w:t xml:space="preserve"> </w:t>
      </w:r>
      <w:r w:rsidRPr="00981405">
        <w:t>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(section</w:t>
      </w:r>
      <w:r w:rsidR="00190923" w:rsidRPr="00981405">
        <w:t xml:space="preserve"> </w:t>
      </w:r>
      <w:r w:rsidRPr="00981405">
        <w:t>II),</w:t>
      </w:r>
      <w:r w:rsidR="00190923" w:rsidRPr="00981405">
        <w:t xml:space="preserve"> </w:t>
      </w:r>
      <w:r w:rsidRPr="00981405">
        <w:t>provided</w:t>
      </w:r>
      <w:r w:rsidR="00190923" w:rsidRPr="00981405">
        <w:t xml:space="preserve"> </w:t>
      </w:r>
      <w:r w:rsidRPr="00981405">
        <w:t>a</w:t>
      </w:r>
      <w:r w:rsidR="00190923" w:rsidRPr="00981405">
        <w:t xml:space="preserve"> </w:t>
      </w:r>
      <w:r w:rsidRPr="00981405">
        <w:t>general</w:t>
      </w:r>
      <w:r w:rsidR="00190923" w:rsidRPr="00981405">
        <w:t xml:space="preserve"> </w:t>
      </w:r>
      <w:r w:rsidRPr="00981405">
        <w:t>background</w:t>
      </w:r>
      <w:r w:rsidR="00190923" w:rsidRPr="00981405">
        <w:t xml:space="preserve"> </w:t>
      </w:r>
      <w:r w:rsidRPr="00981405">
        <w:t>synopsis</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(section</w:t>
      </w:r>
      <w:r w:rsidR="00190923" w:rsidRPr="00981405">
        <w:t xml:space="preserve"> </w:t>
      </w:r>
      <w:r w:rsidRPr="00981405">
        <w:t>III)</w:t>
      </w:r>
      <w:r w:rsidR="00190923" w:rsidRPr="00981405">
        <w:t xml:space="preserve"> </w:t>
      </w:r>
      <w:r w:rsidRPr="00981405">
        <w:t>and</w:t>
      </w:r>
      <w:r w:rsidR="00190923" w:rsidRPr="00981405">
        <w:t xml:space="preserve"> </w:t>
      </w:r>
      <w:r w:rsidRPr="00981405">
        <w:t>addressed</w:t>
      </w:r>
      <w:r w:rsidR="00190923" w:rsidRPr="00981405">
        <w:t xml:space="preserve"> </w:t>
      </w:r>
      <w:r w:rsidRPr="00981405">
        <w:t>some</w:t>
      </w:r>
      <w:r w:rsidR="00190923" w:rsidRPr="00981405">
        <w:t xml:space="preserve"> </w:t>
      </w:r>
      <w:r w:rsidRPr="00981405">
        <w:t>aspects</w:t>
      </w:r>
      <w:r w:rsidR="00190923" w:rsidRPr="00981405">
        <w:t xml:space="preserve"> </w:t>
      </w:r>
      <w:r w:rsidRPr="00981405">
        <w:t>of</w:t>
      </w:r>
      <w:r w:rsidR="00190923" w:rsidRPr="00981405">
        <w:t xml:space="preserve"> </w:t>
      </w:r>
      <w:r w:rsidRPr="00981405">
        <w:t>the</w:t>
      </w:r>
      <w:r w:rsidR="00190923" w:rsidRPr="00981405">
        <w:t xml:space="preserve"> </w:t>
      </w:r>
      <w:r w:rsidRPr="00981405">
        <w:t>existing</w:t>
      </w:r>
      <w:r w:rsidR="00190923" w:rsidRPr="00981405">
        <w:t xml:space="preserve"> </w:t>
      </w:r>
      <w:r w:rsidRPr="00981405">
        <w:t>multilateral</w:t>
      </w:r>
      <w:r w:rsidR="00190923" w:rsidRPr="00981405">
        <w:t xml:space="preserve"> </w:t>
      </w:r>
      <w:r w:rsidRPr="00981405">
        <w:t>conventions</w:t>
      </w:r>
      <w:r w:rsidR="00190923" w:rsidRPr="00981405">
        <w:t xml:space="preserve"> </w:t>
      </w:r>
      <w:r w:rsidRPr="00981405">
        <w:t>that</w:t>
      </w:r>
      <w:r w:rsidR="00190923" w:rsidRPr="00981405">
        <w:t xml:space="preserve"> </w:t>
      </w:r>
      <w:r w:rsidRPr="00981405">
        <w:t>promote</w:t>
      </w:r>
      <w:r w:rsidR="00190923" w:rsidRPr="00981405">
        <w:t xml:space="preserve"> </w:t>
      </w:r>
      <w:r w:rsidRPr="00981405">
        <w:t>prevention,</w:t>
      </w:r>
      <w:r w:rsidR="00190923" w:rsidRPr="00981405">
        <w:t xml:space="preserve"> </w:t>
      </w:r>
      <w:r w:rsidRPr="00981405">
        <w:t>criminalization</w:t>
      </w:r>
      <w:r w:rsidR="00190923" w:rsidRPr="00981405">
        <w:t xml:space="preserve"> </w:t>
      </w:r>
      <w:r w:rsidRPr="00981405">
        <w:t>and</w:t>
      </w:r>
      <w:r w:rsidR="00190923" w:rsidRPr="00981405">
        <w:t xml:space="preserve"> </w:t>
      </w:r>
      <w:r w:rsidRPr="00981405">
        <w:t>inter-State</w:t>
      </w:r>
      <w:r w:rsidR="00190923" w:rsidRPr="00981405">
        <w:t xml:space="preserve"> </w:t>
      </w:r>
      <w:r w:rsidRPr="00981405">
        <w:t>cooperation</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crimes</w:t>
      </w:r>
      <w:r w:rsidR="00190923" w:rsidRPr="00981405">
        <w:t xml:space="preserve"> </w:t>
      </w:r>
      <w:r w:rsidRPr="00981405">
        <w:t>(section</w:t>
      </w:r>
      <w:r w:rsidR="00190923" w:rsidRPr="00981405">
        <w:t xml:space="preserve"> </w:t>
      </w:r>
      <w:r w:rsidRPr="00981405">
        <w:t>IV).</w:t>
      </w:r>
      <w:r w:rsidR="00190923" w:rsidRPr="00981405">
        <w:t xml:space="preserve"> </w:t>
      </w:r>
      <w:r w:rsidRPr="00981405">
        <w:t>Furthermore,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examined</w:t>
      </w:r>
      <w:r w:rsidR="00190923" w:rsidRPr="00981405">
        <w:t xml:space="preserve"> </w:t>
      </w:r>
      <w:r w:rsidRPr="00981405">
        <w:t>the</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that</w:t>
      </w:r>
      <w:r w:rsidR="00190923" w:rsidRPr="00981405">
        <w:t xml:space="preserve"> </w:t>
      </w:r>
      <w:r w:rsidRPr="00981405">
        <w:t>existed</w:t>
      </w:r>
      <w:r w:rsidR="00190923" w:rsidRPr="00981405">
        <w:t xml:space="preserve"> </w:t>
      </w:r>
      <w:r w:rsidRPr="00981405">
        <w:t>in</w:t>
      </w:r>
      <w:r w:rsidR="00190923" w:rsidRPr="00981405">
        <w:t xml:space="preserve"> </w:t>
      </w:r>
      <w:r w:rsidRPr="00981405">
        <w:t>various</w:t>
      </w:r>
      <w:r w:rsidR="00190923" w:rsidRPr="00981405">
        <w:t xml:space="preserve"> </w:t>
      </w:r>
      <w:r w:rsidRPr="00981405">
        <w:t>treaty</w:t>
      </w:r>
      <w:r w:rsidR="00190923" w:rsidRPr="00981405">
        <w:t xml:space="preserve"> </w:t>
      </w:r>
      <w:r w:rsidRPr="00981405">
        <w:t>regimes</w:t>
      </w:r>
      <w:r w:rsidR="00190923" w:rsidRPr="00981405">
        <w:t xml:space="preserve"> </w:t>
      </w:r>
      <w:r w:rsidRPr="00981405">
        <w:t>for</w:t>
      </w:r>
      <w:r w:rsidR="00190923" w:rsidRPr="00981405">
        <w:t xml:space="preserve"> </w:t>
      </w:r>
      <w:r w:rsidRPr="00981405">
        <w:t>States</w:t>
      </w:r>
      <w:r w:rsidR="00190923" w:rsidRPr="00981405">
        <w:t xml:space="preserve"> </w:t>
      </w:r>
      <w:r w:rsidRPr="00981405">
        <w:t>to</w:t>
      </w:r>
      <w:r w:rsidR="00190923" w:rsidRPr="00981405">
        <w:t xml:space="preserve"> </w:t>
      </w:r>
      <w:r w:rsidRPr="00981405">
        <w:t>prevent</w:t>
      </w:r>
      <w:r w:rsidR="00190923" w:rsidRPr="00981405">
        <w:t xml:space="preserve"> </w:t>
      </w:r>
      <w:r w:rsidRPr="00981405">
        <w:t>and</w:t>
      </w:r>
      <w:r w:rsidR="00190923" w:rsidRPr="00981405">
        <w:t xml:space="preserve"> </w:t>
      </w:r>
      <w:r w:rsidRPr="00981405">
        <w:t>punish</w:t>
      </w:r>
      <w:r w:rsidR="00190923" w:rsidRPr="00981405">
        <w:t xml:space="preserve"> </w:t>
      </w:r>
      <w:r w:rsidRPr="00981405">
        <w:t>such</w:t>
      </w:r>
      <w:r w:rsidR="00190923" w:rsidRPr="00981405">
        <w:t xml:space="preserve"> </w:t>
      </w:r>
      <w:r w:rsidRPr="00981405">
        <w:t>crimes</w:t>
      </w:r>
      <w:r w:rsidR="00190923" w:rsidRPr="00981405">
        <w:t xml:space="preserve"> </w:t>
      </w:r>
      <w:r w:rsidRPr="00981405">
        <w:t>(section</w:t>
      </w:r>
      <w:r w:rsidR="00190923" w:rsidRPr="00981405">
        <w:t xml:space="preserve"> </w:t>
      </w:r>
      <w:r w:rsidRPr="00981405">
        <w:t>V)</w:t>
      </w:r>
      <w:r w:rsidR="00190923" w:rsidRPr="00981405">
        <w:t xml:space="preserve"> </w:t>
      </w:r>
      <w:r w:rsidRPr="00981405">
        <w:t>and</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(section</w:t>
      </w:r>
      <w:r w:rsidR="00190923" w:rsidRPr="00981405">
        <w:t xml:space="preserve"> </w:t>
      </w:r>
      <w:r w:rsidRPr="00981405">
        <w:t>VI).</w:t>
      </w:r>
      <w:r w:rsidR="00190923" w:rsidRPr="00981405">
        <w:t xml:space="preserve"> </w:t>
      </w:r>
      <w:r w:rsidRPr="00981405">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contained</w:t>
      </w:r>
      <w:r w:rsidR="00190923" w:rsidRPr="00981405">
        <w:t xml:space="preserve"> </w:t>
      </w:r>
      <w:r w:rsidRPr="00981405">
        <w:t>information</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future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(section</w:t>
      </w:r>
      <w:r w:rsidR="00190923" w:rsidRPr="00981405">
        <w:t xml:space="preserve"> </w:t>
      </w:r>
      <w:r w:rsidRPr="00981405">
        <w:t>VII).</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proposed</w:t>
      </w:r>
      <w:r w:rsidR="00190923" w:rsidRPr="00981405">
        <w:t xml:space="preserve"> </w:t>
      </w:r>
      <w:r w:rsidRPr="00981405">
        <w:t>two</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corresponding</w:t>
      </w:r>
      <w:r w:rsidR="00190923" w:rsidRPr="00981405">
        <w:t xml:space="preserve"> </w:t>
      </w:r>
      <w:r w:rsidRPr="00981405">
        <w:t>to</w:t>
      </w:r>
      <w:r w:rsidR="00190923" w:rsidRPr="00981405">
        <w:t xml:space="preserve"> </w:t>
      </w:r>
      <w:r w:rsidRPr="00981405">
        <w:t>the</w:t>
      </w:r>
      <w:r w:rsidR="00190923" w:rsidRPr="00981405">
        <w:t xml:space="preserve"> </w:t>
      </w:r>
      <w:r w:rsidRPr="00981405">
        <w:t>issues</w:t>
      </w:r>
      <w:r w:rsidR="00190923" w:rsidRPr="00981405">
        <w:t xml:space="preserve"> </w:t>
      </w:r>
      <w:r w:rsidRPr="00981405">
        <w:t>addressed</w:t>
      </w:r>
      <w:r w:rsidR="00190923" w:rsidRPr="00981405">
        <w:t xml:space="preserve"> </w:t>
      </w:r>
      <w:r w:rsidRPr="00981405">
        <w:t>in</w:t>
      </w:r>
      <w:r w:rsidR="00190923" w:rsidRPr="00981405">
        <w:t xml:space="preserve"> </w:t>
      </w:r>
      <w:r w:rsidRPr="00981405">
        <w:t>sections</w:t>
      </w:r>
      <w:r w:rsidR="00190923" w:rsidRPr="00981405">
        <w:t xml:space="preserve"> </w:t>
      </w:r>
      <w:r w:rsidRPr="00981405">
        <w:t>V</w:t>
      </w:r>
      <w:r w:rsidR="00190923" w:rsidRPr="00981405">
        <w:t xml:space="preserve"> </w:t>
      </w:r>
      <w:r w:rsidRPr="00981405">
        <w:t>and</w:t>
      </w:r>
      <w:r w:rsidR="00190923" w:rsidRPr="00981405">
        <w:t xml:space="preserve"> </w:t>
      </w:r>
      <w:r w:rsidRPr="00981405">
        <w:t>VI,</w:t>
      </w:r>
      <w:r w:rsidR="00190923" w:rsidRPr="00981405">
        <w:t xml:space="preserve"> </w:t>
      </w:r>
      <w:r w:rsidRPr="00981405">
        <w:t>respectively.</w:t>
      </w:r>
      <w:r w:rsidRPr="00981405">
        <w:rPr>
          <w:rStyle w:val="FootnoteReference"/>
        </w:rPr>
        <w:footnoteReference w:id="81"/>
      </w:r>
    </w:p>
    <w:p w:rsidR="00397032" w:rsidRPr="00981405" w:rsidRDefault="00397032" w:rsidP="00D97463">
      <w:pPr>
        <w:pStyle w:val="SingleTxt"/>
      </w:pPr>
      <w:r w:rsidRPr="00981405">
        <w:t>112.</w:t>
      </w:r>
      <w:r w:rsidRPr="00981405">
        <w:tab/>
        <w:t>At</w:t>
      </w:r>
      <w:r w:rsidR="00190923" w:rsidRPr="00981405">
        <w:t xml:space="preserve"> </w:t>
      </w:r>
      <w:r w:rsidRPr="00981405">
        <w:t>its</w:t>
      </w:r>
      <w:r w:rsidR="00190923" w:rsidRPr="00981405">
        <w:t xml:space="preserve"> </w:t>
      </w:r>
      <w:r w:rsidRPr="00981405">
        <w:t>3258th</w:t>
      </w:r>
      <w:r w:rsidR="00190923" w:rsidRPr="00981405">
        <w:t xml:space="preserve"> </w:t>
      </w:r>
      <w:r w:rsidRPr="00981405">
        <w:t>meeting,</w:t>
      </w:r>
      <w:r w:rsidR="00190923" w:rsidRPr="00981405">
        <w:t xml:space="preserve"> </w:t>
      </w:r>
      <w:r w:rsidRPr="00981405">
        <w:t>on</w:t>
      </w:r>
      <w:r w:rsidR="00190923" w:rsidRPr="00981405">
        <w:t xml:space="preserve"> </w:t>
      </w:r>
      <w:r w:rsidRPr="00981405">
        <w:t>28</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referred</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1</w:t>
      </w:r>
      <w:r w:rsidR="00190923" w:rsidRPr="00981405">
        <w:t xml:space="preserve"> </w:t>
      </w:r>
      <w:r w:rsidRPr="00981405">
        <w:t>and</w:t>
      </w:r>
      <w:r w:rsidR="00190923" w:rsidRPr="00981405">
        <w:t xml:space="preserve"> </w:t>
      </w:r>
      <w:r w:rsidRPr="00981405">
        <w:t>2,</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first</w:t>
      </w:r>
      <w:r w:rsidR="00190923" w:rsidRPr="00981405">
        <w:t xml:space="preserve"> </w:t>
      </w:r>
      <w:r w:rsidRPr="00981405">
        <w:t>report,</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p>
    <w:p w:rsidR="00397032" w:rsidRPr="00981405" w:rsidRDefault="00397032" w:rsidP="00D97463">
      <w:pPr>
        <w:pStyle w:val="SingleTxt"/>
      </w:pPr>
      <w:r w:rsidRPr="00981405">
        <w:t>113.</w:t>
      </w:r>
      <w:r w:rsidRPr="00981405">
        <w:tab/>
        <w:t>At</w:t>
      </w:r>
      <w:r w:rsidR="00190923" w:rsidRPr="00981405">
        <w:t xml:space="preserve"> </w:t>
      </w:r>
      <w:r w:rsidRPr="00981405">
        <w:t>its</w:t>
      </w:r>
      <w:r w:rsidR="00190923" w:rsidRPr="00981405">
        <w:t xml:space="preserve"> </w:t>
      </w:r>
      <w:r w:rsidRPr="00981405">
        <w:t>3263rd</w:t>
      </w:r>
      <w:r w:rsidR="00190923" w:rsidRPr="00981405">
        <w:t xml:space="preserve"> </w:t>
      </w:r>
      <w:r w:rsidRPr="00981405">
        <w:t>meeting,</w:t>
      </w:r>
      <w:r w:rsidR="00190923" w:rsidRPr="00981405">
        <w:t xml:space="preserve"> </w:t>
      </w:r>
      <w:r w:rsidRPr="00981405">
        <w:t>on</w:t>
      </w:r>
      <w:r w:rsidR="00190923" w:rsidRPr="00981405">
        <w:t xml:space="preserve"> </w:t>
      </w:r>
      <w:r w:rsidRPr="00981405">
        <w:t>5</w:t>
      </w:r>
      <w:r w:rsidR="00190923" w:rsidRPr="00981405">
        <w:t xml:space="preserve"> </w:t>
      </w:r>
      <w:r w:rsidRPr="00981405">
        <w:t>June</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and</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1,</w:t>
      </w:r>
      <w:r w:rsidR="00190923" w:rsidRPr="00981405">
        <w:t xml:space="preserve"> </w:t>
      </w:r>
      <w:r w:rsidRPr="00981405">
        <w:t>2,</w:t>
      </w:r>
      <w:r w:rsidR="00190923" w:rsidRPr="00981405">
        <w:t xml:space="preserve"> </w:t>
      </w:r>
      <w:r w:rsidRPr="00981405">
        <w:t>3</w:t>
      </w:r>
      <w:r w:rsidR="00190923" w:rsidRPr="00981405">
        <w:t xml:space="preserve"> </w:t>
      </w:r>
      <w:r w:rsidRPr="00981405">
        <w:t>and</w:t>
      </w:r>
      <w:r w:rsidR="00190923" w:rsidRPr="00981405">
        <w:t xml:space="preserve"> </w:t>
      </w:r>
      <w:r w:rsidRPr="00981405">
        <w:t>4</w:t>
      </w:r>
      <w:r w:rsidR="00190923" w:rsidRPr="00981405">
        <w:t xml:space="preserve"> </w:t>
      </w:r>
      <w:r w:rsidRPr="00981405">
        <w:t>(see</w:t>
      </w:r>
      <w:r w:rsidR="00190923" w:rsidRPr="00981405">
        <w:t xml:space="preserve"> </w:t>
      </w:r>
      <w:r w:rsidRPr="00981405">
        <w:t>section</w:t>
      </w:r>
      <w:r w:rsidR="00190923" w:rsidRPr="00981405">
        <w:t xml:space="preserve"> </w:t>
      </w:r>
      <w:r w:rsidRPr="00981405">
        <w:t>C.1</w:t>
      </w:r>
      <w:r w:rsidR="00190923" w:rsidRPr="00981405">
        <w:t xml:space="preserve"> </w:t>
      </w:r>
      <w:r w:rsidRPr="00981405">
        <w:t>below).</w:t>
      </w:r>
    </w:p>
    <w:p w:rsidR="00397032" w:rsidRPr="00981405" w:rsidRDefault="00397032" w:rsidP="00907FB7">
      <w:pPr>
        <w:pStyle w:val="SingleTxt"/>
        <w:keepNext/>
      </w:pPr>
      <w:r w:rsidRPr="00981405">
        <w:lastRenderedPageBreak/>
        <w:t>114.</w:t>
      </w:r>
      <w:r w:rsidRPr="00981405">
        <w:tab/>
        <w:t>At</w:t>
      </w:r>
      <w:r w:rsidR="00190923" w:rsidRPr="00981405">
        <w:t xml:space="preserve"> </w:t>
      </w:r>
      <w:r w:rsidRPr="00981405">
        <w:t>its</w:t>
      </w:r>
      <w:r w:rsidR="00190923" w:rsidRPr="00981405">
        <w:t xml:space="preserve"> </w:t>
      </w:r>
      <w:r w:rsidRPr="00981405">
        <w:t>3282th</w:t>
      </w:r>
      <w:r w:rsidR="00190923" w:rsidRPr="00981405">
        <w:t xml:space="preserve"> </w:t>
      </w:r>
      <w:r w:rsidRPr="00981405">
        <w:t>to</w:t>
      </w:r>
      <w:r w:rsidR="00190923" w:rsidRPr="00981405">
        <w:t xml:space="preserve"> </w:t>
      </w:r>
      <w:r w:rsidRPr="00981405">
        <w:t>3284th</w:t>
      </w:r>
      <w:r w:rsidR="00190923" w:rsidRPr="00981405">
        <w:t xml:space="preserve"> </w:t>
      </w:r>
      <w:r w:rsidRPr="00981405">
        <w:t>meetings,</w:t>
      </w:r>
      <w:r w:rsidR="00190923" w:rsidRPr="00981405">
        <w:t xml:space="preserve"> </w:t>
      </w:r>
      <w:r w:rsidRPr="00981405">
        <w:t>on</w:t>
      </w:r>
      <w:r w:rsidR="00190923" w:rsidRPr="00981405">
        <w:t xml:space="preserve"> </w:t>
      </w:r>
      <w:r w:rsidRPr="00981405">
        <w:t>3</w:t>
      </w:r>
      <w:r w:rsidR="00190923" w:rsidRPr="00981405">
        <w:t xml:space="preserve"> </w:t>
      </w:r>
      <w:r w:rsidRPr="00981405">
        <w:t>and</w:t>
      </w:r>
      <w:r w:rsidR="00190923" w:rsidRPr="00981405">
        <w:t xml:space="preserve"> </w:t>
      </w:r>
      <w:r w:rsidRPr="00981405">
        <w:t>4</w:t>
      </w:r>
      <w:r w:rsidR="00190923" w:rsidRPr="00981405">
        <w:t xml:space="preserve"> </w:t>
      </w:r>
      <w:r w:rsidRPr="00981405">
        <w:t>August</w:t>
      </w:r>
      <w:r w:rsidR="00B92E2C"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the</w:t>
      </w:r>
      <w:r w:rsidR="00190923" w:rsidRPr="00981405">
        <w:t xml:space="preserve"> </w:t>
      </w:r>
      <w:r w:rsidRPr="00981405">
        <w:t>commentaries</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at</w:t>
      </w:r>
      <w:r w:rsidR="00190923" w:rsidRPr="00981405">
        <w:t xml:space="preserve"> </w:t>
      </w:r>
      <w:r w:rsidRPr="00981405">
        <w:t>the</w:t>
      </w:r>
      <w:r w:rsidR="00190923" w:rsidRPr="00981405">
        <w:t xml:space="preserve"> </w:t>
      </w:r>
      <w:r w:rsidRPr="00981405">
        <w:t>current</w:t>
      </w:r>
      <w:r w:rsidR="00190923" w:rsidRPr="00981405">
        <w:t xml:space="preserve"> </w:t>
      </w:r>
      <w:r w:rsidRPr="00981405">
        <w:t>session</w:t>
      </w:r>
      <w:r w:rsidR="00190923" w:rsidRPr="00981405">
        <w:t xml:space="preserve"> </w:t>
      </w:r>
      <w:r w:rsidRPr="00981405">
        <w:t>(see</w:t>
      </w:r>
      <w:r w:rsidR="00190923" w:rsidRPr="00981405">
        <w:t xml:space="preserve"> </w:t>
      </w:r>
      <w:r w:rsidRPr="00981405">
        <w:t>section</w:t>
      </w:r>
      <w:r w:rsidR="00190923" w:rsidRPr="00981405">
        <w:t xml:space="preserve"> </w:t>
      </w:r>
      <w:r w:rsidRPr="00981405">
        <w:t>C.2</w:t>
      </w:r>
      <w:r w:rsidR="00190923" w:rsidRPr="00981405">
        <w:t xml:space="preserve"> </w:t>
      </w:r>
      <w:r w:rsidRPr="00981405">
        <w:t>below).</w:t>
      </w:r>
      <w:r w:rsidR="00190923" w:rsidRPr="00981405">
        <w:t xml:space="preserve"> </w:t>
      </w:r>
    </w:p>
    <w:p w:rsidR="00397032" w:rsidRPr="00981405" w:rsidRDefault="00397032" w:rsidP="00907FB7">
      <w:pPr>
        <w:pStyle w:val="SingleTxt"/>
        <w:keepNext/>
      </w:pPr>
      <w:r w:rsidRPr="00981405">
        <w:t>115.</w:t>
      </w:r>
      <w:r w:rsidR="00190923" w:rsidRPr="00981405">
        <w:t xml:space="preserve"> </w:t>
      </w:r>
      <w:r w:rsidRPr="00981405">
        <w:t>At</w:t>
      </w:r>
      <w:r w:rsidR="00190923" w:rsidRPr="00981405">
        <w:t xml:space="preserve"> </w:t>
      </w:r>
      <w:r w:rsidRPr="00981405">
        <w:t>its</w:t>
      </w:r>
      <w:r w:rsidR="00190923" w:rsidRPr="00981405">
        <w:t xml:space="preserve"> </w:t>
      </w:r>
      <w:r w:rsidRPr="00981405">
        <w:t>3282th</w:t>
      </w:r>
      <w:r w:rsidR="00190923" w:rsidRPr="00981405">
        <w:t xml:space="preserve"> </w:t>
      </w:r>
      <w:r w:rsidRPr="00981405">
        <w:t>meeting,</w:t>
      </w:r>
      <w:r w:rsidR="00190923" w:rsidRPr="00981405">
        <w:t xml:space="preserve"> </w:t>
      </w:r>
      <w:r w:rsidRPr="00981405">
        <w:t>on</w:t>
      </w:r>
      <w:r w:rsidR="00190923" w:rsidRPr="00981405">
        <w:t xml:space="preserve"> </w:t>
      </w:r>
      <w:r w:rsidRPr="00981405">
        <w:t>3</w:t>
      </w:r>
      <w:r w:rsidR="00190923" w:rsidRPr="00981405">
        <w:t xml:space="preserve"> </w:t>
      </w:r>
      <w:r w:rsidRPr="00981405">
        <w:t>August</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requested</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to</w:t>
      </w:r>
      <w:r w:rsidR="00190923" w:rsidRPr="00981405">
        <w:t xml:space="preserve"> </w:t>
      </w:r>
      <w:r w:rsidRPr="00981405">
        <w:t>prepare</w:t>
      </w:r>
      <w:r w:rsidR="00190923" w:rsidRPr="00981405">
        <w:t xml:space="preserve"> </w:t>
      </w:r>
      <w:r w:rsidRPr="00981405">
        <w:t>a</w:t>
      </w:r>
      <w:r w:rsidR="00190923" w:rsidRPr="00981405">
        <w:t xml:space="preserve"> </w:t>
      </w:r>
      <w:r w:rsidRPr="00981405">
        <w:t>memorandum</w:t>
      </w:r>
      <w:r w:rsidR="00190923" w:rsidRPr="00981405">
        <w:t xml:space="preserve"> </w:t>
      </w:r>
      <w:r w:rsidRPr="00981405">
        <w:t>providing</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existing</w:t>
      </w:r>
      <w:r w:rsidR="00190923" w:rsidRPr="00981405">
        <w:t xml:space="preserve"> </w:t>
      </w:r>
      <w:r w:rsidRPr="00981405">
        <w:t>treaty-based</w:t>
      </w:r>
      <w:r w:rsidR="00190923" w:rsidRPr="00981405">
        <w:t xml:space="preserve"> </w:t>
      </w:r>
      <w:r w:rsidRPr="00981405">
        <w:t>monitoring</w:t>
      </w:r>
      <w:r w:rsidR="00190923" w:rsidRPr="00981405">
        <w:t xml:space="preserve"> </w:t>
      </w:r>
      <w:r w:rsidRPr="00981405">
        <w:t>mechanisms</w:t>
      </w:r>
      <w:r w:rsidR="00190923" w:rsidRPr="00981405">
        <w:t xml:space="preserve"> </w:t>
      </w:r>
      <w:r w:rsidRPr="00981405">
        <w:t>which</w:t>
      </w:r>
      <w:r w:rsidR="00190923" w:rsidRPr="00981405">
        <w:t xml:space="preserve"> </w:t>
      </w:r>
      <w:r w:rsidRPr="00981405">
        <w:t>may</w:t>
      </w:r>
      <w:r w:rsidR="00190923" w:rsidRPr="00981405">
        <w:t xml:space="preserve"> </w:t>
      </w:r>
      <w:r w:rsidRPr="00981405">
        <w:t>be</w:t>
      </w:r>
      <w:r w:rsidR="00190923" w:rsidRPr="00981405">
        <w:t xml:space="preserve"> </w:t>
      </w:r>
      <w:r w:rsidRPr="00981405">
        <w:t>of</w:t>
      </w:r>
      <w:r w:rsidR="00190923" w:rsidRPr="00981405">
        <w:t xml:space="preserve"> </w:t>
      </w:r>
      <w:r w:rsidRPr="00981405">
        <w:t>relevance</w:t>
      </w:r>
      <w:r w:rsidR="00190923" w:rsidRPr="00981405">
        <w:t xml:space="preserve"> </w:t>
      </w:r>
      <w:r w:rsidRPr="00981405">
        <w:t>to</w:t>
      </w:r>
      <w:r w:rsidR="00190923" w:rsidRPr="00981405">
        <w:t xml:space="preserve"> </w:t>
      </w:r>
      <w:r w:rsidRPr="00981405">
        <w:t>its</w:t>
      </w:r>
      <w:r w:rsidR="00190923" w:rsidRPr="00981405">
        <w:t xml:space="preserve"> </w:t>
      </w:r>
      <w:r w:rsidRPr="00981405">
        <w:t>future</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present</w:t>
      </w:r>
      <w:r w:rsidR="00190923" w:rsidRPr="00981405">
        <w:t xml:space="preserve"> </w:t>
      </w:r>
      <w:r w:rsidRPr="00981405">
        <w:t>topic.</w:t>
      </w:r>
      <w:r w:rsidRPr="00981405">
        <w:rPr>
          <w:rStyle w:val="FootnoteReference"/>
        </w:rPr>
        <w:footnoteReference w:id="82"/>
      </w:r>
    </w:p>
    <w:p w:rsidR="00A84604" w:rsidRPr="00D97463" w:rsidRDefault="00A84604" w:rsidP="00D97463">
      <w:pPr>
        <w:pStyle w:val="SingleTxt"/>
        <w:spacing w:after="0" w:line="120" w:lineRule="exact"/>
        <w:rPr>
          <w:sz w:val="10"/>
        </w:rPr>
      </w:pPr>
    </w:p>
    <w:p w:rsidR="00A84604" w:rsidRPr="00D97463" w:rsidRDefault="00A84604" w:rsidP="00D97463">
      <w:pPr>
        <w:pStyle w:val="SingleTxt"/>
        <w:spacing w:after="0" w:line="120" w:lineRule="exact"/>
        <w:rPr>
          <w:sz w:val="10"/>
        </w:rPr>
      </w:pPr>
    </w:p>
    <w:p w:rsidR="00397032" w:rsidRPr="00D97463" w:rsidRDefault="00397032" w:rsidP="00D97463">
      <w:pPr>
        <w:pStyle w:val="H1"/>
        <w:ind w:right="1260"/>
      </w:pPr>
      <w:r w:rsidRPr="00D97463">
        <w:tab/>
        <w:t>C.</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articles</w:t>
      </w:r>
      <w:r w:rsidR="00190923" w:rsidRPr="00D97463">
        <w:t xml:space="preserve"> </w:t>
      </w:r>
      <w:r w:rsidRPr="00D97463">
        <w:t>on</w:t>
      </w:r>
      <w:r w:rsidR="00190923" w:rsidRPr="00D97463">
        <w:t xml:space="preserve"> </w:t>
      </w:r>
      <w:r w:rsidRPr="00D97463">
        <w:t>crimes</w:t>
      </w:r>
      <w:r w:rsidR="00190923" w:rsidRPr="00D97463">
        <w:t xml:space="preserve"> </w:t>
      </w:r>
      <w:r w:rsidRPr="00D97463">
        <w:t>against</w:t>
      </w:r>
      <w:r w:rsidR="00190923" w:rsidRPr="00D97463">
        <w:t xml:space="preserve"> </w:t>
      </w:r>
      <w:r w:rsidRPr="00D97463">
        <w:t>humanity</w:t>
      </w:r>
      <w:r w:rsidR="00190923" w:rsidRPr="00D97463">
        <w:t xml:space="preserve"> </w:t>
      </w:r>
      <w:r w:rsidRPr="00D97463">
        <w:t>provisionally</w:t>
      </w:r>
      <w:r w:rsidR="00190923" w:rsidRPr="00D97463">
        <w:t xml:space="preserve"> </w:t>
      </w:r>
      <w:r w:rsidRPr="00D97463">
        <w:t>adopted</w:t>
      </w:r>
      <w:r w:rsidR="00190923" w:rsidRPr="00D97463">
        <w:t xml:space="preserve"> </w:t>
      </w:r>
      <w:r w:rsidRPr="00D97463">
        <w:t>by</w:t>
      </w:r>
      <w:r w:rsidR="00190923" w:rsidRPr="00D97463">
        <w:t xml:space="preserve"> </w:t>
      </w:r>
      <w:r w:rsidRPr="00D97463">
        <w:t>the</w:t>
      </w:r>
      <w:r w:rsidR="00190923" w:rsidRPr="00D97463">
        <w:t xml:space="preserve"> </w:t>
      </w:r>
      <w:r w:rsidRPr="00D97463">
        <w:t>Commission</w:t>
      </w:r>
      <w:r w:rsidR="00190923" w:rsidRPr="00D97463">
        <w:t xml:space="preserve"> </w:t>
      </w:r>
      <w:r w:rsidRPr="00D97463">
        <w:t>at</w:t>
      </w:r>
      <w:r w:rsidR="00190923" w:rsidRPr="00D97463">
        <w:t xml:space="preserve"> </w:t>
      </w:r>
      <w:r w:rsidRPr="00D97463">
        <w:t>its</w:t>
      </w:r>
      <w:r w:rsidR="00190923" w:rsidRPr="00D97463">
        <w:t xml:space="preserve"> </w:t>
      </w:r>
      <w:r w:rsidRPr="00D97463">
        <w:t>sixty-seventh</w:t>
      </w:r>
      <w:r w:rsidR="00190923" w:rsidRPr="00D97463">
        <w:t xml:space="preserve"> </w:t>
      </w:r>
      <w:r w:rsidRPr="00D97463">
        <w:t>session</w:t>
      </w:r>
    </w:p>
    <w:p w:rsidR="00A84604" w:rsidRPr="00D97463" w:rsidRDefault="00A84604" w:rsidP="00D97463">
      <w:pPr>
        <w:pStyle w:val="SingleTxt"/>
        <w:spacing w:after="0" w:line="120" w:lineRule="exact"/>
        <w:rPr>
          <w:sz w:val="10"/>
        </w:rPr>
      </w:pPr>
    </w:p>
    <w:p w:rsidR="00A84604" w:rsidRPr="00D97463" w:rsidRDefault="00A84604" w:rsidP="00D97463">
      <w:pPr>
        <w:pStyle w:val="SingleTxt"/>
        <w:spacing w:after="0" w:line="120" w:lineRule="exact"/>
        <w:rPr>
          <w:sz w:val="10"/>
        </w:rPr>
      </w:pPr>
    </w:p>
    <w:p w:rsidR="00397032" w:rsidRPr="00D97463" w:rsidRDefault="00397032" w:rsidP="00D97463">
      <w:pPr>
        <w:pStyle w:val="H23"/>
        <w:ind w:right="1260"/>
      </w:pPr>
      <w:r w:rsidRPr="00D97463">
        <w:tab/>
        <w:t>1.</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articles</w:t>
      </w:r>
    </w:p>
    <w:p w:rsidR="00A84604" w:rsidRPr="00D97463" w:rsidRDefault="00A84604" w:rsidP="00D97463">
      <w:pPr>
        <w:pStyle w:val="SingleTxt"/>
        <w:spacing w:after="0" w:line="120" w:lineRule="exact"/>
        <w:rPr>
          <w:sz w:val="10"/>
        </w:rPr>
      </w:pPr>
    </w:p>
    <w:p w:rsidR="00397032" w:rsidRPr="00981405" w:rsidRDefault="00397032" w:rsidP="00D97463">
      <w:pPr>
        <w:pStyle w:val="SingleTxt"/>
      </w:pPr>
      <w:r w:rsidRPr="00981405">
        <w:t>116.</w:t>
      </w:r>
      <w:r w:rsidRPr="00981405">
        <w:tab/>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at</w:t>
      </w:r>
      <w:r w:rsidR="00190923" w:rsidRPr="00981405">
        <w:t xml:space="preserve"> </w:t>
      </w:r>
      <w:r w:rsidRPr="00981405">
        <w:t>the</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reproduced</w:t>
      </w:r>
      <w:r w:rsidR="00190923" w:rsidRPr="00981405">
        <w:t xml:space="preserve"> </w:t>
      </w:r>
      <w:r w:rsidRPr="00981405">
        <w:t>below.</w:t>
      </w:r>
    </w:p>
    <w:p w:rsidR="00397032" w:rsidRPr="00D97463" w:rsidRDefault="00397032" w:rsidP="00D97463">
      <w:pPr>
        <w:pStyle w:val="SingleTxt"/>
        <w:ind w:left="1742"/>
        <w:jc w:val="left"/>
        <w:rPr>
          <w:b/>
          <w:bCs/>
          <w:i/>
          <w:iCs/>
        </w:rPr>
      </w:pPr>
      <w:r w:rsidRPr="00D97463">
        <w:rPr>
          <w:b/>
          <w:bCs/>
        </w:rPr>
        <w:t>Article</w:t>
      </w:r>
      <w:r w:rsidR="00190923" w:rsidRPr="00981405">
        <w:rPr>
          <w:b/>
          <w:bCs/>
        </w:rPr>
        <w:t xml:space="preserve"> </w:t>
      </w:r>
      <w:r w:rsidRPr="00D97463">
        <w:rPr>
          <w:b/>
          <w:bCs/>
        </w:rPr>
        <w:t>1</w:t>
      </w:r>
      <w:r w:rsidRPr="00D97463">
        <w:rPr>
          <w:b/>
          <w:bCs/>
        </w:rPr>
        <w:br/>
      </w:r>
      <w:r w:rsidRPr="00D97463">
        <w:rPr>
          <w:b/>
          <w:bCs/>
          <w:i/>
          <w:iCs/>
        </w:rPr>
        <w:t>Scope</w:t>
      </w:r>
    </w:p>
    <w:p w:rsidR="00397032" w:rsidRPr="00981405" w:rsidRDefault="00397032" w:rsidP="00D97463">
      <w:pPr>
        <w:pStyle w:val="SingleTxt"/>
        <w:ind w:left="1742"/>
      </w:pP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and</w:t>
      </w:r>
      <w:r w:rsidR="00190923" w:rsidRPr="00981405">
        <w:t xml:space="preserve"> </w:t>
      </w:r>
      <w:r w:rsidRPr="00981405">
        <w:t>punishment</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p>
    <w:p w:rsidR="00397032" w:rsidRPr="00D97463" w:rsidRDefault="00397032" w:rsidP="00D97463">
      <w:pPr>
        <w:pStyle w:val="SingleTxt"/>
        <w:ind w:left="1742"/>
        <w:jc w:val="left"/>
        <w:rPr>
          <w:b/>
          <w:bCs/>
        </w:rPr>
      </w:pPr>
      <w:r w:rsidRPr="00D97463">
        <w:rPr>
          <w:b/>
          <w:bCs/>
        </w:rPr>
        <w:t>Article</w:t>
      </w:r>
      <w:r w:rsidR="00190923" w:rsidRPr="00981405">
        <w:rPr>
          <w:b/>
          <w:bCs/>
        </w:rPr>
        <w:t xml:space="preserve"> </w:t>
      </w:r>
      <w:r w:rsidRPr="00D97463">
        <w:rPr>
          <w:b/>
          <w:bCs/>
        </w:rPr>
        <w:t>2</w:t>
      </w:r>
      <w:r w:rsidRPr="00D97463">
        <w:rPr>
          <w:b/>
          <w:bCs/>
        </w:rPr>
        <w:br/>
      </w:r>
      <w:r w:rsidRPr="00D97463">
        <w:rPr>
          <w:b/>
          <w:bCs/>
          <w:i/>
          <w:iCs/>
        </w:rPr>
        <w:t>General</w:t>
      </w:r>
      <w:r w:rsidR="00190923" w:rsidRPr="00981405">
        <w:rPr>
          <w:b/>
          <w:bCs/>
          <w:i/>
          <w:iCs/>
        </w:rPr>
        <w:t xml:space="preserve"> </w:t>
      </w:r>
      <w:r w:rsidRPr="00D97463">
        <w:rPr>
          <w:b/>
          <w:bCs/>
          <w:i/>
          <w:iCs/>
        </w:rPr>
        <w:t>obligation</w:t>
      </w:r>
    </w:p>
    <w:p w:rsidR="00397032" w:rsidRPr="00981405" w:rsidRDefault="00397032" w:rsidP="00D97463">
      <w:pPr>
        <w:pStyle w:val="SingleTxt"/>
        <w:ind w:left="1742"/>
      </w:pPr>
      <w:r w:rsidRPr="00981405">
        <w:tab/>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committed</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are</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which</w:t>
      </w:r>
      <w:r w:rsidR="00190923" w:rsidRPr="00981405">
        <w:t xml:space="preserve"> </w:t>
      </w:r>
      <w:r w:rsidRPr="00981405">
        <w:t>States</w:t>
      </w:r>
      <w:r w:rsidR="00190923" w:rsidRPr="00981405">
        <w:t xml:space="preserve"> </w:t>
      </w:r>
      <w:r w:rsidRPr="00981405">
        <w:t>undertake</w:t>
      </w:r>
      <w:r w:rsidR="00190923" w:rsidRPr="00981405">
        <w:t xml:space="preserve"> </w:t>
      </w:r>
      <w:r w:rsidRPr="00981405">
        <w:t>to</w:t>
      </w:r>
      <w:r w:rsidR="00190923" w:rsidRPr="00981405">
        <w:t xml:space="preserve"> </w:t>
      </w:r>
      <w:r w:rsidRPr="00981405">
        <w:t>prevent</w:t>
      </w:r>
      <w:r w:rsidR="00190923" w:rsidRPr="00981405">
        <w:t xml:space="preserve"> </w:t>
      </w:r>
      <w:r w:rsidRPr="00981405">
        <w:t>and</w:t>
      </w:r>
      <w:r w:rsidR="00190923" w:rsidRPr="00981405">
        <w:t xml:space="preserve"> </w:t>
      </w:r>
      <w:r w:rsidRPr="00981405">
        <w:t>punish.</w:t>
      </w:r>
    </w:p>
    <w:p w:rsidR="00397032" w:rsidRPr="00D97463" w:rsidRDefault="00397032" w:rsidP="00D97463">
      <w:pPr>
        <w:pStyle w:val="SingleTxt"/>
        <w:ind w:left="1742"/>
        <w:jc w:val="left"/>
        <w:rPr>
          <w:b/>
          <w:bCs/>
        </w:rPr>
      </w:pPr>
      <w:r w:rsidRPr="00D97463">
        <w:rPr>
          <w:b/>
          <w:bCs/>
        </w:rPr>
        <w:t>Article</w:t>
      </w:r>
      <w:r w:rsidR="00190923" w:rsidRPr="00981405">
        <w:rPr>
          <w:b/>
          <w:bCs/>
        </w:rPr>
        <w:t xml:space="preserve"> </w:t>
      </w:r>
      <w:r w:rsidRPr="00D97463">
        <w:rPr>
          <w:b/>
          <w:bCs/>
        </w:rPr>
        <w:t>3</w:t>
      </w:r>
      <w:r w:rsidRPr="00D97463">
        <w:rPr>
          <w:b/>
          <w:bCs/>
        </w:rPr>
        <w:br/>
      </w:r>
      <w:r w:rsidRPr="00D97463">
        <w:rPr>
          <w:b/>
          <w:bCs/>
          <w:i/>
          <w:iCs/>
        </w:rPr>
        <w:t>Definition</w:t>
      </w:r>
      <w:r w:rsidR="00190923" w:rsidRPr="00981405">
        <w:rPr>
          <w:b/>
          <w:bCs/>
          <w:i/>
          <w:iCs/>
        </w:rPr>
        <w:t xml:space="preserve"> </w:t>
      </w:r>
      <w:r w:rsidRPr="00D97463">
        <w:rPr>
          <w:b/>
          <w:bCs/>
          <w:i/>
          <w:iCs/>
        </w:rPr>
        <w:t>of</w:t>
      </w:r>
      <w:r w:rsidR="00190923" w:rsidRPr="00981405">
        <w:rPr>
          <w:b/>
          <w:bCs/>
          <w:i/>
          <w:iCs/>
        </w:rPr>
        <w:t xml:space="preserve"> </w:t>
      </w:r>
      <w:r w:rsidRPr="00D97463">
        <w:rPr>
          <w:b/>
          <w:bCs/>
          <w:i/>
          <w:iCs/>
        </w:rPr>
        <w:t>crimes</w:t>
      </w:r>
      <w:r w:rsidR="00190923" w:rsidRPr="00981405">
        <w:rPr>
          <w:b/>
          <w:bCs/>
          <w:i/>
          <w:iCs/>
        </w:rPr>
        <w:t xml:space="preserve"> </w:t>
      </w:r>
      <w:r w:rsidRPr="00D97463">
        <w:rPr>
          <w:b/>
          <w:bCs/>
          <w:i/>
          <w:iCs/>
        </w:rPr>
        <w:t>against</w:t>
      </w:r>
      <w:r w:rsidR="00190923" w:rsidRPr="00981405">
        <w:rPr>
          <w:b/>
          <w:bCs/>
          <w:i/>
          <w:iCs/>
        </w:rPr>
        <w:t xml:space="preserve"> </w:t>
      </w:r>
      <w:r w:rsidRPr="00D97463">
        <w:rPr>
          <w:b/>
          <w:bCs/>
          <w:i/>
          <w:iCs/>
        </w:rPr>
        <w:t>humanity</w:t>
      </w:r>
    </w:p>
    <w:p w:rsidR="00397032" w:rsidRPr="00981405" w:rsidRDefault="00397032" w:rsidP="00D97463">
      <w:pPr>
        <w:pStyle w:val="SingleTxt"/>
        <w:ind w:left="1742"/>
      </w:pPr>
      <w:r w:rsidRPr="00981405">
        <w:t>1.</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00B92E2C" w:rsidRPr="00981405">
        <w:t>“</w:t>
      </w:r>
      <w:r w:rsidRPr="00981405">
        <w:t>crime</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means</w:t>
      </w:r>
      <w:r w:rsidR="00190923" w:rsidRPr="00981405">
        <w:t xml:space="preserve"> </w:t>
      </w:r>
      <w:r w:rsidRPr="00981405">
        <w:t>any</w:t>
      </w:r>
      <w:r w:rsidR="00190923" w:rsidRPr="00981405">
        <w:t xml:space="preserve"> </w:t>
      </w:r>
      <w:r w:rsidRPr="00981405">
        <w:t>of</w:t>
      </w:r>
      <w:r w:rsidR="00190923" w:rsidRPr="00981405">
        <w:t xml:space="preserve"> </w:t>
      </w:r>
      <w:r w:rsidRPr="00981405">
        <w:t>the</w:t>
      </w:r>
      <w:r w:rsidR="00190923" w:rsidRPr="00981405">
        <w:t xml:space="preserve"> </w:t>
      </w:r>
      <w:r w:rsidRPr="00981405">
        <w:t>following</w:t>
      </w:r>
      <w:r w:rsidR="00190923" w:rsidRPr="00981405">
        <w:t xml:space="preserve"> </w:t>
      </w:r>
      <w:r w:rsidRPr="00981405">
        <w:t>acts</w:t>
      </w:r>
      <w:r w:rsidR="00190923" w:rsidRPr="00981405">
        <w:t xml:space="preserve"> </w:t>
      </w:r>
      <w:r w:rsidRPr="00981405">
        <w:t>when</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with</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p>
    <w:p w:rsidR="00397032" w:rsidRPr="00981405" w:rsidRDefault="00397032" w:rsidP="00D97463">
      <w:pPr>
        <w:pStyle w:val="SingleTxt"/>
        <w:ind w:left="1742"/>
      </w:pPr>
      <w:r w:rsidRPr="00981405">
        <w:tab/>
        <w:t>(a)</w:t>
      </w:r>
      <w:r w:rsidRPr="00981405">
        <w:tab/>
        <w:t>Murder;</w:t>
      </w:r>
    </w:p>
    <w:p w:rsidR="00397032" w:rsidRPr="00981405" w:rsidRDefault="00397032" w:rsidP="00D97463">
      <w:pPr>
        <w:pStyle w:val="SingleTxt"/>
        <w:ind w:left="1742"/>
      </w:pPr>
      <w:r w:rsidRPr="00981405">
        <w:tab/>
        <w:t>(b)</w:t>
      </w:r>
      <w:r w:rsidRPr="00981405">
        <w:tab/>
        <w:t>Extermination;</w:t>
      </w:r>
    </w:p>
    <w:p w:rsidR="00397032" w:rsidRPr="00981405" w:rsidRDefault="00397032" w:rsidP="00D97463">
      <w:pPr>
        <w:pStyle w:val="SingleTxt"/>
        <w:ind w:left="1742"/>
      </w:pPr>
      <w:r w:rsidRPr="00981405">
        <w:tab/>
        <w:t>(c)</w:t>
      </w:r>
      <w:r w:rsidRPr="00981405">
        <w:tab/>
        <w:t>Enslavement;</w:t>
      </w:r>
    </w:p>
    <w:p w:rsidR="00397032" w:rsidRPr="00981405" w:rsidRDefault="00397032" w:rsidP="00D97463">
      <w:pPr>
        <w:pStyle w:val="SingleTxt"/>
        <w:ind w:left="1742"/>
      </w:pPr>
      <w:r w:rsidRPr="00981405">
        <w:tab/>
        <w:t>(d)</w:t>
      </w:r>
      <w:r w:rsidRPr="00981405">
        <w:tab/>
        <w:t>Deportation</w:t>
      </w:r>
      <w:r w:rsidR="00190923" w:rsidRPr="00981405">
        <w:t xml:space="preserve"> </w:t>
      </w:r>
      <w:r w:rsidRPr="00981405">
        <w:t>or</w:t>
      </w:r>
      <w:r w:rsidR="00190923" w:rsidRPr="00981405">
        <w:t xml:space="preserve"> </w:t>
      </w:r>
      <w:r w:rsidRPr="00981405">
        <w:t>forcible</w:t>
      </w:r>
      <w:r w:rsidR="00190923" w:rsidRPr="00981405">
        <w:t xml:space="preserve"> </w:t>
      </w:r>
      <w:r w:rsidRPr="00981405">
        <w:t>transfer</w:t>
      </w:r>
      <w:r w:rsidR="00190923" w:rsidRPr="00981405">
        <w:t xml:space="preserve"> </w:t>
      </w:r>
      <w:r w:rsidRPr="00981405">
        <w:t>of</w:t>
      </w:r>
      <w:r w:rsidR="00190923" w:rsidRPr="00981405">
        <w:t xml:space="preserve"> </w:t>
      </w:r>
      <w:r w:rsidRPr="00981405">
        <w:t>population;</w:t>
      </w:r>
    </w:p>
    <w:p w:rsidR="00397032" w:rsidRPr="00981405" w:rsidRDefault="00397032" w:rsidP="00D97463">
      <w:pPr>
        <w:pStyle w:val="SingleTxt"/>
        <w:ind w:left="1742"/>
      </w:pPr>
      <w:r w:rsidRPr="00981405">
        <w:tab/>
        <w:t>(e)</w:t>
      </w:r>
      <w:r w:rsidRPr="00981405">
        <w:tab/>
        <w:t>Imprisonment</w:t>
      </w:r>
      <w:r w:rsidR="00190923" w:rsidRPr="00981405">
        <w:t xml:space="preserve"> </w:t>
      </w:r>
      <w:r w:rsidRPr="00981405">
        <w:t>or</w:t>
      </w:r>
      <w:r w:rsidR="00190923" w:rsidRPr="00981405">
        <w:t xml:space="preserve"> </w:t>
      </w:r>
      <w:r w:rsidRPr="00981405">
        <w:t>other</w:t>
      </w:r>
      <w:r w:rsidR="00190923" w:rsidRPr="00981405">
        <w:t xml:space="preserve"> </w:t>
      </w:r>
      <w:r w:rsidRPr="00981405">
        <w:t>severe</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physical</w:t>
      </w:r>
      <w:r w:rsidR="00190923" w:rsidRPr="00981405">
        <w:t xml:space="preserve"> </w:t>
      </w:r>
      <w:r w:rsidRPr="00981405">
        <w:t>liberty</w:t>
      </w:r>
      <w:r w:rsidR="00190923" w:rsidRPr="00981405">
        <w:t xml:space="preserve"> </w:t>
      </w:r>
      <w:r w:rsidRPr="00981405">
        <w:t>in</w:t>
      </w:r>
      <w:r w:rsidR="00190923" w:rsidRPr="00981405">
        <w:t xml:space="preserve"> </w:t>
      </w:r>
      <w:r w:rsidRPr="00981405">
        <w:t>violation</w:t>
      </w:r>
      <w:r w:rsidR="00190923" w:rsidRPr="00981405">
        <w:t xml:space="preserve"> </w:t>
      </w:r>
      <w:r w:rsidRPr="00981405">
        <w:t>of</w:t>
      </w:r>
      <w:r w:rsidR="00190923" w:rsidRPr="00981405">
        <w:t xml:space="preserve"> </w:t>
      </w:r>
      <w:r w:rsidRPr="00981405">
        <w:t>fundamental</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ind w:left="1742"/>
      </w:pPr>
      <w:r w:rsidRPr="00981405">
        <w:tab/>
        <w:t>(f)</w:t>
      </w:r>
      <w:r w:rsidRPr="00981405">
        <w:tab/>
        <w:t>Torture;</w:t>
      </w:r>
    </w:p>
    <w:p w:rsidR="00397032" w:rsidRPr="00981405" w:rsidRDefault="00397032" w:rsidP="00D97463">
      <w:pPr>
        <w:pStyle w:val="SingleTxt"/>
        <w:ind w:left="1742"/>
      </w:pPr>
      <w:r w:rsidRPr="00981405">
        <w:tab/>
        <w:t>(g)</w:t>
      </w:r>
      <w:r w:rsidRPr="00981405">
        <w:tab/>
        <w:t>Rape,</w:t>
      </w:r>
      <w:r w:rsidR="00190923" w:rsidRPr="00981405">
        <w:t xml:space="preserve"> </w:t>
      </w:r>
      <w:r w:rsidRPr="00981405">
        <w:t>sexual</w:t>
      </w:r>
      <w:r w:rsidR="00190923" w:rsidRPr="00981405">
        <w:t xml:space="preserve"> </w:t>
      </w:r>
      <w:r w:rsidRPr="00981405">
        <w:t>slavery,</w:t>
      </w:r>
      <w:r w:rsidR="00190923" w:rsidRPr="00981405">
        <w:t xml:space="preserve"> </w:t>
      </w:r>
      <w:r w:rsidRPr="00981405">
        <w:t>enforced</w:t>
      </w:r>
      <w:r w:rsidR="00190923" w:rsidRPr="00981405">
        <w:t xml:space="preserve"> </w:t>
      </w:r>
      <w:r w:rsidRPr="00981405">
        <w:t>prostitution,</w:t>
      </w:r>
      <w:r w:rsidR="00190923" w:rsidRPr="00981405">
        <w:t xml:space="preserve"> </w:t>
      </w:r>
      <w:r w:rsidRPr="00981405">
        <w:t>forced</w:t>
      </w:r>
      <w:r w:rsidR="00190923" w:rsidRPr="00981405">
        <w:t xml:space="preserve"> </w:t>
      </w:r>
      <w:r w:rsidRPr="00981405">
        <w:t>pregnancy,</w:t>
      </w:r>
      <w:r w:rsidR="00190923" w:rsidRPr="00981405">
        <w:t xml:space="preserve"> </w:t>
      </w:r>
      <w:r w:rsidRPr="00981405">
        <w:t>enforced</w:t>
      </w:r>
      <w:r w:rsidR="00190923" w:rsidRPr="00981405">
        <w:t xml:space="preserve"> </w:t>
      </w:r>
      <w:r w:rsidRPr="00981405">
        <w:t>sterilization,</w:t>
      </w:r>
      <w:r w:rsidR="00190923" w:rsidRPr="00981405">
        <w:t xml:space="preserve"> </w:t>
      </w:r>
      <w:r w:rsidRPr="00981405">
        <w:t>or</w:t>
      </w:r>
      <w:r w:rsidR="00190923" w:rsidRPr="00981405">
        <w:t xml:space="preserve"> </w:t>
      </w:r>
      <w:r w:rsidRPr="00981405">
        <w:t>any</w:t>
      </w:r>
      <w:r w:rsidR="00190923" w:rsidRPr="00981405">
        <w:t xml:space="preserve"> </w:t>
      </w:r>
      <w:r w:rsidRPr="00981405">
        <w:t>other</w:t>
      </w:r>
      <w:r w:rsidR="00190923" w:rsidRPr="00981405">
        <w:t xml:space="preserve"> </w:t>
      </w:r>
      <w:r w:rsidRPr="00981405">
        <w:t>form</w:t>
      </w:r>
      <w:r w:rsidR="00190923" w:rsidRPr="00981405">
        <w:t xml:space="preserve"> </w:t>
      </w:r>
      <w:r w:rsidRPr="00981405">
        <w:t>of</w:t>
      </w:r>
      <w:r w:rsidR="00190923" w:rsidRPr="00981405">
        <w:t xml:space="preserve"> </w:t>
      </w:r>
      <w:r w:rsidRPr="00981405">
        <w:t>sexual</w:t>
      </w:r>
      <w:r w:rsidR="00190923" w:rsidRPr="00981405">
        <w:t xml:space="preserve"> </w:t>
      </w:r>
      <w:r w:rsidRPr="00981405">
        <w:t>violence</w:t>
      </w:r>
      <w:r w:rsidR="00190923" w:rsidRPr="00981405">
        <w:t xml:space="preserve"> </w:t>
      </w:r>
      <w:r w:rsidRPr="00981405">
        <w:t>of</w:t>
      </w:r>
      <w:r w:rsidR="00190923" w:rsidRPr="00981405">
        <w:t xml:space="preserve"> </w:t>
      </w:r>
      <w:r w:rsidRPr="00981405">
        <w:t>comparable</w:t>
      </w:r>
      <w:r w:rsidR="00190923" w:rsidRPr="00981405">
        <w:t xml:space="preserve"> </w:t>
      </w:r>
      <w:r w:rsidRPr="00981405">
        <w:t>gravity;</w:t>
      </w:r>
      <w:r w:rsidR="00190923" w:rsidRPr="00981405">
        <w:t xml:space="preserve"> </w:t>
      </w:r>
    </w:p>
    <w:p w:rsidR="00397032" w:rsidRPr="00981405" w:rsidRDefault="00397032" w:rsidP="00D97463">
      <w:pPr>
        <w:pStyle w:val="SingleTxt"/>
        <w:ind w:left="1742"/>
      </w:pPr>
      <w:r w:rsidRPr="00981405">
        <w:tab/>
        <w:t>(h)</w:t>
      </w:r>
      <w:r w:rsidRPr="00981405">
        <w:tab/>
        <w:t>Persecution</w:t>
      </w:r>
      <w:r w:rsidR="00190923" w:rsidRPr="00981405">
        <w:t xml:space="preserve"> </w:t>
      </w:r>
      <w:r w:rsidRPr="00981405">
        <w:t>against</w:t>
      </w:r>
      <w:r w:rsidR="00190923" w:rsidRPr="00981405">
        <w:t xml:space="preserve"> </w:t>
      </w:r>
      <w:r w:rsidRPr="00981405">
        <w:t>any</w:t>
      </w:r>
      <w:r w:rsidR="00190923" w:rsidRPr="00981405">
        <w:t xml:space="preserve"> </w:t>
      </w:r>
      <w:r w:rsidRPr="00981405">
        <w:t>identifiable</w:t>
      </w:r>
      <w:r w:rsidR="00190923" w:rsidRPr="00981405">
        <w:t xml:space="preserve"> </w:t>
      </w:r>
      <w:r w:rsidRPr="00981405">
        <w:t>group</w:t>
      </w:r>
      <w:r w:rsidR="00190923" w:rsidRPr="00981405">
        <w:t xml:space="preserve"> </w:t>
      </w:r>
      <w:r w:rsidRPr="00981405">
        <w:t>or</w:t>
      </w:r>
      <w:r w:rsidR="00190923" w:rsidRPr="00981405">
        <w:t xml:space="preserve"> </w:t>
      </w:r>
      <w:r w:rsidRPr="00981405">
        <w:t>collectivity</w:t>
      </w:r>
      <w:r w:rsidR="00190923" w:rsidRPr="00981405">
        <w:t xml:space="preserve"> </w:t>
      </w:r>
      <w:r w:rsidRPr="00981405">
        <w:t>on</w:t>
      </w:r>
      <w:r w:rsidR="00190923" w:rsidRPr="00981405">
        <w:t xml:space="preserve"> </w:t>
      </w:r>
      <w:r w:rsidRPr="00981405">
        <w:t>political,</w:t>
      </w:r>
      <w:r w:rsidR="00190923" w:rsidRPr="00981405">
        <w:t xml:space="preserve"> </w:t>
      </w:r>
      <w:r w:rsidRPr="00981405">
        <w:t>racial,</w:t>
      </w:r>
      <w:r w:rsidR="00190923" w:rsidRPr="00981405">
        <w:t xml:space="preserve"> </w:t>
      </w:r>
      <w:r w:rsidRPr="00981405">
        <w:t>national,</w:t>
      </w:r>
      <w:r w:rsidR="00190923" w:rsidRPr="00981405">
        <w:t xml:space="preserve"> </w:t>
      </w:r>
      <w:r w:rsidRPr="00981405">
        <w:t>ethnic,</w:t>
      </w:r>
      <w:r w:rsidR="00190923" w:rsidRPr="00981405">
        <w:t xml:space="preserve"> </w:t>
      </w:r>
      <w:r w:rsidRPr="00981405">
        <w:t>cultural,</w:t>
      </w:r>
      <w:r w:rsidR="00190923" w:rsidRPr="00981405">
        <w:t xml:space="preserve"> </w:t>
      </w:r>
      <w:r w:rsidRPr="00981405">
        <w:t>religious,</w:t>
      </w:r>
      <w:r w:rsidR="00190923" w:rsidRPr="00981405">
        <w:t xml:space="preserve"> </w:t>
      </w:r>
      <w:r w:rsidRPr="00981405">
        <w:t>gender</w:t>
      </w:r>
      <w:r w:rsidR="00190923" w:rsidRPr="00981405">
        <w:t xml:space="preserve"> </w:t>
      </w:r>
      <w:r w:rsidRPr="00981405">
        <w:t>as</w:t>
      </w:r>
      <w:r w:rsidR="00190923" w:rsidRPr="00981405">
        <w:t xml:space="preserve"> </w:t>
      </w:r>
      <w:r w:rsidRPr="00981405">
        <w:t>defined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3,</w:t>
      </w:r>
      <w:r w:rsidR="00190923" w:rsidRPr="00981405">
        <w:t xml:space="preserve"> </w:t>
      </w:r>
      <w:r w:rsidRPr="00981405">
        <w:t>or</w:t>
      </w:r>
      <w:r w:rsidR="00190923" w:rsidRPr="00981405">
        <w:t xml:space="preserve"> </w:t>
      </w:r>
      <w:r w:rsidRPr="00981405">
        <w:t>other</w:t>
      </w:r>
      <w:r w:rsidR="00190923" w:rsidRPr="00981405">
        <w:t xml:space="preserve"> </w:t>
      </w:r>
      <w:r w:rsidRPr="00981405">
        <w:t>grounds</w:t>
      </w:r>
      <w:r w:rsidR="00190923" w:rsidRPr="00981405">
        <w:t xml:space="preserve"> </w:t>
      </w:r>
      <w:r w:rsidRPr="00981405">
        <w:t>that</w:t>
      </w:r>
      <w:r w:rsidR="00190923" w:rsidRPr="00981405">
        <w:t xml:space="preserve"> </w:t>
      </w:r>
      <w:r w:rsidRPr="00981405">
        <w:t>are</w:t>
      </w:r>
      <w:r w:rsidR="00190923" w:rsidRPr="00981405">
        <w:t xml:space="preserve"> </w:t>
      </w:r>
      <w:r w:rsidRPr="00981405">
        <w:t>universally</w:t>
      </w:r>
      <w:r w:rsidR="00190923" w:rsidRPr="00981405">
        <w:t xml:space="preserve"> </w:t>
      </w:r>
      <w:r w:rsidRPr="00981405">
        <w:t>recognized</w:t>
      </w:r>
      <w:r w:rsidR="00190923" w:rsidRPr="00981405">
        <w:t xml:space="preserve"> </w:t>
      </w:r>
      <w:r w:rsidRPr="00981405">
        <w:t>as</w:t>
      </w:r>
      <w:r w:rsidR="00190923" w:rsidRPr="00981405">
        <w:t xml:space="preserve"> </w:t>
      </w:r>
      <w:r w:rsidRPr="00981405">
        <w:t>impermissible</w:t>
      </w:r>
      <w:r w:rsidR="00190923" w:rsidRPr="00981405">
        <w:t xml:space="preserve"> </w:t>
      </w:r>
      <w:r w:rsidRPr="00981405">
        <w:t>under</w:t>
      </w:r>
      <w:r w:rsidR="00190923" w:rsidRPr="00981405">
        <w:t xml:space="preserve"> </w:t>
      </w:r>
      <w:r w:rsidRPr="00981405">
        <w:lastRenderedPageBreak/>
        <w:t>international</w:t>
      </w:r>
      <w:r w:rsidR="00190923" w:rsidRPr="00981405">
        <w:t xml:space="preserve"> </w:t>
      </w:r>
      <w:r w:rsidRPr="00981405">
        <w:t>law,</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any</w:t>
      </w:r>
      <w:r w:rsidR="00190923" w:rsidRPr="00981405">
        <w:t xml:space="preserve"> </w:t>
      </w:r>
      <w:r w:rsidRPr="00981405">
        <w:t>act</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this</w:t>
      </w:r>
      <w:r w:rsidR="00190923" w:rsidRPr="00981405">
        <w:t xml:space="preserve"> </w:t>
      </w:r>
      <w:r w:rsidRPr="00981405">
        <w:t>paragraph</w:t>
      </w:r>
      <w:r w:rsidR="00190923" w:rsidRPr="00981405">
        <w:t xml:space="preserve"> </w:t>
      </w:r>
      <w:r w:rsidRPr="00981405">
        <w:t>or</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genocide</w:t>
      </w:r>
      <w:r w:rsidR="00190923" w:rsidRPr="00981405">
        <w:t xml:space="preserve"> </w:t>
      </w:r>
      <w:r w:rsidRPr="00981405">
        <w:t>or</w:t>
      </w:r>
      <w:r w:rsidR="00190923" w:rsidRPr="00981405">
        <w:t xml:space="preserve"> </w:t>
      </w:r>
      <w:r w:rsidRPr="00981405">
        <w:t>war</w:t>
      </w:r>
      <w:r w:rsidR="00190923" w:rsidRPr="00981405">
        <w:t xml:space="preserve"> </w:t>
      </w:r>
      <w:r w:rsidRPr="00981405">
        <w:t>crimes;</w:t>
      </w:r>
    </w:p>
    <w:p w:rsidR="00397032" w:rsidRPr="00981405" w:rsidRDefault="00397032" w:rsidP="00D97463">
      <w:pPr>
        <w:pStyle w:val="SingleTxt"/>
        <w:ind w:left="1742"/>
      </w:pPr>
      <w:r w:rsidRPr="00981405">
        <w:tab/>
        <w:t>(i)</w:t>
      </w:r>
      <w:r w:rsidRPr="00981405">
        <w:tab/>
        <w:t>Enforced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p>
    <w:p w:rsidR="00397032" w:rsidRPr="00981405" w:rsidRDefault="00397032" w:rsidP="00D97463">
      <w:pPr>
        <w:pStyle w:val="SingleTxt"/>
        <w:ind w:left="1742"/>
      </w:pPr>
      <w:r w:rsidRPr="00981405">
        <w:tab/>
        <w:t>(j)</w:t>
      </w:r>
      <w:r w:rsidRPr="00981405">
        <w:tab/>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apartheid;</w:t>
      </w:r>
    </w:p>
    <w:p w:rsidR="00397032" w:rsidRPr="00981405" w:rsidRDefault="00397032" w:rsidP="00D97463">
      <w:pPr>
        <w:pStyle w:val="SingleTxt"/>
        <w:ind w:left="1742"/>
      </w:pPr>
      <w:r w:rsidRPr="00981405">
        <w:tab/>
        <w:t>(k)</w:t>
      </w:r>
      <w:r w:rsidRPr="00981405">
        <w:tab/>
        <w:t>Other</w:t>
      </w:r>
      <w:r w:rsidR="00190923" w:rsidRPr="00981405">
        <w:t xml:space="preserve"> </w:t>
      </w:r>
      <w:r w:rsidRPr="00981405">
        <w:t>inhumane</w:t>
      </w:r>
      <w:r w:rsidR="00190923" w:rsidRPr="00981405">
        <w:t xml:space="preserve"> </w:t>
      </w:r>
      <w:r w:rsidRPr="00981405">
        <w:t>acts</w:t>
      </w:r>
      <w:r w:rsidR="00190923" w:rsidRPr="00981405">
        <w:t xml:space="preserve"> </w:t>
      </w:r>
      <w:r w:rsidRPr="00981405">
        <w:t>of</w:t>
      </w:r>
      <w:r w:rsidR="00190923" w:rsidRPr="00981405">
        <w:t xml:space="preserve"> </w:t>
      </w:r>
      <w:r w:rsidRPr="00981405">
        <w:t>a</w:t>
      </w:r>
      <w:r w:rsidR="00190923" w:rsidRPr="00981405">
        <w:t xml:space="preserve"> </w:t>
      </w:r>
      <w:r w:rsidRPr="00981405">
        <w:t>similar</w:t>
      </w:r>
      <w:r w:rsidR="00190923" w:rsidRPr="00981405">
        <w:t xml:space="preserve"> </w:t>
      </w:r>
      <w:r w:rsidRPr="00981405">
        <w:t>character</w:t>
      </w:r>
      <w:r w:rsidR="00190923" w:rsidRPr="00981405">
        <w:t xml:space="preserve"> </w:t>
      </w:r>
      <w:r w:rsidRPr="00981405">
        <w:t>intentionally</w:t>
      </w:r>
      <w:r w:rsidR="00190923" w:rsidRPr="00981405">
        <w:t xml:space="preserve"> </w:t>
      </w:r>
      <w:r w:rsidRPr="00981405">
        <w:t>causing</w:t>
      </w:r>
      <w:r w:rsidR="00190923" w:rsidRPr="00981405">
        <w:t xml:space="preserve"> </w:t>
      </w:r>
      <w:r w:rsidRPr="00981405">
        <w:t>great</w:t>
      </w:r>
      <w:r w:rsidR="00190923" w:rsidRPr="00981405">
        <w:t xml:space="preserve"> </w:t>
      </w:r>
      <w:r w:rsidRPr="00981405">
        <w:t>suffering,</w:t>
      </w:r>
      <w:r w:rsidR="00190923" w:rsidRPr="00981405">
        <w:t xml:space="preserve"> </w:t>
      </w:r>
      <w:r w:rsidRPr="00981405">
        <w:t>or</w:t>
      </w:r>
      <w:r w:rsidR="00190923" w:rsidRPr="00981405">
        <w:t xml:space="preserve"> </w:t>
      </w:r>
      <w:r w:rsidRPr="00981405">
        <w:t>serious</w:t>
      </w:r>
      <w:r w:rsidR="00190923" w:rsidRPr="00981405">
        <w:t xml:space="preserve"> </w:t>
      </w:r>
      <w:r w:rsidRPr="00981405">
        <w:t>injury</w:t>
      </w:r>
      <w:r w:rsidR="00190923" w:rsidRPr="00981405">
        <w:t xml:space="preserve"> </w:t>
      </w:r>
      <w:r w:rsidRPr="00981405">
        <w:t>to</w:t>
      </w:r>
      <w:r w:rsidR="00190923" w:rsidRPr="00981405">
        <w:t xml:space="preserve"> </w:t>
      </w:r>
      <w:r w:rsidRPr="00981405">
        <w:t>body</w:t>
      </w:r>
      <w:r w:rsidR="00190923" w:rsidRPr="00981405">
        <w:t xml:space="preserve"> </w:t>
      </w:r>
      <w:r w:rsidRPr="00981405">
        <w:t>or</w:t>
      </w:r>
      <w:r w:rsidR="00190923" w:rsidRPr="00981405">
        <w:t xml:space="preserve"> </w:t>
      </w:r>
      <w:r w:rsidRPr="00981405">
        <w:t>to</w:t>
      </w:r>
      <w:r w:rsidR="00190923" w:rsidRPr="00981405">
        <w:t xml:space="preserve"> </w:t>
      </w:r>
      <w:r w:rsidRPr="00981405">
        <w:t>mental</w:t>
      </w:r>
      <w:r w:rsidR="00190923" w:rsidRPr="00981405">
        <w:t xml:space="preserve"> </w:t>
      </w:r>
      <w:r w:rsidRPr="00981405">
        <w:t>or</w:t>
      </w:r>
      <w:r w:rsidR="00190923" w:rsidRPr="00981405">
        <w:t xml:space="preserve"> </w:t>
      </w:r>
      <w:r w:rsidRPr="00981405">
        <w:t>physical</w:t>
      </w:r>
      <w:r w:rsidR="00190923" w:rsidRPr="00981405">
        <w:t xml:space="preserve"> </w:t>
      </w:r>
      <w:r w:rsidRPr="00981405">
        <w:t>health.</w:t>
      </w:r>
    </w:p>
    <w:p w:rsidR="00397032" w:rsidRPr="00981405" w:rsidRDefault="00397032" w:rsidP="00D97463">
      <w:pPr>
        <w:pStyle w:val="SingleTxt"/>
        <w:ind w:left="1742"/>
      </w:pPr>
      <w:r w:rsidRPr="00981405">
        <w:t>2.</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paragraph</w:t>
      </w:r>
      <w:r w:rsidR="00190923" w:rsidRPr="00981405">
        <w:t xml:space="preserve"> </w:t>
      </w:r>
      <w:r w:rsidRPr="00981405">
        <w:t>1:</w:t>
      </w:r>
    </w:p>
    <w:p w:rsidR="00397032" w:rsidRPr="00981405" w:rsidRDefault="00397032" w:rsidP="00D97463">
      <w:pPr>
        <w:pStyle w:val="SingleTxt"/>
        <w:ind w:left="1742"/>
      </w:pPr>
      <w:r w:rsidRPr="00981405">
        <w:tab/>
        <w:t>(a)</w:t>
      </w:r>
      <w:r w:rsidRPr="00981405">
        <w:tab/>
      </w:r>
      <w:r w:rsidR="00B92E2C" w:rsidRPr="00981405">
        <w:t>“</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means</w:t>
      </w:r>
      <w:r w:rsidR="00190923" w:rsidRPr="00981405">
        <w:t xml:space="preserve"> </w:t>
      </w:r>
      <w:r w:rsidRPr="00981405">
        <w:t>a</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pursuant</w:t>
      </w:r>
      <w:r w:rsidR="00190923" w:rsidRPr="00981405">
        <w:t xml:space="preserve"> </w:t>
      </w:r>
      <w:r w:rsidRPr="00981405">
        <w:t>to</w:t>
      </w:r>
      <w:r w:rsidR="00190923" w:rsidRPr="00981405">
        <w:t xml:space="preserve"> </w:t>
      </w:r>
      <w:r w:rsidRPr="00981405">
        <w:t>or</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attack;</w:t>
      </w:r>
    </w:p>
    <w:p w:rsidR="00397032" w:rsidRPr="00981405" w:rsidRDefault="00397032" w:rsidP="00D97463">
      <w:pPr>
        <w:pStyle w:val="SingleTxt"/>
        <w:ind w:left="1742"/>
      </w:pPr>
      <w:r w:rsidRPr="00981405">
        <w:tab/>
        <w:t>(b)</w:t>
      </w:r>
      <w:r w:rsidRPr="00981405">
        <w:tab/>
      </w:r>
      <w:r w:rsidR="00B92E2C" w:rsidRPr="00981405">
        <w:t>“</w:t>
      </w:r>
      <w:r w:rsidRPr="00981405">
        <w:t>Extermination</w:t>
      </w:r>
      <w:r w:rsidR="00B92E2C" w:rsidRPr="00981405">
        <w:t>”</w:t>
      </w:r>
      <w:r w:rsidR="00190923" w:rsidRPr="00981405">
        <w:t xml:space="preserve"> </w:t>
      </w:r>
      <w:r w:rsidRPr="00981405">
        <w:t>includes</w:t>
      </w:r>
      <w:r w:rsidR="00190923" w:rsidRPr="00981405">
        <w:t xml:space="preserve"> </w:t>
      </w:r>
      <w:r w:rsidRPr="00981405">
        <w:t>the</w:t>
      </w:r>
      <w:r w:rsidR="00190923" w:rsidRPr="00981405">
        <w:t xml:space="preserve"> </w:t>
      </w:r>
      <w:r w:rsidRPr="00981405">
        <w:t>intentional</w:t>
      </w:r>
      <w:r w:rsidR="00190923" w:rsidRPr="00981405">
        <w:t xml:space="preserve"> </w:t>
      </w:r>
      <w:r w:rsidRPr="00981405">
        <w:t>infliction</w:t>
      </w:r>
      <w:r w:rsidR="00190923" w:rsidRPr="00981405">
        <w:t xml:space="preserve"> </w:t>
      </w:r>
      <w:r w:rsidRPr="00981405">
        <w:t>of</w:t>
      </w:r>
      <w:r w:rsidR="00190923" w:rsidRPr="00981405">
        <w:t xml:space="preserve"> </w:t>
      </w:r>
      <w:r w:rsidRPr="00981405">
        <w:t>conditions</w:t>
      </w:r>
      <w:r w:rsidR="00190923" w:rsidRPr="00981405">
        <w:t xml:space="preserve"> </w:t>
      </w:r>
      <w:r w:rsidRPr="00981405">
        <w:t>of</w:t>
      </w:r>
      <w:r w:rsidR="00190923" w:rsidRPr="00981405">
        <w:t xml:space="preserve"> </w:t>
      </w:r>
      <w:r w:rsidRPr="00981405">
        <w:t>life,</w:t>
      </w:r>
      <w:r w:rsidR="00190923" w:rsidRPr="00981405">
        <w:t xml:space="preserve"> </w:t>
      </w:r>
      <w:r w:rsidRPr="00981405">
        <w:rPr>
          <w:i/>
          <w:iCs/>
        </w:rPr>
        <w:t>inter</w:t>
      </w:r>
      <w:r w:rsidR="00190923" w:rsidRPr="00981405">
        <w:rPr>
          <w:i/>
          <w:iCs/>
        </w:rPr>
        <w:t xml:space="preserve"> </w:t>
      </w:r>
      <w:r w:rsidRPr="00981405">
        <w:rPr>
          <w:i/>
          <w:iCs/>
        </w:rPr>
        <w:t>alia</w:t>
      </w:r>
      <w:r w:rsidR="00190923" w:rsidRPr="00981405">
        <w:t xml:space="preserve"> </w:t>
      </w:r>
      <w:r w:rsidRPr="00981405">
        <w:t>the</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access</w:t>
      </w:r>
      <w:r w:rsidR="00190923" w:rsidRPr="00981405">
        <w:t xml:space="preserve"> </w:t>
      </w:r>
      <w:r w:rsidRPr="00981405">
        <w:t>to</w:t>
      </w:r>
      <w:r w:rsidR="00190923" w:rsidRPr="00981405">
        <w:t xml:space="preserve"> </w:t>
      </w:r>
      <w:r w:rsidRPr="00981405">
        <w:t>food</w:t>
      </w:r>
      <w:r w:rsidR="00190923" w:rsidRPr="00981405">
        <w:t xml:space="preserve"> </w:t>
      </w:r>
      <w:r w:rsidRPr="00981405">
        <w:t>and</w:t>
      </w:r>
      <w:r w:rsidR="00190923" w:rsidRPr="00981405">
        <w:t xml:space="preserve"> </w:t>
      </w:r>
      <w:r w:rsidRPr="00981405">
        <w:t>medicine,</w:t>
      </w:r>
      <w:r w:rsidR="00190923" w:rsidRPr="00981405">
        <w:t xml:space="preserve"> </w:t>
      </w:r>
      <w:r w:rsidRPr="00981405">
        <w:t>calculated</w:t>
      </w:r>
      <w:r w:rsidR="00190923" w:rsidRPr="00981405">
        <w:t xml:space="preserve"> </w:t>
      </w:r>
      <w:r w:rsidRPr="00981405">
        <w:t>to</w:t>
      </w:r>
      <w:r w:rsidR="00190923" w:rsidRPr="00981405">
        <w:t xml:space="preserve"> </w:t>
      </w:r>
      <w:r w:rsidRPr="00981405">
        <w:t>bring</w:t>
      </w:r>
      <w:r w:rsidR="00190923" w:rsidRPr="00981405">
        <w:t xml:space="preserve"> </w:t>
      </w:r>
      <w:r w:rsidRPr="00981405">
        <w:t>about</w:t>
      </w:r>
      <w:r w:rsidR="00190923" w:rsidRPr="00981405">
        <w:t xml:space="preserve"> </w:t>
      </w:r>
      <w:r w:rsidRPr="00981405">
        <w:t>the</w:t>
      </w:r>
      <w:r w:rsidR="00190923" w:rsidRPr="00981405">
        <w:t xml:space="preserve"> </w:t>
      </w:r>
      <w:r w:rsidRPr="00981405">
        <w:t>destruction</w:t>
      </w:r>
      <w:r w:rsidR="00190923" w:rsidRPr="00981405">
        <w:t xml:space="preserve"> </w:t>
      </w:r>
      <w:r w:rsidRPr="00981405">
        <w:t>of</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population;</w:t>
      </w:r>
    </w:p>
    <w:p w:rsidR="00397032" w:rsidRPr="00981405" w:rsidRDefault="00397032" w:rsidP="00D97463">
      <w:pPr>
        <w:pStyle w:val="SingleTxt"/>
        <w:ind w:left="1742"/>
      </w:pPr>
      <w:r w:rsidRPr="00981405">
        <w:tab/>
        <w:t>(c)</w:t>
      </w:r>
      <w:r w:rsidRPr="00981405">
        <w:tab/>
      </w:r>
      <w:r w:rsidR="00B92E2C" w:rsidRPr="00981405">
        <w:t>“</w:t>
      </w:r>
      <w:r w:rsidRPr="00981405">
        <w:t>Enslavement</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any</w:t>
      </w:r>
      <w:r w:rsidR="00190923" w:rsidRPr="00981405">
        <w:t xml:space="preserve"> </w:t>
      </w:r>
      <w:r w:rsidRPr="00981405">
        <w:t>or</w:t>
      </w:r>
      <w:r w:rsidR="00190923" w:rsidRPr="00981405">
        <w:t xml:space="preserve"> </w:t>
      </w:r>
      <w:r w:rsidRPr="00981405">
        <w:t>all</w:t>
      </w:r>
      <w:r w:rsidR="00190923" w:rsidRPr="00981405">
        <w:t xml:space="preserve"> </w:t>
      </w:r>
      <w:r w:rsidRPr="00981405">
        <w:t>of</w:t>
      </w:r>
      <w:r w:rsidR="00190923" w:rsidRPr="00981405">
        <w:t xml:space="preserve"> </w:t>
      </w:r>
      <w:r w:rsidRPr="00981405">
        <w:t>the</w:t>
      </w:r>
      <w:r w:rsidR="00190923" w:rsidRPr="00981405">
        <w:t xml:space="preserve"> </w:t>
      </w:r>
      <w:r w:rsidRPr="00981405">
        <w:t>powers</w:t>
      </w:r>
      <w:r w:rsidR="00190923" w:rsidRPr="00981405">
        <w:t xml:space="preserve"> </w:t>
      </w:r>
      <w:r w:rsidRPr="00981405">
        <w:t>attaching</w:t>
      </w:r>
      <w:r w:rsidR="00190923" w:rsidRPr="00981405">
        <w:t xml:space="preserve"> </w:t>
      </w:r>
      <w:r w:rsidRPr="00981405">
        <w:t>to</w:t>
      </w:r>
      <w:r w:rsidR="00190923" w:rsidRPr="00981405">
        <w:t xml:space="preserve"> </w:t>
      </w:r>
      <w:r w:rsidRPr="00981405">
        <w:t>the</w:t>
      </w:r>
      <w:r w:rsidR="00190923" w:rsidRPr="00981405">
        <w:t xml:space="preserve"> </w:t>
      </w:r>
      <w:r w:rsidRPr="00981405">
        <w:t>right</w:t>
      </w:r>
      <w:r w:rsidR="00190923" w:rsidRPr="00981405">
        <w:t xml:space="preserve"> </w:t>
      </w:r>
      <w:r w:rsidRPr="00981405">
        <w:t>of</w:t>
      </w:r>
      <w:r w:rsidR="00190923" w:rsidRPr="00981405">
        <w:t xml:space="preserve"> </w:t>
      </w:r>
      <w:r w:rsidRPr="00981405">
        <w:t>ownership</w:t>
      </w:r>
      <w:r w:rsidR="00190923" w:rsidRPr="00981405">
        <w:t xml:space="preserve"> </w:t>
      </w:r>
      <w:r w:rsidRPr="00981405">
        <w:t>over</w:t>
      </w:r>
      <w:r w:rsidR="00190923" w:rsidRPr="00981405">
        <w:t xml:space="preserve"> </w:t>
      </w:r>
      <w:r w:rsidRPr="00981405">
        <w:t>a</w:t>
      </w:r>
      <w:r w:rsidR="00190923" w:rsidRPr="00981405">
        <w:t xml:space="preserve"> </w:t>
      </w:r>
      <w:r w:rsidRPr="00981405">
        <w:t>person</w:t>
      </w:r>
      <w:r w:rsidR="00190923" w:rsidRPr="00981405">
        <w:t xml:space="preserve"> </w:t>
      </w:r>
      <w:r w:rsidRPr="00981405">
        <w:t>and</w:t>
      </w:r>
      <w:r w:rsidR="00190923" w:rsidRPr="00981405">
        <w:t xml:space="preserve"> </w:t>
      </w:r>
      <w:r w:rsidRPr="00981405">
        <w:t>includes</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such</w:t>
      </w:r>
      <w:r w:rsidR="00190923" w:rsidRPr="00981405">
        <w:t xml:space="preserve"> </w:t>
      </w:r>
      <w:r w:rsidRPr="00981405">
        <w:t>power</w:t>
      </w:r>
      <w:r w:rsidR="00190923" w:rsidRPr="00981405">
        <w:t xml:space="preserve"> </w:t>
      </w:r>
      <w:r w:rsidRPr="00981405">
        <w:t>in</w:t>
      </w:r>
      <w:r w:rsidR="00190923" w:rsidRPr="00981405">
        <w:t xml:space="preserve"> </w:t>
      </w:r>
      <w:r w:rsidRPr="00981405">
        <w:t>the</w:t>
      </w:r>
      <w:r w:rsidR="00190923" w:rsidRPr="00981405">
        <w:t xml:space="preserve"> </w:t>
      </w:r>
      <w:r w:rsidRPr="00981405">
        <w:t>course</w:t>
      </w:r>
      <w:r w:rsidR="00190923" w:rsidRPr="00981405">
        <w:t xml:space="preserve"> </w:t>
      </w:r>
      <w:r w:rsidRPr="00981405">
        <w:t>of</w:t>
      </w:r>
      <w:r w:rsidR="00190923" w:rsidRPr="00981405">
        <w:t xml:space="preserve"> </w:t>
      </w:r>
      <w:r w:rsidRPr="00981405">
        <w:t>trafficking</w:t>
      </w:r>
      <w:r w:rsidR="00190923" w:rsidRPr="00981405">
        <w:t xml:space="preserve"> </w:t>
      </w:r>
      <w:r w:rsidRPr="00981405">
        <w:t>in</w:t>
      </w:r>
      <w:r w:rsidR="00190923" w:rsidRPr="00981405">
        <w:t xml:space="preserve"> </w:t>
      </w:r>
      <w:r w:rsidRPr="00981405">
        <w:t>persons,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women</w:t>
      </w:r>
      <w:r w:rsidR="00190923" w:rsidRPr="00981405">
        <w:t xml:space="preserve"> </w:t>
      </w:r>
      <w:r w:rsidRPr="00981405">
        <w:t>and</w:t>
      </w:r>
      <w:r w:rsidR="00190923" w:rsidRPr="00981405">
        <w:t xml:space="preserve"> </w:t>
      </w:r>
      <w:r w:rsidRPr="00981405">
        <w:t>children;</w:t>
      </w:r>
    </w:p>
    <w:p w:rsidR="00397032" w:rsidRPr="00981405" w:rsidRDefault="00397032" w:rsidP="00D97463">
      <w:pPr>
        <w:pStyle w:val="SingleTxt"/>
        <w:ind w:left="1742"/>
      </w:pPr>
      <w:r w:rsidRPr="00981405">
        <w:tab/>
        <w:t>(d)</w:t>
      </w:r>
      <w:r w:rsidRPr="00981405">
        <w:tab/>
      </w:r>
      <w:r w:rsidR="00B92E2C" w:rsidRPr="00981405">
        <w:t>“</w:t>
      </w:r>
      <w:r w:rsidRPr="00981405">
        <w:t>Deportation</w:t>
      </w:r>
      <w:r w:rsidR="00190923" w:rsidRPr="00981405">
        <w:t xml:space="preserve"> </w:t>
      </w:r>
      <w:r w:rsidRPr="00981405">
        <w:t>or</w:t>
      </w:r>
      <w:r w:rsidR="00190923" w:rsidRPr="00981405">
        <w:t xml:space="preserve"> </w:t>
      </w:r>
      <w:r w:rsidRPr="00981405">
        <w:t>forcible</w:t>
      </w:r>
      <w:r w:rsidR="00190923" w:rsidRPr="00981405">
        <w:t xml:space="preserve"> </w:t>
      </w:r>
      <w:r w:rsidRPr="00981405">
        <w:t>transfer</w:t>
      </w:r>
      <w:r w:rsidR="00190923" w:rsidRPr="00981405">
        <w:t xml:space="preserve"> </w:t>
      </w:r>
      <w:r w:rsidRPr="00981405">
        <w:t>of</w:t>
      </w:r>
      <w:r w:rsidR="00190923" w:rsidRPr="00981405">
        <w:t xml:space="preserve"> </w:t>
      </w:r>
      <w:r w:rsidRPr="00981405">
        <w:t>population</w:t>
      </w:r>
      <w:r w:rsidR="00B92E2C" w:rsidRPr="00981405">
        <w:t>”</w:t>
      </w:r>
      <w:r w:rsidR="00190923" w:rsidRPr="00981405">
        <w:t xml:space="preserve"> </w:t>
      </w:r>
      <w:r w:rsidRPr="00981405">
        <w:t>means</w:t>
      </w:r>
      <w:r w:rsidR="00190923" w:rsidRPr="00981405">
        <w:t xml:space="preserve"> </w:t>
      </w:r>
      <w:r w:rsidRPr="00981405">
        <w:t>forced</w:t>
      </w:r>
      <w:r w:rsidR="00190923" w:rsidRPr="00981405">
        <w:t xml:space="preserve"> </w:t>
      </w:r>
      <w:r w:rsidRPr="00981405">
        <w:t>displacement</w:t>
      </w:r>
      <w:r w:rsidR="00190923" w:rsidRPr="00981405">
        <w:t xml:space="preserve"> </w:t>
      </w:r>
      <w:r w:rsidRPr="00981405">
        <w:t>of</w:t>
      </w:r>
      <w:r w:rsidR="00190923" w:rsidRPr="00981405">
        <w:t xml:space="preserve"> </w:t>
      </w:r>
      <w:r w:rsidRPr="00981405">
        <w:t>the</w:t>
      </w:r>
      <w:r w:rsidR="00190923" w:rsidRPr="00981405">
        <w:t xml:space="preserve"> </w:t>
      </w:r>
      <w:r w:rsidRPr="00981405">
        <w:t>persons</w:t>
      </w:r>
      <w:r w:rsidR="00190923" w:rsidRPr="00981405">
        <w:t xml:space="preserve"> </w:t>
      </w:r>
      <w:r w:rsidRPr="00981405">
        <w:t>concerned</w:t>
      </w:r>
      <w:r w:rsidR="00190923" w:rsidRPr="00981405">
        <w:t xml:space="preserve"> </w:t>
      </w:r>
      <w:r w:rsidRPr="00981405">
        <w:t>by</w:t>
      </w:r>
      <w:r w:rsidR="00190923" w:rsidRPr="00981405">
        <w:t xml:space="preserve"> </w:t>
      </w:r>
      <w:r w:rsidRPr="00981405">
        <w:t>expulsion</w:t>
      </w:r>
      <w:r w:rsidR="00190923" w:rsidRPr="00981405">
        <w:t xml:space="preserve"> </w:t>
      </w:r>
      <w:r w:rsidRPr="00981405">
        <w:t>or</w:t>
      </w:r>
      <w:r w:rsidR="00190923" w:rsidRPr="00981405">
        <w:t xml:space="preserve"> </w:t>
      </w:r>
      <w:r w:rsidRPr="00981405">
        <w:t>other</w:t>
      </w:r>
      <w:r w:rsidR="00190923" w:rsidRPr="00981405">
        <w:t xml:space="preserve"> </w:t>
      </w:r>
      <w:r w:rsidRPr="00981405">
        <w:t>coercive</w:t>
      </w:r>
      <w:r w:rsidR="00190923" w:rsidRPr="00981405">
        <w:t xml:space="preserve"> </w:t>
      </w:r>
      <w:r w:rsidRPr="00981405">
        <w:t>acts</w:t>
      </w:r>
      <w:r w:rsidR="00190923" w:rsidRPr="00981405">
        <w:t xml:space="preserve"> </w:t>
      </w:r>
      <w:r w:rsidRPr="00981405">
        <w:t>from</w:t>
      </w:r>
      <w:r w:rsidR="00190923" w:rsidRPr="00981405">
        <w:t xml:space="preserve"> </w:t>
      </w:r>
      <w:r w:rsidRPr="00981405">
        <w:t>the</w:t>
      </w:r>
      <w:r w:rsidR="00190923" w:rsidRPr="00981405">
        <w:t xml:space="preserve"> </w:t>
      </w:r>
      <w:r w:rsidRPr="00981405">
        <w:t>area</w:t>
      </w:r>
      <w:r w:rsidR="00190923" w:rsidRPr="00981405">
        <w:t xml:space="preserve"> </w:t>
      </w:r>
      <w:r w:rsidRPr="00981405">
        <w:t>in</w:t>
      </w:r>
      <w:r w:rsidR="00190923" w:rsidRPr="00981405">
        <w:t xml:space="preserve"> </w:t>
      </w:r>
      <w:r w:rsidRPr="00981405">
        <w:t>which</w:t>
      </w:r>
      <w:r w:rsidR="00190923" w:rsidRPr="00981405">
        <w:t xml:space="preserve"> </w:t>
      </w:r>
      <w:r w:rsidRPr="00981405">
        <w:t>they</w:t>
      </w:r>
      <w:r w:rsidR="00190923" w:rsidRPr="00981405">
        <w:t xml:space="preserve"> </w:t>
      </w:r>
      <w:r w:rsidRPr="00981405">
        <w:t>are</w:t>
      </w:r>
      <w:r w:rsidR="00190923" w:rsidRPr="00981405">
        <w:t xml:space="preserve"> </w:t>
      </w:r>
      <w:r w:rsidRPr="00981405">
        <w:t>lawfully</w:t>
      </w:r>
      <w:r w:rsidR="00190923" w:rsidRPr="00981405">
        <w:t xml:space="preserve"> </w:t>
      </w:r>
      <w:r w:rsidRPr="00981405">
        <w:t>present,</w:t>
      </w:r>
      <w:r w:rsidR="00190923" w:rsidRPr="00981405">
        <w:t xml:space="preserve"> </w:t>
      </w:r>
      <w:r w:rsidRPr="00981405">
        <w:t>without</w:t>
      </w:r>
      <w:r w:rsidR="00190923" w:rsidRPr="00981405">
        <w:t xml:space="preserve"> </w:t>
      </w:r>
      <w:r w:rsidRPr="00981405">
        <w:t>grounds</w:t>
      </w:r>
      <w:r w:rsidR="00190923" w:rsidRPr="00981405">
        <w:t xml:space="preserve"> </w:t>
      </w:r>
      <w:r w:rsidRPr="00981405">
        <w:t>permitted</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ind w:left="1742"/>
      </w:pPr>
      <w:r w:rsidRPr="00981405">
        <w:tab/>
        <w:t>(e)</w:t>
      </w:r>
      <w:r w:rsidRPr="00981405">
        <w:tab/>
      </w:r>
      <w:r w:rsidR="00B92E2C" w:rsidRPr="00981405">
        <w:t>“</w:t>
      </w:r>
      <w:r w:rsidRPr="00981405">
        <w:t>Torture</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intentional</w:t>
      </w:r>
      <w:r w:rsidR="00190923" w:rsidRPr="00981405">
        <w:t xml:space="preserve"> </w:t>
      </w:r>
      <w:r w:rsidRPr="00981405">
        <w:t>infliction</w:t>
      </w:r>
      <w:r w:rsidR="00190923" w:rsidRPr="00981405">
        <w:t xml:space="preserve"> </w:t>
      </w:r>
      <w:r w:rsidRPr="00981405">
        <w:t>of</w:t>
      </w:r>
      <w:r w:rsidR="00190923" w:rsidRPr="00981405">
        <w:t xml:space="preserve"> </w:t>
      </w:r>
      <w:r w:rsidRPr="00981405">
        <w:t>severe</w:t>
      </w:r>
      <w:r w:rsidR="00190923" w:rsidRPr="00981405">
        <w:t xml:space="preserve"> </w:t>
      </w:r>
      <w:r w:rsidRPr="00981405">
        <w:t>pain</w:t>
      </w:r>
      <w:r w:rsidR="00190923" w:rsidRPr="00981405">
        <w:t xml:space="preserve"> </w:t>
      </w:r>
      <w:r w:rsidRPr="00981405">
        <w:t>or</w:t>
      </w:r>
      <w:r w:rsidR="00190923" w:rsidRPr="00981405">
        <w:t xml:space="preserve"> </w:t>
      </w:r>
      <w:r w:rsidRPr="00981405">
        <w:t>suffering,</w:t>
      </w:r>
      <w:r w:rsidR="00190923" w:rsidRPr="00981405">
        <w:t xml:space="preserve"> </w:t>
      </w:r>
      <w:r w:rsidRPr="00981405">
        <w:t>whether</w:t>
      </w:r>
      <w:r w:rsidR="00190923" w:rsidRPr="00981405">
        <w:t xml:space="preserve"> </w:t>
      </w:r>
      <w:r w:rsidRPr="00981405">
        <w:t>physical</w:t>
      </w:r>
      <w:r w:rsidR="00190923" w:rsidRPr="00981405">
        <w:t xml:space="preserve"> </w:t>
      </w:r>
      <w:r w:rsidRPr="00981405">
        <w:t>or</w:t>
      </w:r>
      <w:r w:rsidR="00190923" w:rsidRPr="00981405">
        <w:t xml:space="preserve"> </w:t>
      </w:r>
      <w:r w:rsidRPr="00981405">
        <w:t>mental,</w:t>
      </w:r>
      <w:r w:rsidR="00190923" w:rsidRPr="00981405">
        <w:t xml:space="preserve"> </w:t>
      </w:r>
      <w:r w:rsidRPr="00981405">
        <w:t>upon</w:t>
      </w:r>
      <w:r w:rsidR="00190923" w:rsidRPr="00981405">
        <w:t xml:space="preserve"> </w:t>
      </w:r>
      <w:r w:rsidRPr="00981405">
        <w:t>a</w:t>
      </w:r>
      <w:r w:rsidR="00190923" w:rsidRPr="00981405">
        <w:t xml:space="preserve"> </w:t>
      </w:r>
      <w:r w:rsidRPr="00981405">
        <w:t>person</w:t>
      </w:r>
      <w:r w:rsidR="00190923" w:rsidRPr="00981405">
        <w:t xml:space="preserve"> </w:t>
      </w:r>
      <w:r w:rsidRPr="00981405">
        <w:t>in</w:t>
      </w:r>
      <w:r w:rsidR="00190923" w:rsidRPr="00981405">
        <w:t xml:space="preserve"> </w:t>
      </w:r>
      <w:r w:rsidRPr="00981405">
        <w:t>the</w:t>
      </w:r>
      <w:r w:rsidR="00190923" w:rsidRPr="00981405">
        <w:t xml:space="preserve"> </w:t>
      </w:r>
      <w:r w:rsidRPr="00981405">
        <w:t>custody</w:t>
      </w:r>
      <w:r w:rsidR="00190923" w:rsidRPr="00981405">
        <w:t xml:space="preserve"> </w:t>
      </w:r>
      <w:r w:rsidRPr="00981405">
        <w:t>or</w:t>
      </w:r>
      <w:r w:rsidR="00190923" w:rsidRPr="00981405">
        <w:t xml:space="preserve"> </w:t>
      </w:r>
      <w:r w:rsidRPr="00981405">
        <w:t>under</w:t>
      </w:r>
      <w:r w:rsidR="00190923" w:rsidRPr="00981405">
        <w:t xml:space="preserve"> </w:t>
      </w:r>
      <w:r w:rsidRPr="00981405">
        <w:t>the</w:t>
      </w:r>
      <w:r w:rsidR="00190923" w:rsidRPr="00981405">
        <w:t xml:space="preserve"> </w:t>
      </w:r>
      <w:r w:rsidRPr="00981405">
        <w:t>control</w:t>
      </w:r>
      <w:r w:rsidR="00190923" w:rsidRPr="00981405">
        <w:t xml:space="preserve"> </w:t>
      </w:r>
      <w:r w:rsidRPr="00981405">
        <w:t>of</w:t>
      </w:r>
      <w:r w:rsidR="00190923" w:rsidRPr="00981405">
        <w:t xml:space="preserve"> </w:t>
      </w:r>
      <w:r w:rsidRPr="00981405">
        <w:t>the</w:t>
      </w:r>
      <w:r w:rsidR="00190923" w:rsidRPr="00981405">
        <w:t xml:space="preserve"> </w:t>
      </w:r>
      <w:r w:rsidRPr="00981405">
        <w:t>accused,</w:t>
      </w:r>
      <w:r w:rsidR="00190923" w:rsidRPr="00981405">
        <w:t xml:space="preserve"> </w:t>
      </w:r>
      <w:r w:rsidRPr="00981405">
        <w:t>except</w:t>
      </w:r>
      <w:r w:rsidR="00190923" w:rsidRPr="00981405">
        <w:t xml:space="preserve"> </w:t>
      </w:r>
      <w:r w:rsidRPr="00981405">
        <w:t>that</w:t>
      </w:r>
      <w:r w:rsidR="00190923" w:rsidRPr="00981405">
        <w:t xml:space="preserve"> </w:t>
      </w:r>
      <w:r w:rsidRPr="00981405">
        <w:t>torture</w:t>
      </w:r>
      <w:r w:rsidR="00190923" w:rsidRPr="00981405">
        <w:t xml:space="preserve"> </w:t>
      </w:r>
      <w:r w:rsidRPr="00981405">
        <w:t>shall</w:t>
      </w:r>
      <w:r w:rsidR="00190923" w:rsidRPr="00981405">
        <w:t xml:space="preserve"> </w:t>
      </w:r>
      <w:r w:rsidRPr="00981405">
        <w:t>not</w:t>
      </w:r>
      <w:r w:rsidR="00190923" w:rsidRPr="00981405">
        <w:t xml:space="preserve"> </w:t>
      </w:r>
      <w:r w:rsidRPr="00981405">
        <w:t>include</w:t>
      </w:r>
      <w:r w:rsidR="00190923" w:rsidRPr="00981405">
        <w:t xml:space="preserve"> </w:t>
      </w:r>
      <w:r w:rsidRPr="00981405">
        <w:t>pain</w:t>
      </w:r>
      <w:r w:rsidR="00190923" w:rsidRPr="00981405">
        <w:t xml:space="preserve"> </w:t>
      </w:r>
      <w:r w:rsidRPr="00981405">
        <w:t>or</w:t>
      </w:r>
      <w:r w:rsidR="00190923" w:rsidRPr="00981405">
        <w:t xml:space="preserve"> </w:t>
      </w:r>
      <w:r w:rsidRPr="00981405">
        <w:t>suffering</w:t>
      </w:r>
      <w:r w:rsidR="00190923" w:rsidRPr="00981405">
        <w:t xml:space="preserve"> </w:t>
      </w:r>
      <w:r w:rsidRPr="00981405">
        <w:t>arising</w:t>
      </w:r>
      <w:r w:rsidR="00190923" w:rsidRPr="00981405">
        <w:t xml:space="preserve"> </w:t>
      </w:r>
      <w:r w:rsidRPr="00981405">
        <w:t>only</w:t>
      </w:r>
      <w:r w:rsidR="00190923" w:rsidRPr="00981405">
        <w:t xml:space="preserve"> </w:t>
      </w:r>
      <w:r w:rsidRPr="00981405">
        <w:t>from,</w:t>
      </w:r>
      <w:r w:rsidR="00190923" w:rsidRPr="00981405">
        <w:t xml:space="preserve"> </w:t>
      </w:r>
      <w:r w:rsidRPr="00981405">
        <w:t>inherent</w:t>
      </w:r>
      <w:r w:rsidR="00190923" w:rsidRPr="00981405">
        <w:t xml:space="preserve"> </w:t>
      </w:r>
      <w:r w:rsidRPr="00981405">
        <w:t>in</w:t>
      </w:r>
      <w:r w:rsidR="00190923" w:rsidRPr="00981405">
        <w:t xml:space="preserve"> </w:t>
      </w:r>
      <w:r w:rsidRPr="00981405">
        <w:t>or</w:t>
      </w:r>
      <w:r w:rsidR="00190923" w:rsidRPr="00981405">
        <w:t xml:space="preserve"> </w:t>
      </w:r>
      <w:r w:rsidRPr="00981405">
        <w:t>incidental</w:t>
      </w:r>
      <w:r w:rsidR="00190923" w:rsidRPr="00981405">
        <w:t xml:space="preserve"> </w:t>
      </w:r>
      <w:r w:rsidRPr="00981405">
        <w:t>to,</w:t>
      </w:r>
      <w:r w:rsidR="00190923" w:rsidRPr="00981405">
        <w:t xml:space="preserve"> </w:t>
      </w:r>
      <w:r w:rsidRPr="00981405">
        <w:t>lawful</w:t>
      </w:r>
      <w:r w:rsidR="00190923" w:rsidRPr="00981405">
        <w:t xml:space="preserve"> </w:t>
      </w:r>
      <w:r w:rsidRPr="00981405">
        <w:t>sanctions;</w:t>
      </w:r>
    </w:p>
    <w:p w:rsidR="00397032" w:rsidRPr="00981405" w:rsidRDefault="00397032" w:rsidP="00D97463">
      <w:pPr>
        <w:pStyle w:val="SingleTxt"/>
        <w:ind w:left="1742"/>
      </w:pPr>
      <w:r w:rsidRPr="00981405">
        <w:tab/>
        <w:t>(f)</w:t>
      </w:r>
      <w:r w:rsidRPr="00981405">
        <w:tab/>
      </w:r>
      <w:r w:rsidR="00B92E2C" w:rsidRPr="00981405">
        <w:t>“</w:t>
      </w:r>
      <w:r w:rsidRPr="00981405">
        <w:t>Forced</w:t>
      </w:r>
      <w:r w:rsidR="00190923" w:rsidRPr="00981405">
        <w:t xml:space="preserve"> </w:t>
      </w:r>
      <w:r w:rsidRPr="00981405">
        <w:t>pregnancy</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unlawful</w:t>
      </w:r>
      <w:r w:rsidR="00190923" w:rsidRPr="00981405">
        <w:t xml:space="preserve"> </w:t>
      </w:r>
      <w:r w:rsidRPr="00981405">
        <w:t>confinement</w:t>
      </w:r>
      <w:r w:rsidR="00190923" w:rsidRPr="00981405">
        <w:t xml:space="preserve"> </w:t>
      </w:r>
      <w:r w:rsidRPr="00981405">
        <w:t>of</w:t>
      </w:r>
      <w:r w:rsidR="00190923" w:rsidRPr="00981405">
        <w:t xml:space="preserve"> </w:t>
      </w:r>
      <w:r w:rsidRPr="00981405">
        <w:t>a</w:t>
      </w:r>
      <w:r w:rsidR="00190923" w:rsidRPr="00981405">
        <w:t xml:space="preserve"> </w:t>
      </w:r>
      <w:r w:rsidRPr="00981405">
        <w:t>woman</w:t>
      </w:r>
      <w:r w:rsidR="00190923" w:rsidRPr="00981405">
        <w:t xml:space="preserve"> </w:t>
      </w:r>
      <w:r w:rsidRPr="00981405">
        <w:t>forcibly</w:t>
      </w:r>
      <w:r w:rsidR="00190923" w:rsidRPr="00981405">
        <w:t xml:space="preserve"> </w:t>
      </w:r>
      <w:r w:rsidRPr="00981405">
        <w:t>made</w:t>
      </w:r>
      <w:r w:rsidR="00190923" w:rsidRPr="00981405">
        <w:t xml:space="preserve"> </w:t>
      </w:r>
      <w:r w:rsidRPr="00981405">
        <w:t>pregnant,</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w:t>
      </w:r>
      <w:r w:rsidR="00190923" w:rsidRPr="00981405">
        <w:t xml:space="preserve"> </w:t>
      </w:r>
      <w:r w:rsidRPr="00981405">
        <w:t>of</w:t>
      </w:r>
      <w:r w:rsidR="00190923" w:rsidRPr="00981405">
        <w:t xml:space="preserve"> </w:t>
      </w:r>
      <w:r w:rsidRPr="00981405">
        <w:t>affecting</w:t>
      </w:r>
      <w:r w:rsidR="00190923" w:rsidRPr="00981405">
        <w:t xml:space="preserve"> </w:t>
      </w:r>
      <w:r w:rsidRPr="00981405">
        <w:t>the</w:t>
      </w:r>
      <w:r w:rsidR="00190923" w:rsidRPr="00981405">
        <w:t xml:space="preserve"> </w:t>
      </w:r>
      <w:r w:rsidRPr="00981405">
        <w:t>ethnic</w:t>
      </w:r>
      <w:r w:rsidR="00190923" w:rsidRPr="00981405">
        <w:t xml:space="preserve"> </w:t>
      </w:r>
      <w:r w:rsidRPr="00981405">
        <w:t>composition</w:t>
      </w:r>
      <w:r w:rsidR="00190923" w:rsidRPr="00981405">
        <w:t xml:space="preserve"> </w:t>
      </w:r>
      <w:r w:rsidRPr="00981405">
        <w:t>of</w:t>
      </w:r>
      <w:r w:rsidR="00190923" w:rsidRPr="00981405">
        <w:t xml:space="preserve"> </w:t>
      </w:r>
      <w:r w:rsidRPr="00981405">
        <w:t>any</w:t>
      </w:r>
      <w:r w:rsidR="00190923" w:rsidRPr="00981405">
        <w:t xml:space="preserve"> </w:t>
      </w:r>
      <w:r w:rsidRPr="00981405">
        <w:t>population</w:t>
      </w:r>
      <w:r w:rsidR="00190923" w:rsidRPr="00981405">
        <w:t xml:space="preserve"> </w:t>
      </w:r>
      <w:r w:rsidRPr="00981405">
        <w:t>or</w:t>
      </w:r>
      <w:r w:rsidR="00190923" w:rsidRPr="00981405">
        <w:t xml:space="preserve"> </w:t>
      </w:r>
      <w:r w:rsidRPr="00981405">
        <w:t>carrying</w:t>
      </w:r>
      <w:r w:rsidR="00190923" w:rsidRPr="00981405">
        <w:t xml:space="preserve"> </w:t>
      </w:r>
      <w:r w:rsidRPr="00981405">
        <w:t>out</w:t>
      </w:r>
      <w:r w:rsidR="00190923" w:rsidRPr="00981405">
        <w:t xml:space="preserve"> </w:t>
      </w:r>
      <w:r w:rsidRPr="00981405">
        <w:t>other</w:t>
      </w:r>
      <w:r w:rsidR="00190923" w:rsidRPr="00981405">
        <w:t xml:space="preserve"> </w:t>
      </w:r>
      <w:r w:rsidRPr="00981405">
        <w:t>grave</w:t>
      </w:r>
      <w:r w:rsidR="00190923" w:rsidRPr="00981405">
        <w:t xml:space="preserve"> </w:t>
      </w:r>
      <w:r w:rsidRPr="00981405">
        <w:t>violations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This</w:t>
      </w:r>
      <w:r w:rsidR="00190923" w:rsidRPr="00981405">
        <w:t xml:space="preserve"> </w:t>
      </w:r>
      <w:r w:rsidRPr="00981405">
        <w:t>definition</w:t>
      </w:r>
      <w:r w:rsidR="00190923" w:rsidRPr="00981405">
        <w:t xml:space="preserve"> </w:t>
      </w:r>
      <w:r w:rsidRPr="00981405">
        <w:t>shall</w:t>
      </w:r>
      <w:r w:rsidR="00190923" w:rsidRPr="00981405">
        <w:t xml:space="preserve"> </w:t>
      </w:r>
      <w:r w:rsidRPr="00981405">
        <w:t>not</w:t>
      </w:r>
      <w:r w:rsidR="00190923" w:rsidRPr="00981405">
        <w:t xml:space="preserve"> </w:t>
      </w:r>
      <w:r w:rsidRPr="00981405">
        <w:t>in</w:t>
      </w:r>
      <w:r w:rsidR="00190923" w:rsidRPr="00981405">
        <w:t xml:space="preserve"> </w:t>
      </w:r>
      <w:r w:rsidRPr="00981405">
        <w:t>any</w:t>
      </w:r>
      <w:r w:rsidR="00190923" w:rsidRPr="00981405">
        <w:t xml:space="preserve"> </w:t>
      </w:r>
      <w:r w:rsidRPr="00981405">
        <w:t>way</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as</w:t>
      </w:r>
      <w:r w:rsidR="00190923" w:rsidRPr="00981405">
        <w:t xml:space="preserve"> </w:t>
      </w:r>
      <w:r w:rsidRPr="00981405">
        <w:t>affecting</w:t>
      </w:r>
      <w:r w:rsidR="00190923" w:rsidRPr="00981405">
        <w:t xml:space="preserve"> </w:t>
      </w:r>
      <w:r w:rsidRPr="00981405">
        <w:t>national</w:t>
      </w:r>
      <w:r w:rsidR="00190923" w:rsidRPr="00981405">
        <w:t xml:space="preserve"> </w:t>
      </w:r>
      <w:r w:rsidRPr="00981405">
        <w:t>laws</w:t>
      </w:r>
      <w:r w:rsidR="00190923" w:rsidRPr="00981405">
        <w:t xml:space="preserve"> </w:t>
      </w:r>
      <w:r w:rsidRPr="00981405">
        <w:t>relating</w:t>
      </w:r>
      <w:r w:rsidR="00190923" w:rsidRPr="00981405">
        <w:t xml:space="preserve"> </w:t>
      </w:r>
      <w:r w:rsidRPr="00981405">
        <w:t>to</w:t>
      </w:r>
      <w:r w:rsidR="00190923" w:rsidRPr="00981405">
        <w:t xml:space="preserve"> </w:t>
      </w:r>
      <w:r w:rsidRPr="00981405">
        <w:t>pregnancy;</w:t>
      </w:r>
    </w:p>
    <w:p w:rsidR="00397032" w:rsidRPr="00981405" w:rsidRDefault="00397032" w:rsidP="00D97463">
      <w:pPr>
        <w:pStyle w:val="SingleTxt"/>
        <w:ind w:left="1742"/>
      </w:pPr>
      <w:r w:rsidRPr="00981405">
        <w:tab/>
        <w:t>(g)</w:t>
      </w:r>
      <w:r w:rsidRPr="00981405">
        <w:tab/>
      </w:r>
      <w:r w:rsidR="00B92E2C" w:rsidRPr="00981405">
        <w:t>“</w:t>
      </w:r>
      <w:r w:rsidRPr="00981405">
        <w:t>Persecution</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intentional</w:t>
      </w:r>
      <w:r w:rsidR="00190923" w:rsidRPr="00981405">
        <w:t xml:space="preserve"> </w:t>
      </w:r>
      <w:r w:rsidRPr="00981405">
        <w:t>and</w:t>
      </w:r>
      <w:r w:rsidR="00190923" w:rsidRPr="00981405">
        <w:t xml:space="preserve"> </w:t>
      </w:r>
      <w:r w:rsidRPr="00981405">
        <w:t>severe</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fundamental</w:t>
      </w:r>
      <w:r w:rsidR="00190923" w:rsidRPr="00981405">
        <w:t xml:space="preserve"> </w:t>
      </w:r>
      <w:r w:rsidRPr="00981405">
        <w:t>rights</w:t>
      </w:r>
      <w:r w:rsidR="00190923" w:rsidRPr="00981405">
        <w:t xml:space="preserve"> </w:t>
      </w:r>
      <w:r w:rsidRPr="00981405">
        <w:t>contrary</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by</w:t>
      </w:r>
      <w:r w:rsidR="00190923" w:rsidRPr="00981405">
        <w:t xml:space="preserve"> </w:t>
      </w:r>
      <w:r w:rsidRPr="00981405">
        <w:t>reason</w:t>
      </w:r>
      <w:r w:rsidR="00190923" w:rsidRPr="00981405">
        <w:t xml:space="preserve"> </w:t>
      </w:r>
      <w:r w:rsidRPr="00981405">
        <w:t>of</w:t>
      </w:r>
      <w:r w:rsidR="00190923" w:rsidRPr="00981405">
        <w:t xml:space="preserve"> </w:t>
      </w:r>
      <w:r w:rsidRPr="00981405">
        <w:t>the</w:t>
      </w:r>
      <w:r w:rsidR="00190923" w:rsidRPr="00981405">
        <w:t xml:space="preserve"> </w:t>
      </w:r>
      <w:r w:rsidRPr="00981405">
        <w:t>identity</w:t>
      </w:r>
      <w:r w:rsidR="00190923" w:rsidRPr="00981405">
        <w:t xml:space="preserve"> </w:t>
      </w:r>
      <w:r w:rsidRPr="00981405">
        <w:t>of</w:t>
      </w:r>
      <w:r w:rsidR="00190923" w:rsidRPr="00981405">
        <w:t xml:space="preserve"> </w:t>
      </w:r>
      <w:r w:rsidRPr="00981405">
        <w:t>the</w:t>
      </w:r>
      <w:r w:rsidR="00190923" w:rsidRPr="00981405">
        <w:t xml:space="preserve"> </w:t>
      </w:r>
      <w:r w:rsidRPr="00981405">
        <w:t>group</w:t>
      </w:r>
      <w:r w:rsidR="00190923" w:rsidRPr="00981405">
        <w:t xml:space="preserve"> </w:t>
      </w:r>
      <w:r w:rsidRPr="00981405">
        <w:t>or</w:t>
      </w:r>
      <w:r w:rsidR="00190923" w:rsidRPr="00981405">
        <w:t xml:space="preserve"> </w:t>
      </w:r>
      <w:r w:rsidRPr="00981405">
        <w:t>collectivity;</w:t>
      </w:r>
    </w:p>
    <w:p w:rsidR="00397032" w:rsidRPr="00981405" w:rsidRDefault="00397032" w:rsidP="00D97463">
      <w:pPr>
        <w:pStyle w:val="SingleTxt"/>
        <w:ind w:left="1742"/>
      </w:pPr>
      <w:r w:rsidRPr="00981405">
        <w:tab/>
        <w:t>(h)</w:t>
      </w:r>
      <w:r w:rsidRPr="00981405">
        <w:tab/>
      </w:r>
      <w:r w:rsidR="00B92E2C" w:rsidRPr="00981405">
        <w:t>“</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apartheid</w:t>
      </w:r>
      <w:r w:rsidR="00B92E2C" w:rsidRPr="00981405">
        <w:t>”</w:t>
      </w:r>
      <w:r w:rsidR="00190923" w:rsidRPr="00981405">
        <w:t xml:space="preserve"> </w:t>
      </w:r>
      <w:r w:rsidRPr="00981405">
        <w:t>means</w:t>
      </w:r>
      <w:r w:rsidR="00190923" w:rsidRPr="00981405">
        <w:t xml:space="preserve"> </w:t>
      </w:r>
      <w:r w:rsidRPr="00981405">
        <w:t>inhumane</w:t>
      </w:r>
      <w:r w:rsidR="00190923" w:rsidRPr="00981405">
        <w:t xml:space="preserve"> </w:t>
      </w:r>
      <w:r w:rsidRPr="00981405">
        <w:t>acts</w:t>
      </w:r>
      <w:r w:rsidR="00190923" w:rsidRPr="00981405">
        <w:t xml:space="preserve"> </w:t>
      </w:r>
      <w:r w:rsidRPr="00981405">
        <w:t>of</w:t>
      </w:r>
      <w:r w:rsidR="00190923" w:rsidRPr="00981405">
        <w:t xml:space="preserve"> </w:t>
      </w:r>
      <w:r w:rsidRPr="00981405">
        <w:t>a</w:t>
      </w:r>
      <w:r w:rsidR="00190923" w:rsidRPr="00981405">
        <w:t xml:space="preserve"> </w:t>
      </w:r>
      <w:r w:rsidRPr="00981405">
        <w:t>character</w:t>
      </w:r>
      <w:r w:rsidR="00190923" w:rsidRPr="00981405">
        <w:t xml:space="preserve"> </w:t>
      </w:r>
      <w:r w:rsidRPr="00981405">
        <w:t>similar</w:t>
      </w:r>
      <w:r w:rsidR="00190923" w:rsidRPr="00981405">
        <w:t xml:space="preserve"> </w:t>
      </w:r>
      <w:r w:rsidRPr="00981405">
        <w:t>to</w:t>
      </w:r>
      <w:r w:rsidR="00190923" w:rsidRPr="00981405">
        <w:t xml:space="preserve"> </w:t>
      </w:r>
      <w:r w:rsidRPr="00981405">
        <w:t>those</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committed</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an</w:t>
      </w:r>
      <w:r w:rsidR="00190923" w:rsidRPr="00981405">
        <w:t xml:space="preserve"> </w:t>
      </w:r>
      <w:r w:rsidRPr="00981405">
        <w:t>institutionalized</w:t>
      </w:r>
      <w:r w:rsidR="00190923" w:rsidRPr="00981405">
        <w:t xml:space="preserve"> </w:t>
      </w:r>
      <w:r w:rsidRPr="00981405">
        <w:t>regime</w:t>
      </w:r>
      <w:r w:rsidR="00190923" w:rsidRPr="00981405">
        <w:t xml:space="preserve"> </w:t>
      </w:r>
      <w:r w:rsidRPr="00981405">
        <w:t>of</w:t>
      </w:r>
      <w:r w:rsidR="00190923" w:rsidRPr="00981405">
        <w:t xml:space="preserve"> </w:t>
      </w:r>
      <w:r w:rsidRPr="00981405">
        <w:t>systematic</w:t>
      </w:r>
      <w:r w:rsidR="00190923" w:rsidRPr="00981405">
        <w:t xml:space="preserve"> </w:t>
      </w:r>
      <w:r w:rsidRPr="00981405">
        <w:t>oppression</w:t>
      </w:r>
      <w:r w:rsidR="00190923" w:rsidRPr="00981405">
        <w:t xml:space="preserve"> </w:t>
      </w:r>
      <w:r w:rsidRPr="00981405">
        <w:t>and</w:t>
      </w:r>
      <w:r w:rsidR="00190923" w:rsidRPr="00981405">
        <w:t xml:space="preserve"> </w:t>
      </w:r>
      <w:r w:rsidRPr="00981405">
        <w:t>domination</w:t>
      </w:r>
      <w:r w:rsidR="00190923" w:rsidRPr="00981405">
        <w:t xml:space="preserve"> </w:t>
      </w:r>
      <w:r w:rsidRPr="00981405">
        <w:t>by</w:t>
      </w:r>
      <w:r w:rsidR="00190923" w:rsidRPr="00981405">
        <w:t xml:space="preserve"> </w:t>
      </w:r>
      <w:r w:rsidRPr="00981405">
        <w:t>one</w:t>
      </w:r>
      <w:r w:rsidR="00190923" w:rsidRPr="00981405">
        <w:t xml:space="preserve"> </w:t>
      </w:r>
      <w:r w:rsidRPr="00981405">
        <w:t>racial</w:t>
      </w:r>
      <w:r w:rsidR="00190923" w:rsidRPr="00981405">
        <w:t xml:space="preserve"> </w:t>
      </w:r>
      <w:r w:rsidRPr="00981405">
        <w:t>group</w:t>
      </w:r>
      <w:r w:rsidR="00190923" w:rsidRPr="00981405">
        <w:t xml:space="preserve"> </w:t>
      </w:r>
      <w:r w:rsidRPr="00981405">
        <w:t>over</w:t>
      </w:r>
      <w:r w:rsidR="00190923" w:rsidRPr="00981405">
        <w:t xml:space="preserve"> </w:t>
      </w:r>
      <w:r w:rsidRPr="00981405">
        <w:t>any</w:t>
      </w:r>
      <w:r w:rsidR="00190923" w:rsidRPr="00981405">
        <w:t xml:space="preserve"> </w:t>
      </w:r>
      <w:r w:rsidRPr="00981405">
        <w:t>other</w:t>
      </w:r>
      <w:r w:rsidR="00190923" w:rsidRPr="00981405">
        <w:t xml:space="preserve"> </w:t>
      </w:r>
      <w:r w:rsidRPr="00981405">
        <w:t>racial</w:t>
      </w:r>
      <w:r w:rsidR="00190923" w:rsidRPr="00981405">
        <w:t xml:space="preserve"> </w:t>
      </w:r>
      <w:r w:rsidRPr="00981405">
        <w:t>group</w:t>
      </w:r>
      <w:r w:rsidR="00190923" w:rsidRPr="00981405">
        <w:t xml:space="preserve"> </w:t>
      </w:r>
      <w:r w:rsidRPr="00981405">
        <w:t>or</w:t>
      </w:r>
      <w:r w:rsidR="00190923" w:rsidRPr="00981405">
        <w:t xml:space="preserve"> </w:t>
      </w:r>
      <w:r w:rsidRPr="00981405">
        <w:t>groups</w:t>
      </w:r>
      <w:r w:rsidR="00190923" w:rsidRPr="00981405">
        <w:t xml:space="preserve"> </w:t>
      </w:r>
      <w:r w:rsidRPr="00981405">
        <w:t>and</w:t>
      </w:r>
      <w:r w:rsidR="00190923" w:rsidRPr="00981405">
        <w:t xml:space="preserve"> </w:t>
      </w:r>
      <w:r w:rsidRPr="00981405">
        <w:t>committed</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maintaining</w:t>
      </w:r>
      <w:r w:rsidR="00190923" w:rsidRPr="00981405">
        <w:t xml:space="preserve"> </w:t>
      </w:r>
      <w:r w:rsidRPr="00981405">
        <w:t>that</w:t>
      </w:r>
      <w:r w:rsidR="00190923" w:rsidRPr="00981405">
        <w:t xml:space="preserve"> </w:t>
      </w:r>
      <w:r w:rsidRPr="00981405">
        <w:t>regime;</w:t>
      </w:r>
    </w:p>
    <w:p w:rsidR="00397032" w:rsidRPr="00981405" w:rsidRDefault="00397032" w:rsidP="00D97463">
      <w:pPr>
        <w:pStyle w:val="SingleTxt"/>
        <w:ind w:left="1742"/>
      </w:pPr>
      <w:r w:rsidRPr="00981405">
        <w:tab/>
        <w:t>(i)</w:t>
      </w:r>
      <w:r w:rsidRPr="00981405">
        <w:tab/>
      </w:r>
      <w:r w:rsidR="00B92E2C" w:rsidRPr="00981405">
        <w:t>“</w:t>
      </w:r>
      <w:r w:rsidRPr="00981405">
        <w:t>Enforced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arrest,</w:t>
      </w:r>
      <w:r w:rsidR="00190923" w:rsidRPr="00981405">
        <w:t xml:space="preserve"> </w:t>
      </w:r>
      <w:r w:rsidRPr="00981405">
        <w:t>detention</w:t>
      </w:r>
      <w:r w:rsidR="00190923" w:rsidRPr="00981405">
        <w:t xml:space="preserve"> </w:t>
      </w:r>
      <w:r w:rsidRPr="00981405">
        <w:t>or</w:t>
      </w:r>
      <w:r w:rsidR="00190923" w:rsidRPr="00981405">
        <w:t xml:space="preserve"> </w:t>
      </w:r>
      <w:r w:rsidRPr="00981405">
        <w:t>abduction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by,</w:t>
      </w:r>
      <w:r w:rsidR="00190923" w:rsidRPr="00981405">
        <w:t xml:space="preserve"> </w:t>
      </w:r>
      <w:r w:rsidRPr="00981405">
        <w:t>or</w:t>
      </w:r>
      <w:r w:rsidR="00190923" w:rsidRPr="00981405">
        <w:t xml:space="preserve"> </w:t>
      </w:r>
      <w:r w:rsidRPr="00981405">
        <w:t>with</w:t>
      </w:r>
      <w:r w:rsidR="00190923" w:rsidRPr="00981405">
        <w:t xml:space="preserve"> </w:t>
      </w:r>
      <w:r w:rsidRPr="00981405">
        <w:t>the</w:t>
      </w:r>
      <w:r w:rsidR="00190923" w:rsidRPr="00981405">
        <w:t xml:space="preserve"> </w:t>
      </w:r>
      <w:r w:rsidRPr="00981405">
        <w:t>authorization,</w:t>
      </w:r>
      <w:r w:rsidR="00190923" w:rsidRPr="00981405">
        <w:t xml:space="preserve"> </w:t>
      </w:r>
      <w:r w:rsidRPr="00981405">
        <w:t>support</w:t>
      </w:r>
      <w:r w:rsidR="00190923" w:rsidRPr="00981405">
        <w:t xml:space="preserve"> </w:t>
      </w:r>
      <w:r w:rsidRPr="00981405">
        <w:t>or</w:t>
      </w:r>
      <w:r w:rsidR="00190923" w:rsidRPr="00981405">
        <w:t xml:space="preserve"> </w:t>
      </w:r>
      <w:r w:rsidRPr="00981405">
        <w:t>acquiescence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a</w:t>
      </w:r>
      <w:r w:rsidR="00190923" w:rsidRPr="00981405">
        <w:t xml:space="preserve"> </w:t>
      </w:r>
      <w:r w:rsidRPr="00981405">
        <w:t>political</w:t>
      </w:r>
      <w:r w:rsidR="00190923" w:rsidRPr="00981405">
        <w:t xml:space="preserve"> </w:t>
      </w:r>
      <w:r w:rsidRPr="00981405">
        <w:t>organization,</w:t>
      </w:r>
      <w:r w:rsidR="00190923" w:rsidRPr="00981405">
        <w:t xml:space="preserve"> </w:t>
      </w:r>
      <w:r w:rsidRPr="00981405">
        <w:t>followed</w:t>
      </w:r>
      <w:r w:rsidR="00190923" w:rsidRPr="00981405">
        <w:t xml:space="preserve"> </w:t>
      </w:r>
      <w:r w:rsidRPr="00981405">
        <w:t>by</w:t>
      </w:r>
      <w:r w:rsidR="00190923" w:rsidRPr="00981405">
        <w:t xml:space="preserve"> </w:t>
      </w:r>
      <w:r w:rsidRPr="00981405">
        <w:t>a</w:t>
      </w:r>
      <w:r w:rsidR="00190923" w:rsidRPr="00981405">
        <w:t xml:space="preserve"> </w:t>
      </w:r>
      <w:r w:rsidRPr="00981405">
        <w:t>refusal</w:t>
      </w:r>
      <w:r w:rsidR="00190923" w:rsidRPr="00981405">
        <w:t xml:space="preserve"> </w:t>
      </w:r>
      <w:r w:rsidRPr="00981405">
        <w:t>to</w:t>
      </w:r>
      <w:r w:rsidR="00190923" w:rsidRPr="00981405">
        <w:t xml:space="preserve"> </w:t>
      </w:r>
      <w:r w:rsidRPr="00981405">
        <w:t>acknowledge</w:t>
      </w:r>
      <w:r w:rsidR="00190923" w:rsidRPr="00981405">
        <w:t xml:space="preserve"> </w:t>
      </w:r>
      <w:r w:rsidRPr="00981405">
        <w:t>that</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freedom</w:t>
      </w:r>
      <w:r w:rsidR="00190923" w:rsidRPr="00981405">
        <w:t xml:space="preserve"> </w:t>
      </w:r>
      <w:r w:rsidRPr="00981405">
        <w:t>or</w:t>
      </w:r>
      <w:r w:rsidR="00190923" w:rsidRPr="00981405">
        <w:t xml:space="preserve"> </w:t>
      </w:r>
      <w:r w:rsidRPr="00981405">
        <w:t>to</w:t>
      </w:r>
      <w:r w:rsidR="00190923" w:rsidRPr="00981405">
        <w:t xml:space="preserve"> </w:t>
      </w:r>
      <w:r w:rsidRPr="00981405">
        <w:t>give</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the</w:t>
      </w:r>
      <w:r w:rsidR="00190923" w:rsidRPr="00981405">
        <w:t xml:space="preserve"> </w:t>
      </w:r>
      <w:r w:rsidRPr="00981405">
        <w:t>fate</w:t>
      </w:r>
      <w:r w:rsidR="00190923" w:rsidRPr="00981405">
        <w:t xml:space="preserve"> </w:t>
      </w:r>
      <w:r w:rsidRPr="00981405">
        <w:t>or</w:t>
      </w:r>
      <w:r w:rsidR="00190923" w:rsidRPr="00981405">
        <w:t xml:space="preserve"> </w:t>
      </w:r>
      <w:r w:rsidRPr="00981405">
        <w:t>whereabouts</w:t>
      </w:r>
      <w:r w:rsidR="00190923" w:rsidRPr="00981405">
        <w:t xml:space="preserve"> </w:t>
      </w:r>
      <w:r w:rsidRPr="00981405">
        <w:t>of</w:t>
      </w:r>
      <w:r w:rsidR="00190923" w:rsidRPr="00981405">
        <w:t xml:space="preserve"> </w:t>
      </w:r>
      <w:r w:rsidRPr="00981405">
        <w:t>those</w:t>
      </w:r>
      <w:r w:rsidR="00190923" w:rsidRPr="00981405">
        <w:t xml:space="preserve"> </w:t>
      </w:r>
      <w:r w:rsidRPr="00981405">
        <w:t>persons,</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removing</w:t>
      </w:r>
      <w:r w:rsidR="00190923" w:rsidRPr="00981405">
        <w:t xml:space="preserve"> </w:t>
      </w:r>
      <w:r w:rsidRPr="00981405">
        <w:t>them</w:t>
      </w:r>
      <w:r w:rsidR="00190923" w:rsidRPr="00981405">
        <w:t xml:space="preserve"> </w:t>
      </w:r>
      <w:r w:rsidRPr="00981405">
        <w:t>from</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for</w:t>
      </w:r>
      <w:r w:rsidR="00190923" w:rsidRPr="00981405">
        <w:t xml:space="preserve"> </w:t>
      </w:r>
      <w:r w:rsidRPr="00981405">
        <w:t>a</w:t>
      </w:r>
      <w:r w:rsidR="00190923" w:rsidRPr="00981405">
        <w:t xml:space="preserve"> </w:t>
      </w:r>
      <w:r w:rsidRPr="00981405">
        <w:t>prolonged</w:t>
      </w:r>
      <w:r w:rsidR="00190923" w:rsidRPr="00981405">
        <w:t xml:space="preserve"> </w:t>
      </w:r>
      <w:r w:rsidRPr="00981405">
        <w:t>period</w:t>
      </w:r>
      <w:r w:rsidR="00190923" w:rsidRPr="00981405">
        <w:t xml:space="preserve"> </w:t>
      </w:r>
      <w:r w:rsidRPr="00981405">
        <w:t>of</w:t>
      </w:r>
      <w:r w:rsidR="00190923" w:rsidRPr="00981405">
        <w:t xml:space="preserve"> </w:t>
      </w:r>
      <w:r w:rsidRPr="00981405">
        <w:t>time.</w:t>
      </w:r>
    </w:p>
    <w:p w:rsidR="00397032" w:rsidRPr="00981405" w:rsidRDefault="00397032" w:rsidP="00D97463">
      <w:pPr>
        <w:pStyle w:val="SingleTxt"/>
        <w:ind w:left="1742"/>
      </w:pPr>
      <w:r w:rsidRPr="00981405">
        <w:lastRenderedPageBreak/>
        <w:t>3.</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it</w:t>
      </w:r>
      <w:r w:rsidR="00190923" w:rsidRPr="00981405">
        <w:t xml:space="preserve"> </w:t>
      </w:r>
      <w:r w:rsidRPr="00981405">
        <w:t>is</w:t>
      </w:r>
      <w:r w:rsidR="00190923" w:rsidRPr="00981405">
        <w:t xml:space="preserve"> </w:t>
      </w:r>
      <w:r w:rsidRPr="00981405">
        <w:t>understood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00190923" w:rsidRPr="00981405">
        <w:t xml:space="preserve"> </w:t>
      </w:r>
      <w:r w:rsidRPr="00981405">
        <w:t>refers</w:t>
      </w:r>
      <w:r w:rsidR="00190923" w:rsidRPr="00981405">
        <w:t xml:space="preserve"> </w:t>
      </w:r>
      <w:r w:rsidRPr="00981405">
        <w:t>to</w:t>
      </w:r>
      <w:r w:rsidR="00190923" w:rsidRPr="00981405">
        <w:t xml:space="preserve"> </w:t>
      </w:r>
      <w:r w:rsidRPr="00981405">
        <w:t>the</w:t>
      </w:r>
      <w:r w:rsidR="00190923" w:rsidRPr="00981405">
        <w:t xml:space="preserve"> </w:t>
      </w:r>
      <w:r w:rsidRPr="00981405">
        <w:t>two</w:t>
      </w:r>
      <w:r w:rsidR="00190923" w:rsidRPr="00981405">
        <w:t xml:space="preserve"> </w:t>
      </w:r>
      <w:r w:rsidRPr="00981405">
        <w:t>sexes,</w:t>
      </w:r>
      <w:r w:rsidR="00190923" w:rsidRPr="00981405">
        <w:t xml:space="preserve"> </w:t>
      </w:r>
      <w:r w:rsidRPr="00981405">
        <w:t>male</w:t>
      </w:r>
      <w:r w:rsidR="00190923" w:rsidRPr="00981405">
        <w:t xml:space="preserve"> </w:t>
      </w:r>
      <w:r w:rsidRPr="00981405">
        <w:t>and</w:t>
      </w:r>
      <w:r w:rsidR="00190923" w:rsidRPr="00981405">
        <w:t xml:space="preserve"> </w:t>
      </w:r>
      <w:r w:rsidRPr="00981405">
        <w:t>female,</w:t>
      </w:r>
      <w:r w:rsidR="00190923" w:rsidRPr="00981405">
        <w:t xml:space="preserve"> </w:t>
      </w:r>
      <w:r w:rsidRPr="00981405">
        <w:t>within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society.</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00190923" w:rsidRPr="00981405">
        <w:t xml:space="preserve"> </w:t>
      </w:r>
      <w:r w:rsidRPr="00981405">
        <w:t>does</w:t>
      </w:r>
      <w:r w:rsidR="00190923" w:rsidRPr="00981405">
        <w:t xml:space="preserve"> </w:t>
      </w:r>
      <w:r w:rsidRPr="00981405">
        <w:t>not</w:t>
      </w:r>
      <w:r w:rsidR="00190923" w:rsidRPr="00981405">
        <w:t xml:space="preserve"> </w:t>
      </w:r>
      <w:r w:rsidRPr="00981405">
        <w:t>indicate</w:t>
      </w:r>
      <w:r w:rsidR="00190923" w:rsidRPr="00981405">
        <w:t xml:space="preserve"> </w:t>
      </w:r>
      <w:r w:rsidRPr="00981405">
        <w:t>any</w:t>
      </w:r>
      <w:r w:rsidR="00190923" w:rsidRPr="00981405">
        <w:t xml:space="preserve"> </w:t>
      </w:r>
      <w:r w:rsidRPr="00981405">
        <w:t>meaning</w:t>
      </w:r>
      <w:r w:rsidR="00190923" w:rsidRPr="00981405">
        <w:t xml:space="preserve"> </w:t>
      </w:r>
      <w:r w:rsidRPr="00981405">
        <w:t>different</w:t>
      </w:r>
      <w:r w:rsidR="00190923" w:rsidRPr="00981405">
        <w:t xml:space="preserve"> </w:t>
      </w:r>
      <w:r w:rsidRPr="00981405">
        <w:t>from</w:t>
      </w:r>
      <w:r w:rsidR="00190923" w:rsidRPr="00981405">
        <w:t xml:space="preserve"> </w:t>
      </w:r>
      <w:r w:rsidRPr="00981405">
        <w:t>the</w:t>
      </w:r>
      <w:r w:rsidR="00190923" w:rsidRPr="00981405">
        <w:t xml:space="preserve"> </w:t>
      </w:r>
      <w:r w:rsidRPr="00981405">
        <w:t>above.</w:t>
      </w:r>
    </w:p>
    <w:p w:rsidR="00397032" w:rsidRPr="00981405" w:rsidRDefault="00397032" w:rsidP="00D97463">
      <w:pPr>
        <w:pStyle w:val="SingleTxt"/>
        <w:ind w:left="1742"/>
      </w:pPr>
      <w:r w:rsidRPr="00981405">
        <w:t>4.</w:t>
      </w:r>
      <w:r w:rsidRPr="00981405">
        <w:tab/>
        <w:t>This</w:t>
      </w:r>
      <w:r w:rsidR="00190923" w:rsidRPr="00981405">
        <w:t xml:space="preserve"> </w:t>
      </w:r>
      <w:r w:rsidRPr="00981405">
        <w:t>draft</w:t>
      </w:r>
      <w:r w:rsidR="00190923" w:rsidRPr="00981405">
        <w:t xml:space="preserve"> </w:t>
      </w:r>
      <w:r w:rsidRPr="00981405">
        <w:t>article</w:t>
      </w:r>
      <w:r w:rsidR="00190923" w:rsidRPr="00981405">
        <w:t xml:space="preserve"> </w:t>
      </w:r>
      <w:r w:rsidRPr="00981405">
        <w:t>is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broader</w:t>
      </w:r>
      <w:r w:rsidR="00190923" w:rsidRPr="00981405">
        <w:t xml:space="preserve"> </w:t>
      </w:r>
      <w:r w:rsidRPr="00981405">
        <w:t>definition</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any</w:t>
      </w:r>
      <w:r w:rsidR="00190923" w:rsidRPr="00981405">
        <w:t xml:space="preserve"> </w:t>
      </w:r>
      <w:r w:rsidRPr="00981405">
        <w:t>international</w:t>
      </w:r>
      <w:r w:rsidR="00190923" w:rsidRPr="00981405">
        <w:t xml:space="preserve"> </w:t>
      </w:r>
      <w:r w:rsidRPr="00981405">
        <w:t>instrument</w:t>
      </w:r>
      <w:r w:rsidR="00190923" w:rsidRPr="00981405">
        <w:t xml:space="preserve"> </w:t>
      </w:r>
      <w:r w:rsidRPr="00981405">
        <w:t>or</w:t>
      </w:r>
      <w:r w:rsidR="00190923" w:rsidRPr="00981405">
        <w:t xml:space="preserve"> </w:t>
      </w:r>
      <w:r w:rsidRPr="00981405">
        <w:t>national</w:t>
      </w:r>
      <w:r w:rsidR="00190923" w:rsidRPr="00981405">
        <w:t xml:space="preserve"> </w:t>
      </w:r>
      <w:r w:rsidRPr="00981405">
        <w:t>law.</w:t>
      </w:r>
    </w:p>
    <w:p w:rsidR="00397032" w:rsidRPr="00D97463" w:rsidRDefault="00397032" w:rsidP="00D97463">
      <w:pPr>
        <w:pStyle w:val="SingleTxt"/>
        <w:ind w:left="1742"/>
        <w:jc w:val="left"/>
        <w:rPr>
          <w:b/>
          <w:bCs/>
        </w:rPr>
      </w:pPr>
      <w:r w:rsidRPr="00D97463">
        <w:rPr>
          <w:b/>
          <w:bCs/>
        </w:rPr>
        <w:t>Article</w:t>
      </w:r>
      <w:r w:rsidR="00190923" w:rsidRPr="00981405">
        <w:rPr>
          <w:b/>
          <w:bCs/>
        </w:rPr>
        <w:t xml:space="preserve"> </w:t>
      </w:r>
      <w:r w:rsidRPr="00D97463">
        <w:rPr>
          <w:b/>
          <w:bCs/>
        </w:rPr>
        <w:t>4</w:t>
      </w:r>
      <w:r w:rsidRPr="00D97463">
        <w:rPr>
          <w:b/>
          <w:bCs/>
        </w:rPr>
        <w:br/>
      </w:r>
      <w:r w:rsidRPr="00D97463">
        <w:rPr>
          <w:b/>
          <w:bCs/>
          <w:i/>
          <w:iCs/>
        </w:rPr>
        <w:t>Obligation</w:t>
      </w:r>
      <w:r w:rsidR="00190923" w:rsidRPr="00981405">
        <w:rPr>
          <w:b/>
          <w:bCs/>
          <w:i/>
          <w:iCs/>
        </w:rPr>
        <w:t xml:space="preserve"> </w:t>
      </w:r>
      <w:r w:rsidRPr="00D97463">
        <w:rPr>
          <w:b/>
          <w:bCs/>
          <w:i/>
          <w:iCs/>
        </w:rPr>
        <w:t>of</w:t>
      </w:r>
      <w:r w:rsidR="00190923" w:rsidRPr="00981405">
        <w:rPr>
          <w:b/>
          <w:bCs/>
          <w:i/>
          <w:iCs/>
        </w:rPr>
        <w:t xml:space="preserve"> </w:t>
      </w:r>
      <w:r w:rsidRPr="00D97463">
        <w:rPr>
          <w:b/>
          <w:bCs/>
          <w:i/>
          <w:iCs/>
        </w:rPr>
        <w:t>prevention</w:t>
      </w:r>
    </w:p>
    <w:p w:rsidR="00397032" w:rsidRPr="00981405" w:rsidRDefault="00397032" w:rsidP="00D97463">
      <w:pPr>
        <w:pStyle w:val="SingleTxt"/>
        <w:ind w:left="1742"/>
      </w:pPr>
      <w:r w:rsidRPr="00981405">
        <w:t>1.</w:t>
      </w:r>
      <w:r w:rsidRPr="00981405">
        <w:tab/>
        <w:t>Each</w:t>
      </w:r>
      <w:r w:rsidR="00190923" w:rsidRPr="00981405">
        <w:t xml:space="preserve"> </w:t>
      </w:r>
      <w:r w:rsidRPr="00981405">
        <w:t>State</w:t>
      </w:r>
      <w:r w:rsidR="00190923" w:rsidRPr="00981405">
        <w:t xml:space="preserve"> </w:t>
      </w:r>
      <w:r w:rsidRPr="00981405">
        <w:t>undertakes</w:t>
      </w:r>
      <w:r w:rsidR="00190923" w:rsidRPr="00981405">
        <w:t xml:space="preserve"> </w:t>
      </w:r>
      <w:r w:rsidRPr="00981405">
        <w:t>to</w:t>
      </w:r>
      <w:r w:rsidR="00190923" w:rsidRPr="00981405">
        <w:t xml:space="preserve"> </w:t>
      </w:r>
      <w:r w:rsidRPr="00981405">
        <w:t>prevent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w:t>
      </w:r>
      <w:r w:rsidR="00190923" w:rsidRPr="00981405">
        <w:t xml:space="preserve"> </w:t>
      </w:r>
      <w:r w:rsidRPr="00981405">
        <w:t>conformity</w:t>
      </w:r>
      <w:r w:rsidR="00190923" w:rsidRPr="00981405">
        <w:t xml:space="preserve"> </w:t>
      </w:r>
      <w:r w:rsidRPr="00981405">
        <w:t>with</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including</w:t>
      </w:r>
      <w:r w:rsidR="00190923" w:rsidRPr="00981405">
        <w:t xml:space="preserve"> </w:t>
      </w:r>
      <w:r w:rsidRPr="00981405">
        <w:t>through:</w:t>
      </w:r>
    </w:p>
    <w:p w:rsidR="00397032" w:rsidRPr="00981405" w:rsidRDefault="00397032" w:rsidP="00D97463">
      <w:pPr>
        <w:pStyle w:val="SingleTxt"/>
        <w:ind w:left="1742"/>
      </w:pPr>
      <w:r w:rsidRPr="00981405">
        <w:tab/>
        <w:t>(a)</w:t>
      </w:r>
      <w:r w:rsidRPr="00981405">
        <w:tab/>
        <w:t>effective</w:t>
      </w:r>
      <w:r w:rsidR="00190923" w:rsidRPr="00981405">
        <w:t xml:space="preserve"> </w:t>
      </w:r>
      <w:r w:rsidRPr="00981405">
        <w:t>legislative,</w:t>
      </w:r>
      <w:r w:rsidR="00190923" w:rsidRPr="00981405">
        <w:t xml:space="preserve"> </w:t>
      </w:r>
      <w:r w:rsidRPr="00981405">
        <w:t>administrative,</w:t>
      </w:r>
      <w:r w:rsidR="00190923" w:rsidRPr="00981405">
        <w:t xml:space="preserve"> </w:t>
      </w:r>
      <w:r w:rsidRPr="00981405">
        <w:t>judicial</w:t>
      </w:r>
      <w:r w:rsidR="00190923" w:rsidRPr="00981405">
        <w:t xml:space="preserve"> </w:t>
      </w:r>
      <w:r w:rsidRPr="00981405">
        <w:t>or</w:t>
      </w:r>
      <w:r w:rsidR="00190923" w:rsidRPr="00981405">
        <w:t xml:space="preserve"> </w:t>
      </w:r>
      <w:r w:rsidRPr="00981405">
        <w:t>other</w:t>
      </w:r>
      <w:r w:rsidR="00190923" w:rsidRPr="00981405">
        <w:t xml:space="preserve"> </w:t>
      </w:r>
      <w:r w:rsidRPr="00981405">
        <w:t>preventive</w:t>
      </w:r>
      <w:r w:rsidR="00190923" w:rsidRPr="00981405">
        <w:t xml:space="preserve"> </w:t>
      </w:r>
      <w:r w:rsidRPr="00981405">
        <w:t>measures</w:t>
      </w:r>
      <w:r w:rsidR="00190923" w:rsidRPr="00981405">
        <w:t xml:space="preserve"> </w:t>
      </w:r>
      <w:r w:rsidRPr="00981405">
        <w:t>in</w:t>
      </w:r>
      <w:r w:rsidR="00190923" w:rsidRPr="00981405">
        <w:t xml:space="preserve"> </w:t>
      </w:r>
      <w:r w:rsidRPr="00981405">
        <w:t>any</w:t>
      </w:r>
      <w:r w:rsidR="00190923" w:rsidRPr="00981405">
        <w:t xml:space="preserve"> </w:t>
      </w:r>
      <w:r w:rsidRPr="00981405">
        <w:t>territory</w:t>
      </w:r>
      <w:r w:rsidR="00190923" w:rsidRPr="00981405">
        <w:t xml:space="preserve"> </w:t>
      </w:r>
      <w:r w:rsidRPr="00981405">
        <w:t>under</w:t>
      </w:r>
      <w:r w:rsidR="00190923" w:rsidRPr="00981405">
        <w:t xml:space="preserve"> </w:t>
      </w:r>
      <w:r w:rsidRPr="00981405">
        <w:t>its</w:t>
      </w:r>
      <w:r w:rsidR="00190923" w:rsidRPr="00981405">
        <w:t xml:space="preserve"> </w:t>
      </w:r>
      <w:r w:rsidRPr="00981405">
        <w:t>jurisdiction</w:t>
      </w:r>
      <w:r w:rsidR="00190923" w:rsidRPr="00981405">
        <w:t xml:space="preserve"> </w:t>
      </w:r>
      <w:r w:rsidRPr="00981405">
        <w:t>or</w:t>
      </w:r>
      <w:r w:rsidR="00190923" w:rsidRPr="00981405">
        <w:t xml:space="preserve"> </w:t>
      </w:r>
      <w:r w:rsidRPr="00981405">
        <w:t>control;</w:t>
      </w:r>
      <w:r w:rsidR="00190923" w:rsidRPr="00981405">
        <w:t xml:space="preserve"> </w:t>
      </w:r>
      <w:r w:rsidRPr="00981405">
        <w:t>and</w:t>
      </w:r>
    </w:p>
    <w:p w:rsidR="00397032" w:rsidRPr="00981405" w:rsidRDefault="00397032" w:rsidP="00D97463">
      <w:pPr>
        <w:pStyle w:val="SingleTxt"/>
        <w:ind w:left="1742"/>
      </w:pPr>
      <w:r w:rsidRPr="00981405">
        <w:tab/>
        <w:t>(b)</w:t>
      </w:r>
      <w:r w:rsidRPr="00981405">
        <w:tab/>
        <w:t>cooperation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States,</w:t>
      </w:r>
      <w:r w:rsidR="00190923" w:rsidRPr="00981405">
        <w:t xml:space="preserve"> </w:t>
      </w:r>
      <w:r w:rsidRPr="00981405">
        <w:t>relevant</w:t>
      </w:r>
      <w:r w:rsidR="00190923" w:rsidRPr="00981405">
        <w:t xml:space="preserve"> </w:t>
      </w:r>
      <w:r w:rsidRPr="00981405">
        <w:t>intergovernmental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other</w:t>
      </w:r>
      <w:r w:rsidR="00190923" w:rsidRPr="00981405">
        <w:t xml:space="preserve"> </w:t>
      </w:r>
      <w:r w:rsidRPr="00981405">
        <w:t>organizations.</w:t>
      </w:r>
    </w:p>
    <w:p w:rsidR="00397032" w:rsidRPr="00981405" w:rsidRDefault="00397032" w:rsidP="00D97463">
      <w:pPr>
        <w:pStyle w:val="SingleTxt"/>
        <w:ind w:left="1742"/>
      </w:pPr>
      <w:r w:rsidRPr="00981405">
        <w:t>2.</w:t>
      </w:r>
      <w:r w:rsidRPr="00981405">
        <w:tab/>
        <w:t>No</w:t>
      </w:r>
      <w:r w:rsidR="00190923" w:rsidRPr="00981405">
        <w:t xml:space="preserve"> </w:t>
      </w:r>
      <w:r w:rsidRPr="00981405">
        <w:t>exceptional</w:t>
      </w:r>
      <w:r w:rsidR="00190923" w:rsidRPr="00981405">
        <w:t xml:space="preserve"> </w:t>
      </w:r>
      <w:r w:rsidRPr="00981405">
        <w:t>circumstances</w:t>
      </w:r>
      <w:r w:rsidR="00190923" w:rsidRPr="00981405">
        <w:t xml:space="preserve"> </w:t>
      </w:r>
      <w:r w:rsidRPr="00981405">
        <w:t>whatsoever,</w:t>
      </w:r>
      <w:r w:rsidR="00190923" w:rsidRPr="00981405">
        <w:t xml:space="preserve"> </w:t>
      </w:r>
      <w:r w:rsidRPr="00981405">
        <w:t>such</w:t>
      </w:r>
      <w:r w:rsidR="00190923" w:rsidRPr="00981405">
        <w:t xml:space="preserve"> </w:t>
      </w:r>
      <w:r w:rsidRPr="00981405">
        <w:t>as</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internal</w:t>
      </w:r>
      <w:r w:rsidR="00190923" w:rsidRPr="00981405">
        <w:t xml:space="preserve"> </w:t>
      </w:r>
      <w:r w:rsidRPr="00981405">
        <w:t>political</w:t>
      </w:r>
      <w:r w:rsidR="00190923" w:rsidRPr="00981405">
        <w:t xml:space="preserve"> </w:t>
      </w:r>
      <w:r w:rsidRPr="00981405">
        <w:t>instability</w:t>
      </w:r>
      <w:r w:rsidR="00190923" w:rsidRPr="00981405">
        <w:t xml:space="preserve"> </w:t>
      </w:r>
      <w:r w:rsidRPr="00981405">
        <w:t>or</w:t>
      </w:r>
      <w:r w:rsidR="00190923" w:rsidRPr="00981405">
        <w:t xml:space="preserve"> </w:t>
      </w:r>
      <w:r w:rsidRPr="00981405">
        <w:t>other</w:t>
      </w:r>
      <w:r w:rsidR="00190923" w:rsidRPr="00981405">
        <w:t xml:space="preserve"> </w:t>
      </w:r>
      <w:r w:rsidRPr="00981405">
        <w:t>public</w:t>
      </w:r>
      <w:r w:rsidR="00190923" w:rsidRPr="00981405">
        <w:t xml:space="preserve"> </w:t>
      </w:r>
      <w:r w:rsidRPr="00981405">
        <w:t>emergency,</w:t>
      </w:r>
      <w:r w:rsidR="00190923" w:rsidRPr="00981405">
        <w:t xml:space="preserve"> </w:t>
      </w:r>
      <w:r w:rsidRPr="00981405">
        <w:t>may</w:t>
      </w:r>
      <w:r w:rsidR="00190923" w:rsidRPr="00981405">
        <w:t xml:space="preserve"> </w:t>
      </w:r>
      <w:r w:rsidRPr="00981405">
        <w:t>be</w:t>
      </w:r>
      <w:r w:rsidR="00190923" w:rsidRPr="00981405">
        <w:t xml:space="preserve"> </w:t>
      </w:r>
      <w:r w:rsidRPr="00981405">
        <w:t>invoked</w:t>
      </w:r>
      <w:r w:rsidR="00190923" w:rsidRPr="00981405">
        <w:t xml:space="preserve"> </w:t>
      </w:r>
      <w:r w:rsidRPr="00981405">
        <w:t>as</w:t>
      </w:r>
      <w:r w:rsidR="00190923" w:rsidRPr="00981405">
        <w:t xml:space="preserve"> </w:t>
      </w:r>
      <w:r w:rsidRPr="00981405">
        <w:t>a</w:t>
      </w:r>
      <w:r w:rsidR="00190923" w:rsidRPr="00981405">
        <w:t xml:space="preserve"> </w:t>
      </w:r>
      <w:r w:rsidRPr="00981405">
        <w:t>justification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Pr="00981405">
        <w:rPr>
          <w:rStyle w:val="FootnoteReference"/>
        </w:rPr>
        <w:footnoteReference w:id="83"/>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51" w:name="_Toc427938111"/>
      <w:r w:rsidRPr="00D97463">
        <w:t>2.</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articles</w:t>
      </w:r>
      <w:r w:rsidR="00190923" w:rsidRPr="00D97463">
        <w:t xml:space="preserve"> </w:t>
      </w:r>
      <w:r w:rsidRPr="00D97463">
        <w:t>and</w:t>
      </w:r>
      <w:r w:rsidR="00190923" w:rsidRPr="00D97463">
        <w:t xml:space="preserve"> </w:t>
      </w:r>
      <w:r w:rsidRPr="00D97463">
        <w:t>commentaries</w:t>
      </w:r>
      <w:r w:rsidR="00190923" w:rsidRPr="00D97463">
        <w:t xml:space="preserve"> </w:t>
      </w:r>
      <w:r w:rsidRPr="00D97463">
        <w:t>thereto,</w:t>
      </w:r>
      <w:r w:rsidR="00190923" w:rsidRPr="00D97463">
        <w:t xml:space="preserve"> </w:t>
      </w:r>
      <w:r w:rsidRPr="00D97463">
        <w:t>as</w:t>
      </w:r>
      <w:r w:rsidR="00190923" w:rsidRPr="00D97463">
        <w:t xml:space="preserve"> </w:t>
      </w:r>
      <w:r w:rsidRPr="00D97463">
        <w:t>provisionally</w:t>
      </w:r>
      <w:r w:rsidR="00190923" w:rsidRPr="00D97463">
        <w:t xml:space="preserve"> </w:t>
      </w:r>
      <w:r w:rsidRPr="00D97463">
        <w:t>adopted</w:t>
      </w:r>
      <w:r w:rsidR="00190923" w:rsidRPr="00D97463">
        <w:t xml:space="preserve"> </w:t>
      </w:r>
      <w:r w:rsidRPr="00D97463">
        <w:t>by</w:t>
      </w:r>
      <w:r w:rsidR="00190923" w:rsidRPr="00D97463">
        <w:t xml:space="preserve"> </w:t>
      </w:r>
      <w:r w:rsidRPr="00D97463">
        <w:t>the</w:t>
      </w:r>
      <w:r w:rsidR="00190923" w:rsidRPr="00D97463">
        <w:t xml:space="preserve"> </w:t>
      </w:r>
      <w:r w:rsidRPr="00D97463">
        <w:t>Commission</w:t>
      </w:r>
      <w:r w:rsidR="00190923" w:rsidRPr="00D97463">
        <w:t xml:space="preserve"> </w:t>
      </w:r>
      <w:r w:rsidRPr="00D97463">
        <w:t>at</w:t>
      </w:r>
      <w:r w:rsidR="00190923" w:rsidRPr="00D97463">
        <w:t xml:space="preserve"> </w:t>
      </w:r>
      <w:r w:rsidRPr="00D97463">
        <w:t>its</w:t>
      </w:r>
      <w:r w:rsidR="00190923" w:rsidRPr="00D97463">
        <w:t xml:space="preserve"> </w:t>
      </w:r>
      <w:r w:rsidRPr="00D97463">
        <w:t>sixty-seventh</w:t>
      </w:r>
      <w:r w:rsidR="00190923" w:rsidRPr="00D97463">
        <w:t xml:space="preserve"> </w:t>
      </w:r>
      <w:r w:rsidRPr="00D97463">
        <w:t>session</w:t>
      </w:r>
      <w:bookmarkEnd w:id="51"/>
    </w:p>
    <w:p w:rsidR="00A84604" w:rsidRPr="00D97463" w:rsidRDefault="00A84604" w:rsidP="00D97463">
      <w:pPr>
        <w:pStyle w:val="SingleTxt"/>
        <w:spacing w:after="0" w:line="120" w:lineRule="exact"/>
        <w:rPr>
          <w:sz w:val="10"/>
        </w:rPr>
      </w:pPr>
    </w:p>
    <w:p w:rsidR="00397032" w:rsidRPr="00981405" w:rsidRDefault="00397032" w:rsidP="00D97463">
      <w:pPr>
        <w:pStyle w:val="SingleTxt"/>
      </w:pPr>
      <w:r w:rsidRPr="00981405">
        <w:t>117.</w:t>
      </w:r>
      <w:r w:rsidRPr="00981405">
        <w:tab/>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commentaries,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is</w:t>
      </w:r>
      <w:r w:rsidR="00190923" w:rsidRPr="00981405">
        <w:t xml:space="preserve"> </w:t>
      </w:r>
      <w:r w:rsidRPr="00981405">
        <w:t>reproduced</w:t>
      </w:r>
      <w:r w:rsidR="00190923" w:rsidRPr="00981405">
        <w:t xml:space="preserve"> </w:t>
      </w:r>
      <w:r w:rsidRPr="00981405">
        <w:t>below.</w:t>
      </w:r>
    </w:p>
    <w:p w:rsidR="00397032" w:rsidRPr="00D97463" w:rsidRDefault="00397032" w:rsidP="00D97463">
      <w:pPr>
        <w:pStyle w:val="SingleTxt"/>
        <w:ind w:left="1742"/>
        <w:jc w:val="left"/>
        <w:rPr>
          <w:b/>
          <w:bCs/>
        </w:rPr>
      </w:pPr>
      <w:r w:rsidRPr="00D97463">
        <w:rPr>
          <w:b/>
          <w:bCs/>
        </w:rPr>
        <w:t>Article</w:t>
      </w:r>
      <w:r w:rsidR="00190923" w:rsidRPr="00981405">
        <w:rPr>
          <w:b/>
          <w:bCs/>
        </w:rPr>
        <w:t xml:space="preserve"> </w:t>
      </w:r>
      <w:r w:rsidRPr="00D97463">
        <w:rPr>
          <w:b/>
          <w:bCs/>
        </w:rPr>
        <w:t>1</w:t>
      </w:r>
      <w:r w:rsidRPr="00D97463">
        <w:rPr>
          <w:b/>
          <w:bCs/>
        </w:rPr>
        <w:br/>
        <w:t>Scope</w:t>
      </w:r>
    </w:p>
    <w:p w:rsidR="00397032" w:rsidRPr="00981405" w:rsidRDefault="00397032" w:rsidP="00D97463">
      <w:pPr>
        <w:pStyle w:val="SingleTxt"/>
        <w:ind w:left="1742"/>
      </w:pP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and</w:t>
      </w:r>
      <w:r w:rsidR="00190923" w:rsidRPr="00981405">
        <w:t xml:space="preserve"> </w:t>
      </w:r>
      <w:r w:rsidRPr="00981405">
        <w:t>punishment</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52" w:name="_Toc427938112"/>
      <w:r w:rsidRPr="00D97463">
        <w:t>Commentary</w:t>
      </w:r>
      <w:bookmarkEnd w:id="5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Draft</w:t>
      </w:r>
      <w:r w:rsidR="00190923" w:rsidRPr="00981405">
        <w:t xml:space="preserve"> </w:t>
      </w:r>
      <w:r w:rsidRPr="00981405">
        <w:t>article</w:t>
      </w:r>
      <w:r w:rsidR="00190923" w:rsidRPr="00981405">
        <w:t xml:space="preserve"> </w:t>
      </w:r>
      <w:r w:rsidRPr="00981405">
        <w:t>1</w:t>
      </w:r>
      <w:r w:rsidR="00190923" w:rsidRPr="00981405">
        <w:t xml:space="preserve"> </w:t>
      </w:r>
      <w:r w:rsidRPr="00981405">
        <w:t>establishes</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by</w:t>
      </w:r>
      <w:r w:rsidR="00190923" w:rsidRPr="00981405">
        <w:t xml:space="preserve"> </w:t>
      </w:r>
      <w:r w:rsidRPr="00981405">
        <w:t>indicating</w:t>
      </w:r>
      <w:r w:rsidR="00190923" w:rsidRPr="00981405">
        <w:t xml:space="preserve"> </w:t>
      </w:r>
      <w:r w:rsidRPr="00981405">
        <w:t>that</w:t>
      </w:r>
      <w:r w:rsidR="00190923" w:rsidRPr="00981405">
        <w:t xml:space="preserve"> </w:t>
      </w:r>
      <w:r w:rsidRPr="00981405">
        <w:t>they</w:t>
      </w:r>
      <w:r w:rsidR="00190923" w:rsidRPr="00981405">
        <w:t xml:space="preserve"> </w:t>
      </w:r>
      <w:r w:rsidRPr="00981405">
        <w:t>apply</w:t>
      </w:r>
      <w:r w:rsidR="00190923" w:rsidRPr="00981405">
        <w:t xml:space="preserve"> </w:t>
      </w:r>
      <w:r w:rsidRPr="00981405">
        <w:t>both</w:t>
      </w:r>
      <w:r w:rsidR="00190923" w:rsidRPr="00981405">
        <w:t xml:space="preserve"> </w:t>
      </w:r>
      <w:r w:rsidRPr="00981405">
        <w:t>to</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and</w:t>
      </w:r>
      <w:r w:rsidR="00190923" w:rsidRPr="00981405">
        <w:t xml:space="preserve"> </w:t>
      </w:r>
      <w:r w:rsidRPr="00981405">
        <w:t>to</w:t>
      </w:r>
      <w:r w:rsidR="00190923" w:rsidRPr="00981405">
        <w:t xml:space="preserve"> </w:t>
      </w:r>
      <w:r w:rsidRPr="00981405">
        <w:t>the</w:t>
      </w:r>
      <w:r w:rsidR="00190923" w:rsidRPr="00981405">
        <w:t xml:space="preserve"> </w:t>
      </w:r>
      <w:r w:rsidRPr="00981405">
        <w:t>punishment</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Prevention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is</w:t>
      </w:r>
      <w:r w:rsidR="00190923" w:rsidRPr="00981405">
        <w:t xml:space="preserve"> </w:t>
      </w:r>
      <w:r w:rsidRPr="00981405">
        <w:t>focused</w:t>
      </w:r>
      <w:r w:rsidR="00190923" w:rsidRPr="00981405">
        <w:t xml:space="preserve"> </w:t>
      </w:r>
      <w:r w:rsidRPr="00981405">
        <w:t>on</w:t>
      </w:r>
      <w:r w:rsidR="00190923" w:rsidRPr="00981405">
        <w:t xml:space="preserve"> </w:t>
      </w:r>
      <w:r w:rsidRPr="00981405">
        <w:t>precluding</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such</w:t>
      </w:r>
      <w:r w:rsidR="00190923" w:rsidRPr="00981405">
        <w:t xml:space="preserve"> </w:t>
      </w:r>
      <w:r w:rsidRPr="00981405">
        <w:t>offenses,</w:t>
      </w:r>
      <w:r w:rsidR="00190923" w:rsidRPr="00981405">
        <w:t xml:space="preserve"> </w:t>
      </w:r>
      <w:r w:rsidRPr="00981405">
        <w:t>while</w:t>
      </w:r>
      <w:r w:rsidR="00190923" w:rsidRPr="00981405">
        <w:t xml:space="preserve"> </w:t>
      </w:r>
      <w:r w:rsidRPr="00981405">
        <w:t>punishment</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is</w:t>
      </w:r>
      <w:r w:rsidR="00190923" w:rsidRPr="00981405">
        <w:t xml:space="preserve"> </w:t>
      </w:r>
      <w:r w:rsidRPr="00981405">
        <w:t>focused</w:t>
      </w:r>
      <w:r w:rsidR="00190923" w:rsidRPr="00981405">
        <w:t xml:space="preserve"> </w:t>
      </w:r>
      <w:r w:rsidRPr="00981405">
        <w:t>on</w:t>
      </w:r>
      <w:r w:rsidR="00190923" w:rsidRPr="00981405">
        <w:t xml:space="preserve"> </w:t>
      </w:r>
      <w:r w:rsidRPr="00981405">
        <w:t>criminal</w:t>
      </w:r>
      <w:r w:rsidR="00190923" w:rsidRPr="00981405">
        <w:t xml:space="preserve"> </w:t>
      </w:r>
      <w:r w:rsidRPr="00981405">
        <w:t>proceedings</w:t>
      </w:r>
      <w:r w:rsidR="00190923" w:rsidRPr="00981405">
        <w:t xml:space="preserve"> </w:t>
      </w:r>
      <w:r w:rsidRPr="00981405">
        <w:t>against</w:t>
      </w:r>
      <w:r w:rsidR="00190923" w:rsidRPr="00981405">
        <w:t xml:space="preserve"> </w:t>
      </w:r>
      <w:r w:rsidRPr="00981405">
        <w:t>persons</w:t>
      </w:r>
      <w:r w:rsidR="00190923" w:rsidRPr="00981405">
        <w:t xml:space="preserve"> </w:t>
      </w:r>
      <w:r w:rsidRPr="00981405">
        <w:t>after</w:t>
      </w:r>
      <w:r w:rsidR="00190923" w:rsidRPr="00981405">
        <w:t xml:space="preserve"> </w:t>
      </w:r>
      <w:r w:rsidRPr="00981405">
        <w:t>such</w:t>
      </w:r>
      <w:r w:rsidR="00190923" w:rsidRPr="00981405">
        <w:t xml:space="preserve"> </w:t>
      </w:r>
      <w:r w:rsidRPr="00981405">
        <w:t>crimes</w:t>
      </w:r>
      <w:r w:rsidR="00190923" w:rsidRPr="00981405">
        <w:t xml:space="preserve"> </w:t>
      </w:r>
      <w:r w:rsidRPr="00981405">
        <w:t>have</w:t>
      </w:r>
      <w:r w:rsidR="00190923" w:rsidRPr="00981405">
        <w:t xml:space="preserve"> </w:t>
      </w:r>
      <w:r w:rsidRPr="00981405">
        <w:t>occurred</w:t>
      </w:r>
      <w:r w:rsidR="00190923" w:rsidRPr="00981405">
        <w:t xml:space="preserve"> </w:t>
      </w:r>
      <w:r w:rsidRPr="00981405">
        <w:t>or</w:t>
      </w:r>
      <w:r w:rsidR="00190923" w:rsidRPr="00981405">
        <w:t xml:space="preserve"> </w:t>
      </w:r>
      <w:r w:rsidRPr="00981405">
        <w:t>when</w:t>
      </w:r>
      <w:r w:rsidR="00190923" w:rsidRPr="00981405">
        <w:t xml:space="preserve"> </w:t>
      </w:r>
      <w:r w:rsidRPr="00981405">
        <w:t>they</w:t>
      </w:r>
      <w:r w:rsidR="00190923" w:rsidRPr="00981405">
        <w:t xml:space="preserve"> </w:t>
      </w:r>
      <w:r w:rsidRPr="00981405">
        <w:t>are</w:t>
      </w:r>
      <w:r w:rsidR="00190923" w:rsidRPr="00981405">
        <w:t xml:space="preserve"> </w:t>
      </w:r>
      <w:r w:rsidRPr="00981405">
        <w:t>in</w:t>
      </w:r>
      <w:r w:rsidR="00190923" w:rsidRPr="00981405">
        <w:t xml:space="preserve"> </w:t>
      </w:r>
      <w:r w:rsidRPr="00981405">
        <w:t>the</w:t>
      </w:r>
      <w:r w:rsidR="00190923" w:rsidRPr="00981405">
        <w:t xml:space="preserve"> </w:t>
      </w:r>
      <w:r w:rsidRPr="00981405">
        <w:t>process</w:t>
      </w:r>
      <w:r w:rsidR="00190923" w:rsidRPr="00981405">
        <w:t xml:space="preserve"> </w:t>
      </w:r>
      <w:r w:rsidRPr="00981405">
        <w:t>of</w:t>
      </w:r>
      <w:r w:rsidR="00190923" w:rsidRPr="00981405">
        <w:t xml:space="preserve"> </w:t>
      </w:r>
      <w:r w:rsidRPr="00981405">
        <w:t>being</w:t>
      </w:r>
      <w:r w:rsidR="00190923" w:rsidRPr="00981405">
        <w:t xml:space="preserve"> </w:t>
      </w:r>
      <w:r w:rsidRPr="00981405">
        <w:t>committed.</w:t>
      </w:r>
    </w:p>
    <w:p w:rsidR="00397032" w:rsidRPr="00981405" w:rsidRDefault="00397032" w:rsidP="00D97463">
      <w:pPr>
        <w:pStyle w:val="SingleTxt"/>
      </w:pPr>
      <w:r w:rsidRPr="00981405">
        <w:t>(2)</w:t>
      </w:r>
      <w:r w:rsidRPr="00981405">
        <w:tab/>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focus</w:t>
      </w:r>
      <w:r w:rsidR="00190923" w:rsidRPr="00981405">
        <w:t xml:space="preserve"> </w:t>
      </w:r>
      <w:r w:rsidRPr="00981405">
        <w:t>solely</w:t>
      </w:r>
      <w:r w:rsidR="00190923" w:rsidRPr="00981405">
        <w:t xml:space="preserve"> </w:t>
      </w:r>
      <w:r w:rsidRPr="00981405">
        <w:t>on</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which</w:t>
      </w:r>
      <w:r w:rsidR="00190923" w:rsidRPr="00981405">
        <w:t xml:space="preserve"> </w:t>
      </w:r>
      <w:r w:rsidRPr="00981405">
        <w:t>are</w:t>
      </w:r>
      <w:r w:rsidR="00190923" w:rsidRPr="00981405">
        <w:t xml:space="preserve"> </w:t>
      </w:r>
      <w:r w:rsidRPr="00981405">
        <w:t>grave</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wherever</w:t>
      </w:r>
      <w:r w:rsidR="00190923" w:rsidRPr="00981405">
        <w:t xml:space="preserve"> </w:t>
      </w:r>
      <w:r w:rsidRPr="00981405">
        <w:t>they</w:t>
      </w:r>
      <w:r w:rsidR="00190923" w:rsidRPr="00981405">
        <w:t xml:space="preserve"> </w:t>
      </w:r>
      <w:r w:rsidRPr="00981405">
        <w:t>occur.</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do</w:t>
      </w:r>
      <w:r w:rsidR="00190923" w:rsidRPr="00981405">
        <w:t xml:space="preserve"> </w:t>
      </w:r>
      <w:r w:rsidRPr="00981405">
        <w:t>not</w:t>
      </w:r>
      <w:r w:rsidR="00190923" w:rsidRPr="00981405">
        <w:t xml:space="preserve"> </w:t>
      </w:r>
      <w:r w:rsidRPr="00981405">
        <w:t>address</w:t>
      </w:r>
      <w:r w:rsidR="00190923" w:rsidRPr="00981405">
        <w:t xml:space="preserve"> </w:t>
      </w:r>
      <w:r w:rsidRPr="00981405">
        <w:t>other</w:t>
      </w:r>
      <w:r w:rsidR="00190923" w:rsidRPr="00981405">
        <w:t xml:space="preserve"> </w:t>
      </w:r>
      <w:r w:rsidRPr="00981405">
        <w:t>grave</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such</w:t>
      </w:r>
      <w:r w:rsidR="00190923" w:rsidRPr="00981405">
        <w:t xml:space="preserve"> </w:t>
      </w:r>
      <w:r w:rsidRPr="00981405">
        <w:t>as</w:t>
      </w:r>
      <w:r w:rsidR="00190923" w:rsidRPr="00981405">
        <w:t xml:space="preserve"> </w:t>
      </w:r>
      <w:r w:rsidRPr="00981405">
        <w:t>genocide,</w:t>
      </w:r>
      <w:r w:rsidR="00190923" w:rsidRPr="00981405">
        <w:t xml:space="preserve"> </w:t>
      </w:r>
      <w:r w:rsidRPr="00981405">
        <w:t>war</w:t>
      </w:r>
      <w:r w:rsidR="00190923" w:rsidRPr="00981405">
        <w:t xml:space="preserve"> </w:t>
      </w:r>
      <w:r w:rsidRPr="00981405">
        <w:t>crimes</w:t>
      </w:r>
      <w:r w:rsidR="00190923" w:rsidRPr="00981405">
        <w:t xml:space="preserve"> </w:t>
      </w:r>
      <w:r w:rsidRPr="00981405">
        <w:t>or</w:t>
      </w:r>
      <w:r w:rsidR="00190923" w:rsidRPr="00981405">
        <w:t xml:space="preserve"> </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aggression.</w:t>
      </w:r>
      <w:r w:rsidR="00190923" w:rsidRPr="00981405">
        <w:t xml:space="preserve"> </w:t>
      </w:r>
      <w:r w:rsidRPr="00981405">
        <w:t>Although</w:t>
      </w:r>
      <w:r w:rsidR="00190923" w:rsidRPr="00981405">
        <w:t xml:space="preserve"> </w:t>
      </w:r>
      <w:r w:rsidRPr="00981405">
        <w:t>a</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this</w:t>
      </w:r>
      <w:r w:rsidR="00190923" w:rsidRPr="00981405">
        <w:t xml:space="preserve"> </w:t>
      </w:r>
      <w:r w:rsidRPr="00981405">
        <w:t>topic</w:t>
      </w:r>
      <w:r w:rsidR="00190923" w:rsidRPr="00981405">
        <w:t xml:space="preserve"> </w:t>
      </w:r>
      <w:r w:rsidRPr="00981405">
        <w:t>might</w:t>
      </w:r>
      <w:r w:rsidR="00190923" w:rsidRPr="00981405">
        <w:t xml:space="preserve"> </w:t>
      </w:r>
      <w:r w:rsidRPr="00981405">
        <w:t>include</w:t>
      </w:r>
      <w:r w:rsidR="00190923" w:rsidRPr="00981405">
        <w:t xml:space="preserve"> </w:t>
      </w:r>
      <w:r w:rsidRPr="00981405">
        <w:t>those</w:t>
      </w:r>
      <w:r w:rsidR="00190923" w:rsidRPr="00981405">
        <w:t xml:space="preserve"> </w:t>
      </w:r>
      <w:r w:rsidRPr="00981405">
        <w:t>crimes</w:t>
      </w:r>
      <w:r w:rsidR="00190923" w:rsidRPr="00981405">
        <w:t xml:space="preserve"> </w:t>
      </w:r>
      <w:r w:rsidRPr="00981405">
        <w:t>as</w:t>
      </w:r>
      <w:r w:rsidR="00190923" w:rsidRPr="00981405">
        <w:t xml:space="preserve"> </w:t>
      </w:r>
      <w:r w:rsidRPr="00981405">
        <w:t>well,</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focus</w:t>
      </w:r>
      <w:r w:rsidR="00190923" w:rsidRPr="00981405">
        <w:t xml:space="preserve"> </w:t>
      </w:r>
      <w:r w:rsidRPr="00981405">
        <w:t>on</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p>
    <w:p w:rsidR="00397032" w:rsidRPr="00981405" w:rsidRDefault="00397032" w:rsidP="00D97463">
      <w:pPr>
        <w:pStyle w:val="SingleTxt"/>
      </w:pPr>
      <w:r w:rsidRPr="00981405">
        <w:t>(3)</w:t>
      </w:r>
      <w:r w:rsidRPr="00981405">
        <w:tab/>
        <w:t>Further,</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avoid</w:t>
      </w:r>
      <w:r w:rsidR="00190923" w:rsidRPr="00981405">
        <w:t xml:space="preserve"> </w:t>
      </w:r>
      <w:r w:rsidRPr="00981405">
        <w:t>any</w:t>
      </w:r>
      <w:r w:rsidR="00190923" w:rsidRPr="00981405">
        <w:t xml:space="preserve"> </w:t>
      </w:r>
      <w:r w:rsidRPr="00981405">
        <w:t>conflicts</w:t>
      </w:r>
      <w:r w:rsidR="00190923" w:rsidRPr="00981405">
        <w:t xml:space="preserve"> </w:t>
      </w:r>
      <w:r w:rsidRPr="00981405">
        <w:t>with</w:t>
      </w:r>
      <w:r w:rsidR="00190923" w:rsidRPr="00981405">
        <w:t xml:space="preserve"> </w:t>
      </w:r>
      <w:r w:rsidRPr="00981405">
        <w:t>relevant</w:t>
      </w:r>
      <w:r w:rsidR="00190923" w:rsidRPr="00981405">
        <w:t xml:space="preserve"> </w:t>
      </w:r>
      <w:r w:rsidRPr="00981405">
        <w:t>existing</w:t>
      </w:r>
      <w:r w:rsidR="00190923" w:rsidRPr="00981405">
        <w:t xml:space="preserve"> </w:t>
      </w:r>
      <w:r w:rsidRPr="00981405">
        <w:t>treaties.</w:t>
      </w:r>
      <w:r w:rsidR="00190923" w:rsidRPr="00981405">
        <w:t xml:space="preserve"> </w:t>
      </w:r>
      <w:r w:rsidRPr="00981405">
        <w:t>For</w:t>
      </w:r>
      <w:r w:rsidR="00190923" w:rsidRPr="00981405">
        <w:t xml:space="preserve"> </w:t>
      </w:r>
      <w:r w:rsidRPr="00981405">
        <w:t>example,</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avoid</w:t>
      </w:r>
      <w:r w:rsidR="00190923" w:rsidRPr="00981405">
        <w:t xml:space="preserve"> </w:t>
      </w:r>
      <w:r w:rsidRPr="00981405">
        <w:t>conflicts</w:t>
      </w:r>
      <w:r w:rsidR="00190923" w:rsidRPr="00981405">
        <w:t xml:space="preserve"> </w:t>
      </w:r>
      <w:r w:rsidRPr="00981405">
        <w:t>with</w:t>
      </w:r>
      <w:r w:rsidR="00190923" w:rsidRPr="00981405">
        <w:t xml:space="preserve"> </w:t>
      </w:r>
      <w:r w:rsidRPr="00981405">
        <w:t>treaties</w:t>
      </w:r>
      <w:r w:rsidR="00190923" w:rsidRPr="00981405">
        <w:t xml:space="preserve"> </w:t>
      </w:r>
      <w:r w:rsidRPr="00981405">
        <w:t>relating</w:t>
      </w:r>
      <w:r w:rsidR="00190923" w:rsidRPr="00981405">
        <w:t xml:space="preserve"> </w:t>
      </w:r>
      <w:r w:rsidRPr="00981405">
        <w:t>to</w:t>
      </w:r>
      <w:r w:rsidR="00190923" w:rsidRPr="00981405">
        <w:t xml:space="preserve"> </w:t>
      </w:r>
      <w:r w:rsidRPr="00981405">
        <w:t>statutes</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refugees,</w:t>
      </w:r>
      <w:r w:rsidR="00190923" w:rsidRPr="00981405">
        <w:t xml:space="preserve"> </w:t>
      </w:r>
      <w:r w:rsidRPr="00981405">
        <w:t>enforced</w:t>
      </w:r>
      <w:r w:rsidR="00190923" w:rsidRPr="00981405">
        <w:t xml:space="preserve"> </w:t>
      </w:r>
      <w:r w:rsidRPr="00981405">
        <w:t>disappearances,</w:t>
      </w:r>
      <w:r w:rsidR="00190923" w:rsidRPr="00981405">
        <w:t xml:space="preserve"> </w:t>
      </w:r>
      <w:r w:rsidRPr="00981405">
        <w:t>and</w:t>
      </w:r>
      <w:r w:rsidR="00190923" w:rsidRPr="00981405">
        <w:t xml:space="preserve"> </w:t>
      </w:r>
      <w:r w:rsidRPr="00981405">
        <w:t>other</w:t>
      </w:r>
      <w:r w:rsidR="00190923" w:rsidRPr="00981405">
        <w:t xml:space="preserve"> </w:t>
      </w:r>
      <w:r w:rsidRPr="00981405">
        <w:t>matters</w:t>
      </w:r>
      <w:r w:rsidR="00190923" w:rsidRPr="00981405">
        <w:t xml:space="preserve"> </w:t>
      </w:r>
      <w:r w:rsidRPr="00981405">
        <w:t>relating</w:t>
      </w:r>
      <w:r w:rsidR="00190923" w:rsidRPr="00981405">
        <w:t xml:space="preserve"> </w:t>
      </w:r>
      <w:r w:rsidRPr="00981405">
        <w:t>to</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w:t>
      </w:r>
      <w:r w:rsidR="00190923" w:rsidRPr="00981405">
        <w:t xml:space="preserve"> </w:t>
      </w:r>
      <w:r w:rsidRPr="00981405">
        <w:t>due</w:t>
      </w:r>
      <w:r w:rsidR="00190923" w:rsidRPr="00981405">
        <w:t xml:space="preserve"> </w:t>
      </w:r>
      <w:r w:rsidRPr="00981405">
        <w:t>course,</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be</w:t>
      </w:r>
      <w:r w:rsidR="00190923" w:rsidRPr="00981405">
        <w:t xml:space="preserve"> </w:t>
      </w:r>
      <w:r w:rsidRPr="00981405">
        <w:t>considered</w:t>
      </w:r>
      <w:r w:rsidR="00190923" w:rsidRPr="00981405">
        <w:t xml:space="preserve"> </w:t>
      </w:r>
      <w:r w:rsidRPr="00981405">
        <w:t>to</w:t>
      </w:r>
      <w:r w:rsidR="00190923" w:rsidRPr="00981405">
        <w:t xml:space="preserve"> </w:t>
      </w:r>
      <w:r w:rsidRPr="00981405">
        <w:t>address</w:t>
      </w:r>
      <w:r w:rsidR="00190923" w:rsidRPr="00981405">
        <w:t xml:space="preserve"> </w:t>
      </w:r>
      <w:r w:rsidRPr="00981405">
        <w:t>any</w:t>
      </w:r>
      <w:r w:rsidR="00190923" w:rsidRPr="00981405">
        <w:t xml:space="preserve"> </w:t>
      </w:r>
      <w:r w:rsidRPr="00981405">
        <w:t>such</w:t>
      </w:r>
      <w:r w:rsidR="00190923" w:rsidRPr="00981405">
        <w:t xml:space="preserve"> </w:t>
      </w:r>
      <w:r w:rsidRPr="00981405">
        <w:t>conflicts.</w:t>
      </w:r>
    </w:p>
    <w:p w:rsidR="00397032" w:rsidRPr="00981405" w:rsidRDefault="00397032" w:rsidP="00D97463">
      <w:pPr>
        <w:pStyle w:val="SingleTxt"/>
      </w:pPr>
      <w:r w:rsidRPr="00981405">
        <w:t>(4)</w:t>
      </w:r>
      <w:r w:rsidRPr="00981405">
        <w:tab/>
        <w:t>Likewise,</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avoid</w:t>
      </w:r>
      <w:r w:rsidR="00190923" w:rsidRPr="00981405">
        <w:t xml:space="preserve"> </w:t>
      </w:r>
      <w:r w:rsidRPr="00981405">
        <w:t>any</w:t>
      </w:r>
      <w:r w:rsidR="00190923" w:rsidRPr="00981405">
        <w:t xml:space="preserve"> </w:t>
      </w:r>
      <w:r w:rsidRPr="00981405">
        <w:t>conflicts</w:t>
      </w:r>
      <w:r w:rsidR="00190923" w:rsidRPr="00981405">
        <w:t xml:space="preserve"> </w:t>
      </w:r>
      <w:r w:rsidRPr="00981405">
        <w:t>with</w:t>
      </w:r>
      <w:r w:rsidR="00190923" w:rsidRPr="00981405">
        <w:t xml:space="preserve"> </w:t>
      </w:r>
      <w:r w:rsidRPr="00981405">
        <w:t>the</w:t>
      </w:r>
      <w:r w:rsidR="00190923" w:rsidRPr="00981405">
        <w:t xml:space="preserve"> </w:t>
      </w:r>
      <w:r w:rsidRPr="00981405">
        <w:t>obligations</w:t>
      </w:r>
      <w:r w:rsidR="00190923" w:rsidRPr="00981405">
        <w:t xml:space="preserve"> </w:t>
      </w:r>
      <w:r w:rsidRPr="00981405">
        <w:t>of</w:t>
      </w:r>
      <w:r w:rsidR="00190923" w:rsidRPr="00981405">
        <w:t xml:space="preserve"> </w:t>
      </w:r>
      <w:r w:rsidRPr="00981405">
        <w:t>States</w:t>
      </w:r>
      <w:r w:rsidR="00190923" w:rsidRPr="00981405">
        <w:t xml:space="preserve"> </w:t>
      </w:r>
      <w:r w:rsidRPr="00981405">
        <w:t>arising</w:t>
      </w:r>
      <w:r w:rsidR="00190923" w:rsidRPr="00981405">
        <w:t xml:space="preserve"> </w:t>
      </w:r>
      <w:r w:rsidRPr="00981405">
        <w:t>under</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w:t>
      </w:r>
      <w:r w:rsidR="00190923" w:rsidRPr="00981405">
        <w:t xml:space="preserve"> </w:t>
      </w:r>
      <w:r w:rsidR="00B92E2C" w:rsidRPr="00981405">
        <w:t>“</w:t>
      </w:r>
      <w:r w:rsidRPr="00981405">
        <w:t>hybrid</w:t>
      </w:r>
      <w:r w:rsidR="00B92E2C" w:rsidRPr="00981405">
        <w:t>”</w:t>
      </w:r>
      <w:r w:rsidR="00190923" w:rsidRPr="00981405">
        <w:t xml:space="preserve"> </w:t>
      </w:r>
      <w:r w:rsidRPr="00981405">
        <w:t>(containing</w:t>
      </w:r>
      <w:r w:rsidR="00190923" w:rsidRPr="00981405">
        <w:t xml:space="preserve"> </w:t>
      </w:r>
      <w:r w:rsidRPr="00981405">
        <w:t>a</w:t>
      </w:r>
      <w:r w:rsidR="00190923" w:rsidRPr="00981405">
        <w:t xml:space="preserve"> </w:t>
      </w:r>
      <w:r w:rsidRPr="00981405">
        <w:t>mixture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national</w:t>
      </w:r>
      <w:r w:rsidR="00190923" w:rsidRPr="00981405">
        <w:t xml:space="preserve"> </w:t>
      </w:r>
      <w:r w:rsidRPr="00981405">
        <w:t>law</w:t>
      </w:r>
      <w:r w:rsidR="00190923" w:rsidRPr="00981405">
        <w:t xml:space="preserve"> </w:t>
      </w:r>
      <w:r w:rsidRPr="00981405">
        <w:t>elements)</w:t>
      </w:r>
      <w:r w:rsidR="00190923" w:rsidRPr="00981405">
        <w:t xml:space="preserve"> </w:t>
      </w:r>
      <w:r w:rsidRPr="00981405">
        <w:t>criminal</w:t>
      </w:r>
      <w:r w:rsidR="00190923" w:rsidRPr="00981405">
        <w:t xml:space="preserve"> </w:t>
      </w:r>
      <w:r w:rsidRPr="00981405">
        <w:t>courts</w:t>
      </w:r>
      <w:r w:rsidR="00190923" w:rsidRPr="00981405">
        <w:t xml:space="preserve"> </w:t>
      </w:r>
      <w:r w:rsidRPr="00981405">
        <w:lastRenderedPageBreak/>
        <w:t>or</w:t>
      </w:r>
      <w:r w:rsidR="00190923" w:rsidRPr="00981405">
        <w:t xml:space="preserve"> </w:t>
      </w:r>
      <w:r w:rsidRPr="00981405">
        <w:t>tribunals,</w:t>
      </w:r>
      <w:r w:rsidR="00190923" w:rsidRPr="00981405">
        <w:t xml:space="preserve"> </w:t>
      </w:r>
      <w:r w:rsidRPr="00981405">
        <w:t>including</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Court</w:t>
      </w:r>
      <w:r w:rsidR="00190923" w:rsidRPr="00981405">
        <w:t xml:space="preserve"> </w:t>
      </w:r>
      <w:r w:rsidRPr="00981405">
        <w:t>(hereinafter</w:t>
      </w:r>
      <w:r w:rsidR="00190923" w:rsidRPr="00981405">
        <w:t xml:space="preserve"> </w:t>
      </w:r>
      <w:r w:rsidR="00B92E2C" w:rsidRPr="00981405">
        <w:t>“</w:t>
      </w:r>
      <w:r w:rsidRPr="00981405">
        <w:t>ICC</w:t>
      </w:r>
      <w:r w:rsidR="00B92E2C" w:rsidRPr="00981405">
        <w:t>”</w:t>
      </w:r>
      <w:r w:rsidRPr="00981405">
        <w:t>).</w:t>
      </w:r>
      <w:r w:rsidR="00190923" w:rsidRPr="00981405">
        <w:t xml:space="preserve"> </w:t>
      </w:r>
      <w:r w:rsidRPr="00981405">
        <w:t>Whereas</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bookmarkStart w:id="53" w:name="_Ref295828966"/>
      <w:r w:rsidRPr="00981405">
        <w:rPr>
          <w:rStyle w:val="FootnoteReference"/>
        </w:rPr>
        <w:footnoteReference w:id="84"/>
      </w:r>
      <w:bookmarkEnd w:id="53"/>
      <w:r w:rsidR="00190923" w:rsidRPr="00981405">
        <w:t xml:space="preserve"> </w:t>
      </w:r>
      <w:r w:rsidRPr="00981405">
        <w:t>establishing</w:t>
      </w:r>
      <w:r w:rsidR="00190923" w:rsidRPr="00981405">
        <w:t xml:space="preserve"> </w:t>
      </w:r>
      <w:r w:rsidRPr="00981405">
        <w:t>the</w:t>
      </w:r>
      <w:r w:rsidR="00190923" w:rsidRPr="00981405">
        <w:t xml:space="preserve"> </w:t>
      </w:r>
      <w:r w:rsidRPr="00981405">
        <w:t>ICC</w:t>
      </w:r>
      <w:r w:rsidR="00190923" w:rsidRPr="00981405">
        <w:t xml:space="preserve"> </w:t>
      </w:r>
      <w:r w:rsidRPr="00981405">
        <w:t>regulates</w:t>
      </w:r>
      <w:r w:rsidR="00190923" w:rsidRPr="00981405">
        <w:t xml:space="preserve"> </w:t>
      </w:r>
      <w:r w:rsidRPr="00981405">
        <w:t>relations</w:t>
      </w:r>
      <w:r w:rsidR="00190923" w:rsidRPr="00981405">
        <w:t xml:space="preserve"> </w:t>
      </w:r>
      <w:r w:rsidRPr="00981405">
        <w:t>between</w:t>
      </w:r>
      <w:r w:rsidR="00190923" w:rsidRPr="00981405">
        <w:t xml:space="preserve"> </w:t>
      </w:r>
      <w:r w:rsidRPr="00981405">
        <w:t>the</w:t>
      </w:r>
      <w:r w:rsidR="00190923" w:rsidRPr="00981405">
        <w:t xml:space="preserve"> </w:t>
      </w:r>
      <w:r w:rsidRPr="00981405">
        <w:t>ICC</w:t>
      </w:r>
      <w:r w:rsidR="00190923" w:rsidRPr="00981405">
        <w:t xml:space="preserve"> </w:t>
      </w:r>
      <w:r w:rsidRPr="00981405">
        <w:t>and</w:t>
      </w:r>
      <w:r w:rsidR="00190923" w:rsidRPr="00981405">
        <w:t xml:space="preserve"> </w:t>
      </w:r>
      <w:r w:rsidRPr="00981405">
        <w:t>its</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(a</w:t>
      </w:r>
      <w:r w:rsidR="00190923" w:rsidRPr="00981405">
        <w:t xml:space="preserve"> </w:t>
      </w:r>
      <w:r w:rsidR="00B92E2C" w:rsidRPr="00981405">
        <w:t>“</w:t>
      </w:r>
      <w:r w:rsidRPr="00981405">
        <w:t>vertical</w:t>
      </w:r>
      <w:r w:rsidR="00B92E2C" w:rsidRPr="00981405">
        <w:t>”</w:t>
      </w:r>
      <w:r w:rsidR="00190923" w:rsidRPr="00981405">
        <w:t xml:space="preserve"> </w:t>
      </w:r>
      <w:r w:rsidRPr="00981405">
        <w:t>relationship),</w:t>
      </w:r>
      <w:r w:rsidR="00190923" w:rsidRPr="00981405">
        <w:t xml:space="preserve"> </w:t>
      </w:r>
      <w:r w:rsidRPr="00981405">
        <w:t>the</w:t>
      </w:r>
      <w:r w:rsidR="00190923" w:rsidRPr="00981405">
        <w:t xml:space="preserve"> </w:t>
      </w:r>
      <w:r w:rsidRPr="00981405">
        <w:t>focus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be</w:t>
      </w:r>
      <w:r w:rsidR="00190923" w:rsidRPr="00981405">
        <w:t xml:space="preserve"> </w:t>
      </w:r>
      <w:r w:rsidRPr="00981405">
        <w:t>on</w:t>
      </w:r>
      <w:r w:rsidR="00190923" w:rsidRPr="00981405">
        <w:t xml:space="preserve"> </w:t>
      </w:r>
      <w:r w:rsidRPr="00981405">
        <w:t>the</w:t>
      </w:r>
      <w:r w:rsidR="00190923" w:rsidRPr="00981405">
        <w:t xml:space="preserve"> </w:t>
      </w:r>
      <w:r w:rsidRPr="00981405">
        <w:t>adoption</w:t>
      </w:r>
      <w:r w:rsidR="00190923" w:rsidRPr="00981405">
        <w:t xml:space="preserve"> </w:t>
      </w:r>
      <w:r w:rsidRPr="00981405">
        <w:t>of</w:t>
      </w:r>
      <w:r w:rsidR="00190923" w:rsidRPr="00981405">
        <w:t xml:space="preserve"> </w:t>
      </w:r>
      <w:r w:rsidRPr="00981405">
        <w:t>national</w:t>
      </w:r>
      <w:r w:rsidR="00190923" w:rsidRPr="00981405">
        <w:t xml:space="preserve"> </w:t>
      </w:r>
      <w:r w:rsidRPr="00981405">
        <w:t>laws</w:t>
      </w:r>
      <w:r w:rsidR="00190923" w:rsidRPr="00981405">
        <w:t xml:space="preserve"> </w:t>
      </w:r>
      <w:r w:rsidRPr="00981405">
        <w:t>and</w:t>
      </w:r>
      <w:r w:rsidR="00190923" w:rsidRPr="00981405">
        <w:t xml:space="preserve"> </w:t>
      </w:r>
      <w:r w:rsidRPr="00981405">
        <w:t>on</w:t>
      </w:r>
      <w:r w:rsidR="00190923" w:rsidRPr="00981405">
        <w:t xml:space="preserve"> </w:t>
      </w:r>
      <w:r w:rsidRPr="00981405">
        <w:t>inter-State</w:t>
      </w:r>
      <w:r w:rsidR="00190923" w:rsidRPr="00981405">
        <w:t xml:space="preserve"> </w:t>
      </w:r>
      <w:r w:rsidRPr="00981405">
        <w:t>cooperation</w:t>
      </w:r>
      <w:r w:rsidR="00190923" w:rsidRPr="00981405">
        <w:t xml:space="preserve"> </w:t>
      </w:r>
      <w:r w:rsidRPr="00981405">
        <w:t>(a</w:t>
      </w:r>
      <w:r w:rsidR="00190923" w:rsidRPr="00981405">
        <w:t xml:space="preserve"> </w:t>
      </w:r>
      <w:r w:rsidR="00B92E2C" w:rsidRPr="00981405">
        <w:t>“</w:t>
      </w:r>
      <w:r w:rsidRPr="00981405">
        <w:t>horizontal</w:t>
      </w:r>
      <w:r w:rsidR="00B92E2C" w:rsidRPr="00981405">
        <w:t>”</w:t>
      </w:r>
      <w:r w:rsidR="00190923" w:rsidRPr="00981405">
        <w:t xml:space="preserve"> </w:t>
      </w:r>
      <w:r w:rsidRPr="00981405">
        <w:t>relationship).</w:t>
      </w:r>
      <w:r w:rsidR="00190923" w:rsidRPr="00981405">
        <w:t xml:space="preserve"> </w:t>
      </w:r>
      <w:r w:rsidRPr="00981405">
        <w:t>Part</w:t>
      </w:r>
      <w:r w:rsidR="00190923" w:rsidRPr="00981405">
        <w:t xml:space="preserve"> </w:t>
      </w:r>
      <w:r w:rsidRPr="00981405">
        <w:t>IX</w:t>
      </w:r>
      <w:r w:rsidR="00190923" w:rsidRPr="00981405">
        <w:t xml:space="preserve"> </w:t>
      </w:r>
      <w:r w:rsidRPr="00981405">
        <w:t>of</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on</w:t>
      </w:r>
      <w:r w:rsidR="00190923" w:rsidRPr="00981405">
        <w:t xml:space="preserve"> </w:t>
      </w:r>
      <w:r w:rsidR="00B92E2C" w:rsidRPr="00981405">
        <w:t>“</w:t>
      </w:r>
      <w:r w:rsidRPr="00981405">
        <w:t>International</w:t>
      </w:r>
      <w:r w:rsidR="00190923" w:rsidRPr="00981405">
        <w:t xml:space="preserve"> </w:t>
      </w:r>
      <w:r w:rsidRPr="00981405">
        <w:t>Cooperation</w:t>
      </w:r>
      <w:r w:rsidR="00190923" w:rsidRPr="00981405">
        <w:t xml:space="preserve"> </w:t>
      </w:r>
      <w:r w:rsidRPr="00981405">
        <w:t>and</w:t>
      </w:r>
      <w:r w:rsidR="00190923" w:rsidRPr="00981405">
        <w:t xml:space="preserve"> </w:t>
      </w:r>
      <w:r w:rsidRPr="00981405">
        <w:t>Judicial</w:t>
      </w:r>
      <w:r w:rsidR="00190923" w:rsidRPr="00981405">
        <w:t xml:space="preserve"> </w:t>
      </w:r>
      <w:r w:rsidRPr="00981405">
        <w:t>Assistance</w:t>
      </w:r>
      <w:r w:rsidR="00B92E2C" w:rsidRPr="00981405">
        <w:t>”</w:t>
      </w:r>
      <w:r w:rsidR="00190923" w:rsidRPr="00981405">
        <w:t xml:space="preserve"> </w:t>
      </w:r>
      <w:r w:rsidRPr="00981405">
        <w:t>assumes</w:t>
      </w:r>
      <w:r w:rsidR="00190923" w:rsidRPr="00981405">
        <w:t xml:space="preserve"> </w:t>
      </w:r>
      <w:r w:rsidRPr="00981405">
        <w:t>that</w:t>
      </w:r>
      <w:r w:rsidR="00190923" w:rsidRPr="00981405">
        <w:t xml:space="preserve"> </w:t>
      </w:r>
      <w:r w:rsidRPr="00981405">
        <w:t>inter-State</w:t>
      </w:r>
      <w:r w:rsidR="00190923" w:rsidRPr="00981405">
        <w:t xml:space="preserve"> </w:t>
      </w:r>
      <w:r w:rsidRPr="00981405">
        <w:t>cooperation</w:t>
      </w:r>
      <w:r w:rsidR="00190923" w:rsidRPr="00981405">
        <w:t xml:space="preserve"> </w:t>
      </w:r>
      <w:r w:rsidRPr="00981405">
        <w:t>on</w:t>
      </w:r>
      <w:r w:rsidR="00190923" w:rsidRPr="00981405">
        <w:t xml:space="preserve"> </w:t>
      </w:r>
      <w:r w:rsidRPr="00981405">
        <w:t>crimes</w:t>
      </w:r>
      <w:r w:rsidR="00190923" w:rsidRPr="00981405">
        <w:t xml:space="preserve"> </w:t>
      </w:r>
      <w:r w:rsidRPr="00981405">
        <w:t>within</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ICC</w:t>
      </w:r>
      <w:r w:rsidR="00190923" w:rsidRPr="00981405">
        <w:t xml:space="preserve"> </w:t>
      </w:r>
      <w:r w:rsidRPr="00981405">
        <w:t>will</w:t>
      </w:r>
      <w:r w:rsidR="00190923" w:rsidRPr="00981405">
        <w:t xml:space="preserve"> </w:t>
      </w:r>
      <w:r w:rsidRPr="00981405">
        <w:t>continue</w:t>
      </w:r>
      <w:r w:rsidR="00190923" w:rsidRPr="00981405">
        <w:t xml:space="preserve"> </w:t>
      </w:r>
      <w:r w:rsidRPr="00981405">
        <w:t>to</w:t>
      </w:r>
      <w:r w:rsidR="00190923" w:rsidRPr="00981405">
        <w:t xml:space="preserve"> </w:t>
      </w:r>
      <w:r w:rsidRPr="00981405">
        <w:t>exist</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but</w:t>
      </w:r>
      <w:r w:rsidR="00190923" w:rsidRPr="00981405">
        <w:t xml:space="preserve"> </w:t>
      </w:r>
      <w:r w:rsidRPr="00981405">
        <w:t>does</w:t>
      </w:r>
      <w:r w:rsidR="00190923" w:rsidRPr="00981405">
        <w:t xml:space="preserve"> </w:t>
      </w:r>
      <w:r w:rsidRPr="00981405">
        <w:t>not</w:t>
      </w:r>
      <w:r w:rsidR="00190923" w:rsidRPr="00981405">
        <w:t xml:space="preserve"> </w:t>
      </w:r>
      <w:r w:rsidRPr="00981405">
        <w:t>direct</w:t>
      </w:r>
      <w:r w:rsidR="00190923" w:rsidRPr="00981405">
        <w:t xml:space="preserve"> </w:t>
      </w:r>
      <w:r w:rsidRPr="00981405">
        <w:t>itself</w:t>
      </w:r>
      <w:r w:rsidR="00190923" w:rsidRPr="00981405">
        <w:t xml:space="preserve"> </w:t>
      </w:r>
      <w:r w:rsidRPr="00981405">
        <w:t>to</w:t>
      </w:r>
      <w:r w:rsidR="00190923" w:rsidRPr="00981405">
        <w:t xml:space="preserve"> </w:t>
      </w:r>
      <w:r w:rsidRPr="00981405">
        <w:t>the</w:t>
      </w:r>
      <w:r w:rsidR="00190923" w:rsidRPr="00981405">
        <w:t xml:space="preserve"> </w:t>
      </w:r>
      <w:r w:rsidRPr="00981405">
        <w:t>regulation</w:t>
      </w:r>
      <w:r w:rsidR="00190923" w:rsidRPr="00981405">
        <w:t xml:space="preserve"> </w:t>
      </w:r>
      <w:r w:rsidRPr="00981405">
        <w:t>of</w:t>
      </w:r>
      <w:r w:rsidR="00190923" w:rsidRPr="00981405">
        <w:t xml:space="preserve"> </w:t>
      </w:r>
      <w:r w:rsidRPr="00981405">
        <w:t>that</w:t>
      </w:r>
      <w:r w:rsidR="00190923" w:rsidRPr="00981405">
        <w:t xml:space="preserve"> </w:t>
      </w:r>
      <w:r w:rsidRPr="00981405">
        <w:t>cooperation.</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address</w:t>
      </w:r>
      <w:r w:rsidR="00190923" w:rsidRPr="00981405">
        <w:t xml:space="preserve"> </w:t>
      </w:r>
      <w:r w:rsidRPr="00981405">
        <w:t>inter-State</w:t>
      </w:r>
      <w:r w:rsidR="00190923" w:rsidRPr="00981405">
        <w:t xml:space="preserve"> </w:t>
      </w:r>
      <w:r w:rsidRPr="00981405">
        <w:t>cooperation</w:t>
      </w:r>
      <w:r w:rsidR="00190923" w:rsidRPr="00981405">
        <w:t xml:space="preserve"> </w:t>
      </w:r>
      <w:r w:rsidRPr="00981405">
        <w:t>on</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on</w:t>
      </w:r>
      <w:r w:rsidR="00190923" w:rsidRPr="00981405">
        <w:t xml:space="preserve"> </w:t>
      </w:r>
      <w:r w:rsidRPr="00981405">
        <w:t>the</w:t>
      </w:r>
      <w:r w:rsidR="00190923" w:rsidRPr="00981405">
        <w:t xml:space="preserve"> </w:t>
      </w:r>
      <w:r w:rsidRPr="00981405">
        <w:t>investigation,</w:t>
      </w:r>
      <w:r w:rsidR="00190923" w:rsidRPr="00981405">
        <w:t xml:space="preserve"> </w:t>
      </w:r>
      <w:r w:rsidRPr="00981405">
        <w:t>apprehension,</w:t>
      </w:r>
      <w:r w:rsidR="00190923" w:rsidRPr="00981405">
        <w:t xml:space="preserve"> </w:t>
      </w:r>
      <w:r w:rsidRPr="00981405">
        <w:t>prosecution,</w:t>
      </w:r>
      <w:r w:rsidR="00190923" w:rsidRPr="00981405">
        <w:t xml:space="preserve"> </w:t>
      </w:r>
      <w:r w:rsidRPr="00981405">
        <w:t>extradition,</w:t>
      </w:r>
      <w:r w:rsidR="00190923" w:rsidRPr="00981405">
        <w:t xml:space="preserve"> </w:t>
      </w:r>
      <w:r w:rsidRPr="00981405">
        <w:t>and</w:t>
      </w:r>
      <w:r w:rsidR="00190923" w:rsidRPr="00981405">
        <w:t xml:space="preserve"> </w:t>
      </w:r>
      <w:r w:rsidRPr="00981405">
        <w:t>punishment</w:t>
      </w:r>
      <w:r w:rsidR="00190923" w:rsidRPr="00981405">
        <w:t xml:space="preserve"> </w:t>
      </w:r>
      <w:r w:rsidRPr="00981405">
        <w:t>in</w:t>
      </w:r>
      <w:r w:rsidR="00190923" w:rsidRPr="00981405">
        <w:t xml:space="preserve"> </w:t>
      </w:r>
      <w:r w:rsidRPr="00981405">
        <w:t>national</w:t>
      </w:r>
      <w:r w:rsidR="00190923" w:rsidRPr="00981405">
        <w:t xml:space="preserve"> </w:t>
      </w:r>
      <w:r w:rsidRPr="00981405">
        <w:t>legal</w:t>
      </w:r>
      <w:r w:rsidR="00190923" w:rsidRPr="00981405">
        <w:t xml:space="preserve"> </w:t>
      </w:r>
      <w:r w:rsidRPr="00981405">
        <w:t>systems</w:t>
      </w:r>
      <w:r w:rsidR="00190923" w:rsidRPr="00981405">
        <w:t xml:space="preserve"> </w:t>
      </w:r>
      <w:r w:rsidRPr="00981405">
        <w:t>of</w:t>
      </w:r>
      <w:r w:rsidR="00190923" w:rsidRPr="00981405">
        <w:t xml:space="preserve"> </w:t>
      </w:r>
      <w:r w:rsidRPr="00981405">
        <w:t>persons</w:t>
      </w:r>
      <w:r w:rsidR="00190923" w:rsidRPr="00981405">
        <w:t xml:space="preserve"> </w:t>
      </w:r>
      <w:r w:rsidRPr="00981405">
        <w:t>who</w:t>
      </w:r>
      <w:r w:rsidR="00190923" w:rsidRPr="00981405">
        <w:t xml:space="preserve"> </w:t>
      </w:r>
      <w:r w:rsidRPr="00981405">
        <w:t>commit</w:t>
      </w:r>
      <w:r w:rsidR="00190923" w:rsidRPr="00981405">
        <w:t xml:space="preserve"> </w:t>
      </w:r>
      <w:r w:rsidRPr="00981405">
        <w:t>such</w:t>
      </w:r>
      <w:r w:rsidR="00190923" w:rsidRPr="00981405">
        <w:t xml:space="preserve"> </w:t>
      </w:r>
      <w:r w:rsidRPr="00981405">
        <w:t>crimes,</w:t>
      </w:r>
      <w:r w:rsidR="00190923" w:rsidRPr="00981405">
        <w:t xml:space="preserve"> </w:t>
      </w:r>
      <w:r w:rsidRPr="00981405">
        <w:t>an</w:t>
      </w:r>
      <w:r w:rsidR="00190923" w:rsidRPr="00981405">
        <w:t xml:space="preserve"> </w:t>
      </w:r>
      <w:r w:rsidRPr="00981405">
        <w:t>objective</w:t>
      </w:r>
      <w:r w:rsidR="00190923" w:rsidRPr="00981405">
        <w:t xml:space="preserve"> </w:t>
      </w:r>
      <w:r w:rsidRPr="00981405">
        <w:t>consistent</w:t>
      </w:r>
      <w:r w:rsidR="00190923" w:rsidRPr="00981405">
        <w:t xml:space="preserve"> </w:t>
      </w:r>
      <w:r w:rsidRPr="00981405">
        <w:t>with</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In</w:t>
      </w:r>
      <w:r w:rsidR="00190923" w:rsidRPr="00981405">
        <w:t xml:space="preserve"> </w:t>
      </w:r>
      <w:r w:rsidRPr="00981405">
        <w:t>doing</w:t>
      </w:r>
      <w:r w:rsidR="00190923" w:rsidRPr="00981405">
        <w:t xml:space="preserve"> </w:t>
      </w:r>
      <w:r w:rsidRPr="00981405">
        <w:t>so,</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implementation</w:t>
      </w:r>
      <w:r w:rsidR="00190923" w:rsidRPr="00981405">
        <w:t xml:space="preserve"> </w:t>
      </w:r>
      <w:r w:rsidRPr="00981405">
        <w:t>of</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complementarity</w:t>
      </w:r>
      <w:r w:rsidR="00190923" w:rsidRPr="00981405">
        <w:t xml:space="preserve"> </w:t>
      </w:r>
      <w:r w:rsidRPr="00981405">
        <w:t>under</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Finally,</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hybrid</w:t>
      </w:r>
      <w:r w:rsidR="00190923" w:rsidRPr="00981405">
        <w:t xml:space="preserve"> </w:t>
      </w:r>
      <w:r w:rsidRPr="00981405">
        <w:t>criminal</w:t>
      </w:r>
      <w:r w:rsidR="00190923" w:rsidRPr="00981405">
        <w:t xml:space="preserve"> </w:t>
      </w:r>
      <w:r w:rsidRPr="00981405">
        <w:t>courts</w:t>
      </w:r>
      <w:r w:rsidR="00190923" w:rsidRPr="00981405">
        <w:t xml:space="preserve"> </w:t>
      </w:r>
      <w:r w:rsidRPr="00981405">
        <w:t>or</w:t>
      </w:r>
      <w:r w:rsidR="00190923" w:rsidRPr="00981405">
        <w:t xml:space="preserve"> </w:t>
      </w:r>
      <w:r w:rsidRPr="00981405">
        <w:t>tribunals</w:t>
      </w:r>
      <w:r w:rsidR="00190923" w:rsidRPr="00981405">
        <w:t xml:space="preserve"> </w:t>
      </w:r>
      <w:r w:rsidRPr="00981405">
        <w:t>address</w:t>
      </w:r>
      <w:r w:rsidR="00190923" w:rsidRPr="00981405">
        <w:t xml:space="preserve"> </w:t>
      </w:r>
      <w:r w:rsidRPr="00981405">
        <w:t>the</w:t>
      </w:r>
      <w:r w:rsidR="00190923" w:rsidRPr="00981405">
        <w:t xml:space="preserve"> </w:t>
      </w:r>
      <w:r w:rsidRPr="00981405">
        <w:t>prosecution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for</w:t>
      </w:r>
      <w:r w:rsidR="00190923" w:rsidRPr="00981405">
        <w:t xml:space="preserve"> </w:t>
      </w:r>
      <w:r w:rsidRPr="00981405">
        <w:t>the</w:t>
      </w:r>
      <w:r w:rsidR="00190923" w:rsidRPr="00981405">
        <w:t xml:space="preserve"> </w:t>
      </w:r>
      <w:r w:rsidRPr="00981405">
        <w:t>crimes</w:t>
      </w:r>
      <w:r w:rsidR="00190923" w:rsidRPr="00981405">
        <w:t xml:space="preserve"> </w:t>
      </w:r>
      <w:r w:rsidRPr="00981405">
        <w:t>within</w:t>
      </w:r>
      <w:r w:rsidR="00190923" w:rsidRPr="00981405">
        <w:t xml:space="preserve"> </w:t>
      </w:r>
      <w:r w:rsidRPr="00981405">
        <w:t>their</w:t>
      </w:r>
      <w:r w:rsidR="00190923" w:rsidRPr="00981405">
        <w:t xml:space="preserve"> </w:t>
      </w:r>
      <w:r w:rsidRPr="00981405">
        <w:t>jurisdiction,</w:t>
      </w:r>
      <w:r w:rsidR="00190923" w:rsidRPr="00981405">
        <w:t xml:space="preserve"> </w:t>
      </w:r>
      <w:r w:rsidRPr="00981405">
        <w:t>not</w:t>
      </w:r>
      <w:r w:rsidR="00190923" w:rsidRPr="00981405">
        <w:t xml:space="preserve"> </w:t>
      </w:r>
      <w:r w:rsidRPr="00981405">
        <w:t>steps</w:t>
      </w:r>
      <w:r w:rsidR="00190923" w:rsidRPr="00981405">
        <w:t xml:space="preserve"> </w:t>
      </w:r>
      <w:r w:rsidRPr="00981405">
        <w:t>that</w:t>
      </w:r>
      <w:r w:rsidR="00190923" w:rsidRPr="00981405">
        <w:t xml:space="preserve"> </w:t>
      </w:r>
      <w:r w:rsidRPr="00981405">
        <w:t>should</w:t>
      </w:r>
      <w:r w:rsidR="00190923" w:rsidRPr="00981405">
        <w:t xml:space="preserve"> </w:t>
      </w:r>
      <w:r w:rsidRPr="00981405">
        <w:t>be</w:t>
      </w:r>
      <w:r w:rsidR="00190923" w:rsidRPr="00981405">
        <w:t xml:space="preserve"> </w:t>
      </w:r>
      <w:r w:rsidRPr="00981405">
        <w:t>taken</w:t>
      </w:r>
      <w:r w:rsidR="00190923" w:rsidRPr="00981405">
        <w:t xml:space="preserve"> </w:t>
      </w:r>
      <w:r w:rsidRPr="00981405">
        <w:t>by</w:t>
      </w:r>
      <w:r w:rsidR="00190923" w:rsidRPr="00981405">
        <w:t xml:space="preserve"> </w:t>
      </w:r>
      <w:r w:rsidRPr="00981405">
        <w:t>States</w:t>
      </w:r>
      <w:r w:rsidR="00190923" w:rsidRPr="00981405">
        <w:t xml:space="preserve"> </w:t>
      </w:r>
      <w:r w:rsidRPr="00981405">
        <w:t>to</w:t>
      </w:r>
      <w:r w:rsidR="00190923" w:rsidRPr="00981405">
        <w:t xml:space="preserve"> </w:t>
      </w:r>
      <w:r w:rsidRPr="00981405">
        <w:t>prevent</w:t>
      </w:r>
      <w:r w:rsidR="00190923" w:rsidRPr="00981405">
        <w:t xml:space="preserve"> </w:t>
      </w:r>
      <w:r w:rsidRPr="00981405">
        <w:t>such</w:t>
      </w:r>
      <w:r w:rsidR="00190923" w:rsidRPr="00981405">
        <w:t xml:space="preserve"> </w:t>
      </w:r>
      <w:r w:rsidRPr="00981405">
        <w:t>crimes</w:t>
      </w:r>
      <w:r w:rsidR="00190923" w:rsidRPr="00981405">
        <w:t xml:space="preserve"> </w:t>
      </w:r>
      <w:r w:rsidRPr="00981405">
        <w:t>before</w:t>
      </w:r>
      <w:r w:rsidR="00190923" w:rsidRPr="00981405">
        <w:t xml:space="preserve"> </w:t>
      </w:r>
      <w:r w:rsidRPr="00981405">
        <w:t>they</w:t>
      </w:r>
      <w:r w:rsidR="00190923" w:rsidRPr="00981405">
        <w:t xml:space="preserve"> </w:t>
      </w:r>
      <w:r w:rsidRPr="00981405">
        <w:t>are</w:t>
      </w:r>
      <w:r w:rsidR="00190923" w:rsidRPr="00981405">
        <w:t xml:space="preserve"> </w:t>
      </w:r>
      <w:r w:rsidRPr="00981405">
        <w:t>committed</w:t>
      </w:r>
      <w:r w:rsidR="00190923" w:rsidRPr="00981405">
        <w:t xml:space="preserve"> </w:t>
      </w:r>
      <w:r w:rsidRPr="00981405">
        <w:t>or</w:t>
      </w:r>
      <w:r w:rsidR="00190923" w:rsidRPr="00981405">
        <w:t xml:space="preserve"> </w:t>
      </w:r>
      <w:r w:rsidRPr="00981405">
        <w:t>while</w:t>
      </w:r>
      <w:r w:rsidR="00190923" w:rsidRPr="00981405">
        <w:t xml:space="preserve"> </w:t>
      </w:r>
      <w:r w:rsidRPr="00981405">
        <w:t>they</w:t>
      </w:r>
      <w:r w:rsidR="00190923" w:rsidRPr="00981405">
        <w:t xml:space="preserve"> </w:t>
      </w:r>
      <w:r w:rsidRPr="00981405">
        <w:t>are</w:t>
      </w:r>
      <w:r w:rsidR="00190923" w:rsidRPr="00981405">
        <w:t xml:space="preserve"> </w:t>
      </w:r>
      <w:r w:rsidRPr="00981405">
        <w:t>being</w:t>
      </w:r>
      <w:r w:rsidR="00190923" w:rsidRPr="00981405">
        <w:t xml:space="preserve"> </w:t>
      </w:r>
      <w:r w:rsidRPr="00981405">
        <w:t>committed.</w:t>
      </w:r>
    </w:p>
    <w:p w:rsidR="00397032" w:rsidRPr="00D97463" w:rsidRDefault="00397032" w:rsidP="00D97463">
      <w:pPr>
        <w:pStyle w:val="SingleTxt"/>
        <w:ind w:left="1742"/>
        <w:jc w:val="left"/>
        <w:rPr>
          <w:b/>
          <w:bCs/>
        </w:rPr>
      </w:pPr>
      <w:r w:rsidRPr="00D97463">
        <w:rPr>
          <w:b/>
          <w:bCs/>
        </w:rPr>
        <w:t>Article</w:t>
      </w:r>
      <w:r w:rsidR="00190923" w:rsidRPr="00981405">
        <w:rPr>
          <w:b/>
          <w:bCs/>
        </w:rPr>
        <w:t xml:space="preserve"> </w:t>
      </w:r>
      <w:r w:rsidRPr="00D97463">
        <w:rPr>
          <w:b/>
          <w:bCs/>
        </w:rPr>
        <w:t>2</w:t>
      </w:r>
      <w:r w:rsidRPr="00D97463">
        <w:rPr>
          <w:b/>
          <w:bCs/>
        </w:rPr>
        <w:br/>
        <w:t>General</w:t>
      </w:r>
      <w:r w:rsidR="00190923" w:rsidRPr="00981405">
        <w:rPr>
          <w:b/>
          <w:bCs/>
        </w:rPr>
        <w:t xml:space="preserve"> </w:t>
      </w:r>
      <w:r w:rsidRPr="00D97463">
        <w:rPr>
          <w:b/>
          <w:bCs/>
        </w:rPr>
        <w:t>obligation</w:t>
      </w:r>
    </w:p>
    <w:p w:rsidR="00397032" w:rsidRPr="00981405" w:rsidRDefault="00397032" w:rsidP="00D97463">
      <w:pPr>
        <w:pStyle w:val="SingleTxt"/>
        <w:ind w:left="1742"/>
      </w:pPr>
      <w:r w:rsidRPr="00981405">
        <w:tab/>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committed</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are</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which</w:t>
      </w:r>
      <w:r w:rsidR="00190923" w:rsidRPr="00981405">
        <w:t xml:space="preserve"> </w:t>
      </w:r>
      <w:r w:rsidRPr="00981405">
        <w:t>States</w:t>
      </w:r>
      <w:r w:rsidR="00190923" w:rsidRPr="00981405">
        <w:t xml:space="preserve"> </w:t>
      </w:r>
      <w:r w:rsidRPr="00981405">
        <w:t>undertake</w:t>
      </w:r>
      <w:r w:rsidR="00190923" w:rsidRPr="00981405">
        <w:t xml:space="preserve"> </w:t>
      </w:r>
      <w:r w:rsidRPr="00981405">
        <w:t>to</w:t>
      </w:r>
      <w:r w:rsidR="00190923" w:rsidRPr="00981405">
        <w:t xml:space="preserve"> </w:t>
      </w:r>
      <w:r w:rsidRPr="00981405">
        <w:t>prevent</w:t>
      </w:r>
      <w:r w:rsidR="00190923" w:rsidRPr="00981405">
        <w:t xml:space="preserve"> </w:t>
      </w:r>
      <w:r w:rsidRPr="00981405">
        <w:t>and</w:t>
      </w:r>
      <w:r w:rsidR="00190923" w:rsidRPr="00981405">
        <w:t xml:space="preserve"> </w:t>
      </w:r>
      <w:r w:rsidRPr="00981405">
        <w:t>punish.</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54" w:name="_Toc427938113"/>
      <w:r w:rsidRPr="00D97463">
        <w:t>Commentary</w:t>
      </w:r>
      <w:bookmarkEnd w:id="5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sets</w:t>
      </w:r>
      <w:r w:rsidR="00190923" w:rsidRPr="00981405">
        <w:t xml:space="preserve"> </w:t>
      </w:r>
      <w:r w:rsidRPr="00981405">
        <w:t>forth</w:t>
      </w:r>
      <w:r w:rsidR="00190923" w:rsidRPr="00981405">
        <w:t xml:space="preserve"> </w:t>
      </w:r>
      <w:r w:rsidRPr="00981405">
        <w:t>a</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prevent</w:t>
      </w:r>
      <w:r w:rsidR="00190923" w:rsidRPr="00981405">
        <w:t xml:space="preserve"> </w:t>
      </w:r>
      <w:r w:rsidRPr="00981405">
        <w:t>and</w:t>
      </w:r>
      <w:r w:rsidR="00190923" w:rsidRPr="00981405">
        <w:t xml:space="preserve"> </w:t>
      </w:r>
      <w:r w:rsidRPr="00981405">
        <w:t>punish</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Pr="00981405">
        <w:t>this</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will</w:t>
      </w:r>
      <w:r w:rsidR="00190923" w:rsidRPr="00981405">
        <w:t xml:space="preserve"> </w:t>
      </w:r>
      <w:r w:rsidRPr="00981405">
        <w:t>be</w:t>
      </w:r>
      <w:r w:rsidR="00190923" w:rsidRPr="00981405">
        <w:t xml:space="preserve"> </w:t>
      </w:r>
      <w:r w:rsidRPr="00981405">
        <w:t>addressed</w:t>
      </w:r>
      <w:r w:rsidR="00190923" w:rsidRPr="00981405">
        <w:t xml:space="preserve"> </w:t>
      </w:r>
      <w:r w:rsidRPr="00981405">
        <w:t>through</w:t>
      </w:r>
      <w:r w:rsidR="00190923" w:rsidRPr="00981405">
        <w:t xml:space="preserve"> </w:t>
      </w:r>
      <w:r w:rsidRPr="00981405">
        <w:t>the</w:t>
      </w:r>
      <w:r w:rsidR="00190923" w:rsidRPr="00981405">
        <w:t xml:space="preserve"> </w:t>
      </w:r>
      <w:r w:rsidRPr="00981405">
        <w:t>various</w:t>
      </w:r>
      <w:r w:rsidR="00190923" w:rsidRPr="00981405">
        <w:t xml:space="preserve"> </w:t>
      </w:r>
      <w:r w:rsidRPr="00981405">
        <w:t>more</w:t>
      </w:r>
      <w:r w:rsidR="00190923" w:rsidRPr="00981405">
        <w:t xml:space="preserve"> </w:t>
      </w:r>
      <w:r w:rsidRPr="00981405">
        <w:t>specific</w:t>
      </w:r>
      <w:r w:rsidR="00190923" w:rsidRPr="00981405">
        <w:t xml:space="preserve"> </w:t>
      </w:r>
      <w:r w:rsidRPr="00981405">
        <w:t>obligations</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that</w:t>
      </w:r>
      <w:r w:rsidR="00190923" w:rsidRPr="00981405">
        <w:t xml:space="preserve"> </w:t>
      </w:r>
      <w:r w:rsidRPr="00981405">
        <w:t>follow,</w:t>
      </w:r>
      <w:r w:rsidR="00190923" w:rsidRPr="00981405">
        <w:t xml:space="preserve"> </w:t>
      </w:r>
      <w:r w:rsidRPr="00981405">
        <w:t>beginning</w:t>
      </w:r>
      <w:r w:rsidR="00190923" w:rsidRPr="00981405">
        <w:t xml:space="preserve"> </w:t>
      </w:r>
      <w:r w:rsidRPr="00981405">
        <w:t>with</w:t>
      </w:r>
      <w:r w:rsidR="00190923" w:rsidRPr="00981405">
        <w:t xml:space="preserve"> </w:t>
      </w:r>
      <w:r w:rsidRPr="00981405">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Those</w:t>
      </w:r>
      <w:r w:rsidR="00190923" w:rsidRPr="00981405">
        <w:t xml:space="preserve"> </w:t>
      </w:r>
      <w:r w:rsidRPr="00981405">
        <w:t>specific</w:t>
      </w:r>
      <w:r w:rsidR="00190923" w:rsidRPr="00981405">
        <w:t xml:space="preserve"> </w:t>
      </w:r>
      <w:r w:rsidRPr="00981405">
        <w:t>obligations</w:t>
      </w:r>
      <w:r w:rsidR="00190923" w:rsidRPr="00981405">
        <w:t xml:space="preserve"> </w:t>
      </w:r>
      <w:r w:rsidRPr="00981405">
        <w:t>will</w:t>
      </w:r>
      <w:r w:rsidR="00190923" w:rsidRPr="00981405">
        <w:t xml:space="preserve"> </w:t>
      </w:r>
      <w:r w:rsidRPr="00981405">
        <w:t>address</w:t>
      </w:r>
      <w:r w:rsidR="00190923" w:rsidRPr="00981405">
        <w:t xml:space="preserve"> </w:t>
      </w:r>
      <w:r w:rsidRPr="00981405">
        <w:t>steps</w:t>
      </w:r>
      <w:r w:rsidR="00190923" w:rsidRPr="00981405">
        <w:t xml:space="preserve"> </w:t>
      </w:r>
      <w:r w:rsidRPr="00981405">
        <w:t>that</w:t>
      </w:r>
      <w:r w:rsidR="00190923" w:rsidRPr="00981405">
        <w:t xml:space="preserve"> </w:t>
      </w:r>
      <w:r w:rsidRPr="00981405">
        <w:t>States</w:t>
      </w:r>
      <w:r w:rsidR="00190923" w:rsidRPr="00981405">
        <w:t xml:space="preserve"> </w:t>
      </w:r>
      <w:r w:rsidRPr="00981405">
        <w:t>are</w:t>
      </w:r>
      <w:r w:rsidR="00190923" w:rsidRPr="00981405">
        <w:t xml:space="preserve"> </w:t>
      </w:r>
      <w:r w:rsidRPr="00981405">
        <w:t>to</w:t>
      </w:r>
      <w:r w:rsidR="00190923" w:rsidRPr="00981405">
        <w:t xml:space="preserve"> </w:t>
      </w:r>
      <w:r w:rsidRPr="00981405">
        <w:t>take</w:t>
      </w:r>
      <w:r w:rsidR="00190923" w:rsidRPr="00981405">
        <w:t xml:space="preserve"> </w:t>
      </w:r>
      <w:r w:rsidRPr="00981405">
        <w:t>within</w:t>
      </w:r>
      <w:r w:rsidR="00190923" w:rsidRPr="00981405">
        <w:t xml:space="preserve"> </w:t>
      </w:r>
      <w:r w:rsidRPr="00981405">
        <w:t>their</w:t>
      </w:r>
      <w:r w:rsidR="00190923" w:rsidRPr="00981405">
        <w:t xml:space="preserve"> </w:t>
      </w:r>
      <w:r w:rsidRPr="00981405">
        <w:t>national</w:t>
      </w:r>
      <w:r w:rsidR="00190923" w:rsidRPr="00981405">
        <w:t xml:space="preserve"> </w:t>
      </w:r>
      <w:r w:rsidRPr="00981405">
        <w:t>legal</w:t>
      </w:r>
      <w:r w:rsidR="00190923" w:rsidRPr="00981405">
        <w:t xml:space="preserve"> </w:t>
      </w:r>
      <w:r w:rsidRPr="00981405">
        <w:t>systems,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their</w:t>
      </w:r>
      <w:r w:rsidR="00190923" w:rsidRPr="00981405">
        <w:t xml:space="preserve"> </w:t>
      </w:r>
      <w:r w:rsidRPr="00981405">
        <w:t>cooperation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States,</w:t>
      </w:r>
      <w:r w:rsidR="00190923" w:rsidRPr="00981405">
        <w:t xml:space="preserve"> </w:t>
      </w:r>
      <w:r w:rsidRPr="00981405">
        <w:t>with</w:t>
      </w:r>
      <w:r w:rsidR="00190923" w:rsidRPr="00981405">
        <w:t xml:space="preserve"> </w:t>
      </w:r>
      <w:r w:rsidRPr="00981405">
        <w:t>relevant</w:t>
      </w:r>
      <w:r w:rsidR="00190923" w:rsidRPr="00981405">
        <w:t xml:space="preserve"> </w:t>
      </w:r>
      <w:r w:rsidRPr="00981405">
        <w:t>intergovernmental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with,</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other</w:t>
      </w:r>
      <w:r w:rsidR="00190923" w:rsidRPr="00981405">
        <w:t xml:space="preserve"> </w:t>
      </w:r>
      <w:r w:rsidRPr="00981405">
        <w:t>organizations.</w:t>
      </w:r>
      <w:r w:rsidR="00190923" w:rsidRPr="00981405">
        <w:t xml:space="preserve"> </w:t>
      </w:r>
    </w:p>
    <w:p w:rsidR="00397032" w:rsidRPr="00981405" w:rsidRDefault="00397032" w:rsidP="00D97463">
      <w:pPr>
        <w:pStyle w:val="SingleTxt"/>
      </w:pPr>
      <w:r w:rsidRPr="00981405">
        <w:t>(2)</w:t>
      </w:r>
      <w:r w:rsidRPr="00981405">
        <w:tab/>
        <w:t>In</w:t>
      </w:r>
      <w:r w:rsidR="00190923" w:rsidRPr="00981405">
        <w:t xml:space="preserve"> </w:t>
      </w:r>
      <w:r w:rsidRPr="00981405">
        <w:t>the</w:t>
      </w:r>
      <w:r w:rsidR="00190923" w:rsidRPr="00981405">
        <w:t xml:space="preserve"> </w:t>
      </w:r>
      <w:r w:rsidRPr="00981405">
        <w:t>course</w:t>
      </w:r>
      <w:r w:rsidR="00190923" w:rsidRPr="00981405">
        <w:t xml:space="preserve"> </w:t>
      </w:r>
      <w:r w:rsidRPr="00981405">
        <w:t>of</w:t>
      </w:r>
      <w:r w:rsidR="00190923" w:rsidRPr="00981405">
        <w:t xml:space="preserve"> </w:t>
      </w:r>
      <w:r w:rsidRPr="00981405">
        <w:t>stating</w:t>
      </w:r>
      <w:r w:rsidR="00190923" w:rsidRPr="00981405">
        <w:t xml:space="preserve"> </w:t>
      </w:r>
      <w:r w:rsidRPr="00981405">
        <w:t>this</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recognizes</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00B92E2C" w:rsidRPr="00981405">
        <w:t>“</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B92E2C" w:rsidRPr="00981405">
        <w:t>”</w:t>
      </w:r>
      <w:r w:rsidR="00190923" w:rsidRPr="00981405">
        <w:t xml:space="preserve"> </w:t>
      </w:r>
      <w:r w:rsidRPr="00981405">
        <w:rPr>
          <w:rFonts w:eastAsia="MS Mincho"/>
        </w:rPr>
        <w:t>The</w:t>
      </w:r>
      <w:r w:rsidR="00190923" w:rsidRPr="00981405">
        <w:rPr>
          <w:rFonts w:eastAsia="MS Mincho"/>
        </w:rPr>
        <w:t xml:space="preserve"> </w:t>
      </w:r>
      <w:r w:rsidRPr="00981405">
        <w:rPr>
          <w:rFonts w:eastAsia="MS Mincho"/>
        </w:rPr>
        <w:t>Charter</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Military</w:t>
      </w:r>
      <w:r w:rsidR="00190923" w:rsidRPr="00981405">
        <w:rPr>
          <w:rFonts w:eastAsia="MS Mincho"/>
        </w:rPr>
        <w:t xml:space="preserve"> </w:t>
      </w:r>
      <w:r w:rsidRPr="00981405">
        <w:rPr>
          <w:rFonts w:eastAsia="MS Mincho"/>
        </w:rPr>
        <w:t>Tribunal</w:t>
      </w:r>
      <w:r w:rsidR="00190923" w:rsidRPr="00981405">
        <w:rPr>
          <w:rFonts w:eastAsia="MS Mincho"/>
        </w:rPr>
        <w:t xml:space="preserve"> </w:t>
      </w:r>
      <w:r w:rsidRPr="00981405">
        <w:rPr>
          <w:rFonts w:eastAsia="MS Mincho"/>
        </w:rPr>
        <w:t>(hereinafter</w:t>
      </w:r>
      <w:r w:rsidR="00190923" w:rsidRPr="00981405">
        <w:rPr>
          <w:rFonts w:eastAsia="MS Mincho"/>
        </w:rPr>
        <w:t xml:space="preserve"> </w:t>
      </w:r>
      <w:r w:rsidR="00B92E2C" w:rsidRPr="00981405">
        <w:rPr>
          <w:rFonts w:eastAsia="MS Mincho"/>
        </w:rPr>
        <w:t>“</w:t>
      </w:r>
      <w:r w:rsidRPr="00981405">
        <w:rPr>
          <w:rFonts w:eastAsia="MS Mincho"/>
        </w:rPr>
        <w:t>IMT</w:t>
      </w:r>
      <w:r w:rsidR="00B92E2C" w:rsidRPr="00981405">
        <w:rPr>
          <w:rFonts w:eastAsia="MS Mincho"/>
        </w:rPr>
        <w:t>”</w:t>
      </w:r>
      <w:r w:rsidRPr="00981405">
        <w:rPr>
          <w:rFonts w:eastAsia="MS Mincho"/>
        </w:rPr>
        <w:t>)</w:t>
      </w:r>
      <w:r w:rsidR="00190923" w:rsidRPr="00981405">
        <w:rPr>
          <w:rFonts w:eastAsia="MS Mincho"/>
        </w:rPr>
        <w:t xml:space="preserve"> </w:t>
      </w:r>
      <w:r w:rsidRPr="00981405">
        <w:rPr>
          <w:rFonts w:eastAsia="MS Mincho"/>
        </w:rPr>
        <w:t>established</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Nürnberg</w:t>
      </w:r>
      <w:bookmarkStart w:id="55" w:name="_Ref295829819"/>
      <w:r w:rsidRPr="00981405">
        <w:rPr>
          <w:rStyle w:val="FootnoteReference"/>
        </w:rPr>
        <w:footnoteReference w:id="85"/>
      </w:r>
      <w:bookmarkEnd w:id="55"/>
      <w:r w:rsidR="00190923" w:rsidRPr="00981405">
        <w:rPr>
          <w:rFonts w:eastAsia="MS Mincho"/>
        </w:rPr>
        <w:t xml:space="preserve"> </w:t>
      </w:r>
      <w:r w:rsidRPr="00981405">
        <w:rPr>
          <w:rFonts w:eastAsia="MS Mincho"/>
        </w:rPr>
        <w:t>included</w:t>
      </w:r>
      <w:r w:rsidR="00190923" w:rsidRPr="00981405">
        <w:rPr>
          <w:rFonts w:eastAsia="MS Mincho"/>
        </w:rPr>
        <w:t xml:space="preserve"> </w:t>
      </w:r>
      <w:r w:rsidR="00B92E2C" w:rsidRPr="00981405">
        <w:rPr>
          <w:rFonts w:eastAsia="MS Mincho"/>
        </w:rPr>
        <w:t>“</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B92E2C" w:rsidRPr="00981405">
        <w:rPr>
          <w:rFonts w:eastAsia="MS Mincho"/>
        </w:rPr>
        <w:t>”</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component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IMT</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jurisdiction.</w:t>
      </w:r>
      <w:r w:rsidR="00190923" w:rsidRPr="00981405">
        <w:rPr>
          <w:rFonts w:eastAsia="MS Mincho"/>
        </w:rPr>
        <w:t xml:space="preserve"> </w:t>
      </w:r>
      <w:r w:rsidRPr="00981405">
        <w:t>Among</w:t>
      </w:r>
      <w:r w:rsidR="00190923" w:rsidRPr="00981405">
        <w:t xml:space="preserve"> </w:t>
      </w:r>
      <w:r w:rsidRPr="00981405">
        <w:t>other</w:t>
      </w:r>
      <w:r w:rsidR="00190923" w:rsidRPr="00981405">
        <w:t xml:space="preserve"> </w:t>
      </w:r>
      <w:r w:rsidRPr="00981405">
        <w:t>things,</w:t>
      </w:r>
      <w:r w:rsidR="00190923" w:rsidRPr="00981405">
        <w:t xml:space="preserve"> </w:t>
      </w:r>
      <w:r w:rsidRPr="00981405">
        <w:t>the</w:t>
      </w:r>
      <w:r w:rsidR="00190923" w:rsidRPr="00981405">
        <w:t xml:space="preserve"> </w:t>
      </w:r>
      <w:r w:rsidRPr="00981405">
        <w:t>IMT</w:t>
      </w:r>
      <w:r w:rsidR="00190923" w:rsidRPr="00981405">
        <w:t xml:space="preserve"> </w:t>
      </w:r>
      <w:r w:rsidRPr="00981405">
        <w:t>noted</w:t>
      </w:r>
      <w:r w:rsidR="00190923" w:rsidRPr="00981405">
        <w:t xml:space="preserve"> </w:t>
      </w:r>
      <w:r w:rsidRPr="00981405">
        <w:t>that</w:t>
      </w:r>
      <w:r w:rsidR="00190923" w:rsidRPr="00981405">
        <w:t xml:space="preserve"> </w:t>
      </w:r>
      <w:r w:rsidR="00B92E2C" w:rsidRPr="00981405">
        <w:t>“</w:t>
      </w:r>
      <w:r w:rsidRPr="00981405">
        <w:t>individuals</w:t>
      </w:r>
      <w:r w:rsidR="00190923" w:rsidRPr="00981405">
        <w:t xml:space="preserve"> </w:t>
      </w:r>
      <w:r w:rsidRPr="00981405">
        <w:t>can</w:t>
      </w:r>
      <w:r w:rsidR="00190923" w:rsidRPr="00981405">
        <w:t xml:space="preserve"> </w:t>
      </w:r>
      <w:r w:rsidRPr="00981405">
        <w:t>be</w:t>
      </w:r>
      <w:r w:rsidR="00190923" w:rsidRPr="00981405">
        <w:t xml:space="preserve"> </w:t>
      </w:r>
      <w:r w:rsidRPr="00981405">
        <w:t>punished</w:t>
      </w:r>
      <w:r w:rsidR="00190923" w:rsidRPr="00981405">
        <w:t xml:space="preserve"> </w:t>
      </w:r>
      <w:r w:rsidRPr="00981405">
        <w:t>for</w:t>
      </w:r>
      <w:r w:rsidR="00190923" w:rsidRPr="00981405">
        <w:t xml:space="preserve"> </w:t>
      </w:r>
      <w:r w:rsidRPr="00981405">
        <w:t>violations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are</w:t>
      </w:r>
      <w:r w:rsidR="00190923" w:rsidRPr="00981405">
        <w:t xml:space="preserve"> </w:t>
      </w:r>
      <w:r w:rsidRPr="00981405">
        <w:t>committed</w:t>
      </w:r>
      <w:r w:rsidR="00190923" w:rsidRPr="00981405">
        <w:t xml:space="preserve"> </w:t>
      </w:r>
      <w:r w:rsidRPr="00981405">
        <w:t>by</w:t>
      </w:r>
      <w:r w:rsidR="00190923" w:rsidRPr="00981405">
        <w:t xml:space="preserve"> </w:t>
      </w:r>
      <w:r w:rsidRPr="00981405">
        <w:t>men,</w:t>
      </w:r>
      <w:r w:rsidR="00190923" w:rsidRPr="00981405">
        <w:t xml:space="preserve"> </w:t>
      </w:r>
      <w:r w:rsidRPr="00981405">
        <w:t>not</w:t>
      </w:r>
      <w:r w:rsidR="00190923" w:rsidRPr="00981405">
        <w:t xml:space="preserve"> </w:t>
      </w:r>
      <w:r w:rsidRPr="00981405">
        <w:t>by</w:t>
      </w:r>
      <w:r w:rsidR="00190923" w:rsidRPr="00981405">
        <w:t xml:space="preserve"> </w:t>
      </w:r>
      <w:r w:rsidRPr="00981405">
        <w:t>abstract</w:t>
      </w:r>
      <w:r w:rsidR="00190923" w:rsidRPr="00981405">
        <w:t xml:space="preserve"> </w:t>
      </w:r>
      <w:r w:rsidRPr="00981405">
        <w:t>entities,</w:t>
      </w:r>
      <w:r w:rsidR="00190923" w:rsidRPr="00981405">
        <w:t xml:space="preserve"> </w:t>
      </w:r>
      <w:r w:rsidRPr="00981405">
        <w:t>and</w:t>
      </w:r>
      <w:r w:rsidR="00190923" w:rsidRPr="00981405">
        <w:t xml:space="preserve"> </w:t>
      </w:r>
      <w:r w:rsidRPr="00981405">
        <w:t>only</w:t>
      </w:r>
      <w:r w:rsidR="00190923" w:rsidRPr="00981405">
        <w:t xml:space="preserve"> </w:t>
      </w:r>
      <w:r w:rsidRPr="00981405">
        <w:t>by</w:t>
      </w:r>
      <w:r w:rsidR="00190923" w:rsidRPr="00981405">
        <w:t xml:space="preserve"> </w:t>
      </w:r>
      <w:r w:rsidRPr="00981405">
        <w:t>punishing</w:t>
      </w:r>
      <w:r w:rsidR="00190923" w:rsidRPr="00981405">
        <w:t xml:space="preserve"> </w:t>
      </w:r>
      <w:r w:rsidRPr="00981405">
        <w:t>individuals</w:t>
      </w:r>
      <w:r w:rsidR="00190923" w:rsidRPr="00981405">
        <w:t xml:space="preserve"> </w:t>
      </w:r>
      <w:r w:rsidRPr="00981405">
        <w:t>who</w:t>
      </w:r>
      <w:r w:rsidR="00190923" w:rsidRPr="00981405">
        <w:t xml:space="preserve"> </w:t>
      </w:r>
      <w:r w:rsidRPr="00981405">
        <w:t>commit</w:t>
      </w:r>
      <w:r w:rsidR="00190923" w:rsidRPr="00981405">
        <w:t xml:space="preserve"> </w:t>
      </w:r>
      <w:r w:rsidRPr="00981405">
        <w:t>such</w:t>
      </w:r>
      <w:r w:rsidR="00190923" w:rsidRPr="00981405">
        <w:t xml:space="preserve"> </w:t>
      </w:r>
      <w:r w:rsidRPr="00981405">
        <w:t>crimes</w:t>
      </w:r>
      <w:r w:rsidR="00190923" w:rsidRPr="00981405">
        <w:t xml:space="preserve"> </w:t>
      </w:r>
      <w:r w:rsidRPr="00981405">
        <w:t>can</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be</w:t>
      </w:r>
      <w:r w:rsidR="00190923" w:rsidRPr="00981405">
        <w:t xml:space="preserve"> </w:t>
      </w:r>
      <w:r w:rsidRPr="00981405">
        <w:t>enforced.</w:t>
      </w:r>
      <w:bookmarkStart w:id="56" w:name="_Ref422813423"/>
      <w:r w:rsidR="00B92E2C" w:rsidRPr="00981405">
        <w:t>”</w:t>
      </w:r>
      <w:r w:rsidRPr="00981405">
        <w:rPr>
          <w:rStyle w:val="FootnoteReference"/>
        </w:rPr>
        <w:footnoteReference w:id="86"/>
      </w:r>
      <w:bookmarkEnd w:id="56"/>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were</w:t>
      </w:r>
      <w:r w:rsidR="00190923" w:rsidRPr="00981405">
        <w:t xml:space="preserve"> </w:t>
      </w:r>
      <w:r w:rsidRPr="00981405">
        <w:t>also</w:t>
      </w:r>
      <w:r w:rsidR="00190923" w:rsidRPr="00981405">
        <w:t xml:space="preserve"> </w:t>
      </w:r>
      <w:r w:rsidRPr="00981405">
        <w:t>within</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Tokyo</w:t>
      </w:r>
      <w:r w:rsidR="00190923" w:rsidRPr="00981405">
        <w:t xml:space="preserve"> </w:t>
      </w:r>
      <w:r w:rsidRPr="00981405">
        <w:t>Tribunal.</w:t>
      </w:r>
      <w:r w:rsidRPr="00981405">
        <w:rPr>
          <w:rStyle w:val="FootnoteReference"/>
        </w:rPr>
        <w:footnoteReference w:id="87"/>
      </w:r>
      <w:r w:rsidR="00190923" w:rsidRPr="00981405">
        <w:t xml:space="preserve"> </w:t>
      </w:r>
    </w:p>
    <w:p w:rsidR="00397032" w:rsidRPr="00981405" w:rsidRDefault="00397032" w:rsidP="00D97463">
      <w:pPr>
        <w:pStyle w:val="SingleTxt"/>
      </w:pPr>
      <w:r w:rsidRPr="00981405">
        <w:lastRenderedPageBreak/>
        <w:t>(3)</w:t>
      </w:r>
      <w:r w:rsidRPr="00981405">
        <w:tab/>
        <w:t>The</w:t>
      </w:r>
      <w:r w:rsidR="00190923" w:rsidRPr="00981405">
        <w:t xml:space="preserve"> </w:t>
      </w:r>
      <w:r w:rsidRPr="00981405">
        <w:t>principles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recognized</w:t>
      </w:r>
      <w:r w:rsidR="00190923" w:rsidRPr="00981405">
        <w:t xml:space="preserve"> </w:t>
      </w:r>
      <w:r w:rsidRPr="00981405">
        <w:t>in</w:t>
      </w:r>
      <w:r w:rsidR="00190923" w:rsidRPr="00981405">
        <w:t xml:space="preserve"> </w:t>
      </w:r>
      <w:r w:rsidRPr="00981405">
        <w:t>the</w:t>
      </w:r>
      <w:r w:rsidR="00190923" w:rsidRPr="00981405">
        <w:t xml:space="preserve"> </w:t>
      </w:r>
      <w:r w:rsidRPr="00981405">
        <w:t>Nürnberg</w:t>
      </w:r>
      <w:r w:rsidR="00190923" w:rsidRPr="00981405">
        <w:t xml:space="preserve"> </w:t>
      </w:r>
      <w:r w:rsidRPr="00981405">
        <w:t>Charter</w:t>
      </w:r>
      <w:r w:rsidR="00190923" w:rsidRPr="00981405">
        <w:t xml:space="preserve"> </w:t>
      </w:r>
      <w:r w:rsidRPr="00981405">
        <w:t>were</w:t>
      </w:r>
      <w:r w:rsidR="00190923" w:rsidRPr="00981405">
        <w:t xml:space="preserve"> </w:t>
      </w:r>
      <w:r w:rsidRPr="00981405">
        <w:t>noted</w:t>
      </w:r>
      <w:r w:rsidR="00190923" w:rsidRPr="00981405">
        <w:t xml:space="preserve"> </w:t>
      </w:r>
      <w:r w:rsidRPr="00981405">
        <w:t>and</w:t>
      </w:r>
      <w:r w:rsidR="00190923" w:rsidRPr="00981405">
        <w:t xml:space="preserve"> </w:t>
      </w:r>
      <w:r w:rsidRPr="00981405">
        <w:t>reaffirmed</w:t>
      </w:r>
      <w:r w:rsidR="00190923" w:rsidRPr="00981405">
        <w:t xml:space="preserve"> </w:t>
      </w:r>
      <w:r w:rsidRPr="00981405">
        <w:t>in</w:t>
      </w:r>
      <w:r w:rsidR="00190923" w:rsidRPr="00981405">
        <w:t xml:space="preserve"> </w:t>
      </w:r>
      <w:r w:rsidRPr="00981405">
        <w:t>1946</w:t>
      </w:r>
      <w:r w:rsidR="00190923" w:rsidRPr="00981405">
        <w:t xml:space="preserve"> </w:t>
      </w:r>
      <w:r w:rsidRPr="00981405">
        <w:t>by</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Pr="00981405">
        <w:rPr>
          <w:rStyle w:val="FootnoteReference"/>
        </w:rPr>
        <w:footnoteReference w:id="88"/>
      </w:r>
      <w:r w:rsidR="00190923" w:rsidRPr="00981405">
        <w:t xml:space="preserve"> </w:t>
      </w:r>
      <w:r w:rsidRPr="00981405">
        <w:t>The</w:t>
      </w:r>
      <w:r w:rsidR="00190923" w:rsidRPr="00981405">
        <w:t xml:space="preserve"> </w:t>
      </w:r>
      <w:r w:rsidRPr="00981405">
        <w:t>Assembly</w:t>
      </w:r>
      <w:r w:rsidR="00190923" w:rsidRPr="00981405">
        <w:t xml:space="preserve"> </w:t>
      </w:r>
      <w:r w:rsidRPr="00981405">
        <w:t>also</w:t>
      </w:r>
      <w:r w:rsidR="00190923" w:rsidRPr="00981405">
        <w:t xml:space="preserve"> </w:t>
      </w:r>
      <w:r w:rsidRPr="00981405">
        <w:t>directed</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to</w:t>
      </w:r>
      <w:r w:rsidR="00190923" w:rsidRPr="00981405">
        <w:t xml:space="preserve"> </w:t>
      </w:r>
      <w:r w:rsidR="00B92E2C" w:rsidRPr="00981405">
        <w:t>“</w:t>
      </w:r>
      <w:r w:rsidRPr="00981405">
        <w:t>formulate</w:t>
      </w:r>
      <w:r w:rsidR="00B92E2C" w:rsidRPr="00981405">
        <w:t>”</w:t>
      </w:r>
      <w:r w:rsidR="00190923" w:rsidRPr="00981405">
        <w:t xml:space="preserve"> </w:t>
      </w:r>
      <w:r w:rsidRPr="00981405">
        <w:t>the</w:t>
      </w:r>
      <w:r w:rsidR="00190923" w:rsidRPr="00981405">
        <w:t xml:space="preserve"> </w:t>
      </w:r>
      <w:r w:rsidRPr="00981405">
        <w:rPr>
          <w:rFonts w:eastAsia="MS Mincho"/>
        </w:rPr>
        <w:t>Nürnberg</w:t>
      </w:r>
      <w:r w:rsidR="00190923" w:rsidRPr="00981405">
        <w:rPr>
          <w:rFonts w:eastAsia="MS Mincho"/>
        </w:rPr>
        <w:t xml:space="preserve"> </w:t>
      </w:r>
      <w:r w:rsidRPr="00981405">
        <w:rPr>
          <w:rFonts w:eastAsia="MS Mincho"/>
        </w:rPr>
        <w:t>Charter</w:t>
      </w:r>
      <w:r w:rsidR="00190923" w:rsidRPr="00981405">
        <w:t xml:space="preserve"> </w:t>
      </w:r>
      <w:r w:rsidRPr="00981405">
        <w:t>principles</w:t>
      </w:r>
      <w:r w:rsidR="00190923" w:rsidRPr="00981405">
        <w:t xml:space="preserve"> </w:t>
      </w:r>
      <w:r w:rsidRPr="00981405">
        <w:t>and</w:t>
      </w:r>
      <w:r w:rsidR="00190923" w:rsidRPr="00981405">
        <w:t xml:space="preserve"> </w:t>
      </w:r>
      <w:r w:rsidRPr="00981405">
        <w:t>to</w:t>
      </w:r>
      <w:r w:rsidR="00190923" w:rsidRPr="00981405">
        <w:t xml:space="preserve"> </w:t>
      </w:r>
      <w:r w:rsidRPr="00981405">
        <w:t>prepare</w:t>
      </w:r>
      <w:r w:rsidR="00190923" w:rsidRPr="00981405">
        <w:t xml:space="preserve"> </w:t>
      </w:r>
      <w:r w:rsidRPr="00981405">
        <w:t>a</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offences.</w:t>
      </w:r>
      <w:r w:rsidRPr="00981405">
        <w:rPr>
          <w:rStyle w:val="FootnoteReference"/>
        </w:rPr>
        <w:footnoteReference w:id="89"/>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1950</w:t>
      </w:r>
      <w:r w:rsidR="00190923" w:rsidRPr="00981405">
        <w:t xml:space="preserve"> </w:t>
      </w:r>
      <w:r w:rsidRPr="00981405">
        <w:t>produced</w:t>
      </w:r>
      <w:r w:rsidR="00190923" w:rsidRPr="00981405">
        <w:t xml:space="preserve"> </w:t>
      </w:r>
      <w:r w:rsidRPr="00981405">
        <w:t>the</w:t>
      </w:r>
      <w:r w:rsidR="00190923" w:rsidRPr="00981405">
        <w:t xml:space="preserve"> </w:t>
      </w:r>
      <w:r w:rsidR="00B92E2C" w:rsidRPr="00981405">
        <w:t>“</w:t>
      </w:r>
      <w:r w:rsidRPr="00981405">
        <w:t>Principles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recognized</w:t>
      </w:r>
      <w:r w:rsidR="00190923" w:rsidRPr="00981405">
        <w:t xml:space="preserve"> </w:t>
      </w:r>
      <w:r w:rsidRPr="00981405">
        <w:t>in</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Nürnberg</w:t>
      </w:r>
      <w:r w:rsidR="00190923" w:rsidRPr="00981405">
        <w:t xml:space="preserve"> </w:t>
      </w:r>
      <w:r w:rsidRPr="00981405">
        <w:t>Tribunal</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Judgment</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B92E2C" w:rsidRPr="00981405">
        <w:t>”</w:t>
      </w:r>
      <w:r w:rsidRPr="00981405">
        <w:t>,</w:t>
      </w:r>
      <w:r w:rsidR="00190923" w:rsidRPr="00981405">
        <w:t xml:space="preserve"> </w:t>
      </w:r>
      <w:r w:rsidRPr="00981405">
        <w:t>which</w:t>
      </w:r>
      <w:r w:rsidR="00190923" w:rsidRPr="00981405">
        <w:t xml:space="preserve"> </w:t>
      </w:r>
      <w:r w:rsidRPr="00981405">
        <w:t>stated</w:t>
      </w:r>
      <w:r w:rsidR="00190923" w:rsidRPr="00981405">
        <w:t xml:space="preserve"> </w:t>
      </w:r>
      <w:r w:rsidRPr="00981405">
        <w:t>that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were</w:t>
      </w:r>
      <w:r w:rsidR="00190923" w:rsidRPr="00981405">
        <w:t xml:space="preserve"> </w:t>
      </w:r>
      <w:r w:rsidR="00B92E2C" w:rsidRPr="00981405">
        <w:t>“</w:t>
      </w:r>
      <w:r w:rsidRPr="00981405">
        <w:t>punishable</w:t>
      </w:r>
      <w:r w:rsidR="00190923" w:rsidRPr="00981405">
        <w:t xml:space="preserve"> </w:t>
      </w:r>
      <w:r w:rsidRPr="00981405">
        <w:t>as</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B92E2C" w:rsidRPr="00981405">
        <w:t>”</w:t>
      </w:r>
      <w:r w:rsidRPr="00981405">
        <w:rPr>
          <w:rStyle w:val="FootnoteReference"/>
        </w:rPr>
        <w:footnoteReference w:id="90"/>
      </w:r>
      <w:r w:rsidR="00190923" w:rsidRPr="00981405">
        <w:t xml:space="preserve"> </w:t>
      </w:r>
      <w:r w:rsidRPr="00981405">
        <w:t>Further,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completed</w:t>
      </w:r>
      <w:r w:rsidR="00190923" w:rsidRPr="00981405">
        <w:t xml:space="preserve"> </w:t>
      </w:r>
      <w:r w:rsidRPr="00981405">
        <w:t>in</w:t>
      </w:r>
      <w:r w:rsidR="00190923" w:rsidRPr="00981405">
        <w:t xml:space="preserve"> </w:t>
      </w:r>
      <w:r w:rsidRPr="00981405">
        <w:t>1954</w:t>
      </w:r>
      <w:r w:rsidR="00190923" w:rsidRPr="00981405">
        <w:t xml:space="preserve"> </w:t>
      </w:r>
      <w:r w:rsidRPr="00981405">
        <w:t>a</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Offences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which</w:t>
      </w:r>
      <w:r w:rsidR="00190923" w:rsidRPr="00981405">
        <w:t xml:space="preserve"> </w:t>
      </w:r>
      <w:r w:rsidRPr="00981405">
        <w:t>in</w:t>
      </w:r>
      <w:r w:rsidR="00190923" w:rsidRPr="00981405">
        <w:t xml:space="preserve"> </w:t>
      </w:r>
      <w:r w:rsidRPr="00981405">
        <w:t>Article</w:t>
      </w:r>
      <w:r w:rsidR="00190923" w:rsidRPr="00981405">
        <w:t xml:space="preserve"> </w:t>
      </w:r>
      <w:r w:rsidRPr="00981405">
        <w:t>2,</w:t>
      </w:r>
      <w:r w:rsidR="00190923" w:rsidRPr="00981405">
        <w:t xml:space="preserve"> </w:t>
      </w:r>
      <w:r w:rsidRPr="00981405">
        <w:t>paragraph</w:t>
      </w:r>
      <w:r w:rsidR="00190923" w:rsidRPr="00981405">
        <w:t xml:space="preserve"> </w:t>
      </w:r>
      <w:r w:rsidRPr="00981405">
        <w:t>11,</w:t>
      </w:r>
      <w:r w:rsidR="00190923" w:rsidRPr="00981405">
        <w:t xml:space="preserve"> </w:t>
      </w:r>
      <w:r w:rsidRPr="00981405">
        <w:t>included</w:t>
      </w:r>
      <w:r w:rsidR="00190923" w:rsidRPr="00981405">
        <w:t xml:space="preserve"> </w:t>
      </w:r>
      <w:r w:rsidRPr="00981405">
        <w:t>as</w:t>
      </w:r>
      <w:r w:rsidR="00190923" w:rsidRPr="00981405">
        <w:t xml:space="preserve"> </w:t>
      </w:r>
      <w:r w:rsidRPr="00981405">
        <w:t>an</w:t>
      </w:r>
      <w:r w:rsidR="00190923" w:rsidRPr="00981405">
        <w:t xml:space="preserve"> </w:t>
      </w:r>
      <w:r w:rsidRPr="00981405">
        <w:t>offense</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inhuman</w:t>
      </w:r>
      <w:r w:rsidR="00190923" w:rsidRPr="00981405">
        <w:t xml:space="preserve"> </w:t>
      </w:r>
      <w:r w:rsidRPr="00981405">
        <w:t>acts</w:t>
      </w:r>
      <w:r w:rsidR="00190923" w:rsidRPr="00981405">
        <w:t xml:space="preserve"> </w:t>
      </w:r>
      <w:r w:rsidRPr="00981405">
        <w:t>that</w:t>
      </w:r>
      <w:r w:rsidR="00190923" w:rsidRPr="00981405">
        <w:t xml:space="preserve"> </w:t>
      </w:r>
      <w:r w:rsidRPr="00981405">
        <w:t>are</w:t>
      </w:r>
      <w:r w:rsidR="00190923" w:rsidRPr="00981405">
        <w:t xml:space="preserve"> </w:t>
      </w:r>
      <w:r w:rsidRPr="00981405">
        <w:t>today</w:t>
      </w:r>
      <w:r w:rsidR="00190923" w:rsidRPr="00981405">
        <w:t xml:space="preserve"> </w:t>
      </w:r>
      <w:r w:rsidRPr="00981405">
        <w:t>understood</w:t>
      </w:r>
      <w:r w:rsidR="00190923" w:rsidRPr="00981405">
        <w:t xml:space="preserve"> </w:t>
      </w:r>
      <w:r w:rsidRPr="00981405">
        <w:t>to</w:t>
      </w:r>
      <w:r w:rsidR="00190923" w:rsidRPr="00981405">
        <w:t xml:space="preserve"> </w:t>
      </w:r>
      <w:r w:rsidRPr="00981405">
        <w:t>be</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and</w:t>
      </w:r>
      <w:r w:rsidR="00190923" w:rsidRPr="00981405">
        <w:t xml:space="preserve"> </w:t>
      </w:r>
      <w:r w:rsidRPr="00981405">
        <w:t>which</w:t>
      </w:r>
      <w:r w:rsidR="00190923" w:rsidRPr="00981405">
        <w:t xml:space="preserve"> </w:t>
      </w:r>
      <w:r w:rsidRPr="00981405">
        <w:t>stated</w:t>
      </w:r>
      <w:r w:rsidR="00190923" w:rsidRPr="00981405">
        <w:t xml:space="preserve"> </w:t>
      </w:r>
      <w:r w:rsidRPr="00981405">
        <w:t>in</w:t>
      </w:r>
      <w:r w:rsidR="00190923" w:rsidRPr="00981405">
        <w:t xml:space="preserve"> </w:t>
      </w:r>
      <w:r w:rsidRPr="00981405">
        <w:t>article</w:t>
      </w:r>
      <w:r w:rsidR="00190923" w:rsidRPr="00981405">
        <w:t xml:space="preserve"> </w:t>
      </w:r>
      <w:r w:rsidRPr="00981405">
        <w:t>1</w:t>
      </w:r>
      <w:r w:rsidR="00190923" w:rsidRPr="00981405">
        <w:t xml:space="preserve"> </w:t>
      </w:r>
      <w:r w:rsidRPr="00981405">
        <w:t>that</w:t>
      </w:r>
      <w:r w:rsidR="00190923" w:rsidRPr="00981405">
        <w:t xml:space="preserve"> </w:t>
      </w:r>
      <w:r w:rsidR="00B92E2C" w:rsidRPr="00981405">
        <w:t>“</w:t>
      </w:r>
      <w:r w:rsidRPr="00981405">
        <w:t>[o]ffences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as</w:t>
      </w:r>
      <w:r w:rsidR="00190923" w:rsidRPr="00981405">
        <w:t xml:space="preserve"> </w:t>
      </w:r>
      <w:r w:rsidRPr="00981405">
        <w:t>defined</w:t>
      </w:r>
      <w:r w:rsidR="00190923" w:rsidRPr="00981405">
        <w:t xml:space="preserve"> </w:t>
      </w:r>
      <w:r w:rsidRPr="00981405">
        <w:t>in</w:t>
      </w:r>
      <w:r w:rsidR="00190923" w:rsidRPr="00981405">
        <w:t xml:space="preserve"> </w:t>
      </w:r>
      <w:r w:rsidRPr="00981405">
        <w:t>this</w:t>
      </w:r>
      <w:r w:rsidR="00190923" w:rsidRPr="00981405">
        <w:t xml:space="preserve"> </w:t>
      </w:r>
      <w:r w:rsidRPr="00981405">
        <w:t>Code,</w:t>
      </w:r>
      <w:r w:rsidR="00190923" w:rsidRPr="00981405">
        <w:t xml:space="preserve"> </w:t>
      </w:r>
      <w:r w:rsidRPr="00981405">
        <w:t>are</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for</w:t>
      </w:r>
      <w:r w:rsidR="00190923" w:rsidRPr="00981405">
        <w:t xml:space="preserve"> </w:t>
      </w:r>
      <w:r w:rsidRPr="00981405">
        <w:t>which</w:t>
      </w:r>
      <w:r w:rsidR="00190923" w:rsidRPr="00981405">
        <w:t xml:space="preserve"> </w:t>
      </w:r>
      <w:r w:rsidRPr="00981405">
        <w:t>the</w:t>
      </w:r>
      <w:r w:rsidR="00190923" w:rsidRPr="00981405">
        <w:t xml:space="preserve"> </w:t>
      </w:r>
      <w:r w:rsidRPr="00981405">
        <w:t>responsible</w:t>
      </w:r>
      <w:r w:rsidR="00190923" w:rsidRPr="00981405">
        <w:t xml:space="preserve"> </w:t>
      </w:r>
      <w:r w:rsidRPr="00981405">
        <w:t>individuals</w:t>
      </w:r>
      <w:r w:rsidR="00190923" w:rsidRPr="00981405">
        <w:t xml:space="preserve"> </w:t>
      </w:r>
      <w:r w:rsidRPr="00981405">
        <w:t>shall</w:t>
      </w:r>
      <w:r w:rsidR="00190923" w:rsidRPr="00981405">
        <w:t xml:space="preserve"> </w:t>
      </w:r>
      <w:r w:rsidRPr="00981405">
        <w:t>be</w:t>
      </w:r>
      <w:r w:rsidR="00190923" w:rsidRPr="00981405">
        <w:t xml:space="preserve"> </w:t>
      </w:r>
      <w:r w:rsidRPr="00981405">
        <w:t>punished.</w:t>
      </w:r>
      <w:r w:rsidR="00B92E2C" w:rsidRPr="00981405">
        <w:t>”</w:t>
      </w:r>
      <w:r w:rsidRPr="00981405">
        <w:rPr>
          <w:rStyle w:val="FootnoteReference"/>
        </w:rPr>
        <w:footnoteReference w:id="91"/>
      </w:r>
      <w:r w:rsidR="00190923" w:rsidRPr="00981405">
        <w:t xml:space="preserve"> </w:t>
      </w:r>
    </w:p>
    <w:p w:rsidR="00397032" w:rsidRPr="00981405" w:rsidRDefault="00397032" w:rsidP="00D97463">
      <w:pPr>
        <w:pStyle w:val="SingleTxt"/>
        <w:rPr>
          <w:rFonts w:eastAsia="MS Mincho"/>
        </w:rPr>
      </w:pPr>
      <w:r w:rsidRPr="00981405">
        <w:t>(4)</w:t>
      </w:r>
      <w:r w:rsidRPr="00981405">
        <w:tab/>
        <w:t>The</w:t>
      </w:r>
      <w:r w:rsidR="00190923" w:rsidRPr="00981405">
        <w:t xml:space="preserve"> </w:t>
      </w:r>
      <w:r w:rsidRPr="00981405">
        <w:t>characterization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00B92E2C" w:rsidRPr="00981405">
        <w:t>“</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B92E2C" w:rsidRPr="00981405">
        <w:t>”</w:t>
      </w:r>
      <w:r w:rsidR="00190923" w:rsidRPr="00981405">
        <w:t xml:space="preserve"> </w:t>
      </w:r>
      <w:r w:rsidRPr="00981405">
        <w:t>indicates</w:t>
      </w:r>
      <w:r w:rsidR="00190923" w:rsidRPr="00981405">
        <w:t xml:space="preserve"> </w:t>
      </w:r>
      <w:r w:rsidRPr="00981405">
        <w:t>that</w:t>
      </w:r>
      <w:r w:rsidR="00190923" w:rsidRPr="00981405">
        <w:t xml:space="preserve"> </w:t>
      </w:r>
      <w:r w:rsidRPr="00981405">
        <w:t>they</w:t>
      </w:r>
      <w:r w:rsidR="00190923" w:rsidRPr="00981405">
        <w:t xml:space="preserve"> </w:t>
      </w:r>
      <w:r w:rsidRPr="00981405">
        <w:t>exist</w:t>
      </w:r>
      <w:r w:rsidR="00190923" w:rsidRPr="00981405">
        <w:t xml:space="preserve"> </w:t>
      </w:r>
      <w:r w:rsidRPr="00981405">
        <w:t>as</w:t>
      </w:r>
      <w:r w:rsidR="00190923" w:rsidRPr="00981405">
        <w:t xml:space="preserve"> </w:t>
      </w:r>
      <w:r w:rsidRPr="00981405">
        <w:t>crimes</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w:t>
      </w:r>
      <w:r w:rsidR="00190923" w:rsidRPr="00981405">
        <w:t xml:space="preserve"> </w:t>
      </w:r>
      <w:r w:rsidRPr="00981405">
        <w:t>conduct</w:t>
      </w:r>
      <w:r w:rsidR="00190923" w:rsidRPr="00981405">
        <w:t xml:space="preserve"> </w:t>
      </w:r>
      <w:r w:rsidRPr="00981405">
        <w:t>has</w:t>
      </w:r>
      <w:r w:rsidR="00190923" w:rsidRPr="00981405">
        <w:t xml:space="preserve"> </w:t>
      </w:r>
      <w:r w:rsidRPr="00981405">
        <w:t>been</w:t>
      </w:r>
      <w:r w:rsidR="00190923" w:rsidRPr="00981405">
        <w:t xml:space="preserve"> </w:t>
      </w:r>
      <w:r w:rsidRPr="00981405">
        <w:t>criminalized</w:t>
      </w:r>
      <w:r w:rsidR="00190923" w:rsidRPr="00981405">
        <w:t xml:space="preserve"> </w:t>
      </w:r>
      <w:r w:rsidRPr="00981405">
        <w:t>under</w:t>
      </w:r>
      <w:r w:rsidR="00190923" w:rsidRPr="00981405">
        <w:t xml:space="preserve"> </w:t>
      </w:r>
      <w:r w:rsidRPr="00981405">
        <w:t>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Nürnberg</w:t>
      </w:r>
      <w:r w:rsidR="00190923" w:rsidRPr="00981405">
        <w:t xml:space="preserve"> </w:t>
      </w:r>
      <w:r w:rsidRPr="00981405">
        <w:t>Charter</w:t>
      </w:r>
      <w:r w:rsidR="00190923" w:rsidRPr="00981405">
        <w:t xml:space="preserve"> </w:t>
      </w:r>
      <w:r w:rsidRPr="00981405">
        <w:t>defined</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certain</w:t>
      </w:r>
      <w:r w:rsidR="00190923" w:rsidRPr="00981405">
        <w:t xml:space="preserve"> </w:t>
      </w:r>
      <w:r w:rsidRPr="00981405">
        <w:t>acts</w:t>
      </w:r>
      <w:r w:rsidR="00190923" w:rsidRPr="00981405">
        <w:t xml:space="preserve"> </w:t>
      </w:r>
      <w:r w:rsidR="00B92E2C" w:rsidRPr="00981405">
        <w:t>“</w:t>
      </w:r>
      <w:r w:rsidRPr="00981405">
        <w:rPr>
          <w:rFonts w:eastAsia="MS Mincho"/>
        </w:rPr>
        <w:t>whether</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violation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domestic</w:t>
      </w:r>
      <w:r w:rsidR="00190923" w:rsidRPr="00981405">
        <w:rPr>
          <w:rFonts w:eastAsia="MS Mincho"/>
        </w:rPr>
        <w:t xml:space="preserve"> </w:t>
      </w:r>
      <w:r w:rsidRPr="00981405">
        <w:rPr>
          <w:rFonts w:eastAsia="MS Mincho"/>
        </w:rPr>
        <w:t>law</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country</w:t>
      </w:r>
      <w:r w:rsidR="00190923" w:rsidRPr="00981405">
        <w:rPr>
          <w:rFonts w:eastAsia="MS Mincho"/>
        </w:rPr>
        <w:t xml:space="preserve"> </w:t>
      </w:r>
      <w:r w:rsidRPr="00981405">
        <w:rPr>
          <w:rFonts w:eastAsia="MS Mincho"/>
        </w:rPr>
        <w:t>where</w:t>
      </w:r>
      <w:r w:rsidR="00190923" w:rsidRPr="00981405">
        <w:rPr>
          <w:rFonts w:eastAsia="MS Mincho"/>
        </w:rPr>
        <w:t xml:space="preserve"> </w:t>
      </w:r>
      <w:r w:rsidRPr="00981405">
        <w:rPr>
          <w:rFonts w:eastAsia="MS Mincho"/>
        </w:rPr>
        <w:t>perpetrated.</w:t>
      </w:r>
      <w:r w:rsidR="00B92E2C" w:rsidRPr="00981405">
        <w:rPr>
          <w:rFonts w:eastAsia="MS Mincho"/>
        </w:rPr>
        <w:t>”</w:t>
      </w:r>
      <w:r w:rsidRPr="00981405">
        <w:rPr>
          <w:rStyle w:val="FootnoteReference"/>
        </w:rPr>
        <w:footnoteReference w:id="92"/>
      </w:r>
      <w:r w:rsidR="00190923" w:rsidRPr="00981405">
        <w:rPr>
          <w:rFonts w:eastAsia="MS Mincho"/>
        </w:rPr>
        <w:t xml:space="preserve"> </w:t>
      </w:r>
      <w:r w:rsidRPr="00981405">
        <w:t>In</w:t>
      </w:r>
      <w:r w:rsidR="00190923" w:rsidRPr="00981405">
        <w:t xml:space="preserve"> </w:t>
      </w:r>
      <w:r w:rsidRPr="00981405">
        <w:t>1996,</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completed</w:t>
      </w:r>
      <w:r w:rsidR="00190923" w:rsidRPr="00981405">
        <w:t xml:space="preserve"> </w:t>
      </w:r>
      <w:r w:rsidRPr="00981405">
        <w:t>a</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which</w:t>
      </w:r>
      <w:r w:rsidR="00190923" w:rsidRPr="00981405">
        <w:t xml:space="preserve"> </w:t>
      </w:r>
      <w:r w:rsidRPr="00981405">
        <w:t>provided,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that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were</w:t>
      </w:r>
      <w:r w:rsidR="00190923" w:rsidRPr="00981405">
        <w:t xml:space="preserve"> </w:t>
      </w:r>
      <w:r w:rsidR="00B92E2C" w:rsidRPr="00981405">
        <w:t>“</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punishable</w:t>
      </w:r>
      <w:r w:rsidR="00190923" w:rsidRPr="00981405">
        <w:t xml:space="preserve"> </w:t>
      </w:r>
      <w:r w:rsidRPr="00981405">
        <w:t>as</w:t>
      </w:r>
      <w:r w:rsidR="00190923" w:rsidRPr="00981405">
        <w:t xml:space="preserve"> </w:t>
      </w:r>
      <w:r w:rsidRPr="00981405">
        <w:t>such,</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they</w:t>
      </w:r>
      <w:r w:rsidR="00190923" w:rsidRPr="00981405">
        <w:t xml:space="preserve"> </w:t>
      </w:r>
      <w:r w:rsidRPr="00981405">
        <w:t>are</w:t>
      </w:r>
      <w:r w:rsidR="00190923" w:rsidRPr="00981405">
        <w:t xml:space="preserve"> </w:t>
      </w:r>
      <w:r w:rsidRPr="00981405">
        <w:t>punishable</w:t>
      </w:r>
      <w:r w:rsidR="00190923" w:rsidRPr="00981405">
        <w:t xml:space="preserve"> </w:t>
      </w:r>
      <w:r w:rsidRPr="00981405">
        <w:t>under</w:t>
      </w:r>
      <w:r w:rsidR="00190923" w:rsidRPr="00981405">
        <w:t xml:space="preserve"> </w:t>
      </w:r>
      <w:r w:rsidRPr="00981405">
        <w:t>national</w:t>
      </w:r>
      <w:r w:rsidR="00190923" w:rsidRPr="00981405">
        <w:t xml:space="preserve"> </w:t>
      </w:r>
      <w:r w:rsidRPr="00981405">
        <w:t>law.</w:t>
      </w:r>
      <w:r w:rsidR="00B92E2C" w:rsidRPr="00981405">
        <w:t>”</w:t>
      </w:r>
      <w:r w:rsidRPr="00981405">
        <w:rPr>
          <w:rStyle w:val="FootnoteReference"/>
        </w:rPr>
        <w:footnoteReference w:id="93"/>
      </w:r>
      <w:r w:rsidR="00190923" w:rsidRPr="00981405">
        <w:t xml:space="preserve"> </w:t>
      </w:r>
      <w:r w:rsidRPr="00981405">
        <w:t>The</w:t>
      </w:r>
      <w:r w:rsidR="00190923" w:rsidRPr="00981405">
        <w:t xml:space="preserve"> </w:t>
      </w:r>
      <w:r w:rsidRPr="00981405">
        <w:t>gravity</w:t>
      </w:r>
      <w:r w:rsidR="00190923" w:rsidRPr="00981405">
        <w:t xml:space="preserve"> </w:t>
      </w:r>
      <w:r w:rsidRPr="00981405">
        <w:t>of</w:t>
      </w:r>
      <w:r w:rsidR="00190923" w:rsidRPr="00981405">
        <w:t xml:space="preserve"> </w:t>
      </w:r>
      <w:r w:rsidRPr="00981405">
        <w:t>such</w:t>
      </w:r>
      <w:r w:rsidR="00190923" w:rsidRPr="00981405">
        <w:t xml:space="preserve"> </w:t>
      </w:r>
      <w:r w:rsidRPr="00981405">
        <w:t>crimes</w:t>
      </w:r>
      <w:r w:rsidR="00190923" w:rsidRPr="00981405">
        <w:t xml:space="preserve"> </w:t>
      </w:r>
      <w:r w:rsidRPr="00981405">
        <w:t>is</w:t>
      </w:r>
      <w:r w:rsidR="00190923" w:rsidRPr="00981405">
        <w:t xml:space="preserve"> </w:t>
      </w:r>
      <w:r w:rsidRPr="00981405">
        <w:t>clear;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previously</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is</w:t>
      </w:r>
      <w:r w:rsidR="00190923" w:rsidRPr="00981405">
        <w:t xml:space="preserve"> </w:t>
      </w:r>
      <w:r w:rsidR="00B92E2C" w:rsidRPr="00981405">
        <w:t>“</w:t>
      </w:r>
      <w:r w:rsidRPr="00981405">
        <w:t>clearly</w:t>
      </w:r>
      <w:r w:rsidR="00190923" w:rsidRPr="00981405">
        <w:t xml:space="preserve"> </w:t>
      </w:r>
      <w:r w:rsidRPr="00981405">
        <w:t>accepted</w:t>
      </w:r>
      <w:r w:rsidR="00190923" w:rsidRPr="00981405">
        <w:t xml:space="preserve"> </w:t>
      </w:r>
      <w:r w:rsidRPr="00981405">
        <w:t>and</w:t>
      </w:r>
      <w:r w:rsidR="00190923" w:rsidRPr="00981405">
        <w:t xml:space="preserve"> </w:t>
      </w:r>
      <w:r w:rsidRPr="00981405">
        <w:t>recognized</w:t>
      </w:r>
      <w:r w:rsidR="00B92E2C" w:rsidRPr="00981405">
        <w:t>”</w:t>
      </w:r>
      <w:r w:rsidR="00190923" w:rsidRPr="00981405">
        <w:t xml:space="preserve"> </w:t>
      </w:r>
      <w:r w:rsidRPr="00981405">
        <w:t>as</w:t>
      </w:r>
      <w:r w:rsidR="00190923" w:rsidRPr="00981405">
        <w:t xml:space="preserve"> </w:t>
      </w:r>
      <w:r w:rsidRPr="00981405">
        <w:t>a</w:t>
      </w:r>
      <w:r w:rsidR="00190923" w:rsidRPr="00981405">
        <w:t xml:space="preserve"> </w:t>
      </w:r>
      <w:r w:rsidRPr="00981405">
        <w:t>peremptory</w:t>
      </w:r>
      <w:r w:rsidR="00190923" w:rsidRPr="00981405">
        <w:t xml:space="preserve"> </w:t>
      </w:r>
      <w:r w:rsidRPr="00981405">
        <w:t>norm</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Pr="00981405">
        <w:rPr>
          <w:rStyle w:val="FootnoteReference"/>
        </w:rPr>
        <w:footnoteReference w:id="94"/>
      </w:r>
      <w:r w:rsidR="00190923" w:rsidRPr="00981405">
        <w:t xml:space="preserve"> </w:t>
      </w:r>
    </w:p>
    <w:p w:rsidR="00397032" w:rsidRPr="00981405" w:rsidRDefault="00397032" w:rsidP="00D97463">
      <w:pPr>
        <w:pStyle w:val="SingleTxt"/>
      </w:pPr>
      <w:r w:rsidRPr="00981405">
        <w:t>(5)</w:t>
      </w:r>
      <w:r w:rsidRPr="00981405">
        <w:tab/>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also</w:t>
      </w:r>
      <w:r w:rsidR="00190923" w:rsidRPr="00981405">
        <w:t xml:space="preserve"> </w:t>
      </w:r>
      <w:r w:rsidRPr="00981405">
        <w:t>identifies</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00B92E2C" w:rsidRPr="00981405">
        <w:t>“</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committed</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B92E2C" w:rsidRPr="00981405">
        <w:t>”</w:t>
      </w:r>
      <w:r w:rsidRPr="00981405">
        <w:t>.</w:t>
      </w:r>
      <w:r w:rsidR="00190923" w:rsidRPr="00981405">
        <w:t xml:space="preserve"> </w:t>
      </w:r>
      <w:r w:rsidRPr="00981405">
        <w:t>The</w:t>
      </w:r>
      <w:r w:rsidR="00190923" w:rsidRPr="00981405">
        <w:t xml:space="preserve"> </w:t>
      </w:r>
      <w:r w:rsidRPr="00981405">
        <w:t>reference</w:t>
      </w:r>
      <w:r w:rsidR="00190923" w:rsidRPr="00981405">
        <w:t xml:space="preserve"> </w:t>
      </w:r>
      <w:r w:rsidRPr="00981405">
        <w:t>to</w:t>
      </w:r>
      <w:r w:rsidR="00190923" w:rsidRPr="00981405">
        <w:t xml:space="preserve"> </w:t>
      </w:r>
      <w:r w:rsidR="00B92E2C" w:rsidRPr="00981405">
        <w:t>“</w:t>
      </w:r>
      <w:r w:rsidRPr="00981405">
        <w:t>armed</w:t>
      </w:r>
      <w:r w:rsidR="00190923" w:rsidRPr="00981405">
        <w:t xml:space="preserve"> </w:t>
      </w:r>
      <w:r w:rsidRPr="00981405">
        <w:t>conflict</w:t>
      </w:r>
      <w:r w:rsidR="00B92E2C" w:rsidRPr="00981405">
        <w:t>”</w:t>
      </w:r>
      <w:r w:rsidR="00190923" w:rsidRPr="00981405">
        <w:rPr>
          <w:rFonts w:eastAsia="MS Mincho"/>
        </w:rPr>
        <w:t xml:space="preserve"> </w:t>
      </w:r>
      <w:r w:rsidRPr="00981405">
        <w:rPr>
          <w:rFonts w:eastAsia="MS Mincho"/>
        </w:rPr>
        <w:t>should</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read</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including</w:t>
      </w:r>
      <w:r w:rsidR="00190923" w:rsidRPr="00981405">
        <w:rPr>
          <w:rFonts w:eastAsia="MS Mincho"/>
        </w:rPr>
        <w:t xml:space="preserve"> </w:t>
      </w:r>
      <w:r w:rsidRPr="00981405">
        <w:rPr>
          <w:rFonts w:eastAsia="MS Mincho"/>
        </w:rPr>
        <w:t>both</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non-international</w:t>
      </w:r>
      <w:r w:rsidR="00190923" w:rsidRPr="00981405">
        <w:rPr>
          <w:rFonts w:eastAsia="MS Mincho"/>
        </w:rPr>
        <w:t xml:space="preserve"> </w:t>
      </w:r>
      <w:r w:rsidRPr="00981405">
        <w:rPr>
          <w:rFonts w:eastAsia="MS Mincho"/>
        </w:rPr>
        <w:t>armed</w:t>
      </w:r>
      <w:r w:rsidR="00190923" w:rsidRPr="00981405">
        <w:rPr>
          <w:rFonts w:eastAsia="MS Mincho"/>
        </w:rPr>
        <w:t xml:space="preserve"> </w:t>
      </w:r>
      <w:r w:rsidRPr="00981405">
        <w:rPr>
          <w:rFonts w:eastAsia="MS Mincho"/>
        </w:rPr>
        <w:t>conflict.</w:t>
      </w:r>
      <w:r w:rsidR="00190923" w:rsidRPr="00981405">
        <w:t xml:space="preserve"> </w:t>
      </w:r>
      <w:r w:rsidRPr="00981405">
        <w:t>The</w:t>
      </w:r>
      <w:r w:rsidR="00190923" w:rsidRPr="00981405">
        <w:t xml:space="preserve"> </w:t>
      </w:r>
      <w:r w:rsidRPr="00981405">
        <w:rPr>
          <w:rFonts w:eastAsia="MS Mincho"/>
        </w:rPr>
        <w:t>Nürnberg</w:t>
      </w:r>
      <w:r w:rsidR="00190923" w:rsidRPr="00981405">
        <w:rPr>
          <w:rFonts w:eastAsia="MS Mincho"/>
        </w:rPr>
        <w:t xml:space="preserve"> </w:t>
      </w:r>
      <w:r w:rsidRPr="00981405">
        <w:rPr>
          <w:rFonts w:eastAsia="MS Mincho"/>
        </w:rPr>
        <w:t>Charter</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amended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Berlin</w:t>
      </w:r>
      <w:r w:rsidR="00190923" w:rsidRPr="00981405">
        <w:rPr>
          <w:rFonts w:eastAsia="MS Mincho"/>
        </w:rPr>
        <w:t xml:space="preserve"> </w:t>
      </w:r>
      <w:r w:rsidRPr="00981405">
        <w:rPr>
          <w:rFonts w:eastAsia="MS Mincho"/>
        </w:rPr>
        <w:t>Protocol,</w:t>
      </w:r>
      <w:r w:rsidRPr="00981405">
        <w:rPr>
          <w:rStyle w:val="FootnoteReference"/>
        </w:rPr>
        <w:footnoteReference w:id="95"/>
      </w:r>
      <w:r w:rsidR="00190923" w:rsidRPr="00981405">
        <w:rPr>
          <w:rFonts w:eastAsia="MS Mincho"/>
        </w:rPr>
        <w:t xml:space="preserve"> </w:t>
      </w:r>
      <w:r w:rsidRPr="00981405">
        <w:t>was</w:t>
      </w:r>
      <w:r w:rsidR="00190923" w:rsidRPr="00981405">
        <w:t xml:space="preserve"> </w:t>
      </w:r>
      <w:r w:rsidRPr="00981405">
        <w:t>linked</w:t>
      </w:r>
      <w:r w:rsidR="00190923" w:rsidRPr="00981405">
        <w:t xml:space="preserve"> </w:t>
      </w:r>
      <w:r w:rsidRPr="00981405">
        <w:t>to</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acts</w:t>
      </w:r>
      <w:r w:rsidR="00190923" w:rsidRPr="00981405">
        <w:t xml:space="preserve"> </w:t>
      </w:r>
      <w:r w:rsidRPr="00981405">
        <w:t>only</w:t>
      </w:r>
      <w:r w:rsidR="00190923" w:rsidRPr="00981405">
        <w:t xml:space="preserve"> </w:t>
      </w:r>
      <w:r w:rsidRPr="00981405">
        <w:t>constituted</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if</w:t>
      </w:r>
      <w:r w:rsidR="00190923" w:rsidRPr="00981405">
        <w:t xml:space="preserve"> </w:t>
      </w:r>
      <w:r w:rsidRPr="00981405">
        <w:t>committed</w:t>
      </w:r>
      <w:r w:rsidR="00190923" w:rsidRPr="00981405">
        <w:t xml:space="preserve"> </w:t>
      </w:r>
      <w:r w:rsidR="00B92E2C" w:rsidRPr="00981405">
        <w:t>“</w:t>
      </w:r>
      <w:r w:rsidRPr="00981405">
        <w:t>in</w:t>
      </w:r>
      <w:r w:rsidR="00190923" w:rsidRPr="00981405">
        <w:t xml:space="preserve"> </w:t>
      </w:r>
      <w:r w:rsidRPr="00981405">
        <w:t>execution</w:t>
      </w:r>
      <w:r w:rsidR="00190923" w:rsidRPr="00981405">
        <w:t xml:space="preserve"> </w:t>
      </w:r>
      <w:r w:rsidRPr="00981405">
        <w:t>of</w:t>
      </w:r>
      <w:r w:rsidR="00190923" w:rsidRPr="00981405">
        <w:t xml:space="preserve"> </w:t>
      </w:r>
      <w:r w:rsidRPr="00981405">
        <w:t>or</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B92E2C" w:rsidRPr="00981405">
        <w:t>”</w:t>
      </w:r>
      <w:r w:rsidR="00190923" w:rsidRPr="00981405">
        <w:t xml:space="preserve"> </w:t>
      </w:r>
      <w:r w:rsidRPr="00981405">
        <w:t>any</w:t>
      </w:r>
      <w:r w:rsidR="00190923" w:rsidRPr="00981405">
        <w:t xml:space="preserve"> </w:t>
      </w:r>
      <w:r w:rsidRPr="00981405">
        <w:t>crime</w:t>
      </w:r>
      <w:r w:rsidR="00190923" w:rsidRPr="00981405">
        <w:t xml:space="preserve"> </w:t>
      </w:r>
      <w:r w:rsidRPr="00981405">
        <w:t>within</w:t>
      </w:r>
      <w:r w:rsidR="00190923" w:rsidRPr="00981405">
        <w:t xml:space="preserve"> </w:t>
      </w:r>
      <w:r w:rsidRPr="00981405">
        <w:t>the</w:t>
      </w:r>
      <w:r w:rsidR="00190923" w:rsidRPr="00981405">
        <w:t xml:space="preserve"> </w:t>
      </w:r>
      <w:r w:rsidRPr="00981405">
        <w:t>IMT</w:t>
      </w:r>
      <w:r w:rsidR="00B92E2C" w:rsidRPr="00981405">
        <w:t>’</w:t>
      </w:r>
      <w:r w:rsidRPr="00981405">
        <w:t>s</w:t>
      </w:r>
      <w:r w:rsidR="00190923" w:rsidRPr="00981405">
        <w:t xml:space="preserve"> </w:t>
      </w:r>
      <w:r w:rsidRPr="00981405">
        <w:lastRenderedPageBreak/>
        <w:t>jurisdiction,</w:t>
      </w:r>
      <w:r w:rsidR="00190923" w:rsidRPr="00981405">
        <w:t xml:space="preserve"> </w:t>
      </w:r>
      <w:r w:rsidRPr="00981405">
        <w:t>meaning</w:t>
      </w:r>
      <w:r w:rsidR="00190923" w:rsidRPr="00981405">
        <w:t xml:space="preserve"> </w:t>
      </w:r>
      <w:r w:rsidRPr="00981405">
        <w:t>a</w:t>
      </w:r>
      <w:r w:rsidR="00190923" w:rsidRPr="00981405">
        <w:t xml:space="preserve"> </w:t>
      </w:r>
      <w:r w:rsidRPr="00981405">
        <w:t>crime</w:t>
      </w:r>
      <w:r w:rsidR="00190923" w:rsidRPr="00981405">
        <w:t xml:space="preserve"> </w:t>
      </w:r>
      <w:r w:rsidRPr="00981405">
        <w:t>against</w:t>
      </w:r>
      <w:r w:rsidR="00190923" w:rsidRPr="00981405">
        <w:t xml:space="preserve"> </w:t>
      </w:r>
      <w:r w:rsidRPr="00981405">
        <w:t>peace</w:t>
      </w:r>
      <w:r w:rsidR="00190923" w:rsidRPr="00981405">
        <w:t xml:space="preserve"> </w:t>
      </w:r>
      <w:r w:rsidRPr="00981405">
        <w:t>or</w:t>
      </w:r>
      <w:r w:rsidR="00190923" w:rsidRPr="00981405">
        <w:t xml:space="preserve"> </w:t>
      </w:r>
      <w:r w:rsidRPr="00981405">
        <w:t>a</w:t>
      </w:r>
      <w:r w:rsidR="00190923" w:rsidRPr="00981405">
        <w:t xml:space="preserve"> </w:t>
      </w:r>
      <w:r w:rsidRPr="00981405">
        <w:t>war</w:t>
      </w:r>
      <w:r w:rsidR="00190923" w:rsidRPr="00981405">
        <w:t xml:space="preserve"> </w:t>
      </w:r>
      <w:r w:rsidRPr="00981405">
        <w:t>crime.</w:t>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justification</w:t>
      </w:r>
      <w:r w:rsidR="00190923" w:rsidRPr="00981405">
        <w:t xml:space="preserve"> </w:t>
      </w:r>
      <w:r w:rsidRPr="00981405">
        <w:t>for</w:t>
      </w:r>
      <w:r w:rsidR="00190923" w:rsidRPr="00981405">
        <w:t xml:space="preserve"> </w:t>
      </w:r>
      <w:r w:rsidRPr="00981405">
        <w:t>dealing</w:t>
      </w:r>
      <w:r w:rsidR="00190923" w:rsidRPr="00981405">
        <w:t xml:space="preserve"> </w:t>
      </w:r>
      <w:r w:rsidRPr="00981405">
        <w:t>with</w:t>
      </w:r>
      <w:r w:rsidR="00190923" w:rsidRPr="00981405">
        <w:t xml:space="preserve"> </w:t>
      </w:r>
      <w:r w:rsidRPr="00981405">
        <w:t>matters</w:t>
      </w:r>
      <w:r w:rsidR="00190923" w:rsidRPr="00981405">
        <w:t xml:space="preserve"> </w:t>
      </w:r>
      <w:r w:rsidRPr="00981405">
        <w:t>that</w:t>
      </w:r>
      <w:r w:rsidR="00190923" w:rsidRPr="00981405">
        <w:t xml:space="preserve"> </w:t>
      </w:r>
      <w:r w:rsidRPr="00981405">
        <w:t>traditionally</w:t>
      </w:r>
      <w:r w:rsidR="00190923" w:rsidRPr="00981405">
        <w:t xml:space="preserve"> </w:t>
      </w:r>
      <w:r w:rsidRPr="00981405">
        <w:t>were</w:t>
      </w:r>
      <w:r w:rsidR="00190923" w:rsidRPr="00981405">
        <w:t xml:space="preserve"> </w:t>
      </w:r>
      <w:r w:rsidRPr="00981405">
        <w:t>within</w:t>
      </w:r>
      <w:r w:rsidR="00190923" w:rsidRPr="00981405">
        <w:t xml:space="preserve"> </w:t>
      </w:r>
      <w:r w:rsidRPr="00981405">
        <w:t>the</w:t>
      </w:r>
      <w:r w:rsidR="00190923" w:rsidRPr="00981405">
        <w:t xml:space="preserve"> </w:t>
      </w:r>
      <w:r w:rsidRPr="00981405">
        <w:t>national</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was</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crime</w:t>
      </w:r>
      <w:r w:rsidR="00B92E2C" w:rsidRPr="00981405">
        <w:t>’</w:t>
      </w:r>
      <w:r w:rsidRPr="00981405">
        <w:t>s</w:t>
      </w:r>
      <w:r w:rsidR="00190923" w:rsidRPr="00981405">
        <w:t xml:space="preserve"> </w:t>
      </w:r>
      <w:r w:rsidRPr="00981405">
        <w:t>connection</w:t>
      </w:r>
      <w:r w:rsidR="00190923" w:rsidRPr="00981405">
        <w:t xml:space="preserve"> </w:t>
      </w:r>
      <w:r w:rsidRPr="00981405">
        <w:t>to</w:t>
      </w:r>
      <w:r w:rsidR="00190923" w:rsidRPr="00981405">
        <w:t xml:space="preserve"> </w:t>
      </w:r>
      <w:r w:rsidRPr="00981405">
        <w:t>inter-State</w:t>
      </w:r>
      <w:r w:rsidR="00190923" w:rsidRPr="00981405">
        <w:t xml:space="preserve"> </w:t>
      </w:r>
      <w:r w:rsidRPr="00981405">
        <w:t>conflict.</w:t>
      </w:r>
      <w:r w:rsidR="00190923" w:rsidRPr="00981405">
        <w:t xml:space="preserve"> </w:t>
      </w:r>
      <w:r w:rsidRPr="00981405">
        <w:t>That</w:t>
      </w:r>
      <w:r w:rsidR="00190923" w:rsidRPr="00981405">
        <w:t xml:space="preserve"> </w:t>
      </w:r>
      <w:r w:rsidRPr="00981405">
        <w:t>connection,</w:t>
      </w:r>
      <w:r w:rsidR="00190923" w:rsidRPr="00981405">
        <w:t xml:space="preserve"> </w:t>
      </w:r>
      <w:r w:rsidRPr="00981405">
        <w:t>in</w:t>
      </w:r>
      <w:r w:rsidR="00190923" w:rsidRPr="00981405">
        <w:t xml:space="preserve"> </w:t>
      </w:r>
      <w:r w:rsidRPr="00981405">
        <w:t>turn,</w:t>
      </w:r>
      <w:r w:rsidR="00190923" w:rsidRPr="00981405">
        <w:t xml:space="preserve"> </w:t>
      </w:r>
      <w:r w:rsidRPr="00981405">
        <w:t>suggested</w:t>
      </w:r>
      <w:r w:rsidR="00190923" w:rsidRPr="00981405">
        <w:t xml:space="preserve"> </w:t>
      </w:r>
      <w:r w:rsidRPr="00981405">
        <w:t>heinous</w:t>
      </w:r>
      <w:r w:rsidR="00190923" w:rsidRPr="00981405">
        <w:t xml:space="preserve"> </w:t>
      </w:r>
      <w:r w:rsidRPr="00981405">
        <w:t>crimes</w:t>
      </w:r>
      <w:r w:rsidR="00190923" w:rsidRPr="00981405">
        <w:t xml:space="preserve"> </w:t>
      </w:r>
      <w:r w:rsidRPr="00981405">
        <w:t>occurring</w:t>
      </w:r>
      <w:r w:rsidR="00190923" w:rsidRPr="00981405">
        <w:t xml:space="preserve"> </w:t>
      </w:r>
      <w:r w:rsidRPr="00981405">
        <w:t>on</w:t>
      </w:r>
      <w:r w:rsidR="00190923" w:rsidRPr="00981405">
        <w:t xml:space="preserve"> </w:t>
      </w:r>
      <w:r w:rsidRPr="00981405">
        <w:t>a</w:t>
      </w:r>
      <w:r w:rsidR="00190923" w:rsidRPr="00981405">
        <w:t xml:space="preserve"> </w:t>
      </w:r>
      <w:r w:rsidRPr="00981405">
        <w:t>large-scale,</w:t>
      </w:r>
      <w:r w:rsidR="00190923" w:rsidRPr="00981405">
        <w:t xml:space="preserve"> </w:t>
      </w:r>
      <w:r w:rsidRPr="00981405">
        <w:t>perhaps</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pattern</w:t>
      </w:r>
      <w:r w:rsidR="00190923" w:rsidRPr="00981405">
        <w:t xml:space="preserve"> </w:t>
      </w:r>
      <w:r w:rsidRPr="00981405">
        <w:t>of</w:t>
      </w:r>
      <w:r w:rsidR="00190923" w:rsidRPr="00981405">
        <w:t xml:space="preserve"> </w:t>
      </w:r>
      <w:r w:rsidRPr="00981405">
        <w:t>conduct.</w:t>
      </w:r>
      <w:r w:rsidRPr="00981405">
        <w:rPr>
          <w:rStyle w:val="FootnoteReference"/>
        </w:rPr>
        <w:footnoteReference w:id="96"/>
      </w:r>
      <w:r w:rsidR="00190923" w:rsidRPr="00981405">
        <w:t xml:space="preserve"> </w:t>
      </w:r>
      <w:r w:rsidRPr="00981405">
        <w:t>The</w:t>
      </w:r>
      <w:r w:rsidR="00190923" w:rsidRPr="00981405">
        <w:t xml:space="preserve"> </w:t>
      </w:r>
      <w:r w:rsidRPr="00981405">
        <w:t>IMT,</w:t>
      </w:r>
      <w:r w:rsidR="00190923" w:rsidRPr="00981405">
        <w:t xml:space="preserve"> </w:t>
      </w:r>
      <w:r w:rsidRPr="00981405">
        <w:t>charged</w:t>
      </w:r>
      <w:r w:rsidR="00190923" w:rsidRPr="00981405">
        <w:t xml:space="preserve"> </w:t>
      </w:r>
      <w:r w:rsidRPr="00981405">
        <w:t>with</w:t>
      </w:r>
      <w:r w:rsidR="00190923" w:rsidRPr="00981405">
        <w:t xml:space="preserve"> </w:t>
      </w:r>
      <w:r w:rsidRPr="00981405">
        <w:t>trying</w:t>
      </w:r>
      <w:r w:rsidR="00190923" w:rsidRPr="00981405">
        <w:t xml:space="preserve"> </w:t>
      </w:r>
      <w:r w:rsidRPr="00981405">
        <w:t>the</w:t>
      </w:r>
      <w:r w:rsidR="00190923" w:rsidRPr="00981405">
        <w:t xml:space="preserve"> </w:t>
      </w:r>
      <w:r w:rsidRPr="00981405">
        <w:t>senior</w:t>
      </w:r>
      <w:r w:rsidR="00190923" w:rsidRPr="00981405">
        <w:t xml:space="preserve"> </w:t>
      </w:r>
      <w:r w:rsidRPr="00981405">
        <w:t>political</w:t>
      </w:r>
      <w:r w:rsidR="00190923" w:rsidRPr="00981405">
        <w:t xml:space="preserve"> </w:t>
      </w:r>
      <w:r w:rsidRPr="00981405">
        <w:t>and</w:t>
      </w:r>
      <w:r w:rsidR="00190923" w:rsidRPr="00981405">
        <w:t xml:space="preserve"> </w:t>
      </w:r>
      <w:r w:rsidRPr="00981405">
        <w:t>military</w:t>
      </w:r>
      <w:r w:rsidR="00190923" w:rsidRPr="00981405">
        <w:t xml:space="preserve"> </w:t>
      </w:r>
      <w:r w:rsidRPr="00981405">
        <w:t>leaders</w:t>
      </w:r>
      <w:r w:rsidR="00190923" w:rsidRPr="00981405">
        <w:t xml:space="preserve"> </w:t>
      </w:r>
      <w:r w:rsidRPr="00981405">
        <w:t>of</w:t>
      </w:r>
      <w:r w:rsidR="00190923" w:rsidRPr="00981405">
        <w:t xml:space="preserve"> </w:t>
      </w:r>
      <w:r w:rsidRPr="00981405">
        <w:t>the</w:t>
      </w:r>
      <w:r w:rsidR="00190923" w:rsidRPr="00981405">
        <w:t xml:space="preserve"> </w:t>
      </w:r>
      <w:r w:rsidRPr="00981405">
        <w:t>Third</w:t>
      </w:r>
      <w:r w:rsidR="00190923" w:rsidRPr="00981405">
        <w:t xml:space="preserve"> </w:t>
      </w:r>
      <w:r w:rsidRPr="00981405">
        <w:t>Reich,</w:t>
      </w:r>
      <w:r w:rsidR="00190923" w:rsidRPr="00981405">
        <w:t xml:space="preserve"> </w:t>
      </w:r>
      <w:r w:rsidRPr="00981405">
        <w:t>convicted</w:t>
      </w:r>
      <w:r w:rsidR="00190923" w:rsidRPr="00981405">
        <w:t xml:space="preserve"> </w:t>
      </w:r>
      <w:r w:rsidRPr="00981405">
        <w:t>several</w:t>
      </w:r>
      <w:r w:rsidR="00190923" w:rsidRPr="00981405">
        <w:t xml:space="preserve"> </w:t>
      </w:r>
      <w:r w:rsidRPr="00981405">
        <w:t>defendants</w:t>
      </w:r>
      <w:r w:rsidR="00190923" w:rsidRPr="00981405">
        <w:t xml:space="preserve"> </w:t>
      </w:r>
      <w:r w:rsidRPr="00981405">
        <w:t>for</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committed</w:t>
      </w:r>
      <w:r w:rsidR="00190923" w:rsidRPr="00981405">
        <w:t xml:space="preserve"> </w:t>
      </w:r>
      <w:r w:rsidRPr="00981405">
        <w:t>during</w:t>
      </w:r>
      <w:r w:rsidR="00190923" w:rsidRPr="00981405">
        <w:t xml:space="preserve"> </w:t>
      </w:r>
      <w:r w:rsidRPr="00981405">
        <w:t>the</w:t>
      </w:r>
      <w:r w:rsidR="00190923" w:rsidRPr="00981405">
        <w:t xml:space="preserve"> </w:t>
      </w:r>
      <w:r w:rsidRPr="00981405">
        <w:t>war,</w:t>
      </w:r>
      <w:r w:rsidR="00190923" w:rsidRPr="00981405">
        <w:t xml:space="preserve"> </w:t>
      </w:r>
      <w:r w:rsidRPr="00981405">
        <w:t>though</w:t>
      </w:r>
      <w:r w:rsidR="00190923" w:rsidRPr="00981405">
        <w:t xml:space="preserve"> </w:t>
      </w:r>
      <w:r w:rsidRPr="00981405">
        <w:t>in</w:t>
      </w:r>
      <w:r w:rsidR="00190923" w:rsidRPr="00981405">
        <w:t xml:space="preserve"> </w:t>
      </w:r>
      <w:r w:rsidRPr="00981405">
        <w:t>some</w:t>
      </w:r>
      <w:r w:rsidR="00190923" w:rsidRPr="00981405">
        <w:t xml:space="preserve"> </w:t>
      </w:r>
      <w:r w:rsidRPr="00981405">
        <w:t>instances</w:t>
      </w:r>
      <w:r w:rsidR="00190923" w:rsidRPr="00981405">
        <w:t xml:space="preserve"> </w:t>
      </w:r>
      <w:r w:rsidRPr="00981405">
        <w:t>the</w:t>
      </w:r>
      <w:r w:rsidR="00190923" w:rsidRPr="00981405">
        <w:t xml:space="preserve"> </w:t>
      </w:r>
      <w:r w:rsidRPr="00981405">
        <w:t>connection</w:t>
      </w:r>
      <w:r w:rsidR="00190923" w:rsidRPr="00981405">
        <w:t xml:space="preserve"> </w:t>
      </w:r>
      <w:r w:rsidRPr="00981405">
        <w:t>of</w:t>
      </w:r>
      <w:r w:rsidR="00190923" w:rsidRPr="00981405">
        <w:t xml:space="preserve"> </w:t>
      </w:r>
      <w:r w:rsidRPr="00981405">
        <w:t>those</w:t>
      </w:r>
      <w:r w:rsidR="00190923" w:rsidRPr="00981405">
        <w:t xml:space="preserve"> </w:t>
      </w:r>
      <w:r w:rsidRPr="00981405">
        <w:t>crimes</w:t>
      </w:r>
      <w:r w:rsidR="00190923" w:rsidRPr="00981405">
        <w:t xml:space="preserve"> </w:t>
      </w:r>
      <w:r w:rsidRPr="00981405">
        <w:t>with</w:t>
      </w:r>
      <w:r w:rsidR="00190923" w:rsidRPr="00981405">
        <w:t xml:space="preserve"> </w:t>
      </w:r>
      <w:r w:rsidRPr="00981405">
        <w:t>other</w:t>
      </w:r>
      <w:r w:rsidR="00190923" w:rsidRPr="00981405">
        <w:t xml:space="preserve"> </w:t>
      </w:r>
      <w:r w:rsidRPr="00981405">
        <w:t>crimes</w:t>
      </w:r>
      <w:r w:rsidR="00190923" w:rsidRPr="00981405">
        <w:t xml:space="preserve"> </w:t>
      </w:r>
      <w:r w:rsidRPr="00981405">
        <w:t>in</w:t>
      </w:r>
      <w:r w:rsidR="00190923" w:rsidRPr="00981405">
        <w:t xml:space="preserve"> </w:t>
      </w:r>
      <w:r w:rsidRPr="00981405">
        <w:t>the</w:t>
      </w:r>
      <w:r w:rsidR="00190923" w:rsidRPr="00981405">
        <w:t xml:space="preserve"> </w:t>
      </w:r>
      <w:r w:rsidRPr="00981405">
        <w:t>IMT</w:t>
      </w:r>
      <w:r w:rsidR="00B92E2C" w:rsidRPr="00981405">
        <w:t>’</w:t>
      </w:r>
      <w:r w:rsidRPr="00981405">
        <w:t>s</w:t>
      </w:r>
      <w:r w:rsidR="00190923" w:rsidRPr="00981405">
        <w:t xml:space="preserve"> </w:t>
      </w:r>
      <w:r w:rsidRPr="00981405">
        <w:t>jurisdiction</w:t>
      </w:r>
      <w:r w:rsidR="00190923" w:rsidRPr="00981405">
        <w:t xml:space="preserve"> </w:t>
      </w:r>
      <w:r w:rsidRPr="00981405">
        <w:t>was</w:t>
      </w:r>
      <w:r w:rsidR="00190923" w:rsidRPr="00981405">
        <w:t xml:space="preserve"> </w:t>
      </w:r>
      <w:r w:rsidRPr="00981405">
        <w:t>tenuous.</w:t>
      </w:r>
      <w:bookmarkStart w:id="57" w:name="_Ref295834131"/>
      <w:r w:rsidRPr="00981405">
        <w:rPr>
          <w:rStyle w:val="FootnoteReference"/>
        </w:rPr>
        <w:footnoteReference w:id="97"/>
      </w:r>
      <w:bookmarkEnd w:id="57"/>
    </w:p>
    <w:p w:rsidR="00397032" w:rsidRPr="00981405" w:rsidRDefault="00397032" w:rsidP="00D97463">
      <w:pPr>
        <w:pStyle w:val="SingleTxt"/>
      </w:pPr>
      <w:r w:rsidRPr="00981405">
        <w:t>(6)</w:t>
      </w:r>
      <w:r w:rsidRPr="00981405">
        <w:tab/>
        <w:t>The</w:t>
      </w:r>
      <w:r w:rsidR="00190923" w:rsidRPr="00981405">
        <w:t xml:space="preserve"> </w:t>
      </w:r>
      <w:r w:rsidRPr="00981405">
        <w:t>Commission</w:t>
      </w:r>
      <w:r w:rsidR="00B92E2C" w:rsidRPr="00981405">
        <w:t>’</w:t>
      </w:r>
      <w:r w:rsidRPr="00981405">
        <w:t>s</w:t>
      </w:r>
      <w:r w:rsidR="00190923" w:rsidRPr="00981405">
        <w:t xml:space="preserve"> </w:t>
      </w:r>
      <w:r w:rsidRPr="00981405">
        <w:t>1950</w:t>
      </w:r>
      <w:r w:rsidR="00190923" w:rsidRPr="00981405">
        <w:t xml:space="preserve"> </w:t>
      </w:r>
      <w:r w:rsidR="00B92E2C" w:rsidRPr="00981405">
        <w:t>“</w:t>
      </w:r>
      <w:r w:rsidRPr="00981405">
        <w:t>Principles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recognized</w:t>
      </w:r>
      <w:r w:rsidR="00190923" w:rsidRPr="00981405">
        <w:t xml:space="preserve"> </w:t>
      </w:r>
      <w:r w:rsidRPr="00981405">
        <w:t>in</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Nürnberg</w:t>
      </w:r>
      <w:r w:rsidR="00190923" w:rsidRPr="00981405">
        <w:t xml:space="preserve"> </w:t>
      </w:r>
      <w:r w:rsidRPr="00981405">
        <w:t>Tribunal</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Judgment</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B92E2C" w:rsidRPr="00981405">
        <w:t>”</w:t>
      </w:r>
      <w:r w:rsidR="00190923" w:rsidRPr="00981405">
        <w:t xml:space="preserve"> </w:t>
      </w:r>
      <w:r w:rsidRPr="00981405">
        <w:t>however,</w:t>
      </w:r>
      <w:r w:rsidR="00190923" w:rsidRPr="00981405">
        <w:t xml:space="preserve"> </w:t>
      </w:r>
      <w:r w:rsidRPr="00981405">
        <w:t>defined</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w:t>
      </w:r>
      <w:r w:rsidR="00190923" w:rsidRPr="00981405">
        <w:t xml:space="preserve"> </w:t>
      </w:r>
      <w:r w:rsidRPr="00981405">
        <w:t>Principle</w:t>
      </w:r>
      <w:r w:rsidR="00190923" w:rsidRPr="00981405">
        <w:t xml:space="preserve"> </w:t>
      </w:r>
      <w:r w:rsidRPr="00981405">
        <w:t>VI</w:t>
      </w:r>
      <w:r w:rsidR="00190923" w:rsidRPr="00981405">
        <w:t xml:space="preserve"> </w:t>
      </w:r>
      <w:r w:rsidRPr="00981405">
        <w:t>(c)</w:t>
      </w:r>
      <w:r w:rsidR="00190923" w:rsidRPr="00981405">
        <w:t xml:space="preserve"> </w:t>
      </w:r>
      <w:r w:rsidRPr="00981405">
        <w:t>in</w:t>
      </w:r>
      <w:r w:rsidR="00190923" w:rsidRPr="00981405">
        <w:t xml:space="preserve"> </w:t>
      </w:r>
      <w:r w:rsidRPr="00981405">
        <w:t>a</w:t>
      </w:r>
      <w:r w:rsidR="00190923" w:rsidRPr="00981405">
        <w:t xml:space="preserve"> </w:t>
      </w:r>
      <w:r w:rsidRPr="00981405">
        <w:t>manner</w:t>
      </w:r>
      <w:r w:rsidR="00190923" w:rsidRPr="00981405">
        <w:t xml:space="preserve"> </w:t>
      </w:r>
      <w:r w:rsidRPr="00981405">
        <w:t>that</w:t>
      </w:r>
      <w:r w:rsidR="00190923" w:rsidRPr="00981405">
        <w:t xml:space="preserve"> </w:t>
      </w:r>
      <w:r w:rsidRPr="00981405">
        <w:t>required</w:t>
      </w:r>
      <w:r w:rsidR="00190923" w:rsidRPr="00981405">
        <w:t xml:space="preserve"> </w:t>
      </w:r>
      <w:r w:rsidRPr="00981405">
        <w:t>no</w:t>
      </w:r>
      <w:r w:rsidR="00190923" w:rsidRPr="00981405">
        <w:t xml:space="preserve"> </w:t>
      </w:r>
      <w:r w:rsidRPr="00981405">
        <w:t>connection</w:t>
      </w:r>
      <w:r w:rsidR="00190923" w:rsidRPr="00981405">
        <w:t xml:space="preserve"> </w:t>
      </w:r>
      <w:r w:rsidRPr="00981405">
        <w:t>to</w:t>
      </w:r>
      <w:r w:rsidR="00190923" w:rsidRPr="00981405">
        <w:t xml:space="preserve"> </w:t>
      </w:r>
      <w:r w:rsidRPr="00981405">
        <w:t>an</w:t>
      </w:r>
      <w:r w:rsidR="00190923" w:rsidRPr="00981405">
        <w:t xml:space="preserve"> </w:t>
      </w:r>
      <w:r w:rsidRPr="00981405">
        <w:t>armed</w:t>
      </w:r>
      <w:r w:rsidR="00190923" w:rsidRPr="00981405">
        <w:t xml:space="preserve"> </w:t>
      </w:r>
      <w:r w:rsidRPr="00981405">
        <w:t>conflict.</w:t>
      </w:r>
      <w:r w:rsidRPr="00981405">
        <w:rPr>
          <w:rStyle w:val="FootnoteReference"/>
        </w:rPr>
        <w:footnoteReference w:id="98"/>
      </w:r>
      <w:r w:rsidR="00190923" w:rsidRPr="00981405">
        <w:t xml:space="preserve"> </w:t>
      </w:r>
      <w:r w:rsidRPr="00981405">
        <w:t>In</w:t>
      </w:r>
      <w:r w:rsidR="00190923" w:rsidRPr="00981405">
        <w:t xml:space="preserve"> </w:t>
      </w:r>
      <w:r w:rsidRPr="00981405">
        <w:t>its</w:t>
      </w:r>
      <w:r w:rsidR="00190923" w:rsidRPr="00981405">
        <w:t xml:space="preserve"> </w:t>
      </w:r>
      <w:r w:rsidRPr="00981405">
        <w:t>commentary</w:t>
      </w:r>
      <w:r w:rsidR="00190923" w:rsidRPr="00981405">
        <w:t xml:space="preserve"> </w:t>
      </w:r>
      <w:r w:rsidRPr="00981405">
        <w:t>to</w:t>
      </w:r>
      <w:r w:rsidR="00190923" w:rsidRPr="00981405">
        <w:t xml:space="preserve"> </w:t>
      </w:r>
      <w:r w:rsidRPr="00981405">
        <w:t>this</w:t>
      </w:r>
      <w:r w:rsidR="00190923" w:rsidRPr="00981405">
        <w:t xml:space="preserve"> </w:t>
      </w:r>
      <w:r w:rsidRPr="00981405">
        <w:t>principle,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emphasized</w:t>
      </w:r>
      <w:r w:rsidR="00190923" w:rsidRPr="00981405">
        <w:t xml:space="preserve"> </w:t>
      </w:r>
      <w:r w:rsidRPr="00981405">
        <w:t>that</w:t>
      </w:r>
      <w:r w:rsidR="00190923" w:rsidRPr="00981405">
        <w:t xml:space="preserve"> </w:t>
      </w:r>
      <w:r w:rsidRPr="00981405">
        <w:t>the</w:t>
      </w:r>
      <w:r w:rsidR="00190923" w:rsidRPr="00981405">
        <w:t xml:space="preserve"> </w:t>
      </w:r>
      <w:r w:rsidRPr="00981405">
        <w:t>crime</w:t>
      </w:r>
      <w:r w:rsidR="00190923" w:rsidRPr="00981405">
        <w:t xml:space="preserve"> </w:t>
      </w:r>
      <w:r w:rsidRPr="00981405">
        <w:t>need</w:t>
      </w:r>
      <w:r w:rsidR="00190923" w:rsidRPr="00981405">
        <w:t xml:space="preserve"> </w:t>
      </w:r>
      <w:r w:rsidRPr="00981405">
        <w:t>not</w:t>
      </w:r>
      <w:r w:rsidR="00190923" w:rsidRPr="00981405">
        <w:t xml:space="preserve"> </w:t>
      </w:r>
      <w:r w:rsidRPr="00981405">
        <w:t>be</w:t>
      </w:r>
      <w:r w:rsidR="00190923" w:rsidRPr="00981405">
        <w:t xml:space="preserve"> </w:t>
      </w:r>
      <w:r w:rsidRPr="00981405">
        <w:t>committed</w:t>
      </w:r>
      <w:r w:rsidR="00190923" w:rsidRPr="00981405">
        <w:t xml:space="preserve"> </w:t>
      </w:r>
      <w:r w:rsidRPr="00981405">
        <w:t>during</w:t>
      </w:r>
      <w:r w:rsidR="00190923" w:rsidRPr="00981405">
        <w:t xml:space="preserve"> </w:t>
      </w:r>
      <w:r w:rsidRPr="00981405">
        <w:t>a</w:t>
      </w:r>
      <w:r w:rsidR="00190923" w:rsidRPr="00981405">
        <w:t xml:space="preserve"> </w:t>
      </w:r>
      <w:r w:rsidRPr="00981405">
        <w:t>war,</w:t>
      </w:r>
      <w:r w:rsidR="00190923" w:rsidRPr="00981405">
        <w:t xml:space="preserve"> </w:t>
      </w:r>
      <w:r w:rsidRPr="00981405">
        <w:t>but</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t>pre-war</w:t>
      </w:r>
      <w:r w:rsidR="00190923" w:rsidRPr="00981405">
        <w:t xml:space="preserve"> </w:t>
      </w:r>
      <w:r w:rsidRPr="00981405">
        <w:t>crimes</w:t>
      </w:r>
      <w:r w:rsidR="00190923" w:rsidRPr="00981405">
        <w:t xml:space="preserve"> </w:t>
      </w:r>
      <w:r w:rsidRPr="00981405">
        <w:t>must</w:t>
      </w:r>
      <w:r w:rsidR="00190923" w:rsidRPr="00981405">
        <w:t xml:space="preserve"> </w:t>
      </w:r>
      <w:r w:rsidRPr="00981405">
        <w:t>nevertheless</w:t>
      </w:r>
      <w:r w:rsidR="00190923" w:rsidRPr="00981405">
        <w:t xml:space="preserve"> </w:t>
      </w:r>
      <w:r w:rsidRPr="00981405">
        <w:t>be</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a</w:t>
      </w:r>
      <w:r w:rsidR="00190923" w:rsidRPr="00981405">
        <w:t xml:space="preserve"> </w:t>
      </w:r>
      <w:r w:rsidRPr="00981405">
        <w:t>crime</w:t>
      </w:r>
      <w:r w:rsidR="00190923" w:rsidRPr="00981405">
        <w:t xml:space="preserve"> </w:t>
      </w:r>
      <w:r w:rsidRPr="00981405">
        <w:t>against</w:t>
      </w:r>
      <w:r w:rsidR="00190923" w:rsidRPr="00981405">
        <w:t xml:space="preserve"> </w:t>
      </w:r>
      <w:r w:rsidRPr="00981405">
        <w:t>peace.</w:t>
      </w:r>
      <w:r w:rsidRPr="00981405">
        <w:rPr>
          <w:rStyle w:val="FootnoteReference"/>
        </w:rPr>
        <w:footnoteReference w:id="99"/>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maintained</w:t>
      </w:r>
      <w:r w:rsidR="00190923" w:rsidRPr="00981405">
        <w:t xml:space="preserve"> </w:t>
      </w:r>
      <w:r w:rsidRPr="00981405">
        <w:t>that</w:t>
      </w:r>
      <w:r w:rsidR="00190923" w:rsidRPr="00981405">
        <w:t xml:space="preserve"> </w:t>
      </w:r>
      <w:r w:rsidR="00B92E2C" w:rsidRPr="00981405">
        <w:t>“</w:t>
      </w:r>
      <w:r w:rsidRPr="00981405">
        <w:t>acts</w:t>
      </w:r>
      <w:r w:rsidR="00190923" w:rsidRPr="00981405">
        <w:t xml:space="preserve"> </w:t>
      </w:r>
      <w:r w:rsidRPr="00981405">
        <w:t>may</w:t>
      </w:r>
      <w:r w:rsidR="00190923" w:rsidRPr="00981405">
        <w:t xml:space="preserve"> </w:t>
      </w:r>
      <w:r w:rsidRPr="00981405">
        <w:t>be</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even</w:t>
      </w:r>
      <w:r w:rsidR="00190923" w:rsidRPr="00981405">
        <w:t xml:space="preserve"> </w:t>
      </w:r>
      <w:r w:rsidRPr="00981405">
        <w:t>if</w:t>
      </w:r>
      <w:r w:rsidR="00190923" w:rsidRPr="00981405">
        <w:t xml:space="preserve"> </w:t>
      </w:r>
      <w:r w:rsidRPr="00981405">
        <w:t>they</w:t>
      </w:r>
      <w:r w:rsidR="00190923" w:rsidRPr="00981405">
        <w:t xml:space="preserve"> </w:t>
      </w:r>
      <w:r w:rsidRPr="00981405">
        <w:t>are</w:t>
      </w:r>
      <w:r w:rsidR="00190923" w:rsidRPr="00981405">
        <w:t xml:space="preserve"> </w:t>
      </w:r>
      <w:r w:rsidRPr="00981405">
        <w:t>committed</w:t>
      </w:r>
      <w:r w:rsidR="00190923" w:rsidRPr="00981405">
        <w:t xml:space="preserve"> </w:t>
      </w:r>
      <w:r w:rsidRPr="00981405">
        <w:t>by</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against</w:t>
      </w:r>
      <w:r w:rsidR="00190923" w:rsidRPr="00981405">
        <w:t xml:space="preserve"> </w:t>
      </w:r>
      <w:r w:rsidRPr="00981405">
        <w:t>his</w:t>
      </w:r>
      <w:r w:rsidR="00190923" w:rsidRPr="00981405">
        <w:t xml:space="preserve"> </w:t>
      </w:r>
      <w:r w:rsidRPr="00981405">
        <w:t>own</w:t>
      </w:r>
      <w:r w:rsidR="00190923" w:rsidRPr="00981405">
        <w:t xml:space="preserve"> </w:t>
      </w:r>
      <w:r w:rsidRPr="00981405">
        <w:t>population.</w:t>
      </w:r>
      <w:r w:rsidR="00B92E2C" w:rsidRPr="00981405">
        <w:t>”</w:t>
      </w:r>
      <w:r w:rsidRPr="00981405">
        <w:rPr>
          <w:rStyle w:val="FootnoteReference"/>
        </w:rPr>
        <w:footnoteReference w:id="100"/>
      </w:r>
      <w:r w:rsidR="00190923" w:rsidRPr="00981405">
        <w:t xml:space="preserve"> </w:t>
      </w:r>
      <w:r w:rsidRPr="00981405">
        <w:t>The</w:t>
      </w:r>
      <w:r w:rsidR="00190923" w:rsidRPr="00981405">
        <w:t xml:space="preserve"> </w:t>
      </w:r>
      <w:r w:rsidRPr="00981405">
        <w:t>1968</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Non-Applicability</w:t>
      </w:r>
      <w:r w:rsidR="00190923" w:rsidRPr="00981405">
        <w:t xml:space="preserve"> </w:t>
      </w:r>
      <w:r w:rsidRPr="00981405">
        <w:t>of</w:t>
      </w:r>
      <w:r w:rsidR="00190923" w:rsidRPr="00981405">
        <w:t xml:space="preserve"> </w:t>
      </w:r>
      <w:r w:rsidRPr="00981405">
        <w:t>Statutory</w:t>
      </w:r>
      <w:r w:rsidR="00190923" w:rsidRPr="00981405">
        <w:t xml:space="preserve"> </w:t>
      </w:r>
      <w:r w:rsidRPr="00981405">
        <w:t>Limitations</w:t>
      </w:r>
      <w:r w:rsidR="00190923" w:rsidRPr="00981405">
        <w:t xml:space="preserve"> </w:t>
      </w:r>
      <w:r w:rsidRPr="00981405">
        <w:t>to</w:t>
      </w:r>
      <w:r w:rsidR="00190923" w:rsidRPr="00981405">
        <w:t xml:space="preserve"> </w:t>
      </w:r>
      <w:r w:rsidRPr="00981405">
        <w:t>War</w:t>
      </w:r>
      <w:r w:rsidR="00190923" w:rsidRPr="00981405">
        <w:t xml:space="preserve"> </w:t>
      </w:r>
      <w:r w:rsidRPr="00981405">
        <w:t>Crimes</w:t>
      </w:r>
      <w:r w:rsidR="00190923" w:rsidRPr="00981405">
        <w:t xml:space="preserve"> </w:t>
      </w:r>
      <w:r w:rsidRPr="00981405">
        <w:t>and</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referred,</w:t>
      </w:r>
      <w:r w:rsidR="00190923" w:rsidRPr="00981405">
        <w:t xml:space="preserve"> </w:t>
      </w:r>
      <w:r w:rsidRPr="00981405">
        <w:t>in</w:t>
      </w:r>
      <w:r w:rsidR="00190923" w:rsidRPr="00981405">
        <w:t xml:space="preserve"> </w:t>
      </w:r>
      <w:r w:rsidRPr="00981405">
        <w:t>Article</w:t>
      </w:r>
      <w:r w:rsidR="00190923" w:rsidRPr="00981405">
        <w:t xml:space="preserve"> </w:t>
      </w:r>
      <w:r w:rsidRPr="00981405">
        <w:t>1(b),</w:t>
      </w:r>
      <w:r w:rsidR="00190923" w:rsidRPr="00981405">
        <w:t xml:space="preserve"> </w:t>
      </w:r>
      <w:r w:rsidRPr="00981405">
        <w:t>to</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whether</w:t>
      </w:r>
      <w:r w:rsidR="00190923" w:rsidRPr="00981405">
        <w:t xml:space="preserve"> </w:t>
      </w:r>
      <w:r w:rsidRPr="00981405">
        <w:t>committed</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war</w:t>
      </w:r>
      <w:r w:rsidR="00190923" w:rsidRPr="00981405">
        <w:t xml:space="preserve"> </w:t>
      </w:r>
      <w:r w:rsidRPr="00981405">
        <w:t>or</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peace</w:t>
      </w:r>
      <w:r w:rsidR="00190923" w:rsidRPr="00981405">
        <w:t xml:space="preserve"> </w:t>
      </w:r>
      <w:r w:rsidRPr="00981405">
        <w:t>as</w:t>
      </w:r>
      <w:r w:rsidR="00190923" w:rsidRPr="00981405">
        <w:t xml:space="preserve"> </w:t>
      </w:r>
      <w:r w:rsidRPr="00981405">
        <w:t>they</w:t>
      </w:r>
      <w:r w:rsidR="00190923" w:rsidRPr="00981405">
        <w:t xml:space="preserve"> </w:t>
      </w:r>
      <w:r w:rsidRPr="00981405">
        <w:t>are</w:t>
      </w:r>
      <w:r w:rsidR="00190923" w:rsidRPr="00981405">
        <w:t xml:space="preserve"> </w:t>
      </w:r>
      <w:r w:rsidRPr="00981405">
        <w:t>defined</w:t>
      </w:r>
      <w:r w:rsidR="00190923" w:rsidRPr="00981405">
        <w:t xml:space="preserve"> </w:t>
      </w:r>
      <w:r w:rsidRPr="00981405">
        <w:t>in</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Military</w:t>
      </w:r>
      <w:r w:rsidR="00190923" w:rsidRPr="00981405">
        <w:t xml:space="preserve"> </w:t>
      </w:r>
      <w:r w:rsidRPr="00981405">
        <w:t>Tribunal,</w:t>
      </w:r>
      <w:r w:rsidR="00190923" w:rsidRPr="00981405">
        <w:t xml:space="preserve"> </w:t>
      </w:r>
      <w:r w:rsidRPr="00981405">
        <w:t>Nürnberg,</w:t>
      </w:r>
      <w:r w:rsidR="00190923" w:rsidRPr="00981405">
        <w:t xml:space="preserve"> </w:t>
      </w:r>
      <w:r w:rsidRPr="00981405">
        <w:t>of</w:t>
      </w:r>
      <w:r w:rsidR="00190923" w:rsidRPr="00981405">
        <w:t xml:space="preserve"> </w:t>
      </w:r>
      <w:r w:rsidRPr="00981405">
        <w:t>8</w:t>
      </w:r>
      <w:r w:rsidR="00190923" w:rsidRPr="00981405">
        <w:t xml:space="preserve"> </w:t>
      </w:r>
      <w:r w:rsidRPr="00981405">
        <w:t>August</w:t>
      </w:r>
      <w:r w:rsidR="00190923" w:rsidRPr="00981405">
        <w:t xml:space="preserve"> </w:t>
      </w:r>
      <w:r w:rsidRPr="00981405">
        <w:t>1945</w:t>
      </w:r>
      <w:r w:rsidR="00190923" w:rsidRPr="00981405">
        <w:t xml:space="preserve"> </w:t>
      </w:r>
      <w:r w:rsidRPr="00981405">
        <w:t>and</w:t>
      </w:r>
      <w:r w:rsidR="00190923" w:rsidRPr="00981405">
        <w:t xml:space="preserve"> </w:t>
      </w:r>
      <w:r w:rsidRPr="00981405">
        <w:t>confirmed</w:t>
      </w:r>
      <w:r w:rsidR="00190923" w:rsidRPr="00981405">
        <w:t xml:space="preserve"> </w:t>
      </w:r>
      <w:r w:rsidRPr="00981405">
        <w:t>by</w:t>
      </w:r>
      <w:r w:rsidR="00190923" w:rsidRPr="00981405">
        <w:t xml:space="preserve"> </w:t>
      </w:r>
      <w:r w:rsidRPr="00981405">
        <w:t>resolutions</w:t>
      </w:r>
      <w:r w:rsidR="00190923" w:rsidRPr="00981405">
        <w:t xml:space="preserve"> </w:t>
      </w:r>
      <w:r w:rsidRPr="00981405">
        <w:t>3</w:t>
      </w:r>
      <w:r w:rsidR="00190923" w:rsidRPr="00981405">
        <w:t xml:space="preserve"> </w:t>
      </w:r>
      <w:r w:rsidRPr="00981405">
        <w:t>(I)</w:t>
      </w:r>
      <w:r w:rsidR="00190923" w:rsidRPr="00981405">
        <w:t xml:space="preserve"> </w:t>
      </w:r>
      <w:r w:rsidRPr="00981405">
        <w:t>of</w:t>
      </w:r>
      <w:r w:rsidR="00190923" w:rsidRPr="00981405">
        <w:t xml:space="preserve"> </w:t>
      </w:r>
      <w:r w:rsidRPr="00981405">
        <w:t>13</w:t>
      </w:r>
      <w:r w:rsidR="00190923" w:rsidRPr="00981405">
        <w:t xml:space="preserve"> </w:t>
      </w:r>
      <w:r w:rsidRPr="00981405">
        <w:t>February</w:t>
      </w:r>
      <w:r w:rsidR="00190923" w:rsidRPr="00981405">
        <w:t xml:space="preserve"> </w:t>
      </w:r>
      <w:r w:rsidRPr="00981405">
        <w:t>1946</w:t>
      </w:r>
      <w:r w:rsidR="00190923" w:rsidRPr="00981405">
        <w:t xml:space="preserve"> </w:t>
      </w:r>
      <w:r w:rsidRPr="00981405">
        <w:t>and</w:t>
      </w:r>
      <w:r w:rsidR="00190923" w:rsidRPr="00981405">
        <w:t xml:space="preserve"> </w:t>
      </w:r>
      <w:r w:rsidRPr="00981405">
        <w:t>95</w:t>
      </w:r>
      <w:r w:rsidR="00190923" w:rsidRPr="00981405">
        <w:t xml:space="preserve"> </w:t>
      </w:r>
      <w:r w:rsidRPr="00981405">
        <w:t>(I)</w:t>
      </w:r>
      <w:r w:rsidR="00190923" w:rsidRPr="00981405">
        <w:t xml:space="preserve"> </w:t>
      </w:r>
      <w:r w:rsidRPr="00981405">
        <w:t>of</w:t>
      </w:r>
      <w:r w:rsidR="00190923" w:rsidRPr="00981405">
        <w:t xml:space="preserve"> </w:t>
      </w:r>
      <w:r w:rsidRPr="00981405">
        <w:t>11</w:t>
      </w:r>
      <w:r w:rsidR="00190923" w:rsidRPr="00981405">
        <w:t xml:space="preserve"> </w:t>
      </w:r>
      <w:r w:rsidRPr="00981405">
        <w:t>December</w:t>
      </w:r>
      <w:r w:rsidR="00190923" w:rsidRPr="00981405">
        <w:t xml:space="preserve"> </w:t>
      </w:r>
      <w:r w:rsidRPr="00981405">
        <w:t>1946</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w:t>
      </w:r>
      <w:r w:rsidR="00190923" w:rsidRPr="00981405">
        <w:t xml:space="preserve"> </w:t>
      </w:r>
      <w:r w:rsidRPr="00981405">
        <w:t>.</w:t>
      </w:r>
      <w:r w:rsidR="00B92E2C" w:rsidRPr="00981405">
        <w:t>”</w:t>
      </w:r>
      <w:r w:rsidRPr="00981405">
        <w:rPr>
          <w:rStyle w:val="FootnoteReference"/>
        </w:rPr>
        <w:footnoteReference w:id="101"/>
      </w:r>
    </w:p>
    <w:p w:rsidR="00397032" w:rsidRPr="00981405" w:rsidRDefault="00397032" w:rsidP="00D97463">
      <w:pPr>
        <w:pStyle w:val="SingleTxt"/>
      </w:pPr>
      <w:r w:rsidRPr="00981405">
        <w:t>(7)</w:t>
      </w:r>
      <w:r w:rsidRPr="00981405">
        <w:tab/>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Tribunal</w:t>
      </w:r>
      <w:r w:rsidR="00190923" w:rsidRPr="00981405">
        <w:t xml:space="preserve"> </w:t>
      </w:r>
      <w:r w:rsidRPr="00981405">
        <w:t>for</w:t>
      </w:r>
      <w:r w:rsidR="00190923" w:rsidRPr="00981405">
        <w:t xml:space="preserve"> </w:t>
      </w:r>
      <w:r w:rsidRPr="00981405">
        <w:t>the</w:t>
      </w:r>
      <w:r w:rsidR="00190923" w:rsidRPr="00981405">
        <w:t xml:space="preserve"> </w:t>
      </w:r>
      <w:r w:rsidRPr="00981405">
        <w:t>former</w:t>
      </w:r>
      <w:r w:rsidR="00190923" w:rsidRPr="00981405">
        <w:t xml:space="preserve"> </w:t>
      </w:r>
      <w:r w:rsidRPr="00981405">
        <w:t>Yugoslavia</w:t>
      </w:r>
      <w:r w:rsidR="00190923" w:rsidRPr="00981405">
        <w:t xml:space="preserve"> </w:t>
      </w:r>
      <w:r w:rsidRPr="00981405">
        <w:t>(hereinafter</w:t>
      </w:r>
      <w:r w:rsidR="00190923" w:rsidRPr="00981405">
        <w:t xml:space="preserve"> </w:t>
      </w:r>
      <w:r w:rsidR="00B92E2C" w:rsidRPr="00981405">
        <w:t>“</w:t>
      </w:r>
      <w:r w:rsidRPr="00981405">
        <w:t>ICTY</w:t>
      </w:r>
      <w:r w:rsidR="00B92E2C" w:rsidRPr="00981405">
        <w:t>”</w:t>
      </w:r>
      <w:r w:rsidRPr="00981405">
        <w:t>)</w:t>
      </w:r>
      <w:r w:rsidR="00190923" w:rsidRPr="00981405">
        <w:t xml:space="preserve"> </w:t>
      </w:r>
      <w:r w:rsidRPr="00981405">
        <w:t>included</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Article</w:t>
      </w:r>
      <w:r w:rsidR="00190923" w:rsidRPr="00981405">
        <w:t xml:space="preserve"> </w:t>
      </w:r>
      <w:r w:rsidRPr="00981405">
        <w:t>5</w:t>
      </w:r>
      <w:r w:rsidR="00190923" w:rsidRPr="00981405">
        <w:t xml:space="preserve"> </w:t>
      </w:r>
      <w:r w:rsidRPr="00981405">
        <w:t>of</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provides</w:t>
      </w:r>
      <w:r w:rsidR="00190923" w:rsidRPr="00981405">
        <w:t xml:space="preserve"> </w:t>
      </w:r>
      <w:r w:rsidRPr="00981405">
        <w:t>that</w:t>
      </w:r>
      <w:r w:rsidR="00190923" w:rsidRPr="00981405">
        <w:t xml:space="preserve"> </w:t>
      </w:r>
      <w:r w:rsidRPr="00981405">
        <w:t>the</w:t>
      </w:r>
      <w:r w:rsidR="00190923" w:rsidRPr="00981405">
        <w:t xml:space="preserve"> </w:t>
      </w:r>
      <w:r w:rsidRPr="00981405">
        <w:t>tribunal</w:t>
      </w:r>
      <w:r w:rsidR="00190923" w:rsidRPr="00981405">
        <w:t xml:space="preserve"> </w:t>
      </w:r>
      <w:r w:rsidRPr="00981405">
        <w:t>may</w:t>
      </w:r>
      <w:r w:rsidR="00190923" w:rsidRPr="00981405">
        <w:t xml:space="preserve"> </w:t>
      </w:r>
      <w:r w:rsidRPr="00981405">
        <w:t>prosecute</w:t>
      </w:r>
      <w:r w:rsidR="00190923" w:rsidRPr="00981405">
        <w:t xml:space="preserve"> </w:t>
      </w:r>
      <w:r w:rsidRPr="00981405">
        <w:t>persons</w:t>
      </w:r>
      <w:r w:rsidR="00190923" w:rsidRPr="00981405">
        <w:t xml:space="preserve"> </w:t>
      </w:r>
      <w:r w:rsidRPr="00981405">
        <w:t>responsible</w:t>
      </w:r>
      <w:r w:rsidR="00190923" w:rsidRPr="00981405">
        <w:t xml:space="preserve"> </w:t>
      </w:r>
      <w:r w:rsidRPr="00981405">
        <w:t>for</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acts</w:t>
      </w:r>
      <w:r w:rsidR="00190923" w:rsidRPr="00981405">
        <w:t xml:space="preserve"> </w:t>
      </w:r>
      <w:r w:rsidRPr="00981405">
        <w:t>(such</w:t>
      </w:r>
      <w:r w:rsidR="00190923" w:rsidRPr="00981405">
        <w:t xml:space="preserve"> </w:t>
      </w:r>
      <w:r w:rsidRPr="00981405">
        <w:t>as</w:t>
      </w:r>
      <w:r w:rsidR="00190923" w:rsidRPr="00981405">
        <w:t xml:space="preserve"> </w:t>
      </w:r>
      <w:r w:rsidRPr="00981405">
        <w:t>murder,</w:t>
      </w:r>
      <w:r w:rsidR="00190923" w:rsidRPr="00981405">
        <w:t xml:space="preserve"> </w:t>
      </w:r>
      <w:r w:rsidRPr="00981405">
        <w:t>torture,</w:t>
      </w:r>
      <w:r w:rsidR="00190923" w:rsidRPr="00981405">
        <w:t xml:space="preserve"> </w:t>
      </w:r>
      <w:r w:rsidRPr="00981405">
        <w:t>or</w:t>
      </w:r>
      <w:r w:rsidR="00190923" w:rsidRPr="00981405">
        <w:t xml:space="preserve"> </w:t>
      </w:r>
      <w:r w:rsidRPr="00981405">
        <w:t>rape)</w:t>
      </w:r>
      <w:r w:rsidR="00190923" w:rsidRPr="00981405">
        <w:t xml:space="preserve"> </w:t>
      </w:r>
      <w:r w:rsidR="00B92E2C" w:rsidRPr="00981405">
        <w:t>“</w:t>
      </w:r>
      <w:r w:rsidRPr="00981405">
        <w:t>when</w:t>
      </w:r>
      <w:r w:rsidR="00190923" w:rsidRPr="00981405">
        <w:t xml:space="preserve"> </w:t>
      </w:r>
      <w:r w:rsidRPr="00981405">
        <w:t>committed</w:t>
      </w:r>
      <w:r w:rsidR="00190923" w:rsidRPr="00981405">
        <w:t xml:space="preserve"> </w:t>
      </w:r>
      <w:r w:rsidRPr="00981405">
        <w:t>in</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whether</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internal</w:t>
      </w:r>
      <w:r w:rsidR="00190923" w:rsidRPr="00981405">
        <w:t xml:space="preserve"> </w:t>
      </w:r>
      <w:r w:rsidRPr="00981405">
        <w:t>in</w:t>
      </w:r>
      <w:r w:rsidR="00190923" w:rsidRPr="00981405">
        <w:t xml:space="preserve"> </w:t>
      </w:r>
      <w:r w:rsidRPr="00981405">
        <w:t>character,</w:t>
      </w:r>
      <w:r w:rsidR="00190923" w:rsidRPr="00981405">
        <w:t xml:space="preserve"> </w:t>
      </w:r>
      <w:r w:rsidRPr="00981405">
        <w:t>and</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bookmarkStart w:id="58" w:name="_Ref295892362"/>
      <w:r w:rsidR="00B92E2C" w:rsidRPr="00981405">
        <w:t>”</w:t>
      </w:r>
      <w:r w:rsidRPr="00981405">
        <w:rPr>
          <w:rStyle w:val="FootnoteReference"/>
        </w:rPr>
        <w:footnoteReference w:id="102"/>
      </w:r>
      <w:bookmarkEnd w:id="58"/>
      <w:r w:rsidR="00190923" w:rsidRPr="00981405">
        <w:t xml:space="preserve"> </w:t>
      </w:r>
      <w:r w:rsidRPr="00981405">
        <w:t>Thus,</w:t>
      </w:r>
      <w:r w:rsidR="00190923" w:rsidRPr="00981405">
        <w:t xml:space="preserve"> </w:t>
      </w:r>
      <w:r w:rsidRPr="00981405">
        <w:t>the</w:t>
      </w:r>
      <w:r w:rsidR="00190923" w:rsidRPr="00981405">
        <w:t xml:space="preserve"> </w:t>
      </w:r>
      <w:r w:rsidRPr="00981405">
        <w:t>formulation</w:t>
      </w:r>
      <w:r w:rsidR="00190923" w:rsidRPr="00981405">
        <w:t xml:space="preserve"> </w:t>
      </w:r>
      <w:r w:rsidRPr="00981405">
        <w:t>used</w:t>
      </w:r>
      <w:r w:rsidR="00190923" w:rsidRPr="00981405">
        <w:t xml:space="preserve"> </w:t>
      </w:r>
      <w:r w:rsidRPr="00981405">
        <w:t>in</w:t>
      </w:r>
      <w:r w:rsidR="00190923" w:rsidRPr="00981405">
        <w:t xml:space="preserve"> </w:t>
      </w:r>
      <w:r w:rsidRPr="00981405">
        <w:t>article</w:t>
      </w:r>
      <w:r w:rsidR="00190923" w:rsidRPr="00981405">
        <w:t xml:space="preserve"> </w:t>
      </w:r>
      <w:r w:rsidRPr="00981405">
        <w:t>5</w:t>
      </w:r>
      <w:r w:rsidR="00190923" w:rsidRPr="00981405">
        <w:t xml:space="preserve"> </w:t>
      </w:r>
      <w:r w:rsidRPr="00981405">
        <w:t>retained</w:t>
      </w:r>
      <w:r w:rsidR="00190923" w:rsidRPr="00981405">
        <w:t xml:space="preserve"> </w:t>
      </w:r>
      <w:r w:rsidRPr="00981405">
        <w:t>a</w:t>
      </w:r>
      <w:r w:rsidR="00190923" w:rsidRPr="00981405">
        <w:t xml:space="preserve"> </w:t>
      </w:r>
      <w:r w:rsidRPr="00981405">
        <w:t>connection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but</w:t>
      </w:r>
      <w:r w:rsidR="00190923" w:rsidRPr="00981405">
        <w:t xml:space="preserve"> </w:t>
      </w:r>
      <w:r w:rsidRPr="00981405">
        <w:t>it</w:t>
      </w:r>
      <w:r w:rsidR="00190923" w:rsidRPr="00981405">
        <w:t xml:space="preserve"> </w:t>
      </w:r>
      <w:r w:rsidRPr="00981405">
        <w:t>is</w:t>
      </w:r>
      <w:r w:rsidR="00190923" w:rsidRPr="00981405">
        <w:t xml:space="preserve"> </w:t>
      </w:r>
      <w:r w:rsidRPr="00981405">
        <w:t>best</w:t>
      </w:r>
      <w:r w:rsidR="00190923" w:rsidRPr="00981405">
        <w:t xml:space="preserve"> </w:t>
      </w:r>
      <w:r w:rsidRPr="00981405">
        <w:t>understood</w:t>
      </w:r>
      <w:r w:rsidR="00190923" w:rsidRPr="00981405">
        <w:t xml:space="preserve"> </w:t>
      </w:r>
      <w:r w:rsidRPr="00981405">
        <w:t>contextually.</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was</w:t>
      </w:r>
      <w:r w:rsidR="00190923" w:rsidRPr="00981405">
        <w:t xml:space="preserve"> </w:t>
      </w:r>
      <w:r w:rsidRPr="00981405">
        <w:t>developed</w:t>
      </w:r>
      <w:r w:rsidR="00190923" w:rsidRPr="00981405">
        <w:t xml:space="preserve"> </w:t>
      </w:r>
      <w:r w:rsidRPr="00981405">
        <w:t>in</w:t>
      </w:r>
      <w:r w:rsidR="00190923" w:rsidRPr="00981405">
        <w:t xml:space="preserve"> </w:t>
      </w:r>
      <w:r w:rsidRPr="00981405">
        <w:t>1993</w:t>
      </w:r>
      <w:r w:rsidR="00190923" w:rsidRPr="00981405">
        <w:t xml:space="preserve"> </w:t>
      </w:r>
      <w:r w:rsidRPr="00981405">
        <w:t>with</w:t>
      </w:r>
      <w:r w:rsidR="00190923" w:rsidRPr="00981405">
        <w:t xml:space="preserve"> </w:t>
      </w:r>
      <w:r w:rsidRPr="00981405">
        <w:t>an</w:t>
      </w:r>
      <w:r w:rsidR="00190923" w:rsidRPr="00981405">
        <w:t xml:space="preserve"> </w:t>
      </w:r>
      <w:r w:rsidRPr="00981405">
        <w:t>understanding</w:t>
      </w:r>
      <w:r w:rsidR="00190923" w:rsidRPr="00981405">
        <w:t xml:space="preserve"> </w:t>
      </w:r>
      <w:r w:rsidRPr="00981405">
        <w:t>that</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in</w:t>
      </w:r>
      <w:r w:rsidR="00190923" w:rsidRPr="00981405">
        <w:t xml:space="preserve"> </w:t>
      </w:r>
      <w:r w:rsidRPr="00981405">
        <w:t>fact</w:t>
      </w:r>
      <w:r w:rsidR="00190923" w:rsidRPr="00981405">
        <w:t xml:space="preserve"> </w:t>
      </w:r>
      <w:r w:rsidRPr="00981405">
        <w:t>existed</w:t>
      </w:r>
      <w:r w:rsidR="00190923" w:rsidRPr="00981405">
        <w:t xml:space="preserve"> </w:t>
      </w:r>
      <w:r w:rsidRPr="00981405">
        <w:t>in</w:t>
      </w:r>
      <w:r w:rsidR="00190923" w:rsidRPr="00981405">
        <w:t xml:space="preserve"> </w:t>
      </w:r>
      <w:r w:rsidRPr="00981405">
        <w:t>the</w:t>
      </w:r>
      <w:r w:rsidR="00190923" w:rsidRPr="00981405">
        <w:t xml:space="preserve"> </w:t>
      </w:r>
      <w:r w:rsidRPr="00981405">
        <w:t>former</w:t>
      </w:r>
      <w:r w:rsidR="00190923" w:rsidRPr="00981405">
        <w:t xml:space="preserve"> </w:t>
      </w:r>
      <w:r w:rsidRPr="00981405">
        <w:t>Yugoslavia;</w:t>
      </w:r>
      <w:r w:rsidR="00190923" w:rsidRPr="00981405">
        <w:t xml:space="preserve"> </w:t>
      </w:r>
      <w:r w:rsidRPr="00981405">
        <w:t>the</w:t>
      </w:r>
      <w:r w:rsidR="00190923" w:rsidRPr="00981405">
        <w:t xml:space="preserve"> </w:t>
      </w:r>
      <w:r w:rsidRPr="00981405">
        <w:t>Security</w:t>
      </w:r>
      <w:r w:rsidR="00190923" w:rsidRPr="00981405">
        <w:t xml:space="preserve"> </w:t>
      </w:r>
      <w:r w:rsidRPr="00981405">
        <w:t>Council</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had</w:t>
      </w:r>
      <w:r w:rsidR="00190923" w:rsidRPr="00981405">
        <w:t xml:space="preserve"> </w:t>
      </w:r>
      <w:r w:rsidRPr="00981405">
        <w:t>already</w:t>
      </w:r>
      <w:r w:rsidR="00190923" w:rsidRPr="00981405">
        <w:t xml:space="preserve"> </w:t>
      </w:r>
      <w:r w:rsidRPr="00981405">
        <w:t>determined</w:t>
      </w:r>
      <w:r w:rsidR="00190923" w:rsidRPr="00981405">
        <w:t xml:space="preserve"> </w:t>
      </w:r>
      <w:r w:rsidRPr="00981405">
        <w:t>that</w:t>
      </w:r>
      <w:r w:rsidR="00190923" w:rsidRPr="00981405">
        <w:t xml:space="preserve"> </w:t>
      </w:r>
      <w:r w:rsidRPr="00981405">
        <w:t>the</w:t>
      </w:r>
      <w:r w:rsidR="00190923" w:rsidRPr="00981405">
        <w:t xml:space="preserve"> </w:t>
      </w:r>
      <w:r w:rsidRPr="00981405">
        <w:t>situation</w:t>
      </w:r>
      <w:r w:rsidR="00190923" w:rsidRPr="00981405">
        <w:t xml:space="preserve"> </w:t>
      </w:r>
      <w:r w:rsidRPr="00981405">
        <w:t>constituted</w:t>
      </w:r>
      <w:r w:rsidR="00190923" w:rsidRPr="00981405">
        <w:t xml:space="preserve"> </w:t>
      </w:r>
      <w:r w:rsidRPr="00981405">
        <w:t>a</w:t>
      </w:r>
      <w:r w:rsidR="00190923" w:rsidRPr="00981405">
        <w:t xml:space="preserve"> </w:t>
      </w:r>
      <w:r w:rsidRPr="00981405">
        <w:t>threat</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leading</w:t>
      </w:r>
      <w:r w:rsidR="00190923" w:rsidRPr="00981405">
        <w:t xml:space="preserve"> </w:t>
      </w:r>
      <w:r w:rsidRPr="00981405">
        <w:t>to</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the</w:t>
      </w:r>
      <w:r w:rsidR="00190923" w:rsidRPr="00981405">
        <w:t xml:space="preserve"> </w:t>
      </w:r>
      <w:r w:rsidRPr="00981405">
        <w:t>Security</w:t>
      </w:r>
      <w:r w:rsidR="00190923" w:rsidRPr="00981405">
        <w:t xml:space="preserve"> </w:t>
      </w:r>
      <w:r w:rsidRPr="00981405">
        <w:t>Council</w:t>
      </w:r>
      <w:r w:rsidR="00B92E2C" w:rsidRPr="00981405">
        <w:t>’</w:t>
      </w:r>
      <w:r w:rsidRPr="00981405">
        <w:t>s</w:t>
      </w:r>
      <w:r w:rsidR="00190923" w:rsidRPr="00981405">
        <w:t xml:space="preserve"> </w:t>
      </w:r>
      <w:r w:rsidRPr="00981405">
        <w:t>enforcement</w:t>
      </w:r>
      <w:r w:rsidR="00190923" w:rsidRPr="00981405">
        <w:t xml:space="preserve"> </w:t>
      </w:r>
      <w:r w:rsidRPr="00981405">
        <w:t>powers</w:t>
      </w:r>
      <w:r w:rsidR="00190923" w:rsidRPr="00981405">
        <w:t xml:space="preserve"> </w:t>
      </w:r>
      <w:r w:rsidRPr="00981405">
        <w:t>under</w:t>
      </w:r>
      <w:r w:rsidR="00190923" w:rsidRPr="00981405">
        <w:t xml:space="preserve"> </w:t>
      </w:r>
      <w:r w:rsidRPr="00981405">
        <w:t>Chapter</w:t>
      </w:r>
      <w:r w:rsidR="00190923" w:rsidRPr="00981405">
        <w:t xml:space="preserve"> </w:t>
      </w:r>
      <w:r w:rsidRPr="00981405">
        <w:t>VII</w:t>
      </w:r>
      <w:r w:rsidR="00190923" w:rsidRPr="00981405">
        <w:t xml:space="preserve"> </w:t>
      </w:r>
      <w:r w:rsidRPr="00981405">
        <w:t>of</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lastRenderedPageBreak/>
        <w:t>Nations.</w:t>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formulation</w:t>
      </w:r>
      <w:r w:rsidR="00190923" w:rsidRPr="00981405">
        <w:t xml:space="preserve"> </w:t>
      </w:r>
      <w:r w:rsidRPr="00981405">
        <w:t>used</w:t>
      </w:r>
      <w:r w:rsidR="00190923" w:rsidRPr="00981405">
        <w:t xml:space="preserve"> </w:t>
      </w:r>
      <w:r w:rsidRPr="00981405">
        <w:t>in</w:t>
      </w:r>
      <w:r w:rsidR="00190923" w:rsidRPr="00981405">
        <w:t xml:space="preserve"> </w:t>
      </w:r>
      <w:r w:rsidRPr="00981405">
        <w:t>article</w:t>
      </w:r>
      <w:r w:rsidR="00190923" w:rsidRPr="00981405">
        <w:t xml:space="preserve"> </w:t>
      </w:r>
      <w:r w:rsidRPr="00981405">
        <w:t>5</w:t>
      </w:r>
      <w:r w:rsidR="00190923" w:rsidRPr="00981405">
        <w:t xml:space="preserve"> </w:t>
      </w:r>
      <w:r w:rsidRPr="00981405">
        <w:t>(</w:t>
      </w:r>
      <w:r w:rsidR="00B92E2C" w:rsidRPr="00981405">
        <w:t>“</w:t>
      </w:r>
      <w:r w:rsidRPr="00981405">
        <w:t>armed</w:t>
      </w:r>
      <w:r w:rsidR="00190923" w:rsidRPr="00981405">
        <w:t xml:space="preserve"> </w:t>
      </w:r>
      <w:r w:rsidRPr="00981405">
        <w:t>conflict</w:t>
      </w:r>
      <w:r w:rsidR="00B92E2C" w:rsidRPr="00981405">
        <w:t>”</w:t>
      </w:r>
      <w:r w:rsidRPr="00981405">
        <w:t>)</w:t>
      </w:r>
      <w:r w:rsidR="00190923" w:rsidRPr="00981405">
        <w:t xml:space="preserve"> </w:t>
      </w:r>
      <w:r w:rsidRPr="00981405">
        <w:t>was</w:t>
      </w:r>
      <w:r w:rsidR="00190923" w:rsidRPr="00981405">
        <w:t xml:space="preserve"> </w:t>
      </w:r>
      <w:r w:rsidRPr="00981405">
        <w:t>designed</w:t>
      </w:r>
      <w:r w:rsidR="00190923" w:rsidRPr="00981405">
        <w:t xml:space="preserve"> </w:t>
      </w:r>
      <w:r w:rsidRPr="00981405">
        <w:t>principally</w:t>
      </w:r>
      <w:r w:rsidR="00190923" w:rsidRPr="00981405">
        <w:t xml:space="preserve"> </w:t>
      </w:r>
      <w:r w:rsidRPr="00981405">
        <w:t>to</w:t>
      </w:r>
      <w:r w:rsidR="00190923" w:rsidRPr="00981405">
        <w:t xml:space="preserve"> </w:t>
      </w:r>
      <w:r w:rsidRPr="00981405">
        <w:t>dispel</w:t>
      </w:r>
      <w:r w:rsidR="00190923" w:rsidRPr="00981405">
        <w:t xml:space="preserve"> </w:t>
      </w:r>
      <w:r w:rsidRPr="00981405">
        <w:t>the</w:t>
      </w:r>
      <w:r w:rsidR="00190923" w:rsidRPr="00981405">
        <w:t xml:space="preserve"> </w:t>
      </w:r>
      <w:r w:rsidRPr="00981405">
        <w:t>notion</w:t>
      </w:r>
      <w:r w:rsidR="00190923" w:rsidRPr="00981405">
        <w:t xml:space="preserve"> </w:t>
      </w:r>
      <w:r w:rsidRPr="00981405">
        <w:t>that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linked</w:t>
      </w:r>
      <w:r w:rsidR="00190923" w:rsidRPr="00981405">
        <w:t xml:space="preserve"> </w:t>
      </w:r>
      <w:r w:rsidRPr="00981405">
        <w:t>to</w:t>
      </w:r>
      <w:r w:rsidR="00190923" w:rsidRPr="00981405">
        <w:t xml:space="preserve"> </w:t>
      </w:r>
      <w:r w:rsidRPr="00981405">
        <w:t>an</w:t>
      </w:r>
      <w:r w:rsidR="00190923" w:rsidRPr="00981405">
        <w:t xml:space="preserve"> </w:t>
      </w:r>
      <w:r w:rsidR="00B92E2C" w:rsidRPr="00981405">
        <w:t>“</w:t>
      </w:r>
      <w:r w:rsidRPr="00981405">
        <w:t>international</w:t>
      </w:r>
      <w:r w:rsidR="00190923" w:rsidRPr="00981405">
        <w:t xml:space="preserve"> </w:t>
      </w:r>
      <w:r w:rsidRPr="00981405">
        <w:t>armed</w:t>
      </w:r>
      <w:r w:rsidR="00190923" w:rsidRPr="00981405">
        <w:t xml:space="preserve"> </w:t>
      </w:r>
      <w:r w:rsidRPr="00981405">
        <w:t>conflict.</w:t>
      </w:r>
      <w:r w:rsidR="00B92E2C" w:rsidRPr="00981405">
        <w:t>”</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this</w:t>
      </w:r>
      <w:r w:rsidR="00190923" w:rsidRPr="00981405">
        <w:t xml:space="preserve"> </w:t>
      </w:r>
      <w:r w:rsidRPr="00981405">
        <w:t>formulation</w:t>
      </w:r>
      <w:r w:rsidR="00190923" w:rsidRPr="00981405">
        <w:t xml:space="preserve"> </w:t>
      </w:r>
      <w:r w:rsidRPr="00981405">
        <w:t>might</w:t>
      </w:r>
      <w:r w:rsidR="00190923" w:rsidRPr="00981405">
        <w:t xml:space="preserve"> </w:t>
      </w:r>
      <w:r w:rsidRPr="00981405">
        <w:t>be</w:t>
      </w:r>
      <w:r w:rsidR="00190923" w:rsidRPr="00981405">
        <w:t xml:space="preserve"> </w:t>
      </w:r>
      <w:r w:rsidRPr="00981405">
        <w:t>read</w:t>
      </w:r>
      <w:r w:rsidR="00190923" w:rsidRPr="00981405">
        <w:t xml:space="preserve"> </w:t>
      </w:r>
      <w:r w:rsidRPr="00981405">
        <w:t>to</w:t>
      </w:r>
      <w:r w:rsidR="00190923" w:rsidRPr="00981405">
        <w:t xml:space="preserve"> </w:t>
      </w:r>
      <w:r w:rsidRPr="00981405">
        <w:t>suggest</w:t>
      </w:r>
      <w:r w:rsidR="00190923" w:rsidRPr="00981405">
        <w:t xml:space="preserve"> </w:t>
      </w:r>
      <w:r w:rsidRPr="00981405">
        <w:t>that</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requires</w:t>
      </w:r>
      <w:r w:rsidR="00190923" w:rsidRPr="00981405">
        <w:t xml:space="preserve"> </w:t>
      </w:r>
      <w:r w:rsidRPr="00981405">
        <w:t>a</w:t>
      </w:r>
      <w:r w:rsidR="00190923" w:rsidRPr="00981405">
        <w:t xml:space="preserve"> </w:t>
      </w:r>
      <w:r w:rsidRPr="00981405">
        <w:t>nexus</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ICTY</w:t>
      </w:r>
      <w:r w:rsidR="00190923" w:rsidRPr="00981405">
        <w:t xml:space="preserve"> </w:t>
      </w:r>
      <w:r w:rsidRPr="00981405">
        <w:t>Appeals</w:t>
      </w:r>
      <w:r w:rsidR="00190923" w:rsidRPr="00981405">
        <w:t xml:space="preserve"> </w:t>
      </w:r>
      <w:r w:rsidRPr="00981405">
        <w:t>Chamber</w:t>
      </w:r>
      <w:r w:rsidR="00190923" w:rsidRPr="00981405">
        <w:t xml:space="preserve"> </w:t>
      </w:r>
      <w:r w:rsidRPr="00981405">
        <w:t>later</w:t>
      </w:r>
      <w:r w:rsidR="00190923" w:rsidRPr="00981405">
        <w:t xml:space="preserve"> </w:t>
      </w:r>
      <w:r w:rsidRPr="00981405">
        <w:t>clarified</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00B92E2C" w:rsidRPr="00981405">
        <w:t>“</w:t>
      </w:r>
      <w:r w:rsidRPr="00981405">
        <w:t>no</w:t>
      </w:r>
      <w:r w:rsidR="00190923" w:rsidRPr="00981405">
        <w:t xml:space="preserve"> </w:t>
      </w:r>
      <w:r w:rsidRPr="00981405">
        <w:t>logical</w:t>
      </w:r>
      <w:r w:rsidR="00190923" w:rsidRPr="00981405">
        <w:t xml:space="preserve"> </w:t>
      </w:r>
      <w:r w:rsidRPr="00981405">
        <w:t>or</w:t>
      </w:r>
      <w:r w:rsidR="00190923" w:rsidRPr="00981405">
        <w:t xml:space="preserve"> </w:t>
      </w:r>
      <w:r w:rsidRPr="00981405">
        <w:t>legal</w:t>
      </w:r>
      <w:r w:rsidR="00190923" w:rsidRPr="00981405">
        <w:t xml:space="preserve"> </w:t>
      </w:r>
      <w:r w:rsidRPr="00981405">
        <w:t>basis</w:t>
      </w:r>
      <w:r w:rsidR="00B92E2C" w:rsidRPr="00981405">
        <w:t>”</w:t>
      </w:r>
      <w:r w:rsidR="00190923" w:rsidRPr="00981405">
        <w:t xml:space="preserve"> </w:t>
      </w:r>
      <w:r w:rsidRPr="00981405">
        <w:t>for</w:t>
      </w:r>
      <w:r w:rsidR="00190923" w:rsidRPr="00981405">
        <w:t xml:space="preserve"> </w:t>
      </w:r>
      <w:r w:rsidRPr="00981405">
        <w:t>retaining</w:t>
      </w:r>
      <w:r w:rsidR="00190923" w:rsidRPr="00981405">
        <w:t xml:space="preserve"> </w:t>
      </w:r>
      <w:r w:rsidRPr="00981405">
        <w:t>a</w:t>
      </w:r>
      <w:r w:rsidR="00190923" w:rsidRPr="00981405">
        <w:t xml:space="preserve"> </w:t>
      </w:r>
      <w:r w:rsidRPr="00981405">
        <w:t>connection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since</w:t>
      </w:r>
      <w:r w:rsidR="00190923" w:rsidRPr="00981405">
        <w:t xml:space="preserve"> </w:t>
      </w:r>
      <w:r w:rsidR="00B92E2C" w:rsidRPr="00981405">
        <w:t>“</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abandoned</w:t>
      </w:r>
      <w:r w:rsidR="00B92E2C" w:rsidRPr="00981405">
        <w:t>”</w:t>
      </w:r>
      <w:r w:rsidR="00190923" w:rsidRPr="00981405">
        <w:t xml:space="preserve"> </w:t>
      </w:r>
      <w:r w:rsidRPr="00981405">
        <w:t>in</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since</w:t>
      </w:r>
      <w:r w:rsidR="00190923" w:rsidRPr="00981405">
        <w:t xml:space="preserve"> </w:t>
      </w:r>
      <w:r w:rsidRPr="00981405">
        <w:t>Nürnberg.</w:t>
      </w:r>
      <w:r w:rsidR="00190923" w:rsidRPr="00981405">
        <w:rPr>
          <w:rFonts w:eastAsia="SimSun"/>
        </w:rPr>
        <w:t xml:space="preserve"> </w:t>
      </w:r>
      <w:r w:rsidRPr="00981405">
        <w:rPr>
          <w:rStyle w:val="FootnoteReference"/>
        </w:rPr>
        <w:footnoteReference w:id="103"/>
      </w:r>
      <w:r w:rsidR="00190923" w:rsidRPr="00981405">
        <w:t xml:space="preserve"> </w:t>
      </w:r>
      <w:r w:rsidRPr="00981405">
        <w:t>The</w:t>
      </w:r>
      <w:r w:rsidR="00190923" w:rsidRPr="00981405">
        <w:t xml:space="preserve"> </w:t>
      </w:r>
      <w:r w:rsidRPr="00981405">
        <w:t>Appeals</w:t>
      </w:r>
      <w:r w:rsidR="00190923" w:rsidRPr="00981405">
        <w:t xml:space="preserve"> </w:t>
      </w:r>
      <w:r w:rsidRPr="00981405">
        <w:t>Chamber</w:t>
      </w:r>
      <w:r w:rsidR="00190923" w:rsidRPr="00981405">
        <w:t xml:space="preserve"> </w:t>
      </w:r>
      <w:r w:rsidRPr="00981405">
        <w:t>also</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obsolescence</w:t>
      </w:r>
      <w:r w:rsidR="00190923" w:rsidRPr="00981405">
        <w:t xml:space="preserve"> </w:t>
      </w:r>
      <w:r w:rsidRPr="00981405">
        <w:t>of</w:t>
      </w:r>
      <w:r w:rsidR="00190923" w:rsidRPr="00981405">
        <w:t xml:space="preserve"> </w:t>
      </w:r>
      <w:r w:rsidRPr="00981405">
        <w:t>the</w:t>
      </w:r>
      <w:r w:rsidR="00190923" w:rsidRPr="00981405">
        <w:t xml:space="preserve"> </w:t>
      </w:r>
      <w:r w:rsidRPr="00981405">
        <w:t>nexus</w:t>
      </w:r>
      <w:r w:rsidR="00190923" w:rsidRPr="00981405">
        <w:t xml:space="preserve"> </w:t>
      </w:r>
      <w:r w:rsidRPr="00981405">
        <w:t>requirement</w:t>
      </w:r>
      <w:r w:rsidR="00190923" w:rsidRPr="00981405">
        <w:t xml:space="preserve"> </w:t>
      </w:r>
      <w:r w:rsidRPr="00981405">
        <w:t>is</w:t>
      </w:r>
      <w:r w:rsidR="00190923" w:rsidRPr="00981405">
        <w:t xml:space="preserve"> </w:t>
      </w:r>
      <w:r w:rsidRPr="00981405">
        <w:t>evidenced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conventions</w:t>
      </w:r>
      <w:r w:rsidR="00190923" w:rsidRPr="00981405">
        <w:t xml:space="preserve"> </w:t>
      </w:r>
      <w:r w:rsidRPr="00981405">
        <w:t>regarding</w:t>
      </w:r>
      <w:r w:rsidR="00190923" w:rsidRPr="00981405">
        <w:t xml:space="preserve"> </w:t>
      </w:r>
      <w:r w:rsidRPr="00981405">
        <w:t>genocide</w:t>
      </w:r>
      <w:r w:rsidR="00190923" w:rsidRPr="00981405">
        <w:t xml:space="preserve"> </w:t>
      </w:r>
      <w:r w:rsidRPr="00981405">
        <w:t>and</w:t>
      </w:r>
      <w:r w:rsidR="00190923" w:rsidRPr="00981405">
        <w:t xml:space="preserve"> </w:t>
      </w:r>
      <w:r w:rsidRPr="00981405">
        <w:t>apartheid,</w:t>
      </w:r>
      <w:r w:rsidR="00190923" w:rsidRPr="00981405">
        <w:t xml:space="preserve"> </w:t>
      </w:r>
      <w:r w:rsidRPr="00981405">
        <w:t>both</w:t>
      </w:r>
      <w:r w:rsidR="00190923" w:rsidRPr="00981405">
        <w:t xml:space="preserve"> </w:t>
      </w:r>
      <w:r w:rsidRPr="00981405">
        <w:t>of</w:t>
      </w:r>
      <w:r w:rsidR="00190923" w:rsidRPr="00981405">
        <w:t xml:space="preserve"> </w:t>
      </w:r>
      <w:r w:rsidRPr="00981405">
        <w:t>which</w:t>
      </w:r>
      <w:r w:rsidR="00190923" w:rsidRPr="00981405">
        <w:t xml:space="preserve"> </w:t>
      </w:r>
      <w:r w:rsidRPr="00981405">
        <w:t>prohibit</w:t>
      </w:r>
      <w:r w:rsidR="00190923" w:rsidRPr="00981405">
        <w:t xml:space="preserve"> </w:t>
      </w:r>
      <w:r w:rsidRPr="00981405">
        <w:t>particular</w:t>
      </w:r>
      <w:r w:rsidR="00190923" w:rsidRPr="00981405">
        <w:t xml:space="preserve"> </w:t>
      </w:r>
      <w:r w:rsidRPr="00981405">
        <w:t>types</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regardless</w:t>
      </w:r>
      <w:r w:rsidR="00190923" w:rsidRPr="00981405">
        <w:t xml:space="preserve"> </w:t>
      </w:r>
      <w:r w:rsidRPr="00981405">
        <w:t>of</w:t>
      </w:r>
      <w:r w:rsidR="00190923" w:rsidRPr="00981405">
        <w:t xml:space="preserve"> </w:t>
      </w:r>
      <w:r w:rsidRPr="00981405">
        <w:t>any</w:t>
      </w:r>
      <w:r w:rsidR="00190923" w:rsidRPr="00981405">
        <w:t xml:space="preserve"> </w:t>
      </w:r>
      <w:r w:rsidRPr="00981405">
        <w:t>connection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B92E2C" w:rsidRPr="00981405">
        <w:t>”</w:t>
      </w:r>
      <w:r w:rsidRPr="00981405">
        <w:rPr>
          <w:rStyle w:val="FootnoteReference"/>
        </w:rPr>
        <w:footnoteReference w:id="104"/>
      </w:r>
      <w:r w:rsidR="00190923" w:rsidRPr="00981405">
        <w:t xml:space="preserve"> </w:t>
      </w:r>
      <w:r w:rsidRPr="00981405">
        <w:t>Indeed,</w:t>
      </w:r>
      <w:r w:rsidR="00190923" w:rsidRPr="00981405">
        <w:t xml:space="preserve"> </w:t>
      </w:r>
      <w:r w:rsidRPr="00981405">
        <w:t>the</w:t>
      </w:r>
      <w:r w:rsidR="00190923" w:rsidRPr="00981405">
        <w:t xml:space="preserve"> </w:t>
      </w:r>
      <w:r w:rsidRPr="00981405">
        <w:t>Appeals</w:t>
      </w:r>
      <w:r w:rsidR="00190923" w:rsidRPr="00981405">
        <w:t xml:space="preserve"> </w:t>
      </w:r>
      <w:r w:rsidRPr="00981405">
        <w:t>Chamber</w:t>
      </w:r>
      <w:r w:rsidR="00190923" w:rsidRPr="00981405">
        <w:t xml:space="preserve"> </w:t>
      </w:r>
      <w:r w:rsidRPr="00981405">
        <w:t>later</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t>such</w:t>
      </w:r>
      <w:r w:rsidR="00190923" w:rsidRPr="00981405">
        <w:t xml:space="preserve"> </w:t>
      </w:r>
      <w:r w:rsidRPr="00981405">
        <w:t>a</w:t>
      </w:r>
      <w:r w:rsidR="00190923" w:rsidRPr="00981405">
        <w:t xml:space="preserve"> </w:t>
      </w:r>
      <w:r w:rsidRPr="00981405">
        <w:t>connection</w:t>
      </w:r>
      <w:r w:rsidR="00190923" w:rsidRPr="00981405">
        <w:t xml:space="preserve"> </w:t>
      </w:r>
      <w:r w:rsidRPr="00981405">
        <w:t>in</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was</w:t>
      </w:r>
      <w:r w:rsidR="00190923" w:rsidRPr="00981405">
        <w:t xml:space="preserve"> </w:t>
      </w:r>
      <w:r w:rsidRPr="00981405">
        <w:t>simply</w:t>
      </w:r>
      <w:r w:rsidR="00190923" w:rsidRPr="00981405">
        <w:t xml:space="preserve"> </w:t>
      </w:r>
      <w:r w:rsidRPr="00981405">
        <w:t>circumscribing</w:t>
      </w:r>
      <w:r w:rsidR="00190923" w:rsidRPr="00981405">
        <w:t xml:space="preserve"> </w:t>
      </w:r>
      <w:r w:rsidRPr="00981405">
        <w:t>the</w:t>
      </w:r>
      <w:r w:rsidR="00190923" w:rsidRPr="00981405">
        <w:t xml:space="preserve"> </w:t>
      </w:r>
      <w:r w:rsidRPr="00981405">
        <w:t>subject-matter</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ICTY,</w:t>
      </w:r>
      <w:r w:rsidR="00190923" w:rsidRPr="00981405">
        <w:t xml:space="preserve"> </w:t>
      </w:r>
      <w:r w:rsidRPr="00981405">
        <w:t>not</w:t>
      </w:r>
      <w:r w:rsidR="00190923" w:rsidRPr="00981405">
        <w:t xml:space="preserve"> </w:t>
      </w:r>
      <w:r w:rsidRPr="00981405">
        <w:t>codifying</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bookmarkStart w:id="59" w:name="_Ref387105579"/>
      <w:r w:rsidRPr="00981405">
        <w:rPr>
          <w:rStyle w:val="FootnoteReference"/>
        </w:rPr>
        <w:footnoteReference w:id="105"/>
      </w:r>
      <w:bookmarkEnd w:id="59"/>
      <w:r w:rsidR="00190923" w:rsidRPr="00981405">
        <w:t xml:space="preserve"> </w:t>
      </w:r>
    </w:p>
    <w:p w:rsidR="00397032" w:rsidRPr="00981405" w:rsidRDefault="00397032" w:rsidP="00D97463">
      <w:pPr>
        <w:pStyle w:val="SingleTxt"/>
      </w:pPr>
      <w:r w:rsidRPr="00981405">
        <w:t>(8)</w:t>
      </w:r>
      <w:r w:rsidRPr="00981405">
        <w:tab/>
        <w:t>In</w:t>
      </w:r>
      <w:r w:rsidR="00190923" w:rsidRPr="00981405">
        <w:t xml:space="preserve"> </w:t>
      </w:r>
      <w:r w:rsidRPr="00981405">
        <w:t>1994,</w:t>
      </w:r>
      <w:r w:rsidR="00190923" w:rsidRPr="00981405">
        <w:t xml:space="preserve"> </w:t>
      </w:r>
      <w:r w:rsidRPr="00981405">
        <w:t>the</w:t>
      </w:r>
      <w:r w:rsidR="00190923" w:rsidRPr="00981405">
        <w:t xml:space="preserve"> </w:t>
      </w:r>
      <w:r w:rsidRPr="00981405">
        <w:t>Security</w:t>
      </w:r>
      <w:r w:rsidR="00190923" w:rsidRPr="00981405">
        <w:t xml:space="preserve"> </w:t>
      </w:r>
      <w:r w:rsidRPr="00981405">
        <w:t>Council</w:t>
      </w:r>
      <w:r w:rsidR="00190923" w:rsidRPr="00981405">
        <w:t xml:space="preserve"> </w:t>
      </w:r>
      <w:r w:rsidRPr="00981405">
        <w:t>established</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Tribunal</w:t>
      </w:r>
      <w:r w:rsidR="00190923" w:rsidRPr="00981405">
        <w:t xml:space="preserve"> </w:t>
      </w:r>
      <w:r w:rsidRPr="00981405">
        <w:t>for</w:t>
      </w:r>
      <w:r w:rsidR="00190923" w:rsidRPr="00981405">
        <w:t xml:space="preserve"> </w:t>
      </w:r>
      <w:r w:rsidRPr="00981405">
        <w:t>Rwanda</w:t>
      </w:r>
      <w:r w:rsidR="00190923" w:rsidRPr="00981405">
        <w:t xml:space="preserve"> </w:t>
      </w:r>
      <w:r w:rsidRPr="00981405">
        <w:t>(hereinafter</w:t>
      </w:r>
      <w:r w:rsidR="00190923" w:rsidRPr="00981405">
        <w:t xml:space="preserve"> </w:t>
      </w:r>
      <w:r w:rsidR="00B92E2C" w:rsidRPr="00981405">
        <w:t>“</w:t>
      </w:r>
      <w:r w:rsidRPr="00981405">
        <w:t>ICTR</w:t>
      </w:r>
      <w:r w:rsidR="00B92E2C" w:rsidRPr="00981405">
        <w:t>”</w:t>
      </w:r>
      <w:r w:rsidRPr="00981405">
        <w:t>)</w:t>
      </w:r>
      <w:r w:rsidR="00190923" w:rsidRPr="00981405">
        <w:t xml:space="preserve"> </w:t>
      </w:r>
      <w:r w:rsidRPr="00981405">
        <w:t>and</w:t>
      </w:r>
      <w:r w:rsidR="00190923" w:rsidRPr="00981405">
        <w:t xml:space="preserve"> </w:t>
      </w:r>
      <w:r w:rsidRPr="00981405">
        <w:t>provided</w:t>
      </w:r>
      <w:r w:rsidR="00190923" w:rsidRPr="00981405">
        <w:t xml:space="preserve"> </w:t>
      </w:r>
      <w:r w:rsidRPr="00981405">
        <w:t>it</w:t>
      </w:r>
      <w:r w:rsidR="00190923" w:rsidRPr="00981405">
        <w:t xml:space="preserve"> </w:t>
      </w:r>
      <w:r w:rsidRPr="00981405">
        <w:t>with</w:t>
      </w:r>
      <w:r w:rsidR="00190923" w:rsidRPr="00981405">
        <w:t xml:space="preserve"> </w:t>
      </w:r>
      <w:r w:rsidRPr="00981405">
        <w:t>jurisdiction</w:t>
      </w:r>
      <w:r w:rsidR="00190923" w:rsidRPr="00981405">
        <w:t xml:space="preserve"> </w:t>
      </w:r>
      <w:r w:rsidRPr="00981405">
        <w:t>over</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Although</w:t>
      </w:r>
      <w:r w:rsidR="00190923" w:rsidRPr="00981405">
        <w:t xml:space="preserve"> </w:t>
      </w:r>
      <w:r w:rsidRPr="00981405">
        <w:t>article</w:t>
      </w:r>
      <w:r w:rsidR="00190923" w:rsidRPr="00981405">
        <w:t xml:space="preserve"> </w:t>
      </w:r>
      <w:r w:rsidRPr="00981405">
        <w:t>3</w:t>
      </w:r>
      <w:r w:rsidR="00190923" w:rsidRPr="00981405">
        <w:t xml:space="preserve"> </w:t>
      </w:r>
      <w:r w:rsidRPr="00981405">
        <w:t>of</w:t>
      </w:r>
      <w:r w:rsidR="00190923" w:rsidRPr="00981405">
        <w:t xml:space="preserve"> </w:t>
      </w:r>
      <w:r w:rsidRPr="00981405">
        <w:t>the</w:t>
      </w:r>
      <w:r w:rsidR="00190923" w:rsidRPr="00981405">
        <w:t xml:space="preserve"> </w:t>
      </w:r>
      <w:r w:rsidRPr="00981405">
        <w:t>ICTR</w:t>
      </w:r>
      <w:r w:rsidR="00190923" w:rsidRPr="00981405">
        <w:t xml:space="preserve"> </w:t>
      </w:r>
      <w:r w:rsidRPr="00981405">
        <w:t>Statute</w:t>
      </w:r>
      <w:r w:rsidR="00190923" w:rsidRPr="00981405">
        <w:t xml:space="preserve"> </w:t>
      </w:r>
      <w:r w:rsidRPr="00981405">
        <w:t>retained</w:t>
      </w:r>
      <w:r w:rsidR="00190923" w:rsidRPr="00981405">
        <w:t xml:space="preserve"> </w:t>
      </w:r>
      <w:r w:rsidRPr="00981405">
        <w:t>the</w:t>
      </w:r>
      <w:r w:rsidR="00190923" w:rsidRPr="00981405">
        <w:t xml:space="preserve"> </w:t>
      </w:r>
      <w:r w:rsidRPr="00981405">
        <w:t>same</w:t>
      </w:r>
      <w:r w:rsidR="00190923" w:rsidRPr="00981405">
        <w:t xml:space="preserve"> </w:t>
      </w:r>
      <w:r w:rsidRPr="00981405">
        <w:t>series</w:t>
      </w:r>
      <w:r w:rsidR="00190923" w:rsidRPr="00981405">
        <w:t xml:space="preserve"> </w:t>
      </w:r>
      <w:r w:rsidRPr="00981405">
        <w:t>of</w:t>
      </w:r>
      <w:r w:rsidR="00190923" w:rsidRPr="00981405">
        <w:t xml:space="preserve"> </w:t>
      </w:r>
      <w:r w:rsidRPr="00981405">
        <w:t>acts</w:t>
      </w:r>
      <w:r w:rsidR="00190923" w:rsidRPr="00981405">
        <w:t xml:space="preserve"> </w:t>
      </w:r>
      <w:r w:rsidRPr="00981405">
        <w:t>as</w:t>
      </w:r>
      <w:r w:rsidR="00190923" w:rsidRPr="00981405">
        <w:t xml:space="preserve"> </w:t>
      </w:r>
      <w:r w:rsidRPr="00981405">
        <w:t>appeared</w:t>
      </w:r>
      <w:r w:rsidR="00190923" w:rsidRPr="00981405">
        <w:t xml:space="preserve"> </w:t>
      </w:r>
      <w:r w:rsidRPr="00981405">
        <w:t>in</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the</w:t>
      </w:r>
      <w:r w:rsidR="00190923" w:rsidRPr="00981405">
        <w:t xml:space="preserve"> </w:t>
      </w:r>
      <w:r w:rsidRPr="00981405">
        <w:t>chapeau</w:t>
      </w:r>
      <w:r w:rsidR="00190923" w:rsidRPr="00981405">
        <w:t xml:space="preserve"> </w:t>
      </w:r>
      <w:r w:rsidRPr="00981405">
        <w:t>language</w:t>
      </w:r>
      <w:r w:rsidR="00190923" w:rsidRPr="00981405">
        <w:t xml:space="preserve"> </w:t>
      </w:r>
      <w:r w:rsidRPr="00981405">
        <w:t>did</w:t>
      </w:r>
      <w:r w:rsidR="00190923" w:rsidRPr="00981405">
        <w:t xml:space="preserve"> </w:t>
      </w:r>
      <w:r w:rsidRPr="00981405">
        <w:t>not</w:t>
      </w:r>
      <w:r w:rsidR="00190923" w:rsidRPr="00981405">
        <w:t xml:space="preserve"> </w:t>
      </w:r>
      <w:r w:rsidRPr="00981405">
        <w:t>retain</w:t>
      </w:r>
      <w:r w:rsidR="00190923" w:rsidRPr="00981405">
        <w:t xml:space="preserve"> </w:t>
      </w:r>
      <w:r w:rsidRPr="00981405">
        <w:t>the</w:t>
      </w:r>
      <w:r w:rsidR="00190923" w:rsidRPr="00981405">
        <w:t xml:space="preserve"> </w:t>
      </w:r>
      <w:r w:rsidRPr="00981405">
        <w:t>reference</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bookmarkStart w:id="60" w:name="_Ref295892756"/>
      <w:r w:rsidRPr="00981405">
        <w:rPr>
          <w:rStyle w:val="FootnoteReference"/>
        </w:rPr>
        <w:footnoteReference w:id="106"/>
      </w:r>
      <w:bookmarkEnd w:id="60"/>
      <w:r w:rsidR="00190923" w:rsidRPr="00981405">
        <w:t xml:space="preserve"> </w:t>
      </w:r>
      <w:r w:rsidRPr="00981405">
        <w:t>Likewise,</w:t>
      </w:r>
      <w:r w:rsidR="00190923" w:rsidRPr="00981405">
        <w:t xml:space="preserve"> </w:t>
      </w:r>
      <w:r w:rsidRPr="00981405">
        <w:t>Article</w:t>
      </w:r>
      <w:r w:rsidR="00190923" w:rsidRPr="00981405">
        <w:t xml:space="preserve"> </w:t>
      </w:r>
      <w:r w:rsidRPr="00981405">
        <w:t>7</w:t>
      </w:r>
      <w:r w:rsidR="00190923" w:rsidRPr="00981405">
        <w:t xml:space="preserve"> </w:t>
      </w:r>
      <w:r w:rsidRPr="00981405">
        <w:t>of</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adopted</w:t>
      </w:r>
      <w:r w:rsidR="00190923" w:rsidRPr="00981405">
        <w:t xml:space="preserve"> </w:t>
      </w:r>
      <w:r w:rsidRPr="00981405">
        <w:t>in</w:t>
      </w:r>
      <w:r w:rsidR="00190923" w:rsidRPr="00981405">
        <w:t xml:space="preserve"> </w:t>
      </w:r>
      <w:r w:rsidRPr="00981405">
        <w:t>1998,</w:t>
      </w:r>
      <w:r w:rsidR="00190923" w:rsidRPr="00981405">
        <w:t xml:space="preserve"> </w:t>
      </w:r>
      <w:r w:rsidRPr="00981405">
        <w:t>did</w:t>
      </w:r>
      <w:r w:rsidR="00190923" w:rsidRPr="00981405">
        <w:t xml:space="preserve"> </w:t>
      </w:r>
      <w:r w:rsidRPr="00981405">
        <w:t>not</w:t>
      </w:r>
      <w:r w:rsidR="00190923" w:rsidRPr="00981405">
        <w:t xml:space="preserve"> </w:t>
      </w:r>
      <w:r w:rsidRPr="00981405">
        <w:t>retain</w:t>
      </w:r>
      <w:r w:rsidR="00190923" w:rsidRPr="00981405">
        <w:t xml:space="preserve"> </w:t>
      </w:r>
      <w:r w:rsidRPr="00981405">
        <w:t>any</w:t>
      </w:r>
      <w:r w:rsidR="00190923" w:rsidRPr="00981405">
        <w:t xml:space="preserve"> </w:t>
      </w:r>
      <w:r w:rsidRPr="00981405">
        <w:t>reference</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p>
    <w:p w:rsidR="00397032" w:rsidRPr="00981405" w:rsidRDefault="00397032" w:rsidP="00D97463">
      <w:pPr>
        <w:pStyle w:val="SingleTxt"/>
      </w:pPr>
      <w:r w:rsidRPr="00981405">
        <w:t>(9)</w:t>
      </w:r>
      <w:r w:rsidRPr="00981405">
        <w:tab/>
        <w:t>As</w:t>
      </w:r>
      <w:r w:rsidR="00190923" w:rsidRPr="00981405">
        <w:t xml:space="preserve"> </w:t>
      </w:r>
      <w:r w:rsidRPr="00981405">
        <w:t>such,</w:t>
      </w:r>
      <w:r w:rsidR="00190923" w:rsidRPr="00981405">
        <w:t xml:space="preserve"> </w:t>
      </w:r>
      <w:r w:rsidRPr="00981405">
        <w:t>while</w:t>
      </w:r>
      <w:r w:rsidR="00190923" w:rsidRPr="00981405">
        <w:t xml:space="preserve"> </w:t>
      </w:r>
      <w:r w:rsidRPr="00981405">
        <w:t>early</w:t>
      </w:r>
      <w:r w:rsidR="00190923" w:rsidRPr="00981405">
        <w:t xml:space="preserve"> </w:t>
      </w:r>
      <w:r w:rsidRPr="00981405">
        <w:t>definitions</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required</w:t>
      </w:r>
      <w:r w:rsidR="00190923" w:rsidRPr="00981405">
        <w:t xml:space="preserve"> </w:t>
      </w:r>
      <w:r w:rsidRPr="00981405">
        <w:t>that</w:t>
      </w:r>
      <w:r w:rsidR="00190923" w:rsidRPr="00981405">
        <w:t xml:space="preserve"> </w:t>
      </w:r>
      <w:r w:rsidRPr="00981405">
        <w:t>the</w:t>
      </w:r>
      <w:r w:rsidR="00190923" w:rsidRPr="00981405">
        <w:t xml:space="preserve"> </w:t>
      </w:r>
      <w:r w:rsidRPr="00981405">
        <w:t>underlying</w:t>
      </w:r>
      <w:r w:rsidR="00190923" w:rsidRPr="00981405">
        <w:t xml:space="preserve"> </w:t>
      </w:r>
      <w:r w:rsidRPr="00981405">
        <w:t>acts</w:t>
      </w:r>
      <w:r w:rsidR="00190923" w:rsidRPr="00981405">
        <w:t xml:space="preserve"> </w:t>
      </w:r>
      <w:r w:rsidRPr="00981405">
        <w:t>be</w:t>
      </w:r>
      <w:r w:rsidR="00190923" w:rsidRPr="00981405">
        <w:t xml:space="preserve"> </w:t>
      </w:r>
      <w:r w:rsidRPr="00981405">
        <w:t>accomplished</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that</w:t>
      </w:r>
      <w:r w:rsidR="00190923" w:rsidRPr="00981405">
        <w:t xml:space="preserve"> </w:t>
      </w:r>
      <w:r w:rsidRPr="00981405">
        <w:t>connection</w:t>
      </w:r>
      <w:r w:rsidR="00190923" w:rsidRPr="00981405">
        <w:t xml:space="preserve"> </w:t>
      </w:r>
      <w:r w:rsidRPr="00981405">
        <w:t>has</w:t>
      </w:r>
      <w:r w:rsidR="00190923" w:rsidRPr="00981405">
        <w:t xml:space="preserve"> </w:t>
      </w:r>
      <w:r w:rsidRPr="00981405">
        <w:t>disappeared</w:t>
      </w:r>
      <w:r w:rsidR="00190923" w:rsidRPr="00981405">
        <w:t xml:space="preserve"> </w:t>
      </w:r>
      <w:r w:rsidRPr="00981405">
        <w:t>from</w:t>
      </w:r>
      <w:r w:rsidR="00190923" w:rsidRPr="00981405">
        <w:t xml:space="preserve"> </w:t>
      </w:r>
      <w:r w:rsidRPr="00981405">
        <w:t>the</w:t>
      </w:r>
      <w:r w:rsidR="00190923" w:rsidRPr="00981405">
        <w:t xml:space="preserve"> </w:t>
      </w:r>
      <w:r w:rsidRPr="00981405">
        <w:t>statutes</w:t>
      </w:r>
      <w:r w:rsidR="00190923" w:rsidRPr="00981405">
        <w:t xml:space="preserve"> </w:t>
      </w:r>
      <w:r w:rsidRPr="00981405">
        <w:t>of</w:t>
      </w:r>
      <w:r w:rsidR="00190923" w:rsidRPr="00981405">
        <w:t xml:space="preserve"> </w:t>
      </w:r>
      <w:r w:rsidRPr="00981405">
        <w:t>contemporary</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including</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In</w:t>
      </w:r>
      <w:r w:rsidR="00190923" w:rsidRPr="00981405">
        <w:t xml:space="preserve"> </w:t>
      </w:r>
      <w:r w:rsidRPr="00981405">
        <w:t>its</w:t>
      </w:r>
      <w:r w:rsidR="00190923" w:rsidRPr="00981405">
        <w:t xml:space="preserve"> </w:t>
      </w:r>
      <w:r w:rsidRPr="00981405">
        <w:t>place,</w:t>
      </w:r>
      <w:r w:rsidR="00190923" w:rsidRPr="00981405">
        <w:t xml:space="preserve"> </w:t>
      </w:r>
      <w:r w:rsidRPr="00981405">
        <w:t>as</w:t>
      </w:r>
      <w:r w:rsidR="00190923" w:rsidRPr="00981405">
        <w:t xml:space="preserve"> </w:t>
      </w:r>
      <w:r w:rsidRPr="00981405">
        <w:t>discussed</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below,</w:t>
      </w:r>
      <w:r w:rsidR="00190923" w:rsidRPr="00981405">
        <w:t xml:space="preserve"> </w:t>
      </w:r>
      <w:r w:rsidRPr="00981405">
        <w:t>are</w:t>
      </w:r>
      <w:r w:rsidR="00190923" w:rsidRPr="00981405">
        <w:t xml:space="preserve"> </w:t>
      </w:r>
      <w:r w:rsidRPr="00981405">
        <w:t>the</w:t>
      </w:r>
      <w:r w:rsidR="00190923" w:rsidRPr="00981405">
        <w:t xml:space="preserve"> </w:t>
      </w:r>
      <w:r w:rsidR="00B92E2C" w:rsidRPr="00981405">
        <w:t>“</w:t>
      </w:r>
      <w:r w:rsidRPr="00981405">
        <w:t>chapeau</w:t>
      </w:r>
      <w:r w:rsidR="00B92E2C" w:rsidRPr="00981405">
        <w:t>”</w:t>
      </w:r>
      <w:r w:rsidR="00190923" w:rsidRPr="00981405">
        <w:t xml:space="preserve"> </w:t>
      </w:r>
      <w:r w:rsidRPr="00981405">
        <w:t>requirements</w:t>
      </w:r>
      <w:r w:rsidR="00190923" w:rsidRPr="00981405">
        <w:t xml:space="preserve"> </w:t>
      </w:r>
      <w:r w:rsidRPr="00981405">
        <w:t>that</w:t>
      </w:r>
      <w:r w:rsidR="00190923" w:rsidRPr="00981405">
        <w:t xml:space="preserve"> </w:t>
      </w:r>
      <w:r w:rsidRPr="00981405">
        <w:t>the</w:t>
      </w:r>
      <w:r w:rsidR="00190923" w:rsidRPr="00981405">
        <w:t xml:space="preserve"> </w:t>
      </w:r>
      <w:r w:rsidRPr="00981405">
        <w:t>crime</w:t>
      </w:r>
      <w:r w:rsidR="00190923" w:rsidRPr="00981405">
        <w:t xml:space="preserve"> </w:t>
      </w:r>
      <w:r w:rsidRPr="00981405">
        <w:t>be</w:t>
      </w:r>
      <w:r w:rsidR="00190923" w:rsidRPr="00981405">
        <w:t xml:space="preserve"> </w:t>
      </w:r>
      <w:r w:rsidRPr="00981405">
        <w:t>committed</w:t>
      </w:r>
      <w:r w:rsidR="00190923" w:rsidRPr="00981405">
        <w:t xml:space="preserve"> </w:t>
      </w:r>
      <w:r w:rsidRPr="00981405">
        <w:t>within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an</w:t>
      </w:r>
      <w:r w:rsidR="00190923" w:rsidRPr="00981405">
        <w:t xml:space="preserve"> </w:t>
      </w:r>
      <w:r w:rsidRPr="00981405">
        <w:t>attack.</w:t>
      </w:r>
    </w:p>
    <w:p w:rsidR="00397032" w:rsidRPr="00D97463" w:rsidRDefault="00397032" w:rsidP="00D97463">
      <w:pPr>
        <w:pStyle w:val="SingleTxt"/>
        <w:ind w:left="1742"/>
        <w:jc w:val="left"/>
        <w:rPr>
          <w:b/>
          <w:bCs/>
        </w:rPr>
      </w:pPr>
      <w:r w:rsidRPr="00D97463">
        <w:rPr>
          <w:b/>
          <w:bCs/>
        </w:rPr>
        <w:t>Article</w:t>
      </w:r>
      <w:r w:rsidR="00190923" w:rsidRPr="00981405">
        <w:rPr>
          <w:b/>
          <w:bCs/>
        </w:rPr>
        <w:t xml:space="preserve"> </w:t>
      </w:r>
      <w:r w:rsidRPr="00D97463">
        <w:rPr>
          <w:b/>
          <w:bCs/>
        </w:rPr>
        <w:t>3</w:t>
      </w:r>
      <w:r w:rsidRPr="00D97463">
        <w:rPr>
          <w:b/>
          <w:bCs/>
        </w:rPr>
        <w:br/>
        <w:t>Definition</w:t>
      </w:r>
      <w:r w:rsidR="00190923" w:rsidRPr="00981405">
        <w:rPr>
          <w:b/>
          <w:bCs/>
        </w:rPr>
        <w:t xml:space="preserve"> </w:t>
      </w:r>
      <w:r w:rsidRPr="00D97463">
        <w:rPr>
          <w:b/>
          <w:bCs/>
        </w:rPr>
        <w:t>of</w:t>
      </w:r>
      <w:r w:rsidR="00190923" w:rsidRPr="00981405">
        <w:rPr>
          <w:b/>
          <w:bCs/>
        </w:rPr>
        <w:t xml:space="preserve"> </w:t>
      </w:r>
      <w:r w:rsidRPr="00D97463">
        <w:rPr>
          <w:b/>
          <w:bCs/>
        </w:rPr>
        <w:t>crimes</w:t>
      </w:r>
      <w:r w:rsidR="00190923" w:rsidRPr="00981405">
        <w:rPr>
          <w:b/>
          <w:bCs/>
        </w:rPr>
        <w:t xml:space="preserve"> </w:t>
      </w:r>
      <w:r w:rsidRPr="00D97463">
        <w:rPr>
          <w:b/>
          <w:bCs/>
        </w:rPr>
        <w:t>against</w:t>
      </w:r>
      <w:r w:rsidR="00190923" w:rsidRPr="00981405">
        <w:rPr>
          <w:b/>
          <w:bCs/>
        </w:rPr>
        <w:t xml:space="preserve"> </w:t>
      </w:r>
      <w:r w:rsidRPr="00D97463">
        <w:rPr>
          <w:b/>
          <w:bCs/>
        </w:rPr>
        <w:t>humanity</w:t>
      </w:r>
    </w:p>
    <w:p w:rsidR="00397032" w:rsidRPr="00981405" w:rsidRDefault="00397032" w:rsidP="00D97463">
      <w:pPr>
        <w:pStyle w:val="SingleTxt"/>
        <w:ind w:left="1742"/>
      </w:pPr>
      <w:r w:rsidRPr="00981405">
        <w:t>1.</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00B92E2C" w:rsidRPr="00981405">
        <w:t>“</w:t>
      </w:r>
      <w:r w:rsidRPr="00981405">
        <w:t>crime</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means</w:t>
      </w:r>
      <w:r w:rsidR="00190923" w:rsidRPr="00981405">
        <w:t xml:space="preserve"> </w:t>
      </w:r>
      <w:r w:rsidRPr="00981405">
        <w:t>any</w:t>
      </w:r>
      <w:r w:rsidR="00190923" w:rsidRPr="00981405">
        <w:t xml:space="preserve"> </w:t>
      </w:r>
      <w:r w:rsidRPr="00981405">
        <w:t>of</w:t>
      </w:r>
      <w:r w:rsidR="00190923" w:rsidRPr="00981405">
        <w:t xml:space="preserve"> </w:t>
      </w:r>
      <w:r w:rsidRPr="00981405">
        <w:t>the</w:t>
      </w:r>
      <w:r w:rsidR="00190923" w:rsidRPr="00981405">
        <w:t xml:space="preserve"> </w:t>
      </w:r>
      <w:r w:rsidRPr="00981405">
        <w:t>following</w:t>
      </w:r>
      <w:r w:rsidR="00190923" w:rsidRPr="00981405">
        <w:t xml:space="preserve"> </w:t>
      </w:r>
      <w:r w:rsidRPr="00981405">
        <w:t>acts</w:t>
      </w:r>
      <w:r w:rsidR="00190923" w:rsidRPr="00981405">
        <w:t xml:space="preserve"> </w:t>
      </w:r>
      <w:r w:rsidRPr="00981405">
        <w:t>when</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with</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p>
    <w:p w:rsidR="00397032" w:rsidRPr="00981405" w:rsidRDefault="00397032" w:rsidP="00D97463">
      <w:pPr>
        <w:pStyle w:val="SingleTxt"/>
        <w:ind w:left="1742"/>
      </w:pPr>
      <w:r w:rsidRPr="00981405">
        <w:tab/>
        <w:t>(a)</w:t>
      </w:r>
      <w:r w:rsidRPr="00981405">
        <w:tab/>
        <w:t>Murder;</w:t>
      </w:r>
    </w:p>
    <w:p w:rsidR="00397032" w:rsidRPr="00981405" w:rsidRDefault="00397032" w:rsidP="00D97463">
      <w:pPr>
        <w:pStyle w:val="SingleTxt"/>
        <w:ind w:left="1742"/>
      </w:pPr>
      <w:r w:rsidRPr="00981405">
        <w:tab/>
        <w:t>(b)</w:t>
      </w:r>
      <w:r w:rsidRPr="00981405">
        <w:tab/>
        <w:t>Extermination;</w:t>
      </w:r>
    </w:p>
    <w:p w:rsidR="00397032" w:rsidRPr="00981405" w:rsidRDefault="00397032" w:rsidP="00D97463">
      <w:pPr>
        <w:pStyle w:val="SingleTxt"/>
        <w:ind w:left="1742"/>
      </w:pPr>
      <w:r w:rsidRPr="00981405">
        <w:tab/>
        <w:t>(c)</w:t>
      </w:r>
      <w:r w:rsidRPr="00981405">
        <w:tab/>
        <w:t>Enslavement;</w:t>
      </w:r>
    </w:p>
    <w:p w:rsidR="00397032" w:rsidRPr="00981405" w:rsidRDefault="00397032" w:rsidP="00D97463">
      <w:pPr>
        <w:pStyle w:val="SingleTxt"/>
        <w:ind w:left="1742"/>
      </w:pPr>
      <w:r w:rsidRPr="00981405">
        <w:tab/>
        <w:t>(d)</w:t>
      </w:r>
      <w:r w:rsidRPr="00981405">
        <w:tab/>
        <w:t>Deportation</w:t>
      </w:r>
      <w:r w:rsidR="00190923" w:rsidRPr="00981405">
        <w:t xml:space="preserve"> </w:t>
      </w:r>
      <w:r w:rsidRPr="00981405">
        <w:t>or</w:t>
      </w:r>
      <w:r w:rsidR="00190923" w:rsidRPr="00981405">
        <w:t xml:space="preserve"> </w:t>
      </w:r>
      <w:r w:rsidRPr="00981405">
        <w:t>forcible</w:t>
      </w:r>
      <w:r w:rsidR="00190923" w:rsidRPr="00981405">
        <w:t xml:space="preserve"> </w:t>
      </w:r>
      <w:r w:rsidRPr="00981405">
        <w:t>transfer</w:t>
      </w:r>
      <w:r w:rsidR="00190923" w:rsidRPr="00981405">
        <w:t xml:space="preserve"> </w:t>
      </w:r>
      <w:r w:rsidRPr="00981405">
        <w:t>of</w:t>
      </w:r>
      <w:r w:rsidR="00190923" w:rsidRPr="00981405">
        <w:t xml:space="preserve"> </w:t>
      </w:r>
      <w:r w:rsidRPr="00981405">
        <w:t>population;</w:t>
      </w:r>
    </w:p>
    <w:p w:rsidR="00397032" w:rsidRPr="00981405" w:rsidRDefault="00397032" w:rsidP="00D97463">
      <w:pPr>
        <w:pStyle w:val="SingleTxt"/>
        <w:ind w:left="1742"/>
      </w:pPr>
      <w:r w:rsidRPr="00981405">
        <w:tab/>
        <w:t>(e)</w:t>
      </w:r>
      <w:r w:rsidRPr="00981405">
        <w:tab/>
        <w:t>Imprisonment</w:t>
      </w:r>
      <w:r w:rsidR="00190923" w:rsidRPr="00981405">
        <w:t xml:space="preserve"> </w:t>
      </w:r>
      <w:r w:rsidRPr="00981405">
        <w:t>or</w:t>
      </w:r>
      <w:r w:rsidR="00190923" w:rsidRPr="00981405">
        <w:t xml:space="preserve"> </w:t>
      </w:r>
      <w:r w:rsidRPr="00981405">
        <w:t>other</w:t>
      </w:r>
      <w:r w:rsidR="00190923" w:rsidRPr="00981405">
        <w:t xml:space="preserve"> </w:t>
      </w:r>
      <w:r w:rsidRPr="00981405">
        <w:t>severe</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physical</w:t>
      </w:r>
      <w:r w:rsidR="00190923" w:rsidRPr="00981405">
        <w:t xml:space="preserve"> </w:t>
      </w:r>
      <w:r w:rsidRPr="00981405">
        <w:t>liberty</w:t>
      </w:r>
      <w:r w:rsidR="00190923" w:rsidRPr="00981405">
        <w:t xml:space="preserve"> </w:t>
      </w:r>
      <w:r w:rsidRPr="00981405">
        <w:t>in</w:t>
      </w:r>
      <w:r w:rsidR="00190923" w:rsidRPr="00981405">
        <w:t xml:space="preserve"> </w:t>
      </w:r>
      <w:r w:rsidRPr="00981405">
        <w:t>violation</w:t>
      </w:r>
      <w:r w:rsidR="00190923" w:rsidRPr="00981405">
        <w:t xml:space="preserve"> </w:t>
      </w:r>
      <w:r w:rsidRPr="00981405">
        <w:t>of</w:t>
      </w:r>
      <w:r w:rsidR="00190923" w:rsidRPr="00981405">
        <w:t xml:space="preserve"> </w:t>
      </w:r>
      <w:r w:rsidRPr="00981405">
        <w:t>fundamental</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ind w:left="1742"/>
      </w:pPr>
      <w:r w:rsidRPr="00981405">
        <w:lastRenderedPageBreak/>
        <w:tab/>
        <w:t>(f)</w:t>
      </w:r>
      <w:r w:rsidRPr="00981405">
        <w:tab/>
        <w:t>Torture;</w:t>
      </w:r>
    </w:p>
    <w:p w:rsidR="00397032" w:rsidRPr="00981405" w:rsidRDefault="00397032" w:rsidP="00D97463">
      <w:pPr>
        <w:pStyle w:val="SingleTxt"/>
        <w:ind w:left="1742"/>
      </w:pPr>
      <w:r w:rsidRPr="00981405">
        <w:tab/>
        <w:t>(g)</w:t>
      </w:r>
      <w:r w:rsidRPr="00981405">
        <w:tab/>
        <w:t>Rape,</w:t>
      </w:r>
      <w:r w:rsidR="00190923" w:rsidRPr="00981405">
        <w:t xml:space="preserve"> </w:t>
      </w:r>
      <w:r w:rsidRPr="00981405">
        <w:t>sexual</w:t>
      </w:r>
      <w:r w:rsidR="00190923" w:rsidRPr="00981405">
        <w:t xml:space="preserve"> </w:t>
      </w:r>
      <w:r w:rsidRPr="00981405">
        <w:t>slavery,</w:t>
      </w:r>
      <w:r w:rsidR="00190923" w:rsidRPr="00981405">
        <w:t xml:space="preserve"> </w:t>
      </w:r>
      <w:r w:rsidRPr="00981405">
        <w:t>enforced</w:t>
      </w:r>
      <w:r w:rsidR="00190923" w:rsidRPr="00981405">
        <w:t xml:space="preserve"> </w:t>
      </w:r>
      <w:r w:rsidRPr="00981405">
        <w:t>prostitution,</w:t>
      </w:r>
      <w:r w:rsidR="00190923" w:rsidRPr="00981405">
        <w:t xml:space="preserve"> </w:t>
      </w:r>
      <w:r w:rsidRPr="00981405">
        <w:t>forced</w:t>
      </w:r>
      <w:r w:rsidR="00190923" w:rsidRPr="00981405">
        <w:t xml:space="preserve"> </w:t>
      </w:r>
      <w:r w:rsidRPr="00981405">
        <w:t>pregnancy,</w:t>
      </w:r>
      <w:r w:rsidR="00190923" w:rsidRPr="00981405">
        <w:t xml:space="preserve"> </w:t>
      </w:r>
      <w:r w:rsidRPr="00981405">
        <w:t>enforced</w:t>
      </w:r>
      <w:r w:rsidR="00190923" w:rsidRPr="00981405">
        <w:t xml:space="preserve"> </w:t>
      </w:r>
      <w:r w:rsidRPr="00981405">
        <w:t>sterilization,</w:t>
      </w:r>
      <w:r w:rsidR="00190923" w:rsidRPr="00981405">
        <w:t xml:space="preserve"> </w:t>
      </w:r>
      <w:r w:rsidRPr="00981405">
        <w:t>or</w:t>
      </w:r>
      <w:r w:rsidR="00190923" w:rsidRPr="00981405">
        <w:t xml:space="preserve"> </w:t>
      </w:r>
      <w:r w:rsidRPr="00981405">
        <w:t>any</w:t>
      </w:r>
      <w:r w:rsidR="00190923" w:rsidRPr="00981405">
        <w:t xml:space="preserve"> </w:t>
      </w:r>
      <w:r w:rsidRPr="00981405">
        <w:t>other</w:t>
      </w:r>
      <w:r w:rsidR="00190923" w:rsidRPr="00981405">
        <w:t xml:space="preserve"> </w:t>
      </w:r>
      <w:r w:rsidRPr="00981405">
        <w:t>form</w:t>
      </w:r>
      <w:r w:rsidR="00190923" w:rsidRPr="00981405">
        <w:t xml:space="preserve"> </w:t>
      </w:r>
      <w:r w:rsidRPr="00981405">
        <w:t>of</w:t>
      </w:r>
      <w:r w:rsidR="00190923" w:rsidRPr="00981405">
        <w:t xml:space="preserve"> </w:t>
      </w:r>
      <w:r w:rsidRPr="00981405">
        <w:t>sexual</w:t>
      </w:r>
      <w:r w:rsidR="00190923" w:rsidRPr="00981405">
        <w:t xml:space="preserve"> </w:t>
      </w:r>
      <w:r w:rsidRPr="00981405">
        <w:t>violence</w:t>
      </w:r>
      <w:r w:rsidR="00190923" w:rsidRPr="00981405">
        <w:t xml:space="preserve"> </w:t>
      </w:r>
      <w:r w:rsidRPr="00981405">
        <w:t>of</w:t>
      </w:r>
      <w:r w:rsidR="00190923" w:rsidRPr="00981405">
        <w:t xml:space="preserve"> </w:t>
      </w:r>
      <w:r w:rsidRPr="00981405">
        <w:t>comparable</w:t>
      </w:r>
      <w:r w:rsidR="00190923" w:rsidRPr="00981405">
        <w:t xml:space="preserve"> </w:t>
      </w:r>
      <w:r w:rsidRPr="00981405">
        <w:t>gravity;</w:t>
      </w:r>
      <w:r w:rsidR="00190923" w:rsidRPr="00981405">
        <w:t xml:space="preserve"> </w:t>
      </w:r>
    </w:p>
    <w:p w:rsidR="00397032" w:rsidRPr="00981405" w:rsidRDefault="00397032" w:rsidP="00D97463">
      <w:pPr>
        <w:pStyle w:val="SingleTxt"/>
        <w:ind w:left="1742"/>
      </w:pPr>
      <w:r w:rsidRPr="00981405">
        <w:tab/>
        <w:t>(h)</w:t>
      </w:r>
      <w:r w:rsidRPr="00981405">
        <w:tab/>
        <w:t>Persecution</w:t>
      </w:r>
      <w:r w:rsidR="00190923" w:rsidRPr="00981405">
        <w:t xml:space="preserve"> </w:t>
      </w:r>
      <w:r w:rsidRPr="00981405">
        <w:t>against</w:t>
      </w:r>
      <w:r w:rsidR="00190923" w:rsidRPr="00981405">
        <w:t xml:space="preserve"> </w:t>
      </w:r>
      <w:r w:rsidRPr="00981405">
        <w:t>any</w:t>
      </w:r>
      <w:r w:rsidR="00190923" w:rsidRPr="00981405">
        <w:t xml:space="preserve"> </w:t>
      </w:r>
      <w:r w:rsidRPr="00981405">
        <w:t>identifiable</w:t>
      </w:r>
      <w:r w:rsidR="00190923" w:rsidRPr="00981405">
        <w:t xml:space="preserve"> </w:t>
      </w:r>
      <w:r w:rsidRPr="00981405">
        <w:t>group</w:t>
      </w:r>
      <w:r w:rsidR="00190923" w:rsidRPr="00981405">
        <w:t xml:space="preserve"> </w:t>
      </w:r>
      <w:r w:rsidRPr="00981405">
        <w:t>or</w:t>
      </w:r>
      <w:r w:rsidR="00190923" w:rsidRPr="00981405">
        <w:t xml:space="preserve"> </w:t>
      </w:r>
      <w:r w:rsidRPr="00981405">
        <w:t>collectivity</w:t>
      </w:r>
      <w:r w:rsidR="00190923" w:rsidRPr="00981405">
        <w:t xml:space="preserve"> </w:t>
      </w:r>
      <w:r w:rsidRPr="00981405">
        <w:t>on</w:t>
      </w:r>
      <w:r w:rsidR="00190923" w:rsidRPr="00981405">
        <w:t xml:space="preserve"> </w:t>
      </w:r>
      <w:r w:rsidRPr="00981405">
        <w:t>political,</w:t>
      </w:r>
      <w:r w:rsidR="00190923" w:rsidRPr="00981405">
        <w:t xml:space="preserve"> </w:t>
      </w:r>
      <w:r w:rsidRPr="00981405">
        <w:t>racial,</w:t>
      </w:r>
      <w:r w:rsidR="00190923" w:rsidRPr="00981405">
        <w:t xml:space="preserve"> </w:t>
      </w:r>
      <w:r w:rsidRPr="00981405">
        <w:t>national,</w:t>
      </w:r>
      <w:r w:rsidR="00190923" w:rsidRPr="00981405">
        <w:t xml:space="preserve"> </w:t>
      </w:r>
      <w:r w:rsidRPr="00981405">
        <w:t>ethnic,</w:t>
      </w:r>
      <w:r w:rsidR="00190923" w:rsidRPr="00981405">
        <w:t xml:space="preserve"> </w:t>
      </w:r>
      <w:r w:rsidRPr="00981405">
        <w:t>cultural,</w:t>
      </w:r>
      <w:r w:rsidR="00190923" w:rsidRPr="00981405">
        <w:t xml:space="preserve"> </w:t>
      </w:r>
      <w:r w:rsidRPr="00981405">
        <w:t>religious,</w:t>
      </w:r>
      <w:r w:rsidR="00190923" w:rsidRPr="00981405">
        <w:t xml:space="preserve"> </w:t>
      </w:r>
      <w:r w:rsidRPr="00981405">
        <w:t>gender</w:t>
      </w:r>
      <w:r w:rsidR="00190923" w:rsidRPr="00981405">
        <w:t xml:space="preserve"> </w:t>
      </w:r>
      <w:r w:rsidRPr="00981405">
        <w:t>as</w:t>
      </w:r>
      <w:r w:rsidR="00190923" w:rsidRPr="00981405">
        <w:t xml:space="preserve"> </w:t>
      </w:r>
      <w:r w:rsidRPr="00981405">
        <w:t>defined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3,</w:t>
      </w:r>
      <w:r w:rsidR="00190923" w:rsidRPr="00981405">
        <w:t xml:space="preserve"> </w:t>
      </w:r>
      <w:r w:rsidRPr="00981405">
        <w:t>or</w:t>
      </w:r>
      <w:r w:rsidR="00190923" w:rsidRPr="00981405">
        <w:t xml:space="preserve"> </w:t>
      </w:r>
      <w:r w:rsidRPr="00981405">
        <w:t>other</w:t>
      </w:r>
      <w:r w:rsidR="00190923" w:rsidRPr="00981405">
        <w:t xml:space="preserve"> </w:t>
      </w:r>
      <w:r w:rsidRPr="00981405">
        <w:t>grounds</w:t>
      </w:r>
      <w:r w:rsidR="00190923" w:rsidRPr="00981405">
        <w:t xml:space="preserve"> </w:t>
      </w:r>
      <w:r w:rsidRPr="00981405">
        <w:t>that</w:t>
      </w:r>
      <w:r w:rsidR="00190923" w:rsidRPr="00981405">
        <w:t xml:space="preserve"> </w:t>
      </w:r>
      <w:r w:rsidRPr="00981405">
        <w:t>are</w:t>
      </w:r>
      <w:r w:rsidR="00190923" w:rsidRPr="00981405">
        <w:t xml:space="preserve"> </w:t>
      </w:r>
      <w:r w:rsidRPr="00981405">
        <w:t>universally</w:t>
      </w:r>
      <w:r w:rsidR="00190923" w:rsidRPr="00981405">
        <w:t xml:space="preserve"> </w:t>
      </w:r>
      <w:r w:rsidRPr="00981405">
        <w:t>recognized</w:t>
      </w:r>
      <w:r w:rsidR="00190923" w:rsidRPr="00981405">
        <w:t xml:space="preserve"> </w:t>
      </w:r>
      <w:r w:rsidRPr="00981405">
        <w:t>as</w:t>
      </w:r>
      <w:r w:rsidR="00190923" w:rsidRPr="00981405">
        <w:t xml:space="preserve"> </w:t>
      </w:r>
      <w:r w:rsidRPr="00981405">
        <w:t>impermissible</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any</w:t>
      </w:r>
      <w:r w:rsidR="00190923" w:rsidRPr="00981405">
        <w:t xml:space="preserve"> </w:t>
      </w:r>
      <w:r w:rsidRPr="00981405">
        <w:t>act</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this</w:t>
      </w:r>
      <w:r w:rsidR="00190923" w:rsidRPr="00981405">
        <w:t xml:space="preserve"> </w:t>
      </w:r>
      <w:r w:rsidRPr="00981405">
        <w:t>paragraph</w:t>
      </w:r>
      <w:r w:rsidR="00190923" w:rsidRPr="00981405">
        <w:t xml:space="preserve"> </w:t>
      </w:r>
      <w:r w:rsidRPr="00981405">
        <w:t>or</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genocide</w:t>
      </w:r>
      <w:r w:rsidR="00190923" w:rsidRPr="00981405">
        <w:t xml:space="preserve"> </w:t>
      </w:r>
      <w:r w:rsidRPr="00981405">
        <w:t>or</w:t>
      </w:r>
      <w:r w:rsidR="00190923" w:rsidRPr="00981405">
        <w:t xml:space="preserve"> </w:t>
      </w:r>
      <w:r w:rsidRPr="00981405">
        <w:t>war</w:t>
      </w:r>
      <w:r w:rsidR="00190923" w:rsidRPr="00981405">
        <w:t xml:space="preserve"> </w:t>
      </w:r>
      <w:r w:rsidRPr="00981405">
        <w:t>crimes;</w:t>
      </w:r>
    </w:p>
    <w:p w:rsidR="00397032" w:rsidRPr="00981405" w:rsidRDefault="00397032" w:rsidP="00D97463">
      <w:pPr>
        <w:pStyle w:val="SingleTxt"/>
        <w:ind w:left="1742"/>
      </w:pPr>
      <w:r w:rsidRPr="00981405">
        <w:tab/>
        <w:t>(i)</w:t>
      </w:r>
      <w:r w:rsidRPr="00981405">
        <w:tab/>
        <w:t>Enforced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p>
    <w:p w:rsidR="00397032" w:rsidRPr="00981405" w:rsidRDefault="00397032" w:rsidP="00D97463">
      <w:pPr>
        <w:pStyle w:val="SingleTxt"/>
        <w:ind w:left="1742"/>
      </w:pPr>
      <w:r w:rsidRPr="00981405">
        <w:tab/>
        <w:t>(j)</w:t>
      </w:r>
      <w:r w:rsidRPr="00981405">
        <w:tab/>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apartheid;</w:t>
      </w:r>
    </w:p>
    <w:p w:rsidR="00397032" w:rsidRPr="00981405" w:rsidRDefault="00397032" w:rsidP="00D97463">
      <w:pPr>
        <w:pStyle w:val="SingleTxt"/>
        <w:ind w:left="1742"/>
      </w:pPr>
      <w:r w:rsidRPr="00981405">
        <w:tab/>
        <w:t>(k)</w:t>
      </w:r>
      <w:r w:rsidRPr="00981405">
        <w:tab/>
        <w:t>Other</w:t>
      </w:r>
      <w:r w:rsidR="00190923" w:rsidRPr="00981405">
        <w:t xml:space="preserve"> </w:t>
      </w:r>
      <w:r w:rsidRPr="00981405">
        <w:t>inhumane</w:t>
      </w:r>
      <w:r w:rsidR="00190923" w:rsidRPr="00981405">
        <w:t xml:space="preserve"> </w:t>
      </w:r>
      <w:r w:rsidRPr="00981405">
        <w:t>acts</w:t>
      </w:r>
      <w:r w:rsidR="00190923" w:rsidRPr="00981405">
        <w:t xml:space="preserve"> </w:t>
      </w:r>
      <w:r w:rsidRPr="00981405">
        <w:t>of</w:t>
      </w:r>
      <w:r w:rsidR="00190923" w:rsidRPr="00981405">
        <w:t xml:space="preserve"> </w:t>
      </w:r>
      <w:r w:rsidRPr="00981405">
        <w:t>a</w:t>
      </w:r>
      <w:r w:rsidR="00190923" w:rsidRPr="00981405">
        <w:t xml:space="preserve"> </w:t>
      </w:r>
      <w:r w:rsidRPr="00981405">
        <w:t>similar</w:t>
      </w:r>
      <w:r w:rsidR="00190923" w:rsidRPr="00981405">
        <w:t xml:space="preserve"> </w:t>
      </w:r>
      <w:r w:rsidRPr="00981405">
        <w:t>character</w:t>
      </w:r>
      <w:r w:rsidR="00190923" w:rsidRPr="00981405">
        <w:t xml:space="preserve"> </w:t>
      </w:r>
      <w:r w:rsidRPr="00981405">
        <w:t>intentionally</w:t>
      </w:r>
      <w:r w:rsidR="00190923" w:rsidRPr="00981405">
        <w:t xml:space="preserve"> </w:t>
      </w:r>
      <w:r w:rsidRPr="00981405">
        <w:t>causing</w:t>
      </w:r>
      <w:r w:rsidR="00190923" w:rsidRPr="00981405">
        <w:t xml:space="preserve"> </w:t>
      </w:r>
      <w:r w:rsidRPr="00981405">
        <w:t>great</w:t>
      </w:r>
      <w:r w:rsidR="00190923" w:rsidRPr="00981405">
        <w:t xml:space="preserve"> </w:t>
      </w:r>
      <w:r w:rsidRPr="00981405">
        <w:t>suffering,</w:t>
      </w:r>
      <w:r w:rsidR="00190923" w:rsidRPr="00981405">
        <w:t xml:space="preserve"> </w:t>
      </w:r>
      <w:r w:rsidRPr="00981405">
        <w:t>or</w:t>
      </w:r>
      <w:r w:rsidR="00190923" w:rsidRPr="00981405">
        <w:t xml:space="preserve"> </w:t>
      </w:r>
      <w:r w:rsidRPr="00981405">
        <w:t>serious</w:t>
      </w:r>
      <w:r w:rsidR="00190923" w:rsidRPr="00981405">
        <w:t xml:space="preserve"> </w:t>
      </w:r>
      <w:r w:rsidRPr="00981405">
        <w:t>injury</w:t>
      </w:r>
      <w:r w:rsidR="00190923" w:rsidRPr="00981405">
        <w:t xml:space="preserve"> </w:t>
      </w:r>
      <w:r w:rsidRPr="00981405">
        <w:t>to</w:t>
      </w:r>
      <w:r w:rsidR="00190923" w:rsidRPr="00981405">
        <w:t xml:space="preserve"> </w:t>
      </w:r>
      <w:r w:rsidRPr="00981405">
        <w:t>body</w:t>
      </w:r>
      <w:r w:rsidR="00190923" w:rsidRPr="00981405">
        <w:t xml:space="preserve"> </w:t>
      </w:r>
      <w:r w:rsidRPr="00981405">
        <w:t>or</w:t>
      </w:r>
      <w:r w:rsidR="00190923" w:rsidRPr="00981405">
        <w:t xml:space="preserve"> </w:t>
      </w:r>
      <w:r w:rsidRPr="00981405">
        <w:t>to</w:t>
      </w:r>
      <w:r w:rsidR="00190923" w:rsidRPr="00981405">
        <w:t xml:space="preserve"> </w:t>
      </w:r>
      <w:r w:rsidRPr="00981405">
        <w:t>mental</w:t>
      </w:r>
      <w:r w:rsidR="00190923" w:rsidRPr="00981405">
        <w:t xml:space="preserve"> </w:t>
      </w:r>
      <w:r w:rsidRPr="00981405">
        <w:t>or</w:t>
      </w:r>
      <w:r w:rsidR="00190923" w:rsidRPr="00981405">
        <w:t xml:space="preserve"> </w:t>
      </w:r>
      <w:r w:rsidRPr="00981405">
        <w:t>physical</w:t>
      </w:r>
      <w:r w:rsidR="00190923" w:rsidRPr="00981405">
        <w:t xml:space="preserve"> </w:t>
      </w:r>
      <w:r w:rsidRPr="00981405">
        <w:t>health.</w:t>
      </w:r>
    </w:p>
    <w:p w:rsidR="00397032" w:rsidRPr="00981405" w:rsidRDefault="00397032" w:rsidP="00D97463">
      <w:pPr>
        <w:pStyle w:val="SingleTxt"/>
        <w:ind w:left="1742"/>
      </w:pPr>
      <w:r w:rsidRPr="00981405">
        <w:t>2.</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paragraph</w:t>
      </w:r>
      <w:r w:rsidR="00190923" w:rsidRPr="00981405">
        <w:t xml:space="preserve"> </w:t>
      </w:r>
      <w:r w:rsidRPr="00981405">
        <w:t>1:</w:t>
      </w:r>
    </w:p>
    <w:p w:rsidR="00397032" w:rsidRPr="00981405" w:rsidRDefault="00397032" w:rsidP="00D97463">
      <w:pPr>
        <w:pStyle w:val="SingleTxt"/>
        <w:ind w:left="1742"/>
      </w:pPr>
      <w:r w:rsidRPr="00981405">
        <w:tab/>
        <w:t>(a)</w:t>
      </w:r>
      <w:r w:rsidRPr="00981405">
        <w:tab/>
      </w:r>
      <w:r w:rsidR="00B92E2C" w:rsidRPr="00981405">
        <w:t>“</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means</w:t>
      </w:r>
      <w:r w:rsidR="00190923" w:rsidRPr="00981405">
        <w:t xml:space="preserve"> </w:t>
      </w:r>
      <w:r w:rsidRPr="00981405">
        <w:t>a</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pursuant</w:t>
      </w:r>
      <w:r w:rsidR="00190923" w:rsidRPr="00981405">
        <w:t xml:space="preserve"> </w:t>
      </w:r>
      <w:r w:rsidRPr="00981405">
        <w:t>to</w:t>
      </w:r>
      <w:r w:rsidR="00190923" w:rsidRPr="00981405">
        <w:t xml:space="preserve"> </w:t>
      </w:r>
      <w:r w:rsidRPr="00981405">
        <w:t>or</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attack;</w:t>
      </w:r>
    </w:p>
    <w:p w:rsidR="00397032" w:rsidRPr="00981405" w:rsidRDefault="00397032" w:rsidP="00D97463">
      <w:pPr>
        <w:pStyle w:val="SingleTxt"/>
        <w:ind w:left="1742"/>
      </w:pPr>
      <w:r w:rsidRPr="00981405">
        <w:tab/>
        <w:t>(b)</w:t>
      </w:r>
      <w:r w:rsidRPr="00981405">
        <w:tab/>
      </w:r>
      <w:r w:rsidR="00B92E2C" w:rsidRPr="00981405">
        <w:t>“</w:t>
      </w:r>
      <w:r w:rsidRPr="00981405">
        <w:t>Extermination</w:t>
      </w:r>
      <w:r w:rsidR="00B92E2C" w:rsidRPr="00981405">
        <w:t>”</w:t>
      </w:r>
      <w:r w:rsidR="00190923" w:rsidRPr="00981405">
        <w:t xml:space="preserve"> </w:t>
      </w:r>
      <w:r w:rsidRPr="00981405">
        <w:t>includes</w:t>
      </w:r>
      <w:r w:rsidR="00190923" w:rsidRPr="00981405">
        <w:t xml:space="preserve"> </w:t>
      </w:r>
      <w:r w:rsidRPr="00981405">
        <w:t>the</w:t>
      </w:r>
      <w:r w:rsidR="00190923" w:rsidRPr="00981405">
        <w:t xml:space="preserve"> </w:t>
      </w:r>
      <w:r w:rsidRPr="00981405">
        <w:t>intentional</w:t>
      </w:r>
      <w:r w:rsidR="00190923" w:rsidRPr="00981405">
        <w:t xml:space="preserve"> </w:t>
      </w:r>
      <w:r w:rsidRPr="00981405">
        <w:t>infliction</w:t>
      </w:r>
      <w:r w:rsidR="00190923" w:rsidRPr="00981405">
        <w:t xml:space="preserve"> </w:t>
      </w:r>
      <w:r w:rsidRPr="00981405">
        <w:t>of</w:t>
      </w:r>
      <w:r w:rsidR="00190923" w:rsidRPr="00981405">
        <w:t xml:space="preserve"> </w:t>
      </w:r>
      <w:r w:rsidRPr="00981405">
        <w:t>conditions</w:t>
      </w:r>
      <w:r w:rsidR="00190923" w:rsidRPr="00981405">
        <w:t xml:space="preserve"> </w:t>
      </w:r>
      <w:r w:rsidRPr="00981405">
        <w:t>of</w:t>
      </w:r>
      <w:r w:rsidR="00190923" w:rsidRPr="00981405">
        <w:t xml:space="preserve"> </w:t>
      </w:r>
      <w:r w:rsidRPr="00981405">
        <w:t>life</w:t>
      </w:r>
      <w:r w:rsidR="00190923" w:rsidRPr="00981405">
        <w:t xml:space="preserve"> </w:t>
      </w:r>
      <w:r w:rsidRPr="00981405">
        <w:t>including,</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the</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access</w:t>
      </w:r>
      <w:r w:rsidR="00190923" w:rsidRPr="00981405">
        <w:t xml:space="preserve"> </w:t>
      </w:r>
      <w:r w:rsidRPr="00981405">
        <w:t>to</w:t>
      </w:r>
      <w:r w:rsidR="00190923" w:rsidRPr="00981405">
        <w:t xml:space="preserve"> </w:t>
      </w:r>
      <w:r w:rsidRPr="00981405">
        <w:t>food</w:t>
      </w:r>
      <w:r w:rsidR="00190923" w:rsidRPr="00981405">
        <w:t xml:space="preserve"> </w:t>
      </w:r>
      <w:r w:rsidRPr="00981405">
        <w:t>and</w:t>
      </w:r>
      <w:r w:rsidR="00190923" w:rsidRPr="00981405">
        <w:t xml:space="preserve"> </w:t>
      </w:r>
      <w:r w:rsidRPr="00981405">
        <w:t>medicine,</w:t>
      </w:r>
      <w:r w:rsidR="00190923" w:rsidRPr="00981405">
        <w:t xml:space="preserve"> </w:t>
      </w:r>
      <w:r w:rsidRPr="00981405">
        <w:t>calculated</w:t>
      </w:r>
      <w:r w:rsidR="00190923" w:rsidRPr="00981405">
        <w:t xml:space="preserve"> </w:t>
      </w:r>
      <w:r w:rsidRPr="00981405">
        <w:t>to</w:t>
      </w:r>
      <w:r w:rsidR="00190923" w:rsidRPr="00981405">
        <w:t xml:space="preserve"> </w:t>
      </w:r>
      <w:r w:rsidRPr="00981405">
        <w:t>bring</w:t>
      </w:r>
      <w:r w:rsidR="00190923" w:rsidRPr="00981405">
        <w:t xml:space="preserve"> </w:t>
      </w:r>
      <w:r w:rsidRPr="00981405">
        <w:t>about</w:t>
      </w:r>
      <w:r w:rsidR="00190923" w:rsidRPr="00981405">
        <w:t xml:space="preserve"> </w:t>
      </w:r>
      <w:r w:rsidRPr="00981405">
        <w:t>the</w:t>
      </w:r>
      <w:r w:rsidR="00190923" w:rsidRPr="00981405">
        <w:t xml:space="preserve"> </w:t>
      </w:r>
      <w:r w:rsidRPr="00981405">
        <w:t>destruction</w:t>
      </w:r>
      <w:r w:rsidR="00190923" w:rsidRPr="00981405">
        <w:t xml:space="preserve"> </w:t>
      </w:r>
      <w:r w:rsidRPr="00981405">
        <w:t>of</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population;</w:t>
      </w:r>
    </w:p>
    <w:p w:rsidR="00397032" w:rsidRPr="00981405" w:rsidRDefault="00397032" w:rsidP="00D97463">
      <w:pPr>
        <w:pStyle w:val="SingleTxt"/>
        <w:ind w:left="1742"/>
      </w:pPr>
      <w:r w:rsidRPr="00981405">
        <w:tab/>
        <w:t>(c)</w:t>
      </w:r>
      <w:r w:rsidRPr="00981405">
        <w:tab/>
      </w:r>
      <w:r w:rsidR="00B92E2C" w:rsidRPr="00981405">
        <w:t>“</w:t>
      </w:r>
      <w:r w:rsidRPr="00981405">
        <w:t>Enslavement</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any</w:t>
      </w:r>
      <w:r w:rsidR="00190923" w:rsidRPr="00981405">
        <w:t xml:space="preserve"> </w:t>
      </w:r>
      <w:r w:rsidRPr="00981405">
        <w:t>or</w:t>
      </w:r>
      <w:r w:rsidR="00190923" w:rsidRPr="00981405">
        <w:t xml:space="preserve"> </w:t>
      </w:r>
      <w:r w:rsidRPr="00981405">
        <w:t>all</w:t>
      </w:r>
      <w:r w:rsidR="00190923" w:rsidRPr="00981405">
        <w:t xml:space="preserve"> </w:t>
      </w:r>
      <w:r w:rsidRPr="00981405">
        <w:t>of</w:t>
      </w:r>
      <w:r w:rsidR="00190923" w:rsidRPr="00981405">
        <w:t xml:space="preserve"> </w:t>
      </w:r>
      <w:r w:rsidRPr="00981405">
        <w:t>the</w:t>
      </w:r>
      <w:r w:rsidR="00190923" w:rsidRPr="00981405">
        <w:t xml:space="preserve"> </w:t>
      </w:r>
      <w:r w:rsidRPr="00981405">
        <w:t>powers</w:t>
      </w:r>
      <w:r w:rsidR="00190923" w:rsidRPr="00981405">
        <w:t xml:space="preserve"> </w:t>
      </w:r>
      <w:r w:rsidRPr="00981405">
        <w:t>attaching</w:t>
      </w:r>
      <w:r w:rsidR="00190923" w:rsidRPr="00981405">
        <w:t xml:space="preserve"> </w:t>
      </w:r>
      <w:r w:rsidRPr="00981405">
        <w:t>to</w:t>
      </w:r>
      <w:r w:rsidR="00190923" w:rsidRPr="00981405">
        <w:t xml:space="preserve"> </w:t>
      </w:r>
      <w:r w:rsidRPr="00981405">
        <w:t>the</w:t>
      </w:r>
      <w:r w:rsidR="00190923" w:rsidRPr="00981405">
        <w:t xml:space="preserve"> </w:t>
      </w:r>
      <w:r w:rsidRPr="00981405">
        <w:t>right</w:t>
      </w:r>
      <w:r w:rsidR="00190923" w:rsidRPr="00981405">
        <w:t xml:space="preserve"> </w:t>
      </w:r>
      <w:r w:rsidRPr="00981405">
        <w:t>of</w:t>
      </w:r>
      <w:r w:rsidR="00190923" w:rsidRPr="00981405">
        <w:t xml:space="preserve"> </w:t>
      </w:r>
      <w:r w:rsidRPr="00981405">
        <w:t>ownership</w:t>
      </w:r>
      <w:r w:rsidR="00190923" w:rsidRPr="00981405">
        <w:t xml:space="preserve"> </w:t>
      </w:r>
      <w:r w:rsidRPr="00981405">
        <w:t>over</w:t>
      </w:r>
      <w:r w:rsidR="00190923" w:rsidRPr="00981405">
        <w:t xml:space="preserve"> </w:t>
      </w:r>
      <w:r w:rsidRPr="00981405">
        <w:t>a</w:t>
      </w:r>
      <w:r w:rsidR="00190923" w:rsidRPr="00981405">
        <w:t xml:space="preserve"> </w:t>
      </w:r>
      <w:r w:rsidRPr="00981405">
        <w:t>person</w:t>
      </w:r>
      <w:r w:rsidR="00190923" w:rsidRPr="00981405">
        <w:t xml:space="preserve"> </w:t>
      </w:r>
      <w:r w:rsidRPr="00981405">
        <w:t>and</w:t>
      </w:r>
      <w:r w:rsidR="00190923" w:rsidRPr="00981405">
        <w:t xml:space="preserve"> </w:t>
      </w:r>
      <w:r w:rsidRPr="00981405">
        <w:t>includes</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such</w:t>
      </w:r>
      <w:r w:rsidR="00190923" w:rsidRPr="00981405">
        <w:t xml:space="preserve"> </w:t>
      </w:r>
      <w:r w:rsidRPr="00981405">
        <w:t>power</w:t>
      </w:r>
      <w:r w:rsidR="00190923" w:rsidRPr="00981405">
        <w:t xml:space="preserve"> </w:t>
      </w:r>
      <w:r w:rsidRPr="00981405">
        <w:t>in</w:t>
      </w:r>
      <w:r w:rsidR="00190923" w:rsidRPr="00981405">
        <w:t xml:space="preserve"> </w:t>
      </w:r>
      <w:r w:rsidRPr="00981405">
        <w:t>the</w:t>
      </w:r>
      <w:r w:rsidR="00190923" w:rsidRPr="00981405">
        <w:t xml:space="preserve"> </w:t>
      </w:r>
      <w:r w:rsidRPr="00981405">
        <w:t>course</w:t>
      </w:r>
      <w:r w:rsidR="00190923" w:rsidRPr="00981405">
        <w:t xml:space="preserve"> </w:t>
      </w:r>
      <w:r w:rsidRPr="00981405">
        <w:t>of</w:t>
      </w:r>
      <w:r w:rsidR="00190923" w:rsidRPr="00981405">
        <w:t xml:space="preserve"> </w:t>
      </w:r>
      <w:r w:rsidRPr="00981405">
        <w:t>trafficking</w:t>
      </w:r>
      <w:r w:rsidR="00190923" w:rsidRPr="00981405">
        <w:t xml:space="preserve"> </w:t>
      </w:r>
      <w:r w:rsidRPr="00981405">
        <w:t>in</w:t>
      </w:r>
      <w:r w:rsidR="00190923" w:rsidRPr="00981405">
        <w:t xml:space="preserve"> </w:t>
      </w:r>
      <w:r w:rsidRPr="00981405">
        <w:t>persons,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women</w:t>
      </w:r>
      <w:r w:rsidR="00190923" w:rsidRPr="00981405">
        <w:t xml:space="preserve"> </w:t>
      </w:r>
      <w:r w:rsidRPr="00981405">
        <w:t>and</w:t>
      </w:r>
      <w:r w:rsidR="00190923" w:rsidRPr="00981405">
        <w:t xml:space="preserve"> </w:t>
      </w:r>
      <w:r w:rsidRPr="00981405">
        <w:t>children;</w:t>
      </w:r>
    </w:p>
    <w:p w:rsidR="00397032" w:rsidRPr="00981405" w:rsidRDefault="00397032" w:rsidP="00D97463">
      <w:pPr>
        <w:pStyle w:val="SingleTxt"/>
        <w:ind w:left="1742"/>
      </w:pPr>
      <w:r w:rsidRPr="00981405">
        <w:tab/>
        <w:t>(d)</w:t>
      </w:r>
      <w:r w:rsidRPr="00981405">
        <w:tab/>
      </w:r>
      <w:r w:rsidR="00B92E2C" w:rsidRPr="00981405">
        <w:t>“</w:t>
      </w:r>
      <w:r w:rsidRPr="00981405">
        <w:t>Deportation</w:t>
      </w:r>
      <w:r w:rsidR="00190923" w:rsidRPr="00981405">
        <w:t xml:space="preserve"> </w:t>
      </w:r>
      <w:r w:rsidRPr="00981405">
        <w:t>or</w:t>
      </w:r>
      <w:r w:rsidR="00190923" w:rsidRPr="00981405">
        <w:t xml:space="preserve"> </w:t>
      </w:r>
      <w:r w:rsidRPr="00981405">
        <w:t>forcible</w:t>
      </w:r>
      <w:r w:rsidR="00190923" w:rsidRPr="00981405">
        <w:t xml:space="preserve"> </w:t>
      </w:r>
      <w:r w:rsidRPr="00981405">
        <w:t>transfer</w:t>
      </w:r>
      <w:r w:rsidR="00190923" w:rsidRPr="00981405">
        <w:t xml:space="preserve"> </w:t>
      </w:r>
      <w:r w:rsidRPr="00981405">
        <w:t>of</w:t>
      </w:r>
      <w:r w:rsidR="00190923" w:rsidRPr="00981405">
        <w:t xml:space="preserve"> </w:t>
      </w:r>
      <w:r w:rsidRPr="00981405">
        <w:t>population</w:t>
      </w:r>
      <w:r w:rsidR="00B92E2C" w:rsidRPr="00981405">
        <w:t>”</w:t>
      </w:r>
      <w:r w:rsidR="00190923" w:rsidRPr="00981405">
        <w:t xml:space="preserve"> </w:t>
      </w:r>
      <w:r w:rsidRPr="00981405">
        <w:t>means</w:t>
      </w:r>
      <w:r w:rsidR="00190923" w:rsidRPr="00981405">
        <w:t xml:space="preserve"> </w:t>
      </w:r>
      <w:r w:rsidRPr="00981405">
        <w:t>forced</w:t>
      </w:r>
      <w:r w:rsidR="00190923" w:rsidRPr="00981405">
        <w:t xml:space="preserve"> </w:t>
      </w:r>
      <w:r w:rsidRPr="00981405">
        <w:t>displacement</w:t>
      </w:r>
      <w:r w:rsidR="00190923" w:rsidRPr="00981405">
        <w:t xml:space="preserve"> </w:t>
      </w:r>
      <w:r w:rsidRPr="00981405">
        <w:t>of</w:t>
      </w:r>
      <w:r w:rsidR="00190923" w:rsidRPr="00981405">
        <w:t xml:space="preserve"> </w:t>
      </w:r>
      <w:r w:rsidRPr="00981405">
        <w:t>the</w:t>
      </w:r>
      <w:r w:rsidR="00190923" w:rsidRPr="00981405">
        <w:t xml:space="preserve"> </w:t>
      </w:r>
      <w:r w:rsidRPr="00981405">
        <w:t>persons</w:t>
      </w:r>
      <w:r w:rsidR="00190923" w:rsidRPr="00981405">
        <w:t xml:space="preserve"> </w:t>
      </w:r>
      <w:r w:rsidRPr="00981405">
        <w:t>concerned</w:t>
      </w:r>
      <w:r w:rsidR="00190923" w:rsidRPr="00981405">
        <w:t xml:space="preserve"> </w:t>
      </w:r>
      <w:r w:rsidRPr="00981405">
        <w:t>by</w:t>
      </w:r>
      <w:r w:rsidR="00190923" w:rsidRPr="00981405">
        <w:t xml:space="preserve"> </w:t>
      </w:r>
      <w:r w:rsidRPr="00981405">
        <w:t>expulsion</w:t>
      </w:r>
      <w:r w:rsidR="00190923" w:rsidRPr="00981405">
        <w:t xml:space="preserve"> </w:t>
      </w:r>
      <w:r w:rsidRPr="00981405">
        <w:t>or</w:t>
      </w:r>
      <w:r w:rsidR="00190923" w:rsidRPr="00981405">
        <w:t xml:space="preserve"> </w:t>
      </w:r>
      <w:r w:rsidRPr="00981405">
        <w:t>other</w:t>
      </w:r>
      <w:r w:rsidR="00190923" w:rsidRPr="00981405">
        <w:t xml:space="preserve"> </w:t>
      </w:r>
      <w:r w:rsidRPr="00981405">
        <w:t>coercive</w:t>
      </w:r>
      <w:r w:rsidR="00190923" w:rsidRPr="00981405">
        <w:t xml:space="preserve"> </w:t>
      </w:r>
      <w:r w:rsidRPr="00981405">
        <w:t>acts</w:t>
      </w:r>
      <w:r w:rsidR="00190923" w:rsidRPr="00981405">
        <w:t xml:space="preserve"> </w:t>
      </w:r>
      <w:r w:rsidRPr="00981405">
        <w:t>from</w:t>
      </w:r>
      <w:r w:rsidR="00190923" w:rsidRPr="00981405">
        <w:t xml:space="preserve"> </w:t>
      </w:r>
      <w:r w:rsidRPr="00981405">
        <w:t>the</w:t>
      </w:r>
      <w:r w:rsidR="00190923" w:rsidRPr="00981405">
        <w:t xml:space="preserve"> </w:t>
      </w:r>
      <w:r w:rsidRPr="00981405">
        <w:t>area</w:t>
      </w:r>
      <w:r w:rsidR="00190923" w:rsidRPr="00981405">
        <w:t xml:space="preserve"> </w:t>
      </w:r>
      <w:r w:rsidRPr="00981405">
        <w:t>in</w:t>
      </w:r>
      <w:r w:rsidR="00190923" w:rsidRPr="00981405">
        <w:t xml:space="preserve"> </w:t>
      </w:r>
      <w:r w:rsidRPr="00981405">
        <w:t>which</w:t>
      </w:r>
      <w:r w:rsidR="00190923" w:rsidRPr="00981405">
        <w:t xml:space="preserve"> </w:t>
      </w:r>
      <w:r w:rsidRPr="00981405">
        <w:t>they</w:t>
      </w:r>
      <w:r w:rsidR="00190923" w:rsidRPr="00981405">
        <w:t xml:space="preserve"> </w:t>
      </w:r>
      <w:r w:rsidRPr="00981405">
        <w:t>are</w:t>
      </w:r>
      <w:r w:rsidR="00190923" w:rsidRPr="00981405">
        <w:t xml:space="preserve"> </w:t>
      </w:r>
      <w:r w:rsidRPr="00981405">
        <w:t>lawfully</w:t>
      </w:r>
      <w:r w:rsidR="00190923" w:rsidRPr="00981405">
        <w:t xml:space="preserve"> </w:t>
      </w:r>
      <w:r w:rsidRPr="00981405">
        <w:t>present,</w:t>
      </w:r>
      <w:r w:rsidR="00190923" w:rsidRPr="00981405">
        <w:t xml:space="preserve"> </w:t>
      </w:r>
      <w:r w:rsidRPr="00981405">
        <w:t>without</w:t>
      </w:r>
      <w:r w:rsidR="00190923" w:rsidRPr="00981405">
        <w:t xml:space="preserve"> </w:t>
      </w:r>
      <w:r w:rsidRPr="00981405">
        <w:t>grounds</w:t>
      </w:r>
      <w:r w:rsidR="00190923" w:rsidRPr="00981405">
        <w:t xml:space="preserve"> </w:t>
      </w:r>
      <w:r w:rsidRPr="00981405">
        <w:t>permitted</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ind w:left="1742"/>
      </w:pPr>
      <w:r w:rsidRPr="00981405">
        <w:tab/>
        <w:t>(e)</w:t>
      </w:r>
      <w:r w:rsidRPr="00981405">
        <w:tab/>
      </w:r>
      <w:r w:rsidR="00B92E2C" w:rsidRPr="00981405">
        <w:t>“</w:t>
      </w:r>
      <w:r w:rsidRPr="00981405">
        <w:t>Torture</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intentional</w:t>
      </w:r>
      <w:r w:rsidR="00190923" w:rsidRPr="00981405">
        <w:t xml:space="preserve"> </w:t>
      </w:r>
      <w:r w:rsidRPr="00981405">
        <w:t>infliction</w:t>
      </w:r>
      <w:r w:rsidR="00190923" w:rsidRPr="00981405">
        <w:t xml:space="preserve"> </w:t>
      </w:r>
      <w:r w:rsidRPr="00981405">
        <w:t>of</w:t>
      </w:r>
      <w:r w:rsidR="00190923" w:rsidRPr="00981405">
        <w:t xml:space="preserve"> </w:t>
      </w:r>
      <w:r w:rsidRPr="00981405">
        <w:t>severe</w:t>
      </w:r>
      <w:r w:rsidR="00190923" w:rsidRPr="00981405">
        <w:t xml:space="preserve"> </w:t>
      </w:r>
      <w:r w:rsidRPr="00981405">
        <w:t>pain</w:t>
      </w:r>
      <w:r w:rsidR="00190923" w:rsidRPr="00981405">
        <w:t xml:space="preserve"> </w:t>
      </w:r>
      <w:r w:rsidRPr="00981405">
        <w:t>or</w:t>
      </w:r>
      <w:r w:rsidR="00190923" w:rsidRPr="00981405">
        <w:t xml:space="preserve"> </w:t>
      </w:r>
      <w:r w:rsidRPr="00981405">
        <w:t>suffering,</w:t>
      </w:r>
      <w:r w:rsidR="00190923" w:rsidRPr="00981405">
        <w:t xml:space="preserve"> </w:t>
      </w:r>
      <w:r w:rsidRPr="00981405">
        <w:t>whether</w:t>
      </w:r>
      <w:r w:rsidR="00190923" w:rsidRPr="00981405">
        <w:t xml:space="preserve"> </w:t>
      </w:r>
      <w:r w:rsidRPr="00981405">
        <w:t>physical</w:t>
      </w:r>
      <w:r w:rsidR="00190923" w:rsidRPr="00981405">
        <w:t xml:space="preserve"> </w:t>
      </w:r>
      <w:r w:rsidRPr="00981405">
        <w:t>or</w:t>
      </w:r>
      <w:r w:rsidR="00190923" w:rsidRPr="00981405">
        <w:t xml:space="preserve"> </w:t>
      </w:r>
      <w:r w:rsidRPr="00981405">
        <w:t>mental,</w:t>
      </w:r>
      <w:r w:rsidR="00190923" w:rsidRPr="00981405">
        <w:t xml:space="preserve"> </w:t>
      </w:r>
      <w:r w:rsidRPr="00981405">
        <w:t>upon</w:t>
      </w:r>
      <w:r w:rsidR="00190923" w:rsidRPr="00981405">
        <w:t xml:space="preserve"> </w:t>
      </w:r>
      <w:r w:rsidRPr="00981405">
        <w:t>a</w:t>
      </w:r>
      <w:r w:rsidR="00190923" w:rsidRPr="00981405">
        <w:t xml:space="preserve"> </w:t>
      </w:r>
      <w:r w:rsidRPr="00981405">
        <w:t>person</w:t>
      </w:r>
      <w:r w:rsidR="00190923" w:rsidRPr="00981405">
        <w:t xml:space="preserve"> </w:t>
      </w:r>
      <w:r w:rsidRPr="00981405">
        <w:t>in</w:t>
      </w:r>
      <w:r w:rsidR="00190923" w:rsidRPr="00981405">
        <w:t xml:space="preserve"> </w:t>
      </w:r>
      <w:r w:rsidRPr="00981405">
        <w:t>the</w:t>
      </w:r>
      <w:r w:rsidR="00190923" w:rsidRPr="00981405">
        <w:t xml:space="preserve"> </w:t>
      </w:r>
      <w:r w:rsidRPr="00981405">
        <w:t>custody</w:t>
      </w:r>
      <w:r w:rsidR="00190923" w:rsidRPr="00981405">
        <w:t xml:space="preserve"> </w:t>
      </w:r>
      <w:r w:rsidRPr="00981405">
        <w:t>or</w:t>
      </w:r>
      <w:r w:rsidR="00190923" w:rsidRPr="00981405">
        <w:t xml:space="preserve"> </w:t>
      </w:r>
      <w:r w:rsidRPr="00981405">
        <w:t>under</w:t>
      </w:r>
      <w:r w:rsidR="00190923" w:rsidRPr="00981405">
        <w:t xml:space="preserve"> </w:t>
      </w:r>
      <w:r w:rsidRPr="00981405">
        <w:t>the</w:t>
      </w:r>
      <w:r w:rsidR="00190923" w:rsidRPr="00981405">
        <w:t xml:space="preserve"> </w:t>
      </w:r>
      <w:r w:rsidRPr="00981405">
        <w:t>control</w:t>
      </w:r>
      <w:r w:rsidR="00190923" w:rsidRPr="00981405">
        <w:t xml:space="preserve"> </w:t>
      </w:r>
      <w:r w:rsidRPr="00981405">
        <w:t>of</w:t>
      </w:r>
      <w:r w:rsidR="00190923" w:rsidRPr="00981405">
        <w:t xml:space="preserve"> </w:t>
      </w:r>
      <w:r w:rsidRPr="00981405">
        <w:t>the</w:t>
      </w:r>
      <w:r w:rsidR="00190923" w:rsidRPr="00981405">
        <w:t xml:space="preserve"> </w:t>
      </w:r>
      <w:r w:rsidRPr="00981405">
        <w:t>accused,</w:t>
      </w:r>
      <w:r w:rsidR="00190923" w:rsidRPr="00981405">
        <w:t xml:space="preserve"> </w:t>
      </w:r>
      <w:r w:rsidRPr="00981405">
        <w:t>except</w:t>
      </w:r>
      <w:r w:rsidR="00190923" w:rsidRPr="00981405">
        <w:t xml:space="preserve"> </w:t>
      </w:r>
      <w:r w:rsidRPr="00981405">
        <w:t>that</w:t>
      </w:r>
      <w:r w:rsidR="00190923" w:rsidRPr="00981405">
        <w:t xml:space="preserve"> </w:t>
      </w:r>
      <w:r w:rsidRPr="00981405">
        <w:t>torture</w:t>
      </w:r>
      <w:r w:rsidR="00190923" w:rsidRPr="00981405">
        <w:t xml:space="preserve"> </w:t>
      </w:r>
      <w:r w:rsidRPr="00981405">
        <w:t>shall</w:t>
      </w:r>
      <w:r w:rsidR="00190923" w:rsidRPr="00981405">
        <w:t xml:space="preserve"> </w:t>
      </w:r>
      <w:r w:rsidRPr="00981405">
        <w:t>not</w:t>
      </w:r>
      <w:r w:rsidR="00190923" w:rsidRPr="00981405">
        <w:t xml:space="preserve"> </w:t>
      </w:r>
      <w:r w:rsidRPr="00981405">
        <w:t>include</w:t>
      </w:r>
      <w:r w:rsidR="00190923" w:rsidRPr="00981405">
        <w:t xml:space="preserve"> </w:t>
      </w:r>
      <w:r w:rsidRPr="00981405">
        <w:t>pain</w:t>
      </w:r>
      <w:r w:rsidR="00190923" w:rsidRPr="00981405">
        <w:t xml:space="preserve"> </w:t>
      </w:r>
      <w:r w:rsidRPr="00981405">
        <w:t>or</w:t>
      </w:r>
      <w:r w:rsidR="00190923" w:rsidRPr="00981405">
        <w:t xml:space="preserve"> </w:t>
      </w:r>
      <w:r w:rsidRPr="00981405">
        <w:t>suffering</w:t>
      </w:r>
      <w:r w:rsidR="00190923" w:rsidRPr="00981405">
        <w:t xml:space="preserve"> </w:t>
      </w:r>
      <w:r w:rsidRPr="00981405">
        <w:t>arising</w:t>
      </w:r>
      <w:r w:rsidR="00190923" w:rsidRPr="00981405">
        <w:t xml:space="preserve"> </w:t>
      </w:r>
      <w:r w:rsidRPr="00981405">
        <w:t>only</w:t>
      </w:r>
      <w:r w:rsidR="00190923" w:rsidRPr="00981405">
        <w:t xml:space="preserve"> </w:t>
      </w:r>
      <w:r w:rsidRPr="00981405">
        <w:t>from,</w:t>
      </w:r>
      <w:r w:rsidR="00190923" w:rsidRPr="00981405">
        <w:t xml:space="preserve"> </w:t>
      </w:r>
      <w:r w:rsidRPr="00981405">
        <w:t>inherent</w:t>
      </w:r>
      <w:r w:rsidR="00190923" w:rsidRPr="00981405">
        <w:t xml:space="preserve"> </w:t>
      </w:r>
      <w:r w:rsidRPr="00981405">
        <w:t>in</w:t>
      </w:r>
      <w:r w:rsidR="00190923" w:rsidRPr="00981405">
        <w:t xml:space="preserve"> </w:t>
      </w:r>
      <w:r w:rsidRPr="00981405">
        <w:t>or</w:t>
      </w:r>
      <w:r w:rsidR="00190923" w:rsidRPr="00981405">
        <w:t xml:space="preserve"> </w:t>
      </w:r>
      <w:r w:rsidRPr="00981405">
        <w:t>incidental</w:t>
      </w:r>
      <w:r w:rsidR="00190923" w:rsidRPr="00981405">
        <w:t xml:space="preserve"> </w:t>
      </w:r>
      <w:r w:rsidRPr="00981405">
        <w:t>to,</w:t>
      </w:r>
      <w:r w:rsidR="00190923" w:rsidRPr="00981405">
        <w:t xml:space="preserve"> </w:t>
      </w:r>
      <w:r w:rsidRPr="00981405">
        <w:t>lawful</w:t>
      </w:r>
      <w:r w:rsidR="00190923" w:rsidRPr="00981405">
        <w:t xml:space="preserve"> </w:t>
      </w:r>
      <w:r w:rsidRPr="00981405">
        <w:t>sanctions;</w:t>
      </w:r>
    </w:p>
    <w:p w:rsidR="00397032" w:rsidRPr="00981405" w:rsidRDefault="00397032" w:rsidP="00D97463">
      <w:pPr>
        <w:pStyle w:val="SingleTxt"/>
        <w:ind w:left="1742"/>
      </w:pPr>
      <w:r w:rsidRPr="00981405">
        <w:tab/>
        <w:t>(f)</w:t>
      </w:r>
      <w:r w:rsidRPr="00981405">
        <w:tab/>
      </w:r>
      <w:r w:rsidR="00B92E2C" w:rsidRPr="00981405">
        <w:t>“</w:t>
      </w:r>
      <w:r w:rsidRPr="00981405">
        <w:t>Forced</w:t>
      </w:r>
      <w:r w:rsidR="00190923" w:rsidRPr="00981405">
        <w:t xml:space="preserve"> </w:t>
      </w:r>
      <w:r w:rsidRPr="00981405">
        <w:t>pregnancy</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unlawful</w:t>
      </w:r>
      <w:r w:rsidR="00190923" w:rsidRPr="00981405">
        <w:t xml:space="preserve"> </w:t>
      </w:r>
      <w:r w:rsidRPr="00981405">
        <w:t>confinement</w:t>
      </w:r>
      <w:r w:rsidR="00190923" w:rsidRPr="00981405">
        <w:t xml:space="preserve"> </w:t>
      </w:r>
      <w:r w:rsidRPr="00981405">
        <w:t>of</w:t>
      </w:r>
      <w:r w:rsidR="00190923" w:rsidRPr="00981405">
        <w:t xml:space="preserve"> </w:t>
      </w:r>
      <w:r w:rsidRPr="00981405">
        <w:t>a</w:t>
      </w:r>
      <w:r w:rsidR="00190923" w:rsidRPr="00981405">
        <w:t xml:space="preserve"> </w:t>
      </w:r>
      <w:r w:rsidRPr="00981405">
        <w:t>woman</w:t>
      </w:r>
      <w:r w:rsidR="00190923" w:rsidRPr="00981405">
        <w:t xml:space="preserve"> </w:t>
      </w:r>
      <w:r w:rsidRPr="00981405">
        <w:t>forcibly</w:t>
      </w:r>
      <w:r w:rsidR="00190923" w:rsidRPr="00981405">
        <w:t xml:space="preserve"> </w:t>
      </w:r>
      <w:r w:rsidRPr="00981405">
        <w:t>made</w:t>
      </w:r>
      <w:r w:rsidR="00190923" w:rsidRPr="00981405">
        <w:t xml:space="preserve"> </w:t>
      </w:r>
      <w:r w:rsidRPr="00981405">
        <w:t>pregnant,</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w:t>
      </w:r>
      <w:r w:rsidR="00190923" w:rsidRPr="00981405">
        <w:t xml:space="preserve"> </w:t>
      </w:r>
      <w:r w:rsidRPr="00981405">
        <w:t>of</w:t>
      </w:r>
      <w:r w:rsidR="00190923" w:rsidRPr="00981405">
        <w:t xml:space="preserve"> </w:t>
      </w:r>
      <w:r w:rsidRPr="00981405">
        <w:t>affecting</w:t>
      </w:r>
      <w:r w:rsidR="00190923" w:rsidRPr="00981405">
        <w:t xml:space="preserve"> </w:t>
      </w:r>
      <w:r w:rsidRPr="00981405">
        <w:t>the</w:t>
      </w:r>
      <w:r w:rsidR="00190923" w:rsidRPr="00981405">
        <w:t xml:space="preserve"> </w:t>
      </w:r>
      <w:r w:rsidRPr="00981405">
        <w:t>ethnic</w:t>
      </w:r>
      <w:r w:rsidR="00190923" w:rsidRPr="00981405">
        <w:t xml:space="preserve"> </w:t>
      </w:r>
      <w:r w:rsidRPr="00981405">
        <w:t>composition</w:t>
      </w:r>
      <w:r w:rsidR="00190923" w:rsidRPr="00981405">
        <w:t xml:space="preserve"> </w:t>
      </w:r>
      <w:r w:rsidRPr="00981405">
        <w:t>of</w:t>
      </w:r>
      <w:r w:rsidR="00190923" w:rsidRPr="00981405">
        <w:t xml:space="preserve"> </w:t>
      </w:r>
      <w:r w:rsidRPr="00981405">
        <w:t>any</w:t>
      </w:r>
      <w:r w:rsidR="00190923" w:rsidRPr="00981405">
        <w:t xml:space="preserve"> </w:t>
      </w:r>
      <w:r w:rsidRPr="00981405">
        <w:t>population</w:t>
      </w:r>
      <w:r w:rsidR="00190923" w:rsidRPr="00981405">
        <w:t xml:space="preserve"> </w:t>
      </w:r>
      <w:r w:rsidRPr="00981405">
        <w:t>or</w:t>
      </w:r>
      <w:r w:rsidR="00190923" w:rsidRPr="00981405">
        <w:t xml:space="preserve"> </w:t>
      </w:r>
      <w:r w:rsidRPr="00981405">
        <w:t>carrying</w:t>
      </w:r>
      <w:r w:rsidR="00190923" w:rsidRPr="00981405">
        <w:t xml:space="preserve"> </w:t>
      </w:r>
      <w:r w:rsidRPr="00981405">
        <w:t>out</w:t>
      </w:r>
      <w:r w:rsidR="00190923" w:rsidRPr="00981405">
        <w:t xml:space="preserve"> </w:t>
      </w:r>
      <w:r w:rsidRPr="00981405">
        <w:t>other</w:t>
      </w:r>
      <w:r w:rsidR="00190923" w:rsidRPr="00981405">
        <w:t xml:space="preserve"> </w:t>
      </w:r>
      <w:r w:rsidRPr="00981405">
        <w:t>grave</w:t>
      </w:r>
      <w:r w:rsidR="00190923" w:rsidRPr="00981405">
        <w:t xml:space="preserve"> </w:t>
      </w:r>
      <w:r w:rsidRPr="00981405">
        <w:t>violations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This</w:t>
      </w:r>
      <w:r w:rsidR="00190923" w:rsidRPr="00981405">
        <w:t xml:space="preserve"> </w:t>
      </w:r>
      <w:r w:rsidRPr="00981405">
        <w:t>definition</w:t>
      </w:r>
      <w:r w:rsidR="00190923" w:rsidRPr="00981405">
        <w:t xml:space="preserve"> </w:t>
      </w:r>
      <w:r w:rsidRPr="00981405">
        <w:t>shall</w:t>
      </w:r>
      <w:r w:rsidR="00190923" w:rsidRPr="00981405">
        <w:t xml:space="preserve"> </w:t>
      </w:r>
      <w:r w:rsidRPr="00981405">
        <w:t>not</w:t>
      </w:r>
      <w:r w:rsidR="00190923" w:rsidRPr="00981405">
        <w:t xml:space="preserve"> </w:t>
      </w:r>
      <w:r w:rsidRPr="00981405">
        <w:t>in</w:t>
      </w:r>
      <w:r w:rsidR="00190923" w:rsidRPr="00981405">
        <w:t xml:space="preserve"> </w:t>
      </w:r>
      <w:r w:rsidRPr="00981405">
        <w:t>any</w:t>
      </w:r>
      <w:r w:rsidR="00190923" w:rsidRPr="00981405">
        <w:t xml:space="preserve"> </w:t>
      </w:r>
      <w:r w:rsidRPr="00981405">
        <w:t>way</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as</w:t>
      </w:r>
      <w:r w:rsidR="00190923" w:rsidRPr="00981405">
        <w:t xml:space="preserve"> </w:t>
      </w:r>
      <w:r w:rsidRPr="00981405">
        <w:t>affecting</w:t>
      </w:r>
      <w:r w:rsidR="00190923" w:rsidRPr="00981405">
        <w:t xml:space="preserve"> </w:t>
      </w:r>
      <w:r w:rsidRPr="00981405">
        <w:t>national</w:t>
      </w:r>
      <w:r w:rsidR="00190923" w:rsidRPr="00981405">
        <w:t xml:space="preserve"> </w:t>
      </w:r>
      <w:r w:rsidRPr="00981405">
        <w:t>laws</w:t>
      </w:r>
      <w:r w:rsidR="00190923" w:rsidRPr="00981405">
        <w:t xml:space="preserve"> </w:t>
      </w:r>
      <w:r w:rsidRPr="00981405">
        <w:t>relating</w:t>
      </w:r>
      <w:r w:rsidR="00190923" w:rsidRPr="00981405">
        <w:t xml:space="preserve"> </w:t>
      </w:r>
      <w:r w:rsidRPr="00981405">
        <w:t>to</w:t>
      </w:r>
      <w:r w:rsidR="00190923" w:rsidRPr="00981405">
        <w:t xml:space="preserve"> </w:t>
      </w:r>
      <w:r w:rsidRPr="00981405">
        <w:t>pregnancy;</w:t>
      </w:r>
    </w:p>
    <w:p w:rsidR="00397032" w:rsidRPr="00981405" w:rsidRDefault="00397032" w:rsidP="00D97463">
      <w:pPr>
        <w:pStyle w:val="SingleTxt"/>
        <w:ind w:left="1742"/>
      </w:pPr>
      <w:r w:rsidRPr="00981405">
        <w:tab/>
        <w:t>(g)</w:t>
      </w:r>
      <w:r w:rsidRPr="00981405">
        <w:tab/>
      </w:r>
      <w:r w:rsidR="00B92E2C" w:rsidRPr="00981405">
        <w:t>“</w:t>
      </w:r>
      <w:r w:rsidRPr="00981405">
        <w:t>Persecution</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intentional</w:t>
      </w:r>
      <w:r w:rsidR="00190923" w:rsidRPr="00981405">
        <w:t xml:space="preserve"> </w:t>
      </w:r>
      <w:r w:rsidRPr="00981405">
        <w:t>and</w:t>
      </w:r>
      <w:r w:rsidR="00190923" w:rsidRPr="00981405">
        <w:t xml:space="preserve"> </w:t>
      </w:r>
      <w:r w:rsidRPr="00981405">
        <w:t>severe</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fundamental</w:t>
      </w:r>
      <w:r w:rsidR="00190923" w:rsidRPr="00981405">
        <w:t xml:space="preserve"> </w:t>
      </w:r>
      <w:r w:rsidRPr="00981405">
        <w:t>rights</w:t>
      </w:r>
      <w:r w:rsidR="00190923" w:rsidRPr="00981405">
        <w:t xml:space="preserve"> </w:t>
      </w:r>
      <w:r w:rsidRPr="00981405">
        <w:t>contrary</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by</w:t>
      </w:r>
      <w:r w:rsidR="00190923" w:rsidRPr="00981405">
        <w:t xml:space="preserve"> </w:t>
      </w:r>
      <w:r w:rsidRPr="00981405">
        <w:t>reason</w:t>
      </w:r>
      <w:r w:rsidR="00190923" w:rsidRPr="00981405">
        <w:t xml:space="preserve"> </w:t>
      </w:r>
      <w:r w:rsidRPr="00981405">
        <w:t>of</w:t>
      </w:r>
      <w:r w:rsidR="00190923" w:rsidRPr="00981405">
        <w:t xml:space="preserve"> </w:t>
      </w:r>
      <w:r w:rsidRPr="00981405">
        <w:t>the</w:t>
      </w:r>
      <w:r w:rsidR="00190923" w:rsidRPr="00981405">
        <w:t xml:space="preserve"> </w:t>
      </w:r>
      <w:r w:rsidRPr="00981405">
        <w:t>identity</w:t>
      </w:r>
      <w:r w:rsidR="00190923" w:rsidRPr="00981405">
        <w:t xml:space="preserve"> </w:t>
      </w:r>
      <w:r w:rsidRPr="00981405">
        <w:t>of</w:t>
      </w:r>
      <w:r w:rsidR="00190923" w:rsidRPr="00981405">
        <w:t xml:space="preserve"> </w:t>
      </w:r>
      <w:r w:rsidRPr="00981405">
        <w:t>the</w:t>
      </w:r>
      <w:r w:rsidR="00190923" w:rsidRPr="00981405">
        <w:t xml:space="preserve"> </w:t>
      </w:r>
      <w:r w:rsidRPr="00981405">
        <w:t>group</w:t>
      </w:r>
      <w:r w:rsidR="00190923" w:rsidRPr="00981405">
        <w:t xml:space="preserve"> </w:t>
      </w:r>
      <w:r w:rsidRPr="00981405">
        <w:t>or</w:t>
      </w:r>
      <w:r w:rsidR="00190923" w:rsidRPr="00981405">
        <w:t xml:space="preserve"> </w:t>
      </w:r>
      <w:r w:rsidRPr="00981405">
        <w:t>collectivity;</w:t>
      </w:r>
    </w:p>
    <w:p w:rsidR="00397032" w:rsidRPr="00981405" w:rsidRDefault="00397032" w:rsidP="00D97463">
      <w:pPr>
        <w:pStyle w:val="SingleTxt"/>
        <w:ind w:left="1742"/>
      </w:pPr>
      <w:r w:rsidRPr="00981405">
        <w:tab/>
        <w:t>(h)</w:t>
      </w:r>
      <w:r w:rsidRPr="00981405">
        <w:tab/>
      </w:r>
      <w:r w:rsidR="00B92E2C" w:rsidRPr="00981405">
        <w:t>“</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apartheid</w:t>
      </w:r>
      <w:r w:rsidR="00B92E2C" w:rsidRPr="00981405">
        <w:t>”</w:t>
      </w:r>
      <w:r w:rsidR="00190923" w:rsidRPr="00981405">
        <w:t xml:space="preserve"> </w:t>
      </w:r>
      <w:r w:rsidRPr="00981405">
        <w:t>means</w:t>
      </w:r>
      <w:r w:rsidR="00190923" w:rsidRPr="00981405">
        <w:t xml:space="preserve"> </w:t>
      </w:r>
      <w:r w:rsidRPr="00981405">
        <w:t>inhumane</w:t>
      </w:r>
      <w:r w:rsidR="00190923" w:rsidRPr="00981405">
        <w:t xml:space="preserve"> </w:t>
      </w:r>
      <w:r w:rsidRPr="00981405">
        <w:t>acts</w:t>
      </w:r>
      <w:r w:rsidR="00190923" w:rsidRPr="00981405">
        <w:t xml:space="preserve"> </w:t>
      </w:r>
      <w:r w:rsidRPr="00981405">
        <w:t>of</w:t>
      </w:r>
      <w:r w:rsidR="00190923" w:rsidRPr="00981405">
        <w:t xml:space="preserve"> </w:t>
      </w:r>
      <w:r w:rsidRPr="00981405">
        <w:t>a</w:t>
      </w:r>
      <w:r w:rsidR="00190923" w:rsidRPr="00981405">
        <w:t xml:space="preserve"> </w:t>
      </w:r>
      <w:r w:rsidRPr="00981405">
        <w:t>character</w:t>
      </w:r>
      <w:r w:rsidR="00190923" w:rsidRPr="00981405">
        <w:t xml:space="preserve"> </w:t>
      </w:r>
      <w:r w:rsidRPr="00981405">
        <w:t>similar</w:t>
      </w:r>
      <w:r w:rsidR="00190923" w:rsidRPr="00981405">
        <w:t xml:space="preserve"> </w:t>
      </w:r>
      <w:r w:rsidRPr="00981405">
        <w:t>to</w:t>
      </w:r>
      <w:r w:rsidR="00190923" w:rsidRPr="00981405">
        <w:t xml:space="preserve"> </w:t>
      </w:r>
      <w:r w:rsidRPr="00981405">
        <w:t>those</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committed</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an</w:t>
      </w:r>
      <w:r w:rsidR="00190923" w:rsidRPr="00981405">
        <w:t xml:space="preserve"> </w:t>
      </w:r>
      <w:r w:rsidRPr="00981405">
        <w:t>institutionalized</w:t>
      </w:r>
      <w:r w:rsidR="00190923" w:rsidRPr="00981405">
        <w:t xml:space="preserve"> </w:t>
      </w:r>
      <w:r w:rsidRPr="00981405">
        <w:t>regime</w:t>
      </w:r>
      <w:r w:rsidR="00190923" w:rsidRPr="00981405">
        <w:t xml:space="preserve"> </w:t>
      </w:r>
      <w:r w:rsidRPr="00981405">
        <w:t>of</w:t>
      </w:r>
      <w:r w:rsidR="00190923" w:rsidRPr="00981405">
        <w:t xml:space="preserve"> </w:t>
      </w:r>
      <w:r w:rsidRPr="00981405">
        <w:t>systematic</w:t>
      </w:r>
      <w:r w:rsidR="00190923" w:rsidRPr="00981405">
        <w:t xml:space="preserve"> </w:t>
      </w:r>
      <w:r w:rsidRPr="00981405">
        <w:t>oppression</w:t>
      </w:r>
      <w:r w:rsidR="00190923" w:rsidRPr="00981405">
        <w:t xml:space="preserve"> </w:t>
      </w:r>
      <w:r w:rsidRPr="00981405">
        <w:t>and</w:t>
      </w:r>
      <w:r w:rsidR="00190923" w:rsidRPr="00981405">
        <w:t xml:space="preserve"> </w:t>
      </w:r>
      <w:r w:rsidRPr="00981405">
        <w:t>domination</w:t>
      </w:r>
      <w:r w:rsidR="00190923" w:rsidRPr="00981405">
        <w:t xml:space="preserve"> </w:t>
      </w:r>
      <w:r w:rsidRPr="00981405">
        <w:t>by</w:t>
      </w:r>
      <w:r w:rsidR="00190923" w:rsidRPr="00981405">
        <w:t xml:space="preserve"> </w:t>
      </w:r>
      <w:r w:rsidRPr="00981405">
        <w:t>one</w:t>
      </w:r>
      <w:r w:rsidR="00190923" w:rsidRPr="00981405">
        <w:t xml:space="preserve"> </w:t>
      </w:r>
      <w:r w:rsidRPr="00981405">
        <w:t>racial</w:t>
      </w:r>
      <w:r w:rsidR="00190923" w:rsidRPr="00981405">
        <w:t xml:space="preserve"> </w:t>
      </w:r>
      <w:r w:rsidRPr="00981405">
        <w:t>group</w:t>
      </w:r>
      <w:r w:rsidR="00190923" w:rsidRPr="00981405">
        <w:t xml:space="preserve"> </w:t>
      </w:r>
      <w:r w:rsidRPr="00981405">
        <w:t>over</w:t>
      </w:r>
      <w:r w:rsidR="00190923" w:rsidRPr="00981405">
        <w:t xml:space="preserve"> </w:t>
      </w:r>
      <w:r w:rsidRPr="00981405">
        <w:t>any</w:t>
      </w:r>
      <w:r w:rsidR="00190923" w:rsidRPr="00981405">
        <w:t xml:space="preserve"> </w:t>
      </w:r>
      <w:r w:rsidRPr="00981405">
        <w:t>other</w:t>
      </w:r>
      <w:r w:rsidR="00190923" w:rsidRPr="00981405">
        <w:t xml:space="preserve"> </w:t>
      </w:r>
      <w:r w:rsidRPr="00981405">
        <w:t>racial</w:t>
      </w:r>
      <w:r w:rsidR="00190923" w:rsidRPr="00981405">
        <w:t xml:space="preserve"> </w:t>
      </w:r>
      <w:r w:rsidRPr="00981405">
        <w:t>group</w:t>
      </w:r>
      <w:r w:rsidR="00190923" w:rsidRPr="00981405">
        <w:t xml:space="preserve"> </w:t>
      </w:r>
      <w:r w:rsidRPr="00981405">
        <w:t>or</w:t>
      </w:r>
      <w:r w:rsidR="00190923" w:rsidRPr="00981405">
        <w:t xml:space="preserve"> </w:t>
      </w:r>
      <w:r w:rsidRPr="00981405">
        <w:t>groups</w:t>
      </w:r>
      <w:r w:rsidR="00190923" w:rsidRPr="00981405">
        <w:t xml:space="preserve"> </w:t>
      </w:r>
      <w:r w:rsidRPr="00981405">
        <w:t>and</w:t>
      </w:r>
      <w:r w:rsidR="00190923" w:rsidRPr="00981405">
        <w:t xml:space="preserve"> </w:t>
      </w:r>
      <w:r w:rsidRPr="00981405">
        <w:t>committed</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maintaining</w:t>
      </w:r>
      <w:r w:rsidR="00190923" w:rsidRPr="00981405">
        <w:t xml:space="preserve"> </w:t>
      </w:r>
      <w:r w:rsidRPr="00981405">
        <w:t>that</w:t>
      </w:r>
      <w:r w:rsidR="00190923" w:rsidRPr="00981405">
        <w:t xml:space="preserve"> </w:t>
      </w:r>
      <w:r w:rsidRPr="00981405">
        <w:t>regime;</w:t>
      </w:r>
    </w:p>
    <w:p w:rsidR="00397032" w:rsidRPr="00981405" w:rsidRDefault="00397032" w:rsidP="00D97463">
      <w:pPr>
        <w:pStyle w:val="SingleTxt"/>
        <w:ind w:left="1742"/>
      </w:pPr>
      <w:r w:rsidRPr="00981405">
        <w:lastRenderedPageBreak/>
        <w:tab/>
        <w:t>(i)</w:t>
      </w:r>
      <w:r w:rsidRPr="00981405">
        <w:tab/>
      </w:r>
      <w:r w:rsidR="00B92E2C" w:rsidRPr="00981405">
        <w:t>“</w:t>
      </w:r>
      <w:r w:rsidRPr="00981405">
        <w:t>Enforced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r w:rsidR="00B92E2C" w:rsidRPr="00981405">
        <w:t>”</w:t>
      </w:r>
      <w:r w:rsidR="00190923" w:rsidRPr="00981405">
        <w:t xml:space="preserve"> </w:t>
      </w:r>
      <w:r w:rsidRPr="00981405">
        <w:t>means</w:t>
      </w:r>
      <w:r w:rsidR="00190923" w:rsidRPr="00981405">
        <w:t xml:space="preserve"> </w:t>
      </w:r>
      <w:r w:rsidRPr="00981405">
        <w:t>the</w:t>
      </w:r>
      <w:r w:rsidR="00190923" w:rsidRPr="00981405">
        <w:t xml:space="preserve"> </w:t>
      </w:r>
      <w:r w:rsidRPr="00981405">
        <w:t>arrest,</w:t>
      </w:r>
      <w:r w:rsidR="00190923" w:rsidRPr="00981405">
        <w:t xml:space="preserve"> </w:t>
      </w:r>
      <w:r w:rsidRPr="00981405">
        <w:t>detention</w:t>
      </w:r>
      <w:r w:rsidR="00190923" w:rsidRPr="00981405">
        <w:t xml:space="preserve"> </w:t>
      </w:r>
      <w:r w:rsidRPr="00981405">
        <w:t>or</w:t>
      </w:r>
      <w:r w:rsidR="00190923" w:rsidRPr="00981405">
        <w:t xml:space="preserve"> </w:t>
      </w:r>
      <w:r w:rsidRPr="00981405">
        <w:t>abduction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by,</w:t>
      </w:r>
      <w:r w:rsidR="00190923" w:rsidRPr="00981405">
        <w:t xml:space="preserve"> </w:t>
      </w:r>
      <w:r w:rsidRPr="00981405">
        <w:t>or</w:t>
      </w:r>
      <w:r w:rsidR="00190923" w:rsidRPr="00981405">
        <w:t xml:space="preserve"> </w:t>
      </w:r>
      <w:r w:rsidRPr="00981405">
        <w:t>with</w:t>
      </w:r>
      <w:r w:rsidR="00190923" w:rsidRPr="00981405">
        <w:t xml:space="preserve"> </w:t>
      </w:r>
      <w:r w:rsidRPr="00981405">
        <w:t>the</w:t>
      </w:r>
      <w:r w:rsidR="00190923" w:rsidRPr="00981405">
        <w:t xml:space="preserve"> </w:t>
      </w:r>
      <w:r w:rsidRPr="00981405">
        <w:t>authorization,</w:t>
      </w:r>
      <w:r w:rsidR="00190923" w:rsidRPr="00981405">
        <w:t xml:space="preserve"> </w:t>
      </w:r>
      <w:r w:rsidRPr="00981405">
        <w:t>support</w:t>
      </w:r>
      <w:r w:rsidR="00190923" w:rsidRPr="00981405">
        <w:t xml:space="preserve"> </w:t>
      </w:r>
      <w:r w:rsidRPr="00981405">
        <w:t>or</w:t>
      </w:r>
      <w:r w:rsidR="00190923" w:rsidRPr="00981405">
        <w:t xml:space="preserve"> </w:t>
      </w:r>
      <w:r w:rsidRPr="00981405">
        <w:t>acquiescence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a</w:t>
      </w:r>
      <w:r w:rsidR="00190923" w:rsidRPr="00981405">
        <w:t xml:space="preserve"> </w:t>
      </w:r>
      <w:r w:rsidRPr="00981405">
        <w:t>political</w:t>
      </w:r>
      <w:r w:rsidR="00190923" w:rsidRPr="00981405">
        <w:t xml:space="preserve"> </w:t>
      </w:r>
      <w:r w:rsidRPr="00981405">
        <w:t>organization,</w:t>
      </w:r>
      <w:r w:rsidR="00190923" w:rsidRPr="00981405">
        <w:t xml:space="preserve"> </w:t>
      </w:r>
      <w:r w:rsidRPr="00981405">
        <w:t>followed</w:t>
      </w:r>
      <w:r w:rsidR="00190923" w:rsidRPr="00981405">
        <w:t xml:space="preserve"> </w:t>
      </w:r>
      <w:r w:rsidRPr="00981405">
        <w:t>by</w:t>
      </w:r>
      <w:r w:rsidR="00190923" w:rsidRPr="00981405">
        <w:t xml:space="preserve"> </w:t>
      </w:r>
      <w:r w:rsidRPr="00981405">
        <w:t>a</w:t>
      </w:r>
      <w:r w:rsidR="00190923" w:rsidRPr="00981405">
        <w:t xml:space="preserve"> </w:t>
      </w:r>
      <w:r w:rsidRPr="00981405">
        <w:t>refusal</w:t>
      </w:r>
      <w:r w:rsidR="00190923" w:rsidRPr="00981405">
        <w:t xml:space="preserve"> </w:t>
      </w:r>
      <w:r w:rsidRPr="00981405">
        <w:t>to</w:t>
      </w:r>
      <w:r w:rsidR="00190923" w:rsidRPr="00981405">
        <w:t xml:space="preserve"> </w:t>
      </w:r>
      <w:r w:rsidRPr="00981405">
        <w:t>acknowledge</w:t>
      </w:r>
      <w:r w:rsidR="00190923" w:rsidRPr="00981405">
        <w:t xml:space="preserve"> </w:t>
      </w:r>
      <w:r w:rsidRPr="00981405">
        <w:t>that</w:t>
      </w:r>
      <w:r w:rsidR="00190923" w:rsidRPr="00981405">
        <w:t xml:space="preserve"> </w:t>
      </w:r>
      <w:r w:rsidRPr="00981405">
        <w:t>deprivation</w:t>
      </w:r>
      <w:r w:rsidR="00190923" w:rsidRPr="00981405">
        <w:t xml:space="preserve"> </w:t>
      </w:r>
      <w:r w:rsidRPr="00981405">
        <w:t>of</w:t>
      </w:r>
      <w:r w:rsidR="00190923" w:rsidRPr="00981405">
        <w:t xml:space="preserve"> </w:t>
      </w:r>
      <w:r w:rsidRPr="00981405">
        <w:t>freedom</w:t>
      </w:r>
      <w:r w:rsidR="00190923" w:rsidRPr="00981405">
        <w:t xml:space="preserve"> </w:t>
      </w:r>
      <w:r w:rsidRPr="00981405">
        <w:t>or</w:t>
      </w:r>
      <w:r w:rsidR="00190923" w:rsidRPr="00981405">
        <w:t xml:space="preserve"> </w:t>
      </w:r>
      <w:r w:rsidRPr="00981405">
        <w:t>to</w:t>
      </w:r>
      <w:r w:rsidR="00190923" w:rsidRPr="00981405">
        <w:t xml:space="preserve"> </w:t>
      </w:r>
      <w:r w:rsidRPr="00981405">
        <w:t>give</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the</w:t>
      </w:r>
      <w:r w:rsidR="00190923" w:rsidRPr="00981405">
        <w:t xml:space="preserve"> </w:t>
      </w:r>
      <w:r w:rsidRPr="00981405">
        <w:t>fate</w:t>
      </w:r>
      <w:r w:rsidR="00190923" w:rsidRPr="00981405">
        <w:t xml:space="preserve"> </w:t>
      </w:r>
      <w:r w:rsidRPr="00981405">
        <w:t>or</w:t>
      </w:r>
      <w:r w:rsidR="00190923" w:rsidRPr="00981405">
        <w:t xml:space="preserve"> </w:t>
      </w:r>
      <w:r w:rsidRPr="00981405">
        <w:t>whereabouts</w:t>
      </w:r>
      <w:r w:rsidR="00190923" w:rsidRPr="00981405">
        <w:t xml:space="preserve"> </w:t>
      </w:r>
      <w:r w:rsidRPr="00981405">
        <w:t>of</w:t>
      </w:r>
      <w:r w:rsidR="00190923" w:rsidRPr="00981405">
        <w:t xml:space="preserve"> </w:t>
      </w:r>
      <w:r w:rsidRPr="00981405">
        <w:t>those</w:t>
      </w:r>
      <w:r w:rsidR="00190923" w:rsidRPr="00981405">
        <w:t xml:space="preserve"> </w:t>
      </w:r>
      <w:r w:rsidRPr="00981405">
        <w:t>persons,</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removing</w:t>
      </w:r>
      <w:r w:rsidR="00190923" w:rsidRPr="00981405">
        <w:t xml:space="preserve"> </w:t>
      </w:r>
      <w:r w:rsidRPr="00981405">
        <w:t>them</w:t>
      </w:r>
      <w:r w:rsidR="00190923" w:rsidRPr="00981405">
        <w:t xml:space="preserve"> </w:t>
      </w:r>
      <w:r w:rsidRPr="00981405">
        <w:t>from</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for</w:t>
      </w:r>
      <w:r w:rsidR="00190923" w:rsidRPr="00981405">
        <w:t xml:space="preserve"> </w:t>
      </w:r>
      <w:r w:rsidRPr="00981405">
        <w:t>a</w:t>
      </w:r>
      <w:r w:rsidR="00190923" w:rsidRPr="00981405">
        <w:t xml:space="preserve"> </w:t>
      </w:r>
      <w:r w:rsidRPr="00981405">
        <w:t>prolonged</w:t>
      </w:r>
      <w:r w:rsidR="00190923" w:rsidRPr="00981405">
        <w:t xml:space="preserve"> </w:t>
      </w:r>
      <w:r w:rsidRPr="00981405">
        <w:t>period</w:t>
      </w:r>
      <w:r w:rsidR="00190923" w:rsidRPr="00981405">
        <w:t xml:space="preserve"> </w:t>
      </w:r>
      <w:r w:rsidRPr="00981405">
        <w:t>of</w:t>
      </w:r>
      <w:r w:rsidR="00190923" w:rsidRPr="00981405">
        <w:t xml:space="preserve"> </w:t>
      </w:r>
      <w:r w:rsidRPr="00981405">
        <w:t>time.</w:t>
      </w:r>
    </w:p>
    <w:p w:rsidR="00397032" w:rsidRPr="00981405" w:rsidRDefault="00397032" w:rsidP="00D97463">
      <w:pPr>
        <w:pStyle w:val="SingleTxt"/>
        <w:ind w:left="1742"/>
      </w:pPr>
      <w:r w:rsidRPr="00981405">
        <w:t>3.</w:t>
      </w:r>
      <w:r w:rsidRPr="00981405">
        <w:tab/>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it</w:t>
      </w:r>
      <w:r w:rsidR="00190923" w:rsidRPr="00981405">
        <w:t xml:space="preserve"> </w:t>
      </w:r>
      <w:r w:rsidRPr="00981405">
        <w:t>is</w:t>
      </w:r>
      <w:r w:rsidR="00190923" w:rsidRPr="00981405">
        <w:t xml:space="preserve"> </w:t>
      </w:r>
      <w:r w:rsidRPr="00981405">
        <w:t>understood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00190923" w:rsidRPr="00981405">
        <w:t xml:space="preserve"> </w:t>
      </w:r>
      <w:r w:rsidRPr="00981405">
        <w:t>refers</w:t>
      </w:r>
      <w:r w:rsidR="00190923" w:rsidRPr="00981405">
        <w:t xml:space="preserve"> </w:t>
      </w:r>
      <w:r w:rsidRPr="00981405">
        <w:t>to</w:t>
      </w:r>
      <w:r w:rsidR="00190923" w:rsidRPr="00981405">
        <w:t xml:space="preserve"> </w:t>
      </w:r>
      <w:r w:rsidRPr="00981405">
        <w:t>the</w:t>
      </w:r>
      <w:r w:rsidR="00190923" w:rsidRPr="00981405">
        <w:t xml:space="preserve"> </w:t>
      </w:r>
      <w:r w:rsidRPr="00981405">
        <w:t>two</w:t>
      </w:r>
      <w:r w:rsidR="00190923" w:rsidRPr="00981405">
        <w:t xml:space="preserve"> </w:t>
      </w:r>
      <w:r w:rsidRPr="00981405">
        <w:t>sexes,</w:t>
      </w:r>
      <w:r w:rsidR="00190923" w:rsidRPr="00981405">
        <w:t xml:space="preserve"> </w:t>
      </w:r>
      <w:r w:rsidRPr="00981405">
        <w:t>male</w:t>
      </w:r>
      <w:r w:rsidR="00190923" w:rsidRPr="00981405">
        <w:t xml:space="preserve"> </w:t>
      </w:r>
      <w:r w:rsidRPr="00981405">
        <w:t>and</w:t>
      </w:r>
      <w:r w:rsidR="00190923" w:rsidRPr="00981405">
        <w:t xml:space="preserve"> </w:t>
      </w:r>
      <w:r w:rsidRPr="00981405">
        <w:t>female,</w:t>
      </w:r>
      <w:r w:rsidR="00190923" w:rsidRPr="00981405">
        <w:t xml:space="preserve"> </w:t>
      </w:r>
      <w:r w:rsidRPr="00981405">
        <w:t>within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society.</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00190923" w:rsidRPr="00981405">
        <w:t xml:space="preserve"> </w:t>
      </w:r>
      <w:r w:rsidRPr="00981405">
        <w:t>does</w:t>
      </w:r>
      <w:r w:rsidR="00190923" w:rsidRPr="00981405">
        <w:t xml:space="preserve"> </w:t>
      </w:r>
      <w:r w:rsidRPr="00981405">
        <w:t>not</w:t>
      </w:r>
      <w:r w:rsidR="00190923" w:rsidRPr="00981405">
        <w:t xml:space="preserve"> </w:t>
      </w:r>
      <w:r w:rsidRPr="00981405">
        <w:t>indicate</w:t>
      </w:r>
      <w:r w:rsidR="00190923" w:rsidRPr="00981405">
        <w:t xml:space="preserve"> </w:t>
      </w:r>
      <w:r w:rsidRPr="00981405">
        <w:t>any</w:t>
      </w:r>
      <w:r w:rsidR="00190923" w:rsidRPr="00981405">
        <w:t xml:space="preserve"> </w:t>
      </w:r>
      <w:r w:rsidRPr="00981405">
        <w:t>meaning</w:t>
      </w:r>
      <w:r w:rsidR="00190923" w:rsidRPr="00981405">
        <w:t xml:space="preserve"> </w:t>
      </w:r>
      <w:r w:rsidRPr="00981405">
        <w:t>different</w:t>
      </w:r>
      <w:r w:rsidR="00190923" w:rsidRPr="00981405">
        <w:t xml:space="preserve"> </w:t>
      </w:r>
      <w:r w:rsidRPr="00981405">
        <w:t>from</w:t>
      </w:r>
      <w:r w:rsidR="00190923" w:rsidRPr="00981405">
        <w:t xml:space="preserve"> </w:t>
      </w:r>
      <w:r w:rsidRPr="00981405">
        <w:t>the</w:t>
      </w:r>
      <w:r w:rsidR="00190923" w:rsidRPr="00981405">
        <w:t xml:space="preserve"> </w:t>
      </w:r>
      <w:r w:rsidRPr="00981405">
        <w:t>above.</w:t>
      </w:r>
    </w:p>
    <w:p w:rsidR="00397032" w:rsidRPr="00981405" w:rsidRDefault="00397032" w:rsidP="00D97463">
      <w:pPr>
        <w:pStyle w:val="SingleTxt"/>
        <w:ind w:left="1742"/>
      </w:pPr>
      <w:r w:rsidRPr="00981405">
        <w:t>4.</w:t>
      </w:r>
      <w:r w:rsidRPr="00981405">
        <w:tab/>
        <w:t>This</w:t>
      </w:r>
      <w:r w:rsidR="00190923" w:rsidRPr="00981405">
        <w:t xml:space="preserve"> </w:t>
      </w:r>
      <w:r w:rsidRPr="00981405">
        <w:t>draft</w:t>
      </w:r>
      <w:r w:rsidR="00190923" w:rsidRPr="00981405">
        <w:t xml:space="preserve"> </w:t>
      </w:r>
      <w:r w:rsidRPr="00981405">
        <w:t>article</w:t>
      </w:r>
      <w:r w:rsidR="00190923" w:rsidRPr="00981405">
        <w:t xml:space="preserve"> </w:t>
      </w:r>
      <w:r w:rsidRPr="00981405">
        <w:t>is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broader</w:t>
      </w:r>
      <w:r w:rsidR="00190923" w:rsidRPr="00981405">
        <w:t xml:space="preserve"> </w:t>
      </w:r>
      <w:r w:rsidRPr="00981405">
        <w:t>definition</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any</w:t>
      </w:r>
      <w:r w:rsidR="00190923" w:rsidRPr="00981405">
        <w:t xml:space="preserve"> </w:t>
      </w:r>
      <w:r w:rsidRPr="00981405">
        <w:t>international</w:t>
      </w:r>
      <w:r w:rsidR="00190923" w:rsidRPr="00981405">
        <w:t xml:space="preserve"> </w:t>
      </w:r>
      <w:r w:rsidRPr="00981405">
        <w:t>instrument</w:t>
      </w:r>
      <w:r w:rsidR="00190923" w:rsidRPr="00981405">
        <w:t xml:space="preserve"> </w:t>
      </w:r>
      <w:r w:rsidRPr="00981405">
        <w:t>or</w:t>
      </w:r>
      <w:r w:rsidR="00190923" w:rsidRPr="00981405">
        <w:t xml:space="preserve"> </w:t>
      </w:r>
      <w:r w:rsidRPr="00981405">
        <w:t>national</w:t>
      </w:r>
      <w:r w:rsidR="00190923" w:rsidRPr="00981405">
        <w:t xml:space="preserve"> </w:t>
      </w:r>
      <w:r w:rsidRPr="00981405">
        <w:t>law.</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61" w:name="_Toc427938114"/>
      <w:r w:rsidRPr="00D97463">
        <w:t>Commentary</w:t>
      </w:r>
      <w:bookmarkEnd w:id="61"/>
    </w:p>
    <w:p w:rsidR="00397032" w:rsidRPr="00D97463" w:rsidRDefault="00397032" w:rsidP="00D97463">
      <w:pPr>
        <w:pStyle w:val="SingleTxt"/>
        <w:spacing w:after="0" w:line="120" w:lineRule="exact"/>
        <w:rPr>
          <w:rFonts w:eastAsia="MS Mincho"/>
          <w:sz w:val="10"/>
        </w:rPr>
      </w:pPr>
    </w:p>
    <w:p w:rsidR="00397032" w:rsidRPr="00981405" w:rsidRDefault="00397032" w:rsidP="00D97463">
      <w:pPr>
        <w:pStyle w:val="SingleTxt"/>
      </w:pPr>
      <w:r w:rsidRPr="00981405">
        <w:rPr>
          <w:rFonts w:eastAsia="MS Mincho"/>
        </w:rPr>
        <w:t>(1)</w:t>
      </w:r>
      <w:r w:rsidRPr="00981405">
        <w:rPr>
          <w:rFonts w:eastAsia="MS Mincho"/>
        </w:rPr>
        <w:tab/>
        <w:t>The</w:t>
      </w:r>
      <w:r w:rsidR="00190923" w:rsidRPr="00981405">
        <w:rPr>
          <w:rFonts w:eastAsia="MS Mincho"/>
        </w:rPr>
        <w:t xml:space="preserve"> </w:t>
      </w:r>
      <w:r w:rsidRPr="00981405">
        <w:rPr>
          <w:rFonts w:eastAsia="MS Mincho"/>
        </w:rPr>
        <w:t>first</w:t>
      </w:r>
      <w:r w:rsidR="00190923" w:rsidRPr="00981405">
        <w:rPr>
          <w:rFonts w:eastAsia="MS Mincho"/>
        </w:rPr>
        <w:t xml:space="preserve"> </w:t>
      </w:r>
      <w:r w:rsidRPr="00981405">
        <w:rPr>
          <w:rFonts w:eastAsia="MS Mincho"/>
        </w:rPr>
        <w:t>three</w:t>
      </w:r>
      <w:r w:rsidR="00190923" w:rsidRPr="00981405">
        <w:rPr>
          <w:rFonts w:eastAsia="MS Mincho"/>
        </w:rPr>
        <w:t xml:space="preserve"> </w:t>
      </w:r>
      <w:r w:rsidRPr="00981405">
        <w:rPr>
          <w:rFonts w:eastAsia="MS Mincho"/>
        </w:rPr>
        <w:t>paragraphs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3</w:t>
      </w:r>
      <w:r w:rsidR="00190923" w:rsidRPr="00981405">
        <w:rPr>
          <w:rFonts w:eastAsia="MS Mincho"/>
        </w:rPr>
        <w:t xml:space="preserve"> </w:t>
      </w:r>
      <w:r w:rsidRPr="00981405">
        <w:rPr>
          <w:rFonts w:eastAsia="MS Mincho"/>
        </w:rPr>
        <w:t>establish,</w:t>
      </w:r>
      <w:r w:rsidR="00190923" w:rsidRPr="00981405">
        <w:rPr>
          <w:rFonts w:eastAsia="MS Mincho"/>
        </w:rPr>
        <w:t xml:space="preserve"> </w:t>
      </w:r>
      <w:r w:rsidRPr="00981405">
        <w:rPr>
          <w:rFonts w:eastAsia="MS Mincho"/>
        </w:rPr>
        <w:t>f</w:t>
      </w:r>
      <w:r w:rsidRPr="00981405">
        <w:t>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crime</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these</w:t>
      </w:r>
      <w:r w:rsidR="00190923" w:rsidRPr="00981405">
        <w:t xml:space="preserve"> </w:t>
      </w:r>
      <w:r w:rsidRPr="00981405">
        <w:t>three</w:t>
      </w:r>
      <w:r w:rsidR="00190923" w:rsidRPr="00981405">
        <w:t xml:space="preserve"> </w:t>
      </w:r>
      <w:r w:rsidRPr="00981405">
        <w:t>paragraphs</w:t>
      </w:r>
      <w:r w:rsidR="00190923" w:rsidRPr="00981405">
        <w:t xml:space="preserve"> </w:t>
      </w:r>
      <w:r w:rsidRPr="00981405">
        <w:t>is</w:t>
      </w:r>
      <w:r w:rsidR="00190923" w:rsidRPr="00981405">
        <w:t xml:space="preserve"> </w:t>
      </w:r>
      <w:r w:rsidRPr="00981405">
        <w:t>verbatim</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Article</w:t>
      </w:r>
      <w:r w:rsidR="00190923" w:rsidRPr="00981405">
        <w:t xml:space="preserve"> </w:t>
      </w:r>
      <w:r w:rsidRPr="00981405">
        <w:t>7</w:t>
      </w:r>
      <w:r w:rsidR="00190923" w:rsidRPr="00981405">
        <w:t xml:space="preserve"> </w:t>
      </w:r>
      <w:r w:rsidRPr="00981405">
        <w:t>of</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except</w:t>
      </w:r>
      <w:r w:rsidR="00190923" w:rsidRPr="00981405">
        <w:t xml:space="preserve"> </w:t>
      </w:r>
      <w:r w:rsidRPr="00981405">
        <w:t>for</w:t>
      </w:r>
      <w:r w:rsidR="00190923" w:rsidRPr="00981405">
        <w:t xml:space="preserve"> </w:t>
      </w:r>
      <w:r w:rsidRPr="00981405">
        <w:t>three</w:t>
      </w:r>
      <w:r w:rsidR="00190923" w:rsidRPr="00981405">
        <w:t xml:space="preserve"> </w:t>
      </w:r>
      <w:r w:rsidRPr="00981405">
        <w:t>non-substantive</w:t>
      </w:r>
      <w:r w:rsidR="00190923" w:rsidRPr="00981405">
        <w:t xml:space="preserve"> </w:t>
      </w:r>
      <w:r w:rsidRPr="00981405">
        <w:t>changes</w:t>
      </w:r>
      <w:r w:rsidR="00190923" w:rsidRPr="00981405">
        <w:t xml:space="preserve"> </w:t>
      </w:r>
      <w:r w:rsidRPr="00981405">
        <w:t>(discussed</w:t>
      </w:r>
      <w:r w:rsidR="00190923" w:rsidRPr="00981405">
        <w:t xml:space="preserve"> </w:t>
      </w:r>
      <w:r w:rsidRPr="00981405">
        <w:t>below),</w:t>
      </w:r>
      <w:r w:rsidR="00190923" w:rsidRPr="00981405">
        <w:t xml:space="preserve"> </w:t>
      </w:r>
      <w:r w:rsidRPr="00981405">
        <w:t>which</w:t>
      </w:r>
      <w:r w:rsidR="00190923" w:rsidRPr="00981405">
        <w:t xml:space="preserve"> </w:t>
      </w:r>
      <w:r w:rsidRPr="00981405">
        <w:t>are</w:t>
      </w:r>
      <w:r w:rsidR="00190923" w:rsidRPr="00981405">
        <w:t xml:space="preserve"> </w:t>
      </w:r>
      <w:r w:rsidRPr="00981405">
        <w:t>necessary</w:t>
      </w:r>
      <w:r w:rsidR="00190923" w:rsidRPr="00981405">
        <w:t xml:space="preserve"> </w:t>
      </w:r>
      <w:r w:rsidRPr="00981405">
        <w:t>given</w:t>
      </w:r>
      <w:r w:rsidR="00190923" w:rsidRPr="00981405">
        <w:t xml:space="preserve"> </w:t>
      </w:r>
      <w:r w:rsidRPr="00981405">
        <w:t>the</w:t>
      </w:r>
      <w:r w:rsidR="00190923" w:rsidRPr="00981405">
        <w:t xml:space="preserve"> </w:t>
      </w:r>
      <w:r w:rsidRPr="00981405">
        <w:t>different</w:t>
      </w:r>
      <w:r w:rsidR="00190923" w:rsidRPr="00981405">
        <w:t xml:space="preserve"> </w:t>
      </w:r>
      <w:r w:rsidRPr="00981405">
        <w:t>context</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is</w:t>
      </w:r>
      <w:r w:rsidR="00190923" w:rsidRPr="00981405">
        <w:t xml:space="preserve"> </w:t>
      </w:r>
      <w:r w:rsidRPr="00981405">
        <w:t>being</w:t>
      </w:r>
      <w:r w:rsidR="00190923" w:rsidRPr="00981405">
        <w:t xml:space="preserve"> </w:t>
      </w:r>
      <w:r w:rsidRPr="00981405">
        <w:t>used.</w:t>
      </w:r>
      <w:r w:rsidR="00190923" w:rsidRPr="00981405">
        <w:t xml:space="preserve"> </w:t>
      </w:r>
      <w:r w:rsidRPr="00981405">
        <w:t>Paragraph</w:t>
      </w:r>
      <w:r w:rsidR="00190923" w:rsidRPr="00981405">
        <w:t xml:space="preserve"> </w:t>
      </w:r>
      <w:r w:rsidRPr="00981405">
        <w:t>4</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is</w:t>
      </w:r>
      <w:r w:rsidR="00190923" w:rsidRPr="00981405">
        <w:t xml:space="preserve"> </w:t>
      </w:r>
      <w:r w:rsidRPr="00981405">
        <w:t>a</w:t>
      </w:r>
      <w:r w:rsidR="00190923" w:rsidRPr="00981405">
        <w:t xml:space="preserve"> </w:t>
      </w:r>
      <w:r w:rsidR="00B92E2C" w:rsidRPr="00981405">
        <w:t>“</w:t>
      </w:r>
      <w:r w:rsidRPr="00981405">
        <w:t>without</w:t>
      </w:r>
      <w:r w:rsidR="00190923" w:rsidRPr="00981405">
        <w:t xml:space="preserve"> </w:t>
      </w:r>
      <w:r w:rsidRPr="00981405">
        <w:t>prejudice</w:t>
      </w:r>
      <w:r w:rsidR="00B92E2C" w:rsidRPr="00981405">
        <w:t>”</w:t>
      </w:r>
      <w:r w:rsidR="00190923" w:rsidRPr="00981405">
        <w:t xml:space="preserve"> </w:t>
      </w:r>
      <w:r w:rsidRPr="00981405">
        <w:t>clause</w:t>
      </w:r>
      <w:r w:rsidR="00190923" w:rsidRPr="00981405">
        <w:t xml:space="preserve"> </w:t>
      </w:r>
      <w:r w:rsidRPr="00981405">
        <w:t>which</w:t>
      </w:r>
      <w:r w:rsidR="00190923" w:rsidRPr="00981405">
        <w:t xml:space="preserve"> </w:t>
      </w:r>
      <w:r w:rsidRPr="00981405">
        <w:t>indicates</w:t>
      </w:r>
      <w:r w:rsidR="00190923" w:rsidRPr="00981405">
        <w:t xml:space="preserve"> </w:t>
      </w:r>
      <w:r w:rsidRPr="00981405">
        <w:t>that</w:t>
      </w:r>
      <w:r w:rsidR="00190923" w:rsidRPr="00981405">
        <w:t xml:space="preserve"> </w:t>
      </w:r>
      <w:r w:rsidRPr="00981405">
        <w:t>this</w:t>
      </w:r>
      <w:r w:rsidR="00190923" w:rsidRPr="00981405">
        <w:t xml:space="preserve"> </w:t>
      </w:r>
      <w:r w:rsidRPr="00981405">
        <w:t>definition</w:t>
      </w:r>
      <w:r w:rsidR="00190923" w:rsidRPr="00981405">
        <w:t xml:space="preserve"> </w:t>
      </w:r>
      <w:r w:rsidRPr="00981405">
        <w:t>does</w:t>
      </w:r>
      <w:r w:rsidR="00190923" w:rsidRPr="00981405">
        <w:t xml:space="preserve"> </w:t>
      </w:r>
      <w:r w:rsidRPr="00981405">
        <w:t>not</w:t>
      </w:r>
      <w:r w:rsidR="00190923" w:rsidRPr="00981405">
        <w:t xml:space="preserve"> </w:t>
      </w:r>
      <w:r w:rsidRPr="00981405">
        <w:t>affect</w:t>
      </w:r>
      <w:r w:rsidR="00190923" w:rsidRPr="00981405">
        <w:t xml:space="preserve"> </w:t>
      </w:r>
      <w:r w:rsidRPr="00981405">
        <w:t>any</w:t>
      </w:r>
      <w:r w:rsidR="00190923" w:rsidRPr="00981405">
        <w:t xml:space="preserve"> </w:t>
      </w:r>
      <w:r w:rsidRPr="00981405">
        <w:t>broader</w:t>
      </w:r>
      <w:r w:rsidR="00190923" w:rsidRPr="00981405">
        <w:t xml:space="preserve"> </w:t>
      </w:r>
      <w:r w:rsidRPr="00981405">
        <w:t>definitions</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instruments</w:t>
      </w:r>
      <w:r w:rsidR="00190923" w:rsidRPr="00981405">
        <w:t xml:space="preserve"> </w:t>
      </w:r>
      <w:r w:rsidRPr="00981405">
        <w:t>or</w:t>
      </w:r>
      <w:r w:rsidR="00190923" w:rsidRPr="00981405">
        <w:t xml:space="preserve"> </w:t>
      </w:r>
      <w:r w:rsidRPr="00981405">
        <w:t>national</w:t>
      </w:r>
      <w:r w:rsidR="00190923" w:rsidRPr="00981405">
        <w:t xml:space="preserve"> </w:t>
      </w:r>
      <w:r w:rsidRPr="00981405">
        <w:t>laws.</w:t>
      </w:r>
      <w:r w:rsidR="00190923" w:rsidRPr="00981405">
        <w:t xml:space="preserve"> </w:t>
      </w:r>
    </w:p>
    <w:p w:rsidR="00397032" w:rsidRPr="00D97463" w:rsidRDefault="00397032" w:rsidP="00D97463">
      <w:pPr>
        <w:pStyle w:val="SingleTxt"/>
        <w:rPr>
          <w:rFonts w:eastAsia="MS Mincho"/>
          <w:i/>
          <w:iCs/>
        </w:rPr>
      </w:pPr>
      <w:r w:rsidRPr="00981405">
        <w:rPr>
          <w:rFonts w:eastAsia="MS Mincho"/>
        </w:rPr>
        <w:tab/>
      </w:r>
      <w:r w:rsidRPr="00D97463">
        <w:rPr>
          <w:rFonts w:eastAsia="MS Mincho"/>
          <w:i/>
          <w:iCs/>
        </w:rPr>
        <w:t>Definitions</w:t>
      </w:r>
      <w:r w:rsidR="00190923" w:rsidRPr="00981405">
        <w:rPr>
          <w:rFonts w:eastAsia="MS Mincho"/>
          <w:i/>
          <w:iCs/>
        </w:rPr>
        <w:t xml:space="preserve"> </w:t>
      </w:r>
      <w:r w:rsidRPr="00D97463">
        <w:rPr>
          <w:rFonts w:eastAsia="MS Mincho"/>
          <w:i/>
          <w:iCs/>
        </w:rPr>
        <w:t>in</w:t>
      </w:r>
      <w:r w:rsidR="00190923" w:rsidRPr="00981405">
        <w:rPr>
          <w:rFonts w:eastAsia="MS Mincho"/>
          <w:i/>
          <w:iCs/>
        </w:rPr>
        <w:t xml:space="preserve"> </w:t>
      </w:r>
      <w:r w:rsidRPr="00D97463">
        <w:rPr>
          <w:rFonts w:eastAsia="MS Mincho"/>
          <w:i/>
          <w:iCs/>
        </w:rPr>
        <w:t>other</w:t>
      </w:r>
      <w:r w:rsidR="00190923" w:rsidRPr="00981405">
        <w:rPr>
          <w:rFonts w:eastAsia="MS Mincho"/>
          <w:i/>
          <w:iCs/>
        </w:rPr>
        <w:t xml:space="preserve"> </w:t>
      </w:r>
      <w:r w:rsidRPr="00D97463">
        <w:rPr>
          <w:rFonts w:eastAsia="MS Mincho"/>
          <w:i/>
          <w:iCs/>
        </w:rPr>
        <w:t>instruments</w:t>
      </w:r>
    </w:p>
    <w:p w:rsidR="00397032" w:rsidRPr="00981405" w:rsidRDefault="00397032" w:rsidP="00D97463">
      <w:pPr>
        <w:pStyle w:val="SingleTxt"/>
        <w:rPr>
          <w:rFonts w:eastAsia="MS Mincho"/>
        </w:rPr>
      </w:pPr>
      <w:r w:rsidRPr="00981405">
        <w:rPr>
          <w:rFonts w:eastAsia="MS Mincho"/>
        </w:rPr>
        <w:t>(2)</w:t>
      </w:r>
      <w:r w:rsidRPr="00981405">
        <w:rPr>
          <w:rFonts w:eastAsia="MS Mincho"/>
        </w:rPr>
        <w:tab/>
        <w:t>Various</w:t>
      </w:r>
      <w:r w:rsidR="00190923" w:rsidRPr="00981405">
        <w:rPr>
          <w:rFonts w:eastAsia="MS Mincho"/>
        </w:rPr>
        <w:t xml:space="preserve"> </w:t>
      </w:r>
      <w:r w:rsidRPr="00981405">
        <w:rPr>
          <w:rFonts w:eastAsia="MS Mincho"/>
        </w:rPr>
        <w:t>definitions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00B92E2C" w:rsidRPr="00981405">
        <w:rPr>
          <w:rFonts w:eastAsia="MS Mincho"/>
        </w:rPr>
        <w:t>“</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B92E2C" w:rsidRPr="00981405">
        <w:rPr>
          <w:rFonts w:eastAsia="MS Mincho"/>
        </w:rPr>
        <w:t>”</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been</w:t>
      </w:r>
      <w:r w:rsidR="00190923" w:rsidRPr="00981405">
        <w:rPr>
          <w:rFonts w:eastAsia="MS Mincho"/>
        </w:rPr>
        <w:t xml:space="preserve"> </w:t>
      </w:r>
      <w:r w:rsidRPr="00981405">
        <w:rPr>
          <w:rFonts w:eastAsia="MS Mincho"/>
        </w:rPr>
        <w:t>used</w:t>
      </w:r>
      <w:r w:rsidR="00190923" w:rsidRPr="00981405">
        <w:rPr>
          <w:rFonts w:eastAsia="MS Mincho"/>
        </w:rPr>
        <w:t xml:space="preserve"> </w:t>
      </w:r>
      <w:r w:rsidRPr="00981405">
        <w:rPr>
          <w:rFonts w:eastAsia="MS Mincho"/>
        </w:rPr>
        <w:t>since</w:t>
      </w:r>
      <w:r w:rsidR="00190923" w:rsidRPr="00981405">
        <w:rPr>
          <w:rFonts w:eastAsia="MS Mincho"/>
        </w:rPr>
        <w:t xml:space="preserve"> </w:t>
      </w:r>
      <w:r w:rsidRPr="00981405">
        <w:rPr>
          <w:rFonts w:eastAsia="MS Mincho"/>
        </w:rPr>
        <w:t>1945,</w:t>
      </w:r>
      <w:r w:rsidR="00190923" w:rsidRPr="00981405">
        <w:rPr>
          <w:rFonts w:eastAsia="MS Mincho"/>
        </w:rPr>
        <w:t xml:space="preserve"> </w:t>
      </w:r>
      <w:r w:rsidRPr="00981405">
        <w:rPr>
          <w:rFonts w:eastAsia="MS Mincho"/>
        </w:rPr>
        <w:t>both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instruments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national</w:t>
      </w:r>
      <w:r w:rsidR="00190923" w:rsidRPr="00981405">
        <w:rPr>
          <w:rFonts w:eastAsia="MS Mincho"/>
        </w:rPr>
        <w:t xml:space="preserve"> </w:t>
      </w:r>
      <w:r w:rsidRPr="00981405">
        <w:rPr>
          <w:rFonts w:eastAsia="MS Mincho"/>
        </w:rPr>
        <w:t>laws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codified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crime.</w:t>
      </w:r>
      <w:r w:rsidR="00190923" w:rsidRPr="00981405">
        <w:rPr>
          <w:rFonts w:eastAsia="MS Mincho"/>
        </w:rPr>
        <w:t xml:space="preserve"> </w:t>
      </w:r>
      <w:r w:rsidRPr="00981405">
        <w:t>The</w:t>
      </w:r>
      <w:r w:rsidR="00190923" w:rsidRPr="00981405">
        <w:t xml:space="preserve"> </w:t>
      </w:r>
      <w:r w:rsidRPr="00981405">
        <w:t>Nürnberg</w:t>
      </w:r>
      <w:r w:rsidR="00190923" w:rsidRPr="00981405">
        <w:t xml:space="preserve"> </w:t>
      </w:r>
      <w:r w:rsidRPr="00981405">
        <w:t>Charter</w:t>
      </w:r>
      <w:r w:rsidR="00190923" w:rsidRPr="00981405">
        <w:t xml:space="preserve"> </w:t>
      </w:r>
      <w:r w:rsidRPr="00981405">
        <w:t>defined</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as:</w:t>
      </w:r>
    </w:p>
    <w:p w:rsidR="00397032" w:rsidRPr="00981405" w:rsidRDefault="00B92E2C" w:rsidP="00D97463">
      <w:pPr>
        <w:pStyle w:val="SingleTxt"/>
        <w:ind w:left="1742"/>
        <w:rPr>
          <w:rFonts w:eastAsia="MS Mincho"/>
        </w:rPr>
      </w:pPr>
      <w:r w:rsidRPr="00981405">
        <w:rPr>
          <w:rFonts w:eastAsia="MS Mincho"/>
        </w:rPr>
        <w:t>“</w:t>
      </w:r>
      <w:r w:rsidR="00397032" w:rsidRPr="00981405">
        <w:rPr>
          <w:rFonts w:eastAsia="MS Mincho"/>
        </w:rPr>
        <w:t>murder,</w:t>
      </w:r>
      <w:r w:rsidR="00190923" w:rsidRPr="00981405">
        <w:rPr>
          <w:rFonts w:eastAsia="MS Mincho"/>
        </w:rPr>
        <w:t xml:space="preserve"> </w:t>
      </w:r>
      <w:r w:rsidR="00397032" w:rsidRPr="00981405">
        <w:rPr>
          <w:rFonts w:eastAsia="MS Mincho"/>
        </w:rPr>
        <w:t>extermination,</w:t>
      </w:r>
      <w:r w:rsidR="00190923" w:rsidRPr="00981405">
        <w:rPr>
          <w:rFonts w:eastAsia="MS Mincho"/>
        </w:rPr>
        <w:t xml:space="preserve"> </w:t>
      </w:r>
      <w:r w:rsidR="00397032" w:rsidRPr="00981405">
        <w:rPr>
          <w:rFonts w:eastAsia="MS Mincho"/>
        </w:rPr>
        <w:t>enslavement,</w:t>
      </w:r>
      <w:r w:rsidR="00190923" w:rsidRPr="00981405">
        <w:rPr>
          <w:rFonts w:eastAsia="MS Mincho"/>
        </w:rPr>
        <w:t xml:space="preserve"> </w:t>
      </w:r>
      <w:r w:rsidR="00397032" w:rsidRPr="00981405">
        <w:rPr>
          <w:rFonts w:eastAsia="MS Mincho"/>
        </w:rPr>
        <w:t>deportation,</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other</w:t>
      </w:r>
      <w:r w:rsidR="00190923" w:rsidRPr="00981405">
        <w:rPr>
          <w:rFonts w:eastAsia="MS Mincho"/>
        </w:rPr>
        <w:t xml:space="preserve"> </w:t>
      </w:r>
      <w:r w:rsidR="00397032" w:rsidRPr="00981405">
        <w:rPr>
          <w:rFonts w:eastAsia="MS Mincho"/>
        </w:rPr>
        <w:t>inhumane</w:t>
      </w:r>
      <w:r w:rsidR="00190923" w:rsidRPr="00981405">
        <w:rPr>
          <w:rFonts w:eastAsia="MS Mincho"/>
        </w:rPr>
        <w:t xml:space="preserve"> </w:t>
      </w:r>
      <w:r w:rsidR="00397032" w:rsidRPr="00981405">
        <w:rPr>
          <w:rFonts w:eastAsia="MS Mincho"/>
        </w:rPr>
        <w:t>acts</w:t>
      </w:r>
      <w:r w:rsidR="00190923" w:rsidRPr="00981405">
        <w:rPr>
          <w:rFonts w:eastAsia="MS Mincho"/>
        </w:rPr>
        <w:t xml:space="preserve"> </w:t>
      </w:r>
      <w:r w:rsidR="00397032" w:rsidRPr="00981405">
        <w:rPr>
          <w:rFonts w:eastAsia="MS Mincho"/>
        </w:rPr>
        <w:t>committed</w:t>
      </w:r>
      <w:r w:rsidR="00190923" w:rsidRPr="00981405">
        <w:rPr>
          <w:rFonts w:eastAsia="MS Mincho"/>
        </w:rPr>
        <w:t xml:space="preserve"> </w:t>
      </w:r>
      <w:r w:rsidR="00397032" w:rsidRPr="00981405">
        <w:rPr>
          <w:rFonts w:eastAsia="MS Mincho"/>
        </w:rPr>
        <w:t>against</w:t>
      </w:r>
      <w:r w:rsidR="00190923" w:rsidRPr="00981405">
        <w:rPr>
          <w:rFonts w:eastAsia="MS Mincho"/>
        </w:rPr>
        <w:t xml:space="preserve"> </w:t>
      </w:r>
      <w:r w:rsidR="00397032" w:rsidRPr="00981405">
        <w:rPr>
          <w:rFonts w:eastAsia="MS Mincho"/>
        </w:rPr>
        <w:t>any</w:t>
      </w:r>
      <w:r w:rsidR="00190923" w:rsidRPr="00981405">
        <w:rPr>
          <w:rFonts w:eastAsia="MS Mincho"/>
        </w:rPr>
        <w:t xml:space="preserve"> </w:t>
      </w:r>
      <w:r w:rsidR="00397032" w:rsidRPr="00981405">
        <w:rPr>
          <w:rFonts w:eastAsia="MS Mincho"/>
        </w:rPr>
        <w:t>civilian</w:t>
      </w:r>
      <w:r w:rsidR="00190923" w:rsidRPr="00981405">
        <w:rPr>
          <w:rFonts w:eastAsia="MS Mincho"/>
        </w:rPr>
        <w:t xml:space="preserve"> </w:t>
      </w:r>
      <w:r w:rsidR="00397032" w:rsidRPr="00981405">
        <w:rPr>
          <w:rFonts w:eastAsia="MS Mincho"/>
        </w:rPr>
        <w:t>population,</w:t>
      </w:r>
      <w:r w:rsidR="00190923" w:rsidRPr="00981405">
        <w:rPr>
          <w:rFonts w:eastAsia="MS Mincho"/>
        </w:rPr>
        <w:t xml:space="preserve"> </w:t>
      </w:r>
      <w:r w:rsidR="00397032" w:rsidRPr="00981405">
        <w:rPr>
          <w:rFonts w:eastAsia="MS Mincho"/>
        </w:rPr>
        <w:t>before</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during</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war,</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persecutions</w:t>
      </w:r>
      <w:r w:rsidR="00190923" w:rsidRPr="00981405">
        <w:rPr>
          <w:rFonts w:eastAsia="MS Mincho"/>
        </w:rPr>
        <w:t xml:space="preserve"> </w:t>
      </w:r>
      <w:r w:rsidR="00397032" w:rsidRPr="00981405">
        <w:rPr>
          <w:rFonts w:eastAsia="MS Mincho"/>
        </w:rPr>
        <w:t>on</w:t>
      </w:r>
      <w:r w:rsidR="00190923" w:rsidRPr="00981405">
        <w:rPr>
          <w:rFonts w:eastAsia="MS Mincho"/>
        </w:rPr>
        <w:t xml:space="preserve"> </w:t>
      </w:r>
      <w:r w:rsidR="00397032" w:rsidRPr="00981405">
        <w:rPr>
          <w:rFonts w:eastAsia="MS Mincho"/>
        </w:rPr>
        <w:t>political,</w:t>
      </w:r>
      <w:r w:rsidR="00190923" w:rsidRPr="00981405">
        <w:rPr>
          <w:rFonts w:eastAsia="MS Mincho"/>
        </w:rPr>
        <w:t xml:space="preserve"> </w:t>
      </w:r>
      <w:r w:rsidR="00397032" w:rsidRPr="00981405">
        <w:rPr>
          <w:rFonts w:eastAsia="MS Mincho"/>
        </w:rPr>
        <w:t>racial</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religious</w:t>
      </w:r>
      <w:r w:rsidR="00190923" w:rsidRPr="00981405">
        <w:rPr>
          <w:rFonts w:eastAsia="MS Mincho"/>
        </w:rPr>
        <w:t xml:space="preserve"> </w:t>
      </w:r>
      <w:r w:rsidR="00397032" w:rsidRPr="00981405">
        <w:rPr>
          <w:rFonts w:eastAsia="MS Mincho"/>
        </w:rPr>
        <w:t>grounds</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execution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connection</w:t>
      </w:r>
      <w:r w:rsidR="00190923" w:rsidRPr="00981405">
        <w:rPr>
          <w:rFonts w:eastAsia="MS Mincho"/>
        </w:rPr>
        <w:t xml:space="preserve"> </w:t>
      </w:r>
      <w:r w:rsidR="00397032" w:rsidRPr="00981405">
        <w:rPr>
          <w:rFonts w:eastAsia="MS Mincho"/>
        </w:rPr>
        <w:t>with</w:t>
      </w:r>
      <w:r w:rsidR="00190923" w:rsidRPr="00981405">
        <w:rPr>
          <w:rFonts w:eastAsia="MS Mincho"/>
        </w:rPr>
        <w:t xml:space="preserve"> </w:t>
      </w:r>
      <w:r w:rsidR="00397032" w:rsidRPr="00981405">
        <w:rPr>
          <w:rFonts w:eastAsia="MS Mincho"/>
        </w:rPr>
        <w:t>any</w:t>
      </w:r>
      <w:r w:rsidR="00190923" w:rsidRPr="00981405">
        <w:rPr>
          <w:rFonts w:eastAsia="MS Mincho"/>
        </w:rPr>
        <w:t xml:space="preserve"> </w:t>
      </w:r>
      <w:r w:rsidR="00397032" w:rsidRPr="00981405">
        <w:rPr>
          <w:rFonts w:eastAsia="MS Mincho"/>
        </w:rPr>
        <w:t>crime</w:t>
      </w:r>
      <w:r w:rsidR="00190923" w:rsidRPr="00981405">
        <w:rPr>
          <w:rFonts w:eastAsia="MS Mincho"/>
        </w:rPr>
        <w:t xml:space="preserve"> </w:t>
      </w:r>
      <w:r w:rsidR="00397032" w:rsidRPr="00981405">
        <w:rPr>
          <w:rFonts w:eastAsia="MS Mincho"/>
        </w:rPr>
        <w:t>within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jurisdiction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Tribunal,</w:t>
      </w:r>
      <w:r w:rsidR="00190923" w:rsidRPr="00981405">
        <w:rPr>
          <w:rFonts w:eastAsia="MS Mincho"/>
        </w:rPr>
        <w:t xml:space="preserve"> </w:t>
      </w:r>
      <w:r w:rsidR="00397032" w:rsidRPr="00981405">
        <w:rPr>
          <w:rFonts w:eastAsia="MS Mincho"/>
        </w:rPr>
        <w:t>whether</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violation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domestic</w:t>
      </w:r>
      <w:r w:rsidR="00190923" w:rsidRPr="00981405">
        <w:rPr>
          <w:rFonts w:eastAsia="MS Mincho"/>
        </w:rPr>
        <w:t xml:space="preserve"> </w:t>
      </w:r>
      <w:r w:rsidR="00397032" w:rsidRPr="00981405">
        <w:rPr>
          <w:rFonts w:eastAsia="MS Mincho"/>
        </w:rPr>
        <w:t>law</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country</w:t>
      </w:r>
      <w:r w:rsidR="00190923" w:rsidRPr="00981405">
        <w:rPr>
          <w:rFonts w:eastAsia="MS Mincho"/>
        </w:rPr>
        <w:t xml:space="preserve"> </w:t>
      </w:r>
      <w:r w:rsidR="00397032" w:rsidRPr="00981405">
        <w:rPr>
          <w:rFonts w:eastAsia="MS Mincho"/>
        </w:rPr>
        <w:t>where</w:t>
      </w:r>
      <w:r w:rsidR="00190923" w:rsidRPr="00981405">
        <w:rPr>
          <w:rFonts w:eastAsia="MS Mincho"/>
        </w:rPr>
        <w:t xml:space="preserve"> </w:t>
      </w:r>
      <w:r w:rsidR="00397032" w:rsidRPr="00981405">
        <w:rPr>
          <w:rFonts w:eastAsia="MS Mincho"/>
        </w:rPr>
        <w:t>perpetrated.</w:t>
      </w:r>
      <w:r w:rsidRPr="00981405">
        <w:rPr>
          <w:rFonts w:eastAsia="MS Mincho"/>
        </w:rPr>
        <w:t>”</w:t>
      </w:r>
      <w:r w:rsidR="00397032" w:rsidRPr="00981405">
        <w:rPr>
          <w:rStyle w:val="FootnoteReference"/>
        </w:rPr>
        <w:footnoteReference w:id="107"/>
      </w:r>
    </w:p>
    <w:p w:rsidR="00397032" w:rsidRPr="00981405" w:rsidRDefault="00397032" w:rsidP="00D97463">
      <w:pPr>
        <w:pStyle w:val="SingleTxt"/>
      </w:pPr>
      <w:r w:rsidRPr="00981405">
        <w:t>(3)</w:t>
      </w:r>
      <w:r w:rsidRPr="00981405">
        <w:tab/>
        <w:t>Principle</w:t>
      </w:r>
      <w:r w:rsidR="00190923" w:rsidRPr="00981405">
        <w:t xml:space="preserve"> </w:t>
      </w:r>
      <w:r w:rsidRPr="00981405">
        <w:t>VI(c)</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1950</w:t>
      </w:r>
      <w:r w:rsidR="00190923" w:rsidRPr="00981405">
        <w:t xml:space="preserve"> </w:t>
      </w:r>
      <w:r w:rsidR="00B92E2C" w:rsidRPr="00981405">
        <w:t>“</w:t>
      </w:r>
      <w:r w:rsidRPr="00981405">
        <w:t>Principles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recognized</w:t>
      </w:r>
      <w:r w:rsidR="00190923" w:rsidRPr="00981405">
        <w:t xml:space="preserve"> </w:t>
      </w:r>
      <w:r w:rsidRPr="00981405">
        <w:t>in</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Nürnberg</w:t>
      </w:r>
      <w:r w:rsidR="00190923" w:rsidRPr="00981405">
        <w:t xml:space="preserve"> </w:t>
      </w:r>
      <w:r w:rsidRPr="00981405">
        <w:t>Tribunal</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Judgment</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B92E2C" w:rsidRPr="00981405">
        <w:t>”</w:t>
      </w:r>
      <w:r w:rsidR="00190923" w:rsidRPr="00981405">
        <w:t xml:space="preserve"> </w:t>
      </w:r>
      <w:r w:rsidRPr="00981405">
        <w:t>defined</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00B92E2C" w:rsidRPr="00981405">
        <w:t>“</w:t>
      </w:r>
      <w:r w:rsidRPr="00981405">
        <w:t>Murder,</w:t>
      </w:r>
      <w:r w:rsidR="00190923" w:rsidRPr="00981405">
        <w:t xml:space="preserve"> </w:t>
      </w:r>
      <w:r w:rsidRPr="00981405">
        <w:t>extermination,</w:t>
      </w:r>
      <w:r w:rsidR="00190923" w:rsidRPr="00981405">
        <w:t xml:space="preserve"> </w:t>
      </w:r>
      <w:r w:rsidRPr="00981405">
        <w:t>enslavement,</w:t>
      </w:r>
      <w:r w:rsidR="00190923" w:rsidRPr="00981405">
        <w:t xml:space="preserve"> </w:t>
      </w:r>
      <w:r w:rsidRPr="00981405">
        <w:t>deportation</w:t>
      </w:r>
      <w:r w:rsidR="00190923" w:rsidRPr="00981405">
        <w:t xml:space="preserve"> </w:t>
      </w:r>
      <w:r w:rsidRPr="00981405">
        <w:t>and</w:t>
      </w:r>
      <w:r w:rsidR="00190923" w:rsidRPr="00981405">
        <w:t xml:space="preserve"> </w:t>
      </w:r>
      <w:r w:rsidRPr="00981405">
        <w:t>other</w:t>
      </w:r>
      <w:r w:rsidR="00190923" w:rsidRPr="00981405">
        <w:t xml:space="preserve"> </w:t>
      </w:r>
      <w:r w:rsidRPr="00981405">
        <w:t>inhuman</w:t>
      </w:r>
      <w:r w:rsidR="00190923" w:rsidRPr="00981405">
        <w:t xml:space="preserve"> </w:t>
      </w:r>
      <w:r w:rsidRPr="00981405">
        <w:t>acts</w:t>
      </w:r>
      <w:r w:rsidR="00190923" w:rsidRPr="00981405">
        <w:t xml:space="preserve"> </w:t>
      </w:r>
      <w:r w:rsidRPr="00981405">
        <w:t>done</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or</w:t>
      </w:r>
      <w:r w:rsidR="00190923" w:rsidRPr="00981405">
        <w:t xml:space="preserve"> </w:t>
      </w:r>
      <w:r w:rsidRPr="00981405">
        <w:t>persecutions</w:t>
      </w:r>
      <w:r w:rsidR="00190923" w:rsidRPr="00981405">
        <w:t xml:space="preserve"> </w:t>
      </w:r>
      <w:r w:rsidRPr="00981405">
        <w:t>on</w:t>
      </w:r>
      <w:r w:rsidR="00190923" w:rsidRPr="00981405">
        <w:t xml:space="preserve"> </w:t>
      </w:r>
      <w:r w:rsidRPr="00981405">
        <w:t>political,</w:t>
      </w:r>
      <w:r w:rsidR="00190923" w:rsidRPr="00981405">
        <w:t xml:space="preserve"> </w:t>
      </w:r>
      <w:r w:rsidRPr="00981405">
        <w:t>racial</w:t>
      </w:r>
      <w:r w:rsidR="00190923" w:rsidRPr="00981405">
        <w:t xml:space="preserve"> </w:t>
      </w:r>
      <w:r w:rsidRPr="00981405">
        <w:t>or</w:t>
      </w:r>
      <w:r w:rsidR="00190923" w:rsidRPr="00981405">
        <w:t xml:space="preserve"> </w:t>
      </w:r>
      <w:r w:rsidRPr="00981405">
        <w:t>religious</w:t>
      </w:r>
      <w:r w:rsidR="00190923" w:rsidRPr="00981405">
        <w:t xml:space="preserve"> </w:t>
      </w:r>
      <w:r w:rsidRPr="00981405">
        <w:t>grounds,</w:t>
      </w:r>
      <w:r w:rsidR="00190923" w:rsidRPr="00981405">
        <w:t xml:space="preserve"> </w:t>
      </w:r>
      <w:r w:rsidRPr="00981405">
        <w:t>when</w:t>
      </w:r>
      <w:r w:rsidR="00190923" w:rsidRPr="00981405">
        <w:t xml:space="preserve"> </w:t>
      </w:r>
      <w:r w:rsidRPr="00981405">
        <w:t>such</w:t>
      </w:r>
      <w:r w:rsidR="00190923" w:rsidRPr="00981405">
        <w:t xml:space="preserve"> </w:t>
      </w:r>
      <w:r w:rsidRPr="00981405">
        <w:t>acts</w:t>
      </w:r>
      <w:r w:rsidR="00190923" w:rsidRPr="00981405">
        <w:t xml:space="preserve"> </w:t>
      </w:r>
      <w:r w:rsidRPr="00981405">
        <w:t>are</w:t>
      </w:r>
      <w:r w:rsidR="00190923" w:rsidRPr="00981405">
        <w:t xml:space="preserve"> </w:t>
      </w:r>
      <w:r w:rsidRPr="00981405">
        <w:t>done</w:t>
      </w:r>
      <w:r w:rsidR="00190923" w:rsidRPr="00981405">
        <w:t xml:space="preserve"> </w:t>
      </w:r>
      <w:r w:rsidRPr="00981405">
        <w:t>or</w:t>
      </w:r>
      <w:r w:rsidR="00190923" w:rsidRPr="00981405">
        <w:t xml:space="preserve"> </w:t>
      </w:r>
      <w:r w:rsidRPr="00981405">
        <w:t>such</w:t>
      </w:r>
      <w:r w:rsidR="00190923" w:rsidRPr="00981405">
        <w:t xml:space="preserve"> </w:t>
      </w:r>
      <w:r w:rsidRPr="00981405">
        <w:t>persecutions</w:t>
      </w:r>
      <w:r w:rsidR="00190923" w:rsidRPr="00981405">
        <w:t xml:space="preserve"> </w:t>
      </w:r>
      <w:r w:rsidRPr="00981405">
        <w:t>are</w:t>
      </w:r>
      <w:r w:rsidR="00190923" w:rsidRPr="00981405">
        <w:t xml:space="preserve"> </w:t>
      </w:r>
      <w:r w:rsidRPr="00981405">
        <w:t>carried</w:t>
      </w:r>
      <w:r w:rsidR="00190923" w:rsidRPr="00981405">
        <w:t xml:space="preserve"> </w:t>
      </w:r>
      <w:r w:rsidRPr="00981405">
        <w:t>on</w:t>
      </w:r>
      <w:r w:rsidR="00190923" w:rsidRPr="00981405">
        <w:t xml:space="preserve"> </w:t>
      </w:r>
      <w:r w:rsidRPr="00981405">
        <w:t>in</w:t>
      </w:r>
      <w:r w:rsidR="00190923" w:rsidRPr="00981405">
        <w:t xml:space="preserve"> </w:t>
      </w:r>
      <w:r w:rsidRPr="00981405">
        <w:t>execution</w:t>
      </w:r>
      <w:r w:rsidR="00190923" w:rsidRPr="00981405">
        <w:t xml:space="preserve"> </w:t>
      </w:r>
      <w:r w:rsidRPr="00981405">
        <w:t>of</w:t>
      </w:r>
      <w:r w:rsidR="00190923" w:rsidRPr="00981405">
        <w:t xml:space="preserve"> </w:t>
      </w:r>
      <w:r w:rsidRPr="00981405">
        <w:t>or</w:t>
      </w:r>
      <w:r w:rsidR="00190923" w:rsidRPr="00981405">
        <w:t xml:space="preserve"> </w:t>
      </w:r>
      <w:r w:rsidRPr="00981405">
        <w:t>in</w:t>
      </w:r>
      <w:r w:rsidR="00190923" w:rsidRPr="00981405">
        <w:t xml:space="preserve"> </w:t>
      </w:r>
      <w:r w:rsidRPr="00981405">
        <w:t>connexion</w:t>
      </w:r>
      <w:r w:rsidR="00190923" w:rsidRPr="00981405">
        <w:t xml:space="preserve"> </w:t>
      </w:r>
      <w:r w:rsidRPr="00981405">
        <w:t>with</w:t>
      </w:r>
      <w:r w:rsidR="00190923" w:rsidRPr="00981405">
        <w:t xml:space="preserve"> </w:t>
      </w:r>
      <w:r w:rsidRPr="00981405">
        <w:t>any</w:t>
      </w:r>
      <w:r w:rsidR="00190923" w:rsidRPr="00981405">
        <w:t xml:space="preserve"> </w:t>
      </w:r>
      <w:r w:rsidRPr="00981405">
        <w:t>crime</w:t>
      </w:r>
      <w:r w:rsidR="00190923" w:rsidRPr="00981405">
        <w:t xml:space="preserve"> </w:t>
      </w:r>
      <w:r w:rsidRPr="00981405">
        <w:t>against</w:t>
      </w:r>
      <w:r w:rsidR="00190923" w:rsidRPr="00981405">
        <w:t xml:space="preserve"> </w:t>
      </w:r>
      <w:r w:rsidRPr="00981405">
        <w:t>peace</w:t>
      </w:r>
      <w:r w:rsidR="00190923" w:rsidRPr="00981405">
        <w:t xml:space="preserve"> </w:t>
      </w:r>
      <w:r w:rsidRPr="00981405">
        <w:t>or</w:t>
      </w:r>
      <w:r w:rsidR="00190923" w:rsidRPr="00981405">
        <w:t xml:space="preserve"> </w:t>
      </w:r>
      <w:r w:rsidRPr="00981405">
        <w:t>any</w:t>
      </w:r>
      <w:r w:rsidR="00190923" w:rsidRPr="00981405">
        <w:t xml:space="preserve"> </w:t>
      </w:r>
      <w:r w:rsidRPr="00981405">
        <w:t>war</w:t>
      </w:r>
      <w:r w:rsidR="00190923" w:rsidRPr="00981405">
        <w:t xml:space="preserve"> </w:t>
      </w:r>
      <w:r w:rsidRPr="00981405">
        <w:t>crime.</w:t>
      </w:r>
      <w:r w:rsidR="00B92E2C" w:rsidRPr="00981405">
        <w:t>”</w:t>
      </w:r>
      <w:r w:rsidRPr="00981405">
        <w:rPr>
          <w:rStyle w:val="FootnoteReference"/>
        </w:rPr>
        <w:footnoteReference w:id="108"/>
      </w:r>
      <w:r w:rsidR="00190923" w:rsidRPr="00981405">
        <w:t xml:space="preserve"> </w:t>
      </w:r>
    </w:p>
    <w:p w:rsidR="00397032" w:rsidRPr="00981405" w:rsidRDefault="00397032" w:rsidP="00D97463">
      <w:pPr>
        <w:pStyle w:val="SingleTxt"/>
      </w:pPr>
      <w:r w:rsidRPr="00981405">
        <w:t>(4)</w:t>
      </w:r>
      <w:r w:rsidRPr="00981405">
        <w:tab/>
        <w:t>Further,</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1954</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Offences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identified</w:t>
      </w:r>
      <w:r w:rsidR="00190923" w:rsidRPr="00981405">
        <w:t xml:space="preserve"> </w:t>
      </w:r>
      <w:r w:rsidRPr="00981405">
        <w:t>as</w:t>
      </w:r>
      <w:r w:rsidR="00190923" w:rsidRPr="00981405">
        <w:t xml:space="preserve"> </w:t>
      </w:r>
      <w:r w:rsidRPr="00981405">
        <w:t>one</w:t>
      </w:r>
      <w:r w:rsidR="00190923" w:rsidRPr="00981405">
        <w:t xml:space="preserve"> </w:t>
      </w:r>
      <w:r w:rsidRPr="00981405">
        <w:t>of</w:t>
      </w:r>
      <w:r w:rsidR="00190923" w:rsidRPr="00981405">
        <w:t xml:space="preserve"> </w:t>
      </w:r>
      <w:r w:rsidRPr="00981405">
        <w:t>those</w:t>
      </w:r>
      <w:r w:rsidR="00190923" w:rsidRPr="00981405">
        <w:t xml:space="preserve"> </w:t>
      </w:r>
      <w:r w:rsidRPr="00981405">
        <w:t>offenses:</w:t>
      </w:r>
      <w:r w:rsidR="00190923" w:rsidRPr="00981405">
        <w:t xml:space="preserve"> </w:t>
      </w:r>
      <w:r w:rsidR="00B92E2C" w:rsidRPr="00981405">
        <w:t>“</w:t>
      </w:r>
      <w:r w:rsidRPr="00981405">
        <w:t>Inhuman</w:t>
      </w:r>
      <w:r w:rsidR="00190923" w:rsidRPr="00981405">
        <w:t xml:space="preserve"> </w:t>
      </w:r>
      <w:r w:rsidRPr="00981405">
        <w:t>acts</w:t>
      </w:r>
      <w:r w:rsidR="00190923" w:rsidRPr="00981405">
        <w:t xml:space="preserve"> </w:t>
      </w:r>
      <w:r w:rsidRPr="00981405">
        <w:t>such</w:t>
      </w:r>
      <w:r w:rsidR="00190923" w:rsidRPr="00981405">
        <w:t xml:space="preserve"> </w:t>
      </w:r>
      <w:r w:rsidRPr="00981405">
        <w:t>as</w:t>
      </w:r>
      <w:r w:rsidR="00190923" w:rsidRPr="00981405">
        <w:t xml:space="preserve"> </w:t>
      </w:r>
      <w:r w:rsidRPr="00981405">
        <w:t>murder,</w:t>
      </w:r>
      <w:r w:rsidR="00190923" w:rsidRPr="00981405">
        <w:t xml:space="preserve"> </w:t>
      </w:r>
      <w:r w:rsidRPr="00981405">
        <w:t>extermination,</w:t>
      </w:r>
      <w:r w:rsidR="00190923" w:rsidRPr="00981405">
        <w:t xml:space="preserve"> </w:t>
      </w:r>
      <w:r w:rsidRPr="00981405">
        <w:t>enslavement,</w:t>
      </w:r>
      <w:r w:rsidR="00190923" w:rsidRPr="00981405">
        <w:t xml:space="preserve"> </w:t>
      </w:r>
      <w:r w:rsidRPr="00981405">
        <w:t>deportation</w:t>
      </w:r>
      <w:r w:rsidR="00190923" w:rsidRPr="00981405">
        <w:t xml:space="preserve"> </w:t>
      </w:r>
      <w:r w:rsidRPr="00981405">
        <w:t>or</w:t>
      </w:r>
      <w:r w:rsidR="00190923" w:rsidRPr="00981405">
        <w:t xml:space="preserve"> </w:t>
      </w:r>
      <w:r w:rsidRPr="00981405">
        <w:t>persecutions,</w:t>
      </w:r>
      <w:r w:rsidR="00190923" w:rsidRPr="00981405">
        <w:t xml:space="preserve"> </w:t>
      </w:r>
      <w:r w:rsidRPr="00981405">
        <w:t>committed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on</w:t>
      </w:r>
      <w:r w:rsidR="00190923" w:rsidRPr="00981405">
        <w:t xml:space="preserve"> </w:t>
      </w:r>
      <w:r w:rsidRPr="00981405">
        <w:t>social,</w:t>
      </w:r>
      <w:r w:rsidR="00190923" w:rsidRPr="00981405">
        <w:t xml:space="preserve"> </w:t>
      </w:r>
      <w:r w:rsidRPr="00981405">
        <w:t>political,</w:t>
      </w:r>
      <w:r w:rsidR="00190923" w:rsidRPr="00981405">
        <w:t xml:space="preserve"> </w:t>
      </w:r>
      <w:r w:rsidRPr="00981405">
        <w:t>racial,</w:t>
      </w:r>
      <w:r w:rsidR="00190923" w:rsidRPr="00981405">
        <w:t xml:space="preserve"> </w:t>
      </w:r>
      <w:r w:rsidRPr="00981405">
        <w:t>religious</w:t>
      </w:r>
      <w:r w:rsidR="00190923" w:rsidRPr="00981405">
        <w:t xml:space="preserve"> </w:t>
      </w:r>
      <w:r w:rsidRPr="00981405">
        <w:t>or</w:t>
      </w:r>
      <w:r w:rsidR="00190923" w:rsidRPr="00981405">
        <w:t xml:space="preserve"> </w:t>
      </w:r>
      <w:r w:rsidRPr="00981405">
        <w:t>cultural</w:t>
      </w:r>
      <w:r w:rsidR="00190923" w:rsidRPr="00981405">
        <w:t xml:space="preserve"> </w:t>
      </w:r>
      <w:r w:rsidRPr="00981405">
        <w:t>grounds</w:t>
      </w:r>
      <w:r w:rsidR="00190923" w:rsidRPr="00981405">
        <w:t xml:space="preserve"> </w:t>
      </w:r>
      <w:r w:rsidRPr="00981405">
        <w:t>by</w:t>
      </w:r>
      <w:r w:rsidR="00190923" w:rsidRPr="00981405">
        <w:t xml:space="preserve"> </w:t>
      </w:r>
      <w:r w:rsidRPr="00981405">
        <w:t>the</w:t>
      </w:r>
      <w:r w:rsidR="00190923" w:rsidRPr="00981405">
        <w:t xml:space="preserve"> </w:t>
      </w:r>
      <w:r w:rsidRPr="00981405">
        <w:t>authorities</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by</w:t>
      </w:r>
      <w:r w:rsidR="00190923" w:rsidRPr="00981405">
        <w:t xml:space="preserve"> </w:t>
      </w:r>
      <w:r w:rsidRPr="00981405">
        <w:t>private</w:t>
      </w:r>
      <w:r w:rsidR="00190923" w:rsidRPr="00981405">
        <w:t xml:space="preserve"> </w:t>
      </w:r>
      <w:r w:rsidRPr="00981405">
        <w:t>individuals</w:t>
      </w:r>
      <w:r w:rsidR="00190923" w:rsidRPr="00981405">
        <w:t xml:space="preserve"> </w:t>
      </w:r>
      <w:r w:rsidRPr="00981405">
        <w:t>acting</w:t>
      </w:r>
      <w:r w:rsidR="00190923" w:rsidRPr="00981405">
        <w:t xml:space="preserve"> </w:t>
      </w:r>
      <w:r w:rsidRPr="00981405">
        <w:t>at</w:t>
      </w:r>
      <w:r w:rsidR="00190923" w:rsidRPr="00981405">
        <w:t xml:space="preserve"> </w:t>
      </w:r>
      <w:r w:rsidRPr="00981405">
        <w:t>the</w:t>
      </w:r>
      <w:r w:rsidR="00190923" w:rsidRPr="00981405">
        <w:t xml:space="preserve"> </w:t>
      </w:r>
      <w:r w:rsidRPr="00981405">
        <w:t>instigation</w:t>
      </w:r>
      <w:r w:rsidR="00190923" w:rsidRPr="00981405">
        <w:t xml:space="preserve"> </w:t>
      </w:r>
      <w:r w:rsidRPr="00981405">
        <w:t>or</w:t>
      </w:r>
      <w:r w:rsidR="00190923" w:rsidRPr="00981405">
        <w:t xml:space="preserve"> </w:t>
      </w:r>
      <w:r w:rsidRPr="00981405">
        <w:t>with</w:t>
      </w:r>
      <w:r w:rsidR="00190923" w:rsidRPr="00981405">
        <w:t xml:space="preserve"> </w:t>
      </w:r>
      <w:r w:rsidRPr="00981405">
        <w:t>the</w:t>
      </w:r>
      <w:r w:rsidR="00190923" w:rsidRPr="00981405">
        <w:t xml:space="preserve"> </w:t>
      </w:r>
      <w:r w:rsidRPr="00981405">
        <w:t>toleration</w:t>
      </w:r>
      <w:r w:rsidR="00190923" w:rsidRPr="00981405">
        <w:t xml:space="preserve"> </w:t>
      </w:r>
      <w:r w:rsidRPr="00981405">
        <w:t>of</w:t>
      </w:r>
      <w:r w:rsidR="00190923" w:rsidRPr="00981405">
        <w:t xml:space="preserve"> </w:t>
      </w:r>
      <w:r w:rsidRPr="00981405">
        <w:t>such</w:t>
      </w:r>
      <w:r w:rsidR="00190923" w:rsidRPr="00981405">
        <w:t xml:space="preserve"> </w:t>
      </w:r>
      <w:r w:rsidRPr="00981405">
        <w:t>authorities.</w:t>
      </w:r>
      <w:r w:rsidR="00B92E2C" w:rsidRPr="00981405">
        <w:t>”</w:t>
      </w:r>
      <w:r w:rsidRPr="00981405">
        <w:rPr>
          <w:rStyle w:val="FootnoteReference"/>
        </w:rPr>
        <w:footnoteReference w:id="109"/>
      </w:r>
    </w:p>
    <w:p w:rsidR="00397032" w:rsidRPr="00981405" w:rsidRDefault="00397032" w:rsidP="00D97463">
      <w:pPr>
        <w:pStyle w:val="SingleTxt"/>
      </w:pPr>
      <w:r w:rsidRPr="00981405">
        <w:t>(5)</w:t>
      </w:r>
      <w:r w:rsidRPr="00981405">
        <w:tab/>
        <w:t>Article</w:t>
      </w:r>
      <w:r w:rsidR="00190923" w:rsidRPr="00981405">
        <w:t xml:space="preserve"> </w:t>
      </w:r>
      <w:r w:rsidRPr="00981405">
        <w:t>5</w:t>
      </w:r>
      <w:r w:rsidR="00190923" w:rsidRPr="00981405">
        <w:t xml:space="preserve"> </w:t>
      </w:r>
      <w:r w:rsidRPr="00981405">
        <w:t>of</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stated</w:t>
      </w:r>
      <w:r w:rsidR="00190923" w:rsidRPr="00981405">
        <w:t xml:space="preserve"> </w:t>
      </w:r>
      <w:r w:rsidRPr="00981405">
        <w:t>that</w:t>
      </w:r>
      <w:r w:rsidR="00190923" w:rsidRPr="00981405">
        <w:t xml:space="preserve"> </w:t>
      </w:r>
      <w:r w:rsidRPr="00981405">
        <w:t>the</w:t>
      </w:r>
      <w:r w:rsidR="00190923" w:rsidRPr="00981405">
        <w:t xml:space="preserve"> </w:t>
      </w:r>
      <w:r w:rsidRPr="00981405">
        <w:t>tribunal</w:t>
      </w:r>
      <w:r w:rsidR="00190923" w:rsidRPr="00981405">
        <w:t xml:space="preserve"> </w:t>
      </w:r>
      <w:r w:rsidR="00B92E2C" w:rsidRPr="00981405">
        <w:t>“</w:t>
      </w:r>
      <w:r w:rsidRPr="00981405">
        <w:t>shall</w:t>
      </w:r>
      <w:r w:rsidR="00190923" w:rsidRPr="00981405">
        <w:t xml:space="preserve"> </w:t>
      </w:r>
      <w:r w:rsidRPr="00981405">
        <w:t>have</w:t>
      </w:r>
      <w:r w:rsidR="00190923" w:rsidRPr="00981405">
        <w:t xml:space="preserve"> </w:t>
      </w:r>
      <w:r w:rsidRPr="00981405">
        <w:t>the</w:t>
      </w:r>
      <w:r w:rsidR="00190923" w:rsidRPr="00981405">
        <w:t xml:space="preserve"> </w:t>
      </w:r>
      <w:r w:rsidRPr="00981405">
        <w:t>power</w:t>
      </w:r>
      <w:r w:rsidR="00190923" w:rsidRPr="00981405">
        <w:t xml:space="preserve"> </w:t>
      </w:r>
      <w:r w:rsidRPr="00981405">
        <w:t>to</w:t>
      </w:r>
      <w:r w:rsidR="00190923" w:rsidRPr="00981405">
        <w:t xml:space="preserve"> </w:t>
      </w:r>
      <w:r w:rsidRPr="00981405">
        <w:t>prosecute</w:t>
      </w:r>
      <w:r w:rsidR="00190923" w:rsidRPr="00981405">
        <w:t xml:space="preserve"> </w:t>
      </w:r>
      <w:r w:rsidRPr="00981405">
        <w:t>persons</w:t>
      </w:r>
      <w:r w:rsidR="00190923" w:rsidRPr="00981405">
        <w:t xml:space="preserve"> </w:t>
      </w:r>
      <w:r w:rsidRPr="00981405">
        <w:t>responsible</w:t>
      </w:r>
      <w:r w:rsidR="00B92E2C" w:rsidRPr="00981405">
        <w:t>”</w:t>
      </w:r>
      <w:r w:rsidR="00190923" w:rsidRPr="00981405">
        <w:t xml:space="preserve"> </w:t>
      </w:r>
      <w:r w:rsidRPr="00981405">
        <w:t>for</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acts</w:t>
      </w:r>
      <w:r w:rsidR="00190923" w:rsidRPr="00981405">
        <w:t xml:space="preserve"> </w:t>
      </w:r>
      <w:r w:rsidRPr="00981405">
        <w:t>(such</w:t>
      </w:r>
      <w:r w:rsidR="00190923" w:rsidRPr="00981405">
        <w:t xml:space="preserve"> </w:t>
      </w:r>
      <w:r w:rsidRPr="00981405">
        <w:t>as</w:t>
      </w:r>
      <w:r w:rsidR="00190923" w:rsidRPr="00981405">
        <w:t xml:space="preserve"> </w:t>
      </w:r>
      <w:r w:rsidRPr="00981405">
        <w:t>murder,</w:t>
      </w:r>
      <w:r w:rsidR="00190923" w:rsidRPr="00981405">
        <w:t xml:space="preserve"> </w:t>
      </w:r>
      <w:r w:rsidRPr="00981405">
        <w:t>torture,</w:t>
      </w:r>
      <w:r w:rsidR="00190923" w:rsidRPr="00981405">
        <w:t xml:space="preserve"> </w:t>
      </w:r>
      <w:r w:rsidRPr="00981405">
        <w:t>and</w:t>
      </w:r>
      <w:r w:rsidR="00190923" w:rsidRPr="00981405">
        <w:t xml:space="preserve"> </w:t>
      </w:r>
      <w:r w:rsidRPr="00981405">
        <w:t>rape)</w:t>
      </w:r>
      <w:r w:rsidR="00190923" w:rsidRPr="00981405">
        <w:t xml:space="preserve"> </w:t>
      </w:r>
      <w:r w:rsidR="00B92E2C" w:rsidRPr="00981405">
        <w:t>“</w:t>
      </w:r>
      <w:r w:rsidRPr="00981405">
        <w:t>when</w:t>
      </w:r>
      <w:r w:rsidR="00190923" w:rsidRPr="00981405">
        <w:t xml:space="preserve"> </w:t>
      </w:r>
      <w:r w:rsidRPr="00981405">
        <w:t>committed</w:t>
      </w:r>
      <w:r w:rsidR="00190923" w:rsidRPr="00981405">
        <w:t xml:space="preserve"> </w:t>
      </w:r>
      <w:r w:rsidRPr="00981405">
        <w:t>in</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whether</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internal</w:t>
      </w:r>
      <w:r w:rsidR="00190923" w:rsidRPr="00981405">
        <w:t xml:space="preserve"> </w:t>
      </w:r>
      <w:r w:rsidRPr="00981405">
        <w:t>in</w:t>
      </w:r>
      <w:r w:rsidR="00190923" w:rsidRPr="00981405">
        <w:t xml:space="preserve"> </w:t>
      </w:r>
      <w:r w:rsidRPr="00981405">
        <w:t>character,</w:t>
      </w:r>
      <w:r w:rsidR="00190923" w:rsidRPr="00981405">
        <w:t xml:space="preserve"> </w:t>
      </w:r>
      <w:r w:rsidRPr="00981405">
        <w:t>and</w:t>
      </w:r>
      <w:r w:rsidR="00190923" w:rsidRPr="00981405">
        <w:t xml:space="preserve"> </w:t>
      </w:r>
      <w:r w:rsidRPr="00981405">
        <w:lastRenderedPageBreak/>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w:t>
      </w:r>
      <w:r w:rsidR="00190923" w:rsidRPr="00981405">
        <w:t xml:space="preserve"> </w:t>
      </w:r>
      <w:r w:rsidRPr="00981405">
        <w:t>.</w:t>
      </w:r>
      <w:r w:rsidR="00B92E2C" w:rsidRPr="00981405">
        <w:t>”</w:t>
      </w:r>
      <w:r w:rsidRPr="00981405">
        <w:rPr>
          <w:rStyle w:val="FootnoteReference"/>
        </w:rPr>
        <w:footnoteReference w:id="110"/>
      </w:r>
      <w:r w:rsidR="00190923" w:rsidRPr="00981405">
        <w:t xml:space="preserve"> </w:t>
      </w:r>
      <w:r w:rsidRPr="00981405">
        <w:t>Although</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Secretary-General</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proposing</w:t>
      </w:r>
      <w:r w:rsidR="00190923" w:rsidRPr="00981405">
        <w:t xml:space="preserve"> </w:t>
      </w:r>
      <w:r w:rsidRPr="00981405">
        <w:t>this</w:t>
      </w:r>
      <w:r w:rsidR="00190923" w:rsidRPr="00981405">
        <w:t xml:space="preserve"> </w:t>
      </w:r>
      <w:r w:rsidRPr="00981405">
        <w:t>article</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00B92E2C" w:rsidRPr="00981405">
        <w:t>“</w:t>
      </w:r>
      <w:r w:rsidRPr="00981405">
        <w:t>refer</w:t>
      </w:r>
      <w:r w:rsidR="00190923" w:rsidRPr="00981405">
        <w:t xml:space="preserve"> </w:t>
      </w:r>
      <w:r w:rsidRPr="00981405">
        <w:t>to</w:t>
      </w:r>
      <w:r w:rsidR="00190923" w:rsidRPr="00981405">
        <w:t xml:space="preserve"> </w:t>
      </w:r>
      <w:r w:rsidRPr="00981405">
        <w:t>inhumane</w:t>
      </w:r>
      <w:r w:rsidR="00190923" w:rsidRPr="00981405">
        <w:t xml:space="preserve"> </w:t>
      </w:r>
      <w:r w:rsidRPr="00981405">
        <w:t>acts</w:t>
      </w:r>
      <w:r w:rsidR="00190923" w:rsidRPr="00981405">
        <w:t xml:space="preserve"> </w:t>
      </w:r>
      <w:r w:rsidRPr="00981405">
        <w:t>of</w:t>
      </w:r>
      <w:r w:rsidR="00190923" w:rsidRPr="00981405">
        <w:t xml:space="preserve"> </w:t>
      </w:r>
      <w:r w:rsidRPr="00981405">
        <w:t>a</w:t>
      </w:r>
      <w:r w:rsidR="00190923" w:rsidRPr="00981405">
        <w:t xml:space="preserve"> </w:t>
      </w:r>
      <w:r w:rsidRPr="00981405">
        <w:t>very</w:t>
      </w:r>
      <w:r w:rsidR="00190923" w:rsidRPr="00981405">
        <w:t xml:space="preserve"> </w:t>
      </w:r>
      <w:r w:rsidRPr="00981405">
        <w:t>serious</w:t>
      </w:r>
      <w:r w:rsidR="00190923" w:rsidRPr="00981405">
        <w:t xml:space="preserve"> </w:t>
      </w:r>
      <w:r w:rsidRPr="00981405">
        <w:t>nature</w:t>
      </w:r>
      <w:r w:rsidR="00190923" w:rsidRPr="00981405">
        <w:t xml:space="preserve"> </w:t>
      </w:r>
      <w:r w:rsidRPr="00981405">
        <w:t>...</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on</w:t>
      </w:r>
      <w:r w:rsidR="00190923" w:rsidRPr="00981405">
        <w:t xml:space="preserve"> </w:t>
      </w:r>
      <w:r w:rsidRPr="00981405">
        <w:t>national,</w:t>
      </w:r>
      <w:r w:rsidR="00190923" w:rsidRPr="00981405">
        <w:t xml:space="preserve"> </w:t>
      </w:r>
      <w:r w:rsidRPr="00981405">
        <w:t>political,</w:t>
      </w:r>
      <w:r w:rsidR="00190923" w:rsidRPr="00981405">
        <w:t xml:space="preserve"> </w:t>
      </w:r>
      <w:r w:rsidRPr="00981405">
        <w:t>ethnic,</w:t>
      </w:r>
      <w:r w:rsidR="00190923" w:rsidRPr="00981405">
        <w:t xml:space="preserve"> </w:t>
      </w:r>
      <w:r w:rsidRPr="00981405">
        <w:t>racial</w:t>
      </w:r>
      <w:r w:rsidR="00190923" w:rsidRPr="00981405">
        <w:t xml:space="preserve"> </w:t>
      </w:r>
      <w:r w:rsidRPr="00981405">
        <w:t>or</w:t>
      </w:r>
      <w:r w:rsidR="00190923" w:rsidRPr="00981405">
        <w:t xml:space="preserve"> </w:t>
      </w:r>
      <w:r w:rsidRPr="00981405">
        <w:t>religious</w:t>
      </w:r>
      <w:r w:rsidR="00190923" w:rsidRPr="00981405">
        <w:t xml:space="preserve"> </w:t>
      </w:r>
      <w:r w:rsidRPr="00981405">
        <w:t>grounds</w:t>
      </w:r>
      <w:r w:rsidR="00B92E2C" w:rsidRPr="00981405">
        <w:t>”</w:t>
      </w:r>
      <w:r w:rsidRPr="00981405">
        <w:t>,</w:t>
      </w:r>
      <w:r w:rsidRPr="00981405">
        <w:rPr>
          <w:rStyle w:val="FootnoteReference"/>
        </w:rPr>
        <w:footnoteReference w:id="111"/>
      </w:r>
      <w:r w:rsidR="00190923" w:rsidRPr="00981405">
        <w:t xml:space="preserve"> </w:t>
      </w:r>
      <w:r w:rsidRPr="00981405">
        <w:t>that</w:t>
      </w:r>
      <w:r w:rsidR="00190923" w:rsidRPr="00981405">
        <w:t xml:space="preserve"> </w:t>
      </w:r>
      <w:r w:rsidRPr="00981405">
        <w:t>particular</w:t>
      </w:r>
      <w:r w:rsidR="00190923" w:rsidRPr="00981405">
        <w:t xml:space="preserve"> </w:t>
      </w:r>
      <w:r w:rsidRPr="00981405">
        <w:t>language</w:t>
      </w:r>
      <w:r w:rsidR="00190923" w:rsidRPr="00981405">
        <w:t xml:space="preserve"> </w:t>
      </w:r>
      <w:r w:rsidRPr="00981405">
        <w:t>was</w:t>
      </w:r>
      <w:r w:rsidR="00190923" w:rsidRPr="00981405">
        <w:t xml:space="preserve"> </w:t>
      </w:r>
      <w:r w:rsidRPr="00981405">
        <w:t>not</w:t>
      </w:r>
      <w:r w:rsidR="00190923" w:rsidRPr="00981405">
        <w:t xml:space="preserve"> </w:t>
      </w:r>
      <w:r w:rsidRPr="00981405">
        <w:t>included</w:t>
      </w:r>
      <w:r w:rsidR="00190923" w:rsidRPr="00981405">
        <w:t xml:space="preserve"> </w:t>
      </w:r>
      <w:r w:rsidRPr="00981405">
        <w:t>in</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article</w:t>
      </w:r>
      <w:r w:rsidR="00190923" w:rsidRPr="00981405">
        <w:t xml:space="preserve"> </w:t>
      </w:r>
      <w:r w:rsidRPr="00981405">
        <w:t>5.</w:t>
      </w:r>
    </w:p>
    <w:p w:rsidR="00397032" w:rsidRPr="00981405" w:rsidRDefault="00397032" w:rsidP="00D97463">
      <w:pPr>
        <w:pStyle w:val="SingleTxt"/>
      </w:pPr>
      <w:r w:rsidRPr="00981405">
        <w:t>(6)</w:t>
      </w:r>
      <w:r w:rsidRPr="00981405">
        <w:tab/>
        <w:t>By</w:t>
      </w:r>
      <w:r w:rsidR="00190923" w:rsidRPr="00981405">
        <w:t xml:space="preserve"> </w:t>
      </w:r>
      <w:r w:rsidRPr="00981405">
        <w:t>contrast,</w:t>
      </w:r>
      <w:r w:rsidR="00190923" w:rsidRPr="00981405">
        <w:t xml:space="preserve"> </w:t>
      </w:r>
      <w:r w:rsidRPr="00981405">
        <w:t>the</w:t>
      </w:r>
      <w:r w:rsidR="00190923" w:rsidRPr="00981405">
        <w:t xml:space="preserve"> </w:t>
      </w:r>
      <w:r w:rsidRPr="00981405">
        <w:t>1994</w:t>
      </w:r>
      <w:r w:rsidR="00190923" w:rsidRPr="00981405">
        <w:t xml:space="preserve"> </w:t>
      </w:r>
      <w:r w:rsidRPr="00981405">
        <w:t>ICTR</w:t>
      </w:r>
      <w:r w:rsidR="00190923" w:rsidRPr="00981405">
        <w:t xml:space="preserve"> </w:t>
      </w:r>
      <w:r w:rsidRPr="00981405">
        <w:t>Statute,</w:t>
      </w:r>
      <w:r w:rsidR="00190923" w:rsidRPr="00981405">
        <w:t xml:space="preserve"> </w:t>
      </w:r>
      <w:r w:rsidRPr="00981405">
        <w:t>in</w:t>
      </w:r>
      <w:r w:rsidR="00190923" w:rsidRPr="00981405">
        <w:t xml:space="preserve"> </w:t>
      </w:r>
      <w:r w:rsidRPr="00981405">
        <w:t>article</w:t>
      </w:r>
      <w:r w:rsidR="00190923" w:rsidRPr="00981405">
        <w:t xml:space="preserve"> </w:t>
      </w:r>
      <w:r w:rsidRPr="00981405">
        <w:t>3,</w:t>
      </w:r>
      <w:r w:rsidR="00190923" w:rsidRPr="00981405">
        <w:t xml:space="preserve"> </w:t>
      </w:r>
      <w:r w:rsidRPr="00981405">
        <w:t>retained</w:t>
      </w:r>
      <w:r w:rsidR="00190923" w:rsidRPr="00981405">
        <w:t xml:space="preserve"> </w:t>
      </w:r>
      <w:r w:rsidRPr="00981405">
        <w:t>the</w:t>
      </w:r>
      <w:r w:rsidR="00190923" w:rsidRPr="00981405">
        <w:t xml:space="preserve"> </w:t>
      </w:r>
      <w:r w:rsidRPr="00981405">
        <w:t>same</w:t>
      </w:r>
      <w:r w:rsidR="00190923" w:rsidRPr="00981405">
        <w:t xml:space="preserve"> </w:t>
      </w:r>
      <w:r w:rsidRPr="00981405">
        <w:t>series</w:t>
      </w:r>
      <w:r w:rsidR="00190923" w:rsidRPr="00981405">
        <w:t xml:space="preserve"> </w:t>
      </w:r>
      <w:r w:rsidRPr="00981405">
        <w:t>of</w:t>
      </w:r>
      <w:r w:rsidR="00190923" w:rsidRPr="00981405">
        <w:t xml:space="preserve"> </w:t>
      </w:r>
      <w:r w:rsidRPr="00981405">
        <w:t>acts,</w:t>
      </w:r>
      <w:r w:rsidR="00190923" w:rsidRPr="00981405">
        <w:t xml:space="preserve"> </w:t>
      </w:r>
      <w:r w:rsidRPr="00981405">
        <w:t>but</w:t>
      </w:r>
      <w:r w:rsidR="00190923" w:rsidRPr="00981405">
        <w:t xml:space="preserve"> </w:t>
      </w:r>
      <w:r w:rsidRPr="00981405">
        <w:t>the</w:t>
      </w:r>
      <w:r w:rsidR="00190923" w:rsidRPr="00981405">
        <w:t xml:space="preserve"> </w:t>
      </w:r>
      <w:r w:rsidRPr="00981405">
        <w:t>chapeau</w:t>
      </w:r>
      <w:r w:rsidR="00190923" w:rsidRPr="00981405">
        <w:t xml:space="preserve"> </w:t>
      </w:r>
      <w:r w:rsidRPr="00981405">
        <w:t>language</w:t>
      </w:r>
      <w:r w:rsidR="00190923" w:rsidRPr="00981405">
        <w:t xml:space="preserve"> </w:t>
      </w:r>
      <w:r w:rsidRPr="00981405">
        <w:t>introduced</w:t>
      </w:r>
      <w:r w:rsidR="00190923" w:rsidRPr="00981405">
        <w:t xml:space="preserve"> </w:t>
      </w:r>
      <w:r w:rsidRPr="00981405">
        <w:t>the</w:t>
      </w:r>
      <w:r w:rsidR="00190923" w:rsidRPr="00981405">
        <w:t xml:space="preserve"> </w:t>
      </w:r>
      <w:r w:rsidRPr="00981405">
        <w:t>formulation</w:t>
      </w:r>
      <w:r w:rsidR="00190923" w:rsidRPr="00981405">
        <w:t xml:space="preserve"> </w:t>
      </w:r>
      <w:r w:rsidRPr="00981405">
        <w:t>from</w:t>
      </w:r>
      <w:r w:rsidR="00190923" w:rsidRPr="00981405">
        <w:t xml:space="preserve"> </w:t>
      </w:r>
      <w:r w:rsidRPr="00981405">
        <w:t>the</w:t>
      </w:r>
      <w:r w:rsidR="00190923" w:rsidRPr="00981405">
        <w:t xml:space="preserve"> </w:t>
      </w:r>
      <w:r w:rsidRPr="00981405">
        <w:t>1993</w:t>
      </w:r>
      <w:r w:rsidR="00190923" w:rsidRPr="00981405">
        <w:t xml:space="preserve"> </w:t>
      </w:r>
      <w:r w:rsidRPr="00981405">
        <w:t>Secretary-General</w:t>
      </w:r>
      <w:r w:rsidR="00B92E2C" w:rsidRPr="00981405">
        <w:t>’</w:t>
      </w:r>
      <w:r w:rsidRPr="00981405">
        <w:t>s</w:t>
      </w:r>
      <w:r w:rsidR="00190923" w:rsidRPr="00981405">
        <w:t xml:space="preserve"> </w:t>
      </w:r>
      <w:r w:rsidRPr="00981405">
        <w:t>report</w:t>
      </w:r>
      <w:r w:rsidR="00190923" w:rsidRPr="00981405">
        <w:t xml:space="preserve"> </w:t>
      </w:r>
      <w:r w:rsidRPr="00981405">
        <w:t>of</w:t>
      </w:r>
      <w:r w:rsidR="00190923" w:rsidRPr="00981405">
        <w:t xml:space="preserve"> </w:t>
      </w:r>
      <w:r w:rsidR="00B92E2C" w:rsidRPr="00981405">
        <w:t>“</w:t>
      </w:r>
      <w:r w:rsidRPr="00981405">
        <w:t>crimes</w:t>
      </w:r>
      <w:r w:rsidR="00190923" w:rsidRPr="00981405">
        <w:t xml:space="preserve"> </w:t>
      </w:r>
      <w:r w:rsidRPr="00981405">
        <w:t>when</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and</w:t>
      </w:r>
      <w:r w:rsidR="00190923" w:rsidRPr="00981405">
        <w:t xml:space="preserve"> </w:t>
      </w:r>
      <w:r w:rsidRPr="00981405">
        <w:t>then</w:t>
      </w:r>
      <w:r w:rsidR="00190923" w:rsidRPr="00981405">
        <w:t xml:space="preserve"> </w:t>
      </w:r>
      <w:r w:rsidRPr="00981405">
        <w:t>continued</w:t>
      </w:r>
      <w:r w:rsidR="00190923" w:rsidRPr="00981405">
        <w:t xml:space="preserve"> </w:t>
      </w:r>
      <w:r w:rsidRPr="00981405">
        <w:t>with</w:t>
      </w:r>
      <w:r w:rsidR="00190923" w:rsidRPr="00981405">
        <w:t xml:space="preserve"> </w:t>
      </w:r>
      <w:r w:rsidR="00B92E2C" w:rsidRPr="00981405">
        <w:t>“</w:t>
      </w:r>
      <w:r w:rsidRPr="00981405">
        <w:t>on</w:t>
      </w:r>
      <w:r w:rsidR="00190923" w:rsidRPr="00981405">
        <w:t xml:space="preserve"> </w:t>
      </w:r>
      <w:r w:rsidRPr="00981405">
        <w:t>national,</w:t>
      </w:r>
      <w:r w:rsidR="00190923" w:rsidRPr="00981405">
        <w:t xml:space="preserve"> </w:t>
      </w:r>
      <w:r w:rsidRPr="00981405">
        <w:t>political,</w:t>
      </w:r>
      <w:r w:rsidR="00190923" w:rsidRPr="00981405">
        <w:t xml:space="preserve"> </w:t>
      </w:r>
      <w:r w:rsidRPr="00981405">
        <w:t>ethnic,</w:t>
      </w:r>
      <w:r w:rsidR="00190923" w:rsidRPr="00981405">
        <w:t xml:space="preserve"> </w:t>
      </w:r>
      <w:r w:rsidRPr="00981405">
        <w:t>racial</w:t>
      </w:r>
      <w:r w:rsidR="00190923" w:rsidRPr="00981405">
        <w:t xml:space="preserve"> </w:t>
      </w:r>
      <w:r w:rsidRPr="00981405">
        <w:t>or</w:t>
      </w:r>
      <w:r w:rsidR="00190923" w:rsidRPr="00981405">
        <w:t xml:space="preserve"> </w:t>
      </w:r>
      <w:r w:rsidRPr="00981405">
        <w:t>religious</w:t>
      </w:r>
      <w:r w:rsidR="00190923" w:rsidRPr="00981405">
        <w:t xml:space="preserve"> </w:t>
      </w:r>
      <w:r w:rsidRPr="00981405">
        <w:t>grounds</w:t>
      </w:r>
      <w:r w:rsidR="00190923" w:rsidRPr="00981405">
        <w:t xml:space="preserve"> </w:t>
      </w:r>
      <w:r w:rsidRPr="00981405">
        <w:t>...</w:t>
      </w:r>
      <w:r w:rsidR="00190923" w:rsidRPr="00981405">
        <w:t xml:space="preserve"> </w:t>
      </w:r>
      <w:r w:rsidRPr="00981405">
        <w:t>.</w:t>
      </w:r>
      <w:r w:rsidR="00B92E2C" w:rsidRPr="00981405">
        <w:t>”</w:t>
      </w:r>
      <w:r w:rsidRPr="00981405">
        <w:rPr>
          <w:rStyle w:val="FootnoteReference"/>
        </w:rPr>
        <w:footnoteReference w:id="112"/>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ICTR</w:t>
      </w:r>
      <w:r w:rsidR="00190923" w:rsidRPr="00981405">
        <w:t xml:space="preserve"> </w:t>
      </w:r>
      <w:r w:rsidRPr="00981405">
        <w:t>Statute</w:t>
      </w:r>
      <w:r w:rsidR="00190923" w:rsidRPr="00981405">
        <w:t xml:space="preserve"> </w:t>
      </w:r>
      <w:r w:rsidRPr="00981405">
        <w:t>expressly</w:t>
      </w:r>
      <w:r w:rsidR="00190923" w:rsidRPr="00981405">
        <w:t xml:space="preserve"> </w:t>
      </w:r>
      <w:r w:rsidRPr="00981405">
        <w:t>provided</w:t>
      </w:r>
      <w:r w:rsidR="00190923" w:rsidRPr="00981405">
        <w:t xml:space="preserve"> </w:t>
      </w:r>
      <w:r w:rsidRPr="00981405">
        <w:t>that</w:t>
      </w:r>
      <w:r w:rsidR="00190923" w:rsidRPr="00981405">
        <w:t xml:space="preserve"> </w:t>
      </w:r>
      <w:r w:rsidRPr="00981405">
        <w:t>a</w:t>
      </w:r>
      <w:r w:rsidR="00190923" w:rsidRPr="00981405">
        <w:t xml:space="preserve"> </w:t>
      </w:r>
      <w:r w:rsidRPr="00981405">
        <w:t>discriminatory</w:t>
      </w:r>
      <w:r w:rsidR="00190923" w:rsidRPr="00981405">
        <w:t xml:space="preserve"> </w:t>
      </w:r>
      <w:r w:rsidRPr="00981405">
        <w:t>intent</w:t>
      </w:r>
      <w:r w:rsidR="00190923" w:rsidRPr="00981405">
        <w:t xml:space="preserve"> </w:t>
      </w:r>
      <w:r w:rsidRPr="00981405">
        <w:t>was</w:t>
      </w:r>
      <w:r w:rsidR="00190923" w:rsidRPr="00981405">
        <w:t xml:space="preserve"> </w:t>
      </w:r>
      <w:r w:rsidRPr="00981405">
        <w:t>required</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establish</w:t>
      </w:r>
      <w:r w:rsidR="00190923" w:rsidRPr="00981405">
        <w:t xml:space="preserve"> </w:t>
      </w:r>
      <w:r w:rsidRPr="00981405">
        <w:t>the</w:t>
      </w:r>
      <w:r w:rsidR="00190923" w:rsidRPr="00981405">
        <w:t xml:space="preserve"> </w:t>
      </w:r>
      <w:r w:rsidRPr="00981405">
        <w:t>crime.</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1996</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also</w:t>
      </w:r>
      <w:r w:rsidR="00190923" w:rsidRPr="00981405">
        <w:t xml:space="preserve"> </w:t>
      </w:r>
      <w:r w:rsidRPr="00981405">
        <w:t>defined</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to</w:t>
      </w:r>
      <w:r w:rsidR="00190923" w:rsidRPr="00981405">
        <w:t xml:space="preserve"> </w:t>
      </w:r>
      <w:r w:rsidRPr="00981405">
        <w:t>be</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specified</w:t>
      </w:r>
      <w:r w:rsidR="00190923" w:rsidRPr="00981405">
        <w:t xml:space="preserve"> </w:t>
      </w:r>
      <w:r w:rsidRPr="00981405">
        <w:t>acts</w:t>
      </w:r>
      <w:r w:rsidR="00190923" w:rsidRPr="00981405">
        <w:t xml:space="preserve"> </w:t>
      </w:r>
      <w:r w:rsidR="00B92E2C" w:rsidRPr="00981405">
        <w:t>“</w:t>
      </w:r>
      <w:r w:rsidRPr="00981405">
        <w:t>when</w:t>
      </w:r>
      <w:r w:rsidR="00190923" w:rsidRPr="00981405">
        <w:t xml:space="preserve"> </w:t>
      </w:r>
      <w:r w:rsidRPr="00981405">
        <w:t>committed</w:t>
      </w:r>
      <w:r w:rsidR="00190923" w:rsidRPr="00981405">
        <w:t xml:space="preserve"> </w:t>
      </w:r>
      <w:r w:rsidRPr="00981405">
        <w:t>in</w:t>
      </w:r>
      <w:r w:rsidR="00190923" w:rsidRPr="00981405">
        <w:t xml:space="preserve"> </w:t>
      </w:r>
      <w:r w:rsidRPr="00981405">
        <w:t>a</w:t>
      </w:r>
      <w:r w:rsidR="00190923" w:rsidRPr="00981405">
        <w:t xml:space="preserve"> </w:t>
      </w:r>
      <w:r w:rsidRPr="00981405">
        <w:t>systematic</w:t>
      </w:r>
      <w:r w:rsidR="00190923" w:rsidRPr="00981405">
        <w:t xml:space="preserve"> </w:t>
      </w:r>
      <w:r w:rsidRPr="00981405">
        <w:t>manner</w:t>
      </w:r>
      <w:r w:rsidR="00190923" w:rsidRPr="00981405">
        <w:t xml:space="preserve"> </w:t>
      </w:r>
      <w:r w:rsidRPr="00981405">
        <w:t>or</w:t>
      </w:r>
      <w:r w:rsidR="00190923" w:rsidRPr="00981405">
        <w:t xml:space="preserve"> </w:t>
      </w:r>
      <w:r w:rsidRPr="00981405">
        <w:t>on</w:t>
      </w:r>
      <w:r w:rsidR="00190923" w:rsidRPr="00981405">
        <w:t xml:space="preserve"> </w:t>
      </w:r>
      <w:r w:rsidRPr="00981405">
        <w:t>a</w:t>
      </w:r>
      <w:r w:rsidR="00190923" w:rsidRPr="00981405">
        <w:t xml:space="preserve"> </w:t>
      </w:r>
      <w:r w:rsidRPr="00981405">
        <w:t>large</w:t>
      </w:r>
      <w:r w:rsidR="00190923" w:rsidRPr="00981405">
        <w:t xml:space="preserve"> </w:t>
      </w:r>
      <w:r w:rsidRPr="00981405">
        <w:t>scale</w:t>
      </w:r>
      <w:r w:rsidR="00190923" w:rsidRPr="00981405">
        <w:t xml:space="preserve"> </w:t>
      </w:r>
      <w:r w:rsidRPr="00981405">
        <w:t>and</w:t>
      </w:r>
      <w:r w:rsidR="00190923" w:rsidRPr="00981405">
        <w:t xml:space="preserve"> </w:t>
      </w:r>
      <w:r w:rsidRPr="00981405">
        <w:t>instigated</w:t>
      </w:r>
      <w:r w:rsidR="00190923" w:rsidRPr="00981405">
        <w:t xml:space="preserve"> </w:t>
      </w:r>
      <w:r w:rsidRPr="00981405">
        <w:t>or</w:t>
      </w:r>
      <w:r w:rsidR="00190923" w:rsidRPr="00981405">
        <w:t xml:space="preserve"> </w:t>
      </w:r>
      <w:r w:rsidRPr="00981405">
        <w:t>directed</w:t>
      </w:r>
      <w:r w:rsidR="00190923" w:rsidRPr="00981405">
        <w:t xml:space="preserve"> </w:t>
      </w:r>
      <w:r w:rsidRPr="00981405">
        <w:t>by</w:t>
      </w:r>
      <w:r w:rsidR="00190923" w:rsidRPr="00981405">
        <w:t xml:space="preserve"> </w:t>
      </w:r>
      <w:r w:rsidRPr="00981405">
        <w:t>a</w:t>
      </w:r>
      <w:r w:rsidR="00190923" w:rsidRPr="00981405">
        <w:t xml:space="preserve"> </w:t>
      </w:r>
      <w:r w:rsidRPr="00981405">
        <w:t>Government</w:t>
      </w:r>
      <w:r w:rsidR="00190923" w:rsidRPr="00981405">
        <w:t xml:space="preserve"> </w:t>
      </w:r>
      <w:r w:rsidRPr="00981405">
        <w:t>or</w:t>
      </w:r>
      <w:r w:rsidR="00190923" w:rsidRPr="00981405">
        <w:t xml:space="preserve"> </w:t>
      </w:r>
      <w:r w:rsidRPr="00981405">
        <w:t>by</w:t>
      </w:r>
      <w:r w:rsidR="00190923" w:rsidRPr="00981405">
        <w:t xml:space="preserve"> </w:t>
      </w:r>
      <w:r w:rsidRPr="00981405">
        <w:t>any</w:t>
      </w:r>
      <w:r w:rsidR="00190923" w:rsidRPr="00981405">
        <w:t xml:space="preserve"> </w:t>
      </w:r>
      <w:r w:rsidRPr="00981405">
        <w:t>organization</w:t>
      </w:r>
      <w:r w:rsidR="00190923" w:rsidRPr="00981405">
        <w:t xml:space="preserve"> </w:t>
      </w:r>
      <w:r w:rsidRPr="00981405">
        <w:t>or</w:t>
      </w:r>
      <w:r w:rsidR="00190923" w:rsidRPr="00981405">
        <w:t xml:space="preserve"> </w:t>
      </w:r>
      <w:r w:rsidRPr="00981405">
        <w:t>group,</w:t>
      </w:r>
      <w:r w:rsidR="00B92E2C" w:rsidRPr="00981405">
        <w:t>”</w:t>
      </w:r>
      <w:r w:rsidR="00190923" w:rsidRPr="00981405">
        <w:t xml:space="preserve"> </w:t>
      </w:r>
      <w:r w:rsidRPr="00981405">
        <w:t>but</w:t>
      </w:r>
      <w:r w:rsidR="00190923" w:rsidRPr="00981405">
        <w:t xml:space="preserve"> </w:t>
      </w:r>
      <w:r w:rsidRPr="00981405">
        <w:t>did</w:t>
      </w:r>
      <w:r w:rsidR="00190923" w:rsidRPr="00981405">
        <w:t xml:space="preserve"> </w:t>
      </w:r>
      <w:r w:rsidRPr="00981405">
        <w:t>not</w:t>
      </w:r>
      <w:r w:rsidR="00190923" w:rsidRPr="00981405">
        <w:t xml:space="preserve"> </w:t>
      </w:r>
      <w:r w:rsidRPr="00981405">
        <w:t>include</w:t>
      </w:r>
      <w:r w:rsidR="00190923" w:rsidRPr="00981405">
        <w:t xml:space="preserve"> </w:t>
      </w:r>
      <w:r w:rsidRPr="00981405">
        <w:t>the</w:t>
      </w:r>
      <w:r w:rsidR="00190923" w:rsidRPr="00981405">
        <w:t xml:space="preserve"> </w:t>
      </w:r>
      <w:r w:rsidRPr="00981405">
        <w:t>discriminatory</w:t>
      </w:r>
      <w:r w:rsidR="00190923" w:rsidRPr="00981405">
        <w:t xml:space="preserve"> </w:t>
      </w:r>
      <w:r w:rsidRPr="00981405">
        <w:t>intent</w:t>
      </w:r>
      <w:r w:rsidR="00190923" w:rsidRPr="00981405">
        <w:t xml:space="preserve"> </w:t>
      </w:r>
      <w:r w:rsidRPr="00981405">
        <w:t>language.</w:t>
      </w:r>
      <w:r w:rsidRPr="00981405">
        <w:rPr>
          <w:rStyle w:val="FootnoteReference"/>
        </w:rPr>
        <w:footnoteReference w:id="113"/>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have</w:t>
      </w:r>
      <w:r w:rsidR="00190923" w:rsidRPr="00981405">
        <w:t xml:space="preserve"> </w:t>
      </w:r>
      <w:r w:rsidRPr="00981405">
        <w:t>also</w:t>
      </w:r>
      <w:r w:rsidR="00190923" w:rsidRPr="00981405">
        <w:t xml:space="preserve"> </w:t>
      </w:r>
      <w:r w:rsidRPr="00981405">
        <w:t>been</w:t>
      </w:r>
      <w:r w:rsidR="00190923" w:rsidRPr="00981405">
        <w:t xml:space="preserve"> </w:t>
      </w:r>
      <w:r w:rsidRPr="00981405">
        <w:t>defined</w:t>
      </w:r>
      <w:r w:rsidR="00190923" w:rsidRPr="00981405">
        <w:t xml:space="preserve"> </w:t>
      </w:r>
      <w:r w:rsidRPr="00981405">
        <w:t>in</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hybrid</w:t>
      </w:r>
      <w:r w:rsidR="00190923" w:rsidRPr="00981405">
        <w:t xml:space="preserve"> </w:t>
      </w:r>
      <w:r w:rsidRPr="00981405">
        <w:t>criminal</w:t>
      </w:r>
      <w:r w:rsidR="00190923" w:rsidRPr="00981405">
        <w:t xml:space="preserve"> </w:t>
      </w:r>
      <w:r w:rsidRPr="00981405">
        <w:t>courts</w:t>
      </w:r>
      <w:r w:rsidR="00190923" w:rsidRPr="00981405">
        <w:t xml:space="preserve"> </w:t>
      </w:r>
      <w:r w:rsidRPr="00981405">
        <w:t>or</w:t>
      </w:r>
      <w:r w:rsidR="00190923" w:rsidRPr="00981405">
        <w:t xml:space="preserve"> </w:t>
      </w:r>
      <w:r w:rsidRPr="00981405">
        <w:t>tribunals.</w:t>
      </w:r>
      <w:r w:rsidRPr="00981405">
        <w:rPr>
          <w:rStyle w:val="FootnoteReference"/>
        </w:rPr>
        <w:footnoteReference w:id="114"/>
      </w:r>
    </w:p>
    <w:p w:rsidR="00397032" w:rsidRPr="00981405" w:rsidRDefault="00397032" w:rsidP="00D97463">
      <w:pPr>
        <w:pStyle w:val="SingleTxt"/>
      </w:pPr>
      <w:r w:rsidRPr="00981405">
        <w:t>(7)</w:t>
      </w:r>
      <w:r w:rsidRPr="00981405">
        <w:tab/>
        <w:t>Article</w:t>
      </w:r>
      <w:r w:rsidR="00190923" w:rsidRPr="00981405">
        <w:t xml:space="preserve"> </w:t>
      </w:r>
      <w:r w:rsidRPr="00981405">
        <w:t>5,</w:t>
      </w:r>
      <w:r w:rsidR="00190923" w:rsidRPr="00981405">
        <w:t xml:space="preserve"> </w:t>
      </w:r>
      <w:r w:rsidRPr="00981405">
        <w:t>paragraph</w:t>
      </w:r>
      <w:r w:rsidR="00190923" w:rsidRPr="00981405">
        <w:t xml:space="preserve"> </w:t>
      </w:r>
      <w:r w:rsidRPr="00981405">
        <w:t>1</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includes</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within</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ICC.</w:t>
      </w:r>
      <w:r w:rsidRPr="00981405">
        <w:rPr>
          <w:rStyle w:val="FootnoteReference"/>
        </w:rPr>
        <w:footnoteReference w:id="115"/>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1,</w:t>
      </w:r>
      <w:r w:rsidR="00190923" w:rsidRPr="00981405">
        <w:t xml:space="preserve"> </w:t>
      </w:r>
      <w:r w:rsidRPr="00981405">
        <w:t>defines</w:t>
      </w:r>
      <w:r w:rsidR="00190923" w:rsidRPr="00981405">
        <w:t xml:space="preserve"> </w:t>
      </w:r>
      <w:r w:rsidR="00B92E2C" w:rsidRPr="00981405">
        <w:t>“</w:t>
      </w:r>
      <w:r w:rsidRPr="00981405">
        <w:t>crime</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as</w:t>
      </w:r>
      <w:r w:rsidR="00190923" w:rsidRPr="00981405">
        <w:t xml:space="preserve"> </w:t>
      </w:r>
      <w:r w:rsidRPr="00981405">
        <w:t>any</w:t>
      </w:r>
      <w:r w:rsidR="00190923" w:rsidRPr="00981405">
        <w:t xml:space="preserve"> </w:t>
      </w:r>
      <w:r w:rsidRPr="00981405">
        <w:t>of</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acts</w:t>
      </w:r>
      <w:r w:rsidR="00190923" w:rsidRPr="00981405">
        <w:t xml:space="preserve"> </w:t>
      </w:r>
      <w:r w:rsidR="00B92E2C" w:rsidRPr="00981405">
        <w:t>“</w:t>
      </w:r>
      <w:r w:rsidRPr="00981405">
        <w:t>when</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with</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bookmarkStart w:id="62" w:name="_Ref281303777"/>
      <w:r w:rsidR="00B92E2C" w:rsidRPr="00981405">
        <w:t>”</w:t>
      </w:r>
      <w:r w:rsidRPr="00981405">
        <w:rPr>
          <w:rStyle w:val="FootnoteReference"/>
        </w:rPr>
        <w:footnoteReference w:id="116"/>
      </w:r>
      <w:bookmarkEnd w:id="62"/>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2,</w:t>
      </w:r>
      <w:r w:rsidR="00190923" w:rsidRPr="00981405">
        <w:t xml:space="preserve"> </w:t>
      </w:r>
      <w:r w:rsidRPr="00981405">
        <w:t>contains</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definitions</w:t>
      </w:r>
      <w:r w:rsidR="00190923" w:rsidRPr="00981405">
        <w:t xml:space="preserve"> </w:t>
      </w:r>
      <w:r w:rsidRPr="00981405">
        <w:t>which,</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clarify</w:t>
      </w:r>
      <w:r w:rsidR="00190923" w:rsidRPr="00981405">
        <w:t xml:space="preserve"> </w:t>
      </w:r>
      <w:r w:rsidRPr="00981405">
        <w:t>that</w:t>
      </w:r>
      <w:r w:rsidR="00190923" w:rsidRPr="00981405">
        <w:t xml:space="preserve"> </w:t>
      </w:r>
      <w:r w:rsidRPr="00981405">
        <w:t>an</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00B92E2C" w:rsidRPr="00981405">
        <w:t>“</w:t>
      </w:r>
      <w:r w:rsidRPr="00981405">
        <w:t>means</w:t>
      </w:r>
      <w:r w:rsidR="00190923" w:rsidRPr="00981405">
        <w:t xml:space="preserve"> </w:t>
      </w:r>
      <w:r w:rsidRPr="00981405">
        <w:t>a</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pursuant</w:t>
      </w:r>
      <w:r w:rsidR="00190923" w:rsidRPr="00981405">
        <w:t xml:space="preserve"> </w:t>
      </w:r>
      <w:r w:rsidRPr="00981405">
        <w:t>to</w:t>
      </w:r>
      <w:r w:rsidR="00190923" w:rsidRPr="00981405">
        <w:t xml:space="preserve"> </w:t>
      </w:r>
      <w:r w:rsidRPr="00981405">
        <w:t>or</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attack.</w:t>
      </w:r>
      <w:r w:rsidR="00B92E2C" w:rsidRPr="00981405">
        <w:t>”</w:t>
      </w:r>
      <w:r w:rsidRPr="00981405">
        <w:rPr>
          <w:rStyle w:val="FootnoteReference"/>
        </w:rPr>
        <w:footnoteReference w:id="117"/>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3,</w:t>
      </w:r>
      <w:r w:rsidR="00190923" w:rsidRPr="00981405">
        <w:t xml:space="preserve"> </w:t>
      </w:r>
      <w:r w:rsidRPr="00981405">
        <w:t>provides</w:t>
      </w:r>
      <w:r w:rsidR="00190923" w:rsidRPr="00981405">
        <w:t xml:space="preserve"> </w:t>
      </w:r>
      <w:r w:rsidRPr="00981405">
        <w:t>that</w:t>
      </w:r>
      <w:r w:rsidR="00190923" w:rsidRPr="00981405">
        <w:t xml:space="preserve"> </w:t>
      </w:r>
      <w:r w:rsidR="00B92E2C" w:rsidRPr="00981405">
        <w:t>“</w:t>
      </w:r>
      <w:r w:rsidRPr="00981405">
        <w:t>it</w:t>
      </w:r>
      <w:r w:rsidR="00190923" w:rsidRPr="00981405">
        <w:t xml:space="preserve"> </w:t>
      </w:r>
      <w:r w:rsidRPr="00981405">
        <w:t>is</w:t>
      </w:r>
      <w:r w:rsidR="00190923" w:rsidRPr="00981405">
        <w:t xml:space="preserve"> </w:t>
      </w:r>
      <w:r w:rsidRPr="00981405">
        <w:t>understood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00190923" w:rsidRPr="00981405">
        <w:t xml:space="preserve"> </w:t>
      </w:r>
      <w:r w:rsidRPr="00981405">
        <w:t>refers</w:t>
      </w:r>
      <w:r w:rsidR="00190923" w:rsidRPr="00981405">
        <w:t xml:space="preserve"> </w:t>
      </w:r>
      <w:r w:rsidRPr="00981405">
        <w:t>to</w:t>
      </w:r>
      <w:r w:rsidR="00190923" w:rsidRPr="00981405">
        <w:t xml:space="preserve"> </w:t>
      </w:r>
      <w:r w:rsidRPr="00981405">
        <w:t>the</w:t>
      </w:r>
      <w:r w:rsidR="00190923" w:rsidRPr="00981405">
        <w:t xml:space="preserve"> </w:t>
      </w:r>
      <w:r w:rsidRPr="00981405">
        <w:t>two</w:t>
      </w:r>
      <w:r w:rsidR="00190923" w:rsidRPr="00981405">
        <w:t xml:space="preserve"> </w:t>
      </w:r>
      <w:r w:rsidRPr="00981405">
        <w:t>sexes,</w:t>
      </w:r>
      <w:r w:rsidR="00190923" w:rsidRPr="00981405">
        <w:t xml:space="preserve"> </w:t>
      </w:r>
      <w:r w:rsidRPr="00981405">
        <w:t>male</w:t>
      </w:r>
      <w:r w:rsidR="00190923" w:rsidRPr="00981405">
        <w:t xml:space="preserve"> </w:t>
      </w:r>
      <w:r w:rsidRPr="00981405">
        <w:t>and</w:t>
      </w:r>
      <w:r w:rsidR="00190923" w:rsidRPr="00981405">
        <w:t xml:space="preserve"> </w:t>
      </w:r>
      <w:r w:rsidRPr="00981405">
        <w:t>female,</w:t>
      </w:r>
      <w:r w:rsidR="00190923" w:rsidRPr="00981405">
        <w:t xml:space="preserve"> </w:t>
      </w:r>
      <w:r w:rsidRPr="00981405">
        <w:t>within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society.</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00190923" w:rsidRPr="00981405">
        <w:t xml:space="preserve"> </w:t>
      </w:r>
      <w:r w:rsidRPr="00981405">
        <w:t>does</w:t>
      </w:r>
      <w:r w:rsidR="00190923" w:rsidRPr="00981405">
        <w:t xml:space="preserve"> </w:t>
      </w:r>
      <w:r w:rsidRPr="00981405">
        <w:t>not</w:t>
      </w:r>
      <w:r w:rsidR="00190923" w:rsidRPr="00981405">
        <w:t xml:space="preserve"> </w:t>
      </w:r>
      <w:r w:rsidRPr="00981405">
        <w:t>indicate</w:t>
      </w:r>
      <w:r w:rsidR="00190923" w:rsidRPr="00981405">
        <w:t xml:space="preserve"> </w:t>
      </w:r>
      <w:r w:rsidRPr="00981405">
        <w:t>any</w:t>
      </w:r>
      <w:r w:rsidR="00190923" w:rsidRPr="00981405">
        <w:t xml:space="preserve"> </w:t>
      </w:r>
      <w:r w:rsidRPr="00981405">
        <w:t>meaning</w:t>
      </w:r>
      <w:r w:rsidR="00190923" w:rsidRPr="00981405">
        <w:t xml:space="preserve"> </w:t>
      </w:r>
      <w:r w:rsidRPr="00981405">
        <w:t>different</w:t>
      </w:r>
      <w:r w:rsidR="00190923" w:rsidRPr="00981405">
        <w:t xml:space="preserve"> </w:t>
      </w:r>
      <w:r w:rsidRPr="00981405">
        <w:t>from</w:t>
      </w:r>
      <w:r w:rsidR="00190923" w:rsidRPr="00981405">
        <w:t xml:space="preserve"> </w:t>
      </w:r>
      <w:r w:rsidRPr="00981405">
        <w:t>the</w:t>
      </w:r>
      <w:r w:rsidR="00190923" w:rsidRPr="00981405">
        <w:t xml:space="preserve"> </w:t>
      </w:r>
      <w:r w:rsidRPr="00981405">
        <w:t>above.</w:t>
      </w:r>
      <w:r w:rsidR="00B92E2C" w:rsidRPr="00981405">
        <w:t>”</w:t>
      </w:r>
      <w:r w:rsidRPr="00981405">
        <w:rPr>
          <w:rStyle w:val="FootnoteReference"/>
        </w:rPr>
        <w:footnoteReference w:id="118"/>
      </w:r>
      <w:r w:rsidR="00190923" w:rsidRPr="00981405">
        <w:t xml:space="preserve"> </w:t>
      </w:r>
      <w:r w:rsidRPr="00981405">
        <w:t>Article</w:t>
      </w:r>
      <w:r w:rsidR="00190923" w:rsidRPr="00981405">
        <w:t xml:space="preserve"> </w:t>
      </w:r>
      <w:r w:rsidRPr="00981405">
        <w:t>7</w:t>
      </w:r>
      <w:r w:rsidR="00190923" w:rsidRPr="00981405">
        <w:t xml:space="preserve"> </w:t>
      </w:r>
      <w:r w:rsidRPr="00981405">
        <w:t>does</w:t>
      </w:r>
      <w:r w:rsidR="00190923" w:rsidRPr="00981405">
        <w:t xml:space="preserve"> </w:t>
      </w:r>
      <w:r w:rsidRPr="00981405">
        <w:t>not</w:t>
      </w:r>
      <w:r w:rsidR="00190923" w:rsidRPr="00981405">
        <w:t xml:space="preserve"> </w:t>
      </w:r>
      <w:r w:rsidRPr="00981405">
        <w:t>retain</w:t>
      </w:r>
      <w:r w:rsidR="00190923" w:rsidRPr="00981405">
        <w:t xml:space="preserve"> </w:t>
      </w:r>
      <w:r w:rsidRPr="00981405">
        <w:t>the</w:t>
      </w:r>
      <w:r w:rsidR="00190923" w:rsidRPr="00981405">
        <w:t xml:space="preserve"> </w:t>
      </w:r>
      <w:r w:rsidRPr="00981405">
        <w:t>nexus</w:t>
      </w:r>
      <w:r w:rsidR="00190923" w:rsidRPr="00981405">
        <w:t xml:space="preserve"> </w:t>
      </w:r>
      <w:r w:rsidRPr="00981405">
        <w:t>to</w:t>
      </w:r>
      <w:r w:rsidR="00190923" w:rsidRPr="00981405">
        <w:t xml:space="preserve"> </w:t>
      </w:r>
      <w:r w:rsidRPr="00981405">
        <w:t>an</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that</w:t>
      </w:r>
      <w:r w:rsidR="00190923" w:rsidRPr="00981405">
        <w:t xml:space="preserve"> </w:t>
      </w:r>
      <w:r w:rsidRPr="00981405">
        <w:t>characterized</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nor</w:t>
      </w:r>
      <w:r w:rsidR="00190923" w:rsidRPr="00981405">
        <w:t xml:space="preserve"> </w:t>
      </w:r>
      <w:r w:rsidRPr="00981405">
        <w:t>(except</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acts</w:t>
      </w:r>
      <w:r w:rsidR="00190923" w:rsidRPr="00981405">
        <w:t xml:space="preserve"> </w:t>
      </w:r>
      <w:r w:rsidRPr="00981405">
        <w:t>of</w:t>
      </w:r>
      <w:r w:rsidR="00190923" w:rsidRPr="00981405">
        <w:t xml:space="preserve"> </w:t>
      </w:r>
      <w:r w:rsidRPr="00981405">
        <w:t>persecution)</w:t>
      </w:r>
      <w:r w:rsidRPr="00981405">
        <w:rPr>
          <w:rStyle w:val="FootnoteReference"/>
        </w:rPr>
        <w:footnoteReference w:id="119"/>
      </w:r>
      <w:r w:rsidR="00190923" w:rsidRPr="00981405">
        <w:t xml:space="preserve"> </w:t>
      </w:r>
      <w:r w:rsidRPr="00981405">
        <w:t>the</w:t>
      </w:r>
      <w:r w:rsidR="00190923" w:rsidRPr="00981405">
        <w:t xml:space="preserve"> </w:t>
      </w:r>
      <w:r w:rsidRPr="00981405">
        <w:t>discriminatory</w:t>
      </w:r>
      <w:r w:rsidR="00190923" w:rsidRPr="00981405">
        <w:t xml:space="preserve"> </w:t>
      </w:r>
      <w:r w:rsidRPr="00981405">
        <w:t>intent</w:t>
      </w:r>
      <w:r w:rsidR="00190923" w:rsidRPr="00981405">
        <w:t xml:space="preserve"> </w:t>
      </w:r>
      <w:r w:rsidRPr="00981405">
        <w:t>requirement</w:t>
      </w:r>
      <w:r w:rsidR="00190923" w:rsidRPr="00981405">
        <w:t xml:space="preserve"> </w:t>
      </w:r>
      <w:r w:rsidRPr="00981405">
        <w:t>that</w:t>
      </w:r>
      <w:r w:rsidR="00190923" w:rsidRPr="00981405">
        <w:t xml:space="preserve"> </w:t>
      </w:r>
      <w:r w:rsidRPr="00981405">
        <w:t>characterized</w:t>
      </w:r>
      <w:r w:rsidR="00190923" w:rsidRPr="00981405">
        <w:t xml:space="preserve"> </w:t>
      </w:r>
      <w:r w:rsidRPr="00981405">
        <w:t>the</w:t>
      </w:r>
      <w:r w:rsidR="00190923" w:rsidRPr="00981405">
        <w:t xml:space="preserve"> </w:t>
      </w:r>
      <w:r w:rsidRPr="00981405">
        <w:t>ICTR</w:t>
      </w:r>
      <w:r w:rsidR="00190923" w:rsidRPr="00981405">
        <w:t xml:space="preserve"> </w:t>
      </w:r>
      <w:r w:rsidRPr="00981405">
        <w:t>Statute.</w:t>
      </w:r>
    </w:p>
    <w:p w:rsidR="00397032" w:rsidRPr="00981405" w:rsidRDefault="00397032" w:rsidP="00D97463">
      <w:pPr>
        <w:pStyle w:val="SingleTxt"/>
      </w:pPr>
      <w:r w:rsidRPr="00981405">
        <w:t>(8)</w:t>
      </w:r>
      <w:r w:rsidRPr="00981405">
        <w:tab/>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crime</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has</w:t>
      </w:r>
      <w:r w:rsidR="00190923" w:rsidRPr="00981405">
        <w:t xml:space="preserve"> </w:t>
      </w:r>
      <w:r w:rsidRPr="00981405">
        <w:t>been</w:t>
      </w:r>
      <w:r w:rsidR="00190923" w:rsidRPr="00981405">
        <w:t xml:space="preserve"> </w:t>
      </w:r>
      <w:r w:rsidRPr="00981405">
        <w:t>accepted</w:t>
      </w:r>
      <w:r w:rsidR="00190923" w:rsidRPr="00981405">
        <w:t xml:space="preserve"> </w:t>
      </w:r>
      <w:r w:rsidRPr="00981405">
        <w:t>by</w:t>
      </w:r>
      <w:r w:rsidR="00190923" w:rsidRPr="00981405">
        <w:t xml:space="preserve"> </w:t>
      </w:r>
      <w:r w:rsidRPr="00981405">
        <w:t>the</w:t>
      </w:r>
      <w:r w:rsidR="00190923" w:rsidRPr="00981405">
        <w:t xml:space="preserve"> </w:t>
      </w:r>
      <w:r w:rsidRPr="00981405">
        <w:t>more</w:t>
      </w:r>
      <w:r w:rsidR="00190923" w:rsidRPr="00981405">
        <w:t xml:space="preserve"> </w:t>
      </w:r>
      <w:r w:rsidRPr="00981405">
        <w:t>than</w:t>
      </w:r>
      <w:r w:rsidR="00190923" w:rsidRPr="00981405">
        <w:t xml:space="preserve"> </w:t>
      </w:r>
      <w:r w:rsidRPr="00981405">
        <w:t>120</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and</w:t>
      </w:r>
      <w:r w:rsidR="00190923" w:rsidRPr="00981405">
        <w:t xml:space="preserve"> </w:t>
      </w:r>
      <w:r w:rsidRPr="00981405">
        <w:t>is</w:t>
      </w:r>
      <w:r w:rsidR="00190923" w:rsidRPr="00981405">
        <w:t xml:space="preserve"> </w:t>
      </w:r>
      <w:r w:rsidRPr="00981405">
        <w:t>now</w:t>
      </w:r>
      <w:r w:rsidR="00190923" w:rsidRPr="00981405">
        <w:t xml:space="preserve"> </w:t>
      </w:r>
      <w:r w:rsidRPr="00981405">
        <w:t>being</w:t>
      </w:r>
      <w:r w:rsidR="00190923" w:rsidRPr="00981405">
        <w:t xml:space="preserve"> </w:t>
      </w:r>
      <w:r w:rsidRPr="00981405">
        <w:t>used</w:t>
      </w:r>
      <w:r w:rsidR="00190923" w:rsidRPr="00981405">
        <w:t xml:space="preserve"> </w:t>
      </w:r>
      <w:r w:rsidRPr="00981405">
        <w:t>by</w:t>
      </w:r>
      <w:r w:rsidR="00190923" w:rsidRPr="00981405">
        <w:t xml:space="preserve"> </w:t>
      </w:r>
      <w:r w:rsidRPr="00981405">
        <w:t>many</w:t>
      </w:r>
      <w:r w:rsidR="00190923" w:rsidRPr="00981405">
        <w:t xml:space="preserve"> </w:t>
      </w:r>
      <w:r w:rsidRPr="00981405">
        <w:t>States</w:t>
      </w:r>
      <w:r w:rsidR="00190923" w:rsidRPr="00981405">
        <w:t xml:space="preserve"> </w:t>
      </w:r>
      <w:r w:rsidRPr="00981405">
        <w:t>when</w:t>
      </w:r>
      <w:r w:rsidR="00190923" w:rsidRPr="00981405">
        <w:t xml:space="preserve"> </w:t>
      </w:r>
      <w:r w:rsidRPr="00981405">
        <w:t>adopting</w:t>
      </w:r>
      <w:r w:rsidR="00190923" w:rsidRPr="00981405">
        <w:t xml:space="preserve"> </w:t>
      </w:r>
      <w:r w:rsidRPr="00981405">
        <w:t>or</w:t>
      </w:r>
      <w:r w:rsidR="00190923" w:rsidRPr="00981405">
        <w:t xml:space="preserve"> </w:t>
      </w:r>
      <w:r w:rsidRPr="00981405">
        <w:t>amending</w:t>
      </w:r>
      <w:r w:rsidR="00190923" w:rsidRPr="00981405">
        <w:t xml:space="preserve"> </w:t>
      </w:r>
      <w:r w:rsidRPr="00981405">
        <w:t>their</w:t>
      </w:r>
      <w:r w:rsidR="00190923" w:rsidRPr="00981405">
        <w:t xml:space="preserve"> </w:t>
      </w:r>
      <w:r w:rsidRPr="00981405">
        <w:t>national</w:t>
      </w:r>
      <w:r w:rsidR="00190923" w:rsidRPr="00981405">
        <w:t xml:space="preserve"> </w:t>
      </w:r>
      <w:r w:rsidRPr="00981405">
        <w:t>laws.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as</w:t>
      </w:r>
      <w:r w:rsidR="00190923" w:rsidRPr="00981405">
        <w:t xml:space="preserve"> </w:t>
      </w:r>
      <w:r w:rsidRPr="00981405">
        <w:t>an</w:t>
      </w:r>
      <w:r w:rsidR="00190923" w:rsidRPr="00981405">
        <w:t xml:space="preserve"> </w:t>
      </w:r>
      <w:r w:rsidRPr="00981405">
        <w:t>appropriate</w:t>
      </w:r>
      <w:r w:rsidR="00190923" w:rsidRPr="00981405">
        <w:t xml:space="preserve"> </w:t>
      </w:r>
      <w:r w:rsidRPr="00981405">
        <w:t>basis</w:t>
      </w:r>
      <w:r w:rsidR="00190923" w:rsidRPr="00981405">
        <w:t xml:space="preserve"> </w:t>
      </w:r>
      <w:r w:rsidRPr="00981405">
        <w:t>for</w:t>
      </w:r>
      <w:r w:rsidR="00190923" w:rsidRPr="00981405">
        <w:t xml:space="preserve"> </w:t>
      </w:r>
      <w:r w:rsidRPr="00981405">
        <w:t>defining</w:t>
      </w:r>
      <w:r w:rsidR="00190923" w:rsidRPr="00981405">
        <w:t xml:space="preserve"> </w:t>
      </w:r>
      <w:r w:rsidRPr="00981405">
        <w:t>such</w:t>
      </w:r>
      <w:r w:rsidR="00190923" w:rsidRPr="00981405">
        <w:t xml:space="preserve"> </w:t>
      </w:r>
      <w:r w:rsidRPr="00981405">
        <w:t>crimes</w:t>
      </w:r>
      <w:r w:rsidR="00190923" w:rsidRPr="00981405">
        <w:t xml:space="preserve"> </w:t>
      </w:r>
      <w:r w:rsidRPr="00981405">
        <w:t>in</w:t>
      </w:r>
      <w:r w:rsidR="00190923" w:rsidRPr="00981405">
        <w:t xml:space="preserve"> </w:t>
      </w:r>
      <w:r w:rsidRPr="00981405">
        <w:t>paragraphs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Indeed,</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Article</w:t>
      </w:r>
      <w:r w:rsidR="00190923" w:rsidRPr="00981405">
        <w:t xml:space="preserve"> </w:t>
      </w:r>
      <w:r w:rsidRPr="00981405">
        <w:t>7</w:t>
      </w:r>
      <w:r w:rsidR="00190923" w:rsidRPr="00981405">
        <w:t xml:space="preserve"> </w:t>
      </w:r>
      <w:r w:rsidRPr="00981405">
        <w:t>is</w:t>
      </w:r>
      <w:r w:rsidR="00190923" w:rsidRPr="00981405">
        <w:t xml:space="preserve"> </w:t>
      </w:r>
      <w:r w:rsidRPr="00981405">
        <w:t>used</w:t>
      </w:r>
      <w:r w:rsidR="00190923" w:rsidRPr="00981405">
        <w:t xml:space="preserve"> </w:t>
      </w:r>
      <w:r w:rsidRPr="00981405">
        <w:t>verbatim</w:t>
      </w:r>
      <w:r w:rsidR="00190923" w:rsidRPr="00981405">
        <w:t xml:space="preserve"> </w:t>
      </w:r>
      <w:r w:rsidRPr="00981405">
        <w:lastRenderedPageBreak/>
        <w:t>except</w:t>
      </w:r>
      <w:r w:rsidR="00190923" w:rsidRPr="00981405">
        <w:t xml:space="preserve"> </w:t>
      </w:r>
      <w:r w:rsidRPr="00981405">
        <w:t>for</w:t>
      </w:r>
      <w:r w:rsidR="00190923" w:rsidRPr="00981405">
        <w:t xml:space="preserve"> </w:t>
      </w:r>
      <w:r w:rsidRPr="00981405">
        <w:t>three</w:t>
      </w:r>
      <w:r w:rsidR="00190923" w:rsidRPr="00981405">
        <w:t xml:space="preserve"> </w:t>
      </w:r>
      <w:r w:rsidRPr="00981405">
        <w:t>non-substantive</w:t>
      </w:r>
      <w:r w:rsidR="00190923" w:rsidRPr="00981405">
        <w:t xml:space="preserve"> </w:t>
      </w:r>
      <w:r w:rsidRPr="00981405">
        <w:t>changes,</w:t>
      </w:r>
      <w:r w:rsidR="00190923" w:rsidRPr="00981405">
        <w:t xml:space="preserve"> </w:t>
      </w:r>
      <w:r w:rsidRPr="00981405">
        <w:t>which</w:t>
      </w:r>
      <w:r w:rsidR="00190923" w:rsidRPr="00981405">
        <w:t xml:space="preserve"> </w:t>
      </w:r>
      <w:r w:rsidRPr="00981405">
        <w:t>are</w:t>
      </w:r>
      <w:r w:rsidR="00190923" w:rsidRPr="00981405">
        <w:t xml:space="preserve"> </w:t>
      </w:r>
      <w:r w:rsidRPr="00981405">
        <w:t>necessary</w:t>
      </w:r>
      <w:r w:rsidR="00190923" w:rsidRPr="00981405">
        <w:t xml:space="preserve"> </w:t>
      </w:r>
      <w:r w:rsidRPr="00981405">
        <w:t>given</w:t>
      </w:r>
      <w:r w:rsidR="00190923" w:rsidRPr="00981405">
        <w:t xml:space="preserve"> </w:t>
      </w:r>
      <w:r w:rsidRPr="00981405">
        <w:t>the</w:t>
      </w:r>
      <w:r w:rsidR="00190923" w:rsidRPr="00981405">
        <w:t xml:space="preserve"> </w:t>
      </w:r>
      <w:r w:rsidRPr="00981405">
        <w:t>different</w:t>
      </w:r>
      <w:r w:rsidR="00190923" w:rsidRPr="00981405">
        <w:t xml:space="preserve"> </w:t>
      </w:r>
      <w:r w:rsidRPr="00981405">
        <w:t>context</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is</w:t>
      </w:r>
      <w:r w:rsidR="00190923" w:rsidRPr="00981405">
        <w:t xml:space="preserve"> </w:t>
      </w:r>
      <w:r w:rsidRPr="00981405">
        <w:t>being</w:t>
      </w:r>
      <w:r w:rsidR="00190923" w:rsidRPr="00981405">
        <w:t xml:space="preserve"> </w:t>
      </w:r>
      <w:r w:rsidRPr="00981405">
        <w:t>used.</w:t>
      </w:r>
      <w:r w:rsidR="00190923" w:rsidRPr="00981405">
        <w:t xml:space="preserve"> </w:t>
      </w:r>
      <w:r w:rsidRPr="00981405">
        <w:t>First,</w:t>
      </w:r>
      <w:r w:rsidR="00190923" w:rsidRPr="00981405">
        <w:t xml:space="preserve"> </w:t>
      </w:r>
      <w:r w:rsidRPr="00981405">
        <w:t>the</w:t>
      </w:r>
      <w:r w:rsidR="00190923" w:rsidRPr="00981405">
        <w:t xml:space="preserve"> </w:t>
      </w:r>
      <w:r w:rsidRPr="00981405">
        <w:t>opening</w:t>
      </w:r>
      <w:r w:rsidR="00190923" w:rsidRPr="00981405">
        <w:t xml:space="preserve"> </w:t>
      </w:r>
      <w:r w:rsidRPr="00981405">
        <w:t>phrase</w:t>
      </w:r>
      <w:r w:rsidR="00190923" w:rsidRPr="00981405">
        <w:t xml:space="preserve"> </w:t>
      </w:r>
      <w:r w:rsidRPr="00981405">
        <w:t>of</w:t>
      </w:r>
      <w:r w:rsidR="00190923" w:rsidRPr="00981405">
        <w:t xml:space="preserve"> </w:t>
      </w:r>
      <w:r w:rsidRPr="00981405">
        <w:t>paragraph</w:t>
      </w:r>
      <w:r w:rsidR="00190923" w:rsidRPr="00981405">
        <w:t xml:space="preserve"> </w:t>
      </w:r>
      <w:r w:rsidRPr="00981405">
        <w:t>1</w:t>
      </w:r>
      <w:r w:rsidR="00190923" w:rsidRPr="00981405">
        <w:t xml:space="preserve"> </w:t>
      </w:r>
      <w:r w:rsidRPr="00981405">
        <w:t>reads</w:t>
      </w:r>
      <w:r w:rsidR="00190923" w:rsidRPr="00981405">
        <w:t xml:space="preserve"> </w:t>
      </w:r>
      <w:r w:rsidR="00B92E2C" w:rsidRPr="00981405">
        <w:t>“</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B92E2C" w:rsidRPr="00981405">
        <w:t>”</w:t>
      </w:r>
      <w:r w:rsidR="00190923" w:rsidRPr="00981405">
        <w:t xml:space="preserve"> </w:t>
      </w:r>
      <w:r w:rsidRPr="00981405">
        <w:t>rather</w:t>
      </w:r>
      <w:r w:rsidR="00190923" w:rsidRPr="00981405">
        <w:t xml:space="preserve"> </w:t>
      </w:r>
      <w:r w:rsidRPr="00981405">
        <w:t>than</w:t>
      </w:r>
      <w:r w:rsidR="00190923" w:rsidRPr="00981405">
        <w:t xml:space="preserve"> </w:t>
      </w:r>
      <w:r w:rsidR="00B92E2C" w:rsidRPr="00981405">
        <w:t>“</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this</w:t>
      </w:r>
      <w:r w:rsidR="00190923" w:rsidRPr="00981405">
        <w:t xml:space="preserve"> </w:t>
      </w:r>
      <w:r w:rsidRPr="00981405">
        <w:t>Statute.</w:t>
      </w:r>
      <w:r w:rsidR="00B92E2C" w:rsidRPr="00981405">
        <w:t>”</w:t>
      </w:r>
      <w:r w:rsidR="00190923" w:rsidRPr="00981405">
        <w:t xml:space="preserve"> </w:t>
      </w:r>
      <w:r w:rsidRPr="00981405">
        <w:t>Second,</w:t>
      </w:r>
      <w:r w:rsidR="00190923" w:rsidRPr="00981405">
        <w:t xml:space="preserve"> </w:t>
      </w:r>
      <w:r w:rsidRPr="00981405">
        <w:t>the</w:t>
      </w:r>
      <w:r w:rsidR="00190923" w:rsidRPr="00981405">
        <w:t xml:space="preserve"> </w:t>
      </w:r>
      <w:r w:rsidRPr="00981405">
        <w:t>same</w:t>
      </w:r>
      <w:r w:rsidR="00190923" w:rsidRPr="00981405">
        <w:t xml:space="preserve"> </w:t>
      </w:r>
      <w:r w:rsidRPr="00981405">
        <w:t>change</w:t>
      </w:r>
      <w:r w:rsidR="00190923" w:rsidRPr="00981405">
        <w:t xml:space="preserve"> </w:t>
      </w:r>
      <w:r w:rsidRPr="00981405">
        <w:t>has</w:t>
      </w:r>
      <w:r w:rsidR="00190923" w:rsidRPr="00981405">
        <w:t xml:space="preserve"> </w:t>
      </w:r>
      <w:r w:rsidRPr="00981405">
        <w:t>been</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opening</w:t>
      </w:r>
      <w:r w:rsidR="00190923" w:rsidRPr="00981405">
        <w:t xml:space="preserve"> </w:t>
      </w:r>
      <w:r w:rsidRPr="00981405">
        <w:t>phrase</w:t>
      </w:r>
      <w:r w:rsidR="00190923" w:rsidRPr="00981405">
        <w:t xml:space="preserve"> </w:t>
      </w:r>
      <w:r w:rsidRPr="00981405">
        <w:t>of</w:t>
      </w:r>
      <w:r w:rsidR="00190923" w:rsidRPr="00981405">
        <w:t xml:space="preserve"> </w:t>
      </w:r>
      <w:r w:rsidRPr="00981405">
        <w:t>paragraph</w:t>
      </w:r>
      <w:r w:rsidR="00190923" w:rsidRPr="00981405">
        <w:t xml:space="preserve"> </w:t>
      </w:r>
      <w:r w:rsidRPr="00981405">
        <w:t>3.</w:t>
      </w:r>
      <w:r w:rsidR="00190923" w:rsidRPr="00981405">
        <w:t xml:space="preserve"> </w:t>
      </w:r>
      <w:r w:rsidRPr="00981405">
        <w:t>Third,</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1</w:t>
      </w:r>
      <w:r w:rsidR="00190923" w:rsidRPr="00981405">
        <w:t xml:space="preserve"> </w:t>
      </w:r>
      <w:r w:rsidRPr="00981405">
        <w:t>(h),</w:t>
      </w:r>
      <w:r w:rsidR="00190923" w:rsidRPr="00981405">
        <w:t xml:space="preserve"> </w:t>
      </w:r>
      <w:r w:rsidRPr="00981405">
        <w:t>criminalizes</w:t>
      </w:r>
      <w:r w:rsidR="00190923" w:rsidRPr="00981405">
        <w:t xml:space="preserve"> </w:t>
      </w:r>
      <w:r w:rsidRPr="00981405">
        <w:t>acts</w:t>
      </w:r>
      <w:r w:rsidR="00190923" w:rsidRPr="00981405">
        <w:t xml:space="preserve"> </w:t>
      </w:r>
      <w:r w:rsidRPr="00981405">
        <w:t>of</w:t>
      </w:r>
      <w:r w:rsidR="00190923" w:rsidRPr="00981405">
        <w:t xml:space="preserve"> </w:t>
      </w:r>
      <w:r w:rsidRPr="00981405">
        <w:t>persecution</w:t>
      </w:r>
      <w:r w:rsidR="00190923" w:rsidRPr="00981405">
        <w:t xml:space="preserve"> </w:t>
      </w:r>
      <w:r w:rsidRPr="00981405">
        <w:t>when</w:t>
      </w:r>
      <w:r w:rsidR="00190923" w:rsidRPr="00981405">
        <w:t xml:space="preserve"> </w:t>
      </w:r>
      <w:r w:rsidRPr="00981405">
        <w:t>undertaken</w:t>
      </w:r>
      <w:r w:rsidR="00190923" w:rsidRPr="00981405">
        <w:t xml:space="preserve"> </w:t>
      </w:r>
      <w:r w:rsidR="00B92E2C" w:rsidRPr="00981405">
        <w:t>“</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any</w:t>
      </w:r>
      <w:r w:rsidR="00190923" w:rsidRPr="00981405">
        <w:t xml:space="preserve"> </w:t>
      </w:r>
      <w:r w:rsidRPr="00981405">
        <w:t>act</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this</w:t>
      </w:r>
      <w:r w:rsidR="00190923" w:rsidRPr="00981405">
        <w:t xml:space="preserve"> </w:t>
      </w:r>
      <w:r w:rsidRPr="00981405">
        <w:t>paragraph</w:t>
      </w:r>
      <w:r w:rsidR="00190923" w:rsidRPr="00981405">
        <w:t xml:space="preserve"> </w:t>
      </w:r>
      <w:r w:rsidRPr="00981405">
        <w:t>or</w:t>
      </w:r>
      <w:r w:rsidR="00190923" w:rsidRPr="00981405">
        <w:t xml:space="preserve"> </w:t>
      </w:r>
      <w:r w:rsidRPr="00981405">
        <w:t>any</w:t>
      </w:r>
      <w:r w:rsidR="00190923" w:rsidRPr="00981405">
        <w:t xml:space="preserve"> </w:t>
      </w:r>
      <w:r w:rsidRPr="00981405">
        <w:t>crime</w:t>
      </w:r>
      <w:r w:rsidR="00190923" w:rsidRPr="00981405">
        <w:t xml:space="preserve"> </w:t>
      </w:r>
      <w:r w:rsidRPr="00981405">
        <w:t>within</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Court.</w:t>
      </w:r>
      <w:r w:rsidR="00B92E2C" w:rsidRPr="00981405">
        <w:t>”</w:t>
      </w:r>
      <w:r w:rsidR="00190923" w:rsidRPr="00981405">
        <w:t xml:space="preserve"> </w:t>
      </w:r>
      <w:r w:rsidRPr="00981405">
        <w:t>Again,</w:t>
      </w:r>
      <w:r w:rsidR="00190923" w:rsidRPr="00981405">
        <w:t xml:space="preserve"> </w:t>
      </w:r>
      <w:r w:rsidRPr="00981405">
        <w:t>to</w:t>
      </w:r>
      <w:r w:rsidR="00190923" w:rsidRPr="00981405">
        <w:t xml:space="preserve"> </w:t>
      </w:r>
      <w:r w:rsidRPr="00981405">
        <w:t>adapt</w:t>
      </w:r>
      <w:r w:rsidR="00190923" w:rsidRPr="00981405">
        <w:t xml:space="preserve"> </w:t>
      </w:r>
      <w:r w:rsidRPr="00981405">
        <w:t>to</w:t>
      </w:r>
      <w:r w:rsidR="00190923" w:rsidRPr="00981405">
        <w:t xml:space="preserve"> </w:t>
      </w:r>
      <w:r w:rsidRPr="00981405">
        <w:t>the</w:t>
      </w:r>
      <w:r w:rsidR="00190923" w:rsidRPr="00981405">
        <w:t xml:space="preserve"> </w:t>
      </w:r>
      <w:r w:rsidRPr="00981405">
        <w:t>different</w:t>
      </w:r>
      <w:r w:rsidR="00190923" w:rsidRPr="00981405">
        <w:t xml:space="preserve"> </w:t>
      </w:r>
      <w:r w:rsidRPr="00981405">
        <w:t>context,</w:t>
      </w:r>
      <w:r w:rsidR="00190923" w:rsidRPr="00981405">
        <w:t xml:space="preserve"> </w:t>
      </w:r>
      <w:r w:rsidRPr="00981405">
        <w:t>this</w:t>
      </w:r>
      <w:r w:rsidR="00190923" w:rsidRPr="00981405">
        <w:t xml:space="preserve"> </w:t>
      </w:r>
      <w:r w:rsidRPr="00981405">
        <w:t>phrase</w:t>
      </w:r>
      <w:r w:rsidR="00190923" w:rsidRPr="00981405">
        <w:t xml:space="preserve"> </w:t>
      </w:r>
      <w:r w:rsidRPr="00981405">
        <w:t>reads</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as</w:t>
      </w:r>
      <w:r w:rsidR="00190923" w:rsidRPr="00981405">
        <w:t xml:space="preserve"> </w:t>
      </w:r>
      <w:r w:rsidR="00B92E2C" w:rsidRPr="00981405">
        <w:t>“</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any</w:t>
      </w:r>
      <w:r w:rsidR="00190923" w:rsidRPr="00981405">
        <w:t xml:space="preserve"> </w:t>
      </w:r>
      <w:r w:rsidRPr="00981405">
        <w:t>act</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this</w:t>
      </w:r>
      <w:r w:rsidR="00190923" w:rsidRPr="00981405">
        <w:t xml:space="preserve"> </w:t>
      </w:r>
      <w:r w:rsidRPr="00981405">
        <w:t>paragraph</w:t>
      </w:r>
      <w:r w:rsidR="00190923" w:rsidRPr="00981405">
        <w:t xml:space="preserve"> </w:t>
      </w:r>
      <w:r w:rsidRPr="00981405">
        <w:t>or</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genocide</w:t>
      </w:r>
      <w:r w:rsidR="00190923" w:rsidRPr="00981405">
        <w:t xml:space="preserve"> </w:t>
      </w:r>
      <w:r w:rsidRPr="00981405">
        <w:t>or</w:t>
      </w:r>
      <w:r w:rsidR="00190923" w:rsidRPr="00981405">
        <w:t xml:space="preserve"> </w:t>
      </w:r>
      <w:r w:rsidRPr="00981405">
        <w:t>war</w:t>
      </w:r>
      <w:r w:rsidR="00190923" w:rsidRPr="00981405">
        <w:t xml:space="preserve"> </w:t>
      </w:r>
      <w:r w:rsidRPr="00981405">
        <w:t>crimes.</w:t>
      </w:r>
      <w:r w:rsidR="00B92E2C" w:rsidRPr="00981405">
        <w:t>”</w:t>
      </w:r>
      <w:r w:rsidR="00190923" w:rsidRPr="00981405">
        <w:t xml:space="preserve"> </w:t>
      </w:r>
      <w:r w:rsidRPr="00981405">
        <w:t>In</w:t>
      </w:r>
      <w:r w:rsidR="00190923" w:rsidRPr="00981405">
        <w:t xml:space="preserve"> </w:t>
      </w:r>
      <w:r w:rsidRPr="00981405">
        <w:t>due</w:t>
      </w:r>
      <w:r w:rsidR="00190923" w:rsidRPr="00981405">
        <w:t xml:space="preserve"> </w:t>
      </w:r>
      <w:r w:rsidRPr="00981405">
        <w:t>course,</w:t>
      </w:r>
      <w:r w:rsidR="00190923" w:rsidRPr="00981405">
        <w:t xml:space="preserve"> </w:t>
      </w:r>
      <w:r w:rsidRPr="00981405">
        <w:t>the</w:t>
      </w:r>
      <w:r w:rsidR="00190923" w:rsidRPr="00981405">
        <w:t xml:space="preserve"> </w:t>
      </w:r>
      <w:r w:rsidRPr="00981405">
        <w:t>ICC</w:t>
      </w:r>
      <w:r w:rsidR="00190923" w:rsidRPr="00981405">
        <w:t xml:space="preserve"> </w:t>
      </w:r>
      <w:r w:rsidRPr="00981405">
        <w:t>may</w:t>
      </w:r>
      <w:r w:rsidR="00190923" w:rsidRPr="00981405">
        <w:t xml:space="preserve"> </w:t>
      </w:r>
      <w:r w:rsidRPr="00981405">
        <w:t>exercise</w:t>
      </w:r>
      <w:r w:rsidR="00190923" w:rsidRPr="00981405">
        <w:t xml:space="preserve"> </w:t>
      </w:r>
      <w:r w:rsidRPr="00981405">
        <w:t>its</w:t>
      </w:r>
      <w:r w:rsidR="00190923" w:rsidRPr="00981405">
        <w:t xml:space="preserve"> </w:t>
      </w:r>
      <w:r w:rsidRPr="00981405">
        <w:t>jurisdiction</w:t>
      </w:r>
      <w:r w:rsidR="00190923" w:rsidRPr="00981405">
        <w:t xml:space="preserve"> </w:t>
      </w:r>
      <w:r w:rsidRPr="00981405">
        <w:t>over</w:t>
      </w:r>
      <w:r w:rsidR="00190923" w:rsidRPr="00981405">
        <w:t xml:space="preserve"> </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aggression</w:t>
      </w:r>
      <w:r w:rsidR="00190923" w:rsidRPr="00981405">
        <w:t xml:space="preserve"> </w:t>
      </w:r>
      <w:r w:rsidRPr="00981405">
        <w:t>when</w:t>
      </w:r>
      <w:r w:rsidR="00190923" w:rsidRPr="00981405">
        <w:t xml:space="preserve"> </w:t>
      </w:r>
      <w:r w:rsidRPr="00981405">
        <w:t>the</w:t>
      </w:r>
      <w:r w:rsidR="00190923" w:rsidRPr="00981405">
        <w:t xml:space="preserve"> </w:t>
      </w:r>
      <w:r w:rsidRPr="00981405">
        <w:t>requirements</w:t>
      </w:r>
      <w:r w:rsidR="00190923" w:rsidRPr="00981405">
        <w:t xml:space="preserve"> </w:t>
      </w:r>
      <w:r w:rsidRPr="00981405">
        <w:t>established</w:t>
      </w:r>
      <w:r w:rsidR="00190923" w:rsidRPr="00981405">
        <w:t xml:space="preserve"> </w:t>
      </w:r>
      <w:r w:rsidRPr="00981405">
        <w:t>at</w:t>
      </w:r>
      <w:r w:rsidR="00190923" w:rsidRPr="00981405">
        <w:t xml:space="preserve"> </w:t>
      </w:r>
      <w:r w:rsidRPr="00981405">
        <w:t>the</w:t>
      </w:r>
      <w:r w:rsidR="00190923" w:rsidRPr="00981405">
        <w:t xml:space="preserve"> </w:t>
      </w:r>
      <w:r w:rsidRPr="00981405">
        <w:t>Kampala</w:t>
      </w:r>
      <w:r w:rsidR="00190923" w:rsidRPr="00981405">
        <w:t xml:space="preserve"> </w:t>
      </w:r>
      <w:r w:rsidRPr="00981405">
        <w:t>Conference</w:t>
      </w:r>
      <w:r w:rsidR="00190923" w:rsidRPr="00981405">
        <w:t xml:space="preserve"> </w:t>
      </w:r>
      <w:r w:rsidRPr="00981405">
        <w:t>are</w:t>
      </w:r>
      <w:r w:rsidR="00190923" w:rsidRPr="00981405">
        <w:t xml:space="preserve"> </w:t>
      </w:r>
      <w:r w:rsidRPr="00981405">
        <w:t>met,</w:t>
      </w:r>
      <w:r w:rsidR="00190923" w:rsidRPr="00981405">
        <w:t xml:space="preserve"> </w:t>
      </w:r>
      <w:r w:rsidRPr="00981405">
        <w:t>in</w:t>
      </w:r>
      <w:r w:rsidR="00190923" w:rsidRPr="00981405">
        <w:t xml:space="preserve"> </w:t>
      </w:r>
      <w:r w:rsidRPr="00981405">
        <w:t>which</w:t>
      </w:r>
      <w:r w:rsidR="00190923" w:rsidRPr="00981405">
        <w:t xml:space="preserve"> </w:t>
      </w:r>
      <w:r w:rsidRPr="00981405">
        <w:t>case</w:t>
      </w:r>
      <w:r w:rsidR="00190923" w:rsidRPr="00981405">
        <w:t xml:space="preserve"> </w:t>
      </w:r>
      <w:r w:rsidRPr="00981405">
        <w:t>this</w:t>
      </w:r>
      <w:r w:rsidR="00190923" w:rsidRPr="00981405">
        <w:t xml:space="preserve"> </w:t>
      </w:r>
      <w:r w:rsidRPr="00981405">
        <w:t>paragraph</w:t>
      </w:r>
      <w:r w:rsidR="00190923" w:rsidRPr="00981405">
        <w:t xml:space="preserve"> </w:t>
      </w:r>
      <w:r w:rsidRPr="00981405">
        <w:t>may</w:t>
      </w:r>
      <w:r w:rsidR="00190923" w:rsidRPr="00981405">
        <w:t xml:space="preserve"> </w:t>
      </w:r>
      <w:r w:rsidRPr="00981405">
        <w:t>need</w:t>
      </w:r>
      <w:r w:rsidR="00190923" w:rsidRPr="00981405">
        <w:t xml:space="preserve"> </w:t>
      </w:r>
      <w:r w:rsidRPr="00981405">
        <w:t>to</w:t>
      </w:r>
      <w:r w:rsidR="00190923" w:rsidRPr="00981405">
        <w:t xml:space="preserve"> </w:t>
      </w:r>
      <w:r w:rsidRPr="00981405">
        <w:t>be</w:t>
      </w:r>
      <w:r w:rsidR="00190923" w:rsidRPr="00981405">
        <w:t xml:space="preserve"> </w:t>
      </w:r>
      <w:r w:rsidRPr="00981405">
        <w:t>revisited.</w:t>
      </w:r>
    </w:p>
    <w:p w:rsidR="00397032" w:rsidRPr="00D97463" w:rsidRDefault="00397032" w:rsidP="00D97463">
      <w:pPr>
        <w:pStyle w:val="SingleTxt"/>
        <w:rPr>
          <w:i/>
          <w:iCs/>
        </w:rPr>
      </w:pPr>
      <w:r w:rsidRPr="00D97463">
        <w:rPr>
          <w:i/>
          <w:iCs/>
        </w:rPr>
        <w:tab/>
        <w:t>Paragraphs</w:t>
      </w:r>
      <w:r w:rsidR="00190923" w:rsidRPr="00981405">
        <w:rPr>
          <w:i/>
          <w:iCs/>
        </w:rPr>
        <w:t xml:space="preserve"> </w:t>
      </w:r>
      <w:r w:rsidRPr="00D97463">
        <w:rPr>
          <w:i/>
          <w:iCs/>
        </w:rPr>
        <w:t>1</w:t>
      </w:r>
      <w:r w:rsidR="00190923" w:rsidRPr="00981405">
        <w:rPr>
          <w:i/>
          <w:iCs/>
        </w:rPr>
        <w:t xml:space="preserve"> </w:t>
      </w:r>
      <w:r w:rsidRPr="00D97463">
        <w:rPr>
          <w:i/>
          <w:iCs/>
        </w:rPr>
        <w:t>to</w:t>
      </w:r>
      <w:r w:rsidR="00190923" w:rsidRPr="00981405">
        <w:rPr>
          <w:i/>
          <w:iCs/>
        </w:rPr>
        <w:t xml:space="preserve"> </w:t>
      </w:r>
      <w:r w:rsidRPr="00D97463">
        <w:rPr>
          <w:i/>
          <w:iCs/>
        </w:rPr>
        <w:t>3</w:t>
      </w:r>
    </w:p>
    <w:p w:rsidR="00397032" w:rsidRPr="00981405" w:rsidRDefault="00397032" w:rsidP="00D97463">
      <w:pPr>
        <w:pStyle w:val="SingleTxt"/>
      </w:pPr>
      <w:r w:rsidRPr="00981405">
        <w:t>(9)</w:t>
      </w:r>
      <w:r w:rsidRPr="00981405">
        <w:tab/>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paragraphs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contains</w:t>
      </w:r>
      <w:r w:rsidR="00190923" w:rsidRPr="00981405">
        <w:t xml:space="preserve"> </w:t>
      </w:r>
      <w:r w:rsidRPr="00981405">
        <w:t>three</w:t>
      </w:r>
      <w:r w:rsidR="00190923" w:rsidRPr="00981405">
        <w:t xml:space="preserve"> </w:t>
      </w:r>
      <w:r w:rsidRPr="00981405">
        <w:t>overall</w:t>
      </w:r>
      <w:r w:rsidR="00190923" w:rsidRPr="00981405">
        <w:t xml:space="preserve"> </w:t>
      </w:r>
      <w:r w:rsidRPr="00981405">
        <w:t>requirements</w:t>
      </w:r>
      <w:r w:rsidR="00190923" w:rsidRPr="00981405">
        <w:t xml:space="preserve"> </w:t>
      </w:r>
      <w:r w:rsidRPr="00981405">
        <w:t>that</w:t>
      </w:r>
      <w:r w:rsidR="00190923" w:rsidRPr="00981405">
        <w:t xml:space="preserve"> </w:t>
      </w:r>
      <w:r w:rsidRPr="00981405">
        <w:t>merit</w:t>
      </w:r>
      <w:r w:rsidR="00190923" w:rsidRPr="00981405">
        <w:t xml:space="preserve"> </w:t>
      </w:r>
      <w:r w:rsidRPr="00981405">
        <w:t>some</w:t>
      </w:r>
      <w:r w:rsidR="00190923" w:rsidRPr="00981405">
        <w:t xml:space="preserve"> </w:t>
      </w:r>
      <w:r w:rsidRPr="00981405">
        <w:t>discussion.</w:t>
      </w:r>
      <w:r w:rsidR="00190923" w:rsidRPr="00981405">
        <w:t xml:space="preserve"> </w:t>
      </w:r>
      <w:r w:rsidRPr="00981405">
        <w:t>These</w:t>
      </w:r>
      <w:r w:rsidR="00190923" w:rsidRPr="00981405">
        <w:t xml:space="preserve"> </w:t>
      </w:r>
      <w:r w:rsidRPr="00981405">
        <w:t>requirements,</w:t>
      </w:r>
      <w:r w:rsidR="00190923" w:rsidRPr="00981405">
        <w:t xml:space="preserve"> </w:t>
      </w:r>
      <w:r w:rsidRPr="00981405">
        <w:t>all</w:t>
      </w:r>
      <w:r w:rsidR="00190923" w:rsidRPr="00981405">
        <w:t xml:space="preserve"> </w:t>
      </w:r>
      <w:r w:rsidRPr="00981405">
        <w:t>of</w:t>
      </w:r>
      <w:r w:rsidR="00190923" w:rsidRPr="00981405">
        <w:t xml:space="preserve"> </w:t>
      </w:r>
      <w:r w:rsidRPr="00981405">
        <w:t>which</w:t>
      </w:r>
      <w:r w:rsidR="00190923" w:rsidRPr="00981405">
        <w:t xml:space="preserve"> </w:t>
      </w:r>
      <w:r w:rsidRPr="00981405">
        <w:t>appear</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have</w:t>
      </w:r>
      <w:r w:rsidR="00190923" w:rsidRPr="00981405">
        <w:t xml:space="preserve"> </w:t>
      </w:r>
      <w:r w:rsidRPr="00981405">
        <w:t>been</w:t>
      </w:r>
      <w:r w:rsidR="00190923" w:rsidRPr="00981405">
        <w:t xml:space="preserve"> </w:t>
      </w:r>
      <w:r w:rsidRPr="00981405">
        <w:t>illuminated</w:t>
      </w:r>
      <w:r w:rsidR="00190923" w:rsidRPr="00981405">
        <w:t xml:space="preserve"> </w:t>
      </w:r>
      <w:r w:rsidRPr="00981405">
        <w:t>through</w:t>
      </w:r>
      <w:r w:rsidR="00190923" w:rsidRPr="00981405">
        <w:t xml:space="preserve"> </w:t>
      </w:r>
      <w:r w:rsidRPr="00981405">
        <w:t>the</w:t>
      </w:r>
      <w:r w:rsidR="00190923" w:rsidRPr="00981405">
        <w:t xml:space="preserve"> </w:t>
      </w:r>
      <w:r w:rsidRPr="00981405">
        <w:t>case</w:t>
      </w:r>
      <w:r w:rsidR="00190923" w:rsidRPr="00981405">
        <w:t xml:space="preserve"> </w:t>
      </w:r>
      <w:r w:rsidRPr="00981405">
        <w:t>law</w:t>
      </w:r>
      <w:r w:rsidR="00190923" w:rsidRPr="00981405">
        <w:t xml:space="preserve"> </w:t>
      </w:r>
      <w:r w:rsidRPr="00981405">
        <w:t>of</w:t>
      </w:r>
      <w:r w:rsidR="00190923" w:rsidRPr="00981405">
        <w:t xml:space="preserve"> </w:t>
      </w:r>
      <w:r w:rsidRPr="00981405">
        <w:t>the</w:t>
      </w:r>
      <w:r w:rsidR="00190923" w:rsidRPr="00981405">
        <w:t xml:space="preserve"> </w:t>
      </w:r>
      <w:r w:rsidRPr="00981405">
        <w:t>ICC</w:t>
      </w:r>
      <w:r w:rsidR="00190923" w:rsidRPr="00981405">
        <w:t xml:space="preserve"> </w:t>
      </w:r>
      <w:r w:rsidRPr="00981405">
        <w:t>and</w:t>
      </w:r>
      <w:r w:rsidR="00190923" w:rsidRPr="00981405">
        <w:t xml:space="preserve"> </w:t>
      </w:r>
      <w:r w:rsidRPr="00981405">
        <w:t>other</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hybrid</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also</w:t>
      </w:r>
      <w:r w:rsidR="00190923" w:rsidRPr="00981405">
        <w:t xml:space="preserve"> </w:t>
      </w:r>
      <w:r w:rsidRPr="00981405">
        <w:t>lists</w:t>
      </w:r>
      <w:r w:rsidR="00190923" w:rsidRPr="00981405">
        <w:t xml:space="preserve"> </w:t>
      </w:r>
      <w:r w:rsidRPr="00981405">
        <w:t>the</w:t>
      </w:r>
      <w:r w:rsidR="00190923" w:rsidRPr="00981405">
        <w:t xml:space="preserve"> </w:t>
      </w:r>
      <w:r w:rsidRPr="00981405">
        <w:t>underlying</w:t>
      </w:r>
      <w:r w:rsidR="00190923" w:rsidRPr="00981405">
        <w:t xml:space="preserve"> </w:t>
      </w:r>
      <w:r w:rsidRPr="00981405">
        <w:t>prohibited</w:t>
      </w:r>
      <w:r w:rsidR="00190923" w:rsidRPr="00981405">
        <w:t xml:space="preserve"> </w:t>
      </w:r>
      <w:r w:rsidRPr="00981405">
        <w:t>acts</w:t>
      </w:r>
      <w:r w:rsidR="00190923" w:rsidRPr="00981405">
        <w:t xml:space="preserve"> </w:t>
      </w:r>
      <w:r w:rsidRPr="00981405">
        <w:t>for</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and</w:t>
      </w:r>
      <w:r w:rsidR="00190923" w:rsidRPr="00981405">
        <w:t xml:space="preserve"> </w:t>
      </w:r>
      <w:r w:rsidRPr="00981405">
        <w:t>defines</w:t>
      </w:r>
      <w:r w:rsidR="00190923" w:rsidRPr="00981405">
        <w:t xml:space="preserve"> </w:t>
      </w:r>
      <w:r w:rsidRPr="00981405">
        <w:t>several</w:t>
      </w:r>
      <w:r w:rsidR="00190923" w:rsidRPr="00981405">
        <w:t xml:space="preserve"> </w:t>
      </w:r>
      <w:r w:rsidRPr="00981405">
        <w:t>of</w:t>
      </w:r>
      <w:r w:rsidR="00190923" w:rsidRPr="00981405">
        <w:t xml:space="preserve"> </w:t>
      </w:r>
      <w:r w:rsidRPr="00981405">
        <w:t>the</w:t>
      </w:r>
      <w:r w:rsidR="00190923" w:rsidRPr="00981405">
        <w:t xml:space="preserve"> </w:t>
      </w:r>
      <w:r w:rsidRPr="00981405">
        <w:t>terms</w:t>
      </w:r>
      <w:r w:rsidR="00190923" w:rsidRPr="00981405">
        <w:t xml:space="preserve"> </w:t>
      </w:r>
      <w:r w:rsidRPr="00981405">
        <w:t>used</w:t>
      </w:r>
      <w:r w:rsidR="00190923" w:rsidRPr="00981405">
        <w:t xml:space="preserve"> </w:t>
      </w:r>
      <w:r w:rsidRPr="00981405">
        <w:t>within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(thus</w:t>
      </w:r>
      <w:r w:rsidR="00190923" w:rsidRPr="00981405">
        <w:t xml:space="preserve"> </w:t>
      </w:r>
      <w:r w:rsidRPr="00981405">
        <w:t>providing</w:t>
      </w:r>
      <w:r w:rsidR="00190923" w:rsidRPr="00981405">
        <w:t xml:space="preserve"> </w:t>
      </w:r>
      <w:r w:rsidRPr="00981405">
        <w:t>definitions</w:t>
      </w:r>
      <w:r w:rsidR="00190923" w:rsidRPr="00981405">
        <w:t xml:space="preserve"> </w:t>
      </w:r>
      <w:r w:rsidRPr="00981405">
        <w:t>within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No</w:t>
      </w:r>
      <w:r w:rsidR="00190923" w:rsidRPr="00981405">
        <w:t xml:space="preserve"> </w:t>
      </w:r>
      <w:r w:rsidRPr="00981405">
        <w:t>doubt</w:t>
      </w:r>
      <w:r w:rsidR="00190923" w:rsidRPr="00981405">
        <w:t xml:space="preserve"> </w:t>
      </w:r>
      <w:r w:rsidRPr="00981405">
        <w:t>the</w:t>
      </w:r>
      <w:r w:rsidR="00190923" w:rsidRPr="00981405">
        <w:t xml:space="preserve"> </w:t>
      </w:r>
      <w:r w:rsidRPr="00981405">
        <w:t>evolving</w:t>
      </w:r>
      <w:r w:rsidR="00190923" w:rsidRPr="00981405">
        <w:t xml:space="preserve"> </w:t>
      </w:r>
      <w:r w:rsidRPr="00981405">
        <w:t>jurisprudence</w:t>
      </w:r>
      <w:r w:rsidR="00190923" w:rsidRPr="00981405">
        <w:t xml:space="preserve"> </w:t>
      </w:r>
      <w:r w:rsidRPr="00981405">
        <w:t>of</w:t>
      </w:r>
      <w:r w:rsidR="00190923" w:rsidRPr="00981405">
        <w:t xml:space="preserve"> </w:t>
      </w:r>
      <w:r w:rsidRPr="00981405">
        <w:t>the</w:t>
      </w:r>
      <w:r w:rsidR="00190923" w:rsidRPr="00981405">
        <w:t xml:space="preserve"> </w:t>
      </w:r>
      <w:r w:rsidRPr="00981405">
        <w:t>ICC</w:t>
      </w:r>
      <w:r w:rsidR="00190923" w:rsidRPr="00981405">
        <w:t xml:space="preserve"> </w:t>
      </w:r>
      <w:r w:rsidRPr="00981405">
        <w:t>and</w:t>
      </w:r>
      <w:r w:rsidR="00190923" w:rsidRPr="00981405">
        <w:t xml:space="preserve"> </w:t>
      </w:r>
      <w:r w:rsidRPr="00981405">
        <w:t>other</w:t>
      </w:r>
      <w:r w:rsidR="00190923" w:rsidRPr="00981405">
        <w:t xml:space="preserve"> </w:t>
      </w:r>
      <w:r w:rsidRPr="00981405">
        <w:t>international</w:t>
      </w:r>
      <w:r w:rsidR="00190923" w:rsidRPr="00981405">
        <w:t xml:space="preserve"> </w:t>
      </w:r>
      <w:r w:rsidRPr="00981405">
        <w:t>or</w:t>
      </w:r>
      <w:r w:rsidR="00190923" w:rsidRPr="00981405">
        <w:t xml:space="preserve"> </w:t>
      </w:r>
      <w:r w:rsidRPr="00981405">
        <w:t>hybrid</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will</w:t>
      </w:r>
      <w:r w:rsidR="00190923" w:rsidRPr="00981405">
        <w:t xml:space="preserve"> </w:t>
      </w:r>
      <w:r w:rsidRPr="00981405">
        <w:t>continue</w:t>
      </w:r>
      <w:r w:rsidR="00190923" w:rsidRPr="00981405">
        <w:t xml:space="preserve"> </w:t>
      </w:r>
      <w:r w:rsidRPr="00981405">
        <w:t>to</w:t>
      </w:r>
      <w:r w:rsidR="00190923" w:rsidRPr="00981405">
        <w:t xml:space="preserve"> </w:t>
      </w:r>
      <w:r w:rsidRPr="00981405">
        <w:t>help</w:t>
      </w:r>
      <w:r w:rsidR="00190923" w:rsidRPr="00981405">
        <w:t xml:space="preserve"> </w:t>
      </w:r>
      <w:r w:rsidRPr="00981405">
        <w:t>inform</w:t>
      </w:r>
      <w:r w:rsidR="00190923" w:rsidRPr="00981405">
        <w:t xml:space="preserve"> </w:t>
      </w:r>
      <w:r w:rsidRPr="00981405">
        <w:t>national</w:t>
      </w:r>
      <w:r w:rsidR="00190923" w:rsidRPr="00981405">
        <w:t xml:space="preserve"> </w:t>
      </w:r>
      <w:r w:rsidRPr="00981405">
        <w:t>authorities,</w:t>
      </w:r>
      <w:r w:rsidR="00190923" w:rsidRPr="00981405">
        <w:t xml:space="preserve"> </w:t>
      </w:r>
      <w:r w:rsidRPr="00981405">
        <w:t>including</w:t>
      </w:r>
      <w:r w:rsidR="00190923" w:rsidRPr="00981405">
        <w:t xml:space="preserve"> </w:t>
      </w:r>
      <w:r w:rsidRPr="00981405">
        <w:t>courts,</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this</w:t>
      </w:r>
      <w:r w:rsidR="00190923" w:rsidRPr="00981405">
        <w:t xml:space="preserve"> </w:t>
      </w:r>
      <w:r w:rsidRPr="00981405">
        <w:t>definition,</w:t>
      </w:r>
      <w:r w:rsidR="00190923" w:rsidRPr="00981405">
        <w:t xml:space="preserve"> </w:t>
      </w:r>
      <w:r w:rsidRPr="00981405">
        <w:t>and</w:t>
      </w:r>
      <w:r w:rsidR="00190923" w:rsidRPr="00981405">
        <w:t xml:space="preserve"> </w:t>
      </w:r>
      <w:r w:rsidRPr="00981405">
        <w:t>thereby</w:t>
      </w:r>
      <w:r w:rsidR="00190923" w:rsidRPr="00981405">
        <w:t xml:space="preserve"> </w:t>
      </w:r>
      <w:r w:rsidRPr="00981405">
        <w:t>will</w:t>
      </w:r>
      <w:r w:rsidR="00190923" w:rsidRPr="00981405">
        <w:t xml:space="preserve"> </w:t>
      </w:r>
      <w:r w:rsidRPr="00981405">
        <w:t>promote</w:t>
      </w:r>
      <w:r w:rsidR="00190923" w:rsidRPr="00981405">
        <w:t xml:space="preserve"> </w:t>
      </w:r>
      <w:r w:rsidRPr="00981405">
        <w:t>harmonized</w:t>
      </w:r>
      <w:r w:rsidR="00190923" w:rsidRPr="00981405">
        <w:t xml:space="preserve"> </w:t>
      </w:r>
      <w:r w:rsidRPr="00981405">
        <w:t>approaches</w:t>
      </w:r>
      <w:r w:rsidR="00190923" w:rsidRPr="00981405">
        <w:t xml:space="preserve"> </w:t>
      </w:r>
      <w:r w:rsidRPr="00981405">
        <w:t>at</w:t>
      </w:r>
      <w:r w:rsidR="00190923" w:rsidRPr="00981405">
        <w:t xml:space="preserve"> </w:t>
      </w:r>
      <w:r w:rsidRPr="00981405">
        <w:t>the</w:t>
      </w:r>
      <w:r w:rsidR="00190923" w:rsidRPr="00981405">
        <w:t xml:space="preserve"> </w:t>
      </w:r>
      <w:r w:rsidRPr="00981405">
        <w:t>national</w:t>
      </w:r>
      <w:r w:rsidR="00190923" w:rsidRPr="00981405">
        <w:t xml:space="preserve"> </w:t>
      </w:r>
      <w:r w:rsidRPr="00981405">
        <w:t>level.</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notes</w:t>
      </w:r>
      <w:r w:rsidR="00190923" w:rsidRPr="00981405">
        <w:t xml:space="preserve"> </w:t>
      </w:r>
      <w:r w:rsidRPr="00981405">
        <w:t>that</w:t>
      </w:r>
      <w:r w:rsidR="00190923" w:rsidRPr="00981405">
        <w:t xml:space="preserve"> </w:t>
      </w:r>
      <w:r w:rsidRPr="00981405">
        <w:t>relevant</w:t>
      </w:r>
      <w:r w:rsidR="00190923" w:rsidRPr="00981405">
        <w:t xml:space="preserve"> </w:t>
      </w:r>
      <w:r w:rsidRPr="00981405">
        <w:t>case</w:t>
      </w:r>
      <w:r w:rsidR="00190923" w:rsidRPr="00981405">
        <w:t xml:space="preserve"> </w:t>
      </w:r>
      <w:r w:rsidRPr="00981405">
        <w:t>law</w:t>
      </w:r>
      <w:r w:rsidR="00190923" w:rsidRPr="00981405">
        <w:t xml:space="preserve"> </w:t>
      </w:r>
      <w:r w:rsidRPr="00981405">
        <w:t>continues</w:t>
      </w:r>
      <w:r w:rsidR="00190923" w:rsidRPr="00981405">
        <w:t xml:space="preserve"> </w:t>
      </w:r>
      <w:r w:rsidRPr="00981405">
        <w:t>to</w:t>
      </w:r>
      <w:r w:rsidR="00190923" w:rsidRPr="00981405">
        <w:t xml:space="preserve"> </w:t>
      </w:r>
      <w:r w:rsidRPr="00981405">
        <w:t>develop</w:t>
      </w:r>
      <w:r w:rsidR="00190923" w:rsidRPr="00981405">
        <w:t xml:space="preserve"> </w:t>
      </w:r>
      <w:r w:rsidRPr="00981405">
        <w:t>over</w:t>
      </w:r>
      <w:r w:rsidR="00190923" w:rsidRPr="00981405">
        <w:t xml:space="preserve"> </w:t>
      </w:r>
      <w:r w:rsidRPr="00981405">
        <w:t>time,</w:t>
      </w:r>
      <w:r w:rsidR="00190923" w:rsidRPr="00981405">
        <w:t xml:space="preserve"> </w:t>
      </w:r>
      <w:r w:rsidRPr="00981405">
        <w:t>such</w:t>
      </w:r>
      <w:r w:rsidR="00190923" w:rsidRPr="00981405">
        <w:t xml:space="preserve"> </w:t>
      </w:r>
      <w:r w:rsidRPr="00981405">
        <w:t>that</w:t>
      </w:r>
      <w:r w:rsidR="00190923" w:rsidRPr="00981405">
        <w:t xml:space="preserve"> </w:t>
      </w:r>
      <w:r w:rsidRPr="00981405">
        <w:t>the</w:t>
      </w:r>
      <w:r w:rsidR="00190923" w:rsidRPr="00981405">
        <w:t xml:space="preserve"> </w:t>
      </w:r>
      <w:r w:rsidRPr="00981405">
        <w:t>following</w:t>
      </w:r>
      <w:r w:rsidR="00190923" w:rsidRPr="00981405">
        <w:t xml:space="preserve"> </w:t>
      </w:r>
      <w:r w:rsidRPr="00981405">
        <w:t>discussion</w:t>
      </w:r>
      <w:r w:rsidR="00190923" w:rsidRPr="00981405">
        <w:t xml:space="preserve"> </w:t>
      </w:r>
      <w:r w:rsidRPr="00981405">
        <w:t>is</w:t>
      </w:r>
      <w:r w:rsidR="00190923" w:rsidRPr="00981405">
        <w:t xml:space="preserve"> </w:t>
      </w:r>
      <w:r w:rsidRPr="00981405">
        <w:t>meant</w:t>
      </w:r>
      <w:r w:rsidR="00190923" w:rsidRPr="00981405">
        <w:t xml:space="preserve"> </w:t>
      </w:r>
      <w:r w:rsidRPr="00981405">
        <w:t>simply</w:t>
      </w:r>
      <w:r w:rsidR="00190923" w:rsidRPr="00981405">
        <w:t xml:space="preserve"> </w:t>
      </w:r>
      <w:r w:rsidRPr="00981405">
        <w:t>to</w:t>
      </w:r>
      <w:r w:rsidR="00190923" w:rsidRPr="00981405">
        <w:t xml:space="preserve"> </w:t>
      </w:r>
      <w:r w:rsidRPr="00981405">
        <w:t>indicate</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parameters</w:t>
      </w:r>
      <w:r w:rsidR="00190923" w:rsidRPr="00981405">
        <w:t xml:space="preserve"> </w:t>
      </w:r>
      <w:r w:rsidRPr="00981405">
        <w:t>of</w:t>
      </w:r>
      <w:r w:rsidR="00190923" w:rsidRPr="00981405">
        <w:t xml:space="preserve"> </w:t>
      </w:r>
      <w:r w:rsidRPr="00981405">
        <w:t>these</w:t>
      </w:r>
      <w:r w:rsidR="00190923" w:rsidRPr="00981405">
        <w:t xml:space="preserve"> </w:t>
      </w:r>
      <w:r w:rsidRPr="00981405">
        <w:t>terms</w:t>
      </w:r>
      <w:r w:rsidR="00190923" w:rsidRPr="00981405">
        <w:t xml:space="preserve"> </w:t>
      </w:r>
      <w:r w:rsidRPr="00981405">
        <w:t>as</w:t>
      </w:r>
      <w:r w:rsidR="00190923" w:rsidRPr="00981405">
        <w:t xml:space="preserve"> </w:t>
      </w:r>
      <w:r w:rsidRPr="00981405">
        <w:t>of</w:t>
      </w:r>
      <w:r w:rsidR="00190923" w:rsidRPr="00981405">
        <w:t xml:space="preserve"> </w:t>
      </w:r>
      <w:r w:rsidRPr="00981405">
        <w:t>2015.</w:t>
      </w:r>
      <w:r w:rsidR="00190923" w:rsidRPr="00981405">
        <w:t xml:space="preserve"> </w:t>
      </w:r>
    </w:p>
    <w:p w:rsidR="00397032" w:rsidRPr="00981405" w:rsidRDefault="00397032" w:rsidP="00D97463">
      <w:pPr>
        <w:pStyle w:val="SingleTxt"/>
      </w:pPr>
      <w:r w:rsidRPr="00981405">
        <w:tab/>
      </w:r>
      <w:r w:rsidR="00B92E2C" w:rsidRPr="00981405">
        <w:t>“</w:t>
      </w:r>
      <w:r w:rsidRPr="00D97463">
        <w:rPr>
          <w:i/>
          <w:iCs/>
        </w:rPr>
        <w:t>Widespread</w:t>
      </w:r>
      <w:r w:rsidR="00190923" w:rsidRPr="00981405">
        <w:rPr>
          <w:i/>
          <w:iCs/>
        </w:rPr>
        <w:t xml:space="preserve"> </w:t>
      </w:r>
      <w:r w:rsidRPr="00D97463">
        <w:rPr>
          <w:i/>
          <w:iCs/>
        </w:rPr>
        <w:t>or</w:t>
      </w:r>
      <w:r w:rsidR="00190923" w:rsidRPr="00981405">
        <w:rPr>
          <w:i/>
          <w:iCs/>
        </w:rPr>
        <w:t xml:space="preserve"> </w:t>
      </w:r>
      <w:r w:rsidRPr="00D97463">
        <w:rPr>
          <w:i/>
          <w:iCs/>
        </w:rPr>
        <w:t>systematic</w:t>
      </w:r>
      <w:r w:rsidR="00190923" w:rsidRPr="00981405">
        <w:rPr>
          <w:i/>
          <w:iCs/>
        </w:rPr>
        <w:t xml:space="preserve"> </w:t>
      </w:r>
      <w:r w:rsidRPr="00D97463">
        <w:rPr>
          <w:i/>
          <w:iCs/>
        </w:rPr>
        <w:t>attack</w:t>
      </w:r>
      <w:r w:rsidR="00B92E2C" w:rsidRPr="00981405">
        <w:t>”</w:t>
      </w:r>
    </w:p>
    <w:p w:rsidR="00397032" w:rsidRPr="00981405" w:rsidRDefault="00397032" w:rsidP="00D97463">
      <w:pPr>
        <w:pStyle w:val="SingleTxt"/>
        <w:rPr>
          <w:rFonts w:eastAsia="Batang"/>
        </w:rPr>
      </w:pPr>
      <w:bookmarkStart w:id="63" w:name="_Ref339976928"/>
      <w:bookmarkStart w:id="64" w:name="_Ref216252240"/>
      <w:r w:rsidRPr="00981405">
        <w:t>(10)</w:t>
      </w:r>
      <w:r w:rsidRPr="00981405">
        <w:tab/>
        <w:t>The</w:t>
      </w:r>
      <w:r w:rsidR="00190923" w:rsidRPr="00981405">
        <w:t xml:space="preserve"> </w:t>
      </w:r>
      <w:r w:rsidRPr="00981405">
        <w:t>first</w:t>
      </w:r>
      <w:r w:rsidR="00190923" w:rsidRPr="00981405">
        <w:t xml:space="preserve"> </w:t>
      </w:r>
      <w:r w:rsidRPr="00981405">
        <w:t>overall</w:t>
      </w:r>
      <w:r w:rsidR="00190923" w:rsidRPr="00981405">
        <w:t xml:space="preserve"> </w:t>
      </w:r>
      <w:r w:rsidRPr="00981405">
        <w:t>requirement</w:t>
      </w:r>
      <w:r w:rsidR="00190923" w:rsidRPr="00981405">
        <w:t xml:space="preserve"> </w:t>
      </w:r>
      <w:r w:rsidRPr="00981405">
        <w:t>is</w:t>
      </w:r>
      <w:r w:rsidR="00190923" w:rsidRPr="00981405">
        <w:t xml:space="preserve"> </w:t>
      </w:r>
      <w:r w:rsidRPr="00981405">
        <w:t>that</w:t>
      </w:r>
      <w:r w:rsidR="00190923" w:rsidRPr="00981405">
        <w:t xml:space="preserve"> </w:t>
      </w:r>
      <w:r w:rsidRPr="00981405">
        <w:t>the</w:t>
      </w:r>
      <w:r w:rsidR="00190923" w:rsidRPr="00981405">
        <w:t xml:space="preserve"> </w:t>
      </w:r>
      <w:r w:rsidRPr="00981405">
        <w:t>acts</w:t>
      </w:r>
      <w:r w:rsidR="00190923" w:rsidRPr="00981405">
        <w:t xml:space="preserve"> </w:t>
      </w:r>
      <w:r w:rsidRPr="00981405">
        <w:t>must</w:t>
      </w:r>
      <w:r w:rsidR="00190923" w:rsidRPr="00981405">
        <w:t xml:space="preserve"> </w:t>
      </w:r>
      <w:r w:rsidRPr="00981405">
        <w:t>be</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00B92E2C" w:rsidRPr="00981405">
        <w:t>“</w:t>
      </w:r>
      <w:r w:rsidRPr="00981405">
        <w:t>widespread</w:t>
      </w:r>
      <w:r w:rsidR="00190923" w:rsidRPr="00981405">
        <w:t xml:space="preserve"> </w:t>
      </w:r>
      <w:r w:rsidRPr="00981405">
        <w:t>or</w:t>
      </w:r>
      <w:r w:rsidR="00190923" w:rsidRPr="00981405">
        <w:t xml:space="preserve"> </w:t>
      </w:r>
      <w:r w:rsidRPr="00981405">
        <w:t>systematic</w:t>
      </w:r>
      <w:r w:rsidR="00B92E2C" w:rsidRPr="00981405">
        <w:t>”</w:t>
      </w:r>
      <w:r w:rsidR="00190923" w:rsidRPr="00981405">
        <w:t xml:space="preserve"> </w:t>
      </w:r>
      <w:r w:rsidRPr="00981405">
        <w:t>attack.</w:t>
      </w:r>
      <w:r w:rsidR="00190923" w:rsidRPr="00981405">
        <w:t xml:space="preserve"> </w:t>
      </w:r>
      <w:r w:rsidRPr="00981405">
        <w:t>This</w:t>
      </w:r>
      <w:r w:rsidR="00190923" w:rsidRPr="00981405">
        <w:t xml:space="preserve"> </w:t>
      </w:r>
      <w:r w:rsidRPr="00981405">
        <w:t>requirement</w:t>
      </w:r>
      <w:r w:rsidR="00190923" w:rsidRPr="00981405">
        <w:t xml:space="preserve"> </w:t>
      </w:r>
      <w:r w:rsidRPr="00981405">
        <w:t>first</w:t>
      </w:r>
      <w:r w:rsidR="00190923" w:rsidRPr="00981405">
        <w:t xml:space="preserve"> </w:t>
      </w:r>
      <w:r w:rsidRPr="00981405">
        <w:t>appeared</w:t>
      </w:r>
      <w:r w:rsidR="00190923" w:rsidRPr="00981405">
        <w:t xml:space="preserve"> </w:t>
      </w:r>
      <w:r w:rsidRPr="00981405">
        <w:t>in</w:t>
      </w:r>
      <w:r w:rsidR="00190923" w:rsidRPr="00981405">
        <w:t xml:space="preserve"> </w:t>
      </w:r>
      <w:r w:rsidRPr="00981405">
        <w:t>the</w:t>
      </w:r>
      <w:r w:rsidR="00190923" w:rsidRPr="00981405">
        <w:t xml:space="preserve"> </w:t>
      </w:r>
      <w:r w:rsidRPr="00981405">
        <w:t>ICTR</w:t>
      </w:r>
      <w:r w:rsidR="00190923" w:rsidRPr="00981405">
        <w:t xml:space="preserve"> </w:t>
      </w:r>
      <w:r w:rsidRPr="00981405">
        <w:t>Statute,</w:t>
      </w:r>
      <w:bookmarkStart w:id="65" w:name="_Ref295894171"/>
      <w:r w:rsidRPr="00981405">
        <w:rPr>
          <w:rStyle w:val="FootnoteReference"/>
        </w:rPr>
        <w:footnoteReference w:id="120"/>
      </w:r>
      <w:bookmarkEnd w:id="65"/>
      <w:r w:rsidR="00190923" w:rsidRPr="00981405">
        <w:t xml:space="preserve"> </w:t>
      </w:r>
      <w:r w:rsidRPr="00981405">
        <w:t>though</w:t>
      </w:r>
      <w:r w:rsidR="00190923" w:rsidRPr="00981405">
        <w:t xml:space="preserve"> </w:t>
      </w:r>
      <w:r w:rsidRPr="00981405">
        <w:t>some</w:t>
      </w:r>
      <w:r w:rsidR="00190923" w:rsidRPr="00981405">
        <w:t xml:space="preserve"> </w:t>
      </w:r>
      <w:r w:rsidRPr="00981405">
        <w:t>ICTY</w:t>
      </w:r>
      <w:r w:rsidR="00190923" w:rsidRPr="00981405">
        <w:t xml:space="preserve"> </w:t>
      </w:r>
      <w:r w:rsidRPr="00981405">
        <w:t>decisions</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t>the</w:t>
      </w:r>
      <w:r w:rsidR="00190923" w:rsidRPr="00981405">
        <w:t xml:space="preserve"> </w:t>
      </w:r>
      <w:r w:rsidRPr="00981405">
        <w:t>requirement</w:t>
      </w:r>
      <w:r w:rsidR="00190923" w:rsidRPr="00981405">
        <w:t xml:space="preserve"> </w:t>
      </w:r>
      <w:r w:rsidRPr="00981405">
        <w:t>was</w:t>
      </w:r>
      <w:r w:rsidR="00190923" w:rsidRPr="00981405">
        <w:t xml:space="preserve"> </w:t>
      </w:r>
      <w:r w:rsidRPr="00981405">
        <w:t>implicit</w:t>
      </w:r>
      <w:r w:rsidR="00190923" w:rsidRPr="00981405">
        <w:t xml:space="preserve"> </w:t>
      </w:r>
      <w:r w:rsidRPr="00981405">
        <w:t>even</w:t>
      </w:r>
      <w:r w:rsidR="00190923" w:rsidRPr="00981405">
        <w:t xml:space="preserve"> </w:t>
      </w:r>
      <w:r w:rsidRPr="00981405">
        <w:t>in</w:t>
      </w:r>
      <w:r w:rsidR="00190923" w:rsidRPr="00981405">
        <w:t xml:space="preserve"> </w:t>
      </w:r>
      <w:r w:rsidRPr="00981405">
        <w:t>the</w:t>
      </w:r>
      <w:r w:rsidR="00190923" w:rsidRPr="00981405">
        <w:t xml:space="preserve"> </w:t>
      </w:r>
      <w:r w:rsidRPr="00981405">
        <w:t>ICTY</w:t>
      </w:r>
      <w:r w:rsidR="00190923" w:rsidRPr="00981405">
        <w:t xml:space="preserve"> </w:t>
      </w:r>
      <w:r w:rsidRPr="00981405">
        <w:t>Statute,</w:t>
      </w:r>
      <w:r w:rsidR="00190923" w:rsidRPr="00981405">
        <w:t xml:space="preserve"> </w:t>
      </w:r>
      <w:r w:rsidRPr="00981405">
        <w:t>given</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such</w:t>
      </w:r>
      <w:r w:rsidR="00190923" w:rsidRPr="00981405">
        <w:t xml:space="preserve"> </w:t>
      </w:r>
      <w:r w:rsidRPr="00981405">
        <w:t>language</w:t>
      </w:r>
      <w:r w:rsidR="00190923" w:rsidRPr="00981405">
        <w:t xml:space="preserve"> </w:t>
      </w:r>
      <w:r w:rsidRPr="00981405">
        <w:t>in</w:t>
      </w:r>
      <w:r w:rsidR="00190923" w:rsidRPr="00981405">
        <w:t xml:space="preserve"> </w:t>
      </w:r>
      <w:r w:rsidRPr="00981405">
        <w:t>the</w:t>
      </w:r>
      <w:r w:rsidR="00190923" w:rsidRPr="00981405">
        <w:t xml:space="preserve"> </w:t>
      </w:r>
      <w:r w:rsidRPr="00981405">
        <w:t>Secretary-General</w:t>
      </w:r>
      <w:r w:rsidR="00B92E2C" w:rsidRPr="00981405">
        <w:t>’</w:t>
      </w:r>
      <w:r w:rsidRPr="00981405">
        <w:t>s</w:t>
      </w:r>
      <w:r w:rsidR="00190923" w:rsidRPr="00981405">
        <w:t xml:space="preserve"> </w:t>
      </w:r>
      <w:r w:rsidRPr="00981405">
        <w:t>report</w:t>
      </w:r>
      <w:r w:rsidR="00190923" w:rsidRPr="00981405">
        <w:t xml:space="preserve"> </w:t>
      </w:r>
      <w:r w:rsidRPr="00981405">
        <w:t>proposing</w:t>
      </w:r>
      <w:r w:rsidR="00190923" w:rsidRPr="00981405">
        <w:t xml:space="preserve"> </w:t>
      </w:r>
      <w:r w:rsidRPr="00981405">
        <w:t>that</w:t>
      </w:r>
      <w:r w:rsidR="00190923" w:rsidRPr="00981405">
        <w:t xml:space="preserve"> </w:t>
      </w:r>
      <w:r w:rsidRPr="00981405">
        <w:t>statute.</w:t>
      </w:r>
      <w:bookmarkStart w:id="66" w:name="_Ref295894839"/>
      <w:r w:rsidRPr="00981405">
        <w:rPr>
          <w:rStyle w:val="FootnoteReference"/>
        </w:rPr>
        <w:footnoteReference w:id="121"/>
      </w:r>
      <w:bookmarkEnd w:id="66"/>
      <w:r w:rsidR="00190923" w:rsidRPr="00981405">
        <w:t xml:space="preserve"> </w:t>
      </w:r>
      <w:r w:rsidRPr="00981405">
        <w:t>Jurisprudence</w:t>
      </w:r>
      <w:r w:rsidR="00190923" w:rsidRPr="00981405">
        <w:t xml:space="preserve"> </w:t>
      </w:r>
      <w:r w:rsidRPr="00981405">
        <w:t>of</w:t>
      </w:r>
      <w:r w:rsidR="00190923" w:rsidRPr="00981405">
        <w:t xml:space="preserve"> </w:t>
      </w:r>
      <w:r w:rsidRPr="00981405">
        <w:t>both</w:t>
      </w:r>
      <w:r w:rsidR="00190923" w:rsidRPr="00981405">
        <w:t xml:space="preserve"> </w:t>
      </w:r>
      <w:r w:rsidRPr="00981405">
        <w:t>the</w:t>
      </w:r>
      <w:r w:rsidR="00190923" w:rsidRPr="00981405">
        <w:t xml:space="preserve"> </w:t>
      </w:r>
      <w:r w:rsidRPr="00981405">
        <w:t>ICTY</w:t>
      </w:r>
      <w:r w:rsidR="00190923" w:rsidRPr="00981405">
        <w:t xml:space="preserve"> </w:t>
      </w:r>
      <w:r w:rsidRPr="00981405">
        <w:t>and</w:t>
      </w:r>
      <w:r w:rsidR="00190923" w:rsidRPr="00981405">
        <w:t xml:space="preserve"> </w:t>
      </w:r>
      <w:r w:rsidRPr="00981405">
        <w:t>the</w:t>
      </w:r>
      <w:r w:rsidR="00190923" w:rsidRPr="00981405">
        <w:t xml:space="preserve"> </w:t>
      </w:r>
      <w:r w:rsidRPr="00981405">
        <w:t>ICTR</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rPr>
          <w:rFonts w:eastAsia="Batang"/>
        </w:rPr>
        <w:t>the</w:t>
      </w:r>
      <w:r w:rsidR="00190923" w:rsidRPr="00981405">
        <w:rPr>
          <w:rFonts w:eastAsia="Batang"/>
        </w:rPr>
        <w:t xml:space="preserve"> </w:t>
      </w:r>
      <w:r w:rsidRPr="00981405">
        <w:rPr>
          <w:rFonts w:eastAsia="Batang"/>
        </w:rPr>
        <w:t>conditions</w:t>
      </w:r>
      <w:r w:rsidR="00190923" w:rsidRPr="00981405">
        <w:rPr>
          <w:rFonts w:eastAsia="Batang"/>
        </w:rPr>
        <w:t xml:space="preserve"> </w:t>
      </w:r>
      <w:r w:rsidRPr="00981405">
        <w:rPr>
          <w:rFonts w:eastAsia="Batang"/>
        </w:rPr>
        <w:t>of</w:t>
      </w:r>
      <w:r w:rsidR="00190923" w:rsidRPr="00981405">
        <w:rPr>
          <w:rFonts w:eastAsia="Batang"/>
        </w:rPr>
        <w:t xml:space="preserve"> </w:t>
      </w:r>
      <w:r w:rsidR="00B92E2C" w:rsidRPr="00981405">
        <w:rPr>
          <w:rFonts w:eastAsia="Batang"/>
        </w:rPr>
        <w:t>“</w:t>
      </w:r>
      <w:r w:rsidRPr="00981405">
        <w:rPr>
          <w:rFonts w:eastAsia="Batang"/>
        </w:rPr>
        <w:t>widespread</w:t>
      </w:r>
      <w:r w:rsidR="00B92E2C" w:rsidRPr="00981405">
        <w:rPr>
          <w:rFonts w:eastAsia="Batang"/>
        </w:rPr>
        <w:t>”</w:t>
      </w:r>
      <w:r w:rsidR="00190923" w:rsidRPr="00981405">
        <w:rPr>
          <w:rFonts w:eastAsia="Batang"/>
        </w:rPr>
        <w:t xml:space="preserve"> </w:t>
      </w:r>
      <w:r w:rsidRPr="00981405">
        <w:rPr>
          <w:rFonts w:eastAsia="Batang"/>
        </w:rPr>
        <w:t>and</w:t>
      </w:r>
      <w:r w:rsidR="00190923" w:rsidRPr="00981405">
        <w:rPr>
          <w:rFonts w:eastAsia="Batang"/>
        </w:rPr>
        <w:t xml:space="preserve"> </w:t>
      </w:r>
      <w:r w:rsidR="00B92E2C" w:rsidRPr="00981405">
        <w:rPr>
          <w:rFonts w:eastAsia="Batang"/>
        </w:rPr>
        <w:t>“</w:t>
      </w:r>
      <w:r w:rsidRPr="00981405">
        <w:rPr>
          <w:rFonts w:eastAsia="Batang"/>
        </w:rPr>
        <w:t>systematic</w:t>
      </w:r>
      <w:r w:rsidR="00B92E2C" w:rsidRPr="00981405">
        <w:rPr>
          <w:rFonts w:eastAsia="Batang"/>
        </w:rPr>
        <w:t>”</w:t>
      </w:r>
      <w:r w:rsidR="00190923" w:rsidRPr="00981405">
        <w:rPr>
          <w:rFonts w:eastAsia="Batang"/>
        </w:rPr>
        <w:t xml:space="preserve"> </w:t>
      </w:r>
      <w:r w:rsidRPr="00981405">
        <w:rPr>
          <w:rFonts w:eastAsia="Batang"/>
        </w:rPr>
        <w:t>were</w:t>
      </w:r>
      <w:r w:rsidR="00190923" w:rsidRPr="00981405">
        <w:rPr>
          <w:rFonts w:eastAsia="Batang"/>
        </w:rPr>
        <w:t xml:space="preserve"> </w:t>
      </w:r>
      <w:r w:rsidRPr="00981405">
        <w:rPr>
          <w:rFonts w:eastAsia="Batang"/>
        </w:rPr>
        <w:t>disjunctive</w:t>
      </w:r>
      <w:r w:rsidR="00190923" w:rsidRPr="00981405">
        <w:rPr>
          <w:rFonts w:eastAsia="Batang"/>
        </w:rPr>
        <w:t xml:space="preserve"> </w:t>
      </w:r>
      <w:r w:rsidRPr="00981405">
        <w:rPr>
          <w:rFonts w:eastAsia="Batang"/>
        </w:rPr>
        <w:t>rather</w:t>
      </w:r>
      <w:r w:rsidR="00190923" w:rsidRPr="00981405">
        <w:rPr>
          <w:rFonts w:eastAsia="Batang"/>
        </w:rPr>
        <w:t xml:space="preserve"> </w:t>
      </w:r>
      <w:r w:rsidRPr="00981405">
        <w:rPr>
          <w:rFonts w:eastAsia="Batang"/>
        </w:rPr>
        <w:t>than</w:t>
      </w:r>
      <w:bookmarkStart w:id="67" w:name="_Ref216086313"/>
      <w:r w:rsidR="00190923" w:rsidRPr="00981405">
        <w:rPr>
          <w:rFonts w:eastAsia="Batang"/>
        </w:rPr>
        <w:t xml:space="preserve"> </w:t>
      </w:r>
      <w:r w:rsidRPr="00981405">
        <w:rPr>
          <w:rFonts w:eastAsia="Batang"/>
        </w:rPr>
        <w:t>conjunctive</w:t>
      </w:r>
      <w:r w:rsidR="00190923" w:rsidRPr="00981405">
        <w:rPr>
          <w:rFonts w:eastAsia="Batang"/>
        </w:rPr>
        <w:t xml:space="preserve"> </w:t>
      </w:r>
      <w:r w:rsidRPr="00981405">
        <w:rPr>
          <w:rFonts w:eastAsia="Batang"/>
        </w:rPr>
        <w:t>requirements;</w:t>
      </w:r>
      <w:r w:rsidR="00190923" w:rsidRPr="00981405">
        <w:rPr>
          <w:rFonts w:eastAsia="Batang"/>
        </w:rPr>
        <w:t xml:space="preserve"> </w:t>
      </w:r>
      <w:r w:rsidRPr="00981405">
        <w:rPr>
          <w:rFonts w:eastAsia="Batang"/>
        </w:rPr>
        <w:t>either</w:t>
      </w:r>
      <w:r w:rsidR="00190923" w:rsidRPr="00981405">
        <w:rPr>
          <w:rFonts w:eastAsia="Batang"/>
        </w:rPr>
        <w:t xml:space="preserve"> </w:t>
      </w:r>
      <w:r w:rsidRPr="00981405">
        <w:rPr>
          <w:rFonts w:eastAsia="Batang"/>
        </w:rPr>
        <w:t>condition</w:t>
      </w:r>
      <w:r w:rsidR="00190923" w:rsidRPr="00981405">
        <w:rPr>
          <w:rFonts w:eastAsia="Batang"/>
        </w:rPr>
        <w:t xml:space="preserve"> </w:t>
      </w:r>
      <w:r w:rsidRPr="00981405">
        <w:rPr>
          <w:rFonts w:eastAsia="Batang"/>
        </w:rPr>
        <w:t>could</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met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establish</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existence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crime.</w:t>
      </w:r>
      <w:bookmarkStart w:id="68" w:name="_Ref216086757"/>
      <w:r w:rsidRPr="00981405">
        <w:rPr>
          <w:rStyle w:val="FootnoteReference"/>
        </w:rPr>
        <w:footnoteReference w:id="122"/>
      </w:r>
      <w:bookmarkEnd w:id="67"/>
      <w:bookmarkEnd w:id="68"/>
      <w:r w:rsidR="00190923" w:rsidRPr="00981405">
        <w:rPr>
          <w:rFonts w:eastAsia="Batang"/>
        </w:rPr>
        <w:t xml:space="preserve"> </w:t>
      </w:r>
      <w:r w:rsidRPr="00981405">
        <w:rPr>
          <w:rFonts w:eastAsia="Batang"/>
        </w:rPr>
        <w:t>This</w:t>
      </w:r>
      <w:r w:rsidR="00190923" w:rsidRPr="00981405">
        <w:rPr>
          <w:rFonts w:eastAsia="Batang"/>
        </w:rPr>
        <w:t xml:space="preserve"> </w:t>
      </w:r>
      <w:r w:rsidRPr="00981405">
        <w:rPr>
          <w:rFonts w:eastAsia="Batang"/>
        </w:rPr>
        <w:t>reading</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widespread/systematic</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is</w:t>
      </w:r>
      <w:r w:rsidR="00190923" w:rsidRPr="00981405">
        <w:rPr>
          <w:rFonts w:eastAsia="Batang"/>
        </w:rPr>
        <w:t xml:space="preserve"> </w:t>
      </w:r>
      <w:r w:rsidRPr="00981405">
        <w:rPr>
          <w:rFonts w:eastAsia="Batang"/>
        </w:rPr>
        <w:t>also</w:t>
      </w:r>
      <w:r w:rsidR="00190923" w:rsidRPr="00981405">
        <w:rPr>
          <w:rFonts w:eastAsia="Batang"/>
        </w:rPr>
        <w:t xml:space="preserve"> </w:t>
      </w:r>
      <w:r w:rsidRPr="00981405">
        <w:rPr>
          <w:rFonts w:eastAsia="Batang"/>
        </w:rPr>
        <w:t>reflected</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Commission</w:t>
      </w:r>
      <w:r w:rsidR="00B92E2C" w:rsidRPr="00981405">
        <w:rPr>
          <w:rFonts w:eastAsia="Batang"/>
        </w:rPr>
        <w:t>’</w:t>
      </w:r>
      <w:r w:rsidRPr="00981405">
        <w:rPr>
          <w:rFonts w:eastAsia="Batang"/>
        </w:rPr>
        <w:t>s</w:t>
      </w:r>
      <w:r w:rsidR="00190923" w:rsidRPr="00981405">
        <w:rPr>
          <w:rFonts w:eastAsia="Batang"/>
        </w:rPr>
        <w:t xml:space="preserve"> </w:t>
      </w:r>
      <w:r w:rsidRPr="00981405">
        <w:rPr>
          <w:rFonts w:eastAsia="Batang"/>
        </w:rPr>
        <w:t>commentary</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1996</w:t>
      </w:r>
      <w:r w:rsidR="00190923" w:rsidRPr="00981405">
        <w:rPr>
          <w:rFonts w:eastAsia="Batang"/>
        </w:rPr>
        <w:t xml:space="preserve"> </w:t>
      </w:r>
      <w:r w:rsidRPr="00981405">
        <w:rPr>
          <w:rFonts w:eastAsia="Batang"/>
        </w:rPr>
        <w:t>Draft</w:t>
      </w:r>
      <w:r w:rsidR="00190923" w:rsidRPr="00981405">
        <w:rPr>
          <w:rFonts w:eastAsia="Batang"/>
        </w:rPr>
        <w:t xml:space="preserve"> </w:t>
      </w:r>
      <w:r w:rsidRPr="00981405">
        <w:rPr>
          <w:rFonts w:eastAsia="Batang"/>
        </w:rPr>
        <w:t>Code,</w:t>
      </w:r>
      <w:r w:rsidR="00190923" w:rsidRPr="00981405">
        <w:rPr>
          <w:rFonts w:eastAsia="Batang"/>
        </w:rPr>
        <w:t xml:space="preserve"> </w:t>
      </w:r>
      <w:r w:rsidRPr="00981405">
        <w:rPr>
          <w:rFonts w:eastAsia="Batang"/>
        </w:rPr>
        <w:lastRenderedPageBreak/>
        <w:t>where</w:t>
      </w:r>
      <w:r w:rsidR="00190923" w:rsidRPr="00981405">
        <w:rPr>
          <w:rFonts w:eastAsia="Batang"/>
        </w:rPr>
        <w:t xml:space="preserve"> </w:t>
      </w:r>
      <w:r w:rsidRPr="00981405">
        <w:rPr>
          <w:rFonts w:eastAsia="Batang"/>
        </w:rPr>
        <w:t>it</w:t>
      </w:r>
      <w:r w:rsidR="00190923" w:rsidRPr="00981405">
        <w:rPr>
          <w:rFonts w:eastAsia="Batang"/>
        </w:rPr>
        <w:t xml:space="preserve"> </w:t>
      </w:r>
      <w:r w:rsidRPr="00981405">
        <w:rPr>
          <w:rFonts w:eastAsia="Batang"/>
        </w:rPr>
        <w:t>stated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an</w:t>
      </w:r>
      <w:r w:rsidR="00190923" w:rsidRPr="00981405">
        <w:rPr>
          <w:rFonts w:eastAsia="Batang"/>
        </w:rPr>
        <w:t xml:space="preserve"> </w:t>
      </w:r>
      <w:r w:rsidRPr="00981405">
        <w:rPr>
          <w:rFonts w:eastAsia="Batang"/>
        </w:rPr>
        <w:t>act</w:t>
      </w:r>
      <w:r w:rsidR="00190923" w:rsidRPr="00981405">
        <w:rPr>
          <w:rFonts w:eastAsia="Batang"/>
        </w:rPr>
        <w:t xml:space="preserve"> </w:t>
      </w:r>
      <w:r w:rsidRPr="00981405">
        <w:rPr>
          <w:rFonts w:eastAsia="Batang"/>
        </w:rPr>
        <w:t>could</w:t>
      </w:r>
      <w:r w:rsidR="00190923" w:rsidRPr="00981405">
        <w:rPr>
          <w:rFonts w:eastAsia="Batang"/>
        </w:rPr>
        <w:t xml:space="preserve"> </w:t>
      </w:r>
      <w:r w:rsidRPr="00981405">
        <w:rPr>
          <w:rFonts w:eastAsia="Batang"/>
        </w:rPr>
        <w:t>constitute</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crime</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humanity</w:t>
      </w:r>
      <w:r w:rsidR="00190923" w:rsidRPr="00981405">
        <w:rPr>
          <w:rFonts w:eastAsia="Batang"/>
        </w:rPr>
        <w:t xml:space="preserve"> </w:t>
      </w:r>
      <w:r w:rsidRPr="00981405">
        <w:rPr>
          <w:rFonts w:eastAsia="Batang"/>
        </w:rPr>
        <w:t>if</w:t>
      </w:r>
      <w:r w:rsidR="00190923" w:rsidRPr="00981405">
        <w:rPr>
          <w:rFonts w:eastAsia="Batang"/>
        </w:rPr>
        <w:t xml:space="preserve"> </w:t>
      </w:r>
      <w:r w:rsidRPr="00981405">
        <w:rPr>
          <w:rFonts w:eastAsia="Batang"/>
        </w:rPr>
        <w:t>either</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these</w:t>
      </w:r>
      <w:r w:rsidR="00190923" w:rsidRPr="00981405">
        <w:rPr>
          <w:rFonts w:eastAsia="Batang"/>
        </w:rPr>
        <w:t xml:space="preserve"> </w:t>
      </w:r>
      <w:r w:rsidRPr="00981405">
        <w:rPr>
          <w:rFonts w:eastAsia="Batang"/>
        </w:rPr>
        <w:t>conditions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scale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systematicity]</w:t>
      </w:r>
      <w:r w:rsidR="00190923" w:rsidRPr="00981405">
        <w:rPr>
          <w:rFonts w:eastAsia="Batang"/>
        </w:rPr>
        <w:t xml:space="preserve"> </w:t>
      </w:r>
      <w:r w:rsidRPr="00981405">
        <w:rPr>
          <w:rFonts w:eastAsia="Batang"/>
        </w:rPr>
        <w:t>is</w:t>
      </w:r>
      <w:r w:rsidR="00190923" w:rsidRPr="00981405">
        <w:rPr>
          <w:rFonts w:eastAsia="Batang"/>
        </w:rPr>
        <w:t xml:space="preserve"> </w:t>
      </w:r>
      <w:r w:rsidRPr="00981405">
        <w:rPr>
          <w:rFonts w:eastAsia="Batang"/>
        </w:rPr>
        <w:t>met.</w:t>
      </w:r>
      <w:bookmarkStart w:id="69" w:name="_Ref216150270"/>
      <w:r w:rsidR="00B92E2C" w:rsidRPr="00981405">
        <w:rPr>
          <w:rFonts w:eastAsia="Batang"/>
        </w:rPr>
        <w:t>”</w:t>
      </w:r>
      <w:r w:rsidRPr="00981405">
        <w:rPr>
          <w:rStyle w:val="FootnoteReference"/>
        </w:rPr>
        <w:footnoteReference w:id="123"/>
      </w:r>
      <w:bookmarkEnd w:id="69"/>
    </w:p>
    <w:p w:rsidR="00397032" w:rsidRPr="00981405" w:rsidRDefault="00397032" w:rsidP="00D97463">
      <w:pPr>
        <w:pStyle w:val="SingleTxt"/>
      </w:pPr>
      <w:r w:rsidRPr="00981405">
        <w:t>(11)</w:t>
      </w:r>
      <w:r w:rsidRPr="00981405">
        <w:tab/>
        <w:t>When</w:t>
      </w:r>
      <w:r w:rsidR="00190923" w:rsidRPr="00981405">
        <w:t xml:space="preserve"> </w:t>
      </w:r>
      <w:r w:rsidRPr="00981405">
        <w:t>this</w:t>
      </w:r>
      <w:r w:rsidR="00190923" w:rsidRPr="00981405">
        <w:t xml:space="preserve"> </w:t>
      </w:r>
      <w:r w:rsidRPr="00981405">
        <w:t>standard</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for</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some</w:t>
      </w:r>
      <w:r w:rsidR="00190923" w:rsidRPr="00981405">
        <w:t xml:space="preserve"> </w:t>
      </w:r>
      <w:r w:rsidRPr="00981405">
        <w:t>States</w:t>
      </w:r>
      <w:r w:rsidR="00190923" w:rsidRPr="00981405">
        <w:t xml:space="preserve"> </w:t>
      </w:r>
      <w:r w:rsidRPr="00981405">
        <w:t>expressed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of</w:t>
      </w:r>
      <w:r w:rsidR="00190923" w:rsidRPr="00981405">
        <w:t xml:space="preserve"> </w:t>
      </w:r>
      <w:r w:rsidR="00B92E2C" w:rsidRPr="00981405">
        <w:t>“</w:t>
      </w:r>
      <w:r w:rsidRPr="00981405">
        <w:t>widespread</w:t>
      </w:r>
      <w:r w:rsidR="00B92E2C" w:rsidRPr="00981405">
        <w:t>”</w:t>
      </w:r>
      <w:r w:rsidR="00190923" w:rsidRPr="00981405">
        <w:t xml:space="preserve"> </w:t>
      </w:r>
      <w:r w:rsidRPr="00981405">
        <w:t>and</w:t>
      </w:r>
      <w:r w:rsidR="00190923" w:rsidRPr="00981405">
        <w:t xml:space="preserve"> </w:t>
      </w:r>
      <w:r w:rsidR="00B92E2C" w:rsidRPr="00981405">
        <w:t>“</w:t>
      </w:r>
      <w:r w:rsidRPr="00981405">
        <w:t>systematic</w:t>
      </w:r>
      <w:r w:rsidR="00B92E2C" w:rsidRPr="00981405">
        <w:t>”</w:t>
      </w:r>
      <w:r w:rsidR="00190923" w:rsidRPr="00981405">
        <w:t xml:space="preserve"> </w:t>
      </w:r>
      <w:r w:rsidRPr="00981405">
        <w:t>should</w:t>
      </w:r>
      <w:r w:rsidR="00190923" w:rsidRPr="00981405">
        <w:t xml:space="preserve"> </w:t>
      </w:r>
      <w:r w:rsidRPr="00981405">
        <w:t>be</w:t>
      </w:r>
      <w:r w:rsidR="00190923" w:rsidRPr="00981405">
        <w:t xml:space="preserve"> </w:t>
      </w:r>
      <w:r w:rsidRPr="00981405">
        <w:t>conjunctive</w:t>
      </w:r>
      <w:r w:rsidR="00190923" w:rsidRPr="00981405">
        <w:t xml:space="preserve"> </w:t>
      </w:r>
      <w:r w:rsidRPr="00981405">
        <w:t>requirements</w:t>
      </w:r>
      <w:r w:rsidR="00190923" w:rsidRPr="00981405">
        <w:t xml:space="preserve"> </w:t>
      </w:r>
      <w:r w:rsidRPr="00981405">
        <w:t>—</w:t>
      </w:r>
      <w:r w:rsidR="00190923" w:rsidRPr="00981405">
        <w:t xml:space="preserve"> </w:t>
      </w:r>
      <w:r w:rsidRPr="00981405">
        <w:t>that</w:t>
      </w:r>
      <w:r w:rsidR="00190923" w:rsidRPr="00981405">
        <w:t xml:space="preserve"> </w:t>
      </w:r>
      <w:r w:rsidRPr="00981405">
        <w:t>they</w:t>
      </w:r>
      <w:r w:rsidR="00190923" w:rsidRPr="00981405">
        <w:t xml:space="preserve"> </w:t>
      </w:r>
      <w:r w:rsidRPr="00981405">
        <w:t>both</w:t>
      </w:r>
      <w:r w:rsidR="00190923" w:rsidRPr="00981405">
        <w:t xml:space="preserve"> </w:t>
      </w:r>
      <w:r w:rsidRPr="00981405">
        <w:t>should</w:t>
      </w:r>
      <w:r w:rsidR="00190923" w:rsidRPr="00981405">
        <w:t xml:space="preserve"> </w:t>
      </w:r>
      <w:r w:rsidRPr="00981405">
        <w:t>be</w:t>
      </w:r>
      <w:r w:rsidR="00190923" w:rsidRPr="00981405">
        <w:t xml:space="preserve"> </w:t>
      </w:r>
      <w:r w:rsidRPr="00981405">
        <w:t>present</w:t>
      </w:r>
      <w:r w:rsidR="00190923" w:rsidRPr="00981405">
        <w:t xml:space="preserve"> </w:t>
      </w:r>
      <w:r w:rsidRPr="00981405">
        <w:t>to</w:t>
      </w:r>
      <w:r w:rsidR="00190923" w:rsidRPr="00981405">
        <w:t xml:space="preserve"> </w:t>
      </w:r>
      <w:r w:rsidRPr="00981405">
        <w:t>establish</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the</w:t>
      </w:r>
      <w:r w:rsidR="00190923" w:rsidRPr="00981405">
        <w:t xml:space="preserve"> </w:t>
      </w:r>
      <w:r w:rsidRPr="00981405">
        <w:t>crime</w:t>
      </w:r>
      <w:r w:rsidR="00190923" w:rsidRPr="00981405">
        <w:t xml:space="preserve"> </w:t>
      </w:r>
      <w:r w:rsidRPr="00981405">
        <w:t>—</w:t>
      </w:r>
      <w:r w:rsidR="00190923" w:rsidRPr="00981405">
        <w:t xml:space="preserve"> </w:t>
      </w:r>
      <w:r w:rsidRPr="00981405">
        <w:t>because</w:t>
      </w:r>
      <w:r w:rsidR="00190923" w:rsidRPr="00981405">
        <w:t xml:space="preserve"> </w:t>
      </w:r>
      <w:r w:rsidRPr="00981405">
        <w:t>otherwise</w:t>
      </w:r>
      <w:r w:rsidR="00190923" w:rsidRPr="00981405">
        <w:t xml:space="preserve"> </w:t>
      </w:r>
      <w:r w:rsidRPr="00981405">
        <w:t>the</w:t>
      </w:r>
      <w:r w:rsidR="00190923" w:rsidRPr="00981405">
        <w:t xml:space="preserve"> </w:t>
      </w:r>
      <w:r w:rsidRPr="00981405">
        <w:t>standard</w:t>
      </w:r>
      <w:r w:rsidR="00190923" w:rsidRPr="00981405">
        <w:t xml:space="preserve"> </w:t>
      </w:r>
      <w:r w:rsidRPr="00981405">
        <w:t>would</w:t>
      </w:r>
      <w:r w:rsidR="00190923" w:rsidRPr="00981405">
        <w:t xml:space="preserve"> </w:t>
      </w:r>
      <w:r w:rsidRPr="00981405">
        <w:t>be</w:t>
      </w:r>
      <w:r w:rsidR="00190923" w:rsidRPr="00981405">
        <w:t xml:space="preserve"> </w:t>
      </w:r>
      <w:r w:rsidRPr="00981405">
        <w:t>over-inclusive.</w:t>
      </w:r>
      <w:bookmarkStart w:id="70" w:name="_Ref216244806"/>
      <w:r w:rsidRPr="00981405">
        <w:rPr>
          <w:rStyle w:val="FootnoteReference"/>
        </w:rPr>
        <w:footnoteReference w:id="124"/>
      </w:r>
      <w:bookmarkEnd w:id="70"/>
      <w:r w:rsidR="00190923" w:rsidRPr="00981405">
        <w:t xml:space="preserve"> </w:t>
      </w:r>
      <w:r w:rsidRPr="00981405">
        <w:t>Indeed,</w:t>
      </w:r>
      <w:r w:rsidR="00190923" w:rsidRPr="00981405">
        <w:t xml:space="preserve"> </w:t>
      </w:r>
      <w:r w:rsidRPr="00981405">
        <w:t>if</w:t>
      </w:r>
      <w:r w:rsidR="00190923" w:rsidRPr="00981405">
        <w:t xml:space="preserve"> </w:t>
      </w:r>
      <w:r w:rsidR="00B92E2C" w:rsidRPr="00981405">
        <w:t>“</w:t>
      </w:r>
      <w:r w:rsidRPr="00981405">
        <w:t>widespread</w:t>
      </w:r>
      <w:r w:rsidR="00B92E2C" w:rsidRPr="00981405">
        <w:t>”</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alone</w:t>
      </w:r>
      <w:r w:rsidR="00190923" w:rsidRPr="00981405">
        <w:t xml:space="preserve"> </w:t>
      </w:r>
      <w:r w:rsidRPr="00981405">
        <w:t>were</w:t>
      </w:r>
      <w:r w:rsidR="00190923" w:rsidRPr="00981405">
        <w:t xml:space="preserve"> </w:t>
      </w:r>
      <w:r w:rsidRPr="00981405">
        <w:t>sufficient,</w:t>
      </w:r>
      <w:r w:rsidR="00190923" w:rsidRPr="00981405">
        <w:t xml:space="preserve"> </w:t>
      </w:r>
      <w:r w:rsidRPr="00981405">
        <w:t>these</w:t>
      </w:r>
      <w:r w:rsidR="00190923" w:rsidRPr="00981405">
        <w:t xml:space="preserve"> </w:t>
      </w:r>
      <w:r w:rsidRPr="00981405">
        <w:t>States</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t>spontaneous</w:t>
      </w:r>
      <w:r w:rsidR="00190923" w:rsidRPr="00981405">
        <w:t xml:space="preserve"> </w:t>
      </w:r>
      <w:r w:rsidRPr="00981405">
        <w:t>waves</w:t>
      </w:r>
      <w:r w:rsidR="00190923" w:rsidRPr="00981405">
        <w:t xml:space="preserve"> </w:t>
      </w:r>
      <w:r w:rsidRPr="00981405">
        <w:t>of</w:t>
      </w:r>
      <w:r w:rsidR="00190923" w:rsidRPr="00981405">
        <w:t xml:space="preserve"> </w:t>
      </w:r>
      <w:r w:rsidRPr="00981405">
        <w:t>widespread,</w:t>
      </w:r>
      <w:r w:rsidR="00190923" w:rsidRPr="00981405">
        <w:t xml:space="preserve"> </w:t>
      </w:r>
      <w:r w:rsidRPr="00981405">
        <w:t>but</w:t>
      </w:r>
      <w:r w:rsidR="00190923" w:rsidRPr="00981405">
        <w:t xml:space="preserve"> </w:t>
      </w:r>
      <w:r w:rsidRPr="00981405">
        <w:t>unrelated,</w:t>
      </w:r>
      <w:r w:rsidR="00190923" w:rsidRPr="00981405">
        <w:t xml:space="preserve"> </w:t>
      </w:r>
      <w:r w:rsidRPr="00981405">
        <w:t>crimes</w:t>
      </w:r>
      <w:r w:rsidR="00190923" w:rsidRPr="00981405">
        <w:t xml:space="preserve"> </w:t>
      </w:r>
      <w:r w:rsidRPr="00981405">
        <w:t>would</w:t>
      </w:r>
      <w:r w:rsidR="00190923" w:rsidRPr="00981405">
        <w:t xml:space="preserve"> </w:t>
      </w:r>
      <w:r w:rsidRPr="00981405">
        <w:t>constitute</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Due</w:t>
      </w:r>
      <w:r w:rsidR="00190923" w:rsidRPr="00981405">
        <w:t xml:space="preserve"> </w:t>
      </w:r>
      <w:r w:rsidRPr="00981405">
        <w:t>to</w:t>
      </w:r>
      <w:r w:rsidR="00190923" w:rsidRPr="00981405">
        <w:t xml:space="preserve"> </w:t>
      </w:r>
      <w:r w:rsidRPr="00981405">
        <w:t>that</w:t>
      </w:r>
      <w:r w:rsidR="00190923" w:rsidRPr="00981405">
        <w:t xml:space="preserve"> </w:t>
      </w:r>
      <w:r w:rsidRPr="00981405">
        <w:t>concern,</w:t>
      </w:r>
      <w:r w:rsidR="00190923" w:rsidRPr="00981405">
        <w:t xml:space="preserve"> </w:t>
      </w:r>
      <w:r w:rsidRPr="00981405">
        <w:t>a</w:t>
      </w:r>
      <w:r w:rsidR="00190923" w:rsidRPr="00981405">
        <w:t xml:space="preserve"> </w:t>
      </w:r>
      <w:r w:rsidRPr="00981405">
        <w:t>compromise</w:t>
      </w:r>
      <w:r w:rsidR="00190923" w:rsidRPr="00981405">
        <w:t xml:space="preserve"> </w:t>
      </w:r>
      <w:r w:rsidRPr="00981405">
        <w:t>was</w:t>
      </w:r>
      <w:r w:rsidR="00190923" w:rsidRPr="00981405">
        <w:t xml:space="preserve"> </w:t>
      </w:r>
      <w:r w:rsidRPr="00981405">
        <w:t>developed</w:t>
      </w:r>
      <w:r w:rsidR="00190923" w:rsidRPr="00981405">
        <w:t xml:space="preserve"> </w:t>
      </w:r>
      <w:r w:rsidRPr="00981405">
        <w:t>that</w:t>
      </w:r>
      <w:r w:rsidR="00190923" w:rsidRPr="00981405">
        <w:t xml:space="preserve"> </w:t>
      </w:r>
      <w:r w:rsidRPr="00981405">
        <w:t>involved</w:t>
      </w:r>
      <w:r w:rsidR="00190923" w:rsidRPr="00981405">
        <w:t xml:space="preserve"> </w:t>
      </w:r>
      <w:r w:rsidRPr="00981405">
        <w:t>leaving</w:t>
      </w:r>
      <w:r w:rsidR="00190923" w:rsidRPr="00981405">
        <w:t xml:space="preserve"> </w:t>
      </w:r>
      <w:r w:rsidRPr="00981405">
        <w:t>these</w:t>
      </w:r>
      <w:r w:rsidR="00190923" w:rsidRPr="00981405">
        <w:t xml:space="preserve"> </w:t>
      </w:r>
      <w:r w:rsidRPr="00981405">
        <w:t>conditions</w:t>
      </w:r>
      <w:r w:rsidR="00190923" w:rsidRPr="00981405">
        <w:t xml:space="preserve"> </w:t>
      </w:r>
      <w:r w:rsidRPr="00981405">
        <w:t>in</w:t>
      </w:r>
      <w:r w:rsidR="00190923" w:rsidRPr="00981405">
        <w:t xml:space="preserve"> </w:t>
      </w:r>
      <w:r w:rsidRPr="00981405">
        <w:t>the</w:t>
      </w:r>
      <w:r w:rsidR="00190923" w:rsidRPr="00981405">
        <w:t xml:space="preserve"> </w:t>
      </w:r>
      <w:r w:rsidRPr="00981405">
        <w:t>disjunctive,</w:t>
      </w:r>
      <w:bookmarkStart w:id="71" w:name="_Ref295898872"/>
      <w:r w:rsidRPr="00981405">
        <w:rPr>
          <w:rStyle w:val="FootnoteReference"/>
        </w:rPr>
        <w:footnoteReference w:id="125"/>
      </w:r>
      <w:bookmarkEnd w:id="71"/>
      <w:r w:rsidR="00190923" w:rsidRPr="00981405">
        <w:t xml:space="preserve"> </w:t>
      </w:r>
      <w:r w:rsidRPr="00981405">
        <w:t>but</w:t>
      </w:r>
      <w:r w:rsidR="00190923" w:rsidRPr="00981405">
        <w:t xml:space="preserve"> </w:t>
      </w:r>
      <w:r w:rsidRPr="00981405">
        <w:t>adding</w:t>
      </w:r>
      <w:r w:rsidR="00190923" w:rsidRPr="00981405">
        <w:t xml:space="preserve"> </w:t>
      </w:r>
      <w:r w:rsidRPr="00981405">
        <w:t>to</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2</w:t>
      </w:r>
      <w:r w:rsidR="00190923" w:rsidRPr="00981405">
        <w:t xml:space="preserve"> </w:t>
      </w:r>
      <w:r w:rsidRPr="00981405">
        <w:t>(a),</w:t>
      </w:r>
      <w:r w:rsidR="00190923" w:rsidRPr="00981405">
        <w:t xml:space="preserve"> </w:t>
      </w:r>
      <w:r w:rsidRPr="00981405">
        <w:t>a</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attack</w:t>
      </w:r>
      <w:r w:rsidR="00B92E2C" w:rsidRPr="00981405">
        <w:t>”</w:t>
      </w:r>
      <w:r w:rsidR="00190923" w:rsidRPr="00981405">
        <w:t xml:space="preserve"> </w:t>
      </w:r>
      <w:r w:rsidRPr="00981405">
        <w:t>which,</w:t>
      </w:r>
      <w:r w:rsidR="00190923" w:rsidRPr="00981405">
        <w:t xml:space="preserve"> </w:t>
      </w:r>
      <w:r w:rsidRPr="00981405">
        <w:t>as</w:t>
      </w:r>
      <w:r w:rsidR="00190923" w:rsidRPr="00981405">
        <w:t xml:space="preserve"> </w:t>
      </w:r>
      <w:r w:rsidRPr="00981405">
        <w:t>discussed</w:t>
      </w:r>
      <w:r w:rsidR="00190923" w:rsidRPr="00981405">
        <w:t xml:space="preserve"> </w:t>
      </w:r>
      <w:r w:rsidRPr="00981405">
        <w:t>below,</w:t>
      </w:r>
      <w:r w:rsidR="00190923" w:rsidRPr="00981405">
        <w:t xml:space="preserve"> </w:t>
      </w:r>
      <w:r w:rsidRPr="00981405">
        <w:t>contains</w:t>
      </w:r>
      <w:r w:rsidR="00190923" w:rsidRPr="00981405">
        <w:t xml:space="preserve"> </w:t>
      </w:r>
      <w:r w:rsidRPr="00981405">
        <w:t>a</w:t>
      </w:r>
      <w:r w:rsidR="00190923" w:rsidRPr="00981405">
        <w:t xml:space="preserve"> </w:t>
      </w:r>
      <w:r w:rsidRPr="00981405">
        <w:t>policy</w:t>
      </w:r>
      <w:r w:rsidR="00190923" w:rsidRPr="00981405">
        <w:t xml:space="preserve"> </w:t>
      </w:r>
      <w:r w:rsidRPr="00981405">
        <w:t>element.</w:t>
      </w:r>
      <w:bookmarkEnd w:id="63"/>
      <w:bookmarkEnd w:id="64"/>
    </w:p>
    <w:p w:rsidR="00397032" w:rsidRPr="00981405" w:rsidRDefault="00397032" w:rsidP="00D97463">
      <w:pPr>
        <w:pStyle w:val="SingleTxt"/>
      </w:pPr>
      <w:r w:rsidRPr="00981405">
        <w:t>(12)</w:t>
      </w:r>
      <w:r w:rsidRPr="00981405">
        <w:tab/>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ICTY</w:t>
      </w:r>
      <w:r w:rsidR="00190923" w:rsidRPr="00981405">
        <w:t xml:space="preserve"> </w:t>
      </w:r>
      <w:r w:rsidRPr="00981405">
        <w:t>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Kunarac</w:t>
      </w:r>
      <w:r w:rsidRPr="00981405">
        <w:t>,</w:t>
      </w:r>
      <w:r w:rsidR="00190923" w:rsidRPr="00981405">
        <w:t xml:space="preserve"> </w:t>
      </w:r>
      <w:r w:rsidR="00B92E2C" w:rsidRPr="00981405">
        <w:t>“</w:t>
      </w:r>
      <w:r w:rsidRPr="00981405">
        <w:t>[t]he</w:t>
      </w:r>
      <w:r w:rsidR="00190923" w:rsidRPr="00981405">
        <w:t xml:space="preserve"> </w:t>
      </w:r>
      <w:r w:rsidRPr="00981405">
        <w:t>adjective</w:t>
      </w:r>
      <w:r w:rsidR="00190923" w:rsidRPr="00981405">
        <w:t xml:space="preserve"> </w:t>
      </w:r>
      <w:r w:rsidR="00B92E2C" w:rsidRPr="00981405">
        <w:t>‘</w:t>
      </w:r>
      <w:r w:rsidRPr="00981405">
        <w:t>widespread</w:t>
      </w:r>
      <w:r w:rsidR="00B92E2C" w:rsidRPr="00981405">
        <w:t>’</w:t>
      </w:r>
      <w:r w:rsidR="00190923" w:rsidRPr="00981405">
        <w:t xml:space="preserve"> </w:t>
      </w:r>
      <w:r w:rsidRPr="00981405">
        <w:t>connotes</w:t>
      </w:r>
      <w:r w:rsidR="00190923" w:rsidRPr="00981405">
        <w:t xml:space="preserve"> </w:t>
      </w:r>
      <w:r w:rsidRPr="00981405">
        <w:t>the</w:t>
      </w:r>
      <w:r w:rsidR="00190923" w:rsidRPr="00981405">
        <w:t xml:space="preserve"> </w:t>
      </w:r>
      <w:r w:rsidRPr="00981405">
        <w:t>large-scale</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and</w:t>
      </w:r>
      <w:r w:rsidR="00190923" w:rsidRPr="00981405">
        <w:t xml:space="preserve"> </w:t>
      </w:r>
      <w:r w:rsidRPr="00981405">
        <w:t>the</w:t>
      </w:r>
      <w:r w:rsidR="00190923" w:rsidRPr="00981405">
        <w:t xml:space="preserve"> </w:t>
      </w:r>
      <w:r w:rsidRPr="00981405">
        <w:t>number</w:t>
      </w:r>
      <w:r w:rsidR="00190923" w:rsidRPr="00981405">
        <w:t xml:space="preserve"> </w:t>
      </w:r>
      <w:r w:rsidRPr="00981405">
        <w:t>of</w:t>
      </w:r>
      <w:r w:rsidR="00190923" w:rsidRPr="00981405">
        <w:t xml:space="preserve"> </w:t>
      </w:r>
      <w:r w:rsidRPr="00981405">
        <w:t>its</w:t>
      </w:r>
      <w:r w:rsidR="00190923" w:rsidRPr="00981405">
        <w:t xml:space="preserve"> </w:t>
      </w:r>
      <w:r w:rsidRPr="00981405">
        <w:t>victims.</w:t>
      </w:r>
      <w:bookmarkStart w:id="72" w:name="_Ref295900108"/>
      <w:r w:rsidR="00B92E2C" w:rsidRPr="00981405">
        <w:t>”</w:t>
      </w:r>
      <w:r w:rsidRPr="00981405">
        <w:rPr>
          <w:rStyle w:val="FootnoteReference"/>
        </w:rPr>
        <w:footnoteReference w:id="126"/>
      </w:r>
      <w:bookmarkEnd w:id="72"/>
      <w:r w:rsidR="00190923" w:rsidRPr="00981405">
        <w:t xml:space="preserve"> </w:t>
      </w:r>
      <w:r w:rsidRPr="00981405">
        <w:t>As</w:t>
      </w:r>
      <w:r w:rsidR="00190923" w:rsidRPr="00981405">
        <w:t xml:space="preserve"> </w:t>
      </w:r>
      <w:r w:rsidRPr="00981405">
        <w:t>such,</w:t>
      </w:r>
      <w:r w:rsidR="00190923" w:rsidRPr="00981405">
        <w:t xml:space="preserve"> </w:t>
      </w:r>
      <w:r w:rsidRPr="00981405">
        <w:t>this</w:t>
      </w:r>
      <w:r w:rsidR="00190923" w:rsidRPr="00981405">
        <w:t xml:space="preserve"> </w:t>
      </w:r>
      <w:r w:rsidRPr="00981405">
        <w:t>requirement</w:t>
      </w:r>
      <w:r w:rsidR="00190923" w:rsidRPr="00981405">
        <w:t xml:space="preserve"> </w:t>
      </w:r>
      <w:r w:rsidRPr="00981405">
        <w:t>refers</w:t>
      </w:r>
      <w:r w:rsidR="00190923" w:rsidRPr="00981405">
        <w:t xml:space="preserve"> </w:t>
      </w:r>
      <w:r w:rsidRPr="00981405">
        <w:t>to</w:t>
      </w:r>
      <w:r w:rsidR="00190923" w:rsidRPr="00981405">
        <w:t xml:space="preserve"> </w:t>
      </w:r>
      <w:r w:rsidRPr="00981405">
        <w:t>a</w:t>
      </w:r>
      <w:r w:rsidR="00190923" w:rsidRPr="00981405">
        <w:t xml:space="preserve"> </w:t>
      </w:r>
      <w:r w:rsidR="00B92E2C" w:rsidRPr="00981405">
        <w:t>“</w:t>
      </w:r>
      <w:r w:rsidRPr="00981405">
        <w:t>multiplicity</w:t>
      </w:r>
      <w:r w:rsidR="00190923" w:rsidRPr="00981405">
        <w:t xml:space="preserve"> </w:t>
      </w:r>
      <w:r w:rsidRPr="00981405">
        <w:t>of</w:t>
      </w:r>
      <w:r w:rsidR="00190923" w:rsidRPr="00981405">
        <w:t xml:space="preserve"> </w:t>
      </w:r>
      <w:r w:rsidRPr="00981405">
        <w:t>victims</w:t>
      </w:r>
      <w:bookmarkStart w:id="73" w:name="_Ref339979171"/>
      <w:r w:rsidR="00B92E2C" w:rsidRPr="00981405">
        <w:t>”</w:t>
      </w:r>
      <w:r w:rsidRPr="00981405">
        <w:rPr>
          <w:rStyle w:val="FootnoteReference"/>
        </w:rPr>
        <w:footnoteReference w:id="127"/>
      </w:r>
      <w:bookmarkEnd w:id="73"/>
      <w:r w:rsidR="00190923" w:rsidRPr="00981405">
        <w:t xml:space="preserve"> </w:t>
      </w:r>
      <w:r w:rsidRPr="00981405">
        <w:t>and</w:t>
      </w:r>
      <w:r w:rsidR="00190923" w:rsidRPr="00981405">
        <w:t xml:space="preserve"> </w:t>
      </w:r>
      <w:r w:rsidRPr="00981405">
        <w:t>excludes</w:t>
      </w:r>
      <w:r w:rsidR="00190923" w:rsidRPr="00981405">
        <w:t xml:space="preserve"> </w:t>
      </w:r>
      <w:r w:rsidRPr="00981405">
        <w:t>isolated</w:t>
      </w:r>
      <w:r w:rsidR="00190923" w:rsidRPr="00981405">
        <w:t xml:space="preserve"> </w:t>
      </w:r>
      <w:r w:rsidRPr="00981405">
        <w:t>acts</w:t>
      </w:r>
      <w:r w:rsidR="00190923" w:rsidRPr="00981405">
        <w:t xml:space="preserve"> </w:t>
      </w:r>
      <w:r w:rsidRPr="00981405">
        <w:t>of</w:t>
      </w:r>
      <w:r w:rsidR="00190923" w:rsidRPr="00981405">
        <w:t xml:space="preserve"> </w:t>
      </w:r>
      <w:r w:rsidRPr="00981405">
        <w:t>violence,</w:t>
      </w:r>
      <w:bookmarkStart w:id="74" w:name="_Ref295902455"/>
      <w:r w:rsidRPr="00981405">
        <w:rPr>
          <w:rStyle w:val="FootnoteReference"/>
        </w:rPr>
        <w:footnoteReference w:id="128"/>
      </w:r>
      <w:bookmarkEnd w:id="74"/>
      <w:r w:rsidR="00190923" w:rsidRPr="00981405">
        <w:t xml:space="preserve"> </w:t>
      </w:r>
      <w:r w:rsidRPr="00981405">
        <w:t>such</w:t>
      </w:r>
      <w:r w:rsidR="00190923" w:rsidRPr="00981405">
        <w:t xml:space="preserve"> </w:t>
      </w:r>
      <w:r w:rsidRPr="00981405">
        <w:t>as</w:t>
      </w:r>
      <w:r w:rsidR="00190923" w:rsidRPr="00981405">
        <w:t xml:space="preserve"> </w:t>
      </w:r>
      <w:r w:rsidRPr="00981405">
        <w:t>murder</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individual</w:t>
      </w:r>
      <w:r w:rsidR="00190923" w:rsidRPr="00981405">
        <w:t xml:space="preserve"> </w:t>
      </w:r>
      <w:r w:rsidRPr="00981405">
        <w:t>victims</w:t>
      </w:r>
      <w:r w:rsidR="00190923" w:rsidRPr="00981405">
        <w:t xml:space="preserve"> </w:t>
      </w:r>
      <w:r w:rsidRPr="00981405">
        <w:t>by</w:t>
      </w:r>
      <w:r w:rsidR="00190923" w:rsidRPr="00981405">
        <w:t xml:space="preserve"> </w:t>
      </w:r>
      <w:r w:rsidRPr="00981405">
        <w:t>persons</w:t>
      </w:r>
      <w:r w:rsidR="00190923" w:rsidRPr="00981405">
        <w:t xml:space="preserve"> </w:t>
      </w:r>
      <w:r w:rsidRPr="00981405">
        <w:lastRenderedPageBreak/>
        <w:t>acting</w:t>
      </w:r>
      <w:r w:rsidR="00190923" w:rsidRPr="00981405">
        <w:t xml:space="preserve"> </w:t>
      </w:r>
      <w:r w:rsidRPr="00981405">
        <w:t>of</w:t>
      </w:r>
      <w:r w:rsidR="00190923" w:rsidRPr="00981405">
        <w:t xml:space="preserve"> </w:t>
      </w:r>
      <w:r w:rsidRPr="00981405">
        <w:t>their</w:t>
      </w:r>
      <w:r w:rsidR="00190923" w:rsidRPr="00981405">
        <w:t xml:space="preserve"> </w:t>
      </w:r>
      <w:r w:rsidRPr="00981405">
        <w:t>own</w:t>
      </w:r>
      <w:r w:rsidR="00190923" w:rsidRPr="00981405">
        <w:t xml:space="preserve"> </w:t>
      </w:r>
      <w:r w:rsidRPr="00981405">
        <w:t>volition</w:t>
      </w:r>
      <w:r w:rsidR="00190923" w:rsidRPr="00981405">
        <w:t xml:space="preserve"> </w:t>
      </w:r>
      <w:r w:rsidRPr="00981405">
        <w:t>rather</w:t>
      </w:r>
      <w:r w:rsidR="00190923" w:rsidRPr="00981405">
        <w:t xml:space="preserve"> </w:t>
      </w:r>
      <w:r w:rsidRPr="00981405">
        <w:t>than</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broader</w:t>
      </w:r>
      <w:r w:rsidR="00190923" w:rsidRPr="00981405">
        <w:t xml:space="preserve"> </w:t>
      </w:r>
      <w:r w:rsidRPr="00981405">
        <w:t>initiative.</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a</w:t>
      </w:r>
      <w:r w:rsidR="00190923" w:rsidRPr="00981405">
        <w:t xml:space="preserve"> </w:t>
      </w:r>
      <w:r w:rsidRPr="00981405">
        <w:t>single</w:t>
      </w:r>
      <w:r w:rsidR="00190923" w:rsidRPr="00981405">
        <w:t xml:space="preserve"> </w:t>
      </w:r>
      <w:r w:rsidRPr="00981405">
        <w:t>act</w:t>
      </w:r>
      <w:r w:rsidR="00190923" w:rsidRPr="00981405">
        <w:t xml:space="preserve"> </w:t>
      </w:r>
      <w:r w:rsidRPr="00981405">
        <w:t>committed</w:t>
      </w:r>
      <w:r w:rsidR="00190923" w:rsidRPr="00981405">
        <w:t xml:space="preserve"> </w:t>
      </w:r>
      <w:r w:rsidRPr="00981405">
        <w:t>by</w:t>
      </w:r>
      <w:r w:rsidR="00190923" w:rsidRPr="00981405">
        <w:t xml:space="preserve"> </w:t>
      </w:r>
      <w:r w:rsidRPr="00981405">
        <w:t>an</w:t>
      </w:r>
      <w:r w:rsidR="00190923" w:rsidRPr="00981405">
        <w:t xml:space="preserve"> </w:t>
      </w:r>
      <w:r w:rsidRPr="00981405">
        <w:t>individual</w:t>
      </w:r>
      <w:r w:rsidR="00190923" w:rsidRPr="00981405">
        <w:t xml:space="preserve"> </w:t>
      </w:r>
      <w:r w:rsidRPr="00981405">
        <w:t>perpetrator</w:t>
      </w:r>
      <w:r w:rsidR="00190923" w:rsidRPr="00981405">
        <w:t xml:space="preserve"> </w:t>
      </w:r>
      <w:r w:rsidRPr="00981405">
        <w:t>can</w:t>
      </w:r>
      <w:r w:rsidR="00190923" w:rsidRPr="00981405">
        <w:t xml:space="preserve"> </w:t>
      </w:r>
      <w:r w:rsidRPr="00981405">
        <w:t>constitute</w:t>
      </w:r>
      <w:r w:rsidR="00190923" w:rsidRPr="00981405">
        <w:t xml:space="preserve"> </w:t>
      </w:r>
      <w:r w:rsidRPr="00981405">
        <w:t>a</w:t>
      </w:r>
      <w:r w:rsidR="00190923" w:rsidRPr="00981405">
        <w:t xml:space="preserve"> </w:t>
      </w:r>
      <w:r w:rsidRPr="00981405">
        <w:t>crime</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if</w:t>
      </w:r>
      <w:r w:rsidR="00190923" w:rsidRPr="00981405">
        <w:t xml:space="preserve"> </w:t>
      </w:r>
      <w:r w:rsidRPr="00981405">
        <w:t>it</w:t>
      </w:r>
      <w:r w:rsidR="00190923" w:rsidRPr="00981405">
        <w:t xml:space="preserve"> </w:t>
      </w:r>
      <w:r w:rsidRPr="00981405">
        <w:t>occurs</w:t>
      </w:r>
      <w:r w:rsidR="00190923" w:rsidRPr="00981405">
        <w:t xml:space="preserve"> </w:t>
      </w:r>
      <w:r w:rsidRPr="00981405">
        <w:t>within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a</w:t>
      </w:r>
      <w:r w:rsidR="00190923" w:rsidRPr="00981405">
        <w:t xml:space="preserve"> </w:t>
      </w:r>
      <w:r w:rsidRPr="00981405">
        <w:t>broader</w:t>
      </w:r>
      <w:r w:rsidR="00190923" w:rsidRPr="00981405">
        <w:t xml:space="preserve"> </w:t>
      </w:r>
      <w:r w:rsidRPr="00981405">
        <w:t>campaign.</w:t>
      </w:r>
      <w:bookmarkStart w:id="75" w:name="_Ref340059309"/>
      <w:r w:rsidRPr="00981405">
        <w:rPr>
          <w:rStyle w:val="FootnoteReference"/>
        </w:rPr>
        <w:footnoteReference w:id="129"/>
      </w:r>
      <w:bookmarkEnd w:id="75"/>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specific</w:t>
      </w:r>
      <w:r w:rsidR="00190923" w:rsidRPr="00981405">
        <w:t xml:space="preserve"> </w:t>
      </w:r>
      <w:r w:rsidRPr="00981405">
        <w:t>numerical</w:t>
      </w:r>
      <w:r w:rsidR="00190923" w:rsidRPr="00981405">
        <w:t xml:space="preserve"> </w:t>
      </w:r>
      <w:r w:rsidRPr="00981405">
        <w:t>threshold</w:t>
      </w:r>
      <w:r w:rsidR="00190923" w:rsidRPr="00981405">
        <w:t xml:space="preserve"> </w:t>
      </w:r>
      <w:r w:rsidRPr="00981405">
        <w:t>of</w:t>
      </w:r>
      <w:r w:rsidR="00190923" w:rsidRPr="00981405">
        <w:t xml:space="preserve"> </w:t>
      </w:r>
      <w:r w:rsidRPr="00981405">
        <w:t>victims</w:t>
      </w:r>
      <w:r w:rsidR="00190923" w:rsidRPr="00981405">
        <w:t xml:space="preserve"> </w:t>
      </w:r>
      <w:r w:rsidRPr="00981405">
        <w:t>that</w:t>
      </w:r>
      <w:r w:rsidR="00190923" w:rsidRPr="00981405">
        <w:t xml:space="preserve"> </w:t>
      </w:r>
      <w:r w:rsidRPr="00981405">
        <w:t>must</w:t>
      </w:r>
      <w:r w:rsidR="00190923" w:rsidRPr="00981405">
        <w:t xml:space="preserve"> </w:t>
      </w:r>
      <w:r w:rsidRPr="00981405">
        <w:t>be</w:t>
      </w:r>
      <w:r w:rsidR="00190923" w:rsidRPr="00981405">
        <w:t xml:space="preserve"> </w:t>
      </w:r>
      <w:r w:rsidRPr="00981405">
        <w:t>met</w:t>
      </w:r>
      <w:r w:rsidR="00190923" w:rsidRPr="00981405">
        <w:t xml:space="preserve"> </w:t>
      </w:r>
      <w:r w:rsidRPr="00981405">
        <w:t>for</w:t>
      </w:r>
      <w:r w:rsidR="00190923" w:rsidRPr="00981405">
        <w:t xml:space="preserve"> </w:t>
      </w:r>
      <w:r w:rsidRPr="00981405">
        <w:t>an</w:t>
      </w:r>
      <w:r w:rsidR="00190923" w:rsidRPr="00981405">
        <w:t xml:space="preserve"> </w:t>
      </w:r>
      <w:r w:rsidRPr="00981405">
        <w:t>attack</w:t>
      </w:r>
      <w:r w:rsidR="00190923" w:rsidRPr="00981405">
        <w:t xml:space="preserve"> </w:t>
      </w:r>
      <w:r w:rsidRPr="00981405">
        <w:t>to</w:t>
      </w:r>
      <w:r w:rsidR="00190923" w:rsidRPr="00981405">
        <w:t xml:space="preserve"> </w:t>
      </w:r>
      <w:r w:rsidRPr="00981405">
        <w:t>be</w:t>
      </w:r>
      <w:r w:rsidR="00190923" w:rsidRPr="00981405">
        <w:t xml:space="preserve"> </w:t>
      </w:r>
      <w:r w:rsidR="00B92E2C" w:rsidRPr="00981405">
        <w:t>“</w:t>
      </w:r>
      <w:r w:rsidRPr="00981405">
        <w:t>widespread</w:t>
      </w:r>
      <w:r w:rsidR="00B92E2C" w:rsidRPr="00981405">
        <w:t>”</w:t>
      </w:r>
      <w:r w:rsidR="00263608">
        <w:t>.</w:t>
      </w:r>
    </w:p>
    <w:p w:rsidR="00397032" w:rsidRPr="00981405" w:rsidRDefault="00397032" w:rsidP="00D97463">
      <w:pPr>
        <w:pStyle w:val="SingleTxt"/>
      </w:pPr>
      <w:r w:rsidRPr="00981405">
        <w:t>(13)</w:t>
      </w:r>
      <w:r w:rsidRPr="00981405">
        <w:tab/>
      </w:r>
      <w:r w:rsidR="00B92E2C" w:rsidRPr="00981405">
        <w:t>“</w:t>
      </w:r>
      <w:r w:rsidRPr="00981405">
        <w:t>Widespread</w:t>
      </w:r>
      <w:r w:rsidR="00B92E2C" w:rsidRPr="00981405">
        <w:t>”</w:t>
      </w:r>
      <w:r w:rsidR="00190923" w:rsidRPr="00981405">
        <w:t xml:space="preserve"> </w:t>
      </w:r>
      <w:r w:rsidRPr="00981405">
        <w:t>can</w:t>
      </w:r>
      <w:r w:rsidR="00190923" w:rsidRPr="00981405">
        <w:t xml:space="preserve"> </w:t>
      </w:r>
      <w:r w:rsidRPr="00981405">
        <w:t>also</w:t>
      </w:r>
      <w:r w:rsidR="00190923" w:rsidRPr="00981405">
        <w:t xml:space="preserve"> </w:t>
      </w:r>
      <w:r w:rsidRPr="00981405">
        <w:t>have</w:t>
      </w:r>
      <w:r w:rsidR="00190923" w:rsidRPr="00981405">
        <w:t xml:space="preserve"> </w:t>
      </w:r>
      <w:r w:rsidRPr="00981405">
        <w:t>a</w:t>
      </w:r>
      <w:r w:rsidR="00190923" w:rsidRPr="00981405">
        <w:t xml:space="preserve"> </w:t>
      </w:r>
      <w:r w:rsidRPr="00981405">
        <w:t>geographical</w:t>
      </w:r>
      <w:r w:rsidR="00190923" w:rsidRPr="00981405">
        <w:t xml:space="preserve"> </w:t>
      </w:r>
      <w:r w:rsidRPr="00981405">
        <w:t>dimension,</w:t>
      </w:r>
      <w:r w:rsidR="00190923" w:rsidRPr="00981405">
        <w:t xml:space="preserve"> </w:t>
      </w:r>
      <w:r w:rsidRPr="00981405">
        <w:t>with</w:t>
      </w:r>
      <w:r w:rsidR="00190923" w:rsidRPr="00981405">
        <w:t xml:space="preserve"> </w:t>
      </w:r>
      <w:r w:rsidRPr="00981405">
        <w:t>the</w:t>
      </w:r>
      <w:r w:rsidR="00190923" w:rsidRPr="00981405">
        <w:t xml:space="preserve"> </w:t>
      </w:r>
      <w:r w:rsidRPr="00981405">
        <w:t>attack</w:t>
      </w:r>
      <w:r w:rsidR="00190923" w:rsidRPr="00981405">
        <w:t xml:space="preserve"> </w:t>
      </w:r>
      <w:r w:rsidRPr="00981405">
        <w:t>occurring</w:t>
      </w:r>
      <w:r w:rsidR="00190923" w:rsidRPr="00981405">
        <w:t xml:space="preserve"> </w:t>
      </w:r>
      <w:r w:rsidRPr="00981405">
        <w:t>in</w:t>
      </w:r>
      <w:r w:rsidR="00190923" w:rsidRPr="00981405">
        <w:t xml:space="preserve"> </w:t>
      </w:r>
      <w:r w:rsidRPr="00981405">
        <w:t>different</w:t>
      </w:r>
      <w:r w:rsidR="00190923" w:rsidRPr="00981405">
        <w:t xml:space="preserve"> </w:t>
      </w:r>
      <w:r w:rsidRPr="00981405">
        <w:t>locations.</w:t>
      </w:r>
      <w:bookmarkStart w:id="76" w:name="_Ref295904108"/>
      <w:r w:rsidRPr="00981405">
        <w:rPr>
          <w:rStyle w:val="FootnoteReference"/>
        </w:rPr>
        <w:footnoteReference w:id="130"/>
      </w:r>
      <w:bookmarkEnd w:id="76"/>
      <w:r w:rsidR="00190923" w:rsidRPr="00981405">
        <w:t xml:space="preserve"> </w:t>
      </w:r>
      <w:r w:rsidRPr="00981405">
        <w:t>Thus,</w:t>
      </w:r>
      <w:r w:rsidR="00190923" w:rsidRPr="00981405">
        <w:t xml:space="preserve"> </w:t>
      </w:r>
      <w:r w:rsidRPr="00981405">
        <w:t>in</w:t>
      </w:r>
      <w:r w:rsidR="00190923" w:rsidRPr="00981405">
        <w:t xml:space="preserve"> </w:t>
      </w:r>
      <w:r w:rsidRPr="00981405">
        <w:t>the</w:t>
      </w:r>
      <w:r w:rsidR="00190923" w:rsidRPr="00981405">
        <w:rPr>
          <w:i/>
          <w:iCs/>
        </w:rPr>
        <w:t xml:space="preserve"> </w:t>
      </w:r>
      <w:r w:rsidRPr="00D97463">
        <w:rPr>
          <w:i/>
          <w:iCs/>
        </w:rPr>
        <w:t>Bemba</w:t>
      </w:r>
      <w:r w:rsidR="00190923" w:rsidRPr="00981405">
        <w:t xml:space="preserve"> </w:t>
      </w:r>
      <w:r w:rsidRPr="00981405">
        <w:t>case,</w:t>
      </w:r>
      <w:r w:rsidR="00190923" w:rsidRPr="00981405">
        <w:t xml:space="preserve"> </w:t>
      </w:r>
      <w:r w:rsidRPr="00981405">
        <w:t>the</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found</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sufficient</w:t>
      </w:r>
      <w:r w:rsidR="00190923" w:rsidRPr="00981405">
        <w:t xml:space="preserve"> </w:t>
      </w:r>
      <w:r w:rsidRPr="00981405">
        <w:t>evidence</w:t>
      </w:r>
      <w:r w:rsidR="00190923" w:rsidRPr="00981405">
        <w:t xml:space="preserve"> </w:t>
      </w:r>
      <w:r w:rsidRPr="00981405">
        <w:t>to</w:t>
      </w:r>
      <w:r w:rsidR="00190923" w:rsidRPr="00981405">
        <w:t xml:space="preserve"> </w:t>
      </w:r>
      <w:r w:rsidRPr="00981405">
        <w:t>establish</w:t>
      </w:r>
      <w:r w:rsidR="00190923" w:rsidRPr="00981405">
        <w:t xml:space="preserve"> </w:t>
      </w:r>
      <w:r w:rsidRPr="00981405">
        <w:t>that</w:t>
      </w:r>
      <w:r w:rsidR="00190923" w:rsidRPr="00981405">
        <w:t xml:space="preserve"> </w:t>
      </w:r>
      <w:r w:rsidRPr="00981405">
        <w:t>an</w:t>
      </w:r>
      <w:r w:rsidR="00190923" w:rsidRPr="00981405">
        <w:t xml:space="preserve"> </w:t>
      </w:r>
      <w:r w:rsidRPr="00981405">
        <w:t>attack</w:t>
      </w:r>
      <w:r w:rsidR="00190923" w:rsidRPr="00981405">
        <w:t xml:space="preserve"> </w:t>
      </w:r>
      <w:r w:rsidRPr="00981405">
        <w:t>was</w:t>
      </w:r>
      <w:r w:rsidR="00190923" w:rsidRPr="00981405">
        <w:t xml:space="preserve"> </w:t>
      </w:r>
      <w:r w:rsidR="00B92E2C" w:rsidRPr="00981405">
        <w:t>“</w:t>
      </w:r>
      <w:r w:rsidRPr="00981405">
        <w:t>widespread</w:t>
      </w:r>
      <w:r w:rsidR="00B92E2C" w:rsidRPr="00981405">
        <w:t>”</w:t>
      </w:r>
      <w:r w:rsidR="00190923" w:rsidRPr="00981405">
        <w:t xml:space="preserve"> </w:t>
      </w:r>
      <w:r w:rsidRPr="00981405">
        <w:t>based</w:t>
      </w:r>
      <w:r w:rsidR="00190923" w:rsidRPr="00981405">
        <w:t xml:space="preserve"> </w:t>
      </w:r>
      <w:r w:rsidRPr="00981405">
        <w:t>on</w:t>
      </w:r>
      <w:r w:rsidR="00190923" w:rsidRPr="00981405">
        <w:t xml:space="preserve"> </w:t>
      </w:r>
      <w:r w:rsidRPr="00981405">
        <w:t>reports</w:t>
      </w:r>
      <w:r w:rsidR="00190923" w:rsidRPr="00981405">
        <w:t xml:space="preserve"> </w:t>
      </w:r>
      <w:r w:rsidRPr="00981405">
        <w:t>of</w:t>
      </w:r>
      <w:r w:rsidR="00190923" w:rsidRPr="00981405">
        <w:t xml:space="preserve"> </w:t>
      </w:r>
      <w:r w:rsidRPr="00981405">
        <w:t>attacks</w:t>
      </w:r>
      <w:r w:rsidR="00190923" w:rsidRPr="00981405">
        <w:t xml:space="preserve"> </w:t>
      </w:r>
      <w:r w:rsidRPr="00981405">
        <w:t>in</w:t>
      </w:r>
      <w:r w:rsidR="00190923" w:rsidRPr="00981405">
        <w:t xml:space="preserve"> </w:t>
      </w:r>
      <w:r w:rsidRPr="00981405">
        <w:t>various</w:t>
      </w:r>
      <w:r w:rsidR="00190923" w:rsidRPr="00981405">
        <w:t xml:space="preserve"> </w:t>
      </w:r>
      <w:r w:rsidRPr="00981405">
        <w:t>locations</w:t>
      </w:r>
      <w:r w:rsidR="00190923" w:rsidRPr="00981405">
        <w:t xml:space="preserve"> </w:t>
      </w:r>
      <w:r w:rsidRPr="00981405">
        <w:t>over</w:t>
      </w:r>
      <w:r w:rsidR="00190923" w:rsidRPr="00981405">
        <w:t xml:space="preserve"> </w:t>
      </w:r>
      <w:r w:rsidRPr="00981405">
        <w:t>a</w:t>
      </w:r>
      <w:r w:rsidR="00190923" w:rsidRPr="00981405">
        <w:t xml:space="preserve"> </w:t>
      </w:r>
      <w:r w:rsidRPr="00981405">
        <w:t>large</w:t>
      </w:r>
      <w:r w:rsidR="00190923" w:rsidRPr="00981405">
        <w:t xml:space="preserve"> </w:t>
      </w:r>
      <w:r w:rsidRPr="00981405">
        <w:t>geographical</w:t>
      </w:r>
      <w:r w:rsidR="00190923" w:rsidRPr="00981405">
        <w:t xml:space="preserve"> </w:t>
      </w:r>
      <w:r w:rsidRPr="00981405">
        <w:t>area,</w:t>
      </w:r>
      <w:r w:rsidR="00190923" w:rsidRPr="00981405">
        <w:t xml:space="preserve"> </w:t>
      </w:r>
      <w:r w:rsidRPr="00981405">
        <w:t>including</w:t>
      </w:r>
      <w:r w:rsidR="00190923" w:rsidRPr="00981405">
        <w:t xml:space="preserve"> </w:t>
      </w:r>
      <w:r w:rsidRPr="00981405">
        <w:t>evidence</w:t>
      </w:r>
      <w:r w:rsidR="00190923" w:rsidRPr="00981405">
        <w:t xml:space="preserve"> </w:t>
      </w:r>
      <w:r w:rsidRPr="00981405">
        <w:t>of</w:t>
      </w:r>
      <w:r w:rsidR="00190923" w:rsidRPr="00981405">
        <w:t xml:space="preserve"> </w:t>
      </w:r>
      <w:r w:rsidRPr="00981405">
        <w:t>thousands</w:t>
      </w:r>
      <w:r w:rsidR="00190923" w:rsidRPr="00981405">
        <w:t xml:space="preserve"> </w:t>
      </w:r>
      <w:r w:rsidRPr="00981405">
        <w:t>of</w:t>
      </w:r>
      <w:r w:rsidR="00190923" w:rsidRPr="00981405">
        <w:t xml:space="preserve"> </w:t>
      </w:r>
      <w:r w:rsidRPr="00981405">
        <w:t>rapes,</w:t>
      </w:r>
      <w:r w:rsidR="00190923" w:rsidRPr="00981405">
        <w:t xml:space="preserve"> </w:t>
      </w:r>
      <w:r w:rsidRPr="00981405">
        <w:t>mass</w:t>
      </w:r>
      <w:r w:rsidR="00190923" w:rsidRPr="00981405">
        <w:t xml:space="preserve"> </w:t>
      </w:r>
      <w:r w:rsidRPr="00981405">
        <w:t>grave</w:t>
      </w:r>
      <w:r w:rsidR="00190923" w:rsidRPr="00981405">
        <w:t xml:space="preserve"> </w:t>
      </w:r>
      <w:r w:rsidRPr="00981405">
        <w:t>sites,</w:t>
      </w:r>
      <w:r w:rsidR="00190923" w:rsidRPr="00981405">
        <w:t xml:space="preserve"> </w:t>
      </w:r>
      <w:r w:rsidRPr="00981405">
        <w:t>and</w:t>
      </w:r>
      <w:r w:rsidR="00190923" w:rsidRPr="00981405">
        <w:t xml:space="preserve"> </w:t>
      </w:r>
      <w:r w:rsidRPr="00981405">
        <w:t>a</w:t>
      </w:r>
      <w:r w:rsidR="00190923" w:rsidRPr="00981405">
        <w:t xml:space="preserve"> </w:t>
      </w:r>
      <w:r w:rsidRPr="00981405">
        <w:t>large</w:t>
      </w:r>
      <w:r w:rsidR="00190923" w:rsidRPr="00981405">
        <w:t xml:space="preserve"> </w:t>
      </w:r>
      <w:r w:rsidRPr="00981405">
        <w:t>number</w:t>
      </w:r>
      <w:r w:rsidR="00190923" w:rsidRPr="00981405">
        <w:t xml:space="preserve"> </w:t>
      </w:r>
      <w:r w:rsidRPr="00981405">
        <w:t>of</w:t>
      </w:r>
      <w:r w:rsidR="00190923" w:rsidRPr="00981405">
        <w:t xml:space="preserve"> </w:t>
      </w:r>
      <w:r w:rsidRPr="00981405">
        <w:t>victims.</w:t>
      </w:r>
      <w:r w:rsidRPr="00981405">
        <w:rPr>
          <w:rStyle w:val="FootnoteReference"/>
        </w:rPr>
        <w:footnoteReference w:id="131"/>
      </w:r>
      <w:r w:rsidR="00190923" w:rsidRPr="00981405">
        <w:t xml:space="preserve"> </w:t>
      </w:r>
      <w:r w:rsidRPr="00981405">
        <w:t>Yet</w:t>
      </w:r>
      <w:r w:rsidR="00190923" w:rsidRPr="00981405">
        <w:t xml:space="preserve"> </w:t>
      </w:r>
      <w:r w:rsidRPr="00981405">
        <w:t>a</w:t>
      </w:r>
      <w:r w:rsidR="00190923" w:rsidRPr="00981405">
        <w:t xml:space="preserve"> </w:t>
      </w:r>
      <w:r w:rsidRPr="00981405">
        <w:t>large</w:t>
      </w:r>
      <w:r w:rsidR="00190923" w:rsidRPr="00981405">
        <w:t xml:space="preserve"> </w:t>
      </w:r>
      <w:r w:rsidRPr="00981405">
        <w:t>geographic</w:t>
      </w:r>
      <w:r w:rsidR="00190923" w:rsidRPr="00981405">
        <w:t xml:space="preserve"> </w:t>
      </w:r>
      <w:r w:rsidRPr="00981405">
        <w:t>area</w:t>
      </w:r>
      <w:r w:rsidR="00190923" w:rsidRPr="00981405">
        <w:t xml:space="preserve"> </w:t>
      </w:r>
      <w:r w:rsidRPr="00981405">
        <w:t>is</w:t>
      </w:r>
      <w:r w:rsidR="00190923" w:rsidRPr="00981405">
        <w:t xml:space="preserve"> </w:t>
      </w:r>
      <w:r w:rsidRPr="00981405">
        <w:t>not</w:t>
      </w:r>
      <w:r w:rsidR="00190923" w:rsidRPr="00981405">
        <w:t xml:space="preserve"> </w:t>
      </w:r>
      <w:r w:rsidRPr="00981405">
        <w:t>required;</w:t>
      </w:r>
      <w:r w:rsidR="00190923" w:rsidRPr="00981405">
        <w:t xml:space="preserve"> </w:t>
      </w:r>
      <w:r w:rsidRPr="00981405">
        <w:t>the</w:t>
      </w:r>
      <w:r w:rsidR="00190923" w:rsidRPr="00981405">
        <w:t xml:space="preserve"> </w:t>
      </w:r>
      <w:r w:rsidRPr="00981405">
        <w:t>ICTY</w:t>
      </w:r>
      <w:r w:rsidR="00190923" w:rsidRPr="00981405">
        <w:t xml:space="preserve"> </w:t>
      </w:r>
      <w:r w:rsidRPr="00981405">
        <w:t>has</w:t>
      </w:r>
      <w:r w:rsidR="00190923" w:rsidRPr="00981405">
        <w:t xml:space="preserve"> </w:t>
      </w:r>
      <w:r w:rsidRPr="00981405">
        <w:t>found</w:t>
      </w:r>
      <w:r w:rsidR="00190923" w:rsidRPr="00981405">
        <w:t xml:space="preserve"> </w:t>
      </w:r>
      <w:r w:rsidRPr="00981405">
        <w:t>that</w:t>
      </w:r>
      <w:r w:rsidR="00190923" w:rsidRPr="00981405">
        <w:t xml:space="preserve"> </w:t>
      </w:r>
      <w:r w:rsidRPr="00981405">
        <w:t>the</w:t>
      </w:r>
      <w:r w:rsidR="00190923" w:rsidRPr="00981405">
        <w:t xml:space="preserve"> </w:t>
      </w:r>
      <w:r w:rsidRPr="00981405">
        <w:t>attack</w:t>
      </w:r>
      <w:r w:rsidR="00190923" w:rsidRPr="00981405">
        <w:t xml:space="preserve"> </w:t>
      </w:r>
      <w:r w:rsidRPr="00981405">
        <w:t>can</w:t>
      </w:r>
      <w:r w:rsidR="00190923" w:rsidRPr="00981405">
        <w:t xml:space="preserve"> </w:t>
      </w:r>
      <w:r w:rsidRPr="00981405">
        <w:t>be</w:t>
      </w:r>
      <w:r w:rsidR="00190923" w:rsidRPr="00981405">
        <w:t xml:space="preserve"> </w:t>
      </w:r>
      <w:r w:rsidRPr="00981405">
        <w:t>in</w:t>
      </w:r>
      <w:r w:rsidR="00190923" w:rsidRPr="00981405">
        <w:t xml:space="preserve"> </w:t>
      </w:r>
      <w:r w:rsidRPr="00981405">
        <w:t>a</w:t>
      </w:r>
      <w:r w:rsidR="00190923" w:rsidRPr="00981405">
        <w:t xml:space="preserve"> </w:t>
      </w:r>
      <w:r w:rsidRPr="00981405">
        <w:t>small</w:t>
      </w:r>
      <w:r w:rsidR="00190923" w:rsidRPr="00981405">
        <w:t xml:space="preserve"> </w:t>
      </w:r>
      <w:r w:rsidRPr="00981405">
        <w:t>geographic</w:t>
      </w:r>
      <w:r w:rsidR="00190923" w:rsidRPr="00981405">
        <w:t xml:space="preserve"> </w:t>
      </w:r>
      <w:r w:rsidRPr="00981405">
        <w:t>area</w:t>
      </w:r>
      <w:r w:rsidR="00190923" w:rsidRPr="00981405">
        <w:t xml:space="preserve"> </w:t>
      </w:r>
      <w:r w:rsidRPr="00981405">
        <w:t>against</w:t>
      </w:r>
      <w:r w:rsidR="00190923" w:rsidRPr="00981405">
        <w:t xml:space="preserve"> </w:t>
      </w:r>
      <w:r w:rsidRPr="00981405">
        <w:t>a</w:t>
      </w:r>
      <w:r w:rsidR="00190923" w:rsidRPr="00981405">
        <w:t xml:space="preserve"> </w:t>
      </w:r>
      <w:r w:rsidRPr="00981405">
        <w:t>large</w:t>
      </w:r>
      <w:r w:rsidR="00190923" w:rsidRPr="00981405">
        <w:t xml:space="preserve"> </w:t>
      </w:r>
      <w:r w:rsidRPr="00981405">
        <w:t>number</w:t>
      </w:r>
      <w:r w:rsidR="00190923" w:rsidRPr="00981405">
        <w:t xml:space="preserve"> </w:t>
      </w:r>
      <w:r w:rsidRPr="00981405">
        <w:t>of</w:t>
      </w:r>
      <w:r w:rsidR="00190923" w:rsidRPr="00981405">
        <w:t xml:space="preserve"> </w:t>
      </w:r>
      <w:r w:rsidRPr="00981405">
        <w:t>civilians.</w:t>
      </w:r>
      <w:r w:rsidRPr="00981405">
        <w:rPr>
          <w:rStyle w:val="FootnoteReference"/>
        </w:rPr>
        <w:footnoteReference w:id="132"/>
      </w:r>
      <w:r w:rsidR="00190923" w:rsidRPr="00981405">
        <w:t xml:space="preserve"> </w:t>
      </w:r>
    </w:p>
    <w:p w:rsidR="00397032" w:rsidRPr="00981405" w:rsidRDefault="00397032" w:rsidP="00D97463">
      <w:pPr>
        <w:pStyle w:val="SingleTxt"/>
      </w:pPr>
      <w:r w:rsidRPr="00981405">
        <w:t>(14)</w:t>
      </w:r>
      <w:r w:rsidRPr="00981405">
        <w:tab/>
        <w:t>In</w:t>
      </w:r>
      <w:r w:rsidR="00190923" w:rsidRPr="00981405">
        <w:t xml:space="preserve"> </w:t>
      </w:r>
      <w:r w:rsidRPr="00981405">
        <w:t>its</w:t>
      </w:r>
      <w:r w:rsidR="00190923" w:rsidRPr="00981405">
        <w:t xml:space="preserve"> </w:t>
      </w:r>
      <w:r w:rsidRPr="00D97463">
        <w:rPr>
          <w:i/>
          <w:iCs/>
        </w:rPr>
        <w:t>Kenya</w:t>
      </w:r>
      <w:r w:rsidR="00190923" w:rsidRPr="00981405">
        <w:rPr>
          <w:i/>
          <w:iCs/>
        </w:rPr>
        <w:t xml:space="preserve"> </w:t>
      </w:r>
      <w:r w:rsidRPr="00D97463">
        <w:rPr>
          <w:i/>
          <w:iCs/>
        </w:rPr>
        <w:t>Authorization</w:t>
      </w:r>
      <w:r w:rsidR="00190923" w:rsidRPr="00981405">
        <w:rPr>
          <w:i/>
          <w:iCs/>
        </w:rPr>
        <w:t xml:space="preserve"> </w:t>
      </w:r>
      <w:r w:rsidRPr="00D97463">
        <w:rPr>
          <w:i/>
          <w:iCs/>
        </w:rPr>
        <w:t>Decision</w:t>
      </w:r>
      <w:r w:rsidR="00190923" w:rsidRPr="00981405">
        <w:rPr>
          <w:i/>
          <w:iCs/>
        </w:rPr>
        <w:t xml:space="preserve"> </w:t>
      </w:r>
      <w:r w:rsidRPr="00D97463">
        <w:rPr>
          <w:i/>
          <w:iCs/>
        </w:rPr>
        <w:t>2010</w:t>
      </w:r>
      <w:r w:rsidRPr="00981405">
        <w:t>,</w:t>
      </w:r>
      <w:r w:rsidR="00190923" w:rsidRPr="00981405">
        <w:t xml:space="preserve"> </w:t>
      </w:r>
      <w:r w:rsidRPr="00981405">
        <w:t>the</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indicated</w:t>
      </w:r>
      <w:r w:rsidR="00190923" w:rsidRPr="00981405">
        <w:t xml:space="preserve"> </w:t>
      </w:r>
      <w:r w:rsidRPr="00981405">
        <w:t>that</w:t>
      </w:r>
      <w:r w:rsidR="00190923" w:rsidRPr="00981405">
        <w:t xml:space="preserve"> </w:t>
      </w:r>
      <w:r w:rsidR="00B92E2C" w:rsidRPr="00981405">
        <w:t>“</w:t>
      </w:r>
      <w:r w:rsidRPr="00981405">
        <w:t>[t]he</w:t>
      </w:r>
      <w:r w:rsidR="00190923" w:rsidRPr="00981405">
        <w:t xml:space="preserve"> </w:t>
      </w:r>
      <w:r w:rsidRPr="00981405">
        <w:t>assessment</w:t>
      </w:r>
      <w:r w:rsidR="00190923" w:rsidRPr="00981405">
        <w:t xml:space="preserve"> </w:t>
      </w:r>
      <w:r w:rsidRPr="00981405">
        <w:t>is</w:t>
      </w:r>
      <w:r w:rsidR="00190923" w:rsidRPr="00981405">
        <w:t xml:space="preserve"> </w:t>
      </w:r>
      <w:r w:rsidRPr="00981405">
        <w:t>neither</w:t>
      </w:r>
      <w:r w:rsidR="00190923" w:rsidRPr="00981405">
        <w:t xml:space="preserve"> </w:t>
      </w:r>
      <w:r w:rsidRPr="00981405">
        <w:t>exclusively</w:t>
      </w:r>
      <w:r w:rsidR="00190923" w:rsidRPr="00981405">
        <w:t xml:space="preserve"> </w:t>
      </w:r>
      <w:r w:rsidRPr="00981405">
        <w:t>quantitative</w:t>
      </w:r>
      <w:r w:rsidR="00190923" w:rsidRPr="00981405">
        <w:t xml:space="preserve"> </w:t>
      </w:r>
      <w:r w:rsidRPr="00981405">
        <w:t>nor</w:t>
      </w:r>
      <w:r w:rsidR="00190923" w:rsidRPr="00981405">
        <w:t xml:space="preserve"> </w:t>
      </w:r>
      <w:r w:rsidRPr="00981405">
        <w:t>geographical,</w:t>
      </w:r>
      <w:r w:rsidR="00190923" w:rsidRPr="00981405">
        <w:t xml:space="preserve"> </w:t>
      </w:r>
      <w:r w:rsidRPr="00981405">
        <w:t>but</w:t>
      </w:r>
      <w:r w:rsidR="00190923" w:rsidRPr="00981405">
        <w:t xml:space="preserve"> </w:t>
      </w:r>
      <w:r w:rsidRPr="00981405">
        <w:t>must</w:t>
      </w:r>
      <w:r w:rsidR="00190923" w:rsidRPr="00981405">
        <w:t xml:space="preserve"> </w:t>
      </w:r>
      <w:r w:rsidRPr="00981405">
        <w:t>be</w:t>
      </w:r>
      <w:r w:rsidR="00190923" w:rsidRPr="00981405">
        <w:t xml:space="preserve"> </w:t>
      </w:r>
      <w:r w:rsidRPr="00981405">
        <w:t>carried</w:t>
      </w:r>
      <w:r w:rsidR="00190923" w:rsidRPr="00981405">
        <w:t xml:space="preserve"> </w:t>
      </w:r>
      <w:r w:rsidRPr="00981405">
        <w:t>out</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facts.</w:t>
      </w:r>
      <w:r w:rsidR="00B92E2C" w:rsidRPr="00981405">
        <w:t>”</w:t>
      </w:r>
      <w:r w:rsidRPr="00981405">
        <w:rPr>
          <w:rStyle w:val="FootnoteReference"/>
        </w:rPr>
        <w:footnoteReference w:id="133"/>
      </w:r>
      <w:r w:rsidR="00190923" w:rsidRPr="00981405">
        <w:t xml:space="preserve"> </w:t>
      </w:r>
      <w:r w:rsidRPr="00981405">
        <w:t>An</w:t>
      </w:r>
      <w:r w:rsidR="00190923" w:rsidRPr="00981405">
        <w:t xml:space="preserve"> </w:t>
      </w:r>
      <w:r w:rsidRPr="00981405">
        <w:t>attack</w:t>
      </w:r>
      <w:r w:rsidR="00190923" w:rsidRPr="00981405">
        <w:t xml:space="preserve"> </w:t>
      </w:r>
      <w:r w:rsidRPr="00981405">
        <w:t>may</w:t>
      </w:r>
      <w:r w:rsidR="00190923" w:rsidRPr="00981405">
        <w:t xml:space="preserve"> </w:t>
      </w:r>
      <w:r w:rsidRPr="00981405">
        <w:t>be</w:t>
      </w:r>
      <w:r w:rsidR="00190923" w:rsidRPr="00981405">
        <w:t xml:space="preserve"> </w:t>
      </w:r>
      <w:r w:rsidRPr="00981405">
        <w:t>widespread</w:t>
      </w:r>
      <w:r w:rsidR="00190923" w:rsidRPr="00981405">
        <w:t xml:space="preserve"> </w:t>
      </w:r>
      <w:r w:rsidRPr="00981405">
        <w:t>due</w:t>
      </w:r>
      <w:r w:rsidR="00190923" w:rsidRPr="00981405">
        <w:t xml:space="preserve"> </w:t>
      </w:r>
      <w:r w:rsidRPr="00981405">
        <w:t>to</w:t>
      </w:r>
      <w:r w:rsidR="00190923" w:rsidRPr="00981405">
        <w:t xml:space="preserve"> </w:t>
      </w:r>
      <w:r w:rsidRPr="00981405">
        <w:t>the</w:t>
      </w:r>
      <w:r w:rsidR="00190923" w:rsidRPr="00981405">
        <w:t xml:space="preserve"> </w:t>
      </w:r>
      <w:r w:rsidRPr="00981405">
        <w:t>cumulative</w:t>
      </w:r>
      <w:r w:rsidR="00190923" w:rsidRPr="00981405">
        <w:t xml:space="preserve"> </w:t>
      </w:r>
      <w:r w:rsidRPr="00981405">
        <w:t>effect</w:t>
      </w:r>
      <w:r w:rsidR="00190923" w:rsidRPr="00981405">
        <w:t xml:space="preserve"> </w:t>
      </w:r>
      <w:r w:rsidRPr="00981405">
        <w:t>of</w:t>
      </w:r>
      <w:r w:rsidR="00190923" w:rsidRPr="00981405">
        <w:t xml:space="preserve"> </w:t>
      </w:r>
      <w:r w:rsidRPr="00981405">
        <w:t>multiple</w:t>
      </w:r>
      <w:r w:rsidR="00190923" w:rsidRPr="00981405">
        <w:t xml:space="preserve"> </w:t>
      </w:r>
      <w:r w:rsidRPr="00981405">
        <w:t>inhumane</w:t>
      </w:r>
      <w:r w:rsidR="00190923" w:rsidRPr="00981405">
        <w:t xml:space="preserve"> </w:t>
      </w:r>
      <w:r w:rsidRPr="00981405">
        <w:t>acts</w:t>
      </w:r>
      <w:r w:rsidR="00190923" w:rsidRPr="00981405">
        <w:t xml:space="preserve"> </w:t>
      </w:r>
      <w:r w:rsidRPr="00981405">
        <w:t>or</w:t>
      </w:r>
      <w:r w:rsidR="00190923" w:rsidRPr="00981405">
        <w:t xml:space="preserve"> </w:t>
      </w:r>
      <w:r w:rsidRPr="00981405">
        <w:t>the</w:t>
      </w:r>
      <w:r w:rsidR="00190923" w:rsidRPr="00981405">
        <w:t xml:space="preserve"> </w:t>
      </w:r>
      <w:r w:rsidRPr="00981405">
        <w:t>result</w:t>
      </w:r>
      <w:r w:rsidR="00190923" w:rsidRPr="00981405">
        <w:t xml:space="preserve"> </w:t>
      </w:r>
      <w:r w:rsidRPr="00981405">
        <w:t>of</w:t>
      </w:r>
      <w:r w:rsidR="00190923" w:rsidRPr="00981405">
        <w:t xml:space="preserve"> </w:t>
      </w:r>
      <w:r w:rsidRPr="00981405">
        <w:t>a</w:t>
      </w:r>
      <w:r w:rsidR="00190923" w:rsidRPr="00981405">
        <w:t xml:space="preserve"> </w:t>
      </w:r>
      <w:r w:rsidRPr="00981405">
        <w:t>single</w:t>
      </w:r>
      <w:r w:rsidR="00190923" w:rsidRPr="00981405">
        <w:t xml:space="preserve"> </w:t>
      </w:r>
      <w:r w:rsidRPr="00981405">
        <w:t>inhumane</w:t>
      </w:r>
      <w:r w:rsidR="00190923" w:rsidRPr="00981405">
        <w:t xml:space="preserve"> </w:t>
      </w:r>
      <w:r w:rsidRPr="00981405">
        <w:t>act</w:t>
      </w:r>
      <w:r w:rsidR="00190923" w:rsidRPr="00981405">
        <w:t xml:space="preserve"> </w:t>
      </w:r>
      <w:r w:rsidRPr="00981405">
        <w:t>of</w:t>
      </w:r>
      <w:r w:rsidR="00190923" w:rsidRPr="00981405">
        <w:t xml:space="preserve"> </w:t>
      </w:r>
      <w:r w:rsidRPr="00981405">
        <w:t>great</w:t>
      </w:r>
      <w:r w:rsidR="00190923" w:rsidRPr="00981405">
        <w:t xml:space="preserve"> </w:t>
      </w:r>
      <w:r w:rsidRPr="00981405">
        <w:t>magnitude.</w:t>
      </w:r>
      <w:r w:rsidRPr="00981405">
        <w:rPr>
          <w:rStyle w:val="FootnoteReference"/>
        </w:rPr>
        <w:footnoteReference w:id="134"/>
      </w:r>
      <w:r w:rsidR="00190923" w:rsidRPr="00981405">
        <w:t xml:space="preserve"> </w:t>
      </w:r>
    </w:p>
    <w:p w:rsidR="00397032" w:rsidRPr="00981405" w:rsidRDefault="00397032" w:rsidP="00D97463">
      <w:pPr>
        <w:pStyle w:val="SingleTxt"/>
      </w:pPr>
      <w:r w:rsidRPr="00981405">
        <w:t>(15)</w:t>
      </w:r>
      <w:bookmarkStart w:id="77" w:name="_Ref213845256"/>
      <w:r w:rsidRPr="00981405">
        <w:tab/>
        <w:t>Like</w:t>
      </w:r>
      <w:r w:rsidR="00190923" w:rsidRPr="00981405">
        <w:t xml:space="preserve"> </w:t>
      </w:r>
      <w:r w:rsidR="00B92E2C" w:rsidRPr="00981405">
        <w:t>“</w:t>
      </w:r>
      <w:r w:rsidRPr="00981405">
        <w:t>widespread</w:t>
      </w:r>
      <w:r w:rsidR="00B92E2C" w:rsidRPr="00981405">
        <w:t>”</w:t>
      </w:r>
      <w:r w:rsidRPr="00981405">
        <w: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systematic</w:t>
      </w:r>
      <w:r w:rsidR="00B92E2C" w:rsidRPr="00981405">
        <w:t>”</w:t>
      </w:r>
      <w:r w:rsidR="00190923" w:rsidRPr="00981405">
        <w:t xml:space="preserve"> </w:t>
      </w:r>
      <w:r w:rsidRPr="00981405">
        <w:t>excludes</w:t>
      </w:r>
      <w:r w:rsidR="00190923" w:rsidRPr="00981405">
        <w:t xml:space="preserve"> </w:t>
      </w:r>
      <w:r w:rsidRPr="00981405">
        <w:t>isolated</w:t>
      </w:r>
      <w:r w:rsidR="00190923" w:rsidRPr="00981405">
        <w:t xml:space="preserve"> </w:t>
      </w:r>
      <w:r w:rsidRPr="00981405">
        <w:t>or</w:t>
      </w:r>
      <w:r w:rsidR="00190923" w:rsidRPr="00981405">
        <w:t xml:space="preserve"> </w:t>
      </w:r>
      <w:r w:rsidRPr="00981405">
        <w:t>unconnected</w:t>
      </w:r>
      <w:r w:rsidR="00190923" w:rsidRPr="00981405">
        <w:t xml:space="preserve"> </w:t>
      </w:r>
      <w:r w:rsidRPr="00981405">
        <w:t>acts</w:t>
      </w:r>
      <w:r w:rsidR="00190923" w:rsidRPr="00981405">
        <w:t xml:space="preserve"> </w:t>
      </w:r>
      <w:r w:rsidRPr="00981405">
        <w:t>of</w:t>
      </w:r>
      <w:r w:rsidR="00190923" w:rsidRPr="00981405">
        <w:t xml:space="preserve"> </w:t>
      </w:r>
      <w:r w:rsidRPr="00981405">
        <w:t>violence,</w:t>
      </w:r>
      <w:r w:rsidRPr="00981405">
        <w:rPr>
          <w:rStyle w:val="FootnoteReference"/>
        </w:rPr>
        <w:footnoteReference w:id="135"/>
      </w:r>
      <w:r w:rsidR="00190923" w:rsidRPr="00981405">
        <w:t xml:space="preserve"> </w:t>
      </w:r>
      <w:r w:rsidRPr="00981405">
        <w:t>and</w:t>
      </w:r>
      <w:r w:rsidR="00190923" w:rsidRPr="00981405">
        <w:t xml:space="preserve"> </w:t>
      </w:r>
      <w:r w:rsidRPr="00981405">
        <w:t>jurisprudence</w:t>
      </w:r>
      <w:r w:rsidR="00190923" w:rsidRPr="00981405">
        <w:t xml:space="preserve"> </w:t>
      </w:r>
      <w:r w:rsidRPr="00981405">
        <w:t>from</w:t>
      </w:r>
      <w:r w:rsidR="00190923" w:rsidRPr="00981405">
        <w:t xml:space="preserve"> </w:t>
      </w:r>
      <w:r w:rsidRPr="00981405">
        <w:t>the</w:t>
      </w:r>
      <w:r w:rsidR="00190923" w:rsidRPr="00981405">
        <w:t xml:space="preserve"> </w:t>
      </w:r>
      <w:r w:rsidRPr="00981405">
        <w:t>ICTY,</w:t>
      </w:r>
      <w:r w:rsidR="00190923" w:rsidRPr="00981405">
        <w:t xml:space="preserve"> </w:t>
      </w:r>
      <w:r w:rsidRPr="00981405">
        <w:t>ICTR,</w:t>
      </w:r>
      <w:r w:rsidR="00190923" w:rsidRPr="00981405">
        <w:t xml:space="preserve"> </w:t>
      </w:r>
      <w:r w:rsidRPr="00981405">
        <w:t>and</w:t>
      </w:r>
      <w:r w:rsidR="00190923" w:rsidRPr="00981405">
        <w:t xml:space="preserve"> </w:t>
      </w:r>
      <w:r w:rsidRPr="00981405">
        <w:t>ICC</w:t>
      </w:r>
      <w:r w:rsidR="00190923" w:rsidRPr="00981405">
        <w:t xml:space="preserve"> </w:t>
      </w:r>
      <w:r w:rsidRPr="00981405">
        <w:t>reflects</w:t>
      </w:r>
      <w:r w:rsidR="00190923" w:rsidRPr="00981405">
        <w:t xml:space="preserve"> </w:t>
      </w:r>
      <w:r w:rsidRPr="00981405">
        <w:t>a</w:t>
      </w:r>
      <w:r w:rsidR="00190923" w:rsidRPr="00981405">
        <w:t xml:space="preserve"> </w:t>
      </w:r>
      <w:r w:rsidRPr="00981405">
        <w:t>similar</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what</w:t>
      </w:r>
      <w:r w:rsidR="00190923" w:rsidRPr="00981405">
        <w:t xml:space="preserve"> </w:t>
      </w:r>
      <w:r w:rsidRPr="00981405">
        <w:t>is</w:t>
      </w:r>
      <w:r w:rsidR="00190923" w:rsidRPr="00981405">
        <w:t xml:space="preserve"> </w:t>
      </w:r>
      <w:r w:rsidRPr="00981405">
        <w:t>meant</w:t>
      </w:r>
      <w:r w:rsidR="00190923" w:rsidRPr="00981405">
        <w:t xml:space="preserve"> </w:t>
      </w:r>
      <w:r w:rsidRPr="00981405">
        <w:t>by</w:t>
      </w:r>
      <w:r w:rsidR="00190923" w:rsidRPr="00981405">
        <w:t xml:space="preserve"> </w:t>
      </w:r>
      <w:r w:rsidRPr="00981405">
        <w:t>the</w:t>
      </w:r>
      <w:r w:rsidR="00190923" w:rsidRPr="00981405">
        <w:t xml:space="preserve"> </w:t>
      </w:r>
      <w:r w:rsidRPr="00981405">
        <w:t>term.</w:t>
      </w:r>
      <w:r w:rsidR="00190923" w:rsidRPr="00981405">
        <w:t xml:space="preserve"> </w:t>
      </w:r>
      <w:r w:rsidRPr="00981405">
        <w:t>The</w:t>
      </w:r>
      <w:r w:rsidR="00190923" w:rsidRPr="00981405">
        <w:t xml:space="preserve"> </w:t>
      </w:r>
      <w:r w:rsidRPr="00981405">
        <w:t>ICTY</w:t>
      </w:r>
      <w:r w:rsidR="00190923" w:rsidRPr="00981405">
        <w:t xml:space="preserve"> </w:t>
      </w:r>
      <w:r w:rsidRPr="00981405">
        <w:t>defined</w:t>
      </w:r>
      <w:r w:rsidR="00190923" w:rsidRPr="00981405">
        <w:t xml:space="preserve"> </w:t>
      </w:r>
      <w:r w:rsidR="00B92E2C" w:rsidRPr="00981405">
        <w:t>“</w:t>
      </w:r>
      <w:r w:rsidRPr="00981405">
        <w:t>systematic</w:t>
      </w:r>
      <w:r w:rsidR="00B92E2C" w:rsidRPr="00981405">
        <w:t>”</w:t>
      </w:r>
      <w:r w:rsidR="00190923" w:rsidRPr="00981405">
        <w:t xml:space="preserve"> </w:t>
      </w:r>
      <w:r w:rsidRPr="00981405">
        <w:t>as</w:t>
      </w:r>
      <w:r w:rsidR="00190923" w:rsidRPr="00981405">
        <w:t xml:space="preserve"> </w:t>
      </w:r>
      <w:r w:rsidR="00B92E2C" w:rsidRPr="00981405">
        <w:t>“</w:t>
      </w:r>
      <w:r w:rsidRPr="00981405">
        <w:t>the</w:t>
      </w:r>
      <w:r w:rsidR="00190923" w:rsidRPr="00981405">
        <w:t xml:space="preserve"> </w:t>
      </w:r>
      <w:r w:rsidRPr="00981405">
        <w:t>organised</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acts</w:t>
      </w:r>
      <w:r w:rsidR="00190923" w:rsidRPr="00981405">
        <w:t xml:space="preserve"> </w:t>
      </w:r>
      <w:r w:rsidRPr="00981405">
        <w:t>of</w:t>
      </w:r>
      <w:r w:rsidR="00190923" w:rsidRPr="00981405">
        <w:t xml:space="preserve"> </w:t>
      </w:r>
      <w:r w:rsidRPr="00981405">
        <w:t>violence</w:t>
      </w:r>
      <w:r w:rsidR="00190923" w:rsidRPr="00981405">
        <w:t xml:space="preserve"> </w:t>
      </w:r>
      <w:r w:rsidRPr="00981405">
        <w:t>and</w:t>
      </w:r>
      <w:r w:rsidR="00190923" w:rsidRPr="00981405">
        <w:t xml:space="preserve"> </w:t>
      </w:r>
      <w:r w:rsidRPr="00981405">
        <w:t>the</w:t>
      </w:r>
      <w:r w:rsidR="00190923" w:rsidRPr="00981405">
        <w:t xml:space="preserve"> </w:t>
      </w:r>
      <w:r w:rsidRPr="00981405">
        <w:t>improbability</w:t>
      </w:r>
      <w:r w:rsidR="00190923" w:rsidRPr="00981405">
        <w:t xml:space="preserve"> </w:t>
      </w:r>
      <w:r w:rsidRPr="00981405">
        <w:t>of</w:t>
      </w:r>
      <w:r w:rsidR="00190923" w:rsidRPr="00981405">
        <w:t xml:space="preserve"> </w:t>
      </w:r>
      <w:r w:rsidRPr="00981405">
        <w:t>their</w:t>
      </w:r>
      <w:r w:rsidR="00190923" w:rsidRPr="00981405">
        <w:t xml:space="preserve"> </w:t>
      </w:r>
      <w:r w:rsidRPr="00981405">
        <w:t>random</w:t>
      </w:r>
      <w:r w:rsidR="00190923" w:rsidRPr="00981405">
        <w:t xml:space="preserve"> </w:t>
      </w:r>
      <w:r w:rsidRPr="00981405">
        <w:t>occurrence</w:t>
      </w:r>
      <w:r w:rsidR="00B92E2C" w:rsidRPr="00981405">
        <w:t>”</w:t>
      </w:r>
      <w:r w:rsidRPr="00981405">
        <w:rPr>
          <w:rStyle w:val="FootnoteReference"/>
        </w:rPr>
        <w:footnoteReference w:id="136"/>
      </w:r>
      <w:r w:rsidR="00190923" w:rsidRPr="00981405">
        <w:t xml:space="preserve"> </w:t>
      </w:r>
      <w:r w:rsidRPr="00981405">
        <w:t>and</w:t>
      </w:r>
      <w:r w:rsidR="00190923" w:rsidRPr="00981405">
        <w:t xml:space="preserve"> </w:t>
      </w:r>
      <w:r w:rsidRPr="00981405">
        <w:t>found</w:t>
      </w:r>
      <w:r w:rsidR="00190923" w:rsidRPr="00981405">
        <w:t xml:space="preserve"> </w:t>
      </w:r>
      <w:r w:rsidRPr="00981405">
        <w:t>that</w:t>
      </w:r>
      <w:r w:rsidR="00190923" w:rsidRPr="00981405">
        <w:t xml:space="preserve"> </w:t>
      </w:r>
      <w:r w:rsidRPr="00981405">
        <w:t>evidence</w:t>
      </w:r>
      <w:r w:rsidR="00190923" w:rsidRPr="00981405">
        <w:t xml:space="preserve"> </w:t>
      </w:r>
      <w:r w:rsidRPr="00981405">
        <w:t>of</w:t>
      </w:r>
      <w:r w:rsidR="00190923" w:rsidRPr="00981405">
        <w:t xml:space="preserve"> </w:t>
      </w:r>
      <w:r w:rsidRPr="00981405">
        <w:t>a</w:t>
      </w:r>
      <w:r w:rsidR="00190923" w:rsidRPr="00981405">
        <w:t xml:space="preserve"> </w:t>
      </w:r>
      <w:r w:rsidRPr="00981405">
        <w:t>pattern</w:t>
      </w:r>
      <w:r w:rsidR="00190923" w:rsidRPr="00981405">
        <w:t xml:space="preserve"> </w:t>
      </w:r>
      <w:r w:rsidRPr="00981405">
        <w:t>or</w:t>
      </w:r>
      <w:r w:rsidR="00190923" w:rsidRPr="00981405">
        <w:t xml:space="preserve"> </w:t>
      </w:r>
      <w:r w:rsidRPr="00981405">
        <w:t>methodical</w:t>
      </w:r>
      <w:r w:rsidR="00190923" w:rsidRPr="00981405">
        <w:t xml:space="preserve"> </w:t>
      </w:r>
      <w:r w:rsidRPr="00981405">
        <w:t>plan</w:t>
      </w:r>
      <w:r w:rsidR="00190923" w:rsidRPr="00981405">
        <w:t xml:space="preserve"> </w:t>
      </w:r>
      <w:r w:rsidRPr="00981405">
        <w:t>establishes</w:t>
      </w:r>
      <w:r w:rsidR="00190923" w:rsidRPr="00981405">
        <w:t xml:space="preserve"> </w:t>
      </w:r>
      <w:r w:rsidRPr="00981405">
        <w:t>that</w:t>
      </w:r>
      <w:r w:rsidR="00190923" w:rsidRPr="00981405">
        <w:t xml:space="preserve"> </w:t>
      </w:r>
      <w:r w:rsidRPr="00981405">
        <w:t>an</w:t>
      </w:r>
      <w:r w:rsidR="00190923" w:rsidRPr="00981405">
        <w:t xml:space="preserve"> </w:t>
      </w:r>
      <w:r w:rsidRPr="00981405">
        <w:t>attack</w:t>
      </w:r>
      <w:r w:rsidR="00190923" w:rsidRPr="00981405">
        <w:t xml:space="preserve"> </w:t>
      </w:r>
      <w:r w:rsidRPr="00981405">
        <w:t>was</w:t>
      </w:r>
      <w:r w:rsidR="00190923" w:rsidRPr="00981405">
        <w:t xml:space="preserve"> </w:t>
      </w:r>
      <w:r w:rsidRPr="00981405">
        <w:t>systematic.</w:t>
      </w:r>
      <w:r w:rsidRPr="00981405">
        <w:rPr>
          <w:rStyle w:val="FootnoteReference"/>
        </w:rPr>
        <w:footnoteReference w:id="137"/>
      </w:r>
      <w:r w:rsidR="00190923" w:rsidRPr="00981405">
        <w:t xml:space="preserve"> </w:t>
      </w:r>
      <w:r w:rsidRPr="00981405">
        <w:t>Thus,</w:t>
      </w:r>
      <w:r w:rsidR="00190923" w:rsidRPr="00981405">
        <w:t xml:space="preserve"> </w:t>
      </w:r>
      <w:r w:rsidRPr="00981405">
        <w:t>the</w:t>
      </w:r>
      <w:r w:rsidR="00190923" w:rsidRPr="00981405">
        <w:t xml:space="preserve"> </w:t>
      </w:r>
      <w:r w:rsidRPr="00981405">
        <w:t>Appeals</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Kunarac</w:t>
      </w:r>
      <w:r w:rsidR="00190923" w:rsidRPr="00981405">
        <w:t xml:space="preserve"> </w:t>
      </w:r>
      <w:r w:rsidRPr="00981405">
        <w:t>confirmed</w:t>
      </w:r>
      <w:r w:rsidR="00190923" w:rsidRPr="00981405">
        <w:t xml:space="preserve"> </w:t>
      </w:r>
      <w:r w:rsidRPr="00981405">
        <w:t>that</w:t>
      </w:r>
      <w:r w:rsidR="00190923" w:rsidRPr="00981405">
        <w:t xml:space="preserve"> </w:t>
      </w:r>
      <w:r w:rsidR="00B92E2C" w:rsidRPr="00981405">
        <w:t>“</w:t>
      </w:r>
      <w:r w:rsidRPr="00981405">
        <w:t>patterns</w:t>
      </w:r>
      <w:r w:rsidR="00190923" w:rsidRPr="00981405">
        <w:t xml:space="preserve"> </w:t>
      </w:r>
      <w:r w:rsidRPr="00981405">
        <w:t>of</w:t>
      </w:r>
      <w:r w:rsidR="00190923" w:rsidRPr="00981405">
        <w:t xml:space="preserve"> </w:t>
      </w:r>
      <w:r w:rsidRPr="00981405">
        <w:t>crimes</w:t>
      </w:r>
      <w:r w:rsidR="00190923" w:rsidRPr="00981405">
        <w:t xml:space="preserve"> </w:t>
      </w:r>
      <w:r w:rsidRPr="00981405">
        <w:t>—</w:t>
      </w:r>
      <w:r w:rsidR="00190923" w:rsidRPr="00981405">
        <w:t xml:space="preserve"> </w:t>
      </w:r>
      <w:r w:rsidRPr="00981405">
        <w:t>that</w:t>
      </w:r>
      <w:r w:rsidR="00190923" w:rsidRPr="00981405">
        <w:t xml:space="preserve"> </w:t>
      </w:r>
      <w:r w:rsidRPr="00981405">
        <w:t>is</w:t>
      </w:r>
      <w:r w:rsidR="00190923" w:rsidRPr="00981405">
        <w:t xml:space="preserve"> </w:t>
      </w:r>
      <w:r w:rsidRPr="00981405">
        <w:t>the</w:t>
      </w:r>
      <w:r w:rsidR="00190923" w:rsidRPr="00981405">
        <w:t xml:space="preserve"> </w:t>
      </w:r>
      <w:r w:rsidRPr="00981405">
        <w:t>non-accidental</w:t>
      </w:r>
      <w:r w:rsidR="00190923" w:rsidRPr="00981405">
        <w:t xml:space="preserve"> </w:t>
      </w:r>
      <w:r w:rsidRPr="00981405">
        <w:t>repetition</w:t>
      </w:r>
      <w:r w:rsidR="00190923" w:rsidRPr="00981405">
        <w:t xml:space="preserve"> </w:t>
      </w:r>
      <w:r w:rsidRPr="00981405">
        <w:t>of</w:t>
      </w:r>
      <w:r w:rsidR="00190923" w:rsidRPr="00981405">
        <w:t xml:space="preserve"> </w:t>
      </w:r>
      <w:r w:rsidRPr="00981405">
        <w:t>similar</w:t>
      </w:r>
      <w:r w:rsidR="00190923" w:rsidRPr="00981405">
        <w:t xml:space="preserve"> </w:t>
      </w:r>
      <w:r w:rsidRPr="00981405">
        <w:t>criminal</w:t>
      </w:r>
      <w:r w:rsidR="00190923" w:rsidRPr="00981405">
        <w:t xml:space="preserve"> </w:t>
      </w:r>
      <w:r w:rsidRPr="00981405">
        <w:t>conduct</w:t>
      </w:r>
      <w:r w:rsidR="00190923" w:rsidRPr="00981405">
        <w:t xml:space="preserve"> </w:t>
      </w:r>
      <w:r w:rsidRPr="00981405">
        <w:t>on</w:t>
      </w:r>
      <w:r w:rsidR="00190923" w:rsidRPr="00981405">
        <w:t xml:space="preserve"> </w:t>
      </w:r>
      <w:r w:rsidRPr="00981405">
        <w:t>a</w:t>
      </w:r>
      <w:r w:rsidR="00190923" w:rsidRPr="00981405">
        <w:t xml:space="preserve"> </w:t>
      </w:r>
      <w:r w:rsidRPr="00981405">
        <w:t>regular</w:t>
      </w:r>
      <w:r w:rsidR="00190923" w:rsidRPr="00981405">
        <w:t xml:space="preserve"> </w:t>
      </w:r>
      <w:r w:rsidRPr="00981405">
        <w:t>basis</w:t>
      </w:r>
      <w:r w:rsidR="00190923" w:rsidRPr="00981405">
        <w:t xml:space="preserve"> </w:t>
      </w:r>
      <w:r w:rsidRPr="00981405">
        <w:t>—</w:t>
      </w:r>
      <w:r w:rsidR="00190923" w:rsidRPr="00981405">
        <w:t xml:space="preserve"> </w:t>
      </w:r>
      <w:r w:rsidRPr="00981405">
        <w:t>are</w:t>
      </w:r>
      <w:r w:rsidR="00190923" w:rsidRPr="00981405">
        <w:t xml:space="preserve"> </w:t>
      </w:r>
      <w:r w:rsidRPr="00981405">
        <w:t>a</w:t>
      </w:r>
      <w:r w:rsidR="00190923" w:rsidRPr="00981405">
        <w:t xml:space="preserve"> </w:t>
      </w:r>
      <w:r w:rsidRPr="00981405">
        <w:t>common</w:t>
      </w:r>
      <w:r w:rsidR="00190923" w:rsidRPr="00981405">
        <w:t xml:space="preserve"> </w:t>
      </w:r>
      <w:r w:rsidRPr="00981405">
        <w:t>expression</w:t>
      </w:r>
      <w:r w:rsidR="00190923" w:rsidRPr="00981405">
        <w:t xml:space="preserve"> </w:t>
      </w:r>
      <w:r w:rsidRPr="00981405">
        <w:t>of</w:t>
      </w:r>
      <w:r w:rsidR="00190923" w:rsidRPr="00981405">
        <w:t xml:space="preserve"> </w:t>
      </w:r>
      <w:r w:rsidRPr="00981405">
        <w:t>such</w:t>
      </w:r>
      <w:r w:rsidR="00190923" w:rsidRPr="00981405">
        <w:t xml:space="preserve"> </w:t>
      </w:r>
      <w:r w:rsidRPr="00981405">
        <w:t>systematic</w:t>
      </w:r>
      <w:r w:rsidR="00190923" w:rsidRPr="00981405">
        <w:t xml:space="preserve"> </w:t>
      </w:r>
      <w:r w:rsidRPr="00981405">
        <w:t>occurrence.</w:t>
      </w:r>
      <w:bookmarkStart w:id="78" w:name="_Ref422733118"/>
      <w:r w:rsidR="00B92E2C" w:rsidRPr="00981405">
        <w:t>”</w:t>
      </w:r>
      <w:r w:rsidRPr="00981405">
        <w:rPr>
          <w:rStyle w:val="FootnoteReference"/>
        </w:rPr>
        <w:footnoteReference w:id="138"/>
      </w:r>
      <w:bookmarkEnd w:id="78"/>
      <w:r w:rsidR="00190923" w:rsidRPr="00981405">
        <w:t xml:space="preserve"> </w:t>
      </w:r>
      <w:r w:rsidRPr="00981405">
        <w:t>The</w:t>
      </w:r>
      <w:r w:rsidR="00190923" w:rsidRPr="00981405">
        <w:t xml:space="preserve"> </w:t>
      </w:r>
      <w:r w:rsidRPr="00981405">
        <w:t>ICTR</w:t>
      </w:r>
      <w:r w:rsidR="00190923" w:rsidRPr="00981405">
        <w:t xml:space="preserve"> </w:t>
      </w:r>
      <w:r w:rsidRPr="00981405">
        <w:t>has</w:t>
      </w:r>
      <w:r w:rsidR="00190923" w:rsidRPr="00981405">
        <w:t xml:space="preserve"> </w:t>
      </w:r>
      <w:r w:rsidRPr="00981405">
        <w:t>taken</w:t>
      </w:r>
      <w:r w:rsidR="00190923" w:rsidRPr="00981405">
        <w:t xml:space="preserve"> </w:t>
      </w:r>
      <w:r w:rsidRPr="00981405">
        <w:t>a</w:t>
      </w:r>
      <w:r w:rsidR="00190923" w:rsidRPr="00981405">
        <w:t xml:space="preserve"> </w:t>
      </w:r>
      <w:r w:rsidRPr="00981405">
        <w:t>similar</w:t>
      </w:r>
      <w:r w:rsidR="00190923" w:rsidRPr="00981405">
        <w:t xml:space="preserve"> </w:t>
      </w:r>
      <w:r w:rsidRPr="00981405">
        <w:t>approach.</w:t>
      </w:r>
      <w:r w:rsidRPr="00981405">
        <w:rPr>
          <w:rStyle w:val="FootnoteReference"/>
        </w:rPr>
        <w:footnoteReference w:id="139"/>
      </w:r>
      <w:r w:rsidR="00190923" w:rsidRPr="00981405">
        <w:t xml:space="preserve"> </w:t>
      </w:r>
    </w:p>
    <w:p w:rsidR="00397032" w:rsidRPr="00981405" w:rsidRDefault="00397032" w:rsidP="00D97463">
      <w:pPr>
        <w:pStyle w:val="SingleTxt"/>
      </w:pPr>
      <w:r w:rsidRPr="00981405">
        <w:t>(16)</w:t>
      </w:r>
      <w:r w:rsidRPr="00981405">
        <w:tab/>
        <w:t>Consistent</w:t>
      </w:r>
      <w:r w:rsidR="00190923" w:rsidRPr="00981405">
        <w:t xml:space="preserve"> </w:t>
      </w:r>
      <w:r w:rsidRPr="00981405">
        <w:t>with</w:t>
      </w:r>
      <w:r w:rsidR="00190923" w:rsidRPr="00981405">
        <w:t xml:space="preserve"> </w:t>
      </w:r>
      <w:r w:rsidRPr="00981405">
        <w:t>ICTY</w:t>
      </w:r>
      <w:r w:rsidR="00190923" w:rsidRPr="00981405">
        <w:t xml:space="preserve"> </w:t>
      </w:r>
      <w:r w:rsidRPr="00981405">
        <w:t>and</w:t>
      </w:r>
      <w:r w:rsidR="00190923" w:rsidRPr="00981405">
        <w:t xml:space="preserve"> </w:t>
      </w:r>
      <w:r w:rsidRPr="00981405">
        <w:t>ICTR</w:t>
      </w:r>
      <w:r w:rsidR="00190923" w:rsidRPr="00981405">
        <w:t xml:space="preserve"> </w:t>
      </w:r>
      <w:r w:rsidRPr="00981405">
        <w:t>jurisprudence,</w:t>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Harun</w:t>
      </w:r>
      <w:r w:rsidR="00190923" w:rsidRPr="00981405">
        <w:t xml:space="preserve"> </w:t>
      </w:r>
      <w:r w:rsidRPr="00981405">
        <w:t>found</w:t>
      </w:r>
      <w:r w:rsidR="00190923" w:rsidRPr="00981405">
        <w:t xml:space="preserve"> </w:t>
      </w:r>
      <w:r w:rsidRPr="00981405">
        <w:t>that</w:t>
      </w:r>
      <w:r w:rsidR="00190923" w:rsidRPr="00981405">
        <w:t xml:space="preserve"> </w:t>
      </w:r>
      <w:r w:rsidR="00B92E2C" w:rsidRPr="00981405">
        <w:t>“</w:t>
      </w:r>
      <w:r w:rsidRPr="00981405">
        <w:t>systematic</w:t>
      </w:r>
      <w:r w:rsidR="00B92E2C" w:rsidRPr="00981405">
        <w:t>”</w:t>
      </w:r>
      <w:r w:rsidR="00190923" w:rsidRPr="00981405">
        <w:t xml:space="preserve"> </w:t>
      </w:r>
      <w:r w:rsidRPr="00981405">
        <w:t>refers</w:t>
      </w:r>
      <w:r w:rsidR="00190923" w:rsidRPr="00981405">
        <w:t xml:space="preserve"> </w:t>
      </w:r>
      <w:r w:rsidRPr="00981405">
        <w:t>to</w:t>
      </w:r>
      <w:r w:rsidR="00190923" w:rsidRPr="00981405">
        <w:t xml:space="preserve"> </w:t>
      </w:r>
      <w:r w:rsidR="00B92E2C" w:rsidRPr="00981405">
        <w:t>“</w:t>
      </w:r>
      <w:r w:rsidRPr="00981405">
        <w:t>the</w:t>
      </w:r>
      <w:r w:rsidR="00190923" w:rsidRPr="00981405">
        <w:t xml:space="preserve"> </w:t>
      </w:r>
      <w:r w:rsidRPr="00981405">
        <w:t>organised</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acts</w:t>
      </w:r>
      <w:r w:rsidR="00190923" w:rsidRPr="00981405">
        <w:t xml:space="preserve"> </w:t>
      </w:r>
      <w:r w:rsidRPr="00981405">
        <w:t>of</w:t>
      </w:r>
      <w:r w:rsidR="00190923" w:rsidRPr="00981405">
        <w:t xml:space="preserve"> </w:t>
      </w:r>
      <w:r w:rsidRPr="00981405">
        <w:t>violence</w:t>
      </w:r>
      <w:r w:rsidR="00190923" w:rsidRPr="00981405">
        <w:t xml:space="preserve"> </w:t>
      </w:r>
      <w:r w:rsidRPr="00981405">
        <w:t>and</w:t>
      </w:r>
      <w:r w:rsidR="00190923" w:rsidRPr="00981405">
        <w:t xml:space="preserve"> </w:t>
      </w:r>
      <w:r w:rsidRPr="00981405">
        <w:t>improbability</w:t>
      </w:r>
      <w:r w:rsidR="00190923" w:rsidRPr="00981405">
        <w:t xml:space="preserve"> </w:t>
      </w:r>
      <w:r w:rsidRPr="00981405">
        <w:t>of</w:t>
      </w:r>
      <w:r w:rsidR="00190923" w:rsidRPr="00981405">
        <w:t xml:space="preserve"> </w:t>
      </w:r>
      <w:r w:rsidRPr="00981405">
        <w:t>their</w:t>
      </w:r>
      <w:r w:rsidR="00190923" w:rsidRPr="00981405">
        <w:t xml:space="preserve"> </w:t>
      </w:r>
      <w:r w:rsidRPr="00981405">
        <w:t>random</w:t>
      </w:r>
      <w:r w:rsidR="00190923" w:rsidRPr="00981405">
        <w:t xml:space="preserve"> </w:t>
      </w:r>
      <w:r w:rsidRPr="00981405">
        <w:t>occurrence.</w:t>
      </w:r>
      <w:r w:rsidR="00B92E2C" w:rsidRPr="00981405">
        <w:t>”</w:t>
      </w:r>
      <w:r w:rsidRPr="00981405">
        <w:rPr>
          <w:rStyle w:val="FootnoteReference"/>
        </w:rPr>
        <w:footnoteReference w:id="140"/>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lastRenderedPageBreak/>
        <w:t>Katanga</w:t>
      </w:r>
      <w:r w:rsidR="00190923" w:rsidRPr="00981405">
        <w:t xml:space="preserve"> </w:t>
      </w:r>
      <w:r w:rsidRPr="00981405">
        <w:t>found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has</w:t>
      </w:r>
      <w:r w:rsidR="00190923" w:rsidRPr="00981405">
        <w:t xml:space="preserve"> </w:t>
      </w:r>
      <w:r w:rsidRPr="00981405">
        <w:t>been</w:t>
      </w:r>
      <w:r w:rsidR="00190923" w:rsidRPr="00981405">
        <w:t xml:space="preserve"> </w:t>
      </w:r>
      <w:r w:rsidRPr="00981405">
        <w:t>understood</w:t>
      </w:r>
      <w:r w:rsidR="00190923" w:rsidRPr="00981405">
        <w:t xml:space="preserve"> </w:t>
      </w:r>
      <w:r w:rsidRPr="00981405">
        <w:t>as</w:t>
      </w:r>
      <w:r w:rsidR="00190923" w:rsidRPr="00981405">
        <w:t xml:space="preserve"> </w:t>
      </w:r>
      <w:r w:rsidRPr="00981405">
        <w:t>either</w:t>
      </w:r>
      <w:r w:rsidR="00190923" w:rsidRPr="00981405">
        <w:t xml:space="preserve"> </w:t>
      </w:r>
      <w:r w:rsidRPr="00981405">
        <w:t>an</w:t>
      </w:r>
      <w:r w:rsidR="00190923" w:rsidRPr="00981405">
        <w:t xml:space="preserve"> </w:t>
      </w:r>
      <w:r w:rsidRPr="00981405">
        <w:t>organized</w:t>
      </w:r>
      <w:r w:rsidR="00190923" w:rsidRPr="00981405">
        <w:t xml:space="preserve"> </w:t>
      </w:r>
      <w:r w:rsidRPr="00981405">
        <w:t>plan</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common</w:t>
      </w:r>
      <w:r w:rsidR="00190923" w:rsidRPr="00981405">
        <w:t xml:space="preserve"> </w:t>
      </w:r>
      <w:r w:rsidRPr="00981405">
        <w:t>policy,</w:t>
      </w:r>
      <w:r w:rsidR="00190923" w:rsidRPr="00981405">
        <w:t xml:space="preserve"> </w:t>
      </w:r>
      <w:r w:rsidRPr="00981405">
        <w:t>which</w:t>
      </w:r>
      <w:r w:rsidR="00190923" w:rsidRPr="00981405">
        <w:t xml:space="preserve"> </w:t>
      </w:r>
      <w:r w:rsidRPr="00981405">
        <w:t>follows</w:t>
      </w:r>
      <w:r w:rsidR="00190923" w:rsidRPr="00981405">
        <w:t xml:space="preserve"> </w:t>
      </w:r>
      <w:r w:rsidRPr="00981405">
        <w:t>a</w:t>
      </w:r>
      <w:r w:rsidR="00190923" w:rsidRPr="00981405">
        <w:t xml:space="preserve"> </w:t>
      </w:r>
      <w:r w:rsidRPr="00981405">
        <w:t>regular</w:t>
      </w:r>
      <w:r w:rsidR="00190923" w:rsidRPr="00981405">
        <w:t xml:space="preserve"> </w:t>
      </w:r>
      <w:r w:rsidRPr="00981405">
        <w:t>pattern</w:t>
      </w:r>
      <w:r w:rsidR="00190923" w:rsidRPr="00981405">
        <w:t xml:space="preserve"> </w:t>
      </w:r>
      <w:r w:rsidRPr="00981405">
        <w:t>and</w:t>
      </w:r>
      <w:r w:rsidR="00190923" w:rsidRPr="00981405">
        <w:t xml:space="preserve"> </w:t>
      </w:r>
      <w:r w:rsidRPr="00981405">
        <w:t>results</w:t>
      </w:r>
      <w:r w:rsidR="00190923" w:rsidRPr="00981405">
        <w:t xml:space="preserve"> </w:t>
      </w:r>
      <w:r w:rsidRPr="00981405">
        <w:t>in</w:t>
      </w:r>
      <w:r w:rsidR="00190923" w:rsidRPr="00981405">
        <w:t xml:space="preserve"> </w:t>
      </w:r>
      <w:r w:rsidRPr="00981405">
        <w:t>a</w:t>
      </w:r>
      <w:r w:rsidR="00190923" w:rsidRPr="00981405">
        <w:t xml:space="preserve"> </w:t>
      </w:r>
      <w:r w:rsidRPr="00981405">
        <w:t>continuous</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or</w:t>
      </w:r>
      <w:r w:rsidR="00190923" w:rsidRPr="00981405">
        <w:t xml:space="preserve"> </w:t>
      </w:r>
      <w:r w:rsidRPr="00981405">
        <w:t>as</w:t>
      </w:r>
      <w:r w:rsidR="00190923" w:rsidRPr="00981405">
        <w:t xml:space="preserve"> </w:t>
      </w:r>
      <w:r w:rsidR="00B92E2C" w:rsidRPr="00981405">
        <w:t>‘</w:t>
      </w:r>
      <w:r w:rsidRPr="00981405">
        <w:t>patterns</w:t>
      </w:r>
      <w:r w:rsidR="00190923" w:rsidRPr="00981405">
        <w:t xml:space="preserve"> </w:t>
      </w:r>
      <w:r w:rsidRPr="00981405">
        <w:t>of</w:t>
      </w:r>
      <w:r w:rsidR="00190923" w:rsidRPr="00981405">
        <w:t xml:space="preserve"> </w:t>
      </w:r>
      <w:r w:rsidRPr="00981405">
        <w:t>crimes</w:t>
      </w:r>
      <w:r w:rsidR="00B92E2C" w:rsidRPr="00981405">
        <w:t>’</w:t>
      </w:r>
      <w:r w:rsidR="00190923" w:rsidRPr="00981405">
        <w:t xml:space="preserve"> </w:t>
      </w:r>
      <w:r w:rsidRPr="00981405">
        <w:t>such</w:t>
      </w:r>
      <w:r w:rsidR="00190923" w:rsidRPr="00981405">
        <w:t xml:space="preserve"> </w:t>
      </w:r>
      <w:r w:rsidRPr="00981405">
        <w:t>that</w:t>
      </w:r>
      <w:r w:rsidR="00190923" w:rsidRPr="00981405">
        <w:t xml:space="preserve"> </w:t>
      </w:r>
      <w:r w:rsidRPr="00981405">
        <w:t>the</w:t>
      </w:r>
      <w:r w:rsidR="00190923" w:rsidRPr="00981405">
        <w:t xml:space="preserve"> </w:t>
      </w:r>
      <w:r w:rsidRPr="00981405">
        <w:t>crimes</w:t>
      </w:r>
      <w:r w:rsidR="00190923" w:rsidRPr="00981405">
        <w:t xml:space="preserve"> </w:t>
      </w:r>
      <w:r w:rsidRPr="00981405">
        <w:t>constitute</w:t>
      </w:r>
      <w:r w:rsidR="00190923" w:rsidRPr="00981405">
        <w:t xml:space="preserve"> </w:t>
      </w:r>
      <w:r w:rsidRPr="00981405">
        <w:t>a</w:t>
      </w:r>
      <w:r w:rsidR="00190923" w:rsidRPr="00981405">
        <w:t xml:space="preserve"> </w:t>
      </w:r>
      <w:r w:rsidR="00B92E2C" w:rsidRPr="00981405">
        <w:t>‘</w:t>
      </w:r>
      <w:r w:rsidRPr="00981405">
        <w:t>non-accidental</w:t>
      </w:r>
      <w:r w:rsidR="00190923" w:rsidRPr="00981405">
        <w:t xml:space="preserve"> </w:t>
      </w:r>
      <w:r w:rsidRPr="00981405">
        <w:t>repetition</w:t>
      </w:r>
      <w:r w:rsidR="00190923" w:rsidRPr="00981405">
        <w:t xml:space="preserve"> </w:t>
      </w:r>
      <w:r w:rsidRPr="00981405">
        <w:t>of</w:t>
      </w:r>
      <w:r w:rsidR="00190923" w:rsidRPr="00981405">
        <w:t xml:space="preserve"> </w:t>
      </w:r>
      <w:r w:rsidRPr="00981405">
        <w:t>similar</w:t>
      </w:r>
      <w:r w:rsidR="00190923" w:rsidRPr="00981405">
        <w:t xml:space="preserve"> </w:t>
      </w:r>
      <w:r w:rsidRPr="00981405">
        <w:t>criminal</w:t>
      </w:r>
      <w:r w:rsidR="00190923" w:rsidRPr="00981405">
        <w:t xml:space="preserve"> </w:t>
      </w:r>
      <w:r w:rsidRPr="00981405">
        <w:t>conduct</w:t>
      </w:r>
      <w:r w:rsidR="00190923" w:rsidRPr="00981405">
        <w:t xml:space="preserve"> </w:t>
      </w:r>
      <w:r w:rsidRPr="00981405">
        <w:t>on</w:t>
      </w:r>
      <w:r w:rsidR="00190923" w:rsidRPr="00981405">
        <w:t xml:space="preserve"> </w:t>
      </w:r>
      <w:r w:rsidRPr="00981405">
        <w:t>a</w:t>
      </w:r>
      <w:r w:rsidR="00190923" w:rsidRPr="00981405">
        <w:t xml:space="preserve"> </w:t>
      </w:r>
      <w:r w:rsidRPr="00981405">
        <w:t>regular</w:t>
      </w:r>
      <w:r w:rsidR="00190923" w:rsidRPr="00981405">
        <w:t xml:space="preserve"> </w:t>
      </w:r>
      <w:r w:rsidRPr="00981405">
        <w:t>basis.</w:t>
      </w:r>
      <w:r w:rsidR="00B92E2C" w:rsidRPr="00981405">
        <w:t>’”</w:t>
      </w:r>
      <w:r w:rsidRPr="00981405">
        <w:rPr>
          <w:rStyle w:val="FootnoteReference"/>
        </w:rPr>
        <w:footnoteReference w:id="141"/>
      </w:r>
      <w:r w:rsidR="00190923" w:rsidRPr="00981405">
        <w:t xml:space="preserve"> </w:t>
      </w:r>
      <w:r w:rsidRPr="00981405">
        <w:t>In</w:t>
      </w:r>
      <w:r w:rsidR="00190923" w:rsidRPr="00981405">
        <w:t xml:space="preserve"> </w:t>
      </w:r>
      <w:r w:rsidRPr="00981405">
        <w:t>applying</w:t>
      </w:r>
      <w:r w:rsidR="00190923" w:rsidRPr="00981405">
        <w:t xml:space="preserve"> </w:t>
      </w:r>
      <w:r w:rsidRPr="00981405">
        <w:t>the</w:t>
      </w:r>
      <w:r w:rsidR="00190923" w:rsidRPr="00981405">
        <w:t xml:space="preserve"> </w:t>
      </w:r>
      <w:r w:rsidRPr="00981405">
        <w:t>standard,</w:t>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Ntaganda</w:t>
      </w:r>
      <w:r w:rsidR="00190923" w:rsidRPr="00981405">
        <w:t xml:space="preserve"> </w:t>
      </w:r>
      <w:r w:rsidRPr="00981405">
        <w:t>found</w:t>
      </w:r>
      <w:r w:rsidR="00190923" w:rsidRPr="00981405">
        <w:t xml:space="preserve"> </w:t>
      </w:r>
      <w:r w:rsidRPr="00981405">
        <w:t>an</w:t>
      </w:r>
      <w:r w:rsidR="00190923" w:rsidRPr="00981405">
        <w:t xml:space="preserve"> </w:t>
      </w:r>
      <w:r w:rsidRPr="00981405">
        <w:t>attack</w:t>
      </w:r>
      <w:r w:rsidR="00190923" w:rsidRPr="00981405">
        <w:t xml:space="preserve"> </w:t>
      </w:r>
      <w:r w:rsidRPr="00981405">
        <w:t>to</w:t>
      </w:r>
      <w:r w:rsidR="00190923" w:rsidRPr="00981405">
        <w:t xml:space="preserve"> </w:t>
      </w:r>
      <w:r w:rsidRPr="00981405">
        <w:t>be</w:t>
      </w:r>
      <w:r w:rsidR="00190923" w:rsidRPr="00981405">
        <w:t xml:space="preserve"> </w:t>
      </w:r>
      <w:r w:rsidRPr="00981405">
        <w:t>systematic</w:t>
      </w:r>
      <w:r w:rsidR="00190923" w:rsidRPr="00981405">
        <w:t xml:space="preserve"> </w:t>
      </w:r>
      <w:r w:rsidRPr="00981405">
        <w:t>since</w:t>
      </w:r>
      <w:r w:rsidR="00190923" w:rsidRPr="00981405">
        <w:t xml:space="preserve"> </w:t>
      </w:r>
      <w:r w:rsidR="00B92E2C" w:rsidRPr="00981405">
        <w:t>“</w:t>
      </w:r>
      <w:r w:rsidRPr="00981405">
        <w:t>the</w:t>
      </w:r>
      <w:r w:rsidR="00190923" w:rsidRPr="00981405">
        <w:t xml:space="preserve"> </w:t>
      </w:r>
      <w:r w:rsidRPr="00981405">
        <w:t>perpetrators</w:t>
      </w:r>
      <w:r w:rsidR="00190923" w:rsidRPr="00981405">
        <w:t xml:space="preserve"> </w:t>
      </w:r>
      <w:r w:rsidRPr="00981405">
        <w:t>employed</w:t>
      </w:r>
      <w:r w:rsidR="00190923" w:rsidRPr="00981405">
        <w:t xml:space="preserve"> </w:t>
      </w:r>
      <w:r w:rsidRPr="00981405">
        <w:t>similar</w:t>
      </w:r>
      <w:r w:rsidR="00190923" w:rsidRPr="00981405">
        <w:t xml:space="preserve"> </w:t>
      </w:r>
      <w:r w:rsidRPr="00981405">
        <w:t>means</w:t>
      </w:r>
      <w:r w:rsidR="00190923" w:rsidRPr="00981405">
        <w:t xml:space="preserve"> </w:t>
      </w:r>
      <w:r w:rsidRPr="00981405">
        <w:t>and</w:t>
      </w:r>
      <w:r w:rsidR="00190923" w:rsidRPr="00981405">
        <w:t xml:space="preserve"> </w:t>
      </w:r>
      <w:r w:rsidRPr="00981405">
        <w:t>methods</w:t>
      </w:r>
      <w:r w:rsidR="00190923" w:rsidRPr="00981405">
        <w:t xml:space="preserve"> </w:t>
      </w:r>
      <w:r w:rsidRPr="00981405">
        <w:t>to</w:t>
      </w:r>
      <w:r w:rsidR="00190923" w:rsidRPr="00981405">
        <w:t xml:space="preserve"> </w:t>
      </w:r>
      <w:r w:rsidRPr="00981405">
        <w:t>attack</w:t>
      </w:r>
      <w:r w:rsidR="00190923" w:rsidRPr="00981405">
        <w:t xml:space="preserve"> </w:t>
      </w:r>
      <w:r w:rsidRPr="00981405">
        <w:t>the</w:t>
      </w:r>
      <w:r w:rsidR="00190923" w:rsidRPr="00981405">
        <w:t xml:space="preserve"> </w:t>
      </w:r>
      <w:r w:rsidRPr="00981405">
        <w:t>different</w:t>
      </w:r>
      <w:r w:rsidR="00190923" w:rsidRPr="00981405">
        <w:t xml:space="preserve"> </w:t>
      </w:r>
      <w:r w:rsidRPr="00981405">
        <w:t>locations:</w:t>
      </w:r>
      <w:r w:rsidR="00190923" w:rsidRPr="00981405">
        <w:t xml:space="preserve"> </w:t>
      </w:r>
      <w:r w:rsidRPr="00981405">
        <w:t>they</w:t>
      </w:r>
      <w:r w:rsidR="00190923" w:rsidRPr="00981405">
        <w:t xml:space="preserve"> </w:t>
      </w:r>
      <w:r w:rsidRPr="00981405">
        <w:t>approached</w:t>
      </w:r>
      <w:r w:rsidR="00190923" w:rsidRPr="00981405">
        <w:t xml:space="preserve"> </w:t>
      </w:r>
      <w:r w:rsidRPr="00981405">
        <w:t>the</w:t>
      </w:r>
      <w:r w:rsidR="00190923" w:rsidRPr="00981405">
        <w:t xml:space="preserve"> </w:t>
      </w:r>
      <w:r w:rsidRPr="00981405">
        <w:t>targets</w:t>
      </w:r>
      <w:r w:rsidR="00190923" w:rsidRPr="00981405">
        <w:t xml:space="preserve"> </w:t>
      </w:r>
      <w:r w:rsidRPr="00981405">
        <w:t>simultaneously,</w:t>
      </w:r>
      <w:r w:rsidR="00190923" w:rsidRPr="00981405">
        <w:t xml:space="preserve"> </w:t>
      </w:r>
      <w:r w:rsidRPr="00981405">
        <w:t>in</w:t>
      </w:r>
      <w:r w:rsidR="00190923" w:rsidRPr="00981405">
        <w:t xml:space="preserve"> </w:t>
      </w:r>
      <w:r w:rsidRPr="00981405">
        <w:t>large</w:t>
      </w:r>
      <w:r w:rsidR="00190923" w:rsidRPr="00981405">
        <w:t xml:space="preserve"> </w:t>
      </w:r>
      <w:r w:rsidRPr="00981405">
        <w:t>numbers,</w:t>
      </w:r>
      <w:r w:rsidR="00190923" w:rsidRPr="00981405">
        <w:t xml:space="preserve"> </w:t>
      </w:r>
      <w:r w:rsidRPr="00981405">
        <w:t>and</w:t>
      </w:r>
      <w:r w:rsidR="00190923" w:rsidRPr="00981405">
        <w:t xml:space="preserve"> </w:t>
      </w:r>
      <w:r w:rsidRPr="00981405">
        <w:t>from</w:t>
      </w:r>
      <w:r w:rsidR="00190923" w:rsidRPr="00981405">
        <w:t xml:space="preserve"> </w:t>
      </w:r>
      <w:r w:rsidRPr="00981405">
        <w:t>different</w:t>
      </w:r>
      <w:r w:rsidR="00190923" w:rsidRPr="00981405">
        <w:t xml:space="preserve"> </w:t>
      </w:r>
      <w:r w:rsidRPr="00981405">
        <w:t>directions,</w:t>
      </w:r>
      <w:r w:rsidR="00190923" w:rsidRPr="00981405">
        <w:t xml:space="preserve"> </w:t>
      </w:r>
      <w:r w:rsidRPr="00981405">
        <w:t>they</w:t>
      </w:r>
      <w:r w:rsidR="00190923" w:rsidRPr="00981405">
        <w:t xml:space="preserve"> </w:t>
      </w:r>
      <w:r w:rsidRPr="00981405">
        <w:t>attacked</w:t>
      </w:r>
      <w:r w:rsidR="00190923" w:rsidRPr="00981405">
        <w:t xml:space="preserve"> </w:t>
      </w:r>
      <w:r w:rsidRPr="00981405">
        <w:t>villages</w:t>
      </w:r>
      <w:r w:rsidR="00190923" w:rsidRPr="00981405">
        <w:t xml:space="preserve"> </w:t>
      </w:r>
      <w:r w:rsidRPr="00981405">
        <w:t>with</w:t>
      </w:r>
      <w:r w:rsidR="00190923" w:rsidRPr="00981405">
        <w:t xml:space="preserve"> </w:t>
      </w:r>
      <w:r w:rsidRPr="00981405">
        <w:t>heavy</w:t>
      </w:r>
      <w:r w:rsidR="00190923" w:rsidRPr="00981405">
        <w:t xml:space="preserve"> </w:t>
      </w:r>
      <w:r w:rsidRPr="00981405">
        <w:t>weapons,</w:t>
      </w:r>
      <w:r w:rsidR="00190923" w:rsidRPr="00981405">
        <w:t xml:space="preserve"> </w:t>
      </w:r>
      <w:r w:rsidRPr="00981405">
        <w:t>and</w:t>
      </w:r>
      <w:r w:rsidR="00190923" w:rsidRPr="00981405">
        <w:t xml:space="preserve"> </w:t>
      </w:r>
      <w:r w:rsidRPr="00981405">
        <w:t>systematically</w:t>
      </w:r>
      <w:r w:rsidR="00190923" w:rsidRPr="00981405">
        <w:t xml:space="preserve"> </w:t>
      </w:r>
      <w:r w:rsidRPr="00981405">
        <w:t>chased</w:t>
      </w:r>
      <w:r w:rsidR="00190923" w:rsidRPr="00981405">
        <w:t xml:space="preserve"> </w:t>
      </w:r>
      <w:r w:rsidRPr="00981405">
        <w:t>the</w:t>
      </w:r>
      <w:r w:rsidR="00190923" w:rsidRPr="00981405">
        <w:t xml:space="preserve"> </w:t>
      </w:r>
      <w:r w:rsidRPr="00981405">
        <w:t>population</w:t>
      </w:r>
      <w:r w:rsidR="00190923" w:rsidRPr="00981405">
        <w:t xml:space="preserve"> </w:t>
      </w:r>
      <w:r w:rsidRPr="00981405">
        <w:t>by</w:t>
      </w:r>
      <w:r w:rsidR="00190923" w:rsidRPr="00981405">
        <w:t xml:space="preserve"> </w:t>
      </w:r>
      <w:r w:rsidRPr="00981405">
        <w:t>similar</w:t>
      </w:r>
      <w:r w:rsidR="00190923" w:rsidRPr="00981405">
        <w:t xml:space="preserve"> </w:t>
      </w:r>
      <w:r w:rsidRPr="00981405">
        <w:t>methods,</w:t>
      </w:r>
      <w:r w:rsidR="00190923" w:rsidRPr="00981405">
        <w:t xml:space="preserve"> </w:t>
      </w:r>
      <w:r w:rsidRPr="00981405">
        <w:t>hunting</w:t>
      </w:r>
      <w:r w:rsidR="00190923" w:rsidRPr="00981405">
        <w:t xml:space="preserve"> </w:t>
      </w:r>
      <w:r w:rsidRPr="00981405">
        <w:t>house</w:t>
      </w:r>
      <w:r w:rsidR="00190923" w:rsidRPr="00981405">
        <w:t xml:space="preserve"> </w:t>
      </w:r>
      <w:r w:rsidRPr="00981405">
        <w:t>by</w:t>
      </w:r>
      <w:r w:rsidR="00190923" w:rsidRPr="00981405">
        <w:t xml:space="preserve"> </w:t>
      </w:r>
      <w:r w:rsidRPr="00981405">
        <w:t>house</w:t>
      </w:r>
      <w:r w:rsidR="00190923" w:rsidRPr="00981405">
        <w:t xml:space="preserve"> </w:t>
      </w:r>
      <w:r w:rsidRPr="00981405">
        <w:t>and</w:t>
      </w:r>
      <w:r w:rsidR="00190923" w:rsidRPr="00981405">
        <w:t xml:space="preserve"> </w:t>
      </w:r>
      <w:r w:rsidRPr="00981405">
        <w:t>into</w:t>
      </w:r>
      <w:r w:rsidR="00190923" w:rsidRPr="00981405">
        <w:t xml:space="preserve"> </w:t>
      </w:r>
      <w:r w:rsidRPr="00981405">
        <w:t>the</w:t>
      </w:r>
      <w:r w:rsidR="00190923" w:rsidRPr="00981405">
        <w:t xml:space="preserve"> </w:t>
      </w:r>
      <w:r w:rsidRPr="00981405">
        <w:t>bushes,</w:t>
      </w:r>
      <w:r w:rsidR="00190923" w:rsidRPr="00981405">
        <w:t xml:space="preserve"> </w:t>
      </w:r>
      <w:r w:rsidRPr="00981405">
        <w:t>burning</w:t>
      </w:r>
      <w:r w:rsidR="00190923" w:rsidRPr="00981405">
        <w:t xml:space="preserve"> </w:t>
      </w:r>
      <w:r w:rsidRPr="00981405">
        <w:t>all</w:t>
      </w:r>
      <w:r w:rsidR="00190923" w:rsidRPr="00981405">
        <w:t xml:space="preserve"> </w:t>
      </w:r>
      <w:r w:rsidRPr="00981405">
        <w:t>properties</w:t>
      </w:r>
      <w:r w:rsidR="00190923" w:rsidRPr="00981405">
        <w:t xml:space="preserve"> </w:t>
      </w:r>
      <w:r w:rsidRPr="00981405">
        <w:t>and</w:t>
      </w:r>
      <w:r w:rsidR="00190923" w:rsidRPr="00981405">
        <w:t xml:space="preserve"> </w:t>
      </w:r>
      <w:r w:rsidRPr="00981405">
        <w:t>looting.</w:t>
      </w:r>
      <w:r w:rsidR="00B92E2C" w:rsidRPr="00981405">
        <w:t>”</w:t>
      </w:r>
      <w:r w:rsidRPr="00981405">
        <w:rPr>
          <w:rStyle w:val="FootnoteReference"/>
        </w:rPr>
        <w:footnoteReference w:id="142"/>
      </w:r>
      <w:bookmarkEnd w:id="77"/>
      <w:r w:rsidR="00190923" w:rsidRPr="00981405">
        <w:t xml:space="preserve"> </w:t>
      </w:r>
      <w:r w:rsidRPr="00981405">
        <w:t>Additionally,</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Ntaganda</w:t>
      </w:r>
      <w:r w:rsidR="00190923" w:rsidRPr="00981405">
        <w:t xml:space="preserve"> </w:t>
      </w:r>
      <w:r w:rsidRPr="00981405">
        <w:t>confirmation</w:t>
      </w:r>
      <w:r w:rsidR="00190923" w:rsidRPr="00981405">
        <w:t xml:space="preserve"> </w:t>
      </w:r>
      <w:r w:rsidRPr="00981405">
        <w:t>of</w:t>
      </w:r>
      <w:r w:rsidR="00190923" w:rsidRPr="00981405">
        <w:t xml:space="preserve"> </w:t>
      </w:r>
      <w:r w:rsidRPr="00981405">
        <w:t>charges</w:t>
      </w:r>
      <w:r w:rsidR="00190923" w:rsidRPr="00981405">
        <w:t xml:space="preserve"> </w:t>
      </w:r>
      <w:r w:rsidRPr="00981405">
        <w:t>decision,</w:t>
      </w:r>
      <w:r w:rsidR="00190923" w:rsidRPr="00981405">
        <w:t xml:space="preserve"> </w:t>
      </w:r>
      <w:r w:rsidRPr="00981405">
        <w:t>a</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held</w:t>
      </w:r>
      <w:r w:rsidR="00190923" w:rsidRPr="00981405">
        <w:t xml:space="preserve"> </w:t>
      </w:r>
      <w:r w:rsidRPr="00981405">
        <w:t>that</w:t>
      </w:r>
      <w:r w:rsidR="00190923" w:rsidRPr="00981405">
        <w:t xml:space="preserve"> </w:t>
      </w:r>
      <w:r w:rsidRPr="00981405">
        <w:t>the</w:t>
      </w:r>
      <w:r w:rsidR="00190923" w:rsidRPr="00981405">
        <w:t xml:space="preserve"> </w:t>
      </w:r>
      <w:r w:rsidRPr="00981405">
        <w:t>attack</w:t>
      </w:r>
      <w:r w:rsidR="00190923" w:rsidRPr="00981405">
        <w:t xml:space="preserve"> </w:t>
      </w:r>
      <w:r w:rsidRPr="00981405">
        <w:t>was</w:t>
      </w:r>
      <w:r w:rsidR="00190923" w:rsidRPr="00981405">
        <w:t xml:space="preserve"> </w:t>
      </w:r>
      <w:r w:rsidRPr="00981405">
        <w:t>systematic</w:t>
      </w:r>
      <w:r w:rsidR="00190923" w:rsidRPr="00981405">
        <w:t xml:space="preserve"> </w:t>
      </w:r>
      <w:r w:rsidRPr="00981405">
        <w:t>as</w:t>
      </w:r>
      <w:r w:rsidR="00190923" w:rsidRPr="00981405">
        <w:t xml:space="preserve"> </w:t>
      </w:r>
      <w:r w:rsidRPr="00981405">
        <w:t>it</w:t>
      </w:r>
      <w:r w:rsidR="00190923" w:rsidRPr="00981405">
        <w:t xml:space="preserve"> </w:t>
      </w:r>
      <w:r w:rsidRPr="00981405">
        <w:t>followed</w:t>
      </w:r>
      <w:r w:rsidR="00190923" w:rsidRPr="00981405">
        <w:t xml:space="preserve"> </w:t>
      </w:r>
      <w:r w:rsidRPr="00981405">
        <w:t>a</w:t>
      </w:r>
      <w:r w:rsidR="00190923" w:rsidRPr="00981405">
        <w:t xml:space="preserve"> </w:t>
      </w:r>
      <w:r w:rsidR="00B92E2C" w:rsidRPr="00981405">
        <w:t>“</w:t>
      </w:r>
      <w:r w:rsidRPr="00981405">
        <w:t>regular</w:t>
      </w:r>
      <w:r w:rsidR="00190923" w:rsidRPr="00981405">
        <w:t xml:space="preserve"> </w:t>
      </w:r>
      <w:r w:rsidRPr="00981405">
        <w:t>pattern</w:t>
      </w:r>
      <w:r w:rsidR="00B92E2C" w:rsidRPr="00981405">
        <w:t>”</w:t>
      </w:r>
      <w:r w:rsidR="00190923" w:rsidRPr="00981405">
        <w:t xml:space="preserve"> </w:t>
      </w:r>
      <w:r w:rsidRPr="00981405">
        <w:t>with</w:t>
      </w:r>
      <w:r w:rsidR="00190923" w:rsidRPr="00981405">
        <w:t xml:space="preserve"> </w:t>
      </w:r>
      <w:r w:rsidRPr="00981405">
        <w:t>a</w:t>
      </w:r>
      <w:r w:rsidR="00190923" w:rsidRPr="00981405">
        <w:t xml:space="preserve"> </w:t>
      </w:r>
      <w:r w:rsidR="00B92E2C" w:rsidRPr="00981405">
        <w:t>“</w:t>
      </w:r>
      <w:r w:rsidRPr="00981405">
        <w:t>recurrent</w:t>
      </w:r>
      <w:r w:rsidR="00190923" w:rsidRPr="00981405">
        <w:t xml:space="preserve"> </w:t>
      </w:r>
      <w:r w:rsidRPr="00D97463">
        <w:rPr>
          <w:i/>
          <w:iCs/>
        </w:rPr>
        <w:t>modus</w:t>
      </w:r>
      <w:r w:rsidR="00190923" w:rsidRPr="00981405">
        <w:rPr>
          <w:i/>
          <w:iCs/>
        </w:rPr>
        <w:t xml:space="preserve"> </w:t>
      </w:r>
      <w:r w:rsidRPr="00D97463">
        <w:rPr>
          <w:i/>
          <w:iCs/>
        </w:rPr>
        <w:t>operandi</w:t>
      </w:r>
      <w:r w:rsidRPr="00981405">
        <w:t>,</w:t>
      </w:r>
      <w:r w:rsidR="00190923" w:rsidRPr="00981405">
        <w:t xml:space="preserve"> </w:t>
      </w:r>
      <w:r w:rsidRPr="00981405">
        <w:t>including</w:t>
      </w:r>
      <w:r w:rsidR="00190923" w:rsidRPr="00981405">
        <w:t xml:space="preserve"> </w:t>
      </w:r>
      <w:r w:rsidRPr="00981405">
        <w:t>the</w:t>
      </w:r>
      <w:r w:rsidR="00190923" w:rsidRPr="00981405">
        <w:t xml:space="preserve"> </w:t>
      </w:r>
      <w:r w:rsidRPr="00981405">
        <w:t>erection</w:t>
      </w:r>
      <w:r w:rsidR="00190923" w:rsidRPr="00981405">
        <w:t xml:space="preserve"> </w:t>
      </w:r>
      <w:r w:rsidRPr="00981405">
        <w:t>of</w:t>
      </w:r>
      <w:r w:rsidR="00190923" w:rsidRPr="00981405">
        <w:t xml:space="preserve"> </w:t>
      </w:r>
      <w:r w:rsidRPr="00981405">
        <w:t>roadblocks,</w:t>
      </w:r>
      <w:r w:rsidR="00190923" w:rsidRPr="00981405">
        <w:t xml:space="preserve"> </w:t>
      </w:r>
      <w:r w:rsidRPr="00981405">
        <w:t>the</w:t>
      </w:r>
      <w:r w:rsidR="00190923" w:rsidRPr="00981405">
        <w:t xml:space="preserve"> </w:t>
      </w:r>
      <w:r w:rsidRPr="00981405">
        <w:t>laying</w:t>
      </w:r>
      <w:r w:rsidR="00190923" w:rsidRPr="00981405">
        <w:t xml:space="preserve"> </w:t>
      </w:r>
      <w:r w:rsidRPr="00981405">
        <w:t>of</w:t>
      </w:r>
      <w:r w:rsidR="00190923" w:rsidRPr="00981405">
        <w:t xml:space="preserve"> </w:t>
      </w:r>
      <w:r w:rsidRPr="00981405">
        <w:t>land</w:t>
      </w:r>
      <w:r w:rsidR="00190923" w:rsidRPr="00981405">
        <w:t xml:space="preserve"> </w:t>
      </w:r>
      <w:r w:rsidRPr="00981405">
        <w:t>mines,</w:t>
      </w:r>
      <w:r w:rsidR="00190923" w:rsidRPr="00981405">
        <w:t xml:space="preserve"> </w:t>
      </w:r>
      <w:r w:rsidRPr="00981405">
        <w:t>and</w:t>
      </w:r>
      <w:r w:rsidR="00190923" w:rsidRPr="00981405">
        <w:t xml:space="preserve"> </w:t>
      </w:r>
      <w:r w:rsidRPr="00981405">
        <w:t>coordinated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the</w:t>
      </w:r>
      <w:r w:rsidR="00190923" w:rsidRPr="00981405">
        <w:t xml:space="preserve"> </w:t>
      </w:r>
      <w:r w:rsidRPr="00981405">
        <w:t>unlawful</w:t>
      </w:r>
      <w:r w:rsidR="00190923" w:rsidRPr="00981405">
        <w:t xml:space="preserve"> </w:t>
      </w:r>
      <w:r w:rsidRPr="00981405">
        <w:t>acts</w:t>
      </w:r>
      <w:r w:rsidR="00190923" w:rsidRPr="00981405">
        <w:t xml:space="preserve"> </w:t>
      </w:r>
      <w:r w:rsidRPr="00981405">
        <w:t>...</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attack</w:t>
      </w:r>
      <w:r w:rsidR="00190923" w:rsidRPr="00981405">
        <w:t xml:space="preserve"> </w:t>
      </w:r>
      <w:r w:rsidRPr="00981405">
        <w:t>the</w:t>
      </w:r>
      <w:r w:rsidR="00190923" w:rsidRPr="00981405">
        <w:t xml:space="preserve"> </w:t>
      </w:r>
      <w:r w:rsidRPr="00981405">
        <w:t>non-Hema</w:t>
      </w:r>
      <w:r w:rsidR="00190923" w:rsidRPr="00981405">
        <w:t xml:space="preserve"> </w:t>
      </w:r>
      <w:r w:rsidRPr="00981405">
        <w:t>civilian</w:t>
      </w:r>
      <w:r w:rsidR="00190923" w:rsidRPr="00981405">
        <w:t xml:space="preserve"> </w:t>
      </w:r>
      <w:r w:rsidRPr="00981405">
        <w:t>population.</w:t>
      </w:r>
      <w:r w:rsidR="00B92E2C" w:rsidRPr="00981405">
        <w:t>”</w:t>
      </w:r>
      <w:r w:rsidRPr="00981405">
        <w:rPr>
          <w:rStyle w:val="FootnoteReference"/>
        </w:rPr>
        <w:footnoteReference w:id="143"/>
      </w:r>
      <w:r w:rsidR="00190923" w:rsidRPr="00981405">
        <w:t xml:space="preserve"> </w:t>
      </w:r>
      <w:r w:rsidRPr="00981405">
        <w:t>In</w:t>
      </w:r>
      <w:r w:rsidR="00190923" w:rsidRPr="00981405">
        <w:t xml:space="preserve"> </w:t>
      </w:r>
      <w:r w:rsidRPr="00D97463">
        <w:rPr>
          <w:i/>
          <w:iCs/>
        </w:rPr>
        <w:t>Gbagbo</w:t>
      </w:r>
      <w:r w:rsidRPr="00981405">
        <w:t>,</w:t>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found</w:t>
      </w:r>
      <w:r w:rsidR="00190923" w:rsidRPr="00981405">
        <w:t xml:space="preserve"> </w:t>
      </w:r>
      <w:r w:rsidRPr="00981405">
        <w:t>an</w:t>
      </w:r>
      <w:r w:rsidR="00190923" w:rsidRPr="00981405">
        <w:t xml:space="preserve"> </w:t>
      </w:r>
      <w:r w:rsidRPr="00981405">
        <w:t>attack</w:t>
      </w:r>
      <w:r w:rsidR="00190923" w:rsidRPr="00981405">
        <w:t xml:space="preserve"> </w:t>
      </w:r>
      <w:r w:rsidRPr="00981405">
        <w:t>to</w:t>
      </w:r>
      <w:r w:rsidR="00190923" w:rsidRPr="00981405">
        <w:t xml:space="preserve"> </w:t>
      </w:r>
      <w:r w:rsidRPr="00981405">
        <w:t>be</w:t>
      </w:r>
      <w:r w:rsidR="00190923" w:rsidRPr="00981405">
        <w:t xml:space="preserve"> </w:t>
      </w:r>
      <w:r w:rsidRPr="00981405">
        <w:t>systematic</w:t>
      </w:r>
      <w:r w:rsidR="00190923" w:rsidRPr="00981405">
        <w:t xml:space="preserve"> </w:t>
      </w:r>
      <w:r w:rsidRPr="00981405">
        <w:t>when</w:t>
      </w:r>
      <w:r w:rsidR="00190923" w:rsidRPr="00981405">
        <w:t xml:space="preserve"> </w:t>
      </w:r>
      <w:r w:rsidR="00B92E2C" w:rsidRPr="00981405">
        <w:t>“</w:t>
      </w:r>
      <w:r w:rsidRPr="00981405">
        <w:t>preparations</w:t>
      </w:r>
      <w:r w:rsidR="00190923" w:rsidRPr="00981405">
        <w:t xml:space="preserve"> </w:t>
      </w:r>
      <w:r w:rsidRPr="00981405">
        <w:t>for</w:t>
      </w:r>
      <w:r w:rsidR="00190923" w:rsidRPr="00981405">
        <w:t xml:space="preserve"> </w:t>
      </w:r>
      <w:r w:rsidRPr="00981405">
        <w:t>the</w:t>
      </w:r>
      <w:r w:rsidR="00190923" w:rsidRPr="00981405">
        <w:t xml:space="preserve"> </w:t>
      </w:r>
      <w:r w:rsidRPr="00981405">
        <w:t>attack</w:t>
      </w:r>
      <w:r w:rsidR="00190923" w:rsidRPr="00981405">
        <w:t xml:space="preserve"> </w:t>
      </w:r>
      <w:r w:rsidRPr="00981405">
        <w:t>were</w:t>
      </w:r>
      <w:r w:rsidR="00190923" w:rsidRPr="00981405">
        <w:t xml:space="preserve"> </w:t>
      </w:r>
      <w:r w:rsidRPr="00981405">
        <w:t>undertaken</w:t>
      </w:r>
      <w:r w:rsidR="00190923" w:rsidRPr="00981405">
        <w:t xml:space="preserve"> </w:t>
      </w:r>
      <w:r w:rsidRPr="00981405">
        <w:t>in</w:t>
      </w:r>
      <w:r w:rsidR="00190923" w:rsidRPr="00981405">
        <w:t xml:space="preserve"> </w:t>
      </w:r>
      <w:r w:rsidRPr="00981405">
        <w:t>advance</w:t>
      </w:r>
      <w:r w:rsidR="00B92E2C"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Pr="00981405">
        <w:t>attack</w:t>
      </w:r>
      <w:r w:rsidR="00190923" w:rsidRPr="00981405">
        <w:t xml:space="preserve"> </w:t>
      </w:r>
      <w:r w:rsidRPr="00981405">
        <w:t>was</w:t>
      </w:r>
      <w:r w:rsidR="00190923" w:rsidRPr="00981405">
        <w:t xml:space="preserve"> </w:t>
      </w:r>
      <w:r w:rsidRPr="00981405">
        <w:t>planned</w:t>
      </w:r>
      <w:r w:rsidR="00190923" w:rsidRPr="00981405">
        <w:t xml:space="preserve"> </w:t>
      </w:r>
      <w:r w:rsidRPr="00981405">
        <w:t>and</w:t>
      </w:r>
      <w:r w:rsidR="00190923" w:rsidRPr="00981405">
        <w:t xml:space="preserve"> </w:t>
      </w:r>
      <w:r w:rsidRPr="00981405">
        <w:t>coordinated</w:t>
      </w:r>
      <w:r w:rsidR="00190923" w:rsidRPr="00981405">
        <w:t xml:space="preserve"> </w:t>
      </w:r>
      <w:r w:rsidRPr="00981405">
        <w:t>with</w:t>
      </w:r>
      <w:r w:rsidR="00190923" w:rsidRPr="00981405">
        <w:t xml:space="preserve"> </w:t>
      </w:r>
      <w:r w:rsidRPr="00981405">
        <w:t>acts</w:t>
      </w:r>
      <w:r w:rsidR="00190923" w:rsidRPr="00981405">
        <w:t xml:space="preserve"> </w:t>
      </w:r>
      <w:r w:rsidRPr="00981405">
        <w:t>of</w:t>
      </w:r>
      <w:r w:rsidR="00190923" w:rsidRPr="00981405">
        <w:t xml:space="preserve"> </w:t>
      </w:r>
      <w:r w:rsidRPr="00981405">
        <w:t>violence</w:t>
      </w:r>
      <w:r w:rsidR="00190923" w:rsidRPr="00981405">
        <w:t xml:space="preserve"> </w:t>
      </w:r>
      <w:r w:rsidRPr="00981405">
        <w:t>revealing</w:t>
      </w:r>
      <w:r w:rsidR="00190923" w:rsidRPr="00981405">
        <w:t xml:space="preserve"> </w:t>
      </w:r>
      <w:r w:rsidRPr="00981405">
        <w:t>a</w:t>
      </w:r>
      <w:r w:rsidR="00190923" w:rsidRPr="00981405">
        <w:t xml:space="preserve"> </w:t>
      </w:r>
      <w:r w:rsidR="00B92E2C" w:rsidRPr="00981405">
        <w:t>“</w:t>
      </w:r>
      <w:r w:rsidRPr="00981405">
        <w:t>clear</w:t>
      </w:r>
      <w:r w:rsidR="00190923" w:rsidRPr="00981405">
        <w:t xml:space="preserve"> </w:t>
      </w:r>
      <w:r w:rsidRPr="00981405">
        <w:t>pattern</w:t>
      </w:r>
      <w:bookmarkStart w:id="79" w:name="_Ref422420873"/>
      <w:r w:rsidR="00B92E2C" w:rsidRPr="00981405">
        <w:t>”</w:t>
      </w:r>
      <w:r w:rsidR="00263608">
        <w:t>.</w:t>
      </w:r>
      <w:r w:rsidRPr="00981405">
        <w:rPr>
          <w:rStyle w:val="FootnoteReference"/>
        </w:rPr>
        <w:footnoteReference w:id="144"/>
      </w:r>
      <w:bookmarkEnd w:id="79"/>
    </w:p>
    <w:p w:rsidR="00397032" w:rsidRPr="00981405" w:rsidRDefault="00397032" w:rsidP="00D97463">
      <w:pPr>
        <w:pStyle w:val="SingleTxt"/>
      </w:pPr>
      <w:r w:rsidRPr="00981405">
        <w:tab/>
      </w:r>
      <w:r w:rsidR="00B92E2C" w:rsidRPr="00981405">
        <w:t>“</w:t>
      </w:r>
      <w:r w:rsidRPr="00D97463">
        <w:rPr>
          <w:i/>
          <w:iCs/>
        </w:rPr>
        <w:t>Directed</w:t>
      </w:r>
      <w:r w:rsidR="00190923" w:rsidRPr="00981405">
        <w:rPr>
          <w:i/>
          <w:iCs/>
        </w:rPr>
        <w:t xml:space="preserve"> </w:t>
      </w:r>
      <w:r w:rsidRPr="00D97463">
        <w:rPr>
          <w:i/>
          <w:iCs/>
        </w:rPr>
        <w:t>against</w:t>
      </w:r>
      <w:r w:rsidR="00190923" w:rsidRPr="00981405">
        <w:rPr>
          <w:i/>
          <w:iCs/>
        </w:rPr>
        <w:t xml:space="preserve"> </w:t>
      </w:r>
      <w:r w:rsidRPr="00D97463">
        <w:rPr>
          <w:i/>
          <w:iCs/>
        </w:rPr>
        <w:t>any</w:t>
      </w:r>
      <w:r w:rsidR="00190923" w:rsidRPr="00981405">
        <w:rPr>
          <w:i/>
          <w:iCs/>
        </w:rPr>
        <w:t xml:space="preserve"> </w:t>
      </w:r>
      <w:r w:rsidRPr="00D97463">
        <w:rPr>
          <w:i/>
          <w:iCs/>
        </w:rPr>
        <w:t>civilian</w:t>
      </w:r>
      <w:r w:rsidR="00190923" w:rsidRPr="00981405">
        <w:rPr>
          <w:i/>
          <w:iCs/>
        </w:rPr>
        <w:t xml:space="preserve"> </w:t>
      </w:r>
      <w:r w:rsidRPr="00D97463">
        <w:rPr>
          <w:i/>
          <w:iCs/>
        </w:rPr>
        <w:t>population</w:t>
      </w:r>
      <w:r w:rsidR="00B92E2C" w:rsidRPr="00981405">
        <w:t>”</w:t>
      </w:r>
    </w:p>
    <w:p w:rsidR="00397032" w:rsidRPr="00981405" w:rsidRDefault="00397032" w:rsidP="00D97463">
      <w:pPr>
        <w:pStyle w:val="SingleTxt"/>
      </w:pPr>
      <w:r w:rsidRPr="00981405">
        <w:t>(17)</w:t>
      </w:r>
      <w:r w:rsidRPr="00981405">
        <w:tab/>
        <w:t>The</w:t>
      </w:r>
      <w:r w:rsidR="00190923" w:rsidRPr="00981405">
        <w:t xml:space="preserve"> </w:t>
      </w:r>
      <w:r w:rsidRPr="00981405">
        <w:t>second</w:t>
      </w:r>
      <w:r w:rsidR="00190923" w:rsidRPr="00981405">
        <w:t xml:space="preserve"> </w:t>
      </w:r>
      <w:r w:rsidRPr="00981405">
        <w:t>overall</w:t>
      </w:r>
      <w:r w:rsidR="00190923" w:rsidRPr="00981405">
        <w:t xml:space="preserve"> </w:t>
      </w:r>
      <w:r w:rsidRPr="00981405">
        <w:t>requirement</w:t>
      </w:r>
      <w:r w:rsidR="00190923" w:rsidRPr="00981405">
        <w:t xml:space="preserve"> </w:t>
      </w:r>
      <w:r w:rsidRPr="00981405">
        <w:t>is</w:t>
      </w:r>
      <w:r w:rsidR="00190923" w:rsidRPr="00981405">
        <w:t xml:space="preserve"> </w:t>
      </w:r>
      <w:r w:rsidRPr="00981405">
        <w:t>that</w:t>
      </w:r>
      <w:r w:rsidR="00190923" w:rsidRPr="00981405">
        <w:t xml:space="preserve"> </w:t>
      </w:r>
      <w:r w:rsidRPr="00981405">
        <w:t>the</w:t>
      </w:r>
      <w:r w:rsidR="00190923" w:rsidRPr="00981405">
        <w:t xml:space="preserve"> </w:t>
      </w:r>
      <w:r w:rsidRPr="00981405">
        <w:t>act</w:t>
      </w:r>
      <w:r w:rsidR="00190923" w:rsidRPr="00981405">
        <w:t xml:space="preserve"> </w:t>
      </w:r>
      <w:r w:rsidRPr="00981405">
        <w:t>must</w:t>
      </w:r>
      <w:r w:rsidR="00190923" w:rsidRPr="00981405">
        <w:t xml:space="preserve"> </w:t>
      </w:r>
      <w:r w:rsidRPr="00981405">
        <w:t>be</w:t>
      </w:r>
      <w:r w:rsidR="00190923" w:rsidRPr="00981405">
        <w:t xml:space="preserve"> </w:t>
      </w:r>
      <w:r w:rsidRPr="00981405">
        <w:t>committed</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an</w:t>
      </w:r>
      <w:r w:rsidR="00190923" w:rsidRPr="00981405">
        <w:t xml:space="preserve"> </w:t>
      </w:r>
      <w:r w:rsidRPr="00981405">
        <w:t>attack</w:t>
      </w:r>
      <w:r w:rsidR="00190923" w:rsidRPr="00981405">
        <w:t xml:space="preserve"> </w:t>
      </w:r>
      <w:r w:rsidR="00B92E2C" w:rsidRPr="00981405">
        <w:t>“</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2(a),</w:t>
      </w:r>
      <w:r w:rsidR="00190923" w:rsidRPr="00981405">
        <w:t xml:space="preserve"> </w:t>
      </w:r>
      <w:r w:rsidRPr="00981405">
        <w:t>defines</w:t>
      </w:r>
      <w:r w:rsidR="00190923" w:rsidRPr="00981405">
        <w:t xml:space="preserve"> </w:t>
      </w:r>
      <w:r w:rsidR="00B92E2C" w:rsidRPr="00981405">
        <w:t>“</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paragraph</w:t>
      </w:r>
      <w:r w:rsidR="00190923" w:rsidRPr="00981405">
        <w:t xml:space="preserve"> </w:t>
      </w:r>
      <w:r w:rsidRPr="00981405">
        <w:t>1</w:t>
      </w:r>
      <w:r w:rsidR="00190923" w:rsidRPr="00981405">
        <w:t xml:space="preserve"> </w:t>
      </w:r>
      <w:r w:rsidRPr="00981405">
        <w:t>as</w:t>
      </w:r>
      <w:r w:rsidR="00190923" w:rsidRPr="00981405">
        <w:t xml:space="preserve"> </w:t>
      </w:r>
      <w:r w:rsidR="00B92E2C" w:rsidRPr="00981405">
        <w:t>“</w:t>
      </w:r>
      <w:r w:rsidRPr="00981405">
        <w:t>a</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pursuant</w:t>
      </w:r>
      <w:r w:rsidR="00190923" w:rsidRPr="00981405">
        <w:t xml:space="preserve"> </w:t>
      </w:r>
      <w:r w:rsidRPr="00981405">
        <w:t>to</w:t>
      </w:r>
      <w:r w:rsidR="00190923" w:rsidRPr="00981405">
        <w:t xml:space="preserve"> </w:t>
      </w:r>
      <w:r w:rsidRPr="00981405">
        <w:t>or</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attack.</w:t>
      </w:r>
      <w:bookmarkStart w:id="80" w:name="_Ref295905192"/>
      <w:r w:rsidR="00B92E2C" w:rsidRPr="00981405">
        <w:t>”</w:t>
      </w:r>
      <w:r w:rsidRPr="00981405">
        <w:rPr>
          <w:rStyle w:val="FootnoteReference"/>
        </w:rPr>
        <w:footnoteReference w:id="145"/>
      </w:r>
      <w:bookmarkEnd w:id="80"/>
      <w:r w:rsidR="00190923" w:rsidRPr="00981405">
        <w:t xml:space="preserve"> </w:t>
      </w:r>
      <w:r w:rsidRPr="00981405">
        <w:t>As</w:t>
      </w:r>
      <w:r w:rsidR="00190923" w:rsidRPr="00981405">
        <w:t xml:space="preserve"> </w:t>
      </w:r>
      <w:r w:rsidRPr="00981405">
        <w:t>discussed</w:t>
      </w:r>
      <w:r w:rsidR="00190923" w:rsidRPr="00981405">
        <w:t xml:space="preserve"> </w:t>
      </w:r>
      <w:r w:rsidRPr="00981405">
        <w:t>below,</w:t>
      </w:r>
      <w:r w:rsidR="00190923" w:rsidRPr="00981405">
        <w:t xml:space="preserve"> </w:t>
      </w:r>
      <w:r w:rsidRPr="00981405">
        <w:t>jurisprudence</w:t>
      </w:r>
      <w:r w:rsidR="00190923" w:rsidRPr="00981405">
        <w:t xml:space="preserve"> </w:t>
      </w:r>
      <w:r w:rsidRPr="00981405">
        <w:t>from</w:t>
      </w:r>
      <w:r w:rsidR="00190923" w:rsidRPr="00981405">
        <w:t xml:space="preserve"> </w:t>
      </w:r>
      <w:r w:rsidRPr="00981405">
        <w:t>the</w:t>
      </w:r>
      <w:r w:rsidR="00190923" w:rsidRPr="00981405">
        <w:t xml:space="preserve"> </w:t>
      </w:r>
      <w:r w:rsidRPr="00981405">
        <w:t>ICTY,</w:t>
      </w:r>
      <w:r w:rsidR="00190923" w:rsidRPr="00981405">
        <w:t xml:space="preserve"> </w:t>
      </w:r>
      <w:r w:rsidRPr="00981405">
        <w:t>ICTR,</w:t>
      </w:r>
      <w:r w:rsidR="00190923" w:rsidRPr="00981405">
        <w:t xml:space="preserve"> </w:t>
      </w:r>
      <w:r w:rsidRPr="00981405">
        <w:t>and</w:t>
      </w:r>
      <w:r w:rsidR="00190923" w:rsidRPr="00981405">
        <w:t xml:space="preserve"> </w:t>
      </w:r>
      <w:r w:rsidRPr="00981405">
        <w:t>ICC</w:t>
      </w:r>
      <w:r w:rsidR="00190923" w:rsidRPr="00981405">
        <w:t xml:space="preserve"> </w:t>
      </w:r>
      <w:r w:rsidRPr="00981405">
        <w:t>has</w:t>
      </w:r>
      <w:r w:rsidR="00190923" w:rsidRPr="00981405">
        <w:t xml:space="preserve"> </w:t>
      </w:r>
      <w:r w:rsidRPr="00981405">
        <w:t>construed</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each</w:t>
      </w:r>
      <w:r w:rsidR="00190923" w:rsidRPr="00981405">
        <w:t xml:space="preserve"> </w:t>
      </w:r>
      <w:r w:rsidRPr="00981405">
        <w:t>of</w:t>
      </w:r>
      <w:r w:rsidR="00190923" w:rsidRPr="00981405">
        <w:t xml:space="preserve"> </w:t>
      </w:r>
      <w:r w:rsidRPr="00981405">
        <w:t>these</w:t>
      </w:r>
      <w:r w:rsidR="00190923" w:rsidRPr="00981405">
        <w:t xml:space="preserve"> </w:t>
      </w:r>
      <w:r w:rsidRPr="00981405">
        <w:t>terms:</w:t>
      </w:r>
      <w:r w:rsidR="00190923" w:rsidRPr="00981405">
        <w:t xml:space="preserve"> </w:t>
      </w:r>
      <w:r w:rsidR="00B92E2C" w:rsidRPr="00981405">
        <w:t>“</w:t>
      </w:r>
      <w:r w:rsidRPr="00981405">
        <w:t>directed</w:t>
      </w:r>
      <w:r w:rsidR="00190923" w:rsidRPr="00981405">
        <w:t xml:space="preserve"> </w:t>
      </w:r>
      <w:r w:rsidRPr="00981405">
        <w:t>against</w:t>
      </w:r>
      <w:r w:rsidR="00B92E2C" w:rsidRPr="00981405">
        <w:t>”</w:t>
      </w:r>
      <w:r w:rsidRPr="00981405">
        <w:t>,</w:t>
      </w:r>
      <w:r w:rsidR="00190923" w:rsidRPr="00981405">
        <w:t xml:space="preserve"> </w:t>
      </w:r>
      <w:r w:rsidR="00B92E2C" w:rsidRPr="00981405">
        <w:t>“</w:t>
      </w:r>
      <w:r w:rsidRPr="00981405">
        <w:t>any</w:t>
      </w:r>
      <w:r w:rsidR="00B92E2C" w:rsidRPr="00981405">
        <w:t>”</w:t>
      </w:r>
      <w:r w:rsidRPr="00981405">
        <w:t>,</w:t>
      </w:r>
      <w:r w:rsidR="00190923" w:rsidRPr="00981405">
        <w:t xml:space="preserve"> </w:t>
      </w:r>
      <w:r w:rsidR="00B92E2C" w:rsidRPr="00981405">
        <w:t>“</w:t>
      </w:r>
      <w:r w:rsidRPr="00981405">
        <w:t>civilian</w:t>
      </w:r>
      <w:r w:rsidR="00B92E2C" w:rsidRPr="00981405">
        <w:t>”</w:t>
      </w:r>
      <w:r w:rsidRPr="00981405">
        <w:t>,</w:t>
      </w:r>
      <w:r w:rsidR="00190923" w:rsidRPr="00981405">
        <w:t xml:space="preserve"> </w:t>
      </w:r>
      <w:r w:rsidR="00B92E2C" w:rsidRPr="00981405">
        <w:t>“</w:t>
      </w:r>
      <w:r w:rsidRPr="00981405">
        <w:t>population</w:t>
      </w:r>
      <w:r w:rsidR="00B92E2C" w:rsidRPr="00981405">
        <w:t>”</w:t>
      </w:r>
      <w:r w:rsidRPr="00981405">
        <w:t>,</w:t>
      </w:r>
      <w:r w:rsidR="00190923" w:rsidRPr="00981405">
        <w:t xml:space="preserve"> </w:t>
      </w:r>
      <w:r w:rsidR="00B92E2C" w:rsidRPr="00981405">
        <w:t>“</w:t>
      </w:r>
      <w:r w:rsidRPr="00981405">
        <w:t>a</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B92E2C" w:rsidRPr="00981405">
        <w:t>”</w:t>
      </w:r>
      <w:r w:rsidRPr="00981405">
        <w:t>,</w:t>
      </w:r>
      <w:r w:rsidR="00190923" w:rsidRPr="00981405">
        <w:t xml:space="preserve"> </w:t>
      </w:r>
      <w:r w:rsidRPr="00981405">
        <w:t>and</w:t>
      </w:r>
      <w:r w:rsidR="00190923" w:rsidRPr="00981405">
        <w:t xml:space="preserve"> </w:t>
      </w:r>
      <w:r w:rsidR="00B92E2C" w:rsidRPr="00981405">
        <w:t>“</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B92E2C" w:rsidRPr="00981405">
        <w:t>”</w:t>
      </w:r>
    </w:p>
    <w:p w:rsidR="00397032" w:rsidRPr="00981405" w:rsidRDefault="00397032" w:rsidP="00D97463">
      <w:pPr>
        <w:pStyle w:val="SingleTxt"/>
      </w:pPr>
      <w:r w:rsidRPr="00981405">
        <w:t>(18)</w:t>
      </w:r>
      <w:r w:rsidRPr="00981405">
        <w:tab/>
        <w:t>The</w:t>
      </w:r>
      <w:r w:rsidR="00190923" w:rsidRPr="00981405">
        <w:t xml:space="preserve"> </w:t>
      </w:r>
      <w:r w:rsidRPr="00981405">
        <w:t>ICTY</w:t>
      </w:r>
      <w:r w:rsidR="00190923" w:rsidRPr="00981405">
        <w:t xml:space="preserve"> </w:t>
      </w:r>
      <w:r w:rsidRPr="00981405">
        <w:t>has</w:t>
      </w:r>
      <w:r w:rsidR="00190923" w:rsidRPr="00981405">
        <w:t xml:space="preserve"> </w:t>
      </w:r>
      <w:r w:rsidRPr="00981405">
        <w:t>found</w:t>
      </w:r>
      <w:r w:rsidR="00190923" w:rsidRPr="00981405">
        <w:t xml:space="preserve"> </w:t>
      </w:r>
      <w:r w:rsidRPr="00981405">
        <w:t>that</w:t>
      </w:r>
      <w:r w:rsidR="00190923" w:rsidRPr="00981405">
        <w:t xml:space="preserve"> </w:t>
      </w:r>
      <w:r w:rsidRPr="00981405">
        <w:t>the</w:t>
      </w:r>
      <w:r w:rsidR="00190923" w:rsidRPr="00981405">
        <w:t xml:space="preserve"> </w:t>
      </w:r>
      <w:r w:rsidRPr="00981405">
        <w:t>phrase</w:t>
      </w:r>
      <w:r w:rsidR="00190923" w:rsidRPr="00981405">
        <w:t xml:space="preserve"> </w:t>
      </w:r>
      <w:r w:rsidR="00B92E2C" w:rsidRPr="00981405">
        <w:t>“</w:t>
      </w:r>
      <w:r w:rsidRPr="00981405">
        <w:t>directed</w:t>
      </w:r>
      <w:r w:rsidR="00190923" w:rsidRPr="00981405">
        <w:t xml:space="preserve"> </w:t>
      </w:r>
      <w:r w:rsidRPr="00981405">
        <w:t>against</w:t>
      </w:r>
      <w:r w:rsidR="00B92E2C" w:rsidRPr="00981405">
        <w:t>”</w:t>
      </w:r>
      <w:r w:rsidR="00190923" w:rsidRPr="00981405">
        <w:t xml:space="preserve"> </w:t>
      </w:r>
      <w:r w:rsidRPr="00981405">
        <w:t>requires</w:t>
      </w:r>
      <w:r w:rsidR="00190923" w:rsidRPr="00981405">
        <w:t xml:space="preserve"> </w:t>
      </w:r>
      <w:r w:rsidRPr="00981405">
        <w:t>that</w:t>
      </w:r>
      <w:r w:rsidR="00190923" w:rsidRPr="00981405">
        <w:t xml:space="preserve"> </w:t>
      </w:r>
      <w:r w:rsidRPr="00981405">
        <w:t>civilians</w:t>
      </w:r>
      <w:r w:rsidR="00190923" w:rsidRPr="00981405">
        <w:t xml:space="preserve"> </w:t>
      </w:r>
      <w:r w:rsidRPr="00981405">
        <w:t>be</w:t>
      </w:r>
      <w:r w:rsidR="00190923" w:rsidRPr="00981405">
        <w:t xml:space="preserve"> </w:t>
      </w:r>
      <w:r w:rsidRPr="00981405">
        <w:t>the</w:t>
      </w:r>
      <w:r w:rsidR="00190923" w:rsidRPr="00981405">
        <w:t xml:space="preserve"> </w:t>
      </w:r>
      <w:r w:rsidRPr="00981405">
        <w:t>intended</w:t>
      </w:r>
      <w:r w:rsidR="00190923" w:rsidRPr="00981405">
        <w:t xml:space="preserve"> </w:t>
      </w:r>
      <w:r w:rsidRPr="00981405">
        <w:t>primary</w:t>
      </w:r>
      <w:r w:rsidR="00190923" w:rsidRPr="00981405">
        <w:t xml:space="preserve"> </w:t>
      </w:r>
      <w:r w:rsidRPr="00981405">
        <w:t>target</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rather</w:t>
      </w:r>
      <w:r w:rsidR="00190923" w:rsidRPr="00981405">
        <w:t xml:space="preserve"> </w:t>
      </w:r>
      <w:r w:rsidRPr="00981405">
        <w:t>than</w:t>
      </w:r>
      <w:r w:rsidR="00190923" w:rsidRPr="00981405">
        <w:t xml:space="preserve"> </w:t>
      </w:r>
      <w:r w:rsidRPr="00981405">
        <w:t>incidental</w:t>
      </w:r>
      <w:r w:rsidR="00190923" w:rsidRPr="00981405">
        <w:t xml:space="preserve"> </w:t>
      </w:r>
      <w:r w:rsidRPr="00981405">
        <w:t>victims.</w:t>
      </w:r>
      <w:bookmarkStart w:id="81" w:name="_Ref213844896"/>
      <w:r w:rsidRPr="00981405">
        <w:rPr>
          <w:rStyle w:val="FootnoteReference"/>
        </w:rPr>
        <w:footnoteReference w:id="146"/>
      </w:r>
      <w:bookmarkEnd w:id="81"/>
      <w:r w:rsidR="00190923" w:rsidRPr="00981405">
        <w:t xml:space="preserve"> </w:t>
      </w:r>
      <w:r w:rsidRPr="00981405">
        <w:t>The</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Chambers</w:t>
      </w:r>
      <w:r w:rsidR="00190923" w:rsidRPr="00981405">
        <w:t xml:space="preserve"> </w:t>
      </w:r>
      <w:r w:rsidRPr="00981405">
        <w:t>subsequently</w:t>
      </w:r>
      <w:r w:rsidR="00190923" w:rsidRPr="00981405">
        <w:t xml:space="preserve"> </w:t>
      </w:r>
      <w:r w:rsidRPr="00981405">
        <w:t>adopted</w:t>
      </w:r>
      <w:r w:rsidR="00190923" w:rsidRPr="00981405">
        <w:t xml:space="preserve"> </w:t>
      </w:r>
      <w:r w:rsidRPr="00981405">
        <w:t>this</w:t>
      </w:r>
      <w:r w:rsidR="00190923" w:rsidRPr="00981405">
        <w:t xml:space="preserve"> </w:t>
      </w:r>
      <w:r w:rsidRPr="00981405">
        <w:t>interpretation</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Bemba</w:t>
      </w:r>
      <w:r w:rsidR="00190923" w:rsidRPr="00981405">
        <w:t xml:space="preserve"> </w:t>
      </w:r>
      <w:r w:rsidRPr="00981405">
        <w:t>case</w:t>
      </w:r>
      <w:r w:rsidR="00190923" w:rsidRPr="00981405">
        <w:t xml:space="preserve"> </w:t>
      </w:r>
      <w:r w:rsidRPr="00981405">
        <w:t>and</w:t>
      </w:r>
      <w:r w:rsidR="00190923" w:rsidRPr="00981405">
        <w:t xml:space="preserve"> </w:t>
      </w:r>
      <w:r w:rsidRPr="00981405">
        <w:t>the</w:t>
      </w:r>
      <w:r w:rsidR="00190923" w:rsidRPr="00981405">
        <w:t xml:space="preserve"> </w:t>
      </w:r>
      <w:r w:rsidRPr="00D97463">
        <w:rPr>
          <w:i/>
          <w:iCs/>
        </w:rPr>
        <w:t>Kenya</w:t>
      </w:r>
      <w:r w:rsidR="00190923" w:rsidRPr="00981405">
        <w:rPr>
          <w:i/>
          <w:iCs/>
        </w:rPr>
        <w:t xml:space="preserve"> </w:t>
      </w:r>
      <w:r w:rsidRPr="00D97463">
        <w:rPr>
          <w:i/>
          <w:iCs/>
        </w:rPr>
        <w:t>Authorization</w:t>
      </w:r>
      <w:r w:rsidR="00190923" w:rsidRPr="00981405">
        <w:rPr>
          <w:i/>
          <w:iCs/>
        </w:rPr>
        <w:t xml:space="preserve"> </w:t>
      </w:r>
      <w:r w:rsidRPr="00D97463">
        <w:rPr>
          <w:i/>
          <w:iCs/>
        </w:rPr>
        <w:t>Decision</w:t>
      </w:r>
      <w:r w:rsidR="00190923" w:rsidRPr="00981405">
        <w:rPr>
          <w:i/>
          <w:iCs/>
        </w:rPr>
        <w:t xml:space="preserve"> </w:t>
      </w:r>
      <w:r w:rsidRPr="00D97463">
        <w:rPr>
          <w:i/>
          <w:iCs/>
        </w:rPr>
        <w:t>2010</w:t>
      </w:r>
      <w:r w:rsidRPr="00981405">
        <w:t>.</w:t>
      </w:r>
      <w:r w:rsidRPr="00981405">
        <w:rPr>
          <w:rStyle w:val="FootnoteReference"/>
        </w:rPr>
        <w:footnoteReference w:id="147"/>
      </w:r>
      <w:r w:rsidR="00190923" w:rsidRPr="00981405">
        <w:t xml:space="preserve"> </w:t>
      </w:r>
      <w:r w:rsidRPr="00981405">
        <w:t>An</w:t>
      </w:r>
      <w:r w:rsidR="00190923" w:rsidRPr="00981405">
        <w:t xml:space="preserve"> </w:t>
      </w:r>
      <w:r w:rsidRPr="00981405">
        <w:t>ICC</w:t>
      </w:r>
      <w:r w:rsidR="00190923" w:rsidRPr="00981405">
        <w:t xml:space="preserve"> </w:t>
      </w:r>
      <w:r w:rsidRPr="00981405">
        <w:t>Trial</w:t>
      </w:r>
      <w:r w:rsidR="00190923" w:rsidRPr="00981405">
        <w:t xml:space="preserve"> </w:t>
      </w:r>
      <w:r w:rsidRPr="00981405">
        <w:t>Chamber</w:t>
      </w:r>
      <w:r w:rsidR="00190923" w:rsidRPr="00981405">
        <w:t xml:space="preserve"> </w:t>
      </w:r>
      <w:r w:rsidRPr="00981405">
        <w:t>adopted</w:t>
      </w:r>
      <w:r w:rsidR="00190923" w:rsidRPr="00981405">
        <w:t xml:space="preserve"> </w:t>
      </w:r>
      <w:r w:rsidRPr="00981405">
        <w:t>the</w:t>
      </w:r>
      <w:r w:rsidR="00190923" w:rsidRPr="00981405">
        <w:t xml:space="preserve"> </w:t>
      </w:r>
      <w:r w:rsidRPr="00981405">
        <w:t>same</w:t>
      </w:r>
      <w:r w:rsidR="00190923" w:rsidRPr="00981405">
        <w:t xml:space="preserve"> </w:t>
      </w:r>
      <w:r w:rsidRPr="00981405">
        <w:t>interpretation</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Katanga</w:t>
      </w:r>
      <w:r w:rsidR="00190923" w:rsidRPr="00981405">
        <w:t xml:space="preserve"> </w:t>
      </w:r>
      <w:r w:rsidRPr="00981405">
        <w:t>trial</w:t>
      </w:r>
      <w:r w:rsidR="00190923" w:rsidRPr="00981405">
        <w:t xml:space="preserve"> </w:t>
      </w:r>
      <w:r w:rsidRPr="00981405">
        <w:t>judgment.</w:t>
      </w:r>
      <w:r w:rsidRPr="00981405">
        <w:rPr>
          <w:rStyle w:val="FootnoteReference"/>
        </w:rPr>
        <w:footnoteReference w:id="148"/>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Bemba</w:t>
      </w:r>
      <w:r w:rsidR="00190923" w:rsidRPr="00981405">
        <w:t xml:space="preserve"> </w:t>
      </w:r>
      <w:r w:rsidRPr="00981405">
        <w:t>case,</w:t>
      </w:r>
      <w:r w:rsidR="00190923" w:rsidRPr="00981405">
        <w:t xml:space="preserve"> </w:t>
      </w:r>
      <w:r w:rsidRPr="00981405">
        <w:t>the</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found</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sufficient</w:t>
      </w:r>
      <w:r w:rsidR="00190923" w:rsidRPr="00981405">
        <w:t xml:space="preserve"> </w:t>
      </w:r>
      <w:r w:rsidRPr="00981405">
        <w:t>evidence</w:t>
      </w:r>
      <w:r w:rsidR="00190923" w:rsidRPr="00981405">
        <w:t xml:space="preserve"> </w:t>
      </w:r>
      <w:r w:rsidRPr="00981405">
        <w:t>showing</w:t>
      </w:r>
      <w:r w:rsidR="00190923" w:rsidRPr="00981405">
        <w:t xml:space="preserve"> </w:t>
      </w:r>
      <w:r w:rsidRPr="00981405">
        <w:t>the</w:t>
      </w:r>
      <w:r w:rsidR="00190923" w:rsidRPr="00981405">
        <w:t xml:space="preserve"> </w:t>
      </w:r>
      <w:r w:rsidRPr="00981405">
        <w:t>attack</w:t>
      </w:r>
      <w:r w:rsidR="00190923" w:rsidRPr="00981405">
        <w:t xml:space="preserve"> </w:t>
      </w:r>
      <w:r w:rsidRPr="00981405">
        <w:t>was</w:t>
      </w:r>
      <w:r w:rsidR="00190923" w:rsidRPr="00981405">
        <w:t xml:space="preserve"> </w:t>
      </w:r>
      <w:r w:rsidR="00B92E2C" w:rsidRPr="00981405">
        <w:t>“</w:t>
      </w:r>
      <w:r w:rsidRPr="00981405">
        <w:t>directed</w:t>
      </w:r>
      <w:r w:rsidR="00190923" w:rsidRPr="00981405">
        <w:t xml:space="preserve"> </w:t>
      </w:r>
      <w:r w:rsidRPr="00981405">
        <w:t>against</w:t>
      </w:r>
      <w:r w:rsidR="00B92E2C" w:rsidRPr="00981405">
        <w:t>”</w:t>
      </w:r>
      <w:r w:rsidR="00190923" w:rsidRPr="00981405">
        <w:t xml:space="preserve"> </w:t>
      </w:r>
      <w:r w:rsidRPr="00981405">
        <w:t>civilians</w:t>
      </w:r>
      <w:r w:rsidR="00190923" w:rsidRPr="00981405">
        <w:t xml:space="preserve"> </w:t>
      </w:r>
      <w:r w:rsidRPr="00981405">
        <w:t>of</w:t>
      </w:r>
      <w:r w:rsidR="00190923" w:rsidRPr="00981405">
        <w:t xml:space="preserve"> </w:t>
      </w:r>
      <w:r w:rsidRPr="00981405">
        <w:t>the</w:t>
      </w:r>
      <w:r w:rsidR="00190923" w:rsidRPr="00981405">
        <w:t xml:space="preserve"> </w:t>
      </w:r>
      <w:r w:rsidRPr="00981405">
        <w:t>Central</w:t>
      </w:r>
      <w:r w:rsidR="00190923" w:rsidRPr="00981405">
        <w:t xml:space="preserve"> </w:t>
      </w:r>
      <w:r w:rsidRPr="00981405">
        <w:t>African</w:t>
      </w:r>
      <w:r w:rsidR="00190923" w:rsidRPr="00981405">
        <w:t xml:space="preserve"> </w:t>
      </w:r>
      <w:r w:rsidRPr="00981405">
        <w:t>Republic.</w:t>
      </w:r>
      <w:r w:rsidRPr="00981405">
        <w:rPr>
          <w:rStyle w:val="FootnoteReference"/>
        </w:rPr>
        <w:footnoteReference w:id="149"/>
      </w:r>
      <w:r w:rsidR="00190923" w:rsidRPr="00981405">
        <w:t xml:space="preserve"> </w:t>
      </w:r>
      <w:r w:rsidRPr="00981405">
        <w:t>The</w:t>
      </w:r>
      <w:r w:rsidR="00190923" w:rsidRPr="00981405">
        <w:t xml:space="preserve"> </w:t>
      </w:r>
      <w:r w:rsidRPr="00981405">
        <w:t>Chamber</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Movement</w:t>
      </w:r>
      <w:r w:rsidR="00190923" w:rsidRPr="00981405">
        <w:t xml:space="preserve"> </w:t>
      </w:r>
      <w:r w:rsidRPr="00981405">
        <w:t>for</w:t>
      </w:r>
      <w:r w:rsidR="00190923" w:rsidRPr="00981405">
        <w:t xml:space="preserve"> </w:t>
      </w:r>
      <w:r w:rsidRPr="00981405">
        <w:t>the</w:t>
      </w:r>
      <w:r w:rsidR="00190923" w:rsidRPr="00981405">
        <w:t xml:space="preserve"> </w:t>
      </w:r>
      <w:r w:rsidRPr="00981405">
        <w:t>Liberation</w:t>
      </w:r>
      <w:r w:rsidR="00190923" w:rsidRPr="00981405">
        <w:t xml:space="preserve"> </w:t>
      </w:r>
      <w:r w:rsidRPr="00981405">
        <w:t>of</w:t>
      </w:r>
      <w:r w:rsidR="00190923" w:rsidRPr="00981405">
        <w:t xml:space="preserve"> </w:t>
      </w:r>
      <w:r w:rsidRPr="00981405">
        <w:t>Congo</w:t>
      </w:r>
      <w:r w:rsidR="00190923" w:rsidRPr="00981405">
        <w:t xml:space="preserve"> </w:t>
      </w:r>
      <w:r w:rsidRPr="00981405">
        <w:t>(hereinafter</w:t>
      </w:r>
      <w:r w:rsidR="00190923" w:rsidRPr="00981405">
        <w:t xml:space="preserve"> </w:t>
      </w:r>
      <w:r w:rsidR="00B92E2C" w:rsidRPr="00981405">
        <w:t>“</w:t>
      </w:r>
      <w:r w:rsidRPr="00981405">
        <w:t>MLC</w:t>
      </w:r>
      <w:r w:rsidR="00B92E2C" w:rsidRPr="00981405">
        <w:t>”</w:t>
      </w:r>
      <w:r w:rsidRPr="00981405">
        <w:t>)</w:t>
      </w:r>
      <w:r w:rsidR="00190923" w:rsidRPr="00981405">
        <w:t xml:space="preserve"> </w:t>
      </w:r>
      <w:r w:rsidRPr="00981405">
        <w:t>soldiers</w:t>
      </w:r>
      <w:r w:rsidR="00190923" w:rsidRPr="00981405">
        <w:t xml:space="preserve"> </w:t>
      </w:r>
      <w:r w:rsidRPr="00981405">
        <w:t>were</w:t>
      </w:r>
      <w:r w:rsidR="00190923" w:rsidRPr="00981405">
        <w:t xml:space="preserve"> </w:t>
      </w:r>
      <w:r w:rsidRPr="00981405">
        <w:t>aware</w:t>
      </w:r>
      <w:r w:rsidR="00190923" w:rsidRPr="00981405">
        <w:t xml:space="preserve"> </w:t>
      </w:r>
      <w:r w:rsidRPr="00981405">
        <w:t>that</w:t>
      </w:r>
      <w:r w:rsidR="00190923" w:rsidRPr="00981405">
        <w:t xml:space="preserve"> </w:t>
      </w:r>
      <w:r w:rsidRPr="00981405">
        <w:t>their</w:t>
      </w:r>
      <w:r w:rsidR="00190923" w:rsidRPr="00981405">
        <w:t xml:space="preserve"> </w:t>
      </w:r>
      <w:r w:rsidRPr="00981405">
        <w:t>victims</w:t>
      </w:r>
      <w:r w:rsidR="00190923" w:rsidRPr="00981405">
        <w:t xml:space="preserve"> </w:t>
      </w:r>
      <w:r w:rsidRPr="00981405">
        <w:t>were</w:t>
      </w:r>
      <w:r w:rsidR="00190923" w:rsidRPr="00981405">
        <w:t xml:space="preserve"> </w:t>
      </w:r>
      <w:r w:rsidRPr="00981405">
        <w:t>civilians,</w:t>
      </w:r>
      <w:r w:rsidR="00190923" w:rsidRPr="00981405">
        <w:t xml:space="preserve"> </w:t>
      </w:r>
      <w:r w:rsidRPr="00981405">
        <w:t>based</w:t>
      </w:r>
      <w:r w:rsidR="00190923" w:rsidRPr="00981405">
        <w:t xml:space="preserve"> </w:t>
      </w:r>
      <w:r w:rsidRPr="00981405">
        <w:t>on</w:t>
      </w:r>
      <w:r w:rsidR="00190923" w:rsidRPr="00981405">
        <w:t xml:space="preserve"> </w:t>
      </w:r>
      <w:r w:rsidRPr="00981405">
        <w:t>direct</w:t>
      </w:r>
      <w:r w:rsidR="00190923" w:rsidRPr="00981405">
        <w:t xml:space="preserve"> </w:t>
      </w:r>
      <w:r w:rsidRPr="00981405">
        <w:t>evidence</w:t>
      </w:r>
      <w:r w:rsidR="00190923" w:rsidRPr="00981405">
        <w:t xml:space="preserve"> </w:t>
      </w:r>
      <w:r w:rsidRPr="00981405">
        <w:t>of</w:t>
      </w:r>
      <w:r w:rsidR="00190923" w:rsidRPr="00981405">
        <w:t xml:space="preserve"> </w:t>
      </w:r>
      <w:r w:rsidRPr="00981405">
        <w:t>civilians</w:t>
      </w:r>
      <w:r w:rsidR="00190923" w:rsidRPr="00981405">
        <w:t xml:space="preserve"> </w:t>
      </w:r>
      <w:r w:rsidRPr="00981405">
        <w:t>being</w:t>
      </w:r>
      <w:r w:rsidR="00190923" w:rsidRPr="00981405">
        <w:t xml:space="preserve"> </w:t>
      </w:r>
      <w:r w:rsidRPr="00981405">
        <w:t>attacked</w:t>
      </w:r>
      <w:r w:rsidR="00190923" w:rsidRPr="00981405">
        <w:t xml:space="preserve"> </w:t>
      </w:r>
      <w:r w:rsidRPr="00981405">
        <w:t>inside</w:t>
      </w:r>
      <w:r w:rsidR="00190923" w:rsidRPr="00981405">
        <w:t xml:space="preserve"> </w:t>
      </w:r>
      <w:r w:rsidRPr="00981405">
        <w:t>their</w:t>
      </w:r>
      <w:r w:rsidR="00190923" w:rsidRPr="00981405">
        <w:t xml:space="preserve"> </w:t>
      </w:r>
      <w:r w:rsidRPr="00981405">
        <w:t>houses</w:t>
      </w:r>
      <w:r w:rsidR="00190923" w:rsidRPr="00981405">
        <w:t xml:space="preserve"> </w:t>
      </w:r>
      <w:r w:rsidRPr="00981405">
        <w:t>or</w:t>
      </w:r>
      <w:r w:rsidR="00190923" w:rsidRPr="00981405">
        <w:t xml:space="preserve"> </w:t>
      </w:r>
      <w:r w:rsidRPr="00981405">
        <w:t>in</w:t>
      </w:r>
      <w:r w:rsidR="00190923" w:rsidRPr="00981405">
        <w:t xml:space="preserve"> </w:t>
      </w:r>
      <w:r w:rsidRPr="00981405">
        <w:t>their</w:t>
      </w:r>
      <w:r w:rsidR="00190923" w:rsidRPr="00981405">
        <w:t xml:space="preserve"> </w:t>
      </w:r>
      <w:r w:rsidRPr="00981405">
        <w:t>courtyards.</w:t>
      </w:r>
      <w:r w:rsidRPr="00981405">
        <w:rPr>
          <w:rStyle w:val="FootnoteReference"/>
        </w:rPr>
        <w:footnoteReference w:id="150"/>
      </w:r>
      <w:r w:rsidR="00190923" w:rsidRPr="00981405">
        <w:t xml:space="preserve"> </w:t>
      </w:r>
      <w:r w:rsidRPr="00981405">
        <w:t>The</w:t>
      </w:r>
      <w:r w:rsidR="00190923" w:rsidRPr="00981405">
        <w:t xml:space="preserve"> </w:t>
      </w:r>
      <w:r w:rsidRPr="00981405">
        <w:t>Chamber</w:t>
      </w:r>
      <w:r w:rsidR="00190923" w:rsidRPr="00981405">
        <w:t xml:space="preserve"> </w:t>
      </w:r>
      <w:r w:rsidRPr="00981405">
        <w:t>further</w:t>
      </w:r>
      <w:r w:rsidR="00190923" w:rsidRPr="00981405">
        <w:t xml:space="preserve"> </w:t>
      </w:r>
      <w:r w:rsidRPr="00981405">
        <w:t>found</w:t>
      </w:r>
      <w:r w:rsidR="00190923" w:rsidRPr="00981405">
        <w:t xml:space="preserve"> </w:t>
      </w:r>
      <w:r w:rsidRPr="00981405">
        <w:t>that</w:t>
      </w:r>
      <w:r w:rsidR="00190923" w:rsidRPr="00981405">
        <w:t xml:space="preserve"> </w:t>
      </w:r>
      <w:r w:rsidRPr="00981405">
        <w:t>MLC</w:t>
      </w:r>
      <w:r w:rsidR="00190923" w:rsidRPr="00981405">
        <w:t xml:space="preserve"> </w:t>
      </w:r>
      <w:r w:rsidRPr="00981405">
        <w:t>soldiers</w:t>
      </w:r>
      <w:r w:rsidR="00190923" w:rsidRPr="00981405">
        <w:t xml:space="preserve"> </w:t>
      </w:r>
      <w:r w:rsidRPr="00981405">
        <w:t>targeted</w:t>
      </w:r>
      <w:r w:rsidR="00190923" w:rsidRPr="00981405">
        <w:t xml:space="preserve"> </w:t>
      </w:r>
      <w:r w:rsidRPr="00D97463">
        <w:rPr>
          <w:i/>
          <w:iCs/>
        </w:rPr>
        <w:t>primarily</w:t>
      </w:r>
      <w:r w:rsidR="00190923" w:rsidRPr="00981405">
        <w:t xml:space="preserve"> </w:t>
      </w:r>
      <w:r w:rsidRPr="00981405">
        <w:t>civilians,</w:t>
      </w:r>
      <w:r w:rsidR="00190923" w:rsidRPr="00981405">
        <w:t xml:space="preserve"> </w:t>
      </w:r>
      <w:r w:rsidRPr="00981405">
        <w:t>demonstrated</w:t>
      </w:r>
      <w:r w:rsidR="00190923" w:rsidRPr="00981405">
        <w:t xml:space="preserve"> </w:t>
      </w:r>
      <w:r w:rsidRPr="00981405">
        <w:t>by</w:t>
      </w:r>
      <w:r w:rsidR="00190923" w:rsidRPr="00981405">
        <w:t xml:space="preserve"> </w:t>
      </w:r>
      <w:r w:rsidRPr="00981405">
        <w:t>an</w:t>
      </w:r>
      <w:r w:rsidR="00190923" w:rsidRPr="00981405">
        <w:t xml:space="preserve"> </w:t>
      </w:r>
      <w:r w:rsidRPr="00981405">
        <w:t>attack</w:t>
      </w:r>
      <w:r w:rsidR="00190923" w:rsidRPr="00981405">
        <w:t xml:space="preserve"> </w:t>
      </w:r>
      <w:r w:rsidRPr="00981405">
        <w:t>at</w:t>
      </w:r>
      <w:r w:rsidR="00190923" w:rsidRPr="00981405">
        <w:t xml:space="preserve"> </w:t>
      </w:r>
      <w:r w:rsidRPr="00981405">
        <w:t>one</w:t>
      </w:r>
      <w:r w:rsidR="00190923" w:rsidRPr="00981405">
        <w:t xml:space="preserve"> </w:t>
      </w:r>
      <w:r w:rsidRPr="00981405">
        <w:t>locality</w:t>
      </w:r>
      <w:r w:rsidR="00190923" w:rsidRPr="00981405">
        <w:t xml:space="preserve"> </w:t>
      </w:r>
      <w:r w:rsidRPr="00981405">
        <w:t>where</w:t>
      </w:r>
      <w:r w:rsidR="00190923" w:rsidRPr="00981405">
        <w:t xml:space="preserve"> </w:t>
      </w:r>
      <w:r w:rsidRPr="00981405">
        <w:t>the</w:t>
      </w:r>
      <w:r w:rsidR="00190923" w:rsidRPr="00981405">
        <w:t xml:space="preserve"> </w:t>
      </w:r>
      <w:r w:rsidRPr="00981405">
        <w:t>MLC</w:t>
      </w:r>
      <w:r w:rsidR="00190923" w:rsidRPr="00981405">
        <w:t xml:space="preserve"> </w:t>
      </w:r>
      <w:r w:rsidRPr="00981405">
        <w:lastRenderedPageBreak/>
        <w:t>soldiers</w:t>
      </w:r>
      <w:r w:rsidR="00190923" w:rsidRPr="00981405">
        <w:t xml:space="preserve"> </w:t>
      </w:r>
      <w:r w:rsidRPr="00981405">
        <w:t>did</w:t>
      </w:r>
      <w:r w:rsidR="00190923" w:rsidRPr="00981405">
        <w:t xml:space="preserve"> </w:t>
      </w:r>
      <w:r w:rsidRPr="00981405">
        <w:t>not</w:t>
      </w:r>
      <w:r w:rsidR="00190923" w:rsidRPr="00981405">
        <w:t xml:space="preserve"> </w:t>
      </w:r>
      <w:r w:rsidRPr="00981405">
        <w:t>find</w:t>
      </w:r>
      <w:r w:rsidR="00190923" w:rsidRPr="00981405">
        <w:t xml:space="preserve"> </w:t>
      </w:r>
      <w:r w:rsidRPr="00981405">
        <w:t>any</w:t>
      </w:r>
      <w:r w:rsidR="00190923" w:rsidRPr="00981405">
        <w:t xml:space="preserve"> </w:t>
      </w:r>
      <w:r w:rsidRPr="00981405">
        <w:t>rebel</w:t>
      </w:r>
      <w:r w:rsidR="00190923" w:rsidRPr="00981405">
        <w:t xml:space="preserve"> </w:t>
      </w:r>
      <w:r w:rsidRPr="00981405">
        <w:t>troops</w:t>
      </w:r>
      <w:r w:rsidR="00190923" w:rsidRPr="00981405">
        <w:t xml:space="preserve"> </w:t>
      </w:r>
      <w:r w:rsidRPr="00981405">
        <w:t>that</w:t>
      </w:r>
      <w:r w:rsidR="00190923" w:rsidRPr="00981405">
        <w:t xml:space="preserve"> </w:t>
      </w:r>
      <w:r w:rsidRPr="00981405">
        <w:t>they</w:t>
      </w:r>
      <w:r w:rsidR="00190923" w:rsidRPr="00981405">
        <w:t xml:space="preserve"> </w:t>
      </w:r>
      <w:r w:rsidRPr="00981405">
        <w:t>claimed</w:t>
      </w:r>
      <w:r w:rsidR="00190923" w:rsidRPr="00981405">
        <w:t xml:space="preserve"> </w:t>
      </w:r>
      <w:r w:rsidRPr="00981405">
        <w:t>to</w:t>
      </w:r>
      <w:r w:rsidR="00190923" w:rsidRPr="00981405">
        <w:t xml:space="preserve"> </w:t>
      </w:r>
      <w:r w:rsidRPr="00981405">
        <w:t>be</w:t>
      </w:r>
      <w:r w:rsidR="00190923" w:rsidRPr="00981405">
        <w:t xml:space="preserve"> </w:t>
      </w:r>
      <w:r w:rsidRPr="00981405">
        <w:t>chasing.</w:t>
      </w:r>
      <w:r w:rsidRPr="00981405">
        <w:rPr>
          <w:rStyle w:val="FootnoteReference"/>
        </w:rPr>
        <w:footnoteReference w:id="151"/>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directed</w:t>
      </w:r>
      <w:r w:rsidR="00B92E2C" w:rsidRPr="00981405">
        <w:t>”</w:t>
      </w:r>
      <w:r w:rsidR="00190923" w:rsidRPr="00981405">
        <w:t xml:space="preserve"> </w:t>
      </w:r>
      <w:r w:rsidRPr="00981405">
        <w:t>places</w:t>
      </w:r>
      <w:r w:rsidR="00190923" w:rsidRPr="00981405">
        <w:t xml:space="preserve"> </w:t>
      </w:r>
      <w:r w:rsidRPr="00981405">
        <w:t>its</w:t>
      </w:r>
      <w:r w:rsidR="00190923" w:rsidRPr="00981405">
        <w:t xml:space="preserve"> </w:t>
      </w:r>
      <w:r w:rsidRPr="00981405">
        <w:t>emphasis</w:t>
      </w:r>
      <w:r w:rsidR="00190923" w:rsidRPr="00981405">
        <w:t xml:space="preserve"> </w:t>
      </w:r>
      <w:r w:rsidRPr="00981405">
        <w:t>on</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rather</w:t>
      </w:r>
      <w:r w:rsidR="00190923" w:rsidRPr="00981405">
        <w:t xml:space="preserve"> </w:t>
      </w:r>
      <w:r w:rsidRPr="00981405">
        <w:t>than</w:t>
      </w:r>
      <w:r w:rsidR="00190923" w:rsidRPr="00981405">
        <w:t xml:space="preserve"> </w:t>
      </w:r>
      <w:r w:rsidRPr="00981405">
        <w:t>the</w:t>
      </w:r>
      <w:r w:rsidR="00190923" w:rsidRPr="00981405">
        <w:t xml:space="preserve"> </w:t>
      </w:r>
      <w:r w:rsidRPr="00981405">
        <w:t>physical</w:t>
      </w:r>
      <w:r w:rsidR="00190923" w:rsidRPr="00981405">
        <w:t xml:space="preserve"> </w:t>
      </w:r>
      <w:r w:rsidRPr="00981405">
        <w:t>result</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bookmarkStart w:id="82" w:name="_Ref213848808"/>
      <w:r w:rsidRPr="00981405">
        <w:rPr>
          <w:rStyle w:val="FootnoteReference"/>
        </w:rPr>
        <w:footnoteReference w:id="152"/>
      </w:r>
      <w:bookmarkEnd w:id="82"/>
      <w:r w:rsidR="00190923" w:rsidRPr="00981405">
        <w:t xml:space="preserve"> </w:t>
      </w:r>
      <w:r w:rsidRPr="00981405">
        <w:t>It</w:t>
      </w:r>
      <w:r w:rsidR="00190923" w:rsidRPr="00981405">
        <w:t xml:space="preserve"> </w:t>
      </w:r>
      <w:r w:rsidRPr="00981405">
        <w:t>is</w:t>
      </w:r>
      <w:r w:rsidR="00190923" w:rsidRPr="00981405">
        <w:t xml:space="preserve"> </w:t>
      </w:r>
      <w:r w:rsidRPr="00981405">
        <w:t>the</w:t>
      </w:r>
      <w:r w:rsidR="00190923" w:rsidRPr="00981405">
        <w:t xml:space="preserve"> </w:t>
      </w:r>
      <w:r w:rsidRPr="00981405">
        <w:t>attack,</w:t>
      </w:r>
      <w:r w:rsidR="00190923" w:rsidRPr="00981405">
        <w:t xml:space="preserve"> </w:t>
      </w:r>
      <w:r w:rsidRPr="00981405">
        <w:t>not</w:t>
      </w:r>
      <w:r w:rsidR="00190923" w:rsidRPr="00981405">
        <w:t xml:space="preserve"> </w:t>
      </w:r>
      <w:r w:rsidRPr="00981405">
        <w:t>the</w:t>
      </w:r>
      <w:r w:rsidR="00190923" w:rsidRPr="00981405">
        <w:t xml:space="preserve"> </w:t>
      </w:r>
      <w:r w:rsidRPr="00981405">
        <w:t>acts</w:t>
      </w:r>
      <w:r w:rsidR="00190923" w:rsidRPr="00981405">
        <w:t xml:space="preserve"> </w:t>
      </w:r>
      <w:r w:rsidRPr="00981405">
        <w:t>of</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perpetrator,</w:t>
      </w:r>
      <w:r w:rsidR="00190923" w:rsidRPr="00981405">
        <w:t xml:space="preserve"> </w:t>
      </w:r>
      <w:r w:rsidRPr="00981405">
        <w:t>which</w:t>
      </w:r>
      <w:r w:rsidR="00190923" w:rsidRPr="00981405">
        <w:t xml:space="preserve"> </w:t>
      </w:r>
      <w:r w:rsidRPr="00981405">
        <w:t>must</w:t>
      </w:r>
      <w:r w:rsidR="00190923" w:rsidRPr="00981405">
        <w:t xml:space="preserve"> </w:t>
      </w:r>
      <w:r w:rsidRPr="00981405">
        <w:t>be</w:t>
      </w:r>
      <w:r w:rsidR="00190923" w:rsidRPr="00981405">
        <w:t xml:space="preserve"> </w:t>
      </w:r>
      <w:r w:rsidR="00B92E2C" w:rsidRPr="00981405">
        <w:t>“</w:t>
      </w:r>
      <w:r w:rsidRPr="00981405">
        <w:t>directed</w:t>
      </w:r>
      <w:r w:rsidR="00190923" w:rsidRPr="00981405">
        <w:t xml:space="preserve"> </w:t>
      </w:r>
      <w:r w:rsidRPr="00981405">
        <w:t>against</w:t>
      </w:r>
      <w:r w:rsidR="00B92E2C" w:rsidRPr="00981405">
        <w:t>”</w:t>
      </w:r>
      <w:r w:rsidR="00190923" w:rsidRPr="00981405">
        <w:t xml:space="preserve"> </w:t>
      </w:r>
      <w:r w:rsidRPr="00981405">
        <w:t>the</w:t>
      </w:r>
      <w:r w:rsidR="00190923" w:rsidRPr="00981405">
        <w:t xml:space="preserve"> </w:t>
      </w:r>
      <w:r w:rsidRPr="00981405">
        <w:t>target</w:t>
      </w:r>
      <w:r w:rsidR="00190923" w:rsidRPr="00981405">
        <w:t xml:space="preserve"> </w:t>
      </w:r>
      <w:r w:rsidRPr="00981405">
        <w:t>population.</w:t>
      </w:r>
      <w:r w:rsidRPr="00981405">
        <w:rPr>
          <w:rStyle w:val="FootnoteReference"/>
        </w:rPr>
        <w:footnoteReference w:id="153"/>
      </w:r>
      <w:r w:rsidR="00190923" w:rsidRPr="00981405">
        <w:t xml:space="preserve"> </w:t>
      </w:r>
    </w:p>
    <w:p w:rsidR="00397032" w:rsidRPr="00981405" w:rsidRDefault="00397032" w:rsidP="00D97463">
      <w:pPr>
        <w:pStyle w:val="SingleTxt"/>
      </w:pPr>
      <w:r w:rsidRPr="00981405">
        <w:t>(19)</w:t>
      </w:r>
      <w:r w:rsidRPr="00981405">
        <w:tab/>
        <w:t>The</w:t>
      </w:r>
      <w:r w:rsidR="00190923" w:rsidRPr="00981405">
        <w:t xml:space="preserve"> </w:t>
      </w:r>
      <w:r w:rsidRPr="00981405">
        <w:t>word</w:t>
      </w:r>
      <w:r w:rsidR="00190923" w:rsidRPr="00981405">
        <w:t xml:space="preserve"> </w:t>
      </w:r>
      <w:r w:rsidR="00B92E2C" w:rsidRPr="00981405">
        <w:t>“</w:t>
      </w:r>
      <w:r w:rsidRPr="00981405">
        <w:t>any</w:t>
      </w:r>
      <w:r w:rsidR="00B92E2C" w:rsidRPr="00981405">
        <w:t>”</w:t>
      </w:r>
      <w:r w:rsidR="00190923" w:rsidRPr="00981405">
        <w:t xml:space="preserve"> </w:t>
      </w:r>
      <w:r w:rsidRPr="00981405">
        <w:t>indicates</w:t>
      </w:r>
      <w:r w:rsidR="00190923" w:rsidRPr="00981405">
        <w:t xml:space="preserve"> </w:t>
      </w:r>
      <w:r w:rsidRPr="00981405">
        <w:t>that</w:t>
      </w:r>
      <w:r w:rsidR="00190923" w:rsidRPr="00981405">
        <w:t xml:space="preserve"> </w:t>
      </w:r>
      <w:r w:rsidR="00B92E2C" w:rsidRPr="00981405">
        <w:t>“</w:t>
      </w:r>
      <w:r w:rsidRPr="00981405">
        <w:t>civilian</w:t>
      </w:r>
      <w:r w:rsidR="00190923" w:rsidRPr="00981405">
        <w:t xml:space="preserve"> </w:t>
      </w:r>
      <w:r w:rsidRPr="00981405">
        <w:t>population</w:t>
      </w:r>
      <w:r w:rsidR="00B92E2C" w:rsidRPr="00981405">
        <w:t>”</w:t>
      </w:r>
      <w:r w:rsidR="00190923" w:rsidRPr="00981405">
        <w:t xml:space="preserve"> </w:t>
      </w:r>
      <w:r w:rsidRPr="00981405">
        <w:t>is</w:t>
      </w:r>
      <w:r w:rsidR="00190923" w:rsidRPr="00981405">
        <w:t xml:space="preserve"> </w:t>
      </w:r>
      <w:r w:rsidRPr="00981405">
        <w:t>to</w:t>
      </w:r>
      <w:r w:rsidR="00190923" w:rsidRPr="00981405">
        <w:t xml:space="preserve"> </w:t>
      </w:r>
      <w:r w:rsidRPr="00981405">
        <w:t>have</w:t>
      </w:r>
      <w:r w:rsidR="00190923" w:rsidRPr="00981405">
        <w:t xml:space="preserve"> </w:t>
      </w:r>
      <w:r w:rsidRPr="00981405">
        <w:t>a</w:t>
      </w:r>
      <w:r w:rsidR="00190923" w:rsidRPr="00981405">
        <w:t xml:space="preserve"> </w:t>
      </w:r>
      <w:r w:rsidRPr="00981405">
        <w:t>wide</w:t>
      </w:r>
      <w:r w:rsidR="00190923" w:rsidRPr="00981405">
        <w:t xml:space="preserve"> </w:t>
      </w:r>
      <w:r w:rsidRPr="00981405">
        <w:t>definition</w:t>
      </w:r>
      <w:r w:rsidR="00190923" w:rsidRPr="00981405">
        <w:t xml:space="preserve"> </w:t>
      </w:r>
      <w:r w:rsidRPr="00981405">
        <w:t>and</w:t>
      </w:r>
      <w:r w:rsidR="00190923" w:rsidRPr="00981405">
        <w:t xml:space="preserve"> </w:t>
      </w:r>
      <w:r w:rsidRPr="00981405">
        <w:t>should</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broadly.</w:t>
      </w:r>
      <w:bookmarkStart w:id="83" w:name="_Ref213849017"/>
      <w:r w:rsidRPr="00981405">
        <w:rPr>
          <w:rStyle w:val="FootnoteReference"/>
        </w:rPr>
        <w:footnoteReference w:id="154"/>
      </w:r>
      <w:bookmarkEnd w:id="83"/>
      <w:r w:rsidR="00190923" w:rsidRPr="00981405">
        <w:t xml:space="preserve"> </w:t>
      </w:r>
      <w:r w:rsidRPr="00981405">
        <w:t>An</w:t>
      </w:r>
      <w:r w:rsidR="00190923" w:rsidRPr="00981405">
        <w:t xml:space="preserve"> </w:t>
      </w:r>
      <w:r w:rsidRPr="00981405">
        <w:t>attack</w:t>
      </w:r>
      <w:r w:rsidR="00190923" w:rsidRPr="00981405">
        <w:t xml:space="preserve"> </w:t>
      </w:r>
      <w:r w:rsidRPr="00981405">
        <w:t>can</w:t>
      </w:r>
      <w:r w:rsidR="00190923" w:rsidRPr="00981405">
        <w:t xml:space="preserve"> </w:t>
      </w:r>
      <w:r w:rsidRPr="00981405">
        <w:t>be</w:t>
      </w:r>
      <w:r w:rsidR="00190923" w:rsidRPr="00981405">
        <w:t xml:space="preserve"> </w:t>
      </w:r>
      <w:r w:rsidRPr="00981405">
        <w:t>committed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civilians,</w:t>
      </w:r>
      <w:r w:rsidR="00190923" w:rsidRPr="00981405">
        <w:t xml:space="preserve"> </w:t>
      </w:r>
      <w:r w:rsidR="00B92E2C" w:rsidRPr="00981405">
        <w:t>“</w:t>
      </w:r>
      <w:r w:rsidRPr="00981405">
        <w:t>regardless</w:t>
      </w:r>
      <w:r w:rsidR="00190923" w:rsidRPr="00981405">
        <w:t xml:space="preserve"> </w:t>
      </w:r>
      <w:r w:rsidRPr="00981405">
        <w:t>of</w:t>
      </w:r>
      <w:r w:rsidR="00190923" w:rsidRPr="00981405">
        <w:t xml:space="preserve"> </w:t>
      </w:r>
      <w:r w:rsidRPr="00981405">
        <w:t>their</w:t>
      </w:r>
      <w:r w:rsidR="00190923" w:rsidRPr="00981405">
        <w:t xml:space="preserve"> </w:t>
      </w:r>
      <w:r w:rsidRPr="00981405">
        <w:t>nationality,</w:t>
      </w:r>
      <w:r w:rsidR="00190923" w:rsidRPr="00981405">
        <w:t xml:space="preserve"> </w:t>
      </w:r>
      <w:r w:rsidRPr="00981405">
        <w:t>ethnicity,</w:t>
      </w:r>
      <w:r w:rsidR="00190923" w:rsidRPr="00981405">
        <w:t xml:space="preserve"> </w:t>
      </w:r>
      <w:r w:rsidRPr="00981405">
        <w:t>or</w:t>
      </w:r>
      <w:r w:rsidR="00190923" w:rsidRPr="00981405">
        <w:t xml:space="preserve"> </w:t>
      </w:r>
      <w:r w:rsidRPr="00981405">
        <w:t>any</w:t>
      </w:r>
      <w:r w:rsidR="00190923" w:rsidRPr="00981405">
        <w:t xml:space="preserve"> </w:t>
      </w:r>
      <w:r w:rsidRPr="00981405">
        <w:t>other</w:t>
      </w:r>
      <w:r w:rsidR="00190923" w:rsidRPr="00981405">
        <w:t xml:space="preserve"> </w:t>
      </w:r>
      <w:r w:rsidRPr="00981405">
        <w:t>distinguishing</w:t>
      </w:r>
      <w:r w:rsidR="00190923" w:rsidRPr="00981405">
        <w:t xml:space="preserve"> </w:t>
      </w:r>
      <w:r w:rsidRPr="00981405">
        <w:t>feature</w:t>
      </w:r>
      <w:r w:rsidR="00B92E2C" w:rsidRPr="00981405">
        <w:t>”</w:t>
      </w:r>
      <w:r w:rsidRPr="00981405">
        <w:t>,</w:t>
      </w:r>
      <w:r w:rsidRPr="00981405">
        <w:rPr>
          <w:rStyle w:val="FootnoteReference"/>
        </w:rPr>
        <w:footnoteReference w:id="155"/>
      </w:r>
      <w:r w:rsidR="00190923" w:rsidRPr="00981405">
        <w:t xml:space="preserve"> </w:t>
      </w:r>
      <w:r w:rsidRPr="00981405">
        <w:t>and</w:t>
      </w:r>
      <w:r w:rsidR="00190923" w:rsidRPr="00981405">
        <w:t xml:space="preserve"> </w:t>
      </w:r>
      <w:r w:rsidRPr="00981405">
        <w:t>can</w:t>
      </w:r>
      <w:r w:rsidR="00190923" w:rsidRPr="00981405">
        <w:t xml:space="preserve"> </w:t>
      </w:r>
      <w:r w:rsidRPr="00981405">
        <w:t>be</w:t>
      </w:r>
      <w:r w:rsidR="00190923" w:rsidRPr="00981405">
        <w:t xml:space="preserve"> </w:t>
      </w:r>
      <w:r w:rsidRPr="00981405">
        <w:t>committed</w:t>
      </w:r>
      <w:r w:rsidR="00190923" w:rsidRPr="00981405">
        <w:t xml:space="preserve"> </w:t>
      </w:r>
      <w:r w:rsidRPr="00981405">
        <w:t>against</w:t>
      </w:r>
      <w:r w:rsidR="00190923" w:rsidRPr="00981405">
        <w:t xml:space="preserve"> </w:t>
      </w:r>
      <w:r w:rsidRPr="00981405">
        <w:t>either</w:t>
      </w:r>
      <w:r w:rsidR="00190923" w:rsidRPr="00981405">
        <w:t xml:space="preserve"> </w:t>
      </w:r>
      <w:r w:rsidRPr="00981405">
        <w:t>nationals</w:t>
      </w:r>
      <w:r w:rsidR="00190923" w:rsidRPr="00981405">
        <w:t xml:space="preserve"> </w:t>
      </w:r>
      <w:r w:rsidRPr="00981405">
        <w:t>or</w:t>
      </w:r>
      <w:r w:rsidR="00190923" w:rsidRPr="00981405">
        <w:t xml:space="preserve"> </w:t>
      </w:r>
      <w:r w:rsidRPr="00981405">
        <w:t>foreigners.</w:t>
      </w:r>
      <w:r w:rsidRPr="00981405">
        <w:rPr>
          <w:rStyle w:val="FootnoteReference"/>
        </w:rPr>
        <w:footnoteReference w:id="156"/>
      </w:r>
      <w:r w:rsidR="00190923" w:rsidRPr="00981405">
        <w:t xml:space="preserve"> </w:t>
      </w:r>
      <w:r w:rsidRPr="00981405">
        <w:t>Those</w:t>
      </w:r>
      <w:r w:rsidR="00190923" w:rsidRPr="00981405">
        <w:t xml:space="preserve"> </w:t>
      </w:r>
      <w:r w:rsidRPr="00981405">
        <w:t>targeted</w:t>
      </w:r>
      <w:r w:rsidR="00190923" w:rsidRPr="00981405">
        <w:t xml:space="preserve"> </w:t>
      </w:r>
      <w:r w:rsidRPr="00981405">
        <w:t>may</w:t>
      </w:r>
      <w:r w:rsidR="00190923" w:rsidRPr="00981405">
        <w:t xml:space="preserve"> </w:t>
      </w:r>
      <w:r w:rsidR="00B92E2C" w:rsidRPr="00981405">
        <w:t>“</w:t>
      </w:r>
      <w:r w:rsidRPr="00981405">
        <w:t>include</w:t>
      </w:r>
      <w:r w:rsidR="00190923" w:rsidRPr="00981405">
        <w:t xml:space="preserve"> </w:t>
      </w:r>
      <w:r w:rsidRPr="00981405">
        <w:t>a</w:t>
      </w:r>
      <w:r w:rsidR="00190923" w:rsidRPr="00981405">
        <w:t xml:space="preserve"> </w:t>
      </w:r>
      <w:r w:rsidRPr="00981405">
        <w:t>group</w:t>
      </w:r>
      <w:r w:rsidR="00190923" w:rsidRPr="00981405">
        <w:t xml:space="preserve"> </w:t>
      </w:r>
      <w:r w:rsidRPr="00981405">
        <w:t>defined</w:t>
      </w:r>
      <w:r w:rsidR="00190923" w:rsidRPr="00981405">
        <w:t xml:space="preserve"> </w:t>
      </w:r>
      <w:r w:rsidRPr="00981405">
        <w:t>by</w:t>
      </w:r>
      <w:r w:rsidR="00190923" w:rsidRPr="00981405">
        <w:t xml:space="preserve"> </w:t>
      </w:r>
      <w:r w:rsidRPr="00981405">
        <w:t>its</w:t>
      </w:r>
      <w:r w:rsidR="00190923" w:rsidRPr="00981405">
        <w:t xml:space="preserve"> </w:t>
      </w:r>
      <w:r w:rsidRPr="00981405">
        <w:t>(perceived)</w:t>
      </w:r>
      <w:r w:rsidR="00190923" w:rsidRPr="00981405">
        <w:t xml:space="preserve"> </w:t>
      </w:r>
      <w:r w:rsidRPr="00981405">
        <w:t>political</w:t>
      </w:r>
      <w:r w:rsidR="00190923" w:rsidRPr="00981405">
        <w:t xml:space="preserve"> </w:t>
      </w:r>
      <w:r w:rsidRPr="00981405">
        <w:t>affiliation.</w:t>
      </w:r>
      <w:r w:rsidR="00B92E2C" w:rsidRPr="00981405">
        <w:t>”</w:t>
      </w:r>
      <w:r w:rsidRPr="00981405">
        <w:rPr>
          <w:rStyle w:val="FootnoteReference"/>
        </w:rPr>
        <w:footnoteReference w:id="157"/>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qualify</w:t>
      </w:r>
      <w:r w:rsidR="00190923" w:rsidRPr="00981405">
        <w:t xml:space="preserve"> </w:t>
      </w:r>
      <w:r w:rsidRPr="00981405">
        <w:t>as</w:t>
      </w:r>
      <w:r w:rsidR="00190923" w:rsidRPr="00981405">
        <w:t xml:space="preserve"> </w:t>
      </w:r>
      <w:r w:rsidRPr="00981405">
        <w:t>a</w:t>
      </w:r>
      <w:r w:rsidR="00190923" w:rsidRPr="00981405">
        <w:t xml:space="preserve"> </w:t>
      </w:r>
      <w:r w:rsidR="00B92E2C" w:rsidRPr="00981405">
        <w:t>“</w:t>
      </w:r>
      <w:r w:rsidRPr="00981405">
        <w:t>civilian</w:t>
      </w:r>
      <w:r w:rsidR="00190923" w:rsidRPr="00981405">
        <w:t xml:space="preserve"> </w:t>
      </w:r>
      <w:r w:rsidRPr="00981405">
        <w:t>population</w:t>
      </w:r>
      <w:r w:rsidR="00B92E2C" w:rsidRPr="00981405">
        <w:t>”</w:t>
      </w:r>
      <w:r w:rsidR="00190923" w:rsidRPr="00981405">
        <w:t xml:space="preserve"> </w:t>
      </w:r>
      <w:r w:rsidRPr="00981405">
        <w:t>during</w:t>
      </w:r>
      <w:r w:rsidR="00190923" w:rsidRPr="00981405">
        <w:t xml:space="preserve"> </w:t>
      </w:r>
      <w:r w:rsidRPr="00981405">
        <w:t>a</w:t>
      </w:r>
      <w:r w:rsidR="00190923" w:rsidRPr="00981405">
        <w:t xml:space="preserve"> </w:t>
      </w:r>
      <w:r w:rsidRPr="00981405">
        <w:t>time</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those</w:t>
      </w:r>
      <w:r w:rsidR="00190923" w:rsidRPr="00981405">
        <w:t xml:space="preserve"> </w:t>
      </w:r>
      <w:r w:rsidRPr="00981405">
        <w:t>targeted</w:t>
      </w:r>
      <w:r w:rsidR="00190923" w:rsidRPr="00981405">
        <w:t xml:space="preserve"> </w:t>
      </w:r>
      <w:r w:rsidRPr="00981405">
        <w:t>must</w:t>
      </w:r>
      <w:r w:rsidR="00190923" w:rsidRPr="00981405">
        <w:t xml:space="preserve"> </w:t>
      </w:r>
      <w:r w:rsidRPr="00981405">
        <w:t>be</w:t>
      </w:r>
      <w:r w:rsidR="00190923" w:rsidRPr="00981405">
        <w:t xml:space="preserve"> </w:t>
      </w:r>
      <w:r w:rsidR="00B92E2C" w:rsidRPr="00981405">
        <w:t>“</w:t>
      </w:r>
      <w:r w:rsidRPr="00981405">
        <w:t>predominantly</w:t>
      </w:r>
      <w:r w:rsidR="00B92E2C" w:rsidRPr="00981405">
        <w:t>”</w:t>
      </w:r>
      <w:r w:rsidR="00190923" w:rsidRPr="00981405">
        <w:t xml:space="preserve"> </w:t>
      </w:r>
      <w:r w:rsidRPr="00981405">
        <w:t>civilian</w:t>
      </w:r>
      <w:r w:rsidR="00190923" w:rsidRPr="00981405">
        <w:t xml:space="preserve"> </w:t>
      </w:r>
      <w:r w:rsidRPr="00981405">
        <w:t>in</w:t>
      </w:r>
      <w:r w:rsidR="00190923" w:rsidRPr="00981405">
        <w:t xml:space="preserve"> </w:t>
      </w:r>
      <w:r w:rsidRPr="00981405">
        <w:t>nature</w:t>
      </w:r>
      <w:bookmarkStart w:id="84" w:name="_Ref213849135"/>
      <w:r w:rsidRPr="00981405">
        <w:t>;</w:t>
      </w:r>
      <w:bookmarkEnd w:id="84"/>
      <w:r w:rsidR="00190923" w:rsidRPr="00981405">
        <w:t xml:space="preserve"> </w:t>
      </w:r>
      <w:r w:rsidRPr="00981405">
        <w:t>the</w:t>
      </w:r>
      <w:r w:rsidR="00190923" w:rsidRPr="00981405">
        <w:t xml:space="preserve"> </w:t>
      </w:r>
      <w:r w:rsidRPr="00981405">
        <w:t>presence</w:t>
      </w:r>
      <w:r w:rsidR="00190923" w:rsidRPr="00981405">
        <w:t xml:space="preserve"> </w:t>
      </w:r>
      <w:r w:rsidRPr="00981405">
        <w:t>of</w:t>
      </w:r>
      <w:r w:rsidR="00190923" w:rsidRPr="00981405">
        <w:t xml:space="preserve"> </w:t>
      </w:r>
      <w:r w:rsidRPr="00981405">
        <w:t>certain</w:t>
      </w:r>
      <w:r w:rsidR="00190923" w:rsidRPr="00981405">
        <w:t xml:space="preserve"> </w:t>
      </w:r>
      <w:r w:rsidRPr="00981405">
        <w:t>combatants</w:t>
      </w:r>
      <w:r w:rsidR="00190923" w:rsidRPr="00981405">
        <w:t xml:space="preserve"> </w:t>
      </w:r>
      <w:r w:rsidRPr="00981405">
        <w:t>within</w:t>
      </w:r>
      <w:r w:rsidR="00190923" w:rsidRPr="00981405">
        <w:t xml:space="preserve"> </w:t>
      </w:r>
      <w:r w:rsidRPr="00981405">
        <w:t>the</w:t>
      </w:r>
      <w:r w:rsidR="00190923" w:rsidRPr="00981405">
        <w:t xml:space="preserve"> </w:t>
      </w:r>
      <w:r w:rsidRPr="00981405">
        <w:t>population</w:t>
      </w:r>
      <w:r w:rsidR="00190923" w:rsidRPr="00981405">
        <w:t xml:space="preserve"> </w:t>
      </w:r>
      <w:r w:rsidRPr="00981405">
        <w:t>does</w:t>
      </w:r>
      <w:r w:rsidR="00190923" w:rsidRPr="00981405">
        <w:t xml:space="preserve"> </w:t>
      </w:r>
      <w:r w:rsidRPr="00981405">
        <w:t>not</w:t>
      </w:r>
      <w:r w:rsidR="00190923" w:rsidRPr="00981405">
        <w:t xml:space="preserve"> </w:t>
      </w:r>
      <w:r w:rsidRPr="00981405">
        <w:t>change</w:t>
      </w:r>
      <w:r w:rsidR="00190923" w:rsidRPr="00981405">
        <w:t xml:space="preserve"> </w:t>
      </w:r>
      <w:r w:rsidRPr="00981405">
        <w:t>its</w:t>
      </w:r>
      <w:r w:rsidR="00190923" w:rsidRPr="00981405">
        <w:t xml:space="preserve"> </w:t>
      </w:r>
      <w:r w:rsidRPr="00981405">
        <w:t>character.</w:t>
      </w:r>
      <w:r w:rsidRPr="00981405">
        <w:rPr>
          <w:rStyle w:val="FootnoteReference"/>
        </w:rPr>
        <w:footnoteReference w:id="158"/>
      </w:r>
      <w:r w:rsidR="00190923" w:rsidRPr="00981405">
        <w:t xml:space="preserve"> </w:t>
      </w:r>
      <w:r w:rsidRPr="00981405">
        <w:t>This</w:t>
      </w:r>
      <w:r w:rsidR="00190923" w:rsidRPr="00981405">
        <w:t xml:space="preserve"> </w:t>
      </w:r>
      <w:r w:rsidRPr="00981405">
        <w:t>approach</w:t>
      </w:r>
      <w:r w:rsidR="00190923" w:rsidRPr="00981405">
        <w:t xml:space="preserve"> </w:t>
      </w:r>
      <w:r w:rsidRPr="00981405">
        <w:t>is</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other</w:t>
      </w:r>
      <w:r w:rsidR="00190923" w:rsidRPr="00981405">
        <w:t xml:space="preserve"> </w:t>
      </w:r>
      <w:r w:rsidRPr="00981405">
        <w:t>rules</w:t>
      </w:r>
      <w:r w:rsidR="00190923" w:rsidRPr="00981405">
        <w:t xml:space="preserve"> </w:t>
      </w:r>
      <w:r w:rsidRPr="00981405">
        <w:t>arising</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humanitarian</w:t>
      </w:r>
      <w:r w:rsidR="00190923" w:rsidRPr="00981405">
        <w:t xml:space="preserve"> </w:t>
      </w:r>
      <w:r w:rsidRPr="00981405">
        <w:t>law.</w:t>
      </w:r>
      <w:r w:rsidR="00190923" w:rsidRPr="00981405">
        <w:t xml:space="preserve"> </w:t>
      </w:r>
      <w:r w:rsidRPr="00981405">
        <w:t>For</w:t>
      </w:r>
      <w:r w:rsidR="00190923" w:rsidRPr="00981405">
        <w:t xml:space="preserve"> </w:t>
      </w:r>
      <w:r w:rsidRPr="00981405">
        <w:t>example,</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w:t>
      </w:r>
      <w:r w:rsidR="00190923" w:rsidRPr="00981405">
        <w:t xml:space="preserve"> </w:t>
      </w:r>
      <w:r w:rsidRPr="00981405">
        <w:t>to</w:t>
      </w:r>
      <w:r w:rsidR="00190923" w:rsidRPr="00981405">
        <w:t xml:space="preserve"> </w:t>
      </w:r>
      <w:r w:rsidRPr="00981405">
        <w:t>the</w:t>
      </w:r>
      <w:r w:rsidR="00190923" w:rsidRPr="00981405">
        <w:t xml:space="preserve"> </w:t>
      </w:r>
      <w:r w:rsidRPr="00981405">
        <w:t>Geneva</w:t>
      </w:r>
      <w:r w:rsidR="00190923" w:rsidRPr="00981405">
        <w:t xml:space="preserve"> </w:t>
      </w:r>
      <w:r w:rsidRPr="00981405">
        <w:t>Conventions</w:t>
      </w:r>
      <w:r w:rsidR="00190923" w:rsidRPr="00981405">
        <w:t xml:space="preserve"> </w:t>
      </w:r>
      <w:r w:rsidRPr="00981405">
        <w:t>states:</w:t>
      </w:r>
      <w:r w:rsidR="00190923" w:rsidRPr="00981405">
        <w:t xml:space="preserve"> </w:t>
      </w:r>
      <w:r w:rsidR="00B92E2C" w:rsidRPr="00981405">
        <w:t>“</w:t>
      </w:r>
      <w:r w:rsidRPr="00981405">
        <w:t>The</w:t>
      </w:r>
      <w:r w:rsidR="00190923" w:rsidRPr="00981405">
        <w:t xml:space="preserve"> </w:t>
      </w:r>
      <w:r w:rsidRPr="00981405">
        <w:t>presence</w:t>
      </w:r>
      <w:r w:rsidR="00190923" w:rsidRPr="00981405">
        <w:t xml:space="preserve"> </w:t>
      </w:r>
      <w:r w:rsidRPr="00981405">
        <w:t>within</w:t>
      </w:r>
      <w:r w:rsidR="00190923" w:rsidRPr="00981405">
        <w:t xml:space="preserve"> </w:t>
      </w:r>
      <w:r w:rsidRPr="00981405">
        <w:t>the</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of</w:t>
      </w:r>
      <w:r w:rsidR="00190923" w:rsidRPr="00981405">
        <w:t xml:space="preserve"> </w:t>
      </w:r>
      <w:r w:rsidRPr="00981405">
        <w:t>individuals</w:t>
      </w:r>
      <w:r w:rsidR="00190923" w:rsidRPr="00981405">
        <w:t xml:space="preserve"> </w:t>
      </w:r>
      <w:r w:rsidRPr="00981405">
        <w:t>who</w:t>
      </w:r>
      <w:r w:rsidR="00190923" w:rsidRPr="00981405">
        <w:t xml:space="preserve"> </w:t>
      </w:r>
      <w:r w:rsidRPr="00981405">
        <w:t>do</w:t>
      </w:r>
      <w:r w:rsidR="00190923" w:rsidRPr="00981405">
        <w:t xml:space="preserve"> </w:t>
      </w:r>
      <w:r w:rsidRPr="00981405">
        <w:t>not</w:t>
      </w:r>
      <w:r w:rsidR="00190923" w:rsidRPr="00981405">
        <w:t xml:space="preserve"> </w:t>
      </w:r>
      <w:r w:rsidRPr="00981405">
        <w:t>come</w:t>
      </w:r>
      <w:r w:rsidR="00190923" w:rsidRPr="00981405">
        <w:t xml:space="preserve"> </w:t>
      </w:r>
      <w:r w:rsidRPr="00981405">
        <w:t>within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civilians</w:t>
      </w:r>
      <w:r w:rsidR="00190923" w:rsidRPr="00981405">
        <w:t xml:space="preserve"> </w:t>
      </w:r>
      <w:r w:rsidRPr="00981405">
        <w:t>does</w:t>
      </w:r>
      <w:r w:rsidR="00190923" w:rsidRPr="00981405">
        <w:t xml:space="preserve"> </w:t>
      </w:r>
      <w:r w:rsidRPr="00981405">
        <w:t>not</w:t>
      </w:r>
      <w:r w:rsidR="00190923" w:rsidRPr="00981405">
        <w:t xml:space="preserve"> </w:t>
      </w:r>
      <w:r w:rsidRPr="00981405">
        <w:t>deprive</w:t>
      </w:r>
      <w:r w:rsidR="00190923" w:rsidRPr="00981405">
        <w:t xml:space="preserve"> </w:t>
      </w:r>
      <w:r w:rsidRPr="00981405">
        <w:t>the</w:t>
      </w:r>
      <w:r w:rsidR="00190923" w:rsidRPr="00981405">
        <w:t xml:space="preserve"> </w:t>
      </w:r>
      <w:r w:rsidRPr="00981405">
        <w:t>population</w:t>
      </w:r>
      <w:r w:rsidR="00190923" w:rsidRPr="00981405">
        <w:t xml:space="preserve"> </w:t>
      </w:r>
      <w:r w:rsidRPr="00981405">
        <w:t>of</w:t>
      </w:r>
      <w:r w:rsidR="00190923" w:rsidRPr="00981405">
        <w:t xml:space="preserve"> </w:t>
      </w:r>
      <w:r w:rsidRPr="00981405">
        <w:t>its</w:t>
      </w:r>
      <w:r w:rsidR="00190923" w:rsidRPr="00981405">
        <w:t xml:space="preserve"> </w:t>
      </w:r>
      <w:r w:rsidRPr="00981405">
        <w:t>civilian</w:t>
      </w:r>
      <w:r w:rsidR="00190923" w:rsidRPr="00981405">
        <w:t xml:space="preserve"> </w:t>
      </w:r>
      <w:r w:rsidRPr="00981405">
        <w:t>character.</w:t>
      </w:r>
      <w:r w:rsidR="00B92E2C" w:rsidRPr="00981405">
        <w:t>”</w:t>
      </w:r>
      <w:r w:rsidRPr="00981405">
        <w:rPr>
          <w:rStyle w:val="FootnoteReference"/>
        </w:rPr>
        <w:footnoteReference w:id="159"/>
      </w:r>
      <w:r w:rsidR="00190923" w:rsidRPr="00981405">
        <w:t xml:space="preserve"> </w:t>
      </w:r>
      <w:r w:rsidRPr="00981405">
        <w:t>The</w:t>
      </w:r>
      <w:r w:rsidR="00190923" w:rsidRPr="00981405">
        <w:t xml:space="preserve"> </w:t>
      </w:r>
      <w:r w:rsidRPr="00981405">
        <w:t>ICTR</w:t>
      </w:r>
      <w:r w:rsidR="00190923" w:rsidRPr="00981405">
        <w:t xml:space="preserve"> </w:t>
      </w:r>
      <w:r w:rsidRPr="00981405">
        <w:t>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Kayishema</w:t>
      </w:r>
      <w:r w:rsidR="00190923" w:rsidRPr="00981405">
        <w:t xml:space="preserve"> </w:t>
      </w:r>
      <w:r w:rsidRPr="00981405">
        <w:t>found</w:t>
      </w:r>
      <w:r w:rsidR="00190923" w:rsidRPr="00981405">
        <w:t xml:space="preserve"> </w:t>
      </w:r>
      <w:r w:rsidRPr="00981405">
        <w:t>that</w:t>
      </w:r>
      <w:r w:rsidR="00190923" w:rsidRPr="00981405">
        <w:t xml:space="preserve"> </w:t>
      </w:r>
      <w:r w:rsidRPr="00981405">
        <w:t>during</w:t>
      </w:r>
      <w:r w:rsidR="00190923" w:rsidRPr="00981405">
        <w:t xml:space="preserve"> </w:t>
      </w:r>
      <w:r w:rsidRPr="00981405">
        <w:t>a</w:t>
      </w:r>
      <w:r w:rsidR="00190923" w:rsidRPr="00981405">
        <w:t xml:space="preserve"> </w:t>
      </w:r>
      <w:r w:rsidRPr="00981405">
        <w:t>time</w:t>
      </w:r>
      <w:r w:rsidR="00190923" w:rsidRPr="00981405">
        <w:t xml:space="preserve"> </w:t>
      </w:r>
      <w:r w:rsidRPr="00981405">
        <w:t>of</w:t>
      </w:r>
      <w:r w:rsidR="00190923" w:rsidRPr="00981405">
        <w:t xml:space="preserve"> </w:t>
      </w:r>
      <w:r w:rsidRPr="00981405">
        <w:t>peace,</w:t>
      </w:r>
      <w:r w:rsidR="00190923" w:rsidRPr="00981405">
        <w:t xml:space="preserve"> </w:t>
      </w:r>
      <w:r w:rsidR="00B92E2C" w:rsidRPr="00981405">
        <w:t>“</w:t>
      </w:r>
      <w:r w:rsidRPr="00981405">
        <w:t>civilian</w:t>
      </w:r>
      <w:r w:rsidR="00B92E2C" w:rsidRPr="00981405">
        <w:t>”</w:t>
      </w:r>
      <w:r w:rsidR="00190923" w:rsidRPr="00981405">
        <w:t xml:space="preserve"> </w:t>
      </w:r>
      <w:r w:rsidRPr="00981405">
        <w:t>shall</w:t>
      </w:r>
      <w:r w:rsidR="00190923" w:rsidRPr="00981405">
        <w:t xml:space="preserve"> </w:t>
      </w:r>
      <w:r w:rsidRPr="00981405">
        <w:t>include</w:t>
      </w:r>
      <w:r w:rsidR="00190923" w:rsidRPr="00981405">
        <w:t xml:space="preserve"> </w:t>
      </w:r>
      <w:r w:rsidRPr="00981405">
        <w:t>all</w:t>
      </w:r>
      <w:r w:rsidR="00190923" w:rsidRPr="00981405">
        <w:t xml:space="preserve"> </w:t>
      </w:r>
      <w:r w:rsidRPr="00981405">
        <w:t>persons</w:t>
      </w:r>
      <w:r w:rsidR="00190923" w:rsidRPr="00981405">
        <w:t xml:space="preserve"> </w:t>
      </w:r>
      <w:r w:rsidRPr="00981405">
        <w:t>except</w:t>
      </w:r>
      <w:r w:rsidR="00190923" w:rsidRPr="00981405">
        <w:t xml:space="preserve"> </w:t>
      </w:r>
      <w:r w:rsidRPr="00981405">
        <w:t>those</w:t>
      </w:r>
      <w:r w:rsidR="00190923" w:rsidRPr="00981405">
        <w:t xml:space="preserve"> </w:t>
      </w:r>
      <w:r w:rsidRPr="00981405">
        <w:t>individuals</w:t>
      </w:r>
      <w:r w:rsidR="00190923" w:rsidRPr="00981405">
        <w:t xml:space="preserve"> </w:t>
      </w:r>
      <w:r w:rsidRPr="00981405">
        <w:t>who</w:t>
      </w:r>
      <w:r w:rsidR="00190923" w:rsidRPr="00981405">
        <w:t xml:space="preserve"> </w:t>
      </w:r>
      <w:r w:rsidRPr="00981405">
        <w:t>have</w:t>
      </w:r>
      <w:r w:rsidR="00190923" w:rsidRPr="00981405">
        <w:t xml:space="preserve"> </w:t>
      </w:r>
      <w:r w:rsidRPr="00981405">
        <w:t>a</w:t>
      </w:r>
      <w:r w:rsidR="00190923" w:rsidRPr="00981405">
        <w:t xml:space="preserve"> </w:t>
      </w:r>
      <w:r w:rsidRPr="00981405">
        <w:t>duty</w:t>
      </w:r>
      <w:r w:rsidR="00190923" w:rsidRPr="00981405">
        <w:t xml:space="preserve"> </w:t>
      </w:r>
      <w:r w:rsidRPr="00981405">
        <w:t>to</w:t>
      </w:r>
      <w:r w:rsidR="00190923" w:rsidRPr="00981405">
        <w:t xml:space="preserve"> </w:t>
      </w:r>
      <w:r w:rsidRPr="00981405">
        <w:t>maintain</w:t>
      </w:r>
      <w:r w:rsidR="00190923" w:rsidRPr="00981405">
        <w:t xml:space="preserve"> </w:t>
      </w:r>
      <w:r w:rsidRPr="00981405">
        <w:t>public</w:t>
      </w:r>
      <w:r w:rsidR="00190923" w:rsidRPr="00981405">
        <w:t xml:space="preserve"> </w:t>
      </w:r>
      <w:r w:rsidRPr="00981405">
        <w:t>order</w:t>
      </w:r>
      <w:r w:rsidR="00190923" w:rsidRPr="00981405">
        <w:t xml:space="preserve"> </w:t>
      </w:r>
      <w:r w:rsidRPr="00981405">
        <w:t>and</w:t>
      </w:r>
      <w:r w:rsidR="00190923" w:rsidRPr="00981405">
        <w:t xml:space="preserve"> </w:t>
      </w:r>
      <w:r w:rsidRPr="00981405">
        <w:t>have</w:t>
      </w:r>
      <w:r w:rsidR="00190923" w:rsidRPr="00981405">
        <w:t xml:space="preserve"> </w:t>
      </w:r>
      <w:r w:rsidRPr="00981405">
        <w:t>legitimate</w:t>
      </w:r>
      <w:r w:rsidR="00190923" w:rsidRPr="00981405">
        <w:t xml:space="preserve"> </w:t>
      </w:r>
      <w:r w:rsidRPr="00981405">
        <w:t>means</w:t>
      </w:r>
      <w:r w:rsidR="00190923" w:rsidRPr="00981405">
        <w:t xml:space="preserve"> </w:t>
      </w:r>
      <w:r w:rsidRPr="00981405">
        <w:t>to</w:t>
      </w:r>
      <w:r w:rsidR="00190923" w:rsidRPr="00981405">
        <w:t xml:space="preserve"> </w:t>
      </w:r>
      <w:r w:rsidRPr="00981405">
        <w:t>exercise</w:t>
      </w:r>
      <w:r w:rsidR="00190923" w:rsidRPr="00981405">
        <w:t xml:space="preserve"> </w:t>
      </w:r>
      <w:r w:rsidRPr="00981405">
        <w:t>force</w:t>
      </w:r>
      <w:r w:rsidR="00190923" w:rsidRPr="00981405">
        <w:t xml:space="preserve"> </w:t>
      </w:r>
      <w:r w:rsidRPr="00981405">
        <w:t>to</w:t>
      </w:r>
      <w:r w:rsidR="00190923" w:rsidRPr="00981405">
        <w:t xml:space="preserve"> </w:t>
      </w:r>
      <w:r w:rsidRPr="00981405">
        <w:t>that</w:t>
      </w:r>
      <w:r w:rsidR="00190923" w:rsidRPr="00981405">
        <w:t xml:space="preserve"> </w:t>
      </w:r>
      <w:r w:rsidRPr="00981405">
        <w:t>end</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they</w:t>
      </w:r>
      <w:r w:rsidR="00190923" w:rsidRPr="00981405">
        <w:t xml:space="preserve"> </w:t>
      </w:r>
      <w:r w:rsidRPr="00981405">
        <w:t>are</w:t>
      </w:r>
      <w:r w:rsidR="00190923" w:rsidRPr="00981405">
        <w:t xml:space="preserve"> </w:t>
      </w:r>
      <w:r w:rsidRPr="00981405">
        <w:t>being</w:t>
      </w:r>
      <w:r w:rsidR="00190923" w:rsidRPr="00981405">
        <w:t xml:space="preserve"> </w:t>
      </w:r>
      <w:r w:rsidRPr="00981405">
        <w:t>attacked.</w:t>
      </w:r>
      <w:r w:rsidRPr="00981405">
        <w:rPr>
          <w:rStyle w:val="FootnoteReference"/>
        </w:rPr>
        <w:footnoteReference w:id="160"/>
      </w:r>
      <w:r w:rsidR="00190923" w:rsidRPr="00981405">
        <w:t xml:space="preserve"> </w:t>
      </w:r>
      <w:r w:rsidRPr="00981405">
        <w:t>The</w:t>
      </w:r>
      <w:r w:rsidR="00190923" w:rsidRPr="00981405">
        <w:t xml:space="preserve"> </w:t>
      </w:r>
      <w:r w:rsidRPr="00981405">
        <w:t>status</w:t>
      </w:r>
      <w:r w:rsidR="00190923" w:rsidRPr="00981405">
        <w:t xml:space="preserve"> </w:t>
      </w:r>
      <w:r w:rsidRPr="00981405">
        <w:t>of</w:t>
      </w:r>
      <w:r w:rsidR="00190923" w:rsidRPr="00981405">
        <w:t xml:space="preserve"> </w:t>
      </w:r>
      <w:r w:rsidRPr="00981405">
        <w:t>any</w:t>
      </w:r>
      <w:r w:rsidR="00190923" w:rsidRPr="00981405">
        <w:t xml:space="preserve"> </w:t>
      </w:r>
      <w:r w:rsidRPr="00981405">
        <w:t>given</w:t>
      </w:r>
      <w:r w:rsidR="00190923" w:rsidRPr="00981405">
        <w:t xml:space="preserve"> </w:t>
      </w:r>
      <w:r w:rsidRPr="00981405">
        <w:t>victim</w:t>
      </w:r>
      <w:r w:rsidR="00190923" w:rsidRPr="00981405">
        <w:t xml:space="preserve"> </w:t>
      </w:r>
      <w:r w:rsidRPr="00981405">
        <w:t>must</w:t>
      </w:r>
      <w:r w:rsidR="00190923" w:rsidRPr="00981405">
        <w:t xml:space="preserve"> </w:t>
      </w:r>
      <w:r w:rsidRPr="00981405">
        <w:t>be</w:t>
      </w:r>
      <w:r w:rsidR="00190923" w:rsidRPr="00981405">
        <w:t xml:space="preserve"> </w:t>
      </w:r>
      <w:r w:rsidRPr="00981405">
        <w:t>assessed</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the</w:t>
      </w:r>
      <w:r w:rsidR="00190923" w:rsidRPr="00981405">
        <w:t xml:space="preserve"> </w:t>
      </w:r>
      <w:r w:rsidRPr="00981405">
        <w:t>offence</w:t>
      </w:r>
      <w:r w:rsidR="00190923" w:rsidRPr="00981405">
        <w:t xml:space="preserve"> </w:t>
      </w:r>
      <w:r w:rsidRPr="00981405">
        <w:t>is</w:t>
      </w:r>
      <w:r w:rsidR="00190923" w:rsidRPr="00981405">
        <w:t xml:space="preserve"> </w:t>
      </w:r>
      <w:r w:rsidRPr="00981405">
        <w:t>committed;</w:t>
      </w:r>
      <w:r w:rsidRPr="00981405">
        <w:rPr>
          <w:rStyle w:val="FootnoteReference"/>
        </w:rPr>
        <w:footnoteReference w:id="161"/>
      </w:r>
      <w:r w:rsidR="00190923" w:rsidRPr="00981405">
        <w:t xml:space="preserve"> </w:t>
      </w:r>
      <w:r w:rsidRPr="00981405">
        <w:t>a</w:t>
      </w:r>
      <w:r w:rsidR="00190923" w:rsidRPr="00981405">
        <w:t xml:space="preserve"> </w:t>
      </w:r>
      <w:r w:rsidRPr="00981405">
        <w:t>person</w:t>
      </w:r>
      <w:r w:rsidR="00190923" w:rsidRPr="00981405">
        <w:t xml:space="preserve"> </w:t>
      </w:r>
      <w:r w:rsidRPr="00981405">
        <w:t>should</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w:t>
      </w:r>
      <w:r w:rsidR="00190923" w:rsidRPr="00981405">
        <w:t xml:space="preserve"> </w:t>
      </w:r>
      <w:r w:rsidRPr="00981405">
        <w:t>civilian</w:t>
      </w:r>
      <w:r w:rsidR="00190923" w:rsidRPr="00981405">
        <w:t xml:space="preserve"> </w:t>
      </w:r>
      <w:r w:rsidRPr="00981405">
        <w:t>if</w:t>
      </w:r>
      <w:r w:rsidR="00190923" w:rsidRPr="00981405">
        <w:t xml:space="preserve"> </w:t>
      </w:r>
      <w:r w:rsidRPr="00981405">
        <w:t>there</w:t>
      </w:r>
      <w:r w:rsidR="00190923" w:rsidRPr="00981405">
        <w:t xml:space="preserve"> </w:t>
      </w:r>
      <w:r w:rsidRPr="00981405">
        <w:t>is</w:t>
      </w:r>
      <w:r w:rsidR="00190923" w:rsidRPr="00981405">
        <w:t xml:space="preserve"> </w:t>
      </w:r>
      <w:r w:rsidRPr="00981405">
        <w:t>any</w:t>
      </w:r>
      <w:r w:rsidR="00190923" w:rsidRPr="00981405">
        <w:t xml:space="preserve"> </w:t>
      </w:r>
      <w:r w:rsidRPr="00981405">
        <w:t>doubt</w:t>
      </w:r>
      <w:r w:rsidR="00190923" w:rsidRPr="00981405">
        <w:t xml:space="preserve"> </w:t>
      </w:r>
      <w:r w:rsidRPr="00981405">
        <w:t>as</w:t>
      </w:r>
      <w:r w:rsidR="00190923" w:rsidRPr="00981405">
        <w:t xml:space="preserve"> </w:t>
      </w:r>
      <w:r w:rsidRPr="00981405">
        <w:t>to</w:t>
      </w:r>
      <w:r w:rsidR="00190923" w:rsidRPr="00981405">
        <w:t xml:space="preserve"> </w:t>
      </w:r>
      <w:r w:rsidRPr="00981405">
        <w:t>his</w:t>
      </w:r>
      <w:r w:rsidR="00190923" w:rsidRPr="00981405">
        <w:t xml:space="preserve"> </w:t>
      </w:r>
      <w:r w:rsidRPr="00981405">
        <w:t>or</w:t>
      </w:r>
      <w:r w:rsidR="00190923" w:rsidRPr="00981405">
        <w:t xml:space="preserve"> </w:t>
      </w:r>
      <w:r w:rsidRPr="00981405">
        <w:t>her</w:t>
      </w:r>
      <w:r w:rsidR="00190923" w:rsidRPr="00981405">
        <w:t xml:space="preserve"> </w:t>
      </w:r>
      <w:r w:rsidRPr="00981405">
        <w:t>status.</w:t>
      </w:r>
      <w:r w:rsidRPr="00981405">
        <w:rPr>
          <w:rStyle w:val="FootnoteReference"/>
        </w:rPr>
        <w:footnoteReference w:id="162"/>
      </w:r>
      <w:r w:rsidR="00190923" w:rsidRPr="00981405">
        <w:t xml:space="preserve"> </w:t>
      </w:r>
    </w:p>
    <w:p w:rsidR="00397032" w:rsidRPr="00981405" w:rsidRDefault="00397032" w:rsidP="00D97463">
      <w:pPr>
        <w:pStyle w:val="SingleTxt"/>
      </w:pPr>
      <w:r w:rsidRPr="00981405">
        <w:lastRenderedPageBreak/>
        <w:t>(20)</w:t>
      </w:r>
      <w:r w:rsidRPr="00981405">
        <w:tab/>
      </w:r>
      <w:r w:rsidR="00B92E2C" w:rsidRPr="00981405">
        <w:t>“</w:t>
      </w:r>
      <w:r w:rsidRPr="00981405">
        <w:t>Population</w:t>
      </w:r>
      <w:r w:rsidR="00B92E2C" w:rsidRPr="00981405">
        <w:t>”</w:t>
      </w:r>
      <w:r w:rsidR="00190923" w:rsidRPr="00981405">
        <w:t xml:space="preserve"> </w:t>
      </w:r>
      <w:r w:rsidRPr="00981405">
        <w:t>does</w:t>
      </w:r>
      <w:r w:rsidR="00190923" w:rsidRPr="00981405">
        <w:t xml:space="preserve"> </w:t>
      </w:r>
      <w:r w:rsidRPr="00981405">
        <w:t>not</w:t>
      </w:r>
      <w:r w:rsidR="00190923" w:rsidRPr="00981405">
        <w:t xml:space="preserve"> </w:t>
      </w:r>
      <w:r w:rsidRPr="00981405">
        <w:t>mean</w:t>
      </w:r>
      <w:r w:rsidR="00190923" w:rsidRPr="00981405">
        <w:t xml:space="preserve"> </w:t>
      </w:r>
      <w:r w:rsidRPr="00981405">
        <w:t>that</w:t>
      </w:r>
      <w:r w:rsidR="00190923" w:rsidRPr="00981405">
        <w:t xml:space="preserve"> </w:t>
      </w:r>
      <w:r w:rsidRPr="00981405">
        <w:t>the</w:t>
      </w:r>
      <w:r w:rsidR="00190923" w:rsidRPr="00981405">
        <w:t xml:space="preserve"> </w:t>
      </w:r>
      <w:r w:rsidRPr="00981405">
        <w:t>entire</w:t>
      </w:r>
      <w:r w:rsidR="00190923" w:rsidRPr="00981405">
        <w:t xml:space="preserve"> </w:t>
      </w:r>
      <w:r w:rsidRPr="00981405">
        <w:t>population</w:t>
      </w:r>
      <w:r w:rsidR="00190923" w:rsidRPr="00981405">
        <w:t xml:space="preserve"> </w:t>
      </w:r>
      <w:r w:rsidRPr="00981405">
        <w:t>of</w:t>
      </w:r>
      <w:r w:rsidR="00190923" w:rsidRPr="00981405">
        <w:t xml:space="preserve"> </w:t>
      </w:r>
      <w:r w:rsidRPr="00981405">
        <w:t>a</w:t>
      </w:r>
      <w:r w:rsidR="00190923" w:rsidRPr="00981405">
        <w:t xml:space="preserve"> </w:t>
      </w:r>
      <w:r w:rsidRPr="00981405">
        <w:t>given</w:t>
      </w:r>
      <w:r w:rsidR="00190923" w:rsidRPr="00981405">
        <w:t xml:space="preserve"> </w:t>
      </w:r>
      <w:r w:rsidRPr="00981405">
        <w:t>geographical</w:t>
      </w:r>
      <w:r w:rsidR="00190923" w:rsidRPr="00981405">
        <w:t xml:space="preserve"> </w:t>
      </w:r>
      <w:r w:rsidRPr="00981405">
        <w:t>location</w:t>
      </w:r>
      <w:r w:rsidR="00190923" w:rsidRPr="00981405">
        <w:t xml:space="preserve"> </w:t>
      </w:r>
      <w:r w:rsidRPr="00981405">
        <w:t>must</w:t>
      </w:r>
      <w:r w:rsidR="00190923" w:rsidRPr="00981405">
        <w:t xml:space="preserve"> </w:t>
      </w:r>
      <w:r w:rsidRPr="00981405">
        <w:t>be</w:t>
      </w:r>
      <w:r w:rsidR="00190923" w:rsidRPr="00981405">
        <w:t xml:space="preserve"> </w:t>
      </w: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981405">
        <w:t>attack;</w:t>
      </w:r>
      <w:r w:rsidRPr="00981405">
        <w:rPr>
          <w:rStyle w:val="FootnoteReference"/>
        </w:rPr>
        <w:footnoteReference w:id="163"/>
      </w:r>
      <w:r w:rsidR="00190923" w:rsidRPr="00981405">
        <w:t xml:space="preserve"> </w:t>
      </w:r>
      <w:r w:rsidRPr="00981405">
        <w:t>rather,</w:t>
      </w:r>
      <w:r w:rsidR="00190923" w:rsidRPr="00981405">
        <w:t xml:space="preserve"> </w:t>
      </w:r>
      <w:r w:rsidRPr="00981405">
        <w:t>the</w:t>
      </w:r>
      <w:r w:rsidR="00190923" w:rsidRPr="00981405">
        <w:t xml:space="preserve"> </w:t>
      </w:r>
      <w:r w:rsidRPr="00981405">
        <w:t>term</w:t>
      </w:r>
      <w:r w:rsidR="00190923" w:rsidRPr="00981405">
        <w:t xml:space="preserve"> </w:t>
      </w:r>
      <w:r w:rsidRPr="00981405">
        <w:t>implies</w:t>
      </w:r>
      <w:r w:rsidR="00190923" w:rsidRPr="00981405">
        <w:t xml:space="preserve"> </w:t>
      </w:r>
      <w:r w:rsidRPr="00981405">
        <w:t>the</w:t>
      </w:r>
      <w:r w:rsidR="00190923" w:rsidRPr="00981405">
        <w:t xml:space="preserve"> </w:t>
      </w:r>
      <w:r w:rsidRPr="00981405">
        <w:t>collective</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crime</w:t>
      </w:r>
      <w:r w:rsidR="00190923" w:rsidRPr="00981405">
        <w:t xml:space="preserve"> </w:t>
      </w:r>
      <w:r w:rsidRPr="00981405">
        <w:t>as</w:t>
      </w:r>
      <w:r w:rsidR="00190923" w:rsidRPr="00981405">
        <w:t xml:space="preserve"> </w:t>
      </w:r>
      <w:r w:rsidRPr="00981405">
        <w:t>an</w:t>
      </w:r>
      <w:r w:rsidR="00190923" w:rsidRPr="00981405">
        <w:t xml:space="preserve"> </w:t>
      </w:r>
      <w:r w:rsidRPr="00981405">
        <w:t>attack</w:t>
      </w:r>
      <w:r w:rsidR="00190923" w:rsidRPr="00981405">
        <w:t xml:space="preserve"> </w:t>
      </w:r>
      <w:r w:rsidRPr="00981405">
        <w:t>upon</w:t>
      </w:r>
      <w:r w:rsidR="00190923" w:rsidRPr="00981405">
        <w:t xml:space="preserve"> </w:t>
      </w:r>
      <w:r w:rsidRPr="00981405">
        <w:t>multiple</w:t>
      </w:r>
      <w:r w:rsidR="00190923" w:rsidRPr="00981405">
        <w:t xml:space="preserve"> </w:t>
      </w:r>
      <w:r w:rsidRPr="00981405">
        <w:t>victims.</w:t>
      </w:r>
      <w:r w:rsidRPr="00981405">
        <w:rPr>
          <w:rStyle w:val="FootnoteReference"/>
        </w:rPr>
        <w:footnoteReference w:id="164"/>
      </w:r>
      <w:r w:rsidR="00190923" w:rsidRPr="00981405">
        <w:t xml:space="preserve"> </w:t>
      </w:r>
      <w:r w:rsidRPr="00981405">
        <w:t>As</w:t>
      </w:r>
      <w:r w:rsidR="00190923" w:rsidRPr="00981405">
        <w:t xml:space="preserve"> </w:t>
      </w:r>
      <w:r w:rsidRPr="00981405">
        <w:t>the</w:t>
      </w:r>
      <w:r w:rsidR="00190923" w:rsidRPr="00981405">
        <w:t xml:space="preserve"> </w:t>
      </w:r>
      <w:r w:rsidRPr="00981405">
        <w:t>ICTY</w:t>
      </w:r>
      <w:r w:rsidR="00190923" w:rsidRPr="00981405">
        <w:t xml:space="preserve"> </w:t>
      </w:r>
      <w:r w:rsidRPr="00981405">
        <w:t>Trial</w:t>
      </w:r>
      <w:r w:rsidR="00190923" w:rsidRPr="00981405">
        <w:t xml:space="preserve"> </w:t>
      </w:r>
      <w:r w:rsidRPr="00981405">
        <w:t>Chamber</w:t>
      </w:r>
      <w:r w:rsidR="00190923" w:rsidRPr="00981405">
        <w:t xml:space="preserve"> </w:t>
      </w:r>
      <w:r w:rsidRPr="00981405">
        <w:t>noted</w:t>
      </w:r>
      <w:r w:rsidR="00190923" w:rsidRPr="00981405">
        <w:t xml:space="preserve"> </w:t>
      </w:r>
      <w:r w:rsidRPr="00981405">
        <w:t>in</w:t>
      </w:r>
      <w:r w:rsidR="00190923" w:rsidRPr="00981405">
        <w:t xml:space="preserve"> </w:t>
      </w:r>
      <w:r w:rsidRPr="00D97463">
        <w:rPr>
          <w:i/>
          <w:iCs/>
        </w:rPr>
        <w:t>Gotovina</w:t>
      </w:r>
      <w:r w:rsidRPr="00981405">
        <w:t>,</w:t>
      </w:r>
      <w:r w:rsidR="00190923" w:rsidRPr="00981405">
        <w:t xml:space="preserve"> </w:t>
      </w:r>
      <w:r w:rsidRPr="00981405">
        <w:t>the</w:t>
      </w:r>
      <w:r w:rsidR="00190923" w:rsidRPr="00981405">
        <w:t xml:space="preserve"> </w:t>
      </w:r>
      <w:r w:rsidRPr="00981405">
        <w:t>concept</w:t>
      </w:r>
      <w:r w:rsidR="00190923" w:rsidRPr="00981405">
        <w:t xml:space="preserve"> </w:t>
      </w:r>
      <w:r w:rsidRPr="00981405">
        <w:t>means</w:t>
      </w:r>
      <w:r w:rsidR="00190923" w:rsidRPr="00981405">
        <w:t xml:space="preserve"> </w:t>
      </w:r>
      <w:r w:rsidRPr="00981405">
        <w:t>that</w:t>
      </w:r>
      <w:r w:rsidR="00190923" w:rsidRPr="00981405">
        <w:t xml:space="preserve"> </w:t>
      </w:r>
      <w:r w:rsidRPr="00981405">
        <w:t>the</w:t>
      </w:r>
      <w:r w:rsidR="00190923" w:rsidRPr="00981405">
        <w:t xml:space="preserve"> </w:t>
      </w:r>
      <w:r w:rsidRPr="00981405">
        <w:t>attack</w:t>
      </w:r>
      <w:r w:rsidR="00190923" w:rsidRPr="00981405">
        <w:t xml:space="preserve"> </w:t>
      </w:r>
      <w:r w:rsidRPr="00981405">
        <w:t>is</w:t>
      </w:r>
      <w:r w:rsidR="00190923" w:rsidRPr="00981405">
        <w:t xml:space="preserve"> </w:t>
      </w:r>
      <w:r w:rsidRPr="00981405">
        <w:t>upon</w:t>
      </w:r>
      <w:r w:rsidR="00190923" w:rsidRPr="00981405">
        <w:t xml:space="preserve"> </w:t>
      </w:r>
      <w:r w:rsidRPr="00981405">
        <w:t>more</w:t>
      </w:r>
      <w:r w:rsidR="00190923" w:rsidRPr="00981405">
        <w:t xml:space="preserve"> </w:t>
      </w:r>
      <w:r w:rsidRPr="00981405">
        <w:t>than</w:t>
      </w:r>
      <w:r w:rsidR="00190923" w:rsidRPr="00981405">
        <w:t xml:space="preserve"> </w:t>
      </w:r>
      <w:r w:rsidRPr="00981405">
        <w:t>just</w:t>
      </w:r>
      <w:r w:rsidR="00190923" w:rsidRPr="00981405">
        <w:t xml:space="preserve"> </w:t>
      </w:r>
      <w:r w:rsidR="00B92E2C" w:rsidRPr="00981405">
        <w:t>“</w:t>
      </w:r>
      <w:r w:rsidRPr="00981405">
        <w:t>a</w:t>
      </w:r>
      <w:r w:rsidR="00190923" w:rsidRPr="00981405">
        <w:t xml:space="preserve"> </w:t>
      </w:r>
      <w:r w:rsidRPr="00981405">
        <w:t>limited</w:t>
      </w:r>
      <w:r w:rsidR="00190923" w:rsidRPr="00981405">
        <w:t xml:space="preserve"> </w:t>
      </w:r>
      <w:r w:rsidRPr="00981405">
        <w:t>and</w:t>
      </w:r>
      <w:r w:rsidR="00190923" w:rsidRPr="00981405">
        <w:t xml:space="preserve"> </w:t>
      </w:r>
      <w:r w:rsidRPr="00981405">
        <w:t>randomly</w:t>
      </w:r>
      <w:r w:rsidR="00190923" w:rsidRPr="00981405">
        <w:t xml:space="preserve"> </w:t>
      </w:r>
      <w:r w:rsidRPr="00981405">
        <w:t>selected</w:t>
      </w:r>
      <w:r w:rsidR="00190923" w:rsidRPr="00981405">
        <w:t xml:space="preserve"> </w:t>
      </w:r>
      <w:r w:rsidRPr="00981405">
        <w:t>number</w:t>
      </w:r>
      <w:r w:rsidR="00190923" w:rsidRPr="00981405">
        <w:t xml:space="preserve"> </w:t>
      </w:r>
      <w:r w:rsidRPr="00981405">
        <w:t>of</w:t>
      </w:r>
      <w:r w:rsidR="00190923" w:rsidRPr="00981405">
        <w:t xml:space="preserve"> </w:t>
      </w:r>
      <w:r w:rsidRPr="00981405">
        <w:t>individuals.</w:t>
      </w:r>
      <w:bookmarkStart w:id="85" w:name="_Ref340059610"/>
      <w:r w:rsidR="00B92E2C" w:rsidRPr="00981405">
        <w:t>”</w:t>
      </w:r>
      <w:r w:rsidRPr="00981405">
        <w:rPr>
          <w:rStyle w:val="FootnoteReference"/>
        </w:rPr>
        <w:footnoteReference w:id="165"/>
      </w:r>
      <w:bookmarkEnd w:id="85"/>
      <w:r w:rsidR="00190923" w:rsidRPr="00981405">
        <w:t xml:space="preserve"> </w:t>
      </w:r>
      <w:r w:rsidRPr="00981405">
        <w:t>ICC</w:t>
      </w:r>
      <w:r w:rsidR="00190923" w:rsidRPr="00981405">
        <w:t xml:space="preserve"> </w:t>
      </w:r>
      <w:r w:rsidRPr="00981405">
        <w:t>decisions</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Bemba</w:t>
      </w:r>
      <w:r w:rsidR="00190923" w:rsidRPr="00981405">
        <w:t xml:space="preserve"> </w:t>
      </w:r>
      <w:r w:rsidRPr="00D97463">
        <w:rPr>
          <w:i/>
          <w:iCs/>
        </w:rPr>
        <w:t>case</w:t>
      </w:r>
      <w:r w:rsidR="00190923" w:rsidRPr="00981405">
        <w:t xml:space="preserve"> </w:t>
      </w:r>
      <w:r w:rsidRPr="00981405">
        <w:t>and</w:t>
      </w:r>
      <w:r w:rsidR="00190923" w:rsidRPr="00981405">
        <w:t xml:space="preserve"> </w:t>
      </w:r>
      <w:r w:rsidRPr="00981405">
        <w:t>the</w:t>
      </w:r>
      <w:r w:rsidR="00190923" w:rsidRPr="00981405">
        <w:t xml:space="preserve"> </w:t>
      </w:r>
      <w:r w:rsidRPr="00D97463">
        <w:rPr>
          <w:i/>
          <w:iCs/>
        </w:rPr>
        <w:t>Kenya</w:t>
      </w:r>
      <w:r w:rsidR="00190923" w:rsidRPr="00981405">
        <w:rPr>
          <w:i/>
          <w:iCs/>
        </w:rPr>
        <w:t xml:space="preserve"> </w:t>
      </w:r>
      <w:r w:rsidRPr="00D97463">
        <w:rPr>
          <w:i/>
          <w:iCs/>
        </w:rPr>
        <w:t>Authorization</w:t>
      </w:r>
      <w:r w:rsidR="00190923" w:rsidRPr="00981405">
        <w:rPr>
          <w:i/>
          <w:iCs/>
        </w:rPr>
        <w:t xml:space="preserve"> </w:t>
      </w:r>
      <w:r w:rsidRPr="00D97463">
        <w:rPr>
          <w:i/>
          <w:iCs/>
        </w:rPr>
        <w:t>Decision</w:t>
      </w:r>
      <w:r w:rsidR="00190923" w:rsidRPr="00981405">
        <w:rPr>
          <w:i/>
          <w:iCs/>
        </w:rPr>
        <w:t xml:space="preserve"> </w:t>
      </w:r>
      <w:r w:rsidRPr="00D97463">
        <w:rPr>
          <w:i/>
          <w:iCs/>
        </w:rPr>
        <w:t>2010</w:t>
      </w:r>
      <w:r w:rsidR="00190923" w:rsidRPr="00981405">
        <w:t xml:space="preserve"> </w:t>
      </w:r>
      <w:r w:rsidRPr="00981405">
        <w:t>have</w:t>
      </w:r>
      <w:r w:rsidR="00190923" w:rsidRPr="00981405">
        <w:t xml:space="preserve"> </w:t>
      </w:r>
      <w:r w:rsidRPr="00981405">
        <w:t>adopted</w:t>
      </w:r>
      <w:r w:rsidR="00190923" w:rsidRPr="00981405">
        <w:t xml:space="preserve"> </w:t>
      </w:r>
      <w:r w:rsidRPr="00981405">
        <w:t>a</w:t>
      </w:r>
      <w:r w:rsidR="00190923" w:rsidRPr="00981405">
        <w:t xml:space="preserve"> </w:t>
      </w:r>
      <w:r w:rsidRPr="00981405">
        <w:t>similar</w:t>
      </w:r>
      <w:r w:rsidR="00190923" w:rsidRPr="00981405">
        <w:t xml:space="preserve"> </w:t>
      </w:r>
      <w:r w:rsidRPr="00981405">
        <w:t>approach,</w:t>
      </w:r>
      <w:r w:rsidR="00190923" w:rsidRPr="00981405">
        <w:t xml:space="preserve"> </w:t>
      </w:r>
      <w:r w:rsidRPr="00981405">
        <w:t>declaring</w:t>
      </w:r>
      <w:r w:rsidR="00190923" w:rsidRPr="00981405">
        <w:t xml:space="preserve"> </w:t>
      </w:r>
      <w:r w:rsidRPr="00981405">
        <w:t>that</w:t>
      </w:r>
      <w:r w:rsidR="00190923" w:rsidRPr="00981405">
        <w:t xml:space="preserve"> </w:t>
      </w:r>
      <w:r w:rsidRPr="00981405">
        <w:t>the</w:t>
      </w:r>
      <w:r w:rsidR="00190923" w:rsidRPr="00981405">
        <w:t xml:space="preserve"> </w:t>
      </w:r>
      <w:r w:rsidRPr="00981405">
        <w:t>Prosecutor</w:t>
      </w:r>
      <w:r w:rsidR="00190923" w:rsidRPr="00981405">
        <w:t xml:space="preserve"> </w:t>
      </w:r>
      <w:r w:rsidRPr="00981405">
        <w:t>must</w:t>
      </w:r>
      <w:r w:rsidR="00190923" w:rsidRPr="00981405">
        <w:t xml:space="preserve"> </w:t>
      </w:r>
      <w:r w:rsidRPr="00981405">
        <w:t>establish</w:t>
      </w:r>
      <w:r w:rsidR="00190923" w:rsidRPr="00981405">
        <w:t xml:space="preserve"> </w:t>
      </w:r>
      <w:r w:rsidRPr="00981405">
        <w:t>that</w:t>
      </w:r>
      <w:r w:rsidR="00190923" w:rsidRPr="00981405">
        <w:t xml:space="preserve"> </w:t>
      </w:r>
      <w:r w:rsidRPr="00981405">
        <w:t>the</w:t>
      </w:r>
      <w:r w:rsidR="00190923" w:rsidRPr="00981405">
        <w:t xml:space="preserve"> </w:t>
      </w:r>
      <w:r w:rsidRPr="00981405">
        <w:t>attack</w:t>
      </w:r>
      <w:r w:rsidR="00190923" w:rsidRPr="00981405">
        <w:t xml:space="preserve"> </w:t>
      </w:r>
      <w:r w:rsidRPr="00981405">
        <w:t>was</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more</w:t>
      </w:r>
      <w:r w:rsidR="00190923" w:rsidRPr="00981405">
        <w:t xml:space="preserve"> </w:t>
      </w:r>
      <w:r w:rsidRPr="00981405">
        <w:t>than</w:t>
      </w:r>
      <w:r w:rsidR="00190923" w:rsidRPr="00981405">
        <w:t xml:space="preserve"> </w:t>
      </w:r>
      <w:r w:rsidRPr="00981405">
        <w:t>just</w:t>
      </w:r>
      <w:r w:rsidR="00190923" w:rsidRPr="00981405">
        <w:t xml:space="preserve"> </w:t>
      </w:r>
      <w:r w:rsidRPr="00981405">
        <w:t>a</w:t>
      </w:r>
      <w:r w:rsidR="00190923" w:rsidRPr="00981405">
        <w:t xml:space="preserve"> </w:t>
      </w:r>
      <w:r w:rsidRPr="00981405">
        <w:t>limited</w:t>
      </w:r>
      <w:r w:rsidR="00190923" w:rsidRPr="00981405">
        <w:t xml:space="preserve"> </w:t>
      </w:r>
      <w:r w:rsidRPr="00981405">
        <w:t>group</w:t>
      </w:r>
      <w:r w:rsidR="00190923" w:rsidRPr="00981405">
        <w:t xml:space="preserve"> </w:t>
      </w:r>
      <w:r w:rsidRPr="00981405">
        <w:t>of</w:t>
      </w:r>
      <w:r w:rsidR="00190923" w:rsidRPr="00981405">
        <w:t xml:space="preserve"> </w:t>
      </w:r>
      <w:r w:rsidRPr="00981405">
        <w:t>individuals.</w:t>
      </w:r>
      <w:r w:rsidRPr="00981405">
        <w:rPr>
          <w:rStyle w:val="FootnoteReference"/>
        </w:rPr>
        <w:footnoteReference w:id="166"/>
      </w:r>
    </w:p>
    <w:p w:rsidR="00397032" w:rsidRPr="00981405" w:rsidRDefault="00397032" w:rsidP="00D97463">
      <w:pPr>
        <w:pStyle w:val="SingleTxt"/>
      </w:pPr>
      <w:r w:rsidRPr="00981405">
        <w:t>(21)</w:t>
      </w:r>
      <w:r w:rsidRPr="00981405">
        <w:tab/>
        <w:t>The</w:t>
      </w:r>
      <w:r w:rsidR="00190923" w:rsidRPr="00981405">
        <w:t xml:space="preserve"> </w:t>
      </w:r>
      <w:r w:rsidRPr="00981405">
        <w:t>first</w:t>
      </w:r>
      <w:r w:rsidR="00190923" w:rsidRPr="00981405">
        <w:t xml:space="preserve"> </w:t>
      </w:r>
      <w:r w:rsidRPr="00981405">
        <w:t>part</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2</w:t>
      </w:r>
      <w:r w:rsidR="00190923" w:rsidRPr="00981405">
        <w:t xml:space="preserve"> </w:t>
      </w:r>
      <w:r w:rsidRPr="00981405">
        <w:t>(a),</w:t>
      </w:r>
      <w:r w:rsidR="00190923" w:rsidRPr="00981405">
        <w:t xml:space="preserve"> </w:t>
      </w:r>
      <w:r w:rsidRPr="00981405">
        <w:t>refers</w:t>
      </w:r>
      <w:r w:rsidR="00190923" w:rsidRPr="00981405">
        <w:t xml:space="preserve"> </w:t>
      </w:r>
      <w:r w:rsidRPr="00981405">
        <w:t>to</w:t>
      </w:r>
      <w:r w:rsidR="00190923" w:rsidRPr="00981405">
        <w:t xml:space="preserve"> </w:t>
      </w:r>
      <w:r w:rsidR="00B92E2C" w:rsidRPr="00981405">
        <w:t>“</w:t>
      </w:r>
      <w:r w:rsidRPr="00981405">
        <w:t>a</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Although</w:t>
      </w:r>
      <w:r w:rsidR="00190923" w:rsidRPr="00981405">
        <w:t xml:space="preserve"> </w:t>
      </w:r>
      <w:r w:rsidRPr="00981405">
        <w:t>no</w:t>
      </w:r>
      <w:r w:rsidR="00190923" w:rsidRPr="00981405">
        <w:t xml:space="preserve"> </w:t>
      </w:r>
      <w:r w:rsidRPr="00981405">
        <w:t>such</w:t>
      </w:r>
      <w:r w:rsidR="00190923" w:rsidRPr="00981405">
        <w:t xml:space="preserve"> </w:t>
      </w:r>
      <w:r w:rsidRPr="00981405">
        <w:t>language</w:t>
      </w:r>
      <w:r w:rsidR="00190923" w:rsidRPr="00981405">
        <w:t xml:space="preserve"> </w:t>
      </w:r>
      <w:r w:rsidRPr="00981405">
        <w:t>was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statutory</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for</w:t>
      </w:r>
      <w:r w:rsidR="00190923" w:rsidRPr="00981405">
        <w:t xml:space="preserve"> </w:t>
      </w:r>
      <w:r w:rsidRPr="00981405">
        <w:t>the</w:t>
      </w:r>
      <w:r w:rsidR="00190923" w:rsidRPr="00981405">
        <w:t xml:space="preserve"> </w:t>
      </w:r>
      <w:r w:rsidRPr="00981405">
        <w:t>ICTY</w:t>
      </w:r>
      <w:r w:rsidR="00190923" w:rsidRPr="00981405">
        <w:t xml:space="preserve"> </w:t>
      </w:r>
      <w:r w:rsidRPr="00981405">
        <w:t>and</w:t>
      </w:r>
      <w:r w:rsidR="00190923" w:rsidRPr="00981405">
        <w:t xml:space="preserve"> </w:t>
      </w:r>
      <w:r w:rsidRPr="00981405">
        <w:t>ICTR,</w:t>
      </w:r>
      <w:r w:rsidR="00190923" w:rsidRPr="00981405">
        <w:t xml:space="preserve"> </w:t>
      </w:r>
      <w:r w:rsidRPr="00981405">
        <w:t>this</w:t>
      </w:r>
      <w:r w:rsidR="00190923" w:rsidRPr="00981405">
        <w:t xml:space="preserve"> </w:t>
      </w:r>
      <w:r w:rsidRPr="00981405">
        <w:t>language</w:t>
      </w:r>
      <w:r w:rsidR="00190923" w:rsidRPr="00981405">
        <w:t xml:space="preserve"> </w:t>
      </w:r>
      <w:r w:rsidRPr="00981405">
        <w:t>reflects</w:t>
      </w:r>
      <w:r w:rsidR="00190923" w:rsidRPr="00981405">
        <w:t xml:space="preserve"> </w:t>
      </w:r>
      <w:r w:rsidRPr="00981405">
        <w:t>jurisprudence</w:t>
      </w:r>
      <w:r w:rsidR="00190923" w:rsidRPr="00981405">
        <w:t xml:space="preserve"> </w:t>
      </w:r>
      <w:r w:rsidRPr="00981405">
        <w:t>from</w:t>
      </w:r>
      <w:r w:rsidR="00190923" w:rsidRPr="00981405">
        <w:t xml:space="preserve"> </w:t>
      </w:r>
      <w:r w:rsidRPr="00981405">
        <w:t>both</w:t>
      </w:r>
      <w:r w:rsidR="00190923" w:rsidRPr="00981405">
        <w:t xml:space="preserve"> </w:t>
      </w:r>
      <w:r w:rsidRPr="00981405">
        <w:t>these</w:t>
      </w:r>
      <w:r w:rsidR="00190923" w:rsidRPr="00981405">
        <w:t xml:space="preserve"> </w:t>
      </w:r>
      <w:r w:rsidRPr="00981405">
        <w:t>tribunals,</w:t>
      </w:r>
      <w:r w:rsidRPr="00981405">
        <w:rPr>
          <w:rStyle w:val="FootnoteReference"/>
        </w:rPr>
        <w:footnoteReference w:id="167"/>
      </w:r>
      <w:r w:rsidR="00190923" w:rsidRPr="00981405">
        <w:t xml:space="preserve"> </w:t>
      </w:r>
      <w:r w:rsidRPr="00981405">
        <w:t>and</w:t>
      </w:r>
      <w:r w:rsidR="00190923" w:rsidRPr="00981405">
        <w:t xml:space="preserve"> </w:t>
      </w:r>
      <w:r w:rsidRPr="00981405">
        <w:t>was</w:t>
      </w:r>
      <w:r w:rsidR="00190923" w:rsidRPr="00981405">
        <w:t xml:space="preserve"> </w:t>
      </w:r>
      <w:r w:rsidRPr="00981405">
        <w:t>expressly</w:t>
      </w:r>
      <w:r w:rsidR="00190923" w:rsidRPr="00981405">
        <w:t xml:space="preserve"> </w:t>
      </w:r>
      <w:r w:rsidRPr="00981405">
        <w:t>stated</w:t>
      </w:r>
      <w:r w:rsidR="00190923" w:rsidRPr="00981405">
        <w:t xml:space="preserve"> </w:t>
      </w:r>
      <w:r w:rsidRPr="00981405">
        <w:t>in</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2</w:t>
      </w:r>
      <w:r w:rsidR="00190923" w:rsidRPr="00981405">
        <w:t xml:space="preserve"> </w:t>
      </w:r>
      <w:r w:rsidRPr="00981405">
        <w:t>(a).</w:t>
      </w:r>
      <w:r w:rsidR="00190923" w:rsidRPr="00981405">
        <w:t xml:space="preserve"> </w:t>
      </w:r>
      <w:r w:rsidRPr="00981405">
        <w:t>The</w:t>
      </w:r>
      <w:r w:rsidR="00190923" w:rsidRPr="00981405">
        <w:t xml:space="preserve"> </w:t>
      </w:r>
      <w:r w:rsidRPr="00981405">
        <w:t>Elements</w:t>
      </w:r>
      <w:r w:rsidR="00190923" w:rsidRPr="00981405">
        <w:t xml:space="preserve"> </w:t>
      </w:r>
      <w:r w:rsidRPr="00981405">
        <w:t>of</w:t>
      </w:r>
      <w:r w:rsidR="00190923" w:rsidRPr="00981405">
        <w:t xml:space="preserve"> </w:t>
      </w:r>
      <w:r w:rsidRPr="00981405">
        <w:t>Crimes</w:t>
      </w:r>
      <w:r w:rsidR="00190923" w:rsidRPr="00981405">
        <w:t xml:space="preserve"> </w:t>
      </w:r>
      <w:r w:rsidRPr="00981405">
        <w:t>under</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provides</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acts</w:t>
      </w:r>
      <w:r w:rsidR="00B92E2C" w:rsidRPr="00981405">
        <w:t>”</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2</w:t>
      </w:r>
      <w:r w:rsidR="00190923" w:rsidRPr="00981405">
        <w:t xml:space="preserve"> </w:t>
      </w:r>
      <w:r w:rsidRPr="00981405">
        <w:t>(a)</w:t>
      </w:r>
      <w:r w:rsidR="00190923" w:rsidRPr="00981405">
        <w:t xml:space="preserve"> </w:t>
      </w:r>
      <w:r w:rsidR="00B92E2C" w:rsidRPr="00981405">
        <w:t>“</w:t>
      </w:r>
      <w:r w:rsidRPr="00981405">
        <w:t>need</w:t>
      </w:r>
      <w:r w:rsidR="00190923" w:rsidRPr="00981405">
        <w:t xml:space="preserve"> </w:t>
      </w:r>
      <w:r w:rsidRPr="00981405">
        <w:t>not</w:t>
      </w:r>
      <w:r w:rsidR="00190923" w:rsidRPr="00981405">
        <w:t xml:space="preserve"> </w:t>
      </w:r>
      <w:r w:rsidRPr="00981405">
        <w:t>constitute</w:t>
      </w:r>
      <w:r w:rsidR="00190923" w:rsidRPr="00981405">
        <w:t xml:space="preserve"> </w:t>
      </w:r>
      <w:r w:rsidRPr="00981405">
        <w:t>a</w:t>
      </w:r>
      <w:r w:rsidR="00190923" w:rsidRPr="00981405">
        <w:t xml:space="preserve"> </w:t>
      </w:r>
      <w:r w:rsidRPr="00981405">
        <w:t>military</w:t>
      </w:r>
      <w:r w:rsidR="00190923" w:rsidRPr="00981405">
        <w:t xml:space="preserve"> </w:t>
      </w:r>
      <w:r w:rsidRPr="00981405">
        <w:t>attack.</w:t>
      </w:r>
      <w:bookmarkStart w:id="86" w:name="_Ref216072849"/>
      <w:r w:rsidR="00B92E2C" w:rsidRPr="00981405">
        <w:t>”</w:t>
      </w:r>
      <w:r w:rsidRPr="00981405">
        <w:rPr>
          <w:rStyle w:val="FootnoteReference"/>
        </w:rPr>
        <w:footnoteReference w:id="168"/>
      </w:r>
      <w:bookmarkEnd w:id="86"/>
      <w:r w:rsidR="00190923" w:rsidRPr="00981405">
        <w:t xml:space="preserve"> </w:t>
      </w:r>
      <w:r w:rsidRPr="00981405">
        <w:t>The</w:t>
      </w:r>
      <w:r w:rsidR="00190923" w:rsidRPr="00981405">
        <w:t xml:space="preserve"> </w:t>
      </w:r>
      <w:r w:rsidRPr="00981405">
        <w:t>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Katanga</w:t>
      </w:r>
      <w:r w:rsidR="00190923" w:rsidRPr="00981405">
        <w:rPr>
          <w:i/>
          <w:iCs/>
        </w:rPr>
        <w:t xml:space="preserve"> </w:t>
      </w:r>
      <w:r w:rsidRPr="00981405">
        <w:t>stated</w:t>
      </w:r>
      <w:r w:rsidR="00190923" w:rsidRPr="00981405">
        <w:t xml:space="preserve"> </w:t>
      </w:r>
      <w:r w:rsidRPr="00981405">
        <w:t>that</w:t>
      </w:r>
      <w:r w:rsidR="00190923" w:rsidRPr="00981405">
        <w:t xml:space="preserve"> </w:t>
      </w:r>
      <w:r w:rsidR="00B92E2C" w:rsidRPr="00981405">
        <w:t>“</w:t>
      </w:r>
      <w:r w:rsidRPr="00981405">
        <w:t>the</w:t>
      </w:r>
      <w:r w:rsidR="00190923" w:rsidRPr="00981405">
        <w:t xml:space="preserve"> </w:t>
      </w:r>
      <w:r w:rsidRPr="00981405">
        <w:t>attack</w:t>
      </w:r>
      <w:r w:rsidR="00190923" w:rsidRPr="00981405">
        <w:t xml:space="preserve"> </w:t>
      </w:r>
      <w:r w:rsidRPr="00981405">
        <w:t>need</w:t>
      </w:r>
      <w:r w:rsidR="00190923" w:rsidRPr="00981405">
        <w:t xml:space="preserve"> </w:t>
      </w:r>
      <w:r w:rsidRPr="00981405">
        <w:t>not</w:t>
      </w:r>
      <w:r w:rsidR="00190923" w:rsidRPr="00981405">
        <w:t xml:space="preserve"> </w:t>
      </w:r>
      <w:r w:rsidRPr="00981405">
        <w:t>necessarily</w:t>
      </w:r>
      <w:r w:rsidR="00190923" w:rsidRPr="00981405">
        <w:t xml:space="preserve"> </w:t>
      </w:r>
      <w:r w:rsidRPr="00981405">
        <w:t>be</w:t>
      </w:r>
      <w:r w:rsidR="00190923" w:rsidRPr="00981405">
        <w:t xml:space="preserve"> </w:t>
      </w:r>
      <w:r w:rsidRPr="00981405">
        <w:t>military</w:t>
      </w:r>
      <w:r w:rsidR="00190923" w:rsidRPr="00981405">
        <w:t xml:space="preserve"> </w:t>
      </w:r>
      <w:r w:rsidRPr="00981405">
        <w:t>in</w:t>
      </w:r>
      <w:r w:rsidR="00190923" w:rsidRPr="00981405">
        <w:t xml:space="preserve"> </w:t>
      </w:r>
      <w:r w:rsidRPr="00981405">
        <w:t>nature</w:t>
      </w:r>
      <w:r w:rsidR="00190923" w:rsidRPr="00981405">
        <w:t xml:space="preserve"> </w:t>
      </w:r>
      <w:r w:rsidRPr="00981405">
        <w:t>and</w:t>
      </w:r>
      <w:r w:rsidR="00190923" w:rsidRPr="00981405">
        <w:t xml:space="preserve"> </w:t>
      </w:r>
      <w:r w:rsidRPr="00981405">
        <w:t>it</w:t>
      </w:r>
      <w:r w:rsidR="00190923" w:rsidRPr="00981405">
        <w:t xml:space="preserve"> </w:t>
      </w:r>
      <w:r w:rsidRPr="00981405">
        <w:t>may</w:t>
      </w:r>
      <w:r w:rsidR="00190923" w:rsidRPr="00981405">
        <w:t xml:space="preserve"> </w:t>
      </w:r>
      <w:r w:rsidRPr="00981405">
        <w:t>involve</w:t>
      </w:r>
      <w:r w:rsidR="00190923" w:rsidRPr="00981405">
        <w:t xml:space="preserve"> </w:t>
      </w:r>
      <w:r w:rsidRPr="00981405">
        <w:t>any</w:t>
      </w:r>
      <w:r w:rsidR="00190923" w:rsidRPr="00981405">
        <w:t xml:space="preserve"> </w:t>
      </w:r>
      <w:r w:rsidRPr="00981405">
        <w:t>form</w:t>
      </w:r>
      <w:r w:rsidR="00190923" w:rsidRPr="00981405">
        <w:t xml:space="preserve"> </w:t>
      </w:r>
      <w:r w:rsidRPr="00981405">
        <w:t>of</w:t>
      </w:r>
      <w:r w:rsidR="00190923" w:rsidRPr="00981405">
        <w:t xml:space="preserve"> </w:t>
      </w:r>
      <w:r w:rsidRPr="00981405">
        <w:t>violence</w:t>
      </w:r>
      <w:r w:rsidR="00190923" w:rsidRPr="00981405">
        <w:t xml:space="preserve"> </w:t>
      </w:r>
      <w:r w:rsidRPr="00981405">
        <w:t>against</w:t>
      </w:r>
      <w:r w:rsidR="00190923" w:rsidRPr="00981405">
        <w:t xml:space="preserve"> </w:t>
      </w:r>
      <w:r w:rsidRPr="00981405">
        <w:t>a</w:t>
      </w:r>
      <w:r w:rsidR="00190923" w:rsidRPr="00981405">
        <w:t xml:space="preserve"> </w:t>
      </w:r>
      <w:r w:rsidRPr="00981405">
        <w:t>civilian</w:t>
      </w:r>
      <w:r w:rsidR="00190923" w:rsidRPr="00981405">
        <w:t xml:space="preserve"> </w:t>
      </w:r>
      <w:r w:rsidRPr="00981405">
        <w:t>population.</w:t>
      </w:r>
      <w:r w:rsidR="00B92E2C" w:rsidRPr="00981405">
        <w:t>”</w:t>
      </w:r>
      <w:r w:rsidRPr="00981405">
        <w:rPr>
          <w:rStyle w:val="FootnoteReference"/>
        </w:rPr>
        <w:footnoteReference w:id="169"/>
      </w:r>
    </w:p>
    <w:p w:rsidR="00397032" w:rsidRPr="00981405" w:rsidRDefault="00397032" w:rsidP="00D97463">
      <w:pPr>
        <w:pStyle w:val="SingleTxt"/>
        <w:rPr>
          <w:rFonts w:eastAsia="Batang"/>
        </w:rPr>
      </w:pPr>
      <w:r w:rsidRPr="00981405">
        <w:t>(22)</w:t>
      </w:r>
      <w:r w:rsidRPr="00981405">
        <w:tab/>
        <w:t>The</w:t>
      </w:r>
      <w:r w:rsidR="00190923" w:rsidRPr="00981405">
        <w:t xml:space="preserve"> </w:t>
      </w:r>
      <w:r w:rsidRPr="00981405">
        <w:t>second</w:t>
      </w:r>
      <w:r w:rsidR="00190923" w:rsidRPr="00981405">
        <w:t xml:space="preserve"> </w:t>
      </w:r>
      <w:r w:rsidRPr="00981405">
        <w:t>part</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2</w:t>
      </w:r>
      <w:r w:rsidR="00190923" w:rsidRPr="00981405">
        <w:t xml:space="preserve"> </w:t>
      </w:r>
      <w:r w:rsidRPr="00981405">
        <w:t>(a),</w:t>
      </w:r>
      <w:r w:rsidR="00190923" w:rsidRPr="00981405">
        <w:t xml:space="preserve"> </w:t>
      </w:r>
      <w:r w:rsidRPr="00981405">
        <w:t>states</w:t>
      </w:r>
      <w:r w:rsidR="00190923" w:rsidRPr="00981405">
        <w:t xml:space="preserve"> </w:t>
      </w:r>
      <w:r w:rsidRPr="00981405">
        <w:t>that</w:t>
      </w:r>
      <w:r w:rsidR="00190923" w:rsidRPr="00981405">
        <w:t xml:space="preserve"> </w:t>
      </w:r>
      <w:r w:rsidRPr="00981405">
        <w:t>the</w:t>
      </w:r>
      <w:r w:rsidR="00190923" w:rsidRPr="00981405">
        <w:t xml:space="preserve"> </w:t>
      </w:r>
      <w:r w:rsidRPr="00981405">
        <w:t>attack</w:t>
      </w:r>
      <w:r w:rsidR="00190923" w:rsidRPr="00981405">
        <w:t xml:space="preserve"> </w:t>
      </w:r>
      <w:r w:rsidRPr="00981405">
        <w:t>must</w:t>
      </w:r>
      <w:r w:rsidR="00190923" w:rsidRPr="00981405">
        <w:t xml:space="preserve"> </w:t>
      </w:r>
      <w:r w:rsidRPr="00981405">
        <w:t>be</w:t>
      </w:r>
      <w:r w:rsidR="00190923" w:rsidRPr="00981405">
        <w:t xml:space="preserve"> </w:t>
      </w:r>
      <w:r w:rsidR="00B92E2C" w:rsidRPr="00981405">
        <w:t>“</w:t>
      </w:r>
      <w:r w:rsidRPr="00981405">
        <w:t>pursuant</w:t>
      </w:r>
      <w:r w:rsidR="00190923" w:rsidRPr="00981405">
        <w:t xml:space="preserve"> </w:t>
      </w:r>
      <w:r w:rsidRPr="00981405">
        <w:t>to</w:t>
      </w:r>
      <w:r w:rsidR="00190923" w:rsidRPr="00981405">
        <w:t xml:space="preserve"> </w:t>
      </w:r>
      <w:r w:rsidRPr="00981405">
        <w:t>or</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or</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an</w:t>
      </w:r>
      <w:r w:rsidR="00190923" w:rsidRPr="00981405">
        <w:t xml:space="preserve"> </w:t>
      </w:r>
      <w:r w:rsidRPr="00981405">
        <w:t>attack.</w:t>
      </w:r>
      <w:r w:rsidR="00B92E2C" w:rsidRPr="00981405">
        <w:t>”</w:t>
      </w:r>
      <w:r w:rsidR="00190923" w:rsidRPr="00981405">
        <w:t xml:space="preserve"> </w:t>
      </w:r>
      <w:r w:rsidRPr="00981405">
        <w:t>The</w:t>
      </w:r>
      <w:r w:rsidR="00190923" w:rsidRPr="00981405">
        <w:t xml:space="preserve"> </w:t>
      </w:r>
      <w:r w:rsidRPr="00981405">
        <w:t>requirement</w:t>
      </w:r>
      <w:r w:rsidR="00190923" w:rsidRPr="00981405">
        <w:t xml:space="preserve"> </w:t>
      </w:r>
      <w:r w:rsidRPr="00981405">
        <w:t>of</w:t>
      </w:r>
      <w:r w:rsidR="00190923" w:rsidRPr="00981405">
        <w:t xml:space="preserve"> </w:t>
      </w:r>
      <w:r w:rsidRPr="00981405">
        <w:t>a</w:t>
      </w:r>
      <w:r w:rsidR="00190923" w:rsidRPr="00981405">
        <w:t xml:space="preserve"> </w:t>
      </w:r>
      <w:r w:rsidR="00B92E2C" w:rsidRPr="00981405">
        <w:t>“</w:t>
      </w:r>
      <w:r w:rsidRPr="00981405">
        <w:t>policy</w:t>
      </w:r>
      <w:r w:rsidR="00B92E2C" w:rsidRPr="00981405">
        <w:t>”</w:t>
      </w:r>
      <w:r w:rsidR="00190923" w:rsidRPr="00981405">
        <w:t xml:space="preserve"> </w:t>
      </w:r>
      <w:r w:rsidRPr="00981405">
        <w:t>element</w:t>
      </w:r>
      <w:r w:rsidR="00190923" w:rsidRPr="00981405">
        <w:t xml:space="preserve"> </w:t>
      </w:r>
      <w:r w:rsidRPr="00981405">
        <w:t>did</w:t>
      </w:r>
      <w:r w:rsidR="00190923" w:rsidRPr="00981405">
        <w:t xml:space="preserve"> </w:t>
      </w:r>
      <w:r w:rsidRPr="00981405">
        <w:t>not</w:t>
      </w:r>
      <w:r w:rsidR="00190923" w:rsidRPr="00981405">
        <w:t xml:space="preserve"> </w:t>
      </w:r>
      <w:r w:rsidRPr="00981405">
        <w:t>appear</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w:t>
      </w:r>
      <w:r w:rsidR="00190923" w:rsidRPr="00981405">
        <w:t xml:space="preserve"> </w:t>
      </w:r>
      <w:r w:rsidRPr="00981405">
        <w:t>the</w:t>
      </w:r>
      <w:r w:rsidR="00190923" w:rsidRPr="00981405">
        <w:t xml:space="preserve"> </w:t>
      </w:r>
      <w:r w:rsidRPr="00981405">
        <w:t>statutes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until</w:t>
      </w:r>
      <w:r w:rsidR="00190923" w:rsidRPr="00981405">
        <w:t xml:space="preserve"> </w:t>
      </w:r>
      <w:r w:rsidRPr="00981405">
        <w:t>the</w:t>
      </w:r>
      <w:r w:rsidR="00190923" w:rsidRPr="00981405">
        <w:t xml:space="preserve"> </w:t>
      </w:r>
      <w:r w:rsidRPr="00981405">
        <w:t>adoption</w:t>
      </w:r>
      <w:r w:rsidR="00190923" w:rsidRPr="00981405">
        <w:t xml:space="preserve"> </w:t>
      </w:r>
      <w:r w:rsidRPr="00981405">
        <w:t>of</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bookmarkStart w:id="87" w:name="_Ref283133975"/>
      <w:r w:rsidRPr="00981405">
        <w:rPr>
          <w:rStyle w:val="FootnoteReference"/>
        </w:rPr>
        <w:footnoteReference w:id="170"/>
      </w:r>
      <w:bookmarkEnd w:id="87"/>
      <w:r w:rsidR="00190923" w:rsidRPr="00981405">
        <w:rPr>
          <w:rFonts w:eastAsia="Batang"/>
        </w:rPr>
        <w:t xml:space="preserve"> </w:t>
      </w:r>
      <w:r w:rsidRPr="00981405">
        <w:rPr>
          <w:rFonts w:eastAsia="Batang"/>
        </w:rPr>
        <w:t>While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ICTY</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ICTR</w:t>
      </w:r>
      <w:r w:rsidR="00190923" w:rsidRPr="00981405">
        <w:rPr>
          <w:rFonts w:eastAsia="Batang"/>
        </w:rPr>
        <w:t xml:space="preserve"> </w:t>
      </w:r>
      <w:r w:rsidRPr="00981405">
        <w:rPr>
          <w:rFonts w:eastAsia="Batang"/>
        </w:rPr>
        <w:t>Statutes</w:t>
      </w:r>
      <w:r w:rsidR="00190923" w:rsidRPr="00981405">
        <w:rPr>
          <w:rFonts w:eastAsia="Batang"/>
        </w:rPr>
        <w:t xml:space="preserve"> </w:t>
      </w:r>
      <w:r w:rsidRPr="00981405">
        <w:rPr>
          <w:rFonts w:eastAsia="Batang"/>
        </w:rPr>
        <w:t>contained</w:t>
      </w:r>
      <w:r w:rsidR="00190923" w:rsidRPr="00981405">
        <w:rPr>
          <w:rFonts w:eastAsia="Batang"/>
        </w:rPr>
        <w:t xml:space="preserve"> </w:t>
      </w:r>
      <w:r w:rsidRPr="00981405">
        <w:rPr>
          <w:rFonts w:eastAsia="Batang"/>
        </w:rPr>
        <w:t>no</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their</w:t>
      </w:r>
      <w:r w:rsidR="00190923" w:rsidRPr="00981405">
        <w:rPr>
          <w:rFonts w:eastAsia="Batang"/>
        </w:rPr>
        <w:t xml:space="preserve"> </w:t>
      </w:r>
      <w:r w:rsidRPr="00981405">
        <w:rPr>
          <w:rFonts w:eastAsia="Batang"/>
        </w:rPr>
        <w:t>definition</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humanity,</w:t>
      </w:r>
      <w:r w:rsidRPr="00981405">
        <w:rPr>
          <w:rStyle w:val="FootnoteReference"/>
        </w:rPr>
        <w:footnoteReference w:id="171"/>
      </w:r>
      <w:r w:rsidR="00190923" w:rsidRPr="00981405">
        <w:rPr>
          <w:rFonts w:eastAsia="Batang"/>
        </w:rPr>
        <w:t xml:space="preserve"> </w:t>
      </w:r>
      <w:r w:rsidRPr="00981405">
        <w:rPr>
          <w:rFonts w:eastAsia="Batang"/>
        </w:rPr>
        <w:t>some</w:t>
      </w:r>
      <w:r w:rsidR="00190923" w:rsidRPr="00981405">
        <w:rPr>
          <w:rFonts w:eastAsia="Batang"/>
        </w:rPr>
        <w:t xml:space="preserve"> </w:t>
      </w:r>
      <w:r w:rsidRPr="00981405">
        <w:rPr>
          <w:rFonts w:eastAsia="Batang"/>
        </w:rPr>
        <w:t>early</w:t>
      </w:r>
      <w:r w:rsidR="00190923" w:rsidRPr="00981405">
        <w:rPr>
          <w:rFonts w:eastAsia="Batang"/>
        </w:rPr>
        <w:t xml:space="preserve"> </w:t>
      </w:r>
      <w:r w:rsidRPr="00981405">
        <w:rPr>
          <w:rFonts w:eastAsia="Batang"/>
        </w:rPr>
        <w:lastRenderedPageBreak/>
        <w:t>jurisprudence</w:t>
      </w:r>
      <w:r w:rsidR="00190923" w:rsidRPr="00981405">
        <w:rPr>
          <w:rFonts w:eastAsia="Batang"/>
        </w:rPr>
        <w:t xml:space="preserve"> </w:t>
      </w:r>
      <w:r w:rsidRPr="00981405">
        <w:rPr>
          <w:rFonts w:eastAsia="Batang"/>
        </w:rPr>
        <w:t>required</w:t>
      </w:r>
      <w:r w:rsidR="00190923" w:rsidRPr="00981405">
        <w:rPr>
          <w:rFonts w:eastAsia="Batang"/>
        </w:rPr>
        <w:t xml:space="preserve"> </w:t>
      </w:r>
      <w:r w:rsidRPr="00981405">
        <w:rPr>
          <w:rFonts w:eastAsia="Batang"/>
        </w:rPr>
        <w:t>it.</w:t>
      </w:r>
      <w:r w:rsidRPr="00981405">
        <w:rPr>
          <w:rStyle w:val="FootnoteReference"/>
        </w:rPr>
        <w:footnoteReference w:id="172"/>
      </w:r>
      <w:r w:rsidR="00190923" w:rsidRPr="00981405">
        <w:rPr>
          <w:rFonts w:eastAsia="Batang"/>
        </w:rPr>
        <w:t xml:space="preserve"> </w:t>
      </w:r>
      <w:r w:rsidRPr="00981405">
        <w:rPr>
          <w:rFonts w:eastAsia="Batang"/>
        </w:rPr>
        <w:t>Indeed,</w:t>
      </w:r>
      <w:r w:rsidR="00190923" w:rsidRPr="00981405">
        <w:rPr>
          <w:rFonts w:eastAsia="Batang"/>
        </w:rPr>
        <w:t xml:space="preserve"> </w:t>
      </w:r>
      <w:r w:rsidRPr="00981405">
        <w:rPr>
          <w:rFonts w:eastAsia="Batang"/>
        </w:rPr>
        <w:t>the</w:t>
      </w:r>
      <w:r w:rsidR="00190923" w:rsidRPr="00981405">
        <w:rPr>
          <w:rFonts w:eastAsia="Batang"/>
        </w:rPr>
        <w:t xml:space="preserve"> </w:t>
      </w:r>
      <w:r w:rsidRPr="00D97463">
        <w:rPr>
          <w:rFonts w:eastAsia="Batang"/>
          <w:i/>
          <w:iCs/>
        </w:rPr>
        <w:t>Tadić</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provided</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important</w:t>
      </w:r>
      <w:r w:rsidR="00190923" w:rsidRPr="00981405">
        <w:rPr>
          <w:rFonts w:eastAsia="Batang"/>
        </w:rPr>
        <w:t xml:space="preserve"> </w:t>
      </w:r>
      <w:r w:rsidRPr="00981405">
        <w:rPr>
          <w:rFonts w:eastAsia="Batang"/>
        </w:rPr>
        <w:t>discussion</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early</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tenure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ICTY,</w:t>
      </w:r>
      <w:r w:rsidR="00190923" w:rsidRPr="00981405">
        <w:rPr>
          <w:rFonts w:eastAsia="Batang"/>
        </w:rPr>
        <w:t xml:space="preserve"> </w:t>
      </w:r>
      <w:r w:rsidRPr="00981405">
        <w:rPr>
          <w:rFonts w:eastAsia="Batang"/>
        </w:rPr>
        <w:t>one</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would</w:t>
      </w:r>
      <w:r w:rsidR="00190923" w:rsidRPr="00981405">
        <w:rPr>
          <w:rFonts w:eastAsia="Batang"/>
        </w:rPr>
        <w:t xml:space="preserve"> </w:t>
      </w:r>
      <w:r w:rsidRPr="00981405">
        <w:rPr>
          <w:rFonts w:eastAsia="Batang"/>
        </w:rPr>
        <w:t>later</w:t>
      </w:r>
      <w:r w:rsidR="00190923" w:rsidRPr="00981405">
        <w:rPr>
          <w:rFonts w:eastAsia="Batang"/>
        </w:rPr>
        <w:t xml:space="preserve"> </w:t>
      </w:r>
      <w:r w:rsidRPr="00981405">
        <w:rPr>
          <w:rFonts w:eastAsia="Batang"/>
        </w:rPr>
        <w:t>influence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drafting</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Rome</w:t>
      </w:r>
      <w:r w:rsidR="00190923" w:rsidRPr="00981405">
        <w:rPr>
          <w:rFonts w:eastAsia="Batang"/>
        </w:rPr>
        <w:t xml:space="preserve"> </w:t>
      </w:r>
      <w:r w:rsidRPr="00981405">
        <w:rPr>
          <w:rFonts w:eastAsia="Batang"/>
        </w:rPr>
        <w:t>Statute.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found</w:t>
      </w:r>
      <w:r w:rsidR="00190923" w:rsidRPr="00981405">
        <w:rPr>
          <w:rFonts w:eastAsia="Batang"/>
        </w:rPr>
        <w:t xml:space="preserve"> </w:t>
      </w:r>
      <w:r w:rsidRPr="00981405">
        <w:rPr>
          <w:rFonts w:eastAsia="Batang"/>
        </w:rPr>
        <w:t>that</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reason</w:t>
      </w:r>
      <w:r w:rsidR="00190923" w:rsidRPr="00981405">
        <w:t xml:space="preserve"> </w:t>
      </w:r>
      <w:r w:rsidR="00397032" w:rsidRPr="00981405">
        <w:t>that</w:t>
      </w:r>
      <w:r w:rsidR="00190923" w:rsidRPr="00981405">
        <w:t xml:space="preserve"> </w:t>
      </w:r>
      <w:r w:rsidR="00397032" w:rsidRPr="00981405">
        <w:t>crimes</w:t>
      </w:r>
      <w:r w:rsidR="00190923" w:rsidRPr="00981405">
        <w:t xml:space="preserve"> </w:t>
      </w:r>
      <w:r w:rsidR="00397032" w:rsidRPr="00981405">
        <w:t>against</w:t>
      </w:r>
      <w:r w:rsidR="00190923" w:rsidRPr="00981405">
        <w:t xml:space="preserve"> </w:t>
      </w:r>
      <w:r w:rsidR="00397032" w:rsidRPr="00981405">
        <w:t>humanity</w:t>
      </w:r>
      <w:r w:rsidR="00190923" w:rsidRPr="00981405">
        <w:t xml:space="preserve"> </w:t>
      </w:r>
      <w:r w:rsidR="00397032" w:rsidRPr="00981405">
        <w:t>so</w:t>
      </w:r>
      <w:r w:rsidR="00190923" w:rsidRPr="00981405">
        <w:t xml:space="preserve"> </w:t>
      </w:r>
      <w:r w:rsidR="00397032" w:rsidRPr="00981405">
        <w:t>shock</w:t>
      </w:r>
      <w:r w:rsidR="00190923" w:rsidRPr="00981405">
        <w:t xml:space="preserve"> </w:t>
      </w:r>
      <w:r w:rsidR="00397032" w:rsidRPr="00981405">
        <w:t>the</w:t>
      </w:r>
      <w:r w:rsidR="00190923" w:rsidRPr="00981405">
        <w:t xml:space="preserve"> </w:t>
      </w:r>
      <w:r w:rsidR="00397032" w:rsidRPr="00981405">
        <w:t>conscience</w:t>
      </w:r>
      <w:r w:rsidR="00190923" w:rsidRPr="00981405">
        <w:t xml:space="preserve"> </w:t>
      </w:r>
      <w:r w:rsidR="00397032" w:rsidRPr="00981405">
        <w:t>of</w:t>
      </w:r>
      <w:r w:rsidR="00190923" w:rsidRPr="00981405">
        <w:t xml:space="preserve"> </w:t>
      </w:r>
      <w:r w:rsidR="00397032" w:rsidRPr="00981405">
        <w:t>mankind</w:t>
      </w:r>
      <w:r w:rsidR="00190923" w:rsidRPr="00981405">
        <w:t xml:space="preserve"> </w:t>
      </w:r>
      <w:r w:rsidR="00397032" w:rsidRPr="00981405">
        <w:t>and</w:t>
      </w:r>
      <w:r w:rsidR="00190923" w:rsidRPr="00981405">
        <w:t xml:space="preserve"> </w:t>
      </w:r>
      <w:r w:rsidR="00397032" w:rsidRPr="00981405">
        <w:t>warrant</w:t>
      </w:r>
      <w:r w:rsidR="00190923" w:rsidRPr="00981405">
        <w:t xml:space="preserve"> </w:t>
      </w:r>
      <w:r w:rsidR="00397032" w:rsidRPr="00981405">
        <w:t>intervention</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international</w:t>
      </w:r>
      <w:r w:rsidR="00190923" w:rsidRPr="00981405">
        <w:t xml:space="preserve"> </w:t>
      </w:r>
      <w:r w:rsidR="00397032" w:rsidRPr="00981405">
        <w:t>community</w:t>
      </w:r>
      <w:r w:rsidR="00190923" w:rsidRPr="00981405">
        <w:t xml:space="preserve"> </w:t>
      </w:r>
      <w:r w:rsidR="00397032" w:rsidRPr="00981405">
        <w:t>is</w:t>
      </w:r>
      <w:r w:rsidR="00190923" w:rsidRPr="00981405">
        <w:t xml:space="preserve"> </w:t>
      </w:r>
      <w:r w:rsidR="00397032" w:rsidRPr="00981405">
        <w:t>because</w:t>
      </w:r>
      <w:r w:rsidR="00190923" w:rsidRPr="00981405">
        <w:t xml:space="preserve"> </w:t>
      </w:r>
      <w:r w:rsidR="00397032" w:rsidRPr="00981405">
        <w:t>they</w:t>
      </w:r>
      <w:r w:rsidR="00190923" w:rsidRPr="00981405">
        <w:t xml:space="preserve"> </w:t>
      </w:r>
      <w:r w:rsidR="00397032" w:rsidRPr="00981405">
        <w:t>are</w:t>
      </w:r>
      <w:r w:rsidR="00190923" w:rsidRPr="00981405">
        <w:t xml:space="preserve"> </w:t>
      </w:r>
      <w:r w:rsidR="00397032" w:rsidRPr="00981405">
        <w:t>not</w:t>
      </w:r>
      <w:r w:rsidR="00190923" w:rsidRPr="00981405">
        <w:t xml:space="preserve"> </w:t>
      </w:r>
      <w:r w:rsidR="00397032" w:rsidRPr="00981405">
        <w:t>isolated,</w:t>
      </w:r>
      <w:r w:rsidR="00190923" w:rsidRPr="00981405">
        <w:t xml:space="preserve"> </w:t>
      </w:r>
      <w:r w:rsidR="00397032" w:rsidRPr="00981405">
        <w:t>random</w:t>
      </w:r>
      <w:r w:rsidR="00190923" w:rsidRPr="00981405">
        <w:t xml:space="preserve"> </w:t>
      </w:r>
      <w:r w:rsidR="00397032" w:rsidRPr="00981405">
        <w:t>acts</w:t>
      </w:r>
      <w:r w:rsidR="00190923" w:rsidRPr="00981405">
        <w:t xml:space="preserve"> </w:t>
      </w:r>
      <w:r w:rsidR="00397032" w:rsidRPr="00981405">
        <w:t>of</w:t>
      </w:r>
      <w:r w:rsidR="00190923" w:rsidRPr="00981405">
        <w:t xml:space="preserve"> </w:t>
      </w:r>
      <w:r w:rsidR="00397032" w:rsidRPr="00981405">
        <w:t>individuals</w:t>
      </w:r>
      <w:r w:rsidR="00190923" w:rsidRPr="00981405">
        <w:t xml:space="preserve"> </w:t>
      </w:r>
      <w:r w:rsidR="00397032" w:rsidRPr="00981405">
        <w:t>but</w:t>
      </w:r>
      <w:r w:rsidR="00190923" w:rsidRPr="00981405">
        <w:t xml:space="preserve"> </w:t>
      </w:r>
      <w:r w:rsidR="00397032" w:rsidRPr="00981405">
        <w:t>rather</w:t>
      </w:r>
      <w:r w:rsidR="00190923" w:rsidRPr="00981405">
        <w:t xml:space="preserve"> </w:t>
      </w:r>
      <w:r w:rsidR="00397032" w:rsidRPr="00981405">
        <w:t>result</w:t>
      </w:r>
      <w:r w:rsidR="00190923" w:rsidRPr="00981405">
        <w:t xml:space="preserve"> </w:t>
      </w:r>
      <w:r w:rsidR="00397032" w:rsidRPr="00981405">
        <w:t>from</w:t>
      </w:r>
      <w:r w:rsidR="00190923" w:rsidRPr="00981405">
        <w:t xml:space="preserve"> </w:t>
      </w:r>
      <w:r w:rsidR="00397032" w:rsidRPr="00981405">
        <w:t>a</w:t>
      </w:r>
      <w:r w:rsidR="00190923" w:rsidRPr="00981405">
        <w:t xml:space="preserve"> </w:t>
      </w:r>
      <w:r w:rsidR="00397032" w:rsidRPr="00981405">
        <w:t>deliberate</w:t>
      </w:r>
      <w:r w:rsidR="00190923" w:rsidRPr="00981405">
        <w:t xml:space="preserve"> </w:t>
      </w:r>
      <w:r w:rsidR="00397032" w:rsidRPr="00981405">
        <w:t>attempt</w:t>
      </w:r>
      <w:r w:rsidR="00190923" w:rsidRPr="00981405">
        <w:t xml:space="preserve"> </w:t>
      </w:r>
      <w:r w:rsidR="00397032" w:rsidRPr="00981405">
        <w:t>to</w:t>
      </w:r>
      <w:r w:rsidR="00190923" w:rsidRPr="00981405">
        <w:t xml:space="preserve"> </w:t>
      </w:r>
      <w:r w:rsidR="00397032" w:rsidRPr="00981405">
        <w:t>target</w:t>
      </w:r>
      <w:r w:rsidR="00190923" w:rsidRPr="00981405">
        <w:t xml:space="preserve"> </w:t>
      </w:r>
      <w:r w:rsidR="00397032" w:rsidRPr="00981405">
        <w:t>a</w:t>
      </w:r>
      <w:r w:rsidR="00190923" w:rsidRPr="00981405">
        <w:t xml:space="preserve"> </w:t>
      </w:r>
      <w:r w:rsidR="00397032" w:rsidRPr="00981405">
        <w:t>civilian</w:t>
      </w:r>
      <w:r w:rsidR="00190923" w:rsidRPr="00981405">
        <w:t xml:space="preserve"> </w:t>
      </w:r>
      <w:r w:rsidR="00397032" w:rsidRPr="00981405">
        <w:t>population.</w:t>
      </w:r>
      <w:r w:rsidR="00190923" w:rsidRPr="00981405">
        <w:t xml:space="preserve"> </w:t>
      </w:r>
      <w:r w:rsidR="00397032" w:rsidRPr="00981405">
        <w:t>Traditionally</w:t>
      </w:r>
      <w:r w:rsidR="00190923" w:rsidRPr="00981405">
        <w:t xml:space="preserve"> </w:t>
      </w:r>
      <w:r w:rsidR="00397032" w:rsidRPr="00981405">
        <w:t>this</w:t>
      </w:r>
      <w:r w:rsidR="00190923" w:rsidRPr="00981405">
        <w:t xml:space="preserve"> </w:t>
      </w:r>
      <w:r w:rsidR="00397032" w:rsidRPr="00981405">
        <w:t>requirement</w:t>
      </w:r>
      <w:r w:rsidR="00190923" w:rsidRPr="00981405">
        <w:t xml:space="preserve"> </w:t>
      </w:r>
      <w:r w:rsidR="00397032" w:rsidRPr="00981405">
        <w:t>was</w:t>
      </w:r>
      <w:r w:rsidR="00190923" w:rsidRPr="00981405">
        <w:t xml:space="preserve"> </w:t>
      </w:r>
      <w:r w:rsidR="00397032" w:rsidRPr="00981405">
        <w:t>understood</w:t>
      </w:r>
      <w:r w:rsidR="00190923" w:rsidRPr="00981405">
        <w:t xml:space="preserve"> </w:t>
      </w:r>
      <w:r w:rsidR="00397032" w:rsidRPr="00981405">
        <w:t>to</w:t>
      </w:r>
      <w:r w:rsidR="00190923" w:rsidRPr="00981405">
        <w:t xml:space="preserve"> </w:t>
      </w:r>
      <w:r w:rsidR="00397032" w:rsidRPr="00981405">
        <w:t>mean</w:t>
      </w:r>
      <w:r w:rsidR="00190923" w:rsidRPr="00981405">
        <w:t xml:space="preserve"> </w:t>
      </w:r>
      <w:r w:rsidR="00397032" w:rsidRPr="00981405">
        <w:t>that</w:t>
      </w:r>
      <w:r w:rsidR="00190923" w:rsidRPr="00981405">
        <w:t xml:space="preserve"> </w:t>
      </w:r>
      <w:r w:rsidR="00397032" w:rsidRPr="00981405">
        <w:t>there</w:t>
      </w:r>
      <w:r w:rsidR="00190923" w:rsidRPr="00981405">
        <w:t xml:space="preserve"> </w:t>
      </w:r>
      <w:r w:rsidR="00397032" w:rsidRPr="00981405">
        <w:t>must</w:t>
      </w:r>
      <w:r w:rsidR="00190923" w:rsidRPr="00981405">
        <w:t xml:space="preserve"> </w:t>
      </w:r>
      <w:r w:rsidR="00397032" w:rsidRPr="00981405">
        <w:t>be</w:t>
      </w:r>
      <w:r w:rsidR="00190923" w:rsidRPr="00981405">
        <w:t xml:space="preserve"> </w:t>
      </w:r>
      <w:r w:rsidR="00397032" w:rsidRPr="00981405">
        <w:t>some</w:t>
      </w:r>
      <w:r w:rsidR="00190923" w:rsidRPr="00981405">
        <w:t xml:space="preserve"> </w:t>
      </w:r>
      <w:r w:rsidR="00397032" w:rsidRPr="00981405">
        <w:t>form</w:t>
      </w:r>
      <w:r w:rsidR="00190923" w:rsidRPr="00981405">
        <w:t xml:space="preserve"> </w:t>
      </w:r>
      <w:r w:rsidR="00397032" w:rsidRPr="00981405">
        <w:t>of</w:t>
      </w:r>
      <w:r w:rsidR="00190923" w:rsidRPr="00981405">
        <w:t xml:space="preserve"> </w:t>
      </w:r>
      <w:r w:rsidR="00397032" w:rsidRPr="00981405">
        <w:t>policy</w:t>
      </w:r>
      <w:r w:rsidR="00190923" w:rsidRPr="00981405">
        <w:t xml:space="preserve"> </w:t>
      </w:r>
      <w:r w:rsidR="00397032" w:rsidRPr="00981405">
        <w:t>to</w:t>
      </w:r>
      <w:r w:rsidR="00190923" w:rsidRPr="00981405">
        <w:t xml:space="preserve"> </w:t>
      </w:r>
      <w:r w:rsidR="00397032" w:rsidRPr="00981405">
        <w:t>commit</w:t>
      </w:r>
      <w:r w:rsidR="00190923" w:rsidRPr="00981405">
        <w:t xml:space="preserve"> </w:t>
      </w:r>
      <w:r w:rsidR="00397032" w:rsidRPr="00981405">
        <w:t>these</w:t>
      </w:r>
      <w:r w:rsidR="00190923" w:rsidRPr="00981405">
        <w:t xml:space="preserve"> </w:t>
      </w:r>
      <w:r w:rsidR="00397032" w:rsidRPr="00981405">
        <w:t>acts</w:t>
      </w:r>
      <w:r w:rsidR="00190923" w:rsidRPr="00981405">
        <w:t xml:space="preserve"> </w:t>
      </w:r>
      <w:r w:rsidR="00397032" w:rsidRPr="00981405">
        <w:t>...</w:t>
      </w:r>
      <w:r w:rsidR="00190923" w:rsidRPr="00981405">
        <w:t xml:space="preserve"> </w:t>
      </w:r>
      <w:r w:rsidR="00397032" w:rsidRPr="00981405">
        <w:t>Importantly,</w:t>
      </w:r>
      <w:r w:rsidR="00190923" w:rsidRPr="00981405">
        <w:t xml:space="preserve"> </w:t>
      </w:r>
      <w:r w:rsidR="00397032" w:rsidRPr="00981405">
        <w:t>however,</w:t>
      </w:r>
      <w:r w:rsidR="00190923" w:rsidRPr="00981405">
        <w:t xml:space="preserve"> </w:t>
      </w:r>
      <w:r w:rsidR="00397032" w:rsidRPr="00981405">
        <w:t>such</w:t>
      </w:r>
      <w:r w:rsidR="00190923" w:rsidRPr="00981405">
        <w:t xml:space="preserve"> </w:t>
      </w:r>
      <w:r w:rsidR="00397032" w:rsidRPr="00981405">
        <w:t>a</w:t>
      </w:r>
      <w:r w:rsidR="00190923" w:rsidRPr="00981405">
        <w:t xml:space="preserve"> </w:t>
      </w:r>
      <w:r w:rsidR="00397032" w:rsidRPr="00981405">
        <w:t>policy</w:t>
      </w:r>
      <w:r w:rsidR="00190923" w:rsidRPr="00981405">
        <w:t xml:space="preserve"> </w:t>
      </w:r>
      <w:r w:rsidR="00397032" w:rsidRPr="00981405">
        <w:t>need</w:t>
      </w:r>
      <w:r w:rsidR="00190923" w:rsidRPr="00981405">
        <w:t xml:space="preserve"> </w:t>
      </w:r>
      <w:r w:rsidR="00397032" w:rsidRPr="00981405">
        <w:t>not</w:t>
      </w:r>
      <w:r w:rsidR="00190923" w:rsidRPr="00981405">
        <w:t xml:space="preserve"> </w:t>
      </w:r>
      <w:r w:rsidR="00397032" w:rsidRPr="00981405">
        <w:t>be</w:t>
      </w:r>
      <w:r w:rsidR="00190923" w:rsidRPr="00981405">
        <w:t xml:space="preserve"> </w:t>
      </w:r>
      <w:r w:rsidR="00397032" w:rsidRPr="00981405">
        <w:t>formalized</w:t>
      </w:r>
      <w:r w:rsidR="00190923" w:rsidRPr="00981405">
        <w:t xml:space="preserve"> </w:t>
      </w:r>
      <w:r w:rsidR="00397032" w:rsidRPr="00981405">
        <w:t>and</w:t>
      </w:r>
      <w:r w:rsidR="00190923" w:rsidRPr="00981405">
        <w:t xml:space="preserve"> </w:t>
      </w:r>
      <w:r w:rsidR="00397032" w:rsidRPr="00981405">
        <w:t>can</w:t>
      </w:r>
      <w:r w:rsidR="00190923" w:rsidRPr="00981405">
        <w:t xml:space="preserve"> </w:t>
      </w:r>
      <w:r w:rsidR="00397032" w:rsidRPr="00981405">
        <w:t>be</w:t>
      </w:r>
      <w:r w:rsidR="00190923" w:rsidRPr="00981405">
        <w:t xml:space="preserve"> </w:t>
      </w:r>
      <w:r w:rsidR="00397032" w:rsidRPr="00981405">
        <w:t>deduced</w:t>
      </w:r>
      <w:r w:rsidR="00190923" w:rsidRPr="00981405">
        <w:t xml:space="preserve"> </w:t>
      </w:r>
      <w:r w:rsidR="00397032" w:rsidRPr="00981405">
        <w:t>from</w:t>
      </w:r>
      <w:r w:rsidR="00190923" w:rsidRPr="00981405">
        <w:t xml:space="preserve"> </w:t>
      </w:r>
      <w:r w:rsidR="00397032" w:rsidRPr="00981405">
        <w:t>the</w:t>
      </w:r>
      <w:r w:rsidR="00190923" w:rsidRPr="00981405">
        <w:t xml:space="preserve"> </w:t>
      </w:r>
      <w:r w:rsidR="00397032" w:rsidRPr="00981405">
        <w:t>way</w:t>
      </w:r>
      <w:r w:rsidR="00190923" w:rsidRPr="00981405">
        <w:t xml:space="preserve"> </w:t>
      </w:r>
      <w:r w:rsidR="00397032" w:rsidRPr="00981405">
        <w:t>in</w:t>
      </w:r>
      <w:r w:rsidR="00190923" w:rsidRPr="00981405">
        <w:t xml:space="preserve"> </w:t>
      </w:r>
      <w:r w:rsidR="00397032" w:rsidRPr="00981405">
        <w:t>which</w:t>
      </w:r>
      <w:r w:rsidR="00190923" w:rsidRPr="00981405">
        <w:t xml:space="preserve"> </w:t>
      </w:r>
      <w:r w:rsidR="00397032" w:rsidRPr="00981405">
        <w:t>the</w:t>
      </w:r>
      <w:r w:rsidR="00190923" w:rsidRPr="00981405">
        <w:t xml:space="preserve"> </w:t>
      </w:r>
      <w:r w:rsidR="00397032" w:rsidRPr="00981405">
        <w:t>acts</w:t>
      </w:r>
      <w:r w:rsidR="00190923" w:rsidRPr="00981405">
        <w:t xml:space="preserve"> </w:t>
      </w:r>
      <w:r w:rsidR="00397032" w:rsidRPr="00981405">
        <w:t>occur.</w:t>
      </w:r>
      <w:r w:rsidRPr="00981405">
        <w:t>”</w:t>
      </w:r>
      <w:r w:rsidR="00397032" w:rsidRPr="00981405">
        <w:rPr>
          <w:rStyle w:val="FootnoteReference"/>
        </w:rPr>
        <w:footnoteReference w:id="173"/>
      </w:r>
    </w:p>
    <w:p w:rsidR="00397032" w:rsidRPr="00981405" w:rsidRDefault="00397032" w:rsidP="00D97463">
      <w:pPr>
        <w:pStyle w:val="SingleTxt"/>
      </w:pPr>
      <w:r w:rsidRPr="00981405">
        <w:rPr>
          <w:rFonts w:eastAsia="Batang"/>
        </w:rPr>
        <w:t>The</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further</w:t>
      </w:r>
      <w:r w:rsidR="00190923" w:rsidRPr="00981405">
        <w:rPr>
          <w:rFonts w:eastAsia="Batang"/>
        </w:rPr>
        <w:t xml:space="preserve"> </w:t>
      </w:r>
      <w:r w:rsidRPr="00981405">
        <w:rPr>
          <w:rFonts w:eastAsia="Batang"/>
        </w:rPr>
        <w:t>noted</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because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such</w:t>
      </w:r>
      <w:r w:rsidR="00190923" w:rsidRPr="00981405">
        <w:rPr>
          <w:rFonts w:eastAsia="Batang"/>
        </w:rPr>
        <w:t xml:space="preserve"> </w:t>
      </w:r>
      <w:r w:rsidRPr="00981405">
        <w:rPr>
          <w:rFonts w:eastAsia="Batang"/>
        </w:rPr>
        <w:t>crimes</w:t>
      </w:r>
      <w:r w:rsidR="00190923" w:rsidRPr="00981405">
        <w:rPr>
          <w:rFonts w:eastAsia="Batang"/>
        </w:rPr>
        <w:t xml:space="preserve"> </w:t>
      </w:r>
      <w:r w:rsidR="00B92E2C" w:rsidRPr="00981405">
        <w:rPr>
          <w:rFonts w:eastAsia="Batang"/>
        </w:rPr>
        <w:t>“</w:t>
      </w:r>
      <w:r w:rsidRPr="00981405">
        <w:rPr>
          <w:rFonts w:eastAsia="Batang"/>
        </w:rPr>
        <w:t>cannot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work</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isolated</w:t>
      </w:r>
      <w:r w:rsidR="00190923" w:rsidRPr="00981405">
        <w:rPr>
          <w:rFonts w:eastAsia="Batang"/>
        </w:rPr>
        <w:t xml:space="preserve"> </w:t>
      </w:r>
      <w:r w:rsidRPr="00981405">
        <w:rPr>
          <w:rFonts w:eastAsia="Batang"/>
        </w:rPr>
        <w:t>individuals</w:t>
      </w:r>
      <w:r w:rsidR="00190923" w:rsidRPr="00981405">
        <w:rPr>
          <w:rFonts w:eastAsia="Batang"/>
        </w:rPr>
        <w:t xml:space="preserve"> </w:t>
      </w:r>
      <w:r w:rsidRPr="00981405">
        <w:rPr>
          <w:rFonts w:eastAsia="Batang"/>
        </w:rPr>
        <w:t>alone.</w:t>
      </w:r>
      <w:r w:rsidR="00B92E2C" w:rsidRPr="00981405">
        <w:rPr>
          <w:rFonts w:eastAsia="Batang"/>
        </w:rPr>
        <w:t>”</w:t>
      </w:r>
      <w:r w:rsidRPr="00981405">
        <w:rPr>
          <w:rStyle w:val="FootnoteReference"/>
        </w:rPr>
        <w:footnoteReference w:id="174"/>
      </w:r>
      <w:r w:rsidR="00190923" w:rsidRPr="00981405">
        <w:rPr>
          <w:rFonts w:eastAsia="Batang"/>
        </w:rPr>
        <w:t xml:space="preserve"> </w:t>
      </w:r>
      <w:r w:rsidRPr="00981405">
        <w:rPr>
          <w:rFonts w:eastAsia="Batang"/>
        </w:rPr>
        <w:t>Later</w:t>
      </w:r>
      <w:r w:rsidR="00190923" w:rsidRPr="00981405">
        <w:rPr>
          <w:rFonts w:eastAsia="Batang"/>
        </w:rPr>
        <w:t xml:space="preserve"> </w:t>
      </w:r>
      <w:r w:rsidRPr="00981405">
        <w:rPr>
          <w:rFonts w:eastAsia="Batang"/>
        </w:rPr>
        <w:t>ICTY</w:t>
      </w:r>
      <w:r w:rsidR="00190923" w:rsidRPr="00981405">
        <w:rPr>
          <w:rFonts w:eastAsia="Batang"/>
        </w:rPr>
        <w:t xml:space="preserve"> </w:t>
      </w:r>
      <w:r w:rsidRPr="00981405">
        <w:rPr>
          <w:rFonts w:eastAsia="Batang"/>
        </w:rPr>
        <w:t>jurisprudence,</w:t>
      </w:r>
      <w:r w:rsidR="00190923" w:rsidRPr="00981405">
        <w:rPr>
          <w:rFonts w:eastAsia="Batang"/>
        </w:rPr>
        <w:t xml:space="preserve"> </w:t>
      </w:r>
      <w:r w:rsidRPr="00981405">
        <w:rPr>
          <w:rFonts w:eastAsia="Batang"/>
        </w:rPr>
        <w:t>however,</w:t>
      </w:r>
      <w:r w:rsidR="00190923" w:rsidRPr="00981405">
        <w:rPr>
          <w:rFonts w:eastAsia="Batang"/>
        </w:rPr>
        <w:t xml:space="preserve"> </w:t>
      </w:r>
      <w:r w:rsidRPr="00981405">
        <w:rPr>
          <w:rFonts w:eastAsia="Batang"/>
        </w:rPr>
        <w:t>downplayed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regarding</w:t>
      </w:r>
      <w:r w:rsidR="00190923" w:rsidRPr="00981405">
        <w:rPr>
          <w:rFonts w:eastAsia="Batang"/>
        </w:rPr>
        <w:t xml:space="preserve"> </w:t>
      </w:r>
      <w:r w:rsidRPr="00981405">
        <w:rPr>
          <w:rFonts w:eastAsia="Batang"/>
        </w:rPr>
        <w:t>it</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sufficient</w:t>
      </w:r>
      <w:r w:rsidR="00190923" w:rsidRPr="00981405">
        <w:rPr>
          <w:rFonts w:eastAsia="Batang"/>
        </w:rPr>
        <w:t xml:space="preserve"> </w:t>
      </w:r>
      <w:r w:rsidRPr="00981405">
        <w:rPr>
          <w:rFonts w:eastAsia="Batang"/>
        </w:rPr>
        <w:t>simply</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prove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existence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widespread</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systematic</w:t>
      </w:r>
      <w:r w:rsidR="00190923" w:rsidRPr="00981405">
        <w:rPr>
          <w:rFonts w:eastAsia="Batang"/>
        </w:rPr>
        <w:t xml:space="preserve"> </w:t>
      </w:r>
      <w:r w:rsidRPr="00981405">
        <w:rPr>
          <w:rFonts w:eastAsia="Batang"/>
        </w:rPr>
        <w:t>attack.</w:t>
      </w:r>
      <w:bookmarkStart w:id="88" w:name="_Ref216278151"/>
      <w:r w:rsidRPr="00981405">
        <w:rPr>
          <w:rStyle w:val="FootnoteReference"/>
        </w:rPr>
        <w:footnoteReference w:id="175"/>
      </w:r>
      <w:bookmarkEnd w:id="88"/>
    </w:p>
    <w:p w:rsidR="00397032" w:rsidRPr="00981405" w:rsidRDefault="00397032" w:rsidP="00D97463">
      <w:pPr>
        <w:pStyle w:val="SingleTxt"/>
      </w:pPr>
      <w:r w:rsidRPr="00981405">
        <w:t>(23)</w:t>
      </w:r>
      <w:r w:rsidRPr="00981405">
        <w:tab/>
        <w:t>Prior</w:t>
      </w:r>
      <w:r w:rsidR="00190923" w:rsidRPr="00981405">
        <w:t xml:space="preserve"> </w:t>
      </w:r>
      <w:r w:rsidRPr="00981405">
        <w:t>to</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ILC</w:t>
      </w:r>
      <w:r w:rsidR="00190923" w:rsidRPr="00981405">
        <w:t xml:space="preserve"> </w:t>
      </w:r>
      <w:r w:rsidRPr="00981405">
        <w:t>in</w:t>
      </w:r>
      <w:r w:rsidR="00190923" w:rsidRPr="00981405">
        <w:t xml:space="preserve"> </w:t>
      </w:r>
      <w:r w:rsidRPr="00981405">
        <w:t>its</w:t>
      </w:r>
      <w:r w:rsidR="00190923" w:rsidRPr="00981405">
        <w:t xml:space="preserve"> </w:t>
      </w:r>
      <w:r w:rsidRPr="00981405">
        <w:t>draft</w:t>
      </w:r>
      <w:r w:rsidR="00190923" w:rsidRPr="00981405">
        <w:t xml:space="preserve"> </w:t>
      </w:r>
      <w:r w:rsidRPr="00981405">
        <w:t>codes</w:t>
      </w:r>
      <w:r w:rsidR="00190923" w:rsidRPr="00981405">
        <w:t xml:space="preserve"> </w:t>
      </w:r>
      <w:r w:rsidRPr="00981405">
        <w:t>tended</w:t>
      </w:r>
      <w:r w:rsidR="00190923" w:rsidRPr="00981405">
        <w:t xml:space="preserve"> </w:t>
      </w:r>
      <w:r w:rsidRPr="00981405">
        <w:t>to</w:t>
      </w:r>
      <w:r w:rsidR="00190923" w:rsidRPr="00981405">
        <w:t xml:space="preserve"> </w:t>
      </w:r>
      <w:r w:rsidRPr="00981405">
        <w:t>require</w:t>
      </w:r>
      <w:r w:rsidR="00190923" w:rsidRPr="00981405">
        <w:t xml:space="preserve"> </w:t>
      </w:r>
      <w:r w:rsidRPr="00981405">
        <w:t>a</w:t>
      </w:r>
      <w:r w:rsidR="00190923" w:rsidRPr="00981405">
        <w:t xml:space="preserve"> </w:t>
      </w:r>
      <w:r w:rsidRPr="00981405">
        <w:t>policy</w:t>
      </w:r>
      <w:r w:rsidR="00190923" w:rsidRPr="00981405">
        <w:t xml:space="preserve"> </w:t>
      </w:r>
      <w:r w:rsidRPr="00981405">
        <w:t>element.</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1954</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Offences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defined</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as:</w:t>
      </w:r>
      <w:r w:rsidR="00190923" w:rsidRPr="00981405">
        <w:t xml:space="preserve"> </w:t>
      </w:r>
      <w:r w:rsidR="00B92E2C" w:rsidRPr="00981405">
        <w:t>“</w:t>
      </w:r>
      <w:r w:rsidRPr="00981405">
        <w:t>Inhuman</w:t>
      </w:r>
      <w:r w:rsidR="00190923" w:rsidRPr="00981405">
        <w:t xml:space="preserve"> </w:t>
      </w:r>
      <w:r w:rsidRPr="00981405">
        <w:t>acts</w:t>
      </w:r>
      <w:r w:rsidR="00190923" w:rsidRPr="00981405">
        <w:t xml:space="preserve"> </w:t>
      </w:r>
      <w:r w:rsidRPr="00981405">
        <w:t>such</w:t>
      </w:r>
      <w:r w:rsidR="00190923" w:rsidRPr="00981405">
        <w:t xml:space="preserve"> </w:t>
      </w:r>
      <w:r w:rsidRPr="00981405">
        <w:t>as</w:t>
      </w:r>
      <w:r w:rsidR="00190923" w:rsidRPr="00981405">
        <w:t xml:space="preserve"> </w:t>
      </w:r>
      <w:r w:rsidRPr="00981405">
        <w:t>murder,</w:t>
      </w:r>
      <w:r w:rsidR="00190923" w:rsidRPr="00981405">
        <w:t xml:space="preserve"> </w:t>
      </w:r>
      <w:r w:rsidRPr="00981405">
        <w:t>extermination,</w:t>
      </w:r>
      <w:r w:rsidR="00190923" w:rsidRPr="00981405">
        <w:t xml:space="preserve"> </w:t>
      </w:r>
      <w:r w:rsidRPr="00981405">
        <w:t>enslavement,</w:t>
      </w:r>
      <w:r w:rsidR="00190923" w:rsidRPr="00981405">
        <w:t xml:space="preserve"> </w:t>
      </w:r>
      <w:r w:rsidRPr="00981405">
        <w:t>deportation</w:t>
      </w:r>
      <w:r w:rsidR="00190923" w:rsidRPr="00981405">
        <w:t xml:space="preserve"> </w:t>
      </w:r>
      <w:r w:rsidRPr="00981405">
        <w:t>or</w:t>
      </w:r>
      <w:r w:rsidR="00190923" w:rsidRPr="00981405">
        <w:t xml:space="preserve"> </w:t>
      </w:r>
      <w:r w:rsidRPr="00981405">
        <w:t>persecutions,</w:t>
      </w:r>
      <w:r w:rsidR="00190923" w:rsidRPr="00981405">
        <w:t xml:space="preserve"> </w:t>
      </w:r>
      <w:r w:rsidRPr="00981405">
        <w:t>committed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on</w:t>
      </w:r>
      <w:r w:rsidR="00190923" w:rsidRPr="00981405">
        <w:t xml:space="preserve"> </w:t>
      </w:r>
      <w:r w:rsidRPr="00981405">
        <w:t>social,</w:t>
      </w:r>
      <w:r w:rsidR="00190923" w:rsidRPr="00981405">
        <w:t xml:space="preserve"> </w:t>
      </w:r>
      <w:r w:rsidRPr="00981405">
        <w:t>political,</w:t>
      </w:r>
      <w:r w:rsidR="00190923" w:rsidRPr="00981405">
        <w:t xml:space="preserve"> </w:t>
      </w:r>
      <w:r w:rsidRPr="00981405">
        <w:t>racial</w:t>
      </w:r>
      <w:r w:rsidR="00190923" w:rsidRPr="00981405">
        <w:t xml:space="preserve"> </w:t>
      </w:r>
      <w:r w:rsidRPr="00981405">
        <w:t>or</w:t>
      </w:r>
      <w:r w:rsidR="00190923" w:rsidRPr="00981405">
        <w:t xml:space="preserve"> </w:t>
      </w:r>
      <w:r w:rsidRPr="00981405">
        <w:t>cultural</w:t>
      </w:r>
      <w:r w:rsidR="00190923" w:rsidRPr="00981405">
        <w:t xml:space="preserve"> </w:t>
      </w:r>
      <w:r w:rsidRPr="00981405">
        <w:t>grounds</w:t>
      </w:r>
      <w:r w:rsidR="00190923" w:rsidRPr="00981405">
        <w:t xml:space="preserve"> </w:t>
      </w:r>
      <w:r w:rsidRPr="00D97463">
        <w:rPr>
          <w:i/>
          <w:iCs/>
        </w:rPr>
        <w:t>by</w:t>
      </w:r>
      <w:r w:rsidR="00190923" w:rsidRPr="00981405">
        <w:rPr>
          <w:i/>
          <w:iCs/>
        </w:rPr>
        <w:t xml:space="preserve"> </w:t>
      </w:r>
      <w:r w:rsidRPr="00D97463">
        <w:rPr>
          <w:i/>
          <w:iCs/>
        </w:rPr>
        <w:t>the</w:t>
      </w:r>
      <w:r w:rsidR="00190923" w:rsidRPr="00981405">
        <w:rPr>
          <w:i/>
          <w:iCs/>
        </w:rPr>
        <w:t xml:space="preserve"> </w:t>
      </w:r>
      <w:r w:rsidRPr="00D97463">
        <w:rPr>
          <w:i/>
          <w:iCs/>
        </w:rPr>
        <w:t>authorities</w:t>
      </w:r>
      <w:r w:rsidR="00190923" w:rsidRPr="00981405">
        <w:rPr>
          <w:i/>
          <w:iCs/>
        </w:rPr>
        <w:t xml:space="preserve"> </w:t>
      </w:r>
      <w:r w:rsidRPr="00D97463">
        <w:rPr>
          <w:i/>
          <w:iCs/>
        </w:rPr>
        <w:t>of</w:t>
      </w:r>
      <w:r w:rsidR="00190923" w:rsidRPr="00981405">
        <w:rPr>
          <w:i/>
          <w:iCs/>
        </w:rPr>
        <w:t xml:space="preserve"> </w:t>
      </w:r>
      <w:r w:rsidRPr="00D97463">
        <w:rPr>
          <w:i/>
          <w:iCs/>
        </w:rPr>
        <w:t>a</w:t>
      </w:r>
      <w:r w:rsidR="00190923" w:rsidRPr="00981405">
        <w:rPr>
          <w:i/>
          <w:iCs/>
        </w:rPr>
        <w:t xml:space="preserve"> </w:t>
      </w:r>
      <w:r w:rsidRPr="00D97463">
        <w:rPr>
          <w:i/>
          <w:iCs/>
        </w:rPr>
        <w:t>State</w:t>
      </w:r>
      <w:r w:rsidR="00190923" w:rsidRPr="00981405">
        <w:rPr>
          <w:i/>
          <w:iCs/>
        </w:rPr>
        <w:t xml:space="preserve"> </w:t>
      </w:r>
      <w:r w:rsidRPr="00D97463">
        <w:rPr>
          <w:i/>
          <w:iCs/>
        </w:rPr>
        <w:t>or</w:t>
      </w:r>
      <w:r w:rsidR="00190923" w:rsidRPr="00981405">
        <w:rPr>
          <w:i/>
          <w:iCs/>
        </w:rPr>
        <w:t xml:space="preserve"> </w:t>
      </w:r>
      <w:r w:rsidRPr="00D97463">
        <w:rPr>
          <w:i/>
          <w:iCs/>
        </w:rPr>
        <w:t>by</w:t>
      </w:r>
      <w:r w:rsidR="00190923" w:rsidRPr="00981405">
        <w:rPr>
          <w:i/>
          <w:iCs/>
        </w:rPr>
        <w:t xml:space="preserve"> </w:t>
      </w:r>
      <w:r w:rsidRPr="00D97463">
        <w:rPr>
          <w:i/>
          <w:iCs/>
        </w:rPr>
        <w:t>private</w:t>
      </w:r>
      <w:r w:rsidR="00190923" w:rsidRPr="00981405">
        <w:rPr>
          <w:i/>
          <w:iCs/>
        </w:rPr>
        <w:t xml:space="preserve"> </w:t>
      </w:r>
      <w:r w:rsidRPr="00D97463">
        <w:rPr>
          <w:i/>
          <w:iCs/>
        </w:rPr>
        <w:t>individuals</w:t>
      </w:r>
      <w:r w:rsidR="00190923" w:rsidRPr="00981405">
        <w:rPr>
          <w:i/>
          <w:iCs/>
        </w:rPr>
        <w:t xml:space="preserve"> </w:t>
      </w:r>
      <w:r w:rsidRPr="00D97463">
        <w:rPr>
          <w:i/>
          <w:iCs/>
        </w:rPr>
        <w:t>acting</w:t>
      </w:r>
      <w:r w:rsidR="00190923" w:rsidRPr="00981405">
        <w:rPr>
          <w:i/>
          <w:iCs/>
        </w:rPr>
        <w:t xml:space="preserve"> </w:t>
      </w:r>
      <w:r w:rsidRPr="00D97463">
        <w:rPr>
          <w:i/>
          <w:iCs/>
        </w:rPr>
        <w:t>at</w:t>
      </w:r>
      <w:r w:rsidR="00190923" w:rsidRPr="00981405">
        <w:rPr>
          <w:i/>
          <w:iCs/>
        </w:rPr>
        <w:t xml:space="preserve"> </w:t>
      </w:r>
      <w:r w:rsidRPr="00D97463">
        <w:rPr>
          <w:i/>
          <w:iCs/>
        </w:rPr>
        <w:t>the</w:t>
      </w:r>
      <w:r w:rsidR="00190923" w:rsidRPr="00981405">
        <w:rPr>
          <w:i/>
          <w:iCs/>
        </w:rPr>
        <w:t xml:space="preserve"> </w:t>
      </w:r>
      <w:r w:rsidRPr="00D97463">
        <w:rPr>
          <w:i/>
          <w:iCs/>
        </w:rPr>
        <w:t>instigation</w:t>
      </w:r>
      <w:r w:rsidR="00190923" w:rsidRPr="00981405">
        <w:rPr>
          <w:i/>
          <w:iCs/>
        </w:rPr>
        <w:t xml:space="preserve"> </w:t>
      </w:r>
      <w:r w:rsidRPr="00D97463">
        <w:rPr>
          <w:i/>
          <w:iCs/>
        </w:rPr>
        <w:t>or</w:t>
      </w:r>
      <w:r w:rsidR="00190923" w:rsidRPr="00981405">
        <w:rPr>
          <w:i/>
          <w:iCs/>
        </w:rPr>
        <w:t xml:space="preserve"> </w:t>
      </w:r>
      <w:r w:rsidRPr="00D97463">
        <w:rPr>
          <w:i/>
          <w:iCs/>
        </w:rPr>
        <w:t>with</w:t>
      </w:r>
      <w:r w:rsidR="00190923" w:rsidRPr="00981405">
        <w:rPr>
          <w:i/>
          <w:iCs/>
        </w:rPr>
        <w:t xml:space="preserve"> </w:t>
      </w:r>
      <w:r w:rsidRPr="00D97463">
        <w:rPr>
          <w:i/>
          <w:iCs/>
        </w:rPr>
        <w:t>the</w:t>
      </w:r>
      <w:r w:rsidR="00190923" w:rsidRPr="00981405">
        <w:rPr>
          <w:i/>
          <w:iCs/>
        </w:rPr>
        <w:t xml:space="preserve"> </w:t>
      </w:r>
      <w:r w:rsidRPr="00D97463">
        <w:rPr>
          <w:i/>
          <w:iCs/>
        </w:rPr>
        <w:t>toleration</w:t>
      </w:r>
      <w:r w:rsidR="00190923" w:rsidRPr="00981405">
        <w:rPr>
          <w:i/>
          <w:iCs/>
        </w:rPr>
        <w:t xml:space="preserve"> </w:t>
      </w:r>
      <w:r w:rsidRPr="00D97463">
        <w:rPr>
          <w:i/>
          <w:iCs/>
        </w:rPr>
        <w:t>of</w:t>
      </w:r>
      <w:r w:rsidR="00190923" w:rsidRPr="00981405">
        <w:rPr>
          <w:i/>
          <w:iCs/>
        </w:rPr>
        <w:t xml:space="preserve"> </w:t>
      </w:r>
      <w:r w:rsidRPr="00D97463">
        <w:rPr>
          <w:i/>
          <w:iCs/>
        </w:rPr>
        <w:t>such</w:t>
      </w:r>
      <w:r w:rsidR="00190923" w:rsidRPr="00981405">
        <w:rPr>
          <w:i/>
          <w:iCs/>
        </w:rPr>
        <w:t xml:space="preserve"> </w:t>
      </w:r>
      <w:r w:rsidRPr="00D97463">
        <w:rPr>
          <w:i/>
          <w:iCs/>
        </w:rPr>
        <w:t>authorities</w:t>
      </w:r>
      <w:r w:rsidRPr="00981405">
        <w:t>.</w:t>
      </w:r>
      <w:bookmarkStart w:id="89" w:name="_Ref215471991"/>
      <w:r w:rsidR="00B92E2C" w:rsidRPr="00981405">
        <w:t>”</w:t>
      </w:r>
      <w:r w:rsidRPr="00981405">
        <w:rPr>
          <w:rStyle w:val="FootnoteReference"/>
        </w:rPr>
        <w:footnoteReference w:id="176"/>
      </w:r>
      <w:bookmarkEnd w:id="89"/>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State</w:t>
      </w:r>
      <w:r w:rsidR="00190923" w:rsidRPr="00981405">
        <w:t xml:space="preserve"> </w:t>
      </w:r>
      <w:r w:rsidRPr="00981405">
        <w:t>instigation</w:t>
      </w:r>
      <w:r w:rsidR="00190923" w:rsidRPr="00981405">
        <w:t xml:space="preserve"> </w:t>
      </w:r>
      <w:r w:rsidRPr="00981405">
        <w:t>or</w:t>
      </w:r>
      <w:r w:rsidR="00190923" w:rsidRPr="00981405">
        <w:t xml:space="preserve"> </w:t>
      </w:r>
      <w:r w:rsidRPr="00981405">
        <w:t>tolerance</w:t>
      </w:r>
      <w:r w:rsidR="00190923" w:rsidRPr="00981405">
        <w:t xml:space="preserve"> </w:t>
      </w:r>
      <w:r w:rsidRPr="00981405">
        <w:t>requirement</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exclude</w:t>
      </w:r>
      <w:r w:rsidR="00190923" w:rsidRPr="00981405">
        <w:t xml:space="preserve"> </w:t>
      </w:r>
      <w:r w:rsidRPr="00981405">
        <w:t>inhumane</w:t>
      </w:r>
      <w:r w:rsidR="00190923" w:rsidRPr="00981405">
        <w:t xml:space="preserve"> </w:t>
      </w:r>
      <w:r w:rsidRPr="00981405">
        <w:t>acts</w:t>
      </w:r>
      <w:r w:rsidR="00190923" w:rsidRPr="00981405">
        <w:t xml:space="preserve"> </w:t>
      </w:r>
      <w:r w:rsidRPr="00981405">
        <w:t>committed</w:t>
      </w:r>
      <w:r w:rsidR="00190923" w:rsidRPr="00981405">
        <w:t xml:space="preserve"> </w:t>
      </w:r>
      <w:r w:rsidRPr="00981405">
        <w:t>by</w:t>
      </w:r>
      <w:r w:rsidR="00190923" w:rsidRPr="00981405">
        <w:t xml:space="preserve"> </w:t>
      </w:r>
      <w:r w:rsidRPr="00981405">
        <w:t>private</w:t>
      </w:r>
      <w:r w:rsidR="00190923" w:rsidRPr="00981405">
        <w:t xml:space="preserve"> </w:t>
      </w:r>
      <w:r w:rsidRPr="00981405">
        <w:t>persons</w:t>
      </w:r>
      <w:r w:rsidR="00190923" w:rsidRPr="00981405">
        <w:t xml:space="preserve"> </w:t>
      </w:r>
      <w:r w:rsidRPr="00981405">
        <w:t>on</w:t>
      </w:r>
      <w:r w:rsidR="00190923" w:rsidRPr="00981405">
        <w:t xml:space="preserve"> </w:t>
      </w:r>
      <w:r w:rsidRPr="00981405">
        <w:t>their</w:t>
      </w:r>
      <w:r w:rsidR="00190923" w:rsidRPr="00981405">
        <w:t xml:space="preserve"> </w:t>
      </w:r>
      <w:r w:rsidRPr="00981405">
        <w:t>own</w:t>
      </w:r>
      <w:r w:rsidR="00190923" w:rsidRPr="00981405">
        <w:t xml:space="preserve"> </w:t>
      </w:r>
      <w:r w:rsidRPr="00981405">
        <w:t>without</w:t>
      </w:r>
      <w:r w:rsidR="00190923" w:rsidRPr="00981405">
        <w:t xml:space="preserve"> </w:t>
      </w:r>
      <w:r w:rsidRPr="00981405">
        <w:t>any</w:t>
      </w:r>
      <w:r w:rsidR="00190923" w:rsidRPr="00981405">
        <w:t xml:space="preserve"> </w:t>
      </w:r>
      <w:r w:rsidRPr="00981405">
        <w:t>State</w:t>
      </w:r>
      <w:r w:rsidR="00190923" w:rsidRPr="00981405">
        <w:t xml:space="preserve"> </w:t>
      </w:r>
      <w:r w:rsidRPr="00981405">
        <w:t>involvement.</w:t>
      </w:r>
      <w:r w:rsidRPr="00981405">
        <w:rPr>
          <w:rStyle w:val="FootnoteReference"/>
        </w:rPr>
        <w:footnoteReference w:id="177"/>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included</w:t>
      </w:r>
      <w:r w:rsidR="00190923" w:rsidRPr="00981405">
        <w:t xml:space="preserve"> </w:t>
      </w:r>
      <w:r w:rsidRPr="00981405">
        <w:t>in</w:t>
      </w:r>
      <w:r w:rsidR="00190923" w:rsidRPr="00981405">
        <w:t xml:space="preserve"> </w:t>
      </w:r>
      <w:r w:rsidRPr="00981405">
        <w:t>the</w:t>
      </w:r>
      <w:r w:rsidR="00190923" w:rsidRPr="00981405">
        <w:t xml:space="preserve"> </w:t>
      </w:r>
      <w:r w:rsidRPr="00981405">
        <w:t>1954</w:t>
      </w:r>
      <w:r w:rsidR="00190923" w:rsidRPr="00981405">
        <w:t xml:space="preserve"> </w:t>
      </w:r>
      <w:r w:rsidRPr="00981405">
        <w:t>Draft</w:t>
      </w:r>
      <w:r w:rsidR="00190923" w:rsidRPr="00981405">
        <w:t xml:space="preserve"> </w:t>
      </w:r>
      <w:r w:rsidRPr="00981405">
        <w:t>Code</w:t>
      </w:r>
      <w:r w:rsidR="00190923" w:rsidRPr="00981405">
        <w:t xml:space="preserve"> </w:t>
      </w:r>
      <w:r w:rsidRPr="00981405">
        <w:t>did</w:t>
      </w:r>
      <w:r w:rsidR="00190923" w:rsidRPr="00981405">
        <w:t xml:space="preserve"> </w:t>
      </w:r>
      <w:r w:rsidRPr="00981405">
        <w:t>not</w:t>
      </w:r>
      <w:r w:rsidR="00190923" w:rsidRPr="00981405">
        <w:t xml:space="preserve"> </w:t>
      </w:r>
      <w:r w:rsidRPr="00981405">
        <w:t>include</w:t>
      </w:r>
      <w:r w:rsidR="00190923" w:rsidRPr="00981405">
        <w:t xml:space="preserve"> </w:t>
      </w:r>
      <w:r w:rsidRPr="00981405">
        <w:t>any</w:t>
      </w:r>
      <w:r w:rsidR="00190923" w:rsidRPr="00981405">
        <w:t xml:space="preserve"> </w:t>
      </w:r>
      <w:r w:rsidRPr="00981405">
        <w:t>requirement</w:t>
      </w:r>
      <w:r w:rsidR="00190923" w:rsidRPr="00981405">
        <w:t xml:space="preserve"> </w:t>
      </w:r>
      <w:r w:rsidRPr="00981405">
        <w:t>of</w:t>
      </w:r>
      <w:r w:rsidR="00190923" w:rsidRPr="00981405">
        <w:t xml:space="preserve"> </w:t>
      </w:r>
      <w:r w:rsidRPr="00981405">
        <w:t>scale</w:t>
      </w:r>
      <w:r w:rsidR="00190923" w:rsidRPr="00981405">
        <w:t xml:space="preserve"> </w:t>
      </w:r>
      <w:r w:rsidRPr="00981405">
        <w:t>(</w:t>
      </w:r>
      <w:r w:rsidR="00B92E2C" w:rsidRPr="00981405">
        <w:t>“</w:t>
      </w:r>
      <w:r w:rsidRPr="00981405">
        <w:t>widespread</w:t>
      </w:r>
      <w:r w:rsidR="00B92E2C" w:rsidRPr="00981405">
        <w:t>”</w:t>
      </w:r>
      <w:r w:rsidRPr="00981405">
        <w:t>)</w:t>
      </w:r>
      <w:r w:rsidR="00190923" w:rsidRPr="00981405">
        <w:t xml:space="preserve"> </w:t>
      </w:r>
      <w:r w:rsidRPr="00981405">
        <w:t>or</w:t>
      </w:r>
      <w:r w:rsidR="00190923" w:rsidRPr="00981405">
        <w:t xml:space="preserve"> </w:t>
      </w:r>
      <w:r w:rsidRPr="00981405">
        <w:t>systematicity.</w:t>
      </w:r>
      <w:r w:rsidR="00190923" w:rsidRPr="00981405">
        <w:t xml:space="preserve"> </w:t>
      </w:r>
    </w:p>
    <w:p w:rsidR="00397032" w:rsidRPr="00981405" w:rsidRDefault="00397032" w:rsidP="00D97463">
      <w:pPr>
        <w:pStyle w:val="SingleTxt"/>
        <w:rPr>
          <w:rFonts w:eastAsia="Batang"/>
        </w:rPr>
      </w:pPr>
      <w:r w:rsidRPr="00981405">
        <w:t>(24)</w:t>
      </w:r>
      <w:r w:rsidRPr="00981405">
        <w:tab/>
      </w:r>
      <w:r w:rsidRPr="00981405">
        <w:rPr>
          <w:rFonts w:eastAsia="Batang"/>
        </w:rPr>
        <w:t>The</w:t>
      </w:r>
      <w:r w:rsidR="00190923" w:rsidRPr="00981405">
        <w:rPr>
          <w:rFonts w:eastAsia="Batang"/>
        </w:rPr>
        <w:t xml:space="preserve"> </w:t>
      </w:r>
      <w:r w:rsidRPr="00981405">
        <w:rPr>
          <w:rFonts w:eastAsia="Batang"/>
        </w:rPr>
        <w:t>Commission</w:t>
      </w:r>
      <w:r w:rsidR="00B92E2C" w:rsidRPr="00981405">
        <w:rPr>
          <w:rFonts w:eastAsia="Batang"/>
        </w:rPr>
        <w:t>’</w:t>
      </w:r>
      <w:r w:rsidRPr="00981405">
        <w:rPr>
          <w:rFonts w:eastAsia="Batang"/>
        </w:rPr>
        <w:t>s</w:t>
      </w:r>
      <w:r w:rsidR="00190923" w:rsidRPr="00981405">
        <w:rPr>
          <w:rFonts w:eastAsia="Batang"/>
        </w:rPr>
        <w:t xml:space="preserve"> </w:t>
      </w:r>
      <w:r w:rsidRPr="00981405">
        <w:rPr>
          <w:rFonts w:eastAsia="Batang"/>
        </w:rPr>
        <w:t>1996</w:t>
      </w:r>
      <w:r w:rsidR="00190923" w:rsidRPr="00981405">
        <w:rPr>
          <w:rFonts w:eastAsia="Batang"/>
        </w:rPr>
        <w:t xml:space="preserve"> </w:t>
      </w:r>
      <w:r w:rsidRPr="00981405">
        <w:rPr>
          <w:rFonts w:eastAsia="Batang"/>
        </w:rPr>
        <w:t>Draft</w:t>
      </w:r>
      <w:r w:rsidR="00190923" w:rsidRPr="00981405">
        <w:rPr>
          <w:rFonts w:eastAsia="Batang"/>
        </w:rPr>
        <w:t xml:space="preserve"> </w:t>
      </w:r>
      <w:r w:rsidRPr="00981405">
        <w:rPr>
          <w:rFonts w:eastAsia="Batang"/>
        </w:rPr>
        <w:t>Code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Peace</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Security</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Mankind</w:t>
      </w:r>
      <w:r w:rsidR="00190923" w:rsidRPr="00981405">
        <w:rPr>
          <w:rFonts w:eastAsia="Batang"/>
        </w:rPr>
        <w:t xml:space="preserve"> </w:t>
      </w:r>
      <w:r w:rsidRPr="00981405">
        <w:rPr>
          <w:rFonts w:eastAsia="Batang"/>
        </w:rPr>
        <w:t>also</w:t>
      </w:r>
      <w:r w:rsidR="00190923" w:rsidRPr="00981405">
        <w:rPr>
          <w:rFonts w:eastAsia="Batang"/>
        </w:rPr>
        <w:t xml:space="preserve"> </w:t>
      </w:r>
      <w:r w:rsidRPr="00981405">
        <w:rPr>
          <w:rFonts w:eastAsia="Batang"/>
        </w:rPr>
        <w:t>recognized</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defining</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humanity</w:t>
      </w:r>
      <w:r w:rsidR="00190923" w:rsidRPr="00981405">
        <w:rPr>
          <w:rFonts w:eastAsia="Batang"/>
        </w:rPr>
        <w:t xml:space="preserve"> </w:t>
      </w:r>
      <w:r w:rsidRPr="00981405">
        <w:rPr>
          <w:rFonts w:eastAsia="Batang"/>
        </w:rPr>
        <w:t>as</w:t>
      </w:r>
      <w:r w:rsidR="00190923" w:rsidRPr="00981405">
        <w:rPr>
          <w:rFonts w:eastAsia="Batang"/>
        </w:rPr>
        <w:t xml:space="preserve"> </w:t>
      </w:r>
      <w:r w:rsidR="00B92E2C" w:rsidRPr="00981405">
        <w:rPr>
          <w:rFonts w:eastAsia="Batang"/>
        </w:rPr>
        <w:t>“</w:t>
      </w:r>
      <w:r w:rsidRPr="00981405">
        <w:rPr>
          <w:rFonts w:eastAsia="Batang"/>
        </w:rPr>
        <w:t>any</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following</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when</w:t>
      </w:r>
      <w:r w:rsidR="00190923" w:rsidRPr="00981405">
        <w:rPr>
          <w:rFonts w:eastAsia="Batang"/>
        </w:rPr>
        <w:t xml:space="preserve"> </w:t>
      </w:r>
      <w:r w:rsidRPr="00981405">
        <w:rPr>
          <w:rFonts w:eastAsia="Batang"/>
        </w:rPr>
        <w:t>committed</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systematic</w:t>
      </w:r>
      <w:r w:rsidR="00190923" w:rsidRPr="00981405">
        <w:rPr>
          <w:rFonts w:eastAsia="Batang"/>
        </w:rPr>
        <w:t xml:space="preserve"> </w:t>
      </w:r>
      <w:r w:rsidRPr="00981405">
        <w:rPr>
          <w:rFonts w:eastAsia="Batang"/>
        </w:rPr>
        <w:t>manner</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on</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large</w:t>
      </w:r>
      <w:r w:rsidR="00190923" w:rsidRPr="00981405">
        <w:rPr>
          <w:rFonts w:eastAsia="Batang"/>
        </w:rPr>
        <w:t xml:space="preserve"> </w:t>
      </w:r>
      <w:r w:rsidRPr="00981405">
        <w:rPr>
          <w:rFonts w:eastAsia="Batang"/>
        </w:rPr>
        <w:t>scale</w:t>
      </w:r>
      <w:r w:rsidR="00190923" w:rsidRPr="00981405">
        <w:rPr>
          <w:rFonts w:eastAsia="Batang"/>
        </w:rPr>
        <w:t xml:space="preserve"> </w:t>
      </w:r>
      <w:r w:rsidRPr="00981405">
        <w:rPr>
          <w:rFonts w:eastAsia="Batang"/>
        </w:rPr>
        <w:t>and</w:t>
      </w:r>
      <w:r w:rsidR="00190923" w:rsidRPr="00981405">
        <w:rPr>
          <w:rFonts w:eastAsia="Batang"/>
        </w:rPr>
        <w:t xml:space="preserve"> </w:t>
      </w:r>
      <w:r w:rsidRPr="00D97463">
        <w:rPr>
          <w:rFonts w:eastAsia="Batang"/>
          <w:i/>
          <w:iCs/>
        </w:rPr>
        <w:t>instigated</w:t>
      </w:r>
      <w:r w:rsidR="00190923" w:rsidRPr="00981405">
        <w:rPr>
          <w:rFonts w:eastAsia="Batang"/>
          <w:i/>
          <w:iCs/>
        </w:rPr>
        <w:t xml:space="preserve"> </w:t>
      </w:r>
      <w:r w:rsidRPr="00D97463">
        <w:rPr>
          <w:rFonts w:eastAsia="Batang"/>
          <w:i/>
          <w:iCs/>
        </w:rPr>
        <w:t>or</w:t>
      </w:r>
      <w:r w:rsidR="00190923" w:rsidRPr="00981405">
        <w:rPr>
          <w:rFonts w:eastAsia="Batang"/>
          <w:i/>
          <w:iCs/>
        </w:rPr>
        <w:t xml:space="preserve"> </w:t>
      </w:r>
      <w:r w:rsidRPr="00D97463">
        <w:rPr>
          <w:rFonts w:eastAsia="Batang"/>
          <w:i/>
          <w:iCs/>
        </w:rPr>
        <w:t>directed</w:t>
      </w:r>
      <w:r w:rsidR="00190923" w:rsidRPr="00981405">
        <w:rPr>
          <w:rFonts w:eastAsia="Batang"/>
          <w:i/>
          <w:iCs/>
        </w:rPr>
        <w:t xml:space="preserve"> </w:t>
      </w:r>
      <w:r w:rsidRPr="00D97463">
        <w:rPr>
          <w:rFonts w:eastAsia="Batang"/>
          <w:i/>
          <w:iCs/>
        </w:rPr>
        <w:t>by</w:t>
      </w:r>
      <w:r w:rsidR="00190923" w:rsidRPr="00981405">
        <w:rPr>
          <w:rFonts w:eastAsia="Batang"/>
          <w:i/>
          <w:iCs/>
        </w:rPr>
        <w:t xml:space="preserve"> </w:t>
      </w:r>
      <w:r w:rsidRPr="00D97463">
        <w:rPr>
          <w:rFonts w:eastAsia="Batang"/>
          <w:i/>
          <w:iCs/>
        </w:rPr>
        <w:t>a</w:t>
      </w:r>
      <w:r w:rsidR="00190923" w:rsidRPr="00981405">
        <w:rPr>
          <w:rFonts w:eastAsia="Batang"/>
          <w:i/>
          <w:iCs/>
        </w:rPr>
        <w:t xml:space="preserve"> </w:t>
      </w:r>
      <w:r w:rsidRPr="00D97463">
        <w:rPr>
          <w:rFonts w:eastAsia="Batang"/>
          <w:i/>
          <w:iCs/>
        </w:rPr>
        <w:t>Government</w:t>
      </w:r>
      <w:r w:rsidR="00190923" w:rsidRPr="00981405">
        <w:rPr>
          <w:rFonts w:eastAsia="Batang"/>
          <w:i/>
          <w:iCs/>
        </w:rPr>
        <w:t xml:space="preserve"> </w:t>
      </w:r>
      <w:r w:rsidRPr="00D97463">
        <w:rPr>
          <w:rFonts w:eastAsia="Batang"/>
          <w:i/>
          <w:iCs/>
        </w:rPr>
        <w:t>or</w:t>
      </w:r>
      <w:r w:rsidR="00190923" w:rsidRPr="00981405">
        <w:rPr>
          <w:rFonts w:eastAsia="Batang"/>
          <w:i/>
          <w:iCs/>
        </w:rPr>
        <w:t xml:space="preserve"> </w:t>
      </w:r>
      <w:r w:rsidRPr="00D97463">
        <w:rPr>
          <w:rFonts w:eastAsia="Batang"/>
          <w:i/>
          <w:iCs/>
        </w:rPr>
        <w:t>by</w:t>
      </w:r>
      <w:r w:rsidR="00190923" w:rsidRPr="00981405">
        <w:rPr>
          <w:rFonts w:eastAsia="Batang"/>
          <w:i/>
          <w:iCs/>
        </w:rPr>
        <w:t xml:space="preserve"> </w:t>
      </w:r>
      <w:r w:rsidRPr="00D97463">
        <w:rPr>
          <w:rFonts w:eastAsia="Batang"/>
          <w:i/>
          <w:iCs/>
        </w:rPr>
        <w:t>an</w:t>
      </w:r>
      <w:r w:rsidR="00190923" w:rsidRPr="00981405">
        <w:rPr>
          <w:rFonts w:eastAsia="Batang"/>
          <w:i/>
          <w:iCs/>
        </w:rPr>
        <w:t xml:space="preserve"> </w:t>
      </w:r>
      <w:r w:rsidRPr="00D97463">
        <w:rPr>
          <w:rFonts w:eastAsia="Batang"/>
          <w:i/>
          <w:iCs/>
        </w:rPr>
        <w:t>organization</w:t>
      </w:r>
      <w:r w:rsidR="00190923" w:rsidRPr="00981405">
        <w:rPr>
          <w:rFonts w:eastAsia="Batang"/>
          <w:i/>
          <w:iCs/>
        </w:rPr>
        <w:t xml:space="preserve"> </w:t>
      </w:r>
      <w:r w:rsidRPr="00D97463">
        <w:rPr>
          <w:rFonts w:eastAsia="Batang"/>
          <w:i/>
          <w:iCs/>
        </w:rPr>
        <w:t>or</w:t>
      </w:r>
      <w:r w:rsidR="00190923" w:rsidRPr="00981405">
        <w:rPr>
          <w:rFonts w:eastAsia="Batang"/>
          <w:i/>
          <w:iCs/>
        </w:rPr>
        <w:t xml:space="preserve"> </w:t>
      </w:r>
      <w:r w:rsidRPr="00D97463">
        <w:rPr>
          <w:rFonts w:eastAsia="Batang"/>
          <w:i/>
          <w:iCs/>
        </w:rPr>
        <w:t>group</w:t>
      </w:r>
      <w:r w:rsidRPr="00981405">
        <w:rPr>
          <w:rFonts w:eastAsia="Batang"/>
        </w:rPr>
        <w:t>.</w:t>
      </w:r>
      <w:r w:rsidR="00B92E2C" w:rsidRPr="00981405">
        <w:rPr>
          <w:rFonts w:eastAsia="Batang"/>
        </w:rPr>
        <w:t>”</w:t>
      </w:r>
      <w:r w:rsidRPr="00981405">
        <w:rPr>
          <w:rStyle w:val="FootnoteReference"/>
        </w:rPr>
        <w:footnoteReference w:id="178"/>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Commission</w:t>
      </w:r>
      <w:r w:rsidR="00190923" w:rsidRPr="00981405">
        <w:rPr>
          <w:rFonts w:eastAsia="Batang"/>
        </w:rPr>
        <w:t xml:space="preserve"> </w:t>
      </w:r>
      <w:r w:rsidRPr="00981405">
        <w:rPr>
          <w:rFonts w:eastAsia="Batang"/>
        </w:rPr>
        <w:t>included</w:t>
      </w:r>
      <w:r w:rsidR="00190923" w:rsidRPr="00981405">
        <w:rPr>
          <w:rFonts w:eastAsia="Batang"/>
        </w:rPr>
        <w:t xml:space="preserve"> </w:t>
      </w:r>
      <w:r w:rsidRPr="00981405">
        <w:rPr>
          <w:rFonts w:eastAsia="Batang"/>
        </w:rPr>
        <w:t>this</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exclude</w:t>
      </w:r>
      <w:r w:rsidR="00190923" w:rsidRPr="00981405">
        <w:rPr>
          <w:rFonts w:eastAsia="Batang"/>
        </w:rPr>
        <w:t xml:space="preserve"> </w:t>
      </w:r>
      <w:r w:rsidRPr="00981405">
        <w:rPr>
          <w:rFonts w:eastAsia="Batang"/>
        </w:rPr>
        <w:t>inhumane</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committed</w:t>
      </w:r>
      <w:r w:rsidR="00190923" w:rsidRPr="00981405">
        <w:rPr>
          <w:rFonts w:eastAsia="Batang"/>
        </w:rPr>
        <w:t xml:space="preserve"> </w:t>
      </w:r>
      <w:r w:rsidRPr="00981405">
        <w:rPr>
          <w:rFonts w:eastAsia="Batang"/>
        </w:rPr>
        <w:t>by</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individual</w:t>
      </w:r>
      <w:r w:rsidR="00190923" w:rsidRPr="00981405">
        <w:rPr>
          <w:rFonts w:eastAsia="Batang"/>
        </w:rPr>
        <w:t xml:space="preserve"> </w:t>
      </w:r>
      <w:r w:rsidR="00B92E2C" w:rsidRPr="00981405">
        <w:rPr>
          <w:rFonts w:eastAsia="Batang"/>
        </w:rPr>
        <w:t>“</w:t>
      </w:r>
      <w:r w:rsidRPr="00981405">
        <w:rPr>
          <w:rFonts w:eastAsia="Batang"/>
        </w:rPr>
        <w:t>acting</w:t>
      </w:r>
      <w:r w:rsidR="00190923" w:rsidRPr="00981405">
        <w:rPr>
          <w:rFonts w:eastAsia="Batang"/>
        </w:rPr>
        <w:t xml:space="preserve"> </w:t>
      </w:r>
      <w:r w:rsidRPr="00981405">
        <w:rPr>
          <w:rFonts w:eastAsia="Batang"/>
        </w:rPr>
        <w:t>on</w:t>
      </w:r>
      <w:r w:rsidR="00190923" w:rsidRPr="00981405">
        <w:rPr>
          <w:rFonts w:eastAsia="Batang"/>
        </w:rPr>
        <w:t xml:space="preserve"> </w:t>
      </w:r>
      <w:r w:rsidRPr="00981405">
        <w:rPr>
          <w:rFonts w:eastAsia="Batang"/>
        </w:rPr>
        <w:t>his</w:t>
      </w:r>
      <w:r w:rsidR="00190923" w:rsidRPr="00981405">
        <w:rPr>
          <w:rFonts w:eastAsia="Batang"/>
        </w:rPr>
        <w:t xml:space="preserve"> </w:t>
      </w:r>
      <w:r w:rsidRPr="00981405">
        <w:rPr>
          <w:rFonts w:eastAsia="Batang"/>
        </w:rPr>
        <w:t>own</w:t>
      </w:r>
      <w:r w:rsidR="00190923" w:rsidRPr="00981405">
        <w:rPr>
          <w:rFonts w:eastAsia="Batang"/>
        </w:rPr>
        <w:t xml:space="preserve"> </w:t>
      </w:r>
      <w:r w:rsidRPr="00981405">
        <w:rPr>
          <w:rFonts w:eastAsia="Batang"/>
        </w:rPr>
        <w:t>initiative</w:t>
      </w:r>
      <w:r w:rsidR="00190923" w:rsidRPr="00981405">
        <w:rPr>
          <w:rFonts w:eastAsia="Batang"/>
        </w:rPr>
        <w:t xml:space="preserve"> </w:t>
      </w:r>
      <w:r w:rsidRPr="00981405">
        <w:rPr>
          <w:rFonts w:eastAsia="Batang"/>
        </w:rPr>
        <w:t>pursuant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his</w:t>
      </w:r>
      <w:r w:rsidR="00190923" w:rsidRPr="00981405">
        <w:rPr>
          <w:rFonts w:eastAsia="Batang"/>
        </w:rPr>
        <w:t xml:space="preserve"> </w:t>
      </w:r>
      <w:r w:rsidRPr="00981405">
        <w:rPr>
          <w:rFonts w:eastAsia="Batang"/>
        </w:rPr>
        <w:t>own</w:t>
      </w:r>
      <w:r w:rsidR="00190923" w:rsidRPr="00981405">
        <w:rPr>
          <w:rFonts w:eastAsia="Batang"/>
        </w:rPr>
        <w:t xml:space="preserve"> </w:t>
      </w:r>
      <w:r w:rsidRPr="00981405">
        <w:rPr>
          <w:rFonts w:eastAsia="Batang"/>
        </w:rPr>
        <w:t>criminal</w:t>
      </w:r>
      <w:r w:rsidR="00190923" w:rsidRPr="00981405">
        <w:rPr>
          <w:rFonts w:eastAsia="Batang"/>
        </w:rPr>
        <w:t xml:space="preserve"> </w:t>
      </w:r>
      <w:r w:rsidRPr="00981405">
        <w:rPr>
          <w:rFonts w:eastAsia="Batang"/>
        </w:rPr>
        <w:t>plan</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absence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any</w:t>
      </w:r>
      <w:r w:rsidR="00190923" w:rsidRPr="00981405">
        <w:rPr>
          <w:rFonts w:eastAsia="Batang"/>
        </w:rPr>
        <w:t xml:space="preserve"> </w:t>
      </w:r>
      <w:r w:rsidRPr="00981405">
        <w:rPr>
          <w:rFonts w:eastAsia="Batang"/>
        </w:rPr>
        <w:t>encouragement</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direction</w:t>
      </w:r>
      <w:r w:rsidR="00190923" w:rsidRPr="00981405">
        <w:rPr>
          <w:rFonts w:eastAsia="Batang"/>
        </w:rPr>
        <w:t xml:space="preserve"> </w:t>
      </w:r>
      <w:r w:rsidRPr="00981405">
        <w:rPr>
          <w:rFonts w:eastAsia="Batang"/>
        </w:rPr>
        <w:t>from</w:t>
      </w:r>
      <w:r w:rsidR="00190923" w:rsidRPr="00981405">
        <w:rPr>
          <w:rFonts w:eastAsia="Batang"/>
        </w:rPr>
        <w:t xml:space="preserve"> </w:t>
      </w:r>
      <w:r w:rsidRPr="00981405">
        <w:rPr>
          <w:rFonts w:eastAsia="Batang"/>
        </w:rPr>
        <w:t>either</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Government</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group</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organization.</w:t>
      </w:r>
      <w:r w:rsidR="00B92E2C" w:rsidRPr="00981405">
        <w:rPr>
          <w:rFonts w:eastAsia="Batang"/>
        </w:rPr>
        <w:t>”</w:t>
      </w:r>
      <w:r w:rsidRPr="00981405">
        <w:rPr>
          <w:rStyle w:val="FootnoteReference"/>
        </w:rPr>
        <w:footnoteReference w:id="179"/>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other</w:t>
      </w:r>
      <w:r w:rsidR="00190923" w:rsidRPr="00981405">
        <w:rPr>
          <w:rFonts w:eastAsia="Batang"/>
        </w:rPr>
        <w:t xml:space="preserve"> </w:t>
      </w:r>
      <w:r w:rsidRPr="00981405">
        <w:rPr>
          <w:rFonts w:eastAsia="Batang"/>
        </w:rPr>
        <w:t>words,</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sought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exclude</w:t>
      </w:r>
      <w:r w:rsidR="00190923" w:rsidRPr="00981405">
        <w:rPr>
          <w:rFonts w:eastAsia="Batang"/>
        </w:rPr>
        <w:t xml:space="preserve"> </w:t>
      </w:r>
      <w:r w:rsidR="00B92E2C" w:rsidRPr="00981405">
        <w:rPr>
          <w:rFonts w:eastAsia="Batang"/>
        </w:rPr>
        <w:t>“</w:t>
      </w:r>
      <w:r w:rsidRPr="00981405">
        <w:rPr>
          <w:rFonts w:eastAsia="Batang"/>
        </w:rPr>
        <w:t>ordinary</w:t>
      </w:r>
      <w:r w:rsidR="00B92E2C" w:rsidRPr="00981405">
        <w:rPr>
          <w:rFonts w:eastAsia="Batang"/>
        </w:rPr>
        <w:t>”</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individuals</w:t>
      </w:r>
      <w:r w:rsidR="00190923" w:rsidRPr="00981405">
        <w:rPr>
          <w:rFonts w:eastAsia="Batang"/>
        </w:rPr>
        <w:t xml:space="preserve"> </w:t>
      </w:r>
      <w:r w:rsidRPr="00981405">
        <w:rPr>
          <w:rFonts w:eastAsia="Batang"/>
        </w:rPr>
        <w:t>acting</w:t>
      </w:r>
      <w:r w:rsidR="00190923" w:rsidRPr="00981405">
        <w:rPr>
          <w:rFonts w:eastAsia="Batang"/>
        </w:rPr>
        <w:t xml:space="preserve"> </w:t>
      </w:r>
      <w:r w:rsidRPr="00981405">
        <w:rPr>
          <w:rFonts w:eastAsia="Batang"/>
        </w:rPr>
        <w:t>on</w:t>
      </w:r>
      <w:r w:rsidR="00190923" w:rsidRPr="00981405">
        <w:rPr>
          <w:rFonts w:eastAsia="Batang"/>
        </w:rPr>
        <w:t xml:space="preserve"> </w:t>
      </w:r>
      <w:r w:rsidRPr="00981405">
        <w:rPr>
          <w:rFonts w:eastAsia="Batang"/>
        </w:rPr>
        <w:t>their</w:t>
      </w:r>
      <w:r w:rsidR="00190923" w:rsidRPr="00981405">
        <w:rPr>
          <w:rFonts w:eastAsia="Batang"/>
        </w:rPr>
        <w:t xml:space="preserve"> </w:t>
      </w:r>
      <w:r w:rsidRPr="00981405">
        <w:rPr>
          <w:rFonts w:eastAsia="Batang"/>
        </w:rPr>
        <w:t>own</w:t>
      </w:r>
      <w:r w:rsidR="00190923" w:rsidRPr="00981405">
        <w:rPr>
          <w:rFonts w:eastAsia="Batang"/>
        </w:rPr>
        <w:t xml:space="preserve"> </w:t>
      </w:r>
      <w:r w:rsidRPr="00981405">
        <w:rPr>
          <w:rFonts w:eastAsia="Batang"/>
        </w:rPr>
        <w:t>initiative</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without</w:t>
      </w:r>
      <w:r w:rsidR="00190923" w:rsidRPr="00981405">
        <w:rPr>
          <w:rFonts w:eastAsia="Batang"/>
        </w:rPr>
        <w:t xml:space="preserve"> </w:t>
      </w:r>
      <w:r w:rsidRPr="00981405">
        <w:rPr>
          <w:rFonts w:eastAsia="Batang"/>
        </w:rPr>
        <w:t>any</w:t>
      </w:r>
      <w:r w:rsidR="00190923" w:rsidRPr="00981405">
        <w:rPr>
          <w:rFonts w:eastAsia="Batang"/>
        </w:rPr>
        <w:t xml:space="preserve"> </w:t>
      </w:r>
      <w:r w:rsidRPr="00981405">
        <w:rPr>
          <w:rFonts w:eastAsia="Batang"/>
        </w:rPr>
        <w:t>connection</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organization.</w:t>
      </w:r>
    </w:p>
    <w:p w:rsidR="00397032" w:rsidRPr="00981405" w:rsidRDefault="00397032" w:rsidP="00D97463">
      <w:pPr>
        <w:pStyle w:val="SingleTxt"/>
      </w:pPr>
      <w:r w:rsidRPr="00981405">
        <w:rPr>
          <w:rFonts w:eastAsia="Batang"/>
        </w:rPr>
        <w:lastRenderedPageBreak/>
        <w:t>(25)</w:t>
      </w:r>
      <w:r w:rsidRPr="00981405">
        <w:rPr>
          <w:rFonts w:eastAsia="Batang"/>
        </w:rPr>
        <w:tab/>
        <w:t>Draft</w:t>
      </w:r>
      <w:r w:rsidR="00190923" w:rsidRPr="00981405">
        <w:rPr>
          <w:rFonts w:eastAsia="Batang"/>
        </w:rPr>
        <w:t xml:space="preserve"> </w:t>
      </w:r>
      <w:r w:rsidRPr="00981405">
        <w:rPr>
          <w:rFonts w:eastAsia="Batang"/>
        </w:rPr>
        <w:t>article</w:t>
      </w:r>
      <w:r w:rsidR="00190923" w:rsidRPr="00981405">
        <w:rPr>
          <w:rFonts w:eastAsia="Batang"/>
        </w:rPr>
        <w:t xml:space="preserve"> </w:t>
      </w:r>
      <w:r w:rsidRPr="00981405">
        <w:rPr>
          <w:rFonts w:eastAsia="Batang"/>
        </w:rPr>
        <w:t>3,</w:t>
      </w:r>
      <w:r w:rsidR="00190923" w:rsidRPr="00981405">
        <w:rPr>
          <w:rFonts w:eastAsia="Batang"/>
        </w:rPr>
        <w:t xml:space="preserve"> </w:t>
      </w:r>
      <w:r w:rsidRPr="00981405">
        <w:rPr>
          <w:rFonts w:eastAsia="Batang"/>
        </w:rPr>
        <w:t>paragraph</w:t>
      </w:r>
      <w:r w:rsidR="00190923" w:rsidRPr="00981405">
        <w:rPr>
          <w:rFonts w:eastAsia="Batang"/>
        </w:rPr>
        <w:t xml:space="preserve"> </w:t>
      </w:r>
      <w:r w:rsidRPr="00981405">
        <w:rPr>
          <w:rFonts w:eastAsia="Batang"/>
        </w:rPr>
        <w:t>2</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contains</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same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set</w:t>
      </w:r>
      <w:r w:rsidR="00190923" w:rsidRPr="00981405">
        <w:rPr>
          <w:rFonts w:eastAsia="Batang"/>
        </w:rPr>
        <w:t xml:space="preserve"> </w:t>
      </w:r>
      <w:r w:rsidRPr="00981405">
        <w:rPr>
          <w:rFonts w:eastAsia="Batang"/>
        </w:rPr>
        <w:t>forth</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Rome</w:t>
      </w:r>
      <w:r w:rsidR="00190923" w:rsidRPr="00981405">
        <w:rPr>
          <w:rFonts w:eastAsia="Batang"/>
        </w:rPr>
        <w:t xml:space="preserve"> </w:t>
      </w:r>
      <w:r w:rsidRPr="00981405">
        <w:rPr>
          <w:rFonts w:eastAsia="Batang"/>
        </w:rPr>
        <w:t>Statute</w:t>
      </w:r>
      <w:r w:rsidR="00190923" w:rsidRPr="00981405">
        <w:rPr>
          <w:rFonts w:eastAsia="Batang"/>
        </w:rPr>
        <w:t xml:space="preserve"> </w:t>
      </w:r>
      <w:r w:rsidRPr="00981405">
        <w:rPr>
          <w:rFonts w:eastAsia="Batang"/>
        </w:rPr>
        <w:t>Article</w:t>
      </w:r>
      <w:r w:rsidR="00190923" w:rsidRPr="00981405">
        <w:rPr>
          <w:rFonts w:eastAsia="Batang"/>
        </w:rPr>
        <w:t xml:space="preserve"> </w:t>
      </w:r>
      <w:r w:rsidRPr="00981405">
        <w:rPr>
          <w:rFonts w:eastAsia="Batang"/>
        </w:rPr>
        <w:t>7,</w:t>
      </w:r>
      <w:r w:rsidR="00190923" w:rsidRPr="00981405">
        <w:rPr>
          <w:rFonts w:eastAsia="Batang"/>
        </w:rPr>
        <w:t xml:space="preserve"> </w:t>
      </w:r>
      <w:r w:rsidRPr="00981405">
        <w:rPr>
          <w:rFonts w:eastAsia="Batang"/>
        </w:rPr>
        <w:t>paragraph</w:t>
      </w:r>
      <w:r w:rsidR="00190923" w:rsidRPr="00981405">
        <w:rPr>
          <w:rFonts w:eastAsia="Batang"/>
        </w:rPr>
        <w:t xml:space="preserve"> </w:t>
      </w:r>
      <w:r w:rsidRPr="00981405">
        <w:rPr>
          <w:rFonts w:eastAsia="Batang"/>
        </w:rPr>
        <w:t>2</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The</w:t>
      </w:r>
      <w:r w:rsidR="00B92E2C" w:rsidRPr="00981405">
        <w:rPr>
          <w:rFonts w:eastAsia="Batang"/>
        </w:rPr>
        <w:t xml:space="preserve"> </w:t>
      </w:r>
      <w:r w:rsidRPr="00981405">
        <w:rPr>
          <w:rFonts w:eastAsia="Batang"/>
        </w:rPr>
        <w:t>Elements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under</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Rome</w:t>
      </w:r>
      <w:r w:rsidR="00190923" w:rsidRPr="00981405">
        <w:rPr>
          <w:rFonts w:eastAsia="Batang"/>
        </w:rPr>
        <w:t xml:space="preserve"> </w:t>
      </w:r>
      <w:r w:rsidRPr="00981405">
        <w:rPr>
          <w:rFonts w:eastAsia="Batang"/>
        </w:rPr>
        <w:t>Statute</w:t>
      </w:r>
      <w:r w:rsidR="00190923" w:rsidRPr="00981405">
        <w:rPr>
          <w:rFonts w:eastAsia="Batang"/>
        </w:rPr>
        <w:t xml:space="preserve"> </w:t>
      </w:r>
      <w:r w:rsidRPr="00981405">
        <w:rPr>
          <w:rFonts w:eastAsia="Batang"/>
        </w:rPr>
        <w:t>provides</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a</w:t>
      </w:r>
      <w:r w:rsidR="00190923" w:rsidRPr="00981405">
        <w:rPr>
          <w:rFonts w:eastAsia="Batang"/>
        </w:rPr>
        <w:t xml:space="preserve"> </w:t>
      </w:r>
      <w:r w:rsidR="00B92E2C" w:rsidRPr="00981405">
        <w:rPr>
          <w:rFonts w:eastAsia="Batang"/>
        </w:rPr>
        <w:t>“</w:t>
      </w:r>
      <w:r w:rsidRPr="00981405">
        <w:rPr>
          <w:rFonts w:eastAsia="Batang"/>
        </w:rPr>
        <w:t>policy</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commit</w:t>
      </w:r>
      <w:r w:rsidR="00190923" w:rsidRPr="00981405">
        <w:rPr>
          <w:rFonts w:eastAsia="Batang"/>
        </w:rPr>
        <w:t xml:space="preserve"> </w:t>
      </w:r>
      <w:r w:rsidRPr="00981405">
        <w:rPr>
          <w:rFonts w:eastAsia="Batang"/>
        </w:rPr>
        <w:t>such</w:t>
      </w:r>
      <w:r w:rsidR="00190923" w:rsidRPr="00981405">
        <w:rPr>
          <w:rFonts w:eastAsia="Batang"/>
        </w:rPr>
        <w:t xml:space="preserve"> </w:t>
      </w:r>
      <w:r w:rsidRPr="00981405">
        <w:rPr>
          <w:rFonts w:eastAsia="Batang"/>
        </w:rPr>
        <w:t>attack</w:t>
      </w:r>
      <w:r w:rsidR="00B92E2C" w:rsidRPr="00981405">
        <w:rPr>
          <w:rFonts w:eastAsia="Batang"/>
        </w:rPr>
        <w:t>”</w:t>
      </w:r>
      <w:r w:rsidR="00190923" w:rsidRPr="00981405">
        <w:rPr>
          <w:rFonts w:eastAsia="Batang"/>
        </w:rPr>
        <w:t xml:space="preserve"> </w:t>
      </w:r>
      <w:r w:rsidRPr="00981405">
        <w:rPr>
          <w:rFonts w:eastAsia="Batang"/>
        </w:rPr>
        <w:t>requires</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the</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organization</w:t>
      </w:r>
      <w:r w:rsidR="00190923" w:rsidRPr="00981405">
        <w:rPr>
          <w:rFonts w:eastAsia="Batang"/>
        </w:rPr>
        <w:t xml:space="preserve"> </w:t>
      </w:r>
      <w:r w:rsidRPr="00981405">
        <w:rPr>
          <w:rFonts w:eastAsia="Batang"/>
        </w:rPr>
        <w:t>actively</w:t>
      </w:r>
      <w:r w:rsidR="00190923" w:rsidRPr="00981405">
        <w:rPr>
          <w:rFonts w:eastAsia="Batang"/>
        </w:rPr>
        <w:t xml:space="preserve"> </w:t>
      </w:r>
      <w:r w:rsidRPr="00981405">
        <w:rPr>
          <w:rFonts w:eastAsia="Batang"/>
        </w:rPr>
        <w:t>promote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encourage</w:t>
      </w:r>
      <w:r w:rsidR="00190923" w:rsidRPr="00981405">
        <w:rPr>
          <w:rFonts w:eastAsia="Batang"/>
        </w:rPr>
        <w:t xml:space="preserve"> </w:t>
      </w:r>
      <w:r w:rsidRPr="00981405">
        <w:rPr>
          <w:rFonts w:eastAsia="Batang"/>
        </w:rPr>
        <w:t>such</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attack</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civilian</w:t>
      </w:r>
      <w:r w:rsidR="00190923" w:rsidRPr="00981405">
        <w:rPr>
          <w:rFonts w:eastAsia="Batang"/>
        </w:rPr>
        <w:t xml:space="preserve"> </w:t>
      </w:r>
      <w:r w:rsidRPr="00981405">
        <w:rPr>
          <w:rFonts w:eastAsia="Batang"/>
        </w:rPr>
        <w:t>population,</w:t>
      </w:r>
      <w:r w:rsidR="00B92E2C" w:rsidRPr="00981405">
        <w:rPr>
          <w:rFonts w:eastAsia="Batang"/>
        </w:rPr>
        <w:t>”</w:t>
      </w:r>
      <w:r w:rsidRPr="00981405">
        <w:rPr>
          <w:rStyle w:val="FootnoteReference"/>
        </w:rPr>
        <w:footnoteReference w:id="180"/>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a</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may,</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exceptional</w:t>
      </w:r>
      <w:r w:rsidR="00190923" w:rsidRPr="00981405">
        <w:rPr>
          <w:rFonts w:eastAsia="Batang"/>
        </w:rPr>
        <w:t xml:space="preserve"> </w:t>
      </w:r>
      <w:r w:rsidRPr="00981405">
        <w:rPr>
          <w:rFonts w:eastAsia="Batang"/>
        </w:rPr>
        <w:t>circumstances,</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implemented</w:t>
      </w:r>
      <w:r w:rsidR="00190923" w:rsidRPr="00981405">
        <w:rPr>
          <w:rFonts w:eastAsia="Batang"/>
        </w:rPr>
        <w:t xml:space="preserve"> </w:t>
      </w:r>
      <w:r w:rsidRPr="00981405">
        <w:rPr>
          <w:rFonts w:eastAsia="Batang"/>
        </w:rPr>
        <w:t>by</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deliberate</w:t>
      </w:r>
      <w:r w:rsidR="00190923" w:rsidRPr="00981405">
        <w:rPr>
          <w:rFonts w:eastAsia="Batang"/>
        </w:rPr>
        <w:t xml:space="preserve"> </w:t>
      </w:r>
      <w:r w:rsidRPr="00981405">
        <w:rPr>
          <w:rFonts w:eastAsia="Batang"/>
        </w:rPr>
        <w:t>failure</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take</w:t>
      </w:r>
      <w:r w:rsidR="00190923" w:rsidRPr="00981405">
        <w:rPr>
          <w:rFonts w:eastAsia="Batang"/>
        </w:rPr>
        <w:t xml:space="preserve"> </w:t>
      </w:r>
      <w:r w:rsidRPr="00981405">
        <w:rPr>
          <w:rFonts w:eastAsia="Batang"/>
        </w:rPr>
        <w:t>action,</w:t>
      </w:r>
      <w:r w:rsidR="00190923" w:rsidRPr="00981405">
        <w:rPr>
          <w:rFonts w:eastAsia="Batang"/>
        </w:rPr>
        <w:t xml:space="preserve"> </w:t>
      </w:r>
      <w:r w:rsidRPr="00981405">
        <w:rPr>
          <w:rFonts w:eastAsia="Batang"/>
        </w:rPr>
        <w:t>which</w:t>
      </w:r>
      <w:r w:rsidR="00190923" w:rsidRPr="00981405">
        <w:rPr>
          <w:rFonts w:eastAsia="Batang"/>
        </w:rPr>
        <w:t xml:space="preserve"> </w:t>
      </w:r>
      <w:r w:rsidRPr="00981405">
        <w:rPr>
          <w:rFonts w:eastAsia="Batang"/>
        </w:rPr>
        <w:t>is</w:t>
      </w:r>
      <w:r w:rsidR="00190923" w:rsidRPr="00981405">
        <w:rPr>
          <w:rFonts w:eastAsia="Batang"/>
        </w:rPr>
        <w:t xml:space="preserve"> </w:t>
      </w:r>
      <w:r w:rsidRPr="00981405">
        <w:rPr>
          <w:rFonts w:eastAsia="Batang"/>
        </w:rPr>
        <w:t>consciously</w:t>
      </w:r>
      <w:r w:rsidR="00190923" w:rsidRPr="00981405">
        <w:rPr>
          <w:rFonts w:eastAsia="Batang"/>
        </w:rPr>
        <w:t xml:space="preserve"> </w:t>
      </w:r>
      <w:r w:rsidRPr="00981405">
        <w:rPr>
          <w:rFonts w:eastAsia="Batang"/>
        </w:rPr>
        <w:t>aimed</w:t>
      </w:r>
      <w:r w:rsidR="00190923" w:rsidRPr="00981405">
        <w:rPr>
          <w:rFonts w:eastAsia="Batang"/>
        </w:rPr>
        <w:t xml:space="preserve"> </w:t>
      </w:r>
      <w:r w:rsidRPr="00981405">
        <w:rPr>
          <w:rFonts w:eastAsia="Batang"/>
        </w:rPr>
        <w:t>at</w:t>
      </w:r>
      <w:r w:rsidR="00190923" w:rsidRPr="00981405">
        <w:rPr>
          <w:rFonts w:eastAsia="Batang"/>
        </w:rPr>
        <w:t xml:space="preserve"> </w:t>
      </w:r>
      <w:r w:rsidRPr="00981405">
        <w:rPr>
          <w:rFonts w:eastAsia="Batang"/>
        </w:rPr>
        <w:t>encouraging</w:t>
      </w:r>
      <w:r w:rsidR="00190923" w:rsidRPr="00981405">
        <w:rPr>
          <w:rFonts w:eastAsia="Batang"/>
        </w:rPr>
        <w:t xml:space="preserve"> </w:t>
      </w:r>
      <w:r w:rsidRPr="00981405">
        <w:rPr>
          <w:rFonts w:eastAsia="Batang"/>
        </w:rPr>
        <w:t>such</w:t>
      </w:r>
      <w:r w:rsidR="00190923" w:rsidRPr="00981405">
        <w:rPr>
          <w:rFonts w:eastAsia="Batang"/>
        </w:rPr>
        <w:t xml:space="preserve"> </w:t>
      </w:r>
      <w:r w:rsidRPr="00981405">
        <w:rPr>
          <w:rFonts w:eastAsia="Batang"/>
        </w:rPr>
        <w:t>attack.</w:t>
      </w:r>
      <w:r w:rsidR="00B92E2C" w:rsidRPr="00981405">
        <w:rPr>
          <w:rFonts w:eastAsia="Batang"/>
        </w:rPr>
        <w:t>”</w:t>
      </w:r>
      <w:r w:rsidRPr="00981405">
        <w:rPr>
          <w:rStyle w:val="FootnoteReference"/>
        </w:rPr>
        <w:footnoteReference w:id="181"/>
      </w:r>
    </w:p>
    <w:p w:rsidR="00397032" w:rsidRPr="00981405" w:rsidRDefault="00397032" w:rsidP="00D97463">
      <w:pPr>
        <w:pStyle w:val="SingleTxt"/>
      </w:pPr>
      <w:r w:rsidRPr="00981405">
        <w:rPr>
          <w:rFonts w:eastAsia="Batang"/>
        </w:rPr>
        <w:t>(26)</w:t>
      </w:r>
      <w:r w:rsidRPr="00981405">
        <w:rPr>
          <w:rFonts w:eastAsia="Batang"/>
        </w:rPr>
        <w:tab/>
        <w:t>This</w:t>
      </w:r>
      <w:r w:rsidR="00190923" w:rsidRPr="00981405">
        <w:rPr>
          <w:rFonts w:eastAsia="Batang"/>
        </w:rPr>
        <w:t xml:space="preserve"> </w:t>
      </w:r>
      <w:r w:rsidR="00B92E2C" w:rsidRPr="00981405">
        <w:rPr>
          <w:rFonts w:eastAsia="Batang"/>
        </w:rPr>
        <w:t>“</w:t>
      </w:r>
      <w:r w:rsidRPr="00981405">
        <w:rPr>
          <w:rFonts w:eastAsia="Batang"/>
        </w:rPr>
        <w:t>policy</w:t>
      </w:r>
      <w:r w:rsidR="00B92E2C" w:rsidRPr="00981405">
        <w:rPr>
          <w:rFonts w:eastAsia="Batang"/>
        </w:rPr>
        <w:t>”</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has</w:t>
      </w:r>
      <w:r w:rsidR="00190923" w:rsidRPr="00981405">
        <w:rPr>
          <w:rFonts w:eastAsia="Batang"/>
        </w:rPr>
        <w:t xml:space="preserve"> </w:t>
      </w:r>
      <w:r w:rsidRPr="00981405">
        <w:rPr>
          <w:rFonts w:eastAsia="Batang"/>
        </w:rPr>
        <w:t>been</w:t>
      </w:r>
      <w:r w:rsidR="00190923" w:rsidRPr="00981405">
        <w:rPr>
          <w:rFonts w:eastAsia="Batang"/>
        </w:rPr>
        <w:t xml:space="preserve"> </w:t>
      </w:r>
      <w:r w:rsidRPr="00981405">
        <w:rPr>
          <w:rFonts w:eastAsia="Batang"/>
        </w:rPr>
        <w:t>addressed</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several</w:t>
      </w:r>
      <w:r w:rsidR="00190923" w:rsidRPr="00981405">
        <w:rPr>
          <w:rFonts w:eastAsia="Batang"/>
        </w:rPr>
        <w:t xml:space="preserve"> </w:t>
      </w:r>
      <w:r w:rsidRPr="00981405">
        <w:rPr>
          <w:rFonts w:eastAsia="Batang"/>
        </w:rPr>
        <w:t>cases</w:t>
      </w:r>
      <w:r w:rsidR="00190923" w:rsidRPr="00981405">
        <w:rPr>
          <w:rFonts w:eastAsia="Batang"/>
        </w:rPr>
        <w:t xml:space="preserve"> </w:t>
      </w:r>
      <w:r w:rsidRPr="00981405">
        <w:rPr>
          <w:rFonts w:eastAsia="Batang"/>
        </w:rPr>
        <w:t>at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ICC.</w:t>
      </w:r>
      <w:r w:rsidRPr="00981405">
        <w:rPr>
          <w:rStyle w:val="FootnoteReference"/>
        </w:rPr>
        <w:footnoteReference w:id="182"/>
      </w:r>
      <w:r w:rsidR="00190923" w:rsidRPr="00981405">
        <w:rPr>
          <w:rFonts w:eastAsia="Batang"/>
        </w:rPr>
        <w:t xml:space="preserve"> </w:t>
      </w:r>
      <w:r w:rsidRPr="00981405">
        <w:rPr>
          <w:rFonts w:eastAsia="Batang"/>
        </w:rPr>
        <w:t>In</w:t>
      </w:r>
      <w:r w:rsidR="00190923" w:rsidRPr="00981405">
        <w:rPr>
          <w:rFonts w:eastAsia="Batang"/>
        </w:rPr>
        <w:t xml:space="preserve"> </w:t>
      </w:r>
      <w:r w:rsidRPr="00D97463">
        <w:rPr>
          <w:rFonts w:eastAsia="Batang"/>
          <w:i/>
          <w:iCs/>
        </w:rPr>
        <w:t>Katanga</w:t>
      </w:r>
      <w:r w:rsidR="00190923" w:rsidRPr="00981405">
        <w:rPr>
          <w:rFonts w:eastAsia="Batang"/>
        </w:rPr>
        <w:t xml:space="preserve"> </w:t>
      </w:r>
      <w:r w:rsidRPr="00981405">
        <w:rPr>
          <w:rFonts w:eastAsia="Batang"/>
        </w:rPr>
        <w:t>2014,</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ICC</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stressed</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is</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synonymous</w:t>
      </w:r>
      <w:r w:rsidR="00190923" w:rsidRPr="00981405">
        <w:rPr>
          <w:rFonts w:eastAsia="Batang"/>
        </w:rPr>
        <w:t xml:space="preserve"> </w:t>
      </w:r>
      <w:r w:rsidRPr="00981405">
        <w:rPr>
          <w:rFonts w:eastAsia="Batang"/>
        </w:rPr>
        <w:t>with</w:t>
      </w:r>
      <w:r w:rsidR="00190923" w:rsidRPr="00981405">
        <w:rPr>
          <w:rFonts w:eastAsia="Batang"/>
        </w:rPr>
        <w:t xml:space="preserve"> </w:t>
      </w:r>
      <w:r w:rsidR="00B92E2C" w:rsidRPr="00981405">
        <w:rPr>
          <w:rFonts w:eastAsia="Batang"/>
        </w:rPr>
        <w:t>“</w:t>
      </w:r>
      <w:r w:rsidRPr="00981405">
        <w:rPr>
          <w:rFonts w:eastAsia="Batang"/>
        </w:rPr>
        <w:t>systematic</w:t>
      </w:r>
      <w:r w:rsidR="00B92E2C" w:rsidRPr="00981405">
        <w:rPr>
          <w:rFonts w:eastAsia="Batang"/>
        </w:rPr>
        <w:t>”</w:t>
      </w:r>
      <w:r w:rsidRPr="00981405">
        <w:rPr>
          <w:rFonts w:eastAsia="Batang"/>
        </w:rPr>
        <w:t>,</w:t>
      </w:r>
      <w:r w:rsidR="00190923" w:rsidRPr="00981405">
        <w:rPr>
          <w:rFonts w:eastAsia="Batang"/>
        </w:rPr>
        <w:t xml:space="preserve"> </w:t>
      </w:r>
      <w:r w:rsidRPr="00981405">
        <w:rPr>
          <w:rFonts w:eastAsia="Batang"/>
        </w:rPr>
        <w:t>since</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would</w:t>
      </w:r>
      <w:r w:rsidR="00190923" w:rsidRPr="00981405">
        <w:rPr>
          <w:rFonts w:eastAsia="Batang"/>
        </w:rPr>
        <w:t xml:space="preserve"> </w:t>
      </w:r>
      <w:r w:rsidRPr="00981405">
        <w:rPr>
          <w:rFonts w:eastAsia="Batang"/>
        </w:rPr>
        <w:t>contradict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disjunctive</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Article</w:t>
      </w:r>
      <w:r w:rsidR="00190923" w:rsidRPr="00981405">
        <w:rPr>
          <w:rFonts w:eastAsia="Batang"/>
        </w:rPr>
        <w:t xml:space="preserve"> </w:t>
      </w:r>
      <w:r w:rsidRPr="00981405">
        <w:rPr>
          <w:rFonts w:eastAsia="Batang"/>
        </w:rPr>
        <w:t>7</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w:t>
      </w:r>
      <w:r w:rsidR="00190923" w:rsidRPr="00981405">
        <w:rPr>
          <w:rFonts w:eastAsia="Batang"/>
        </w:rPr>
        <w:t xml:space="preserve"> </w:t>
      </w:r>
      <w:r w:rsidR="00B92E2C" w:rsidRPr="00981405">
        <w:rPr>
          <w:rFonts w:eastAsia="Batang"/>
        </w:rPr>
        <w:t>“</w:t>
      </w:r>
      <w:r w:rsidRPr="00981405">
        <w:rPr>
          <w:rFonts w:eastAsia="Batang"/>
        </w:rPr>
        <w:t>widespread</w:t>
      </w:r>
      <w:r w:rsidR="00B92E2C" w:rsidRPr="00981405">
        <w:rPr>
          <w:rFonts w:eastAsia="Batang"/>
        </w:rPr>
        <w:t>”</w:t>
      </w:r>
      <w:r w:rsidR="00190923" w:rsidRPr="00981405">
        <w:rPr>
          <w:rFonts w:eastAsia="Batang"/>
        </w:rPr>
        <w:t xml:space="preserve"> </w:t>
      </w:r>
      <w:r w:rsidRPr="00981405">
        <w:rPr>
          <w:rFonts w:eastAsia="Batang"/>
        </w:rPr>
        <w:t>or</w:t>
      </w:r>
      <w:r w:rsidR="00190923" w:rsidRPr="00981405">
        <w:rPr>
          <w:rFonts w:eastAsia="Batang"/>
        </w:rPr>
        <w:t xml:space="preserve"> </w:t>
      </w:r>
      <w:r w:rsidR="00B92E2C" w:rsidRPr="00981405">
        <w:rPr>
          <w:rFonts w:eastAsia="Batang"/>
        </w:rPr>
        <w:t>“</w:t>
      </w:r>
      <w:r w:rsidRPr="00981405">
        <w:rPr>
          <w:rFonts w:eastAsia="Batang"/>
        </w:rPr>
        <w:t>systematic</w:t>
      </w:r>
      <w:r w:rsidR="00B92E2C" w:rsidRPr="00981405">
        <w:rPr>
          <w:rFonts w:eastAsia="Batang"/>
        </w:rPr>
        <w:t>”</w:t>
      </w:r>
      <w:r w:rsidR="00190923" w:rsidRPr="00981405">
        <w:rPr>
          <w:rFonts w:eastAsia="Batang"/>
        </w:rPr>
        <w:t xml:space="preserve"> </w:t>
      </w:r>
      <w:r w:rsidRPr="00981405">
        <w:rPr>
          <w:rFonts w:eastAsia="Batang"/>
        </w:rPr>
        <w:t>attack.</w:t>
      </w:r>
      <w:r w:rsidRPr="00981405">
        <w:rPr>
          <w:rStyle w:val="FootnoteReference"/>
        </w:rPr>
        <w:footnoteReference w:id="183"/>
      </w:r>
      <w:r w:rsidR="00190923" w:rsidRPr="00981405">
        <w:rPr>
          <w:rFonts w:eastAsia="Batang"/>
        </w:rPr>
        <w:t xml:space="preserve"> </w:t>
      </w:r>
      <w:r w:rsidRPr="00981405">
        <w:rPr>
          <w:rFonts w:eastAsia="Batang"/>
        </w:rPr>
        <w:t>Rather,</w:t>
      </w:r>
      <w:r w:rsidR="00190923" w:rsidRPr="00981405">
        <w:rPr>
          <w:rFonts w:eastAsia="Batang"/>
        </w:rPr>
        <w:t xml:space="preserve"> </w:t>
      </w:r>
      <w:r w:rsidRPr="00981405">
        <w:rPr>
          <w:rFonts w:eastAsia="Batang"/>
        </w:rPr>
        <w:t>while</w:t>
      </w:r>
      <w:r w:rsidR="00190923" w:rsidRPr="00981405">
        <w:rPr>
          <w:rFonts w:eastAsia="Batang"/>
        </w:rPr>
        <w:t xml:space="preserve"> </w:t>
      </w:r>
      <w:r w:rsidR="00B92E2C" w:rsidRPr="00981405">
        <w:rPr>
          <w:rFonts w:eastAsia="Batang"/>
        </w:rPr>
        <w:t>“</w:t>
      </w:r>
      <w:r w:rsidRPr="00981405">
        <w:rPr>
          <w:rFonts w:eastAsia="Batang"/>
        </w:rPr>
        <w:t>systematic</w:t>
      </w:r>
      <w:r w:rsidR="00B92E2C" w:rsidRPr="00981405">
        <w:rPr>
          <w:rFonts w:eastAsia="Batang"/>
        </w:rPr>
        <w:t>”</w:t>
      </w:r>
      <w:r w:rsidR="00190923" w:rsidRPr="00981405">
        <w:rPr>
          <w:rFonts w:eastAsia="Batang"/>
        </w:rPr>
        <w:t xml:space="preserve"> </w:t>
      </w:r>
      <w:r w:rsidRPr="00981405">
        <w:rPr>
          <w:rFonts w:eastAsia="Batang"/>
        </w:rPr>
        <w:t>requires</w:t>
      </w:r>
      <w:r w:rsidR="00190923" w:rsidRPr="00981405">
        <w:rPr>
          <w:rFonts w:eastAsia="Batang"/>
        </w:rPr>
        <w:t xml:space="preserve"> </w:t>
      </w:r>
      <w:r w:rsidRPr="00981405">
        <w:rPr>
          <w:rFonts w:eastAsia="Batang"/>
        </w:rPr>
        <w:t>high</w:t>
      </w:r>
      <w:r w:rsidR="00190923" w:rsidRPr="00981405">
        <w:rPr>
          <w:rFonts w:eastAsia="Batang"/>
        </w:rPr>
        <w:t xml:space="preserve"> </w:t>
      </w:r>
      <w:r w:rsidRPr="00981405">
        <w:rPr>
          <w:rFonts w:eastAsia="Batang"/>
        </w:rPr>
        <w:t>levels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organization</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patterns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conduct</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recurrence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violence,</w:t>
      </w:r>
      <w:r w:rsidRPr="00981405">
        <w:rPr>
          <w:rStyle w:val="FootnoteReference"/>
        </w:rPr>
        <w:footnoteReference w:id="184"/>
      </w:r>
      <w:r w:rsidR="00190923" w:rsidRPr="00981405">
        <w:rPr>
          <w:rFonts w:eastAsia="Batang"/>
        </w:rPr>
        <w:t xml:space="preserve"> </w:t>
      </w:r>
      <w:r w:rsidRPr="00981405">
        <w:rPr>
          <w:rFonts w:eastAsia="Batang"/>
        </w:rPr>
        <w:t>to</w:t>
      </w:r>
      <w:r w:rsidR="00190923" w:rsidRPr="00981405">
        <w:rPr>
          <w:rFonts w:eastAsia="Batang"/>
        </w:rPr>
        <w:t xml:space="preserve"> </w:t>
      </w:r>
      <w:r w:rsidR="00B92E2C" w:rsidRPr="00981405">
        <w:rPr>
          <w:rFonts w:eastAsia="Batang"/>
        </w:rPr>
        <w:t>“</w:t>
      </w:r>
      <w:r w:rsidRPr="00981405">
        <w:rPr>
          <w:rFonts w:eastAsia="Batang"/>
        </w:rPr>
        <w:t>establish</w:t>
      </w:r>
      <w:r w:rsidR="00190923" w:rsidRPr="00981405">
        <w:rPr>
          <w:rFonts w:eastAsia="Batang"/>
        </w:rPr>
        <w:t xml:space="preserve"> </w:t>
      </w:r>
      <w:r w:rsidRPr="00981405">
        <w:rPr>
          <w:rFonts w:eastAsia="Batang"/>
        </w:rPr>
        <w:t>a</w:t>
      </w:r>
      <w:r w:rsidR="00190923" w:rsidRPr="00981405">
        <w:rPr>
          <w:rFonts w:eastAsia="Batang"/>
        </w:rPr>
        <w:t xml:space="preserve"> </w:t>
      </w:r>
      <w:r w:rsidR="00B92E2C" w:rsidRPr="00981405">
        <w:rPr>
          <w:rFonts w:eastAsia="Batang"/>
        </w:rPr>
        <w:t>‘</w:t>
      </w:r>
      <w:r w:rsidRPr="00981405">
        <w:rPr>
          <w:rFonts w:eastAsia="Batang"/>
        </w:rPr>
        <w:t>policy</w:t>
      </w:r>
      <w:r w:rsidR="00B92E2C" w:rsidRPr="00981405">
        <w:rPr>
          <w:rFonts w:eastAsia="Batang"/>
        </w:rPr>
        <w:t>’</w:t>
      </w:r>
      <w:r w:rsidRPr="00981405">
        <w:rPr>
          <w:rFonts w:eastAsia="Batang"/>
        </w:rPr>
        <w:t>,</w:t>
      </w:r>
      <w:r w:rsidR="00190923" w:rsidRPr="00981405">
        <w:rPr>
          <w:rFonts w:eastAsia="Batang"/>
        </w:rPr>
        <w:t xml:space="preserve"> </w:t>
      </w:r>
      <w:r w:rsidRPr="00981405">
        <w:rPr>
          <w:rFonts w:eastAsia="Batang"/>
        </w:rPr>
        <w:t>it</w:t>
      </w:r>
      <w:r w:rsidR="00190923" w:rsidRPr="00981405">
        <w:rPr>
          <w:rFonts w:eastAsia="Batang"/>
        </w:rPr>
        <w:t xml:space="preserve"> </w:t>
      </w:r>
      <w:r w:rsidRPr="00981405">
        <w:rPr>
          <w:rFonts w:eastAsia="Batang"/>
        </w:rPr>
        <w:t>need</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demonstrated</w:t>
      </w:r>
      <w:r w:rsidR="00190923" w:rsidRPr="00981405">
        <w:rPr>
          <w:rFonts w:eastAsia="Batang"/>
        </w:rPr>
        <w:t xml:space="preserve"> </w:t>
      </w:r>
      <w:r w:rsidRPr="00981405">
        <w:rPr>
          <w:rFonts w:eastAsia="Batang"/>
        </w:rPr>
        <w:t>only</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organization</w:t>
      </w:r>
      <w:r w:rsidR="00190923" w:rsidRPr="00981405">
        <w:rPr>
          <w:rFonts w:eastAsia="Batang"/>
        </w:rPr>
        <w:t xml:space="preserve"> </w:t>
      </w:r>
      <w:r w:rsidRPr="00981405">
        <w:rPr>
          <w:rFonts w:eastAsia="Batang"/>
        </w:rPr>
        <w:t>meant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commit</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attack</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civilian</w:t>
      </w:r>
      <w:r w:rsidR="00190923" w:rsidRPr="00981405">
        <w:rPr>
          <w:rFonts w:eastAsia="Batang"/>
        </w:rPr>
        <w:t xml:space="preserve"> </w:t>
      </w:r>
      <w:r w:rsidRPr="00981405">
        <w:rPr>
          <w:rFonts w:eastAsia="Batang"/>
        </w:rPr>
        <w:t>population.</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analysis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systematic</w:t>
      </w:r>
      <w:r w:rsidR="00190923" w:rsidRPr="00981405">
        <w:rPr>
          <w:rFonts w:eastAsia="Batang"/>
        </w:rPr>
        <w:t xml:space="preserve"> </w:t>
      </w:r>
      <w:r w:rsidRPr="00981405">
        <w:rPr>
          <w:rFonts w:eastAsia="Batang"/>
        </w:rPr>
        <w:t>nature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attack</w:t>
      </w:r>
      <w:r w:rsidR="00190923" w:rsidRPr="00981405">
        <w:rPr>
          <w:rFonts w:eastAsia="Batang"/>
        </w:rPr>
        <w:t xml:space="preserve"> </w:t>
      </w:r>
      <w:r w:rsidRPr="00981405">
        <w:rPr>
          <w:rFonts w:eastAsia="Batang"/>
        </w:rPr>
        <w:t>therefore</w:t>
      </w:r>
      <w:r w:rsidR="00190923" w:rsidRPr="00981405">
        <w:rPr>
          <w:rFonts w:eastAsia="Batang"/>
        </w:rPr>
        <w:t xml:space="preserve"> </w:t>
      </w:r>
      <w:r w:rsidRPr="00981405">
        <w:rPr>
          <w:rFonts w:eastAsia="Batang"/>
        </w:rPr>
        <w:t>goes</w:t>
      </w:r>
      <w:r w:rsidR="00190923" w:rsidRPr="00981405">
        <w:rPr>
          <w:rFonts w:eastAsia="Batang"/>
        </w:rPr>
        <w:t xml:space="preserve"> </w:t>
      </w:r>
      <w:r w:rsidRPr="00981405">
        <w:rPr>
          <w:rFonts w:eastAsia="Batang"/>
        </w:rPr>
        <w:t>beyond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existence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any</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seeking</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eliminate,</w:t>
      </w:r>
      <w:r w:rsidR="00190923" w:rsidRPr="00981405">
        <w:rPr>
          <w:rFonts w:eastAsia="Batang"/>
        </w:rPr>
        <w:t xml:space="preserve"> </w:t>
      </w:r>
      <w:r w:rsidRPr="00981405">
        <w:rPr>
          <w:rFonts w:eastAsia="Batang"/>
        </w:rPr>
        <w:t>persecute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undermine</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community.</w:t>
      </w:r>
      <w:r w:rsidR="00B92E2C" w:rsidRPr="00981405">
        <w:rPr>
          <w:rFonts w:eastAsia="Batang"/>
        </w:rPr>
        <w:t>”</w:t>
      </w:r>
      <w:r w:rsidRPr="00981405">
        <w:rPr>
          <w:rStyle w:val="FootnoteReference"/>
        </w:rPr>
        <w:footnoteReference w:id="185"/>
      </w:r>
      <w:r w:rsidR="00190923" w:rsidRPr="00981405">
        <w:rPr>
          <w:rFonts w:eastAsia="Batang"/>
        </w:rPr>
        <w:t xml:space="preserve"> </w:t>
      </w:r>
      <w:r w:rsidRPr="00981405">
        <w:rPr>
          <w:rFonts w:eastAsia="Batang"/>
        </w:rPr>
        <w:t>Further,</w:t>
      </w:r>
      <w:r w:rsidR="00190923" w:rsidRPr="00981405">
        <w:rPr>
          <w:rFonts w:eastAsia="Batang"/>
        </w:rPr>
        <w:t xml:space="preserve"> </w:t>
      </w:r>
      <w:r w:rsidRPr="00981405">
        <w:rPr>
          <w:rFonts w:eastAsia="Batang"/>
        </w:rPr>
        <w:t>the</w:t>
      </w:r>
      <w:r w:rsidR="00190923" w:rsidRPr="00981405">
        <w:rPr>
          <w:rFonts w:eastAsia="Batang"/>
        </w:rPr>
        <w:t xml:space="preserve"> </w:t>
      </w:r>
      <w:r w:rsidR="00B92E2C" w:rsidRPr="00981405">
        <w:rPr>
          <w:rFonts w:eastAsia="Batang"/>
        </w:rPr>
        <w:t>“</w:t>
      </w:r>
      <w:r w:rsidRPr="00981405">
        <w:rPr>
          <w:rFonts w:eastAsia="Batang"/>
        </w:rPr>
        <w:t>policy</w:t>
      </w:r>
      <w:r w:rsidR="00B92E2C" w:rsidRPr="00981405">
        <w:rPr>
          <w:rFonts w:eastAsia="Batang"/>
        </w:rPr>
        <w:t>”</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does</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require</w:t>
      </w:r>
      <w:r w:rsidR="00190923" w:rsidRPr="00981405">
        <w:rPr>
          <w:rFonts w:eastAsia="Batang"/>
        </w:rPr>
        <w:t xml:space="preserve"> </w:t>
      </w:r>
      <w:r w:rsidRPr="00981405">
        <w:rPr>
          <w:rFonts w:eastAsia="Batang"/>
        </w:rPr>
        <w:t>formal</w:t>
      </w:r>
      <w:r w:rsidR="00190923" w:rsidRPr="00981405">
        <w:rPr>
          <w:rFonts w:eastAsia="Batang"/>
        </w:rPr>
        <w:t xml:space="preserve"> </w:t>
      </w:r>
      <w:r w:rsidRPr="00981405">
        <w:rPr>
          <w:rFonts w:eastAsia="Batang"/>
        </w:rPr>
        <w:t>designs</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pre-established</w:t>
      </w:r>
      <w:r w:rsidR="00190923" w:rsidRPr="00981405">
        <w:rPr>
          <w:rFonts w:eastAsia="Batang"/>
        </w:rPr>
        <w:t xml:space="preserve"> </w:t>
      </w:r>
      <w:r w:rsidRPr="00981405">
        <w:rPr>
          <w:rFonts w:eastAsia="Batang"/>
        </w:rPr>
        <w:t>plans,</w:t>
      </w:r>
      <w:r w:rsidR="00190923" w:rsidRPr="00981405">
        <w:rPr>
          <w:rFonts w:eastAsia="Batang"/>
        </w:rPr>
        <w:t xml:space="preserve"> </w:t>
      </w:r>
      <w:r w:rsidRPr="00981405">
        <w:rPr>
          <w:rFonts w:eastAsia="Batang"/>
        </w:rPr>
        <w:t>can</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implemented</w:t>
      </w:r>
      <w:r w:rsidR="00190923" w:rsidRPr="00981405">
        <w:rPr>
          <w:rFonts w:eastAsia="Batang"/>
        </w:rPr>
        <w:t xml:space="preserve"> </w:t>
      </w:r>
      <w:r w:rsidRPr="00981405">
        <w:rPr>
          <w:rFonts w:eastAsia="Batang"/>
        </w:rPr>
        <w:t>by</w:t>
      </w:r>
      <w:r w:rsidR="00190923" w:rsidRPr="00981405">
        <w:rPr>
          <w:rFonts w:eastAsia="Batang"/>
        </w:rPr>
        <w:t xml:space="preserve"> </w:t>
      </w:r>
      <w:r w:rsidRPr="00981405">
        <w:rPr>
          <w:rFonts w:eastAsia="Batang"/>
        </w:rPr>
        <w:t>action</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inaction,</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can</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inferred</w:t>
      </w:r>
      <w:r w:rsidR="00190923" w:rsidRPr="00981405">
        <w:rPr>
          <w:rFonts w:eastAsia="Batang"/>
        </w:rPr>
        <w:t xml:space="preserve"> </w:t>
      </w:r>
      <w:r w:rsidRPr="00981405">
        <w:rPr>
          <w:rFonts w:eastAsia="Batang"/>
        </w:rPr>
        <w:t>from</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circumstances.</w:t>
      </w:r>
      <w:r w:rsidRPr="00981405">
        <w:rPr>
          <w:rStyle w:val="FootnoteReference"/>
        </w:rPr>
        <w:footnoteReference w:id="186"/>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found</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need</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formally</w:t>
      </w:r>
      <w:r w:rsidR="00190923" w:rsidRPr="00981405">
        <w:rPr>
          <w:rFonts w:eastAsia="Batang"/>
        </w:rPr>
        <w:t xml:space="preserve"> </w:t>
      </w:r>
      <w:r w:rsidRPr="00981405">
        <w:rPr>
          <w:rFonts w:eastAsia="Batang"/>
        </w:rPr>
        <w:t>established</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promulgated</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advance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attack</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can</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deduced</w:t>
      </w:r>
      <w:r w:rsidR="00190923" w:rsidRPr="00981405">
        <w:rPr>
          <w:rFonts w:eastAsia="Batang"/>
        </w:rPr>
        <w:t xml:space="preserve"> </w:t>
      </w:r>
      <w:r w:rsidRPr="00981405">
        <w:rPr>
          <w:rFonts w:eastAsia="Batang"/>
        </w:rPr>
        <w:t>from</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repetition</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from</w:t>
      </w:r>
      <w:r w:rsidR="00190923" w:rsidRPr="00981405">
        <w:rPr>
          <w:rFonts w:eastAsia="Batang"/>
        </w:rPr>
        <w:t xml:space="preserve"> </w:t>
      </w:r>
      <w:r w:rsidRPr="00981405">
        <w:rPr>
          <w:rFonts w:eastAsia="Batang"/>
        </w:rPr>
        <w:t>preparatory</w:t>
      </w:r>
      <w:r w:rsidR="00190923" w:rsidRPr="00981405">
        <w:rPr>
          <w:rFonts w:eastAsia="Batang"/>
        </w:rPr>
        <w:t xml:space="preserve"> </w:t>
      </w:r>
      <w:r w:rsidRPr="00981405">
        <w:rPr>
          <w:rFonts w:eastAsia="Batang"/>
        </w:rPr>
        <w:t>activities,</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from</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collective</w:t>
      </w:r>
      <w:r w:rsidR="00190923" w:rsidRPr="00981405">
        <w:rPr>
          <w:rFonts w:eastAsia="Batang"/>
        </w:rPr>
        <w:t xml:space="preserve"> </w:t>
      </w:r>
      <w:r w:rsidRPr="00981405">
        <w:rPr>
          <w:rFonts w:eastAsia="Batang"/>
        </w:rPr>
        <w:t>mobilization.</w:t>
      </w:r>
      <w:r w:rsidRPr="00981405">
        <w:rPr>
          <w:rStyle w:val="FootnoteReference"/>
        </w:rPr>
        <w:footnoteReference w:id="187"/>
      </w:r>
      <w:r w:rsidR="00190923" w:rsidRPr="00981405">
        <w:rPr>
          <w:rFonts w:eastAsia="Batang"/>
        </w:rPr>
        <w:t xml:space="preserve"> </w:t>
      </w:r>
      <w:r w:rsidRPr="00981405">
        <w:rPr>
          <w:rFonts w:eastAsia="Batang"/>
        </w:rPr>
        <w:t>Moreover,</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need</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concrete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precise,</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it</w:t>
      </w:r>
      <w:r w:rsidR="00190923" w:rsidRPr="00981405">
        <w:rPr>
          <w:rFonts w:eastAsia="Batang"/>
        </w:rPr>
        <w:t xml:space="preserve"> </w:t>
      </w:r>
      <w:r w:rsidRPr="00981405">
        <w:rPr>
          <w:rFonts w:eastAsia="Batang"/>
        </w:rPr>
        <w:t>may</w:t>
      </w:r>
      <w:r w:rsidR="00190923" w:rsidRPr="00981405">
        <w:rPr>
          <w:rFonts w:eastAsia="Batang"/>
        </w:rPr>
        <w:t xml:space="preserve"> </w:t>
      </w:r>
      <w:r w:rsidRPr="00981405">
        <w:rPr>
          <w:rFonts w:eastAsia="Batang"/>
        </w:rPr>
        <w:t>evolve</w:t>
      </w:r>
      <w:r w:rsidR="00190923" w:rsidRPr="00981405">
        <w:rPr>
          <w:rFonts w:eastAsia="Batang"/>
        </w:rPr>
        <w:t xml:space="preserve"> </w:t>
      </w:r>
      <w:r w:rsidRPr="00981405">
        <w:rPr>
          <w:rFonts w:eastAsia="Batang"/>
        </w:rPr>
        <w:t>over</w:t>
      </w:r>
      <w:r w:rsidR="00190923" w:rsidRPr="00981405">
        <w:rPr>
          <w:rFonts w:eastAsia="Batang"/>
        </w:rPr>
        <w:t xml:space="preserve"> </w:t>
      </w:r>
      <w:r w:rsidRPr="00981405">
        <w:rPr>
          <w:rFonts w:eastAsia="Batang"/>
        </w:rPr>
        <w:t>time</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circumstances</w:t>
      </w:r>
      <w:r w:rsidR="00190923" w:rsidRPr="00981405">
        <w:rPr>
          <w:rFonts w:eastAsia="Batang"/>
        </w:rPr>
        <w:t xml:space="preserve"> </w:t>
      </w:r>
      <w:r w:rsidRPr="00981405">
        <w:rPr>
          <w:rFonts w:eastAsia="Batang"/>
        </w:rPr>
        <w:t>unfold.</w:t>
      </w:r>
      <w:r w:rsidRPr="00981405">
        <w:rPr>
          <w:rStyle w:val="FootnoteReference"/>
        </w:rPr>
        <w:footnoteReference w:id="188"/>
      </w:r>
      <w:r w:rsidR="00190923" w:rsidRPr="00981405">
        <w:rPr>
          <w:rFonts w:eastAsia="Batang"/>
        </w:rPr>
        <w:t xml:space="preserve"> </w:t>
      </w:r>
    </w:p>
    <w:p w:rsidR="00397032" w:rsidRPr="00981405" w:rsidRDefault="00397032" w:rsidP="00D97463">
      <w:pPr>
        <w:pStyle w:val="SingleTxt"/>
      </w:pPr>
      <w:r w:rsidRPr="00981405">
        <w:rPr>
          <w:rFonts w:eastAsia="Batang"/>
        </w:rPr>
        <w:t>(27)</w:t>
      </w:r>
      <w:r w:rsidRPr="00981405">
        <w:rPr>
          <w:rFonts w:eastAsia="Batang"/>
        </w:rPr>
        <w:tab/>
        <w:t>Similarly,</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its</w:t>
      </w:r>
      <w:r w:rsidR="00190923" w:rsidRPr="00981405">
        <w:rPr>
          <w:rFonts w:eastAsia="Batang"/>
        </w:rPr>
        <w:t xml:space="preserve"> </w:t>
      </w:r>
      <w:r w:rsidRPr="00981405">
        <w:rPr>
          <w:rFonts w:eastAsia="Batang"/>
        </w:rPr>
        <w:t>decision</w:t>
      </w:r>
      <w:r w:rsidR="00190923" w:rsidRPr="00981405">
        <w:rPr>
          <w:rFonts w:eastAsia="Batang"/>
        </w:rPr>
        <w:t xml:space="preserve"> </w:t>
      </w:r>
      <w:r w:rsidRPr="00981405">
        <w:rPr>
          <w:rFonts w:eastAsia="Batang"/>
        </w:rPr>
        <w:t>confirming</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indictment</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Laurent</w:t>
      </w:r>
      <w:r w:rsidR="00190923" w:rsidRPr="00981405">
        <w:rPr>
          <w:rFonts w:eastAsia="Batang"/>
        </w:rPr>
        <w:t xml:space="preserve"> </w:t>
      </w:r>
      <w:r w:rsidRPr="00981405">
        <w:rPr>
          <w:rFonts w:eastAsia="Batang"/>
        </w:rPr>
        <w:t>Gbagbo,</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ICC</w:t>
      </w:r>
      <w:r w:rsidR="00190923" w:rsidRPr="00981405">
        <w:rPr>
          <w:rFonts w:eastAsia="Batang"/>
        </w:rPr>
        <w:t xml:space="preserve"> </w:t>
      </w:r>
      <w:r w:rsidRPr="00981405">
        <w:rPr>
          <w:rFonts w:eastAsia="Batang"/>
        </w:rPr>
        <w:t>Pre-Trial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held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policy</w:t>
      </w:r>
      <w:r w:rsidR="00B92E2C" w:rsidRPr="00981405">
        <w:rPr>
          <w:rFonts w:eastAsia="Batang"/>
        </w:rPr>
        <w:t>”</w:t>
      </w:r>
      <w:r w:rsidR="00190923" w:rsidRPr="00981405">
        <w:rPr>
          <w:rFonts w:eastAsia="Batang"/>
        </w:rPr>
        <w:t xml:space="preserve"> </w:t>
      </w:r>
      <w:r w:rsidRPr="00981405">
        <w:rPr>
          <w:rFonts w:eastAsia="Batang"/>
        </w:rPr>
        <w:t>should</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conflated</w:t>
      </w:r>
      <w:r w:rsidR="00190923" w:rsidRPr="00981405">
        <w:rPr>
          <w:rFonts w:eastAsia="Batang"/>
        </w:rPr>
        <w:t xml:space="preserve"> </w:t>
      </w:r>
      <w:r w:rsidRPr="00981405">
        <w:rPr>
          <w:rFonts w:eastAsia="Batang"/>
        </w:rPr>
        <w:t>with</w:t>
      </w:r>
      <w:r w:rsidR="00190923" w:rsidRPr="00981405">
        <w:rPr>
          <w:rFonts w:eastAsia="Batang"/>
        </w:rPr>
        <w:t xml:space="preserve"> </w:t>
      </w:r>
      <w:r w:rsidR="00B92E2C" w:rsidRPr="00981405">
        <w:rPr>
          <w:rFonts w:eastAsia="Batang"/>
        </w:rPr>
        <w:t>“</w:t>
      </w:r>
      <w:r w:rsidRPr="00981405">
        <w:rPr>
          <w:rFonts w:eastAsia="Batang"/>
        </w:rPr>
        <w:t>systematic.</w:t>
      </w:r>
      <w:r w:rsidR="00B92E2C" w:rsidRPr="00981405">
        <w:rPr>
          <w:rFonts w:eastAsia="Batang"/>
        </w:rPr>
        <w:t>”</w:t>
      </w:r>
      <w:r w:rsidRPr="00981405">
        <w:rPr>
          <w:rStyle w:val="FootnoteReference"/>
        </w:rPr>
        <w:footnoteReference w:id="189"/>
      </w:r>
      <w:r w:rsidR="00190923" w:rsidRPr="00981405">
        <w:rPr>
          <w:rFonts w:eastAsia="Batang"/>
        </w:rPr>
        <w:t xml:space="preserve"> </w:t>
      </w:r>
      <w:r w:rsidRPr="00981405">
        <w:rPr>
          <w:rFonts w:eastAsia="Batang"/>
        </w:rPr>
        <w:t>Specifically,</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stated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evidence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planning,</w:t>
      </w:r>
      <w:r w:rsidR="00190923" w:rsidRPr="00981405">
        <w:rPr>
          <w:rFonts w:eastAsia="Batang"/>
        </w:rPr>
        <w:t xml:space="preserve"> </w:t>
      </w:r>
      <w:r w:rsidRPr="00981405">
        <w:rPr>
          <w:rFonts w:eastAsia="Batang"/>
        </w:rPr>
        <w:t>organisation</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direction</w:t>
      </w:r>
      <w:r w:rsidR="00190923" w:rsidRPr="00981405">
        <w:rPr>
          <w:rFonts w:eastAsia="Batang"/>
        </w:rPr>
        <w:t xml:space="preserve"> </w:t>
      </w:r>
      <w:r w:rsidRPr="00981405">
        <w:rPr>
          <w:rFonts w:eastAsia="Batang"/>
        </w:rPr>
        <w:t>by</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organisation</w:t>
      </w:r>
      <w:r w:rsidR="00190923" w:rsidRPr="00981405">
        <w:rPr>
          <w:rFonts w:eastAsia="Batang"/>
        </w:rPr>
        <w:t xml:space="preserve"> </w:t>
      </w:r>
      <w:r w:rsidRPr="00981405">
        <w:rPr>
          <w:rFonts w:eastAsia="Batang"/>
        </w:rPr>
        <w:t>may</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relevant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prove</w:t>
      </w:r>
      <w:r w:rsidR="00190923" w:rsidRPr="00981405">
        <w:rPr>
          <w:rFonts w:eastAsia="Batang"/>
        </w:rPr>
        <w:t xml:space="preserve"> </w:t>
      </w:r>
      <w:r w:rsidRPr="00981405">
        <w:rPr>
          <w:rFonts w:eastAsia="Batang"/>
        </w:rPr>
        <w:t>both</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systematic</w:t>
      </w:r>
      <w:r w:rsidR="00190923" w:rsidRPr="00981405">
        <w:rPr>
          <w:rFonts w:eastAsia="Batang"/>
        </w:rPr>
        <w:t xml:space="preserve"> </w:t>
      </w:r>
      <w:r w:rsidRPr="00981405">
        <w:rPr>
          <w:rFonts w:eastAsia="Batang"/>
        </w:rPr>
        <w:t>nature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attack,</w:t>
      </w:r>
      <w:r w:rsidR="00190923" w:rsidRPr="00981405">
        <w:rPr>
          <w:rFonts w:eastAsia="Batang"/>
        </w:rPr>
        <w:t xml:space="preserve"> </w:t>
      </w:r>
      <w:r w:rsidRPr="00981405">
        <w:rPr>
          <w:rFonts w:eastAsia="Batang"/>
        </w:rPr>
        <w:t>although</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two</w:t>
      </w:r>
      <w:r w:rsidR="00190923" w:rsidRPr="00981405">
        <w:rPr>
          <w:rFonts w:eastAsia="Batang"/>
        </w:rPr>
        <w:t xml:space="preserve"> </w:t>
      </w:r>
      <w:r w:rsidRPr="00981405">
        <w:rPr>
          <w:rFonts w:eastAsia="Batang"/>
        </w:rPr>
        <w:t>concepts</w:t>
      </w:r>
      <w:r w:rsidR="00190923" w:rsidRPr="00981405">
        <w:rPr>
          <w:rFonts w:eastAsia="Batang"/>
        </w:rPr>
        <w:t xml:space="preserve"> </w:t>
      </w:r>
      <w:r w:rsidRPr="00981405">
        <w:rPr>
          <w:rFonts w:eastAsia="Batang"/>
        </w:rPr>
        <w:t>should</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conflated</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they</w:t>
      </w:r>
      <w:r w:rsidR="00190923" w:rsidRPr="00981405">
        <w:rPr>
          <w:rFonts w:eastAsia="Batang"/>
        </w:rPr>
        <w:t xml:space="preserve"> </w:t>
      </w:r>
      <w:r w:rsidRPr="00981405">
        <w:rPr>
          <w:rFonts w:eastAsia="Batang"/>
        </w:rPr>
        <w:t>serve</w:t>
      </w:r>
      <w:r w:rsidR="00190923" w:rsidRPr="00981405">
        <w:rPr>
          <w:rFonts w:eastAsia="Batang"/>
        </w:rPr>
        <w:t xml:space="preserve"> </w:t>
      </w:r>
      <w:r w:rsidRPr="00981405">
        <w:rPr>
          <w:rFonts w:eastAsia="Batang"/>
        </w:rPr>
        <w:t>different</w:t>
      </w:r>
      <w:r w:rsidR="00190923" w:rsidRPr="00981405">
        <w:rPr>
          <w:rFonts w:eastAsia="Batang"/>
        </w:rPr>
        <w:t xml:space="preserve"> </w:t>
      </w:r>
      <w:r w:rsidRPr="00981405">
        <w:rPr>
          <w:rFonts w:eastAsia="Batang"/>
        </w:rPr>
        <w:t>purposes</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imply</w:t>
      </w:r>
      <w:r w:rsidR="00190923" w:rsidRPr="00981405">
        <w:rPr>
          <w:rFonts w:eastAsia="Batang"/>
        </w:rPr>
        <w:t xml:space="preserve"> </w:t>
      </w:r>
      <w:r w:rsidRPr="00981405">
        <w:rPr>
          <w:rFonts w:eastAsia="Batang"/>
        </w:rPr>
        <w:t>different</w:t>
      </w:r>
      <w:r w:rsidR="00190923" w:rsidRPr="00981405">
        <w:rPr>
          <w:rFonts w:eastAsia="Batang"/>
        </w:rPr>
        <w:t xml:space="preserve"> </w:t>
      </w:r>
      <w:r w:rsidRPr="00981405">
        <w:rPr>
          <w:rFonts w:eastAsia="Batang"/>
        </w:rPr>
        <w:t>thresholds</w:t>
      </w:r>
      <w:r w:rsidR="00190923" w:rsidRPr="00981405">
        <w:rPr>
          <w:rFonts w:eastAsia="Batang"/>
        </w:rPr>
        <w:t xml:space="preserve"> </w:t>
      </w:r>
      <w:r w:rsidRPr="00981405">
        <w:rPr>
          <w:rFonts w:eastAsia="Batang"/>
        </w:rPr>
        <w:t>under</w:t>
      </w:r>
      <w:r w:rsidR="00190923" w:rsidRPr="00981405">
        <w:rPr>
          <w:rFonts w:eastAsia="Batang"/>
        </w:rPr>
        <w:t xml:space="preserve"> </w:t>
      </w:r>
      <w:r w:rsidRPr="00981405">
        <w:rPr>
          <w:rFonts w:eastAsia="Batang"/>
        </w:rPr>
        <w:t>article</w:t>
      </w:r>
      <w:r w:rsidR="00190923" w:rsidRPr="00981405">
        <w:rPr>
          <w:rFonts w:eastAsia="Batang"/>
        </w:rPr>
        <w:t xml:space="preserve"> </w:t>
      </w:r>
      <w:r w:rsidRPr="00981405">
        <w:rPr>
          <w:rFonts w:eastAsia="Batang"/>
        </w:rPr>
        <w:t>7</w:t>
      </w:r>
      <w:r w:rsidR="00190923" w:rsidRPr="00981405">
        <w:rPr>
          <w:rFonts w:eastAsia="Batang"/>
        </w:rPr>
        <w:t xml:space="preserve"> </w:t>
      </w:r>
      <w:r w:rsidRPr="00981405">
        <w:rPr>
          <w:rFonts w:eastAsia="Batang"/>
        </w:rPr>
        <w:t>(1)</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(2)</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Statute.</w:t>
      </w:r>
      <w:r w:rsidR="00B92E2C" w:rsidRPr="00981405">
        <w:rPr>
          <w:rFonts w:eastAsia="Batang"/>
        </w:rPr>
        <w:t>”</w:t>
      </w:r>
      <w:r w:rsidRPr="00981405">
        <w:rPr>
          <w:rStyle w:val="FootnoteReference"/>
        </w:rPr>
        <w:footnoteReference w:id="190"/>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element</w:t>
      </w:r>
      <w:r w:rsidR="00190923" w:rsidRPr="00981405">
        <w:rPr>
          <w:rFonts w:eastAsia="Batang"/>
        </w:rPr>
        <w:t xml:space="preserve"> </w:t>
      </w:r>
      <w:r w:rsidRPr="00981405">
        <w:rPr>
          <w:rFonts w:eastAsia="Batang"/>
        </w:rPr>
        <w:t>requires</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be</w:t>
      </w:r>
      <w:r w:rsidR="00190923" w:rsidRPr="00981405">
        <w:rPr>
          <w:rFonts w:eastAsia="Batang"/>
        </w:rPr>
        <w:t xml:space="preserve"> </w:t>
      </w:r>
      <w:r w:rsidR="00B92E2C" w:rsidRPr="00981405">
        <w:rPr>
          <w:rFonts w:eastAsia="Batang"/>
        </w:rPr>
        <w:t>“</w:t>
      </w:r>
      <w:r w:rsidRPr="00981405">
        <w:rPr>
          <w:rFonts w:eastAsia="Batang"/>
        </w:rPr>
        <w:t>linked</w:t>
      </w:r>
      <w:r w:rsidR="00B92E2C" w:rsidRPr="00981405">
        <w:rPr>
          <w:rFonts w:eastAsia="Batang"/>
        </w:rPr>
        <w:t>”</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organization,</w:t>
      </w:r>
      <w:r w:rsidRPr="00981405">
        <w:rPr>
          <w:rStyle w:val="FootnoteReference"/>
        </w:rPr>
        <w:footnoteReference w:id="191"/>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it</w:t>
      </w:r>
      <w:r w:rsidR="00190923" w:rsidRPr="00981405">
        <w:rPr>
          <w:rFonts w:eastAsia="Batang"/>
        </w:rPr>
        <w:t xml:space="preserve"> </w:t>
      </w:r>
      <w:r w:rsidRPr="00981405">
        <w:rPr>
          <w:rFonts w:eastAsia="Batang"/>
        </w:rPr>
        <w:t>excludes</w:t>
      </w:r>
      <w:r w:rsidR="00190923" w:rsidRPr="00981405">
        <w:rPr>
          <w:rFonts w:eastAsia="Batang"/>
        </w:rPr>
        <w:t xml:space="preserve"> </w:t>
      </w:r>
      <w:r w:rsidR="00B92E2C" w:rsidRPr="00981405">
        <w:rPr>
          <w:rFonts w:eastAsia="Batang"/>
        </w:rPr>
        <w:t>“</w:t>
      </w:r>
      <w:r w:rsidRPr="00981405">
        <w:rPr>
          <w:rFonts w:eastAsia="Batang"/>
        </w:rPr>
        <w:t>spontaneous</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isolated</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violence</w:t>
      </w:r>
      <w:r w:rsidR="00B92E2C" w:rsidRPr="00981405">
        <w:rPr>
          <w:rFonts w:eastAsia="Batang"/>
        </w:rPr>
        <w:t>”</w:t>
      </w:r>
      <w:r w:rsidRPr="00981405">
        <w:rPr>
          <w:rFonts w:eastAsia="Batang"/>
        </w:rPr>
        <w:t>,</w:t>
      </w:r>
      <w:r w:rsidR="00190923" w:rsidRPr="00981405">
        <w:rPr>
          <w:rFonts w:eastAsia="Batang"/>
        </w:rPr>
        <w:t xml:space="preserve"> </w:t>
      </w:r>
      <w:r w:rsidRPr="00981405">
        <w:rPr>
          <w:rFonts w:eastAsia="Batang"/>
        </w:rPr>
        <w:t>but</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need</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formally</w:t>
      </w:r>
      <w:r w:rsidR="00190923" w:rsidRPr="00981405">
        <w:rPr>
          <w:rFonts w:eastAsia="Batang"/>
        </w:rPr>
        <w:t xml:space="preserve"> </w:t>
      </w:r>
      <w:r w:rsidRPr="00981405">
        <w:rPr>
          <w:rFonts w:eastAsia="Batang"/>
        </w:rPr>
        <w:t>adopted</w:t>
      </w:r>
      <w:r w:rsidRPr="00981405">
        <w:rPr>
          <w:rStyle w:val="FootnoteReference"/>
        </w:rPr>
        <w:footnoteReference w:id="192"/>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proof</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particular</w:t>
      </w:r>
      <w:r w:rsidR="00190923" w:rsidRPr="00981405">
        <w:rPr>
          <w:rFonts w:eastAsia="Batang"/>
        </w:rPr>
        <w:t xml:space="preserve"> </w:t>
      </w:r>
      <w:r w:rsidRPr="00981405">
        <w:rPr>
          <w:rFonts w:eastAsia="Batang"/>
        </w:rPr>
        <w:t>rationale</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motive</w:t>
      </w:r>
      <w:r w:rsidR="00190923" w:rsidRPr="00981405">
        <w:rPr>
          <w:rFonts w:eastAsia="Batang"/>
        </w:rPr>
        <w:t xml:space="preserve"> </w:t>
      </w:r>
      <w:r w:rsidRPr="00981405">
        <w:rPr>
          <w:rFonts w:eastAsia="Batang"/>
        </w:rPr>
        <w:t>is</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required.</w:t>
      </w:r>
      <w:r w:rsidRPr="00981405">
        <w:rPr>
          <w:rStyle w:val="FootnoteReference"/>
        </w:rPr>
        <w:footnoteReference w:id="193"/>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Bemba</w:t>
      </w:r>
      <w:r w:rsidR="00190923" w:rsidRPr="00981405">
        <w:t xml:space="preserve"> </w:t>
      </w:r>
      <w:r w:rsidRPr="00981405">
        <w:t>case,</w:t>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found</w:t>
      </w:r>
      <w:r w:rsidR="00190923" w:rsidRPr="00981405">
        <w:t xml:space="preserve"> </w:t>
      </w:r>
      <w:r w:rsidRPr="00981405">
        <w:t>that</w:t>
      </w:r>
      <w:r w:rsidR="00190923" w:rsidRPr="00981405">
        <w:t xml:space="preserve"> </w:t>
      </w:r>
      <w:r w:rsidRPr="00981405">
        <w:t>the</w:t>
      </w:r>
      <w:r w:rsidR="00190923" w:rsidRPr="00981405">
        <w:t xml:space="preserve"> </w:t>
      </w:r>
      <w:r w:rsidRPr="00981405">
        <w:t>attack</w:t>
      </w:r>
      <w:r w:rsidR="00190923" w:rsidRPr="00981405">
        <w:t xml:space="preserve"> </w:t>
      </w:r>
      <w:r w:rsidRPr="00981405">
        <w:lastRenderedPageBreak/>
        <w:t>was</w:t>
      </w:r>
      <w:r w:rsidR="00190923" w:rsidRPr="00981405">
        <w:t xml:space="preserve"> </w:t>
      </w:r>
      <w:r w:rsidRPr="00981405">
        <w:t>pursuant</w:t>
      </w:r>
      <w:r w:rsidR="00190923" w:rsidRPr="00981405">
        <w:t xml:space="preserve"> </w:t>
      </w:r>
      <w:r w:rsidRPr="00981405">
        <w:t>to</w:t>
      </w:r>
      <w:r w:rsidR="00190923" w:rsidRPr="00981405">
        <w:t xml:space="preserve"> </w:t>
      </w:r>
      <w:r w:rsidRPr="00981405">
        <w:t>an</w:t>
      </w:r>
      <w:r w:rsidR="00190923" w:rsidRPr="00981405">
        <w:t xml:space="preserve"> </w:t>
      </w:r>
      <w:r w:rsidRPr="00981405">
        <w:t>organizational</w:t>
      </w:r>
      <w:r w:rsidR="00190923" w:rsidRPr="00981405">
        <w:t xml:space="preserve"> </w:t>
      </w:r>
      <w:r w:rsidRPr="00981405">
        <w:t>policy</w:t>
      </w:r>
      <w:r w:rsidR="00190923" w:rsidRPr="00981405">
        <w:t xml:space="preserve"> </w:t>
      </w:r>
      <w:r w:rsidRPr="00981405">
        <w:t>based</w:t>
      </w:r>
      <w:r w:rsidR="00190923" w:rsidRPr="00981405">
        <w:t xml:space="preserve"> </w:t>
      </w:r>
      <w:r w:rsidRPr="00981405">
        <w:t>on</w:t>
      </w:r>
      <w:r w:rsidR="00190923" w:rsidRPr="00981405">
        <w:t xml:space="preserve"> </w:t>
      </w:r>
      <w:r w:rsidRPr="00981405">
        <w:t>evidence</w:t>
      </w:r>
      <w:r w:rsidR="00190923" w:rsidRPr="00981405">
        <w:t xml:space="preserve"> </w:t>
      </w:r>
      <w:r w:rsidRPr="00981405">
        <w:t>establishing</w:t>
      </w:r>
      <w:r w:rsidR="00190923" w:rsidRPr="00981405">
        <w:t xml:space="preserve"> </w:t>
      </w:r>
      <w:r w:rsidRPr="00981405">
        <w:t>that</w:t>
      </w:r>
      <w:r w:rsidR="00190923" w:rsidRPr="00981405">
        <w:t xml:space="preserve"> </w:t>
      </w:r>
      <w:r w:rsidRPr="00981405">
        <w:t>the</w:t>
      </w:r>
      <w:r w:rsidR="00190923" w:rsidRPr="00981405">
        <w:t xml:space="preserve"> </w:t>
      </w:r>
      <w:r w:rsidRPr="00981405">
        <w:t>MLC</w:t>
      </w:r>
      <w:r w:rsidR="00190923" w:rsidRPr="00981405">
        <w:t xml:space="preserve"> </w:t>
      </w:r>
      <w:r w:rsidRPr="00981405">
        <w:t>troops</w:t>
      </w:r>
      <w:r w:rsidR="00190923" w:rsidRPr="00981405">
        <w:t xml:space="preserve"> </w:t>
      </w:r>
      <w:r w:rsidR="00B92E2C" w:rsidRPr="00981405">
        <w:t>“</w:t>
      </w:r>
      <w:r w:rsidRPr="00981405">
        <w:t>carried</w:t>
      </w:r>
      <w:r w:rsidR="00190923" w:rsidRPr="00981405">
        <w:t xml:space="preserve"> </w:t>
      </w:r>
      <w:r w:rsidRPr="00981405">
        <w:t>out</w:t>
      </w:r>
      <w:r w:rsidR="00190923" w:rsidRPr="00981405">
        <w:t xml:space="preserve"> </w:t>
      </w:r>
      <w:r w:rsidRPr="00981405">
        <w:t>attacks</w:t>
      </w:r>
      <w:r w:rsidR="00190923" w:rsidRPr="00981405">
        <w:t xml:space="preserve"> </w:t>
      </w:r>
      <w:r w:rsidRPr="00981405">
        <w:t>following</w:t>
      </w:r>
      <w:r w:rsidR="00190923" w:rsidRPr="00981405">
        <w:t xml:space="preserve"> </w:t>
      </w:r>
      <w:r w:rsidRPr="00981405">
        <w:t>the</w:t>
      </w:r>
      <w:r w:rsidR="00190923" w:rsidRPr="00981405">
        <w:t xml:space="preserve"> </w:t>
      </w:r>
      <w:r w:rsidRPr="00981405">
        <w:t>same</w:t>
      </w:r>
      <w:r w:rsidR="00190923" w:rsidRPr="00981405">
        <w:t xml:space="preserve"> </w:t>
      </w:r>
      <w:r w:rsidRPr="00981405">
        <w:t>pattern.</w:t>
      </w:r>
      <w:r w:rsidR="00B92E2C" w:rsidRPr="00981405">
        <w:t>”</w:t>
      </w:r>
      <w:r w:rsidRPr="00981405">
        <w:rPr>
          <w:rStyle w:val="FootnoteReference"/>
        </w:rPr>
        <w:footnoteReference w:id="194"/>
      </w:r>
      <w:bookmarkStart w:id="90" w:name="_Ref341697589"/>
      <w:bookmarkStart w:id="91" w:name="_Ref216259550"/>
    </w:p>
    <w:p w:rsidR="00397032" w:rsidRPr="00981405" w:rsidRDefault="00397032" w:rsidP="00D97463">
      <w:pPr>
        <w:pStyle w:val="SingleTxt"/>
      </w:pPr>
      <w:r w:rsidRPr="00981405">
        <w:rPr>
          <w:rFonts w:eastAsia="Batang"/>
        </w:rPr>
        <w:t>(28)</w:t>
      </w:r>
      <w:r w:rsidRPr="00981405">
        <w:rPr>
          <w:rFonts w:eastAsia="Batang"/>
        </w:rPr>
        <w:tab/>
      </w:r>
      <w:r w:rsidRPr="00981405">
        <w:t>The</w:t>
      </w:r>
      <w:r w:rsidR="00190923" w:rsidRPr="00981405">
        <w:t xml:space="preserve"> </w:t>
      </w:r>
      <w:r w:rsidRPr="00981405">
        <w:t>second</w:t>
      </w:r>
      <w:r w:rsidR="00190923" w:rsidRPr="00981405">
        <w:t xml:space="preserve"> </w:t>
      </w:r>
      <w:r w:rsidRPr="00981405">
        <w:t>part</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2(a),</w:t>
      </w:r>
      <w:r w:rsidR="00190923" w:rsidRPr="00981405">
        <w:t xml:space="preserve"> </w:t>
      </w:r>
      <w:r w:rsidRPr="00981405">
        <w:t>refers</w:t>
      </w:r>
      <w:r w:rsidR="00190923" w:rsidRPr="00981405">
        <w:t xml:space="preserve"> </w:t>
      </w:r>
      <w:r w:rsidRPr="00981405">
        <w:t>to</w:t>
      </w:r>
      <w:r w:rsidR="00190923" w:rsidRPr="00981405">
        <w:t xml:space="preserve"> </w:t>
      </w:r>
      <w:r w:rsidRPr="00981405">
        <w:t>either</w:t>
      </w:r>
      <w:r w:rsidR="00190923" w:rsidRPr="00981405">
        <w:t xml:space="preserve"> </w:t>
      </w:r>
      <w:r w:rsidRPr="00981405">
        <w:t>a</w:t>
      </w:r>
      <w:r w:rsidR="00190923" w:rsidRPr="00981405">
        <w:t xml:space="preserve"> </w:t>
      </w:r>
      <w:r w:rsidR="00B92E2C" w:rsidRPr="00981405">
        <w:t>“</w:t>
      </w:r>
      <w:r w:rsidRPr="00981405">
        <w:t>State</w:t>
      </w:r>
      <w:r w:rsidR="00B92E2C" w:rsidRPr="00981405">
        <w:t>”</w:t>
      </w:r>
      <w:r w:rsidR="00190923" w:rsidRPr="00981405">
        <w:t xml:space="preserve"> </w:t>
      </w:r>
      <w:r w:rsidRPr="00981405">
        <w:t>or</w:t>
      </w:r>
      <w:r w:rsidR="00190923" w:rsidRPr="00981405">
        <w:t xml:space="preserve"> </w:t>
      </w:r>
      <w:r w:rsidR="00B92E2C" w:rsidRPr="00981405">
        <w:t>“</w:t>
      </w:r>
      <w:r w:rsidRPr="00981405">
        <w:t>organizational</w:t>
      </w:r>
      <w:r w:rsidR="00B92E2C" w:rsidRPr="00981405">
        <w:t>”</w:t>
      </w:r>
      <w:r w:rsidR="00190923" w:rsidRPr="00981405">
        <w:t xml:space="preserve"> </w:t>
      </w:r>
      <w:r w:rsidRPr="00981405">
        <w:t>policy</w:t>
      </w:r>
      <w:r w:rsidR="00190923" w:rsidRPr="00981405">
        <w:t xml:space="preserve"> </w:t>
      </w:r>
      <w:r w:rsidRPr="00981405">
        <w:t>to</w:t>
      </w:r>
      <w:r w:rsidR="00190923" w:rsidRPr="00981405">
        <w:t xml:space="preserve"> </w:t>
      </w:r>
      <w:r w:rsidRPr="00981405">
        <w:t>commit</w:t>
      </w:r>
      <w:r w:rsidR="00190923" w:rsidRPr="00981405">
        <w:t xml:space="preserve"> </w:t>
      </w:r>
      <w:r w:rsidRPr="00981405">
        <w:t>such</w:t>
      </w:r>
      <w:r w:rsidR="00190923" w:rsidRPr="00981405">
        <w:t xml:space="preserve"> </w:t>
      </w:r>
      <w:r w:rsidRPr="00981405">
        <w:t>an</w:t>
      </w:r>
      <w:r w:rsidR="00190923" w:rsidRPr="00981405">
        <w:t xml:space="preserve"> </w:t>
      </w:r>
      <w:r w:rsidRPr="00981405">
        <w:t>attack,</w:t>
      </w:r>
      <w:r w:rsidR="00190923" w:rsidRPr="00981405">
        <w:t xml:space="preserve"> </w:t>
      </w:r>
      <w:r w:rsidRPr="00981405">
        <w:t>as</w:t>
      </w:r>
      <w:r w:rsidR="00190923" w:rsidRPr="00981405">
        <w:t xml:space="preserve"> </w:t>
      </w:r>
      <w:r w:rsidRPr="00981405">
        <w:t>does</w:t>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2(a),</w:t>
      </w:r>
      <w:r w:rsidR="00190923" w:rsidRPr="00981405">
        <w:t xml:space="preserve"> </w:t>
      </w:r>
      <w:r w:rsidRPr="00981405">
        <w:t>of</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rPr>
          <w:rFonts w:eastAsia="Batang"/>
        </w:rPr>
        <w:t>In</w:t>
      </w:r>
      <w:r w:rsidR="00190923" w:rsidRPr="00981405">
        <w:rPr>
          <w:rFonts w:eastAsia="Batang"/>
        </w:rPr>
        <w:t xml:space="preserve"> </w:t>
      </w:r>
      <w:r w:rsidRPr="00981405">
        <w:rPr>
          <w:rFonts w:eastAsia="Batang"/>
        </w:rPr>
        <w:t>its</w:t>
      </w:r>
      <w:r w:rsidR="00190923" w:rsidRPr="00981405">
        <w:rPr>
          <w:rFonts w:eastAsia="Batang"/>
        </w:rPr>
        <w:t xml:space="preserve"> </w:t>
      </w:r>
      <w:r w:rsidRPr="00D97463">
        <w:rPr>
          <w:i/>
          <w:iCs/>
        </w:rPr>
        <w:t>Kenya</w:t>
      </w:r>
      <w:r w:rsidR="00190923" w:rsidRPr="00981405">
        <w:rPr>
          <w:i/>
          <w:iCs/>
        </w:rPr>
        <w:t xml:space="preserve"> </w:t>
      </w:r>
      <w:r w:rsidRPr="00D97463">
        <w:rPr>
          <w:i/>
          <w:iCs/>
        </w:rPr>
        <w:t>Authorization</w:t>
      </w:r>
      <w:r w:rsidR="00190923" w:rsidRPr="00981405">
        <w:rPr>
          <w:i/>
          <w:iCs/>
        </w:rPr>
        <w:t xml:space="preserve"> </w:t>
      </w:r>
      <w:r w:rsidRPr="00D97463">
        <w:rPr>
          <w:i/>
          <w:iCs/>
        </w:rPr>
        <w:t>Decision</w:t>
      </w:r>
      <w:r w:rsidR="00190923" w:rsidRPr="00981405">
        <w:rPr>
          <w:i/>
          <w:iCs/>
        </w:rPr>
        <w:t xml:space="preserve"> </w:t>
      </w:r>
      <w:r w:rsidRPr="00D97463">
        <w:rPr>
          <w:i/>
          <w:iCs/>
        </w:rPr>
        <w:t>2010</w:t>
      </w:r>
      <w:r w:rsidRPr="00981405">
        <w:rPr>
          <w:rFonts w:eastAsia="Batang"/>
        </w:rPr>
        <w:t>,</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ICC</w:t>
      </w:r>
      <w:r w:rsidR="00190923" w:rsidRPr="00981405">
        <w:rPr>
          <w:rFonts w:eastAsia="Batang"/>
        </w:rPr>
        <w:t xml:space="preserve"> </w:t>
      </w:r>
      <w:r w:rsidRPr="00981405">
        <w:rPr>
          <w:rFonts w:eastAsia="Batang"/>
        </w:rPr>
        <w:t>Pre-Trial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suggested</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00B92E2C" w:rsidRPr="00981405">
        <w:t>“</w:t>
      </w:r>
      <w:r w:rsidRPr="00981405">
        <w:t>State</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7,</w:t>
      </w:r>
      <w:r w:rsidR="00190923" w:rsidRPr="00981405">
        <w:t xml:space="preserve"> </w:t>
      </w:r>
      <w:r w:rsidRPr="00981405">
        <w:t>paragraph</w:t>
      </w:r>
      <w:r w:rsidR="00190923" w:rsidRPr="00981405">
        <w:t xml:space="preserve"> </w:t>
      </w:r>
      <w:r w:rsidRPr="00981405">
        <w:t>2(a),</w:t>
      </w:r>
      <w:r w:rsidR="00190923" w:rsidRPr="00981405">
        <w:t xml:space="preserve"> </w:t>
      </w:r>
      <w:r w:rsidRPr="00981405">
        <w:rPr>
          <w:rFonts w:eastAsia="Batang"/>
        </w:rPr>
        <w:t>is</w:t>
      </w:r>
      <w:r w:rsidR="00190923" w:rsidRPr="00981405">
        <w:rPr>
          <w:rFonts w:eastAsia="Batang"/>
        </w:rPr>
        <w:t xml:space="preserve"> </w:t>
      </w:r>
      <w:r w:rsidR="00B92E2C" w:rsidRPr="00981405">
        <w:rPr>
          <w:rFonts w:eastAsia="Batang"/>
        </w:rPr>
        <w:t>“</w:t>
      </w:r>
      <w:r w:rsidRPr="00981405">
        <w:rPr>
          <w:rFonts w:eastAsia="Batang"/>
        </w:rPr>
        <w:t>self-explanatory.</w:t>
      </w:r>
      <w:r w:rsidR="00B92E2C" w:rsidRPr="00981405">
        <w:rPr>
          <w:rFonts w:eastAsia="Batang"/>
        </w:rPr>
        <w:t>”</w:t>
      </w:r>
      <w:r w:rsidRPr="00981405">
        <w:rPr>
          <w:rStyle w:val="FootnoteReference"/>
        </w:rPr>
        <w:footnoteReference w:id="195"/>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went</w:t>
      </w:r>
      <w:r w:rsidR="00190923" w:rsidRPr="00981405">
        <w:rPr>
          <w:rFonts w:eastAsia="Batang"/>
        </w:rPr>
        <w:t xml:space="preserve"> </w:t>
      </w:r>
      <w:r w:rsidRPr="00981405">
        <w:rPr>
          <w:rFonts w:eastAsia="Batang"/>
        </w:rPr>
        <w:t>on</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note</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policy</w:t>
      </w:r>
      <w:r w:rsidR="00190923" w:rsidRPr="00981405">
        <w:rPr>
          <w:rFonts w:eastAsia="Batang"/>
        </w:rPr>
        <w:t xml:space="preserve"> </w:t>
      </w:r>
      <w:r w:rsidRPr="00981405">
        <w:rPr>
          <w:rFonts w:eastAsia="Batang"/>
        </w:rPr>
        <w:t>adopted</w:t>
      </w:r>
      <w:r w:rsidR="00190923" w:rsidRPr="00981405">
        <w:rPr>
          <w:rFonts w:eastAsia="Batang"/>
        </w:rPr>
        <w:t xml:space="preserve"> </w:t>
      </w:r>
      <w:r w:rsidRPr="00981405">
        <w:rPr>
          <w:rFonts w:eastAsia="Batang"/>
        </w:rPr>
        <w:t>by</w:t>
      </w:r>
      <w:r w:rsidR="00190923" w:rsidRPr="00981405">
        <w:rPr>
          <w:rFonts w:eastAsia="Batang"/>
        </w:rPr>
        <w:t xml:space="preserve"> </w:t>
      </w:r>
      <w:r w:rsidRPr="00981405">
        <w:rPr>
          <w:rFonts w:eastAsia="Batang"/>
        </w:rPr>
        <w:t>regional</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local</w:t>
      </w:r>
      <w:r w:rsidR="00190923" w:rsidRPr="00981405">
        <w:rPr>
          <w:rFonts w:eastAsia="Batang"/>
        </w:rPr>
        <w:t xml:space="preserve"> </w:t>
      </w:r>
      <w:r w:rsidRPr="00981405">
        <w:rPr>
          <w:rFonts w:eastAsia="Batang"/>
        </w:rPr>
        <w:t>organs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could</w:t>
      </w:r>
      <w:r w:rsidR="00190923" w:rsidRPr="00981405">
        <w:rPr>
          <w:rFonts w:eastAsia="Batang"/>
        </w:rPr>
        <w:t xml:space="preserve"> </w:t>
      </w:r>
      <w:r w:rsidRPr="00981405">
        <w:rPr>
          <w:rFonts w:eastAsia="Batang"/>
        </w:rPr>
        <w:t>satisfy</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requirement</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State</w:t>
      </w:r>
      <w:r w:rsidR="00190923" w:rsidRPr="00981405">
        <w:rPr>
          <w:rFonts w:eastAsia="Batang"/>
        </w:rPr>
        <w:t xml:space="preserve"> </w:t>
      </w:r>
      <w:r w:rsidRPr="00981405">
        <w:rPr>
          <w:rFonts w:eastAsia="Batang"/>
        </w:rPr>
        <w:t>policy.</w:t>
      </w:r>
      <w:r w:rsidRPr="00981405">
        <w:rPr>
          <w:rStyle w:val="FootnoteReference"/>
        </w:rPr>
        <w:footnoteReference w:id="196"/>
      </w:r>
    </w:p>
    <w:p w:rsidR="00397032" w:rsidRPr="00981405" w:rsidRDefault="00397032" w:rsidP="00D97463">
      <w:pPr>
        <w:pStyle w:val="SingleTxt"/>
      </w:pPr>
      <w:r w:rsidRPr="00981405">
        <w:t>(29)</w:t>
      </w:r>
      <w:r w:rsidRPr="00981405">
        <w:tab/>
        <w:t>Jurisprudence</w:t>
      </w:r>
      <w:r w:rsidR="00190923" w:rsidRPr="00981405">
        <w:t xml:space="preserve"> </w:t>
      </w:r>
      <w:r w:rsidRPr="00981405">
        <w:t>from</w:t>
      </w:r>
      <w:r w:rsidR="00190923" w:rsidRPr="00981405">
        <w:t xml:space="preserve"> </w:t>
      </w:r>
      <w:r w:rsidRPr="00981405">
        <w:t>the</w:t>
      </w:r>
      <w:r w:rsidR="00190923" w:rsidRPr="00981405">
        <w:t xml:space="preserve"> </w:t>
      </w:r>
      <w:r w:rsidRPr="00981405">
        <w:t>ICC</w:t>
      </w:r>
      <w:r w:rsidR="00190923" w:rsidRPr="00981405">
        <w:t xml:space="preserve"> </w:t>
      </w:r>
      <w:r w:rsidRPr="00981405">
        <w:t>suggests</w:t>
      </w:r>
      <w:r w:rsidR="00190923" w:rsidRPr="00981405">
        <w:t xml:space="preserve"> </w:t>
      </w:r>
      <w:r w:rsidRPr="00981405">
        <w:t>that</w:t>
      </w:r>
      <w:r w:rsidR="00190923" w:rsidRPr="00981405">
        <w:t xml:space="preserve"> </w:t>
      </w:r>
      <w:r w:rsidR="00B92E2C" w:rsidRPr="00981405">
        <w:t>“</w:t>
      </w:r>
      <w:r w:rsidRPr="00981405">
        <w:t>organizational</w:t>
      </w:r>
      <w:r w:rsidR="00B92E2C" w:rsidRPr="00981405">
        <w:t>”</w:t>
      </w:r>
      <w:r w:rsidR="00190923" w:rsidRPr="00981405">
        <w:t xml:space="preserve"> </w:t>
      </w:r>
      <w:r w:rsidRPr="00981405">
        <w:t>includes</w:t>
      </w:r>
      <w:r w:rsidR="00190923" w:rsidRPr="00981405">
        <w:t xml:space="preserve"> </w:t>
      </w:r>
      <w:r w:rsidRPr="00981405">
        <w:t>any</w:t>
      </w:r>
      <w:r w:rsidR="00190923" w:rsidRPr="00981405">
        <w:t xml:space="preserve"> </w:t>
      </w:r>
      <w:r w:rsidRPr="00981405">
        <w:t>organization</w:t>
      </w:r>
      <w:r w:rsidR="00190923" w:rsidRPr="00981405">
        <w:t xml:space="preserve"> </w:t>
      </w:r>
      <w:r w:rsidRPr="00981405">
        <w:t>or</w:t>
      </w:r>
      <w:r w:rsidR="00190923" w:rsidRPr="00981405">
        <w:t xml:space="preserve"> </w:t>
      </w:r>
      <w:r w:rsidRPr="00981405">
        <w:t>group</w:t>
      </w:r>
      <w:r w:rsidR="00190923" w:rsidRPr="00981405">
        <w:t xml:space="preserve"> </w:t>
      </w:r>
      <w:r w:rsidRPr="00981405">
        <w:t>with</w:t>
      </w:r>
      <w:r w:rsidR="00190923" w:rsidRPr="00981405">
        <w:t xml:space="preserve"> </w:t>
      </w:r>
      <w:r w:rsidRPr="00981405">
        <w:t>the</w:t>
      </w:r>
      <w:r w:rsidR="00190923" w:rsidRPr="00981405">
        <w:t xml:space="preserve"> </w:t>
      </w:r>
      <w:r w:rsidRPr="00981405">
        <w:t>capacity</w:t>
      </w:r>
      <w:r w:rsidR="00190923" w:rsidRPr="00981405">
        <w:t xml:space="preserve"> </w:t>
      </w:r>
      <w:r w:rsidRPr="00981405">
        <w:t>and</w:t>
      </w:r>
      <w:r w:rsidR="00190923" w:rsidRPr="00981405">
        <w:t xml:space="preserve"> </w:t>
      </w:r>
      <w:r w:rsidRPr="00981405">
        <w:t>resources</w:t>
      </w:r>
      <w:r w:rsidR="00190923" w:rsidRPr="00981405">
        <w:t xml:space="preserve"> </w:t>
      </w:r>
      <w:r w:rsidRPr="00981405">
        <w:t>to</w:t>
      </w:r>
      <w:r w:rsidR="00190923" w:rsidRPr="00981405">
        <w:t xml:space="preserve"> </w:t>
      </w:r>
      <w:r w:rsidRPr="00981405">
        <w:t>plan</w:t>
      </w:r>
      <w:r w:rsidR="00190923" w:rsidRPr="00981405">
        <w:t xml:space="preserve"> </w:t>
      </w:r>
      <w:r w:rsidRPr="00981405">
        <w:t>and</w:t>
      </w:r>
      <w:r w:rsidR="00190923" w:rsidRPr="00981405">
        <w:t xml:space="preserve"> </w:t>
      </w:r>
      <w:r w:rsidRPr="00981405">
        <w:t>carry</w:t>
      </w:r>
      <w:r w:rsidR="00190923" w:rsidRPr="00981405">
        <w:t xml:space="preserve"> </w:t>
      </w:r>
      <w:r w:rsidRPr="00981405">
        <w:t>out</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For</w:t>
      </w:r>
      <w:r w:rsidR="00190923" w:rsidRPr="00981405">
        <w:t xml:space="preserve"> </w:t>
      </w:r>
      <w:r w:rsidRPr="00981405">
        <w:t>example,</w:t>
      </w:r>
      <w:r w:rsidR="00190923" w:rsidRPr="00981405">
        <w:t xml:space="preserve"> </w:t>
      </w:r>
      <w:r w:rsidRPr="00981405">
        <w:t>a</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Katanga</w:t>
      </w:r>
      <w:r w:rsidR="00190923" w:rsidRPr="00981405">
        <w:t xml:space="preserve"> </w:t>
      </w:r>
      <w:r w:rsidRPr="00981405">
        <w:t>stated:</w:t>
      </w:r>
      <w:r w:rsidR="00190923" w:rsidRPr="00981405">
        <w:t xml:space="preserve"> </w:t>
      </w:r>
      <w:r w:rsidR="00B92E2C" w:rsidRPr="00981405">
        <w:t>“</w:t>
      </w:r>
      <w:r w:rsidRPr="00981405">
        <w:t>Such</w:t>
      </w:r>
      <w:r w:rsidR="00190923" w:rsidRPr="00981405">
        <w:t xml:space="preserve"> </w:t>
      </w:r>
      <w:r w:rsidRPr="00981405">
        <w:t>a</w:t>
      </w:r>
      <w:r w:rsidR="00190923" w:rsidRPr="00981405">
        <w:t xml:space="preserve"> </w:t>
      </w:r>
      <w:r w:rsidRPr="00981405">
        <w:t>policy</w:t>
      </w:r>
      <w:r w:rsidR="00190923" w:rsidRPr="00981405">
        <w:t xml:space="preserve"> </w:t>
      </w:r>
      <w:r w:rsidRPr="00981405">
        <w:t>may</w:t>
      </w:r>
      <w:r w:rsidR="00190923" w:rsidRPr="00981405">
        <w:t xml:space="preserve"> </w:t>
      </w:r>
      <w:r w:rsidRPr="00981405">
        <w:t>be</w:t>
      </w:r>
      <w:r w:rsidR="00190923" w:rsidRPr="00981405">
        <w:t xml:space="preserve"> </w:t>
      </w:r>
      <w:r w:rsidRPr="00981405">
        <w:t>made</w:t>
      </w:r>
      <w:r w:rsidR="00190923" w:rsidRPr="00981405">
        <w:t xml:space="preserve"> </w:t>
      </w:r>
      <w:r w:rsidRPr="00981405">
        <w:t>either</w:t>
      </w:r>
      <w:r w:rsidR="00190923" w:rsidRPr="00981405">
        <w:t xml:space="preserve"> </w:t>
      </w:r>
      <w:r w:rsidRPr="00981405">
        <w:t>by</w:t>
      </w:r>
      <w:r w:rsidR="00190923" w:rsidRPr="00981405">
        <w:t xml:space="preserve"> </w:t>
      </w:r>
      <w:r w:rsidRPr="00981405">
        <w:t>groups</w:t>
      </w:r>
      <w:r w:rsidR="00190923" w:rsidRPr="00981405">
        <w:t xml:space="preserve"> </w:t>
      </w:r>
      <w:r w:rsidRPr="00981405">
        <w:t>of</w:t>
      </w:r>
      <w:r w:rsidR="00190923" w:rsidRPr="00981405">
        <w:t xml:space="preserve"> </w:t>
      </w:r>
      <w:r w:rsidRPr="00981405">
        <w:t>persons</w:t>
      </w:r>
      <w:r w:rsidR="00190923" w:rsidRPr="00981405">
        <w:t xml:space="preserve"> </w:t>
      </w:r>
      <w:r w:rsidRPr="00981405">
        <w:t>who</w:t>
      </w:r>
      <w:r w:rsidR="00190923" w:rsidRPr="00981405">
        <w:t xml:space="preserve"> </w:t>
      </w:r>
      <w:r w:rsidRPr="00981405">
        <w:t>govern</w:t>
      </w:r>
      <w:r w:rsidR="00190923" w:rsidRPr="00981405">
        <w:t xml:space="preserve"> </w:t>
      </w:r>
      <w:r w:rsidRPr="00981405">
        <w:t>a</w:t>
      </w:r>
      <w:r w:rsidR="00190923" w:rsidRPr="00981405">
        <w:t xml:space="preserve"> </w:t>
      </w:r>
      <w:r w:rsidRPr="00981405">
        <w:t>specific</w:t>
      </w:r>
      <w:r w:rsidR="00190923" w:rsidRPr="00981405">
        <w:t xml:space="preserve"> </w:t>
      </w:r>
      <w:r w:rsidRPr="00981405">
        <w:t>territory</w:t>
      </w:r>
      <w:r w:rsidR="00190923" w:rsidRPr="00981405">
        <w:t xml:space="preserve"> </w:t>
      </w:r>
      <w:r w:rsidRPr="00981405">
        <w:t>or</w:t>
      </w:r>
      <w:r w:rsidR="00190923" w:rsidRPr="00981405">
        <w:t xml:space="preserve"> </w:t>
      </w:r>
      <w:r w:rsidRPr="00981405">
        <w:t>by</w:t>
      </w:r>
      <w:r w:rsidR="00190923" w:rsidRPr="00981405">
        <w:t xml:space="preserve"> </w:t>
      </w:r>
      <w:r w:rsidRPr="00981405">
        <w:t>any</w:t>
      </w:r>
      <w:r w:rsidR="00190923" w:rsidRPr="00981405">
        <w:t xml:space="preserve"> </w:t>
      </w:r>
      <w:r w:rsidRPr="00981405">
        <w:t>organisation</w:t>
      </w:r>
      <w:r w:rsidR="00190923" w:rsidRPr="00981405">
        <w:t xml:space="preserve"> </w:t>
      </w:r>
      <w:r w:rsidRPr="00981405">
        <w:t>with</w:t>
      </w:r>
      <w:r w:rsidR="00190923" w:rsidRPr="00981405">
        <w:t xml:space="preserve"> </w:t>
      </w:r>
      <w:r w:rsidRPr="00981405">
        <w:t>the</w:t>
      </w:r>
      <w:r w:rsidR="00190923" w:rsidRPr="00981405">
        <w:t xml:space="preserve"> </w:t>
      </w:r>
      <w:r w:rsidRPr="00981405">
        <w:t>capability</w:t>
      </w:r>
      <w:r w:rsidR="00190923" w:rsidRPr="00981405">
        <w:t xml:space="preserve"> </w:t>
      </w:r>
      <w:r w:rsidRPr="00981405">
        <w:t>to</w:t>
      </w:r>
      <w:r w:rsidR="00190923" w:rsidRPr="00981405">
        <w:t xml:space="preserve"> </w:t>
      </w:r>
      <w:r w:rsidRPr="00981405">
        <w:t>commit</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against</w:t>
      </w:r>
      <w:r w:rsidR="00190923" w:rsidRPr="00981405">
        <w:t xml:space="preserve"> </w:t>
      </w:r>
      <w:r w:rsidRPr="00981405">
        <w:t>a</w:t>
      </w:r>
      <w:r w:rsidR="00190923" w:rsidRPr="00981405">
        <w:t xml:space="preserve"> </w:t>
      </w:r>
      <w:r w:rsidRPr="00981405">
        <w:t>civilian</w:t>
      </w:r>
      <w:r w:rsidR="00190923" w:rsidRPr="00981405">
        <w:t xml:space="preserve"> </w:t>
      </w:r>
      <w:r w:rsidRPr="00981405">
        <w:t>population.</w:t>
      </w:r>
      <w:r w:rsidR="00B92E2C" w:rsidRPr="00981405">
        <w:t>”</w:t>
      </w:r>
      <w:r w:rsidRPr="00981405">
        <w:rPr>
          <w:rStyle w:val="FootnoteReference"/>
        </w:rPr>
        <w:footnoteReference w:id="197"/>
      </w:r>
      <w:r w:rsidR="00190923" w:rsidRPr="00981405">
        <w:t xml:space="preserve"> </w:t>
      </w:r>
      <w:r w:rsidRPr="00981405">
        <w:t>An</w:t>
      </w:r>
      <w:r w:rsidR="00190923" w:rsidRPr="00981405">
        <w:t xml:space="preserve"> </w:t>
      </w:r>
      <w:r w:rsidRPr="00981405">
        <w:t>ICC</w:t>
      </w:r>
      <w:r w:rsidR="00190923" w:rsidRPr="00981405">
        <w:t xml:space="preserve"> </w:t>
      </w:r>
      <w:r w:rsidRPr="00981405">
        <w:t>Trial</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Katanga</w:t>
      </w:r>
      <w:r w:rsidR="00190923" w:rsidRPr="00981405">
        <w:rPr>
          <w:i/>
          <w:iCs/>
        </w:rPr>
        <w:t xml:space="preserve"> </w:t>
      </w:r>
      <w:r w:rsidRPr="00981405">
        <w:t>held</w:t>
      </w:r>
      <w:r w:rsidR="00190923" w:rsidRPr="00981405">
        <w:t xml:space="preserve"> </w:t>
      </w:r>
      <w:r w:rsidRPr="00981405">
        <w:t>that</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must</w:t>
      </w:r>
      <w:r w:rsidR="00190923" w:rsidRPr="00981405">
        <w:t xml:space="preserve"> </w:t>
      </w:r>
      <w:r w:rsidRPr="00981405">
        <w:t>have</w:t>
      </w:r>
      <w:r w:rsidR="00190923" w:rsidRPr="00981405">
        <w:t xml:space="preserve"> </w:t>
      </w:r>
      <w:r w:rsidR="00B92E2C" w:rsidRPr="00981405">
        <w:t>“</w:t>
      </w:r>
      <w:r w:rsidRPr="00981405">
        <w:t>sufficient</w:t>
      </w:r>
      <w:r w:rsidR="00190923" w:rsidRPr="00981405">
        <w:t xml:space="preserve"> </w:t>
      </w:r>
      <w:r w:rsidRPr="00981405">
        <w:t>resources,</w:t>
      </w:r>
      <w:r w:rsidR="00190923" w:rsidRPr="00981405">
        <w:t xml:space="preserve"> </w:t>
      </w:r>
      <w:r w:rsidRPr="00981405">
        <w:t>means</w:t>
      </w:r>
      <w:r w:rsidR="00190923" w:rsidRPr="00981405">
        <w:t xml:space="preserve"> </w:t>
      </w:r>
      <w:r w:rsidRPr="00981405">
        <w:t>and</w:t>
      </w:r>
      <w:r w:rsidR="00190923" w:rsidRPr="00981405">
        <w:t xml:space="preserve"> </w:t>
      </w:r>
      <w:r w:rsidRPr="00981405">
        <w:t>capacity</w:t>
      </w:r>
      <w:r w:rsidR="00190923" w:rsidRPr="00981405">
        <w:t xml:space="preserve"> </w:t>
      </w:r>
      <w:r w:rsidRPr="00981405">
        <w:t>to</w:t>
      </w:r>
      <w:r w:rsidR="00190923" w:rsidRPr="00981405">
        <w:t xml:space="preserve"> </w:t>
      </w:r>
      <w:r w:rsidRPr="00981405">
        <w:t>bring</w:t>
      </w:r>
      <w:r w:rsidR="00190923" w:rsidRPr="00981405">
        <w:t xml:space="preserve"> </w:t>
      </w:r>
      <w:r w:rsidRPr="00981405">
        <w:t>about</w:t>
      </w:r>
      <w:r w:rsidR="00190923" w:rsidRPr="00981405">
        <w:t xml:space="preserve"> </w:t>
      </w:r>
      <w:r w:rsidRPr="00981405">
        <w:t>the</w:t>
      </w:r>
      <w:r w:rsidR="00190923" w:rsidRPr="00981405">
        <w:t xml:space="preserve"> </w:t>
      </w:r>
      <w:r w:rsidRPr="00981405">
        <w:t>course</w:t>
      </w:r>
      <w:r w:rsidR="00190923" w:rsidRPr="00981405">
        <w:t xml:space="preserve"> </w:t>
      </w:r>
      <w:r w:rsidRPr="00981405">
        <w:t>of</w:t>
      </w:r>
      <w:r w:rsidR="00190923" w:rsidRPr="00981405">
        <w:t xml:space="preserve"> </w:t>
      </w:r>
      <w:r w:rsidRPr="00981405">
        <w:t>conduct</w:t>
      </w:r>
      <w:r w:rsidR="00190923" w:rsidRPr="00981405">
        <w:t xml:space="preserve"> </w:t>
      </w:r>
      <w:r w:rsidRPr="00981405">
        <w:t>or</w:t>
      </w:r>
      <w:r w:rsidR="00190923" w:rsidRPr="00981405">
        <w:t xml:space="preserve"> </w:t>
      </w:r>
      <w:r w:rsidRPr="00981405">
        <w:t>the</w:t>
      </w:r>
      <w:r w:rsidR="00190923" w:rsidRPr="00981405">
        <w:t xml:space="preserve"> </w:t>
      </w:r>
      <w:r w:rsidRPr="00981405">
        <w:t>operation</w:t>
      </w:r>
      <w:r w:rsidR="00190923" w:rsidRPr="00981405">
        <w:t xml:space="preserve"> </w:t>
      </w:r>
      <w:r w:rsidRPr="00981405">
        <w:t>involving</w:t>
      </w:r>
      <w:r w:rsidR="00190923" w:rsidRPr="00981405">
        <w:t xml:space="preserve"> </w:t>
      </w:r>
      <w:r w:rsidRPr="00981405">
        <w:t>the</w:t>
      </w:r>
      <w:r w:rsidR="00190923" w:rsidRPr="00981405">
        <w:t xml:space="preserve"> </w:t>
      </w:r>
      <w:r w:rsidRPr="00981405">
        <w:t>multiple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acts</w:t>
      </w:r>
      <w:r w:rsidR="00190923" w:rsidRPr="00981405">
        <w:t xml:space="preserve"> </w:t>
      </w:r>
      <w:r w:rsidRPr="00981405">
        <w:t>...</w:t>
      </w:r>
      <w:r w:rsidR="00190923" w:rsidRPr="00981405">
        <w:t xml:space="preserve"> </w:t>
      </w:r>
      <w:r w:rsidRPr="00981405">
        <w:t>a</w:t>
      </w:r>
      <w:r w:rsidR="00190923" w:rsidRPr="00981405">
        <w:t xml:space="preserve"> </w:t>
      </w:r>
      <w:r w:rsidRPr="00981405">
        <w:t>set</w:t>
      </w:r>
      <w:r w:rsidR="00190923" w:rsidRPr="00981405">
        <w:t xml:space="preserve"> </w:t>
      </w:r>
      <w:r w:rsidRPr="00981405">
        <w:t>of</w:t>
      </w:r>
      <w:r w:rsidR="00190923" w:rsidRPr="00981405">
        <w:t xml:space="preserve"> </w:t>
      </w:r>
      <w:r w:rsidRPr="00981405">
        <w:t>structures</w:t>
      </w:r>
      <w:r w:rsidR="00190923" w:rsidRPr="00981405">
        <w:t xml:space="preserve"> </w:t>
      </w:r>
      <w:r w:rsidRPr="00981405">
        <w:t>or</w:t>
      </w:r>
      <w:r w:rsidR="00190923" w:rsidRPr="00981405">
        <w:t xml:space="preserve"> </w:t>
      </w:r>
      <w:r w:rsidRPr="00981405">
        <w:t>mechanisms,</w:t>
      </w:r>
      <w:r w:rsidR="00190923" w:rsidRPr="00981405">
        <w:t xml:space="preserve"> </w:t>
      </w:r>
      <w:r w:rsidRPr="00981405">
        <w:t>whatever</w:t>
      </w:r>
      <w:r w:rsidR="00190923" w:rsidRPr="00981405">
        <w:t xml:space="preserve"> </w:t>
      </w:r>
      <w:r w:rsidRPr="00981405">
        <w:t>those</w:t>
      </w:r>
      <w:r w:rsidR="00190923" w:rsidRPr="00981405">
        <w:t xml:space="preserve"> </w:t>
      </w:r>
      <w:r w:rsidRPr="00981405">
        <w:t>may</w:t>
      </w:r>
      <w:r w:rsidR="00190923" w:rsidRPr="00981405">
        <w:t xml:space="preserve"> </w:t>
      </w:r>
      <w:r w:rsidRPr="00981405">
        <w:t>be,</w:t>
      </w:r>
      <w:r w:rsidR="00190923" w:rsidRPr="00981405">
        <w:t xml:space="preserve"> </w:t>
      </w:r>
      <w:r w:rsidRPr="00981405">
        <w:t>that</w:t>
      </w:r>
      <w:r w:rsidR="00190923" w:rsidRPr="00981405">
        <w:t xml:space="preserve"> </w:t>
      </w:r>
      <w:r w:rsidRPr="00981405">
        <w:t>are</w:t>
      </w:r>
      <w:r w:rsidR="00190923" w:rsidRPr="00981405">
        <w:t xml:space="preserve"> </w:t>
      </w:r>
      <w:r w:rsidRPr="00981405">
        <w:t>sufficiently</w:t>
      </w:r>
      <w:r w:rsidR="00190923" w:rsidRPr="00981405">
        <w:t xml:space="preserve"> </w:t>
      </w:r>
      <w:r w:rsidRPr="00981405">
        <w:t>efficient</w:t>
      </w:r>
      <w:r w:rsidR="00190923" w:rsidRPr="00981405">
        <w:t xml:space="preserve"> </w:t>
      </w:r>
      <w:r w:rsidRPr="00981405">
        <w:t>to</w:t>
      </w:r>
      <w:r w:rsidR="00190923" w:rsidRPr="00981405">
        <w:t xml:space="preserve"> </w:t>
      </w:r>
      <w:r w:rsidRPr="00981405">
        <w:t>ensure</w:t>
      </w:r>
      <w:r w:rsidR="00190923" w:rsidRPr="00981405">
        <w:t xml:space="preserve"> </w:t>
      </w:r>
      <w:r w:rsidRPr="00981405">
        <w:t>the</w:t>
      </w:r>
      <w:r w:rsidR="00190923" w:rsidRPr="00981405">
        <w:t xml:space="preserve"> </w:t>
      </w:r>
      <w:r w:rsidRPr="00981405">
        <w:t>coordination</w:t>
      </w:r>
      <w:r w:rsidR="00190923" w:rsidRPr="00981405">
        <w:t xml:space="preserve"> </w:t>
      </w:r>
      <w:r w:rsidRPr="00981405">
        <w:t>necessary</w:t>
      </w:r>
      <w:r w:rsidR="00190923" w:rsidRPr="00981405">
        <w:t xml:space="preserve"> </w:t>
      </w:r>
      <w:r w:rsidRPr="00981405">
        <w:t>to</w:t>
      </w:r>
      <w:r w:rsidR="00190923" w:rsidRPr="00981405">
        <w:t xml:space="preserve"> </w:t>
      </w:r>
      <w:r w:rsidRPr="00981405">
        <w:t>carry</w:t>
      </w:r>
      <w:r w:rsidR="00190923" w:rsidRPr="00981405">
        <w:t xml:space="preserve"> </w:t>
      </w:r>
      <w:r w:rsidRPr="00981405">
        <w:t>out</w:t>
      </w:r>
      <w:r w:rsidR="00190923" w:rsidRPr="00981405">
        <w:t xml:space="preserve"> </w:t>
      </w:r>
      <w:r w:rsidRPr="00981405">
        <w:t>an</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w:t>
      </w:r>
      <w:r w:rsidR="00190923" w:rsidRPr="00981405">
        <w:t xml:space="preserve"> </w:t>
      </w:r>
      <w:r w:rsidRPr="00981405">
        <w:t>civilian</w:t>
      </w:r>
      <w:r w:rsidR="00190923" w:rsidRPr="00981405">
        <w:t xml:space="preserve"> </w:t>
      </w:r>
      <w:r w:rsidRPr="00981405">
        <w:t>population.</w:t>
      </w:r>
      <w:r w:rsidR="00B92E2C" w:rsidRPr="00981405">
        <w:t>”</w:t>
      </w:r>
      <w:r w:rsidRPr="00981405">
        <w:rPr>
          <w:rStyle w:val="FootnoteReference"/>
        </w:rPr>
        <w:footnoteReference w:id="198"/>
      </w:r>
    </w:p>
    <w:p w:rsidR="00397032" w:rsidRPr="00981405" w:rsidRDefault="00397032" w:rsidP="00D97463">
      <w:pPr>
        <w:pStyle w:val="SingleTxt"/>
        <w:rPr>
          <w:rFonts w:eastAsia="Batang"/>
        </w:rPr>
      </w:pPr>
      <w:r w:rsidRPr="00981405">
        <w:rPr>
          <w:rFonts w:eastAsia="Batang"/>
        </w:rPr>
        <w:t>(30)</w:t>
      </w:r>
      <w:r w:rsidRPr="00981405">
        <w:rPr>
          <w:rFonts w:eastAsia="Batang"/>
        </w:rPr>
        <w:tab/>
        <w:t>In</w:t>
      </w:r>
      <w:r w:rsidR="00190923" w:rsidRPr="00981405">
        <w:rPr>
          <w:rFonts w:eastAsia="Batang"/>
        </w:rPr>
        <w:t xml:space="preserve"> </w:t>
      </w:r>
      <w:r w:rsidRPr="00981405">
        <w:rPr>
          <w:rFonts w:eastAsia="Batang"/>
        </w:rPr>
        <w:t>its</w:t>
      </w:r>
      <w:r w:rsidR="00190923" w:rsidRPr="00981405">
        <w:rPr>
          <w:rFonts w:eastAsia="Batang"/>
        </w:rPr>
        <w:t xml:space="preserve"> </w:t>
      </w:r>
      <w:r w:rsidRPr="00D97463">
        <w:rPr>
          <w:i/>
          <w:iCs/>
        </w:rPr>
        <w:t>Kenya</w:t>
      </w:r>
      <w:r w:rsidR="00190923" w:rsidRPr="00981405">
        <w:rPr>
          <w:i/>
          <w:iCs/>
        </w:rPr>
        <w:t xml:space="preserve"> </w:t>
      </w:r>
      <w:r w:rsidRPr="00D97463">
        <w:rPr>
          <w:i/>
          <w:iCs/>
        </w:rPr>
        <w:t>Authorization</w:t>
      </w:r>
      <w:r w:rsidR="00190923" w:rsidRPr="00981405">
        <w:rPr>
          <w:i/>
          <w:iCs/>
        </w:rPr>
        <w:t xml:space="preserve"> </w:t>
      </w:r>
      <w:r w:rsidRPr="00D97463">
        <w:rPr>
          <w:i/>
          <w:iCs/>
        </w:rPr>
        <w:t>Decision</w:t>
      </w:r>
      <w:r w:rsidR="00190923" w:rsidRPr="00981405">
        <w:rPr>
          <w:i/>
          <w:iCs/>
        </w:rPr>
        <w:t xml:space="preserve"> </w:t>
      </w:r>
      <w:r w:rsidRPr="00D97463">
        <w:rPr>
          <w:i/>
          <w:iCs/>
        </w:rPr>
        <w:t>2010</w:t>
      </w:r>
      <w:r w:rsidRPr="00981405">
        <w:rPr>
          <w:rFonts w:eastAsia="Batang"/>
        </w:rPr>
        <w:t>,</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majority</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ICC</w:t>
      </w:r>
      <w:r w:rsidR="00190923" w:rsidRPr="00981405">
        <w:rPr>
          <w:rFonts w:eastAsia="Batang"/>
        </w:rPr>
        <w:t xml:space="preserve"> </w:t>
      </w:r>
      <w:r w:rsidRPr="00981405">
        <w:rPr>
          <w:rFonts w:eastAsia="Batang"/>
        </w:rPr>
        <w:t>Pre-Trial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rejected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idea</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only</w:t>
      </w:r>
      <w:r w:rsidR="00190923" w:rsidRPr="00981405">
        <w:rPr>
          <w:rFonts w:eastAsia="Batang"/>
        </w:rPr>
        <w:t xml:space="preserve"> </w:t>
      </w:r>
      <w:r w:rsidRPr="00981405">
        <w:rPr>
          <w:rFonts w:eastAsia="Batang"/>
        </w:rPr>
        <w:t>State-like</w:t>
      </w:r>
      <w:r w:rsidR="00190923" w:rsidRPr="00981405">
        <w:rPr>
          <w:rFonts w:eastAsia="Batang"/>
        </w:rPr>
        <w:t xml:space="preserve"> </w:t>
      </w:r>
      <w:r w:rsidRPr="00981405">
        <w:rPr>
          <w:rFonts w:eastAsia="Batang"/>
        </w:rPr>
        <w:t>organizations</w:t>
      </w:r>
      <w:r w:rsidR="00190923" w:rsidRPr="00981405">
        <w:rPr>
          <w:rFonts w:eastAsia="Batang"/>
        </w:rPr>
        <w:t xml:space="preserve"> </w:t>
      </w:r>
      <w:r w:rsidRPr="00981405">
        <w:rPr>
          <w:rFonts w:eastAsia="Batang"/>
        </w:rPr>
        <w:t>may</w:t>
      </w:r>
      <w:r w:rsidR="00190923" w:rsidRPr="00981405">
        <w:rPr>
          <w:rFonts w:eastAsia="Batang"/>
        </w:rPr>
        <w:t xml:space="preserve"> </w:t>
      </w:r>
      <w:r w:rsidRPr="00981405">
        <w:rPr>
          <w:rFonts w:eastAsia="Batang"/>
        </w:rPr>
        <w:t>qualify</w:t>
      </w:r>
      <w:r w:rsidR="00B92E2C" w:rsidRPr="00981405">
        <w:rPr>
          <w:rFonts w:eastAsia="Batang"/>
        </w:rPr>
        <w:t>”</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organizations</w:t>
      </w:r>
      <w:r w:rsidR="00190923" w:rsidRPr="00981405">
        <w:rPr>
          <w:rFonts w:eastAsia="Batang"/>
        </w:rPr>
        <w:t xml:space="preserve"> </w:t>
      </w:r>
      <w:r w:rsidRPr="00981405">
        <w:rPr>
          <w:rFonts w:eastAsia="Batang"/>
        </w:rPr>
        <w:t>for</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purpose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article</w:t>
      </w:r>
      <w:r w:rsidR="00190923" w:rsidRPr="00981405">
        <w:rPr>
          <w:rFonts w:eastAsia="Batang"/>
        </w:rPr>
        <w:t xml:space="preserve"> </w:t>
      </w:r>
      <w:r w:rsidRPr="00981405">
        <w:rPr>
          <w:rFonts w:eastAsia="Batang"/>
        </w:rPr>
        <w:t>7,</w:t>
      </w:r>
      <w:r w:rsidR="00190923" w:rsidRPr="00981405">
        <w:rPr>
          <w:rFonts w:eastAsia="Batang"/>
        </w:rPr>
        <w:t xml:space="preserve"> </w:t>
      </w:r>
      <w:r w:rsidRPr="00981405">
        <w:rPr>
          <w:rFonts w:eastAsia="Batang"/>
        </w:rPr>
        <w:t>paragraph</w:t>
      </w:r>
      <w:r w:rsidR="00190923" w:rsidRPr="00981405">
        <w:rPr>
          <w:rFonts w:eastAsia="Batang"/>
        </w:rPr>
        <w:t xml:space="preserve"> </w:t>
      </w:r>
      <w:r w:rsidRPr="00981405">
        <w:rPr>
          <w:rFonts w:eastAsia="Batang"/>
        </w:rPr>
        <w:t>(2)(a),</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further</w:t>
      </w:r>
      <w:r w:rsidR="00190923" w:rsidRPr="00981405">
        <w:rPr>
          <w:rFonts w:eastAsia="Batang"/>
        </w:rPr>
        <w:t xml:space="preserve"> </w:t>
      </w:r>
      <w:r w:rsidRPr="00981405">
        <w:rPr>
          <w:rFonts w:eastAsia="Batang"/>
        </w:rPr>
        <w:t>stated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the</w:t>
      </w:r>
      <w:r w:rsidR="00190923" w:rsidRPr="00981405">
        <w:rPr>
          <w:rFonts w:eastAsia="Batang"/>
        </w:rPr>
        <w:t xml:space="preserve"> </w:t>
      </w:r>
      <w:r w:rsidRPr="00981405">
        <w:rPr>
          <w:rFonts w:eastAsia="Batang"/>
        </w:rPr>
        <w:t>formal</w:t>
      </w:r>
      <w:r w:rsidR="00190923" w:rsidRPr="00981405">
        <w:rPr>
          <w:rFonts w:eastAsia="Batang"/>
        </w:rPr>
        <w:t xml:space="preserve"> </w:t>
      </w:r>
      <w:r w:rsidRPr="00981405">
        <w:rPr>
          <w:rFonts w:eastAsia="Batang"/>
        </w:rPr>
        <w:t>nature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group</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level</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its</w:t>
      </w:r>
      <w:r w:rsidR="00190923" w:rsidRPr="00981405">
        <w:rPr>
          <w:rFonts w:eastAsia="Batang"/>
        </w:rPr>
        <w:t xml:space="preserve"> </w:t>
      </w:r>
      <w:r w:rsidRPr="00981405">
        <w:rPr>
          <w:rFonts w:eastAsia="Batang"/>
        </w:rPr>
        <w:t>organization</w:t>
      </w:r>
      <w:r w:rsidR="00190923" w:rsidRPr="00981405">
        <w:rPr>
          <w:rFonts w:eastAsia="Batang"/>
        </w:rPr>
        <w:t xml:space="preserve"> </w:t>
      </w:r>
      <w:r w:rsidRPr="00981405">
        <w:rPr>
          <w:rFonts w:eastAsia="Batang"/>
        </w:rPr>
        <w:t>should</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defining</w:t>
      </w:r>
      <w:r w:rsidR="00190923" w:rsidRPr="00981405">
        <w:rPr>
          <w:rFonts w:eastAsia="Batang"/>
        </w:rPr>
        <w:t xml:space="preserve"> </w:t>
      </w:r>
      <w:r w:rsidRPr="00981405">
        <w:rPr>
          <w:rFonts w:eastAsia="Batang"/>
        </w:rPr>
        <w:t>criterion.</w:t>
      </w:r>
      <w:r w:rsidR="00190923" w:rsidRPr="00981405">
        <w:rPr>
          <w:rFonts w:eastAsia="Batang"/>
        </w:rPr>
        <w:t xml:space="preserve"> </w:t>
      </w:r>
      <w:r w:rsidRPr="00981405">
        <w:rPr>
          <w:rFonts w:eastAsia="Batang"/>
        </w:rPr>
        <w:t>Instead</w:t>
      </w:r>
      <w:r w:rsidR="00190923" w:rsidRPr="00981405">
        <w:rPr>
          <w:rFonts w:eastAsia="Batang"/>
        </w:rPr>
        <w:t xml:space="preserve"> </w:t>
      </w:r>
      <w:r w:rsidRPr="00981405">
        <w:rPr>
          <w:rFonts w:eastAsia="Batang"/>
        </w:rPr>
        <w:t>...</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distinction</w:t>
      </w:r>
      <w:r w:rsidR="00190923" w:rsidRPr="00981405">
        <w:rPr>
          <w:rFonts w:eastAsia="Batang"/>
        </w:rPr>
        <w:t xml:space="preserve"> </w:t>
      </w:r>
      <w:r w:rsidRPr="00981405">
        <w:rPr>
          <w:rFonts w:eastAsia="Batang"/>
        </w:rPr>
        <w:t>should</w:t>
      </w:r>
      <w:r w:rsidR="00190923" w:rsidRPr="00981405">
        <w:rPr>
          <w:rFonts w:eastAsia="Batang"/>
        </w:rPr>
        <w:t xml:space="preserve"> </w:t>
      </w:r>
      <w:r w:rsidRPr="00981405">
        <w:rPr>
          <w:rFonts w:eastAsia="Batang"/>
        </w:rPr>
        <w:t>be</w:t>
      </w:r>
      <w:r w:rsidR="00190923" w:rsidRPr="00981405">
        <w:rPr>
          <w:rFonts w:eastAsia="Batang"/>
        </w:rPr>
        <w:t xml:space="preserve"> </w:t>
      </w:r>
      <w:r w:rsidRPr="00981405">
        <w:rPr>
          <w:rFonts w:eastAsia="Batang"/>
        </w:rPr>
        <w:t>drawn</w:t>
      </w:r>
      <w:r w:rsidR="00190923" w:rsidRPr="00981405">
        <w:rPr>
          <w:rFonts w:eastAsia="Batang"/>
        </w:rPr>
        <w:t xml:space="preserve"> </w:t>
      </w:r>
      <w:r w:rsidRPr="00981405">
        <w:rPr>
          <w:rFonts w:eastAsia="Batang"/>
        </w:rPr>
        <w:t>on</w:t>
      </w:r>
      <w:r w:rsidR="00190923" w:rsidRPr="00981405">
        <w:rPr>
          <w:rFonts w:eastAsia="Batang"/>
        </w:rPr>
        <w:t xml:space="preserve"> </w:t>
      </w:r>
      <w:r w:rsidRPr="00981405">
        <w:rPr>
          <w:rFonts w:eastAsia="Batang"/>
        </w:rPr>
        <w:t>whether</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group</w:t>
      </w:r>
      <w:r w:rsidR="00190923" w:rsidRPr="00981405">
        <w:rPr>
          <w:rFonts w:eastAsia="Batang"/>
        </w:rPr>
        <w:t xml:space="preserve"> </w:t>
      </w:r>
      <w:r w:rsidRPr="00981405">
        <w:rPr>
          <w:rFonts w:eastAsia="Batang"/>
        </w:rPr>
        <w:t>has</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capability</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perform</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which</w:t>
      </w:r>
      <w:r w:rsidR="00190923" w:rsidRPr="00981405">
        <w:rPr>
          <w:rFonts w:eastAsia="Batang"/>
        </w:rPr>
        <w:t xml:space="preserve"> </w:t>
      </w:r>
      <w:r w:rsidRPr="00981405">
        <w:rPr>
          <w:rFonts w:eastAsia="Batang"/>
        </w:rPr>
        <w:t>infringe</w:t>
      </w:r>
      <w:r w:rsidR="00190923" w:rsidRPr="00981405">
        <w:rPr>
          <w:rFonts w:eastAsia="Batang"/>
        </w:rPr>
        <w:t xml:space="preserve"> </w:t>
      </w:r>
      <w:r w:rsidRPr="00981405">
        <w:rPr>
          <w:rFonts w:eastAsia="Batang"/>
        </w:rPr>
        <w:t>on</w:t>
      </w:r>
      <w:r w:rsidR="00190923" w:rsidRPr="00981405">
        <w:rPr>
          <w:rFonts w:eastAsia="Batang"/>
        </w:rPr>
        <w:t xml:space="preserve"> </w:t>
      </w:r>
      <w:r w:rsidRPr="00981405">
        <w:rPr>
          <w:rFonts w:eastAsia="Batang"/>
        </w:rPr>
        <w:t>basic</w:t>
      </w:r>
      <w:r w:rsidR="00190923" w:rsidRPr="00981405">
        <w:rPr>
          <w:rFonts w:eastAsia="Batang"/>
        </w:rPr>
        <w:t xml:space="preserve"> </w:t>
      </w:r>
      <w:r w:rsidRPr="00981405">
        <w:rPr>
          <w:rFonts w:eastAsia="Batang"/>
        </w:rPr>
        <w:t>human</w:t>
      </w:r>
      <w:r w:rsidR="00190923" w:rsidRPr="00981405">
        <w:rPr>
          <w:rFonts w:eastAsia="Batang"/>
        </w:rPr>
        <w:t xml:space="preserve"> </w:t>
      </w:r>
      <w:r w:rsidRPr="00981405">
        <w:rPr>
          <w:rFonts w:eastAsia="Batang"/>
        </w:rPr>
        <w:t>values.</w:t>
      </w:r>
      <w:r w:rsidR="00B92E2C" w:rsidRPr="00981405">
        <w:rPr>
          <w:rFonts w:eastAsia="Batang"/>
        </w:rPr>
        <w:t>”</w:t>
      </w:r>
      <w:r w:rsidRPr="00981405">
        <w:rPr>
          <w:rStyle w:val="FootnoteReference"/>
        </w:rPr>
        <w:footnoteReference w:id="199"/>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2012,</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ICC</w:t>
      </w:r>
      <w:r w:rsidR="00190923" w:rsidRPr="00981405">
        <w:rPr>
          <w:rFonts w:eastAsia="Batang"/>
        </w:rPr>
        <w:t xml:space="preserve"> </w:t>
      </w:r>
      <w:r w:rsidRPr="00981405">
        <w:rPr>
          <w:rFonts w:eastAsia="Batang"/>
        </w:rPr>
        <w:t>Pre-Trial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in</w:t>
      </w:r>
      <w:r w:rsidR="00190923" w:rsidRPr="00981405">
        <w:rPr>
          <w:rFonts w:eastAsia="Batang"/>
        </w:rPr>
        <w:t xml:space="preserve"> </w:t>
      </w:r>
      <w:r w:rsidRPr="00D97463">
        <w:rPr>
          <w:rFonts w:eastAsia="Batang"/>
          <w:i/>
          <w:iCs/>
        </w:rPr>
        <w:t>Ruto</w:t>
      </w:r>
      <w:r w:rsidR="00190923" w:rsidRPr="00981405">
        <w:rPr>
          <w:rFonts w:eastAsia="Batang"/>
        </w:rPr>
        <w:t xml:space="preserve"> </w:t>
      </w:r>
      <w:r w:rsidRPr="00981405">
        <w:rPr>
          <w:rFonts w:eastAsia="Batang"/>
        </w:rPr>
        <w:t>stated</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when</w:t>
      </w:r>
      <w:r w:rsidR="00190923" w:rsidRPr="00981405">
        <w:rPr>
          <w:rFonts w:eastAsia="Batang"/>
        </w:rPr>
        <w:t xml:space="preserve"> </w:t>
      </w:r>
      <w:r w:rsidRPr="00981405">
        <w:rPr>
          <w:rFonts w:eastAsia="Batang"/>
        </w:rPr>
        <w:t>determining</w:t>
      </w:r>
      <w:r w:rsidR="00190923" w:rsidRPr="00981405">
        <w:rPr>
          <w:rFonts w:eastAsia="Batang"/>
        </w:rPr>
        <w:t xml:space="preserve"> </w:t>
      </w:r>
      <w:r w:rsidRPr="00981405">
        <w:rPr>
          <w:rFonts w:eastAsia="Batang"/>
        </w:rPr>
        <w:t>whether</w:t>
      </w:r>
      <w:r w:rsidR="00190923" w:rsidRPr="00981405">
        <w:rPr>
          <w:rFonts w:eastAsia="Batang"/>
        </w:rPr>
        <w:t xml:space="preserve"> </w:t>
      </w:r>
      <w:r w:rsidRPr="00981405">
        <w:rPr>
          <w:rFonts w:eastAsia="Batang"/>
        </w:rPr>
        <w:t>a</w:t>
      </w:r>
      <w:r w:rsidR="00190923" w:rsidRPr="00981405">
        <w:rPr>
          <w:rFonts w:eastAsia="Batang"/>
        </w:rPr>
        <w:t xml:space="preserve"> </w:t>
      </w:r>
      <w:r w:rsidRPr="00981405">
        <w:rPr>
          <w:rFonts w:eastAsia="Batang"/>
        </w:rPr>
        <w:t>particular</w:t>
      </w:r>
      <w:r w:rsidR="00190923" w:rsidRPr="00981405">
        <w:rPr>
          <w:rFonts w:eastAsia="Batang"/>
        </w:rPr>
        <w:t xml:space="preserve"> </w:t>
      </w:r>
      <w:r w:rsidRPr="00981405">
        <w:rPr>
          <w:rFonts w:eastAsia="Batang"/>
        </w:rPr>
        <w:t>group</w:t>
      </w:r>
      <w:r w:rsidR="00190923" w:rsidRPr="00981405">
        <w:rPr>
          <w:rFonts w:eastAsia="Batang"/>
        </w:rPr>
        <w:t xml:space="preserve"> </w:t>
      </w:r>
      <w:r w:rsidRPr="00981405">
        <w:rPr>
          <w:rFonts w:eastAsia="Batang"/>
        </w:rPr>
        <w:t>qualifies</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an</w:t>
      </w:r>
      <w:r w:rsidR="00190923" w:rsidRPr="00981405">
        <w:rPr>
          <w:rFonts w:eastAsia="Batang"/>
        </w:rPr>
        <w:t xml:space="preserve"> </w:t>
      </w:r>
      <w:r w:rsidR="00B92E2C" w:rsidRPr="00981405">
        <w:rPr>
          <w:rFonts w:eastAsia="Batang"/>
        </w:rPr>
        <w:t>“</w:t>
      </w:r>
      <w:r w:rsidRPr="00981405">
        <w:rPr>
          <w:rFonts w:eastAsia="Batang"/>
        </w:rPr>
        <w:t>organization</w:t>
      </w:r>
      <w:r w:rsidR="00B92E2C" w:rsidRPr="00981405">
        <w:rPr>
          <w:rFonts w:eastAsia="Batang"/>
        </w:rPr>
        <w:t>”</w:t>
      </w:r>
      <w:r w:rsidR="00190923" w:rsidRPr="00981405">
        <w:rPr>
          <w:rFonts w:eastAsia="Batang"/>
        </w:rPr>
        <w:t xml:space="preserve"> </w:t>
      </w:r>
      <w:r w:rsidRPr="00981405">
        <w:rPr>
          <w:rFonts w:eastAsia="Batang"/>
        </w:rPr>
        <w:t>under</w:t>
      </w:r>
      <w:r w:rsidR="00190923" w:rsidRPr="00981405">
        <w:rPr>
          <w:rFonts w:eastAsia="Batang"/>
        </w:rPr>
        <w:t xml:space="preserve"> </w:t>
      </w:r>
      <w:r w:rsidRPr="00981405">
        <w:rPr>
          <w:rFonts w:eastAsia="Batang"/>
        </w:rPr>
        <w:t>Rome</w:t>
      </w:r>
      <w:r w:rsidR="00190923" w:rsidRPr="00981405">
        <w:rPr>
          <w:rFonts w:eastAsia="Batang"/>
        </w:rPr>
        <w:t xml:space="preserve"> </w:t>
      </w:r>
      <w:r w:rsidRPr="00981405">
        <w:rPr>
          <w:rFonts w:eastAsia="Batang"/>
        </w:rPr>
        <w:t>Statute</w:t>
      </w:r>
      <w:r w:rsidR="00190923" w:rsidRPr="00981405">
        <w:rPr>
          <w:rFonts w:eastAsia="Batang"/>
        </w:rPr>
        <w:t xml:space="preserve"> </w:t>
      </w:r>
      <w:r w:rsidRPr="00981405">
        <w:rPr>
          <w:rFonts w:eastAsia="Batang"/>
        </w:rPr>
        <w:t>Article</w:t>
      </w:r>
      <w:r w:rsidR="00190923" w:rsidRPr="00981405">
        <w:rPr>
          <w:rFonts w:eastAsia="Batang"/>
        </w:rPr>
        <w:t xml:space="preserve"> </w:t>
      </w:r>
      <w:r w:rsidRPr="00981405">
        <w:rPr>
          <w:rFonts w:eastAsia="Batang"/>
        </w:rPr>
        <w:t>7:</w:t>
      </w:r>
    </w:p>
    <w:p w:rsidR="00397032" w:rsidRPr="00981405" w:rsidRDefault="00B92E2C" w:rsidP="00D97463">
      <w:pPr>
        <w:pStyle w:val="SingleTxt"/>
        <w:ind w:left="1742"/>
      </w:pPr>
      <w:r w:rsidRPr="00981405">
        <w:rPr>
          <w:rFonts w:eastAsia="Batang"/>
        </w:rPr>
        <w:t>“</w:t>
      </w:r>
      <w:r w:rsidR="00397032" w:rsidRPr="00981405">
        <w:rPr>
          <w:rFonts w:eastAsia="Batang"/>
        </w:rPr>
        <w:t>the</w:t>
      </w:r>
      <w:r w:rsidR="00190923" w:rsidRPr="00981405">
        <w:rPr>
          <w:rFonts w:eastAsia="Batang"/>
        </w:rPr>
        <w:t xml:space="preserve"> </w:t>
      </w:r>
      <w:r w:rsidR="00397032" w:rsidRPr="00981405">
        <w:rPr>
          <w:rFonts w:eastAsia="Batang"/>
        </w:rPr>
        <w:t>Chamber</w:t>
      </w:r>
      <w:r w:rsidR="00190923" w:rsidRPr="00981405">
        <w:rPr>
          <w:rFonts w:eastAsia="Batang"/>
        </w:rPr>
        <w:t xml:space="preserve"> </w:t>
      </w:r>
      <w:r w:rsidR="00397032" w:rsidRPr="00981405">
        <w:rPr>
          <w:rFonts w:eastAsia="Batang"/>
        </w:rPr>
        <w:t>may</w:t>
      </w:r>
      <w:r w:rsidR="00190923" w:rsidRPr="00981405">
        <w:rPr>
          <w:rFonts w:eastAsia="Batang"/>
        </w:rPr>
        <w:t xml:space="preserve"> </w:t>
      </w:r>
      <w:r w:rsidR="00397032" w:rsidRPr="00981405">
        <w:rPr>
          <w:rFonts w:eastAsia="Batang"/>
        </w:rPr>
        <w:t>take</w:t>
      </w:r>
      <w:r w:rsidR="00190923" w:rsidRPr="00981405">
        <w:rPr>
          <w:rFonts w:eastAsia="Batang"/>
        </w:rPr>
        <w:t xml:space="preserve"> </w:t>
      </w:r>
      <w:r w:rsidR="00397032" w:rsidRPr="00981405">
        <w:rPr>
          <w:rFonts w:eastAsia="Batang"/>
        </w:rPr>
        <w:t>into</w:t>
      </w:r>
      <w:r w:rsidR="00190923" w:rsidRPr="00981405">
        <w:rPr>
          <w:rFonts w:eastAsia="Batang"/>
        </w:rPr>
        <w:t xml:space="preserve"> </w:t>
      </w:r>
      <w:r w:rsidR="00397032" w:rsidRPr="00981405">
        <w:rPr>
          <w:rFonts w:eastAsia="Batang"/>
        </w:rPr>
        <w:t>account</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number</w:t>
      </w:r>
      <w:r w:rsidR="00190923" w:rsidRPr="00981405">
        <w:rPr>
          <w:rFonts w:eastAsia="Batang"/>
        </w:rPr>
        <w:t xml:space="preserve"> </w:t>
      </w:r>
      <w:r w:rsidR="00397032" w:rsidRPr="00981405">
        <w:rPr>
          <w:rFonts w:eastAsia="Batang"/>
        </w:rPr>
        <w:t>of</w:t>
      </w:r>
      <w:r w:rsidR="00190923" w:rsidRPr="00981405">
        <w:rPr>
          <w:rFonts w:eastAsia="Batang"/>
        </w:rPr>
        <w:t xml:space="preserve"> </w:t>
      </w:r>
      <w:r w:rsidR="00397032" w:rsidRPr="00981405">
        <w:rPr>
          <w:rFonts w:eastAsia="Batang"/>
        </w:rPr>
        <w:t>factors,</w:t>
      </w:r>
      <w:r w:rsidR="00190923" w:rsidRPr="00981405">
        <w:rPr>
          <w:rFonts w:eastAsia="Batang"/>
        </w:rPr>
        <w:t xml:space="preserve"> </w:t>
      </w:r>
      <w:r w:rsidR="00397032" w:rsidRPr="00981405">
        <w:rPr>
          <w:rFonts w:eastAsia="Batang"/>
          <w:i/>
          <w:iCs/>
        </w:rPr>
        <w:t>inter</w:t>
      </w:r>
      <w:r w:rsidR="00190923" w:rsidRPr="00981405">
        <w:rPr>
          <w:rFonts w:eastAsia="Batang"/>
          <w:i/>
          <w:iCs/>
        </w:rPr>
        <w:t xml:space="preserve"> </w:t>
      </w:r>
      <w:r w:rsidR="00397032" w:rsidRPr="00981405">
        <w:rPr>
          <w:rFonts w:eastAsia="Batang"/>
          <w:i/>
          <w:iCs/>
        </w:rPr>
        <w:t>alia</w:t>
      </w:r>
      <w:r w:rsidR="00397032" w:rsidRPr="00981405">
        <w:rPr>
          <w:rFonts w:eastAsia="Batang"/>
        </w:rPr>
        <w:t>:</w:t>
      </w:r>
      <w:r w:rsidR="00190923" w:rsidRPr="00981405">
        <w:rPr>
          <w:rFonts w:eastAsia="Batang"/>
        </w:rPr>
        <w:t xml:space="preserve"> </w:t>
      </w:r>
      <w:r w:rsidR="00397032" w:rsidRPr="00981405">
        <w:rPr>
          <w:rFonts w:eastAsia="Batang"/>
        </w:rPr>
        <w:t>(i)</w:t>
      </w:r>
      <w:r w:rsidR="00190923" w:rsidRPr="00981405">
        <w:rPr>
          <w:rFonts w:eastAsia="Batang"/>
        </w:rPr>
        <w:t xml:space="preserve"> </w:t>
      </w:r>
      <w:r w:rsidR="00397032" w:rsidRPr="00981405">
        <w:rPr>
          <w:rFonts w:eastAsia="Batang"/>
        </w:rPr>
        <w:t>whether</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is</w:t>
      </w:r>
      <w:r w:rsidR="00190923" w:rsidRPr="00981405">
        <w:rPr>
          <w:rFonts w:eastAsia="Batang"/>
        </w:rPr>
        <w:t xml:space="preserve"> </w:t>
      </w:r>
      <w:r w:rsidR="00397032" w:rsidRPr="00981405">
        <w:rPr>
          <w:rFonts w:eastAsia="Batang"/>
        </w:rPr>
        <w:t>under</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responsible</w:t>
      </w:r>
      <w:r w:rsidR="00190923" w:rsidRPr="00981405">
        <w:rPr>
          <w:rFonts w:eastAsia="Batang"/>
        </w:rPr>
        <w:t xml:space="preserve"> </w:t>
      </w:r>
      <w:r w:rsidR="00397032" w:rsidRPr="00981405">
        <w:rPr>
          <w:rFonts w:eastAsia="Batang"/>
        </w:rPr>
        <w:t>command,</w:t>
      </w:r>
      <w:r w:rsidR="00190923" w:rsidRPr="00981405">
        <w:rPr>
          <w:rFonts w:eastAsia="Batang"/>
        </w:rPr>
        <w:t xml:space="preserve"> </w:t>
      </w:r>
      <w:r w:rsidR="00397032" w:rsidRPr="00981405">
        <w:rPr>
          <w:rFonts w:eastAsia="Batang"/>
        </w:rPr>
        <w:t>or</w:t>
      </w:r>
      <w:r w:rsidR="00190923" w:rsidRPr="00981405">
        <w:rPr>
          <w:rFonts w:eastAsia="Batang"/>
        </w:rPr>
        <w:t xml:space="preserve"> </w:t>
      </w:r>
      <w:r w:rsidR="00397032" w:rsidRPr="00981405">
        <w:rPr>
          <w:rFonts w:eastAsia="Batang"/>
        </w:rPr>
        <w:t>has</w:t>
      </w:r>
      <w:r w:rsidR="00190923" w:rsidRPr="00981405">
        <w:rPr>
          <w:rFonts w:eastAsia="Batang"/>
        </w:rPr>
        <w:t xml:space="preserve"> </w:t>
      </w:r>
      <w:r w:rsidR="00397032" w:rsidRPr="00981405">
        <w:rPr>
          <w:rFonts w:eastAsia="Batang"/>
        </w:rPr>
        <w:t>an</w:t>
      </w:r>
      <w:r w:rsidR="00190923" w:rsidRPr="00981405">
        <w:rPr>
          <w:rFonts w:eastAsia="Batang"/>
        </w:rPr>
        <w:t xml:space="preserve"> </w:t>
      </w:r>
      <w:r w:rsidR="00397032" w:rsidRPr="00981405">
        <w:rPr>
          <w:rFonts w:eastAsia="Batang"/>
        </w:rPr>
        <w:t>established</w:t>
      </w:r>
      <w:r w:rsidR="00190923" w:rsidRPr="00981405">
        <w:rPr>
          <w:rFonts w:eastAsia="Batang"/>
        </w:rPr>
        <w:t xml:space="preserve"> </w:t>
      </w:r>
      <w:r w:rsidR="00397032" w:rsidRPr="00981405">
        <w:rPr>
          <w:rFonts w:eastAsia="Batang"/>
        </w:rPr>
        <w:t>hierarchy;</w:t>
      </w:r>
      <w:r w:rsidR="00190923" w:rsidRPr="00981405">
        <w:rPr>
          <w:rFonts w:eastAsia="Batang"/>
        </w:rPr>
        <w:t xml:space="preserve"> </w:t>
      </w:r>
      <w:r w:rsidR="00397032" w:rsidRPr="00981405">
        <w:rPr>
          <w:rFonts w:eastAsia="Batang"/>
        </w:rPr>
        <w:t>(ii)</w:t>
      </w:r>
      <w:r w:rsidR="00190923" w:rsidRPr="00981405">
        <w:rPr>
          <w:rFonts w:eastAsia="Batang"/>
        </w:rPr>
        <w:t xml:space="preserve"> </w:t>
      </w:r>
      <w:r w:rsidR="00397032" w:rsidRPr="00981405">
        <w:rPr>
          <w:rFonts w:eastAsia="Batang"/>
        </w:rPr>
        <w:t>whether</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possesses,</w:t>
      </w:r>
      <w:r w:rsidR="00190923" w:rsidRPr="00981405">
        <w:rPr>
          <w:rFonts w:eastAsia="Batang"/>
        </w:rPr>
        <w:t xml:space="preserve"> </w:t>
      </w:r>
      <w:r w:rsidR="00397032" w:rsidRPr="00981405">
        <w:rPr>
          <w:rFonts w:eastAsia="Batang"/>
        </w:rPr>
        <w:t>in</w:t>
      </w:r>
      <w:r w:rsidR="00190923" w:rsidRPr="00981405">
        <w:rPr>
          <w:rFonts w:eastAsia="Batang"/>
        </w:rPr>
        <w:t xml:space="preserve"> </w:t>
      </w:r>
      <w:r w:rsidR="00397032" w:rsidRPr="00981405">
        <w:rPr>
          <w:rFonts w:eastAsia="Batang"/>
        </w:rPr>
        <w:t>fact,</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means</w:t>
      </w:r>
      <w:r w:rsidR="00190923" w:rsidRPr="00981405">
        <w:rPr>
          <w:rFonts w:eastAsia="Batang"/>
        </w:rPr>
        <w:t xml:space="preserve"> </w:t>
      </w:r>
      <w:r w:rsidR="00397032" w:rsidRPr="00981405">
        <w:rPr>
          <w:rFonts w:eastAsia="Batang"/>
        </w:rPr>
        <w:t>to</w:t>
      </w:r>
      <w:r w:rsidR="00190923" w:rsidRPr="00981405">
        <w:rPr>
          <w:rFonts w:eastAsia="Batang"/>
        </w:rPr>
        <w:t xml:space="preserve"> </w:t>
      </w:r>
      <w:r w:rsidR="00397032" w:rsidRPr="00981405">
        <w:rPr>
          <w:rFonts w:eastAsia="Batang"/>
        </w:rPr>
        <w:t>carry</w:t>
      </w:r>
      <w:r w:rsidR="00190923" w:rsidRPr="00981405">
        <w:rPr>
          <w:rFonts w:eastAsia="Batang"/>
        </w:rPr>
        <w:t xml:space="preserve"> </w:t>
      </w:r>
      <w:r w:rsidR="00397032" w:rsidRPr="00981405">
        <w:rPr>
          <w:rFonts w:eastAsia="Batang"/>
        </w:rPr>
        <w:t>out</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widespread</w:t>
      </w:r>
      <w:r w:rsidR="00190923" w:rsidRPr="00981405">
        <w:rPr>
          <w:rFonts w:eastAsia="Batang"/>
        </w:rPr>
        <w:t xml:space="preserve"> </w:t>
      </w:r>
      <w:r w:rsidR="00397032" w:rsidRPr="00981405">
        <w:rPr>
          <w:rFonts w:eastAsia="Batang"/>
        </w:rPr>
        <w:t>or</w:t>
      </w:r>
      <w:r w:rsidR="00190923" w:rsidRPr="00981405">
        <w:rPr>
          <w:rFonts w:eastAsia="Batang"/>
        </w:rPr>
        <w:t xml:space="preserve"> </w:t>
      </w:r>
      <w:r w:rsidR="00397032" w:rsidRPr="00981405">
        <w:rPr>
          <w:rFonts w:eastAsia="Batang"/>
        </w:rPr>
        <w:t>systematic</w:t>
      </w:r>
      <w:r w:rsidR="00190923" w:rsidRPr="00981405">
        <w:rPr>
          <w:rFonts w:eastAsia="Batang"/>
        </w:rPr>
        <w:t xml:space="preserve"> </w:t>
      </w:r>
      <w:r w:rsidR="00397032" w:rsidRPr="00981405">
        <w:rPr>
          <w:rFonts w:eastAsia="Batang"/>
        </w:rPr>
        <w:t>attack</w:t>
      </w:r>
      <w:r w:rsidR="00190923" w:rsidRPr="00981405">
        <w:rPr>
          <w:rFonts w:eastAsia="Batang"/>
        </w:rPr>
        <w:t xml:space="preserve"> </w:t>
      </w:r>
      <w:r w:rsidR="00397032" w:rsidRPr="00981405">
        <w:rPr>
          <w:rFonts w:eastAsia="Batang"/>
        </w:rPr>
        <w:t>against</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civilian</w:t>
      </w:r>
      <w:r w:rsidR="00190923" w:rsidRPr="00981405">
        <w:rPr>
          <w:rFonts w:eastAsia="Batang"/>
        </w:rPr>
        <w:t xml:space="preserve"> </w:t>
      </w:r>
      <w:r w:rsidR="00397032" w:rsidRPr="00981405">
        <w:rPr>
          <w:rFonts w:eastAsia="Batang"/>
        </w:rPr>
        <w:t>population;</w:t>
      </w:r>
      <w:r w:rsidR="00190923" w:rsidRPr="00981405">
        <w:rPr>
          <w:rFonts w:eastAsia="Batang"/>
        </w:rPr>
        <w:t xml:space="preserve"> </w:t>
      </w:r>
      <w:r w:rsidR="00397032" w:rsidRPr="00981405">
        <w:rPr>
          <w:rFonts w:eastAsia="Batang"/>
        </w:rPr>
        <w:t>(iii)</w:t>
      </w:r>
      <w:r w:rsidR="00190923" w:rsidRPr="00981405">
        <w:rPr>
          <w:rFonts w:eastAsia="Batang"/>
        </w:rPr>
        <w:t xml:space="preserve"> </w:t>
      </w:r>
      <w:r w:rsidR="00397032" w:rsidRPr="00981405">
        <w:rPr>
          <w:rFonts w:eastAsia="Batang"/>
        </w:rPr>
        <w:t>whether</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exercises</w:t>
      </w:r>
      <w:r w:rsidR="00190923" w:rsidRPr="00981405">
        <w:rPr>
          <w:rFonts w:eastAsia="Batang"/>
        </w:rPr>
        <w:t xml:space="preserve"> </w:t>
      </w:r>
      <w:r w:rsidR="00397032" w:rsidRPr="00981405">
        <w:rPr>
          <w:rFonts w:eastAsia="Batang"/>
        </w:rPr>
        <w:t>control</w:t>
      </w:r>
      <w:r w:rsidR="00190923" w:rsidRPr="00981405">
        <w:rPr>
          <w:rFonts w:eastAsia="Batang"/>
        </w:rPr>
        <w:t xml:space="preserve"> </w:t>
      </w:r>
      <w:r w:rsidR="00397032" w:rsidRPr="00981405">
        <w:rPr>
          <w:rFonts w:eastAsia="Batang"/>
        </w:rPr>
        <w:t>over</w:t>
      </w:r>
      <w:r w:rsidR="00190923" w:rsidRPr="00981405">
        <w:rPr>
          <w:rFonts w:eastAsia="Batang"/>
        </w:rPr>
        <w:t xml:space="preserve"> </w:t>
      </w:r>
      <w:r w:rsidR="00397032" w:rsidRPr="00981405">
        <w:rPr>
          <w:rFonts w:eastAsia="Batang"/>
        </w:rPr>
        <w:t>part</w:t>
      </w:r>
      <w:r w:rsidR="00190923" w:rsidRPr="00981405">
        <w:rPr>
          <w:rFonts w:eastAsia="Batang"/>
        </w:rPr>
        <w:t xml:space="preserve"> </w:t>
      </w:r>
      <w:r w:rsidR="00397032" w:rsidRPr="00981405">
        <w:rPr>
          <w:rFonts w:eastAsia="Batang"/>
        </w:rPr>
        <w:t>of</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territory</w:t>
      </w:r>
      <w:r w:rsidR="00190923" w:rsidRPr="00981405">
        <w:rPr>
          <w:rFonts w:eastAsia="Batang"/>
        </w:rPr>
        <w:t xml:space="preserve"> </w:t>
      </w:r>
      <w:r w:rsidR="00397032" w:rsidRPr="00981405">
        <w:rPr>
          <w:rFonts w:eastAsia="Batang"/>
        </w:rPr>
        <w:t>of</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State;</w:t>
      </w:r>
      <w:r w:rsidR="00190923" w:rsidRPr="00981405">
        <w:rPr>
          <w:rFonts w:eastAsia="Batang"/>
        </w:rPr>
        <w:t xml:space="preserve"> </w:t>
      </w:r>
      <w:r w:rsidR="00397032" w:rsidRPr="00981405">
        <w:rPr>
          <w:rFonts w:eastAsia="Batang"/>
        </w:rPr>
        <w:t>(iv)</w:t>
      </w:r>
      <w:r w:rsidR="00190923" w:rsidRPr="00981405">
        <w:rPr>
          <w:rFonts w:eastAsia="Batang"/>
        </w:rPr>
        <w:t xml:space="preserve"> </w:t>
      </w:r>
      <w:r w:rsidR="00397032" w:rsidRPr="00981405">
        <w:rPr>
          <w:rFonts w:eastAsia="Batang"/>
        </w:rPr>
        <w:t>whether</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has</w:t>
      </w:r>
      <w:r w:rsidR="00190923" w:rsidRPr="00981405">
        <w:rPr>
          <w:rFonts w:eastAsia="Batang"/>
        </w:rPr>
        <w:t xml:space="preserve"> </w:t>
      </w:r>
      <w:r w:rsidR="00397032" w:rsidRPr="00981405">
        <w:rPr>
          <w:rFonts w:eastAsia="Batang"/>
        </w:rPr>
        <w:t>criminal</w:t>
      </w:r>
      <w:r w:rsidR="00190923" w:rsidRPr="00981405">
        <w:rPr>
          <w:rFonts w:eastAsia="Batang"/>
        </w:rPr>
        <w:t xml:space="preserve"> </w:t>
      </w:r>
      <w:r w:rsidR="00397032" w:rsidRPr="00981405">
        <w:rPr>
          <w:rFonts w:eastAsia="Batang"/>
        </w:rPr>
        <w:t>activities</w:t>
      </w:r>
      <w:r w:rsidR="00190923" w:rsidRPr="00981405">
        <w:rPr>
          <w:rFonts w:eastAsia="Batang"/>
        </w:rPr>
        <w:t xml:space="preserve"> </w:t>
      </w:r>
      <w:r w:rsidR="00397032" w:rsidRPr="00981405">
        <w:rPr>
          <w:rFonts w:eastAsia="Batang"/>
        </w:rPr>
        <w:t>against</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civilian</w:t>
      </w:r>
      <w:r w:rsidR="00190923" w:rsidRPr="00981405">
        <w:rPr>
          <w:rFonts w:eastAsia="Batang"/>
        </w:rPr>
        <w:t xml:space="preserve"> </w:t>
      </w:r>
      <w:r w:rsidR="00397032" w:rsidRPr="00981405">
        <w:rPr>
          <w:rFonts w:eastAsia="Batang"/>
        </w:rPr>
        <w:t>population</w:t>
      </w:r>
      <w:r w:rsidR="00190923" w:rsidRPr="00981405">
        <w:rPr>
          <w:rFonts w:eastAsia="Batang"/>
        </w:rPr>
        <w:t xml:space="preserve"> </w:t>
      </w:r>
      <w:r w:rsidR="00397032" w:rsidRPr="00981405">
        <w:rPr>
          <w:rFonts w:eastAsia="Batang"/>
        </w:rPr>
        <w:t>as</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primary</w:t>
      </w:r>
      <w:r w:rsidR="00190923" w:rsidRPr="00981405">
        <w:rPr>
          <w:rFonts w:eastAsia="Batang"/>
        </w:rPr>
        <w:t xml:space="preserve"> </w:t>
      </w:r>
      <w:r w:rsidR="00397032" w:rsidRPr="00981405">
        <w:rPr>
          <w:rFonts w:eastAsia="Batang"/>
        </w:rPr>
        <w:t>purpose;</w:t>
      </w:r>
      <w:r w:rsidR="00190923" w:rsidRPr="00981405">
        <w:rPr>
          <w:rFonts w:eastAsia="Batang"/>
        </w:rPr>
        <w:t xml:space="preserve"> </w:t>
      </w:r>
      <w:r w:rsidR="00397032" w:rsidRPr="00981405">
        <w:rPr>
          <w:rFonts w:eastAsia="Batang"/>
        </w:rPr>
        <w:t>(v)</w:t>
      </w:r>
      <w:r w:rsidR="00190923" w:rsidRPr="00981405">
        <w:rPr>
          <w:rFonts w:eastAsia="Batang"/>
        </w:rPr>
        <w:t xml:space="preserve"> </w:t>
      </w:r>
      <w:r w:rsidR="00397032" w:rsidRPr="00981405">
        <w:rPr>
          <w:rFonts w:eastAsia="Batang"/>
        </w:rPr>
        <w:t>whether</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articulates,</w:t>
      </w:r>
      <w:r w:rsidR="00190923" w:rsidRPr="00981405">
        <w:rPr>
          <w:rFonts w:eastAsia="Batang"/>
        </w:rPr>
        <w:t xml:space="preserve"> </w:t>
      </w:r>
      <w:r w:rsidR="00397032" w:rsidRPr="00981405">
        <w:rPr>
          <w:rFonts w:eastAsia="Batang"/>
        </w:rPr>
        <w:t>explicitly</w:t>
      </w:r>
      <w:r w:rsidR="00190923" w:rsidRPr="00981405">
        <w:rPr>
          <w:rFonts w:eastAsia="Batang"/>
        </w:rPr>
        <w:t xml:space="preserve"> </w:t>
      </w:r>
      <w:r w:rsidR="00397032" w:rsidRPr="00981405">
        <w:rPr>
          <w:rFonts w:eastAsia="Batang"/>
        </w:rPr>
        <w:t>or</w:t>
      </w:r>
      <w:r w:rsidR="00190923" w:rsidRPr="00981405">
        <w:rPr>
          <w:rFonts w:eastAsia="Batang"/>
        </w:rPr>
        <w:t xml:space="preserve"> </w:t>
      </w:r>
      <w:r w:rsidR="00397032" w:rsidRPr="00981405">
        <w:rPr>
          <w:rFonts w:eastAsia="Batang"/>
        </w:rPr>
        <w:t>implicitly,</w:t>
      </w:r>
      <w:r w:rsidR="00190923" w:rsidRPr="00981405">
        <w:rPr>
          <w:rFonts w:eastAsia="Batang"/>
        </w:rPr>
        <w:t xml:space="preserve"> </w:t>
      </w:r>
      <w:r w:rsidR="00397032" w:rsidRPr="00981405">
        <w:rPr>
          <w:rFonts w:eastAsia="Batang"/>
        </w:rPr>
        <w:t>an</w:t>
      </w:r>
      <w:r w:rsidR="00190923" w:rsidRPr="00981405">
        <w:rPr>
          <w:rFonts w:eastAsia="Batang"/>
        </w:rPr>
        <w:t xml:space="preserve"> </w:t>
      </w:r>
      <w:r w:rsidR="00397032" w:rsidRPr="00981405">
        <w:rPr>
          <w:rFonts w:eastAsia="Batang"/>
        </w:rPr>
        <w:t>intention</w:t>
      </w:r>
      <w:r w:rsidR="00190923" w:rsidRPr="00981405">
        <w:rPr>
          <w:rFonts w:eastAsia="Batang"/>
        </w:rPr>
        <w:t xml:space="preserve"> </w:t>
      </w:r>
      <w:r w:rsidR="00397032" w:rsidRPr="00981405">
        <w:rPr>
          <w:rFonts w:eastAsia="Batang"/>
        </w:rPr>
        <w:t>to</w:t>
      </w:r>
      <w:r w:rsidR="00190923" w:rsidRPr="00981405">
        <w:rPr>
          <w:rFonts w:eastAsia="Batang"/>
        </w:rPr>
        <w:t xml:space="preserve"> </w:t>
      </w:r>
      <w:r w:rsidR="00397032" w:rsidRPr="00981405">
        <w:rPr>
          <w:rFonts w:eastAsia="Batang"/>
        </w:rPr>
        <w:t>attack</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civilian</w:t>
      </w:r>
      <w:r w:rsidR="00190923" w:rsidRPr="00981405">
        <w:rPr>
          <w:rFonts w:eastAsia="Batang"/>
        </w:rPr>
        <w:t xml:space="preserve"> </w:t>
      </w:r>
      <w:r w:rsidR="00397032" w:rsidRPr="00981405">
        <w:rPr>
          <w:rFonts w:eastAsia="Batang"/>
        </w:rPr>
        <w:t>population;</w:t>
      </w:r>
      <w:r w:rsidR="00190923" w:rsidRPr="00981405">
        <w:rPr>
          <w:rFonts w:eastAsia="Batang"/>
        </w:rPr>
        <w:t xml:space="preserve"> </w:t>
      </w:r>
      <w:r w:rsidR="00397032" w:rsidRPr="00981405">
        <w:rPr>
          <w:rFonts w:eastAsia="Batang"/>
        </w:rPr>
        <w:t>(vi)</w:t>
      </w:r>
      <w:r w:rsidR="00190923" w:rsidRPr="00981405">
        <w:rPr>
          <w:rFonts w:eastAsia="Batang"/>
        </w:rPr>
        <w:t xml:space="preserve"> </w:t>
      </w:r>
      <w:r w:rsidR="00397032" w:rsidRPr="00981405">
        <w:rPr>
          <w:rFonts w:eastAsia="Batang"/>
        </w:rPr>
        <w:t>whether</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is</w:t>
      </w:r>
      <w:r w:rsidR="00190923" w:rsidRPr="00981405">
        <w:rPr>
          <w:rFonts w:eastAsia="Batang"/>
        </w:rPr>
        <w:t xml:space="preserve"> </w:t>
      </w:r>
      <w:r w:rsidR="00397032" w:rsidRPr="00981405">
        <w:rPr>
          <w:rFonts w:eastAsia="Batang"/>
        </w:rPr>
        <w:t>part</w:t>
      </w:r>
      <w:r w:rsidR="00190923" w:rsidRPr="00981405">
        <w:rPr>
          <w:rFonts w:eastAsia="Batang"/>
        </w:rPr>
        <w:t xml:space="preserve"> </w:t>
      </w:r>
      <w:r w:rsidR="00397032" w:rsidRPr="00981405">
        <w:rPr>
          <w:rFonts w:eastAsia="Batang"/>
        </w:rPr>
        <w:t>of</w:t>
      </w:r>
      <w:r w:rsidR="00190923" w:rsidRPr="00981405">
        <w:rPr>
          <w:rFonts w:eastAsia="Batang"/>
        </w:rPr>
        <w:t xml:space="preserve"> </w:t>
      </w:r>
      <w:r w:rsidR="00397032" w:rsidRPr="00981405">
        <w:rPr>
          <w:rFonts w:eastAsia="Batang"/>
        </w:rPr>
        <w:t>a</w:t>
      </w:r>
      <w:r w:rsidR="00190923" w:rsidRPr="00981405">
        <w:rPr>
          <w:rFonts w:eastAsia="Batang"/>
        </w:rPr>
        <w:t xml:space="preserve"> </w:t>
      </w:r>
      <w:r w:rsidR="00397032" w:rsidRPr="00981405">
        <w:rPr>
          <w:rFonts w:eastAsia="Batang"/>
        </w:rPr>
        <w:t>larger</w:t>
      </w:r>
      <w:r w:rsidR="00190923" w:rsidRPr="00981405">
        <w:rPr>
          <w:rFonts w:eastAsia="Batang"/>
        </w:rPr>
        <w:t xml:space="preserve"> </w:t>
      </w:r>
      <w:r w:rsidR="00397032" w:rsidRPr="00981405">
        <w:rPr>
          <w:rFonts w:eastAsia="Batang"/>
        </w:rPr>
        <w:t>group,</w:t>
      </w:r>
      <w:r w:rsidR="00190923" w:rsidRPr="00981405">
        <w:rPr>
          <w:rFonts w:eastAsia="Batang"/>
        </w:rPr>
        <w:t xml:space="preserve"> </w:t>
      </w:r>
      <w:r w:rsidR="00397032" w:rsidRPr="00981405">
        <w:rPr>
          <w:rFonts w:eastAsia="Batang"/>
        </w:rPr>
        <w:t>which</w:t>
      </w:r>
      <w:r w:rsidR="00190923" w:rsidRPr="00981405">
        <w:rPr>
          <w:rFonts w:eastAsia="Batang"/>
        </w:rPr>
        <w:t xml:space="preserve"> </w:t>
      </w:r>
      <w:r w:rsidR="00397032" w:rsidRPr="00981405">
        <w:rPr>
          <w:rFonts w:eastAsia="Batang"/>
        </w:rPr>
        <w:t>fulfils</w:t>
      </w:r>
      <w:r w:rsidR="00190923" w:rsidRPr="00981405">
        <w:rPr>
          <w:rFonts w:eastAsia="Batang"/>
        </w:rPr>
        <w:t xml:space="preserve"> </w:t>
      </w:r>
      <w:r w:rsidR="00397032" w:rsidRPr="00981405">
        <w:rPr>
          <w:rFonts w:eastAsia="Batang"/>
        </w:rPr>
        <w:t>some</w:t>
      </w:r>
      <w:r w:rsidR="00190923" w:rsidRPr="00981405">
        <w:rPr>
          <w:rFonts w:eastAsia="Batang"/>
        </w:rPr>
        <w:t xml:space="preserve"> </w:t>
      </w:r>
      <w:r w:rsidR="00397032" w:rsidRPr="00981405">
        <w:rPr>
          <w:rFonts w:eastAsia="Batang"/>
        </w:rPr>
        <w:t>or</w:t>
      </w:r>
      <w:r w:rsidR="00190923" w:rsidRPr="00981405">
        <w:rPr>
          <w:rFonts w:eastAsia="Batang"/>
        </w:rPr>
        <w:t xml:space="preserve"> </w:t>
      </w:r>
      <w:r w:rsidR="00397032" w:rsidRPr="00981405">
        <w:rPr>
          <w:rFonts w:eastAsia="Batang"/>
        </w:rPr>
        <w:t>all</w:t>
      </w:r>
      <w:r w:rsidR="00190923" w:rsidRPr="00981405">
        <w:rPr>
          <w:rFonts w:eastAsia="Batang"/>
        </w:rPr>
        <w:t xml:space="preserve"> </w:t>
      </w:r>
      <w:r w:rsidR="00397032" w:rsidRPr="00981405">
        <w:rPr>
          <w:rFonts w:eastAsia="Batang"/>
        </w:rPr>
        <w:t>of</w:t>
      </w:r>
      <w:r w:rsidR="00190923" w:rsidRPr="00981405">
        <w:rPr>
          <w:rFonts w:eastAsia="Batang"/>
        </w:rPr>
        <w:t xml:space="preserve"> </w:t>
      </w:r>
      <w:r w:rsidR="00397032" w:rsidRPr="00981405">
        <w:rPr>
          <w:rFonts w:eastAsia="Batang"/>
        </w:rPr>
        <w:t>the</w:t>
      </w:r>
      <w:r w:rsidR="00190923" w:rsidRPr="00981405">
        <w:rPr>
          <w:rFonts w:eastAsia="Batang"/>
        </w:rPr>
        <w:t xml:space="preserve"> </w:t>
      </w:r>
      <w:r w:rsidR="00397032" w:rsidRPr="00981405">
        <w:rPr>
          <w:rFonts w:eastAsia="Batang"/>
        </w:rPr>
        <w:t>abovementioned</w:t>
      </w:r>
      <w:r w:rsidR="00190923" w:rsidRPr="00981405">
        <w:rPr>
          <w:rFonts w:eastAsia="Batang"/>
        </w:rPr>
        <w:t xml:space="preserve"> </w:t>
      </w:r>
      <w:r w:rsidR="00397032" w:rsidRPr="00981405">
        <w:rPr>
          <w:rFonts w:eastAsia="Batang"/>
        </w:rPr>
        <w:t>criteria.</w:t>
      </w:r>
      <w:r w:rsidRPr="00981405">
        <w:rPr>
          <w:rFonts w:eastAsia="Batang"/>
        </w:rPr>
        <w:t>”</w:t>
      </w:r>
      <w:r w:rsidR="00397032" w:rsidRPr="00981405">
        <w:rPr>
          <w:rStyle w:val="FootnoteReference"/>
        </w:rPr>
        <w:footnoteReference w:id="200"/>
      </w:r>
    </w:p>
    <w:p w:rsidR="00397032" w:rsidRPr="00981405" w:rsidRDefault="00397032" w:rsidP="00D97463">
      <w:pPr>
        <w:pStyle w:val="SingleTxt"/>
      </w:pPr>
      <w:r w:rsidRPr="00981405">
        <w:lastRenderedPageBreak/>
        <w:t>(31)</w:t>
      </w:r>
      <w:r w:rsidRPr="00981405">
        <w:tab/>
        <w:t>As</w:t>
      </w:r>
      <w:r w:rsidR="00190923" w:rsidRPr="00981405">
        <w:t xml:space="preserve"> </w:t>
      </w:r>
      <w:r w:rsidRPr="00981405">
        <w:t>a</w:t>
      </w:r>
      <w:r w:rsidR="00190923" w:rsidRPr="00981405">
        <w:t xml:space="preserve"> </w:t>
      </w:r>
      <w:r w:rsidRPr="00981405">
        <w:t>consequence</w:t>
      </w:r>
      <w:r w:rsidR="00190923" w:rsidRPr="00981405">
        <w:t xml:space="preserve"> </w:t>
      </w:r>
      <w:r w:rsidRPr="00981405">
        <w:t>of</w:t>
      </w:r>
      <w:r w:rsidR="00190923" w:rsidRPr="00981405">
        <w:t xml:space="preserve"> </w:t>
      </w:r>
      <w:r w:rsidRPr="00981405">
        <w:t>the</w:t>
      </w:r>
      <w:r w:rsidR="00190923" w:rsidRPr="00981405">
        <w:t xml:space="preserve"> </w:t>
      </w:r>
      <w:r w:rsidR="00B92E2C" w:rsidRPr="00981405">
        <w:t>“</w:t>
      </w:r>
      <w:r w:rsidRPr="00981405">
        <w:t>policy</w:t>
      </w:r>
      <w:r w:rsidR="00B92E2C" w:rsidRPr="00981405">
        <w:t>”</w:t>
      </w:r>
      <w:r w:rsidR="00190923" w:rsidRPr="00981405">
        <w:t xml:space="preserve"> </w:t>
      </w:r>
      <w:r w:rsidRPr="00981405">
        <w:t>potentially</w:t>
      </w:r>
      <w:r w:rsidR="00190923" w:rsidRPr="00981405">
        <w:t xml:space="preserve"> </w:t>
      </w:r>
      <w:r w:rsidRPr="00981405">
        <w:t>emanating</w:t>
      </w:r>
      <w:r w:rsidR="00190923" w:rsidRPr="00981405">
        <w:t xml:space="preserve"> </w:t>
      </w:r>
      <w:r w:rsidRPr="00981405">
        <w:t>from</w:t>
      </w:r>
      <w:r w:rsidR="00190923" w:rsidRPr="00981405">
        <w:t xml:space="preserve"> </w:t>
      </w:r>
      <w:r w:rsidRPr="00981405">
        <w:t>a</w:t>
      </w:r>
      <w:r w:rsidR="00190923" w:rsidRPr="00981405">
        <w:t xml:space="preserve"> </w:t>
      </w:r>
      <w:r w:rsidRPr="00981405">
        <w:t>non-State</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paragraphs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does</w:t>
      </w:r>
      <w:r w:rsidR="00190923" w:rsidRPr="00981405">
        <w:t xml:space="preserve"> </w:t>
      </w:r>
      <w:r w:rsidRPr="00981405">
        <w:t>not</w:t>
      </w:r>
      <w:r w:rsidR="00190923" w:rsidRPr="00981405">
        <w:t xml:space="preserve"> </w:t>
      </w:r>
      <w:r w:rsidRPr="00981405">
        <w:t>require</w:t>
      </w:r>
      <w:r w:rsidR="00190923" w:rsidRPr="00981405">
        <w:t xml:space="preserve"> </w:t>
      </w:r>
      <w:r w:rsidRPr="00981405">
        <w:t>that</w:t>
      </w:r>
      <w:r w:rsidR="00190923" w:rsidRPr="00981405">
        <w:t xml:space="preserve"> </w:t>
      </w:r>
      <w:r w:rsidRPr="00981405">
        <w:t>the</w:t>
      </w:r>
      <w:r w:rsidR="00190923" w:rsidRPr="00981405">
        <w:t xml:space="preserve"> </w:t>
      </w:r>
      <w:r w:rsidRPr="00981405">
        <w:t>offender</w:t>
      </w:r>
      <w:r w:rsidR="00190923" w:rsidRPr="00981405">
        <w:t xml:space="preserve"> </w:t>
      </w:r>
      <w:r w:rsidRPr="00981405">
        <w:t>be</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or</w:t>
      </w:r>
      <w:r w:rsidR="00190923" w:rsidRPr="00981405">
        <w:t xml:space="preserve"> </w:t>
      </w:r>
      <w:r w:rsidRPr="00981405">
        <w:t>agent.</w:t>
      </w:r>
      <w:r w:rsidR="00190923" w:rsidRPr="00981405">
        <w:t xml:space="preserve"> </w:t>
      </w:r>
      <w:r w:rsidRPr="00981405">
        <w:t>This</w:t>
      </w:r>
      <w:r w:rsidR="00190923" w:rsidRPr="00981405">
        <w:t xml:space="preserve"> </w:t>
      </w:r>
      <w:r w:rsidRPr="00981405">
        <w:t>approach</w:t>
      </w:r>
      <w:r w:rsidR="00190923" w:rsidRPr="00981405">
        <w:t xml:space="preserve"> </w:t>
      </w:r>
      <w:r w:rsidRPr="00981405">
        <w:t>is</w:t>
      </w:r>
      <w:r w:rsidR="00190923" w:rsidRPr="00981405">
        <w:t xml:space="preserve"> </w:t>
      </w:r>
      <w:r w:rsidRPr="00981405">
        <w:t>consistent</w:t>
      </w:r>
      <w:r w:rsidR="00190923" w:rsidRPr="00981405">
        <w:t xml:space="preserve"> </w:t>
      </w:r>
      <w:r w:rsidRPr="00981405">
        <w:t>with</w:t>
      </w:r>
      <w:r w:rsidR="00190923" w:rsidRPr="00981405">
        <w:t xml:space="preserve"> </w:t>
      </w:r>
      <w:r w:rsidRPr="00981405">
        <w:t>the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commenting</w:t>
      </w:r>
      <w:r w:rsidR="00190923" w:rsidRPr="00981405">
        <w:t xml:space="preserve"> </w:t>
      </w:r>
      <w:r w:rsidRPr="00981405">
        <w:t>in</w:t>
      </w:r>
      <w:r w:rsidR="00190923" w:rsidRPr="00981405">
        <w:t xml:space="preserve"> </w:t>
      </w:r>
      <w:r w:rsidRPr="00981405">
        <w:t>1991</w:t>
      </w:r>
      <w:r w:rsidR="00190923" w:rsidRPr="00981405">
        <w:t xml:space="preserve"> </w:t>
      </w:r>
      <w:r w:rsidRPr="00981405">
        <w:t>on</w:t>
      </w:r>
      <w:r w:rsidR="00190923" w:rsidRPr="00981405">
        <w:t xml:space="preserve"> </w:t>
      </w:r>
      <w:r w:rsidRPr="00981405">
        <w:t>the</w:t>
      </w:r>
      <w:r w:rsidR="00190923" w:rsidRPr="00981405">
        <w:t xml:space="preserve"> </w:t>
      </w:r>
      <w:r w:rsidRPr="00981405">
        <w:t>draft</w:t>
      </w:r>
      <w:r w:rsidR="00190923" w:rsidRPr="00981405">
        <w:t xml:space="preserve"> </w:t>
      </w:r>
      <w:r w:rsidRPr="00981405">
        <w:t>provision</w:t>
      </w:r>
      <w:r w:rsidR="00190923" w:rsidRPr="00981405">
        <w:t xml:space="preserve"> </w:t>
      </w:r>
      <w:r w:rsidRPr="00981405">
        <w:t>on</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for</w:t>
      </w:r>
      <w:r w:rsidR="00190923" w:rsidRPr="00981405">
        <w:t xml:space="preserve"> </w:t>
      </w:r>
      <w:r w:rsidRPr="00981405">
        <w:t>what</w:t>
      </w:r>
      <w:r w:rsidR="00190923" w:rsidRPr="00981405">
        <w:t xml:space="preserve"> </w:t>
      </w:r>
      <w:r w:rsidRPr="00981405">
        <w:t>would</w:t>
      </w:r>
      <w:r w:rsidR="00190923" w:rsidRPr="00981405">
        <w:t xml:space="preserve"> </w:t>
      </w:r>
      <w:r w:rsidRPr="00981405">
        <w:t>become</w:t>
      </w:r>
      <w:r w:rsidR="00190923" w:rsidRPr="00981405">
        <w:t xml:space="preserve"> </w:t>
      </w:r>
      <w:r w:rsidRPr="00981405">
        <w:t>the</w:t>
      </w:r>
      <w:r w:rsidR="00190923" w:rsidRPr="00981405">
        <w:t xml:space="preserve"> </w:t>
      </w:r>
      <w:r w:rsidRPr="00981405">
        <w:t>1996</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Crimes,</w:t>
      </w:r>
      <w:r w:rsidR="00190923" w:rsidRPr="00981405">
        <w:t xml:space="preserve"> </w:t>
      </w:r>
      <w:r w:rsidRPr="00981405">
        <w:t>stated</w:t>
      </w:r>
      <w:r w:rsidR="00190923" w:rsidRPr="00981405">
        <w:t xml:space="preserve"> </w:t>
      </w:r>
      <w:r w:rsidR="00B92E2C" w:rsidRPr="00981405">
        <w:t>“</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w:t>
      </w:r>
      <w:r w:rsidR="00190923" w:rsidRPr="00981405">
        <w:t xml:space="preserve"> </w:t>
      </w:r>
      <w:r w:rsidRPr="00981405">
        <w:t>does</w:t>
      </w:r>
      <w:r w:rsidR="00190923" w:rsidRPr="00981405">
        <w:t xml:space="preserve"> </w:t>
      </w:r>
      <w:r w:rsidRPr="00981405">
        <w:t>not</w:t>
      </w:r>
      <w:r w:rsidR="00190923" w:rsidRPr="00981405">
        <w:t xml:space="preserve"> </w:t>
      </w:r>
      <w:r w:rsidRPr="00981405">
        <w:t>confine</w:t>
      </w:r>
      <w:r w:rsidR="00190923" w:rsidRPr="00981405">
        <w:t xml:space="preserve"> </w:t>
      </w:r>
      <w:r w:rsidRPr="00981405">
        <w:t>possible</w:t>
      </w:r>
      <w:r w:rsidR="00190923" w:rsidRPr="00981405">
        <w:t xml:space="preserve"> </w:t>
      </w:r>
      <w:r w:rsidRPr="00981405">
        <w:t>perpetrators</w:t>
      </w:r>
      <w:r w:rsidR="00190923" w:rsidRPr="00981405">
        <w:t xml:space="preserve"> </w:t>
      </w:r>
      <w:r w:rsidRPr="00981405">
        <w:t>of</w:t>
      </w:r>
      <w:r w:rsidR="00190923" w:rsidRPr="00981405">
        <w:t xml:space="preserve"> </w:t>
      </w:r>
      <w:r w:rsidRPr="00981405">
        <w:t>the</w:t>
      </w:r>
      <w:r w:rsidR="00190923" w:rsidRPr="00981405">
        <w:t xml:space="preserve"> </w:t>
      </w:r>
      <w:r w:rsidRPr="00981405">
        <w:t>crimes</w:t>
      </w:r>
      <w:r w:rsidR="00190923" w:rsidRPr="00981405">
        <w:t xml:space="preserve"> </w:t>
      </w:r>
      <w:r w:rsidRPr="00981405">
        <w:t>to</w:t>
      </w:r>
      <w:r w:rsidR="00190923" w:rsidRPr="00981405">
        <w:t xml:space="preserve"> </w:t>
      </w:r>
      <w:r w:rsidRPr="00981405">
        <w:t>public</w:t>
      </w:r>
      <w:r w:rsidR="00190923" w:rsidRPr="00981405">
        <w:t xml:space="preserve"> </w:t>
      </w:r>
      <w:r w:rsidRPr="00981405">
        <w:t>officials</w:t>
      </w:r>
      <w:r w:rsidR="00190923" w:rsidRPr="00981405">
        <w:t xml:space="preserve"> </w:t>
      </w:r>
      <w:r w:rsidRPr="00981405">
        <w:t>or</w:t>
      </w:r>
      <w:r w:rsidR="00190923" w:rsidRPr="00981405">
        <w:t xml:space="preserve"> </w:t>
      </w:r>
      <w:r w:rsidRPr="00981405">
        <w:t>representatives</w:t>
      </w:r>
      <w:r w:rsidR="00190923" w:rsidRPr="00981405">
        <w:t xml:space="preserve"> </w:t>
      </w:r>
      <w:r w:rsidRPr="00981405">
        <w:t>alone</w:t>
      </w:r>
      <w:r w:rsidR="00B92E2C" w:rsidRPr="00981405">
        <w:t>”</w:t>
      </w:r>
      <w:r w:rsidR="00190923" w:rsidRPr="00981405">
        <w:t xml:space="preserve"> </w:t>
      </w:r>
      <w:r w:rsidRPr="00981405">
        <w:t>and</w:t>
      </w:r>
      <w:r w:rsidR="00190923" w:rsidRPr="00981405">
        <w:t xml:space="preserve"> </w:t>
      </w:r>
      <w:r w:rsidRPr="00981405">
        <w:t>that</w:t>
      </w:r>
      <w:r w:rsidR="00190923" w:rsidRPr="00981405">
        <w:t xml:space="preserve"> </w:t>
      </w:r>
      <w:r w:rsidRPr="00981405">
        <w:t>it</w:t>
      </w:r>
      <w:r w:rsidR="00190923" w:rsidRPr="00981405">
        <w:t xml:space="preserve"> </w:t>
      </w:r>
      <w:r w:rsidR="00B92E2C" w:rsidRPr="00981405">
        <w:t>“</w:t>
      </w:r>
      <w:r w:rsidRPr="00981405">
        <w:t>does</w:t>
      </w:r>
      <w:r w:rsidR="00190923" w:rsidRPr="00981405">
        <w:t xml:space="preserve"> </w:t>
      </w:r>
      <w:r w:rsidRPr="00981405">
        <w:t>not</w:t>
      </w:r>
      <w:r w:rsidR="00190923" w:rsidRPr="00981405">
        <w:t xml:space="preserve"> </w:t>
      </w:r>
      <w:r w:rsidRPr="00981405">
        <w:t>rule</w:t>
      </w:r>
      <w:r w:rsidR="00190923" w:rsidRPr="00981405">
        <w:t xml:space="preserve"> </w:t>
      </w:r>
      <w:r w:rsidRPr="00981405">
        <w:t>out</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that</w:t>
      </w:r>
      <w:r w:rsidR="00190923" w:rsidRPr="00981405">
        <w:t xml:space="preserve"> </w:t>
      </w:r>
      <w:r w:rsidRPr="00981405">
        <w:t>private</w:t>
      </w:r>
      <w:r w:rsidR="00190923" w:rsidRPr="00981405">
        <w:t xml:space="preserve"> </w:t>
      </w:r>
      <w:r w:rsidRPr="00981405">
        <w:t>individuals</w:t>
      </w:r>
      <w:r w:rsidR="00190923" w:rsidRPr="00981405">
        <w:t xml:space="preserve"> </w:t>
      </w:r>
      <w:r w:rsidRPr="00981405">
        <w:t>with</w:t>
      </w:r>
      <w:r w:rsidR="00190923" w:rsidRPr="00981405">
        <w:t xml:space="preserve"> </w:t>
      </w:r>
      <w:r w:rsidR="004769B2" w:rsidRPr="00981405">
        <w:rPr>
          <w:i/>
          <w:iCs/>
        </w:rPr>
        <w:t>de</w:t>
      </w:r>
      <w:r w:rsidR="00190923" w:rsidRPr="00981405">
        <w:rPr>
          <w:i/>
          <w:iCs/>
        </w:rPr>
        <w:t xml:space="preserve"> </w:t>
      </w:r>
      <w:r w:rsidR="004769B2" w:rsidRPr="00981405">
        <w:rPr>
          <w:i/>
          <w:iCs/>
        </w:rPr>
        <w:t>facto</w:t>
      </w:r>
      <w:r w:rsidR="00190923" w:rsidRPr="00981405">
        <w:rPr>
          <w:i/>
          <w:iCs/>
        </w:rPr>
        <w:t xml:space="preserve"> </w:t>
      </w:r>
      <w:r w:rsidRPr="00981405">
        <w:t>power</w:t>
      </w:r>
      <w:r w:rsidR="00190923" w:rsidRPr="00981405">
        <w:t xml:space="preserve"> </w:t>
      </w:r>
      <w:r w:rsidRPr="00981405">
        <w:t>or</w:t>
      </w:r>
      <w:r w:rsidR="00190923" w:rsidRPr="00981405">
        <w:t xml:space="preserve"> </w:t>
      </w:r>
      <w:r w:rsidRPr="00981405">
        <w:t>organized</w:t>
      </w:r>
      <w:r w:rsidR="00190923" w:rsidRPr="00981405">
        <w:t xml:space="preserve"> </w:t>
      </w:r>
      <w:r w:rsidRPr="00981405">
        <w:t>in</w:t>
      </w:r>
      <w:r w:rsidR="00190923" w:rsidRPr="00981405">
        <w:t xml:space="preserve"> </w:t>
      </w:r>
      <w:r w:rsidRPr="00981405">
        <w:t>criminal</w:t>
      </w:r>
      <w:r w:rsidR="00190923" w:rsidRPr="00981405">
        <w:t xml:space="preserve"> </w:t>
      </w:r>
      <w:r w:rsidRPr="00981405">
        <w:t>gangs</w:t>
      </w:r>
      <w:r w:rsidR="00190923" w:rsidRPr="00981405">
        <w:t xml:space="preserve"> </w:t>
      </w:r>
      <w:r w:rsidRPr="00981405">
        <w:t>or</w:t>
      </w:r>
      <w:r w:rsidR="00190923" w:rsidRPr="00981405">
        <w:t xml:space="preserve"> </w:t>
      </w:r>
      <w:r w:rsidRPr="00981405">
        <w:t>groups</w:t>
      </w:r>
      <w:r w:rsidR="00190923" w:rsidRPr="00981405">
        <w:t xml:space="preserve"> </w:t>
      </w:r>
      <w:r w:rsidRPr="00981405">
        <w:t>might</w:t>
      </w:r>
      <w:r w:rsidR="00190923" w:rsidRPr="00981405">
        <w:t xml:space="preserve"> </w:t>
      </w:r>
      <w:r w:rsidRPr="00981405">
        <w:t>also</w:t>
      </w:r>
      <w:r w:rsidR="00190923" w:rsidRPr="00981405">
        <w:t xml:space="preserve"> </w:t>
      </w:r>
      <w:r w:rsidRPr="00981405">
        <w:t>commit</w:t>
      </w:r>
      <w:r w:rsidR="00190923" w:rsidRPr="00981405">
        <w:t xml:space="preserve"> </w:t>
      </w:r>
      <w:r w:rsidRPr="00981405">
        <w:t>the</w:t>
      </w:r>
      <w:r w:rsidR="00190923" w:rsidRPr="00981405">
        <w:t xml:space="preserve"> </w:t>
      </w:r>
      <w:r w:rsidRPr="00981405">
        <w:t>kind</w:t>
      </w:r>
      <w:r w:rsidR="00190923" w:rsidRPr="00981405">
        <w:t xml:space="preserve"> </w:t>
      </w:r>
      <w:r w:rsidRPr="00981405">
        <w:t>of</w:t>
      </w:r>
      <w:r w:rsidR="00190923" w:rsidRPr="00981405">
        <w:t xml:space="preserve"> </w:t>
      </w:r>
      <w:r w:rsidRPr="00981405">
        <w:t>systematic</w:t>
      </w:r>
      <w:r w:rsidR="00190923" w:rsidRPr="00981405">
        <w:t xml:space="preserve"> </w:t>
      </w:r>
      <w:r w:rsidRPr="00981405">
        <w:t>or</w:t>
      </w:r>
      <w:r w:rsidR="00190923" w:rsidRPr="00981405">
        <w:t xml:space="preserve"> </w:t>
      </w:r>
      <w:r w:rsidRPr="00981405">
        <w:t>mass</w:t>
      </w:r>
      <w:r w:rsidR="00190923" w:rsidRPr="00981405">
        <w:t xml:space="preserve"> </w:t>
      </w:r>
      <w:r w:rsidRPr="00981405">
        <w:t>violations</w:t>
      </w:r>
      <w:r w:rsidR="00190923" w:rsidRPr="00981405">
        <w:t xml:space="preserve"> </w:t>
      </w:r>
      <w:r w:rsidRPr="00981405">
        <w:t>of</w:t>
      </w:r>
      <w:r w:rsidR="00190923" w:rsidRPr="00981405">
        <w:t xml:space="preserve"> </w:t>
      </w:r>
      <w:r w:rsidRPr="00981405">
        <w:t>human</w:t>
      </w:r>
      <w:r w:rsidR="00190923" w:rsidRPr="00981405">
        <w:t xml:space="preserve"> </w:t>
      </w:r>
      <w:r w:rsidRPr="00981405">
        <w:t>rights</w:t>
      </w:r>
      <w:r w:rsidR="00190923" w:rsidRPr="00981405">
        <w:t xml:space="preserve"> </w:t>
      </w:r>
      <w:r w:rsidRPr="00981405">
        <w:t>covered</w:t>
      </w:r>
      <w:r w:rsidR="00190923" w:rsidRPr="00981405">
        <w:t xml:space="preserve"> </w:t>
      </w:r>
      <w:r w:rsidRPr="00981405">
        <w:t>by</w:t>
      </w:r>
      <w:r w:rsidR="00190923" w:rsidRPr="00981405">
        <w:t xml:space="preserve"> </w:t>
      </w:r>
      <w:r w:rsidRPr="00981405">
        <w:t>the</w:t>
      </w:r>
      <w:r w:rsidR="00190923" w:rsidRPr="00981405">
        <w:t xml:space="preserve"> </w:t>
      </w:r>
      <w:r w:rsidRPr="00981405">
        <w:t>article;</w:t>
      </w:r>
      <w:r w:rsidR="00190923" w:rsidRPr="00981405">
        <w:t xml:space="preserve"> </w:t>
      </w:r>
      <w:r w:rsidRPr="00981405">
        <w:t>in</w:t>
      </w:r>
      <w:r w:rsidR="00190923" w:rsidRPr="00981405">
        <w:t xml:space="preserve"> </w:t>
      </w:r>
      <w:r w:rsidRPr="00981405">
        <w:t>that</w:t>
      </w:r>
      <w:r w:rsidR="00190923" w:rsidRPr="00981405">
        <w:t xml:space="preserve"> </w:t>
      </w:r>
      <w:r w:rsidRPr="00981405">
        <w:t>case,</w:t>
      </w:r>
      <w:r w:rsidR="00190923" w:rsidRPr="00981405">
        <w:t xml:space="preserve"> </w:t>
      </w:r>
      <w:r w:rsidRPr="00981405">
        <w:t>their</w:t>
      </w:r>
      <w:r w:rsidR="00190923" w:rsidRPr="00981405">
        <w:t xml:space="preserve"> </w:t>
      </w:r>
      <w:r w:rsidRPr="00981405">
        <w:t>acts</w:t>
      </w:r>
      <w:r w:rsidR="00190923" w:rsidRPr="00981405">
        <w:t xml:space="preserve"> </w:t>
      </w:r>
      <w:r w:rsidRPr="00981405">
        <w:t>would</w:t>
      </w:r>
      <w:r w:rsidR="00190923" w:rsidRPr="00981405">
        <w:t xml:space="preserve"> </w:t>
      </w:r>
      <w:r w:rsidRPr="00981405">
        <w:t>come</w:t>
      </w:r>
      <w:r w:rsidR="00190923" w:rsidRPr="00981405">
        <w:t xml:space="preserve"> </w:t>
      </w:r>
      <w:r w:rsidRPr="00981405">
        <w:t>under</w:t>
      </w:r>
      <w:r w:rsidR="00190923" w:rsidRPr="00981405">
        <w:t xml:space="preserve"> </w:t>
      </w:r>
      <w:r w:rsidRPr="00981405">
        <w:t>the</w:t>
      </w:r>
      <w:r w:rsidR="00190923" w:rsidRPr="00981405">
        <w:t xml:space="preserve"> </w:t>
      </w:r>
      <w:r w:rsidRPr="00981405">
        <w:t>draft</w:t>
      </w:r>
      <w:r w:rsidR="00190923" w:rsidRPr="00981405">
        <w:t xml:space="preserve"> </w:t>
      </w:r>
      <w:r w:rsidRPr="00981405">
        <w:t>Code.</w:t>
      </w:r>
      <w:r w:rsidR="00B92E2C" w:rsidRPr="00981405">
        <w:t>”</w:t>
      </w:r>
      <w:r w:rsidRPr="00981405">
        <w:rPr>
          <w:rStyle w:val="FootnoteReference"/>
        </w:rPr>
        <w:footnoteReference w:id="201"/>
      </w:r>
      <w:r w:rsidR="00190923" w:rsidRPr="00981405">
        <w:t xml:space="preserve"> </w:t>
      </w:r>
      <w:r w:rsidRPr="00981405">
        <w:t>As</w:t>
      </w:r>
      <w:r w:rsidR="00190923" w:rsidRPr="00981405">
        <w:t xml:space="preserve"> </w:t>
      </w:r>
      <w:r w:rsidRPr="00981405">
        <w:t>discussed</w:t>
      </w:r>
      <w:r w:rsidR="00190923" w:rsidRPr="00981405">
        <w:t xml:space="preserve"> </w:t>
      </w:r>
      <w:r w:rsidRPr="00981405">
        <w:t>previously,</w:t>
      </w:r>
      <w:r w:rsidR="00190923" w:rsidRPr="00981405">
        <w:t xml:space="preserve"> </w:t>
      </w:r>
      <w:r w:rsidRPr="00981405">
        <w:t>the</w:t>
      </w:r>
      <w:r w:rsidR="00190923" w:rsidRPr="00981405">
        <w:t xml:space="preserve"> </w:t>
      </w:r>
      <w:r w:rsidRPr="00981405">
        <w:t>1996</w:t>
      </w:r>
      <w:r w:rsidR="00190923" w:rsidRPr="00981405">
        <w:t xml:space="preserve"> </w:t>
      </w:r>
      <w:r w:rsidRPr="00981405">
        <w:t>Draft</w:t>
      </w:r>
      <w:r w:rsidR="00190923" w:rsidRPr="00981405">
        <w:t xml:space="preserve"> </w:t>
      </w:r>
      <w:r w:rsidRPr="00981405">
        <w:t>Code</w:t>
      </w:r>
      <w:r w:rsidR="00190923" w:rsidRPr="00981405">
        <w:t xml:space="preserve"> </w:t>
      </w:r>
      <w:r w:rsidRPr="00981405">
        <w:t>added</w:t>
      </w:r>
      <w:r w:rsidR="00190923" w:rsidRPr="00981405">
        <w:t xml:space="preserve"> </w:t>
      </w:r>
      <w:r w:rsidRPr="00981405">
        <w:t>the</w:t>
      </w:r>
      <w:r w:rsidR="00190923" w:rsidRPr="00981405">
        <w:t xml:space="preserve"> </w:t>
      </w:r>
      <w:r w:rsidRPr="00981405">
        <w:t>requirement</w:t>
      </w:r>
      <w:r w:rsidR="00190923" w:rsidRPr="00981405">
        <w:t xml:space="preserve"> </w:t>
      </w:r>
      <w:r w:rsidRPr="00981405">
        <w:t>that,</w:t>
      </w:r>
      <w:r w:rsidR="00190923" w:rsidRPr="00981405">
        <w:t xml:space="preserve"> </w:t>
      </w:r>
      <w:r w:rsidRPr="00981405">
        <w:t>to</w:t>
      </w:r>
      <w:r w:rsidR="00190923" w:rsidRPr="00981405">
        <w:t xml:space="preserve"> </w:t>
      </w:r>
      <w:r w:rsidRPr="00981405">
        <w:t>be</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the</w:t>
      </w:r>
      <w:r w:rsidR="00190923" w:rsidRPr="00981405">
        <w:t xml:space="preserve"> </w:t>
      </w:r>
      <w:r w:rsidRPr="00981405">
        <w:t>inhumane</w:t>
      </w:r>
      <w:r w:rsidR="00190923" w:rsidRPr="00981405">
        <w:t xml:space="preserve"> </w:t>
      </w:r>
      <w:r w:rsidRPr="00981405">
        <w:t>acts</w:t>
      </w:r>
      <w:r w:rsidR="00190923" w:rsidRPr="00981405">
        <w:t xml:space="preserve"> </w:t>
      </w:r>
      <w:r w:rsidRPr="00981405">
        <w:t>must</w:t>
      </w:r>
      <w:r w:rsidR="00190923" w:rsidRPr="00981405">
        <w:t xml:space="preserve"> </w:t>
      </w:r>
      <w:r w:rsidRPr="00981405">
        <w:t>be</w:t>
      </w:r>
      <w:r w:rsidR="00190923" w:rsidRPr="00981405">
        <w:t xml:space="preserve"> </w:t>
      </w:r>
      <w:r w:rsidR="00B92E2C" w:rsidRPr="00981405">
        <w:t>“</w:t>
      </w:r>
      <w:r w:rsidRPr="00981405">
        <w:t>instigated</w:t>
      </w:r>
      <w:r w:rsidR="00190923" w:rsidRPr="00981405">
        <w:t xml:space="preserve"> </w:t>
      </w:r>
      <w:r w:rsidRPr="00981405">
        <w:t>or</w:t>
      </w:r>
      <w:r w:rsidR="00190923" w:rsidRPr="00981405">
        <w:t xml:space="preserve"> </w:t>
      </w:r>
      <w:r w:rsidRPr="00981405">
        <w:t>directed</w:t>
      </w:r>
      <w:r w:rsidR="00190923" w:rsidRPr="00981405">
        <w:t xml:space="preserve"> </w:t>
      </w:r>
      <w:r w:rsidRPr="00981405">
        <w:t>by</w:t>
      </w:r>
      <w:r w:rsidR="00190923" w:rsidRPr="00981405">
        <w:t xml:space="preserve"> </w:t>
      </w:r>
      <w:r w:rsidRPr="00981405">
        <w:t>a</w:t>
      </w:r>
      <w:r w:rsidR="00190923" w:rsidRPr="00981405">
        <w:t xml:space="preserve"> </w:t>
      </w:r>
      <w:r w:rsidRPr="00981405">
        <w:t>Government</w:t>
      </w:r>
      <w:r w:rsidR="00190923" w:rsidRPr="00981405">
        <w:t xml:space="preserve"> </w:t>
      </w:r>
      <w:r w:rsidRPr="00D97463">
        <w:rPr>
          <w:i/>
          <w:iCs/>
        </w:rPr>
        <w:t>or</w:t>
      </w:r>
      <w:r w:rsidR="00190923" w:rsidRPr="00D97463">
        <w:rPr>
          <w:i/>
          <w:iCs/>
        </w:rPr>
        <w:t xml:space="preserve"> </w:t>
      </w:r>
      <w:r w:rsidRPr="00D97463">
        <w:rPr>
          <w:i/>
          <w:iCs/>
        </w:rPr>
        <w:t>by</w:t>
      </w:r>
      <w:r w:rsidR="00190923" w:rsidRPr="00D97463">
        <w:rPr>
          <w:i/>
          <w:iCs/>
        </w:rPr>
        <w:t xml:space="preserve"> </w:t>
      </w:r>
      <w:r w:rsidRPr="00D97463">
        <w:rPr>
          <w:i/>
          <w:iCs/>
        </w:rPr>
        <w:t>any</w:t>
      </w:r>
      <w:r w:rsidR="00190923" w:rsidRPr="00D97463">
        <w:rPr>
          <w:i/>
          <w:iCs/>
        </w:rPr>
        <w:t xml:space="preserve"> </w:t>
      </w:r>
      <w:r w:rsidRPr="00D97463">
        <w:rPr>
          <w:i/>
          <w:iCs/>
        </w:rPr>
        <w:t>organization</w:t>
      </w:r>
      <w:r w:rsidR="00190923" w:rsidRPr="00D97463">
        <w:rPr>
          <w:i/>
          <w:iCs/>
        </w:rPr>
        <w:t xml:space="preserve"> </w:t>
      </w:r>
      <w:r w:rsidRPr="00D97463">
        <w:rPr>
          <w:i/>
          <w:iCs/>
        </w:rPr>
        <w:t>or</w:t>
      </w:r>
      <w:r w:rsidR="00190923" w:rsidRPr="00D97463">
        <w:rPr>
          <w:i/>
          <w:iCs/>
        </w:rPr>
        <w:t xml:space="preserve"> </w:t>
      </w:r>
      <w:r w:rsidRPr="00D97463">
        <w:rPr>
          <w:i/>
          <w:iCs/>
        </w:rPr>
        <w:t>group</w:t>
      </w:r>
      <w:r w:rsidRPr="00981405">
        <w:t>.</w:t>
      </w:r>
      <w:r w:rsidR="00B92E2C" w:rsidRPr="00981405">
        <w:t>”</w:t>
      </w:r>
      <w:r w:rsidRPr="00981405">
        <w:rPr>
          <w:rStyle w:val="FootnoteReference"/>
        </w:rPr>
        <w:footnoteReference w:id="202"/>
      </w:r>
      <w:r w:rsidR="00190923" w:rsidRPr="00981405">
        <w:t xml:space="preserve"> </w:t>
      </w:r>
      <w:r w:rsidRPr="00981405">
        <w:t>In</w:t>
      </w:r>
      <w:r w:rsidR="00190923" w:rsidRPr="00981405">
        <w:t xml:space="preserve"> </w:t>
      </w:r>
      <w:r w:rsidRPr="00981405">
        <w:t>its</w:t>
      </w:r>
      <w:r w:rsidR="00190923" w:rsidRPr="00981405">
        <w:t xml:space="preserve"> </w:t>
      </w:r>
      <w:r w:rsidRPr="00981405">
        <w:t>commentary</w:t>
      </w:r>
      <w:r w:rsidR="00190923" w:rsidRPr="00981405">
        <w:t xml:space="preserve"> </w:t>
      </w:r>
      <w:r w:rsidRPr="00981405">
        <w:t>to</w:t>
      </w:r>
      <w:r w:rsidR="00190923" w:rsidRPr="00981405">
        <w:t xml:space="preserve"> </w:t>
      </w:r>
      <w:r w:rsidRPr="00981405">
        <w:t>this</w:t>
      </w:r>
      <w:r w:rsidR="00190923" w:rsidRPr="00981405">
        <w:t xml:space="preserve"> </w:t>
      </w:r>
      <w:r w:rsidRPr="00981405">
        <w:t>requirement,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noted:</w:t>
      </w:r>
      <w:r w:rsidR="00190923" w:rsidRPr="00981405">
        <w:t xml:space="preserve"> </w:t>
      </w:r>
      <w:r w:rsidR="00B92E2C" w:rsidRPr="00981405">
        <w:t>“</w:t>
      </w:r>
      <w:r w:rsidRPr="00981405">
        <w:t>The</w:t>
      </w:r>
      <w:r w:rsidR="00190923" w:rsidRPr="00981405">
        <w:t xml:space="preserve"> </w:t>
      </w:r>
      <w:r w:rsidRPr="00981405">
        <w:t>instigation</w:t>
      </w:r>
      <w:r w:rsidR="00190923" w:rsidRPr="00981405">
        <w:t xml:space="preserve"> </w:t>
      </w:r>
      <w:r w:rsidRPr="00981405">
        <w:t>or</w:t>
      </w:r>
      <w:r w:rsidR="00190923" w:rsidRPr="00981405">
        <w:t xml:space="preserve"> </w:t>
      </w:r>
      <w:r w:rsidRPr="00981405">
        <w:t>direction</w:t>
      </w:r>
      <w:r w:rsidR="00190923" w:rsidRPr="00981405">
        <w:t xml:space="preserve"> </w:t>
      </w:r>
      <w:r w:rsidRPr="00981405">
        <w:t>of</w:t>
      </w:r>
      <w:r w:rsidR="00190923" w:rsidRPr="00981405">
        <w:t xml:space="preserve"> </w:t>
      </w:r>
      <w:r w:rsidRPr="00981405">
        <w:t>a</w:t>
      </w:r>
      <w:r w:rsidR="00190923" w:rsidRPr="00981405">
        <w:t xml:space="preserve"> </w:t>
      </w:r>
      <w:r w:rsidRPr="00981405">
        <w:t>Government</w:t>
      </w:r>
      <w:r w:rsidR="00190923" w:rsidRPr="00981405">
        <w:t xml:space="preserve"> </w:t>
      </w:r>
      <w:r w:rsidRPr="00981405">
        <w:t>or</w:t>
      </w:r>
      <w:r w:rsidR="00190923" w:rsidRPr="00981405">
        <w:t xml:space="preserve"> </w:t>
      </w:r>
      <w:r w:rsidRPr="00981405">
        <w:t>any</w:t>
      </w:r>
      <w:r w:rsidR="00190923" w:rsidRPr="00981405">
        <w:t xml:space="preserve"> </w:t>
      </w:r>
      <w:r w:rsidRPr="00981405">
        <w:t>organization</w:t>
      </w:r>
      <w:r w:rsidR="00190923" w:rsidRPr="00981405">
        <w:t xml:space="preserve"> </w:t>
      </w:r>
      <w:r w:rsidRPr="00981405">
        <w:t>or</w:t>
      </w:r>
      <w:r w:rsidR="00190923" w:rsidRPr="00981405">
        <w:t xml:space="preserve"> </w:t>
      </w:r>
      <w:r w:rsidRPr="00981405">
        <w:t>group,</w:t>
      </w:r>
      <w:r w:rsidR="00190923" w:rsidRPr="00981405">
        <w:t xml:space="preserve"> </w:t>
      </w:r>
      <w:r w:rsidRPr="00981405">
        <w:t>which</w:t>
      </w:r>
      <w:r w:rsidR="00190923" w:rsidRPr="00981405">
        <w:t xml:space="preserve"> </w:t>
      </w:r>
      <w:r w:rsidRPr="00981405">
        <w:t>may</w:t>
      </w:r>
      <w:r w:rsidR="00190923" w:rsidRPr="00981405">
        <w:t xml:space="preserve"> </w:t>
      </w:r>
      <w:r w:rsidRPr="00981405">
        <w:t>or</w:t>
      </w:r>
      <w:r w:rsidR="00190923" w:rsidRPr="00981405">
        <w:t xml:space="preserve"> </w:t>
      </w:r>
      <w:r w:rsidRPr="00981405">
        <w:t>may</w:t>
      </w:r>
      <w:r w:rsidR="00190923" w:rsidRPr="00981405">
        <w:t xml:space="preserve"> </w:t>
      </w:r>
      <w:r w:rsidRPr="00981405">
        <w:t>not</w:t>
      </w:r>
      <w:r w:rsidR="00190923" w:rsidRPr="00981405">
        <w:t xml:space="preserve"> </w:t>
      </w:r>
      <w:r w:rsidRPr="00981405">
        <w:t>be</w:t>
      </w:r>
      <w:r w:rsidR="00190923" w:rsidRPr="00981405">
        <w:t xml:space="preserve"> </w:t>
      </w:r>
      <w:r w:rsidRPr="00981405">
        <w:t>affiliated</w:t>
      </w:r>
      <w:r w:rsidR="00190923" w:rsidRPr="00981405">
        <w:t xml:space="preserve"> </w:t>
      </w:r>
      <w:r w:rsidRPr="00981405">
        <w:t>with</w:t>
      </w:r>
      <w:r w:rsidR="00190923" w:rsidRPr="00981405">
        <w:t xml:space="preserve"> </w:t>
      </w:r>
      <w:r w:rsidRPr="00981405">
        <w:t>a</w:t>
      </w:r>
      <w:r w:rsidR="00190923" w:rsidRPr="00981405">
        <w:t xml:space="preserve"> </w:t>
      </w:r>
      <w:r w:rsidRPr="00981405">
        <w:t>Government,</w:t>
      </w:r>
      <w:r w:rsidR="00190923" w:rsidRPr="00981405">
        <w:t xml:space="preserve"> </w:t>
      </w:r>
      <w:r w:rsidRPr="00981405">
        <w:t>gives</w:t>
      </w:r>
      <w:r w:rsidR="00190923" w:rsidRPr="00981405">
        <w:t xml:space="preserve"> </w:t>
      </w:r>
      <w:r w:rsidRPr="00981405">
        <w:t>the</w:t>
      </w:r>
      <w:r w:rsidR="00190923" w:rsidRPr="00981405">
        <w:t xml:space="preserve"> </w:t>
      </w:r>
      <w:r w:rsidRPr="00981405">
        <w:t>act</w:t>
      </w:r>
      <w:r w:rsidR="00190923" w:rsidRPr="00981405">
        <w:t xml:space="preserve"> </w:t>
      </w:r>
      <w:r w:rsidRPr="00981405">
        <w:t>its</w:t>
      </w:r>
      <w:r w:rsidR="00190923" w:rsidRPr="00981405">
        <w:t xml:space="preserve"> </w:t>
      </w:r>
      <w:r w:rsidRPr="00981405">
        <w:t>great</w:t>
      </w:r>
      <w:r w:rsidR="00190923" w:rsidRPr="00981405">
        <w:t xml:space="preserve"> </w:t>
      </w:r>
      <w:r w:rsidRPr="00981405">
        <w:t>dimension</w:t>
      </w:r>
      <w:r w:rsidR="00190923" w:rsidRPr="00981405">
        <w:t xml:space="preserve"> </w:t>
      </w:r>
      <w:r w:rsidRPr="00981405">
        <w:t>and</w:t>
      </w:r>
      <w:r w:rsidR="00190923" w:rsidRPr="00981405">
        <w:t xml:space="preserve"> </w:t>
      </w:r>
      <w:r w:rsidRPr="00981405">
        <w:t>makes</w:t>
      </w:r>
      <w:r w:rsidR="00190923" w:rsidRPr="00981405">
        <w:t xml:space="preserve"> </w:t>
      </w:r>
      <w:r w:rsidRPr="00981405">
        <w:t>it</w:t>
      </w:r>
      <w:r w:rsidR="00190923" w:rsidRPr="00981405">
        <w:t xml:space="preserve"> </w:t>
      </w:r>
      <w:r w:rsidRPr="00981405">
        <w:t>a</w:t>
      </w:r>
      <w:r w:rsidR="00190923" w:rsidRPr="00981405">
        <w:t xml:space="preserve"> </w:t>
      </w:r>
      <w:r w:rsidRPr="00981405">
        <w:t>crime</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imputable</w:t>
      </w:r>
      <w:r w:rsidR="00190923" w:rsidRPr="00981405">
        <w:t xml:space="preserve"> </w:t>
      </w:r>
      <w:r w:rsidRPr="00981405">
        <w:t>to</w:t>
      </w:r>
      <w:r w:rsidR="00190923" w:rsidRPr="00981405">
        <w:t xml:space="preserve"> </w:t>
      </w:r>
      <w:r w:rsidRPr="00981405">
        <w:t>private</w:t>
      </w:r>
      <w:r w:rsidR="00190923" w:rsidRPr="00981405">
        <w:t xml:space="preserve"> </w:t>
      </w:r>
      <w:r w:rsidRPr="00981405">
        <w:t>persons</w:t>
      </w:r>
      <w:r w:rsidR="00190923" w:rsidRPr="00981405">
        <w:t xml:space="preserve"> </w:t>
      </w:r>
      <w:r w:rsidRPr="00981405">
        <w:t>or</w:t>
      </w:r>
      <w:r w:rsidR="00190923" w:rsidRPr="00981405">
        <w:t xml:space="preserve"> </w:t>
      </w:r>
      <w:r w:rsidRPr="00981405">
        <w:t>agents</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B92E2C" w:rsidRPr="00981405">
        <w:t>”</w:t>
      </w:r>
      <w:r w:rsidRPr="00981405">
        <w:rPr>
          <w:rStyle w:val="FootnoteReference"/>
        </w:rPr>
        <w:footnoteReference w:id="203"/>
      </w:r>
      <w:r w:rsidR="00190923" w:rsidRPr="00981405">
        <w:t xml:space="preserve"> </w:t>
      </w:r>
    </w:p>
    <w:p w:rsidR="00397032" w:rsidRPr="00981405" w:rsidRDefault="00397032" w:rsidP="00D97463">
      <w:pPr>
        <w:pStyle w:val="SingleTxt"/>
        <w:rPr>
          <w:rFonts w:eastAsia="Batang"/>
        </w:rPr>
      </w:pPr>
      <w:r w:rsidRPr="00981405">
        <w:t>(32)</w:t>
      </w:r>
      <w:r w:rsidRPr="00981405">
        <w:tab/>
        <w:t>ICTY</w:t>
      </w:r>
      <w:r w:rsidR="00190923" w:rsidRPr="00981405">
        <w:t xml:space="preserve"> </w:t>
      </w:r>
      <w:r w:rsidRPr="00981405">
        <w:t>jurisprudence</w:t>
      </w:r>
      <w:r w:rsidR="00190923" w:rsidRPr="00981405">
        <w:t xml:space="preserve"> </w:t>
      </w:r>
      <w:r w:rsidRPr="00981405">
        <w:t>accepted</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being</w:t>
      </w:r>
      <w:r w:rsidR="00190923" w:rsidRPr="00981405">
        <w:t xml:space="preserve"> </w:t>
      </w:r>
      <w:r w:rsidRPr="00981405">
        <w:t>prosecuted</w:t>
      </w:r>
      <w:r w:rsidR="00190923" w:rsidRPr="00981405">
        <w:t xml:space="preserve"> </w:t>
      </w:r>
      <w:r w:rsidRPr="00981405">
        <w:t>for</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For</w:t>
      </w:r>
      <w:r w:rsidR="00190923" w:rsidRPr="00981405">
        <w:t xml:space="preserve"> </w:t>
      </w:r>
      <w:r w:rsidRPr="00981405">
        <w:t>example,</w:t>
      </w:r>
      <w:r w:rsidR="00190923" w:rsidRPr="00981405">
        <w:t xml:space="preserve"> </w:t>
      </w:r>
      <w:r w:rsidRPr="00981405">
        <w:t>an</w:t>
      </w:r>
      <w:r w:rsidR="00190923" w:rsidRPr="00981405">
        <w:t xml:space="preserve"> </w:t>
      </w:r>
      <w:r w:rsidRPr="00981405">
        <w:t>ICTY</w:t>
      </w:r>
      <w:r w:rsidR="00190923" w:rsidRPr="00981405">
        <w:t xml:space="preserve"> </w:t>
      </w:r>
      <w:r w:rsidRPr="00981405">
        <w:t>Trial</w:t>
      </w:r>
      <w:r w:rsidR="00190923" w:rsidRPr="00981405">
        <w:t xml:space="preserve"> </w:t>
      </w:r>
      <w:r w:rsidRPr="00981405">
        <w:t>Chamber</w:t>
      </w:r>
      <w:r w:rsidR="00190923" w:rsidRPr="00981405">
        <w:t xml:space="preserve"> </w:t>
      </w:r>
      <w:r w:rsidRPr="00981405">
        <w:t>in</w:t>
      </w:r>
      <w:r w:rsidR="00190923" w:rsidRPr="00981405">
        <w:t xml:space="preserve"> </w:t>
      </w:r>
      <w:r w:rsidRPr="00981405">
        <w:t>the</w:t>
      </w:r>
      <w:r w:rsidR="00190923" w:rsidRPr="00981405">
        <w:t xml:space="preserve"> </w:t>
      </w:r>
      <w:r w:rsidRPr="00D97463">
        <w:rPr>
          <w:rFonts w:eastAsia="Batang"/>
          <w:i/>
          <w:iCs/>
        </w:rPr>
        <w:t>Tadić</w:t>
      </w:r>
      <w:r w:rsidR="00190923" w:rsidRPr="00981405">
        <w:rPr>
          <w:rFonts w:eastAsia="Batang"/>
          <w:i/>
          <w:iCs/>
        </w:rPr>
        <w:t xml:space="preserve"> </w:t>
      </w:r>
      <w:r w:rsidRPr="00981405">
        <w:rPr>
          <w:rFonts w:eastAsia="Batang"/>
        </w:rPr>
        <w:t>case</w:t>
      </w:r>
      <w:r w:rsidR="00190923" w:rsidRPr="00981405">
        <w:rPr>
          <w:rFonts w:eastAsia="Batang"/>
        </w:rPr>
        <w:t xml:space="preserve"> </w:t>
      </w:r>
      <w:r w:rsidRPr="00981405">
        <w:rPr>
          <w:rFonts w:eastAsia="Batang"/>
        </w:rPr>
        <w:t>stated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rPr>
          <w:rFonts w:eastAsia="Batang"/>
        </w:rPr>
        <w:t>the</w:t>
      </w:r>
      <w:r w:rsidR="00190923" w:rsidRPr="00981405">
        <w:rPr>
          <w:rFonts w:eastAsia="Batang"/>
        </w:rPr>
        <w:t xml:space="preserve"> </w:t>
      </w:r>
      <w:r w:rsidRPr="00981405">
        <w:rPr>
          <w:rFonts w:eastAsia="Batang"/>
        </w:rPr>
        <w:t>law</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relation</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humanity</w:t>
      </w:r>
      <w:r w:rsidR="00190923" w:rsidRPr="00981405">
        <w:rPr>
          <w:rFonts w:eastAsia="Batang"/>
        </w:rPr>
        <w:t xml:space="preserve"> </w:t>
      </w:r>
      <w:r w:rsidRPr="00981405">
        <w:rPr>
          <w:rFonts w:eastAsia="Batang"/>
        </w:rPr>
        <w:t>has</w:t>
      </w:r>
      <w:r w:rsidR="00190923" w:rsidRPr="00981405">
        <w:rPr>
          <w:rFonts w:eastAsia="Batang"/>
        </w:rPr>
        <w:t xml:space="preserve"> </w:t>
      </w:r>
      <w:r w:rsidRPr="00981405">
        <w:rPr>
          <w:rFonts w:eastAsia="Batang"/>
        </w:rPr>
        <w:t>developed</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take</w:t>
      </w:r>
      <w:r w:rsidR="00190923" w:rsidRPr="00981405">
        <w:rPr>
          <w:rFonts w:eastAsia="Batang"/>
        </w:rPr>
        <w:t xml:space="preserve"> </w:t>
      </w:r>
      <w:r w:rsidRPr="00981405">
        <w:rPr>
          <w:rFonts w:eastAsia="Batang"/>
        </w:rPr>
        <w:t>into</w:t>
      </w:r>
      <w:r w:rsidR="00190923" w:rsidRPr="00981405">
        <w:rPr>
          <w:rFonts w:eastAsia="Batang"/>
        </w:rPr>
        <w:t xml:space="preserve"> </w:t>
      </w:r>
      <w:r w:rsidRPr="00981405">
        <w:rPr>
          <w:rFonts w:eastAsia="Batang"/>
        </w:rPr>
        <w:t>account</w:t>
      </w:r>
      <w:r w:rsidR="00190923" w:rsidRPr="00981405">
        <w:rPr>
          <w:rFonts w:eastAsia="Batang"/>
        </w:rPr>
        <w:t xml:space="preserve"> </w:t>
      </w:r>
      <w:r w:rsidRPr="00981405">
        <w:rPr>
          <w:rFonts w:eastAsia="Batang"/>
        </w:rPr>
        <w:t>forces</w:t>
      </w:r>
      <w:r w:rsidR="00190923" w:rsidRPr="00981405">
        <w:rPr>
          <w:rFonts w:eastAsia="Batang"/>
        </w:rPr>
        <w:t xml:space="preserve"> </w:t>
      </w:r>
      <w:r w:rsidRPr="00981405">
        <w:rPr>
          <w:rFonts w:eastAsia="Batang"/>
        </w:rPr>
        <w:t>which,</w:t>
      </w:r>
      <w:r w:rsidR="00190923" w:rsidRPr="00981405">
        <w:rPr>
          <w:rFonts w:eastAsia="Batang"/>
        </w:rPr>
        <w:t xml:space="preserve"> </w:t>
      </w:r>
      <w:r w:rsidRPr="00981405">
        <w:rPr>
          <w:rFonts w:eastAsia="Batang"/>
        </w:rPr>
        <w:t>although</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those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legitimate</w:t>
      </w:r>
      <w:r w:rsidR="00190923" w:rsidRPr="00981405">
        <w:rPr>
          <w:rFonts w:eastAsia="Batang"/>
        </w:rPr>
        <w:t xml:space="preserve"> </w:t>
      </w:r>
      <w:r w:rsidRPr="00981405">
        <w:rPr>
          <w:rFonts w:eastAsia="Batang"/>
        </w:rPr>
        <w:t>government,</w:t>
      </w:r>
      <w:r w:rsidR="00190923" w:rsidRPr="00981405">
        <w:rPr>
          <w:rFonts w:eastAsia="Batang"/>
        </w:rPr>
        <w:t xml:space="preserve"> </w:t>
      </w:r>
      <w:r w:rsidRPr="00981405">
        <w:rPr>
          <w:rFonts w:eastAsia="Batang"/>
        </w:rPr>
        <w:t>have</w:t>
      </w:r>
      <w:r w:rsidR="00190923" w:rsidRPr="00981405">
        <w:rPr>
          <w:rFonts w:eastAsia="Batang"/>
        </w:rPr>
        <w:t xml:space="preserve"> </w:t>
      </w:r>
      <w:r w:rsidR="004769B2" w:rsidRPr="00981405">
        <w:rPr>
          <w:rFonts w:eastAsia="Batang"/>
          <w:i/>
          <w:iCs/>
        </w:rPr>
        <w:t>de</w:t>
      </w:r>
      <w:r w:rsidR="00190923" w:rsidRPr="00981405">
        <w:rPr>
          <w:rFonts w:eastAsia="Batang"/>
          <w:i/>
          <w:iCs/>
        </w:rPr>
        <w:t xml:space="preserve"> </w:t>
      </w:r>
      <w:r w:rsidR="004769B2" w:rsidRPr="00981405">
        <w:rPr>
          <w:rFonts w:eastAsia="Batang"/>
          <w:i/>
          <w:iCs/>
        </w:rPr>
        <w:t>facto</w:t>
      </w:r>
      <w:r w:rsidR="00190923" w:rsidRPr="00981405">
        <w:rPr>
          <w:rFonts w:eastAsia="Batang"/>
          <w:i/>
          <w:iCs/>
        </w:rPr>
        <w:t xml:space="preserve"> </w:t>
      </w:r>
      <w:r w:rsidRPr="00981405">
        <w:rPr>
          <w:rFonts w:eastAsia="Batang"/>
        </w:rPr>
        <w:t>control</w:t>
      </w:r>
      <w:r w:rsidR="00190923" w:rsidRPr="00981405">
        <w:rPr>
          <w:rFonts w:eastAsia="Batang"/>
        </w:rPr>
        <w:t xml:space="preserve"> </w:t>
      </w:r>
      <w:r w:rsidRPr="00981405">
        <w:rPr>
          <w:rFonts w:eastAsia="Batang"/>
        </w:rPr>
        <w:t>over,</w:t>
      </w:r>
      <w:r w:rsidR="00190923" w:rsidRPr="00981405">
        <w:rPr>
          <w:rFonts w:eastAsia="Batang"/>
        </w:rPr>
        <w:t xml:space="preserve"> </w:t>
      </w:r>
      <w:r w:rsidRPr="00981405">
        <w:rPr>
          <w:rFonts w:eastAsia="Batang"/>
        </w:rPr>
        <w:t>or</w:t>
      </w:r>
      <w:r w:rsidR="00190923" w:rsidRPr="00981405">
        <w:rPr>
          <w:rFonts w:eastAsia="Batang"/>
        </w:rPr>
        <w:t xml:space="preserve"> </w:t>
      </w:r>
      <w:r w:rsidRPr="00981405">
        <w:rPr>
          <w:rFonts w:eastAsia="Batang"/>
        </w:rPr>
        <w:t>are</w:t>
      </w:r>
      <w:r w:rsidR="00190923" w:rsidRPr="00981405">
        <w:rPr>
          <w:rFonts w:eastAsia="Batang"/>
        </w:rPr>
        <w:t xml:space="preserve"> </w:t>
      </w:r>
      <w:r w:rsidRPr="00981405">
        <w:rPr>
          <w:rFonts w:eastAsia="Batang"/>
        </w:rPr>
        <w:t>able</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move</w:t>
      </w:r>
      <w:r w:rsidR="00190923" w:rsidRPr="00981405">
        <w:rPr>
          <w:rFonts w:eastAsia="Batang"/>
        </w:rPr>
        <w:t xml:space="preserve"> </w:t>
      </w:r>
      <w:r w:rsidRPr="00981405">
        <w:rPr>
          <w:rFonts w:eastAsia="Batang"/>
        </w:rPr>
        <w:t>freely</w:t>
      </w:r>
      <w:r w:rsidR="00190923" w:rsidRPr="00981405">
        <w:rPr>
          <w:rFonts w:eastAsia="Batang"/>
        </w:rPr>
        <w:t xml:space="preserve"> </w:t>
      </w:r>
      <w:r w:rsidRPr="00981405">
        <w:rPr>
          <w:rFonts w:eastAsia="Batang"/>
        </w:rPr>
        <w:t>within,</w:t>
      </w:r>
      <w:r w:rsidR="00190923" w:rsidRPr="00981405">
        <w:rPr>
          <w:rFonts w:eastAsia="Batang"/>
        </w:rPr>
        <w:t xml:space="preserve"> </w:t>
      </w:r>
      <w:r w:rsidRPr="00981405">
        <w:rPr>
          <w:rFonts w:eastAsia="Batang"/>
        </w:rPr>
        <w:t>defined</w:t>
      </w:r>
      <w:r w:rsidR="00190923" w:rsidRPr="00981405">
        <w:rPr>
          <w:rFonts w:eastAsia="Batang"/>
        </w:rPr>
        <w:t xml:space="preserve"> </w:t>
      </w:r>
      <w:r w:rsidRPr="00981405">
        <w:rPr>
          <w:rFonts w:eastAsia="Batang"/>
        </w:rPr>
        <w:t>territory.</w:t>
      </w:r>
      <w:r w:rsidR="00B92E2C" w:rsidRPr="00981405">
        <w:rPr>
          <w:rFonts w:eastAsia="Batang"/>
        </w:rPr>
        <w:t>”</w:t>
      </w:r>
      <w:r w:rsidRPr="00981405">
        <w:rPr>
          <w:rStyle w:val="FootnoteReference"/>
        </w:rPr>
        <w:footnoteReference w:id="204"/>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finding</w:t>
      </w:r>
      <w:r w:rsidR="00190923" w:rsidRPr="00981405">
        <w:rPr>
          <w:rFonts w:eastAsia="Batang"/>
        </w:rPr>
        <w:t xml:space="preserve"> </w:t>
      </w:r>
      <w:r w:rsidRPr="00981405">
        <w:rPr>
          <w:rFonts w:eastAsia="Batang"/>
        </w:rPr>
        <w:t>was</w:t>
      </w:r>
      <w:r w:rsidR="00190923" w:rsidRPr="00981405">
        <w:rPr>
          <w:rFonts w:eastAsia="Batang"/>
        </w:rPr>
        <w:t xml:space="preserve"> </w:t>
      </w:r>
      <w:r w:rsidRPr="00981405">
        <w:rPr>
          <w:rFonts w:eastAsia="Batang"/>
        </w:rPr>
        <w:t>echoed</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the</w:t>
      </w:r>
      <w:r w:rsidR="00190923" w:rsidRPr="00981405">
        <w:rPr>
          <w:rFonts w:eastAsia="Batang"/>
        </w:rPr>
        <w:t xml:space="preserve"> </w:t>
      </w:r>
      <w:r w:rsidRPr="00D97463">
        <w:rPr>
          <w:rFonts w:eastAsia="Batang"/>
          <w:i/>
          <w:iCs/>
        </w:rPr>
        <w:t>Limaj</w:t>
      </w:r>
      <w:r w:rsidR="00190923" w:rsidRPr="00981405">
        <w:rPr>
          <w:rFonts w:eastAsia="Batang"/>
        </w:rPr>
        <w:t xml:space="preserve"> </w:t>
      </w:r>
      <w:r w:rsidRPr="00981405">
        <w:rPr>
          <w:rFonts w:eastAsia="Batang"/>
        </w:rPr>
        <w:t>case,</w:t>
      </w:r>
      <w:r w:rsidR="00190923" w:rsidRPr="00981405">
        <w:rPr>
          <w:rFonts w:eastAsia="Batang"/>
        </w:rPr>
        <w:t xml:space="preserve"> </w:t>
      </w:r>
      <w:r w:rsidRPr="00981405">
        <w:rPr>
          <w:rFonts w:eastAsia="Batang"/>
        </w:rPr>
        <w:t>where</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viewed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defendant</w:t>
      </w:r>
      <w:r w:rsidR="00190923" w:rsidRPr="00981405">
        <w:rPr>
          <w:rFonts w:eastAsia="Batang"/>
        </w:rPr>
        <w:t xml:space="preserve"> </w:t>
      </w:r>
      <w:r w:rsidRPr="00981405">
        <w:rPr>
          <w:rFonts w:eastAsia="Batang"/>
        </w:rPr>
        <w:t>members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Kosovo</w:t>
      </w:r>
      <w:r w:rsidR="00190923" w:rsidRPr="00981405">
        <w:rPr>
          <w:rFonts w:eastAsia="Batang"/>
        </w:rPr>
        <w:t xml:space="preserve"> </w:t>
      </w:r>
      <w:r w:rsidRPr="00981405">
        <w:rPr>
          <w:rFonts w:eastAsia="Batang"/>
        </w:rPr>
        <w:t>Liberation</w:t>
      </w:r>
      <w:r w:rsidR="00190923" w:rsidRPr="00981405">
        <w:rPr>
          <w:rFonts w:eastAsia="Batang"/>
        </w:rPr>
        <w:t xml:space="preserve"> </w:t>
      </w:r>
      <w:r w:rsidRPr="00981405">
        <w:rPr>
          <w:rFonts w:eastAsia="Batang"/>
        </w:rPr>
        <w:t>Army</w:t>
      </w:r>
      <w:r w:rsidR="00190923" w:rsidRPr="00981405">
        <w:rPr>
          <w:rFonts w:eastAsia="Batang"/>
        </w:rPr>
        <w:t xml:space="preserve"> </w:t>
      </w:r>
      <w:r w:rsidRPr="00981405">
        <w:rPr>
          <w:rFonts w:eastAsia="Batang"/>
        </w:rPr>
        <w:t>as</w:t>
      </w:r>
      <w:r w:rsidR="00190923" w:rsidRPr="00981405">
        <w:rPr>
          <w:rFonts w:eastAsia="Batang"/>
        </w:rPr>
        <w:t xml:space="preserve"> </w:t>
      </w:r>
      <w:r w:rsidRPr="00981405">
        <w:rPr>
          <w:rFonts w:eastAsia="Batang"/>
        </w:rPr>
        <w:t>prosecutable</w:t>
      </w:r>
      <w:r w:rsidR="00190923" w:rsidRPr="00981405">
        <w:rPr>
          <w:rFonts w:eastAsia="Batang"/>
        </w:rPr>
        <w:t xml:space="preserve"> </w:t>
      </w:r>
      <w:r w:rsidRPr="00981405">
        <w:rPr>
          <w:rFonts w:eastAsia="Batang"/>
        </w:rPr>
        <w:t>for</w:t>
      </w:r>
      <w:r w:rsidR="00190923" w:rsidRPr="00981405">
        <w:rPr>
          <w:rFonts w:eastAsia="Batang"/>
        </w:rPr>
        <w:t xml:space="preserve"> </w:t>
      </w:r>
      <w:r w:rsidRPr="00981405">
        <w:rPr>
          <w:rFonts w:eastAsia="Batang"/>
        </w:rPr>
        <w:t>crimes</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humanity.</w:t>
      </w:r>
      <w:r w:rsidRPr="00981405">
        <w:rPr>
          <w:rStyle w:val="FootnoteReference"/>
        </w:rPr>
        <w:footnoteReference w:id="205"/>
      </w:r>
    </w:p>
    <w:p w:rsidR="00397032" w:rsidRPr="00981405" w:rsidRDefault="00397032" w:rsidP="00D97463">
      <w:pPr>
        <w:pStyle w:val="SingleTxt"/>
      </w:pPr>
      <w:r w:rsidRPr="00981405">
        <w:t>(33)</w:t>
      </w:r>
      <w:r w:rsidRPr="00981405">
        <w:tab/>
        <w:t>In</w:t>
      </w:r>
      <w:r w:rsidR="00190923" w:rsidRPr="00981405">
        <w:t xml:space="preserve"> </w:t>
      </w:r>
      <w:r w:rsidRPr="00981405">
        <w:t>the</w:t>
      </w:r>
      <w:r w:rsidR="00190923" w:rsidRPr="00981405">
        <w:t xml:space="preserve"> </w:t>
      </w:r>
      <w:r w:rsidRPr="00D97463">
        <w:rPr>
          <w:i/>
          <w:iCs/>
        </w:rPr>
        <w:t>Ntaganda</w:t>
      </w:r>
      <w:r w:rsidR="00190923" w:rsidRPr="00981405">
        <w:t xml:space="preserve"> </w:t>
      </w:r>
      <w:r w:rsidRPr="00981405">
        <w:t>case</w:t>
      </w:r>
      <w:r w:rsidR="00190923" w:rsidRPr="00981405">
        <w:t xml:space="preserve"> </w:t>
      </w:r>
      <w:r w:rsidRPr="00981405">
        <w:t>at</w:t>
      </w:r>
      <w:r w:rsidR="00190923" w:rsidRPr="00981405">
        <w:t xml:space="preserve"> </w:t>
      </w:r>
      <w:r w:rsidRPr="00981405">
        <w:t>the</w:t>
      </w:r>
      <w:r w:rsidR="00190923" w:rsidRPr="00981405">
        <w:t xml:space="preserve"> </w:t>
      </w:r>
      <w:r w:rsidRPr="00981405">
        <w:t>ICC,</w:t>
      </w:r>
      <w:r w:rsidR="00190923" w:rsidRPr="00981405">
        <w:t xml:space="preserve"> </w:t>
      </w:r>
      <w:r w:rsidRPr="00981405">
        <w:t>charges</w:t>
      </w:r>
      <w:r w:rsidR="00190923" w:rsidRPr="00981405">
        <w:t xml:space="preserve"> </w:t>
      </w:r>
      <w:r w:rsidRPr="00981405">
        <w:t>were</w:t>
      </w:r>
      <w:r w:rsidR="00190923" w:rsidRPr="00981405">
        <w:t xml:space="preserve"> </w:t>
      </w:r>
      <w:r w:rsidRPr="00981405">
        <w:t>confirmed</w:t>
      </w:r>
      <w:r w:rsidR="00190923" w:rsidRPr="00981405">
        <w:t xml:space="preserve"> </w:t>
      </w:r>
      <w:r w:rsidRPr="00981405">
        <w:t>against</w:t>
      </w:r>
      <w:r w:rsidR="00190923" w:rsidRPr="00981405">
        <w:t xml:space="preserve"> </w:t>
      </w:r>
      <w:r w:rsidRPr="00981405">
        <w:t>a</w:t>
      </w:r>
      <w:r w:rsidR="00190923" w:rsidRPr="00981405">
        <w:t xml:space="preserve"> </w:t>
      </w:r>
      <w:r w:rsidRPr="00981405">
        <w:t>defendant</w:t>
      </w:r>
      <w:r w:rsidR="00190923" w:rsidRPr="00981405">
        <w:t xml:space="preserve"> </w:t>
      </w:r>
      <w:r w:rsidRPr="00981405">
        <w:t>associated</w:t>
      </w:r>
      <w:r w:rsidR="00190923" w:rsidRPr="00981405">
        <w:t xml:space="preserve"> </w:t>
      </w:r>
      <w:r w:rsidRPr="00981405">
        <w:t>with</w:t>
      </w:r>
      <w:r w:rsidR="00190923" w:rsidRPr="00981405">
        <w:t xml:space="preserve"> </w:t>
      </w:r>
      <w:r w:rsidRPr="00981405">
        <w:t>two</w:t>
      </w:r>
      <w:r w:rsidR="00190923" w:rsidRPr="00981405">
        <w:t xml:space="preserve"> </w:t>
      </w:r>
      <w:r w:rsidRPr="00981405">
        <w:t>paramilitary</w:t>
      </w:r>
      <w:r w:rsidR="00190923" w:rsidRPr="00981405">
        <w:t xml:space="preserve"> </w:t>
      </w:r>
      <w:r w:rsidRPr="00981405">
        <w:t>groups,</w:t>
      </w:r>
      <w:r w:rsidR="00190923" w:rsidRPr="00981405">
        <w:t xml:space="preserve"> </w:t>
      </w:r>
      <w:r w:rsidRPr="00981405">
        <w:t>the</w:t>
      </w:r>
      <w:r w:rsidR="00190923" w:rsidRPr="00981405">
        <w:t xml:space="preserve"> </w:t>
      </w:r>
      <w:r w:rsidRPr="00D97463">
        <w:rPr>
          <w:i/>
          <w:iCs/>
        </w:rPr>
        <w:t>Union</w:t>
      </w:r>
      <w:r w:rsidR="00190923" w:rsidRPr="00981405">
        <w:rPr>
          <w:i/>
          <w:iCs/>
        </w:rPr>
        <w:t xml:space="preserve"> </w:t>
      </w:r>
      <w:r w:rsidRPr="00D97463">
        <w:rPr>
          <w:i/>
          <w:iCs/>
        </w:rPr>
        <w:t>des</w:t>
      </w:r>
      <w:r w:rsidR="00190923" w:rsidRPr="00981405">
        <w:rPr>
          <w:i/>
          <w:iCs/>
        </w:rPr>
        <w:t xml:space="preserve"> </w:t>
      </w:r>
      <w:r w:rsidRPr="00D97463">
        <w:rPr>
          <w:i/>
          <w:iCs/>
        </w:rPr>
        <w:t>Patriotes</w:t>
      </w:r>
      <w:r w:rsidR="00190923" w:rsidRPr="00981405">
        <w:rPr>
          <w:i/>
          <w:iCs/>
        </w:rPr>
        <w:t xml:space="preserve"> </w:t>
      </w:r>
      <w:r w:rsidRPr="00D97463">
        <w:rPr>
          <w:i/>
          <w:iCs/>
        </w:rPr>
        <w:t>Congolais</w:t>
      </w:r>
      <w:r w:rsidR="00190923" w:rsidRPr="00981405">
        <w:rPr>
          <w:i/>
          <w:iCs/>
        </w:rPr>
        <w:t xml:space="preserve"> </w:t>
      </w:r>
      <w:r w:rsidRPr="00BA12B3">
        <w:t>and</w:t>
      </w:r>
      <w:r w:rsidR="00190923" w:rsidRPr="00D97463">
        <w:t xml:space="preserve"> </w:t>
      </w:r>
      <w:r w:rsidRPr="00BA12B3">
        <w:t>the</w:t>
      </w:r>
      <w:r w:rsidR="00190923" w:rsidRPr="00981405">
        <w:rPr>
          <w:i/>
          <w:iCs/>
        </w:rPr>
        <w:t xml:space="preserve"> </w:t>
      </w:r>
      <w:r w:rsidRPr="00D97463">
        <w:rPr>
          <w:i/>
          <w:iCs/>
        </w:rPr>
        <w:t>Forces</w:t>
      </w:r>
      <w:r w:rsidR="00190923" w:rsidRPr="00981405">
        <w:rPr>
          <w:i/>
          <w:iCs/>
        </w:rPr>
        <w:t xml:space="preserve"> </w:t>
      </w:r>
      <w:r w:rsidRPr="00D97463">
        <w:rPr>
          <w:i/>
          <w:iCs/>
        </w:rPr>
        <w:t>Patriotiques</w:t>
      </w:r>
      <w:r w:rsidR="00190923" w:rsidRPr="00981405">
        <w:rPr>
          <w:i/>
          <w:iCs/>
        </w:rPr>
        <w:t xml:space="preserve"> </w:t>
      </w:r>
      <w:r w:rsidRPr="00D97463">
        <w:rPr>
          <w:i/>
          <w:iCs/>
        </w:rPr>
        <w:t>pour</w:t>
      </w:r>
      <w:r w:rsidR="00190923" w:rsidRPr="00981405">
        <w:rPr>
          <w:i/>
          <w:iCs/>
        </w:rPr>
        <w:t xml:space="preserve"> </w:t>
      </w:r>
      <w:r w:rsidRPr="00D97463">
        <w:rPr>
          <w:i/>
          <w:iCs/>
        </w:rPr>
        <w:t>la</w:t>
      </w:r>
      <w:r w:rsidR="00190923" w:rsidRPr="00981405">
        <w:rPr>
          <w:i/>
          <w:iCs/>
        </w:rPr>
        <w:t xml:space="preserve"> </w:t>
      </w:r>
      <w:r w:rsidRPr="00D97463">
        <w:rPr>
          <w:i/>
          <w:iCs/>
        </w:rPr>
        <w:t>Libération</w:t>
      </w:r>
      <w:r w:rsidR="00190923" w:rsidRPr="00981405">
        <w:rPr>
          <w:i/>
          <w:iCs/>
        </w:rPr>
        <w:t xml:space="preserve"> </w:t>
      </w:r>
      <w:r w:rsidRPr="00D97463">
        <w:rPr>
          <w:i/>
          <w:iCs/>
        </w:rPr>
        <w:t>du</w:t>
      </w:r>
      <w:r w:rsidR="00190923" w:rsidRPr="00981405">
        <w:rPr>
          <w:i/>
          <w:iCs/>
        </w:rPr>
        <w:t xml:space="preserve"> </w:t>
      </w:r>
      <w:r w:rsidRPr="00D97463">
        <w:rPr>
          <w:i/>
          <w:iCs/>
        </w:rPr>
        <w:t>Congo</w:t>
      </w:r>
      <w:r w:rsidR="00190923" w:rsidRPr="00981405">
        <w:t xml:space="preserve"> </w:t>
      </w:r>
      <w:r w:rsidRPr="00981405">
        <w:t>in</w:t>
      </w:r>
      <w:r w:rsidR="00190923" w:rsidRPr="00981405">
        <w:t xml:space="preserve"> </w:t>
      </w:r>
      <w:r w:rsidRPr="00981405">
        <w:t>the</w:t>
      </w:r>
      <w:r w:rsidR="00190923" w:rsidRPr="00981405">
        <w:t xml:space="preserve"> </w:t>
      </w:r>
      <w:r w:rsidRPr="00981405">
        <w:t>Democratic</w:t>
      </w:r>
      <w:r w:rsidR="00190923" w:rsidRPr="00981405">
        <w:t xml:space="preserve"> </w:t>
      </w:r>
      <w:r w:rsidRPr="00981405">
        <w:t>Republic</w:t>
      </w:r>
      <w:r w:rsidR="00190923" w:rsidRPr="00981405">
        <w:t xml:space="preserve"> </w:t>
      </w:r>
      <w:r w:rsidRPr="00981405">
        <w:t>of</w:t>
      </w:r>
      <w:r w:rsidR="00190923" w:rsidRPr="00981405">
        <w:t xml:space="preserve"> </w:t>
      </w:r>
      <w:r w:rsidRPr="00981405">
        <w:t>the</w:t>
      </w:r>
      <w:r w:rsidR="00190923" w:rsidRPr="00981405">
        <w:t xml:space="preserve"> </w:t>
      </w:r>
      <w:r w:rsidRPr="00981405">
        <w:t>Congo.</w:t>
      </w:r>
      <w:r w:rsidRPr="00981405">
        <w:rPr>
          <w:rStyle w:val="FootnoteReference"/>
        </w:rPr>
        <w:footnoteReference w:id="206"/>
      </w:r>
      <w:r w:rsidR="00190923" w:rsidRPr="00981405">
        <w:t xml:space="preserve"> </w:t>
      </w:r>
      <w:r w:rsidRPr="00981405">
        <w:t>Similarly,</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Callixte</w:t>
      </w:r>
      <w:r w:rsidR="00190923" w:rsidRPr="00981405">
        <w:rPr>
          <w:i/>
          <w:iCs/>
        </w:rPr>
        <w:t xml:space="preserve"> </w:t>
      </w:r>
      <w:r w:rsidRPr="00D97463">
        <w:rPr>
          <w:i/>
          <w:iCs/>
        </w:rPr>
        <w:t>Mbarushimana</w:t>
      </w:r>
      <w:r w:rsidR="00190923" w:rsidRPr="00981405">
        <w:rPr>
          <w:i/>
          <w:iCs/>
        </w:rPr>
        <w:t xml:space="preserve"> </w:t>
      </w:r>
      <w:r w:rsidRPr="00981405">
        <w:t>case,</w:t>
      </w:r>
      <w:r w:rsidR="00190923" w:rsidRPr="00981405">
        <w:t xml:space="preserve"> </w:t>
      </w:r>
      <w:r w:rsidRPr="00981405">
        <w:t>the</w:t>
      </w:r>
      <w:r w:rsidR="00190923" w:rsidRPr="00981405">
        <w:t xml:space="preserve"> </w:t>
      </w:r>
      <w:r w:rsidRPr="00981405">
        <w:t>prosecutor</w:t>
      </w:r>
      <w:r w:rsidR="00190923" w:rsidRPr="00981405">
        <w:t xml:space="preserve"> </w:t>
      </w:r>
      <w:r w:rsidRPr="00981405">
        <w:t>pursued</w:t>
      </w:r>
      <w:r w:rsidR="00190923" w:rsidRPr="00981405">
        <w:t xml:space="preserve"> </w:t>
      </w:r>
      <w:r w:rsidRPr="00981405">
        <w:t>charges</w:t>
      </w:r>
      <w:r w:rsidR="00190923" w:rsidRPr="00981405">
        <w:t xml:space="preserve"> </w:t>
      </w:r>
      <w:r w:rsidRPr="00981405">
        <w:t>against</w:t>
      </w:r>
      <w:r w:rsidR="00190923" w:rsidRPr="00981405">
        <w:t xml:space="preserve"> </w:t>
      </w:r>
      <w:r w:rsidRPr="00981405">
        <w:t>a</w:t>
      </w:r>
      <w:r w:rsidR="00190923" w:rsidRPr="00981405">
        <w:t xml:space="preserve"> </w:t>
      </w:r>
      <w:r w:rsidRPr="00981405">
        <w:t>defendant</w:t>
      </w:r>
      <w:r w:rsidR="00190923" w:rsidRPr="00981405">
        <w:t xml:space="preserve"> </w:t>
      </w:r>
      <w:r w:rsidRPr="00981405">
        <w:t>associated</w:t>
      </w:r>
      <w:r w:rsidR="00190923" w:rsidRPr="00981405">
        <w:t xml:space="preserve"> </w:t>
      </w:r>
      <w:r w:rsidRPr="00981405">
        <w:t>with</w:t>
      </w:r>
      <w:r w:rsidR="00190923" w:rsidRPr="00981405">
        <w:t xml:space="preserve"> </w:t>
      </w:r>
      <w:r w:rsidRPr="00981405">
        <w:t>the</w:t>
      </w:r>
      <w:r w:rsidR="00190923" w:rsidRPr="00981405">
        <w:t xml:space="preserve"> </w:t>
      </w:r>
      <w:r w:rsidRPr="00D97463">
        <w:rPr>
          <w:i/>
          <w:iCs/>
        </w:rPr>
        <w:t>Forces</w:t>
      </w:r>
      <w:r w:rsidR="00190923" w:rsidRPr="00981405">
        <w:rPr>
          <w:i/>
          <w:iCs/>
        </w:rPr>
        <w:t xml:space="preserve"> </w:t>
      </w:r>
      <w:r w:rsidRPr="00D97463">
        <w:rPr>
          <w:i/>
          <w:iCs/>
        </w:rPr>
        <w:t>Démocratiques</w:t>
      </w:r>
      <w:r w:rsidR="00190923" w:rsidRPr="00981405">
        <w:rPr>
          <w:i/>
          <w:iCs/>
        </w:rPr>
        <w:t xml:space="preserve"> </w:t>
      </w:r>
      <w:r w:rsidRPr="00D97463">
        <w:rPr>
          <w:i/>
          <w:iCs/>
        </w:rPr>
        <w:t>pour</w:t>
      </w:r>
      <w:r w:rsidR="00190923" w:rsidRPr="00981405">
        <w:rPr>
          <w:i/>
          <w:iCs/>
        </w:rPr>
        <w:t xml:space="preserve"> </w:t>
      </w:r>
      <w:r w:rsidRPr="00D97463">
        <w:rPr>
          <w:i/>
          <w:iCs/>
        </w:rPr>
        <w:t>la</w:t>
      </w:r>
      <w:r w:rsidR="00190923" w:rsidRPr="00981405">
        <w:rPr>
          <w:i/>
          <w:iCs/>
        </w:rPr>
        <w:t xml:space="preserve"> </w:t>
      </w:r>
      <w:r w:rsidRPr="00D97463">
        <w:rPr>
          <w:i/>
          <w:iCs/>
        </w:rPr>
        <w:t>Liberation</w:t>
      </w:r>
      <w:r w:rsidR="00190923" w:rsidRPr="00981405">
        <w:rPr>
          <w:i/>
          <w:iCs/>
        </w:rPr>
        <w:t xml:space="preserve"> </w:t>
      </w:r>
      <w:r w:rsidRPr="00D97463">
        <w:rPr>
          <w:i/>
          <w:iCs/>
        </w:rPr>
        <w:t>du</w:t>
      </w:r>
      <w:r w:rsidR="00190923" w:rsidRPr="00981405">
        <w:rPr>
          <w:i/>
          <w:iCs/>
        </w:rPr>
        <w:t xml:space="preserve"> </w:t>
      </w:r>
      <w:r w:rsidRPr="00D97463">
        <w:rPr>
          <w:i/>
          <w:iCs/>
        </w:rPr>
        <w:t>Rwanda</w:t>
      </w:r>
      <w:r w:rsidRPr="00981405">
        <w:t>,</w:t>
      </w:r>
      <w:r w:rsidR="00190923" w:rsidRPr="00981405">
        <w:t xml:space="preserve"> </w:t>
      </w:r>
      <w:r w:rsidRPr="00981405">
        <w:t>described,</w:t>
      </w:r>
      <w:r w:rsidR="00190923" w:rsidRPr="00981405">
        <w:t xml:space="preserve"> </w:t>
      </w:r>
      <w:r w:rsidRPr="00981405">
        <w:t>according</w:t>
      </w:r>
      <w:r w:rsidR="00190923" w:rsidRPr="00981405">
        <w:t xml:space="preserve"> </w:t>
      </w:r>
      <w:r w:rsidRPr="00981405">
        <w:t>to</w:t>
      </w:r>
      <w:r w:rsidR="00190923" w:rsidRPr="00981405">
        <w:t xml:space="preserve"> </w:t>
      </w:r>
      <w:r w:rsidRPr="00981405">
        <w:t>its</w:t>
      </w:r>
      <w:r w:rsidR="00190923" w:rsidRPr="00981405">
        <w:t xml:space="preserve"> </w:t>
      </w:r>
      <w:r w:rsidRPr="00981405">
        <w:t>statute,</w:t>
      </w:r>
      <w:r w:rsidR="00190923" w:rsidRPr="00981405">
        <w:t xml:space="preserve"> </w:t>
      </w:r>
      <w:r w:rsidRPr="00981405">
        <w:t>as</w:t>
      </w:r>
      <w:r w:rsidR="00190923" w:rsidRPr="00981405">
        <w:t xml:space="preserve"> </w:t>
      </w:r>
      <w:r w:rsidRPr="00981405">
        <w:t>an</w:t>
      </w:r>
      <w:r w:rsidR="00190923" w:rsidRPr="00981405">
        <w:t xml:space="preserve"> </w:t>
      </w:r>
      <w:r w:rsidR="00B92E2C" w:rsidRPr="00981405">
        <w:t>“</w:t>
      </w:r>
      <w:r w:rsidRPr="00981405">
        <w:t>armed</w:t>
      </w:r>
      <w:r w:rsidR="00190923" w:rsidRPr="00981405">
        <w:t xml:space="preserve"> </w:t>
      </w:r>
      <w:r w:rsidRPr="00981405">
        <w:t>group</w:t>
      </w:r>
      <w:r w:rsidR="00190923" w:rsidRPr="00981405">
        <w:t xml:space="preserve"> </w:t>
      </w:r>
      <w:r w:rsidRPr="00981405">
        <w:t>seeking</w:t>
      </w:r>
      <w:r w:rsidR="00190923" w:rsidRPr="00981405">
        <w:t xml:space="preserve"> </w:t>
      </w:r>
      <w:r w:rsidRPr="00981405">
        <w:t>to</w:t>
      </w:r>
      <w:r w:rsidR="00190923" w:rsidRPr="00981405">
        <w:t xml:space="preserve"> </w:t>
      </w:r>
      <w:r w:rsidR="00B92E2C" w:rsidRPr="00981405">
        <w:t>‘</w:t>
      </w:r>
      <w:r w:rsidRPr="00981405">
        <w:t>reconquérir</w:t>
      </w:r>
      <w:r w:rsidR="00190923" w:rsidRPr="00981405">
        <w:t xml:space="preserve"> </w:t>
      </w:r>
      <w:r w:rsidRPr="00981405">
        <w:t>et</w:t>
      </w:r>
      <w:r w:rsidR="00190923" w:rsidRPr="00981405">
        <w:t xml:space="preserve"> </w:t>
      </w:r>
      <w:r w:rsidRPr="00981405">
        <w:t>défendre</w:t>
      </w:r>
      <w:r w:rsidR="00190923" w:rsidRPr="00981405">
        <w:t xml:space="preserve"> </w:t>
      </w:r>
      <w:r w:rsidRPr="00981405">
        <w:t>la</w:t>
      </w:r>
      <w:r w:rsidR="00190923" w:rsidRPr="00981405">
        <w:t xml:space="preserve"> </w:t>
      </w:r>
      <w:r w:rsidRPr="00981405">
        <w:t>souveraineté</w:t>
      </w:r>
      <w:r w:rsidR="00190923" w:rsidRPr="00981405">
        <w:t xml:space="preserve"> </w:t>
      </w:r>
      <w:r w:rsidRPr="00981405">
        <w:t>nationale</w:t>
      </w:r>
      <w:r w:rsidR="00B92E2C" w:rsidRPr="00981405">
        <w:t>’</w:t>
      </w:r>
      <w:r w:rsidR="00190923" w:rsidRPr="00981405">
        <w:t xml:space="preserve"> </w:t>
      </w:r>
      <w:r w:rsidRPr="00981405">
        <w:t>of</w:t>
      </w:r>
      <w:r w:rsidR="00190923" w:rsidRPr="00981405">
        <w:t xml:space="preserve"> </w:t>
      </w:r>
      <w:r w:rsidRPr="00981405">
        <w:t>Rwanda.</w:t>
      </w:r>
      <w:r w:rsidR="00B92E2C" w:rsidRPr="00981405">
        <w:t>”</w:t>
      </w:r>
      <w:r w:rsidRPr="00981405">
        <w:rPr>
          <w:rStyle w:val="FootnoteReference"/>
        </w:rPr>
        <w:footnoteReference w:id="207"/>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against</w:t>
      </w:r>
      <w:r w:rsidR="00190923" w:rsidRPr="00981405">
        <w:t xml:space="preserve"> </w:t>
      </w:r>
      <w:r w:rsidRPr="00981405">
        <w:t>Joseph</w:t>
      </w:r>
      <w:r w:rsidR="00190923" w:rsidRPr="00981405">
        <w:t xml:space="preserve"> </w:t>
      </w:r>
      <w:r w:rsidRPr="00981405">
        <w:t>Kony</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situation</w:t>
      </w:r>
      <w:r w:rsidR="00190923" w:rsidRPr="00981405">
        <w:t xml:space="preserve"> </w:t>
      </w:r>
      <w:r w:rsidRPr="00981405">
        <w:t>in</w:t>
      </w:r>
      <w:r w:rsidR="00190923" w:rsidRPr="00981405">
        <w:t xml:space="preserve"> </w:t>
      </w:r>
      <w:r w:rsidRPr="00981405">
        <w:t>Uganda,</w:t>
      </w:r>
      <w:r w:rsidR="00190923" w:rsidRPr="00981405">
        <w:t xml:space="preserve"> </w:t>
      </w:r>
      <w:r w:rsidRPr="00981405">
        <w:t>the</w:t>
      </w:r>
      <w:r w:rsidR="00190923" w:rsidRPr="00981405">
        <w:t xml:space="preserve"> </w:t>
      </w:r>
      <w:r w:rsidRPr="00981405">
        <w:t>defendant</w:t>
      </w:r>
      <w:r w:rsidR="00190923" w:rsidRPr="00981405">
        <w:t xml:space="preserve"> </w:t>
      </w:r>
      <w:r w:rsidRPr="00981405">
        <w:t>is</w:t>
      </w:r>
      <w:r w:rsidR="00190923" w:rsidRPr="00981405">
        <w:t xml:space="preserve"> </w:t>
      </w:r>
      <w:r w:rsidRPr="00981405">
        <w:t>allegedly</w:t>
      </w:r>
      <w:r w:rsidR="00190923" w:rsidRPr="00981405">
        <w:t xml:space="preserve"> </w:t>
      </w:r>
      <w:r w:rsidRPr="00981405">
        <w:t>associated</w:t>
      </w:r>
      <w:r w:rsidR="00190923" w:rsidRPr="00981405">
        <w:t xml:space="preserve"> </w:t>
      </w:r>
      <w:r w:rsidRPr="00981405">
        <w:t>with</w:t>
      </w:r>
      <w:r w:rsidR="00190923" w:rsidRPr="00981405">
        <w:t xml:space="preserve"> </w:t>
      </w:r>
      <w:r w:rsidRPr="00981405">
        <w:t>the</w:t>
      </w:r>
      <w:r w:rsidR="00190923" w:rsidRPr="00981405">
        <w:t xml:space="preserve"> </w:t>
      </w:r>
      <w:r w:rsidRPr="00981405">
        <w:t>Lord</w:t>
      </w:r>
      <w:r w:rsidR="00B92E2C" w:rsidRPr="00981405">
        <w:t>’</w:t>
      </w:r>
      <w:r w:rsidRPr="00981405">
        <w:t>s</w:t>
      </w:r>
      <w:r w:rsidR="00190923" w:rsidRPr="00981405">
        <w:t xml:space="preserve"> </w:t>
      </w:r>
      <w:r w:rsidRPr="00981405">
        <w:t>Resistance</w:t>
      </w:r>
      <w:r w:rsidR="00190923" w:rsidRPr="00981405">
        <w:t xml:space="preserve"> </w:t>
      </w:r>
      <w:r w:rsidRPr="00981405">
        <w:t>Army,</w:t>
      </w:r>
      <w:r w:rsidR="00190923" w:rsidRPr="00981405">
        <w:t xml:space="preserve"> </w:t>
      </w:r>
      <w:r w:rsidR="00B92E2C" w:rsidRPr="00981405">
        <w:t>“</w:t>
      </w:r>
      <w:r w:rsidRPr="00981405">
        <w:t>an</w:t>
      </w:r>
      <w:r w:rsidR="00190923" w:rsidRPr="00981405">
        <w:t xml:space="preserve"> </w:t>
      </w:r>
      <w:r w:rsidRPr="00981405">
        <w:t>armed</w:t>
      </w:r>
      <w:r w:rsidR="00190923" w:rsidRPr="00981405">
        <w:t xml:space="preserve"> </w:t>
      </w:r>
      <w:r w:rsidRPr="00981405">
        <w:t>group</w:t>
      </w:r>
      <w:r w:rsidR="00190923" w:rsidRPr="00981405">
        <w:t xml:space="preserve"> </w:t>
      </w:r>
      <w:r w:rsidRPr="00981405">
        <w:t>carrying</w:t>
      </w:r>
      <w:r w:rsidR="00190923" w:rsidRPr="00981405">
        <w:t xml:space="preserve"> </w:t>
      </w:r>
      <w:r w:rsidRPr="00981405">
        <w:t>out</w:t>
      </w:r>
      <w:r w:rsidR="00190923" w:rsidRPr="00981405">
        <w:t xml:space="preserve"> </w:t>
      </w:r>
      <w:r w:rsidRPr="00981405">
        <w:t>an</w:t>
      </w:r>
      <w:r w:rsidR="00190923" w:rsidRPr="00981405">
        <w:t xml:space="preserve"> </w:t>
      </w:r>
      <w:r w:rsidRPr="00981405">
        <w:t>insurgency</w:t>
      </w:r>
      <w:r w:rsidR="00190923" w:rsidRPr="00981405">
        <w:t xml:space="preserve"> </w:t>
      </w:r>
      <w:r w:rsidRPr="00981405">
        <w:t>against</w:t>
      </w:r>
      <w:r w:rsidR="00190923" w:rsidRPr="00981405">
        <w:t xml:space="preserve"> </w:t>
      </w:r>
      <w:r w:rsidRPr="00981405">
        <w:t>the</w:t>
      </w:r>
      <w:r w:rsidR="00190923" w:rsidRPr="00981405">
        <w:t xml:space="preserve"> </w:t>
      </w:r>
      <w:r w:rsidRPr="00981405">
        <w:t>Government</w:t>
      </w:r>
      <w:r w:rsidR="00190923" w:rsidRPr="00981405">
        <w:t xml:space="preserve"> </w:t>
      </w:r>
      <w:r w:rsidRPr="00981405">
        <w:t>of</w:t>
      </w:r>
      <w:r w:rsidR="00190923" w:rsidRPr="00981405">
        <w:t xml:space="preserve"> </w:t>
      </w:r>
      <w:r w:rsidRPr="00981405">
        <w:t>Uganda</w:t>
      </w:r>
      <w:r w:rsidR="00190923" w:rsidRPr="00981405">
        <w:t xml:space="preserve"> </w:t>
      </w:r>
      <w:r w:rsidRPr="00981405">
        <w:t>and</w:t>
      </w:r>
      <w:r w:rsidR="00190923" w:rsidRPr="00981405">
        <w:t xml:space="preserve"> </w:t>
      </w:r>
      <w:r w:rsidRPr="00981405">
        <w:t>the</w:t>
      </w:r>
      <w:r w:rsidR="00190923" w:rsidRPr="00981405">
        <w:t xml:space="preserve"> </w:t>
      </w:r>
      <w:r w:rsidRPr="00981405">
        <w:t>Ugandan</w:t>
      </w:r>
      <w:r w:rsidR="00190923" w:rsidRPr="00981405">
        <w:t xml:space="preserve"> </w:t>
      </w:r>
      <w:r w:rsidRPr="00981405">
        <w:t>Army</w:t>
      </w:r>
      <w:r w:rsidR="00B92E2C" w:rsidRPr="00981405">
        <w:t>”</w:t>
      </w:r>
      <w:r w:rsidRPr="00981405">
        <w:rPr>
          <w:rStyle w:val="FootnoteReference"/>
        </w:rPr>
        <w:footnoteReference w:id="208"/>
      </w:r>
      <w:r w:rsidR="00190923" w:rsidRPr="00981405">
        <w:t xml:space="preserve"> </w:t>
      </w:r>
      <w:r w:rsidRPr="00981405">
        <w:t>which</w:t>
      </w:r>
      <w:r w:rsidR="00190923" w:rsidRPr="00981405">
        <w:t xml:space="preserve"> </w:t>
      </w:r>
      <w:r w:rsidR="00B92E2C" w:rsidRPr="00981405">
        <w:t>“</w:t>
      </w:r>
      <w:r w:rsidRPr="00981405">
        <w:t>is</w:t>
      </w:r>
      <w:r w:rsidR="00190923" w:rsidRPr="00981405">
        <w:t xml:space="preserve"> </w:t>
      </w:r>
      <w:r w:rsidRPr="00981405">
        <w:t>organised</w:t>
      </w:r>
      <w:r w:rsidR="00190923" w:rsidRPr="00981405">
        <w:t xml:space="preserve"> </w:t>
      </w:r>
      <w:r w:rsidRPr="00981405">
        <w:t>in</w:t>
      </w:r>
      <w:r w:rsidR="00190923" w:rsidRPr="00981405">
        <w:t xml:space="preserve"> </w:t>
      </w:r>
      <w:r w:rsidRPr="00981405">
        <w:t>a</w:t>
      </w:r>
      <w:r w:rsidR="00190923" w:rsidRPr="00981405">
        <w:t xml:space="preserve"> </w:t>
      </w:r>
      <w:r w:rsidRPr="00981405">
        <w:t>military-type</w:t>
      </w:r>
      <w:r w:rsidR="00190923" w:rsidRPr="00981405">
        <w:t xml:space="preserve"> </w:t>
      </w:r>
      <w:r w:rsidRPr="00981405">
        <w:t>hierarchy</w:t>
      </w:r>
      <w:r w:rsidR="00190923" w:rsidRPr="00981405">
        <w:t xml:space="preserve"> </w:t>
      </w:r>
      <w:r w:rsidRPr="00981405">
        <w:t>and</w:t>
      </w:r>
      <w:r w:rsidR="00190923" w:rsidRPr="00981405">
        <w:t xml:space="preserve"> </w:t>
      </w:r>
      <w:r w:rsidRPr="00981405">
        <w:t>operates</w:t>
      </w:r>
      <w:r w:rsidR="00190923" w:rsidRPr="00981405">
        <w:t xml:space="preserve"> </w:t>
      </w:r>
      <w:r w:rsidRPr="00981405">
        <w:t>as</w:t>
      </w:r>
      <w:r w:rsidR="00190923" w:rsidRPr="00981405">
        <w:t xml:space="preserve"> </w:t>
      </w:r>
      <w:r w:rsidRPr="00981405">
        <w:t>an</w:t>
      </w:r>
      <w:r w:rsidR="00190923" w:rsidRPr="00981405">
        <w:t xml:space="preserve"> </w:t>
      </w:r>
      <w:r w:rsidRPr="00981405">
        <w:t>army.</w:t>
      </w:r>
      <w:r w:rsidR="00B92E2C" w:rsidRPr="00981405">
        <w:t>”</w:t>
      </w:r>
      <w:r w:rsidRPr="00981405">
        <w:rPr>
          <w:rStyle w:val="FootnoteReference"/>
        </w:rPr>
        <w:footnoteReference w:id="209"/>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situation</w:t>
      </w:r>
      <w:r w:rsidR="00190923" w:rsidRPr="00981405">
        <w:t xml:space="preserve"> </w:t>
      </w:r>
      <w:r w:rsidRPr="00981405">
        <w:t>in</w:t>
      </w:r>
      <w:r w:rsidR="00190923" w:rsidRPr="00981405">
        <w:t xml:space="preserve"> </w:t>
      </w:r>
      <w:r w:rsidRPr="00981405">
        <w:t>Kenya,</w:t>
      </w:r>
      <w:r w:rsidR="00190923" w:rsidRPr="00981405">
        <w:t xml:space="preserve"> </w:t>
      </w:r>
      <w:r w:rsidRPr="00981405">
        <w:t>a</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confirmed</w:t>
      </w:r>
      <w:r w:rsidR="00190923" w:rsidRPr="00981405">
        <w:t xml:space="preserve"> </w:t>
      </w:r>
      <w:r w:rsidRPr="00981405">
        <w:t>charges</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against</w:t>
      </w:r>
      <w:r w:rsidR="00190923" w:rsidRPr="00981405">
        <w:t xml:space="preserve"> </w:t>
      </w:r>
      <w:r w:rsidRPr="00981405">
        <w:t>defendants</w:t>
      </w:r>
      <w:r w:rsidR="00190923" w:rsidRPr="00981405">
        <w:t xml:space="preserve"> </w:t>
      </w:r>
      <w:r w:rsidRPr="00981405">
        <w:t>due</w:t>
      </w:r>
      <w:r w:rsidR="00190923" w:rsidRPr="00981405">
        <w:t xml:space="preserve"> </w:t>
      </w:r>
      <w:r w:rsidRPr="00981405">
        <w:t>to</w:t>
      </w:r>
      <w:r w:rsidR="00190923" w:rsidRPr="00981405">
        <w:t xml:space="preserve"> </w:t>
      </w:r>
      <w:r w:rsidRPr="00981405">
        <w:t>their</w:t>
      </w:r>
      <w:r w:rsidR="00190923" w:rsidRPr="00981405">
        <w:t xml:space="preserve"> </w:t>
      </w:r>
      <w:r w:rsidRPr="00981405">
        <w:t>association</w:t>
      </w:r>
      <w:r w:rsidR="00190923" w:rsidRPr="00981405">
        <w:t xml:space="preserve"> </w:t>
      </w:r>
      <w:r w:rsidRPr="00981405">
        <w:t>in</w:t>
      </w:r>
      <w:r w:rsidR="00190923" w:rsidRPr="00981405">
        <w:t xml:space="preserve"> </w:t>
      </w:r>
      <w:r w:rsidRPr="00981405">
        <w:t>a</w:t>
      </w:r>
      <w:r w:rsidR="00190923" w:rsidRPr="00981405">
        <w:t xml:space="preserve"> </w:t>
      </w:r>
      <w:r w:rsidR="00B92E2C" w:rsidRPr="00981405">
        <w:t>“</w:t>
      </w:r>
      <w:r w:rsidRPr="00981405">
        <w:t>network</w:t>
      </w:r>
      <w:r w:rsidR="00B92E2C" w:rsidRPr="00981405">
        <w:t>”</w:t>
      </w:r>
      <w:r w:rsidR="00190923" w:rsidRPr="00981405">
        <w:t xml:space="preserve"> </w:t>
      </w:r>
      <w:r w:rsidRPr="00981405">
        <w:t>of</w:t>
      </w:r>
      <w:r w:rsidR="00190923" w:rsidRPr="00981405">
        <w:t xml:space="preserve"> </w:t>
      </w:r>
      <w:r w:rsidRPr="00981405">
        <w:t>perpetrators</w:t>
      </w:r>
      <w:r w:rsidR="00190923" w:rsidRPr="00981405">
        <w:t xml:space="preserve"> </w:t>
      </w:r>
      <w:r w:rsidR="00B92E2C" w:rsidRPr="00981405">
        <w:t>“</w:t>
      </w:r>
      <w:r w:rsidRPr="00981405">
        <w:t>comprised</w:t>
      </w:r>
      <w:r w:rsidR="00190923" w:rsidRPr="00981405">
        <w:t xml:space="preserve"> </w:t>
      </w:r>
      <w:r w:rsidRPr="00981405">
        <w:t>of</w:t>
      </w:r>
      <w:r w:rsidR="00190923" w:rsidRPr="00981405">
        <w:t xml:space="preserve"> </w:t>
      </w:r>
      <w:r w:rsidRPr="00981405">
        <w:t>eminent</w:t>
      </w:r>
      <w:r w:rsidR="00190923" w:rsidRPr="00981405">
        <w:t xml:space="preserve"> </w:t>
      </w:r>
      <w:r w:rsidRPr="00981405">
        <w:t>[Orange</w:t>
      </w:r>
      <w:r w:rsidR="00190923" w:rsidRPr="00981405">
        <w:t xml:space="preserve"> </w:t>
      </w:r>
      <w:r w:rsidRPr="00981405">
        <w:t>Democratic</w:t>
      </w:r>
      <w:r w:rsidR="00190923" w:rsidRPr="00981405">
        <w:t xml:space="preserve"> </w:t>
      </w:r>
      <w:r w:rsidRPr="00981405">
        <w:t>Movement</w:t>
      </w:r>
      <w:r w:rsidR="00190923" w:rsidRPr="00981405">
        <w:t xml:space="preserve"> </w:t>
      </w:r>
      <w:r w:rsidRPr="00981405">
        <w:t>Party</w:t>
      </w:r>
      <w:r w:rsidR="00190923" w:rsidRPr="00981405">
        <w:t xml:space="preserve"> </w:t>
      </w:r>
      <w:r w:rsidRPr="00981405">
        <w:t>(ODM)]</w:t>
      </w:r>
      <w:r w:rsidR="00190923" w:rsidRPr="00981405">
        <w:t xml:space="preserve"> </w:t>
      </w:r>
      <w:r w:rsidRPr="00981405">
        <w:t>political</w:t>
      </w:r>
      <w:r w:rsidR="00190923" w:rsidRPr="00981405">
        <w:t xml:space="preserve"> </w:t>
      </w:r>
      <w:r w:rsidRPr="00981405">
        <w:t>representatives,</w:t>
      </w:r>
      <w:r w:rsidR="00190923" w:rsidRPr="00981405">
        <w:t xml:space="preserve"> </w:t>
      </w:r>
      <w:r w:rsidRPr="00981405">
        <w:t>representatives</w:t>
      </w:r>
      <w:r w:rsidR="00190923" w:rsidRPr="00981405">
        <w:t xml:space="preserve"> </w:t>
      </w:r>
      <w:r w:rsidRPr="00981405">
        <w:t>of</w:t>
      </w:r>
      <w:r w:rsidR="00190923" w:rsidRPr="00981405">
        <w:t xml:space="preserve"> </w:t>
      </w:r>
      <w:r w:rsidRPr="00981405">
        <w:t>the</w:t>
      </w:r>
      <w:r w:rsidR="00190923" w:rsidRPr="00981405">
        <w:t xml:space="preserve"> </w:t>
      </w:r>
      <w:r w:rsidRPr="00981405">
        <w:t>media,</w:t>
      </w:r>
      <w:r w:rsidR="00190923" w:rsidRPr="00981405">
        <w:t xml:space="preserve"> </w:t>
      </w:r>
      <w:r w:rsidRPr="00981405">
        <w:t>former</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Kenyan</w:t>
      </w:r>
      <w:r w:rsidR="00190923" w:rsidRPr="00981405">
        <w:t xml:space="preserve"> </w:t>
      </w:r>
      <w:r w:rsidRPr="00981405">
        <w:t>police</w:t>
      </w:r>
      <w:r w:rsidR="00190923" w:rsidRPr="00981405">
        <w:t xml:space="preserve"> </w:t>
      </w:r>
      <w:r w:rsidRPr="00981405">
        <w:t>and</w:t>
      </w:r>
      <w:r w:rsidR="00190923" w:rsidRPr="00981405">
        <w:t xml:space="preserve"> </w:t>
      </w:r>
      <w:r w:rsidRPr="00981405">
        <w:t>army,</w:t>
      </w:r>
      <w:r w:rsidR="00190923" w:rsidRPr="00981405">
        <w:t xml:space="preserve"> </w:t>
      </w:r>
      <w:r w:rsidRPr="00981405">
        <w:lastRenderedPageBreak/>
        <w:t>Kalenjin</w:t>
      </w:r>
      <w:r w:rsidR="00190923" w:rsidRPr="00981405">
        <w:t xml:space="preserve"> </w:t>
      </w:r>
      <w:r w:rsidRPr="00981405">
        <w:t>elders</w:t>
      </w:r>
      <w:r w:rsidR="00190923" w:rsidRPr="00981405">
        <w:t xml:space="preserve"> </w:t>
      </w:r>
      <w:r w:rsidRPr="00981405">
        <w:t>and</w:t>
      </w:r>
      <w:r w:rsidR="00190923" w:rsidRPr="00981405">
        <w:t xml:space="preserve"> </w:t>
      </w:r>
      <w:r w:rsidRPr="00981405">
        <w:t>local</w:t>
      </w:r>
      <w:r w:rsidR="00190923" w:rsidRPr="00981405">
        <w:t xml:space="preserve"> </w:t>
      </w:r>
      <w:r w:rsidRPr="00981405">
        <w:t>leaders.</w:t>
      </w:r>
      <w:r w:rsidR="00B92E2C" w:rsidRPr="00981405">
        <w:t>”</w:t>
      </w:r>
      <w:r w:rsidRPr="00981405">
        <w:rPr>
          <w:rStyle w:val="FootnoteReference"/>
        </w:rPr>
        <w:footnoteReference w:id="210"/>
      </w:r>
      <w:r w:rsidR="00190923" w:rsidRPr="00981405">
        <w:t xml:space="preserve"> </w:t>
      </w:r>
      <w:r w:rsidRPr="00981405">
        <w:t>Likewise,</w:t>
      </w:r>
      <w:r w:rsidR="00190923" w:rsidRPr="00981405">
        <w:t xml:space="preserve"> </w:t>
      </w:r>
      <w:r w:rsidRPr="00981405">
        <w:t>charges</w:t>
      </w:r>
      <w:r w:rsidR="00190923" w:rsidRPr="00981405">
        <w:t xml:space="preserve"> </w:t>
      </w:r>
      <w:r w:rsidRPr="00981405">
        <w:t>were</w:t>
      </w:r>
      <w:r w:rsidR="00190923" w:rsidRPr="00981405">
        <w:t xml:space="preserve"> </w:t>
      </w:r>
      <w:r w:rsidRPr="00981405">
        <w:t>confirmed</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other</w:t>
      </w:r>
      <w:r w:rsidR="00190923" w:rsidRPr="00981405">
        <w:t xml:space="preserve"> </w:t>
      </w:r>
      <w:r w:rsidRPr="00981405">
        <w:t>defendants</w:t>
      </w:r>
      <w:r w:rsidR="00190923" w:rsidRPr="00981405">
        <w:t xml:space="preserve"> </w:t>
      </w:r>
      <w:r w:rsidRPr="00981405">
        <w:t>associated</w:t>
      </w:r>
      <w:r w:rsidR="00190923" w:rsidRPr="00981405">
        <w:t xml:space="preserve"> </w:t>
      </w:r>
      <w:r w:rsidRPr="00981405">
        <w:t>with</w:t>
      </w:r>
      <w:r w:rsidR="00190923" w:rsidRPr="00981405">
        <w:t xml:space="preserve"> </w:t>
      </w:r>
      <w:r w:rsidR="00B92E2C" w:rsidRPr="00981405">
        <w:t>“‘</w:t>
      </w:r>
      <w:r w:rsidRPr="00981405">
        <w:t>coordinated</w:t>
      </w:r>
      <w:r w:rsidR="00190923" w:rsidRPr="00981405">
        <w:t xml:space="preserve"> </w:t>
      </w:r>
      <w:r w:rsidRPr="00981405">
        <w:t>attacks</w:t>
      </w:r>
      <w:r w:rsidR="00190923" w:rsidRPr="00981405">
        <w:t xml:space="preserve"> </w:t>
      </w:r>
      <w:r w:rsidRPr="00981405">
        <w:t>that</w:t>
      </w:r>
      <w:r w:rsidR="00190923" w:rsidRPr="00981405">
        <w:t xml:space="preserve"> </w:t>
      </w:r>
      <w:r w:rsidRPr="00981405">
        <w:t>were</w:t>
      </w:r>
      <w:r w:rsidR="00190923" w:rsidRPr="00981405">
        <w:t xml:space="preserve"> </w:t>
      </w:r>
      <w:r w:rsidRPr="00981405">
        <w:t>perpetrated</w:t>
      </w:r>
      <w:r w:rsidR="00190923" w:rsidRPr="00981405">
        <w:t xml:space="preserve"> </w:t>
      </w:r>
      <w:r w:rsidRPr="00981405">
        <w:t>by</w:t>
      </w:r>
      <w:r w:rsidR="00190923" w:rsidRPr="00981405">
        <w:t xml:space="preserve"> </w:t>
      </w:r>
      <w:r w:rsidRPr="00981405">
        <w:t>the</w:t>
      </w:r>
      <w:r w:rsidR="00190923" w:rsidRPr="00981405">
        <w:t xml:space="preserve"> </w:t>
      </w:r>
      <w:r w:rsidRPr="00981405">
        <w:t>Mungiki</w:t>
      </w:r>
      <w:r w:rsidR="00190923" w:rsidRPr="00981405">
        <w:t xml:space="preserve"> </w:t>
      </w:r>
      <w:r w:rsidRPr="00981405">
        <w:t>and</w:t>
      </w:r>
      <w:r w:rsidR="00190923" w:rsidRPr="00981405">
        <w:t xml:space="preserve"> </w:t>
      </w:r>
      <w:r w:rsidRPr="00981405">
        <w:t>pro-Party</w:t>
      </w:r>
      <w:r w:rsidR="00190923" w:rsidRPr="00981405">
        <w:t xml:space="preserve"> </w:t>
      </w:r>
      <w:r w:rsidRPr="00981405">
        <w:t>of</w:t>
      </w:r>
      <w:r w:rsidR="00190923" w:rsidRPr="00981405">
        <w:t xml:space="preserve"> </w:t>
      </w:r>
      <w:r w:rsidRPr="00981405">
        <w:t>National</w:t>
      </w:r>
      <w:r w:rsidR="00190923" w:rsidRPr="00981405">
        <w:t xml:space="preserve"> </w:t>
      </w:r>
      <w:r w:rsidRPr="00981405">
        <w:t>Unity</w:t>
      </w:r>
      <w:r w:rsidR="00190923" w:rsidRPr="00981405">
        <w:t xml:space="preserve"> </w:t>
      </w:r>
      <w:r w:rsidRPr="00981405">
        <w:t>(</w:t>
      </w:r>
      <w:r w:rsidR="00B92E2C" w:rsidRPr="00981405">
        <w:t>‘</w:t>
      </w:r>
      <w:r w:rsidRPr="00981405">
        <w:t>PNU</w:t>
      </w:r>
      <w:r w:rsidR="00B92E2C" w:rsidRPr="00981405">
        <w:t>’</w:t>
      </w:r>
      <w:r w:rsidRPr="00981405">
        <w:t>)</w:t>
      </w:r>
      <w:r w:rsidR="00190923" w:rsidRPr="00981405">
        <w:t xml:space="preserve"> </w:t>
      </w:r>
      <w:r w:rsidRPr="00981405">
        <w:t>youth</w:t>
      </w:r>
      <w:r w:rsidR="00190923" w:rsidRPr="00981405">
        <w:t xml:space="preserve"> </w:t>
      </w:r>
      <w:r w:rsidRPr="00981405">
        <w:t>in</w:t>
      </w:r>
      <w:r w:rsidR="00190923" w:rsidRPr="00981405">
        <w:t xml:space="preserve"> </w:t>
      </w:r>
      <w:r w:rsidRPr="00981405">
        <w:t>different</w:t>
      </w:r>
      <w:r w:rsidR="00190923" w:rsidRPr="00981405">
        <w:t xml:space="preserve"> </w:t>
      </w:r>
      <w:r w:rsidRPr="00981405">
        <w:t>parts</w:t>
      </w:r>
      <w:r w:rsidR="00190923" w:rsidRPr="00981405">
        <w:t xml:space="preserve"> </w:t>
      </w:r>
      <w:r w:rsidRPr="00981405">
        <w:t>of</w:t>
      </w:r>
      <w:r w:rsidR="00190923" w:rsidRPr="00981405">
        <w:t xml:space="preserve"> </w:t>
      </w:r>
      <w:r w:rsidRPr="00981405">
        <w:t>Nakuru</w:t>
      </w:r>
      <w:r w:rsidR="00190923" w:rsidRPr="00981405">
        <w:t xml:space="preserve"> </w:t>
      </w:r>
      <w:r w:rsidRPr="00981405">
        <w:t>and</w:t>
      </w:r>
      <w:r w:rsidR="00190923" w:rsidRPr="00981405">
        <w:t xml:space="preserve"> </w:t>
      </w:r>
      <w:r w:rsidRPr="00981405">
        <w:t>Naivasha</w:t>
      </w:r>
      <w:r w:rsidR="00B92E2C" w:rsidRPr="00981405">
        <w:t>’”</w:t>
      </w:r>
      <w:r w:rsidR="00190923" w:rsidRPr="00981405">
        <w:t xml:space="preserve"> </w:t>
      </w:r>
      <w:r w:rsidRPr="00981405">
        <w:t>that</w:t>
      </w:r>
      <w:r w:rsidR="00190923" w:rsidRPr="00981405">
        <w:t xml:space="preserve"> </w:t>
      </w:r>
      <w:r w:rsidR="00B92E2C" w:rsidRPr="00981405">
        <w:t>“</w:t>
      </w:r>
      <w:r w:rsidRPr="00981405">
        <w:t>were</w:t>
      </w:r>
      <w:r w:rsidR="00190923" w:rsidRPr="00981405">
        <w:t xml:space="preserve"> </w:t>
      </w:r>
      <w:r w:rsidRPr="00981405">
        <w:t>targeted</w:t>
      </w:r>
      <w:r w:rsidR="00190923" w:rsidRPr="00981405">
        <w:t xml:space="preserve"> </w:t>
      </w:r>
      <w:r w:rsidRPr="00981405">
        <w:t>at</w:t>
      </w:r>
      <w:r w:rsidR="00190923" w:rsidRPr="00981405">
        <w:t xml:space="preserve"> </w:t>
      </w:r>
      <w:r w:rsidRPr="00981405">
        <w:t>perceived</w:t>
      </w:r>
      <w:r w:rsidR="00190923" w:rsidRPr="00981405">
        <w:t xml:space="preserve"> </w:t>
      </w:r>
      <w:r w:rsidRPr="00981405">
        <w:t>[ODM]</w:t>
      </w:r>
      <w:r w:rsidR="00190923" w:rsidRPr="00981405">
        <w:t xml:space="preserve"> </w:t>
      </w:r>
      <w:r w:rsidRPr="00981405">
        <w:t>supporters</w:t>
      </w:r>
      <w:r w:rsidR="00190923" w:rsidRPr="00981405">
        <w:t xml:space="preserve"> </w:t>
      </w:r>
      <w:r w:rsidRPr="00981405">
        <w:t>using</w:t>
      </w:r>
      <w:r w:rsidR="00190923" w:rsidRPr="00981405">
        <w:t xml:space="preserve"> </w:t>
      </w:r>
      <w:r w:rsidRPr="00981405">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means</w:t>
      </w:r>
      <w:r w:rsidR="00190923" w:rsidRPr="00981405">
        <w:t xml:space="preserve"> </w:t>
      </w:r>
      <w:r w:rsidRPr="00981405">
        <w:t>of</w:t>
      </w:r>
      <w:r w:rsidR="00190923" w:rsidRPr="00981405">
        <w:t xml:space="preserve"> </w:t>
      </w:r>
      <w:r w:rsidRPr="00981405">
        <w:t>identification</w:t>
      </w:r>
      <w:r w:rsidR="00190923" w:rsidRPr="00981405">
        <w:t xml:space="preserve"> </w:t>
      </w:r>
      <w:r w:rsidRPr="00981405">
        <w:t>such</w:t>
      </w:r>
      <w:r w:rsidR="00190923" w:rsidRPr="00981405">
        <w:t xml:space="preserve"> </w:t>
      </w:r>
      <w:r w:rsidRPr="00981405">
        <w:t>as</w:t>
      </w:r>
      <w:r w:rsidR="00190923" w:rsidRPr="00981405">
        <w:t xml:space="preserve"> </w:t>
      </w:r>
      <w:r w:rsidRPr="00981405">
        <w:t>lists,</w:t>
      </w:r>
      <w:r w:rsidR="00190923" w:rsidRPr="00981405">
        <w:t xml:space="preserve"> </w:t>
      </w:r>
      <w:r w:rsidRPr="00981405">
        <w:t>physical</w:t>
      </w:r>
      <w:r w:rsidR="00190923" w:rsidRPr="00981405">
        <w:t xml:space="preserve"> </w:t>
      </w:r>
      <w:r w:rsidRPr="00981405">
        <w:t>attributes,</w:t>
      </w:r>
      <w:r w:rsidR="00190923" w:rsidRPr="00981405">
        <w:t xml:space="preserve"> </w:t>
      </w:r>
      <w:r w:rsidRPr="00981405">
        <w:t>roadblocks</w:t>
      </w:r>
      <w:r w:rsidR="00190923" w:rsidRPr="00981405">
        <w:t xml:space="preserve"> </w:t>
      </w:r>
      <w:r w:rsidRPr="00981405">
        <w:t>and</w:t>
      </w:r>
      <w:r w:rsidR="00190923" w:rsidRPr="00981405">
        <w:t xml:space="preserve"> </w:t>
      </w:r>
      <w:r w:rsidRPr="00981405">
        <w:t>language.</w:t>
      </w:r>
      <w:r w:rsidR="00B92E2C" w:rsidRPr="00981405">
        <w:t>”</w:t>
      </w:r>
      <w:r w:rsidRPr="00981405">
        <w:rPr>
          <w:rStyle w:val="FootnoteReference"/>
        </w:rPr>
        <w:footnoteReference w:id="211"/>
      </w:r>
    </w:p>
    <w:bookmarkEnd w:id="90"/>
    <w:bookmarkEnd w:id="91"/>
    <w:p w:rsidR="00397032" w:rsidRPr="00981405" w:rsidRDefault="00397032" w:rsidP="00D97463">
      <w:pPr>
        <w:pStyle w:val="SingleTxt"/>
      </w:pPr>
      <w:r w:rsidRPr="00981405">
        <w:tab/>
      </w:r>
      <w:r w:rsidR="00B92E2C" w:rsidRPr="00981405">
        <w:t>“</w:t>
      </w:r>
      <w:r w:rsidRPr="00D97463">
        <w:rPr>
          <w:i/>
          <w:iCs/>
        </w:rPr>
        <w:t>With</w:t>
      </w:r>
      <w:r w:rsidR="00190923" w:rsidRPr="00981405">
        <w:rPr>
          <w:i/>
          <w:iCs/>
        </w:rPr>
        <w:t xml:space="preserve"> </w:t>
      </w:r>
      <w:r w:rsidRPr="00D97463">
        <w:rPr>
          <w:i/>
          <w:iCs/>
        </w:rPr>
        <w:t>knowledge</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attack</w:t>
      </w:r>
      <w:r w:rsidR="00B92E2C" w:rsidRPr="00981405">
        <w:t>”</w:t>
      </w:r>
    </w:p>
    <w:p w:rsidR="00397032" w:rsidRPr="00981405" w:rsidRDefault="00397032" w:rsidP="00D97463">
      <w:pPr>
        <w:pStyle w:val="SingleTxt"/>
      </w:pPr>
      <w:r w:rsidRPr="00981405">
        <w:t>(34)</w:t>
      </w:r>
      <w:r w:rsidRPr="00981405">
        <w:tab/>
        <w:t>The</w:t>
      </w:r>
      <w:r w:rsidR="00190923" w:rsidRPr="00981405">
        <w:t xml:space="preserve"> </w:t>
      </w:r>
      <w:r w:rsidRPr="00981405">
        <w:t>third</w:t>
      </w:r>
      <w:r w:rsidR="00190923" w:rsidRPr="00981405">
        <w:t xml:space="preserve"> </w:t>
      </w:r>
      <w:r w:rsidRPr="00981405">
        <w:t>overall</w:t>
      </w:r>
      <w:r w:rsidR="00190923" w:rsidRPr="00981405">
        <w:t xml:space="preserve"> </w:t>
      </w:r>
      <w:r w:rsidRPr="00981405">
        <w:t>requirement</w:t>
      </w:r>
      <w:r w:rsidR="00190923" w:rsidRPr="00981405">
        <w:t xml:space="preserve"> </w:t>
      </w:r>
      <w:r w:rsidRPr="00981405">
        <w:t>is</w:t>
      </w:r>
      <w:r w:rsidR="00190923" w:rsidRPr="00981405">
        <w:t xml:space="preserve"> </w:t>
      </w:r>
      <w:r w:rsidRPr="00981405">
        <w:t>that</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must</w:t>
      </w:r>
      <w:r w:rsidR="00190923" w:rsidRPr="00981405">
        <w:t xml:space="preserve"> </w:t>
      </w:r>
      <w:r w:rsidRPr="00981405">
        <w:t>commit</w:t>
      </w:r>
      <w:r w:rsidR="00190923" w:rsidRPr="00981405">
        <w:t xml:space="preserve"> </w:t>
      </w:r>
      <w:r w:rsidRPr="00981405">
        <w:t>the</w:t>
      </w:r>
      <w:r w:rsidR="00190923" w:rsidRPr="00981405">
        <w:t xml:space="preserve"> </w:t>
      </w:r>
      <w:r w:rsidRPr="00981405">
        <w:t>act</w:t>
      </w:r>
      <w:r w:rsidR="00190923" w:rsidRPr="00981405">
        <w:t xml:space="preserve"> </w:t>
      </w:r>
      <w:r w:rsidR="00B92E2C" w:rsidRPr="00981405">
        <w:t>“</w:t>
      </w:r>
      <w:r w:rsidRPr="00981405">
        <w:t>with</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B92E2C" w:rsidRPr="00981405">
        <w:t>”</w:t>
      </w:r>
      <w:r w:rsidR="00190923" w:rsidRPr="00981405">
        <w:t xml:space="preserve"> </w:t>
      </w:r>
      <w:r w:rsidRPr="00981405">
        <w:t>Jurisprudence</w:t>
      </w:r>
      <w:r w:rsidR="00190923" w:rsidRPr="00981405">
        <w:t xml:space="preserve"> </w:t>
      </w:r>
      <w:r w:rsidRPr="00981405">
        <w:t>from</w:t>
      </w:r>
      <w:r w:rsidR="00190923" w:rsidRPr="00981405">
        <w:t xml:space="preserve"> </w:t>
      </w:r>
      <w:r w:rsidRPr="00981405">
        <w:t>the</w:t>
      </w:r>
      <w:r w:rsidR="00190923" w:rsidRPr="00981405">
        <w:t xml:space="preserve"> </w:t>
      </w:r>
      <w:r w:rsidRPr="00981405">
        <w:t>ICTY</w:t>
      </w:r>
      <w:r w:rsidR="00190923" w:rsidRPr="00981405">
        <w:t xml:space="preserve"> </w:t>
      </w:r>
      <w:r w:rsidRPr="00981405">
        <w:t>and</w:t>
      </w:r>
      <w:r w:rsidR="00190923" w:rsidRPr="00981405">
        <w:t xml:space="preserve"> </w:t>
      </w:r>
      <w:r w:rsidRPr="00981405">
        <w:t>ICTR</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must</w:t>
      </w:r>
      <w:r w:rsidR="00190923" w:rsidRPr="00981405">
        <w:t xml:space="preserve"> </w:t>
      </w:r>
      <w:r w:rsidRPr="00981405">
        <w:t>have</w:t>
      </w:r>
      <w:r w:rsidR="00190923" w:rsidRPr="00981405">
        <w:t xml:space="preserve"> </w:t>
      </w:r>
      <w:r w:rsidRPr="00981405">
        <w:t>knowledge</w:t>
      </w:r>
      <w:r w:rsidR="00190923" w:rsidRPr="00981405">
        <w:t xml:space="preserve"> </w:t>
      </w:r>
      <w:r w:rsidRPr="00981405">
        <w:t>that</w:t>
      </w:r>
      <w:r w:rsidR="00190923" w:rsidRPr="00981405">
        <w:t xml:space="preserve"> </w:t>
      </w:r>
      <w:r w:rsidRPr="00981405">
        <w:t>there</w:t>
      </w:r>
      <w:r w:rsidR="00190923" w:rsidRPr="00981405">
        <w:t xml:space="preserve"> </w:t>
      </w:r>
      <w:r w:rsidRPr="00981405">
        <w:t>is</w:t>
      </w:r>
      <w:r w:rsidR="00190923" w:rsidRPr="00981405">
        <w:t xml:space="preserve"> </w:t>
      </w:r>
      <w:r w:rsidRPr="00981405">
        <w:t>an</w:t>
      </w:r>
      <w:r w:rsidR="00190923" w:rsidRPr="00981405">
        <w:t xml:space="preserve"> </w:t>
      </w:r>
      <w:r w:rsidRPr="00981405">
        <w:t>attack</w:t>
      </w:r>
      <w:r w:rsidR="00190923" w:rsidRPr="00981405">
        <w:t xml:space="preserve"> </w:t>
      </w:r>
      <w:r w:rsidRPr="00981405">
        <w:t>on</w:t>
      </w:r>
      <w:r w:rsidR="00190923" w:rsidRPr="00981405">
        <w:t xml:space="preserve"> </w:t>
      </w:r>
      <w:r w:rsidRPr="00981405">
        <w:t>the</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and,</w:t>
      </w:r>
      <w:r w:rsidR="00190923" w:rsidRPr="00981405">
        <w:t xml:space="preserve"> </w:t>
      </w:r>
      <w:r w:rsidRPr="00981405">
        <w:t>further,</w:t>
      </w:r>
      <w:r w:rsidR="00190923" w:rsidRPr="00981405">
        <w:t xml:space="preserve"> </w:t>
      </w:r>
      <w:r w:rsidRPr="00981405">
        <w:t>that</w:t>
      </w:r>
      <w:r w:rsidR="00190923" w:rsidRPr="00981405">
        <w:t xml:space="preserve"> </w:t>
      </w:r>
      <w:r w:rsidRPr="00981405">
        <w:t>his</w:t>
      </w:r>
      <w:r w:rsidR="00190923" w:rsidRPr="00981405">
        <w:t xml:space="preserve"> </w:t>
      </w:r>
      <w:r w:rsidRPr="00981405">
        <w:t>or</w:t>
      </w:r>
      <w:r w:rsidR="00190923" w:rsidRPr="00981405">
        <w:t xml:space="preserve"> </w:t>
      </w:r>
      <w:r w:rsidRPr="00981405">
        <w:t>her</w:t>
      </w:r>
      <w:r w:rsidR="00190923" w:rsidRPr="00981405">
        <w:t xml:space="preserve"> </w:t>
      </w:r>
      <w:r w:rsidRPr="00981405">
        <w:t>act</w:t>
      </w:r>
      <w:r w:rsidR="00190923" w:rsidRPr="00981405">
        <w:t xml:space="preserve"> </w:t>
      </w:r>
      <w:r w:rsidRPr="00981405">
        <w:t>is</w:t>
      </w:r>
      <w:r w:rsidR="00190923" w:rsidRPr="00981405">
        <w:t xml:space="preserve"> </w:t>
      </w:r>
      <w:r w:rsidRPr="00981405">
        <w:t>a</w:t>
      </w:r>
      <w:r w:rsidR="00190923" w:rsidRPr="00981405">
        <w:t xml:space="preserve"> </w:t>
      </w:r>
      <w:r w:rsidRPr="00981405">
        <w:t>part</w:t>
      </w:r>
      <w:r w:rsidR="00190923" w:rsidRPr="00981405">
        <w:t xml:space="preserve"> </w:t>
      </w:r>
      <w:r w:rsidRPr="00981405">
        <w:t>of</w:t>
      </w:r>
      <w:r w:rsidR="00190923" w:rsidRPr="00981405">
        <w:t xml:space="preserve"> </w:t>
      </w:r>
      <w:r w:rsidRPr="00981405">
        <w:t>that</w:t>
      </w:r>
      <w:r w:rsidR="00190923" w:rsidRPr="00981405">
        <w:t xml:space="preserve"> </w:t>
      </w:r>
      <w:r w:rsidRPr="00981405">
        <w:t>attack.</w:t>
      </w:r>
      <w:r w:rsidRPr="00981405">
        <w:rPr>
          <w:rStyle w:val="FootnoteReference"/>
        </w:rPr>
        <w:footnoteReference w:id="212"/>
      </w:r>
      <w:r w:rsidR="00190923" w:rsidRPr="00981405">
        <w:t xml:space="preserve"> </w:t>
      </w:r>
      <w:r w:rsidRPr="00981405">
        <w:t>This</w:t>
      </w:r>
      <w:r w:rsidR="00190923" w:rsidRPr="00981405">
        <w:t xml:space="preserve"> </w:t>
      </w:r>
      <w:r w:rsidRPr="00981405">
        <w:t>two-part</w:t>
      </w:r>
      <w:r w:rsidR="00190923" w:rsidRPr="00981405">
        <w:t xml:space="preserve"> </w:t>
      </w:r>
      <w:r w:rsidRPr="00981405">
        <w:t>approach</w:t>
      </w:r>
      <w:r w:rsidR="00190923" w:rsidRPr="00981405">
        <w:t xml:space="preserve"> </w:t>
      </w:r>
      <w:r w:rsidRPr="00981405">
        <w:t>is</w:t>
      </w:r>
      <w:r w:rsidR="00190923" w:rsidRPr="00981405">
        <w:t xml:space="preserve"> </w:t>
      </w:r>
      <w:r w:rsidRPr="00981405">
        <w:t>reflected</w:t>
      </w:r>
      <w:r w:rsidR="00190923" w:rsidRPr="00981405">
        <w:t xml:space="preserve"> </w:t>
      </w:r>
      <w:r w:rsidRPr="00981405">
        <w:t>in</w:t>
      </w:r>
      <w:r w:rsidR="00190923" w:rsidRPr="00981405">
        <w:t xml:space="preserve"> </w:t>
      </w:r>
      <w:r w:rsidRPr="00981405">
        <w:t>the</w:t>
      </w:r>
      <w:r w:rsidR="00190923" w:rsidRPr="00981405">
        <w:t xml:space="preserve"> </w:t>
      </w:r>
      <w:r w:rsidRPr="00981405">
        <w:t>Elements</w:t>
      </w:r>
      <w:r w:rsidR="00190923" w:rsidRPr="00981405">
        <w:t xml:space="preserve"> </w:t>
      </w:r>
      <w:r w:rsidRPr="00981405">
        <w:t>of</w:t>
      </w:r>
      <w:r w:rsidR="00190923" w:rsidRPr="00981405">
        <w:t xml:space="preserve"> </w:t>
      </w:r>
      <w:r w:rsidRPr="00981405">
        <w:t>Crimes</w:t>
      </w:r>
      <w:r w:rsidR="00190923" w:rsidRPr="00981405">
        <w:t xml:space="preserve"> </w:t>
      </w:r>
      <w:r w:rsidRPr="00981405">
        <w:t>under</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which</w:t>
      </w:r>
      <w:r w:rsidR="00190923" w:rsidRPr="00981405">
        <w:t xml:space="preserve"> </w:t>
      </w:r>
      <w:r w:rsidRPr="00981405">
        <w:t>for</w:t>
      </w:r>
      <w:r w:rsidR="00190923" w:rsidRPr="00981405">
        <w:t xml:space="preserve"> </w:t>
      </w:r>
      <w:r w:rsidRPr="00981405">
        <w:t>each</w:t>
      </w:r>
      <w:r w:rsidR="00190923" w:rsidRPr="00981405">
        <w:t xml:space="preserve"> </w:t>
      </w:r>
      <w:r w:rsidRPr="00981405">
        <w:t>of</w:t>
      </w:r>
      <w:r w:rsidR="00190923" w:rsidRPr="00981405">
        <w:t xml:space="preserve"> </w:t>
      </w:r>
      <w:r w:rsidRPr="00981405">
        <w:t>the</w:t>
      </w:r>
      <w:r w:rsidR="00190923" w:rsidRPr="00981405">
        <w:t xml:space="preserve"> </w:t>
      </w:r>
      <w:r w:rsidRPr="00981405">
        <w:t>proscribed</w:t>
      </w:r>
      <w:r w:rsidR="00190923" w:rsidRPr="00981405">
        <w:t xml:space="preserve"> </w:t>
      </w:r>
      <w:r w:rsidRPr="00981405">
        <w:t>acts</w:t>
      </w:r>
      <w:r w:rsidR="00190923" w:rsidRPr="00981405">
        <w:t xml:space="preserve"> </w:t>
      </w:r>
      <w:r w:rsidRPr="00981405">
        <w:t>requires</w:t>
      </w:r>
      <w:r w:rsidR="00190923" w:rsidRPr="00981405">
        <w:t xml:space="preserve"> </w:t>
      </w:r>
      <w:r w:rsidRPr="00981405">
        <w:t>as</w:t>
      </w:r>
      <w:r w:rsidR="00190923" w:rsidRPr="00981405">
        <w:t xml:space="preserve"> </w:t>
      </w:r>
      <w:r w:rsidRPr="00981405">
        <w:t>that</w:t>
      </w:r>
      <w:r w:rsidR="00190923" w:rsidRPr="00981405">
        <w:t xml:space="preserve"> </w:t>
      </w:r>
      <w:r w:rsidRPr="00981405">
        <w:t>act</w:t>
      </w:r>
      <w:r w:rsidR="00B92E2C" w:rsidRPr="00981405">
        <w:t>’</w:t>
      </w:r>
      <w:r w:rsidRPr="00981405">
        <w:t>s</w:t>
      </w:r>
      <w:r w:rsidR="00190923" w:rsidRPr="00981405">
        <w:t xml:space="preserve"> </w:t>
      </w:r>
      <w:r w:rsidRPr="00981405">
        <w:t>last</w:t>
      </w:r>
      <w:r w:rsidR="00190923" w:rsidRPr="00981405">
        <w:t xml:space="preserve"> </w:t>
      </w:r>
      <w:r w:rsidRPr="00981405">
        <w:t>element:</w:t>
      </w:r>
      <w:r w:rsidR="00190923" w:rsidRPr="00981405">
        <w:t xml:space="preserve"> </w:t>
      </w:r>
      <w:r w:rsidR="00B92E2C" w:rsidRPr="00981405">
        <w:t>“</w:t>
      </w:r>
      <w:r w:rsidRPr="00981405">
        <w:t>The</w:t>
      </w:r>
      <w:r w:rsidR="00190923" w:rsidRPr="00981405">
        <w:t xml:space="preserve"> </w:t>
      </w:r>
      <w:r w:rsidRPr="00981405">
        <w:t>perpetrator</w:t>
      </w:r>
      <w:r w:rsidR="00190923" w:rsidRPr="00981405">
        <w:t xml:space="preserve"> </w:t>
      </w:r>
      <w:r w:rsidRPr="00981405">
        <w:t>knew</w:t>
      </w:r>
      <w:r w:rsidR="00190923" w:rsidRPr="00981405">
        <w:t xml:space="preserve"> </w:t>
      </w:r>
      <w:r w:rsidRPr="00981405">
        <w:t>that</w:t>
      </w:r>
      <w:r w:rsidR="00190923" w:rsidRPr="00981405">
        <w:t xml:space="preserve"> </w:t>
      </w:r>
      <w:r w:rsidRPr="00981405">
        <w:t>the</w:t>
      </w:r>
      <w:r w:rsidR="00190923" w:rsidRPr="00981405">
        <w:t xml:space="preserve"> </w:t>
      </w:r>
      <w:r w:rsidRPr="00981405">
        <w:t>conduct</w:t>
      </w:r>
      <w:r w:rsidR="00190923" w:rsidRPr="00981405">
        <w:t xml:space="preserve"> </w:t>
      </w:r>
      <w:r w:rsidRPr="00981405">
        <w:t>was</w:t>
      </w:r>
      <w:r w:rsidR="00190923" w:rsidRPr="00981405">
        <w:t xml:space="preserve"> </w:t>
      </w:r>
      <w:r w:rsidRPr="00981405">
        <w:t>part</w:t>
      </w:r>
      <w:r w:rsidR="00190923" w:rsidRPr="00981405">
        <w:t xml:space="preserve"> </w:t>
      </w:r>
      <w:r w:rsidRPr="00981405">
        <w:t>of</w:t>
      </w:r>
      <w:r w:rsidR="00190923" w:rsidRPr="00981405">
        <w:t xml:space="preserve"> </w:t>
      </w:r>
      <w:r w:rsidRPr="00981405">
        <w:t>or</w:t>
      </w:r>
      <w:r w:rsidR="00190923" w:rsidRPr="00981405">
        <w:t xml:space="preserve"> </w:t>
      </w:r>
      <w:r w:rsidRPr="00981405">
        <w:t>intended</w:t>
      </w:r>
      <w:r w:rsidR="00190923" w:rsidRPr="00981405">
        <w:t xml:space="preserve"> </w:t>
      </w:r>
      <w:r w:rsidRPr="00981405">
        <w:t>the</w:t>
      </w:r>
      <w:r w:rsidR="00190923" w:rsidRPr="00981405">
        <w:t xml:space="preserve"> </w:t>
      </w:r>
      <w:r w:rsidRPr="00981405">
        <w:t>conduct</w:t>
      </w:r>
      <w:r w:rsidR="00190923" w:rsidRPr="00981405">
        <w:t xml:space="preserve"> </w:t>
      </w:r>
      <w:r w:rsidRPr="00981405">
        <w:t>to</w:t>
      </w:r>
      <w:r w:rsidR="00190923" w:rsidRPr="00981405">
        <w:t xml:space="preserve"> </w:t>
      </w:r>
      <w:r w:rsidRPr="00981405">
        <w:t>be</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against</w:t>
      </w:r>
      <w:r w:rsidR="00190923" w:rsidRPr="00981405">
        <w:t xml:space="preserve"> </w:t>
      </w:r>
      <w:r w:rsidRPr="00981405">
        <w:t>a</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Even</w:t>
      </w:r>
      <w:r w:rsidR="00190923" w:rsidRPr="00981405">
        <w:t xml:space="preserve"> </w:t>
      </w:r>
      <w:r w:rsidRPr="00981405">
        <w:t>so,</w:t>
      </w:r>
      <w:r w:rsidR="00190923" w:rsidRPr="00981405">
        <w:t xml:space="preserve"> </w:t>
      </w:r>
    </w:p>
    <w:p w:rsidR="00397032" w:rsidRPr="00981405" w:rsidRDefault="00B92E2C" w:rsidP="00D97463">
      <w:pPr>
        <w:pStyle w:val="SingleTxt"/>
        <w:ind w:left="1742"/>
        <w:rPr>
          <w:rFonts w:eastAsia="MS Mincho"/>
        </w:rPr>
      </w:pPr>
      <w:r w:rsidRPr="00981405">
        <w:t>“</w:t>
      </w:r>
      <w:r w:rsidR="00397032" w:rsidRPr="00981405">
        <w:t>the</w:t>
      </w:r>
      <w:r w:rsidR="00190923" w:rsidRPr="00981405">
        <w:t xml:space="preserve"> </w:t>
      </w:r>
      <w:r w:rsidR="00397032" w:rsidRPr="00981405">
        <w:t>last</w:t>
      </w:r>
      <w:r w:rsidR="00190923" w:rsidRPr="00981405">
        <w:t xml:space="preserve"> </w:t>
      </w:r>
      <w:r w:rsidR="00397032" w:rsidRPr="00981405">
        <w:t>element</w:t>
      </w:r>
      <w:r w:rsidR="00190923" w:rsidRPr="00981405">
        <w:t xml:space="preserve"> </w:t>
      </w:r>
      <w:r w:rsidR="00397032" w:rsidRPr="00981405">
        <w:t>should</w:t>
      </w:r>
      <w:r w:rsidR="00190923" w:rsidRPr="00981405">
        <w:t xml:space="preserve"> </w:t>
      </w:r>
      <w:r w:rsidR="00397032" w:rsidRPr="00981405">
        <w:t>not</w:t>
      </w:r>
      <w:r w:rsidR="00190923" w:rsidRPr="00981405">
        <w:t xml:space="preserve"> </w:t>
      </w:r>
      <w:r w:rsidR="00397032" w:rsidRPr="00981405">
        <w:t>be</w:t>
      </w:r>
      <w:r w:rsidR="00190923" w:rsidRPr="00981405">
        <w:t xml:space="preserve"> </w:t>
      </w:r>
      <w:r w:rsidR="00397032" w:rsidRPr="00981405">
        <w:t>interpreted</w:t>
      </w:r>
      <w:r w:rsidR="00190923" w:rsidRPr="00981405">
        <w:t xml:space="preserve"> </w:t>
      </w:r>
      <w:r w:rsidR="00397032" w:rsidRPr="00981405">
        <w:t>as</w:t>
      </w:r>
      <w:r w:rsidR="00190923" w:rsidRPr="00981405">
        <w:t xml:space="preserve"> </w:t>
      </w:r>
      <w:r w:rsidR="00397032" w:rsidRPr="00981405">
        <w:t>requiring</w:t>
      </w:r>
      <w:r w:rsidR="00190923" w:rsidRPr="00981405">
        <w:t xml:space="preserve"> </w:t>
      </w:r>
      <w:r w:rsidR="00397032" w:rsidRPr="00981405">
        <w:t>proof</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perpetrator</w:t>
      </w:r>
      <w:r w:rsidR="00190923" w:rsidRPr="00981405">
        <w:t xml:space="preserve"> </w:t>
      </w:r>
      <w:r w:rsidR="00397032" w:rsidRPr="00981405">
        <w:t>had</w:t>
      </w:r>
      <w:r w:rsidR="00190923" w:rsidRPr="00981405">
        <w:t xml:space="preserve"> </w:t>
      </w:r>
      <w:r w:rsidR="00397032" w:rsidRPr="00981405">
        <w:t>knowledge</w:t>
      </w:r>
      <w:r w:rsidR="00190923" w:rsidRPr="00981405">
        <w:t xml:space="preserve"> </w:t>
      </w:r>
      <w:r w:rsidR="00397032" w:rsidRPr="00981405">
        <w:t>of</w:t>
      </w:r>
      <w:r w:rsidR="00190923" w:rsidRPr="00981405">
        <w:t xml:space="preserve"> </w:t>
      </w:r>
      <w:r w:rsidR="00397032" w:rsidRPr="00981405">
        <w:t>all</w:t>
      </w:r>
      <w:r w:rsidR="00190923" w:rsidRPr="00981405">
        <w:t xml:space="preserve"> </w:t>
      </w:r>
      <w:r w:rsidR="00397032" w:rsidRPr="00981405">
        <w:t>characteristics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attack</w:t>
      </w:r>
      <w:r w:rsidR="00190923" w:rsidRPr="00981405">
        <w:t xml:space="preserve"> </w:t>
      </w:r>
      <w:r w:rsidR="00397032" w:rsidRPr="00981405">
        <w:t>or</w:t>
      </w:r>
      <w:r w:rsidR="00190923" w:rsidRPr="00981405">
        <w:t xml:space="preserve"> </w:t>
      </w:r>
      <w:r w:rsidR="00397032" w:rsidRPr="00981405">
        <w:t>the</w:t>
      </w:r>
      <w:r w:rsidR="00190923" w:rsidRPr="00981405">
        <w:t xml:space="preserve"> </w:t>
      </w:r>
      <w:r w:rsidR="00397032" w:rsidRPr="00981405">
        <w:t>precise</w:t>
      </w:r>
      <w:r w:rsidR="00190923" w:rsidRPr="00981405">
        <w:t xml:space="preserve"> </w:t>
      </w:r>
      <w:r w:rsidR="00397032" w:rsidRPr="00981405">
        <w:t>details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plan</w:t>
      </w:r>
      <w:r w:rsidR="00190923" w:rsidRPr="00981405">
        <w:t xml:space="preserve"> </w:t>
      </w:r>
      <w:r w:rsidR="00397032" w:rsidRPr="00981405">
        <w:t>or</w:t>
      </w:r>
      <w:r w:rsidR="00190923" w:rsidRPr="00981405">
        <w:t xml:space="preserve"> </w:t>
      </w:r>
      <w:r w:rsidR="00397032" w:rsidRPr="00981405">
        <w:t>policy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State</w:t>
      </w:r>
      <w:r w:rsidR="00190923" w:rsidRPr="00981405">
        <w:t xml:space="preserve"> </w:t>
      </w:r>
      <w:r w:rsidR="00397032" w:rsidRPr="00981405">
        <w:t>or</w:t>
      </w:r>
      <w:r w:rsidR="00190923" w:rsidRPr="00981405">
        <w:t xml:space="preserve"> </w:t>
      </w:r>
      <w:r w:rsidR="00397032" w:rsidRPr="00981405">
        <w:t>organization.</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case</w:t>
      </w:r>
      <w:r w:rsidR="00190923" w:rsidRPr="00981405">
        <w:t xml:space="preserve"> </w:t>
      </w:r>
      <w:r w:rsidR="00397032" w:rsidRPr="00981405">
        <w:t>of</w:t>
      </w:r>
      <w:r w:rsidR="00190923" w:rsidRPr="00981405">
        <w:t xml:space="preserve"> </w:t>
      </w:r>
      <w:r w:rsidR="00397032" w:rsidRPr="00981405">
        <w:t>an</w:t>
      </w:r>
      <w:r w:rsidR="00190923" w:rsidRPr="00981405">
        <w:t xml:space="preserve"> </w:t>
      </w:r>
      <w:r w:rsidR="00397032" w:rsidRPr="00981405">
        <w:t>emerging</w:t>
      </w:r>
      <w:r w:rsidR="00190923" w:rsidRPr="00981405">
        <w:t xml:space="preserve"> </w:t>
      </w:r>
      <w:r w:rsidR="00397032" w:rsidRPr="00981405">
        <w:t>widespread</w:t>
      </w:r>
      <w:r w:rsidR="00190923" w:rsidRPr="00981405">
        <w:t xml:space="preserve"> </w:t>
      </w:r>
      <w:r w:rsidR="00397032" w:rsidRPr="00981405">
        <w:t>or</w:t>
      </w:r>
      <w:r w:rsidR="00190923" w:rsidRPr="00981405">
        <w:t xml:space="preserve"> </w:t>
      </w:r>
      <w:r w:rsidR="00397032" w:rsidRPr="00981405">
        <w:t>systematic</w:t>
      </w:r>
      <w:r w:rsidR="00190923" w:rsidRPr="00981405">
        <w:t xml:space="preserve"> </w:t>
      </w:r>
      <w:r w:rsidR="00397032" w:rsidRPr="00981405">
        <w:t>attack</w:t>
      </w:r>
      <w:r w:rsidR="00190923" w:rsidRPr="00981405">
        <w:t xml:space="preserve"> </w:t>
      </w:r>
      <w:r w:rsidR="00397032" w:rsidRPr="00981405">
        <w:t>against</w:t>
      </w:r>
      <w:r w:rsidR="00190923" w:rsidRPr="00981405">
        <w:t xml:space="preserve"> </w:t>
      </w:r>
      <w:r w:rsidR="00397032" w:rsidRPr="00981405">
        <w:t>a</w:t>
      </w:r>
      <w:r w:rsidR="00190923" w:rsidRPr="00981405">
        <w:t xml:space="preserve"> </w:t>
      </w:r>
      <w:r w:rsidR="00397032" w:rsidRPr="00981405">
        <w:t>civilian</w:t>
      </w:r>
      <w:r w:rsidR="00190923" w:rsidRPr="00981405">
        <w:t xml:space="preserve"> </w:t>
      </w:r>
      <w:r w:rsidR="00397032" w:rsidRPr="00981405">
        <w:t>population,</w:t>
      </w:r>
      <w:r w:rsidR="00190923" w:rsidRPr="00981405">
        <w:t xml:space="preserve"> </w:t>
      </w:r>
      <w:r w:rsidR="00397032" w:rsidRPr="00981405">
        <w:t>the</w:t>
      </w:r>
      <w:r w:rsidR="00190923" w:rsidRPr="00981405">
        <w:t xml:space="preserve"> </w:t>
      </w:r>
      <w:r w:rsidR="00397032" w:rsidRPr="00981405">
        <w:t>intent</w:t>
      </w:r>
      <w:r w:rsidR="00190923" w:rsidRPr="00981405">
        <w:t xml:space="preserve"> </w:t>
      </w:r>
      <w:r w:rsidR="00397032" w:rsidRPr="00981405">
        <w:t>clause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last</w:t>
      </w:r>
      <w:r w:rsidR="00190923" w:rsidRPr="00981405">
        <w:t xml:space="preserve"> </w:t>
      </w:r>
      <w:r w:rsidR="00397032" w:rsidRPr="00981405">
        <w:t>element</w:t>
      </w:r>
      <w:r w:rsidR="00190923" w:rsidRPr="00981405">
        <w:t xml:space="preserve"> </w:t>
      </w:r>
      <w:r w:rsidR="00397032" w:rsidRPr="00981405">
        <w:t>indicates</w:t>
      </w:r>
      <w:r w:rsidR="00190923" w:rsidRPr="00981405">
        <w:t xml:space="preserve"> </w:t>
      </w:r>
      <w:r w:rsidR="00397032" w:rsidRPr="00981405">
        <w:t>that</w:t>
      </w:r>
      <w:r w:rsidR="00190923" w:rsidRPr="00981405">
        <w:t xml:space="preserve"> </w:t>
      </w:r>
      <w:r w:rsidR="00397032" w:rsidRPr="00981405">
        <w:t>this</w:t>
      </w:r>
      <w:r w:rsidR="00190923" w:rsidRPr="00981405">
        <w:t xml:space="preserve"> </w:t>
      </w:r>
      <w:r w:rsidR="00397032" w:rsidRPr="00981405">
        <w:t>mental</w:t>
      </w:r>
      <w:r w:rsidR="00190923" w:rsidRPr="00981405">
        <w:t xml:space="preserve"> </w:t>
      </w:r>
      <w:r w:rsidR="00397032" w:rsidRPr="00981405">
        <w:t>element</w:t>
      </w:r>
      <w:r w:rsidR="00190923" w:rsidRPr="00981405">
        <w:t xml:space="preserve"> </w:t>
      </w:r>
      <w:r w:rsidR="00397032" w:rsidRPr="00981405">
        <w:t>is</w:t>
      </w:r>
      <w:r w:rsidR="00190923" w:rsidRPr="00981405">
        <w:t xml:space="preserve"> </w:t>
      </w:r>
      <w:r w:rsidR="00397032" w:rsidRPr="00981405">
        <w:t>satisfied</w:t>
      </w:r>
      <w:r w:rsidR="00190923" w:rsidRPr="00981405">
        <w:t xml:space="preserve"> </w:t>
      </w:r>
      <w:r w:rsidR="00397032" w:rsidRPr="00981405">
        <w:t>if</w:t>
      </w:r>
      <w:r w:rsidR="00190923" w:rsidRPr="00981405">
        <w:t xml:space="preserve"> </w:t>
      </w:r>
      <w:r w:rsidR="00397032" w:rsidRPr="00981405">
        <w:t>the</w:t>
      </w:r>
      <w:r w:rsidR="00190923" w:rsidRPr="00981405">
        <w:t xml:space="preserve"> </w:t>
      </w:r>
      <w:r w:rsidR="00397032" w:rsidRPr="00981405">
        <w:t>perpetrator</w:t>
      </w:r>
      <w:r w:rsidR="00190923" w:rsidRPr="00981405">
        <w:t xml:space="preserve"> </w:t>
      </w:r>
      <w:r w:rsidR="00397032" w:rsidRPr="00981405">
        <w:t>intended</w:t>
      </w:r>
      <w:r w:rsidR="00190923" w:rsidRPr="00981405">
        <w:t xml:space="preserve"> </w:t>
      </w:r>
      <w:r w:rsidR="00397032" w:rsidRPr="00981405">
        <w:t>to</w:t>
      </w:r>
      <w:r w:rsidR="00190923" w:rsidRPr="00981405">
        <w:t xml:space="preserve"> </w:t>
      </w:r>
      <w:r w:rsidR="00397032" w:rsidRPr="00981405">
        <w:t>further</w:t>
      </w:r>
      <w:r w:rsidR="00190923" w:rsidRPr="00981405">
        <w:t xml:space="preserve"> </w:t>
      </w:r>
      <w:r w:rsidR="00397032" w:rsidRPr="00981405">
        <w:t>such</w:t>
      </w:r>
      <w:r w:rsidR="00190923" w:rsidRPr="00981405">
        <w:t xml:space="preserve"> </w:t>
      </w:r>
      <w:r w:rsidR="00397032" w:rsidRPr="00981405">
        <w:t>an</w:t>
      </w:r>
      <w:r w:rsidR="00190923" w:rsidRPr="00981405">
        <w:t xml:space="preserve"> </w:t>
      </w:r>
      <w:r w:rsidR="00397032" w:rsidRPr="00981405">
        <w:t>attack.</w:t>
      </w:r>
      <w:r w:rsidRPr="00981405">
        <w:t>”</w:t>
      </w:r>
      <w:r w:rsidR="00397032" w:rsidRPr="00981405">
        <w:rPr>
          <w:rStyle w:val="FootnoteReference"/>
        </w:rPr>
        <w:footnoteReference w:id="213"/>
      </w:r>
    </w:p>
    <w:p w:rsidR="00397032" w:rsidRPr="00981405" w:rsidRDefault="00397032" w:rsidP="00D97463">
      <w:pPr>
        <w:pStyle w:val="SingleTxt"/>
      </w:pPr>
      <w:r w:rsidRPr="00981405">
        <w:t>(35)</w:t>
      </w:r>
      <w:r w:rsidRPr="00981405">
        <w:tab/>
      </w:r>
      <w:r w:rsidRPr="00981405">
        <w:rPr>
          <w:rFonts w:eastAsia="Batang"/>
        </w:rPr>
        <w:t>In</w:t>
      </w:r>
      <w:r w:rsidR="00190923" w:rsidRPr="00981405">
        <w:rPr>
          <w:rFonts w:eastAsia="Batang"/>
        </w:rPr>
        <w:t xml:space="preserve"> </w:t>
      </w:r>
      <w:r w:rsidRPr="00981405">
        <w:rPr>
          <w:rFonts w:eastAsia="Batang"/>
        </w:rPr>
        <w:t>its</w:t>
      </w:r>
      <w:r w:rsidR="00190923" w:rsidRPr="00981405">
        <w:rPr>
          <w:rFonts w:eastAsia="Batang"/>
        </w:rPr>
        <w:t xml:space="preserve"> </w:t>
      </w:r>
      <w:r w:rsidRPr="00981405">
        <w:rPr>
          <w:rFonts w:eastAsia="Batang"/>
        </w:rPr>
        <w:t>decision</w:t>
      </w:r>
      <w:r w:rsidR="00190923" w:rsidRPr="00981405">
        <w:rPr>
          <w:rFonts w:eastAsia="Batang"/>
        </w:rPr>
        <w:t xml:space="preserve"> </w:t>
      </w:r>
      <w:r w:rsidRPr="00981405">
        <w:rPr>
          <w:rFonts w:eastAsia="Batang"/>
        </w:rPr>
        <w:t>confirming</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charges</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Laurent</w:t>
      </w:r>
      <w:r w:rsidR="00190923" w:rsidRPr="00981405">
        <w:rPr>
          <w:rFonts w:eastAsia="Batang"/>
        </w:rPr>
        <w:t xml:space="preserve"> </w:t>
      </w:r>
      <w:r w:rsidRPr="00981405">
        <w:rPr>
          <w:rFonts w:eastAsia="Batang"/>
        </w:rPr>
        <w:t>Gbagbo,</w:t>
      </w:r>
      <w:r w:rsidR="00B92E2C"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ICC</w:t>
      </w:r>
      <w:r w:rsidR="00190923" w:rsidRPr="00981405">
        <w:rPr>
          <w:rFonts w:eastAsia="Batang"/>
        </w:rPr>
        <w:t xml:space="preserve"> </w:t>
      </w:r>
      <w:r w:rsidRPr="00981405">
        <w:rPr>
          <w:rFonts w:eastAsia="Batang"/>
        </w:rPr>
        <w:t>Pre-Trial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found</w:t>
      </w:r>
      <w:r w:rsidR="00190923" w:rsidRPr="00981405">
        <w:rPr>
          <w:rFonts w:eastAsia="Batang"/>
        </w:rPr>
        <w:t xml:space="preserve"> </w:t>
      </w:r>
      <w:r w:rsidRPr="00981405">
        <w:rPr>
          <w:rFonts w:eastAsia="Batang"/>
        </w:rPr>
        <w:t>that</w:t>
      </w:r>
      <w:r w:rsidR="00190923" w:rsidRPr="00981405">
        <w:rPr>
          <w:rFonts w:eastAsia="Batang"/>
        </w:rPr>
        <w:t xml:space="preserve"> </w:t>
      </w:r>
      <w:r w:rsidR="00B92E2C" w:rsidRPr="00981405">
        <w:rPr>
          <w:rFonts w:eastAsia="Batang"/>
        </w:rPr>
        <w:t>“</w:t>
      </w:r>
      <w:r w:rsidRPr="00981405">
        <w:t>it</w:t>
      </w:r>
      <w:r w:rsidR="00190923" w:rsidRPr="00981405">
        <w:t xml:space="preserve"> </w:t>
      </w:r>
      <w:r w:rsidRPr="00981405">
        <w:t>is</w:t>
      </w:r>
      <w:r w:rsidR="00190923" w:rsidRPr="00981405">
        <w:t xml:space="preserve"> </w:t>
      </w:r>
      <w:r w:rsidRPr="00981405">
        <w:t>only</w:t>
      </w:r>
      <w:r w:rsidR="00190923" w:rsidRPr="00981405">
        <w:t xml:space="preserve"> </w:t>
      </w:r>
      <w:r w:rsidRPr="00981405">
        <w:t>necessary</w:t>
      </w:r>
      <w:r w:rsidR="00190923" w:rsidRPr="00981405">
        <w:t xml:space="preserve"> </w:t>
      </w:r>
      <w:r w:rsidRPr="00981405">
        <w:t>to</w:t>
      </w:r>
      <w:r w:rsidR="00190923" w:rsidRPr="00981405">
        <w:t xml:space="preserve"> </w:t>
      </w:r>
      <w:r w:rsidRPr="00981405">
        <w:t>establish</w:t>
      </w:r>
      <w:r w:rsidR="00190923" w:rsidRPr="00981405">
        <w:t xml:space="preserve"> </w:t>
      </w:r>
      <w:r w:rsidRPr="00981405">
        <w:t>that</w:t>
      </w:r>
      <w:r w:rsidR="00190923" w:rsidRPr="00981405">
        <w:t xml:space="preserve"> </w:t>
      </w:r>
      <w:r w:rsidRPr="00981405">
        <w:t>the</w:t>
      </w:r>
      <w:r w:rsidR="00190923" w:rsidRPr="00981405">
        <w:t xml:space="preserve"> </w:t>
      </w:r>
      <w:r w:rsidRPr="00981405">
        <w:t>person</w:t>
      </w:r>
      <w:r w:rsidR="00190923" w:rsidRPr="00981405">
        <w:t xml:space="preserve"> </w:t>
      </w:r>
      <w:r w:rsidRPr="00981405">
        <w:t>had</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in</w:t>
      </w:r>
      <w:r w:rsidR="00190923" w:rsidRPr="00981405">
        <w:t xml:space="preserve"> </w:t>
      </w:r>
      <w:r w:rsidRPr="00981405">
        <w:t>general</w:t>
      </w:r>
      <w:r w:rsidR="00190923" w:rsidRPr="00981405">
        <w:t xml:space="preserve"> </w:t>
      </w:r>
      <w:r w:rsidRPr="00981405">
        <w:t>terms.</w:t>
      </w:r>
      <w:r w:rsidR="00B92E2C" w:rsidRPr="00981405">
        <w:t>”</w:t>
      </w:r>
      <w:r w:rsidRPr="00981405">
        <w:rPr>
          <w:rStyle w:val="FootnoteReference"/>
        </w:rPr>
        <w:footnoteReference w:id="214"/>
      </w:r>
      <w:r w:rsidR="00190923" w:rsidRPr="00981405">
        <w:t xml:space="preserve"> </w:t>
      </w:r>
      <w:r w:rsidRPr="00981405">
        <w:t>Indeed,</w:t>
      </w:r>
      <w:r w:rsidR="00190923" w:rsidRPr="00981405">
        <w:t xml:space="preserve"> </w:t>
      </w:r>
      <w:r w:rsidRPr="00981405">
        <w:t>it</w:t>
      </w:r>
      <w:r w:rsidR="00190923" w:rsidRPr="00981405">
        <w:t xml:space="preserve"> </w:t>
      </w:r>
      <w:r w:rsidRPr="00981405">
        <w:t>need</w:t>
      </w:r>
      <w:r w:rsidR="00190923" w:rsidRPr="00981405">
        <w:t xml:space="preserve"> </w:t>
      </w:r>
      <w:r w:rsidRPr="00981405">
        <w:t>not</w:t>
      </w:r>
      <w:r w:rsidR="00190923" w:rsidRPr="00981405">
        <w:t xml:space="preserve"> </w:t>
      </w:r>
      <w:r w:rsidRPr="00981405">
        <w:t>be</w:t>
      </w:r>
      <w:r w:rsidR="00190923" w:rsidRPr="00981405">
        <w:t xml:space="preserve"> </w:t>
      </w:r>
      <w:r w:rsidRPr="00981405">
        <w:t>proven</w:t>
      </w:r>
      <w:r w:rsidR="00190923" w:rsidRPr="00981405">
        <w:t xml:space="preserve"> </w:t>
      </w:r>
      <w:r w:rsidRPr="00981405">
        <w:t>that</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knew</w:t>
      </w:r>
      <w:r w:rsidR="00190923" w:rsidRPr="00981405">
        <w:t xml:space="preserve"> </w:t>
      </w:r>
      <w:r w:rsidRPr="00981405">
        <w:t>the</w:t>
      </w:r>
      <w:r w:rsidR="00190923" w:rsidRPr="00981405">
        <w:t xml:space="preserve"> </w:t>
      </w:r>
      <w:r w:rsidRPr="00981405">
        <w:t>specific</w:t>
      </w:r>
      <w:r w:rsidR="00190923" w:rsidRPr="00981405">
        <w:t xml:space="preserve"> </w:t>
      </w:r>
      <w:r w:rsidRPr="00981405">
        <w:t>details</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Pr="00981405">
        <w:rPr>
          <w:rStyle w:val="FootnoteReference"/>
        </w:rPr>
        <w:footnoteReference w:id="215"/>
      </w:r>
      <w:r w:rsidR="00190923" w:rsidRPr="00981405">
        <w:t xml:space="preserve"> </w:t>
      </w:r>
      <w:r w:rsidRPr="00981405">
        <w:t>rather,</w:t>
      </w:r>
      <w:r w:rsidR="00190923" w:rsidRPr="00981405">
        <w:t xml:space="preserve"> </w:t>
      </w:r>
      <w:r w:rsidRPr="00981405">
        <w:t>the</w:t>
      </w:r>
      <w:r w:rsidR="00190923" w:rsidRPr="00981405">
        <w:t xml:space="preserve"> </w:t>
      </w:r>
      <w:r w:rsidRPr="00981405">
        <w:t>perpetrator</w:t>
      </w:r>
      <w:r w:rsidR="00B92E2C" w:rsidRPr="00981405">
        <w:t>’</w:t>
      </w:r>
      <w:r w:rsidRPr="00981405">
        <w:t>s</w:t>
      </w:r>
      <w:r w:rsidR="00190923" w:rsidRPr="00981405">
        <w:t xml:space="preserve"> </w:t>
      </w:r>
      <w:r w:rsidRPr="00981405">
        <w:t>knowledge</w:t>
      </w:r>
      <w:r w:rsidR="00190923" w:rsidRPr="00981405">
        <w:t xml:space="preserve"> </w:t>
      </w:r>
      <w:r w:rsidRPr="00981405">
        <w:t>may</w:t>
      </w:r>
      <w:r w:rsidR="00190923" w:rsidRPr="00981405">
        <w:t xml:space="preserve"> </w:t>
      </w:r>
      <w:r w:rsidRPr="00981405">
        <w:t>be</w:t>
      </w:r>
      <w:r w:rsidR="00190923" w:rsidRPr="00981405">
        <w:t xml:space="preserve"> </w:t>
      </w:r>
      <w:r w:rsidRPr="00981405">
        <w:t>inferred</w:t>
      </w:r>
      <w:r w:rsidR="00190923" w:rsidRPr="00981405">
        <w:t xml:space="preserve"> </w:t>
      </w:r>
      <w:r w:rsidRPr="00981405">
        <w:t>from</w:t>
      </w:r>
      <w:r w:rsidR="00190923" w:rsidRPr="00981405">
        <w:t xml:space="preserve"> </w:t>
      </w:r>
      <w:r w:rsidRPr="00981405">
        <w:t>circumstantial</w:t>
      </w:r>
      <w:r w:rsidR="00190923" w:rsidRPr="00981405">
        <w:t xml:space="preserve"> </w:t>
      </w:r>
      <w:r w:rsidRPr="00981405">
        <w:t>evidence.</w:t>
      </w:r>
      <w:r w:rsidRPr="00981405">
        <w:rPr>
          <w:rStyle w:val="FootnoteReference"/>
        </w:rPr>
        <w:footnoteReference w:id="216"/>
      </w:r>
      <w:r w:rsidR="00190923" w:rsidRPr="00981405">
        <w:t xml:space="preserve"> </w:t>
      </w:r>
      <w:r w:rsidRPr="00981405">
        <w:t>Thus,</w:t>
      </w:r>
      <w:r w:rsidR="00190923" w:rsidRPr="00981405">
        <w:t xml:space="preserve"> </w:t>
      </w:r>
      <w:r w:rsidRPr="00981405">
        <w:t>when</w:t>
      </w:r>
      <w:r w:rsidR="00190923" w:rsidRPr="00981405">
        <w:t xml:space="preserve"> </w:t>
      </w:r>
      <w:r w:rsidRPr="00981405">
        <w:t>finding</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Bemba</w:t>
      </w:r>
      <w:r w:rsidR="00190923" w:rsidRPr="00981405">
        <w:t xml:space="preserve"> </w:t>
      </w:r>
      <w:r w:rsidRPr="00981405">
        <w:t>case</w:t>
      </w:r>
      <w:r w:rsidR="00190923" w:rsidRPr="00981405">
        <w:t xml:space="preserve"> </w:t>
      </w:r>
      <w:r w:rsidRPr="00981405">
        <w:t>that</w:t>
      </w:r>
      <w:r w:rsidR="00190923" w:rsidRPr="00981405">
        <w:t xml:space="preserve"> </w:t>
      </w:r>
      <w:r w:rsidRPr="00981405">
        <w:t>the</w:t>
      </w:r>
      <w:r w:rsidR="00190923" w:rsidRPr="00981405">
        <w:t xml:space="preserve"> </w:t>
      </w:r>
      <w:r w:rsidRPr="00981405">
        <w:t>MLC</w:t>
      </w:r>
      <w:r w:rsidR="00190923" w:rsidRPr="00981405">
        <w:t xml:space="preserve"> </w:t>
      </w:r>
      <w:r w:rsidRPr="00981405">
        <w:t>troops</w:t>
      </w:r>
      <w:r w:rsidR="00190923" w:rsidRPr="00981405">
        <w:t xml:space="preserve"> </w:t>
      </w:r>
      <w:r w:rsidRPr="00981405">
        <w:t>acted</w:t>
      </w:r>
      <w:r w:rsidR="00190923" w:rsidRPr="00981405">
        <w:t xml:space="preserve"> </w:t>
      </w:r>
      <w:r w:rsidRPr="00981405">
        <w:t>with</w:t>
      </w:r>
      <w:r w:rsidR="00190923" w:rsidRPr="00981405">
        <w:t xml:space="preserve"> </w:t>
      </w:r>
      <w:r w:rsidRPr="00981405">
        <w:t>knowledge</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stated</w:t>
      </w:r>
      <w:r w:rsidR="00190923" w:rsidRPr="00981405">
        <w:t xml:space="preserve"> </w:t>
      </w:r>
      <w:r w:rsidRPr="00981405">
        <w:t>that</w:t>
      </w:r>
      <w:r w:rsidR="00190923" w:rsidRPr="00981405">
        <w:t xml:space="preserve"> </w:t>
      </w:r>
      <w:r w:rsidRPr="00981405">
        <w:t>the</w:t>
      </w:r>
      <w:r w:rsidR="00190923" w:rsidRPr="00981405">
        <w:t xml:space="preserve"> </w:t>
      </w:r>
      <w:r w:rsidRPr="00981405">
        <w:t>troops</w:t>
      </w:r>
      <w:r w:rsidR="00B92E2C" w:rsidRPr="00981405">
        <w:t>’</w:t>
      </w:r>
      <w:r w:rsidR="00190923" w:rsidRPr="00981405">
        <w:t xml:space="preserve"> </w:t>
      </w:r>
      <w:r w:rsidRPr="00981405">
        <w:t>knowledge</w:t>
      </w:r>
      <w:r w:rsidR="00190923" w:rsidRPr="00981405">
        <w:t xml:space="preserve"> </w:t>
      </w:r>
      <w:r w:rsidRPr="00981405">
        <w:t>could</w:t>
      </w:r>
      <w:r w:rsidR="00190923" w:rsidRPr="00981405">
        <w:t xml:space="preserve"> </w:t>
      </w:r>
      <w:r w:rsidRPr="00981405">
        <w:t>be</w:t>
      </w:r>
      <w:r w:rsidR="00190923" w:rsidRPr="00981405">
        <w:t xml:space="preserve"> </w:t>
      </w:r>
      <w:r w:rsidR="00B92E2C" w:rsidRPr="00981405">
        <w:t>“</w:t>
      </w:r>
      <w:r w:rsidRPr="00981405">
        <w:t>inferred</w:t>
      </w:r>
      <w:r w:rsidR="00190923" w:rsidRPr="00981405">
        <w:t xml:space="preserve"> </w:t>
      </w:r>
      <w:r w:rsidRPr="00981405">
        <w:t>from</w:t>
      </w:r>
      <w:r w:rsidR="00190923" w:rsidRPr="00981405">
        <w:t xml:space="preserve"> </w:t>
      </w:r>
      <w:r w:rsidRPr="00981405">
        <w:t>the</w:t>
      </w:r>
      <w:r w:rsidR="00190923" w:rsidRPr="00981405">
        <w:t xml:space="preserve"> </w:t>
      </w:r>
      <w:r w:rsidRPr="00981405">
        <w:t>methods</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they</w:t>
      </w:r>
      <w:r w:rsidR="00190923" w:rsidRPr="00981405">
        <w:t xml:space="preserve"> </w:t>
      </w:r>
      <w:r w:rsidRPr="00981405">
        <w:t>followed</w:t>
      </w:r>
      <w:r w:rsidR="00B92E2C" w:rsidRPr="00981405">
        <w:t>”</w:t>
      </w:r>
      <w:r w:rsidRPr="00981405">
        <w:t>,</w:t>
      </w:r>
      <w:r w:rsidR="00190923" w:rsidRPr="00981405">
        <w:t xml:space="preserve"> </w:t>
      </w:r>
      <w:r w:rsidRPr="00981405">
        <w:t>which</w:t>
      </w:r>
      <w:r w:rsidR="00190923" w:rsidRPr="00981405">
        <w:t xml:space="preserve"> </w:t>
      </w:r>
      <w:r w:rsidRPr="00981405">
        <w:t>reflected</w:t>
      </w:r>
      <w:r w:rsidR="00190923" w:rsidRPr="00981405">
        <w:t xml:space="preserve"> </w:t>
      </w:r>
      <w:r w:rsidRPr="00981405">
        <w:t>a</w:t>
      </w:r>
      <w:r w:rsidR="00190923" w:rsidRPr="00981405">
        <w:t xml:space="preserve"> </w:t>
      </w:r>
      <w:r w:rsidRPr="00981405">
        <w:t>clear</w:t>
      </w:r>
      <w:r w:rsidR="00190923" w:rsidRPr="00981405">
        <w:t xml:space="preserve"> </w:t>
      </w:r>
      <w:r w:rsidRPr="00981405">
        <w:t>pattern.</w:t>
      </w:r>
      <w:r w:rsidRPr="00981405">
        <w:rPr>
          <w:rStyle w:val="FootnoteReference"/>
        </w:rPr>
        <w:footnoteReference w:id="217"/>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Katanga</w:t>
      </w:r>
      <w:r w:rsidR="00190923" w:rsidRPr="00981405">
        <w:t xml:space="preserve"> </w:t>
      </w:r>
      <w:r w:rsidRPr="00981405">
        <w:t>case,</w:t>
      </w:r>
      <w:r w:rsidR="00190923" w:rsidRPr="00981405">
        <w:t xml:space="preserve"> </w:t>
      </w:r>
      <w:r w:rsidRPr="00981405">
        <w:t>an</w:t>
      </w:r>
      <w:r w:rsidR="00190923" w:rsidRPr="00981405">
        <w:t xml:space="preserve"> </w:t>
      </w:r>
      <w:r w:rsidRPr="00981405">
        <w:t>ICC</w:t>
      </w:r>
      <w:r w:rsidR="00190923" w:rsidRPr="00981405">
        <w:t xml:space="preserve"> </w:t>
      </w:r>
      <w:r w:rsidRPr="00981405">
        <w:t>Pre-Trial</w:t>
      </w:r>
      <w:r w:rsidR="00190923" w:rsidRPr="00981405">
        <w:t xml:space="preserve"> </w:t>
      </w:r>
      <w:r w:rsidRPr="00981405">
        <w:t>Chamber</w:t>
      </w:r>
      <w:r w:rsidR="00190923" w:rsidRPr="00981405">
        <w:t xml:space="preserve"> </w:t>
      </w:r>
      <w:r w:rsidRPr="00981405">
        <w:t>found</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knowledge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attack</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perpetrator</w:t>
      </w:r>
      <w:r w:rsidRPr="00981405">
        <w:t>’</w:t>
      </w:r>
      <w:r w:rsidR="00397032" w:rsidRPr="00981405">
        <w:t>s</w:t>
      </w:r>
      <w:r w:rsidR="00190923" w:rsidRPr="00981405">
        <w:t xml:space="preserve"> </w:t>
      </w:r>
      <w:r w:rsidR="00397032" w:rsidRPr="00981405">
        <w:t>awareness</w:t>
      </w:r>
      <w:r w:rsidR="00190923" w:rsidRPr="00981405">
        <w:t xml:space="preserve"> </w:t>
      </w:r>
      <w:r w:rsidR="00397032" w:rsidRPr="00981405">
        <w:t>that</w:t>
      </w:r>
      <w:r w:rsidR="00190923" w:rsidRPr="00981405">
        <w:t xml:space="preserve"> </w:t>
      </w:r>
      <w:r w:rsidR="00397032" w:rsidRPr="00981405">
        <w:t>his</w:t>
      </w:r>
      <w:r w:rsidR="00190923" w:rsidRPr="00981405">
        <w:t xml:space="preserve"> </w:t>
      </w:r>
      <w:r w:rsidR="00397032" w:rsidRPr="00981405">
        <w:t>conduct</w:t>
      </w:r>
      <w:r w:rsidR="00190923" w:rsidRPr="00981405">
        <w:t xml:space="preserve"> </w:t>
      </w:r>
      <w:r w:rsidR="00397032" w:rsidRPr="00981405">
        <w:t>was</w:t>
      </w:r>
      <w:r w:rsidR="00190923" w:rsidRPr="00981405">
        <w:t xml:space="preserve"> </w:t>
      </w:r>
      <w:r w:rsidR="00397032" w:rsidRPr="00981405">
        <w:t>part</w:t>
      </w:r>
      <w:r w:rsidR="00190923" w:rsidRPr="00981405">
        <w:t xml:space="preserve"> </w:t>
      </w:r>
      <w:r w:rsidR="00397032" w:rsidRPr="00981405">
        <w:t>of</w:t>
      </w:r>
      <w:r w:rsidR="00190923" w:rsidRPr="00981405">
        <w:t xml:space="preserve"> </w:t>
      </w:r>
      <w:r w:rsidR="00397032" w:rsidRPr="00981405">
        <w:t>such</w:t>
      </w:r>
      <w:r w:rsidR="00190923" w:rsidRPr="00981405">
        <w:t xml:space="preserve"> </w:t>
      </w:r>
      <w:r w:rsidR="00397032" w:rsidRPr="00981405">
        <w:t>attack</w:t>
      </w:r>
      <w:r w:rsidR="00190923" w:rsidRPr="00981405">
        <w:t xml:space="preserve"> </w:t>
      </w:r>
      <w:r w:rsidR="00397032" w:rsidRPr="00981405">
        <w:t>may</w:t>
      </w:r>
      <w:r w:rsidR="00190923" w:rsidRPr="00981405">
        <w:t xml:space="preserve"> </w:t>
      </w:r>
      <w:r w:rsidR="00397032" w:rsidRPr="00981405">
        <w:t>be</w:t>
      </w:r>
      <w:r w:rsidR="00190923" w:rsidRPr="00981405">
        <w:t xml:space="preserve"> </w:t>
      </w:r>
      <w:r w:rsidR="00397032" w:rsidRPr="00981405">
        <w:t>inferred</w:t>
      </w:r>
      <w:r w:rsidR="00190923" w:rsidRPr="00981405">
        <w:t xml:space="preserve"> </w:t>
      </w:r>
      <w:r w:rsidR="00397032" w:rsidRPr="00981405">
        <w:t>from</w:t>
      </w:r>
      <w:r w:rsidR="00190923" w:rsidRPr="00981405">
        <w:t xml:space="preserve"> </w:t>
      </w:r>
      <w:r w:rsidR="00397032" w:rsidRPr="00981405">
        <w:t>circumstantial</w:t>
      </w:r>
      <w:r w:rsidR="00190923" w:rsidRPr="00981405">
        <w:t xml:space="preserve"> </w:t>
      </w:r>
      <w:r w:rsidR="00397032" w:rsidRPr="00981405">
        <w:t>evidence,</w:t>
      </w:r>
      <w:r w:rsidR="00190923" w:rsidRPr="00981405">
        <w:t xml:space="preserve"> </w:t>
      </w:r>
      <w:r w:rsidR="00397032" w:rsidRPr="00981405">
        <w:t>such</w:t>
      </w:r>
      <w:r w:rsidR="00190923" w:rsidRPr="00981405">
        <w:t xml:space="preserve"> </w:t>
      </w:r>
      <w:r w:rsidR="00397032" w:rsidRPr="00981405">
        <w:t>as:</w:t>
      </w:r>
      <w:r w:rsidR="00190923" w:rsidRPr="00981405">
        <w:t xml:space="preserve"> </w:t>
      </w:r>
      <w:r w:rsidR="00397032" w:rsidRPr="00981405">
        <w:t>the</w:t>
      </w:r>
      <w:r w:rsidR="00190923" w:rsidRPr="00981405">
        <w:t xml:space="preserve"> </w:t>
      </w:r>
      <w:r w:rsidR="00397032" w:rsidRPr="00981405">
        <w:t>accused</w:t>
      </w:r>
      <w:r w:rsidRPr="00981405">
        <w:t>’</w:t>
      </w:r>
      <w:r w:rsidR="00397032" w:rsidRPr="00981405">
        <w:t>s</w:t>
      </w:r>
      <w:r w:rsidR="00190923" w:rsidRPr="00981405">
        <w:t xml:space="preserve"> </w:t>
      </w:r>
      <w:r w:rsidR="00397032" w:rsidRPr="00981405">
        <w:t>position</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military</w:t>
      </w:r>
      <w:r w:rsidR="00190923" w:rsidRPr="00981405">
        <w:t xml:space="preserve"> </w:t>
      </w:r>
      <w:r w:rsidR="00397032" w:rsidRPr="00981405">
        <w:t>hierarchy;</w:t>
      </w:r>
      <w:r w:rsidR="00190923" w:rsidRPr="00981405">
        <w:t xml:space="preserve"> </w:t>
      </w:r>
      <w:r w:rsidR="00397032" w:rsidRPr="00981405">
        <w:t>his</w:t>
      </w:r>
      <w:r w:rsidR="00190923" w:rsidRPr="00981405">
        <w:t xml:space="preserve"> </w:t>
      </w:r>
      <w:r w:rsidR="00397032" w:rsidRPr="00981405">
        <w:t>assuming</w:t>
      </w:r>
      <w:r w:rsidR="00190923" w:rsidRPr="00981405">
        <w:t xml:space="preserve"> </w:t>
      </w:r>
      <w:r w:rsidR="00397032" w:rsidRPr="00981405">
        <w:t>an</w:t>
      </w:r>
      <w:r w:rsidR="00190923" w:rsidRPr="00981405">
        <w:t xml:space="preserve"> </w:t>
      </w:r>
      <w:r w:rsidR="00397032" w:rsidRPr="00981405">
        <w:t>important</w:t>
      </w:r>
      <w:r w:rsidR="00190923" w:rsidRPr="00981405">
        <w:t xml:space="preserve"> </w:t>
      </w:r>
      <w:r w:rsidR="00397032" w:rsidRPr="00981405">
        <w:t>role</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broader</w:t>
      </w:r>
      <w:r w:rsidR="00190923" w:rsidRPr="00981405">
        <w:t xml:space="preserve"> </w:t>
      </w:r>
      <w:r w:rsidR="00397032" w:rsidRPr="00981405">
        <w:t>criminal</w:t>
      </w:r>
      <w:r w:rsidR="00190923" w:rsidRPr="00981405">
        <w:t xml:space="preserve"> </w:t>
      </w:r>
      <w:r w:rsidR="00397032" w:rsidRPr="00981405">
        <w:t>campaign;</w:t>
      </w:r>
      <w:r w:rsidR="00190923" w:rsidRPr="00981405">
        <w:t xml:space="preserve"> </w:t>
      </w:r>
      <w:r w:rsidR="00397032" w:rsidRPr="00981405">
        <w:t>his</w:t>
      </w:r>
      <w:r w:rsidR="00190923" w:rsidRPr="00981405">
        <w:t xml:space="preserve"> </w:t>
      </w:r>
      <w:r w:rsidR="00397032" w:rsidRPr="00981405">
        <w:t>presence</w:t>
      </w:r>
      <w:r w:rsidR="00190923" w:rsidRPr="00981405">
        <w:t xml:space="preserve"> </w:t>
      </w:r>
      <w:r w:rsidR="00397032" w:rsidRPr="00981405">
        <w:t>at</w:t>
      </w:r>
      <w:r w:rsidR="00190923" w:rsidRPr="00981405">
        <w:t xml:space="preserve"> </w:t>
      </w:r>
      <w:r w:rsidR="00397032" w:rsidRPr="00981405">
        <w:t>the</w:t>
      </w:r>
      <w:r w:rsidR="00190923" w:rsidRPr="00981405">
        <w:t xml:space="preserve"> </w:t>
      </w:r>
      <w:r w:rsidR="00397032" w:rsidRPr="00981405">
        <w:t>scene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crimes;</w:t>
      </w:r>
      <w:r w:rsidR="00190923" w:rsidRPr="00981405">
        <w:t xml:space="preserve"> </w:t>
      </w:r>
      <w:r w:rsidR="00397032" w:rsidRPr="00981405">
        <w:t>his</w:t>
      </w:r>
      <w:r w:rsidR="00190923" w:rsidRPr="00981405">
        <w:t xml:space="preserve"> </w:t>
      </w:r>
      <w:r w:rsidR="00397032" w:rsidRPr="00981405">
        <w:lastRenderedPageBreak/>
        <w:t>references</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superiority</w:t>
      </w:r>
      <w:r w:rsidR="00190923" w:rsidRPr="00981405">
        <w:t xml:space="preserve"> </w:t>
      </w:r>
      <w:r w:rsidR="00397032" w:rsidRPr="00981405">
        <w:t>of</w:t>
      </w:r>
      <w:r w:rsidR="00190923" w:rsidRPr="00981405">
        <w:t xml:space="preserve"> </w:t>
      </w:r>
      <w:r w:rsidR="00397032" w:rsidRPr="00981405">
        <w:t>his</w:t>
      </w:r>
      <w:r w:rsidR="00190923" w:rsidRPr="00981405">
        <w:t xml:space="preserve"> </w:t>
      </w:r>
      <w:r w:rsidR="00397032" w:rsidRPr="00981405">
        <w:t>group</w:t>
      </w:r>
      <w:r w:rsidR="00190923" w:rsidRPr="00981405">
        <w:t xml:space="preserve"> </w:t>
      </w:r>
      <w:r w:rsidR="00397032" w:rsidRPr="00981405">
        <w:t>over</w:t>
      </w:r>
      <w:r w:rsidR="00190923" w:rsidRPr="00981405">
        <w:t xml:space="preserve"> </w:t>
      </w:r>
      <w:r w:rsidR="00397032" w:rsidRPr="00981405">
        <w:t>the</w:t>
      </w:r>
      <w:r w:rsidR="00190923" w:rsidRPr="00981405">
        <w:t xml:space="preserve"> </w:t>
      </w:r>
      <w:r w:rsidR="00397032" w:rsidRPr="00981405">
        <w:t>enemy</w:t>
      </w:r>
      <w:r w:rsidR="00190923" w:rsidRPr="00981405">
        <w:t xml:space="preserve"> </w:t>
      </w:r>
      <w:r w:rsidR="00397032" w:rsidRPr="00981405">
        <w:t>group;</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general</w:t>
      </w:r>
      <w:r w:rsidR="00190923" w:rsidRPr="00981405">
        <w:t xml:space="preserve"> </w:t>
      </w:r>
      <w:r w:rsidR="00397032" w:rsidRPr="00981405">
        <w:t>historical</w:t>
      </w:r>
      <w:r w:rsidR="00190923" w:rsidRPr="00981405">
        <w:t xml:space="preserve"> </w:t>
      </w:r>
      <w:r w:rsidR="00397032" w:rsidRPr="00981405">
        <w:t>and</w:t>
      </w:r>
      <w:r w:rsidR="00190923" w:rsidRPr="00981405">
        <w:t xml:space="preserve"> </w:t>
      </w:r>
      <w:r w:rsidR="00397032" w:rsidRPr="00981405">
        <w:t>political</w:t>
      </w:r>
      <w:r w:rsidR="00190923" w:rsidRPr="00981405">
        <w:t xml:space="preserve"> </w:t>
      </w:r>
      <w:r w:rsidR="00397032" w:rsidRPr="00981405">
        <w:t>environment</w:t>
      </w:r>
      <w:r w:rsidR="00190923" w:rsidRPr="00981405">
        <w:t xml:space="preserve"> </w:t>
      </w:r>
      <w:r w:rsidR="00397032" w:rsidRPr="00981405">
        <w:t>in</w:t>
      </w:r>
      <w:r w:rsidR="00190923" w:rsidRPr="00981405">
        <w:t xml:space="preserve"> </w:t>
      </w:r>
      <w:r w:rsidR="00397032" w:rsidRPr="00981405">
        <w:t>which</w:t>
      </w:r>
      <w:r w:rsidR="00190923" w:rsidRPr="00981405">
        <w:t xml:space="preserve"> </w:t>
      </w:r>
      <w:r w:rsidR="00397032" w:rsidRPr="00981405">
        <w:t>the</w:t>
      </w:r>
      <w:r w:rsidR="00190923" w:rsidRPr="00981405">
        <w:t xml:space="preserve"> </w:t>
      </w:r>
      <w:r w:rsidR="00397032" w:rsidRPr="00981405">
        <w:t>acts</w:t>
      </w:r>
      <w:r w:rsidR="00190923" w:rsidRPr="00981405">
        <w:t xml:space="preserve"> </w:t>
      </w:r>
      <w:r w:rsidR="00397032" w:rsidRPr="00981405">
        <w:t>occurred.</w:t>
      </w:r>
      <w:r w:rsidRPr="00981405">
        <w:t>”</w:t>
      </w:r>
      <w:r w:rsidR="00397032" w:rsidRPr="00981405">
        <w:rPr>
          <w:rStyle w:val="FootnoteReference"/>
        </w:rPr>
        <w:footnoteReference w:id="218"/>
      </w:r>
    </w:p>
    <w:p w:rsidR="00397032" w:rsidRPr="00981405" w:rsidRDefault="00397032" w:rsidP="00D97463">
      <w:pPr>
        <w:pStyle w:val="SingleTxt"/>
      </w:pPr>
      <w:r w:rsidRPr="00981405">
        <w:t>(36)</w:t>
      </w:r>
      <w:r w:rsidRPr="00981405">
        <w:tab/>
        <w:t>Further,</w:t>
      </w:r>
      <w:r w:rsidR="00190923" w:rsidRPr="00981405">
        <w:t xml:space="preserve"> </w:t>
      </w:r>
      <w:r w:rsidRPr="00981405">
        <w:t>the</w:t>
      </w:r>
      <w:r w:rsidR="00190923" w:rsidRPr="00981405">
        <w:t xml:space="preserve"> </w:t>
      </w:r>
      <w:r w:rsidRPr="00981405">
        <w:t>personal</w:t>
      </w:r>
      <w:r w:rsidR="00190923" w:rsidRPr="00981405">
        <w:t xml:space="preserve"> </w:t>
      </w:r>
      <w:r w:rsidRPr="00981405">
        <w:t>motive</w:t>
      </w:r>
      <w:r w:rsidR="00190923" w:rsidRPr="00981405">
        <w:t xml:space="preserve"> </w:t>
      </w:r>
      <w:r w:rsidRPr="00981405">
        <w:t>of</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for</w:t>
      </w:r>
      <w:r w:rsidR="00190923" w:rsidRPr="00981405">
        <w:t xml:space="preserve"> </w:t>
      </w:r>
      <w:r w:rsidRPr="00981405">
        <w:t>taking</w:t>
      </w:r>
      <w:r w:rsidR="00190923" w:rsidRPr="00981405">
        <w:t xml:space="preserve"> </w:t>
      </w:r>
      <w:r w:rsidRPr="00981405">
        <w:t>part</w:t>
      </w:r>
      <w:r w:rsidR="00190923" w:rsidRPr="00981405">
        <w:t xml:space="preserve"> </w:t>
      </w:r>
      <w:r w:rsidRPr="00981405">
        <w:t>in</w:t>
      </w:r>
      <w:r w:rsidR="00190923" w:rsidRPr="00981405">
        <w:t xml:space="preserve"> </w:t>
      </w:r>
      <w:r w:rsidRPr="00981405">
        <w:t>the</w:t>
      </w:r>
      <w:r w:rsidR="00190923" w:rsidRPr="00981405">
        <w:t xml:space="preserve"> </w:t>
      </w:r>
      <w:r w:rsidRPr="00981405">
        <w:t>attack</w:t>
      </w:r>
      <w:r w:rsidR="00190923" w:rsidRPr="00981405">
        <w:t xml:space="preserve"> </w:t>
      </w:r>
      <w:r w:rsidRPr="00981405">
        <w:t>is</w:t>
      </w:r>
      <w:r w:rsidR="00190923" w:rsidRPr="00981405">
        <w:t xml:space="preserve"> </w:t>
      </w:r>
      <w:r w:rsidRPr="00981405">
        <w:t>irrelevant;</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does</w:t>
      </w:r>
      <w:r w:rsidR="00190923" w:rsidRPr="00981405">
        <w:t xml:space="preserve"> </w:t>
      </w:r>
      <w:r w:rsidRPr="00981405">
        <w:t>not</w:t>
      </w:r>
      <w:r w:rsidR="00190923" w:rsidRPr="00981405">
        <w:t xml:space="preserve"> </w:t>
      </w:r>
      <w:r w:rsidRPr="00981405">
        <w:t>need</w:t>
      </w:r>
      <w:r w:rsidR="00190923" w:rsidRPr="00981405">
        <w:t xml:space="preserve"> </w:t>
      </w:r>
      <w:r w:rsidRPr="00981405">
        <w:t>to</w:t>
      </w:r>
      <w:r w:rsidR="00190923" w:rsidRPr="00981405">
        <w:t xml:space="preserve"> </w:t>
      </w:r>
      <w:r w:rsidRPr="00981405">
        <w:t>share</w:t>
      </w:r>
      <w:r w:rsidR="00190923" w:rsidRPr="00981405">
        <w:t xml:space="preserve"> </w:t>
      </w:r>
      <w:r w:rsidRPr="00981405">
        <w:t>the</w:t>
      </w:r>
      <w:r w:rsidR="00190923" w:rsidRPr="00981405">
        <w:t xml:space="preserve"> </w:t>
      </w:r>
      <w:r w:rsidRPr="00981405">
        <w:t>purpose</w:t>
      </w:r>
      <w:r w:rsidR="00190923" w:rsidRPr="00981405">
        <w:t xml:space="preserve"> </w:t>
      </w:r>
      <w:r w:rsidRPr="00981405">
        <w:t>or</w:t>
      </w:r>
      <w:r w:rsidR="00190923" w:rsidRPr="00981405">
        <w:t xml:space="preserve"> </w:t>
      </w:r>
      <w:r w:rsidRPr="00981405">
        <w:t>goal</w:t>
      </w:r>
      <w:r w:rsidR="00190923" w:rsidRPr="00981405">
        <w:t xml:space="preserve"> </w:t>
      </w:r>
      <w:r w:rsidRPr="00981405">
        <w:t>of</w:t>
      </w:r>
      <w:r w:rsidR="00190923" w:rsidRPr="00981405">
        <w:t xml:space="preserve"> </w:t>
      </w:r>
      <w:r w:rsidRPr="00981405">
        <w:t>the</w:t>
      </w:r>
      <w:r w:rsidR="00190923" w:rsidRPr="00981405">
        <w:t xml:space="preserve"> </w:t>
      </w:r>
      <w:r w:rsidRPr="00981405">
        <w:t>broader</w:t>
      </w:r>
      <w:r w:rsidR="00190923" w:rsidRPr="00981405">
        <w:t xml:space="preserve"> </w:t>
      </w:r>
      <w:r w:rsidRPr="00981405">
        <w:t>attack.</w:t>
      </w:r>
      <w:r w:rsidRPr="00981405">
        <w:rPr>
          <w:rStyle w:val="FootnoteReference"/>
        </w:rPr>
        <w:footnoteReference w:id="219"/>
      </w:r>
      <w:r w:rsidR="00190923" w:rsidRPr="00981405">
        <w:t xml:space="preserve"> </w:t>
      </w:r>
      <w:r w:rsidRPr="00981405">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ICTY</w:t>
      </w:r>
      <w:r w:rsidR="00190923" w:rsidRPr="00981405">
        <w:t xml:space="preserve"> </w:t>
      </w:r>
      <w:r w:rsidRPr="00981405">
        <w:t>Appeals</w:t>
      </w:r>
      <w:r w:rsidR="00190923" w:rsidRPr="00981405">
        <w:t xml:space="preserve"> </w:t>
      </w:r>
      <w:r w:rsidRPr="00981405">
        <w:t>Chamber</w:t>
      </w:r>
      <w:r w:rsidR="00190923" w:rsidRPr="00981405">
        <w:t xml:space="preserve"> </w:t>
      </w:r>
      <w:r w:rsidRPr="00981405">
        <w:t>in</w:t>
      </w:r>
      <w:r w:rsidR="00190923" w:rsidRPr="00981405">
        <w:t xml:space="preserve"> </w:t>
      </w:r>
      <w:r w:rsidRPr="00D97463">
        <w:rPr>
          <w:i/>
          <w:iCs/>
        </w:rPr>
        <w:t>Kunarac</w:t>
      </w:r>
      <w:r w:rsidRPr="00981405">
        <w:t>,</w:t>
      </w:r>
      <w:r w:rsidR="00190923" w:rsidRPr="00981405">
        <w:t xml:space="preserve"> </w:t>
      </w:r>
      <w:r w:rsidRPr="00981405">
        <w:t>evidence</w:t>
      </w:r>
      <w:r w:rsidR="00190923" w:rsidRPr="00981405">
        <w:t xml:space="preserve"> </w:t>
      </w:r>
      <w:r w:rsidRPr="00981405">
        <w:t>that</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committed</w:t>
      </w:r>
      <w:r w:rsidR="00190923" w:rsidRPr="00981405">
        <w:t xml:space="preserve"> </w:t>
      </w:r>
      <w:r w:rsidRPr="00981405">
        <w:t>the</w:t>
      </w:r>
      <w:r w:rsidR="00190923" w:rsidRPr="00981405">
        <w:t xml:space="preserve"> </w:t>
      </w:r>
      <w:r w:rsidRPr="00981405">
        <w:t>prohibited</w:t>
      </w:r>
      <w:r w:rsidR="00190923" w:rsidRPr="00981405">
        <w:t xml:space="preserve"> </w:t>
      </w:r>
      <w:r w:rsidRPr="00981405">
        <w:t>acts</w:t>
      </w:r>
      <w:r w:rsidR="00190923" w:rsidRPr="00981405">
        <w:t xml:space="preserve"> </w:t>
      </w:r>
      <w:r w:rsidRPr="00981405">
        <w:t>for</w:t>
      </w:r>
      <w:r w:rsidR="00190923" w:rsidRPr="00981405">
        <w:t xml:space="preserve"> </w:t>
      </w:r>
      <w:r w:rsidRPr="00981405">
        <w:t>personal</w:t>
      </w:r>
      <w:r w:rsidR="00190923" w:rsidRPr="00981405">
        <w:t xml:space="preserve"> </w:t>
      </w:r>
      <w:r w:rsidRPr="00981405">
        <w:t>reasons</w:t>
      </w:r>
      <w:r w:rsidR="00190923" w:rsidRPr="00981405">
        <w:t xml:space="preserve"> </w:t>
      </w:r>
      <w:r w:rsidRPr="00981405">
        <w:t>could</w:t>
      </w:r>
      <w:r w:rsidR="00190923" w:rsidRPr="00981405">
        <w:t xml:space="preserve"> </w:t>
      </w:r>
      <w:r w:rsidRPr="00981405">
        <w:t>at</w:t>
      </w:r>
      <w:r w:rsidR="00190923" w:rsidRPr="00981405">
        <w:t xml:space="preserve"> </w:t>
      </w:r>
      <w:r w:rsidRPr="00981405">
        <w:t>most</w:t>
      </w:r>
      <w:r w:rsidR="00190923" w:rsidRPr="00981405">
        <w:t xml:space="preserve"> </w:t>
      </w:r>
      <w:r w:rsidR="00B92E2C" w:rsidRPr="00981405">
        <w:t>“</w:t>
      </w:r>
      <w:r w:rsidRPr="00981405">
        <w:t>be</w:t>
      </w:r>
      <w:r w:rsidR="00190923" w:rsidRPr="00981405">
        <w:t xml:space="preserve"> </w:t>
      </w:r>
      <w:r w:rsidRPr="00981405">
        <w:t>indicative</w:t>
      </w:r>
      <w:r w:rsidR="00190923" w:rsidRPr="00981405">
        <w:t xml:space="preserve"> </w:t>
      </w:r>
      <w:r w:rsidRPr="00981405">
        <w:t>of</w:t>
      </w:r>
      <w:r w:rsidR="00190923" w:rsidRPr="00981405">
        <w:t xml:space="preserve"> </w:t>
      </w:r>
      <w:r w:rsidRPr="00981405">
        <w:t>a</w:t>
      </w:r>
      <w:r w:rsidR="00190923" w:rsidRPr="00981405">
        <w:t xml:space="preserve"> </w:t>
      </w:r>
      <w:r w:rsidRPr="00981405">
        <w:t>rebuttable</w:t>
      </w:r>
      <w:r w:rsidR="00190923" w:rsidRPr="00981405">
        <w:t xml:space="preserve"> </w:t>
      </w:r>
      <w:r w:rsidRPr="00981405">
        <w:t>assumption</w:t>
      </w:r>
      <w:r w:rsidR="00190923" w:rsidRPr="00981405">
        <w:t xml:space="preserve"> </w:t>
      </w:r>
      <w:r w:rsidRPr="00981405">
        <w:t>that</w:t>
      </w:r>
      <w:r w:rsidR="00190923" w:rsidRPr="00981405">
        <w:t xml:space="preserve"> </w:t>
      </w:r>
      <w:r w:rsidRPr="00981405">
        <w:t>he</w:t>
      </w:r>
      <w:r w:rsidR="00190923" w:rsidRPr="00981405">
        <w:t xml:space="preserve"> </w:t>
      </w:r>
      <w:r w:rsidRPr="00981405">
        <w:t>was</w:t>
      </w:r>
      <w:r w:rsidR="00190923" w:rsidRPr="00981405">
        <w:t xml:space="preserve"> </w:t>
      </w:r>
      <w:r w:rsidRPr="00981405">
        <w:t>not</w:t>
      </w:r>
      <w:r w:rsidR="00190923" w:rsidRPr="00981405">
        <w:t xml:space="preserve"> </w:t>
      </w:r>
      <w:r w:rsidRPr="00981405">
        <w:t>aware</w:t>
      </w:r>
      <w:r w:rsidR="00190923" w:rsidRPr="00981405">
        <w:t xml:space="preserve"> </w:t>
      </w:r>
      <w:r w:rsidRPr="00981405">
        <w:t>that</w:t>
      </w:r>
      <w:r w:rsidR="00190923" w:rsidRPr="00981405">
        <w:t xml:space="preserve"> </w:t>
      </w:r>
      <w:r w:rsidRPr="00981405">
        <w:t>his</w:t>
      </w:r>
      <w:r w:rsidR="00190923" w:rsidRPr="00981405">
        <w:t xml:space="preserve"> </w:t>
      </w:r>
      <w:r w:rsidRPr="00981405">
        <w:t>acts</w:t>
      </w:r>
      <w:r w:rsidR="00190923" w:rsidRPr="00981405">
        <w:t xml:space="preserve"> </w:t>
      </w:r>
      <w:r w:rsidRPr="00981405">
        <w:t>were</w:t>
      </w:r>
      <w:r w:rsidR="00190923" w:rsidRPr="00981405">
        <w:t xml:space="preserve"> </w:t>
      </w:r>
      <w:r w:rsidRPr="00981405">
        <w:t>part</w:t>
      </w:r>
      <w:r w:rsidR="00190923" w:rsidRPr="00981405">
        <w:t xml:space="preserve"> </w:t>
      </w:r>
      <w:r w:rsidRPr="00981405">
        <w:t>of</w:t>
      </w:r>
      <w:r w:rsidR="00190923" w:rsidRPr="00981405">
        <w:t xml:space="preserve"> </w:t>
      </w:r>
      <w:r w:rsidRPr="00981405">
        <w:t>that</w:t>
      </w:r>
      <w:r w:rsidR="00190923" w:rsidRPr="00981405">
        <w:t xml:space="preserve"> </w:t>
      </w:r>
      <w:r w:rsidRPr="00981405">
        <w:t>attack.</w:t>
      </w:r>
      <w:r w:rsidR="00B92E2C" w:rsidRPr="00981405">
        <w:t>”</w:t>
      </w:r>
      <w:r w:rsidRPr="00981405">
        <w:rPr>
          <w:rStyle w:val="FootnoteReference"/>
        </w:rPr>
        <w:footnoteReference w:id="220"/>
      </w:r>
      <w:r w:rsidR="00190923" w:rsidRPr="00981405">
        <w:t xml:space="preserve"> </w:t>
      </w:r>
      <w:r w:rsidRPr="00981405">
        <w:t>It</w:t>
      </w:r>
      <w:r w:rsidR="00190923" w:rsidRPr="00981405">
        <w:t xml:space="preserve"> </w:t>
      </w:r>
      <w:r w:rsidRPr="00981405">
        <w:t>is</w:t>
      </w:r>
      <w:r w:rsidR="00190923" w:rsidRPr="00981405">
        <w:t xml:space="preserve"> </w:t>
      </w:r>
      <w:r w:rsidRPr="00981405">
        <w:t>the</w:t>
      </w:r>
      <w:r w:rsidR="00190923" w:rsidRPr="00981405">
        <w:t xml:space="preserve"> </w:t>
      </w:r>
      <w:r w:rsidRPr="00981405">
        <w:t>perpetrator</w:t>
      </w:r>
      <w:r w:rsidR="00B92E2C" w:rsidRPr="00981405">
        <w:t>’</w:t>
      </w:r>
      <w:r w:rsidRPr="00981405">
        <w:t>s</w:t>
      </w:r>
      <w:r w:rsidR="00190923" w:rsidRPr="00981405">
        <w:t xml:space="preserve"> </w:t>
      </w:r>
      <w:r w:rsidRPr="00981405">
        <w:t>knowledge</w:t>
      </w:r>
      <w:r w:rsidR="00190923" w:rsidRPr="00981405">
        <w:t xml:space="preserve"> </w:t>
      </w:r>
      <w:r w:rsidRPr="00981405">
        <w:t>or</w:t>
      </w:r>
      <w:r w:rsidR="00190923" w:rsidRPr="00981405">
        <w:t xml:space="preserve"> </w:t>
      </w:r>
      <w:r w:rsidRPr="00981405">
        <w:t>intent</w:t>
      </w:r>
      <w:r w:rsidR="00190923" w:rsidRPr="00981405">
        <w:t xml:space="preserve"> </w:t>
      </w:r>
      <w:r w:rsidRPr="00981405">
        <w:t>that</w:t>
      </w:r>
      <w:r w:rsidR="00190923" w:rsidRPr="00981405">
        <w:t xml:space="preserve"> </w:t>
      </w:r>
      <w:r w:rsidRPr="00981405">
        <w:t>his</w:t>
      </w:r>
      <w:r w:rsidR="00190923" w:rsidRPr="00981405">
        <w:t xml:space="preserve"> </w:t>
      </w:r>
      <w:r w:rsidRPr="00981405">
        <w:t>or</w:t>
      </w:r>
      <w:r w:rsidR="00190923" w:rsidRPr="00981405">
        <w:t xml:space="preserve"> </w:t>
      </w:r>
      <w:r w:rsidRPr="00981405">
        <w:t>her</w:t>
      </w:r>
      <w:r w:rsidR="00190923" w:rsidRPr="00981405">
        <w:t xml:space="preserve"> </w:t>
      </w:r>
      <w:r w:rsidRPr="00981405">
        <w:t>act</w:t>
      </w:r>
      <w:r w:rsidR="00190923" w:rsidRPr="00981405">
        <w:t xml:space="preserve"> </w:t>
      </w:r>
      <w:r w:rsidRPr="00981405">
        <w:t>is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that</w:t>
      </w:r>
      <w:r w:rsidR="00190923" w:rsidRPr="00981405">
        <w:t xml:space="preserve"> </w:t>
      </w:r>
      <w:r w:rsidRPr="00981405">
        <w:t>is</w:t>
      </w:r>
      <w:r w:rsidR="00190923" w:rsidRPr="00981405">
        <w:t xml:space="preserve"> </w:t>
      </w:r>
      <w:r w:rsidRPr="00981405">
        <w:t>relevant</w:t>
      </w:r>
      <w:r w:rsidR="00190923" w:rsidRPr="00981405">
        <w:t xml:space="preserve"> </w:t>
      </w:r>
      <w:r w:rsidRPr="00981405">
        <w:t>to</w:t>
      </w:r>
      <w:r w:rsidR="00190923" w:rsidRPr="00981405">
        <w:t xml:space="preserve"> </w:t>
      </w:r>
      <w:r w:rsidRPr="00981405">
        <w:t>satisfying</w:t>
      </w:r>
      <w:r w:rsidR="00190923" w:rsidRPr="00981405">
        <w:t xml:space="preserve"> </w:t>
      </w:r>
      <w:r w:rsidRPr="00981405">
        <w:t>this</w:t>
      </w:r>
      <w:r w:rsidR="00190923" w:rsidRPr="00981405">
        <w:t xml:space="preserve"> </w:t>
      </w:r>
      <w:r w:rsidRPr="00981405">
        <w:t>requirement.</w:t>
      </w:r>
      <w:r w:rsidR="00190923" w:rsidRPr="00981405">
        <w:t xml:space="preserve"> </w:t>
      </w:r>
      <w:r w:rsidRPr="00981405">
        <w:t>Additionally,</w:t>
      </w:r>
      <w:r w:rsidR="00190923" w:rsidRPr="00981405">
        <w:t xml:space="preserve"> </w:t>
      </w:r>
      <w:r w:rsidRPr="00981405">
        <w:t>this</w:t>
      </w:r>
      <w:r w:rsidR="00190923" w:rsidRPr="00981405">
        <w:t xml:space="preserve"> </w:t>
      </w:r>
      <w:r w:rsidRPr="00981405">
        <w:t>element</w:t>
      </w:r>
      <w:r w:rsidR="00190923" w:rsidRPr="00981405">
        <w:t xml:space="preserve"> </w:t>
      </w:r>
      <w:r w:rsidRPr="00981405">
        <w:t>will</w:t>
      </w:r>
      <w:r w:rsidR="00190923" w:rsidRPr="00981405">
        <w:t xml:space="preserve"> </w:t>
      </w:r>
      <w:r w:rsidRPr="00981405">
        <w:t>be</w:t>
      </w:r>
      <w:r w:rsidR="00190923" w:rsidRPr="00981405">
        <w:t xml:space="preserve"> </w:t>
      </w:r>
      <w:r w:rsidRPr="00981405">
        <w:t>satisfied</w:t>
      </w:r>
      <w:r w:rsidR="00190923" w:rsidRPr="00981405">
        <w:t xml:space="preserve"> </w:t>
      </w:r>
      <w:r w:rsidRPr="00981405">
        <w:t>where</w:t>
      </w:r>
      <w:r w:rsidR="00190923" w:rsidRPr="00981405">
        <w:t xml:space="preserve"> </w:t>
      </w:r>
      <w:r w:rsidRPr="00981405">
        <w:t>it</w:t>
      </w:r>
      <w:r w:rsidR="00190923" w:rsidRPr="00981405">
        <w:t xml:space="preserve"> </w:t>
      </w:r>
      <w:r w:rsidRPr="00981405">
        <w:t>can</w:t>
      </w:r>
      <w:r w:rsidR="00190923" w:rsidRPr="00981405">
        <w:t xml:space="preserve"> </w:t>
      </w:r>
      <w:r w:rsidRPr="00981405">
        <w:t>be</w:t>
      </w:r>
      <w:r w:rsidR="00190923" w:rsidRPr="00981405">
        <w:t xml:space="preserve"> </w:t>
      </w:r>
      <w:r w:rsidRPr="00981405">
        <w:t>proven</w:t>
      </w:r>
      <w:r w:rsidR="00190923" w:rsidRPr="00981405">
        <w:t xml:space="preserve"> </w:t>
      </w:r>
      <w:r w:rsidRPr="00981405">
        <w:t>that</w:t>
      </w:r>
      <w:r w:rsidR="00190923" w:rsidRPr="00981405">
        <w:t xml:space="preserve"> </w:t>
      </w:r>
      <w:r w:rsidRPr="00981405">
        <w:t>the</w:t>
      </w:r>
      <w:r w:rsidR="00190923" w:rsidRPr="00981405">
        <w:t xml:space="preserve"> </w:t>
      </w:r>
      <w:r w:rsidRPr="00981405">
        <w:t>underlying</w:t>
      </w:r>
      <w:r w:rsidR="00190923" w:rsidRPr="00981405">
        <w:t xml:space="preserve"> </w:t>
      </w:r>
      <w:r w:rsidRPr="00981405">
        <w:t>offence</w:t>
      </w:r>
      <w:r w:rsidR="00190923" w:rsidRPr="00981405">
        <w:t xml:space="preserve"> </w:t>
      </w:r>
      <w:r w:rsidRPr="00981405">
        <w:t>was</w:t>
      </w:r>
      <w:r w:rsidR="00190923" w:rsidRPr="00981405">
        <w:t xml:space="preserve"> </w:t>
      </w:r>
      <w:r w:rsidRPr="00981405">
        <w:t>committed</w:t>
      </w:r>
      <w:r w:rsidR="00190923" w:rsidRPr="00981405">
        <w:t xml:space="preserve"> </w:t>
      </w:r>
      <w:r w:rsidRPr="00981405">
        <w:t>by</w:t>
      </w:r>
      <w:r w:rsidR="00190923" w:rsidRPr="00981405">
        <w:t xml:space="preserve"> </w:t>
      </w:r>
      <w:r w:rsidRPr="00981405">
        <w:t>directly</w:t>
      </w:r>
      <w:r w:rsidR="00190923" w:rsidRPr="00981405">
        <w:t xml:space="preserve"> </w:t>
      </w:r>
      <w:r w:rsidRPr="00981405">
        <w:t>taking</w:t>
      </w:r>
      <w:r w:rsidR="00190923" w:rsidRPr="00981405">
        <w:t xml:space="preserve"> </w:t>
      </w:r>
      <w:r w:rsidRPr="00981405">
        <w:t>advantage</w:t>
      </w:r>
      <w:r w:rsidR="00190923" w:rsidRPr="00981405">
        <w:t xml:space="preserve"> </w:t>
      </w:r>
      <w:r w:rsidRPr="00981405">
        <w:t>of</w:t>
      </w:r>
      <w:r w:rsidR="00190923" w:rsidRPr="00981405">
        <w:t xml:space="preserve"> </w:t>
      </w:r>
      <w:r w:rsidRPr="00981405">
        <w:t>the</w:t>
      </w:r>
      <w:r w:rsidR="00190923" w:rsidRPr="00981405">
        <w:t xml:space="preserve"> </w:t>
      </w:r>
      <w:r w:rsidRPr="00981405">
        <w:t>broader</w:t>
      </w:r>
      <w:r w:rsidR="00190923" w:rsidRPr="00981405">
        <w:t xml:space="preserve"> </w:t>
      </w:r>
      <w:r w:rsidRPr="00981405">
        <w:t>attack,</w:t>
      </w:r>
      <w:r w:rsidR="00190923" w:rsidRPr="00981405">
        <w:t xml:space="preserve"> </w:t>
      </w:r>
      <w:r w:rsidRPr="00981405">
        <w:t>or</w:t>
      </w:r>
      <w:r w:rsidR="00190923" w:rsidRPr="00981405">
        <w:t xml:space="preserve"> </w:t>
      </w:r>
      <w:r w:rsidRPr="00981405">
        <w:t>where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the</w:t>
      </w:r>
      <w:r w:rsidR="00190923" w:rsidRPr="00981405">
        <w:t xml:space="preserve"> </w:t>
      </w:r>
      <w:r w:rsidRPr="00981405">
        <w:t>underlying</w:t>
      </w:r>
      <w:r w:rsidR="00190923" w:rsidRPr="00981405">
        <w:t xml:space="preserve"> </w:t>
      </w:r>
      <w:r w:rsidRPr="00981405">
        <w:t>offence</w:t>
      </w:r>
      <w:r w:rsidR="00190923" w:rsidRPr="00981405">
        <w:t xml:space="preserve"> </w:t>
      </w:r>
      <w:r w:rsidRPr="00981405">
        <w:t>had</w:t>
      </w:r>
      <w:r w:rsidR="00190923" w:rsidRPr="00981405">
        <w:t xml:space="preserve"> </w:t>
      </w:r>
      <w:r w:rsidRPr="00981405">
        <w:t>the</w:t>
      </w:r>
      <w:r w:rsidR="00190923" w:rsidRPr="00981405">
        <w:t xml:space="preserve"> </w:t>
      </w:r>
      <w:r w:rsidRPr="00981405">
        <w:t>effect</w:t>
      </w:r>
      <w:r w:rsidR="00190923" w:rsidRPr="00981405">
        <w:t xml:space="preserve"> </w:t>
      </w:r>
      <w:r w:rsidRPr="00981405">
        <w:t>of</w:t>
      </w:r>
      <w:r w:rsidR="00190923" w:rsidRPr="00981405">
        <w:t xml:space="preserve"> </w:t>
      </w:r>
      <w:r w:rsidRPr="00981405">
        <w:t>perpetuating</w:t>
      </w:r>
      <w:r w:rsidR="00190923" w:rsidRPr="00981405">
        <w:t xml:space="preserve"> </w:t>
      </w:r>
      <w:r w:rsidRPr="00981405">
        <w:t>the</w:t>
      </w:r>
      <w:r w:rsidR="00190923" w:rsidRPr="00981405">
        <w:t xml:space="preserve"> </w:t>
      </w:r>
      <w:r w:rsidRPr="00981405">
        <w:t>broader</w:t>
      </w:r>
      <w:r w:rsidR="00190923" w:rsidRPr="00981405">
        <w:t xml:space="preserve"> </w:t>
      </w:r>
      <w:r w:rsidRPr="00981405">
        <w:t>attack.</w:t>
      </w:r>
      <w:r w:rsidRPr="00981405">
        <w:rPr>
          <w:rStyle w:val="FootnoteReference"/>
        </w:rPr>
        <w:footnoteReference w:id="221"/>
      </w:r>
      <w:r w:rsidR="00190923" w:rsidRPr="00981405">
        <w:t xml:space="preserve"> </w:t>
      </w:r>
      <w:r w:rsidRPr="00981405">
        <w:t>For</w:t>
      </w:r>
      <w:r w:rsidR="00190923" w:rsidRPr="00981405">
        <w:t xml:space="preserve"> </w:t>
      </w:r>
      <w:r w:rsidRPr="00981405">
        <w:t>example,</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Kunarac</w:t>
      </w:r>
      <w:r w:rsidR="00190923" w:rsidRPr="00981405">
        <w:t xml:space="preserve"> </w:t>
      </w:r>
      <w:r w:rsidRPr="00981405">
        <w:t>case,</w:t>
      </w:r>
      <w:r w:rsidR="00190923" w:rsidRPr="00981405">
        <w:t xml:space="preserve"> </w:t>
      </w:r>
      <w:r w:rsidRPr="00981405">
        <w:t>the</w:t>
      </w:r>
      <w:r w:rsidR="00190923" w:rsidRPr="00981405">
        <w:t xml:space="preserve"> </w:t>
      </w:r>
      <w:r w:rsidRPr="00981405">
        <w:t>perpetrators</w:t>
      </w:r>
      <w:r w:rsidR="00190923" w:rsidRPr="00981405">
        <w:t xml:space="preserve"> </w:t>
      </w:r>
      <w:r w:rsidRPr="00981405">
        <w:t>were</w:t>
      </w:r>
      <w:r w:rsidR="00190923" w:rsidRPr="00981405">
        <w:t xml:space="preserve"> </w:t>
      </w:r>
      <w:r w:rsidRPr="00981405">
        <w:t>accused</w:t>
      </w:r>
      <w:r w:rsidR="00190923" w:rsidRPr="00981405">
        <w:t xml:space="preserve"> </w:t>
      </w:r>
      <w:r w:rsidRPr="00981405">
        <w:t>of</w:t>
      </w:r>
      <w:r w:rsidR="00190923" w:rsidRPr="00981405">
        <w:t xml:space="preserve"> </w:t>
      </w:r>
      <w:r w:rsidRPr="00981405">
        <w:rPr>
          <w:rFonts w:eastAsia="Batang"/>
        </w:rPr>
        <w:t>various</w:t>
      </w:r>
      <w:r w:rsidR="00190923" w:rsidRPr="00981405">
        <w:rPr>
          <w:rFonts w:eastAsia="Batang"/>
        </w:rPr>
        <w:t xml:space="preserve"> </w:t>
      </w:r>
      <w:r w:rsidRPr="00981405">
        <w:rPr>
          <w:rFonts w:eastAsia="Batang"/>
        </w:rPr>
        <w:t>forms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sexual</w:t>
      </w:r>
      <w:r w:rsidR="00190923" w:rsidRPr="00981405">
        <w:rPr>
          <w:rFonts w:eastAsia="Batang"/>
        </w:rPr>
        <w:t xml:space="preserve"> </w:t>
      </w:r>
      <w:r w:rsidRPr="00981405">
        <w:rPr>
          <w:rFonts w:eastAsia="Batang"/>
        </w:rPr>
        <w:t>violence,</w:t>
      </w:r>
      <w:r w:rsidR="00190923" w:rsidRPr="00981405">
        <w:rPr>
          <w:rFonts w:eastAsia="Batang"/>
        </w:rPr>
        <w:t xml:space="preserve"> </w:t>
      </w:r>
      <w:r w:rsidRPr="00981405">
        <w:rPr>
          <w:rFonts w:eastAsia="Batang"/>
        </w:rPr>
        <w:t>acts</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torture,</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enslavement</w:t>
      </w:r>
      <w:r w:rsidR="00190923" w:rsidRPr="00981405">
        <w:rPr>
          <w:rFonts w:eastAsia="Batang"/>
        </w:rPr>
        <w:t xml:space="preserve"> </w:t>
      </w:r>
      <w:r w:rsidRPr="00981405">
        <w:rPr>
          <w:rFonts w:eastAsia="Batang"/>
        </w:rPr>
        <w:t>in</w:t>
      </w:r>
      <w:r w:rsidR="00190923" w:rsidRPr="00981405">
        <w:rPr>
          <w:rFonts w:eastAsia="Batang"/>
        </w:rPr>
        <w:t xml:space="preserve"> </w:t>
      </w:r>
      <w:r w:rsidRPr="00981405">
        <w:rPr>
          <w:rFonts w:eastAsia="Batang"/>
        </w:rPr>
        <w:t>regards</w:t>
      </w:r>
      <w:r w:rsidR="00190923" w:rsidRPr="00981405">
        <w:rPr>
          <w:rFonts w:eastAsia="Batang"/>
        </w:rPr>
        <w:t xml:space="preserve"> </w:t>
      </w:r>
      <w:r w:rsidRPr="00981405">
        <w:rPr>
          <w:rFonts w:eastAsia="Batang"/>
        </w:rPr>
        <w:t>to</w:t>
      </w:r>
      <w:r w:rsidR="00190923" w:rsidRPr="00981405">
        <w:rPr>
          <w:rFonts w:eastAsia="Batang"/>
        </w:rPr>
        <w:t xml:space="preserve"> </w:t>
      </w:r>
      <w:r w:rsidRPr="00981405">
        <w:rPr>
          <w:rFonts w:eastAsia="Batang"/>
        </w:rPr>
        <w:t>Muslim</w:t>
      </w:r>
      <w:r w:rsidR="00190923" w:rsidRPr="00981405">
        <w:rPr>
          <w:rFonts w:eastAsia="Batang"/>
        </w:rPr>
        <w:t xml:space="preserve"> </w:t>
      </w:r>
      <w:r w:rsidRPr="00981405">
        <w:rPr>
          <w:rFonts w:eastAsia="Batang"/>
        </w:rPr>
        <w:t>women</w:t>
      </w:r>
      <w:r w:rsidR="00190923" w:rsidRPr="00981405">
        <w:rPr>
          <w:rFonts w:eastAsia="Batang"/>
        </w:rPr>
        <w:t xml:space="preserve"> </w:t>
      </w:r>
      <w:r w:rsidRPr="00981405">
        <w:rPr>
          <w:rFonts w:eastAsia="Batang"/>
        </w:rPr>
        <w:t>and</w:t>
      </w:r>
      <w:r w:rsidR="00190923" w:rsidRPr="00981405">
        <w:rPr>
          <w:rFonts w:eastAsia="Batang"/>
        </w:rPr>
        <w:t xml:space="preserve"> </w:t>
      </w:r>
      <w:r w:rsidRPr="00981405">
        <w:rPr>
          <w:rFonts w:eastAsia="Batang"/>
        </w:rPr>
        <w:t>girls.</w:t>
      </w:r>
      <w:r w:rsidR="00190923" w:rsidRPr="00981405">
        <w:rPr>
          <w:rFonts w:eastAsia="Batang"/>
        </w:rPr>
        <w:t xml:space="preserve"> </w:t>
      </w:r>
      <w:r w:rsidRPr="00981405">
        <w:rPr>
          <w:rFonts w:eastAsia="Batang"/>
        </w:rPr>
        <w:t>An</w:t>
      </w:r>
      <w:r w:rsidR="00190923" w:rsidRPr="00981405">
        <w:rPr>
          <w:rFonts w:eastAsia="Batang"/>
        </w:rPr>
        <w:t xml:space="preserve"> </w:t>
      </w:r>
      <w:r w:rsidRPr="00981405">
        <w:rPr>
          <w:rFonts w:eastAsia="Batang"/>
        </w:rPr>
        <w:t>ICTY</w:t>
      </w:r>
      <w:r w:rsidR="00190923" w:rsidRPr="00981405">
        <w:rPr>
          <w:rFonts w:eastAsia="Batang"/>
        </w:rPr>
        <w:t xml:space="preserve"> </w:t>
      </w:r>
      <w:r w:rsidRPr="00981405">
        <w:rPr>
          <w:rFonts w:eastAsia="Batang"/>
        </w:rPr>
        <w:t>Trial</w:t>
      </w:r>
      <w:r w:rsidR="00190923" w:rsidRPr="00981405">
        <w:rPr>
          <w:rFonts w:eastAsia="Batang"/>
        </w:rPr>
        <w:t xml:space="preserve"> </w:t>
      </w:r>
      <w:r w:rsidRPr="00981405">
        <w:rPr>
          <w:rFonts w:eastAsia="Batang"/>
        </w:rPr>
        <w:t>Chamber</w:t>
      </w:r>
      <w:r w:rsidR="00190923" w:rsidRPr="00981405">
        <w:rPr>
          <w:rFonts w:eastAsia="Batang"/>
        </w:rPr>
        <w:t xml:space="preserve"> </w:t>
      </w:r>
      <w:r w:rsidRPr="00981405">
        <w:rPr>
          <w:rFonts w:eastAsia="Batang"/>
        </w:rPr>
        <w:t>found</w:t>
      </w:r>
      <w:r w:rsidR="00190923" w:rsidRPr="00981405">
        <w:rPr>
          <w:rFonts w:eastAsia="Batang"/>
        </w:rPr>
        <w:t xml:space="preserve"> </w:t>
      </w:r>
      <w:r w:rsidRPr="00981405">
        <w:rPr>
          <w:rFonts w:eastAsia="Batang"/>
        </w:rPr>
        <w:t>that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accused</w:t>
      </w:r>
      <w:r w:rsidR="00190923" w:rsidRPr="00981405">
        <w:rPr>
          <w:rFonts w:eastAsia="Batang"/>
        </w:rPr>
        <w:t xml:space="preserve"> </w:t>
      </w:r>
      <w:r w:rsidRPr="00981405">
        <w:rPr>
          <w:rFonts w:eastAsia="Batang"/>
        </w:rPr>
        <w:t>had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requisite</w:t>
      </w:r>
      <w:r w:rsidR="00190923" w:rsidRPr="00981405">
        <w:rPr>
          <w:rFonts w:eastAsia="Batang"/>
        </w:rPr>
        <w:t xml:space="preserve"> </w:t>
      </w:r>
      <w:r w:rsidRPr="00981405">
        <w:rPr>
          <w:rFonts w:eastAsia="Batang"/>
        </w:rPr>
        <w:t>knowledge</w:t>
      </w:r>
      <w:r w:rsidR="00190923" w:rsidRPr="00981405">
        <w:rPr>
          <w:rFonts w:eastAsia="Batang"/>
        </w:rPr>
        <w:t xml:space="preserve"> </w:t>
      </w:r>
      <w:r w:rsidRPr="00981405">
        <w:rPr>
          <w:rFonts w:eastAsia="Batang"/>
        </w:rPr>
        <w:t>because</w:t>
      </w:r>
      <w:r w:rsidR="00190923" w:rsidRPr="00981405">
        <w:rPr>
          <w:rFonts w:eastAsia="Batang"/>
        </w:rPr>
        <w:t xml:space="preserve"> </w:t>
      </w:r>
      <w:r w:rsidRPr="00981405">
        <w:rPr>
          <w:rFonts w:eastAsia="Batang"/>
        </w:rPr>
        <w:t>they</w:t>
      </w:r>
      <w:r w:rsidR="00190923" w:rsidRPr="00981405">
        <w:rPr>
          <w:rFonts w:eastAsia="Batang"/>
        </w:rPr>
        <w:t xml:space="preserve"> </w:t>
      </w:r>
      <w:r w:rsidRPr="00981405">
        <w:rPr>
          <w:rFonts w:eastAsia="Batang"/>
        </w:rPr>
        <w:t>not</w:t>
      </w:r>
      <w:r w:rsidR="00190923" w:rsidRPr="00981405">
        <w:rPr>
          <w:rFonts w:eastAsia="Batang"/>
        </w:rPr>
        <w:t xml:space="preserve"> </w:t>
      </w:r>
      <w:r w:rsidRPr="00981405">
        <w:rPr>
          <w:rFonts w:eastAsia="Batang"/>
        </w:rPr>
        <w:t>only</w:t>
      </w:r>
      <w:r w:rsidR="00190923" w:rsidRPr="00981405">
        <w:rPr>
          <w:rFonts w:eastAsia="Batang"/>
        </w:rPr>
        <w:t xml:space="preserve"> </w:t>
      </w:r>
      <w:r w:rsidRPr="00981405">
        <w:rPr>
          <w:rFonts w:eastAsia="Batang"/>
        </w:rPr>
        <w:t>knew</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attack</w:t>
      </w:r>
      <w:r w:rsidR="00190923" w:rsidRPr="00981405">
        <w:rPr>
          <w:rFonts w:eastAsia="Batang"/>
        </w:rPr>
        <w:t xml:space="preserve"> </w:t>
      </w:r>
      <w:r w:rsidRPr="00981405">
        <w:rPr>
          <w:rFonts w:eastAsia="Batang"/>
        </w:rPr>
        <w:t>against</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Muslim</w:t>
      </w:r>
      <w:r w:rsidR="00190923" w:rsidRPr="00981405">
        <w:rPr>
          <w:rFonts w:eastAsia="Batang"/>
        </w:rPr>
        <w:t xml:space="preserve"> </w:t>
      </w:r>
      <w:r w:rsidRPr="00981405">
        <w:rPr>
          <w:rFonts w:eastAsia="Batang"/>
        </w:rPr>
        <w:t>civilian</w:t>
      </w:r>
      <w:r w:rsidR="00190923" w:rsidRPr="00981405">
        <w:rPr>
          <w:rFonts w:eastAsia="Batang"/>
        </w:rPr>
        <w:t xml:space="preserve"> </w:t>
      </w:r>
      <w:r w:rsidRPr="00981405">
        <w:rPr>
          <w:rFonts w:eastAsia="Batang"/>
        </w:rPr>
        <w:t>population,</w:t>
      </w:r>
      <w:r w:rsidR="00190923" w:rsidRPr="00981405">
        <w:rPr>
          <w:rFonts w:eastAsia="Batang"/>
        </w:rPr>
        <w:t xml:space="preserve"> </w:t>
      </w:r>
      <w:r w:rsidRPr="00981405">
        <w:rPr>
          <w:rFonts w:eastAsia="Batang"/>
        </w:rPr>
        <w:t>but</w:t>
      </w:r>
      <w:r w:rsidR="00190923" w:rsidRPr="00981405">
        <w:rPr>
          <w:rFonts w:eastAsia="Batang"/>
        </w:rPr>
        <w:t xml:space="preserve"> </w:t>
      </w:r>
      <w:r w:rsidRPr="00981405">
        <w:rPr>
          <w:rFonts w:eastAsia="Batang"/>
        </w:rPr>
        <w:t>also</w:t>
      </w:r>
      <w:r w:rsidR="00190923" w:rsidRPr="00981405">
        <w:rPr>
          <w:rFonts w:eastAsia="Batang"/>
        </w:rPr>
        <w:t xml:space="preserve"> </w:t>
      </w:r>
      <w:r w:rsidRPr="00981405">
        <w:rPr>
          <w:rFonts w:eastAsia="Batang"/>
        </w:rPr>
        <w:t>perpetuated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attack</w:t>
      </w:r>
      <w:r w:rsidR="00190923" w:rsidRPr="00981405">
        <w:rPr>
          <w:rFonts w:eastAsia="Batang"/>
        </w:rPr>
        <w:t xml:space="preserve"> </w:t>
      </w:r>
      <w:r w:rsidR="00B92E2C" w:rsidRPr="00981405">
        <w:rPr>
          <w:rFonts w:eastAsia="Batang"/>
        </w:rPr>
        <w:t>“</w:t>
      </w:r>
      <w:r w:rsidRPr="00981405">
        <w:rPr>
          <w:rFonts w:eastAsia="Batang"/>
        </w:rPr>
        <w:t>by</w:t>
      </w:r>
      <w:r w:rsidR="00190923" w:rsidRPr="00981405">
        <w:rPr>
          <w:rFonts w:eastAsia="Batang"/>
        </w:rPr>
        <w:t xml:space="preserve"> </w:t>
      </w:r>
      <w:r w:rsidRPr="00981405">
        <w:rPr>
          <w:rFonts w:eastAsia="Batang"/>
        </w:rPr>
        <w:t>directly</w:t>
      </w:r>
      <w:r w:rsidR="00190923" w:rsidRPr="00981405">
        <w:rPr>
          <w:rFonts w:eastAsia="Batang"/>
        </w:rPr>
        <w:t xml:space="preserve"> </w:t>
      </w:r>
      <w:r w:rsidRPr="00981405">
        <w:rPr>
          <w:rFonts w:eastAsia="Batang"/>
        </w:rPr>
        <w:t>taking</w:t>
      </w:r>
      <w:r w:rsidR="00190923" w:rsidRPr="00981405">
        <w:rPr>
          <w:rFonts w:eastAsia="Batang"/>
        </w:rPr>
        <w:t xml:space="preserve"> </w:t>
      </w:r>
      <w:r w:rsidRPr="00981405">
        <w:rPr>
          <w:rFonts w:eastAsia="Batang"/>
        </w:rPr>
        <w:t>advantage</w:t>
      </w:r>
      <w:r w:rsidR="00190923" w:rsidRPr="00981405">
        <w:rPr>
          <w:rFonts w:eastAsia="Batang"/>
        </w:rPr>
        <w:t xml:space="preserve"> </w:t>
      </w:r>
      <w:r w:rsidRPr="00981405">
        <w:rPr>
          <w:rFonts w:eastAsia="Batang"/>
        </w:rPr>
        <w:t>of</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situation</w:t>
      </w:r>
      <w:r w:rsidR="00190923" w:rsidRPr="00981405">
        <w:rPr>
          <w:rFonts w:eastAsia="Batang"/>
        </w:rPr>
        <w:t xml:space="preserve"> </w:t>
      </w:r>
      <w:r w:rsidRPr="00981405">
        <w:rPr>
          <w:rFonts w:eastAsia="Batang"/>
        </w:rPr>
        <w:t>created</w:t>
      </w:r>
      <w:r w:rsidR="00B92E2C" w:rsidRPr="00981405">
        <w:rPr>
          <w:rFonts w:eastAsia="Batang"/>
        </w:rPr>
        <w:t>”</w:t>
      </w:r>
      <w:r w:rsidR="00190923" w:rsidRPr="00981405">
        <w:rPr>
          <w:rFonts w:eastAsia="Batang"/>
        </w:rPr>
        <w:t xml:space="preserve"> </w:t>
      </w:r>
      <w:r w:rsidRPr="00981405">
        <w:rPr>
          <w:rFonts w:eastAsia="Batang"/>
        </w:rPr>
        <w:t>and</w:t>
      </w:r>
      <w:r w:rsidR="00190923" w:rsidRPr="00981405">
        <w:rPr>
          <w:rFonts w:eastAsia="Batang"/>
        </w:rPr>
        <w:t xml:space="preserve"> </w:t>
      </w:r>
      <w:r w:rsidR="00B92E2C" w:rsidRPr="00981405">
        <w:rPr>
          <w:rFonts w:eastAsia="Batang"/>
        </w:rPr>
        <w:t>“</w:t>
      </w:r>
      <w:r w:rsidRPr="00981405">
        <w:rPr>
          <w:rFonts w:eastAsia="Batang"/>
        </w:rPr>
        <w:t>fully</w:t>
      </w:r>
      <w:r w:rsidR="00190923" w:rsidRPr="00981405">
        <w:rPr>
          <w:rFonts w:eastAsia="Batang"/>
        </w:rPr>
        <w:t xml:space="preserve"> </w:t>
      </w:r>
      <w:r w:rsidRPr="00981405">
        <w:rPr>
          <w:rFonts w:eastAsia="Batang"/>
        </w:rPr>
        <w:t>embraced</w:t>
      </w:r>
      <w:r w:rsidR="00190923" w:rsidRPr="00981405">
        <w:rPr>
          <w:rFonts w:eastAsia="Batang"/>
        </w:rPr>
        <w:t xml:space="preserve"> </w:t>
      </w:r>
      <w:r w:rsidRPr="00981405">
        <w:rPr>
          <w:rFonts w:eastAsia="Batang"/>
        </w:rPr>
        <w:t>the</w:t>
      </w:r>
      <w:r w:rsidR="00190923" w:rsidRPr="00981405">
        <w:rPr>
          <w:rFonts w:eastAsia="Batang"/>
        </w:rPr>
        <w:t xml:space="preserve"> </w:t>
      </w:r>
      <w:r w:rsidRPr="00981405">
        <w:rPr>
          <w:rFonts w:eastAsia="Batang"/>
        </w:rPr>
        <w:t>ethnicity-based</w:t>
      </w:r>
      <w:r w:rsidR="00190923" w:rsidRPr="00981405">
        <w:rPr>
          <w:rFonts w:eastAsia="Batang"/>
        </w:rPr>
        <w:t xml:space="preserve"> </w:t>
      </w:r>
      <w:r w:rsidRPr="00981405">
        <w:rPr>
          <w:rFonts w:eastAsia="Batang"/>
        </w:rPr>
        <w:t>aggression.</w:t>
      </w:r>
      <w:r w:rsidR="00B92E2C" w:rsidRPr="00981405">
        <w:rPr>
          <w:rFonts w:eastAsia="Batang"/>
        </w:rPr>
        <w:t>”</w:t>
      </w:r>
      <w:r w:rsidRPr="00981405">
        <w:rPr>
          <w:rStyle w:val="FootnoteReference"/>
        </w:rPr>
        <w:footnoteReference w:id="222"/>
      </w:r>
      <w:r w:rsidR="00190923" w:rsidRPr="00981405">
        <w:t xml:space="preserve"> </w:t>
      </w:r>
      <w:r w:rsidRPr="00981405">
        <w:t>Likewise,</w:t>
      </w:r>
      <w:r w:rsidR="00190923" w:rsidRPr="00981405">
        <w:t xml:space="preserve"> </w:t>
      </w:r>
      <w:r w:rsidRPr="00981405">
        <w:t>an</w:t>
      </w:r>
      <w:r w:rsidR="00190923" w:rsidRPr="00981405">
        <w:t xml:space="preserve"> </w:t>
      </w:r>
      <w:r w:rsidRPr="00981405">
        <w:t>ICC</w:t>
      </w:r>
      <w:r w:rsidR="00190923" w:rsidRPr="00981405">
        <w:t xml:space="preserve"> </w:t>
      </w:r>
      <w:r w:rsidRPr="00981405">
        <w:t>Trial</w:t>
      </w:r>
      <w:r w:rsidR="00190923" w:rsidRPr="00981405">
        <w:t xml:space="preserve"> </w:t>
      </w:r>
      <w:r w:rsidRPr="00981405">
        <w:t>Chamber</w:t>
      </w:r>
      <w:r w:rsidR="00190923" w:rsidRPr="00981405">
        <w:t xml:space="preserve"> </w:t>
      </w:r>
      <w:r w:rsidRPr="00981405">
        <w:t>has</w:t>
      </w:r>
      <w:r w:rsidR="00190923" w:rsidRPr="00981405">
        <w:t xml:space="preserve"> </w:t>
      </w:r>
      <w:r w:rsidRPr="00981405">
        <w:t>held</w:t>
      </w:r>
      <w:r w:rsidR="00190923" w:rsidRPr="00981405">
        <w:t xml:space="preserve"> </w:t>
      </w:r>
      <w:r w:rsidRPr="00981405">
        <w:t>that</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must</w:t>
      </w:r>
      <w:r w:rsidR="00190923" w:rsidRPr="00981405">
        <w:t xml:space="preserve"> </w:t>
      </w:r>
      <w:r w:rsidRPr="00981405">
        <w:t>know</w:t>
      </w:r>
      <w:r w:rsidR="00190923" w:rsidRPr="00981405">
        <w:t xml:space="preserve"> </w:t>
      </w:r>
      <w:r w:rsidRPr="00981405">
        <w:t>that</w:t>
      </w:r>
      <w:r w:rsidR="00190923" w:rsidRPr="00981405">
        <w:t xml:space="preserve"> </w:t>
      </w:r>
      <w:r w:rsidRPr="00981405">
        <w:t>the</w:t>
      </w:r>
      <w:r w:rsidR="00190923" w:rsidRPr="00981405">
        <w:t xml:space="preserve"> </w:t>
      </w:r>
      <w:r w:rsidRPr="00981405">
        <w:t>act</w:t>
      </w:r>
      <w:r w:rsidR="00190923" w:rsidRPr="00981405">
        <w:t xml:space="preserve"> </w:t>
      </w:r>
      <w:r w:rsidRPr="00981405">
        <w:t>is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against</w:t>
      </w:r>
      <w:r w:rsidR="00190923" w:rsidRPr="00981405">
        <w:t xml:space="preserve"> </w:t>
      </w:r>
      <w:r w:rsidRPr="00981405">
        <w:t>the</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but</w:t>
      </w:r>
      <w:r w:rsidR="00190923" w:rsidRPr="00981405">
        <w:t xml:space="preserve"> </w:t>
      </w:r>
      <w:r w:rsidRPr="00981405">
        <w:t>the</w:t>
      </w:r>
      <w:r w:rsidR="00190923" w:rsidRPr="00981405">
        <w:t xml:space="preserve"> </w:t>
      </w:r>
      <w:r w:rsidRPr="00981405">
        <w:t>perpetrator</w:t>
      </w:r>
      <w:r w:rsidR="00B92E2C" w:rsidRPr="00981405">
        <w:t>’</w:t>
      </w:r>
      <w:r w:rsidRPr="00981405">
        <w:t>s</w:t>
      </w:r>
      <w:r w:rsidR="00190923" w:rsidRPr="00981405">
        <w:t xml:space="preserve"> </w:t>
      </w:r>
      <w:r w:rsidRPr="00981405">
        <w:t>motive</w:t>
      </w:r>
      <w:r w:rsidR="00190923" w:rsidRPr="00981405">
        <w:t xml:space="preserve"> </w:t>
      </w:r>
      <w:r w:rsidRPr="00981405">
        <w:t>is</w:t>
      </w:r>
      <w:r w:rsidR="00190923" w:rsidRPr="00981405">
        <w:t xml:space="preserve"> </w:t>
      </w:r>
      <w:r w:rsidRPr="00981405">
        <w:t>irrelevant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be</w:t>
      </w:r>
      <w:r w:rsidR="00190923" w:rsidRPr="00981405">
        <w:t xml:space="preserve"> </w:t>
      </w:r>
      <w:r w:rsidRPr="00981405">
        <w:t>characterized</w:t>
      </w:r>
      <w:r w:rsidR="00190923" w:rsidRPr="00981405">
        <w:t xml:space="preserve"> </w:t>
      </w:r>
      <w:r w:rsidRPr="00981405">
        <w:t>as</w:t>
      </w:r>
      <w:r w:rsidR="00190923" w:rsidRPr="00981405">
        <w:t xml:space="preserve"> </w:t>
      </w:r>
      <w:r w:rsidRPr="00981405">
        <w:t>a</w:t>
      </w:r>
      <w:r w:rsidR="00190923" w:rsidRPr="00981405">
        <w:t xml:space="preserve"> </w:t>
      </w:r>
      <w:r w:rsidRPr="00981405">
        <w:t>crime</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It</w:t>
      </w:r>
      <w:r w:rsidR="00190923" w:rsidRPr="00981405">
        <w:t xml:space="preserve"> </w:t>
      </w:r>
      <w:r w:rsidRPr="00981405">
        <w:t>is</w:t>
      </w:r>
      <w:r w:rsidR="00190923" w:rsidRPr="00981405">
        <w:t xml:space="preserve"> </w:t>
      </w:r>
      <w:r w:rsidRPr="00981405">
        <w:t>not</w:t>
      </w:r>
      <w:r w:rsidR="00190923" w:rsidRPr="00981405">
        <w:t xml:space="preserve"> </w:t>
      </w:r>
      <w:r w:rsidRPr="00981405">
        <w:t>necessary</w:t>
      </w:r>
      <w:r w:rsidR="00190923" w:rsidRPr="00981405">
        <w:t xml:space="preserve"> </w:t>
      </w:r>
      <w:r w:rsidRPr="00981405">
        <w:t>for</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to</w:t>
      </w:r>
      <w:r w:rsidR="00190923" w:rsidRPr="00981405">
        <w:t xml:space="preserve"> </w:t>
      </w:r>
      <w:r w:rsidRPr="00981405">
        <w:t>have</w:t>
      </w:r>
      <w:r w:rsidR="00190923" w:rsidRPr="00981405">
        <w:t xml:space="preserve"> </w:t>
      </w:r>
      <w:r w:rsidRPr="00981405">
        <w:t>knowledge</w:t>
      </w:r>
      <w:r w:rsidR="00190923" w:rsidRPr="00981405">
        <w:t xml:space="preserve"> </w:t>
      </w:r>
      <w:r w:rsidRPr="00981405">
        <w:t>of</w:t>
      </w:r>
      <w:r w:rsidR="00190923" w:rsidRPr="00981405">
        <w:t xml:space="preserve"> </w:t>
      </w:r>
      <w:r w:rsidRPr="00981405">
        <w:t>all</w:t>
      </w:r>
      <w:r w:rsidR="00190923" w:rsidRPr="00981405">
        <w:t xml:space="preserve"> </w:t>
      </w:r>
      <w:r w:rsidRPr="00981405">
        <w:t>the</w:t>
      </w:r>
      <w:r w:rsidR="00190923" w:rsidRPr="00981405">
        <w:t xml:space="preserve"> </w:t>
      </w:r>
      <w:r w:rsidRPr="00981405">
        <w:t>characteristics</w:t>
      </w:r>
      <w:r w:rsidR="00190923" w:rsidRPr="00981405">
        <w:t xml:space="preserve"> </w:t>
      </w:r>
      <w:r w:rsidRPr="00981405">
        <w:t>or</w:t>
      </w:r>
      <w:r w:rsidR="00190923" w:rsidRPr="00981405">
        <w:t xml:space="preserve"> </w:t>
      </w:r>
      <w:r w:rsidRPr="00981405">
        <w:t>details</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nor</w:t>
      </w:r>
      <w:r w:rsidR="00190923" w:rsidRPr="00981405">
        <w:t xml:space="preserve"> </w:t>
      </w:r>
      <w:r w:rsidRPr="00981405">
        <w:t>is</w:t>
      </w:r>
      <w:r w:rsidR="00190923" w:rsidRPr="00981405">
        <w:t xml:space="preserve"> </w:t>
      </w:r>
      <w:r w:rsidRPr="00981405">
        <w:t>it</w:t>
      </w:r>
      <w:r w:rsidR="00190923" w:rsidRPr="00981405">
        <w:t xml:space="preserve"> </w:t>
      </w:r>
      <w:r w:rsidRPr="00981405">
        <w:t>required</w:t>
      </w:r>
      <w:r w:rsidR="00190923" w:rsidRPr="00981405">
        <w:t xml:space="preserve"> </w:t>
      </w:r>
      <w:r w:rsidRPr="00981405">
        <w:t>for</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to</w:t>
      </w:r>
      <w:r w:rsidR="00190923" w:rsidRPr="00981405">
        <w:t xml:space="preserve"> </w:t>
      </w:r>
      <w:r w:rsidRPr="00981405">
        <w:t>subscribe</w:t>
      </w:r>
      <w:r w:rsidR="00190923" w:rsidRPr="00981405">
        <w:t xml:space="preserve"> </w:t>
      </w:r>
      <w:r w:rsidRPr="00981405">
        <w:t>to</w:t>
      </w:r>
      <w:r w:rsidR="00190923" w:rsidRPr="00981405">
        <w:t xml:space="preserve"> </w:t>
      </w:r>
      <w:r w:rsidRPr="00981405">
        <w:t>the</w:t>
      </w:r>
      <w:r w:rsidR="00190923" w:rsidRPr="00981405">
        <w:t xml:space="preserve"> </w:t>
      </w:r>
      <w:r w:rsidR="00B92E2C" w:rsidRPr="00981405">
        <w:t>“</w:t>
      </w:r>
      <w:r w:rsidRPr="00981405">
        <w:t>State</w:t>
      </w:r>
      <w:r w:rsidR="00190923" w:rsidRPr="00981405">
        <w:t xml:space="preserve"> </w:t>
      </w:r>
      <w:r w:rsidRPr="00981405">
        <w:t>or</w:t>
      </w:r>
      <w:r w:rsidR="00190923" w:rsidRPr="00981405">
        <w:t xml:space="preserve"> </w:t>
      </w:r>
      <w:r w:rsidRPr="00981405">
        <w:t>the</w:t>
      </w:r>
      <w:r w:rsidR="00190923" w:rsidRPr="00981405">
        <w:t xml:space="preserve"> </w:t>
      </w:r>
      <w:r w:rsidRPr="00981405">
        <w:t>organisation</w:t>
      </w:r>
      <w:r w:rsidR="00B92E2C" w:rsidRPr="00981405">
        <w:t>’</w:t>
      </w:r>
      <w:r w:rsidRPr="00981405">
        <w:t>s</w:t>
      </w:r>
      <w:r w:rsidR="00190923" w:rsidRPr="00981405">
        <w:t xml:space="preserve"> </w:t>
      </w:r>
      <w:r w:rsidRPr="00981405">
        <w:t>criminal</w:t>
      </w:r>
      <w:r w:rsidR="00190923" w:rsidRPr="00981405">
        <w:t xml:space="preserve"> </w:t>
      </w:r>
      <w:r w:rsidRPr="00981405">
        <w:t>design.</w:t>
      </w:r>
      <w:r w:rsidR="00B92E2C" w:rsidRPr="00981405">
        <w:t>”</w:t>
      </w:r>
      <w:r w:rsidRPr="00981405">
        <w:rPr>
          <w:rStyle w:val="FootnoteReference"/>
        </w:rPr>
        <w:footnoteReference w:id="223"/>
      </w:r>
      <w:r w:rsidR="00190923" w:rsidRPr="00981405">
        <w:t xml:space="preserve"> </w:t>
      </w:r>
    </w:p>
    <w:p w:rsidR="00397032" w:rsidRPr="00D97463" w:rsidRDefault="00397032" w:rsidP="00D97463">
      <w:pPr>
        <w:pStyle w:val="SingleTxt"/>
        <w:rPr>
          <w:i/>
          <w:iCs/>
        </w:rPr>
      </w:pPr>
      <w:r w:rsidRPr="00981405">
        <w:tab/>
      </w:r>
      <w:r w:rsidRPr="00D97463">
        <w:rPr>
          <w:i/>
          <w:iCs/>
        </w:rPr>
        <w:t>Prohibited</w:t>
      </w:r>
      <w:r w:rsidR="00190923" w:rsidRPr="00981405">
        <w:rPr>
          <w:i/>
          <w:iCs/>
        </w:rPr>
        <w:t xml:space="preserve"> </w:t>
      </w:r>
      <w:r w:rsidRPr="00D97463">
        <w:rPr>
          <w:i/>
          <w:iCs/>
        </w:rPr>
        <w:t>acts</w:t>
      </w:r>
      <w:r w:rsidR="00190923" w:rsidRPr="00981405">
        <w:rPr>
          <w:i/>
          <w:iCs/>
        </w:rPr>
        <w:t xml:space="preserve"> </w:t>
      </w:r>
    </w:p>
    <w:p w:rsidR="00397032" w:rsidRPr="00981405" w:rsidRDefault="00397032" w:rsidP="00D97463">
      <w:pPr>
        <w:pStyle w:val="SingleTxt"/>
      </w:pPr>
      <w:r w:rsidRPr="00981405">
        <w:t>(37)</w:t>
      </w:r>
      <w:r w:rsidRPr="00981405">
        <w:tab/>
        <w:t>Like</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1,</w:t>
      </w:r>
      <w:r w:rsidR="00190923" w:rsidRPr="00981405">
        <w:t xml:space="preserve"> </w:t>
      </w:r>
      <w:r w:rsidRPr="00981405">
        <w:t>at</w:t>
      </w:r>
      <w:r w:rsidR="00190923" w:rsidRPr="00981405">
        <w:t xml:space="preserve"> </w:t>
      </w:r>
      <w:r w:rsidRPr="00981405">
        <w:t>subparagraphs</w:t>
      </w:r>
      <w:r w:rsidR="00190923" w:rsidRPr="00981405">
        <w:t xml:space="preserve"> </w:t>
      </w:r>
      <w:r w:rsidRPr="00981405">
        <w:t>(a)</w:t>
      </w:r>
      <w:r w:rsidR="00B92E2C" w:rsidRPr="00981405">
        <w:t>-</w:t>
      </w:r>
      <w:r w:rsidRPr="00981405">
        <w:t>(k),</w:t>
      </w:r>
      <w:r w:rsidR="00190923" w:rsidRPr="00981405">
        <w:t xml:space="preserve"> </w:t>
      </w:r>
      <w:r w:rsidRPr="00981405">
        <w:t>lists</w:t>
      </w:r>
      <w:r w:rsidR="00190923" w:rsidRPr="00981405">
        <w:t xml:space="preserve"> </w:t>
      </w:r>
      <w:r w:rsidRPr="00981405">
        <w:t>the</w:t>
      </w:r>
      <w:r w:rsidR="00190923" w:rsidRPr="00981405">
        <w:t xml:space="preserve"> </w:t>
      </w:r>
      <w:r w:rsidRPr="00981405">
        <w:t>prohibited</w:t>
      </w:r>
      <w:r w:rsidR="00190923" w:rsidRPr="00981405">
        <w:t xml:space="preserve"> </w:t>
      </w:r>
      <w:r w:rsidRPr="00981405">
        <w:t>acts</w:t>
      </w:r>
      <w:r w:rsidR="00190923" w:rsidRPr="00981405">
        <w:t xml:space="preserve"> </w:t>
      </w:r>
      <w:r w:rsidRPr="00981405">
        <w:t>for</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These</w:t>
      </w:r>
      <w:r w:rsidR="00190923" w:rsidRPr="00981405">
        <w:t xml:space="preserve"> </w:t>
      </w:r>
      <w:r w:rsidRPr="00981405">
        <w:t>prohibited</w:t>
      </w:r>
      <w:r w:rsidR="00190923" w:rsidRPr="00981405">
        <w:t xml:space="preserve"> </w:t>
      </w:r>
      <w:r w:rsidRPr="00981405">
        <w:t>acts</w:t>
      </w:r>
      <w:r w:rsidR="00190923" w:rsidRPr="00981405">
        <w:t xml:space="preserve"> </w:t>
      </w:r>
      <w:r w:rsidRPr="00981405">
        <w:t>also</w:t>
      </w:r>
      <w:r w:rsidR="00190923" w:rsidRPr="00981405">
        <w:t xml:space="preserve"> </w:t>
      </w:r>
      <w:r w:rsidRPr="00981405">
        <w:t>appear</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contained</w:t>
      </w:r>
      <w:r w:rsidR="00190923" w:rsidRPr="00981405">
        <w:t xml:space="preserve"> </w:t>
      </w:r>
      <w:r w:rsidRPr="00981405">
        <w:t>in</w:t>
      </w:r>
      <w:r w:rsidR="00190923" w:rsidRPr="00981405">
        <w:t xml:space="preserve"> </w:t>
      </w:r>
      <w:r w:rsidRPr="00981405">
        <w:t>article</w:t>
      </w:r>
      <w:r w:rsidR="00190923" w:rsidRPr="00981405">
        <w:t xml:space="preserve"> </w:t>
      </w:r>
      <w:r w:rsidRPr="00981405">
        <w:t>18</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1996</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although</w:t>
      </w:r>
      <w:r w:rsidR="00190923" w:rsidRPr="00981405">
        <w:t xml:space="preserve"> </w:t>
      </w:r>
      <w:r w:rsidRPr="00981405">
        <w:t>the</w:t>
      </w:r>
      <w:r w:rsidR="00190923" w:rsidRPr="00981405">
        <w:t xml:space="preserve"> </w:t>
      </w:r>
      <w:r w:rsidRPr="00981405">
        <w:t>language</w:t>
      </w:r>
      <w:r w:rsidR="00190923" w:rsidRPr="00981405">
        <w:t xml:space="preserve"> </w:t>
      </w:r>
      <w:r w:rsidRPr="00981405">
        <w:t>differs</w:t>
      </w:r>
      <w:r w:rsidR="00190923" w:rsidRPr="00981405">
        <w:t xml:space="preserve"> </w:t>
      </w:r>
      <w:r w:rsidRPr="00981405">
        <w:t>slightly.</w:t>
      </w:r>
      <w:r w:rsidR="00190923" w:rsidRPr="00981405">
        <w:t xml:space="preserve"> </w:t>
      </w:r>
      <w:r w:rsidRPr="00981405">
        <w:t>An</w:t>
      </w:r>
      <w:r w:rsidR="00190923" w:rsidRPr="00981405">
        <w:t xml:space="preserve"> </w:t>
      </w:r>
      <w:r w:rsidRPr="00981405">
        <w:t>individual</w:t>
      </w:r>
      <w:r w:rsidR="00190923" w:rsidRPr="00981405">
        <w:t xml:space="preserve"> </w:t>
      </w:r>
      <w:r w:rsidRPr="00981405">
        <w:t>who</w:t>
      </w:r>
      <w:r w:rsidR="00190923" w:rsidRPr="00981405">
        <w:t xml:space="preserve"> </w:t>
      </w:r>
      <w:r w:rsidRPr="00981405">
        <w:t>commits</w:t>
      </w:r>
      <w:r w:rsidR="00190923" w:rsidRPr="00981405">
        <w:t xml:space="preserve"> </w:t>
      </w:r>
      <w:r w:rsidRPr="00981405">
        <w:t>one</w:t>
      </w:r>
      <w:r w:rsidR="00190923" w:rsidRPr="00981405">
        <w:t xml:space="preserve"> </w:t>
      </w:r>
      <w:r w:rsidRPr="00981405">
        <w:t>of</w:t>
      </w:r>
      <w:r w:rsidR="00190923" w:rsidRPr="00981405">
        <w:t xml:space="preserve"> </w:t>
      </w:r>
      <w:r w:rsidRPr="00981405">
        <w:t>these</w:t>
      </w:r>
      <w:r w:rsidR="00190923" w:rsidRPr="00981405">
        <w:t xml:space="preserve"> </w:t>
      </w:r>
      <w:r w:rsidRPr="00981405">
        <w:t>acts</w:t>
      </w:r>
      <w:r w:rsidR="00190923" w:rsidRPr="00981405">
        <w:t xml:space="preserve"> </w:t>
      </w:r>
      <w:r w:rsidRPr="00981405">
        <w:t>can</w:t>
      </w:r>
      <w:r w:rsidR="00190923" w:rsidRPr="00981405">
        <w:t xml:space="preserve"> </w:t>
      </w:r>
      <w:r w:rsidRPr="00981405">
        <w:t>commit</w:t>
      </w:r>
      <w:r w:rsidR="00190923" w:rsidRPr="00981405">
        <w:t xml:space="preserve"> </w:t>
      </w:r>
      <w:r w:rsidRPr="00981405">
        <w:t>a</w:t>
      </w:r>
      <w:r w:rsidR="00190923" w:rsidRPr="00981405">
        <w:t xml:space="preserve"> </w:t>
      </w:r>
      <w:r w:rsidRPr="00981405">
        <w:t>crime</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need</w:t>
      </w:r>
      <w:r w:rsidR="00190923" w:rsidRPr="00981405">
        <w:t xml:space="preserve"> </w:t>
      </w:r>
      <w:r w:rsidRPr="00981405">
        <w:t>not</w:t>
      </w:r>
      <w:r w:rsidR="00190923" w:rsidRPr="00981405">
        <w:t xml:space="preserve"> </w:t>
      </w:r>
      <w:r w:rsidRPr="00981405">
        <w:t>have</w:t>
      </w:r>
      <w:r w:rsidR="00190923" w:rsidRPr="00981405">
        <w:t xml:space="preserve"> </w:t>
      </w:r>
      <w:r w:rsidRPr="00981405">
        <w:t>committed</w:t>
      </w:r>
      <w:r w:rsidR="00190923" w:rsidRPr="00981405">
        <w:t xml:space="preserve"> </w:t>
      </w:r>
      <w:r w:rsidRPr="00981405">
        <w:t>multiple</w:t>
      </w:r>
      <w:r w:rsidR="00190923" w:rsidRPr="00981405">
        <w:t xml:space="preserve"> </w:t>
      </w:r>
      <w:r w:rsidRPr="00981405">
        <w:t>acts,</w:t>
      </w:r>
      <w:r w:rsidR="00190923" w:rsidRPr="00981405">
        <w:t xml:space="preserve"> </w:t>
      </w:r>
      <w:r w:rsidRPr="00981405">
        <w:t>but</w:t>
      </w:r>
      <w:r w:rsidR="00190923" w:rsidRPr="00981405">
        <w:t xml:space="preserve"> </w:t>
      </w:r>
      <w:r w:rsidRPr="00981405">
        <w:t>the</w:t>
      </w:r>
      <w:r w:rsidR="00190923" w:rsidRPr="00981405">
        <w:t xml:space="preserve"> </w:t>
      </w:r>
      <w:r w:rsidRPr="00981405">
        <w:t>individual</w:t>
      </w:r>
      <w:r w:rsidR="00B92E2C" w:rsidRPr="00981405">
        <w:t>’</w:t>
      </w:r>
      <w:r w:rsidRPr="00981405">
        <w:t>s</w:t>
      </w:r>
      <w:r w:rsidR="00190923" w:rsidRPr="00981405">
        <w:t xml:space="preserve"> </w:t>
      </w:r>
      <w:r w:rsidRPr="00981405">
        <w:t>act</w:t>
      </w:r>
      <w:r w:rsidR="00190923" w:rsidRPr="00981405">
        <w:t xml:space="preserve"> </w:t>
      </w:r>
      <w:r w:rsidRPr="00981405">
        <w:t>must</w:t>
      </w:r>
      <w:r w:rsidR="00190923" w:rsidRPr="00981405">
        <w:t xml:space="preserve"> </w:t>
      </w:r>
      <w:r w:rsidRPr="00981405">
        <w:t>be</w:t>
      </w:r>
      <w:r w:rsidR="00190923" w:rsidRPr="00981405">
        <w:t xml:space="preserve"> </w:t>
      </w:r>
      <w:r w:rsidR="00B92E2C" w:rsidRPr="00981405">
        <w:t>“</w:t>
      </w:r>
      <w:r w:rsidRPr="00981405">
        <w:t>part</w:t>
      </w:r>
      <w:r w:rsidR="00190923" w:rsidRPr="00981405">
        <w:t xml:space="preserve"> </w:t>
      </w:r>
      <w:r w:rsidRPr="00981405">
        <w:t>of</w:t>
      </w:r>
      <w:r w:rsidR="00B92E2C" w:rsidRPr="00981405">
        <w:t>”</w:t>
      </w:r>
      <w:r w:rsidR="00190923" w:rsidRPr="00981405">
        <w:t xml:space="preserve"> </w:t>
      </w:r>
      <w:r w:rsidRPr="00981405">
        <w:t>a</w:t>
      </w:r>
      <w:r w:rsidR="00190923" w:rsidRPr="00981405">
        <w:t xml:space="preserve"> </w:t>
      </w:r>
      <w:r w:rsidRPr="00981405">
        <w:t>widespread</w:t>
      </w:r>
      <w:r w:rsidR="00190923" w:rsidRPr="00981405">
        <w:t xml:space="preserve"> </w:t>
      </w:r>
      <w:r w:rsidRPr="00981405">
        <w:t>or</w:t>
      </w:r>
      <w:r w:rsidR="00190923" w:rsidRPr="00981405">
        <w:t xml:space="preserve"> </w:t>
      </w:r>
      <w:r w:rsidRPr="00981405">
        <w:t>systematic</w:t>
      </w:r>
      <w:r w:rsidR="00190923" w:rsidRPr="00981405">
        <w:t xml:space="preserve"> </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Pr="00981405">
        <w:rPr>
          <w:rStyle w:val="FootnoteReference"/>
        </w:rPr>
        <w:footnoteReference w:id="224"/>
      </w:r>
      <w:r w:rsidR="00190923" w:rsidRPr="00981405">
        <w:t xml:space="preserve"> </w:t>
      </w:r>
      <w:r w:rsidRPr="00981405">
        <w:t>The</w:t>
      </w:r>
      <w:r w:rsidR="00190923" w:rsidRPr="00981405">
        <w:t xml:space="preserve"> </w:t>
      </w:r>
      <w:r w:rsidRPr="00981405">
        <w:t>offence</w:t>
      </w:r>
      <w:r w:rsidR="00190923" w:rsidRPr="00981405">
        <w:t xml:space="preserve"> </w:t>
      </w:r>
      <w:r w:rsidRPr="00981405">
        <w:t>does</w:t>
      </w:r>
      <w:r w:rsidR="00190923" w:rsidRPr="00981405">
        <w:t xml:space="preserve"> </w:t>
      </w:r>
      <w:r w:rsidRPr="00981405">
        <w:t>not</w:t>
      </w:r>
      <w:r w:rsidR="00190923" w:rsidRPr="00981405">
        <w:t xml:space="preserve"> </w:t>
      </w:r>
      <w:r w:rsidRPr="00981405">
        <w:t>need</w:t>
      </w:r>
      <w:r w:rsidR="00190923" w:rsidRPr="00981405">
        <w:t xml:space="preserve"> </w:t>
      </w:r>
      <w:r w:rsidRPr="00981405">
        <w:t>to</w:t>
      </w:r>
      <w:r w:rsidR="00190923" w:rsidRPr="00981405">
        <w:t xml:space="preserve"> </w:t>
      </w:r>
      <w:r w:rsidRPr="00981405">
        <w:t>be</w:t>
      </w:r>
      <w:r w:rsidR="00190923" w:rsidRPr="00981405">
        <w:t xml:space="preserve"> </w:t>
      </w:r>
      <w:r w:rsidRPr="00981405">
        <w:t>committed</w:t>
      </w:r>
      <w:r w:rsidR="00190923" w:rsidRPr="00981405">
        <w:t xml:space="preserve"> </w:t>
      </w:r>
      <w:r w:rsidRPr="00981405">
        <w:t>in</w:t>
      </w:r>
      <w:r w:rsidR="00190923" w:rsidRPr="00981405">
        <w:t xml:space="preserve"> </w:t>
      </w:r>
      <w:r w:rsidRPr="00981405">
        <w:t>the</w:t>
      </w:r>
      <w:r w:rsidR="00190923" w:rsidRPr="00981405">
        <w:t xml:space="preserve"> </w:t>
      </w:r>
      <w:r w:rsidRPr="00981405">
        <w:t>heat</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against</w:t>
      </w:r>
      <w:r w:rsidR="00190923" w:rsidRPr="00981405">
        <w:t xml:space="preserve"> </w:t>
      </w:r>
      <w:r w:rsidRPr="00981405">
        <w:t>the</w:t>
      </w:r>
      <w:r w:rsidR="00190923" w:rsidRPr="00981405">
        <w:t xml:space="preserve"> </w:t>
      </w:r>
      <w:r w:rsidRPr="00981405">
        <w:t>civilian</w:t>
      </w:r>
      <w:r w:rsidR="00190923" w:rsidRPr="00981405">
        <w:t xml:space="preserve"> </w:t>
      </w:r>
      <w:r w:rsidRPr="00981405">
        <w:t>population</w:t>
      </w:r>
      <w:r w:rsidR="00190923" w:rsidRPr="00981405">
        <w:t xml:space="preserve"> </w:t>
      </w:r>
      <w:r w:rsidRPr="00981405">
        <w:t>to</w:t>
      </w:r>
      <w:r w:rsidR="00190923" w:rsidRPr="00981405">
        <w:t xml:space="preserve"> </w:t>
      </w:r>
      <w:r w:rsidRPr="00981405">
        <w:t>satisfy</w:t>
      </w:r>
      <w:r w:rsidR="00190923" w:rsidRPr="00981405">
        <w:t xml:space="preserve"> </w:t>
      </w:r>
      <w:r w:rsidRPr="00981405">
        <w:t>this</w:t>
      </w:r>
      <w:r w:rsidR="00190923" w:rsidRPr="00981405">
        <w:t xml:space="preserve"> </w:t>
      </w:r>
      <w:r w:rsidRPr="00981405">
        <w:t>requirement;</w:t>
      </w:r>
      <w:r w:rsidR="00190923" w:rsidRPr="00981405">
        <w:t xml:space="preserve"> </w:t>
      </w:r>
      <w:r w:rsidRPr="00981405">
        <w:t>the</w:t>
      </w:r>
      <w:r w:rsidR="00190923" w:rsidRPr="00981405">
        <w:t xml:space="preserve"> </w:t>
      </w:r>
      <w:r w:rsidRPr="00981405">
        <w:t>offence</w:t>
      </w:r>
      <w:r w:rsidR="00190923" w:rsidRPr="00981405">
        <w:t xml:space="preserve"> </w:t>
      </w:r>
      <w:r w:rsidRPr="00981405">
        <w:t>can</w:t>
      </w:r>
      <w:r w:rsidR="00190923" w:rsidRPr="00981405">
        <w:t xml:space="preserve"> </w:t>
      </w:r>
      <w:r w:rsidRPr="00981405">
        <w:t>be</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attack</w:t>
      </w:r>
      <w:r w:rsidR="00190923" w:rsidRPr="00981405">
        <w:t xml:space="preserve"> </w:t>
      </w:r>
      <w:r w:rsidRPr="00981405">
        <w:t>if</w:t>
      </w:r>
      <w:r w:rsidR="00190923" w:rsidRPr="00981405">
        <w:t xml:space="preserve"> </w:t>
      </w:r>
      <w:r w:rsidRPr="00981405">
        <w:t>it</w:t>
      </w:r>
      <w:r w:rsidR="00190923" w:rsidRPr="00981405">
        <w:t xml:space="preserve"> </w:t>
      </w:r>
      <w:r w:rsidRPr="00981405">
        <w:t>can</w:t>
      </w:r>
      <w:r w:rsidR="00190923" w:rsidRPr="00981405">
        <w:t xml:space="preserve"> </w:t>
      </w:r>
      <w:r w:rsidRPr="00981405">
        <w:t>be</w:t>
      </w:r>
      <w:r w:rsidR="00190923" w:rsidRPr="00981405">
        <w:t xml:space="preserve"> </w:t>
      </w:r>
      <w:r w:rsidRPr="00981405">
        <w:t>sufficiently</w:t>
      </w:r>
      <w:r w:rsidR="00190923" w:rsidRPr="00981405">
        <w:t xml:space="preserve"> </w:t>
      </w:r>
      <w:r w:rsidRPr="00981405">
        <w:t>connected</w:t>
      </w:r>
      <w:r w:rsidR="00190923" w:rsidRPr="00981405">
        <w:t xml:space="preserve"> </w:t>
      </w:r>
      <w:r w:rsidRPr="00981405">
        <w:t>to</w:t>
      </w:r>
      <w:r w:rsidR="00190923" w:rsidRPr="00981405">
        <w:t xml:space="preserve"> </w:t>
      </w:r>
      <w:r w:rsidRPr="00981405">
        <w:t>the</w:t>
      </w:r>
      <w:r w:rsidR="00190923" w:rsidRPr="00981405">
        <w:t xml:space="preserve"> </w:t>
      </w:r>
      <w:r w:rsidRPr="00981405">
        <w:t>attack.</w:t>
      </w:r>
      <w:r w:rsidRPr="00981405">
        <w:rPr>
          <w:rStyle w:val="FootnoteReference"/>
        </w:rPr>
        <w:footnoteReference w:id="225"/>
      </w:r>
    </w:p>
    <w:p w:rsidR="00397032" w:rsidRPr="00D97463" w:rsidRDefault="00397032" w:rsidP="00D97463">
      <w:pPr>
        <w:pStyle w:val="SingleTxt"/>
        <w:keepNext/>
        <w:rPr>
          <w:i/>
          <w:iCs/>
        </w:rPr>
      </w:pPr>
      <w:r w:rsidRPr="00981405">
        <w:tab/>
      </w:r>
      <w:r w:rsidRPr="00D97463">
        <w:rPr>
          <w:i/>
          <w:iCs/>
        </w:rPr>
        <w:t>Definitions</w:t>
      </w:r>
      <w:r w:rsidR="00190923" w:rsidRPr="00981405">
        <w:rPr>
          <w:i/>
          <w:iCs/>
        </w:rPr>
        <w:t xml:space="preserve"> </w:t>
      </w:r>
      <w:r w:rsidRPr="00D97463">
        <w:rPr>
          <w:i/>
          <w:iCs/>
        </w:rPr>
        <w:t>within</w:t>
      </w:r>
      <w:r w:rsidR="00190923" w:rsidRPr="00981405">
        <w:rPr>
          <w:i/>
          <w:iCs/>
        </w:rPr>
        <w:t xml:space="preserve"> </w:t>
      </w:r>
      <w:r w:rsidRPr="00D97463">
        <w:rPr>
          <w:i/>
          <w:iCs/>
        </w:rPr>
        <w:t>the</w:t>
      </w:r>
      <w:r w:rsidR="00190923" w:rsidRPr="00981405">
        <w:rPr>
          <w:i/>
          <w:iCs/>
        </w:rPr>
        <w:t xml:space="preserve"> </w:t>
      </w:r>
      <w:r w:rsidRPr="00D97463">
        <w:rPr>
          <w:i/>
          <w:iCs/>
        </w:rPr>
        <w:t>definition</w:t>
      </w:r>
    </w:p>
    <w:p w:rsidR="00397032" w:rsidRPr="00981405" w:rsidRDefault="00397032" w:rsidP="00D97463">
      <w:pPr>
        <w:pStyle w:val="SingleTxt"/>
        <w:keepNext/>
        <w:rPr>
          <w:rFonts w:eastAsia="Batang"/>
        </w:rPr>
      </w:pPr>
      <w:r w:rsidRPr="00981405">
        <w:t>(38)</w:t>
      </w:r>
      <w:r w:rsidRPr="00981405">
        <w:tab/>
        <w:t>As</w:t>
      </w:r>
      <w:r w:rsidR="00190923" w:rsidRPr="00981405">
        <w:t xml:space="preserve"> </w:t>
      </w:r>
      <w:r w:rsidRPr="00981405">
        <w:t>noted</w:t>
      </w:r>
      <w:r w:rsidR="00190923" w:rsidRPr="00981405">
        <w:t xml:space="preserve"> </w:t>
      </w:r>
      <w:r w:rsidRPr="00981405">
        <w:t>above,</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2(a),</w:t>
      </w:r>
      <w:r w:rsidR="00190923" w:rsidRPr="00981405">
        <w:t xml:space="preserve"> </w:t>
      </w:r>
      <w:r w:rsidRPr="00981405">
        <w:t>defines</w:t>
      </w:r>
      <w:r w:rsidR="00190923" w:rsidRPr="00981405">
        <w:t xml:space="preserve"> </w:t>
      </w:r>
      <w:r w:rsidR="00B92E2C" w:rsidRPr="00981405">
        <w:t>“</w:t>
      </w:r>
      <w:r w:rsidRPr="00981405">
        <w:t>attack</w:t>
      </w:r>
      <w:r w:rsidR="00190923" w:rsidRPr="00981405">
        <w:t xml:space="preserve"> </w:t>
      </w:r>
      <w:r w:rsidRPr="00981405">
        <w:t>directed</w:t>
      </w:r>
      <w:r w:rsidR="00190923" w:rsidRPr="00981405">
        <w:t xml:space="preserve"> </w:t>
      </w:r>
      <w:r w:rsidRPr="00981405">
        <w:t>against</w:t>
      </w:r>
      <w:r w:rsidR="00190923" w:rsidRPr="00981405">
        <w:t xml:space="preserve"> </w:t>
      </w:r>
      <w:r w:rsidRPr="00981405">
        <w:t>any</w:t>
      </w:r>
      <w:r w:rsidR="00190923" w:rsidRPr="00981405">
        <w:t xml:space="preserve"> </w:t>
      </w:r>
      <w:r w:rsidRPr="00981405">
        <w:t>civilian</w:t>
      </w:r>
      <w:r w:rsidR="00190923" w:rsidRPr="00981405">
        <w:t xml:space="preserve"> </w:t>
      </w:r>
      <w:r w:rsidRPr="00981405">
        <w:t>population</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1.</w:t>
      </w:r>
      <w:r w:rsidR="00190923" w:rsidRPr="00981405">
        <w:t xml:space="preserve"> </w:t>
      </w:r>
      <w:r w:rsidRPr="00981405">
        <w:t>The</w:t>
      </w:r>
      <w:r w:rsidR="00190923" w:rsidRPr="00981405">
        <w:t xml:space="preserve"> </w:t>
      </w:r>
      <w:r w:rsidRPr="00981405">
        <w:t>remaining</w:t>
      </w:r>
      <w:r w:rsidR="00190923" w:rsidRPr="00981405">
        <w:t xml:space="preserve"> </w:t>
      </w:r>
      <w:r w:rsidRPr="00981405">
        <w:t>sub-paragraphs</w:t>
      </w:r>
      <w:r w:rsidR="00190923" w:rsidRPr="00981405">
        <w:t xml:space="preserve"> </w:t>
      </w:r>
      <w:r w:rsidRPr="00981405">
        <w:t>(b)</w:t>
      </w:r>
      <w:r w:rsidR="00B92E2C" w:rsidRPr="00981405">
        <w:t>-</w:t>
      </w:r>
      <w:r w:rsidRPr="00981405">
        <w:t>(i)</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2,</w:t>
      </w:r>
      <w:r w:rsidR="00190923" w:rsidRPr="00981405">
        <w:t xml:space="preserve"> </w:t>
      </w:r>
      <w:r w:rsidRPr="00981405">
        <w:t>define</w:t>
      </w:r>
      <w:r w:rsidR="00190923" w:rsidRPr="00981405">
        <w:t xml:space="preserve"> </w:t>
      </w:r>
      <w:r w:rsidRPr="00981405">
        <w:t>further</w:t>
      </w:r>
      <w:r w:rsidR="00190923" w:rsidRPr="00981405">
        <w:t xml:space="preserve"> </w:t>
      </w:r>
      <w:r w:rsidRPr="00981405">
        <w:t>terms</w:t>
      </w:r>
      <w:r w:rsidR="00190923" w:rsidRPr="00981405">
        <w:t xml:space="preserve"> </w:t>
      </w:r>
      <w:r w:rsidRPr="00981405">
        <w:t>that</w:t>
      </w:r>
      <w:r w:rsidR="00190923" w:rsidRPr="00981405">
        <w:t xml:space="preserve"> </w:t>
      </w:r>
      <w:r w:rsidRPr="00981405">
        <w:t>appear</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specifically:</w:t>
      </w:r>
      <w:r w:rsidR="00190923" w:rsidRPr="00981405">
        <w:t xml:space="preserve"> </w:t>
      </w:r>
      <w:r w:rsidR="00B92E2C" w:rsidRPr="00981405">
        <w:t>“</w:t>
      </w:r>
      <w:r w:rsidRPr="00981405">
        <w:t>extermination</w:t>
      </w:r>
      <w:r w:rsidR="00B92E2C" w:rsidRPr="00981405">
        <w:t>”</w:t>
      </w:r>
      <w:r w:rsidRPr="00981405">
        <w:t>;</w:t>
      </w:r>
      <w:r w:rsidR="00190923" w:rsidRPr="00981405">
        <w:t xml:space="preserve"> </w:t>
      </w:r>
      <w:r w:rsidR="00B92E2C" w:rsidRPr="00981405">
        <w:t>“</w:t>
      </w:r>
      <w:r w:rsidRPr="00981405">
        <w:t>enslavement</w:t>
      </w:r>
      <w:r w:rsidR="00B92E2C" w:rsidRPr="00981405">
        <w:t>”</w:t>
      </w:r>
      <w:r w:rsidRPr="00981405">
        <w:t>;</w:t>
      </w:r>
      <w:r w:rsidR="00190923" w:rsidRPr="00981405">
        <w:t xml:space="preserve"> </w:t>
      </w:r>
      <w:r w:rsidR="00B92E2C" w:rsidRPr="00981405">
        <w:t>“</w:t>
      </w:r>
      <w:r w:rsidRPr="00981405">
        <w:t>deportation</w:t>
      </w:r>
      <w:r w:rsidR="00190923" w:rsidRPr="00981405">
        <w:t xml:space="preserve"> </w:t>
      </w:r>
      <w:r w:rsidRPr="00981405">
        <w:t>or</w:t>
      </w:r>
      <w:r w:rsidR="00190923" w:rsidRPr="00981405">
        <w:t xml:space="preserve"> </w:t>
      </w:r>
      <w:r w:rsidRPr="00981405">
        <w:t>forcible</w:t>
      </w:r>
      <w:r w:rsidR="00190923" w:rsidRPr="00981405">
        <w:t xml:space="preserve"> </w:t>
      </w:r>
      <w:r w:rsidRPr="00981405">
        <w:lastRenderedPageBreak/>
        <w:t>transfer</w:t>
      </w:r>
      <w:r w:rsidR="00190923" w:rsidRPr="00981405">
        <w:t xml:space="preserve"> </w:t>
      </w:r>
      <w:r w:rsidRPr="00981405">
        <w:t>of</w:t>
      </w:r>
      <w:r w:rsidR="00190923" w:rsidRPr="00981405">
        <w:t xml:space="preserve"> </w:t>
      </w:r>
      <w:r w:rsidRPr="00981405">
        <w:t>population</w:t>
      </w:r>
      <w:r w:rsidR="00B92E2C" w:rsidRPr="00981405">
        <w:t>”</w:t>
      </w:r>
      <w:r w:rsidRPr="00981405">
        <w:t>;</w:t>
      </w:r>
      <w:r w:rsidR="00190923" w:rsidRPr="00981405">
        <w:t xml:space="preserve"> </w:t>
      </w:r>
      <w:r w:rsidR="00B92E2C" w:rsidRPr="00981405">
        <w:t>“</w:t>
      </w:r>
      <w:r w:rsidRPr="00981405">
        <w:t>torture</w:t>
      </w:r>
      <w:r w:rsidR="00B92E2C" w:rsidRPr="00981405">
        <w:t>”</w:t>
      </w:r>
      <w:r w:rsidRPr="00981405">
        <w:t>;</w:t>
      </w:r>
      <w:r w:rsidR="00190923" w:rsidRPr="00981405">
        <w:t xml:space="preserve"> </w:t>
      </w:r>
      <w:r w:rsidR="00B92E2C" w:rsidRPr="00981405">
        <w:t>“</w:t>
      </w:r>
      <w:r w:rsidRPr="00981405">
        <w:t>forced</w:t>
      </w:r>
      <w:r w:rsidR="00190923" w:rsidRPr="00981405">
        <w:t xml:space="preserve"> </w:t>
      </w:r>
      <w:r w:rsidRPr="00981405">
        <w:t>pregnancy</w:t>
      </w:r>
      <w:r w:rsidR="00B92E2C" w:rsidRPr="00981405">
        <w:t>”</w:t>
      </w:r>
      <w:r w:rsidRPr="00981405">
        <w:t>;</w:t>
      </w:r>
      <w:r w:rsidR="00190923" w:rsidRPr="00981405">
        <w:t xml:space="preserve"> </w:t>
      </w:r>
      <w:r w:rsidR="00B92E2C" w:rsidRPr="00981405">
        <w:t>“</w:t>
      </w:r>
      <w:r w:rsidRPr="00981405">
        <w:t>persecution</w:t>
      </w:r>
      <w:r w:rsidR="00B92E2C" w:rsidRPr="00981405">
        <w:t>”</w:t>
      </w:r>
      <w:r w:rsidRPr="00981405">
        <w:t>;</w:t>
      </w:r>
      <w:r w:rsidR="00190923" w:rsidRPr="00981405">
        <w:t xml:space="preserve"> </w:t>
      </w:r>
      <w:r w:rsidR="00B92E2C" w:rsidRPr="00981405">
        <w:t>“</w:t>
      </w:r>
      <w:r w:rsidRPr="00981405">
        <w:t>the</w:t>
      </w:r>
      <w:r w:rsidR="00190923" w:rsidRPr="00981405">
        <w:t xml:space="preserve"> </w:t>
      </w:r>
      <w:r w:rsidRPr="00981405">
        <w:t>crime</w:t>
      </w:r>
      <w:r w:rsidR="00190923" w:rsidRPr="00981405">
        <w:t xml:space="preserve"> </w:t>
      </w:r>
      <w:r w:rsidRPr="00981405">
        <w:t>of</w:t>
      </w:r>
      <w:r w:rsidR="00190923" w:rsidRPr="00981405">
        <w:t xml:space="preserve"> </w:t>
      </w:r>
      <w:r w:rsidRPr="00981405">
        <w:t>apartheid</w:t>
      </w:r>
      <w:r w:rsidR="00B92E2C" w:rsidRPr="00981405">
        <w:t>”</w:t>
      </w:r>
      <w:r w:rsidRPr="00981405">
        <w:t>;</w:t>
      </w:r>
      <w:r w:rsidR="00190923" w:rsidRPr="00981405">
        <w:t xml:space="preserve"> </w:t>
      </w:r>
      <w:r w:rsidRPr="00981405">
        <w:t>and</w:t>
      </w:r>
      <w:r w:rsidR="00190923" w:rsidRPr="00981405">
        <w:t xml:space="preserve"> </w:t>
      </w:r>
      <w:r w:rsidR="00B92E2C" w:rsidRPr="00981405">
        <w:t>“</w:t>
      </w:r>
      <w:r w:rsidRPr="00981405">
        <w:t>enforced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r w:rsidR="00B92E2C" w:rsidRPr="00981405">
        <w:t>”</w:t>
      </w:r>
      <w:r w:rsidR="00190923" w:rsidRPr="00981405">
        <w:t xml:space="preserve"> </w:t>
      </w:r>
      <w:r w:rsidRPr="00981405">
        <w:t>Further,</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3,</w:t>
      </w:r>
      <w:r w:rsidR="00190923" w:rsidRPr="00981405">
        <w:t xml:space="preserve"> </w:t>
      </w:r>
      <w:r w:rsidRPr="00981405">
        <w:t>provides</w:t>
      </w:r>
      <w:r w:rsidR="00190923" w:rsidRPr="00981405">
        <w:t xml:space="preserve"> </w:t>
      </w:r>
      <w:r w:rsidRPr="00981405">
        <w:t>a</w:t>
      </w:r>
      <w:r w:rsidR="00190923" w:rsidRPr="00981405">
        <w:t xml:space="preserve"> </w:t>
      </w:r>
      <w:r w:rsidRPr="00981405">
        <w:t>definition</w:t>
      </w:r>
      <w:r w:rsidR="00190923" w:rsidRPr="00981405">
        <w:t xml:space="preserve"> </w:t>
      </w:r>
      <w:r w:rsidRPr="00981405">
        <w:t>for</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gender</w:t>
      </w:r>
      <w:r w:rsidR="00B92E2C" w:rsidRPr="00981405">
        <w:t>”</w:t>
      </w:r>
      <w:r w:rsidRPr="00981405">
        <w:t>.</w:t>
      </w:r>
      <w:r w:rsidR="00190923" w:rsidRPr="00981405">
        <w:t xml:space="preserve"> </w:t>
      </w:r>
      <w:r w:rsidRPr="00981405">
        <w:t>These</w:t>
      </w:r>
      <w:r w:rsidR="00190923" w:rsidRPr="00981405">
        <w:t xml:space="preserve"> </w:t>
      </w:r>
      <w:r w:rsidRPr="00981405">
        <w:t>definitions</w:t>
      </w:r>
      <w:r w:rsidR="00190923" w:rsidRPr="00981405">
        <w:t xml:space="preserve"> </w:t>
      </w:r>
      <w:r w:rsidRPr="00981405">
        <w:t>also</w:t>
      </w:r>
      <w:r w:rsidR="00190923" w:rsidRPr="00981405">
        <w:t xml:space="preserve"> </w:t>
      </w:r>
      <w:r w:rsidRPr="00981405">
        <w:t>appear</w:t>
      </w:r>
      <w:r w:rsidR="00190923" w:rsidRPr="00981405">
        <w:t xml:space="preserve"> </w:t>
      </w:r>
      <w:r w:rsidRPr="00981405">
        <w:t>in</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and</w:t>
      </w:r>
      <w:r w:rsidR="00190923" w:rsidRPr="00981405">
        <w:t xml:space="preserve"> </w:t>
      </w:r>
      <w:r w:rsidRPr="00981405">
        <w:t>were</w:t>
      </w:r>
      <w:r w:rsidR="00190923" w:rsidRPr="00981405">
        <w:t xml:space="preserve"> </w:t>
      </w:r>
      <w:r w:rsidRPr="00981405">
        <w:t>viewed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as</w:t>
      </w:r>
      <w:r w:rsidR="00190923" w:rsidRPr="00981405">
        <w:t xml:space="preserve"> </w:t>
      </w:r>
      <w:r w:rsidRPr="00981405">
        <w:t>relevant</w:t>
      </w:r>
      <w:r w:rsidR="00190923" w:rsidRPr="00981405">
        <w:t xml:space="preserve"> </w:t>
      </w:r>
      <w:r w:rsidRPr="00981405">
        <w:t>for</w:t>
      </w:r>
      <w:r w:rsidR="00190923" w:rsidRPr="00981405">
        <w:t xml:space="preserve"> </w:t>
      </w:r>
      <w:r w:rsidRPr="00981405">
        <w:t>retention</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p>
    <w:p w:rsidR="00397032" w:rsidRPr="00D97463" w:rsidRDefault="00397032" w:rsidP="00D97463">
      <w:pPr>
        <w:pStyle w:val="SingleTxt"/>
        <w:rPr>
          <w:i/>
          <w:iCs/>
        </w:rPr>
      </w:pPr>
      <w:r w:rsidRPr="00D97463">
        <w:rPr>
          <w:i/>
          <w:iCs/>
        </w:rPr>
        <w:tab/>
        <w:t>Paragraph</w:t>
      </w:r>
      <w:r w:rsidR="00190923" w:rsidRPr="00981405">
        <w:rPr>
          <w:i/>
          <w:iCs/>
        </w:rPr>
        <w:t xml:space="preserve"> </w:t>
      </w:r>
      <w:r w:rsidRPr="00D97463">
        <w:rPr>
          <w:i/>
          <w:iCs/>
        </w:rPr>
        <w:t>4</w:t>
      </w:r>
    </w:p>
    <w:p w:rsidR="00397032" w:rsidRPr="00981405" w:rsidRDefault="00397032" w:rsidP="00D97463">
      <w:pPr>
        <w:pStyle w:val="SingleTxt"/>
      </w:pPr>
      <w:r w:rsidRPr="00981405">
        <w:t>(39)</w:t>
      </w:r>
      <w:r w:rsidRPr="00981405">
        <w:tab/>
        <w:t>Paragraph</w:t>
      </w:r>
      <w:r w:rsidR="00190923" w:rsidRPr="00981405">
        <w:t xml:space="preserve"> </w:t>
      </w:r>
      <w:r w:rsidRPr="00981405">
        <w:t>4</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provides:</w:t>
      </w:r>
      <w:r w:rsidR="00190923" w:rsidRPr="00981405">
        <w:t xml:space="preserve"> </w:t>
      </w:r>
      <w:r w:rsidR="00B92E2C" w:rsidRPr="00981405">
        <w:t>“</w:t>
      </w:r>
      <w:r w:rsidRPr="00981405">
        <w:t>This</w:t>
      </w:r>
      <w:r w:rsidR="00190923" w:rsidRPr="00981405">
        <w:t xml:space="preserve"> </w:t>
      </w:r>
      <w:r w:rsidRPr="00981405">
        <w:t>draft</w:t>
      </w:r>
      <w:r w:rsidR="00190923" w:rsidRPr="00981405">
        <w:t xml:space="preserve"> </w:t>
      </w:r>
      <w:r w:rsidRPr="00981405">
        <w:t>article</w:t>
      </w:r>
      <w:r w:rsidR="00190923" w:rsidRPr="00981405">
        <w:t xml:space="preserve"> </w:t>
      </w:r>
      <w:r w:rsidRPr="00981405">
        <w:t>is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broader</w:t>
      </w:r>
      <w:r w:rsidR="00190923" w:rsidRPr="00981405">
        <w:t xml:space="preserve"> </w:t>
      </w:r>
      <w:r w:rsidRPr="00981405">
        <w:t>definition</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any</w:t>
      </w:r>
      <w:r w:rsidR="00190923" w:rsidRPr="00981405">
        <w:t xml:space="preserve"> </w:t>
      </w:r>
      <w:r w:rsidRPr="00981405">
        <w:t>international</w:t>
      </w:r>
      <w:r w:rsidR="00190923" w:rsidRPr="00981405">
        <w:t xml:space="preserve"> </w:t>
      </w:r>
      <w:r w:rsidRPr="00981405">
        <w:t>instrument</w:t>
      </w:r>
      <w:r w:rsidR="00190923" w:rsidRPr="00981405">
        <w:t xml:space="preserve"> </w:t>
      </w:r>
      <w:r w:rsidRPr="00981405">
        <w:t>or</w:t>
      </w:r>
      <w:r w:rsidR="00190923" w:rsidRPr="00981405">
        <w:t xml:space="preserve"> </w:t>
      </w:r>
      <w:r w:rsidRPr="00981405">
        <w:t>national</w:t>
      </w:r>
      <w:r w:rsidR="00190923" w:rsidRPr="00981405">
        <w:t xml:space="preserve"> </w:t>
      </w:r>
      <w:r w:rsidRPr="00981405">
        <w:t>law.</w:t>
      </w:r>
      <w:r w:rsidR="00B92E2C" w:rsidRPr="00981405">
        <w:t>”</w:t>
      </w:r>
      <w:r w:rsidR="00190923" w:rsidRPr="00981405">
        <w:t xml:space="preserve"> </w:t>
      </w:r>
      <w:r w:rsidRPr="00981405">
        <w:t>This</w:t>
      </w:r>
      <w:r w:rsidR="00190923" w:rsidRPr="00981405">
        <w:t xml:space="preserve"> </w:t>
      </w:r>
      <w:r w:rsidRPr="00981405">
        <w:t>provision</w:t>
      </w:r>
      <w:r w:rsidR="00190923" w:rsidRPr="00981405">
        <w:t xml:space="preserve"> </w:t>
      </w:r>
      <w:r w:rsidRPr="00981405">
        <w:t>is</w:t>
      </w:r>
      <w:r w:rsidR="00190923" w:rsidRPr="00981405">
        <w:t xml:space="preserve"> </w:t>
      </w:r>
      <w:r w:rsidRPr="00981405">
        <w:t>similar</w:t>
      </w:r>
      <w:r w:rsidR="00190923" w:rsidRPr="00981405">
        <w:t xml:space="preserve"> </w:t>
      </w:r>
      <w:r w:rsidRPr="00981405">
        <w:t>to</w:t>
      </w:r>
      <w:r w:rsidR="00190923" w:rsidRPr="00981405">
        <w:t xml:space="preserve"> </w:t>
      </w:r>
      <w:r w:rsidRPr="00981405">
        <w:t>article</w:t>
      </w:r>
      <w:r w:rsidR="00190923" w:rsidRPr="00981405">
        <w:t xml:space="preserve"> </w:t>
      </w:r>
      <w:r w:rsidRPr="00981405">
        <w:t>1,</w:t>
      </w:r>
      <w:r w:rsidR="00190923" w:rsidRPr="00981405">
        <w:t xml:space="preserve"> </w:t>
      </w:r>
      <w:r w:rsidRPr="00981405">
        <w:t>paragraph</w:t>
      </w:r>
      <w:r w:rsidR="00190923" w:rsidRPr="00981405">
        <w:t xml:space="preserve"> </w:t>
      </w:r>
      <w:r w:rsidRPr="00981405">
        <w:t>2,</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against</w:t>
      </w:r>
      <w:r w:rsidR="00190923" w:rsidRPr="00981405">
        <w:t xml:space="preserve"> </w:t>
      </w:r>
      <w:r w:rsidRPr="00981405">
        <w:t>Torture</w:t>
      </w:r>
      <w:r w:rsidR="00190923" w:rsidRPr="00981405">
        <w:t xml:space="preserve"> </w:t>
      </w:r>
      <w:r w:rsidRPr="00981405">
        <w:t>and</w:t>
      </w:r>
      <w:r w:rsidR="00190923" w:rsidRPr="00981405">
        <w:t xml:space="preserve"> </w:t>
      </w:r>
      <w:r w:rsidRPr="00981405">
        <w:t>Other</w:t>
      </w:r>
      <w:r w:rsidR="00190923" w:rsidRPr="00981405">
        <w:t xml:space="preserve"> </w:t>
      </w:r>
      <w:r w:rsidRPr="00981405">
        <w:t>Cruel,</w:t>
      </w:r>
      <w:r w:rsidR="00190923" w:rsidRPr="00981405">
        <w:t xml:space="preserve"> </w:t>
      </w:r>
      <w:r w:rsidRPr="00981405">
        <w:t>Inhuman</w:t>
      </w:r>
      <w:r w:rsidR="00190923" w:rsidRPr="00981405">
        <w:t xml:space="preserve"> </w:t>
      </w:r>
      <w:r w:rsidRPr="00981405">
        <w:t>or</w:t>
      </w:r>
      <w:r w:rsidR="00190923" w:rsidRPr="00981405">
        <w:t xml:space="preserve"> </w:t>
      </w:r>
      <w:r w:rsidRPr="00981405">
        <w:t>Degrading</w:t>
      </w:r>
      <w:r w:rsidR="00190923" w:rsidRPr="00981405">
        <w:t xml:space="preserve"> </w:t>
      </w:r>
      <w:r w:rsidRPr="00981405">
        <w:t>Treatment</w:t>
      </w:r>
      <w:r w:rsidR="00190923" w:rsidRPr="00981405">
        <w:t xml:space="preserve"> </w:t>
      </w:r>
      <w:r w:rsidRPr="00981405">
        <w:t>or</w:t>
      </w:r>
      <w:r w:rsidR="00190923" w:rsidRPr="00981405">
        <w:t xml:space="preserve"> </w:t>
      </w:r>
      <w:r w:rsidRPr="00981405">
        <w:t>Punishment,</w:t>
      </w:r>
      <w:r w:rsidR="00190923" w:rsidRPr="00981405">
        <w:t xml:space="preserve"> </w:t>
      </w:r>
      <w:r w:rsidRPr="00981405">
        <w:t>which</w:t>
      </w:r>
      <w:r w:rsidR="00190923" w:rsidRPr="00981405">
        <w:t xml:space="preserve"> </w:t>
      </w:r>
      <w:r w:rsidRPr="00981405">
        <w:t>provides:</w:t>
      </w:r>
      <w:r w:rsidR="00190923" w:rsidRPr="00981405">
        <w:t xml:space="preserve"> </w:t>
      </w:r>
      <w:r w:rsidR="00B92E2C" w:rsidRPr="00981405">
        <w:t>“</w:t>
      </w:r>
      <w:r w:rsidRPr="00981405">
        <w:t>This</w:t>
      </w:r>
      <w:r w:rsidR="00190923" w:rsidRPr="00981405">
        <w:t xml:space="preserve"> </w:t>
      </w:r>
      <w:r w:rsidRPr="00981405">
        <w:t>article</w:t>
      </w:r>
      <w:r w:rsidR="00190923" w:rsidRPr="00981405">
        <w:t xml:space="preserve"> </w:t>
      </w:r>
      <w:r w:rsidRPr="00981405">
        <w:t>is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international</w:t>
      </w:r>
      <w:r w:rsidR="00190923" w:rsidRPr="00981405">
        <w:t xml:space="preserve"> </w:t>
      </w:r>
      <w:r w:rsidRPr="00981405">
        <w:t>instrument</w:t>
      </w:r>
      <w:r w:rsidR="00190923" w:rsidRPr="00981405">
        <w:t xml:space="preserve"> </w:t>
      </w:r>
      <w:r w:rsidRPr="00981405">
        <w:t>or</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which</w:t>
      </w:r>
      <w:r w:rsidR="00190923" w:rsidRPr="00981405">
        <w:t xml:space="preserve"> </w:t>
      </w:r>
      <w:r w:rsidRPr="00981405">
        <w:t>does</w:t>
      </w:r>
      <w:r w:rsidR="00190923" w:rsidRPr="00981405">
        <w:t xml:space="preserve"> </w:t>
      </w:r>
      <w:r w:rsidRPr="00981405">
        <w:t>or</w:t>
      </w:r>
      <w:r w:rsidR="00190923" w:rsidRPr="00981405">
        <w:t xml:space="preserve"> </w:t>
      </w:r>
      <w:r w:rsidRPr="00981405">
        <w:t>may</w:t>
      </w:r>
      <w:r w:rsidR="00190923" w:rsidRPr="00981405">
        <w:t xml:space="preserve"> </w:t>
      </w:r>
      <w:r w:rsidRPr="00981405">
        <w:t>contain</w:t>
      </w:r>
      <w:r w:rsidR="00190923" w:rsidRPr="00981405">
        <w:t xml:space="preserve"> </w:t>
      </w:r>
      <w:r w:rsidRPr="00981405">
        <w:t>provisions</w:t>
      </w:r>
      <w:r w:rsidR="00190923" w:rsidRPr="00981405">
        <w:t xml:space="preserve"> </w:t>
      </w:r>
      <w:r w:rsidRPr="00981405">
        <w:t>of</w:t>
      </w:r>
      <w:r w:rsidR="00190923" w:rsidRPr="00981405">
        <w:t xml:space="preserve"> </w:t>
      </w:r>
      <w:r w:rsidRPr="00981405">
        <w:t>wider</w:t>
      </w:r>
      <w:r w:rsidR="00190923" w:rsidRPr="00981405">
        <w:t xml:space="preserve"> </w:t>
      </w:r>
      <w:r w:rsidRPr="00981405">
        <w:t>application.</w:t>
      </w:r>
      <w:bookmarkStart w:id="92" w:name="_Ref295981371"/>
      <w:r w:rsidR="00B92E2C" w:rsidRPr="00981405">
        <w:t>”</w:t>
      </w:r>
      <w:r w:rsidRPr="00981405">
        <w:rPr>
          <w:rStyle w:val="FootnoteReference"/>
        </w:rPr>
        <w:footnoteReference w:id="226"/>
      </w:r>
      <w:bookmarkEnd w:id="92"/>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10</w:t>
      </w:r>
      <w:r w:rsidR="00190923" w:rsidRPr="00981405">
        <w:t xml:space="preserve"> </w:t>
      </w:r>
      <w:r w:rsidRPr="00981405">
        <w:t>(appearing</w:t>
      </w:r>
      <w:r w:rsidR="00190923" w:rsidRPr="00981405">
        <w:t xml:space="preserve"> </w:t>
      </w:r>
      <w:r w:rsidRPr="00981405">
        <w:t>in</w:t>
      </w:r>
      <w:r w:rsidR="00190923" w:rsidRPr="00981405">
        <w:t xml:space="preserve"> </w:t>
      </w:r>
      <w:r w:rsidRPr="00981405">
        <w:t>part</w:t>
      </w:r>
      <w:r w:rsidR="00190923" w:rsidRPr="00981405">
        <w:t xml:space="preserve"> </w:t>
      </w:r>
      <w:r w:rsidRPr="00981405">
        <w:t>II</w:t>
      </w:r>
      <w:r w:rsidR="00190923" w:rsidRPr="00981405">
        <w:t xml:space="preserve"> </w:t>
      </w:r>
      <w:r w:rsidRPr="00981405">
        <w:t>on</w:t>
      </w:r>
      <w:r w:rsidR="00190923" w:rsidRPr="00981405">
        <w:t xml:space="preserve"> </w:t>
      </w:r>
      <w:r w:rsidR="00B92E2C" w:rsidRPr="00981405">
        <w:t>“</w:t>
      </w:r>
      <w:r w:rsidRPr="00981405">
        <w:t>Jurisdiction,</w:t>
      </w:r>
      <w:r w:rsidR="00190923" w:rsidRPr="00981405">
        <w:t xml:space="preserve"> </w:t>
      </w:r>
      <w:r w:rsidRPr="00981405">
        <w:t>admissibility,</w:t>
      </w:r>
      <w:r w:rsidR="00190923" w:rsidRPr="00981405">
        <w:t xml:space="preserve"> </w:t>
      </w:r>
      <w:r w:rsidRPr="00981405">
        <w:t>and</w:t>
      </w:r>
      <w:r w:rsidR="00190923" w:rsidRPr="00981405">
        <w:t xml:space="preserve"> </w:t>
      </w:r>
      <w:r w:rsidRPr="00981405">
        <w:t>applicable</w:t>
      </w:r>
      <w:r w:rsidR="00190923" w:rsidRPr="00981405">
        <w:t xml:space="preserve"> </w:t>
      </w:r>
      <w:r w:rsidRPr="00981405">
        <w:t>law</w:t>
      </w:r>
      <w:r w:rsidR="00B92E2C" w:rsidRPr="00981405">
        <w:t>”</w:t>
      </w:r>
      <w:r w:rsidRPr="00981405">
        <w:t>)</w:t>
      </w:r>
      <w:r w:rsidR="00190923" w:rsidRPr="00981405">
        <w:t xml:space="preserve"> </w:t>
      </w:r>
      <w:r w:rsidRPr="00981405">
        <w:t>also</w:t>
      </w:r>
      <w:r w:rsidR="00190923" w:rsidRPr="00981405">
        <w:t xml:space="preserve"> </w:t>
      </w:r>
      <w:r w:rsidRPr="00981405">
        <w:t>contains</w:t>
      </w:r>
      <w:r w:rsidR="00190923" w:rsidRPr="00981405">
        <w:t xml:space="preserve"> </w:t>
      </w:r>
      <w:r w:rsidRPr="00981405">
        <w:t>a</w:t>
      </w:r>
      <w:r w:rsidR="00190923" w:rsidRPr="00981405">
        <w:t xml:space="preserve"> </w:t>
      </w:r>
      <w:r w:rsidR="00B92E2C" w:rsidRPr="00981405">
        <w:t>“</w:t>
      </w:r>
      <w:r w:rsidRPr="00981405">
        <w:t>without</w:t>
      </w:r>
      <w:r w:rsidR="00190923" w:rsidRPr="00981405">
        <w:t xml:space="preserve"> </w:t>
      </w:r>
      <w:r w:rsidRPr="00981405">
        <w:t>prejudice</w:t>
      </w:r>
      <w:r w:rsidR="00190923" w:rsidRPr="00981405">
        <w:t xml:space="preserve"> </w:t>
      </w:r>
      <w:r w:rsidRPr="00981405">
        <w:t>clause,</w:t>
      </w:r>
      <w:r w:rsidR="00B92E2C" w:rsidRPr="00981405">
        <w:t>”</w:t>
      </w:r>
      <w:r w:rsidR="00190923" w:rsidRPr="00981405">
        <w:t xml:space="preserve"> </w:t>
      </w:r>
      <w:r w:rsidRPr="00981405">
        <w:t>which</w:t>
      </w:r>
      <w:r w:rsidR="00190923" w:rsidRPr="00981405">
        <w:t xml:space="preserve"> </w:t>
      </w:r>
      <w:r w:rsidRPr="00981405">
        <w:t>reads:</w:t>
      </w:r>
      <w:r w:rsidR="00190923" w:rsidRPr="00981405">
        <w:t xml:space="preserve"> </w:t>
      </w:r>
      <w:r w:rsidR="00B92E2C" w:rsidRPr="00981405">
        <w:t>“</w:t>
      </w:r>
      <w:r w:rsidRPr="00981405">
        <w:t>Nothing</w:t>
      </w:r>
      <w:r w:rsidR="00190923" w:rsidRPr="00981405">
        <w:t xml:space="preserve"> </w:t>
      </w:r>
      <w:r w:rsidRPr="00981405">
        <w:t>in</w:t>
      </w:r>
      <w:r w:rsidR="00190923" w:rsidRPr="00981405">
        <w:t xml:space="preserve"> </w:t>
      </w:r>
      <w:r w:rsidRPr="00981405">
        <w:t>this</w:t>
      </w:r>
      <w:r w:rsidR="00190923" w:rsidRPr="00981405">
        <w:t xml:space="preserve"> </w:t>
      </w:r>
      <w:r w:rsidRPr="00981405">
        <w:t>Part</w:t>
      </w:r>
      <w:r w:rsidR="00190923" w:rsidRPr="00981405">
        <w:t xml:space="preserve"> </w:t>
      </w:r>
      <w:r w:rsidRPr="00981405">
        <w:t>shall</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as</w:t>
      </w:r>
      <w:r w:rsidR="00190923" w:rsidRPr="00981405">
        <w:t xml:space="preserve"> </w:t>
      </w:r>
      <w:r w:rsidRPr="00981405">
        <w:t>limiting</w:t>
      </w:r>
      <w:r w:rsidR="00190923" w:rsidRPr="00981405">
        <w:t xml:space="preserve"> </w:t>
      </w:r>
      <w:r w:rsidRPr="00981405">
        <w:t>or</w:t>
      </w:r>
      <w:r w:rsidR="00190923" w:rsidRPr="00981405">
        <w:t xml:space="preserve"> </w:t>
      </w:r>
      <w:r w:rsidRPr="00981405">
        <w:t>prejudicing</w:t>
      </w:r>
      <w:r w:rsidR="00190923" w:rsidRPr="00981405">
        <w:t xml:space="preserve"> </w:t>
      </w:r>
      <w:r w:rsidRPr="00981405">
        <w:t>in</w:t>
      </w:r>
      <w:r w:rsidR="00190923" w:rsidRPr="00981405">
        <w:t xml:space="preserve"> </w:t>
      </w:r>
      <w:r w:rsidRPr="00981405">
        <w:t>any</w:t>
      </w:r>
      <w:r w:rsidR="00190923" w:rsidRPr="00981405">
        <w:t xml:space="preserve"> </w:t>
      </w:r>
      <w:r w:rsidRPr="00981405">
        <w:t>way</w:t>
      </w:r>
      <w:r w:rsidR="00190923" w:rsidRPr="00981405">
        <w:t xml:space="preserve"> </w:t>
      </w:r>
      <w:r w:rsidRPr="00981405">
        <w:t>existing</w:t>
      </w:r>
      <w:r w:rsidR="00190923" w:rsidRPr="00981405">
        <w:t xml:space="preserve"> </w:t>
      </w:r>
      <w:r w:rsidRPr="00981405">
        <w:t>or</w:t>
      </w:r>
      <w:r w:rsidR="00190923" w:rsidRPr="00981405">
        <w:t xml:space="preserve"> </w:t>
      </w:r>
      <w:r w:rsidRPr="00981405">
        <w:t>developing</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for</w:t>
      </w:r>
      <w:r w:rsidR="00190923" w:rsidRPr="00981405">
        <w:t xml:space="preserve"> </w:t>
      </w:r>
      <w:r w:rsidRPr="00981405">
        <w:t>purposes</w:t>
      </w:r>
      <w:r w:rsidR="00190923" w:rsidRPr="00981405">
        <w:t xml:space="preserve"> </w:t>
      </w:r>
      <w:r w:rsidRPr="00981405">
        <w:t>other</w:t>
      </w:r>
      <w:r w:rsidR="00190923" w:rsidRPr="00981405">
        <w:t xml:space="preserve"> </w:t>
      </w:r>
      <w:r w:rsidRPr="00981405">
        <w:t>than</w:t>
      </w:r>
      <w:r w:rsidR="00190923" w:rsidRPr="00981405">
        <w:t xml:space="preserve"> </w:t>
      </w:r>
      <w:r w:rsidRPr="00981405">
        <w:t>this</w:t>
      </w:r>
      <w:r w:rsidR="00190923" w:rsidRPr="00981405">
        <w:t xml:space="preserve"> </w:t>
      </w:r>
      <w:r w:rsidRPr="00981405">
        <w:t>Statute.</w:t>
      </w:r>
      <w:r w:rsidR="00B92E2C" w:rsidRPr="00981405">
        <w:t>”</w:t>
      </w:r>
    </w:p>
    <w:p w:rsidR="00397032" w:rsidRPr="00981405" w:rsidRDefault="00397032" w:rsidP="00D97463">
      <w:pPr>
        <w:pStyle w:val="SingleTxt"/>
      </w:pPr>
      <w:r w:rsidRPr="00981405">
        <w:t>(40)</w:t>
      </w:r>
      <w:r w:rsidRPr="00981405">
        <w:tab/>
        <w:t>Paragraph</w:t>
      </w:r>
      <w:r w:rsidR="00190923" w:rsidRPr="00981405">
        <w:t xml:space="preserve"> </w:t>
      </w:r>
      <w:r w:rsidRPr="00981405">
        <w:t>4</w:t>
      </w:r>
      <w:r w:rsidR="00190923" w:rsidRPr="00981405">
        <w:t xml:space="preserve"> </w:t>
      </w:r>
      <w:r w:rsidRPr="00981405">
        <w:t>is</w:t>
      </w:r>
      <w:r w:rsidR="00190923" w:rsidRPr="00981405">
        <w:t xml:space="preserve"> </w:t>
      </w:r>
      <w:r w:rsidRPr="00981405">
        <w:t>meant</w:t>
      </w:r>
      <w:r w:rsidR="00190923" w:rsidRPr="00981405">
        <w:t xml:space="preserve"> </w:t>
      </w:r>
      <w:r w:rsidRPr="00981405">
        <w:t>to</w:t>
      </w:r>
      <w:r w:rsidR="00190923" w:rsidRPr="00981405">
        <w:t xml:space="preserve"> </w:t>
      </w:r>
      <w:r w:rsidRPr="00981405">
        <w:t>ensure</w:t>
      </w:r>
      <w:r w:rsidR="00190923" w:rsidRPr="00981405">
        <w:t xml:space="preserve"> </w:t>
      </w:r>
      <w:r w:rsidRPr="00981405">
        <w:t>that</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does</w:t>
      </w:r>
      <w:r w:rsidR="00190923" w:rsidRPr="00981405">
        <w:t xml:space="preserve"> </w:t>
      </w:r>
      <w:r w:rsidRPr="00981405">
        <w:t>not</w:t>
      </w:r>
      <w:r w:rsidR="00190923" w:rsidRPr="00981405">
        <w:t xml:space="preserve"> </w:t>
      </w:r>
      <w:r w:rsidRPr="00981405">
        <w:t>call</w:t>
      </w:r>
      <w:r w:rsidR="00190923" w:rsidRPr="00981405">
        <w:t xml:space="preserve"> </w:t>
      </w:r>
      <w:r w:rsidRPr="00981405">
        <w:t>into</w:t>
      </w:r>
      <w:r w:rsidR="00190923" w:rsidRPr="00981405">
        <w:t xml:space="preserve"> </w:t>
      </w:r>
      <w:r w:rsidRPr="00981405">
        <w:t>question</w:t>
      </w:r>
      <w:r w:rsidR="00190923" w:rsidRPr="00981405">
        <w:t xml:space="preserve"> </w:t>
      </w:r>
      <w:r w:rsidRPr="00981405">
        <w:t>any</w:t>
      </w:r>
      <w:r w:rsidR="00190923" w:rsidRPr="00981405">
        <w:t xml:space="preserve"> </w:t>
      </w:r>
      <w:r w:rsidRPr="00981405">
        <w:t>broader</w:t>
      </w:r>
      <w:r w:rsidR="00190923" w:rsidRPr="00981405">
        <w:t xml:space="preserve"> </w:t>
      </w:r>
      <w:r w:rsidRPr="00981405">
        <w:t>definitions</w:t>
      </w:r>
      <w:r w:rsidR="00190923" w:rsidRPr="00981405">
        <w:t xml:space="preserve"> </w:t>
      </w:r>
      <w:r w:rsidRPr="00981405">
        <w:t>that</w:t>
      </w:r>
      <w:r w:rsidR="00190923" w:rsidRPr="00981405">
        <w:t xml:space="preserve"> </w:t>
      </w:r>
      <w:r w:rsidRPr="00981405">
        <w:t>may</w:t>
      </w:r>
      <w:r w:rsidR="00190923" w:rsidRPr="00981405">
        <w:t xml:space="preserve"> </w:t>
      </w:r>
      <w:r w:rsidRPr="00981405">
        <w:t>exist</w:t>
      </w:r>
      <w:r w:rsidR="00190923" w:rsidRPr="00981405">
        <w:t xml:space="preserve"> </w:t>
      </w:r>
      <w:r w:rsidRPr="00981405">
        <w:t>in</w:t>
      </w:r>
      <w:r w:rsidR="00190923" w:rsidRPr="00981405">
        <w:t xml:space="preserve"> </w:t>
      </w:r>
      <w:r w:rsidRPr="00981405">
        <w:t>other</w:t>
      </w:r>
      <w:r w:rsidR="00190923" w:rsidRPr="00981405">
        <w:t xml:space="preserve"> </w:t>
      </w:r>
      <w:r w:rsidRPr="00981405">
        <w:t>international</w:t>
      </w:r>
      <w:r w:rsidR="00190923" w:rsidRPr="00981405">
        <w:t xml:space="preserve"> </w:t>
      </w:r>
      <w:r w:rsidRPr="00981405">
        <w:t>instruments</w:t>
      </w:r>
      <w:r w:rsidR="00190923" w:rsidRPr="00981405">
        <w:t xml:space="preserve"> </w:t>
      </w:r>
      <w:r w:rsidRPr="00981405">
        <w:t>or</w:t>
      </w:r>
      <w:r w:rsidR="00190923" w:rsidRPr="00981405">
        <w:t xml:space="preserve"> </w:t>
      </w:r>
      <w:r w:rsidRPr="00981405">
        <w:t>national</w:t>
      </w:r>
      <w:r w:rsidR="00190923" w:rsidRPr="00981405">
        <w:t xml:space="preserve"> </w:t>
      </w:r>
      <w:r w:rsidRPr="00981405">
        <w:t>legislation.</w:t>
      </w:r>
      <w:r w:rsidR="00190923" w:rsidRPr="00981405">
        <w:t xml:space="preserve"> </w:t>
      </w:r>
      <w:r w:rsidR="00B92E2C" w:rsidRPr="00981405">
        <w:t>“</w:t>
      </w:r>
      <w:r w:rsidRPr="00981405">
        <w:t>International</w:t>
      </w:r>
      <w:r w:rsidR="00190923" w:rsidRPr="00981405">
        <w:t xml:space="preserve"> </w:t>
      </w:r>
      <w:r w:rsidRPr="00981405">
        <w:t>instrument</w:t>
      </w:r>
      <w:r w:rsidR="00B92E2C" w:rsidRPr="00981405">
        <w:t>”</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understood</w:t>
      </w:r>
      <w:r w:rsidR="00190923" w:rsidRPr="00981405">
        <w:t xml:space="preserve"> </w:t>
      </w:r>
      <w:r w:rsidRPr="00981405">
        <w:t>in</w:t>
      </w:r>
      <w:r w:rsidR="00190923" w:rsidRPr="00981405">
        <w:t xml:space="preserve"> </w:t>
      </w:r>
      <w:r w:rsidRPr="00981405">
        <w:t>the</w:t>
      </w:r>
      <w:r w:rsidR="00190923" w:rsidRPr="00981405">
        <w:t xml:space="preserve"> </w:t>
      </w:r>
      <w:r w:rsidRPr="00981405">
        <w:t>broad</w:t>
      </w:r>
      <w:r w:rsidR="00190923" w:rsidRPr="00981405">
        <w:t xml:space="preserve"> </w:t>
      </w:r>
      <w:r w:rsidRPr="00981405">
        <w:t>sense</w:t>
      </w:r>
      <w:r w:rsidR="00190923" w:rsidRPr="00981405">
        <w:t xml:space="preserve"> </w:t>
      </w:r>
      <w:r w:rsidRPr="00981405">
        <w:t>and</w:t>
      </w:r>
      <w:r w:rsidR="00190923" w:rsidRPr="00981405">
        <w:t xml:space="preserve"> </w:t>
      </w:r>
      <w:r w:rsidRPr="00981405">
        <w:t>not</w:t>
      </w:r>
      <w:r w:rsidR="00190923" w:rsidRPr="00981405">
        <w:t xml:space="preserve"> </w:t>
      </w:r>
      <w:r w:rsidRPr="00981405">
        <w:t>only</w:t>
      </w:r>
      <w:r w:rsidR="00190923" w:rsidRPr="00981405">
        <w:t xml:space="preserve"> </w:t>
      </w:r>
      <w:r w:rsidRPr="00981405">
        <w:t>in</w:t>
      </w:r>
      <w:r w:rsidR="00190923" w:rsidRPr="00981405">
        <w:t xml:space="preserve"> </w:t>
      </w:r>
      <w:r w:rsidRPr="00981405">
        <w:t>the</w:t>
      </w:r>
      <w:r w:rsidR="00190923" w:rsidRPr="00981405">
        <w:t xml:space="preserve"> </w:t>
      </w:r>
      <w:r w:rsidRPr="00981405">
        <w:t>sense</w:t>
      </w:r>
      <w:r w:rsidR="00190923" w:rsidRPr="00981405">
        <w:t xml:space="preserve"> </w:t>
      </w:r>
      <w:r w:rsidRPr="00981405">
        <w:t>of</w:t>
      </w:r>
      <w:r w:rsidR="00190923" w:rsidRPr="00981405">
        <w:t xml:space="preserve"> </w:t>
      </w:r>
      <w:r w:rsidRPr="00981405">
        <w:t>being</w:t>
      </w:r>
      <w:r w:rsidR="00190923" w:rsidRPr="00981405">
        <w:t xml:space="preserve"> </w:t>
      </w:r>
      <w:r w:rsidRPr="00981405">
        <w:t>a</w:t>
      </w:r>
      <w:r w:rsidR="00190923" w:rsidRPr="00981405">
        <w:t xml:space="preserve"> </w:t>
      </w:r>
      <w:r w:rsidRPr="00981405">
        <w:t>binding</w:t>
      </w:r>
      <w:r w:rsidR="00190923" w:rsidRPr="00981405">
        <w:t xml:space="preserve"> </w:t>
      </w:r>
      <w:r w:rsidRPr="00981405">
        <w:t>international</w:t>
      </w:r>
      <w:r w:rsidR="00190923" w:rsidRPr="00981405">
        <w:t xml:space="preserve"> </w:t>
      </w:r>
      <w:r w:rsidRPr="00981405">
        <w:t>agreement.</w:t>
      </w:r>
      <w:r w:rsidR="00190923" w:rsidRPr="00981405">
        <w:t xml:space="preserve"> </w:t>
      </w:r>
      <w:r w:rsidRPr="00981405">
        <w:t>For</w:t>
      </w:r>
      <w:r w:rsidR="00190923" w:rsidRPr="00981405">
        <w:t xml:space="preserve"> </w:t>
      </w:r>
      <w:r w:rsidRPr="00981405">
        <w:t>example,</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enforced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r w:rsidR="00B92E2C" w:rsidRPr="00981405">
        <w:t>”</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follows</w:t>
      </w:r>
      <w:r w:rsidR="00190923" w:rsidRPr="00981405">
        <w:t xml:space="preserve"> </w:t>
      </w:r>
      <w:r w:rsidRPr="00981405">
        <w:t>Rome</w:t>
      </w:r>
      <w:r w:rsidR="00190923" w:rsidRPr="00981405">
        <w:t xml:space="preserve"> </w:t>
      </w:r>
      <w:r w:rsidRPr="00981405">
        <w:t>Statute</w:t>
      </w:r>
      <w:r w:rsidR="00190923" w:rsidRPr="00981405">
        <w:t xml:space="preserve"> </w:t>
      </w:r>
      <w:r w:rsidRPr="00981405">
        <w:t>Article</w:t>
      </w:r>
      <w:r w:rsidR="00190923" w:rsidRPr="00981405">
        <w:t xml:space="preserve"> </w:t>
      </w:r>
      <w:r w:rsidRPr="00981405">
        <w:t>7,</w:t>
      </w:r>
      <w:r w:rsidR="00190923" w:rsidRPr="00981405">
        <w:t xml:space="preserve"> </w:t>
      </w:r>
      <w:r w:rsidRPr="00981405">
        <w:t>but</w:t>
      </w:r>
      <w:r w:rsidR="00190923" w:rsidRPr="00981405">
        <w:t xml:space="preserve"> </w:t>
      </w:r>
      <w:r w:rsidRPr="00981405">
        <w:t>differs</w:t>
      </w:r>
      <w:r w:rsidR="00190923" w:rsidRPr="00981405">
        <w:t xml:space="preserve"> </w:t>
      </w:r>
      <w:r w:rsidRPr="00981405">
        <w:t>from</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1992</w:t>
      </w:r>
      <w:r w:rsidR="00190923" w:rsidRPr="00981405">
        <w:t xml:space="preserve"> </w:t>
      </w:r>
      <w:r w:rsidRPr="00981405">
        <w:t>Declaration</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All</w:t>
      </w:r>
      <w:r w:rsidR="00190923" w:rsidRPr="00981405">
        <w:t xml:space="preserve"> </w:t>
      </w:r>
      <w:r w:rsidRPr="00981405">
        <w:t>Persons</w:t>
      </w:r>
      <w:r w:rsidR="00190923" w:rsidRPr="00981405">
        <w:t xml:space="preserve"> </w:t>
      </w:r>
      <w:r w:rsidRPr="00981405">
        <w:t>from</w:t>
      </w:r>
      <w:r w:rsidR="00190923" w:rsidRPr="00981405">
        <w:t xml:space="preserve"> </w:t>
      </w:r>
      <w:r w:rsidRPr="00981405">
        <w:t>Enforced</w:t>
      </w:r>
      <w:r w:rsidR="00190923" w:rsidRPr="00981405">
        <w:t xml:space="preserve"> </w:t>
      </w:r>
      <w:r w:rsidRPr="00981405">
        <w:t>Disappearance,</w:t>
      </w:r>
      <w:r w:rsidRPr="00981405">
        <w:rPr>
          <w:rStyle w:val="FootnoteReference"/>
        </w:rPr>
        <w:footnoteReference w:id="227"/>
      </w:r>
      <w:r w:rsidR="00190923" w:rsidRPr="00981405">
        <w:t xml:space="preserve"> </w:t>
      </w:r>
      <w:r w:rsidRPr="00981405">
        <w:t>in</w:t>
      </w:r>
      <w:r w:rsidR="00190923" w:rsidRPr="00981405">
        <w:t xml:space="preserve"> </w:t>
      </w:r>
      <w:r w:rsidRPr="00981405">
        <w:t>the</w:t>
      </w:r>
      <w:r w:rsidR="00190923" w:rsidRPr="00981405">
        <w:t xml:space="preserve"> </w:t>
      </w:r>
      <w:r w:rsidRPr="00981405">
        <w:t>Inter-American</w:t>
      </w:r>
      <w:r w:rsidR="00190923" w:rsidRPr="00981405">
        <w:t xml:space="preserve"> </w:t>
      </w:r>
      <w:r w:rsidRPr="00981405">
        <w:t>Convention</w:t>
      </w:r>
      <w:r w:rsidR="00190923" w:rsidRPr="00981405">
        <w:t xml:space="preserve"> </w:t>
      </w:r>
      <w:r w:rsidRPr="00981405">
        <w:t>on</w:t>
      </w:r>
      <w:r w:rsidR="00190923" w:rsidRPr="00981405">
        <w:t xml:space="preserve"> </w:t>
      </w:r>
      <w:r w:rsidRPr="00981405">
        <w:t>Forced</w:t>
      </w:r>
      <w:r w:rsidR="00190923" w:rsidRPr="00981405">
        <w:t xml:space="preserve"> </w:t>
      </w:r>
      <w:r w:rsidRPr="00981405">
        <w:t>Disappearance</w:t>
      </w:r>
      <w:r w:rsidR="00190923" w:rsidRPr="00981405">
        <w:t xml:space="preserve"> </w:t>
      </w:r>
      <w:r w:rsidRPr="00981405">
        <w:t>of</w:t>
      </w:r>
      <w:r w:rsidR="00190923" w:rsidRPr="00981405">
        <w:t xml:space="preserve"> </w:t>
      </w:r>
      <w:r w:rsidRPr="00981405">
        <w:t>Persons,</w:t>
      </w:r>
      <w:bookmarkStart w:id="93" w:name="_Ref295981561"/>
      <w:r w:rsidRPr="00981405">
        <w:rPr>
          <w:rStyle w:val="FootnoteReference"/>
        </w:rPr>
        <w:footnoteReference w:id="228"/>
      </w:r>
      <w:bookmarkEnd w:id="93"/>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Convention</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all</w:t>
      </w:r>
      <w:r w:rsidR="00190923" w:rsidRPr="00981405">
        <w:t xml:space="preserve"> </w:t>
      </w:r>
      <w:r w:rsidRPr="00981405">
        <w:t>Persons</w:t>
      </w:r>
      <w:r w:rsidR="00190923" w:rsidRPr="00981405">
        <w:t xml:space="preserve"> </w:t>
      </w:r>
      <w:r w:rsidRPr="00981405">
        <w:t>against</w:t>
      </w:r>
      <w:r w:rsidR="00190923" w:rsidRPr="00981405">
        <w:t xml:space="preserve"> </w:t>
      </w:r>
      <w:r w:rsidRPr="00981405">
        <w:t>Enforced</w:t>
      </w:r>
      <w:r w:rsidR="00190923" w:rsidRPr="00981405">
        <w:t xml:space="preserve"> </w:t>
      </w:r>
      <w:r w:rsidRPr="00981405">
        <w:t>Disappearance.</w:t>
      </w:r>
      <w:bookmarkStart w:id="94" w:name="_Ref295982514"/>
      <w:r w:rsidRPr="00981405">
        <w:rPr>
          <w:rStyle w:val="FootnoteReference"/>
        </w:rPr>
        <w:footnoteReference w:id="229"/>
      </w:r>
      <w:bookmarkEnd w:id="94"/>
      <w:r w:rsidR="00190923" w:rsidRPr="00981405">
        <w:t xml:space="preserve"> </w:t>
      </w:r>
      <w:r w:rsidRPr="00981405">
        <w:t>Those</w:t>
      </w:r>
      <w:r w:rsidR="00190923" w:rsidRPr="00981405">
        <w:t xml:space="preserve"> </w:t>
      </w:r>
      <w:r w:rsidRPr="00981405">
        <w:t>differences</w:t>
      </w:r>
      <w:r w:rsidR="00190923" w:rsidRPr="00981405">
        <w:t xml:space="preserve"> </w:t>
      </w:r>
      <w:r w:rsidRPr="00981405">
        <w:t>principally</w:t>
      </w:r>
      <w:r w:rsidR="00190923" w:rsidRPr="00981405">
        <w:t xml:space="preserve"> </w:t>
      </w:r>
      <w:r w:rsidRPr="00981405">
        <w:t>are</w:t>
      </w:r>
      <w:r w:rsidR="00190923" w:rsidRPr="00981405">
        <w:t xml:space="preserve"> </w:t>
      </w:r>
      <w:r w:rsidRPr="00981405">
        <w:t>that</w:t>
      </w:r>
      <w:r w:rsidR="00190923" w:rsidRPr="00981405">
        <w:t xml:space="preserve"> </w:t>
      </w:r>
      <w:r w:rsidRPr="00981405">
        <w:t>the</w:t>
      </w:r>
      <w:r w:rsidR="00190923" w:rsidRPr="00981405">
        <w:t xml:space="preserve"> </w:t>
      </w:r>
      <w:r w:rsidRPr="00981405">
        <w:t>latter</w:t>
      </w:r>
      <w:r w:rsidR="00190923" w:rsidRPr="00981405">
        <w:t xml:space="preserve"> </w:t>
      </w:r>
      <w:r w:rsidRPr="00981405">
        <w:t>instruments</w:t>
      </w:r>
      <w:r w:rsidR="00190923" w:rsidRPr="00981405">
        <w:t xml:space="preserve"> </w:t>
      </w:r>
      <w:r w:rsidRPr="00981405">
        <w:t>do</w:t>
      </w:r>
      <w:r w:rsidR="00190923" w:rsidRPr="00981405">
        <w:t xml:space="preserve"> </w:t>
      </w:r>
      <w:r w:rsidRPr="00981405">
        <w:t>not</w:t>
      </w:r>
      <w:r w:rsidR="00190923" w:rsidRPr="00981405">
        <w:t xml:space="preserve"> </w:t>
      </w:r>
      <w:r w:rsidRPr="00981405">
        <w:t>include</w:t>
      </w:r>
      <w:r w:rsidR="00190923" w:rsidRPr="00981405">
        <w:t xml:space="preserve"> </w:t>
      </w:r>
      <w:r w:rsidRPr="00981405">
        <w:t>the</w:t>
      </w:r>
      <w:r w:rsidR="00190923" w:rsidRPr="00981405">
        <w:t xml:space="preserve"> </w:t>
      </w:r>
      <w:r w:rsidRPr="00981405">
        <w:t>element</w:t>
      </w:r>
      <w:r w:rsidR="00190923" w:rsidRPr="00981405">
        <w:t xml:space="preserve"> </w:t>
      </w:r>
      <w:r w:rsidR="00B92E2C" w:rsidRPr="00981405">
        <w:t>“</w:t>
      </w:r>
      <w:r w:rsidRPr="00981405">
        <w:t>with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removing</w:t>
      </w:r>
      <w:r w:rsidR="00190923" w:rsidRPr="00981405">
        <w:t xml:space="preserve"> </w:t>
      </w:r>
      <w:r w:rsidRPr="00981405">
        <w:t>them</w:t>
      </w:r>
      <w:r w:rsidR="00190923" w:rsidRPr="00981405">
        <w:t xml:space="preserve"> </w:t>
      </w:r>
      <w:r w:rsidRPr="00981405">
        <w:t>from</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B92E2C" w:rsidRPr="00981405">
        <w:t>”</w:t>
      </w:r>
      <w:r w:rsidR="00190923" w:rsidRPr="00981405">
        <w:t xml:space="preserve"> </w:t>
      </w:r>
      <w:r w:rsidRPr="00981405">
        <w:t>do</w:t>
      </w:r>
      <w:r w:rsidR="00190923" w:rsidRPr="00981405">
        <w:t xml:space="preserve"> </w:t>
      </w:r>
      <w:r w:rsidRPr="00981405">
        <w:t>not</w:t>
      </w:r>
      <w:r w:rsidR="00190923" w:rsidRPr="00981405">
        <w:t xml:space="preserve"> </w:t>
      </w:r>
      <w:r w:rsidRPr="00981405">
        <w:t>include</w:t>
      </w:r>
      <w:r w:rsidR="00190923" w:rsidRPr="00981405">
        <w:t xml:space="preserve"> </w:t>
      </w:r>
      <w:r w:rsidRPr="00981405">
        <w:t>the</w:t>
      </w:r>
      <w:r w:rsidR="00190923" w:rsidRPr="00981405">
        <w:t xml:space="preserve"> </w:t>
      </w:r>
      <w:r w:rsidRPr="00981405">
        <w:t>words</w:t>
      </w:r>
      <w:r w:rsidR="00190923" w:rsidRPr="00981405">
        <w:t xml:space="preserve"> </w:t>
      </w:r>
      <w:r w:rsidR="00B92E2C" w:rsidRPr="00981405">
        <w:t>“</w:t>
      </w:r>
      <w:r w:rsidRPr="00981405">
        <w:t>for</w:t>
      </w:r>
      <w:r w:rsidR="00190923" w:rsidRPr="00981405">
        <w:t xml:space="preserve"> </w:t>
      </w:r>
      <w:r w:rsidRPr="00981405">
        <w:t>a</w:t>
      </w:r>
      <w:r w:rsidR="00190923" w:rsidRPr="00981405">
        <w:t xml:space="preserve"> </w:t>
      </w:r>
      <w:r w:rsidRPr="00981405">
        <w:t>prolonged</w:t>
      </w:r>
      <w:r w:rsidR="00190923" w:rsidRPr="00981405">
        <w:t xml:space="preserve"> </w:t>
      </w:r>
      <w:r w:rsidRPr="00981405">
        <w:t>period</w:t>
      </w:r>
      <w:r w:rsidR="00190923" w:rsidRPr="00981405">
        <w:t xml:space="preserve"> </w:t>
      </w:r>
      <w:r w:rsidRPr="00981405">
        <w:t>of</w:t>
      </w:r>
      <w:r w:rsidR="00190923" w:rsidRPr="00981405">
        <w:t xml:space="preserve"> </w:t>
      </w:r>
      <w:r w:rsidRPr="00981405">
        <w:t>time</w:t>
      </w:r>
      <w:r w:rsidR="00B92E2C" w:rsidRPr="00981405">
        <w:t>”</w:t>
      </w:r>
      <w:r w:rsidRPr="00981405">
        <w:t>,</w:t>
      </w:r>
      <w:r w:rsidR="00190923" w:rsidRPr="00981405">
        <w:t xml:space="preserve"> </w:t>
      </w:r>
      <w:r w:rsidRPr="00981405">
        <w:t>and</w:t>
      </w:r>
      <w:r w:rsidR="00190923" w:rsidRPr="00981405">
        <w:t xml:space="preserve"> </w:t>
      </w:r>
      <w:r w:rsidRPr="00981405">
        <w:t>do</w:t>
      </w:r>
      <w:r w:rsidR="00190923" w:rsidRPr="00981405">
        <w:t xml:space="preserve"> </w:t>
      </w:r>
      <w:r w:rsidRPr="00981405">
        <w:t>not</w:t>
      </w:r>
      <w:r w:rsidR="00190923" w:rsidRPr="00981405">
        <w:t xml:space="preserve"> </w:t>
      </w:r>
      <w:r w:rsidRPr="00981405">
        <w:t>refer</w:t>
      </w:r>
      <w:r w:rsidR="00190923" w:rsidRPr="00981405">
        <w:t xml:space="preserve"> </w:t>
      </w:r>
      <w:r w:rsidRPr="00981405">
        <w:t>to</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potential</w:t>
      </w:r>
      <w:r w:rsidR="00190923" w:rsidRPr="00981405">
        <w:t xml:space="preserve"> </w:t>
      </w:r>
      <w:r w:rsidRPr="00981405">
        <w:t>perpetrators</w:t>
      </w:r>
      <w:r w:rsidR="00190923" w:rsidRPr="00981405">
        <w:t xml:space="preserve"> </w:t>
      </w:r>
      <w:r w:rsidRPr="00981405">
        <w:t>of</w:t>
      </w:r>
      <w:r w:rsidR="00190923" w:rsidRPr="00981405">
        <w:t xml:space="preserve"> </w:t>
      </w:r>
      <w:r w:rsidRPr="00981405">
        <w:t>the</w:t>
      </w:r>
      <w:r w:rsidR="00190923" w:rsidRPr="00981405">
        <w:t xml:space="preserve"> </w:t>
      </w:r>
      <w:r w:rsidRPr="00981405">
        <w:t>crime</w:t>
      </w:r>
      <w:r w:rsidR="00190923" w:rsidRPr="00981405">
        <w:t xml:space="preserve"> </w:t>
      </w:r>
      <w:r w:rsidRPr="00981405">
        <w:t>when</w:t>
      </w:r>
      <w:r w:rsidR="00190923" w:rsidRPr="00981405">
        <w:t xml:space="preserve"> </w:t>
      </w:r>
      <w:r w:rsidRPr="00981405">
        <w:t>they</w:t>
      </w:r>
      <w:r w:rsidR="00190923" w:rsidRPr="00981405">
        <w:t xml:space="preserve"> </w:t>
      </w:r>
      <w:r w:rsidRPr="00981405">
        <w:t>act</w:t>
      </w:r>
      <w:r w:rsidR="00190923" w:rsidRPr="00981405">
        <w:t xml:space="preserve"> </w:t>
      </w:r>
      <w:r w:rsidRPr="00981405">
        <w:t>without</w:t>
      </w:r>
      <w:r w:rsidR="00190923" w:rsidRPr="00981405">
        <w:t xml:space="preserve"> </w:t>
      </w:r>
      <w:r w:rsidRPr="00981405">
        <w:t>State</w:t>
      </w:r>
      <w:r w:rsidR="00190923" w:rsidRPr="00981405">
        <w:t xml:space="preserve"> </w:t>
      </w:r>
      <w:r w:rsidRPr="00981405">
        <w:t>participation.</w:t>
      </w:r>
    </w:p>
    <w:p w:rsidR="00397032" w:rsidRPr="00981405" w:rsidRDefault="00397032" w:rsidP="00D97463">
      <w:pPr>
        <w:pStyle w:val="SingleTxt"/>
      </w:pPr>
      <w:r w:rsidRPr="00981405">
        <w:t>(41)</w:t>
      </w:r>
      <w:r w:rsidRPr="00981405">
        <w:tab/>
        <w:t>In</w:t>
      </w:r>
      <w:r w:rsidR="00190923" w:rsidRPr="00981405">
        <w:t xml:space="preserve"> </w:t>
      </w:r>
      <w:r w:rsidRPr="00981405">
        <w:t>light</w:t>
      </w:r>
      <w:r w:rsidR="00190923" w:rsidRPr="00981405">
        <w:t xml:space="preserve"> </w:t>
      </w:r>
      <w:r w:rsidRPr="00981405">
        <w:t>of</w:t>
      </w:r>
      <w:r w:rsidR="00190923" w:rsidRPr="00981405">
        <w:t xml:space="preserve"> </w:t>
      </w:r>
      <w:r w:rsidRPr="00981405">
        <w:t>such</w:t>
      </w:r>
      <w:r w:rsidR="00190923" w:rsidRPr="00981405">
        <w:t xml:space="preserve"> </w:t>
      </w:r>
      <w:r w:rsidRPr="00981405">
        <w:t>differences,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thought</w:t>
      </w:r>
      <w:r w:rsidR="00190923" w:rsidRPr="00981405">
        <w:t xml:space="preserve"> </w:t>
      </w:r>
      <w:r w:rsidRPr="00981405">
        <w:t>it</w:t>
      </w:r>
      <w:r w:rsidR="00190923" w:rsidRPr="00981405">
        <w:t xml:space="preserve"> </w:t>
      </w:r>
      <w:r w:rsidRPr="00981405">
        <w:t>prudent</w:t>
      </w:r>
      <w:r w:rsidR="00190923" w:rsidRPr="00981405">
        <w:t xml:space="preserve"> </w:t>
      </w:r>
      <w:r w:rsidRPr="00981405">
        <w:t>to</w:t>
      </w:r>
      <w:r w:rsidR="00190923" w:rsidRPr="00981405">
        <w:t xml:space="preserve"> </w:t>
      </w:r>
      <w:r w:rsidRPr="00981405">
        <w:t>include</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paragraph</w:t>
      </w:r>
      <w:r w:rsidR="00190923" w:rsidRPr="00981405">
        <w:t xml:space="preserve"> </w:t>
      </w:r>
      <w:r w:rsidRPr="00981405">
        <w:t>4.</w:t>
      </w:r>
      <w:r w:rsidR="00190923" w:rsidRPr="00981405">
        <w:t xml:space="preserve"> </w:t>
      </w:r>
      <w:r w:rsidRPr="00981405">
        <w:t>In</w:t>
      </w:r>
      <w:r w:rsidR="00190923" w:rsidRPr="00981405">
        <w:t xml:space="preserve"> </w:t>
      </w:r>
      <w:r w:rsidRPr="00981405">
        <w:t>essence,</w:t>
      </w:r>
      <w:r w:rsidR="00190923" w:rsidRPr="00981405">
        <w:t xml:space="preserve"> </w:t>
      </w:r>
      <w:r w:rsidRPr="00981405">
        <w:t>while</w:t>
      </w:r>
      <w:r w:rsidR="00190923" w:rsidRPr="00981405">
        <w:t xml:space="preserve"> </w:t>
      </w:r>
      <w:r w:rsidRPr="00981405">
        <w:t>the</w:t>
      </w:r>
      <w:r w:rsidR="00190923" w:rsidRPr="00981405">
        <w:t xml:space="preserve"> </w:t>
      </w:r>
      <w:r w:rsidRPr="00981405">
        <w:t>first</w:t>
      </w:r>
      <w:r w:rsidR="00190923" w:rsidRPr="00981405">
        <w:t xml:space="preserve"> </w:t>
      </w:r>
      <w:r w:rsidRPr="00981405">
        <w:t>three</w:t>
      </w:r>
      <w:r w:rsidR="00190923" w:rsidRPr="00981405">
        <w:t xml:space="preserve"> </w:t>
      </w:r>
      <w:r w:rsidRPr="00981405">
        <w:t>paragraphs</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3</w:t>
      </w:r>
      <w:r w:rsidR="00190923" w:rsidRPr="00981405">
        <w:t xml:space="preserve"> </w:t>
      </w:r>
      <w:r w:rsidRPr="00981405">
        <w:t>define</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this</w:t>
      </w:r>
      <w:r w:rsidR="00190923" w:rsidRPr="00981405">
        <w:t xml:space="preserve"> </w:t>
      </w:r>
      <w:r w:rsidRPr="00981405">
        <w:t>is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broader</w:t>
      </w:r>
      <w:r w:rsidR="00190923" w:rsidRPr="00981405">
        <w:t xml:space="preserve"> </w:t>
      </w:r>
      <w:r w:rsidRPr="00981405">
        <w:t>definitions</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instruments</w:t>
      </w:r>
      <w:r w:rsidR="00190923" w:rsidRPr="00981405">
        <w:t xml:space="preserve"> </w:t>
      </w:r>
      <w:r w:rsidRPr="00981405">
        <w:t>or</w:t>
      </w:r>
      <w:r w:rsidR="00190923" w:rsidRPr="00981405">
        <w:t xml:space="preserve"> </w:t>
      </w:r>
      <w:r w:rsidRPr="00981405">
        <w:t>national</w:t>
      </w:r>
      <w:r w:rsidR="00190923" w:rsidRPr="00981405">
        <w:t xml:space="preserve"> </w:t>
      </w:r>
      <w:r w:rsidRPr="00981405">
        <w:t>laws.</w:t>
      </w:r>
      <w:r w:rsidR="00190923" w:rsidRPr="00981405">
        <w:t xml:space="preserve"> </w:t>
      </w:r>
      <w:r w:rsidRPr="00981405">
        <w:t>Thus,</w:t>
      </w:r>
      <w:r w:rsidR="00190923" w:rsidRPr="00981405">
        <w:t xml:space="preserve"> </w:t>
      </w:r>
      <w:r w:rsidRPr="00981405">
        <w:t>if</w:t>
      </w:r>
      <w:r w:rsidR="00190923" w:rsidRPr="00981405">
        <w:t xml:space="preserve"> </w:t>
      </w:r>
      <w:r w:rsidRPr="00981405">
        <w:t>a</w:t>
      </w:r>
      <w:r w:rsidR="00190923" w:rsidRPr="00981405">
        <w:t xml:space="preserve"> </w:t>
      </w:r>
      <w:r w:rsidRPr="00981405">
        <w:t>State</w:t>
      </w:r>
      <w:r w:rsidR="00190923" w:rsidRPr="00981405">
        <w:t xml:space="preserve"> </w:t>
      </w:r>
      <w:r w:rsidRPr="00981405">
        <w:t>wishes</w:t>
      </w:r>
      <w:r w:rsidR="00190923" w:rsidRPr="00981405">
        <w:t xml:space="preserve"> </w:t>
      </w:r>
      <w:r w:rsidRPr="00981405">
        <w:t>to</w:t>
      </w:r>
      <w:r w:rsidR="00190923" w:rsidRPr="00981405">
        <w:t xml:space="preserve"> </w:t>
      </w:r>
      <w:r w:rsidRPr="00981405">
        <w:t>adopt</w:t>
      </w:r>
      <w:r w:rsidR="00190923" w:rsidRPr="00981405">
        <w:t xml:space="preserve"> </w:t>
      </w:r>
      <w:r w:rsidRPr="00981405">
        <w:t>a</w:t>
      </w:r>
      <w:r w:rsidR="00190923" w:rsidRPr="00981405">
        <w:t xml:space="preserve"> </w:t>
      </w:r>
      <w:r w:rsidRPr="00981405">
        <w:t>broader</w:t>
      </w:r>
      <w:r w:rsidR="00190923" w:rsidRPr="00981405">
        <w:t xml:space="preserve"> </w:t>
      </w:r>
      <w:r w:rsidRPr="00981405">
        <w:t>definition</w:t>
      </w:r>
      <w:r w:rsidR="00190923" w:rsidRPr="00981405">
        <w:t xml:space="preserve"> </w:t>
      </w:r>
      <w:r w:rsidRPr="00981405">
        <w:t>in</w:t>
      </w:r>
      <w:r w:rsidR="00190923" w:rsidRPr="00981405">
        <w:t xml:space="preserve"> </w:t>
      </w:r>
      <w:r w:rsidRPr="00981405">
        <w:t>its</w:t>
      </w:r>
      <w:r w:rsidR="00190923" w:rsidRPr="00981405">
        <w:t xml:space="preserve"> </w:t>
      </w:r>
      <w:r w:rsidRPr="00981405">
        <w:t>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do</w:t>
      </w:r>
      <w:r w:rsidR="00190923" w:rsidRPr="00981405">
        <w:t xml:space="preserve"> </w:t>
      </w:r>
      <w:r w:rsidRPr="00981405">
        <w:t>not</w:t>
      </w:r>
      <w:r w:rsidR="00190923" w:rsidRPr="00981405">
        <w:t xml:space="preserve"> </w:t>
      </w:r>
      <w:r w:rsidRPr="00981405">
        <w:t>preclude</w:t>
      </w:r>
      <w:r w:rsidR="00190923" w:rsidRPr="00981405">
        <w:t xml:space="preserve"> </w:t>
      </w:r>
      <w:r w:rsidRPr="00981405">
        <w:t>it</w:t>
      </w:r>
      <w:r w:rsidR="00190923" w:rsidRPr="00981405">
        <w:t xml:space="preserve"> </w:t>
      </w:r>
      <w:r w:rsidRPr="00981405">
        <w:t>from</w:t>
      </w:r>
      <w:r w:rsidR="00190923" w:rsidRPr="00981405">
        <w:t xml:space="preserve"> </w:t>
      </w:r>
      <w:r w:rsidRPr="00981405">
        <w:t>doing</w:t>
      </w:r>
      <w:r w:rsidR="00190923" w:rsidRPr="00981405">
        <w:t xml:space="preserve"> </w:t>
      </w:r>
      <w:r w:rsidRPr="00981405">
        <w:t>so.</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an</w:t>
      </w:r>
      <w:r w:rsidR="00190923" w:rsidRPr="00981405">
        <w:t xml:space="preserve"> </w:t>
      </w:r>
      <w:r w:rsidRPr="00981405">
        <w:t>important</w:t>
      </w:r>
      <w:r w:rsidR="00190923" w:rsidRPr="00981405">
        <w:t xml:space="preserve"> </w:t>
      </w:r>
      <w:r w:rsidRPr="00981405">
        <w:t>objective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is</w:t>
      </w:r>
      <w:r w:rsidR="00190923" w:rsidRPr="00981405">
        <w:t xml:space="preserve"> </w:t>
      </w:r>
      <w:r w:rsidRPr="00981405">
        <w:t>the</w:t>
      </w:r>
      <w:r w:rsidR="00190923" w:rsidRPr="00981405">
        <w:t xml:space="preserve"> </w:t>
      </w:r>
      <w:r w:rsidRPr="00981405">
        <w:t>harmonization</w:t>
      </w:r>
      <w:r w:rsidR="00190923" w:rsidRPr="00981405">
        <w:t xml:space="preserve"> </w:t>
      </w:r>
      <w:r w:rsidRPr="00981405">
        <w:t>of</w:t>
      </w:r>
      <w:r w:rsidR="00190923" w:rsidRPr="00981405">
        <w:t xml:space="preserve"> </w:t>
      </w:r>
      <w:r w:rsidRPr="00981405">
        <w:t>national</w:t>
      </w:r>
      <w:r w:rsidR="00190923" w:rsidRPr="00981405">
        <w:t xml:space="preserve"> </w:t>
      </w:r>
      <w:r w:rsidRPr="00981405">
        <w:t>laws,</w:t>
      </w:r>
      <w:r w:rsidR="00B92E2C" w:rsidRPr="00981405">
        <w:t xml:space="preserve"> </w:t>
      </w:r>
      <w:r w:rsidRPr="00981405">
        <w:t>so</w:t>
      </w:r>
      <w:r w:rsidR="00190923" w:rsidRPr="00981405">
        <w:t xml:space="preserve"> </w:t>
      </w:r>
      <w:r w:rsidRPr="00981405">
        <w:t>that</w:t>
      </w:r>
      <w:r w:rsidR="00190923" w:rsidRPr="00981405">
        <w:t xml:space="preserve"> </w:t>
      </w:r>
      <w:r w:rsidRPr="00981405">
        <w:t>they</w:t>
      </w:r>
      <w:r w:rsidR="00190923" w:rsidRPr="00981405">
        <w:t xml:space="preserve"> </w:t>
      </w:r>
      <w:r w:rsidRPr="00981405">
        <w:t>may</w:t>
      </w:r>
      <w:r w:rsidR="00190923" w:rsidRPr="00981405">
        <w:t xml:space="preserve"> </w:t>
      </w:r>
      <w:r w:rsidRPr="00981405">
        <w:t>serve</w:t>
      </w:r>
      <w:r w:rsidR="00190923" w:rsidRPr="00981405">
        <w:t xml:space="preserve"> </w:t>
      </w:r>
      <w:r w:rsidRPr="00981405">
        <w:t>as</w:t>
      </w:r>
      <w:r w:rsidR="00190923" w:rsidRPr="00981405">
        <w:t xml:space="preserve"> </w:t>
      </w:r>
      <w:r w:rsidRPr="00981405">
        <w:t>the</w:t>
      </w:r>
      <w:r w:rsidR="00190923" w:rsidRPr="00981405">
        <w:t xml:space="preserve"> </w:t>
      </w:r>
      <w:r w:rsidRPr="00981405">
        <w:t>basis</w:t>
      </w:r>
      <w:r w:rsidR="00190923" w:rsidRPr="00981405">
        <w:t xml:space="preserve"> </w:t>
      </w:r>
      <w:r w:rsidRPr="00981405">
        <w:t>for</w:t>
      </w:r>
      <w:r w:rsidR="00190923" w:rsidRPr="00981405">
        <w:t xml:space="preserve"> </w:t>
      </w:r>
      <w:r w:rsidRPr="00981405">
        <w:t>robust</w:t>
      </w:r>
      <w:r w:rsidR="00190923" w:rsidRPr="00981405">
        <w:t xml:space="preserve"> </w:t>
      </w:r>
      <w:r w:rsidRPr="00981405">
        <w:t>inter-State</w:t>
      </w:r>
      <w:r w:rsidR="00190923" w:rsidRPr="00981405">
        <w:t xml:space="preserve"> </w:t>
      </w:r>
      <w:r w:rsidRPr="00981405">
        <w:t>cooperation.</w:t>
      </w:r>
      <w:r w:rsidR="00190923" w:rsidRPr="00981405">
        <w:t xml:space="preserve"> </w:t>
      </w:r>
      <w:r w:rsidRPr="00981405">
        <w:t>Any</w:t>
      </w:r>
      <w:r w:rsidR="00190923" w:rsidRPr="00981405">
        <w:t xml:space="preserve"> </w:t>
      </w:r>
      <w:r w:rsidRPr="00981405">
        <w:t>elements</w:t>
      </w:r>
      <w:r w:rsidR="00190923" w:rsidRPr="00981405">
        <w:t xml:space="preserve"> </w:t>
      </w:r>
      <w:r w:rsidRPr="00981405">
        <w:t>adopted</w:t>
      </w:r>
      <w:r w:rsidR="00190923" w:rsidRPr="00981405">
        <w:t xml:space="preserve"> </w:t>
      </w:r>
      <w:r w:rsidRPr="00981405">
        <w:t>in</w:t>
      </w:r>
      <w:r w:rsidR="00190923" w:rsidRPr="00981405">
        <w:t xml:space="preserve"> </w:t>
      </w:r>
      <w:r w:rsidRPr="00981405">
        <w:t>a</w:t>
      </w:r>
      <w:r w:rsidR="00190923" w:rsidRPr="00981405">
        <w:t xml:space="preserve"> </w:t>
      </w:r>
      <w:r w:rsidRPr="00981405">
        <w:t>national</w:t>
      </w:r>
      <w:r w:rsidR="00190923" w:rsidRPr="00981405">
        <w:t xml:space="preserve"> </w:t>
      </w:r>
      <w:r w:rsidRPr="00981405">
        <w:t>law,</w:t>
      </w:r>
      <w:r w:rsidR="00190923" w:rsidRPr="00981405">
        <w:t xml:space="preserve"> </w:t>
      </w:r>
      <w:r w:rsidRPr="00981405">
        <w:t>which</w:t>
      </w:r>
      <w:r w:rsidR="00190923" w:rsidRPr="00981405">
        <w:t xml:space="preserve"> </w:t>
      </w:r>
      <w:r w:rsidRPr="00981405">
        <w:t>would</w:t>
      </w:r>
      <w:r w:rsidR="00190923" w:rsidRPr="00981405">
        <w:t xml:space="preserve"> </w:t>
      </w:r>
      <w:r w:rsidRPr="00981405">
        <w:t>not</w:t>
      </w:r>
      <w:r w:rsidR="00190923" w:rsidRPr="00981405">
        <w:t xml:space="preserve"> </w:t>
      </w:r>
      <w:r w:rsidRPr="00981405">
        <w:t>fall</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would</w:t>
      </w:r>
      <w:r w:rsidR="00190923" w:rsidRPr="00981405">
        <w:t xml:space="preserve"> </w:t>
      </w:r>
      <w:r w:rsidRPr="00981405">
        <w:t>not</w:t>
      </w:r>
      <w:r w:rsidR="00190923" w:rsidRPr="00981405">
        <w:t xml:space="preserve"> </w:t>
      </w:r>
      <w:r w:rsidRPr="00981405">
        <w:t>benefit</w:t>
      </w:r>
      <w:r w:rsidR="00190923" w:rsidRPr="00981405">
        <w:t xml:space="preserve"> </w:t>
      </w:r>
      <w:r w:rsidRPr="00981405">
        <w:t>from</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set</w:t>
      </w:r>
      <w:r w:rsidR="00190923" w:rsidRPr="00981405">
        <w:t xml:space="preserve"> </w:t>
      </w:r>
      <w:r w:rsidRPr="00981405">
        <w:t>forth</w:t>
      </w:r>
      <w:r w:rsidR="00190923" w:rsidRPr="00981405">
        <w:t xml:space="preserve"> </w:t>
      </w:r>
      <w:r w:rsidRPr="00981405">
        <w:t>within</w:t>
      </w:r>
      <w:r w:rsidR="00190923" w:rsidRPr="00981405">
        <w:t xml:space="preserve"> </w:t>
      </w:r>
      <w:r w:rsidRPr="00981405">
        <w:t>them,</w:t>
      </w:r>
      <w:r w:rsidR="00190923" w:rsidRPr="00981405">
        <w:t xml:space="preserve"> </w:t>
      </w:r>
      <w:r w:rsidRPr="00981405">
        <w:t>including</w:t>
      </w:r>
      <w:r w:rsidR="00190923" w:rsidRPr="00981405">
        <w:t xml:space="preserve"> </w:t>
      </w:r>
      <w:r w:rsidRPr="00981405">
        <w:t>on</w:t>
      </w:r>
      <w:r w:rsidR="00190923" w:rsidRPr="00981405">
        <w:t xml:space="preserve"> </w:t>
      </w:r>
      <w:r w:rsidRPr="00981405">
        <w:t>extradition</w:t>
      </w:r>
      <w:r w:rsidR="00190923" w:rsidRPr="00981405">
        <w:t xml:space="preserve"> </w:t>
      </w:r>
      <w:r w:rsidRPr="00981405">
        <w:t>and</w:t>
      </w:r>
      <w:r w:rsidR="00190923" w:rsidRPr="00981405">
        <w:t xml:space="preserve"> </w:t>
      </w:r>
      <w:r w:rsidRPr="00981405">
        <w:t>mutual</w:t>
      </w:r>
      <w:r w:rsidR="00190923" w:rsidRPr="00981405">
        <w:t xml:space="preserve"> </w:t>
      </w:r>
      <w:r w:rsidRPr="00981405">
        <w:t>legal</w:t>
      </w:r>
      <w:r w:rsidR="00190923" w:rsidRPr="00981405">
        <w:t xml:space="preserve"> </w:t>
      </w:r>
      <w:r w:rsidRPr="00981405">
        <w:t>assistance.</w:t>
      </w:r>
    </w:p>
    <w:p w:rsidR="00397032" w:rsidRPr="00D97463" w:rsidRDefault="00397032" w:rsidP="00D97463">
      <w:pPr>
        <w:pStyle w:val="SingleTxt"/>
        <w:ind w:left="1742"/>
        <w:jc w:val="left"/>
        <w:rPr>
          <w:b/>
          <w:bCs/>
        </w:rPr>
      </w:pPr>
      <w:r w:rsidRPr="00D97463">
        <w:rPr>
          <w:b/>
          <w:bCs/>
        </w:rPr>
        <w:lastRenderedPageBreak/>
        <w:t>Article</w:t>
      </w:r>
      <w:r w:rsidR="00190923" w:rsidRPr="00981405">
        <w:rPr>
          <w:b/>
          <w:bCs/>
        </w:rPr>
        <w:t xml:space="preserve"> </w:t>
      </w:r>
      <w:r w:rsidRPr="00D97463">
        <w:rPr>
          <w:b/>
          <w:bCs/>
        </w:rPr>
        <w:t>4</w:t>
      </w:r>
      <w:r w:rsidRPr="00D97463">
        <w:rPr>
          <w:b/>
          <w:bCs/>
        </w:rPr>
        <w:br/>
        <w:t>Obligation</w:t>
      </w:r>
      <w:r w:rsidR="00190923" w:rsidRPr="00981405">
        <w:rPr>
          <w:b/>
          <w:bCs/>
        </w:rPr>
        <w:t xml:space="preserve"> </w:t>
      </w:r>
      <w:r w:rsidRPr="00D97463">
        <w:rPr>
          <w:b/>
          <w:bCs/>
        </w:rPr>
        <w:t>of</w:t>
      </w:r>
      <w:r w:rsidR="00190923" w:rsidRPr="00981405">
        <w:rPr>
          <w:b/>
          <w:bCs/>
        </w:rPr>
        <w:t xml:space="preserve"> </w:t>
      </w:r>
      <w:r w:rsidRPr="00D97463">
        <w:rPr>
          <w:b/>
          <w:bCs/>
        </w:rPr>
        <w:t>prevention</w:t>
      </w:r>
    </w:p>
    <w:p w:rsidR="00397032" w:rsidRPr="00981405" w:rsidRDefault="00397032" w:rsidP="00D97463">
      <w:pPr>
        <w:pStyle w:val="SingleTxt"/>
        <w:ind w:left="1742"/>
      </w:pPr>
      <w:r w:rsidRPr="00981405">
        <w:t>1.</w:t>
      </w:r>
      <w:r w:rsidRPr="00981405">
        <w:tab/>
        <w:t>Each</w:t>
      </w:r>
      <w:r w:rsidR="00190923" w:rsidRPr="00981405">
        <w:t xml:space="preserve"> </w:t>
      </w:r>
      <w:r w:rsidRPr="00981405">
        <w:t>State</w:t>
      </w:r>
      <w:r w:rsidR="00190923" w:rsidRPr="00981405">
        <w:t xml:space="preserve"> </w:t>
      </w:r>
      <w:r w:rsidRPr="00981405">
        <w:t>undertakes</w:t>
      </w:r>
      <w:r w:rsidR="00190923" w:rsidRPr="00981405">
        <w:t xml:space="preserve"> </w:t>
      </w:r>
      <w:r w:rsidRPr="00981405">
        <w:t>to</w:t>
      </w:r>
      <w:r w:rsidR="00190923" w:rsidRPr="00981405">
        <w:t xml:space="preserve"> </w:t>
      </w:r>
      <w:r w:rsidRPr="00981405">
        <w:t>prevent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w:t>
      </w:r>
      <w:r w:rsidR="00190923" w:rsidRPr="00981405">
        <w:t xml:space="preserve"> </w:t>
      </w:r>
      <w:r w:rsidRPr="00981405">
        <w:t>conformity</w:t>
      </w:r>
      <w:r w:rsidR="00190923" w:rsidRPr="00981405">
        <w:t xml:space="preserve"> </w:t>
      </w:r>
      <w:r w:rsidRPr="00981405">
        <w:t>with</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including</w:t>
      </w:r>
      <w:r w:rsidR="00190923" w:rsidRPr="00981405">
        <w:t xml:space="preserve"> </w:t>
      </w:r>
      <w:r w:rsidRPr="00981405">
        <w:t>through:</w:t>
      </w:r>
    </w:p>
    <w:p w:rsidR="00397032" w:rsidRPr="00981405" w:rsidRDefault="00397032" w:rsidP="00D97463">
      <w:pPr>
        <w:pStyle w:val="SingleTxt"/>
        <w:ind w:left="1742"/>
      </w:pPr>
      <w:r w:rsidRPr="00981405">
        <w:tab/>
        <w:t>(a)</w:t>
      </w:r>
      <w:r w:rsidRPr="00981405">
        <w:tab/>
        <w:t>effective</w:t>
      </w:r>
      <w:r w:rsidR="00190923" w:rsidRPr="00981405">
        <w:t xml:space="preserve"> </w:t>
      </w:r>
      <w:r w:rsidRPr="00981405">
        <w:t>legislative,</w:t>
      </w:r>
      <w:r w:rsidR="00190923" w:rsidRPr="00981405">
        <w:t xml:space="preserve"> </w:t>
      </w:r>
      <w:r w:rsidRPr="00981405">
        <w:t>administrative,</w:t>
      </w:r>
      <w:r w:rsidR="00190923" w:rsidRPr="00981405">
        <w:t xml:space="preserve"> </w:t>
      </w:r>
      <w:r w:rsidRPr="00981405">
        <w:t>judicial</w:t>
      </w:r>
      <w:r w:rsidR="00190923" w:rsidRPr="00981405">
        <w:t xml:space="preserve"> </w:t>
      </w:r>
      <w:r w:rsidRPr="00981405">
        <w:t>or</w:t>
      </w:r>
      <w:r w:rsidR="00190923" w:rsidRPr="00981405">
        <w:t xml:space="preserve"> </w:t>
      </w:r>
      <w:r w:rsidRPr="00981405">
        <w:t>other</w:t>
      </w:r>
      <w:r w:rsidR="00190923" w:rsidRPr="00981405">
        <w:t xml:space="preserve"> </w:t>
      </w:r>
      <w:r w:rsidRPr="00981405">
        <w:t>preventive</w:t>
      </w:r>
      <w:r w:rsidR="00190923" w:rsidRPr="00981405">
        <w:t xml:space="preserve"> </w:t>
      </w:r>
      <w:r w:rsidRPr="00981405">
        <w:t>measures</w:t>
      </w:r>
      <w:r w:rsidR="00190923" w:rsidRPr="00981405">
        <w:t xml:space="preserve"> </w:t>
      </w:r>
      <w:r w:rsidRPr="00981405">
        <w:t>in</w:t>
      </w:r>
      <w:r w:rsidR="00190923" w:rsidRPr="00981405">
        <w:t xml:space="preserve"> </w:t>
      </w:r>
      <w:r w:rsidRPr="00981405">
        <w:t>any</w:t>
      </w:r>
      <w:r w:rsidR="00190923" w:rsidRPr="00981405">
        <w:t xml:space="preserve"> </w:t>
      </w:r>
      <w:r w:rsidRPr="00981405">
        <w:t>territory</w:t>
      </w:r>
      <w:r w:rsidR="00190923" w:rsidRPr="00981405">
        <w:t xml:space="preserve"> </w:t>
      </w:r>
      <w:r w:rsidRPr="00981405">
        <w:t>under</w:t>
      </w:r>
      <w:r w:rsidR="00190923" w:rsidRPr="00981405">
        <w:t xml:space="preserve"> </w:t>
      </w:r>
      <w:r w:rsidRPr="00981405">
        <w:t>its</w:t>
      </w:r>
      <w:r w:rsidR="00190923" w:rsidRPr="00981405">
        <w:t xml:space="preserve"> </w:t>
      </w:r>
      <w:r w:rsidRPr="00981405">
        <w:t>jurisdiction</w:t>
      </w:r>
      <w:r w:rsidR="00190923" w:rsidRPr="00981405">
        <w:t xml:space="preserve"> </w:t>
      </w:r>
      <w:r w:rsidRPr="00981405">
        <w:t>or</w:t>
      </w:r>
      <w:r w:rsidR="00190923" w:rsidRPr="00981405">
        <w:t xml:space="preserve"> </w:t>
      </w:r>
      <w:r w:rsidRPr="00981405">
        <w:t>control;</w:t>
      </w:r>
      <w:r w:rsidR="00190923" w:rsidRPr="00981405">
        <w:t xml:space="preserve"> </w:t>
      </w:r>
      <w:r w:rsidRPr="00981405">
        <w:t>and</w:t>
      </w:r>
    </w:p>
    <w:p w:rsidR="00397032" w:rsidRPr="00981405" w:rsidRDefault="00397032" w:rsidP="00D97463">
      <w:pPr>
        <w:pStyle w:val="SingleTxt"/>
        <w:ind w:left="1742"/>
      </w:pPr>
      <w:r w:rsidRPr="00981405">
        <w:tab/>
        <w:t>(b)</w:t>
      </w:r>
      <w:r w:rsidRPr="00981405">
        <w:tab/>
        <w:t>cooperation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States,</w:t>
      </w:r>
      <w:r w:rsidR="00190923" w:rsidRPr="00981405">
        <w:t xml:space="preserve"> </w:t>
      </w:r>
      <w:r w:rsidRPr="00981405">
        <w:t>relevant</w:t>
      </w:r>
      <w:r w:rsidR="00190923" w:rsidRPr="00981405">
        <w:t xml:space="preserve"> </w:t>
      </w:r>
      <w:r w:rsidRPr="00981405">
        <w:t>intergovernmental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other</w:t>
      </w:r>
      <w:r w:rsidR="00190923" w:rsidRPr="00981405">
        <w:t xml:space="preserve"> </w:t>
      </w:r>
      <w:r w:rsidRPr="00981405">
        <w:t>organizations.</w:t>
      </w:r>
    </w:p>
    <w:p w:rsidR="00397032" w:rsidRPr="00981405" w:rsidRDefault="00397032" w:rsidP="00D97463">
      <w:pPr>
        <w:pStyle w:val="SingleTxt"/>
        <w:ind w:left="1742"/>
      </w:pPr>
      <w:r w:rsidRPr="00981405">
        <w:t>2.</w:t>
      </w:r>
      <w:r w:rsidRPr="00981405">
        <w:tab/>
        <w:t>No</w:t>
      </w:r>
      <w:r w:rsidR="00190923" w:rsidRPr="00981405">
        <w:t xml:space="preserve"> </w:t>
      </w:r>
      <w:r w:rsidRPr="00981405">
        <w:t>exceptional</w:t>
      </w:r>
      <w:r w:rsidR="00190923" w:rsidRPr="00981405">
        <w:t xml:space="preserve"> </w:t>
      </w:r>
      <w:r w:rsidRPr="00981405">
        <w:t>circumstances</w:t>
      </w:r>
      <w:r w:rsidR="00190923" w:rsidRPr="00981405">
        <w:t xml:space="preserve"> </w:t>
      </w:r>
      <w:r w:rsidRPr="00981405">
        <w:t>whatsoever,</w:t>
      </w:r>
      <w:r w:rsidR="00190923" w:rsidRPr="00981405">
        <w:t xml:space="preserve"> </w:t>
      </w:r>
      <w:r w:rsidRPr="00981405">
        <w:t>such</w:t>
      </w:r>
      <w:r w:rsidR="00190923" w:rsidRPr="00981405">
        <w:t xml:space="preserve"> </w:t>
      </w:r>
      <w:r w:rsidRPr="00981405">
        <w:t>as</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internal</w:t>
      </w:r>
      <w:r w:rsidR="00190923" w:rsidRPr="00981405">
        <w:t xml:space="preserve"> </w:t>
      </w:r>
      <w:r w:rsidRPr="00981405">
        <w:t>political</w:t>
      </w:r>
      <w:r w:rsidR="00190923" w:rsidRPr="00981405">
        <w:t xml:space="preserve"> </w:t>
      </w:r>
      <w:r w:rsidRPr="00981405">
        <w:t>instability</w:t>
      </w:r>
      <w:r w:rsidR="00190923" w:rsidRPr="00981405">
        <w:t xml:space="preserve"> </w:t>
      </w:r>
      <w:r w:rsidRPr="00981405">
        <w:t>or</w:t>
      </w:r>
      <w:r w:rsidR="00190923" w:rsidRPr="00981405">
        <w:t xml:space="preserve"> </w:t>
      </w:r>
      <w:r w:rsidRPr="00981405">
        <w:t>other</w:t>
      </w:r>
      <w:r w:rsidR="00190923" w:rsidRPr="00981405">
        <w:t xml:space="preserve"> </w:t>
      </w:r>
      <w:r w:rsidRPr="00981405">
        <w:t>public</w:t>
      </w:r>
      <w:r w:rsidR="00190923" w:rsidRPr="00981405">
        <w:t xml:space="preserve"> </w:t>
      </w:r>
      <w:r w:rsidRPr="00981405">
        <w:t>emergency,</w:t>
      </w:r>
      <w:r w:rsidR="00190923" w:rsidRPr="00981405">
        <w:t xml:space="preserve"> </w:t>
      </w:r>
      <w:r w:rsidRPr="00981405">
        <w:t>may</w:t>
      </w:r>
      <w:r w:rsidR="00190923" w:rsidRPr="00981405">
        <w:t xml:space="preserve"> </w:t>
      </w:r>
      <w:r w:rsidRPr="00981405">
        <w:t>be</w:t>
      </w:r>
      <w:r w:rsidR="00190923" w:rsidRPr="00981405">
        <w:t xml:space="preserve"> </w:t>
      </w:r>
      <w:r w:rsidRPr="00981405">
        <w:t>invoked</w:t>
      </w:r>
      <w:r w:rsidR="00190923" w:rsidRPr="00981405">
        <w:t xml:space="preserve"> </w:t>
      </w:r>
      <w:r w:rsidRPr="00981405">
        <w:t>as</w:t>
      </w:r>
      <w:r w:rsidR="00190923" w:rsidRPr="00981405">
        <w:t xml:space="preserve"> </w:t>
      </w:r>
      <w:r w:rsidRPr="00981405">
        <w:t>a</w:t>
      </w:r>
      <w:r w:rsidR="00190923" w:rsidRPr="00981405">
        <w:t xml:space="preserve"> </w:t>
      </w:r>
      <w:r w:rsidRPr="00981405">
        <w:t>justification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95" w:name="_Toc427938115"/>
      <w:r w:rsidRPr="00D97463">
        <w:t>Commentary</w:t>
      </w:r>
      <w:bookmarkEnd w:id="95"/>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sets</w:t>
      </w:r>
      <w:r w:rsidR="00190923" w:rsidRPr="00981405">
        <w:t xml:space="preserve"> </w:t>
      </w:r>
      <w:r w:rsidRPr="00981405">
        <w:t>forth</w:t>
      </w:r>
      <w:r w:rsidR="00190923" w:rsidRPr="00981405">
        <w:t xml:space="preserve"> </w:t>
      </w:r>
      <w:r w:rsidRPr="00981405">
        <w:t>an</w:t>
      </w:r>
      <w:r w:rsidR="00190923" w:rsidRPr="00981405">
        <w:t xml:space="preserve"> </w:t>
      </w:r>
      <w:r w:rsidRPr="00981405">
        <w:t>obligation</w:t>
      </w:r>
      <w:r w:rsidR="00190923" w:rsidRPr="00981405">
        <w:t xml:space="preserve"> </w:t>
      </w:r>
      <w:r w:rsidRPr="00981405">
        <w:t>of</w:t>
      </w:r>
      <w:r w:rsidR="00190923" w:rsidRPr="00981405">
        <w:t xml:space="preserve"> </w:t>
      </w:r>
      <w:r w:rsidRPr="00981405">
        <w:t>prevention</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In</w:t>
      </w:r>
      <w:r w:rsidR="00190923" w:rsidRPr="00981405">
        <w:t xml:space="preserve"> </w:t>
      </w:r>
      <w:r w:rsidRPr="00981405">
        <w:t>considering</w:t>
      </w:r>
      <w:r w:rsidR="00190923" w:rsidRPr="00981405">
        <w:t xml:space="preserve"> </w:t>
      </w:r>
      <w:r w:rsidRPr="00981405">
        <w:t>such</w:t>
      </w:r>
      <w:r w:rsidR="00190923" w:rsidRPr="00981405">
        <w:t xml:space="preserve"> </w:t>
      </w:r>
      <w:r w:rsidRPr="00981405">
        <w:t>an</w:t>
      </w:r>
      <w:r w:rsidR="00190923" w:rsidRPr="00981405">
        <w:t xml:space="preserve"> </w:t>
      </w:r>
      <w:r w:rsidRPr="00981405">
        <w:t>obligation,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viewed</w:t>
      </w:r>
      <w:r w:rsidR="00190923" w:rsidRPr="00981405">
        <w:t xml:space="preserve"> </w:t>
      </w:r>
      <w:r w:rsidRPr="00981405">
        <w:t>it</w:t>
      </w:r>
      <w:r w:rsidR="00190923" w:rsidRPr="00981405">
        <w:t xml:space="preserve"> </w:t>
      </w:r>
      <w:r w:rsidRPr="00981405">
        <w:t>as</w:t>
      </w:r>
      <w:r w:rsidR="00190923" w:rsidRPr="00981405">
        <w:t xml:space="preserve"> </w:t>
      </w:r>
      <w:r w:rsidRPr="00981405">
        <w:t>pertinent</w:t>
      </w:r>
      <w:r w:rsidR="00190923" w:rsidRPr="00981405">
        <w:t xml:space="preserve"> </w:t>
      </w:r>
      <w:r w:rsidRPr="00981405">
        <w:t>to</w:t>
      </w:r>
      <w:r w:rsidR="00190923" w:rsidRPr="00981405">
        <w:t xml:space="preserve"> </w:t>
      </w:r>
      <w:r w:rsidRPr="00981405">
        <w:t>survey</w:t>
      </w:r>
      <w:r w:rsidR="00190923" w:rsidRPr="00981405">
        <w:t xml:space="preserve"> </w:t>
      </w:r>
      <w:r w:rsidRPr="00981405">
        <w:t>existing</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of</w:t>
      </w:r>
      <w:r w:rsidR="00190923" w:rsidRPr="00981405">
        <w:t xml:space="preserve"> </w:t>
      </w:r>
      <w:r w:rsidRPr="00981405">
        <w:t>crimes</w:t>
      </w:r>
      <w:r w:rsidR="00190923" w:rsidRPr="00981405">
        <w:t xml:space="preserve"> </w:t>
      </w:r>
      <w:r w:rsidRPr="00981405">
        <w:t>and</w:t>
      </w:r>
      <w:r w:rsidR="00190923" w:rsidRPr="00981405">
        <w:t xml:space="preserve"> </w:t>
      </w:r>
      <w:r w:rsidRPr="00981405">
        <w:t>other</w:t>
      </w:r>
      <w:r w:rsidR="00190923" w:rsidRPr="00981405">
        <w:t xml:space="preserve"> </w:t>
      </w:r>
      <w:r w:rsidRPr="00981405">
        <w:t>acts.</w:t>
      </w:r>
      <w:r w:rsidR="00190923" w:rsidRPr="00981405">
        <w:t xml:space="preserve"> </w:t>
      </w:r>
      <w:r w:rsidRPr="00981405">
        <w:t>In</w:t>
      </w:r>
      <w:r w:rsidR="00190923" w:rsidRPr="00981405">
        <w:t xml:space="preserve"> </w:t>
      </w:r>
      <w:r w:rsidRPr="00981405">
        <w:t>many</w:t>
      </w:r>
      <w:r w:rsidR="00190923" w:rsidRPr="00981405">
        <w:t xml:space="preserve"> </w:t>
      </w:r>
      <w:r w:rsidRPr="00981405">
        <w:t>instances,</w:t>
      </w:r>
      <w:r w:rsidR="00190923" w:rsidRPr="00981405">
        <w:t xml:space="preserve"> </w:t>
      </w:r>
      <w:r w:rsidRPr="00981405">
        <w:t>those</w:t>
      </w:r>
      <w:r w:rsidR="00190923" w:rsidRPr="00981405">
        <w:t xml:space="preserve"> </w:t>
      </w:r>
      <w:r w:rsidRPr="00981405">
        <w:t>treaties</w:t>
      </w:r>
      <w:r w:rsidR="00190923" w:rsidRPr="00981405">
        <w:t xml:space="preserve"> </w:t>
      </w:r>
      <w:r w:rsidRPr="00981405">
        <w:t>address</w:t>
      </w:r>
      <w:r w:rsidR="00190923" w:rsidRPr="00981405">
        <w:t xml:space="preserve"> </w:t>
      </w:r>
      <w:r w:rsidRPr="00981405">
        <w:t>acts</w:t>
      </w:r>
      <w:r w:rsidR="00190923" w:rsidRPr="00981405">
        <w:t xml:space="preserve"> </w:t>
      </w:r>
      <w:r w:rsidRPr="00981405">
        <w:t>that,</w:t>
      </w:r>
      <w:r w:rsidR="00190923" w:rsidRPr="00981405">
        <w:t xml:space="preserve"> </w:t>
      </w:r>
      <w:r w:rsidRPr="00981405">
        <w:t>when</w:t>
      </w:r>
      <w:r w:rsidR="00190923" w:rsidRPr="00981405">
        <w:t xml:space="preserve"> </w:t>
      </w:r>
      <w:r w:rsidRPr="00981405">
        <w:t>committed</w:t>
      </w:r>
      <w:r w:rsidR="00190923" w:rsidRPr="00981405">
        <w:t xml:space="preserve"> </w:t>
      </w:r>
      <w:r w:rsidRPr="00981405">
        <w:t>under</w:t>
      </w:r>
      <w:r w:rsidR="00190923" w:rsidRPr="00981405">
        <w:t xml:space="preserve"> </w:t>
      </w:r>
      <w:r w:rsidRPr="00981405">
        <w:t>certain</w:t>
      </w:r>
      <w:r w:rsidR="00190923" w:rsidRPr="00981405">
        <w:t xml:space="preserve"> </w:t>
      </w:r>
      <w:r w:rsidRPr="00981405">
        <w:t>circumstances,</w:t>
      </w:r>
      <w:r w:rsidR="00190923" w:rsidRPr="00981405">
        <w:t xml:space="preserve"> </w:t>
      </w:r>
      <w:r w:rsidRPr="00981405">
        <w:t>can</w:t>
      </w:r>
      <w:r w:rsidR="00190923" w:rsidRPr="00981405">
        <w:t xml:space="preserve"> </w:t>
      </w:r>
      <w:r w:rsidRPr="00981405">
        <w:t>constitute</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(for</w:t>
      </w:r>
      <w:r w:rsidR="00190923" w:rsidRPr="00981405">
        <w:t xml:space="preserve"> </w:t>
      </w:r>
      <w:r w:rsidRPr="00981405">
        <w:t>example,</w:t>
      </w:r>
      <w:r w:rsidR="00190923" w:rsidRPr="00981405">
        <w:t xml:space="preserve"> </w:t>
      </w:r>
      <w:r w:rsidRPr="00981405">
        <w:t>genocide,</w:t>
      </w:r>
      <w:r w:rsidR="00190923" w:rsidRPr="00981405">
        <w:t xml:space="preserve"> </w:t>
      </w:r>
      <w:r w:rsidRPr="00981405">
        <w:t>torture,</w:t>
      </w:r>
      <w:r w:rsidR="00190923" w:rsidRPr="00981405">
        <w:t xml:space="preserve"> </w:t>
      </w:r>
      <w:r w:rsidRPr="00981405">
        <w:t>apartheid,</w:t>
      </w:r>
      <w:r w:rsidR="00190923" w:rsidRPr="00981405">
        <w:t xml:space="preserve"> </w:t>
      </w:r>
      <w:r w:rsidRPr="00981405">
        <w:t>or</w:t>
      </w:r>
      <w:r w:rsidR="00190923" w:rsidRPr="00981405">
        <w:t xml:space="preserve"> </w:t>
      </w:r>
      <w:r w:rsidRPr="00981405">
        <w:t>enforced</w:t>
      </w:r>
      <w:r w:rsidR="00190923" w:rsidRPr="00981405">
        <w:t xml:space="preserve"> </w:t>
      </w:r>
      <w:r w:rsidRPr="00981405">
        <w:t>disappearance).</w:t>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of</w:t>
      </w:r>
      <w:r w:rsidR="00190923" w:rsidRPr="00981405">
        <w:t xml:space="preserve"> </w:t>
      </w:r>
      <w:r w:rsidRPr="00981405">
        <w:t>prevention</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those</w:t>
      </w:r>
      <w:r w:rsidR="00190923" w:rsidRPr="00981405">
        <w:t xml:space="preserve"> </w:t>
      </w:r>
      <w:r w:rsidRPr="00981405">
        <w:t>treaties</w:t>
      </w:r>
      <w:r w:rsidR="00190923" w:rsidRPr="00981405">
        <w:t xml:space="preserve"> </w:t>
      </w:r>
      <w:r w:rsidRPr="00981405">
        <w:t>extends</w:t>
      </w:r>
      <w:r w:rsidR="00190923" w:rsidRPr="00981405">
        <w:t xml:space="preserve"> </w:t>
      </w:r>
      <w:r w:rsidRPr="00981405">
        <w:t>as</w:t>
      </w:r>
      <w:r w:rsidR="00190923" w:rsidRPr="00981405">
        <w:t xml:space="preserve"> </w:t>
      </w:r>
      <w:r w:rsidRPr="00981405">
        <w:t>well</w:t>
      </w:r>
      <w:r w:rsidR="00190923" w:rsidRPr="00981405">
        <w:t xml:space="preserve"> </w:t>
      </w:r>
      <w:r w:rsidRPr="00981405">
        <w:t>to</w:t>
      </w:r>
      <w:r w:rsidR="00190923" w:rsidRPr="00981405">
        <w:t xml:space="preserve"> </w:t>
      </w:r>
      <w:r w:rsidRPr="00981405">
        <w:t>prevention</w:t>
      </w:r>
      <w:r w:rsidR="00190923" w:rsidRPr="00981405">
        <w:t xml:space="preserve"> </w:t>
      </w:r>
      <w:r w:rsidRPr="00981405">
        <w:t>of</w:t>
      </w:r>
      <w:r w:rsidR="00190923" w:rsidRPr="00981405">
        <w:t xml:space="preserve"> </w:t>
      </w:r>
      <w:r w:rsidRPr="00981405">
        <w:t>the</w:t>
      </w:r>
      <w:r w:rsidR="00190923" w:rsidRPr="00981405">
        <w:t xml:space="preserve"> </w:t>
      </w:r>
      <w:r w:rsidRPr="00981405">
        <w:t>acts</w:t>
      </w:r>
      <w:r w:rsidR="00190923" w:rsidRPr="00981405">
        <w:t xml:space="preserve"> </w:t>
      </w:r>
      <w:r w:rsidRPr="00981405">
        <w:t>in</w:t>
      </w:r>
      <w:r w:rsidR="00190923" w:rsidRPr="00981405">
        <w:t xml:space="preserve"> </w:t>
      </w:r>
      <w:r w:rsidRPr="00981405">
        <w:t>question</w:t>
      </w:r>
      <w:r w:rsidR="00190923" w:rsidRPr="00981405">
        <w:t xml:space="preserve"> </w:t>
      </w:r>
      <w:r w:rsidRPr="00981405">
        <w:t>when</w:t>
      </w:r>
      <w:r w:rsidR="00190923" w:rsidRPr="00981405">
        <w:t xml:space="preserve"> </w:t>
      </w:r>
      <w:r w:rsidRPr="00981405">
        <w:t>they</w:t>
      </w:r>
      <w:r w:rsidR="00190923" w:rsidRPr="00981405">
        <w:t xml:space="preserve"> </w:t>
      </w:r>
      <w:r w:rsidRPr="00981405">
        <w:t>also</w:t>
      </w:r>
      <w:r w:rsidR="00190923" w:rsidRPr="00981405">
        <w:t xml:space="preserve"> </w:t>
      </w:r>
      <w:r w:rsidRPr="00981405">
        <w:t>qualify</w:t>
      </w:r>
      <w:r w:rsidR="00190923" w:rsidRPr="00981405">
        <w:t xml:space="preserve"> </w:t>
      </w:r>
      <w:r w:rsidRPr="00981405">
        <w:t>as</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p>
    <w:p w:rsidR="00397032" w:rsidRPr="00981405" w:rsidRDefault="00397032" w:rsidP="00D97463">
      <w:pPr>
        <w:pStyle w:val="SingleTxt"/>
      </w:pPr>
      <w:r w:rsidRPr="00981405">
        <w:t>(2)</w:t>
      </w:r>
      <w:r w:rsidRPr="00981405">
        <w:tab/>
        <w:t>An</w:t>
      </w:r>
      <w:r w:rsidR="00190923" w:rsidRPr="00981405">
        <w:t xml:space="preserve"> </w:t>
      </w:r>
      <w:r w:rsidRPr="00981405">
        <w:t>early</w:t>
      </w:r>
      <w:r w:rsidR="00190923" w:rsidRPr="00981405">
        <w:t xml:space="preserve"> </w:t>
      </w:r>
      <w:r w:rsidRPr="00981405">
        <w:t>significant</w:t>
      </w:r>
      <w:r w:rsidR="00190923" w:rsidRPr="00981405">
        <w:t xml:space="preserve"> </w:t>
      </w:r>
      <w:r w:rsidRPr="00981405">
        <w:t>example</w:t>
      </w:r>
      <w:r w:rsidR="00190923" w:rsidRPr="00981405">
        <w:t xml:space="preserve"> </w:t>
      </w:r>
      <w:r w:rsidRPr="00981405">
        <w:t>of</w:t>
      </w:r>
      <w:r w:rsidR="00190923" w:rsidRPr="00981405">
        <w:t xml:space="preserve"> </w:t>
      </w:r>
      <w:r w:rsidRPr="00981405">
        <w:t>an</w:t>
      </w:r>
      <w:r w:rsidR="00190923" w:rsidRPr="00981405">
        <w:t xml:space="preserve"> </w:t>
      </w:r>
      <w:r w:rsidRPr="00981405">
        <w:t>obligation</w:t>
      </w:r>
      <w:r w:rsidR="00190923" w:rsidRPr="00981405">
        <w:t xml:space="preserve"> </w:t>
      </w:r>
      <w:r w:rsidRPr="00981405">
        <w:t>of</w:t>
      </w:r>
      <w:r w:rsidR="00190923" w:rsidRPr="00981405">
        <w:t xml:space="preserve"> </w:t>
      </w:r>
      <w:r w:rsidRPr="00981405">
        <w:t>prevention</w:t>
      </w:r>
      <w:r w:rsidR="00190923" w:rsidRPr="00981405">
        <w:t xml:space="preserve"> </w:t>
      </w:r>
      <w:r w:rsidRPr="00981405">
        <w:t>may</w:t>
      </w:r>
      <w:r w:rsidR="00190923" w:rsidRPr="00981405">
        <w:t xml:space="preserve"> </w:t>
      </w:r>
      <w:r w:rsidRPr="00981405">
        <w:t>be</w:t>
      </w:r>
      <w:r w:rsidR="00190923" w:rsidRPr="00981405">
        <w:t xml:space="preserve"> </w:t>
      </w:r>
      <w:r w:rsidRPr="00981405">
        <w:t>found</w:t>
      </w:r>
      <w:r w:rsidR="00190923" w:rsidRPr="00981405">
        <w:t xml:space="preserve"> </w:t>
      </w:r>
      <w:r w:rsidRPr="00981405">
        <w:t>in</w:t>
      </w:r>
      <w:r w:rsidR="00190923" w:rsidRPr="00981405">
        <w:t xml:space="preserve"> </w:t>
      </w:r>
      <w:r w:rsidRPr="00981405">
        <w:t>the</w:t>
      </w:r>
      <w:r w:rsidR="00190923" w:rsidRPr="00981405">
        <w:t xml:space="preserve"> </w:t>
      </w:r>
      <w:r w:rsidRPr="00981405">
        <w:t>1948</w:t>
      </w:r>
      <w:r w:rsidR="00190923" w:rsidRPr="00981405">
        <w:t xml:space="preserve"> </w:t>
      </w:r>
      <w:r w:rsidRPr="00981405">
        <w:t>Genocide</w:t>
      </w:r>
      <w:r w:rsidR="00190923" w:rsidRPr="00981405">
        <w:t xml:space="preserve"> </w:t>
      </w:r>
      <w:r w:rsidRPr="00981405">
        <w:t>Convention,</w:t>
      </w:r>
      <w:r w:rsidR="00190923" w:rsidRPr="00981405">
        <w:t xml:space="preserve"> </w:t>
      </w:r>
      <w:r w:rsidRPr="00981405">
        <w:t>which</w:t>
      </w:r>
      <w:r w:rsidR="00190923" w:rsidRPr="00981405">
        <w:t xml:space="preserve"> </w:t>
      </w:r>
      <w:r w:rsidRPr="00981405">
        <w:t>provides</w:t>
      </w:r>
      <w:r w:rsidR="00190923" w:rsidRPr="00981405">
        <w:t xml:space="preserve"> </w:t>
      </w:r>
      <w:r w:rsidRPr="00981405">
        <w:t>in</w:t>
      </w:r>
      <w:r w:rsidR="00190923" w:rsidRPr="00981405">
        <w:t xml:space="preserve"> </w:t>
      </w:r>
      <w:r w:rsidRPr="00981405">
        <w:t>Article</w:t>
      </w:r>
      <w:r w:rsidR="00190923" w:rsidRPr="00981405">
        <w:t xml:space="preserve"> </w:t>
      </w:r>
      <w:r w:rsidRPr="00981405">
        <w:t>I:</w:t>
      </w:r>
      <w:r w:rsidR="00190923" w:rsidRPr="00981405">
        <w:t xml:space="preserve"> </w:t>
      </w:r>
      <w:r w:rsidR="00B92E2C" w:rsidRPr="00981405">
        <w:t>“</w:t>
      </w:r>
      <w:r w:rsidRPr="00981405">
        <w:t>The</w:t>
      </w:r>
      <w:r w:rsidR="00190923" w:rsidRPr="00981405">
        <w:t xml:space="preserve"> </w:t>
      </w:r>
      <w:r w:rsidRPr="00981405">
        <w:t>Contracting</w:t>
      </w:r>
      <w:r w:rsidR="00190923" w:rsidRPr="00981405">
        <w:t xml:space="preserve"> </w:t>
      </w:r>
      <w:r w:rsidRPr="00981405">
        <w:t>Parties</w:t>
      </w:r>
      <w:r w:rsidR="00190923" w:rsidRPr="00981405">
        <w:t xml:space="preserve"> </w:t>
      </w:r>
      <w:r w:rsidRPr="00981405">
        <w:t>confirm</w:t>
      </w:r>
      <w:r w:rsidR="00190923" w:rsidRPr="00981405">
        <w:t xml:space="preserve"> </w:t>
      </w:r>
      <w:r w:rsidRPr="00981405">
        <w:t>that</w:t>
      </w:r>
      <w:r w:rsidR="00190923" w:rsidRPr="00981405">
        <w:t xml:space="preserve"> </w:t>
      </w:r>
      <w:r w:rsidRPr="00981405">
        <w:t>genocide,</w:t>
      </w:r>
      <w:r w:rsidR="00190923" w:rsidRPr="00981405">
        <w:t xml:space="preserve"> </w:t>
      </w:r>
      <w:r w:rsidRPr="00981405">
        <w:t>whether</w:t>
      </w:r>
      <w:r w:rsidR="00190923" w:rsidRPr="00981405">
        <w:t xml:space="preserve"> </w:t>
      </w:r>
      <w:r w:rsidRPr="00981405">
        <w:t>committed</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peace</w:t>
      </w:r>
      <w:r w:rsidR="00190923" w:rsidRPr="00981405">
        <w:t xml:space="preserve"> </w:t>
      </w:r>
      <w:r w:rsidRPr="00981405">
        <w:t>or</w:t>
      </w:r>
      <w:r w:rsidR="00190923" w:rsidRPr="00981405">
        <w:t xml:space="preserve"> </w:t>
      </w:r>
      <w:r w:rsidRPr="00981405">
        <w:t>in</w:t>
      </w:r>
      <w:r w:rsidR="00190923" w:rsidRPr="00981405">
        <w:t xml:space="preserve"> </w:t>
      </w:r>
      <w:r w:rsidRPr="00981405">
        <w:t>time</w:t>
      </w:r>
      <w:r w:rsidR="00190923" w:rsidRPr="00981405">
        <w:t xml:space="preserve"> </w:t>
      </w:r>
      <w:r w:rsidRPr="00981405">
        <w:t>of</w:t>
      </w:r>
      <w:r w:rsidR="00190923" w:rsidRPr="00981405">
        <w:t xml:space="preserve"> </w:t>
      </w:r>
      <w:r w:rsidRPr="00981405">
        <w:t>war,</w:t>
      </w:r>
      <w:r w:rsidR="00190923" w:rsidRPr="00981405">
        <w:t xml:space="preserve"> </w:t>
      </w:r>
      <w:r w:rsidRPr="00981405">
        <w:t>is</w:t>
      </w:r>
      <w:r w:rsidR="00190923" w:rsidRPr="00981405">
        <w:t xml:space="preserve"> </w:t>
      </w:r>
      <w:r w:rsidRPr="00981405">
        <w:t>a</w:t>
      </w:r>
      <w:r w:rsidR="00190923" w:rsidRPr="00981405">
        <w:t xml:space="preserve"> </w:t>
      </w:r>
      <w:r w:rsidRPr="00981405">
        <w:t>crime</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which</w:t>
      </w:r>
      <w:r w:rsidR="00190923" w:rsidRPr="00981405">
        <w:t xml:space="preserve"> </w:t>
      </w:r>
      <w:r w:rsidRPr="00981405">
        <w:t>they</w:t>
      </w:r>
      <w:r w:rsidR="00190923" w:rsidRPr="00981405">
        <w:t xml:space="preserve"> </w:t>
      </w:r>
      <w:r w:rsidRPr="00981405">
        <w:t>undertake</w:t>
      </w:r>
      <w:r w:rsidR="00190923" w:rsidRPr="00981405">
        <w:t xml:space="preserve"> </w:t>
      </w:r>
      <w:r w:rsidRPr="00981405">
        <w:t>to</w:t>
      </w:r>
      <w:r w:rsidR="00190923" w:rsidRPr="00981405">
        <w:t xml:space="preserve"> </w:t>
      </w:r>
      <w:r w:rsidRPr="00981405">
        <w:t>prevent</w:t>
      </w:r>
      <w:r w:rsidR="00190923" w:rsidRPr="00981405">
        <w:t xml:space="preserve"> </w:t>
      </w:r>
      <w:r w:rsidRPr="00981405">
        <w:t>and</w:t>
      </w:r>
      <w:r w:rsidR="00190923" w:rsidRPr="00981405">
        <w:t xml:space="preserve"> </w:t>
      </w:r>
      <w:r w:rsidRPr="00981405">
        <w:t>to</w:t>
      </w:r>
      <w:r w:rsidR="00190923" w:rsidRPr="00981405">
        <w:t xml:space="preserve"> </w:t>
      </w:r>
      <w:r w:rsidRPr="00981405">
        <w:t>punish.</w:t>
      </w:r>
      <w:r w:rsidR="00B92E2C" w:rsidRPr="00981405">
        <w:t>”</w:t>
      </w:r>
      <w:r w:rsidRPr="00981405">
        <w:rPr>
          <w:rStyle w:val="FootnoteReference"/>
        </w:rPr>
        <w:footnoteReference w:id="230"/>
      </w:r>
      <w:r w:rsidR="00190923" w:rsidRPr="00981405">
        <w:t xml:space="preserve"> </w:t>
      </w:r>
      <w:r w:rsidRPr="00981405">
        <w:t>Further,</w:t>
      </w:r>
      <w:r w:rsidR="00190923" w:rsidRPr="00981405">
        <w:t xml:space="preserve"> </w:t>
      </w:r>
      <w:r w:rsidRPr="00981405">
        <w:t>Article</w:t>
      </w:r>
      <w:r w:rsidR="00190923" w:rsidRPr="00981405">
        <w:t xml:space="preserve"> </w:t>
      </w:r>
      <w:r w:rsidRPr="00981405">
        <w:t>V</w:t>
      </w:r>
      <w:r w:rsidR="00190923" w:rsidRPr="00981405">
        <w:t xml:space="preserve"> </w:t>
      </w:r>
      <w:r w:rsidRPr="00981405">
        <w:t>provides:</w:t>
      </w:r>
      <w:r w:rsidR="00190923" w:rsidRPr="00981405">
        <w:t xml:space="preserve"> </w:t>
      </w:r>
      <w:r w:rsidR="00B92E2C" w:rsidRPr="00981405">
        <w:t>“</w:t>
      </w:r>
      <w:r w:rsidRPr="00981405">
        <w:t>The</w:t>
      </w:r>
      <w:r w:rsidR="00190923" w:rsidRPr="00981405">
        <w:t xml:space="preserve"> </w:t>
      </w:r>
      <w:r w:rsidRPr="00981405">
        <w:t>Contracting</w:t>
      </w:r>
      <w:r w:rsidR="00190923" w:rsidRPr="00981405">
        <w:t xml:space="preserve"> </w:t>
      </w:r>
      <w:r w:rsidRPr="00981405">
        <w:t>Parties</w:t>
      </w:r>
      <w:r w:rsidR="00190923" w:rsidRPr="00981405">
        <w:t xml:space="preserve"> </w:t>
      </w:r>
      <w:r w:rsidRPr="00981405">
        <w:t>undertake</w:t>
      </w:r>
      <w:r w:rsidR="00190923" w:rsidRPr="00981405">
        <w:t xml:space="preserve"> </w:t>
      </w:r>
      <w:r w:rsidRPr="00981405">
        <w:t>to</w:t>
      </w:r>
      <w:r w:rsidR="00190923" w:rsidRPr="00981405">
        <w:t xml:space="preserve"> </w:t>
      </w:r>
      <w:r w:rsidRPr="00981405">
        <w:t>enact,</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their</w:t>
      </w:r>
      <w:r w:rsidR="00190923" w:rsidRPr="00981405">
        <w:t xml:space="preserve"> </w:t>
      </w:r>
      <w:r w:rsidRPr="00981405">
        <w:t>respective</w:t>
      </w:r>
      <w:r w:rsidR="00190923" w:rsidRPr="00981405">
        <w:t xml:space="preserve"> </w:t>
      </w:r>
      <w:r w:rsidRPr="00981405">
        <w:t>Constitutions,</w:t>
      </w:r>
      <w:r w:rsidR="00190923" w:rsidRPr="00981405">
        <w:t xml:space="preserve"> </w:t>
      </w:r>
      <w:r w:rsidRPr="00981405">
        <w:t>the</w:t>
      </w:r>
      <w:r w:rsidR="00190923" w:rsidRPr="00981405">
        <w:t xml:space="preserve"> </w:t>
      </w:r>
      <w:r w:rsidRPr="00981405">
        <w:t>necessary</w:t>
      </w:r>
      <w:r w:rsidR="00190923" w:rsidRPr="00981405">
        <w:t xml:space="preserve"> </w:t>
      </w:r>
      <w:r w:rsidRPr="00981405">
        <w:t>legislation</w:t>
      </w:r>
      <w:r w:rsidR="00190923" w:rsidRPr="00981405">
        <w:t xml:space="preserve"> </w:t>
      </w:r>
      <w:r w:rsidRPr="00981405">
        <w:t>to</w:t>
      </w:r>
      <w:r w:rsidR="00190923" w:rsidRPr="00981405">
        <w:t xml:space="preserve"> </w:t>
      </w:r>
      <w:r w:rsidRPr="00981405">
        <w:t>give</w:t>
      </w:r>
      <w:r w:rsidR="00190923" w:rsidRPr="00981405">
        <w:t xml:space="preserve"> </w:t>
      </w:r>
      <w:r w:rsidRPr="00981405">
        <w:t>effect</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to</w:t>
      </w:r>
      <w:r w:rsidR="00190923" w:rsidRPr="00981405">
        <w:t xml:space="preserve"> </w:t>
      </w:r>
      <w:r w:rsidRPr="00981405">
        <w:t>provide</w:t>
      </w:r>
      <w:r w:rsidR="00190923" w:rsidRPr="00981405">
        <w:t xml:space="preserve"> </w:t>
      </w:r>
      <w:r w:rsidRPr="00981405">
        <w:t>effective</w:t>
      </w:r>
      <w:r w:rsidR="00190923" w:rsidRPr="00981405">
        <w:t xml:space="preserve"> </w:t>
      </w:r>
      <w:r w:rsidRPr="00981405">
        <w:t>penalties</w:t>
      </w:r>
      <w:r w:rsidR="00190923" w:rsidRPr="00981405">
        <w:t xml:space="preserve"> </w:t>
      </w:r>
      <w:r w:rsidRPr="00981405">
        <w:t>for</w:t>
      </w:r>
      <w:r w:rsidR="00190923" w:rsidRPr="00981405">
        <w:t xml:space="preserve"> </w:t>
      </w:r>
      <w:r w:rsidRPr="00981405">
        <w:t>persons</w:t>
      </w:r>
      <w:r w:rsidR="00190923" w:rsidRPr="00981405">
        <w:t xml:space="preserve"> </w:t>
      </w:r>
      <w:r w:rsidRPr="00981405">
        <w:t>guilty</w:t>
      </w:r>
      <w:r w:rsidR="00190923" w:rsidRPr="00981405">
        <w:t xml:space="preserve"> </w:t>
      </w:r>
      <w:r w:rsidRPr="00981405">
        <w:t>of</w:t>
      </w:r>
      <w:r w:rsidR="00190923" w:rsidRPr="00981405">
        <w:t xml:space="preserve"> </w:t>
      </w:r>
      <w:r w:rsidRPr="00981405">
        <w:t>genocide</w:t>
      </w:r>
      <w:r w:rsidR="00190923" w:rsidRPr="00981405">
        <w:t xml:space="preserve"> </w:t>
      </w:r>
      <w:r w:rsidRPr="00981405">
        <w:t>or</w:t>
      </w:r>
      <w:r w:rsidR="00190923" w:rsidRPr="00981405">
        <w:t xml:space="preserve"> </w:t>
      </w:r>
      <w:r w:rsidRPr="00981405">
        <w:t>any</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acts</w:t>
      </w:r>
      <w:r w:rsidR="00190923" w:rsidRPr="00981405">
        <w:t xml:space="preserve"> </w:t>
      </w:r>
      <w:r w:rsidRPr="00981405">
        <w:t>enumerated</w:t>
      </w:r>
      <w:r w:rsidR="00190923" w:rsidRPr="00981405">
        <w:t xml:space="preserve"> </w:t>
      </w:r>
      <w:r w:rsidRPr="00981405">
        <w:t>in</w:t>
      </w:r>
      <w:r w:rsidR="00190923" w:rsidRPr="00981405">
        <w:t xml:space="preserve"> </w:t>
      </w:r>
      <w:r w:rsidRPr="00981405">
        <w:t>article</w:t>
      </w:r>
      <w:r w:rsidR="00190923" w:rsidRPr="00981405">
        <w:t xml:space="preserve"> </w:t>
      </w:r>
      <w:r w:rsidRPr="00981405">
        <w:t>III.</w:t>
      </w:r>
      <w:r w:rsidR="00B92E2C" w:rsidRPr="00981405">
        <w:t>”</w:t>
      </w:r>
      <w:r w:rsidR="00190923" w:rsidRPr="00981405">
        <w:t xml:space="preserve"> </w:t>
      </w:r>
      <w:r w:rsidRPr="00981405">
        <w:t>Article</w:t>
      </w:r>
      <w:r w:rsidR="00190923" w:rsidRPr="00981405">
        <w:t xml:space="preserve"> </w:t>
      </w:r>
      <w:r w:rsidRPr="00981405">
        <w:t>VIII</w:t>
      </w:r>
      <w:r w:rsidR="00190923" w:rsidRPr="00981405">
        <w:t xml:space="preserve"> </w:t>
      </w:r>
      <w:r w:rsidRPr="00981405">
        <w:t>provides:</w:t>
      </w:r>
      <w:r w:rsidR="00190923" w:rsidRPr="00981405">
        <w:t xml:space="preserve"> </w:t>
      </w:r>
      <w:r w:rsidR="00B92E2C" w:rsidRPr="00981405">
        <w:t>“</w:t>
      </w:r>
      <w:r w:rsidRPr="00981405">
        <w:t>Any</w:t>
      </w:r>
      <w:r w:rsidR="00190923" w:rsidRPr="00981405">
        <w:t xml:space="preserve"> </w:t>
      </w:r>
      <w:r w:rsidRPr="00981405">
        <w:t>Contracting</w:t>
      </w:r>
      <w:r w:rsidR="00190923" w:rsidRPr="00981405">
        <w:t xml:space="preserve"> </w:t>
      </w:r>
      <w:r w:rsidRPr="00981405">
        <w:t>Party</w:t>
      </w:r>
      <w:r w:rsidR="00190923" w:rsidRPr="00981405">
        <w:t xml:space="preserve"> </w:t>
      </w:r>
      <w:r w:rsidRPr="00981405">
        <w:t>may</w:t>
      </w:r>
      <w:r w:rsidR="00190923" w:rsidRPr="00981405">
        <w:t xml:space="preserve"> </w:t>
      </w:r>
      <w:r w:rsidRPr="00981405">
        <w:t>call</w:t>
      </w:r>
      <w:r w:rsidR="00190923" w:rsidRPr="00981405">
        <w:t xml:space="preserve"> </w:t>
      </w:r>
      <w:r w:rsidRPr="00981405">
        <w:t>upon</w:t>
      </w:r>
      <w:r w:rsidR="00190923" w:rsidRPr="00981405">
        <w:t xml:space="preserve"> </w:t>
      </w:r>
      <w:r w:rsidRPr="00981405">
        <w:t>the</w:t>
      </w:r>
      <w:r w:rsidR="00190923" w:rsidRPr="00981405">
        <w:t xml:space="preserve"> </w:t>
      </w:r>
      <w:r w:rsidRPr="00981405">
        <w:t>competent</w:t>
      </w:r>
      <w:r w:rsidR="00190923" w:rsidRPr="00981405">
        <w:t xml:space="preserve"> </w:t>
      </w:r>
      <w:r w:rsidRPr="00981405">
        <w:t>organs</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to</w:t>
      </w:r>
      <w:r w:rsidR="00190923" w:rsidRPr="00981405">
        <w:t xml:space="preserve"> </w:t>
      </w:r>
      <w:r w:rsidRPr="00981405">
        <w:t>take</w:t>
      </w:r>
      <w:r w:rsidR="00190923" w:rsidRPr="00981405">
        <w:t xml:space="preserve"> </w:t>
      </w:r>
      <w:r w:rsidRPr="00981405">
        <w:t>such</w:t>
      </w:r>
      <w:r w:rsidR="00190923" w:rsidRPr="00981405">
        <w:t xml:space="preserve"> </w:t>
      </w:r>
      <w:r w:rsidRPr="00981405">
        <w:t>action</w:t>
      </w:r>
      <w:r w:rsidR="00190923" w:rsidRPr="00981405">
        <w:t xml:space="preserve"> </w:t>
      </w:r>
      <w:r w:rsidRPr="00981405">
        <w:t>under</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as</w:t>
      </w:r>
      <w:r w:rsidR="00190923" w:rsidRPr="00981405">
        <w:t xml:space="preserve"> </w:t>
      </w:r>
      <w:r w:rsidRPr="00981405">
        <w:t>they</w:t>
      </w:r>
      <w:r w:rsidR="00190923" w:rsidRPr="00981405">
        <w:t xml:space="preserve"> </w:t>
      </w:r>
      <w:r w:rsidRPr="00981405">
        <w:t>consider</w:t>
      </w:r>
      <w:r w:rsidR="00190923" w:rsidRPr="00981405">
        <w:t xml:space="preserve"> </w:t>
      </w:r>
      <w:r w:rsidRPr="00981405">
        <w:t>appropriate</w:t>
      </w:r>
      <w:r w:rsidR="00190923" w:rsidRPr="00981405">
        <w:t xml:space="preserve"> </w:t>
      </w:r>
      <w:r w:rsidRPr="00981405">
        <w:t>for</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and</w:t>
      </w:r>
      <w:r w:rsidR="00190923" w:rsidRPr="00981405">
        <w:t xml:space="preserve"> </w:t>
      </w:r>
      <w:r w:rsidRPr="00981405">
        <w:t>suppression</w:t>
      </w:r>
      <w:r w:rsidR="00190923" w:rsidRPr="00981405">
        <w:t xml:space="preserve"> </w:t>
      </w:r>
      <w:r w:rsidRPr="00981405">
        <w:t>of</w:t>
      </w:r>
      <w:r w:rsidR="00190923" w:rsidRPr="00981405">
        <w:t xml:space="preserve"> </w:t>
      </w:r>
      <w:r w:rsidRPr="00981405">
        <w:t>acts</w:t>
      </w:r>
      <w:r w:rsidR="00190923" w:rsidRPr="00981405">
        <w:t xml:space="preserve"> </w:t>
      </w:r>
      <w:r w:rsidRPr="00981405">
        <w:t>of</w:t>
      </w:r>
      <w:r w:rsidR="00190923" w:rsidRPr="00981405">
        <w:t xml:space="preserve"> </w:t>
      </w:r>
      <w:r w:rsidRPr="00981405">
        <w:t>genocide</w:t>
      </w:r>
      <w:r w:rsidR="00190923" w:rsidRPr="00981405">
        <w:t xml:space="preserve"> </w:t>
      </w:r>
      <w:r w:rsidRPr="00981405">
        <w:t>or</w:t>
      </w:r>
      <w:r w:rsidR="00190923" w:rsidRPr="00981405">
        <w:t xml:space="preserve"> </w:t>
      </w:r>
      <w:r w:rsidRPr="00981405">
        <w:t>any</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acts</w:t>
      </w:r>
      <w:r w:rsidR="00190923" w:rsidRPr="00981405">
        <w:t xml:space="preserve"> </w:t>
      </w:r>
      <w:r w:rsidRPr="00981405">
        <w:t>enumerated</w:t>
      </w:r>
      <w:r w:rsidR="00190923" w:rsidRPr="00981405">
        <w:t xml:space="preserve"> </w:t>
      </w:r>
      <w:r w:rsidRPr="00981405">
        <w:t>in</w:t>
      </w:r>
      <w:r w:rsidR="00190923" w:rsidRPr="00981405">
        <w:t xml:space="preserve"> </w:t>
      </w:r>
      <w:r w:rsidRPr="00981405">
        <w:t>article</w:t>
      </w:r>
      <w:r w:rsidR="00190923" w:rsidRPr="00981405">
        <w:t xml:space="preserve"> </w:t>
      </w:r>
      <w:r w:rsidRPr="00981405">
        <w:t>III.</w:t>
      </w:r>
      <w:r w:rsidR="00B92E2C" w:rsidRPr="00981405">
        <w:t>”</w:t>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Genocide</w:t>
      </w:r>
      <w:r w:rsidR="00190923" w:rsidRPr="00981405">
        <w:t xml:space="preserve"> </w:t>
      </w:r>
      <w:r w:rsidRPr="00981405">
        <w:t>Convention</w:t>
      </w:r>
      <w:r w:rsidR="00190923" w:rsidRPr="00981405">
        <w:t xml:space="preserve"> </w:t>
      </w:r>
      <w:r w:rsidRPr="00981405">
        <w:t>contains</w:t>
      </w:r>
      <w:r w:rsidR="00190923" w:rsidRPr="00981405">
        <w:t xml:space="preserve"> </w:t>
      </w:r>
      <w:r w:rsidRPr="00981405">
        <w:t>within</w:t>
      </w:r>
      <w:r w:rsidR="00190923" w:rsidRPr="00981405">
        <w:t xml:space="preserve"> </w:t>
      </w:r>
      <w:r w:rsidRPr="00981405">
        <w:t>it</w:t>
      </w:r>
      <w:r w:rsidR="00190923" w:rsidRPr="00981405">
        <w:t xml:space="preserve"> </w:t>
      </w:r>
      <w:r w:rsidRPr="00981405">
        <w:t>several</w:t>
      </w:r>
      <w:r w:rsidR="00190923" w:rsidRPr="00981405">
        <w:t xml:space="preserve"> </w:t>
      </w:r>
      <w:r w:rsidRPr="00981405">
        <w:t>elements</w:t>
      </w:r>
      <w:r w:rsidR="00190923" w:rsidRPr="00981405">
        <w:t xml:space="preserve"> </w:t>
      </w:r>
      <w:r w:rsidRPr="00981405">
        <w:t>relating</w:t>
      </w:r>
      <w:r w:rsidR="00190923" w:rsidRPr="00981405">
        <w:t xml:space="preserve"> </w:t>
      </w:r>
      <w:r w:rsidRPr="00981405">
        <w:t>to</w:t>
      </w:r>
      <w:r w:rsidR="00190923" w:rsidRPr="00981405">
        <w:t xml:space="preserve"> </w:t>
      </w:r>
      <w:r w:rsidRPr="00981405">
        <w:t>prevention:</w:t>
      </w:r>
      <w:r w:rsidR="00190923" w:rsidRPr="00981405">
        <w:t xml:space="preserve"> </w:t>
      </w:r>
      <w:r w:rsidRPr="00981405">
        <w:t>a</w:t>
      </w:r>
      <w:r w:rsidR="00190923" w:rsidRPr="00981405">
        <w:t xml:space="preserve"> </w:t>
      </w:r>
      <w:r w:rsidRPr="00981405">
        <w:t>general</w:t>
      </w:r>
      <w:r w:rsidR="00190923" w:rsidRPr="00981405">
        <w:t xml:space="preserve"> </w:t>
      </w:r>
      <w:r w:rsidRPr="00981405">
        <w:t>obligation</w:t>
      </w:r>
      <w:r w:rsidR="00190923" w:rsidRPr="00981405">
        <w:t xml:space="preserve"> </w:t>
      </w:r>
      <w:r w:rsidRPr="00981405">
        <w:t>to</w:t>
      </w:r>
      <w:r w:rsidR="00190923" w:rsidRPr="00981405">
        <w:t xml:space="preserve"> </w:t>
      </w:r>
      <w:r w:rsidRPr="00981405">
        <w:t>prevent</w:t>
      </w:r>
      <w:r w:rsidR="00190923" w:rsidRPr="00981405">
        <w:t xml:space="preserve"> </w:t>
      </w:r>
      <w:r w:rsidRPr="00981405">
        <w:t>genocide;</w:t>
      </w:r>
      <w:r w:rsidR="00190923" w:rsidRPr="00981405">
        <w:t xml:space="preserve"> </w:t>
      </w:r>
      <w:r w:rsidRPr="00981405">
        <w:t>an</w:t>
      </w:r>
      <w:r w:rsidR="00190923" w:rsidRPr="00981405">
        <w:t xml:space="preserve"> </w:t>
      </w:r>
      <w:r w:rsidRPr="00981405">
        <w:t>obligation</w:t>
      </w:r>
      <w:r w:rsidR="00190923" w:rsidRPr="00981405">
        <w:t xml:space="preserve"> </w:t>
      </w:r>
      <w:r w:rsidRPr="00981405">
        <w:t>to</w:t>
      </w:r>
      <w:r w:rsidR="00190923" w:rsidRPr="00981405">
        <w:t xml:space="preserve"> </w:t>
      </w:r>
      <w:r w:rsidRPr="00981405">
        <w:t>enact</w:t>
      </w:r>
      <w:r w:rsidR="00190923" w:rsidRPr="00981405">
        <w:t xml:space="preserve"> </w:t>
      </w:r>
      <w:r w:rsidRPr="00981405">
        <w:t>national</w:t>
      </w:r>
      <w:r w:rsidR="00190923" w:rsidRPr="00981405">
        <w:t xml:space="preserve"> </w:t>
      </w:r>
      <w:r w:rsidRPr="00981405">
        <w:t>measures</w:t>
      </w:r>
      <w:r w:rsidR="00190923" w:rsidRPr="00981405">
        <w:t xml:space="preserve"> </w:t>
      </w:r>
      <w:r w:rsidRPr="00981405">
        <w:t>to</w:t>
      </w:r>
      <w:r w:rsidR="00190923" w:rsidRPr="00981405">
        <w:t xml:space="preserve"> </w:t>
      </w:r>
      <w:r w:rsidRPr="00981405">
        <w:t>give</w:t>
      </w:r>
      <w:r w:rsidR="00190923" w:rsidRPr="00981405">
        <w:t xml:space="preserve"> </w:t>
      </w:r>
      <w:r w:rsidRPr="00981405">
        <w:t>effect</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a</w:t>
      </w:r>
      <w:r w:rsidR="00190923" w:rsidRPr="00981405">
        <w:t xml:space="preserve"> </w:t>
      </w:r>
      <w:r w:rsidRPr="00981405">
        <w:t>provision</w:t>
      </w:r>
      <w:r w:rsidR="00190923" w:rsidRPr="00981405">
        <w:t xml:space="preserve"> </w:t>
      </w:r>
      <w:r w:rsidRPr="00981405">
        <w:t>on</w:t>
      </w:r>
      <w:r w:rsidR="00190923" w:rsidRPr="00981405">
        <w:t xml:space="preserve"> </w:t>
      </w:r>
      <w:r w:rsidRPr="00981405">
        <w:t>cooperation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with</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for</w:t>
      </w:r>
      <w:r w:rsidR="00190923" w:rsidRPr="00981405">
        <w:t xml:space="preserve"> </w:t>
      </w:r>
      <w:r w:rsidRPr="00981405">
        <w:t>the</w:t>
      </w:r>
      <w:r w:rsidR="00190923" w:rsidRPr="00981405">
        <w:t xml:space="preserve"> </w:t>
      </w:r>
      <w:r w:rsidRPr="00981405">
        <w:t>prevention</w:t>
      </w:r>
      <w:r w:rsidR="00190923" w:rsidRPr="00981405">
        <w:t xml:space="preserve"> </w:t>
      </w:r>
      <w:r w:rsidRPr="00981405">
        <w:t>of</w:t>
      </w:r>
      <w:r w:rsidR="00190923" w:rsidRPr="00981405">
        <w:t xml:space="preserve"> </w:t>
      </w:r>
      <w:r w:rsidRPr="00981405">
        <w:t>genocide.</w:t>
      </w:r>
    </w:p>
    <w:p w:rsidR="00397032" w:rsidRPr="00981405" w:rsidRDefault="00397032" w:rsidP="00D97463">
      <w:pPr>
        <w:pStyle w:val="SingleTxt"/>
        <w:rPr>
          <w:rFonts w:eastAsia="MS Mincho"/>
        </w:rPr>
      </w:pPr>
      <w:r w:rsidRPr="00981405">
        <w:rPr>
          <w:rFonts w:eastAsia="MS Mincho"/>
        </w:rPr>
        <w:t>(3)</w:t>
      </w:r>
      <w:r w:rsidRPr="00981405">
        <w:rPr>
          <w:rFonts w:eastAsia="MS Mincho"/>
        </w:rPr>
        <w:tab/>
        <w:t>Such</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feature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most</w:t>
      </w:r>
      <w:r w:rsidR="00190923" w:rsidRPr="00981405">
        <w:rPr>
          <w:rFonts w:eastAsia="MS Mincho"/>
        </w:rPr>
        <w:t xml:space="preserve"> </w:t>
      </w:r>
      <w:r w:rsidRPr="00981405">
        <w:rPr>
          <w:rFonts w:eastAsia="MS Mincho"/>
        </w:rPr>
        <w:t>multilateral</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addressing</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since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1960s.</w:t>
      </w:r>
      <w:r w:rsidR="00190923" w:rsidRPr="00981405">
        <w:rPr>
          <w:rFonts w:eastAsia="MS Mincho"/>
        </w:rPr>
        <w:t xml:space="preserve"> </w:t>
      </w:r>
      <w:r w:rsidRPr="00981405">
        <w:rPr>
          <w:rFonts w:eastAsia="MS Mincho"/>
        </w:rPr>
        <w:t>Examples</w:t>
      </w:r>
      <w:r w:rsidR="00190923" w:rsidRPr="00981405">
        <w:rPr>
          <w:rFonts w:eastAsia="MS Mincho"/>
        </w:rPr>
        <w:t xml:space="preserve"> </w:t>
      </w:r>
      <w:r w:rsidRPr="00981405">
        <w:rPr>
          <w:rFonts w:eastAsia="MS Mincho"/>
        </w:rPr>
        <w:t>include: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suppression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unlawful</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safety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civil</w:t>
      </w:r>
      <w:r w:rsidR="00190923" w:rsidRPr="00981405">
        <w:rPr>
          <w:rFonts w:eastAsia="MS Mincho"/>
        </w:rPr>
        <w:t xml:space="preserve"> </w:t>
      </w:r>
      <w:r w:rsidRPr="00981405">
        <w:rPr>
          <w:rFonts w:eastAsia="MS Mincho"/>
        </w:rPr>
        <w:t>aviation;</w:t>
      </w:r>
      <w:r w:rsidRPr="00981405">
        <w:rPr>
          <w:rStyle w:val="FootnoteReference"/>
        </w:rPr>
        <w:footnoteReference w:id="231"/>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internationally</w:t>
      </w:r>
      <w:r w:rsidR="00190923" w:rsidRPr="00981405">
        <w:rPr>
          <w:rFonts w:eastAsia="MS Mincho"/>
        </w:rPr>
        <w:t xml:space="preserve"> </w:t>
      </w:r>
      <w:r w:rsidRPr="00981405">
        <w:rPr>
          <w:rFonts w:eastAsia="MS Mincho"/>
        </w:rPr>
        <w:t>protected</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including</w:t>
      </w:r>
      <w:r w:rsidR="00190923" w:rsidRPr="00981405">
        <w:rPr>
          <w:rFonts w:eastAsia="MS Mincho"/>
        </w:rPr>
        <w:t xml:space="preserve"> </w:t>
      </w:r>
      <w:r w:rsidRPr="00981405">
        <w:rPr>
          <w:rFonts w:eastAsia="MS Mincho"/>
        </w:rPr>
        <w:t>diplomatic</w:t>
      </w:r>
      <w:r w:rsidR="00190923" w:rsidRPr="00981405">
        <w:rPr>
          <w:rFonts w:eastAsia="MS Mincho"/>
        </w:rPr>
        <w:t xml:space="preserve"> </w:t>
      </w:r>
      <w:r w:rsidRPr="00981405">
        <w:rPr>
          <w:rFonts w:eastAsia="MS Mincho"/>
        </w:rPr>
        <w:t>agents;</w:t>
      </w:r>
      <w:r w:rsidRPr="00981405">
        <w:rPr>
          <w:rStyle w:val="FootnoteReference"/>
        </w:rPr>
        <w:footnoteReference w:id="232"/>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Crime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lastRenderedPageBreak/>
        <w:t>Apartheid;</w:t>
      </w:r>
      <w:r w:rsidRPr="00981405">
        <w:rPr>
          <w:rStyle w:val="FootnoteReference"/>
        </w:rPr>
        <w:footnoteReference w:id="233"/>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taking</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hostages;</w:t>
      </w:r>
      <w:r w:rsidRPr="00981405">
        <w:rPr>
          <w:rStyle w:val="FootnoteReference"/>
        </w:rPr>
        <w:footnoteReference w:id="234"/>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Torture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Cruel,</w:t>
      </w:r>
      <w:r w:rsidR="00190923" w:rsidRPr="00981405">
        <w:rPr>
          <w:rFonts w:eastAsia="MS Mincho"/>
        </w:rPr>
        <w:t xml:space="preserve"> </w:t>
      </w:r>
      <w:r w:rsidRPr="00981405">
        <w:rPr>
          <w:rFonts w:eastAsia="MS Mincho"/>
        </w:rPr>
        <w:t>Inhuman</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Degrading</w:t>
      </w:r>
      <w:r w:rsidR="00190923" w:rsidRPr="00981405">
        <w:rPr>
          <w:rFonts w:eastAsia="MS Mincho"/>
        </w:rPr>
        <w:t xml:space="preserve"> </w:t>
      </w:r>
      <w:r w:rsidRPr="00981405">
        <w:rPr>
          <w:rFonts w:eastAsia="MS Mincho"/>
        </w:rPr>
        <w:t>Treatment</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Punishment;</w:t>
      </w:r>
      <w:r w:rsidRPr="00981405">
        <w:rPr>
          <w:rStyle w:val="FootnoteReference"/>
        </w:rPr>
        <w:footnoteReference w:id="235"/>
      </w:r>
      <w:r w:rsidR="00190923" w:rsidRPr="00981405">
        <w:rPr>
          <w:rFonts w:eastAsia="MS Mincho"/>
        </w:rPr>
        <w:t xml:space="preserve"> </w:t>
      </w:r>
      <w:r w:rsidRPr="00981405">
        <w:rPr>
          <w:rFonts w:eastAsia="MS Mincho"/>
        </w:rPr>
        <w:t>Inter-American</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Torture;</w:t>
      </w:r>
      <w:bookmarkStart w:id="96" w:name="_Ref295995968"/>
      <w:r w:rsidRPr="00981405">
        <w:rPr>
          <w:rStyle w:val="FootnoteReference"/>
        </w:rPr>
        <w:footnoteReference w:id="236"/>
      </w:r>
      <w:bookmarkEnd w:id="96"/>
      <w:r w:rsidR="00190923" w:rsidRPr="00981405">
        <w:rPr>
          <w:rFonts w:eastAsia="MS Mincho"/>
        </w:rPr>
        <w:t xml:space="preserve"> </w:t>
      </w:r>
      <w:r w:rsidRPr="00981405">
        <w:rPr>
          <w:rFonts w:eastAsia="MS Mincho"/>
        </w:rPr>
        <w:t>Inter-American</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Forced</w:t>
      </w:r>
      <w:r w:rsidR="00190923" w:rsidRPr="00981405">
        <w:rPr>
          <w:rFonts w:eastAsia="MS Mincho"/>
        </w:rPr>
        <w:t xml:space="preserve"> </w:t>
      </w:r>
      <w:r w:rsidRPr="00981405">
        <w:rPr>
          <w:rFonts w:eastAsia="MS Mincho"/>
        </w:rPr>
        <w:t>Disappearance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Persons;</w:t>
      </w:r>
      <w:r w:rsidRPr="00981405">
        <w:rPr>
          <w:rStyle w:val="FootnoteReference"/>
        </w:rPr>
        <w:footnoteReference w:id="237"/>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Safety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Associated</w:t>
      </w:r>
      <w:r w:rsidR="00190923" w:rsidRPr="00981405">
        <w:rPr>
          <w:rFonts w:eastAsia="MS Mincho"/>
        </w:rPr>
        <w:t xml:space="preserve"> </w:t>
      </w:r>
      <w:r w:rsidRPr="00981405">
        <w:rPr>
          <w:rFonts w:eastAsia="MS Mincho"/>
        </w:rPr>
        <w:t>Personnel;</w:t>
      </w:r>
      <w:r w:rsidRPr="00981405">
        <w:rPr>
          <w:rStyle w:val="FootnoteReference"/>
        </w:rPr>
        <w:footnoteReference w:id="238"/>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Suppression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Terrorist</w:t>
      </w:r>
      <w:r w:rsidR="00190923" w:rsidRPr="00981405">
        <w:rPr>
          <w:rFonts w:eastAsia="MS Mincho"/>
        </w:rPr>
        <w:t xml:space="preserve"> </w:t>
      </w:r>
      <w:r w:rsidRPr="00981405">
        <w:rPr>
          <w:rFonts w:eastAsia="MS Mincho"/>
        </w:rPr>
        <w:t>Bombings;</w:t>
      </w:r>
      <w:r w:rsidRPr="00981405">
        <w:rPr>
          <w:rStyle w:val="FootnoteReference"/>
        </w:rPr>
        <w:footnoteReference w:id="239"/>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Transnational</w:t>
      </w:r>
      <w:r w:rsidR="00190923" w:rsidRPr="00981405">
        <w:rPr>
          <w:rFonts w:eastAsia="MS Mincho"/>
        </w:rPr>
        <w:t xml:space="preserve"> </w:t>
      </w:r>
      <w:r w:rsidRPr="00981405">
        <w:rPr>
          <w:rFonts w:eastAsia="MS Mincho"/>
        </w:rPr>
        <w:t>Organized</w:t>
      </w:r>
      <w:r w:rsidR="00190923" w:rsidRPr="00981405">
        <w:rPr>
          <w:rFonts w:eastAsia="MS Mincho"/>
        </w:rPr>
        <w:t xml:space="preserve"> </w:t>
      </w:r>
      <w:r w:rsidRPr="00981405">
        <w:rPr>
          <w:rFonts w:eastAsia="MS Mincho"/>
        </w:rPr>
        <w:t>Crime;</w:t>
      </w:r>
      <w:r w:rsidRPr="00981405">
        <w:rPr>
          <w:rStyle w:val="FootnoteReference"/>
        </w:rPr>
        <w:footnoteReference w:id="240"/>
      </w:r>
      <w:r w:rsidR="00190923" w:rsidRPr="00981405">
        <w:rPr>
          <w:rFonts w:eastAsia="MS Mincho"/>
        </w:rPr>
        <w:t xml:space="preserve"> </w:t>
      </w:r>
      <w:r w:rsidRPr="00981405">
        <w:rPr>
          <w:rFonts w:eastAsia="MS Mincho"/>
        </w:rPr>
        <w:t>Protocol</w:t>
      </w:r>
      <w:r w:rsidR="00190923" w:rsidRPr="00981405">
        <w:rPr>
          <w:rFonts w:eastAsia="MS Mincho"/>
        </w:rPr>
        <w:t xml:space="preserve"> </w:t>
      </w:r>
      <w:r w:rsidRPr="00981405">
        <w:rPr>
          <w:rFonts w:eastAsia="MS Mincho"/>
        </w:rPr>
        <w:lastRenderedPageBreak/>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Suppress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Trafficking</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Especially</w:t>
      </w:r>
      <w:r w:rsidR="00190923" w:rsidRPr="00981405">
        <w:rPr>
          <w:rFonts w:eastAsia="MS Mincho"/>
        </w:rPr>
        <w:t xml:space="preserve"> </w:t>
      </w:r>
      <w:r w:rsidRPr="00981405">
        <w:rPr>
          <w:rFonts w:eastAsia="MS Mincho"/>
        </w:rPr>
        <w:t>Women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Children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Transnational</w:t>
      </w:r>
      <w:r w:rsidR="00190923" w:rsidRPr="00981405">
        <w:rPr>
          <w:rFonts w:eastAsia="MS Mincho"/>
        </w:rPr>
        <w:t xml:space="preserve"> </w:t>
      </w:r>
      <w:r w:rsidRPr="00981405">
        <w:rPr>
          <w:rFonts w:eastAsia="MS Mincho"/>
        </w:rPr>
        <w:t>Organized</w:t>
      </w:r>
      <w:r w:rsidR="00190923" w:rsidRPr="00981405">
        <w:rPr>
          <w:rFonts w:eastAsia="MS Mincho"/>
        </w:rPr>
        <w:t xml:space="preserve"> </w:t>
      </w:r>
      <w:r w:rsidRPr="00981405">
        <w:rPr>
          <w:rFonts w:eastAsia="MS Mincho"/>
        </w:rPr>
        <w:t>Crime;</w:t>
      </w:r>
      <w:r w:rsidRPr="00981405">
        <w:rPr>
          <w:rStyle w:val="FootnoteReference"/>
        </w:rPr>
        <w:footnoteReference w:id="241"/>
      </w:r>
      <w:r w:rsidR="00190923" w:rsidRPr="00981405">
        <w:rPr>
          <w:rFonts w:eastAsia="MS Mincho"/>
        </w:rPr>
        <w:t xml:space="preserve"> </w:t>
      </w:r>
      <w:r w:rsidRPr="00981405">
        <w:rPr>
          <w:rFonts w:eastAsia="MS Mincho"/>
        </w:rPr>
        <w:t>Optional</w:t>
      </w:r>
      <w:r w:rsidR="00190923" w:rsidRPr="00981405">
        <w:rPr>
          <w:rFonts w:eastAsia="MS Mincho"/>
        </w:rPr>
        <w:t xml:space="preserve"> </w:t>
      </w:r>
      <w:r w:rsidRPr="00981405">
        <w:rPr>
          <w:rFonts w:eastAsia="MS Mincho"/>
        </w:rPr>
        <w:t>Protocol</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Torture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Cruel,</w:t>
      </w:r>
      <w:r w:rsidR="00190923" w:rsidRPr="00981405">
        <w:rPr>
          <w:rFonts w:eastAsia="MS Mincho"/>
        </w:rPr>
        <w:t xml:space="preserve"> </w:t>
      </w:r>
      <w:r w:rsidRPr="00981405">
        <w:rPr>
          <w:rFonts w:eastAsia="MS Mincho"/>
        </w:rPr>
        <w:t>Inhuman</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Degrading</w:t>
      </w:r>
      <w:r w:rsidR="00190923" w:rsidRPr="00981405">
        <w:rPr>
          <w:rFonts w:eastAsia="MS Mincho"/>
        </w:rPr>
        <w:t xml:space="preserve"> </w:t>
      </w:r>
      <w:r w:rsidRPr="00981405">
        <w:rPr>
          <w:rFonts w:eastAsia="MS Mincho"/>
        </w:rPr>
        <w:t>Treatment</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Punishment;</w:t>
      </w:r>
      <w:r w:rsidRPr="00981405">
        <w:rPr>
          <w:rStyle w:val="FootnoteReference"/>
        </w:rPr>
        <w:footnoteReference w:id="242"/>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Protection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Enforced</w:t>
      </w:r>
      <w:r w:rsidR="00190923" w:rsidRPr="00981405">
        <w:rPr>
          <w:rFonts w:eastAsia="MS Mincho"/>
        </w:rPr>
        <w:t xml:space="preserve"> </w:t>
      </w:r>
      <w:r w:rsidRPr="00981405">
        <w:rPr>
          <w:rFonts w:eastAsia="MS Mincho"/>
        </w:rPr>
        <w:t>Disappearance.</w:t>
      </w:r>
      <w:r w:rsidRPr="00981405">
        <w:rPr>
          <w:rStyle w:val="FootnoteReference"/>
        </w:rPr>
        <w:footnoteReference w:id="243"/>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(4)</w:t>
      </w:r>
      <w:r w:rsidRPr="00981405">
        <w:rPr>
          <w:rFonts w:eastAsia="MS Mincho"/>
        </w:rPr>
        <w:tab/>
        <w:t>Some</w:t>
      </w:r>
      <w:r w:rsidR="00190923" w:rsidRPr="00981405">
        <w:rPr>
          <w:rFonts w:eastAsia="MS Mincho"/>
        </w:rPr>
        <w:t xml:space="preserve"> </w:t>
      </w:r>
      <w:r w:rsidRPr="00981405">
        <w:rPr>
          <w:rFonts w:eastAsia="MS Mincho"/>
        </w:rPr>
        <w:t>multilateral</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even</w:t>
      </w:r>
      <w:r w:rsidR="00190923" w:rsidRPr="00981405">
        <w:rPr>
          <w:rFonts w:eastAsia="MS Mincho"/>
        </w:rPr>
        <w:t xml:space="preserve"> </w:t>
      </w:r>
      <w:r w:rsidRPr="00981405">
        <w:rPr>
          <w:rFonts w:eastAsia="MS Mincho"/>
        </w:rPr>
        <w:t>though</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focused</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contain</w:t>
      </w:r>
      <w:r w:rsidR="00190923" w:rsidRPr="00981405">
        <w:rPr>
          <w:rFonts w:eastAsia="MS Mincho"/>
        </w:rPr>
        <w:t xml:space="preserve"> </w:t>
      </w:r>
      <w:r w:rsidRPr="00981405">
        <w:rPr>
          <w:rFonts w:eastAsia="MS Mincho"/>
        </w:rPr>
        <w:t>obligations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suppress</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violations.</w:t>
      </w:r>
      <w:r w:rsidR="00190923" w:rsidRPr="00981405">
        <w:rPr>
          <w:rFonts w:eastAsia="MS Mincho"/>
        </w:rPr>
        <w:t xml:space="preserve"> </w:t>
      </w:r>
      <w:r w:rsidRPr="00981405">
        <w:rPr>
          <w:rFonts w:eastAsia="MS Mincho"/>
        </w:rPr>
        <w:t>Examples</w:t>
      </w:r>
      <w:r w:rsidR="00190923" w:rsidRPr="00981405">
        <w:rPr>
          <w:rFonts w:eastAsia="MS Mincho"/>
        </w:rPr>
        <w:t xml:space="preserve"> </w:t>
      </w:r>
      <w:r w:rsidRPr="00981405">
        <w:rPr>
          <w:rFonts w:eastAsia="MS Mincho"/>
        </w:rPr>
        <w:t>include: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Elimination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Forms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Racial</w:t>
      </w:r>
      <w:r w:rsidR="00190923" w:rsidRPr="00981405">
        <w:rPr>
          <w:rFonts w:eastAsia="MS Mincho"/>
        </w:rPr>
        <w:t xml:space="preserve"> </w:t>
      </w:r>
      <w:r w:rsidRPr="00981405">
        <w:rPr>
          <w:rFonts w:eastAsia="MS Mincho"/>
        </w:rPr>
        <w:t>Discrimination;</w:t>
      </w:r>
      <w:r w:rsidRPr="00981405">
        <w:rPr>
          <w:rStyle w:val="FootnoteReference"/>
        </w:rPr>
        <w:footnoteReference w:id="244"/>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Elimination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Forms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Discrimination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Women;</w:t>
      </w:r>
      <w:r w:rsidRPr="00981405">
        <w:rPr>
          <w:rStyle w:val="FootnoteReference"/>
        </w:rPr>
        <w:footnoteReference w:id="245"/>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Council</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Europe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Preventing</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Combating</w:t>
      </w:r>
      <w:r w:rsidR="00190923" w:rsidRPr="00981405">
        <w:rPr>
          <w:rFonts w:eastAsia="MS Mincho"/>
        </w:rPr>
        <w:t xml:space="preserve"> </w:t>
      </w:r>
      <w:r w:rsidRPr="00981405">
        <w:rPr>
          <w:rFonts w:eastAsia="MS Mincho"/>
        </w:rPr>
        <w:t>Violence</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Women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Domestic</w:t>
      </w:r>
      <w:r w:rsidR="00190923" w:rsidRPr="00981405">
        <w:rPr>
          <w:rFonts w:eastAsia="MS Mincho"/>
        </w:rPr>
        <w:t xml:space="preserve"> </w:t>
      </w:r>
      <w:r w:rsidRPr="00981405">
        <w:rPr>
          <w:rFonts w:eastAsia="MS Mincho"/>
        </w:rPr>
        <w:t>Violence.</w:t>
      </w:r>
      <w:r w:rsidRPr="00981405">
        <w:rPr>
          <w:rStyle w:val="FootnoteReference"/>
        </w:rPr>
        <w:footnoteReference w:id="246"/>
      </w:r>
      <w:r w:rsidR="00190923" w:rsidRPr="00981405">
        <w:rPr>
          <w:rFonts w:eastAsia="MS Mincho"/>
        </w:rPr>
        <w:t xml:space="preserve"> </w:t>
      </w:r>
      <w:r w:rsidRPr="00981405">
        <w:rPr>
          <w:rFonts w:eastAsia="MS Mincho"/>
        </w:rPr>
        <w:lastRenderedPageBreak/>
        <w:t>Some</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do</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refer</w:t>
      </w:r>
      <w:r w:rsidR="00190923" w:rsidRPr="00981405">
        <w:rPr>
          <w:rFonts w:eastAsia="MS Mincho"/>
        </w:rPr>
        <w:t xml:space="preserve"> </w:t>
      </w:r>
      <w:r w:rsidRPr="00981405">
        <w:rPr>
          <w:rFonts w:eastAsia="MS Mincho"/>
        </w:rPr>
        <w:t>expressly</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prevention</w:t>
      </w:r>
      <w:r w:rsidR="00B92E2C" w:rsidRPr="00981405">
        <w:rPr>
          <w:rFonts w:eastAsia="MS Mincho"/>
        </w:rPr>
        <w:t>”</w:t>
      </w:r>
      <w:r w:rsidR="00190923" w:rsidRPr="00981405">
        <w:rPr>
          <w:rFonts w:eastAsia="MS Mincho"/>
        </w:rPr>
        <w:t xml:space="preserve"> </w:t>
      </w:r>
      <w:r w:rsidRPr="00981405">
        <w:rPr>
          <w:rFonts w:eastAsia="MS Mincho"/>
        </w:rPr>
        <w:t>or</w:t>
      </w:r>
      <w:r w:rsidR="00190923" w:rsidRPr="00981405">
        <w:rPr>
          <w:rFonts w:eastAsia="MS Mincho"/>
        </w:rPr>
        <w:t xml:space="preserve"> </w:t>
      </w:r>
      <w:r w:rsidR="00B92E2C" w:rsidRPr="00981405">
        <w:rPr>
          <w:rFonts w:eastAsia="MS Mincho"/>
        </w:rPr>
        <w:t>“</w:t>
      </w:r>
      <w:r w:rsidRPr="00981405">
        <w:rPr>
          <w:rFonts w:eastAsia="MS Mincho"/>
        </w:rPr>
        <w:t>elimination</w:t>
      </w:r>
      <w:r w:rsidR="00B92E2C" w:rsidRPr="00981405">
        <w:rPr>
          <w:rFonts w:eastAsia="MS Mincho"/>
        </w:rPr>
        <w: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act</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rather,</w:t>
      </w:r>
      <w:r w:rsidR="00190923" w:rsidRPr="00981405">
        <w:rPr>
          <w:rFonts w:eastAsia="MS Mincho"/>
        </w:rPr>
        <w:t xml:space="preserve"> </w:t>
      </w:r>
      <w:r w:rsidRPr="00981405">
        <w:rPr>
          <w:rFonts w:eastAsia="MS Mincho"/>
        </w:rPr>
        <w:t>focus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take</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legislative,</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give</w:t>
      </w:r>
      <w:r w:rsidR="00190923" w:rsidRPr="00981405">
        <w:rPr>
          <w:rFonts w:eastAsia="MS Mincho"/>
        </w:rPr>
        <w:t xml:space="preserve"> </w:t>
      </w:r>
      <w:r w:rsidRPr="00981405">
        <w:rPr>
          <w:rFonts w:eastAsia="MS Mincho"/>
        </w:rPr>
        <w:t>effect</w:t>
      </w:r>
      <w:r w:rsidR="00B92E2C" w:rsidRPr="00981405">
        <w:rPr>
          <w:rFonts w:eastAsia="MS Mincho"/>
        </w:rPr>
        <w: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implement</w:t>
      </w:r>
      <w:r w:rsidR="00B92E2C" w:rsidRPr="00981405">
        <w:rPr>
          <w:rFonts w:eastAsia="MS Mincho"/>
        </w:rPr>
        <w: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treaty,</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may</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seen</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encompassing</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act.</w:t>
      </w:r>
      <w:r w:rsidR="00190923" w:rsidRPr="00981405">
        <w:rPr>
          <w:rFonts w:eastAsia="MS Mincho"/>
        </w:rPr>
        <w:t xml:space="preserve"> </w:t>
      </w:r>
      <w:r w:rsidRPr="00981405">
        <w:rPr>
          <w:rFonts w:eastAsia="MS Mincho"/>
        </w:rPr>
        <w:t>Examples</w:t>
      </w:r>
      <w:r w:rsidR="00190923" w:rsidRPr="00981405">
        <w:rPr>
          <w:rFonts w:eastAsia="MS Mincho"/>
        </w:rPr>
        <w:t xml:space="preserve"> </w:t>
      </w:r>
      <w:r w:rsidRPr="00981405">
        <w:rPr>
          <w:rFonts w:eastAsia="MS Mincho"/>
        </w:rPr>
        <w:t>include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Covenant</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Civil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Political</w:t>
      </w:r>
      <w:r w:rsidR="00190923" w:rsidRPr="00981405">
        <w:rPr>
          <w:rFonts w:eastAsia="MS Mincho"/>
        </w:rPr>
        <w:t xml:space="preserve"> </w:t>
      </w:r>
      <w:r w:rsidRPr="00981405">
        <w:rPr>
          <w:rFonts w:eastAsia="MS Mincho"/>
        </w:rPr>
        <w:t>Rights</w:t>
      </w:r>
      <w:r w:rsidRPr="00981405">
        <w:rPr>
          <w:rStyle w:val="FootnoteReference"/>
        </w:rPr>
        <w:footnoteReference w:id="247"/>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Child.</w:t>
      </w:r>
      <w:r w:rsidRPr="00981405">
        <w:rPr>
          <w:rStyle w:val="FootnoteReference"/>
        </w:rPr>
        <w:footnoteReference w:id="248"/>
      </w:r>
    </w:p>
    <w:p w:rsidR="00397032" w:rsidRPr="00981405" w:rsidRDefault="00397032" w:rsidP="00D97463">
      <w:pPr>
        <w:pStyle w:val="SingleTxt"/>
        <w:rPr>
          <w:rFonts w:eastAsia="MS Mincho"/>
        </w:rPr>
      </w:pPr>
      <w:r w:rsidRPr="00981405">
        <w:rPr>
          <w:rFonts w:eastAsia="MS Mincho"/>
        </w:rPr>
        <w:t>(5)</w:t>
      </w:r>
      <w:r w:rsidRPr="00981405">
        <w:rPr>
          <w:rFonts w:eastAsia="MS Mincho"/>
        </w:rPr>
        <w:tab/>
        <w:t>International</w:t>
      </w:r>
      <w:r w:rsidR="00190923" w:rsidRPr="00981405">
        <w:rPr>
          <w:rFonts w:eastAsia="MS Mincho"/>
        </w:rPr>
        <w:t xml:space="preserve"> </w:t>
      </w:r>
      <w:r w:rsidRPr="00981405">
        <w:rPr>
          <w:rFonts w:eastAsia="MS Mincho"/>
        </w:rPr>
        <w:t>courts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tribunals</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addressed</w:t>
      </w:r>
      <w:r w:rsidR="00190923" w:rsidRPr="00981405">
        <w:rPr>
          <w:rFonts w:eastAsia="MS Mincho"/>
        </w:rPr>
        <w:t xml:space="preserve"> </w:t>
      </w:r>
      <w:r w:rsidRPr="00981405">
        <w:rPr>
          <w:rFonts w:eastAsia="MS Mincho"/>
        </w:rPr>
        <w:t>these</w:t>
      </w:r>
      <w:r w:rsidR="00190923" w:rsidRPr="00981405">
        <w:rPr>
          <w:rFonts w:eastAsia="MS Mincho"/>
        </w:rPr>
        <w:t xml:space="preserve"> </w:t>
      </w:r>
      <w:r w:rsidRPr="00981405">
        <w:rPr>
          <w:rFonts w:eastAsia="MS Mincho"/>
        </w:rPr>
        <w:t>obligations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case</w:t>
      </w:r>
      <w:r w:rsidR="00190923" w:rsidRPr="00981405">
        <w:rPr>
          <w:rFonts w:eastAsia="MS Mincho"/>
        </w:rPr>
        <w:t xml:space="preserve"> </w:t>
      </w:r>
      <w:r w:rsidRPr="00981405">
        <w:rPr>
          <w:rFonts w:eastAsia="MS Mincho"/>
        </w:rPr>
        <w:t>concerning</w:t>
      </w:r>
      <w:r w:rsidR="00190923" w:rsidRPr="00981405">
        <w:rPr>
          <w:rFonts w:eastAsia="MS Mincho"/>
        </w:rPr>
        <w:t xml:space="preserve"> </w:t>
      </w:r>
      <w:r w:rsidRPr="00D97463">
        <w:rPr>
          <w:rFonts w:eastAsia="MS Mincho"/>
          <w:i/>
          <w:iCs/>
        </w:rPr>
        <w:t>Application</w:t>
      </w:r>
      <w:r w:rsidR="00190923" w:rsidRPr="00981405">
        <w:rPr>
          <w:rFonts w:eastAsia="MS Mincho"/>
          <w:i/>
          <w:iCs/>
        </w:rPr>
        <w:t xml:space="preserve"> </w:t>
      </w:r>
      <w:r w:rsidRPr="00D97463">
        <w:rPr>
          <w:rFonts w:eastAsia="MS Mincho"/>
          <w:i/>
          <w:iCs/>
        </w:rPr>
        <w:t>of</w:t>
      </w:r>
      <w:r w:rsidR="00190923" w:rsidRPr="00981405">
        <w:rPr>
          <w:rFonts w:eastAsia="MS Mincho"/>
          <w:i/>
          <w:iCs/>
        </w:rPr>
        <w:t xml:space="preserve"> </w:t>
      </w:r>
      <w:r w:rsidRPr="00D97463">
        <w:rPr>
          <w:rFonts w:eastAsia="MS Mincho"/>
          <w:i/>
          <w:iCs/>
        </w:rPr>
        <w:t>the</w:t>
      </w:r>
      <w:r w:rsidR="00190923" w:rsidRPr="00981405">
        <w:rPr>
          <w:rFonts w:eastAsia="MS Mincho"/>
          <w:i/>
          <w:iCs/>
        </w:rPr>
        <w:t xml:space="preserve"> </w:t>
      </w:r>
      <w:r w:rsidRPr="00D97463">
        <w:rPr>
          <w:rFonts w:eastAsia="MS Mincho"/>
          <w:i/>
          <w:iCs/>
        </w:rPr>
        <w:t>Convention</w:t>
      </w:r>
      <w:r w:rsidR="00190923" w:rsidRPr="00981405">
        <w:rPr>
          <w:rFonts w:eastAsia="MS Mincho"/>
          <w:i/>
          <w:iCs/>
        </w:rPr>
        <w:t xml:space="preserve"> </w:t>
      </w:r>
      <w:r w:rsidRPr="00D97463">
        <w:rPr>
          <w:rFonts w:eastAsia="MS Mincho"/>
          <w:i/>
          <w:iCs/>
        </w:rPr>
        <w:t>on</w:t>
      </w:r>
      <w:r w:rsidR="00190923" w:rsidRPr="00981405">
        <w:rPr>
          <w:rFonts w:eastAsia="MS Mincho"/>
          <w:i/>
          <w:iCs/>
        </w:rPr>
        <w:t xml:space="preserve"> </w:t>
      </w:r>
      <w:r w:rsidRPr="00D97463">
        <w:rPr>
          <w:rFonts w:eastAsia="MS Mincho"/>
          <w:i/>
          <w:iCs/>
        </w:rPr>
        <w:t>the</w:t>
      </w:r>
      <w:r w:rsidR="00190923" w:rsidRPr="00981405">
        <w:rPr>
          <w:rFonts w:eastAsia="MS Mincho"/>
          <w:i/>
          <w:iCs/>
        </w:rPr>
        <w:t xml:space="preserve"> </w:t>
      </w:r>
      <w:r w:rsidRPr="00D97463">
        <w:rPr>
          <w:rFonts w:eastAsia="MS Mincho"/>
          <w:i/>
          <w:iCs/>
        </w:rPr>
        <w:t>Prevention</w:t>
      </w:r>
      <w:r w:rsidR="00190923" w:rsidRPr="00981405">
        <w:rPr>
          <w:rFonts w:eastAsia="MS Mincho"/>
          <w:i/>
          <w:iCs/>
        </w:rPr>
        <w:t xml:space="preserve"> </w:t>
      </w:r>
      <w:r w:rsidRPr="00D97463">
        <w:rPr>
          <w:rFonts w:eastAsia="MS Mincho"/>
          <w:i/>
          <w:iCs/>
        </w:rPr>
        <w:t>and</w:t>
      </w:r>
      <w:r w:rsidR="00190923" w:rsidRPr="00981405">
        <w:rPr>
          <w:rFonts w:eastAsia="MS Mincho"/>
          <w:i/>
          <w:iCs/>
        </w:rPr>
        <w:t xml:space="preserve"> </w:t>
      </w:r>
      <w:r w:rsidRPr="00D97463">
        <w:rPr>
          <w:rFonts w:eastAsia="MS Mincho"/>
          <w:i/>
          <w:iCs/>
        </w:rPr>
        <w:t>Punishment</w:t>
      </w:r>
      <w:r w:rsidR="00190923" w:rsidRPr="00981405">
        <w:rPr>
          <w:rFonts w:eastAsia="MS Mincho"/>
          <w:i/>
          <w:iCs/>
        </w:rPr>
        <w:t xml:space="preserve"> </w:t>
      </w:r>
      <w:r w:rsidRPr="00D97463">
        <w:rPr>
          <w:rFonts w:eastAsia="MS Mincho"/>
          <w:i/>
          <w:iCs/>
        </w:rPr>
        <w:t>of</w:t>
      </w:r>
      <w:r w:rsidR="00190923" w:rsidRPr="00981405">
        <w:rPr>
          <w:rFonts w:eastAsia="MS Mincho"/>
          <w:i/>
          <w:iCs/>
        </w:rPr>
        <w:t xml:space="preserve"> </w:t>
      </w:r>
      <w:r w:rsidRPr="00D97463">
        <w:rPr>
          <w:rFonts w:eastAsia="MS Mincho"/>
          <w:i/>
          <w:iCs/>
        </w:rPr>
        <w:t>the</w:t>
      </w:r>
      <w:r w:rsidR="00190923" w:rsidRPr="00981405">
        <w:rPr>
          <w:rFonts w:eastAsia="MS Mincho"/>
          <w:i/>
          <w:iCs/>
        </w:rPr>
        <w:t xml:space="preserve"> </w:t>
      </w:r>
      <w:r w:rsidRPr="00D97463">
        <w:rPr>
          <w:rFonts w:eastAsia="MS Mincho"/>
          <w:i/>
          <w:iCs/>
        </w:rPr>
        <w:t>Crime</w:t>
      </w:r>
      <w:r w:rsidR="00190923" w:rsidRPr="00981405">
        <w:rPr>
          <w:rFonts w:eastAsia="MS Mincho"/>
          <w:i/>
          <w:iCs/>
        </w:rPr>
        <w:t xml:space="preserve"> </w:t>
      </w:r>
      <w:r w:rsidRPr="00D97463">
        <w:rPr>
          <w:rFonts w:eastAsia="MS Mincho"/>
          <w:i/>
          <w:iCs/>
        </w:rPr>
        <w:t>of</w:t>
      </w:r>
      <w:r w:rsidR="00190923" w:rsidRPr="00981405">
        <w:rPr>
          <w:rFonts w:eastAsia="MS Mincho"/>
          <w:i/>
          <w:iCs/>
        </w:rPr>
        <w:t xml:space="preserve"> </w:t>
      </w:r>
      <w:r w:rsidRPr="00D97463">
        <w:rPr>
          <w:rFonts w:eastAsia="MS Mincho"/>
          <w:i/>
          <w:iCs/>
        </w:rPr>
        <w:t>Genocide</w:t>
      </w:r>
      <w:r w:rsidR="00190923" w:rsidRPr="00981405">
        <w:rPr>
          <w:rFonts w:eastAsia="MS Mincho"/>
          <w:i/>
          <w:iCs/>
        </w:rPr>
        <w:t xml:space="preserve"> </w:t>
      </w:r>
      <w:r w:rsidRPr="00D97463">
        <w:rPr>
          <w:rFonts w:eastAsia="MS Mincho"/>
          <w:i/>
          <w:iCs/>
        </w:rPr>
        <w:t>(Bosnia</w:t>
      </w:r>
      <w:r w:rsidR="00190923" w:rsidRPr="00981405">
        <w:rPr>
          <w:rFonts w:eastAsia="MS Mincho"/>
          <w:i/>
          <w:iCs/>
        </w:rPr>
        <w:t xml:space="preserve"> </w:t>
      </w:r>
      <w:r w:rsidRPr="00D97463">
        <w:rPr>
          <w:rFonts w:eastAsia="MS Mincho"/>
          <w:i/>
          <w:iCs/>
        </w:rPr>
        <w:t>and</w:t>
      </w:r>
      <w:r w:rsidR="00190923" w:rsidRPr="00981405">
        <w:rPr>
          <w:rFonts w:eastAsia="MS Mincho"/>
          <w:i/>
          <w:iCs/>
        </w:rPr>
        <w:t xml:space="preserve"> </w:t>
      </w:r>
      <w:r w:rsidRPr="00D97463">
        <w:rPr>
          <w:rFonts w:eastAsia="MS Mincho"/>
          <w:i/>
          <w:iCs/>
        </w:rPr>
        <w:t>Herzegovina</w:t>
      </w:r>
      <w:r w:rsidR="00190923" w:rsidRPr="00981405">
        <w:rPr>
          <w:rFonts w:eastAsia="MS Mincho"/>
          <w:i/>
          <w:iCs/>
        </w:rPr>
        <w:t xml:space="preserve"> </w:t>
      </w:r>
      <w:r w:rsidRPr="00D97463">
        <w:rPr>
          <w:rFonts w:eastAsia="MS Mincho"/>
          <w:i/>
          <w:iCs/>
        </w:rPr>
        <w:t>v.</w:t>
      </w:r>
      <w:r w:rsidR="00190923" w:rsidRPr="00981405">
        <w:rPr>
          <w:rFonts w:eastAsia="MS Mincho"/>
          <w:i/>
          <w:iCs/>
        </w:rPr>
        <w:t xml:space="preserve"> </w:t>
      </w:r>
      <w:r w:rsidRPr="00D97463">
        <w:rPr>
          <w:rFonts w:eastAsia="MS Mincho"/>
          <w:i/>
          <w:iCs/>
        </w:rPr>
        <w:t>Serbia</w:t>
      </w:r>
      <w:r w:rsidR="00190923" w:rsidRPr="00981405">
        <w:rPr>
          <w:rFonts w:eastAsia="MS Mincho"/>
          <w:i/>
          <w:iCs/>
        </w:rPr>
        <w:t xml:space="preserve"> </w:t>
      </w:r>
      <w:r w:rsidRPr="00D97463">
        <w:rPr>
          <w:rFonts w:eastAsia="MS Mincho"/>
          <w:i/>
          <w:iCs/>
        </w:rPr>
        <w:t>and</w:t>
      </w:r>
      <w:r w:rsidR="00190923" w:rsidRPr="00981405">
        <w:rPr>
          <w:rFonts w:eastAsia="MS Mincho"/>
          <w:i/>
          <w:iCs/>
        </w:rPr>
        <w:t xml:space="preserve"> </w:t>
      </w:r>
      <w:r w:rsidRPr="00D97463">
        <w:rPr>
          <w:rFonts w:eastAsia="MS Mincho"/>
          <w:i/>
          <w:iCs/>
        </w:rPr>
        <w:t>Montenegro)</w:t>
      </w:r>
      <w:r w:rsidR="00190923" w:rsidRPr="00981405">
        <w:rPr>
          <w:rFonts w:eastAsia="MS Mincho"/>
        </w:rPr>
        <w:t xml:space="preserve"> </w:t>
      </w:r>
      <w:r w:rsidRPr="00981405">
        <w:rPr>
          <w:rFonts w:eastAsia="MS Mincho"/>
        </w:rPr>
        <w:t>noted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connected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distinct</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While</w:t>
      </w:r>
      <w:r w:rsidR="00190923" w:rsidRPr="00981405">
        <w:rPr>
          <w:rFonts w:eastAsia="MS Mincho"/>
        </w:rPr>
        <w:t xml:space="preserve"> </w:t>
      </w:r>
      <w:r w:rsidR="00B92E2C" w:rsidRPr="00981405">
        <w:rPr>
          <w:rFonts w:eastAsia="MS Mincho"/>
        </w:rPr>
        <w:t>“</w:t>
      </w:r>
      <w:r w:rsidRPr="00981405">
        <w:rPr>
          <w:rFonts w:eastAsia="MS Mincho"/>
        </w:rPr>
        <w:t>one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most</w:t>
      </w:r>
      <w:r w:rsidR="00190923" w:rsidRPr="00981405">
        <w:rPr>
          <w:rFonts w:eastAsia="MS Mincho"/>
        </w:rPr>
        <w:t xml:space="preserve"> </w:t>
      </w:r>
      <w:r w:rsidRPr="00981405">
        <w:rPr>
          <w:rFonts w:eastAsia="MS Mincho"/>
        </w:rPr>
        <w:t>effective</w:t>
      </w:r>
      <w:r w:rsidR="00190923" w:rsidRPr="00981405">
        <w:rPr>
          <w:rFonts w:eastAsia="MS Mincho"/>
        </w:rPr>
        <w:t xml:space="preserve"> </w:t>
      </w:r>
      <w:r w:rsidRPr="00981405">
        <w:rPr>
          <w:rFonts w:eastAsia="MS Mincho"/>
        </w:rPr>
        <w:t>ways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preventing</w:t>
      </w:r>
      <w:r w:rsidR="00190923" w:rsidRPr="00981405">
        <w:rPr>
          <w:rFonts w:eastAsia="MS Mincho"/>
        </w:rPr>
        <w:t xml:space="preserve"> </w:t>
      </w:r>
      <w:r w:rsidRPr="00981405">
        <w:rPr>
          <w:rFonts w:eastAsia="MS Mincho"/>
        </w:rPr>
        <w:t>criminal</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general,</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provide</w:t>
      </w:r>
      <w:r w:rsidR="00190923" w:rsidRPr="00981405">
        <w:rPr>
          <w:rFonts w:eastAsia="MS Mincho"/>
        </w:rPr>
        <w:t xml:space="preserve"> </w:t>
      </w:r>
      <w:r w:rsidRPr="00981405">
        <w:rPr>
          <w:rFonts w:eastAsia="MS Mincho"/>
        </w:rPr>
        <w:t>penalties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committing</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impose</w:t>
      </w:r>
      <w:r w:rsidR="00190923" w:rsidRPr="00981405">
        <w:rPr>
          <w:rFonts w:eastAsia="MS Mincho"/>
        </w:rPr>
        <w:t xml:space="preserve"> </w:t>
      </w:r>
      <w:r w:rsidRPr="00981405">
        <w:rPr>
          <w:rFonts w:eastAsia="MS Mincho"/>
        </w:rPr>
        <w:t>those</w:t>
      </w:r>
      <w:r w:rsidR="00190923" w:rsidRPr="00981405">
        <w:rPr>
          <w:rFonts w:eastAsia="MS Mincho"/>
        </w:rPr>
        <w:t xml:space="preserve"> </w:t>
      </w:r>
      <w:r w:rsidRPr="00981405">
        <w:rPr>
          <w:rFonts w:eastAsia="MS Mincho"/>
        </w:rPr>
        <w:t>penalties</w:t>
      </w:r>
      <w:r w:rsidR="00190923" w:rsidRPr="00981405">
        <w:rPr>
          <w:rFonts w:eastAsia="MS Mincho"/>
        </w:rPr>
        <w:t xml:space="preserve"> </w:t>
      </w:r>
      <w:r w:rsidRPr="00981405">
        <w:rPr>
          <w:rFonts w:eastAsia="MS Mincho"/>
        </w:rPr>
        <w:t>effectively</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those</w:t>
      </w:r>
      <w:r w:rsidR="00190923" w:rsidRPr="00981405">
        <w:rPr>
          <w:rFonts w:eastAsia="MS Mincho"/>
        </w:rPr>
        <w:t xml:space="preserve"> </w:t>
      </w:r>
      <w:r w:rsidRPr="00981405">
        <w:rPr>
          <w:rFonts w:eastAsia="MS Mincho"/>
        </w:rPr>
        <w:t>who</w:t>
      </w:r>
      <w:r w:rsidR="00190923" w:rsidRPr="00981405">
        <w:rPr>
          <w:rFonts w:eastAsia="MS Mincho"/>
        </w:rPr>
        <w:t xml:space="preserve"> </w:t>
      </w:r>
      <w:r w:rsidRPr="00981405">
        <w:rPr>
          <w:rFonts w:eastAsia="MS Mincho"/>
        </w:rPr>
        <w:t>commit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one</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trying</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bookmarkStart w:id="97" w:name="_Ref295984475"/>
      <w:r w:rsidR="00B92E2C" w:rsidRPr="00981405">
        <w:rPr>
          <w:rFonts w:eastAsia="MS Mincho"/>
        </w:rPr>
        <w:t>”</w:t>
      </w:r>
      <w:r w:rsidRPr="00981405">
        <w:rPr>
          <w:rFonts w:eastAsia="MS Mincho"/>
        </w:rPr>
        <w:t>,</w:t>
      </w:r>
      <w:r w:rsidRPr="00981405">
        <w:rPr>
          <w:rStyle w:val="FootnoteReference"/>
        </w:rPr>
        <w:footnoteReference w:id="249"/>
      </w:r>
      <w:bookmarkEnd w:id="97"/>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found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00B92E2C" w:rsidRPr="00981405">
        <w:rPr>
          <w:rFonts w:eastAsia="MS Mincho"/>
        </w:rPr>
        <w:t>“</w:t>
      </w:r>
      <w:r w:rsidRPr="00981405">
        <w:rPr>
          <w:rFonts w:eastAsia="MS Mincho"/>
        </w:rPr>
        <w:t>the</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perpetrators</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two</w:t>
      </w:r>
      <w:r w:rsidR="00190923" w:rsidRPr="00981405">
        <w:rPr>
          <w:rFonts w:eastAsia="MS Mincho"/>
        </w:rPr>
        <w:t xml:space="preserve"> </w:t>
      </w:r>
      <w:r w:rsidRPr="00981405">
        <w:rPr>
          <w:rFonts w:eastAsia="MS Mincho"/>
        </w:rPr>
        <w:t>distinct</w:t>
      </w:r>
      <w:r w:rsidR="00190923" w:rsidRPr="00981405">
        <w:rPr>
          <w:rFonts w:eastAsia="MS Mincho"/>
        </w:rPr>
        <w:t xml:space="preserve"> </w:t>
      </w:r>
      <w:r w:rsidRPr="00981405">
        <w:rPr>
          <w:rFonts w:eastAsia="MS Mincho"/>
        </w:rPr>
        <w:t>yet</w:t>
      </w:r>
      <w:r w:rsidR="00190923" w:rsidRPr="00981405">
        <w:rPr>
          <w:rFonts w:eastAsia="MS Mincho"/>
        </w:rPr>
        <w:t xml:space="preserve"> </w:t>
      </w:r>
      <w:r w:rsidRPr="00981405">
        <w:rPr>
          <w:rFonts w:eastAsia="MS Mincho"/>
        </w:rPr>
        <w:t>connected</w:t>
      </w:r>
      <w:r w:rsidR="00190923" w:rsidRPr="00981405">
        <w:rPr>
          <w:rFonts w:eastAsia="MS Mincho"/>
        </w:rPr>
        <w:t xml:space="preserve"> </w:t>
      </w:r>
      <w:r w:rsidRPr="00981405">
        <w:rPr>
          <w:rFonts w:eastAsia="MS Mincho"/>
        </w:rPr>
        <w:t>obligations.</w:t>
      </w:r>
      <w:r w:rsidR="00B92E2C" w:rsidRPr="00981405">
        <w:rPr>
          <w:rFonts w:eastAsia="MS Mincho"/>
        </w:rPr>
        <w:t>”</w:t>
      </w:r>
      <w:r w:rsidRPr="00981405">
        <w:rPr>
          <w:rStyle w:val="FootnoteReference"/>
        </w:rPr>
        <w:footnoteReference w:id="250"/>
      </w:r>
      <w:r w:rsidR="00190923" w:rsidRPr="00981405">
        <w:rPr>
          <w:rFonts w:eastAsia="MS Mincho"/>
        </w:rPr>
        <w:t xml:space="preserve"> </w:t>
      </w:r>
      <w:r w:rsidRPr="00981405">
        <w:rPr>
          <w:rFonts w:eastAsia="MS Mincho"/>
        </w:rPr>
        <w:t>Indeed,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00B92E2C" w:rsidRPr="00981405">
        <w:rPr>
          <w:rFonts w:eastAsia="MS Mincho"/>
        </w:rPr>
        <w:t>“</w:t>
      </w:r>
      <w:r w:rsidRPr="00981405">
        <w:rPr>
          <w:rFonts w:eastAsia="MS Mincho"/>
        </w:rPr>
        <w:t>obligation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each</w:t>
      </w:r>
      <w:r w:rsidR="00190923" w:rsidRPr="00981405">
        <w:rPr>
          <w:rFonts w:eastAsia="MS Mincho"/>
        </w:rPr>
        <w:t xml:space="preserve"> </w:t>
      </w:r>
      <w:r w:rsidRPr="00981405">
        <w:rPr>
          <w:rFonts w:eastAsia="MS Mincho"/>
        </w:rPr>
        <w:t>contracting</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both</w:t>
      </w:r>
      <w:r w:rsidR="00190923" w:rsidRPr="00981405">
        <w:rPr>
          <w:rFonts w:eastAsia="MS Mincho"/>
        </w:rPr>
        <w:t xml:space="preserve"> </w:t>
      </w:r>
      <w:r w:rsidRPr="00981405">
        <w:rPr>
          <w:rFonts w:eastAsia="MS Mincho"/>
        </w:rPr>
        <w:t>normative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compelling.</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merged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nor</w:t>
      </w:r>
      <w:r w:rsidR="00190923" w:rsidRPr="00981405">
        <w:rPr>
          <w:rFonts w:eastAsia="MS Mincho"/>
        </w:rPr>
        <w:t xml:space="preserve"> </w:t>
      </w:r>
      <w:r w:rsidRPr="00981405">
        <w:rPr>
          <w:rFonts w:eastAsia="MS Mincho"/>
        </w:rPr>
        <w:t>can</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regarded</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simply</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component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duty.</w:t>
      </w:r>
      <w:r w:rsidR="00B92E2C" w:rsidRPr="00981405">
        <w:rPr>
          <w:rFonts w:eastAsia="MS Mincho"/>
        </w:rPr>
        <w:t>”</w:t>
      </w:r>
      <w:r w:rsidRPr="00981405">
        <w:rPr>
          <w:rStyle w:val="FootnoteReference"/>
        </w:rPr>
        <w:footnoteReference w:id="251"/>
      </w:r>
    </w:p>
    <w:p w:rsidR="00397032" w:rsidRPr="00981405" w:rsidRDefault="00397032" w:rsidP="00D97463">
      <w:pPr>
        <w:pStyle w:val="SingleTxt"/>
        <w:rPr>
          <w:rFonts w:eastAsia="MS Mincho"/>
        </w:rPr>
      </w:pPr>
      <w:r w:rsidRPr="00981405">
        <w:rPr>
          <w:rFonts w:eastAsia="MS Mincho"/>
        </w:rPr>
        <w:t>(6)</w:t>
      </w:r>
      <w:r w:rsidRPr="00981405">
        <w:rPr>
          <w:rFonts w:eastAsia="MS Mincho"/>
        </w:rPr>
        <w:tab/>
        <w:t>Such</w:t>
      </w:r>
      <w:r w:rsidR="00190923" w:rsidRPr="00981405">
        <w:rPr>
          <w:rFonts w:eastAsia="MS Mincho"/>
        </w:rPr>
        <w:t xml:space="preserve"> </w:t>
      </w:r>
      <w:r w:rsidRPr="00981405">
        <w:rPr>
          <w:rFonts w:eastAsia="MS Mincho"/>
        </w:rPr>
        <w:t>treaty</w:t>
      </w:r>
      <w:r w:rsidR="00190923" w:rsidRPr="00981405">
        <w:rPr>
          <w:rFonts w:eastAsia="MS Mincho"/>
        </w:rPr>
        <w:t xml:space="preserve"> </w:t>
      </w:r>
      <w:r w:rsidRPr="00981405">
        <w:rPr>
          <w:rFonts w:eastAsia="MS Mincho"/>
        </w:rPr>
        <w:t>practice,</w:t>
      </w:r>
      <w:r w:rsidR="00190923" w:rsidRPr="00981405">
        <w:rPr>
          <w:rFonts w:eastAsia="MS Mincho"/>
        </w:rPr>
        <w:t xml:space="preserve"> </w:t>
      </w:r>
      <w:r w:rsidRPr="00981405">
        <w:rPr>
          <w:rFonts w:eastAsia="MS Mincho"/>
        </w:rPr>
        <w:t>jurisprudence,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well-settled</w:t>
      </w:r>
      <w:r w:rsidR="00190923" w:rsidRPr="00981405">
        <w:rPr>
          <w:rFonts w:eastAsia="MS Mincho"/>
        </w:rPr>
        <w:t xml:space="preserve"> </w:t>
      </w:r>
      <w:r w:rsidRPr="00981405">
        <w:rPr>
          <w:rFonts w:eastAsia="MS Mincho"/>
        </w:rPr>
        <w:t>acceptance</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law</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should</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punished</w:t>
      </w:r>
      <w:r w:rsidR="00190923" w:rsidRPr="00981405">
        <w:rPr>
          <w:rFonts w:eastAsia="MS Mincho"/>
        </w:rPr>
        <w:t xml:space="preserve"> </w:t>
      </w:r>
      <w:r w:rsidRPr="00981405">
        <w:rPr>
          <w:rFonts w:eastAsia="MS Mincho"/>
        </w:rPr>
        <w:t>whether</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committed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time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armed</w:t>
      </w:r>
      <w:r w:rsidR="00190923" w:rsidRPr="00981405">
        <w:rPr>
          <w:rFonts w:eastAsia="MS Mincho"/>
        </w:rPr>
        <w:t xml:space="preserve"> </w:t>
      </w:r>
      <w:r w:rsidRPr="00981405">
        <w:rPr>
          <w:rFonts w:eastAsia="MS Mincho"/>
        </w:rPr>
        <w:t>conflict,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whether</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criminalized</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national</w:t>
      </w:r>
      <w:r w:rsidR="00190923" w:rsidRPr="00981405">
        <w:rPr>
          <w:rFonts w:eastAsia="MS Mincho"/>
        </w:rPr>
        <w:t xml:space="preserve"> </w:t>
      </w:r>
      <w:r w:rsidRPr="00981405">
        <w:rPr>
          <w:rFonts w:eastAsia="MS Mincho"/>
        </w:rPr>
        <w:t>law,</w:t>
      </w:r>
      <w:r w:rsidR="00190923" w:rsidRPr="00981405">
        <w:rPr>
          <w:rFonts w:eastAsia="MS Mincho"/>
        </w:rPr>
        <w:t xml:space="preserve"> </w:t>
      </w:r>
      <w:r w:rsidRPr="00981405">
        <w:rPr>
          <w:rFonts w:eastAsia="MS Mincho"/>
        </w:rPr>
        <w:t>imply</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undertaken</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therefore,</w:t>
      </w:r>
      <w:r w:rsidR="00190923" w:rsidRPr="00981405">
        <w:rPr>
          <w:rFonts w:eastAsia="MS Mincho"/>
        </w:rPr>
        <w:t xml:space="preserve"> </w:t>
      </w:r>
      <w:r w:rsidRPr="00981405">
        <w:rPr>
          <w:rFonts w:eastAsia="MS Mincho"/>
        </w:rPr>
        <w:t>formulates</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manner</w:t>
      </w:r>
      <w:r w:rsidR="00190923" w:rsidRPr="00981405">
        <w:rPr>
          <w:rFonts w:eastAsia="MS Mincho"/>
        </w:rPr>
        <w:t xml:space="preserve"> </w:t>
      </w:r>
      <w:r w:rsidRPr="00981405">
        <w:rPr>
          <w:rFonts w:eastAsia="MS Mincho"/>
        </w:rPr>
        <w:t>similar</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set</w:t>
      </w:r>
      <w:r w:rsidR="00190923" w:rsidRPr="00981405">
        <w:rPr>
          <w:rFonts w:eastAsia="MS Mincho"/>
        </w:rPr>
        <w:t xml:space="preserve"> </w:t>
      </w:r>
      <w:r w:rsidRPr="00981405">
        <w:rPr>
          <w:rFonts w:eastAsia="MS Mincho"/>
        </w:rPr>
        <w:t>forth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I</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beginning:</w:t>
      </w:r>
      <w:r w:rsidR="00190923" w:rsidRPr="00981405">
        <w:rPr>
          <w:rFonts w:eastAsia="MS Mincho"/>
        </w:rPr>
        <w:t xml:space="preserve"> </w:t>
      </w:r>
      <w:r w:rsidR="00B92E2C" w:rsidRPr="00981405">
        <w:rPr>
          <w:rFonts w:eastAsia="MS Mincho"/>
        </w:rPr>
        <w:t>“</w:t>
      </w:r>
      <w:r w:rsidRPr="00981405">
        <w:rPr>
          <w:rFonts w:eastAsia="MS Mincho"/>
        </w:rPr>
        <w:t>Each</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undertakes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w:t>
      </w:r>
      <w:r w:rsidR="00B92E2C" w:rsidRPr="00981405">
        <w:rPr>
          <w:rFonts w:eastAsia="MS Mincho"/>
        </w:rPr>
        <w:t>”</w:t>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(7)</w:t>
      </w:r>
      <w:r w:rsidRPr="00981405">
        <w:rPr>
          <w:rFonts w:eastAsia="MS Mincho"/>
        </w:rPr>
        <w:tab/>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case</w:t>
      </w:r>
      <w:r w:rsidR="00190923" w:rsidRPr="00981405">
        <w:rPr>
          <w:rFonts w:eastAsia="MS Mincho"/>
        </w:rPr>
        <w:t xml:space="preserve"> </w:t>
      </w:r>
      <w:r w:rsidRPr="00981405">
        <w:rPr>
          <w:rFonts w:eastAsia="MS Mincho"/>
        </w:rPr>
        <w:t>concerning</w:t>
      </w:r>
      <w:r w:rsidR="00190923" w:rsidRPr="00981405">
        <w:rPr>
          <w:rFonts w:eastAsia="MS Mincho"/>
        </w:rPr>
        <w:t xml:space="preserve"> </w:t>
      </w:r>
      <w:r w:rsidRPr="00D97463">
        <w:rPr>
          <w:rFonts w:eastAsia="MS Mincho"/>
          <w:i/>
          <w:iCs/>
        </w:rPr>
        <w:t>Application</w:t>
      </w:r>
      <w:r w:rsidR="00190923" w:rsidRPr="00981405">
        <w:rPr>
          <w:rFonts w:eastAsia="MS Mincho"/>
          <w:i/>
          <w:iCs/>
        </w:rPr>
        <w:t xml:space="preserve"> </w:t>
      </w:r>
      <w:r w:rsidRPr="00D97463">
        <w:rPr>
          <w:rFonts w:eastAsia="MS Mincho"/>
          <w:i/>
          <w:iCs/>
        </w:rPr>
        <w:t>of</w:t>
      </w:r>
      <w:r w:rsidR="00190923" w:rsidRPr="00981405">
        <w:rPr>
          <w:rFonts w:eastAsia="MS Mincho"/>
          <w:i/>
          <w:iCs/>
        </w:rPr>
        <w:t xml:space="preserve"> </w:t>
      </w:r>
      <w:r w:rsidRPr="00D97463">
        <w:rPr>
          <w:rFonts w:eastAsia="MS Mincho"/>
          <w:i/>
          <w:iCs/>
        </w:rPr>
        <w:t>the</w:t>
      </w:r>
      <w:r w:rsidR="00190923" w:rsidRPr="00981405">
        <w:rPr>
          <w:rFonts w:eastAsia="MS Mincho"/>
          <w:i/>
          <w:iCs/>
        </w:rPr>
        <w:t xml:space="preserve"> </w:t>
      </w:r>
      <w:r w:rsidRPr="00D97463">
        <w:rPr>
          <w:rFonts w:eastAsia="MS Mincho"/>
          <w:i/>
          <w:iCs/>
        </w:rPr>
        <w:t>Convention</w:t>
      </w:r>
      <w:r w:rsidR="00190923" w:rsidRPr="00981405">
        <w:rPr>
          <w:rFonts w:eastAsia="MS Mincho"/>
          <w:i/>
          <w:iCs/>
        </w:rPr>
        <w:t xml:space="preserve"> </w:t>
      </w:r>
      <w:r w:rsidRPr="00D97463">
        <w:rPr>
          <w:rFonts w:eastAsia="MS Mincho"/>
          <w:i/>
          <w:iCs/>
        </w:rPr>
        <w:t>on</w:t>
      </w:r>
      <w:r w:rsidR="00190923" w:rsidRPr="00981405">
        <w:rPr>
          <w:rFonts w:eastAsia="MS Mincho"/>
          <w:i/>
          <w:iCs/>
        </w:rPr>
        <w:t xml:space="preserve"> </w:t>
      </w:r>
      <w:r w:rsidRPr="00D97463">
        <w:rPr>
          <w:rFonts w:eastAsia="MS Mincho"/>
          <w:i/>
          <w:iCs/>
        </w:rPr>
        <w:t>the</w:t>
      </w:r>
      <w:r w:rsidR="00190923" w:rsidRPr="00981405">
        <w:rPr>
          <w:rFonts w:eastAsia="MS Mincho"/>
          <w:i/>
          <w:iCs/>
        </w:rPr>
        <w:t xml:space="preserve"> </w:t>
      </w:r>
      <w:r w:rsidRPr="00D97463">
        <w:rPr>
          <w:rFonts w:eastAsia="MS Mincho"/>
          <w:i/>
          <w:iCs/>
        </w:rPr>
        <w:t>Prevention</w:t>
      </w:r>
      <w:r w:rsidR="00190923" w:rsidRPr="00981405">
        <w:rPr>
          <w:rFonts w:eastAsia="MS Mincho"/>
          <w:i/>
          <w:iCs/>
        </w:rPr>
        <w:t xml:space="preserve"> </w:t>
      </w:r>
      <w:r w:rsidRPr="00D97463">
        <w:rPr>
          <w:rFonts w:eastAsia="MS Mincho"/>
          <w:i/>
          <w:iCs/>
        </w:rPr>
        <w:t>and</w:t>
      </w:r>
      <w:r w:rsidR="00190923" w:rsidRPr="00981405">
        <w:rPr>
          <w:rFonts w:eastAsia="MS Mincho"/>
          <w:i/>
          <w:iCs/>
        </w:rPr>
        <w:t xml:space="preserve"> </w:t>
      </w:r>
      <w:r w:rsidRPr="00D97463">
        <w:rPr>
          <w:rFonts w:eastAsia="MS Mincho"/>
          <w:i/>
          <w:iCs/>
        </w:rPr>
        <w:t>Punishment</w:t>
      </w:r>
      <w:r w:rsidR="00190923" w:rsidRPr="00981405">
        <w:rPr>
          <w:rFonts w:eastAsia="MS Mincho"/>
          <w:i/>
          <w:iCs/>
        </w:rPr>
        <w:t xml:space="preserve"> </w:t>
      </w:r>
      <w:r w:rsidRPr="00D97463">
        <w:rPr>
          <w:rFonts w:eastAsia="MS Mincho"/>
          <w:i/>
          <w:iCs/>
        </w:rPr>
        <w:t>of</w:t>
      </w:r>
      <w:r w:rsidR="00190923" w:rsidRPr="00981405">
        <w:rPr>
          <w:rFonts w:eastAsia="MS Mincho"/>
          <w:i/>
          <w:iCs/>
        </w:rPr>
        <w:t xml:space="preserve"> </w:t>
      </w:r>
      <w:r w:rsidRPr="00D97463">
        <w:rPr>
          <w:rFonts w:eastAsia="MS Mincho"/>
          <w:i/>
          <w:iCs/>
        </w:rPr>
        <w:t>the</w:t>
      </w:r>
      <w:r w:rsidR="00190923" w:rsidRPr="00981405">
        <w:rPr>
          <w:rFonts w:eastAsia="MS Mincho"/>
          <w:i/>
          <w:iCs/>
        </w:rPr>
        <w:t xml:space="preserve"> </w:t>
      </w:r>
      <w:r w:rsidRPr="00D97463">
        <w:rPr>
          <w:rFonts w:eastAsia="MS Mincho"/>
          <w:i/>
          <w:iCs/>
        </w:rPr>
        <w:t>Crime</w:t>
      </w:r>
      <w:r w:rsidR="00190923" w:rsidRPr="00981405">
        <w:rPr>
          <w:rFonts w:eastAsia="MS Mincho"/>
          <w:i/>
          <w:iCs/>
        </w:rPr>
        <w:t xml:space="preserve"> </w:t>
      </w:r>
      <w:r w:rsidRPr="00D97463">
        <w:rPr>
          <w:rFonts w:eastAsia="MS Mincho"/>
          <w:i/>
          <w:iCs/>
        </w:rPr>
        <w:t>of</w:t>
      </w:r>
      <w:r w:rsidR="00190923" w:rsidRPr="00981405">
        <w:rPr>
          <w:rFonts w:eastAsia="MS Mincho"/>
          <w:i/>
          <w:iCs/>
        </w:rPr>
        <w:t xml:space="preserve"> </w:t>
      </w:r>
      <w:r w:rsidRPr="00D97463">
        <w:rPr>
          <w:rFonts w:eastAsia="MS Mincho"/>
          <w:i/>
          <w:iCs/>
        </w:rPr>
        <w:t>Genocide</w:t>
      </w:r>
      <w:r w:rsidR="00190923" w:rsidRPr="00981405">
        <w:rPr>
          <w:rFonts w:eastAsia="MS Mincho"/>
          <w:i/>
          <w:iCs/>
        </w:rPr>
        <w:t xml:space="preserve"> </w:t>
      </w:r>
      <w:r w:rsidRPr="00D97463">
        <w:rPr>
          <w:rFonts w:eastAsia="MS Mincho"/>
          <w:i/>
          <w:iCs/>
        </w:rPr>
        <w:t>(Bosnia</w:t>
      </w:r>
      <w:r w:rsidR="00190923" w:rsidRPr="00981405">
        <w:rPr>
          <w:rFonts w:eastAsia="MS Mincho"/>
          <w:i/>
          <w:iCs/>
        </w:rPr>
        <w:t xml:space="preserve"> </w:t>
      </w:r>
      <w:r w:rsidRPr="00D97463">
        <w:rPr>
          <w:rFonts w:eastAsia="MS Mincho"/>
          <w:i/>
          <w:iCs/>
        </w:rPr>
        <w:t>and</w:t>
      </w:r>
      <w:r w:rsidR="00190923" w:rsidRPr="00981405">
        <w:rPr>
          <w:rFonts w:eastAsia="MS Mincho"/>
          <w:i/>
          <w:iCs/>
        </w:rPr>
        <w:t xml:space="preserve"> </w:t>
      </w:r>
      <w:r w:rsidRPr="00D97463">
        <w:rPr>
          <w:rFonts w:eastAsia="MS Mincho"/>
          <w:i/>
          <w:iCs/>
        </w:rPr>
        <w:t>Herzegovina</w:t>
      </w:r>
      <w:r w:rsidR="00190923" w:rsidRPr="00981405">
        <w:rPr>
          <w:rFonts w:eastAsia="MS Mincho"/>
          <w:i/>
          <w:iCs/>
        </w:rPr>
        <w:t xml:space="preserve"> </w:t>
      </w:r>
      <w:r w:rsidRPr="00D97463">
        <w:rPr>
          <w:rFonts w:eastAsia="MS Mincho"/>
          <w:i/>
          <w:iCs/>
        </w:rPr>
        <w:t>v.</w:t>
      </w:r>
      <w:r w:rsidR="00190923" w:rsidRPr="00981405">
        <w:rPr>
          <w:rFonts w:eastAsia="MS Mincho"/>
          <w:i/>
          <w:iCs/>
        </w:rPr>
        <w:t xml:space="preserve"> </w:t>
      </w:r>
      <w:r w:rsidRPr="00D97463">
        <w:rPr>
          <w:rFonts w:eastAsia="MS Mincho"/>
          <w:i/>
          <w:iCs/>
        </w:rPr>
        <w:t>Serbia</w:t>
      </w:r>
      <w:r w:rsidR="00190923" w:rsidRPr="00981405">
        <w:rPr>
          <w:rFonts w:eastAsia="MS Mincho"/>
          <w:i/>
          <w:iCs/>
        </w:rPr>
        <w:t xml:space="preserve"> </w:t>
      </w:r>
      <w:r w:rsidRPr="00D97463">
        <w:rPr>
          <w:rFonts w:eastAsia="MS Mincho"/>
          <w:i/>
          <w:iCs/>
        </w:rPr>
        <w:t>and</w:t>
      </w:r>
      <w:r w:rsidR="00190923" w:rsidRPr="00981405">
        <w:rPr>
          <w:rFonts w:eastAsia="MS Mincho"/>
          <w:i/>
          <w:iCs/>
        </w:rPr>
        <w:t xml:space="preserve"> </w:t>
      </w:r>
      <w:r w:rsidRPr="00D97463">
        <w:rPr>
          <w:rFonts w:eastAsia="MS Mincho"/>
          <w:i/>
          <w:iCs/>
        </w:rPr>
        <w:t>Montenegro)</w:t>
      </w:r>
      <w:r w:rsidRPr="00981405">
        <w:rPr>
          <w:rFonts w:eastAsia="MS Mincho"/>
        </w:rPr>
        <w: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analysed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meaning</w:t>
      </w:r>
      <w:r w:rsidR="00190923" w:rsidRPr="00981405">
        <w:rPr>
          <w:rFonts w:eastAsia="MS Mincho"/>
        </w:rPr>
        <w:t xml:space="preserve"> </w:t>
      </w:r>
      <w:r w:rsidRPr="00981405">
        <w:rPr>
          <w:rFonts w:eastAsia="MS Mincho"/>
        </w:rPr>
        <w:t>of</w:t>
      </w:r>
      <w:r w:rsidR="00190923" w:rsidRPr="00981405">
        <w:rPr>
          <w:rFonts w:eastAsia="MS Mincho"/>
        </w:rPr>
        <w:t xml:space="preserve"> </w:t>
      </w:r>
      <w:r w:rsidR="00B92E2C" w:rsidRPr="00981405">
        <w:rPr>
          <w:rFonts w:eastAsia="MS Mincho"/>
        </w:rPr>
        <w:t>“</w:t>
      </w:r>
      <w:r w:rsidRPr="00981405">
        <w:rPr>
          <w:rFonts w:eastAsia="MS Mincho"/>
        </w:rPr>
        <w:t>undertake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B92E2C" w:rsidRPr="00981405">
        <w:rPr>
          <w:rFonts w:eastAsia="MS Mincho"/>
        </w:rPr>
        <w:t>”</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contained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I</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1948</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provisional</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phase,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determined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undertaking</w:t>
      </w:r>
      <w:r w:rsidR="00190923" w:rsidRPr="00981405">
        <w:rPr>
          <w:rFonts w:eastAsia="MS Mincho"/>
        </w:rPr>
        <w:t xml:space="preserve"> </w:t>
      </w:r>
      <w:r w:rsidRPr="00981405">
        <w:rPr>
          <w:rFonts w:eastAsia="MS Mincho"/>
        </w:rPr>
        <w:t>imposes</w:t>
      </w:r>
      <w:r w:rsidR="00190923" w:rsidRPr="00981405">
        <w:rPr>
          <w:rFonts w:eastAsia="MS Mincho"/>
        </w:rPr>
        <w:t xml:space="preserve"> </w:t>
      </w:r>
      <w:r w:rsidR="00B92E2C" w:rsidRPr="00981405">
        <w:rPr>
          <w:rFonts w:eastAsia="MS Mincho"/>
        </w:rPr>
        <w:t>“</w:t>
      </w:r>
      <w:r w:rsidRPr="00981405">
        <w:rPr>
          <w:rFonts w:eastAsia="MS Mincho"/>
        </w:rPr>
        <w:t>a</w:t>
      </w:r>
      <w:r w:rsidR="00190923" w:rsidRPr="00981405">
        <w:rPr>
          <w:rFonts w:eastAsia="MS Mincho"/>
        </w:rPr>
        <w:t xml:space="preserve"> </w:t>
      </w:r>
      <w:r w:rsidRPr="00981405">
        <w:rPr>
          <w:rFonts w:eastAsia="MS Mincho"/>
        </w:rPr>
        <w:t>clear</w:t>
      </w:r>
      <w:r w:rsidR="00190923" w:rsidRPr="00981405">
        <w:rPr>
          <w:rFonts w:eastAsia="MS Mincho"/>
        </w:rPr>
        <w:t xml:space="preserve"> </w:t>
      </w:r>
      <w:r w:rsidRPr="00981405">
        <w:rPr>
          <w:rFonts w:eastAsia="MS Mincho"/>
        </w:rPr>
        <w:t>obligation</w:t>
      </w:r>
      <w:r w:rsidR="00B92E2C" w:rsidRPr="00981405">
        <w:rPr>
          <w:rFonts w:eastAsia="MS Mincho"/>
        </w:rPr>
        <w:t>”</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parties</w:t>
      </w:r>
      <w:r w:rsidR="00190923" w:rsidRPr="00981405">
        <w:rPr>
          <w:rFonts w:eastAsia="MS Mincho"/>
        </w:rPr>
        <w:t xml:space="preserve"> </w:t>
      </w:r>
      <w:r w:rsidR="00B92E2C" w:rsidRPr="00981405">
        <w:rPr>
          <w:rFonts w:eastAsia="MS Mincho"/>
        </w:rPr>
        <w:t>“</w:t>
      </w:r>
      <w:r w:rsidRPr="00981405">
        <w:rPr>
          <w:rFonts w:eastAsia="MS Mincho"/>
        </w:rPr>
        <w:t>to</w:t>
      </w:r>
      <w:r w:rsidR="00190923" w:rsidRPr="00981405">
        <w:rPr>
          <w:rFonts w:eastAsia="MS Mincho"/>
        </w:rPr>
        <w:t xml:space="preserve"> </w:t>
      </w:r>
      <w:r w:rsidRPr="00981405">
        <w:rPr>
          <w:rFonts w:eastAsia="MS Mincho"/>
        </w:rPr>
        <w:t>do</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power</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future.</w:t>
      </w:r>
      <w:r w:rsidR="00B92E2C" w:rsidRPr="00981405">
        <w:rPr>
          <w:rFonts w:eastAsia="MS Mincho"/>
        </w:rPr>
        <w:t>”</w:t>
      </w:r>
      <w:r w:rsidRPr="00981405">
        <w:rPr>
          <w:rStyle w:val="FootnoteReference"/>
        </w:rPr>
        <w:footnoteReference w:id="252"/>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merits</w:t>
      </w:r>
      <w:r w:rsidR="00190923" w:rsidRPr="00981405">
        <w:rPr>
          <w:rFonts w:eastAsia="MS Mincho"/>
        </w:rPr>
        <w:t xml:space="preserve"> </w:t>
      </w:r>
      <w:r w:rsidRPr="00981405">
        <w:rPr>
          <w:rFonts w:eastAsia="MS Mincho"/>
        </w:rPr>
        <w:t>phase,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described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ordinary</w:t>
      </w:r>
      <w:r w:rsidR="00190923" w:rsidRPr="00981405">
        <w:rPr>
          <w:rFonts w:eastAsia="MS Mincho"/>
        </w:rPr>
        <w:t xml:space="preserve"> </w:t>
      </w:r>
      <w:r w:rsidRPr="00981405">
        <w:rPr>
          <w:rFonts w:eastAsia="MS Mincho"/>
        </w:rPr>
        <w:t>meaning</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word</w:t>
      </w:r>
      <w:r w:rsidR="00190923" w:rsidRPr="00981405">
        <w:rPr>
          <w:rFonts w:eastAsia="MS Mincho"/>
        </w:rPr>
        <w:t xml:space="preserve"> </w:t>
      </w:r>
      <w:r w:rsidR="00B92E2C" w:rsidRPr="00981405">
        <w:rPr>
          <w:rFonts w:eastAsia="MS Mincho"/>
        </w:rPr>
        <w:t>“</w:t>
      </w:r>
      <w:r w:rsidRPr="00981405">
        <w:rPr>
          <w:rFonts w:eastAsia="MS Mincho"/>
        </w:rPr>
        <w:t>undertake</w:t>
      </w:r>
      <w:r w:rsidR="00B92E2C" w:rsidRPr="00981405">
        <w:rPr>
          <w:rFonts w:eastAsia="MS Mincho"/>
        </w:rPr>
        <w: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as</w:t>
      </w:r>
    </w:p>
    <w:p w:rsidR="00397032" w:rsidRPr="00981405" w:rsidRDefault="00B92E2C" w:rsidP="00D97463">
      <w:pPr>
        <w:pStyle w:val="SingleTxt"/>
        <w:ind w:left="1742"/>
        <w:rPr>
          <w:rFonts w:eastAsia="MS Mincho"/>
        </w:rPr>
      </w:pPr>
      <w:r w:rsidRPr="00981405">
        <w:rPr>
          <w:rFonts w:eastAsia="MS Mincho"/>
        </w:rPr>
        <w:lastRenderedPageBreak/>
        <w:t>“</w:t>
      </w:r>
      <w:r w:rsidR="00397032" w:rsidRPr="00981405">
        <w:rPr>
          <w:rFonts w:eastAsia="MS Mincho"/>
        </w:rPr>
        <w:t>to</w:t>
      </w:r>
      <w:r w:rsidR="00190923" w:rsidRPr="00981405">
        <w:rPr>
          <w:rFonts w:eastAsia="MS Mincho"/>
        </w:rPr>
        <w:t xml:space="preserve"> </w:t>
      </w:r>
      <w:r w:rsidR="00397032" w:rsidRPr="00981405">
        <w:rPr>
          <w:rFonts w:eastAsia="MS Mincho"/>
        </w:rPr>
        <w:t>give</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formal</w:t>
      </w:r>
      <w:r w:rsidR="00190923" w:rsidRPr="00981405">
        <w:rPr>
          <w:rFonts w:eastAsia="MS Mincho"/>
        </w:rPr>
        <w:t xml:space="preserve"> </w:t>
      </w:r>
      <w:r w:rsidR="00397032" w:rsidRPr="00981405">
        <w:rPr>
          <w:rFonts w:eastAsia="MS Mincho"/>
        </w:rPr>
        <w:t>promise,</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bind</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engage</w:t>
      </w:r>
      <w:r w:rsidR="00190923" w:rsidRPr="00981405">
        <w:rPr>
          <w:rFonts w:eastAsia="MS Mincho"/>
        </w:rPr>
        <w:t xml:space="preserve"> </w:t>
      </w:r>
      <w:r w:rsidR="00397032" w:rsidRPr="00981405">
        <w:rPr>
          <w:rFonts w:eastAsia="MS Mincho"/>
        </w:rPr>
        <w:t>oneself,</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give</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pledge</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promise,</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agree,</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accept</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word</w:t>
      </w:r>
      <w:r w:rsidR="00190923" w:rsidRPr="00981405">
        <w:rPr>
          <w:rFonts w:eastAsia="MS Mincho"/>
        </w:rPr>
        <w:t xml:space="preserve"> </w:t>
      </w:r>
      <w:r w:rsidR="00397032" w:rsidRPr="00981405">
        <w:rPr>
          <w:rFonts w:eastAsia="MS Mincho"/>
        </w:rPr>
        <w:t>regularly</w:t>
      </w:r>
      <w:r w:rsidR="00190923" w:rsidRPr="00981405">
        <w:rPr>
          <w:rFonts w:eastAsia="MS Mincho"/>
        </w:rPr>
        <w:t xml:space="preserve"> </w:t>
      </w:r>
      <w:r w:rsidR="00397032" w:rsidRPr="00981405">
        <w:rPr>
          <w:rFonts w:eastAsia="MS Mincho"/>
        </w:rPr>
        <w:t>used</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treaties</w:t>
      </w:r>
      <w:r w:rsidR="00190923" w:rsidRPr="00981405">
        <w:rPr>
          <w:rFonts w:eastAsia="MS Mincho"/>
        </w:rPr>
        <w:t xml:space="preserve"> </w:t>
      </w:r>
      <w:r w:rsidR="00397032" w:rsidRPr="00981405">
        <w:rPr>
          <w:rFonts w:eastAsia="MS Mincho"/>
        </w:rPr>
        <w:t>setting</w:t>
      </w:r>
      <w:r w:rsidR="00190923" w:rsidRPr="00981405">
        <w:rPr>
          <w:rFonts w:eastAsia="MS Mincho"/>
        </w:rPr>
        <w:t xml:space="preserve"> </w:t>
      </w:r>
      <w:r w:rsidR="00397032" w:rsidRPr="00981405">
        <w:rPr>
          <w:rFonts w:eastAsia="MS Mincho"/>
        </w:rPr>
        <w:t>out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obligations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Contracting</w:t>
      </w:r>
      <w:r w:rsidR="00190923" w:rsidRPr="00981405">
        <w:rPr>
          <w:rFonts w:eastAsia="MS Mincho"/>
        </w:rPr>
        <w:t xml:space="preserve"> </w:t>
      </w:r>
      <w:r w:rsidR="00397032" w:rsidRPr="00981405">
        <w:rPr>
          <w:rFonts w:eastAsia="MS Mincho"/>
        </w:rPr>
        <w:t>Parties</w:t>
      </w:r>
      <w:r w:rsidR="00190923" w:rsidRPr="00981405">
        <w:rPr>
          <w:rFonts w:eastAsia="MS Mincho"/>
        </w:rPr>
        <w:t xml:space="preserve"> </w:t>
      </w:r>
      <w:r w:rsidR="00397032" w:rsidRPr="00981405">
        <w:rPr>
          <w:rFonts w:eastAsia="MS Mincho"/>
        </w:rPr>
        <w:t>...</w:t>
      </w:r>
      <w:r w:rsidR="00190923" w:rsidRPr="00981405">
        <w:rPr>
          <w:rFonts w:eastAsia="MS Mincho"/>
        </w:rPr>
        <w:t xml:space="preserve"> </w:t>
      </w:r>
      <w:r w:rsidR="00397032" w:rsidRPr="00981405">
        <w:rPr>
          <w:rFonts w:eastAsia="MS Mincho"/>
        </w:rPr>
        <w:t>.</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merely</w:t>
      </w:r>
      <w:r w:rsidR="00190923" w:rsidRPr="00981405">
        <w:rPr>
          <w:rFonts w:eastAsia="MS Mincho"/>
        </w:rPr>
        <w:t xml:space="preserve"> </w:t>
      </w:r>
      <w:r w:rsidR="00397032" w:rsidRPr="00981405">
        <w:rPr>
          <w:rFonts w:eastAsia="MS Mincho"/>
        </w:rPr>
        <w:t>hortatory</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purposive.</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undertaking</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unqualified</w:t>
      </w:r>
      <w:r w:rsidR="00190923" w:rsidRPr="00981405">
        <w:rPr>
          <w:rFonts w:eastAsia="MS Mincho"/>
        </w:rPr>
        <w:t xml:space="preserve"> </w:t>
      </w:r>
      <w:r w:rsidR="00397032" w:rsidRPr="00981405">
        <w:rPr>
          <w:rFonts w:eastAsia="MS Mincho"/>
        </w:rPr>
        <w:t>...</w:t>
      </w:r>
      <w:r w:rsidR="00190923" w:rsidRPr="00981405">
        <w:rPr>
          <w:rFonts w:eastAsia="MS Mincho"/>
        </w:rPr>
        <w:t xml:space="preserve"> </w:t>
      </w:r>
      <w:r w:rsidR="00397032" w:rsidRPr="00981405">
        <w:rPr>
          <w:rFonts w:eastAsia="MS Mincho"/>
        </w:rPr>
        <w:t>;</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read</w:t>
      </w:r>
      <w:r w:rsidR="00190923" w:rsidRPr="00981405">
        <w:rPr>
          <w:rFonts w:eastAsia="MS Mincho"/>
        </w:rPr>
        <w:t xml:space="preserve"> </w:t>
      </w:r>
      <w:r w:rsidR="00397032" w:rsidRPr="00981405">
        <w:rPr>
          <w:rFonts w:eastAsia="MS Mincho"/>
        </w:rPr>
        <w:t>merely</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introduction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later</w:t>
      </w:r>
      <w:r w:rsidR="00190923" w:rsidRPr="00981405">
        <w:rPr>
          <w:rFonts w:eastAsia="MS Mincho"/>
        </w:rPr>
        <w:t xml:space="preserve"> </w:t>
      </w:r>
      <w:r w:rsidR="00397032" w:rsidRPr="00981405">
        <w:rPr>
          <w:rFonts w:eastAsia="MS Mincho"/>
        </w:rPr>
        <w:t>express</w:t>
      </w:r>
      <w:r w:rsidR="00190923" w:rsidRPr="00981405">
        <w:rPr>
          <w:rFonts w:eastAsia="MS Mincho"/>
        </w:rPr>
        <w:t xml:space="preserve"> </w:t>
      </w:r>
      <w:r w:rsidR="00397032" w:rsidRPr="00981405">
        <w:rPr>
          <w:rFonts w:eastAsia="MS Mincho"/>
        </w:rPr>
        <w:t>references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legislation,</w:t>
      </w:r>
      <w:r w:rsidR="00190923" w:rsidRPr="00981405">
        <w:rPr>
          <w:rFonts w:eastAsia="MS Mincho"/>
        </w:rPr>
        <w:t xml:space="preserve"> </w:t>
      </w:r>
      <w:r w:rsidR="00397032" w:rsidRPr="00981405">
        <w:rPr>
          <w:rFonts w:eastAsia="MS Mincho"/>
        </w:rPr>
        <w:t>prosecution</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extradition.</w:t>
      </w:r>
      <w:r w:rsidR="00190923" w:rsidRPr="00981405">
        <w:rPr>
          <w:rFonts w:eastAsia="MS Mincho"/>
        </w:rPr>
        <w:t xml:space="preserve"> </w:t>
      </w:r>
      <w:r w:rsidR="00397032" w:rsidRPr="00981405">
        <w:rPr>
          <w:rFonts w:eastAsia="MS Mincho"/>
        </w:rPr>
        <w:t>Those</w:t>
      </w:r>
      <w:r w:rsidR="00190923" w:rsidRPr="00981405">
        <w:rPr>
          <w:rFonts w:eastAsia="MS Mincho"/>
        </w:rPr>
        <w:t xml:space="preserve"> </w:t>
      </w:r>
      <w:r w:rsidR="00397032" w:rsidRPr="00981405">
        <w:rPr>
          <w:rFonts w:eastAsia="MS Mincho"/>
        </w:rPr>
        <w:t>features</w:t>
      </w:r>
      <w:r w:rsidR="00190923" w:rsidRPr="00981405">
        <w:rPr>
          <w:rFonts w:eastAsia="MS Mincho"/>
        </w:rPr>
        <w:t xml:space="preserve"> </w:t>
      </w:r>
      <w:r w:rsidR="00397032" w:rsidRPr="00981405">
        <w:rPr>
          <w:rFonts w:eastAsia="MS Mincho"/>
        </w:rPr>
        <w:t>support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conclusion</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Article</w:t>
      </w:r>
      <w:r w:rsidR="00190923" w:rsidRPr="00981405">
        <w:rPr>
          <w:rFonts w:eastAsia="MS Mincho"/>
        </w:rPr>
        <w:t xml:space="preserve"> </w:t>
      </w:r>
      <w:r w:rsidR="00397032" w:rsidRPr="00981405">
        <w:rPr>
          <w:rFonts w:eastAsia="MS Mincho"/>
        </w:rPr>
        <w:t>I,</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particular</w:t>
      </w:r>
      <w:r w:rsidR="00190923" w:rsidRPr="00981405">
        <w:rPr>
          <w:rFonts w:eastAsia="MS Mincho"/>
        </w:rPr>
        <w:t xml:space="preserve"> </w:t>
      </w:r>
      <w:r w:rsidR="00397032" w:rsidRPr="00981405">
        <w:rPr>
          <w:rFonts w:eastAsia="MS Mincho"/>
        </w:rPr>
        <w:t>its</w:t>
      </w:r>
      <w:r w:rsidR="00190923" w:rsidRPr="00981405">
        <w:rPr>
          <w:rFonts w:eastAsia="MS Mincho"/>
        </w:rPr>
        <w:t xml:space="preserve"> </w:t>
      </w:r>
      <w:r w:rsidR="00397032" w:rsidRPr="00981405">
        <w:rPr>
          <w:rFonts w:eastAsia="MS Mincho"/>
        </w:rPr>
        <w:t>undertaking</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creates</w:t>
      </w:r>
      <w:r w:rsidR="00190923" w:rsidRPr="00981405">
        <w:rPr>
          <w:rFonts w:eastAsia="MS Mincho"/>
        </w:rPr>
        <w:t xml:space="preserve"> </w:t>
      </w:r>
      <w:r w:rsidR="00397032" w:rsidRPr="00981405">
        <w:rPr>
          <w:rFonts w:eastAsia="MS Mincho"/>
        </w:rPr>
        <w:t>obligations</w:t>
      </w:r>
      <w:r w:rsidR="00190923" w:rsidRPr="00981405">
        <w:rPr>
          <w:rFonts w:eastAsia="MS Mincho"/>
        </w:rPr>
        <w:t xml:space="preserve"> </w:t>
      </w:r>
      <w:r w:rsidR="00397032" w:rsidRPr="00981405">
        <w:rPr>
          <w:rFonts w:eastAsia="MS Mincho"/>
        </w:rPr>
        <w:t>distinct</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those</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appear</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subsequent</w:t>
      </w:r>
      <w:r w:rsidR="00190923" w:rsidRPr="00981405">
        <w:rPr>
          <w:rFonts w:eastAsia="MS Mincho"/>
        </w:rPr>
        <w:t xml:space="preserve"> </w:t>
      </w:r>
      <w:r w:rsidR="00397032" w:rsidRPr="00981405">
        <w:rPr>
          <w:rFonts w:eastAsia="MS Mincho"/>
        </w:rPr>
        <w:t>Articles.</w:t>
      </w:r>
      <w:r w:rsidRPr="00981405">
        <w:rPr>
          <w:rFonts w:eastAsia="MS Mincho"/>
        </w:rPr>
        <w:t>”</w:t>
      </w:r>
      <w:r w:rsidR="00397032" w:rsidRPr="00981405">
        <w:rPr>
          <w:rStyle w:val="FootnoteReference"/>
        </w:rPr>
        <w:footnoteReference w:id="253"/>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The</w:t>
      </w:r>
      <w:r w:rsidR="00190923" w:rsidRPr="00981405">
        <w:rPr>
          <w:rFonts w:eastAsia="MS Mincho"/>
        </w:rPr>
        <w:t xml:space="preserve"> </w:t>
      </w:r>
      <w:r w:rsidRPr="00981405">
        <w:rPr>
          <w:rFonts w:eastAsia="MS Mincho"/>
        </w:rPr>
        <w:t>undertaking</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formulated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intended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express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kind</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legally</w:t>
      </w:r>
      <w:r w:rsidR="00190923" w:rsidRPr="00981405">
        <w:rPr>
          <w:rFonts w:eastAsia="MS Mincho"/>
        </w:rPr>
        <w:t xml:space="preserve"> </w:t>
      </w:r>
      <w:r w:rsidRPr="00981405">
        <w:rPr>
          <w:rFonts w:eastAsia="MS Mincho"/>
        </w:rPr>
        <w:t>binding</w:t>
      </w:r>
      <w:r w:rsidR="00190923" w:rsidRPr="00981405">
        <w:rPr>
          <w:rFonts w:eastAsia="MS Mincho"/>
        </w:rPr>
        <w:t xml:space="preserve"> </w:t>
      </w:r>
      <w:r w:rsidRPr="00981405">
        <w:rPr>
          <w:rFonts w:eastAsia="MS Mincho"/>
        </w:rPr>
        <w:t>effect</w:t>
      </w:r>
      <w:r w:rsidR="00190923" w:rsidRPr="00981405">
        <w:rPr>
          <w:rFonts w:eastAsia="MS Mincho"/>
        </w:rPr>
        <w:t xml:space="preserve"> </w:t>
      </w:r>
      <w:r w:rsidRPr="00981405">
        <w:rPr>
          <w:rFonts w:eastAsia="MS Mincho"/>
        </w:rPr>
        <w:t>upon</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too,</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merely</w:t>
      </w:r>
      <w:r w:rsidR="00190923" w:rsidRPr="00981405">
        <w:rPr>
          <w:rFonts w:eastAsia="MS Mincho"/>
        </w:rPr>
        <w:t xml:space="preserve"> </w:t>
      </w:r>
      <w:r w:rsidRPr="00981405">
        <w:rPr>
          <w:rFonts w:eastAsia="MS Mincho"/>
        </w:rPr>
        <w:t>hortatory</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purposive,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merely</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introduction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later</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articles.</w:t>
      </w:r>
      <w:r w:rsidR="00190923" w:rsidRPr="00981405">
        <w:rPr>
          <w:rFonts w:eastAsia="MS Mincho"/>
        </w:rPr>
        <w:t xml:space="preserve"> </w:t>
      </w:r>
    </w:p>
    <w:p w:rsidR="00397032" w:rsidRPr="00981405" w:rsidRDefault="00397032" w:rsidP="00D97463">
      <w:pPr>
        <w:pStyle w:val="SingleTxt"/>
      </w:pPr>
      <w:r w:rsidRPr="00981405">
        <w:rPr>
          <w:rFonts w:eastAsia="MS Mincho"/>
        </w:rPr>
        <w:t>(8)</w:t>
      </w:r>
      <w:r w:rsidRPr="00981405">
        <w:rPr>
          <w:rFonts w:eastAsia="MS Mincho"/>
        </w:rPr>
        <w:tab/>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case,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further</w:t>
      </w:r>
      <w:r w:rsidR="00190923" w:rsidRPr="00981405">
        <w:rPr>
          <w:rFonts w:eastAsia="MS Mincho"/>
        </w:rPr>
        <w:t xml:space="preserve"> </w:t>
      </w:r>
      <w:r w:rsidRPr="00981405">
        <w:rPr>
          <w:rFonts w:eastAsia="MS Mincho"/>
        </w:rPr>
        <w:t>noted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when</w:t>
      </w:r>
      <w:r w:rsidR="00190923" w:rsidRPr="00981405">
        <w:rPr>
          <w:rFonts w:eastAsia="MS Mincho"/>
        </w:rPr>
        <w:t xml:space="preserve"> </w:t>
      </w:r>
      <w:r w:rsidRPr="00981405">
        <w:rPr>
          <w:rFonts w:eastAsia="MS Mincho"/>
        </w:rPr>
        <w:t>engaging</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00B92E2C" w:rsidRPr="00981405">
        <w:rPr>
          <w:rFonts w:eastAsia="MS Mincho"/>
        </w:rPr>
        <w:t>“</w:t>
      </w:r>
      <w:r w:rsidRPr="00981405">
        <w:t>it</w:t>
      </w:r>
      <w:r w:rsidR="00190923" w:rsidRPr="00981405">
        <w:t xml:space="preserve"> </w:t>
      </w:r>
      <w:r w:rsidRPr="00981405">
        <w:t>is</w:t>
      </w:r>
      <w:r w:rsidR="00190923" w:rsidRPr="00981405">
        <w:t xml:space="preserve"> </w:t>
      </w:r>
      <w:r w:rsidRPr="00981405">
        <w:t>clear</w:t>
      </w:r>
      <w:r w:rsidR="00190923" w:rsidRPr="00981405">
        <w:t xml:space="preserve"> </w:t>
      </w:r>
      <w:r w:rsidRPr="00981405">
        <w:t>that</w:t>
      </w:r>
      <w:r w:rsidR="00190923" w:rsidRPr="00981405">
        <w:t xml:space="preserve"> </w:t>
      </w:r>
      <w:r w:rsidRPr="00981405">
        <w:t>every</w:t>
      </w:r>
      <w:r w:rsidR="00190923" w:rsidRPr="00981405">
        <w:t xml:space="preserve"> </w:t>
      </w:r>
      <w:r w:rsidRPr="00981405">
        <w:t>State</w:t>
      </w:r>
      <w:r w:rsidR="00190923" w:rsidRPr="00981405">
        <w:t xml:space="preserve"> </w:t>
      </w:r>
      <w:r w:rsidRPr="00981405">
        <w:t>may</w:t>
      </w:r>
      <w:r w:rsidR="00190923" w:rsidRPr="00981405">
        <w:t xml:space="preserve"> </w:t>
      </w:r>
      <w:r w:rsidRPr="00981405">
        <w:t>only</w:t>
      </w:r>
      <w:r w:rsidR="00190923" w:rsidRPr="00981405">
        <w:t xml:space="preserve"> </w:t>
      </w:r>
      <w:r w:rsidRPr="00981405">
        <w:t>act</w:t>
      </w:r>
      <w:r w:rsidR="00190923" w:rsidRPr="00981405">
        <w:t xml:space="preserve"> </w:t>
      </w:r>
      <w:r w:rsidRPr="00981405">
        <w:t>within</w:t>
      </w:r>
      <w:r w:rsidR="00190923" w:rsidRPr="00981405">
        <w:t xml:space="preserve"> </w:t>
      </w:r>
      <w:r w:rsidRPr="00981405">
        <w:t>the</w:t>
      </w:r>
      <w:r w:rsidR="00190923" w:rsidRPr="00981405">
        <w:t xml:space="preserve"> </w:t>
      </w:r>
      <w:r w:rsidRPr="00981405">
        <w:t>limits</w:t>
      </w:r>
      <w:r w:rsidR="00190923" w:rsidRPr="00981405">
        <w:t xml:space="preserve"> </w:t>
      </w:r>
      <w:r w:rsidRPr="00981405">
        <w:t>permitted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law.</w:t>
      </w:r>
      <w:r w:rsidR="00B92E2C" w:rsidRPr="00981405">
        <w:t>”</w:t>
      </w:r>
      <w:r w:rsidRPr="00981405">
        <w:rPr>
          <w:rStyle w:val="FootnoteReference"/>
        </w:rPr>
        <w:footnoteReference w:id="254"/>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deemed</w:t>
      </w:r>
      <w:r w:rsidR="00190923" w:rsidRPr="00981405">
        <w:t xml:space="preserve"> </w:t>
      </w:r>
      <w:r w:rsidRPr="00981405">
        <w:t>it</w:t>
      </w:r>
      <w:r w:rsidR="00190923" w:rsidRPr="00981405">
        <w:t xml:space="preserve"> </w:t>
      </w:r>
      <w:r w:rsidRPr="00981405">
        <w:t>important</w:t>
      </w:r>
      <w:r w:rsidR="00190923" w:rsidRPr="00981405">
        <w:t xml:space="preserve"> </w:t>
      </w:r>
      <w:r w:rsidRPr="00981405">
        <w:t>to</w:t>
      </w:r>
      <w:r w:rsidR="00190923" w:rsidRPr="00981405">
        <w:t xml:space="preserve"> </w:t>
      </w:r>
      <w:r w:rsidRPr="00981405">
        <w:t>express</w:t>
      </w:r>
      <w:r w:rsidR="00190923" w:rsidRPr="00981405">
        <w:t xml:space="preserve"> </w:t>
      </w:r>
      <w:r w:rsidRPr="00981405">
        <w:t>that</w:t>
      </w:r>
      <w:r w:rsidR="00190923" w:rsidRPr="00981405">
        <w:t xml:space="preserve"> </w:t>
      </w:r>
      <w:r w:rsidRPr="00981405">
        <w:t>requirement</w:t>
      </w:r>
      <w:r w:rsidR="00190923" w:rsidRPr="00981405">
        <w:t xml:space="preserve"> </w:t>
      </w:r>
      <w:r w:rsidRPr="00981405">
        <w:t>explicitly</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and</w:t>
      </w:r>
      <w:r w:rsidR="00190923" w:rsidRPr="00981405">
        <w:t xml:space="preserve"> </w:t>
      </w:r>
      <w:r w:rsidRPr="00981405">
        <w:t>therefore</w:t>
      </w:r>
      <w:r w:rsidR="00190923" w:rsidRPr="00981405">
        <w:t xml:space="preserve"> </w:t>
      </w:r>
      <w:r w:rsidRPr="00981405">
        <w:t>has</w:t>
      </w:r>
      <w:r w:rsidR="00190923" w:rsidRPr="00981405">
        <w:t xml:space="preserve"> </w:t>
      </w:r>
      <w:r w:rsidRPr="00981405">
        <w:t>included</w:t>
      </w:r>
      <w:r w:rsidR="00190923" w:rsidRPr="00981405">
        <w:t xml:space="preserve"> </w:t>
      </w:r>
      <w:r w:rsidRPr="00981405">
        <w:t>a</w:t>
      </w:r>
      <w:r w:rsidR="00190923" w:rsidRPr="00981405">
        <w:t xml:space="preserve"> </w:t>
      </w:r>
      <w:r w:rsidRPr="00981405">
        <w:t>clause</w:t>
      </w:r>
      <w:r w:rsidR="00190923" w:rsidRPr="00981405">
        <w:t xml:space="preserve"> </w:t>
      </w:r>
      <w:r w:rsidRPr="00981405">
        <w:t>indicating</w:t>
      </w:r>
      <w:r w:rsidR="00190923" w:rsidRPr="00981405">
        <w:t xml:space="preserve"> </w:t>
      </w:r>
      <w:r w:rsidRPr="00981405">
        <w:t>that</w:t>
      </w:r>
      <w:r w:rsidR="00190923" w:rsidRPr="00981405">
        <w:t xml:space="preserve"> </w:t>
      </w:r>
      <w:r w:rsidRPr="00981405">
        <w:rPr>
          <w:rFonts w:eastAsia="MS Mincho"/>
        </w:rPr>
        <w:t>any</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must</w:t>
      </w:r>
      <w:r w:rsidR="00190923" w:rsidRPr="00981405">
        <w:rPr>
          <w:rFonts w:eastAsia="MS Mincho"/>
        </w:rPr>
        <w:t xml:space="preserve"> </w:t>
      </w:r>
      <w:r w:rsidRPr="00981405">
        <w:rPr>
          <w:rFonts w:eastAsia="MS Mincho"/>
        </w:rPr>
        <w:t>be</w:t>
      </w:r>
      <w:r w:rsidR="00190923" w:rsidRPr="00981405">
        <w:rPr>
          <w:rFonts w:eastAsia="MS Mincho"/>
        </w:rPr>
        <w:t xml:space="preserve"> </w:t>
      </w:r>
      <w:r w:rsidR="00B92E2C" w:rsidRPr="00981405">
        <w:rPr>
          <w:rFonts w:eastAsia="MS Mincho"/>
        </w:rPr>
        <w:t>“</w:t>
      </w:r>
      <w:r w:rsidRPr="00981405">
        <w:rPr>
          <w:rFonts w:eastAsia="MS Mincho"/>
        </w:rPr>
        <w:t>in</w:t>
      </w:r>
      <w:r w:rsidR="00190923" w:rsidRPr="00981405">
        <w:rPr>
          <w:rFonts w:eastAsia="MS Mincho"/>
        </w:rPr>
        <w:t xml:space="preserve"> </w:t>
      </w:r>
      <w:r w:rsidRPr="00981405">
        <w:rPr>
          <w:rFonts w:eastAsia="MS Mincho"/>
        </w:rPr>
        <w:t>conformity</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law.</w:t>
      </w:r>
      <w:r w:rsidR="00B92E2C" w:rsidRPr="00981405">
        <w:rPr>
          <w:rFonts w:eastAsia="MS Mincho"/>
        </w:rPr>
        <w:t>”</w:t>
      </w:r>
      <w:r w:rsidR="00190923" w:rsidRPr="00981405">
        <w:rPr>
          <w:rFonts w:eastAsia="MS Mincho"/>
        </w:rPr>
        <w:t xml:space="preserve"> </w:t>
      </w:r>
      <w:r w:rsidRPr="00981405">
        <w:t>Thus,</w:t>
      </w:r>
      <w:r w:rsidR="00190923" w:rsidRPr="00981405">
        <w:t xml:space="preserve"> </w:t>
      </w:r>
      <w:r w:rsidRPr="00981405">
        <w:t>the</w:t>
      </w:r>
      <w:r w:rsidR="00190923" w:rsidRPr="00981405">
        <w:t xml:space="preserve"> </w:t>
      </w:r>
      <w:r w:rsidRPr="00981405">
        <w:t>measures</w:t>
      </w:r>
      <w:r w:rsidR="00190923" w:rsidRPr="00981405">
        <w:t xml:space="preserve"> </w:t>
      </w:r>
      <w:r w:rsidRPr="00981405">
        <w:t>undertaken</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to</w:t>
      </w:r>
      <w:r w:rsidR="00190923" w:rsidRPr="00981405">
        <w:t xml:space="preserve"> </w:t>
      </w:r>
      <w:r w:rsidRPr="00981405">
        <w:t>fulfill</w:t>
      </w:r>
      <w:r w:rsidR="00190923" w:rsidRPr="00981405">
        <w:t xml:space="preserve"> </w:t>
      </w:r>
      <w:r w:rsidRPr="00981405">
        <w:t>this</w:t>
      </w:r>
      <w:r w:rsidR="00190923" w:rsidRPr="00981405">
        <w:t xml:space="preserve"> </w:t>
      </w:r>
      <w:r w:rsidRPr="00981405">
        <w:t>obligation</w:t>
      </w:r>
      <w:r w:rsidR="00190923" w:rsidRPr="00981405">
        <w:t xml:space="preserve"> </w:t>
      </w:r>
      <w:r w:rsidRPr="00981405">
        <w:t>must</w:t>
      </w:r>
      <w:r w:rsidR="00190923" w:rsidRPr="00981405">
        <w:t xml:space="preserve"> </w:t>
      </w:r>
      <w:r w:rsidRPr="00981405">
        <w:t>be</w:t>
      </w:r>
      <w:r w:rsidR="00190923" w:rsidRPr="00981405">
        <w:t xml:space="preserve"> </w:t>
      </w:r>
      <w:r w:rsidRPr="00981405">
        <w:t>consistent</w:t>
      </w:r>
      <w:r w:rsidR="00190923" w:rsidRPr="00981405">
        <w:t xml:space="preserve"> </w:t>
      </w:r>
      <w:r w:rsidRPr="00981405">
        <w:t>with</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including</w:t>
      </w:r>
      <w:r w:rsidR="00190923" w:rsidRPr="00981405">
        <w:t xml:space="preserve"> </w:t>
      </w:r>
      <w:r w:rsidRPr="00981405">
        <w:t>rules</w:t>
      </w:r>
      <w:r w:rsidR="00190923" w:rsidRPr="00981405">
        <w:t xml:space="preserve"> </w:t>
      </w:r>
      <w:r w:rsidRPr="00981405">
        <w:t>on</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force</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international</w:t>
      </w:r>
      <w:r w:rsidR="00190923" w:rsidRPr="00981405">
        <w:t xml:space="preserve"> </w:t>
      </w:r>
      <w:r w:rsidRPr="00981405">
        <w:t>humanitarian</w:t>
      </w:r>
      <w:r w:rsidR="00190923" w:rsidRPr="00981405">
        <w:t xml:space="preserve"> </w:t>
      </w:r>
      <w:r w:rsidRPr="00981405">
        <w:t>law,</w:t>
      </w:r>
      <w:r w:rsidR="00190923" w:rsidRPr="00981405">
        <w:t xml:space="preserve"> </w:t>
      </w:r>
      <w:r w:rsidRPr="00981405">
        <w:t>and</w:t>
      </w:r>
      <w:r w:rsidR="00190923" w:rsidRPr="00981405">
        <w:t xml:space="preserve"> </w:t>
      </w:r>
      <w:r w:rsidRPr="00981405">
        <w:t>human</w:t>
      </w:r>
      <w:r w:rsidR="00190923" w:rsidRPr="00981405">
        <w:t xml:space="preserve"> </w:t>
      </w:r>
      <w:r w:rsidRPr="00981405">
        <w:t>rights</w:t>
      </w:r>
      <w:r w:rsidR="00190923" w:rsidRPr="00981405">
        <w:t xml:space="preserve"> </w:t>
      </w:r>
      <w:r w:rsidRPr="00981405">
        <w:t>law.</w:t>
      </w:r>
      <w:r w:rsidR="00190923" w:rsidRPr="00981405">
        <w:t xml:space="preserve"> </w:t>
      </w:r>
      <w:r w:rsidRPr="00981405">
        <w:t>The</w:t>
      </w:r>
      <w:r w:rsidR="00190923" w:rsidRPr="00981405">
        <w:t xml:space="preserve"> </w:t>
      </w:r>
      <w:r w:rsidRPr="00981405">
        <w:t>State</w:t>
      </w:r>
      <w:r w:rsidR="00190923" w:rsidRPr="00981405">
        <w:t xml:space="preserve"> </w:t>
      </w:r>
      <w:r w:rsidRPr="00981405">
        <w:t>is</w:t>
      </w:r>
      <w:r w:rsidR="00190923" w:rsidRPr="00981405">
        <w:t xml:space="preserve"> </w:t>
      </w:r>
      <w:r w:rsidRPr="00981405">
        <w:t>only</w:t>
      </w:r>
      <w:r w:rsidR="00190923" w:rsidRPr="00981405">
        <w:t xml:space="preserve"> </w:t>
      </w:r>
      <w:r w:rsidRPr="00981405">
        <w:t>expected</w:t>
      </w:r>
      <w:r w:rsidR="00190923" w:rsidRPr="00981405">
        <w:t xml:space="preserve"> </w:t>
      </w:r>
      <w:r w:rsidRPr="00981405">
        <w:t>to</w:t>
      </w:r>
      <w:r w:rsidR="00190923" w:rsidRPr="00981405">
        <w:t xml:space="preserve"> </w:t>
      </w:r>
      <w:r w:rsidRPr="00981405">
        <w:t>take</w:t>
      </w:r>
      <w:r w:rsidR="00190923" w:rsidRPr="00981405">
        <w:t xml:space="preserve"> </w:t>
      </w:r>
      <w:r w:rsidRPr="00981405">
        <w:t>such</w:t>
      </w:r>
      <w:r w:rsidR="00190923" w:rsidRPr="00981405">
        <w:t xml:space="preserve"> </w:t>
      </w:r>
      <w:r w:rsidRPr="00981405">
        <w:t>measures</w:t>
      </w:r>
      <w:r w:rsidR="00190923" w:rsidRPr="00981405">
        <w:t xml:space="preserve"> </w:t>
      </w:r>
      <w:r w:rsidRPr="00981405">
        <w:t>as</w:t>
      </w:r>
      <w:r w:rsidR="00190923" w:rsidRPr="00981405">
        <w:t xml:space="preserve"> </w:t>
      </w:r>
      <w:r w:rsidRPr="00981405">
        <w:t>it</w:t>
      </w:r>
      <w:r w:rsidR="00190923" w:rsidRPr="00981405">
        <w:t xml:space="preserve"> </w:t>
      </w:r>
      <w:r w:rsidRPr="00981405">
        <w:t>legally</w:t>
      </w:r>
      <w:r w:rsidR="00190923" w:rsidRPr="00981405">
        <w:t xml:space="preserve"> </w:t>
      </w:r>
      <w:r w:rsidRPr="00981405">
        <w:t>can</w:t>
      </w:r>
      <w:r w:rsidR="00190923" w:rsidRPr="00981405">
        <w:t xml:space="preserve"> </w:t>
      </w:r>
      <w:r w:rsidRPr="00981405">
        <w:t>take</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to</w:t>
      </w:r>
      <w:r w:rsidR="00190923" w:rsidRPr="00981405">
        <w:t xml:space="preserve"> </w:t>
      </w:r>
      <w:r w:rsidRPr="00981405">
        <w:t>prevent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p>
    <w:p w:rsidR="00397032" w:rsidRPr="00981405" w:rsidRDefault="00397032" w:rsidP="00D97463">
      <w:pPr>
        <w:pStyle w:val="SingleTxt"/>
        <w:rPr>
          <w:rFonts w:eastAsia="MS Mincho"/>
        </w:rPr>
      </w:pPr>
      <w:r w:rsidRPr="00981405">
        <w:t>(9)</w:t>
      </w:r>
      <w:r w:rsidRPr="00981405">
        <w:tab/>
        <w:t>As</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t</w:t>
      </w:r>
      <w:r w:rsidRPr="00981405">
        <w:rPr>
          <w:rFonts w:eastAsia="MS Mincho"/>
        </w:rPr>
        <w:t>his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either</w:t>
      </w:r>
      <w:r w:rsidR="00190923" w:rsidRPr="00981405">
        <w:rPr>
          <w:rFonts w:eastAsia="MS Mincho"/>
        </w:rPr>
        <w:t xml:space="preserve"> </w:t>
      </w:r>
      <w:r w:rsidRPr="00981405">
        <w:rPr>
          <w:rFonts w:eastAsia="MS Mincho"/>
        </w:rPr>
        <w:t>expressly</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implicitly</w:t>
      </w:r>
      <w:r w:rsidR="00190923" w:rsidRPr="00981405">
        <w:rPr>
          <w:rFonts w:eastAsia="MS Mincho"/>
        </w:rPr>
        <w:t xml:space="preserve"> </w:t>
      </w:r>
      <w:r w:rsidRPr="00981405">
        <w:rPr>
          <w:rFonts w:eastAsia="MS Mincho"/>
        </w:rPr>
        <w:t>contains</w:t>
      </w:r>
      <w:r w:rsidR="00190923" w:rsidRPr="00981405">
        <w:rPr>
          <w:rFonts w:eastAsia="MS Mincho"/>
        </w:rPr>
        <w:t xml:space="preserve"> </w:t>
      </w:r>
      <w:r w:rsidRPr="00981405">
        <w:rPr>
          <w:rFonts w:eastAsia="MS Mincho"/>
        </w:rPr>
        <w:t>four</w:t>
      </w:r>
      <w:r w:rsidR="00190923" w:rsidRPr="00981405">
        <w:rPr>
          <w:rFonts w:eastAsia="MS Mincho"/>
        </w:rPr>
        <w:t xml:space="preserve"> </w:t>
      </w:r>
      <w:r w:rsidRPr="00981405">
        <w:rPr>
          <w:rFonts w:eastAsia="MS Mincho"/>
        </w:rPr>
        <w:t>elements.</w:t>
      </w:r>
      <w:r w:rsidR="00190923" w:rsidRPr="00981405">
        <w:rPr>
          <w:rFonts w:eastAsia="MS Mincho"/>
        </w:rPr>
        <w:t xml:space="preserve"> </w:t>
      </w:r>
      <w:r w:rsidRPr="00981405">
        <w:rPr>
          <w:rFonts w:eastAsia="MS Mincho"/>
        </w:rPr>
        <w:t>First,</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undertaking,</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not</w:t>
      </w:r>
      <w:r w:rsidR="00190923" w:rsidRPr="00981405">
        <w:rPr>
          <w:rFonts w:eastAsia="MS Mincho"/>
        </w:rPr>
        <w:t xml:space="preserve"> </w:t>
      </w:r>
      <w:r w:rsidR="00B92E2C" w:rsidRPr="00981405">
        <w:rPr>
          <w:rFonts w:eastAsia="MS Mincho"/>
        </w:rPr>
        <w:t>“</w:t>
      </w:r>
      <w:r w:rsidRPr="00981405">
        <w:rPr>
          <w:rFonts w:eastAsia="MS Mincho"/>
        </w:rPr>
        <w:t>to</w:t>
      </w:r>
      <w:r w:rsidR="00190923" w:rsidRPr="00981405">
        <w:rPr>
          <w:rFonts w:eastAsia="MS Mincho"/>
        </w:rPr>
        <w:t xml:space="preserve"> </w:t>
      </w:r>
      <w:r w:rsidRPr="00981405">
        <w:rPr>
          <w:rFonts w:eastAsia="MS Mincho"/>
        </w:rPr>
        <w:t>commit</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through</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own</w:t>
      </w:r>
      <w:r w:rsidR="00190923" w:rsidRPr="00981405">
        <w:rPr>
          <w:rFonts w:eastAsia="MS Mincho"/>
        </w:rPr>
        <w:t xml:space="preserve"> </w:t>
      </w:r>
      <w:r w:rsidRPr="00981405">
        <w:rPr>
          <w:rFonts w:eastAsia="MS Mincho"/>
        </w:rPr>
        <w:t>organs,</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over</w:t>
      </w:r>
      <w:r w:rsidR="00190923" w:rsidRPr="00981405">
        <w:rPr>
          <w:rFonts w:eastAsia="MS Mincho"/>
        </w:rPr>
        <w:t xml:space="preserve"> </w:t>
      </w:r>
      <w:r w:rsidRPr="00981405">
        <w:rPr>
          <w:rFonts w:eastAsia="MS Mincho"/>
        </w:rPr>
        <w:t>whom</w:t>
      </w:r>
      <w:r w:rsidR="00190923" w:rsidRPr="00981405">
        <w:rPr>
          <w:rFonts w:eastAsia="MS Mincho"/>
        </w:rPr>
        <w:t xml:space="preserve"> </w:t>
      </w:r>
      <w:r w:rsidRPr="00981405">
        <w:rPr>
          <w:rFonts w:eastAsia="MS Mincho"/>
        </w:rPr>
        <w:t>they</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firm</w:t>
      </w:r>
      <w:r w:rsidR="00190923" w:rsidRPr="00981405">
        <w:rPr>
          <w:rFonts w:eastAsia="MS Mincho"/>
        </w:rPr>
        <w:t xml:space="preserve"> </w:t>
      </w:r>
      <w:r w:rsidRPr="00981405">
        <w:rPr>
          <w:rFonts w:eastAsia="MS Mincho"/>
        </w:rPr>
        <w:t>control</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conduct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attributable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concerned</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law.</w:t>
      </w:r>
      <w:r w:rsidR="00B92E2C" w:rsidRPr="00981405">
        <w:rPr>
          <w:rFonts w:eastAsia="MS Mincho"/>
        </w:rPr>
        <w:t>”</w:t>
      </w:r>
      <w:r w:rsidRPr="00981405">
        <w:rPr>
          <w:rStyle w:val="FootnoteReference"/>
        </w:rPr>
        <w:footnoteReference w:id="255"/>
      </w:r>
      <w:r w:rsidR="00190923" w:rsidRPr="00981405">
        <w:rPr>
          <w:rFonts w:eastAsia="MS Mincho"/>
        </w:rPr>
        <w:t xml:space="preserve"> </w:t>
      </w:r>
      <w:r w:rsidRPr="00981405">
        <w:rPr>
          <w:rFonts w:eastAsia="MS Mincho"/>
        </w:rPr>
        <w:t>According</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when</w:t>
      </w:r>
      <w:r w:rsidR="00190923" w:rsidRPr="00981405">
        <w:rPr>
          <w:rFonts w:eastAsia="MS Mincho"/>
        </w:rPr>
        <w:t xml:space="preserve"> </w:t>
      </w:r>
      <w:r w:rsidRPr="00981405">
        <w:rPr>
          <w:rFonts w:eastAsia="MS Mincho"/>
        </w:rPr>
        <w:t>considering</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analogous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contained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I</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Genocide:</w:t>
      </w:r>
    </w:p>
    <w:p w:rsidR="00397032" w:rsidRPr="00981405" w:rsidRDefault="00B92E2C" w:rsidP="00D97463">
      <w:pPr>
        <w:pStyle w:val="SingleTxt"/>
        <w:ind w:left="1742"/>
        <w:rPr>
          <w:rFonts w:eastAsia="MS Mincho"/>
        </w:rPr>
      </w:pPr>
      <w:r w:rsidRPr="00981405">
        <w:rPr>
          <w:rFonts w:eastAsia="MS Mincho"/>
        </w:rPr>
        <w:t>“</w:t>
      </w:r>
      <w:r w:rsidR="00397032" w:rsidRPr="00981405">
        <w:rPr>
          <w:rFonts w:eastAsia="MS Mincho"/>
        </w:rPr>
        <w:t>Under</w:t>
      </w:r>
      <w:r w:rsidR="00190923" w:rsidRPr="00981405">
        <w:rPr>
          <w:rFonts w:eastAsia="MS Mincho"/>
        </w:rPr>
        <w:t xml:space="preserve"> </w:t>
      </w:r>
      <w:r w:rsidR="00397032" w:rsidRPr="00981405">
        <w:rPr>
          <w:rFonts w:eastAsia="MS Mincho"/>
        </w:rPr>
        <w:t>Article</w:t>
      </w:r>
      <w:r w:rsidR="00190923" w:rsidRPr="00981405">
        <w:rPr>
          <w:rFonts w:eastAsia="MS Mincho"/>
        </w:rPr>
        <w:t xml:space="preserve"> </w:t>
      </w:r>
      <w:r w:rsidR="00397032" w:rsidRPr="00981405">
        <w:rPr>
          <w:rFonts w:eastAsia="MS Mincho"/>
        </w:rPr>
        <w:t>I</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parties</w:t>
      </w:r>
      <w:r w:rsidR="00190923" w:rsidRPr="00981405">
        <w:rPr>
          <w:rFonts w:eastAsia="MS Mincho"/>
        </w:rPr>
        <w:t xml:space="preserve"> </w:t>
      </w:r>
      <w:r w:rsidR="00397032" w:rsidRPr="00981405">
        <w:rPr>
          <w:rFonts w:eastAsia="MS Mincho"/>
        </w:rPr>
        <w:t>are</w:t>
      </w:r>
      <w:r w:rsidR="00190923" w:rsidRPr="00981405">
        <w:rPr>
          <w:rFonts w:eastAsia="MS Mincho"/>
        </w:rPr>
        <w:t xml:space="preserve"> </w:t>
      </w:r>
      <w:r w:rsidR="00397032" w:rsidRPr="00981405">
        <w:rPr>
          <w:rFonts w:eastAsia="MS Mincho"/>
        </w:rPr>
        <w:t>bound</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such</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act,</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describes</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Pr="00981405">
        <w:rPr>
          <w:rFonts w:eastAsia="MS Mincho"/>
        </w:rPr>
        <w:t>‘</w:t>
      </w:r>
      <w:r w:rsidR="00397032" w:rsidRPr="00981405">
        <w:rPr>
          <w:rFonts w:eastAsia="MS Mincho"/>
        </w:rPr>
        <w:t>a</w:t>
      </w:r>
      <w:r w:rsidR="00190923" w:rsidRPr="00981405">
        <w:rPr>
          <w:rFonts w:eastAsia="MS Mincho"/>
        </w:rPr>
        <w:t xml:space="preserve"> </w:t>
      </w:r>
      <w:r w:rsidR="00397032" w:rsidRPr="00981405">
        <w:rPr>
          <w:rFonts w:eastAsia="MS Mincho"/>
        </w:rPr>
        <w:t>crime</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international</w:t>
      </w:r>
      <w:r w:rsidR="00190923" w:rsidRPr="00981405">
        <w:rPr>
          <w:rFonts w:eastAsia="MS Mincho"/>
        </w:rPr>
        <w:t xml:space="preserve"> </w:t>
      </w:r>
      <w:r w:rsidR="00397032" w:rsidRPr="00981405">
        <w:rPr>
          <w:rFonts w:eastAsia="MS Mincho"/>
        </w:rPr>
        <w:t>law</w:t>
      </w:r>
      <w:r w:rsidRPr="00981405">
        <w:rPr>
          <w:rFonts w:eastAsia="MS Mincho"/>
        </w:rPr>
        <w:t>’</w:t>
      </w:r>
      <w:r w:rsidR="00397032" w:rsidRPr="00981405">
        <w:rPr>
          <w:rFonts w:eastAsia="MS Mincho"/>
        </w:rPr>
        <w:t>,</w:t>
      </w:r>
      <w:r w:rsidR="00190923" w:rsidRPr="00981405">
        <w:rPr>
          <w:rFonts w:eastAsia="MS Mincho"/>
        </w:rPr>
        <w:t xml:space="preserve"> </w:t>
      </w:r>
      <w:r w:rsidR="00397032" w:rsidRPr="00981405">
        <w:rPr>
          <w:rFonts w:eastAsia="MS Mincho"/>
        </w:rPr>
        <w:t>being</w:t>
      </w:r>
      <w:r w:rsidR="00190923" w:rsidRPr="00981405">
        <w:rPr>
          <w:rFonts w:eastAsia="MS Mincho"/>
        </w:rPr>
        <w:t xml:space="preserve"> </w:t>
      </w:r>
      <w:r w:rsidR="00397032" w:rsidRPr="00981405">
        <w:rPr>
          <w:rFonts w:eastAsia="MS Mincho"/>
        </w:rPr>
        <w:t>committed.</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Article</w:t>
      </w:r>
      <w:r w:rsidR="00190923" w:rsidRPr="00981405">
        <w:rPr>
          <w:rFonts w:eastAsia="MS Mincho"/>
        </w:rPr>
        <w:t xml:space="preserve"> </w:t>
      </w:r>
      <w:r w:rsidR="00397032" w:rsidRPr="00981405">
        <w:rPr>
          <w:rFonts w:eastAsia="MS Mincho"/>
        </w:rPr>
        <w:t>does</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D97463">
        <w:rPr>
          <w:rFonts w:eastAsia="MS Mincho"/>
          <w:i/>
          <w:iCs/>
        </w:rPr>
        <w:t>expressis</w:t>
      </w:r>
      <w:r w:rsidR="00190923" w:rsidRPr="00981405">
        <w:rPr>
          <w:rFonts w:eastAsia="MS Mincho"/>
          <w:i/>
          <w:iCs/>
        </w:rPr>
        <w:t xml:space="preserve"> </w:t>
      </w:r>
      <w:r w:rsidR="00397032" w:rsidRPr="00D97463">
        <w:rPr>
          <w:rFonts w:eastAsia="MS Mincho"/>
          <w:i/>
          <w:iCs/>
        </w:rPr>
        <w:t>verbis</w:t>
      </w:r>
      <w:r w:rsidR="00190923" w:rsidRPr="00981405">
        <w:rPr>
          <w:rFonts w:eastAsia="MS Mincho"/>
        </w:rPr>
        <w:t xml:space="preserve"> </w:t>
      </w:r>
      <w:r w:rsidR="00397032" w:rsidRPr="00981405">
        <w:rPr>
          <w:rFonts w:eastAsia="MS Mincho"/>
        </w:rPr>
        <w:t>require</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refrain</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themselves</w:t>
      </w:r>
      <w:r w:rsidR="00190923" w:rsidRPr="00981405">
        <w:rPr>
          <w:rFonts w:eastAsia="MS Mincho"/>
        </w:rPr>
        <w:t xml:space="preserve"> </w:t>
      </w:r>
      <w:r w:rsidR="00397032" w:rsidRPr="00981405">
        <w:rPr>
          <w:rFonts w:eastAsia="MS Mincho"/>
        </w:rPr>
        <w:t>committing</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However,</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view</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Court,</w:t>
      </w:r>
      <w:r w:rsidR="00190923" w:rsidRPr="00981405">
        <w:rPr>
          <w:rFonts w:eastAsia="MS Mincho"/>
        </w:rPr>
        <w:t xml:space="preserve"> </w:t>
      </w:r>
      <w:r w:rsidR="00397032" w:rsidRPr="00981405">
        <w:rPr>
          <w:rFonts w:eastAsia="MS Mincho"/>
        </w:rPr>
        <w:t>taking</w:t>
      </w:r>
      <w:r w:rsidR="00190923" w:rsidRPr="00981405">
        <w:rPr>
          <w:rFonts w:eastAsia="MS Mincho"/>
        </w:rPr>
        <w:t xml:space="preserve"> </w:t>
      </w:r>
      <w:r w:rsidR="00397032" w:rsidRPr="00981405">
        <w:rPr>
          <w:rFonts w:eastAsia="MS Mincho"/>
        </w:rPr>
        <w:t>into</w:t>
      </w:r>
      <w:r w:rsidR="00190923" w:rsidRPr="00981405">
        <w:rPr>
          <w:rFonts w:eastAsia="MS Mincho"/>
        </w:rPr>
        <w:t xml:space="preserve"> </w:t>
      </w:r>
      <w:r w:rsidR="00397032" w:rsidRPr="00981405">
        <w:rPr>
          <w:rFonts w:eastAsia="MS Mincho"/>
        </w:rPr>
        <w:t>account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established</w:t>
      </w:r>
      <w:r w:rsidR="00190923" w:rsidRPr="00981405">
        <w:rPr>
          <w:rFonts w:eastAsia="MS Mincho"/>
        </w:rPr>
        <w:t xml:space="preserve"> </w:t>
      </w:r>
      <w:r w:rsidR="00397032" w:rsidRPr="00981405">
        <w:rPr>
          <w:rFonts w:eastAsia="MS Mincho"/>
        </w:rPr>
        <w:t>purpose</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Convention,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effect</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Article</w:t>
      </w:r>
      <w:r w:rsidR="00190923" w:rsidRPr="00981405">
        <w:rPr>
          <w:rFonts w:eastAsia="MS Mincho"/>
        </w:rPr>
        <w:t xml:space="preserve"> </w:t>
      </w:r>
      <w:r w:rsidR="00397032" w:rsidRPr="00981405">
        <w:rPr>
          <w:rFonts w:eastAsia="MS Mincho"/>
        </w:rPr>
        <w:t>I</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prohibit</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themselves</w:t>
      </w:r>
      <w:r w:rsidR="00190923" w:rsidRPr="00981405">
        <w:rPr>
          <w:rFonts w:eastAsia="MS Mincho"/>
        </w:rPr>
        <w:t xml:space="preserve"> </w:t>
      </w:r>
      <w:r w:rsidR="00397032" w:rsidRPr="00981405">
        <w:rPr>
          <w:rFonts w:eastAsia="MS Mincho"/>
        </w:rPr>
        <w:t>committing</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Such</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prohibition</w:t>
      </w:r>
      <w:r w:rsidR="00190923" w:rsidRPr="00981405">
        <w:rPr>
          <w:rFonts w:eastAsia="MS Mincho"/>
        </w:rPr>
        <w:t xml:space="preserve"> </w:t>
      </w:r>
      <w:r w:rsidR="00397032" w:rsidRPr="00981405">
        <w:rPr>
          <w:rFonts w:eastAsia="MS Mincho"/>
        </w:rPr>
        <w:t>follows,</w:t>
      </w:r>
      <w:r w:rsidR="00190923" w:rsidRPr="00981405">
        <w:rPr>
          <w:rFonts w:eastAsia="MS Mincho"/>
        </w:rPr>
        <w:t xml:space="preserve"> </w:t>
      </w:r>
      <w:r w:rsidR="00397032" w:rsidRPr="00981405">
        <w:rPr>
          <w:rFonts w:eastAsia="MS Mincho"/>
        </w:rPr>
        <w:t>first,</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fact</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Article</w:t>
      </w:r>
      <w:r w:rsidR="00190923" w:rsidRPr="00981405">
        <w:rPr>
          <w:rFonts w:eastAsia="MS Mincho"/>
        </w:rPr>
        <w:t xml:space="preserve"> </w:t>
      </w:r>
      <w:r w:rsidR="00397032" w:rsidRPr="00981405">
        <w:rPr>
          <w:rFonts w:eastAsia="MS Mincho"/>
        </w:rPr>
        <w:t>categorizes</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2E2C89">
        <w:rPr>
          <w:rFonts w:eastAsia="MS Mincho"/>
        </w:rPr>
        <w:t>‘</w:t>
      </w:r>
      <w:r w:rsidR="00397032" w:rsidRPr="00981405">
        <w:rPr>
          <w:rFonts w:eastAsia="MS Mincho"/>
        </w:rPr>
        <w:t>a</w:t>
      </w:r>
      <w:r w:rsidR="00190923" w:rsidRPr="00981405">
        <w:rPr>
          <w:rFonts w:eastAsia="MS Mincho"/>
        </w:rPr>
        <w:t xml:space="preserve"> </w:t>
      </w:r>
      <w:r w:rsidR="00397032" w:rsidRPr="00981405">
        <w:rPr>
          <w:rFonts w:eastAsia="MS Mincho"/>
        </w:rPr>
        <w:t>crime</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international</w:t>
      </w:r>
      <w:r w:rsidR="00190923" w:rsidRPr="00981405">
        <w:rPr>
          <w:rFonts w:eastAsia="MS Mincho"/>
        </w:rPr>
        <w:t xml:space="preserve"> </w:t>
      </w:r>
      <w:r w:rsidR="00397032" w:rsidRPr="00981405">
        <w:rPr>
          <w:rFonts w:eastAsia="MS Mincho"/>
        </w:rPr>
        <w:t>law</w:t>
      </w:r>
      <w:r w:rsidR="002E2C89">
        <w:rPr>
          <w:rFonts w:eastAsia="MS Mincho"/>
        </w:rPr>
        <w:t>’</w:t>
      </w:r>
      <w:r w:rsidR="00397032" w:rsidRPr="00981405">
        <w:rPr>
          <w:rFonts w:eastAsia="MS Mincho"/>
        </w:rPr>
        <w:t>:</w:t>
      </w:r>
      <w:r w:rsidR="00190923" w:rsidRPr="00981405">
        <w:rPr>
          <w:rFonts w:eastAsia="MS Mincho"/>
        </w:rPr>
        <w:t xml:space="preserve"> </w:t>
      </w:r>
      <w:r w:rsidR="00397032" w:rsidRPr="00981405">
        <w:rPr>
          <w:rFonts w:eastAsia="MS Mincho"/>
        </w:rPr>
        <w:t>by</w:t>
      </w:r>
      <w:r w:rsidR="00190923" w:rsidRPr="00981405">
        <w:rPr>
          <w:rFonts w:eastAsia="MS Mincho"/>
        </w:rPr>
        <w:t xml:space="preserve"> </w:t>
      </w:r>
      <w:r w:rsidR="00397032" w:rsidRPr="00981405">
        <w:rPr>
          <w:rFonts w:eastAsia="MS Mincho"/>
        </w:rPr>
        <w:t>agreeing</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such</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categorization,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parties</w:t>
      </w:r>
      <w:r w:rsidR="00190923" w:rsidRPr="00981405">
        <w:rPr>
          <w:rFonts w:eastAsia="MS Mincho"/>
        </w:rPr>
        <w:t xml:space="preserve"> </w:t>
      </w:r>
      <w:r w:rsidR="00397032" w:rsidRPr="00981405">
        <w:rPr>
          <w:rFonts w:eastAsia="MS Mincho"/>
        </w:rPr>
        <w:t>must</w:t>
      </w:r>
      <w:r w:rsidR="00190923" w:rsidRPr="00981405">
        <w:rPr>
          <w:rFonts w:eastAsia="MS Mincho"/>
        </w:rPr>
        <w:t xml:space="preserve"> </w:t>
      </w:r>
      <w:r w:rsidR="00397032" w:rsidRPr="00981405">
        <w:rPr>
          <w:rFonts w:eastAsia="MS Mincho"/>
        </w:rPr>
        <w:t>logically</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undertaking</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commit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act</w:t>
      </w:r>
      <w:r w:rsidR="00190923" w:rsidRPr="00981405">
        <w:rPr>
          <w:rFonts w:eastAsia="MS Mincho"/>
        </w:rPr>
        <w:t xml:space="preserve"> </w:t>
      </w:r>
      <w:r w:rsidR="00397032" w:rsidRPr="00981405">
        <w:rPr>
          <w:rFonts w:eastAsia="MS Mincho"/>
        </w:rPr>
        <w:t>so</w:t>
      </w:r>
      <w:r w:rsidR="00190923" w:rsidRPr="00981405">
        <w:rPr>
          <w:rFonts w:eastAsia="MS Mincho"/>
        </w:rPr>
        <w:t xml:space="preserve"> </w:t>
      </w:r>
      <w:r w:rsidR="00397032" w:rsidRPr="00981405">
        <w:rPr>
          <w:rFonts w:eastAsia="MS Mincho"/>
        </w:rPr>
        <w:t>described.</w:t>
      </w:r>
      <w:r w:rsidR="00190923" w:rsidRPr="00981405">
        <w:rPr>
          <w:rFonts w:eastAsia="MS Mincho"/>
        </w:rPr>
        <w:t xml:space="preserve"> </w:t>
      </w:r>
      <w:r w:rsidR="00397032" w:rsidRPr="00981405">
        <w:rPr>
          <w:rFonts w:eastAsia="MS Mincho"/>
        </w:rPr>
        <w:t>Secondly,</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follows</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expressly</w:t>
      </w:r>
      <w:r w:rsidR="00190923" w:rsidRPr="00981405">
        <w:rPr>
          <w:rFonts w:eastAsia="MS Mincho"/>
        </w:rPr>
        <w:t xml:space="preserve"> </w:t>
      </w:r>
      <w:r w:rsidR="00397032" w:rsidRPr="00981405">
        <w:rPr>
          <w:rFonts w:eastAsia="MS Mincho"/>
        </w:rPr>
        <w:t>stated</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commission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acts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requires</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parties,</w:t>
      </w:r>
      <w:r w:rsidR="00190923" w:rsidRPr="00981405">
        <w:rPr>
          <w:rFonts w:eastAsia="MS Mincho"/>
        </w:rPr>
        <w:t xml:space="preserve"> </w:t>
      </w:r>
      <w:r w:rsidR="00397032" w:rsidRPr="00981405">
        <w:rPr>
          <w:rFonts w:eastAsia="MS Mincho"/>
          <w:i/>
          <w:iCs/>
        </w:rPr>
        <w:t>inter</w:t>
      </w:r>
      <w:r w:rsidR="00190923" w:rsidRPr="00981405">
        <w:rPr>
          <w:rFonts w:eastAsia="MS Mincho"/>
          <w:i/>
          <w:iCs/>
        </w:rPr>
        <w:t xml:space="preserve"> </w:t>
      </w:r>
      <w:r w:rsidR="00397032" w:rsidRPr="00981405">
        <w:rPr>
          <w:rFonts w:eastAsia="MS Mincho"/>
          <w:i/>
          <w:iCs/>
        </w:rPr>
        <w:t>alia</w:t>
      </w:r>
      <w:r w:rsidR="00397032" w:rsidRPr="00981405">
        <w:rPr>
          <w:rFonts w:eastAsia="MS Mincho"/>
        </w:rPr>
        <w: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employ</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means</w:t>
      </w:r>
      <w:r w:rsidR="00190923" w:rsidRPr="00981405">
        <w:rPr>
          <w:rFonts w:eastAsia="MS Mincho"/>
        </w:rPr>
        <w:t xml:space="preserve"> </w:t>
      </w:r>
      <w:r w:rsidR="00397032" w:rsidRPr="00981405">
        <w:rPr>
          <w:rFonts w:eastAsia="MS Mincho"/>
        </w:rPr>
        <w:t>at</w:t>
      </w:r>
      <w:r w:rsidR="00190923" w:rsidRPr="00981405">
        <w:rPr>
          <w:rFonts w:eastAsia="MS Mincho"/>
        </w:rPr>
        <w:t xml:space="preserve"> </w:t>
      </w:r>
      <w:r w:rsidR="00397032" w:rsidRPr="00981405">
        <w:rPr>
          <w:rFonts w:eastAsia="MS Mincho"/>
        </w:rPr>
        <w:t>their</w:t>
      </w:r>
      <w:r w:rsidR="00190923" w:rsidRPr="00981405">
        <w:rPr>
          <w:rFonts w:eastAsia="MS Mincho"/>
        </w:rPr>
        <w:t xml:space="preserve"> </w:t>
      </w:r>
      <w:r w:rsidR="00397032" w:rsidRPr="00981405">
        <w:rPr>
          <w:rFonts w:eastAsia="MS Mincho"/>
        </w:rPr>
        <w:t>disposal,</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circumstances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described</w:t>
      </w:r>
      <w:r w:rsidR="00190923" w:rsidRPr="00981405">
        <w:rPr>
          <w:rFonts w:eastAsia="MS Mincho"/>
        </w:rPr>
        <w:t xml:space="preserve"> </w:t>
      </w:r>
      <w:r w:rsidR="00397032" w:rsidRPr="00981405">
        <w:rPr>
          <w:rFonts w:eastAsia="MS Mincho"/>
        </w:rPr>
        <w:t>more</w:t>
      </w:r>
      <w:r w:rsidR="00190923" w:rsidRPr="00981405">
        <w:rPr>
          <w:rFonts w:eastAsia="MS Mincho"/>
        </w:rPr>
        <w:t xml:space="preserve"> </w:t>
      </w:r>
      <w:r w:rsidR="00397032" w:rsidRPr="00981405">
        <w:rPr>
          <w:rFonts w:eastAsia="MS Mincho"/>
        </w:rPr>
        <w:t>specifically</w:t>
      </w:r>
      <w:r w:rsidR="00190923" w:rsidRPr="00981405">
        <w:rPr>
          <w:rFonts w:eastAsia="MS Mincho"/>
        </w:rPr>
        <w:t xml:space="preserve"> </w:t>
      </w:r>
      <w:r w:rsidR="00397032" w:rsidRPr="00981405">
        <w:rPr>
          <w:rFonts w:eastAsia="MS Mincho"/>
        </w:rPr>
        <w:t>later</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this</w:t>
      </w:r>
      <w:r w:rsidR="00190923" w:rsidRPr="00981405">
        <w:rPr>
          <w:rFonts w:eastAsia="MS Mincho"/>
        </w:rPr>
        <w:t xml:space="preserve"> </w:t>
      </w:r>
      <w:r w:rsidR="00397032" w:rsidRPr="00981405">
        <w:rPr>
          <w:rFonts w:eastAsia="MS Mincho"/>
        </w:rPr>
        <w:t>Judgment,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persons</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groups</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directly</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their</w:t>
      </w:r>
      <w:r w:rsidR="00190923" w:rsidRPr="00981405">
        <w:rPr>
          <w:rFonts w:eastAsia="MS Mincho"/>
        </w:rPr>
        <w:t xml:space="preserve"> </w:t>
      </w:r>
      <w:r w:rsidR="00397032" w:rsidRPr="00981405">
        <w:rPr>
          <w:rFonts w:eastAsia="MS Mincho"/>
        </w:rPr>
        <w:t>authority</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committing</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act</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any</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other</w:t>
      </w:r>
      <w:r w:rsidR="00190923" w:rsidRPr="00981405">
        <w:rPr>
          <w:rFonts w:eastAsia="MS Mincho"/>
        </w:rPr>
        <w:t xml:space="preserve"> </w:t>
      </w:r>
      <w:r w:rsidR="00397032" w:rsidRPr="00981405">
        <w:rPr>
          <w:rFonts w:eastAsia="MS Mincho"/>
        </w:rPr>
        <w:t>acts</w:t>
      </w:r>
      <w:r w:rsidR="00190923" w:rsidRPr="00981405">
        <w:rPr>
          <w:rFonts w:eastAsia="MS Mincho"/>
        </w:rPr>
        <w:t xml:space="preserve"> </w:t>
      </w:r>
      <w:r w:rsidR="00397032" w:rsidRPr="00981405">
        <w:rPr>
          <w:rFonts w:eastAsia="MS Mincho"/>
        </w:rPr>
        <w:t>mentioned</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Article</w:t>
      </w:r>
      <w:r w:rsidR="00190923" w:rsidRPr="00981405">
        <w:rPr>
          <w:rFonts w:eastAsia="MS Mincho"/>
        </w:rPr>
        <w:t xml:space="preserve"> </w:t>
      </w:r>
      <w:r w:rsidR="00397032" w:rsidRPr="00981405">
        <w:rPr>
          <w:rFonts w:eastAsia="MS Mincho"/>
        </w:rPr>
        <w:t>III.</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would</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paradoxical</w:t>
      </w:r>
      <w:r w:rsidR="00190923" w:rsidRPr="00981405">
        <w:rPr>
          <w:rFonts w:eastAsia="MS Mincho"/>
        </w:rPr>
        <w:t xml:space="preserve"> </w:t>
      </w:r>
      <w:r w:rsidR="00397032" w:rsidRPr="00981405">
        <w:rPr>
          <w:rFonts w:eastAsia="MS Mincho"/>
        </w:rPr>
        <w:t>if</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were</w:t>
      </w:r>
      <w:r w:rsidR="00190923" w:rsidRPr="00981405">
        <w:rPr>
          <w:rFonts w:eastAsia="MS Mincho"/>
        </w:rPr>
        <w:t xml:space="preserve"> </w:t>
      </w:r>
      <w:r w:rsidR="00397032" w:rsidRPr="00981405">
        <w:rPr>
          <w:rFonts w:eastAsia="MS Mincho"/>
        </w:rPr>
        <w:t>thus</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so</w:t>
      </w:r>
      <w:r w:rsidR="00190923" w:rsidRPr="00981405">
        <w:rPr>
          <w:rFonts w:eastAsia="MS Mincho"/>
        </w:rPr>
        <w:t xml:space="preserve"> </w:t>
      </w:r>
      <w:r w:rsidR="00397032" w:rsidRPr="00981405">
        <w:rPr>
          <w:rFonts w:eastAsia="MS Mincho"/>
        </w:rPr>
        <w:t>far</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within</w:t>
      </w:r>
      <w:r w:rsidR="00190923" w:rsidRPr="00981405">
        <w:rPr>
          <w:rFonts w:eastAsia="MS Mincho"/>
        </w:rPr>
        <w:t xml:space="preserve"> </w:t>
      </w:r>
      <w:r w:rsidR="00397032" w:rsidRPr="00981405">
        <w:rPr>
          <w:rFonts w:eastAsia="MS Mincho"/>
        </w:rPr>
        <w:t>their</w:t>
      </w:r>
      <w:r w:rsidR="00190923" w:rsidRPr="00981405">
        <w:rPr>
          <w:rFonts w:eastAsia="MS Mincho"/>
        </w:rPr>
        <w:t xml:space="preserve"> </w:t>
      </w:r>
      <w:r w:rsidR="00397032" w:rsidRPr="00981405">
        <w:rPr>
          <w:rFonts w:eastAsia="MS Mincho"/>
        </w:rPr>
        <w:t>power,</w:t>
      </w:r>
      <w:r w:rsidR="00190923" w:rsidRPr="00981405">
        <w:rPr>
          <w:rFonts w:eastAsia="MS Mincho"/>
        </w:rPr>
        <w:t xml:space="preserve"> </w:t>
      </w:r>
      <w:r w:rsidR="00397032" w:rsidRPr="00981405">
        <w:rPr>
          <w:rFonts w:eastAsia="MS Mincho"/>
        </w:rPr>
        <w:t>commission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by</w:t>
      </w:r>
      <w:r w:rsidR="00190923" w:rsidRPr="00981405">
        <w:rPr>
          <w:rFonts w:eastAsia="MS Mincho"/>
        </w:rPr>
        <w:t xml:space="preserve"> </w:t>
      </w:r>
      <w:r w:rsidR="00397032" w:rsidRPr="00981405">
        <w:rPr>
          <w:rFonts w:eastAsia="MS Mincho"/>
        </w:rPr>
        <w:t>persons</w:t>
      </w:r>
      <w:r w:rsidR="00190923" w:rsidRPr="00981405">
        <w:rPr>
          <w:rFonts w:eastAsia="MS Mincho"/>
        </w:rPr>
        <w:t xml:space="preserve"> </w:t>
      </w:r>
      <w:r w:rsidR="00397032" w:rsidRPr="00981405">
        <w:rPr>
          <w:rFonts w:eastAsia="MS Mincho"/>
        </w:rPr>
        <w:t>over</w:t>
      </w:r>
      <w:r w:rsidR="00190923" w:rsidRPr="00981405">
        <w:rPr>
          <w:rFonts w:eastAsia="MS Mincho"/>
        </w:rPr>
        <w:t xml:space="preserve"> </w:t>
      </w:r>
      <w:r w:rsidR="00397032" w:rsidRPr="00981405">
        <w:rPr>
          <w:rFonts w:eastAsia="MS Mincho"/>
        </w:rPr>
        <w:t>whom</w:t>
      </w:r>
      <w:r w:rsidR="00190923" w:rsidRPr="00981405">
        <w:rPr>
          <w:rFonts w:eastAsia="MS Mincho"/>
        </w:rPr>
        <w:t xml:space="preserve"> </w:t>
      </w:r>
      <w:r w:rsidR="00397032" w:rsidRPr="00981405">
        <w:rPr>
          <w:rFonts w:eastAsia="MS Mincho"/>
        </w:rPr>
        <w:t>they</w:t>
      </w:r>
      <w:r w:rsidR="00190923" w:rsidRPr="00981405">
        <w:rPr>
          <w:rFonts w:eastAsia="MS Mincho"/>
        </w:rPr>
        <w:t xml:space="preserve"> </w:t>
      </w:r>
      <w:r w:rsidR="00397032" w:rsidRPr="00981405">
        <w:rPr>
          <w:rFonts w:eastAsia="MS Mincho"/>
        </w:rPr>
        <w:t>have</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certain</w:t>
      </w:r>
      <w:r w:rsidR="00190923" w:rsidRPr="00981405">
        <w:rPr>
          <w:rFonts w:eastAsia="MS Mincho"/>
        </w:rPr>
        <w:t xml:space="preserve"> </w:t>
      </w:r>
      <w:r w:rsidR="00397032" w:rsidRPr="00981405">
        <w:rPr>
          <w:rFonts w:eastAsia="MS Mincho"/>
        </w:rPr>
        <w:t>influence,</w:t>
      </w:r>
      <w:r w:rsidR="00190923" w:rsidRPr="00981405">
        <w:rPr>
          <w:rFonts w:eastAsia="MS Mincho"/>
        </w:rPr>
        <w:t xml:space="preserve"> </w:t>
      </w:r>
      <w:r w:rsidR="00397032" w:rsidRPr="00981405">
        <w:rPr>
          <w:rFonts w:eastAsia="MS Mincho"/>
        </w:rPr>
        <w:t>but</w:t>
      </w:r>
      <w:r w:rsidR="00190923" w:rsidRPr="00981405">
        <w:rPr>
          <w:rFonts w:eastAsia="MS Mincho"/>
        </w:rPr>
        <w:t xml:space="preserve"> </w:t>
      </w:r>
      <w:r w:rsidR="00397032" w:rsidRPr="00981405">
        <w:rPr>
          <w:rFonts w:eastAsia="MS Mincho"/>
        </w:rPr>
        <w:t>were</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forbidden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commit</w:t>
      </w:r>
      <w:r w:rsidR="00190923" w:rsidRPr="00981405">
        <w:rPr>
          <w:rFonts w:eastAsia="MS Mincho"/>
        </w:rPr>
        <w:t xml:space="preserve"> </w:t>
      </w:r>
      <w:r w:rsidR="00397032" w:rsidRPr="00981405">
        <w:rPr>
          <w:rFonts w:eastAsia="MS Mincho"/>
        </w:rPr>
        <w:t>such</w:t>
      </w:r>
      <w:r w:rsidR="00190923" w:rsidRPr="00981405">
        <w:rPr>
          <w:rFonts w:eastAsia="MS Mincho"/>
        </w:rPr>
        <w:t xml:space="preserve"> </w:t>
      </w:r>
      <w:r w:rsidR="00397032" w:rsidRPr="00981405">
        <w:rPr>
          <w:rFonts w:eastAsia="MS Mincho"/>
        </w:rPr>
        <w:t>acts</w:t>
      </w:r>
      <w:r w:rsidR="00190923" w:rsidRPr="00981405">
        <w:rPr>
          <w:rFonts w:eastAsia="MS Mincho"/>
        </w:rPr>
        <w:t xml:space="preserve"> </w:t>
      </w:r>
      <w:r w:rsidR="00397032" w:rsidRPr="00981405">
        <w:rPr>
          <w:rFonts w:eastAsia="MS Mincho"/>
        </w:rPr>
        <w:t>through</w:t>
      </w:r>
      <w:r w:rsidR="00190923" w:rsidRPr="00981405">
        <w:rPr>
          <w:rFonts w:eastAsia="MS Mincho"/>
        </w:rPr>
        <w:t xml:space="preserve"> </w:t>
      </w:r>
      <w:r w:rsidR="00397032" w:rsidRPr="00981405">
        <w:rPr>
          <w:rFonts w:eastAsia="MS Mincho"/>
        </w:rPr>
        <w:t>their</w:t>
      </w:r>
      <w:r w:rsidR="00190923" w:rsidRPr="00981405">
        <w:rPr>
          <w:rFonts w:eastAsia="MS Mincho"/>
        </w:rPr>
        <w:t xml:space="preserve"> </w:t>
      </w:r>
      <w:r w:rsidR="00397032" w:rsidRPr="00981405">
        <w:rPr>
          <w:rFonts w:eastAsia="MS Mincho"/>
        </w:rPr>
        <w:t>own</w:t>
      </w:r>
      <w:r w:rsidR="00190923" w:rsidRPr="00981405">
        <w:rPr>
          <w:rFonts w:eastAsia="MS Mincho"/>
        </w:rPr>
        <w:t xml:space="preserve"> </w:t>
      </w:r>
      <w:r w:rsidR="00397032" w:rsidRPr="00981405">
        <w:rPr>
          <w:rFonts w:eastAsia="MS Mincho"/>
        </w:rPr>
        <w:t>organs,</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persons</w:t>
      </w:r>
      <w:r w:rsidR="00190923" w:rsidRPr="00981405">
        <w:rPr>
          <w:rFonts w:eastAsia="MS Mincho"/>
        </w:rPr>
        <w:t xml:space="preserve"> </w:t>
      </w:r>
      <w:r w:rsidR="00397032" w:rsidRPr="00981405">
        <w:rPr>
          <w:rFonts w:eastAsia="MS Mincho"/>
        </w:rPr>
        <w:t>over</w:t>
      </w:r>
      <w:r w:rsidR="00190923" w:rsidRPr="00981405">
        <w:rPr>
          <w:rFonts w:eastAsia="MS Mincho"/>
        </w:rPr>
        <w:t xml:space="preserve"> </w:t>
      </w:r>
      <w:r w:rsidR="00397032" w:rsidRPr="00981405">
        <w:rPr>
          <w:rFonts w:eastAsia="MS Mincho"/>
        </w:rPr>
        <w:t>whom</w:t>
      </w:r>
      <w:r w:rsidR="00190923" w:rsidRPr="00981405">
        <w:rPr>
          <w:rFonts w:eastAsia="MS Mincho"/>
        </w:rPr>
        <w:t xml:space="preserve"> </w:t>
      </w:r>
      <w:r w:rsidR="00397032" w:rsidRPr="00981405">
        <w:rPr>
          <w:rFonts w:eastAsia="MS Mincho"/>
        </w:rPr>
        <w:t>they</w:t>
      </w:r>
      <w:r w:rsidR="00190923" w:rsidRPr="00981405">
        <w:rPr>
          <w:rFonts w:eastAsia="MS Mincho"/>
        </w:rPr>
        <w:t xml:space="preserve"> </w:t>
      </w:r>
      <w:r w:rsidR="00397032" w:rsidRPr="00981405">
        <w:rPr>
          <w:rFonts w:eastAsia="MS Mincho"/>
        </w:rPr>
        <w:t>have</w:t>
      </w:r>
      <w:r w:rsidR="00190923" w:rsidRPr="00981405">
        <w:rPr>
          <w:rFonts w:eastAsia="MS Mincho"/>
        </w:rPr>
        <w:t xml:space="preserve"> </w:t>
      </w:r>
      <w:r w:rsidR="00397032" w:rsidRPr="00981405">
        <w:rPr>
          <w:rFonts w:eastAsia="MS Mincho"/>
        </w:rPr>
        <w:t>such</w:t>
      </w:r>
      <w:r w:rsidR="00190923" w:rsidRPr="00981405">
        <w:rPr>
          <w:rFonts w:eastAsia="MS Mincho"/>
        </w:rPr>
        <w:t xml:space="preserve"> </w:t>
      </w:r>
      <w:r w:rsidR="00397032" w:rsidRPr="00981405">
        <w:rPr>
          <w:rFonts w:eastAsia="MS Mincho"/>
        </w:rPr>
        <w:t>firm</w:t>
      </w:r>
      <w:r w:rsidR="00190923" w:rsidRPr="00981405">
        <w:rPr>
          <w:rFonts w:eastAsia="MS Mincho"/>
        </w:rPr>
        <w:t xml:space="preserve"> </w:t>
      </w:r>
      <w:r w:rsidR="00397032" w:rsidRPr="00981405">
        <w:rPr>
          <w:rFonts w:eastAsia="MS Mincho"/>
        </w:rPr>
        <w:t>control</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their</w:t>
      </w:r>
      <w:r w:rsidR="00190923" w:rsidRPr="00981405">
        <w:rPr>
          <w:rFonts w:eastAsia="MS Mincho"/>
        </w:rPr>
        <w:t xml:space="preserve"> </w:t>
      </w:r>
      <w:r w:rsidR="00397032" w:rsidRPr="00981405">
        <w:rPr>
          <w:rFonts w:eastAsia="MS Mincho"/>
        </w:rPr>
        <w:t>conduct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attributable</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concerned</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international</w:t>
      </w:r>
      <w:r w:rsidR="00190923" w:rsidRPr="00981405">
        <w:rPr>
          <w:rFonts w:eastAsia="MS Mincho"/>
        </w:rPr>
        <w:t xml:space="preserve"> </w:t>
      </w:r>
      <w:r w:rsidR="00397032" w:rsidRPr="00981405">
        <w:rPr>
          <w:rFonts w:eastAsia="MS Mincho"/>
        </w:rPr>
        <w:t>law.</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short,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lastRenderedPageBreak/>
        <w:t>obligation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necessarily</w:t>
      </w:r>
      <w:r w:rsidR="00190923" w:rsidRPr="00981405">
        <w:rPr>
          <w:rFonts w:eastAsia="MS Mincho"/>
        </w:rPr>
        <w:t xml:space="preserve"> </w:t>
      </w:r>
      <w:r w:rsidR="00397032" w:rsidRPr="00981405">
        <w:rPr>
          <w:rFonts w:eastAsia="MS Mincho"/>
        </w:rPr>
        <w:t>implies</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prohibition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commission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Pr="00981405">
        <w:rPr>
          <w:rFonts w:eastAsia="MS Mincho"/>
        </w:rPr>
        <w:t>”</w:t>
      </w:r>
      <w:r w:rsidR="00397032" w:rsidRPr="00981405">
        <w:rPr>
          <w:rStyle w:val="FootnoteReference"/>
        </w:rPr>
        <w:footnoteReference w:id="256"/>
      </w:r>
    </w:p>
    <w:p w:rsidR="00397032" w:rsidRPr="00981405" w:rsidRDefault="00397032" w:rsidP="00D97463">
      <w:pPr>
        <w:pStyle w:val="SingleTxt"/>
        <w:rPr>
          <w:rFonts w:eastAsia="MS Mincho"/>
        </w:rPr>
      </w:pPr>
      <w:r w:rsidRPr="00981405">
        <w:rPr>
          <w:rFonts w:eastAsia="MS Mincho"/>
        </w:rPr>
        <w:t>(10)</w:t>
      </w:r>
      <w:r w:rsidRPr="00981405">
        <w:rPr>
          <w:rFonts w:eastAsia="MS Mincho"/>
        </w:rPr>
        <w:tab/>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also</w:t>
      </w:r>
      <w:r w:rsidR="00190923" w:rsidRPr="00981405">
        <w:rPr>
          <w:rFonts w:eastAsia="MS Mincho"/>
        </w:rPr>
        <w:t xml:space="preserve"> </w:t>
      </w:r>
      <w:r w:rsidRPr="00981405">
        <w:rPr>
          <w:rFonts w:eastAsia="MS Mincho"/>
        </w:rPr>
        <w:t>decided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substantive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reflected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I</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face,</w:t>
      </w:r>
      <w:r w:rsidR="00190923" w:rsidRPr="00981405">
        <w:rPr>
          <w:rFonts w:eastAsia="MS Mincho"/>
        </w:rPr>
        <w:t xml:space="preserve"> </w:t>
      </w:r>
      <w:r w:rsidRPr="00981405">
        <w:rPr>
          <w:rFonts w:eastAsia="MS Mincho"/>
        </w:rPr>
        <w:t>limited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territory</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rather,</w:t>
      </w:r>
      <w:r w:rsidR="00190923" w:rsidRPr="00981405">
        <w:rPr>
          <w:rFonts w:eastAsia="MS Mincho"/>
        </w:rPr>
        <w:t xml:space="preserve"> </w:t>
      </w:r>
      <w:r w:rsidRPr="00981405">
        <w:rPr>
          <w:rFonts w:eastAsia="MS Mincho"/>
        </w:rPr>
        <w:t>applied</w:t>
      </w:r>
      <w:r w:rsidR="00190923" w:rsidRPr="00981405">
        <w:rPr>
          <w:rFonts w:eastAsia="MS Mincho"/>
        </w:rPr>
        <w:t xml:space="preserve"> </w:t>
      </w:r>
      <w:r w:rsidR="00B92E2C" w:rsidRPr="00981405">
        <w:rPr>
          <w:rFonts w:eastAsia="MS Mincho"/>
        </w:rPr>
        <w:t>“</w:t>
      </w:r>
      <w:r w:rsidRPr="00981405">
        <w:rPr>
          <w:rFonts w:eastAsia="MS Mincho"/>
        </w:rPr>
        <w:t>to</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wherever</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may</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acting</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may</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able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act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ways</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meeting</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question.</w:t>
      </w:r>
      <w:r w:rsidR="00B92E2C" w:rsidRPr="00981405">
        <w:rPr>
          <w:rFonts w:eastAsia="MS Mincho"/>
        </w:rPr>
        <w:t>”</w:t>
      </w:r>
      <w:r w:rsidRPr="00981405">
        <w:rPr>
          <w:rStyle w:val="FootnoteReference"/>
        </w:rPr>
        <w:footnoteReference w:id="257"/>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(11)</w:t>
      </w:r>
      <w:r w:rsidRPr="00981405">
        <w:rPr>
          <w:rFonts w:eastAsia="MS Mincho"/>
        </w:rPr>
        <w:tab/>
        <w:t>A</w:t>
      </w:r>
      <w:r w:rsidR="00190923" w:rsidRPr="00981405">
        <w:rPr>
          <w:rFonts w:eastAsia="MS Mincho"/>
        </w:rPr>
        <w:t xml:space="preserve"> </w:t>
      </w:r>
      <w:r w:rsidRPr="00981405">
        <w:rPr>
          <w:rFonts w:eastAsia="MS Mincho"/>
        </w:rPr>
        <w:t>breach</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commit</w:t>
      </w:r>
      <w:r w:rsidR="00190923" w:rsidRPr="00981405">
        <w:rPr>
          <w:rFonts w:eastAsia="MS Mincho"/>
        </w:rPr>
        <w:t xml:space="preserve"> </w:t>
      </w:r>
      <w:r w:rsidRPr="00981405">
        <w:rPr>
          <w:rFonts w:eastAsia="MS Mincho"/>
        </w:rPr>
        <w:t>directly</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implicates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if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conduct</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issue</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attributable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pursuant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rules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sidDel="006A599C">
        <w:rPr>
          <w:rFonts w:eastAsia="MS Mincho"/>
        </w:rPr>
        <w:t>Indeed,</w:t>
      </w:r>
      <w:r w:rsidR="00190923" w:rsidRPr="00981405">
        <w:rPr>
          <w:rFonts w:eastAsia="MS Mincho"/>
        </w:rPr>
        <w:t xml:space="preserve"> </w:t>
      </w:r>
      <w:r w:rsidRPr="00981405" w:rsidDel="006A599C">
        <w:rPr>
          <w:rFonts w:eastAsia="MS Mincho"/>
        </w:rPr>
        <w:t>in</w:t>
      </w:r>
      <w:r w:rsidR="00190923" w:rsidRPr="00981405">
        <w:rPr>
          <w:rFonts w:eastAsia="MS Mincho"/>
        </w:rPr>
        <w:t xml:space="preserve"> </w:t>
      </w:r>
      <w:r w:rsidRPr="00981405" w:rsidDel="006A599C">
        <w:rPr>
          <w:rFonts w:eastAsia="MS Mincho"/>
        </w:rPr>
        <w:t>the</w:t>
      </w:r>
      <w:r w:rsidR="00190923" w:rsidRPr="00981405">
        <w:rPr>
          <w:rFonts w:eastAsia="MS Mincho"/>
        </w:rPr>
        <w:t xml:space="preserve"> </w:t>
      </w:r>
      <w:r w:rsidRPr="00981405" w:rsidDel="006A599C">
        <w:rPr>
          <w:rFonts w:eastAsia="MS Mincho"/>
        </w:rPr>
        <w:t>context</w:t>
      </w:r>
      <w:r w:rsidR="00190923" w:rsidRPr="00981405">
        <w:rPr>
          <w:rFonts w:eastAsia="MS Mincho"/>
        </w:rPr>
        <w:t xml:space="preserve"> </w:t>
      </w:r>
      <w:r w:rsidRPr="00981405" w:rsidDel="006A599C">
        <w:rPr>
          <w:rFonts w:eastAsia="MS Mincho"/>
        </w:rPr>
        <w:t>of</w:t>
      </w:r>
      <w:r w:rsidR="00190923" w:rsidRPr="00981405">
        <w:rPr>
          <w:rFonts w:eastAsia="MS Mincho"/>
        </w:rPr>
        <w:t xml:space="preserve"> </w:t>
      </w:r>
      <w:r w:rsidRPr="00981405" w:rsidDel="006A599C">
        <w:rPr>
          <w:rFonts w:eastAsia="MS Mincho"/>
        </w:rPr>
        <w:t>disputes</w:t>
      </w:r>
      <w:r w:rsidR="00190923" w:rsidRPr="00981405">
        <w:rPr>
          <w:rFonts w:eastAsia="MS Mincho"/>
        </w:rPr>
        <w:t xml:space="preserve"> </w:t>
      </w:r>
      <w:r w:rsidRPr="00981405" w:rsidDel="006A599C">
        <w:rPr>
          <w:rFonts w:eastAsia="MS Mincho"/>
        </w:rPr>
        <w:t>that</w:t>
      </w:r>
      <w:r w:rsidR="00190923" w:rsidRPr="00981405">
        <w:rPr>
          <w:rFonts w:eastAsia="MS Mincho"/>
        </w:rPr>
        <w:t xml:space="preserve"> </w:t>
      </w:r>
      <w:r w:rsidRPr="00981405" w:rsidDel="006A599C">
        <w:rPr>
          <w:rFonts w:eastAsia="MS Mincho"/>
        </w:rPr>
        <w:t>may</w:t>
      </w:r>
      <w:r w:rsidR="00190923" w:rsidRPr="00981405">
        <w:rPr>
          <w:rFonts w:eastAsia="MS Mincho"/>
        </w:rPr>
        <w:t xml:space="preserve"> </w:t>
      </w:r>
      <w:r w:rsidRPr="00981405" w:rsidDel="006A599C">
        <w:rPr>
          <w:rFonts w:eastAsia="MS Mincho"/>
        </w:rPr>
        <w:t>arise</w:t>
      </w:r>
      <w:r w:rsidR="00190923" w:rsidRPr="00981405">
        <w:rPr>
          <w:rFonts w:eastAsia="MS Mincho"/>
        </w:rPr>
        <w:t xml:space="preserve"> </w:t>
      </w:r>
      <w:r w:rsidRPr="00981405" w:rsidDel="006A599C">
        <w:rPr>
          <w:rFonts w:eastAsia="MS Mincho"/>
        </w:rPr>
        <w:t>under</w:t>
      </w:r>
      <w:r w:rsidR="00190923" w:rsidRPr="00981405">
        <w:rPr>
          <w:rFonts w:eastAsia="MS Mincho"/>
        </w:rPr>
        <w:t xml:space="preserve"> </w:t>
      </w:r>
      <w:r w:rsidRPr="00981405" w:rsidDel="006A599C">
        <w:rPr>
          <w:rFonts w:eastAsia="MS Mincho"/>
        </w:rPr>
        <w:t>the</w:t>
      </w:r>
      <w:r w:rsidR="00190923" w:rsidRPr="00981405">
        <w:rPr>
          <w:rFonts w:eastAsia="MS Mincho"/>
        </w:rPr>
        <w:t xml:space="preserve"> </w:t>
      </w:r>
      <w:r w:rsidRPr="00981405" w:rsidDel="006A599C">
        <w:rPr>
          <w:rFonts w:eastAsia="MS Mincho"/>
        </w:rPr>
        <w:t>Genocide</w:t>
      </w:r>
      <w:r w:rsidR="00190923" w:rsidRPr="00981405">
        <w:rPr>
          <w:rFonts w:eastAsia="MS Mincho"/>
        </w:rPr>
        <w:t xml:space="preserve"> </w:t>
      </w:r>
      <w:r w:rsidRPr="00981405" w:rsidDel="006A599C">
        <w:rPr>
          <w:rFonts w:eastAsia="MS Mincho"/>
        </w:rPr>
        <w:t>Convention,</w:t>
      </w:r>
      <w:r w:rsidR="00190923" w:rsidRPr="00981405">
        <w:rPr>
          <w:rFonts w:eastAsia="MS Mincho"/>
        </w:rPr>
        <w:t xml:space="preserve"> </w:t>
      </w:r>
      <w:r w:rsidRPr="00981405" w:rsidDel="006A599C">
        <w:rPr>
          <w:rFonts w:eastAsia="MS Mincho"/>
        </w:rPr>
        <w:t>Article</w:t>
      </w:r>
      <w:r w:rsidR="00190923" w:rsidRPr="00981405">
        <w:rPr>
          <w:rFonts w:eastAsia="MS Mincho"/>
        </w:rPr>
        <w:t xml:space="preserve"> </w:t>
      </w:r>
      <w:r w:rsidRPr="00981405" w:rsidDel="006A599C">
        <w:rPr>
          <w:rFonts w:eastAsia="MS Mincho"/>
        </w:rPr>
        <w:t>IX</w:t>
      </w:r>
      <w:r w:rsidR="00190923" w:rsidRPr="00981405">
        <w:rPr>
          <w:rFonts w:eastAsia="MS Mincho"/>
        </w:rPr>
        <w:t xml:space="preserve"> </w:t>
      </w:r>
      <w:r w:rsidRPr="00981405" w:rsidDel="006A599C">
        <w:rPr>
          <w:rFonts w:eastAsia="MS Mincho"/>
        </w:rPr>
        <w:t>refers,</w:t>
      </w:r>
      <w:r w:rsidR="00190923" w:rsidRPr="00981405">
        <w:rPr>
          <w:rFonts w:eastAsia="MS Mincho"/>
        </w:rPr>
        <w:t xml:space="preserve"> </w:t>
      </w:r>
      <w:r w:rsidRPr="00981405">
        <w:rPr>
          <w:rFonts w:eastAsia="MS Mincho"/>
          <w:i/>
          <w:iCs/>
        </w:rPr>
        <w:t>inter</w:t>
      </w:r>
      <w:r w:rsidR="00190923" w:rsidRPr="00981405">
        <w:rPr>
          <w:rFonts w:eastAsia="MS Mincho"/>
          <w:i/>
          <w:iCs/>
        </w:rPr>
        <w:t xml:space="preserve"> </w:t>
      </w:r>
      <w:r w:rsidRPr="00981405">
        <w:rPr>
          <w:rFonts w:eastAsia="MS Mincho"/>
          <w:i/>
          <w:iCs/>
        </w:rPr>
        <w:t>alia</w:t>
      </w:r>
      <w:r w:rsidRPr="00981405" w:rsidDel="006A599C">
        <w:rPr>
          <w:rFonts w:eastAsia="MS Mincho"/>
        </w:rPr>
        <w:t>,</w:t>
      </w:r>
      <w:r w:rsidR="00190923" w:rsidRPr="00981405">
        <w:rPr>
          <w:rFonts w:eastAsia="MS Mincho"/>
        </w:rPr>
        <w:t xml:space="preserve"> </w:t>
      </w:r>
      <w:r w:rsidRPr="00981405" w:rsidDel="006A599C">
        <w:rPr>
          <w:rFonts w:eastAsia="MS Mincho"/>
        </w:rPr>
        <w:t>to</w:t>
      </w:r>
      <w:r w:rsidR="00190923" w:rsidRPr="00981405">
        <w:rPr>
          <w:rFonts w:eastAsia="MS Mincho"/>
        </w:rPr>
        <w:t xml:space="preserve"> </w:t>
      </w:r>
      <w:r w:rsidRPr="00981405" w:rsidDel="006A599C">
        <w:rPr>
          <w:rFonts w:eastAsia="MS Mincho"/>
        </w:rPr>
        <w:t>disputes</w:t>
      </w:r>
      <w:r w:rsidR="00190923" w:rsidRPr="00981405">
        <w:rPr>
          <w:rFonts w:eastAsia="MS Mincho"/>
        </w:rPr>
        <w:t xml:space="preserve"> </w:t>
      </w:r>
      <w:r w:rsidR="00B92E2C" w:rsidRPr="00981405">
        <w:rPr>
          <w:rFonts w:eastAsia="MS Mincho"/>
        </w:rPr>
        <w:t>“</w:t>
      </w:r>
      <w:r w:rsidRPr="00981405" w:rsidDel="006A599C">
        <w:rPr>
          <w:rFonts w:eastAsia="MS Mincho"/>
        </w:rPr>
        <w:t>relating</w:t>
      </w:r>
      <w:r w:rsidR="00190923" w:rsidRPr="00981405">
        <w:rPr>
          <w:rFonts w:eastAsia="MS Mincho"/>
        </w:rPr>
        <w:t xml:space="preserve"> </w:t>
      </w:r>
      <w:r w:rsidRPr="00981405" w:rsidDel="006A599C">
        <w:rPr>
          <w:rFonts w:eastAsia="MS Mincho"/>
        </w:rPr>
        <w:t>to</w:t>
      </w:r>
      <w:r w:rsidR="00190923" w:rsidRPr="00981405">
        <w:rPr>
          <w:rFonts w:eastAsia="MS Mincho"/>
        </w:rPr>
        <w:t xml:space="preserve"> </w:t>
      </w:r>
      <w:r w:rsidRPr="00981405" w:rsidDel="006A599C">
        <w:rPr>
          <w:rFonts w:eastAsia="MS Mincho"/>
        </w:rPr>
        <w:t>the</w:t>
      </w:r>
      <w:r w:rsidR="00190923" w:rsidRPr="00981405">
        <w:rPr>
          <w:rFonts w:eastAsia="MS Mincho"/>
        </w:rPr>
        <w:t xml:space="preserve"> </w:t>
      </w:r>
      <w:r w:rsidRPr="00981405" w:rsidDel="006A599C">
        <w:rPr>
          <w:rFonts w:eastAsia="MS Mincho"/>
        </w:rPr>
        <w:t>responsibility</w:t>
      </w:r>
      <w:r w:rsidR="00190923" w:rsidRPr="00981405">
        <w:rPr>
          <w:rFonts w:eastAsia="MS Mincho"/>
        </w:rPr>
        <w:t xml:space="preserve"> </w:t>
      </w:r>
      <w:r w:rsidRPr="00981405" w:rsidDel="006A599C">
        <w:rPr>
          <w:rFonts w:eastAsia="MS Mincho"/>
        </w:rPr>
        <w:t>of</w:t>
      </w:r>
      <w:r w:rsidR="00190923" w:rsidRPr="00981405">
        <w:rPr>
          <w:rFonts w:eastAsia="MS Mincho"/>
        </w:rPr>
        <w:t xml:space="preserve"> </w:t>
      </w:r>
      <w:r w:rsidRPr="00981405" w:rsidDel="006A599C">
        <w:rPr>
          <w:rFonts w:eastAsia="MS Mincho"/>
        </w:rPr>
        <w:t>a</w:t>
      </w:r>
      <w:r w:rsidR="00190923" w:rsidRPr="00981405">
        <w:rPr>
          <w:rFonts w:eastAsia="MS Mincho"/>
        </w:rPr>
        <w:t xml:space="preserve"> </w:t>
      </w:r>
      <w:r w:rsidRPr="00981405" w:rsidDel="006A599C">
        <w:rPr>
          <w:rFonts w:eastAsia="MS Mincho"/>
        </w:rPr>
        <w:t>State</w:t>
      </w:r>
      <w:r w:rsidR="00190923" w:rsidRPr="00981405">
        <w:rPr>
          <w:rFonts w:eastAsia="MS Mincho"/>
        </w:rPr>
        <w:t xml:space="preserve"> </w:t>
      </w:r>
      <w:r w:rsidRPr="00981405" w:rsidDel="006A599C">
        <w:rPr>
          <w:rFonts w:eastAsia="MS Mincho"/>
        </w:rPr>
        <w:t>for</w:t>
      </w:r>
      <w:r w:rsidR="00190923" w:rsidRPr="00981405">
        <w:rPr>
          <w:rFonts w:eastAsia="MS Mincho"/>
        </w:rPr>
        <w:t xml:space="preserve"> </w:t>
      </w:r>
      <w:r w:rsidRPr="00981405" w:rsidDel="006A599C">
        <w:rPr>
          <w:rFonts w:eastAsia="MS Mincho"/>
        </w:rPr>
        <w:t>genocide.</w:t>
      </w:r>
      <w:r w:rsidR="00B92E2C" w:rsidRPr="00981405">
        <w:rPr>
          <w:rFonts w:eastAsia="MS Mincho"/>
        </w:rPr>
        <w:t>”</w:t>
      </w:r>
      <w:r w:rsidR="00190923" w:rsidRPr="00981405">
        <w:rPr>
          <w:rFonts w:eastAsia="MS Mincho"/>
        </w:rPr>
        <w:t xml:space="preserve"> </w:t>
      </w:r>
      <w:r w:rsidRPr="00981405">
        <w:rPr>
          <w:rFonts w:eastAsia="MS Mincho"/>
        </w:rPr>
        <w:t>Although</w:t>
      </w:r>
      <w:r w:rsidR="00190923" w:rsidRPr="00981405">
        <w:rPr>
          <w:rFonts w:eastAsia="MS Mincho"/>
        </w:rPr>
        <w:t xml:space="preserve"> </w:t>
      </w:r>
      <w:r w:rsidRPr="00981405">
        <w:rPr>
          <w:rFonts w:eastAsia="MS Mincho"/>
        </w:rPr>
        <w:t>much</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focus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upon</w:t>
      </w:r>
      <w:r w:rsidR="00190923" w:rsidRPr="00981405">
        <w:rPr>
          <w:rFonts w:eastAsia="MS Mincho"/>
        </w:rPr>
        <w:t xml:space="preserve"> </w:t>
      </w:r>
      <w:r w:rsidRPr="00981405">
        <w:rPr>
          <w:rFonts w:eastAsia="MS Mincho"/>
        </w:rPr>
        <w:t>prosecuting</w:t>
      </w:r>
      <w:r w:rsidR="00190923" w:rsidRPr="00981405">
        <w:rPr>
          <w:rFonts w:eastAsia="MS Mincho"/>
        </w:rPr>
        <w:t xml:space="preserve"> </w:t>
      </w:r>
      <w:r w:rsidRPr="00981405">
        <w:rPr>
          <w:rFonts w:eastAsia="MS Mincho"/>
        </w:rPr>
        <w:t>individuals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crime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stressed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breach</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D97463">
        <w:rPr>
          <w:rFonts w:eastAsia="MS Mincho"/>
          <w:i/>
          <w:iCs/>
        </w:rPr>
        <w:t>criminal</w:t>
      </w:r>
      <w:r w:rsidR="00190923" w:rsidRPr="00981405">
        <w:rPr>
          <w:rFonts w:eastAsia="MS Mincho"/>
        </w:rPr>
        <w:t xml:space="preserve"> </w:t>
      </w:r>
      <w:r w:rsidRPr="00981405">
        <w:rPr>
          <w:rFonts w:eastAsia="MS Mincho"/>
        </w:rPr>
        <w:t>violation</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rather,</w:t>
      </w:r>
      <w:r w:rsidR="00190923" w:rsidRPr="00981405">
        <w:rPr>
          <w:rFonts w:eastAsia="MS Mincho"/>
        </w:rPr>
        <w:t xml:space="preserve"> </w:t>
      </w:r>
      <w:r w:rsidRPr="00981405">
        <w:rPr>
          <w:rFonts w:eastAsia="MS Mincho"/>
        </w:rPr>
        <w:t>concerns</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breach</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law</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engages</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responsibility.</w:t>
      </w:r>
      <w:bookmarkStart w:id="98" w:name="_Ref281301411"/>
      <w:r w:rsidRPr="00981405">
        <w:rPr>
          <w:rStyle w:val="FootnoteReference"/>
        </w:rPr>
        <w:footnoteReference w:id="258"/>
      </w:r>
      <w:bookmarkEnd w:id="98"/>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approach</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consistent</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views</w:t>
      </w:r>
      <w:r w:rsidR="00190923" w:rsidRPr="00981405">
        <w:rPr>
          <w:rFonts w:eastAsia="MS Mincho"/>
        </w:rPr>
        <w:t xml:space="preserve"> </w:t>
      </w:r>
      <w:r w:rsidRPr="00981405">
        <w:rPr>
          <w:rFonts w:eastAsia="MS Mincho"/>
        </w:rPr>
        <w:t>previously</w:t>
      </w:r>
      <w:r w:rsidR="00190923" w:rsidRPr="00981405">
        <w:rPr>
          <w:rFonts w:eastAsia="MS Mincho"/>
        </w:rPr>
        <w:t xml:space="preserve"> </w:t>
      </w:r>
      <w:r w:rsidRPr="00981405">
        <w:rPr>
          <w:rFonts w:eastAsia="MS Mincho"/>
        </w:rPr>
        <w:t>expressed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Pr="00981405">
        <w:rPr>
          <w:rStyle w:val="FootnoteReference"/>
        </w:rPr>
        <w:footnoteReference w:id="259"/>
      </w:r>
      <w:r w:rsidR="00190923" w:rsidRPr="00981405">
        <w:rPr>
          <w:rFonts w:eastAsia="MS Mincho"/>
        </w:rPr>
        <w:t xml:space="preserve"> </w:t>
      </w:r>
      <w:r w:rsidRPr="00981405">
        <w:rPr>
          <w:rFonts w:eastAsia="MS Mincho"/>
        </w:rPr>
        <w:t>including</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commentary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2001</w:t>
      </w:r>
      <w:r w:rsidR="00190923" w:rsidRPr="00981405">
        <w:rPr>
          <w:rFonts w:eastAsia="MS Mincho"/>
        </w:rPr>
        <w:t xml:space="preserve"> </w:t>
      </w:r>
      <w:r w:rsidRPr="00981405">
        <w:rPr>
          <w:rFonts w:eastAsia="MS Mincho"/>
        </w:rPr>
        <w:t>articles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internationally</w:t>
      </w:r>
      <w:r w:rsidR="00190923" w:rsidRPr="00981405">
        <w:rPr>
          <w:rFonts w:eastAsia="MS Mincho"/>
        </w:rPr>
        <w:t xml:space="preserve"> </w:t>
      </w:r>
      <w:r w:rsidRPr="00981405">
        <w:rPr>
          <w:rFonts w:eastAsia="MS Mincho"/>
        </w:rPr>
        <w:t>wrongful</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00B92E2C" w:rsidRPr="00981405">
        <w:rPr>
          <w:rFonts w:eastAsia="MS Mincho"/>
        </w:rPr>
        <w:t>“</w:t>
      </w:r>
      <w:r w:rsidRPr="00981405">
        <w:rPr>
          <w:rFonts w:eastAsia="MS Mincho"/>
        </w:rPr>
        <w:t>Where</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law</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committed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officials,</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will</w:t>
      </w:r>
      <w:r w:rsidR="00190923" w:rsidRPr="00981405">
        <w:rPr>
          <w:rFonts w:eastAsia="MS Mincho"/>
        </w:rPr>
        <w:t xml:space="preserve"> </w:t>
      </w:r>
      <w:r w:rsidRPr="00981405">
        <w:rPr>
          <w:rFonts w:eastAsia="MS Mincho"/>
        </w:rPr>
        <w:t>often</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case</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itself</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responsible</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question</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failure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them.</w:t>
      </w:r>
      <w:r w:rsidR="00B92E2C" w:rsidRPr="00981405">
        <w:rPr>
          <w:rFonts w:eastAsia="MS Mincho"/>
        </w:rPr>
        <w:t>”</w:t>
      </w:r>
      <w:r w:rsidRPr="00981405">
        <w:rPr>
          <w:rStyle w:val="FootnoteReference"/>
        </w:rPr>
        <w:footnoteReference w:id="260"/>
      </w:r>
    </w:p>
    <w:p w:rsidR="00397032" w:rsidRPr="00981405" w:rsidRDefault="00397032" w:rsidP="00D97463">
      <w:pPr>
        <w:pStyle w:val="SingleTxt"/>
        <w:rPr>
          <w:rFonts w:eastAsia="MS Mincho"/>
        </w:rPr>
      </w:pPr>
      <w:r w:rsidRPr="00981405">
        <w:rPr>
          <w:rFonts w:eastAsia="MS Mincho"/>
        </w:rPr>
        <w:t>(12)</w:t>
      </w:r>
      <w:r w:rsidRPr="00981405">
        <w:rPr>
          <w:rFonts w:eastAsia="MS Mincho"/>
        </w:rPr>
        <w:tab/>
        <w:t>Second,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undertaking</w:t>
      </w:r>
      <w:r w:rsidR="00190923" w:rsidRPr="00981405">
        <w:rPr>
          <w:rFonts w:eastAsia="MS Mincho"/>
        </w:rPr>
        <w:t xml:space="preserve"> </w:t>
      </w:r>
      <w:r w:rsidRPr="00981405">
        <w:rPr>
          <w:rFonts w:eastAsia="MS Mincho"/>
        </w:rPr>
        <w:t>set</w:t>
      </w:r>
      <w:r w:rsidR="00190923" w:rsidRPr="00981405">
        <w:rPr>
          <w:rFonts w:eastAsia="MS Mincho"/>
        </w:rPr>
        <w:t xml:space="preserve"> </w:t>
      </w:r>
      <w:r w:rsidRPr="00981405">
        <w:rPr>
          <w:rFonts w:eastAsia="MS Mincho"/>
        </w:rPr>
        <w:t>forth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00B92E2C" w:rsidRPr="00981405">
        <w:rPr>
          <w:rFonts w:eastAsia="MS Mincho"/>
        </w:rPr>
        <w:t>“</w:t>
      </w:r>
      <w:r w:rsidRPr="00981405">
        <w:rPr>
          <w:rFonts w:eastAsia="MS Mincho"/>
        </w:rPr>
        <w:t>to</w:t>
      </w:r>
      <w:r w:rsidR="00190923" w:rsidRPr="00981405">
        <w:rPr>
          <w:rFonts w:eastAsia="MS Mincho"/>
        </w:rPr>
        <w:t xml:space="preserve"> </w:t>
      </w:r>
      <w:r w:rsidRPr="00981405">
        <w:rPr>
          <w:rFonts w:eastAsia="MS Mincho"/>
        </w:rPr>
        <w:t>employ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means</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disposal</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groups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directly</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authority</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committing</w:t>
      </w:r>
      <w:r w:rsidR="00B92E2C" w:rsidRPr="00981405">
        <w:rPr>
          <w:rFonts w:eastAsia="MS Mincho"/>
        </w:rPr>
        <w:t>”</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acts.</w:t>
      </w:r>
      <w:r w:rsidRPr="00981405">
        <w:rPr>
          <w:rStyle w:val="FootnoteReference"/>
        </w:rPr>
        <w:footnoteReference w:id="261"/>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latter,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Party</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expected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use</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best</w:t>
      </w:r>
      <w:r w:rsidR="00190923" w:rsidRPr="00981405">
        <w:rPr>
          <w:rFonts w:eastAsia="MS Mincho"/>
        </w:rPr>
        <w:t xml:space="preserve"> </w:t>
      </w:r>
      <w:r w:rsidRPr="00981405">
        <w:rPr>
          <w:rFonts w:eastAsia="MS Mincho"/>
        </w:rPr>
        <w:t>efforts</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due</w:t>
      </w:r>
      <w:r w:rsidR="00190923" w:rsidRPr="00981405">
        <w:rPr>
          <w:rFonts w:eastAsia="MS Mincho"/>
        </w:rPr>
        <w:t xml:space="preserve"> </w:t>
      </w:r>
      <w:r w:rsidRPr="00981405">
        <w:rPr>
          <w:rFonts w:eastAsia="MS Mincho"/>
        </w:rPr>
        <w:t>diligence</w:t>
      </w:r>
      <w:r w:rsidR="00190923" w:rsidRPr="00981405">
        <w:rPr>
          <w:rFonts w:eastAsia="MS Mincho"/>
        </w:rPr>
        <w:t xml:space="preserve"> </w:t>
      </w:r>
      <w:r w:rsidRPr="00981405">
        <w:rPr>
          <w:rFonts w:eastAsia="MS Mincho"/>
        </w:rPr>
        <w:t>standard)</w:t>
      </w:r>
      <w:r w:rsidR="00190923" w:rsidRPr="00981405">
        <w:rPr>
          <w:rFonts w:eastAsia="MS Mincho"/>
        </w:rPr>
        <w:t xml:space="preserve"> </w:t>
      </w:r>
      <w:r w:rsidRPr="00981405">
        <w:rPr>
          <w:rFonts w:eastAsia="MS Mincho"/>
        </w:rPr>
        <w:t>when</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a</w:t>
      </w:r>
      <w:r w:rsidR="00190923" w:rsidRPr="00981405">
        <w:rPr>
          <w:rFonts w:eastAsia="MS Mincho"/>
        </w:rPr>
        <w:t xml:space="preserve"> </w:t>
      </w:r>
      <w:r w:rsidR="00B92E2C" w:rsidRPr="00981405">
        <w:rPr>
          <w:rFonts w:eastAsia="MS Mincho"/>
        </w:rPr>
        <w:t>“</w:t>
      </w:r>
      <w:r w:rsidRPr="00981405">
        <w:rPr>
          <w:rFonts w:eastAsia="MS Mincho"/>
        </w:rPr>
        <w:t>capacity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influence</w:t>
      </w:r>
      <w:r w:rsidR="00190923" w:rsidRPr="00981405">
        <w:rPr>
          <w:rFonts w:eastAsia="MS Mincho"/>
        </w:rPr>
        <w:t xml:space="preserve"> </w:t>
      </w:r>
      <w:r w:rsidRPr="00981405">
        <w:rPr>
          <w:rFonts w:eastAsia="MS Mincho"/>
        </w:rPr>
        <w:t>effectively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likely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commit,</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already</w:t>
      </w:r>
      <w:r w:rsidR="00190923" w:rsidRPr="00981405">
        <w:rPr>
          <w:rFonts w:eastAsia="MS Mincho"/>
        </w:rPr>
        <w:t xml:space="preserve"> </w:t>
      </w:r>
      <w:r w:rsidRPr="00981405">
        <w:rPr>
          <w:rFonts w:eastAsia="MS Mincho"/>
        </w:rPr>
        <w:t>committing,</w:t>
      </w:r>
      <w:r w:rsidR="00190923" w:rsidRPr="00981405">
        <w:rPr>
          <w:rFonts w:eastAsia="MS Mincho"/>
        </w:rPr>
        <w:t xml:space="preserve"> </w:t>
      </w:r>
      <w:r w:rsidRPr="00981405">
        <w:rPr>
          <w:rFonts w:eastAsia="MS Mincho"/>
        </w:rPr>
        <w:t>genocide,</w:t>
      </w:r>
      <w:r w:rsidR="00B92E2C" w:rsidRPr="00981405">
        <w:rPr>
          <w:rFonts w:eastAsia="MS Mincho"/>
        </w:rPr>
        <w:t>”</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turn</w:t>
      </w:r>
      <w:r w:rsidR="00190923" w:rsidRPr="00981405">
        <w:rPr>
          <w:rFonts w:eastAsia="MS Mincho"/>
        </w:rPr>
        <w:t xml:space="preserve"> </w:t>
      </w:r>
      <w:r w:rsidRPr="00981405">
        <w:rPr>
          <w:rFonts w:eastAsia="MS Mincho"/>
        </w:rPr>
        <w:t>depends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Party</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geographic,</w:t>
      </w:r>
      <w:r w:rsidR="00190923" w:rsidRPr="00981405">
        <w:rPr>
          <w:rFonts w:eastAsia="MS Mincho"/>
        </w:rPr>
        <w:t xml:space="preserve"> </w:t>
      </w:r>
      <w:r w:rsidRPr="00981405">
        <w:rPr>
          <w:rFonts w:eastAsia="MS Mincho"/>
        </w:rPr>
        <w:t>political,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links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groups</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issue.</w:t>
      </w:r>
      <w:r w:rsidRPr="00981405">
        <w:rPr>
          <w:rStyle w:val="FootnoteReference"/>
        </w:rPr>
        <w:footnoteReference w:id="262"/>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standard</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analysed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follows:</w:t>
      </w:r>
    </w:p>
    <w:p w:rsidR="00397032" w:rsidRPr="00981405" w:rsidRDefault="00B92E2C" w:rsidP="00D97463">
      <w:pPr>
        <w:pStyle w:val="SingleTxt"/>
        <w:ind w:left="1742"/>
        <w:rPr>
          <w:rFonts w:eastAsia="MS Mincho"/>
        </w:rPr>
      </w:pPr>
      <w:r w:rsidRPr="00981405">
        <w:rPr>
          <w:rFonts w:eastAsia="MS Mincho"/>
        </w:rPr>
        <w:t>“</w:t>
      </w:r>
      <w:r w:rsidR="00397032" w:rsidRPr="00981405">
        <w:rPr>
          <w:rFonts w:eastAsia="MS Mincho"/>
        </w:rPr>
        <w:t>[I]t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clear</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question</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one</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conduct</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one</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result,</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sense</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cannot</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succeed,</w:t>
      </w:r>
      <w:r w:rsidR="00190923" w:rsidRPr="00981405">
        <w:rPr>
          <w:rFonts w:eastAsia="MS Mincho"/>
        </w:rPr>
        <w:t xml:space="preserve"> </w:t>
      </w:r>
      <w:r w:rsidR="00397032" w:rsidRPr="00981405">
        <w:rPr>
          <w:rFonts w:eastAsia="MS Mincho"/>
        </w:rPr>
        <w:t>whatever</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circumstances,</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preventing</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commission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parties</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rather</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employ</w:t>
      </w:r>
      <w:r w:rsidR="00190923" w:rsidRPr="00981405">
        <w:rPr>
          <w:rFonts w:eastAsia="MS Mincho"/>
        </w:rPr>
        <w:t xml:space="preserve"> </w:t>
      </w:r>
      <w:r w:rsidR="00397032" w:rsidRPr="00981405">
        <w:rPr>
          <w:rFonts w:eastAsia="MS Mincho"/>
        </w:rPr>
        <w:t>all</w:t>
      </w:r>
      <w:r w:rsidR="00190923" w:rsidRPr="00981405">
        <w:rPr>
          <w:rFonts w:eastAsia="MS Mincho"/>
        </w:rPr>
        <w:t xml:space="preserve"> </w:t>
      </w:r>
      <w:r w:rsidR="00397032" w:rsidRPr="00981405">
        <w:rPr>
          <w:rFonts w:eastAsia="MS Mincho"/>
        </w:rPr>
        <w:t>means</w:t>
      </w:r>
      <w:r w:rsidR="00190923" w:rsidRPr="00981405">
        <w:rPr>
          <w:rFonts w:eastAsia="MS Mincho"/>
        </w:rPr>
        <w:t xml:space="preserve"> </w:t>
      </w:r>
      <w:r w:rsidR="00397032" w:rsidRPr="00981405">
        <w:rPr>
          <w:rFonts w:eastAsia="MS Mincho"/>
        </w:rPr>
        <w:t>reasonably</w:t>
      </w:r>
      <w:r w:rsidR="00190923" w:rsidRPr="00981405">
        <w:rPr>
          <w:rFonts w:eastAsia="MS Mincho"/>
        </w:rPr>
        <w:t xml:space="preserve"> </w:t>
      </w:r>
      <w:r w:rsidR="00397032" w:rsidRPr="00981405">
        <w:rPr>
          <w:rFonts w:eastAsia="MS Mincho"/>
        </w:rPr>
        <w:t>available</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them,</w:t>
      </w:r>
      <w:r w:rsidR="00190923" w:rsidRPr="00981405">
        <w:rPr>
          <w:rFonts w:eastAsia="MS Mincho"/>
        </w:rPr>
        <w:t xml:space="preserve"> </w:t>
      </w:r>
      <w:r w:rsidR="00397032" w:rsidRPr="00981405">
        <w:rPr>
          <w:rFonts w:eastAsia="MS Mincho"/>
        </w:rPr>
        <w:t>so</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so</w:t>
      </w:r>
      <w:r w:rsidR="00190923" w:rsidRPr="00981405">
        <w:rPr>
          <w:rFonts w:eastAsia="MS Mincho"/>
        </w:rPr>
        <w:t xml:space="preserve"> </w:t>
      </w:r>
      <w:r w:rsidR="00397032" w:rsidRPr="00981405">
        <w:rPr>
          <w:rFonts w:eastAsia="MS Mincho"/>
        </w:rPr>
        <w:t>far</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possible.</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does</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incur</w:t>
      </w:r>
      <w:r w:rsidR="00190923" w:rsidRPr="00981405">
        <w:rPr>
          <w:rFonts w:eastAsia="MS Mincho"/>
        </w:rPr>
        <w:t xml:space="preserve"> </w:t>
      </w:r>
      <w:r w:rsidR="00397032" w:rsidRPr="00981405">
        <w:rPr>
          <w:rFonts w:eastAsia="MS Mincho"/>
        </w:rPr>
        <w:t>responsibility</w:t>
      </w:r>
      <w:r w:rsidR="00190923" w:rsidRPr="00981405">
        <w:rPr>
          <w:rFonts w:eastAsia="MS Mincho"/>
        </w:rPr>
        <w:t xml:space="preserve"> </w:t>
      </w:r>
      <w:r w:rsidR="00397032" w:rsidRPr="00981405">
        <w:rPr>
          <w:rFonts w:eastAsia="MS Mincho"/>
        </w:rPr>
        <w:t>simply</w:t>
      </w:r>
      <w:r w:rsidR="00190923" w:rsidRPr="00981405">
        <w:rPr>
          <w:rFonts w:eastAsia="MS Mincho"/>
        </w:rPr>
        <w:t xml:space="preserve"> </w:t>
      </w:r>
      <w:r w:rsidR="00397032" w:rsidRPr="00981405">
        <w:rPr>
          <w:rFonts w:eastAsia="MS Mincho"/>
        </w:rPr>
        <w:t>because</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desired</w:t>
      </w:r>
      <w:r w:rsidR="00190923" w:rsidRPr="00981405">
        <w:rPr>
          <w:rFonts w:eastAsia="MS Mincho"/>
        </w:rPr>
        <w:t xml:space="preserve"> </w:t>
      </w:r>
      <w:r w:rsidR="00397032" w:rsidRPr="00981405">
        <w:rPr>
          <w:rFonts w:eastAsia="MS Mincho"/>
        </w:rPr>
        <w:t>result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achieved;</w:t>
      </w:r>
      <w:r w:rsidR="00190923" w:rsidRPr="00981405">
        <w:rPr>
          <w:rFonts w:eastAsia="MS Mincho"/>
        </w:rPr>
        <w:t xml:space="preserve"> </w:t>
      </w:r>
      <w:r w:rsidR="00397032" w:rsidRPr="00981405">
        <w:rPr>
          <w:rFonts w:eastAsia="MS Mincho"/>
        </w:rPr>
        <w:t>responsibility</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however</w:t>
      </w:r>
      <w:r w:rsidR="00190923" w:rsidRPr="00981405">
        <w:rPr>
          <w:rFonts w:eastAsia="MS Mincho"/>
        </w:rPr>
        <w:t xml:space="preserve"> </w:t>
      </w:r>
      <w:r w:rsidR="00397032" w:rsidRPr="00981405">
        <w:rPr>
          <w:rFonts w:eastAsia="MS Mincho"/>
        </w:rPr>
        <w:t>incurred</w:t>
      </w:r>
      <w:r w:rsidR="00190923" w:rsidRPr="00981405">
        <w:rPr>
          <w:rFonts w:eastAsia="MS Mincho"/>
        </w:rPr>
        <w:t xml:space="preserve"> </w:t>
      </w:r>
      <w:r w:rsidR="00397032" w:rsidRPr="00981405">
        <w:rPr>
          <w:rFonts w:eastAsia="MS Mincho"/>
        </w:rPr>
        <w:t>if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manifestly</w:t>
      </w:r>
      <w:r w:rsidR="00190923" w:rsidRPr="00981405">
        <w:rPr>
          <w:rFonts w:eastAsia="MS Mincho"/>
        </w:rPr>
        <w:t xml:space="preserve"> </w:t>
      </w:r>
      <w:r w:rsidR="00397032" w:rsidRPr="00981405">
        <w:rPr>
          <w:rFonts w:eastAsia="MS Mincho"/>
        </w:rPr>
        <w:t>failed</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take</w:t>
      </w:r>
      <w:r w:rsidR="00190923" w:rsidRPr="00981405">
        <w:rPr>
          <w:rFonts w:eastAsia="MS Mincho"/>
        </w:rPr>
        <w:t xml:space="preserve"> </w:t>
      </w:r>
      <w:r w:rsidR="00397032" w:rsidRPr="00981405">
        <w:rPr>
          <w:rFonts w:eastAsia="MS Mincho"/>
        </w:rPr>
        <w:t>all</w:t>
      </w:r>
      <w:r w:rsidR="00190923" w:rsidRPr="00981405">
        <w:rPr>
          <w:rFonts w:eastAsia="MS Mincho"/>
        </w:rPr>
        <w:t xml:space="preserve"> </w:t>
      </w:r>
      <w:r w:rsidR="00397032" w:rsidRPr="00981405">
        <w:rPr>
          <w:rFonts w:eastAsia="MS Mincho"/>
        </w:rPr>
        <w:t>measures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were</w:t>
      </w:r>
      <w:r w:rsidR="00190923" w:rsidRPr="00981405">
        <w:rPr>
          <w:rFonts w:eastAsia="MS Mincho"/>
        </w:rPr>
        <w:t xml:space="preserve"> </w:t>
      </w:r>
      <w:r w:rsidR="00397032" w:rsidRPr="00981405">
        <w:rPr>
          <w:rFonts w:eastAsia="MS Mincho"/>
        </w:rPr>
        <w:t>within</w:t>
      </w:r>
      <w:r w:rsidR="00190923" w:rsidRPr="00981405">
        <w:rPr>
          <w:rFonts w:eastAsia="MS Mincho"/>
        </w:rPr>
        <w:t xml:space="preserve"> </w:t>
      </w:r>
      <w:r w:rsidR="00397032" w:rsidRPr="00981405">
        <w:rPr>
          <w:rFonts w:eastAsia="MS Mincho"/>
        </w:rPr>
        <w:t>its</w:t>
      </w:r>
      <w:r w:rsidR="00190923" w:rsidRPr="00981405">
        <w:rPr>
          <w:rFonts w:eastAsia="MS Mincho"/>
        </w:rPr>
        <w:t xml:space="preserve"> </w:t>
      </w:r>
      <w:r w:rsidR="00397032" w:rsidRPr="00981405">
        <w:rPr>
          <w:rFonts w:eastAsia="MS Mincho"/>
        </w:rPr>
        <w:t>power,</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might</w:t>
      </w:r>
      <w:r w:rsidR="00190923" w:rsidRPr="00981405">
        <w:rPr>
          <w:rFonts w:eastAsia="MS Mincho"/>
        </w:rPr>
        <w:t xml:space="preserve"> </w:t>
      </w:r>
      <w:r w:rsidR="00397032" w:rsidRPr="00981405">
        <w:rPr>
          <w:rFonts w:eastAsia="MS Mincho"/>
        </w:rPr>
        <w:t>have</w:t>
      </w:r>
      <w:r w:rsidR="00190923" w:rsidRPr="00981405">
        <w:rPr>
          <w:rFonts w:eastAsia="MS Mincho"/>
        </w:rPr>
        <w:t xml:space="preserve"> </w:t>
      </w:r>
      <w:r w:rsidR="00397032" w:rsidRPr="00981405">
        <w:rPr>
          <w:rFonts w:eastAsia="MS Mincho"/>
        </w:rPr>
        <w:t>contributed</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preventing</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this</w:t>
      </w:r>
      <w:r w:rsidR="00190923" w:rsidRPr="00981405">
        <w:rPr>
          <w:rFonts w:eastAsia="MS Mincho"/>
        </w:rPr>
        <w:t xml:space="preserve"> </w:t>
      </w:r>
      <w:r w:rsidR="00397032" w:rsidRPr="00981405">
        <w:rPr>
          <w:rFonts w:eastAsia="MS Mincho"/>
        </w:rPr>
        <w:t>area</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notion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Pr="00981405">
        <w:rPr>
          <w:rFonts w:eastAsia="MS Mincho"/>
        </w:rPr>
        <w:t>‘</w:t>
      </w:r>
      <w:r w:rsidR="00397032" w:rsidRPr="00981405">
        <w:rPr>
          <w:rFonts w:eastAsia="MS Mincho"/>
        </w:rPr>
        <w:t>due</w:t>
      </w:r>
      <w:r w:rsidR="00190923" w:rsidRPr="00981405">
        <w:rPr>
          <w:rFonts w:eastAsia="MS Mincho"/>
        </w:rPr>
        <w:t xml:space="preserve"> </w:t>
      </w:r>
      <w:r w:rsidR="00397032" w:rsidRPr="00981405">
        <w:rPr>
          <w:rFonts w:eastAsia="MS Mincho"/>
        </w:rPr>
        <w:t>diligence,</w:t>
      </w:r>
      <w:r w:rsidRPr="00981405">
        <w:rPr>
          <w:rFonts w:eastAsia="MS Mincho"/>
        </w:rPr>
        <w:t>’</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calls</w:t>
      </w:r>
      <w:r w:rsidR="00190923" w:rsidRPr="00981405">
        <w:rPr>
          <w:rFonts w:eastAsia="MS Mincho"/>
        </w:rPr>
        <w:t xml:space="preserve"> </w:t>
      </w:r>
      <w:r w:rsidR="00397032" w:rsidRPr="00981405">
        <w:rPr>
          <w:rFonts w:eastAsia="MS Mincho"/>
        </w:rPr>
        <w:t>for</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assessment</w:t>
      </w:r>
      <w:r w:rsidR="00190923" w:rsidRPr="00981405">
        <w:rPr>
          <w:rFonts w:eastAsia="MS Mincho"/>
        </w:rPr>
        <w:t xml:space="preserve"> </w:t>
      </w:r>
      <w:r w:rsidR="00397032" w:rsidRPr="00D97463">
        <w:rPr>
          <w:rFonts w:eastAsia="MS Mincho"/>
          <w:i/>
          <w:iCs/>
        </w:rPr>
        <w:t>in</w:t>
      </w:r>
      <w:r w:rsidR="00190923" w:rsidRPr="00981405">
        <w:rPr>
          <w:rFonts w:eastAsia="MS Mincho"/>
          <w:i/>
          <w:iCs/>
        </w:rPr>
        <w:t xml:space="preserve"> </w:t>
      </w:r>
      <w:r w:rsidR="00397032" w:rsidRPr="00D97463">
        <w:rPr>
          <w:rFonts w:eastAsia="MS Mincho"/>
          <w:i/>
          <w:iCs/>
        </w:rPr>
        <w:t>concreto</w:t>
      </w:r>
      <w:r w:rsidR="00397032" w:rsidRPr="00981405">
        <w:rPr>
          <w:rFonts w:eastAsia="MS Mincho"/>
        </w:rPr>
        <w: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critical</w:t>
      </w:r>
      <w:r w:rsidR="00190923" w:rsidRPr="00981405">
        <w:rPr>
          <w:rFonts w:eastAsia="MS Mincho"/>
        </w:rPr>
        <w:t xml:space="preserve"> </w:t>
      </w:r>
      <w:r w:rsidR="00397032" w:rsidRPr="00981405">
        <w:rPr>
          <w:rFonts w:eastAsia="MS Mincho"/>
        </w:rPr>
        <w:t>importance.</w:t>
      </w:r>
      <w:r w:rsidR="00190923" w:rsidRPr="00981405">
        <w:rPr>
          <w:rFonts w:eastAsia="MS Mincho"/>
        </w:rPr>
        <w:t xml:space="preserve"> </w:t>
      </w:r>
      <w:r w:rsidR="00397032" w:rsidRPr="00981405">
        <w:rPr>
          <w:rFonts w:eastAsia="MS Mincho"/>
        </w:rPr>
        <w:t>Various</w:t>
      </w:r>
      <w:r w:rsidR="00190923" w:rsidRPr="00981405">
        <w:rPr>
          <w:rFonts w:eastAsia="MS Mincho"/>
        </w:rPr>
        <w:t xml:space="preserve"> </w:t>
      </w:r>
      <w:r w:rsidR="00397032" w:rsidRPr="00981405">
        <w:rPr>
          <w:rFonts w:eastAsia="MS Mincho"/>
        </w:rPr>
        <w:t>parameters</w:t>
      </w:r>
      <w:r w:rsidR="00190923" w:rsidRPr="00981405">
        <w:rPr>
          <w:rFonts w:eastAsia="MS Mincho"/>
        </w:rPr>
        <w:t xml:space="preserve"> </w:t>
      </w:r>
      <w:r w:rsidR="00397032" w:rsidRPr="00981405">
        <w:rPr>
          <w:rFonts w:eastAsia="MS Mincho"/>
        </w:rPr>
        <w:t>operate</w:t>
      </w:r>
      <w:r w:rsidR="00190923" w:rsidRPr="00981405">
        <w:rPr>
          <w:rFonts w:eastAsia="MS Mincho"/>
        </w:rPr>
        <w:t xml:space="preserve"> </w:t>
      </w:r>
      <w:r w:rsidR="00397032" w:rsidRPr="00981405">
        <w:rPr>
          <w:rFonts w:eastAsia="MS Mincho"/>
        </w:rPr>
        <w:t>when</w:t>
      </w:r>
      <w:r w:rsidR="00190923" w:rsidRPr="00981405">
        <w:rPr>
          <w:rFonts w:eastAsia="MS Mincho"/>
        </w:rPr>
        <w:t xml:space="preserve"> </w:t>
      </w:r>
      <w:r w:rsidR="00397032" w:rsidRPr="00981405">
        <w:rPr>
          <w:rFonts w:eastAsia="MS Mincho"/>
        </w:rPr>
        <w:t>assessing</w:t>
      </w:r>
      <w:r w:rsidR="00190923" w:rsidRPr="00981405">
        <w:rPr>
          <w:rFonts w:eastAsia="MS Mincho"/>
        </w:rPr>
        <w:t xml:space="preserve"> </w:t>
      </w:r>
      <w:r w:rsidR="00397032" w:rsidRPr="00981405">
        <w:rPr>
          <w:rFonts w:eastAsia="MS Mincho"/>
        </w:rPr>
        <w:t>whether</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has</w:t>
      </w:r>
      <w:r w:rsidR="00190923" w:rsidRPr="00981405">
        <w:rPr>
          <w:rFonts w:eastAsia="MS Mincho"/>
        </w:rPr>
        <w:t xml:space="preserve"> </w:t>
      </w:r>
      <w:r w:rsidR="00397032" w:rsidRPr="00981405">
        <w:rPr>
          <w:rFonts w:eastAsia="MS Mincho"/>
        </w:rPr>
        <w:t>duly</w:t>
      </w:r>
      <w:r w:rsidR="00190923" w:rsidRPr="00981405">
        <w:rPr>
          <w:rFonts w:eastAsia="MS Mincho"/>
        </w:rPr>
        <w:t xml:space="preserve"> </w:t>
      </w:r>
      <w:r w:rsidR="00397032" w:rsidRPr="00981405">
        <w:rPr>
          <w:rFonts w:eastAsia="MS Mincho"/>
        </w:rPr>
        <w:t>discharged</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concerned.</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first,</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varies</w:t>
      </w:r>
      <w:r w:rsidR="00190923" w:rsidRPr="00981405">
        <w:rPr>
          <w:rFonts w:eastAsia="MS Mincho"/>
        </w:rPr>
        <w:t xml:space="preserve"> </w:t>
      </w:r>
      <w:r w:rsidR="00397032" w:rsidRPr="00981405">
        <w:rPr>
          <w:rFonts w:eastAsia="MS Mincho"/>
        </w:rPr>
        <w:t>greatly</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one</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another,</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clearly</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capacity</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influence</w:t>
      </w:r>
      <w:r w:rsidR="00190923" w:rsidRPr="00981405">
        <w:rPr>
          <w:rFonts w:eastAsia="MS Mincho"/>
        </w:rPr>
        <w:t xml:space="preserve"> </w:t>
      </w:r>
      <w:r w:rsidR="00397032" w:rsidRPr="00981405">
        <w:rPr>
          <w:rFonts w:eastAsia="MS Mincho"/>
        </w:rPr>
        <w:t>effectively</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action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persons</w:t>
      </w:r>
      <w:r w:rsidR="00190923" w:rsidRPr="00981405">
        <w:rPr>
          <w:rFonts w:eastAsia="MS Mincho"/>
        </w:rPr>
        <w:t xml:space="preserve"> </w:t>
      </w:r>
      <w:r w:rsidR="00397032" w:rsidRPr="00981405">
        <w:rPr>
          <w:rFonts w:eastAsia="MS Mincho"/>
        </w:rPr>
        <w:t>likely</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commit,</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lastRenderedPageBreak/>
        <w:t>already</w:t>
      </w:r>
      <w:r w:rsidR="00190923" w:rsidRPr="00981405">
        <w:rPr>
          <w:rFonts w:eastAsia="MS Mincho"/>
        </w:rPr>
        <w:t xml:space="preserve"> </w:t>
      </w:r>
      <w:r w:rsidR="00397032" w:rsidRPr="00981405">
        <w:rPr>
          <w:rFonts w:eastAsia="MS Mincho"/>
        </w:rPr>
        <w:t>committing,</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This</w:t>
      </w:r>
      <w:r w:rsidR="00190923" w:rsidRPr="00981405">
        <w:rPr>
          <w:rFonts w:eastAsia="MS Mincho"/>
        </w:rPr>
        <w:t xml:space="preserve"> </w:t>
      </w:r>
      <w:r w:rsidR="00397032" w:rsidRPr="00981405">
        <w:rPr>
          <w:rFonts w:eastAsia="MS Mincho"/>
        </w:rPr>
        <w:t>capacity</w:t>
      </w:r>
      <w:r w:rsidR="00190923" w:rsidRPr="00981405">
        <w:rPr>
          <w:rFonts w:eastAsia="MS Mincho"/>
        </w:rPr>
        <w:t xml:space="preserve"> </w:t>
      </w:r>
      <w:r w:rsidR="00397032" w:rsidRPr="00981405">
        <w:rPr>
          <w:rFonts w:eastAsia="MS Mincho"/>
        </w:rPr>
        <w:t>itself</w:t>
      </w:r>
      <w:r w:rsidR="00190923" w:rsidRPr="00981405">
        <w:rPr>
          <w:rFonts w:eastAsia="MS Mincho"/>
        </w:rPr>
        <w:t xml:space="preserve"> </w:t>
      </w:r>
      <w:r w:rsidR="00397032" w:rsidRPr="00981405">
        <w:rPr>
          <w:rFonts w:eastAsia="MS Mincho"/>
        </w:rPr>
        <w:t>depends,</w:t>
      </w:r>
      <w:r w:rsidR="00190923" w:rsidRPr="00981405">
        <w:rPr>
          <w:rFonts w:eastAsia="MS Mincho"/>
        </w:rPr>
        <w:t xml:space="preserve"> </w:t>
      </w:r>
      <w:r w:rsidR="00397032" w:rsidRPr="00981405">
        <w:rPr>
          <w:rFonts w:eastAsia="MS Mincho"/>
        </w:rPr>
        <w:t>among</w:t>
      </w:r>
      <w:r w:rsidR="00190923" w:rsidRPr="00981405">
        <w:rPr>
          <w:rFonts w:eastAsia="MS Mincho"/>
        </w:rPr>
        <w:t xml:space="preserve"> </w:t>
      </w:r>
      <w:r w:rsidR="00397032" w:rsidRPr="00981405">
        <w:rPr>
          <w:rFonts w:eastAsia="MS Mincho"/>
        </w:rPr>
        <w:t>other</w:t>
      </w:r>
      <w:r w:rsidR="00190923" w:rsidRPr="00981405">
        <w:rPr>
          <w:rFonts w:eastAsia="MS Mincho"/>
        </w:rPr>
        <w:t xml:space="preserve"> </w:t>
      </w:r>
      <w:r w:rsidR="00397032" w:rsidRPr="00981405">
        <w:rPr>
          <w:rFonts w:eastAsia="MS Mincho"/>
        </w:rPr>
        <w:t>things,</w:t>
      </w:r>
      <w:r w:rsidR="00190923" w:rsidRPr="00981405">
        <w:rPr>
          <w:rFonts w:eastAsia="MS Mincho"/>
        </w:rPr>
        <w:t xml:space="preserve"> </w:t>
      </w:r>
      <w:r w:rsidR="00397032" w:rsidRPr="00981405">
        <w:rPr>
          <w:rFonts w:eastAsia="MS Mincho"/>
        </w:rPr>
        <w:t>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geographical</w:t>
      </w:r>
      <w:r w:rsidR="00190923" w:rsidRPr="00981405">
        <w:rPr>
          <w:rFonts w:eastAsia="MS Mincho"/>
        </w:rPr>
        <w:t xml:space="preserve"> </w:t>
      </w:r>
      <w:r w:rsidR="00397032" w:rsidRPr="00981405">
        <w:rPr>
          <w:rFonts w:eastAsia="MS Mincho"/>
        </w:rPr>
        <w:t>distance</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concerned</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scene</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events,</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strength</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political</w:t>
      </w:r>
      <w:r w:rsidR="00190923" w:rsidRPr="00981405">
        <w:rPr>
          <w:rFonts w:eastAsia="MS Mincho"/>
        </w:rPr>
        <w:t xml:space="preserve"> </w:t>
      </w:r>
      <w:r w:rsidR="00397032" w:rsidRPr="00981405">
        <w:rPr>
          <w:rFonts w:eastAsia="MS Mincho"/>
        </w:rPr>
        <w:t>links,</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well</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links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all</w:t>
      </w:r>
      <w:r w:rsidR="00190923" w:rsidRPr="00981405">
        <w:rPr>
          <w:rFonts w:eastAsia="MS Mincho"/>
        </w:rPr>
        <w:t xml:space="preserve"> </w:t>
      </w:r>
      <w:r w:rsidR="00397032" w:rsidRPr="00981405">
        <w:rPr>
          <w:rFonts w:eastAsia="MS Mincho"/>
        </w:rPr>
        <w:t>other</w:t>
      </w:r>
      <w:r w:rsidR="00190923" w:rsidRPr="00981405">
        <w:rPr>
          <w:rFonts w:eastAsia="MS Mincho"/>
        </w:rPr>
        <w:t xml:space="preserve"> </w:t>
      </w:r>
      <w:r w:rsidR="00397032" w:rsidRPr="00981405">
        <w:rPr>
          <w:rFonts w:eastAsia="MS Mincho"/>
        </w:rPr>
        <w:t>kinds,</w:t>
      </w:r>
      <w:r w:rsidR="00190923" w:rsidRPr="00981405">
        <w:rPr>
          <w:rFonts w:eastAsia="MS Mincho"/>
        </w:rPr>
        <w:t xml:space="preserve"> </w:t>
      </w:r>
      <w:r w:rsidR="00397032" w:rsidRPr="00981405">
        <w:rPr>
          <w:rFonts w:eastAsia="MS Mincho"/>
        </w:rPr>
        <w:t>between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authorities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main</w:t>
      </w:r>
      <w:r w:rsidR="00190923" w:rsidRPr="00981405">
        <w:rPr>
          <w:rFonts w:eastAsia="MS Mincho"/>
        </w:rPr>
        <w:t xml:space="preserve"> </w:t>
      </w:r>
      <w:r w:rsidR="00397032" w:rsidRPr="00981405">
        <w:rPr>
          <w:rFonts w:eastAsia="MS Mincho"/>
        </w:rPr>
        <w:t>actors</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events.</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w:t>
      </w:r>
      <w:r w:rsidRPr="00981405">
        <w:rPr>
          <w:rFonts w:eastAsia="MS Mincho"/>
        </w:rPr>
        <w:t>’</w:t>
      </w:r>
      <w:r w:rsidR="00397032" w:rsidRPr="00981405">
        <w:rPr>
          <w:rFonts w:eastAsia="MS Mincho"/>
        </w:rPr>
        <w:t>s</w:t>
      </w:r>
      <w:r w:rsidR="00190923" w:rsidRPr="00981405">
        <w:rPr>
          <w:rFonts w:eastAsia="MS Mincho"/>
        </w:rPr>
        <w:t xml:space="preserve"> </w:t>
      </w:r>
      <w:r w:rsidR="00397032" w:rsidRPr="00981405">
        <w:rPr>
          <w:rFonts w:eastAsia="MS Mincho"/>
        </w:rPr>
        <w:t>capacity</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influence</w:t>
      </w:r>
      <w:r w:rsidR="00190923" w:rsidRPr="00981405">
        <w:rPr>
          <w:rFonts w:eastAsia="MS Mincho"/>
        </w:rPr>
        <w:t xml:space="preserve"> </w:t>
      </w:r>
      <w:r w:rsidR="00397032" w:rsidRPr="00981405">
        <w:rPr>
          <w:rFonts w:eastAsia="MS Mincho"/>
        </w:rPr>
        <w:t>must</w:t>
      </w:r>
      <w:r w:rsidR="00190923" w:rsidRPr="00981405">
        <w:rPr>
          <w:rFonts w:eastAsia="MS Mincho"/>
        </w:rPr>
        <w:t xml:space="preserve"> </w:t>
      </w:r>
      <w:r w:rsidR="00397032" w:rsidRPr="00981405">
        <w:rPr>
          <w:rFonts w:eastAsia="MS Mincho"/>
        </w:rPr>
        <w:t>also</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assessed</w:t>
      </w:r>
      <w:r w:rsidR="00190923" w:rsidRPr="00981405">
        <w:rPr>
          <w:rFonts w:eastAsia="MS Mincho"/>
        </w:rPr>
        <w:t xml:space="preserve"> </w:t>
      </w:r>
      <w:r w:rsidR="00397032" w:rsidRPr="00981405">
        <w:rPr>
          <w:rFonts w:eastAsia="MS Mincho"/>
        </w:rPr>
        <w:t>by</w:t>
      </w:r>
      <w:r w:rsidR="00190923" w:rsidRPr="00981405">
        <w:rPr>
          <w:rFonts w:eastAsia="MS Mincho"/>
        </w:rPr>
        <w:t xml:space="preserve"> </w:t>
      </w:r>
      <w:r w:rsidR="00397032" w:rsidRPr="00981405">
        <w:rPr>
          <w:rFonts w:eastAsia="MS Mincho"/>
        </w:rPr>
        <w:t>legal</w:t>
      </w:r>
      <w:r w:rsidR="00190923" w:rsidRPr="00981405">
        <w:rPr>
          <w:rFonts w:eastAsia="MS Mincho"/>
        </w:rPr>
        <w:t xml:space="preserve"> </w:t>
      </w:r>
      <w:r w:rsidR="00397032" w:rsidRPr="00981405">
        <w:rPr>
          <w:rFonts w:eastAsia="MS Mincho"/>
        </w:rPr>
        <w:t>criteria,</w:t>
      </w:r>
      <w:r w:rsidR="00190923" w:rsidRPr="00981405">
        <w:rPr>
          <w:rFonts w:eastAsia="MS Mincho"/>
        </w:rPr>
        <w:t xml:space="preserve"> </w:t>
      </w:r>
      <w:r w:rsidR="00397032" w:rsidRPr="00981405">
        <w:rPr>
          <w:rFonts w:eastAsia="MS Mincho"/>
        </w:rPr>
        <w:t>since</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clear</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every</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may</w:t>
      </w:r>
      <w:r w:rsidR="00190923" w:rsidRPr="00981405">
        <w:rPr>
          <w:rFonts w:eastAsia="MS Mincho"/>
        </w:rPr>
        <w:t xml:space="preserve"> </w:t>
      </w:r>
      <w:r w:rsidR="00397032" w:rsidRPr="00981405">
        <w:rPr>
          <w:rFonts w:eastAsia="MS Mincho"/>
        </w:rPr>
        <w:t>only</w:t>
      </w:r>
      <w:r w:rsidR="00190923" w:rsidRPr="00981405">
        <w:rPr>
          <w:rFonts w:eastAsia="MS Mincho"/>
        </w:rPr>
        <w:t xml:space="preserve"> </w:t>
      </w:r>
      <w:r w:rsidR="00397032" w:rsidRPr="00981405">
        <w:rPr>
          <w:rFonts w:eastAsia="MS Mincho"/>
        </w:rPr>
        <w:t>act</w:t>
      </w:r>
      <w:r w:rsidR="00190923" w:rsidRPr="00981405">
        <w:rPr>
          <w:rFonts w:eastAsia="MS Mincho"/>
        </w:rPr>
        <w:t xml:space="preserve"> </w:t>
      </w:r>
      <w:r w:rsidR="00397032" w:rsidRPr="00981405">
        <w:rPr>
          <w:rFonts w:eastAsia="MS Mincho"/>
        </w:rPr>
        <w:t>within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limits</w:t>
      </w:r>
      <w:r w:rsidR="00190923" w:rsidRPr="00981405">
        <w:rPr>
          <w:rFonts w:eastAsia="MS Mincho"/>
        </w:rPr>
        <w:t xml:space="preserve"> </w:t>
      </w:r>
      <w:r w:rsidR="00397032" w:rsidRPr="00981405">
        <w:rPr>
          <w:rFonts w:eastAsia="MS Mincho"/>
        </w:rPr>
        <w:t>permitted</w:t>
      </w:r>
      <w:r w:rsidR="00190923" w:rsidRPr="00981405">
        <w:rPr>
          <w:rFonts w:eastAsia="MS Mincho"/>
        </w:rPr>
        <w:t xml:space="preserve"> </w:t>
      </w:r>
      <w:r w:rsidR="00397032" w:rsidRPr="00981405">
        <w:rPr>
          <w:rFonts w:eastAsia="MS Mincho"/>
        </w:rPr>
        <w:t>by</w:t>
      </w:r>
      <w:r w:rsidR="00190923" w:rsidRPr="00981405">
        <w:rPr>
          <w:rFonts w:eastAsia="MS Mincho"/>
        </w:rPr>
        <w:t xml:space="preserve"> </w:t>
      </w:r>
      <w:r w:rsidR="00397032" w:rsidRPr="00981405">
        <w:rPr>
          <w:rFonts w:eastAsia="MS Mincho"/>
        </w:rPr>
        <w:t>international</w:t>
      </w:r>
      <w:r w:rsidR="00190923" w:rsidRPr="00981405">
        <w:rPr>
          <w:rFonts w:eastAsia="MS Mincho"/>
        </w:rPr>
        <w:t xml:space="preserve"> </w:t>
      </w:r>
      <w:r w:rsidR="00397032" w:rsidRPr="00981405">
        <w:rPr>
          <w:rFonts w:eastAsia="MS Mincho"/>
        </w:rPr>
        <w:t>law;</w:t>
      </w:r>
      <w:r w:rsidR="00190923" w:rsidRPr="00981405">
        <w:rPr>
          <w:rFonts w:eastAsia="MS Mincho"/>
        </w:rPr>
        <w:t xml:space="preserve"> </w:t>
      </w:r>
      <w:r w:rsidR="00397032" w:rsidRPr="00981405">
        <w:rPr>
          <w:rFonts w:eastAsia="MS Mincho"/>
        </w:rPr>
        <w:t>seen</w:t>
      </w:r>
      <w:r w:rsidR="00190923" w:rsidRPr="00981405">
        <w:rPr>
          <w:rFonts w:eastAsia="MS Mincho"/>
        </w:rPr>
        <w:t xml:space="preserve"> </w:t>
      </w:r>
      <w:r w:rsidR="00397032" w:rsidRPr="00981405">
        <w:rPr>
          <w:rFonts w:eastAsia="MS Mincho"/>
        </w:rPr>
        <w:t>thus,</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State</w:t>
      </w:r>
      <w:r w:rsidRPr="00981405">
        <w:rPr>
          <w:rFonts w:eastAsia="MS Mincho"/>
        </w:rPr>
        <w:t>’</w:t>
      </w:r>
      <w:r w:rsidR="00397032" w:rsidRPr="00981405">
        <w:rPr>
          <w:rFonts w:eastAsia="MS Mincho"/>
        </w:rPr>
        <w:t>s</w:t>
      </w:r>
      <w:r w:rsidR="00190923" w:rsidRPr="00981405">
        <w:rPr>
          <w:rFonts w:eastAsia="MS Mincho"/>
        </w:rPr>
        <w:t xml:space="preserve"> </w:t>
      </w:r>
      <w:r w:rsidR="00397032" w:rsidRPr="00981405">
        <w:rPr>
          <w:rFonts w:eastAsia="MS Mincho"/>
        </w:rPr>
        <w:t>capacity</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influence</w:t>
      </w:r>
      <w:r w:rsidR="00190923" w:rsidRPr="00981405">
        <w:rPr>
          <w:rFonts w:eastAsia="MS Mincho"/>
        </w:rPr>
        <w:t xml:space="preserve"> </w:t>
      </w:r>
      <w:r w:rsidR="00397032" w:rsidRPr="00981405">
        <w:rPr>
          <w:rFonts w:eastAsia="MS Mincho"/>
        </w:rPr>
        <w:t>may</w:t>
      </w:r>
      <w:r w:rsidR="00190923" w:rsidRPr="00981405">
        <w:rPr>
          <w:rFonts w:eastAsia="MS Mincho"/>
        </w:rPr>
        <w:t xml:space="preserve"> </w:t>
      </w:r>
      <w:r w:rsidR="00397032" w:rsidRPr="00981405">
        <w:rPr>
          <w:rFonts w:eastAsia="MS Mincho"/>
        </w:rPr>
        <w:t>vary</w:t>
      </w:r>
      <w:r w:rsidR="00190923" w:rsidRPr="00981405">
        <w:rPr>
          <w:rFonts w:eastAsia="MS Mincho"/>
        </w:rPr>
        <w:t xml:space="preserve"> </w:t>
      </w:r>
      <w:r w:rsidR="00397032" w:rsidRPr="00981405">
        <w:rPr>
          <w:rFonts w:eastAsia="MS Mincho"/>
        </w:rPr>
        <w:t>depending</w:t>
      </w:r>
      <w:r w:rsidR="00190923" w:rsidRPr="00981405">
        <w:rPr>
          <w:rFonts w:eastAsia="MS Mincho"/>
        </w:rPr>
        <w:t xml:space="preserve"> </w:t>
      </w:r>
      <w:r w:rsidR="00397032" w:rsidRPr="00981405">
        <w:rPr>
          <w:rFonts w:eastAsia="MS Mincho"/>
        </w:rPr>
        <w:t>on</w:t>
      </w:r>
      <w:r w:rsidR="00190923" w:rsidRPr="00981405">
        <w:rPr>
          <w:rFonts w:eastAsia="MS Mincho"/>
        </w:rPr>
        <w:t xml:space="preserve"> </w:t>
      </w:r>
      <w:r w:rsidR="00397032" w:rsidRPr="00981405">
        <w:rPr>
          <w:rFonts w:eastAsia="MS Mincho"/>
        </w:rPr>
        <w:t>its</w:t>
      </w:r>
      <w:r w:rsidR="00190923" w:rsidRPr="00981405">
        <w:rPr>
          <w:rFonts w:eastAsia="MS Mincho"/>
        </w:rPr>
        <w:t xml:space="preserve"> </w:t>
      </w:r>
      <w:r w:rsidR="00397032" w:rsidRPr="00981405">
        <w:rPr>
          <w:rFonts w:eastAsia="MS Mincho"/>
        </w:rPr>
        <w:t>particular</w:t>
      </w:r>
      <w:r w:rsidR="00190923" w:rsidRPr="00981405">
        <w:rPr>
          <w:rFonts w:eastAsia="MS Mincho"/>
        </w:rPr>
        <w:t xml:space="preserve"> </w:t>
      </w:r>
      <w:r w:rsidR="00397032" w:rsidRPr="00981405">
        <w:rPr>
          <w:rFonts w:eastAsia="MS Mincho"/>
        </w:rPr>
        <w:t>legal</w:t>
      </w:r>
      <w:r w:rsidR="00190923" w:rsidRPr="00981405">
        <w:rPr>
          <w:rFonts w:eastAsia="MS Mincho"/>
        </w:rPr>
        <w:t xml:space="preserve"> </w:t>
      </w:r>
      <w:r w:rsidR="00397032" w:rsidRPr="00981405">
        <w:rPr>
          <w:rFonts w:eastAsia="MS Mincho"/>
        </w:rPr>
        <w:t>position</w:t>
      </w:r>
      <w:r w:rsidR="00190923" w:rsidRPr="00981405">
        <w:rPr>
          <w:rFonts w:eastAsia="MS Mincho"/>
        </w:rPr>
        <w:t xml:space="preserve"> </w:t>
      </w:r>
      <w:r w:rsidR="00397032" w:rsidRPr="00D97463">
        <w:rPr>
          <w:rFonts w:eastAsia="MS Mincho"/>
          <w:i/>
          <w:iCs/>
        </w:rPr>
        <w:t>vis-à-vis</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situations</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persons</w:t>
      </w:r>
      <w:r w:rsidR="00190923" w:rsidRPr="00981405">
        <w:rPr>
          <w:rFonts w:eastAsia="MS Mincho"/>
        </w:rPr>
        <w:t xml:space="preserve"> </w:t>
      </w:r>
      <w:r w:rsidR="00397032" w:rsidRPr="00981405">
        <w:rPr>
          <w:rFonts w:eastAsia="MS Mincho"/>
        </w:rPr>
        <w:t>facing</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danger,</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reality,</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other</w:t>
      </w:r>
      <w:r w:rsidR="00190923" w:rsidRPr="00981405">
        <w:rPr>
          <w:rFonts w:eastAsia="MS Mincho"/>
        </w:rPr>
        <w:t xml:space="preserve"> </w:t>
      </w:r>
      <w:r w:rsidR="00397032" w:rsidRPr="00981405">
        <w:rPr>
          <w:rFonts w:eastAsia="MS Mincho"/>
        </w:rPr>
        <w:t>hand,</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irrelevant</w:t>
      </w:r>
      <w:r w:rsidR="00190923" w:rsidRPr="00981405">
        <w:rPr>
          <w:rFonts w:eastAsia="MS Mincho"/>
        </w:rPr>
        <w:t xml:space="preserve"> </w:t>
      </w:r>
      <w:r w:rsidR="00397032" w:rsidRPr="00981405">
        <w:rPr>
          <w:rFonts w:eastAsia="MS Mincho"/>
        </w:rPr>
        <w:t>whether</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whose</w:t>
      </w:r>
      <w:r w:rsidR="00190923" w:rsidRPr="00981405">
        <w:rPr>
          <w:rFonts w:eastAsia="MS Mincho"/>
        </w:rPr>
        <w:t xml:space="preserve"> </w:t>
      </w:r>
      <w:r w:rsidR="00397032" w:rsidRPr="00981405">
        <w:rPr>
          <w:rFonts w:eastAsia="MS Mincho"/>
        </w:rPr>
        <w:t>responsibility</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issue</w:t>
      </w:r>
      <w:r w:rsidR="00190923" w:rsidRPr="00981405">
        <w:rPr>
          <w:rFonts w:eastAsia="MS Mincho"/>
        </w:rPr>
        <w:t xml:space="preserve"> </w:t>
      </w:r>
      <w:r w:rsidR="00397032" w:rsidRPr="00981405">
        <w:rPr>
          <w:rFonts w:eastAsia="MS Mincho"/>
        </w:rPr>
        <w:t>claims,</w:t>
      </w:r>
      <w:r w:rsidR="00190923" w:rsidRPr="00981405">
        <w:rPr>
          <w:rFonts w:eastAsia="MS Mincho"/>
        </w:rPr>
        <w:t xml:space="preserve"> </w:t>
      </w:r>
      <w:r w:rsidR="00397032" w:rsidRPr="00981405">
        <w:rPr>
          <w:rFonts w:eastAsia="MS Mincho"/>
        </w:rPr>
        <w:t>or</w:t>
      </w:r>
      <w:r w:rsidR="00190923" w:rsidRPr="00981405">
        <w:rPr>
          <w:rFonts w:eastAsia="MS Mincho"/>
        </w:rPr>
        <w:t xml:space="preserve"> </w:t>
      </w:r>
      <w:r w:rsidR="00397032" w:rsidRPr="00981405">
        <w:rPr>
          <w:rFonts w:eastAsia="MS Mincho"/>
        </w:rPr>
        <w:t>even</w:t>
      </w:r>
      <w:r w:rsidR="00190923" w:rsidRPr="00981405">
        <w:rPr>
          <w:rFonts w:eastAsia="MS Mincho"/>
        </w:rPr>
        <w:t xml:space="preserve"> </w:t>
      </w:r>
      <w:r w:rsidR="00397032" w:rsidRPr="00981405">
        <w:rPr>
          <w:rFonts w:eastAsia="MS Mincho"/>
        </w:rPr>
        <w:t>proves,</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even</w:t>
      </w:r>
      <w:r w:rsidR="00190923" w:rsidRPr="00981405">
        <w:rPr>
          <w:rFonts w:eastAsia="MS Mincho"/>
        </w:rPr>
        <w:t xml:space="preserve"> </w:t>
      </w:r>
      <w:r w:rsidR="00397032" w:rsidRPr="00981405">
        <w:rPr>
          <w:rFonts w:eastAsia="MS Mincho"/>
        </w:rPr>
        <w:t>if</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had</w:t>
      </w:r>
      <w:r w:rsidR="00190923" w:rsidRPr="00981405">
        <w:rPr>
          <w:rFonts w:eastAsia="MS Mincho"/>
        </w:rPr>
        <w:t xml:space="preserve"> </w:t>
      </w:r>
      <w:r w:rsidR="00397032" w:rsidRPr="00981405">
        <w:rPr>
          <w:rFonts w:eastAsia="MS Mincho"/>
        </w:rPr>
        <w:t>employed</w:t>
      </w:r>
      <w:r w:rsidR="00190923" w:rsidRPr="00981405">
        <w:rPr>
          <w:rFonts w:eastAsia="MS Mincho"/>
        </w:rPr>
        <w:t xml:space="preserve"> </w:t>
      </w:r>
      <w:r w:rsidR="00397032" w:rsidRPr="00981405">
        <w:rPr>
          <w:rFonts w:eastAsia="MS Mincho"/>
        </w:rPr>
        <w:t>all</w:t>
      </w:r>
      <w:r w:rsidR="00190923" w:rsidRPr="00981405">
        <w:rPr>
          <w:rFonts w:eastAsia="MS Mincho"/>
        </w:rPr>
        <w:t xml:space="preserve"> </w:t>
      </w:r>
      <w:r w:rsidR="00397032" w:rsidRPr="00981405">
        <w:rPr>
          <w:rFonts w:eastAsia="MS Mincho"/>
        </w:rPr>
        <w:t>means</w:t>
      </w:r>
      <w:r w:rsidR="00190923" w:rsidRPr="00981405">
        <w:rPr>
          <w:rFonts w:eastAsia="MS Mincho"/>
        </w:rPr>
        <w:t xml:space="preserve"> </w:t>
      </w:r>
      <w:r w:rsidR="00397032" w:rsidRPr="00981405">
        <w:rPr>
          <w:rFonts w:eastAsia="MS Mincho"/>
        </w:rPr>
        <w:t>reasonably</w:t>
      </w:r>
      <w:r w:rsidR="00190923" w:rsidRPr="00981405">
        <w:rPr>
          <w:rFonts w:eastAsia="MS Mincho"/>
        </w:rPr>
        <w:t xml:space="preserve"> </w:t>
      </w:r>
      <w:r w:rsidR="00397032" w:rsidRPr="00981405">
        <w:rPr>
          <w:rFonts w:eastAsia="MS Mincho"/>
        </w:rPr>
        <w:t>at</w:t>
      </w:r>
      <w:r w:rsidR="00190923" w:rsidRPr="00981405">
        <w:rPr>
          <w:rFonts w:eastAsia="MS Mincho"/>
        </w:rPr>
        <w:t xml:space="preserve"> </w:t>
      </w:r>
      <w:r w:rsidR="00397032" w:rsidRPr="00981405">
        <w:rPr>
          <w:rFonts w:eastAsia="MS Mincho"/>
        </w:rPr>
        <w:t>its</w:t>
      </w:r>
      <w:r w:rsidR="00190923" w:rsidRPr="00981405">
        <w:rPr>
          <w:rFonts w:eastAsia="MS Mincho"/>
        </w:rPr>
        <w:t xml:space="preserve"> </w:t>
      </w:r>
      <w:r w:rsidR="00397032" w:rsidRPr="00981405">
        <w:rPr>
          <w:rFonts w:eastAsia="MS Mincho"/>
        </w:rPr>
        <w:t>disposal,</w:t>
      </w:r>
      <w:r w:rsidR="00190923" w:rsidRPr="00981405">
        <w:rPr>
          <w:rFonts w:eastAsia="MS Mincho"/>
        </w:rPr>
        <w:t xml:space="preserve"> </w:t>
      </w:r>
      <w:r w:rsidR="00397032" w:rsidRPr="00981405">
        <w:rPr>
          <w:rFonts w:eastAsia="MS Mincho"/>
        </w:rPr>
        <w:t>they</w:t>
      </w:r>
      <w:r w:rsidR="00190923" w:rsidRPr="00981405">
        <w:rPr>
          <w:rFonts w:eastAsia="MS Mincho"/>
        </w:rPr>
        <w:t xml:space="preserve"> </w:t>
      </w:r>
      <w:r w:rsidR="00397032" w:rsidRPr="00981405">
        <w:rPr>
          <w:rFonts w:eastAsia="MS Mincho"/>
        </w:rPr>
        <w:t>would</w:t>
      </w:r>
      <w:r w:rsidR="00190923" w:rsidRPr="00981405">
        <w:rPr>
          <w:rFonts w:eastAsia="MS Mincho"/>
        </w:rPr>
        <w:t xml:space="preserve"> </w:t>
      </w:r>
      <w:r w:rsidR="00397032" w:rsidRPr="00981405">
        <w:rPr>
          <w:rFonts w:eastAsia="MS Mincho"/>
        </w:rPr>
        <w:t>not</w:t>
      </w:r>
      <w:r w:rsidR="00190923" w:rsidRPr="00981405">
        <w:rPr>
          <w:rFonts w:eastAsia="MS Mincho"/>
        </w:rPr>
        <w:t xml:space="preserve"> </w:t>
      </w:r>
      <w:r w:rsidR="00397032" w:rsidRPr="00981405">
        <w:rPr>
          <w:rFonts w:eastAsia="MS Mincho"/>
        </w:rPr>
        <w:t>have</w:t>
      </w:r>
      <w:r w:rsidR="00190923" w:rsidRPr="00981405">
        <w:rPr>
          <w:rFonts w:eastAsia="MS Mincho"/>
        </w:rPr>
        <w:t xml:space="preserve"> </w:t>
      </w:r>
      <w:r w:rsidR="00397032" w:rsidRPr="00981405">
        <w:rPr>
          <w:rFonts w:eastAsia="MS Mincho"/>
        </w:rPr>
        <w:t>sufficed</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commission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well</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being</w:t>
      </w:r>
      <w:r w:rsidR="00190923" w:rsidRPr="00981405">
        <w:rPr>
          <w:rFonts w:eastAsia="MS Mincho"/>
        </w:rPr>
        <w:t xml:space="preserve"> </w:t>
      </w:r>
      <w:r w:rsidR="00397032" w:rsidRPr="00981405">
        <w:rPr>
          <w:rFonts w:eastAsia="MS Mincho"/>
        </w:rPr>
        <w:t>generally</w:t>
      </w:r>
      <w:r w:rsidR="00190923" w:rsidRPr="00981405">
        <w:rPr>
          <w:rFonts w:eastAsia="MS Mincho"/>
        </w:rPr>
        <w:t xml:space="preserve"> </w:t>
      </w:r>
      <w:r w:rsidR="00397032" w:rsidRPr="00981405">
        <w:rPr>
          <w:rFonts w:eastAsia="MS Mincho"/>
        </w:rPr>
        <w:t>difficult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prove,</w:t>
      </w:r>
      <w:r w:rsidR="00190923" w:rsidRPr="00981405">
        <w:rPr>
          <w:rFonts w:eastAsia="MS Mincho"/>
        </w:rPr>
        <w:t xml:space="preserve"> </w:t>
      </w:r>
      <w:r w:rsidR="00397032" w:rsidRPr="00981405">
        <w:rPr>
          <w:rFonts w:eastAsia="MS Mincho"/>
        </w:rPr>
        <w:t>this</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irrelevant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breach</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conduct</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question,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more</w:t>
      </w:r>
      <w:r w:rsidR="00190923" w:rsidRPr="00981405">
        <w:rPr>
          <w:rFonts w:eastAsia="MS Mincho"/>
        </w:rPr>
        <w:t xml:space="preserve"> </w:t>
      </w:r>
      <w:r w:rsidR="00397032" w:rsidRPr="00981405">
        <w:rPr>
          <w:rFonts w:eastAsia="MS Mincho"/>
        </w:rPr>
        <w:t>so</w:t>
      </w:r>
      <w:r w:rsidR="00190923" w:rsidRPr="00981405">
        <w:rPr>
          <w:rFonts w:eastAsia="MS Mincho"/>
        </w:rPr>
        <w:t xml:space="preserve"> </w:t>
      </w:r>
      <w:r w:rsidR="00397032" w:rsidRPr="00981405">
        <w:rPr>
          <w:rFonts w:eastAsia="MS Mincho"/>
        </w:rPr>
        <w:t>since</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possibility</w:t>
      </w:r>
      <w:r w:rsidR="00190923" w:rsidRPr="00981405">
        <w:rPr>
          <w:rFonts w:eastAsia="MS Mincho"/>
        </w:rPr>
        <w:t xml:space="preserve"> </w:t>
      </w:r>
      <w:r w:rsidR="00397032" w:rsidRPr="00981405">
        <w:rPr>
          <w:rFonts w:eastAsia="MS Mincho"/>
        </w:rPr>
        <w:t>remains</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combined</w:t>
      </w:r>
      <w:r w:rsidR="00190923" w:rsidRPr="00981405">
        <w:rPr>
          <w:rFonts w:eastAsia="MS Mincho"/>
        </w:rPr>
        <w:t xml:space="preserve"> </w:t>
      </w:r>
      <w:r w:rsidR="00397032" w:rsidRPr="00981405">
        <w:rPr>
          <w:rFonts w:eastAsia="MS Mincho"/>
        </w:rPr>
        <w:t>efforts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several</w:t>
      </w:r>
      <w:r w:rsidR="00190923" w:rsidRPr="00981405">
        <w:rPr>
          <w:rFonts w:eastAsia="MS Mincho"/>
        </w:rPr>
        <w:t xml:space="preserve"> </w:t>
      </w:r>
      <w:r w:rsidR="00397032" w:rsidRPr="00981405">
        <w:rPr>
          <w:rFonts w:eastAsia="MS Mincho"/>
        </w:rPr>
        <w:t>States,</w:t>
      </w:r>
      <w:r w:rsidR="00190923" w:rsidRPr="00981405">
        <w:rPr>
          <w:rFonts w:eastAsia="MS Mincho"/>
        </w:rPr>
        <w:t xml:space="preserve"> </w:t>
      </w:r>
      <w:r w:rsidR="00397032" w:rsidRPr="00981405">
        <w:rPr>
          <w:rFonts w:eastAsia="MS Mincho"/>
        </w:rPr>
        <w:t>each</w:t>
      </w:r>
      <w:r w:rsidR="00190923" w:rsidRPr="00981405">
        <w:rPr>
          <w:rFonts w:eastAsia="MS Mincho"/>
        </w:rPr>
        <w:t xml:space="preserve"> </w:t>
      </w:r>
      <w:r w:rsidR="00397032" w:rsidRPr="00981405">
        <w:rPr>
          <w:rFonts w:eastAsia="MS Mincho"/>
        </w:rPr>
        <w:t>complying</w:t>
      </w:r>
      <w:r w:rsidR="00190923" w:rsidRPr="00981405">
        <w:rPr>
          <w:rFonts w:eastAsia="MS Mincho"/>
        </w:rPr>
        <w:t xml:space="preserve"> </w:t>
      </w:r>
      <w:r w:rsidR="00397032" w:rsidRPr="00981405">
        <w:rPr>
          <w:rFonts w:eastAsia="MS Mincho"/>
        </w:rPr>
        <w:t>with</w:t>
      </w:r>
      <w:r w:rsidR="00190923" w:rsidRPr="00981405">
        <w:rPr>
          <w:rFonts w:eastAsia="MS Mincho"/>
        </w:rPr>
        <w:t xml:space="preserve"> </w:t>
      </w:r>
      <w:r w:rsidR="00397032" w:rsidRPr="00981405">
        <w:rPr>
          <w:rFonts w:eastAsia="MS Mincho"/>
        </w:rPr>
        <w:t>its</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prevent,</w:t>
      </w:r>
      <w:r w:rsidR="00190923" w:rsidRPr="00981405">
        <w:rPr>
          <w:rFonts w:eastAsia="MS Mincho"/>
        </w:rPr>
        <w:t xml:space="preserve"> </w:t>
      </w:r>
      <w:r w:rsidR="00397032" w:rsidRPr="00981405">
        <w:rPr>
          <w:rFonts w:eastAsia="MS Mincho"/>
        </w:rPr>
        <w:t>might</w:t>
      </w:r>
      <w:r w:rsidR="00190923" w:rsidRPr="00981405">
        <w:rPr>
          <w:rFonts w:eastAsia="MS Mincho"/>
        </w:rPr>
        <w:t xml:space="preserve"> </w:t>
      </w:r>
      <w:r w:rsidR="00397032" w:rsidRPr="00981405">
        <w:rPr>
          <w:rFonts w:eastAsia="MS Mincho"/>
        </w:rPr>
        <w:t>have</w:t>
      </w:r>
      <w:r w:rsidR="00190923" w:rsidRPr="00981405">
        <w:rPr>
          <w:rFonts w:eastAsia="MS Mincho"/>
        </w:rPr>
        <w:t xml:space="preserve"> </w:t>
      </w:r>
      <w:r w:rsidR="00397032" w:rsidRPr="00981405">
        <w:rPr>
          <w:rFonts w:eastAsia="MS Mincho"/>
        </w:rPr>
        <w:t>achieved</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result</w:t>
      </w:r>
      <w:r w:rsidR="00190923" w:rsidRPr="00981405">
        <w:rPr>
          <w:rFonts w:eastAsia="MS Mincho"/>
        </w:rPr>
        <w:t xml:space="preserve"> </w:t>
      </w:r>
      <w:r w:rsidR="00397032" w:rsidRPr="00981405">
        <w:rPr>
          <w:rFonts w:eastAsia="MS Mincho"/>
        </w:rPr>
        <w:t>—</w:t>
      </w:r>
      <w:r w:rsidR="00190923" w:rsidRPr="00981405">
        <w:rPr>
          <w:rFonts w:eastAsia="MS Mincho"/>
        </w:rPr>
        <w:t xml:space="preserve"> </w:t>
      </w:r>
      <w:r w:rsidR="00397032" w:rsidRPr="00981405">
        <w:rPr>
          <w:rFonts w:eastAsia="MS Mincho"/>
        </w:rPr>
        <w:t>averting</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commission</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genocide</w:t>
      </w:r>
      <w:r w:rsidR="00190923" w:rsidRPr="00981405">
        <w:rPr>
          <w:rFonts w:eastAsia="MS Mincho"/>
        </w:rPr>
        <w:t xml:space="preserve"> </w:t>
      </w:r>
      <w:r w:rsidR="00397032" w:rsidRPr="00981405">
        <w:rPr>
          <w:rFonts w:eastAsia="MS Mincho"/>
        </w:rPr>
        <w:t>—</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efforts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only</w:t>
      </w:r>
      <w:r w:rsidR="00190923" w:rsidRPr="00981405">
        <w:rPr>
          <w:rFonts w:eastAsia="MS Mincho"/>
        </w:rPr>
        <w:t xml:space="preserve"> </w:t>
      </w:r>
      <w:r w:rsidR="00397032" w:rsidRPr="00981405">
        <w:rPr>
          <w:rFonts w:eastAsia="MS Mincho"/>
        </w:rPr>
        <w:t>one</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were</w:t>
      </w:r>
      <w:r w:rsidR="00190923" w:rsidRPr="00981405">
        <w:rPr>
          <w:rFonts w:eastAsia="MS Mincho"/>
        </w:rPr>
        <w:t xml:space="preserve"> </w:t>
      </w:r>
      <w:r w:rsidR="00397032" w:rsidRPr="00981405">
        <w:rPr>
          <w:rFonts w:eastAsia="MS Mincho"/>
        </w:rPr>
        <w:t>insufficient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produce.</w:t>
      </w:r>
      <w:r w:rsidRPr="00981405">
        <w:rPr>
          <w:rFonts w:eastAsia="MS Mincho"/>
        </w:rPr>
        <w:t>”</w:t>
      </w:r>
      <w:r w:rsidR="00397032" w:rsidRPr="00981405">
        <w:rPr>
          <w:rStyle w:val="FootnoteReference"/>
        </w:rPr>
        <w:footnoteReference w:id="263"/>
      </w:r>
    </w:p>
    <w:p w:rsidR="00397032" w:rsidRPr="00981405" w:rsidRDefault="00397032" w:rsidP="00D97463">
      <w:pPr>
        <w:pStyle w:val="SingleTxt"/>
        <w:rPr>
          <w:rFonts w:eastAsia="MS Mincho"/>
        </w:rPr>
      </w:pP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time,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maintained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00B92E2C" w:rsidRPr="00981405">
        <w:rPr>
          <w:rFonts w:eastAsia="MS Mincho"/>
        </w:rPr>
        <w:t>“</w:t>
      </w:r>
      <w:r w:rsidRPr="00981405">
        <w:rPr>
          <w:rFonts w:eastAsia="MS Mincho"/>
        </w:rPr>
        <w:t>a</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can</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held</w:t>
      </w:r>
      <w:r w:rsidR="00190923" w:rsidRPr="00981405">
        <w:rPr>
          <w:rFonts w:eastAsia="MS Mincho"/>
        </w:rPr>
        <w:t xml:space="preserve"> </w:t>
      </w:r>
      <w:r w:rsidRPr="00981405">
        <w:rPr>
          <w:rFonts w:eastAsia="MS Mincho"/>
        </w:rPr>
        <w:t>responsible</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breaching</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only</w:t>
      </w:r>
      <w:r w:rsidR="00190923" w:rsidRPr="00981405">
        <w:rPr>
          <w:rFonts w:eastAsia="MS Mincho"/>
        </w:rPr>
        <w:t xml:space="preserve"> </w:t>
      </w:r>
      <w:r w:rsidRPr="00981405">
        <w:rPr>
          <w:rFonts w:eastAsia="MS Mincho"/>
        </w:rPr>
        <w:t>if</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actually</w:t>
      </w:r>
      <w:r w:rsidR="00190923" w:rsidRPr="00981405">
        <w:rPr>
          <w:rFonts w:eastAsia="MS Mincho"/>
        </w:rPr>
        <w:t xml:space="preserve"> </w:t>
      </w:r>
      <w:r w:rsidRPr="00981405">
        <w:rPr>
          <w:rFonts w:eastAsia="MS Mincho"/>
        </w:rPr>
        <w:t>committed.</w:t>
      </w:r>
      <w:r w:rsidR="00B92E2C" w:rsidRPr="00981405">
        <w:rPr>
          <w:rFonts w:eastAsia="MS Mincho"/>
        </w:rPr>
        <w:t>”</w:t>
      </w:r>
      <w:r w:rsidRPr="00981405">
        <w:rPr>
          <w:rStyle w:val="FootnoteReference"/>
        </w:rPr>
        <w:footnoteReference w:id="264"/>
      </w:r>
    </w:p>
    <w:p w:rsidR="00397032" w:rsidRPr="00981405" w:rsidRDefault="00397032" w:rsidP="00D97463">
      <w:pPr>
        <w:pStyle w:val="SingleTxt"/>
        <w:rPr>
          <w:rFonts w:eastAsia="MS Mincho"/>
        </w:rPr>
      </w:pPr>
      <w:r w:rsidRPr="00981405">
        <w:rPr>
          <w:rFonts w:eastAsia="MS Mincho"/>
        </w:rPr>
        <w:t>(13)</w:t>
      </w:r>
      <w:r w:rsidRPr="00981405">
        <w:rPr>
          <w:rFonts w:eastAsia="MS Mincho"/>
        </w:rPr>
        <w:tab/>
        <w:t>Third,</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following</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above,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undertaking</w:t>
      </w:r>
      <w:r w:rsidR="00190923" w:rsidRPr="00981405">
        <w:rPr>
          <w:rFonts w:eastAsia="MS Mincho"/>
        </w:rPr>
        <w:t xml:space="preserve"> </w:t>
      </w:r>
      <w:r w:rsidRPr="00981405">
        <w:rPr>
          <w:rFonts w:eastAsia="MS Mincho"/>
        </w:rPr>
        <w:t>set</w:t>
      </w:r>
      <w:r w:rsidR="00190923" w:rsidRPr="00981405">
        <w:rPr>
          <w:rFonts w:eastAsia="MS Mincho"/>
        </w:rPr>
        <w:t xml:space="preserve"> </w:t>
      </w:r>
      <w:r w:rsidRPr="00981405">
        <w:rPr>
          <w:rFonts w:eastAsia="MS Mincho"/>
        </w:rPr>
        <w:t>forth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obliges</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pursue</w:t>
      </w:r>
      <w:r w:rsidR="00190923" w:rsidRPr="00981405">
        <w:rPr>
          <w:rFonts w:eastAsia="MS Mincho"/>
        </w:rPr>
        <w:t xml:space="preserve"> </w:t>
      </w:r>
      <w:r w:rsidRPr="00981405">
        <w:rPr>
          <w:rFonts w:eastAsia="MS Mincho"/>
        </w:rPr>
        <w:t>actively</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advance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designed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help</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offense</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occurring,</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taking</w:t>
      </w:r>
      <w:r w:rsidR="00190923" w:rsidRPr="00981405">
        <w:rPr>
          <w:rFonts w:eastAsia="MS Mincho"/>
        </w:rPr>
        <w:t xml:space="preserve"> </w:t>
      </w:r>
      <w:r w:rsidR="00B92E2C" w:rsidRPr="00981405">
        <w:rPr>
          <w:rFonts w:eastAsia="MS Mincho"/>
        </w:rPr>
        <w:t>“</w:t>
      </w:r>
      <w:r w:rsidRPr="00981405">
        <w:rPr>
          <w:rFonts w:eastAsia="MS Mincho"/>
        </w:rPr>
        <w:t>effective</w:t>
      </w:r>
      <w:r w:rsidR="00190923" w:rsidRPr="00981405">
        <w:rPr>
          <w:rFonts w:eastAsia="MS Mincho"/>
        </w:rPr>
        <w:t xml:space="preserve"> </w:t>
      </w:r>
      <w:r w:rsidRPr="00981405">
        <w:rPr>
          <w:rFonts w:eastAsia="MS Mincho"/>
        </w:rPr>
        <w:t>legislative,</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judicial</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preventive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territory</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jurisdiction</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control,</w:t>
      </w:r>
      <w:r w:rsidR="00B92E2C" w:rsidRPr="00981405">
        <w:rPr>
          <w:rFonts w:eastAsia="MS Mincho"/>
        </w:rPr>
        <w:t>”</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indicated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subparagraph</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text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inspired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Torture,</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provides:</w:t>
      </w:r>
      <w:r w:rsidR="00190923" w:rsidRPr="00981405">
        <w:rPr>
          <w:rFonts w:eastAsia="MS Mincho"/>
        </w:rPr>
        <w:t xml:space="preserve"> </w:t>
      </w:r>
      <w:r w:rsidR="00B92E2C" w:rsidRPr="00981405">
        <w:rPr>
          <w:rFonts w:eastAsia="MS Mincho"/>
        </w:rPr>
        <w:t>“</w:t>
      </w:r>
      <w:r w:rsidRPr="00981405">
        <w:rPr>
          <w:rFonts w:eastAsia="MS Mincho"/>
        </w:rPr>
        <w:t>Each</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Party</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take</w:t>
      </w:r>
      <w:r w:rsidR="00190923" w:rsidRPr="00981405">
        <w:rPr>
          <w:rFonts w:eastAsia="MS Mincho"/>
        </w:rPr>
        <w:t xml:space="preserve"> </w:t>
      </w:r>
      <w:r w:rsidRPr="00981405">
        <w:rPr>
          <w:rFonts w:eastAsia="MS Mincho"/>
        </w:rPr>
        <w:t>effective</w:t>
      </w:r>
      <w:r w:rsidR="00190923" w:rsidRPr="00981405">
        <w:rPr>
          <w:rFonts w:eastAsia="MS Mincho"/>
        </w:rPr>
        <w:t xml:space="preserve"> </w:t>
      </w:r>
      <w:r w:rsidRPr="00981405">
        <w:rPr>
          <w:rFonts w:eastAsia="MS Mincho"/>
        </w:rPr>
        <w:t>legislative,</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judicial</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torture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territory</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jurisdiction.</w:t>
      </w:r>
      <w:r w:rsidR="00B92E2C" w:rsidRPr="00981405">
        <w:rPr>
          <w:rFonts w:eastAsia="MS Mincho"/>
        </w:rPr>
        <w:t>”</w:t>
      </w:r>
      <w:r w:rsidRPr="00981405">
        <w:rPr>
          <w:rStyle w:val="FootnoteReference"/>
        </w:rPr>
        <w:footnoteReference w:id="265"/>
      </w:r>
    </w:p>
    <w:p w:rsidR="00397032" w:rsidRPr="00981405" w:rsidRDefault="00397032" w:rsidP="00D97463">
      <w:pPr>
        <w:pStyle w:val="SingleTxt"/>
        <w:rPr>
          <w:rFonts w:eastAsia="MS Mincho"/>
        </w:rPr>
      </w:pPr>
      <w:r w:rsidRPr="00981405">
        <w:rPr>
          <w:rFonts w:eastAsia="MS Mincho"/>
        </w:rPr>
        <w:t>(14)</w:t>
      </w:r>
      <w:r w:rsidRPr="00981405">
        <w:rPr>
          <w:rFonts w:eastAsia="MS Mincho"/>
        </w:rPr>
        <w:tab/>
        <w:t>The</w:t>
      </w:r>
      <w:r w:rsidR="00190923" w:rsidRPr="00981405">
        <w:rPr>
          <w:rFonts w:eastAsia="MS Mincho"/>
        </w:rPr>
        <w:t xml:space="preserve"> </w:t>
      </w:r>
      <w:r w:rsidRPr="00981405">
        <w:rPr>
          <w:rFonts w:eastAsia="MS Mincho"/>
        </w:rPr>
        <w:t>term</w:t>
      </w:r>
      <w:r w:rsidR="00190923" w:rsidRPr="00981405">
        <w:rPr>
          <w:rFonts w:eastAsia="MS Mincho"/>
        </w:rPr>
        <w:t xml:space="preserve"> </w:t>
      </w:r>
      <w:r w:rsidR="00B92E2C" w:rsidRPr="00981405">
        <w:rPr>
          <w:rFonts w:eastAsia="MS Mincho"/>
        </w:rPr>
        <w:t>“</w:t>
      </w:r>
      <w:r w:rsidRPr="00981405">
        <w:rPr>
          <w:rFonts w:eastAsia="MS Mincho"/>
        </w:rPr>
        <w:t>other</w:t>
      </w:r>
      <w:r w:rsidR="00190923" w:rsidRPr="00981405">
        <w:rPr>
          <w:rFonts w:eastAsia="MS Mincho"/>
        </w:rPr>
        <w:t xml:space="preserve"> </w:t>
      </w:r>
      <w:r w:rsidRPr="00981405">
        <w:rPr>
          <w:rFonts w:eastAsia="MS Mincho"/>
        </w:rPr>
        <w:t>preventive</w:t>
      </w:r>
      <w:r w:rsidR="00190923" w:rsidRPr="00981405">
        <w:rPr>
          <w:rFonts w:eastAsia="MS Mincho"/>
        </w:rPr>
        <w:t xml:space="preserve"> </w:t>
      </w:r>
      <w:r w:rsidRPr="00981405">
        <w:rPr>
          <w:rFonts w:eastAsia="MS Mincho"/>
        </w:rPr>
        <w:t>measures</w:t>
      </w:r>
      <w:r w:rsidR="00B92E2C" w:rsidRPr="00981405">
        <w:rPr>
          <w:rFonts w:eastAsia="MS Mincho"/>
        </w:rPr>
        <w:t>”</w:t>
      </w:r>
      <w:r w:rsidR="00190923" w:rsidRPr="00981405">
        <w:rPr>
          <w:rFonts w:eastAsia="MS Mincho"/>
        </w:rPr>
        <w:t xml:space="preserve"> </w:t>
      </w:r>
      <w:r w:rsidRPr="00981405">
        <w:rPr>
          <w:rFonts w:eastAsia="MS Mincho"/>
        </w:rPr>
        <w:t>rather</w:t>
      </w:r>
      <w:r w:rsidR="00190923" w:rsidRPr="00981405">
        <w:rPr>
          <w:rFonts w:eastAsia="MS Mincho"/>
        </w:rPr>
        <w:t xml:space="preserve"> </w:t>
      </w:r>
      <w:r w:rsidRPr="00981405">
        <w:rPr>
          <w:rFonts w:eastAsia="MS Mincho"/>
        </w:rPr>
        <w:t>than</w:t>
      </w:r>
      <w:r w:rsidR="00190923" w:rsidRPr="00981405">
        <w:rPr>
          <w:rFonts w:eastAsia="MS Mincho"/>
        </w:rPr>
        <w:t xml:space="preserve"> </w:t>
      </w:r>
      <w:r w:rsidRPr="00981405">
        <w:rPr>
          <w:rFonts w:eastAsia="MS Mincho"/>
        </w:rPr>
        <w:t>just</w:t>
      </w:r>
      <w:r w:rsidR="00190923" w:rsidRPr="00981405">
        <w:rPr>
          <w:rFonts w:eastAsia="MS Mincho"/>
        </w:rPr>
        <w:t xml:space="preserve"> </w:t>
      </w:r>
      <w:r w:rsidR="00B92E2C" w:rsidRPr="00981405">
        <w:rPr>
          <w:rFonts w:eastAsia="MS Mincho"/>
        </w:rPr>
        <w:t>“</w:t>
      </w:r>
      <w:r w:rsidRPr="00981405">
        <w:rPr>
          <w:rFonts w:eastAsia="MS Mincho"/>
        </w:rPr>
        <w:t>other</w:t>
      </w:r>
      <w:r w:rsidR="00190923" w:rsidRPr="00981405">
        <w:rPr>
          <w:rFonts w:eastAsia="MS Mincho"/>
        </w:rPr>
        <w:t xml:space="preserve"> </w:t>
      </w:r>
      <w:r w:rsidRPr="00981405">
        <w:rPr>
          <w:rFonts w:eastAsia="MS Mincho"/>
        </w:rPr>
        <w:t>measures</w:t>
      </w:r>
      <w:r w:rsidR="00B92E2C" w:rsidRPr="00981405">
        <w:rPr>
          <w:rFonts w:eastAsia="MS Mincho"/>
        </w:rPr>
        <w: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used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reinforce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point</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issue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clause</w:t>
      </w:r>
      <w:r w:rsidR="00190923" w:rsidRPr="00981405">
        <w:rPr>
          <w:rFonts w:eastAsia="MS Mincho"/>
        </w:rPr>
        <w:t xml:space="preserve"> </w:t>
      </w:r>
      <w:r w:rsidRPr="00981405">
        <w:rPr>
          <w:rFonts w:eastAsia="MS Mincho"/>
        </w:rPr>
        <w:t>relate</w:t>
      </w:r>
      <w:r w:rsidR="00190923" w:rsidRPr="00981405">
        <w:rPr>
          <w:rFonts w:eastAsia="MS Mincho"/>
        </w:rPr>
        <w:t xml:space="preserve"> </w:t>
      </w:r>
      <w:r w:rsidRPr="00981405">
        <w:rPr>
          <w:rFonts w:eastAsia="MS Mincho"/>
        </w:rPr>
        <w:t>solely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term</w:t>
      </w:r>
      <w:r w:rsidR="00190923" w:rsidRPr="00981405">
        <w:rPr>
          <w:rFonts w:eastAsia="MS Mincho"/>
        </w:rPr>
        <w:t xml:space="preserve"> </w:t>
      </w:r>
      <w:r w:rsidR="00B92E2C" w:rsidRPr="00981405">
        <w:rPr>
          <w:rFonts w:eastAsia="MS Mincho"/>
        </w:rPr>
        <w:t>“</w:t>
      </w:r>
      <w:r w:rsidRPr="00981405">
        <w:rPr>
          <w:rFonts w:eastAsia="MS Mincho"/>
        </w:rPr>
        <w:t>effective</w:t>
      </w:r>
      <w:r w:rsidR="00B92E2C" w:rsidRPr="00981405">
        <w:rPr>
          <w:rFonts w:eastAsia="MS Mincho"/>
        </w:rPr>
        <w:t>”</w:t>
      </w:r>
      <w:r w:rsidR="00190923" w:rsidRPr="00981405">
        <w:rPr>
          <w:rFonts w:eastAsia="MS Mincho"/>
        </w:rPr>
        <w:t xml:space="preserve"> </w:t>
      </w:r>
      <w:r w:rsidRPr="00981405">
        <w:rPr>
          <w:rFonts w:eastAsia="MS Mincho"/>
        </w:rPr>
        <w:t>implies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expected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keep</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taken</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review</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if</w:t>
      </w:r>
      <w:r w:rsidR="00190923" w:rsidRPr="00981405">
        <w:rPr>
          <w:rFonts w:eastAsia="MS Mincho"/>
        </w:rPr>
        <w:t xml:space="preserve"> </w:t>
      </w:r>
      <w:r w:rsidRPr="00981405">
        <w:rPr>
          <w:rFonts w:eastAsia="MS Mincho"/>
        </w:rPr>
        <w:t>they</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deficient,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improve</w:t>
      </w:r>
      <w:r w:rsidR="00190923" w:rsidRPr="00981405">
        <w:rPr>
          <w:rFonts w:eastAsia="MS Mincho"/>
        </w:rPr>
        <w:t xml:space="preserve"> </w:t>
      </w:r>
      <w:r w:rsidRPr="00981405">
        <w:rPr>
          <w:rFonts w:eastAsia="MS Mincho"/>
        </w:rPr>
        <w:t>them</w:t>
      </w:r>
      <w:r w:rsidR="00190923" w:rsidRPr="00981405">
        <w:rPr>
          <w:rFonts w:eastAsia="MS Mincho"/>
        </w:rPr>
        <w:t xml:space="preserve"> </w:t>
      </w:r>
      <w:r w:rsidRPr="00981405">
        <w:rPr>
          <w:rFonts w:eastAsia="MS Mincho"/>
        </w:rPr>
        <w:t>through</w:t>
      </w:r>
      <w:r w:rsidR="00190923" w:rsidRPr="00981405">
        <w:rPr>
          <w:rFonts w:eastAsia="MS Mincho"/>
        </w:rPr>
        <w:t xml:space="preserve"> </w:t>
      </w:r>
      <w:r w:rsidRPr="00981405">
        <w:rPr>
          <w:rFonts w:eastAsia="MS Mincho"/>
        </w:rPr>
        <w:t>more</w:t>
      </w:r>
      <w:r w:rsidR="00190923" w:rsidRPr="00981405">
        <w:rPr>
          <w:rFonts w:eastAsia="MS Mincho"/>
        </w:rPr>
        <w:t xml:space="preserve"> </w:t>
      </w:r>
      <w:r w:rsidRPr="00981405">
        <w:rPr>
          <w:rFonts w:eastAsia="MS Mincho"/>
        </w:rPr>
        <w:t>effective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commenting</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analogous</w:t>
      </w:r>
      <w:r w:rsidR="00190923" w:rsidRPr="00981405">
        <w:rPr>
          <w:rFonts w:eastAsia="MS Mincho"/>
        </w:rPr>
        <w:t xml:space="preserve"> </w:t>
      </w:r>
      <w:r w:rsidRPr="00981405">
        <w:rPr>
          <w:rFonts w:eastAsia="MS Mincho"/>
        </w:rPr>
        <w:t>provision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Torture,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Committee</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Torture</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stated:</w:t>
      </w:r>
    </w:p>
    <w:p w:rsidR="00397032" w:rsidRPr="00981405" w:rsidRDefault="00B92E2C" w:rsidP="00D97463">
      <w:pPr>
        <w:pStyle w:val="SingleTxt"/>
        <w:ind w:left="1742"/>
      </w:pPr>
      <w:r w:rsidRPr="00981405">
        <w:t>“</w:t>
      </w:r>
      <w:r w:rsidR="00397032" w:rsidRPr="00981405">
        <w:t>States</w:t>
      </w:r>
      <w:r w:rsidR="00190923" w:rsidRPr="00981405">
        <w:t xml:space="preserve"> </w:t>
      </w:r>
      <w:r w:rsidR="00397032" w:rsidRPr="00981405">
        <w:t>parties</w:t>
      </w:r>
      <w:r w:rsidR="00190923" w:rsidRPr="00981405">
        <w:t xml:space="preserve"> </w:t>
      </w:r>
      <w:r w:rsidR="00397032" w:rsidRPr="00981405">
        <w:t>are</w:t>
      </w:r>
      <w:r w:rsidR="00190923" w:rsidRPr="00981405">
        <w:t xml:space="preserve"> </w:t>
      </w:r>
      <w:r w:rsidR="00397032" w:rsidRPr="00981405">
        <w:t>obligated</w:t>
      </w:r>
      <w:r w:rsidR="00190923" w:rsidRPr="00981405">
        <w:t xml:space="preserve"> </w:t>
      </w:r>
      <w:r w:rsidR="00397032" w:rsidRPr="00981405">
        <w:t>to</w:t>
      </w:r>
      <w:r w:rsidR="00190923" w:rsidRPr="00981405">
        <w:t xml:space="preserve"> </w:t>
      </w:r>
      <w:r w:rsidR="00397032" w:rsidRPr="00981405">
        <w:t>eliminate</w:t>
      </w:r>
      <w:r w:rsidR="00190923" w:rsidRPr="00981405">
        <w:t xml:space="preserve"> </w:t>
      </w:r>
      <w:r w:rsidR="00397032" w:rsidRPr="00981405">
        <w:t>any</w:t>
      </w:r>
      <w:r w:rsidR="00190923" w:rsidRPr="00981405">
        <w:t xml:space="preserve"> </w:t>
      </w:r>
      <w:r w:rsidR="00397032" w:rsidRPr="00981405">
        <w:t>legal</w:t>
      </w:r>
      <w:r w:rsidR="00190923" w:rsidRPr="00981405">
        <w:t xml:space="preserve"> </w:t>
      </w:r>
      <w:r w:rsidR="00397032" w:rsidRPr="00981405">
        <w:t>or</w:t>
      </w:r>
      <w:r w:rsidR="00190923" w:rsidRPr="00981405">
        <w:t xml:space="preserve"> </w:t>
      </w:r>
      <w:r w:rsidR="00397032" w:rsidRPr="00981405">
        <w:t>other</w:t>
      </w:r>
      <w:r w:rsidR="00190923" w:rsidRPr="00981405">
        <w:t xml:space="preserve"> </w:t>
      </w:r>
      <w:r w:rsidR="00397032" w:rsidRPr="00981405">
        <w:t>obstacles</w:t>
      </w:r>
      <w:r w:rsidR="00190923" w:rsidRPr="00981405">
        <w:t xml:space="preserve"> </w:t>
      </w:r>
      <w:r w:rsidR="00397032" w:rsidRPr="00981405">
        <w:t>that</w:t>
      </w:r>
      <w:r w:rsidR="00190923" w:rsidRPr="00981405">
        <w:t xml:space="preserve"> </w:t>
      </w:r>
      <w:r w:rsidR="00397032" w:rsidRPr="00981405">
        <w:t>impede</w:t>
      </w:r>
      <w:r w:rsidR="00190923" w:rsidRPr="00981405">
        <w:t xml:space="preserve"> </w:t>
      </w:r>
      <w:r w:rsidR="00397032" w:rsidRPr="00981405">
        <w:t>the</w:t>
      </w:r>
      <w:r w:rsidR="00190923" w:rsidRPr="00981405">
        <w:t xml:space="preserve"> </w:t>
      </w:r>
      <w:r w:rsidR="00397032" w:rsidRPr="00981405">
        <w:t>eradication</w:t>
      </w:r>
      <w:r w:rsidR="00190923" w:rsidRPr="00981405">
        <w:t xml:space="preserve"> </w:t>
      </w:r>
      <w:r w:rsidR="00397032" w:rsidRPr="00981405">
        <w:t>of</w:t>
      </w:r>
      <w:r w:rsidR="00190923" w:rsidRPr="00981405">
        <w:t xml:space="preserve"> </w:t>
      </w:r>
      <w:r w:rsidR="00397032" w:rsidRPr="00981405">
        <w:t>torture</w:t>
      </w:r>
      <w:r w:rsidR="00190923" w:rsidRPr="00981405">
        <w:t xml:space="preserve"> </w:t>
      </w:r>
      <w:r w:rsidR="00397032" w:rsidRPr="00981405">
        <w:t>and</w:t>
      </w:r>
      <w:r w:rsidR="00190923" w:rsidRPr="00981405">
        <w:t xml:space="preserve"> </w:t>
      </w:r>
      <w:r w:rsidR="00397032" w:rsidRPr="00981405">
        <w:t>ill-treatment;</w:t>
      </w:r>
      <w:r w:rsidR="00190923" w:rsidRPr="00981405">
        <w:t xml:space="preserve"> </w:t>
      </w:r>
      <w:r w:rsidR="00397032" w:rsidRPr="00981405">
        <w:t>and</w:t>
      </w:r>
      <w:r w:rsidR="00190923" w:rsidRPr="00981405">
        <w:t xml:space="preserve"> </w:t>
      </w:r>
      <w:r w:rsidR="00397032" w:rsidRPr="00981405">
        <w:t>to</w:t>
      </w:r>
      <w:r w:rsidR="00190923" w:rsidRPr="00981405">
        <w:t xml:space="preserve"> </w:t>
      </w:r>
      <w:r w:rsidR="00397032" w:rsidRPr="00981405">
        <w:t>take</w:t>
      </w:r>
      <w:r w:rsidR="00190923" w:rsidRPr="00981405">
        <w:t xml:space="preserve"> </w:t>
      </w:r>
      <w:r w:rsidR="00397032" w:rsidRPr="00981405">
        <w:t>positive</w:t>
      </w:r>
      <w:r w:rsidR="00190923" w:rsidRPr="00981405">
        <w:t xml:space="preserve"> </w:t>
      </w:r>
      <w:r w:rsidR="00397032" w:rsidRPr="00981405">
        <w:t>effective</w:t>
      </w:r>
      <w:r w:rsidR="00190923" w:rsidRPr="00981405">
        <w:t xml:space="preserve"> </w:t>
      </w:r>
      <w:r w:rsidR="00397032" w:rsidRPr="00981405">
        <w:t>measures</w:t>
      </w:r>
      <w:r w:rsidR="00190923" w:rsidRPr="00981405">
        <w:t xml:space="preserve"> </w:t>
      </w:r>
      <w:r w:rsidR="00397032" w:rsidRPr="00981405">
        <w:t>to</w:t>
      </w:r>
      <w:r w:rsidR="00190923" w:rsidRPr="00981405">
        <w:t xml:space="preserve"> </w:t>
      </w:r>
      <w:r w:rsidR="00397032" w:rsidRPr="00981405">
        <w:t>ensure</w:t>
      </w:r>
      <w:r w:rsidR="00190923" w:rsidRPr="00981405">
        <w:t xml:space="preserve"> </w:t>
      </w:r>
      <w:r w:rsidR="00397032" w:rsidRPr="00981405">
        <w:t>that</w:t>
      </w:r>
      <w:r w:rsidR="00190923" w:rsidRPr="00981405">
        <w:t xml:space="preserve"> </w:t>
      </w:r>
      <w:r w:rsidR="00397032" w:rsidRPr="00981405">
        <w:t>such</w:t>
      </w:r>
      <w:r w:rsidR="00190923" w:rsidRPr="00981405">
        <w:t xml:space="preserve"> </w:t>
      </w:r>
      <w:r w:rsidR="00397032" w:rsidRPr="00981405">
        <w:t>conduct</w:t>
      </w:r>
      <w:r w:rsidR="00190923" w:rsidRPr="00981405">
        <w:t xml:space="preserve"> </w:t>
      </w:r>
      <w:r w:rsidR="00397032" w:rsidRPr="00981405">
        <w:t>and</w:t>
      </w:r>
      <w:r w:rsidR="00190923" w:rsidRPr="00981405">
        <w:t xml:space="preserve"> </w:t>
      </w:r>
      <w:r w:rsidR="00397032" w:rsidRPr="00981405">
        <w:t>any</w:t>
      </w:r>
      <w:r w:rsidR="00190923" w:rsidRPr="00981405">
        <w:t xml:space="preserve"> </w:t>
      </w:r>
      <w:r w:rsidR="00397032" w:rsidRPr="00981405">
        <w:t>recurrences</w:t>
      </w:r>
      <w:r w:rsidR="00190923" w:rsidRPr="00981405">
        <w:t xml:space="preserve"> </w:t>
      </w:r>
      <w:r w:rsidR="00397032" w:rsidRPr="00981405">
        <w:t>thereof</w:t>
      </w:r>
      <w:r w:rsidR="00190923" w:rsidRPr="00981405">
        <w:t xml:space="preserve"> </w:t>
      </w:r>
      <w:r w:rsidR="00397032" w:rsidRPr="00981405">
        <w:t>are</w:t>
      </w:r>
      <w:r w:rsidR="00190923" w:rsidRPr="00981405">
        <w:t xml:space="preserve"> </w:t>
      </w:r>
      <w:r w:rsidR="00397032" w:rsidRPr="00981405">
        <w:t>effectively</w:t>
      </w:r>
      <w:r w:rsidR="00190923" w:rsidRPr="00981405">
        <w:t xml:space="preserve"> </w:t>
      </w:r>
      <w:r w:rsidR="00397032" w:rsidRPr="00981405">
        <w:t>prevented.</w:t>
      </w:r>
      <w:r w:rsidR="00190923" w:rsidRPr="00981405">
        <w:t xml:space="preserve"> </w:t>
      </w:r>
      <w:r w:rsidR="00397032" w:rsidRPr="00981405">
        <w:t>States</w:t>
      </w:r>
      <w:r w:rsidR="00190923" w:rsidRPr="00981405">
        <w:t xml:space="preserve"> </w:t>
      </w:r>
      <w:r w:rsidR="00397032" w:rsidRPr="00981405">
        <w:t>parties</w:t>
      </w:r>
      <w:r w:rsidR="00190923" w:rsidRPr="00981405">
        <w:t xml:space="preserve"> </w:t>
      </w:r>
      <w:r w:rsidR="00397032" w:rsidRPr="00981405">
        <w:t>also</w:t>
      </w:r>
      <w:r w:rsidR="00190923" w:rsidRPr="00981405">
        <w:t xml:space="preserve"> </w:t>
      </w:r>
      <w:r w:rsidR="00397032" w:rsidRPr="00981405">
        <w:t>have</w:t>
      </w:r>
      <w:r w:rsidR="00190923" w:rsidRPr="00981405">
        <w:t xml:space="preserve"> </w:t>
      </w:r>
      <w:r w:rsidR="00397032" w:rsidRPr="00981405">
        <w:t>the</w:t>
      </w:r>
      <w:r w:rsidR="00190923" w:rsidRPr="00981405">
        <w:t xml:space="preserve"> </w:t>
      </w:r>
      <w:r w:rsidR="00397032" w:rsidRPr="00981405">
        <w:t>obligation</w:t>
      </w:r>
      <w:r w:rsidR="00190923" w:rsidRPr="00981405">
        <w:t xml:space="preserve"> </w:t>
      </w:r>
      <w:r w:rsidR="00397032" w:rsidRPr="00981405">
        <w:t>continually</w:t>
      </w:r>
      <w:r w:rsidR="00190923" w:rsidRPr="00981405">
        <w:t xml:space="preserve"> </w:t>
      </w:r>
      <w:r w:rsidR="00397032" w:rsidRPr="00981405">
        <w:t>to</w:t>
      </w:r>
      <w:r w:rsidR="00190923" w:rsidRPr="00981405">
        <w:t xml:space="preserve"> </w:t>
      </w:r>
      <w:r w:rsidR="00397032" w:rsidRPr="00981405">
        <w:t>keep</w:t>
      </w:r>
      <w:r w:rsidR="00190923" w:rsidRPr="00981405">
        <w:t xml:space="preserve"> </w:t>
      </w:r>
      <w:r w:rsidR="00397032" w:rsidRPr="00981405">
        <w:t>under</w:t>
      </w:r>
      <w:r w:rsidR="00190923" w:rsidRPr="00981405">
        <w:t xml:space="preserve"> </w:t>
      </w:r>
      <w:r w:rsidR="00397032" w:rsidRPr="00981405">
        <w:t>review</w:t>
      </w:r>
      <w:r w:rsidR="00190923" w:rsidRPr="00981405">
        <w:t xml:space="preserve"> </w:t>
      </w:r>
      <w:r w:rsidR="00397032" w:rsidRPr="00981405">
        <w:t>and</w:t>
      </w:r>
      <w:r w:rsidR="00190923" w:rsidRPr="00981405">
        <w:t xml:space="preserve"> </w:t>
      </w:r>
      <w:r w:rsidR="00397032" w:rsidRPr="00981405">
        <w:t>improve</w:t>
      </w:r>
      <w:r w:rsidR="00190923" w:rsidRPr="00981405">
        <w:t xml:space="preserve"> </w:t>
      </w:r>
      <w:r w:rsidR="00397032" w:rsidRPr="00981405">
        <w:t>their</w:t>
      </w:r>
      <w:r w:rsidR="00190923" w:rsidRPr="00981405">
        <w:t xml:space="preserve"> </w:t>
      </w:r>
      <w:r w:rsidR="00397032" w:rsidRPr="00981405">
        <w:t>national</w:t>
      </w:r>
      <w:r w:rsidR="00190923" w:rsidRPr="00981405">
        <w:t xml:space="preserve"> </w:t>
      </w:r>
      <w:r w:rsidR="00397032" w:rsidRPr="00981405">
        <w:t>laws</w:t>
      </w:r>
      <w:r w:rsidR="00190923" w:rsidRPr="00981405">
        <w:t xml:space="preserve"> </w:t>
      </w:r>
      <w:r w:rsidR="00397032" w:rsidRPr="00981405">
        <w:t>and</w:t>
      </w:r>
      <w:r w:rsidR="00190923" w:rsidRPr="00981405">
        <w:t xml:space="preserve"> </w:t>
      </w:r>
      <w:r w:rsidR="00397032" w:rsidRPr="00981405">
        <w:t>performance</w:t>
      </w:r>
      <w:r w:rsidR="00190923" w:rsidRPr="00981405">
        <w:t xml:space="preserve"> </w:t>
      </w:r>
      <w:r w:rsidR="00397032" w:rsidRPr="00981405">
        <w:t>under</w:t>
      </w:r>
      <w:r w:rsidR="00190923" w:rsidRPr="00981405">
        <w:t xml:space="preserve"> </w:t>
      </w:r>
      <w:r w:rsidR="00397032" w:rsidRPr="00981405">
        <w:t>the</w:t>
      </w:r>
      <w:r w:rsidR="00190923" w:rsidRPr="00981405">
        <w:t xml:space="preserve"> </w:t>
      </w:r>
      <w:r w:rsidR="00397032" w:rsidRPr="00981405">
        <w:t>Convention</w:t>
      </w:r>
      <w:r w:rsidR="00190923" w:rsidRPr="00981405">
        <w:t xml:space="preserve"> </w:t>
      </w:r>
      <w:r w:rsidR="00397032" w:rsidRPr="00981405">
        <w:t>in</w:t>
      </w:r>
      <w:r w:rsidR="00190923" w:rsidRPr="00981405">
        <w:t xml:space="preserve"> </w:t>
      </w:r>
      <w:r w:rsidR="00397032" w:rsidRPr="00981405">
        <w:t>accordance</w:t>
      </w:r>
      <w:r w:rsidR="00190923" w:rsidRPr="00981405">
        <w:t xml:space="preserve"> </w:t>
      </w:r>
      <w:r w:rsidR="00397032" w:rsidRPr="00981405">
        <w:t>with</w:t>
      </w:r>
      <w:r w:rsidR="00190923" w:rsidRPr="00981405">
        <w:t xml:space="preserve"> </w:t>
      </w:r>
      <w:r w:rsidR="00397032" w:rsidRPr="00981405">
        <w:t>the</w:t>
      </w:r>
      <w:r w:rsidR="00190923" w:rsidRPr="00981405">
        <w:t xml:space="preserve"> </w:t>
      </w:r>
      <w:r w:rsidR="00397032" w:rsidRPr="00981405">
        <w:t>Committee</w:t>
      </w:r>
      <w:r w:rsidRPr="00981405">
        <w:t>’</w:t>
      </w:r>
      <w:r w:rsidR="00397032" w:rsidRPr="00981405">
        <w:t>s</w:t>
      </w:r>
      <w:r w:rsidR="00190923" w:rsidRPr="00981405">
        <w:t xml:space="preserve"> </w:t>
      </w:r>
      <w:r w:rsidR="00397032" w:rsidRPr="00981405">
        <w:t>concluding</w:t>
      </w:r>
      <w:r w:rsidR="00190923" w:rsidRPr="00981405">
        <w:t xml:space="preserve"> </w:t>
      </w:r>
      <w:r w:rsidR="00397032" w:rsidRPr="00981405">
        <w:t>observations</w:t>
      </w:r>
      <w:r w:rsidR="00190923" w:rsidRPr="00981405">
        <w:t xml:space="preserve"> </w:t>
      </w:r>
      <w:r w:rsidR="00397032" w:rsidRPr="00981405">
        <w:t>and</w:t>
      </w:r>
      <w:r w:rsidR="00190923" w:rsidRPr="00981405">
        <w:t xml:space="preserve"> </w:t>
      </w:r>
      <w:r w:rsidR="00397032" w:rsidRPr="00981405">
        <w:t>views</w:t>
      </w:r>
      <w:r w:rsidR="00190923" w:rsidRPr="00981405">
        <w:t xml:space="preserve"> </w:t>
      </w:r>
      <w:r w:rsidR="00397032" w:rsidRPr="00981405">
        <w:t>adopted</w:t>
      </w:r>
      <w:r w:rsidR="00190923" w:rsidRPr="00981405">
        <w:t xml:space="preserve"> </w:t>
      </w:r>
      <w:r w:rsidR="00397032" w:rsidRPr="00981405">
        <w:t>on</w:t>
      </w:r>
      <w:r w:rsidR="00190923" w:rsidRPr="00981405">
        <w:t xml:space="preserve"> </w:t>
      </w:r>
      <w:r w:rsidR="00397032" w:rsidRPr="00981405">
        <w:t>individual</w:t>
      </w:r>
      <w:r w:rsidR="00190923" w:rsidRPr="00981405">
        <w:t xml:space="preserve"> </w:t>
      </w:r>
      <w:r w:rsidR="00397032" w:rsidRPr="00981405">
        <w:t>communications.</w:t>
      </w:r>
      <w:r w:rsidR="00190923" w:rsidRPr="00981405">
        <w:t xml:space="preserve"> </w:t>
      </w:r>
      <w:r w:rsidR="00397032" w:rsidRPr="00981405">
        <w:t>If</w:t>
      </w:r>
      <w:r w:rsidR="00190923" w:rsidRPr="00981405">
        <w:t xml:space="preserve"> </w:t>
      </w:r>
      <w:r w:rsidR="00397032" w:rsidRPr="00981405">
        <w:t>the</w:t>
      </w:r>
      <w:r w:rsidR="00190923" w:rsidRPr="00981405">
        <w:t xml:space="preserve"> </w:t>
      </w:r>
      <w:r w:rsidR="00397032" w:rsidRPr="00981405">
        <w:t>measures</w:t>
      </w:r>
      <w:r w:rsidR="00190923" w:rsidRPr="00981405">
        <w:t xml:space="preserve"> </w:t>
      </w:r>
      <w:r w:rsidR="00397032" w:rsidRPr="00981405">
        <w:t>adopted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State</w:t>
      </w:r>
      <w:r w:rsidR="00190923" w:rsidRPr="00981405">
        <w:t xml:space="preserve"> </w:t>
      </w:r>
      <w:r w:rsidR="00397032" w:rsidRPr="00981405">
        <w:t>Party</w:t>
      </w:r>
      <w:r w:rsidR="00190923" w:rsidRPr="00981405">
        <w:t xml:space="preserve"> </w:t>
      </w:r>
      <w:r w:rsidR="00397032" w:rsidRPr="00981405">
        <w:t>fail</w:t>
      </w:r>
      <w:r w:rsidR="00190923" w:rsidRPr="00981405">
        <w:t xml:space="preserve"> </w:t>
      </w:r>
      <w:r w:rsidR="00397032" w:rsidRPr="00981405">
        <w:t>to</w:t>
      </w:r>
      <w:r w:rsidR="00190923" w:rsidRPr="00981405">
        <w:t xml:space="preserve"> </w:t>
      </w:r>
      <w:r w:rsidR="00397032" w:rsidRPr="00981405">
        <w:t>accomplish</w:t>
      </w:r>
      <w:r w:rsidR="00190923" w:rsidRPr="00981405">
        <w:t xml:space="preserve"> </w:t>
      </w:r>
      <w:r w:rsidR="00397032" w:rsidRPr="00981405">
        <w:t>the</w:t>
      </w:r>
      <w:r w:rsidR="00190923" w:rsidRPr="00981405">
        <w:t xml:space="preserve"> </w:t>
      </w:r>
      <w:r w:rsidR="00397032" w:rsidRPr="00981405">
        <w:t>purpose</w:t>
      </w:r>
      <w:r w:rsidR="00190923" w:rsidRPr="00981405">
        <w:t xml:space="preserve"> </w:t>
      </w:r>
      <w:r w:rsidR="00397032" w:rsidRPr="00981405">
        <w:t>of</w:t>
      </w:r>
      <w:r w:rsidR="00190923" w:rsidRPr="00981405">
        <w:t xml:space="preserve"> </w:t>
      </w:r>
      <w:r w:rsidR="00397032" w:rsidRPr="00981405">
        <w:t>eradicating</w:t>
      </w:r>
      <w:r w:rsidR="00190923" w:rsidRPr="00981405">
        <w:t xml:space="preserve"> </w:t>
      </w:r>
      <w:r w:rsidR="00397032" w:rsidRPr="00981405">
        <w:t>acts</w:t>
      </w:r>
      <w:r w:rsidR="00190923" w:rsidRPr="00981405">
        <w:t xml:space="preserve"> </w:t>
      </w:r>
      <w:r w:rsidR="00397032" w:rsidRPr="00981405">
        <w:t>of</w:t>
      </w:r>
      <w:r w:rsidR="00190923" w:rsidRPr="00981405">
        <w:t xml:space="preserve"> </w:t>
      </w:r>
      <w:r w:rsidR="00397032" w:rsidRPr="00981405">
        <w:t>torture,</w:t>
      </w:r>
      <w:r w:rsidR="00190923" w:rsidRPr="00981405">
        <w:t xml:space="preserve"> </w:t>
      </w:r>
      <w:r w:rsidR="00397032" w:rsidRPr="00981405">
        <w:t>the</w:t>
      </w:r>
      <w:r w:rsidR="00190923" w:rsidRPr="00981405">
        <w:t xml:space="preserve"> </w:t>
      </w:r>
      <w:r w:rsidR="00397032" w:rsidRPr="00981405">
        <w:t>Convention</w:t>
      </w:r>
      <w:r w:rsidR="00190923" w:rsidRPr="00981405">
        <w:t xml:space="preserve"> </w:t>
      </w:r>
      <w:r w:rsidR="00397032" w:rsidRPr="00981405">
        <w:t>requires</w:t>
      </w:r>
      <w:r w:rsidR="00190923" w:rsidRPr="00981405">
        <w:t xml:space="preserve"> </w:t>
      </w:r>
      <w:r w:rsidR="00397032" w:rsidRPr="00981405">
        <w:t>that</w:t>
      </w:r>
      <w:r w:rsidR="00190923" w:rsidRPr="00981405">
        <w:t xml:space="preserve"> </w:t>
      </w:r>
      <w:r w:rsidR="00397032" w:rsidRPr="00981405">
        <w:t>they</w:t>
      </w:r>
      <w:r w:rsidR="00190923" w:rsidRPr="00981405">
        <w:t xml:space="preserve"> </w:t>
      </w:r>
      <w:r w:rsidR="00397032" w:rsidRPr="00981405">
        <w:t>be</w:t>
      </w:r>
      <w:r w:rsidR="00190923" w:rsidRPr="00981405">
        <w:t xml:space="preserve"> </w:t>
      </w:r>
      <w:r w:rsidR="00397032" w:rsidRPr="00981405">
        <w:t>revised</w:t>
      </w:r>
      <w:r w:rsidR="00190923" w:rsidRPr="00981405">
        <w:t xml:space="preserve"> </w:t>
      </w:r>
      <w:r w:rsidR="00397032" w:rsidRPr="00981405">
        <w:t>and/or</w:t>
      </w:r>
      <w:r w:rsidR="00190923" w:rsidRPr="00981405">
        <w:t xml:space="preserve"> </w:t>
      </w:r>
      <w:r w:rsidR="00397032" w:rsidRPr="00981405">
        <w:t>that</w:t>
      </w:r>
      <w:r w:rsidR="00190923" w:rsidRPr="00981405">
        <w:t xml:space="preserve"> </w:t>
      </w:r>
      <w:r w:rsidR="00397032" w:rsidRPr="00981405">
        <w:t>new,</w:t>
      </w:r>
      <w:r w:rsidR="00190923" w:rsidRPr="00981405">
        <w:t xml:space="preserve"> </w:t>
      </w:r>
      <w:r w:rsidR="00397032" w:rsidRPr="00981405">
        <w:t>more</w:t>
      </w:r>
      <w:r w:rsidR="00190923" w:rsidRPr="00981405">
        <w:t xml:space="preserve"> </w:t>
      </w:r>
      <w:r w:rsidR="00397032" w:rsidRPr="00981405">
        <w:t>effective</w:t>
      </w:r>
      <w:r w:rsidR="00190923" w:rsidRPr="00981405">
        <w:t xml:space="preserve"> </w:t>
      </w:r>
      <w:r w:rsidR="00397032" w:rsidRPr="00981405">
        <w:t>measures</w:t>
      </w:r>
      <w:r w:rsidR="00190923" w:rsidRPr="00981405">
        <w:t xml:space="preserve"> </w:t>
      </w:r>
      <w:r w:rsidR="00397032" w:rsidRPr="00981405">
        <w:t>be</w:t>
      </w:r>
      <w:r w:rsidR="00190923" w:rsidRPr="00981405">
        <w:t xml:space="preserve"> </w:t>
      </w:r>
      <w:r w:rsidR="00397032" w:rsidRPr="00981405">
        <w:t>adopted.</w:t>
      </w:r>
      <w:r w:rsidRPr="00981405">
        <w:t>”</w:t>
      </w:r>
      <w:r w:rsidR="00397032" w:rsidRPr="00981405">
        <w:rPr>
          <w:rStyle w:val="FootnoteReference"/>
        </w:rPr>
        <w:footnoteReference w:id="266"/>
      </w:r>
    </w:p>
    <w:p w:rsidR="00397032" w:rsidRPr="00981405" w:rsidRDefault="00397032" w:rsidP="00D97463">
      <w:pPr>
        <w:pStyle w:val="SingleTxt"/>
        <w:rPr>
          <w:rFonts w:eastAsia="MS Mincho"/>
        </w:rPr>
      </w:pPr>
      <w:r w:rsidRPr="00981405">
        <w:rPr>
          <w:rFonts w:eastAsia="MS Mincho"/>
        </w:rPr>
        <w:t>(15)</w:t>
      </w:r>
      <w:r w:rsidRPr="00981405">
        <w:rPr>
          <w:rFonts w:eastAsia="MS Mincho"/>
        </w:rPr>
        <w:tab/>
        <w:t>As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specific</w:t>
      </w:r>
      <w:r w:rsidR="00190923" w:rsidRPr="00981405">
        <w:rPr>
          <w:rFonts w:eastAsia="MS Mincho"/>
        </w:rPr>
        <w:t xml:space="preserve"> </w:t>
      </w:r>
      <w:r w:rsidRPr="00981405">
        <w:rPr>
          <w:rFonts w:eastAsia="MS Mincho"/>
        </w:rPr>
        <w:t>types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pursued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2015</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Council</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00190923" w:rsidRPr="00981405">
        <w:rPr>
          <w:rFonts w:eastAsia="MS Mincho"/>
        </w:rPr>
        <w:t xml:space="preserve"> </w:t>
      </w:r>
      <w:r w:rsidRPr="00981405">
        <w:rPr>
          <w:rFonts w:eastAsia="MS Mincho"/>
        </w:rPr>
        <w:t>adopted</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resolution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lastRenderedPageBreak/>
        <w:t>genocide</w:t>
      </w:r>
      <w:r w:rsidRPr="00981405">
        <w:rPr>
          <w:rStyle w:val="FootnoteReference"/>
        </w:rPr>
        <w:footnoteReference w:id="267"/>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provides</w:t>
      </w:r>
      <w:r w:rsidR="00190923" w:rsidRPr="00981405">
        <w:rPr>
          <w:rFonts w:eastAsia="MS Mincho"/>
        </w:rPr>
        <w:t xml:space="preserve"> </w:t>
      </w:r>
      <w:r w:rsidRPr="00981405">
        <w:rPr>
          <w:rFonts w:eastAsia="MS Mincho"/>
        </w:rPr>
        <w:t>some</w:t>
      </w:r>
      <w:r w:rsidR="00190923" w:rsidRPr="00981405">
        <w:rPr>
          <w:rFonts w:eastAsia="MS Mincho"/>
        </w:rPr>
        <w:t xml:space="preserve"> </w:t>
      </w:r>
      <w:r w:rsidRPr="00981405">
        <w:rPr>
          <w:rFonts w:eastAsia="MS Mincho"/>
        </w:rPr>
        <w:t>insights</w:t>
      </w:r>
      <w:r w:rsidR="00190923" w:rsidRPr="00981405">
        <w:rPr>
          <w:rFonts w:eastAsia="MS Mincho"/>
        </w:rPr>
        <w:t xml:space="preserve"> </w:t>
      </w:r>
      <w:r w:rsidRPr="00981405">
        <w:rPr>
          <w:rFonts w:eastAsia="MS Mincho"/>
        </w:rPr>
        <w:t>into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kinds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expected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fulfilment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I</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Among</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things,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resolution:</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reiterated</w:t>
      </w:r>
      <w:r w:rsidR="00190923" w:rsidRPr="00981405">
        <w:rPr>
          <w:rFonts w:eastAsia="MS Mincho"/>
        </w:rPr>
        <w:t xml:space="preserve"> </w:t>
      </w:r>
      <w:r w:rsidR="00B92E2C" w:rsidRPr="00981405">
        <w:rPr>
          <w:rFonts w:eastAsia="MS Mincho"/>
        </w:rPr>
        <w:t>“</w:t>
      </w:r>
      <w:r w:rsidRPr="00981405">
        <w:rPr>
          <w:rFonts w:eastAsia="MS Mincho"/>
        </w:rPr>
        <w:t>the</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each</w:t>
      </w:r>
      <w:r w:rsidR="00190923" w:rsidRPr="00981405">
        <w:rPr>
          <w:rFonts w:eastAsia="MS Mincho"/>
        </w:rPr>
        <w:t xml:space="preserve"> </w:t>
      </w:r>
      <w:r w:rsidRPr="00981405">
        <w:rPr>
          <w:rFonts w:eastAsia="MS Mincho"/>
        </w:rPr>
        <w:t>individual</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protect</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population</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entails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crime,</w:t>
      </w:r>
      <w:r w:rsidR="00190923" w:rsidRPr="00981405">
        <w:rPr>
          <w:rFonts w:eastAsia="MS Mincho"/>
        </w:rPr>
        <w:t xml:space="preserve"> </w:t>
      </w:r>
      <w:r w:rsidRPr="00981405">
        <w:rPr>
          <w:rFonts w:eastAsia="MS Mincho"/>
        </w:rPr>
        <w:t>including</w:t>
      </w:r>
      <w:r w:rsidR="00190923" w:rsidRPr="00981405">
        <w:rPr>
          <w:rFonts w:eastAsia="MS Mincho"/>
        </w:rPr>
        <w:t xml:space="preserve"> </w:t>
      </w:r>
      <w:r w:rsidRPr="00981405">
        <w:rPr>
          <w:rFonts w:eastAsia="MS Mincho"/>
        </w:rPr>
        <w:t>incitement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through</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means</w:t>
      </w:r>
      <w:r w:rsidR="00B92E2C" w:rsidRPr="00981405">
        <w:rPr>
          <w:rFonts w:eastAsia="MS Mincho"/>
        </w:rPr>
        <w:t>”</w:t>
      </w:r>
      <w:r w:rsidRPr="00981405">
        <w:rPr>
          <w:rFonts w:eastAsia="MS Mincho"/>
        </w:rPr>
        <w:t>;</w:t>
      </w:r>
      <w:r w:rsidRPr="00981405">
        <w:rPr>
          <w:rStyle w:val="FootnoteReference"/>
        </w:rPr>
        <w:footnoteReference w:id="268"/>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encouraged</w:t>
      </w:r>
      <w:r w:rsidR="00190923" w:rsidRPr="00981405">
        <w:rPr>
          <w:rFonts w:eastAsia="MS Mincho"/>
        </w:rPr>
        <w:t xml:space="preserve"> </w:t>
      </w:r>
      <w:r w:rsidR="00B92E2C" w:rsidRPr="00981405">
        <w:rPr>
          <w:rFonts w:eastAsia="MS Mincho"/>
        </w:rPr>
        <w:t>“</w:t>
      </w:r>
      <w:r w:rsidRPr="00981405">
        <w:rPr>
          <w:rFonts w:eastAsia="MS Mincho"/>
        </w:rPr>
        <w:t>Member</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build</w:t>
      </w:r>
      <w:r w:rsidR="00190923" w:rsidRPr="00981405">
        <w:rPr>
          <w:rFonts w:eastAsia="MS Mincho"/>
        </w:rPr>
        <w:t xml:space="preserve"> </w:t>
      </w:r>
      <w:r w:rsidRPr="00981405">
        <w:rPr>
          <w:rFonts w:eastAsia="MS Mincho"/>
        </w:rPr>
        <w:t>their</w:t>
      </w:r>
      <w:r w:rsidR="00190923" w:rsidRPr="00981405">
        <w:rPr>
          <w:rFonts w:eastAsia="MS Mincho"/>
        </w:rPr>
        <w:t xml:space="preserve"> </w:t>
      </w:r>
      <w:r w:rsidRPr="00981405">
        <w:rPr>
          <w:rFonts w:eastAsia="MS Mincho"/>
        </w:rPr>
        <w:t>capacity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through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development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individual</w:t>
      </w:r>
      <w:r w:rsidR="00190923" w:rsidRPr="00981405">
        <w:rPr>
          <w:rFonts w:eastAsia="MS Mincho"/>
        </w:rPr>
        <w:t xml:space="preserve"> </w:t>
      </w:r>
      <w:r w:rsidRPr="00981405">
        <w:rPr>
          <w:rFonts w:eastAsia="MS Mincho"/>
        </w:rPr>
        <w:t>expertise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creation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offices</w:t>
      </w:r>
      <w:r w:rsidR="00190923" w:rsidRPr="00981405">
        <w:rPr>
          <w:rFonts w:eastAsia="MS Mincho"/>
        </w:rPr>
        <w:t xml:space="preserve"> </w:t>
      </w:r>
      <w:r w:rsidRPr="00981405">
        <w:rPr>
          <w:rFonts w:eastAsia="MS Mincho"/>
        </w:rPr>
        <w:t>within</w:t>
      </w:r>
      <w:r w:rsidR="00190923" w:rsidRPr="00981405">
        <w:rPr>
          <w:rFonts w:eastAsia="MS Mincho"/>
        </w:rPr>
        <w:t xml:space="preserve"> </w:t>
      </w:r>
      <w:r w:rsidRPr="00981405">
        <w:rPr>
          <w:rFonts w:eastAsia="MS Mincho"/>
        </w:rPr>
        <w:t>Governments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strengthen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work</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prevention</w:t>
      </w:r>
      <w:r w:rsidR="00B92E2C" w:rsidRPr="00981405">
        <w:rPr>
          <w:rFonts w:eastAsia="MS Mincho"/>
        </w:rPr>
        <w:t>”</w:t>
      </w:r>
      <w:r w:rsidRPr="00981405">
        <w:rPr>
          <w:rFonts w:eastAsia="MS Mincho"/>
        </w:rPr>
        <w:t>;</w:t>
      </w:r>
      <w:r w:rsidRPr="00981405">
        <w:rPr>
          <w:rStyle w:val="FootnoteReference"/>
        </w:rPr>
        <w:footnoteReference w:id="269"/>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(3)</w:t>
      </w:r>
      <w:r w:rsidR="00190923" w:rsidRPr="00981405">
        <w:rPr>
          <w:rFonts w:eastAsia="MS Mincho"/>
        </w:rPr>
        <w:t xml:space="preserve"> </w:t>
      </w:r>
      <w:r w:rsidRPr="00981405">
        <w:rPr>
          <w:rFonts w:eastAsia="MS Mincho"/>
        </w:rPr>
        <w:t>encouraged</w:t>
      </w:r>
      <w:r w:rsidR="00190923" w:rsidRPr="00981405">
        <w:rPr>
          <w:rFonts w:eastAsia="MS Mincho"/>
        </w:rPr>
        <w:t xml:space="preserve"> </w:t>
      </w:r>
      <w:r w:rsidR="00B92E2C" w:rsidRPr="00981405">
        <w:rPr>
          <w:rFonts w:eastAsia="MS Mincho"/>
        </w:rPr>
        <w:t>“</w:t>
      </w:r>
      <w:r w:rsidRPr="00981405">
        <w:rPr>
          <w:rFonts w:eastAsia="MS Mincho"/>
        </w:rPr>
        <w:t>States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consider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appointment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focal</w:t>
      </w:r>
      <w:r w:rsidR="00190923" w:rsidRPr="00981405">
        <w:rPr>
          <w:rFonts w:eastAsia="MS Mincho"/>
        </w:rPr>
        <w:t xml:space="preserve"> </w:t>
      </w:r>
      <w:r w:rsidRPr="00981405">
        <w:rPr>
          <w:rFonts w:eastAsia="MS Mincho"/>
        </w:rPr>
        <w:t>points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who</w:t>
      </w:r>
      <w:r w:rsidR="00190923" w:rsidRPr="00981405">
        <w:rPr>
          <w:rFonts w:eastAsia="MS Mincho"/>
        </w:rPr>
        <w:t xml:space="preserve"> </w:t>
      </w:r>
      <w:r w:rsidRPr="00981405">
        <w:rPr>
          <w:rFonts w:eastAsia="MS Mincho"/>
        </w:rPr>
        <w:t>could</w:t>
      </w:r>
      <w:r w:rsidR="00190923" w:rsidRPr="00981405">
        <w:rPr>
          <w:rFonts w:eastAsia="MS Mincho"/>
        </w:rPr>
        <w:t xml:space="preserve"> </w:t>
      </w:r>
      <w:r w:rsidRPr="00981405">
        <w:rPr>
          <w:rFonts w:eastAsia="MS Mincho"/>
        </w:rPr>
        <w:t>cooperate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exchange</w:t>
      </w:r>
      <w:r w:rsidR="00190923" w:rsidRPr="00981405">
        <w:rPr>
          <w:rFonts w:eastAsia="MS Mincho"/>
        </w:rPr>
        <w:t xml:space="preserve"> </w:t>
      </w:r>
      <w:r w:rsidRPr="00981405">
        <w:rPr>
          <w:rFonts w:eastAsia="MS Mincho"/>
        </w:rPr>
        <w:t>information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best</w:t>
      </w:r>
      <w:r w:rsidR="00190923" w:rsidRPr="00981405">
        <w:rPr>
          <w:rFonts w:eastAsia="MS Mincho"/>
        </w:rPr>
        <w:t xml:space="preserve"> </w:t>
      </w:r>
      <w:r w:rsidRPr="00981405">
        <w:rPr>
          <w:rFonts w:eastAsia="MS Mincho"/>
        </w:rPr>
        <w:t>practices</w:t>
      </w:r>
      <w:r w:rsidR="00190923" w:rsidRPr="00981405">
        <w:rPr>
          <w:rFonts w:eastAsia="MS Mincho"/>
        </w:rPr>
        <w:t xml:space="preserve"> </w:t>
      </w:r>
      <w:r w:rsidRPr="00981405">
        <w:rPr>
          <w:rFonts w:eastAsia="MS Mincho"/>
        </w:rPr>
        <w:t>among</w:t>
      </w:r>
      <w:r w:rsidR="00190923" w:rsidRPr="00981405">
        <w:rPr>
          <w:rFonts w:eastAsia="MS Mincho"/>
        </w:rPr>
        <w:t xml:space="preserve"> </w:t>
      </w:r>
      <w:r w:rsidRPr="00981405">
        <w:rPr>
          <w:rFonts w:eastAsia="MS Mincho"/>
        </w:rPr>
        <w:t>themselves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Special</w:t>
      </w:r>
      <w:r w:rsidR="00190923" w:rsidRPr="00981405">
        <w:rPr>
          <w:rFonts w:eastAsia="MS Mincho"/>
        </w:rPr>
        <w:t xml:space="preserve"> </w:t>
      </w:r>
      <w:r w:rsidRPr="00981405">
        <w:rPr>
          <w:rFonts w:eastAsia="MS Mincho"/>
        </w:rPr>
        <w:t>Adviser</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Secretary-General</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Genocide,</w:t>
      </w:r>
      <w:r w:rsidR="00190923" w:rsidRPr="00981405">
        <w:rPr>
          <w:rFonts w:eastAsia="MS Mincho"/>
        </w:rPr>
        <w:t xml:space="preserve"> </w:t>
      </w:r>
      <w:r w:rsidRPr="00981405">
        <w:rPr>
          <w:rFonts w:eastAsia="MS Mincho"/>
        </w:rPr>
        <w:t>relevant</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00190923" w:rsidRPr="00981405">
        <w:rPr>
          <w:rFonts w:eastAsia="MS Mincho"/>
        </w:rPr>
        <w:t xml:space="preserve"> </w:t>
      </w:r>
      <w:r w:rsidRPr="00981405">
        <w:rPr>
          <w:rFonts w:eastAsia="MS Mincho"/>
        </w:rPr>
        <w:t>bodies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regional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subregional</w:t>
      </w:r>
      <w:r w:rsidR="00190923" w:rsidRPr="00981405">
        <w:rPr>
          <w:rFonts w:eastAsia="MS Mincho"/>
        </w:rPr>
        <w:t xml:space="preserve"> </w:t>
      </w:r>
      <w:r w:rsidRPr="00981405">
        <w:rPr>
          <w:rFonts w:eastAsia="MS Mincho"/>
        </w:rPr>
        <w:t>mechanisms.</w:t>
      </w:r>
      <w:r w:rsidR="00B92E2C" w:rsidRPr="00981405">
        <w:rPr>
          <w:rFonts w:eastAsia="MS Mincho"/>
        </w:rPr>
        <w:t>”</w:t>
      </w:r>
      <w:r w:rsidRPr="00981405">
        <w:rPr>
          <w:rStyle w:val="FootnoteReference"/>
        </w:rPr>
        <w:footnoteReference w:id="270"/>
      </w:r>
    </w:p>
    <w:p w:rsidR="00397032" w:rsidRPr="00981405" w:rsidRDefault="00397032" w:rsidP="00D97463">
      <w:pPr>
        <w:pStyle w:val="SingleTxt"/>
        <w:rPr>
          <w:rFonts w:eastAsia="MS Mincho"/>
        </w:rPr>
      </w:pPr>
      <w:r w:rsidRPr="00981405">
        <w:rPr>
          <w:rFonts w:eastAsia="MS Mincho"/>
        </w:rPr>
        <w:t>(16)</w:t>
      </w:r>
      <w:r w:rsidRPr="00981405">
        <w:rPr>
          <w:rFonts w:eastAsia="MS Mincho"/>
        </w:rPr>
        <w:tab/>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regional</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1950</w:t>
      </w:r>
      <w:r w:rsidR="00190923" w:rsidRPr="00981405">
        <w:rPr>
          <w:rFonts w:eastAsia="MS Mincho"/>
        </w:rPr>
        <w:t xml:space="preserve"> </w:t>
      </w:r>
      <w:r w:rsidRPr="00981405">
        <w:rPr>
          <w:rFonts w:eastAsia="MS Mincho"/>
        </w:rPr>
        <w:t>European</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Protection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Fundamental</w:t>
      </w:r>
      <w:r w:rsidR="00190923" w:rsidRPr="00981405">
        <w:rPr>
          <w:rFonts w:eastAsia="MS Mincho"/>
        </w:rPr>
        <w:t xml:space="preserve"> </w:t>
      </w:r>
      <w:r w:rsidRPr="00981405">
        <w:rPr>
          <w:rFonts w:eastAsia="MS Mincho"/>
        </w:rPr>
        <w:t>Freedoms</w:t>
      </w:r>
      <w:r w:rsidRPr="00981405">
        <w:rPr>
          <w:rStyle w:val="FootnoteReference"/>
        </w:rPr>
        <w:footnoteReference w:id="271"/>
      </w:r>
      <w:r w:rsidR="00190923" w:rsidRPr="00981405">
        <w:rPr>
          <w:rFonts w:eastAsia="MS Mincho"/>
        </w:rPr>
        <w:t xml:space="preserve"> </w:t>
      </w:r>
      <w:r w:rsidRPr="00981405">
        <w:rPr>
          <w:rFonts w:eastAsia="MS Mincho"/>
        </w:rPr>
        <w:t>contains</w:t>
      </w:r>
      <w:r w:rsidR="00190923" w:rsidRPr="00981405">
        <w:rPr>
          <w:rFonts w:eastAsia="MS Mincho"/>
        </w:rPr>
        <w:t xml:space="preserve"> </w:t>
      </w:r>
      <w:r w:rsidRPr="00981405">
        <w:rPr>
          <w:rFonts w:eastAsia="MS Mincho"/>
        </w:rPr>
        <w:t>no</w:t>
      </w:r>
      <w:r w:rsidR="00190923" w:rsidRPr="00981405">
        <w:rPr>
          <w:rFonts w:eastAsia="MS Mincho"/>
        </w:rPr>
        <w:t xml:space="preserve"> </w:t>
      </w:r>
      <w:r w:rsidRPr="00981405">
        <w:rPr>
          <w:rFonts w:eastAsia="MS Mincho"/>
        </w:rPr>
        <w:t>express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prevent</w:t>
      </w:r>
      <w:r w:rsidR="00B92E2C" w:rsidRPr="00981405">
        <w:rPr>
          <w:rFonts w:eastAsia="MS Mincho"/>
        </w:rPr>
        <w:t>”</w:t>
      </w:r>
      <w:r w:rsidR="00190923" w:rsidRPr="00981405">
        <w:rPr>
          <w:rFonts w:eastAsia="MS Mincho"/>
        </w:rPr>
        <w:t xml:space="preserve"> </w:t>
      </w:r>
      <w:r w:rsidRPr="00981405">
        <w:rPr>
          <w:rFonts w:eastAsia="MS Mincho"/>
        </w:rPr>
        <w:t>violations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European</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construed</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right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life)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contain</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require</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taken,</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as</w:t>
      </w:r>
      <w:r w:rsidR="00190923" w:rsidRPr="00981405">
        <w:rPr>
          <w:rFonts w:eastAsia="MS Mincho"/>
        </w:rPr>
        <w:t xml:space="preserve"> </w:t>
      </w:r>
      <w:r w:rsidR="00B92E2C" w:rsidRPr="00981405">
        <w:rPr>
          <w:rFonts w:eastAsia="MS Mincho"/>
        </w:rPr>
        <w:t>“</w:t>
      </w:r>
      <w:r w:rsidRPr="00981405">
        <w:rPr>
          <w:rFonts w:eastAsia="MS Mincho"/>
        </w:rPr>
        <w:t>putting</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place</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legal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framework</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deter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offences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person,</w:t>
      </w:r>
      <w:r w:rsidR="00190923" w:rsidRPr="00981405">
        <w:rPr>
          <w:rFonts w:eastAsia="MS Mincho"/>
        </w:rPr>
        <w:t xml:space="preserve"> </w:t>
      </w:r>
      <w:r w:rsidRPr="00981405">
        <w:rPr>
          <w:rFonts w:eastAsia="MS Mincho"/>
        </w:rPr>
        <w:t>backed</w:t>
      </w:r>
      <w:r w:rsidR="00190923" w:rsidRPr="00981405">
        <w:rPr>
          <w:rFonts w:eastAsia="MS Mincho"/>
        </w:rPr>
        <w:t xml:space="preserve"> </w:t>
      </w:r>
      <w:r w:rsidRPr="00981405">
        <w:rPr>
          <w:rFonts w:eastAsia="MS Mincho"/>
        </w:rPr>
        <w:t>up</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law-enforcement</w:t>
      </w:r>
      <w:r w:rsidR="00190923" w:rsidRPr="00981405">
        <w:rPr>
          <w:rFonts w:eastAsia="MS Mincho"/>
        </w:rPr>
        <w:t xml:space="preserve"> </w:t>
      </w:r>
      <w:r w:rsidRPr="00981405">
        <w:rPr>
          <w:rFonts w:eastAsia="MS Mincho"/>
        </w:rPr>
        <w:t>machinery</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suppression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breaches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provisions.</w:t>
      </w:r>
      <w:r w:rsidR="00B92E2C" w:rsidRPr="00981405">
        <w:rPr>
          <w:rFonts w:eastAsia="MS Mincho"/>
        </w:rPr>
        <w:t>”</w:t>
      </w:r>
      <w:r w:rsidRPr="00981405">
        <w:rPr>
          <w:rStyle w:val="FootnoteReference"/>
        </w:rPr>
        <w:footnoteReference w:id="272"/>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time,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recognized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Party</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regard</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limited.</w:t>
      </w:r>
      <w:r w:rsidRPr="00981405">
        <w:rPr>
          <w:rStyle w:val="FootnoteReference"/>
        </w:rPr>
        <w:footnoteReference w:id="273"/>
      </w:r>
      <w:r w:rsidR="00190923" w:rsidRPr="00981405">
        <w:rPr>
          <w:rFonts w:eastAsia="MS Mincho"/>
        </w:rPr>
        <w:t xml:space="preserve"> </w:t>
      </w:r>
      <w:r w:rsidRPr="00981405">
        <w:rPr>
          <w:rFonts w:eastAsia="MS Mincho"/>
        </w:rPr>
        <w:t>Likewise,</w:t>
      </w:r>
      <w:r w:rsidR="00190923" w:rsidRPr="00981405">
        <w:rPr>
          <w:rFonts w:eastAsia="MS Mincho"/>
        </w:rPr>
        <w:t xml:space="preserve"> </w:t>
      </w:r>
      <w:r w:rsidRPr="00981405">
        <w:rPr>
          <w:rFonts w:eastAsia="MS Mincho"/>
        </w:rPr>
        <w:t>although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1969</w:t>
      </w:r>
      <w:r w:rsidR="00190923" w:rsidRPr="00981405">
        <w:rPr>
          <w:rFonts w:eastAsia="MS Mincho"/>
        </w:rPr>
        <w:t xml:space="preserve"> </w:t>
      </w:r>
      <w:r w:rsidRPr="00981405">
        <w:rPr>
          <w:rFonts w:eastAsia="MS Mincho"/>
        </w:rPr>
        <w:t>American</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Pr="00981405">
        <w:rPr>
          <w:rStyle w:val="FootnoteReference"/>
        </w:rPr>
        <w:footnoteReference w:id="274"/>
      </w:r>
      <w:r w:rsidR="00190923" w:rsidRPr="00981405">
        <w:rPr>
          <w:rFonts w:eastAsia="MS Mincho"/>
        </w:rPr>
        <w:t xml:space="preserve"> </w:t>
      </w:r>
      <w:r w:rsidRPr="00981405">
        <w:rPr>
          <w:rFonts w:eastAsia="MS Mincho"/>
        </w:rPr>
        <w:t>contains</w:t>
      </w:r>
      <w:r w:rsidR="00190923" w:rsidRPr="00981405">
        <w:rPr>
          <w:rFonts w:eastAsia="MS Mincho"/>
        </w:rPr>
        <w:t xml:space="preserve"> </w:t>
      </w:r>
      <w:r w:rsidRPr="00981405">
        <w:rPr>
          <w:rFonts w:eastAsia="MS Mincho"/>
        </w:rPr>
        <w:t>no</w:t>
      </w:r>
      <w:r w:rsidR="00190923" w:rsidRPr="00981405">
        <w:rPr>
          <w:rFonts w:eastAsia="MS Mincho"/>
        </w:rPr>
        <w:t xml:space="preserve"> </w:t>
      </w:r>
      <w:r w:rsidRPr="00981405">
        <w:rPr>
          <w:rFonts w:eastAsia="MS Mincho"/>
        </w:rPr>
        <w:t>express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prevent</w:t>
      </w:r>
      <w:r w:rsidR="00B92E2C" w:rsidRPr="00981405">
        <w:rPr>
          <w:rFonts w:eastAsia="MS Mincho"/>
        </w:rPr>
        <w:t>”</w:t>
      </w:r>
      <w:r w:rsidR="00190923" w:rsidRPr="00981405">
        <w:rPr>
          <w:rFonts w:eastAsia="MS Mincho"/>
        </w:rPr>
        <w:t xml:space="preserve"> </w:t>
      </w:r>
      <w:r w:rsidRPr="00981405">
        <w:rPr>
          <w:rFonts w:eastAsia="MS Mincho"/>
        </w:rPr>
        <w:t>violations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Inter-American</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when</w:t>
      </w:r>
      <w:r w:rsidR="00190923" w:rsidRPr="00981405">
        <w:rPr>
          <w:rFonts w:eastAsia="MS Mincho"/>
        </w:rPr>
        <w:t xml:space="preserve"> </w:t>
      </w:r>
      <w:r w:rsidRPr="00981405">
        <w:rPr>
          <w:rFonts w:eastAsia="MS Mincho"/>
        </w:rPr>
        <w:t>construing</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Parties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ensure</w:t>
      </w:r>
      <w:r w:rsidR="00B92E2C" w:rsidRPr="00981405">
        <w:rPr>
          <w:rFonts w:eastAsia="MS Mincho"/>
        </w:rPr>
        <w: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free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full</w:t>
      </w:r>
      <w:r w:rsidR="00190923" w:rsidRPr="00981405">
        <w:rPr>
          <w:rFonts w:eastAsia="MS Mincho"/>
        </w:rPr>
        <w:t xml:space="preserve"> </w:t>
      </w:r>
      <w:r w:rsidRPr="00981405">
        <w:rPr>
          <w:rFonts w:eastAsia="MS Mincho"/>
        </w:rPr>
        <w:t>exercise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recognized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Pr="00981405">
        <w:rPr>
          <w:rStyle w:val="FootnoteReference"/>
        </w:rPr>
        <w:footnoteReference w:id="275"/>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found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implies</w:t>
      </w:r>
      <w:r w:rsidR="00190923" w:rsidRPr="00981405">
        <w:rPr>
          <w:rFonts w:eastAsia="MS Mincho"/>
        </w:rPr>
        <w:t xml:space="preserve"> </w:t>
      </w:r>
      <w:r w:rsidRPr="00981405">
        <w:rPr>
          <w:rFonts w:eastAsia="MS Mincho"/>
        </w:rPr>
        <w:t>a</w:t>
      </w:r>
      <w:r w:rsidR="00190923" w:rsidRPr="00981405">
        <w:rPr>
          <w:rFonts w:eastAsia="MS Mincho"/>
        </w:rPr>
        <w:t xml:space="preserve"> </w:t>
      </w:r>
      <w:r w:rsidR="00B92E2C" w:rsidRPr="00981405">
        <w:rPr>
          <w:rFonts w:eastAsia="MS Mincho"/>
        </w:rPr>
        <w:t>“</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B92E2C" w:rsidRPr="00981405">
        <w:rPr>
          <w:rFonts w:eastAsia="MS Mincho"/>
        </w:rPr>
        <w:t>”</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turn</w:t>
      </w:r>
      <w:r w:rsidR="00190923" w:rsidRPr="00981405">
        <w:rPr>
          <w:rFonts w:eastAsia="MS Mincho"/>
        </w:rPr>
        <w:t xml:space="preserve"> </w:t>
      </w:r>
      <w:r w:rsidRPr="00981405">
        <w:rPr>
          <w:rFonts w:eastAsia="MS Mincho"/>
        </w:rPr>
        <w:t>requires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lastRenderedPageBreak/>
        <w:t>Party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pursue</w:t>
      </w:r>
      <w:r w:rsidR="00190923" w:rsidRPr="00981405">
        <w:rPr>
          <w:rFonts w:eastAsia="MS Mincho"/>
        </w:rPr>
        <w:t xml:space="preserve"> </w:t>
      </w:r>
      <w:r w:rsidRPr="00981405">
        <w:rPr>
          <w:rFonts w:eastAsia="MS Mincho"/>
        </w:rPr>
        <w:t>certain</w:t>
      </w:r>
      <w:r w:rsidR="00190923" w:rsidRPr="00981405">
        <w:rPr>
          <w:rFonts w:eastAsia="MS Mincho"/>
        </w:rPr>
        <w:t xml:space="preserve"> </w:t>
      </w:r>
      <w:r w:rsidRPr="00981405">
        <w:rPr>
          <w:rFonts w:eastAsia="MS Mincho"/>
        </w:rPr>
        <w:t>steps.</w:t>
      </w:r>
      <w:bookmarkStart w:id="99" w:name="_Ref295994182"/>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said:</w:t>
      </w:r>
      <w:r w:rsidR="00190923" w:rsidRPr="00981405">
        <w:rPr>
          <w:rFonts w:eastAsia="MS Mincho"/>
        </w:rPr>
        <w:t xml:space="preserve"> </w:t>
      </w:r>
      <w:r w:rsidR="00B92E2C" w:rsidRPr="00981405">
        <w:rPr>
          <w:rFonts w:eastAsia="MS Mincho"/>
        </w:rPr>
        <w:t>“</w:t>
      </w:r>
      <w:r w:rsidRPr="00981405">
        <w:rPr>
          <w:rFonts w:eastAsia="MS Mincho"/>
        </w:rPr>
        <w:t>This</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includes</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those</w:t>
      </w:r>
      <w:r w:rsidR="00190923" w:rsidRPr="00981405">
        <w:rPr>
          <w:rFonts w:eastAsia="MS Mincho"/>
        </w:rPr>
        <w:t xml:space="preserve"> </w:t>
      </w:r>
      <w:r w:rsidRPr="00981405">
        <w:rPr>
          <w:rFonts w:eastAsia="MS Mincho"/>
        </w:rPr>
        <w:t>means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legal,</w:t>
      </w:r>
      <w:r w:rsidR="00190923" w:rsidRPr="00981405">
        <w:rPr>
          <w:rFonts w:eastAsia="MS Mincho"/>
        </w:rPr>
        <w:t xml:space="preserve"> </w:t>
      </w:r>
      <w:r w:rsidRPr="00981405">
        <w:rPr>
          <w:rFonts w:eastAsia="MS Mincho"/>
        </w:rPr>
        <w:t>political,</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cultural</w:t>
      </w:r>
      <w:r w:rsidR="00190923" w:rsidRPr="00981405">
        <w:rPr>
          <w:rFonts w:eastAsia="MS Mincho"/>
        </w:rPr>
        <w:t xml:space="preserve"> </w:t>
      </w:r>
      <w:r w:rsidRPr="00981405">
        <w:rPr>
          <w:rFonts w:eastAsia="MS Mincho"/>
        </w:rPr>
        <w:t>nature</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promote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protection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ensure</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violations</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considered</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treated</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illegal</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may</w:t>
      </w:r>
      <w:r w:rsidR="00190923" w:rsidRPr="00981405">
        <w:rPr>
          <w:rFonts w:eastAsia="MS Mincho"/>
        </w:rPr>
        <w:t xml:space="preserve"> </w:t>
      </w:r>
      <w:r w:rsidRPr="00981405">
        <w:rPr>
          <w:rFonts w:eastAsia="MS Mincho"/>
        </w:rPr>
        <w:t>lead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punishment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those</w:t>
      </w:r>
      <w:r w:rsidR="00190923" w:rsidRPr="00981405">
        <w:rPr>
          <w:rFonts w:eastAsia="MS Mincho"/>
        </w:rPr>
        <w:t xml:space="preserve"> </w:t>
      </w:r>
      <w:r w:rsidRPr="00981405">
        <w:rPr>
          <w:rFonts w:eastAsia="MS Mincho"/>
        </w:rPr>
        <w:t>responsible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indemnify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victims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damages.</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possible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make</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detailed</w:t>
      </w:r>
      <w:r w:rsidR="00190923" w:rsidRPr="00981405">
        <w:rPr>
          <w:rFonts w:eastAsia="MS Mincho"/>
        </w:rPr>
        <w:t xml:space="preserve"> </w:t>
      </w:r>
      <w:r w:rsidRPr="00981405">
        <w:rPr>
          <w:rFonts w:eastAsia="MS Mincho"/>
        </w:rPr>
        <w:t>list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since</w:t>
      </w:r>
      <w:r w:rsidR="00190923" w:rsidRPr="00981405">
        <w:rPr>
          <w:rFonts w:eastAsia="MS Mincho"/>
        </w:rPr>
        <w:t xml:space="preserve"> </w:t>
      </w:r>
      <w:r w:rsidRPr="00981405">
        <w:rPr>
          <w:rFonts w:eastAsia="MS Mincho"/>
        </w:rPr>
        <w:t>they</w:t>
      </w:r>
      <w:r w:rsidR="00190923" w:rsidRPr="00981405">
        <w:rPr>
          <w:rFonts w:eastAsia="MS Mincho"/>
        </w:rPr>
        <w:t xml:space="preserve"> </w:t>
      </w:r>
      <w:r w:rsidRPr="00981405">
        <w:rPr>
          <w:rFonts w:eastAsia="MS Mincho"/>
        </w:rPr>
        <w:t>vary</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law</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conditions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each</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Party.</w:t>
      </w:r>
      <w:r w:rsidR="00B92E2C" w:rsidRPr="00981405">
        <w:rPr>
          <w:rFonts w:eastAsia="MS Mincho"/>
        </w:rPr>
        <w:t>”</w:t>
      </w:r>
      <w:r w:rsidRPr="00981405">
        <w:rPr>
          <w:rStyle w:val="FootnoteReference"/>
        </w:rPr>
        <w:footnoteReference w:id="276"/>
      </w:r>
      <w:bookmarkEnd w:id="99"/>
      <w:r w:rsidR="00190923" w:rsidRPr="00981405">
        <w:rPr>
          <w:rFonts w:eastAsia="MS Mincho"/>
        </w:rPr>
        <w:t xml:space="preserve"> </w:t>
      </w:r>
      <w:r w:rsidRPr="00981405">
        <w:rPr>
          <w:rFonts w:eastAsia="MS Mincho"/>
        </w:rPr>
        <w:t>Similar</w:t>
      </w:r>
      <w:r w:rsidR="00190923" w:rsidRPr="00981405">
        <w:rPr>
          <w:rFonts w:eastAsia="MS Mincho"/>
        </w:rPr>
        <w:t xml:space="preserve"> </w:t>
      </w:r>
      <w:r w:rsidRPr="00981405">
        <w:rPr>
          <w:rFonts w:eastAsia="MS Mincho"/>
        </w:rPr>
        <w:t>reasoning</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animated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Court</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approach</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interpretation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6</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1985</w:t>
      </w:r>
      <w:r w:rsidR="00190923" w:rsidRPr="00981405">
        <w:rPr>
          <w:rFonts w:eastAsia="MS Mincho"/>
        </w:rPr>
        <w:t xml:space="preserve"> </w:t>
      </w:r>
      <w:r w:rsidRPr="00981405">
        <w:rPr>
          <w:rFonts w:eastAsia="MS Mincho"/>
        </w:rPr>
        <w:t>Inter-American</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Torture.</w:t>
      </w:r>
      <w:r w:rsidRPr="00981405">
        <w:rPr>
          <w:rStyle w:val="FootnoteReference"/>
        </w:rPr>
        <w:footnoteReference w:id="277"/>
      </w:r>
    </w:p>
    <w:p w:rsidR="00397032" w:rsidRPr="00981405" w:rsidRDefault="00397032" w:rsidP="00D97463">
      <w:pPr>
        <w:pStyle w:val="SingleTxt"/>
        <w:rPr>
          <w:rFonts w:eastAsia="MS Mincho"/>
        </w:rPr>
      </w:pPr>
      <w:r w:rsidRPr="00981405">
        <w:rPr>
          <w:rFonts w:eastAsia="MS Mincho"/>
        </w:rPr>
        <w:t>(17)</w:t>
      </w:r>
      <w:r w:rsidRPr="00981405">
        <w:rPr>
          <w:rFonts w:eastAsia="MS Mincho"/>
        </w:rPr>
        <w:tab/>
        <w:t>Thus,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specific</w:t>
      </w:r>
      <w:r w:rsidR="00190923" w:rsidRPr="00981405">
        <w:rPr>
          <w:rFonts w:eastAsia="MS Mincho"/>
        </w:rPr>
        <w:t xml:space="preserve"> </w:t>
      </w:r>
      <w:r w:rsidRPr="00981405">
        <w:rPr>
          <w:rFonts w:eastAsia="MS Mincho"/>
        </w:rPr>
        <w:t>preventive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given</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pursue</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will</w:t>
      </w:r>
      <w:r w:rsidR="00190923" w:rsidRPr="00981405">
        <w:rPr>
          <w:rFonts w:eastAsia="MS Mincho"/>
        </w:rPr>
        <w:t xml:space="preserve"> </w:t>
      </w:r>
      <w:r w:rsidRPr="00981405">
        <w:rPr>
          <w:rFonts w:eastAsia="MS Mincho"/>
        </w:rPr>
        <w:t>depend</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risks</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issue</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these</w:t>
      </w:r>
      <w:r w:rsidR="00190923" w:rsidRPr="00981405">
        <w:rPr>
          <w:rFonts w:eastAsia="MS Mincho"/>
        </w:rPr>
        <w:t xml:space="preserve"> </w:t>
      </w:r>
      <w:r w:rsidRPr="00981405">
        <w:rPr>
          <w:rFonts w:eastAsia="MS Mincho"/>
        </w:rPr>
        <w:t>offenses.</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usually</w:t>
      </w:r>
      <w:r w:rsidR="00190923" w:rsidRPr="00981405">
        <w:rPr>
          <w:rFonts w:eastAsia="MS Mincho"/>
        </w:rPr>
        <w:t xml:space="preserve"> </w:t>
      </w:r>
      <w:r w:rsidRPr="00981405">
        <w:rPr>
          <w:rFonts w:eastAsia="MS Mincho"/>
        </w:rPr>
        <w:t>would</w:t>
      </w:r>
      <w:r w:rsidR="00190923" w:rsidRPr="00981405">
        <w:rPr>
          <w:rFonts w:eastAsia="MS Mincho"/>
        </w:rPr>
        <w:t xml:space="preserve"> </w:t>
      </w:r>
      <w:r w:rsidRPr="00981405">
        <w:rPr>
          <w:rFonts w:eastAsia="MS Mincho"/>
        </w:rPr>
        <w:t>oblige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least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adopt</w:t>
      </w:r>
      <w:r w:rsidR="00190923" w:rsidRPr="00981405">
        <w:rPr>
          <w:rFonts w:eastAsia="MS Mincho"/>
        </w:rPr>
        <w:t xml:space="preserve"> </w:t>
      </w:r>
      <w:r w:rsidRPr="00981405">
        <w:rPr>
          <w:rFonts w:eastAsia="MS Mincho"/>
        </w:rPr>
        <w:t>national</w:t>
      </w:r>
      <w:r w:rsidR="00190923" w:rsidRPr="00981405">
        <w:rPr>
          <w:rFonts w:eastAsia="MS Mincho"/>
        </w:rPr>
        <w:t xml:space="preserve"> </w:t>
      </w:r>
      <w:r w:rsidRPr="00981405">
        <w:rPr>
          <w:rFonts w:eastAsia="MS Mincho"/>
        </w:rPr>
        <w:t>laws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policies</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establish</w:t>
      </w:r>
      <w:r w:rsidR="00190923" w:rsidRPr="00981405">
        <w:rPr>
          <w:rFonts w:eastAsia="MS Mincho"/>
        </w:rPr>
        <w:t xml:space="preserve"> </w:t>
      </w:r>
      <w:r w:rsidRPr="00981405">
        <w:rPr>
          <w:rFonts w:eastAsia="MS Mincho"/>
        </w:rPr>
        <w:t>awareness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criminality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promote</w:t>
      </w:r>
      <w:r w:rsidR="00190923" w:rsidRPr="00981405">
        <w:rPr>
          <w:rFonts w:eastAsia="MS Mincho"/>
        </w:rPr>
        <w:t xml:space="preserve"> </w:t>
      </w:r>
      <w:r w:rsidRPr="00981405">
        <w:rPr>
          <w:rFonts w:eastAsia="MS Mincho"/>
        </w:rPr>
        <w:t>early</w:t>
      </w:r>
      <w:r w:rsidR="00190923" w:rsidRPr="00981405">
        <w:rPr>
          <w:rFonts w:eastAsia="MS Mincho"/>
        </w:rPr>
        <w:t xml:space="preserve"> </w:t>
      </w:r>
      <w:r w:rsidRPr="00981405">
        <w:rPr>
          <w:rFonts w:eastAsia="MS Mincho"/>
        </w:rPr>
        <w:t>detection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risk</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continually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keep</w:t>
      </w:r>
      <w:r w:rsidR="00190923" w:rsidRPr="00981405">
        <w:rPr>
          <w:rFonts w:eastAsia="MS Mincho"/>
        </w:rPr>
        <w:t xml:space="preserve"> </w:t>
      </w:r>
      <w:r w:rsidRPr="00981405">
        <w:rPr>
          <w:rFonts w:eastAsia="MS Mincho"/>
        </w:rPr>
        <w:t>those</w:t>
      </w:r>
      <w:r w:rsidR="00190923" w:rsidRPr="00981405">
        <w:rPr>
          <w:rFonts w:eastAsia="MS Mincho"/>
        </w:rPr>
        <w:t xml:space="preserve"> </w:t>
      </w:r>
      <w:r w:rsidRPr="00981405">
        <w:rPr>
          <w:rFonts w:eastAsia="MS Mincho"/>
        </w:rPr>
        <w:t>laws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policies</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review</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improve</w:t>
      </w:r>
      <w:r w:rsidR="00190923" w:rsidRPr="00981405">
        <w:rPr>
          <w:rFonts w:eastAsia="MS Mincho"/>
        </w:rPr>
        <w:t xml:space="preserve"> </w:t>
      </w:r>
      <w:r w:rsidRPr="00981405">
        <w:rPr>
          <w:rFonts w:eastAsia="MS Mincho"/>
        </w:rPr>
        <w:t>them;</w:t>
      </w:r>
      <w:r w:rsidR="00190923" w:rsidRPr="00981405">
        <w:rPr>
          <w:rFonts w:eastAsia="MS Mincho"/>
        </w:rPr>
        <w:t xml:space="preserve"> </w:t>
      </w:r>
      <w:r w:rsidRPr="00981405">
        <w:rPr>
          <w:rFonts w:eastAsia="MS Mincho"/>
        </w:rPr>
        <w:t>(3)</w:t>
      </w:r>
      <w:r w:rsidR="00190923" w:rsidRPr="00981405">
        <w:rPr>
          <w:rFonts w:eastAsia="MS Mincho"/>
        </w:rPr>
        <w:t xml:space="preserve"> </w:t>
      </w:r>
      <w:r w:rsidRPr="00981405">
        <w:rPr>
          <w:rFonts w:eastAsia="MS Mincho"/>
        </w:rPr>
        <w:t>pursue</w:t>
      </w:r>
      <w:r w:rsidR="00190923" w:rsidRPr="00981405">
        <w:rPr>
          <w:rFonts w:eastAsia="MS Mincho"/>
        </w:rPr>
        <w:t xml:space="preserve"> </w:t>
      </w:r>
      <w:r w:rsidRPr="00981405">
        <w:rPr>
          <w:rFonts w:eastAsia="MS Mincho"/>
        </w:rPr>
        <w:t>initiatives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educate</w:t>
      </w:r>
      <w:r w:rsidR="00190923" w:rsidRPr="00981405">
        <w:rPr>
          <w:rFonts w:eastAsia="MS Mincho"/>
        </w:rPr>
        <w:t xml:space="preserve"> </w:t>
      </w:r>
      <w:r w:rsidRPr="00981405">
        <w:rPr>
          <w:rFonts w:eastAsia="MS Mincho"/>
        </w:rPr>
        <w:t>governmental</w:t>
      </w:r>
      <w:r w:rsidR="00190923" w:rsidRPr="00981405">
        <w:rPr>
          <w:rFonts w:eastAsia="MS Mincho"/>
        </w:rPr>
        <w:t xml:space="preserve"> </w:t>
      </w:r>
      <w:r w:rsidRPr="00981405">
        <w:rPr>
          <w:rFonts w:eastAsia="MS Mincho"/>
        </w:rPr>
        <w:t>officials</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obligations</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articles;</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implement</w:t>
      </w:r>
      <w:r w:rsidR="00190923" w:rsidRPr="00981405">
        <w:rPr>
          <w:rFonts w:eastAsia="MS Mincho"/>
        </w:rPr>
        <w:t xml:space="preserve"> </w:t>
      </w:r>
      <w:r w:rsidRPr="00981405">
        <w:rPr>
          <w:rFonts w:eastAsia="MS Mincho"/>
        </w:rPr>
        <w:t>training</w:t>
      </w:r>
      <w:r w:rsidR="00190923" w:rsidRPr="00981405">
        <w:rPr>
          <w:rFonts w:eastAsia="MS Mincho"/>
        </w:rPr>
        <w:t xml:space="preserve"> </w:t>
      </w:r>
      <w:r w:rsidRPr="00981405">
        <w:rPr>
          <w:rFonts w:eastAsia="MS Mincho"/>
        </w:rPr>
        <w:t>programmes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police,</w:t>
      </w:r>
      <w:r w:rsidR="00190923" w:rsidRPr="00981405">
        <w:rPr>
          <w:rFonts w:eastAsia="MS Mincho"/>
        </w:rPr>
        <w:t xml:space="preserve"> </w:t>
      </w:r>
      <w:r w:rsidRPr="00981405">
        <w:rPr>
          <w:rFonts w:eastAsia="MS Mincho"/>
        </w:rPr>
        <w:t>military,</w:t>
      </w:r>
      <w:r w:rsidR="00190923" w:rsidRPr="00981405">
        <w:rPr>
          <w:rFonts w:eastAsia="MS Mincho"/>
        </w:rPr>
        <w:t xml:space="preserve"> </w:t>
      </w:r>
      <w:r w:rsidRPr="00981405">
        <w:rPr>
          <w:rFonts w:eastAsia="MS Mincho"/>
        </w:rPr>
        <w:t>militia,</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relevant</w:t>
      </w:r>
      <w:r w:rsidR="00190923" w:rsidRPr="00981405">
        <w:rPr>
          <w:rFonts w:eastAsia="MS Mincho"/>
        </w:rPr>
        <w:t xml:space="preserve"> </w:t>
      </w:r>
      <w:r w:rsidRPr="00981405">
        <w:rPr>
          <w:rFonts w:eastAsia="MS Mincho"/>
        </w:rPr>
        <w:t>personnel</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help</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(5)</w:t>
      </w:r>
      <w:r w:rsidR="00190923" w:rsidRPr="00981405">
        <w:rPr>
          <w:rFonts w:eastAsia="MS Mincho"/>
        </w:rPr>
        <w:t xml:space="preserve"> </w:t>
      </w:r>
      <w:r w:rsidRPr="00981405">
        <w:rPr>
          <w:rFonts w:eastAsia="MS Mincho"/>
        </w:rPr>
        <w:t>once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proscribed</w:t>
      </w:r>
      <w:r w:rsidR="00190923" w:rsidRPr="00981405">
        <w:rPr>
          <w:rFonts w:eastAsia="MS Mincho"/>
        </w:rPr>
        <w:t xml:space="preserve"> </w:t>
      </w:r>
      <w:r w:rsidRPr="00981405">
        <w:rPr>
          <w:rFonts w:eastAsia="MS Mincho"/>
        </w:rPr>
        <w:t>act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committed,</w:t>
      </w:r>
      <w:r w:rsidR="00190923" w:rsidRPr="00981405">
        <w:rPr>
          <w:rFonts w:eastAsia="MS Mincho"/>
        </w:rPr>
        <w:t xml:space="preserve"> </w:t>
      </w:r>
      <w:r w:rsidRPr="00981405">
        <w:rPr>
          <w:rFonts w:eastAsia="MS Mincho"/>
        </w:rPr>
        <w:t>fulfill</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good</w:t>
      </w:r>
      <w:r w:rsidR="00190923" w:rsidRPr="00981405">
        <w:rPr>
          <w:rFonts w:eastAsia="MS Mincho"/>
        </w:rPr>
        <w:t xml:space="preserve"> </w:t>
      </w:r>
      <w:r w:rsidRPr="00981405">
        <w:rPr>
          <w:rFonts w:eastAsia="MS Mincho"/>
        </w:rPr>
        <w:t>faith</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obligations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investigate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either</w:t>
      </w:r>
      <w:r w:rsidR="00190923" w:rsidRPr="00981405">
        <w:rPr>
          <w:rFonts w:eastAsia="MS Mincho"/>
        </w:rPr>
        <w:t xml:space="preserve"> </w:t>
      </w:r>
      <w:r w:rsidRPr="00981405">
        <w:rPr>
          <w:rFonts w:eastAsia="MS Mincho"/>
        </w:rPr>
        <w:t>prosecute</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extradite</w:t>
      </w:r>
      <w:r w:rsidR="00190923" w:rsidRPr="00981405">
        <w:rPr>
          <w:rFonts w:eastAsia="MS Mincho"/>
        </w:rPr>
        <w:t xml:space="preserve"> </w:t>
      </w:r>
      <w:r w:rsidRPr="00981405">
        <w:rPr>
          <w:rFonts w:eastAsia="MS Mincho"/>
        </w:rPr>
        <w:t>offenders,</w:t>
      </w:r>
      <w:r w:rsidR="00190923" w:rsidRPr="00981405">
        <w:rPr>
          <w:rFonts w:eastAsia="MS Mincho"/>
        </w:rPr>
        <w:t xml:space="preserve"> </w:t>
      </w:r>
      <w:r w:rsidRPr="00981405">
        <w:rPr>
          <w:rFonts w:eastAsia="MS Mincho"/>
        </w:rPr>
        <w:t>since</w:t>
      </w:r>
      <w:r w:rsidR="00190923" w:rsidRPr="00981405">
        <w:rPr>
          <w:rFonts w:eastAsia="MS Mincho"/>
        </w:rPr>
        <w:t xml:space="preserve"> </w:t>
      </w:r>
      <w:r w:rsidRPr="00981405">
        <w:rPr>
          <w:rFonts w:eastAsia="MS Mincho"/>
        </w:rPr>
        <w:t>doing</w:t>
      </w:r>
      <w:r w:rsidR="00190923" w:rsidRPr="00981405">
        <w:rPr>
          <w:rFonts w:eastAsia="MS Mincho"/>
        </w:rPr>
        <w:t xml:space="preserve"> </w:t>
      </w:r>
      <w:r w:rsidRPr="00981405">
        <w:rPr>
          <w:rFonts w:eastAsia="MS Mincho"/>
        </w:rPr>
        <w:t>so</w:t>
      </w:r>
      <w:r w:rsidR="00190923" w:rsidRPr="00981405">
        <w:rPr>
          <w:rFonts w:eastAsia="MS Mincho"/>
        </w:rPr>
        <w:t xml:space="preserve"> </w:t>
      </w:r>
      <w:r w:rsidRPr="00981405">
        <w:rPr>
          <w:rFonts w:eastAsia="MS Mincho"/>
        </w:rPr>
        <w:t>serves,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part,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deter</w:t>
      </w:r>
      <w:r w:rsidR="00190923" w:rsidRPr="00981405">
        <w:rPr>
          <w:rFonts w:eastAsia="MS Mincho"/>
        </w:rPr>
        <w:t xml:space="preserve"> </w:t>
      </w:r>
      <w:r w:rsidRPr="00981405">
        <w:rPr>
          <w:rFonts w:eastAsia="MS Mincho"/>
        </w:rPr>
        <w:t>future</w:t>
      </w:r>
      <w:r w:rsidR="00190923" w:rsidRPr="00981405">
        <w:rPr>
          <w:rFonts w:eastAsia="MS Mincho"/>
        </w:rPr>
        <w:t xml:space="preserve"> </w:t>
      </w:r>
      <w:r w:rsidRPr="00981405">
        <w:rPr>
          <w:rFonts w:eastAsia="MS Mincho"/>
        </w:rPr>
        <w:t>acts</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others.</w:t>
      </w:r>
      <w:r w:rsidRPr="00981405">
        <w:rPr>
          <w:rStyle w:val="FootnoteReference"/>
        </w:rPr>
        <w:footnoteReference w:id="278"/>
      </w:r>
      <w:r w:rsidR="00190923" w:rsidRPr="00981405">
        <w:rPr>
          <w:rFonts w:eastAsia="MS Mincho"/>
        </w:rPr>
        <w:t xml:space="preserve"> </w:t>
      </w:r>
      <w:r w:rsidRPr="00981405">
        <w:t>Some</w:t>
      </w:r>
      <w:r w:rsidR="00190923" w:rsidRPr="00981405">
        <w:t xml:space="preserve"> </w:t>
      </w:r>
      <w:r w:rsidRPr="00981405">
        <w:t>measures,</w:t>
      </w:r>
      <w:r w:rsidR="00190923" w:rsidRPr="00981405">
        <w:t xml:space="preserve"> </w:t>
      </w:r>
      <w:r w:rsidRPr="00981405">
        <w:t>such</w:t>
      </w:r>
      <w:r w:rsidR="00190923" w:rsidRPr="00981405">
        <w:t xml:space="preserve"> </w:t>
      </w:r>
      <w:r w:rsidRPr="00981405">
        <w:t>as</w:t>
      </w:r>
      <w:r w:rsidR="00190923" w:rsidRPr="00981405">
        <w:t xml:space="preserve"> </w:t>
      </w:r>
      <w:r w:rsidRPr="00981405">
        <w:t>training</w:t>
      </w:r>
      <w:r w:rsidR="00190923" w:rsidRPr="00981405">
        <w:t xml:space="preserve"> </w:t>
      </w:r>
      <w:r w:rsidRPr="00981405">
        <w:t>programmes,</w:t>
      </w:r>
      <w:r w:rsidR="00190923" w:rsidRPr="00981405">
        <w:t xml:space="preserve"> </w:t>
      </w:r>
      <w:r w:rsidRPr="00981405">
        <w:t>may</w:t>
      </w:r>
      <w:r w:rsidR="00190923" w:rsidRPr="00981405">
        <w:t xml:space="preserve"> </w:t>
      </w:r>
      <w:r w:rsidRPr="00981405">
        <w:t>already</w:t>
      </w:r>
      <w:r w:rsidR="00190923" w:rsidRPr="00981405">
        <w:t xml:space="preserve"> </w:t>
      </w:r>
      <w:r w:rsidRPr="00981405">
        <w:t>exist</w:t>
      </w:r>
      <w:r w:rsidR="00190923" w:rsidRPr="00981405">
        <w:t xml:space="preserve"> </w:t>
      </w:r>
      <w:r w:rsidRPr="00981405">
        <w:t>in</w:t>
      </w:r>
      <w:r w:rsidR="00190923" w:rsidRPr="00981405">
        <w:t xml:space="preserve"> </w:t>
      </w:r>
      <w:r w:rsidRPr="00981405">
        <w:t>the</w:t>
      </w:r>
      <w:r w:rsidR="00190923" w:rsidRPr="00981405">
        <w:t xml:space="preserve"> </w:t>
      </w:r>
      <w:r w:rsidRPr="00981405">
        <w:t>State</w:t>
      </w:r>
      <w:r w:rsidR="00190923" w:rsidRPr="00981405">
        <w:t xml:space="preserve"> </w:t>
      </w:r>
      <w:r w:rsidRPr="00981405">
        <w:t>to</w:t>
      </w:r>
      <w:r w:rsidR="00190923" w:rsidRPr="00981405">
        <w:t xml:space="preserve"> </w:t>
      </w:r>
      <w:r w:rsidRPr="00981405">
        <w:t>help</w:t>
      </w:r>
      <w:r w:rsidR="00190923" w:rsidRPr="00981405">
        <w:t xml:space="preserve"> </w:t>
      </w:r>
      <w:r w:rsidRPr="00981405">
        <w:t>prevent</w:t>
      </w:r>
      <w:r w:rsidR="00190923" w:rsidRPr="00981405">
        <w:t xml:space="preserve"> </w:t>
      </w:r>
      <w:r w:rsidRPr="00981405">
        <w:t>wrongful</w:t>
      </w:r>
      <w:r w:rsidR="00190923" w:rsidRPr="00981405">
        <w:t xml:space="preserve"> </w:t>
      </w:r>
      <w:r w:rsidRPr="00981405">
        <w:t>acts</w:t>
      </w:r>
      <w:r w:rsidR="00190923" w:rsidRPr="00981405">
        <w:t xml:space="preserve"> </w:t>
      </w:r>
      <w:r w:rsidRPr="00981405">
        <w:t>(such</w:t>
      </w:r>
      <w:r w:rsidR="00190923" w:rsidRPr="00981405">
        <w:t xml:space="preserve"> </w:t>
      </w:r>
      <w:r w:rsidRPr="00981405">
        <w:t>as</w:t>
      </w:r>
      <w:r w:rsidR="00190923" w:rsidRPr="00981405">
        <w:t xml:space="preserve"> </w:t>
      </w:r>
      <w:r w:rsidRPr="00981405">
        <w:t>murder,</w:t>
      </w:r>
      <w:r w:rsidR="00190923" w:rsidRPr="00981405">
        <w:t xml:space="preserve"> </w:t>
      </w:r>
      <w:r w:rsidRPr="00981405">
        <w:t>torture</w:t>
      </w:r>
      <w:r w:rsidR="00190923" w:rsidRPr="00981405">
        <w:t xml:space="preserve"> </w:t>
      </w:r>
      <w:r w:rsidRPr="00981405">
        <w:t>or</w:t>
      </w:r>
      <w:r w:rsidR="00190923" w:rsidRPr="00981405">
        <w:t xml:space="preserve"> </w:t>
      </w:r>
      <w:r w:rsidRPr="00981405">
        <w:t>rape)</w:t>
      </w:r>
      <w:r w:rsidR="00190923" w:rsidRPr="00981405">
        <w:t xml:space="preserve"> </w:t>
      </w:r>
      <w:r w:rsidRPr="00981405">
        <w:t>that</w:t>
      </w:r>
      <w:r w:rsidR="00190923" w:rsidRPr="00981405">
        <w:t xml:space="preserve"> </w:t>
      </w:r>
      <w:r w:rsidRPr="00981405">
        <w:t>relate</w:t>
      </w:r>
      <w:r w:rsidR="00190923" w:rsidRPr="00981405">
        <w:t xml:space="preserve"> </w:t>
      </w:r>
      <w:r w:rsidRPr="00981405">
        <w:t>to</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t>The</w:t>
      </w:r>
      <w:r w:rsidR="00190923" w:rsidRPr="00981405">
        <w:t xml:space="preserve"> </w:t>
      </w:r>
      <w:r w:rsidRPr="00981405">
        <w:t>State</w:t>
      </w:r>
      <w:r w:rsidR="00190923" w:rsidRPr="00981405">
        <w:t xml:space="preserve"> </w:t>
      </w:r>
      <w:r w:rsidRPr="00981405">
        <w:t>is</w:t>
      </w:r>
      <w:r w:rsidR="00190923" w:rsidRPr="00981405">
        <w:t xml:space="preserve"> </w:t>
      </w:r>
      <w:r w:rsidRPr="00981405">
        <w:t>obligated</w:t>
      </w:r>
      <w:r w:rsidR="00190923" w:rsidRPr="00981405">
        <w:t xml:space="preserve"> </w:t>
      </w:r>
      <w:r w:rsidRPr="00981405">
        <w:t>to</w:t>
      </w:r>
      <w:r w:rsidR="00190923" w:rsidRPr="00981405">
        <w:t xml:space="preserve"> </w:t>
      </w:r>
      <w:r w:rsidRPr="00981405">
        <w:t>supplement</w:t>
      </w:r>
      <w:r w:rsidR="00190923" w:rsidRPr="00981405">
        <w:t xml:space="preserve"> </w:t>
      </w:r>
      <w:r w:rsidRPr="00981405">
        <w:t>those</w:t>
      </w:r>
      <w:r w:rsidR="00190923" w:rsidRPr="00981405">
        <w:t xml:space="preserve"> </w:t>
      </w:r>
      <w:r w:rsidRPr="00981405">
        <w:t>measures,</w:t>
      </w:r>
      <w:r w:rsidR="00190923" w:rsidRPr="00981405">
        <w:t xml:space="preserve"> </w:t>
      </w:r>
      <w:r w:rsidRPr="00981405">
        <w:t>as</w:t>
      </w:r>
      <w:r w:rsidR="00190923" w:rsidRPr="00981405">
        <w:t xml:space="preserve"> </w:t>
      </w:r>
      <w:r w:rsidRPr="00981405">
        <w:t>necessary,</w:t>
      </w:r>
      <w:r w:rsidR="00190923" w:rsidRPr="00981405">
        <w:t xml:space="preserve"> </w:t>
      </w:r>
      <w:r w:rsidRPr="00981405">
        <w:t>specifically</w:t>
      </w:r>
      <w:r w:rsidR="00190923" w:rsidRPr="00981405">
        <w:t xml:space="preserve"> </w:t>
      </w:r>
      <w:r w:rsidRPr="00981405">
        <w:t>to</w:t>
      </w:r>
      <w:r w:rsidR="00190923" w:rsidRPr="00981405">
        <w:t xml:space="preserve"> </w:t>
      </w:r>
      <w:r w:rsidRPr="00981405">
        <w:t>prevent</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190923" w:rsidRPr="00981405">
        <w:t xml:space="preserve"> </w:t>
      </w:r>
      <w:r w:rsidRPr="00981405">
        <w:rPr>
          <w:rFonts w:eastAsia="MS Mincho"/>
        </w:rPr>
        <w:t>Here,</w:t>
      </w:r>
      <w:r w:rsidR="00190923" w:rsidRPr="00981405">
        <w:rPr>
          <w:rFonts w:eastAsia="MS Mincho"/>
        </w:rPr>
        <w:t xml:space="preserve"> </w:t>
      </w:r>
      <w:r w:rsidRPr="00981405">
        <w:rPr>
          <w:rFonts w:eastAsia="MS Mincho"/>
        </w:rPr>
        <w:t>too,</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arises</w:t>
      </w:r>
      <w:r w:rsidR="00190923" w:rsidRPr="00981405">
        <w:rPr>
          <w:rFonts w:eastAsia="MS Mincho"/>
        </w:rPr>
        <w:t xml:space="preserve"> </w:t>
      </w:r>
      <w:r w:rsidRPr="00981405">
        <w:rPr>
          <w:rFonts w:eastAsia="MS Mincho"/>
        </w:rPr>
        <w:t>if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failed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use</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best</w:t>
      </w:r>
      <w:r w:rsidR="00190923" w:rsidRPr="00981405">
        <w:rPr>
          <w:rFonts w:eastAsia="MS Mincho"/>
        </w:rPr>
        <w:t xml:space="preserve"> </w:t>
      </w:r>
      <w:r w:rsidRPr="00981405">
        <w:rPr>
          <w:rFonts w:eastAsia="MS Mincho"/>
        </w:rPr>
        <w:t>efforts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organize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governmental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apparatus,</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order</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far</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possible</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p>
    <w:p w:rsidR="00397032" w:rsidRPr="00981405" w:rsidRDefault="00397032" w:rsidP="00D97463">
      <w:pPr>
        <w:pStyle w:val="SingleTxt"/>
        <w:rPr>
          <w:rFonts w:eastAsia="MS Mincho"/>
        </w:rPr>
      </w:pPr>
      <w:r w:rsidRPr="00981405">
        <w:rPr>
          <w:rFonts w:eastAsia="MS Mincho"/>
        </w:rPr>
        <w:t>(18)</w:t>
      </w:r>
      <w:r w:rsidRPr="00981405">
        <w:rPr>
          <w:rFonts w:eastAsia="MS Mincho"/>
        </w:rPr>
        <w:tab/>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refers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pursuing</w:t>
      </w:r>
      <w:r w:rsidR="00190923" w:rsidRPr="00981405">
        <w:rPr>
          <w:rFonts w:eastAsia="MS Mincho"/>
        </w:rPr>
        <w:t xml:space="preserve"> </w:t>
      </w:r>
      <w:r w:rsidRPr="00981405">
        <w:rPr>
          <w:rFonts w:eastAsia="MS Mincho"/>
        </w:rPr>
        <w:t>effective</w:t>
      </w:r>
      <w:r w:rsidR="00190923" w:rsidRPr="00981405">
        <w:rPr>
          <w:rFonts w:eastAsia="MS Mincho"/>
        </w:rPr>
        <w:t xml:space="preserve"> </w:t>
      </w:r>
      <w:r w:rsidRPr="00981405">
        <w:rPr>
          <w:rFonts w:eastAsia="MS Mincho"/>
        </w:rPr>
        <w:t>legislative,</w:t>
      </w:r>
      <w:r w:rsidR="00190923" w:rsidRPr="00981405">
        <w:rPr>
          <w:rFonts w:eastAsia="MS Mincho"/>
        </w:rPr>
        <w:t xml:space="preserve"> </w:t>
      </w:r>
      <w:r w:rsidRPr="00981405">
        <w:rPr>
          <w:rFonts w:eastAsia="MS Mincho"/>
        </w:rPr>
        <w:t>administrative,</w:t>
      </w:r>
      <w:r w:rsidR="00190923" w:rsidRPr="00981405">
        <w:rPr>
          <w:rFonts w:eastAsia="MS Mincho"/>
        </w:rPr>
        <w:t xml:space="preserve"> </w:t>
      </w:r>
      <w:r w:rsidRPr="00981405">
        <w:rPr>
          <w:rFonts w:eastAsia="MS Mincho"/>
        </w:rPr>
        <w:t>judicial</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preventive</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00B92E2C" w:rsidRPr="00981405">
        <w:rPr>
          <w:rFonts w:eastAsia="MS Mincho"/>
        </w:rPr>
        <w:t>“</w:t>
      </w:r>
      <w:r w:rsidRPr="00981405">
        <w:rPr>
          <w:rFonts w:eastAsia="MS Mincho"/>
        </w:rPr>
        <w:t>in</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territory</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jurisdiction</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control.</w:t>
      </w:r>
      <w:r w:rsidR="00B92E2C" w:rsidRPr="00981405">
        <w:rPr>
          <w:rFonts w:eastAsia="MS Mincho"/>
        </w:rPr>
        <w:t>”</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formula</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understood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way</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prior</w:t>
      </w:r>
      <w:r w:rsidR="00190923" w:rsidRPr="00981405">
        <w:rPr>
          <w:rFonts w:eastAsia="MS Mincho"/>
        </w:rPr>
        <w:t xml:space="preserve"> </w:t>
      </w:r>
      <w:r w:rsidRPr="00981405">
        <w:rPr>
          <w:rFonts w:eastAsia="MS Mincho"/>
        </w:rPr>
        <w:t>topics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addressing</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contexts,</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lastRenderedPageBreak/>
        <w:t>of</w:t>
      </w:r>
      <w:r w:rsidR="00190923" w:rsidRPr="00981405">
        <w:rPr>
          <w:rFonts w:eastAsia="MS Mincho"/>
        </w:rPr>
        <w:t xml:space="preserve"> </w:t>
      </w:r>
      <w:r w:rsidRPr="00981405">
        <w:rPr>
          <w:rFonts w:eastAsia="MS Mincho"/>
        </w:rPr>
        <w:t>environmental</w:t>
      </w:r>
      <w:r w:rsidR="00190923" w:rsidRPr="00981405">
        <w:rPr>
          <w:rFonts w:eastAsia="MS Mincho"/>
        </w:rPr>
        <w:t xml:space="preserve"> </w:t>
      </w:r>
      <w:r w:rsidRPr="00981405">
        <w:rPr>
          <w:rFonts w:eastAsia="MS Mincho"/>
        </w:rPr>
        <w:t>harm.</w:t>
      </w:r>
      <w:r w:rsidRPr="00981405">
        <w:rPr>
          <w:rStyle w:val="FootnoteReference"/>
        </w:rPr>
        <w:footnoteReference w:id="279"/>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formulation</w:t>
      </w:r>
      <w:r w:rsidR="00190923" w:rsidRPr="00981405">
        <w:rPr>
          <w:rFonts w:eastAsia="MS Mincho"/>
        </w:rPr>
        <w:t xml:space="preserve"> </w:t>
      </w:r>
      <w:r w:rsidRPr="00981405">
        <w:rPr>
          <w:rFonts w:eastAsia="MS Mincho"/>
        </w:rPr>
        <w:t>covers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territory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also</w:t>
      </w:r>
      <w:r w:rsidR="00190923" w:rsidRPr="00981405">
        <w:rPr>
          <w:rFonts w:eastAsia="MS Mincho"/>
        </w:rPr>
        <w:t xml:space="preserve"> </w:t>
      </w:r>
      <w:r w:rsidRPr="00981405">
        <w:rPr>
          <w:rFonts w:eastAsia="MS Mincho"/>
        </w:rPr>
        <w:t>covers</w:t>
      </w:r>
      <w:r w:rsidR="00190923" w:rsidRPr="00981405">
        <w:rPr>
          <w:rFonts w:eastAsia="MS Mincho"/>
        </w:rPr>
        <w:t xml:space="preserve"> </w:t>
      </w:r>
      <w:r w:rsidRPr="00981405">
        <w:rPr>
          <w:rFonts w:eastAsia="MS Mincho"/>
        </w:rPr>
        <w:t>activities</w:t>
      </w:r>
      <w:r w:rsidR="00190923" w:rsidRPr="00981405">
        <w:rPr>
          <w:rFonts w:eastAsia="MS Mincho"/>
        </w:rPr>
        <w:t xml:space="preserve"> </w:t>
      </w:r>
      <w:r w:rsidRPr="00981405">
        <w:rPr>
          <w:rFonts w:eastAsia="MS Mincho"/>
        </w:rPr>
        <w:t>carried</w:t>
      </w:r>
      <w:r w:rsidR="00190923" w:rsidRPr="00981405">
        <w:rPr>
          <w:rFonts w:eastAsia="MS Mincho"/>
        </w:rPr>
        <w:t xml:space="preserve"> </w:t>
      </w:r>
      <w:r w:rsidRPr="00981405">
        <w:rPr>
          <w:rFonts w:eastAsia="MS Mincho"/>
        </w:rPr>
        <w:t>out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territory</w:t>
      </w:r>
      <w:r w:rsidR="00190923" w:rsidRPr="00981405">
        <w:rPr>
          <w:rFonts w:eastAsia="MS Mincho"/>
        </w:rPr>
        <w:t xml:space="preserve"> </w:t>
      </w:r>
      <w:r w:rsidRPr="00981405">
        <w:rPr>
          <w:rFonts w:eastAsia="MS Mincho"/>
        </w:rPr>
        <w:t>under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control.</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previously</w:t>
      </w:r>
      <w:r w:rsidR="00190923" w:rsidRPr="00981405">
        <w:rPr>
          <w:rFonts w:eastAsia="MS Mincho"/>
        </w:rPr>
        <w:t xml:space="preserve"> </w:t>
      </w:r>
      <w:r w:rsidRPr="00981405">
        <w:rPr>
          <w:rFonts w:eastAsia="MS Mincho"/>
        </w:rPr>
        <w:t>explained,</w:t>
      </w:r>
    </w:p>
    <w:p w:rsidR="00397032" w:rsidRPr="00981405" w:rsidRDefault="00B92E2C" w:rsidP="00D97463">
      <w:pPr>
        <w:pStyle w:val="SingleTxt"/>
        <w:ind w:left="1742"/>
        <w:rPr>
          <w:rFonts w:eastAsia="MS Mincho"/>
        </w:rPr>
      </w:pPr>
      <w:r w:rsidRPr="00981405">
        <w:rPr>
          <w:rFonts w:eastAsia="MS Mincho"/>
        </w:rPr>
        <w:t>“</w:t>
      </w:r>
      <w:r w:rsidR="00397032" w:rsidRPr="00981405">
        <w:rPr>
          <w:rFonts w:eastAsia="MS Mincho"/>
        </w:rPr>
        <w:t>it</w:t>
      </w:r>
      <w:r w:rsidR="00190923" w:rsidRPr="00981405">
        <w:rPr>
          <w:rFonts w:eastAsia="MS Mincho"/>
        </w:rPr>
        <w:t xml:space="preserve"> </w:t>
      </w:r>
      <w:r w:rsidR="00397032" w:rsidRPr="00981405">
        <w:rPr>
          <w:rFonts w:eastAsia="MS Mincho"/>
        </w:rPr>
        <w:t>covers</w:t>
      </w:r>
      <w:r w:rsidR="00190923" w:rsidRPr="00981405">
        <w:rPr>
          <w:rFonts w:eastAsia="MS Mincho"/>
        </w:rPr>
        <w:t xml:space="preserve"> </w:t>
      </w:r>
      <w:r w:rsidR="00397032" w:rsidRPr="00981405">
        <w:rPr>
          <w:rFonts w:eastAsia="MS Mincho"/>
        </w:rPr>
        <w:t>situations</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State</w:t>
      </w:r>
      <w:r w:rsidR="00190923" w:rsidRPr="00981405">
        <w:rPr>
          <w:rFonts w:eastAsia="MS Mincho"/>
        </w:rPr>
        <w:t xml:space="preserve"> </w:t>
      </w:r>
      <w:r w:rsidR="00397032" w:rsidRPr="00981405">
        <w:rPr>
          <w:rFonts w:eastAsia="MS Mincho"/>
        </w:rPr>
        <w:t>is</w:t>
      </w:r>
      <w:r w:rsidR="00190923" w:rsidRPr="00981405">
        <w:rPr>
          <w:rFonts w:eastAsia="MS Mincho"/>
        </w:rPr>
        <w:t xml:space="preserve"> </w:t>
      </w:r>
      <w:r w:rsidR="00397032" w:rsidRPr="00981405">
        <w:rPr>
          <w:rFonts w:eastAsia="MS Mincho"/>
        </w:rPr>
        <w:t>exercising</w:t>
      </w:r>
      <w:r w:rsidR="00190923" w:rsidRPr="00981405">
        <w:rPr>
          <w:rFonts w:eastAsia="MS Mincho"/>
        </w:rPr>
        <w:t xml:space="preserve"> </w:t>
      </w:r>
      <w:r w:rsidR="004769B2" w:rsidRPr="00981405">
        <w:rPr>
          <w:rFonts w:eastAsia="MS Mincho"/>
          <w:i/>
          <w:iCs/>
        </w:rPr>
        <w:t>de</w:t>
      </w:r>
      <w:r w:rsidR="00190923" w:rsidRPr="00981405">
        <w:rPr>
          <w:rFonts w:eastAsia="MS Mincho"/>
          <w:i/>
          <w:iCs/>
        </w:rPr>
        <w:t xml:space="preserve"> </w:t>
      </w:r>
      <w:r w:rsidR="004769B2" w:rsidRPr="00981405">
        <w:rPr>
          <w:rFonts w:eastAsia="MS Mincho"/>
          <w:i/>
          <w:iCs/>
        </w:rPr>
        <w:t>facto</w:t>
      </w:r>
      <w:r w:rsidR="00190923" w:rsidRPr="00981405">
        <w:rPr>
          <w:rFonts w:eastAsia="MS Mincho"/>
          <w:i/>
          <w:iCs/>
        </w:rPr>
        <w:t xml:space="preserve"> </w:t>
      </w:r>
      <w:r w:rsidR="00397032" w:rsidRPr="00981405">
        <w:rPr>
          <w:rFonts w:eastAsia="MS Mincho"/>
        </w:rPr>
        <w:t>jurisdiction,</w:t>
      </w:r>
      <w:r w:rsidR="00190923" w:rsidRPr="00981405">
        <w:rPr>
          <w:rFonts w:eastAsia="MS Mincho"/>
        </w:rPr>
        <w:t xml:space="preserve"> </w:t>
      </w:r>
      <w:r w:rsidR="00397032" w:rsidRPr="00981405">
        <w:rPr>
          <w:rFonts w:eastAsia="MS Mincho"/>
        </w:rPr>
        <w:t>even</w:t>
      </w:r>
      <w:r w:rsidR="00190923" w:rsidRPr="00981405">
        <w:rPr>
          <w:rFonts w:eastAsia="MS Mincho"/>
        </w:rPr>
        <w:t xml:space="preserve"> </w:t>
      </w:r>
      <w:r w:rsidR="00397032" w:rsidRPr="00981405">
        <w:rPr>
          <w:rFonts w:eastAsia="MS Mincho"/>
        </w:rPr>
        <w:t>though</w:t>
      </w:r>
      <w:r w:rsidR="00190923" w:rsidRPr="00981405">
        <w:rPr>
          <w:rFonts w:eastAsia="MS Mincho"/>
        </w:rPr>
        <w:t xml:space="preserve"> </w:t>
      </w:r>
      <w:r w:rsidR="00397032" w:rsidRPr="00981405">
        <w:rPr>
          <w:rFonts w:eastAsia="MS Mincho"/>
        </w:rPr>
        <w:t>it</w:t>
      </w:r>
      <w:r w:rsidR="00190923" w:rsidRPr="00981405">
        <w:rPr>
          <w:rFonts w:eastAsia="MS Mincho"/>
        </w:rPr>
        <w:t xml:space="preserve"> </w:t>
      </w:r>
      <w:r w:rsidR="00397032" w:rsidRPr="00981405">
        <w:rPr>
          <w:rFonts w:eastAsia="MS Mincho"/>
        </w:rPr>
        <w:t>lacks</w:t>
      </w:r>
      <w:r w:rsidR="00190923" w:rsidRPr="00981405">
        <w:rPr>
          <w:rFonts w:eastAsia="MS Mincho"/>
        </w:rPr>
        <w:t xml:space="preserve"> </w:t>
      </w:r>
      <w:r w:rsidR="00397032" w:rsidRPr="00981405">
        <w:rPr>
          <w:rFonts w:eastAsia="MS Mincho"/>
        </w:rPr>
        <w:t>jurisdiction</w:t>
      </w:r>
      <w:r w:rsidR="00190923" w:rsidRPr="00981405">
        <w:rPr>
          <w:rFonts w:eastAsia="MS Mincho"/>
        </w:rPr>
        <w:t xml:space="preserve"> </w:t>
      </w:r>
      <w:r w:rsidR="00052182" w:rsidRPr="00981405">
        <w:rPr>
          <w:rFonts w:eastAsia="MS Mincho"/>
          <w:i/>
          <w:iCs/>
        </w:rPr>
        <w:t>de</w:t>
      </w:r>
      <w:r w:rsidR="00190923" w:rsidRPr="00981405">
        <w:rPr>
          <w:rFonts w:eastAsia="MS Mincho"/>
          <w:i/>
          <w:iCs/>
        </w:rPr>
        <w:t xml:space="preserve"> </w:t>
      </w:r>
      <w:r w:rsidR="00052182" w:rsidRPr="00981405">
        <w:rPr>
          <w:rFonts w:eastAsia="MS Mincho"/>
          <w:i/>
          <w:iCs/>
        </w:rPr>
        <w:t>jure</w:t>
      </w:r>
      <w:r w:rsidR="00397032" w:rsidRPr="00981405">
        <w:rPr>
          <w:rFonts w:eastAsia="MS Mincho"/>
        </w:rPr>
        <w:t>,</w:t>
      </w:r>
      <w:r w:rsidR="00190923" w:rsidRPr="00981405">
        <w:rPr>
          <w:rFonts w:eastAsia="MS Mincho"/>
        </w:rPr>
        <w:t xml:space="preserve"> </w:t>
      </w:r>
      <w:r w:rsidR="00397032" w:rsidRPr="00981405">
        <w:rPr>
          <w:rFonts w:eastAsia="MS Mincho"/>
        </w:rPr>
        <w:t>such</w:t>
      </w:r>
      <w:r w:rsidR="00190923" w:rsidRPr="00981405">
        <w:rPr>
          <w:rFonts w:eastAsia="MS Mincho"/>
        </w:rPr>
        <w:t xml:space="preserve"> </w:t>
      </w:r>
      <w:r w:rsidR="00397032" w:rsidRPr="00981405">
        <w:rPr>
          <w:rFonts w:eastAsia="MS Mincho"/>
        </w:rPr>
        <w:t>as</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cases</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unlawful</w:t>
      </w:r>
      <w:r w:rsidR="00190923" w:rsidRPr="00981405">
        <w:rPr>
          <w:rFonts w:eastAsia="MS Mincho"/>
        </w:rPr>
        <w:t xml:space="preserve"> </w:t>
      </w:r>
      <w:r w:rsidR="00397032" w:rsidRPr="00981405">
        <w:rPr>
          <w:rFonts w:eastAsia="MS Mincho"/>
        </w:rPr>
        <w:t>intervention,</w:t>
      </w:r>
      <w:r w:rsidR="00190923" w:rsidRPr="00981405">
        <w:rPr>
          <w:rFonts w:eastAsia="MS Mincho"/>
        </w:rPr>
        <w:t xml:space="preserve"> </w:t>
      </w:r>
      <w:r w:rsidR="00397032" w:rsidRPr="00981405">
        <w:rPr>
          <w:rFonts w:eastAsia="MS Mincho"/>
        </w:rPr>
        <w:t>occupation</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unlawful</w:t>
      </w:r>
      <w:r w:rsidR="00190923" w:rsidRPr="00981405">
        <w:rPr>
          <w:rFonts w:eastAsia="MS Mincho"/>
        </w:rPr>
        <w:t xml:space="preserve"> </w:t>
      </w:r>
      <w:r w:rsidR="00397032" w:rsidRPr="00981405">
        <w:rPr>
          <w:rFonts w:eastAsia="MS Mincho"/>
        </w:rPr>
        <w:t>annexation.</w:t>
      </w:r>
      <w:r w:rsidR="00190923" w:rsidRPr="00981405">
        <w:rPr>
          <w:rFonts w:eastAsia="MS Mincho"/>
        </w:rPr>
        <w:t xml:space="preserve"> </w:t>
      </w:r>
      <w:r w:rsidR="00397032" w:rsidRPr="00981405">
        <w:rPr>
          <w:rFonts w:eastAsia="MS Mincho"/>
        </w:rPr>
        <w:t>Reference</w:t>
      </w:r>
      <w:r w:rsidR="00190923" w:rsidRPr="00981405">
        <w:rPr>
          <w:rFonts w:eastAsia="MS Mincho"/>
        </w:rPr>
        <w:t xml:space="preserve"> </w:t>
      </w:r>
      <w:r w:rsidR="00397032" w:rsidRPr="00981405">
        <w:rPr>
          <w:rFonts w:eastAsia="MS Mincho"/>
        </w:rPr>
        <w:t>may</w:t>
      </w:r>
      <w:r w:rsidR="00190923" w:rsidRPr="00981405">
        <w:rPr>
          <w:rFonts w:eastAsia="MS Mincho"/>
        </w:rPr>
        <w:t xml:space="preserve"> </w:t>
      </w:r>
      <w:r w:rsidR="00397032" w:rsidRPr="00981405">
        <w:rPr>
          <w:rFonts w:eastAsia="MS Mincho"/>
        </w:rPr>
        <w:t>be</w:t>
      </w:r>
      <w:r w:rsidR="00190923" w:rsidRPr="00981405">
        <w:rPr>
          <w:rFonts w:eastAsia="MS Mincho"/>
        </w:rPr>
        <w:t xml:space="preserve"> </w:t>
      </w:r>
      <w:r w:rsidR="00397032" w:rsidRPr="00981405">
        <w:rPr>
          <w:rFonts w:eastAsia="MS Mincho"/>
        </w:rPr>
        <w:t>made,</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this</w:t>
      </w:r>
      <w:r w:rsidR="00190923" w:rsidRPr="00981405">
        <w:rPr>
          <w:rFonts w:eastAsia="MS Mincho"/>
        </w:rPr>
        <w:t xml:space="preserve"> </w:t>
      </w:r>
      <w:r w:rsidR="00397032" w:rsidRPr="00981405">
        <w:rPr>
          <w:rFonts w:eastAsia="MS Mincho"/>
        </w:rPr>
        <w:t>respect,</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advisory</w:t>
      </w:r>
      <w:r w:rsidR="00190923" w:rsidRPr="00981405">
        <w:rPr>
          <w:rFonts w:eastAsia="MS Mincho"/>
        </w:rPr>
        <w:t xml:space="preserve"> </w:t>
      </w:r>
      <w:r w:rsidR="00397032" w:rsidRPr="00981405">
        <w:rPr>
          <w:rFonts w:eastAsia="MS Mincho"/>
        </w:rPr>
        <w:t>opinion</w:t>
      </w:r>
      <w:r w:rsidR="00190923" w:rsidRPr="00981405">
        <w:rPr>
          <w:rFonts w:eastAsia="MS Mincho"/>
        </w:rPr>
        <w:t xml:space="preserve"> </w:t>
      </w:r>
      <w:r w:rsidR="00397032" w:rsidRPr="00981405">
        <w:rPr>
          <w:rFonts w:eastAsia="MS Mincho"/>
        </w:rPr>
        <w:t>by</w:t>
      </w:r>
      <w:r w:rsidR="00190923" w:rsidRPr="00981405">
        <w:rPr>
          <w:rFonts w:eastAsia="MS Mincho"/>
        </w:rPr>
        <w:t xml:space="preserve"> </w:t>
      </w:r>
      <w:r w:rsidR="00397032" w:rsidRPr="00981405">
        <w:rPr>
          <w:rFonts w:eastAsia="MS Mincho"/>
        </w:rPr>
        <w:t>ICJ</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D97463">
        <w:rPr>
          <w:rFonts w:eastAsia="MS Mincho"/>
          <w:i/>
          <w:iCs/>
        </w:rPr>
        <w:t>Namibia</w:t>
      </w:r>
      <w:r w:rsidR="00190923" w:rsidRPr="00981405">
        <w:rPr>
          <w:rFonts w:eastAsia="MS Mincho"/>
          <w:i/>
          <w:iCs/>
        </w:rPr>
        <w:t xml:space="preserve"> </w:t>
      </w:r>
      <w:r w:rsidR="00397032" w:rsidRPr="00981405">
        <w:rPr>
          <w:rFonts w:eastAsia="MS Mincho"/>
        </w:rPr>
        <w:t>case.</w:t>
      </w:r>
      <w:r w:rsidR="00190923" w:rsidRPr="00981405">
        <w:rPr>
          <w:rFonts w:eastAsia="MS Mincho"/>
        </w:rPr>
        <w:t xml:space="preserve"> </w:t>
      </w:r>
      <w:r w:rsidR="00397032" w:rsidRPr="00981405">
        <w:rPr>
          <w:rFonts w:eastAsia="MS Mincho"/>
        </w:rPr>
        <w:t>In</w:t>
      </w:r>
      <w:r w:rsidR="00190923" w:rsidRPr="00981405">
        <w:rPr>
          <w:rFonts w:eastAsia="MS Mincho"/>
        </w:rPr>
        <w:t xml:space="preserve"> </w:t>
      </w:r>
      <w:r w:rsidR="00397032" w:rsidRPr="00981405">
        <w:rPr>
          <w:rFonts w:eastAsia="MS Mincho"/>
        </w:rPr>
        <w:t>that</w:t>
      </w:r>
      <w:r w:rsidR="00190923" w:rsidRPr="00981405">
        <w:rPr>
          <w:rFonts w:eastAsia="MS Mincho"/>
        </w:rPr>
        <w:t xml:space="preserve"> </w:t>
      </w:r>
      <w:r w:rsidR="00397032" w:rsidRPr="00981405">
        <w:rPr>
          <w:rFonts w:eastAsia="MS Mincho"/>
        </w:rPr>
        <w:t>advisory</w:t>
      </w:r>
      <w:r w:rsidR="00190923" w:rsidRPr="00981405">
        <w:rPr>
          <w:rFonts w:eastAsia="MS Mincho"/>
        </w:rPr>
        <w:t xml:space="preserve"> </w:t>
      </w:r>
      <w:r w:rsidR="00397032" w:rsidRPr="00981405">
        <w:rPr>
          <w:rFonts w:eastAsia="MS Mincho"/>
        </w:rPr>
        <w:t>opinion,</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Court,</w:t>
      </w:r>
      <w:r w:rsidR="00190923" w:rsidRPr="00981405">
        <w:rPr>
          <w:rFonts w:eastAsia="MS Mincho"/>
        </w:rPr>
        <w:t xml:space="preserve"> </w:t>
      </w:r>
      <w:r w:rsidR="00397032" w:rsidRPr="00981405">
        <w:rPr>
          <w:rFonts w:eastAsia="MS Mincho"/>
        </w:rPr>
        <w:t>after</w:t>
      </w:r>
      <w:r w:rsidR="00190923" w:rsidRPr="00981405">
        <w:rPr>
          <w:rFonts w:eastAsia="MS Mincho"/>
        </w:rPr>
        <w:t xml:space="preserve"> </w:t>
      </w:r>
      <w:r w:rsidR="00397032" w:rsidRPr="00981405">
        <w:rPr>
          <w:rFonts w:eastAsia="MS Mincho"/>
        </w:rPr>
        <w:t>holding</w:t>
      </w:r>
      <w:r w:rsidR="00190923" w:rsidRPr="00981405">
        <w:rPr>
          <w:rFonts w:eastAsia="MS Mincho"/>
        </w:rPr>
        <w:t xml:space="preserve"> </w:t>
      </w:r>
      <w:r w:rsidR="00397032" w:rsidRPr="00981405">
        <w:rPr>
          <w:rFonts w:eastAsia="MS Mincho"/>
        </w:rPr>
        <w:t>South</w:t>
      </w:r>
      <w:r w:rsidR="00190923" w:rsidRPr="00981405">
        <w:rPr>
          <w:rFonts w:eastAsia="MS Mincho"/>
        </w:rPr>
        <w:t xml:space="preserve"> </w:t>
      </w:r>
      <w:r w:rsidR="00397032" w:rsidRPr="00981405">
        <w:rPr>
          <w:rFonts w:eastAsia="MS Mincho"/>
        </w:rPr>
        <w:t>Africa</w:t>
      </w:r>
      <w:r w:rsidR="00190923" w:rsidRPr="00981405">
        <w:rPr>
          <w:rFonts w:eastAsia="MS Mincho"/>
        </w:rPr>
        <w:t xml:space="preserve"> </w:t>
      </w:r>
      <w:r w:rsidR="00397032" w:rsidRPr="00981405">
        <w:rPr>
          <w:rFonts w:eastAsia="MS Mincho"/>
        </w:rPr>
        <w:t>responsible</w:t>
      </w:r>
      <w:r w:rsidR="00190923" w:rsidRPr="00981405">
        <w:rPr>
          <w:rFonts w:eastAsia="MS Mincho"/>
        </w:rPr>
        <w:t xml:space="preserve"> </w:t>
      </w:r>
      <w:r w:rsidR="00397032" w:rsidRPr="00981405">
        <w:rPr>
          <w:rFonts w:eastAsia="MS Mincho"/>
        </w:rPr>
        <w:t>for</w:t>
      </w:r>
      <w:r w:rsidR="00190923" w:rsidRPr="00981405">
        <w:rPr>
          <w:rFonts w:eastAsia="MS Mincho"/>
        </w:rPr>
        <w:t xml:space="preserve"> </w:t>
      </w:r>
      <w:r w:rsidR="00397032" w:rsidRPr="00981405">
        <w:rPr>
          <w:rFonts w:eastAsia="MS Mincho"/>
        </w:rPr>
        <w:t>having</w:t>
      </w:r>
      <w:r w:rsidR="00190923" w:rsidRPr="00981405">
        <w:rPr>
          <w:rFonts w:eastAsia="MS Mincho"/>
        </w:rPr>
        <w:t xml:space="preserve"> </w:t>
      </w:r>
      <w:r w:rsidR="00397032" w:rsidRPr="00981405">
        <w:rPr>
          <w:rFonts w:eastAsia="MS Mincho"/>
        </w:rPr>
        <w:t>created</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maintained</w:t>
      </w:r>
      <w:r w:rsidR="00190923" w:rsidRPr="00981405">
        <w:rPr>
          <w:rFonts w:eastAsia="MS Mincho"/>
        </w:rPr>
        <w:t xml:space="preserve"> </w:t>
      </w:r>
      <w:r w:rsidR="00397032" w:rsidRPr="00981405">
        <w:rPr>
          <w:rFonts w:eastAsia="MS Mincho"/>
        </w:rPr>
        <w:t>a</w:t>
      </w:r>
      <w:r w:rsidR="00190923" w:rsidRPr="00981405">
        <w:rPr>
          <w:rFonts w:eastAsia="MS Mincho"/>
        </w:rPr>
        <w:t xml:space="preserve"> </w:t>
      </w:r>
      <w:r w:rsidR="00397032" w:rsidRPr="00981405">
        <w:rPr>
          <w:rFonts w:eastAsia="MS Mincho"/>
        </w:rPr>
        <w:t>situation</w:t>
      </w:r>
      <w:r w:rsidR="00190923" w:rsidRPr="00981405">
        <w:rPr>
          <w:rFonts w:eastAsia="MS Mincho"/>
        </w:rPr>
        <w:t xml:space="preserve"> </w:t>
      </w:r>
      <w:r w:rsidR="00397032" w:rsidRPr="00981405">
        <w:rPr>
          <w:rFonts w:eastAsia="MS Mincho"/>
        </w:rPr>
        <w:t>which</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397032" w:rsidRPr="00981405">
        <w:rPr>
          <w:rFonts w:eastAsia="MS Mincho"/>
        </w:rPr>
        <w:t>Court</w:t>
      </w:r>
      <w:r w:rsidR="00190923" w:rsidRPr="00981405">
        <w:rPr>
          <w:rFonts w:eastAsia="MS Mincho"/>
        </w:rPr>
        <w:t xml:space="preserve"> </w:t>
      </w:r>
      <w:r w:rsidR="00397032" w:rsidRPr="00981405">
        <w:rPr>
          <w:rFonts w:eastAsia="MS Mincho"/>
        </w:rPr>
        <w:t>declared</w:t>
      </w:r>
      <w:r w:rsidR="00190923" w:rsidRPr="00981405">
        <w:rPr>
          <w:rFonts w:eastAsia="MS Mincho"/>
        </w:rPr>
        <w:t xml:space="preserve"> </w:t>
      </w:r>
      <w:r w:rsidR="00397032" w:rsidRPr="00981405">
        <w:rPr>
          <w:rFonts w:eastAsia="MS Mincho"/>
        </w:rPr>
        <w:t>illegal</w:t>
      </w:r>
      <w:r w:rsidR="00190923" w:rsidRPr="00981405">
        <w:rPr>
          <w:rFonts w:eastAsia="MS Mincho"/>
        </w:rPr>
        <w:t xml:space="preserve"> </w:t>
      </w:r>
      <w:r w:rsidR="00397032" w:rsidRPr="00981405">
        <w:rPr>
          <w:rFonts w:eastAsia="MS Mincho"/>
        </w:rPr>
        <w:t>and</w:t>
      </w:r>
      <w:r w:rsidR="00190923" w:rsidRPr="00981405">
        <w:rPr>
          <w:rFonts w:eastAsia="MS Mincho"/>
        </w:rPr>
        <w:t xml:space="preserve"> </w:t>
      </w:r>
      <w:r w:rsidR="00397032" w:rsidRPr="00981405">
        <w:rPr>
          <w:rFonts w:eastAsia="MS Mincho"/>
        </w:rPr>
        <w:t>finding</w:t>
      </w:r>
      <w:r w:rsidR="00190923" w:rsidRPr="00981405">
        <w:rPr>
          <w:rFonts w:eastAsia="MS Mincho"/>
        </w:rPr>
        <w:t xml:space="preserve"> </w:t>
      </w:r>
      <w:r w:rsidR="00397032" w:rsidRPr="00981405">
        <w:rPr>
          <w:rFonts w:eastAsia="MS Mincho"/>
        </w:rPr>
        <w:t>South</w:t>
      </w:r>
      <w:r w:rsidR="00190923" w:rsidRPr="00981405">
        <w:rPr>
          <w:rFonts w:eastAsia="MS Mincho"/>
        </w:rPr>
        <w:t xml:space="preserve"> </w:t>
      </w:r>
      <w:r w:rsidR="00397032" w:rsidRPr="00981405">
        <w:rPr>
          <w:rFonts w:eastAsia="MS Mincho"/>
        </w:rPr>
        <w:t>Africa</w:t>
      </w:r>
      <w:r w:rsidR="00190923" w:rsidRPr="00981405">
        <w:rPr>
          <w:rFonts w:eastAsia="MS Mincho"/>
        </w:rPr>
        <w:t xml:space="preserve"> </w:t>
      </w:r>
      <w:r w:rsidR="00397032" w:rsidRPr="00981405">
        <w:rPr>
          <w:rFonts w:eastAsia="MS Mincho"/>
        </w:rPr>
        <w:t>under</w:t>
      </w:r>
      <w:r w:rsidR="00190923" w:rsidRPr="00981405">
        <w:rPr>
          <w:rFonts w:eastAsia="MS Mincho"/>
        </w:rPr>
        <w:t xml:space="preserve"> </w:t>
      </w:r>
      <w:r w:rsidR="00397032" w:rsidRPr="00981405">
        <w:rPr>
          <w:rFonts w:eastAsia="MS Mincho"/>
        </w:rPr>
        <w:t>an</w:t>
      </w:r>
      <w:r w:rsidR="00190923" w:rsidRPr="00981405">
        <w:rPr>
          <w:rFonts w:eastAsia="MS Mincho"/>
        </w:rPr>
        <w:t xml:space="preserve"> </w:t>
      </w:r>
      <w:r w:rsidR="00397032" w:rsidRPr="00981405">
        <w:rPr>
          <w:rFonts w:eastAsia="MS Mincho"/>
        </w:rPr>
        <w:t>obligation</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withdraw</w:t>
      </w:r>
      <w:r w:rsidR="00190923" w:rsidRPr="00981405">
        <w:rPr>
          <w:rFonts w:eastAsia="MS Mincho"/>
        </w:rPr>
        <w:t xml:space="preserve"> </w:t>
      </w:r>
      <w:r w:rsidR="00397032" w:rsidRPr="00981405">
        <w:rPr>
          <w:rFonts w:eastAsia="MS Mincho"/>
        </w:rPr>
        <w:t>its</w:t>
      </w:r>
      <w:r w:rsidR="00190923" w:rsidRPr="00981405">
        <w:rPr>
          <w:rFonts w:eastAsia="MS Mincho"/>
        </w:rPr>
        <w:t xml:space="preserve"> </w:t>
      </w:r>
      <w:r w:rsidR="00397032" w:rsidRPr="00981405">
        <w:rPr>
          <w:rFonts w:eastAsia="MS Mincho"/>
        </w:rPr>
        <w:t>administration</w:t>
      </w:r>
      <w:r w:rsidR="00190923" w:rsidRPr="00981405">
        <w:rPr>
          <w:rFonts w:eastAsia="MS Mincho"/>
        </w:rPr>
        <w:t xml:space="preserve"> </w:t>
      </w:r>
      <w:r w:rsidR="00397032" w:rsidRPr="00981405">
        <w:rPr>
          <w:rFonts w:eastAsia="MS Mincho"/>
        </w:rPr>
        <w:t>from</w:t>
      </w:r>
      <w:r w:rsidR="00190923" w:rsidRPr="00981405">
        <w:rPr>
          <w:rFonts w:eastAsia="MS Mincho"/>
        </w:rPr>
        <w:t xml:space="preserve"> </w:t>
      </w:r>
      <w:r w:rsidR="00397032" w:rsidRPr="00981405">
        <w:rPr>
          <w:rFonts w:eastAsia="MS Mincho"/>
        </w:rPr>
        <w:t>Namibia,</w:t>
      </w:r>
      <w:r w:rsidR="00190923" w:rsidRPr="00981405">
        <w:rPr>
          <w:rFonts w:eastAsia="MS Mincho"/>
        </w:rPr>
        <w:t xml:space="preserve"> </w:t>
      </w:r>
      <w:r w:rsidR="00397032" w:rsidRPr="00981405">
        <w:rPr>
          <w:rFonts w:eastAsia="MS Mincho"/>
        </w:rPr>
        <w:t>nevertheless</w:t>
      </w:r>
      <w:r w:rsidR="00190923" w:rsidRPr="00981405">
        <w:rPr>
          <w:rFonts w:eastAsia="MS Mincho"/>
        </w:rPr>
        <w:t xml:space="preserve"> </w:t>
      </w:r>
      <w:r w:rsidR="00397032" w:rsidRPr="00981405">
        <w:rPr>
          <w:rFonts w:eastAsia="MS Mincho"/>
        </w:rPr>
        <w:t>attached</w:t>
      </w:r>
      <w:r w:rsidR="00190923" w:rsidRPr="00981405">
        <w:rPr>
          <w:rFonts w:eastAsia="MS Mincho"/>
        </w:rPr>
        <w:t xml:space="preserve"> </w:t>
      </w:r>
      <w:r w:rsidR="00397032" w:rsidRPr="00981405">
        <w:rPr>
          <w:rFonts w:eastAsia="MS Mincho"/>
        </w:rPr>
        <w:t>certain</w:t>
      </w:r>
      <w:r w:rsidR="00190923" w:rsidRPr="00981405">
        <w:rPr>
          <w:rFonts w:eastAsia="MS Mincho"/>
        </w:rPr>
        <w:t xml:space="preserve"> </w:t>
      </w:r>
      <w:r w:rsidR="00397032" w:rsidRPr="00981405">
        <w:rPr>
          <w:rFonts w:eastAsia="MS Mincho"/>
        </w:rPr>
        <w:t>legal</w:t>
      </w:r>
      <w:r w:rsidR="00190923" w:rsidRPr="00981405">
        <w:rPr>
          <w:rFonts w:eastAsia="MS Mincho"/>
        </w:rPr>
        <w:t xml:space="preserve"> </w:t>
      </w:r>
      <w:r w:rsidR="00397032" w:rsidRPr="00981405">
        <w:rPr>
          <w:rFonts w:eastAsia="MS Mincho"/>
        </w:rPr>
        <w:t>consequences</w:t>
      </w:r>
      <w:r w:rsidR="00190923" w:rsidRPr="00981405">
        <w:rPr>
          <w:rFonts w:eastAsia="MS Mincho"/>
        </w:rPr>
        <w:t xml:space="preserve"> </w:t>
      </w:r>
      <w:r w:rsidR="00397032" w:rsidRPr="00981405">
        <w:rPr>
          <w:rFonts w:eastAsia="MS Mincho"/>
        </w:rPr>
        <w:t>to</w:t>
      </w:r>
      <w:r w:rsidR="00190923" w:rsidRPr="00981405">
        <w:rPr>
          <w:rFonts w:eastAsia="MS Mincho"/>
        </w:rPr>
        <w:t xml:space="preserve"> </w:t>
      </w:r>
      <w:r w:rsidR="00397032" w:rsidRPr="00981405">
        <w:rPr>
          <w:rFonts w:eastAsia="MS Mincho"/>
        </w:rPr>
        <w:t>the</w:t>
      </w:r>
      <w:r w:rsidR="00190923" w:rsidRPr="00981405">
        <w:rPr>
          <w:rFonts w:eastAsia="MS Mincho"/>
        </w:rPr>
        <w:t xml:space="preserve"> </w:t>
      </w:r>
      <w:r w:rsidR="004769B2" w:rsidRPr="00981405">
        <w:rPr>
          <w:rFonts w:eastAsia="MS Mincho"/>
          <w:i/>
          <w:iCs/>
        </w:rPr>
        <w:t>de</w:t>
      </w:r>
      <w:r w:rsidR="00190923" w:rsidRPr="00981405">
        <w:rPr>
          <w:rFonts w:eastAsia="MS Mincho"/>
          <w:i/>
          <w:iCs/>
        </w:rPr>
        <w:t xml:space="preserve"> </w:t>
      </w:r>
      <w:r w:rsidR="004769B2" w:rsidRPr="00981405">
        <w:rPr>
          <w:rFonts w:eastAsia="MS Mincho"/>
          <w:i/>
          <w:iCs/>
        </w:rPr>
        <w:t>facto</w:t>
      </w:r>
      <w:r w:rsidR="00190923" w:rsidRPr="00981405">
        <w:rPr>
          <w:rFonts w:eastAsia="MS Mincho"/>
          <w:i/>
          <w:iCs/>
        </w:rPr>
        <w:t xml:space="preserve"> </w:t>
      </w:r>
      <w:r w:rsidR="00397032" w:rsidRPr="00981405">
        <w:rPr>
          <w:rFonts w:eastAsia="MS Mincho"/>
        </w:rPr>
        <w:t>control</w:t>
      </w:r>
      <w:r w:rsidR="00190923" w:rsidRPr="00981405">
        <w:rPr>
          <w:rFonts w:eastAsia="MS Mincho"/>
        </w:rPr>
        <w:t xml:space="preserve"> </w:t>
      </w:r>
      <w:r w:rsidR="00397032" w:rsidRPr="00981405">
        <w:rPr>
          <w:rFonts w:eastAsia="MS Mincho"/>
        </w:rPr>
        <w:t>of</w:t>
      </w:r>
      <w:r w:rsidR="00190923" w:rsidRPr="00981405">
        <w:rPr>
          <w:rFonts w:eastAsia="MS Mincho"/>
        </w:rPr>
        <w:t xml:space="preserve"> </w:t>
      </w:r>
      <w:r w:rsidR="00397032" w:rsidRPr="00981405">
        <w:rPr>
          <w:rFonts w:eastAsia="MS Mincho"/>
        </w:rPr>
        <w:t>South</w:t>
      </w:r>
      <w:r w:rsidR="00190923" w:rsidRPr="00981405">
        <w:rPr>
          <w:rFonts w:eastAsia="MS Mincho"/>
        </w:rPr>
        <w:t xml:space="preserve"> </w:t>
      </w:r>
      <w:r w:rsidR="00397032" w:rsidRPr="00981405">
        <w:rPr>
          <w:rFonts w:eastAsia="MS Mincho"/>
        </w:rPr>
        <w:t>Africa</w:t>
      </w:r>
      <w:r w:rsidR="00190923" w:rsidRPr="00981405">
        <w:rPr>
          <w:rFonts w:eastAsia="MS Mincho"/>
        </w:rPr>
        <w:t xml:space="preserve"> </w:t>
      </w:r>
      <w:r w:rsidR="00397032" w:rsidRPr="00981405">
        <w:rPr>
          <w:rFonts w:eastAsia="MS Mincho"/>
        </w:rPr>
        <w:t>over</w:t>
      </w:r>
      <w:r w:rsidR="00190923" w:rsidRPr="00981405">
        <w:rPr>
          <w:rFonts w:eastAsia="MS Mincho"/>
        </w:rPr>
        <w:t xml:space="preserve"> </w:t>
      </w:r>
      <w:r w:rsidR="00397032" w:rsidRPr="00981405">
        <w:rPr>
          <w:rFonts w:eastAsia="MS Mincho"/>
        </w:rPr>
        <w:t>Namibia.</w:t>
      </w:r>
      <w:r w:rsidRPr="00981405">
        <w:rPr>
          <w:rFonts w:eastAsia="MS Mincho"/>
        </w:rPr>
        <w:t>”</w:t>
      </w:r>
      <w:r w:rsidR="00397032" w:rsidRPr="00981405">
        <w:rPr>
          <w:rStyle w:val="FootnoteReference"/>
        </w:rPr>
        <w:footnoteReference w:id="280"/>
      </w:r>
    </w:p>
    <w:p w:rsidR="00397032" w:rsidRPr="00981405" w:rsidRDefault="00397032" w:rsidP="00D97463">
      <w:pPr>
        <w:pStyle w:val="SingleTxt"/>
        <w:rPr>
          <w:rFonts w:eastAsia="MS Mincho"/>
        </w:rPr>
      </w:pPr>
      <w:r w:rsidRPr="00981405">
        <w:rPr>
          <w:rFonts w:eastAsia="MS Mincho"/>
        </w:rPr>
        <w:t>(19)</w:t>
      </w:r>
      <w:r w:rsidRPr="00981405">
        <w:rPr>
          <w:rFonts w:eastAsia="MS Mincho"/>
        </w:rPr>
        <w:tab/>
        <w:t>Fourth,</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undertaking</w:t>
      </w:r>
      <w:r w:rsidR="00190923" w:rsidRPr="00981405">
        <w:rPr>
          <w:rFonts w:eastAsia="MS Mincho"/>
        </w:rPr>
        <w:t xml:space="preserve"> </w:t>
      </w:r>
      <w:r w:rsidRPr="00981405">
        <w:rPr>
          <w:rFonts w:eastAsia="MS Mincho"/>
        </w:rPr>
        <w:t>set</w:t>
      </w:r>
      <w:r w:rsidR="00190923" w:rsidRPr="00981405">
        <w:rPr>
          <w:rFonts w:eastAsia="MS Mincho"/>
        </w:rPr>
        <w:t xml:space="preserve"> </w:t>
      </w:r>
      <w:r w:rsidRPr="00981405">
        <w:rPr>
          <w:rFonts w:eastAsia="MS Mincho"/>
        </w:rPr>
        <w:t>forth</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have</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pursue</w:t>
      </w:r>
      <w:r w:rsidR="00190923" w:rsidRPr="00981405">
        <w:rPr>
          <w:rFonts w:eastAsia="MS Mincho"/>
        </w:rPr>
        <w:t xml:space="preserve"> </w:t>
      </w:r>
      <w:r w:rsidRPr="00981405">
        <w:rPr>
          <w:rFonts w:eastAsia="MS Mincho"/>
        </w:rPr>
        <w:t>certain</w:t>
      </w:r>
      <w:r w:rsidR="00190923" w:rsidRPr="00981405">
        <w:rPr>
          <w:rFonts w:eastAsia="MS Mincho"/>
        </w:rPr>
        <w:t xml:space="preserve"> </w:t>
      </w:r>
      <w:r w:rsidRPr="00981405">
        <w:rPr>
          <w:rFonts w:eastAsia="MS Mincho"/>
        </w:rPr>
        <w:t>forms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just</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each</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also</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organizations,</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Committee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Red</w:t>
      </w:r>
      <w:r w:rsidR="00190923" w:rsidRPr="00981405">
        <w:rPr>
          <w:rFonts w:eastAsia="MS Mincho"/>
        </w:rPr>
        <w:t xml:space="preserve"> </w:t>
      </w:r>
      <w:r w:rsidRPr="00981405">
        <w:rPr>
          <w:rFonts w:eastAsia="MS Mincho"/>
        </w:rPr>
        <w:t>Cross,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Federation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Red</w:t>
      </w:r>
      <w:r w:rsidR="00190923" w:rsidRPr="00981405">
        <w:rPr>
          <w:rFonts w:eastAsia="MS Mincho"/>
        </w:rPr>
        <w:t xml:space="preserve"> </w:t>
      </w:r>
      <w:r w:rsidRPr="00981405">
        <w:rPr>
          <w:rFonts w:eastAsia="MS Mincho"/>
        </w:rPr>
        <w:t>Cross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Red</w:t>
      </w:r>
      <w:r w:rsidR="00190923" w:rsidRPr="00981405">
        <w:rPr>
          <w:rFonts w:eastAsia="MS Mincho"/>
        </w:rPr>
        <w:t xml:space="preserve"> </w:t>
      </w:r>
      <w:r w:rsidRPr="00981405">
        <w:rPr>
          <w:rFonts w:eastAsia="MS Mincho"/>
        </w:rPr>
        <w:t>Crescent</w:t>
      </w:r>
      <w:r w:rsidR="00190923" w:rsidRPr="00981405">
        <w:rPr>
          <w:rFonts w:eastAsia="MS Mincho"/>
        </w:rPr>
        <w:t xml:space="preserve"> </w:t>
      </w:r>
      <w:r w:rsidRPr="00981405">
        <w:rPr>
          <w:rFonts w:eastAsia="MS Mincho"/>
        </w:rPr>
        <w:t>Societies.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duty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cooperate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arises,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first</w:t>
      </w:r>
      <w:r w:rsidR="00190923" w:rsidRPr="00981405">
        <w:rPr>
          <w:rFonts w:eastAsia="MS Mincho"/>
        </w:rPr>
        <w:t xml:space="preserve"> </w:t>
      </w:r>
      <w:r w:rsidRPr="00981405">
        <w:rPr>
          <w:rFonts w:eastAsia="MS Mincho"/>
        </w:rPr>
        <w:t>instance,</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3,</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Charter</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Pr="00981405">
        <w:rPr>
          <w:rStyle w:val="FootnoteReference"/>
        </w:rPr>
        <w:footnoteReference w:id="281"/>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indicates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one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purposes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Charter</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to</w:t>
      </w:r>
      <w:r w:rsidR="00190923" w:rsidRPr="00981405">
        <w:rPr>
          <w:rFonts w:eastAsia="MS Mincho"/>
        </w:rPr>
        <w:t xml:space="preserve"> </w:t>
      </w:r>
      <w:r w:rsidR="00B92E2C" w:rsidRPr="00981405">
        <w:rPr>
          <w:rFonts w:eastAsia="MS Mincho"/>
        </w:rPr>
        <w:t>“</w:t>
      </w:r>
      <w:r w:rsidRPr="00981405">
        <w:rPr>
          <w:rFonts w:eastAsia="MS Mincho"/>
        </w:rPr>
        <w:t>achieve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solving</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problems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humanitarian</w:t>
      </w:r>
      <w:r w:rsidR="00190923" w:rsidRPr="00981405">
        <w:rPr>
          <w:rFonts w:eastAsia="MS Mincho"/>
        </w:rPr>
        <w:t xml:space="preserve"> </w:t>
      </w:r>
      <w:r w:rsidRPr="00981405">
        <w:rPr>
          <w:rFonts w:eastAsia="MS Mincho"/>
        </w:rPr>
        <w:t>character,</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promoting</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encouraging</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fundamental</w:t>
      </w:r>
      <w:r w:rsidR="00190923" w:rsidRPr="00981405">
        <w:rPr>
          <w:rFonts w:eastAsia="MS Mincho"/>
        </w:rPr>
        <w:t xml:space="preserve"> </w:t>
      </w:r>
      <w:r w:rsidRPr="00981405">
        <w:rPr>
          <w:rFonts w:eastAsia="MS Mincho"/>
        </w:rPr>
        <w:t>freedoms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w:t>
      </w:r>
      <w:r w:rsidR="00B92E2C" w:rsidRPr="00981405">
        <w:rPr>
          <w:rFonts w:eastAsia="MS Mincho"/>
        </w:rPr>
        <w:t>”</w:t>
      </w:r>
      <w:r w:rsidR="00190923" w:rsidRPr="00981405">
        <w:rPr>
          <w:rFonts w:eastAsia="MS Mincho"/>
        </w:rPr>
        <w:t xml:space="preserve"> </w:t>
      </w:r>
      <w:r w:rsidRPr="00981405">
        <w:rPr>
          <w:rFonts w:eastAsia="MS Mincho"/>
        </w:rPr>
        <w:t>Further,</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Articles</w:t>
      </w:r>
      <w:r w:rsidR="00190923" w:rsidRPr="00981405">
        <w:rPr>
          <w:rFonts w:eastAsia="MS Mincho"/>
        </w:rPr>
        <w:t xml:space="preserve"> </w:t>
      </w:r>
      <w:r w:rsidRPr="00981405">
        <w:rPr>
          <w:rFonts w:eastAsia="MS Mincho"/>
        </w:rPr>
        <w:t>55</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56</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Charter,</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Members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00190923" w:rsidRPr="00981405">
        <w:rPr>
          <w:rFonts w:eastAsia="MS Mincho"/>
        </w:rPr>
        <w:t xml:space="preserve"> </w:t>
      </w:r>
      <w:r w:rsidRPr="00981405">
        <w:rPr>
          <w:rFonts w:eastAsia="MS Mincho"/>
        </w:rPr>
        <w:t>pledge</w:t>
      </w:r>
      <w:r w:rsidR="00190923" w:rsidRPr="00981405">
        <w:rPr>
          <w:rFonts w:eastAsia="MS Mincho"/>
        </w:rPr>
        <w:t xml:space="preserve"> </w:t>
      </w:r>
      <w:r w:rsidR="00B92E2C" w:rsidRPr="00981405">
        <w:rPr>
          <w:rFonts w:eastAsia="MS Mincho"/>
        </w:rPr>
        <w:t>“</w:t>
      </w:r>
      <w:r w:rsidRPr="00981405">
        <w:rPr>
          <w:rFonts w:eastAsia="MS Mincho"/>
        </w:rPr>
        <w:t>to</w:t>
      </w:r>
      <w:r w:rsidR="00190923" w:rsidRPr="00981405">
        <w:rPr>
          <w:rFonts w:eastAsia="MS Mincho"/>
        </w:rPr>
        <w:t xml:space="preserve"> </w:t>
      </w:r>
      <w:r w:rsidRPr="00981405">
        <w:rPr>
          <w:rFonts w:eastAsia="MS Mincho"/>
        </w:rPr>
        <w:t>take</w:t>
      </w:r>
      <w:r w:rsidR="00190923" w:rsidRPr="00981405">
        <w:rPr>
          <w:rFonts w:eastAsia="MS Mincho"/>
        </w:rPr>
        <w:t xml:space="preserve"> </w:t>
      </w:r>
      <w:r w:rsidRPr="00981405">
        <w:rPr>
          <w:rFonts w:eastAsia="MS Mincho"/>
        </w:rPr>
        <w:t>joint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separate</w:t>
      </w:r>
      <w:r w:rsidR="00190923" w:rsidRPr="00981405">
        <w:rPr>
          <w:rFonts w:eastAsia="MS Mincho"/>
        </w:rPr>
        <w:t xml:space="preserve"> </w:t>
      </w:r>
      <w:r w:rsidRPr="00981405">
        <w:rPr>
          <w:rFonts w:eastAsia="MS Mincho"/>
        </w:rPr>
        <w:t>action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Organization</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achievement</w:t>
      </w:r>
      <w:r w:rsidR="00190923" w:rsidRPr="00981405">
        <w:rPr>
          <w:rFonts w:eastAsia="MS Mincho"/>
        </w:rPr>
        <w:t xml:space="preserve"> </w:t>
      </w:r>
      <w:r w:rsidRPr="00981405">
        <w:rPr>
          <w:rFonts w:eastAsia="MS Mincho"/>
        </w:rPr>
        <w:t>of</w:t>
      </w:r>
      <w:r w:rsidR="00B92E2C" w:rsidRPr="00981405">
        <w:rPr>
          <w:rFonts w:eastAsia="MS Mincho"/>
        </w:rPr>
        <w:t>”</w:t>
      </w:r>
      <w:r w:rsidR="00190923" w:rsidRPr="00981405">
        <w:rPr>
          <w:rFonts w:eastAsia="MS Mincho"/>
        </w:rPr>
        <w:t xml:space="preserve"> </w:t>
      </w:r>
      <w:r w:rsidRPr="00981405">
        <w:rPr>
          <w:rFonts w:eastAsia="MS Mincho"/>
        </w:rPr>
        <w:t>certain</w:t>
      </w:r>
      <w:r w:rsidR="00190923" w:rsidRPr="00981405">
        <w:rPr>
          <w:rFonts w:eastAsia="MS Mincho"/>
        </w:rPr>
        <w:t xml:space="preserve"> </w:t>
      </w:r>
      <w:r w:rsidRPr="00981405">
        <w:rPr>
          <w:rFonts w:eastAsia="MS Mincho"/>
        </w:rPr>
        <w:t>purposes,</w:t>
      </w:r>
      <w:r w:rsidR="00190923" w:rsidRPr="00981405">
        <w:rPr>
          <w:rFonts w:eastAsia="MS Mincho"/>
        </w:rPr>
        <w:t xml:space="preserve"> </w:t>
      </w:r>
      <w:r w:rsidRPr="00981405">
        <w:rPr>
          <w:rFonts w:eastAsia="MS Mincho"/>
        </w:rPr>
        <w:t>including</w:t>
      </w:r>
      <w:r w:rsidR="00190923" w:rsidRPr="00981405">
        <w:rPr>
          <w:rFonts w:eastAsia="MS Mincho"/>
        </w:rPr>
        <w:t xml:space="preserve"> </w:t>
      </w:r>
      <w:r w:rsidR="00B92E2C" w:rsidRPr="00981405">
        <w:rPr>
          <w:rFonts w:eastAsia="MS Mincho"/>
        </w:rPr>
        <w:t>“</w:t>
      </w:r>
      <w:r w:rsidRPr="00981405">
        <w:rPr>
          <w:rFonts w:eastAsia="MS Mincho"/>
        </w:rPr>
        <w:t>universal</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observance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human</w:t>
      </w:r>
      <w:r w:rsidR="00190923" w:rsidRPr="00981405">
        <w:rPr>
          <w:rFonts w:eastAsia="MS Mincho"/>
        </w:rPr>
        <w:t xml:space="preserve"> </w:t>
      </w:r>
      <w:r w:rsidRPr="00981405">
        <w:rPr>
          <w:rFonts w:eastAsia="MS Mincho"/>
        </w:rPr>
        <w:t>rights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fundamental</w:t>
      </w:r>
      <w:r w:rsidR="00190923" w:rsidRPr="00981405">
        <w:rPr>
          <w:rFonts w:eastAsia="MS Mincho"/>
        </w:rPr>
        <w:t xml:space="preserve"> </w:t>
      </w:r>
      <w:r w:rsidRPr="00981405">
        <w:rPr>
          <w:rFonts w:eastAsia="MS Mincho"/>
        </w:rPr>
        <w:t>freedoms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w:t>
      </w:r>
      <w:r w:rsidR="00190923" w:rsidRPr="00981405">
        <w:rPr>
          <w:rFonts w:eastAsia="MS Mincho"/>
        </w:rPr>
        <w:t xml:space="preserve"> </w:t>
      </w:r>
      <w:r w:rsidRPr="00981405">
        <w:rPr>
          <w:rFonts w:eastAsia="MS Mincho"/>
        </w:rPr>
        <w:t>.</w:t>
      </w:r>
      <w:r w:rsidR="00B92E2C" w:rsidRPr="00981405">
        <w:rPr>
          <w:rFonts w:eastAsia="MS Mincho"/>
        </w:rPr>
        <w:t>”</w:t>
      </w:r>
      <w:r w:rsidR="00190923" w:rsidRPr="00981405">
        <w:rPr>
          <w:rFonts w:eastAsia="MS Mincho"/>
        </w:rPr>
        <w:t xml:space="preserve"> </w:t>
      </w:r>
      <w:r w:rsidRPr="00981405">
        <w:rPr>
          <w:rFonts w:eastAsia="MS Mincho"/>
        </w:rPr>
        <w:t>Specifically</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preventing</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General</w:t>
      </w:r>
      <w:r w:rsidR="00190923" w:rsidRPr="00981405">
        <w:rPr>
          <w:rFonts w:eastAsia="MS Mincho"/>
        </w:rPr>
        <w:t xml:space="preserve"> </w:t>
      </w:r>
      <w:r w:rsidRPr="00981405">
        <w:rPr>
          <w:rFonts w:eastAsia="MS Mincho"/>
        </w:rPr>
        <w:t>Assembly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United</w:t>
      </w:r>
      <w:r w:rsidR="00190923" w:rsidRPr="00981405">
        <w:rPr>
          <w:rFonts w:eastAsia="MS Mincho"/>
        </w:rPr>
        <w:t xml:space="preserve"> </w:t>
      </w:r>
      <w:r w:rsidRPr="00981405">
        <w:rPr>
          <w:rFonts w:eastAsia="MS Mincho"/>
        </w:rPr>
        <w:t>Nations</w:t>
      </w:r>
      <w:r w:rsidR="00190923" w:rsidRPr="00981405">
        <w:rPr>
          <w:rFonts w:eastAsia="MS Mincho"/>
        </w:rPr>
        <w:t xml:space="preserve"> </w:t>
      </w:r>
      <w:r w:rsidRPr="00981405">
        <w:rPr>
          <w:rFonts w:eastAsia="MS Mincho"/>
        </w:rPr>
        <w:t>recognized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1973</w:t>
      </w:r>
      <w:r w:rsidR="00190923" w:rsidRPr="00981405">
        <w:rPr>
          <w:rFonts w:eastAsia="MS Mincho"/>
        </w:rPr>
        <w:t xml:space="preserve"> </w:t>
      </w:r>
      <w:r w:rsidRPr="00981405">
        <w:rPr>
          <w:rFonts w:eastAsia="MS Mincho"/>
        </w:rPr>
        <w:t>Principles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Detection,</w:t>
      </w:r>
      <w:r w:rsidR="00190923" w:rsidRPr="00981405">
        <w:rPr>
          <w:rFonts w:eastAsia="MS Mincho"/>
        </w:rPr>
        <w:t xml:space="preserve"> </w:t>
      </w:r>
      <w:r w:rsidRPr="00981405">
        <w:rPr>
          <w:rFonts w:eastAsia="MS Mincho"/>
        </w:rPr>
        <w:t>Arrest,</w:t>
      </w:r>
      <w:r w:rsidR="00190923" w:rsidRPr="00981405">
        <w:rPr>
          <w:rFonts w:eastAsia="MS Mincho"/>
        </w:rPr>
        <w:t xml:space="preserve"> </w:t>
      </w:r>
      <w:r w:rsidRPr="00981405">
        <w:rPr>
          <w:rFonts w:eastAsia="MS Mincho"/>
        </w:rPr>
        <w:t>Extradition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Guilty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War</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general</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inter-State</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intra-State</w:t>
      </w:r>
      <w:r w:rsidR="00190923" w:rsidRPr="00981405">
        <w:rPr>
          <w:rFonts w:eastAsia="MS Mincho"/>
        </w:rPr>
        <w:t xml:space="preserve"> </w:t>
      </w:r>
      <w:r w:rsidRPr="00981405">
        <w:rPr>
          <w:rFonts w:eastAsia="MS Mincho"/>
        </w:rPr>
        <w:t>action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war</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Among</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things,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Assembly</w:t>
      </w:r>
      <w:r w:rsidR="00190923" w:rsidRPr="00981405">
        <w:rPr>
          <w:rFonts w:eastAsia="MS Mincho"/>
        </w:rPr>
        <w:t xml:space="preserve"> </w:t>
      </w:r>
      <w:r w:rsidRPr="00981405">
        <w:rPr>
          <w:rFonts w:eastAsia="MS Mincho"/>
        </w:rPr>
        <w:t>declared</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00B92E2C" w:rsidRPr="00981405">
        <w:rPr>
          <w:rFonts w:eastAsia="MS Mincho"/>
        </w:rPr>
        <w:t>“</w:t>
      </w:r>
      <w:r w:rsidRPr="00981405">
        <w:rPr>
          <w:rFonts w:eastAsia="MS Mincho"/>
        </w:rPr>
        <w:t>States</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co-operate</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each</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bilateral</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multilateral</w:t>
      </w:r>
      <w:r w:rsidR="00190923" w:rsidRPr="00981405">
        <w:rPr>
          <w:rFonts w:eastAsia="MS Mincho"/>
        </w:rPr>
        <w:t xml:space="preserve"> </w:t>
      </w:r>
      <w:r w:rsidRPr="00981405">
        <w:rPr>
          <w:rFonts w:eastAsia="MS Mincho"/>
        </w:rPr>
        <w:t>basis</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view</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halting</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preventing</w:t>
      </w:r>
      <w:r w:rsidR="00190923" w:rsidRPr="00981405">
        <w:rPr>
          <w:rFonts w:eastAsia="MS Mincho"/>
        </w:rPr>
        <w:t xml:space="preserve"> </w:t>
      </w:r>
      <w:r w:rsidRPr="00981405">
        <w:rPr>
          <w:rFonts w:eastAsia="MS Mincho"/>
        </w:rPr>
        <w:t>war</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take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domestic</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measures</w:t>
      </w:r>
      <w:r w:rsidR="00190923" w:rsidRPr="00981405">
        <w:rPr>
          <w:rFonts w:eastAsia="MS Mincho"/>
        </w:rPr>
        <w:t xml:space="preserve"> </w:t>
      </w:r>
      <w:r w:rsidRPr="00981405">
        <w:rPr>
          <w:rFonts w:eastAsia="MS Mincho"/>
        </w:rPr>
        <w:t>necessary</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purpose.</w:t>
      </w:r>
      <w:r w:rsidR="00B92E2C" w:rsidRPr="00981405">
        <w:rPr>
          <w:rFonts w:eastAsia="MS Mincho"/>
        </w:rPr>
        <w:t>”</w:t>
      </w:r>
      <w:r w:rsidRPr="00981405">
        <w:rPr>
          <w:rStyle w:val="FootnoteReference"/>
        </w:rPr>
        <w:footnoteReference w:id="282"/>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(20)</w:t>
      </w:r>
      <w:r w:rsidRPr="00981405">
        <w:rPr>
          <w:rFonts w:eastAsia="MS Mincho"/>
        </w:rPr>
        <w:tab/>
        <w:t>Consequently,</w:t>
      </w:r>
      <w:r w:rsidR="00190923" w:rsidRPr="00981405">
        <w:rPr>
          <w:rFonts w:eastAsia="MS Mincho"/>
        </w:rPr>
        <w:t xml:space="preserve"> </w:t>
      </w:r>
      <w:r w:rsidRPr="00981405">
        <w:rPr>
          <w:rFonts w:eastAsia="MS Mincho"/>
        </w:rPr>
        <w:t>subparagraph</w:t>
      </w:r>
      <w:r w:rsidR="00190923" w:rsidRPr="00981405">
        <w:rPr>
          <w:rFonts w:eastAsia="MS Mincho"/>
        </w:rPr>
        <w:t xml:space="preserve"> </w:t>
      </w:r>
      <w:r w:rsidRPr="00981405">
        <w:rPr>
          <w:rFonts w:eastAsia="MS Mincho"/>
        </w:rPr>
        <w:t>(b)</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indicates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cooperate</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each</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cooperate</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relevant</w:t>
      </w:r>
      <w:r w:rsidR="00190923" w:rsidRPr="00981405">
        <w:rPr>
          <w:rFonts w:eastAsia="MS Mincho"/>
        </w:rPr>
        <w:t xml:space="preserve"> </w:t>
      </w:r>
      <w:r w:rsidRPr="00981405">
        <w:rPr>
          <w:rFonts w:eastAsia="MS Mincho"/>
        </w:rPr>
        <w:t>intergovernmental</w:t>
      </w:r>
      <w:r w:rsidR="00190923" w:rsidRPr="00981405">
        <w:rPr>
          <w:rFonts w:eastAsia="MS Mincho"/>
        </w:rPr>
        <w:t xml:space="preserve"> </w:t>
      </w:r>
      <w:r w:rsidRPr="00981405">
        <w:rPr>
          <w:rFonts w:eastAsia="MS Mincho"/>
        </w:rPr>
        <w:t>organizations.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term</w:t>
      </w:r>
      <w:r w:rsidR="00190923" w:rsidRPr="00981405">
        <w:rPr>
          <w:rFonts w:eastAsia="MS Mincho"/>
        </w:rPr>
        <w:t xml:space="preserve"> </w:t>
      </w:r>
      <w:r w:rsidR="00B92E2C" w:rsidRPr="00981405">
        <w:rPr>
          <w:rFonts w:eastAsia="MS Mincho"/>
        </w:rPr>
        <w:t>“</w:t>
      </w:r>
      <w:r w:rsidRPr="00981405">
        <w:rPr>
          <w:rFonts w:eastAsia="MS Mincho"/>
        </w:rPr>
        <w:t>relevant</w:t>
      </w:r>
      <w:r w:rsidR="00B92E2C" w:rsidRPr="00981405">
        <w:rPr>
          <w:rFonts w:eastAsia="MS Mincho"/>
        </w:rPr>
        <w: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intended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indicate</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any</w:t>
      </w:r>
      <w:r w:rsidR="00190923" w:rsidRPr="00981405">
        <w:rPr>
          <w:rFonts w:eastAsia="MS Mincho"/>
        </w:rPr>
        <w:t xml:space="preserve"> </w:t>
      </w:r>
      <w:r w:rsidRPr="00981405">
        <w:rPr>
          <w:rFonts w:eastAsia="MS Mincho"/>
        </w:rPr>
        <w:t>particular</w:t>
      </w:r>
      <w:r w:rsidR="00190923" w:rsidRPr="00981405">
        <w:rPr>
          <w:rFonts w:eastAsia="MS Mincho"/>
        </w:rPr>
        <w:t xml:space="preserve"> </w:t>
      </w:r>
      <w:r w:rsidRPr="00981405">
        <w:rPr>
          <w:rFonts w:eastAsia="MS Mincho"/>
        </w:rPr>
        <w:t>intergovernmental</w:t>
      </w:r>
      <w:r w:rsidR="00190923" w:rsidRPr="00981405">
        <w:rPr>
          <w:rFonts w:eastAsia="MS Mincho"/>
        </w:rPr>
        <w:t xml:space="preserve"> </w:t>
      </w:r>
      <w:r w:rsidRPr="00981405">
        <w:rPr>
          <w:rFonts w:eastAsia="MS Mincho"/>
        </w:rPr>
        <w:t>organization</w:t>
      </w:r>
      <w:r w:rsidR="00190923" w:rsidRPr="00981405">
        <w:rPr>
          <w:rFonts w:eastAsia="MS Mincho"/>
        </w:rPr>
        <w:t xml:space="preserve"> </w:t>
      </w:r>
      <w:r w:rsidRPr="00981405">
        <w:rPr>
          <w:rFonts w:eastAsia="MS Mincho"/>
        </w:rPr>
        <w:t>will</w:t>
      </w:r>
      <w:r w:rsidR="00190923" w:rsidRPr="00981405">
        <w:rPr>
          <w:rFonts w:eastAsia="MS Mincho"/>
        </w:rPr>
        <w:t xml:space="preserve"> </w:t>
      </w:r>
      <w:r w:rsidRPr="00981405">
        <w:rPr>
          <w:rFonts w:eastAsia="MS Mincho"/>
        </w:rPr>
        <w:t>depend,</w:t>
      </w:r>
      <w:r w:rsidR="00190923" w:rsidRPr="00981405">
        <w:rPr>
          <w:rFonts w:eastAsia="MS Mincho"/>
        </w:rPr>
        <w:t xml:space="preserve"> </w:t>
      </w:r>
      <w:r w:rsidRPr="00981405">
        <w:rPr>
          <w:rFonts w:eastAsia="MS Mincho"/>
        </w:rPr>
        <w:t>among</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things,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organization</w:t>
      </w:r>
      <w:r w:rsidR="00B92E2C" w:rsidRPr="00981405">
        <w:rPr>
          <w:rFonts w:eastAsia="MS Mincho"/>
        </w:rPr>
        <w:t>’</w:t>
      </w:r>
      <w:r w:rsidRPr="00981405">
        <w:rPr>
          <w:rFonts w:eastAsia="MS Mincho"/>
        </w:rPr>
        <w:t>s</w:t>
      </w:r>
      <w:r w:rsidR="00190923" w:rsidRPr="00981405">
        <w:rPr>
          <w:rFonts w:eastAsia="MS Mincho"/>
        </w:rPr>
        <w:t xml:space="preserve"> </w:t>
      </w:r>
      <w:r w:rsidRPr="00981405">
        <w:rPr>
          <w:rFonts w:eastAsia="MS Mincho"/>
        </w:rPr>
        <w:t>functions,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relationship</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lastRenderedPageBreak/>
        <w:t>that</w:t>
      </w:r>
      <w:r w:rsidR="00190923" w:rsidRPr="00981405">
        <w:rPr>
          <w:rFonts w:eastAsia="MS Mincho"/>
        </w:rPr>
        <w:t xml:space="preserve"> </w:t>
      </w:r>
      <w:r w:rsidRPr="00981405">
        <w:rPr>
          <w:rFonts w:eastAsia="MS Mincho"/>
        </w:rPr>
        <w:t>organization,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need</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arises.</w:t>
      </w:r>
      <w:r w:rsidR="00190923" w:rsidRPr="00981405">
        <w:rPr>
          <w:rFonts w:eastAsia="MS Mincho"/>
        </w:rPr>
        <w:t xml:space="preserve"> </w:t>
      </w:r>
      <w:r w:rsidRPr="00981405">
        <w:rPr>
          <w:rFonts w:eastAsia="MS Mincho"/>
        </w:rPr>
        <w:t>Further,</w:t>
      </w:r>
      <w:r w:rsidR="00190923" w:rsidRPr="00981405">
        <w:rPr>
          <w:rFonts w:eastAsia="MS Mincho"/>
        </w:rPr>
        <w:t xml:space="preserve"> </w:t>
      </w:r>
      <w:r w:rsidRPr="00981405">
        <w:rPr>
          <w:rFonts w:eastAsia="MS Mincho"/>
        </w:rPr>
        <w:t>sub-paragraph</w:t>
      </w:r>
      <w:r w:rsidR="00190923" w:rsidRPr="00981405">
        <w:rPr>
          <w:rFonts w:eastAsia="MS Mincho"/>
        </w:rPr>
        <w:t xml:space="preserve"> </w:t>
      </w:r>
      <w:r w:rsidRPr="00981405">
        <w:rPr>
          <w:rFonts w:eastAsia="MS Mincho"/>
        </w:rPr>
        <w:t>(b)</w:t>
      </w:r>
      <w:r w:rsidR="00190923" w:rsidRPr="00981405">
        <w:rPr>
          <w:rFonts w:eastAsia="MS Mincho"/>
        </w:rPr>
        <w:t xml:space="preserve"> </w:t>
      </w:r>
      <w:r w:rsidRPr="00981405">
        <w:rPr>
          <w:rFonts w:eastAsia="MS Mincho"/>
        </w:rPr>
        <w:t>provides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shall</w:t>
      </w:r>
      <w:r w:rsidR="00190923" w:rsidRPr="00981405">
        <w:rPr>
          <w:rFonts w:eastAsia="MS Mincho"/>
        </w:rPr>
        <w:t xml:space="preserve"> </w:t>
      </w:r>
      <w:r w:rsidRPr="00981405">
        <w:rPr>
          <w:rFonts w:eastAsia="MS Mincho"/>
        </w:rPr>
        <w:t>cooperate,</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appropriate,</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organizations.</w:t>
      </w:r>
      <w:r w:rsidR="00190923" w:rsidRPr="00981405">
        <w:rPr>
          <w:rFonts w:eastAsia="MS Mincho"/>
        </w:rPr>
        <w:t xml:space="preserve"> </w:t>
      </w:r>
      <w:r w:rsidRPr="00981405">
        <w:rPr>
          <w:rFonts w:eastAsia="MS Mincho"/>
        </w:rPr>
        <w:t>These</w:t>
      </w:r>
      <w:r w:rsidR="00190923" w:rsidRPr="00981405">
        <w:rPr>
          <w:rFonts w:eastAsia="MS Mincho"/>
        </w:rPr>
        <w:t xml:space="preserve"> </w:t>
      </w:r>
      <w:r w:rsidRPr="00981405">
        <w:rPr>
          <w:rFonts w:eastAsia="MS Mincho"/>
        </w:rPr>
        <w:t>organizations</w:t>
      </w:r>
      <w:r w:rsidR="00190923" w:rsidRPr="00981405">
        <w:rPr>
          <w:rFonts w:eastAsia="MS Mincho"/>
        </w:rPr>
        <w:t xml:space="preserve"> </w:t>
      </w:r>
      <w:r w:rsidRPr="00981405">
        <w:rPr>
          <w:rFonts w:eastAsia="MS Mincho"/>
        </w:rPr>
        <w:t>include</w:t>
      </w:r>
      <w:r w:rsidR="00190923" w:rsidRPr="00981405">
        <w:rPr>
          <w:rFonts w:eastAsia="MS Mincho"/>
        </w:rPr>
        <w:t xml:space="preserve"> </w:t>
      </w:r>
      <w:r w:rsidRPr="00981405">
        <w:rPr>
          <w:rFonts w:eastAsia="MS Mincho"/>
        </w:rPr>
        <w:t>non-governmental</w:t>
      </w:r>
      <w:r w:rsidR="00190923" w:rsidRPr="00981405">
        <w:rPr>
          <w:rFonts w:eastAsia="MS Mincho"/>
        </w:rPr>
        <w:t xml:space="preserve"> </w:t>
      </w:r>
      <w:r w:rsidRPr="00981405">
        <w:rPr>
          <w:rFonts w:eastAsia="MS Mincho"/>
        </w:rPr>
        <w:t>organizations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could</w:t>
      </w:r>
      <w:r w:rsidR="00190923" w:rsidRPr="00981405">
        <w:rPr>
          <w:rFonts w:eastAsia="MS Mincho"/>
        </w:rPr>
        <w:t xml:space="preserve"> </w:t>
      </w:r>
      <w:r w:rsidRPr="00981405">
        <w:rPr>
          <w:rFonts w:eastAsia="MS Mincho"/>
        </w:rPr>
        <w:t>play</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important</w:t>
      </w:r>
      <w:r w:rsidR="00190923" w:rsidRPr="00981405">
        <w:rPr>
          <w:rFonts w:eastAsia="MS Mincho"/>
        </w:rPr>
        <w:t xml:space="preserve"> </w:t>
      </w:r>
      <w:r w:rsidRPr="00981405">
        <w:rPr>
          <w:rFonts w:eastAsia="MS Mincho"/>
        </w:rPr>
        <w:t>role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specific</w:t>
      </w:r>
      <w:r w:rsidR="00190923" w:rsidRPr="00981405">
        <w:rPr>
          <w:rFonts w:eastAsia="MS Mincho"/>
        </w:rPr>
        <w:t xml:space="preserve"> </w:t>
      </w:r>
      <w:r w:rsidRPr="00981405">
        <w:rPr>
          <w:rFonts w:eastAsia="MS Mincho"/>
        </w:rPr>
        <w:t>countries.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term</w:t>
      </w:r>
      <w:r w:rsidR="00190923" w:rsidRPr="00981405">
        <w:rPr>
          <w:rFonts w:eastAsia="MS Mincho"/>
        </w:rPr>
        <w:t xml:space="preserve"> </w:t>
      </w:r>
      <w:r w:rsidR="00B92E2C" w:rsidRPr="00981405">
        <w:rPr>
          <w:rFonts w:eastAsia="MS Mincho"/>
        </w:rPr>
        <w:t>“</w:t>
      </w:r>
      <w:r w:rsidRPr="00981405">
        <w:rPr>
          <w:rFonts w:eastAsia="MS Mincho"/>
        </w:rPr>
        <w:t>as</w:t>
      </w:r>
      <w:r w:rsidR="00190923" w:rsidRPr="00981405">
        <w:rPr>
          <w:rFonts w:eastAsia="MS Mincho"/>
        </w:rPr>
        <w:t xml:space="preserve"> </w:t>
      </w:r>
      <w:r w:rsidRPr="00981405">
        <w:rPr>
          <w:rFonts w:eastAsia="MS Mincho"/>
        </w:rPr>
        <w:t>appropriate</w:t>
      </w:r>
      <w:r w:rsidR="00B92E2C" w:rsidRPr="00981405">
        <w:rPr>
          <w:rFonts w:eastAsia="MS Mincho"/>
        </w:rPr>
        <w: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used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indicate</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cooperation,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addition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being</w:t>
      </w:r>
      <w:r w:rsidR="00190923" w:rsidRPr="00981405">
        <w:rPr>
          <w:rFonts w:eastAsia="MS Mincho"/>
        </w:rPr>
        <w:t xml:space="preserve"> </w:t>
      </w:r>
      <w:r w:rsidRPr="00981405">
        <w:rPr>
          <w:rFonts w:eastAsia="MS Mincho"/>
        </w:rPr>
        <w:t>contextual</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nature,</w:t>
      </w:r>
      <w:r w:rsidR="00190923" w:rsidRPr="00981405">
        <w:rPr>
          <w:rFonts w:eastAsia="MS Mincho"/>
        </w:rPr>
        <w:t xml:space="preserve"> </w:t>
      </w:r>
      <w:r w:rsidRPr="00981405">
        <w:rPr>
          <w:rFonts w:eastAsia="MS Mincho"/>
        </w:rPr>
        <w:t>does</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extend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these</w:t>
      </w:r>
      <w:r w:rsidR="00190923" w:rsidRPr="00981405">
        <w:rPr>
          <w:rFonts w:eastAsia="MS Mincho"/>
        </w:rPr>
        <w:t xml:space="preserve"> </w:t>
      </w:r>
      <w:r w:rsidRPr="00981405">
        <w:rPr>
          <w:rFonts w:eastAsia="MS Mincho"/>
        </w:rPr>
        <w:t>organizations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extent</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does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States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relevant</w:t>
      </w:r>
      <w:r w:rsidR="00190923" w:rsidRPr="00981405">
        <w:rPr>
          <w:rFonts w:eastAsia="MS Mincho"/>
        </w:rPr>
        <w:t xml:space="preserve"> </w:t>
      </w:r>
      <w:r w:rsidRPr="00981405">
        <w:rPr>
          <w:rFonts w:eastAsia="MS Mincho"/>
        </w:rPr>
        <w:t>intergovernmental</w:t>
      </w:r>
      <w:r w:rsidR="00190923" w:rsidRPr="00981405">
        <w:rPr>
          <w:rFonts w:eastAsia="MS Mincho"/>
        </w:rPr>
        <w:t xml:space="preserve"> </w:t>
      </w:r>
      <w:r w:rsidRPr="00981405">
        <w:rPr>
          <w:rFonts w:eastAsia="MS Mincho"/>
        </w:rPr>
        <w:t>organizations.</w:t>
      </w:r>
    </w:p>
    <w:p w:rsidR="00397032" w:rsidRPr="00981405" w:rsidRDefault="00397032" w:rsidP="00D97463">
      <w:pPr>
        <w:pStyle w:val="SingleTxt"/>
        <w:rPr>
          <w:rFonts w:eastAsia="MS Mincho"/>
        </w:rPr>
      </w:pPr>
      <w:r w:rsidRPr="00981405">
        <w:rPr>
          <w:rFonts w:eastAsia="MS Mincho"/>
        </w:rPr>
        <w:t>(21)</w:t>
      </w:r>
      <w:r w:rsidRPr="00981405">
        <w:rPr>
          <w:rFonts w:eastAsia="MS Mincho"/>
        </w:rPr>
        <w:tab/>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4,</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indicates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no</w:t>
      </w:r>
      <w:r w:rsidR="00190923" w:rsidRPr="00981405">
        <w:rPr>
          <w:rFonts w:eastAsia="MS Mincho"/>
        </w:rPr>
        <w:t xml:space="preserve"> </w:t>
      </w:r>
      <w:r w:rsidRPr="00981405">
        <w:rPr>
          <w:rFonts w:eastAsia="MS Mincho"/>
        </w:rPr>
        <w:t>exceptional</w:t>
      </w:r>
      <w:r w:rsidR="00190923" w:rsidRPr="00981405">
        <w:rPr>
          <w:rFonts w:eastAsia="MS Mincho"/>
        </w:rPr>
        <w:t xml:space="preserve"> </w:t>
      </w:r>
      <w:r w:rsidRPr="00981405">
        <w:rPr>
          <w:rFonts w:eastAsia="MS Mincho"/>
        </w:rPr>
        <w:t>circumstances</w:t>
      </w:r>
      <w:r w:rsidR="00190923" w:rsidRPr="00981405">
        <w:rPr>
          <w:rFonts w:eastAsia="MS Mincho"/>
        </w:rPr>
        <w:t xml:space="preserve"> </w:t>
      </w:r>
      <w:r w:rsidRPr="00981405">
        <w:rPr>
          <w:rFonts w:eastAsia="MS Mincho"/>
        </w:rPr>
        <w:t>may</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invoked</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justification</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offence.</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text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inspired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Torture,</w:t>
      </w:r>
      <w:r w:rsidRPr="00981405">
        <w:rPr>
          <w:rStyle w:val="FootnoteReference"/>
        </w:rPr>
        <w:footnoteReference w:id="283"/>
      </w:r>
      <w:r w:rsidR="00190923" w:rsidRPr="00981405">
        <w:rPr>
          <w:rFonts w:eastAsia="MS Mincho"/>
        </w:rPr>
        <w:t xml:space="preserve"> </w:t>
      </w:r>
      <w:r w:rsidRPr="00981405">
        <w:rPr>
          <w:rFonts w:eastAsia="MS Mincho"/>
        </w:rPr>
        <w:t>but</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been</w:t>
      </w:r>
      <w:r w:rsidR="00190923" w:rsidRPr="00981405">
        <w:rPr>
          <w:rFonts w:eastAsia="MS Mincho"/>
        </w:rPr>
        <w:t xml:space="preserve"> </w:t>
      </w:r>
      <w:r w:rsidRPr="00981405">
        <w:rPr>
          <w:rFonts w:eastAsia="MS Mincho"/>
        </w:rPr>
        <w:t>refined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fit</w:t>
      </w:r>
      <w:r w:rsidR="00190923" w:rsidRPr="00981405">
        <w:rPr>
          <w:rFonts w:eastAsia="MS Mincho"/>
        </w:rPr>
        <w:t xml:space="preserve"> </w:t>
      </w:r>
      <w:r w:rsidRPr="00981405">
        <w:rPr>
          <w:rFonts w:eastAsia="MS Mincho"/>
        </w:rPr>
        <w:t>better</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expression</w:t>
      </w:r>
      <w:r w:rsidR="00190923" w:rsidRPr="00981405">
        <w:rPr>
          <w:rFonts w:eastAsia="MS Mincho"/>
        </w:rPr>
        <w:t xml:space="preserve"> </w:t>
      </w:r>
      <w:r w:rsidR="00B92E2C" w:rsidRPr="00981405">
        <w:rPr>
          <w:rFonts w:eastAsia="MS Mincho"/>
        </w:rPr>
        <w:t>“</w:t>
      </w:r>
      <w:r w:rsidRPr="00981405">
        <w:rPr>
          <w:rFonts w:eastAsia="MS Mincho"/>
        </w:rPr>
        <w:t>state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war</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threat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war</w:t>
      </w:r>
      <w:r w:rsidR="00B92E2C" w:rsidRPr="00981405">
        <w:rPr>
          <w:rFonts w:eastAsia="MS Mincho"/>
        </w:rPr>
        <w:t>”</w:t>
      </w:r>
      <w:r w:rsidR="00190923" w:rsidRPr="00981405">
        <w:rPr>
          <w:rFonts w:eastAsia="MS Mincho"/>
        </w:rPr>
        <w:t xml:space="preserve"> </w:t>
      </w:r>
      <w:r w:rsidRPr="00981405">
        <w:rPr>
          <w:rFonts w:eastAsia="MS Mincho"/>
        </w:rPr>
        <w:t>has</w:t>
      </w:r>
      <w:r w:rsidR="00190923" w:rsidRPr="00981405">
        <w:rPr>
          <w:rFonts w:eastAsia="MS Mincho"/>
        </w:rPr>
        <w:t xml:space="preserve"> </w:t>
      </w:r>
      <w:r w:rsidRPr="00981405">
        <w:rPr>
          <w:rFonts w:eastAsia="MS Mincho"/>
        </w:rPr>
        <w:t>been</w:t>
      </w:r>
      <w:r w:rsidR="00190923" w:rsidRPr="00981405">
        <w:rPr>
          <w:rFonts w:eastAsia="MS Mincho"/>
        </w:rPr>
        <w:t xml:space="preserve"> </w:t>
      </w:r>
      <w:r w:rsidRPr="00981405">
        <w:rPr>
          <w:rFonts w:eastAsia="MS Mincho"/>
        </w:rPr>
        <w:t>replaced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expression</w:t>
      </w:r>
      <w:r w:rsidR="00190923" w:rsidRPr="00981405">
        <w:rPr>
          <w:rFonts w:eastAsia="MS Mincho"/>
        </w:rPr>
        <w:t xml:space="preserve"> </w:t>
      </w:r>
      <w:r w:rsidR="00B92E2C" w:rsidRPr="00981405">
        <w:rPr>
          <w:rFonts w:eastAsia="MS Mincho"/>
        </w:rPr>
        <w:t>“</w:t>
      </w:r>
      <w:r w:rsidRPr="00981405">
        <w:rPr>
          <w:rFonts w:eastAsia="MS Mincho"/>
        </w:rPr>
        <w:t>armed</w:t>
      </w:r>
      <w:r w:rsidR="00190923" w:rsidRPr="00981405">
        <w:rPr>
          <w:rFonts w:eastAsia="MS Mincho"/>
        </w:rPr>
        <w:t xml:space="preserve"> </w:t>
      </w:r>
      <w:r w:rsidRPr="00981405">
        <w:rPr>
          <w:rFonts w:eastAsia="MS Mincho"/>
        </w:rPr>
        <w:t>conflict,</w:t>
      </w:r>
      <w:r w:rsidR="00B92E2C" w:rsidRPr="00981405">
        <w:rPr>
          <w:rFonts w:eastAsia="MS Mincho"/>
        </w:rPr>
        <w:t>”</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done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addition,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words</w:t>
      </w:r>
      <w:r w:rsidR="00190923" w:rsidRPr="00981405">
        <w:rPr>
          <w:rFonts w:eastAsia="MS Mincho"/>
        </w:rPr>
        <w:t xml:space="preserve"> </w:t>
      </w:r>
      <w:r w:rsidR="00B92E2C" w:rsidRPr="00981405">
        <w:rPr>
          <w:rFonts w:eastAsia="MS Mincho"/>
        </w:rPr>
        <w:t>“</w:t>
      </w:r>
      <w:r w:rsidRPr="00981405">
        <w:rPr>
          <w:rFonts w:eastAsia="MS Mincho"/>
        </w:rPr>
        <w:t>such</w:t>
      </w:r>
      <w:r w:rsidR="00190923" w:rsidRPr="00981405">
        <w:rPr>
          <w:rFonts w:eastAsia="MS Mincho"/>
        </w:rPr>
        <w:t xml:space="preserve"> </w:t>
      </w:r>
      <w:r w:rsidRPr="00981405">
        <w:rPr>
          <w:rFonts w:eastAsia="MS Mincho"/>
        </w:rPr>
        <w:t>as</w:t>
      </w:r>
      <w:r w:rsidR="00B92E2C" w:rsidRPr="00981405">
        <w:rPr>
          <w:rFonts w:eastAsia="MS Mincho"/>
        </w:rPr>
        <w:t>”</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used</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stress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examples</w:t>
      </w:r>
      <w:r w:rsidR="00190923" w:rsidRPr="00981405">
        <w:rPr>
          <w:rFonts w:eastAsia="MS Mincho"/>
        </w:rPr>
        <w:t xml:space="preserve"> </w:t>
      </w:r>
      <w:r w:rsidRPr="00981405">
        <w:rPr>
          <w:rFonts w:eastAsia="MS Mincho"/>
        </w:rPr>
        <w:t>given</w:t>
      </w:r>
      <w:r w:rsidR="00190923" w:rsidRPr="00981405">
        <w:rPr>
          <w:rFonts w:eastAsia="MS Mincho"/>
        </w:rPr>
        <w:t xml:space="preserve"> </w:t>
      </w:r>
      <w:r w:rsidRPr="00981405">
        <w:rPr>
          <w:rFonts w:eastAsia="MS Mincho"/>
        </w:rPr>
        <w:t>are</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meant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exhaustive.</w:t>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(22)</w:t>
      </w:r>
      <w:r w:rsidRPr="00981405">
        <w:rPr>
          <w:rFonts w:eastAsia="MS Mincho"/>
        </w:rPr>
        <w:tab/>
        <w:t>Comparable</w:t>
      </w:r>
      <w:r w:rsidR="00190923" w:rsidRPr="00981405">
        <w:rPr>
          <w:rFonts w:eastAsia="MS Mincho"/>
        </w:rPr>
        <w:t xml:space="preserve"> </w:t>
      </w:r>
      <w:r w:rsidRPr="00981405">
        <w:rPr>
          <w:rFonts w:eastAsia="MS Mincho"/>
        </w:rPr>
        <w:t>language</w:t>
      </w:r>
      <w:r w:rsidR="00190923" w:rsidRPr="00981405">
        <w:rPr>
          <w:rFonts w:eastAsia="MS Mincho"/>
        </w:rPr>
        <w:t xml:space="preserve"> </w:t>
      </w:r>
      <w:r w:rsidRPr="00981405">
        <w:rPr>
          <w:rFonts w:eastAsia="MS Mincho"/>
        </w:rPr>
        <w:t>may</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found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addressing</w:t>
      </w:r>
      <w:r w:rsidR="00190923" w:rsidRPr="00981405">
        <w:rPr>
          <w:rFonts w:eastAsia="MS Mincho"/>
        </w:rPr>
        <w:t xml:space="preserve"> </w:t>
      </w:r>
      <w:r w:rsidRPr="00981405">
        <w:rPr>
          <w:rFonts w:eastAsia="MS Mincho"/>
        </w:rPr>
        <w:t>serious</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global</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regional</w:t>
      </w:r>
      <w:r w:rsidR="00190923" w:rsidRPr="00981405">
        <w:rPr>
          <w:rFonts w:eastAsia="MS Mincho"/>
        </w:rPr>
        <w:t xml:space="preserve"> </w:t>
      </w:r>
      <w:r w:rsidRPr="00981405">
        <w:rPr>
          <w:rFonts w:eastAsia="MS Mincho"/>
        </w:rPr>
        <w:t>level.</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example,</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1,</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2,</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2006</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Protection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All</w:t>
      </w:r>
      <w:r w:rsidR="00190923" w:rsidRPr="00981405">
        <w:rPr>
          <w:rFonts w:eastAsia="MS Mincho"/>
        </w:rPr>
        <w:t xml:space="preserve"> </w:t>
      </w:r>
      <w:r w:rsidRPr="00981405">
        <w:rPr>
          <w:rFonts w:eastAsia="MS Mincho"/>
        </w:rPr>
        <w:t>Persons</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Enforced</w:t>
      </w:r>
      <w:r w:rsidR="00190923" w:rsidRPr="00981405">
        <w:rPr>
          <w:rFonts w:eastAsia="MS Mincho"/>
        </w:rPr>
        <w:t xml:space="preserve"> </w:t>
      </w:r>
      <w:r w:rsidRPr="00981405">
        <w:rPr>
          <w:rFonts w:eastAsia="MS Mincho"/>
        </w:rPr>
        <w:t>Disappearance</w:t>
      </w:r>
      <w:r w:rsidR="00190923" w:rsidRPr="00981405">
        <w:rPr>
          <w:rFonts w:eastAsia="MS Mincho"/>
        </w:rPr>
        <w:t xml:space="preserve"> </w:t>
      </w:r>
      <w:r w:rsidRPr="00981405">
        <w:rPr>
          <w:rFonts w:eastAsia="MS Mincho"/>
        </w:rPr>
        <w:t>contains</w:t>
      </w:r>
      <w:r w:rsidR="00190923" w:rsidRPr="00981405">
        <w:rPr>
          <w:rFonts w:eastAsia="MS Mincho"/>
        </w:rPr>
        <w:t xml:space="preserve"> </w:t>
      </w:r>
      <w:r w:rsidRPr="00981405">
        <w:rPr>
          <w:rFonts w:eastAsia="MS Mincho"/>
        </w:rPr>
        <w:t>similar</w:t>
      </w:r>
      <w:r w:rsidR="00190923" w:rsidRPr="00981405">
        <w:rPr>
          <w:rFonts w:eastAsia="MS Mincho"/>
        </w:rPr>
        <w:t xml:space="preserve"> </w:t>
      </w:r>
      <w:r w:rsidRPr="00981405">
        <w:rPr>
          <w:rFonts w:eastAsia="MS Mincho"/>
        </w:rPr>
        <w:t>language,</w:t>
      </w:r>
      <w:r w:rsidRPr="00981405">
        <w:rPr>
          <w:rStyle w:val="FootnoteReference"/>
        </w:rPr>
        <w:footnoteReference w:id="284"/>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does</w:t>
      </w:r>
      <w:r w:rsidR="00190923" w:rsidRPr="00981405">
        <w:rPr>
          <w:rFonts w:eastAsia="MS Mincho"/>
        </w:rPr>
        <w:t xml:space="preserve"> </w:t>
      </w:r>
      <w:r w:rsidRPr="00981405">
        <w:rPr>
          <w:rFonts w:eastAsia="MS Mincho"/>
        </w:rPr>
        <w:t>article</w:t>
      </w:r>
      <w:r w:rsidR="00190923" w:rsidRPr="00981405">
        <w:rPr>
          <w:rFonts w:eastAsia="MS Mincho"/>
        </w:rPr>
        <w:t xml:space="preserve"> </w:t>
      </w:r>
      <w:r w:rsidRPr="00981405">
        <w:rPr>
          <w:rFonts w:eastAsia="MS Mincho"/>
        </w:rPr>
        <w:t>5</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1985</w:t>
      </w:r>
      <w:r w:rsidR="00190923" w:rsidRPr="00981405">
        <w:rPr>
          <w:rFonts w:eastAsia="MS Mincho"/>
        </w:rPr>
        <w:t xml:space="preserve"> </w:t>
      </w:r>
      <w:r w:rsidRPr="00981405">
        <w:rPr>
          <w:rFonts w:eastAsia="MS Mincho"/>
        </w:rPr>
        <w:t>Inter-American</w:t>
      </w:r>
      <w:r w:rsidR="00190923" w:rsidRPr="00981405">
        <w:rPr>
          <w:rFonts w:eastAsia="MS Mincho"/>
        </w:rPr>
        <w:t xml:space="preserve"> </w:t>
      </w:r>
      <w:r w:rsidRPr="00981405">
        <w:rPr>
          <w:rFonts w:eastAsia="MS Mincho"/>
        </w:rPr>
        <w:t>Convention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Prevent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Punish</w:t>
      </w:r>
      <w:r w:rsidR="00190923" w:rsidRPr="00981405">
        <w:rPr>
          <w:rFonts w:eastAsia="MS Mincho"/>
        </w:rPr>
        <w:t xml:space="preserve"> </w:t>
      </w:r>
      <w:r w:rsidRPr="00981405">
        <w:rPr>
          <w:rFonts w:eastAsia="MS Mincho"/>
        </w:rPr>
        <w:t>Torture.</w:t>
      </w:r>
      <w:r w:rsidRPr="00981405">
        <w:rPr>
          <w:rStyle w:val="FootnoteReference"/>
        </w:rPr>
        <w:footnoteReference w:id="285"/>
      </w:r>
      <w:r w:rsidR="00190923" w:rsidRPr="00981405">
        <w:rPr>
          <w:rFonts w:eastAsia="MS Mincho"/>
        </w:rPr>
        <w:t xml:space="preserve"> </w:t>
      </w:r>
    </w:p>
    <w:p w:rsidR="00397032" w:rsidRPr="00981405" w:rsidRDefault="00397032" w:rsidP="00D97463">
      <w:pPr>
        <w:pStyle w:val="SingleTxt"/>
      </w:pPr>
      <w:r w:rsidRPr="00981405">
        <w:rPr>
          <w:rFonts w:eastAsia="MS Mincho"/>
        </w:rPr>
        <w:t>(23)</w:t>
      </w:r>
      <w:r w:rsidRPr="00981405">
        <w:rPr>
          <w:rFonts w:eastAsia="MS Mincho"/>
        </w:rPr>
        <w:tab/>
        <w:t>One</w:t>
      </w:r>
      <w:r w:rsidR="00190923" w:rsidRPr="00981405">
        <w:rPr>
          <w:rFonts w:eastAsia="MS Mincho"/>
        </w:rPr>
        <w:t xml:space="preserve"> </w:t>
      </w:r>
      <w:r w:rsidRPr="00981405">
        <w:rPr>
          <w:rFonts w:eastAsia="MS Mincho"/>
        </w:rPr>
        <w:t>advantage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formulation</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respect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crimes</w:t>
      </w:r>
      <w:r w:rsidR="00190923" w:rsidRPr="00981405">
        <w:rPr>
          <w:rFonts w:eastAsia="MS Mincho"/>
        </w:rPr>
        <w:t xml:space="preserve"> </w:t>
      </w:r>
      <w:r w:rsidRPr="00981405">
        <w:rPr>
          <w:rFonts w:eastAsia="MS Mincho"/>
        </w:rPr>
        <w:t>against</w:t>
      </w:r>
      <w:r w:rsidR="00190923" w:rsidRPr="00981405">
        <w:rPr>
          <w:rFonts w:eastAsia="MS Mincho"/>
        </w:rPr>
        <w:t xml:space="preserve"> </w:t>
      </w:r>
      <w:r w:rsidRPr="00981405">
        <w:rPr>
          <w:rFonts w:eastAsia="MS Mincho"/>
        </w:rPr>
        <w:t>humanity</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it</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drafted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manner</w:t>
      </w:r>
      <w:r w:rsidR="00190923" w:rsidRPr="00981405">
        <w:rPr>
          <w:rFonts w:eastAsia="MS Mincho"/>
        </w:rPr>
        <w:t xml:space="preserve"> </w:t>
      </w:r>
      <w:r w:rsidRPr="00981405">
        <w:rPr>
          <w:rFonts w:eastAsia="MS Mincho"/>
        </w:rPr>
        <w:t>that</w:t>
      </w:r>
      <w:r w:rsidR="00190923" w:rsidRPr="00981405">
        <w:rPr>
          <w:rFonts w:eastAsia="MS Mincho"/>
        </w:rPr>
        <w:t xml:space="preserve"> </w:t>
      </w:r>
      <w:r w:rsidRPr="00981405">
        <w:rPr>
          <w:rFonts w:eastAsia="MS Mincho"/>
        </w:rPr>
        <w:t>can</w:t>
      </w:r>
      <w:r w:rsidR="00190923" w:rsidRPr="00981405">
        <w:rPr>
          <w:rFonts w:eastAsia="MS Mincho"/>
        </w:rPr>
        <w:t xml:space="preserve"> </w:t>
      </w:r>
      <w:r w:rsidRPr="00981405">
        <w:rPr>
          <w:rFonts w:eastAsia="MS Mincho"/>
        </w:rPr>
        <w:t>speak</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conduct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either</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non-State</w:t>
      </w:r>
      <w:r w:rsidR="00190923" w:rsidRPr="00981405">
        <w:rPr>
          <w:rFonts w:eastAsia="MS Mincho"/>
        </w:rPr>
        <w:t xml:space="preserve"> </w:t>
      </w:r>
      <w:r w:rsidRPr="00981405">
        <w:rPr>
          <w:rFonts w:eastAsia="MS Mincho"/>
        </w:rPr>
        <w:t>actors.</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same</w:t>
      </w:r>
      <w:r w:rsidR="00190923" w:rsidRPr="00981405">
        <w:rPr>
          <w:rFonts w:eastAsia="MS Mincho"/>
        </w:rPr>
        <w:t xml:space="preserve"> </w:t>
      </w:r>
      <w:r w:rsidRPr="00981405">
        <w:rPr>
          <w:rFonts w:eastAsia="MS Mincho"/>
        </w:rPr>
        <w:t>time,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paragraph</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addressing</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issue</w:t>
      </w:r>
      <w:r w:rsidR="00190923" w:rsidRPr="00981405">
        <w:rPr>
          <w:rFonts w:eastAsia="MS Mincho"/>
        </w:rPr>
        <w:t xml:space="preserve"> </w:t>
      </w:r>
      <w:r w:rsidRPr="00981405">
        <w:rPr>
          <w:rFonts w:eastAsia="MS Mincho"/>
        </w:rPr>
        <w:t>only</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obligation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prevention</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example,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context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possible</w:t>
      </w:r>
      <w:r w:rsidR="00190923" w:rsidRPr="00981405">
        <w:rPr>
          <w:rFonts w:eastAsia="MS Mincho"/>
        </w:rPr>
        <w:t xml:space="preserve"> </w:t>
      </w:r>
      <w:r w:rsidRPr="00981405">
        <w:rPr>
          <w:rFonts w:eastAsia="MS Mincho"/>
        </w:rPr>
        <w:t>defenses</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individual</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criminal</w:t>
      </w:r>
      <w:r w:rsidR="00190923" w:rsidRPr="00981405">
        <w:rPr>
          <w:rFonts w:eastAsia="MS Mincho"/>
        </w:rPr>
        <w:t xml:space="preserve"> </w:t>
      </w:r>
      <w:r w:rsidRPr="00981405">
        <w:rPr>
          <w:rFonts w:eastAsia="MS Mincho"/>
        </w:rPr>
        <w:t>proceeding</w:t>
      </w:r>
      <w:r w:rsidR="00190923" w:rsidRPr="00981405">
        <w:rPr>
          <w:rFonts w:eastAsia="MS Mincho"/>
        </w:rPr>
        <w:t xml:space="preserve"> </w:t>
      </w:r>
      <w:r w:rsidRPr="00981405">
        <w:rPr>
          <w:rFonts w:eastAsia="MS Mincho"/>
        </w:rPr>
        <w:t>or</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grounds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excluding</w:t>
      </w:r>
      <w:r w:rsidR="00190923" w:rsidRPr="00981405">
        <w:rPr>
          <w:rFonts w:eastAsia="MS Mincho"/>
        </w:rPr>
        <w:t xml:space="preserve"> </w:t>
      </w:r>
      <w:r w:rsidRPr="00981405">
        <w:rPr>
          <w:rFonts w:eastAsia="MS Mincho"/>
        </w:rPr>
        <w:t>criminal</w:t>
      </w:r>
      <w:r w:rsidR="00190923" w:rsidRPr="00981405">
        <w:rPr>
          <w:rFonts w:eastAsia="MS Mincho"/>
        </w:rPr>
        <w:t xml:space="preserve"> </w:t>
      </w:r>
      <w:r w:rsidRPr="00981405">
        <w:rPr>
          <w:rFonts w:eastAsia="MS Mincho"/>
        </w:rPr>
        <w:t>responsibility,</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will</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addressed</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later</w:t>
      </w:r>
      <w:r w:rsidR="00190923" w:rsidRPr="00981405">
        <w:rPr>
          <w:rFonts w:eastAsia="MS Mincho"/>
        </w:rPr>
        <w:t xml:space="preserve"> </w:t>
      </w:r>
      <w:r w:rsidRPr="00981405">
        <w:rPr>
          <w:rFonts w:eastAsia="MS Mincho"/>
        </w:rPr>
        <w:t>stage.</w:t>
      </w:r>
      <w:r w:rsidR="00190923" w:rsidRPr="00981405">
        <w:rPr>
          <w:rFonts w:eastAsia="MS Mincho"/>
        </w:rPr>
        <w:t xml:space="preserve"> </w:t>
      </w:r>
    </w:p>
    <w:p w:rsidR="00B41600" w:rsidRPr="00D97463" w:rsidRDefault="00397032">
      <w:pPr>
        <w:pStyle w:val="SingleTxt"/>
        <w:rPr>
          <w:sz w:val="10"/>
        </w:rPr>
      </w:pPr>
      <w:r w:rsidRPr="00981405">
        <w:br w:type="page"/>
      </w:r>
    </w:p>
    <w:p w:rsidR="00B41600" w:rsidRPr="00D97463" w:rsidRDefault="00B41600" w:rsidP="00D97463">
      <w:pPr>
        <w:pStyle w:val="SingleTxt"/>
        <w:spacing w:after="0" w:line="120" w:lineRule="exact"/>
        <w:rPr>
          <w:sz w:val="10"/>
        </w:rPr>
      </w:pPr>
    </w:p>
    <w:p w:rsidR="00B41600" w:rsidRPr="00D97463" w:rsidRDefault="00B41600" w:rsidP="00D97463">
      <w:pPr>
        <w:pStyle w:val="SingleTxt"/>
        <w:spacing w:after="0" w:line="120" w:lineRule="exact"/>
        <w:rPr>
          <w:sz w:val="10"/>
        </w:rPr>
      </w:pPr>
    </w:p>
    <w:p w:rsidR="00397032" w:rsidRPr="00D97463" w:rsidRDefault="00B41600" w:rsidP="00D97463">
      <w:pPr>
        <w:pStyle w:val="HCh"/>
        <w:ind w:left="1267" w:right="1260" w:hanging="1267"/>
      </w:pPr>
      <w:r w:rsidRPr="00D97463">
        <w:tab/>
      </w:r>
      <w:r w:rsidRPr="00D97463">
        <w:tab/>
      </w:r>
      <w:r w:rsidR="00397032" w:rsidRPr="00D97463">
        <w:t>Chapter</w:t>
      </w:r>
      <w:r w:rsidR="00190923" w:rsidRPr="00D97463">
        <w:t xml:space="preserve"> </w:t>
      </w:r>
      <w:r w:rsidR="00397032" w:rsidRPr="00D97463">
        <w:t>VIII</w:t>
      </w:r>
      <w:r w:rsidR="00397032" w:rsidRPr="00D97463">
        <w:br/>
        <w:t>Subsequent</w:t>
      </w:r>
      <w:r w:rsidR="00190923" w:rsidRPr="00D97463">
        <w:t xml:space="preserve"> </w:t>
      </w:r>
      <w:r w:rsidR="00397032" w:rsidRPr="00D97463">
        <w:t>agreements</w:t>
      </w:r>
      <w:r w:rsidR="00190923" w:rsidRPr="00D97463">
        <w:t xml:space="preserve"> </w:t>
      </w:r>
      <w:r w:rsidR="00397032" w:rsidRPr="00D97463">
        <w:t>and</w:t>
      </w:r>
      <w:r w:rsidR="00190923" w:rsidRPr="00D97463">
        <w:t xml:space="preserve"> </w:t>
      </w:r>
      <w:r w:rsidR="00397032" w:rsidRPr="00D97463">
        <w:t>subsequent</w:t>
      </w:r>
      <w:r w:rsidR="00190923" w:rsidRPr="00D97463">
        <w:t xml:space="preserve"> </w:t>
      </w:r>
      <w:r w:rsidR="00397032" w:rsidRPr="00D97463">
        <w:t>practice</w:t>
      </w:r>
      <w:r w:rsidR="00190923" w:rsidRPr="00D97463">
        <w:t xml:space="preserve"> </w:t>
      </w:r>
      <w:r w:rsidR="00397032" w:rsidRPr="00D97463">
        <w:t>in</w:t>
      </w:r>
      <w:r w:rsidR="00190923" w:rsidRPr="00D97463">
        <w:t xml:space="preserve"> </w:t>
      </w:r>
      <w:r w:rsidR="00397032" w:rsidRPr="00D97463">
        <w:t>relation</w:t>
      </w:r>
      <w:r w:rsidR="00190923" w:rsidRPr="00D97463">
        <w:t xml:space="preserve"> </w:t>
      </w:r>
      <w:r w:rsidR="00397032" w:rsidRPr="00D97463">
        <w:t>to</w:t>
      </w:r>
      <w:r w:rsidR="00190923" w:rsidRPr="00D97463">
        <w:t xml:space="preserve"> </w:t>
      </w:r>
      <w:r w:rsidR="00397032" w:rsidRPr="00D97463">
        <w:t>the</w:t>
      </w:r>
      <w:r w:rsidR="00190923" w:rsidRPr="00D97463">
        <w:t xml:space="preserve"> </w:t>
      </w:r>
      <w:r w:rsidR="00397032" w:rsidRPr="00D97463">
        <w:t>interpretation</w:t>
      </w:r>
      <w:r w:rsidR="00190923" w:rsidRPr="00D97463">
        <w:t xml:space="preserve"> </w:t>
      </w:r>
      <w:r w:rsidR="00397032" w:rsidRPr="00D97463">
        <w:t>of</w:t>
      </w:r>
      <w:r w:rsidR="00190923" w:rsidRPr="00D97463">
        <w:t xml:space="preserve"> </w:t>
      </w:r>
      <w:r w:rsidR="00397032" w:rsidRPr="00D97463">
        <w:t>treaties</w:t>
      </w:r>
    </w:p>
    <w:p w:rsidR="00B41600" w:rsidRPr="00D97463" w:rsidRDefault="00B41600" w:rsidP="00D97463">
      <w:pPr>
        <w:pStyle w:val="SingleTxt"/>
        <w:spacing w:after="0" w:line="120" w:lineRule="exact"/>
        <w:rPr>
          <w:sz w:val="10"/>
        </w:rPr>
      </w:pPr>
    </w:p>
    <w:p w:rsidR="00B41600" w:rsidRPr="00D97463" w:rsidRDefault="00B41600" w:rsidP="00D97463">
      <w:pPr>
        <w:pStyle w:val="SingleTxt"/>
        <w:spacing w:after="0" w:line="120" w:lineRule="exact"/>
        <w:rPr>
          <w:sz w:val="10"/>
        </w:rPr>
      </w:pPr>
    </w:p>
    <w:p w:rsidR="00397032" w:rsidRPr="00D97463" w:rsidRDefault="00397032" w:rsidP="00D97463">
      <w:pPr>
        <w:pStyle w:val="H1"/>
        <w:ind w:right="1260"/>
      </w:pPr>
      <w:r w:rsidRPr="00D97463">
        <w:tab/>
        <w:t>A.</w:t>
      </w:r>
      <w:r w:rsidRPr="00D97463">
        <w:tab/>
        <w:t>Introduction</w:t>
      </w:r>
    </w:p>
    <w:p w:rsidR="00B41600" w:rsidRPr="00D97463" w:rsidRDefault="00B41600" w:rsidP="00D97463">
      <w:pPr>
        <w:pStyle w:val="SingleTxt"/>
        <w:spacing w:after="0" w:line="120" w:lineRule="exact"/>
        <w:rPr>
          <w:sz w:val="10"/>
        </w:rPr>
      </w:pPr>
    </w:p>
    <w:p w:rsidR="00B41600" w:rsidRPr="00D97463" w:rsidRDefault="00B41600" w:rsidP="00D97463">
      <w:pPr>
        <w:pStyle w:val="SingleTxt"/>
        <w:spacing w:after="0" w:line="120" w:lineRule="exact"/>
        <w:rPr>
          <w:sz w:val="10"/>
        </w:rPr>
      </w:pPr>
    </w:p>
    <w:p w:rsidR="00397032" w:rsidRPr="00981405" w:rsidRDefault="00397032" w:rsidP="00D97463">
      <w:pPr>
        <w:pStyle w:val="SingleTxt"/>
      </w:pPr>
      <w:r w:rsidRPr="00981405">
        <w:t>118.</w:t>
      </w:r>
      <w:r w:rsidR="00190923" w:rsidRPr="00981405">
        <w:t xml:space="preserve"> </w:t>
      </w:r>
      <w:r w:rsidRPr="00981405">
        <w:tab/>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sixtieth</w:t>
      </w:r>
      <w:r w:rsidR="00190923" w:rsidRPr="00981405">
        <w:t xml:space="preserve"> </w:t>
      </w:r>
      <w:r w:rsidRPr="00981405">
        <w:t>session</w:t>
      </w:r>
      <w:r w:rsidR="00190923" w:rsidRPr="00981405">
        <w:t xml:space="preserve"> </w:t>
      </w:r>
      <w:r w:rsidRPr="00981405">
        <w:t>(2008),</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Treaties</w:t>
      </w:r>
      <w:r w:rsidR="00190923" w:rsidRPr="00981405">
        <w:t xml:space="preserve"> </w:t>
      </w:r>
      <w:r w:rsidRPr="00981405">
        <w:t>over</w:t>
      </w:r>
      <w:r w:rsidR="00190923" w:rsidRPr="00981405">
        <w:t xml:space="preserve"> </w:t>
      </w:r>
      <w:r w:rsidRPr="00981405">
        <w:t>time</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to</w:t>
      </w:r>
      <w:r w:rsidR="00190923" w:rsidRPr="00981405">
        <w:t xml:space="preserve"> </w:t>
      </w:r>
      <w:r w:rsidRPr="00981405">
        <w:t>establish</w:t>
      </w:r>
      <w:r w:rsidR="00190923" w:rsidRPr="00981405">
        <w:t xml:space="preserve"> </w:t>
      </w:r>
      <w:r w:rsidRPr="00981405">
        <w:t>a</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its</w:t>
      </w:r>
      <w:r w:rsidR="00190923" w:rsidRPr="00981405">
        <w:t xml:space="preserve"> </w:t>
      </w:r>
      <w:r w:rsidRPr="00981405">
        <w:t>sixty-first</w:t>
      </w:r>
      <w:r w:rsidR="00190923" w:rsidRPr="00981405">
        <w:t xml:space="preserve"> </w:t>
      </w:r>
      <w:r w:rsidRPr="00981405">
        <w:t>session.</w:t>
      </w:r>
      <w:r w:rsidRPr="00981405">
        <w:rPr>
          <w:rStyle w:val="FootnoteReference"/>
        </w:rPr>
        <w:footnoteReference w:id="286"/>
      </w:r>
      <w:r w:rsidR="00190923" w:rsidRPr="00981405">
        <w:t xml:space="preserve"> </w:t>
      </w:r>
      <w:r w:rsidRPr="00981405">
        <w:t>At</w:t>
      </w:r>
      <w:r w:rsidR="00190923" w:rsidRPr="00981405">
        <w:t xml:space="preserve"> </w:t>
      </w:r>
      <w:r w:rsidRPr="00981405">
        <w:t>its</w:t>
      </w:r>
      <w:r w:rsidR="00190923" w:rsidRPr="00981405">
        <w:t xml:space="preserve"> </w:t>
      </w:r>
      <w:r w:rsidRPr="00981405">
        <w:t>sixty-first</w:t>
      </w:r>
      <w:r w:rsidR="00190923" w:rsidRPr="00981405">
        <w:t xml:space="preserve"> </w:t>
      </w:r>
      <w:r w:rsidRPr="00981405">
        <w:t>session</w:t>
      </w:r>
      <w:r w:rsidR="00190923" w:rsidRPr="00981405">
        <w:t xml:space="preserve"> </w:t>
      </w:r>
      <w:r w:rsidRPr="00981405">
        <w:t>(2009),</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established</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on</w:t>
      </w:r>
      <w:r w:rsidR="00190923" w:rsidRPr="00981405">
        <w:t xml:space="preserve"> </w:t>
      </w:r>
      <w:r w:rsidRPr="00981405">
        <w:t>Treaties</w:t>
      </w:r>
      <w:r w:rsidR="00190923" w:rsidRPr="00981405">
        <w:t xml:space="preserve"> </w:t>
      </w:r>
      <w:r w:rsidRPr="00981405">
        <w:t>over</w:t>
      </w:r>
      <w:r w:rsidR="00190923" w:rsidRPr="00981405">
        <w:t xml:space="preserve"> </w:t>
      </w:r>
      <w:r w:rsidRPr="00981405">
        <w:t>time,</w:t>
      </w:r>
      <w:r w:rsidR="00190923" w:rsidRPr="00981405">
        <w:t xml:space="preserve"> </w:t>
      </w:r>
      <w:r w:rsidRPr="00981405">
        <w:t>chaired</w:t>
      </w:r>
      <w:r w:rsidR="00190923" w:rsidRPr="00981405">
        <w:t xml:space="preserve"> </w:t>
      </w:r>
      <w:r w:rsidRPr="00981405">
        <w:t>by</w:t>
      </w:r>
      <w:r w:rsidR="00190923" w:rsidRPr="00981405">
        <w:t xml:space="preserve"> </w:t>
      </w:r>
      <w:r w:rsidRPr="00981405">
        <w:t>Mr.</w:t>
      </w:r>
      <w:r w:rsidR="00190923" w:rsidRPr="00981405">
        <w:t xml:space="preserve"> </w:t>
      </w:r>
      <w:r w:rsidRPr="00981405">
        <w:t>Georg</w:t>
      </w:r>
      <w:r w:rsidR="00190923" w:rsidRPr="00981405">
        <w:t xml:space="preserve"> </w:t>
      </w:r>
      <w:r w:rsidRPr="00981405">
        <w:t>Nolte.</w:t>
      </w:r>
      <w:r w:rsidR="00190923" w:rsidRPr="00981405">
        <w:t xml:space="preserve"> </w:t>
      </w:r>
      <w:r w:rsidRPr="00981405">
        <w:t>At</w:t>
      </w:r>
      <w:r w:rsidR="00190923" w:rsidRPr="00981405">
        <w:t xml:space="preserve"> </w:t>
      </w:r>
      <w:r w:rsidRPr="00981405">
        <w:t>that</w:t>
      </w:r>
      <w:r w:rsidR="00190923" w:rsidRPr="00981405">
        <w:t xml:space="preserve"> </w:t>
      </w:r>
      <w:r w:rsidRPr="00981405">
        <w:t>session,</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focused</w:t>
      </w:r>
      <w:r w:rsidR="00190923" w:rsidRPr="00981405">
        <w:t xml:space="preserve"> </w:t>
      </w:r>
      <w:r w:rsidRPr="00981405">
        <w:t>its</w:t>
      </w:r>
      <w:r w:rsidR="00190923" w:rsidRPr="00981405">
        <w:t xml:space="preserve"> </w:t>
      </w:r>
      <w:r w:rsidRPr="00981405">
        <w:t>discussions</w:t>
      </w:r>
      <w:r w:rsidR="00190923" w:rsidRPr="00981405">
        <w:t xml:space="preserve"> </w:t>
      </w:r>
      <w:r w:rsidRPr="00981405">
        <w:t>on</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the</w:t>
      </w:r>
      <w:r w:rsidR="00190923" w:rsidRPr="00981405">
        <w:t xml:space="preserve"> </w:t>
      </w:r>
      <w:r w:rsidRPr="00981405">
        <w:t>issues</w:t>
      </w:r>
      <w:r w:rsidR="00190923" w:rsidRPr="00981405">
        <w:t xml:space="preserve"> </w:t>
      </w:r>
      <w:r w:rsidRPr="00981405">
        <w:t>to</w:t>
      </w:r>
      <w:r w:rsidR="00190923" w:rsidRPr="00981405">
        <w:t xml:space="preserve"> </w:t>
      </w:r>
      <w:r w:rsidRPr="00981405">
        <w:t>be</w:t>
      </w:r>
      <w:r w:rsidR="00190923" w:rsidRPr="00981405">
        <w:t xml:space="preserve"> </w:t>
      </w:r>
      <w:r w:rsidRPr="00981405">
        <w:t>covered,</w:t>
      </w:r>
      <w:r w:rsidR="00190923" w:rsidRPr="00981405">
        <w:t xml:space="preserve"> </w:t>
      </w:r>
      <w:r w:rsidRPr="00981405">
        <w:t>the</w:t>
      </w:r>
      <w:r w:rsidR="00190923" w:rsidRPr="00981405">
        <w:t xml:space="preserve"> </w:t>
      </w:r>
      <w:r w:rsidRPr="00981405">
        <w:t>working</w:t>
      </w:r>
      <w:r w:rsidR="00190923" w:rsidRPr="00981405">
        <w:t xml:space="preserve"> </w:t>
      </w:r>
      <w:r w:rsidRPr="00981405">
        <w:t>methods</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and</w:t>
      </w:r>
      <w:r w:rsidR="00190923" w:rsidRPr="00981405">
        <w:t xml:space="preserve"> </w:t>
      </w:r>
      <w:r w:rsidRPr="00981405">
        <w:t>the</w:t>
      </w:r>
      <w:r w:rsidR="00190923" w:rsidRPr="00981405">
        <w:t xml:space="preserve"> </w:t>
      </w:r>
      <w:r w:rsidRPr="00981405">
        <w:t>possible</w:t>
      </w:r>
      <w:r w:rsidR="00190923" w:rsidRPr="00981405">
        <w:t xml:space="preserve"> </w:t>
      </w:r>
      <w:r w:rsidRPr="00981405">
        <w:t>outcome</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Pr="00981405">
        <w:rPr>
          <w:rStyle w:val="FootnoteReference"/>
        </w:rPr>
        <w:footnoteReference w:id="287"/>
      </w:r>
    </w:p>
    <w:p w:rsidR="00397032" w:rsidRPr="00981405" w:rsidRDefault="00397032" w:rsidP="00D97463">
      <w:pPr>
        <w:pStyle w:val="SingleTxt"/>
      </w:pPr>
      <w:r w:rsidRPr="00981405">
        <w:t>119.</w:t>
      </w:r>
      <w:r w:rsidRPr="00981405">
        <w:tab/>
        <w:t>From</w:t>
      </w:r>
      <w:r w:rsidR="00190923" w:rsidRPr="00981405">
        <w:t xml:space="preserve"> </w:t>
      </w:r>
      <w:r w:rsidRPr="00981405">
        <w:t>the</w:t>
      </w:r>
      <w:r w:rsidR="00190923" w:rsidRPr="00981405">
        <w:t xml:space="preserve"> </w:t>
      </w:r>
      <w:r w:rsidRPr="00981405">
        <w:t>sixty-second</w:t>
      </w:r>
      <w:r w:rsidR="00190923" w:rsidRPr="00981405">
        <w:t xml:space="preserve"> </w:t>
      </w:r>
      <w:r w:rsidRPr="00981405">
        <w:t>to</w:t>
      </w:r>
      <w:r w:rsidR="00190923" w:rsidRPr="00981405">
        <w:t xml:space="preserve"> </w:t>
      </w:r>
      <w:r w:rsidRPr="00981405">
        <w:t>the</w:t>
      </w:r>
      <w:r w:rsidR="00190923" w:rsidRPr="00981405">
        <w:t xml:space="preserve"> </w:t>
      </w:r>
      <w:r w:rsidRPr="00981405">
        <w:t>sixty-fourth</w:t>
      </w:r>
      <w:r w:rsidR="00190923" w:rsidRPr="00981405">
        <w:t xml:space="preserve"> </w:t>
      </w:r>
      <w:r w:rsidRPr="00981405">
        <w:t>session</w:t>
      </w:r>
      <w:r w:rsidR="00190923" w:rsidRPr="00981405">
        <w:t xml:space="preserve"> </w:t>
      </w:r>
      <w:r w:rsidRPr="00981405">
        <w:t>(2010</w:t>
      </w:r>
      <w:r w:rsidR="00B92E2C" w:rsidRPr="00981405">
        <w:t>-</w:t>
      </w:r>
      <w:r w:rsidRPr="00981405">
        <w:t>2012),</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was</w:t>
      </w:r>
      <w:r w:rsidR="00190923" w:rsidRPr="00981405">
        <w:t xml:space="preserve"> </w:t>
      </w:r>
      <w:r w:rsidRPr="00981405">
        <w:t>reconstituted</w:t>
      </w:r>
      <w:r w:rsidR="00190923" w:rsidRPr="00981405">
        <w:t xml:space="preserve"> </w:t>
      </w:r>
      <w:r w:rsidRPr="00981405">
        <w:t>under</w:t>
      </w:r>
      <w:r w:rsidR="00190923" w:rsidRPr="00981405">
        <w:t xml:space="preserve"> </w:t>
      </w:r>
      <w:r w:rsidRPr="00981405">
        <w:t>the</w:t>
      </w:r>
      <w:r w:rsidR="00190923" w:rsidRPr="00981405">
        <w:t xml:space="preserve"> </w:t>
      </w:r>
      <w:r w:rsidRPr="00981405">
        <w:t>chairmanship</w:t>
      </w:r>
      <w:r w:rsidR="00190923" w:rsidRPr="00981405">
        <w:t xml:space="preserve"> </w:t>
      </w:r>
      <w:r w:rsidRPr="00981405">
        <w:t>of</w:t>
      </w:r>
      <w:r w:rsidR="00190923" w:rsidRPr="00981405">
        <w:t xml:space="preserve"> </w:t>
      </w:r>
      <w:r w:rsidRPr="00981405">
        <w:t>Mr.</w:t>
      </w:r>
      <w:r w:rsidR="00190923" w:rsidRPr="00981405">
        <w:t xml:space="preserve"> </w:t>
      </w:r>
      <w:r w:rsidRPr="00981405">
        <w:t>Georg</w:t>
      </w:r>
      <w:r w:rsidR="00190923" w:rsidRPr="00981405">
        <w:t xml:space="preserve"> </w:t>
      </w:r>
      <w:r w:rsidRPr="00981405">
        <w:t>Nolte.</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examined</w:t>
      </w:r>
      <w:r w:rsidR="00190923" w:rsidRPr="00981405">
        <w:t xml:space="preserve"> </w:t>
      </w:r>
      <w:r w:rsidRPr="00981405">
        <w:t>three</w:t>
      </w:r>
      <w:r w:rsidR="00190923" w:rsidRPr="00981405">
        <w:t xml:space="preserve"> </w:t>
      </w:r>
      <w:r w:rsidRPr="00981405">
        <w:t>reports</w:t>
      </w:r>
      <w:r w:rsidR="00190923" w:rsidRPr="00981405">
        <w:t xml:space="preserve"> </w:t>
      </w:r>
      <w:r w:rsidRPr="00981405">
        <w:t>presented</w:t>
      </w:r>
      <w:r w:rsidR="00190923" w:rsidRPr="00981405">
        <w:t xml:space="preserve"> </w:t>
      </w:r>
      <w:r w:rsidRPr="00981405">
        <w:t>informally</w:t>
      </w:r>
      <w:r w:rsidR="00190923" w:rsidRPr="00981405">
        <w:t xml:space="preserve"> </w:t>
      </w:r>
      <w:r w:rsidRPr="00981405">
        <w:t>by</w:t>
      </w:r>
      <w:r w:rsidR="00190923" w:rsidRPr="00981405">
        <w:t xml:space="preserve"> </w:t>
      </w:r>
      <w:r w:rsidRPr="00981405">
        <w:t>the</w:t>
      </w:r>
      <w:r w:rsidR="00190923" w:rsidRPr="00981405">
        <w:t xml:space="preserve"> </w:t>
      </w:r>
      <w:r w:rsidRPr="00981405">
        <w:t>Chairman,</w:t>
      </w:r>
      <w:r w:rsidR="00190923" w:rsidRPr="00981405">
        <w:t xml:space="preserve"> </w:t>
      </w:r>
      <w:r w:rsidRPr="00981405">
        <w:t>which</w:t>
      </w:r>
      <w:r w:rsidR="00190923" w:rsidRPr="00981405">
        <w:t xml:space="preserve"> </w:t>
      </w:r>
      <w:r w:rsidRPr="00981405">
        <w:t>addressed,</w:t>
      </w:r>
      <w:r w:rsidR="00190923" w:rsidRPr="00981405">
        <w:t xml:space="preserve"> </w:t>
      </w:r>
      <w:r w:rsidRPr="00981405">
        <w:t>respectively,</w:t>
      </w:r>
      <w:r w:rsidR="00190923" w:rsidRPr="00981405">
        <w:t xml:space="preserve"> </w:t>
      </w:r>
      <w:r w:rsidRPr="00981405">
        <w:t>the</w:t>
      </w:r>
      <w:r w:rsidR="00190923" w:rsidRPr="00981405">
        <w:t xml:space="preserve"> </w:t>
      </w:r>
      <w:r w:rsidRPr="00981405">
        <w:t>relevant</w:t>
      </w:r>
      <w:r w:rsidR="00190923" w:rsidRPr="00981405">
        <w:t xml:space="preserve"> </w:t>
      </w:r>
      <w:r w:rsidRPr="00981405">
        <w:t>jurisprudence</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and</w:t>
      </w:r>
      <w:r w:rsidR="00190923" w:rsidRPr="00981405">
        <w:t xml:space="preserve"> </w:t>
      </w:r>
      <w:r w:rsidRPr="00981405">
        <w:t>arbitral</w:t>
      </w:r>
      <w:r w:rsidR="00190923" w:rsidRPr="00981405">
        <w:t xml:space="preserve"> </w:t>
      </w:r>
      <w:r w:rsidRPr="00981405">
        <w:t>tribunals</w:t>
      </w:r>
      <w:r w:rsidR="00190923" w:rsidRPr="00981405">
        <w:t xml:space="preserve"> </w:t>
      </w:r>
      <w:r w:rsidRPr="00981405">
        <w:t>of</w:t>
      </w:r>
      <w:r w:rsidR="00190923" w:rsidRPr="00981405">
        <w:t xml:space="preserve"> </w:t>
      </w:r>
      <w:r w:rsidR="00B41600" w:rsidRPr="00981405">
        <w:rPr>
          <w:i/>
          <w:iCs/>
        </w:rPr>
        <w:t>ad</w:t>
      </w:r>
      <w:r w:rsidR="00190923" w:rsidRPr="00981405">
        <w:rPr>
          <w:i/>
          <w:iCs/>
        </w:rPr>
        <w:t xml:space="preserve"> </w:t>
      </w:r>
      <w:r w:rsidR="00B41600" w:rsidRPr="00981405">
        <w:rPr>
          <w:i/>
          <w:iCs/>
        </w:rPr>
        <w:t>hoc</w:t>
      </w:r>
      <w:r w:rsidR="00190923" w:rsidRPr="00981405">
        <w:rPr>
          <w:i/>
          <w:iCs/>
        </w:rPr>
        <w:t xml:space="preserve"> </w:t>
      </w:r>
      <w:r w:rsidRPr="00981405">
        <w:t>jurisdiction;</w:t>
      </w:r>
      <w:r w:rsidRPr="00981405">
        <w:rPr>
          <w:rStyle w:val="FootnoteReference"/>
        </w:rPr>
        <w:footnoteReference w:id="288"/>
      </w:r>
      <w:r w:rsidR="00190923" w:rsidRPr="00981405">
        <w:t xml:space="preserve"> </w:t>
      </w:r>
      <w:r w:rsidRPr="00981405">
        <w:t>the</w:t>
      </w:r>
      <w:r w:rsidR="00190923" w:rsidRPr="00981405">
        <w:t xml:space="preserve"> </w:t>
      </w:r>
      <w:r w:rsidRPr="00981405">
        <w:t>jurisprudence</w:t>
      </w:r>
      <w:r w:rsidR="00190923" w:rsidRPr="00981405">
        <w:t xml:space="preserve"> </w:t>
      </w:r>
      <w:r w:rsidRPr="00981405">
        <w:t>under</w:t>
      </w:r>
      <w:r w:rsidR="00190923" w:rsidRPr="00981405">
        <w:t xml:space="preserve"> </w:t>
      </w:r>
      <w:r w:rsidRPr="00981405">
        <w:t>special</w:t>
      </w:r>
      <w:r w:rsidR="00190923" w:rsidRPr="00981405">
        <w:t xml:space="preserve"> </w:t>
      </w:r>
      <w:r w:rsidRPr="00981405">
        <w:t>regimes</w:t>
      </w:r>
      <w:r w:rsidR="00190923" w:rsidRPr="00981405">
        <w:t xml:space="preserve"> </w:t>
      </w:r>
      <w:r w:rsidRPr="00981405">
        <w:t>relating</w:t>
      </w:r>
      <w:r w:rsidR="00190923" w:rsidRPr="00981405">
        <w:t xml:space="preserve"> </w:t>
      </w:r>
      <w:r w:rsidRPr="00981405">
        <w:t>to</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Pr="00981405">
        <w:rPr>
          <w:rStyle w:val="FootnoteReference"/>
        </w:rPr>
        <w:footnoteReference w:id="289"/>
      </w:r>
      <w:r w:rsidR="00190923" w:rsidRPr="00981405">
        <w:t xml:space="preserve"> </w:t>
      </w:r>
      <w:r w:rsidRPr="00981405">
        <w:t>and</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outside</w:t>
      </w:r>
      <w:r w:rsidR="00190923" w:rsidRPr="00981405">
        <w:t xml:space="preserve"> </w:t>
      </w:r>
      <w:r w:rsidRPr="00981405">
        <w:t>judicial</w:t>
      </w:r>
      <w:r w:rsidR="00190923" w:rsidRPr="00981405">
        <w:t xml:space="preserve"> </w:t>
      </w:r>
      <w:r w:rsidRPr="00981405">
        <w:t>and</w:t>
      </w:r>
      <w:r w:rsidR="00190923" w:rsidRPr="00981405">
        <w:t xml:space="preserve"> </w:t>
      </w:r>
      <w:r w:rsidRPr="00981405">
        <w:t>quasi-judicial</w:t>
      </w:r>
      <w:r w:rsidR="00190923" w:rsidRPr="00981405">
        <w:t xml:space="preserve"> </w:t>
      </w:r>
      <w:r w:rsidRPr="00981405">
        <w:t>proceedings.</w:t>
      </w:r>
      <w:r w:rsidRPr="00981405">
        <w:rPr>
          <w:rStyle w:val="FootnoteReference"/>
        </w:rPr>
        <w:footnoteReference w:id="290"/>
      </w:r>
    </w:p>
    <w:p w:rsidR="00397032" w:rsidRPr="00981405" w:rsidRDefault="00397032" w:rsidP="00D97463">
      <w:pPr>
        <w:pStyle w:val="SingleTxt"/>
      </w:pPr>
      <w:r w:rsidRPr="00981405">
        <w:t>120.</w:t>
      </w:r>
      <w:r w:rsidRPr="00981405">
        <w:tab/>
        <w:t>At</w:t>
      </w:r>
      <w:r w:rsidR="00190923" w:rsidRPr="00981405">
        <w:t xml:space="preserve"> </w:t>
      </w:r>
      <w:r w:rsidRPr="00981405">
        <w:t>the</w:t>
      </w:r>
      <w:r w:rsidR="00190923" w:rsidRPr="00981405">
        <w:t xml:space="preserve"> </w:t>
      </w:r>
      <w:r w:rsidRPr="00981405">
        <w:t>sixty-fourth</w:t>
      </w:r>
      <w:r w:rsidR="00190923" w:rsidRPr="00981405">
        <w:t xml:space="preserve"> </w:t>
      </w:r>
      <w:r w:rsidRPr="00981405">
        <w:t>session</w:t>
      </w:r>
      <w:r w:rsidR="00190923" w:rsidRPr="00981405">
        <w:t xml:space="preserve"> </w:t>
      </w:r>
      <w:r w:rsidRPr="00981405">
        <w:t>(2012),</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a</w:t>
      </w:r>
      <w:r w:rsidR="00190923" w:rsidRPr="00981405">
        <w:t xml:space="preserve"> </w:t>
      </w:r>
      <w:r w:rsidRPr="00981405">
        <w:t>recommendation</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Pr="00981405">
        <w:rPr>
          <w:rStyle w:val="FootnoteReference"/>
        </w:rPr>
        <w:footnoteReference w:id="291"/>
      </w:r>
      <w:r w:rsidR="00190923" w:rsidRPr="00981405">
        <w:t xml:space="preserve"> </w:t>
      </w:r>
      <w:r w:rsidRPr="00981405">
        <w:t>decided</w:t>
      </w:r>
      <w:r w:rsidR="00190923" w:rsidRPr="00981405">
        <w:t xml:space="preserve"> </w:t>
      </w:r>
      <w:r w:rsidRPr="00981405">
        <w:t>(a)</w:t>
      </w:r>
      <w:r w:rsidR="00190923" w:rsidRPr="00981405">
        <w:t xml:space="preserve"> </w:t>
      </w:r>
      <w:r w:rsidRPr="00981405">
        <w:t>to</w:t>
      </w:r>
      <w:r w:rsidR="00190923" w:rsidRPr="00981405">
        <w:t xml:space="preserve"> </w:t>
      </w:r>
      <w:r w:rsidRPr="00981405">
        <w:t>change,</w:t>
      </w:r>
      <w:r w:rsidR="00190923" w:rsidRPr="00981405">
        <w:t xml:space="preserve"> </w:t>
      </w:r>
      <w:r w:rsidRPr="00981405">
        <w:t>with</w:t>
      </w:r>
      <w:r w:rsidR="00190923" w:rsidRPr="00981405">
        <w:t xml:space="preserve"> </w:t>
      </w:r>
      <w:r w:rsidRPr="00981405">
        <w:t>effect</w:t>
      </w:r>
      <w:r w:rsidR="00190923" w:rsidRPr="00981405">
        <w:t xml:space="preserve"> </w:t>
      </w:r>
      <w:r w:rsidRPr="00981405">
        <w:t>from</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the</w:t>
      </w:r>
      <w:r w:rsidR="00190923" w:rsidRPr="00981405">
        <w:t xml:space="preserve"> </w:t>
      </w:r>
      <w:r w:rsidRPr="00981405">
        <w:t>format</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on</w:t>
      </w:r>
      <w:r w:rsidR="00190923" w:rsidRPr="00981405">
        <w:t xml:space="preserve"> </w:t>
      </w:r>
      <w:r w:rsidRPr="00981405">
        <w:t>this</w:t>
      </w:r>
      <w:r w:rsidR="00190923" w:rsidRPr="00981405">
        <w:t xml:space="preserve"> </w:t>
      </w:r>
      <w:r w:rsidRPr="00981405">
        <w:t>topic</w:t>
      </w:r>
      <w:r w:rsidR="00190923" w:rsidRPr="00981405">
        <w:t xml:space="preserve"> </w:t>
      </w:r>
      <w:r w:rsidRPr="00981405">
        <w:t>as</w:t>
      </w:r>
      <w:r w:rsidR="00190923" w:rsidRPr="00981405">
        <w:t xml:space="preserve"> </w:t>
      </w:r>
      <w:r w:rsidRPr="00981405">
        <w:t>suggested</w:t>
      </w:r>
      <w:r w:rsidR="00190923" w:rsidRPr="00981405">
        <w:t xml:space="preserve"> </w:t>
      </w:r>
      <w:r w:rsidRPr="00981405">
        <w:t>by</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and</w:t>
      </w:r>
      <w:r w:rsidR="00190923" w:rsidRPr="00981405">
        <w:t xml:space="preserve"> </w:t>
      </w:r>
      <w:r w:rsidRPr="00981405">
        <w:t>(b)</w:t>
      </w:r>
      <w:r w:rsidR="00190923" w:rsidRPr="00981405">
        <w:t xml:space="preserve"> </w:t>
      </w:r>
      <w:r w:rsidRPr="00981405">
        <w:t>to</w:t>
      </w:r>
      <w:r w:rsidR="00190923" w:rsidRPr="00981405">
        <w:t xml:space="preserve"> </w:t>
      </w:r>
      <w:r w:rsidRPr="00981405">
        <w:t>appoint</w:t>
      </w:r>
      <w:r w:rsidR="00190923" w:rsidRPr="00981405">
        <w:t xml:space="preserve"> </w:t>
      </w:r>
      <w:r w:rsidRPr="00981405">
        <w:t>Mr.</w:t>
      </w:r>
      <w:r w:rsidR="00190923" w:rsidRPr="00981405">
        <w:t xml:space="preserve"> </w:t>
      </w:r>
      <w:r w:rsidRPr="00981405">
        <w:t>Georg</w:t>
      </w:r>
      <w:r w:rsidR="00190923" w:rsidRPr="00981405">
        <w:t xml:space="preserve"> </w:t>
      </w:r>
      <w:r w:rsidRPr="00981405">
        <w:t>Nolte</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B92E2C" w:rsidRPr="00981405">
        <w:t>”</w:t>
      </w:r>
      <w:r w:rsidRPr="00981405">
        <w:t>.</w:t>
      </w:r>
      <w:r w:rsidRPr="00981405">
        <w:rPr>
          <w:rStyle w:val="FootnoteReference"/>
        </w:rPr>
        <w:footnoteReference w:id="292"/>
      </w:r>
    </w:p>
    <w:p w:rsidR="00397032" w:rsidRPr="00981405" w:rsidRDefault="00397032" w:rsidP="00D97463">
      <w:pPr>
        <w:pStyle w:val="SingleTxt"/>
      </w:pPr>
      <w:r w:rsidRPr="00981405">
        <w:lastRenderedPageBreak/>
        <w:t>121.</w:t>
      </w:r>
      <w:r w:rsidRPr="00981405">
        <w:tab/>
        <w:t>At</w:t>
      </w:r>
      <w:r w:rsidR="00190923" w:rsidRPr="00981405">
        <w:t xml:space="preserve"> </w:t>
      </w:r>
      <w:r w:rsidRPr="00981405">
        <w:t>the</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6" w:history="1">
        <w:r w:rsidR="00F304EB" w:rsidRPr="00F304EB">
          <w:rPr>
            <w:rStyle w:val="Hyperlink"/>
          </w:rPr>
          <w:t>A/CN.4/660</w:t>
        </w:r>
      </w:hyperlink>
      <w:r w:rsidRPr="00981405">
        <w:t>)</w:t>
      </w:r>
      <w:r w:rsidR="00190923" w:rsidRPr="00981405">
        <w:t xml:space="preserve"> </w:t>
      </w:r>
      <w:r w:rsidRPr="00981405">
        <w:t>and</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five</w:t>
      </w:r>
      <w:r w:rsidR="00190923" w:rsidRPr="00981405">
        <w:t xml:space="preserve"> </w:t>
      </w:r>
      <w:r w:rsidRPr="00981405">
        <w:t>draft</w:t>
      </w:r>
      <w:r w:rsidR="00190923" w:rsidRPr="00981405">
        <w:t xml:space="preserve"> </w:t>
      </w:r>
      <w:r w:rsidRPr="00981405">
        <w:t>conclusions.</w:t>
      </w:r>
      <w:r w:rsidRPr="00981405">
        <w:rPr>
          <w:rStyle w:val="FootnoteReference"/>
        </w:rPr>
        <w:footnoteReference w:id="293"/>
      </w:r>
    </w:p>
    <w:p w:rsidR="00397032" w:rsidRPr="00981405" w:rsidRDefault="00397032" w:rsidP="00D97463">
      <w:pPr>
        <w:pStyle w:val="SingleTxt"/>
      </w:pPr>
      <w:r w:rsidRPr="00981405">
        <w:t>122.</w:t>
      </w:r>
      <w:r w:rsidRPr="00981405">
        <w:tab/>
        <w:t>At</w:t>
      </w:r>
      <w:r w:rsidR="00190923" w:rsidRPr="00981405">
        <w:t xml:space="preserve"> </w:t>
      </w:r>
      <w:r w:rsidRPr="00981405">
        <w:t>the</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(2014),</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7" w:history="1">
        <w:r w:rsidR="00F304EB" w:rsidRPr="00F304EB">
          <w:rPr>
            <w:rStyle w:val="Hyperlink"/>
          </w:rPr>
          <w:t>A/CN.4/671</w:t>
        </w:r>
      </w:hyperlink>
      <w:r w:rsidRPr="00981405">
        <w:t>)</w:t>
      </w:r>
      <w:r w:rsidR="00190923" w:rsidRPr="00981405">
        <w:t xml:space="preserve"> </w:t>
      </w:r>
      <w:r w:rsidRPr="00981405">
        <w:t>and</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five</w:t>
      </w:r>
      <w:r w:rsidR="00190923" w:rsidRPr="00981405">
        <w:t xml:space="preserve"> </w:t>
      </w:r>
      <w:r w:rsidRPr="00981405">
        <w:t>draft</w:t>
      </w:r>
      <w:r w:rsidR="00190923" w:rsidRPr="00981405">
        <w:t xml:space="preserve"> </w:t>
      </w:r>
      <w:r w:rsidRPr="00981405">
        <w:t>conclusions.</w:t>
      </w:r>
      <w:r w:rsidRPr="00981405">
        <w:rPr>
          <w:rStyle w:val="FootnoteReference"/>
        </w:rPr>
        <w:footnoteReference w:id="294"/>
      </w:r>
    </w:p>
    <w:p w:rsidR="00B41600" w:rsidRPr="00D97463" w:rsidRDefault="00B41600" w:rsidP="00D97463">
      <w:pPr>
        <w:pStyle w:val="SingleTxt"/>
        <w:spacing w:after="0" w:line="120" w:lineRule="exact"/>
        <w:rPr>
          <w:sz w:val="10"/>
        </w:rPr>
      </w:pPr>
    </w:p>
    <w:p w:rsidR="00B41600" w:rsidRPr="00D97463" w:rsidRDefault="00B41600" w:rsidP="00D97463">
      <w:pPr>
        <w:pStyle w:val="SingleTxt"/>
        <w:spacing w:after="0" w:line="120" w:lineRule="exact"/>
        <w:rPr>
          <w:sz w:val="10"/>
        </w:rPr>
      </w:pPr>
    </w:p>
    <w:p w:rsidR="00397032" w:rsidRPr="00D97463" w:rsidRDefault="00397032" w:rsidP="00D97463">
      <w:pPr>
        <w:pStyle w:val="H1"/>
        <w:ind w:right="1260"/>
      </w:pPr>
      <w:r w:rsidRPr="00D97463">
        <w:tab/>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p>
    <w:p w:rsidR="00B41600" w:rsidRPr="00D97463" w:rsidRDefault="00B41600" w:rsidP="00D97463">
      <w:pPr>
        <w:pStyle w:val="SingleTxt"/>
        <w:spacing w:after="0" w:line="120" w:lineRule="exact"/>
        <w:rPr>
          <w:sz w:val="10"/>
        </w:rPr>
      </w:pPr>
    </w:p>
    <w:p w:rsidR="00B41600" w:rsidRPr="00D97463" w:rsidRDefault="00B41600" w:rsidP="00D97463">
      <w:pPr>
        <w:pStyle w:val="SingleTxt"/>
        <w:spacing w:after="0" w:line="120" w:lineRule="exact"/>
        <w:rPr>
          <w:sz w:val="10"/>
        </w:rPr>
      </w:pPr>
    </w:p>
    <w:p w:rsidR="00397032" w:rsidRPr="00981405" w:rsidRDefault="00397032" w:rsidP="00D97463">
      <w:pPr>
        <w:pStyle w:val="SingleTxt"/>
      </w:pPr>
      <w:r w:rsidRPr="00981405">
        <w:t>123.</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8" w:history="1">
        <w:r w:rsidR="00F304EB" w:rsidRPr="00F304EB">
          <w:rPr>
            <w:rStyle w:val="Hyperlink"/>
          </w:rPr>
          <w:t>A/CN.4/683</w:t>
        </w:r>
      </w:hyperlink>
      <w:r w:rsidRPr="00981405">
        <w:t>),</w:t>
      </w:r>
      <w:r w:rsidR="00190923" w:rsidRPr="00981405">
        <w:t xml:space="preserve"> </w:t>
      </w:r>
      <w:r w:rsidRPr="00981405">
        <w:t>which</w:t>
      </w:r>
      <w:r w:rsidR="00190923" w:rsidRPr="00981405">
        <w:t xml:space="preserve"> </w:t>
      </w:r>
      <w:r w:rsidRPr="00981405">
        <w:t>offered</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treaties</w:t>
      </w:r>
      <w:r w:rsidR="00190923" w:rsidRPr="00981405">
        <w:t xml:space="preserve"> </w:t>
      </w:r>
      <w:r w:rsidRPr="00981405">
        <w:t>that</w:t>
      </w:r>
      <w:r w:rsidR="00190923" w:rsidRPr="00981405">
        <w:t xml:space="preserve"> </w:t>
      </w:r>
      <w:r w:rsidRPr="00981405">
        <w:t>are</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which</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on</w:t>
      </w:r>
      <w:r w:rsidR="00190923" w:rsidRPr="00981405">
        <w:t xml:space="preserve"> </w:t>
      </w:r>
      <w:r w:rsidRPr="00981405">
        <w:t>the</w:t>
      </w:r>
      <w:r w:rsidR="00190923" w:rsidRPr="00981405">
        <w:t xml:space="preserve"> </w:t>
      </w:r>
      <w:r w:rsidRPr="00981405">
        <w:t>issue.</w:t>
      </w:r>
      <w:r w:rsidR="00190923" w:rsidRPr="00981405">
        <w:t xml:space="preserve"> </w:t>
      </w:r>
      <w:r w:rsidRPr="00981405">
        <w:t>In</w:t>
      </w:r>
      <w:r w:rsidR="00190923" w:rsidRPr="00981405">
        <w:t xml:space="preserve"> </w:t>
      </w:r>
      <w:r w:rsidRPr="00981405">
        <w:t>particular,</w:t>
      </w:r>
      <w:r w:rsidR="00190923" w:rsidRPr="00981405">
        <w:t xml:space="preserve"> </w:t>
      </w:r>
      <w:r w:rsidRPr="00981405">
        <w:t>after</w:t>
      </w:r>
      <w:r w:rsidR="00190923" w:rsidRPr="00981405">
        <w:t xml:space="preserve"> </w:t>
      </w:r>
      <w:r w:rsidRPr="00981405">
        <w:t>addressing</w:t>
      </w:r>
      <w:r w:rsidR="00190923" w:rsidRPr="00981405">
        <w:t xml:space="preserve"> </w:t>
      </w:r>
      <w:r w:rsidRPr="00981405">
        <w:t>Article</w:t>
      </w:r>
      <w:r w:rsidR="00190923" w:rsidRPr="00981405">
        <w:t xml:space="preserve"> </w:t>
      </w:r>
      <w:r w:rsidRPr="00981405">
        <w:t>5</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(Treaties</w:t>
      </w:r>
      <w:r w:rsidR="00190923" w:rsidRPr="00981405">
        <w:t xml:space="preserve"> </w:t>
      </w:r>
      <w:r w:rsidRPr="00981405">
        <w:t>constituting</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treaties</w:t>
      </w:r>
      <w:r w:rsidR="00190923" w:rsidRPr="00981405">
        <w:t xml:space="preserve"> </w:t>
      </w:r>
      <w:r w:rsidRPr="00981405">
        <w:t>adopted</w:t>
      </w:r>
      <w:r w:rsidR="00190923" w:rsidRPr="00981405">
        <w:t xml:space="preserve"> </w:t>
      </w:r>
      <w:r w:rsidRPr="00981405">
        <w:t>within</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turned</w:t>
      </w:r>
      <w:r w:rsidR="00190923" w:rsidRPr="00981405">
        <w:t xml:space="preserve"> </w:t>
      </w:r>
      <w:r w:rsidRPr="00981405">
        <w:t>to</w:t>
      </w:r>
      <w:r w:rsidR="00190923" w:rsidRPr="00981405">
        <w:t xml:space="preserve"> </w:t>
      </w:r>
      <w:r w:rsidRPr="00981405">
        <w:t>questions</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to</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It</w:t>
      </w:r>
      <w:r w:rsidR="00190923" w:rsidRPr="00981405">
        <w:t xml:space="preserve"> </w:t>
      </w:r>
      <w:r w:rsidRPr="00981405">
        <w:t>also</w:t>
      </w:r>
      <w:r w:rsidR="00190923" w:rsidRPr="00981405">
        <w:t xml:space="preserve"> </w:t>
      </w:r>
      <w:r w:rsidRPr="00981405">
        <w:t>dealt</w:t>
      </w:r>
      <w:r w:rsidR="00190923" w:rsidRPr="00981405">
        <w:t xml:space="preserve"> </w:t>
      </w:r>
      <w:r w:rsidRPr="00981405">
        <w:t>with</w:t>
      </w:r>
      <w:r w:rsidR="00190923" w:rsidRPr="00981405">
        <w:t xml:space="preserve"> </w:t>
      </w:r>
      <w:r w:rsidRPr="00981405">
        <w:t>several</w:t>
      </w:r>
      <w:r w:rsidR="00190923" w:rsidRPr="00981405">
        <w:t xml:space="preserve"> </w:t>
      </w:r>
      <w:r w:rsidRPr="00981405">
        <w:t>issues</w:t>
      </w:r>
      <w:r w:rsidR="00190923" w:rsidRPr="00981405">
        <w:t xml:space="preserve"> </w:t>
      </w:r>
      <w:r w:rsidRPr="00981405">
        <w:t>relating</w:t>
      </w:r>
      <w:r w:rsidR="00190923" w:rsidRPr="00981405">
        <w:t xml:space="preserve"> </w:t>
      </w:r>
      <w:r w:rsidRPr="00981405">
        <w:t>to</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w:t>
      </w:r>
      <w:r w:rsidR="00190923" w:rsidRPr="00981405">
        <w:t xml:space="preserve"> </w:t>
      </w:r>
      <w:r w:rsidRPr="00981405">
        <w:t>and</w:t>
      </w:r>
      <w:r w:rsidR="00190923" w:rsidRPr="00981405">
        <w:t xml:space="preserve"> </w:t>
      </w:r>
      <w:r w:rsidRPr="00981405">
        <w:t>(b),</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article</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p>
    <w:p w:rsidR="00397032" w:rsidRPr="00981405" w:rsidRDefault="00397032" w:rsidP="00D97463">
      <w:pPr>
        <w:pStyle w:val="SingleTxt"/>
      </w:pPr>
      <w:r w:rsidRPr="00981405">
        <w:t>124.</w:t>
      </w:r>
      <w:r w:rsidRPr="00981405">
        <w:tab/>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report</w:t>
      </w:r>
      <w:r w:rsidR="00190923" w:rsidRPr="00981405">
        <w:t xml:space="preserve"> </w:t>
      </w:r>
      <w:r w:rsidRPr="00981405">
        <w:t>at</w:t>
      </w:r>
      <w:r w:rsidR="00190923" w:rsidRPr="00981405">
        <w:t xml:space="preserve"> </w:t>
      </w:r>
      <w:r w:rsidRPr="00981405">
        <w:t>its</w:t>
      </w:r>
      <w:r w:rsidR="00190923" w:rsidRPr="00981405">
        <w:t xml:space="preserve"> </w:t>
      </w:r>
      <w:r w:rsidRPr="00981405">
        <w:t>3259th</w:t>
      </w:r>
      <w:r w:rsidR="00190923" w:rsidRPr="00981405">
        <w:t xml:space="preserve"> </w:t>
      </w:r>
      <w:r w:rsidRPr="00981405">
        <w:t>to</w:t>
      </w:r>
      <w:r w:rsidR="00190923" w:rsidRPr="00981405">
        <w:t xml:space="preserve"> </w:t>
      </w:r>
      <w:r w:rsidRPr="00981405">
        <w:t>3262nd</w:t>
      </w:r>
      <w:r w:rsidR="00190923" w:rsidRPr="00981405">
        <w:t xml:space="preserve"> </w:t>
      </w:r>
      <w:r w:rsidRPr="00981405">
        <w:t>meetings,</w:t>
      </w:r>
      <w:r w:rsidR="00190923" w:rsidRPr="00981405">
        <w:t xml:space="preserve"> </w:t>
      </w:r>
      <w:r w:rsidRPr="00981405">
        <w:t>on</w:t>
      </w:r>
      <w:r w:rsidR="00190923" w:rsidRPr="00981405">
        <w:t xml:space="preserve"> </w:t>
      </w:r>
      <w:r w:rsidRPr="00981405">
        <w:t>29</w:t>
      </w:r>
      <w:r w:rsidR="00190923" w:rsidRPr="00981405">
        <w:t xml:space="preserve"> </w:t>
      </w:r>
      <w:r w:rsidRPr="00981405">
        <w:t>May,</w:t>
      </w:r>
      <w:r w:rsidR="00190923" w:rsidRPr="00981405">
        <w:t xml:space="preserve"> </w:t>
      </w:r>
      <w:r w:rsidRPr="00981405">
        <w:t>2,</w:t>
      </w:r>
      <w:r w:rsidR="00190923" w:rsidRPr="00981405">
        <w:t xml:space="preserve"> </w:t>
      </w:r>
      <w:r w:rsidRPr="00981405">
        <w:t>3</w:t>
      </w:r>
      <w:r w:rsidR="00190923" w:rsidRPr="00981405">
        <w:t xml:space="preserve"> </w:t>
      </w:r>
      <w:r w:rsidRPr="00981405">
        <w:t>and</w:t>
      </w:r>
      <w:r w:rsidR="00190923" w:rsidRPr="00981405">
        <w:t xml:space="preserve"> </w:t>
      </w:r>
      <w:r w:rsidRPr="00981405">
        <w:t>4</w:t>
      </w:r>
      <w:r w:rsidR="00190923" w:rsidRPr="00981405">
        <w:t xml:space="preserve"> </w:t>
      </w:r>
      <w:r w:rsidRPr="00981405">
        <w:t>June</w:t>
      </w:r>
      <w:r w:rsidR="00190923" w:rsidRPr="00981405">
        <w:t xml:space="preserve"> </w:t>
      </w:r>
      <w:r w:rsidRPr="00981405">
        <w:t>2015.</w:t>
      </w:r>
    </w:p>
    <w:p w:rsidR="00397032" w:rsidRPr="00981405" w:rsidRDefault="00397032" w:rsidP="00D97463">
      <w:pPr>
        <w:pStyle w:val="SingleTxt"/>
      </w:pPr>
      <w:r w:rsidRPr="00981405">
        <w:t>125.</w:t>
      </w:r>
      <w:r w:rsidRPr="00981405">
        <w:tab/>
        <w:t>Following</w:t>
      </w:r>
      <w:r w:rsidR="00190923" w:rsidRPr="00981405">
        <w:t xml:space="preserve"> </w:t>
      </w:r>
      <w:r w:rsidRPr="00981405">
        <w:t>its</w:t>
      </w:r>
      <w:r w:rsidR="00190923" w:rsidRPr="00981405">
        <w:t xml:space="preserve"> </w:t>
      </w:r>
      <w:r w:rsidRPr="00981405">
        <w:t>debate</w:t>
      </w:r>
      <w:r w:rsidR="00190923" w:rsidRPr="00981405">
        <w:t xml:space="preserve"> </w:t>
      </w:r>
      <w:r w:rsidRPr="00981405">
        <w:t>on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3262nd</w:t>
      </w:r>
      <w:r w:rsidR="00190923" w:rsidRPr="00981405">
        <w:t xml:space="preserve"> </w:t>
      </w:r>
      <w:r w:rsidRPr="00981405">
        <w:t>meeting</w:t>
      </w:r>
      <w:r w:rsidR="00190923" w:rsidRPr="00981405">
        <w:t xml:space="preserve"> </w:t>
      </w:r>
      <w:r w:rsidRPr="00981405">
        <w:t>on</w:t>
      </w:r>
      <w:r w:rsidR="00190923" w:rsidRPr="00981405">
        <w:t xml:space="preserve"> </w:t>
      </w:r>
      <w:r w:rsidRPr="00981405">
        <w:t>4</w:t>
      </w:r>
      <w:r w:rsidR="00190923" w:rsidRPr="00981405">
        <w:t xml:space="preserve"> </w:t>
      </w:r>
      <w:r w:rsidRPr="00981405">
        <w:t>June</w:t>
      </w:r>
      <w:r w:rsidR="00190923" w:rsidRPr="00981405">
        <w:t xml:space="preserve"> </w:t>
      </w:r>
      <w:r w:rsidRPr="00981405">
        <w:t>2015,</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on</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presented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p>
    <w:p w:rsidR="00397032" w:rsidRPr="00981405" w:rsidRDefault="00397032" w:rsidP="00D97463">
      <w:pPr>
        <w:pStyle w:val="SingleTxt"/>
      </w:pPr>
      <w:r w:rsidRPr="00981405">
        <w:t>126.</w:t>
      </w:r>
      <w:r w:rsidRPr="00981405">
        <w:tab/>
        <w:t>At</w:t>
      </w:r>
      <w:r w:rsidR="00190923" w:rsidRPr="00981405">
        <w:t xml:space="preserve"> </w:t>
      </w:r>
      <w:r w:rsidRPr="00981405">
        <w:t>its</w:t>
      </w:r>
      <w:r w:rsidR="00190923" w:rsidRPr="00981405">
        <w:t xml:space="preserve"> </w:t>
      </w:r>
      <w:r w:rsidRPr="00981405">
        <w:t>3266th</w:t>
      </w:r>
      <w:r w:rsidR="00190923" w:rsidRPr="00981405">
        <w:t xml:space="preserve"> </w:t>
      </w:r>
      <w:r w:rsidRPr="00981405">
        <w:t>meeting,</w:t>
      </w:r>
      <w:r w:rsidR="00190923" w:rsidRPr="00981405">
        <w:t xml:space="preserve"> </w:t>
      </w:r>
      <w:r w:rsidRPr="00981405">
        <w:t>on</w:t>
      </w:r>
      <w:r w:rsidR="00190923" w:rsidRPr="00981405">
        <w:t xml:space="preserve"> </w:t>
      </w:r>
      <w:r w:rsidRPr="00981405">
        <w:t>8</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and</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(see</w:t>
      </w:r>
      <w:r w:rsidR="00190923" w:rsidRPr="00981405">
        <w:t xml:space="preserve"> </w:t>
      </w:r>
      <w:r w:rsidRPr="00981405">
        <w:t>section</w:t>
      </w:r>
      <w:r w:rsidR="00190923" w:rsidRPr="00981405">
        <w:t xml:space="preserve"> </w:t>
      </w:r>
      <w:r w:rsidRPr="00981405">
        <w:t>C.1</w:t>
      </w:r>
      <w:r w:rsidR="00190923" w:rsidRPr="00981405">
        <w:t xml:space="preserve"> </w:t>
      </w:r>
      <w:r w:rsidRPr="00981405">
        <w:t>below).</w:t>
      </w:r>
    </w:p>
    <w:p w:rsidR="00397032" w:rsidRPr="00981405" w:rsidRDefault="00397032" w:rsidP="00D97463">
      <w:pPr>
        <w:pStyle w:val="SingleTxt"/>
        <w:rPr>
          <w:rFonts w:eastAsia="SimSun"/>
        </w:rPr>
      </w:pPr>
      <w:r w:rsidRPr="00981405">
        <w:t>127.</w:t>
      </w:r>
      <w:r w:rsidRPr="00981405">
        <w:tab/>
        <w:t>At</w:t>
      </w:r>
      <w:r w:rsidR="00190923" w:rsidRPr="00981405">
        <w:t xml:space="preserve"> </w:t>
      </w:r>
      <w:r w:rsidRPr="00981405">
        <w:t>its</w:t>
      </w:r>
      <w:r w:rsidR="00190923" w:rsidRPr="00981405">
        <w:t xml:space="preserve"> </w:t>
      </w:r>
      <w:r w:rsidRPr="00981405">
        <w:t>3284th,</w:t>
      </w:r>
      <w:r w:rsidR="00190923" w:rsidRPr="00981405">
        <w:t xml:space="preserve"> </w:t>
      </w:r>
      <w:r w:rsidRPr="00981405">
        <w:t>to</w:t>
      </w:r>
      <w:r w:rsidR="00190923" w:rsidRPr="00981405">
        <w:t xml:space="preserve"> </w:t>
      </w:r>
      <w:r w:rsidRPr="00981405">
        <w:t>3285th</w:t>
      </w:r>
      <w:r w:rsidR="00190923" w:rsidRPr="00981405">
        <w:t xml:space="preserve"> </w:t>
      </w:r>
      <w:r w:rsidRPr="00981405">
        <w:t>and</w:t>
      </w:r>
      <w:r w:rsidR="00190923" w:rsidRPr="00981405">
        <w:t xml:space="preserve"> </w:t>
      </w:r>
      <w:r w:rsidRPr="00981405">
        <w:t>3288th</w:t>
      </w:r>
      <w:r w:rsidR="00190923" w:rsidRPr="00981405">
        <w:t xml:space="preserve"> </w:t>
      </w:r>
      <w:r w:rsidRPr="00981405">
        <w:t>meetings,</w:t>
      </w:r>
      <w:r w:rsidR="00190923" w:rsidRPr="00981405">
        <w:t xml:space="preserve"> </w:t>
      </w:r>
      <w:r w:rsidRPr="00981405">
        <w:t>on</w:t>
      </w:r>
      <w:r w:rsidR="00190923" w:rsidRPr="00981405">
        <w:t xml:space="preserve"> </w:t>
      </w:r>
      <w:r w:rsidRPr="00981405">
        <w:t>4</w:t>
      </w:r>
      <w:r w:rsidR="00190923" w:rsidRPr="00981405">
        <w:t xml:space="preserve"> </w:t>
      </w:r>
      <w:r w:rsidRPr="00981405">
        <w:t>and</w:t>
      </w:r>
      <w:r w:rsidR="00190923" w:rsidRPr="00981405">
        <w:t xml:space="preserve"> </w:t>
      </w:r>
      <w:r w:rsidRPr="00981405">
        <w:t>6</w:t>
      </w:r>
      <w:r w:rsidR="00190923" w:rsidRPr="00981405">
        <w:t xml:space="preserve"> </w:t>
      </w:r>
      <w:r w:rsidRPr="00981405">
        <w:t>August</w:t>
      </w:r>
      <w:r w:rsidR="00190923" w:rsidRPr="00981405">
        <w:t xml:space="preserve"> </w:t>
      </w:r>
      <w:r w:rsidRPr="00981405">
        <w:t>2015,</w:t>
      </w:r>
      <w:r w:rsidR="00190923" w:rsidRPr="00981405">
        <w:t xml:space="preserve"> </w:t>
      </w:r>
      <w:r w:rsidRPr="00981405">
        <w:t>respectively,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rPr>
          <w:rFonts w:eastAsia="SimSun"/>
        </w:rPr>
        <w:t>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present</w:t>
      </w:r>
      <w:r w:rsidR="00190923" w:rsidRPr="00981405">
        <w:rPr>
          <w:rFonts w:eastAsia="SimSun"/>
        </w:rPr>
        <w:t xml:space="preserve"> </w:t>
      </w:r>
      <w:r w:rsidRPr="00981405">
        <w:rPr>
          <w:rFonts w:eastAsia="SimSun"/>
        </w:rPr>
        <w:t>session</w:t>
      </w:r>
      <w:r w:rsidR="00190923" w:rsidRPr="00981405">
        <w:rPr>
          <w:rFonts w:eastAsia="SimSun"/>
        </w:rPr>
        <w:t xml:space="preserve"> </w:t>
      </w:r>
      <w:r w:rsidRPr="00981405">
        <w:rPr>
          <w:rFonts w:eastAsia="SimSun"/>
        </w:rPr>
        <w:t>(see</w:t>
      </w:r>
      <w:r w:rsidR="00190923" w:rsidRPr="00981405">
        <w:rPr>
          <w:rFonts w:eastAsia="SimSun"/>
        </w:rPr>
        <w:t xml:space="preserve"> </w:t>
      </w:r>
      <w:r w:rsidRPr="00981405">
        <w:rPr>
          <w:rFonts w:eastAsia="SimSun"/>
        </w:rPr>
        <w:t>section</w:t>
      </w:r>
      <w:r w:rsidR="00190923" w:rsidRPr="00981405">
        <w:rPr>
          <w:rFonts w:eastAsia="SimSun"/>
        </w:rPr>
        <w:t xml:space="preserve"> </w:t>
      </w:r>
      <w:r w:rsidRPr="00981405">
        <w:rPr>
          <w:rFonts w:eastAsia="SimSun"/>
        </w:rPr>
        <w:t>C.2</w:t>
      </w:r>
      <w:r w:rsidR="00190923" w:rsidRPr="00981405">
        <w:rPr>
          <w:rFonts w:eastAsia="SimSun"/>
        </w:rPr>
        <w:t xml:space="preserve"> </w:t>
      </w:r>
      <w:r w:rsidRPr="00981405">
        <w:rPr>
          <w:rFonts w:eastAsia="SimSun"/>
        </w:rPr>
        <w:t>below).</w:t>
      </w:r>
    </w:p>
    <w:p w:rsidR="00B41600" w:rsidRPr="00D97463" w:rsidRDefault="00B41600" w:rsidP="00D97463">
      <w:pPr>
        <w:pStyle w:val="SingleTxt"/>
        <w:keepNext/>
        <w:keepLines/>
        <w:spacing w:after="0" w:line="120" w:lineRule="exact"/>
        <w:rPr>
          <w:rFonts w:eastAsia="SimSun"/>
          <w:sz w:val="10"/>
        </w:rPr>
      </w:pPr>
    </w:p>
    <w:p w:rsidR="00B41600" w:rsidRPr="00D97463" w:rsidRDefault="00B41600" w:rsidP="00D97463">
      <w:pPr>
        <w:pStyle w:val="SingleTxt"/>
        <w:keepNext/>
        <w:keepLines/>
        <w:spacing w:after="0" w:line="120" w:lineRule="exact"/>
        <w:rPr>
          <w:rFonts w:eastAsia="SimSun"/>
          <w:sz w:val="10"/>
        </w:rPr>
      </w:pPr>
    </w:p>
    <w:p w:rsidR="00397032" w:rsidRPr="00D97463" w:rsidRDefault="00397032" w:rsidP="00D97463">
      <w:pPr>
        <w:pStyle w:val="H1"/>
        <w:ind w:right="1260"/>
      </w:pPr>
      <w:r w:rsidRPr="00D97463">
        <w:tab/>
        <w:t>C.</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conclusions</w:t>
      </w:r>
      <w:r w:rsidR="00190923" w:rsidRPr="00D97463">
        <w:t xml:space="preserve"> </w:t>
      </w:r>
      <w:r w:rsidRPr="00D97463">
        <w:t>on</w:t>
      </w:r>
      <w:r w:rsidR="00190923" w:rsidRPr="00D97463">
        <w:t xml:space="preserve"> </w:t>
      </w:r>
      <w:r w:rsidRPr="00D97463">
        <w:t>Subsequent</w:t>
      </w:r>
      <w:r w:rsidR="00190923" w:rsidRPr="00D97463">
        <w:t xml:space="preserve"> </w:t>
      </w:r>
      <w:r w:rsidRPr="00D97463">
        <w:t>agreements</w:t>
      </w:r>
      <w:r w:rsidR="00190923" w:rsidRPr="00D97463">
        <w:t xml:space="preserve"> </w:t>
      </w:r>
      <w:r w:rsidRPr="00D97463">
        <w:t>and</w:t>
      </w:r>
      <w:r w:rsidR="00190923" w:rsidRPr="00D97463">
        <w:t xml:space="preserve"> </w:t>
      </w:r>
      <w:r w:rsidRPr="00D97463">
        <w:t>subsequent</w:t>
      </w:r>
      <w:r w:rsidR="00190923" w:rsidRPr="00D97463">
        <w:t xml:space="preserve"> </w:t>
      </w:r>
      <w:r w:rsidRPr="00D97463">
        <w:t>practice</w:t>
      </w:r>
      <w:r w:rsidR="00190923" w:rsidRPr="00D97463">
        <w:t xml:space="preserve"> </w:t>
      </w:r>
      <w:r w:rsidRPr="00D97463">
        <w:t>in</w:t>
      </w:r>
      <w:r w:rsidR="00190923" w:rsidRPr="00D97463">
        <w:t xml:space="preserve"> </w:t>
      </w:r>
      <w:r w:rsidRPr="00D97463">
        <w:t>relation</w:t>
      </w:r>
      <w:r w:rsidR="00190923" w:rsidRPr="00D97463">
        <w:t xml:space="preserve"> </w:t>
      </w:r>
      <w:r w:rsidRPr="00D97463">
        <w:t>to</w:t>
      </w:r>
      <w:r w:rsidR="00190923" w:rsidRPr="00D97463">
        <w:t xml:space="preserve"> </w:t>
      </w:r>
      <w:r w:rsidRPr="00D97463">
        <w:t>the</w:t>
      </w:r>
      <w:r w:rsidR="00190923" w:rsidRPr="00D97463">
        <w:t xml:space="preserve"> </w:t>
      </w:r>
      <w:r w:rsidRPr="00D97463">
        <w:t>interpretation</w:t>
      </w:r>
      <w:r w:rsidR="00190923" w:rsidRPr="00D97463">
        <w:t xml:space="preserve"> </w:t>
      </w:r>
      <w:r w:rsidRPr="00D97463">
        <w:t>of</w:t>
      </w:r>
      <w:r w:rsidR="00190923" w:rsidRPr="00D97463">
        <w:t xml:space="preserve"> </w:t>
      </w:r>
      <w:r w:rsidRPr="00D97463">
        <w:t>treaties</w:t>
      </w:r>
      <w:r w:rsidR="00190923" w:rsidRPr="00D97463">
        <w:t xml:space="preserve"> </w:t>
      </w:r>
      <w:r w:rsidRPr="00D97463">
        <w:t>provisionally</w:t>
      </w:r>
      <w:r w:rsidR="00190923" w:rsidRPr="00D97463">
        <w:t xml:space="preserve"> </w:t>
      </w:r>
      <w:r w:rsidRPr="00D97463">
        <w:t>adopted</w:t>
      </w:r>
      <w:r w:rsidR="00190923" w:rsidRPr="00D97463">
        <w:t xml:space="preserve"> </w:t>
      </w:r>
      <w:r w:rsidRPr="00D97463">
        <w:t>so</w:t>
      </w:r>
      <w:r w:rsidR="00190923" w:rsidRPr="00D97463">
        <w:t xml:space="preserve"> </w:t>
      </w:r>
      <w:r w:rsidRPr="00D97463">
        <w:t>far</w:t>
      </w:r>
      <w:r w:rsidR="00190923" w:rsidRPr="00D97463">
        <w:t xml:space="preserve"> </w:t>
      </w:r>
      <w:r w:rsidRPr="00D97463">
        <w:t>by</w:t>
      </w:r>
      <w:r w:rsidR="00190923" w:rsidRPr="00D97463">
        <w:t xml:space="preserve"> </w:t>
      </w:r>
      <w:r w:rsidRPr="00D97463">
        <w:t>the</w:t>
      </w:r>
      <w:r w:rsidR="00190923" w:rsidRPr="00D97463">
        <w:t xml:space="preserve"> </w:t>
      </w:r>
      <w:r w:rsidRPr="00D97463">
        <w:t>Commission</w:t>
      </w:r>
    </w:p>
    <w:p w:rsidR="00B41600" w:rsidRPr="00D97463" w:rsidRDefault="00B41600" w:rsidP="00D97463">
      <w:pPr>
        <w:pStyle w:val="SingleTxt"/>
        <w:keepNext/>
        <w:keepLines/>
        <w:spacing w:after="0" w:line="120" w:lineRule="exact"/>
        <w:rPr>
          <w:sz w:val="10"/>
        </w:rPr>
      </w:pPr>
    </w:p>
    <w:p w:rsidR="00B41600" w:rsidRPr="00D97463" w:rsidRDefault="00B41600" w:rsidP="00D97463">
      <w:pPr>
        <w:pStyle w:val="SingleTxt"/>
        <w:keepNext/>
        <w:keepLines/>
        <w:spacing w:after="0" w:line="120" w:lineRule="exact"/>
        <w:rPr>
          <w:sz w:val="10"/>
        </w:rPr>
      </w:pPr>
    </w:p>
    <w:p w:rsidR="00397032" w:rsidRPr="00D97463" w:rsidRDefault="00397032" w:rsidP="00D97463">
      <w:pPr>
        <w:pStyle w:val="H23"/>
        <w:ind w:right="1260"/>
      </w:pPr>
      <w:r w:rsidRPr="00D97463">
        <w:tab/>
        <w:t>1.</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conclusions</w:t>
      </w:r>
    </w:p>
    <w:p w:rsidR="00B41600" w:rsidRPr="00D97463" w:rsidRDefault="00B41600" w:rsidP="00D97463">
      <w:pPr>
        <w:pStyle w:val="SingleTxt"/>
        <w:spacing w:after="0" w:line="120" w:lineRule="exact"/>
        <w:rPr>
          <w:sz w:val="10"/>
        </w:rPr>
      </w:pPr>
    </w:p>
    <w:p w:rsidR="00397032" w:rsidRPr="00981405" w:rsidRDefault="00397032" w:rsidP="00D97463">
      <w:pPr>
        <w:pStyle w:val="SingleTxt"/>
        <w:rPr>
          <w:rFonts w:eastAsia="SimSun"/>
        </w:rPr>
      </w:pPr>
      <w:r w:rsidRPr="00981405">
        <w:t>128.</w:t>
      </w:r>
      <w:r w:rsidRPr="00981405">
        <w:tab/>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so</w:t>
      </w:r>
      <w:r w:rsidR="00190923" w:rsidRPr="00981405">
        <w:t xml:space="preserve"> </w:t>
      </w:r>
      <w:r w:rsidRPr="00981405">
        <w:t>far</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reproduced</w:t>
      </w:r>
      <w:r w:rsidR="00190923" w:rsidRPr="00981405">
        <w:t xml:space="preserve"> </w:t>
      </w:r>
      <w:r w:rsidRPr="00981405">
        <w:t>below.</w:t>
      </w:r>
      <w:r w:rsidRPr="00981405">
        <w:rPr>
          <w:rStyle w:val="FootnoteReference"/>
        </w:rPr>
        <w:footnoteReference w:id="295"/>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1</w:t>
      </w:r>
      <w:r w:rsidRPr="00D97463">
        <w:rPr>
          <w:b/>
          <w:bCs/>
        </w:rPr>
        <w:br/>
        <w:t>General</w:t>
      </w:r>
      <w:r w:rsidR="00190923" w:rsidRPr="00981405">
        <w:rPr>
          <w:b/>
          <w:bCs/>
        </w:rPr>
        <w:t xml:space="preserve"> </w:t>
      </w:r>
      <w:r w:rsidRPr="00D97463">
        <w:rPr>
          <w:b/>
          <w:bCs/>
        </w:rPr>
        <w:t>rule</w:t>
      </w:r>
      <w:r w:rsidR="00190923" w:rsidRPr="00981405">
        <w:rPr>
          <w:b/>
          <w:bCs/>
        </w:rPr>
        <w:t xml:space="preserve"> </w:t>
      </w:r>
      <w:r w:rsidRPr="00D97463">
        <w:rPr>
          <w:b/>
          <w:bCs/>
        </w:rPr>
        <w:t>and</w:t>
      </w:r>
      <w:r w:rsidR="00190923" w:rsidRPr="00981405">
        <w:rPr>
          <w:b/>
          <w:bCs/>
        </w:rPr>
        <w:t xml:space="preserve"> </w:t>
      </w:r>
      <w:r w:rsidRPr="00D97463">
        <w:rPr>
          <w:b/>
          <w:bCs/>
        </w:rPr>
        <w:t>means</w:t>
      </w:r>
      <w:r w:rsidR="00190923" w:rsidRPr="00981405">
        <w:rPr>
          <w:b/>
          <w:bCs/>
        </w:rPr>
        <w:t xml:space="preserve"> </w:t>
      </w:r>
      <w:r w:rsidRPr="00D97463">
        <w:rPr>
          <w:b/>
          <w:bCs/>
        </w:rPr>
        <w:t>of</w:t>
      </w:r>
      <w:r w:rsidR="00190923" w:rsidRPr="00981405">
        <w:rPr>
          <w:b/>
          <w:bCs/>
        </w:rPr>
        <w:t xml:space="preserve"> </w:t>
      </w:r>
      <w:r w:rsidRPr="00D97463">
        <w:rPr>
          <w:b/>
          <w:bCs/>
        </w:rPr>
        <w:t>treaty</w:t>
      </w:r>
      <w:r w:rsidR="00190923" w:rsidRPr="00981405">
        <w:rPr>
          <w:b/>
          <w:bCs/>
        </w:rPr>
        <w:t xml:space="preserve"> </w:t>
      </w:r>
      <w:r w:rsidRPr="00D97463">
        <w:rPr>
          <w:b/>
          <w:bCs/>
        </w:rPr>
        <w:t>interpretation</w:t>
      </w:r>
    </w:p>
    <w:p w:rsidR="00397032" w:rsidRPr="00981405" w:rsidRDefault="00397032" w:rsidP="00D97463">
      <w:pPr>
        <w:pStyle w:val="SingleTxt"/>
        <w:ind w:left="1742"/>
      </w:pPr>
      <w:r w:rsidRPr="00981405">
        <w:t>1.</w:t>
      </w:r>
      <w:r w:rsidRPr="00981405">
        <w:tab/>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set</w:t>
      </w:r>
      <w:r w:rsidR="00190923" w:rsidRPr="00981405">
        <w:t xml:space="preserve"> </w:t>
      </w:r>
      <w:r w:rsidRPr="00981405">
        <w:t>forth,</w:t>
      </w:r>
      <w:r w:rsidR="00190923" w:rsidRPr="00981405">
        <w:t xml:space="preserve"> </w:t>
      </w:r>
      <w:r w:rsidRPr="00981405">
        <w:t>respectively,</w:t>
      </w:r>
      <w:r w:rsidR="00190923" w:rsidRPr="00981405">
        <w:t xml:space="preserve"> </w:t>
      </w:r>
      <w:r w:rsidRPr="00981405">
        <w:t>the</w:t>
      </w:r>
      <w:r w:rsidR="00190923" w:rsidRPr="00981405">
        <w:t xml:space="preserve"> </w:t>
      </w:r>
      <w:r w:rsidRPr="00981405">
        <w:t>general</w:t>
      </w:r>
      <w:r w:rsidR="00190923" w:rsidRPr="00981405">
        <w:t xml:space="preserve"> </w:t>
      </w:r>
      <w:r w:rsidRPr="00981405">
        <w:t>rule</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the</w:t>
      </w:r>
      <w:r w:rsidR="00190923" w:rsidRPr="00981405">
        <w:t xml:space="preserve"> </w:t>
      </w:r>
      <w:r w:rsidRPr="00981405">
        <w:t>rule</w:t>
      </w:r>
      <w:r w:rsidR="00190923" w:rsidRPr="00981405">
        <w:t xml:space="preserve"> </w:t>
      </w:r>
      <w:r w:rsidRPr="00981405">
        <w:t>on</w:t>
      </w:r>
      <w:r w:rsidR="00190923" w:rsidRPr="00981405">
        <w:t xml:space="preserve"> </w:t>
      </w:r>
      <w:r w:rsidRPr="00981405">
        <w:t>supplementary</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These</w:t>
      </w:r>
      <w:r w:rsidR="00190923" w:rsidRPr="00981405">
        <w:t xml:space="preserve"> </w:t>
      </w:r>
      <w:r w:rsidRPr="00981405">
        <w:t>rules</w:t>
      </w:r>
      <w:r w:rsidR="00190923" w:rsidRPr="00981405">
        <w:t xml:space="preserve"> </w:t>
      </w:r>
      <w:r w:rsidRPr="00981405">
        <w:t>also</w:t>
      </w:r>
      <w:r w:rsidR="00190923" w:rsidRPr="00981405">
        <w:t xml:space="preserve"> </w:t>
      </w:r>
      <w:r w:rsidRPr="00981405">
        <w:t>apply</w:t>
      </w:r>
      <w:r w:rsidR="00190923" w:rsidRPr="00981405">
        <w:t xml:space="preserve"> </w:t>
      </w:r>
      <w:r w:rsidRPr="00981405">
        <w:t>as</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p>
    <w:p w:rsidR="00397032" w:rsidRPr="00981405" w:rsidRDefault="00397032" w:rsidP="00D97463">
      <w:pPr>
        <w:pStyle w:val="SingleTxt"/>
        <w:ind w:left="1742"/>
      </w:pPr>
      <w:r w:rsidRPr="00981405">
        <w:t>2.</w:t>
      </w:r>
      <w:r w:rsidRPr="00981405">
        <w:tab/>
        <w:t>A</w:t>
      </w:r>
      <w:r w:rsidR="00190923" w:rsidRPr="00981405">
        <w:t xml:space="preserve"> </w:t>
      </w:r>
      <w:r w:rsidRPr="00981405">
        <w:t>treaty</w:t>
      </w:r>
      <w:r w:rsidR="00190923" w:rsidRPr="00981405">
        <w:t xml:space="preserve"> </w:t>
      </w:r>
      <w:r w:rsidRPr="00981405">
        <w:t>shall</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good</w:t>
      </w:r>
      <w:r w:rsidR="00190923" w:rsidRPr="00981405">
        <w:t xml:space="preserve"> </w:t>
      </w:r>
      <w:r w:rsidRPr="00981405">
        <w:t>faith</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w:t>
      </w:r>
      <w:r w:rsidR="00190923" w:rsidRPr="00981405">
        <w:t xml:space="preserve"> </w:t>
      </w:r>
      <w:r w:rsidRPr="00981405">
        <w:t>ordinary</w:t>
      </w:r>
      <w:r w:rsidR="00190923" w:rsidRPr="00981405">
        <w:t xml:space="preserve"> </w:t>
      </w:r>
      <w:r w:rsidRPr="00981405">
        <w:t>meaning</w:t>
      </w:r>
      <w:r w:rsidR="00190923" w:rsidRPr="00981405">
        <w:t xml:space="preserve"> </w:t>
      </w:r>
      <w:r w:rsidRPr="00981405">
        <w:t>to</w:t>
      </w:r>
      <w:r w:rsidR="00190923" w:rsidRPr="00981405">
        <w:t xml:space="preserve"> </w:t>
      </w:r>
      <w:r w:rsidRPr="00981405">
        <w:t>be</w:t>
      </w:r>
      <w:r w:rsidR="00190923" w:rsidRPr="00981405">
        <w:t xml:space="preserve"> </w:t>
      </w:r>
      <w:r w:rsidRPr="00981405">
        <w:t>given</w:t>
      </w:r>
      <w:r w:rsidR="00190923" w:rsidRPr="00981405">
        <w:t xml:space="preserve"> </w:t>
      </w:r>
      <w:r w:rsidRPr="00981405">
        <w:t>to</w:t>
      </w:r>
      <w:r w:rsidR="00190923" w:rsidRPr="00981405">
        <w:t xml:space="preserve"> </w:t>
      </w:r>
      <w:r w:rsidRPr="00981405">
        <w:t>its</w:t>
      </w:r>
      <w:r w:rsidR="00190923" w:rsidRPr="00981405">
        <w:t xml:space="preserve"> </w:t>
      </w:r>
      <w:r w:rsidRPr="00981405">
        <w:t>terms</w:t>
      </w:r>
      <w:r w:rsidR="00190923" w:rsidRPr="00981405">
        <w:t xml:space="preserve"> </w:t>
      </w:r>
      <w:r w:rsidRPr="00981405">
        <w:t>in</w:t>
      </w:r>
      <w:r w:rsidR="00190923" w:rsidRPr="00981405">
        <w:t xml:space="preserve"> </w:t>
      </w:r>
      <w:r w:rsidRPr="00981405">
        <w:t>their</w:t>
      </w:r>
      <w:r w:rsidR="00190923" w:rsidRPr="00981405">
        <w:t xml:space="preserve"> </w:t>
      </w:r>
      <w:r w:rsidRPr="00981405">
        <w:t>context</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its</w:t>
      </w:r>
      <w:r w:rsidR="00190923" w:rsidRPr="00981405">
        <w:t xml:space="preserve"> </w:t>
      </w:r>
      <w:r w:rsidRPr="00981405">
        <w:t>object</w:t>
      </w:r>
      <w:r w:rsidR="00190923" w:rsidRPr="00981405">
        <w:t xml:space="preserve"> </w:t>
      </w:r>
      <w:r w:rsidRPr="00981405">
        <w:t>and</w:t>
      </w:r>
      <w:r w:rsidR="00190923" w:rsidRPr="00981405">
        <w:t xml:space="preserve"> </w:t>
      </w:r>
      <w:r w:rsidRPr="00981405">
        <w:t>purpose.</w:t>
      </w:r>
    </w:p>
    <w:p w:rsidR="00397032" w:rsidRPr="00981405" w:rsidRDefault="00397032" w:rsidP="00D97463">
      <w:pPr>
        <w:pStyle w:val="SingleTxt"/>
        <w:ind w:left="1742"/>
      </w:pPr>
      <w:r w:rsidRPr="00981405">
        <w:t>3.</w:t>
      </w:r>
      <w:r w:rsidRPr="00981405">
        <w:tab/>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provides,</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that</w:t>
      </w:r>
      <w:r w:rsidR="00190923" w:rsidRPr="00981405">
        <w:t xml:space="preserve"> </w:t>
      </w:r>
      <w:r w:rsidRPr="00981405">
        <w:t>there</w:t>
      </w:r>
      <w:r w:rsidR="00190923" w:rsidRPr="00981405">
        <w:t xml:space="preserve"> </w:t>
      </w:r>
      <w:r w:rsidRPr="00981405">
        <w:t>shall</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together</w:t>
      </w:r>
      <w:r w:rsidR="00190923" w:rsidRPr="00981405">
        <w:t xml:space="preserve"> </w:t>
      </w:r>
      <w:r w:rsidRPr="00981405">
        <w:t>with</w:t>
      </w:r>
      <w:r w:rsidR="00190923" w:rsidRPr="00981405">
        <w:t xml:space="preserve"> </w:t>
      </w:r>
      <w:r w:rsidRPr="00981405">
        <w:t>the</w:t>
      </w:r>
      <w:r w:rsidR="00190923" w:rsidRPr="00981405">
        <w:t xml:space="preserve"> </w:t>
      </w:r>
      <w:r w:rsidRPr="00981405">
        <w:t>context,</w:t>
      </w:r>
      <w:r w:rsidR="00190923" w:rsidRPr="00981405">
        <w:t xml:space="preserve"> </w:t>
      </w:r>
      <w:r w:rsidRPr="00981405">
        <w:t>(a)</w:t>
      </w:r>
      <w:r w:rsidR="00190923" w:rsidRPr="00981405">
        <w:t xml:space="preserve"> </w:t>
      </w:r>
      <w:r w:rsidRPr="00981405">
        <w:t>any</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or</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(b)</w:t>
      </w:r>
      <w:r w:rsidR="00190923" w:rsidRPr="00981405">
        <w:t xml:space="preserve"> </w:t>
      </w:r>
      <w:r w:rsidRPr="00981405">
        <w:t>any</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which</w:t>
      </w:r>
      <w:r w:rsidR="00190923" w:rsidRPr="00981405">
        <w:t xml:space="preserve"> </w:t>
      </w:r>
      <w:r w:rsidRPr="00981405">
        <w:t>establishes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its</w:t>
      </w:r>
      <w:r w:rsidR="00190923" w:rsidRPr="00981405">
        <w:t xml:space="preserve"> </w:t>
      </w:r>
      <w:r w:rsidRPr="00981405">
        <w:t>interpretation.</w:t>
      </w:r>
      <w:r w:rsidR="00190923" w:rsidRPr="00981405">
        <w:t xml:space="preserve"> </w:t>
      </w:r>
    </w:p>
    <w:p w:rsidR="00397032" w:rsidRPr="00981405" w:rsidRDefault="00397032" w:rsidP="00D97463">
      <w:pPr>
        <w:pStyle w:val="SingleTxt"/>
        <w:ind w:left="1742"/>
      </w:pPr>
      <w:r w:rsidRPr="00981405">
        <w:t>4.</w:t>
      </w:r>
      <w:r w:rsidRPr="00981405">
        <w:tab/>
        <w:t>Recourse</w:t>
      </w:r>
      <w:r w:rsidR="00190923" w:rsidRPr="00981405">
        <w:t xml:space="preserve"> </w:t>
      </w:r>
      <w:r w:rsidRPr="00981405">
        <w:t>may</w:t>
      </w:r>
      <w:r w:rsidR="00190923" w:rsidRPr="00981405">
        <w:t xml:space="preserve"> </w:t>
      </w:r>
      <w:r w:rsidRPr="00981405">
        <w:t>be</w:t>
      </w:r>
      <w:r w:rsidR="00190923" w:rsidRPr="00981405">
        <w:t xml:space="preserve"> </w:t>
      </w:r>
      <w:r w:rsidRPr="00981405">
        <w:t>had</w:t>
      </w:r>
      <w:r w:rsidR="00190923" w:rsidRPr="00981405">
        <w:t xml:space="preserve"> </w:t>
      </w:r>
      <w:r w:rsidRPr="00981405">
        <w:t>to</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as</w:t>
      </w:r>
      <w:r w:rsidR="00190923" w:rsidRPr="00981405">
        <w:t xml:space="preserve"> </w:t>
      </w:r>
      <w:r w:rsidRPr="00981405">
        <w:t>a</w:t>
      </w:r>
      <w:r w:rsidR="00190923" w:rsidRPr="00981405">
        <w:t xml:space="preserve"> </w:t>
      </w:r>
      <w:r w:rsidRPr="00981405">
        <w:t>supplementary</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p>
    <w:p w:rsidR="00397032" w:rsidRPr="00981405" w:rsidRDefault="00397032" w:rsidP="00D97463">
      <w:pPr>
        <w:pStyle w:val="SingleTxt"/>
        <w:ind w:left="1742"/>
      </w:pPr>
      <w:r w:rsidRPr="00981405">
        <w:t>5.</w:t>
      </w:r>
      <w:r w:rsidRPr="00981405">
        <w:tab/>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consists</w:t>
      </w:r>
      <w:r w:rsidR="00190923" w:rsidRPr="00981405">
        <w:t xml:space="preserve"> </w:t>
      </w:r>
      <w:r w:rsidRPr="00981405">
        <w:t>of</w:t>
      </w:r>
      <w:r w:rsidR="00190923" w:rsidRPr="00981405">
        <w:t xml:space="preserve"> </w:t>
      </w:r>
      <w:r w:rsidRPr="00981405">
        <w:t>a</w:t>
      </w:r>
      <w:r w:rsidR="00190923" w:rsidRPr="00981405">
        <w:t xml:space="preserve"> </w:t>
      </w:r>
      <w:r w:rsidRPr="00981405">
        <w:t>single</w:t>
      </w:r>
      <w:r w:rsidR="00190923" w:rsidRPr="00981405">
        <w:t xml:space="preserve"> </w:t>
      </w:r>
      <w:r w:rsidRPr="00981405">
        <w:t>combined</w:t>
      </w:r>
      <w:r w:rsidR="00190923" w:rsidRPr="00981405">
        <w:t xml:space="preserve"> </w:t>
      </w:r>
      <w:r w:rsidRPr="00981405">
        <w:t>operation,</w:t>
      </w:r>
      <w:r w:rsidR="00190923" w:rsidRPr="00981405">
        <w:t xml:space="preserve"> </w:t>
      </w:r>
      <w:r w:rsidRPr="00981405">
        <w:t>which</w:t>
      </w:r>
      <w:r w:rsidR="00190923" w:rsidRPr="00981405">
        <w:t xml:space="preserve"> </w:t>
      </w:r>
      <w:r w:rsidRPr="00981405">
        <w:t>places</w:t>
      </w:r>
      <w:r w:rsidR="00190923" w:rsidRPr="00981405">
        <w:t xml:space="preserve"> </w:t>
      </w:r>
      <w:r w:rsidRPr="00981405">
        <w:t>appropriate</w:t>
      </w:r>
      <w:r w:rsidR="00190923" w:rsidRPr="00981405">
        <w:t xml:space="preserve"> </w:t>
      </w:r>
      <w:r w:rsidRPr="00981405">
        <w:t>emphasis</w:t>
      </w:r>
      <w:r w:rsidR="00190923" w:rsidRPr="00981405">
        <w:t xml:space="preserve"> </w:t>
      </w:r>
      <w:r w:rsidRPr="00981405">
        <w:t>on</w:t>
      </w:r>
      <w:r w:rsidR="00190923" w:rsidRPr="00981405">
        <w:t xml:space="preserve"> </w:t>
      </w:r>
      <w:r w:rsidRPr="00981405">
        <w:t>the</w:t>
      </w:r>
      <w:r w:rsidR="00190923" w:rsidRPr="00981405">
        <w:t xml:space="preserve"> </w:t>
      </w:r>
      <w:r w:rsidRPr="00981405">
        <w:t>various</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indicated,</w:t>
      </w:r>
      <w:r w:rsidR="00190923" w:rsidRPr="00981405">
        <w:t xml:space="preserve"> </w:t>
      </w:r>
      <w:r w:rsidRPr="00981405">
        <w:t>respectively,</w:t>
      </w:r>
      <w:r w:rsidR="00190923" w:rsidRPr="00981405">
        <w:t xml:space="preserve"> </w:t>
      </w:r>
      <w:r w:rsidRPr="00981405">
        <w:t>in</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2</w:t>
      </w:r>
      <w:r w:rsidRPr="00D97463">
        <w:rPr>
          <w:b/>
          <w:bCs/>
        </w:rPr>
        <w:br/>
        <w:t>Subsequent</w:t>
      </w:r>
      <w:r w:rsidR="00190923" w:rsidRPr="00981405">
        <w:rPr>
          <w:b/>
          <w:bCs/>
        </w:rPr>
        <w:t xml:space="preserve"> </w:t>
      </w:r>
      <w:r w:rsidRPr="00D97463">
        <w:rPr>
          <w:b/>
          <w:bCs/>
        </w:rPr>
        <w:t>agreements</w:t>
      </w:r>
      <w:r w:rsidR="00190923" w:rsidRPr="00981405">
        <w:rPr>
          <w:b/>
          <w:bCs/>
        </w:rPr>
        <w:t xml:space="preserve"> </w:t>
      </w:r>
      <w:r w:rsidRPr="00D97463">
        <w:rPr>
          <w:b/>
          <w:bCs/>
        </w:rPr>
        <w:t>and</w:t>
      </w:r>
      <w:r w:rsidR="00190923" w:rsidRPr="00981405">
        <w:rPr>
          <w:b/>
          <w:bCs/>
        </w:rPr>
        <w:t xml:space="preserve"> </w:t>
      </w:r>
      <w:r w:rsidRPr="00D97463">
        <w:rPr>
          <w:b/>
          <w:bCs/>
        </w:rPr>
        <w:t>subsequent</w:t>
      </w:r>
      <w:r w:rsidR="00190923" w:rsidRPr="00981405">
        <w:rPr>
          <w:b/>
          <w:bCs/>
        </w:rPr>
        <w:t xml:space="preserve"> </w:t>
      </w:r>
      <w:r w:rsidRPr="00D97463">
        <w:rPr>
          <w:b/>
          <w:bCs/>
        </w:rPr>
        <w:t>practice</w:t>
      </w:r>
      <w:r w:rsidR="00190923" w:rsidRPr="00981405">
        <w:rPr>
          <w:b/>
          <w:bCs/>
        </w:rPr>
        <w:t xml:space="preserve"> </w:t>
      </w:r>
      <w:r w:rsidRPr="00D97463">
        <w:rPr>
          <w:b/>
          <w:bCs/>
        </w:rPr>
        <w:t>as</w:t>
      </w:r>
      <w:r w:rsidR="00190923" w:rsidRPr="00981405">
        <w:rPr>
          <w:b/>
          <w:bCs/>
        </w:rPr>
        <w:t xml:space="preserve"> </w:t>
      </w:r>
      <w:r w:rsidRPr="00D97463">
        <w:rPr>
          <w:b/>
          <w:bCs/>
        </w:rPr>
        <w:t>authentic</w:t>
      </w:r>
      <w:r w:rsidR="00190923" w:rsidRPr="00981405">
        <w:rPr>
          <w:b/>
          <w:bCs/>
        </w:rPr>
        <w:t xml:space="preserve"> </w:t>
      </w:r>
      <w:r w:rsidRPr="00D97463">
        <w:rPr>
          <w:b/>
          <w:bCs/>
        </w:rPr>
        <w:t>means</w:t>
      </w:r>
      <w:r w:rsidR="00190923" w:rsidRPr="00981405">
        <w:rPr>
          <w:b/>
          <w:bCs/>
        </w:rPr>
        <w:t xml:space="preserve"> </w:t>
      </w:r>
      <w:r w:rsidRPr="00D97463">
        <w:rPr>
          <w:b/>
          <w:bCs/>
        </w:rPr>
        <w:t>of</w:t>
      </w:r>
      <w:r w:rsidR="00190923" w:rsidRPr="00981405">
        <w:rPr>
          <w:b/>
          <w:bCs/>
        </w:rPr>
        <w:t xml:space="preserve"> </w:t>
      </w:r>
      <w:r w:rsidRPr="00D97463">
        <w:rPr>
          <w:b/>
          <w:bCs/>
        </w:rPr>
        <w:t>interpretation</w:t>
      </w:r>
    </w:p>
    <w:p w:rsidR="00397032" w:rsidRPr="00981405" w:rsidRDefault="00397032" w:rsidP="00D97463">
      <w:pPr>
        <w:pStyle w:val="SingleTxt"/>
        <w:ind w:left="1742"/>
      </w:pP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w:t>
      </w:r>
      <w:r w:rsidR="00190923" w:rsidRPr="00981405">
        <w:t xml:space="preserve"> </w:t>
      </w:r>
      <w:r w:rsidRPr="00981405">
        <w:t>and</w:t>
      </w:r>
      <w:r w:rsidR="00190923" w:rsidRPr="00981405">
        <w:t xml:space="preserve"> </w:t>
      </w:r>
      <w:r w:rsidRPr="00981405">
        <w:t>(b),</w:t>
      </w:r>
      <w:r w:rsidR="00190923" w:rsidRPr="00981405">
        <w:t xml:space="preserve"> </w:t>
      </w:r>
      <w:r w:rsidRPr="00981405">
        <w:t>being</w:t>
      </w:r>
      <w:r w:rsidR="00190923" w:rsidRPr="00981405">
        <w:t xml:space="preserve"> </w:t>
      </w:r>
      <w:r w:rsidRPr="00981405">
        <w:t>objective</w:t>
      </w:r>
      <w:r w:rsidR="00190923" w:rsidRPr="00981405">
        <w:t xml:space="preserve"> </w:t>
      </w:r>
      <w:r w:rsidRPr="00981405">
        <w:t>evidence</w:t>
      </w:r>
      <w:r w:rsidR="00190923" w:rsidRPr="00981405">
        <w:t xml:space="preserve"> </w:t>
      </w:r>
      <w:r w:rsidRPr="00981405">
        <w:t>of</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are</w:t>
      </w:r>
      <w:r w:rsidR="00190923" w:rsidRPr="00981405">
        <w:t xml:space="preserve"> </w:t>
      </w:r>
      <w:r w:rsidRPr="00981405">
        <w:t>authentic</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rule</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reflected</w:t>
      </w:r>
      <w:r w:rsidR="00190923" w:rsidRPr="00981405">
        <w:t xml:space="preserve"> </w:t>
      </w:r>
      <w:r w:rsidRPr="00981405">
        <w:t>in</w:t>
      </w:r>
      <w:r w:rsidR="00190923" w:rsidRPr="00981405">
        <w:t xml:space="preserve"> </w:t>
      </w:r>
      <w:r w:rsidRPr="00981405">
        <w:t>article</w:t>
      </w:r>
      <w:r w:rsidR="00190923" w:rsidRPr="00981405">
        <w:t xml:space="preserve"> </w:t>
      </w:r>
      <w:r w:rsidRPr="00981405">
        <w:t>31.</w:t>
      </w:r>
      <w:r w:rsidR="00190923" w:rsidRPr="00981405">
        <w:t xml:space="preserve"> </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3</w:t>
      </w:r>
      <w:r w:rsidR="00190923" w:rsidRPr="00981405">
        <w:rPr>
          <w:b/>
          <w:bCs/>
        </w:rPr>
        <w:t xml:space="preserve"> </w:t>
      </w:r>
      <w:r w:rsidRPr="00D97463">
        <w:rPr>
          <w:b/>
          <w:bCs/>
        </w:rPr>
        <w:br/>
        <w:t>Interpretation</w:t>
      </w:r>
      <w:r w:rsidR="00190923" w:rsidRPr="00981405">
        <w:rPr>
          <w:b/>
          <w:bCs/>
        </w:rPr>
        <w:t xml:space="preserve"> </w:t>
      </w:r>
      <w:r w:rsidRPr="00D97463">
        <w:rPr>
          <w:b/>
          <w:bCs/>
        </w:rPr>
        <w:t>of</w:t>
      </w:r>
      <w:r w:rsidR="00190923" w:rsidRPr="00981405">
        <w:rPr>
          <w:b/>
          <w:bCs/>
        </w:rPr>
        <w:t xml:space="preserve"> </w:t>
      </w:r>
      <w:r w:rsidRPr="00D97463">
        <w:rPr>
          <w:b/>
          <w:bCs/>
        </w:rPr>
        <w:t>treaty</w:t>
      </w:r>
      <w:r w:rsidR="00190923" w:rsidRPr="00981405">
        <w:rPr>
          <w:b/>
          <w:bCs/>
        </w:rPr>
        <w:t xml:space="preserve"> </w:t>
      </w:r>
      <w:r w:rsidRPr="00D97463">
        <w:rPr>
          <w:b/>
          <w:bCs/>
        </w:rPr>
        <w:t>terms</w:t>
      </w:r>
      <w:r w:rsidR="00190923" w:rsidRPr="00981405">
        <w:rPr>
          <w:b/>
          <w:bCs/>
        </w:rPr>
        <w:t xml:space="preserve"> </w:t>
      </w:r>
      <w:r w:rsidRPr="00D97463">
        <w:rPr>
          <w:b/>
          <w:bCs/>
        </w:rPr>
        <w:t>as</w:t>
      </w:r>
      <w:r w:rsidR="00190923" w:rsidRPr="00981405">
        <w:rPr>
          <w:b/>
          <w:bCs/>
        </w:rPr>
        <w:t xml:space="preserve"> </w:t>
      </w:r>
      <w:r w:rsidRPr="00D97463">
        <w:rPr>
          <w:b/>
          <w:bCs/>
        </w:rPr>
        <w:t>capable</w:t>
      </w:r>
      <w:r w:rsidR="00190923" w:rsidRPr="00981405">
        <w:rPr>
          <w:b/>
          <w:bCs/>
        </w:rPr>
        <w:t xml:space="preserve"> </w:t>
      </w:r>
      <w:r w:rsidRPr="00D97463">
        <w:rPr>
          <w:b/>
          <w:bCs/>
        </w:rPr>
        <w:t>of</w:t>
      </w:r>
      <w:r w:rsidR="00190923" w:rsidRPr="00981405">
        <w:rPr>
          <w:b/>
          <w:bCs/>
        </w:rPr>
        <w:t xml:space="preserve"> </w:t>
      </w:r>
      <w:r w:rsidRPr="00D97463">
        <w:rPr>
          <w:b/>
          <w:bCs/>
        </w:rPr>
        <w:t>evolving</w:t>
      </w:r>
      <w:r w:rsidR="00190923" w:rsidRPr="00981405">
        <w:rPr>
          <w:b/>
          <w:bCs/>
        </w:rPr>
        <w:t xml:space="preserve"> </w:t>
      </w:r>
      <w:r w:rsidRPr="00D97463">
        <w:rPr>
          <w:b/>
          <w:bCs/>
        </w:rPr>
        <w:t>over</w:t>
      </w:r>
      <w:r w:rsidR="00190923" w:rsidRPr="00981405">
        <w:rPr>
          <w:b/>
          <w:bCs/>
        </w:rPr>
        <w:t xml:space="preserve"> </w:t>
      </w:r>
      <w:r w:rsidRPr="00D97463">
        <w:rPr>
          <w:b/>
          <w:bCs/>
        </w:rPr>
        <w:t>time</w:t>
      </w:r>
    </w:p>
    <w:p w:rsidR="00397032" w:rsidRPr="00981405" w:rsidRDefault="00397032" w:rsidP="00D97463">
      <w:pPr>
        <w:pStyle w:val="SingleTxt"/>
        <w:ind w:left="1742"/>
      </w:pP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may</w:t>
      </w:r>
      <w:r w:rsidR="00190923" w:rsidRPr="00981405">
        <w:t xml:space="preserve"> </w:t>
      </w:r>
      <w:r w:rsidRPr="00981405">
        <w:t>assist</w:t>
      </w:r>
      <w:r w:rsidR="00190923" w:rsidRPr="00981405">
        <w:t xml:space="preserve"> </w:t>
      </w:r>
      <w:r w:rsidRPr="00981405">
        <w:t>in</w:t>
      </w:r>
      <w:r w:rsidR="00190923" w:rsidRPr="00981405">
        <w:t xml:space="preserve"> </w:t>
      </w:r>
      <w:r w:rsidRPr="00981405">
        <w:t>determining</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w:t>
      </w:r>
      <w:r w:rsidR="00190923" w:rsidRPr="00981405">
        <w:t xml:space="preserve"> </w:t>
      </w:r>
      <w:r w:rsidRPr="00981405">
        <w:t>presumed</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upon</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was</w:t>
      </w:r>
      <w:r w:rsidR="00190923" w:rsidRPr="00981405">
        <w:t xml:space="preserve"> </w:t>
      </w:r>
      <w:r w:rsidRPr="00981405">
        <w:t>to</w:t>
      </w:r>
      <w:r w:rsidR="00190923" w:rsidRPr="00981405">
        <w:t xml:space="preserve"> </w:t>
      </w:r>
      <w:r w:rsidRPr="00981405">
        <w:t>give</w:t>
      </w:r>
      <w:r w:rsidR="00190923" w:rsidRPr="00981405">
        <w:t xml:space="preserve"> </w:t>
      </w:r>
      <w:r w:rsidRPr="00981405">
        <w:t>a</w:t>
      </w:r>
      <w:r w:rsidR="00190923" w:rsidRPr="00981405">
        <w:t xml:space="preserve"> </w:t>
      </w:r>
      <w:r w:rsidRPr="00981405">
        <w:t>term</w:t>
      </w:r>
      <w:r w:rsidR="00190923" w:rsidRPr="00981405">
        <w:t xml:space="preserve"> </w:t>
      </w:r>
      <w:r w:rsidRPr="00981405">
        <w:t>used</w:t>
      </w:r>
      <w:r w:rsidR="00190923" w:rsidRPr="00981405">
        <w:t xml:space="preserve"> </w:t>
      </w:r>
      <w:r w:rsidRPr="00981405">
        <w:t>a</w:t>
      </w:r>
      <w:r w:rsidR="00190923" w:rsidRPr="00981405">
        <w:t xml:space="preserve"> </w:t>
      </w:r>
      <w:r w:rsidRPr="00981405">
        <w:t>meaning</w:t>
      </w:r>
      <w:r w:rsidR="00190923" w:rsidRPr="00981405">
        <w:t xml:space="preserve"> </w:t>
      </w:r>
      <w:r w:rsidRPr="00981405">
        <w:t>which</w:t>
      </w:r>
      <w:r w:rsidR="00190923" w:rsidRPr="00981405">
        <w:t xml:space="preserve"> </w:t>
      </w:r>
      <w:r w:rsidRPr="00981405">
        <w:t>is</w:t>
      </w:r>
      <w:r w:rsidR="00190923" w:rsidRPr="00981405">
        <w:t xml:space="preserve"> </w:t>
      </w:r>
      <w:r w:rsidRPr="00981405">
        <w:t>capable</w:t>
      </w:r>
      <w:r w:rsidR="00190923" w:rsidRPr="00981405">
        <w:t xml:space="preserve"> </w:t>
      </w:r>
      <w:r w:rsidRPr="00981405">
        <w:t>of</w:t>
      </w:r>
      <w:r w:rsidR="00190923" w:rsidRPr="00981405">
        <w:t xml:space="preserve"> </w:t>
      </w:r>
      <w:r w:rsidRPr="00981405">
        <w:t>evolving</w:t>
      </w:r>
      <w:r w:rsidR="00190923" w:rsidRPr="00981405">
        <w:t xml:space="preserve"> </w:t>
      </w:r>
      <w:r w:rsidRPr="00981405">
        <w:t>over</w:t>
      </w:r>
      <w:r w:rsidR="00190923" w:rsidRPr="00981405">
        <w:t xml:space="preserve"> </w:t>
      </w:r>
      <w:r w:rsidRPr="00981405">
        <w:t>time.</w:t>
      </w:r>
    </w:p>
    <w:p w:rsidR="00397032" w:rsidRPr="00D97463" w:rsidRDefault="00397032" w:rsidP="00D97463">
      <w:pPr>
        <w:pStyle w:val="SingleTxt"/>
        <w:keepNext/>
        <w:keepLines/>
        <w:ind w:left="1742"/>
        <w:jc w:val="left"/>
        <w:rPr>
          <w:b/>
          <w:bCs/>
        </w:rPr>
      </w:pPr>
      <w:r w:rsidRPr="00D97463">
        <w:rPr>
          <w:b/>
          <w:bCs/>
        </w:rPr>
        <w:lastRenderedPageBreak/>
        <w:t>Conclusion</w:t>
      </w:r>
      <w:r w:rsidR="00190923" w:rsidRPr="00981405">
        <w:rPr>
          <w:b/>
          <w:bCs/>
        </w:rPr>
        <w:t xml:space="preserve"> </w:t>
      </w:r>
      <w:r w:rsidRPr="00D97463">
        <w:rPr>
          <w:b/>
          <w:bCs/>
        </w:rPr>
        <w:t>4</w:t>
      </w:r>
      <w:r w:rsidRPr="00D97463">
        <w:rPr>
          <w:b/>
          <w:bCs/>
        </w:rPr>
        <w:br/>
        <w:t>Definition</w:t>
      </w:r>
      <w:r w:rsidR="00190923" w:rsidRPr="00981405">
        <w:rPr>
          <w:b/>
          <w:bCs/>
        </w:rPr>
        <w:t xml:space="preserve"> </w:t>
      </w:r>
      <w:r w:rsidRPr="00D97463">
        <w:rPr>
          <w:b/>
          <w:bCs/>
        </w:rPr>
        <w:t>of</w:t>
      </w:r>
      <w:r w:rsidR="00190923" w:rsidRPr="00981405">
        <w:rPr>
          <w:b/>
          <w:bCs/>
        </w:rPr>
        <w:t xml:space="preserve"> </w:t>
      </w:r>
      <w:r w:rsidRPr="00D97463">
        <w:rPr>
          <w:b/>
          <w:bCs/>
        </w:rPr>
        <w:t>subsequent</w:t>
      </w:r>
      <w:r w:rsidR="00190923" w:rsidRPr="00981405">
        <w:rPr>
          <w:b/>
          <w:bCs/>
        </w:rPr>
        <w:t xml:space="preserve"> </w:t>
      </w:r>
      <w:r w:rsidRPr="00D97463">
        <w:rPr>
          <w:b/>
          <w:bCs/>
        </w:rPr>
        <w:t>agreement</w:t>
      </w:r>
      <w:r w:rsidR="00190923" w:rsidRPr="00981405">
        <w:rPr>
          <w:b/>
          <w:bCs/>
        </w:rPr>
        <w:t xml:space="preserve"> </w:t>
      </w:r>
      <w:r w:rsidRPr="00D97463">
        <w:rPr>
          <w:b/>
          <w:bCs/>
        </w:rPr>
        <w:t>and</w:t>
      </w:r>
      <w:r w:rsidR="00190923" w:rsidRPr="00981405">
        <w:rPr>
          <w:b/>
          <w:bCs/>
        </w:rPr>
        <w:t xml:space="preserve"> </w:t>
      </w:r>
      <w:r w:rsidRPr="00D97463">
        <w:rPr>
          <w:b/>
          <w:bCs/>
        </w:rPr>
        <w:t>subsequent</w:t>
      </w:r>
      <w:r w:rsidR="00190923" w:rsidRPr="00981405">
        <w:rPr>
          <w:b/>
          <w:bCs/>
        </w:rPr>
        <w:t xml:space="preserve"> </w:t>
      </w:r>
      <w:r w:rsidRPr="00D97463">
        <w:rPr>
          <w:b/>
          <w:bCs/>
        </w:rPr>
        <w:t>practice</w:t>
      </w:r>
    </w:p>
    <w:p w:rsidR="00397032" w:rsidRPr="00981405" w:rsidRDefault="00397032" w:rsidP="00D97463">
      <w:pPr>
        <w:pStyle w:val="SingleTxt"/>
        <w:keepNext/>
        <w:keepLines/>
        <w:ind w:left="1742"/>
      </w:pPr>
      <w:r w:rsidRPr="00981405">
        <w:t>1.</w:t>
      </w:r>
      <w:r w:rsidRPr="00981405">
        <w:tab/>
        <w:t>A</w:t>
      </w:r>
      <w:r w:rsidR="00190923" w:rsidRPr="00981405">
        <w:t xml:space="preserve"> </w:t>
      </w:r>
      <w:r w:rsidR="00B92E2C" w:rsidRPr="00981405">
        <w:t>“</w:t>
      </w:r>
      <w:r w:rsidRPr="00981405">
        <w:t>subsequent</w:t>
      </w:r>
      <w:r w:rsidR="00190923" w:rsidRPr="00981405">
        <w:t xml:space="preserve"> </w:t>
      </w:r>
      <w:r w:rsidRPr="00981405">
        <w:t>agreement</w:t>
      </w:r>
      <w:r w:rsidR="00B92E2C" w:rsidRPr="00981405">
        <w:t>”</w:t>
      </w:r>
      <w:r w:rsidR="00190923" w:rsidRPr="00981405">
        <w:t xml:space="preserve"> </w:t>
      </w:r>
      <w:r w:rsidRPr="00981405">
        <w:t>as</w:t>
      </w:r>
      <w:r w:rsidR="00190923" w:rsidRPr="00981405">
        <w:t xml:space="preserve"> </w:t>
      </w:r>
      <w:r w:rsidRPr="00981405">
        <w:t>an</w:t>
      </w:r>
      <w:r w:rsidR="00190923" w:rsidRPr="00981405">
        <w:t xml:space="preserve"> </w:t>
      </w:r>
      <w:r w:rsidRPr="00981405">
        <w:t>authentic</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w:t>
      </w:r>
      <w:r w:rsidR="00190923" w:rsidRPr="00981405">
        <w:t xml:space="preserve"> </w:t>
      </w:r>
      <w:r w:rsidRPr="00981405">
        <w:t>is</w:t>
      </w:r>
      <w:r w:rsidR="00190923" w:rsidRPr="00981405">
        <w:t xml:space="preserve"> </w:t>
      </w:r>
      <w:r w:rsidRPr="00981405">
        <w:t>an</w:t>
      </w:r>
      <w:r w:rsidR="00190923" w:rsidRPr="00981405">
        <w:t xml:space="preserve"> </w:t>
      </w:r>
      <w:r w:rsidRPr="00981405">
        <w:t>agreement</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reached</w:t>
      </w:r>
      <w:r w:rsidR="00190923" w:rsidRPr="00981405">
        <w:t xml:space="preserve"> </w:t>
      </w:r>
      <w:r w:rsidRPr="00981405">
        <w:t>after</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or</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provisions.</w:t>
      </w:r>
    </w:p>
    <w:p w:rsidR="00397032" w:rsidRPr="00981405" w:rsidRDefault="00397032" w:rsidP="00D97463">
      <w:pPr>
        <w:pStyle w:val="SingleTxt"/>
        <w:ind w:left="1742"/>
      </w:pPr>
      <w:r w:rsidRPr="00981405">
        <w:t>2.</w:t>
      </w:r>
      <w:r w:rsidRPr="00981405">
        <w:tab/>
        <w:t>A</w:t>
      </w:r>
      <w:r w:rsidR="00190923" w:rsidRPr="00981405">
        <w:t xml:space="preserve"> </w:t>
      </w:r>
      <w:r w:rsidR="00B92E2C" w:rsidRPr="00981405">
        <w:t>“</w:t>
      </w:r>
      <w:r w:rsidRPr="00981405">
        <w:t>subsequent</w:t>
      </w:r>
      <w:r w:rsidR="00190923" w:rsidRPr="00981405">
        <w:t xml:space="preserve"> </w:t>
      </w:r>
      <w:r w:rsidRPr="00981405">
        <w:t>practice</w:t>
      </w:r>
      <w:r w:rsidR="00B92E2C" w:rsidRPr="00981405">
        <w:t>”</w:t>
      </w:r>
      <w:r w:rsidR="00190923" w:rsidRPr="00981405">
        <w:t xml:space="preserve"> </w:t>
      </w:r>
      <w:r w:rsidRPr="00981405">
        <w:t>as</w:t>
      </w:r>
      <w:r w:rsidR="00190923" w:rsidRPr="00981405">
        <w:t xml:space="preserve"> </w:t>
      </w:r>
      <w:r w:rsidRPr="00981405">
        <w:t>an</w:t>
      </w:r>
      <w:r w:rsidR="00190923" w:rsidRPr="00981405">
        <w:t xml:space="preserve"> </w:t>
      </w:r>
      <w:r w:rsidRPr="00981405">
        <w:t>authentic</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(b)</w:t>
      </w:r>
      <w:r w:rsidR="00190923" w:rsidRPr="00981405">
        <w:t xml:space="preserve"> </w:t>
      </w:r>
      <w:r w:rsidRPr="00981405">
        <w:t>consists</w:t>
      </w:r>
      <w:r w:rsidR="00190923" w:rsidRPr="00981405">
        <w:t xml:space="preserve"> </w:t>
      </w:r>
      <w:r w:rsidRPr="00981405">
        <w:t>of</w:t>
      </w:r>
      <w:r w:rsidR="00190923" w:rsidRPr="00981405">
        <w:t xml:space="preserve"> </w:t>
      </w:r>
      <w:r w:rsidRPr="00981405">
        <w:t>conduct</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after</w:t>
      </w:r>
      <w:r w:rsidR="00190923" w:rsidRPr="00981405">
        <w:t xml:space="preserve"> </w:t>
      </w:r>
      <w:r w:rsidRPr="00981405">
        <w:t>its</w:t>
      </w:r>
      <w:r w:rsidR="00190923" w:rsidRPr="00981405">
        <w:t xml:space="preserve"> </w:t>
      </w:r>
      <w:r w:rsidRPr="00981405">
        <w:t>conclusion,</w:t>
      </w:r>
      <w:r w:rsidR="00190923" w:rsidRPr="00981405">
        <w:t xml:space="preserve"> </w:t>
      </w:r>
      <w:r w:rsidRPr="00981405">
        <w:t>which</w:t>
      </w:r>
      <w:r w:rsidR="00190923" w:rsidRPr="00981405">
        <w:t xml:space="preserve"> </w:t>
      </w:r>
      <w:r w:rsidRPr="00981405">
        <w:t>establishes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p>
    <w:p w:rsidR="00397032" w:rsidRPr="00981405" w:rsidRDefault="00397032" w:rsidP="00D97463">
      <w:pPr>
        <w:pStyle w:val="SingleTxt"/>
        <w:ind w:left="1742"/>
      </w:pPr>
      <w:r w:rsidRPr="00981405">
        <w:t>3.</w:t>
      </w:r>
      <w:r w:rsidRPr="00981405">
        <w:tab/>
        <w:t>Other</w:t>
      </w:r>
      <w:r w:rsidR="00190923" w:rsidRPr="00981405">
        <w:t xml:space="preserve"> </w:t>
      </w:r>
      <w:r w:rsidR="00B92E2C" w:rsidRPr="00981405">
        <w:t>“</w:t>
      </w:r>
      <w:r w:rsidRPr="00981405">
        <w:t>subsequent</w:t>
      </w:r>
      <w:r w:rsidR="00190923" w:rsidRPr="00981405">
        <w:t xml:space="preserve"> </w:t>
      </w:r>
      <w:r w:rsidRPr="00981405">
        <w:t>practice</w:t>
      </w:r>
      <w:r w:rsidR="00B92E2C" w:rsidRPr="00981405">
        <w:t>”</w:t>
      </w:r>
      <w:r w:rsidR="00190923" w:rsidRPr="00981405">
        <w:t xml:space="preserve"> </w:t>
      </w:r>
      <w:r w:rsidRPr="00981405">
        <w:t>as</w:t>
      </w:r>
      <w:r w:rsidR="00190923" w:rsidRPr="00981405">
        <w:t xml:space="preserve"> </w:t>
      </w:r>
      <w:r w:rsidRPr="00981405">
        <w:t>a</w:t>
      </w:r>
      <w:r w:rsidR="00190923" w:rsidRPr="00981405">
        <w:t xml:space="preserve"> </w:t>
      </w:r>
      <w:r w:rsidRPr="00981405">
        <w:t>supplementary</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consists</w:t>
      </w:r>
      <w:r w:rsidR="00190923" w:rsidRPr="00981405">
        <w:t xml:space="preserve"> </w:t>
      </w:r>
      <w:r w:rsidRPr="00981405">
        <w:t>of</w:t>
      </w:r>
      <w:r w:rsidR="00190923" w:rsidRPr="00981405">
        <w:t xml:space="preserve"> </w:t>
      </w:r>
      <w:r w:rsidRPr="00981405">
        <w:t>conduct</w:t>
      </w:r>
      <w:r w:rsidR="00190923" w:rsidRPr="00981405">
        <w:t xml:space="preserve"> </w:t>
      </w:r>
      <w:r w:rsidRPr="00981405">
        <w:t>by</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parties</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after</w:t>
      </w:r>
      <w:r w:rsidR="00190923" w:rsidRPr="00981405">
        <w:t xml:space="preserve"> </w:t>
      </w:r>
      <w:r w:rsidRPr="00981405">
        <w:t>its</w:t>
      </w:r>
      <w:r w:rsidR="00190923" w:rsidRPr="00981405">
        <w:t xml:space="preserve"> </w:t>
      </w:r>
      <w:r w:rsidRPr="00981405">
        <w:t>conclusion.</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5</w:t>
      </w:r>
      <w:r w:rsidRPr="00D97463">
        <w:rPr>
          <w:b/>
          <w:bCs/>
        </w:rPr>
        <w:br/>
        <w:t>Attribution</w:t>
      </w:r>
      <w:r w:rsidR="00190923" w:rsidRPr="00981405">
        <w:rPr>
          <w:b/>
          <w:bCs/>
        </w:rPr>
        <w:t xml:space="preserve"> </w:t>
      </w:r>
      <w:r w:rsidRPr="00D97463">
        <w:rPr>
          <w:b/>
          <w:bCs/>
        </w:rPr>
        <w:t>of</w:t>
      </w:r>
      <w:r w:rsidR="00190923" w:rsidRPr="00981405">
        <w:rPr>
          <w:b/>
          <w:bCs/>
        </w:rPr>
        <w:t xml:space="preserve"> </w:t>
      </w:r>
      <w:r w:rsidRPr="00D97463">
        <w:rPr>
          <w:b/>
          <w:bCs/>
        </w:rPr>
        <w:t>subsequent</w:t>
      </w:r>
      <w:r w:rsidR="00190923" w:rsidRPr="00981405">
        <w:rPr>
          <w:b/>
          <w:bCs/>
        </w:rPr>
        <w:t xml:space="preserve"> </w:t>
      </w:r>
      <w:r w:rsidRPr="00D97463">
        <w:rPr>
          <w:b/>
          <w:bCs/>
        </w:rPr>
        <w:t>practice</w:t>
      </w:r>
      <w:r w:rsidR="00190923" w:rsidRPr="00981405">
        <w:rPr>
          <w:b/>
          <w:bCs/>
        </w:rPr>
        <w:t xml:space="preserve"> </w:t>
      </w:r>
    </w:p>
    <w:p w:rsidR="00397032" w:rsidRPr="00981405" w:rsidRDefault="00397032" w:rsidP="00D97463">
      <w:pPr>
        <w:pStyle w:val="SingleTxt"/>
        <w:ind w:left="1742"/>
      </w:pPr>
      <w:r w:rsidRPr="00981405">
        <w:t>1.</w:t>
      </w:r>
      <w:r w:rsidRPr="00981405">
        <w:tab/>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may</w:t>
      </w:r>
      <w:r w:rsidR="00190923" w:rsidRPr="00981405">
        <w:t xml:space="preserve"> </w:t>
      </w:r>
      <w:r w:rsidRPr="00981405">
        <w:t>consist</w:t>
      </w:r>
      <w:r w:rsidR="00190923" w:rsidRPr="00981405">
        <w:t xml:space="preserve"> </w:t>
      </w:r>
      <w:r w:rsidRPr="00981405">
        <w:t>of</w:t>
      </w:r>
      <w:r w:rsidR="00190923" w:rsidRPr="00981405">
        <w:t xml:space="preserve"> </w:t>
      </w:r>
      <w:r w:rsidRPr="00981405">
        <w:t>any</w:t>
      </w:r>
      <w:r w:rsidR="00190923" w:rsidRPr="00981405">
        <w:t xml:space="preserve"> </w:t>
      </w:r>
      <w:r w:rsidRPr="00981405">
        <w:t>conduct</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which</w:t>
      </w:r>
      <w:r w:rsidR="00190923" w:rsidRPr="00981405">
        <w:t xml:space="preserve"> </w:t>
      </w:r>
      <w:r w:rsidRPr="00981405">
        <w:t>is</w:t>
      </w:r>
      <w:r w:rsidR="00190923" w:rsidRPr="00981405">
        <w:t xml:space="preserve"> </w:t>
      </w:r>
      <w:r w:rsidRPr="00981405">
        <w:t>attributable</w:t>
      </w:r>
      <w:r w:rsidR="00190923" w:rsidRPr="00981405">
        <w:t xml:space="preserve"> </w:t>
      </w:r>
      <w:r w:rsidRPr="00981405">
        <w:t>to</w:t>
      </w:r>
      <w:r w:rsidR="00190923" w:rsidRPr="00981405">
        <w:t xml:space="preserve"> </w:t>
      </w:r>
      <w:r w:rsidRPr="00981405">
        <w:t>a</w:t>
      </w:r>
      <w:r w:rsidR="00190923" w:rsidRPr="00981405">
        <w:t xml:space="preserve"> </w:t>
      </w:r>
      <w:r w:rsidRPr="00981405">
        <w:t>party</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p>
    <w:p w:rsidR="00397032" w:rsidRPr="00981405" w:rsidRDefault="00397032" w:rsidP="00D97463">
      <w:pPr>
        <w:pStyle w:val="SingleTxt"/>
        <w:ind w:left="1742"/>
      </w:pPr>
      <w:r w:rsidRPr="00981405">
        <w:t>2.</w:t>
      </w:r>
      <w:r w:rsidRPr="00981405">
        <w:tab/>
        <w:t>Other</w:t>
      </w:r>
      <w:r w:rsidR="00190923" w:rsidRPr="00981405">
        <w:t xml:space="preserve"> </w:t>
      </w:r>
      <w:r w:rsidRPr="00981405">
        <w:t>conduct,</w:t>
      </w:r>
      <w:r w:rsidR="00190923" w:rsidRPr="00981405">
        <w:t xml:space="preserve"> </w:t>
      </w:r>
      <w:r w:rsidRPr="00981405">
        <w:t>including</w:t>
      </w:r>
      <w:r w:rsidR="00190923" w:rsidRPr="00981405">
        <w:t xml:space="preserve"> </w:t>
      </w:r>
      <w:r w:rsidRPr="00981405">
        <w:t>by</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does</w:t>
      </w:r>
      <w:r w:rsidR="00190923" w:rsidRPr="00981405">
        <w:t xml:space="preserve"> </w:t>
      </w:r>
      <w:r w:rsidRPr="00981405">
        <w:t>not</w:t>
      </w:r>
      <w:r w:rsidR="00190923" w:rsidRPr="00981405">
        <w:t xml:space="preserve"> </w:t>
      </w:r>
      <w:r w:rsidRPr="00981405">
        <w:t>constitute</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Such</w:t>
      </w:r>
      <w:r w:rsidR="00190923" w:rsidRPr="00981405">
        <w:t xml:space="preserve"> </w:t>
      </w:r>
      <w:r w:rsidRPr="00981405">
        <w:t>conduct</w:t>
      </w:r>
      <w:r w:rsidR="00190923" w:rsidRPr="00981405">
        <w:t xml:space="preserve"> </w:t>
      </w:r>
      <w:r w:rsidRPr="00981405">
        <w:t>may,</w:t>
      </w:r>
      <w:r w:rsidR="00190923" w:rsidRPr="00981405">
        <w:t xml:space="preserve"> </w:t>
      </w:r>
      <w:r w:rsidRPr="00981405">
        <w:t>however,</w:t>
      </w:r>
      <w:r w:rsidR="00190923" w:rsidRPr="00981405">
        <w:t xml:space="preserve"> </w:t>
      </w:r>
      <w:r w:rsidRPr="00981405">
        <w:t>be</w:t>
      </w:r>
      <w:r w:rsidR="00190923" w:rsidRPr="00981405">
        <w:t xml:space="preserve"> </w:t>
      </w:r>
      <w:r w:rsidRPr="00981405">
        <w:t>relevant</w:t>
      </w:r>
      <w:r w:rsidR="00190923" w:rsidRPr="00981405">
        <w:t xml:space="preserve"> </w:t>
      </w:r>
      <w:r w:rsidRPr="00981405">
        <w:t>when</w:t>
      </w:r>
      <w:r w:rsidR="00190923" w:rsidRPr="00981405">
        <w:t xml:space="preserve"> </w:t>
      </w:r>
      <w:r w:rsidRPr="00981405">
        <w:t>assessing</w:t>
      </w:r>
      <w:r w:rsidR="00190923" w:rsidRPr="00981405">
        <w:t xml:space="preserve"> </w:t>
      </w:r>
      <w:r w:rsidRPr="00981405">
        <w:t>the</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6</w:t>
      </w:r>
      <w:r w:rsidRPr="00D97463">
        <w:rPr>
          <w:b/>
          <w:bCs/>
        </w:rPr>
        <w:br/>
        <w:t>Identification</w:t>
      </w:r>
      <w:r w:rsidR="00190923" w:rsidRPr="00981405">
        <w:rPr>
          <w:b/>
          <w:bCs/>
        </w:rPr>
        <w:t xml:space="preserve"> </w:t>
      </w:r>
      <w:r w:rsidRPr="00D97463">
        <w:rPr>
          <w:b/>
          <w:bCs/>
        </w:rPr>
        <w:t>of</w:t>
      </w:r>
      <w:r w:rsidR="00190923" w:rsidRPr="00981405">
        <w:rPr>
          <w:b/>
          <w:bCs/>
        </w:rPr>
        <w:t xml:space="preserve"> </w:t>
      </w:r>
      <w:r w:rsidRPr="00D97463">
        <w:rPr>
          <w:b/>
          <w:bCs/>
        </w:rPr>
        <w:t>subsequent</w:t>
      </w:r>
      <w:r w:rsidR="00190923" w:rsidRPr="00981405">
        <w:rPr>
          <w:b/>
          <w:bCs/>
        </w:rPr>
        <w:t xml:space="preserve"> </w:t>
      </w:r>
      <w:r w:rsidRPr="00D97463">
        <w:rPr>
          <w:b/>
          <w:bCs/>
        </w:rPr>
        <w:t>agreements</w:t>
      </w:r>
      <w:r w:rsidR="00190923" w:rsidRPr="00981405">
        <w:rPr>
          <w:b/>
          <w:bCs/>
        </w:rPr>
        <w:t xml:space="preserve"> </w:t>
      </w:r>
      <w:r w:rsidRPr="00D97463">
        <w:rPr>
          <w:b/>
          <w:bCs/>
        </w:rPr>
        <w:t>and</w:t>
      </w:r>
      <w:r w:rsidR="00190923" w:rsidRPr="00981405">
        <w:rPr>
          <w:b/>
          <w:bCs/>
        </w:rPr>
        <w:t xml:space="preserve"> </w:t>
      </w:r>
      <w:r w:rsidRPr="00D97463">
        <w:rPr>
          <w:b/>
          <w:bCs/>
        </w:rPr>
        <w:t>subsequent</w:t>
      </w:r>
      <w:r w:rsidR="00190923" w:rsidRPr="00981405">
        <w:rPr>
          <w:b/>
          <w:bCs/>
        </w:rPr>
        <w:t xml:space="preserve"> </w:t>
      </w:r>
      <w:r w:rsidRPr="00D97463">
        <w:rPr>
          <w:b/>
          <w:bCs/>
        </w:rPr>
        <w:t>practice</w:t>
      </w:r>
    </w:p>
    <w:p w:rsidR="00397032" w:rsidRPr="00981405" w:rsidRDefault="00397032" w:rsidP="00D97463">
      <w:pPr>
        <w:pStyle w:val="SingleTxt"/>
        <w:ind w:left="1742"/>
      </w:pPr>
      <w:r w:rsidRPr="00981405">
        <w:t>1.</w:t>
      </w:r>
      <w:r w:rsidRPr="00981405">
        <w:tab/>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requires,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a</w:t>
      </w:r>
      <w:r w:rsidR="00190923" w:rsidRPr="00981405">
        <w:t xml:space="preserve"> </w:t>
      </w:r>
      <w:r w:rsidRPr="00981405">
        <w:t>determination</w:t>
      </w:r>
      <w:r w:rsidR="00190923" w:rsidRPr="00981405">
        <w:t xml:space="preserve"> </w:t>
      </w:r>
      <w:r w:rsidRPr="00981405">
        <w:t>whether</w:t>
      </w:r>
      <w:r w:rsidR="00190923" w:rsidRPr="00981405">
        <w:t xml:space="preserve"> </w:t>
      </w:r>
      <w:r w:rsidRPr="00981405">
        <w:t>the</w:t>
      </w:r>
      <w:r w:rsidR="00190923" w:rsidRPr="00981405">
        <w:t xml:space="preserve"> </w:t>
      </w:r>
      <w:r w:rsidRPr="00981405">
        <w:t>parties,</w:t>
      </w:r>
      <w:r w:rsidR="00190923" w:rsidRPr="00981405">
        <w:t xml:space="preserve"> </w:t>
      </w:r>
      <w:r w:rsidRPr="00981405">
        <w:t>by</w:t>
      </w:r>
      <w:r w:rsidR="00190923" w:rsidRPr="00981405">
        <w:t xml:space="preserve"> </w:t>
      </w:r>
      <w:r w:rsidRPr="00981405">
        <w:t>an</w:t>
      </w:r>
      <w:r w:rsidR="00190923" w:rsidRPr="00981405">
        <w:t xml:space="preserve"> </w:t>
      </w:r>
      <w:r w:rsidRPr="00981405">
        <w:t>agreement</w:t>
      </w:r>
      <w:r w:rsidR="00190923" w:rsidRPr="00981405">
        <w:t xml:space="preserve"> </w:t>
      </w:r>
      <w:r w:rsidRPr="00981405">
        <w:t>or</w:t>
      </w:r>
      <w:r w:rsidR="00190923" w:rsidRPr="00981405">
        <w:t xml:space="preserve"> </w:t>
      </w:r>
      <w:r w:rsidRPr="00981405">
        <w:t>a</w:t>
      </w:r>
      <w:r w:rsidR="00190923" w:rsidRPr="00981405">
        <w:t xml:space="preserve"> </w:t>
      </w:r>
      <w:r w:rsidRPr="00981405">
        <w:t>practice,</w:t>
      </w:r>
      <w:r w:rsidR="00190923" w:rsidRPr="00981405">
        <w:t xml:space="preserve"> </w:t>
      </w:r>
      <w:r w:rsidRPr="00981405">
        <w:t>have</w:t>
      </w:r>
      <w:r w:rsidR="00190923" w:rsidRPr="00981405">
        <w:t xml:space="preserve"> </w:t>
      </w:r>
      <w:r w:rsidRPr="00981405">
        <w:t>taken</w:t>
      </w:r>
      <w:r w:rsidR="00190923" w:rsidRPr="00981405">
        <w:t xml:space="preserve"> </w:t>
      </w:r>
      <w:r w:rsidRPr="00981405">
        <w:t>a</w:t>
      </w:r>
      <w:r w:rsidR="00190923" w:rsidRPr="00981405">
        <w:t xml:space="preserve"> </w:t>
      </w:r>
      <w:r w:rsidRPr="00981405">
        <w:t>position</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This</w:t>
      </w:r>
      <w:r w:rsidR="00190923" w:rsidRPr="00981405">
        <w:t xml:space="preserve"> </w:t>
      </w:r>
      <w:r w:rsidRPr="00981405">
        <w:t>is</w:t>
      </w:r>
      <w:r w:rsidR="00190923" w:rsidRPr="00981405">
        <w:t xml:space="preserve"> </w:t>
      </w:r>
      <w:r w:rsidRPr="00981405">
        <w:t>not</w:t>
      </w:r>
      <w:r w:rsidR="00190923" w:rsidRPr="00981405">
        <w:t xml:space="preserve"> </w:t>
      </w:r>
      <w:r w:rsidRPr="00981405">
        <w:t>normally</w:t>
      </w:r>
      <w:r w:rsidR="00190923" w:rsidRPr="00981405">
        <w:t xml:space="preserve"> </w:t>
      </w:r>
      <w:r w:rsidRPr="00981405">
        <w:t>the</w:t>
      </w:r>
      <w:r w:rsidR="00190923" w:rsidRPr="00981405">
        <w:t xml:space="preserve"> </w:t>
      </w:r>
      <w:r w:rsidRPr="00981405">
        <w:t>case</w:t>
      </w:r>
      <w:r w:rsidR="00190923" w:rsidRPr="00981405">
        <w:t xml:space="preserve"> </w:t>
      </w:r>
      <w:r w:rsidRPr="00981405">
        <w:t>if</w:t>
      </w:r>
      <w:r w:rsidR="00190923" w:rsidRPr="00981405">
        <w:t xml:space="preserve"> </w:t>
      </w:r>
      <w:r w:rsidRPr="00981405">
        <w:t>the</w:t>
      </w:r>
      <w:r w:rsidR="00190923" w:rsidRPr="00981405">
        <w:t xml:space="preserve"> </w:t>
      </w:r>
      <w:r w:rsidRPr="00981405">
        <w:t>parties</w:t>
      </w:r>
      <w:r w:rsidR="00190923" w:rsidRPr="00981405">
        <w:t xml:space="preserve"> </w:t>
      </w:r>
      <w:r w:rsidRPr="00981405">
        <w:t>have</w:t>
      </w:r>
      <w:r w:rsidR="00190923" w:rsidRPr="00981405">
        <w:t xml:space="preserve"> </w:t>
      </w:r>
      <w:r w:rsidRPr="00981405">
        <w:t>merely</w:t>
      </w:r>
      <w:r w:rsidR="00190923" w:rsidRPr="00981405">
        <w:t xml:space="preserve"> </w:t>
      </w:r>
      <w:r w:rsidRPr="00981405">
        <w:t>agreed</w:t>
      </w:r>
      <w:r w:rsidR="00190923" w:rsidRPr="00981405">
        <w:t xml:space="preserve"> </w:t>
      </w:r>
      <w:r w:rsidRPr="00981405">
        <w:t>not</w:t>
      </w:r>
      <w:r w:rsidR="00190923" w:rsidRPr="00981405">
        <w:t xml:space="preserve"> </w:t>
      </w:r>
      <w:r w:rsidRPr="00981405">
        <w:t>to</w:t>
      </w:r>
      <w:r w:rsidR="00190923" w:rsidRPr="00981405">
        <w:t xml:space="preserve"> </w:t>
      </w:r>
      <w:r w:rsidRPr="00981405">
        <w:t>apply</w:t>
      </w:r>
      <w:r w:rsidR="00190923" w:rsidRPr="00981405">
        <w:t xml:space="preserve"> </w:t>
      </w:r>
      <w:r w:rsidRPr="00981405">
        <w:t>the</w:t>
      </w:r>
      <w:r w:rsidR="00190923" w:rsidRPr="00981405">
        <w:t xml:space="preserve"> </w:t>
      </w:r>
      <w:r w:rsidRPr="00981405">
        <w:t>treaty</w:t>
      </w:r>
      <w:r w:rsidR="00190923" w:rsidRPr="00981405">
        <w:t xml:space="preserve"> </w:t>
      </w:r>
      <w:r w:rsidRPr="00981405">
        <w:t>temporarily</w:t>
      </w:r>
      <w:r w:rsidR="00190923" w:rsidRPr="00981405">
        <w:t xml:space="preserve"> </w:t>
      </w:r>
      <w:r w:rsidRPr="00981405">
        <w:t>or</w:t>
      </w:r>
      <w:r w:rsidR="00190923" w:rsidRPr="00981405">
        <w:t xml:space="preserve"> </w:t>
      </w:r>
      <w:r w:rsidRPr="00981405">
        <w:t>agreed</w:t>
      </w:r>
      <w:r w:rsidR="00190923" w:rsidRPr="00981405">
        <w:t xml:space="preserve"> </w:t>
      </w:r>
      <w:r w:rsidRPr="00981405">
        <w:t>to</w:t>
      </w:r>
      <w:r w:rsidR="00190923" w:rsidRPr="00981405">
        <w:t xml:space="preserve"> </w:t>
      </w:r>
      <w:r w:rsidRPr="00981405">
        <w:t>establish</w:t>
      </w:r>
      <w:r w:rsidR="00190923" w:rsidRPr="00981405">
        <w:t xml:space="preserve"> </w:t>
      </w:r>
      <w:r w:rsidRPr="00981405">
        <w:t>a</w:t>
      </w:r>
      <w:r w:rsidR="00190923" w:rsidRPr="00981405">
        <w:t xml:space="preserve"> </w:t>
      </w:r>
      <w:r w:rsidRPr="00981405">
        <w:t>practical</w:t>
      </w:r>
      <w:r w:rsidR="00190923" w:rsidRPr="00981405">
        <w:t xml:space="preserve"> </w:t>
      </w:r>
      <w:r w:rsidRPr="00981405">
        <w:t>arrangement</w:t>
      </w:r>
      <w:r w:rsidR="00190923" w:rsidRPr="00981405">
        <w:t xml:space="preserve"> </w:t>
      </w:r>
      <w:r w:rsidRPr="00981405">
        <w:t>(</w:t>
      </w:r>
      <w:r w:rsidR="00B41600" w:rsidRPr="00981405">
        <w:rPr>
          <w:i/>
          <w:iCs/>
        </w:rPr>
        <w:t>modus</w:t>
      </w:r>
      <w:r w:rsidR="00190923" w:rsidRPr="00981405">
        <w:rPr>
          <w:i/>
          <w:iCs/>
        </w:rPr>
        <w:t xml:space="preserve"> </w:t>
      </w:r>
      <w:r w:rsidR="00B41600" w:rsidRPr="00981405">
        <w:rPr>
          <w:i/>
          <w:iCs/>
        </w:rPr>
        <w:t>vivendi</w:t>
      </w:r>
      <w:r w:rsidRPr="00981405">
        <w:t>).</w:t>
      </w:r>
    </w:p>
    <w:p w:rsidR="00397032" w:rsidRPr="00981405" w:rsidRDefault="00397032" w:rsidP="00D97463">
      <w:pPr>
        <w:pStyle w:val="SingleTxt"/>
        <w:ind w:left="1742"/>
      </w:pPr>
      <w:r w:rsidRPr="00981405">
        <w:t>2.</w:t>
      </w: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can</w:t>
      </w:r>
      <w:r w:rsidR="00190923" w:rsidRPr="00981405">
        <w:t xml:space="preserve"> </w:t>
      </w:r>
      <w:r w:rsidRPr="00981405">
        <w:t>take</w:t>
      </w:r>
      <w:r w:rsidR="00190923" w:rsidRPr="00981405">
        <w:t xml:space="preserve"> </w:t>
      </w:r>
      <w:r w:rsidRPr="00981405">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forms.</w:t>
      </w:r>
    </w:p>
    <w:p w:rsidR="00397032" w:rsidRPr="00981405" w:rsidRDefault="00397032" w:rsidP="00D97463">
      <w:pPr>
        <w:pStyle w:val="SingleTxt"/>
        <w:ind w:left="1742"/>
      </w:pPr>
      <w:r w:rsidRPr="00981405">
        <w:t>3.</w:t>
      </w:r>
      <w:r w:rsidRPr="00981405">
        <w:tab/>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requires,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a</w:t>
      </w:r>
      <w:r w:rsidR="00190923" w:rsidRPr="00981405">
        <w:t xml:space="preserve"> </w:t>
      </w:r>
      <w:r w:rsidRPr="00981405">
        <w:t>determination</w:t>
      </w:r>
      <w:r w:rsidR="00190923" w:rsidRPr="00981405">
        <w:t xml:space="preserve"> </w:t>
      </w:r>
      <w:r w:rsidRPr="00981405">
        <w:t>whether</w:t>
      </w:r>
      <w:r w:rsidR="00190923" w:rsidRPr="00981405">
        <w:t xml:space="preserve"> </w:t>
      </w:r>
      <w:r w:rsidRPr="00981405">
        <w:t>conduct</w:t>
      </w:r>
      <w:r w:rsidR="00190923" w:rsidRPr="00981405">
        <w:t xml:space="preserve"> </w:t>
      </w:r>
      <w:r w:rsidRPr="00981405">
        <w:t>by</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parties</w:t>
      </w:r>
      <w:r w:rsidR="00190923" w:rsidRPr="00981405">
        <w:t xml:space="preserve"> </w:t>
      </w:r>
      <w:r w:rsidRPr="00981405">
        <w:t>is</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7</w:t>
      </w:r>
      <w:r w:rsidRPr="00D97463">
        <w:rPr>
          <w:b/>
          <w:bCs/>
        </w:rPr>
        <w:br/>
        <w:t>Possible</w:t>
      </w:r>
      <w:r w:rsidR="00190923" w:rsidRPr="00981405">
        <w:rPr>
          <w:b/>
          <w:bCs/>
        </w:rPr>
        <w:t xml:space="preserve"> </w:t>
      </w:r>
      <w:r w:rsidRPr="00D97463">
        <w:rPr>
          <w:b/>
          <w:bCs/>
        </w:rPr>
        <w:t>effects</w:t>
      </w:r>
      <w:r w:rsidR="00190923" w:rsidRPr="00981405">
        <w:rPr>
          <w:b/>
          <w:bCs/>
        </w:rPr>
        <w:t xml:space="preserve"> </w:t>
      </w:r>
      <w:r w:rsidRPr="00D97463">
        <w:rPr>
          <w:b/>
          <w:bCs/>
        </w:rPr>
        <w:t>of</w:t>
      </w:r>
      <w:r w:rsidR="00190923" w:rsidRPr="00981405">
        <w:rPr>
          <w:b/>
          <w:bCs/>
        </w:rPr>
        <w:t xml:space="preserve"> </w:t>
      </w:r>
      <w:r w:rsidRPr="00D97463">
        <w:rPr>
          <w:b/>
          <w:bCs/>
        </w:rPr>
        <w:t>subsequent</w:t>
      </w:r>
      <w:r w:rsidR="00190923" w:rsidRPr="00981405">
        <w:rPr>
          <w:b/>
          <w:bCs/>
        </w:rPr>
        <w:t xml:space="preserve"> </w:t>
      </w:r>
      <w:r w:rsidRPr="00D97463">
        <w:rPr>
          <w:b/>
          <w:bCs/>
        </w:rPr>
        <w:t>agreements</w:t>
      </w:r>
      <w:r w:rsidR="00190923" w:rsidRPr="00981405">
        <w:rPr>
          <w:b/>
          <w:bCs/>
        </w:rPr>
        <w:t xml:space="preserve"> </w:t>
      </w:r>
      <w:r w:rsidRPr="00D97463">
        <w:rPr>
          <w:b/>
          <w:bCs/>
        </w:rPr>
        <w:t>and</w:t>
      </w:r>
      <w:r w:rsidR="00190923" w:rsidRPr="00981405">
        <w:rPr>
          <w:b/>
          <w:bCs/>
        </w:rPr>
        <w:t xml:space="preserve"> </w:t>
      </w:r>
      <w:r w:rsidRPr="00D97463">
        <w:rPr>
          <w:b/>
          <w:bCs/>
        </w:rPr>
        <w:t>subsequent</w:t>
      </w:r>
      <w:r w:rsidR="00190923" w:rsidRPr="00981405">
        <w:rPr>
          <w:b/>
          <w:bCs/>
        </w:rPr>
        <w:t xml:space="preserve"> </w:t>
      </w:r>
      <w:r w:rsidRPr="00D97463">
        <w:rPr>
          <w:b/>
          <w:bCs/>
        </w:rPr>
        <w:t>practice</w:t>
      </w:r>
      <w:r w:rsidR="00190923" w:rsidRPr="00981405">
        <w:rPr>
          <w:b/>
          <w:bCs/>
        </w:rPr>
        <w:t xml:space="preserve"> </w:t>
      </w:r>
      <w:r w:rsidRPr="00D97463">
        <w:rPr>
          <w:b/>
          <w:bCs/>
        </w:rPr>
        <w:t>in</w:t>
      </w:r>
      <w:r w:rsidR="00190923" w:rsidRPr="00981405">
        <w:rPr>
          <w:b/>
          <w:bCs/>
        </w:rPr>
        <w:t xml:space="preserve"> </w:t>
      </w:r>
      <w:r w:rsidRPr="00D97463">
        <w:rPr>
          <w:b/>
          <w:bCs/>
        </w:rPr>
        <w:t>interpretation</w:t>
      </w:r>
    </w:p>
    <w:p w:rsidR="00397032" w:rsidRPr="00981405" w:rsidRDefault="00397032" w:rsidP="00D97463">
      <w:pPr>
        <w:pStyle w:val="SingleTxt"/>
        <w:ind w:left="1742"/>
      </w:pPr>
      <w:r w:rsidRPr="00981405">
        <w:t>1.</w:t>
      </w: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contribute,</w:t>
      </w:r>
      <w:r w:rsidR="00190923" w:rsidRPr="00981405">
        <w:t xml:space="preserve"> </w:t>
      </w:r>
      <w:r w:rsidRPr="00981405">
        <w:t>in</w:t>
      </w:r>
      <w:r w:rsidR="00190923" w:rsidRPr="00981405">
        <w:t xml:space="preserve"> </w:t>
      </w:r>
      <w:r w:rsidRPr="00981405">
        <w:t>their</w:t>
      </w:r>
      <w:r w:rsidR="00190923" w:rsidRPr="00981405">
        <w:t xml:space="preserve"> </w:t>
      </w:r>
      <w:r w:rsidRPr="00981405">
        <w:t>interaction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to</w:t>
      </w:r>
      <w:r w:rsidR="00190923" w:rsidRPr="00981405">
        <w:t xml:space="preserve"> </w:t>
      </w:r>
      <w:r w:rsidRPr="00981405">
        <w:t>the</w:t>
      </w:r>
      <w:r w:rsidR="00190923" w:rsidRPr="00981405">
        <w:t xml:space="preserve"> </w:t>
      </w:r>
      <w:r w:rsidRPr="00981405">
        <w:t>clarification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This</w:t>
      </w:r>
      <w:r w:rsidR="00190923" w:rsidRPr="00981405">
        <w:t xml:space="preserve"> </w:t>
      </w:r>
      <w:r w:rsidRPr="00981405">
        <w:t>may</w:t>
      </w:r>
      <w:r w:rsidR="00190923" w:rsidRPr="00981405">
        <w:t xml:space="preserve"> </w:t>
      </w:r>
      <w:r w:rsidRPr="00981405">
        <w:t>result</w:t>
      </w:r>
      <w:r w:rsidR="00190923" w:rsidRPr="00981405">
        <w:t xml:space="preserve"> </w:t>
      </w:r>
      <w:r w:rsidRPr="00981405">
        <w:t>in</w:t>
      </w:r>
      <w:r w:rsidR="00190923" w:rsidRPr="00981405">
        <w:t xml:space="preserve"> </w:t>
      </w:r>
      <w:r w:rsidRPr="00981405">
        <w:t>narrowing,</w:t>
      </w:r>
      <w:r w:rsidR="00190923" w:rsidRPr="00981405">
        <w:t xml:space="preserve"> </w:t>
      </w:r>
      <w:r w:rsidRPr="00981405">
        <w:t>widening,</w:t>
      </w:r>
      <w:r w:rsidR="00190923" w:rsidRPr="00981405">
        <w:t xml:space="preserve"> </w:t>
      </w:r>
      <w:r w:rsidRPr="00981405">
        <w:t>or</w:t>
      </w:r>
      <w:r w:rsidR="00190923" w:rsidRPr="00981405">
        <w:t xml:space="preserve"> </w:t>
      </w:r>
      <w:r w:rsidRPr="00981405">
        <w:t>otherwise</w:t>
      </w:r>
      <w:r w:rsidR="00190923" w:rsidRPr="00981405">
        <w:t xml:space="preserve"> </w:t>
      </w:r>
      <w:r w:rsidRPr="00981405">
        <w:t>determining</w:t>
      </w:r>
      <w:r w:rsidR="00190923" w:rsidRPr="00981405">
        <w:t xml:space="preserve"> </w:t>
      </w:r>
      <w:r w:rsidRPr="00981405">
        <w:t>the</w:t>
      </w:r>
      <w:r w:rsidR="00190923" w:rsidRPr="00981405">
        <w:t xml:space="preserve"> </w:t>
      </w:r>
      <w:r w:rsidRPr="00981405">
        <w:t>range</w:t>
      </w:r>
      <w:r w:rsidR="00190923" w:rsidRPr="00981405">
        <w:t xml:space="preserve"> </w:t>
      </w:r>
      <w:r w:rsidRPr="00981405">
        <w:t>of</w:t>
      </w:r>
      <w:r w:rsidR="00190923" w:rsidRPr="00981405">
        <w:t xml:space="preserve"> </w:t>
      </w:r>
      <w:r w:rsidRPr="00981405">
        <w:t>possible</w:t>
      </w:r>
      <w:r w:rsidR="00190923" w:rsidRPr="00981405">
        <w:t xml:space="preserve"> </w:t>
      </w:r>
      <w:r w:rsidRPr="00981405">
        <w:t>interpretations,</w:t>
      </w:r>
      <w:r w:rsidR="00190923" w:rsidRPr="00981405">
        <w:t xml:space="preserve"> </w:t>
      </w:r>
      <w:r w:rsidRPr="00981405">
        <w:t>including</w:t>
      </w:r>
      <w:r w:rsidR="00190923" w:rsidRPr="00981405">
        <w:t xml:space="preserve"> </w:t>
      </w:r>
      <w:r w:rsidRPr="00981405">
        <w:t>any</w:t>
      </w:r>
      <w:r w:rsidR="00190923" w:rsidRPr="00981405">
        <w:t xml:space="preserve"> </w:t>
      </w:r>
      <w:r w:rsidRPr="00981405">
        <w:t>scope</w:t>
      </w:r>
      <w:r w:rsidR="00190923" w:rsidRPr="00981405">
        <w:t xml:space="preserve"> </w:t>
      </w:r>
      <w:r w:rsidRPr="00981405">
        <w:t>for</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discretion</w:t>
      </w:r>
      <w:r w:rsidR="00190923" w:rsidRPr="00981405">
        <w:t xml:space="preserve"> </w:t>
      </w:r>
      <w:r w:rsidRPr="00981405">
        <w:t>which</w:t>
      </w:r>
      <w:r w:rsidR="00190923" w:rsidRPr="00981405">
        <w:t xml:space="preserve"> </w:t>
      </w:r>
      <w:r w:rsidRPr="00981405">
        <w:t>the</w:t>
      </w:r>
      <w:r w:rsidR="00190923" w:rsidRPr="00981405">
        <w:t xml:space="preserve"> </w:t>
      </w:r>
      <w:r w:rsidRPr="00981405">
        <w:t>treaty</w:t>
      </w:r>
      <w:r w:rsidR="00190923" w:rsidRPr="00981405">
        <w:t xml:space="preserve"> </w:t>
      </w:r>
      <w:r w:rsidRPr="00981405">
        <w:t>accords</w:t>
      </w:r>
      <w:r w:rsidR="00190923" w:rsidRPr="00981405">
        <w:t xml:space="preserve"> </w:t>
      </w:r>
      <w:r w:rsidRPr="00981405">
        <w:t>to</w:t>
      </w:r>
      <w:r w:rsidR="00190923" w:rsidRPr="00981405">
        <w:t xml:space="preserve"> </w:t>
      </w:r>
      <w:r w:rsidRPr="00981405">
        <w:t>the</w:t>
      </w:r>
      <w:r w:rsidR="00190923" w:rsidRPr="00981405">
        <w:t xml:space="preserve"> </w:t>
      </w:r>
      <w:r w:rsidRPr="00981405">
        <w:t>parties.</w:t>
      </w:r>
    </w:p>
    <w:p w:rsidR="00397032" w:rsidRPr="00981405" w:rsidRDefault="00397032" w:rsidP="00D97463">
      <w:pPr>
        <w:pStyle w:val="SingleTxt"/>
        <w:ind w:left="1742"/>
      </w:pPr>
      <w:r w:rsidRPr="00981405">
        <w:t>2.</w:t>
      </w:r>
      <w:r w:rsidRPr="00981405">
        <w:tab/>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can</w:t>
      </w:r>
      <w:r w:rsidR="00190923" w:rsidRPr="00981405">
        <w:t xml:space="preserve"> </w:t>
      </w:r>
      <w:r w:rsidRPr="00981405">
        <w:t>also</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clarification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p>
    <w:p w:rsidR="00397032" w:rsidRPr="00981405" w:rsidRDefault="00397032" w:rsidP="00D97463">
      <w:pPr>
        <w:pStyle w:val="SingleTxt"/>
        <w:ind w:left="1742"/>
      </w:pPr>
      <w:r w:rsidRPr="00981405">
        <w:t>3.</w:t>
      </w:r>
      <w:r w:rsidRPr="00981405">
        <w:tab/>
        <w:t>It</w:t>
      </w:r>
      <w:r w:rsidR="00190923" w:rsidRPr="00981405">
        <w:t xml:space="preserve"> </w:t>
      </w:r>
      <w:r w:rsidRPr="00981405">
        <w:t>is</w:t>
      </w:r>
      <w:r w:rsidR="00190923" w:rsidRPr="00981405">
        <w:t xml:space="preserve"> </w:t>
      </w:r>
      <w:r w:rsidRPr="00981405">
        <w:t>presumed</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by</w:t>
      </w:r>
      <w:r w:rsidR="00190923" w:rsidRPr="00981405">
        <w:t xml:space="preserve"> </w:t>
      </w:r>
      <w:r w:rsidRPr="00981405">
        <w:t>an</w:t>
      </w:r>
      <w:r w:rsidR="00190923" w:rsidRPr="00981405">
        <w:t xml:space="preserve"> </w:t>
      </w:r>
      <w:r w:rsidRPr="00981405">
        <w:t>agreement</w:t>
      </w:r>
      <w:r w:rsidR="00190923" w:rsidRPr="00981405">
        <w:t xml:space="preserve"> </w:t>
      </w:r>
      <w:r w:rsidRPr="00981405">
        <w:t>subsequently</w:t>
      </w:r>
      <w:r w:rsidR="00190923" w:rsidRPr="00981405">
        <w:t xml:space="preserve"> </w:t>
      </w:r>
      <w:r w:rsidRPr="00981405">
        <w:t>arrived</w:t>
      </w:r>
      <w:r w:rsidR="00190923" w:rsidRPr="00981405">
        <w:t xml:space="preserve"> </w:t>
      </w:r>
      <w:r w:rsidRPr="00981405">
        <w:t>at</w:t>
      </w:r>
      <w:r w:rsidR="00190923" w:rsidRPr="00981405">
        <w:t xml:space="preserve"> </w:t>
      </w:r>
      <w:r w:rsidRPr="00981405">
        <w:t>or</w:t>
      </w:r>
      <w:r w:rsidR="00190923" w:rsidRPr="00981405">
        <w:t xml:space="preserve"> </w:t>
      </w:r>
      <w:r w:rsidRPr="00981405">
        <w:t>a</w:t>
      </w:r>
      <w:r w:rsidR="00190923" w:rsidRPr="00981405">
        <w:t xml:space="preserve"> </w:t>
      </w:r>
      <w:r w:rsidRPr="00981405">
        <w:t>practice</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intend</w:t>
      </w:r>
      <w:r w:rsidR="00190923" w:rsidRPr="00981405">
        <w:t xml:space="preserve"> </w:t>
      </w:r>
      <w:r w:rsidRPr="00981405">
        <w:t>to</w:t>
      </w:r>
      <w:r w:rsidR="00190923" w:rsidRPr="00981405">
        <w:t xml:space="preserve"> </w:t>
      </w:r>
      <w:r w:rsidRPr="00981405">
        <w:t>interpret</w:t>
      </w:r>
      <w:r w:rsidR="00190923" w:rsidRPr="00981405">
        <w:t xml:space="preserve"> </w:t>
      </w:r>
      <w:r w:rsidRPr="00981405">
        <w:t>the</w:t>
      </w:r>
      <w:r w:rsidR="00190923" w:rsidRPr="00981405">
        <w:t xml:space="preserve"> </w:t>
      </w:r>
      <w:r w:rsidRPr="00981405">
        <w:t>treaty,</w:t>
      </w:r>
      <w:r w:rsidR="00190923" w:rsidRPr="00981405">
        <w:t xml:space="preserve"> </w:t>
      </w:r>
      <w:r w:rsidRPr="00981405">
        <w:t>not</w:t>
      </w:r>
      <w:r w:rsidR="00190923" w:rsidRPr="00981405">
        <w:t xml:space="preserve"> </w:t>
      </w:r>
      <w:r w:rsidRPr="00981405">
        <w:t>to</w:t>
      </w:r>
      <w:r w:rsidR="00190923" w:rsidRPr="00981405">
        <w:t xml:space="preserve"> </w:t>
      </w:r>
      <w:r w:rsidRPr="00981405">
        <w:t>amend</w:t>
      </w:r>
      <w:r w:rsidR="00190923" w:rsidRPr="00981405">
        <w:t xml:space="preserve"> </w:t>
      </w:r>
      <w:r w:rsidRPr="00981405">
        <w:t>or</w:t>
      </w:r>
      <w:r w:rsidR="00190923" w:rsidRPr="00981405">
        <w:t xml:space="preserve"> </w:t>
      </w:r>
      <w:r w:rsidRPr="00981405">
        <w:t>to</w:t>
      </w:r>
      <w:r w:rsidR="00190923" w:rsidRPr="00981405">
        <w:t xml:space="preserve"> </w:t>
      </w:r>
      <w:r w:rsidRPr="00981405">
        <w:t>modify</w:t>
      </w:r>
      <w:r w:rsidR="00190923" w:rsidRPr="00981405">
        <w:t xml:space="preserve"> </w:t>
      </w:r>
      <w:r w:rsidRPr="00981405">
        <w:t>it.</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amending</w:t>
      </w:r>
      <w:r w:rsidR="00190923" w:rsidRPr="00981405">
        <w:t xml:space="preserve"> </w:t>
      </w:r>
      <w:r w:rsidRPr="00981405">
        <w:t>or</w:t>
      </w:r>
      <w:r w:rsidR="00190923" w:rsidRPr="00981405">
        <w:t xml:space="preserve"> </w:t>
      </w:r>
      <w:r w:rsidRPr="00981405">
        <w:t>modifying</w:t>
      </w:r>
      <w:r w:rsidR="00190923" w:rsidRPr="00981405">
        <w:t xml:space="preserve"> </w:t>
      </w:r>
      <w:r w:rsidRPr="00981405">
        <w:t>a</w:t>
      </w:r>
      <w:r w:rsidR="00190923" w:rsidRPr="00981405">
        <w:t xml:space="preserve"> </w:t>
      </w:r>
      <w:r w:rsidRPr="00981405">
        <w:lastRenderedPageBreak/>
        <w:t>treaty</w:t>
      </w:r>
      <w:r w:rsidR="00190923" w:rsidRPr="00981405">
        <w:t xml:space="preserve"> </w:t>
      </w:r>
      <w:r w:rsidRPr="00981405">
        <w:t>by</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has</w:t>
      </w:r>
      <w:r w:rsidR="00190923" w:rsidRPr="00981405">
        <w:t xml:space="preserve"> </w:t>
      </w:r>
      <w:r w:rsidRPr="00981405">
        <w:t>not</w:t>
      </w:r>
      <w:r w:rsidR="00190923" w:rsidRPr="00981405">
        <w:t xml:space="preserve"> </w:t>
      </w:r>
      <w:r w:rsidRPr="00981405">
        <w:t>been</w:t>
      </w:r>
      <w:r w:rsidR="00190923" w:rsidRPr="00981405">
        <w:t xml:space="preserve"> </w:t>
      </w:r>
      <w:r w:rsidRPr="00981405">
        <w:t>generally</w:t>
      </w:r>
      <w:r w:rsidR="00190923" w:rsidRPr="00981405">
        <w:t xml:space="preserve"> </w:t>
      </w:r>
      <w:r w:rsidRPr="00981405">
        <w:t>recognized.</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is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the</w:t>
      </w:r>
      <w:r w:rsidR="00190923" w:rsidRPr="00981405">
        <w:t xml:space="preserve"> </w:t>
      </w:r>
      <w:r w:rsidRPr="00981405">
        <w:t>rules</w:t>
      </w:r>
      <w:r w:rsidR="00190923" w:rsidRPr="00981405">
        <w:t xml:space="preserve"> </w:t>
      </w:r>
      <w:r w:rsidRPr="00981405">
        <w:t>on</w:t>
      </w:r>
      <w:r w:rsidR="00190923" w:rsidRPr="00981405">
        <w:t xml:space="preserve"> </w:t>
      </w:r>
      <w:r w:rsidRPr="00981405">
        <w:t>the</w:t>
      </w:r>
      <w:r w:rsidR="00190923" w:rsidRPr="00981405">
        <w:t xml:space="preserve"> </w:t>
      </w:r>
      <w:r w:rsidRPr="00981405">
        <w:t>amendment</w:t>
      </w:r>
      <w:r w:rsidR="00190923" w:rsidRPr="00981405">
        <w:t xml:space="preserve"> </w:t>
      </w:r>
      <w:r w:rsidRPr="00981405">
        <w:t>or</w:t>
      </w:r>
      <w:r w:rsidR="00190923" w:rsidRPr="00981405">
        <w:t xml:space="preserve"> </w:t>
      </w:r>
      <w:r w:rsidRPr="00981405">
        <w:t>modification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under</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under</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8</w:t>
      </w:r>
      <w:r w:rsidRPr="00D97463">
        <w:rPr>
          <w:b/>
          <w:bCs/>
        </w:rPr>
        <w:br/>
        <w:t>Weight</w:t>
      </w:r>
      <w:r w:rsidR="00190923" w:rsidRPr="00981405">
        <w:rPr>
          <w:b/>
          <w:bCs/>
        </w:rPr>
        <w:t xml:space="preserve"> </w:t>
      </w:r>
      <w:r w:rsidRPr="00D97463">
        <w:rPr>
          <w:b/>
          <w:bCs/>
        </w:rPr>
        <w:t>of</w:t>
      </w:r>
      <w:r w:rsidR="00190923" w:rsidRPr="00981405">
        <w:rPr>
          <w:b/>
          <w:bCs/>
        </w:rPr>
        <w:t xml:space="preserve"> </w:t>
      </w:r>
      <w:r w:rsidRPr="00D97463">
        <w:rPr>
          <w:b/>
          <w:bCs/>
        </w:rPr>
        <w:t>subsequent</w:t>
      </w:r>
      <w:r w:rsidR="00190923" w:rsidRPr="00981405">
        <w:rPr>
          <w:b/>
          <w:bCs/>
        </w:rPr>
        <w:t xml:space="preserve"> </w:t>
      </w:r>
      <w:r w:rsidRPr="00D97463">
        <w:rPr>
          <w:b/>
          <w:bCs/>
        </w:rPr>
        <w:t>agreements</w:t>
      </w:r>
      <w:r w:rsidR="00190923" w:rsidRPr="00981405">
        <w:rPr>
          <w:b/>
          <w:bCs/>
        </w:rPr>
        <w:t xml:space="preserve"> </w:t>
      </w:r>
      <w:r w:rsidRPr="00D97463">
        <w:rPr>
          <w:b/>
          <w:bCs/>
        </w:rPr>
        <w:t>and</w:t>
      </w:r>
      <w:r w:rsidR="00190923" w:rsidRPr="00981405">
        <w:rPr>
          <w:b/>
          <w:bCs/>
        </w:rPr>
        <w:t xml:space="preserve"> </w:t>
      </w:r>
      <w:r w:rsidRPr="00D97463">
        <w:rPr>
          <w:b/>
          <w:bCs/>
        </w:rPr>
        <w:t>subsequent</w:t>
      </w:r>
      <w:r w:rsidR="00190923" w:rsidRPr="00981405">
        <w:rPr>
          <w:b/>
          <w:bCs/>
        </w:rPr>
        <w:t xml:space="preserve"> </w:t>
      </w:r>
      <w:r w:rsidRPr="00D97463">
        <w:rPr>
          <w:b/>
          <w:bCs/>
        </w:rPr>
        <w:t>practice</w:t>
      </w:r>
      <w:r w:rsidR="00190923" w:rsidRPr="00981405">
        <w:rPr>
          <w:b/>
          <w:bCs/>
        </w:rPr>
        <w:t xml:space="preserve"> </w:t>
      </w:r>
      <w:r w:rsidRPr="00D97463">
        <w:rPr>
          <w:b/>
          <w:bCs/>
        </w:rPr>
        <w:t>as</w:t>
      </w:r>
      <w:r w:rsidR="00190923" w:rsidRPr="00981405">
        <w:rPr>
          <w:b/>
          <w:bCs/>
        </w:rPr>
        <w:t xml:space="preserve"> </w:t>
      </w:r>
      <w:r w:rsidRPr="00D97463">
        <w:rPr>
          <w:b/>
          <w:bCs/>
        </w:rPr>
        <w:t>a</w:t>
      </w:r>
      <w:r w:rsidR="00190923" w:rsidRPr="00981405">
        <w:rPr>
          <w:b/>
          <w:bCs/>
        </w:rPr>
        <w:t xml:space="preserve"> </w:t>
      </w:r>
      <w:r w:rsidRPr="00D97463">
        <w:rPr>
          <w:b/>
          <w:bCs/>
        </w:rPr>
        <w:t>means</w:t>
      </w:r>
      <w:r w:rsidR="00190923" w:rsidRPr="00981405">
        <w:rPr>
          <w:b/>
          <w:bCs/>
        </w:rPr>
        <w:t xml:space="preserve"> </w:t>
      </w:r>
      <w:r w:rsidRPr="00D97463">
        <w:rPr>
          <w:b/>
          <w:bCs/>
        </w:rPr>
        <w:t>of</w:t>
      </w:r>
      <w:r w:rsidR="00190923" w:rsidRPr="00981405">
        <w:rPr>
          <w:b/>
          <w:bCs/>
        </w:rPr>
        <w:t xml:space="preserve"> </w:t>
      </w:r>
      <w:r w:rsidRPr="00D97463">
        <w:rPr>
          <w:b/>
          <w:bCs/>
        </w:rPr>
        <w:t>interpretation</w:t>
      </w:r>
    </w:p>
    <w:p w:rsidR="00397032" w:rsidRPr="00981405" w:rsidRDefault="00397032" w:rsidP="00D97463">
      <w:pPr>
        <w:pStyle w:val="SingleTxt"/>
        <w:ind w:left="1742"/>
      </w:pPr>
      <w:r w:rsidRPr="00981405">
        <w:t>1.</w:t>
      </w:r>
      <w:r w:rsidRPr="00981405">
        <w:tab/>
        <w:t>The</w:t>
      </w:r>
      <w:r w:rsidR="00190923" w:rsidRPr="00981405">
        <w:t xml:space="preserve"> </w:t>
      </w:r>
      <w:r w:rsidRPr="00981405">
        <w:t>weight</w:t>
      </w:r>
      <w:r w:rsidR="00190923" w:rsidRPr="00981405">
        <w:t xml:space="preserve"> </w:t>
      </w:r>
      <w:r w:rsidRPr="00981405">
        <w:t>of</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depends,</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on</w:t>
      </w:r>
      <w:r w:rsidR="00190923" w:rsidRPr="00981405">
        <w:t xml:space="preserve"> </w:t>
      </w:r>
      <w:r w:rsidRPr="00981405">
        <w:t>its</w:t>
      </w:r>
      <w:r w:rsidR="00190923" w:rsidRPr="00981405">
        <w:t xml:space="preserve"> </w:t>
      </w:r>
      <w:r w:rsidRPr="00981405">
        <w:t>clarity</w:t>
      </w:r>
      <w:r w:rsidR="00190923" w:rsidRPr="00981405">
        <w:t xml:space="preserve"> </w:t>
      </w:r>
      <w:r w:rsidRPr="00981405">
        <w:t>and</w:t>
      </w:r>
      <w:r w:rsidR="00190923" w:rsidRPr="00981405">
        <w:t xml:space="preserve"> </w:t>
      </w:r>
      <w:r w:rsidRPr="00981405">
        <w:t>specificity.</w:t>
      </w:r>
      <w:r w:rsidR="00190923" w:rsidRPr="00981405">
        <w:t xml:space="preserve"> </w:t>
      </w:r>
    </w:p>
    <w:p w:rsidR="00397032" w:rsidRPr="00981405" w:rsidRDefault="00397032" w:rsidP="00D97463">
      <w:pPr>
        <w:pStyle w:val="SingleTxt"/>
        <w:ind w:left="1742"/>
      </w:pPr>
      <w:r w:rsidRPr="00981405">
        <w:t>2.</w:t>
      </w:r>
      <w:r w:rsidRPr="00981405">
        <w:tab/>
        <w:t>The</w:t>
      </w:r>
      <w:r w:rsidR="00190923" w:rsidRPr="00981405">
        <w:t xml:space="preserve"> </w:t>
      </w:r>
      <w:r w:rsidRPr="00981405">
        <w:t>weight</w:t>
      </w:r>
      <w:r w:rsidR="00190923" w:rsidRPr="00981405">
        <w:t xml:space="preserve"> </w:t>
      </w:r>
      <w:r w:rsidRPr="00981405">
        <w:t>of</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(b),</w:t>
      </w:r>
      <w:r w:rsidR="00190923" w:rsidRPr="00981405">
        <w:t xml:space="preserve"> </w:t>
      </w:r>
      <w:r w:rsidRPr="00981405">
        <w:t>depends,</w:t>
      </w:r>
      <w:r w:rsidR="00190923" w:rsidRPr="00981405">
        <w:t xml:space="preserve"> </w:t>
      </w:r>
      <w:r w:rsidRPr="00981405">
        <w:t>in</w:t>
      </w:r>
      <w:r w:rsidR="00190923" w:rsidRPr="00981405">
        <w:t xml:space="preserve"> </w:t>
      </w:r>
      <w:r w:rsidRPr="00981405">
        <w:t>addition,</w:t>
      </w:r>
      <w:r w:rsidR="00190923" w:rsidRPr="00981405">
        <w:t xml:space="preserve"> </w:t>
      </w:r>
      <w:r w:rsidRPr="00981405">
        <w:t>on</w:t>
      </w:r>
      <w:r w:rsidR="00190923" w:rsidRPr="00981405">
        <w:t xml:space="preserve"> </w:t>
      </w:r>
      <w:r w:rsidRPr="00981405">
        <w:t>whether</w:t>
      </w:r>
      <w:r w:rsidR="00190923" w:rsidRPr="00981405">
        <w:t xml:space="preserve"> </w:t>
      </w:r>
      <w:r w:rsidRPr="00981405">
        <w:t>and</w:t>
      </w:r>
      <w:r w:rsidR="00190923" w:rsidRPr="00981405">
        <w:t xml:space="preserve"> </w:t>
      </w:r>
      <w:r w:rsidRPr="00981405">
        <w:t>how</w:t>
      </w:r>
      <w:r w:rsidR="00190923" w:rsidRPr="00981405">
        <w:t xml:space="preserve"> </w:t>
      </w:r>
      <w:r w:rsidRPr="00981405">
        <w:t>it</w:t>
      </w:r>
      <w:r w:rsidR="00190923" w:rsidRPr="00981405">
        <w:t xml:space="preserve"> </w:t>
      </w:r>
      <w:r w:rsidRPr="00981405">
        <w:t>is</w:t>
      </w:r>
      <w:r w:rsidR="00190923" w:rsidRPr="00981405">
        <w:t xml:space="preserve"> </w:t>
      </w:r>
      <w:r w:rsidRPr="00981405">
        <w:t>repeated.</w:t>
      </w:r>
      <w:r w:rsidR="00190923" w:rsidRPr="00981405">
        <w:t xml:space="preserve"> </w:t>
      </w:r>
    </w:p>
    <w:p w:rsidR="00397032" w:rsidRPr="00981405" w:rsidRDefault="00397032" w:rsidP="00D97463">
      <w:pPr>
        <w:pStyle w:val="SingleTxt"/>
        <w:ind w:left="1742"/>
      </w:pPr>
      <w:r w:rsidRPr="00981405">
        <w:t>3.</w:t>
      </w:r>
      <w:r w:rsidRPr="00981405">
        <w:tab/>
        <w:t>The</w:t>
      </w:r>
      <w:r w:rsidR="00190923" w:rsidRPr="00981405">
        <w:t xml:space="preserve"> </w:t>
      </w:r>
      <w:r w:rsidRPr="00981405">
        <w:t>weight</w:t>
      </w:r>
      <w:r w:rsidR="00190923" w:rsidRPr="00981405">
        <w:t xml:space="preserve"> </w:t>
      </w:r>
      <w:r w:rsidRPr="00981405">
        <w:t>of</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as</w:t>
      </w:r>
      <w:r w:rsidR="00190923" w:rsidRPr="00981405">
        <w:t xml:space="preserve"> </w:t>
      </w:r>
      <w:r w:rsidRPr="00981405">
        <w:t>a</w:t>
      </w:r>
      <w:r w:rsidR="00190923" w:rsidRPr="00981405">
        <w:t xml:space="preserve"> </w:t>
      </w:r>
      <w:r w:rsidRPr="00981405">
        <w:t>supplementary</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may</w:t>
      </w:r>
      <w:r w:rsidR="00190923" w:rsidRPr="00981405">
        <w:t xml:space="preserve"> </w:t>
      </w:r>
      <w:r w:rsidRPr="00981405">
        <w:t>depend</w:t>
      </w:r>
      <w:r w:rsidR="00190923" w:rsidRPr="00981405">
        <w:t xml:space="preserve"> </w:t>
      </w:r>
      <w:r w:rsidRPr="00981405">
        <w:t>on</w:t>
      </w:r>
      <w:r w:rsidR="00190923" w:rsidRPr="00981405">
        <w:t xml:space="preserve"> </w:t>
      </w:r>
      <w:r w:rsidRPr="00981405">
        <w:t>the</w:t>
      </w:r>
      <w:r w:rsidR="00190923" w:rsidRPr="00981405">
        <w:t xml:space="preserve"> </w:t>
      </w:r>
      <w:r w:rsidRPr="00981405">
        <w:t>criteria</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paragraphs</w:t>
      </w:r>
      <w:r w:rsidR="00190923" w:rsidRPr="00981405">
        <w:t xml:space="preserve"> </w:t>
      </w:r>
      <w:r w:rsidRPr="00981405">
        <w:t>1</w:t>
      </w:r>
      <w:r w:rsidR="00190923" w:rsidRPr="00981405">
        <w:t xml:space="preserve"> </w:t>
      </w:r>
      <w:r w:rsidRPr="00981405">
        <w:t>and</w:t>
      </w:r>
      <w:r w:rsidR="00190923" w:rsidRPr="00981405">
        <w:t xml:space="preserve"> </w:t>
      </w:r>
      <w:r w:rsidRPr="00981405">
        <w:t>2.</w:t>
      </w:r>
      <w:r w:rsidR="00190923" w:rsidRPr="00981405">
        <w:t xml:space="preserve"> </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9</w:t>
      </w:r>
      <w:r w:rsidRPr="00D97463">
        <w:rPr>
          <w:b/>
          <w:bCs/>
        </w:rPr>
        <w:br/>
        <w:t>Agreement</w:t>
      </w:r>
      <w:r w:rsidR="00190923" w:rsidRPr="00981405">
        <w:rPr>
          <w:b/>
          <w:bCs/>
        </w:rPr>
        <w:t xml:space="preserve"> </w:t>
      </w:r>
      <w:r w:rsidRPr="00D97463">
        <w:rPr>
          <w:b/>
          <w:bCs/>
        </w:rPr>
        <w:t>of</w:t>
      </w:r>
      <w:r w:rsidR="00190923" w:rsidRPr="00981405">
        <w:rPr>
          <w:b/>
          <w:bCs/>
        </w:rPr>
        <w:t xml:space="preserve"> </w:t>
      </w:r>
      <w:r w:rsidRPr="00D97463">
        <w:rPr>
          <w:b/>
          <w:bCs/>
        </w:rPr>
        <w:t>the</w:t>
      </w:r>
      <w:r w:rsidR="00190923" w:rsidRPr="00981405">
        <w:rPr>
          <w:b/>
          <w:bCs/>
        </w:rPr>
        <w:t xml:space="preserve"> </w:t>
      </w:r>
      <w:r w:rsidRPr="00D97463">
        <w:rPr>
          <w:b/>
          <w:bCs/>
        </w:rPr>
        <w:t>parties</w:t>
      </w:r>
      <w:r w:rsidR="00190923" w:rsidRPr="00981405">
        <w:rPr>
          <w:b/>
          <w:bCs/>
        </w:rPr>
        <w:t xml:space="preserve"> </w:t>
      </w:r>
      <w:r w:rsidRPr="00D97463">
        <w:rPr>
          <w:b/>
          <w:bCs/>
        </w:rPr>
        <w:t>regarding</w:t>
      </w:r>
      <w:r w:rsidR="00190923" w:rsidRPr="00981405">
        <w:rPr>
          <w:b/>
          <w:bCs/>
        </w:rPr>
        <w:t xml:space="preserve"> </w:t>
      </w:r>
      <w:r w:rsidRPr="00D97463">
        <w:rPr>
          <w:b/>
          <w:bCs/>
        </w:rPr>
        <w:t>the</w:t>
      </w:r>
      <w:r w:rsidR="00190923" w:rsidRPr="00981405">
        <w:rPr>
          <w:b/>
          <w:bCs/>
        </w:rPr>
        <w:t xml:space="preserve"> </w:t>
      </w:r>
      <w:r w:rsidRPr="00D97463">
        <w:rPr>
          <w:b/>
          <w:bCs/>
        </w:rPr>
        <w:t>interpretation</w:t>
      </w:r>
      <w:r w:rsidR="00190923" w:rsidRPr="00981405">
        <w:rPr>
          <w:b/>
          <w:bCs/>
        </w:rPr>
        <w:t xml:space="preserve"> </w:t>
      </w:r>
      <w:r w:rsidRPr="00D97463">
        <w:rPr>
          <w:b/>
          <w:bCs/>
        </w:rPr>
        <w:t>of</w:t>
      </w:r>
      <w:r w:rsidR="00190923" w:rsidRPr="00981405">
        <w:rPr>
          <w:b/>
          <w:bCs/>
        </w:rPr>
        <w:t xml:space="preserve"> </w:t>
      </w:r>
      <w:r w:rsidRPr="00D97463">
        <w:rPr>
          <w:b/>
          <w:bCs/>
        </w:rPr>
        <w:t>a</w:t>
      </w:r>
      <w:r w:rsidR="00190923" w:rsidRPr="00981405">
        <w:rPr>
          <w:b/>
          <w:bCs/>
        </w:rPr>
        <w:t xml:space="preserve"> </w:t>
      </w:r>
      <w:r w:rsidRPr="00D97463">
        <w:rPr>
          <w:b/>
          <w:bCs/>
        </w:rPr>
        <w:t>treaty</w:t>
      </w:r>
    </w:p>
    <w:p w:rsidR="00397032" w:rsidRPr="00981405" w:rsidRDefault="00397032" w:rsidP="00D97463">
      <w:pPr>
        <w:pStyle w:val="SingleTxt"/>
        <w:ind w:left="1742"/>
      </w:pPr>
      <w:r w:rsidRPr="00981405">
        <w:t>1.</w:t>
      </w:r>
      <w:r w:rsidRPr="00981405">
        <w:tab/>
        <w:t>An</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w:t>
      </w:r>
      <w:r w:rsidR="00190923" w:rsidRPr="00981405">
        <w:t xml:space="preserve"> </w:t>
      </w:r>
      <w:r w:rsidRPr="00981405">
        <w:t>and</w:t>
      </w:r>
      <w:r w:rsidR="00190923" w:rsidRPr="00981405">
        <w:t xml:space="preserve"> </w:t>
      </w:r>
      <w:r w:rsidRPr="00981405">
        <w:t>(b),</w:t>
      </w:r>
      <w:r w:rsidR="00190923" w:rsidRPr="00981405">
        <w:t xml:space="preserve"> </w:t>
      </w:r>
      <w:r w:rsidRPr="00981405">
        <w:t>requires</w:t>
      </w:r>
      <w:r w:rsidR="00190923" w:rsidRPr="00981405">
        <w:t xml:space="preserve"> </w:t>
      </w:r>
      <w:r w:rsidRPr="00981405">
        <w:t>a</w:t>
      </w:r>
      <w:r w:rsidR="00190923" w:rsidRPr="00981405">
        <w:t xml:space="preserve"> </w:t>
      </w:r>
      <w:r w:rsidRPr="00981405">
        <w:t>common</w:t>
      </w:r>
      <w:r w:rsidR="00190923" w:rsidRPr="00981405">
        <w:t xml:space="preserve"> </w:t>
      </w:r>
      <w:r w:rsidRPr="00981405">
        <w:t>understanding</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which</w:t>
      </w:r>
      <w:r w:rsidR="00190923" w:rsidRPr="00981405">
        <w:t xml:space="preserve"> </w:t>
      </w:r>
      <w:r w:rsidRPr="00981405">
        <w:t>the</w:t>
      </w:r>
      <w:r w:rsidR="00190923" w:rsidRPr="00981405">
        <w:t xml:space="preserve"> </w:t>
      </w:r>
      <w:r w:rsidRPr="00981405">
        <w:t>parties</w:t>
      </w:r>
      <w:r w:rsidR="00190923" w:rsidRPr="00981405">
        <w:t xml:space="preserve"> </w:t>
      </w:r>
      <w:r w:rsidRPr="00981405">
        <w:t>are</w:t>
      </w:r>
      <w:r w:rsidR="00190923" w:rsidRPr="00981405">
        <w:t xml:space="preserve"> </w:t>
      </w:r>
      <w:r w:rsidRPr="00981405">
        <w:t>aware</w:t>
      </w:r>
      <w:r w:rsidR="00190923" w:rsidRPr="00981405">
        <w:t xml:space="preserve"> </w:t>
      </w:r>
      <w:r w:rsidRPr="00981405">
        <w:t>of</w:t>
      </w:r>
      <w:r w:rsidR="00190923" w:rsidRPr="00981405">
        <w:t xml:space="preserve"> </w:t>
      </w:r>
      <w:r w:rsidRPr="00981405">
        <w:t>and</w:t>
      </w:r>
      <w:r w:rsidR="00190923" w:rsidRPr="00981405">
        <w:t xml:space="preserve"> </w:t>
      </w:r>
      <w:r w:rsidRPr="00981405">
        <w:t>accept.</w:t>
      </w:r>
      <w:r w:rsidR="00190923" w:rsidRPr="00981405">
        <w:t xml:space="preserve"> </w:t>
      </w:r>
      <w:r w:rsidRPr="00981405">
        <w:t>Though</w:t>
      </w:r>
      <w:r w:rsidR="00190923" w:rsidRPr="00981405">
        <w:t xml:space="preserve"> </w:t>
      </w:r>
      <w:r w:rsidRPr="00981405">
        <w:t>it</w:t>
      </w:r>
      <w:r w:rsidR="00190923" w:rsidRPr="00981405">
        <w:t xml:space="preserve"> </w:t>
      </w:r>
      <w:r w:rsidRPr="00981405">
        <w:t>shall</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such</w:t>
      </w:r>
      <w:r w:rsidR="00190923" w:rsidRPr="00981405">
        <w:t xml:space="preserve"> </w:t>
      </w:r>
      <w:r w:rsidRPr="00981405">
        <w:t>an</w:t>
      </w:r>
      <w:r w:rsidR="00190923" w:rsidRPr="00981405">
        <w:t xml:space="preserve"> </w:t>
      </w:r>
      <w:r w:rsidRPr="00981405">
        <w:t>agreement</w:t>
      </w:r>
      <w:r w:rsidR="00190923" w:rsidRPr="00981405">
        <w:t xml:space="preserve"> </w:t>
      </w:r>
      <w:r w:rsidRPr="00981405">
        <w:t>need</w:t>
      </w:r>
      <w:r w:rsidR="00190923" w:rsidRPr="00981405">
        <w:t xml:space="preserve"> </w:t>
      </w:r>
      <w:r w:rsidRPr="00981405">
        <w:t>not</w:t>
      </w:r>
      <w:r w:rsidR="00190923" w:rsidRPr="00981405">
        <w:t xml:space="preserve"> </w:t>
      </w:r>
      <w:r w:rsidRPr="00981405">
        <w:t>be</w:t>
      </w:r>
      <w:r w:rsidR="00190923" w:rsidRPr="00981405">
        <w:t xml:space="preserve"> </w:t>
      </w:r>
      <w:r w:rsidRPr="00981405">
        <w:t>legally</w:t>
      </w:r>
      <w:r w:rsidR="00190923" w:rsidRPr="00981405">
        <w:t xml:space="preserve"> </w:t>
      </w:r>
      <w:r w:rsidRPr="00981405">
        <w:t>binding.</w:t>
      </w:r>
    </w:p>
    <w:p w:rsidR="00397032" w:rsidRPr="00981405" w:rsidRDefault="00397032" w:rsidP="00D97463">
      <w:pPr>
        <w:pStyle w:val="SingleTxt"/>
        <w:ind w:left="1742"/>
      </w:pPr>
      <w:r w:rsidRPr="00981405">
        <w:t>2.</w:t>
      </w:r>
      <w:r w:rsidRPr="00981405">
        <w:tab/>
        <w:t>The</w:t>
      </w:r>
      <w:r w:rsidR="00190923" w:rsidRPr="00981405">
        <w:t xml:space="preserve"> </w:t>
      </w:r>
      <w:r w:rsidRPr="00981405">
        <w:t>number</w:t>
      </w:r>
      <w:r w:rsidR="00190923" w:rsidRPr="00981405">
        <w:t xml:space="preserve"> </w:t>
      </w:r>
      <w:r w:rsidRPr="00981405">
        <w:t>of</w:t>
      </w:r>
      <w:r w:rsidR="00190923" w:rsidRPr="00981405">
        <w:t xml:space="preserve"> </w:t>
      </w:r>
      <w:r w:rsidRPr="00981405">
        <w:t>parties</w:t>
      </w:r>
      <w:r w:rsidR="00190923" w:rsidRPr="00981405">
        <w:t xml:space="preserve"> </w:t>
      </w:r>
      <w:r w:rsidRPr="00981405">
        <w:t>that</w:t>
      </w:r>
      <w:r w:rsidR="00190923" w:rsidRPr="00981405">
        <w:t xml:space="preserve"> </w:t>
      </w:r>
      <w:r w:rsidRPr="00981405">
        <w:t>must</w:t>
      </w:r>
      <w:r w:rsidR="00190923" w:rsidRPr="00981405">
        <w:t xml:space="preserve"> </w:t>
      </w:r>
      <w:r w:rsidRPr="00981405">
        <w:t>actively</w:t>
      </w:r>
      <w:r w:rsidR="00190923" w:rsidRPr="00981405">
        <w:t xml:space="preserve"> </w:t>
      </w:r>
      <w:r w:rsidRPr="00981405">
        <w:t>engage</w:t>
      </w:r>
      <w:r w:rsidR="00190923" w:rsidRPr="00981405">
        <w:t xml:space="preserve"> </w:t>
      </w:r>
      <w:r w:rsidRPr="00981405">
        <w:t>in</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establish</w:t>
      </w:r>
      <w:r w:rsidR="00190923" w:rsidRPr="00981405">
        <w:t xml:space="preserve"> </w:t>
      </w:r>
      <w:r w:rsidRPr="00981405">
        <w:t>an</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(b),</w:t>
      </w:r>
      <w:r w:rsidR="00190923" w:rsidRPr="00981405">
        <w:t xml:space="preserve"> </w:t>
      </w:r>
      <w:r w:rsidRPr="00981405">
        <w:t>may</w:t>
      </w:r>
      <w:r w:rsidR="00190923" w:rsidRPr="00981405">
        <w:t xml:space="preserve"> </w:t>
      </w:r>
      <w:r w:rsidRPr="00981405">
        <w:t>vary.</w:t>
      </w:r>
      <w:r w:rsidR="00190923" w:rsidRPr="00981405">
        <w:t xml:space="preserve"> </w:t>
      </w:r>
      <w:r w:rsidRPr="00981405">
        <w:t>Silence</w:t>
      </w:r>
      <w:r w:rsidR="00190923" w:rsidRPr="00981405">
        <w:t xml:space="preserve"> </w:t>
      </w:r>
      <w:r w:rsidRPr="00981405">
        <w:t>on</w:t>
      </w:r>
      <w:r w:rsidR="00190923" w:rsidRPr="00981405">
        <w:t xml:space="preserve"> </w:t>
      </w:r>
      <w:r w:rsidRPr="00981405">
        <w:t>the</w:t>
      </w:r>
      <w:r w:rsidR="00190923" w:rsidRPr="00981405">
        <w:t xml:space="preserve"> </w:t>
      </w:r>
      <w:r w:rsidRPr="00981405">
        <w:t>part</w:t>
      </w:r>
      <w:r w:rsidR="00190923" w:rsidRPr="00981405">
        <w:t xml:space="preserve"> </w:t>
      </w:r>
      <w:r w:rsidRPr="00981405">
        <w:t>of</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parties</w:t>
      </w:r>
      <w:r w:rsidR="00190923" w:rsidRPr="00981405">
        <w:t xml:space="preserve"> </w:t>
      </w:r>
      <w:r w:rsidRPr="00981405">
        <w:t>can</w:t>
      </w:r>
      <w:r w:rsidR="00190923" w:rsidRPr="00981405">
        <w:t xml:space="preserve"> </w:t>
      </w:r>
      <w:r w:rsidRPr="00981405">
        <w:t>constitute</w:t>
      </w:r>
      <w:r w:rsidR="00190923" w:rsidRPr="00981405">
        <w:t xml:space="preserve"> </w:t>
      </w:r>
      <w:r w:rsidRPr="00981405">
        <w:t>acceptance</w:t>
      </w:r>
      <w:r w:rsidR="00190923" w:rsidRPr="00981405">
        <w:t xml:space="preserve"> </w:t>
      </w:r>
      <w:r w:rsidRPr="00981405">
        <w:t>of</w:t>
      </w:r>
      <w:r w:rsidR="00190923" w:rsidRPr="00981405">
        <w:t xml:space="preserve"> </w:t>
      </w:r>
      <w:r w:rsidRPr="00981405">
        <w:t>the</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when</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call</w:t>
      </w:r>
      <w:r w:rsidR="00190923" w:rsidRPr="00981405">
        <w:t xml:space="preserve"> </w:t>
      </w:r>
      <w:r w:rsidRPr="00981405">
        <w:t>for</w:t>
      </w:r>
      <w:r w:rsidR="00190923" w:rsidRPr="00981405">
        <w:t xml:space="preserve"> </w:t>
      </w:r>
      <w:r w:rsidRPr="00981405">
        <w:t>some</w:t>
      </w:r>
      <w:r w:rsidR="00190923" w:rsidRPr="00981405">
        <w:t xml:space="preserve"> </w:t>
      </w:r>
      <w:r w:rsidRPr="00981405">
        <w:t>reaction.</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10</w:t>
      </w:r>
      <w:r w:rsidRPr="00D97463">
        <w:rPr>
          <w:b/>
          <w:bCs/>
        </w:rPr>
        <w:br/>
        <w:t>Decisions</w:t>
      </w:r>
      <w:r w:rsidR="00190923" w:rsidRPr="00981405">
        <w:rPr>
          <w:b/>
          <w:bCs/>
        </w:rPr>
        <w:t xml:space="preserve"> </w:t>
      </w:r>
      <w:r w:rsidRPr="00D97463">
        <w:rPr>
          <w:b/>
          <w:bCs/>
        </w:rPr>
        <w:t>adopted</w:t>
      </w:r>
      <w:r w:rsidR="00190923" w:rsidRPr="00981405">
        <w:rPr>
          <w:b/>
          <w:bCs/>
        </w:rPr>
        <w:t xml:space="preserve"> </w:t>
      </w:r>
      <w:r w:rsidRPr="00D97463">
        <w:rPr>
          <w:b/>
          <w:bCs/>
        </w:rPr>
        <w:t>within</w:t>
      </w:r>
      <w:r w:rsidR="00190923" w:rsidRPr="00981405">
        <w:rPr>
          <w:b/>
          <w:bCs/>
        </w:rPr>
        <w:t xml:space="preserve"> </w:t>
      </w:r>
      <w:r w:rsidRPr="00D97463">
        <w:rPr>
          <w:b/>
          <w:bCs/>
        </w:rPr>
        <w:t>the</w:t>
      </w:r>
      <w:r w:rsidR="00190923" w:rsidRPr="00981405">
        <w:rPr>
          <w:b/>
          <w:bCs/>
        </w:rPr>
        <w:t xml:space="preserve"> </w:t>
      </w:r>
      <w:r w:rsidRPr="00D97463">
        <w:rPr>
          <w:b/>
          <w:bCs/>
        </w:rPr>
        <w:t>framework</w:t>
      </w:r>
      <w:r w:rsidR="00190923" w:rsidRPr="00981405">
        <w:rPr>
          <w:b/>
          <w:bCs/>
        </w:rPr>
        <w:t xml:space="preserve"> </w:t>
      </w:r>
      <w:r w:rsidRPr="00D97463">
        <w:rPr>
          <w:b/>
          <w:bCs/>
        </w:rPr>
        <w:t>of</w:t>
      </w:r>
      <w:r w:rsidR="00190923" w:rsidRPr="00981405">
        <w:rPr>
          <w:b/>
          <w:bCs/>
        </w:rPr>
        <w:t xml:space="preserve"> </w:t>
      </w:r>
      <w:r w:rsidRPr="00D97463">
        <w:rPr>
          <w:b/>
          <w:bCs/>
        </w:rPr>
        <w:t>a</w:t>
      </w:r>
      <w:r w:rsidR="00190923" w:rsidRPr="00981405">
        <w:rPr>
          <w:b/>
          <w:bCs/>
        </w:rPr>
        <w:t xml:space="preserve"> </w:t>
      </w:r>
      <w:r w:rsidRPr="00D97463">
        <w:rPr>
          <w:b/>
          <w:bCs/>
        </w:rPr>
        <w:t>Conference</w:t>
      </w:r>
      <w:r w:rsidR="00190923" w:rsidRPr="00981405">
        <w:rPr>
          <w:b/>
          <w:bCs/>
        </w:rPr>
        <w:t xml:space="preserve"> </w:t>
      </w:r>
      <w:r w:rsidRPr="00D97463">
        <w:rPr>
          <w:b/>
          <w:bCs/>
        </w:rPr>
        <w:t>of</w:t>
      </w:r>
      <w:r w:rsidR="00190923" w:rsidRPr="00981405">
        <w:rPr>
          <w:b/>
          <w:bCs/>
        </w:rPr>
        <w:t xml:space="preserve"> </w:t>
      </w:r>
      <w:r w:rsidRPr="00D97463">
        <w:rPr>
          <w:b/>
          <w:bCs/>
        </w:rPr>
        <w:t>States</w:t>
      </w:r>
      <w:r w:rsidR="00190923" w:rsidRPr="00981405">
        <w:rPr>
          <w:b/>
          <w:bCs/>
        </w:rPr>
        <w:t xml:space="preserve"> </w:t>
      </w:r>
      <w:r w:rsidRPr="00D97463">
        <w:rPr>
          <w:b/>
          <w:bCs/>
        </w:rPr>
        <w:t>Parties</w:t>
      </w:r>
    </w:p>
    <w:p w:rsidR="00397032" w:rsidRPr="00981405" w:rsidRDefault="00397032" w:rsidP="00D97463">
      <w:pPr>
        <w:pStyle w:val="SingleTxt"/>
        <w:ind w:left="1742"/>
      </w:pPr>
      <w:r w:rsidRPr="00981405">
        <w:t>1.</w:t>
      </w:r>
      <w:r w:rsidRPr="00981405">
        <w:tab/>
        <w:t>A</w:t>
      </w:r>
      <w:r w:rsidR="00190923" w:rsidRPr="00981405">
        <w:t xml:space="preserve"> </w:t>
      </w:r>
      <w:r w:rsidRPr="00981405">
        <w:t>Conference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under</w:t>
      </w:r>
      <w:r w:rsidR="00190923" w:rsidRPr="00981405">
        <w:t xml:space="preserve"> </w:t>
      </w:r>
      <w:r w:rsidRPr="00981405">
        <w:t>these</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is</w:t>
      </w:r>
      <w:r w:rsidR="00190923" w:rsidRPr="00981405">
        <w:t xml:space="preserve"> </w:t>
      </w:r>
      <w:r w:rsidRPr="00981405">
        <w:t>a</w:t>
      </w:r>
      <w:r w:rsidR="00190923" w:rsidRPr="00981405">
        <w:t xml:space="preserve"> </w:t>
      </w:r>
      <w:r w:rsidRPr="00981405">
        <w:t>meeting</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pursuant</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reviewing</w:t>
      </w:r>
      <w:r w:rsidR="00190923" w:rsidRPr="00981405">
        <w:t xml:space="preserve"> </w:t>
      </w:r>
      <w:r w:rsidRPr="00981405">
        <w:t>or</w:t>
      </w:r>
      <w:r w:rsidR="00190923" w:rsidRPr="00981405">
        <w:t xml:space="preserve"> </w:t>
      </w:r>
      <w:r w:rsidRPr="00981405">
        <w:t>implementing</w:t>
      </w:r>
      <w:r w:rsidR="00190923" w:rsidRPr="00981405">
        <w:t xml:space="preserve"> </w:t>
      </w:r>
      <w:r w:rsidRPr="00981405">
        <w:t>the</w:t>
      </w:r>
      <w:r w:rsidR="00190923" w:rsidRPr="00981405">
        <w:t xml:space="preserve"> </w:t>
      </w:r>
      <w:r w:rsidRPr="00981405">
        <w:t>treaty,</w:t>
      </w:r>
      <w:r w:rsidR="00190923" w:rsidRPr="00981405">
        <w:t xml:space="preserve"> </w:t>
      </w:r>
      <w:r w:rsidRPr="00981405">
        <w:t>except</w:t>
      </w:r>
      <w:r w:rsidR="00190923" w:rsidRPr="00981405">
        <w:t xml:space="preserve"> </w:t>
      </w:r>
      <w:r w:rsidRPr="00981405">
        <w:t>if</w:t>
      </w:r>
      <w:r w:rsidR="00190923" w:rsidRPr="00981405">
        <w:t xml:space="preserve"> </w:t>
      </w:r>
      <w:r w:rsidRPr="00981405">
        <w:t>they</w:t>
      </w:r>
      <w:r w:rsidR="00190923" w:rsidRPr="00981405">
        <w:t xml:space="preserve"> </w:t>
      </w:r>
      <w:r w:rsidRPr="00981405">
        <w:t>act</w:t>
      </w:r>
      <w:r w:rsidR="00190923" w:rsidRPr="00981405">
        <w:t xml:space="preserve"> </w:t>
      </w:r>
      <w:r w:rsidRPr="00981405">
        <w:t>as</w:t>
      </w:r>
      <w:r w:rsidR="00190923" w:rsidRPr="00981405">
        <w:t xml:space="preserve"> </w:t>
      </w:r>
      <w:r w:rsidRPr="00981405">
        <w:t>members</w:t>
      </w:r>
      <w:r w:rsidR="00190923" w:rsidRPr="00981405">
        <w:t xml:space="preserve"> </w:t>
      </w:r>
      <w:r w:rsidRPr="00981405">
        <w:t>of</w:t>
      </w:r>
      <w:r w:rsidR="00190923" w:rsidRPr="00981405">
        <w:t xml:space="preserve"> </w:t>
      </w:r>
      <w:r w:rsidRPr="00981405">
        <w:t>an</w:t>
      </w:r>
      <w:r w:rsidR="00190923" w:rsidRPr="00981405">
        <w:t xml:space="preserve"> </w:t>
      </w:r>
      <w:r w:rsidRPr="00981405">
        <w:t>organ</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p>
    <w:p w:rsidR="00397032" w:rsidRPr="00981405" w:rsidRDefault="00397032" w:rsidP="00D97463">
      <w:pPr>
        <w:pStyle w:val="SingleTxt"/>
        <w:ind w:left="1742"/>
      </w:pPr>
      <w:r w:rsidRPr="00981405">
        <w:t>2.</w:t>
      </w:r>
      <w:r w:rsidRPr="00981405">
        <w:tab/>
        <w:t>The</w:t>
      </w:r>
      <w:r w:rsidR="00190923" w:rsidRPr="00981405">
        <w:t xml:space="preserve"> </w:t>
      </w:r>
      <w:r w:rsidRPr="00981405">
        <w:t>legal</w:t>
      </w:r>
      <w:r w:rsidR="00190923" w:rsidRPr="00981405">
        <w:t xml:space="preserve"> </w:t>
      </w:r>
      <w:r w:rsidRPr="00981405">
        <w:t>effect</w:t>
      </w:r>
      <w:r w:rsidR="00190923" w:rsidRPr="00981405">
        <w:t xml:space="preserve"> </w:t>
      </w:r>
      <w:r w:rsidRPr="00981405">
        <w:t>of</w:t>
      </w:r>
      <w:r w:rsidR="00190923" w:rsidRPr="00981405">
        <w:t xml:space="preserve"> </w:t>
      </w:r>
      <w:r w:rsidRPr="00981405">
        <w:t>a</w:t>
      </w:r>
      <w:r w:rsidR="00190923" w:rsidRPr="00981405">
        <w:t xml:space="preserve"> </w:t>
      </w:r>
      <w:r w:rsidRPr="00981405">
        <w:t>decision</w:t>
      </w:r>
      <w:r w:rsidR="00190923" w:rsidRPr="00981405">
        <w:t xml:space="preserve"> </w:t>
      </w:r>
      <w:r w:rsidRPr="00981405">
        <w:t>adopted</w:t>
      </w:r>
      <w:r w:rsidR="00190923" w:rsidRPr="00981405">
        <w:t xml:space="preserve"> </w:t>
      </w:r>
      <w:r w:rsidRPr="00981405">
        <w:t>within</w:t>
      </w:r>
      <w:r w:rsidR="00190923" w:rsidRPr="00981405">
        <w:t xml:space="preserve"> </w:t>
      </w:r>
      <w:r w:rsidRPr="00981405">
        <w:t>the</w:t>
      </w:r>
      <w:r w:rsidR="00190923" w:rsidRPr="00981405">
        <w:t xml:space="preserve"> </w:t>
      </w:r>
      <w:r w:rsidRPr="00981405">
        <w:t>framework</w:t>
      </w:r>
      <w:r w:rsidR="00190923" w:rsidRPr="00981405">
        <w:t xml:space="preserve"> </w:t>
      </w:r>
      <w:r w:rsidRPr="00981405">
        <w:t>of</w:t>
      </w:r>
      <w:r w:rsidR="00190923" w:rsidRPr="00981405">
        <w:t xml:space="preserve"> </w:t>
      </w:r>
      <w:r w:rsidRPr="00981405">
        <w:t>a</w:t>
      </w:r>
      <w:r w:rsidR="00190923" w:rsidRPr="00981405">
        <w:t xml:space="preserve"> </w:t>
      </w:r>
      <w:r w:rsidRPr="00981405">
        <w:t>Conference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depends</w:t>
      </w:r>
      <w:r w:rsidR="00190923" w:rsidRPr="00981405">
        <w:t xml:space="preserve"> </w:t>
      </w:r>
      <w:r w:rsidRPr="00981405">
        <w:t>primarily</w:t>
      </w:r>
      <w:r w:rsidR="00190923" w:rsidRPr="00981405">
        <w:t xml:space="preserve"> </w:t>
      </w:r>
      <w:r w:rsidRPr="00981405">
        <w:t>on</w:t>
      </w:r>
      <w:r w:rsidR="00190923" w:rsidRPr="00981405">
        <w:t xml:space="preserve"> </w:t>
      </w:r>
      <w:r w:rsidRPr="00981405">
        <w:t>the</w:t>
      </w:r>
      <w:r w:rsidR="00190923" w:rsidRPr="00981405">
        <w:t xml:space="preserve"> </w:t>
      </w:r>
      <w:r w:rsidRPr="00981405">
        <w:t>treaty</w:t>
      </w:r>
      <w:r w:rsidR="00190923" w:rsidRPr="00981405">
        <w:t xml:space="preserve"> </w:t>
      </w:r>
      <w:r w:rsidRPr="00981405">
        <w:t>and</w:t>
      </w:r>
      <w:r w:rsidR="00190923" w:rsidRPr="00981405">
        <w:t xml:space="preserve"> </w:t>
      </w:r>
      <w:r w:rsidRPr="00981405">
        <w:t>any</w:t>
      </w:r>
      <w:r w:rsidR="00190923" w:rsidRPr="00981405">
        <w:t xml:space="preserve"> </w:t>
      </w:r>
      <w:r w:rsidRPr="00981405">
        <w:t>applicable</w:t>
      </w:r>
      <w:r w:rsidR="00190923" w:rsidRPr="00981405">
        <w:t xml:space="preserve"> </w:t>
      </w:r>
      <w:r w:rsidRPr="00981405">
        <w:t>rules</w:t>
      </w:r>
      <w:r w:rsidR="00190923" w:rsidRPr="00981405">
        <w:t xml:space="preserve"> </w:t>
      </w:r>
      <w:r w:rsidRPr="00981405">
        <w:t>of</w:t>
      </w:r>
      <w:r w:rsidR="00190923" w:rsidRPr="00981405">
        <w:t xml:space="preserve"> </w:t>
      </w:r>
      <w:r w:rsidRPr="00981405">
        <w:t>procedure.</w:t>
      </w:r>
      <w:r w:rsidR="00190923" w:rsidRPr="00981405">
        <w:t xml:space="preserve"> </w:t>
      </w:r>
      <w:r w:rsidRPr="00981405">
        <w:t>Depending</w:t>
      </w:r>
      <w:r w:rsidR="00190923" w:rsidRPr="00981405">
        <w:t xml:space="preserve"> </w:t>
      </w:r>
      <w:r w:rsidRPr="00981405">
        <w:t>on</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such</w:t>
      </w:r>
      <w:r w:rsidR="00190923" w:rsidRPr="00981405">
        <w:t xml:space="preserve"> </w:t>
      </w:r>
      <w:r w:rsidRPr="00981405">
        <w:t>a</w:t>
      </w:r>
      <w:r w:rsidR="00190923" w:rsidRPr="00981405">
        <w:t xml:space="preserve"> </w:t>
      </w:r>
      <w:r w:rsidRPr="00981405">
        <w:t>decision</w:t>
      </w:r>
      <w:r w:rsidR="00190923" w:rsidRPr="00981405">
        <w:t xml:space="preserve"> </w:t>
      </w:r>
      <w:r w:rsidRPr="00981405">
        <w:t>may</w:t>
      </w:r>
      <w:r w:rsidR="00190923" w:rsidRPr="00981405">
        <w:t xml:space="preserve"> </w:t>
      </w:r>
      <w:r w:rsidRPr="00981405">
        <w:t>embody,</w:t>
      </w:r>
      <w:r w:rsidR="00190923" w:rsidRPr="00981405">
        <w:t xml:space="preserve"> </w:t>
      </w:r>
      <w:r w:rsidRPr="00981405">
        <w:t>explicitly</w:t>
      </w:r>
      <w:r w:rsidR="00190923" w:rsidRPr="00981405">
        <w:t xml:space="preserve"> </w:t>
      </w:r>
      <w:r w:rsidRPr="00981405">
        <w:t>or</w:t>
      </w:r>
      <w:r w:rsidR="00190923" w:rsidRPr="00981405">
        <w:t xml:space="preserve"> </w:t>
      </w:r>
      <w:r w:rsidRPr="00981405">
        <w:t>implicitly,</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w:t>
      </w:r>
      <w:r w:rsidR="00190923" w:rsidRPr="00981405">
        <w:t xml:space="preserve"> </w:t>
      </w:r>
      <w:r w:rsidRPr="00981405">
        <w:t>or</w:t>
      </w:r>
      <w:r w:rsidR="00190923" w:rsidRPr="00981405">
        <w:t xml:space="preserve"> </w:t>
      </w:r>
      <w:r w:rsidRPr="00981405">
        <w:t>give</w:t>
      </w:r>
      <w:r w:rsidR="00190923" w:rsidRPr="00981405">
        <w:t xml:space="preserve"> </w:t>
      </w:r>
      <w:r w:rsidRPr="00981405">
        <w:t>rise</w:t>
      </w:r>
      <w:r w:rsidR="00190923" w:rsidRPr="00981405">
        <w:t xml:space="preserve"> </w:t>
      </w:r>
      <w:r w:rsidRPr="00981405">
        <w:t>to</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(b),</w:t>
      </w:r>
      <w:r w:rsidR="00190923" w:rsidRPr="00981405">
        <w:t xml:space="preserve"> </w:t>
      </w:r>
      <w:r w:rsidRPr="00981405">
        <w:t>or</w:t>
      </w:r>
      <w:r w:rsidR="00190923" w:rsidRPr="00981405">
        <w:t xml:space="preserve"> </w:t>
      </w:r>
      <w:r w:rsidRPr="00981405">
        <w:t>to</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Decisions</w:t>
      </w:r>
      <w:r w:rsidR="00190923" w:rsidRPr="00981405">
        <w:t xml:space="preserve"> </w:t>
      </w:r>
      <w:r w:rsidRPr="00981405">
        <w:t>adopted</w:t>
      </w:r>
      <w:r w:rsidR="00190923" w:rsidRPr="00981405">
        <w:t xml:space="preserve"> </w:t>
      </w:r>
      <w:r w:rsidRPr="00981405">
        <w:t>within</w:t>
      </w:r>
      <w:r w:rsidR="00190923" w:rsidRPr="00981405">
        <w:t xml:space="preserve"> </w:t>
      </w:r>
      <w:r w:rsidRPr="00981405">
        <w:t>the</w:t>
      </w:r>
      <w:r w:rsidR="00190923" w:rsidRPr="00981405">
        <w:t xml:space="preserve"> </w:t>
      </w:r>
      <w:r w:rsidRPr="00981405">
        <w:t>framework</w:t>
      </w:r>
      <w:r w:rsidR="00190923" w:rsidRPr="00981405">
        <w:t xml:space="preserve"> </w:t>
      </w:r>
      <w:r w:rsidRPr="00981405">
        <w:t>of</w:t>
      </w:r>
      <w:r w:rsidR="00190923" w:rsidRPr="00981405">
        <w:t xml:space="preserve"> </w:t>
      </w:r>
      <w:r w:rsidRPr="00981405">
        <w:t>a</w:t>
      </w:r>
      <w:r w:rsidR="00190923" w:rsidRPr="00981405">
        <w:t xml:space="preserve"> </w:t>
      </w:r>
      <w:r w:rsidRPr="00981405">
        <w:t>Conference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often</w:t>
      </w:r>
      <w:r w:rsidR="00190923" w:rsidRPr="00981405">
        <w:t xml:space="preserve"> </w:t>
      </w:r>
      <w:r w:rsidRPr="00981405">
        <w:t>provide</w:t>
      </w:r>
      <w:r w:rsidR="00190923" w:rsidRPr="00981405">
        <w:t xml:space="preserve"> </w:t>
      </w:r>
      <w:r w:rsidRPr="00981405">
        <w:t>a</w:t>
      </w:r>
      <w:r w:rsidR="00190923" w:rsidRPr="00981405">
        <w:t xml:space="preserve"> </w:t>
      </w:r>
      <w:r w:rsidRPr="00981405">
        <w:t>non-exclusive</w:t>
      </w:r>
      <w:r w:rsidR="00190923" w:rsidRPr="00981405">
        <w:t xml:space="preserve"> </w:t>
      </w:r>
      <w:r w:rsidRPr="00981405">
        <w:t>range</w:t>
      </w:r>
      <w:r w:rsidR="00190923" w:rsidRPr="00981405">
        <w:t xml:space="preserve"> </w:t>
      </w:r>
      <w:r w:rsidRPr="00981405">
        <w:t>of</w:t>
      </w:r>
      <w:r w:rsidR="00190923" w:rsidRPr="00981405">
        <w:t xml:space="preserve"> </w:t>
      </w:r>
      <w:r w:rsidRPr="00981405">
        <w:t>practical</w:t>
      </w:r>
      <w:r w:rsidR="00190923" w:rsidRPr="00981405">
        <w:t xml:space="preserve"> </w:t>
      </w:r>
      <w:r w:rsidRPr="00981405">
        <w:t>options</w:t>
      </w:r>
      <w:r w:rsidR="00190923" w:rsidRPr="00981405">
        <w:t xml:space="preserve"> </w:t>
      </w:r>
      <w:r w:rsidRPr="00981405">
        <w:t>for</w:t>
      </w:r>
      <w:r w:rsidR="00190923" w:rsidRPr="00981405">
        <w:t xml:space="preserve"> </w:t>
      </w:r>
      <w:r w:rsidRPr="00981405">
        <w:t>implementing</w:t>
      </w:r>
      <w:r w:rsidR="00190923" w:rsidRPr="00981405">
        <w:t xml:space="preserve"> </w:t>
      </w:r>
      <w:r w:rsidRPr="00981405">
        <w:t>the</w:t>
      </w:r>
      <w:r w:rsidR="00190923" w:rsidRPr="00981405">
        <w:t xml:space="preserve"> </w:t>
      </w:r>
      <w:r w:rsidRPr="00981405">
        <w:t>treaty.</w:t>
      </w:r>
    </w:p>
    <w:p w:rsidR="00397032" w:rsidRPr="00981405" w:rsidRDefault="00397032" w:rsidP="00D97463">
      <w:pPr>
        <w:pStyle w:val="SingleTxt"/>
        <w:ind w:left="1742"/>
      </w:pPr>
      <w:r w:rsidRPr="00981405">
        <w:t>3.</w:t>
      </w:r>
      <w:r w:rsidRPr="00981405">
        <w:tab/>
        <w:t>A</w:t>
      </w:r>
      <w:r w:rsidR="00190923" w:rsidRPr="00981405">
        <w:t xml:space="preserve"> </w:t>
      </w:r>
      <w:r w:rsidRPr="00981405">
        <w:t>decision</w:t>
      </w:r>
      <w:r w:rsidR="00190923" w:rsidRPr="00981405">
        <w:t xml:space="preserve"> </w:t>
      </w:r>
      <w:r w:rsidRPr="00981405">
        <w:t>adopted</w:t>
      </w:r>
      <w:r w:rsidR="00190923" w:rsidRPr="00981405">
        <w:t xml:space="preserve"> </w:t>
      </w:r>
      <w:r w:rsidRPr="00981405">
        <w:t>within</w:t>
      </w:r>
      <w:r w:rsidR="00190923" w:rsidRPr="00981405">
        <w:t xml:space="preserve"> </w:t>
      </w:r>
      <w:r w:rsidRPr="00981405">
        <w:t>the</w:t>
      </w:r>
      <w:r w:rsidR="00190923" w:rsidRPr="00981405">
        <w:t xml:space="preserve"> </w:t>
      </w:r>
      <w:r w:rsidRPr="00981405">
        <w:t>framework</w:t>
      </w:r>
      <w:r w:rsidR="00190923" w:rsidRPr="00981405">
        <w:t xml:space="preserve"> </w:t>
      </w:r>
      <w:r w:rsidRPr="00981405">
        <w:t>of</w:t>
      </w:r>
      <w:r w:rsidR="00190923" w:rsidRPr="00981405">
        <w:t xml:space="preserve"> </w:t>
      </w:r>
      <w:r w:rsidRPr="00981405">
        <w:t>a</w:t>
      </w:r>
      <w:r w:rsidR="00190923" w:rsidRPr="00981405">
        <w:t xml:space="preserve"> </w:t>
      </w:r>
      <w:r w:rsidRPr="00981405">
        <w:t>Conference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embodies</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in</w:t>
      </w:r>
      <w:r w:rsidR="00190923" w:rsidRPr="00981405">
        <w:t xml:space="preserve"> </w:t>
      </w:r>
      <w:r w:rsidRPr="00981405">
        <w:t>so</w:t>
      </w:r>
      <w:r w:rsidR="00190923" w:rsidRPr="00981405">
        <w:t xml:space="preserve"> </w:t>
      </w:r>
      <w:r w:rsidRPr="00981405">
        <w:t>far</w:t>
      </w:r>
      <w:r w:rsidR="00190923" w:rsidRPr="00981405">
        <w:t xml:space="preserve"> </w:t>
      </w:r>
      <w:r w:rsidRPr="00981405">
        <w:t>as</w:t>
      </w:r>
      <w:r w:rsidR="00190923" w:rsidRPr="00981405">
        <w:t xml:space="preserve"> </w:t>
      </w:r>
      <w:r w:rsidRPr="00981405">
        <w:t>it</w:t>
      </w:r>
      <w:r w:rsidR="00190923" w:rsidRPr="00981405">
        <w:t xml:space="preserve"> </w:t>
      </w:r>
      <w:r w:rsidRPr="00981405">
        <w:t>expresses</w:t>
      </w:r>
      <w:r w:rsidR="00190923" w:rsidRPr="00981405">
        <w:t xml:space="preserve"> </w:t>
      </w:r>
      <w:r w:rsidRPr="00981405">
        <w:t>agreement</w:t>
      </w:r>
      <w:r w:rsidR="00190923" w:rsidRPr="00981405">
        <w:t xml:space="preserve"> </w:t>
      </w:r>
      <w:r w:rsidRPr="00981405">
        <w:t>in</w:t>
      </w:r>
      <w:r w:rsidR="00190923" w:rsidRPr="00981405">
        <w:t xml:space="preserve"> </w:t>
      </w:r>
      <w:r w:rsidRPr="00981405">
        <w:t>substance</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regardless</w:t>
      </w:r>
      <w:r w:rsidR="00190923" w:rsidRPr="00981405">
        <w:t xml:space="preserve"> </w:t>
      </w:r>
      <w:r w:rsidRPr="00981405">
        <w:t>of</w:t>
      </w:r>
      <w:r w:rsidR="00190923" w:rsidRPr="00981405">
        <w:t xml:space="preserve"> </w:t>
      </w:r>
      <w:r w:rsidRPr="00981405">
        <w:t>the</w:t>
      </w:r>
      <w:r w:rsidR="00190923" w:rsidRPr="00981405">
        <w:t xml:space="preserve"> </w:t>
      </w:r>
      <w:r w:rsidRPr="00981405">
        <w:t>form</w:t>
      </w:r>
      <w:r w:rsidR="00190923" w:rsidRPr="00981405">
        <w:t xml:space="preserve"> </w:t>
      </w:r>
      <w:r w:rsidRPr="00981405">
        <w:t>and</w:t>
      </w:r>
      <w:r w:rsidR="00190923" w:rsidRPr="00981405">
        <w:t xml:space="preserve"> </w:t>
      </w:r>
      <w:r w:rsidRPr="00981405">
        <w:t>the</w:t>
      </w:r>
      <w:r w:rsidR="00190923" w:rsidRPr="00981405">
        <w:t xml:space="preserve"> </w:t>
      </w:r>
      <w:r w:rsidRPr="00981405">
        <w:t>procedure</w:t>
      </w:r>
      <w:r w:rsidR="00190923" w:rsidRPr="00981405">
        <w:t xml:space="preserve"> </w:t>
      </w:r>
      <w:r w:rsidRPr="00981405">
        <w:t>by</w:t>
      </w:r>
      <w:r w:rsidR="00190923" w:rsidRPr="00981405">
        <w:t xml:space="preserve"> </w:t>
      </w:r>
      <w:r w:rsidRPr="00981405">
        <w:t>which</w:t>
      </w:r>
      <w:r w:rsidR="00190923" w:rsidRPr="00981405">
        <w:t xml:space="preserve"> </w:t>
      </w:r>
      <w:r w:rsidRPr="00981405">
        <w:t>the</w:t>
      </w:r>
      <w:r w:rsidR="00190923" w:rsidRPr="00981405">
        <w:t xml:space="preserve"> </w:t>
      </w:r>
      <w:r w:rsidRPr="00981405">
        <w:t>decision</w:t>
      </w:r>
      <w:r w:rsidR="00190923" w:rsidRPr="00981405">
        <w:t xml:space="preserve"> </w:t>
      </w:r>
      <w:r w:rsidRPr="00981405">
        <w:t>was</w:t>
      </w:r>
      <w:r w:rsidR="00190923" w:rsidRPr="00981405">
        <w:t xml:space="preserve"> </w:t>
      </w:r>
      <w:r w:rsidRPr="00981405">
        <w:t>adopted,</w:t>
      </w:r>
      <w:r w:rsidR="00190923" w:rsidRPr="00981405">
        <w:t xml:space="preserve"> </w:t>
      </w:r>
      <w:r w:rsidRPr="00981405">
        <w:t>including</w:t>
      </w:r>
      <w:r w:rsidR="00190923" w:rsidRPr="00981405">
        <w:t xml:space="preserve"> </w:t>
      </w:r>
      <w:r w:rsidRPr="00981405">
        <w:t>by</w:t>
      </w:r>
      <w:r w:rsidR="00190923" w:rsidRPr="00981405">
        <w:t xml:space="preserve"> </w:t>
      </w:r>
      <w:r w:rsidRPr="00981405">
        <w:t>consensus.</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11</w:t>
      </w:r>
      <w:r w:rsidRPr="00D97463">
        <w:rPr>
          <w:b/>
          <w:bCs/>
        </w:rPr>
        <w:br/>
        <w:t>Constituent</w:t>
      </w:r>
      <w:r w:rsidR="00190923" w:rsidRPr="00981405">
        <w:rPr>
          <w:b/>
          <w:bCs/>
        </w:rPr>
        <w:t xml:space="preserve"> </w:t>
      </w:r>
      <w:r w:rsidRPr="00D97463">
        <w:rPr>
          <w:b/>
          <w:bCs/>
        </w:rPr>
        <w:t>instruments</w:t>
      </w:r>
      <w:r w:rsidR="00190923" w:rsidRPr="00981405">
        <w:rPr>
          <w:b/>
          <w:bCs/>
        </w:rPr>
        <w:t xml:space="preserve"> </w:t>
      </w:r>
      <w:r w:rsidRPr="00D97463">
        <w:rPr>
          <w:b/>
          <w:bCs/>
        </w:rPr>
        <w:t>of</w:t>
      </w:r>
      <w:r w:rsidR="00190923" w:rsidRPr="00981405">
        <w:rPr>
          <w:b/>
          <w:bCs/>
        </w:rPr>
        <w:t xml:space="preserve"> </w:t>
      </w:r>
      <w:r w:rsidRPr="00D97463">
        <w:rPr>
          <w:b/>
          <w:bCs/>
        </w:rPr>
        <w:t>international</w:t>
      </w:r>
      <w:r w:rsidR="00190923" w:rsidRPr="00981405">
        <w:rPr>
          <w:b/>
          <w:bCs/>
        </w:rPr>
        <w:t xml:space="preserve"> </w:t>
      </w:r>
      <w:r w:rsidRPr="00D97463">
        <w:rPr>
          <w:b/>
          <w:bCs/>
        </w:rPr>
        <w:t>organizations</w:t>
      </w:r>
    </w:p>
    <w:p w:rsidR="00397032" w:rsidRPr="00981405" w:rsidRDefault="00397032" w:rsidP="00D97463">
      <w:pPr>
        <w:pStyle w:val="SingleTxt"/>
        <w:ind w:left="1742"/>
      </w:pPr>
      <w:r w:rsidRPr="00981405">
        <w:t>1.</w:t>
      </w:r>
      <w:r w:rsidRPr="00981405">
        <w:tab/>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apply</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which</w:t>
      </w:r>
      <w:r w:rsidR="00190923" w:rsidRPr="00981405">
        <w:t xml:space="preserve"> </w:t>
      </w:r>
      <w:r w:rsidRPr="00981405">
        <w:t>is</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Accordingly,</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lastRenderedPageBreak/>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are,</w:t>
      </w:r>
      <w:r w:rsidR="00190923" w:rsidRPr="00981405">
        <w:t xml:space="preserve"> </w:t>
      </w:r>
      <w:r w:rsidRPr="00981405">
        <w:t>and</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may</w:t>
      </w:r>
      <w:r w:rsidR="00190923" w:rsidRPr="00981405">
        <w:t xml:space="preserve"> </w:t>
      </w:r>
      <w:r w:rsidRPr="00981405">
        <w:t>be,</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for</w:t>
      </w:r>
      <w:r w:rsidR="00190923" w:rsidRPr="00981405">
        <w:t xml:space="preserve"> </w:t>
      </w:r>
      <w:r w:rsidRPr="00981405">
        <w:t>such</w:t>
      </w:r>
      <w:r w:rsidR="00190923" w:rsidRPr="00981405">
        <w:t xml:space="preserve"> </w:t>
      </w:r>
      <w:r w:rsidRPr="00981405">
        <w:t>treaties.</w:t>
      </w:r>
      <w:r w:rsidR="00190923" w:rsidRPr="00981405">
        <w:t xml:space="preserve"> </w:t>
      </w:r>
    </w:p>
    <w:p w:rsidR="00397032" w:rsidRPr="00981405" w:rsidRDefault="00397032" w:rsidP="00D97463">
      <w:pPr>
        <w:pStyle w:val="SingleTxt"/>
        <w:ind w:left="1742"/>
      </w:pPr>
      <w:r w:rsidRPr="00981405">
        <w:t>2.</w:t>
      </w: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or</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may</w:t>
      </w:r>
      <w:r w:rsidR="00190923" w:rsidRPr="00981405">
        <w:t xml:space="preserve"> </w:t>
      </w:r>
      <w:r w:rsidRPr="00981405">
        <w:t>arise</w:t>
      </w:r>
      <w:r w:rsidR="00190923" w:rsidRPr="00981405">
        <w:t xml:space="preserve"> </w:t>
      </w:r>
      <w:r w:rsidRPr="00981405">
        <w:t>from,</w:t>
      </w:r>
      <w:r w:rsidR="00190923" w:rsidRPr="00981405">
        <w:t xml:space="preserve"> </w:t>
      </w:r>
      <w:r w:rsidRPr="00981405">
        <w:t>or</w:t>
      </w:r>
      <w:r w:rsidR="00190923" w:rsidRPr="00981405">
        <w:t xml:space="preserve"> </w:t>
      </w:r>
      <w:r w:rsidRPr="00981405">
        <w:t>be</w:t>
      </w:r>
      <w:r w:rsidR="00190923" w:rsidRPr="00981405">
        <w:t xml:space="preserve"> </w:t>
      </w:r>
      <w:r w:rsidRPr="00981405">
        <w:t>expressed</w:t>
      </w:r>
      <w:r w:rsidR="00190923" w:rsidRPr="00981405">
        <w:t xml:space="preserve"> </w:t>
      </w:r>
      <w:r w:rsidRPr="00981405">
        <w:t>in,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p>
    <w:p w:rsidR="00397032" w:rsidRPr="00981405" w:rsidRDefault="00397032" w:rsidP="00D97463">
      <w:pPr>
        <w:pStyle w:val="SingleTxt"/>
        <w:ind w:left="1742"/>
      </w:pPr>
      <w:r w:rsidRPr="00981405">
        <w:t>3.</w:t>
      </w:r>
      <w:r w:rsidRPr="00981405">
        <w:tab/>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may</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that</w:t>
      </w:r>
      <w:r w:rsidR="00190923" w:rsidRPr="00981405">
        <w:t xml:space="preserve"> </w:t>
      </w:r>
      <w:r w:rsidRPr="00981405">
        <w:t>instrument</w:t>
      </w:r>
      <w:r w:rsidR="00190923" w:rsidRPr="00981405">
        <w:t xml:space="preserve"> </w:t>
      </w:r>
      <w:r w:rsidRPr="00981405">
        <w:t>when</w:t>
      </w:r>
      <w:r w:rsidR="00190923" w:rsidRPr="00981405">
        <w:t xml:space="preserve"> </w:t>
      </w:r>
      <w:r w:rsidRPr="00981405">
        <w:t>applying</w:t>
      </w:r>
      <w:r w:rsidR="00190923" w:rsidRPr="00981405">
        <w:t xml:space="preserve"> </w:t>
      </w:r>
      <w:r w:rsidRPr="00981405">
        <w:t>articles</w:t>
      </w:r>
      <w:r w:rsidR="00190923" w:rsidRPr="00981405">
        <w:t xml:space="preserve"> </w:t>
      </w:r>
      <w:r w:rsidRPr="00981405">
        <w:t>31,</w:t>
      </w:r>
      <w:r w:rsidR="00190923" w:rsidRPr="00981405">
        <w:t xml:space="preserve"> </w:t>
      </w:r>
      <w:r w:rsidRPr="00981405">
        <w:t>paragraph</w:t>
      </w:r>
      <w:r w:rsidR="00190923" w:rsidRPr="00981405">
        <w:t xml:space="preserve"> </w:t>
      </w:r>
      <w:r w:rsidRPr="00981405">
        <w:t>1,</w:t>
      </w:r>
      <w:r w:rsidR="00190923" w:rsidRPr="00981405">
        <w:t xml:space="preserve"> </w:t>
      </w:r>
      <w:r w:rsidRPr="00981405">
        <w:t>and</w:t>
      </w:r>
      <w:r w:rsidR="00190923" w:rsidRPr="00981405">
        <w:t xml:space="preserve"> </w:t>
      </w:r>
      <w:r w:rsidRPr="00981405">
        <w:t>32.</w:t>
      </w:r>
    </w:p>
    <w:p w:rsidR="00397032" w:rsidRPr="00981405" w:rsidRDefault="00397032" w:rsidP="00D97463">
      <w:pPr>
        <w:pStyle w:val="SingleTxt"/>
        <w:ind w:left="1742"/>
      </w:pPr>
      <w:r w:rsidRPr="00981405">
        <w:t>4.</w:t>
      </w:r>
      <w:r w:rsidRPr="00981405">
        <w:tab/>
        <w:t>Paragraphs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any</w:t>
      </w:r>
      <w:r w:rsidR="00190923" w:rsidRPr="00981405">
        <w:t xml:space="preserve"> </w:t>
      </w:r>
      <w:r w:rsidRPr="00981405">
        <w:t>treaty</w:t>
      </w:r>
      <w:r w:rsidR="00190923" w:rsidRPr="00981405">
        <w:t xml:space="preserve"> </w:t>
      </w:r>
      <w:r w:rsidRPr="00981405">
        <w:t>which</w:t>
      </w:r>
      <w:r w:rsidR="00190923" w:rsidRPr="00981405">
        <w:t xml:space="preserve"> </w:t>
      </w:r>
      <w:r w:rsidRPr="00981405">
        <w:t>is</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relevant</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p>
    <w:p w:rsidR="00B41600" w:rsidRPr="00D97463" w:rsidRDefault="00B41600" w:rsidP="00D97463">
      <w:pPr>
        <w:pStyle w:val="SingleTxt"/>
        <w:spacing w:after="0" w:line="120" w:lineRule="exact"/>
        <w:rPr>
          <w:sz w:val="10"/>
        </w:rPr>
      </w:pPr>
    </w:p>
    <w:p w:rsidR="00397032" w:rsidRPr="00D97463" w:rsidRDefault="00397032" w:rsidP="00D97463">
      <w:pPr>
        <w:pStyle w:val="H23"/>
        <w:ind w:right="1260"/>
      </w:pPr>
      <w:r w:rsidRPr="00D97463">
        <w:tab/>
      </w:r>
      <w:bookmarkStart w:id="100" w:name="_Toc427938116"/>
      <w:r w:rsidRPr="00D97463">
        <w:t>2.</w:t>
      </w:r>
      <w:r w:rsidRPr="00D97463">
        <w:tab/>
        <w:t>Text</w:t>
      </w:r>
      <w:r w:rsidR="00190923" w:rsidRPr="00D97463">
        <w:t xml:space="preserve"> </w:t>
      </w:r>
      <w:r w:rsidRPr="00D97463">
        <w:t>of</w:t>
      </w:r>
      <w:r w:rsidR="00190923" w:rsidRPr="00D97463">
        <w:t xml:space="preserve"> </w:t>
      </w:r>
      <w:r w:rsidRPr="00D97463">
        <w:t>the</w:t>
      </w:r>
      <w:r w:rsidR="00190923" w:rsidRPr="00D97463">
        <w:t xml:space="preserve"> </w:t>
      </w:r>
      <w:r w:rsidRPr="00D97463">
        <w:t>draft</w:t>
      </w:r>
      <w:r w:rsidR="00190923" w:rsidRPr="00D97463">
        <w:t xml:space="preserve"> </w:t>
      </w:r>
      <w:r w:rsidRPr="00D97463">
        <w:t>conclusion</w:t>
      </w:r>
      <w:r w:rsidR="00190923" w:rsidRPr="00D97463">
        <w:t xml:space="preserve"> </w:t>
      </w:r>
      <w:r w:rsidRPr="00D97463">
        <w:t>and</w:t>
      </w:r>
      <w:r w:rsidR="00190923" w:rsidRPr="00D97463">
        <w:t xml:space="preserve"> </w:t>
      </w:r>
      <w:r w:rsidRPr="00D97463">
        <w:t>commentary</w:t>
      </w:r>
      <w:r w:rsidR="00190923" w:rsidRPr="00D97463">
        <w:t xml:space="preserve"> </w:t>
      </w:r>
      <w:r w:rsidRPr="00D97463">
        <w:t>thereto</w:t>
      </w:r>
      <w:r w:rsidR="00190923" w:rsidRPr="00D97463">
        <w:t xml:space="preserve"> </w:t>
      </w:r>
      <w:r w:rsidRPr="00D97463">
        <w:t>provisionally</w:t>
      </w:r>
      <w:r w:rsidR="00190923" w:rsidRPr="00D97463">
        <w:t xml:space="preserve"> </w:t>
      </w:r>
      <w:r w:rsidRPr="00D97463">
        <w:t>adopted</w:t>
      </w:r>
      <w:r w:rsidR="00190923" w:rsidRPr="00D97463">
        <w:t xml:space="preserve"> </w:t>
      </w:r>
      <w:r w:rsidRPr="00D97463">
        <w:t>by</w:t>
      </w:r>
      <w:r w:rsidR="00190923" w:rsidRPr="00D97463">
        <w:t xml:space="preserve"> </w:t>
      </w:r>
      <w:r w:rsidRPr="00D97463">
        <w:t>the</w:t>
      </w:r>
      <w:r w:rsidR="00190923" w:rsidRPr="00D97463">
        <w:t xml:space="preserve"> </w:t>
      </w:r>
      <w:r w:rsidRPr="00D97463">
        <w:t>Commission</w:t>
      </w:r>
      <w:r w:rsidR="00190923" w:rsidRPr="00D97463">
        <w:t xml:space="preserve"> </w:t>
      </w:r>
      <w:r w:rsidRPr="00D97463">
        <w:t>at</w:t>
      </w:r>
      <w:r w:rsidR="00190923" w:rsidRPr="00D97463">
        <w:t xml:space="preserve"> </w:t>
      </w:r>
      <w:r w:rsidRPr="00D97463">
        <w:t>its</w:t>
      </w:r>
      <w:r w:rsidR="00190923" w:rsidRPr="00D97463">
        <w:t xml:space="preserve"> </w:t>
      </w:r>
      <w:r w:rsidRPr="00D97463">
        <w:t>sixty-seventh</w:t>
      </w:r>
      <w:r w:rsidR="00071C92" w:rsidRPr="00D97463">
        <w:t xml:space="preserve"> </w:t>
      </w:r>
      <w:r w:rsidRPr="00D97463">
        <w:t>session</w:t>
      </w:r>
      <w:bookmarkEnd w:id="10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129.</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together</w:t>
      </w:r>
      <w:r w:rsidR="00190923" w:rsidRPr="00981405">
        <w:t xml:space="preserve"> </w:t>
      </w:r>
      <w:r w:rsidRPr="00981405">
        <w:t>with</w:t>
      </w:r>
      <w:r w:rsidR="00190923" w:rsidRPr="00981405">
        <w:t xml:space="preserve"> </w:t>
      </w:r>
      <w:r w:rsidRPr="00981405">
        <w:t>commentary</w:t>
      </w:r>
      <w:r w:rsidR="00190923" w:rsidRPr="00981405">
        <w:t xml:space="preserve"> </w:t>
      </w:r>
      <w:r w:rsidRPr="00981405">
        <w:t>thereto,</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the</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is</w:t>
      </w:r>
      <w:r w:rsidR="00190923" w:rsidRPr="00981405">
        <w:t xml:space="preserve"> </w:t>
      </w:r>
      <w:r w:rsidRPr="00981405">
        <w:t>reproduced</w:t>
      </w:r>
      <w:r w:rsidR="00190923" w:rsidRPr="00981405">
        <w:t xml:space="preserve"> </w:t>
      </w:r>
      <w:r w:rsidRPr="00981405">
        <w:t>below.</w:t>
      </w:r>
    </w:p>
    <w:p w:rsidR="00397032" w:rsidRPr="00D97463" w:rsidRDefault="00397032" w:rsidP="00D97463">
      <w:pPr>
        <w:pStyle w:val="SingleTxt"/>
        <w:ind w:left="1742"/>
        <w:jc w:val="left"/>
        <w:rPr>
          <w:b/>
          <w:bCs/>
        </w:rPr>
      </w:pPr>
      <w:r w:rsidRPr="00D97463">
        <w:rPr>
          <w:b/>
          <w:bCs/>
        </w:rPr>
        <w:t>Conclusion</w:t>
      </w:r>
      <w:r w:rsidR="00190923" w:rsidRPr="00981405">
        <w:rPr>
          <w:b/>
          <w:bCs/>
        </w:rPr>
        <w:t xml:space="preserve"> </w:t>
      </w:r>
      <w:r w:rsidRPr="00D97463">
        <w:rPr>
          <w:b/>
          <w:bCs/>
        </w:rPr>
        <w:t>11</w:t>
      </w:r>
      <w:r w:rsidRPr="00D97463">
        <w:rPr>
          <w:b/>
          <w:bCs/>
        </w:rPr>
        <w:br/>
        <w:t>Constituent</w:t>
      </w:r>
      <w:r w:rsidR="00190923" w:rsidRPr="00981405">
        <w:rPr>
          <w:b/>
          <w:bCs/>
        </w:rPr>
        <w:t xml:space="preserve"> </w:t>
      </w:r>
      <w:r w:rsidRPr="00D97463">
        <w:rPr>
          <w:b/>
          <w:bCs/>
        </w:rPr>
        <w:t>instruments</w:t>
      </w:r>
      <w:r w:rsidR="00190923" w:rsidRPr="00981405">
        <w:rPr>
          <w:b/>
          <w:bCs/>
        </w:rPr>
        <w:t xml:space="preserve"> </w:t>
      </w:r>
      <w:r w:rsidRPr="00D97463">
        <w:rPr>
          <w:b/>
          <w:bCs/>
        </w:rPr>
        <w:t>of</w:t>
      </w:r>
      <w:r w:rsidR="00190923" w:rsidRPr="00981405">
        <w:rPr>
          <w:b/>
          <w:bCs/>
        </w:rPr>
        <w:t xml:space="preserve"> </w:t>
      </w:r>
      <w:r w:rsidRPr="00D97463">
        <w:rPr>
          <w:b/>
          <w:bCs/>
        </w:rPr>
        <w:t>international</w:t>
      </w:r>
      <w:r w:rsidR="00190923" w:rsidRPr="00981405">
        <w:rPr>
          <w:b/>
          <w:bCs/>
        </w:rPr>
        <w:t xml:space="preserve"> </w:t>
      </w:r>
      <w:r w:rsidRPr="00D97463">
        <w:rPr>
          <w:b/>
          <w:bCs/>
        </w:rPr>
        <w:t>organizations</w:t>
      </w:r>
    </w:p>
    <w:p w:rsidR="00397032" w:rsidRPr="00981405" w:rsidRDefault="00397032" w:rsidP="00D97463">
      <w:pPr>
        <w:pStyle w:val="SingleTxt"/>
        <w:ind w:left="1742"/>
      </w:pPr>
      <w:r w:rsidRPr="00981405">
        <w:t>1.</w:t>
      </w:r>
      <w:r w:rsidRPr="00981405">
        <w:tab/>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apply</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which</w:t>
      </w:r>
      <w:r w:rsidR="00190923" w:rsidRPr="00981405">
        <w:t xml:space="preserve"> </w:t>
      </w:r>
      <w:r w:rsidRPr="00981405">
        <w:t>is</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Accordingly,</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are,</w:t>
      </w:r>
      <w:r w:rsidR="00190923" w:rsidRPr="00981405">
        <w:t xml:space="preserve"> </w:t>
      </w:r>
      <w:r w:rsidRPr="00981405">
        <w:t>and</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may</w:t>
      </w:r>
      <w:r w:rsidR="00190923" w:rsidRPr="00981405">
        <w:t xml:space="preserve"> </w:t>
      </w:r>
      <w:r w:rsidRPr="00981405">
        <w:t>be,</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for</w:t>
      </w:r>
      <w:r w:rsidR="00190923" w:rsidRPr="00981405">
        <w:t xml:space="preserve"> </w:t>
      </w:r>
      <w:r w:rsidRPr="00981405">
        <w:t>such</w:t>
      </w:r>
      <w:r w:rsidR="00190923" w:rsidRPr="00981405">
        <w:t xml:space="preserve"> </w:t>
      </w:r>
      <w:r w:rsidRPr="00981405">
        <w:t>treaties.</w:t>
      </w:r>
      <w:r w:rsidR="00190923" w:rsidRPr="00981405">
        <w:t xml:space="preserve"> </w:t>
      </w:r>
    </w:p>
    <w:p w:rsidR="00397032" w:rsidRPr="00981405" w:rsidRDefault="00397032" w:rsidP="00D97463">
      <w:pPr>
        <w:pStyle w:val="SingleTxt"/>
        <w:ind w:left="1742"/>
      </w:pPr>
      <w:r w:rsidRPr="00981405">
        <w:t>2.</w:t>
      </w: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or</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may</w:t>
      </w:r>
      <w:r w:rsidR="00190923" w:rsidRPr="00981405">
        <w:t xml:space="preserve"> </w:t>
      </w:r>
      <w:r w:rsidRPr="00981405">
        <w:t>arise</w:t>
      </w:r>
      <w:r w:rsidR="00190923" w:rsidRPr="00981405">
        <w:t xml:space="preserve"> </w:t>
      </w:r>
      <w:r w:rsidRPr="00981405">
        <w:t>from,</w:t>
      </w:r>
      <w:r w:rsidR="00190923" w:rsidRPr="00981405">
        <w:t xml:space="preserve"> </w:t>
      </w:r>
      <w:r w:rsidRPr="00981405">
        <w:t>or</w:t>
      </w:r>
      <w:r w:rsidR="00190923" w:rsidRPr="00981405">
        <w:t xml:space="preserve"> </w:t>
      </w:r>
      <w:r w:rsidRPr="00981405">
        <w:t>be</w:t>
      </w:r>
      <w:r w:rsidR="00190923" w:rsidRPr="00981405">
        <w:t xml:space="preserve"> </w:t>
      </w:r>
      <w:r w:rsidRPr="00981405">
        <w:t>expressed</w:t>
      </w:r>
      <w:r w:rsidR="00190923" w:rsidRPr="00981405">
        <w:t xml:space="preserve"> </w:t>
      </w:r>
      <w:r w:rsidRPr="00981405">
        <w:t>in,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p>
    <w:p w:rsidR="00397032" w:rsidRPr="00981405" w:rsidRDefault="00397032" w:rsidP="00D97463">
      <w:pPr>
        <w:pStyle w:val="SingleTxt"/>
        <w:ind w:left="1742"/>
      </w:pPr>
      <w:r w:rsidRPr="00981405">
        <w:t>3.</w:t>
      </w:r>
      <w:r w:rsidRPr="00981405">
        <w:tab/>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may</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that</w:t>
      </w:r>
      <w:r w:rsidR="00190923" w:rsidRPr="00981405">
        <w:t xml:space="preserve"> </w:t>
      </w:r>
      <w:r w:rsidRPr="00981405">
        <w:t>instrument</w:t>
      </w:r>
      <w:r w:rsidR="00190923" w:rsidRPr="00981405">
        <w:t xml:space="preserve"> </w:t>
      </w:r>
      <w:r w:rsidRPr="00981405">
        <w:t>when</w:t>
      </w:r>
      <w:r w:rsidR="00190923" w:rsidRPr="00981405">
        <w:t xml:space="preserve"> </w:t>
      </w:r>
      <w:r w:rsidRPr="00981405">
        <w:t>applying</w:t>
      </w:r>
      <w:r w:rsidR="00190923" w:rsidRPr="00981405">
        <w:t xml:space="preserve"> </w:t>
      </w:r>
      <w:r w:rsidRPr="00981405">
        <w:t>articles</w:t>
      </w:r>
      <w:r w:rsidR="00190923" w:rsidRPr="00981405">
        <w:t xml:space="preserve"> </w:t>
      </w:r>
      <w:r w:rsidRPr="00981405">
        <w:t>31,</w:t>
      </w:r>
      <w:r w:rsidR="00190923" w:rsidRPr="00981405">
        <w:t xml:space="preserve"> </w:t>
      </w:r>
      <w:r w:rsidRPr="00981405">
        <w:t>paragraph</w:t>
      </w:r>
      <w:r w:rsidR="00190923" w:rsidRPr="00981405">
        <w:t xml:space="preserve"> </w:t>
      </w:r>
      <w:r w:rsidRPr="00981405">
        <w:t>1,</w:t>
      </w:r>
      <w:r w:rsidR="00190923" w:rsidRPr="00981405">
        <w:t xml:space="preserve"> </w:t>
      </w:r>
      <w:r w:rsidRPr="00981405">
        <w:t>and</w:t>
      </w:r>
      <w:r w:rsidR="00190923" w:rsidRPr="00981405">
        <w:t xml:space="preserve"> </w:t>
      </w:r>
      <w:r w:rsidRPr="00981405">
        <w:t>32.</w:t>
      </w:r>
    </w:p>
    <w:p w:rsidR="00397032" w:rsidRPr="00981405" w:rsidRDefault="00397032" w:rsidP="00D97463">
      <w:pPr>
        <w:pStyle w:val="SingleTxt"/>
        <w:ind w:left="1742"/>
      </w:pPr>
      <w:r w:rsidRPr="00981405">
        <w:t>4.</w:t>
      </w:r>
      <w:r w:rsidRPr="00981405">
        <w:tab/>
        <w:t>Paragraphs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any</w:t>
      </w:r>
      <w:r w:rsidR="00190923" w:rsidRPr="00981405">
        <w:t xml:space="preserve"> </w:t>
      </w:r>
      <w:r w:rsidRPr="00981405">
        <w:t>treaty</w:t>
      </w:r>
      <w:r w:rsidR="00190923" w:rsidRPr="00981405">
        <w:t xml:space="preserve"> </w:t>
      </w:r>
      <w:r w:rsidRPr="00981405">
        <w:t>which</w:t>
      </w:r>
      <w:r w:rsidR="00190923" w:rsidRPr="00981405">
        <w:t xml:space="preserve"> </w:t>
      </w:r>
      <w:r w:rsidRPr="00981405">
        <w:t>is</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relevant</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r w:rsidRPr="00D97463">
        <w:tab/>
      </w:r>
      <w:bookmarkStart w:id="101" w:name="_Toc427938117"/>
      <w:r w:rsidRPr="00D97463">
        <w:t>Commentary</w:t>
      </w:r>
      <w:bookmarkEnd w:id="101"/>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w:t>
      </w:r>
      <w:r w:rsidRPr="00981405">
        <w:tab/>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refers</w:t>
      </w:r>
      <w:r w:rsidR="00190923" w:rsidRPr="00981405">
        <w:t xml:space="preserve"> </w:t>
      </w:r>
      <w:r w:rsidRPr="00981405">
        <w:t>to</w:t>
      </w:r>
      <w:r w:rsidR="00190923" w:rsidRPr="00981405">
        <w:t xml:space="preserve"> </w:t>
      </w:r>
      <w:r w:rsidRPr="00981405">
        <w:t>a</w:t>
      </w:r>
      <w:r w:rsidR="00190923" w:rsidRPr="00981405">
        <w:t xml:space="preserve"> </w:t>
      </w:r>
      <w:r w:rsidRPr="00981405">
        <w:t>particular</w:t>
      </w:r>
      <w:r w:rsidR="00190923" w:rsidRPr="00981405">
        <w:t xml:space="preserve"> </w:t>
      </w:r>
      <w:r w:rsidRPr="00981405">
        <w:t>type</w:t>
      </w:r>
      <w:r w:rsidR="00190923" w:rsidRPr="00981405">
        <w:t xml:space="preserve"> </w:t>
      </w:r>
      <w:r w:rsidRPr="00981405">
        <w:t>of</w:t>
      </w:r>
      <w:r w:rsidR="00190923" w:rsidRPr="00981405">
        <w:t xml:space="preserve"> </w:t>
      </w:r>
      <w:r w:rsidRPr="00981405">
        <w:t>treaty,</w:t>
      </w:r>
      <w:r w:rsidR="00190923" w:rsidRPr="00981405">
        <w:t xml:space="preserve"> </w:t>
      </w:r>
      <w:r w:rsidRPr="00981405">
        <w:t>namely</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shall</w:t>
      </w:r>
      <w:r w:rsidR="00190923" w:rsidRPr="00981405">
        <w:t xml:space="preserve"> </w:t>
      </w:r>
      <w:r w:rsidRPr="00981405">
        <w:t>or</w:t>
      </w:r>
      <w:r w:rsidR="00190923" w:rsidRPr="00981405">
        <w:t xml:space="preserve"> </w:t>
      </w:r>
      <w:r w:rsidRPr="00981405">
        <w:t>may</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in</w:t>
      </w:r>
      <w:r w:rsidR="00190923" w:rsidRPr="00981405">
        <w:t xml:space="preserve"> </w:t>
      </w:r>
      <w:r w:rsidRPr="00981405">
        <w:t>their</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p>
    <w:p w:rsidR="00397032" w:rsidRPr="00981405" w:rsidRDefault="00397032" w:rsidP="00D97463">
      <w:pPr>
        <w:pStyle w:val="SingleTxt"/>
      </w:pPr>
      <w:r w:rsidRPr="00981405">
        <w:t>(2)</w:t>
      </w:r>
      <w:r w:rsidRPr="00981405">
        <w:tab/>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are</w:t>
      </w:r>
      <w:r w:rsidR="00190923" w:rsidRPr="00981405">
        <w:t xml:space="preserve"> </w:t>
      </w:r>
      <w:r w:rsidRPr="00981405">
        <w:t>specifically</w:t>
      </w:r>
      <w:r w:rsidR="00190923" w:rsidRPr="00981405">
        <w:t xml:space="preserve"> </w:t>
      </w:r>
      <w:r w:rsidRPr="00981405">
        <w:t>addressed</w:t>
      </w:r>
      <w:r w:rsidR="00190923" w:rsidRPr="00981405">
        <w:t xml:space="preserve"> </w:t>
      </w:r>
      <w:r w:rsidRPr="00981405">
        <w:t>in</w:t>
      </w:r>
      <w:r w:rsidR="00190923" w:rsidRPr="00981405">
        <w:t xml:space="preserve"> </w:t>
      </w:r>
      <w:r w:rsidRPr="00981405">
        <w:t>article</w:t>
      </w:r>
      <w:r w:rsidR="00190923" w:rsidRPr="00981405">
        <w:t xml:space="preserve"> </w:t>
      </w:r>
      <w:r w:rsidRPr="00981405">
        <w:t>5</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which</w:t>
      </w:r>
      <w:r w:rsidR="00190923" w:rsidRPr="00981405">
        <w:t xml:space="preserve"> </w:t>
      </w:r>
      <w:r w:rsidRPr="00981405">
        <w:t>provides:</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present</w:t>
      </w:r>
      <w:r w:rsidR="00190923" w:rsidRPr="00981405">
        <w:t xml:space="preserve"> </w:t>
      </w:r>
      <w:r w:rsidR="00397032" w:rsidRPr="00981405">
        <w:t>Convention</w:t>
      </w:r>
      <w:r w:rsidR="00190923" w:rsidRPr="00981405">
        <w:t xml:space="preserve"> </w:t>
      </w:r>
      <w:r w:rsidR="00397032" w:rsidRPr="00981405">
        <w:t>applies</w:t>
      </w:r>
      <w:r w:rsidR="00190923" w:rsidRPr="00981405">
        <w:t xml:space="preserve"> </w:t>
      </w:r>
      <w:r w:rsidR="00397032" w:rsidRPr="00981405">
        <w:t>to</w:t>
      </w:r>
      <w:r w:rsidR="00190923" w:rsidRPr="00981405">
        <w:t xml:space="preserve"> </w:t>
      </w:r>
      <w:r w:rsidR="00397032" w:rsidRPr="00981405">
        <w:t>any</w:t>
      </w:r>
      <w:r w:rsidR="00190923" w:rsidRPr="00981405">
        <w:t xml:space="preserve"> </w:t>
      </w:r>
      <w:r w:rsidR="00397032" w:rsidRPr="00981405">
        <w:t>treaty</w:t>
      </w:r>
      <w:r w:rsidR="00190923" w:rsidRPr="00981405">
        <w:t xml:space="preserve"> </w:t>
      </w:r>
      <w:r w:rsidR="00397032" w:rsidRPr="00981405">
        <w:t>which</w:t>
      </w:r>
      <w:r w:rsidR="00190923" w:rsidRPr="00981405">
        <w:t xml:space="preserve"> </w:t>
      </w:r>
      <w:r w:rsidR="00397032" w:rsidRPr="00981405">
        <w:t>is</w:t>
      </w:r>
      <w:r w:rsidR="00190923" w:rsidRPr="00981405">
        <w:t xml:space="preserve"> </w:t>
      </w:r>
      <w:r w:rsidR="00397032" w:rsidRPr="00981405">
        <w:t>the</w:t>
      </w:r>
      <w:r w:rsidR="00190923" w:rsidRPr="00981405">
        <w:t xml:space="preserve"> </w:t>
      </w:r>
      <w:r w:rsidR="00397032" w:rsidRPr="00981405">
        <w:t>constituent</w:t>
      </w:r>
      <w:r w:rsidR="00190923" w:rsidRPr="00981405">
        <w:t xml:space="preserve"> </w:t>
      </w:r>
      <w:r w:rsidR="00397032" w:rsidRPr="00981405">
        <w:t>instrument</w:t>
      </w:r>
      <w:r w:rsidR="00190923" w:rsidRPr="00981405">
        <w:t xml:space="preserve"> </w:t>
      </w:r>
      <w:r w:rsidR="00397032" w:rsidRPr="00981405">
        <w:t>of</w:t>
      </w:r>
      <w:r w:rsidR="00190923" w:rsidRPr="00981405">
        <w:t xml:space="preserve"> </w:t>
      </w:r>
      <w:r w:rsidR="00397032" w:rsidRPr="00981405">
        <w:t>an</w:t>
      </w:r>
      <w:r w:rsidR="00190923" w:rsidRPr="00981405">
        <w:t xml:space="preserve"> </w:t>
      </w:r>
      <w:r w:rsidR="00397032" w:rsidRPr="00981405">
        <w:t>international</w:t>
      </w:r>
      <w:r w:rsidR="00190923" w:rsidRPr="00981405">
        <w:t xml:space="preserve"> </w:t>
      </w:r>
      <w:r w:rsidR="00397032" w:rsidRPr="00981405">
        <w:t>organization</w:t>
      </w:r>
      <w:r w:rsidR="00190923" w:rsidRPr="00981405">
        <w:t xml:space="preserve"> </w:t>
      </w:r>
      <w:r w:rsidR="00397032" w:rsidRPr="00981405">
        <w:t>and</w:t>
      </w:r>
      <w:r w:rsidR="00190923" w:rsidRPr="00981405">
        <w:t xml:space="preserve"> </w:t>
      </w:r>
      <w:r w:rsidR="00397032" w:rsidRPr="00981405">
        <w:t>to</w:t>
      </w:r>
      <w:r w:rsidR="00190923" w:rsidRPr="00981405">
        <w:t xml:space="preserve"> </w:t>
      </w:r>
      <w:r w:rsidR="00397032" w:rsidRPr="00981405">
        <w:t>any</w:t>
      </w:r>
      <w:r w:rsidR="00190923" w:rsidRPr="00981405">
        <w:t xml:space="preserve"> </w:t>
      </w:r>
      <w:r w:rsidR="00397032" w:rsidRPr="00981405">
        <w:t>treaty</w:t>
      </w:r>
      <w:r w:rsidR="00190923" w:rsidRPr="00981405">
        <w:t xml:space="preserve"> </w:t>
      </w:r>
      <w:r w:rsidR="00397032" w:rsidRPr="00981405">
        <w:t>adopted</w:t>
      </w:r>
      <w:r w:rsidR="00190923" w:rsidRPr="00981405">
        <w:t xml:space="preserve"> </w:t>
      </w:r>
      <w:r w:rsidR="00397032" w:rsidRPr="00981405">
        <w:t>within</w:t>
      </w:r>
      <w:r w:rsidR="00190923" w:rsidRPr="00981405">
        <w:t xml:space="preserve"> </w:t>
      </w:r>
      <w:r w:rsidR="00397032" w:rsidRPr="00981405">
        <w:t>an</w:t>
      </w:r>
      <w:r w:rsidR="00190923" w:rsidRPr="00981405">
        <w:t xml:space="preserve"> </w:t>
      </w:r>
      <w:r w:rsidR="00397032" w:rsidRPr="00981405">
        <w:lastRenderedPageBreak/>
        <w:t>international</w:t>
      </w:r>
      <w:r w:rsidR="00190923" w:rsidRPr="00981405">
        <w:t xml:space="preserve"> </w:t>
      </w:r>
      <w:r w:rsidR="00397032" w:rsidRPr="00981405">
        <w:t>organization</w:t>
      </w:r>
      <w:r w:rsidR="00190923" w:rsidRPr="00981405">
        <w:t xml:space="preserve"> </w:t>
      </w:r>
      <w:r w:rsidR="00397032" w:rsidRPr="00981405">
        <w:t>without</w:t>
      </w:r>
      <w:r w:rsidR="00190923" w:rsidRPr="00981405">
        <w:t xml:space="preserve"> </w:t>
      </w:r>
      <w:r w:rsidR="00397032" w:rsidRPr="00981405">
        <w:t>prejudice</w:t>
      </w:r>
      <w:r w:rsidR="00190923" w:rsidRPr="00981405">
        <w:t xml:space="preserve"> </w:t>
      </w:r>
      <w:r w:rsidR="00397032" w:rsidRPr="00981405">
        <w:t>to</w:t>
      </w:r>
      <w:r w:rsidR="00190923" w:rsidRPr="00981405">
        <w:t xml:space="preserve"> </w:t>
      </w:r>
      <w:r w:rsidR="00397032" w:rsidRPr="00981405">
        <w:t>any</w:t>
      </w:r>
      <w:r w:rsidR="00190923" w:rsidRPr="00981405">
        <w:t xml:space="preserve"> </w:t>
      </w:r>
      <w:r w:rsidR="00397032" w:rsidRPr="00981405">
        <w:t>relevant</w:t>
      </w:r>
      <w:r w:rsidR="00190923" w:rsidRPr="00981405">
        <w:t xml:space="preserve"> </w:t>
      </w:r>
      <w:r w:rsidR="00397032" w:rsidRPr="00981405">
        <w:t>rules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Pr="00981405">
        <w:t>”</w:t>
      </w:r>
      <w:r w:rsidR="00397032" w:rsidRPr="00981405">
        <w:rPr>
          <w:rStyle w:val="FootnoteReference"/>
        </w:rPr>
        <w:footnoteReference w:id="296"/>
      </w:r>
    </w:p>
    <w:p w:rsidR="00397032" w:rsidRPr="00981405" w:rsidRDefault="00397032" w:rsidP="00D97463">
      <w:pPr>
        <w:pStyle w:val="SingleTxt"/>
      </w:pPr>
      <w:r w:rsidRPr="00981405">
        <w:t>(3)</w:t>
      </w:r>
      <w:r w:rsidRPr="00981405">
        <w:tab/>
        <w:t>A</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5,</w:t>
      </w:r>
      <w:r w:rsidR="00190923" w:rsidRPr="00981405">
        <w:t xml:space="preserve"> </w:t>
      </w:r>
      <w:r w:rsidRPr="00981405">
        <w:t>like</w:t>
      </w:r>
      <w:r w:rsidR="00190923" w:rsidRPr="00981405">
        <w:t xml:space="preserve"> </w:t>
      </w:r>
      <w:r w:rsidRPr="00981405">
        <w:t>any</w:t>
      </w:r>
      <w:r w:rsidR="00190923" w:rsidRPr="00981405">
        <w:t xml:space="preserve"> </w:t>
      </w:r>
      <w:r w:rsidRPr="00981405">
        <w:t>treaty,</w:t>
      </w:r>
      <w:r w:rsidR="00190923" w:rsidRPr="00981405">
        <w:t xml:space="preserve"> </w:t>
      </w:r>
      <w:r w:rsidRPr="00981405">
        <w:t>is</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agreement</w:t>
      </w:r>
      <w:r w:rsidR="00190923" w:rsidRPr="00981405">
        <w:t xml:space="preserve"> </w:t>
      </w:r>
      <w:r w:rsidR="00B92E2C" w:rsidRPr="00981405">
        <w:t>“</w:t>
      </w:r>
      <w:r w:rsidRPr="00981405">
        <w:t>whether</w:t>
      </w:r>
      <w:r w:rsidR="00190923" w:rsidRPr="00981405">
        <w:t xml:space="preserve"> </w:t>
      </w:r>
      <w:r w:rsidRPr="00981405">
        <w:t>embodied</w:t>
      </w:r>
      <w:r w:rsidR="00190923" w:rsidRPr="00981405">
        <w:t xml:space="preserve"> </w:t>
      </w:r>
      <w:r w:rsidRPr="00981405">
        <w:t>in</w:t>
      </w:r>
      <w:r w:rsidR="00190923" w:rsidRPr="00981405">
        <w:t xml:space="preserve"> </w:t>
      </w:r>
      <w:r w:rsidRPr="00981405">
        <w:t>a</w:t>
      </w:r>
      <w:r w:rsidR="00190923" w:rsidRPr="00981405">
        <w:t xml:space="preserve"> </w:t>
      </w:r>
      <w:r w:rsidRPr="00981405">
        <w:t>single</w:t>
      </w:r>
      <w:r w:rsidR="00190923" w:rsidRPr="00981405">
        <w:t xml:space="preserve"> </w:t>
      </w:r>
      <w:r w:rsidRPr="00981405">
        <w:t>instrument</w:t>
      </w:r>
      <w:r w:rsidR="00190923" w:rsidRPr="00981405">
        <w:t xml:space="preserve"> </w:t>
      </w:r>
      <w:r w:rsidRPr="00981405">
        <w:t>or</w:t>
      </w:r>
      <w:r w:rsidR="00190923" w:rsidRPr="00981405">
        <w:t xml:space="preserve"> </w:t>
      </w:r>
      <w:r w:rsidRPr="00981405">
        <w:t>in</w:t>
      </w:r>
      <w:r w:rsidR="00190923" w:rsidRPr="00981405">
        <w:t xml:space="preserve"> </w:t>
      </w:r>
      <w:r w:rsidRPr="00981405">
        <w:t>two</w:t>
      </w:r>
      <w:r w:rsidR="00190923" w:rsidRPr="00981405">
        <w:t xml:space="preserve"> </w:t>
      </w:r>
      <w:r w:rsidRPr="00981405">
        <w:t>or</w:t>
      </w:r>
      <w:r w:rsidR="00190923" w:rsidRPr="00981405">
        <w:t xml:space="preserve"> </w:t>
      </w:r>
      <w:r w:rsidRPr="00981405">
        <w:t>more</w:t>
      </w:r>
      <w:r w:rsidR="00190923" w:rsidRPr="00981405">
        <w:t xml:space="preserve"> </w:t>
      </w:r>
      <w:r w:rsidRPr="00981405">
        <w:t>related</w:t>
      </w:r>
      <w:r w:rsidR="00190923" w:rsidRPr="00981405">
        <w:t xml:space="preserve"> </w:t>
      </w:r>
      <w:r w:rsidRPr="00981405">
        <w:t>instruments</w:t>
      </w:r>
      <w:r w:rsidR="00B92E2C" w:rsidRPr="00981405">
        <w:t>”</w:t>
      </w:r>
      <w:r w:rsidR="00190923" w:rsidRPr="00981405">
        <w:t xml:space="preserve"> </w:t>
      </w:r>
      <w:r w:rsidRPr="00981405">
        <w:t>(article</w:t>
      </w:r>
      <w:r w:rsidR="00190923" w:rsidRPr="00981405">
        <w:t xml:space="preserve"> </w:t>
      </w:r>
      <w:r w:rsidRPr="00981405">
        <w:t>2</w:t>
      </w:r>
      <w:r w:rsidR="00190923" w:rsidRPr="00981405">
        <w:t xml:space="preserve"> </w:t>
      </w:r>
      <w:r w:rsidRPr="00981405">
        <w:t>(1)</w:t>
      </w:r>
      <w:r w:rsidR="00190923" w:rsidRPr="00981405">
        <w:t xml:space="preserve"> </w:t>
      </w:r>
      <w:r w:rsidRPr="00981405">
        <w:t>(a)).</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which</w:t>
      </w:r>
      <w:r w:rsidR="00190923" w:rsidRPr="00981405">
        <w:t xml:space="preserve"> </w:t>
      </w:r>
      <w:r w:rsidRPr="00981405">
        <w:t>are</w:t>
      </w:r>
      <w:r w:rsidR="00190923" w:rsidRPr="00981405">
        <w:t xml:space="preserve"> </w:t>
      </w:r>
      <w:r w:rsidRPr="00981405">
        <w:t>contained</w:t>
      </w:r>
      <w:r w:rsidR="00190923" w:rsidRPr="00981405">
        <w:t xml:space="preserve"> </w:t>
      </w:r>
      <w:r w:rsidRPr="00981405">
        <w:t>in</w:t>
      </w:r>
      <w:r w:rsidR="00190923" w:rsidRPr="00981405">
        <w:t xml:space="preserve"> </w:t>
      </w:r>
      <w:r w:rsidRPr="00981405">
        <w:t>such</w:t>
      </w:r>
      <w:r w:rsidR="00190923" w:rsidRPr="00981405">
        <w:t xml:space="preserve"> </w:t>
      </w:r>
      <w:r w:rsidRPr="00981405">
        <w:t>a</w:t>
      </w:r>
      <w:r w:rsidR="00190923" w:rsidRPr="00981405">
        <w:t xml:space="preserve"> </w:t>
      </w:r>
      <w:r w:rsidRPr="00981405">
        <w:t>treaty</w:t>
      </w:r>
      <w:r w:rsidR="00190923" w:rsidRPr="00981405">
        <w:t xml:space="preserve"> </w:t>
      </w:r>
      <w:r w:rsidRPr="00981405">
        <w:t>are</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bookmarkStart w:id="102" w:name="_Ref424551049"/>
      <w:r w:rsidRPr="00981405">
        <w:rPr>
          <w:rStyle w:val="FootnoteReference"/>
        </w:rPr>
        <w:footnoteReference w:id="297"/>
      </w:r>
      <w:bookmarkEnd w:id="102"/>
      <w:r w:rsidR="00190923" w:rsidRPr="00981405">
        <w:t xml:space="preserve"> </w:t>
      </w:r>
    </w:p>
    <w:p w:rsidR="00397032" w:rsidRPr="00981405" w:rsidRDefault="00397032" w:rsidP="00D97463">
      <w:pPr>
        <w:pStyle w:val="SingleTxt"/>
      </w:pPr>
      <w:r w:rsidRPr="00981405">
        <w:t>(4)</w:t>
      </w:r>
      <w:r w:rsidRPr="00981405">
        <w:tab/>
        <w:t>As</w:t>
      </w:r>
      <w:r w:rsidR="00190923" w:rsidRPr="00981405">
        <w:t xml:space="preserve"> </w:t>
      </w:r>
      <w:r w:rsidRPr="00981405">
        <w:t>a</w:t>
      </w:r>
      <w:r w:rsidR="00190923" w:rsidRPr="00981405">
        <w:t xml:space="preserve"> </w:t>
      </w:r>
      <w:r w:rsidRPr="00981405">
        <w:t>general</w:t>
      </w:r>
      <w:r w:rsidR="00190923" w:rsidRPr="00981405">
        <w:t xml:space="preserve"> </w:t>
      </w:r>
      <w:r w:rsidRPr="00981405">
        <w:t>matter,</w:t>
      </w:r>
      <w:r w:rsidR="00190923" w:rsidRPr="00981405">
        <w:t xml:space="preserve"> </w:t>
      </w:r>
      <w:r w:rsidRPr="00981405">
        <w:t>article</w:t>
      </w:r>
      <w:r w:rsidR="00190923" w:rsidRPr="00981405">
        <w:t xml:space="preserve"> </w:t>
      </w:r>
      <w:r w:rsidRPr="00981405">
        <w:t>5,</w:t>
      </w:r>
      <w:r w:rsidR="00190923" w:rsidRPr="00981405">
        <w:t xml:space="preserve"> </w:t>
      </w:r>
      <w:r w:rsidRPr="00981405">
        <w:t>by</w:t>
      </w:r>
      <w:r w:rsidR="00190923" w:rsidRPr="00981405">
        <w:t xml:space="preserve"> </w:t>
      </w:r>
      <w:r w:rsidRPr="00981405">
        <w:t>stating</w:t>
      </w:r>
      <w:r w:rsidR="00190923" w:rsidRPr="00981405">
        <w:t xml:space="preserve"> </w:t>
      </w:r>
      <w:r w:rsidRPr="00981405">
        <w:t>that</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applies</w:t>
      </w:r>
      <w:r w:rsidR="00190923" w:rsidRPr="00981405">
        <w:t xml:space="preserve"> </w:t>
      </w:r>
      <w:r w:rsidRPr="00981405">
        <w:t>to</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relevant</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Pr="00981405">
        <w:rPr>
          <w:rStyle w:val="FootnoteReference"/>
        </w:rPr>
        <w:footnoteReference w:id="298"/>
      </w:r>
      <w:r w:rsidR="00190923" w:rsidRPr="00981405">
        <w:t xml:space="preserve"> </w:t>
      </w:r>
      <w:r w:rsidRPr="00981405">
        <w:t>follows</w:t>
      </w:r>
      <w:r w:rsidR="00190923" w:rsidRPr="00981405">
        <w:t xml:space="preserve"> </w:t>
      </w:r>
      <w:r w:rsidRPr="00981405">
        <w:t>the</w:t>
      </w:r>
      <w:r w:rsidR="00190923" w:rsidRPr="00981405">
        <w:t xml:space="preserve"> </w:t>
      </w:r>
      <w:r w:rsidRPr="00981405">
        <w:t>general</w:t>
      </w:r>
      <w:r w:rsidR="00190923" w:rsidRPr="00981405">
        <w:t xml:space="preserve"> </w:t>
      </w:r>
      <w:r w:rsidRPr="00981405">
        <w:t>approach</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according</w:t>
      </w:r>
      <w:r w:rsidR="00190923" w:rsidRPr="00981405">
        <w:t xml:space="preserve"> </w:t>
      </w:r>
      <w:r w:rsidRPr="00981405">
        <w:t>to</w:t>
      </w:r>
      <w:r w:rsidR="00190923" w:rsidRPr="00981405">
        <w:t xml:space="preserve"> </w:t>
      </w:r>
      <w:r w:rsidRPr="00981405">
        <w:t>which</w:t>
      </w:r>
      <w:r w:rsidR="00190923" w:rsidRPr="00981405">
        <w:t xml:space="preserve"> </w:t>
      </w:r>
      <w:r w:rsidRPr="00981405">
        <w:t>treaties</w:t>
      </w:r>
      <w:r w:rsidR="00190923" w:rsidRPr="00981405">
        <w:t xml:space="preserve"> </w:t>
      </w:r>
      <w:r w:rsidRPr="00981405">
        <w:t>between</w:t>
      </w:r>
      <w:r w:rsidR="00190923" w:rsidRPr="00981405">
        <w:t xml:space="preserve"> </w:t>
      </w:r>
      <w:r w:rsidRPr="00981405">
        <w:t>States</w:t>
      </w:r>
      <w:r w:rsidR="00190923" w:rsidRPr="00981405">
        <w:t xml:space="preserve"> </w:t>
      </w:r>
      <w:r w:rsidRPr="00981405">
        <w:t>are</w:t>
      </w:r>
      <w:r w:rsidR="00190923" w:rsidRPr="00981405">
        <w:t xml:space="preserve"> </w:t>
      </w: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981405">
        <w:t>rules</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the</w:t>
      </w:r>
      <w:r w:rsidR="00190923" w:rsidRPr="00981405">
        <w:t xml:space="preserve"> </w:t>
      </w:r>
      <w:r w:rsidRPr="00981405">
        <w:t>Convention</w:t>
      </w:r>
      <w:r w:rsidR="00190923" w:rsidRPr="00981405">
        <w:t xml:space="preserve"> </w:t>
      </w:r>
      <w:r w:rsidR="00B92E2C" w:rsidRPr="00981405">
        <w:t>“</w:t>
      </w:r>
      <w:r w:rsidRPr="00981405">
        <w:t>unless</w:t>
      </w:r>
      <w:r w:rsidR="00190923" w:rsidRPr="00981405">
        <w:t xml:space="preserve"> </w:t>
      </w:r>
      <w:r w:rsidRPr="00981405">
        <w:t>the</w:t>
      </w:r>
      <w:r w:rsidR="00190923" w:rsidRPr="00981405">
        <w:t xml:space="preserve"> </w:t>
      </w:r>
      <w:r w:rsidRPr="00981405">
        <w:t>treaty</w:t>
      </w:r>
      <w:r w:rsidR="00190923" w:rsidRPr="00981405">
        <w:t xml:space="preserve"> </w:t>
      </w:r>
      <w:r w:rsidRPr="00981405">
        <w:t>otherwise</w:t>
      </w:r>
      <w:r w:rsidR="00190923" w:rsidRPr="00981405">
        <w:t xml:space="preserve"> </w:t>
      </w:r>
      <w:r w:rsidRPr="00981405">
        <w:t>provides.</w:t>
      </w:r>
      <w:r w:rsidR="00B92E2C" w:rsidRPr="00981405">
        <w:t>”</w:t>
      </w:r>
      <w:r w:rsidRPr="00981405">
        <w:rPr>
          <w:rStyle w:val="FootnoteReference"/>
        </w:rPr>
        <w:footnoteReference w:id="299"/>
      </w:r>
    </w:p>
    <w:p w:rsidR="00397032" w:rsidRPr="00981405" w:rsidRDefault="00397032" w:rsidP="00D97463">
      <w:pPr>
        <w:pStyle w:val="SingleTxt"/>
      </w:pPr>
      <w:r w:rsidRPr="00981405">
        <w:t>(5)</w:t>
      </w:r>
      <w:r w:rsidRPr="00981405">
        <w:tab/>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only</w:t>
      </w:r>
      <w:r w:rsidR="00190923" w:rsidRPr="00981405">
        <w:t xml:space="preserve"> </w:t>
      </w:r>
      <w:r w:rsidRPr="00981405">
        <w:t>refers</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It</w:t>
      </w:r>
      <w:r w:rsidR="00190923" w:rsidRPr="00981405">
        <w:t xml:space="preserve"> </w:t>
      </w:r>
      <w:r w:rsidRPr="00981405">
        <w:t>therefore</w:t>
      </w:r>
      <w:r w:rsidR="00190923" w:rsidRPr="00981405">
        <w:t xml:space="preserve"> </w:t>
      </w:r>
      <w:r w:rsidRPr="00981405">
        <w:t>does</w:t>
      </w:r>
      <w:r w:rsidR="00190923" w:rsidRPr="00981405">
        <w:t xml:space="preserve"> </w:t>
      </w:r>
      <w:r w:rsidRPr="00981405">
        <w:t>not</w:t>
      </w:r>
      <w:r w:rsidR="00190923" w:rsidRPr="00981405">
        <w:t xml:space="preserve"> </w:t>
      </w:r>
      <w:r w:rsidRPr="00981405">
        <w:t>address</w:t>
      </w:r>
      <w:r w:rsidR="00190923" w:rsidRPr="00981405">
        <w:t xml:space="preserve"> </w:t>
      </w:r>
      <w:r w:rsidRPr="00981405">
        <w:t>every</w:t>
      </w:r>
      <w:r w:rsidR="00190923" w:rsidRPr="00981405">
        <w:t xml:space="preserve"> </w:t>
      </w:r>
      <w:r w:rsidRPr="00981405">
        <w:t>aspect</w:t>
      </w:r>
      <w:r w:rsidR="00190923" w:rsidRPr="00981405">
        <w:t xml:space="preserve"> </w:t>
      </w:r>
      <w:r w:rsidRPr="00981405">
        <w:t>of</w:t>
      </w:r>
      <w:r w:rsidR="00190923" w:rsidRPr="00981405">
        <w:t xml:space="preserve"> </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involving</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it</w:t>
      </w:r>
      <w:r w:rsidR="00190923" w:rsidRPr="00981405">
        <w:t xml:space="preserve"> </w:t>
      </w:r>
      <w:r w:rsidRPr="00981405">
        <w:t>does</w:t>
      </w:r>
      <w:r w:rsidR="00190923" w:rsidRPr="00981405">
        <w:t xml:space="preserve"> </w:t>
      </w:r>
      <w:r w:rsidRPr="00981405">
        <w:t>not</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adopted</w:t>
      </w:r>
      <w:r w:rsidR="00190923" w:rsidRPr="00981405">
        <w:t xml:space="preserve"> </w:t>
      </w:r>
      <w:r w:rsidRPr="00981405">
        <w:t>within</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or</w:t>
      </w:r>
      <w:r w:rsidR="00190923" w:rsidRPr="00981405">
        <w:t xml:space="preserve"> </w:t>
      </w:r>
      <w:r w:rsidRPr="00981405">
        <w:t>to</w:t>
      </w:r>
      <w:r w:rsidR="00190923" w:rsidRPr="00981405">
        <w:t xml:space="preserve"> </w:t>
      </w:r>
      <w:r w:rsidRPr="00981405">
        <w:t>treaties</w:t>
      </w:r>
      <w:r w:rsidR="00190923" w:rsidRPr="00981405">
        <w:t xml:space="preserve"> </w:t>
      </w:r>
      <w:r w:rsidRPr="00981405">
        <w:t>concluded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which</w:t>
      </w:r>
      <w:r w:rsidR="00190923" w:rsidRPr="00981405">
        <w:t xml:space="preserve"> </w:t>
      </w:r>
      <w:r w:rsidRPr="00981405">
        <w:t>are</w:t>
      </w:r>
      <w:r w:rsidR="00190923" w:rsidRPr="00981405">
        <w:t xml:space="preserve"> </w:t>
      </w:r>
      <w:r w:rsidRPr="00981405">
        <w:t>not</w:t>
      </w:r>
      <w:r w:rsidR="00190923" w:rsidRPr="00981405">
        <w:t xml:space="preserve"> </w:t>
      </w:r>
      <w:r w:rsidRPr="00981405">
        <w:t>themselves</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Pr="00981405">
        <w:rPr>
          <w:rStyle w:val="FootnoteReference"/>
        </w:rPr>
        <w:footnoteReference w:id="300"/>
      </w:r>
      <w:r w:rsidR="00190923" w:rsidRPr="00981405">
        <w:t xml:space="preserve"> </w:t>
      </w:r>
      <w:r w:rsidRPr="00981405">
        <w:t>In</w:t>
      </w:r>
      <w:r w:rsidR="00190923" w:rsidRPr="00981405">
        <w:t xml:space="preserve"> </w:t>
      </w:r>
      <w:r w:rsidRPr="00981405">
        <w:t>addition,</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does</w:t>
      </w:r>
      <w:r w:rsidR="00190923" w:rsidRPr="00981405">
        <w:t xml:space="preserve"> </w:t>
      </w:r>
      <w:r w:rsidRPr="00981405">
        <w:t>not</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decisions</w:t>
      </w:r>
      <w:r w:rsidR="00190923" w:rsidRPr="00981405">
        <w:t xml:space="preserve"> </w:t>
      </w:r>
      <w:r w:rsidRPr="00981405">
        <w:t>by</w:t>
      </w:r>
      <w:r w:rsidR="00190923" w:rsidRPr="00981405">
        <w:t xml:space="preserve"> </w:t>
      </w:r>
      <w:r w:rsidRPr="00981405">
        <w:t>organs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such,</w:t>
      </w:r>
      <w:bookmarkStart w:id="103" w:name="_Ref423338220"/>
      <w:r w:rsidRPr="00981405">
        <w:rPr>
          <w:rStyle w:val="FootnoteReference"/>
        </w:rPr>
        <w:footnoteReference w:id="301"/>
      </w:r>
      <w:bookmarkEnd w:id="103"/>
      <w:r w:rsidR="00190923" w:rsidRPr="00981405">
        <w:t xml:space="preserve"> </w:t>
      </w:r>
      <w:r w:rsidRPr="00981405">
        <w:t>including</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decisions</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courts,</w:t>
      </w:r>
      <w:r w:rsidRPr="00981405">
        <w:rPr>
          <w:rStyle w:val="FootnoteReference"/>
        </w:rPr>
        <w:footnoteReference w:id="302"/>
      </w:r>
      <w:r w:rsidR="00190923" w:rsidRPr="00981405">
        <w:t xml:space="preserve"> </w:t>
      </w:r>
      <w:r w:rsidRPr="00981405">
        <w:t>or</w:t>
      </w:r>
      <w:r w:rsidR="00190923" w:rsidRPr="00981405">
        <w:t xml:space="preserve"> </w:t>
      </w:r>
      <w:r w:rsidRPr="00981405">
        <w:t>to</w:t>
      </w:r>
      <w:r w:rsidR="00190923" w:rsidRPr="00981405">
        <w:t xml:space="preserve"> </w:t>
      </w:r>
      <w:r w:rsidRPr="00981405">
        <w:t>the</w:t>
      </w:r>
      <w:r w:rsidR="00190923" w:rsidRPr="00981405">
        <w:t xml:space="preserve"> </w:t>
      </w:r>
      <w:r w:rsidRPr="00981405">
        <w:t>effect</w:t>
      </w:r>
      <w:r w:rsidR="00190923" w:rsidRPr="00981405">
        <w:t xml:space="preserve"> </w:t>
      </w:r>
      <w:r w:rsidRPr="00981405">
        <w:t>of</w:t>
      </w:r>
      <w:r w:rsidR="00190923" w:rsidRPr="00981405">
        <w:t xml:space="preserve"> </w:t>
      </w:r>
      <w:r w:rsidRPr="00981405">
        <w:t>a</w:t>
      </w:r>
      <w:r w:rsidR="00190923" w:rsidRPr="00981405">
        <w:t xml:space="preserve"> </w:t>
      </w:r>
      <w:r w:rsidR="00B92E2C" w:rsidRPr="00981405">
        <w:t>“</w:t>
      </w:r>
      <w:r w:rsidRPr="00981405">
        <w:t>clear</w:t>
      </w:r>
      <w:r w:rsidR="00190923" w:rsidRPr="00981405">
        <w:t xml:space="preserve"> </w:t>
      </w:r>
      <w:r w:rsidRPr="00981405">
        <w:t>and</w:t>
      </w:r>
      <w:r w:rsidR="00190923" w:rsidRPr="00981405">
        <w:t xml:space="preserve"> </w:t>
      </w:r>
      <w:r w:rsidRPr="00981405">
        <w:t>constant</w:t>
      </w:r>
      <w:r w:rsidR="00190923" w:rsidRPr="00981405">
        <w:t xml:space="preserve"> </w:t>
      </w:r>
      <w:r w:rsidRPr="00981405">
        <w:t>jurisprudence</w:t>
      </w:r>
      <w:r w:rsidR="00B92E2C" w:rsidRPr="00981405">
        <w:t>”</w:t>
      </w:r>
      <w:r w:rsidRPr="00981405">
        <w:rPr>
          <w:rStyle w:val="FootnoteReference"/>
        </w:rPr>
        <w:footnoteReference w:id="303"/>
      </w:r>
      <w:r w:rsidR="00190923" w:rsidRPr="00981405">
        <w:t xml:space="preserve"> </w:t>
      </w:r>
      <w:r w:rsidRPr="00981405">
        <w:t>(</w:t>
      </w:r>
      <w:r w:rsidR="00B92E2C" w:rsidRPr="00981405">
        <w:t>“</w:t>
      </w:r>
      <w:r w:rsidRPr="00D97463">
        <w:rPr>
          <w:i/>
          <w:iCs/>
        </w:rPr>
        <w:t>jurisprudence</w:t>
      </w:r>
      <w:r w:rsidR="00190923" w:rsidRPr="00981405">
        <w:rPr>
          <w:i/>
          <w:iCs/>
        </w:rPr>
        <w:t xml:space="preserve"> </w:t>
      </w:r>
      <w:r w:rsidRPr="00D97463">
        <w:rPr>
          <w:i/>
          <w:iCs/>
        </w:rPr>
        <w:t>constante</w:t>
      </w:r>
      <w:r w:rsidR="00B92E2C" w:rsidRPr="00981405">
        <w:t>”</w:t>
      </w:r>
      <w:r w:rsidRPr="00981405">
        <w:t>)</w:t>
      </w:r>
      <w:r w:rsidR="00190923" w:rsidRPr="00981405">
        <w:t xml:space="preserve"> </w:t>
      </w:r>
      <w:r w:rsidRPr="00981405">
        <w:t>of</w:t>
      </w:r>
      <w:r w:rsidR="00190923" w:rsidRPr="00981405">
        <w:t xml:space="preserve"> </w:t>
      </w:r>
      <w:r w:rsidRPr="00981405">
        <w:t>courts</w:t>
      </w:r>
      <w:r w:rsidR="00190923" w:rsidRPr="00981405">
        <w:t xml:space="preserve"> </w:t>
      </w:r>
      <w:r w:rsidRPr="00981405">
        <w:lastRenderedPageBreak/>
        <w:t>or</w:t>
      </w:r>
      <w:r w:rsidR="00190923" w:rsidRPr="00981405">
        <w:t xml:space="preserve"> </w:t>
      </w:r>
      <w:r w:rsidRPr="00981405">
        <w:t>tribunals.</w:t>
      </w:r>
      <w:r w:rsidRPr="00981405">
        <w:rPr>
          <w:rStyle w:val="FootnoteReference"/>
        </w:rPr>
        <w:footnoteReference w:id="304"/>
      </w:r>
      <w:r w:rsidR="00190923" w:rsidRPr="00981405">
        <w:t xml:space="preserve"> </w:t>
      </w:r>
      <w:r w:rsidRPr="00981405">
        <w:t>Finally,</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does</w:t>
      </w:r>
      <w:r w:rsidR="00190923" w:rsidRPr="00981405">
        <w:t xml:space="preserve"> </w:t>
      </w:r>
      <w:r w:rsidRPr="00981405">
        <w:t>not</w:t>
      </w:r>
      <w:r w:rsidR="00190923" w:rsidRPr="00981405">
        <w:t xml:space="preserve"> </w:t>
      </w:r>
      <w:r w:rsidRPr="00981405">
        <w:t>specifically</w:t>
      </w:r>
      <w:r w:rsidR="00190923" w:rsidRPr="00981405">
        <w:t xml:space="preserve"> </w:t>
      </w:r>
      <w:r w:rsidRPr="00981405">
        <w:t>address</w:t>
      </w:r>
      <w:r w:rsidR="00190923" w:rsidRPr="00981405">
        <w:t xml:space="preserve"> </w:t>
      </w:r>
      <w:r w:rsidRPr="00981405">
        <w:t>questions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pronouncements</w:t>
      </w:r>
      <w:r w:rsidR="00190923" w:rsidRPr="00981405">
        <w:t xml:space="preserve"> </w:t>
      </w:r>
      <w:r w:rsidRPr="00981405">
        <w:t>by</w:t>
      </w:r>
      <w:r w:rsidR="00190923" w:rsidRPr="00981405">
        <w:t xml:space="preserve"> </w:t>
      </w:r>
      <w:r w:rsidRPr="00981405">
        <w:t>a</w:t>
      </w:r>
      <w:r w:rsidR="00190923" w:rsidRPr="00981405">
        <w:t xml:space="preserve"> </w:t>
      </w:r>
      <w:r w:rsidRPr="00981405">
        <w:t>treaty</w:t>
      </w:r>
      <w:r w:rsidR="00190923" w:rsidRPr="00981405">
        <w:t xml:space="preserve"> </w:t>
      </w:r>
      <w:r w:rsidRPr="00981405">
        <w:t>monitoring</w:t>
      </w:r>
      <w:r w:rsidR="00190923" w:rsidRPr="00981405">
        <w:t xml:space="preserve"> </w:t>
      </w:r>
      <w:r w:rsidRPr="00981405">
        <w:t>body</w:t>
      </w:r>
      <w:r w:rsidR="00190923" w:rsidRPr="00981405">
        <w:t xml:space="preserve"> </w:t>
      </w:r>
      <w:r w:rsidRPr="00981405">
        <w:t>consisting</w:t>
      </w:r>
      <w:r w:rsidR="00190923" w:rsidRPr="00981405">
        <w:t xml:space="preserve"> </w:t>
      </w:r>
      <w:r w:rsidRPr="00981405">
        <w:t>of</w:t>
      </w:r>
      <w:r w:rsidR="00190923" w:rsidRPr="00981405">
        <w:t xml:space="preserve"> </w:t>
      </w:r>
      <w:r w:rsidRPr="00981405">
        <w:t>independent</w:t>
      </w:r>
      <w:r w:rsidR="00190923" w:rsidRPr="00981405">
        <w:t xml:space="preserve"> </w:t>
      </w:r>
      <w:r w:rsidRPr="00981405">
        <w:t>experts,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weight</w:t>
      </w:r>
      <w:r w:rsidR="00190923" w:rsidRPr="00981405">
        <w:t xml:space="preserve"> </w:t>
      </w:r>
      <w:r w:rsidRPr="00981405">
        <w:t>of</w:t>
      </w:r>
      <w:r w:rsidR="00190923" w:rsidRPr="00981405">
        <w:t xml:space="preserve"> </w:t>
      </w:r>
      <w:r w:rsidRPr="00981405">
        <w:t>particular</w:t>
      </w:r>
      <w:r w:rsidR="00190923" w:rsidRPr="00981405">
        <w:t xml:space="preserve"> </w:t>
      </w:r>
      <w:r w:rsidRPr="00981405">
        <w:t>forms</w:t>
      </w:r>
      <w:r w:rsidR="00190923" w:rsidRPr="00981405">
        <w:t xml:space="preserve"> </w:t>
      </w:r>
      <w:r w:rsidRPr="00981405">
        <w:t>of</w:t>
      </w:r>
      <w:r w:rsidR="00190923" w:rsidRPr="00981405">
        <w:t xml:space="preserve"> </w:t>
      </w:r>
      <w:r w:rsidRPr="00981405">
        <w:t>practice</w:t>
      </w:r>
      <w:r w:rsidR="00190923" w:rsidRPr="00981405">
        <w:t xml:space="preserve"> </w:t>
      </w:r>
      <w:r w:rsidRPr="00981405">
        <w:t>more</w:t>
      </w:r>
      <w:r w:rsidR="00190923" w:rsidRPr="00981405">
        <w:t xml:space="preserve"> </w:t>
      </w:r>
      <w:r w:rsidRPr="00981405">
        <w:t>generally,</w:t>
      </w:r>
      <w:r w:rsidR="00190923" w:rsidRPr="00981405">
        <w:t xml:space="preserve"> </w:t>
      </w:r>
      <w:r w:rsidRPr="00981405">
        <w:t>matters</w:t>
      </w:r>
      <w:r w:rsidR="00190923" w:rsidRPr="00981405">
        <w:t xml:space="preserve"> </w:t>
      </w:r>
      <w:r w:rsidRPr="00981405">
        <w:t>which</w:t>
      </w:r>
      <w:r w:rsidR="00190923" w:rsidRPr="00981405">
        <w:t xml:space="preserve"> </w:t>
      </w:r>
      <w:r w:rsidRPr="00981405">
        <w:t>may</w:t>
      </w:r>
      <w:r w:rsidR="00190923" w:rsidRPr="00981405">
        <w:t xml:space="preserve"> </w:t>
      </w:r>
      <w:r w:rsidRPr="00981405">
        <w:t>be</w:t>
      </w:r>
      <w:r w:rsidR="00190923" w:rsidRPr="00981405">
        <w:t xml:space="preserve"> </w:t>
      </w:r>
      <w:r w:rsidRPr="00981405">
        <w:t>dealt</w:t>
      </w:r>
      <w:r w:rsidR="00190923" w:rsidRPr="00981405">
        <w:t xml:space="preserve"> </w:t>
      </w:r>
      <w:r w:rsidRPr="00981405">
        <w:t>with</w:t>
      </w:r>
      <w:r w:rsidR="00190923" w:rsidRPr="00981405">
        <w:t xml:space="preserve"> </w:t>
      </w:r>
      <w:r w:rsidRPr="00981405">
        <w:t>at</w:t>
      </w:r>
      <w:r w:rsidR="00190923" w:rsidRPr="00981405">
        <w:t xml:space="preserve"> </w:t>
      </w:r>
      <w:r w:rsidRPr="00981405">
        <w:t>a</w:t>
      </w:r>
      <w:r w:rsidR="00190923" w:rsidRPr="00981405">
        <w:t xml:space="preserve"> </w:t>
      </w:r>
      <w:r w:rsidRPr="00981405">
        <w:t>later</w:t>
      </w:r>
      <w:r w:rsidR="00190923" w:rsidRPr="00981405">
        <w:t xml:space="preserve"> </w:t>
      </w:r>
      <w:r w:rsidRPr="00981405">
        <w:t>stage.</w:t>
      </w:r>
      <w:r w:rsidR="00190923" w:rsidRPr="00981405">
        <w:t xml:space="preserve"> </w:t>
      </w:r>
    </w:p>
    <w:p w:rsidR="00397032" w:rsidRPr="00981405" w:rsidRDefault="00397032" w:rsidP="00D97463">
      <w:pPr>
        <w:pStyle w:val="SingleTxt"/>
      </w:pPr>
      <w:r w:rsidRPr="00981405">
        <w:t>(6)</w:t>
      </w:r>
      <w:r w:rsidRPr="00981405">
        <w:tab/>
      </w:r>
      <w:r w:rsidRPr="00D97463">
        <w:rPr>
          <w:i/>
          <w:iCs/>
        </w:rPr>
        <w:t>The</w:t>
      </w:r>
      <w:r w:rsidR="00190923" w:rsidRPr="00981405">
        <w:rPr>
          <w:i/>
          <w:iCs/>
        </w:rPr>
        <w:t xml:space="preserve"> </w:t>
      </w:r>
      <w:r w:rsidRPr="00D97463">
        <w:rPr>
          <w:i/>
          <w:iCs/>
        </w:rPr>
        <w:t>first</w:t>
      </w:r>
      <w:r w:rsidR="00190923" w:rsidRPr="00981405">
        <w:rPr>
          <w:i/>
          <w:iCs/>
        </w:rPr>
        <w:t xml:space="preserve"> </w:t>
      </w:r>
      <w:r w:rsidRPr="00D97463">
        <w:rPr>
          <w:i/>
          <w:iCs/>
        </w:rPr>
        <w:t>sentence</w:t>
      </w:r>
      <w:r w:rsidR="00190923" w:rsidRPr="00981405">
        <w:rPr>
          <w:i/>
          <w:iCs/>
        </w:rPr>
        <w:t xml:space="preserve"> </w:t>
      </w:r>
      <w:r w:rsidRPr="00D97463">
        <w:rPr>
          <w:i/>
          <w:iCs/>
        </w:rPr>
        <w:t>of</w:t>
      </w:r>
      <w:r w:rsidR="00190923" w:rsidRPr="00981405">
        <w:rPr>
          <w:i/>
          <w:iCs/>
        </w:rPr>
        <w:t xml:space="preserve"> </w:t>
      </w:r>
      <w:r w:rsidRPr="00D97463">
        <w:rPr>
          <w:i/>
          <w:iCs/>
        </w:rPr>
        <w:t>paragraph</w:t>
      </w:r>
      <w:r w:rsidR="00190923" w:rsidRPr="00981405">
        <w:rPr>
          <w:i/>
          <w:iCs/>
        </w:rPr>
        <w:t xml:space="preserve"> </w:t>
      </w:r>
      <w:r w:rsidRPr="00D97463">
        <w:rPr>
          <w:i/>
          <w:iCs/>
        </w:rPr>
        <w:t>1</w:t>
      </w:r>
      <w:r w:rsidR="00190923" w:rsidRPr="00981405">
        <w:rPr>
          <w:i/>
          <w:iCs/>
        </w:rPr>
        <w:t xml:space="preserve"> </w:t>
      </w:r>
      <w:r w:rsidRPr="00D97463">
        <w:rPr>
          <w:i/>
          <w:iCs/>
        </w:rPr>
        <w:t>of</w:t>
      </w:r>
      <w:r w:rsidR="00190923" w:rsidRPr="00981405">
        <w:rPr>
          <w:i/>
          <w:iCs/>
        </w:rPr>
        <w:t xml:space="preserve"> </w:t>
      </w:r>
      <w:r w:rsidRPr="00D97463">
        <w:rPr>
          <w:i/>
          <w:iCs/>
        </w:rPr>
        <w:t>draft</w:t>
      </w:r>
      <w:r w:rsidR="00190923" w:rsidRPr="00981405">
        <w:rPr>
          <w:i/>
          <w:iCs/>
        </w:rPr>
        <w:t xml:space="preserve"> </w:t>
      </w:r>
      <w:r w:rsidRPr="00D97463">
        <w:rPr>
          <w:i/>
          <w:iCs/>
        </w:rPr>
        <w:t>conclusion</w:t>
      </w:r>
      <w:r w:rsidR="00190923" w:rsidRPr="00981405">
        <w:rPr>
          <w:i/>
          <w:iCs/>
        </w:rPr>
        <w:t xml:space="preserve"> </w:t>
      </w:r>
      <w:r w:rsidRPr="00D97463">
        <w:rPr>
          <w:i/>
          <w:iCs/>
        </w:rPr>
        <w:t>11</w:t>
      </w:r>
      <w:r w:rsidR="00190923" w:rsidRPr="00981405">
        <w:rPr>
          <w:i/>
          <w:iCs/>
        </w:rPr>
        <w:t xml:space="preserve"> </w:t>
      </w:r>
      <w:r w:rsidRPr="00981405">
        <w:t>recognizes</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to</w:t>
      </w:r>
      <w:r w:rsidR="00190923" w:rsidRPr="00981405">
        <w:t xml:space="preserve"> </w:t>
      </w:r>
      <w:r w:rsidRPr="00981405">
        <w:t>treaties</w:t>
      </w:r>
      <w:r w:rsidR="00190923" w:rsidRPr="00981405">
        <w:t xml:space="preserve"> </w:t>
      </w:r>
      <w:r w:rsidRPr="00981405">
        <w:t>which</w:t>
      </w:r>
      <w:r w:rsidR="00190923" w:rsidRPr="00981405">
        <w:t xml:space="preserve"> </w:t>
      </w:r>
      <w:r w:rsidRPr="00981405">
        <w:t>are</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Pr="00981405">
        <w:rPr>
          <w:rStyle w:val="FootnoteReference"/>
        </w:rPr>
        <w:footnoteReference w:id="305"/>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has</w:t>
      </w:r>
      <w:r w:rsidR="00190923" w:rsidRPr="00981405">
        <w:t xml:space="preserve"> </w:t>
      </w:r>
      <w:r w:rsidRPr="00981405">
        <w:t>confirmed</w:t>
      </w:r>
      <w:r w:rsidR="00190923" w:rsidRPr="00981405">
        <w:t xml:space="preserve"> </w:t>
      </w:r>
      <w:r w:rsidRPr="00981405">
        <w:t>this</w:t>
      </w:r>
      <w:r w:rsidR="00190923" w:rsidRPr="00981405">
        <w:t xml:space="preserve"> </w:t>
      </w:r>
      <w:r w:rsidRPr="00981405">
        <w:t>point</w:t>
      </w:r>
      <w:r w:rsidR="00190923" w:rsidRPr="00981405">
        <w:t xml:space="preserve"> </w:t>
      </w:r>
      <w:r w:rsidRPr="00981405">
        <w:t>in</w:t>
      </w:r>
      <w:r w:rsidR="00190923" w:rsidRPr="00981405">
        <w:t xml:space="preserve"> </w:t>
      </w:r>
      <w:r w:rsidRPr="00981405">
        <w:t>its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Legality</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Use</w:t>
      </w:r>
      <w:r w:rsidR="00190923" w:rsidRPr="00981405">
        <w:rPr>
          <w:i/>
          <w:iCs/>
        </w:rPr>
        <w:t xml:space="preserve"> </w:t>
      </w:r>
      <w:r w:rsidRPr="00D97463">
        <w:rPr>
          <w:i/>
          <w:iCs/>
        </w:rPr>
        <w:t>by</w:t>
      </w:r>
      <w:r w:rsidR="00190923" w:rsidRPr="00981405">
        <w:rPr>
          <w:i/>
          <w:iCs/>
        </w:rPr>
        <w:t xml:space="preserve"> </w:t>
      </w:r>
      <w:r w:rsidRPr="00D97463">
        <w:rPr>
          <w:i/>
          <w:iCs/>
        </w:rPr>
        <w:t>a</w:t>
      </w:r>
      <w:r w:rsidR="00190923" w:rsidRPr="00981405">
        <w:rPr>
          <w:i/>
          <w:iCs/>
        </w:rPr>
        <w:t xml:space="preserve"> </w:t>
      </w:r>
      <w:r w:rsidRPr="00D97463">
        <w:rPr>
          <w:i/>
          <w:iCs/>
        </w:rPr>
        <w:t>State</w:t>
      </w:r>
      <w:r w:rsidR="00190923" w:rsidRPr="00981405">
        <w:rPr>
          <w:i/>
          <w:iCs/>
        </w:rPr>
        <w:t xml:space="preserve"> </w:t>
      </w:r>
      <w:r w:rsidRPr="00D97463">
        <w:rPr>
          <w:i/>
          <w:iCs/>
        </w:rPr>
        <w:t>of</w:t>
      </w:r>
      <w:r w:rsidR="00190923" w:rsidRPr="00981405">
        <w:rPr>
          <w:i/>
          <w:iCs/>
        </w:rPr>
        <w:t xml:space="preserve"> </w:t>
      </w:r>
      <w:r w:rsidRPr="00D97463">
        <w:rPr>
          <w:i/>
          <w:iCs/>
        </w:rPr>
        <w:t>Nuclear</w:t>
      </w:r>
      <w:r w:rsidR="00190923" w:rsidRPr="00981405">
        <w:rPr>
          <w:i/>
          <w:iCs/>
        </w:rPr>
        <w:t xml:space="preserve"> </w:t>
      </w:r>
      <w:r w:rsidRPr="00D97463">
        <w:rPr>
          <w:i/>
          <w:iCs/>
        </w:rPr>
        <w:t>Weapons</w:t>
      </w:r>
      <w:r w:rsidR="00190923" w:rsidRPr="00981405">
        <w:rPr>
          <w:i/>
          <w:iCs/>
        </w:rPr>
        <w:t xml:space="preserve"> </w:t>
      </w:r>
      <w:r w:rsidRPr="00D97463">
        <w:rPr>
          <w:i/>
          <w:iCs/>
        </w:rPr>
        <w:t>in</w:t>
      </w:r>
      <w:r w:rsidR="00190923" w:rsidRPr="00981405">
        <w:rPr>
          <w:i/>
          <w:iCs/>
        </w:rPr>
        <w:t xml:space="preserve"> </w:t>
      </w:r>
      <w:r w:rsidRPr="00D97463">
        <w:rPr>
          <w:i/>
          <w:iCs/>
        </w:rPr>
        <w:t>Armed</w:t>
      </w:r>
      <w:r w:rsidR="00190923" w:rsidRPr="00981405">
        <w:rPr>
          <w:i/>
          <w:iCs/>
        </w:rPr>
        <w:t xml:space="preserve"> </w:t>
      </w:r>
      <w:r w:rsidRPr="00D97463">
        <w:rPr>
          <w:i/>
          <w:iCs/>
        </w:rPr>
        <w:t>Conflict</w:t>
      </w:r>
      <w:r w:rsidRPr="00981405">
        <w:t>:</w:t>
      </w:r>
      <w:r w:rsidR="00190923" w:rsidRPr="00981405">
        <w:t xml:space="preserve"> </w:t>
      </w:r>
    </w:p>
    <w:p w:rsidR="00397032" w:rsidRPr="00981405" w:rsidRDefault="00397032" w:rsidP="00D97463">
      <w:pPr>
        <w:pStyle w:val="SingleTxt"/>
        <w:ind w:left="1742"/>
      </w:pPr>
      <w:r w:rsidRPr="00981405">
        <w:t>From</w:t>
      </w:r>
      <w:r w:rsidR="00190923" w:rsidRPr="00981405">
        <w:t xml:space="preserve"> </w:t>
      </w:r>
      <w:r w:rsidRPr="00981405">
        <w:t>a</w:t>
      </w:r>
      <w:r w:rsidR="00190923" w:rsidRPr="00981405">
        <w:t xml:space="preserve"> </w:t>
      </w:r>
      <w:r w:rsidRPr="00981405">
        <w:t>formal</w:t>
      </w:r>
      <w:r w:rsidR="00190923" w:rsidRPr="00981405">
        <w:t xml:space="preserve"> </w:t>
      </w:r>
      <w:r w:rsidRPr="00981405">
        <w:t>standpoint,</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are</w:t>
      </w:r>
      <w:r w:rsidR="00190923" w:rsidRPr="00981405">
        <w:t xml:space="preserve"> </w:t>
      </w:r>
      <w:r w:rsidRPr="00981405">
        <w:t>multilateral</w:t>
      </w:r>
      <w:r w:rsidR="00190923" w:rsidRPr="00981405">
        <w:t xml:space="preserve"> </w:t>
      </w:r>
      <w:r w:rsidRPr="00981405">
        <w:t>treaties,</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well-established</w:t>
      </w:r>
      <w:r w:rsidR="00190923" w:rsidRPr="00981405">
        <w:t xml:space="preserve"> </w:t>
      </w:r>
      <w:r w:rsidRPr="00981405">
        <w:t>rules</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apply.</w:t>
      </w:r>
      <w:r w:rsidRPr="00981405">
        <w:rPr>
          <w:rStyle w:val="FootnoteReference"/>
        </w:rPr>
        <w:footnoteReference w:id="306"/>
      </w:r>
      <w:r w:rsidR="00190923" w:rsidRPr="00981405">
        <w:t xml:space="preserve"> </w:t>
      </w:r>
    </w:p>
    <w:p w:rsidR="00397032" w:rsidRPr="00981405" w:rsidRDefault="00397032" w:rsidP="00D97463">
      <w:pPr>
        <w:pStyle w:val="SingleTxt"/>
      </w:pPr>
      <w:r w:rsidRPr="00981405">
        <w:t>(7)</w:t>
      </w:r>
      <w:r w:rsidRPr="00981405">
        <w:tab/>
        <w:t>The</w:t>
      </w:r>
      <w:r w:rsidR="00190923" w:rsidRPr="00981405">
        <w:t xml:space="preserve"> </w:t>
      </w:r>
      <w:r w:rsidRPr="00981405">
        <w:t>Court</w:t>
      </w:r>
      <w:r w:rsidR="00190923" w:rsidRPr="00981405">
        <w:t xml:space="preserve"> </w:t>
      </w:r>
      <w:r w:rsidRPr="00981405">
        <w:t>has</w:t>
      </w:r>
      <w:r w:rsidR="00190923" w:rsidRPr="00981405">
        <w:t xml:space="preserve"> </w:t>
      </w:r>
      <w:r w:rsidRPr="00981405">
        <w:t>held</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p>
    <w:p w:rsidR="00397032" w:rsidRPr="00981405" w:rsidRDefault="00B92E2C" w:rsidP="00D97463">
      <w:pPr>
        <w:pStyle w:val="SingleTxt"/>
        <w:ind w:left="1742"/>
      </w:pPr>
      <w:r w:rsidRPr="00981405">
        <w:t>“</w:t>
      </w:r>
      <w:r w:rsidR="00397032" w:rsidRPr="00981405">
        <w:t>On</w:t>
      </w:r>
      <w:r w:rsidR="00190923" w:rsidRPr="00981405">
        <w:t xml:space="preserve"> </w:t>
      </w:r>
      <w:r w:rsidR="00397032" w:rsidRPr="00981405">
        <w:t>the</w:t>
      </w:r>
      <w:r w:rsidR="00190923" w:rsidRPr="00981405">
        <w:t xml:space="preserve"> </w:t>
      </w:r>
      <w:r w:rsidR="00397032" w:rsidRPr="00981405">
        <w:t>previous</w:t>
      </w:r>
      <w:r w:rsidR="00190923" w:rsidRPr="00981405">
        <w:t xml:space="preserve"> </w:t>
      </w:r>
      <w:r w:rsidR="00397032" w:rsidRPr="00981405">
        <w:t>occasions</w:t>
      </w:r>
      <w:r w:rsidR="00190923" w:rsidRPr="00981405">
        <w:t xml:space="preserve"> </w:t>
      </w:r>
      <w:r w:rsidR="00397032" w:rsidRPr="00981405">
        <w:t>when</w:t>
      </w:r>
      <w:r w:rsidR="00190923" w:rsidRPr="00981405">
        <w:t xml:space="preserve"> </w:t>
      </w:r>
      <w:r w:rsidR="00397032" w:rsidRPr="00981405">
        <w:t>the</w:t>
      </w:r>
      <w:r w:rsidR="00190923" w:rsidRPr="00981405">
        <w:t xml:space="preserve"> </w:t>
      </w:r>
      <w:r w:rsidR="00397032" w:rsidRPr="00981405">
        <w:t>Court</w:t>
      </w:r>
      <w:r w:rsidR="00190923" w:rsidRPr="00981405">
        <w:t xml:space="preserve"> </w:t>
      </w:r>
      <w:r w:rsidR="00397032" w:rsidRPr="00981405">
        <w:t>has</w:t>
      </w:r>
      <w:r w:rsidR="00190923" w:rsidRPr="00981405">
        <w:t xml:space="preserve"> </w:t>
      </w:r>
      <w:r w:rsidR="00397032" w:rsidRPr="00981405">
        <w:t>had</w:t>
      </w:r>
      <w:r w:rsidR="00190923" w:rsidRPr="00981405">
        <w:t xml:space="preserve"> </w:t>
      </w:r>
      <w:r w:rsidR="00397032" w:rsidRPr="00981405">
        <w:t>to</w:t>
      </w:r>
      <w:r w:rsidR="00190923" w:rsidRPr="00981405">
        <w:t xml:space="preserve"> </w:t>
      </w:r>
      <w:r w:rsidR="00397032" w:rsidRPr="00981405">
        <w:t>interpret</w:t>
      </w:r>
      <w:r w:rsidR="00190923" w:rsidRPr="00981405">
        <w:t xml:space="preserve"> </w:t>
      </w:r>
      <w:r w:rsidR="00397032" w:rsidRPr="00981405">
        <w:t>the</w:t>
      </w:r>
      <w:r w:rsidR="00190923" w:rsidRPr="00981405">
        <w:t xml:space="preserve"> </w:t>
      </w:r>
      <w:r w:rsidR="00397032" w:rsidRPr="00981405">
        <w:t>Charter</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United</w:t>
      </w:r>
      <w:r w:rsidR="00190923" w:rsidRPr="00981405">
        <w:t xml:space="preserve"> </w:t>
      </w:r>
      <w:r w:rsidR="00397032" w:rsidRPr="00981405">
        <w:t>Nations,</w:t>
      </w:r>
      <w:r w:rsidR="00190923" w:rsidRPr="00981405">
        <w:t xml:space="preserve"> </w:t>
      </w:r>
      <w:r w:rsidR="00397032" w:rsidRPr="00981405">
        <w:t>it</w:t>
      </w:r>
      <w:r w:rsidR="00190923" w:rsidRPr="00981405">
        <w:t xml:space="preserve"> </w:t>
      </w:r>
      <w:r w:rsidR="00397032" w:rsidRPr="00981405">
        <w:t>has</w:t>
      </w:r>
      <w:r w:rsidR="00190923" w:rsidRPr="00981405">
        <w:t xml:space="preserve"> </w:t>
      </w:r>
      <w:r w:rsidR="00397032" w:rsidRPr="00981405">
        <w:t>followed</w:t>
      </w:r>
      <w:r w:rsidR="00190923" w:rsidRPr="00981405">
        <w:t xml:space="preserve"> </w:t>
      </w:r>
      <w:r w:rsidR="00397032" w:rsidRPr="00981405">
        <w:t>the</w:t>
      </w:r>
      <w:r w:rsidR="00190923" w:rsidRPr="00981405">
        <w:t xml:space="preserve"> </w:t>
      </w:r>
      <w:r w:rsidR="00397032" w:rsidRPr="00981405">
        <w:t>principles</w:t>
      </w:r>
      <w:r w:rsidR="00190923" w:rsidRPr="00981405">
        <w:t xml:space="preserve"> </w:t>
      </w:r>
      <w:r w:rsidR="00397032" w:rsidRPr="00981405">
        <w:t>and</w:t>
      </w:r>
      <w:r w:rsidR="00190923" w:rsidRPr="00981405">
        <w:t xml:space="preserve"> </w:t>
      </w:r>
      <w:r w:rsidR="00397032" w:rsidRPr="00981405">
        <w:t>rules</w:t>
      </w:r>
      <w:r w:rsidR="00190923" w:rsidRPr="00981405">
        <w:t xml:space="preserve"> </w:t>
      </w:r>
      <w:r w:rsidR="00397032" w:rsidRPr="00981405">
        <w:t>applicable</w:t>
      </w:r>
      <w:r w:rsidR="00190923" w:rsidRPr="00981405">
        <w:t xml:space="preserve"> </w:t>
      </w:r>
      <w:r w:rsidR="00397032" w:rsidRPr="00981405">
        <w:t>in</w:t>
      </w:r>
      <w:r w:rsidR="00190923" w:rsidRPr="00981405">
        <w:t xml:space="preserve"> </w:t>
      </w:r>
      <w:r w:rsidR="00397032" w:rsidRPr="00981405">
        <w:t>general</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treaties,</w:t>
      </w:r>
      <w:r w:rsidR="00190923" w:rsidRPr="00981405">
        <w:t xml:space="preserve"> </w:t>
      </w:r>
      <w:r w:rsidR="00397032" w:rsidRPr="00981405">
        <w:t>since</w:t>
      </w:r>
      <w:r w:rsidR="00190923" w:rsidRPr="00981405">
        <w:t xml:space="preserve"> </w:t>
      </w:r>
      <w:r w:rsidR="00397032" w:rsidRPr="00981405">
        <w:t>it</w:t>
      </w:r>
      <w:r w:rsidR="00190923" w:rsidRPr="00981405">
        <w:t xml:space="preserve"> </w:t>
      </w:r>
      <w:r w:rsidR="00397032" w:rsidRPr="00981405">
        <w:t>has</w:t>
      </w:r>
      <w:r w:rsidR="00190923" w:rsidRPr="00981405">
        <w:t xml:space="preserve"> </w:t>
      </w:r>
      <w:r w:rsidR="00397032" w:rsidRPr="00981405">
        <w:t>recognized</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Charter</w:t>
      </w:r>
      <w:r w:rsidR="00190923" w:rsidRPr="00981405">
        <w:t xml:space="preserve"> </w:t>
      </w:r>
      <w:r w:rsidR="00397032" w:rsidRPr="00981405">
        <w:t>is</w:t>
      </w:r>
      <w:r w:rsidR="00190923" w:rsidRPr="00981405">
        <w:t xml:space="preserve"> </w:t>
      </w:r>
      <w:r w:rsidR="00397032" w:rsidRPr="00981405">
        <w:t>a</w:t>
      </w:r>
      <w:r w:rsidR="00190923" w:rsidRPr="00981405">
        <w:t xml:space="preserve"> </w:t>
      </w:r>
      <w:r w:rsidR="00397032" w:rsidRPr="00981405">
        <w:t>multilateral</w:t>
      </w:r>
      <w:r w:rsidR="00190923" w:rsidRPr="00981405">
        <w:t xml:space="preserve"> </w:t>
      </w:r>
      <w:r w:rsidR="00397032" w:rsidRPr="00981405">
        <w:t>treaty,</w:t>
      </w:r>
      <w:r w:rsidR="00190923" w:rsidRPr="00981405">
        <w:t xml:space="preserve"> </w:t>
      </w:r>
      <w:r w:rsidR="00397032" w:rsidRPr="00981405">
        <w:t>albeit</w:t>
      </w:r>
      <w:r w:rsidR="00190923" w:rsidRPr="00981405">
        <w:t xml:space="preserve"> </w:t>
      </w:r>
      <w:r w:rsidR="00397032" w:rsidRPr="00981405">
        <w:t>a</w:t>
      </w:r>
      <w:r w:rsidR="00190923" w:rsidRPr="00981405">
        <w:t xml:space="preserve"> </w:t>
      </w:r>
      <w:r w:rsidR="00397032" w:rsidRPr="00981405">
        <w:t>treaty</w:t>
      </w:r>
      <w:r w:rsidR="00190923" w:rsidRPr="00981405">
        <w:t xml:space="preserve"> </w:t>
      </w:r>
      <w:r w:rsidR="00397032" w:rsidRPr="00981405">
        <w:t>having</w:t>
      </w:r>
      <w:r w:rsidR="00190923" w:rsidRPr="00981405">
        <w:t xml:space="preserve"> </w:t>
      </w:r>
      <w:r w:rsidR="00397032" w:rsidRPr="00981405">
        <w:t>certain</w:t>
      </w:r>
      <w:r w:rsidR="00190923" w:rsidRPr="00981405">
        <w:t xml:space="preserve"> </w:t>
      </w:r>
      <w:r w:rsidR="00397032" w:rsidRPr="00981405">
        <w:t>special</w:t>
      </w:r>
      <w:r w:rsidR="00190923" w:rsidRPr="00981405">
        <w:t xml:space="preserve"> </w:t>
      </w:r>
      <w:r w:rsidR="00397032" w:rsidRPr="00981405">
        <w:t>characteristics.</w:t>
      </w:r>
      <w:r w:rsidRPr="00981405">
        <w:t>”</w:t>
      </w:r>
      <w:r w:rsidR="00397032" w:rsidRPr="00981405">
        <w:rPr>
          <w:rStyle w:val="FootnoteReference"/>
        </w:rPr>
        <w:footnoteReference w:id="307"/>
      </w:r>
    </w:p>
    <w:p w:rsidR="00397032" w:rsidRPr="00981405" w:rsidRDefault="00397032" w:rsidP="00D97463">
      <w:pPr>
        <w:pStyle w:val="SingleTxt"/>
      </w:pPr>
      <w:r w:rsidRPr="00981405">
        <w:t>(8)</w:t>
      </w:r>
      <w:r w:rsidRPr="00981405">
        <w:tab/>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article</w:t>
      </w:r>
      <w:r w:rsidR="00190923" w:rsidRPr="00981405">
        <w:t xml:space="preserve"> </w:t>
      </w:r>
      <w:r w:rsidRPr="00981405">
        <w:t>5</w:t>
      </w:r>
      <w:r w:rsidR="00190923" w:rsidRPr="00981405">
        <w:t xml:space="preserve"> </w:t>
      </w:r>
      <w:r w:rsidRPr="00981405">
        <w:t>suggests,</w:t>
      </w:r>
      <w:r w:rsidR="00190923" w:rsidRPr="00981405">
        <w:t xml:space="preserve"> </w:t>
      </w:r>
      <w:r w:rsidRPr="00981405">
        <w:t>and</w:t>
      </w:r>
      <w:r w:rsidR="00190923" w:rsidRPr="00981405">
        <w:t xml:space="preserve"> </w:t>
      </w:r>
      <w:r w:rsidRPr="00981405">
        <w:t>decisions</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courts</w:t>
      </w:r>
      <w:r w:rsidR="00190923" w:rsidRPr="00981405">
        <w:t xml:space="preserve"> </w:t>
      </w:r>
      <w:r w:rsidRPr="00981405">
        <w:t>confirm,</w:t>
      </w:r>
      <w:r w:rsidR="00190923" w:rsidRPr="00981405">
        <w:t xml:space="preserve"> </w:t>
      </w:r>
      <w:r w:rsidRPr="00981405">
        <w:t>that</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are</w:t>
      </w:r>
      <w:r w:rsidR="00190923" w:rsidRPr="00981405">
        <w:t xml:space="preserve"> </w:t>
      </w:r>
      <w:r w:rsidRPr="00981405">
        <w:t>also</w:t>
      </w:r>
      <w:r w:rsidR="00190923" w:rsidRPr="00981405">
        <w:t xml:space="preserve"> </w:t>
      </w:r>
      <w:r w:rsidRPr="00981405">
        <w:t>treaties</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type</w:t>
      </w:r>
      <w:r w:rsidR="00190923" w:rsidRPr="00981405">
        <w:t xml:space="preserve"> </w:t>
      </w:r>
      <w:r w:rsidRPr="00981405">
        <w:t>which</w:t>
      </w:r>
      <w:r w:rsidR="00190923" w:rsidRPr="00981405">
        <w:t xml:space="preserve"> </w:t>
      </w:r>
      <w:r w:rsidRPr="00981405">
        <w:t>may</w:t>
      </w:r>
      <w:r w:rsidR="00190923" w:rsidRPr="00981405">
        <w:t xml:space="preserve"> </w:t>
      </w:r>
      <w:r w:rsidRPr="00981405">
        <w:t>need</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a</w:t>
      </w:r>
      <w:r w:rsidR="00190923" w:rsidRPr="00981405">
        <w:t xml:space="preserve"> </w:t>
      </w:r>
      <w:r w:rsidRPr="00981405">
        <w:t>specific</w:t>
      </w:r>
      <w:r w:rsidR="00190923" w:rsidRPr="00981405">
        <w:t xml:space="preserve"> </w:t>
      </w:r>
      <w:r w:rsidRPr="00981405">
        <w:t>way.</w:t>
      </w:r>
      <w:r w:rsidR="00190923" w:rsidRPr="00981405">
        <w:t xml:space="preserve"> </w:t>
      </w:r>
      <w:r w:rsidRPr="00981405">
        <w:t>Accordingly,</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has</w:t>
      </w:r>
      <w:r w:rsidR="00190923" w:rsidRPr="00981405">
        <w:t xml:space="preserve"> </w:t>
      </w:r>
      <w:r w:rsidRPr="00981405">
        <w:t>stated:</w:t>
      </w:r>
    </w:p>
    <w:p w:rsidR="00397032" w:rsidRPr="00981405" w:rsidRDefault="00B92E2C" w:rsidP="00D97463">
      <w:pPr>
        <w:pStyle w:val="SingleTxt"/>
        <w:ind w:left="1742"/>
      </w:pPr>
      <w:r w:rsidRPr="00981405">
        <w:t>“</w:t>
      </w:r>
      <w:r w:rsidR="00397032" w:rsidRPr="00981405">
        <w:t>But</w:t>
      </w:r>
      <w:r w:rsidR="00190923" w:rsidRPr="00981405">
        <w:t xml:space="preserve"> </w:t>
      </w:r>
      <w:r w:rsidR="00397032" w:rsidRPr="00981405">
        <w:t>the</w:t>
      </w:r>
      <w:r w:rsidR="00190923" w:rsidRPr="00981405">
        <w:t xml:space="preserve"> </w:t>
      </w:r>
      <w:r w:rsidR="00397032" w:rsidRPr="00981405">
        <w:t>constituent</w:t>
      </w:r>
      <w:r w:rsidR="00190923" w:rsidRPr="00981405">
        <w:t xml:space="preserve"> </w:t>
      </w:r>
      <w:r w:rsidR="00397032" w:rsidRPr="00981405">
        <w:t>instruments</w:t>
      </w:r>
      <w:r w:rsidR="00190923" w:rsidRPr="00981405">
        <w:t xml:space="preserve"> </w:t>
      </w:r>
      <w:r w:rsidR="00397032" w:rsidRPr="00981405">
        <w:t>of</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are</w:t>
      </w:r>
      <w:r w:rsidR="00190923" w:rsidRPr="00981405">
        <w:t xml:space="preserve"> </w:t>
      </w:r>
      <w:r w:rsidR="00397032" w:rsidRPr="00981405">
        <w:t>also</w:t>
      </w:r>
      <w:r w:rsidR="00190923" w:rsidRPr="00981405">
        <w:t xml:space="preserve"> </w:t>
      </w:r>
      <w:r w:rsidR="00397032" w:rsidRPr="00981405">
        <w:t>treaties</w:t>
      </w:r>
      <w:r w:rsidR="00190923" w:rsidRPr="00981405">
        <w:t xml:space="preserve"> </w:t>
      </w:r>
      <w:r w:rsidR="00397032" w:rsidRPr="00981405">
        <w:t>of</w:t>
      </w:r>
      <w:r w:rsidR="00190923" w:rsidRPr="00981405">
        <w:t xml:space="preserve"> </w:t>
      </w:r>
      <w:r w:rsidR="00397032" w:rsidRPr="00981405">
        <w:t>a</w:t>
      </w:r>
      <w:r w:rsidR="00190923" w:rsidRPr="00981405">
        <w:t xml:space="preserve"> </w:t>
      </w:r>
      <w:r w:rsidR="00397032" w:rsidRPr="00981405">
        <w:t>particular</w:t>
      </w:r>
      <w:r w:rsidR="00190923" w:rsidRPr="00981405">
        <w:t xml:space="preserve"> </w:t>
      </w:r>
      <w:r w:rsidR="00397032" w:rsidRPr="00981405">
        <w:t>type;</w:t>
      </w:r>
      <w:r w:rsidR="00190923" w:rsidRPr="00981405">
        <w:t xml:space="preserve"> </w:t>
      </w:r>
      <w:r w:rsidR="00397032" w:rsidRPr="00981405">
        <w:t>their</w:t>
      </w:r>
      <w:r w:rsidR="00190923" w:rsidRPr="00981405">
        <w:t xml:space="preserve"> </w:t>
      </w:r>
      <w:r w:rsidR="00397032" w:rsidRPr="00981405">
        <w:t>object</w:t>
      </w:r>
      <w:r w:rsidR="00190923" w:rsidRPr="00981405">
        <w:t xml:space="preserve"> </w:t>
      </w:r>
      <w:r w:rsidR="00397032" w:rsidRPr="00981405">
        <w:t>is</w:t>
      </w:r>
      <w:r w:rsidR="00190923" w:rsidRPr="00981405">
        <w:t xml:space="preserve"> </w:t>
      </w:r>
      <w:r w:rsidR="00397032" w:rsidRPr="00981405">
        <w:t>to</w:t>
      </w:r>
      <w:r w:rsidR="00190923" w:rsidRPr="00981405">
        <w:t xml:space="preserve"> </w:t>
      </w:r>
      <w:r w:rsidR="00397032" w:rsidRPr="00981405">
        <w:t>create</w:t>
      </w:r>
      <w:r w:rsidR="00190923" w:rsidRPr="00981405">
        <w:t xml:space="preserve"> </w:t>
      </w:r>
      <w:r w:rsidR="00397032" w:rsidRPr="00981405">
        <w:t>new</w:t>
      </w:r>
      <w:r w:rsidR="00190923" w:rsidRPr="00981405">
        <w:t xml:space="preserve"> </w:t>
      </w:r>
      <w:r w:rsidR="00397032" w:rsidRPr="00981405">
        <w:t>subjects</w:t>
      </w:r>
      <w:r w:rsidR="00190923" w:rsidRPr="00981405">
        <w:t xml:space="preserve"> </w:t>
      </w:r>
      <w:r w:rsidR="00397032" w:rsidRPr="00981405">
        <w:t>of</w:t>
      </w:r>
      <w:r w:rsidR="00190923" w:rsidRPr="00981405">
        <w:t xml:space="preserve"> </w:t>
      </w:r>
      <w:r w:rsidR="00397032" w:rsidRPr="00981405">
        <w:t>law</w:t>
      </w:r>
      <w:r w:rsidR="00190923" w:rsidRPr="00981405">
        <w:t xml:space="preserve"> </w:t>
      </w:r>
      <w:r w:rsidR="00397032" w:rsidRPr="00981405">
        <w:t>endowed</w:t>
      </w:r>
      <w:r w:rsidR="00190923" w:rsidRPr="00981405">
        <w:t xml:space="preserve"> </w:t>
      </w:r>
      <w:r w:rsidR="00397032" w:rsidRPr="00981405">
        <w:t>with</w:t>
      </w:r>
      <w:r w:rsidR="00190923" w:rsidRPr="00981405">
        <w:t xml:space="preserve"> </w:t>
      </w:r>
      <w:r w:rsidR="00397032" w:rsidRPr="00981405">
        <w:t>a</w:t>
      </w:r>
      <w:r w:rsidR="00190923" w:rsidRPr="00981405">
        <w:t xml:space="preserve"> </w:t>
      </w:r>
      <w:r w:rsidR="00397032" w:rsidRPr="00981405">
        <w:t>certain</w:t>
      </w:r>
      <w:r w:rsidR="00190923" w:rsidRPr="00981405">
        <w:t xml:space="preserve"> </w:t>
      </w:r>
      <w:r w:rsidR="00397032" w:rsidRPr="00981405">
        <w:t>autonomy,</w:t>
      </w:r>
      <w:r w:rsidR="00190923" w:rsidRPr="00981405">
        <w:t xml:space="preserve"> </w:t>
      </w:r>
      <w:r w:rsidR="00397032" w:rsidRPr="00981405">
        <w:t>to</w:t>
      </w:r>
      <w:r w:rsidR="00190923" w:rsidRPr="00981405">
        <w:t xml:space="preserve"> </w:t>
      </w:r>
      <w:r w:rsidR="00397032" w:rsidRPr="00981405">
        <w:t>which</w:t>
      </w:r>
      <w:r w:rsidR="00190923" w:rsidRPr="00981405">
        <w:t xml:space="preserve"> </w:t>
      </w:r>
      <w:r w:rsidR="00397032" w:rsidRPr="00981405">
        <w:t>the</w:t>
      </w:r>
      <w:r w:rsidR="00190923" w:rsidRPr="00981405">
        <w:t xml:space="preserve"> </w:t>
      </w:r>
      <w:r w:rsidR="00397032" w:rsidRPr="00981405">
        <w:t>parties</w:t>
      </w:r>
      <w:r w:rsidR="00190923" w:rsidRPr="00981405">
        <w:t xml:space="preserve"> </w:t>
      </w:r>
      <w:r w:rsidR="00397032" w:rsidRPr="00981405">
        <w:t>entrust</w:t>
      </w:r>
      <w:r w:rsidR="00190923" w:rsidRPr="00981405">
        <w:t xml:space="preserve"> </w:t>
      </w:r>
      <w:r w:rsidR="00397032" w:rsidRPr="00981405">
        <w:t>the</w:t>
      </w:r>
      <w:r w:rsidR="00190923" w:rsidRPr="00981405">
        <w:t xml:space="preserve"> </w:t>
      </w:r>
      <w:r w:rsidR="00397032" w:rsidRPr="00981405">
        <w:t>task</w:t>
      </w:r>
      <w:r w:rsidR="00190923" w:rsidRPr="00981405">
        <w:t xml:space="preserve"> </w:t>
      </w:r>
      <w:r w:rsidR="00397032" w:rsidRPr="00981405">
        <w:t>of</w:t>
      </w:r>
      <w:r w:rsidR="00190923" w:rsidRPr="00981405">
        <w:t xml:space="preserve"> </w:t>
      </w:r>
      <w:r w:rsidR="00397032" w:rsidRPr="00981405">
        <w:t>realizing</w:t>
      </w:r>
      <w:r w:rsidR="00190923" w:rsidRPr="00981405">
        <w:t xml:space="preserve"> </w:t>
      </w:r>
      <w:r w:rsidR="00397032" w:rsidRPr="00981405">
        <w:t>common</w:t>
      </w:r>
      <w:r w:rsidR="00190923" w:rsidRPr="00981405">
        <w:t xml:space="preserve"> </w:t>
      </w:r>
      <w:r w:rsidR="00397032" w:rsidRPr="00981405">
        <w:t>goals.</w:t>
      </w:r>
      <w:r w:rsidR="00190923" w:rsidRPr="00981405">
        <w:t xml:space="preserve"> </w:t>
      </w:r>
      <w:r w:rsidR="00397032" w:rsidRPr="00981405">
        <w:t>Such</w:t>
      </w:r>
      <w:r w:rsidR="00190923" w:rsidRPr="00981405">
        <w:t xml:space="preserve"> </w:t>
      </w:r>
      <w:r w:rsidR="00397032" w:rsidRPr="00981405">
        <w:t>treaties</w:t>
      </w:r>
      <w:r w:rsidR="00190923" w:rsidRPr="00981405">
        <w:t xml:space="preserve"> </w:t>
      </w:r>
      <w:r w:rsidR="00397032" w:rsidRPr="00981405">
        <w:t>can</w:t>
      </w:r>
      <w:r w:rsidR="00190923" w:rsidRPr="00981405">
        <w:t xml:space="preserve"> </w:t>
      </w:r>
      <w:r w:rsidR="00397032" w:rsidRPr="00981405">
        <w:t>raise</w:t>
      </w:r>
      <w:r w:rsidR="00190923" w:rsidRPr="00981405">
        <w:t xml:space="preserve"> </w:t>
      </w:r>
      <w:r w:rsidR="00397032" w:rsidRPr="00981405">
        <w:t>specific</w:t>
      </w:r>
      <w:r w:rsidR="00190923" w:rsidRPr="00981405">
        <w:t xml:space="preserve"> </w:t>
      </w:r>
      <w:r w:rsidR="00397032" w:rsidRPr="00981405">
        <w:t>problems</w:t>
      </w:r>
      <w:r w:rsidR="00190923" w:rsidRPr="00981405">
        <w:t xml:space="preserve"> </w:t>
      </w:r>
      <w:r w:rsidR="00397032" w:rsidRPr="00981405">
        <w:t>of</w:t>
      </w:r>
      <w:r w:rsidR="00190923" w:rsidRPr="00981405">
        <w:t xml:space="preserve"> </w:t>
      </w:r>
      <w:r w:rsidR="00397032" w:rsidRPr="00981405">
        <w:t>interpretation</w:t>
      </w:r>
      <w:r w:rsidR="00190923" w:rsidRPr="00981405">
        <w:t xml:space="preserve"> </w:t>
      </w:r>
      <w:r w:rsidR="00397032" w:rsidRPr="00981405">
        <w:t>owing,</w:t>
      </w:r>
      <w:r w:rsidR="00190923" w:rsidRPr="00981405">
        <w:t xml:space="preserve"> </w:t>
      </w:r>
      <w:r w:rsidR="00397032" w:rsidRPr="00981405">
        <w:rPr>
          <w:i/>
          <w:iCs/>
        </w:rPr>
        <w:t>inter</w:t>
      </w:r>
      <w:r w:rsidR="00190923" w:rsidRPr="00981405">
        <w:rPr>
          <w:i/>
          <w:iCs/>
        </w:rPr>
        <w:t xml:space="preserve"> </w:t>
      </w:r>
      <w:r w:rsidR="00397032" w:rsidRPr="00981405">
        <w:rPr>
          <w:i/>
          <w:iCs/>
        </w:rPr>
        <w:t>alia</w:t>
      </w:r>
      <w:r w:rsidR="00397032" w:rsidRPr="00981405">
        <w:t>,</w:t>
      </w:r>
      <w:r w:rsidR="00190923" w:rsidRPr="00981405">
        <w:t xml:space="preserve"> </w:t>
      </w:r>
      <w:r w:rsidR="00397032" w:rsidRPr="00981405">
        <w:t>to</w:t>
      </w:r>
      <w:r w:rsidR="00190923" w:rsidRPr="00981405">
        <w:t xml:space="preserve"> </w:t>
      </w:r>
      <w:r w:rsidR="00397032" w:rsidRPr="00981405">
        <w:t>their</w:t>
      </w:r>
      <w:r w:rsidR="00190923" w:rsidRPr="00981405">
        <w:t xml:space="preserve"> </w:t>
      </w:r>
      <w:r w:rsidR="00397032" w:rsidRPr="00981405">
        <w:t>character</w:t>
      </w:r>
      <w:r w:rsidR="00190923" w:rsidRPr="00981405">
        <w:t xml:space="preserve"> </w:t>
      </w:r>
      <w:r w:rsidR="00397032" w:rsidRPr="00981405">
        <w:t>which</w:t>
      </w:r>
      <w:r w:rsidR="00190923" w:rsidRPr="00981405">
        <w:t xml:space="preserve"> </w:t>
      </w:r>
      <w:r w:rsidR="00397032" w:rsidRPr="00981405">
        <w:t>is</w:t>
      </w:r>
      <w:r w:rsidR="00190923" w:rsidRPr="00981405">
        <w:t xml:space="preserve"> </w:t>
      </w:r>
      <w:r w:rsidR="00397032" w:rsidRPr="00981405">
        <w:t>conventional</w:t>
      </w:r>
      <w:r w:rsidR="00190923" w:rsidRPr="00981405">
        <w:t xml:space="preserve"> </w:t>
      </w:r>
      <w:r w:rsidR="00397032" w:rsidRPr="00981405">
        <w:t>and</w:t>
      </w:r>
      <w:r w:rsidR="00190923" w:rsidRPr="00981405">
        <w:t xml:space="preserve"> </w:t>
      </w:r>
      <w:r w:rsidR="00397032" w:rsidRPr="00981405">
        <w:t>at</w:t>
      </w:r>
      <w:r w:rsidR="00190923" w:rsidRPr="00981405">
        <w:t xml:space="preserve"> </w:t>
      </w:r>
      <w:r w:rsidR="00397032" w:rsidRPr="00981405">
        <w:t>the</w:t>
      </w:r>
      <w:r w:rsidR="00190923" w:rsidRPr="00981405">
        <w:t xml:space="preserve"> </w:t>
      </w:r>
      <w:r w:rsidR="00397032" w:rsidRPr="00981405">
        <w:t>same</w:t>
      </w:r>
      <w:r w:rsidR="00190923" w:rsidRPr="00981405">
        <w:t xml:space="preserve"> </w:t>
      </w:r>
      <w:r w:rsidR="00397032" w:rsidRPr="00981405">
        <w:t>time</w:t>
      </w:r>
      <w:r w:rsidR="00190923" w:rsidRPr="00981405">
        <w:t xml:space="preserve"> </w:t>
      </w:r>
      <w:r w:rsidR="00397032" w:rsidRPr="00981405">
        <w:t>institutional;</w:t>
      </w:r>
      <w:r w:rsidR="00190923" w:rsidRPr="00981405">
        <w:t xml:space="preserve"> </w:t>
      </w:r>
      <w:r w:rsidR="00397032" w:rsidRPr="00981405">
        <w:t>the</w:t>
      </w:r>
      <w:r w:rsidR="00190923" w:rsidRPr="00981405">
        <w:t xml:space="preserve"> </w:t>
      </w:r>
      <w:r w:rsidR="00397032" w:rsidRPr="00981405">
        <w:t>very</w:t>
      </w:r>
      <w:r w:rsidR="00190923" w:rsidRPr="00981405">
        <w:t xml:space="preserve"> </w:t>
      </w:r>
      <w:r w:rsidR="00397032" w:rsidRPr="00981405">
        <w:t>nature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00190923" w:rsidRPr="00981405">
        <w:t xml:space="preserve"> </w:t>
      </w:r>
      <w:r w:rsidR="00397032" w:rsidRPr="00981405">
        <w:t>created,</w:t>
      </w:r>
      <w:r w:rsidR="00190923" w:rsidRPr="00981405">
        <w:t xml:space="preserve"> </w:t>
      </w:r>
      <w:r w:rsidR="00397032" w:rsidRPr="00981405">
        <w:t>the</w:t>
      </w:r>
      <w:r w:rsidR="00190923" w:rsidRPr="00981405">
        <w:t xml:space="preserve"> </w:t>
      </w:r>
      <w:r w:rsidR="00397032" w:rsidRPr="00981405">
        <w:t>objectives</w:t>
      </w:r>
      <w:r w:rsidR="00190923" w:rsidRPr="00981405">
        <w:t xml:space="preserve"> </w:t>
      </w:r>
      <w:r w:rsidR="00397032" w:rsidRPr="00981405">
        <w:t>which</w:t>
      </w:r>
      <w:r w:rsidR="00190923" w:rsidRPr="00981405">
        <w:t xml:space="preserve"> </w:t>
      </w:r>
      <w:r w:rsidR="00397032" w:rsidRPr="00981405">
        <w:t>have</w:t>
      </w:r>
      <w:r w:rsidR="00190923" w:rsidRPr="00981405">
        <w:t xml:space="preserve"> </w:t>
      </w:r>
      <w:r w:rsidR="00397032" w:rsidRPr="00981405">
        <w:t>been</w:t>
      </w:r>
      <w:r w:rsidR="00190923" w:rsidRPr="00981405">
        <w:t xml:space="preserve"> </w:t>
      </w:r>
      <w:r w:rsidR="00397032" w:rsidRPr="00981405">
        <w:t>assigned</w:t>
      </w:r>
      <w:r w:rsidR="00190923" w:rsidRPr="00981405">
        <w:t xml:space="preserve"> </w:t>
      </w:r>
      <w:r w:rsidR="00397032" w:rsidRPr="00981405">
        <w:t>to</w:t>
      </w:r>
      <w:r w:rsidR="00190923" w:rsidRPr="00981405">
        <w:t xml:space="preserve"> </w:t>
      </w:r>
      <w:r w:rsidR="00397032" w:rsidRPr="00981405">
        <w:t>it</w:t>
      </w:r>
      <w:r w:rsidR="00190923" w:rsidRPr="00981405">
        <w:t xml:space="preserve"> </w:t>
      </w:r>
      <w:r w:rsidR="00397032" w:rsidRPr="00981405">
        <w:t>by</w:t>
      </w:r>
      <w:r w:rsidR="00190923" w:rsidRPr="00981405">
        <w:t xml:space="preserve"> </w:t>
      </w:r>
      <w:r w:rsidR="00397032" w:rsidRPr="00981405">
        <w:t>its</w:t>
      </w:r>
      <w:r w:rsidR="00190923" w:rsidRPr="00981405">
        <w:t xml:space="preserve"> </w:t>
      </w:r>
      <w:r w:rsidR="00397032" w:rsidRPr="00981405">
        <w:t>founders,</w:t>
      </w:r>
      <w:r w:rsidR="00190923" w:rsidRPr="00981405">
        <w:t xml:space="preserve"> </w:t>
      </w:r>
      <w:r w:rsidR="00397032" w:rsidRPr="00981405">
        <w:t>the</w:t>
      </w:r>
      <w:r w:rsidR="00190923" w:rsidRPr="00981405">
        <w:t xml:space="preserve"> </w:t>
      </w:r>
      <w:r w:rsidR="00397032" w:rsidRPr="00981405">
        <w:t>imperatives</w:t>
      </w:r>
      <w:r w:rsidR="00190923" w:rsidRPr="00981405">
        <w:t xml:space="preserve"> </w:t>
      </w:r>
      <w:r w:rsidR="00397032" w:rsidRPr="00981405">
        <w:t>associated</w:t>
      </w:r>
      <w:r w:rsidR="00190923" w:rsidRPr="00981405">
        <w:t xml:space="preserve"> </w:t>
      </w:r>
      <w:r w:rsidR="00397032" w:rsidRPr="00981405">
        <w:t>with</w:t>
      </w:r>
      <w:r w:rsidR="00190923" w:rsidRPr="00981405">
        <w:t xml:space="preserve"> </w:t>
      </w:r>
      <w:r w:rsidR="00397032" w:rsidRPr="00981405">
        <w:t>the</w:t>
      </w:r>
      <w:r w:rsidR="00190923" w:rsidRPr="00981405">
        <w:t xml:space="preserve"> </w:t>
      </w:r>
      <w:r w:rsidR="00397032" w:rsidRPr="00981405">
        <w:t>effective</w:t>
      </w:r>
      <w:r w:rsidR="00190923" w:rsidRPr="00981405">
        <w:t xml:space="preserve"> </w:t>
      </w:r>
      <w:r w:rsidR="00397032" w:rsidRPr="00981405">
        <w:t>performance</w:t>
      </w:r>
      <w:r w:rsidR="00190923" w:rsidRPr="00981405">
        <w:t xml:space="preserve"> </w:t>
      </w:r>
      <w:r w:rsidR="00397032" w:rsidRPr="00981405">
        <w:t>of</w:t>
      </w:r>
      <w:r w:rsidR="00190923" w:rsidRPr="00981405">
        <w:t xml:space="preserve"> </w:t>
      </w:r>
      <w:r w:rsidR="00397032" w:rsidRPr="00981405">
        <w:t>its</w:t>
      </w:r>
      <w:r w:rsidR="00190923" w:rsidRPr="00981405">
        <w:t xml:space="preserve"> </w:t>
      </w:r>
      <w:r w:rsidR="00397032" w:rsidRPr="00981405">
        <w:t>functions,</w:t>
      </w:r>
      <w:r w:rsidR="00190923" w:rsidRPr="00981405">
        <w:t xml:space="preserve"> </w:t>
      </w:r>
      <w:r w:rsidR="00397032" w:rsidRPr="00981405">
        <w:t>as</w:t>
      </w:r>
      <w:r w:rsidR="00190923" w:rsidRPr="00981405">
        <w:t xml:space="preserve"> </w:t>
      </w:r>
      <w:r w:rsidR="00397032" w:rsidRPr="00981405">
        <w:t>well</w:t>
      </w:r>
      <w:r w:rsidR="00190923" w:rsidRPr="00981405">
        <w:t xml:space="preserve"> </w:t>
      </w:r>
      <w:r w:rsidR="00397032" w:rsidRPr="00981405">
        <w:t>as</w:t>
      </w:r>
      <w:r w:rsidR="00190923" w:rsidRPr="00981405">
        <w:t xml:space="preserve"> </w:t>
      </w:r>
      <w:r w:rsidR="00397032" w:rsidRPr="00981405">
        <w:t>its</w:t>
      </w:r>
      <w:r w:rsidR="00190923" w:rsidRPr="00981405">
        <w:t xml:space="preserve"> </w:t>
      </w:r>
      <w:r w:rsidR="00397032" w:rsidRPr="00981405">
        <w:t>own</w:t>
      </w:r>
      <w:r w:rsidR="00190923" w:rsidRPr="00981405">
        <w:t xml:space="preserve"> </w:t>
      </w:r>
      <w:r w:rsidR="00397032" w:rsidRPr="00981405">
        <w:t>practice,</w:t>
      </w:r>
      <w:r w:rsidR="00190923" w:rsidRPr="00981405">
        <w:t xml:space="preserve"> </w:t>
      </w:r>
      <w:r w:rsidR="00397032" w:rsidRPr="00981405">
        <w:t>are</w:t>
      </w:r>
      <w:r w:rsidR="00190923" w:rsidRPr="00981405">
        <w:t xml:space="preserve"> </w:t>
      </w:r>
      <w:r w:rsidR="00397032" w:rsidRPr="00981405">
        <w:t>all</w:t>
      </w:r>
      <w:r w:rsidR="00190923" w:rsidRPr="00981405">
        <w:t xml:space="preserve"> </w:t>
      </w:r>
      <w:r w:rsidR="00397032" w:rsidRPr="00981405">
        <w:t>elements</w:t>
      </w:r>
      <w:r w:rsidR="00190923" w:rsidRPr="00981405">
        <w:t xml:space="preserve"> </w:t>
      </w:r>
      <w:r w:rsidR="00397032" w:rsidRPr="00981405">
        <w:t>which</w:t>
      </w:r>
      <w:r w:rsidR="00190923" w:rsidRPr="00981405">
        <w:t xml:space="preserve"> </w:t>
      </w:r>
      <w:r w:rsidR="00397032" w:rsidRPr="00981405">
        <w:t>may</w:t>
      </w:r>
      <w:r w:rsidR="00190923" w:rsidRPr="00981405">
        <w:t xml:space="preserve"> </w:t>
      </w:r>
      <w:r w:rsidR="00397032" w:rsidRPr="00981405">
        <w:t>deserve</w:t>
      </w:r>
      <w:r w:rsidR="00190923" w:rsidRPr="00981405">
        <w:t xml:space="preserve"> </w:t>
      </w:r>
      <w:r w:rsidR="00397032" w:rsidRPr="00981405">
        <w:t>special</w:t>
      </w:r>
      <w:r w:rsidR="00190923" w:rsidRPr="00981405">
        <w:t xml:space="preserve"> </w:t>
      </w:r>
      <w:r w:rsidR="00397032" w:rsidRPr="00981405">
        <w:t>attention</w:t>
      </w:r>
      <w:r w:rsidR="00190923" w:rsidRPr="00981405">
        <w:t xml:space="preserve"> </w:t>
      </w:r>
      <w:r w:rsidR="00397032" w:rsidRPr="00981405">
        <w:t>when</w:t>
      </w:r>
      <w:r w:rsidR="00190923" w:rsidRPr="00981405">
        <w:t xml:space="preserve"> </w:t>
      </w:r>
      <w:r w:rsidR="00397032" w:rsidRPr="00981405">
        <w:t>the</w:t>
      </w:r>
      <w:r w:rsidR="00190923" w:rsidRPr="00981405">
        <w:t xml:space="preserve"> </w:t>
      </w:r>
      <w:r w:rsidR="00397032" w:rsidRPr="00981405">
        <w:t>time</w:t>
      </w:r>
      <w:r w:rsidR="00190923" w:rsidRPr="00981405">
        <w:t xml:space="preserve"> </w:t>
      </w:r>
      <w:r w:rsidR="00397032" w:rsidRPr="00981405">
        <w:t>comes</w:t>
      </w:r>
      <w:r w:rsidR="00190923" w:rsidRPr="00981405">
        <w:t xml:space="preserve"> </w:t>
      </w:r>
      <w:r w:rsidR="00397032" w:rsidRPr="00981405">
        <w:t>to</w:t>
      </w:r>
      <w:r w:rsidR="00190923" w:rsidRPr="00981405">
        <w:t xml:space="preserve"> </w:t>
      </w:r>
      <w:r w:rsidR="00397032" w:rsidRPr="00981405">
        <w:t>interpret</w:t>
      </w:r>
      <w:r w:rsidR="00190923" w:rsidRPr="00981405">
        <w:t xml:space="preserve"> </w:t>
      </w:r>
      <w:r w:rsidR="00397032" w:rsidRPr="00981405">
        <w:t>these</w:t>
      </w:r>
      <w:r w:rsidR="00190923" w:rsidRPr="00981405">
        <w:t xml:space="preserve"> </w:t>
      </w:r>
      <w:r w:rsidR="00397032" w:rsidRPr="00981405">
        <w:t>constituent</w:t>
      </w:r>
      <w:r w:rsidR="00190923" w:rsidRPr="00981405">
        <w:t xml:space="preserve"> </w:t>
      </w:r>
      <w:r w:rsidR="00397032" w:rsidRPr="00981405">
        <w:t>treaties.</w:t>
      </w:r>
      <w:bookmarkStart w:id="104" w:name="_Ref414478666"/>
      <w:r w:rsidRPr="00981405">
        <w:t>”</w:t>
      </w:r>
      <w:r w:rsidR="00397032" w:rsidRPr="00981405">
        <w:rPr>
          <w:rStyle w:val="FootnoteReference"/>
        </w:rPr>
        <w:footnoteReference w:id="308"/>
      </w:r>
      <w:bookmarkEnd w:id="104"/>
    </w:p>
    <w:p w:rsidR="00397032" w:rsidRPr="00981405" w:rsidRDefault="00397032" w:rsidP="00D97463">
      <w:pPr>
        <w:pStyle w:val="SingleTxt"/>
      </w:pPr>
      <w:r w:rsidRPr="00981405">
        <w:t>(9)</w:t>
      </w:r>
      <w:r w:rsidRPr="00981405">
        <w:tab/>
        <w:t>The</w:t>
      </w:r>
      <w:r w:rsidR="00190923" w:rsidRPr="00981405">
        <w:t xml:space="preserve"> </w:t>
      </w:r>
      <w:r w:rsidRPr="00D97463">
        <w:rPr>
          <w:i/>
          <w:iCs/>
        </w:rPr>
        <w:t>second</w:t>
      </w:r>
      <w:r w:rsidR="00190923" w:rsidRPr="00981405">
        <w:rPr>
          <w:i/>
          <w:iCs/>
        </w:rPr>
        <w:t xml:space="preserve"> </w:t>
      </w:r>
      <w:r w:rsidRPr="00D97463">
        <w:rPr>
          <w:i/>
          <w:iCs/>
        </w:rPr>
        <w:t>sentence</w:t>
      </w:r>
      <w:r w:rsidR="00190923" w:rsidRPr="00981405">
        <w:rPr>
          <w:i/>
          <w:iCs/>
        </w:rPr>
        <w:t xml:space="preserve"> </w:t>
      </w:r>
      <w:r w:rsidRPr="00D97463">
        <w:rPr>
          <w:i/>
          <w:iCs/>
        </w:rPr>
        <w:t>of</w:t>
      </w:r>
      <w:r w:rsidR="00190923" w:rsidRPr="00981405">
        <w:rPr>
          <w:i/>
          <w:iCs/>
        </w:rPr>
        <w:t xml:space="preserve"> </w:t>
      </w:r>
      <w:r w:rsidRPr="00D97463">
        <w:rPr>
          <w:i/>
          <w:iCs/>
        </w:rPr>
        <w:t>paragraph</w:t>
      </w:r>
      <w:r w:rsidR="00190923" w:rsidRPr="00981405">
        <w:rPr>
          <w:i/>
          <w:iCs/>
        </w:rPr>
        <w:t xml:space="preserve"> </w:t>
      </w:r>
      <w:r w:rsidRPr="00D97463">
        <w:rPr>
          <w:i/>
          <w:iCs/>
        </w:rPr>
        <w:t>1</w:t>
      </w:r>
      <w:r w:rsidR="00190923" w:rsidRPr="00981405">
        <w:rPr>
          <w:i/>
          <w:iCs/>
        </w:rPr>
        <w:t xml:space="preserve"> </w:t>
      </w:r>
      <w:r w:rsidRPr="00D97463">
        <w:rPr>
          <w:i/>
          <w:iCs/>
        </w:rPr>
        <w:t>of</w:t>
      </w:r>
      <w:r w:rsidR="00190923" w:rsidRPr="00981405">
        <w:rPr>
          <w:i/>
          <w:iCs/>
        </w:rPr>
        <w:t xml:space="preserve"> </w:t>
      </w:r>
      <w:r w:rsidRPr="00D97463">
        <w:rPr>
          <w:i/>
          <w:iCs/>
        </w:rPr>
        <w:t>draft</w:t>
      </w:r>
      <w:r w:rsidR="00190923" w:rsidRPr="00981405">
        <w:rPr>
          <w:i/>
          <w:iCs/>
        </w:rPr>
        <w:t xml:space="preserve"> </w:t>
      </w:r>
      <w:r w:rsidRPr="00D97463">
        <w:rPr>
          <w:i/>
          <w:iCs/>
        </w:rPr>
        <w:t>conclusion</w:t>
      </w:r>
      <w:r w:rsidR="00190923" w:rsidRPr="00981405">
        <w:rPr>
          <w:i/>
          <w:iCs/>
        </w:rPr>
        <w:t xml:space="preserve"> </w:t>
      </w:r>
      <w:r w:rsidRPr="00D97463">
        <w:rPr>
          <w:i/>
          <w:iCs/>
        </w:rPr>
        <w:t>11</w:t>
      </w:r>
      <w:r w:rsidR="00190923" w:rsidRPr="00981405">
        <w:t xml:space="preserve"> </w:t>
      </w:r>
      <w:r w:rsidRPr="00981405">
        <w:t>more</w:t>
      </w:r>
      <w:r w:rsidR="00190923" w:rsidRPr="00981405">
        <w:t xml:space="preserve"> </w:t>
      </w:r>
      <w:r w:rsidRPr="00981405">
        <w:t>specifically</w:t>
      </w:r>
      <w:r w:rsidR="00190923" w:rsidRPr="00981405">
        <w:t xml:space="preserve"> </w:t>
      </w:r>
      <w:r w:rsidRPr="00981405">
        <w:t>refers</w:t>
      </w:r>
      <w:r w:rsidR="00190923" w:rsidRPr="00981405">
        <w:t xml:space="preserve"> </w:t>
      </w:r>
      <w:r w:rsidRPr="00981405">
        <w:t>to</w:t>
      </w:r>
      <w:r w:rsidR="00190923" w:rsidRPr="00981405">
        <w:t xml:space="preserve"> </w:t>
      </w:r>
      <w:r w:rsidRPr="00981405">
        <w:t>elements</w:t>
      </w:r>
      <w:r w:rsidR="00190923" w:rsidRPr="00981405">
        <w:t xml:space="preserve"> </w:t>
      </w:r>
      <w:r w:rsidRPr="00981405">
        <w:t>of</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which</w:t>
      </w:r>
      <w:r w:rsidR="00190923" w:rsidRPr="00981405">
        <w:t xml:space="preserve"> </w:t>
      </w:r>
      <w:r w:rsidRPr="00981405">
        <w:t>deal</w:t>
      </w:r>
      <w:r w:rsidR="00190923" w:rsidRPr="00981405">
        <w:t xml:space="preserve"> </w:t>
      </w:r>
      <w:r w:rsidRPr="00981405">
        <w:t>with</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confirms</w:t>
      </w:r>
      <w:r w:rsidR="00190923" w:rsidRPr="00981405">
        <w:t xml:space="preserve"> </w:t>
      </w:r>
      <w:r w:rsidRPr="00981405">
        <w:t>that</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paragraph</w:t>
      </w:r>
      <w:r w:rsidR="00190923" w:rsidRPr="00981405">
        <w:t xml:space="preserve"> </w:t>
      </w:r>
      <w:r w:rsidRPr="00981405">
        <w:t>3,</w:t>
      </w:r>
      <w:r w:rsidR="00190923" w:rsidRPr="00981405">
        <w:t xml:space="preserve"> </w:t>
      </w:r>
      <w:r w:rsidRPr="00981405">
        <w:t>are,</w:t>
      </w:r>
      <w:r w:rsidR="00190923" w:rsidRPr="00981405">
        <w:t xml:space="preserve"> </w:t>
      </w:r>
      <w:r w:rsidRPr="00981405">
        <w:t>and</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00190923" w:rsidRPr="00981405">
        <w:t xml:space="preserve"> </w:t>
      </w:r>
      <w:r w:rsidRPr="00981405">
        <w:t>may</w:t>
      </w:r>
      <w:r w:rsidR="00190923" w:rsidRPr="00981405">
        <w:t xml:space="preserve"> </w:t>
      </w:r>
      <w:r w:rsidRPr="00981405">
        <w:t>be,</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for</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p>
    <w:p w:rsidR="00397032" w:rsidRPr="00981405" w:rsidRDefault="00397032" w:rsidP="00D97463">
      <w:pPr>
        <w:pStyle w:val="SingleTxt"/>
      </w:pPr>
      <w:r w:rsidRPr="00981405">
        <w:t>(10)</w:t>
      </w:r>
      <w:r w:rsidRPr="00981405">
        <w:tab/>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has</w:t>
      </w:r>
      <w:r w:rsidR="00190923" w:rsidRPr="00981405">
        <w:t xml:space="preserve"> </w:t>
      </w:r>
      <w:r w:rsidRPr="00981405">
        <w:t>recognized</w:t>
      </w:r>
      <w:r w:rsidR="00190923" w:rsidRPr="00981405">
        <w:t xml:space="preserve"> </w:t>
      </w:r>
      <w:r w:rsidRPr="00981405">
        <w:t>that</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(b)</w:t>
      </w:r>
      <w:r w:rsidR="00190923" w:rsidRPr="00981405">
        <w:t xml:space="preserve"> </w:t>
      </w:r>
      <w:r w:rsidRPr="00981405">
        <w:t>is</w:t>
      </w:r>
      <w:r w:rsidR="00190923" w:rsidRPr="00981405">
        <w:t xml:space="preserve"> </w:t>
      </w:r>
      <w:r w:rsidRPr="00981405">
        <w:t>applicable</w:t>
      </w:r>
      <w:r w:rsidR="00190923" w:rsidRPr="00981405">
        <w:t xml:space="preserve"> </w:t>
      </w:r>
      <w:r w:rsidRPr="00981405">
        <w:t>to</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In</w:t>
      </w:r>
      <w:r w:rsidR="00190923" w:rsidRPr="00981405">
        <w:t xml:space="preserve"> </w:t>
      </w:r>
      <w:r w:rsidRPr="00981405">
        <w:t>its</w:t>
      </w:r>
      <w:r w:rsidR="00190923" w:rsidRPr="00981405">
        <w:t xml:space="preserve"> </w:t>
      </w:r>
      <w:r w:rsidRPr="00981405">
        <w:t>advisory</w:t>
      </w:r>
      <w:r w:rsidR="00190923" w:rsidRPr="00981405">
        <w:t xml:space="preserve"> </w:t>
      </w:r>
      <w:r w:rsidRPr="00981405">
        <w:lastRenderedPageBreak/>
        <w:t>opinion</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Legality</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Use</w:t>
      </w:r>
      <w:r w:rsidR="00190923" w:rsidRPr="00981405">
        <w:rPr>
          <w:i/>
          <w:iCs/>
        </w:rPr>
        <w:t xml:space="preserve"> </w:t>
      </w:r>
      <w:r w:rsidRPr="00D97463">
        <w:rPr>
          <w:i/>
          <w:iCs/>
        </w:rPr>
        <w:t>by</w:t>
      </w:r>
      <w:r w:rsidR="00190923" w:rsidRPr="00981405">
        <w:rPr>
          <w:i/>
          <w:iCs/>
        </w:rPr>
        <w:t xml:space="preserve"> </w:t>
      </w:r>
      <w:r w:rsidRPr="00D97463">
        <w:rPr>
          <w:i/>
          <w:iCs/>
        </w:rPr>
        <w:t>a</w:t>
      </w:r>
      <w:r w:rsidR="00190923" w:rsidRPr="00981405">
        <w:rPr>
          <w:i/>
          <w:iCs/>
        </w:rPr>
        <w:t xml:space="preserve"> </w:t>
      </w:r>
      <w:r w:rsidRPr="00D97463">
        <w:rPr>
          <w:i/>
          <w:iCs/>
        </w:rPr>
        <w:t>State</w:t>
      </w:r>
      <w:r w:rsidR="00190923" w:rsidRPr="00981405">
        <w:rPr>
          <w:i/>
          <w:iCs/>
        </w:rPr>
        <w:t xml:space="preserve"> </w:t>
      </w:r>
      <w:r w:rsidRPr="00D97463">
        <w:rPr>
          <w:i/>
          <w:iCs/>
        </w:rPr>
        <w:t>of</w:t>
      </w:r>
      <w:r w:rsidR="00190923" w:rsidRPr="00981405">
        <w:rPr>
          <w:i/>
          <w:iCs/>
        </w:rPr>
        <w:t xml:space="preserve"> </w:t>
      </w:r>
      <w:r w:rsidRPr="00D97463">
        <w:rPr>
          <w:i/>
          <w:iCs/>
        </w:rPr>
        <w:t>Nuclear</w:t>
      </w:r>
      <w:r w:rsidR="00190923" w:rsidRPr="00981405">
        <w:rPr>
          <w:i/>
          <w:iCs/>
        </w:rPr>
        <w:t xml:space="preserve"> </w:t>
      </w:r>
      <w:r w:rsidRPr="00D97463">
        <w:rPr>
          <w:i/>
          <w:iCs/>
        </w:rPr>
        <w:t>Weapons</w:t>
      </w:r>
      <w:r w:rsidR="00190923" w:rsidRPr="00981405">
        <w:rPr>
          <w:i/>
          <w:iCs/>
        </w:rPr>
        <w:t xml:space="preserve"> </w:t>
      </w:r>
      <w:r w:rsidRPr="00D97463">
        <w:rPr>
          <w:i/>
          <w:iCs/>
        </w:rPr>
        <w:t>in</w:t>
      </w:r>
      <w:r w:rsidR="00190923" w:rsidRPr="00981405">
        <w:rPr>
          <w:i/>
          <w:iCs/>
        </w:rPr>
        <w:t xml:space="preserve"> </w:t>
      </w:r>
      <w:r w:rsidRPr="00D97463">
        <w:rPr>
          <w:i/>
          <w:iCs/>
        </w:rPr>
        <w:t>Armed</w:t>
      </w:r>
      <w:r w:rsidR="00190923" w:rsidRPr="00981405">
        <w:rPr>
          <w:i/>
          <w:iCs/>
        </w:rPr>
        <w:t xml:space="preserve"> </w:t>
      </w:r>
      <w:r w:rsidRPr="00D97463">
        <w:rPr>
          <w:i/>
          <w:iCs/>
        </w:rPr>
        <w:t>Conflict</w:t>
      </w:r>
      <w:r w:rsidRPr="00981405">
        <w:t>,</w:t>
      </w:r>
      <w:r w:rsidR="00190923" w:rsidRPr="00981405">
        <w:t xml:space="preserve"> </w:t>
      </w:r>
      <w:r w:rsidRPr="00981405">
        <w:t>after</w:t>
      </w:r>
      <w:r w:rsidR="00190923" w:rsidRPr="00981405">
        <w:t xml:space="preserve"> </w:t>
      </w:r>
      <w:r w:rsidRPr="00981405">
        <w:t>describing</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being</w:t>
      </w:r>
      <w:r w:rsidR="00190923" w:rsidRPr="00981405">
        <w:t xml:space="preserve"> </w:t>
      </w:r>
      <w:r w:rsidRPr="00981405">
        <w:t>treaties</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type,</w:t>
      </w:r>
      <w:r w:rsidR="00190923" w:rsidRPr="00981405">
        <w:t xml:space="preserve"> </w:t>
      </w:r>
      <w:r w:rsidRPr="00981405">
        <w:t>the</w:t>
      </w:r>
      <w:r w:rsidR="00190923" w:rsidRPr="00981405">
        <w:t xml:space="preserve"> </w:t>
      </w:r>
      <w:r w:rsidRPr="00981405">
        <w:t>Court</w:t>
      </w:r>
      <w:r w:rsidR="00190923" w:rsidRPr="00981405">
        <w:t xml:space="preserve"> </w:t>
      </w:r>
      <w:r w:rsidRPr="00981405">
        <w:t>introduced</w:t>
      </w:r>
      <w:r w:rsidR="00190923" w:rsidRPr="00981405">
        <w:t xml:space="preserve"> </w:t>
      </w:r>
      <w:r w:rsidRPr="00981405">
        <w:t>its</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Constitution</w:t>
      </w:r>
      <w:r w:rsidR="00190923" w:rsidRPr="00981405">
        <w:t xml:space="preserve"> </w:t>
      </w:r>
      <w:r w:rsidRPr="00981405">
        <w:t>of</w:t>
      </w:r>
      <w:r w:rsidR="00190923" w:rsidRPr="00981405">
        <w:t xml:space="preserve"> </w:t>
      </w:r>
      <w:r w:rsidRPr="00981405">
        <w:t>the</w:t>
      </w:r>
      <w:r w:rsidR="00190923" w:rsidRPr="00981405">
        <w:t xml:space="preserve"> </w:t>
      </w:r>
      <w:r w:rsidRPr="00981405">
        <w:t>World</w:t>
      </w:r>
      <w:r w:rsidR="00190923" w:rsidRPr="00981405">
        <w:t xml:space="preserve"> </w:t>
      </w:r>
      <w:r w:rsidRPr="00981405">
        <w:t>Health</w:t>
      </w:r>
      <w:r w:rsidR="00190923" w:rsidRPr="00981405">
        <w:t xml:space="preserve"> </w:t>
      </w:r>
      <w:r w:rsidRPr="00981405">
        <w:t>Organization</w:t>
      </w:r>
      <w:r w:rsidR="00190923" w:rsidRPr="00981405">
        <w:t xml:space="preserve"> </w:t>
      </w:r>
      <w:r w:rsidRPr="00981405">
        <w:t>(WHO)</w:t>
      </w:r>
      <w:r w:rsidR="00190923" w:rsidRPr="00981405">
        <w:t xml:space="preserve"> </w:t>
      </w:r>
      <w:r w:rsidRPr="00981405">
        <w:t>by</w:t>
      </w:r>
      <w:r w:rsidR="00190923" w:rsidRPr="00981405">
        <w:t xml:space="preserve"> </w:t>
      </w:r>
      <w:r w:rsidRPr="00981405">
        <w:t>stating:</w:t>
      </w:r>
      <w:r w:rsidR="00190923" w:rsidRPr="00981405">
        <w:t xml:space="preserve"> </w:t>
      </w:r>
    </w:p>
    <w:p w:rsidR="00397032" w:rsidRPr="00981405" w:rsidRDefault="00B92E2C" w:rsidP="00D97463">
      <w:pPr>
        <w:pStyle w:val="SingleTxt"/>
        <w:ind w:left="1742"/>
      </w:pPr>
      <w:r w:rsidRPr="00981405">
        <w:t>“</w:t>
      </w:r>
      <w:r w:rsidR="00397032" w:rsidRPr="00981405">
        <w:t>According</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customary</w:t>
      </w:r>
      <w:r w:rsidR="00190923" w:rsidRPr="00981405">
        <w:t xml:space="preserve"> </w:t>
      </w:r>
      <w:r w:rsidR="00397032" w:rsidRPr="00981405">
        <w:t>rule</w:t>
      </w:r>
      <w:r w:rsidR="00190923" w:rsidRPr="00981405">
        <w:t xml:space="preserve"> </w:t>
      </w:r>
      <w:r w:rsidR="00397032" w:rsidRPr="00981405">
        <w:t>of</w:t>
      </w:r>
      <w:r w:rsidR="00190923" w:rsidRPr="00981405">
        <w:t xml:space="preserve"> </w:t>
      </w:r>
      <w:r w:rsidR="00397032" w:rsidRPr="00981405">
        <w:t>interpretation</w:t>
      </w:r>
      <w:r w:rsidR="00190923" w:rsidRPr="00981405">
        <w:t xml:space="preserve"> </w:t>
      </w:r>
      <w:r w:rsidR="00397032" w:rsidRPr="00981405">
        <w:t>as</w:t>
      </w:r>
      <w:r w:rsidR="00190923" w:rsidRPr="00981405">
        <w:t xml:space="preserve"> </w:t>
      </w:r>
      <w:r w:rsidR="00397032" w:rsidRPr="00981405">
        <w:t>expressed</w:t>
      </w:r>
      <w:r w:rsidR="00190923" w:rsidRPr="00981405">
        <w:t xml:space="preserve"> </w:t>
      </w:r>
      <w:r w:rsidR="00397032" w:rsidRPr="00981405">
        <w:t>in</w:t>
      </w:r>
      <w:r w:rsidR="00190923" w:rsidRPr="00981405">
        <w:t xml:space="preserve"> </w:t>
      </w:r>
      <w:r w:rsidR="00397032" w:rsidRPr="00981405">
        <w:t>Article</w:t>
      </w:r>
      <w:r w:rsidR="00190923" w:rsidRPr="00981405">
        <w:t xml:space="preserve"> </w:t>
      </w:r>
      <w:r w:rsidR="00397032" w:rsidRPr="00981405">
        <w:t>31</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1969</w:t>
      </w:r>
      <w:r w:rsidR="00190923" w:rsidRPr="00981405">
        <w:t xml:space="preserve"> </w:t>
      </w:r>
      <w:r w:rsidR="00397032" w:rsidRPr="00981405">
        <w:t>Vienna</w:t>
      </w:r>
      <w:r w:rsidR="00190923" w:rsidRPr="00981405">
        <w:t xml:space="preserve"> </w:t>
      </w:r>
      <w:r w:rsidR="00397032" w:rsidRPr="00981405">
        <w:t>Convention</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Law</w:t>
      </w:r>
      <w:r w:rsidR="00190923" w:rsidRPr="00981405">
        <w:t xml:space="preserve"> </w:t>
      </w:r>
      <w:r w:rsidR="00397032" w:rsidRPr="00981405">
        <w:t>of</w:t>
      </w:r>
      <w:r w:rsidR="00190923" w:rsidRPr="00981405">
        <w:t xml:space="preserve"> </w:t>
      </w:r>
      <w:r w:rsidR="00397032" w:rsidRPr="00981405">
        <w:t>Treaties,</w:t>
      </w:r>
      <w:r w:rsidR="00190923" w:rsidRPr="00981405">
        <w:t xml:space="preserve"> </w:t>
      </w:r>
      <w:r w:rsidR="00397032" w:rsidRPr="00981405">
        <w:t>the</w:t>
      </w:r>
      <w:r w:rsidR="00190923" w:rsidRPr="00981405">
        <w:t xml:space="preserve"> </w:t>
      </w:r>
      <w:r w:rsidR="00397032" w:rsidRPr="00981405">
        <w:t>terms</w:t>
      </w:r>
      <w:r w:rsidR="00190923" w:rsidRPr="00981405">
        <w:t xml:space="preserve"> </w:t>
      </w:r>
      <w:r w:rsidR="00397032" w:rsidRPr="00981405">
        <w:t>of</w:t>
      </w:r>
      <w:r w:rsidR="00190923" w:rsidRPr="00981405">
        <w:t xml:space="preserve"> </w:t>
      </w:r>
      <w:r w:rsidR="00397032" w:rsidRPr="00981405">
        <w:t>a</w:t>
      </w:r>
      <w:r w:rsidR="00190923" w:rsidRPr="00981405">
        <w:t xml:space="preserve"> </w:t>
      </w:r>
      <w:r w:rsidR="00397032" w:rsidRPr="00981405">
        <w:t>treaty</w:t>
      </w:r>
      <w:r w:rsidR="00190923" w:rsidRPr="00981405">
        <w:t xml:space="preserve"> </w:t>
      </w:r>
      <w:r w:rsidR="00397032" w:rsidRPr="00981405">
        <w:t>must</w:t>
      </w:r>
      <w:r w:rsidR="00190923" w:rsidRPr="00981405">
        <w:t xml:space="preserve"> </w:t>
      </w:r>
      <w:r w:rsidR="00397032" w:rsidRPr="00981405">
        <w:t>be</w:t>
      </w:r>
      <w:r w:rsidR="00190923" w:rsidRPr="00981405">
        <w:t xml:space="preserve"> </w:t>
      </w:r>
      <w:r w:rsidR="00397032" w:rsidRPr="00981405">
        <w:t>interpreted</w:t>
      </w:r>
      <w:r w:rsidR="00190923" w:rsidRPr="00981405">
        <w:t xml:space="preserve"> </w:t>
      </w:r>
      <w:r w:rsidRPr="00981405">
        <w:t>‘</w:t>
      </w:r>
      <w:r w:rsidR="00397032" w:rsidRPr="00981405">
        <w:t>in</w:t>
      </w:r>
      <w:r w:rsidR="00190923" w:rsidRPr="00981405">
        <w:t xml:space="preserve"> </w:t>
      </w:r>
      <w:r w:rsidR="00397032" w:rsidRPr="00981405">
        <w:t>their</w:t>
      </w:r>
      <w:r w:rsidR="00190923" w:rsidRPr="00981405">
        <w:t xml:space="preserve"> </w:t>
      </w:r>
      <w:r w:rsidR="00397032" w:rsidRPr="00981405">
        <w:t>context</w:t>
      </w:r>
      <w:r w:rsidR="00190923" w:rsidRPr="00981405">
        <w:t xml:space="preserve"> </w:t>
      </w:r>
      <w:r w:rsidR="00397032" w:rsidRPr="00981405">
        <w:t>and</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light</w:t>
      </w:r>
      <w:r w:rsidR="00190923" w:rsidRPr="00981405">
        <w:t xml:space="preserve"> </w:t>
      </w:r>
      <w:r w:rsidR="00397032" w:rsidRPr="00981405">
        <w:t>of</w:t>
      </w:r>
      <w:r w:rsidR="00190923" w:rsidRPr="00981405">
        <w:t xml:space="preserve"> </w:t>
      </w:r>
      <w:r w:rsidR="00397032" w:rsidRPr="00981405">
        <w:t>its</w:t>
      </w:r>
      <w:r w:rsidR="00190923" w:rsidRPr="00981405">
        <w:t xml:space="preserve"> </w:t>
      </w:r>
      <w:r w:rsidR="00397032" w:rsidRPr="00981405">
        <w:t>object</w:t>
      </w:r>
      <w:r w:rsidR="00190923" w:rsidRPr="00981405">
        <w:t xml:space="preserve"> </w:t>
      </w:r>
      <w:r w:rsidR="00397032" w:rsidRPr="00981405">
        <w:t>and</w:t>
      </w:r>
      <w:r w:rsidR="00190923" w:rsidRPr="00981405">
        <w:t xml:space="preserve"> </w:t>
      </w:r>
      <w:r w:rsidR="00397032" w:rsidRPr="00981405">
        <w:t>purpose</w:t>
      </w:r>
      <w:r w:rsidRPr="00981405">
        <w:t>’</w:t>
      </w:r>
      <w:r w:rsidR="00190923" w:rsidRPr="00981405">
        <w:t xml:space="preserve"> </w:t>
      </w:r>
      <w:r w:rsidR="00397032" w:rsidRPr="00981405">
        <w:t>and</w:t>
      </w:r>
      <w:r w:rsidR="00190923" w:rsidRPr="00981405">
        <w:t xml:space="preserve"> </w:t>
      </w:r>
      <w:r w:rsidR="00397032" w:rsidRPr="00981405">
        <w:t>there</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Pr="00981405">
        <w:t>‘</w:t>
      </w:r>
      <w:r w:rsidR="00397032" w:rsidRPr="00981405">
        <w:t>taken</w:t>
      </w:r>
      <w:r w:rsidR="00190923" w:rsidRPr="00981405">
        <w:t xml:space="preserve"> </w:t>
      </w:r>
      <w:r w:rsidR="00397032" w:rsidRPr="00981405">
        <w:t>into</w:t>
      </w:r>
      <w:r w:rsidR="00190923" w:rsidRPr="00981405">
        <w:t xml:space="preserve"> </w:t>
      </w:r>
      <w:r w:rsidR="00397032" w:rsidRPr="00981405">
        <w:t>account,</w:t>
      </w:r>
      <w:r w:rsidR="00190923" w:rsidRPr="00981405">
        <w:t xml:space="preserve"> </w:t>
      </w:r>
      <w:r w:rsidR="00397032" w:rsidRPr="00981405">
        <w:t>together</w:t>
      </w:r>
      <w:r w:rsidR="00190923" w:rsidRPr="00981405">
        <w:t xml:space="preserve"> </w:t>
      </w:r>
      <w:r w:rsidR="00397032" w:rsidRPr="00981405">
        <w:t>with</w:t>
      </w:r>
      <w:r w:rsidR="00190923" w:rsidRPr="00981405">
        <w:t xml:space="preserve"> </w:t>
      </w:r>
      <w:r w:rsidR="00397032" w:rsidRPr="00981405">
        <w:t>the</w:t>
      </w:r>
      <w:r w:rsidR="00190923" w:rsidRPr="00981405">
        <w:t xml:space="preserve"> </w:t>
      </w:r>
      <w:r w:rsidR="00397032" w:rsidRPr="00981405">
        <w:t>context:</w:t>
      </w:r>
      <w:r w:rsidR="00190923" w:rsidRPr="00981405">
        <w:t xml:space="preserve"> </w:t>
      </w:r>
    </w:p>
    <w:p w:rsidR="00397032" w:rsidRPr="00981405" w:rsidRDefault="00397032" w:rsidP="00D97463">
      <w:pPr>
        <w:pStyle w:val="SingleTxt"/>
        <w:ind w:left="1742"/>
      </w:pPr>
      <w:r w:rsidRPr="00981405">
        <w:t>[…]</w:t>
      </w:r>
      <w:r w:rsidR="00190923" w:rsidRPr="00981405">
        <w:t xml:space="preserve"> </w:t>
      </w:r>
      <w:r w:rsidRPr="00981405">
        <w:t>(b)</w:t>
      </w:r>
      <w:r w:rsidR="00190923" w:rsidRPr="00981405">
        <w:t xml:space="preserve"> </w:t>
      </w:r>
      <w:r w:rsidRPr="00981405">
        <w:t>any</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which</w:t>
      </w:r>
      <w:r w:rsidR="00190923" w:rsidRPr="00981405">
        <w:t xml:space="preserve"> </w:t>
      </w:r>
      <w:r w:rsidRPr="00981405">
        <w:t>establishes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its</w:t>
      </w:r>
      <w:r w:rsidR="00190923" w:rsidRPr="00981405">
        <w:t xml:space="preserve"> </w:t>
      </w:r>
      <w:r w:rsidRPr="00981405">
        <w:t>interpretation.</w:t>
      </w:r>
      <w:r w:rsidR="00B92E2C" w:rsidRPr="00981405">
        <w:t>’”</w:t>
      </w:r>
      <w:r w:rsidRPr="00981405">
        <w:rPr>
          <w:rStyle w:val="FootnoteReference"/>
        </w:rPr>
        <w:footnoteReference w:id="309"/>
      </w:r>
    </w:p>
    <w:p w:rsidR="00397032" w:rsidRPr="00981405" w:rsidRDefault="00397032" w:rsidP="00D97463">
      <w:pPr>
        <w:pStyle w:val="SingleTxt"/>
      </w:pPr>
      <w:r w:rsidRPr="00981405">
        <w:t>Referring</w:t>
      </w:r>
      <w:r w:rsidR="00190923" w:rsidRPr="00981405">
        <w:t xml:space="preserve"> </w:t>
      </w:r>
      <w:r w:rsidRPr="00981405">
        <w:t>to</w:t>
      </w:r>
      <w:r w:rsidR="00190923" w:rsidRPr="00981405">
        <w:t xml:space="preserve"> </w:t>
      </w:r>
      <w:r w:rsidRPr="00981405">
        <w:t>different</w:t>
      </w:r>
      <w:r w:rsidR="00190923" w:rsidRPr="00981405">
        <w:t xml:space="preserve"> </w:t>
      </w:r>
      <w:r w:rsidRPr="00981405">
        <w:t>precedents</w:t>
      </w:r>
      <w:r w:rsidR="00190923" w:rsidRPr="00981405">
        <w:t xml:space="preserve"> </w:t>
      </w:r>
      <w:r w:rsidRPr="00981405">
        <w:t>from</w:t>
      </w:r>
      <w:r w:rsidR="00190923" w:rsidRPr="00981405">
        <w:t xml:space="preserve"> </w:t>
      </w:r>
      <w:r w:rsidRPr="00981405">
        <w:t>its</w:t>
      </w:r>
      <w:r w:rsidR="00190923" w:rsidRPr="00981405">
        <w:t xml:space="preserve"> </w:t>
      </w:r>
      <w:r w:rsidRPr="00981405">
        <w:t>own</w:t>
      </w:r>
      <w:r w:rsidR="00190923" w:rsidRPr="00981405">
        <w:t xml:space="preserve"> </w:t>
      </w:r>
      <w:r w:rsidRPr="00981405">
        <w:t>case-law</w:t>
      </w:r>
      <w:r w:rsidR="00190923" w:rsidRPr="00981405">
        <w:t xml:space="preserve"> </w:t>
      </w:r>
      <w:r w:rsidRPr="00981405">
        <w:t>in</w:t>
      </w:r>
      <w:r w:rsidR="00190923" w:rsidRPr="00981405">
        <w:t xml:space="preserve"> </w:t>
      </w:r>
      <w:r w:rsidRPr="00981405">
        <w:t>which</w:t>
      </w:r>
      <w:r w:rsidR="00190923" w:rsidRPr="00981405">
        <w:t xml:space="preserve"> </w:t>
      </w:r>
      <w:r w:rsidRPr="00981405">
        <w:t>it</w:t>
      </w:r>
      <w:r w:rsidR="00190923" w:rsidRPr="00981405">
        <w:t xml:space="preserve"> </w:t>
      </w:r>
      <w:r w:rsidRPr="00981405">
        <w:t>had,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employed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(b)</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the</w:t>
      </w:r>
      <w:r w:rsidR="00190923" w:rsidRPr="00981405">
        <w:t xml:space="preserve"> </w:t>
      </w:r>
      <w:r w:rsidRPr="00981405">
        <w:t>Court</w:t>
      </w:r>
      <w:r w:rsidR="00190923" w:rsidRPr="00981405">
        <w:t xml:space="preserve"> </w:t>
      </w:r>
      <w:r w:rsidRPr="00981405">
        <w:t>announced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apply</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(b):</w:t>
      </w:r>
      <w:r w:rsidR="00190923" w:rsidRPr="00981405">
        <w:t xml:space="preserve"> </w:t>
      </w:r>
    </w:p>
    <w:p w:rsidR="00397032" w:rsidRPr="00981405" w:rsidRDefault="00B92E2C" w:rsidP="00D97463">
      <w:pPr>
        <w:pStyle w:val="SingleTxt"/>
        <w:ind w:left="1742"/>
      </w:pPr>
      <w:r w:rsidRPr="00981405">
        <w:t>“</w:t>
      </w:r>
      <w:r w:rsidR="00397032" w:rsidRPr="00981405">
        <w:t>…</w:t>
      </w:r>
      <w:r w:rsidR="00190923" w:rsidRPr="00981405">
        <w:t xml:space="preserve"> </w:t>
      </w:r>
      <w:r w:rsidR="00397032" w:rsidRPr="00981405">
        <w:t>in</w:t>
      </w:r>
      <w:r w:rsidR="00190923" w:rsidRPr="00981405">
        <w:t xml:space="preserve"> </w:t>
      </w:r>
      <w:r w:rsidR="00397032" w:rsidRPr="00981405">
        <w:t>this</w:t>
      </w:r>
      <w:r w:rsidR="00190923" w:rsidRPr="00981405">
        <w:t xml:space="preserve"> </w:t>
      </w:r>
      <w:r w:rsidR="00397032" w:rsidRPr="00981405">
        <w:t>case</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purpose</w:t>
      </w:r>
      <w:r w:rsidR="00190923" w:rsidRPr="00981405">
        <w:t xml:space="preserve"> </w:t>
      </w:r>
      <w:r w:rsidR="00397032" w:rsidRPr="00981405">
        <w:t>of</w:t>
      </w:r>
      <w:r w:rsidR="00190923" w:rsidRPr="00981405">
        <w:t xml:space="preserve"> </w:t>
      </w:r>
      <w:r w:rsidR="00397032" w:rsidRPr="00981405">
        <w:t>determining</w:t>
      </w:r>
      <w:r w:rsidR="00190923" w:rsidRPr="00981405">
        <w:t xml:space="preserve"> </w:t>
      </w:r>
      <w:r w:rsidR="00397032" w:rsidRPr="00981405">
        <w:t>whether,</w:t>
      </w:r>
      <w:r w:rsidR="00190923" w:rsidRPr="00981405">
        <w:t xml:space="preserve"> </w:t>
      </w:r>
      <w:r w:rsidR="00397032" w:rsidRPr="00981405">
        <w:t>according</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WHO</w:t>
      </w:r>
      <w:r w:rsidR="00190923" w:rsidRPr="00981405">
        <w:t xml:space="preserve"> </w:t>
      </w:r>
      <w:r w:rsidR="00397032" w:rsidRPr="00981405">
        <w:t>Constitution,</w:t>
      </w:r>
      <w:r w:rsidR="00190923" w:rsidRPr="00981405">
        <w:t xml:space="preserve"> </w:t>
      </w:r>
      <w:r w:rsidR="00397032" w:rsidRPr="00981405">
        <w:t>the</w:t>
      </w:r>
      <w:r w:rsidR="00190923" w:rsidRPr="00981405">
        <w:t xml:space="preserve"> </w:t>
      </w:r>
      <w:r w:rsidR="00397032" w:rsidRPr="00981405">
        <w:t>question</w:t>
      </w:r>
      <w:r w:rsidR="00190923" w:rsidRPr="00981405">
        <w:t xml:space="preserve"> </w:t>
      </w:r>
      <w:r w:rsidR="00397032" w:rsidRPr="00981405">
        <w:t>to</w:t>
      </w:r>
      <w:r w:rsidR="00190923" w:rsidRPr="00981405">
        <w:t xml:space="preserve"> </w:t>
      </w:r>
      <w:r w:rsidR="00397032" w:rsidRPr="00981405">
        <w:t>which</w:t>
      </w:r>
      <w:r w:rsidR="00190923" w:rsidRPr="00981405">
        <w:t xml:space="preserve"> </w:t>
      </w:r>
      <w:r w:rsidR="00397032" w:rsidRPr="00981405">
        <w:t>it</w:t>
      </w:r>
      <w:r w:rsidR="00190923" w:rsidRPr="00981405">
        <w:t xml:space="preserve"> </w:t>
      </w:r>
      <w:r w:rsidR="00397032" w:rsidRPr="00981405">
        <w:t>has</w:t>
      </w:r>
      <w:r w:rsidR="00190923" w:rsidRPr="00981405">
        <w:t xml:space="preserve"> </w:t>
      </w:r>
      <w:r w:rsidR="00397032" w:rsidRPr="00981405">
        <w:t>been</w:t>
      </w:r>
      <w:r w:rsidR="00190923" w:rsidRPr="00981405">
        <w:t xml:space="preserve"> </w:t>
      </w:r>
      <w:r w:rsidR="00397032" w:rsidRPr="00981405">
        <w:t>asked</w:t>
      </w:r>
      <w:r w:rsidR="00190923" w:rsidRPr="00981405">
        <w:t xml:space="preserve"> </w:t>
      </w:r>
      <w:r w:rsidR="00397032" w:rsidRPr="00981405">
        <w:t>to</w:t>
      </w:r>
      <w:r w:rsidR="00190923" w:rsidRPr="00981405">
        <w:t xml:space="preserve"> </w:t>
      </w:r>
      <w:r w:rsidR="00397032" w:rsidRPr="00981405">
        <w:t>reply</w:t>
      </w:r>
      <w:r w:rsidR="00190923" w:rsidRPr="00981405">
        <w:t xml:space="preserve"> </w:t>
      </w:r>
      <w:r w:rsidR="00397032" w:rsidRPr="00981405">
        <w:t>arises</w:t>
      </w:r>
      <w:r w:rsidR="00190923" w:rsidRPr="00981405">
        <w:t xml:space="preserve"> </w:t>
      </w:r>
      <w:r w:rsidRPr="00981405">
        <w:t>“</w:t>
      </w:r>
      <w:r w:rsidR="00397032" w:rsidRPr="00981405">
        <w:t>within</w:t>
      </w:r>
      <w:r w:rsidR="00190923" w:rsidRPr="00981405">
        <w:t xml:space="preserve"> </w:t>
      </w:r>
      <w:r w:rsidR="00397032" w:rsidRPr="00981405">
        <w:t>the</w:t>
      </w:r>
      <w:r w:rsidR="00190923" w:rsidRPr="00981405">
        <w:t xml:space="preserve"> </w:t>
      </w:r>
      <w:r w:rsidR="00397032" w:rsidRPr="00981405">
        <w:t>scope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activities</w:t>
      </w:r>
      <w:r w:rsidRPr="00981405">
        <w:t>”</w:t>
      </w:r>
      <w:r w:rsidR="00190923" w:rsidRPr="00981405">
        <w:t xml:space="preserve"> </w:t>
      </w:r>
      <w:r w:rsidR="00397032" w:rsidRPr="00981405">
        <w:t>of</w:t>
      </w:r>
      <w:r w:rsidR="00190923" w:rsidRPr="00981405">
        <w:t xml:space="preserve"> </w:t>
      </w:r>
      <w:r w:rsidR="00397032" w:rsidRPr="00981405">
        <w:t>that</w:t>
      </w:r>
      <w:r w:rsidR="00190923" w:rsidRPr="00981405">
        <w:t xml:space="preserve"> </w:t>
      </w:r>
      <w:r w:rsidR="00397032" w:rsidRPr="00981405">
        <w:t>Organization.</w:t>
      </w:r>
      <w:r w:rsidRPr="00981405">
        <w:t>”</w:t>
      </w:r>
      <w:r w:rsidR="00397032" w:rsidRPr="00981405">
        <w:rPr>
          <w:rStyle w:val="FootnoteReference"/>
        </w:rPr>
        <w:footnoteReference w:id="310"/>
      </w:r>
    </w:p>
    <w:p w:rsidR="00397032" w:rsidRPr="00981405" w:rsidRDefault="00397032" w:rsidP="00D97463">
      <w:pPr>
        <w:pStyle w:val="SingleTxt"/>
      </w:pPr>
      <w:r w:rsidRPr="00981405">
        <w:t>(11)</w:t>
      </w:r>
      <w:r w:rsidRPr="00981405">
        <w:tab/>
        <w:t>The</w:t>
      </w:r>
      <w:r w:rsidR="00190923" w:rsidRPr="00981405">
        <w:t xml:space="preserve"> </w:t>
      </w:r>
      <w:r w:rsidRPr="00D97463">
        <w:rPr>
          <w:i/>
          <w:iCs/>
        </w:rPr>
        <w:t>Land</w:t>
      </w:r>
      <w:r w:rsidR="00190923" w:rsidRPr="00981405">
        <w:rPr>
          <w:i/>
          <w:iCs/>
        </w:rPr>
        <w:t xml:space="preserve"> </w:t>
      </w:r>
      <w:r w:rsidRPr="00D97463">
        <w:rPr>
          <w:i/>
          <w:iCs/>
        </w:rPr>
        <w:t>and</w:t>
      </w:r>
      <w:r w:rsidR="00190923" w:rsidRPr="00981405">
        <w:rPr>
          <w:i/>
          <w:iCs/>
        </w:rPr>
        <w:t xml:space="preserve"> </w:t>
      </w:r>
      <w:r w:rsidRPr="00D97463">
        <w:rPr>
          <w:i/>
          <w:iCs/>
        </w:rPr>
        <w:t>Maritime</w:t>
      </w:r>
      <w:r w:rsidR="00190923" w:rsidRPr="00981405">
        <w:rPr>
          <w:i/>
          <w:iCs/>
        </w:rPr>
        <w:t xml:space="preserve"> </w:t>
      </w:r>
      <w:r w:rsidRPr="00D97463">
        <w:rPr>
          <w:i/>
          <w:iCs/>
        </w:rPr>
        <w:t>Boundary</w:t>
      </w:r>
      <w:r w:rsidR="00190923" w:rsidRPr="00981405">
        <w:t xml:space="preserve"> </w:t>
      </w:r>
      <w:r w:rsidRPr="00D97463">
        <w:rPr>
          <w:i/>
          <w:iCs/>
        </w:rPr>
        <w:t>between</w:t>
      </w:r>
      <w:r w:rsidR="00190923" w:rsidRPr="00981405">
        <w:rPr>
          <w:i/>
          <w:iCs/>
        </w:rPr>
        <w:t xml:space="preserve"> </w:t>
      </w:r>
      <w:r w:rsidRPr="00D97463">
        <w:rPr>
          <w:i/>
          <w:iCs/>
        </w:rPr>
        <w:t>Cameroon</w:t>
      </w:r>
      <w:r w:rsidR="00190923" w:rsidRPr="00981405">
        <w:rPr>
          <w:i/>
          <w:iCs/>
        </w:rPr>
        <w:t xml:space="preserve"> </w:t>
      </w:r>
      <w:r w:rsidRPr="00D97463">
        <w:rPr>
          <w:i/>
          <w:iCs/>
        </w:rPr>
        <w:t>and</w:t>
      </w:r>
      <w:r w:rsidR="00190923" w:rsidRPr="00981405">
        <w:rPr>
          <w:i/>
          <w:iCs/>
        </w:rPr>
        <w:t xml:space="preserve"> </w:t>
      </w:r>
      <w:r w:rsidRPr="00D97463">
        <w:rPr>
          <w:i/>
          <w:iCs/>
        </w:rPr>
        <w:t>Nigeria</w:t>
      </w:r>
      <w:r w:rsidR="00190923" w:rsidRPr="00981405">
        <w:t xml:space="preserve"> </w:t>
      </w:r>
      <w:r w:rsidRPr="00981405">
        <w:t>case</w:t>
      </w:r>
      <w:r w:rsidR="00190923" w:rsidRPr="00981405">
        <w:t xml:space="preserve"> </w:t>
      </w:r>
      <w:r w:rsidRPr="00981405">
        <w:t>is</w:t>
      </w:r>
      <w:r w:rsidR="00190923" w:rsidRPr="00981405">
        <w:t xml:space="preserve"> </w:t>
      </w:r>
      <w:r w:rsidRPr="00981405">
        <w:t>another</w:t>
      </w:r>
      <w:r w:rsidR="00190923" w:rsidRPr="00981405">
        <w:t xml:space="preserve"> </w:t>
      </w:r>
      <w:r w:rsidRPr="00981405">
        <w:t>decision</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Court</w:t>
      </w:r>
      <w:r w:rsidR="00190923" w:rsidRPr="00981405">
        <w:t xml:space="preserve"> </w:t>
      </w:r>
      <w:r w:rsidRPr="00981405">
        <w:t>has</w:t>
      </w:r>
      <w:r w:rsidR="00190923" w:rsidRPr="00981405">
        <w:t xml:space="preserve"> </w:t>
      </w:r>
      <w:r w:rsidRPr="00981405">
        <w:t>emphasised,</w:t>
      </w:r>
      <w:r w:rsidR="00190923" w:rsidRPr="00981405">
        <w:t xml:space="preserve"> </w:t>
      </w:r>
      <w:r w:rsidRPr="00981405">
        <w:t>in</w:t>
      </w:r>
      <w:r w:rsidR="00190923" w:rsidRPr="00981405">
        <w:t xml:space="preserve"> </w:t>
      </w:r>
      <w:r w:rsidRPr="00981405">
        <w:t>a</w:t>
      </w:r>
      <w:r w:rsidR="00190923" w:rsidRPr="00981405">
        <w:t xml:space="preserve"> </w:t>
      </w:r>
      <w:r w:rsidRPr="00981405">
        <w:t>case</w:t>
      </w:r>
      <w:r w:rsidR="00190923" w:rsidRPr="00981405">
        <w:t xml:space="preserve"> </w:t>
      </w:r>
      <w:r w:rsidRPr="00981405">
        <w:t>involving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Pr="00981405">
        <w:rPr>
          <w:rStyle w:val="FootnoteReference"/>
        </w:rPr>
        <w:footnoteReference w:id="311"/>
      </w:r>
      <w:r w:rsidR="00190923" w:rsidRPr="00981405">
        <w:t xml:space="preserve"> </w:t>
      </w:r>
      <w:r w:rsidRPr="00981405">
        <w:t>the</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Proceeding</w:t>
      </w:r>
      <w:r w:rsidR="00190923" w:rsidRPr="00981405">
        <w:t xml:space="preserve"> </w:t>
      </w:r>
      <w:r w:rsidRPr="00981405">
        <w:t>from</w:t>
      </w:r>
      <w:r w:rsidR="00190923" w:rsidRPr="00981405">
        <w:t xml:space="preserve"> </w:t>
      </w:r>
      <w:r w:rsidRPr="00981405">
        <w:t>the</w:t>
      </w:r>
      <w:r w:rsidR="00190923" w:rsidRPr="00981405">
        <w:t xml:space="preserve"> </w:t>
      </w:r>
      <w:r w:rsidRPr="00981405">
        <w:t>observation</w:t>
      </w:r>
      <w:r w:rsidR="00190923" w:rsidRPr="00981405">
        <w:t xml:space="preserve"> </w:t>
      </w:r>
      <w:r w:rsidRPr="00981405">
        <w:t>that</w:t>
      </w:r>
      <w:r w:rsidR="00190923" w:rsidRPr="00981405">
        <w:t xml:space="preserve"> </w:t>
      </w:r>
      <w:r w:rsidR="00B92E2C" w:rsidRPr="00981405">
        <w:t>“</w:t>
      </w:r>
      <w:r w:rsidRPr="00981405">
        <w:t>Member</w:t>
      </w:r>
      <w:r w:rsidR="00190923" w:rsidRPr="00981405">
        <w:t xml:space="preserve"> </w:t>
      </w:r>
      <w:r w:rsidRPr="00981405">
        <w:t>States</w:t>
      </w:r>
      <w:r w:rsidR="00190923" w:rsidRPr="00981405">
        <w:t xml:space="preserve"> </w:t>
      </w:r>
      <w:r w:rsidRPr="00981405">
        <w:t>have</w:t>
      </w:r>
      <w:r w:rsidR="00190923" w:rsidRPr="00981405">
        <w:t xml:space="preserve"> </w:t>
      </w:r>
      <w:r w:rsidRPr="00981405">
        <w:t>also</w:t>
      </w:r>
      <w:r w:rsidR="00190923" w:rsidRPr="00981405">
        <w:t xml:space="preserve"> </w:t>
      </w:r>
      <w:r w:rsidRPr="00981405">
        <w:t>entrusted</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certain</w:t>
      </w:r>
      <w:r w:rsidR="00190923" w:rsidRPr="00981405">
        <w:t xml:space="preserve"> </w:t>
      </w:r>
      <w:r w:rsidRPr="00981405">
        <w:t>tasks</w:t>
      </w:r>
      <w:r w:rsidR="00190923" w:rsidRPr="00981405">
        <w:t xml:space="preserve"> </w:t>
      </w:r>
      <w:r w:rsidRPr="00981405">
        <w:t>that</w:t>
      </w:r>
      <w:r w:rsidR="00190923" w:rsidRPr="00981405">
        <w:t xml:space="preserve"> </w:t>
      </w:r>
      <w:r w:rsidRPr="00981405">
        <w:t>had</w:t>
      </w:r>
      <w:r w:rsidR="00190923" w:rsidRPr="00981405">
        <w:t xml:space="preserve"> </w:t>
      </w:r>
      <w:r w:rsidRPr="00981405">
        <w:t>not</w:t>
      </w:r>
      <w:r w:rsidR="00190923" w:rsidRPr="00981405">
        <w:t xml:space="preserve"> </w:t>
      </w:r>
      <w:r w:rsidRPr="00981405">
        <w:t>originally</w:t>
      </w:r>
      <w:r w:rsidR="00190923" w:rsidRPr="00981405">
        <w:t xml:space="preserve"> </w:t>
      </w:r>
      <w:r w:rsidRPr="00981405">
        <w:t>been</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r w:rsidR="00190923" w:rsidRPr="00981405">
        <w:t xml:space="preserve"> </w:t>
      </w:r>
      <w:r w:rsidRPr="00981405">
        <w:t>texts</w:t>
      </w:r>
      <w:r w:rsidR="00B92E2C" w:rsidRPr="00981405">
        <w:t>”</w:t>
      </w:r>
      <w:r w:rsidRPr="00981405">
        <w:t>,</w:t>
      </w:r>
      <w:r w:rsidRPr="00981405">
        <w:rPr>
          <w:rStyle w:val="FootnoteReference"/>
        </w:rPr>
        <w:footnoteReference w:id="312"/>
      </w:r>
      <w:r w:rsidR="00190923" w:rsidRPr="00981405">
        <w:t xml:space="preserve"> </w:t>
      </w:r>
      <w:r w:rsidRPr="00981405">
        <w:t>the</w:t>
      </w:r>
      <w:r w:rsidR="00190923" w:rsidRPr="00981405">
        <w:t xml:space="preserve"> </w:t>
      </w:r>
      <w:r w:rsidRPr="00981405">
        <w:t>Court</w:t>
      </w:r>
      <w:r w:rsidR="00190923" w:rsidRPr="00981405">
        <w:t xml:space="preserve"> </w:t>
      </w:r>
      <w:r w:rsidRPr="00981405">
        <w:t>concluded</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From</w:t>
      </w:r>
      <w:r w:rsidR="00190923" w:rsidRPr="00981405">
        <w:t xml:space="preserve"> </w:t>
      </w:r>
      <w:r w:rsidR="00397032" w:rsidRPr="00981405">
        <w:t>the</w:t>
      </w:r>
      <w:r w:rsidR="00190923" w:rsidRPr="00981405">
        <w:t xml:space="preserve"> </w:t>
      </w:r>
      <w:r w:rsidR="00397032" w:rsidRPr="00981405">
        <w:t>treaty</w:t>
      </w:r>
      <w:r w:rsidR="00190923" w:rsidRPr="00981405">
        <w:t xml:space="preserve"> </w:t>
      </w:r>
      <w:r w:rsidR="00397032" w:rsidRPr="00981405">
        <w:t>texts</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practice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parties]</w:t>
      </w:r>
      <w:r w:rsidR="00190923" w:rsidRPr="00981405">
        <w:t xml:space="preserve"> </w:t>
      </w:r>
      <w:r w:rsidR="00397032" w:rsidRPr="00981405">
        <w:t>analysed</w:t>
      </w:r>
      <w:r w:rsidR="00190923" w:rsidRPr="00981405">
        <w:t xml:space="preserve"> </w:t>
      </w:r>
      <w:r w:rsidR="00397032" w:rsidRPr="00981405">
        <w:t>at</w:t>
      </w:r>
      <w:r w:rsidR="00190923" w:rsidRPr="00981405">
        <w:t xml:space="preserve"> </w:t>
      </w:r>
      <w:r w:rsidR="00397032" w:rsidRPr="00981405">
        <w:t>paragraphs</w:t>
      </w:r>
      <w:r w:rsidR="00190923" w:rsidRPr="00981405">
        <w:t xml:space="preserve"> </w:t>
      </w:r>
      <w:r w:rsidR="00397032" w:rsidRPr="00981405">
        <w:t>64</w:t>
      </w:r>
      <w:r w:rsidR="00190923" w:rsidRPr="00981405">
        <w:t xml:space="preserve"> </w:t>
      </w:r>
      <w:r w:rsidR="00397032" w:rsidRPr="00981405">
        <w:t>and</w:t>
      </w:r>
      <w:r w:rsidR="00190923" w:rsidRPr="00981405">
        <w:t xml:space="preserve"> </w:t>
      </w:r>
      <w:r w:rsidR="00397032" w:rsidRPr="00981405">
        <w:t>65</w:t>
      </w:r>
      <w:r w:rsidR="00190923" w:rsidRPr="00981405">
        <w:t xml:space="preserve"> </w:t>
      </w:r>
      <w:r w:rsidR="00397032" w:rsidRPr="00981405">
        <w:t>above,</w:t>
      </w:r>
      <w:r w:rsidR="00190923" w:rsidRPr="00981405">
        <w:t xml:space="preserve"> </w:t>
      </w:r>
      <w:r w:rsidR="00397032" w:rsidRPr="00981405">
        <w:t>it</w:t>
      </w:r>
      <w:r w:rsidR="00190923" w:rsidRPr="00981405">
        <w:t xml:space="preserve"> </w:t>
      </w:r>
      <w:r w:rsidR="00397032" w:rsidRPr="00981405">
        <w:t>emerges</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Lake</w:t>
      </w:r>
      <w:r w:rsidR="00190923" w:rsidRPr="00981405">
        <w:t xml:space="preserve"> </w:t>
      </w:r>
      <w:r w:rsidR="00397032" w:rsidRPr="00981405">
        <w:t>Chad</w:t>
      </w:r>
      <w:r w:rsidR="00190923" w:rsidRPr="00981405">
        <w:t xml:space="preserve"> </w:t>
      </w:r>
      <w:r w:rsidR="00397032" w:rsidRPr="00981405">
        <w:t>Basin</w:t>
      </w:r>
      <w:r w:rsidR="00190923" w:rsidRPr="00981405">
        <w:t xml:space="preserve"> </w:t>
      </w:r>
      <w:r w:rsidR="00397032" w:rsidRPr="00981405">
        <w:t>Commission</w:t>
      </w:r>
      <w:r w:rsidR="00190923" w:rsidRPr="00981405">
        <w:t xml:space="preserve"> </w:t>
      </w:r>
      <w:r w:rsidR="00397032" w:rsidRPr="00981405">
        <w:t>is</w:t>
      </w:r>
      <w:r w:rsidR="00190923" w:rsidRPr="00981405">
        <w:t xml:space="preserve"> </w:t>
      </w:r>
      <w:r w:rsidR="00397032" w:rsidRPr="00981405">
        <w:t>an</w:t>
      </w:r>
      <w:r w:rsidR="00190923" w:rsidRPr="00981405">
        <w:t xml:space="preserve"> </w:t>
      </w:r>
      <w:r w:rsidR="00397032" w:rsidRPr="00981405">
        <w:t>international</w:t>
      </w:r>
      <w:r w:rsidR="00190923" w:rsidRPr="00981405">
        <w:t xml:space="preserve"> </w:t>
      </w:r>
      <w:r w:rsidR="00397032" w:rsidRPr="00981405">
        <w:t>organization</w:t>
      </w:r>
      <w:r w:rsidR="00190923" w:rsidRPr="00981405">
        <w:t xml:space="preserve"> </w:t>
      </w:r>
      <w:r w:rsidR="00397032" w:rsidRPr="00981405">
        <w:t>exercising</w:t>
      </w:r>
      <w:r w:rsidR="00190923" w:rsidRPr="00981405">
        <w:t xml:space="preserve"> </w:t>
      </w:r>
      <w:r w:rsidR="00397032" w:rsidRPr="00981405">
        <w:t>its</w:t>
      </w:r>
      <w:r w:rsidR="00190923" w:rsidRPr="00981405">
        <w:t xml:space="preserve"> </w:t>
      </w:r>
      <w:r w:rsidR="00397032" w:rsidRPr="00981405">
        <w:t>powers</w:t>
      </w:r>
      <w:r w:rsidR="00190923" w:rsidRPr="00981405">
        <w:t xml:space="preserve"> </w:t>
      </w:r>
      <w:r w:rsidR="00397032" w:rsidRPr="00981405">
        <w:t>within</w:t>
      </w:r>
      <w:r w:rsidR="00190923" w:rsidRPr="00981405">
        <w:t xml:space="preserve"> </w:t>
      </w:r>
      <w:r w:rsidR="00397032" w:rsidRPr="00981405">
        <w:t>a</w:t>
      </w:r>
      <w:r w:rsidR="00190923" w:rsidRPr="00981405">
        <w:t xml:space="preserve"> </w:t>
      </w:r>
      <w:r w:rsidR="00397032" w:rsidRPr="00981405">
        <w:t>specific</w:t>
      </w:r>
      <w:r w:rsidR="00190923" w:rsidRPr="00981405">
        <w:t xml:space="preserve"> </w:t>
      </w:r>
      <w:r w:rsidR="00397032" w:rsidRPr="00981405">
        <w:t>geographical</w:t>
      </w:r>
      <w:r w:rsidR="00190923" w:rsidRPr="00981405">
        <w:t xml:space="preserve"> </w:t>
      </w:r>
      <w:r w:rsidR="00397032" w:rsidRPr="00981405">
        <w:t>area;</w:t>
      </w:r>
      <w:r w:rsidR="00190923" w:rsidRPr="00981405">
        <w:t xml:space="preserve"> </w:t>
      </w:r>
      <w:r w:rsidR="00397032" w:rsidRPr="00981405">
        <w:t>that</w:t>
      </w:r>
      <w:r w:rsidR="00190923" w:rsidRPr="00981405">
        <w:t xml:space="preserve"> </w:t>
      </w:r>
      <w:r w:rsidR="00397032" w:rsidRPr="00981405">
        <w:t>it</w:t>
      </w:r>
      <w:r w:rsidR="00190923" w:rsidRPr="00981405">
        <w:t xml:space="preserve"> </w:t>
      </w:r>
      <w:r w:rsidR="00397032" w:rsidRPr="00981405">
        <w:t>does</w:t>
      </w:r>
      <w:r w:rsidR="00190923" w:rsidRPr="00981405">
        <w:t xml:space="preserve"> </w:t>
      </w:r>
      <w:r w:rsidR="00397032" w:rsidRPr="00981405">
        <w:t>not</w:t>
      </w:r>
      <w:r w:rsidR="00190923" w:rsidRPr="00981405">
        <w:t xml:space="preserve"> </w:t>
      </w:r>
      <w:r w:rsidR="00397032" w:rsidRPr="00981405">
        <w:t>however</w:t>
      </w:r>
      <w:r w:rsidR="00190923" w:rsidRPr="00981405">
        <w:t xml:space="preserve"> </w:t>
      </w:r>
      <w:r w:rsidR="00397032" w:rsidRPr="00981405">
        <w:t>have</w:t>
      </w:r>
      <w:r w:rsidR="00190923" w:rsidRPr="00981405">
        <w:t xml:space="preserve"> </w:t>
      </w:r>
      <w:r w:rsidR="00397032" w:rsidRPr="00981405">
        <w:t>as</w:t>
      </w:r>
      <w:r w:rsidR="00190923" w:rsidRPr="00981405">
        <w:t xml:space="preserve"> </w:t>
      </w:r>
      <w:r w:rsidR="00397032" w:rsidRPr="00981405">
        <w:t>its</w:t>
      </w:r>
      <w:r w:rsidR="00190923" w:rsidRPr="00981405">
        <w:t xml:space="preserve"> </w:t>
      </w:r>
      <w:r w:rsidR="00397032" w:rsidRPr="00981405">
        <w:t>purpose</w:t>
      </w:r>
      <w:r w:rsidR="00190923" w:rsidRPr="00981405">
        <w:t xml:space="preserve"> </w:t>
      </w:r>
      <w:r w:rsidR="00397032" w:rsidRPr="00981405">
        <w:t>the</w:t>
      </w:r>
      <w:r w:rsidR="00190923" w:rsidRPr="00981405">
        <w:t xml:space="preserve"> </w:t>
      </w:r>
      <w:r w:rsidR="00397032" w:rsidRPr="00981405">
        <w:t>settlement</w:t>
      </w:r>
      <w:r w:rsidR="00190923" w:rsidRPr="00981405">
        <w:t xml:space="preserve"> </w:t>
      </w:r>
      <w:r w:rsidR="00397032" w:rsidRPr="00981405">
        <w:t>at</w:t>
      </w:r>
      <w:r w:rsidR="00190923" w:rsidRPr="00981405">
        <w:t xml:space="preserve"> </w:t>
      </w:r>
      <w:r w:rsidR="00397032" w:rsidRPr="00981405">
        <w:t>a</w:t>
      </w:r>
      <w:r w:rsidR="00190923" w:rsidRPr="00981405">
        <w:t xml:space="preserve"> </w:t>
      </w:r>
      <w:r w:rsidR="00397032" w:rsidRPr="00981405">
        <w:t>regional</w:t>
      </w:r>
      <w:r w:rsidR="00190923" w:rsidRPr="00981405">
        <w:t xml:space="preserve"> </w:t>
      </w:r>
      <w:r w:rsidR="00397032" w:rsidRPr="00981405">
        <w:t>level</w:t>
      </w:r>
      <w:r w:rsidR="00190923" w:rsidRPr="00981405">
        <w:t xml:space="preserve"> </w:t>
      </w:r>
      <w:r w:rsidR="00397032" w:rsidRPr="00981405">
        <w:t>of</w:t>
      </w:r>
      <w:r w:rsidR="00190923" w:rsidRPr="00981405">
        <w:t xml:space="preserve"> </w:t>
      </w:r>
      <w:r w:rsidR="00397032" w:rsidRPr="00981405">
        <w:t>matters</w:t>
      </w:r>
      <w:r w:rsidR="00190923" w:rsidRPr="00981405">
        <w:t xml:space="preserve"> </w:t>
      </w:r>
      <w:r w:rsidR="00397032" w:rsidRPr="00981405">
        <w:t>relating</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maintenance</w:t>
      </w:r>
      <w:r w:rsidR="00190923" w:rsidRPr="00981405">
        <w:t xml:space="preserve"> </w:t>
      </w:r>
      <w:r w:rsidR="00397032" w:rsidRPr="00981405">
        <w:t>of</w:t>
      </w:r>
      <w:r w:rsidR="00190923" w:rsidRPr="00981405">
        <w:t xml:space="preserve"> </w:t>
      </w:r>
      <w:r w:rsidR="00397032" w:rsidRPr="00981405">
        <w:t>international</w:t>
      </w:r>
      <w:r w:rsidR="00190923" w:rsidRPr="00981405">
        <w:t xml:space="preserve"> </w:t>
      </w:r>
      <w:r w:rsidR="00397032" w:rsidRPr="00981405">
        <w:t>peace</w:t>
      </w:r>
      <w:r w:rsidR="00190923" w:rsidRPr="00981405">
        <w:t xml:space="preserve"> </w:t>
      </w:r>
      <w:r w:rsidR="00397032" w:rsidRPr="00981405">
        <w:t>and</w:t>
      </w:r>
      <w:r w:rsidR="00190923" w:rsidRPr="00981405">
        <w:t xml:space="preserve"> </w:t>
      </w:r>
      <w:r w:rsidR="00397032" w:rsidRPr="00981405">
        <w:t>security</w:t>
      </w:r>
      <w:r w:rsidR="00190923" w:rsidRPr="00981405">
        <w:t xml:space="preserve"> </w:t>
      </w:r>
      <w:r w:rsidR="00397032" w:rsidRPr="00981405">
        <w:t>and</w:t>
      </w:r>
      <w:r w:rsidR="00190923" w:rsidRPr="00981405">
        <w:t xml:space="preserve"> </w:t>
      </w:r>
      <w:r w:rsidR="00397032" w:rsidRPr="00981405">
        <w:t>thus</w:t>
      </w:r>
      <w:r w:rsidR="00190923" w:rsidRPr="00981405">
        <w:t xml:space="preserve"> </w:t>
      </w:r>
      <w:r w:rsidR="00397032" w:rsidRPr="00981405">
        <w:t>does</w:t>
      </w:r>
      <w:r w:rsidR="00190923" w:rsidRPr="00981405">
        <w:t xml:space="preserve"> </w:t>
      </w:r>
      <w:r w:rsidR="00397032" w:rsidRPr="00981405">
        <w:t>not</w:t>
      </w:r>
      <w:r w:rsidR="00190923" w:rsidRPr="00981405">
        <w:t xml:space="preserve"> </w:t>
      </w:r>
      <w:r w:rsidR="00397032" w:rsidRPr="00981405">
        <w:t>fall</w:t>
      </w:r>
      <w:r w:rsidR="00190923" w:rsidRPr="00981405">
        <w:t xml:space="preserve"> </w:t>
      </w:r>
      <w:r w:rsidR="00397032" w:rsidRPr="00981405">
        <w:t>under</w:t>
      </w:r>
      <w:r w:rsidR="00190923" w:rsidRPr="00981405">
        <w:t xml:space="preserve"> </w:t>
      </w:r>
      <w:r w:rsidR="00397032" w:rsidRPr="00981405">
        <w:t>Chapter</w:t>
      </w:r>
      <w:r w:rsidR="00190923" w:rsidRPr="00981405">
        <w:t xml:space="preserve"> </w:t>
      </w:r>
      <w:r w:rsidR="00397032" w:rsidRPr="00981405">
        <w:t>VIII</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Charter.</w:t>
      </w:r>
      <w:r w:rsidRPr="00981405">
        <w:t>”</w:t>
      </w:r>
      <w:r w:rsidR="00397032" w:rsidRPr="00981405">
        <w:rPr>
          <w:rStyle w:val="FootnoteReference"/>
        </w:rPr>
        <w:footnoteReference w:id="313"/>
      </w:r>
    </w:p>
    <w:p w:rsidR="00397032" w:rsidRPr="00981405" w:rsidRDefault="00397032" w:rsidP="00D97463">
      <w:pPr>
        <w:pStyle w:val="SingleTxt"/>
      </w:pPr>
      <w:r w:rsidRPr="00981405">
        <w:t>(12)</w:t>
      </w:r>
      <w:r w:rsidRPr="00981405">
        <w:tab/>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is</w:t>
      </w:r>
      <w:r w:rsidR="00190923" w:rsidRPr="00981405">
        <w:t xml:space="preserve"> </w:t>
      </w:r>
      <w:r w:rsidRPr="00981405">
        <w:t>also</w:t>
      </w:r>
      <w:r w:rsidR="00190923" w:rsidRPr="00981405">
        <w:t xml:space="preserve"> </w:t>
      </w:r>
      <w:r w:rsidRPr="00981405">
        <w:t>applicable</w:t>
      </w:r>
      <w:r w:rsidR="00190923" w:rsidRPr="00981405">
        <w:t xml:space="preserve"> </w:t>
      </w:r>
      <w:r w:rsidRPr="00981405">
        <w:t>to</w:t>
      </w:r>
      <w:r w:rsidR="00190923" w:rsidRPr="00981405">
        <w:t xml:space="preserve"> </w:t>
      </w:r>
      <w:r w:rsidRPr="00981405">
        <w:t>constituent</w:t>
      </w:r>
      <w:r w:rsidR="00190923" w:rsidRPr="00981405">
        <w:t xml:space="preserve"> </w:t>
      </w:r>
      <w:r w:rsidRPr="00981405">
        <w:t>treaties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Pr="00981405">
        <w:rPr>
          <w:rStyle w:val="FootnoteReference"/>
        </w:rPr>
        <w:footnoteReference w:id="314"/>
      </w:r>
      <w:r w:rsidR="00190923" w:rsidRPr="00981405">
        <w:t xml:space="preserve"> </w:t>
      </w:r>
      <w:r w:rsidRPr="00981405">
        <w:t>Self-standing</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between</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however,</w:t>
      </w:r>
      <w:r w:rsidR="00190923" w:rsidRPr="00981405">
        <w:t xml:space="preserve"> </w:t>
      </w:r>
      <w:r w:rsidRPr="00981405">
        <w:t>are</w:t>
      </w:r>
      <w:r w:rsidR="00190923" w:rsidRPr="00981405">
        <w:t xml:space="preserve"> </w:t>
      </w:r>
      <w:r w:rsidRPr="00981405">
        <w:t>not</w:t>
      </w:r>
      <w:r w:rsidR="00190923" w:rsidRPr="00981405">
        <w:t xml:space="preserve"> </w:t>
      </w:r>
      <w:r w:rsidRPr="00981405">
        <w:t>common.</w:t>
      </w:r>
      <w:r w:rsidR="00190923" w:rsidRPr="00981405">
        <w:t xml:space="preserve"> </w:t>
      </w:r>
      <w:r w:rsidRPr="00981405">
        <w:t>When</w:t>
      </w:r>
      <w:r w:rsidR="00190923" w:rsidRPr="00981405">
        <w:t xml:space="preserve"> </w:t>
      </w:r>
      <w:r w:rsidRPr="00981405">
        <w:t>questions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arise</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such</w:t>
      </w:r>
      <w:r w:rsidR="00190923" w:rsidRPr="00981405">
        <w:t xml:space="preserve"> </w:t>
      </w:r>
      <w:r w:rsidRPr="00981405">
        <w:t>an</w:t>
      </w:r>
      <w:r w:rsidR="00190923" w:rsidRPr="00981405">
        <w:t xml:space="preserve"> </w:t>
      </w:r>
      <w:r w:rsidRPr="00981405">
        <w:t>instrument,</w:t>
      </w:r>
      <w:r w:rsidR="00190923" w:rsidRPr="00981405">
        <w:t xml:space="preserve"> </w:t>
      </w:r>
      <w:r w:rsidRPr="00981405">
        <w:t>the</w:t>
      </w:r>
      <w:r w:rsidR="00190923" w:rsidRPr="00981405">
        <w:t xml:space="preserve"> </w:t>
      </w:r>
      <w:r w:rsidRPr="00981405">
        <w:t>parties</w:t>
      </w:r>
      <w:r w:rsidR="00190923" w:rsidRPr="00981405">
        <w:t xml:space="preserve"> </w:t>
      </w:r>
      <w:r w:rsidRPr="00981405">
        <w:t>mostly</w:t>
      </w:r>
      <w:r w:rsidR="00190923" w:rsidRPr="00981405">
        <w:t xml:space="preserve"> </w:t>
      </w:r>
      <w:r w:rsidRPr="00981405">
        <w:t>act</w:t>
      </w:r>
      <w:r w:rsidR="00190923" w:rsidRPr="00981405">
        <w:t xml:space="preserve"> </w:t>
      </w:r>
      <w:r w:rsidRPr="00981405">
        <w:t>as</w:t>
      </w:r>
      <w:r w:rsidR="00190923" w:rsidRPr="00981405">
        <w:t xml:space="preserve"> </w:t>
      </w:r>
      <w:r w:rsidRPr="00981405">
        <w:t>members</w:t>
      </w:r>
      <w:r w:rsidR="00190923" w:rsidRPr="00981405">
        <w:t xml:space="preserve"> </w:t>
      </w:r>
      <w:r w:rsidRPr="00981405">
        <w:t>within</w:t>
      </w:r>
      <w:r w:rsidR="00190923" w:rsidRPr="00981405">
        <w:t xml:space="preserve"> </w:t>
      </w:r>
      <w:r w:rsidRPr="00981405">
        <w:t>the</w:t>
      </w:r>
      <w:r w:rsidR="00190923" w:rsidRPr="00981405">
        <w:t xml:space="preserve"> </w:t>
      </w:r>
      <w:r w:rsidRPr="00981405">
        <w:t>framework</w:t>
      </w:r>
      <w:r w:rsidR="00190923" w:rsidRPr="00981405">
        <w:t xml:space="preserve"> </w:t>
      </w:r>
      <w:r w:rsidRPr="00981405">
        <w:t>of</w:t>
      </w:r>
      <w:r w:rsidR="00190923" w:rsidRPr="00981405">
        <w:t xml:space="preserve"> </w:t>
      </w:r>
      <w:r w:rsidRPr="00981405">
        <w:t>the</w:t>
      </w:r>
      <w:r w:rsidR="00190923" w:rsidRPr="00981405">
        <w:t xml:space="preserve"> </w:t>
      </w:r>
      <w:r w:rsidRPr="00981405">
        <w:t>plenary</w:t>
      </w:r>
      <w:r w:rsidR="00190923" w:rsidRPr="00981405">
        <w:t xml:space="preserve"> </w:t>
      </w:r>
      <w:r w:rsidRPr="00981405">
        <w:t>organ</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If</w:t>
      </w:r>
      <w:r w:rsidR="00190923" w:rsidRPr="00981405">
        <w:t xml:space="preserve"> </w:t>
      </w:r>
      <w:r w:rsidRPr="00981405">
        <w:t>there</w:t>
      </w:r>
      <w:r w:rsidR="00190923" w:rsidRPr="00981405">
        <w:t xml:space="preserve"> </w:t>
      </w:r>
      <w:r w:rsidRPr="00981405">
        <w:t>is</w:t>
      </w:r>
      <w:r w:rsidR="00190923" w:rsidRPr="00981405">
        <w:t xml:space="preserve"> </w:t>
      </w:r>
      <w:r w:rsidRPr="00981405">
        <w:t>a</w:t>
      </w:r>
      <w:r w:rsidR="00190923" w:rsidRPr="00981405">
        <w:t xml:space="preserve"> </w:t>
      </w:r>
      <w:r w:rsidRPr="00981405">
        <w:t>need</w:t>
      </w:r>
      <w:r w:rsidR="00190923" w:rsidRPr="00981405">
        <w:t xml:space="preserve"> </w:t>
      </w:r>
      <w:r w:rsidRPr="00981405">
        <w:t>to</w:t>
      </w:r>
      <w:r w:rsidR="00190923" w:rsidRPr="00981405">
        <w:t xml:space="preserve"> </w:t>
      </w:r>
      <w:r w:rsidRPr="00981405">
        <w:t>modify,</w:t>
      </w:r>
      <w:r w:rsidR="00190923" w:rsidRPr="00981405">
        <w:t xml:space="preserve"> </w:t>
      </w:r>
      <w:r w:rsidRPr="00981405">
        <w:t>to</w:t>
      </w:r>
      <w:r w:rsidR="00190923" w:rsidRPr="00981405">
        <w:t xml:space="preserve"> </w:t>
      </w:r>
      <w:r w:rsidRPr="00981405">
        <w:t>amend,</w:t>
      </w:r>
      <w:r w:rsidR="00190923" w:rsidRPr="00981405">
        <w:t xml:space="preserve"> </w:t>
      </w:r>
      <w:r w:rsidRPr="00981405">
        <w:t>or</w:t>
      </w:r>
      <w:r w:rsidR="00190923" w:rsidRPr="00981405">
        <w:t xml:space="preserve"> </w:t>
      </w:r>
      <w:r w:rsidRPr="00981405">
        <w:t>to</w:t>
      </w:r>
      <w:r w:rsidR="00190923" w:rsidRPr="00981405">
        <w:t xml:space="preserve"> </w:t>
      </w:r>
      <w:r w:rsidRPr="00981405">
        <w:t>supplement</w:t>
      </w:r>
      <w:r w:rsidR="00190923" w:rsidRPr="00981405">
        <w:t xml:space="preserve"> </w:t>
      </w:r>
      <w:r w:rsidRPr="00981405">
        <w:t>the</w:t>
      </w:r>
      <w:r w:rsidR="00190923" w:rsidRPr="00981405">
        <w:t xml:space="preserve"> </w:t>
      </w:r>
      <w:r w:rsidRPr="00981405">
        <w:t>treaty,</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either</w:t>
      </w:r>
      <w:r w:rsidR="00190923" w:rsidRPr="00981405">
        <w:t xml:space="preserve"> </w:t>
      </w:r>
      <w:r w:rsidRPr="00981405">
        <w:t>use</w:t>
      </w:r>
      <w:r w:rsidR="00190923" w:rsidRPr="00981405">
        <w:t xml:space="preserve"> </w:t>
      </w:r>
      <w:r w:rsidRPr="00981405">
        <w:t>the</w:t>
      </w:r>
      <w:r w:rsidR="00190923" w:rsidRPr="00981405">
        <w:t xml:space="preserve"> </w:t>
      </w:r>
      <w:r w:rsidRPr="00981405">
        <w:t>amendment</w:t>
      </w:r>
      <w:r w:rsidR="00190923" w:rsidRPr="00981405">
        <w:t xml:space="preserve"> </w:t>
      </w:r>
      <w:r w:rsidRPr="00981405">
        <w:t>procedure</w:t>
      </w:r>
      <w:r w:rsidR="00190923" w:rsidRPr="00981405">
        <w:t xml:space="preserve"> </w:t>
      </w:r>
      <w:r w:rsidRPr="00981405">
        <w:t>which</w:t>
      </w:r>
      <w:r w:rsidR="00190923" w:rsidRPr="00981405">
        <w:t xml:space="preserve"> </w:t>
      </w:r>
      <w:r w:rsidRPr="00981405">
        <w:t>is</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r w:rsidR="00190923" w:rsidRPr="00981405">
        <w:t xml:space="preserve"> </w:t>
      </w:r>
      <w:r w:rsidRPr="00981405">
        <w:t>or</w:t>
      </w:r>
      <w:r w:rsidR="00190923" w:rsidRPr="00981405">
        <w:t xml:space="preserve"> </w:t>
      </w:r>
      <w:r w:rsidRPr="00981405">
        <w:t>they</w:t>
      </w:r>
      <w:r w:rsidR="00190923" w:rsidRPr="00981405">
        <w:t xml:space="preserve"> </w:t>
      </w:r>
      <w:r w:rsidRPr="00981405">
        <w:t>conclude</w:t>
      </w:r>
      <w:r w:rsidR="00190923" w:rsidRPr="00981405">
        <w:t xml:space="preserve"> </w:t>
      </w:r>
      <w:r w:rsidRPr="00981405">
        <w:t>a</w:t>
      </w:r>
      <w:r w:rsidR="00190923" w:rsidRPr="00981405">
        <w:t xml:space="preserve"> </w:t>
      </w:r>
      <w:r w:rsidRPr="00981405">
        <w:t>further</w:t>
      </w:r>
      <w:r w:rsidR="00190923" w:rsidRPr="00981405">
        <w:t xml:space="preserve"> </w:t>
      </w:r>
      <w:r w:rsidRPr="00981405">
        <w:t>treaty,</w:t>
      </w:r>
      <w:r w:rsidR="00190923" w:rsidRPr="00981405">
        <w:t xml:space="preserve"> </w:t>
      </w:r>
      <w:r w:rsidRPr="00981405">
        <w:t>usually</w:t>
      </w:r>
      <w:r w:rsidR="00190923" w:rsidRPr="00981405">
        <w:t xml:space="preserve"> </w:t>
      </w:r>
      <w:r w:rsidRPr="00981405">
        <w:t>a</w:t>
      </w:r>
      <w:r w:rsidR="00190923" w:rsidRPr="00981405">
        <w:t xml:space="preserve"> </w:t>
      </w:r>
      <w:r w:rsidRPr="00981405">
        <w:t>protocol.</w:t>
      </w:r>
      <w:r w:rsidRPr="00981405">
        <w:rPr>
          <w:rStyle w:val="FootnoteReference"/>
        </w:rPr>
        <w:footnoteReference w:id="315"/>
      </w:r>
      <w:r w:rsidR="00190923" w:rsidRPr="00981405">
        <w:t xml:space="preserve"> </w:t>
      </w:r>
      <w:r w:rsidRPr="00981405">
        <w:t>It</w:t>
      </w:r>
      <w:r w:rsidR="00190923" w:rsidRPr="00981405">
        <w:t xml:space="preserve"> </w:t>
      </w:r>
      <w:r w:rsidRPr="00981405">
        <w:t>is,</w:t>
      </w:r>
      <w:r w:rsidR="00190923" w:rsidRPr="00981405">
        <w:t xml:space="preserve"> </w:t>
      </w:r>
      <w:r w:rsidRPr="00981405">
        <w:t>however,</w:t>
      </w:r>
      <w:r w:rsidR="00190923" w:rsidRPr="00981405">
        <w:t xml:space="preserve"> </w:t>
      </w:r>
      <w:r w:rsidRPr="00981405">
        <w:t>also</w:t>
      </w:r>
      <w:r w:rsidR="00190923" w:rsidRPr="00981405">
        <w:t xml:space="preserve"> </w:t>
      </w:r>
      <w:r w:rsidRPr="00981405">
        <w:t>possible</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act</w:t>
      </w:r>
      <w:r w:rsidR="00190923" w:rsidRPr="00981405">
        <w:t xml:space="preserve"> </w:t>
      </w:r>
      <w:r w:rsidRPr="00981405">
        <w:t>as</w:t>
      </w:r>
      <w:r w:rsidR="00190923" w:rsidRPr="00981405">
        <w:t xml:space="preserve"> </w:t>
      </w:r>
      <w:r w:rsidRPr="00981405">
        <w:t>such</w:t>
      </w:r>
      <w:r w:rsidR="00190923" w:rsidRPr="00981405">
        <w:t xml:space="preserve"> </w:t>
      </w:r>
      <w:r w:rsidRPr="00981405">
        <w:t>when</w:t>
      </w:r>
      <w:r w:rsidR="00190923" w:rsidRPr="00981405">
        <w:t xml:space="preserve"> </w:t>
      </w:r>
      <w:r w:rsidRPr="00981405">
        <w:t>they</w:t>
      </w:r>
      <w:r w:rsidR="00190923" w:rsidRPr="00981405">
        <w:t xml:space="preserve"> </w:t>
      </w:r>
      <w:r w:rsidRPr="00981405">
        <w:t>meet</w:t>
      </w:r>
      <w:r w:rsidR="00190923" w:rsidRPr="00981405">
        <w:t xml:space="preserve"> </w:t>
      </w:r>
      <w:r w:rsidRPr="00981405">
        <w:t>within</w:t>
      </w:r>
      <w:r w:rsidR="00190923" w:rsidRPr="00981405">
        <w:t xml:space="preserve"> </w:t>
      </w:r>
      <w:r w:rsidRPr="00981405">
        <w:t>a</w:t>
      </w:r>
      <w:r w:rsidR="00190923" w:rsidRPr="00981405">
        <w:t xml:space="preserve"> </w:t>
      </w:r>
      <w:r w:rsidRPr="00981405">
        <w:t>plenary</w:t>
      </w:r>
      <w:r w:rsidR="00190923" w:rsidRPr="00981405">
        <w:t xml:space="preserve"> </w:t>
      </w:r>
      <w:r w:rsidRPr="00981405">
        <w:t>organ</w:t>
      </w:r>
      <w:r w:rsidR="00190923" w:rsidRPr="00981405">
        <w:t xml:space="preserve"> </w:t>
      </w:r>
      <w:r w:rsidRPr="00981405">
        <w:t>of</w:t>
      </w:r>
      <w:r w:rsidR="00190923" w:rsidRPr="00981405">
        <w:t xml:space="preserve"> </w:t>
      </w:r>
      <w:r w:rsidRPr="00981405">
        <w:t>the</w:t>
      </w:r>
      <w:r w:rsidR="00190923" w:rsidRPr="00981405">
        <w:t xml:space="preserve"> </w:t>
      </w:r>
      <w:r w:rsidRPr="00981405">
        <w:t>respective</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1995:</w:t>
      </w:r>
    </w:p>
    <w:p w:rsidR="00397032" w:rsidRPr="00981405" w:rsidRDefault="00B92E2C" w:rsidP="00D97463">
      <w:pPr>
        <w:pStyle w:val="SingleTxt"/>
        <w:ind w:left="1742"/>
      </w:pPr>
      <w:r w:rsidRPr="00981405">
        <w:lastRenderedPageBreak/>
        <w:t>“</w:t>
      </w:r>
      <w:r w:rsidR="00397032" w:rsidRPr="00981405">
        <w:t>[T]he</w:t>
      </w:r>
      <w:r w:rsidR="00190923" w:rsidRPr="00981405">
        <w:t xml:space="preserve"> </w:t>
      </w:r>
      <w:r w:rsidR="00397032" w:rsidRPr="00981405">
        <w:t>Governments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fifteen</w:t>
      </w:r>
      <w:r w:rsidR="00190923" w:rsidRPr="00981405">
        <w:t xml:space="preserve"> </w:t>
      </w:r>
      <w:r w:rsidR="00397032" w:rsidRPr="00981405">
        <w:t>Member</w:t>
      </w:r>
      <w:r w:rsidR="00190923" w:rsidRPr="00981405">
        <w:t xml:space="preserve"> </w:t>
      </w:r>
      <w:r w:rsidR="00397032" w:rsidRPr="00981405">
        <w:t>States</w:t>
      </w:r>
      <w:r w:rsidR="00190923" w:rsidRPr="00981405">
        <w:t xml:space="preserve"> </w:t>
      </w:r>
      <w:r w:rsidR="00397032" w:rsidRPr="00981405">
        <w:t>have</w:t>
      </w:r>
      <w:r w:rsidR="00190923" w:rsidRPr="00981405">
        <w:t xml:space="preserve"> </w:t>
      </w:r>
      <w:r w:rsidR="00397032" w:rsidRPr="00981405">
        <w:t>achieved</w:t>
      </w:r>
      <w:r w:rsidR="00190923" w:rsidRPr="00981405">
        <w:t xml:space="preserve"> </w:t>
      </w:r>
      <w:r w:rsidR="00397032" w:rsidRPr="00981405">
        <w:t>the</w:t>
      </w:r>
      <w:r w:rsidR="00190923" w:rsidRPr="00981405">
        <w:t xml:space="preserve"> </w:t>
      </w:r>
      <w:r w:rsidR="00397032" w:rsidRPr="00981405">
        <w:t>common</w:t>
      </w:r>
      <w:r w:rsidR="00190923" w:rsidRPr="00981405">
        <w:t xml:space="preserve"> </w:t>
      </w:r>
      <w:r w:rsidR="00397032" w:rsidRPr="00981405">
        <w:t>agreement</w:t>
      </w:r>
      <w:r w:rsidR="00190923" w:rsidRPr="00981405">
        <w:t xml:space="preserve"> </w:t>
      </w:r>
      <w:r w:rsidR="00397032" w:rsidRPr="00981405">
        <w:t>that</w:t>
      </w:r>
      <w:r w:rsidR="00190923" w:rsidRPr="00981405">
        <w:t xml:space="preserve"> </w:t>
      </w:r>
      <w:r w:rsidR="00397032" w:rsidRPr="00981405">
        <w:t>this</w:t>
      </w:r>
      <w:r w:rsidR="00190923" w:rsidRPr="00981405">
        <w:t xml:space="preserve"> </w:t>
      </w:r>
      <w:r w:rsidR="00397032" w:rsidRPr="00981405">
        <w:t>decision</w:t>
      </w:r>
      <w:r w:rsidR="00190923" w:rsidRPr="00981405">
        <w:t xml:space="preserve"> </w:t>
      </w:r>
      <w:r w:rsidR="00397032" w:rsidRPr="00981405">
        <w:t>is</w:t>
      </w:r>
      <w:r w:rsidR="00190923" w:rsidRPr="00981405">
        <w:t xml:space="preserve"> </w:t>
      </w:r>
      <w:r w:rsidR="00397032" w:rsidRPr="00981405">
        <w:t>the</w:t>
      </w:r>
      <w:r w:rsidR="00190923" w:rsidRPr="00981405">
        <w:t xml:space="preserve"> </w:t>
      </w:r>
      <w:r w:rsidR="00397032" w:rsidRPr="00981405">
        <w:t>agreed</w:t>
      </w:r>
      <w:r w:rsidR="00190923" w:rsidRPr="00981405">
        <w:t xml:space="preserve"> </w:t>
      </w:r>
      <w:r w:rsidR="00397032" w:rsidRPr="00981405">
        <w:t>and</w:t>
      </w:r>
      <w:r w:rsidR="00190923" w:rsidRPr="00981405">
        <w:t xml:space="preserve"> </w:t>
      </w:r>
      <w:r w:rsidR="00397032" w:rsidRPr="00981405">
        <w:t>definitive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relevant</w:t>
      </w:r>
      <w:r w:rsidR="00190923" w:rsidRPr="00981405">
        <w:t xml:space="preserve"> </w:t>
      </w:r>
      <w:r w:rsidR="00397032" w:rsidRPr="00981405">
        <w:t>Treaty</w:t>
      </w:r>
      <w:r w:rsidR="00190923" w:rsidRPr="00981405">
        <w:t xml:space="preserve"> </w:t>
      </w:r>
      <w:r w:rsidR="00397032" w:rsidRPr="00981405">
        <w:t>provisions</w:t>
      </w:r>
      <w:r w:rsidRPr="00981405">
        <w:t>”</w:t>
      </w:r>
      <w:r w:rsidR="00397032" w:rsidRPr="00981405">
        <w:rPr>
          <w:rStyle w:val="FootnoteReference"/>
        </w:rPr>
        <w:footnoteReference w:id="316"/>
      </w:r>
      <w:r w:rsidR="00397032" w:rsidRPr="00981405">
        <w:t>.</w:t>
      </w:r>
      <w:r w:rsidR="00190923" w:rsidRPr="00981405">
        <w:t xml:space="preserve"> </w:t>
      </w:r>
    </w:p>
    <w:p w:rsidR="00397032" w:rsidRPr="00981405" w:rsidRDefault="00397032" w:rsidP="00D97463">
      <w:pPr>
        <w:pStyle w:val="SingleTxt"/>
      </w:pPr>
      <w:r w:rsidRPr="00981405">
        <w:t>That</w:t>
      </w:r>
      <w:r w:rsidR="00190923" w:rsidRPr="00981405">
        <w:t xml:space="preserve"> </w:t>
      </w:r>
      <w:r w:rsidRPr="00981405">
        <w:t>is</w:t>
      </w:r>
      <w:r w:rsidR="00190923" w:rsidRPr="00981405">
        <w:t xml:space="preserve"> </w:t>
      </w:r>
      <w:r w:rsidRPr="00981405">
        <w:t>to</w:t>
      </w:r>
      <w:r w:rsidR="00190923" w:rsidRPr="00981405">
        <w:t xml:space="preserve"> </w:t>
      </w:r>
      <w:r w:rsidRPr="00981405">
        <w:t>say</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name</w:t>
      </w:r>
      <w:r w:rsidR="00190923" w:rsidRPr="00981405">
        <w:t xml:space="preserve"> </w:t>
      </w:r>
      <w:r w:rsidR="00397032" w:rsidRPr="00981405">
        <w:t>given</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European</w:t>
      </w:r>
      <w:r w:rsidR="00190923" w:rsidRPr="00981405">
        <w:t xml:space="preserve"> </w:t>
      </w:r>
      <w:r w:rsidR="00397032" w:rsidRPr="00981405">
        <w:t>currency</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00397032" w:rsidRPr="00981405">
        <w:t>euro.</w:t>
      </w:r>
      <w:r w:rsidR="00190923" w:rsidRPr="00981405">
        <w:t xml:space="preserve"> </w:t>
      </w:r>
      <w:r w:rsidR="00397032" w:rsidRPr="00981405">
        <w:t>[…]</w:t>
      </w:r>
      <w:r w:rsidR="00190923" w:rsidRPr="00981405">
        <w:t xml:space="preserve"> </w:t>
      </w:r>
      <w:r w:rsidR="00397032" w:rsidRPr="00981405">
        <w:t>The</w:t>
      </w:r>
      <w:r w:rsidR="00190923" w:rsidRPr="00981405">
        <w:t xml:space="preserve"> </w:t>
      </w:r>
      <w:r w:rsidR="00397032" w:rsidRPr="00981405">
        <w:t>specific</w:t>
      </w:r>
      <w:r w:rsidR="00190923" w:rsidRPr="00981405">
        <w:t xml:space="preserve"> </w:t>
      </w:r>
      <w:r w:rsidR="00397032" w:rsidRPr="00981405">
        <w:t>name</w:t>
      </w:r>
      <w:r w:rsidR="00190923" w:rsidRPr="00981405">
        <w:t xml:space="preserve"> </w:t>
      </w:r>
      <w:r w:rsidR="00397032" w:rsidRPr="00981405">
        <w:t>euro</w:t>
      </w:r>
      <w:r w:rsidR="00190923" w:rsidRPr="00981405">
        <w:t xml:space="preserve"> </w:t>
      </w:r>
      <w:r w:rsidR="00397032" w:rsidRPr="00981405">
        <w:t>will</w:t>
      </w:r>
      <w:r w:rsidR="00190923" w:rsidRPr="00981405">
        <w:t xml:space="preserve"> </w:t>
      </w:r>
      <w:r w:rsidR="00397032" w:rsidRPr="00981405">
        <w:t>be</w:t>
      </w:r>
      <w:r w:rsidR="00190923" w:rsidRPr="00981405">
        <w:t xml:space="preserve"> </w:t>
      </w:r>
      <w:r w:rsidR="00397032" w:rsidRPr="00981405">
        <w:t>used</w:t>
      </w:r>
      <w:r w:rsidR="00190923" w:rsidRPr="00981405">
        <w:t xml:space="preserve"> </w:t>
      </w:r>
      <w:r w:rsidR="00397032" w:rsidRPr="00981405">
        <w:t>instead</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generic</w:t>
      </w:r>
      <w:r w:rsidR="00190923" w:rsidRPr="00981405">
        <w:t xml:space="preserve"> </w:t>
      </w:r>
      <w:r w:rsidR="00397032" w:rsidRPr="00981405">
        <w:t>term</w:t>
      </w:r>
      <w:r w:rsidR="00190923" w:rsidRPr="00981405">
        <w:t xml:space="preserve"> </w:t>
      </w:r>
      <w:r w:rsidRPr="00981405">
        <w:t>‘</w:t>
      </w:r>
      <w:r w:rsidR="00397032" w:rsidRPr="00981405">
        <w:t>ECU</w:t>
      </w:r>
      <w:r w:rsidRPr="00981405">
        <w:t>’</w:t>
      </w:r>
      <w:r w:rsidR="00190923" w:rsidRPr="00981405">
        <w:t xml:space="preserve"> </w:t>
      </w:r>
      <w:r w:rsidR="00397032" w:rsidRPr="00981405">
        <w:t>used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Treaty</w:t>
      </w:r>
      <w:r w:rsidR="00190923" w:rsidRPr="00981405">
        <w:t xml:space="preserve"> </w:t>
      </w:r>
      <w:r w:rsidR="00397032" w:rsidRPr="00981405">
        <w:t>to</w:t>
      </w:r>
      <w:r w:rsidR="00190923" w:rsidRPr="00981405">
        <w:t xml:space="preserve"> </w:t>
      </w:r>
      <w:r w:rsidR="00397032" w:rsidRPr="00981405">
        <w:t>refer</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European</w:t>
      </w:r>
      <w:r w:rsidR="00190923" w:rsidRPr="00981405">
        <w:t xml:space="preserve"> </w:t>
      </w:r>
      <w:r w:rsidR="00397032" w:rsidRPr="00981405">
        <w:t>currency</w:t>
      </w:r>
      <w:r w:rsidR="00190923" w:rsidRPr="00981405">
        <w:t xml:space="preserve"> </w:t>
      </w:r>
      <w:r w:rsidR="00397032" w:rsidRPr="00981405">
        <w:t>unit.</w:t>
      </w:r>
      <w:r w:rsidRPr="00981405">
        <w:t>”</w:t>
      </w:r>
      <w:r w:rsidR="00397032" w:rsidRPr="00981405">
        <w:rPr>
          <w:rStyle w:val="FootnoteReference"/>
        </w:rPr>
        <w:footnoteReference w:id="317"/>
      </w:r>
    </w:p>
    <w:p w:rsidR="00397032" w:rsidRPr="00981405" w:rsidRDefault="00397032" w:rsidP="00D97463">
      <w:pPr>
        <w:pStyle w:val="SingleTxt"/>
      </w:pPr>
      <w:r w:rsidRPr="00981405">
        <w:t>This</w:t>
      </w:r>
      <w:r w:rsidR="00190923" w:rsidRPr="00981405">
        <w:t xml:space="preserve"> </w:t>
      </w:r>
      <w:r w:rsidRPr="00981405">
        <w:t>decision</w:t>
      </w:r>
      <w:r w:rsidR="00190923" w:rsidRPr="00981405">
        <w:t xml:space="preserve"> </w:t>
      </w:r>
      <w:r w:rsidRPr="00981405">
        <w:t>of</w:t>
      </w:r>
      <w:r w:rsidR="00190923" w:rsidRPr="00981405">
        <w:t xml:space="preserve"> </w:t>
      </w:r>
      <w:r w:rsidRPr="00981405">
        <w:t>the</w:t>
      </w:r>
      <w:r w:rsidR="00190923" w:rsidRPr="00981405">
        <w:t xml:space="preserve"> </w:t>
      </w:r>
      <w:r w:rsidR="00B92E2C" w:rsidRPr="00981405">
        <w:t>“</w:t>
      </w:r>
      <w:r w:rsidRPr="00981405">
        <w:t>Member</w:t>
      </w:r>
      <w:r w:rsidR="00190923" w:rsidRPr="00981405">
        <w:t xml:space="preserve"> </w:t>
      </w:r>
      <w:r w:rsidRPr="00981405">
        <w:t>States</w:t>
      </w:r>
      <w:r w:rsidR="00190923" w:rsidRPr="00981405">
        <w:t xml:space="preserve"> </w:t>
      </w:r>
      <w:r w:rsidRPr="00981405">
        <w:t>meeting</w:t>
      </w:r>
      <w:r w:rsidR="00190923" w:rsidRPr="00981405">
        <w:t xml:space="preserve"> </w:t>
      </w:r>
      <w:r w:rsidRPr="00981405">
        <w:t>within</w:t>
      </w:r>
      <w:r w:rsidR="00B92E2C" w:rsidRPr="00981405">
        <w:t>”</w:t>
      </w:r>
      <w:r w:rsidR="00190923" w:rsidRPr="00981405">
        <w:t xml:space="preserve"> </w:t>
      </w:r>
      <w:r w:rsidRPr="00981405">
        <w:t>the</w:t>
      </w:r>
      <w:r w:rsidR="00190923" w:rsidRPr="00981405">
        <w:t xml:space="preserve"> </w:t>
      </w:r>
      <w:r w:rsidRPr="00981405">
        <w:t>European</w:t>
      </w:r>
      <w:r w:rsidR="00190923" w:rsidRPr="00981405">
        <w:t xml:space="preserve"> </w:t>
      </w:r>
      <w:r w:rsidRPr="00981405">
        <w:t>Union</w:t>
      </w:r>
      <w:r w:rsidR="00190923" w:rsidRPr="00981405">
        <w:t xml:space="preserve"> </w:t>
      </w:r>
      <w:r w:rsidRPr="00981405">
        <w:t>has</w:t>
      </w:r>
      <w:r w:rsidR="00190923" w:rsidRPr="00981405">
        <w:t xml:space="preserve"> </w:t>
      </w:r>
      <w:r w:rsidRPr="00981405">
        <w:t>been</w:t>
      </w:r>
      <w:r w:rsidR="00190923" w:rsidRPr="00981405">
        <w:t xml:space="preserve"> </w:t>
      </w:r>
      <w:r w:rsidRPr="00981405">
        <w:t>regarded,</w:t>
      </w:r>
      <w:r w:rsidR="00190923" w:rsidRPr="00981405">
        <w:t xml:space="preserve"> </w:t>
      </w:r>
      <w:r w:rsidRPr="00981405">
        <w:t>in</w:t>
      </w:r>
      <w:r w:rsidR="00190923" w:rsidRPr="00981405">
        <w:t xml:space="preserve"> </w:t>
      </w:r>
      <w:r w:rsidRPr="00981405">
        <w:t>the</w:t>
      </w:r>
      <w:r w:rsidR="00190923" w:rsidRPr="00981405">
        <w:t xml:space="preserve"> </w:t>
      </w:r>
      <w:r w:rsidRPr="00981405">
        <w:t>literature,</w:t>
      </w:r>
      <w:r w:rsidR="00190923" w:rsidRPr="00981405">
        <w:t xml:space="preserve"> </w:t>
      </w:r>
      <w:r w:rsidRPr="00981405">
        <w:t>as</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bookmarkStart w:id="106" w:name="_Ref423341817"/>
      <w:r w:rsidRPr="00981405">
        <w:rPr>
          <w:rStyle w:val="FootnoteReference"/>
        </w:rPr>
        <w:footnoteReference w:id="318"/>
      </w:r>
      <w:bookmarkEnd w:id="106"/>
    </w:p>
    <w:p w:rsidR="00397032" w:rsidRPr="00981405" w:rsidRDefault="00397032" w:rsidP="00D97463">
      <w:pPr>
        <w:pStyle w:val="SingleTxt"/>
      </w:pPr>
      <w:r w:rsidRPr="00981405">
        <w:t>(13)</w:t>
      </w:r>
      <w:r w:rsidRPr="00981405">
        <w:tab/>
        <w:t>It</w:t>
      </w:r>
      <w:r w:rsidR="00190923" w:rsidRPr="00981405">
        <w:t xml:space="preserve"> </w:t>
      </w:r>
      <w:r w:rsidRPr="00981405">
        <w:t>is</w:t>
      </w:r>
      <w:r w:rsidR="00190923" w:rsidRPr="00981405">
        <w:t xml:space="preserve"> </w:t>
      </w:r>
      <w:r w:rsidRPr="00981405">
        <w:t>sometimes</w:t>
      </w:r>
      <w:r w:rsidR="00190923" w:rsidRPr="00981405">
        <w:t xml:space="preserve"> </w:t>
      </w:r>
      <w:r w:rsidRPr="00981405">
        <w:t>difficult</w:t>
      </w:r>
      <w:r w:rsidR="00190923" w:rsidRPr="00981405">
        <w:t xml:space="preserve"> </w:t>
      </w:r>
      <w:r w:rsidRPr="00981405">
        <w:t>to</w:t>
      </w:r>
      <w:r w:rsidR="00190923" w:rsidRPr="00981405">
        <w:t xml:space="preserve"> </w:t>
      </w:r>
      <w:r w:rsidRPr="00981405">
        <w:t>determine</w:t>
      </w:r>
      <w:r w:rsidR="00190923" w:rsidRPr="00981405">
        <w:t xml:space="preserve"> </w:t>
      </w:r>
      <w:r w:rsidRPr="00981405">
        <w:t>whether</w:t>
      </w:r>
      <w:r w:rsidR="00190923" w:rsidRPr="00981405">
        <w:t xml:space="preserve"> </w:t>
      </w:r>
      <w:r w:rsidR="00B92E2C" w:rsidRPr="00981405">
        <w:t>“</w:t>
      </w:r>
      <w:r w:rsidRPr="00981405">
        <w:t>Member</w:t>
      </w:r>
      <w:r w:rsidR="00190923" w:rsidRPr="00981405">
        <w:t xml:space="preserve"> </w:t>
      </w:r>
      <w:r w:rsidRPr="00981405">
        <w:t>States</w:t>
      </w:r>
      <w:r w:rsidR="00190923" w:rsidRPr="00981405">
        <w:t xml:space="preserve"> </w:t>
      </w:r>
      <w:r w:rsidRPr="00981405">
        <w:t>meeting</w:t>
      </w:r>
      <w:r w:rsidR="00190923" w:rsidRPr="00981405">
        <w:t xml:space="preserve"> </w:t>
      </w:r>
      <w:r w:rsidRPr="00981405">
        <w:t>within</w:t>
      </w:r>
      <w:r w:rsidR="00B92E2C" w:rsidRPr="00981405">
        <w:t>”</w:t>
      </w:r>
      <w:r w:rsidR="00190923" w:rsidRPr="00981405">
        <w:t xml:space="preserve"> </w:t>
      </w:r>
      <w:r w:rsidRPr="00981405">
        <w:t>a</w:t>
      </w:r>
      <w:r w:rsidR="00190923" w:rsidRPr="00981405">
        <w:t xml:space="preserve"> </w:t>
      </w:r>
      <w:r w:rsidRPr="00981405">
        <w:t>plenary</w:t>
      </w:r>
      <w:r w:rsidR="00190923" w:rsidRPr="00981405">
        <w:t xml:space="preserve"> </w:t>
      </w:r>
      <w:r w:rsidRPr="00981405">
        <w:t>organ</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intend</w:t>
      </w:r>
      <w:r w:rsidR="00190923" w:rsidRPr="00981405">
        <w:t xml:space="preserve"> </w:t>
      </w:r>
      <w:r w:rsidRPr="00981405">
        <w:t>to</w:t>
      </w:r>
      <w:r w:rsidR="00190923" w:rsidRPr="00981405">
        <w:t xml:space="preserve"> </w:t>
      </w:r>
      <w:r w:rsidRPr="00981405">
        <w:t>act</w:t>
      </w:r>
      <w:r w:rsidR="00190923" w:rsidRPr="00981405">
        <w:t xml:space="preserve"> </w:t>
      </w:r>
      <w:r w:rsidRPr="00981405">
        <w:t>in</w:t>
      </w:r>
      <w:r w:rsidR="00190923" w:rsidRPr="00981405">
        <w:t xml:space="preserve"> </w:t>
      </w:r>
      <w:r w:rsidRPr="00981405">
        <w:t>their</w:t>
      </w:r>
      <w:r w:rsidR="00190923" w:rsidRPr="00981405">
        <w:t xml:space="preserve"> </w:t>
      </w:r>
      <w:r w:rsidRPr="00981405">
        <w:t>capacity</w:t>
      </w:r>
      <w:r w:rsidR="00190923" w:rsidRPr="00981405">
        <w:t xml:space="preserve"> </w:t>
      </w:r>
      <w:r w:rsidRPr="00981405">
        <w:t>as</w:t>
      </w:r>
      <w:r w:rsidR="00190923" w:rsidRPr="00981405">
        <w:t xml:space="preserve"> </w:t>
      </w:r>
      <w:r w:rsidRPr="00981405">
        <w:t>members</w:t>
      </w:r>
      <w:r w:rsidR="00190923" w:rsidRPr="00981405">
        <w:t xml:space="preserve"> </w:t>
      </w:r>
      <w:r w:rsidRPr="00981405">
        <w:t>of</w:t>
      </w:r>
      <w:r w:rsidR="00190923" w:rsidRPr="00981405">
        <w:t xml:space="preserve"> </w:t>
      </w:r>
      <w:r w:rsidRPr="00981405">
        <w:t>that</w:t>
      </w:r>
      <w:r w:rsidR="00190923" w:rsidRPr="00981405">
        <w:t xml:space="preserve"> </w:t>
      </w:r>
      <w:r w:rsidRPr="00981405">
        <w:t>organ,</w:t>
      </w:r>
      <w:r w:rsidR="00190923" w:rsidRPr="00981405">
        <w:t xml:space="preserve"> </w:t>
      </w:r>
      <w:r w:rsidRPr="00981405">
        <w:t>as</w:t>
      </w:r>
      <w:r w:rsidR="00190923" w:rsidRPr="00981405">
        <w:t xml:space="preserve"> </w:t>
      </w:r>
      <w:r w:rsidRPr="00981405">
        <w:t>they</w:t>
      </w:r>
      <w:r w:rsidR="00190923" w:rsidRPr="00981405">
        <w:t xml:space="preserve"> </w:t>
      </w:r>
      <w:r w:rsidRPr="00981405">
        <w:t>usually</w:t>
      </w:r>
      <w:r w:rsidR="00190923" w:rsidRPr="00981405">
        <w:t xml:space="preserve"> </w:t>
      </w:r>
      <w:r w:rsidRPr="00981405">
        <w:t>do,</w:t>
      </w:r>
      <w:r w:rsidR="00190923" w:rsidRPr="00981405">
        <w:t xml:space="preserve"> </w:t>
      </w:r>
      <w:r w:rsidRPr="00981405">
        <w:t>or</w:t>
      </w:r>
      <w:r w:rsidR="00190923" w:rsidRPr="00981405">
        <w:t xml:space="preserve"> </w:t>
      </w:r>
      <w:r w:rsidRPr="00981405">
        <w:t>whether</w:t>
      </w:r>
      <w:r w:rsidR="00190923" w:rsidRPr="00981405">
        <w:t xml:space="preserve"> </w:t>
      </w:r>
      <w:r w:rsidRPr="00981405">
        <w:t>they</w:t>
      </w:r>
      <w:r w:rsidR="00190923" w:rsidRPr="00981405">
        <w:t xml:space="preserve"> </w:t>
      </w:r>
      <w:r w:rsidRPr="00981405">
        <w:t>intend</w:t>
      </w:r>
      <w:r w:rsidR="00190923" w:rsidRPr="00981405">
        <w:t xml:space="preserve"> </w:t>
      </w:r>
      <w:r w:rsidRPr="00981405">
        <w:t>to</w:t>
      </w:r>
      <w:r w:rsidR="00190923" w:rsidRPr="00981405">
        <w:t xml:space="preserve"> </w:t>
      </w:r>
      <w:r w:rsidRPr="00981405">
        <w:t>act</w:t>
      </w:r>
      <w:r w:rsidR="00190923" w:rsidRPr="00981405">
        <w:t xml:space="preserve"> </w:t>
      </w:r>
      <w:r w:rsidRPr="00981405">
        <w:t>in</w:t>
      </w:r>
      <w:r w:rsidR="00190923" w:rsidRPr="00981405">
        <w:t xml:space="preserve"> </w:t>
      </w:r>
      <w:r w:rsidRPr="00981405">
        <w:t>their</w:t>
      </w:r>
      <w:r w:rsidR="00190923" w:rsidRPr="00981405">
        <w:t xml:space="preserve"> </w:t>
      </w:r>
      <w:r w:rsidRPr="00981405">
        <w:t>independent</w:t>
      </w:r>
      <w:r w:rsidR="00190923" w:rsidRPr="00981405">
        <w:t xml:space="preserve"> </w:t>
      </w:r>
      <w:r w:rsidRPr="00981405">
        <w:t>capacity</w:t>
      </w:r>
      <w:r w:rsidR="00190923" w:rsidRPr="00981405">
        <w:t xml:space="preserve"> </w:t>
      </w:r>
      <w:r w:rsidRPr="00981405">
        <w:t>as</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Pr="00981405">
        <w:rPr>
          <w:rStyle w:val="FootnoteReference"/>
        </w:rPr>
        <w:footnoteReference w:id="319"/>
      </w:r>
      <w:r w:rsidR="00190923" w:rsidRPr="00981405">
        <w:t xml:space="preserve"> </w:t>
      </w:r>
      <w:r w:rsidRPr="00981405">
        <w:t>The</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of</w:t>
      </w:r>
      <w:r w:rsidR="00190923" w:rsidRPr="00981405">
        <w:t xml:space="preserve"> </w:t>
      </w:r>
      <w:r w:rsidRPr="00981405">
        <w:t>the</w:t>
      </w:r>
      <w:r w:rsidR="00190923" w:rsidRPr="00981405">
        <w:t xml:space="preserve"> </w:t>
      </w:r>
      <w:r w:rsidRPr="00981405">
        <w:t>European</w:t>
      </w:r>
      <w:r w:rsidR="00190923" w:rsidRPr="00981405">
        <w:t xml:space="preserve"> </w:t>
      </w:r>
      <w:r w:rsidRPr="00981405">
        <w:t>Union,</w:t>
      </w:r>
      <w:r w:rsidR="00190923" w:rsidRPr="00981405">
        <w:t xml:space="preserve"> </w:t>
      </w:r>
      <w:r w:rsidRPr="00981405">
        <w:t>when</w:t>
      </w:r>
      <w:r w:rsidR="00190923" w:rsidRPr="00981405">
        <w:t xml:space="preserve"> </w:t>
      </w:r>
      <w:r w:rsidRPr="00981405">
        <w:t>confronted</w:t>
      </w:r>
      <w:r w:rsidR="00190923" w:rsidRPr="00981405">
        <w:t xml:space="preserve"> </w:t>
      </w:r>
      <w:r w:rsidRPr="00981405">
        <w:t>with</w:t>
      </w:r>
      <w:r w:rsidR="00190923" w:rsidRPr="00981405">
        <w:t xml:space="preserve"> </w:t>
      </w:r>
      <w:r w:rsidRPr="00981405">
        <w:t>this</w:t>
      </w:r>
      <w:r w:rsidR="00190923" w:rsidRPr="00981405">
        <w:t xml:space="preserve"> </w:t>
      </w:r>
      <w:r w:rsidRPr="00981405">
        <w:t>question,</w:t>
      </w:r>
      <w:r w:rsidR="00190923" w:rsidRPr="00981405">
        <w:t xml:space="preserve"> </w:t>
      </w:r>
      <w:r w:rsidRPr="00981405">
        <w:t>initially</w:t>
      </w:r>
      <w:r w:rsidR="00190923" w:rsidRPr="00981405">
        <w:t xml:space="preserve"> </w:t>
      </w:r>
      <w:r w:rsidRPr="00981405">
        <w:t>proceeded</w:t>
      </w:r>
      <w:r w:rsidR="00190923" w:rsidRPr="00981405">
        <w:t xml:space="preserve"> </w:t>
      </w:r>
      <w:r w:rsidRPr="00981405">
        <w:t>from</w:t>
      </w:r>
      <w:r w:rsidR="00190923" w:rsidRPr="00981405">
        <w:t xml:space="preserve"> </w:t>
      </w:r>
      <w:r w:rsidRPr="00981405">
        <w:t>the</w:t>
      </w:r>
      <w:r w:rsidR="00190923" w:rsidRPr="00981405">
        <w:t xml:space="preserve"> </w:t>
      </w:r>
      <w:r w:rsidRPr="00981405">
        <w:t>wording</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in</w:t>
      </w:r>
      <w:r w:rsidR="00190923" w:rsidRPr="00981405">
        <w:t xml:space="preserve"> </w:t>
      </w:r>
      <w:r w:rsidRPr="00981405">
        <w:t>question:</w:t>
      </w:r>
      <w:r w:rsidR="00190923" w:rsidRPr="00981405">
        <w:t xml:space="preserve"> </w:t>
      </w:r>
    </w:p>
    <w:p w:rsidR="00397032" w:rsidRPr="00981405" w:rsidRDefault="00B92E2C" w:rsidP="00D97463">
      <w:pPr>
        <w:pStyle w:val="SingleTxt"/>
        <w:ind w:left="1742"/>
      </w:pPr>
      <w:r w:rsidRPr="00981405">
        <w:t>“</w:t>
      </w:r>
      <w:r w:rsidR="00397032" w:rsidRPr="00981405">
        <w:t>It</w:t>
      </w:r>
      <w:r w:rsidR="00190923" w:rsidRPr="00981405">
        <w:t xml:space="preserve"> </w:t>
      </w:r>
      <w:r w:rsidR="00397032" w:rsidRPr="00981405">
        <w:t>is</w:t>
      </w:r>
      <w:r w:rsidR="00190923" w:rsidRPr="00981405">
        <w:t xml:space="preserve"> </w:t>
      </w:r>
      <w:r w:rsidR="00397032" w:rsidRPr="00981405">
        <w:t>clear</w:t>
      </w:r>
      <w:r w:rsidR="00190923" w:rsidRPr="00981405">
        <w:t xml:space="preserve"> </w:t>
      </w:r>
      <w:r w:rsidR="00397032" w:rsidRPr="00981405">
        <w:t>from</w:t>
      </w:r>
      <w:r w:rsidR="00190923" w:rsidRPr="00981405">
        <w:t xml:space="preserve"> </w:t>
      </w:r>
      <w:r w:rsidR="00397032" w:rsidRPr="00981405">
        <w:t>the</w:t>
      </w:r>
      <w:r w:rsidR="00190923" w:rsidRPr="00981405">
        <w:t xml:space="preserve"> </w:t>
      </w:r>
      <w:r w:rsidR="00397032" w:rsidRPr="00981405">
        <w:t>wording</w:t>
      </w:r>
      <w:r w:rsidR="00190923" w:rsidRPr="00981405">
        <w:t xml:space="preserve"> </w:t>
      </w:r>
      <w:r w:rsidR="00397032" w:rsidRPr="00981405">
        <w:t>of</w:t>
      </w:r>
      <w:r w:rsidR="00190923" w:rsidRPr="00981405">
        <w:t xml:space="preserve"> </w:t>
      </w:r>
      <w:r w:rsidR="00397032" w:rsidRPr="00981405">
        <w:t>that</w:t>
      </w:r>
      <w:r w:rsidR="00190923" w:rsidRPr="00981405">
        <w:t xml:space="preserve"> </w:t>
      </w:r>
      <w:r w:rsidR="00397032" w:rsidRPr="00981405">
        <w:t>provision</w:t>
      </w:r>
      <w:r w:rsidR="00190923" w:rsidRPr="00981405">
        <w:t xml:space="preserve"> </w:t>
      </w:r>
      <w:r w:rsidR="00397032" w:rsidRPr="00981405">
        <w:t>that</w:t>
      </w:r>
      <w:r w:rsidR="00190923" w:rsidRPr="00981405">
        <w:t xml:space="preserve"> </w:t>
      </w:r>
      <w:r w:rsidR="00397032" w:rsidRPr="00981405">
        <w:t>acts</w:t>
      </w:r>
      <w:r w:rsidR="00190923" w:rsidRPr="00981405">
        <w:t xml:space="preserve"> </w:t>
      </w:r>
      <w:r w:rsidR="00397032" w:rsidRPr="00981405">
        <w:t>adopted</w:t>
      </w:r>
      <w:r w:rsidR="00190923" w:rsidRPr="00981405">
        <w:t xml:space="preserve"> </w:t>
      </w:r>
      <w:r w:rsidR="00397032" w:rsidRPr="00981405">
        <w:t>by</w:t>
      </w:r>
      <w:r w:rsidR="00190923" w:rsidRPr="00981405">
        <w:t xml:space="preserve"> </w:t>
      </w:r>
      <w:r w:rsidR="00397032" w:rsidRPr="00981405">
        <w:t>representatives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Member</w:t>
      </w:r>
      <w:r w:rsidR="00190923" w:rsidRPr="00981405">
        <w:t xml:space="preserve"> </w:t>
      </w:r>
      <w:r w:rsidR="00397032" w:rsidRPr="00981405">
        <w:t>States</w:t>
      </w:r>
      <w:r w:rsidR="00190923" w:rsidRPr="00981405">
        <w:t xml:space="preserve"> </w:t>
      </w:r>
      <w:r w:rsidR="00397032" w:rsidRPr="00981405">
        <w:t>acting,</w:t>
      </w:r>
      <w:r w:rsidR="00190923" w:rsidRPr="00981405">
        <w:t xml:space="preserve"> </w:t>
      </w:r>
      <w:r w:rsidR="00397032" w:rsidRPr="00981405">
        <w:t>not</w:t>
      </w:r>
      <w:r w:rsidR="00190923" w:rsidRPr="00981405">
        <w:t xml:space="preserve"> </w:t>
      </w:r>
      <w:r w:rsidR="00397032" w:rsidRPr="00981405">
        <w:t>in</w:t>
      </w:r>
      <w:r w:rsidR="00190923" w:rsidRPr="00981405">
        <w:t xml:space="preserve"> </w:t>
      </w:r>
      <w:r w:rsidR="00397032" w:rsidRPr="00981405">
        <w:t>their</w:t>
      </w:r>
      <w:r w:rsidR="00190923" w:rsidRPr="00981405">
        <w:t xml:space="preserve"> </w:t>
      </w:r>
      <w:r w:rsidR="00397032" w:rsidRPr="00981405">
        <w:t>capacity</w:t>
      </w:r>
      <w:r w:rsidR="00190923" w:rsidRPr="00981405">
        <w:t xml:space="preserve"> </w:t>
      </w:r>
      <w:r w:rsidR="00397032" w:rsidRPr="00981405">
        <w:t>as</w:t>
      </w:r>
      <w:r w:rsidR="00190923" w:rsidRPr="00981405">
        <w:t xml:space="preserve"> </w:t>
      </w:r>
      <w:r w:rsidR="00397032" w:rsidRPr="00981405">
        <w:t>members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Council,</w:t>
      </w:r>
      <w:r w:rsidR="00190923" w:rsidRPr="00981405">
        <w:t xml:space="preserve"> </w:t>
      </w:r>
      <w:r w:rsidR="00397032" w:rsidRPr="00981405">
        <w:t>but</w:t>
      </w:r>
      <w:r w:rsidR="00190923" w:rsidRPr="00981405">
        <w:t xml:space="preserve"> </w:t>
      </w:r>
      <w:r w:rsidR="00397032" w:rsidRPr="00981405">
        <w:t>as</w:t>
      </w:r>
      <w:r w:rsidR="00190923" w:rsidRPr="00981405">
        <w:t xml:space="preserve"> </w:t>
      </w:r>
      <w:r w:rsidR="00397032" w:rsidRPr="00981405">
        <w:t>representatives</w:t>
      </w:r>
      <w:r w:rsidR="00190923" w:rsidRPr="00981405">
        <w:t xml:space="preserve"> </w:t>
      </w:r>
      <w:r w:rsidR="00397032" w:rsidRPr="00981405">
        <w:t>of</w:t>
      </w:r>
      <w:r w:rsidR="00190923" w:rsidRPr="00981405">
        <w:t xml:space="preserve"> </w:t>
      </w:r>
      <w:r w:rsidR="00397032" w:rsidRPr="00981405">
        <w:t>their</w:t>
      </w:r>
      <w:r w:rsidR="00190923" w:rsidRPr="00981405">
        <w:t xml:space="preserve"> </w:t>
      </w:r>
      <w:r w:rsidR="00397032" w:rsidRPr="00981405">
        <w:t>governments,</w:t>
      </w:r>
      <w:r w:rsidR="00190923" w:rsidRPr="00981405">
        <w:t xml:space="preserve"> </w:t>
      </w:r>
      <w:r w:rsidR="00397032" w:rsidRPr="00981405">
        <w:t>and</w:t>
      </w:r>
      <w:r w:rsidR="00190923" w:rsidRPr="00981405">
        <w:t xml:space="preserve"> </w:t>
      </w:r>
      <w:r w:rsidR="00397032" w:rsidRPr="00981405">
        <w:t>thus</w:t>
      </w:r>
      <w:r w:rsidR="00190923" w:rsidRPr="00981405">
        <w:t xml:space="preserve"> </w:t>
      </w:r>
      <w:r w:rsidR="00397032" w:rsidRPr="00981405">
        <w:t>collectively</w:t>
      </w:r>
      <w:r w:rsidR="00190923" w:rsidRPr="00981405">
        <w:t xml:space="preserve"> </w:t>
      </w:r>
      <w:r w:rsidR="00397032" w:rsidRPr="00981405">
        <w:t>exercising</w:t>
      </w:r>
      <w:r w:rsidR="00190923" w:rsidRPr="00981405">
        <w:t xml:space="preserve"> </w:t>
      </w:r>
      <w:r w:rsidR="00397032" w:rsidRPr="00981405">
        <w:t>the</w:t>
      </w:r>
      <w:r w:rsidR="00190923" w:rsidRPr="00981405">
        <w:t xml:space="preserve"> </w:t>
      </w:r>
      <w:r w:rsidR="00397032" w:rsidRPr="00981405">
        <w:t>powers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Member</w:t>
      </w:r>
      <w:r w:rsidR="00190923" w:rsidRPr="00981405">
        <w:t xml:space="preserve"> </w:t>
      </w:r>
      <w:r w:rsidR="00397032" w:rsidRPr="00981405">
        <w:t>States,</w:t>
      </w:r>
      <w:r w:rsidR="00190923" w:rsidRPr="00981405">
        <w:t xml:space="preserve"> </w:t>
      </w:r>
      <w:r w:rsidR="00397032" w:rsidRPr="00981405">
        <w:t>are</w:t>
      </w:r>
      <w:r w:rsidR="00190923" w:rsidRPr="00981405">
        <w:t xml:space="preserve"> </w:t>
      </w:r>
      <w:r w:rsidR="00397032" w:rsidRPr="00981405">
        <w:t>not</w:t>
      </w:r>
      <w:r w:rsidR="00190923" w:rsidRPr="00981405">
        <w:t xml:space="preserve"> </w:t>
      </w:r>
      <w:r w:rsidR="00397032" w:rsidRPr="00981405">
        <w:t>subject</w:t>
      </w:r>
      <w:r w:rsidR="00190923" w:rsidRPr="00981405">
        <w:t xml:space="preserve"> </w:t>
      </w:r>
      <w:r w:rsidR="00397032" w:rsidRPr="00981405">
        <w:t>to</w:t>
      </w:r>
      <w:r w:rsidR="00190923" w:rsidRPr="00981405">
        <w:t xml:space="preserve"> </w:t>
      </w:r>
      <w:r w:rsidR="00397032" w:rsidRPr="00981405">
        <w:t>judicial</w:t>
      </w:r>
      <w:r w:rsidR="00190923" w:rsidRPr="00981405">
        <w:t xml:space="preserve"> </w:t>
      </w:r>
      <w:r w:rsidR="00397032" w:rsidRPr="00981405">
        <w:t>review</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Court.</w:t>
      </w:r>
      <w:r w:rsidRPr="00981405">
        <w:t>”</w:t>
      </w:r>
      <w:r w:rsidR="00397032" w:rsidRPr="00981405">
        <w:rPr>
          <w:rStyle w:val="FootnoteReference"/>
        </w:rPr>
        <w:footnoteReference w:id="320"/>
      </w:r>
      <w:r w:rsidR="00190923" w:rsidRPr="00981405">
        <w:t xml:space="preserve"> </w:t>
      </w:r>
    </w:p>
    <w:p w:rsidR="00397032" w:rsidRPr="00981405" w:rsidRDefault="00397032" w:rsidP="00D97463">
      <w:pPr>
        <w:pStyle w:val="SingleTxt"/>
      </w:pPr>
      <w:r w:rsidRPr="00981405">
        <w:t>Later,</w:t>
      </w:r>
      <w:r w:rsidR="00190923" w:rsidRPr="00981405">
        <w:t xml:space="preserve"> </w:t>
      </w:r>
      <w:r w:rsidRPr="00981405">
        <w:t>however,</w:t>
      </w:r>
      <w:r w:rsidR="00190923" w:rsidRPr="00981405">
        <w:t xml:space="preserve"> </w:t>
      </w:r>
      <w:r w:rsidRPr="00981405">
        <w:t>the</w:t>
      </w:r>
      <w:r w:rsidR="00190923" w:rsidRPr="00981405">
        <w:t xml:space="preserve"> </w:t>
      </w:r>
      <w:r w:rsidRPr="00981405">
        <w:t>Court</w:t>
      </w:r>
      <w:r w:rsidR="00190923" w:rsidRPr="00981405">
        <w:t xml:space="preserve"> </w:t>
      </w:r>
      <w:r w:rsidRPr="00981405">
        <w:t>accorded</w:t>
      </w:r>
      <w:r w:rsidR="00190923" w:rsidRPr="00981405">
        <w:t xml:space="preserve"> </w:t>
      </w:r>
      <w:r w:rsidRPr="00981405">
        <w:t>decisive</w:t>
      </w:r>
      <w:r w:rsidR="00190923" w:rsidRPr="00981405">
        <w:t xml:space="preserve"> </w:t>
      </w:r>
      <w:r w:rsidRPr="00981405">
        <w:t>importance</w:t>
      </w:r>
      <w:r w:rsidR="00190923" w:rsidRPr="00981405">
        <w:t xml:space="preserve"> </w:t>
      </w:r>
      <w:r w:rsidRPr="00981405">
        <w:t>to</w:t>
      </w:r>
      <w:r w:rsidR="00190923" w:rsidRPr="00981405">
        <w:t xml:space="preserve"> </w:t>
      </w:r>
      <w:r w:rsidRPr="00981405">
        <w:t>the</w:t>
      </w:r>
      <w:r w:rsidR="00190923" w:rsidRPr="00981405">
        <w:t xml:space="preserve"> </w:t>
      </w:r>
      <w:r w:rsidR="00B92E2C" w:rsidRPr="00981405">
        <w:t>“</w:t>
      </w:r>
      <w:r w:rsidRPr="00981405">
        <w:t>content</w:t>
      </w:r>
      <w:r w:rsidR="00190923" w:rsidRPr="00981405">
        <w:t xml:space="preserve"> </w:t>
      </w:r>
      <w:r w:rsidRPr="00981405">
        <w:t>and</w:t>
      </w:r>
      <w:r w:rsidR="00190923" w:rsidRPr="00981405">
        <w:t xml:space="preserve"> </w:t>
      </w:r>
      <w:r w:rsidRPr="00981405">
        <w:t>all</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decision]</w:t>
      </w:r>
      <w:r w:rsidR="00190923" w:rsidRPr="00981405">
        <w:t xml:space="preserve"> </w:t>
      </w:r>
      <w:r w:rsidRPr="00981405">
        <w:t>was</w:t>
      </w:r>
      <w:r w:rsidR="00190923" w:rsidRPr="00981405">
        <w:t xml:space="preserve"> </w:t>
      </w:r>
      <w:r w:rsidRPr="00981405">
        <w:t>adopted</w:t>
      </w:r>
      <w:r w:rsidR="00B92E2C" w:rsidRPr="00981405">
        <w:t>”</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determine</w:t>
      </w:r>
      <w:r w:rsidR="00190923" w:rsidRPr="00981405">
        <w:t xml:space="preserve"> </w:t>
      </w:r>
      <w:r w:rsidRPr="00981405">
        <w:t>whether</w:t>
      </w:r>
      <w:r w:rsidR="00190923" w:rsidRPr="00981405">
        <w:t xml:space="preserve"> </w:t>
      </w:r>
      <w:r w:rsidRPr="00981405">
        <w:t>the</w:t>
      </w:r>
      <w:r w:rsidR="00190923" w:rsidRPr="00981405">
        <w:t xml:space="preserve"> </w:t>
      </w:r>
      <w:r w:rsidRPr="00981405">
        <w:t>decision</w:t>
      </w:r>
      <w:r w:rsidR="00190923" w:rsidRPr="00981405">
        <w:t xml:space="preserve"> </w:t>
      </w:r>
      <w:r w:rsidRPr="00981405">
        <w:t>was</w:t>
      </w:r>
      <w:r w:rsidR="00190923" w:rsidRPr="00981405">
        <w:t xml:space="preserve"> </w:t>
      </w:r>
      <w:r w:rsidRPr="00981405">
        <w:t>that</w:t>
      </w:r>
      <w:r w:rsidR="00190923" w:rsidRPr="00981405">
        <w:t xml:space="preserve"> </w:t>
      </w:r>
      <w:r w:rsidRPr="00981405">
        <w:t>of</w:t>
      </w:r>
      <w:r w:rsidR="00190923" w:rsidRPr="00981405">
        <w:t xml:space="preserve"> </w:t>
      </w:r>
      <w:r w:rsidRPr="00981405">
        <w:t>the</w:t>
      </w:r>
      <w:r w:rsidR="00190923" w:rsidRPr="00981405">
        <w:t xml:space="preserve"> </w:t>
      </w:r>
      <w:r w:rsidRPr="00981405">
        <w:t>organ</w:t>
      </w:r>
      <w:r w:rsidR="00190923" w:rsidRPr="00981405">
        <w:t xml:space="preserve"> </w:t>
      </w:r>
      <w:r w:rsidRPr="00981405">
        <w:t>or</w:t>
      </w:r>
      <w:r w:rsidR="00190923" w:rsidRPr="00981405">
        <w:t xml:space="preserve"> </w:t>
      </w:r>
      <w:r w:rsidRPr="00981405">
        <w:t>of</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themselves</w:t>
      </w:r>
      <w:r w:rsidR="00190923" w:rsidRPr="00981405">
        <w:t xml:space="preserve"> </w:t>
      </w:r>
      <w:r w:rsidRPr="00981405">
        <w:t>as</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p>
    <w:p w:rsidR="00397032" w:rsidRPr="00981405" w:rsidRDefault="00B92E2C" w:rsidP="00D97463">
      <w:pPr>
        <w:pStyle w:val="SingleTxt"/>
        <w:ind w:left="1742"/>
      </w:pPr>
      <w:r w:rsidRPr="00981405">
        <w:t>“</w:t>
      </w:r>
      <w:r w:rsidR="00397032" w:rsidRPr="00981405">
        <w:t>Consequently,</w:t>
      </w:r>
      <w:r w:rsidR="00190923" w:rsidRPr="00981405">
        <w:t xml:space="preserve"> </w:t>
      </w:r>
      <w:r w:rsidR="00397032" w:rsidRPr="00981405">
        <w:t>it</w:t>
      </w:r>
      <w:r w:rsidR="00190923" w:rsidRPr="00981405">
        <w:t xml:space="preserve"> </w:t>
      </w:r>
      <w:r w:rsidR="00397032" w:rsidRPr="00981405">
        <w:t>is</w:t>
      </w:r>
      <w:r w:rsidR="00190923" w:rsidRPr="00981405">
        <w:t xml:space="preserve"> </w:t>
      </w:r>
      <w:r w:rsidR="00397032" w:rsidRPr="00981405">
        <w:t>not</w:t>
      </w:r>
      <w:r w:rsidR="00190923" w:rsidRPr="00981405">
        <w:t xml:space="preserve"> </w:t>
      </w:r>
      <w:r w:rsidR="00397032" w:rsidRPr="00981405">
        <w:t>enough</w:t>
      </w:r>
      <w:r w:rsidR="00190923" w:rsidRPr="00981405">
        <w:t xml:space="preserve"> </w:t>
      </w:r>
      <w:r w:rsidR="00397032" w:rsidRPr="00981405">
        <w:t>that</w:t>
      </w:r>
      <w:r w:rsidR="00190923" w:rsidRPr="00981405">
        <w:t xml:space="preserve"> </w:t>
      </w:r>
      <w:r w:rsidR="00397032" w:rsidRPr="00981405">
        <w:t>an</w:t>
      </w:r>
      <w:r w:rsidR="00190923" w:rsidRPr="00981405">
        <w:t xml:space="preserve"> </w:t>
      </w:r>
      <w:r w:rsidR="00397032" w:rsidRPr="00981405">
        <w:t>act</w:t>
      </w:r>
      <w:r w:rsidR="00190923" w:rsidRPr="00981405">
        <w:t xml:space="preserve"> </w:t>
      </w:r>
      <w:r w:rsidR="00397032" w:rsidRPr="00981405">
        <w:t>should</w:t>
      </w:r>
      <w:r w:rsidR="00190923" w:rsidRPr="00981405">
        <w:t xml:space="preserve"> </w:t>
      </w:r>
      <w:r w:rsidR="00397032" w:rsidRPr="00981405">
        <w:t>be</w:t>
      </w:r>
      <w:r w:rsidR="00190923" w:rsidRPr="00981405">
        <w:t xml:space="preserve"> </w:t>
      </w:r>
      <w:r w:rsidR="00397032" w:rsidRPr="00981405">
        <w:t>described</w:t>
      </w:r>
      <w:r w:rsidR="00190923" w:rsidRPr="00981405">
        <w:t xml:space="preserve"> </w:t>
      </w:r>
      <w:r w:rsidR="00397032" w:rsidRPr="00981405">
        <w:t>as</w:t>
      </w:r>
      <w:r w:rsidR="00190923" w:rsidRPr="00981405">
        <w:t xml:space="preserve"> </w:t>
      </w:r>
      <w:r w:rsidR="00397032" w:rsidRPr="00981405">
        <w:t>a</w:t>
      </w:r>
      <w:r w:rsidR="00190923" w:rsidRPr="00981405">
        <w:t xml:space="preserve"> </w:t>
      </w:r>
      <w:r w:rsidRPr="00981405">
        <w:t>‘</w:t>
      </w:r>
      <w:r w:rsidR="00397032" w:rsidRPr="00981405">
        <w:t>decision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Member</w:t>
      </w:r>
      <w:r w:rsidR="00190923" w:rsidRPr="00981405">
        <w:t xml:space="preserve"> </w:t>
      </w:r>
      <w:r w:rsidR="00397032" w:rsidRPr="00981405">
        <w:t>States</w:t>
      </w:r>
      <w:r w:rsidRPr="00981405">
        <w:t>’</w:t>
      </w:r>
      <w:r w:rsidR="00190923" w:rsidRPr="00981405">
        <w:t xml:space="preserve"> </w:t>
      </w:r>
      <w:r w:rsidR="00397032" w:rsidRPr="00981405">
        <w:t>for</w:t>
      </w:r>
      <w:r w:rsidR="00190923" w:rsidRPr="00981405">
        <w:t xml:space="preserve"> </w:t>
      </w:r>
      <w:r w:rsidR="00397032" w:rsidRPr="00981405">
        <w:t>it</w:t>
      </w:r>
      <w:r w:rsidR="00190923" w:rsidRPr="00981405">
        <w:t xml:space="preserve"> </w:t>
      </w:r>
      <w:r w:rsidR="00397032" w:rsidRPr="00981405">
        <w:t>to</w:t>
      </w:r>
      <w:r w:rsidR="00190923" w:rsidRPr="00981405">
        <w:t xml:space="preserve"> </w:t>
      </w:r>
      <w:r w:rsidR="00397032" w:rsidRPr="00981405">
        <w:t>be</w:t>
      </w:r>
      <w:r w:rsidR="00190923" w:rsidRPr="00981405">
        <w:t xml:space="preserve"> </w:t>
      </w:r>
      <w:r w:rsidR="00397032" w:rsidRPr="00981405">
        <w:t>excluded</w:t>
      </w:r>
      <w:r w:rsidR="00190923" w:rsidRPr="00981405">
        <w:t xml:space="preserve"> </w:t>
      </w:r>
      <w:r w:rsidR="00397032" w:rsidRPr="00981405">
        <w:t>from</w:t>
      </w:r>
      <w:r w:rsidR="00190923" w:rsidRPr="00981405">
        <w:t xml:space="preserve"> </w:t>
      </w:r>
      <w:r w:rsidR="00397032" w:rsidRPr="00981405">
        <w:t>review</w:t>
      </w:r>
      <w:r w:rsidR="00190923" w:rsidRPr="00981405">
        <w:t xml:space="preserve"> </w:t>
      </w:r>
      <w:r w:rsidR="00397032" w:rsidRPr="00981405">
        <w:t>under</w:t>
      </w:r>
      <w:r w:rsidR="00190923" w:rsidRPr="00981405">
        <w:t xml:space="preserve"> </w:t>
      </w:r>
      <w:r w:rsidR="00397032" w:rsidRPr="00981405">
        <w:t>Article</w:t>
      </w:r>
      <w:r w:rsidR="00190923" w:rsidRPr="00981405">
        <w:t xml:space="preserve"> </w:t>
      </w:r>
      <w:r w:rsidR="00397032" w:rsidRPr="00981405">
        <w:t>173</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Treaty.</w:t>
      </w:r>
      <w:r w:rsidR="00190923" w:rsidRPr="00981405">
        <w:t xml:space="preserve"> </w:t>
      </w:r>
      <w:r w:rsidR="00397032" w:rsidRPr="00981405">
        <w:t>In</w:t>
      </w:r>
      <w:r w:rsidR="00190923" w:rsidRPr="00981405">
        <w:t xml:space="preserve"> </w:t>
      </w:r>
      <w:r w:rsidR="00397032" w:rsidRPr="00981405">
        <w:t>order</w:t>
      </w:r>
      <w:r w:rsidR="00190923" w:rsidRPr="00981405">
        <w:t xml:space="preserve"> </w:t>
      </w:r>
      <w:r w:rsidR="00397032" w:rsidRPr="00981405">
        <w:t>for</w:t>
      </w:r>
      <w:r w:rsidR="00190923" w:rsidRPr="00981405">
        <w:t xml:space="preserve"> </w:t>
      </w:r>
      <w:r w:rsidR="00397032" w:rsidRPr="00981405">
        <w:t>such</w:t>
      </w:r>
      <w:r w:rsidR="00190923" w:rsidRPr="00981405">
        <w:t xml:space="preserve"> </w:t>
      </w:r>
      <w:r w:rsidR="00397032" w:rsidRPr="00981405">
        <w:t>an</w:t>
      </w:r>
      <w:r w:rsidR="00190923" w:rsidRPr="00981405">
        <w:t xml:space="preserve"> </w:t>
      </w:r>
      <w:r w:rsidR="00397032" w:rsidRPr="00981405">
        <w:t>act</w:t>
      </w:r>
      <w:r w:rsidR="00190923" w:rsidRPr="00981405">
        <w:t xml:space="preserve"> </w:t>
      </w:r>
      <w:r w:rsidR="00397032" w:rsidRPr="00981405">
        <w:t>to</w:t>
      </w:r>
      <w:r w:rsidR="00190923" w:rsidRPr="00981405">
        <w:t xml:space="preserve"> </w:t>
      </w:r>
      <w:r w:rsidR="00397032" w:rsidRPr="00981405">
        <w:t>be</w:t>
      </w:r>
      <w:r w:rsidR="00190923" w:rsidRPr="00981405">
        <w:t xml:space="preserve"> </w:t>
      </w:r>
      <w:r w:rsidR="00397032" w:rsidRPr="00981405">
        <w:t>excluded</w:t>
      </w:r>
      <w:r w:rsidR="00190923" w:rsidRPr="00981405">
        <w:t xml:space="preserve"> </w:t>
      </w:r>
      <w:r w:rsidR="00397032" w:rsidRPr="00981405">
        <w:t>from</w:t>
      </w:r>
      <w:r w:rsidR="00190923" w:rsidRPr="00981405">
        <w:t xml:space="preserve"> </w:t>
      </w:r>
      <w:r w:rsidR="00397032" w:rsidRPr="00981405">
        <w:t>review,</w:t>
      </w:r>
      <w:r w:rsidR="00190923" w:rsidRPr="00981405">
        <w:t xml:space="preserve"> </w:t>
      </w:r>
      <w:r w:rsidR="00397032" w:rsidRPr="00981405">
        <w:t>it</w:t>
      </w:r>
      <w:r w:rsidR="00190923" w:rsidRPr="00981405">
        <w:t xml:space="preserve"> </w:t>
      </w:r>
      <w:r w:rsidR="00397032" w:rsidRPr="00981405">
        <w:t>must</w:t>
      </w:r>
      <w:r w:rsidR="00190923" w:rsidRPr="00981405">
        <w:t xml:space="preserve"> </w:t>
      </w:r>
      <w:r w:rsidR="00397032" w:rsidRPr="00981405">
        <w:t>still</w:t>
      </w:r>
      <w:r w:rsidR="00190923" w:rsidRPr="00981405">
        <w:t xml:space="preserve"> </w:t>
      </w:r>
      <w:r w:rsidR="00397032" w:rsidRPr="00981405">
        <w:t>be</w:t>
      </w:r>
      <w:r w:rsidR="00190923" w:rsidRPr="00981405">
        <w:t xml:space="preserve"> </w:t>
      </w:r>
      <w:r w:rsidR="00397032" w:rsidRPr="00981405">
        <w:t>determined</w:t>
      </w:r>
      <w:r w:rsidR="00190923" w:rsidRPr="00981405">
        <w:t xml:space="preserve"> </w:t>
      </w:r>
      <w:r w:rsidR="00397032" w:rsidRPr="00981405">
        <w:t>whether,</w:t>
      </w:r>
      <w:r w:rsidR="00190923" w:rsidRPr="00981405">
        <w:t xml:space="preserve"> </w:t>
      </w:r>
      <w:r w:rsidR="00397032" w:rsidRPr="00981405">
        <w:t>having</w:t>
      </w:r>
      <w:r w:rsidR="00190923" w:rsidRPr="00981405">
        <w:t xml:space="preserve"> </w:t>
      </w:r>
      <w:r w:rsidR="00397032" w:rsidRPr="00981405">
        <w:t>regard</w:t>
      </w:r>
      <w:r w:rsidR="00190923" w:rsidRPr="00981405">
        <w:t xml:space="preserve"> </w:t>
      </w:r>
      <w:r w:rsidR="00397032" w:rsidRPr="00981405">
        <w:t>to</w:t>
      </w:r>
      <w:r w:rsidR="00190923" w:rsidRPr="00981405">
        <w:t xml:space="preserve"> </w:t>
      </w:r>
      <w:r w:rsidR="00397032" w:rsidRPr="00981405">
        <w:t>its</w:t>
      </w:r>
      <w:r w:rsidR="00190923" w:rsidRPr="00981405">
        <w:t xml:space="preserve"> </w:t>
      </w:r>
      <w:r w:rsidR="00397032" w:rsidRPr="00981405">
        <w:t>content</w:t>
      </w:r>
      <w:r w:rsidR="00190923" w:rsidRPr="00981405">
        <w:t xml:space="preserve"> </w:t>
      </w:r>
      <w:r w:rsidR="00397032" w:rsidRPr="00981405">
        <w:t>and</w:t>
      </w:r>
      <w:r w:rsidR="00190923" w:rsidRPr="00981405">
        <w:t xml:space="preserve"> </w:t>
      </w:r>
      <w:r w:rsidR="00397032" w:rsidRPr="00981405">
        <w:t>all</w:t>
      </w:r>
      <w:r w:rsidR="00190923" w:rsidRPr="00981405">
        <w:t xml:space="preserve"> </w:t>
      </w:r>
      <w:r w:rsidR="00397032" w:rsidRPr="00981405">
        <w:t>the</w:t>
      </w:r>
      <w:r w:rsidR="00190923" w:rsidRPr="00981405">
        <w:t xml:space="preserve"> </w:t>
      </w:r>
      <w:r w:rsidR="00397032" w:rsidRPr="00981405">
        <w:t>circumstances</w:t>
      </w:r>
      <w:r w:rsidR="00190923" w:rsidRPr="00981405">
        <w:t xml:space="preserve"> </w:t>
      </w:r>
      <w:r w:rsidR="00397032" w:rsidRPr="00981405">
        <w:t>in</w:t>
      </w:r>
      <w:r w:rsidR="00190923" w:rsidRPr="00981405">
        <w:t xml:space="preserve"> </w:t>
      </w:r>
      <w:r w:rsidR="00397032" w:rsidRPr="00981405">
        <w:t>which</w:t>
      </w:r>
      <w:r w:rsidR="00190923" w:rsidRPr="00981405">
        <w:t xml:space="preserve"> </w:t>
      </w:r>
      <w:r w:rsidR="00397032" w:rsidRPr="00981405">
        <w:t>it</w:t>
      </w:r>
      <w:r w:rsidR="00190923" w:rsidRPr="00981405">
        <w:t xml:space="preserve"> </w:t>
      </w:r>
      <w:r w:rsidR="00397032" w:rsidRPr="00981405">
        <w:t>was</w:t>
      </w:r>
      <w:r w:rsidR="00190923" w:rsidRPr="00981405">
        <w:t xml:space="preserve"> </w:t>
      </w:r>
      <w:r w:rsidR="00397032" w:rsidRPr="00981405">
        <w:t>adopted,</w:t>
      </w:r>
      <w:r w:rsidR="00190923" w:rsidRPr="00981405">
        <w:t xml:space="preserve"> </w:t>
      </w:r>
      <w:r w:rsidR="00397032" w:rsidRPr="00981405">
        <w:t>the</w:t>
      </w:r>
      <w:r w:rsidR="00190923" w:rsidRPr="00981405">
        <w:t xml:space="preserve"> </w:t>
      </w:r>
      <w:r w:rsidR="00397032" w:rsidRPr="00981405">
        <w:t>act</w:t>
      </w:r>
      <w:r w:rsidR="00190923" w:rsidRPr="00981405">
        <w:t xml:space="preserve"> </w:t>
      </w:r>
      <w:r w:rsidR="00397032" w:rsidRPr="00981405">
        <w:t>in</w:t>
      </w:r>
      <w:r w:rsidR="00190923" w:rsidRPr="00981405">
        <w:t xml:space="preserve"> </w:t>
      </w:r>
      <w:r w:rsidR="00397032" w:rsidRPr="00981405">
        <w:t>question</w:t>
      </w:r>
      <w:r w:rsidR="00190923" w:rsidRPr="00981405">
        <w:t xml:space="preserve"> </w:t>
      </w:r>
      <w:r w:rsidR="00397032" w:rsidRPr="00981405">
        <w:t>is</w:t>
      </w:r>
      <w:r w:rsidR="00190923" w:rsidRPr="00981405">
        <w:t xml:space="preserve"> </w:t>
      </w:r>
      <w:r w:rsidR="00397032" w:rsidRPr="00981405">
        <w:t>not</w:t>
      </w:r>
      <w:r w:rsidR="00190923" w:rsidRPr="00981405">
        <w:t xml:space="preserve"> </w:t>
      </w:r>
      <w:r w:rsidR="00397032" w:rsidRPr="00981405">
        <w:t>in</w:t>
      </w:r>
      <w:r w:rsidR="00190923" w:rsidRPr="00981405">
        <w:t xml:space="preserve"> </w:t>
      </w:r>
      <w:r w:rsidR="00397032" w:rsidRPr="00981405">
        <w:t>reality</w:t>
      </w:r>
      <w:r w:rsidR="00190923" w:rsidRPr="00981405">
        <w:t xml:space="preserve"> </w:t>
      </w:r>
      <w:r w:rsidR="00397032" w:rsidRPr="00981405">
        <w:t>a</w:t>
      </w:r>
      <w:r w:rsidR="00190923" w:rsidRPr="00981405">
        <w:t xml:space="preserve"> </w:t>
      </w:r>
      <w:r w:rsidR="00397032" w:rsidRPr="00981405">
        <w:t>decision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Council.</w:t>
      </w:r>
      <w:r w:rsidRPr="00981405">
        <w:t>”</w:t>
      </w:r>
      <w:r w:rsidR="00397032" w:rsidRPr="00981405">
        <w:rPr>
          <w:rStyle w:val="FootnoteReference"/>
        </w:rPr>
        <w:footnoteReference w:id="321"/>
      </w:r>
    </w:p>
    <w:p w:rsidR="00397032" w:rsidRPr="00981405" w:rsidRDefault="00397032" w:rsidP="00D97463">
      <w:pPr>
        <w:pStyle w:val="SingleTxt"/>
      </w:pPr>
      <w:r w:rsidRPr="00981405">
        <w:t>(14)</w:t>
      </w:r>
      <w:r w:rsidRPr="00981405">
        <w:tab/>
        <w:t>Apart</w:t>
      </w:r>
      <w:r w:rsidR="00190923" w:rsidRPr="00981405">
        <w:t xml:space="preserve"> </w:t>
      </w:r>
      <w:r w:rsidRPr="00981405">
        <w:t>from</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which</w:t>
      </w:r>
      <w:r w:rsidR="00190923" w:rsidRPr="00981405">
        <w:t xml:space="preserve"> </w:t>
      </w:r>
      <w:r w:rsidRPr="00981405">
        <w:t>establish</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of</w:t>
      </w:r>
      <w:r w:rsidR="00190923" w:rsidRPr="00981405">
        <w:t xml:space="preserve"> </w:t>
      </w:r>
      <w:r w:rsidRPr="00981405">
        <w:t>all</w:t>
      </w:r>
      <w:r w:rsidR="00190923" w:rsidRPr="00981405">
        <w:t xml:space="preserve"> </w:t>
      </w:r>
      <w:r w:rsidRPr="00981405">
        <w:t>the</w:t>
      </w:r>
      <w:r w:rsidR="00190923" w:rsidRPr="00981405">
        <w:t xml:space="preserve"> </w:t>
      </w:r>
      <w:r w:rsidRPr="00981405">
        <w:t>parties</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and</w:t>
      </w:r>
      <w:r w:rsidR="00190923" w:rsidRPr="00981405">
        <w:t xml:space="preserve"> </w:t>
      </w:r>
      <w:r w:rsidRPr="00981405">
        <w:t>(b),</w:t>
      </w:r>
      <w:r w:rsidR="00190923" w:rsidRPr="00981405">
        <w:t xml:space="preserve"> </w:t>
      </w:r>
      <w:r w:rsidRPr="00981405">
        <w:t>other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by</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parties</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may</w:t>
      </w:r>
      <w:r w:rsidR="00190923" w:rsidRPr="00981405">
        <w:t xml:space="preserve"> </w:t>
      </w:r>
      <w:r w:rsidRPr="00981405">
        <w:t>also</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that</w:t>
      </w:r>
      <w:r w:rsidR="00190923" w:rsidRPr="00981405">
        <w:t xml:space="preserve"> </w:t>
      </w:r>
      <w:r w:rsidRPr="00981405">
        <w:t>treaty.</w:t>
      </w:r>
      <w:r w:rsidRPr="00981405">
        <w:rPr>
          <w:rStyle w:val="FootnoteReference"/>
        </w:rPr>
        <w:footnoteReference w:id="322"/>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like</w:t>
      </w:r>
      <w:r w:rsidR="00190923" w:rsidRPr="00981405">
        <w:t xml:space="preserve"> </w:t>
      </w:r>
      <w:r w:rsidRPr="00981405">
        <w:t>other</w:t>
      </w:r>
      <w:r w:rsidR="00190923" w:rsidRPr="00981405">
        <w:t xml:space="preserve"> </w:t>
      </w:r>
      <w:r w:rsidRPr="00981405">
        <w:t>multilateral</w:t>
      </w:r>
      <w:r w:rsidR="00190923" w:rsidRPr="00981405">
        <w:t xml:space="preserve"> </w:t>
      </w:r>
      <w:r w:rsidRPr="00981405">
        <w:t>treaties,</w:t>
      </w:r>
      <w:r w:rsidR="00190923" w:rsidRPr="00981405">
        <w:t xml:space="preserve"> </w:t>
      </w:r>
      <w:r w:rsidRPr="00981405">
        <w:t>are,</w:t>
      </w:r>
      <w:r w:rsidR="00190923" w:rsidRPr="00981405">
        <w:t xml:space="preserve"> </w:t>
      </w:r>
      <w:r w:rsidRPr="00981405">
        <w:t>for</w:t>
      </w:r>
      <w:r w:rsidR="00190923" w:rsidRPr="00981405">
        <w:t xml:space="preserve"> </w:t>
      </w:r>
      <w:r w:rsidRPr="00981405">
        <w:t>example,</w:t>
      </w:r>
      <w:r w:rsidR="00190923" w:rsidRPr="00981405">
        <w:t xml:space="preserve"> </w:t>
      </w:r>
      <w:r w:rsidRPr="00981405">
        <w:t>sometimes</w:t>
      </w:r>
      <w:r w:rsidR="00190923" w:rsidRPr="00981405">
        <w:t xml:space="preserve"> </w:t>
      </w:r>
      <w:r w:rsidRPr="00981405">
        <w:t>implemented</w:t>
      </w:r>
      <w:r w:rsidR="00190923" w:rsidRPr="00981405">
        <w:t xml:space="preserve"> </w:t>
      </w:r>
      <w:r w:rsidRPr="00981405">
        <w:t>by</w:t>
      </w:r>
      <w:r w:rsidR="00190923" w:rsidRPr="00981405">
        <w:t xml:space="preserve"> </w:t>
      </w:r>
      <w:r w:rsidRPr="00981405">
        <w:t>subsequent</w:t>
      </w:r>
      <w:r w:rsidR="00190923" w:rsidRPr="00981405">
        <w:t xml:space="preserve"> </w:t>
      </w:r>
      <w:r w:rsidRPr="00981405">
        <w:t>bilateral</w:t>
      </w:r>
      <w:r w:rsidR="00190923" w:rsidRPr="00981405">
        <w:t xml:space="preserve"> </w:t>
      </w:r>
      <w:r w:rsidRPr="00981405">
        <w:t>or</w:t>
      </w:r>
      <w:r w:rsidR="00190923" w:rsidRPr="00981405">
        <w:t xml:space="preserve"> </w:t>
      </w:r>
      <w:r w:rsidRPr="00981405">
        <w:t>regional</w:t>
      </w:r>
      <w:r w:rsidR="00190923" w:rsidRPr="00981405">
        <w:t xml:space="preserve"> </w:t>
      </w:r>
      <w:r w:rsidRPr="00981405">
        <w:lastRenderedPageBreak/>
        <w:t>agreements</w:t>
      </w:r>
      <w:r w:rsidR="00190923" w:rsidRPr="00981405">
        <w:t xml:space="preserve"> </w:t>
      </w:r>
      <w:r w:rsidRPr="00981405">
        <w:t>or</w:t>
      </w:r>
      <w:r w:rsidR="00190923" w:rsidRPr="00981405">
        <w:t xml:space="preserve"> </w:t>
      </w:r>
      <w:r w:rsidRPr="00981405">
        <w:t>practice.</w:t>
      </w:r>
      <w:r w:rsidRPr="00981405">
        <w:rPr>
          <w:rStyle w:val="FootnoteReference"/>
        </w:rPr>
        <w:footnoteReference w:id="323"/>
      </w:r>
      <w:r w:rsidR="00190923" w:rsidRPr="00981405">
        <w:t xml:space="preserve"> </w:t>
      </w:r>
      <w:r w:rsidRPr="00981405">
        <w:t>Such</w:t>
      </w:r>
      <w:r w:rsidR="00190923" w:rsidRPr="00981405">
        <w:t xml:space="preserve"> </w:t>
      </w:r>
      <w:r w:rsidRPr="00981405">
        <w:t>bilateral</w:t>
      </w:r>
      <w:r w:rsidR="00190923" w:rsidRPr="00981405">
        <w:t xml:space="preserve"> </w:t>
      </w:r>
      <w:r w:rsidRPr="00981405">
        <w:t>treaties</w:t>
      </w:r>
      <w:r w:rsidR="00190923" w:rsidRPr="00981405">
        <w:t xml:space="preserve"> </w:t>
      </w:r>
      <w:r w:rsidRPr="00981405">
        <w:t>are</w:t>
      </w:r>
      <w:r w:rsidR="00190923" w:rsidRPr="00981405">
        <w:t xml:space="preserve"> </w:t>
      </w:r>
      <w:r w:rsidRPr="00981405">
        <w:t>not,</w:t>
      </w:r>
      <w:r w:rsidR="00190923" w:rsidRPr="00981405">
        <w:t xml:space="preserve"> </w:t>
      </w:r>
      <w:r w:rsidRPr="00981405">
        <w:t>as</w:t>
      </w:r>
      <w:r w:rsidR="00190923" w:rsidRPr="00981405">
        <w:t xml:space="preserve"> </w:t>
      </w:r>
      <w:r w:rsidRPr="00981405">
        <w:t>such,</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if</w:t>
      </w:r>
      <w:r w:rsidR="00190923" w:rsidRPr="00981405">
        <w:t xml:space="preserve"> </w:t>
      </w:r>
      <w:r w:rsidRPr="00981405">
        <w:t>only</w:t>
      </w:r>
      <w:r w:rsidR="00190923" w:rsidRPr="00981405">
        <w:t xml:space="preserve"> </w:t>
      </w:r>
      <w:r w:rsidRPr="00981405">
        <w:t>because</w:t>
      </w:r>
      <w:r w:rsidR="00190923" w:rsidRPr="00981405">
        <w:t xml:space="preserve"> </w:t>
      </w:r>
      <w:r w:rsidRPr="00981405">
        <w:t>they</w:t>
      </w:r>
      <w:r w:rsidR="00190923" w:rsidRPr="00981405">
        <w:t xml:space="preserve"> </w:t>
      </w:r>
      <w:r w:rsidRPr="00981405">
        <w:t>are</w:t>
      </w:r>
      <w:r w:rsidR="00190923" w:rsidRPr="00981405">
        <w:t xml:space="preserve"> </w:t>
      </w:r>
      <w:r w:rsidRPr="00981405">
        <w:t>concluded</w:t>
      </w:r>
      <w:r w:rsidR="00190923" w:rsidRPr="00981405">
        <w:t xml:space="preserve"> </w:t>
      </w:r>
      <w:r w:rsidRPr="00981405">
        <w:t>between</w:t>
      </w:r>
      <w:r w:rsidR="00190923" w:rsidRPr="00981405">
        <w:t xml:space="preserve"> </w:t>
      </w:r>
      <w:r w:rsidRPr="00981405">
        <w:t>a</w:t>
      </w:r>
      <w:r w:rsidR="00190923" w:rsidRPr="00981405">
        <w:t xml:space="preserve"> </w:t>
      </w:r>
      <w:r w:rsidRPr="00981405">
        <w:t>limited</w:t>
      </w:r>
      <w:r w:rsidR="00190923" w:rsidRPr="00981405">
        <w:t xml:space="preserve"> </w:t>
      </w:r>
      <w:r w:rsidRPr="00981405">
        <w:t>number</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multilateral</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They</w:t>
      </w:r>
      <w:r w:rsidR="00190923" w:rsidRPr="00981405">
        <w:t xml:space="preserve"> </w:t>
      </w:r>
      <w:r w:rsidRPr="00981405">
        <w:t>may,</w:t>
      </w:r>
      <w:r w:rsidR="00190923" w:rsidRPr="00981405">
        <w:t xml:space="preserve"> </w:t>
      </w:r>
      <w:r w:rsidRPr="00981405">
        <w:t>however,</w:t>
      </w:r>
      <w:r w:rsidR="00190923" w:rsidRPr="00981405">
        <w:t xml:space="preserve"> </w:t>
      </w:r>
      <w:r w:rsidRPr="00981405">
        <w:t>imply</w:t>
      </w:r>
      <w:r w:rsidR="00190923" w:rsidRPr="00981405">
        <w:t xml:space="preserve"> </w:t>
      </w:r>
      <w:r w:rsidRPr="00981405">
        <w:t>assertions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itself</w:t>
      </w:r>
      <w:r w:rsidR="00190923" w:rsidRPr="00981405">
        <w:t xml:space="preserve"> </w:t>
      </w:r>
      <w:r w:rsidRPr="00981405">
        <w:t>and</w:t>
      </w:r>
      <w:r w:rsidR="00190923" w:rsidRPr="00981405">
        <w:t xml:space="preserve"> </w:t>
      </w:r>
      <w:r w:rsidRPr="00981405">
        <w:t>may</w:t>
      </w:r>
      <w:r w:rsidR="00190923" w:rsidRPr="00981405">
        <w:t xml:space="preserve"> </w:t>
      </w:r>
      <w:r w:rsidRPr="00981405">
        <w:t>serve</w:t>
      </w:r>
      <w:r w:rsidR="00190923" w:rsidRPr="00981405">
        <w:t xml:space="preserve"> </w:t>
      </w:r>
      <w:r w:rsidRPr="00981405">
        <w:t>as</w:t>
      </w:r>
      <w:r w:rsidR="00190923" w:rsidRPr="00981405">
        <w:t xml:space="preserve"> </w:t>
      </w:r>
      <w:r w:rsidRPr="00981405">
        <w:t>supplementary</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p>
    <w:p w:rsidR="00397032" w:rsidRPr="00981405" w:rsidRDefault="00397032" w:rsidP="00D97463">
      <w:pPr>
        <w:pStyle w:val="SingleTxt"/>
      </w:pPr>
      <w:r w:rsidRPr="00981405">
        <w:t>(15)</w:t>
      </w:r>
      <w:r w:rsidRPr="00981405">
        <w:tab/>
      </w:r>
      <w:r w:rsidRPr="00D97463">
        <w:rPr>
          <w:i/>
          <w:iCs/>
        </w:rPr>
        <w:t>Paragraph</w:t>
      </w:r>
      <w:r w:rsidR="00190923" w:rsidRPr="00981405">
        <w:rPr>
          <w:i/>
          <w:iCs/>
        </w:rPr>
        <w:t xml:space="preserve"> </w:t>
      </w:r>
      <w:r w:rsidRPr="00D97463">
        <w:rPr>
          <w:i/>
          <w:iCs/>
        </w:rPr>
        <w:t>2</w:t>
      </w:r>
      <w:r w:rsidR="00190923" w:rsidRPr="00981405">
        <w:rPr>
          <w:i/>
          <w:iCs/>
        </w:rPr>
        <w:t xml:space="preserve"> </w:t>
      </w:r>
      <w:r w:rsidRPr="00D97463">
        <w:rPr>
          <w:i/>
          <w:iCs/>
        </w:rPr>
        <w:t>of</w:t>
      </w:r>
      <w:r w:rsidR="00190923" w:rsidRPr="00981405">
        <w:rPr>
          <w:i/>
          <w:iCs/>
        </w:rPr>
        <w:t xml:space="preserve"> </w:t>
      </w:r>
      <w:r w:rsidRPr="00D97463">
        <w:rPr>
          <w:i/>
          <w:iCs/>
        </w:rPr>
        <w:t>draft</w:t>
      </w:r>
      <w:r w:rsidR="00190923" w:rsidRPr="00981405">
        <w:rPr>
          <w:i/>
          <w:iCs/>
        </w:rPr>
        <w:t xml:space="preserve"> </w:t>
      </w:r>
      <w:r w:rsidRPr="00D97463">
        <w:rPr>
          <w:i/>
          <w:iCs/>
        </w:rPr>
        <w:t>conclusion</w:t>
      </w:r>
      <w:r w:rsidR="00190923" w:rsidRPr="00981405">
        <w:rPr>
          <w:i/>
          <w:iCs/>
        </w:rPr>
        <w:t xml:space="preserve"> </w:t>
      </w:r>
      <w:r w:rsidRPr="00D97463">
        <w:rPr>
          <w:i/>
          <w:iCs/>
        </w:rPr>
        <w:t>11</w:t>
      </w:r>
      <w:r w:rsidR="00190923" w:rsidRPr="00981405">
        <w:rPr>
          <w:i/>
          <w:iCs/>
        </w:rPr>
        <w:t xml:space="preserve"> </w:t>
      </w:r>
      <w:r w:rsidRPr="00A476F6">
        <w:t>highlights</w:t>
      </w:r>
      <w:r w:rsidR="00190923" w:rsidRPr="00981405">
        <w:t xml:space="preserve"> </w:t>
      </w:r>
      <w:r w:rsidRPr="00981405">
        <w:t>a</w:t>
      </w:r>
      <w:r w:rsidR="00190923" w:rsidRPr="00981405">
        <w:t xml:space="preserve"> </w:t>
      </w:r>
      <w:r w:rsidRPr="00981405">
        <w:t>particular</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31</w:t>
      </w:r>
      <w:r w:rsidR="00190923" w:rsidRPr="00981405">
        <w:t xml:space="preserve"> </w:t>
      </w:r>
      <w:r w:rsidRPr="00981405">
        <w:t>(3)</w:t>
      </w:r>
      <w:r w:rsidR="00190923" w:rsidRPr="00981405">
        <w:t xml:space="preserve"> </w:t>
      </w:r>
      <w:r w:rsidRPr="00981405">
        <w:t>and</w:t>
      </w:r>
      <w:r w:rsidR="00190923" w:rsidRPr="00981405">
        <w:t xml:space="preserve"> </w:t>
      </w:r>
      <w:r w:rsidRPr="00981405">
        <w:t>32</w:t>
      </w:r>
      <w:r w:rsidR="00190923" w:rsidRPr="00981405">
        <w:t xml:space="preserve"> </w:t>
      </w:r>
      <w:r w:rsidRPr="00981405">
        <w:t>may</w:t>
      </w:r>
      <w:r w:rsidR="00190923" w:rsidRPr="00981405">
        <w:t xml:space="preserve"> </w:t>
      </w:r>
      <w:r w:rsidRPr="00981405">
        <w:t>arise</w:t>
      </w:r>
      <w:r w:rsidR="00190923" w:rsidRPr="00981405">
        <w:t xml:space="preserve"> </w:t>
      </w:r>
      <w:r w:rsidRPr="00981405">
        <w:t>or</w:t>
      </w:r>
      <w:r w:rsidR="00190923" w:rsidRPr="00981405">
        <w:t xml:space="preserve"> </w:t>
      </w:r>
      <w:r w:rsidRPr="00981405">
        <w:t>be</w:t>
      </w:r>
      <w:r w:rsidR="00190923" w:rsidRPr="00981405">
        <w:t xml:space="preserve"> </w:t>
      </w:r>
      <w:r w:rsidRPr="00981405">
        <w:t>expressed.</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may</w:t>
      </w:r>
      <w:r w:rsidR="00190923" w:rsidRPr="00981405">
        <w:t xml:space="preserve"> </w:t>
      </w:r>
      <w:r w:rsidR="00B92E2C" w:rsidRPr="00981405">
        <w:t>“</w:t>
      </w:r>
      <w:r w:rsidRPr="00981405">
        <w:t>arise</w:t>
      </w:r>
      <w:r w:rsidR="00190923" w:rsidRPr="00981405">
        <w:t xml:space="preserve"> </w:t>
      </w:r>
      <w:r w:rsidRPr="00981405">
        <w:t>from</w:t>
      </w:r>
      <w:r w:rsidR="00B92E2C" w:rsidRPr="00981405">
        <w:t>”</w:t>
      </w:r>
      <w:r w:rsidR="00190923" w:rsidRPr="00981405">
        <w:t xml:space="preserve"> </w:t>
      </w:r>
      <w:r w:rsidRPr="00981405">
        <w:t>their</w:t>
      </w:r>
      <w:r w:rsidR="00190923" w:rsidRPr="00981405">
        <w:t xml:space="preserve"> </w:t>
      </w:r>
      <w:r w:rsidRPr="00981405">
        <w:t>reactions</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Alternatively,</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constituent</w:t>
      </w:r>
      <w:r w:rsidR="00190923" w:rsidRPr="00981405">
        <w:t xml:space="preserve"> </w:t>
      </w:r>
      <w:r w:rsidRPr="00981405">
        <w:t>agreement</w:t>
      </w:r>
      <w:r w:rsidR="00190923" w:rsidRPr="00981405">
        <w:t xml:space="preserve"> </w:t>
      </w:r>
      <w:r w:rsidRPr="00981405">
        <w:t>may</w:t>
      </w:r>
      <w:r w:rsidR="00190923" w:rsidRPr="00981405">
        <w:t xml:space="preserve"> </w:t>
      </w:r>
      <w:r w:rsidRPr="00981405">
        <w:t>be</w:t>
      </w:r>
      <w:r w:rsidR="00190923" w:rsidRPr="00981405">
        <w:t xml:space="preserve"> </w:t>
      </w:r>
      <w:r w:rsidR="00B92E2C" w:rsidRPr="00981405">
        <w:t>“</w:t>
      </w:r>
      <w:r w:rsidRPr="00981405">
        <w:t>expressed</w:t>
      </w:r>
      <w:r w:rsidR="00190923" w:rsidRPr="00981405">
        <w:t xml:space="preserve"> </w:t>
      </w:r>
      <w:r w:rsidRPr="00981405">
        <w:t>in</w:t>
      </w:r>
      <w:r w:rsidR="00B92E2C" w:rsidRPr="00981405">
        <w: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constituent</w:t>
      </w:r>
      <w:r w:rsidR="00190923" w:rsidRPr="00981405">
        <w:t xml:space="preserve"> </w:t>
      </w:r>
      <w:r w:rsidRPr="00981405">
        <w:t>instrument.</w:t>
      </w:r>
      <w:r w:rsidR="00190923" w:rsidRPr="00981405">
        <w:t xml:space="preserve"> </w:t>
      </w:r>
      <w:r w:rsidR="00B92E2C" w:rsidRPr="00981405">
        <w:t>“</w:t>
      </w:r>
      <w:r w:rsidRPr="00981405">
        <w:t>Arise</w:t>
      </w:r>
      <w:r w:rsidR="00190923" w:rsidRPr="00981405">
        <w:t xml:space="preserve"> </w:t>
      </w:r>
      <w:r w:rsidRPr="00981405">
        <w:t>from</w:t>
      </w:r>
      <w:r w:rsidR="00B92E2C" w:rsidRPr="00981405">
        <w:t>”</w:t>
      </w:r>
      <w:r w:rsidR="00190923" w:rsidRPr="00981405">
        <w:t xml:space="preserve"> </w:t>
      </w:r>
      <w:r w:rsidRPr="00981405">
        <w:t>is</w:t>
      </w:r>
      <w:r w:rsidR="00190923" w:rsidRPr="00981405">
        <w:t xml:space="preserve"> </w:t>
      </w:r>
      <w:r w:rsidRPr="00981405">
        <w:t>intended</w:t>
      </w:r>
      <w:r w:rsidR="00190923" w:rsidRPr="00981405">
        <w:t xml:space="preserve"> </w:t>
      </w:r>
      <w:r w:rsidRPr="00981405">
        <w:t>to</w:t>
      </w:r>
      <w:r w:rsidR="00190923" w:rsidRPr="00981405">
        <w:t xml:space="preserve"> </w:t>
      </w:r>
      <w:r w:rsidRPr="00981405">
        <w:t>encompass</w:t>
      </w:r>
      <w:r w:rsidR="00190923" w:rsidRPr="00981405">
        <w:t xml:space="preserve"> </w:t>
      </w:r>
      <w:r w:rsidRPr="00981405">
        <w:t>the</w:t>
      </w:r>
      <w:r w:rsidR="00190923" w:rsidRPr="00981405">
        <w:t xml:space="preserve"> </w:t>
      </w:r>
      <w:r w:rsidRPr="00981405">
        <w:t>generation</w:t>
      </w:r>
      <w:r w:rsidR="00190923" w:rsidRPr="00981405">
        <w:t xml:space="preserve"> </w:t>
      </w:r>
      <w:r w:rsidRPr="00981405">
        <w:t>and</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while</w:t>
      </w:r>
      <w:r w:rsidR="00190923" w:rsidRPr="00981405">
        <w:t xml:space="preserve"> </w:t>
      </w:r>
      <w:r w:rsidR="00B92E2C" w:rsidRPr="00981405">
        <w:t>“</w:t>
      </w:r>
      <w:r w:rsidRPr="00981405">
        <w:t>expressed</w:t>
      </w:r>
      <w:r w:rsidR="00190923" w:rsidRPr="00981405">
        <w:t xml:space="preserve"> </w:t>
      </w:r>
      <w:r w:rsidRPr="00981405">
        <w:t>in</w:t>
      </w:r>
      <w:r w:rsidR="00B92E2C" w:rsidRPr="00981405">
        <w:t>”</w:t>
      </w:r>
      <w:r w:rsidR="00190923" w:rsidRPr="00981405">
        <w:t xml:space="preserve"> </w:t>
      </w:r>
      <w:r w:rsidRPr="00981405">
        <w:t>is</w:t>
      </w:r>
      <w:r w:rsidR="00190923" w:rsidRPr="00981405">
        <w:t xml:space="preserve"> </w:t>
      </w:r>
      <w:r w:rsidRPr="00981405">
        <w:t>used</w:t>
      </w:r>
      <w:r w:rsidR="00190923" w:rsidRPr="00981405">
        <w:t xml:space="preserve"> </w:t>
      </w:r>
      <w:r w:rsidRPr="00981405">
        <w:t>in</w:t>
      </w:r>
      <w:r w:rsidR="00190923" w:rsidRPr="00981405">
        <w:t xml:space="preserve"> </w:t>
      </w:r>
      <w:r w:rsidRPr="00981405">
        <w:t>the</w:t>
      </w:r>
      <w:r w:rsidR="00190923" w:rsidRPr="00981405">
        <w:t xml:space="preserve"> </w:t>
      </w:r>
      <w:r w:rsidRPr="00981405">
        <w:t>sense</w:t>
      </w:r>
      <w:r w:rsidR="00190923" w:rsidRPr="00981405">
        <w:t xml:space="preserve"> </w:t>
      </w:r>
      <w:r w:rsidRPr="00981405">
        <w:t>of</w:t>
      </w:r>
      <w:r w:rsidR="00190923" w:rsidRPr="00981405">
        <w:t xml:space="preserve"> </w:t>
      </w:r>
      <w:r w:rsidRPr="00981405">
        <w:t>reflecting</w:t>
      </w:r>
      <w:r w:rsidR="00190923" w:rsidRPr="00981405">
        <w:t xml:space="preserve"> </w:t>
      </w:r>
      <w:r w:rsidRPr="00981405">
        <w:t>and</w:t>
      </w:r>
      <w:r w:rsidR="00190923" w:rsidRPr="00981405">
        <w:t xml:space="preserve"> </w:t>
      </w:r>
      <w:r w:rsidRPr="00981405">
        <w:t>articulating</w:t>
      </w:r>
      <w:r w:rsidR="00190923" w:rsidRPr="00981405">
        <w:t xml:space="preserve"> </w:t>
      </w:r>
      <w:r w:rsidRPr="00981405">
        <w:t>such</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practice.</w:t>
      </w:r>
      <w:r w:rsidR="00190923" w:rsidRPr="00981405">
        <w:t xml:space="preserve"> </w:t>
      </w:r>
      <w:r w:rsidRPr="00981405">
        <w:t>Either</w:t>
      </w:r>
      <w:r w:rsidR="00190923" w:rsidRPr="00981405">
        <w:t xml:space="preserve"> </w:t>
      </w:r>
      <w:r w:rsidRPr="00981405">
        <w:t>variant</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in</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may</w:t>
      </w:r>
      <w:r w:rsidR="00190923" w:rsidRPr="00981405">
        <w:t xml:space="preserve"> </w:t>
      </w:r>
      <w:r w:rsidRPr="00981405">
        <w:t>reflect</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by</w:t>
      </w:r>
      <w:r w:rsidR="00190923" w:rsidRPr="00981405">
        <w:t xml:space="preserve"> </w:t>
      </w:r>
      <w:r w:rsidRPr="00981405">
        <w:t>the</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(see</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4)</w:t>
      </w:r>
      <w:bookmarkStart w:id="107" w:name="_Ref415779670"/>
      <w:bookmarkStart w:id="108" w:name="_Ref423362192"/>
      <w:r w:rsidRPr="00981405">
        <w:t>.</w:t>
      </w:r>
      <w:r w:rsidRPr="00981405">
        <w:rPr>
          <w:rStyle w:val="FootnoteReference"/>
        </w:rPr>
        <w:footnoteReference w:id="324"/>
      </w:r>
      <w:bookmarkEnd w:id="107"/>
      <w:bookmarkEnd w:id="108"/>
      <w:r w:rsidR="00190923" w:rsidRPr="00981405">
        <w:t xml:space="preserve"> </w:t>
      </w:r>
    </w:p>
    <w:p w:rsidR="00397032" w:rsidRPr="00981405" w:rsidRDefault="00397032" w:rsidP="00D97463">
      <w:pPr>
        <w:pStyle w:val="SingleTxt"/>
      </w:pPr>
      <w:r w:rsidRPr="00981405">
        <w:t>(16)</w:t>
      </w:r>
      <w:r w:rsidRPr="00981405">
        <w:tab/>
        <w:t>In</w:t>
      </w:r>
      <w:r w:rsidR="00190923" w:rsidRPr="00981405">
        <w:t xml:space="preserve"> </w:t>
      </w:r>
      <w:r w:rsidRPr="00981405">
        <w:t>its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Legality</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Use</w:t>
      </w:r>
      <w:r w:rsidR="00190923" w:rsidRPr="00981405">
        <w:rPr>
          <w:i/>
          <w:iCs/>
        </w:rPr>
        <w:t xml:space="preserve"> </w:t>
      </w:r>
      <w:r w:rsidRPr="00D97463">
        <w:rPr>
          <w:i/>
          <w:iCs/>
        </w:rPr>
        <w:t>by</w:t>
      </w:r>
      <w:r w:rsidR="00190923" w:rsidRPr="00981405">
        <w:rPr>
          <w:i/>
          <w:iCs/>
        </w:rPr>
        <w:t xml:space="preserve"> </w:t>
      </w:r>
      <w:r w:rsidRPr="00D97463">
        <w:rPr>
          <w:i/>
          <w:iCs/>
        </w:rPr>
        <w:t>a</w:t>
      </w:r>
      <w:r w:rsidR="00190923" w:rsidRPr="00981405">
        <w:rPr>
          <w:i/>
          <w:iCs/>
        </w:rPr>
        <w:t xml:space="preserve"> </w:t>
      </w:r>
      <w:r w:rsidRPr="00D97463">
        <w:rPr>
          <w:i/>
          <w:iCs/>
        </w:rPr>
        <w:t>State</w:t>
      </w:r>
      <w:r w:rsidR="00190923" w:rsidRPr="00981405">
        <w:rPr>
          <w:i/>
          <w:iCs/>
        </w:rPr>
        <w:t xml:space="preserve"> </w:t>
      </w:r>
      <w:r w:rsidRPr="00D97463">
        <w:rPr>
          <w:i/>
          <w:iCs/>
        </w:rPr>
        <w:t>of</w:t>
      </w:r>
      <w:r w:rsidR="00190923" w:rsidRPr="00981405">
        <w:rPr>
          <w:i/>
          <w:iCs/>
        </w:rPr>
        <w:t xml:space="preserve"> </w:t>
      </w:r>
      <w:r w:rsidRPr="00D97463">
        <w:rPr>
          <w:i/>
          <w:iCs/>
        </w:rPr>
        <w:t>Nuclear</w:t>
      </w:r>
      <w:r w:rsidR="00190923" w:rsidRPr="00981405">
        <w:rPr>
          <w:i/>
          <w:iCs/>
        </w:rPr>
        <w:t xml:space="preserve"> </w:t>
      </w:r>
      <w:r w:rsidRPr="00D97463">
        <w:rPr>
          <w:i/>
          <w:iCs/>
        </w:rPr>
        <w:t>Weapons</w:t>
      </w:r>
      <w:r w:rsidR="00190923" w:rsidRPr="00981405">
        <w:rPr>
          <w:i/>
          <w:iCs/>
        </w:rPr>
        <w:t xml:space="preserve"> </w:t>
      </w:r>
      <w:r w:rsidRPr="00D97463">
        <w:rPr>
          <w:i/>
          <w:iCs/>
        </w:rPr>
        <w:t>in</w:t>
      </w:r>
      <w:r w:rsidR="00190923" w:rsidRPr="00981405">
        <w:rPr>
          <w:i/>
          <w:iCs/>
        </w:rPr>
        <w:t xml:space="preserve"> </w:t>
      </w:r>
      <w:r w:rsidRPr="00D97463">
        <w:rPr>
          <w:i/>
          <w:iCs/>
        </w:rPr>
        <w:t>Armed</w:t>
      </w:r>
      <w:r w:rsidR="00190923" w:rsidRPr="00981405">
        <w:rPr>
          <w:i/>
          <w:iCs/>
        </w:rPr>
        <w:t xml:space="preserve"> </w:t>
      </w:r>
      <w:r w:rsidRPr="00D97463">
        <w:rPr>
          <w:i/>
          <w:iCs/>
        </w:rPr>
        <w:t>Conflict</w:t>
      </w:r>
      <w:r w:rsidRPr="00981405">
        <w: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recognized</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organization</w:t>
      </w:r>
      <w:r w:rsidR="00190923" w:rsidRPr="00981405">
        <w:t xml:space="preserve"> </w:t>
      </w:r>
      <w:r w:rsidRPr="00981405">
        <w:t>may</w:t>
      </w:r>
      <w:r w:rsidR="00190923" w:rsidRPr="00981405">
        <w:t xml:space="preserve"> </w:t>
      </w:r>
      <w:r w:rsidRPr="00981405">
        <w:t>reflect</w:t>
      </w:r>
      <w:r w:rsidR="00190923" w:rsidRPr="00981405">
        <w:t xml:space="preserve"> </w:t>
      </w:r>
      <w:r w:rsidRPr="00981405">
        <w:t>an</w:t>
      </w:r>
      <w:r w:rsidR="00190923" w:rsidRPr="00981405">
        <w:t xml:space="preserve"> </w:t>
      </w:r>
      <w:r w:rsidRPr="00981405">
        <w:t>agreement</w:t>
      </w:r>
      <w:r w:rsidR="00190923" w:rsidRPr="00981405">
        <w:t xml:space="preserve"> </w:t>
      </w:r>
      <w:r w:rsidRPr="00981405">
        <w:t>or</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as</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themselves,</w:t>
      </w:r>
      <w:r w:rsidR="00190923" w:rsidRPr="00981405">
        <w:t xml:space="preserve"> </w:t>
      </w:r>
      <w:r w:rsidRPr="00981405">
        <w:t>but</w:t>
      </w:r>
      <w:r w:rsidR="00190923" w:rsidRPr="00981405">
        <w:t xml:space="preserve"> </w:t>
      </w:r>
      <w:r w:rsidRPr="00981405">
        <w:t>found</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in</w:t>
      </w:r>
      <w:r w:rsidR="00190923" w:rsidRPr="00981405">
        <w:t xml:space="preserve"> </w:t>
      </w:r>
      <w:r w:rsidRPr="00981405">
        <w:t>that</w:t>
      </w:r>
      <w:r w:rsidR="00190923" w:rsidRPr="00981405">
        <w:t xml:space="preserve"> </w:t>
      </w:r>
      <w:r w:rsidRPr="00981405">
        <w:t>case</w:t>
      </w:r>
      <w:r w:rsidR="00190923" w:rsidRPr="00981405">
        <w:t xml:space="preserve"> </w:t>
      </w:r>
      <w:r w:rsidRPr="00981405">
        <w:t>did</w:t>
      </w:r>
      <w:r w:rsidR="00190923" w:rsidRPr="00981405">
        <w:t xml:space="preserve"> </w:t>
      </w:r>
      <w:r w:rsidRPr="00981405">
        <w:t>not</w:t>
      </w:r>
      <w:r w:rsidR="00190923" w:rsidRPr="00981405">
        <w:t xml:space="preserve"> </w:t>
      </w:r>
      <w:r w:rsidR="00B92E2C" w:rsidRPr="00981405">
        <w:t>“</w:t>
      </w:r>
      <w:r w:rsidRPr="00981405">
        <w:t>express</w:t>
      </w:r>
      <w:r w:rsidR="00190923" w:rsidRPr="00981405">
        <w:t xml:space="preserve"> </w:t>
      </w:r>
      <w:r w:rsidRPr="00981405">
        <w:t>or</w:t>
      </w:r>
      <w:r w:rsidR="00190923" w:rsidRPr="00981405">
        <w:t xml:space="preserve"> </w:t>
      </w:r>
      <w:r w:rsidRPr="00981405">
        <w:t>amount</w:t>
      </w:r>
      <w:r w:rsidR="00190923" w:rsidRPr="00981405">
        <w:t xml:space="preserve"> </w:t>
      </w:r>
      <w:r w:rsidRPr="00981405">
        <w:t>to</w:t>
      </w:r>
      <w:r w:rsidR="00B92E2C" w:rsidRPr="00981405">
        <w:t>”</w:t>
      </w:r>
      <w:r w:rsidR="00190923" w:rsidRPr="00981405">
        <w:t xml:space="preserve"> </w:t>
      </w:r>
      <w:r w:rsidRPr="00981405">
        <w:t>a</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(b):</w:t>
      </w:r>
    </w:p>
    <w:p w:rsidR="00397032" w:rsidRPr="00981405" w:rsidRDefault="00B92E2C" w:rsidP="00D97463">
      <w:pPr>
        <w:pStyle w:val="SingleTxt"/>
        <w:ind w:left="1742"/>
      </w:pPr>
      <w:r w:rsidRPr="00981405">
        <w:t>“</w:t>
      </w:r>
      <w:r w:rsidR="00397032" w:rsidRPr="00981405">
        <w:t>Resolution</w:t>
      </w:r>
      <w:r w:rsidR="00190923" w:rsidRPr="00981405">
        <w:t xml:space="preserve"> </w:t>
      </w:r>
      <w:r w:rsidR="00397032" w:rsidRPr="00981405">
        <w:t>WHA46.40</w:t>
      </w:r>
      <w:r w:rsidR="00190923" w:rsidRPr="00981405">
        <w:t xml:space="preserve"> </w:t>
      </w:r>
      <w:r w:rsidR="00397032" w:rsidRPr="00981405">
        <w:t>itself,</w:t>
      </w:r>
      <w:r w:rsidR="00190923" w:rsidRPr="00981405">
        <w:t xml:space="preserve"> </w:t>
      </w:r>
      <w:r w:rsidR="00397032" w:rsidRPr="00981405">
        <w:t>adopted,</w:t>
      </w:r>
      <w:r w:rsidR="00190923" w:rsidRPr="00981405">
        <w:t xml:space="preserve"> </w:t>
      </w:r>
      <w:r w:rsidR="00397032" w:rsidRPr="00981405">
        <w:t>not</w:t>
      </w:r>
      <w:r w:rsidR="00190923" w:rsidRPr="00981405">
        <w:t xml:space="preserve"> </w:t>
      </w:r>
      <w:r w:rsidR="00397032" w:rsidRPr="00981405">
        <w:t>without</w:t>
      </w:r>
      <w:r w:rsidR="00190923" w:rsidRPr="00981405">
        <w:t xml:space="preserve"> </w:t>
      </w:r>
      <w:r w:rsidR="00397032" w:rsidRPr="00981405">
        <w:t>opposition,</w:t>
      </w:r>
      <w:r w:rsidR="00190923" w:rsidRPr="00981405">
        <w:t xml:space="preserve"> </w:t>
      </w:r>
      <w:r w:rsidR="00397032" w:rsidRPr="00981405">
        <w:t>as</w:t>
      </w:r>
      <w:r w:rsidR="00190923" w:rsidRPr="00981405">
        <w:t xml:space="preserve"> </w:t>
      </w:r>
      <w:r w:rsidR="00397032" w:rsidRPr="00981405">
        <w:t>soon</w:t>
      </w:r>
      <w:r w:rsidR="00190923" w:rsidRPr="00981405">
        <w:t xml:space="preserve"> </w:t>
      </w:r>
      <w:r w:rsidR="00397032" w:rsidRPr="00981405">
        <w:t>as</w:t>
      </w:r>
      <w:r w:rsidR="00190923" w:rsidRPr="00981405">
        <w:t xml:space="preserve"> </w:t>
      </w:r>
      <w:r w:rsidR="00397032" w:rsidRPr="00981405">
        <w:t>the</w:t>
      </w:r>
      <w:r w:rsidR="00190923" w:rsidRPr="00981405">
        <w:t xml:space="preserve"> </w:t>
      </w:r>
      <w:r w:rsidR="00397032" w:rsidRPr="00981405">
        <w:t>question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legality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use</w:t>
      </w:r>
      <w:r w:rsidR="00190923" w:rsidRPr="00981405">
        <w:t xml:space="preserve"> </w:t>
      </w:r>
      <w:r w:rsidR="00397032" w:rsidRPr="00981405">
        <w:t>of</w:t>
      </w:r>
      <w:r w:rsidR="00190923" w:rsidRPr="00981405">
        <w:t xml:space="preserve"> </w:t>
      </w:r>
      <w:r w:rsidR="00397032" w:rsidRPr="00981405">
        <w:t>nuclear</w:t>
      </w:r>
      <w:r w:rsidR="00190923" w:rsidRPr="00981405">
        <w:t xml:space="preserve"> </w:t>
      </w:r>
      <w:r w:rsidR="00397032" w:rsidRPr="00981405">
        <w:t>weapons</w:t>
      </w:r>
      <w:r w:rsidR="00190923" w:rsidRPr="00981405">
        <w:t xml:space="preserve"> </w:t>
      </w:r>
      <w:r w:rsidR="00397032" w:rsidRPr="00981405">
        <w:t>was</w:t>
      </w:r>
      <w:r w:rsidR="00190923" w:rsidRPr="00981405">
        <w:t xml:space="preserve"> </w:t>
      </w:r>
      <w:r w:rsidR="00397032" w:rsidRPr="00981405">
        <w:t>raised</w:t>
      </w:r>
      <w:r w:rsidR="00190923" w:rsidRPr="00981405">
        <w:t xml:space="preserve"> </w:t>
      </w:r>
      <w:r w:rsidR="00397032" w:rsidRPr="00981405">
        <w:t>at</w:t>
      </w:r>
      <w:r w:rsidR="00190923" w:rsidRPr="00981405">
        <w:t xml:space="preserve"> </w:t>
      </w:r>
      <w:r w:rsidR="00397032" w:rsidRPr="00981405">
        <w:t>the</w:t>
      </w:r>
      <w:r w:rsidR="00190923" w:rsidRPr="00981405">
        <w:t xml:space="preserve"> </w:t>
      </w:r>
      <w:r w:rsidR="00397032" w:rsidRPr="00981405">
        <w:t>WHO,</w:t>
      </w:r>
      <w:r w:rsidR="00190923" w:rsidRPr="00981405">
        <w:t xml:space="preserve"> </w:t>
      </w:r>
      <w:r w:rsidR="00397032" w:rsidRPr="00981405">
        <w:t>could</w:t>
      </w:r>
      <w:r w:rsidR="00190923" w:rsidRPr="00981405">
        <w:t xml:space="preserve"> </w:t>
      </w:r>
      <w:r w:rsidR="00397032" w:rsidRPr="00981405">
        <w:t>not</w:t>
      </w:r>
      <w:r w:rsidR="00190923" w:rsidRPr="00981405">
        <w:t xml:space="preserve"> </w:t>
      </w:r>
      <w:r w:rsidR="00397032" w:rsidRPr="00981405">
        <w:t>be</w:t>
      </w:r>
      <w:r w:rsidR="00190923" w:rsidRPr="00981405">
        <w:t xml:space="preserve"> </w:t>
      </w:r>
      <w:r w:rsidR="00397032" w:rsidRPr="00981405">
        <w:t>taken</w:t>
      </w:r>
      <w:r w:rsidR="00190923" w:rsidRPr="00981405">
        <w:t xml:space="preserve"> </w:t>
      </w:r>
      <w:r w:rsidR="00397032" w:rsidRPr="00981405">
        <w:t>to</w:t>
      </w:r>
      <w:r w:rsidR="00190923" w:rsidRPr="00981405">
        <w:t xml:space="preserve"> </w:t>
      </w:r>
      <w:r w:rsidR="00397032" w:rsidRPr="00981405">
        <w:t>express</w:t>
      </w:r>
      <w:r w:rsidR="00190923" w:rsidRPr="00981405">
        <w:t xml:space="preserve"> </w:t>
      </w:r>
      <w:r w:rsidR="00397032" w:rsidRPr="00981405">
        <w:t>or</w:t>
      </w:r>
      <w:r w:rsidR="00190923" w:rsidRPr="00981405">
        <w:t xml:space="preserve"> </w:t>
      </w:r>
      <w:r w:rsidR="00397032" w:rsidRPr="00981405">
        <w:t>to</w:t>
      </w:r>
      <w:r w:rsidR="00190923" w:rsidRPr="00981405">
        <w:t xml:space="preserve"> </w:t>
      </w:r>
      <w:r w:rsidR="00397032" w:rsidRPr="00981405">
        <w:t>amount</w:t>
      </w:r>
      <w:r w:rsidR="00190923" w:rsidRPr="00981405">
        <w:t xml:space="preserve"> </w:t>
      </w:r>
      <w:r w:rsidR="00397032" w:rsidRPr="00981405">
        <w:t>on</w:t>
      </w:r>
      <w:r w:rsidR="00190923" w:rsidRPr="00981405">
        <w:t xml:space="preserve"> </w:t>
      </w:r>
      <w:r w:rsidR="00397032" w:rsidRPr="00981405">
        <w:t>its</w:t>
      </w:r>
      <w:r w:rsidR="00190923" w:rsidRPr="00981405">
        <w:t xml:space="preserve"> </w:t>
      </w:r>
      <w:r w:rsidR="00397032" w:rsidRPr="00981405">
        <w:t>own</w:t>
      </w:r>
      <w:r w:rsidR="00190923" w:rsidRPr="00981405">
        <w:t xml:space="preserve"> </w:t>
      </w:r>
      <w:r w:rsidR="00397032" w:rsidRPr="00981405">
        <w:t>to</w:t>
      </w:r>
      <w:r w:rsidR="00190923" w:rsidRPr="00981405">
        <w:t xml:space="preserve"> </w:t>
      </w:r>
      <w:r w:rsidR="00397032" w:rsidRPr="00981405">
        <w:t>a</w:t>
      </w:r>
      <w:r w:rsidR="00190923" w:rsidRPr="00981405">
        <w:t xml:space="preserve"> </w:t>
      </w:r>
      <w:r w:rsidR="00397032" w:rsidRPr="00981405">
        <w:t>practice</w:t>
      </w:r>
      <w:r w:rsidR="00190923" w:rsidRPr="00981405">
        <w:t xml:space="preserve"> </w:t>
      </w:r>
      <w:r w:rsidR="00397032" w:rsidRPr="00981405">
        <w:t>establishing</w:t>
      </w:r>
      <w:r w:rsidR="00190923" w:rsidRPr="00981405">
        <w:t xml:space="preserve"> </w:t>
      </w:r>
      <w:r w:rsidR="00397032" w:rsidRPr="00981405">
        <w:t>an</w:t>
      </w:r>
      <w:r w:rsidR="00190923" w:rsidRPr="00981405">
        <w:t xml:space="preserve"> </w:t>
      </w:r>
      <w:r w:rsidR="00397032" w:rsidRPr="00981405">
        <w:t>agreement</w:t>
      </w:r>
      <w:r w:rsidR="00190923" w:rsidRPr="00981405">
        <w:t xml:space="preserve"> </w:t>
      </w:r>
      <w:r w:rsidR="00397032" w:rsidRPr="00981405">
        <w:t>between</w:t>
      </w:r>
      <w:r w:rsidR="00190923" w:rsidRPr="00981405">
        <w:t xml:space="preserve"> </w:t>
      </w:r>
      <w:r w:rsidR="00397032" w:rsidRPr="00981405">
        <w:t>the</w:t>
      </w:r>
      <w:r w:rsidR="00190923" w:rsidRPr="00981405">
        <w:t xml:space="preserve"> </w:t>
      </w:r>
      <w:r w:rsidR="00397032" w:rsidRPr="00981405">
        <w:t>members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00190923" w:rsidRPr="00981405">
        <w:t xml:space="preserve"> </w:t>
      </w:r>
      <w:r w:rsidR="00397032" w:rsidRPr="00981405">
        <w:t>to</w:t>
      </w:r>
      <w:r w:rsidR="00190923" w:rsidRPr="00981405">
        <w:t xml:space="preserve"> </w:t>
      </w:r>
      <w:r w:rsidR="00397032" w:rsidRPr="00981405">
        <w:t>interpret</w:t>
      </w:r>
      <w:r w:rsidR="00190923" w:rsidRPr="00981405">
        <w:t xml:space="preserve"> </w:t>
      </w:r>
      <w:r w:rsidR="00397032" w:rsidRPr="00981405">
        <w:t>its</w:t>
      </w:r>
      <w:r w:rsidR="00190923" w:rsidRPr="00981405">
        <w:t xml:space="preserve"> </w:t>
      </w:r>
      <w:r w:rsidR="00397032" w:rsidRPr="00981405">
        <w:t>Constitution</w:t>
      </w:r>
      <w:r w:rsidR="00190923" w:rsidRPr="00981405">
        <w:t xml:space="preserve"> </w:t>
      </w:r>
      <w:r w:rsidR="00397032" w:rsidRPr="00981405">
        <w:t>as</w:t>
      </w:r>
      <w:r w:rsidR="00190923" w:rsidRPr="00981405">
        <w:t xml:space="preserve"> </w:t>
      </w:r>
      <w:r w:rsidR="00397032" w:rsidRPr="00981405">
        <w:t>empowering</w:t>
      </w:r>
      <w:r w:rsidR="00190923" w:rsidRPr="00981405">
        <w:t xml:space="preserve"> </w:t>
      </w:r>
      <w:r w:rsidR="00397032" w:rsidRPr="00981405">
        <w:t>it</w:t>
      </w:r>
      <w:r w:rsidR="00190923" w:rsidRPr="00981405">
        <w:t xml:space="preserve"> </w:t>
      </w:r>
      <w:r w:rsidR="00397032" w:rsidRPr="00981405">
        <w:t>to</w:t>
      </w:r>
      <w:r w:rsidR="00190923" w:rsidRPr="00981405">
        <w:t xml:space="preserve"> </w:t>
      </w:r>
      <w:r w:rsidR="00397032" w:rsidRPr="00981405">
        <w:t>address</w:t>
      </w:r>
      <w:r w:rsidR="00190923" w:rsidRPr="00981405">
        <w:t xml:space="preserve"> </w:t>
      </w:r>
      <w:r w:rsidR="00397032" w:rsidRPr="00981405">
        <w:t>the</w:t>
      </w:r>
      <w:r w:rsidR="00190923" w:rsidRPr="00981405">
        <w:t xml:space="preserve"> </w:t>
      </w:r>
      <w:r w:rsidR="00397032" w:rsidRPr="00981405">
        <w:t>question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legality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use</w:t>
      </w:r>
      <w:r w:rsidR="00190923" w:rsidRPr="00981405">
        <w:t xml:space="preserve"> </w:t>
      </w:r>
      <w:r w:rsidR="00397032" w:rsidRPr="00981405">
        <w:t>of</w:t>
      </w:r>
      <w:r w:rsidR="00190923" w:rsidRPr="00981405">
        <w:t xml:space="preserve"> </w:t>
      </w:r>
      <w:r w:rsidR="00397032" w:rsidRPr="00981405">
        <w:t>nuclear</w:t>
      </w:r>
      <w:r w:rsidR="00190923" w:rsidRPr="00981405">
        <w:t xml:space="preserve"> </w:t>
      </w:r>
      <w:r w:rsidR="00397032" w:rsidRPr="00981405">
        <w:t>weapons.</w:t>
      </w:r>
      <w:r w:rsidRPr="00981405">
        <w:t>”</w:t>
      </w:r>
      <w:r w:rsidR="00397032" w:rsidRPr="00981405">
        <w:rPr>
          <w:rStyle w:val="FootnoteReference"/>
        </w:rPr>
        <w:footnoteReference w:id="325"/>
      </w:r>
    </w:p>
    <w:p w:rsidR="00397032" w:rsidRPr="00981405" w:rsidRDefault="00397032" w:rsidP="00D97463">
      <w:pPr>
        <w:pStyle w:val="SingleTxt"/>
      </w:pPr>
      <w:r w:rsidRPr="00981405">
        <w:t>(17)</w:t>
      </w:r>
      <w:r w:rsidRPr="00981405">
        <w:tab/>
        <w:t>In</w:t>
      </w:r>
      <w:r w:rsidR="00190923" w:rsidRPr="00981405">
        <w:t xml:space="preserve"> </w:t>
      </w:r>
      <w:r w:rsidRPr="00981405">
        <w:t>this</w:t>
      </w:r>
      <w:r w:rsidR="00190923" w:rsidRPr="00981405">
        <w:t xml:space="preserve"> </w:t>
      </w:r>
      <w:r w:rsidRPr="00981405">
        <w:t>case,</w:t>
      </w:r>
      <w:r w:rsidR="00190923" w:rsidRPr="00981405">
        <w:t xml:space="preserve"> </w:t>
      </w:r>
      <w:r w:rsidRPr="00981405">
        <w:t>when</w:t>
      </w:r>
      <w:r w:rsidR="00190923" w:rsidRPr="00981405">
        <w:t xml:space="preserve"> </w:t>
      </w:r>
      <w:r w:rsidRPr="00981405">
        <w:t>considering</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a</w:t>
      </w:r>
      <w:r w:rsidR="00190923" w:rsidRPr="00981405">
        <w:t xml:space="preserve"> </w:t>
      </w:r>
      <w:r w:rsidRPr="00981405">
        <w:t>resolution</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the</w:t>
      </w:r>
      <w:r w:rsidR="00190923" w:rsidRPr="00981405">
        <w:t xml:space="preserve"> </w:t>
      </w:r>
      <w:r w:rsidRPr="00981405">
        <w:t>Court</w:t>
      </w:r>
      <w:r w:rsidR="00190923" w:rsidRPr="00981405">
        <w:t xml:space="preserve"> </w:t>
      </w:r>
      <w:r w:rsidRPr="00981405">
        <w:t>considered,</w:t>
      </w:r>
      <w:r w:rsidR="00190923" w:rsidRPr="00981405">
        <w:t xml:space="preserve"> </w:t>
      </w:r>
      <w:r w:rsidRPr="00981405">
        <w:t>in</w:t>
      </w:r>
      <w:r w:rsidR="00190923" w:rsidRPr="00981405">
        <w:t xml:space="preserve"> </w:t>
      </w:r>
      <w:r w:rsidRPr="00981405">
        <w:t>the</w:t>
      </w:r>
      <w:r w:rsidR="00190923" w:rsidRPr="00981405">
        <w:t xml:space="preserve"> </w:t>
      </w:r>
      <w:r w:rsidRPr="00981405">
        <w:t>first</w:t>
      </w:r>
      <w:r w:rsidR="00190923" w:rsidRPr="00981405">
        <w:t xml:space="preserve"> </w:t>
      </w:r>
      <w:r w:rsidRPr="00981405">
        <w:t>place,</w:t>
      </w:r>
      <w:r w:rsidR="00190923" w:rsidRPr="00981405">
        <w:t xml:space="preserve"> </w:t>
      </w:r>
      <w:r w:rsidRPr="00981405">
        <w:t>whether</w:t>
      </w:r>
      <w:r w:rsidR="00190923" w:rsidRPr="00981405">
        <w:t xml:space="preserve"> </w:t>
      </w:r>
      <w:r w:rsidRPr="00981405">
        <w:t>the</w:t>
      </w:r>
      <w:r w:rsidR="00190923" w:rsidRPr="00981405">
        <w:t xml:space="preserve"> </w:t>
      </w:r>
      <w:r w:rsidRPr="00981405">
        <w:t>resolution</w:t>
      </w:r>
      <w:r w:rsidR="00190923" w:rsidRPr="00981405">
        <w:t xml:space="preserve"> </w:t>
      </w:r>
      <w:r w:rsidRPr="00981405">
        <w:t>expressed</w:t>
      </w:r>
      <w:r w:rsidR="00190923" w:rsidRPr="00981405">
        <w:t xml:space="preserve"> </w:t>
      </w:r>
      <w:r w:rsidRPr="00981405">
        <w:t>or</w:t>
      </w:r>
      <w:r w:rsidR="00190923" w:rsidRPr="00981405">
        <w:t xml:space="preserve"> </w:t>
      </w:r>
      <w:r w:rsidRPr="00981405">
        <w:t>amounted</w:t>
      </w:r>
      <w:r w:rsidR="00190923" w:rsidRPr="00981405">
        <w:t xml:space="preserve"> </w:t>
      </w:r>
      <w:r w:rsidRPr="00981405">
        <w:t>to</w:t>
      </w:r>
      <w:r w:rsidR="00190923" w:rsidRPr="00981405">
        <w:t xml:space="preserve"> </w:t>
      </w:r>
      <w:r w:rsidR="00B92E2C" w:rsidRPr="00981405">
        <w:t>“</w:t>
      </w:r>
      <w:r w:rsidRPr="00981405">
        <w:t>a</w:t>
      </w:r>
      <w:r w:rsidR="00190923" w:rsidRPr="00981405">
        <w:t xml:space="preserve"> </w:t>
      </w:r>
      <w:r w:rsidRPr="00981405">
        <w:t>practice</w:t>
      </w:r>
      <w:r w:rsidR="00190923" w:rsidRPr="00981405">
        <w:t xml:space="preserve"> </w:t>
      </w:r>
      <w:r w:rsidRPr="00981405">
        <w:t>establishing</w:t>
      </w:r>
      <w:r w:rsidR="00190923" w:rsidRPr="00981405">
        <w:t xml:space="preserve"> </w:t>
      </w:r>
      <w:r w:rsidRPr="00981405">
        <w:t>agreement</w:t>
      </w:r>
      <w:r w:rsidR="00190923" w:rsidRPr="00981405">
        <w:t xml:space="preserve"> </w:t>
      </w:r>
      <w:r w:rsidRPr="00981405">
        <w:t>between</w:t>
      </w:r>
      <w:r w:rsidR="00190923" w:rsidRPr="00981405">
        <w:t xml:space="preserve"> </w:t>
      </w:r>
      <w:r w:rsidRPr="00981405">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(b).</w:t>
      </w:r>
      <w:r w:rsidRPr="00981405">
        <w:rPr>
          <w:rStyle w:val="FootnoteReference"/>
        </w:rPr>
        <w:footnoteReference w:id="326"/>
      </w:r>
      <w:r w:rsidR="00190923" w:rsidRPr="00981405">
        <w:t xml:space="preserve"> </w:t>
      </w:r>
    </w:p>
    <w:p w:rsidR="00397032" w:rsidRPr="00981405" w:rsidRDefault="00397032" w:rsidP="00D97463">
      <w:pPr>
        <w:pStyle w:val="SingleTxt"/>
      </w:pPr>
      <w:r w:rsidRPr="00981405">
        <w:lastRenderedPageBreak/>
        <w:t>(18)</w:t>
      </w:r>
      <w:r w:rsidRPr="00981405">
        <w:tab/>
        <w:t>In</w:t>
      </w:r>
      <w:r w:rsidR="00190923" w:rsidRPr="00981405">
        <w:t xml:space="preserve"> </w:t>
      </w:r>
      <w:r w:rsidRPr="00981405">
        <w:t>a</w:t>
      </w:r>
      <w:r w:rsidR="00190923" w:rsidRPr="00981405">
        <w:t xml:space="preserve"> </w:t>
      </w:r>
      <w:r w:rsidRPr="00981405">
        <w:t>similar</w:t>
      </w:r>
      <w:r w:rsidR="00190923" w:rsidRPr="00981405">
        <w:t xml:space="preserve"> </w:t>
      </w:r>
      <w:r w:rsidRPr="00981405">
        <w:t>way,</w:t>
      </w:r>
      <w:r w:rsidR="00190923" w:rsidRPr="00981405">
        <w:t xml:space="preserve"> </w:t>
      </w:r>
      <w:r w:rsidRPr="00981405">
        <w:t>the</w:t>
      </w:r>
      <w:r w:rsidR="00190923" w:rsidRPr="00981405">
        <w:t xml:space="preserve"> </w:t>
      </w:r>
      <w:r w:rsidRPr="00981405">
        <w:t>WTO</w:t>
      </w:r>
      <w:r w:rsidR="00190923" w:rsidRPr="00981405">
        <w:t xml:space="preserve"> </w:t>
      </w:r>
      <w:r w:rsidRPr="00981405">
        <w:t>Appellate</w:t>
      </w:r>
      <w:r w:rsidR="00190923" w:rsidRPr="00981405">
        <w:t xml:space="preserve"> </w:t>
      </w:r>
      <w:r w:rsidRPr="00981405">
        <w:t>Body</w:t>
      </w:r>
      <w:r w:rsidR="00190923" w:rsidRPr="00981405">
        <w:t xml:space="preserve"> </w:t>
      </w:r>
      <w:r w:rsidRPr="00981405">
        <w:t>has</w:t>
      </w:r>
      <w:r w:rsidR="00190923" w:rsidRPr="00981405">
        <w:t xml:space="preserve"> </w:t>
      </w:r>
      <w:r w:rsidRPr="00981405">
        <w:t>stated</w:t>
      </w:r>
      <w:r w:rsidR="00190923" w:rsidRPr="00981405">
        <w:t xml:space="preserve"> </w:t>
      </w:r>
      <w:r w:rsidRPr="00981405">
        <w:t>in</w:t>
      </w:r>
      <w:r w:rsidR="00190923" w:rsidRPr="00981405">
        <w:t xml:space="preserve"> </w:t>
      </w:r>
      <w:r w:rsidRPr="00981405">
        <w:t>general</w:t>
      </w:r>
      <w:r w:rsidR="00190923" w:rsidRPr="00981405">
        <w:t xml:space="preserve"> </w:t>
      </w:r>
      <w:r w:rsidRPr="00981405">
        <w:t>terms:</w:t>
      </w:r>
    </w:p>
    <w:p w:rsidR="00397032" w:rsidRPr="00981405" w:rsidRDefault="00B92E2C" w:rsidP="00D97463">
      <w:pPr>
        <w:pStyle w:val="SingleTxt"/>
        <w:ind w:left="1742"/>
      </w:pPr>
      <w:r w:rsidRPr="00981405">
        <w:t>“</w:t>
      </w:r>
      <w:r w:rsidR="00397032" w:rsidRPr="00981405">
        <w:t>Based</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text</w:t>
      </w:r>
      <w:r w:rsidR="00190923" w:rsidRPr="00981405">
        <w:t xml:space="preserve"> </w:t>
      </w:r>
      <w:r w:rsidR="00397032" w:rsidRPr="00981405">
        <w:t>of</w:t>
      </w:r>
      <w:r w:rsidR="00190923" w:rsidRPr="00981405">
        <w:t xml:space="preserve"> </w:t>
      </w:r>
      <w:r w:rsidR="00397032" w:rsidRPr="00981405">
        <w:t>Article</w:t>
      </w:r>
      <w:r w:rsidR="00190923" w:rsidRPr="00981405">
        <w:t xml:space="preserve"> </w:t>
      </w:r>
      <w:r w:rsidR="00397032" w:rsidRPr="00981405">
        <w:t>31(3)(a)</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Vienna</w:t>
      </w:r>
      <w:r w:rsidR="00190923" w:rsidRPr="00981405">
        <w:t xml:space="preserve"> </w:t>
      </w:r>
      <w:r w:rsidR="00397032" w:rsidRPr="00981405">
        <w:t>Convention,</w:t>
      </w:r>
      <w:r w:rsidR="00190923" w:rsidRPr="00981405">
        <w:t xml:space="preserve"> </w:t>
      </w:r>
      <w:r w:rsidR="00397032" w:rsidRPr="00981405">
        <w:t>we</w:t>
      </w:r>
      <w:r w:rsidR="00190923" w:rsidRPr="00981405">
        <w:t xml:space="preserve"> </w:t>
      </w:r>
      <w:r w:rsidR="00397032" w:rsidRPr="00981405">
        <w:t>consider</w:t>
      </w:r>
      <w:r w:rsidR="00190923" w:rsidRPr="00981405">
        <w:t xml:space="preserve"> </w:t>
      </w:r>
      <w:r w:rsidR="00397032" w:rsidRPr="00981405">
        <w:t>that</w:t>
      </w:r>
      <w:r w:rsidR="00190923" w:rsidRPr="00981405">
        <w:t xml:space="preserve"> </w:t>
      </w:r>
      <w:r w:rsidR="00397032" w:rsidRPr="00981405">
        <w:t>a</w:t>
      </w:r>
      <w:r w:rsidR="00190923" w:rsidRPr="00981405">
        <w:t xml:space="preserve"> </w:t>
      </w:r>
      <w:r w:rsidR="00397032" w:rsidRPr="00981405">
        <w:t>decision</w:t>
      </w:r>
      <w:r w:rsidR="00190923" w:rsidRPr="00981405">
        <w:t xml:space="preserve"> </w:t>
      </w:r>
      <w:r w:rsidR="00397032" w:rsidRPr="00981405">
        <w:t>adopted</w:t>
      </w:r>
      <w:r w:rsidR="00190923" w:rsidRPr="00981405">
        <w:t xml:space="preserve"> </w:t>
      </w:r>
      <w:r w:rsidR="00397032" w:rsidRPr="00981405">
        <w:t>by</w:t>
      </w:r>
      <w:r w:rsidR="00190923" w:rsidRPr="00981405">
        <w:t xml:space="preserve"> </w:t>
      </w:r>
      <w:r w:rsidR="00397032" w:rsidRPr="00981405">
        <w:t>Members</w:t>
      </w:r>
      <w:r w:rsidR="00190923" w:rsidRPr="00981405">
        <w:t xml:space="preserve"> </w:t>
      </w:r>
      <w:r w:rsidR="00397032" w:rsidRPr="00981405">
        <w:t>may</w:t>
      </w:r>
      <w:r w:rsidR="00190923" w:rsidRPr="00981405">
        <w:t xml:space="preserve"> </w:t>
      </w:r>
      <w:r w:rsidR="00397032" w:rsidRPr="00981405">
        <w:t>qualify</w:t>
      </w:r>
      <w:r w:rsidR="00190923" w:rsidRPr="00981405">
        <w:t xml:space="preserve"> </w:t>
      </w:r>
      <w:r w:rsidR="00397032" w:rsidRPr="00981405">
        <w:t>as</w:t>
      </w:r>
      <w:r w:rsidR="00190923" w:rsidRPr="00981405">
        <w:t xml:space="preserve"> </w:t>
      </w:r>
      <w:r w:rsidR="00397032" w:rsidRPr="00981405">
        <w:t>a</w:t>
      </w:r>
      <w:r w:rsidR="00190923" w:rsidRPr="00981405">
        <w:t xml:space="preserve"> </w:t>
      </w:r>
      <w:r w:rsidRPr="00981405">
        <w:t>‘</w:t>
      </w:r>
      <w:r w:rsidR="00397032" w:rsidRPr="00981405">
        <w:t>subsequent</w:t>
      </w:r>
      <w:r w:rsidR="00190923" w:rsidRPr="00981405">
        <w:t xml:space="preserve"> </w:t>
      </w:r>
      <w:r w:rsidR="00397032" w:rsidRPr="00981405">
        <w:t>agreement</w:t>
      </w:r>
      <w:r w:rsidR="00190923" w:rsidRPr="00981405">
        <w:t xml:space="preserve"> </w:t>
      </w:r>
      <w:r w:rsidR="00397032" w:rsidRPr="00981405">
        <w:t>between</w:t>
      </w:r>
      <w:r w:rsidR="00190923" w:rsidRPr="00981405">
        <w:t xml:space="preserve"> </w:t>
      </w:r>
      <w:r w:rsidR="00397032" w:rsidRPr="00981405">
        <w:t>the</w:t>
      </w:r>
      <w:r w:rsidR="00190923" w:rsidRPr="00981405">
        <w:t xml:space="preserve"> </w:t>
      </w:r>
      <w:r w:rsidR="00397032" w:rsidRPr="00981405">
        <w:t>parties</w:t>
      </w:r>
      <w:r w:rsidRPr="00981405">
        <w:t>’</w:t>
      </w:r>
      <w:r w:rsidR="00190923" w:rsidRPr="00981405">
        <w:t xml:space="preserve"> </w:t>
      </w:r>
      <w:r w:rsidR="00397032" w:rsidRPr="00981405">
        <w:t>regarding</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a</w:t>
      </w:r>
      <w:r w:rsidR="00190923" w:rsidRPr="00981405">
        <w:t xml:space="preserve"> </w:t>
      </w:r>
      <w:r w:rsidR="00397032" w:rsidRPr="00981405">
        <w:t>covered</w:t>
      </w:r>
      <w:r w:rsidR="00190923" w:rsidRPr="00981405">
        <w:t xml:space="preserve"> </w:t>
      </w:r>
      <w:r w:rsidR="00397032" w:rsidRPr="00981405">
        <w:t>agreement</w:t>
      </w:r>
      <w:r w:rsidR="00190923" w:rsidRPr="00981405">
        <w:t xml:space="preserve"> </w:t>
      </w:r>
      <w:r w:rsidR="00397032" w:rsidRPr="00981405">
        <w:t>or</w:t>
      </w:r>
      <w:r w:rsidR="00190923" w:rsidRPr="00981405">
        <w:t xml:space="preserve"> </w:t>
      </w:r>
      <w:r w:rsidR="00397032" w:rsidRPr="00981405">
        <w:t>the</w:t>
      </w:r>
      <w:r w:rsidR="00190923" w:rsidRPr="00981405">
        <w:t xml:space="preserve"> </w:t>
      </w:r>
      <w:r w:rsidR="00397032" w:rsidRPr="00981405">
        <w:t>application</w:t>
      </w:r>
      <w:r w:rsidR="00190923" w:rsidRPr="00981405">
        <w:t xml:space="preserve"> </w:t>
      </w:r>
      <w:r w:rsidR="00397032" w:rsidRPr="00981405">
        <w:t>of</w:t>
      </w:r>
      <w:r w:rsidR="00190923" w:rsidRPr="00981405">
        <w:t xml:space="preserve"> </w:t>
      </w:r>
      <w:r w:rsidR="00397032" w:rsidRPr="00981405">
        <w:t>its</w:t>
      </w:r>
      <w:r w:rsidR="00190923" w:rsidRPr="00981405">
        <w:t xml:space="preserve"> </w:t>
      </w:r>
      <w:r w:rsidR="00397032" w:rsidRPr="00981405">
        <w:t>provisions</w:t>
      </w:r>
      <w:r w:rsidR="00190923" w:rsidRPr="00981405">
        <w:t xml:space="preserve"> </w:t>
      </w:r>
      <w:r w:rsidR="00397032" w:rsidRPr="00981405">
        <w:t>if:</w:t>
      </w:r>
      <w:r w:rsidR="00190923" w:rsidRPr="00981405">
        <w:t xml:space="preserve"> </w:t>
      </w:r>
      <w:r w:rsidR="00397032" w:rsidRPr="00981405">
        <w:t>(i)</w:t>
      </w:r>
      <w:r w:rsidR="00190923" w:rsidRPr="00981405">
        <w:t xml:space="preserve"> </w:t>
      </w:r>
      <w:r w:rsidR="00397032" w:rsidRPr="00981405">
        <w:t>the</w:t>
      </w:r>
      <w:r w:rsidR="00190923" w:rsidRPr="00981405">
        <w:t xml:space="preserve"> </w:t>
      </w:r>
      <w:r w:rsidR="00397032" w:rsidRPr="00981405">
        <w:t>decision</w:t>
      </w:r>
      <w:r w:rsidR="00190923" w:rsidRPr="00981405">
        <w:t xml:space="preserve"> </w:t>
      </w:r>
      <w:r w:rsidR="00397032" w:rsidRPr="00981405">
        <w:t>is,</w:t>
      </w:r>
      <w:r w:rsidR="00190923" w:rsidRPr="00981405">
        <w:t xml:space="preserve"> </w:t>
      </w:r>
      <w:r w:rsidR="00397032" w:rsidRPr="00981405">
        <w:t>in</w:t>
      </w:r>
      <w:r w:rsidR="00190923" w:rsidRPr="00981405">
        <w:t xml:space="preserve"> </w:t>
      </w:r>
      <w:r w:rsidR="00397032" w:rsidRPr="00981405">
        <w:t>a</w:t>
      </w:r>
      <w:r w:rsidR="00190923" w:rsidRPr="00981405">
        <w:t xml:space="preserve"> </w:t>
      </w:r>
      <w:r w:rsidR="00397032" w:rsidRPr="00981405">
        <w:t>temporal</w:t>
      </w:r>
      <w:r w:rsidR="00190923" w:rsidRPr="00981405">
        <w:t xml:space="preserve"> </w:t>
      </w:r>
      <w:r w:rsidR="00397032" w:rsidRPr="00981405">
        <w:t>sense,</w:t>
      </w:r>
      <w:r w:rsidR="00190923" w:rsidRPr="00981405">
        <w:t xml:space="preserve"> </w:t>
      </w:r>
      <w:r w:rsidR="00397032" w:rsidRPr="00981405">
        <w:t>adopted</w:t>
      </w:r>
      <w:r w:rsidR="00190923" w:rsidRPr="00981405">
        <w:t xml:space="preserve"> </w:t>
      </w:r>
      <w:r w:rsidR="00397032" w:rsidRPr="00981405">
        <w:t>subsequent</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relevant</w:t>
      </w:r>
      <w:r w:rsidR="00190923" w:rsidRPr="00981405">
        <w:t xml:space="preserve"> </w:t>
      </w:r>
      <w:r w:rsidR="00397032" w:rsidRPr="00981405">
        <w:t>covered</w:t>
      </w:r>
      <w:r w:rsidR="00190923" w:rsidRPr="00981405">
        <w:t xml:space="preserve"> </w:t>
      </w:r>
      <w:r w:rsidR="00397032" w:rsidRPr="00981405">
        <w:t>agreement;</w:t>
      </w:r>
      <w:r w:rsidR="00190923" w:rsidRPr="00981405">
        <w:t xml:space="preserve"> </w:t>
      </w:r>
      <w:r w:rsidR="00397032" w:rsidRPr="00981405">
        <w:t>and</w:t>
      </w:r>
      <w:r w:rsidR="00190923" w:rsidRPr="00981405">
        <w:t xml:space="preserve"> </w:t>
      </w:r>
      <w:r w:rsidR="00397032" w:rsidRPr="00981405">
        <w:t>(ii)</w:t>
      </w:r>
      <w:r w:rsidR="00190923" w:rsidRPr="00981405">
        <w:t xml:space="preserve"> </w:t>
      </w:r>
      <w:r w:rsidR="00397032" w:rsidRPr="00981405">
        <w:t>the</w:t>
      </w:r>
      <w:r w:rsidR="00190923" w:rsidRPr="00981405">
        <w:t xml:space="preserve"> </w:t>
      </w:r>
      <w:r w:rsidR="00397032" w:rsidRPr="00981405">
        <w:t>terms</w:t>
      </w:r>
      <w:r w:rsidR="00190923" w:rsidRPr="00981405">
        <w:t xml:space="preserve"> </w:t>
      </w:r>
      <w:r w:rsidR="00397032" w:rsidRPr="00981405">
        <w:t>and</w:t>
      </w:r>
      <w:r w:rsidR="00190923" w:rsidRPr="00981405">
        <w:t xml:space="preserve"> </w:t>
      </w:r>
      <w:r w:rsidR="00397032" w:rsidRPr="00981405">
        <w:t>content</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decision</w:t>
      </w:r>
      <w:r w:rsidR="00190923" w:rsidRPr="00981405">
        <w:t xml:space="preserve"> </w:t>
      </w:r>
      <w:r w:rsidR="00397032" w:rsidRPr="00981405">
        <w:t>express</w:t>
      </w:r>
      <w:r w:rsidR="00190923" w:rsidRPr="00981405">
        <w:t xml:space="preserve"> </w:t>
      </w:r>
      <w:r w:rsidR="00397032" w:rsidRPr="00981405">
        <w:t>an</w:t>
      </w:r>
      <w:r w:rsidR="00190923" w:rsidRPr="00981405">
        <w:t xml:space="preserve"> </w:t>
      </w:r>
      <w:r w:rsidR="00397032" w:rsidRPr="00D97463">
        <w:rPr>
          <w:i/>
          <w:iCs/>
        </w:rPr>
        <w:t>agreement</w:t>
      </w:r>
      <w:r w:rsidR="00190923" w:rsidRPr="00981405">
        <w:t xml:space="preserve"> </w:t>
      </w:r>
      <w:r w:rsidR="00397032" w:rsidRPr="00981405">
        <w:t>between</w:t>
      </w:r>
      <w:r w:rsidR="00190923" w:rsidRPr="00981405">
        <w:t xml:space="preserve"> </w:t>
      </w:r>
      <w:r w:rsidR="00397032" w:rsidRPr="00981405">
        <w:t>Members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or</w:t>
      </w:r>
      <w:r w:rsidR="00190923" w:rsidRPr="00981405">
        <w:t xml:space="preserve"> </w:t>
      </w:r>
      <w:r w:rsidR="00397032" w:rsidRPr="00981405">
        <w:t>application</w:t>
      </w:r>
      <w:r w:rsidR="00190923" w:rsidRPr="00981405">
        <w:t xml:space="preserve"> </w:t>
      </w:r>
      <w:r w:rsidR="00397032" w:rsidRPr="00981405">
        <w:t>of</w:t>
      </w:r>
      <w:r w:rsidR="00190923" w:rsidRPr="00981405">
        <w:t xml:space="preserve"> </w:t>
      </w:r>
      <w:r w:rsidR="00397032" w:rsidRPr="00981405">
        <w:t>a</w:t>
      </w:r>
      <w:r w:rsidR="00190923" w:rsidRPr="00981405">
        <w:t xml:space="preserve"> </w:t>
      </w:r>
      <w:r w:rsidR="00397032" w:rsidRPr="00981405">
        <w:t>provision</w:t>
      </w:r>
      <w:r w:rsidR="00190923" w:rsidRPr="00981405">
        <w:t xml:space="preserve"> </w:t>
      </w:r>
      <w:r w:rsidR="00397032" w:rsidRPr="00981405">
        <w:t>of</w:t>
      </w:r>
      <w:r w:rsidR="00190923" w:rsidRPr="00981405">
        <w:t xml:space="preserve"> </w:t>
      </w:r>
      <w:r w:rsidR="00397032" w:rsidRPr="00981405">
        <w:t>WTO</w:t>
      </w:r>
      <w:r w:rsidR="00190923" w:rsidRPr="00981405">
        <w:t xml:space="preserve"> </w:t>
      </w:r>
      <w:r w:rsidR="00397032" w:rsidRPr="00981405">
        <w:t>law.</w:t>
      </w:r>
      <w:bookmarkStart w:id="109" w:name="_Ref423449811"/>
      <w:r w:rsidRPr="00981405">
        <w:t>”</w:t>
      </w:r>
      <w:r w:rsidR="00397032" w:rsidRPr="00981405">
        <w:rPr>
          <w:rStyle w:val="FootnoteReference"/>
        </w:rPr>
        <w:footnoteReference w:id="327"/>
      </w:r>
      <w:bookmarkEnd w:id="109"/>
    </w:p>
    <w:p w:rsidR="00397032" w:rsidRPr="00981405" w:rsidRDefault="00397032" w:rsidP="00D97463">
      <w:pPr>
        <w:pStyle w:val="SingleTxt"/>
      </w:pPr>
      <w:r w:rsidRPr="00981405">
        <w:t>(19)</w:t>
      </w:r>
      <w:r w:rsidRPr="00981405">
        <w:tab/>
        <w:t>Regarding</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under</w:t>
      </w:r>
      <w:r w:rsidR="00190923" w:rsidRPr="00981405">
        <w:t xml:space="preserve"> </w:t>
      </w:r>
      <w:r w:rsidRPr="00981405">
        <w:t>which</w:t>
      </w:r>
      <w:r w:rsidR="00190923" w:rsidRPr="00981405">
        <w:t xml:space="preserve"> </w:t>
      </w:r>
      <w:r w:rsidRPr="00981405">
        <w:t>a</w:t>
      </w:r>
      <w:r w:rsidR="00190923" w:rsidRPr="00981405">
        <w:t xml:space="preserve"> </w:t>
      </w:r>
      <w:r w:rsidRPr="00981405">
        <w:t>decision</w:t>
      </w:r>
      <w:r w:rsidR="00190923" w:rsidRPr="00981405">
        <w:t xml:space="preserve"> </w:t>
      </w:r>
      <w:r w:rsidRPr="00981405">
        <w:t>of</w:t>
      </w:r>
      <w:r w:rsidR="00190923" w:rsidRPr="00981405">
        <w:t xml:space="preserve"> </w:t>
      </w:r>
      <w:r w:rsidRPr="00981405">
        <w:t>a</w:t>
      </w:r>
      <w:r w:rsidR="00190923" w:rsidRPr="00981405">
        <w:t xml:space="preserve"> </w:t>
      </w:r>
      <w:r w:rsidRPr="00981405">
        <w:t>plenary</w:t>
      </w:r>
      <w:r w:rsidR="00190923" w:rsidRPr="00981405">
        <w:t xml:space="preserve"> </w:t>
      </w:r>
      <w:r w:rsidRPr="00981405">
        <w:t>organ</w:t>
      </w:r>
      <w:r w:rsidR="00190923" w:rsidRPr="00981405">
        <w:t xml:space="preserve"> </w:t>
      </w:r>
      <w:r w:rsidRPr="00981405">
        <w:t>may</w:t>
      </w:r>
      <w:r w:rsidR="00190923" w:rsidRPr="00981405">
        <w:t xml:space="preserve"> </w:t>
      </w:r>
      <w:r w:rsidRPr="00981405">
        <w:t>be</w:t>
      </w:r>
      <w:r w:rsidR="00190923" w:rsidRPr="00981405">
        <w:t xml:space="preserve"> </w:t>
      </w:r>
      <w:r w:rsidRPr="00981405">
        <w:t>considered</w:t>
      </w:r>
      <w:r w:rsidR="00190923" w:rsidRPr="00981405">
        <w:t xml:space="preserve"> </w:t>
      </w:r>
      <w:r w:rsidRPr="00981405">
        <w:t>to</w:t>
      </w:r>
      <w:r w:rsidR="00190923" w:rsidRPr="00981405">
        <w:t xml:space="preserve"> </w:t>
      </w:r>
      <w:r w:rsidRPr="00981405">
        <w:t>be</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the</w:t>
      </w:r>
      <w:r w:rsidR="00190923" w:rsidRPr="00981405">
        <w:t xml:space="preserve"> </w:t>
      </w:r>
      <w:r w:rsidRPr="00981405">
        <w:t>WTO</w:t>
      </w:r>
      <w:r w:rsidR="00190923" w:rsidRPr="00981405">
        <w:t xml:space="preserve"> </w:t>
      </w:r>
      <w:r w:rsidRPr="00981405">
        <w:t>Appellate</w:t>
      </w:r>
      <w:r w:rsidR="00190923" w:rsidRPr="00981405">
        <w:t xml:space="preserve"> </w:t>
      </w:r>
      <w:r w:rsidRPr="00981405">
        <w:t>Body</w:t>
      </w:r>
      <w:r w:rsidR="00190923" w:rsidRPr="00981405">
        <w:t xml:space="preserve"> </w:t>
      </w:r>
      <w:r w:rsidRPr="00981405">
        <w:t>held:</w:t>
      </w:r>
    </w:p>
    <w:p w:rsidR="00397032" w:rsidRPr="00981405" w:rsidRDefault="00B92E2C" w:rsidP="00D97463">
      <w:pPr>
        <w:pStyle w:val="SingleTxt"/>
        <w:tabs>
          <w:tab w:val="clear" w:pos="2218"/>
          <w:tab w:val="left" w:pos="2160"/>
          <w:tab w:val="left" w:pos="2520"/>
        </w:tabs>
        <w:ind w:left="1742"/>
      </w:pPr>
      <w:r w:rsidRPr="00981405">
        <w:t>“</w:t>
      </w:r>
      <w:r w:rsidR="00397032" w:rsidRPr="00981405">
        <w:t>263.</w:t>
      </w:r>
      <w:r w:rsidR="00397032" w:rsidRPr="00981405">
        <w:tab/>
        <w:t>With</w:t>
      </w:r>
      <w:r w:rsidR="00190923" w:rsidRPr="00981405">
        <w:t xml:space="preserve"> </w:t>
      </w:r>
      <w:r w:rsidR="00397032" w:rsidRPr="00981405">
        <w:t>regard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first</w:t>
      </w:r>
      <w:r w:rsidR="00190923" w:rsidRPr="00981405">
        <w:t xml:space="preserve"> </w:t>
      </w:r>
      <w:r w:rsidR="00397032" w:rsidRPr="00981405">
        <w:t>element,</w:t>
      </w:r>
      <w:r w:rsidR="00190923" w:rsidRPr="00981405">
        <w:t xml:space="preserve"> </w:t>
      </w:r>
      <w:r w:rsidR="00397032" w:rsidRPr="00981405">
        <w:t>we</w:t>
      </w:r>
      <w:r w:rsidR="00190923" w:rsidRPr="00981405">
        <w:t xml:space="preserve"> </w:t>
      </w:r>
      <w:r w:rsidR="00397032" w:rsidRPr="00981405">
        <w:t>note</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Doha</w:t>
      </w:r>
      <w:r w:rsidR="00190923" w:rsidRPr="00981405">
        <w:t xml:space="preserve"> </w:t>
      </w:r>
      <w:r w:rsidR="00397032" w:rsidRPr="00981405">
        <w:t>Ministerial</w:t>
      </w:r>
      <w:r w:rsidR="00190923" w:rsidRPr="00981405">
        <w:t xml:space="preserve"> </w:t>
      </w:r>
      <w:r w:rsidR="00397032" w:rsidRPr="00981405">
        <w:t>Decision</w:t>
      </w:r>
      <w:r w:rsidR="00190923" w:rsidRPr="00981405">
        <w:t xml:space="preserve"> </w:t>
      </w:r>
      <w:r w:rsidR="00397032" w:rsidRPr="00981405">
        <w:t>was</w:t>
      </w:r>
      <w:r w:rsidR="00190923" w:rsidRPr="00981405">
        <w:t xml:space="preserve"> </w:t>
      </w:r>
      <w:r w:rsidR="00397032" w:rsidRPr="00981405">
        <w:t>adopted</w:t>
      </w:r>
      <w:r w:rsidR="00190923" w:rsidRPr="00981405">
        <w:t xml:space="preserve"> </w:t>
      </w:r>
      <w:r w:rsidR="00397032" w:rsidRPr="00981405">
        <w:t>by</w:t>
      </w:r>
      <w:r w:rsidR="00190923" w:rsidRPr="00981405">
        <w:t xml:space="preserve"> </w:t>
      </w:r>
      <w:r w:rsidR="00397032" w:rsidRPr="00981405">
        <w:t>consensus</w:t>
      </w:r>
      <w:r w:rsidR="00190923" w:rsidRPr="00981405">
        <w:t xml:space="preserve"> </w:t>
      </w:r>
      <w:r w:rsidR="00397032" w:rsidRPr="00981405">
        <w:t>on</w:t>
      </w:r>
      <w:r w:rsidR="00190923" w:rsidRPr="00981405">
        <w:t xml:space="preserve"> </w:t>
      </w:r>
      <w:r w:rsidR="00397032" w:rsidRPr="00981405">
        <w:t>14</w:t>
      </w:r>
      <w:r w:rsidR="00190923" w:rsidRPr="00981405">
        <w:t xml:space="preserve"> </w:t>
      </w:r>
      <w:r w:rsidR="00397032" w:rsidRPr="00981405">
        <w:t>November</w:t>
      </w:r>
      <w:r w:rsidR="00190923" w:rsidRPr="00981405">
        <w:t xml:space="preserve"> </w:t>
      </w:r>
      <w:r w:rsidR="00397032" w:rsidRPr="00981405">
        <w:t>2001</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occasion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Fourth</w:t>
      </w:r>
      <w:r w:rsidR="00190923" w:rsidRPr="00981405">
        <w:t xml:space="preserve"> </w:t>
      </w:r>
      <w:r w:rsidR="00397032" w:rsidRPr="00981405">
        <w:t>Ministerial</w:t>
      </w:r>
      <w:r w:rsidR="00190923" w:rsidRPr="00981405">
        <w:t xml:space="preserve"> </w:t>
      </w:r>
      <w:r w:rsidR="00397032" w:rsidRPr="00981405">
        <w:t>Conference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WTO.</w:t>
      </w:r>
    </w:p>
    <w:p w:rsidR="00397032" w:rsidRPr="00981405" w:rsidRDefault="00397032" w:rsidP="00D97463">
      <w:pPr>
        <w:pStyle w:val="SingleTxt"/>
        <w:ind w:left="1742"/>
      </w:pPr>
      <w:r w:rsidRPr="00981405">
        <w:t>[…]</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second</w:t>
      </w:r>
      <w:r w:rsidR="00190923" w:rsidRPr="00981405">
        <w:t xml:space="preserve"> </w:t>
      </w:r>
      <w:r w:rsidRPr="00981405">
        <w:t>element,</w:t>
      </w:r>
      <w:r w:rsidR="00190923" w:rsidRPr="00981405">
        <w:t xml:space="preserve"> </w:t>
      </w:r>
      <w:r w:rsidRPr="00981405">
        <w:t>the</w:t>
      </w:r>
      <w:r w:rsidR="00190923" w:rsidRPr="00981405">
        <w:t xml:space="preserve"> </w:t>
      </w:r>
      <w:r w:rsidRPr="00981405">
        <w:t>key</w:t>
      </w:r>
      <w:r w:rsidR="00190923" w:rsidRPr="00981405">
        <w:t xml:space="preserve"> </w:t>
      </w:r>
      <w:r w:rsidRPr="00981405">
        <w:t>question</w:t>
      </w:r>
      <w:r w:rsidR="00190923" w:rsidRPr="00981405">
        <w:t xml:space="preserve"> </w:t>
      </w:r>
      <w:r w:rsidRPr="00981405">
        <w:t>to</w:t>
      </w:r>
      <w:r w:rsidR="00190923" w:rsidRPr="00981405">
        <w:t xml:space="preserve"> </w:t>
      </w:r>
      <w:r w:rsidRPr="00981405">
        <w:t>be</w:t>
      </w:r>
      <w:r w:rsidR="00190923" w:rsidRPr="00981405">
        <w:t xml:space="preserve"> </w:t>
      </w:r>
      <w:r w:rsidRPr="00981405">
        <w:t>answered</w:t>
      </w:r>
      <w:r w:rsidR="00190923" w:rsidRPr="00981405">
        <w:t xml:space="preserve"> </w:t>
      </w:r>
      <w:r w:rsidRPr="00981405">
        <w:t>is</w:t>
      </w:r>
      <w:r w:rsidR="00190923" w:rsidRPr="00981405">
        <w:t xml:space="preserve"> </w:t>
      </w:r>
      <w:r w:rsidRPr="00981405">
        <w:t>whether</w:t>
      </w:r>
      <w:r w:rsidR="00190923" w:rsidRPr="00981405">
        <w:t xml:space="preserve"> </w:t>
      </w:r>
      <w:r w:rsidRPr="00981405">
        <w:t>paragraph</w:t>
      </w:r>
      <w:r w:rsidR="00190923" w:rsidRPr="00981405">
        <w:t xml:space="preserve"> </w:t>
      </w:r>
      <w:r w:rsidRPr="00981405">
        <w:t>5.2</w:t>
      </w:r>
      <w:r w:rsidR="00190923" w:rsidRPr="00981405">
        <w:t xml:space="preserve"> </w:t>
      </w:r>
      <w:r w:rsidRPr="00981405">
        <w:t>of</w:t>
      </w:r>
      <w:r w:rsidR="00190923" w:rsidRPr="00981405">
        <w:t xml:space="preserve"> </w:t>
      </w:r>
      <w:r w:rsidRPr="00981405">
        <w:t>the</w:t>
      </w:r>
      <w:r w:rsidR="00190923" w:rsidRPr="00981405">
        <w:t xml:space="preserve"> </w:t>
      </w:r>
      <w:r w:rsidRPr="00981405">
        <w:t>Doha</w:t>
      </w:r>
      <w:r w:rsidR="00190923" w:rsidRPr="00981405">
        <w:t xml:space="preserve"> </w:t>
      </w:r>
      <w:r w:rsidRPr="00981405">
        <w:t>Ministerial</w:t>
      </w:r>
      <w:r w:rsidR="00190923" w:rsidRPr="00981405">
        <w:t xml:space="preserve"> </w:t>
      </w:r>
      <w:r w:rsidRPr="00981405">
        <w:t>Decision</w:t>
      </w:r>
      <w:r w:rsidR="00190923" w:rsidRPr="00981405">
        <w:t xml:space="preserve"> </w:t>
      </w:r>
      <w:r w:rsidRPr="00981405">
        <w:t>expresses</w:t>
      </w:r>
      <w:r w:rsidR="00190923" w:rsidRPr="00981405">
        <w:t xml:space="preserve"> </w:t>
      </w:r>
      <w:r w:rsidRPr="00981405">
        <w:t>an</w:t>
      </w:r>
      <w:r w:rsidR="00190923" w:rsidRPr="00981405">
        <w:t xml:space="preserve"> </w:t>
      </w:r>
      <w:r w:rsidRPr="00D97463">
        <w:rPr>
          <w:i/>
          <w:iCs/>
        </w:rPr>
        <w:t>agreement</w:t>
      </w:r>
      <w:r w:rsidR="00190923" w:rsidRPr="00981405">
        <w:t xml:space="preserve"> </w:t>
      </w:r>
      <w:r w:rsidRPr="00981405">
        <w:t>between</w:t>
      </w:r>
      <w:r w:rsidR="00190923" w:rsidRPr="00981405">
        <w:t xml:space="preserve"> </w:t>
      </w:r>
      <w:r w:rsidRPr="00981405">
        <w:t>Members</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interpretation</w:t>
      </w:r>
      <w:r w:rsidR="00190923" w:rsidRPr="00981405">
        <w:t xml:space="preserve"> </w:t>
      </w:r>
      <w:r w:rsidRPr="00981405">
        <w:t>or</w:t>
      </w:r>
      <w:r w:rsidR="00190923" w:rsidRPr="00981405">
        <w:t xml:space="preserve"> </w:t>
      </w:r>
      <w:r w:rsidRPr="00D97463">
        <w:rPr>
          <w:i/>
          <w:iCs/>
        </w:rPr>
        <w:t>application</w:t>
      </w:r>
      <w:r w:rsidR="00190923" w:rsidRPr="00981405">
        <w:rPr>
          <w:i/>
          <w:iCs/>
        </w:rPr>
        <w:t xml:space="preserve"> </w:t>
      </w:r>
      <w:r w:rsidRPr="00981405">
        <w:t>of</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reasonable</w:t>
      </w:r>
      <w:r w:rsidR="00190923" w:rsidRPr="00981405">
        <w:t xml:space="preserve"> </w:t>
      </w:r>
      <w:r w:rsidRPr="00981405">
        <w:t>interval</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2.12</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TBT</w:t>
      </w:r>
      <w:r w:rsidR="00190923" w:rsidRPr="00981405">
        <w:rPr>
          <w:i/>
          <w:iCs/>
        </w:rPr>
        <w:t xml:space="preserve"> </w:t>
      </w:r>
      <w:r w:rsidRPr="00D97463">
        <w:rPr>
          <w:i/>
          <w:iCs/>
        </w:rPr>
        <w:t>Agreement</w:t>
      </w:r>
      <w:r w:rsidRPr="00981405">
        <w:t>.</w:t>
      </w:r>
    </w:p>
    <w:p w:rsidR="00397032" w:rsidRPr="00981405" w:rsidRDefault="00397032" w:rsidP="00D97463">
      <w:pPr>
        <w:pStyle w:val="SingleTxt"/>
        <w:ind w:left="1742"/>
      </w:pPr>
      <w:r w:rsidRPr="00981405">
        <w:t>264.</w:t>
      </w:r>
      <w:r w:rsidRPr="00981405">
        <w:tab/>
        <w:t>We</w:t>
      </w:r>
      <w:r w:rsidR="00190923" w:rsidRPr="00981405">
        <w:t xml:space="preserve"> </w:t>
      </w:r>
      <w:r w:rsidRPr="00981405">
        <w:t>recall</w:t>
      </w:r>
      <w:r w:rsidR="00190923" w:rsidRPr="00981405">
        <w:t xml:space="preserve"> </w:t>
      </w:r>
      <w:r w:rsidRPr="00981405">
        <w:t>that</w:t>
      </w:r>
      <w:r w:rsidR="00190923" w:rsidRPr="00981405">
        <w:t xml:space="preserve"> </w:t>
      </w:r>
      <w:r w:rsidRPr="00981405">
        <w:t>paragraph</w:t>
      </w:r>
      <w:r w:rsidR="00190923" w:rsidRPr="00981405">
        <w:t xml:space="preserve"> </w:t>
      </w:r>
      <w:r w:rsidRPr="00981405">
        <w:t>5.2</w:t>
      </w:r>
      <w:r w:rsidR="00190923" w:rsidRPr="00981405">
        <w:t xml:space="preserve"> </w:t>
      </w:r>
      <w:r w:rsidRPr="00981405">
        <w:t>of</w:t>
      </w:r>
      <w:r w:rsidR="00190923" w:rsidRPr="00981405">
        <w:t xml:space="preserve"> </w:t>
      </w:r>
      <w:r w:rsidRPr="00981405">
        <w:t>the</w:t>
      </w:r>
      <w:r w:rsidR="00190923" w:rsidRPr="00981405">
        <w:t xml:space="preserve"> </w:t>
      </w:r>
      <w:r w:rsidRPr="00981405">
        <w:t>Doha</w:t>
      </w:r>
      <w:r w:rsidR="00190923" w:rsidRPr="00981405">
        <w:t xml:space="preserve"> </w:t>
      </w:r>
      <w:r w:rsidRPr="00981405">
        <w:t>Ministerial</w:t>
      </w:r>
      <w:r w:rsidR="00190923" w:rsidRPr="00981405">
        <w:t xml:space="preserve"> </w:t>
      </w:r>
      <w:r w:rsidRPr="00981405">
        <w:t>Decision</w:t>
      </w:r>
      <w:r w:rsidR="00190923" w:rsidRPr="00981405">
        <w:t xml:space="preserve"> </w:t>
      </w:r>
      <w:r w:rsidRPr="00981405">
        <w:t>provides:</w:t>
      </w:r>
    </w:p>
    <w:p w:rsidR="00397032" w:rsidRPr="00981405" w:rsidRDefault="00397032" w:rsidP="00D97463">
      <w:pPr>
        <w:pStyle w:val="SingleTxt"/>
        <w:ind w:left="1742"/>
      </w:pP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specified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12</w:t>
      </w:r>
      <w:r w:rsidR="00190923" w:rsidRPr="00981405">
        <w:t xml:space="preserve"> </w:t>
      </w:r>
      <w:r w:rsidRPr="00981405">
        <w:t>of</w:t>
      </w:r>
      <w:r w:rsidR="00190923" w:rsidRPr="00981405">
        <w:t xml:space="preserve"> </w:t>
      </w:r>
      <w:r w:rsidRPr="00981405">
        <w:t>Article</w:t>
      </w:r>
      <w:r w:rsidR="00190923" w:rsidRPr="00981405">
        <w:t xml:space="preserve"> </w:t>
      </w:r>
      <w:r w:rsidRPr="00981405">
        <w:t>2</w:t>
      </w:r>
      <w:r w:rsidR="00190923" w:rsidRPr="00981405">
        <w:t xml:space="preserve"> </w:t>
      </w:r>
      <w:r w:rsidRPr="00981405">
        <w:t>of</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on</w:t>
      </w:r>
      <w:r w:rsidR="00190923" w:rsidRPr="00981405">
        <w:t xml:space="preserve"> </w:t>
      </w:r>
      <w:r w:rsidRPr="00981405">
        <w:t>Technical</w:t>
      </w:r>
      <w:r w:rsidR="00190923" w:rsidRPr="00981405">
        <w:t xml:space="preserve"> </w:t>
      </w:r>
      <w:r w:rsidRPr="00981405">
        <w:t>Barriers</w:t>
      </w:r>
      <w:r w:rsidR="00190923" w:rsidRPr="00981405">
        <w:t xml:space="preserve"> </w:t>
      </w:r>
      <w:r w:rsidRPr="00981405">
        <w:t>to</w:t>
      </w:r>
      <w:r w:rsidR="00190923" w:rsidRPr="00981405">
        <w:t xml:space="preserve"> </w:t>
      </w:r>
      <w:r w:rsidRPr="00981405">
        <w:t>Trade,</w:t>
      </w:r>
      <w:r w:rsidR="00190923" w:rsidRPr="00981405">
        <w:t xml:space="preserve"> </w:t>
      </w:r>
      <w:r w:rsidRPr="00981405">
        <w:t>the</w:t>
      </w:r>
      <w:r w:rsidR="00190923" w:rsidRPr="00981405">
        <w:t xml:space="preserve"> </w:t>
      </w:r>
      <w:r w:rsidRPr="00981405">
        <w:t>phrase</w:t>
      </w:r>
      <w:r w:rsidR="00190923" w:rsidRPr="00981405">
        <w:t xml:space="preserve"> </w:t>
      </w:r>
      <w:r w:rsidR="00B92E2C" w:rsidRPr="00981405">
        <w:t>‘</w:t>
      </w:r>
      <w:r w:rsidRPr="00981405">
        <w:t>reasonable</w:t>
      </w:r>
      <w:r w:rsidR="00190923" w:rsidRPr="00981405">
        <w:t xml:space="preserve"> </w:t>
      </w:r>
      <w:r w:rsidRPr="00981405">
        <w:t>interval</w:t>
      </w:r>
      <w:r w:rsidR="00B92E2C" w:rsidRPr="00981405">
        <w:t>’</w:t>
      </w:r>
      <w:r w:rsidR="00190923" w:rsidRPr="00981405">
        <w:t xml:space="preserve"> </w:t>
      </w:r>
      <w:r w:rsidRPr="00981405">
        <w:t>shall</w:t>
      </w:r>
      <w:r w:rsidR="00190923" w:rsidRPr="00981405">
        <w:t xml:space="preserve"> </w:t>
      </w:r>
      <w:r w:rsidRPr="00981405">
        <w:t>be</w:t>
      </w:r>
      <w:r w:rsidR="00190923" w:rsidRPr="00981405">
        <w:t xml:space="preserve"> </w:t>
      </w:r>
      <w:r w:rsidRPr="00981405">
        <w:t>understood</w:t>
      </w:r>
      <w:r w:rsidR="00190923" w:rsidRPr="00981405">
        <w:t xml:space="preserve"> </w:t>
      </w:r>
      <w:r w:rsidRPr="00981405">
        <w:t>to</w:t>
      </w:r>
      <w:r w:rsidR="00190923" w:rsidRPr="00981405">
        <w:t xml:space="preserve"> </w:t>
      </w:r>
      <w:r w:rsidRPr="00981405">
        <w:t>mean</w:t>
      </w:r>
      <w:r w:rsidR="00190923" w:rsidRPr="00981405">
        <w:t xml:space="preserve"> </w:t>
      </w:r>
      <w:r w:rsidRPr="00981405">
        <w:t>normally</w:t>
      </w:r>
      <w:r w:rsidR="00190923" w:rsidRPr="00981405">
        <w:t xml:space="preserve"> </w:t>
      </w:r>
      <w:r w:rsidRPr="00981405">
        <w:t>a</w:t>
      </w:r>
      <w:r w:rsidR="00190923" w:rsidRPr="00981405">
        <w:t xml:space="preserve"> </w:t>
      </w:r>
      <w:r w:rsidRPr="00981405">
        <w:t>period</w:t>
      </w:r>
      <w:r w:rsidR="00190923" w:rsidRPr="00981405">
        <w:t xml:space="preserve"> </w:t>
      </w:r>
      <w:r w:rsidRPr="00981405">
        <w:t>of</w:t>
      </w:r>
      <w:r w:rsidR="00190923" w:rsidRPr="00981405">
        <w:t xml:space="preserve"> </w:t>
      </w:r>
      <w:r w:rsidRPr="00981405">
        <w:t>not</w:t>
      </w:r>
      <w:r w:rsidR="00190923" w:rsidRPr="00981405">
        <w:t xml:space="preserve"> </w:t>
      </w:r>
      <w:r w:rsidRPr="00981405">
        <w:t>less</w:t>
      </w:r>
      <w:r w:rsidR="00190923" w:rsidRPr="00981405">
        <w:t xml:space="preserve"> </w:t>
      </w:r>
      <w:r w:rsidRPr="00981405">
        <w:t>than</w:t>
      </w:r>
      <w:r w:rsidR="00190923" w:rsidRPr="00981405">
        <w:t xml:space="preserve"> </w:t>
      </w:r>
      <w:r w:rsidRPr="00981405">
        <w:t>6</w:t>
      </w:r>
      <w:r w:rsidR="00190923" w:rsidRPr="00981405">
        <w:t xml:space="preserve"> </w:t>
      </w:r>
      <w:r w:rsidRPr="00981405">
        <w:t>months,</w:t>
      </w:r>
      <w:r w:rsidR="00190923" w:rsidRPr="00981405">
        <w:t xml:space="preserve"> </w:t>
      </w:r>
      <w:r w:rsidRPr="00981405">
        <w:t>except</w:t>
      </w:r>
      <w:r w:rsidR="00190923" w:rsidRPr="00981405">
        <w:t xml:space="preserve"> </w:t>
      </w:r>
      <w:r w:rsidRPr="00981405">
        <w:t>when</w:t>
      </w:r>
      <w:r w:rsidR="00190923" w:rsidRPr="00981405">
        <w:t xml:space="preserve"> </w:t>
      </w:r>
      <w:r w:rsidRPr="00981405">
        <w:t>this</w:t>
      </w:r>
      <w:r w:rsidR="00190923" w:rsidRPr="00981405">
        <w:t xml:space="preserve"> </w:t>
      </w:r>
      <w:r w:rsidRPr="00981405">
        <w:t>would</w:t>
      </w:r>
      <w:r w:rsidR="00190923" w:rsidRPr="00981405">
        <w:t xml:space="preserve"> </w:t>
      </w:r>
      <w:r w:rsidRPr="00981405">
        <w:t>be</w:t>
      </w:r>
      <w:r w:rsidR="00190923" w:rsidRPr="00981405">
        <w:t xml:space="preserve"> </w:t>
      </w:r>
      <w:r w:rsidRPr="00981405">
        <w:t>ineffective</w:t>
      </w:r>
      <w:r w:rsidR="00190923" w:rsidRPr="00981405">
        <w:t xml:space="preserve"> </w:t>
      </w:r>
      <w:r w:rsidRPr="00981405">
        <w:t>in</w:t>
      </w:r>
      <w:r w:rsidR="00190923" w:rsidRPr="00981405">
        <w:t xml:space="preserve"> </w:t>
      </w:r>
      <w:r w:rsidRPr="00981405">
        <w:t>fulfilling</w:t>
      </w:r>
      <w:r w:rsidR="00190923" w:rsidRPr="00981405">
        <w:t xml:space="preserve"> </w:t>
      </w:r>
      <w:r w:rsidRPr="00981405">
        <w:t>the</w:t>
      </w:r>
      <w:r w:rsidR="00190923" w:rsidRPr="00981405">
        <w:t xml:space="preserve"> </w:t>
      </w:r>
      <w:r w:rsidRPr="00981405">
        <w:t>legitimate</w:t>
      </w:r>
      <w:r w:rsidR="00190923" w:rsidRPr="00981405">
        <w:t xml:space="preserve"> </w:t>
      </w:r>
      <w:r w:rsidRPr="00981405">
        <w:t>objectives</w:t>
      </w:r>
      <w:r w:rsidR="00190923" w:rsidRPr="00981405">
        <w:t xml:space="preserve"> </w:t>
      </w:r>
      <w:r w:rsidRPr="00981405">
        <w:t>pursued.</w:t>
      </w:r>
    </w:p>
    <w:p w:rsidR="00397032" w:rsidRPr="00981405" w:rsidRDefault="00397032" w:rsidP="00D97463">
      <w:pPr>
        <w:pStyle w:val="SingleTxt"/>
        <w:ind w:left="1742"/>
      </w:pPr>
      <w:r w:rsidRPr="00981405">
        <w:t>265.</w:t>
      </w:r>
      <w:r w:rsidRPr="00981405">
        <w:tab/>
        <w:t>In</w:t>
      </w:r>
      <w:r w:rsidR="00190923" w:rsidRPr="00981405">
        <w:t xml:space="preserve"> </w:t>
      </w:r>
      <w:r w:rsidRPr="00981405">
        <w:t>addressing</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paragraph</w:t>
      </w:r>
      <w:r w:rsidR="00190923" w:rsidRPr="00981405">
        <w:t xml:space="preserve"> </w:t>
      </w:r>
      <w:r w:rsidRPr="00981405">
        <w:t>5.2</w:t>
      </w:r>
      <w:r w:rsidR="00190923" w:rsidRPr="00981405">
        <w:t xml:space="preserve"> </w:t>
      </w:r>
      <w:r w:rsidRPr="00981405">
        <w:t>of</w:t>
      </w:r>
      <w:r w:rsidR="00190923" w:rsidRPr="00981405">
        <w:t xml:space="preserve"> </w:t>
      </w:r>
      <w:r w:rsidRPr="00981405">
        <w:t>the</w:t>
      </w:r>
      <w:r w:rsidR="00190923" w:rsidRPr="00981405">
        <w:t xml:space="preserve"> </w:t>
      </w:r>
      <w:r w:rsidRPr="00981405">
        <w:t>Doha</w:t>
      </w:r>
      <w:r w:rsidR="00190923" w:rsidRPr="00981405">
        <w:t xml:space="preserve"> </w:t>
      </w:r>
      <w:r w:rsidRPr="00981405">
        <w:t>Ministerial</w:t>
      </w:r>
      <w:r w:rsidR="00190923" w:rsidRPr="00981405">
        <w:t xml:space="preserve"> </w:t>
      </w:r>
      <w:r w:rsidRPr="00981405">
        <w:t>Decision</w:t>
      </w:r>
      <w:r w:rsidR="00190923" w:rsidRPr="00981405">
        <w:t xml:space="preserve"> </w:t>
      </w:r>
      <w:r w:rsidRPr="00981405">
        <w:t>expresses</w:t>
      </w:r>
      <w:r w:rsidR="00190923" w:rsidRPr="00981405">
        <w:t xml:space="preserve"> </w:t>
      </w:r>
      <w:r w:rsidRPr="00981405">
        <w:t>an</w:t>
      </w:r>
      <w:r w:rsidR="00190923" w:rsidRPr="00981405">
        <w:t xml:space="preserve"> </w:t>
      </w:r>
      <w:r w:rsidRPr="00981405">
        <w:t>agreement</w:t>
      </w:r>
      <w:r w:rsidR="00190923" w:rsidRPr="00981405">
        <w:t xml:space="preserve"> </w:t>
      </w:r>
      <w:r w:rsidRPr="00981405">
        <w:t>between</w:t>
      </w:r>
      <w:r w:rsidR="00190923" w:rsidRPr="00981405">
        <w:t xml:space="preserve"> </w:t>
      </w:r>
      <w:r w:rsidRPr="00981405">
        <w:t>Members</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or</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reasonable</w:t>
      </w:r>
      <w:r w:rsidR="00190923" w:rsidRPr="00981405">
        <w:t xml:space="preserve"> </w:t>
      </w:r>
      <w:r w:rsidRPr="00981405">
        <w:t>interval</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2.12</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TBT</w:t>
      </w:r>
      <w:r w:rsidR="00190923" w:rsidRPr="00981405">
        <w:rPr>
          <w:i/>
          <w:iCs/>
        </w:rPr>
        <w:t xml:space="preserve"> </w:t>
      </w:r>
      <w:r w:rsidRPr="00D97463">
        <w:rPr>
          <w:i/>
          <w:iCs/>
        </w:rPr>
        <w:t>Agreement</w:t>
      </w:r>
      <w:r w:rsidRPr="00981405">
        <w:t>,</w:t>
      </w:r>
      <w:r w:rsidR="00190923" w:rsidRPr="00981405">
        <w:t xml:space="preserve"> </w:t>
      </w:r>
      <w:r w:rsidRPr="00981405">
        <w:t>we</w:t>
      </w:r>
      <w:r w:rsidR="00190923" w:rsidRPr="00981405">
        <w:t xml:space="preserve"> </w:t>
      </w:r>
      <w:r w:rsidRPr="00981405">
        <w:t>find</w:t>
      </w:r>
      <w:r w:rsidR="00190923" w:rsidRPr="00981405">
        <w:t xml:space="preserve"> </w:t>
      </w:r>
      <w:r w:rsidRPr="00981405">
        <w:t>useful</w:t>
      </w:r>
      <w:r w:rsidR="00190923" w:rsidRPr="00981405">
        <w:t xml:space="preserve"> </w:t>
      </w:r>
      <w:r w:rsidRPr="00981405">
        <w:t>guidance</w:t>
      </w:r>
      <w:r w:rsidR="00190923" w:rsidRPr="00981405">
        <w:t xml:space="preserve"> </w:t>
      </w:r>
      <w:r w:rsidRPr="00981405">
        <w:t>in</w:t>
      </w:r>
      <w:r w:rsidR="00190923" w:rsidRPr="00981405">
        <w:t xml:space="preserve"> </w:t>
      </w:r>
      <w:r w:rsidRPr="00981405">
        <w:t>the</w:t>
      </w:r>
      <w:r w:rsidR="00190923" w:rsidRPr="00981405">
        <w:t xml:space="preserve"> </w:t>
      </w:r>
      <w:r w:rsidRPr="00981405">
        <w:t>Appellate</w:t>
      </w:r>
      <w:r w:rsidR="00190923" w:rsidRPr="00981405">
        <w:t xml:space="preserve"> </w:t>
      </w:r>
      <w:r w:rsidRPr="00981405">
        <w:t>Body</w:t>
      </w:r>
      <w:r w:rsidR="00190923" w:rsidRPr="00981405">
        <w:t xml:space="preserve"> </w:t>
      </w:r>
      <w:r w:rsidRPr="00981405">
        <w:t>reports</w:t>
      </w:r>
      <w:r w:rsidR="00190923" w:rsidRPr="00981405">
        <w:t xml:space="preserve"> </w:t>
      </w:r>
      <w:r w:rsidRPr="00981405">
        <w:t>in</w:t>
      </w:r>
      <w:r w:rsidR="00190923" w:rsidRPr="00981405">
        <w:t xml:space="preserve"> </w:t>
      </w:r>
      <w:r w:rsidRPr="00D97463">
        <w:rPr>
          <w:i/>
          <w:iCs/>
        </w:rPr>
        <w:t>EC</w:t>
      </w:r>
      <w:r w:rsidR="00190923" w:rsidRPr="00D97463">
        <w:rPr>
          <w:i/>
          <w:iCs/>
        </w:rPr>
        <w:t xml:space="preserve"> </w:t>
      </w:r>
      <w:r w:rsidR="00B92E2C" w:rsidRPr="00D97463">
        <w:rPr>
          <w:i/>
          <w:iCs/>
        </w:rPr>
        <w:t>—</w:t>
      </w:r>
      <w:r w:rsidR="00190923" w:rsidRPr="00D97463">
        <w:rPr>
          <w:i/>
          <w:iCs/>
        </w:rPr>
        <w:t xml:space="preserve"> </w:t>
      </w:r>
      <w:r w:rsidRPr="00D97463">
        <w:rPr>
          <w:i/>
          <w:iCs/>
        </w:rPr>
        <w:t>Bananas</w:t>
      </w:r>
      <w:r w:rsidR="00190923" w:rsidRPr="00D97463">
        <w:rPr>
          <w:i/>
          <w:iCs/>
        </w:rPr>
        <w:t xml:space="preserve"> </w:t>
      </w:r>
      <w:r w:rsidRPr="00D97463">
        <w:rPr>
          <w:i/>
          <w:iCs/>
        </w:rPr>
        <w:t>III</w:t>
      </w:r>
      <w:r w:rsidR="00190923" w:rsidRPr="00981405">
        <w:t xml:space="preserve"> </w:t>
      </w:r>
      <w:r w:rsidRPr="00D97463">
        <w:rPr>
          <w:i/>
          <w:iCs/>
        </w:rPr>
        <w:t>(Article</w:t>
      </w:r>
      <w:r w:rsidR="00190923" w:rsidRPr="00981405">
        <w:rPr>
          <w:i/>
          <w:iCs/>
        </w:rPr>
        <w:t xml:space="preserve"> </w:t>
      </w:r>
      <w:r w:rsidRPr="00D97463">
        <w:rPr>
          <w:i/>
          <w:iCs/>
        </w:rPr>
        <w:t>21.5</w:t>
      </w:r>
      <w:r w:rsidR="00190923" w:rsidRPr="00981405">
        <w:rPr>
          <w:i/>
          <w:iCs/>
        </w:rPr>
        <w:t xml:space="preserve"> </w:t>
      </w:r>
      <w:r w:rsidR="00B92E2C" w:rsidRPr="00981405">
        <w:rPr>
          <w:i/>
          <w:iCs/>
        </w:rPr>
        <w:t>—</w:t>
      </w:r>
      <w:r w:rsidR="00190923" w:rsidRPr="00981405">
        <w:rPr>
          <w:i/>
          <w:iCs/>
        </w:rPr>
        <w:t xml:space="preserve"> </w:t>
      </w:r>
      <w:r w:rsidRPr="00D97463">
        <w:rPr>
          <w:i/>
          <w:iCs/>
        </w:rPr>
        <w:t>Ecuador</w:t>
      </w:r>
      <w:r w:rsidR="00190923" w:rsidRPr="00981405">
        <w:rPr>
          <w:i/>
          <w:iCs/>
        </w:rPr>
        <w:t xml:space="preserve"> </w:t>
      </w:r>
      <w:r w:rsidRPr="00D97463">
        <w:rPr>
          <w:i/>
          <w:iCs/>
        </w:rPr>
        <w:t>II)/EC</w:t>
      </w:r>
      <w:r w:rsidR="00190923" w:rsidRPr="00981405">
        <w:rPr>
          <w:i/>
          <w:iCs/>
        </w:rPr>
        <w:t xml:space="preserve"> </w:t>
      </w:r>
      <w:r w:rsidR="00B92E2C" w:rsidRPr="00981405">
        <w:rPr>
          <w:i/>
          <w:iCs/>
        </w:rPr>
        <w:t>—</w:t>
      </w:r>
      <w:r w:rsidR="00190923" w:rsidRPr="00981405">
        <w:rPr>
          <w:i/>
          <w:iCs/>
        </w:rPr>
        <w:t xml:space="preserve"> </w:t>
      </w:r>
      <w:r w:rsidRPr="00D97463">
        <w:rPr>
          <w:i/>
          <w:iCs/>
        </w:rPr>
        <w:t>Bananas</w:t>
      </w:r>
      <w:r w:rsidR="00190923" w:rsidRPr="00981405">
        <w:rPr>
          <w:i/>
          <w:iCs/>
        </w:rPr>
        <w:t xml:space="preserve"> </w:t>
      </w:r>
      <w:r w:rsidRPr="00D97463">
        <w:rPr>
          <w:i/>
          <w:iCs/>
        </w:rPr>
        <w:t>III</w:t>
      </w:r>
      <w:r w:rsidR="00190923" w:rsidRPr="00981405">
        <w:rPr>
          <w:i/>
          <w:iCs/>
        </w:rPr>
        <w:t xml:space="preserve"> </w:t>
      </w:r>
      <w:r w:rsidRPr="00D97463">
        <w:rPr>
          <w:i/>
          <w:iCs/>
        </w:rPr>
        <w:t>(Article</w:t>
      </w:r>
      <w:r w:rsidR="00190923" w:rsidRPr="00981405">
        <w:rPr>
          <w:i/>
          <w:iCs/>
        </w:rPr>
        <w:t xml:space="preserve"> </w:t>
      </w:r>
      <w:r w:rsidRPr="00D97463">
        <w:rPr>
          <w:i/>
          <w:iCs/>
        </w:rPr>
        <w:t>21.5</w:t>
      </w:r>
      <w:r w:rsidR="00190923" w:rsidRPr="00981405">
        <w:rPr>
          <w:i/>
          <w:iCs/>
        </w:rPr>
        <w:t xml:space="preserve"> </w:t>
      </w:r>
      <w:r w:rsidR="00B92E2C" w:rsidRPr="00981405">
        <w:rPr>
          <w:i/>
          <w:iCs/>
        </w:rPr>
        <w:t>—</w:t>
      </w:r>
      <w:r w:rsidR="00190923" w:rsidRPr="00981405">
        <w:rPr>
          <w:i/>
          <w:iCs/>
        </w:rPr>
        <w:t xml:space="preserve"> </w:t>
      </w:r>
      <w:r w:rsidRPr="00D97463">
        <w:rPr>
          <w:i/>
          <w:iCs/>
        </w:rPr>
        <w:t>US)</w:t>
      </w:r>
      <w:r w:rsidRPr="00981405">
        <w:t>.</w:t>
      </w:r>
      <w:r w:rsidR="00190923" w:rsidRPr="00981405">
        <w:t xml:space="preserve"> </w:t>
      </w:r>
      <w:r w:rsidRPr="00981405">
        <w:t>The</w:t>
      </w:r>
      <w:r w:rsidR="00190923" w:rsidRPr="00981405">
        <w:t xml:space="preserve"> </w:t>
      </w:r>
      <w:r w:rsidRPr="00981405">
        <w:t>Appellate</w:t>
      </w:r>
      <w:r w:rsidR="00190923" w:rsidRPr="00981405">
        <w:t xml:space="preserve"> </w:t>
      </w:r>
      <w:r w:rsidRPr="00981405">
        <w:t>Body</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(the</w:t>
      </w:r>
      <w:r w:rsidR="00190923" w:rsidRPr="00981405">
        <w:t xml:space="preserve"> </w:t>
      </w:r>
      <w:r w:rsidR="00B92E2C" w:rsidRPr="00981405">
        <w:t>‘</w:t>
      </w:r>
      <w:r w:rsidRPr="00981405">
        <w:t>ILC</w:t>
      </w:r>
      <w:r w:rsidR="00B92E2C" w:rsidRPr="00981405">
        <w:t>’</w:t>
      </w:r>
      <w:r w:rsidRPr="00981405">
        <w:t>)</w:t>
      </w:r>
      <w:r w:rsidR="00190923" w:rsidRPr="00981405">
        <w:t xml:space="preserve"> </w:t>
      </w:r>
      <w:r w:rsidRPr="00981405">
        <w:t>describes</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within</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Article</w:t>
      </w:r>
      <w:r w:rsidR="00190923" w:rsidRPr="00981405">
        <w:t xml:space="preserve"> </w:t>
      </w:r>
      <w:r w:rsidRPr="00981405">
        <w:t>31(3)(a)</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Vienna</w:t>
      </w:r>
      <w:r w:rsidR="00190923" w:rsidRPr="00981405">
        <w:rPr>
          <w:i/>
          <w:iCs/>
        </w:rPr>
        <w:t xml:space="preserve"> </w:t>
      </w:r>
      <w:r w:rsidRPr="00D97463">
        <w:rPr>
          <w:i/>
          <w:iCs/>
        </w:rPr>
        <w:t>Convention</w:t>
      </w:r>
      <w:r w:rsidR="00190923" w:rsidRPr="00981405">
        <w:rPr>
          <w:i/>
          <w:iCs/>
        </w:rPr>
        <w:t xml:space="preserve"> </w:t>
      </w:r>
      <w:r w:rsidRPr="00981405">
        <w:t>as</w:t>
      </w:r>
      <w:r w:rsidR="00190923" w:rsidRPr="00981405">
        <w:t xml:space="preserve"> </w:t>
      </w:r>
      <w:r w:rsidR="00B92E2C" w:rsidRPr="00981405">
        <w:t>‘</w:t>
      </w:r>
      <w:r w:rsidRPr="00981405">
        <w:t>a</w:t>
      </w:r>
      <w:r w:rsidR="00190923" w:rsidRPr="00981405">
        <w:t xml:space="preserve"> </w:t>
      </w:r>
      <w:r w:rsidRPr="00981405">
        <w:t>further</w:t>
      </w:r>
      <w:r w:rsidR="00190923" w:rsidRPr="00981405">
        <w:t xml:space="preserve"> </w:t>
      </w:r>
      <w:r w:rsidRPr="00D97463">
        <w:rPr>
          <w:i/>
          <w:iCs/>
        </w:rPr>
        <w:t>authentic</w:t>
      </w:r>
      <w:r w:rsidR="00190923" w:rsidRPr="00981405">
        <w:rPr>
          <w:i/>
          <w:iCs/>
        </w:rPr>
        <w:t xml:space="preserve"> </w:t>
      </w:r>
      <w:r w:rsidRPr="00D97463">
        <w:rPr>
          <w:i/>
          <w:iCs/>
        </w:rPr>
        <w:t>element</w:t>
      </w:r>
      <w:r w:rsidR="00190923" w:rsidRPr="00981405">
        <w:rPr>
          <w:i/>
          <w:iCs/>
        </w:rPr>
        <w:t xml:space="preserve"> </w:t>
      </w:r>
      <w:r w:rsidRPr="00D97463">
        <w:rPr>
          <w:i/>
          <w:iCs/>
        </w:rPr>
        <w:t>of</w:t>
      </w:r>
      <w:r w:rsidR="00190923" w:rsidRPr="00981405">
        <w:rPr>
          <w:i/>
          <w:iCs/>
        </w:rPr>
        <w:t xml:space="preserve"> </w:t>
      </w:r>
      <w:r w:rsidRPr="00D97463">
        <w:rPr>
          <w:i/>
          <w:iCs/>
        </w:rPr>
        <w:t>interpretation</w:t>
      </w:r>
      <w:r w:rsidR="00190923" w:rsidRPr="00981405">
        <w:rPr>
          <w:i/>
          <w:iCs/>
        </w:rPr>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together</w:t>
      </w:r>
      <w:r w:rsidR="00190923" w:rsidRPr="00981405">
        <w:t xml:space="preserve"> </w:t>
      </w:r>
      <w:r w:rsidRPr="00981405">
        <w:t>with</w:t>
      </w:r>
      <w:r w:rsidR="00190923" w:rsidRPr="00981405">
        <w:t xml:space="preserve"> </w:t>
      </w:r>
      <w:r w:rsidRPr="00981405">
        <w:t>the</w:t>
      </w:r>
      <w:r w:rsidR="00190923" w:rsidRPr="00981405">
        <w:t xml:space="preserve"> </w:t>
      </w:r>
      <w:r w:rsidRPr="00981405">
        <w:t>context</w:t>
      </w:r>
      <w:r w:rsidR="00B92E2C" w:rsidRPr="00981405">
        <w:t>’</w:t>
      </w:r>
      <w:r w:rsidRPr="00981405">
        <w:t>.</w:t>
      </w:r>
      <w:r w:rsidR="00190923" w:rsidRPr="00981405">
        <w:t xml:space="preserve"> </w:t>
      </w:r>
      <w:r w:rsidRPr="00981405">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Appellate</w:t>
      </w:r>
      <w:r w:rsidR="00190923" w:rsidRPr="00981405">
        <w:t xml:space="preserve"> </w:t>
      </w:r>
      <w:r w:rsidRPr="00981405">
        <w:t>Body,</w:t>
      </w:r>
      <w:r w:rsidR="00190923" w:rsidRPr="00981405">
        <w:t xml:space="preserve"> </w:t>
      </w:r>
      <w:r w:rsidR="00B92E2C" w:rsidRPr="00981405">
        <w:t>‘</w:t>
      </w:r>
      <w:r w:rsidRPr="00981405">
        <w:t>by</w:t>
      </w:r>
      <w:r w:rsidR="00190923" w:rsidRPr="00981405">
        <w:t xml:space="preserve"> </w:t>
      </w:r>
      <w:r w:rsidRPr="00981405">
        <w:t>referring</w:t>
      </w:r>
      <w:r w:rsidR="00190923" w:rsidRPr="00981405">
        <w:t xml:space="preserve"> </w:t>
      </w:r>
      <w:r w:rsidRPr="00981405">
        <w:t>to</w:t>
      </w:r>
      <w:r w:rsidR="00190923" w:rsidRPr="00981405">
        <w:t xml:space="preserve"> </w:t>
      </w:r>
      <w:r w:rsidR="00B92E2C" w:rsidRPr="00981405">
        <w:t>‘</w:t>
      </w:r>
      <w:r w:rsidRPr="00981405">
        <w:t>authentic</w:t>
      </w:r>
      <w:r w:rsidR="00190923" w:rsidRPr="00981405">
        <w:t xml:space="preserve"> </w:t>
      </w:r>
      <w:r w:rsidRPr="00981405">
        <w:t>interpretation</w:t>
      </w:r>
      <w:r w:rsidR="00B92E2C" w:rsidRPr="00981405">
        <w:t>’</w:t>
      </w:r>
      <w:r w:rsidRPr="00981405">
        <w:t>,</w:t>
      </w:r>
      <w:r w:rsidR="00190923" w:rsidRPr="00981405">
        <w:t xml:space="preserve"> </w:t>
      </w:r>
      <w:r w:rsidRPr="00981405">
        <w:t>the</w:t>
      </w:r>
      <w:r w:rsidR="00190923" w:rsidRPr="00981405">
        <w:t xml:space="preserve"> </w:t>
      </w:r>
      <w:r w:rsidRPr="00981405">
        <w:t>ILC</w:t>
      </w:r>
      <w:r w:rsidR="00190923" w:rsidRPr="00981405">
        <w:t xml:space="preserve"> </w:t>
      </w:r>
      <w:r w:rsidRPr="00981405">
        <w:t>reads</w:t>
      </w:r>
      <w:r w:rsidR="00190923" w:rsidRPr="00981405">
        <w:t xml:space="preserve"> </w:t>
      </w:r>
      <w:r w:rsidRPr="00981405">
        <w:t>Article</w:t>
      </w:r>
      <w:r w:rsidR="00190923" w:rsidRPr="00981405">
        <w:t xml:space="preserve"> </w:t>
      </w:r>
      <w:r w:rsidRPr="00981405">
        <w:t>31(3)(a)</w:t>
      </w:r>
      <w:r w:rsidR="00190923" w:rsidRPr="00981405">
        <w:t xml:space="preserve"> </w:t>
      </w:r>
      <w:r w:rsidRPr="00981405">
        <w:t>as</w:t>
      </w:r>
      <w:r w:rsidR="00190923" w:rsidRPr="00981405">
        <w:t xml:space="preserve"> </w:t>
      </w:r>
      <w:r w:rsidRPr="00981405">
        <w:t>referring</w:t>
      </w:r>
      <w:r w:rsidR="00190923" w:rsidRPr="00981405">
        <w:t xml:space="preserve"> </w:t>
      </w:r>
      <w:r w:rsidRPr="00981405">
        <w:t>to</w:t>
      </w:r>
      <w:r w:rsidR="00190923" w:rsidRPr="00981405">
        <w:t xml:space="preserve"> </w:t>
      </w:r>
      <w:r w:rsidRPr="00D97463">
        <w:rPr>
          <w:i/>
          <w:iCs/>
        </w:rPr>
        <w:t>agreements</w:t>
      </w:r>
      <w:r w:rsidR="00190923" w:rsidRPr="00981405">
        <w:rPr>
          <w:i/>
          <w:iCs/>
        </w:rPr>
        <w:t xml:space="preserve"> </w:t>
      </w:r>
      <w:r w:rsidRPr="00D97463">
        <w:rPr>
          <w:i/>
          <w:iCs/>
        </w:rPr>
        <w:t>bearing</w:t>
      </w:r>
      <w:r w:rsidR="00190923" w:rsidRPr="00981405">
        <w:rPr>
          <w:i/>
          <w:iCs/>
        </w:rPr>
        <w:t xml:space="preserve"> </w:t>
      </w:r>
      <w:r w:rsidRPr="00D97463">
        <w:rPr>
          <w:i/>
          <w:iCs/>
        </w:rPr>
        <w:t>specifically</w:t>
      </w:r>
      <w:r w:rsidR="00190923" w:rsidRPr="00981405">
        <w:rPr>
          <w:i/>
          <w:iCs/>
        </w:rPr>
        <w:t xml:space="preserve"> </w:t>
      </w:r>
      <w:r w:rsidRPr="00D97463">
        <w:rPr>
          <w:i/>
          <w:iCs/>
        </w:rPr>
        <w:t>upon</w:t>
      </w:r>
      <w:r w:rsidR="00190923" w:rsidRPr="00981405">
        <w:rPr>
          <w:i/>
          <w:iCs/>
        </w:rPr>
        <w:t xml:space="preserve"> </w:t>
      </w:r>
      <w:r w:rsidRPr="00D97463">
        <w:rPr>
          <w:i/>
          <w:iCs/>
        </w:rPr>
        <w:t>the</w:t>
      </w:r>
      <w:r w:rsidR="00190923" w:rsidRPr="00981405">
        <w:rPr>
          <w:i/>
          <w:iCs/>
        </w:rPr>
        <w:t xml:space="preserve"> </w:t>
      </w:r>
      <w:r w:rsidRPr="00D97463">
        <w:rPr>
          <w:i/>
          <w:iCs/>
        </w:rPr>
        <w:t>interpretation</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treaty</w:t>
      </w:r>
      <w:r w:rsidRPr="00981405">
        <w:t>.</w:t>
      </w:r>
      <w:r w:rsidR="00B92E2C" w:rsidRPr="00981405">
        <w:t>’</w:t>
      </w:r>
      <w:r w:rsidR="00190923" w:rsidRPr="00981405">
        <w:t xml:space="preserve"> </w:t>
      </w:r>
      <w:r w:rsidRPr="00981405">
        <w:t>Thus,</w:t>
      </w:r>
      <w:r w:rsidR="00190923" w:rsidRPr="00981405">
        <w:t xml:space="preserve"> </w:t>
      </w:r>
      <w:r w:rsidRPr="00981405">
        <w:t>we</w:t>
      </w:r>
      <w:r w:rsidR="00190923" w:rsidRPr="00981405">
        <w:t xml:space="preserve"> </w:t>
      </w:r>
      <w:r w:rsidRPr="00981405">
        <w:t>will</w:t>
      </w:r>
      <w:r w:rsidR="00190923" w:rsidRPr="00981405">
        <w:t xml:space="preserve"> </w:t>
      </w:r>
      <w:r w:rsidRPr="00981405">
        <w:t>consider</w:t>
      </w:r>
      <w:r w:rsidR="00190923" w:rsidRPr="00981405">
        <w:t xml:space="preserve"> </w:t>
      </w:r>
      <w:r w:rsidRPr="00981405">
        <w:t>whether</w:t>
      </w:r>
      <w:r w:rsidR="00190923" w:rsidRPr="00981405">
        <w:t xml:space="preserve"> </w:t>
      </w:r>
      <w:r w:rsidRPr="00981405">
        <w:t>paragraph</w:t>
      </w:r>
      <w:r w:rsidR="00190923" w:rsidRPr="00981405">
        <w:t xml:space="preserve"> </w:t>
      </w:r>
      <w:r w:rsidRPr="00981405">
        <w:t>5.2</w:t>
      </w:r>
      <w:r w:rsidR="00190923" w:rsidRPr="00981405">
        <w:t xml:space="preserve"> </w:t>
      </w:r>
      <w:r w:rsidRPr="00981405">
        <w:t>bears</w:t>
      </w:r>
      <w:r w:rsidR="00190923" w:rsidRPr="00981405">
        <w:t xml:space="preserve"> </w:t>
      </w:r>
      <w:r w:rsidRPr="00981405">
        <w:t>specifically</w:t>
      </w:r>
      <w:r w:rsidR="00190923" w:rsidRPr="00981405">
        <w:t xml:space="preserve"> </w:t>
      </w:r>
      <w:r w:rsidRPr="00981405">
        <w:t>upon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Article</w:t>
      </w:r>
      <w:r w:rsidR="00190923" w:rsidRPr="00981405">
        <w:t xml:space="preserve"> </w:t>
      </w:r>
      <w:r w:rsidRPr="00981405">
        <w:t>2.12</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TBT</w:t>
      </w:r>
      <w:r w:rsidR="00190923" w:rsidRPr="00981405">
        <w:rPr>
          <w:i/>
          <w:iCs/>
        </w:rPr>
        <w:t xml:space="preserve"> </w:t>
      </w:r>
      <w:r w:rsidRPr="00D97463">
        <w:rPr>
          <w:i/>
          <w:iCs/>
        </w:rPr>
        <w:t>Agreement</w:t>
      </w:r>
      <w:r w:rsidRPr="00981405">
        <w:t>.</w:t>
      </w:r>
      <w:r w:rsidR="00190923" w:rsidRPr="00981405">
        <w:t xml:space="preserve"> </w:t>
      </w:r>
      <w:r w:rsidRPr="00981405">
        <w:t>[…]</w:t>
      </w:r>
    </w:p>
    <w:p w:rsidR="00397032" w:rsidRPr="00981405" w:rsidRDefault="00397032" w:rsidP="00D97463">
      <w:pPr>
        <w:pStyle w:val="SingleTxt"/>
        <w:ind w:left="1742"/>
      </w:pPr>
      <w:r w:rsidRPr="00981405">
        <w:t>268.</w:t>
      </w:r>
      <w:r w:rsidRPr="00981405">
        <w:tab/>
        <w:t>For</w:t>
      </w:r>
      <w:r w:rsidR="00190923" w:rsidRPr="00981405">
        <w:t xml:space="preserve"> </w:t>
      </w:r>
      <w:r w:rsidRPr="00981405">
        <w:t>the</w:t>
      </w:r>
      <w:r w:rsidR="00190923" w:rsidRPr="00981405">
        <w:t xml:space="preserve"> </w:t>
      </w:r>
      <w:r w:rsidRPr="00981405">
        <w:t>foregoing</w:t>
      </w:r>
      <w:r w:rsidR="00190923" w:rsidRPr="00981405">
        <w:t xml:space="preserve"> </w:t>
      </w:r>
      <w:r w:rsidRPr="00981405">
        <w:t>reasons,</w:t>
      </w:r>
      <w:r w:rsidR="00190923" w:rsidRPr="00981405">
        <w:t xml:space="preserve"> </w:t>
      </w:r>
      <w:r w:rsidRPr="00981405">
        <w:t>we</w:t>
      </w:r>
      <w:r w:rsidR="00190923" w:rsidRPr="00981405">
        <w:t xml:space="preserve"> </w:t>
      </w:r>
      <w:r w:rsidRPr="00981405">
        <w:t>uphold</w:t>
      </w:r>
      <w:r w:rsidR="00190923" w:rsidRPr="00981405">
        <w:t xml:space="preserve"> </w:t>
      </w:r>
      <w:r w:rsidRPr="00981405">
        <w:t>the</w:t>
      </w:r>
      <w:r w:rsidR="00190923" w:rsidRPr="00981405">
        <w:t xml:space="preserve"> </w:t>
      </w:r>
      <w:r w:rsidRPr="00981405">
        <w:t>Panel</w:t>
      </w:r>
      <w:r w:rsidR="00B92E2C" w:rsidRPr="00981405">
        <w:t>’</w:t>
      </w:r>
      <w:r w:rsidRPr="00981405">
        <w:t>s</w:t>
      </w:r>
      <w:r w:rsidR="00190923" w:rsidRPr="00981405">
        <w:t xml:space="preserve"> </w:t>
      </w:r>
      <w:r w:rsidRPr="00981405">
        <w:t>finding</w:t>
      </w:r>
      <w:r w:rsidR="00190923" w:rsidRPr="00981405">
        <w:t xml:space="preserve"> </w:t>
      </w:r>
      <w:r w:rsidRPr="00981405">
        <w:t>[…]</w:t>
      </w:r>
      <w:r w:rsidR="00190923" w:rsidRPr="00981405">
        <w:t xml:space="preserve"> </w:t>
      </w:r>
      <w:r w:rsidRPr="00981405">
        <w:t>that</w:t>
      </w:r>
      <w:r w:rsidR="00190923" w:rsidRPr="00981405">
        <w:t xml:space="preserve"> </w:t>
      </w:r>
      <w:r w:rsidRPr="00981405">
        <w:t>paragraph</w:t>
      </w:r>
      <w:r w:rsidR="00190923" w:rsidRPr="00981405">
        <w:t xml:space="preserve"> </w:t>
      </w:r>
      <w:r w:rsidRPr="00981405">
        <w:t>5.2</w:t>
      </w:r>
      <w:r w:rsidR="00190923" w:rsidRPr="00981405">
        <w:t xml:space="preserve"> </w:t>
      </w:r>
      <w:r w:rsidRPr="00981405">
        <w:t>of</w:t>
      </w:r>
      <w:r w:rsidR="00190923" w:rsidRPr="00981405">
        <w:t xml:space="preserve"> </w:t>
      </w:r>
      <w:r w:rsidRPr="00981405">
        <w:t>the</w:t>
      </w:r>
      <w:r w:rsidR="00190923" w:rsidRPr="00981405">
        <w:t xml:space="preserve"> </w:t>
      </w:r>
      <w:r w:rsidRPr="00981405">
        <w:t>Doha</w:t>
      </w:r>
      <w:r w:rsidR="00190923" w:rsidRPr="00981405">
        <w:t xml:space="preserve"> </w:t>
      </w:r>
      <w:r w:rsidRPr="00981405">
        <w:t>Ministerial</w:t>
      </w:r>
      <w:r w:rsidR="00190923" w:rsidRPr="00981405">
        <w:t xml:space="preserve"> </w:t>
      </w:r>
      <w:r w:rsidRPr="00981405">
        <w:t>Decision</w:t>
      </w:r>
      <w:r w:rsidR="00190923" w:rsidRPr="00981405">
        <w:t xml:space="preserve"> </w:t>
      </w:r>
      <w:r w:rsidRPr="00981405">
        <w:t>constitutes</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within</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Article</w:t>
      </w:r>
      <w:r w:rsidR="00190923" w:rsidRPr="00981405">
        <w:t xml:space="preserve"> </w:t>
      </w:r>
      <w:r w:rsidRPr="00981405">
        <w:t>31(3)(a)</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Vienna</w:t>
      </w:r>
      <w:r w:rsidR="00190923" w:rsidRPr="00981405">
        <w:rPr>
          <w:i/>
          <w:iCs/>
        </w:rPr>
        <w:t xml:space="preserve"> </w:t>
      </w:r>
      <w:r w:rsidRPr="00D97463">
        <w:rPr>
          <w:i/>
          <w:iCs/>
        </w:rPr>
        <w:t>Convention</w:t>
      </w:r>
      <w:r w:rsidRPr="00981405">
        <w:t>,</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reasonable</w:t>
      </w:r>
      <w:r w:rsidR="00190923" w:rsidRPr="00981405">
        <w:t xml:space="preserve"> </w:t>
      </w:r>
      <w:r w:rsidRPr="00981405">
        <w:t>interval</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2.12</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TBT</w:t>
      </w:r>
      <w:r w:rsidR="00190923" w:rsidRPr="00981405">
        <w:rPr>
          <w:i/>
          <w:iCs/>
        </w:rPr>
        <w:t xml:space="preserve"> </w:t>
      </w:r>
      <w:r w:rsidRPr="00D97463">
        <w:rPr>
          <w:i/>
          <w:iCs/>
        </w:rPr>
        <w:t>Agreement</w:t>
      </w:r>
      <w:r w:rsidRPr="00981405">
        <w:t>.</w:t>
      </w:r>
      <w:r w:rsidR="00B92E2C" w:rsidRPr="00981405">
        <w:t>”</w:t>
      </w:r>
      <w:r w:rsidRPr="00981405">
        <w:rPr>
          <w:rStyle w:val="FootnoteReference"/>
        </w:rPr>
        <w:footnoteReference w:id="328"/>
      </w:r>
    </w:p>
    <w:p w:rsidR="00397032" w:rsidRPr="00981405" w:rsidRDefault="00397032" w:rsidP="00D97463">
      <w:pPr>
        <w:pStyle w:val="SingleTxt"/>
      </w:pPr>
      <w:r w:rsidRPr="00981405">
        <w:t>(20)</w:t>
      </w:r>
      <w:r w:rsidRPr="00981405">
        <w:tab/>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although</w:t>
      </w:r>
      <w:r w:rsidR="00190923" w:rsidRPr="00981405">
        <w:t xml:space="preserve"> </w:t>
      </w:r>
      <w:r w:rsidRPr="00981405">
        <w:t>it</w:t>
      </w:r>
      <w:r w:rsidR="00190923" w:rsidRPr="00981405">
        <w:t xml:space="preserve"> </w:t>
      </w:r>
      <w:r w:rsidRPr="00981405">
        <w:t>did</w:t>
      </w:r>
      <w:r w:rsidR="00190923" w:rsidRPr="00981405">
        <w:t xml:space="preserve"> </w:t>
      </w:r>
      <w:r w:rsidRPr="00981405">
        <w:t>not</w:t>
      </w:r>
      <w:r w:rsidR="00190923" w:rsidRPr="00981405">
        <w:t xml:space="preserve"> </w:t>
      </w:r>
      <w:r w:rsidRPr="00981405">
        <w:t>expressly</w:t>
      </w:r>
      <w:r w:rsidR="00190923" w:rsidRPr="00981405">
        <w:t xml:space="preserve"> </w:t>
      </w:r>
      <w:r w:rsidRPr="00981405">
        <w:t>mention</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when</w:t>
      </w:r>
      <w:r w:rsidR="00190923" w:rsidRPr="00981405">
        <w:t xml:space="preserve"> </w:t>
      </w:r>
      <w:r w:rsidRPr="00981405">
        <w:t>relying</w:t>
      </w:r>
      <w:r w:rsidR="00190923" w:rsidRPr="00981405">
        <w:t xml:space="preserve"> </w:t>
      </w:r>
      <w:r w:rsidRPr="00981405">
        <w:t>on</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Declaration</w:t>
      </w:r>
      <w:r w:rsidR="00190923" w:rsidRPr="00981405">
        <w:t xml:space="preserve"> </w:t>
      </w:r>
      <w:r w:rsidRPr="00981405">
        <w:t>on</w:t>
      </w:r>
      <w:r w:rsidR="00190923" w:rsidRPr="00981405">
        <w:t xml:space="preserve"> </w:t>
      </w:r>
      <w:r w:rsidRPr="00981405">
        <w:t>Friendly</w:t>
      </w:r>
      <w:r w:rsidR="00190923" w:rsidRPr="00981405">
        <w:t xml:space="preserve"> </w:t>
      </w:r>
      <w:r w:rsidRPr="00981405">
        <w:t>Relations</w:t>
      </w:r>
      <w:r w:rsidR="00190923" w:rsidRPr="00981405">
        <w:t xml:space="preserve"> </w:t>
      </w:r>
      <w:r w:rsidRPr="00981405">
        <w:lastRenderedPageBreak/>
        <w:t>between</w:t>
      </w:r>
      <w:r w:rsidR="00190923" w:rsidRPr="00981405">
        <w:t xml:space="preserve"> </w:t>
      </w:r>
      <w:r w:rsidRPr="00981405">
        <w:t>States</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Article</w:t>
      </w:r>
      <w:r w:rsidR="00190923" w:rsidRPr="00981405">
        <w:t xml:space="preserve"> </w:t>
      </w:r>
      <w:r w:rsidRPr="00981405">
        <w:t>2</w:t>
      </w:r>
      <w:r w:rsidR="00190923" w:rsidRPr="00981405">
        <w:t xml:space="preserve"> </w:t>
      </w:r>
      <w:r w:rsidRPr="00981405">
        <w:t>(4)</w:t>
      </w:r>
      <w:r w:rsidR="00190923" w:rsidRPr="00981405">
        <w:t xml:space="preserve"> </w:t>
      </w:r>
      <w:r w:rsidRPr="00981405">
        <w:t>of</w:t>
      </w:r>
      <w:r w:rsidR="00190923" w:rsidRPr="00981405">
        <w:t xml:space="preserve"> </w:t>
      </w:r>
      <w:r w:rsidRPr="00981405">
        <w:t>the</w:t>
      </w:r>
      <w:r w:rsidR="00190923" w:rsidRPr="00981405">
        <w:t xml:space="preserve"> </w:t>
      </w:r>
      <w:r w:rsidRPr="00981405">
        <w:t>Charter,</w:t>
      </w:r>
      <w:r w:rsidR="00190923" w:rsidRPr="00981405">
        <w:t xml:space="preserve"> </w:t>
      </w:r>
      <w:r w:rsidRPr="00981405">
        <w:t>emphasized</w:t>
      </w:r>
      <w:r w:rsidR="00190923" w:rsidRPr="00981405">
        <w:t xml:space="preserve"> </w:t>
      </w:r>
      <w:r w:rsidRPr="00981405">
        <w:t>the</w:t>
      </w:r>
      <w:r w:rsidR="00190923" w:rsidRPr="00981405">
        <w:t xml:space="preserve"> </w:t>
      </w:r>
      <w:r w:rsidR="00B92E2C" w:rsidRPr="00981405">
        <w:t>“</w:t>
      </w:r>
      <w:r w:rsidRPr="00981405">
        <w:t>attitude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and</w:t>
      </w:r>
      <w:r w:rsidR="00190923" w:rsidRPr="00981405">
        <w:t xml:space="preserve"> </w:t>
      </w:r>
      <w:r w:rsidRPr="00981405">
        <w:t>the</w:t>
      </w:r>
      <w:r w:rsidR="00190923" w:rsidRPr="00981405">
        <w:t xml:space="preserve"> </w:t>
      </w:r>
      <w:r w:rsidRPr="00981405">
        <w:t>attitude</w:t>
      </w:r>
      <w:r w:rsidR="00190923" w:rsidRPr="00981405">
        <w:t xml:space="preserve"> </w:t>
      </w:r>
      <w:r w:rsidRPr="00981405">
        <w:t>of</w:t>
      </w:r>
      <w:r w:rsidR="00190923" w:rsidRPr="00981405">
        <w:t xml:space="preserve"> </w:t>
      </w:r>
      <w:r w:rsidRPr="00981405">
        <w:t>States</w:t>
      </w:r>
      <w:r w:rsidR="00190923" w:rsidRPr="00981405">
        <w:t xml:space="preserve"> </w:t>
      </w:r>
      <w:r w:rsidRPr="00981405">
        <w:t>towards</w:t>
      </w:r>
      <w:r w:rsidR="00190923" w:rsidRPr="00981405">
        <w:t xml:space="preserve"> </w:t>
      </w:r>
      <w:r w:rsidRPr="00981405">
        <w:t>certain</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resolutions</w:t>
      </w:r>
      <w:r w:rsidR="00B92E2C" w:rsidRPr="00981405">
        <w:t>”</w:t>
      </w:r>
      <w:r w:rsidR="00190923" w:rsidRPr="00981405">
        <w:t xml:space="preserve"> </w:t>
      </w:r>
      <w:r w:rsidRPr="00981405">
        <w:t>and</w:t>
      </w:r>
      <w:r w:rsidR="00190923" w:rsidRPr="00981405">
        <w:t xml:space="preserve"> </w:t>
      </w:r>
      <w:r w:rsidRPr="00981405">
        <w:t>their</w:t>
      </w:r>
      <w:r w:rsidR="00190923" w:rsidRPr="00981405">
        <w:t xml:space="preserve"> </w:t>
      </w:r>
      <w:r w:rsidRPr="00981405">
        <w:t>consent</w:t>
      </w:r>
      <w:r w:rsidR="00190923" w:rsidRPr="00981405">
        <w:t xml:space="preserve"> </w:t>
      </w:r>
      <w:r w:rsidRPr="00981405">
        <w:t>thereto.</w:t>
      </w:r>
      <w:r w:rsidRPr="00981405">
        <w:rPr>
          <w:rStyle w:val="FootnoteReference"/>
        </w:rPr>
        <w:footnoteReference w:id="329"/>
      </w:r>
      <w:r w:rsidR="00190923" w:rsidRPr="00981405">
        <w:t xml:space="preserve"> </w:t>
      </w:r>
      <w:r w:rsidRPr="00981405">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writers</w:t>
      </w:r>
      <w:r w:rsidR="00190923" w:rsidRPr="00981405">
        <w:t xml:space="preserve"> </w:t>
      </w:r>
      <w:r w:rsidRPr="00981405">
        <w:t>have</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within</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may,</w:t>
      </w:r>
      <w:r w:rsidR="00190923" w:rsidRPr="00981405">
        <w:t xml:space="preserve"> </w:t>
      </w:r>
      <w:r w:rsidRPr="00981405">
        <w:t>under</w:t>
      </w:r>
      <w:r w:rsidR="00190923" w:rsidRPr="00981405">
        <w:t xml:space="preserve"> </w:t>
      </w:r>
      <w:r w:rsidRPr="00981405">
        <w:t>certain</w:t>
      </w:r>
      <w:r w:rsidR="00190923" w:rsidRPr="00981405">
        <w:t xml:space="preserve"> </w:t>
      </w:r>
      <w:r w:rsidRPr="00981405">
        <w:t>circumstances,</w:t>
      </w:r>
      <w:r w:rsidR="00190923" w:rsidRPr="00981405">
        <w:t xml:space="preserve"> </w:t>
      </w:r>
      <w:r w:rsidRPr="00981405">
        <w:t>arise</w:t>
      </w:r>
      <w:r w:rsidR="00190923" w:rsidRPr="00981405">
        <w:t xml:space="preserve"> </w:t>
      </w:r>
      <w:r w:rsidRPr="00981405">
        <w:t>from</w:t>
      </w:r>
      <w:r w:rsidR="00190923" w:rsidRPr="00981405">
        <w:t xml:space="preserve"> </w:t>
      </w:r>
      <w:r w:rsidRPr="00981405">
        <w:t>or</w:t>
      </w:r>
      <w:r w:rsidR="00190923" w:rsidRPr="00981405">
        <w:t xml:space="preserve"> </w:t>
      </w:r>
      <w:r w:rsidRPr="00981405">
        <w:t>be</w:t>
      </w:r>
      <w:r w:rsidR="00190923" w:rsidRPr="00981405">
        <w:t xml:space="preserve"> </w:t>
      </w:r>
      <w:r w:rsidRPr="00981405">
        <w:t>expressed</w:t>
      </w:r>
      <w:r w:rsidR="00190923" w:rsidRPr="00981405">
        <w:t xml:space="preserve"> </w:t>
      </w:r>
      <w:r w:rsidRPr="00981405">
        <w:t>in</w:t>
      </w:r>
      <w:r w:rsidR="00190923" w:rsidRPr="00981405">
        <w:t xml:space="preserve"> </w:t>
      </w:r>
      <w:r w:rsidRPr="00981405">
        <w:t>acts</w:t>
      </w:r>
      <w:r w:rsidR="00190923" w:rsidRPr="00981405">
        <w:t xml:space="preserve"> </w:t>
      </w:r>
      <w:r w:rsidRPr="00981405">
        <w:t>of</w:t>
      </w:r>
      <w:r w:rsidR="00190923" w:rsidRPr="00981405">
        <w:t xml:space="preserve"> </w:t>
      </w:r>
      <w:r w:rsidRPr="00981405">
        <w:t>plenary</w:t>
      </w:r>
      <w:r w:rsidR="00190923" w:rsidRPr="00981405">
        <w:t xml:space="preserve"> </w:t>
      </w:r>
      <w:r w:rsidRPr="00981405">
        <w:t>organs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bookmarkStart w:id="110" w:name="_Ref424551138"/>
      <w:r w:rsidRPr="00981405">
        <w:rPr>
          <w:rStyle w:val="FootnoteReference"/>
        </w:rPr>
        <w:footnoteReference w:id="330"/>
      </w:r>
      <w:bookmarkEnd w:id="110"/>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Pr="00981405">
        <w:rPr>
          <w:rStyle w:val="FootnoteReference"/>
        </w:rPr>
        <w:footnoteReference w:id="331"/>
      </w:r>
      <w:r w:rsidR="00190923" w:rsidRPr="00981405">
        <w:t xml:space="preserve"> </w:t>
      </w:r>
      <w:r w:rsidRPr="00981405">
        <w:t>Indeed,</w:t>
      </w:r>
      <w:r w:rsidR="00190923" w:rsidRPr="00981405">
        <w:t xml:space="preserve"> </w:t>
      </w:r>
      <w:r w:rsidRPr="00981405">
        <w:t>as</w:t>
      </w:r>
      <w:r w:rsidR="00190923" w:rsidRPr="00981405">
        <w:t xml:space="preserve"> </w:t>
      </w:r>
      <w:r w:rsidRPr="00981405">
        <w:t>the</w:t>
      </w:r>
      <w:r w:rsidR="00190923" w:rsidRPr="00981405">
        <w:t xml:space="preserve"> </w:t>
      </w:r>
      <w:r w:rsidRPr="00981405">
        <w:t>WTO</w:t>
      </w:r>
      <w:r w:rsidR="00190923" w:rsidRPr="00981405">
        <w:t xml:space="preserve"> </w:t>
      </w:r>
      <w:r w:rsidRPr="00981405">
        <w:t>Appellate</w:t>
      </w:r>
      <w:r w:rsidR="00190923" w:rsidRPr="00981405">
        <w:t xml:space="preserve"> </w:t>
      </w:r>
      <w:r w:rsidRPr="00981405">
        <w:t>Body</w:t>
      </w:r>
      <w:r w:rsidR="00190923" w:rsidRPr="00981405">
        <w:t xml:space="preserve"> </w:t>
      </w:r>
      <w:r w:rsidRPr="00981405">
        <w:t>has</w:t>
      </w:r>
      <w:r w:rsidR="00190923" w:rsidRPr="00981405">
        <w:t xml:space="preserve"> </w:t>
      </w:r>
      <w:r w:rsidRPr="00981405">
        <w:t>indicated</w:t>
      </w:r>
      <w:r w:rsidR="00190923" w:rsidRPr="00981405">
        <w:t xml:space="preserve"> </w:t>
      </w:r>
      <w:r w:rsidRPr="00981405">
        <w:t>with</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Pr="00981405">
        <w:rPr>
          <w:rStyle w:val="FootnoteReference"/>
        </w:rPr>
        <w:footnoteReference w:id="332"/>
      </w:r>
      <w:r w:rsidR="00190923" w:rsidRPr="00981405">
        <w:t xml:space="preserve"> </w:t>
      </w:r>
      <w:r w:rsidRPr="00981405">
        <w:t>the</w:t>
      </w:r>
      <w:r w:rsidR="00190923" w:rsidRPr="00981405">
        <w:t xml:space="preserve"> </w:t>
      </w:r>
      <w:r w:rsidRPr="00981405">
        <w:t>characterization</w:t>
      </w:r>
      <w:r w:rsidR="00190923" w:rsidRPr="00981405">
        <w:t xml:space="preserve"> </w:t>
      </w:r>
      <w:r w:rsidRPr="00981405">
        <w:t>of</w:t>
      </w:r>
      <w:r w:rsidR="00190923" w:rsidRPr="00981405">
        <w:t xml:space="preserve"> </w:t>
      </w:r>
      <w:r w:rsidRPr="00981405">
        <w:t>a</w:t>
      </w:r>
      <w:r w:rsidR="00190923" w:rsidRPr="00981405">
        <w:t xml:space="preserve"> </w:t>
      </w:r>
      <w:r w:rsidRPr="00981405">
        <w:t>collective</w:t>
      </w:r>
      <w:r w:rsidR="00190923" w:rsidRPr="00981405">
        <w:t xml:space="preserve"> </w:t>
      </w:r>
      <w:r w:rsidRPr="00981405">
        <w:t>decision</w:t>
      </w:r>
      <w:r w:rsidR="00190923" w:rsidRPr="00981405">
        <w:t xml:space="preserve"> </w:t>
      </w:r>
      <w:r w:rsidRPr="00981405">
        <w:t>as</w:t>
      </w:r>
      <w:r w:rsidR="00190923" w:rsidRPr="00981405">
        <w:t xml:space="preserve"> </w:t>
      </w:r>
      <w:r w:rsidRPr="00981405">
        <w:t>an</w:t>
      </w:r>
      <w:r w:rsidR="00190923" w:rsidRPr="00981405">
        <w:t xml:space="preserve"> </w:t>
      </w:r>
      <w:r w:rsidR="00B92E2C" w:rsidRPr="00981405">
        <w:t>“</w:t>
      </w:r>
      <w:r w:rsidRPr="00981405">
        <w:t>authentic</w:t>
      </w:r>
      <w:r w:rsidR="00190923" w:rsidRPr="00981405">
        <w:t xml:space="preserve"> </w:t>
      </w:r>
      <w:r w:rsidRPr="00981405">
        <w:t>element</w:t>
      </w:r>
      <w:r w:rsidR="00190923" w:rsidRPr="00981405">
        <w:t xml:space="preserve"> </w:t>
      </w:r>
      <w:r w:rsidRPr="00981405">
        <w:t>of</w:t>
      </w:r>
      <w:r w:rsidR="00190923" w:rsidRPr="00981405">
        <w:t xml:space="preserve"> </w:t>
      </w:r>
      <w:r w:rsidRPr="00981405">
        <w:t>interpretation</w:t>
      </w:r>
      <w:r w:rsidR="00B92E2C" w:rsidRPr="00981405">
        <w: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is</w:t>
      </w:r>
      <w:r w:rsidR="00190923" w:rsidRPr="00981405">
        <w:t xml:space="preserve"> </w:t>
      </w:r>
      <w:r w:rsidRPr="00981405">
        <w:t>only</w:t>
      </w:r>
      <w:r w:rsidR="00190923" w:rsidRPr="00981405">
        <w:t xml:space="preserve"> </w:t>
      </w:r>
      <w:r w:rsidRPr="00981405">
        <w:t>justified</w:t>
      </w:r>
      <w:r w:rsidR="00190923" w:rsidRPr="00981405">
        <w:t xml:space="preserve"> </w:t>
      </w:r>
      <w:r w:rsidRPr="00981405">
        <w:t>if</w:t>
      </w:r>
      <w:r w:rsidR="00190923" w:rsidRPr="00981405">
        <w:t xml:space="preserve"> </w:t>
      </w:r>
      <w:r w:rsidRPr="00981405">
        <w:t>the</w:t>
      </w:r>
      <w:r w:rsidR="00190923" w:rsidRPr="00981405">
        <w:t xml:space="preserve"> </w:t>
      </w:r>
      <w:r w:rsidRPr="00981405">
        <w:t>parties</w:t>
      </w:r>
      <w:r w:rsidR="00190923" w:rsidRPr="00981405">
        <w:t xml:space="preserve"> </w:t>
      </w:r>
      <w:r w:rsidRPr="00981405">
        <w:t>of</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acted</w:t>
      </w:r>
      <w:r w:rsidR="00190923" w:rsidRPr="00981405">
        <w:t xml:space="preserve"> </w:t>
      </w:r>
      <w:r w:rsidRPr="00981405">
        <w:t>as</w:t>
      </w:r>
      <w:r w:rsidR="00190923" w:rsidRPr="00981405">
        <w:t xml:space="preserve"> </w:t>
      </w:r>
      <w:r w:rsidRPr="00981405">
        <w:t>such,</w:t>
      </w:r>
      <w:r w:rsidR="00190923" w:rsidRPr="00981405">
        <w:t xml:space="preserve"> </w:t>
      </w:r>
      <w:r w:rsidRPr="00981405">
        <w:t>and</w:t>
      </w:r>
      <w:r w:rsidR="00190923" w:rsidRPr="00981405">
        <w:t xml:space="preserve"> </w:t>
      </w:r>
      <w:r w:rsidRPr="00981405">
        <w:t>not,</w:t>
      </w:r>
      <w:r w:rsidR="00190923" w:rsidRPr="00981405">
        <w:t xml:space="preserve"> </w:t>
      </w:r>
      <w:r w:rsidRPr="00981405">
        <w:t>as</w:t>
      </w:r>
      <w:r w:rsidR="00190923" w:rsidRPr="00981405">
        <w:t xml:space="preserve"> </w:t>
      </w:r>
      <w:r w:rsidRPr="00981405">
        <w:t>they</w:t>
      </w:r>
      <w:r w:rsidR="00190923" w:rsidRPr="00981405">
        <w:t xml:space="preserve"> </w:t>
      </w:r>
      <w:r w:rsidRPr="00981405">
        <w:t>usually</w:t>
      </w:r>
      <w:r w:rsidR="00190923" w:rsidRPr="00981405">
        <w:t xml:space="preserve"> </w:t>
      </w:r>
      <w:r w:rsidRPr="00981405">
        <w:t>do,</w:t>
      </w:r>
      <w:r w:rsidR="00190923" w:rsidRPr="00981405">
        <w:t xml:space="preserve"> </w:t>
      </w:r>
      <w:r w:rsidRPr="00981405">
        <w:t>institutionally</w:t>
      </w:r>
      <w:r w:rsidR="00190923" w:rsidRPr="00981405">
        <w:t xml:space="preserve"> </w:t>
      </w:r>
      <w:r w:rsidRPr="00981405">
        <w:t>as</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respective</w:t>
      </w:r>
      <w:r w:rsidR="00190923" w:rsidRPr="00981405">
        <w:t xml:space="preserve"> </w:t>
      </w:r>
      <w:r w:rsidRPr="00981405">
        <w:t>plenary</w:t>
      </w:r>
      <w:r w:rsidR="00190923" w:rsidRPr="00981405">
        <w:t xml:space="preserve"> </w:t>
      </w:r>
      <w:r w:rsidRPr="00981405">
        <w:t>organ.</w:t>
      </w:r>
      <w:r w:rsidRPr="00981405">
        <w:rPr>
          <w:rStyle w:val="FootnoteReference"/>
        </w:rPr>
        <w:footnoteReference w:id="333"/>
      </w:r>
    </w:p>
    <w:p w:rsidR="00397032" w:rsidRPr="00981405" w:rsidRDefault="00397032" w:rsidP="00D97463">
      <w:pPr>
        <w:pStyle w:val="SingleTxt"/>
      </w:pPr>
      <w:bookmarkStart w:id="111" w:name="_Ref424117811"/>
      <w:r w:rsidRPr="00981405">
        <w:t>(21)</w:t>
      </w:r>
      <w:r w:rsidRPr="00981405">
        <w:tab/>
        <w:t>Paragraph</w:t>
      </w:r>
      <w:r w:rsidR="00190923" w:rsidRPr="00981405">
        <w:t xml:space="preserve"> </w:t>
      </w:r>
      <w:r w:rsidRPr="00981405">
        <w:t>2</w:t>
      </w:r>
      <w:r w:rsidR="00190923" w:rsidRPr="00981405">
        <w:t xml:space="preserve"> </w:t>
      </w:r>
      <w:r w:rsidRPr="00981405">
        <w:t>refers</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rather</w:t>
      </w:r>
      <w:r w:rsidR="00190923" w:rsidRPr="00981405">
        <w:t xml:space="preserve"> </w:t>
      </w:r>
      <w:r w:rsidRPr="00981405">
        <w:t>than</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organ</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lastRenderedPageBreak/>
        <w:t>international</w:t>
      </w:r>
      <w:r w:rsidR="00190923" w:rsidRPr="00981405">
        <w:t xml:space="preserve"> </w:t>
      </w:r>
      <w:r w:rsidRPr="00981405">
        <w:t>organization</w:t>
      </w:r>
      <w:r w:rsidR="00190923" w:rsidRPr="00981405">
        <w:t xml:space="preserve"> </w:t>
      </w:r>
      <w:r w:rsidRPr="00981405">
        <w:t>can</w:t>
      </w:r>
      <w:r w:rsidR="00190923" w:rsidRPr="00981405">
        <w:t xml:space="preserve"> </w:t>
      </w:r>
      <w:r w:rsidRPr="00981405">
        <w:t>arise</w:t>
      </w:r>
      <w:r w:rsidR="00190923" w:rsidRPr="00981405">
        <w:t xml:space="preserve"> </w:t>
      </w:r>
      <w:r w:rsidRPr="00981405">
        <w:t>from</w:t>
      </w:r>
      <w:r w:rsidR="00190923" w:rsidRPr="00981405">
        <w:t xml:space="preserve"> </w:t>
      </w:r>
      <w:r w:rsidRPr="00981405">
        <w:t>the</w:t>
      </w:r>
      <w:r w:rsidR="00190923" w:rsidRPr="00981405">
        <w:t xml:space="preserve"> </w:t>
      </w:r>
      <w:r w:rsidRPr="00981405">
        <w:t>conduct</w:t>
      </w:r>
      <w:r w:rsidR="00190923" w:rsidRPr="00981405">
        <w:t xml:space="preserve"> </w:t>
      </w:r>
      <w:r w:rsidRPr="00981405">
        <w:t>of</w:t>
      </w:r>
      <w:r w:rsidR="00190923" w:rsidRPr="00981405">
        <w:t xml:space="preserve"> </w:t>
      </w:r>
      <w:r w:rsidRPr="00981405">
        <w:t>an</w:t>
      </w:r>
      <w:r w:rsidR="00190923" w:rsidRPr="00981405">
        <w:t xml:space="preserve"> </w:t>
      </w:r>
      <w:r w:rsidRPr="00981405">
        <w:t>organ</w:t>
      </w:r>
      <w:r w:rsidR="00190923" w:rsidRPr="00981405">
        <w:t xml:space="preserve"> </w:t>
      </w:r>
      <w:r w:rsidRPr="00981405">
        <w:t>but</w:t>
      </w:r>
      <w:r w:rsidR="00190923" w:rsidRPr="00981405">
        <w:t xml:space="preserve"> </w:t>
      </w:r>
      <w:r w:rsidRPr="00981405">
        <w:t>can</w:t>
      </w:r>
      <w:r w:rsidR="00190923" w:rsidRPr="00981405">
        <w:t xml:space="preserve"> </w:t>
      </w:r>
      <w:r w:rsidRPr="00981405">
        <w:t>also</w:t>
      </w:r>
      <w:r w:rsidR="00190923" w:rsidRPr="00981405">
        <w:t xml:space="preserve"> </w:t>
      </w:r>
      <w:r w:rsidRPr="00981405">
        <w:t>be</w:t>
      </w:r>
      <w:r w:rsidR="00190923" w:rsidRPr="00981405">
        <w:t xml:space="preserve"> </w:t>
      </w:r>
      <w:r w:rsidRPr="00981405">
        <w:t>generated</w:t>
      </w:r>
      <w:r w:rsidR="00190923" w:rsidRPr="00981405">
        <w:t xml:space="preserve"> </w:t>
      </w:r>
      <w:r w:rsidRPr="00981405">
        <w:t>by</w:t>
      </w:r>
      <w:r w:rsidR="00190923" w:rsidRPr="00981405">
        <w:t xml:space="preserve"> </w:t>
      </w:r>
      <w:r w:rsidRPr="00981405">
        <w:t>the</w:t>
      </w:r>
      <w:r w:rsidR="00190923" w:rsidRPr="00981405">
        <w:t xml:space="preserve"> </w:t>
      </w:r>
      <w:r w:rsidRPr="00981405">
        <w:t>conduct</w:t>
      </w:r>
      <w:r w:rsidR="00190923" w:rsidRPr="00981405">
        <w:t xml:space="preserve"> </w:t>
      </w:r>
      <w:r w:rsidRPr="00981405">
        <w:t>of</w:t>
      </w:r>
      <w:r w:rsidR="00190923" w:rsidRPr="00981405">
        <w:t xml:space="preserve"> </w:t>
      </w:r>
      <w:r w:rsidRPr="00981405">
        <w:t>two</w:t>
      </w:r>
      <w:r w:rsidR="00190923" w:rsidRPr="00981405">
        <w:t xml:space="preserve"> </w:t>
      </w:r>
      <w:r w:rsidRPr="00981405">
        <w:t>or</w:t>
      </w:r>
      <w:r w:rsidR="00190923" w:rsidRPr="00981405">
        <w:t xml:space="preserve"> </w:t>
      </w:r>
      <w:r w:rsidRPr="00981405">
        <w:t>more</w:t>
      </w:r>
      <w:r w:rsidR="00190923" w:rsidRPr="00981405">
        <w:t xml:space="preserve"> </w:t>
      </w:r>
      <w:r w:rsidRPr="00981405">
        <w:t>organs.</w:t>
      </w:r>
      <w:bookmarkEnd w:id="111"/>
      <w:r w:rsidR="00190923" w:rsidRPr="00981405">
        <w:t xml:space="preserve"> </w:t>
      </w:r>
    </w:p>
    <w:p w:rsidR="00397032" w:rsidRPr="00981405" w:rsidRDefault="00397032" w:rsidP="00D97463">
      <w:pPr>
        <w:pStyle w:val="SingleTxt"/>
      </w:pPr>
      <w:r w:rsidRPr="00981405">
        <w:t>(22)</w:t>
      </w:r>
      <w:r w:rsidRPr="00981405">
        <w:tab/>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which</w:t>
      </w:r>
      <w:r w:rsidR="00190923" w:rsidRPr="00981405">
        <w:t xml:space="preserve"> </w:t>
      </w:r>
      <w:r w:rsidRPr="00981405">
        <w:t>may</w:t>
      </w:r>
      <w:r w:rsidR="00190923" w:rsidRPr="00981405">
        <w:t xml:space="preserve"> </w:t>
      </w:r>
      <w:r w:rsidR="00B92E2C" w:rsidRPr="00981405">
        <w:t>“</w:t>
      </w:r>
      <w:r w:rsidRPr="00981405">
        <w:t>arise</w:t>
      </w:r>
      <w:r w:rsidR="00190923" w:rsidRPr="00981405">
        <w:t xml:space="preserve"> </w:t>
      </w:r>
      <w:r w:rsidRPr="00981405">
        <w:t>from,</w:t>
      </w:r>
      <w:r w:rsidR="00190923" w:rsidRPr="00981405">
        <w:t xml:space="preserve"> </w:t>
      </w:r>
      <w:r w:rsidRPr="00981405">
        <w:t>or</w:t>
      </w:r>
      <w:r w:rsidR="00190923" w:rsidRPr="00981405">
        <w:t xml:space="preserve"> </w:t>
      </w:r>
      <w:r w:rsidRPr="00981405">
        <w:t>be</w:t>
      </w:r>
      <w:r w:rsidR="00190923" w:rsidRPr="00981405">
        <w:t xml:space="preserve"> </w:t>
      </w:r>
      <w:r w:rsidRPr="00981405">
        <w:t>expressed</w:t>
      </w:r>
      <w:r w:rsidR="00190923" w:rsidRPr="00981405">
        <w:t xml:space="preserve"> </w:t>
      </w:r>
      <w:r w:rsidRPr="00981405">
        <w:t>in</w:t>
      </w:r>
      <w:r w:rsidR="00B92E2C" w:rsidRPr="00981405">
        <w: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may</w:t>
      </w:r>
      <w:r w:rsidR="00190923" w:rsidRPr="00981405">
        <w:t xml:space="preserve"> </w:t>
      </w:r>
      <w:r w:rsidRPr="00981405">
        <w:t>sometimes</w:t>
      </w:r>
      <w:r w:rsidR="00190923" w:rsidRPr="00981405">
        <w:t xml:space="preserve"> </w:t>
      </w:r>
      <w:r w:rsidRPr="00981405">
        <w:t>be</w:t>
      </w:r>
      <w:r w:rsidR="00190923" w:rsidRPr="00981405">
        <w:t xml:space="preserve"> </w:t>
      </w:r>
      <w:r w:rsidRPr="00981405">
        <w:t>very</w:t>
      </w:r>
      <w:r w:rsidR="00190923" w:rsidRPr="00981405">
        <w:t xml:space="preserve"> </w:t>
      </w:r>
      <w:r w:rsidRPr="00981405">
        <w:t>closely</w:t>
      </w:r>
      <w:r w:rsidR="00190923" w:rsidRPr="00981405">
        <w:t xml:space="preserve"> </w:t>
      </w:r>
      <w:r w:rsidRPr="00981405">
        <w:t>inter-related</w:t>
      </w:r>
      <w:r w:rsidR="00190923" w:rsidRPr="00981405">
        <w:t xml:space="preserve"> </w:t>
      </w:r>
      <w:r w:rsidRPr="00981405">
        <w:t>with</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as</w:t>
      </w:r>
      <w:r w:rsidR="00190923" w:rsidRPr="00981405">
        <w:t xml:space="preserve"> </w:t>
      </w:r>
      <w:r w:rsidRPr="00981405">
        <w:t>such.</w:t>
      </w:r>
      <w:r w:rsidR="00190923" w:rsidRPr="00981405">
        <w:t xml:space="preserve"> </w:t>
      </w:r>
      <w:r w:rsidRPr="00981405">
        <w:t>For</w:t>
      </w:r>
      <w:r w:rsidR="00190923" w:rsidRPr="00981405">
        <w:t xml:space="preserve"> </w:t>
      </w:r>
      <w:r w:rsidRPr="00981405">
        <w:t>example,</w:t>
      </w:r>
      <w:r w:rsidR="00190923" w:rsidRPr="00981405">
        <w:t xml:space="preserve"> </w:t>
      </w:r>
      <w:r w:rsidRPr="00981405">
        <w:t>in</w:t>
      </w:r>
      <w:r w:rsidR="00190923" w:rsidRPr="00981405">
        <w:t xml:space="preserve"> </w:t>
      </w:r>
      <w:r w:rsidRPr="00981405">
        <w:t>its</w:t>
      </w:r>
      <w:r w:rsidR="00190923" w:rsidRPr="00981405">
        <w:t xml:space="preserve"> </w:t>
      </w:r>
      <w:r w:rsidRPr="00D97463">
        <w:rPr>
          <w:i/>
          <w:iCs/>
        </w:rPr>
        <w:t>Namibia</w:t>
      </w:r>
      <w:r w:rsidR="00190923" w:rsidRPr="00981405">
        <w:rPr>
          <w:i/>
          <w:iCs/>
        </w:rPr>
        <w:t xml:space="preserve"> </w:t>
      </w:r>
      <w:r w:rsidRPr="00981405">
        <w:t>advisory</w:t>
      </w:r>
      <w:r w:rsidR="00190923" w:rsidRPr="00981405">
        <w:t xml:space="preserve"> </w:t>
      </w:r>
      <w:r w:rsidRPr="00981405">
        <w:t>opinion,</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arrived</w:t>
      </w:r>
      <w:r w:rsidR="00190923" w:rsidRPr="00981405">
        <w:t xml:space="preserve"> </w:t>
      </w:r>
      <w:r w:rsidRPr="00981405">
        <w:t>at</w:t>
      </w:r>
      <w:r w:rsidR="00190923" w:rsidRPr="00981405">
        <w:t xml:space="preserve"> </w:t>
      </w:r>
      <w:r w:rsidRPr="00981405">
        <w:t>its</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concurring</w:t>
      </w:r>
      <w:r w:rsidR="00190923" w:rsidRPr="00981405">
        <w:t xml:space="preserve"> </w:t>
      </w:r>
      <w:r w:rsidRPr="00981405">
        <w:t>votes</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27</w:t>
      </w:r>
      <w:r w:rsidR="00190923" w:rsidRPr="00981405">
        <w:t xml:space="preserve"> </w:t>
      </w:r>
      <w:r w:rsidRPr="00981405">
        <w:t>(3)</w:t>
      </w:r>
      <w:r w:rsidR="00190923" w:rsidRPr="00981405">
        <w:t xml:space="preserve"> </w:t>
      </w:r>
      <w:r w:rsidRPr="00981405">
        <w:t>of</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as</w:t>
      </w:r>
      <w:r w:rsidR="00190923" w:rsidRPr="00981405">
        <w:t xml:space="preserve"> </w:t>
      </w:r>
      <w:r w:rsidRPr="00981405">
        <w:t>including</w:t>
      </w:r>
      <w:r w:rsidR="00190923" w:rsidRPr="00981405">
        <w:t xml:space="preserve"> </w:t>
      </w:r>
      <w:r w:rsidRPr="00981405">
        <w:t>abstentions</w:t>
      </w:r>
      <w:r w:rsidR="00190923" w:rsidRPr="00981405">
        <w:t xml:space="preserve"> </w:t>
      </w:r>
      <w:r w:rsidRPr="00981405">
        <w:t>primarily</w:t>
      </w:r>
      <w:r w:rsidR="00190923" w:rsidRPr="00981405">
        <w:t xml:space="preserve"> </w:t>
      </w:r>
      <w:r w:rsidRPr="00981405">
        <w:t>by</w:t>
      </w:r>
      <w:r w:rsidR="00190923" w:rsidRPr="00981405">
        <w:t xml:space="preserve"> </w:t>
      </w:r>
      <w:r w:rsidRPr="00981405">
        <w:t>relying</w:t>
      </w:r>
      <w:r w:rsidR="00190923" w:rsidRPr="00981405">
        <w:t xml:space="preserve"> </w:t>
      </w:r>
      <w:r w:rsidRPr="00981405">
        <w:t>on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competent</w:t>
      </w:r>
      <w:r w:rsidR="00190923" w:rsidRPr="00981405">
        <w:t xml:space="preserve"> </w:t>
      </w:r>
      <w:r w:rsidRPr="00981405">
        <w:t>organ</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combination</w:t>
      </w:r>
      <w:r w:rsidR="00190923" w:rsidRPr="00981405">
        <w:t xml:space="preserve"> </w:t>
      </w:r>
      <w:r w:rsidRPr="00981405">
        <w:t>with</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this</w:t>
      </w:r>
      <w:r w:rsidR="00190923" w:rsidRPr="00981405">
        <w:t xml:space="preserve"> </w:t>
      </w:r>
      <w:r w:rsidRPr="00981405">
        <w:t>practice</w:t>
      </w:r>
      <w:r w:rsidR="00190923" w:rsidRPr="00981405">
        <w:t xml:space="preserve"> </w:t>
      </w:r>
      <w:r w:rsidRPr="00981405">
        <w:t>was</w:t>
      </w:r>
      <w:r w:rsidR="00190923" w:rsidRPr="00981405">
        <w:t xml:space="preserve"> </w:t>
      </w:r>
      <w:r w:rsidRPr="00981405">
        <w:t>then</w:t>
      </w:r>
      <w:r w:rsidR="00190923" w:rsidRPr="00981405">
        <w:t xml:space="preserve"> </w:t>
      </w:r>
      <w:r w:rsidR="00B92E2C" w:rsidRPr="00981405">
        <w:t>“</w:t>
      </w:r>
      <w:r w:rsidRPr="00981405">
        <w:t>generally</w:t>
      </w:r>
      <w:r w:rsidR="00190923" w:rsidRPr="00981405">
        <w:t xml:space="preserve"> </w:t>
      </w:r>
      <w:r w:rsidRPr="00981405">
        <w:t>accepted</w:t>
      </w:r>
      <w:r w:rsidR="00B92E2C" w:rsidRPr="00981405">
        <w:t>”</w:t>
      </w:r>
      <w:r w:rsidR="00190923" w:rsidRPr="00981405">
        <w:t xml:space="preserve"> </w:t>
      </w:r>
      <w:r w:rsidRPr="00981405">
        <w:t>by</w:t>
      </w:r>
      <w:r w:rsidR="00190923" w:rsidRPr="00981405">
        <w:t xml:space="preserve"> </w:t>
      </w:r>
      <w:r w:rsidRPr="00981405">
        <w:t>Member</w:t>
      </w:r>
      <w:r w:rsidR="00190923" w:rsidRPr="00981405">
        <w:t xml:space="preserve"> </w:t>
      </w:r>
      <w:r w:rsidRPr="00981405">
        <w:t>States:</w:t>
      </w:r>
    </w:p>
    <w:p w:rsidR="00397032" w:rsidRPr="00981405" w:rsidRDefault="00B92E2C" w:rsidP="00D97463">
      <w:pPr>
        <w:pStyle w:val="SingleTxt"/>
        <w:ind w:left="1742"/>
      </w:pPr>
      <w:r w:rsidRPr="00981405">
        <w:t>“</w:t>
      </w:r>
      <w:r w:rsidR="00397032" w:rsidRPr="00981405">
        <w:t>[…]</w:t>
      </w:r>
      <w:r w:rsidR="00190923" w:rsidRPr="00981405">
        <w:t xml:space="preserve"> </w:t>
      </w:r>
      <w:r w:rsidR="00397032" w:rsidRPr="00981405">
        <w:t>the</w:t>
      </w:r>
      <w:r w:rsidR="00190923" w:rsidRPr="00981405">
        <w:t xml:space="preserve"> </w:t>
      </w:r>
      <w:r w:rsidR="00397032" w:rsidRPr="00981405">
        <w:t>proceedings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Security</w:t>
      </w:r>
      <w:r w:rsidR="00190923" w:rsidRPr="00981405">
        <w:t xml:space="preserve"> </w:t>
      </w:r>
      <w:r w:rsidR="00397032" w:rsidRPr="00981405">
        <w:t>Council</w:t>
      </w:r>
      <w:r w:rsidR="00190923" w:rsidRPr="00981405">
        <w:t xml:space="preserve"> </w:t>
      </w:r>
      <w:r w:rsidR="00397032" w:rsidRPr="00981405">
        <w:t>extending</w:t>
      </w:r>
      <w:r w:rsidR="00190923" w:rsidRPr="00981405">
        <w:t xml:space="preserve"> </w:t>
      </w:r>
      <w:r w:rsidR="00397032" w:rsidRPr="00981405">
        <w:t>over</w:t>
      </w:r>
      <w:r w:rsidR="00190923" w:rsidRPr="00981405">
        <w:t xml:space="preserve"> </w:t>
      </w:r>
      <w:r w:rsidR="00397032" w:rsidRPr="00981405">
        <w:t>a</w:t>
      </w:r>
      <w:r w:rsidR="00190923" w:rsidRPr="00981405">
        <w:t xml:space="preserve"> </w:t>
      </w:r>
      <w:r w:rsidR="00397032" w:rsidRPr="00981405">
        <w:t>long</w:t>
      </w:r>
      <w:r w:rsidR="00190923" w:rsidRPr="00981405">
        <w:t xml:space="preserve"> </w:t>
      </w:r>
      <w:r w:rsidR="00397032" w:rsidRPr="00981405">
        <w:t>period</w:t>
      </w:r>
      <w:r w:rsidR="00190923" w:rsidRPr="00981405">
        <w:t xml:space="preserve"> </w:t>
      </w:r>
      <w:r w:rsidR="00397032" w:rsidRPr="00981405">
        <w:t>supply</w:t>
      </w:r>
      <w:r w:rsidR="00190923" w:rsidRPr="00981405">
        <w:t xml:space="preserve"> </w:t>
      </w:r>
      <w:r w:rsidR="00397032" w:rsidRPr="00981405">
        <w:t>abundant</w:t>
      </w:r>
      <w:r w:rsidR="00190923" w:rsidRPr="00981405">
        <w:t xml:space="preserve"> </w:t>
      </w:r>
      <w:r w:rsidR="00397032" w:rsidRPr="00981405">
        <w:t>evidence</w:t>
      </w:r>
      <w:r w:rsidR="00190923" w:rsidRPr="00981405">
        <w:t xml:space="preserve"> </w:t>
      </w:r>
      <w:r w:rsidR="00397032" w:rsidRPr="00981405">
        <w:t>that</w:t>
      </w:r>
      <w:r w:rsidR="00190923" w:rsidRPr="00981405">
        <w:t xml:space="preserve"> </w:t>
      </w:r>
      <w:r w:rsidR="00397032" w:rsidRPr="00981405">
        <w:t>presidential</w:t>
      </w:r>
      <w:r w:rsidR="00190923" w:rsidRPr="00981405">
        <w:t xml:space="preserve"> </w:t>
      </w:r>
      <w:r w:rsidR="00397032" w:rsidRPr="00981405">
        <w:t>rulings</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positions</w:t>
      </w:r>
      <w:r w:rsidR="00190923" w:rsidRPr="00981405">
        <w:t xml:space="preserve"> </w:t>
      </w:r>
      <w:r w:rsidR="00397032" w:rsidRPr="00981405">
        <w:t>taken</w:t>
      </w:r>
      <w:r w:rsidR="00190923" w:rsidRPr="00981405">
        <w:t xml:space="preserve"> </w:t>
      </w:r>
      <w:r w:rsidR="00397032" w:rsidRPr="00981405">
        <w:t>by</w:t>
      </w:r>
      <w:r w:rsidR="00190923" w:rsidRPr="00981405">
        <w:t xml:space="preserve"> </w:t>
      </w:r>
      <w:r w:rsidR="00397032" w:rsidRPr="00981405">
        <w:t>members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Council,</w:t>
      </w:r>
      <w:r w:rsidR="00190923" w:rsidRPr="00981405">
        <w:t xml:space="preserve"> </w:t>
      </w:r>
      <w:r w:rsidR="00397032" w:rsidRPr="00981405">
        <w:t>in</w:t>
      </w:r>
      <w:r w:rsidR="00190923" w:rsidRPr="00981405">
        <w:t xml:space="preserve"> </w:t>
      </w:r>
      <w:r w:rsidR="00397032" w:rsidRPr="00981405">
        <w:t>particular</w:t>
      </w:r>
      <w:r w:rsidR="00190923" w:rsidRPr="00981405">
        <w:t xml:space="preserve"> </w:t>
      </w:r>
      <w:r w:rsidR="00397032" w:rsidRPr="00981405">
        <w:t>its</w:t>
      </w:r>
      <w:r w:rsidR="00190923" w:rsidRPr="00981405">
        <w:t xml:space="preserve"> </w:t>
      </w:r>
      <w:r w:rsidR="00397032" w:rsidRPr="00981405">
        <w:t>permanent</w:t>
      </w:r>
      <w:r w:rsidR="00190923" w:rsidRPr="00981405">
        <w:t xml:space="preserve"> </w:t>
      </w:r>
      <w:r w:rsidR="00397032" w:rsidRPr="00981405">
        <w:t>members,</w:t>
      </w:r>
      <w:r w:rsidR="00190923" w:rsidRPr="00981405">
        <w:t xml:space="preserve"> </w:t>
      </w:r>
      <w:r w:rsidR="00397032" w:rsidRPr="00981405">
        <w:t>have</w:t>
      </w:r>
      <w:r w:rsidR="00190923" w:rsidRPr="00981405">
        <w:t xml:space="preserve"> </w:t>
      </w:r>
      <w:r w:rsidR="00397032" w:rsidRPr="00981405">
        <w:t>consistently</w:t>
      </w:r>
      <w:r w:rsidR="00190923" w:rsidRPr="00981405">
        <w:t xml:space="preserve"> </w:t>
      </w:r>
      <w:r w:rsidR="00397032" w:rsidRPr="00981405">
        <w:t>and</w:t>
      </w:r>
      <w:r w:rsidR="00190923" w:rsidRPr="00981405">
        <w:t xml:space="preserve"> </w:t>
      </w:r>
      <w:r w:rsidR="00397032" w:rsidRPr="00981405">
        <w:t>uniformly</w:t>
      </w:r>
      <w:r w:rsidR="00190923" w:rsidRPr="00981405">
        <w:t xml:space="preserve"> </w:t>
      </w:r>
      <w:r w:rsidR="00397032" w:rsidRPr="00981405">
        <w:t>interpreted</w:t>
      </w:r>
      <w:r w:rsidR="00190923" w:rsidRPr="00981405">
        <w:t xml:space="preserve"> </w:t>
      </w:r>
      <w:r w:rsidR="00397032" w:rsidRPr="00981405">
        <w:t>the</w:t>
      </w:r>
      <w:r w:rsidR="00190923" w:rsidRPr="00981405">
        <w:t xml:space="preserve"> </w:t>
      </w:r>
      <w:r w:rsidR="00397032" w:rsidRPr="00981405">
        <w:t>practice</w:t>
      </w:r>
      <w:r w:rsidR="00190923" w:rsidRPr="00981405">
        <w:t xml:space="preserve"> </w:t>
      </w:r>
      <w:r w:rsidR="00397032" w:rsidRPr="00981405">
        <w:t>of</w:t>
      </w:r>
      <w:r w:rsidR="00190923" w:rsidRPr="00981405">
        <w:t xml:space="preserve"> </w:t>
      </w:r>
      <w:r w:rsidR="00397032" w:rsidRPr="00981405">
        <w:t>voluntary</w:t>
      </w:r>
      <w:r w:rsidR="00190923" w:rsidRPr="00981405">
        <w:t xml:space="preserve"> </w:t>
      </w:r>
      <w:r w:rsidR="00397032" w:rsidRPr="00981405">
        <w:t>abstention</w:t>
      </w:r>
      <w:r w:rsidR="00190923" w:rsidRPr="00981405">
        <w:t xml:space="preserve"> </w:t>
      </w:r>
      <w:r w:rsidR="00397032" w:rsidRPr="00981405">
        <w:t>by</w:t>
      </w:r>
      <w:r w:rsidR="00190923" w:rsidRPr="00981405">
        <w:t xml:space="preserve"> </w:t>
      </w:r>
      <w:r w:rsidR="00397032" w:rsidRPr="00981405">
        <w:t>a</w:t>
      </w:r>
      <w:r w:rsidR="00190923" w:rsidRPr="00981405">
        <w:t xml:space="preserve"> </w:t>
      </w:r>
      <w:r w:rsidR="00397032" w:rsidRPr="00981405">
        <w:t>permanent</w:t>
      </w:r>
      <w:r w:rsidR="00190923" w:rsidRPr="00981405">
        <w:t xml:space="preserve"> </w:t>
      </w:r>
      <w:r w:rsidR="00397032" w:rsidRPr="00981405">
        <w:t>member</w:t>
      </w:r>
      <w:r w:rsidR="00190923" w:rsidRPr="00981405">
        <w:t xml:space="preserve"> </w:t>
      </w:r>
      <w:r w:rsidR="00397032" w:rsidRPr="00981405">
        <w:t>as</w:t>
      </w:r>
      <w:r w:rsidR="00190923" w:rsidRPr="00981405">
        <w:t xml:space="preserve"> </w:t>
      </w:r>
      <w:r w:rsidR="00397032" w:rsidRPr="00981405">
        <w:t>not</w:t>
      </w:r>
      <w:r w:rsidR="00190923" w:rsidRPr="00981405">
        <w:t xml:space="preserve"> </w:t>
      </w:r>
      <w:r w:rsidR="00397032" w:rsidRPr="00981405">
        <w:t>constituting</w:t>
      </w:r>
      <w:r w:rsidR="00190923" w:rsidRPr="00981405">
        <w:t xml:space="preserve"> </w:t>
      </w:r>
      <w:r w:rsidR="00397032" w:rsidRPr="00981405">
        <w:t>a</w:t>
      </w:r>
      <w:r w:rsidR="00190923" w:rsidRPr="00981405">
        <w:t xml:space="preserve"> </w:t>
      </w:r>
      <w:r w:rsidR="00397032" w:rsidRPr="00981405">
        <w:t>bar</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adoption</w:t>
      </w:r>
      <w:r w:rsidR="00190923" w:rsidRPr="00981405">
        <w:t xml:space="preserve"> </w:t>
      </w:r>
      <w:r w:rsidR="00397032" w:rsidRPr="00981405">
        <w:t>of</w:t>
      </w:r>
      <w:r w:rsidR="00190923" w:rsidRPr="00981405">
        <w:t xml:space="preserve"> </w:t>
      </w:r>
      <w:r w:rsidR="00397032" w:rsidRPr="00981405">
        <w:t>resolutions.</w:t>
      </w:r>
      <w:r w:rsidR="00190923" w:rsidRPr="00981405">
        <w:t xml:space="preserve"> </w:t>
      </w:r>
      <w:r w:rsidR="00397032" w:rsidRPr="00981405">
        <w:t>This</w:t>
      </w:r>
      <w:r w:rsidR="00190923" w:rsidRPr="00981405">
        <w:t xml:space="preserve"> </w:t>
      </w:r>
      <w:r w:rsidR="00397032" w:rsidRPr="00981405">
        <w:t>procedure</w:t>
      </w:r>
      <w:r w:rsidR="00190923" w:rsidRPr="00981405">
        <w:t xml:space="preserve"> </w:t>
      </w:r>
      <w:r w:rsidR="00397032" w:rsidRPr="00981405">
        <w:t>followed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Security</w:t>
      </w:r>
      <w:r w:rsidR="00190923" w:rsidRPr="00981405">
        <w:t xml:space="preserve"> </w:t>
      </w:r>
      <w:r w:rsidR="00397032" w:rsidRPr="00981405">
        <w:t>Council,</w:t>
      </w:r>
      <w:r w:rsidR="00190923" w:rsidRPr="00981405">
        <w:t xml:space="preserve"> </w:t>
      </w:r>
      <w:r w:rsidR="00397032" w:rsidRPr="00981405">
        <w:t>which</w:t>
      </w:r>
      <w:r w:rsidR="00190923" w:rsidRPr="00981405">
        <w:t xml:space="preserve"> </w:t>
      </w:r>
      <w:r w:rsidR="00397032" w:rsidRPr="00981405">
        <w:t>has</w:t>
      </w:r>
      <w:r w:rsidR="00190923" w:rsidRPr="00981405">
        <w:t xml:space="preserve"> </w:t>
      </w:r>
      <w:r w:rsidR="00397032" w:rsidRPr="00981405">
        <w:t>continued</w:t>
      </w:r>
      <w:r w:rsidR="00190923" w:rsidRPr="00981405">
        <w:t xml:space="preserve"> </w:t>
      </w:r>
      <w:r w:rsidR="00397032" w:rsidRPr="00981405">
        <w:t>unchanged</w:t>
      </w:r>
      <w:r w:rsidR="00190923" w:rsidRPr="00981405">
        <w:t xml:space="preserve"> </w:t>
      </w:r>
      <w:r w:rsidR="00397032" w:rsidRPr="00981405">
        <w:t>after</w:t>
      </w:r>
      <w:r w:rsidR="00190923" w:rsidRPr="00981405">
        <w:t xml:space="preserve"> </w:t>
      </w:r>
      <w:r w:rsidR="00397032" w:rsidRPr="00981405">
        <w:t>the</w:t>
      </w:r>
      <w:r w:rsidR="00190923" w:rsidRPr="00981405">
        <w:t xml:space="preserve"> </w:t>
      </w:r>
      <w:r w:rsidR="00397032" w:rsidRPr="00981405">
        <w:t>amendment</w:t>
      </w:r>
      <w:r w:rsidR="00190923" w:rsidRPr="00981405">
        <w:t xml:space="preserve"> </w:t>
      </w:r>
      <w:r w:rsidR="00397032" w:rsidRPr="00981405">
        <w:t>in</w:t>
      </w:r>
      <w:r w:rsidR="00190923" w:rsidRPr="00981405">
        <w:t xml:space="preserve"> </w:t>
      </w:r>
      <w:r w:rsidR="00397032" w:rsidRPr="00981405">
        <w:t>1965</w:t>
      </w:r>
      <w:r w:rsidR="00190923" w:rsidRPr="00981405">
        <w:t xml:space="preserve"> </w:t>
      </w:r>
      <w:r w:rsidR="00397032" w:rsidRPr="00981405">
        <w:t>of</w:t>
      </w:r>
      <w:r w:rsidR="00190923" w:rsidRPr="00981405">
        <w:t xml:space="preserve"> </w:t>
      </w:r>
      <w:r w:rsidR="00397032" w:rsidRPr="00981405">
        <w:t>Article</w:t>
      </w:r>
      <w:r w:rsidR="00190923" w:rsidRPr="00981405">
        <w:t xml:space="preserve"> </w:t>
      </w:r>
      <w:r w:rsidR="00397032" w:rsidRPr="00981405">
        <w:t>27</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Charter,</w:t>
      </w:r>
      <w:r w:rsidR="00190923" w:rsidRPr="00981405">
        <w:t xml:space="preserve"> </w:t>
      </w:r>
      <w:r w:rsidR="00397032" w:rsidRPr="00981405">
        <w:t>has</w:t>
      </w:r>
      <w:r w:rsidR="00190923" w:rsidRPr="00981405">
        <w:t xml:space="preserve"> </w:t>
      </w:r>
      <w:r w:rsidR="00397032" w:rsidRPr="00981405">
        <w:t>been</w:t>
      </w:r>
      <w:r w:rsidR="00190923" w:rsidRPr="00981405">
        <w:t xml:space="preserve"> </w:t>
      </w:r>
      <w:r w:rsidR="00397032" w:rsidRPr="00981405">
        <w:t>generally</w:t>
      </w:r>
      <w:r w:rsidR="00190923" w:rsidRPr="00981405">
        <w:t xml:space="preserve"> </w:t>
      </w:r>
      <w:r w:rsidR="00397032" w:rsidRPr="00981405">
        <w:t>accepted</w:t>
      </w:r>
      <w:r w:rsidR="00190923" w:rsidRPr="00981405">
        <w:t xml:space="preserve"> </w:t>
      </w:r>
      <w:r w:rsidR="00397032" w:rsidRPr="00981405">
        <w:t>by</w:t>
      </w:r>
      <w:r w:rsidR="00190923" w:rsidRPr="00981405">
        <w:t xml:space="preserve"> </w:t>
      </w:r>
      <w:r w:rsidR="00397032" w:rsidRPr="00981405">
        <w:t>Members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United</w:t>
      </w:r>
      <w:r w:rsidR="00190923" w:rsidRPr="00981405">
        <w:t xml:space="preserve"> </w:t>
      </w:r>
      <w:r w:rsidR="00397032" w:rsidRPr="00981405">
        <w:t>Nations</w:t>
      </w:r>
      <w:r w:rsidR="00190923" w:rsidRPr="00981405">
        <w:t xml:space="preserve"> </w:t>
      </w:r>
      <w:r w:rsidR="00397032" w:rsidRPr="00981405">
        <w:t>and</w:t>
      </w:r>
      <w:r w:rsidR="00190923" w:rsidRPr="00981405">
        <w:t xml:space="preserve"> </w:t>
      </w:r>
      <w:r w:rsidR="00397032" w:rsidRPr="00981405">
        <w:t>evidences</w:t>
      </w:r>
      <w:r w:rsidR="00190923" w:rsidRPr="00981405">
        <w:t xml:space="preserve"> </w:t>
      </w:r>
      <w:r w:rsidR="00397032" w:rsidRPr="00981405">
        <w:t>a</w:t>
      </w:r>
      <w:r w:rsidR="00190923" w:rsidRPr="00981405">
        <w:t xml:space="preserve"> </w:t>
      </w:r>
      <w:r w:rsidR="00397032" w:rsidRPr="00981405">
        <w:t>general</w:t>
      </w:r>
      <w:r w:rsidR="00190923" w:rsidRPr="00981405">
        <w:t xml:space="preserve"> </w:t>
      </w:r>
      <w:r w:rsidR="00397032" w:rsidRPr="00981405">
        <w:t>practice</w:t>
      </w:r>
      <w:r w:rsidR="00190923" w:rsidRPr="00981405">
        <w:t xml:space="preserve"> </w:t>
      </w:r>
      <w:r w:rsidR="00397032" w:rsidRPr="00981405">
        <w:t>of</w:t>
      </w:r>
      <w:r w:rsidR="00190923" w:rsidRPr="00981405">
        <w:t xml:space="preserve"> </w:t>
      </w:r>
      <w:r w:rsidR="00397032" w:rsidRPr="00981405">
        <w:t>that</w:t>
      </w:r>
      <w:r w:rsidR="00190923" w:rsidRPr="00981405">
        <w:t xml:space="preserve"> </w:t>
      </w:r>
      <w:r w:rsidR="00397032" w:rsidRPr="00981405">
        <w:t>Organization.</w:t>
      </w:r>
      <w:r w:rsidRPr="00981405">
        <w:t>”</w:t>
      </w:r>
      <w:r w:rsidR="00397032" w:rsidRPr="00981405">
        <w:rPr>
          <w:rStyle w:val="FootnoteReference"/>
        </w:rPr>
        <w:footnoteReference w:id="334"/>
      </w:r>
    </w:p>
    <w:p w:rsidR="00397032" w:rsidRPr="00981405" w:rsidRDefault="00397032" w:rsidP="00D97463">
      <w:pPr>
        <w:pStyle w:val="SingleTxt"/>
      </w:pPr>
      <w:r w:rsidRPr="00981405">
        <w:t>In</w:t>
      </w:r>
      <w:r w:rsidR="00190923" w:rsidRPr="00981405">
        <w:t xml:space="preserve"> </w:t>
      </w:r>
      <w:r w:rsidRPr="00981405">
        <w:t>this</w:t>
      </w:r>
      <w:r w:rsidR="00190923" w:rsidRPr="00981405">
        <w:t xml:space="preserve"> </w:t>
      </w:r>
      <w:r w:rsidRPr="00981405">
        <w:t>case,</w:t>
      </w:r>
      <w:r w:rsidR="00190923" w:rsidRPr="00981405">
        <w:t xml:space="preserve"> </w:t>
      </w:r>
      <w:r w:rsidRPr="00981405">
        <w:t>the</w:t>
      </w:r>
      <w:r w:rsidR="00190923" w:rsidRPr="00981405">
        <w:t xml:space="preserve"> </w:t>
      </w:r>
      <w:r w:rsidRPr="00981405">
        <w:t>Court</w:t>
      </w:r>
      <w:r w:rsidR="00190923" w:rsidRPr="00981405">
        <w:t xml:space="preserve"> </w:t>
      </w:r>
      <w:r w:rsidRPr="00981405">
        <w:t>emphasized</w:t>
      </w:r>
      <w:r w:rsidR="00190923" w:rsidRPr="00981405">
        <w:t xml:space="preserve"> </w:t>
      </w:r>
      <w:r w:rsidRPr="00981405">
        <w:t>both</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organs</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and</w:t>
      </w:r>
      <w:r w:rsidR="00190923" w:rsidRPr="00981405">
        <w:t xml:space="preserve"> </w:t>
      </w:r>
      <w:r w:rsidRPr="00981405">
        <w:t>the</w:t>
      </w:r>
      <w:r w:rsidR="00190923" w:rsidRPr="00981405">
        <w:t xml:space="preserve"> </w:t>
      </w:r>
      <w:r w:rsidR="00B92E2C" w:rsidRPr="00981405">
        <w:t>“</w:t>
      </w:r>
      <w:r w:rsidRPr="00981405">
        <w:t>general</w:t>
      </w:r>
      <w:r w:rsidR="00190923" w:rsidRPr="00981405">
        <w:t xml:space="preserve"> </w:t>
      </w:r>
      <w:r w:rsidRPr="00981405">
        <w:t>acceptance</w:t>
      </w:r>
      <w:r w:rsidR="00B92E2C" w:rsidRPr="00981405">
        <w:t>”</w:t>
      </w:r>
      <w:r w:rsidR="00190923" w:rsidRPr="00981405">
        <w:t xml:space="preserve"> </w:t>
      </w:r>
      <w:r w:rsidRPr="00981405">
        <w:t>of</w:t>
      </w:r>
      <w:r w:rsidR="00190923" w:rsidRPr="00981405">
        <w:t xml:space="preserve"> </w:t>
      </w:r>
      <w:r w:rsidRPr="00981405">
        <w:t>that</w:t>
      </w:r>
      <w:r w:rsidR="00190923" w:rsidRPr="00981405">
        <w:t xml:space="preserve"> </w:t>
      </w:r>
      <w:r w:rsidRPr="00981405">
        <w:t>practice</w:t>
      </w:r>
      <w:r w:rsidR="00190923" w:rsidRPr="00981405">
        <w:t xml:space="preserve"> </w:t>
      </w:r>
      <w:r w:rsidRPr="00981405">
        <w:t>by</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and</w:t>
      </w:r>
      <w:r w:rsidR="00190923" w:rsidRPr="00981405">
        <w:t xml:space="preserve"> </w:t>
      </w:r>
      <w:r w:rsidRPr="00981405">
        <w:t>characterized</w:t>
      </w:r>
      <w:r w:rsidR="00190923" w:rsidRPr="00981405">
        <w:t xml:space="preserve"> </w:t>
      </w:r>
      <w:r w:rsidRPr="00981405">
        <w:t>the</w:t>
      </w:r>
      <w:r w:rsidR="00190923" w:rsidRPr="00981405">
        <w:t xml:space="preserve"> </w:t>
      </w:r>
      <w:r w:rsidRPr="00981405">
        <w:t>combination</w:t>
      </w:r>
      <w:r w:rsidR="00190923" w:rsidRPr="00981405">
        <w:t xml:space="preserve"> </w:t>
      </w:r>
      <w:r w:rsidRPr="00981405">
        <w:t>of</w:t>
      </w:r>
      <w:r w:rsidR="00190923" w:rsidRPr="00981405">
        <w:t xml:space="preserve"> </w:t>
      </w:r>
      <w:r w:rsidRPr="00981405">
        <w:t>those</w:t>
      </w:r>
      <w:r w:rsidR="00190923" w:rsidRPr="00981405">
        <w:t xml:space="preserve"> </w:t>
      </w:r>
      <w:r w:rsidRPr="00981405">
        <w:t>two</w:t>
      </w:r>
      <w:r w:rsidR="00190923" w:rsidRPr="00981405">
        <w:t xml:space="preserve"> </w:t>
      </w:r>
      <w:r w:rsidRPr="00981405">
        <w:t>elements</w:t>
      </w:r>
      <w:r w:rsidR="00190923" w:rsidRPr="00981405">
        <w:t xml:space="preserve"> </w:t>
      </w:r>
      <w:r w:rsidRPr="00981405">
        <w:t>as</w:t>
      </w:r>
      <w:r w:rsidR="00190923" w:rsidRPr="00981405">
        <w:t xml:space="preserve"> </w:t>
      </w:r>
      <w:r w:rsidRPr="00981405">
        <w:t>being</w:t>
      </w:r>
      <w:r w:rsidR="00190923" w:rsidRPr="00981405">
        <w:t xml:space="preserve"> </w:t>
      </w:r>
      <w:r w:rsidRPr="00981405">
        <w:t>a</w:t>
      </w:r>
      <w:r w:rsidR="00190923" w:rsidRPr="00981405">
        <w:t xml:space="preserve"> </w:t>
      </w:r>
      <w:r w:rsidR="00B92E2C" w:rsidRPr="00981405">
        <w:t>“</w:t>
      </w:r>
      <w:r w:rsidRPr="00981405">
        <w:t>general</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Pr="00981405">
        <w:t>.</w:t>
      </w:r>
      <w:r w:rsidRPr="00981405">
        <w:rPr>
          <w:rStyle w:val="FootnoteReference"/>
        </w:rPr>
        <w:footnoteReference w:id="335"/>
      </w:r>
      <w:r w:rsidR="00190923" w:rsidRPr="00981405">
        <w:t xml:space="preserve"> </w:t>
      </w:r>
      <w:r w:rsidRPr="00981405">
        <w:t>The</w:t>
      </w:r>
      <w:r w:rsidR="00190923" w:rsidRPr="00981405">
        <w:t xml:space="preserve"> </w:t>
      </w:r>
      <w:r w:rsidRPr="00981405">
        <w:t>Court</w:t>
      </w:r>
      <w:r w:rsidR="00190923" w:rsidRPr="00981405">
        <w:t xml:space="preserve"> </w:t>
      </w:r>
      <w:r w:rsidRPr="00981405">
        <w:t>followed</w:t>
      </w:r>
      <w:r w:rsidR="00190923" w:rsidRPr="00981405">
        <w:t xml:space="preserve"> </w:t>
      </w:r>
      <w:r w:rsidRPr="00981405">
        <w:t>this</w:t>
      </w:r>
      <w:r w:rsidR="00190923" w:rsidRPr="00981405">
        <w:t xml:space="preserve"> </w:t>
      </w:r>
      <w:r w:rsidRPr="00981405">
        <w:t>approach</w:t>
      </w:r>
      <w:r w:rsidR="00190923" w:rsidRPr="00981405">
        <w:t xml:space="preserve"> </w:t>
      </w:r>
      <w:r w:rsidRPr="00981405">
        <w:t>in</w:t>
      </w:r>
      <w:r w:rsidR="00190923" w:rsidRPr="00981405">
        <w:t xml:space="preserve"> </w:t>
      </w:r>
      <w:r w:rsidRPr="00981405">
        <w:t>its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regarding</w:t>
      </w:r>
      <w:r w:rsidR="00190923" w:rsidRPr="00981405">
        <w:t xml:space="preserve"> </w:t>
      </w:r>
      <w:r w:rsidRPr="00D97463">
        <w:rPr>
          <w:i/>
          <w:iCs/>
        </w:rPr>
        <w:t>Legal</w:t>
      </w:r>
      <w:r w:rsidR="00190923" w:rsidRPr="00981405">
        <w:rPr>
          <w:i/>
          <w:iCs/>
        </w:rPr>
        <w:t xml:space="preserve"> </w:t>
      </w:r>
      <w:r w:rsidRPr="00D97463">
        <w:rPr>
          <w:i/>
          <w:iCs/>
        </w:rPr>
        <w:t>Consequences</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Construction</w:t>
      </w:r>
      <w:r w:rsidR="00190923" w:rsidRPr="00981405">
        <w:rPr>
          <w:i/>
          <w:iCs/>
        </w:rPr>
        <w:t xml:space="preserve"> </w:t>
      </w:r>
      <w:r w:rsidRPr="00D97463">
        <w:rPr>
          <w:i/>
          <w:iCs/>
        </w:rPr>
        <w:t>of</w:t>
      </w:r>
      <w:r w:rsidR="00190923" w:rsidRPr="00981405">
        <w:rPr>
          <w:i/>
          <w:iCs/>
        </w:rPr>
        <w:t xml:space="preserve"> </w:t>
      </w:r>
      <w:r w:rsidRPr="00D97463">
        <w:rPr>
          <w:i/>
          <w:iCs/>
        </w:rPr>
        <w:t>a</w:t>
      </w:r>
      <w:r w:rsidR="00190923" w:rsidRPr="00981405">
        <w:rPr>
          <w:i/>
          <w:iCs/>
        </w:rPr>
        <w:t xml:space="preserve"> </w:t>
      </w:r>
      <w:r w:rsidRPr="00D97463">
        <w:rPr>
          <w:i/>
          <w:iCs/>
        </w:rPr>
        <w:t>Wall</w:t>
      </w:r>
      <w:r w:rsidR="00190923" w:rsidRPr="00981405">
        <w:rPr>
          <w:i/>
          <w:iCs/>
        </w:rPr>
        <w:t xml:space="preserve"> </w:t>
      </w:r>
      <w:r w:rsidRPr="00D97463">
        <w:rPr>
          <w:i/>
          <w:iCs/>
        </w:rPr>
        <w:t>in</w:t>
      </w:r>
      <w:r w:rsidR="00190923" w:rsidRPr="00981405">
        <w:rPr>
          <w:i/>
          <w:iCs/>
        </w:rPr>
        <w:t xml:space="preserve"> </w:t>
      </w:r>
      <w:r w:rsidRPr="00D97463">
        <w:rPr>
          <w:i/>
          <w:iCs/>
        </w:rPr>
        <w:t>the</w:t>
      </w:r>
      <w:r w:rsidR="00190923" w:rsidRPr="00981405">
        <w:rPr>
          <w:i/>
          <w:iCs/>
        </w:rPr>
        <w:t xml:space="preserve"> </w:t>
      </w:r>
      <w:r w:rsidRPr="00D97463">
        <w:rPr>
          <w:i/>
          <w:iCs/>
        </w:rPr>
        <w:t>Occupied</w:t>
      </w:r>
      <w:r w:rsidR="00190923" w:rsidRPr="00981405">
        <w:rPr>
          <w:i/>
          <w:iCs/>
        </w:rPr>
        <w:t xml:space="preserve"> </w:t>
      </w:r>
      <w:r w:rsidRPr="00D97463">
        <w:rPr>
          <w:i/>
          <w:iCs/>
        </w:rPr>
        <w:t>Palestinian</w:t>
      </w:r>
      <w:r w:rsidR="00190923" w:rsidRPr="00981405">
        <w:rPr>
          <w:i/>
          <w:iCs/>
        </w:rPr>
        <w:t xml:space="preserve"> </w:t>
      </w:r>
      <w:r w:rsidRPr="00D97463">
        <w:rPr>
          <w:i/>
          <w:iCs/>
        </w:rPr>
        <w:t>Territory</w:t>
      </w:r>
      <w:r w:rsidR="00190923" w:rsidRPr="00981405">
        <w:t xml:space="preserve"> </w:t>
      </w:r>
      <w:r w:rsidRPr="00981405">
        <w:t>by</w:t>
      </w:r>
      <w:r w:rsidR="00190923" w:rsidRPr="00981405">
        <w:t xml:space="preserve"> </w:t>
      </w:r>
      <w:r w:rsidRPr="00981405">
        <w:t>stating</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Court</w:t>
      </w:r>
      <w:r w:rsidR="00190923" w:rsidRPr="00981405">
        <w:t xml:space="preserve"> </w:t>
      </w:r>
      <w:r w:rsidR="00397032" w:rsidRPr="00981405">
        <w:t>considers</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D97463">
        <w:rPr>
          <w:i/>
          <w:iCs/>
        </w:rPr>
        <w:t>accepted</w:t>
      </w:r>
      <w:r w:rsidR="00190923" w:rsidRPr="00981405">
        <w:t xml:space="preserve"> </w:t>
      </w:r>
      <w:r w:rsidR="00397032" w:rsidRPr="00981405">
        <w:t>[emphasis</w:t>
      </w:r>
      <w:r w:rsidR="00190923" w:rsidRPr="00981405">
        <w:t xml:space="preserve"> </w:t>
      </w:r>
      <w:r w:rsidR="00397032" w:rsidRPr="00981405">
        <w:t>added]</w:t>
      </w:r>
      <w:r w:rsidR="00190923" w:rsidRPr="00981405">
        <w:t xml:space="preserve"> </w:t>
      </w:r>
      <w:r w:rsidR="00397032" w:rsidRPr="00981405">
        <w:t>practice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General</w:t>
      </w:r>
      <w:r w:rsidR="00190923" w:rsidRPr="00981405">
        <w:t xml:space="preserve"> </w:t>
      </w:r>
      <w:r w:rsidR="00397032" w:rsidRPr="00981405">
        <w:t>Assembly,</w:t>
      </w:r>
      <w:r w:rsidR="00190923" w:rsidRPr="00981405">
        <w:t xml:space="preserve"> </w:t>
      </w:r>
      <w:r w:rsidR="00397032" w:rsidRPr="00981405">
        <w:t>as</w:t>
      </w:r>
      <w:r w:rsidR="00190923" w:rsidRPr="00981405">
        <w:t xml:space="preserve"> </w:t>
      </w:r>
      <w:r w:rsidR="00397032" w:rsidRPr="00981405">
        <w:t>it</w:t>
      </w:r>
      <w:r w:rsidR="00190923" w:rsidRPr="00981405">
        <w:t xml:space="preserve"> </w:t>
      </w:r>
      <w:r w:rsidR="00397032" w:rsidRPr="00981405">
        <w:t>has</w:t>
      </w:r>
      <w:r w:rsidR="00190923" w:rsidRPr="00981405">
        <w:t xml:space="preserve"> </w:t>
      </w:r>
      <w:r w:rsidR="00397032" w:rsidRPr="00981405">
        <w:t>evolved,</w:t>
      </w:r>
      <w:r w:rsidR="00190923" w:rsidRPr="00981405">
        <w:t xml:space="preserve"> </w:t>
      </w:r>
      <w:r w:rsidR="00397032" w:rsidRPr="00981405">
        <w:t>is</w:t>
      </w:r>
      <w:r w:rsidR="00190923" w:rsidRPr="00981405">
        <w:t xml:space="preserve"> </w:t>
      </w:r>
      <w:r w:rsidR="00397032" w:rsidRPr="00981405">
        <w:t>consistent</w:t>
      </w:r>
      <w:r w:rsidR="00190923" w:rsidRPr="00981405">
        <w:t xml:space="preserve"> </w:t>
      </w:r>
      <w:r w:rsidR="00397032" w:rsidRPr="00981405">
        <w:t>with</w:t>
      </w:r>
      <w:r w:rsidR="00190923" w:rsidRPr="00981405">
        <w:t xml:space="preserve"> </w:t>
      </w:r>
      <w:r w:rsidR="00397032" w:rsidRPr="00981405">
        <w:t>Article</w:t>
      </w:r>
      <w:r w:rsidR="00190923" w:rsidRPr="00981405">
        <w:t xml:space="preserve"> </w:t>
      </w:r>
      <w:r w:rsidR="00397032" w:rsidRPr="00981405">
        <w:t>12,</w:t>
      </w:r>
      <w:r w:rsidR="00190923" w:rsidRPr="00981405">
        <w:t xml:space="preserve"> </w:t>
      </w:r>
      <w:r w:rsidR="00397032" w:rsidRPr="00981405">
        <w:t>paragraph</w:t>
      </w:r>
      <w:r w:rsidR="00190923" w:rsidRPr="00981405">
        <w:t xml:space="preserve"> </w:t>
      </w:r>
      <w:r w:rsidR="00397032" w:rsidRPr="00981405">
        <w:t>1,</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Charter.</w:t>
      </w:r>
      <w:r w:rsidRPr="00981405">
        <w:t>”</w:t>
      </w:r>
      <w:r w:rsidR="00397032" w:rsidRPr="00981405">
        <w:rPr>
          <w:rStyle w:val="FootnoteReference"/>
        </w:rPr>
        <w:footnoteReference w:id="336"/>
      </w:r>
    </w:p>
    <w:p w:rsidR="00397032" w:rsidRPr="00981405" w:rsidRDefault="00397032" w:rsidP="00D97463">
      <w:pPr>
        <w:pStyle w:val="SingleTxt"/>
      </w:pPr>
      <w:r w:rsidRPr="00981405">
        <w:t>By</w:t>
      </w:r>
      <w:r w:rsidR="00190923" w:rsidRPr="00981405">
        <w:t xml:space="preserve"> </w:t>
      </w:r>
      <w:r w:rsidRPr="00981405">
        <w:t>speaking</w:t>
      </w:r>
      <w:r w:rsidR="00190923" w:rsidRPr="00981405">
        <w:t xml:space="preserve"> </w:t>
      </w:r>
      <w:r w:rsidRPr="00981405">
        <w:t>of</w:t>
      </w:r>
      <w:r w:rsidR="00190923" w:rsidRPr="00981405">
        <w:t xml:space="preserve"> </w:t>
      </w:r>
      <w:r w:rsidRPr="00981405">
        <w:t>the</w:t>
      </w:r>
      <w:r w:rsidR="00190923" w:rsidRPr="00981405">
        <w:t xml:space="preserve"> </w:t>
      </w:r>
      <w:r w:rsidR="00B92E2C" w:rsidRPr="00981405">
        <w:t>“</w:t>
      </w:r>
      <w:r w:rsidRPr="00981405">
        <w:t>accepted</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B92E2C" w:rsidRPr="00981405">
        <w:t>”</w:t>
      </w:r>
      <w:r w:rsidRPr="00981405">
        <w:t>,</w:t>
      </w:r>
      <w:r w:rsidRPr="00981405">
        <w:rPr>
          <w:rStyle w:val="FootnoteReference"/>
        </w:rPr>
        <w:footnoteReference w:id="337"/>
      </w:r>
      <w:r w:rsidR="00190923" w:rsidRPr="00981405">
        <w:t xml:space="preserve"> </w:t>
      </w:r>
      <w:r w:rsidRPr="00981405">
        <w:t>the</w:t>
      </w:r>
      <w:r w:rsidR="00190923" w:rsidRPr="00981405">
        <w:t xml:space="preserve"> </w:t>
      </w:r>
      <w:r w:rsidRPr="00981405">
        <w:t>Court</w:t>
      </w:r>
      <w:r w:rsidR="00190923" w:rsidRPr="00981405">
        <w:t xml:space="preserve"> </w:t>
      </w:r>
      <w:r w:rsidRPr="00981405">
        <w:t>implicitly</w:t>
      </w:r>
      <w:r w:rsidR="00190923" w:rsidRPr="00981405">
        <w:t xml:space="preserve"> </w:t>
      </w:r>
      <w:r w:rsidRPr="00981405">
        <w:t>affirmed</w:t>
      </w:r>
      <w:r w:rsidR="00190923" w:rsidRPr="00981405">
        <w:t xml:space="preserve"> </w:t>
      </w:r>
      <w:r w:rsidRPr="00981405">
        <w:t>that</w:t>
      </w:r>
      <w:r w:rsidR="00190923" w:rsidRPr="00981405">
        <w:t xml:space="preserve"> </w:t>
      </w:r>
      <w:r w:rsidRPr="00981405">
        <w:t>acquiescence</w:t>
      </w:r>
      <w:r w:rsidR="00190923" w:rsidRPr="00981405">
        <w:t xml:space="preserve"> </w:t>
      </w:r>
      <w:r w:rsidRPr="00981405">
        <w:t>on</w:t>
      </w:r>
      <w:r w:rsidR="00190923" w:rsidRPr="00981405">
        <w:t xml:space="preserve"> </w:t>
      </w:r>
      <w:r w:rsidRPr="00981405">
        <w:t>behalf</w:t>
      </w:r>
      <w:r w:rsidR="00190923" w:rsidRPr="00981405">
        <w:t xml:space="preserve"> </w:t>
      </w:r>
      <w:r w:rsidRPr="00981405">
        <w:t>of</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practice</w:t>
      </w:r>
      <w:r w:rsidR="00190923" w:rsidRPr="00981405">
        <w:t xml:space="preserve"> </w:t>
      </w:r>
      <w:r w:rsidRPr="00981405">
        <w:t>followed</w:t>
      </w:r>
      <w:r w:rsidR="00190923" w:rsidRPr="00981405">
        <w:t xml:space="preserve"> </w:t>
      </w:r>
      <w:r w:rsidRPr="00981405">
        <w:t>by</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permits</w:t>
      </w:r>
      <w:r w:rsidR="00190923" w:rsidRPr="00981405">
        <w:t xml:space="preserve"> </w:t>
      </w:r>
      <w:r w:rsidRPr="00981405">
        <w:t>to</w:t>
      </w:r>
      <w:r w:rsidR="00190923" w:rsidRPr="00981405">
        <w:t xml:space="preserve"> </w:t>
      </w:r>
      <w:r w:rsidRPr="00981405">
        <w:t>establish</w:t>
      </w:r>
      <w:r w:rsidR="00190923" w:rsidRPr="00981405">
        <w:t xml:space="preserve"> </w:t>
      </w:r>
      <w:r w:rsidRPr="00981405">
        <w:t>the</w:t>
      </w:r>
      <w:r w:rsidR="00190923" w:rsidRPr="00981405">
        <w:t xml:space="preserve"> </w:t>
      </w:r>
      <w:r w:rsidRPr="00981405">
        <w:t>agreement</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relevant</w:t>
      </w:r>
      <w:r w:rsidR="00190923" w:rsidRPr="00981405">
        <w:t xml:space="preserve"> </w:t>
      </w:r>
      <w:r w:rsidRPr="00981405">
        <w:t>treaty</w:t>
      </w:r>
      <w:r w:rsidR="00190923" w:rsidRPr="00981405">
        <w:t xml:space="preserve"> </w:t>
      </w:r>
      <w:r w:rsidRPr="00981405">
        <w:t>provision.</w:t>
      </w:r>
      <w:bookmarkStart w:id="112" w:name="_Ref424123007"/>
      <w:r w:rsidRPr="00981405">
        <w:rPr>
          <w:rStyle w:val="FootnoteReference"/>
        </w:rPr>
        <w:footnoteReference w:id="338"/>
      </w:r>
      <w:bookmarkEnd w:id="112"/>
      <w:r w:rsidR="00190923" w:rsidRPr="00981405">
        <w:t xml:space="preserve"> </w:t>
      </w:r>
    </w:p>
    <w:p w:rsidR="00397032" w:rsidRPr="00981405" w:rsidRDefault="00397032" w:rsidP="00D97463">
      <w:pPr>
        <w:pStyle w:val="SingleTxt"/>
      </w:pPr>
      <w:r w:rsidRPr="00981405">
        <w:lastRenderedPageBreak/>
        <w:t>(23)</w:t>
      </w:r>
      <w:r w:rsidRPr="00981405">
        <w:tab/>
        <w:t>On</w:t>
      </w:r>
      <w:r w:rsidR="00190923" w:rsidRPr="00981405">
        <w:t xml:space="preserve"> </w:t>
      </w:r>
      <w:r w:rsidRPr="00981405">
        <w:t>this</w:t>
      </w:r>
      <w:r w:rsidR="00190923" w:rsidRPr="00981405">
        <w:t xml:space="preserve"> </w:t>
      </w:r>
      <w:r w:rsidRPr="00981405">
        <w:t>basis</w:t>
      </w:r>
      <w:r w:rsidR="00190923" w:rsidRPr="00981405">
        <w:t xml:space="preserve"> </w:t>
      </w:r>
      <w:r w:rsidRPr="00981405">
        <w:t>it</w:t>
      </w:r>
      <w:r w:rsidR="00190923" w:rsidRPr="00981405">
        <w:t xml:space="preserve"> </w:t>
      </w:r>
      <w:r w:rsidRPr="00981405">
        <w:t>is</w:t>
      </w:r>
      <w:r w:rsidR="00190923" w:rsidRPr="00981405">
        <w:t xml:space="preserve"> </w:t>
      </w:r>
      <w:r w:rsidRPr="00981405">
        <w:t>reasonable</w:t>
      </w:r>
      <w:r w:rsidR="00190923" w:rsidRPr="00981405">
        <w:t xml:space="preserve"> </w:t>
      </w:r>
      <w:r w:rsidRPr="00981405">
        <w:t>to</w:t>
      </w:r>
      <w:r w:rsidR="00190923" w:rsidRPr="00981405">
        <w:t xml:space="preserve"> </w:t>
      </w:r>
      <w:r w:rsidRPr="00981405">
        <w:t>consider</w:t>
      </w:r>
      <w:r w:rsidR="00190923" w:rsidRPr="00981405">
        <w:t xml:space="preserve"> </w:t>
      </w:r>
      <w:r w:rsidR="00B92E2C" w:rsidRPr="00981405">
        <w:t>“</w:t>
      </w:r>
      <w:r w:rsidRPr="00981405">
        <w:t>that</w:t>
      </w:r>
      <w:r w:rsidR="00190923" w:rsidRPr="00981405">
        <w:t xml:space="preserve"> </w:t>
      </w:r>
      <w:r w:rsidRPr="00981405">
        <w:t>relevant</w:t>
      </w:r>
      <w:r w:rsidR="00190923" w:rsidRPr="00981405">
        <w:t xml:space="preserve"> </w:t>
      </w:r>
      <w:r w:rsidRPr="00981405">
        <w:t>practice</w:t>
      </w:r>
      <w:r w:rsidR="00190923" w:rsidRPr="00981405">
        <w:t xml:space="preserve"> </w:t>
      </w:r>
      <w:r w:rsidRPr="00981405">
        <w:t>will</w:t>
      </w:r>
      <w:r w:rsidR="00190923" w:rsidRPr="00981405">
        <w:t xml:space="preserve"> </w:t>
      </w:r>
      <w:r w:rsidRPr="00981405">
        <w:t>usually</w:t>
      </w:r>
      <w:r w:rsidR="00190923" w:rsidRPr="00981405">
        <w:t xml:space="preserve"> </w:t>
      </w:r>
      <w:r w:rsidRPr="00981405">
        <w:t>be</w:t>
      </w:r>
      <w:r w:rsidR="00190923" w:rsidRPr="00981405">
        <w:t xml:space="preserve"> </w:t>
      </w:r>
      <w:r w:rsidRPr="00981405">
        <w:t>that</w:t>
      </w:r>
      <w:r w:rsidR="00190923" w:rsidRPr="00981405">
        <w:t xml:space="preserve"> </w:t>
      </w:r>
      <w:r w:rsidRPr="00981405">
        <w:t>of</w:t>
      </w:r>
      <w:r w:rsidR="00190923" w:rsidRPr="00981405">
        <w:t xml:space="preserve"> </w:t>
      </w:r>
      <w:r w:rsidRPr="00981405">
        <w:t>those</w:t>
      </w:r>
      <w:r w:rsidR="00190923" w:rsidRPr="00981405">
        <w:t xml:space="preserve"> </w:t>
      </w:r>
      <w:r w:rsidRPr="00981405">
        <w:t>on</w:t>
      </w:r>
      <w:r w:rsidR="00190923" w:rsidRPr="00981405">
        <w:t xml:space="preserve"> </w:t>
      </w:r>
      <w:r w:rsidRPr="00981405">
        <w:t>whom</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of</w:t>
      </w:r>
      <w:r w:rsidR="00190923" w:rsidRPr="00981405">
        <w:t xml:space="preserve"> </w:t>
      </w:r>
      <w:r w:rsidRPr="00981405">
        <w:t>performance</w:t>
      </w:r>
      <w:r w:rsidR="00190923" w:rsidRPr="00981405">
        <w:t xml:space="preserve"> </w:t>
      </w:r>
      <w:r w:rsidRPr="00981405">
        <w:t>falls</w:t>
      </w:r>
      <w:r w:rsidR="00B92E2C" w:rsidRPr="00981405">
        <w:t>”</w:t>
      </w:r>
      <w:r w:rsidRPr="00981405">
        <w:t>,</w:t>
      </w:r>
      <w:r w:rsidRPr="00981405">
        <w:rPr>
          <w:rStyle w:val="FootnoteReference"/>
        </w:rPr>
        <w:footnoteReference w:id="339"/>
      </w:r>
      <w:r w:rsidR="00190923" w:rsidRPr="00981405">
        <w:t xml:space="preserve"> </w:t>
      </w:r>
      <w:r w:rsidRPr="00981405">
        <w:t>in</w:t>
      </w:r>
      <w:r w:rsidR="00190923" w:rsidRPr="00981405">
        <w:t xml:space="preserve"> </w:t>
      </w:r>
      <w:r w:rsidRPr="00981405">
        <w:t>the</w:t>
      </w:r>
      <w:r w:rsidR="00190923" w:rsidRPr="00981405">
        <w:t xml:space="preserve"> </w:t>
      </w:r>
      <w:r w:rsidRPr="00981405">
        <w:t>sense</w:t>
      </w:r>
      <w:r w:rsidR="00190923" w:rsidRPr="00981405">
        <w:t xml:space="preserve"> </w:t>
      </w:r>
      <w:r w:rsidRPr="00981405">
        <w:t>that</w:t>
      </w:r>
      <w:r w:rsidR="00190923" w:rsidRPr="00981405">
        <w:t xml:space="preserve"> </w:t>
      </w:r>
      <w:r w:rsidR="00B92E2C" w:rsidRPr="00981405">
        <w:t>“</w:t>
      </w:r>
      <w:r w:rsidRPr="00981405">
        <w:t>where</w:t>
      </w:r>
      <w:r w:rsidR="00190923" w:rsidRPr="00981405">
        <w:t xml:space="preserve"> </w:t>
      </w:r>
      <w:r w:rsidRPr="00981405">
        <w:t>States</w:t>
      </w:r>
      <w:r w:rsidR="00190923" w:rsidRPr="00981405">
        <w:t xml:space="preserve"> </w:t>
      </w:r>
      <w:r w:rsidRPr="00981405">
        <w:t>by</w:t>
      </w:r>
      <w:r w:rsidR="00190923" w:rsidRPr="00981405">
        <w:t xml:space="preserve"> </w:t>
      </w:r>
      <w:r w:rsidRPr="00981405">
        <w:t>treaty</w:t>
      </w:r>
      <w:r w:rsidR="00190923" w:rsidRPr="00981405">
        <w:t xml:space="preserve"> </w:t>
      </w:r>
      <w:r w:rsidRPr="00981405">
        <w:t>entrust</w:t>
      </w:r>
      <w:r w:rsidR="00190923" w:rsidRPr="00981405">
        <w:t xml:space="preserve"> </w:t>
      </w:r>
      <w:r w:rsidRPr="00981405">
        <w:t>the</w:t>
      </w:r>
      <w:r w:rsidR="00190923" w:rsidRPr="00981405">
        <w:t xml:space="preserve"> </w:t>
      </w:r>
      <w:r w:rsidRPr="00981405">
        <w:t>performance</w:t>
      </w:r>
      <w:r w:rsidR="00190923" w:rsidRPr="00981405">
        <w:t xml:space="preserve"> </w:t>
      </w:r>
      <w:r w:rsidRPr="00981405">
        <w:t>of</w:t>
      </w:r>
      <w:r w:rsidR="00190923" w:rsidRPr="00981405">
        <w:t xml:space="preserve"> </w:t>
      </w:r>
      <w:r w:rsidRPr="00981405">
        <w:t>activities</w:t>
      </w:r>
      <w:r w:rsidR="00190923" w:rsidRPr="00981405">
        <w:t xml:space="preserve"> </w:t>
      </w:r>
      <w:r w:rsidRPr="00981405">
        <w:t>to</w:t>
      </w:r>
      <w:r w:rsidR="00190923" w:rsidRPr="00981405">
        <w:t xml:space="preserve"> </w:t>
      </w:r>
      <w:r w:rsidRPr="00981405">
        <w:t>an</w:t>
      </w:r>
      <w:r w:rsidR="00190923" w:rsidRPr="00981405">
        <w:t xml:space="preserve"> </w:t>
      </w:r>
      <w:r w:rsidRPr="00981405">
        <w:t>organization,</w:t>
      </w:r>
      <w:r w:rsidR="00190923" w:rsidRPr="00981405">
        <w:t xml:space="preserve"> </w:t>
      </w:r>
      <w:r w:rsidRPr="00981405">
        <w:t>how</w:t>
      </w:r>
      <w:r w:rsidR="00190923" w:rsidRPr="00981405">
        <w:t xml:space="preserve"> </w:t>
      </w:r>
      <w:r w:rsidRPr="00981405">
        <w:t>those</w:t>
      </w:r>
      <w:r w:rsidR="00190923" w:rsidRPr="00981405">
        <w:t xml:space="preserve"> </w:t>
      </w:r>
      <w:r w:rsidRPr="00981405">
        <w:t>activities</w:t>
      </w:r>
      <w:r w:rsidR="00190923" w:rsidRPr="00981405">
        <w:t xml:space="preserve"> </w:t>
      </w:r>
      <w:r w:rsidRPr="00981405">
        <w:t>are</w:t>
      </w:r>
      <w:r w:rsidR="00190923" w:rsidRPr="00981405">
        <w:t xml:space="preserve"> </w:t>
      </w:r>
      <w:r w:rsidRPr="00981405">
        <w:t>conducted</w:t>
      </w:r>
      <w:r w:rsidR="00190923" w:rsidRPr="00981405">
        <w:t xml:space="preserve"> </w:t>
      </w:r>
      <w:r w:rsidRPr="00981405">
        <w:t>can</w:t>
      </w:r>
      <w:r w:rsidR="00190923" w:rsidRPr="00981405">
        <w:t xml:space="preserve"> </w:t>
      </w:r>
      <w:r w:rsidRPr="00981405">
        <w:t>constitute</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the</w:t>
      </w:r>
      <w:r w:rsidR="00190923" w:rsidRPr="00981405">
        <w:t xml:space="preserve"> </w:t>
      </w:r>
      <w:r w:rsidRPr="00981405">
        <w:t>treaty;</w:t>
      </w:r>
      <w:r w:rsidR="00190923" w:rsidRPr="00981405">
        <w:t xml:space="preserve"> </w:t>
      </w:r>
      <w:r w:rsidRPr="00981405">
        <w:t>but</w:t>
      </w:r>
      <w:r w:rsidR="00190923" w:rsidRPr="00981405">
        <w:t xml:space="preserve"> </w:t>
      </w:r>
      <w:r w:rsidRPr="00981405">
        <w:t>whether</w:t>
      </w:r>
      <w:r w:rsidR="00190923" w:rsidRPr="00981405">
        <w:t xml:space="preserve"> </w:t>
      </w:r>
      <w:r w:rsidRPr="00981405">
        <w:t>such</w:t>
      </w:r>
      <w:r w:rsidR="00190923" w:rsidRPr="00981405">
        <w:t xml:space="preserve"> </w:t>
      </w:r>
      <w:r w:rsidRPr="00981405">
        <w:t>practice</w:t>
      </w:r>
      <w:r w:rsidR="00190923" w:rsidRPr="00981405">
        <w:t xml:space="preserve"> </w:t>
      </w:r>
      <w:r w:rsidRPr="00981405">
        <w:t>establishes</w:t>
      </w:r>
      <w:r w:rsidR="00190923" w:rsidRPr="00981405">
        <w:t xml:space="preserve"> </w:t>
      </w:r>
      <w:r w:rsidRPr="00981405">
        <w:t>agreement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treaty</w:t>
      </w:r>
      <w:r w:rsidR="00B92E2C" w:rsidRPr="00981405">
        <w:t>’</w:t>
      </w:r>
      <w:r w:rsidRPr="00981405">
        <w:t>s</w:t>
      </w:r>
      <w:r w:rsidR="00190923" w:rsidRPr="00981405">
        <w:t xml:space="preserve"> </w:t>
      </w:r>
      <w:r w:rsidRPr="00981405">
        <w:t>interpretation</w:t>
      </w:r>
      <w:r w:rsidR="00190923" w:rsidRPr="00981405">
        <w:t xml:space="preserve"> </w:t>
      </w:r>
      <w:r w:rsidRPr="00981405">
        <w:t>may</w:t>
      </w:r>
      <w:r w:rsidR="00190923" w:rsidRPr="00981405">
        <w:t xml:space="preserve"> </w:t>
      </w:r>
      <w:r w:rsidRPr="00981405">
        <w:t>require</w:t>
      </w:r>
      <w:r w:rsidR="00190923" w:rsidRPr="00981405">
        <w:t xml:space="preserve"> </w:t>
      </w:r>
      <w:r w:rsidRPr="00981405">
        <w:t>account</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of</w:t>
      </w:r>
      <w:r w:rsidR="00190923" w:rsidRPr="00981405">
        <w:t xml:space="preserve"> </w:t>
      </w:r>
      <w:r w:rsidRPr="00981405">
        <w:t>further</w:t>
      </w:r>
      <w:r w:rsidR="00190923" w:rsidRPr="00981405">
        <w:t xml:space="preserve"> </w:t>
      </w:r>
      <w:r w:rsidRPr="00981405">
        <w:t>factors.</w:t>
      </w:r>
      <w:r w:rsidR="00B92E2C" w:rsidRPr="00981405">
        <w:t>”</w:t>
      </w:r>
      <w:r w:rsidRPr="00981405">
        <w:rPr>
          <w:rStyle w:val="FootnoteReference"/>
        </w:rPr>
        <w:footnoteReference w:id="340"/>
      </w:r>
    </w:p>
    <w:p w:rsidR="00397032" w:rsidRPr="00981405" w:rsidRDefault="00397032" w:rsidP="00D97463">
      <w:pPr>
        <w:pStyle w:val="SingleTxt"/>
      </w:pPr>
      <w:r w:rsidRPr="00981405">
        <w:t>(24)</w:t>
      </w:r>
      <w:r w:rsidRPr="00981405">
        <w:tab/>
        <w:t>Accordingly,</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Whaling</w:t>
      </w:r>
      <w:r w:rsidR="00190923" w:rsidRPr="00981405">
        <w:rPr>
          <w:i/>
          <w:iCs/>
        </w:rPr>
        <w:t xml:space="preserve"> </w:t>
      </w:r>
      <w:r w:rsidRPr="00D97463">
        <w:rPr>
          <w:i/>
          <w:iCs/>
        </w:rPr>
        <w:t>in</w:t>
      </w:r>
      <w:r w:rsidR="00190923" w:rsidRPr="00981405">
        <w:rPr>
          <w:i/>
          <w:iCs/>
        </w:rPr>
        <w:t xml:space="preserve"> </w:t>
      </w:r>
      <w:r w:rsidRPr="00D97463">
        <w:rPr>
          <w:i/>
          <w:iCs/>
        </w:rPr>
        <w:t>the</w:t>
      </w:r>
      <w:r w:rsidR="00190923" w:rsidRPr="00981405">
        <w:rPr>
          <w:i/>
          <w:iCs/>
        </w:rPr>
        <w:t xml:space="preserve"> </w:t>
      </w:r>
      <w:r w:rsidRPr="00D97463">
        <w:rPr>
          <w:i/>
          <w:iCs/>
        </w:rPr>
        <w:t>Antarctic</w:t>
      </w:r>
      <w:r w:rsidR="00190923" w:rsidRPr="00981405">
        <w:t xml:space="preserve"> </w:t>
      </w:r>
      <w:r w:rsidRPr="00981405">
        <w:t>case,</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referred</w:t>
      </w:r>
      <w:r w:rsidR="00190923" w:rsidRPr="00981405">
        <w:t xml:space="preserve"> </w:t>
      </w:r>
      <w:r w:rsidRPr="00981405">
        <w:t>to</w:t>
      </w:r>
      <w:r w:rsidR="00190923" w:rsidRPr="00981405">
        <w:t xml:space="preserve"> </w:t>
      </w:r>
      <w:r w:rsidRPr="00981405">
        <w:t>(non-binding)</w:t>
      </w:r>
      <w:r w:rsidR="00190923" w:rsidRPr="00981405">
        <w:t xml:space="preserve"> </w:t>
      </w:r>
      <w:r w:rsidRPr="00981405">
        <w:t>recommendations</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Whaling</w:t>
      </w:r>
      <w:r w:rsidR="00190923" w:rsidRPr="00981405">
        <w:t xml:space="preserve"> </w:t>
      </w:r>
      <w:r w:rsidRPr="00981405">
        <w:t>Commission</w:t>
      </w:r>
      <w:r w:rsidR="00190923" w:rsidRPr="00981405">
        <w:t xml:space="preserve"> </w:t>
      </w:r>
      <w:r w:rsidRPr="00981405">
        <w:t>(which</w:t>
      </w:r>
      <w:r w:rsidR="00190923" w:rsidRPr="00981405">
        <w:t xml:space="preserve"> </w:t>
      </w:r>
      <w:r w:rsidRPr="00981405">
        <w:t>is</w:t>
      </w:r>
      <w:r w:rsidR="00190923" w:rsidRPr="00981405">
        <w:t xml:space="preserve"> </w:t>
      </w:r>
      <w:r w:rsidRPr="00981405">
        <w:t>both</w:t>
      </w:r>
      <w:r w:rsidR="00190923" w:rsidRPr="00981405">
        <w:t xml:space="preserve"> </w:t>
      </w:r>
      <w:r w:rsidRPr="00981405">
        <w:t>the</w:t>
      </w:r>
      <w:r w:rsidR="00190923" w:rsidRPr="00981405">
        <w:t xml:space="preserve"> </w:t>
      </w:r>
      <w:r w:rsidRPr="00981405">
        <w:t>name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established</w:t>
      </w:r>
      <w:r w:rsidR="00190923" w:rsidRPr="00981405">
        <w:t xml:space="preserve"> </w:t>
      </w:r>
      <w:r w:rsidRPr="00981405">
        <w:t>by</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for</w:t>
      </w:r>
      <w:r w:rsidR="00190923" w:rsidRPr="00981405">
        <w:t xml:space="preserve"> </w:t>
      </w:r>
      <w:r w:rsidRPr="00981405">
        <w:t>the</w:t>
      </w:r>
      <w:r w:rsidR="00190923" w:rsidRPr="00981405">
        <w:t xml:space="preserve"> </w:t>
      </w:r>
      <w:r w:rsidRPr="00981405">
        <w:t>Regulation</w:t>
      </w:r>
      <w:r w:rsidR="00190923" w:rsidRPr="00981405">
        <w:t xml:space="preserve"> </w:t>
      </w:r>
      <w:r w:rsidRPr="00981405">
        <w:t>of</w:t>
      </w:r>
      <w:r w:rsidR="00190923" w:rsidRPr="00981405">
        <w:t xml:space="preserve"> </w:t>
      </w:r>
      <w:r w:rsidRPr="00981405">
        <w:t>Whaling</w:t>
      </w:r>
      <w:bookmarkStart w:id="113" w:name="_Ref424057905"/>
      <w:r w:rsidRPr="00981405">
        <w:rPr>
          <w:rStyle w:val="FootnoteReference"/>
        </w:rPr>
        <w:footnoteReference w:id="341"/>
      </w:r>
      <w:bookmarkEnd w:id="113"/>
      <w:r w:rsidR="00190923" w:rsidRPr="00981405">
        <w:t xml:space="preserve"> </w:t>
      </w:r>
      <w:r w:rsidRPr="00981405">
        <w:t>and</w:t>
      </w:r>
      <w:r w:rsidR="00190923" w:rsidRPr="00981405">
        <w:t xml:space="preserve"> </w:t>
      </w:r>
      <w:r w:rsidRPr="00981405">
        <w:t>that</w:t>
      </w:r>
      <w:r w:rsidR="00190923" w:rsidRPr="00981405">
        <w:t xml:space="preserve"> </w:t>
      </w:r>
      <w:r w:rsidRPr="00981405">
        <w:t>of</w:t>
      </w:r>
      <w:r w:rsidR="00190923" w:rsidRPr="00981405">
        <w:t xml:space="preserve"> </w:t>
      </w:r>
      <w:r w:rsidRPr="00981405">
        <w:t>an</w:t>
      </w:r>
      <w:r w:rsidR="00190923" w:rsidRPr="00981405">
        <w:t xml:space="preserve"> </w:t>
      </w:r>
      <w:r w:rsidRPr="00981405">
        <w:t>organ</w:t>
      </w:r>
      <w:r w:rsidR="00190923" w:rsidRPr="00981405">
        <w:t xml:space="preserve"> </w:t>
      </w:r>
      <w:r w:rsidRPr="00981405">
        <w:t>thereof),</w:t>
      </w:r>
      <w:r w:rsidR="00190923" w:rsidRPr="00981405">
        <w:t xml:space="preserve"> </w:t>
      </w:r>
      <w:r w:rsidRPr="00981405">
        <w:t>and</w:t>
      </w:r>
      <w:r w:rsidR="00190923" w:rsidRPr="00981405">
        <w:t xml:space="preserve"> </w:t>
      </w:r>
      <w:r w:rsidRPr="00981405">
        <w:t>clarified</w:t>
      </w:r>
      <w:r w:rsidR="00190923" w:rsidRPr="00981405">
        <w:t xml:space="preserve"> </w:t>
      </w:r>
      <w:r w:rsidRPr="00981405">
        <w:t>that</w:t>
      </w:r>
      <w:r w:rsidR="00190923" w:rsidRPr="00981405">
        <w:t xml:space="preserve"> </w:t>
      </w:r>
      <w:r w:rsidRPr="00981405">
        <w:t>when</w:t>
      </w:r>
      <w:r w:rsidR="00190923" w:rsidRPr="00981405">
        <w:t xml:space="preserve"> </w:t>
      </w:r>
      <w:r w:rsidRPr="00981405">
        <w:t>such</w:t>
      </w:r>
      <w:r w:rsidR="00190923" w:rsidRPr="00981405">
        <w:t xml:space="preserve"> </w:t>
      </w:r>
      <w:r w:rsidRPr="00981405">
        <w:t>recommendations</w:t>
      </w:r>
      <w:r w:rsidR="00190923" w:rsidRPr="00981405">
        <w:t xml:space="preserve"> </w:t>
      </w:r>
      <w:r w:rsidRPr="00981405">
        <w:t>are</w:t>
      </w:r>
      <w:r w:rsidR="00190923" w:rsidRPr="00981405">
        <w:t xml:space="preserve"> </w:t>
      </w:r>
      <w:r w:rsidR="00B92E2C" w:rsidRPr="00981405">
        <w:t>“</w:t>
      </w:r>
      <w:r w:rsidRPr="00981405">
        <w:t>adopted</w:t>
      </w:r>
      <w:r w:rsidR="00190923" w:rsidRPr="00981405">
        <w:t xml:space="preserve"> </w:t>
      </w:r>
      <w:r w:rsidRPr="00981405">
        <w:t>by</w:t>
      </w:r>
      <w:r w:rsidR="00190923" w:rsidRPr="00981405">
        <w:t xml:space="preserve"> </w:t>
      </w:r>
      <w:r w:rsidRPr="00981405">
        <w:t>consensus</w:t>
      </w:r>
      <w:r w:rsidR="00190923" w:rsidRPr="00981405">
        <w:t xml:space="preserve"> </w:t>
      </w:r>
      <w:r w:rsidRPr="00981405">
        <w:t>or</w:t>
      </w:r>
      <w:r w:rsidR="00190923" w:rsidRPr="00981405">
        <w:t xml:space="preserve"> </w:t>
      </w:r>
      <w:r w:rsidRPr="00981405">
        <w:t>by</w:t>
      </w:r>
      <w:r w:rsidR="00190923" w:rsidRPr="00981405">
        <w:t xml:space="preserve"> </w:t>
      </w:r>
      <w:r w:rsidRPr="00981405">
        <w:t>a</w:t>
      </w:r>
      <w:r w:rsidR="00190923" w:rsidRPr="00981405">
        <w:t xml:space="preserve"> </w:t>
      </w:r>
      <w:r w:rsidRPr="00981405">
        <w:t>unanimous</w:t>
      </w:r>
      <w:r w:rsidR="00190923" w:rsidRPr="00981405">
        <w:t xml:space="preserve"> </w:t>
      </w:r>
      <w:r w:rsidRPr="00981405">
        <w:t>vote,</w:t>
      </w:r>
      <w:r w:rsidR="00190923" w:rsidRPr="00981405">
        <w:t xml:space="preserve"> </w:t>
      </w:r>
      <w:r w:rsidRPr="00981405">
        <w:t>they</w:t>
      </w:r>
      <w:r w:rsidR="00190923" w:rsidRPr="00981405">
        <w:t xml:space="preserve"> </w:t>
      </w:r>
      <w:r w:rsidRPr="00981405">
        <w:t>may</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or</w:t>
      </w:r>
      <w:r w:rsidR="00190923" w:rsidRPr="00981405">
        <w:t xml:space="preserve"> </w:t>
      </w:r>
      <w:r w:rsidRPr="00981405">
        <w:t>its</w:t>
      </w:r>
      <w:r w:rsidR="00190923" w:rsidRPr="00981405">
        <w:t xml:space="preserve"> </w:t>
      </w:r>
      <w:r w:rsidRPr="00981405">
        <w:t>Schedule</w:t>
      </w:r>
      <w:r w:rsidR="00B92E2C" w:rsidRPr="00981405">
        <w:t>”</w:t>
      </w:r>
      <w:r w:rsidRPr="00981405">
        <w:t>.</w:t>
      </w:r>
      <w:r w:rsidRPr="00981405">
        <w:rPr>
          <w:rStyle w:val="FootnoteReference"/>
        </w:rPr>
        <w:footnoteReference w:id="342"/>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however,</w:t>
      </w:r>
      <w:r w:rsidR="00190923" w:rsidRPr="00981405">
        <w:t xml:space="preserve"> </w:t>
      </w:r>
      <w:r w:rsidRPr="00981405">
        <w:t>the</w:t>
      </w:r>
      <w:r w:rsidR="00190923" w:rsidRPr="00981405">
        <w:t xml:space="preserve"> </w:t>
      </w:r>
      <w:r w:rsidRPr="00981405">
        <w:t>Court</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a</w:t>
      </w:r>
      <w:r w:rsidR="00190923" w:rsidRPr="00981405">
        <w:t xml:space="preserve"> </w:t>
      </w:r>
      <w:r w:rsidRPr="00981405">
        <w:t>cautionary</w:t>
      </w:r>
      <w:r w:rsidR="00190923" w:rsidRPr="00981405">
        <w:t xml:space="preserve"> </w:t>
      </w:r>
      <w:r w:rsidRPr="00981405">
        <w:t>note</w:t>
      </w:r>
      <w:r w:rsidR="00190923" w:rsidRPr="00981405">
        <w:t xml:space="preserve"> </w:t>
      </w:r>
      <w:r w:rsidRPr="00981405">
        <w:t>according</w:t>
      </w:r>
      <w:r w:rsidR="00190923" w:rsidRPr="00981405">
        <w:t xml:space="preserve"> </w:t>
      </w:r>
      <w:r w:rsidRPr="00981405">
        <w:t>to</w:t>
      </w:r>
      <w:r w:rsidR="00190923" w:rsidRPr="00981405">
        <w:t xml:space="preserve"> </w:t>
      </w:r>
      <w:r w:rsidRPr="00981405">
        <w:t>which:</w:t>
      </w:r>
      <w:r w:rsidR="00190923" w:rsidRPr="00981405">
        <w:t xml:space="preserve"> </w:t>
      </w:r>
    </w:p>
    <w:p w:rsidR="00397032" w:rsidRPr="00981405" w:rsidRDefault="00B92E2C" w:rsidP="00D97463">
      <w:pPr>
        <w:pStyle w:val="SingleTxt"/>
        <w:ind w:left="1742"/>
      </w:pPr>
      <w:r w:rsidRPr="00981405">
        <w:t>“</w:t>
      </w:r>
      <w:r w:rsidR="00397032" w:rsidRPr="00981405">
        <w:t>[…]</w:t>
      </w:r>
      <w:r w:rsidR="00190923" w:rsidRPr="00981405">
        <w:t xml:space="preserve"> </w:t>
      </w:r>
      <w:r w:rsidR="00397032" w:rsidRPr="00981405">
        <w:t>Australia</w:t>
      </w:r>
      <w:r w:rsidR="00190923" w:rsidRPr="00981405">
        <w:t xml:space="preserve"> </w:t>
      </w:r>
      <w:r w:rsidR="00397032" w:rsidRPr="00981405">
        <w:t>and</w:t>
      </w:r>
      <w:r w:rsidR="00190923" w:rsidRPr="00981405">
        <w:t xml:space="preserve"> </w:t>
      </w:r>
      <w:r w:rsidR="00397032" w:rsidRPr="00981405">
        <w:t>New</w:t>
      </w:r>
      <w:r w:rsidR="00190923" w:rsidRPr="00981405">
        <w:t xml:space="preserve"> </w:t>
      </w:r>
      <w:r w:rsidR="00397032" w:rsidRPr="00981405">
        <w:t>Zealand</w:t>
      </w:r>
      <w:r w:rsidR="00190923" w:rsidRPr="00981405">
        <w:t xml:space="preserve"> </w:t>
      </w:r>
      <w:r w:rsidR="00397032" w:rsidRPr="00981405">
        <w:t>overstate</w:t>
      </w:r>
      <w:r w:rsidR="00190923" w:rsidRPr="00981405">
        <w:t xml:space="preserve"> </w:t>
      </w:r>
      <w:r w:rsidR="00397032" w:rsidRPr="00981405">
        <w:t>the</w:t>
      </w:r>
      <w:r w:rsidR="00190923" w:rsidRPr="00981405">
        <w:t xml:space="preserve"> </w:t>
      </w:r>
      <w:r w:rsidR="00397032" w:rsidRPr="00981405">
        <w:t>legal</w:t>
      </w:r>
      <w:r w:rsidR="00190923" w:rsidRPr="00981405">
        <w:t xml:space="preserve"> </w:t>
      </w:r>
      <w:r w:rsidR="00397032" w:rsidRPr="00981405">
        <w:t>significance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recommendatory</w:t>
      </w:r>
      <w:r w:rsidR="00190923" w:rsidRPr="00981405">
        <w:t xml:space="preserve"> </w:t>
      </w:r>
      <w:r w:rsidR="00397032" w:rsidRPr="00981405">
        <w:t>resolutions</w:t>
      </w:r>
      <w:r w:rsidR="00190923" w:rsidRPr="00981405">
        <w:t xml:space="preserve"> </w:t>
      </w:r>
      <w:r w:rsidR="00397032" w:rsidRPr="00981405">
        <w:t>and</w:t>
      </w:r>
      <w:r w:rsidR="00190923" w:rsidRPr="00981405">
        <w:t xml:space="preserve"> </w:t>
      </w:r>
      <w:r w:rsidR="00397032" w:rsidRPr="00981405">
        <w:t>Guidelines</w:t>
      </w:r>
      <w:r w:rsidR="00190923" w:rsidRPr="00981405">
        <w:t xml:space="preserve"> </w:t>
      </w:r>
      <w:r w:rsidR="00397032" w:rsidRPr="00981405">
        <w:t>on</w:t>
      </w:r>
      <w:r w:rsidR="00190923" w:rsidRPr="00981405">
        <w:t xml:space="preserve"> </w:t>
      </w:r>
      <w:r w:rsidR="00397032" w:rsidRPr="00981405">
        <w:t>which</w:t>
      </w:r>
      <w:r w:rsidR="00190923" w:rsidRPr="00981405">
        <w:t xml:space="preserve"> </w:t>
      </w:r>
      <w:r w:rsidR="00397032" w:rsidRPr="00981405">
        <w:t>they</w:t>
      </w:r>
      <w:r w:rsidR="00190923" w:rsidRPr="00981405">
        <w:t xml:space="preserve"> </w:t>
      </w:r>
      <w:r w:rsidR="00397032" w:rsidRPr="00981405">
        <w:t>rely.</w:t>
      </w:r>
      <w:r w:rsidR="00190923" w:rsidRPr="00981405">
        <w:t xml:space="preserve"> </w:t>
      </w:r>
      <w:r w:rsidR="00397032" w:rsidRPr="00981405">
        <w:t>First,</w:t>
      </w:r>
      <w:r w:rsidR="00190923" w:rsidRPr="00981405">
        <w:t xml:space="preserve"> </w:t>
      </w:r>
      <w:r w:rsidR="00397032" w:rsidRPr="00981405">
        <w:t>many</w:t>
      </w:r>
      <w:r w:rsidR="00190923" w:rsidRPr="00981405">
        <w:t xml:space="preserve"> </w:t>
      </w:r>
      <w:r w:rsidR="00397032" w:rsidRPr="00981405">
        <w:t>IWC</w:t>
      </w:r>
      <w:r w:rsidR="00190923" w:rsidRPr="00981405">
        <w:t xml:space="preserve"> </w:t>
      </w:r>
      <w:r w:rsidR="00397032" w:rsidRPr="00981405">
        <w:t>resolutions</w:t>
      </w:r>
      <w:r w:rsidR="00190923" w:rsidRPr="00981405">
        <w:t xml:space="preserve"> </w:t>
      </w:r>
      <w:r w:rsidR="00397032" w:rsidRPr="00981405">
        <w:t>were</w:t>
      </w:r>
      <w:r w:rsidR="00190923" w:rsidRPr="00981405">
        <w:t xml:space="preserve"> </w:t>
      </w:r>
      <w:r w:rsidR="00397032" w:rsidRPr="00981405">
        <w:t>adopted</w:t>
      </w:r>
      <w:r w:rsidR="00190923" w:rsidRPr="00981405">
        <w:t xml:space="preserve"> </w:t>
      </w:r>
      <w:r w:rsidR="00397032" w:rsidRPr="00981405">
        <w:t>without</w:t>
      </w:r>
      <w:r w:rsidR="00190923" w:rsidRPr="00981405">
        <w:t xml:space="preserve"> </w:t>
      </w:r>
      <w:r w:rsidR="00397032" w:rsidRPr="00981405">
        <w:t>the</w:t>
      </w:r>
      <w:r w:rsidR="00190923" w:rsidRPr="00981405">
        <w:t xml:space="preserve"> </w:t>
      </w:r>
      <w:r w:rsidR="00397032" w:rsidRPr="00981405">
        <w:t>support</w:t>
      </w:r>
      <w:r w:rsidR="00190923" w:rsidRPr="00981405">
        <w:t xml:space="preserve"> </w:t>
      </w:r>
      <w:r w:rsidR="00397032" w:rsidRPr="00981405">
        <w:t>of</w:t>
      </w:r>
      <w:r w:rsidR="00190923" w:rsidRPr="00981405">
        <w:t xml:space="preserve"> </w:t>
      </w:r>
      <w:r w:rsidR="00397032" w:rsidRPr="00981405">
        <w:t>all</w:t>
      </w:r>
      <w:r w:rsidR="00190923" w:rsidRPr="00981405">
        <w:t xml:space="preserve"> </w:t>
      </w:r>
      <w:r w:rsidR="00397032" w:rsidRPr="00981405">
        <w:t>States</w:t>
      </w:r>
      <w:r w:rsidR="00190923" w:rsidRPr="00981405">
        <w:t xml:space="preserve"> </w:t>
      </w:r>
      <w:r w:rsidR="00397032" w:rsidRPr="00981405">
        <w:t>parties</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Convention</w:t>
      </w:r>
      <w:r w:rsidR="00190923" w:rsidRPr="00981405">
        <w:t xml:space="preserve"> </w:t>
      </w:r>
      <w:r w:rsidR="00397032" w:rsidRPr="00981405">
        <w:t>and,</w:t>
      </w:r>
      <w:r w:rsidR="00190923" w:rsidRPr="00981405">
        <w:t xml:space="preserve"> </w:t>
      </w:r>
      <w:r w:rsidR="00397032" w:rsidRPr="00981405">
        <w:t>in</w:t>
      </w:r>
      <w:r w:rsidR="00190923" w:rsidRPr="00981405">
        <w:t xml:space="preserve"> </w:t>
      </w:r>
      <w:r w:rsidR="00397032" w:rsidRPr="00981405">
        <w:t>particular,</w:t>
      </w:r>
      <w:r w:rsidR="00190923" w:rsidRPr="00981405">
        <w:t xml:space="preserve"> </w:t>
      </w:r>
      <w:r w:rsidR="00397032" w:rsidRPr="00981405">
        <w:t>without</w:t>
      </w:r>
      <w:r w:rsidR="00190923" w:rsidRPr="00981405">
        <w:t xml:space="preserve"> </w:t>
      </w:r>
      <w:r w:rsidR="00397032" w:rsidRPr="00981405">
        <w:t>the</w:t>
      </w:r>
      <w:r w:rsidR="00190923" w:rsidRPr="00981405">
        <w:t xml:space="preserve"> </w:t>
      </w:r>
      <w:r w:rsidR="00397032" w:rsidRPr="00981405">
        <w:t>concurrence</w:t>
      </w:r>
      <w:r w:rsidR="00190923" w:rsidRPr="00981405">
        <w:t xml:space="preserve"> </w:t>
      </w:r>
      <w:r w:rsidR="00397032" w:rsidRPr="00981405">
        <w:t>of</w:t>
      </w:r>
      <w:r w:rsidR="00190923" w:rsidRPr="00981405">
        <w:t xml:space="preserve"> </w:t>
      </w:r>
      <w:r w:rsidR="00397032" w:rsidRPr="00981405">
        <w:t>Japan.</w:t>
      </w:r>
      <w:r w:rsidR="00190923" w:rsidRPr="00981405">
        <w:t xml:space="preserve"> </w:t>
      </w:r>
      <w:r w:rsidR="00397032" w:rsidRPr="00981405">
        <w:t>Thus,</w:t>
      </w:r>
      <w:r w:rsidR="00190923" w:rsidRPr="00981405">
        <w:t xml:space="preserve"> </w:t>
      </w:r>
      <w:r w:rsidR="00397032" w:rsidRPr="00981405">
        <w:t>such</w:t>
      </w:r>
      <w:r w:rsidR="00190923" w:rsidRPr="00981405">
        <w:t xml:space="preserve"> </w:t>
      </w:r>
      <w:r w:rsidR="00397032" w:rsidRPr="00981405">
        <w:t>instruments</w:t>
      </w:r>
      <w:r w:rsidR="00190923" w:rsidRPr="00981405">
        <w:t xml:space="preserve"> </w:t>
      </w:r>
      <w:r w:rsidR="00397032" w:rsidRPr="00981405">
        <w:t>cannot</w:t>
      </w:r>
      <w:r w:rsidR="00190923" w:rsidRPr="00981405">
        <w:t xml:space="preserve"> </w:t>
      </w:r>
      <w:r w:rsidR="00397032" w:rsidRPr="00981405">
        <w:t>be</w:t>
      </w:r>
      <w:r w:rsidR="00190923" w:rsidRPr="00981405">
        <w:t xml:space="preserve"> </w:t>
      </w:r>
      <w:r w:rsidR="00397032" w:rsidRPr="00981405">
        <w:t>regarded</w:t>
      </w:r>
      <w:r w:rsidR="00190923" w:rsidRPr="00981405">
        <w:t xml:space="preserve"> </w:t>
      </w:r>
      <w:r w:rsidR="00397032" w:rsidRPr="00981405">
        <w:t>as</w:t>
      </w:r>
      <w:r w:rsidR="00190923" w:rsidRPr="00981405">
        <w:t xml:space="preserve"> </w:t>
      </w:r>
      <w:r w:rsidR="00397032" w:rsidRPr="00981405">
        <w:t>subsequent</w:t>
      </w:r>
      <w:r w:rsidR="00190923" w:rsidRPr="00981405">
        <w:t xml:space="preserve"> </w:t>
      </w:r>
      <w:r w:rsidR="00397032" w:rsidRPr="00981405">
        <w:t>agreement</w:t>
      </w:r>
      <w:r w:rsidR="00190923" w:rsidRPr="00981405">
        <w:t xml:space="preserve"> </w:t>
      </w:r>
      <w:r w:rsidR="00397032" w:rsidRPr="00981405">
        <w:t>to</w:t>
      </w:r>
      <w:r w:rsidR="00190923" w:rsidRPr="00981405">
        <w:t xml:space="preserve"> </w:t>
      </w:r>
      <w:r w:rsidR="00397032" w:rsidRPr="00981405">
        <w:t>an</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Article</w:t>
      </w:r>
      <w:r w:rsidR="00190923" w:rsidRPr="00981405">
        <w:t xml:space="preserve"> </w:t>
      </w:r>
      <w:r w:rsidR="00397032" w:rsidRPr="00981405">
        <w:t>VIII,</w:t>
      </w:r>
      <w:r w:rsidR="00190923" w:rsidRPr="00981405">
        <w:t xml:space="preserve"> </w:t>
      </w:r>
      <w:r w:rsidR="00397032" w:rsidRPr="00981405">
        <w:t>nor</w:t>
      </w:r>
      <w:r w:rsidR="00190923" w:rsidRPr="00981405">
        <w:t xml:space="preserve"> </w:t>
      </w:r>
      <w:r w:rsidR="00397032" w:rsidRPr="00981405">
        <w:t>as</w:t>
      </w:r>
      <w:r w:rsidR="00190923" w:rsidRPr="00981405">
        <w:t xml:space="preserve"> </w:t>
      </w:r>
      <w:r w:rsidR="00397032" w:rsidRPr="00981405">
        <w:t>subsequent</w:t>
      </w:r>
      <w:r w:rsidR="00190923" w:rsidRPr="00981405">
        <w:t xml:space="preserve"> </w:t>
      </w:r>
      <w:r w:rsidR="00397032" w:rsidRPr="00981405">
        <w:t>practice</w:t>
      </w:r>
      <w:r w:rsidR="00190923" w:rsidRPr="00981405">
        <w:t xml:space="preserve"> </w:t>
      </w:r>
      <w:r w:rsidR="00397032" w:rsidRPr="00981405">
        <w:t>establishing</w:t>
      </w:r>
      <w:r w:rsidR="00190923" w:rsidRPr="00981405">
        <w:t xml:space="preserve"> </w:t>
      </w:r>
      <w:r w:rsidR="00397032" w:rsidRPr="00981405">
        <w:t>an</w:t>
      </w:r>
      <w:r w:rsidR="00190923" w:rsidRPr="00981405">
        <w:t xml:space="preserve"> </w:t>
      </w:r>
      <w:r w:rsidR="00397032" w:rsidRPr="00981405">
        <w:t>agreement</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parties</w:t>
      </w:r>
      <w:r w:rsidR="00190923" w:rsidRPr="00981405">
        <w:t xml:space="preserve"> </w:t>
      </w:r>
      <w:r w:rsidR="00397032" w:rsidRPr="00981405">
        <w:t>regarding</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treaty</w:t>
      </w:r>
      <w:r w:rsidR="00190923" w:rsidRPr="00981405">
        <w:t xml:space="preserve"> </w:t>
      </w:r>
      <w:r w:rsidR="00397032" w:rsidRPr="00981405">
        <w:t>within</w:t>
      </w:r>
      <w:r w:rsidR="00190923" w:rsidRPr="00981405">
        <w:t xml:space="preserve"> </w:t>
      </w:r>
      <w:r w:rsidR="00397032" w:rsidRPr="00981405">
        <w:t>the</w:t>
      </w:r>
      <w:r w:rsidR="00190923" w:rsidRPr="00981405">
        <w:t xml:space="preserve"> </w:t>
      </w:r>
      <w:r w:rsidR="00397032" w:rsidRPr="00981405">
        <w:t>meaning</w:t>
      </w:r>
      <w:r w:rsidR="00190923" w:rsidRPr="00981405">
        <w:t xml:space="preserve"> </w:t>
      </w:r>
      <w:r w:rsidR="00397032" w:rsidRPr="00981405">
        <w:t>of</w:t>
      </w:r>
      <w:r w:rsidR="00190923" w:rsidRPr="00981405">
        <w:t xml:space="preserve"> </w:t>
      </w:r>
      <w:r w:rsidR="00397032" w:rsidRPr="00981405">
        <w:t>subparagraphs</w:t>
      </w:r>
      <w:r w:rsidR="00190923" w:rsidRPr="00981405">
        <w:t xml:space="preserve"> </w:t>
      </w:r>
      <w:r w:rsidR="00397032" w:rsidRPr="00981405">
        <w:t>(a)</w:t>
      </w:r>
      <w:r w:rsidR="00190923" w:rsidRPr="00981405">
        <w:t xml:space="preserve"> </w:t>
      </w:r>
      <w:r w:rsidR="00397032" w:rsidRPr="00981405">
        <w:t>and</w:t>
      </w:r>
      <w:r w:rsidR="00190923" w:rsidRPr="00981405">
        <w:t xml:space="preserve"> </w:t>
      </w:r>
      <w:r w:rsidR="00397032" w:rsidRPr="00981405">
        <w:t>(b),</w:t>
      </w:r>
      <w:r w:rsidR="00190923" w:rsidRPr="00981405">
        <w:t xml:space="preserve"> </w:t>
      </w:r>
      <w:r w:rsidR="00397032" w:rsidRPr="00981405">
        <w:t>respectively,</w:t>
      </w:r>
      <w:r w:rsidR="00190923" w:rsidRPr="00981405">
        <w:t xml:space="preserve"> </w:t>
      </w:r>
      <w:r w:rsidR="00397032" w:rsidRPr="00981405">
        <w:t>of</w:t>
      </w:r>
      <w:r w:rsidR="00190923" w:rsidRPr="00981405">
        <w:t xml:space="preserve"> </w:t>
      </w:r>
      <w:r w:rsidR="00397032" w:rsidRPr="00981405">
        <w:t>paragraph</w:t>
      </w:r>
      <w:r w:rsidR="00190923" w:rsidRPr="00981405">
        <w:t xml:space="preserve"> </w:t>
      </w:r>
      <w:r w:rsidR="00397032" w:rsidRPr="00981405">
        <w:t>(3)</w:t>
      </w:r>
      <w:r w:rsidR="00190923" w:rsidRPr="00981405">
        <w:t xml:space="preserve"> </w:t>
      </w:r>
      <w:r w:rsidR="00397032" w:rsidRPr="00981405">
        <w:t>of</w:t>
      </w:r>
      <w:r w:rsidR="00190923" w:rsidRPr="00981405">
        <w:t xml:space="preserve"> </w:t>
      </w:r>
      <w:r w:rsidR="00397032" w:rsidRPr="00981405">
        <w:t>Article</w:t>
      </w:r>
      <w:r w:rsidR="00190923" w:rsidRPr="00981405">
        <w:t xml:space="preserve"> </w:t>
      </w:r>
      <w:r w:rsidR="00397032" w:rsidRPr="00981405">
        <w:t>31</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Vienna</w:t>
      </w:r>
      <w:r w:rsidR="00190923" w:rsidRPr="00981405">
        <w:t xml:space="preserve"> </w:t>
      </w:r>
      <w:r w:rsidR="00397032" w:rsidRPr="00981405">
        <w:t>Convention</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Law</w:t>
      </w:r>
      <w:r w:rsidR="00190923" w:rsidRPr="00981405">
        <w:t xml:space="preserve"> </w:t>
      </w:r>
      <w:r w:rsidR="00397032" w:rsidRPr="00981405">
        <w:t>of</w:t>
      </w:r>
      <w:r w:rsidR="00190923" w:rsidRPr="00981405">
        <w:t xml:space="preserve"> </w:t>
      </w:r>
      <w:r w:rsidR="00397032" w:rsidRPr="00981405">
        <w:t>Treaties.</w:t>
      </w:r>
      <w:r w:rsidRPr="00981405">
        <w:t>”</w:t>
      </w:r>
      <w:r w:rsidR="00397032" w:rsidRPr="00981405">
        <w:rPr>
          <w:rStyle w:val="FootnoteReference"/>
        </w:rPr>
        <w:footnoteReference w:id="343"/>
      </w:r>
    </w:p>
    <w:p w:rsidR="00397032" w:rsidRPr="00981405" w:rsidRDefault="00397032" w:rsidP="00D97463">
      <w:pPr>
        <w:pStyle w:val="SingleTxt"/>
      </w:pPr>
      <w:bookmarkStart w:id="114" w:name="_Ref423958724"/>
      <w:r w:rsidRPr="00981405">
        <w:t>(25)</w:t>
      </w:r>
      <w:r w:rsidRPr="00981405">
        <w:tab/>
        <w:t>This</w:t>
      </w:r>
      <w:r w:rsidR="00190923" w:rsidRPr="00981405">
        <w:t xml:space="preserve"> </w:t>
      </w:r>
      <w:r w:rsidRPr="00981405">
        <w:t>cautionary</w:t>
      </w:r>
      <w:r w:rsidR="00190923" w:rsidRPr="00981405">
        <w:t xml:space="preserve"> </w:t>
      </w:r>
      <w:r w:rsidRPr="00981405">
        <w:t>note</w:t>
      </w:r>
      <w:r w:rsidR="00190923" w:rsidRPr="00981405">
        <w:t xml:space="preserve"> </w:t>
      </w:r>
      <w:r w:rsidRPr="00981405">
        <w:t>does</w:t>
      </w:r>
      <w:r w:rsidR="00190923" w:rsidRPr="00981405">
        <w:t xml:space="preserve"> </w:t>
      </w:r>
      <w:r w:rsidRPr="00981405">
        <w:t>not,</w:t>
      </w:r>
      <w:r w:rsidR="00190923" w:rsidRPr="00981405">
        <w:t xml:space="preserve"> </w:t>
      </w:r>
      <w:r w:rsidRPr="00981405">
        <w:t>however,</w:t>
      </w:r>
      <w:r w:rsidR="00190923" w:rsidRPr="00981405">
        <w:t xml:space="preserve"> </w:t>
      </w:r>
      <w:r w:rsidRPr="00981405">
        <w:t>exclude</w:t>
      </w:r>
      <w:r w:rsidR="00190923" w:rsidRPr="00981405">
        <w:t xml:space="preserve"> </w:t>
      </w:r>
      <w:r w:rsidRPr="00981405">
        <w:t>that</w:t>
      </w:r>
      <w:r w:rsidR="00190923" w:rsidRPr="00981405">
        <w:t xml:space="preserve"> </w:t>
      </w:r>
      <w:r w:rsidRPr="00981405">
        <w:t>a</w:t>
      </w:r>
      <w:r w:rsidR="00190923" w:rsidRPr="00981405">
        <w:t xml:space="preserve"> </w:t>
      </w:r>
      <w:r w:rsidRPr="00981405">
        <w:t>resolution</w:t>
      </w:r>
      <w:r w:rsidR="00190923" w:rsidRPr="00981405">
        <w:t xml:space="preserve"> </w:t>
      </w:r>
      <w:r w:rsidRPr="00981405">
        <w:t>which</w:t>
      </w:r>
      <w:r w:rsidR="00190923" w:rsidRPr="00981405">
        <w:t xml:space="preserve"> </w:t>
      </w:r>
      <w:r w:rsidRPr="00981405">
        <w:t>has</w:t>
      </w:r>
      <w:r w:rsidR="00190923" w:rsidRPr="00981405">
        <w:t xml:space="preserve"> </w:t>
      </w:r>
      <w:r w:rsidRPr="00981405">
        <w:t>been</w:t>
      </w:r>
      <w:r w:rsidR="00190923" w:rsidRPr="00981405">
        <w:t xml:space="preserve"> </w:t>
      </w:r>
      <w:r w:rsidRPr="00981405">
        <w:t>adopted</w:t>
      </w:r>
      <w:r w:rsidR="00190923" w:rsidRPr="00981405">
        <w:t xml:space="preserve"> </w:t>
      </w:r>
      <w:r w:rsidRPr="00981405">
        <w:t>without</w:t>
      </w:r>
      <w:r w:rsidR="00190923" w:rsidRPr="00981405">
        <w:t xml:space="preserve"> </w:t>
      </w:r>
      <w:r w:rsidRPr="00981405">
        <w:t>the</w:t>
      </w:r>
      <w:r w:rsidR="00190923" w:rsidRPr="00981405">
        <w:t xml:space="preserve"> </w:t>
      </w:r>
      <w:r w:rsidRPr="00981405">
        <w:t>support</w:t>
      </w:r>
      <w:r w:rsidR="00190923" w:rsidRPr="00981405">
        <w:t xml:space="preserve"> </w:t>
      </w:r>
      <w:r w:rsidRPr="00981405">
        <w:t>of</w:t>
      </w:r>
      <w:r w:rsidR="00190923" w:rsidRPr="00981405">
        <w:t xml:space="preserve"> </w:t>
      </w:r>
      <w:r w:rsidRPr="00981405">
        <w:t>all</w:t>
      </w:r>
      <w:r w:rsidR="00190923" w:rsidRPr="00981405">
        <w:t xml:space="preserve"> </w:t>
      </w:r>
      <w:r w:rsidRPr="00981405">
        <w:t>Member</w:t>
      </w:r>
      <w:r w:rsidR="00190923" w:rsidRPr="00981405">
        <w:t xml:space="preserve"> </w:t>
      </w:r>
      <w:r w:rsidRPr="00981405">
        <w:t>States</w:t>
      </w:r>
      <w:r w:rsidR="00190923" w:rsidRPr="00981405">
        <w:t xml:space="preserve"> </w:t>
      </w:r>
      <w:r w:rsidRPr="00981405">
        <w:t>may</w:t>
      </w:r>
      <w:r w:rsidR="00190923" w:rsidRPr="00981405">
        <w:t xml:space="preserve"> </w:t>
      </w:r>
      <w:r w:rsidRPr="00981405">
        <w:t>give</w:t>
      </w:r>
      <w:r w:rsidR="00190923" w:rsidRPr="00981405">
        <w:t xml:space="preserve"> </w:t>
      </w:r>
      <w:r w:rsidRPr="00981405">
        <w:t>rise</w:t>
      </w:r>
      <w:r w:rsidR="00190923" w:rsidRPr="00981405">
        <w:t xml:space="preserve"> </w:t>
      </w:r>
      <w:r w:rsidRPr="00981405">
        <w:t>to,</w:t>
      </w:r>
      <w:r w:rsidR="00190923" w:rsidRPr="00981405">
        <w:t xml:space="preserve"> </w:t>
      </w:r>
      <w:r w:rsidRPr="00981405">
        <w:t>or</w:t>
      </w:r>
      <w:r w:rsidR="00190923" w:rsidRPr="00981405">
        <w:t xml:space="preserve"> </w:t>
      </w:r>
      <w:r w:rsidRPr="00981405">
        <w:t>express,</w:t>
      </w:r>
      <w:r w:rsidR="00190923" w:rsidRPr="00981405">
        <w:t xml:space="preserve"> </w:t>
      </w:r>
      <w:r w:rsidRPr="00981405">
        <w:t>the</w:t>
      </w:r>
      <w:r w:rsidR="00190923" w:rsidRPr="00981405">
        <w:t xml:space="preserve"> </w:t>
      </w:r>
      <w:r w:rsidRPr="00981405">
        <w:t>position</w:t>
      </w:r>
      <w:r w:rsidR="00190923" w:rsidRPr="00981405">
        <w:t xml:space="preserve"> </w:t>
      </w:r>
      <w:r w:rsidRPr="00981405">
        <w:t>or</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individual</w:t>
      </w:r>
      <w:r w:rsidR="00190923" w:rsidRPr="00981405">
        <w:t xml:space="preserve"> </w:t>
      </w:r>
      <w:r w:rsidRPr="00981405">
        <w:t>member</w:t>
      </w:r>
      <w:r w:rsidR="00190923" w:rsidRPr="00981405">
        <w:t xml:space="preserve"> </w:t>
      </w:r>
      <w:r w:rsidRPr="00981405">
        <w:t>States</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which</w:t>
      </w:r>
      <w:r w:rsidR="00190923" w:rsidRPr="00981405">
        <w:t xml:space="preserve"> </w:t>
      </w:r>
      <w:r w:rsidRPr="00981405">
        <w:t>may</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bookmarkStart w:id="115" w:name="_Ref424132194"/>
      <w:r w:rsidRPr="00981405">
        <w:rPr>
          <w:rStyle w:val="FootnoteReference"/>
        </w:rPr>
        <w:footnoteReference w:id="344"/>
      </w:r>
      <w:bookmarkEnd w:id="115"/>
    </w:p>
    <w:p w:rsidR="00397032" w:rsidRPr="00981405" w:rsidRDefault="00397032" w:rsidP="00D97463">
      <w:pPr>
        <w:pStyle w:val="SingleTxt"/>
      </w:pPr>
      <w:r w:rsidRPr="00981405">
        <w:t>(26)</w:t>
      </w:r>
      <w:r w:rsidRPr="00981405">
        <w:tab/>
      </w:r>
      <w:r w:rsidRPr="00D97463">
        <w:rPr>
          <w:i/>
          <w:iCs/>
        </w:rPr>
        <w:t>Paragraph</w:t>
      </w:r>
      <w:r w:rsidR="00190923" w:rsidRPr="00981405">
        <w:rPr>
          <w:i/>
          <w:iCs/>
        </w:rPr>
        <w:t xml:space="preserve"> </w:t>
      </w:r>
      <w:r w:rsidRPr="00D97463">
        <w:rPr>
          <w:i/>
          <w:iCs/>
        </w:rPr>
        <w:t>3</w:t>
      </w:r>
      <w:r w:rsidR="00190923" w:rsidRPr="00981405">
        <w:rPr>
          <w:i/>
          <w:iCs/>
        </w:rPr>
        <w:t xml:space="preserve"> </w:t>
      </w:r>
      <w:r w:rsidRPr="00D97463">
        <w:rPr>
          <w:i/>
          <w:iCs/>
        </w:rPr>
        <w:t>of</w:t>
      </w:r>
      <w:r w:rsidR="00190923" w:rsidRPr="00981405">
        <w:rPr>
          <w:i/>
          <w:iCs/>
        </w:rPr>
        <w:t xml:space="preserve"> </w:t>
      </w:r>
      <w:r w:rsidRPr="00D97463">
        <w:rPr>
          <w:i/>
          <w:iCs/>
        </w:rPr>
        <w:t>draft</w:t>
      </w:r>
      <w:r w:rsidR="00190923" w:rsidRPr="00981405">
        <w:rPr>
          <w:i/>
          <w:iCs/>
        </w:rPr>
        <w:t xml:space="preserve"> </w:t>
      </w:r>
      <w:r w:rsidRPr="00D97463">
        <w:rPr>
          <w:i/>
          <w:iCs/>
        </w:rPr>
        <w:t>conclusion</w:t>
      </w:r>
      <w:r w:rsidR="00190923" w:rsidRPr="00981405">
        <w:rPr>
          <w:i/>
          <w:iCs/>
        </w:rPr>
        <w:t xml:space="preserve"> </w:t>
      </w:r>
      <w:r w:rsidRPr="00D97463">
        <w:rPr>
          <w:i/>
          <w:iCs/>
        </w:rPr>
        <w:t>11</w:t>
      </w:r>
      <w:r w:rsidR="00190923" w:rsidRPr="00981405">
        <w:t xml:space="preserve"> </w:t>
      </w:r>
      <w:r w:rsidRPr="00981405">
        <w:t>refers</w:t>
      </w:r>
      <w:r w:rsidR="00190923" w:rsidRPr="00981405">
        <w:t xml:space="preserve"> </w:t>
      </w:r>
      <w:r w:rsidRPr="00981405">
        <w:t>to</w:t>
      </w:r>
      <w:r w:rsidR="00190923" w:rsidRPr="00981405">
        <w:t xml:space="preserve"> </w:t>
      </w:r>
      <w:r w:rsidRPr="00981405">
        <w:t>another</w:t>
      </w:r>
      <w:r w:rsidR="00190923" w:rsidRPr="00981405">
        <w:t xml:space="preserve"> </w:t>
      </w:r>
      <w:r w:rsidRPr="00981405">
        <w:t>form</w:t>
      </w:r>
      <w:r w:rsidR="00190923" w:rsidRPr="00981405">
        <w:t xml:space="preserve"> </w:t>
      </w:r>
      <w:r w:rsidRPr="00981405">
        <w:t>of</w:t>
      </w:r>
      <w:r w:rsidR="00190923" w:rsidRPr="00981405">
        <w:t xml:space="preserve"> </w:t>
      </w:r>
      <w:r w:rsidRPr="00981405">
        <w:t>practice</w:t>
      </w:r>
      <w:r w:rsidR="00190923" w:rsidRPr="00981405">
        <w:t xml:space="preserve"> </w:t>
      </w:r>
      <w:r w:rsidRPr="00981405">
        <w:t>which</w:t>
      </w:r>
      <w:r w:rsidR="00190923" w:rsidRPr="00981405">
        <w:t xml:space="preserve"> </w:t>
      </w:r>
      <w:r w:rsidRPr="00981405">
        <w:t>may</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D97463">
        <w:rPr>
          <w:i/>
          <w:iCs/>
        </w:rPr>
        <w:t>as</w:t>
      </w:r>
      <w:r w:rsidR="00190923" w:rsidRPr="00981405">
        <w:rPr>
          <w:i/>
          <w:iCs/>
        </w:rPr>
        <w:t xml:space="preserve"> </w:t>
      </w:r>
      <w:r w:rsidRPr="00D97463">
        <w:rPr>
          <w:i/>
          <w:iCs/>
        </w:rPr>
        <w:t>such</w:t>
      </w:r>
      <w:r w:rsidRPr="00981405">
        <w:t>,</w:t>
      </w:r>
      <w:r w:rsidR="00190923" w:rsidRPr="00981405">
        <w:t xml:space="preserve"> </w:t>
      </w:r>
      <w:r w:rsidRPr="00981405">
        <w:t>meaning</w:t>
      </w:r>
      <w:r w:rsidR="00190923" w:rsidRPr="00981405">
        <w:t xml:space="preserve"> </w:t>
      </w:r>
      <w:r w:rsidRPr="00981405">
        <w:t>its</w:t>
      </w:r>
      <w:r w:rsidR="00190923" w:rsidRPr="00981405">
        <w:t xml:space="preserve"> </w:t>
      </w:r>
      <w:r w:rsidR="00B92E2C" w:rsidRPr="00981405">
        <w:t>“</w:t>
      </w:r>
      <w:r w:rsidRPr="00981405">
        <w:t>own</w:t>
      </w:r>
      <w:r w:rsidR="00190923" w:rsidRPr="00981405">
        <w:t xml:space="preserve"> </w:t>
      </w:r>
      <w:r w:rsidRPr="00981405">
        <w:t>practice</w:t>
      </w:r>
      <w:r w:rsidR="00B92E2C" w:rsidRPr="00981405">
        <w:t>”</w:t>
      </w:r>
      <w:r w:rsidRPr="00981405">
        <w:t>,</w:t>
      </w:r>
      <w:r w:rsidR="00190923" w:rsidRPr="00981405">
        <w:t xml:space="preserve"> </w:t>
      </w:r>
      <w:r w:rsidRPr="00981405">
        <w:t>as</w:t>
      </w:r>
      <w:r w:rsidR="00190923" w:rsidRPr="00981405">
        <w:t xml:space="preserve"> </w:t>
      </w:r>
      <w:r w:rsidRPr="00981405">
        <w:t>distinguished</w:t>
      </w:r>
      <w:r w:rsidR="00190923" w:rsidRPr="00981405">
        <w:t xml:space="preserve"> </w:t>
      </w:r>
      <w:r w:rsidRPr="00981405">
        <w:t>from</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has</w:t>
      </w:r>
      <w:r w:rsidR="00190923" w:rsidRPr="00981405">
        <w:t xml:space="preserve"> </w:t>
      </w:r>
      <w:r w:rsidRPr="00981405">
        <w:t>in</w:t>
      </w:r>
      <w:r w:rsidR="00190923" w:rsidRPr="00981405">
        <w:t xml:space="preserve"> </w:t>
      </w:r>
      <w:r w:rsidRPr="00981405">
        <w:t>some</w:t>
      </w:r>
      <w:r w:rsidR="00190923" w:rsidRPr="00981405">
        <w:t xml:space="preserve"> </w:t>
      </w:r>
      <w:r w:rsidRPr="00981405">
        <w:t>cases</w:t>
      </w:r>
      <w:r w:rsidR="00190923" w:rsidRPr="00981405">
        <w:t xml:space="preserve"> </w:t>
      </w:r>
      <w:r w:rsidRPr="00981405">
        <w:t>taken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into</w:t>
      </w:r>
      <w:r w:rsidR="00190923" w:rsidRPr="00981405">
        <w:t xml:space="preserve"> </w:t>
      </w:r>
      <w:r w:rsidRPr="00981405">
        <w:t>account</w:t>
      </w:r>
      <w:r w:rsidR="00190923" w:rsidRPr="00981405">
        <w:t xml:space="preserve"> </w:t>
      </w:r>
      <w:r w:rsidRPr="00981405">
        <w:t>in</w:t>
      </w:r>
      <w:r w:rsidR="00190923" w:rsidRPr="00981405">
        <w:t xml:space="preserve"> </w:t>
      </w:r>
      <w:r w:rsidRPr="00981405">
        <w:t>its</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without</w:t>
      </w:r>
      <w:r w:rsidR="00190923" w:rsidRPr="00981405">
        <w:t xml:space="preserve"> </w:t>
      </w:r>
      <w:r w:rsidRPr="00981405">
        <w:t>referring</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or</w:t>
      </w:r>
      <w:r w:rsidR="00190923" w:rsidRPr="00981405">
        <w:t xml:space="preserve"> </w:t>
      </w:r>
      <w:r w:rsidRPr="00981405">
        <w:t>acceptance</w:t>
      </w:r>
      <w:r w:rsidR="00190923" w:rsidRPr="00981405">
        <w:t xml:space="preserve"> </w:t>
      </w:r>
      <w:r w:rsidRPr="00981405">
        <w:t>of</w:t>
      </w:r>
      <w:r w:rsidR="00190923" w:rsidRPr="00981405">
        <w:t xml:space="preserve"> </w:t>
      </w:r>
      <w:r w:rsidRPr="00981405">
        <w:t>the</w:t>
      </w:r>
      <w:r w:rsidR="00190923" w:rsidRPr="00981405">
        <w:t xml:space="preserve"> </w:t>
      </w:r>
      <w:r w:rsidRPr="00981405">
        <w:t>Member</w:t>
      </w:r>
      <w:r w:rsidR="00190923" w:rsidRPr="00981405">
        <w:t xml:space="preserve"> </w:t>
      </w:r>
      <w:r w:rsidRPr="00981405">
        <w:t>States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Court</w:t>
      </w:r>
      <w:r w:rsidR="00190923" w:rsidRPr="00981405">
        <w:t xml:space="preserve"> </w:t>
      </w:r>
      <w:r w:rsidRPr="00981405">
        <w:t>has</w:t>
      </w:r>
      <w:r w:rsidR="00190923" w:rsidRPr="00981405">
        <w:t xml:space="preserve"> </w:t>
      </w:r>
      <w:r w:rsidRPr="00981405">
        <w:lastRenderedPageBreak/>
        <w:t>stated</w:t>
      </w:r>
      <w:r w:rsidR="00190923" w:rsidRPr="00981405">
        <w:t xml:space="preserve"> </w:t>
      </w:r>
      <w:r w:rsidRPr="00981405">
        <w:t>that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w:t>
      </w:r>
      <w:r w:rsidR="00B92E2C" w:rsidRPr="00981405">
        <w:t>’</w:t>
      </w:r>
      <w:r w:rsidRPr="00981405">
        <w:t>s</w:t>
      </w:r>
      <w:r w:rsidR="00190923" w:rsidRPr="00981405">
        <w:t xml:space="preserve"> </w:t>
      </w:r>
      <w:r w:rsidR="00B92E2C" w:rsidRPr="00981405">
        <w:t>“</w:t>
      </w:r>
      <w:r w:rsidRPr="00981405">
        <w:t>own</w:t>
      </w:r>
      <w:r w:rsidR="00190923" w:rsidRPr="00981405">
        <w:t xml:space="preserve"> </w:t>
      </w:r>
      <w:r w:rsidRPr="00981405">
        <w:t>practice</w:t>
      </w:r>
      <w:r w:rsidR="00190923" w:rsidRPr="00981405">
        <w:t xml:space="preserve"> </w:t>
      </w:r>
      <w:r w:rsidRPr="00981405">
        <w:t>[…]</w:t>
      </w:r>
      <w:r w:rsidR="00190923" w:rsidRPr="00981405">
        <w:t xml:space="preserve"> </w:t>
      </w:r>
      <w:r w:rsidRPr="00981405">
        <w:t>may</w:t>
      </w:r>
      <w:r w:rsidR="00190923" w:rsidRPr="00981405">
        <w:t xml:space="preserve"> </w:t>
      </w:r>
      <w:r w:rsidRPr="00981405">
        <w:t>deserve</w:t>
      </w:r>
      <w:r w:rsidR="00190923" w:rsidRPr="00981405">
        <w:t xml:space="preserve"> </w:t>
      </w:r>
      <w:r w:rsidRPr="00981405">
        <w:t>special</w:t>
      </w:r>
      <w:r w:rsidR="00190923" w:rsidRPr="00981405">
        <w:t xml:space="preserve"> </w:t>
      </w:r>
      <w:r w:rsidRPr="00981405">
        <w:t>attention</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process</w:t>
      </w:r>
      <w:r w:rsidR="00190923" w:rsidRPr="00981405">
        <w:t xml:space="preserve"> </w:t>
      </w:r>
      <w:r w:rsidRPr="00981405">
        <w:t>of</w:t>
      </w:r>
      <w:r w:rsidR="00190923" w:rsidRPr="00981405">
        <w:t xml:space="preserve"> </w:t>
      </w:r>
      <w:r w:rsidRPr="00981405">
        <w:t>interpretation.</w:t>
      </w:r>
      <w:r w:rsidRPr="00981405">
        <w:rPr>
          <w:rStyle w:val="FootnoteReference"/>
        </w:rPr>
        <w:footnoteReference w:id="345"/>
      </w:r>
      <w:bookmarkEnd w:id="114"/>
      <w:r w:rsidR="00190923" w:rsidRPr="00981405">
        <w:t xml:space="preserve"> </w:t>
      </w:r>
    </w:p>
    <w:p w:rsidR="00397032" w:rsidRPr="00981405" w:rsidRDefault="00397032" w:rsidP="00D97463">
      <w:pPr>
        <w:pStyle w:val="SingleTxt"/>
      </w:pPr>
      <w:r w:rsidRPr="00981405">
        <w:t>(27)</w:t>
      </w:r>
      <w:r w:rsidRPr="00981405">
        <w:tab/>
        <w:t>For</w:t>
      </w:r>
      <w:r w:rsidR="00190923" w:rsidRPr="00981405">
        <w:t xml:space="preserve"> </w:t>
      </w:r>
      <w:r w:rsidRPr="00981405">
        <w:t>example,</w:t>
      </w:r>
      <w:r w:rsidR="00190923" w:rsidRPr="00981405">
        <w:t xml:space="preserve"> </w:t>
      </w:r>
      <w:r w:rsidRPr="00981405">
        <w:t>in</w:t>
      </w:r>
      <w:r w:rsidR="00190923" w:rsidRPr="00981405">
        <w:t xml:space="preserve"> </w:t>
      </w:r>
      <w:r w:rsidRPr="00981405">
        <w:t>its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Competence</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General</w:t>
      </w:r>
      <w:r w:rsidR="00190923" w:rsidRPr="00981405">
        <w:rPr>
          <w:i/>
          <w:iCs/>
        </w:rPr>
        <w:t xml:space="preserve"> </w:t>
      </w:r>
      <w:r w:rsidRPr="00D97463">
        <w:rPr>
          <w:i/>
          <w:iCs/>
        </w:rPr>
        <w:t>Assembly</w:t>
      </w:r>
      <w:r w:rsidR="00190923" w:rsidRPr="00981405">
        <w:rPr>
          <w:i/>
          <w:iCs/>
        </w:rPr>
        <w:t xml:space="preserve"> </w:t>
      </w:r>
      <w:r w:rsidRPr="00D97463">
        <w:rPr>
          <w:i/>
          <w:iCs/>
        </w:rPr>
        <w:t>regarding</w:t>
      </w:r>
      <w:r w:rsidR="00190923" w:rsidRPr="00981405">
        <w:rPr>
          <w:i/>
          <w:iCs/>
        </w:rPr>
        <w:t xml:space="preserve"> </w:t>
      </w:r>
      <w:r w:rsidRPr="00D97463">
        <w:rPr>
          <w:i/>
          <w:iCs/>
        </w:rPr>
        <w:t>Admission</w:t>
      </w:r>
      <w:r w:rsidR="00190923" w:rsidRPr="00981405">
        <w:rPr>
          <w:i/>
          <w:iCs/>
        </w:rPr>
        <w:t xml:space="preserve"> </w:t>
      </w:r>
      <w:r w:rsidRPr="00D97463">
        <w:rPr>
          <w:i/>
          <w:iCs/>
        </w:rPr>
        <w:t>to</w:t>
      </w:r>
      <w:r w:rsidR="00190923" w:rsidRPr="00981405">
        <w:rPr>
          <w:i/>
          <w:iCs/>
        </w:rPr>
        <w:t xml:space="preserve"> </w:t>
      </w:r>
      <w:r w:rsidRPr="00D97463">
        <w:rPr>
          <w:i/>
          <w:iCs/>
        </w:rPr>
        <w:t>the</w:t>
      </w:r>
      <w:r w:rsidR="00190923" w:rsidRPr="00981405">
        <w:rPr>
          <w:i/>
          <w:iCs/>
        </w:rPr>
        <w:t xml:space="preserve"> </w:t>
      </w:r>
      <w:r w:rsidRPr="00D97463">
        <w:rPr>
          <w:i/>
          <w:iCs/>
        </w:rPr>
        <w:t>United</w:t>
      </w:r>
      <w:r w:rsidR="00190923" w:rsidRPr="00981405">
        <w:rPr>
          <w:i/>
          <w:iCs/>
        </w:rPr>
        <w:t xml:space="preserve"> </w:t>
      </w:r>
      <w:r w:rsidRPr="00D97463">
        <w:rPr>
          <w:i/>
          <w:iCs/>
        </w:rPr>
        <w:t>Nations</w:t>
      </w:r>
      <w:r w:rsidRPr="00981405">
        <w:t>,</w:t>
      </w:r>
      <w:r w:rsidR="00190923" w:rsidRPr="00981405">
        <w:t xml:space="preserve"> </w:t>
      </w:r>
      <w:r w:rsidRPr="00981405">
        <w:t>the</w:t>
      </w:r>
      <w:r w:rsidR="00190923" w:rsidRPr="00981405">
        <w:t xml:space="preserve"> </w:t>
      </w:r>
      <w:r w:rsidRPr="00981405">
        <w:t>Court</w:t>
      </w:r>
      <w:r w:rsidR="00190923" w:rsidRPr="00981405">
        <w:t xml:space="preserve"> </w:t>
      </w:r>
      <w:r w:rsidRPr="00981405">
        <w:t>stated</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organs</w:t>
      </w:r>
      <w:r w:rsidR="00190923" w:rsidRPr="00981405">
        <w:t xml:space="preserve"> </w:t>
      </w:r>
      <w:r w:rsidR="00397032" w:rsidRPr="00981405">
        <w:t>to</w:t>
      </w:r>
      <w:r w:rsidR="00190923" w:rsidRPr="00981405">
        <w:t xml:space="preserve"> </w:t>
      </w:r>
      <w:r w:rsidR="00397032" w:rsidRPr="00981405">
        <w:t>which</w:t>
      </w:r>
      <w:r w:rsidR="00190923" w:rsidRPr="00981405">
        <w:t xml:space="preserve"> </w:t>
      </w:r>
      <w:r w:rsidR="00397032" w:rsidRPr="00981405">
        <w:t>Article</w:t>
      </w:r>
      <w:r w:rsidR="00190923" w:rsidRPr="00981405">
        <w:t xml:space="preserve"> </w:t>
      </w:r>
      <w:r w:rsidR="00397032" w:rsidRPr="00981405">
        <w:t>4</w:t>
      </w:r>
      <w:r w:rsidR="00190923" w:rsidRPr="00981405">
        <w:t xml:space="preserve"> </w:t>
      </w:r>
      <w:r w:rsidR="00397032" w:rsidRPr="00981405">
        <w:t>entrusts</w:t>
      </w:r>
      <w:r w:rsidR="00190923" w:rsidRPr="00981405">
        <w:t xml:space="preserve"> </w:t>
      </w:r>
      <w:r w:rsidR="00397032" w:rsidRPr="00981405">
        <w:t>the</w:t>
      </w:r>
      <w:r w:rsidR="00190923" w:rsidRPr="00981405">
        <w:t xml:space="preserve"> </w:t>
      </w:r>
      <w:r w:rsidR="00397032" w:rsidRPr="00981405">
        <w:t>judgment</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00190923" w:rsidRPr="00981405">
        <w:t xml:space="preserve"> </w:t>
      </w:r>
      <w:r w:rsidR="00397032" w:rsidRPr="00981405">
        <w:t>in</w:t>
      </w:r>
      <w:r w:rsidR="00190923" w:rsidRPr="00981405">
        <w:t xml:space="preserve"> </w:t>
      </w:r>
      <w:r w:rsidR="00397032" w:rsidRPr="00981405">
        <w:t>matters</w:t>
      </w:r>
      <w:r w:rsidR="00190923" w:rsidRPr="00981405">
        <w:t xml:space="preserve"> </w:t>
      </w:r>
      <w:r w:rsidR="00397032" w:rsidRPr="00981405">
        <w:t>of</w:t>
      </w:r>
      <w:r w:rsidR="00190923" w:rsidRPr="00981405">
        <w:t xml:space="preserve"> </w:t>
      </w:r>
      <w:r w:rsidR="00397032" w:rsidRPr="00981405">
        <w:t>admission</w:t>
      </w:r>
      <w:r w:rsidR="00190923" w:rsidRPr="00981405">
        <w:t xml:space="preserve"> </w:t>
      </w:r>
      <w:r w:rsidR="00397032" w:rsidRPr="00981405">
        <w:t>have</w:t>
      </w:r>
      <w:r w:rsidR="00190923" w:rsidRPr="00981405">
        <w:t xml:space="preserve"> </w:t>
      </w:r>
      <w:r w:rsidR="00397032" w:rsidRPr="00981405">
        <w:t>consistently</w:t>
      </w:r>
      <w:r w:rsidR="00190923" w:rsidRPr="00981405">
        <w:t xml:space="preserve"> </w:t>
      </w:r>
      <w:r w:rsidR="00397032" w:rsidRPr="00981405">
        <w:t>interpreted</w:t>
      </w:r>
      <w:r w:rsidR="00190923" w:rsidRPr="00981405">
        <w:t xml:space="preserve"> </w:t>
      </w:r>
      <w:r w:rsidR="00397032" w:rsidRPr="00981405">
        <w:t>the</w:t>
      </w:r>
      <w:r w:rsidR="00190923" w:rsidRPr="00981405">
        <w:t xml:space="preserve"> </w:t>
      </w:r>
      <w:r w:rsidR="00397032" w:rsidRPr="00981405">
        <w:t>text</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sense</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General</w:t>
      </w:r>
      <w:r w:rsidR="00190923" w:rsidRPr="00981405">
        <w:t xml:space="preserve"> </w:t>
      </w:r>
      <w:r w:rsidR="00397032" w:rsidRPr="00981405">
        <w:t>Assembly</w:t>
      </w:r>
      <w:r w:rsidR="00190923" w:rsidRPr="00981405">
        <w:t xml:space="preserve"> </w:t>
      </w:r>
      <w:r w:rsidR="00397032" w:rsidRPr="00981405">
        <w:t>can</w:t>
      </w:r>
      <w:r w:rsidR="00190923" w:rsidRPr="00981405">
        <w:t xml:space="preserve"> </w:t>
      </w:r>
      <w:r w:rsidR="00397032" w:rsidRPr="00981405">
        <w:t>decide</w:t>
      </w:r>
      <w:r w:rsidR="00190923" w:rsidRPr="00981405">
        <w:t xml:space="preserve"> </w:t>
      </w:r>
      <w:r w:rsidR="00397032" w:rsidRPr="00981405">
        <w:t>to</w:t>
      </w:r>
      <w:r w:rsidR="00190923" w:rsidRPr="00981405">
        <w:t xml:space="preserve"> </w:t>
      </w:r>
      <w:r w:rsidR="00397032" w:rsidRPr="00981405">
        <w:t>admit</w:t>
      </w:r>
      <w:r w:rsidR="00190923" w:rsidRPr="00981405">
        <w:t xml:space="preserve"> </w:t>
      </w:r>
      <w:r w:rsidR="00397032" w:rsidRPr="00981405">
        <w:t>only</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basis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recommendation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Security</w:t>
      </w:r>
      <w:r w:rsidR="00190923" w:rsidRPr="00981405">
        <w:t xml:space="preserve"> </w:t>
      </w:r>
      <w:r w:rsidR="00397032" w:rsidRPr="00981405">
        <w:t>Council.</w:t>
      </w:r>
      <w:r w:rsidRPr="00981405">
        <w:t>”</w:t>
      </w:r>
      <w:r w:rsidR="00397032" w:rsidRPr="00981405">
        <w:rPr>
          <w:rStyle w:val="FootnoteReference"/>
        </w:rPr>
        <w:footnoteReference w:id="346"/>
      </w:r>
    </w:p>
    <w:p w:rsidR="00397032" w:rsidRPr="00981405" w:rsidRDefault="00397032" w:rsidP="00D97463">
      <w:pPr>
        <w:pStyle w:val="SingleTxt"/>
      </w:pPr>
      <w:r w:rsidRPr="00981405">
        <w:t>(28)</w:t>
      </w:r>
      <w:r w:rsidRPr="00981405">
        <w:tab/>
        <w:t>Similarly,</w:t>
      </w:r>
      <w:r w:rsidR="00190923" w:rsidRPr="00981405">
        <w:t xml:space="preserve"> </w:t>
      </w:r>
      <w:r w:rsidRPr="00981405">
        <w:t>in</w:t>
      </w:r>
      <w:r w:rsidR="00190923" w:rsidRPr="00981405">
        <w:t xml:space="preserve"> </w:t>
      </w:r>
      <w:r w:rsidRPr="00D97463">
        <w:rPr>
          <w:i/>
          <w:iCs/>
        </w:rPr>
        <w:t>Applicability</w:t>
      </w:r>
      <w:r w:rsidR="00190923" w:rsidRPr="00981405">
        <w:rPr>
          <w:i/>
          <w:iCs/>
        </w:rPr>
        <w:t xml:space="preserve"> </w:t>
      </w:r>
      <w:r w:rsidRPr="00D97463">
        <w:rPr>
          <w:i/>
          <w:iCs/>
        </w:rPr>
        <w:t>of</w:t>
      </w:r>
      <w:r w:rsidR="00190923" w:rsidRPr="00981405">
        <w:rPr>
          <w:i/>
          <w:iCs/>
        </w:rPr>
        <w:t xml:space="preserve"> </w:t>
      </w:r>
      <w:r w:rsidRPr="00D97463">
        <w:rPr>
          <w:i/>
          <w:iCs/>
        </w:rPr>
        <w:t>Article</w:t>
      </w:r>
      <w:r w:rsidR="00190923" w:rsidRPr="00981405">
        <w:rPr>
          <w:i/>
          <w:iCs/>
        </w:rPr>
        <w:t xml:space="preserve"> </w:t>
      </w:r>
      <w:r w:rsidRPr="00D97463">
        <w:rPr>
          <w:i/>
          <w:iCs/>
        </w:rPr>
        <w:t>VI,</w:t>
      </w:r>
      <w:r w:rsidR="00190923" w:rsidRPr="00981405">
        <w:rPr>
          <w:i/>
          <w:iCs/>
        </w:rPr>
        <w:t xml:space="preserve"> </w:t>
      </w:r>
      <w:r w:rsidRPr="00D97463">
        <w:rPr>
          <w:i/>
          <w:iCs/>
        </w:rPr>
        <w:t>Section</w:t>
      </w:r>
      <w:r w:rsidR="00190923" w:rsidRPr="00981405">
        <w:rPr>
          <w:i/>
          <w:iCs/>
        </w:rPr>
        <w:t xml:space="preserve"> </w:t>
      </w:r>
      <w:r w:rsidRPr="00D97463">
        <w:rPr>
          <w:i/>
          <w:iCs/>
        </w:rPr>
        <w:t>22,</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Convention</w:t>
      </w:r>
      <w:r w:rsidR="00190923" w:rsidRPr="00981405">
        <w:rPr>
          <w:i/>
          <w:iCs/>
        </w:rPr>
        <w:t xml:space="preserve"> </w:t>
      </w:r>
      <w:r w:rsidRPr="00D97463">
        <w:rPr>
          <w:i/>
          <w:iCs/>
        </w:rPr>
        <w:t>on</w:t>
      </w:r>
      <w:r w:rsidR="00190923" w:rsidRPr="00981405">
        <w:rPr>
          <w:i/>
          <w:iCs/>
        </w:rPr>
        <w:t xml:space="preserve"> </w:t>
      </w:r>
      <w:r w:rsidRPr="00D97463">
        <w:rPr>
          <w:i/>
          <w:iCs/>
        </w:rPr>
        <w:t>the</w:t>
      </w:r>
      <w:r w:rsidR="00190923" w:rsidRPr="00981405">
        <w:rPr>
          <w:i/>
          <w:iCs/>
        </w:rPr>
        <w:t xml:space="preserve"> </w:t>
      </w:r>
      <w:r w:rsidRPr="00D97463">
        <w:rPr>
          <w:i/>
          <w:iCs/>
        </w:rPr>
        <w:t>Privileges</w:t>
      </w:r>
      <w:r w:rsidR="00190923" w:rsidRPr="00981405">
        <w:rPr>
          <w:i/>
          <w:iCs/>
        </w:rPr>
        <w:t xml:space="preserve"> </w:t>
      </w:r>
      <w:r w:rsidRPr="00D97463">
        <w:rPr>
          <w:i/>
          <w:iCs/>
        </w:rPr>
        <w:t>and</w:t>
      </w:r>
      <w:r w:rsidR="00190923" w:rsidRPr="00981405">
        <w:rPr>
          <w:i/>
          <w:iCs/>
        </w:rPr>
        <w:t xml:space="preserve"> </w:t>
      </w:r>
      <w:r w:rsidRPr="00D97463">
        <w:rPr>
          <w:i/>
          <w:iCs/>
        </w:rPr>
        <w:t>Immunities</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United</w:t>
      </w:r>
      <w:r w:rsidR="00190923" w:rsidRPr="00981405">
        <w:rPr>
          <w:i/>
          <w:iCs/>
        </w:rPr>
        <w:t xml:space="preserve"> </w:t>
      </w:r>
      <w:r w:rsidRPr="00D97463">
        <w:rPr>
          <w:i/>
          <w:iCs/>
        </w:rPr>
        <w:t>Nations</w:t>
      </w:r>
      <w:r w:rsidRPr="00981405">
        <w:t>,</w:t>
      </w:r>
      <w:r w:rsidR="00190923" w:rsidRPr="00981405">
        <w:t xml:space="preserve"> </w:t>
      </w:r>
      <w:r w:rsidRPr="00981405">
        <w:t>the</w:t>
      </w:r>
      <w:r w:rsidR="00190923" w:rsidRPr="00981405">
        <w:t xml:space="preserve"> </w:t>
      </w:r>
      <w:r w:rsidRPr="00981405">
        <w:t>Court</w:t>
      </w:r>
      <w:r w:rsidR="00190923" w:rsidRPr="00981405">
        <w:t xml:space="preserve"> </w:t>
      </w:r>
      <w:r w:rsidRPr="00981405">
        <w:t>referred</w:t>
      </w:r>
      <w:r w:rsidR="00190923" w:rsidRPr="00981405">
        <w:t xml:space="preserve"> </w:t>
      </w:r>
      <w:r w:rsidRPr="00981405">
        <w:t>to</w:t>
      </w:r>
      <w:r w:rsidR="00190923" w:rsidRPr="00981405">
        <w:t xml:space="preserve"> </w:t>
      </w:r>
      <w:r w:rsidRPr="00981405">
        <w:t>acts</w:t>
      </w:r>
      <w:r w:rsidR="00190923" w:rsidRPr="00981405">
        <w:t xml:space="preserve"> </w:t>
      </w:r>
      <w:r w:rsidRPr="00981405">
        <w:t>of</w:t>
      </w:r>
      <w:r w:rsidR="00190923" w:rsidRPr="00981405">
        <w:t xml:space="preserve"> </w:t>
      </w:r>
      <w:r w:rsidRPr="00981405">
        <w:t>organs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when</w:t>
      </w:r>
      <w:r w:rsidR="00190923" w:rsidRPr="00981405">
        <w:t xml:space="preserve"> </w:t>
      </w:r>
      <w:r w:rsidRPr="00981405">
        <w:t>it</w:t>
      </w:r>
      <w:r w:rsidR="00190923" w:rsidRPr="00981405">
        <w:t xml:space="preserve"> </w:t>
      </w:r>
      <w:r w:rsidRPr="00981405">
        <w:t>referred</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00B92E2C" w:rsidRPr="00981405">
        <w:t>“</w:t>
      </w:r>
      <w:r w:rsidRPr="00981405">
        <w:t>the</w:t>
      </w:r>
      <w:r w:rsidR="00190923" w:rsidRPr="00981405">
        <w:t xml:space="preserve"> </w:t>
      </w:r>
      <w:r w:rsidRPr="00981405">
        <w:t>United</w:t>
      </w:r>
      <w:r w:rsidR="00190923" w:rsidRPr="00981405">
        <w:t xml:space="preserve"> </w:t>
      </w:r>
      <w:r w:rsidRPr="00981405">
        <w:t>Nations</w:t>
      </w:r>
      <w:r w:rsidR="00B92E2C" w:rsidRPr="00981405">
        <w:t>”</w:t>
      </w:r>
      <w:r w:rsidRPr="00981405">
        <w:t>:</w:t>
      </w:r>
    </w:p>
    <w:p w:rsidR="00397032" w:rsidRPr="00981405" w:rsidRDefault="00B92E2C" w:rsidP="00D97463">
      <w:pPr>
        <w:pStyle w:val="SingleTxt"/>
        <w:ind w:left="1742"/>
      </w:pPr>
      <w:r w:rsidRPr="00981405">
        <w:t>“</w:t>
      </w:r>
      <w:r w:rsidR="00397032" w:rsidRPr="00981405">
        <w:t>In</w:t>
      </w:r>
      <w:r w:rsidR="00190923" w:rsidRPr="00981405">
        <w:t xml:space="preserve"> </w:t>
      </w:r>
      <w:r w:rsidR="00397032" w:rsidRPr="00981405">
        <w:t>practice,</w:t>
      </w:r>
      <w:r w:rsidR="00190923" w:rsidRPr="00981405">
        <w:t xml:space="preserve"> </w:t>
      </w:r>
      <w:r w:rsidR="00397032" w:rsidRPr="00981405">
        <w:t>according</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information</w:t>
      </w:r>
      <w:r w:rsidR="00190923" w:rsidRPr="00981405">
        <w:t xml:space="preserve"> </w:t>
      </w:r>
      <w:r w:rsidR="00397032" w:rsidRPr="00981405">
        <w:t>supplied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Secretary-General,</w:t>
      </w:r>
      <w:r w:rsidR="00190923" w:rsidRPr="00981405">
        <w:t xml:space="preserve"> </w:t>
      </w:r>
      <w:r w:rsidR="00397032" w:rsidRPr="00981405">
        <w:t>the</w:t>
      </w:r>
      <w:r w:rsidR="00190923" w:rsidRPr="00981405">
        <w:t xml:space="preserve"> </w:t>
      </w:r>
      <w:r w:rsidR="00397032" w:rsidRPr="00981405">
        <w:t>United</w:t>
      </w:r>
      <w:r w:rsidR="00190923" w:rsidRPr="00981405">
        <w:t xml:space="preserve"> </w:t>
      </w:r>
      <w:r w:rsidR="00397032" w:rsidRPr="00981405">
        <w:t>Nations</w:t>
      </w:r>
      <w:r w:rsidR="00190923" w:rsidRPr="00981405">
        <w:t xml:space="preserve"> </w:t>
      </w:r>
      <w:r w:rsidR="00397032" w:rsidRPr="00981405">
        <w:t>has</w:t>
      </w:r>
      <w:r w:rsidR="00190923" w:rsidRPr="00981405">
        <w:t xml:space="preserve"> </w:t>
      </w:r>
      <w:r w:rsidR="00397032" w:rsidRPr="00981405">
        <w:t>had</w:t>
      </w:r>
      <w:r w:rsidR="00190923" w:rsidRPr="00981405">
        <w:t xml:space="preserve"> </w:t>
      </w:r>
      <w:r w:rsidR="00397032" w:rsidRPr="00981405">
        <w:t>occasion</w:t>
      </w:r>
      <w:r w:rsidR="00190923" w:rsidRPr="00981405">
        <w:t xml:space="preserve"> </w:t>
      </w:r>
      <w:r w:rsidR="00397032" w:rsidRPr="00981405">
        <w:t>to</w:t>
      </w:r>
      <w:r w:rsidR="00190923" w:rsidRPr="00981405">
        <w:t xml:space="preserve"> </w:t>
      </w:r>
      <w:r w:rsidR="00397032" w:rsidRPr="00981405">
        <w:t>entrust</w:t>
      </w:r>
      <w:r w:rsidR="00190923" w:rsidRPr="00981405">
        <w:t xml:space="preserve"> </w:t>
      </w:r>
      <w:r w:rsidR="00397032" w:rsidRPr="00981405">
        <w:t>missions</w:t>
      </w:r>
      <w:r w:rsidR="00190923" w:rsidRPr="00981405">
        <w:t xml:space="preserve"> </w:t>
      </w:r>
      <w:r w:rsidR="00397032" w:rsidRPr="00981405">
        <w:t>—</w:t>
      </w:r>
      <w:r w:rsidR="00190923" w:rsidRPr="00981405">
        <w:t xml:space="preserve"> </w:t>
      </w:r>
      <w:r w:rsidR="00397032" w:rsidRPr="00981405">
        <w:t>increasingly</w:t>
      </w:r>
      <w:r w:rsidR="00190923" w:rsidRPr="00981405">
        <w:t xml:space="preserve"> </w:t>
      </w:r>
      <w:r w:rsidR="00397032" w:rsidRPr="00981405">
        <w:t>varied</w:t>
      </w:r>
      <w:r w:rsidR="00190923" w:rsidRPr="00981405">
        <w:t xml:space="preserve"> </w:t>
      </w:r>
      <w:r w:rsidR="00397032" w:rsidRPr="00981405">
        <w:t>in</w:t>
      </w:r>
      <w:r w:rsidR="00190923" w:rsidRPr="00981405">
        <w:t xml:space="preserve"> </w:t>
      </w:r>
      <w:r w:rsidR="00397032" w:rsidRPr="00981405">
        <w:t>nature</w:t>
      </w:r>
      <w:r w:rsidR="00190923" w:rsidRPr="00981405">
        <w:t xml:space="preserve"> </w:t>
      </w:r>
      <w:r w:rsidR="00397032" w:rsidRPr="00981405">
        <w:t>—</w:t>
      </w:r>
      <w:r w:rsidR="00190923" w:rsidRPr="00981405">
        <w:t xml:space="preserve"> </w:t>
      </w:r>
      <w:r w:rsidR="00397032" w:rsidRPr="00981405">
        <w:t>to</w:t>
      </w:r>
      <w:r w:rsidR="00190923" w:rsidRPr="00981405">
        <w:t xml:space="preserve"> </w:t>
      </w:r>
      <w:r w:rsidR="00397032" w:rsidRPr="00981405">
        <w:t>persons</w:t>
      </w:r>
      <w:r w:rsidR="00190923" w:rsidRPr="00981405">
        <w:t xml:space="preserve"> </w:t>
      </w:r>
      <w:r w:rsidR="00397032" w:rsidRPr="00981405">
        <w:t>not</w:t>
      </w:r>
      <w:r w:rsidR="00190923" w:rsidRPr="00981405">
        <w:t xml:space="preserve"> </w:t>
      </w:r>
      <w:r w:rsidR="00397032" w:rsidRPr="00981405">
        <w:t>having</w:t>
      </w:r>
      <w:r w:rsidR="00190923" w:rsidRPr="00981405">
        <w:t xml:space="preserve"> </w:t>
      </w:r>
      <w:r w:rsidR="00397032" w:rsidRPr="00981405">
        <w:t>the</w:t>
      </w:r>
      <w:r w:rsidR="00190923" w:rsidRPr="00981405">
        <w:t xml:space="preserve"> </w:t>
      </w:r>
      <w:r w:rsidR="00397032" w:rsidRPr="00981405">
        <w:t>status</w:t>
      </w:r>
      <w:r w:rsidR="00190923" w:rsidRPr="00981405">
        <w:t xml:space="preserve"> </w:t>
      </w:r>
      <w:r w:rsidR="00397032" w:rsidRPr="00981405">
        <w:t>of</w:t>
      </w:r>
      <w:r w:rsidR="00190923" w:rsidRPr="00981405">
        <w:t xml:space="preserve"> </w:t>
      </w:r>
      <w:r w:rsidR="00397032" w:rsidRPr="00981405">
        <w:t>United</w:t>
      </w:r>
      <w:r w:rsidR="00190923" w:rsidRPr="00981405">
        <w:t xml:space="preserve"> </w:t>
      </w:r>
      <w:r w:rsidR="00397032" w:rsidRPr="00981405">
        <w:t>Nations</w:t>
      </w:r>
      <w:r w:rsidR="00190923" w:rsidRPr="00981405">
        <w:t xml:space="preserve"> </w:t>
      </w:r>
      <w:r w:rsidR="00397032" w:rsidRPr="00981405">
        <w:t>officials.</w:t>
      </w:r>
      <w:r w:rsidR="00190923" w:rsidRPr="00981405">
        <w:t xml:space="preserve"> </w:t>
      </w:r>
      <w:r w:rsidR="00397032" w:rsidRPr="00981405">
        <w:t>[…]</w:t>
      </w:r>
      <w:r w:rsidR="00190923" w:rsidRPr="00981405">
        <w:t xml:space="preserve"> </w:t>
      </w:r>
      <w:r w:rsidR="00397032" w:rsidRPr="00981405">
        <w:t>In</w:t>
      </w:r>
      <w:r w:rsidR="00190923" w:rsidRPr="00981405">
        <w:t xml:space="preserve"> </w:t>
      </w:r>
      <w:r w:rsidR="00397032" w:rsidRPr="00981405">
        <w:t>all</w:t>
      </w:r>
      <w:r w:rsidR="00190923" w:rsidRPr="00981405">
        <w:t xml:space="preserve"> </w:t>
      </w:r>
      <w:r w:rsidR="00397032" w:rsidRPr="00981405">
        <w:t>these</w:t>
      </w:r>
      <w:r w:rsidR="00190923" w:rsidRPr="00981405">
        <w:t xml:space="preserve"> </w:t>
      </w:r>
      <w:r w:rsidR="00397032" w:rsidRPr="00981405">
        <w:t>cases,</w:t>
      </w:r>
      <w:r w:rsidR="00190923" w:rsidRPr="00981405">
        <w:t xml:space="preserve"> </w:t>
      </w:r>
      <w:r w:rsidR="00397032" w:rsidRPr="00981405">
        <w:t>the</w:t>
      </w:r>
      <w:r w:rsidR="00190923" w:rsidRPr="00981405">
        <w:t xml:space="preserve"> </w:t>
      </w:r>
      <w:r w:rsidR="00397032" w:rsidRPr="00981405">
        <w:t>practice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United</w:t>
      </w:r>
      <w:r w:rsidR="00190923" w:rsidRPr="00981405">
        <w:t xml:space="preserve"> </w:t>
      </w:r>
      <w:r w:rsidR="00397032" w:rsidRPr="00981405">
        <w:t>Nations</w:t>
      </w:r>
      <w:r w:rsidR="00190923" w:rsidRPr="00981405">
        <w:t xml:space="preserve"> </w:t>
      </w:r>
      <w:r w:rsidR="00397032" w:rsidRPr="00981405">
        <w:t>shows</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persons</w:t>
      </w:r>
      <w:r w:rsidR="00190923" w:rsidRPr="00981405">
        <w:t xml:space="preserve"> </w:t>
      </w:r>
      <w:r w:rsidR="00397032" w:rsidRPr="00981405">
        <w:t>so</w:t>
      </w:r>
      <w:r w:rsidR="00190923" w:rsidRPr="00981405">
        <w:t xml:space="preserve"> </w:t>
      </w:r>
      <w:r w:rsidR="00397032" w:rsidRPr="00981405">
        <w:t>appointed,</w:t>
      </w:r>
      <w:r w:rsidR="00190923" w:rsidRPr="00981405">
        <w:t xml:space="preserve"> </w:t>
      </w:r>
      <w:r w:rsidR="00397032" w:rsidRPr="00981405">
        <w:t>and</w:t>
      </w:r>
      <w:r w:rsidR="00190923" w:rsidRPr="00981405">
        <w:t xml:space="preserve"> </w:t>
      </w:r>
      <w:r w:rsidR="00397032" w:rsidRPr="00981405">
        <w:t>in</w:t>
      </w:r>
      <w:r w:rsidR="00190923" w:rsidRPr="00981405">
        <w:t xml:space="preserve"> </w:t>
      </w:r>
      <w:r w:rsidR="00397032" w:rsidRPr="00981405">
        <w:t>particular</w:t>
      </w:r>
      <w:r w:rsidR="00190923" w:rsidRPr="00981405">
        <w:t xml:space="preserve"> </w:t>
      </w:r>
      <w:r w:rsidR="00397032" w:rsidRPr="00981405">
        <w:t>the</w:t>
      </w:r>
      <w:r w:rsidR="00190923" w:rsidRPr="00981405">
        <w:t xml:space="preserve"> </w:t>
      </w:r>
      <w:r w:rsidR="00397032" w:rsidRPr="00981405">
        <w:t>members</w:t>
      </w:r>
      <w:r w:rsidR="00190923" w:rsidRPr="00981405">
        <w:t xml:space="preserve"> </w:t>
      </w:r>
      <w:r w:rsidR="00397032" w:rsidRPr="00981405">
        <w:t>of</w:t>
      </w:r>
      <w:r w:rsidR="00190923" w:rsidRPr="00981405">
        <w:t xml:space="preserve"> </w:t>
      </w:r>
      <w:r w:rsidR="00397032" w:rsidRPr="00981405">
        <w:t>these</w:t>
      </w:r>
      <w:r w:rsidR="00190923" w:rsidRPr="00981405">
        <w:t xml:space="preserve"> </w:t>
      </w:r>
      <w:r w:rsidR="00397032" w:rsidRPr="00981405">
        <w:t>committees</w:t>
      </w:r>
      <w:r w:rsidR="00190923" w:rsidRPr="00981405">
        <w:t xml:space="preserve"> </w:t>
      </w:r>
      <w:r w:rsidR="00397032" w:rsidRPr="00981405">
        <w:t>and</w:t>
      </w:r>
      <w:r w:rsidR="00190923" w:rsidRPr="00981405">
        <w:t xml:space="preserve"> </w:t>
      </w:r>
      <w:r w:rsidR="00397032" w:rsidRPr="00981405">
        <w:t>commissions,</w:t>
      </w:r>
      <w:r w:rsidR="00190923" w:rsidRPr="00981405">
        <w:t xml:space="preserve"> </w:t>
      </w:r>
      <w:r w:rsidR="00397032" w:rsidRPr="00981405">
        <w:t>have</w:t>
      </w:r>
      <w:r w:rsidR="00190923" w:rsidRPr="00981405">
        <w:t xml:space="preserve"> </w:t>
      </w:r>
      <w:r w:rsidR="00397032" w:rsidRPr="00981405">
        <w:t>been</w:t>
      </w:r>
      <w:r w:rsidR="00190923" w:rsidRPr="00981405">
        <w:t xml:space="preserve"> </w:t>
      </w:r>
      <w:r w:rsidR="00397032" w:rsidRPr="00981405">
        <w:t>regarded</w:t>
      </w:r>
      <w:r w:rsidR="00190923" w:rsidRPr="00981405">
        <w:t xml:space="preserve"> </w:t>
      </w:r>
      <w:r w:rsidR="00397032" w:rsidRPr="00981405">
        <w:t>as</w:t>
      </w:r>
      <w:r w:rsidR="00190923" w:rsidRPr="00981405">
        <w:t xml:space="preserve"> </w:t>
      </w:r>
      <w:r w:rsidR="00397032" w:rsidRPr="00981405">
        <w:t>experts</w:t>
      </w:r>
      <w:r w:rsidR="00190923" w:rsidRPr="00981405">
        <w:t xml:space="preserve"> </w:t>
      </w:r>
      <w:r w:rsidR="00397032" w:rsidRPr="00981405">
        <w:t>on</w:t>
      </w:r>
      <w:r w:rsidR="00190923" w:rsidRPr="00981405">
        <w:t xml:space="preserve"> </w:t>
      </w:r>
      <w:r w:rsidR="00397032" w:rsidRPr="00981405">
        <w:t>missions</w:t>
      </w:r>
      <w:r w:rsidR="00190923" w:rsidRPr="00981405">
        <w:t xml:space="preserve"> </w:t>
      </w:r>
      <w:r w:rsidR="00397032" w:rsidRPr="00981405">
        <w:t>within</w:t>
      </w:r>
      <w:r w:rsidR="00190923" w:rsidRPr="00981405">
        <w:t xml:space="preserve"> </w:t>
      </w:r>
      <w:r w:rsidR="00397032" w:rsidRPr="00981405">
        <w:t>the</w:t>
      </w:r>
      <w:r w:rsidR="00190923" w:rsidRPr="00981405">
        <w:t xml:space="preserve"> </w:t>
      </w:r>
      <w:r w:rsidR="00397032" w:rsidRPr="00981405">
        <w:t>meaning</w:t>
      </w:r>
      <w:r w:rsidR="00190923" w:rsidRPr="00981405">
        <w:t xml:space="preserve"> </w:t>
      </w:r>
      <w:r w:rsidR="00397032" w:rsidRPr="00981405">
        <w:t>of</w:t>
      </w:r>
      <w:r w:rsidR="00190923" w:rsidRPr="00981405">
        <w:t xml:space="preserve"> </w:t>
      </w:r>
      <w:r w:rsidR="00397032" w:rsidRPr="00981405">
        <w:t>Section</w:t>
      </w:r>
      <w:r w:rsidR="00190923" w:rsidRPr="00981405">
        <w:t xml:space="preserve"> </w:t>
      </w:r>
      <w:r w:rsidR="00397032" w:rsidRPr="00981405">
        <w:t>22.</w:t>
      </w:r>
      <w:r w:rsidRPr="00981405">
        <w:t>”</w:t>
      </w:r>
      <w:r w:rsidR="00397032" w:rsidRPr="00981405">
        <w:rPr>
          <w:rStyle w:val="FootnoteReference"/>
        </w:rPr>
        <w:footnoteReference w:id="347"/>
      </w:r>
    </w:p>
    <w:p w:rsidR="00397032" w:rsidRPr="00981405" w:rsidRDefault="00397032" w:rsidP="00D97463">
      <w:pPr>
        <w:pStyle w:val="SingleTxt"/>
      </w:pPr>
      <w:r w:rsidRPr="00981405">
        <w:t>(29)</w:t>
      </w:r>
      <w:r w:rsidRPr="00981405">
        <w:tab/>
        <w:t>In</w:t>
      </w:r>
      <w:r w:rsidR="00190923" w:rsidRPr="00981405">
        <w:t xml:space="preserve"> </w:t>
      </w:r>
      <w:r w:rsidRPr="00981405">
        <w:t>its</w:t>
      </w:r>
      <w:r w:rsidR="00190923" w:rsidRPr="00981405">
        <w:t xml:space="preserve"> </w:t>
      </w:r>
      <w:r w:rsidRPr="00D97463">
        <w:rPr>
          <w:i/>
          <w:iCs/>
        </w:rPr>
        <w:t>IMCO</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referred</w:t>
      </w:r>
      <w:r w:rsidR="00190923" w:rsidRPr="00981405">
        <w:t xml:space="preserve"> </w:t>
      </w:r>
      <w:r w:rsidRPr="00981405">
        <w:t>to</w:t>
      </w:r>
      <w:r w:rsidR="00190923" w:rsidRPr="00981405">
        <w:t xml:space="preserve"> </w:t>
      </w:r>
      <w:r w:rsidR="00B92E2C" w:rsidRPr="00981405">
        <w:t>“</w:t>
      </w:r>
      <w:r w:rsidRPr="00981405">
        <w:t>the</w:t>
      </w:r>
      <w:r w:rsidR="00190923" w:rsidRPr="00981405">
        <w:t xml:space="preserve"> </w:t>
      </w:r>
      <w:r w:rsidRPr="00981405">
        <w:t>practice</w:t>
      </w:r>
      <w:r w:rsidR="00190923" w:rsidRPr="00981405">
        <w:t xml:space="preserve"> </w:t>
      </w:r>
      <w:r w:rsidRPr="00981405">
        <w:t>followed</w:t>
      </w:r>
      <w:r w:rsidR="00190923" w:rsidRPr="00981405">
        <w:t xml:space="preserve"> </w:t>
      </w:r>
      <w:r w:rsidRPr="00981405">
        <w:t>by</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itself</w:t>
      </w:r>
      <w:r w:rsidR="00190923" w:rsidRPr="00981405">
        <w:t xml:space="preserve"> </w:t>
      </w:r>
      <w:r w:rsidRPr="00981405">
        <w:t>in</w:t>
      </w:r>
      <w:r w:rsidR="00190923" w:rsidRPr="00981405">
        <w:t xml:space="preserve"> </w:t>
      </w:r>
      <w:r w:rsidRPr="00981405">
        <w:t>carrying</w:t>
      </w:r>
      <w:r w:rsidR="00190923" w:rsidRPr="00981405">
        <w:t xml:space="preserve"> </w:t>
      </w:r>
      <w:r w:rsidRPr="00981405">
        <w:t>out</w:t>
      </w:r>
      <w:r w:rsidR="00190923" w:rsidRPr="00981405">
        <w:t xml:space="preserve"> </w:t>
      </w:r>
      <w:r w:rsidRPr="00981405">
        <w:t>the</w:t>
      </w:r>
      <w:r w:rsidR="00190923" w:rsidRPr="00981405">
        <w:t xml:space="preserve"> </w:t>
      </w:r>
      <w:r w:rsidRPr="00981405">
        <w:t>Convention</w:t>
      </w:r>
      <w:r w:rsidR="00B92E2C" w:rsidRPr="00981405">
        <w:t>”</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Pr="00981405">
        <w:rPr>
          <w:rStyle w:val="FootnoteReference"/>
        </w:rPr>
        <w:footnoteReference w:id="348"/>
      </w:r>
      <w:r w:rsidR="00190923" w:rsidRPr="00981405">
        <w:t xml:space="preserve"> </w:t>
      </w:r>
    </w:p>
    <w:p w:rsidR="00397032" w:rsidRPr="00981405" w:rsidRDefault="00397032" w:rsidP="00D97463">
      <w:pPr>
        <w:pStyle w:val="SingleTxt"/>
      </w:pPr>
      <w:r w:rsidRPr="00981405">
        <w:t>(30)</w:t>
      </w:r>
      <w:r w:rsidRPr="00981405">
        <w:tab/>
        <w:t>In</w:t>
      </w:r>
      <w:r w:rsidR="00190923" w:rsidRPr="00981405">
        <w:t xml:space="preserve"> </w:t>
      </w:r>
      <w:r w:rsidRPr="00981405">
        <w:t>its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on</w:t>
      </w:r>
      <w:r w:rsidR="00190923" w:rsidRPr="00981405">
        <w:t xml:space="preserve"> </w:t>
      </w:r>
      <w:r w:rsidRPr="00D97463">
        <w:rPr>
          <w:i/>
          <w:iCs/>
        </w:rPr>
        <w:t>Certain</w:t>
      </w:r>
      <w:r w:rsidR="00190923" w:rsidRPr="00981405">
        <w:rPr>
          <w:i/>
          <w:iCs/>
        </w:rPr>
        <w:t xml:space="preserve"> </w:t>
      </w:r>
      <w:r w:rsidRPr="00D97463">
        <w:rPr>
          <w:i/>
          <w:iCs/>
        </w:rPr>
        <w:t>Expenses</w:t>
      </w:r>
      <w:r w:rsidR="00190923" w:rsidRPr="00981405">
        <w:rPr>
          <w:i/>
          <w:iCs/>
        </w:rPr>
        <w:t xml:space="preserve"> </w:t>
      </w:r>
      <w:r w:rsidRPr="00D97463">
        <w:rPr>
          <w:i/>
          <w:iCs/>
        </w:rPr>
        <w:t>of</w:t>
      </w:r>
      <w:r w:rsidR="00190923" w:rsidRPr="00981405">
        <w:rPr>
          <w:i/>
          <w:iCs/>
        </w:rPr>
        <w:t xml:space="preserve"> </w:t>
      </w:r>
      <w:r w:rsidRPr="00D97463">
        <w:rPr>
          <w:i/>
          <w:iCs/>
        </w:rPr>
        <w:t>the</w:t>
      </w:r>
      <w:r w:rsidR="00190923" w:rsidRPr="00981405">
        <w:rPr>
          <w:i/>
          <w:iCs/>
        </w:rPr>
        <w:t xml:space="preserve"> </w:t>
      </w:r>
      <w:r w:rsidRPr="00D97463">
        <w:rPr>
          <w:i/>
          <w:iCs/>
        </w:rPr>
        <w:t>United</w:t>
      </w:r>
      <w:r w:rsidR="00190923" w:rsidRPr="00981405">
        <w:rPr>
          <w:i/>
          <w:iCs/>
        </w:rPr>
        <w:t xml:space="preserve"> </w:t>
      </w:r>
      <w:r w:rsidRPr="00D97463">
        <w:rPr>
          <w:i/>
          <w:iCs/>
        </w:rPr>
        <w:t>Nations</w:t>
      </w:r>
      <w:r w:rsidR="00190923" w:rsidRPr="00981405">
        <w:t xml:space="preserve"> </w:t>
      </w:r>
      <w:r w:rsidRPr="00981405">
        <w:t>the</w:t>
      </w:r>
      <w:r w:rsidR="00190923" w:rsidRPr="00981405">
        <w:t xml:space="preserve"> </w:t>
      </w:r>
      <w:r w:rsidRPr="00981405">
        <w:t>Court</w:t>
      </w:r>
      <w:r w:rsidR="00190923" w:rsidRPr="00981405">
        <w:t xml:space="preserve"> </w:t>
      </w:r>
      <w:r w:rsidRPr="00981405">
        <w:t>explained</w:t>
      </w:r>
      <w:r w:rsidR="00190923" w:rsidRPr="00981405">
        <w:t xml:space="preserve"> </w:t>
      </w:r>
      <w:r w:rsidRPr="00981405">
        <w:t>why</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as</w:t>
      </w:r>
      <w:r w:rsidR="00190923" w:rsidRPr="00981405">
        <w:t xml:space="preserve"> </w:t>
      </w:r>
      <w:r w:rsidRPr="00981405">
        <w:t>such,</w:t>
      </w:r>
      <w:r w:rsidR="00190923" w:rsidRPr="00981405">
        <w:t xml:space="preserve"> </w:t>
      </w:r>
      <w:r w:rsidRPr="00981405">
        <w:t>including</w:t>
      </w:r>
      <w:r w:rsidR="00190923" w:rsidRPr="00981405">
        <w:t xml:space="preserve"> </w:t>
      </w:r>
      <w:r w:rsidRPr="00981405">
        <w:t>that</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organ,</w:t>
      </w:r>
      <w:r w:rsidR="00190923" w:rsidRPr="00981405">
        <w:t xml:space="preserve"> </w:t>
      </w:r>
      <w:r w:rsidRPr="00981405">
        <w:t>may</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p>
    <w:p w:rsidR="00397032" w:rsidRPr="00981405" w:rsidRDefault="00B92E2C" w:rsidP="00D97463">
      <w:pPr>
        <w:pStyle w:val="SingleTxt"/>
        <w:ind w:left="1742"/>
      </w:pPr>
      <w:r w:rsidRPr="00981405">
        <w:t>“</w:t>
      </w:r>
      <w:r w:rsidR="00397032" w:rsidRPr="00981405">
        <w:t>Proposals</w:t>
      </w:r>
      <w:r w:rsidR="00190923" w:rsidRPr="00981405">
        <w:t xml:space="preserve"> </w:t>
      </w:r>
      <w:r w:rsidR="00397032" w:rsidRPr="00981405">
        <w:t>made</w:t>
      </w:r>
      <w:r w:rsidR="00190923" w:rsidRPr="00981405">
        <w:t xml:space="preserve"> </w:t>
      </w:r>
      <w:r w:rsidR="00397032" w:rsidRPr="00981405">
        <w:t>during</w:t>
      </w:r>
      <w:r w:rsidR="00190923" w:rsidRPr="00981405">
        <w:t xml:space="preserve"> </w:t>
      </w:r>
      <w:r w:rsidR="00397032" w:rsidRPr="00981405">
        <w:t>the</w:t>
      </w:r>
      <w:r w:rsidR="00190923" w:rsidRPr="00981405">
        <w:t xml:space="preserve"> </w:t>
      </w:r>
      <w:r w:rsidR="00397032" w:rsidRPr="00981405">
        <w:t>drafting</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Charter</w:t>
      </w:r>
      <w:r w:rsidR="00190923" w:rsidRPr="00981405">
        <w:t xml:space="preserve"> </w:t>
      </w:r>
      <w:r w:rsidR="00397032" w:rsidRPr="00981405">
        <w:t>to</w:t>
      </w:r>
      <w:r w:rsidR="00190923" w:rsidRPr="00981405">
        <w:t xml:space="preserve"> </w:t>
      </w:r>
      <w:r w:rsidR="00397032" w:rsidRPr="00981405">
        <w:t>place</w:t>
      </w:r>
      <w:r w:rsidR="00190923" w:rsidRPr="00981405">
        <w:t xml:space="preserve"> </w:t>
      </w:r>
      <w:r w:rsidR="00397032" w:rsidRPr="00981405">
        <w:t>the</w:t>
      </w:r>
      <w:r w:rsidR="00190923" w:rsidRPr="00981405">
        <w:t xml:space="preserve"> </w:t>
      </w:r>
      <w:r w:rsidR="00397032" w:rsidRPr="00981405">
        <w:t>ultimate</w:t>
      </w:r>
      <w:r w:rsidR="00190923" w:rsidRPr="00981405">
        <w:t xml:space="preserve"> </w:t>
      </w:r>
      <w:r w:rsidR="00397032" w:rsidRPr="00981405">
        <w:t>authority</w:t>
      </w:r>
      <w:r w:rsidR="00190923" w:rsidRPr="00981405">
        <w:t xml:space="preserve"> </w:t>
      </w:r>
      <w:r w:rsidR="00397032" w:rsidRPr="00981405">
        <w:t>to</w:t>
      </w:r>
      <w:r w:rsidR="00190923" w:rsidRPr="00981405">
        <w:t xml:space="preserve"> </w:t>
      </w:r>
      <w:r w:rsidR="00397032" w:rsidRPr="00981405">
        <w:t>interpret</w:t>
      </w:r>
      <w:r w:rsidR="00190923" w:rsidRPr="00981405">
        <w:t xml:space="preserve"> </w:t>
      </w:r>
      <w:r w:rsidR="00397032" w:rsidRPr="00981405">
        <w:t>the</w:t>
      </w:r>
      <w:r w:rsidR="00190923" w:rsidRPr="00981405">
        <w:t xml:space="preserve"> </w:t>
      </w:r>
      <w:r w:rsidR="00397032" w:rsidRPr="00981405">
        <w:t>Charter</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International</w:t>
      </w:r>
      <w:r w:rsidR="00190923" w:rsidRPr="00981405">
        <w:t xml:space="preserve"> </w:t>
      </w:r>
      <w:r w:rsidR="00397032" w:rsidRPr="00981405">
        <w:t>Court</w:t>
      </w:r>
      <w:r w:rsidR="00190923" w:rsidRPr="00981405">
        <w:t xml:space="preserve"> </w:t>
      </w:r>
      <w:r w:rsidR="00397032" w:rsidRPr="00981405">
        <w:t>of</w:t>
      </w:r>
      <w:r w:rsidR="00190923" w:rsidRPr="00981405">
        <w:t xml:space="preserve"> </w:t>
      </w:r>
      <w:r w:rsidR="00397032" w:rsidRPr="00981405">
        <w:t>Justice</w:t>
      </w:r>
      <w:r w:rsidR="00190923" w:rsidRPr="00981405">
        <w:t xml:space="preserve"> </w:t>
      </w:r>
      <w:r w:rsidR="00397032" w:rsidRPr="00981405">
        <w:t>were</w:t>
      </w:r>
      <w:r w:rsidR="00190923" w:rsidRPr="00981405">
        <w:t xml:space="preserve"> </w:t>
      </w:r>
      <w:r w:rsidR="00397032" w:rsidRPr="00981405">
        <w:t>not</w:t>
      </w:r>
      <w:r w:rsidR="00190923" w:rsidRPr="00981405">
        <w:t xml:space="preserve"> </w:t>
      </w:r>
      <w:r w:rsidR="00397032" w:rsidRPr="00981405">
        <w:t>accepted;</w:t>
      </w:r>
      <w:r w:rsidR="00190923" w:rsidRPr="00981405">
        <w:t xml:space="preserve"> </w:t>
      </w:r>
      <w:r w:rsidR="00397032" w:rsidRPr="00981405">
        <w:t>the</w:t>
      </w:r>
      <w:r w:rsidR="00190923" w:rsidRPr="00981405">
        <w:t xml:space="preserve"> </w:t>
      </w:r>
      <w:r w:rsidR="00397032" w:rsidRPr="00981405">
        <w:t>opinion</w:t>
      </w:r>
      <w:r w:rsidR="00190923" w:rsidRPr="00981405">
        <w:t xml:space="preserve"> </w:t>
      </w:r>
      <w:r w:rsidR="00397032" w:rsidRPr="00981405">
        <w:t>which</w:t>
      </w:r>
      <w:r w:rsidR="00190923" w:rsidRPr="00981405">
        <w:t xml:space="preserve"> </w:t>
      </w:r>
      <w:r w:rsidR="00397032" w:rsidRPr="00981405">
        <w:t>the</w:t>
      </w:r>
      <w:r w:rsidR="00190923" w:rsidRPr="00981405">
        <w:t xml:space="preserve"> </w:t>
      </w:r>
      <w:r w:rsidR="00397032" w:rsidRPr="00981405">
        <w:t>Court</w:t>
      </w:r>
      <w:r w:rsidR="00190923" w:rsidRPr="00981405">
        <w:t xml:space="preserve"> </w:t>
      </w:r>
      <w:r w:rsidR="00397032" w:rsidRPr="00981405">
        <w:t>is</w:t>
      </w:r>
      <w:r w:rsidR="00190923" w:rsidRPr="00981405">
        <w:t xml:space="preserve"> </w:t>
      </w:r>
      <w:r w:rsidR="00397032" w:rsidRPr="00981405">
        <w:t>in</w:t>
      </w:r>
      <w:r w:rsidR="00190923" w:rsidRPr="00981405">
        <w:t xml:space="preserve"> </w:t>
      </w:r>
      <w:r w:rsidR="00397032" w:rsidRPr="00981405">
        <w:t>course</w:t>
      </w:r>
      <w:r w:rsidR="00190923" w:rsidRPr="00981405">
        <w:t xml:space="preserve"> </w:t>
      </w:r>
      <w:r w:rsidR="00397032" w:rsidRPr="00981405">
        <w:t>of</w:t>
      </w:r>
      <w:r w:rsidR="00190923" w:rsidRPr="00981405">
        <w:t xml:space="preserve"> </w:t>
      </w:r>
      <w:r w:rsidR="00397032" w:rsidRPr="00981405">
        <w:t>rendering</w:t>
      </w:r>
      <w:r w:rsidR="00190923" w:rsidRPr="00981405">
        <w:t xml:space="preserve"> </w:t>
      </w:r>
      <w:r w:rsidR="00397032" w:rsidRPr="00981405">
        <w:t>is</w:t>
      </w:r>
      <w:r w:rsidR="00190923" w:rsidRPr="00981405">
        <w:t xml:space="preserve"> </w:t>
      </w:r>
      <w:r w:rsidR="00397032" w:rsidRPr="00981405">
        <w:t>an</w:t>
      </w:r>
      <w:r w:rsidR="00190923" w:rsidRPr="00981405">
        <w:t xml:space="preserve"> </w:t>
      </w:r>
      <w:r w:rsidR="00397032" w:rsidRPr="00981405">
        <w:t>advisory</w:t>
      </w:r>
      <w:r w:rsidR="00190923" w:rsidRPr="00981405">
        <w:t xml:space="preserve"> </w:t>
      </w:r>
      <w:r w:rsidR="00397032" w:rsidRPr="00981405">
        <w:t>opinion.</w:t>
      </w:r>
      <w:r w:rsidR="00190923" w:rsidRPr="00981405">
        <w:t xml:space="preserve"> </w:t>
      </w:r>
      <w:r w:rsidR="00397032" w:rsidRPr="00981405">
        <w:t>As</w:t>
      </w:r>
      <w:r w:rsidR="00190923" w:rsidRPr="00981405">
        <w:t xml:space="preserve"> </w:t>
      </w:r>
      <w:r w:rsidR="00397032" w:rsidRPr="00981405">
        <w:t>anticipated</w:t>
      </w:r>
      <w:r w:rsidR="00190923" w:rsidRPr="00981405">
        <w:t xml:space="preserve"> </w:t>
      </w:r>
      <w:r w:rsidR="00397032" w:rsidRPr="00981405">
        <w:t>in</w:t>
      </w:r>
      <w:r w:rsidR="00190923" w:rsidRPr="00981405">
        <w:t xml:space="preserve"> </w:t>
      </w:r>
      <w:r w:rsidR="00397032" w:rsidRPr="00981405">
        <w:t>1945,</w:t>
      </w:r>
      <w:r w:rsidR="00190923" w:rsidRPr="00981405">
        <w:t xml:space="preserve"> </w:t>
      </w:r>
      <w:r w:rsidR="00397032" w:rsidRPr="00981405">
        <w:t>therefore,</w:t>
      </w:r>
      <w:r w:rsidR="00190923" w:rsidRPr="00981405">
        <w:t xml:space="preserve"> </w:t>
      </w:r>
      <w:r w:rsidR="00397032" w:rsidRPr="00981405">
        <w:t>each</w:t>
      </w:r>
      <w:r w:rsidR="00190923" w:rsidRPr="00981405">
        <w:t xml:space="preserve"> </w:t>
      </w:r>
      <w:r w:rsidR="00397032" w:rsidRPr="00981405">
        <w:t>organ</w:t>
      </w:r>
      <w:r w:rsidR="00190923" w:rsidRPr="00981405">
        <w:t xml:space="preserve"> </w:t>
      </w:r>
      <w:r w:rsidR="00397032" w:rsidRPr="00981405">
        <w:t>must,</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first</w:t>
      </w:r>
      <w:r w:rsidR="00190923" w:rsidRPr="00981405">
        <w:t xml:space="preserve"> </w:t>
      </w:r>
      <w:r w:rsidR="00397032" w:rsidRPr="00981405">
        <w:t>place</w:t>
      </w:r>
      <w:r w:rsidR="00190923" w:rsidRPr="00981405">
        <w:t xml:space="preserve"> </w:t>
      </w:r>
      <w:r w:rsidR="00397032" w:rsidRPr="00981405">
        <w:t>at</w:t>
      </w:r>
      <w:r w:rsidR="00190923" w:rsidRPr="00981405">
        <w:t xml:space="preserve"> </w:t>
      </w:r>
      <w:r w:rsidR="00397032" w:rsidRPr="00981405">
        <w:t>least,</w:t>
      </w:r>
      <w:r w:rsidR="00190923" w:rsidRPr="00981405">
        <w:t xml:space="preserve"> </w:t>
      </w:r>
      <w:r w:rsidR="00397032" w:rsidRPr="00981405">
        <w:t>determine</w:t>
      </w:r>
      <w:r w:rsidR="00190923" w:rsidRPr="00981405">
        <w:t xml:space="preserve"> </w:t>
      </w:r>
      <w:r w:rsidR="00397032" w:rsidRPr="00981405">
        <w:t>its</w:t>
      </w:r>
      <w:r w:rsidR="00190923" w:rsidRPr="00981405">
        <w:t xml:space="preserve"> </w:t>
      </w:r>
      <w:r w:rsidR="00397032" w:rsidRPr="00981405">
        <w:t>own</w:t>
      </w:r>
      <w:r w:rsidR="00190923" w:rsidRPr="00981405">
        <w:t xml:space="preserve"> </w:t>
      </w:r>
      <w:r w:rsidR="00397032" w:rsidRPr="00981405">
        <w:t>jurisdiction.</w:t>
      </w:r>
      <w:r w:rsidR="00190923" w:rsidRPr="00981405">
        <w:t xml:space="preserve"> </w:t>
      </w:r>
      <w:r w:rsidR="00397032" w:rsidRPr="00981405">
        <w:t>If</w:t>
      </w:r>
      <w:r w:rsidR="00190923" w:rsidRPr="00981405">
        <w:t xml:space="preserve"> </w:t>
      </w:r>
      <w:r w:rsidR="00397032" w:rsidRPr="00981405">
        <w:t>the</w:t>
      </w:r>
      <w:r w:rsidR="00190923" w:rsidRPr="00981405">
        <w:t xml:space="preserve"> </w:t>
      </w:r>
      <w:r w:rsidR="00397032" w:rsidRPr="00981405">
        <w:t>Security</w:t>
      </w:r>
      <w:r w:rsidR="00190923" w:rsidRPr="00981405">
        <w:t xml:space="preserve"> </w:t>
      </w:r>
      <w:r w:rsidR="00397032" w:rsidRPr="00981405">
        <w:t>Council,</w:t>
      </w:r>
      <w:r w:rsidR="00190923" w:rsidRPr="00981405">
        <w:t xml:space="preserve"> </w:t>
      </w:r>
      <w:r w:rsidR="00397032" w:rsidRPr="00981405">
        <w:t>for</w:t>
      </w:r>
      <w:r w:rsidR="00190923" w:rsidRPr="00981405">
        <w:t xml:space="preserve"> </w:t>
      </w:r>
      <w:r w:rsidR="00397032" w:rsidRPr="00981405">
        <w:t>example,</w:t>
      </w:r>
      <w:r w:rsidR="00190923" w:rsidRPr="00981405">
        <w:t xml:space="preserve"> </w:t>
      </w:r>
      <w:r w:rsidR="00397032" w:rsidRPr="00981405">
        <w:t>adopts</w:t>
      </w:r>
      <w:r w:rsidR="00190923" w:rsidRPr="00981405">
        <w:t xml:space="preserve"> </w:t>
      </w:r>
      <w:r w:rsidR="00397032" w:rsidRPr="00981405">
        <w:t>a</w:t>
      </w:r>
      <w:r w:rsidR="00190923" w:rsidRPr="00981405">
        <w:t xml:space="preserve"> </w:t>
      </w:r>
      <w:r w:rsidR="00397032" w:rsidRPr="00981405">
        <w:t>resolution</w:t>
      </w:r>
      <w:r w:rsidR="00190923" w:rsidRPr="00981405">
        <w:t xml:space="preserve"> </w:t>
      </w:r>
      <w:r w:rsidR="00397032" w:rsidRPr="00981405">
        <w:t>purportedly</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maintenance</w:t>
      </w:r>
      <w:r w:rsidR="00190923" w:rsidRPr="00981405">
        <w:t xml:space="preserve"> </w:t>
      </w:r>
      <w:r w:rsidR="00397032" w:rsidRPr="00981405">
        <w:t>of</w:t>
      </w:r>
      <w:r w:rsidR="00190923" w:rsidRPr="00981405">
        <w:t xml:space="preserve"> </w:t>
      </w:r>
      <w:r w:rsidR="00397032" w:rsidRPr="00981405">
        <w:t>international</w:t>
      </w:r>
      <w:r w:rsidR="00190923" w:rsidRPr="00981405">
        <w:t xml:space="preserve"> </w:t>
      </w:r>
      <w:r w:rsidR="00397032" w:rsidRPr="00981405">
        <w:t>peace</w:t>
      </w:r>
      <w:r w:rsidR="00190923" w:rsidRPr="00981405">
        <w:t xml:space="preserve"> </w:t>
      </w:r>
      <w:r w:rsidR="00397032" w:rsidRPr="00981405">
        <w:t>and</w:t>
      </w:r>
      <w:r w:rsidR="00190923" w:rsidRPr="00981405">
        <w:t xml:space="preserve"> </w:t>
      </w:r>
      <w:r w:rsidR="00397032" w:rsidRPr="00981405">
        <w:t>security</w:t>
      </w:r>
      <w:r w:rsidR="00190923" w:rsidRPr="00981405">
        <w:t xml:space="preserve"> </w:t>
      </w:r>
      <w:r w:rsidR="00397032" w:rsidRPr="00981405">
        <w:t>and</w:t>
      </w:r>
      <w:r w:rsidR="00190923" w:rsidRPr="00981405">
        <w:t xml:space="preserve"> </w:t>
      </w:r>
      <w:r w:rsidR="00397032" w:rsidRPr="00981405">
        <w:t>if,</w:t>
      </w:r>
      <w:r w:rsidR="00190923" w:rsidRPr="00981405">
        <w:t xml:space="preserve"> </w:t>
      </w:r>
      <w:r w:rsidR="00397032" w:rsidRPr="00981405">
        <w:t>in</w:t>
      </w:r>
      <w:r w:rsidR="00190923" w:rsidRPr="00981405">
        <w:t xml:space="preserve"> </w:t>
      </w:r>
      <w:r w:rsidR="00397032" w:rsidRPr="00981405">
        <w:t>accordance</w:t>
      </w:r>
      <w:r w:rsidR="00190923" w:rsidRPr="00981405">
        <w:t xml:space="preserve"> </w:t>
      </w:r>
      <w:r w:rsidR="00397032" w:rsidRPr="00981405">
        <w:t>with</w:t>
      </w:r>
      <w:r w:rsidR="00190923" w:rsidRPr="00981405">
        <w:t xml:space="preserve"> </w:t>
      </w:r>
      <w:r w:rsidR="00397032" w:rsidRPr="00981405">
        <w:t>a</w:t>
      </w:r>
      <w:r w:rsidR="00190923" w:rsidRPr="00981405">
        <w:t xml:space="preserve"> </w:t>
      </w:r>
      <w:r w:rsidR="00397032" w:rsidRPr="00981405">
        <w:t>mandate</w:t>
      </w:r>
      <w:r w:rsidR="00190923" w:rsidRPr="00981405">
        <w:t xml:space="preserve"> </w:t>
      </w:r>
      <w:r w:rsidR="00397032" w:rsidRPr="00981405">
        <w:t>or</w:t>
      </w:r>
      <w:r w:rsidR="00190923" w:rsidRPr="00981405">
        <w:t xml:space="preserve"> </w:t>
      </w:r>
      <w:r w:rsidR="00397032" w:rsidRPr="00981405">
        <w:t>authorization</w:t>
      </w:r>
      <w:r w:rsidR="00190923" w:rsidRPr="00981405">
        <w:t xml:space="preserve"> </w:t>
      </w:r>
      <w:r w:rsidR="00397032" w:rsidRPr="00981405">
        <w:t>in</w:t>
      </w:r>
      <w:r w:rsidR="00190923" w:rsidRPr="00981405">
        <w:t xml:space="preserve"> </w:t>
      </w:r>
      <w:r w:rsidR="00397032" w:rsidRPr="00981405">
        <w:t>such</w:t>
      </w:r>
      <w:r w:rsidR="00190923" w:rsidRPr="00981405">
        <w:t xml:space="preserve"> </w:t>
      </w:r>
      <w:r w:rsidR="00397032" w:rsidRPr="00981405">
        <w:t>resolution,</w:t>
      </w:r>
      <w:r w:rsidR="00190923" w:rsidRPr="00981405">
        <w:t xml:space="preserve"> </w:t>
      </w:r>
      <w:r w:rsidR="00397032" w:rsidRPr="00981405">
        <w:t>the</w:t>
      </w:r>
      <w:r w:rsidR="00190923" w:rsidRPr="00981405">
        <w:t xml:space="preserve"> </w:t>
      </w:r>
      <w:r w:rsidR="00397032" w:rsidRPr="00981405">
        <w:t>Secretary-General</w:t>
      </w:r>
      <w:r w:rsidR="00190923" w:rsidRPr="00981405">
        <w:t xml:space="preserve"> </w:t>
      </w:r>
      <w:r w:rsidR="00397032" w:rsidRPr="00981405">
        <w:t>incurs</w:t>
      </w:r>
      <w:r w:rsidR="00190923" w:rsidRPr="00981405">
        <w:t xml:space="preserve"> </w:t>
      </w:r>
      <w:r w:rsidR="00397032" w:rsidRPr="00981405">
        <w:t>financial</w:t>
      </w:r>
      <w:r w:rsidR="00190923" w:rsidRPr="00981405">
        <w:t xml:space="preserve"> </w:t>
      </w:r>
      <w:r w:rsidR="00397032" w:rsidRPr="00981405">
        <w:t>obligations,</w:t>
      </w:r>
      <w:r w:rsidR="00190923" w:rsidRPr="00981405">
        <w:t xml:space="preserve"> </w:t>
      </w:r>
      <w:r w:rsidR="00397032" w:rsidRPr="00981405">
        <w:t>these</w:t>
      </w:r>
      <w:r w:rsidR="00190923" w:rsidRPr="00981405">
        <w:t xml:space="preserve"> </w:t>
      </w:r>
      <w:r w:rsidR="00397032" w:rsidRPr="00981405">
        <w:t>amounts</w:t>
      </w:r>
      <w:r w:rsidR="00190923" w:rsidRPr="00981405">
        <w:t xml:space="preserve"> </w:t>
      </w:r>
      <w:r w:rsidR="00397032" w:rsidRPr="00981405">
        <w:t>must</w:t>
      </w:r>
      <w:r w:rsidR="00190923" w:rsidRPr="00981405">
        <w:t xml:space="preserve"> </w:t>
      </w:r>
      <w:r w:rsidR="00397032" w:rsidRPr="00981405">
        <w:t>be</w:t>
      </w:r>
      <w:r w:rsidR="00190923" w:rsidRPr="00981405">
        <w:t xml:space="preserve"> </w:t>
      </w:r>
      <w:r w:rsidR="00397032" w:rsidRPr="00981405">
        <w:t>presumed</w:t>
      </w:r>
      <w:r w:rsidR="00190923" w:rsidRPr="00981405">
        <w:t xml:space="preserve"> </w:t>
      </w:r>
      <w:r w:rsidR="00397032" w:rsidRPr="00981405">
        <w:t>to</w:t>
      </w:r>
      <w:r w:rsidR="00190923" w:rsidRPr="00981405">
        <w:t xml:space="preserve"> </w:t>
      </w:r>
      <w:r w:rsidR="00397032" w:rsidRPr="00981405">
        <w:t>constitute</w:t>
      </w:r>
      <w:r w:rsidR="00190923" w:rsidRPr="00981405">
        <w:t xml:space="preserve"> </w:t>
      </w:r>
      <w:r w:rsidRPr="00981405">
        <w:t>‘</w:t>
      </w:r>
      <w:r w:rsidR="00397032" w:rsidRPr="00981405">
        <w:t>expenses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Pr="00981405">
        <w:t>’”</w:t>
      </w:r>
      <w:r w:rsidR="00397032" w:rsidRPr="00981405">
        <w:t>.</w:t>
      </w:r>
      <w:r w:rsidR="00397032" w:rsidRPr="00981405">
        <w:rPr>
          <w:rStyle w:val="FootnoteReference"/>
        </w:rPr>
        <w:footnoteReference w:id="349"/>
      </w:r>
      <w:bookmarkStart w:id="116" w:name="_Ref423449798"/>
    </w:p>
    <w:bookmarkEnd w:id="116"/>
    <w:p w:rsidR="00397032" w:rsidRPr="00981405" w:rsidRDefault="00397032" w:rsidP="00D97463">
      <w:pPr>
        <w:pStyle w:val="SingleTxt"/>
      </w:pPr>
      <w:r w:rsidRPr="00981405">
        <w:t>(31)</w:t>
      </w:r>
      <w:r w:rsidRPr="00981405">
        <w:tab/>
        <w:t>Many</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share</w:t>
      </w:r>
      <w:r w:rsidR="00190923" w:rsidRPr="00981405">
        <w:t xml:space="preserve"> </w:t>
      </w:r>
      <w:r w:rsidRPr="00981405">
        <w:t>the</w:t>
      </w:r>
      <w:r w:rsidR="00190923" w:rsidRPr="00981405">
        <w:t xml:space="preserve"> </w:t>
      </w:r>
      <w:r w:rsidRPr="00981405">
        <w:t>same</w:t>
      </w:r>
      <w:r w:rsidR="00190923" w:rsidRPr="00981405">
        <w:t xml:space="preserve"> </w:t>
      </w:r>
      <w:r w:rsidRPr="00981405">
        <w:t>characteristic</w:t>
      </w:r>
      <w:r w:rsidR="00190923" w:rsidRPr="00981405">
        <w:t xml:space="preserve"> </w:t>
      </w:r>
      <w:r w:rsidRPr="00981405">
        <w:t>of</w:t>
      </w:r>
      <w:r w:rsidR="00190923" w:rsidRPr="00981405">
        <w:t xml:space="preserve"> </w:t>
      </w:r>
      <w:r w:rsidRPr="00981405">
        <w:t>not</w:t>
      </w:r>
      <w:r w:rsidR="00190923" w:rsidRPr="00981405">
        <w:t xml:space="preserve"> </w:t>
      </w:r>
      <w:r w:rsidRPr="00981405">
        <w:t>providing</w:t>
      </w:r>
      <w:r w:rsidR="00190923" w:rsidRPr="00981405">
        <w:t xml:space="preserve"> </w:t>
      </w:r>
      <w:r w:rsidRPr="00981405">
        <w:t>for</w:t>
      </w:r>
      <w:r w:rsidR="00190923" w:rsidRPr="00981405">
        <w:t xml:space="preserve"> </w:t>
      </w:r>
      <w:r w:rsidRPr="00981405">
        <w:t>an</w:t>
      </w:r>
      <w:r w:rsidR="00190923" w:rsidRPr="00981405">
        <w:t xml:space="preserve"> </w:t>
      </w:r>
      <w:r w:rsidR="00B92E2C" w:rsidRPr="00981405">
        <w:t>“</w:t>
      </w:r>
      <w:r w:rsidRPr="00981405">
        <w:t>ultimate</w:t>
      </w:r>
      <w:r w:rsidR="00190923" w:rsidRPr="00981405">
        <w:t xml:space="preserve"> </w:t>
      </w:r>
      <w:r w:rsidRPr="00981405">
        <w:t>authority</w:t>
      </w:r>
      <w:r w:rsidR="00190923" w:rsidRPr="00981405">
        <w:t xml:space="preserve"> </w:t>
      </w:r>
      <w:r w:rsidRPr="00981405">
        <w:t>to</w:t>
      </w:r>
      <w:r w:rsidR="00190923" w:rsidRPr="00981405">
        <w:t xml:space="preserve"> </w:t>
      </w:r>
      <w:r w:rsidRPr="00981405">
        <w:t>interpret</w:t>
      </w:r>
      <w:r w:rsidR="00B92E2C" w:rsidRPr="00981405">
        <w:t>”</w:t>
      </w:r>
      <w:r w:rsidR="00190923" w:rsidRPr="00981405">
        <w:t xml:space="preserve"> </w:t>
      </w:r>
      <w:r w:rsidRPr="00981405">
        <w:t>their</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which</w:t>
      </w:r>
      <w:r w:rsidR="00190923" w:rsidRPr="00981405">
        <w:t xml:space="preserve"> </w:t>
      </w:r>
      <w:r w:rsidRPr="00981405">
        <w:t>the</w:t>
      </w:r>
      <w:r w:rsidR="00190923" w:rsidRPr="00981405">
        <w:t xml:space="preserve"> </w:t>
      </w:r>
      <w:r w:rsidRPr="00981405">
        <w:t>Court</w:t>
      </w:r>
      <w:r w:rsidR="00190923" w:rsidRPr="00981405">
        <w:t xml:space="preserve"> </w:t>
      </w:r>
      <w:r w:rsidRPr="00981405">
        <w:t>has</w:t>
      </w:r>
      <w:r w:rsidR="00190923" w:rsidRPr="00981405">
        <w:t xml:space="preserve"> </w:t>
      </w:r>
      <w:r w:rsidRPr="00981405">
        <w:t>drawn</w:t>
      </w:r>
      <w:r w:rsidR="00190923" w:rsidRPr="00981405">
        <w:t xml:space="preserve"> </w:t>
      </w:r>
      <w:r w:rsidRPr="00981405">
        <w:t>from</w:t>
      </w:r>
      <w:r w:rsidR="00190923" w:rsidRPr="00981405">
        <w:t xml:space="preserve"> </w:t>
      </w:r>
      <w:r w:rsidRPr="00981405">
        <w:t>this</w:t>
      </w:r>
      <w:r w:rsidR="00190923" w:rsidRPr="00981405">
        <w:t xml:space="preserve"> </w:t>
      </w:r>
      <w:r w:rsidRPr="00981405">
        <w:t>circumstance</w:t>
      </w:r>
      <w:r w:rsidR="00190923" w:rsidRPr="00981405">
        <w:t xml:space="preserve"> </w:t>
      </w:r>
      <w:r w:rsidRPr="00981405">
        <w:t>is</w:t>
      </w:r>
      <w:r w:rsidR="00190923" w:rsidRPr="00981405">
        <w:t xml:space="preserve"> </w:t>
      </w:r>
      <w:r w:rsidRPr="00981405">
        <w:t>therefore</w:t>
      </w:r>
      <w:r w:rsidR="00190923" w:rsidRPr="00981405">
        <w:t xml:space="preserve"> </w:t>
      </w:r>
      <w:r w:rsidRPr="00981405">
        <w:t>now</w:t>
      </w:r>
      <w:r w:rsidR="00190923" w:rsidRPr="00981405">
        <w:t xml:space="preserve"> </w:t>
      </w:r>
      <w:r w:rsidRPr="00981405">
        <w:t>generally</w:t>
      </w:r>
      <w:r w:rsidR="00190923" w:rsidRPr="00981405">
        <w:t xml:space="preserve"> </w:t>
      </w:r>
      <w:r w:rsidRPr="00981405">
        <w:t>accepted</w:t>
      </w:r>
      <w:r w:rsidR="00190923" w:rsidRPr="00981405">
        <w:t xml:space="preserve"> </w:t>
      </w:r>
      <w:r w:rsidRPr="00981405">
        <w:t>as</w:t>
      </w:r>
      <w:r w:rsidR="00190923" w:rsidRPr="00981405">
        <w:t xml:space="preserve"> </w:t>
      </w:r>
      <w:r w:rsidRPr="00981405">
        <w:t>being</w:t>
      </w:r>
      <w:r w:rsidR="00190923" w:rsidRPr="00981405">
        <w:t xml:space="preserve"> </w:t>
      </w:r>
      <w:r w:rsidRPr="00981405">
        <w:t>applicable</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organizations.</w:t>
      </w:r>
      <w:bookmarkStart w:id="117" w:name="_Ref424552219"/>
      <w:r w:rsidRPr="00981405">
        <w:rPr>
          <w:rStyle w:val="FootnoteReference"/>
        </w:rPr>
        <w:footnoteReference w:id="350"/>
      </w:r>
      <w:bookmarkEnd w:id="117"/>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a</w:t>
      </w:r>
      <w:r w:rsidR="00190923" w:rsidRPr="00981405">
        <w:t xml:space="preserve"> </w:t>
      </w:r>
      <w:r w:rsidRPr="00981405">
        <w:lastRenderedPageBreak/>
        <w:t>presumption,</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Certain</w:t>
      </w:r>
      <w:r w:rsidR="00190923" w:rsidRPr="00981405">
        <w:rPr>
          <w:i/>
          <w:iCs/>
        </w:rPr>
        <w:t xml:space="preserve"> </w:t>
      </w:r>
      <w:r w:rsidRPr="00D97463">
        <w:rPr>
          <w:i/>
          <w:iCs/>
        </w:rPr>
        <w:t>Expenses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which</w:t>
      </w:r>
      <w:r w:rsidR="00190923" w:rsidRPr="00981405">
        <w:t xml:space="preserve"> </w:t>
      </w:r>
      <w:r w:rsidRPr="00981405">
        <w:t>arises</w:t>
      </w:r>
      <w:r w:rsidR="00190923" w:rsidRPr="00981405">
        <w:t xml:space="preserve"> </w:t>
      </w:r>
      <w:r w:rsidRPr="00981405">
        <w:t>from</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including</w:t>
      </w:r>
      <w:r w:rsidR="00190923" w:rsidRPr="00981405">
        <w:t xml:space="preserve"> </w:t>
      </w:r>
      <w:r w:rsidRPr="00981405">
        <w:t>by</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of</w:t>
      </w:r>
      <w:r w:rsidR="00190923" w:rsidRPr="00981405">
        <w:t xml:space="preserve"> </w:t>
      </w:r>
      <w:r w:rsidRPr="00981405">
        <w:t>its</w:t>
      </w:r>
      <w:r w:rsidR="00190923" w:rsidRPr="00981405">
        <w:t xml:space="preserve"> </w:t>
      </w:r>
      <w:r w:rsidRPr="00981405">
        <w:t>organs,</w:t>
      </w:r>
      <w:r w:rsidR="00190923" w:rsidRPr="00981405">
        <w:t xml:space="preserve"> </w:t>
      </w:r>
      <w:r w:rsidRPr="00981405">
        <w:t>is</w:t>
      </w:r>
      <w:r w:rsidR="00190923" w:rsidRPr="00981405">
        <w:t xml:space="preserve"> </w:t>
      </w:r>
      <w:r w:rsidRPr="00981405">
        <w:t>a</w:t>
      </w:r>
      <w:r w:rsidR="00190923" w:rsidRPr="00981405">
        <w:t xml:space="preserve"> </w:t>
      </w:r>
      <w:r w:rsidRPr="00981405">
        <w:t>way</w:t>
      </w:r>
      <w:r w:rsidR="00190923" w:rsidRPr="00981405">
        <w:t xml:space="preserve"> </w:t>
      </w:r>
      <w:r w:rsidRPr="00981405">
        <w:t>of</w:t>
      </w:r>
      <w:r w:rsidR="00190923" w:rsidRPr="00981405">
        <w:t xml:space="preserve"> </w:t>
      </w:r>
      <w:r w:rsidRPr="00981405">
        <w:t>recognizing</w:t>
      </w:r>
      <w:r w:rsidR="00190923" w:rsidRPr="00981405">
        <w:t xml:space="preserve"> </w:t>
      </w:r>
      <w:r w:rsidRPr="00981405">
        <w:t>such</w:t>
      </w:r>
      <w:r w:rsidR="00190923" w:rsidRPr="00981405">
        <w:t xml:space="preserve"> </w:t>
      </w:r>
      <w:r w:rsidRPr="00981405">
        <w:t>practice</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bookmarkStart w:id="118" w:name="_Ref424552297"/>
      <w:r w:rsidRPr="00981405">
        <w:rPr>
          <w:rStyle w:val="FootnoteReference"/>
        </w:rPr>
        <w:footnoteReference w:id="351"/>
      </w:r>
      <w:bookmarkEnd w:id="118"/>
      <w:r w:rsidR="00190923" w:rsidRPr="00981405">
        <w:t xml:space="preserve"> </w:t>
      </w:r>
    </w:p>
    <w:p w:rsidR="00397032" w:rsidRPr="00981405" w:rsidRDefault="00397032" w:rsidP="00D97463">
      <w:pPr>
        <w:pStyle w:val="SingleTxt"/>
      </w:pPr>
      <w:r w:rsidRPr="00981405">
        <w:t>(32)</w:t>
      </w:r>
      <w:r w:rsidRPr="00981405">
        <w:tab/>
        <w:t>Whereas</w:t>
      </w:r>
      <w:r w:rsidR="00190923" w:rsidRPr="00981405">
        <w:t xml:space="preserve"> </w:t>
      </w:r>
      <w:r w:rsidRPr="00981405">
        <w:t>it</w:t>
      </w:r>
      <w:r w:rsidR="00190923" w:rsidRPr="00981405">
        <w:t xml:space="preserve"> </w:t>
      </w:r>
      <w:r w:rsidRPr="00981405">
        <w:t>is</w:t>
      </w:r>
      <w:r w:rsidR="00190923" w:rsidRPr="00981405">
        <w:t xml:space="preserve"> </w:t>
      </w:r>
      <w:r w:rsidRPr="00981405">
        <w:t>generally</w:t>
      </w:r>
      <w:r w:rsidR="00190923" w:rsidRPr="00981405">
        <w:t xml:space="preserve"> </w:t>
      </w:r>
      <w:r w:rsidRPr="00981405">
        <w:t>agreed</w:t>
      </w:r>
      <w:r w:rsidR="00190923" w:rsidRPr="00981405">
        <w:t xml:space="preserve"> </w:t>
      </w:r>
      <w:r w:rsidRPr="00981405">
        <w:t>that</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by</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their</w:t>
      </w:r>
      <w:r w:rsidR="00190923" w:rsidRPr="00981405">
        <w:t xml:space="preserve"> </w:t>
      </w:r>
      <w:r w:rsidRPr="00981405">
        <w:t>organs</w:t>
      </w:r>
      <w:r w:rsidR="00190923" w:rsidRPr="00981405">
        <w:t xml:space="preserve"> </w:t>
      </w:r>
      <w:r w:rsidRPr="00981405">
        <w:t>constitutes</w:t>
      </w:r>
      <w:r w:rsidR="00190923" w:rsidRPr="00981405">
        <w:t xml:space="preserve"> </w:t>
      </w:r>
      <w:r w:rsidRPr="00981405">
        <w:t>a</w:t>
      </w:r>
      <w:r w:rsidR="00190923" w:rsidRPr="00981405">
        <w:t xml:space="preserve"> </w:t>
      </w:r>
      <w:r w:rsidRPr="00981405">
        <w:t>relevant</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bookmarkStart w:id="119" w:name="_Ref423356804"/>
      <w:r w:rsidRPr="00981405">
        <w:rPr>
          <w:rStyle w:val="FootnoteReference"/>
        </w:rPr>
        <w:footnoteReference w:id="352"/>
      </w:r>
      <w:bookmarkEnd w:id="119"/>
      <w:r w:rsidR="00190923" w:rsidRPr="00981405">
        <w:t xml:space="preserve"> </w:t>
      </w:r>
      <w:r w:rsidRPr="00981405">
        <w:t>certain</w:t>
      </w:r>
      <w:r w:rsidR="00190923" w:rsidRPr="00981405">
        <w:t xml:space="preserve"> </w:t>
      </w:r>
      <w:r w:rsidRPr="00981405">
        <w:t>differences</w:t>
      </w:r>
      <w:r w:rsidR="00190923" w:rsidRPr="00981405">
        <w:t xml:space="preserve"> </w:t>
      </w:r>
      <w:r w:rsidRPr="00981405">
        <w:t>exist</w:t>
      </w:r>
      <w:r w:rsidR="00190923" w:rsidRPr="00981405">
        <w:t xml:space="preserve"> </w:t>
      </w:r>
      <w:r w:rsidRPr="00981405">
        <w:t>among</w:t>
      </w:r>
      <w:r w:rsidR="00190923" w:rsidRPr="00981405">
        <w:t xml:space="preserve"> </w:t>
      </w:r>
      <w:r w:rsidRPr="00981405">
        <w:t>writers</w:t>
      </w:r>
      <w:r w:rsidR="00190923" w:rsidRPr="00981405">
        <w:t xml:space="preserve"> </w:t>
      </w:r>
      <w:r w:rsidRPr="00981405">
        <w:t>about</w:t>
      </w:r>
      <w:r w:rsidR="00190923" w:rsidRPr="00981405">
        <w:t xml:space="preserve"> </w:t>
      </w:r>
      <w:r w:rsidRPr="00981405">
        <w:t>how</w:t>
      </w:r>
      <w:r w:rsidR="00190923" w:rsidRPr="00981405">
        <w:t xml:space="preserve"> </w:t>
      </w:r>
      <w:r w:rsidRPr="00981405">
        <w:t>to</w:t>
      </w:r>
      <w:r w:rsidR="00190923" w:rsidRPr="00981405">
        <w:t xml:space="preserve"> </w:t>
      </w:r>
      <w:r w:rsidRPr="00981405">
        <w:t>explain</w:t>
      </w:r>
      <w:r w:rsidR="00190923" w:rsidRPr="00981405">
        <w:t xml:space="preserve"> </w:t>
      </w:r>
      <w:r w:rsidRPr="00981405">
        <w:t>the</w:t>
      </w:r>
      <w:r w:rsidR="00190923" w:rsidRPr="00981405">
        <w:t xml:space="preserve"> </w:t>
      </w:r>
      <w:r w:rsidRPr="00981405">
        <w:t>relevance,</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B92E2C" w:rsidRPr="00981405">
        <w:t>’</w:t>
      </w:r>
      <w:r w:rsidRPr="00981405">
        <w:t>s</w:t>
      </w:r>
      <w:r w:rsidR="00190923" w:rsidRPr="00981405">
        <w:t xml:space="preserve"> </w:t>
      </w:r>
      <w:r w:rsidR="00B92E2C" w:rsidRPr="00981405">
        <w:t>“</w:t>
      </w:r>
      <w:r w:rsidRPr="00981405">
        <w:t>own</w:t>
      </w:r>
      <w:r w:rsidR="00190923" w:rsidRPr="00981405">
        <w:t xml:space="preserve"> </w:t>
      </w:r>
      <w:r w:rsidRPr="00981405">
        <w:t>practice</w:t>
      </w:r>
      <w:r w:rsidR="00B92E2C" w:rsidRPr="00981405">
        <w:t>”</w:t>
      </w:r>
      <w:r w:rsidR="00190923" w:rsidRPr="00981405">
        <w:t xml:space="preserve"> </w:t>
      </w:r>
      <w:r w:rsidRPr="00981405">
        <w:t>in</w:t>
      </w:r>
      <w:r w:rsidR="00190923" w:rsidRPr="00981405">
        <w:t xml:space="preserve"> </w:t>
      </w:r>
      <w:r w:rsidRPr="00981405">
        <w:t>terms</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rules</w:t>
      </w:r>
      <w:r w:rsidR="00190923" w:rsidRPr="00981405">
        <w:t xml:space="preserve"> </w:t>
      </w:r>
      <w:r w:rsidRPr="00981405">
        <w:t>of</w:t>
      </w:r>
      <w:r w:rsidR="00190923" w:rsidRPr="00981405">
        <w:t xml:space="preserve"> </w:t>
      </w:r>
      <w:r w:rsidRPr="00981405">
        <w:t>interpretation.</w:t>
      </w:r>
      <w:r w:rsidRPr="00981405">
        <w:rPr>
          <w:rStyle w:val="FootnoteReference"/>
        </w:rPr>
        <w:footnoteReference w:id="353"/>
      </w:r>
      <w:r w:rsidR="00190923" w:rsidRPr="00981405">
        <w:t xml:space="preserve"> </w:t>
      </w:r>
      <w:r w:rsidRPr="00981405">
        <w:t>Such</w:t>
      </w:r>
      <w:r w:rsidR="00190923" w:rsidRPr="00981405">
        <w:t xml:space="preserve"> </w:t>
      </w:r>
      <w:r w:rsidRPr="00981405">
        <w:t>practice</w:t>
      </w:r>
      <w:r w:rsidR="00190923" w:rsidRPr="00981405">
        <w:t xml:space="preserve"> </w:t>
      </w:r>
      <w:r w:rsidRPr="00981405">
        <w:t>can,</w:t>
      </w:r>
      <w:r w:rsidR="00190923" w:rsidRPr="00981405">
        <w:t xml:space="preserve"> </w:t>
      </w:r>
      <w:r w:rsidRPr="00981405">
        <w:t>at</w:t>
      </w:r>
      <w:r w:rsidR="00190923" w:rsidRPr="00981405">
        <w:t xml:space="preserve"> </w:t>
      </w:r>
      <w:r w:rsidRPr="00981405">
        <w:t>a</w:t>
      </w:r>
      <w:r w:rsidR="00190923" w:rsidRPr="00981405">
        <w:t xml:space="preserve"> </w:t>
      </w:r>
      <w:r w:rsidRPr="00981405">
        <w:t>minimum,</w:t>
      </w:r>
      <w:r w:rsidR="00190923" w:rsidRPr="00981405">
        <w:t xml:space="preserve"> </w:t>
      </w:r>
      <w:r w:rsidRPr="00981405">
        <w:t>be</w:t>
      </w:r>
      <w:r w:rsidR="00190923" w:rsidRPr="00981405">
        <w:t xml:space="preserve"> </w:t>
      </w:r>
      <w:r w:rsidRPr="00981405">
        <w:t>conceived</w:t>
      </w:r>
      <w:r w:rsidR="00190923" w:rsidRPr="00981405">
        <w:t xml:space="preserve"> </w:t>
      </w:r>
      <w:r w:rsidRPr="00981405">
        <w:t>as</w:t>
      </w:r>
      <w:r w:rsidR="00190923" w:rsidRPr="00981405">
        <w:t xml:space="preserve"> </w:t>
      </w:r>
      <w:r w:rsidRPr="00981405">
        <w:t>a</w:t>
      </w:r>
      <w:r w:rsidR="00190923" w:rsidRPr="00981405">
        <w:t xml:space="preserve"> </w:t>
      </w:r>
      <w:r w:rsidRPr="00981405">
        <w:t>supplementary</w:t>
      </w:r>
      <w:r w:rsidR="00190923" w:rsidRPr="00981405">
        <w:t xml:space="preserve"> </w:t>
      </w:r>
      <w:r w:rsidRPr="00981405">
        <w:t>means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bookmarkStart w:id="120" w:name="_Ref424014315"/>
      <w:r w:rsidRPr="00981405">
        <w:rPr>
          <w:rStyle w:val="FootnoteReference"/>
        </w:rPr>
        <w:footnoteReference w:id="354"/>
      </w:r>
      <w:bookmarkEnd w:id="120"/>
      <w:r w:rsidR="00190923" w:rsidRPr="00981405">
        <w:t xml:space="preserve"> </w:t>
      </w:r>
      <w:r w:rsidRPr="00981405">
        <w:t>The</w:t>
      </w:r>
      <w:r w:rsidR="00190923" w:rsidRPr="00981405">
        <w:t xml:space="preserve"> </w:t>
      </w:r>
      <w:r w:rsidRPr="00981405">
        <w:t>Court,</w:t>
      </w:r>
      <w:r w:rsidR="00190923" w:rsidRPr="00981405">
        <w:t xml:space="preserve"> </w:t>
      </w:r>
      <w:r w:rsidRPr="00981405">
        <w:t>by</w:t>
      </w:r>
      <w:r w:rsidR="00190923" w:rsidRPr="00981405">
        <w:t xml:space="preserve"> </w:t>
      </w:r>
      <w:r w:rsidRPr="00981405">
        <w:t>referring</w:t>
      </w:r>
      <w:r w:rsidR="00190923" w:rsidRPr="00981405">
        <w:t xml:space="preserve"> </w:t>
      </w:r>
      <w:r w:rsidRPr="00981405">
        <w:t>to</w:t>
      </w:r>
      <w:r w:rsidR="00190923" w:rsidRPr="00981405">
        <w:t xml:space="preserve"> </w:t>
      </w:r>
      <w:r w:rsidRPr="00981405">
        <w:t>acts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which</w:t>
      </w:r>
      <w:r w:rsidR="00190923" w:rsidRPr="00981405">
        <w:t xml:space="preserve"> </w:t>
      </w:r>
      <w:r w:rsidRPr="00981405">
        <w:t>were</w:t>
      </w:r>
      <w:r w:rsidR="00190923" w:rsidRPr="00981405">
        <w:t xml:space="preserve"> </w:t>
      </w:r>
      <w:r w:rsidRPr="00981405">
        <w:t>adopted</w:t>
      </w:r>
      <w:r w:rsidR="00190923" w:rsidRPr="00981405">
        <w:t xml:space="preserve"> </w:t>
      </w:r>
      <w:r w:rsidRPr="00981405">
        <w:t>against</w:t>
      </w:r>
      <w:r w:rsidR="00190923" w:rsidRPr="00981405">
        <w:t xml:space="preserve"> </w:t>
      </w:r>
      <w:r w:rsidRPr="00981405">
        <w:t>the</w:t>
      </w:r>
      <w:r w:rsidR="00190923" w:rsidRPr="00981405">
        <w:t xml:space="preserve"> </w:t>
      </w:r>
      <w:r w:rsidRPr="00981405">
        <w:t>opposition</w:t>
      </w:r>
      <w:r w:rsidR="00190923" w:rsidRPr="00981405">
        <w:t xml:space="preserve"> </w:t>
      </w:r>
      <w:r w:rsidRPr="00981405">
        <w:t>of</w:t>
      </w:r>
      <w:r w:rsidR="00190923" w:rsidRPr="00981405">
        <w:t xml:space="preserve"> </w:t>
      </w:r>
      <w:r w:rsidRPr="00981405">
        <w:t>certain</w:t>
      </w:r>
      <w:r w:rsidR="00190923" w:rsidRPr="00981405">
        <w:t xml:space="preserve"> </w:t>
      </w:r>
      <w:r w:rsidRPr="00981405">
        <w:t>member</w:t>
      </w:r>
      <w:r w:rsidR="00190923" w:rsidRPr="00981405">
        <w:t xml:space="preserve"> </w:t>
      </w:r>
      <w:r w:rsidRPr="00981405">
        <w:t>states,</w:t>
      </w:r>
      <w:r w:rsidRPr="00981405">
        <w:rPr>
          <w:rStyle w:val="FootnoteReference"/>
        </w:rPr>
        <w:footnoteReference w:id="355"/>
      </w:r>
      <w:r w:rsidR="00190923" w:rsidRPr="00981405">
        <w:t xml:space="preserve"> </w:t>
      </w:r>
      <w:r w:rsidRPr="00981405">
        <w:t>has</w:t>
      </w:r>
      <w:r w:rsidR="00190923" w:rsidRPr="00981405">
        <w:t xml:space="preserve"> </w:t>
      </w:r>
      <w:r w:rsidRPr="00981405">
        <w:t>recognized</w:t>
      </w:r>
      <w:r w:rsidR="00190923" w:rsidRPr="00981405">
        <w:t xml:space="preserve"> </w:t>
      </w:r>
      <w:r w:rsidRPr="00981405">
        <w:t>that</w:t>
      </w:r>
      <w:r w:rsidR="00190923" w:rsidRPr="00981405">
        <w:t xml:space="preserve"> </w:t>
      </w:r>
      <w:r w:rsidRPr="00981405">
        <w:t>such</w:t>
      </w:r>
      <w:r w:rsidR="00190923" w:rsidRPr="00981405">
        <w:t xml:space="preserve"> </w:t>
      </w:r>
      <w:r w:rsidRPr="00981405">
        <w:t>acts</w:t>
      </w:r>
      <w:r w:rsidR="00190923" w:rsidRPr="00981405">
        <w:t xml:space="preserve"> </w:t>
      </w:r>
      <w:r w:rsidRPr="00981405">
        <w:t>may</w:t>
      </w:r>
      <w:r w:rsidR="00190923" w:rsidRPr="00981405">
        <w:t xml:space="preserve"> </w:t>
      </w:r>
      <w:r w:rsidRPr="00981405">
        <w:t>constitute</w:t>
      </w:r>
      <w:r w:rsidR="00190923" w:rsidRPr="00981405">
        <w:t xml:space="preserve"> </w:t>
      </w:r>
      <w:r w:rsidRPr="00981405">
        <w:t>practice</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but</w:t>
      </w:r>
      <w:r w:rsidR="00190923" w:rsidRPr="00981405">
        <w:t xml:space="preserve"> </w:t>
      </w:r>
      <w:r w:rsidRPr="00981405">
        <w:t>generally</w:t>
      </w:r>
      <w:r w:rsidR="00190923" w:rsidRPr="00981405">
        <w:t xml:space="preserve"> </w:t>
      </w:r>
      <w:r w:rsidRPr="00981405">
        <w:t>not</w:t>
      </w:r>
      <w:r w:rsidR="00190923" w:rsidRPr="00981405">
        <w:t xml:space="preserve"> </w:t>
      </w:r>
      <w:r w:rsidRPr="00981405">
        <w:t>a</w:t>
      </w:r>
      <w:r w:rsidR="00190923" w:rsidRPr="00981405">
        <w:t xml:space="preserve"> </w:t>
      </w:r>
      <w:r w:rsidRPr="00981405">
        <w:t>(more</w:t>
      </w:r>
      <w:r w:rsidR="00190923" w:rsidRPr="00981405">
        <w:t xml:space="preserve"> </w:t>
      </w:r>
      <w:r w:rsidRPr="00981405">
        <w:t>weighty)</w:t>
      </w:r>
      <w:r w:rsidR="00190923" w:rsidRPr="00981405">
        <w:t xml:space="preserve"> </w:t>
      </w:r>
      <w:r w:rsidRPr="00981405">
        <w:t>practice</w:t>
      </w:r>
      <w:r w:rsidR="00190923" w:rsidRPr="00981405">
        <w:t xml:space="preserve"> </w:t>
      </w:r>
      <w:r w:rsidRPr="00981405">
        <w:t>that</w:t>
      </w:r>
      <w:r w:rsidR="00190923" w:rsidRPr="00981405">
        <w:t xml:space="preserve"> </w:t>
      </w:r>
      <w:r w:rsidRPr="00981405">
        <w:t>establishes</w:t>
      </w:r>
      <w:r w:rsidR="00190923" w:rsidRPr="00981405">
        <w:t xml:space="preserve"> </w:t>
      </w:r>
      <w:r w:rsidRPr="00981405">
        <w:t>agreement</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which</w:t>
      </w:r>
      <w:r w:rsidR="00190923" w:rsidRPr="00981405">
        <w:t xml:space="preserve"> </w:t>
      </w:r>
      <w:r w:rsidRPr="00981405">
        <w:t>would</w:t>
      </w:r>
      <w:r w:rsidR="00190923" w:rsidRPr="00981405">
        <w:t xml:space="preserve"> </w:t>
      </w:r>
      <w:r w:rsidRPr="00981405">
        <w:t>fall</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Writers</w:t>
      </w:r>
      <w:r w:rsidR="00190923" w:rsidRPr="00981405">
        <w:t xml:space="preserve"> </w:t>
      </w:r>
      <w:r w:rsidRPr="00981405">
        <w:t>largely</w:t>
      </w:r>
      <w:r w:rsidR="00190923" w:rsidRPr="00981405">
        <w:t xml:space="preserve"> </w:t>
      </w:r>
      <w:r w:rsidRPr="00981405">
        <w:t>agree,</w:t>
      </w:r>
      <w:r w:rsidR="00190923" w:rsidRPr="00981405">
        <w:t xml:space="preserve"> </w:t>
      </w:r>
      <w:r w:rsidRPr="00981405">
        <w:t>however,</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as</w:t>
      </w:r>
      <w:r w:rsidR="00190923" w:rsidRPr="00981405">
        <w:t xml:space="preserve"> </w:t>
      </w:r>
      <w:r w:rsidRPr="00981405">
        <w:t>such,</w:t>
      </w:r>
      <w:r w:rsidR="00190923" w:rsidRPr="00981405">
        <w:t xml:space="preserve"> </w:t>
      </w:r>
      <w:r w:rsidRPr="00981405">
        <w:t>will</w:t>
      </w:r>
      <w:r w:rsidR="00190923" w:rsidRPr="00981405">
        <w:t xml:space="preserve"> </w:t>
      </w:r>
      <w:r w:rsidRPr="00981405">
        <w:t>often</w:t>
      </w:r>
      <w:r w:rsidR="00190923" w:rsidRPr="00981405">
        <w:t xml:space="preserve"> </w:t>
      </w:r>
      <w:r w:rsidRPr="00981405">
        <w:t>also</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clarifying</w:t>
      </w:r>
      <w:r w:rsidR="00190923" w:rsidRPr="00981405">
        <w:t xml:space="preserve"> </w:t>
      </w:r>
      <w:r w:rsidRPr="00981405">
        <w:t>the</w:t>
      </w:r>
      <w:r w:rsidR="00190923" w:rsidRPr="00981405">
        <w:t xml:space="preserve"> </w:t>
      </w:r>
      <w:r w:rsidRPr="00981405">
        <w:t>ordinary</w:t>
      </w:r>
      <w:r w:rsidR="00190923" w:rsidRPr="00981405">
        <w:t xml:space="preserve"> </w:t>
      </w:r>
      <w:r w:rsidRPr="00981405">
        <w:t>meaning</w:t>
      </w:r>
      <w:r w:rsidR="00190923" w:rsidRPr="00981405">
        <w:t xml:space="preserve"> </w:t>
      </w:r>
      <w:r w:rsidRPr="00981405">
        <w:t>to</w:t>
      </w:r>
      <w:r w:rsidR="00190923" w:rsidRPr="00981405">
        <w:t xml:space="preserve"> </w:t>
      </w:r>
      <w:r w:rsidRPr="00981405">
        <w:t>be</w:t>
      </w:r>
      <w:r w:rsidR="00190923" w:rsidRPr="00981405">
        <w:t xml:space="preserve"> </w:t>
      </w:r>
      <w:r w:rsidRPr="00981405">
        <w:t>given</w:t>
      </w:r>
      <w:r w:rsidR="00190923" w:rsidRPr="00981405">
        <w:t xml:space="preserve"> </w:t>
      </w:r>
      <w:r w:rsidRPr="00981405">
        <w:t>to</w:t>
      </w:r>
      <w:r w:rsidR="00190923" w:rsidRPr="00981405">
        <w:t xml:space="preserve"> </w:t>
      </w:r>
      <w:r w:rsidRPr="00981405">
        <w:t>the</w:t>
      </w:r>
      <w:r w:rsidR="00190923" w:rsidRPr="00981405">
        <w:t xml:space="preserve"> </w:t>
      </w:r>
      <w:r w:rsidRPr="00981405">
        <w:t>terms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981405">
        <w:t>their</w:t>
      </w:r>
      <w:r w:rsidR="00190923" w:rsidRPr="00981405">
        <w:t xml:space="preserve"> </w:t>
      </w:r>
      <w:r w:rsidRPr="00981405">
        <w:t>context</w:t>
      </w:r>
      <w:r w:rsidR="00190923" w:rsidRPr="00981405">
        <w:t xml:space="preserve"> </w:t>
      </w:r>
      <w:r w:rsidRPr="00981405">
        <w:t>and</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its</w:t>
      </w:r>
      <w:r w:rsidR="00190923" w:rsidRPr="00981405">
        <w:t xml:space="preserve"> </w:t>
      </w:r>
      <w:r w:rsidRPr="00981405">
        <w:t>object</w:t>
      </w:r>
      <w:r w:rsidR="00190923" w:rsidRPr="00981405">
        <w:t xml:space="preserve"> </w:t>
      </w:r>
      <w:r w:rsidRPr="00981405">
        <w:t>and</w:t>
      </w:r>
      <w:r w:rsidR="00190923" w:rsidRPr="00981405">
        <w:t xml:space="preserve"> </w:t>
      </w:r>
      <w:r w:rsidRPr="00981405">
        <w:t>purpose.</w:t>
      </w:r>
      <w:r w:rsidRPr="00981405">
        <w:rPr>
          <w:rStyle w:val="FootnoteReference"/>
        </w:rPr>
        <w:footnoteReference w:id="356"/>
      </w:r>
      <w:r w:rsidR="00190923" w:rsidRPr="00981405">
        <w:t xml:space="preserve"> </w:t>
      </w:r>
    </w:p>
    <w:p w:rsidR="00397032" w:rsidRPr="00981405" w:rsidRDefault="00397032" w:rsidP="00D97463">
      <w:pPr>
        <w:pStyle w:val="SingleTxt"/>
      </w:pPr>
      <w:r w:rsidRPr="00981405">
        <w:t>(33)</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confirmed,</w:t>
      </w:r>
      <w:r w:rsidR="00190923" w:rsidRPr="00981405">
        <w:t xml:space="preserve"> </w:t>
      </w:r>
      <w:r w:rsidRPr="00981405">
        <w:t>in</w:t>
      </w:r>
      <w:r w:rsidR="00190923" w:rsidRPr="00981405">
        <w:t xml:space="preserve"> </w:t>
      </w:r>
      <w:r w:rsidRPr="00981405">
        <w:t>its</w:t>
      </w:r>
      <w:r w:rsidR="00190923" w:rsidRPr="00981405">
        <w:t xml:space="preserve"> </w:t>
      </w:r>
      <w:r w:rsidRPr="00981405">
        <w:t>commentary</w:t>
      </w:r>
      <w:r w:rsidR="00190923" w:rsidRPr="00981405">
        <w:t xml:space="preserve"> </w:t>
      </w:r>
      <w:r w:rsidRPr="00981405">
        <w:t>to</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w:t>
      </w:r>
      <w:r w:rsidR="00190923" w:rsidRPr="00981405">
        <w:t xml:space="preserve"> </w:t>
      </w:r>
      <w:r w:rsidRPr="00981405">
        <w:t>that</w:t>
      </w:r>
      <w:r w:rsidR="00190923" w:rsidRPr="00981405">
        <w:t xml:space="preserve"> </w:t>
      </w:r>
      <w:r w:rsidR="00B92E2C" w:rsidRPr="00981405">
        <w:t>“</w:t>
      </w:r>
      <w:r w:rsidRPr="00981405">
        <w:t>given</w:t>
      </w:r>
      <w:r w:rsidR="00190923" w:rsidRPr="00981405">
        <w:t xml:space="preserve"> </w:t>
      </w:r>
      <w:r w:rsidRPr="00981405">
        <w:t>instances</w:t>
      </w:r>
      <w:r w:rsidR="00190923" w:rsidRPr="00981405">
        <w:t xml:space="preserve"> </w:t>
      </w:r>
      <w:r w:rsidRPr="00981405">
        <w:t>of</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contributed,</w:t>
      </w:r>
      <w:r w:rsidR="00190923" w:rsidRPr="00981405">
        <w:t xml:space="preserve"> </w:t>
      </w:r>
      <w:r w:rsidRPr="00981405">
        <w:t>or</w:t>
      </w:r>
      <w:r w:rsidR="00190923" w:rsidRPr="00981405">
        <w:t xml:space="preserve"> </w:t>
      </w:r>
      <w:r w:rsidRPr="00981405">
        <w:t>not,</w:t>
      </w:r>
      <w:r w:rsidR="00190923" w:rsidRPr="00981405">
        <w:t xml:space="preserve"> </w:t>
      </w:r>
      <w:r w:rsidRPr="00981405">
        <w:t>to</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the</w:t>
      </w:r>
      <w:r w:rsidR="00190923" w:rsidRPr="00981405">
        <w:t xml:space="preserve"> </w:t>
      </w:r>
      <w:r w:rsidRPr="00981405">
        <w:t>ordinary</w:t>
      </w:r>
      <w:r w:rsidR="00190923" w:rsidRPr="00981405">
        <w:t xml:space="preserve"> </w:t>
      </w:r>
      <w:r w:rsidRPr="00981405">
        <w:t>meaning</w:t>
      </w:r>
      <w:r w:rsidR="00190923" w:rsidRPr="00981405">
        <w:t xml:space="preserve"> </w:t>
      </w:r>
      <w:r w:rsidRPr="00981405">
        <w:t>of</w:t>
      </w:r>
      <w:r w:rsidR="00190923" w:rsidRPr="00981405">
        <w:t xml:space="preserve"> </w:t>
      </w:r>
      <w:r w:rsidRPr="00981405">
        <w:t>the</w:t>
      </w:r>
      <w:r w:rsidR="00190923" w:rsidRPr="00981405">
        <w:t xml:space="preserve"> </w:t>
      </w:r>
      <w:r w:rsidRPr="00981405">
        <w:t>terms</w:t>
      </w:r>
      <w:r w:rsidR="00190923" w:rsidRPr="00981405">
        <w:t xml:space="preserve"> </w:t>
      </w:r>
      <w:r w:rsidRPr="00981405">
        <w:t>in</w:t>
      </w:r>
      <w:r w:rsidR="00190923" w:rsidRPr="00981405">
        <w:t xml:space="preserve"> </w:t>
      </w:r>
      <w:r w:rsidRPr="00981405">
        <w:t>their</w:t>
      </w:r>
      <w:r w:rsidR="00190923" w:rsidRPr="00981405">
        <w:t xml:space="preserve"> </w:t>
      </w:r>
      <w:r w:rsidRPr="00981405">
        <w:t>context</w:t>
      </w:r>
      <w:r w:rsidR="00190923" w:rsidRPr="00981405">
        <w:t xml:space="preserve"> </w:t>
      </w:r>
      <w:r w:rsidRPr="00981405">
        <w:t>and</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object</w:t>
      </w:r>
      <w:r w:rsidR="00190923" w:rsidRPr="00981405">
        <w:t xml:space="preserve"> </w:t>
      </w:r>
      <w:r w:rsidRPr="00981405">
        <w:t>and</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B92E2C" w:rsidRPr="00981405">
        <w:t>”</w:t>
      </w:r>
      <w:r w:rsidRPr="00981405">
        <w:t>.</w:t>
      </w:r>
      <w:r w:rsidRPr="00981405">
        <w:rPr>
          <w:rStyle w:val="FootnoteReference"/>
        </w:rPr>
        <w:footnoteReference w:id="357"/>
      </w:r>
      <w:r w:rsidR="00190923" w:rsidRPr="00981405">
        <w:t xml:space="preserve"> </w:t>
      </w:r>
      <w:r w:rsidRPr="00981405">
        <w:t>These</w:t>
      </w:r>
      <w:r w:rsidR="00190923" w:rsidRPr="00981405">
        <w:t xml:space="preserve"> </w:t>
      </w:r>
      <w:r w:rsidRPr="00981405">
        <w:t>considerations</w:t>
      </w:r>
      <w:r w:rsidR="00190923" w:rsidRPr="00981405">
        <w:t xml:space="preserve"> </w:t>
      </w:r>
      <w:r w:rsidRPr="00981405">
        <w:t>are</w:t>
      </w:r>
      <w:r w:rsidR="00190923" w:rsidRPr="00981405">
        <w:t xml:space="preserve"> </w:t>
      </w:r>
      <w:r w:rsidRPr="00981405">
        <w:t>also</w:t>
      </w:r>
      <w:r w:rsidR="00190923" w:rsidRPr="00981405">
        <w:t xml:space="preserve"> </w:t>
      </w:r>
      <w:r w:rsidRPr="00981405">
        <w:t>relevant</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itself.</w:t>
      </w:r>
    </w:p>
    <w:p w:rsidR="00397032" w:rsidRPr="00981405" w:rsidRDefault="00397032" w:rsidP="00D97463">
      <w:pPr>
        <w:pStyle w:val="SingleTxt"/>
      </w:pPr>
      <w:r w:rsidRPr="00981405">
        <w:t>(34)</w:t>
      </w:r>
      <w:r w:rsidRPr="00981405">
        <w:tab/>
        <w:t>The</w:t>
      </w:r>
      <w:r w:rsidR="00190923" w:rsidRPr="00981405">
        <w:t xml:space="preserve"> </w:t>
      </w:r>
      <w:r w:rsidRPr="00981405">
        <w:t>possible</w:t>
      </w:r>
      <w:r w:rsidR="00190923" w:rsidRPr="00981405">
        <w:t xml:space="preserve"> </w:t>
      </w:r>
      <w:r w:rsidRPr="00981405">
        <w:t>relevance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B92E2C" w:rsidRPr="00981405">
        <w:t>’</w:t>
      </w:r>
      <w:r w:rsidRPr="00981405">
        <w:t>s</w:t>
      </w:r>
      <w:r w:rsidR="00190923" w:rsidRPr="00981405">
        <w:t xml:space="preserve"> </w:t>
      </w:r>
      <w:r w:rsidR="00B92E2C" w:rsidRPr="00981405">
        <w:t>“</w:t>
      </w:r>
      <w:r w:rsidRPr="00981405">
        <w:t>own</w:t>
      </w:r>
      <w:r w:rsidR="00190923" w:rsidRPr="00981405">
        <w:t xml:space="preserve"> </w:t>
      </w:r>
      <w:r w:rsidRPr="00981405">
        <w:t>practice</w:t>
      </w:r>
      <w:r w:rsidR="00B92E2C" w:rsidRPr="00981405">
        <w:t>”</w:t>
      </w:r>
      <w:r w:rsidR="00190923" w:rsidRPr="00981405">
        <w:t xml:space="preserve"> </w:t>
      </w:r>
      <w:r w:rsidRPr="00981405">
        <w:t>can</w:t>
      </w:r>
      <w:r w:rsidR="00190923" w:rsidRPr="00981405">
        <w:t xml:space="preserve"> </w:t>
      </w:r>
      <w:r w:rsidRPr="00981405">
        <w:t>thus</w:t>
      </w:r>
      <w:r w:rsidR="00190923" w:rsidRPr="00981405">
        <w:t xml:space="preserve"> </w:t>
      </w:r>
      <w:r w:rsidRPr="00981405">
        <w:t>be</w:t>
      </w:r>
      <w:r w:rsidR="00190923" w:rsidRPr="00981405">
        <w:t xml:space="preserve"> </w:t>
      </w:r>
      <w:r w:rsidRPr="00981405">
        <w:t>derived</w:t>
      </w:r>
      <w:r w:rsidR="00190923" w:rsidRPr="00981405">
        <w:t xml:space="preserve"> </w:t>
      </w:r>
      <w:r w:rsidRPr="00981405">
        <w:t>from</w:t>
      </w:r>
      <w:r w:rsidR="00190923" w:rsidRPr="00981405">
        <w:t xml:space="preserve"> </w:t>
      </w:r>
      <w:r w:rsidRPr="00981405">
        <w:t>articles</w:t>
      </w:r>
      <w:r w:rsidR="00190923" w:rsidRPr="00981405">
        <w:t xml:space="preserve"> </w:t>
      </w:r>
      <w:r w:rsidRPr="00981405">
        <w:t>31</w:t>
      </w:r>
      <w:r w:rsidR="00190923" w:rsidRPr="00981405">
        <w:t xml:space="preserve"> </w:t>
      </w:r>
      <w:r w:rsidRPr="00981405">
        <w:t>(1)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Those</w:t>
      </w:r>
      <w:r w:rsidR="00190923" w:rsidRPr="00981405">
        <w:t xml:space="preserve"> </w:t>
      </w:r>
      <w:r w:rsidRPr="00981405">
        <w:t>rules</w:t>
      </w:r>
      <w:r w:rsidR="00190923" w:rsidRPr="00981405">
        <w:t xml:space="preserve"> </w:t>
      </w:r>
      <w:r w:rsidRPr="00981405">
        <w:t>permit,</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lastRenderedPageBreak/>
        <w:t>organization</w:t>
      </w:r>
      <w:r w:rsidR="00190923" w:rsidRPr="00981405">
        <w:t xml:space="preserve"> </w:t>
      </w:r>
      <w:r w:rsidRPr="00981405">
        <w:t>itself,</w:t>
      </w:r>
      <w:r w:rsidR="00190923" w:rsidRPr="00981405">
        <w:t xml:space="preserve"> </w:t>
      </w:r>
      <w:r w:rsidRPr="00981405">
        <w:t>including</w:t>
      </w:r>
      <w:r w:rsidR="00190923" w:rsidRPr="00981405">
        <w:t xml:space="preserve"> </w:t>
      </w:r>
      <w:r w:rsidRPr="00981405">
        <w:t>by</w:t>
      </w:r>
      <w:r w:rsidR="00190923" w:rsidRPr="00981405">
        <w:t xml:space="preserve"> </w:t>
      </w:r>
      <w:r w:rsidRPr="00981405">
        <w:t>one</w:t>
      </w:r>
      <w:r w:rsidR="00190923" w:rsidRPr="00981405">
        <w:t xml:space="preserve"> </w:t>
      </w:r>
      <w:r w:rsidRPr="00981405">
        <w:t>or</w:t>
      </w:r>
      <w:r w:rsidR="00190923" w:rsidRPr="00981405">
        <w:t xml:space="preserve"> </w:t>
      </w:r>
      <w:r w:rsidRPr="00981405">
        <w:t>more</w:t>
      </w:r>
      <w:r w:rsidR="00190923" w:rsidRPr="00981405">
        <w:t xml:space="preserve"> </w:t>
      </w:r>
      <w:r w:rsidRPr="00981405">
        <w:t>of</w:t>
      </w:r>
      <w:r w:rsidR="00190923" w:rsidRPr="00981405">
        <w:t xml:space="preserve"> </w:t>
      </w:r>
      <w:r w:rsidRPr="00981405">
        <w:t>its</w:t>
      </w:r>
      <w:r w:rsidR="00190923" w:rsidRPr="00981405">
        <w:t xml:space="preserve"> </w:t>
      </w:r>
      <w:r w:rsidRPr="00981405">
        <w:t>organs,</w:t>
      </w:r>
      <w:r w:rsidR="00190923" w:rsidRPr="00981405">
        <w:t xml:space="preserve"> </w:t>
      </w:r>
      <w:r w:rsidRPr="00981405">
        <w:t>as</w:t>
      </w:r>
      <w:r w:rsidR="00190923" w:rsidRPr="00981405">
        <w:t xml:space="preserve"> </w:t>
      </w:r>
      <w:r w:rsidRPr="00981405">
        <w:t>being</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determination</w:t>
      </w:r>
      <w:r w:rsidR="00190923" w:rsidRPr="00981405">
        <w:t xml:space="preserve"> </w:t>
      </w:r>
      <w:r w:rsidRPr="00981405">
        <w:t>of</w:t>
      </w:r>
      <w:r w:rsidR="00190923" w:rsidRPr="00981405">
        <w:t xml:space="preserve"> </w:t>
      </w:r>
      <w:r w:rsidRPr="00981405">
        <w:t>the</w:t>
      </w:r>
      <w:r w:rsidR="00190923" w:rsidRPr="00981405">
        <w:t xml:space="preserve"> </w:t>
      </w:r>
      <w:r w:rsidRPr="00981405">
        <w:t>object</w:t>
      </w:r>
      <w:r w:rsidR="00190923" w:rsidRPr="00981405">
        <w:t xml:space="preserve"> </w:t>
      </w:r>
      <w:r w:rsidRPr="00981405">
        <w:t>and</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including</w:t>
      </w:r>
      <w:r w:rsidR="00190923" w:rsidRPr="00981405">
        <w:t xml:space="preserve"> </w:t>
      </w:r>
      <w:r w:rsidRPr="00981405">
        <w:t>the</w:t>
      </w:r>
      <w:r w:rsidR="00190923" w:rsidRPr="00981405">
        <w:t xml:space="preserve"> </w:t>
      </w:r>
      <w:r w:rsidRPr="00981405">
        <w:t>function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concerned,</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(1).</w:t>
      </w:r>
      <w:r w:rsidRPr="00981405">
        <w:rPr>
          <w:rStyle w:val="FootnoteReference"/>
        </w:rPr>
        <w:footnoteReference w:id="358"/>
      </w:r>
    </w:p>
    <w:p w:rsidR="00397032" w:rsidRPr="00981405" w:rsidRDefault="00397032" w:rsidP="00D97463">
      <w:pPr>
        <w:pStyle w:val="SingleTxt"/>
      </w:pPr>
      <w:r w:rsidRPr="00981405">
        <w:t>(35)</w:t>
      </w:r>
      <w:r w:rsidRPr="00981405">
        <w:tab/>
        <w:t>Thus,</w:t>
      </w:r>
      <w:r w:rsidR="00190923" w:rsidRPr="00981405">
        <w:t xml:space="preserve"> </w:t>
      </w:r>
      <w:r w:rsidRPr="00981405">
        <w:t>Article</w:t>
      </w:r>
      <w:r w:rsidR="00190923" w:rsidRPr="00981405">
        <w:t xml:space="preserve"> </w:t>
      </w:r>
      <w:r w:rsidRPr="00981405">
        <w:t>5</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allows</w:t>
      </w:r>
      <w:r w:rsidR="00190923" w:rsidRPr="00981405">
        <w:t xml:space="preserve"> </w:t>
      </w:r>
      <w:r w:rsidRPr="00981405">
        <w:t>for</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in</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in</w:t>
      </w:r>
      <w:r w:rsidR="00190923" w:rsidRPr="00981405">
        <w:t xml:space="preserve"> </w:t>
      </w:r>
      <w:r w:rsidRPr="00981405">
        <w:t>a</w:t>
      </w:r>
      <w:r w:rsidR="00190923" w:rsidRPr="00981405">
        <w:t xml:space="preserve"> </w:t>
      </w:r>
      <w:r w:rsidRPr="00981405">
        <w:t>way</w:t>
      </w:r>
      <w:r w:rsidR="00190923" w:rsidRPr="00981405">
        <w:t xml:space="preserve"> </w:t>
      </w:r>
      <w:r w:rsidRPr="00981405">
        <w:t>which</w:t>
      </w:r>
      <w:r w:rsidR="00190923" w:rsidRPr="00981405">
        <w:t xml:space="preserve"> </w:t>
      </w:r>
      <w:r w:rsidRPr="00981405">
        <w:t>takes</w:t>
      </w:r>
      <w:r w:rsidR="00190923" w:rsidRPr="00981405">
        <w:t xml:space="preserve"> </w:t>
      </w:r>
      <w:r w:rsidRPr="00981405">
        <w:t>account</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including</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its</w:t>
      </w:r>
      <w:r w:rsidR="00190923" w:rsidRPr="00981405">
        <w:t xml:space="preserve"> </w:t>
      </w:r>
      <w:r w:rsidRPr="00981405">
        <w:t>institutional</w:t>
      </w:r>
      <w:r w:rsidR="00190923" w:rsidRPr="00981405">
        <w:t xml:space="preserve"> </w:t>
      </w:r>
      <w:r w:rsidRPr="00981405">
        <w:t>character.</w:t>
      </w:r>
      <w:r w:rsidRPr="00981405">
        <w:rPr>
          <w:rStyle w:val="FootnoteReference"/>
        </w:rPr>
        <w:footnoteReference w:id="359"/>
      </w:r>
      <w:r w:rsidR="00190923" w:rsidRPr="00981405">
        <w:t xml:space="preserve"> </w:t>
      </w:r>
      <w:r w:rsidRPr="00981405">
        <w:t>Such</w:t>
      </w:r>
      <w:r w:rsidR="00190923" w:rsidRPr="00981405">
        <w:t xml:space="preserve"> </w:t>
      </w:r>
      <w:r w:rsidRPr="00981405">
        <w:t>elements</w:t>
      </w:r>
      <w:r w:rsidR="00190923" w:rsidRPr="00981405">
        <w:t xml:space="preserve"> </w:t>
      </w:r>
      <w:r w:rsidRPr="00981405">
        <w:t>may</w:t>
      </w:r>
      <w:r w:rsidR="00190923" w:rsidRPr="00981405">
        <w:t xml:space="preserve"> </w:t>
      </w:r>
      <w:r w:rsidRPr="00981405">
        <w:t>thereby</w:t>
      </w:r>
      <w:r w:rsidR="00190923" w:rsidRPr="00981405">
        <w:t xml:space="preserve"> </w:t>
      </w:r>
      <w:r w:rsidRPr="00981405">
        <w:t>also</w:t>
      </w:r>
      <w:r w:rsidR="00190923" w:rsidRPr="00981405">
        <w:t xml:space="preserve"> </w:t>
      </w:r>
      <w:r w:rsidRPr="00981405">
        <w:t>contribute</w:t>
      </w:r>
      <w:r w:rsidR="00190923" w:rsidRPr="00981405">
        <w:t xml:space="preserve"> </w:t>
      </w:r>
      <w:r w:rsidRPr="00981405">
        <w:t>to</w:t>
      </w:r>
      <w:r w:rsidR="00190923" w:rsidRPr="00981405">
        <w:t xml:space="preserve"> </w:t>
      </w:r>
      <w:r w:rsidRPr="00981405">
        <w:t>identifying</w:t>
      </w:r>
      <w:r w:rsidR="00190923" w:rsidRPr="00981405">
        <w:t xml:space="preserve"> </w:t>
      </w:r>
      <w:r w:rsidRPr="00981405">
        <w:t>whether,</w:t>
      </w:r>
      <w:r w:rsidR="00190923" w:rsidRPr="00981405">
        <w:t xml:space="preserve"> </w:t>
      </w:r>
      <w:r w:rsidRPr="00981405">
        <w:t>and</w:t>
      </w:r>
      <w:r w:rsidR="00190923" w:rsidRPr="00981405">
        <w:t xml:space="preserve"> </w:t>
      </w:r>
      <w:r w:rsidRPr="00981405">
        <w:t>if</w:t>
      </w:r>
      <w:r w:rsidR="00190923" w:rsidRPr="00981405">
        <w:t xml:space="preserve"> </w:t>
      </w:r>
      <w:r w:rsidRPr="00981405">
        <w:t>so</w:t>
      </w:r>
      <w:r w:rsidR="00190923" w:rsidRPr="00981405">
        <w:t xml:space="preserve"> </w:t>
      </w:r>
      <w:r w:rsidRPr="00981405">
        <w:t>how,</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w:t>
      </w:r>
      <w:r w:rsidR="00190923" w:rsidRPr="00981405">
        <w:t xml:space="preserve"> </w:t>
      </w:r>
      <w:r w:rsidRPr="00981405">
        <w:t>provision</w:t>
      </w:r>
      <w:r w:rsidR="00190923" w:rsidRPr="00981405">
        <w:t xml:space="preserve"> </w:t>
      </w:r>
      <w:r w:rsidRPr="00981405">
        <w:t>of</w:t>
      </w:r>
      <w:r w:rsidR="00190923" w:rsidRPr="00981405">
        <w:t xml:space="preserve"> </w:t>
      </w:r>
      <w:r w:rsidRPr="00981405">
        <w:t>a</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is</w:t>
      </w:r>
      <w:r w:rsidR="00190923" w:rsidRPr="00981405">
        <w:t xml:space="preserve"> </w:t>
      </w:r>
      <w:r w:rsidRPr="00981405">
        <w:t>capable</w:t>
      </w:r>
      <w:r w:rsidR="00190923" w:rsidRPr="00981405">
        <w:t xml:space="preserve"> </w:t>
      </w:r>
      <w:r w:rsidRPr="00981405">
        <w:t>of</w:t>
      </w:r>
      <w:r w:rsidR="00190923" w:rsidRPr="00981405">
        <w:t xml:space="preserve"> </w:t>
      </w:r>
      <w:r w:rsidRPr="00981405">
        <w:t>evolving</w:t>
      </w:r>
      <w:r w:rsidR="00190923" w:rsidRPr="00981405">
        <w:t xml:space="preserve"> </w:t>
      </w:r>
      <w:r w:rsidRPr="00981405">
        <w:t>over</w:t>
      </w:r>
      <w:r w:rsidR="00190923" w:rsidRPr="00981405">
        <w:t xml:space="preserve"> </w:t>
      </w:r>
      <w:r w:rsidRPr="00981405">
        <w:t>time.</w:t>
      </w:r>
      <w:bookmarkStart w:id="121" w:name="_Ref423356862"/>
      <w:r w:rsidRPr="00981405">
        <w:rPr>
          <w:rStyle w:val="FootnoteReference"/>
        </w:rPr>
        <w:footnoteReference w:id="360"/>
      </w:r>
      <w:bookmarkEnd w:id="121"/>
      <w:r w:rsidR="00190923" w:rsidRPr="00981405">
        <w:t xml:space="preserve"> </w:t>
      </w:r>
    </w:p>
    <w:p w:rsidR="00397032" w:rsidRPr="00981405" w:rsidRDefault="00397032" w:rsidP="00D97463">
      <w:pPr>
        <w:pStyle w:val="SingleTxt"/>
      </w:pPr>
      <w:bookmarkStart w:id="122" w:name="_Ref423958755"/>
      <w:r w:rsidRPr="00981405">
        <w:t>(36)</w:t>
      </w:r>
      <w:r w:rsidRPr="00981405">
        <w:tab/>
        <w:t>Paragraph</w:t>
      </w:r>
      <w:r w:rsidR="00190923" w:rsidRPr="00981405">
        <w:t xml:space="preserve"> </w:t>
      </w:r>
      <w:r w:rsidRPr="00981405">
        <w:t>3,</w:t>
      </w:r>
      <w:r w:rsidR="00190923" w:rsidRPr="00981405">
        <w:t xml:space="preserve"> </w:t>
      </w:r>
      <w:r w:rsidRPr="00981405">
        <w:t>like</w:t>
      </w:r>
      <w:r w:rsidR="00190923" w:rsidRPr="00981405">
        <w:t xml:space="preserve"> </w:t>
      </w:r>
      <w:r w:rsidRPr="00981405">
        <w:t>paragraph</w:t>
      </w:r>
      <w:r w:rsidR="00190923" w:rsidRPr="00981405">
        <w:t xml:space="preserve"> </w:t>
      </w:r>
      <w:r w:rsidRPr="00981405">
        <w:t>2,</w:t>
      </w:r>
      <w:r w:rsidR="00190923" w:rsidRPr="00981405">
        <w:t xml:space="preserve"> </w:t>
      </w:r>
      <w:r w:rsidRPr="00981405">
        <w:t>refers</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rather</w:t>
      </w:r>
      <w:r w:rsidR="00190923" w:rsidRPr="00981405">
        <w:t xml:space="preserve"> </w:t>
      </w:r>
      <w:r w:rsidRPr="00981405">
        <w:t>than</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organ</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00E55F78" w:rsidRPr="00981405">
        <w:t>organization. 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question</w:t>
      </w:r>
      <w:r w:rsidR="00190923" w:rsidRPr="00981405">
        <w:t xml:space="preserve"> </w:t>
      </w:r>
      <w:r w:rsidRPr="00981405">
        <w:t>can</w:t>
      </w:r>
      <w:r w:rsidR="00190923" w:rsidRPr="00981405">
        <w:t xml:space="preserve"> </w:t>
      </w:r>
      <w:r w:rsidRPr="00981405">
        <w:t>arise</w:t>
      </w:r>
      <w:r w:rsidR="00190923" w:rsidRPr="00981405">
        <w:t xml:space="preserve"> </w:t>
      </w:r>
      <w:r w:rsidRPr="00981405">
        <w:t>from</w:t>
      </w:r>
      <w:r w:rsidR="00190923" w:rsidRPr="00981405">
        <w:t xml:space="preserve"> </w:t>
      </w:r>
      <w:r w:rsidRPr="00981405">
        <w:t>the</w:t>
      </w:r>
      <w:r w:rsidR="00190923" w:rsidRPr="00981405">
        <w:t xml:space="preserve"> </w:t>
      </w:r>
      <w:r w:rsidRPr="00981405">
        <w:t>conduct</w:t>
      </w:r>
      <w:r w:rsidR="00190923" w:rsidRPr="00981405">
        <w:t xml:space="preserve"> </w:t>
      </w:r>
      <w:r w:rsidRPr="00981405">
        <w:t>of</w:t>
      </w:r>
      <w:r w:rsidR="00190923" w:rsidRPr="00981405">
        <w:t xml:space="preserve"> </w:t>
      </w:r>
      <w:r w:rsidRPr="00981405">
        <w:t>an</w:t>
      </w:r>
      <w:r w:rsidR="00190923" w:rsidRPr="00981405">
        <w:t xml:space="preserve"> </w:t>
      </w:r>
      <w:r w:rsidRPr="00981405">
        <w:t>organ,</w:t>
      </w:r>
      <w:r w:rsidR="00190923" w:rsidRPr="00981405">
        <w:t xml:space="preserve"> </w:t>
      </w:r>
      <w:r w:rsidRPr="00981405">
        <w:t>but</w:t>
      </w:r>
      <w:r w:rsidR="00190923" w:rsidRPr="00981405">
        <w:t xml:space="preserve"> </w:t>
      </w:r>
      <w:r w:rsidRPr="00981405">
        <w:t>can</w:t>
      </w:r>
      <w:r w:rsidR="00190923" w:rsidRPr="00981405">
        <w:t xml:space="preserve"> </w:t>
      </w:r>
      <w:r w:rsidRPr="00981405">
        <w:t>also</w:t>
      </w:r>
      <w:r w:rsidR="00190923" w:rsidRPr="00981405">
        <w:t xml:space="preserve"> </w:t>
      </w:r>
      <w:r w:rsidRPr="00981405">
        <w:t>be</w:t>
      </w:r>
      <w:r w:rsidR="00190923" w:rsidRPr="00981405">
        <w:t xml:space="preserve"> </w:t>
      </w:r>
      <w:r w:rsidRPr="00981405">
        <w:t>generated</w:t>
      </w:r>
      <w:r w:rsidR="00190923" w:rsidRPr="00981405">
        <w:t xml:space="preserve"> </w:t>
      </w:r>
      <w:r w:rsidRPr="00981405">
        <w:t>by</w:t>
      </w:r>
      <w:r w:rsidR="00190923" w:rsidRPr="00981405">
        <w:t xml:space="preserve"> </w:t>
      </w:r>
      <w:r w:rsidRPr="00981405">
        <w:t>the</w:t>
      </w:r>
      <w:r w:rsidR="00190923" w:rsidRPr="00981405">
        <w:t xml:space="preserve"> </w:t>
      </w:r>
      <w:r w:rsidRPr="00981405">
        <w:t>conduct</w:t>
      </w:r>
      <w:r w:rsidR="00190923" w:rsidRPr="00981405">
        <w:t xml:space="preserve"> </w:t>
      </w:r>
      <w:r w:rsidRPr="00981405">
        <w:t>of</w:t>
      </w:r>
      <w:r w:rsidR="00190923" w:rsidRPr="00981405">
        <w:t xml:space="preserve"> </w:t>
      </w:r>
      <w:r w:rsidRPr="00981405">
        <w:t>two</w:t>
      </w:r>
      <w:r w:rsidR="00190923" w:rsidRPr="00981405">
        <w:t xml:space="preserve"> </w:t>
      </w:r>
      <w:r w:rsidRPr="00981405">
        <w:t>or</w:t>
      </w:r>
      <w:r w:rsidR="00190923" w:rsidRPr="00981405">
        <w:t xml:space="preserve"> </w:t>
      </w:r>
      <w:r w:rsidRPr="00981405">
        <w:t>more</w:t>
      </w:r>
      <w:r w:rsidR="00190923" w:rsidRPr="00981405">
        <w:t xml:space="preserve"> </w:t>
      </w:r>
      <w:r w:rsidRPr="00981405">
        <w:t>organs.</w:t>
      </w:r>
      <w:r w:rsidRPr="00981405">
        <w:rPr>
          <w:rStyle w:val="FootnoteReference"/>
        </w:rPr>
        <w:footnoteReference w:id="361"/>
      </w:r>
      <w:r w:rsidR="00190923" w:rsidRPr="00981405">
        <w:t xml:space="preserve"> </w:t>
      </w:r>
      <w:r w:rsidRPr="00981405">
        <w:t>It</w:t>
      </w:r>
      <w:r w:rsidR="00190923" w:rsidRPr="00981405">
        <w:t xml:space="preserve"> </w:t>
      </w:r>
      <w:r w:rsidRPr="00981405">
        <w:t>is</w:t>
      </w:r>
      <w:r w:rsidR="00190923" w:rsidRPr="00981405">
        <w:t xml:space="preserve"> </w:t>
      </w:r>
      <w:r w:rsidRPr="00981405">
        <w:t>understood</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can</w:t>
      </w:r>
      <w:r w:rsidR="00190923" w:rsidRPr="00981405">
        <w:t xml:space="preserve"> </w:t>
      </w:r>
      <w:r w:rsidRPr="00981405">
        <w:t>only</w:t>
      </w:r>
      <w:r w:rsidR="00190923" w:rsidRPr="00981405">
        <w:t xml:space="preserve"> </w:t>
      </w:r>
      <w:r w:rsidRPr="00981405">
        <w:t>be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if</w:t>
      </w:r>
      <w:r w:rsidR="00190923" w:rsidRPr="00981405">
        <w:t xml:space="preserve"> </w:t>
      </w:r>
      <w:r w:rsidRPr="00981405">
        <w:t>that</w:t>
      </w:r>
      <w:r w:rsidR="00190923" w:rsidRPr="00981405">
        <w:t xml:space="preserve"> </w:t>
      </w:r>
      <w:r w:rsidRPr="00981405">
        <w:t>organization</w:t>
      </w:r>
      <w:r w:rsidR="00190923" w:rsidRPr="00981405">
        <w:t xml:space="preserve"> </w:t>
      </w:r>
      <w:r w:rsidRPr="00981405">
        <w:t>is</w:t>
      </w:r>
      <w:r w:rsidR="00190923" w:rsidRPr="00981405">
        <w:t xml:space="preserve"> </w:t>
      </w:r>
      <w:r w:rsidRPr="00981405">
        <w:t>competent,</w:t>
      </w:r>
      <w:r w:rsidR="00190923" w:rsidRPr="00981405">
        <w:t xml:space="preserve"> </w:t>
      </w:r>
      <w:r w:rsidRPr="00981405">
        <w:t>since</w:t>
      </w:r>
      <w:r w:rsidR="00190923" w:rsidRPr="00981405">
        <w:t xml:space="preserve"> </w:t>
      </w:r>
      <w:r w:rsidRPr="00981405">
        <w:t>it</w:t>
      </w:r>
      <w:r w:rsidR="00190923" w:rsidRPr="00981405">
        <w:t xml:space="preserve"> </w:t>
      </w:r>
      <w:r w:rsidRPr="00981405">
        <w:t>is</w:t>
      </w:r>
      <w:r w:rsidR="00190923" w:rsidRPr="00981405">
        <w:t xml:space="preserve"> </w:t>
      </w:r>
      <w:r w:rsidRPr="00981405">
        <w:t>a</w:t>
      </w:r>
      <w:r w:rsidR="00190923" w:rsidRPr="00981405">
        <w:t xml:space="preserve"> </w:t>
      </w:r>
      <w:r w:rsidRPr="00981405">
        <w:t>general</w:t>
      </w:r>
      <w:r w:rsidR="00190923" w:rsidRPr="00981405">
        <w:t xml:space="preserve"> </w:t>
      </w:r>
      <w:r w:rsidRPr="00981405">
        <w:t>requirement</w:t>
      </w:r>
      <w:r w:rsidR="00190923" w:rsidRPr="00981405">
        <w:t xml:space="preserve"> </w:t>
      </w:r>
      <w:r w:rsidRPr="00981405">
        <w:t>that</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do</w:t>
      </w:r>
      <w:r w:rsidR="00190923" w:rsidRPr="00981405">
        <w:t xml:space="preserve"> </w:t>
      </w:r>
      <w:r w:rsidRPr="00981405">
        <w:t>not</w:t>
      </w:r>
      <w:r w:rsidR="00190923" w:rsidRPr="00981405">
        <w:t xml:space="preserve"> </w:t>
      </w:r>
      <w:r w:rsidRPr="00981405">
        <w:t>act</w:t>
      </w:r>
      <w:r w:rsidR="00190923" w:rsidRPr="00981405">
        <w:t xml:space="preserve"> </w:t>
      </w:r>
      <w:r w:rsidR="00272399" w:rsidRPr="00981405">
        <w:rPr>
          <w:i/>
          <w:iCs/>
        </w:rPr>
        <w:t>ultra</w:t>
      </w:r>
      <w:r w:rsidR="00190923" w:rsidRPr="00981405">
        <w:rPr>
          <w:i/>
          <w:iCs/>
        </w:rPr>
        <w:t xml:space="preserve"> </w:t>
      </w:r>
      <w:r w:rsidR="00272399" w:rsidRPr="00981405">
        <w:rPr>
          <w:i/>
          <w:iCs/>
        </w:rPr>
        <w:t>vires</w:t>
      </w:r>
      <w:r w:rsidRPr="00981405">
        <w:t>.</w:t>
      </w:r>
      <w:r w:rsidRPr="00981405">
        <w:rPr>
          <w:rStyle w:val="FootnoteReference"/>
        </w:rPr>
        <w:footnoteReference w:id="362"/>
      </w:r>
    </w:p>
    <w:p w:rsidR="00397032" w:rsidRPr="00981405" w:rsidRDefault="00397032" w:rsidP="00D97463">
      <w:pPr>
        <w:pStyle w:val="SingleTxt"/>
      </w:pPr>
      <w:r w:rsidRPr="00981405">
        <w:t>(37)</w:t>
      </w:r>
      <w:r w:rsidRPr="00981405">
        <w:tab/>
        <w:t>Paragraph</w:t>
      </w:r>
      <w:r w:rsidR="00190923" w:rsidRPr="00981405">
        <w:t xml:space="preserve"> </w:t>
      </w:r>
      <w:r w:rsidRPr="00981405">
        <w:t>3</w:t>
      </w:r>
      <w:r w:rsidR="00190923" w:rsidRPr="00981405">
        <w:t xml:space="preserve"> </w:t>
      </w:r>
      <w:r w:rsidRPr="00981405">
        <w:t>of</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11</w:t>
      </w:r>
      <w:r w:rsidR="00190923" w:rsidRPr="00981405">
        <w:t xml:space="preserve"> </w:t>
      </w:r>
      <w:r w:rsidRPr="00981405">
        <w:t>builds</w:t>
      </w:r>
      <w:r w:rsidR="00190923" w:rsidRPr="00981405">
        <w:t xml:space="preserve"> </w:t>
      </w:r>
      <w:r w:rsidRPr="00981405">
        <w:t>on</w:t>
      </w:r>
      <w:r w:rsidR="00190923" w:rsidRPr="00981405">
        <w:t xml:space="preserve"> </w:t>
      </w:r>
      <w:r w:rsidRPr="00981405">
        <w:t>the</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5</w:t>
      </w:r>
      <w:r w:rsidR="00190923" w:rsidRPr="00981405">
        <w:t xml:space="preserve"> </w:t>
      </w:r>
      <w:r w:rsidRPr="00981405">
        <w:t>is</w:t>
      </w:r>
      <w:r w:rsidR="00190923" w:rsidRPr="00981405">
        <w:t xml:space="preserve"> </w:t>
      </w:r>
      <w:r w:rsidRPr="00981405">
        <w:t>addressing</w:t>
      </w:r>
      <w:r w:rsidR="00190923" w:rsidRPr="00981405">
        <w:t xml:space="preserve"> </w:t>
      </w:r>
      <w:r w:rsidR="00B92E2C" w:rsidRPr="00981405">
        <w:t>“</w:t>
      </w:r>
      <w:r w:rsidRPr="00981405">
        <w:t>subsequent</w:t>
      </w:r>
      <w:r w:rsidR="00190923" w:rsidRPr="00981405">
        <w:t xml:space="preserve"> </w:t>
      </w:r>
      <w:r w:rsidRPr="00981405">
        <w:t>practice</w:t>
      </w:r>
      <w:r w:rsidR="00B92E2C" w:rsidRPr="00981405">
        <w:t>”</w:t>
      </w:r>
      <w:r w:rsidR="00190923" w:rsidRPr="00981405">
        <w:t xml:space="preserve"> </w:t>
      </w:r>
      <w:r w:rsidRPr="00981405">
        <w:t>as</w:t>
      </w:r>
      <w:r w:rsidR="00190923" w:rsidRPr="00981405">
        <w:t xml:space="preserve"> </w:t>
      </w:r>
      <w:r w:rsidRPr="00981405">
        <w:t>defined</w:t>
      </w:r>
      <w:r w:rsidR="00190923" w:rsidRPr="00981405">
        <w:t xml:space="preserve"> </w:t>
      </w:r>
      <w:r w:rsidRPr="00981405">
        <w:t>in</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4,</w:t>
      </w:r>
      <w:r w:rsidR="00190923" w:rsidRPr="00981405">
        <w:t xml:space="preserve"> </w:t>
      </w:r>
      <w:r w:rsidRPr="00981405">
        <w:t>which</w:t>
      </w:r>
      <w:r w:rsidR="00190923" w:rsidRPr="00981405">
        <w:t xml:space="preserve"> </w:t>
      </w:r>
      <w:r w:rsidRPr="00981405">
        <w:t>concerns</w:t>
      </w:r>
      <w:r w:rsidR="00190923" w:rsidRPr="00981405">
        <w:t xml:space="preserve"> </w:t>
      </w:r>
      <w:r w:rsidRPr="00981405">
        <w:t>conduct</w:t>
      </w:r>
      <w:r w:rsidR="00190923" w:rsidRPr="00981405">
        <w:t xml:space="preserve"> </w:t>
      </w:r>
      <w:r w:rsidRPr="00981405">
        <w:t>by</w:t>
      </w:r>
      <w:r w:rsidR="00190923" w:rsidRPr="00981405">
        <w:t xml:space="preserve"> </w:t>
      </w:r>
      <w:r w:rsidRPr="00D97463">
        <w:rPr>
          <w:i/>
          <w:iCs/>
        </w:rPr>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that</w:t>
      </w:r>
      <w:r w:rsidR="00190923" w:rsidRPr="00981405">
        <w:t xml:space="preserve"> </w:t>
      </w:r>
      <w:r w:rsidRPr="00981405">
        <w:t>treaty.</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5</w:t>
      </w:r>
      <w:r w:rsidR="00190923" w:rsidRPr="00981405">
        <w:t xml:space="preserve"> </w:t>
      </w:r>
      <w:r w:rsidRPr="00981405">
        <w:t>does</w:t>
      </w:r>
      <w:r w:rsidR="00190923" w:rsidRPr="00981405">
        <w:t xml:space="preserve"> </w:t>
      </w:r>
      <w:r w:rsidRPr="00981405">
        <w:t>not</w:t>
      </w:r>
      <w:r w:rsidR="00190923" w:rsidRPr="00981405">
        <w:t xml:space="preserve"> </w:t>
      </w:r>
      <w:r w:rsidRPr="00981405">
        <w:t>imply</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as</w:t>
      </w:r>
      <w:r w:rsidR="00190923" w:rsidRPr="00981405">
        <w:t xml:space="preserve"> </w:t>
      </w:r>
      <w:r w:rsidRPr="00981405">
        <w:t>such,</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cannot</w:t>
      </w:r>
      <w:r w:rsidR="00190923" w:rsidRPr="00981405">
        <w:t xml:space="preserve"> </w:t>
      </w:r>
      <w:r w:rsidRPr="00981405">
        <w:t>be</w:t>
      </w:r>
      <w:r w:rsidR="00190923" w:rsidRPr="00981405">
        <w:t xml:space="preserve"> </w:t>
      </w:r>
      <w:r w:rsidRPr="00981405">
        <w:t>relevant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In</w:t>
      </w:r>
      <w:r w:rsidR="00190923" w:rsidRPr="00981405">
        <w:t xml:space="preserve"> </w:t>
      </w:r>
      <w:r w:rsidRPr="00981405">
        <w:t>its</w:t>
      </w:r>
      <w:r w:rsidR="00190923" w:rsidRPr="00981405">
        <w:t xml:space="preserve"> </w:t>
      </w:r>
      <w:r w:rsidRPr="00981405">
        <w:t>commentary</w:t>
      </w:r>
      <w:r w:rsidR="00190923" w:rsidRPr="00981405">
        <w:t xml:space="preserve"> </w:t>
      </w:r>
      <w:r w:rsidRPr="00981405">
        <w:t>to</w:t>
      </w:r>
      <w:r w:rsidR="00190923" w:rsidRPr="00981405">
        <w:t xml:space="preserve"> </w:t>
      </w:r>
      <w:r w:rsidRPr="00981405">
        <w:t>draft</w:t>
      </w:r>
      <w:r w:rsidR="00190923" w:rsidRPr="00981405">
        <w:t xml:space="preserve"> </w:t>
      </w:r>
      <w:r w:rsidRPr="00981405">
        <w:t>conclusion</w:t>
      </w:r>
      <w:r w:rsidR="00190923" w:rsidRPr="00981405">
        <w:t xml:space="preserve"> </w:t>
      </w:r>
      <w:r w:rsidRPr="00981405">
        <w:t>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explained</w:t>
      </w:r>
      <w:r w:rsidR="00190923" w:rsidRPr="00981405">
        <w:t xml:space="preserve"> </w:t>
      </w:r>
      <w:r w:rsidRPr="00981405">
        <w:t>that:</w:t>
      </w:r>
      <w:bookmarkEnd w:id="122"/>
    </w:p>
    <w:p w:rsidR="00397032" w:rsidRPr="00981405" w:rsidRDefault="00B92E2C" w:rsidP="00D97463">
      <w:pPr>
        <w:pStyle w:val="SingleTxt"/>
        <w:ind w:left="1742"/>
      </w:pPr>
      <w:r w:rsidRPr="00981405">
        <w:lastRenderedPageBreak/>
        <w:t>“</w:t>
      </w:r>
      <w:r w:rsidR="00397032" w:rsidRPr="00981405">
        <w:t>Decisions,</w:t>
      </w:r>
      <w:r w:rsidR="00190923" w:rsidRPr="00981405">
        <w:t xml:space="preserve"> </w:t>
      </w:r>
      <w:r w:rsidR="00397032" w:rsidRPr="00981405">
        <w:t>resolutions</w:t>
      </w:r>
      <w:r w:rsidR="00190923" w:rsidRPr="00981405">
        <w:t xml:space="preserve"> </w:t>
      </w:r>
      <w:r w:rsidR="00397032" w:rsidRPr="00981405">
        <w:t>and</w:t>
      </w:r>
      <w:r w:rsidR="00190923" w:rsidRPr="00981405">
        <w:t xml:space="preserve"> </w:t>
      </w:r>
      <w:r w:rsidR="00397032" w:rsidRPr="00981405">
        <w:t>other</w:t>
      </w:r>
      <w:r w:rsidR="00190923" w:rsidRPr="00981405">
        <w:t xml:space="preserve"> </w:t>
      </w:r>
      <w:r w:rsidR="00397032" w:rsidRPr="00981405">
        <w:t>practice</w:t>
      </w:r>
      <w:r w:rsidR="00190923" w:rsidRPr="00981405">
        <w:t xml:space="preserve"> </w:t>
      </w:r>
      <w:r w:rsidR="00397032" w:rsidRPr="00981405">
        <w:t>by</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can</w:t>
      </w:r>
      <w:r w:rsidR="00190923" w:rsidRPr="00981405">
        <w:t xml:space="preserve"> </w:t>
      </w:r>
      <w:r w:rsidR="00397032" w:rsidRPr="00981405">
        <w:t>be</w:t>
      </w:r>
      <w:r w:rsidR="00190923" w:rsidRPr="00981405">
        <w:t xml:space="preserve"> </w:t>
      </w:r>
      <w:r w:rsidR="00397032" w:rsidRPr="00981405">
        <w:t>relevant</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interpretation</w:t>
      </w:r>
      <w:r w:rsidR="00190923" w:rsidRPr="00981405">
        <w:t xml:space="preserve"> </w:t>
      </w:r>
      <w:r w:rsidR="00397032" w:rsidRPr="00981405">
        <w:t>of</w:t>
      </w:r>
      <w:r w:rsidR="00190923" w:rsidRPr="00981405">
        <w:t xml:space="preserve"> </w:t>
      </w:r>
      <w:r w:rsidR="00397032" w:rsidRPr="00981405">
        <w:t>treaties</w:t>
      </w:r>
      <w:r w:rsidR="00190923" w:rsidRPr="00981405">
        <w:t xml:space="preserve"> </w:t>
      </w:r>
      <w:r w:rsidR="00397032" w:rsidRPr="00981405">
        <w:t>in</w:t>
      </w:r>
      <w:r w:rsidR="00190923" w:rsidRPr="00981405">
        <w:t xml:space="preserve"> </w:t>
      </w:r>
      <w:r w:rsidR="00397032" w:rsidRPr="00981405">
        <w:t>their</w:t>
      </w:r>
      <w:r w:rsidR="00190923" w:rsidRPr="00981405">
        <w:t xml:space="preserve"> </w:t>
      </w:r>
      <w:r w:rsidR="00397032" w:rsidRPr="00981405">
        <w:t>own</w:t>
      </w:r>
      <w:r w:rsidR="00190923" w:rsidRPr="00981405">
        <w:t xml:space="preserve"> </w:t>
      </w:r>
      <w:r w:rsidR="00397032" w:rsidRPr="00981405">
        <w:t>right.</w:t>
      </w:r>
      <w:r w:rsidR="00190923" w:rsidRPr="00981405">
        <w:t xml:space="preserve"> </w:t>
      </w:r>
      <w:r w:rsidR="00397032" w:rsidRPr="00981405">
        <w:t>This</w:t>
      </w:r>
      <w:r w:rsidR="00190923" w:rsidRPr="00981405">
        <w:t xml:space="preserve"> </w:t>
      </w:r>
      <w:r w:rsidR="00397032" w:rsidRPr="00981405">
        <w:t>is</w:t>
      </w:r>
      <w:r w:rsidR="00190923" w:rsidRPr="00981405">
        <w:t xml:space="preserve"> </w:t>
      </w:r>
      <w:r w:rsidR="00397032" w:rsidRPr="00981405">
        <w:t>recognized,</w:t>
      </w:r>
      <w:r w:rsidR="00190923" w:rsidRPr="00981405">
        <w:t xml:space="preserve"> </w:t>
      </w:r>
      <w:r w:rsidR="00397032" w:rsidRPr="00981405">
        <w:t>for</w:t>
      </w:r>
      <w:r w:rsidR="00190923" w:rsidRPr="00981405">
        <w:t xml:space="preserve"> </w:t>
      </w:r>
      <w:r w:rsidR="00397032" w:rsidRPr="00981405">
        <w:t>example,</w:t>
      </w:r>
      <w:r w:rsidR="00190923" w:rsidRPr="00981405">
        <w:t xml:space="preserve"> </w:t>
      </w:r>
      <w:r w:rsidR="00397032" w:rsidRPr="00981405">
        <w:t>in</w:t>
      </w:r>
      <w:r w:rsidR="00190923" w:rsidRPr="00981405">
        <w:t xml:space="preserve"> </w:t>
      </w:r>
      <w:r w:rsidR="00397032" w:rsidRPr="00981405">
        <w:t>article</w:t>
      </w:r>
      <w:r w:rsidR="00190923" w:rsidRPr="00981405">
        <w:t xml:space="preserve"> </w:t>
      </w:r>
      <w:r w:rsidR="00397032" w:rsidRPr="00981405">
        <w:t>2</w:t>
      </w:r>
      <w:r w:rsidR="00190923" w:rsidRPr="00981405">
        <w:t xml:space="preserve"> </w:t>
      </w:r>
      <w:r w:rsidR="00397032" w:rsidRPr="00981405">
        <w:t>(j)</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Vienna</w:t>
      </w:r>
      <w:r w:rsidR="00190923" w:rsidRPr="00981405">
        <w:t xml:space="preserve"> </w:t>
      </w:r>
      <w:r w:rsidR="00397032" w:rsidRPr="00981405">
        <w:t>Convention</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Law</w:t>
      </w:r>
      <w:r w:rsidR="00190923" w:rsidRPr="00981405">
        <w:t xml:space="preserve"> </w:t>
      </w:r>
      <w:r w:rsidR="00397032" w:rsidRPr="00981405">
        <w:t>of</w:t>
      </w:r>
      <w:r w:rsidR="00190923" w:rsidRPr="00981405">
        <w:t xml:space="preserve"> </w:t>
      </w:r>
      <w:r w:rsidR="00397032" w:rsidRPr="00981405">
        <w:t>Treaties</w:t>
      </w:r>
      <w:r w:rsidR="00190923" w:rsidRPr="00981405">
        <w:t xml:space="preserve"> </w:t>
      </w:r>
      <w:r w:rsidR="00397032" w:rsidRPr="00981405">
        <w:t>between</w:t>
      </w:r>
      <w:r w:rsidR="00190923" w:rsidRPr="00981405">
        <w:t xml:space="preserve"> </w:t>
      </w:r>
      <w:r w:rsidR="00397032" w:rsidRPr="00981405">
        <w:t>States</w:t>
      </w:r>
      <w:r w:rsidR="00190923" w:rsidRPr="00981405">
        <w:t xml:space="preserve"> </w:t>
      </w:r>
      <w:r w:rsidR="00397032" w:rsidRPr="00981405">
        <w:t>and</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and</w:t>
      </w:r>
      <w:r w:rsidR="00190923" w:rsidRPr="00981405">
        <w:t xml:space="preserve"> </w:t>
      </w:r>
      <w:r w:rsidR="00397032" w:rsidRPr="00981405">
        <w:t>between</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which</w:t>
      </w:r>
      <w:r w:rsidR="00190923" w:rsidRPr="00981405">
        <w:t xml:space="preserve"> </w:t>
      </w:r>
      <w:r w:rsidR="00397032" w:rsidRPr="00981405">
        <w:t>mentions</w:t>
      </w:r>
      <w:r w:rsidR="00190923" w:rsidRPr="00981405">
        <w:t xml:space="preserve"> </w:t>
      </w:r>
      <w:r w:rsidR="00397032" w:rsidRPr="00981405">
        <w:t>the</w:t>
      </w:r>
      <w:r w:rsidR="00190923" w:rsidRPr="00981405">
        <w:t xml:space="preserve"> </w:t>
      </w:r>
      <w:r w:rsidRPr="00981405">
        <w:t>‘</w:t>
      </w:r>
      <w:r w:rsidR="00397032" w:rsidRPr="00981405">
        <w:t>established</w:t>
      </w:r>
      <w:r w:rsidR="00190923" w:rsidRPr="00981405">
        <w:t xml:space="preserve"> </w:t>
      </w:r>
      <w:r w:rsidR="00397032" w:rsidRPr="00981405">
        <w:t>practice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Pr="00981405">
        <w:t>’</w:t>
      </w:r>
      <w:r w:rsidR="00190923" w:rsidRPr="00981405">
        <w:t xml:space="preserve"> </w:t>
      </w:r>
      <w:r w:rsidR="00397032" w:rsidRPr="00981405">
        <w:t>as</w:t>
      </w:r>
      <w:r w:rsidR="00190923" w:rsidRPr="00981405">
        <w:t xml:space="preserve"> </w:t>
      </w:r>
      <w:r w:rsidR="00397032" w:rsidRPr="00981405">
        <w:t>one</w:t>
      </w:r>
      <w:r w:rsidR="00190923" w:rsidRPr="00981405">
        <w:t xml:space="preserve"> </w:t>
      </w:r>
      <w:r w:rsidR="00397032" w:rsidRPr="00981405">
        <w:t>form</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Pr="00981405">
        <w:t>‘</w:t>
      </w:r>
      <w:r w:rsidR="00397032" w:rsidRPr="00981405">
        <w:t>rules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organization</w:t>
      </w:r>
      <w:r w:rsidRPr="00981405">
        <w:t>’”</w:t>
      </w:r>
      <w:r w:rsidR="00397032" w:rsidRPr="00981405">
        <w:t>.</w:t>
      </w:r>
      <w:r w:rsidR="00397032" w:rsidRPr="00981405">
        <w:rPr>
          <w:rStyle w:val="FootnoteReference"/>
        </w:rPr>
        <w:footnoteReference w:id="363"/>
      </w:r>
    </w:p>
    <w:p w:rsidR="00397032" w:rsidRPr="00981405" w:rsidRDefault="00397032" w:rsidP="00D97463">
      <w:pPr>
        <w:pStyle w:val="SingleTxt"/>
      </w:pPr>
      <w:r w:rsidRPr="00981405">
        <w:t>(38)</w:t>
      </w:r>
      <w:r w:rsidRPr="00981405">
        <w:tab/>
      </w:r>
      <w:r w:rsidRPr="00D97463">
        <w:rPr>
          <w:i/>
          <w:iCs/>
        </w:rPr>
        <w:t>Paragraph</w:t>
      </w:r>
      <w:r w:rsidR="00190923" w:rsidRPr="00981405">
        <w:rPr>
          <w:i/>
          <w:iCs/>
        </w:rPr>
        <w:t xml:space="preserve"> </w:t>
      </w:r>
      <w:r w:rsidRPr="00D97463">
        <w:rPr>
          <w:i/>
          <w:iCs/>
        </w:rPr>
        <w:t>4</w:t>
      </w:r>
      <w:r w:rsidR="00190923" w:rsidRPr="00981405">
        <w:rPr>
          <w:i/>
          <w:iCs/>
        </w:rPr>
        <w:t xml:space="preserve"> </w:t>
      </w:r>
      <w:r w:rsidRPr="00D97463">
        <w:rPr>
          <w:i/>
          <w:iCs/>
        </w:rPr>
        <w:t>of</w:t>
      </w:r>
      <w:r w:rsidR="00190923" w:rsidRPr="00981405">
        <w:rPr>
          <w:i/>
          <w:iCs/>
        </w:rPr>
        <w:t xml:space="preserve"> </w:t>
      </w:r>
      <w:r w:rsidRPr="00D97463">
        <w:rPr>
          <w:i/>
          <w:iCs/>
        </w:rPr>
        <w:t>draft</w:t>
      </w:r>
      <w:r w:rsidR="00190923" w:rsidRPr="00981405">
        <w:rPr>
          <w:i/>
          <w:iCs/>
        </w:rPr>
        <w:t xml:space="preserve"> </w:t>
      </w:r>
      <w:r w:rsidRPr="00D97463">
        <w:rPr>
          <w:i/>
          <w:iCs/>
        </w:rPr>
        <w:t>conclusion</w:t>
      </w:r>
      <w:r w:rsidR="00190923" w:rsidRPr="00981405">
        <w:rPr>
          <w:i/>
          <w:iCs/>
        </w:rPr>
        <w:t xml:space="preserve"> </w:t>
      </w:r>
      <w:r w:rsidRPr="00D97463">
        <w:rPr>
          <w:i/>
          <w:iCs/>
        </w:rPr>
        <w:t>11</w:t>
      </w:r>
      <w:r w:rsidR="00190923" w:rsidRPr="00981405">
        <w:t xml:space="preserve"> </w:t>
      </w:r>
      <w:r w:rsidRPr="00981405">
        <w:t>reflects</w:t>
      </w:r>
      <w:r w:rsidR="00190923" w:rsidRPr="00981405">
        <w:t xml:space="preserve"> </w:t>
      </w:r>
      <w:r w:rsidRPr="00981405">
        <w:t>article</w:t>
      </w:r>
      <w:r w:rsidR="00190923" w:rsidRPr="00981405">
        <w:t xml:space="preserve"> </w:t>
      </w:r>
      <w:r w:rsidRPr="00981405">
        <w:t>5</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its</w:t>
      </w:r>
      <w:r w:rsidR="00190923" w:rsidRPr="00981405">
        <w:t xml:space="preserve"> </w:t>
      </w:r>
      <w:r w:rsidRPr="00981405">
        <w:t>formulation</w:t>
      </w:r>
      <w:r w:rsidR="00190923" w:rsidRPr="00981405">
        <w:t xml:space="preserve"> </w:t>
      </w:r>
      <w:r w:rsidRPr="00981405">
        <w:t>borrows</w:t>
      </w:r>
      <w:r w:rsidR="00190923" w:rsidRPr="00981405">
        <w:t xml:space="preserve"> </w:t>
      </w:r>
      <w:r w:rsidRPr="00981405">
        <w:t>from</w:t>
      </w:r>
      <w:r w:rsidR="00190923" w:rsidRPr="00981405">
        <w:t xml:space="preserve"> </w:t>
      </w:r>
      <w:r w:rsidRPr="00981405">
        <w:t>that</w:t>
      </w:r>
      <w:r w:rsidR="00190923" w:rsidRPr="00981405">
        <w:t xml:space="preserve"> </w:t>
      </w:r>
      <w:r w:rsidRPr="00981405">
        <w:t>article.</w:t>
      </w:r>
      <w:r w:rsidR="00190923" w:rsidRPr="00981405">
        <w:t xml:space="preserve"> </w:t>
      </w:r>
      <w:r w:rsidRPr="00981405">
        <w:t>The</w:t>
      </w:r>
      <w:r w:rsidR="00190923" w:rsidRPr="00981405">
        <w:t xml:space="preserve"> </w:t>
      </w:r>
      <w:r w:rsidRPr="00981405">
        <w:t>paragraph</w:t>
      </w:r>
      <w:r w:rsidR="00190923" w:rsidRPr="00981405">
        <w:t xml:space="preserve"> </w:t>
      </w:r>
      <w:r w:rsidRPr="00981405">
        <w:t>applies</w:t>
      </w:r>
      <w:r w:rsidR="00190923" w:rsidRPr="00981405">
        <w:t xml:space="preserve"> </w:t>
      </w:r>
      <w:r w:rsidRPr="00981405">
        <w:t>to</w:t>
      </w:r>
      <w:r w:rsidR="00190923" w:rsidRPr="00981405">
        <w:t xml:space="preserve"> </w:t>
      </w:r>
      <w:r w:rsidRPr="00981405">
        <w:t>the</w:t>
      </w:r>
      <w:r w:rsidR="00190923" w:rsidRPr="00981405">
        <w:t xml:space="preserve"> </w:t>
      </w:r>
      <w:r w:rsidRPr="00981405">
        <w:t>situations</w:t>
      </w:r>
      <w:r w:rsidR="00190923" w:rsidRPr="00981405">
        <w:t xml:space="preserve"> </w:t>
      </w:r>
      <w:r w:rsidRPr="00981405">
        <w:t>covered</w:t>
      </w:r>
      <w:r w:rsidR="00190923" w:rsidRPr="00981405">
        <w:t xml:space="preserve"> </w:t>
      </w:r>
      <w:r w:rsidRPr="00981405">
        <w:t>under</w:t>
      </w:r>
      <w:r w:rsidR="00190923" w:rsidRPr="00981405">
        <w:t xml:space="preserve"> </w:t>
      </w:r>
      <w:r w:rsidRPr="00981405">
        <w:t>paragraphs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and</w:t>
      </w:r>
      <w:r w:rsidR="00190923" w:rsidRPr="00981405">
        <w:t xml:space="preserve"> </w:t>
      </w:r>
      <w:r w:rsidRPr="00981405">
        <w:t>ensures</w:t>
      </w:r>
      <w:r w:rsidR="00190923" w:rsidRPr="00981405">
        <w:t xml:space="preserve"> </w:t>
      </w:r>
      <w:r w:rsidRPr="00981405">
        <w:t>that</w:t>
      </w:r>
      <w:r w:rsidR="00190923" w:rsidRPr="00981405">
        <w:t xml:space="preserve"> </w:t>
      </w:r>
      <w:r w:rsidRPr="00981405">
        <w:t>the</w:t>
      </w:r>
      <w:r w:rsidR="00190923" w:rsidRPr="00981405">
        <w:t xml:space="preserve"> </w:t>
      </w:r>
      <w:r w:rsidRPr="00981405">
        <w:t>rules</w:t>
      </w:r>
      <w:r w:rsidR="00190923" w:rsidRPr="00981405">
        <w:t xml:space="preserve"> </w:t>
      </w:r>
      <w:r w:rsidRPr="00981405">
        <w:t>referred</w:t>
      </w:r>
      <w:r w:rsidR="00190923" w:rsidRPr="00981405">
        <w:t xml:space="preserve"> </w:t>
      </w:r>
      <w:r w:rsidRPr="00981405">
        <w:t>to</w:t>
      </w:r>
      <w:r w:rsidR="00190923" w:rsidRPr="00981405">
        <w:t xml:space="preserve"> </w:t>
      </w:r>
      <w:r w:rsidRPr="00981405">
        <w:t>therein</w:t>
      </w:r>
      <w:r w:rsidR="00190923" w:rsidRPr="00981405">
        <w:t xml:space="preserve"> </w:t>
      </w:r>
      <w:r w:rsidRPr="00981405">
        <w:t>are</w:t>
      </w:r>
      <w:r w:rsidR="00190923" w:rsidRPr="00981405">
        <w:t xml:space="preserve"> </w:t>
      </w:r>
      <w:r w:rsidRPr="00981405">
        <w:t>applicable,</w:t>
      </w:r>
      <w:r w:rsidR="00190923" w:rsidRPr="00981405">
        <w:t xml:space="preserve"> </w:t>
      </w:r>
      <w:r w:rsidRPr="00981405">
        <w:t>interpreted</w:t>
      </w:r>
      <w:r w:rsidR="00190923" w:rsidRPr="00981405">
        <w:t xml:space="preserve"> </w:t>
      </w:r>
      <w:r w:rsidRPr="00981405">
        <w:t>and</w:t>
      </w:r>
      <w:r w:rsidR="00190923" w:rsidRPr="00981405">
        <w:t xml:space="preserve"> </w:t>
      </w:r>
      <w:r w:rsidRPr="00981405">
        <w:t>applied</w:t>
      </w:r>
      <w:r w:rsidR="00190923" w:rsidRPr="00981405">
        <w:t xml:space="preserve"> </w:t>
      </w:r>
      <w:r w:rsidR="00B92E2C" w:rsidRPr="00981405">
        <w:t>“</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any</w:t>
      </w:r>
      <w:r w:rsidR="00190923" w:rsidRPr="00981405">
        <w:t xml:space="preserve"> </w:t>
      </w:r>
      <w:r w:rsidRPr="00981405">
        <w:t>relevant</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Pr="00981405">
        <w: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understood</w:t>
      </w:r>
      <w:r w:rsidR="00190923" w:rsidRPr="00981405">
        <w:t xml:space="preserve"> </w:t>
      </w:r>
      <w:r w:rsidRPr="00981405">
        <w:t>in</w:t>
      </w:r>
      <w:r w:rsidR="00190923" w:rsidRPr="00981405">
        <w:t xml:space="preserve"> </w:t>
      </w:r>
      <w:r w:rsidRPr="00981405">
        <w:t>the</w:t>
      </w:r>
      <w:r w:rsidR="00190923" w:rsidRPr="00981405">
        <w:t xml:space="preserve"> </w:t>
      </w:r>
      <w:r w:rsidRPr="00981405">
        <w:t>same</w:t>
      </w:r>
      <w:r w:rsidR="00190923" w:rsidRPr="00981405">
        <w:t xml:space="preserve"> </w:t>
      </w:r>
      <w:r w:rsidRPr="00981405">
        <w:t>way</w:t>
      </w:r>
      <w:r w:rsidR="00190923" w:rsidRPr="00981405">
        <w:t xml:space="preserve"> </w:t>
      </w:r>
      <w:r w:rsidRPr="00981405">
        <w:t>as</w:t>
      </w:r>
      <w:r w:rsidR="00190923" w:rsidRPr="00981405">
        <w:t xml:space="preserve"> </w:t>
      </w:r>
      <w:r w:rsidRPr="00981405">
        <w:t>in</w:t>
      </w:r>
      <w:r w:rsidR="00190923" w:rsidRPr="00981405">
        <w:t xml:space="preserve"> </w:t>
      </w:r>
      <w:r w:rsidRPr="00981405">
        <w:t>article</w:t>
      </w:r>
      <w:r w:rsidR="00190923" w:rsidRPr="00981405">
        <w:t xml:space="preserve"> </w:t>
      </w:r>
      <w:r w:rsidRPr="00981405">
        <w:t>2</w:t>
      </w:r>
      <w:r w:rsidR="00190923" w:rsidRPr="00981405">
        <w:t xml:space="preserve"> </w:t>
      </w:r>
      <w:r w:rsidRPr="00981405">
        <w:t>(1)</w:t>
      </w:r>
      <w:r w:rsidR="00190923" w:rsidRPr="00981405">
        <w:t xml:space="preserve"> </w:t>
      </w:r>
      <w:r w:rsidRPr="00981405">
        <w:t>(j)</w:t>
      </w:r>
      <w:r w:rsidR="00190923" w:rsidRPr="00981405">
        <w:t xml:space="preserve"> </w:t>
      </w:r>
      <w:r w:rsidRPr="00981405">
        <w:t>of</w:t>
      </w:r>
      <w:r w:rsidR="00190923" w:rsidRPr="00981405">
        <w:t xml:space="preserve"> </w:t>
      </w:r>
      <w:r w:rsidRPr="00981405">
        <w:t>the</w:t>
      </w:r>
      <w:r w:rsidR="00190923" w:rsidRPr="00981405">
        <w:t xml:space="preserve"> </w:t>
      </w:r>
      <w:r w:rsidRPr="00981405">
        <w:t>1986</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in</w:t>
      </w:r>
      <w:r w:rsidR="00190923" w:rsidRPr="00981405">
        <w:t xml:space="preserve"> </w:t>
      </w:r>
      <w:r w:rsidRPr="00981405">
        <w:t>article</w:t>
      </w:r>
      <w:r w:rsidR="00190923" w:rsidRPr="00981405">
        <w:t xml:space="preserve"> </w:t>
      </w:r>
      <w:r w:rsidRPr="00981405">
        <w:t>2</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of</w:t>
      </w:r>
      <w:r w:rsidR="00190923" w:rsidRPr="00981405">
        <w:t xml:space="preserve"> </w:t>
      </w:r>
      <w:r w:rsidRPr="00981405">
        <w:t>2011.</w:t>
      </w:r>
    </w:p>
    <w:p w:rsidR="00397032" w:rsidRPr="00981405" w:rsidRDefault="00397032" w:rsidP="00D97463">
      <w:pPr>
        <w:pStyle w:val="SingleTxt"/>
      </w:pPr>
      <w:r w:rsidRPr="00981405">
        <w:t>(39)</w:t>
      </w:r>
      <w:r w:rsidRPr="00981405">
        <w:tab/>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stated</w:t>
      </w:r>
      <w:r w:rsidR="00190923" w:rsidRPr="00981405">
        <w:t xml:space="preserve"> </w:t>
      </w:r>
      <w:r w:rsidRPr="00981405">
        <w:t>in</w:t>
      </w:r>
      <w:r w:rsidR="00190923" w:rsidRPr="00981405">
        <w:t xml:space="preserve"> </w:t>
      </w:r>
      <w:r w:rsidRPr="00981405">
        <w:t>its</w:t>
      </w:r>
      <w:r w:rsidR="00190923" w:rsidRPr="00981405">
        <w:t xml:space="preserve"> </w:t>
      </w:r>
      <w:r w:rsidRPr="00981405">
        <w:t>general</w:t>
      </w:r>
      <w:r w:rsidR="00190923" w:rsidRPr="00981405">
        <w:t xml:space="preserve"> </w:t>
      </w:r>
      <w:r w:rsidRPr="00981405">
        <w:t>commentary</w:t>
      </w:r>
      <w:r w:rsidR="00190923" w:rsidRPr="00981405">
        <w:t xml:space="preserve"> </w:t>
      </w:r>
      <w:r w:rsidRPr="00981405">
        <w:t>to</w:t>
      </w:r>
      <w:r w:rsidR="00190923" w:rsidRPr="00981405">
        <w:t xml:space="preserve"> </w:t>
      </w:r>
      <w:r w:rsidRPr="00981405">
        <w:t>the</w:t>
      </w:r>
      <w:r w:rsidR="00190923" w:rsidRPr="00981405">
        <w:t xml:space="preserve"> </w:t>
      </w:r>
      <w:r w:rsidRPr="00981405">
        <w:t>2011</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p>
    <w:p w:rsidR="00397032" w:rsidRPr="00981405" w:rsidRDefault="00B92E2C" w:rsidP="00D97463">
      <w:pPr>
        <w:pStyle w:val="SingleTxt"/>
        <w:ind w:left="1742"/>
      </w:pPr>
      <w:r w:rsidRPr="00981405">
        <w:t>“</w:t>
      </w:r>
      <w:r w:rsidR="00397032" w:rsidRPr="00981405">
        <w:t>There</w:t>
      </w:r>
      <w:r w:rsidR="00190923" w:rsidRPr="00981405">
        <w:t xml:space="preserve"> </w:t>
      </w:r>
      <w:r w:rsidR="00397032" w:rsidRPr="00981405">
        <w:t>are</w:t>
      </w:r>
      <w:r w:rsidR="00190923" w:rsidRPr="00981405">
        <w:t xml:space="preserve"> </w:t>
      </w:r>
      <w:r w:rsidR="00397032" w:rsidRPr="00981405">
        <w:t>very</w:t>
      </w:r>
      <w:r w:rsidR="00190923" w:rsidRPr="00981405">
        <w:t xml:space="preserve"> </w:t>
      </w:r>
      <w:r w:rsidR="00397032" w:rsidRPr="00981405">
        <w:t>significant</w:t>
      </w:r>
      <w:r w:rsidR="00190923" w:rsidRPr="00981405">
        <w:t xml:space="preserve"> </w:t>
      </w:r>
      <w:r w:rsidR="00397032" w:rsidRPr="00981405">
        <w:t>differences</w:t>
      </w:r>
      <w:r w:rsidR="00190923" w:rsidRPr="00981405">
        <w:t xml:space="preserve"> </w:t>
      </w:r>
      <w:r w:rsidR="00397032" w:rsidRPr="00981405">
        <w:t>among</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with</w:t>
      </w:r>
      <w:r w:rsidR="00190923" w:rsidRPr="00981405">
        <w:t xml:space="preserve"> </w:t>
      </w:r>
      <w:r w:rsidR="00397032" w:rsidRPr="00981405">
        <w:t>regard</w:t>
      </w:r>
      <w:r w:rsidR="00190923" w:rsidRPr="00981405">
        <w:t xml:space="preserve"> </w:t>
      </w:r>
      <w:r w:rsidR="00397032" w:rsidRPr="00981405">
        <w:t>to</w:t>
      </w:r>
      <w:r w:rsidR="00190923" w:rsidRPr="00981405">
        <w:t xml:space="preserve"> </w:t>
      </w:r>
      <w:r w:rsidR="00397032" w:rsidRPr="00981405">
        <w:t>their</w:t>
      </w:r>
      <w:r w:rsidR="00190923" w:rsidRPr="00981405">
        <w:t xml:space="preserve"> </w:t>
      </w:r>
      <w:r w:rsidR="00397032" w:rsidRPr="00981405">
        <w:t>powers</w:t>
      </w:r>
      <w:r w:rsidR="00190923" w:rsidRPr="00981405">
        <w:t xml:space="preserve"> </w:t>
      </w:r>
      <w:r w:rsidR="00397032" w:rsidRPr="00981405">
        <w:t>and</w:t>
      </w:r>
      <w:r w:rsidR="00190923" w:rsidRPr="00981405">
        <w:t xml:space="preserve"> </w:t>
      </w:r>
      <w:r w:rsidR="00397032" w:rsidRPr="00981405">
        <w:t>functions,</w:t>
      </w:r>
      <w:r w:rsidR="00190923" w:rsidRPr="00981405">
        <w:t xml:space="preserve"> </w:t>
      </w:r>
      <w:r w:rsidR="00397032" w:rsidRPr="00981405">
        <w:t>size</w:t>
      </w:r>
      <w:r w:rsidR="00190923" w:rsidRPr="00981405">
        <w:t xml:space="preserve"> </w:t>
      </w:r>
      <w:r w:rsidR="00397032" w:rsidRPr="00981405">
        <w:t>of</w:t>
      </w:r>
      <w:r w:rsidR="00190923" w:rsidRPr="00981405">
        <w:t xml:space="preserve"> </w:t>
      </w:r>
      <w:r w:rsidR="00397032" w:rsidRPr="00981405">
        <w:t>membership,</w:t>
      </w:r>
      <w:r w:rsidR="00190923" w:rsidRPr="00981405">
        <w:t xml:space="preserve"> </w:t>
      </w:r>
      <w:r w:rsidR="00397032" w:rsidRPr="00981405">
        <w:t>relations</w:t>
      </w:r>
      <w:r w:rsidR="00190923" w:rsidRPr="00981405">
        <w:t xml:space="preserve"> </w:t>
      </w:r>
      <w:r w:rsidR="00397032" w:rsidRPr="00981405">
        <w:t>between</w:t>
      </w:r>
      <w:r w:rsidR="00190923" w:rsidRPr="00981405">
        <w:t xml:space="preserve"> </w:t>
      </w:r>
      <w:r w:rsidR="00397032" w:rsidRPr="00981405">
        <w:t>the</w:t>
      </w:r>
      <w:r w:rsidR="00190923" w:rsidRPr="00981405">
        <w:t xml:space="preserve"> </w:t>
      </w:r>
      <w:r w:rsidR="00397032" w:rsidRPr="00981405">
        <w:t>organization</w:t>
      </w:r>
      <w:r w:rsidR="00190923" w:rsidRPr="00981405">
        <w:t xml:space="preserve"> </w:t>
      </w:r>
      <w:r w:rsidR="00397032" w:rsidRPr="00981405">
        <w:t>and</w:t>
      </w:r>
      <w:r w:rsidR="00190923" w:rsidRPr="00981405">
        <w:t xml:space="preserve"> </w:t>
      </w:r>
      <w:r w:rsidR="00397032" w:rsidRPr="00981405">
        <w:t>its</w:t>
      </w:r>
      <w:r w:rsidR="00190923" w:rsidRPr="00981405">
        <w:t xml:space="preserve"> </w:t>
      </w:r>
      <w:r w:rsidR="00397032" w:rsidRPr="00981405">
        <w:t>members,</w:t>
      </w:r>
      <w:r w:rsidR="00190923" w:rsidRPr="00981405">
        <w:t xml:space="preserve"> </w:t>
      </w:r>
      <w:r w:rsidR="00397032" w:rsidRPr="00981405">
        <w:t>procedures</w:t>
      </w:r>
      <w:r w:rsidR="00190923" w:rsidRPr="00981405">
        <w:t xml:space="preserve"> </w:t>
      </w:r>
      <w:r w:rsidR="00397032" w:rsidRPr="00981405">
        <w:t>for</w:t>
      </w:r>
      <w:r w:rsidR="00190923" w:rsidRPr="00981405">
        <w:t xml:space="preserve"> </w:t>
      </w:r>
      <w:r w:rsidR="00397032" w:rsidRPr="00981405">
        <w:t>deliberation,</w:t>
      </w:r>
      <w:r w:rsidR="00190923" w:rsidRPr="00981405">
        <w:t xml:space="preserve"> </w:t>
      </w:r>
      <w:r w:rsidR="00397032" w:rsidRPr="00981405">
        <w:t>structure</w:t>
      </w:r>
      <w:r w:rsidR="00190923" w:rsidRPr="00981405">
        <w:t xml:space="preserve"> </w:t>
      </w:r>
      <w:r w:rsidR="00397032" w:rsidRPr="00981405">
        <w:t>and</w:t>
      </w:r>
      <w:r w:rsidR="00190923" w:rsidRPr="00981405">
        <w:t xml:space="preserve"> </w:t>
      </w:r>
      <w:r w:rsidR="00397032" w:rsidRPr="00981405">
        <w:t>facilities,</w:t>
      </w:r>
      <w:r w:rsidR="00190923" w:rsidRPr="00981405">
        <w:t xml:space="preserve"> </w:t>
      </w:r>
      <w:r w:rsidR="00397032" w:rsidRPr="00981405">
        <w:t>as</w:t>
      </w:r>
      <w:r w:rsidR="00190923" w:rsidRPr="00981405">
        <w:t xml:space="preserve"> </w:t>
      </w:r>
      <w:r w:rsidR="00397032" w:rsidRPr="00981405">
        <w:t>well</w:t>
      </w:r>
      <w:r w:rsidR="00190923" w:rsidRPr="00981405">
        <w:t xml:space="preserve"> </w:t>
      </w:r>
      <w:r w:rsidR="00397032" w:rsidRPr="00981405">
        <w:t>as</w:t>
      </w:r>
      <w:r w:rsidR="00190923" w:rsidRPr="00981405">
        <w:t xml:space="preserve"> </w:t>
      </w:r>
      <w:r w:rsidR="00397032" w:rsidRPr="00981405">
        <w:t>the</w:t>
      </w:r>
      <w:r w:rsidR="00190923" w:rsidRPr="00981405">
        <w:t xml:space="preserve"> </w:t>
      </w:r>
      <w:r w:rsidR="00397032" w:rsidRPr="00981405">
        <w:t>primary</w:t>
      </w:r>
      <w:r w:rsidR="00190923" w:rsidRPr="00981405">
        <w:t xml:space="preserve"> </w:t>
      </w:r>
      <w:r w:rsidR="00397032" w:rsidRPr="00981405">
        <w:t>rules</w:t>
      </w:r>
      <w:r w:rsidR="00190923" w:rsidRPr="00981405">
        <w:t xml:space="preserve"> </w:t>
      </w:r>
      <w:r w:rsidR="00397032" w:rsidRPr="00981405">
        <w:t>including</w:t>
      </w:r>
      <w:r w:rsidR="00190923" w:rsidRPr="00981405">
        <w:t xml:space="preserve"> </w:t>
      </w:r>
      <w:r w:rsidR="00397032" w:rsidRPr="00981405">
        <w:t>treaty</w:t>
      </w:r>
      <w:r w:rsidR="00190923" w:rsidRPr="00981405">
        <w:t xml:space="preserve"> </w:t>
      </w:r>
      <w:r w:rsidR="00397032" w:rsidRPr="00981405">
        <w:t>obligations</w:t>
      </w:r>
      <w:r w:rsidR="00190923" w:rsidRPr="00981405">
        <w:t xml:space="preserve"> </w:t>
      </w:r>
      <w:r w:rsidR="00397032" w:rsidRPr="00981405">
        <w:t>by</w:t>
      </w:r>
      <w:r w:rsidR="00190923" w:rsidRPr="00981405">
        <w:t xml:space="preserve"> </w:t>
      </w:r>
      <w:r w:rsidR="00397032" w:rsidRPr="00981405">
        <w:t>which</w:t>
      </w:r>
      <w:r w:rsidR="00190923" w:rsidRPr="00981405">
        <w:t xml:space="preserve"> </w:t>
      </w:r>
      <w:r w:rsidR="00397032" w:rsidRPr="00981405">
        <w:t>they</w:t>
      </w:r>
      <w:r w:rsidR="00190923" w:rsidRPr="00981405">
        <w:t xml:space="preserve"> </w:t>
      </w:r>
      <w:r w:rsidR="00397032" w:rsidRPr="00981405">
        <w:t>are</w:t>
      </w:r>
      <w:r w:rsidR="00190923" w:rsidRPr="00981405">
        <w:t xml:space="preserve"> </w:t>
      </w:r>
      <w:r w:rsidR="00397032" w:rsidRPr="00981405">
        <w:t>bound.</w:t>
      </w:r>
      <w:r w:rsidRPr="00981405">
        <w:t>”</w:t>
      </w:r>
      <w:r w:rsidR="00397032" w:rsidRPr="00981405">
        <w:rPr>
          <w:rStyle w:val="FootnoteReference"/>
        </w:rPr>
        <w:footnoteReference w:id="364"/>
      </w:r>
    </w:p>
    <w:p w:rsidR="00397032" w:rsidRPr="00981405" w:rsidRDefault="00397032" w:rsidP="00D97463">
      <w:pPr>
        <w:pStyle w:val="SingleTxt"/>
      </w:pPr>
      <w:r w:rsidRPr="00981405">
        <w:t>(40)</w:t>
      </w:r>
      <w:r w:rsidRPr="00981405">
        <w:tab/>
        <w:t>Paragraph</w:t>
      </w:r>
      <w:r w:rsidR="00190923" w:rsidRPr="00981405">
        <w:t xml:space="preserve"> </w:t>
      </w:r>
      <w:r w:rsidRPr="00981405">
        <w:t>4</w:t>
      </w:r>
      <w:r w:rsidR="00190923" w:rsidRPr="00981405">
        <w:t xml:space="preserve"> </w:t>
      </w:r>
      <w:r w:rsidRPr="00981405">
        <w:t>implies,</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that</w:t>
      </w:r>
      <w:r w:rsidR="00190923" w:rsidRPr="00981405">
        <w:t xml:space="preserve"> </w:t>
      </w:r>
      <w:r w:rsidRPr="00981405">
        <w:t>more</w:t>
      </w:r>
      <w:r w:rsidR="00190923" w:rsidRPr="00981405">
        <w:t xml:space="preserve"> </w:t>
      </w:r>
      <w:r w:rsidRPr="00981405">
        <w:t>specific</w:t>
      </w:r>
      <w:r w:rsidR="00190923" w:rsidRPr="00981405">
        <w:t xml:space="preserve"> </w:t>
      </w:r>
      <w:r w:rsidR="00B92E2C" w:rsidRPr="00981405">
        <w:t>“</w:t>
      </w:r>
      <w:r w:rsidRPr="00981405">
        <w:t>relevant</w:t>
      </w:r>
      <w:r w:rsidR="00190923" w:rsidRPr="00981405">
        <w:t xml:space="preserve"> </w:t>
      </w:r>
      <w:r w:rsidRPr="00981405">
        <w:t>rules</w:t>
      </w:r>
      <w:r w:rsidR="00B92E2C" w:rsidRPr="00981405">
        <w:t>”</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which</w:t>
      </w:r>
      <w:r w:rsidR="00190923" w:rsidRPr="00981405">
        <w:t xml:space="preserve"> </w:t>
      </w:r>
      <w:r w:rsidRPr="00981405">
        <w:t>may</w:t>
      </w:r>
      <w:r w:rsidR="00190923" w:rsidRPr="00981405">
        <w:t xml:space="preserve"> </w:t>
      </w:r>
      <w:r w:rsidRPr="00981405">
        <w:t>be</w:t>
      </w:r>
      <w:r w:rsidR="00190923" w:rsidRPr="00981405">
        <w:t xml:space="preserve"> </w:t>
      </w:r>
      <w:r w:rsidRPr="00981405">
        <w:t>contained</w:t>
      </w:r>
      <w:r w:rsidR="00190923" w:rsidRPr="00981405">
        <w:t xml:space="preserve"> </w:t>
      </w:r>
      <w:r w:rsidRPr="00981405">
        <w:t>in</w:t>
      </w:r>
      <w:r w:rsidR="00190923" w:rsidRPr="00981405">
        <w:t xml:space="preserve"> </w:t>
      </w:r>
      <w:r w:rsidRPr="00981405">
        <w:t>a</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may</w:t>
      </w:r>
      <w:r w:rsidR="00190923" w:rsidRPr="00981405">
        <w:t xml:space="preserve"> </w:t>
      </w:r>
      <w:r w:rsidRPr="00981405">
        <w:t>take</w:t>
      </w:r>
      <w:r w:rsidR="00190923" w:rsidRPr="00981405">
        <w:t xml:space="preserve"> </w:t>
      </w:r>
      <w:r w:rsidRPr="00981405">
        <w:t>precedence</w:t>
      </w:r>
      <w:r w:rsidR="00190923" w:rsidRPr="00981405">
        <w:t xml:space="preserve"> </w:t>
      </w:r>
      <w:r w:rsidRPr="00981405">
        <w:t>over</w:t>
      </w:r>
      <w:r w:rsidR="00190923" w:rsidRPr="00981405">
        <w:t xml:space="preserve"> </w:t>
      </w:r>
      <w:r w:rsidRPr="00981405">
        <w:t>the</w:t>
      </w:r>
      <w:r w:rsidR="00190923" w:rsidRPr="00981405">
        <w:t xml:space="preserve"> </w:t>
      </w:r>
      <w:r w:rsidRPr="00981405">
        <w:t>general</w:t>
      </w:r>
      <w:r w:rsidR="00190923" w:rsidRPr="00981405">
        <w:t xml:space="preserve"> </w:t>
      </w:r>
      <w:r w:rsidRPr="00981405">
        <w:t>rules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under</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bookmarkStart w:id="123" w:name="_Ref415047371"/>
      <w:r w:rsidRPr="00981405">
        <w:rPr>
          <w:rStyle w:val="FootnoteReference"/>
        </w:rPr>
        <w:footnoteReference w:id="365"/>
      </w:r>
      <w:bookmarkEnd w:id="123"/>
      <w:r w:rsidR="00190923" w:rsidRPr="00981405">
        <w:t xml:space="preserve"> </w:t>
      </w:r>
      <w:r w:rsidRPr="00981405">
        <w:t>If,</w:t>
      </w:r>
      <w:r w:rsidR="00190923" w:rsidRPr="00981405">
        <w:t xml:space="preserve"> </w:t>
      </w:r>
      <w:r w:rsidRPr="00981405">
        <w:t>for</w:t>
      </w:r>
      <w:r w:rsidR="00190923" w:rsidRPr="00981405">
        <w:t xml:space="preserve"> </w:t>
      </w:r>
      <w:r w:rsidRPr="00981405">
        <w:t>example,</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contains</w:t>
      </w:r>
      <w:r w:rsidR="00190923" w:rsidRPr="00981405">
        <w:t xml:space="preserve"> </w:t>
      </w:r>
      <w:r w:rsidRPr="00981405">
        <w:t>a</w:t>
      </w:r>
      <w:r w:rsidR="00190923" w:rsidRPr="00981405">
        <w:t xml:space="preserve"> </w:t>
      </w:r>
      <w:r w:rsidRPr="00981405">
        <w:t>clause</w:t>
      </w:r>
      <w:r w:rsidR="00190923" w:rsidRPr="00981405">
        <w:t xml:space="preserve"> </w:t>
      </w:r>
      <w:r w:rsidRPr="00981405">
        <w:t>according</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instrument</w:t>
      </w:r>
      <w:r w:rsidR="00190923" w:rsidRPr="00981405">
        <w:t xml:space="preserve"> </w:t>
      </w:r>
      <w:r w:rsidRPr="00981405">
        <w:t>is</w:t>
      </w:r>
      <w:r w:rsidR="00190923" w:rsidRPr="00981405">
        <w:t xml:space="preserve"> </w:t>
      </w:r>
      <w:r w:rsidRPr="00981405">
        <w:t>subject</w:t>
      </w:r>
      <w:r w:rsidR="00190923" w:rsidRPr="00981405">
        <w:t xml:space="preserve"> </w:t>
      </w:r>
      <w:r w:rsidRPr="00981405">
        <w:t>to</w:t>
      </w:r>
      <w:r w:rsidR="00190923" w:rsidRPr="00981405">
        <w:t xml:space="preserve"> </w:t>
      </w:r>
      <w:r w:rsidRPr="00981405">
        <w:t>a</w:t>
      </w:r>
      <w:r w:rsidR="00190923" w:rsidRPr="00981405">
        <w:t xml:space="preserve"> </w:t>
      </w:r>
      <w:r w:rsidRPr="00981405">
        <w:t>special</w:t>
      </w:r>
      <w:r w:rsidR="00190923" w:rsidRPr="00981405">
        <w:t xml:space="preserve"> </w:t>
      </w:r>
      <w:r w:rsidRPr="00981405">
        <w:t>procedure,</w:t>
      </w:r>
      <w:r w:rsidR="00190923" w:rsidRPr="00981405">
        <w:t xml:space="preserve"> </w:t>
      </w:r>
      <w:r w:rsidRPr="00981405">
        <w:t>it</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presumed</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by</w:t>
      </w:r>
      <w:r w:rsidR="00190923" w:rsidRPr="00981405">
        <w:t xml:space="preserve"> </w:t>
      </w:r>
      <w:r w:rsidRPr="00981405">
        <w:t>reaching</w:t>
      </w:r>
      <w:r w:rsidR="00190923" w:rsidRPr="00981405">
        <w:t xml:space="preserve"> </w:t>
      </w:r>
      <w:r w:rsidRPr="00981405">
        <w:t>an</w:t>
      </w:r>
      <w:r w:rsidR="00190923" w:rsidRPr="00981405">
        <w:t xml:space="preserve"> </w:t>
      </w:r>
      <w:r w:rsidRPr="00981405">
        <w:t>agreement</w:t>
      </w:r>
      <w:r w:rsidR="00190923" w:rsidRPr="00981405">
        <w:t xml:space="preserve"> </w:t>
      </w:r>
      <w:r w:rsidRPr="00981405">
        <w:t>after</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do</w:t>
      </w:r>
      <w:r w:rsidR="00190923" w:rsidRPr="00981405">
        <w:t xml:space="preserve"> </w:t>
      </w:r>
      <w:r w:rsidRPr="00981405">
        <w:t>not</w:t>
      </w:r>
      <w:r w:rsidR="00190923" w:rsidRPr="00981405">
        <w:t xml:space="preserve"> </w:t>
      </w:r>
      <w:r w:rsidRPr="00981405">
        <w:t>wish</w:t>
      </w:r>
      <w:r w:rsidR="00190923" w:rsidRPr="00981405">
        <w:t xml:space="preserve"> </w:t>
      </w:r>
      <w:r w:rsidRPr="00981405">
        <w:t>to</w:t>
      </w:r>
      <w:r w:rsidR="00190923" w:rsidRPr="00981405">
        <w:t xml:space="preserve"> </w:t>
      </w:r>
      <w:r w:rsidRPr="00981405">
        <w:t>circumvent</w:t>
      </w:r>
      <w:r w:rsidR="00190923" w:rsidRPr="00981405">
        <w:t xml:space="preserve"> </w:t>
      </w:r>
      <w:r w:rsidRPr="00981405">
        <w:t>such</w:t>
      </w:r>
      <w:r w:rsidR="00190923" w:rsidRPr="00981405">
        <w:t xml:space="preserve"> </w:t>
      </w:r>
      <w:r w:rsidRPr="00981405">
        <w:t>a</w:t>
      </w:r>
      <w:r w:rsidR="00190923" w:rsidRPr="00981405">
        <w:t xml:space="preserve"> </w:t>
      </w:r>
      <w:r w:rsidRPr="00981405">
        <w:t>procedure</w:t>
      </w:r>
      <w:r w:rsidR="00190923" w:rsidRPr="00981405">
        <w:t xml:space="preserve"> </w:t>
      </w:r>
      <w:r w:rsidRPr="00981405">
        <w:t>by</w:t>
      </w:r>
      <w:r w:rsidR="00190923" w:rsidRPr="00981405">
        <w:t xml:space="preserve"> </w:t>
      </w:r>
      <w:r w:rsidRPr="00981405">
        <w:t>reaching</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The</w:t>
      </w:r>
      <w:r w:rsidR="00190923" w:rsidRPr="00981405">
        <w:t xml:space="preserve"> </w:t>
      </w:r>
      <w:r w:rsidRPr="00981405">
        <w:t>special</w:t>
      </w:r>
      <w:r w:rsidR="00190923" w:rsidRPr="00981405">
        <w:t xml:space="preserve"> </w:t>
      </w:r>
      <w:r w:rsidRPr="00981405">
        <w:t>procedure</w:t>
      </w:r>
      <w:r w:rsidR="00190923" w:rsidRPr="00981405">
        <w:t xml:space="preserve"> </w:t>
      </w:r>
      <w:r w:rsidRPr="00981405">
        <w:t>under</w:t>
      </w:r>
      <w:r w:rsidR="00190923" w:rsidRPr="00981405">
        <w:t xml:space="preserve"> </w:t>
      </w:r>
      <w:r w:rsidRPr="00981405">
        <w:t>the</w:t>
      </w:r>
      <w:r w:rsidR="00190923" w:rsidRPr="00981405">
        <w:t xml:space="preserve"> </w:t>
      </w:r>
      <w:r w:rsidRPr="00981405">
        <w:t>treaty</w:t>
      </w:r>
      <w:r w:rsidR="00190923" w:rsidRPr="00981405">
        <w:t xml:space="preserve"> </w:t>
      </w:r>
      <w:r w:rsidRPr="00981405">
        <w:t>and</w:t>
      </w:r>
      <w:r w:rsidR="00190923" w:rsidRPr="00981405">
        <w:t xml:space="preserve"> </w:t>
      </w:r>
      <w:r w:rsidRPr="00981405">
        <w:t>a</w:t>
      </w:r>
      <w:r w:rsidR="00190923" w:rsidRPr="00981405">
        <w:t xml:space="preserve"> </w:t>
      </w:r>
      <w:r w:rsidRPr="00981405">
        <w:t>subsequent</w:t>
      </w:r>
      <w:r w:rsidR="00190923" w:rsidRPr="00981405">
        <w:t xml:space="preserve"> </w:t>
      </w:r>
      <w:r w:rsidRPr="00981405">
        <w:t>agreement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w:t>
      </w:r>
      <w:r w:rsidR="00190923" w:rsidRPr="00981405">
        <w:t xml:space="preserve"> </w:t>
      </w:r>
      <w:r w:rsidRPr="00981405">
        <w:t>(3)</w:t>
      </w:r>
      <w:r w:rsidR="00190923" w:rsidRPr="00981405">
        <w:t xml:space="preserve"> </w:t>
      </w:r>
      <w:r w:rsidRPr="00981405">
        <w:t>(a)</w:t>
      </w:r>
      <w:r w:rsidR="00190923" w:rsidRPr="00981405">
        <w:t xml:space="preserve"> </w:t>
      </w:r>
      <w:r w:rsidRPr="00981405">
        <w:t>may,</w:t>
      </w:r>
      <w:r w:rsidR="00190923" w:rsidRPr="00981405">
        <w:t xml:space="preserve"> </w:t>
      </w:r>
      <w:r w:rsidRPr="00981405">
        <w:t>however,</w:t>
      </w:r>
      <w:r w:rsidR="00190923" w:rsidRPr="00981405">
        <w:t xml:space="preserve"> </w:t>
      </w:r>
      <w:r w:rsidRPr="00981405">
        <w:t>be</w:t>
      </w:r>
      <w:r w:rsidR="00190923" w:rsidRPr="00981405">
        <w:t xml:space="preserve"> </w:t>
      </w:r>
      <w:r w:rsidRPr="00981405">
        <w:t>compatible</w:t>
      </w:r>
      <w:r w:rsidR="00190923" w:rsidRPr="00981405">
        <w:t xml:space="preserve"> </w:t>
      </w:r>
      <w:r w:rsidRPr="00981405">
        <w:t>if</w:t>
      </w:r>
      <w:r w:rsidR="00190923" w:rsidRPr="00981405">
        <w:t xml:space="preserve"> </w:t>
      </w:r>
      <w:r w:rsidRPr="00981405">
        <w:t>they</w:t>
      </w:r>
      <w:r w:rsidR="00190923" w:rsidRPr="00981405">
        <w:t xml:space="preserve"> </w:t>
      </w:r>
      <w:r w:rsidR="00B92E2C" w:rsidRPr="00981405">
        <w:t>“</w:t>
      </w:r>
      <w:r w:rsidRPr="00981405">
        <w:t>serve</w:t>
      </w:r>
      <w:r w:rsidR="00190923" w:rsidRPr="00981405">
        <w:t xml:space="preserve"> </w:t>
      </w:r>
      <w:r w:rsidRPr="00981405">
        <w:t>different</w:t>
      </w:r>
      <w:r w:rsidR="00190923" w:rsidRPr="00981405">
        <w:t xml:space="preserve"> </w:t>
      </w:r>
      <w:r w:rsidRPr="00981405">
        <w:t>functions</w:t>
      </w:r>
      <w:r w:rsidR="00190923" w:rsidRPr="00981405">
        <w:t xml:space="preserve"> </w:t>
      </w:r>
      <w:r w:rsidRPr="00981405">
        <w:t>and</w:t>
      </w:r>
      <w:r w:rsidR="00190923" w:rsidRPr="00981405">
        <w:t xml:space="preserve"> </w:t>
      </w:r>
      <w:r w:rsidRPr="00981405">
        <w:t>have</w:t>
      </w:r>
      <w:r w:rsidR="00190923" w:rsidRPr="00981405">
        <w:t xml:space="preserve"> </w:t>
      </w:r>
      <w:r w:rsidRPr="00981405">
        <w:t>different</w:t>
      </w:r>
      <w:r w:rsidR="00190923" w:rsidRPr="00981405">
        <w:t xml:space="preserve"> </w:t>
      </w:r>
      <w:r w:rsidRPr="00981405">
        <w:t>legal</w:t>
      </w:r>
      <w:r w:rsidR="00190923" w:rsidRPr="00981405">
        <w:t xml:space="preserve"> </w:t>
      </w:r>
      <w:r w:rsidRPr="00981405">
        <w:t>effects</w:t>
      </w:r>
      <w:r w:rsidR="00B92E2C" w:rsidRPr="00981405">
        <w:t>”</w:t>
      </w:r>
      <w:r w:rsidRPr="00981405">
        <w:t>.</w:t>
      </w:r>
      <w:r w:rsidRPr="00981405">
        <w:rPr>
          <w:rStyle w:val="FootnoteReference"/>
        </w:rPr>
        <w:footnoteReference w:id="366"/>
      </w:r>
      <w:r w:rsidR="00190923" w:rsidRPr="00981405">
        <w:t xml:space="preserve"> </w:t>
      </w:r>
      <w:r w:rsidRPr="00981405">
        <w:t>Few</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contain</w:t>
      </w:r>
      <w:r w:rsidR="00190923" w:rsidRPr="00981405">
        <w:t xml:space="preserve"> </w:t>
      </w:r>
      <w:r w:rsidRPr="00981405">
        <w:t>explicit</w:t>
      </w:r>
      <w:r w:rsidR="00190923" w:rsidRPr="00981405">
        <w:t xml:space="preserve"> </w:t>
      </w:r>
      <w:r w:rsidRPr="00981405">
        <w:t>procedural</w:t>
      </w:r>
      <w:r w:rsidR="00190923" w:rsidRPr="00981405">
        <w:t xml:space="preserve"> </w:t>
      </w:r>
      <w:r w:rsidRPr="00981405">
        <w:t>or</w:t>
      </w:r>
      <w:r w:rsidR="00190923" w:rsidRPr="00981405">
        <w:t xml:space="preserve"> </w:t>
      </w:r>
      <w:r w:rsidRPr="00981405">
        <w:t>substantive</w:t>
      </w:r>
      <w:r w:rsidR="00190923" w:rsidRPr="00981405">
        <w:t xml:space="preserve"> </w:t>
      </w:r>
      <w:r w:rsidRPr="00981405">
        <w:t>rules</w:t>
      </w:r>
      <w:r w:rsidR="00190923" w:rsidRPr="00981405">
        <w:t xml:space="preserve"> </w:t>
      </w:r>
      <w:r w:rsidRPr="00981405">
        <w:t>regarding</w:t>
      </w:r>
      <w:r w:rsidR="00190923" w:rsidRPr="00981405">
        <w:t xml:space="preserve"> </w:t>
      </w:r>
      <w:r w:rsidRPr="00981405">
        <w:t>their</w:t>
      </w:r>
      <w:r w:rsidR="00190923" w:rsidRPr="00981405">
        <w:t xml:space="preserve"> </w:t>
      </w:r>
      <w:r w:rsidRPr="00981405">
        <w:t>interpretation.</w:t>
      </w:r>
      <w:r w:rsidRPr="00981405">
        <w:rPr>
          <w:rStyle w:val="FootnoteReference"/>
        </w:rPr>
        <w:footnoteReference w:id="367"/>
      </w:r>
      <w:r w:rsidR="00190923" w:rsidRPr="00981405">
        <w:t xml:space="preserve"> </w:t>
      </w:r>
      <w:r w:rsidRPr="00981405">
        <w:t>Specific</w:t>
      </w:r>
      <w:r w:rsidR="00190923" w:rsidRPr="00981405">
        <w:t xml:space="preserve"> </w:t>
      </w:r>
      <w:r w:rsidR="00B92E2C" w:rsidRPr="00981405">
        <w:t>“</w:t>
      </w:r>
      <w:r w:rsidRPr="00981405">
        <w:t>relevant</w:t>
      </w:r>
      <w:r w:rsidR="00190923" w:rsidRPr="00981405">
        <w:t xml:space="preserve"> </w:t>
      </w:r>
      <w:r w:rsidRPr="00981405">
        <w:t>rules</w:t>
      </w:r>
      <w:r w:rsidR="00B92E2C" w:rsidRPr="00981405">
        <w:t>”</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need</w:t>
      </w:r>
      <w:r w:rsidR="00190923" w:rsidRPr="00981405">
        <w:t xml:space="preserve"> </w:t>
      </w:r>
      <w:r w:rsidRPr="00981405">
        <w:t>not</w:t>
      </w:r>
      <w:r w:rsidR="00190923" w:rsidRPr="00981405">
        <w:t xml:space="preserve"> </w:t>
      </w:r>
      <w:r w:rsidRPr="00981405">
        <w:t>be</w:t>
      </w:r>
      <w:r w:rsidR="00190923" w:rsidRPr="00981405">
        <w:t xml:space="preserve"> </w:t>
      </w:r>
      <w:r w:rsidRPr="00981405">
        <w:t>formulated</w:t>
      </w:r>
      <w:r w:rsidR="00190923" w:rsidRPr="00981405">
        <w:t xml:space="preserve"> </w:t>
      </w:r>
      <w:r w:rsidRPr="00981405">
        <w:t>explicitly</w:t>
      </w:r>
      <w:r w:rsidR="00190923" w:rsidRPr="00981405">
        <w:t xml:space="preserve"> </w:t>
      </w:r>
      <w:r w:rsidRPr="00981405">
        <w:t>in</w:t>
      </w:r>
      <w:r w:rsidR="00190923" w:rsidRPr="00981405">
        <w:t xml:space="preserve"> </w:t>
      </w:r>
      <w:r w:rsidRPr="00981405">
        <w:t>the</w:t>
      </w:r>
      <w:r w:rsidR="00190923" w:rsidRPr="00981405">
        <w:t xml:space="preserve"> </w:t>
      </w:r>
      <w:r w:rsidRPr="00981405">
        <w:t>constituent</w:t>
      </w:r>
      <w:r w:rsidR="00190923" w:rsidRPr="00981405">
        <w:t xml:space="preserve"> </w:t>
      </w:r>
      <w:r w:rsidRPr="00981405">
        <w:t>instrument;</w:t>
      </w:r>
      <w:r w:rsidR="00190923" w:rsidRPr="00981405">
        <w:t xml:space="preserve"> </w:t>
      </w:r>
      <w:r w:rsidRPr="00981405">
        <w:t>they</w:t>
      </w:r>
      <w:r w:rsidR="00190923" w:rsidRPr="00981405">
        <w:t xml:space="preserve"> </w:t>
      </w:r>
      <w:r w:rsidRPr="00981405">
        <w:t>may</w:t>
      </w:r>
      <w:r w:rsidR="00190923" w:rsidRPr="00981405">
        <w:t xml:space="preserve"> </w:t>
      </w:r>
      <w:r w:rsidRPr="00981405">
        <w:t>also</w:t>
      </w:r>
      <w:r w:rsidR="00190923" w:rsidRPr="00981405">
        <w:t xml:space="preserve"> </w:t>
      </w:r>
      <w:r w:rsidRPr="00981405">
        <w:t>be</w:t>
      </w:r>
      <w:r w:rsidR="00190923" w:rsidRPr="00981405">
        <w:t xml:space="preserve"> </w:t>
      </w:r>
      <w:r w:rsidRPr="00981405">
        <w:t>implied</w:t>
      </w:r>
      <w:r w:rsidR="00190923" w:rsidRPr="00981405">
        <w:t xml:space="preserve"> </w:t>
      </w:r>
      <w:r w:rsidRPr="00981405">
        <w:t>therein,</w:t>
      </w:r>
      <w:r w:rsidR="00190923" w:rsidRPr="00981405">
        <w:t xml:space="preserve"> </w:t>
      </w:r>
      <w:r w:rsidRPr="00981405">
        <w:t>or</w:t>
      </w:r>
      <w:r w:rsidR="00190923" w:rsidRPr="00981405">
        <w:t xml:space="preserve"> </w:t>
      </w:r>
      <w:r w:rsidRPr="00981405">
        <w:t>derive</w:t>
      </w:r>
      <w:r w:rsidR="00190923" w:rsidRPr="00981405">
        <w:t xml:space="preserve"> </w:t>
      </w:r>
      <w:r w:rsidRPr="00981405">
        <w:t>from</w:t>
      </w:r>
      <w:r w:rsidR="00190923" w:rsidRPr="00981405">
        <w:t xml:space="preserve"> </w:t>
      </w:r>
      <w:r w:rsidRPr="00981405">
        <w:t>the</w:t>
      </w:r>
      <w:r w:rsidR="00190923" w:rsidRPr="00981405">
        <w:t xml:space="preserve"> </w:t>
      </w:r>
      <w:r w:rsidR="00B92E2C" w:rsidRPr="00981405">
        <w:t>“</w:t>
      </w:r>
      <w:r w:rsidRPr="00981405">
        <w:t>established</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Pr="00981405">
        <w:t>.</w:t>
      </w:r>
      <w:bookmarkStart w:id="124" w:name="_Ref415779726"/>
      <w:r w:rsidRPr="00981405">
        <w:rPr>
          <w:rStyle w:val="FootnoteReference"/>
        </w:rPr>
        <w:footnoteReference w:id="368"/>
      </w:r>
      <w:bookmarkEnd w:id="124"/>
      <w:r w:rsidR="00190923" w:rsidRPr="00981405">
        <w:t xml:space="preserve"> </w:t>
      </w:r>
      <w:r w:rsidRPr="00981405">
        <w:t>The</w:t>
      </w:r>
      <w:r w:rsidR="00190923" w:rsidRPr="00981405">
        <w:t xml:space="preserve"> </w:t>
      </w:r>
      <w:r w:rsidR="00B92E2C" w:rsidRPr="00981405">
        <w:t>“</w:t>
      </w:r>
      <w:r w:rsidRPr="00981405">
        <w:t>established</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lastRenderedPageBreak/>
        <w:t>organisation</w:t>
      </w:r>
      <w:r w:rsidR="00B92E2C" w:rsidRPr="00981405">
        <w:t>”</w:t>
      </w:r>
      <w:r w:rsidR="00190923" w:rsidRPr="00981405">
        <w:t xml:space="preserve"> </w:t>
      </w:r>
      <w:r w:rsidRPr="00981405">
        <w:t>is</w:t>
      </w:r>
      <w:r w:rsidR="00190923" w:rsidRPr="00981405">
        <w:t xml:space="preserve"> </w:t>
      </w:r>
      <w:r w:rsidRPr="00981405">
        <w:t>a</w:t>
      </w:r>
      <w:r w:rsidR="00190923" w:rsidRPr="00981405">
        <w:t xml:space="preserve"> </w:t>
      </w:r>
      <w:r w:rsidRPr="00981405">
        <w:t>term</w:t>
      </w:r>
      <w:r w:rsidR="00190923" w:rsidRPr="00981405">
        <w:t xml:space="preserve"> </w:t>
      </w:r>
      <w:r w:rsidRPr="00981405">
        <w:t>which</w:t>
      </w:r>
      <w:r w:rsidR="00190923" w:rsidRPr="00981405">
        <w:t xml:space="preserve"> </w:t>
      </w:r>
      <w:r w:rsidRPr="00981405">
        <w:t>is</w:t>
      </w:r>
      <w:r w:rsidR="00190923" w:rsidRPr="00981405">
        <w:t xml:space="preserve"> </w:t>
      </w:r>
      <w:r w:rsidRPr="00981405">
        <w:t>narrower</w:t>
      </w:r>
      <w:r w:rsidR="00190923" w:rsidRPr="00981405">
        <w:t xml:space="preserve"> </w:t>
      </w:r>
      <w:r w:rsidRPr="00981405">
        <w:t>in</w:t>
      </w:r>
      <w:r w:rsidR="00190923" w:rsidRPr="00981405">
        <w:t xml:space="preserve"> </w:t>
      </w:r>
      <w:r w:rsidRPr="00981405">
        <w:t>scope</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organisation</w:t>
      </w:r>
      <w:r w:rsidR="00B92E2C" w:rsidRPr="00981405">
        <w:t>”</w:t>
      </w:r>
      <w:r w:rsidR="00190923" w:rsidRPr="00981405">
        <w:t xml:space="preserve"> </w:t>
      </w:r>
      <w:r w:rsidRPr="00981405">
        <w:t>as</w:t>
      </w:r>
      <w:r w:rsidR="00190923" w:rsidRPr="00981405">
        <w:t xml:space="preserve"> </w:t>
      </w:r>
      <w:r w:rsidRPr="00981405">
        <w:t>such.</w:t>
      </w:r>
    </w:p>
    <w:p w:rsidR="00397032" w:rsidRPr="00981405" w:rsidRDefault="00397032" w:rsidP="00D97463">
      <w:pPr>
        <w:pStyle w:val="SingleTxt"/>
      </w:pPr>
      <w:r w:rsidRPr="00981405">
        <w:t>(41)</w:t>
      </w:r>
      <w:r w:rsidRPr="00981405">
        <w:tab/>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noted</w:t>
      </w:r>
      <w:r w:rsidR="00190923" w:rsidRPr="00981405">
        <w:t xml:space="preserve"> </w:t>
      </w:r>
      <w:r w:rsidRPr="00981405">
        <w:t>in</w:t>
      </w:r>
      <w:r w:rsidR="00190923" w:rsidRPr="00981405">
        <w:t xml:space="preserve"> </w:t>
      </w:r>
      <w:r w:rsidRPr="00981405">
        <w:t>its</w:t>
      </w:r>
      <w:r w:rsidR="00190923" w:rsidRPr="00981405">
        <w:t xml:space="preserve"> </w:t>
      </w:r>
      <w:r w:rsidRPr="00981405">
        <w:t>commentary</w:t>
      </w:r>
      <w:r w:rsidR="00190923" w:rsidRPr="00981405">
        <w:t xml:space="preserve"> </w:t>
      </w:r>
      <w:r w:rsidRPr="00981405">
        <w:t>to</w:t>
      </w:r>
      <w:r w:rsidR="00190923" w:rsidRPr="00981405">
        <w:t xml:space="preserve"> </w:t>
      </w:r>
      <w:r w:rsidRPr="00981405">
        <w:t>article</w:t>
      </w:r>
      <w:r w:rsidR="00190923" w:rsidRPr="00981405">
        <w:t xml:space="preserve"> </w:t>
      </w:r>
      <w:r w:rsidRPr="00981405">
        <w:t>2</w:t>
      </w:r>
      <w:r w:rsidR="00190923" w:rsidRPr="00981405">
        <w:t xml:space="preserve"> </w:t>
      </w:r>
      <w:r w:rsidRPr="00981405">
        <w:t>(j)</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between</w:t>
      </w:r>
      <w:r w:rsidR="00190923" w:rsidRPr="00981405">
        <w:t xml:space="preserve"> </w:t>
      </w:r>
      <w:r w:rsidRPr="00981405">
        <w:t>States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between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that</w:t>
      </w:r>
      <w:r w:rsidR="00190923" w:rsidRPr="00981405">
        <w:t xml:space="preserve"> </w:t>
      </w:r>
      <w:r w:rsidRPr="00981405">
        <w:t>the</w:t>
      </w:r>
      <w:r w:rsidR="00190923" w:rsidRPr="00981405">
        <w:t xml:space="preserve"> </w:t>
      </w:r>
      <w:r w:rsidRPr="00981405">
        <w:t>significance</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practice</w:t>
      </w:r>
      <w:r w:rsidR="00190923" w:rsidRPr="00981405">
        <w:t xml:space="preserve"> </w:t>
      </w:r>
      <w:r w:rsidRPr="00981405">
        <w:t>of</w:t>
      </w:r>
      <w:r w:rsidR="00190923" w:rsidRPr="00981405">
        <w:t xml:space="preserve"> </w:t>
      </w:r>
      <w:r w:rsidRPr="00981405">
        <w:t>an</w:t>
      </w:r>
      <w:r w:rsidR="00190923" w:rsidRPr="00981405">
        <w:t xml:space="preserve"> </w:t>
      </w:r>
      <w:r w:rsidRPr="00981405">
        <w:t>organization</w:t>
      </w:r>
      <w:r w:rsidR="00190923" w:rsidRPr="00981405">
        <w:t xml:space="preserve"> </w:t>
      </w:r>
      <w:r w:rsidRPr="00981405">
        <w:t>may</w:t>
      </w:r>
      <w:r w:rsidR="00190923" w:rsidRPr="00981405">
        <w:t xml:space="preserve"> </w:t>
      </w:r>
      <w:r w:rsidRPr="00981405">
        <w:t>depend</w:t>
      </w:r>
      <w:r w:rsidR="00190923" w:rsidRPr="00981405">
        <w:t xml:space="preserve"> </w:t>
      </w:r>
      <w:r w:rsidRPr="00981405">
        <w:t>on</w:t>
      </w:r>
      <w:r w:rsidR="00190923" w:rsidRPr="00981405">
        <w:t xml:space="preserve"> </w:t>
      </w:r>
      <w:r w:rsidRPr="00981405">
        <w:t>the</w:t>
      </w:r>
      <w:r w:rsidR="00190923" w:rsidRPr="00981405">
        <w:t xml:space="preserve"> </w:t>
      </w:r>
      <w:r w:rsidRPr="00981405">
        <w:t>specific</w:t>
      </w:r>
      <w:r w:rsidR="00190923" w:rsidRPr="00981405">
        <w:t xml:space="preserve"> </w:t>
      </w:r>
      <w:r w:rsidRPr="00981405">
        <w:t>rules</w:t>
      </w:r>
      <w:r w:rsidR="00190923" w:rsidRPr="00981405">
        <w:t xml:space="preserve"> </w:t>
      </w:r>
      <w:r w:rsidRPr="00981405">
        <w:t>and</w:t>
      </w:r>
      <w:r w:rsidR="00190923" w:rsidRPr="00981405">
        <w:t xml:space="preserve"> </w:t>
      </w:r>
      <w:r w:rsidRPr="00981405">
        <w:t>characteristics</w:t>
      </w:r>
      <w:r w:rsidR="00190923" w:rsidRPr="00981405">
        <w:t xml:space="preserve"> </w:t>
      </w:r>
      <w:r w:rsidRPr="00981405">
        <w:t>of</w:t>
      </w:r>
      <w:r w:rsidR="00190923" w:rsidRPr="00981405">
        <w:t xml:space="preserve"> </w:t>
      </w:r>
      <w:r w:rsidRPr="00981405">
        <w:t>the</w:t>
      </w:r>
      <w:r w:rsidR="00190923" w:rsidRPr="00981405">
        <w:t xml:space="preserve"> </w:t>
      </w:r>
      <w:r w:rsidRPr="00981405">
        <w:t>respective</w:t>
      </w:r>
      <w:r w:rsidR="00190923" w:rsidRPr="00981405">
        <w:t xml:space="preserve"> </w:t>
      </w:r>
      <w:r w:rsidRPr="00981405">
        <w:t>organization,</w:t>
      </w:r>
      <w:r w:rsidR="00190923" w:rsidRPr="00981405">
        <w:t xml:space="preserve"> </w:t>
      </w:r>
      <w:r w:rsidRPr="00981405">
        <w:t>as</w:t>
      </w:r>
      <w:r w:rsidR="00190923" w:rsidRPr="00981405">
        <w:t xml:space="preserve"> </w:t>
      </w:r>
      <w:r w:rsidRPr="00981405">
        <w:t>expressed</w:t>
      </w:r>
      <w:r w:rsidR="00190923" w:rsidRPr="00981405">
        <w:t xml:space="preserve"> </w:t>
      </w:r>
      <w:r w:rsidRPr="00981405">
        <w:t>in</w:t>
      </w:r>
      <w:r w:rsidR="00190923" w:rsidRPr="00981405">
        <w:t xml:space="preserve"> </w:t>
      </w:r>
      <w:r w:rsidRPr="00981405">
        <w:t>its</w:t>
      </w:r>
      <w:r w:rsidR="00190923" w:rsidRPr="00981405">
        <w:t xml:space="preserve"> </w:t>
      </w:r>
      <w:r w:rsidRPr="00981405">
        <w:t>constituent</w:t>
      </w:r>
      <w:r w:rsidR="00190923" w:rsidRPr="00981405">
        <w:t xml:space="preserve"> </w:t>
      </w:r>
      <w:r w:rsidRPr="00981405">
        <w:t>instrument:</w:t>
      </w:r>
    </w:p>
    <w:p w:rsidR="00397032" w:rsidRPr="00981405" w:rsidRDefault="00B92E2C" w:rsidP="00D97463">
      <w:pPr>
        <w:pStyle w:val="SingleTxt"/>
        <w:ind w:left="1742"/>
      </w:pPr>
      <w:r w:rsidRPr="00981405">
        <w:t>“</w:t>
      </w:r>
      <w:r w:rsidR="00397032" w:rsidRPr="00981405">
        <w:t>It</w:t>
      </w:r>
      <w:r w:rsidR="00190923" w:rsidRPr="00981405">
        <w:t xml:space="preserve"> </w:t>
      </w:r>
      <w:r w:rsidR="00397032" w:rsidRPr="00981405">
        <w:t>is</w:t>
      </w:r>
      <w:r w:rsidR="00190923" w:rsidRPr="00981405">
        <w:t xml:space="preserve"> </w:t>
      </w:r>
      <w:r w:rsidR="00397032" w:rsidRPr="00981405">
        <w:t>true</w:t>
      </w:r>
      <w:r w:rsidR="00190923" w:rsidRPr="00981405">
        <w:t xml:space="preserve"> </w:t>
      </w:r>
      <w:r w:rsidR="00397032" w:rsidRPr="00981405">
        <w:t>that</w:t>
      </w:r>
      <w:r w:rsidR="00190923" w:rsidRPr="00981405">
        <w:t xml:space="preserve"> </w:t>
      </w:r>
      <w:r w:rsidR="00397032" w:rsidRPr="00981405">
        <w:t>most</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have,</w:t>
      </w:r>
      <w:r w:rsidR="00190923" w:rsidRPr="00981405">
        <w:t xml:space="preserve"> </w:t>
      </w:r>
      <w:r w:rsidR="00397032" w:rsidRPr="00981405">
        <w:t>after</w:t>
      </w:r>
      <w:r w:rsidR="00190923" w:rsidRPr="00981405">
        <w:t xml:space="preserve"> </w:t>
      </w:r>
      <w:r w:rsidR="00397032" w:rsidRPr="00981405">
        <w:t>a</w:t>
      </w:r>
      <w:r w:rsidR="00190923" w:rsidRPr="00981405">
        <w:t xml:space="preserve"> </w:t>
      </w:r>
      <w:r w:rsidR="00397032" w:rsidRPr="00981405">
        <w:t>number</w:t>
      </w:r>
      <w:r w:rsidR="00190923" w:rsidRPr="00981405">
        <w:t xml:space="preserve"> </w:t>
      </w:r>
      <w:r w:rsidR="00397032" w:rsidRPr="00981405">
        <w:t>of</w:t>
      </w:r>
      <w:r w:rsidR="00190923" w:rsidRPr="00981405">
        <w:t xml:space="preserve"> </w:t>
      </w:r>
      <w:r w:rsidR="00397032" w:rsidRPr="00981405">
        <w:t>years,</w:t>
      </w:r>
      <w:r w:rsidR="00190923" w:rsidRPr="00981405">
        <w:t xml:space="preserve"> </w:t>
      </w:r>
      <w:r w:rsidR="00397032" w:rsidRPr="00981405">
        <w:t>a</w:t>
      </w:r>
      <w:r w:rsidR="00190923" w:rsidRPr="00981405">
        <w:t xml:space="preserve"> </w:t>
      </w:r>
      <w:r w:rsidR="00397032" w:rsidRPr="00981405">
        <w:t>body</w:t>
      </w:r>
      <w:r w:rsidR="00190923" w:rsidRPr="00981405">
        <w:t xml:space="preserve"> </w:t>
      </w:r>
      <w:r w:rsidR="00397032" w:rsidRPr="00981405">
        <w:t>of</w:t>
      </w:r>
      <w:r w:rsidR="00190923" w:rsidRPr="00981405">
        <w:t xml:space="preserve"> </w:t>
      </w:r>
      <w:r w:rsidR="00397032" w:rsidRPr="00981405">
        <w:t>practice</w:t>
      </w:r>
      <w:r w:rsidR="00190923" w:rsidRPr="00981405">
        <w:t xml:space="preserve"> </w:t>
      </w:r>
      <w:r w:rsidR="00397032" w:rsidRPr="00981405">
        <w:t>which</w:t>
      </w:r>
      <w:r w:rsidR="00190923" w:rsidRPr="00981405">
        <w:t xml:space="preserve"> </w:t>
      </w:r>
      <w:r w:rsidR="00397032" w:rsidRPr="00981405">
        <w:t>forms</w:t>
      </w:r>
      <w:r w:rsidR="00190923" w:rsidRPr="00981405">
        <w:t xml:space="preserve"> </w:t>
      </w:r>
      <w:r w:rsidR="00397032" w:rsidRPr="00981405">
        <w:t>an</w:t>
      </w:r>
      <w:r w:rsidR="00190923" w:rsidRPr="00981405">
        <w:t xml:space="preserve"> </w:t>
      </w:r>
      <w:r w:rsidR="00397032" w:rsidRPr="00981405">
        <w:t>integral</w:t>
      </w:r>
      <w:r w:rsidR="00190923" w:rsidRPr="00981405">
        <w:t xml:space="preserve"> </w:t>
      </w:r>
      <w:r w:rsidR="00397032" w:rsidRPr="00981405">
        <w:t>part</w:t>
      </w:r>
      <w:r w:rsidR="00190923" w:rsidRPr="00981405">
        <w:t xml:space="preserve"> </w:t>
      </w:r>
      <w:r w:rsidR="00397032" w:rsidRPr="00981405">
        <w:t>of</w:t>
      </w:r>
      <w:r w:rsidR="00190923" w:rsidRPr="00981405">
        <w:t xml:space="preserve"> </w:t>
      </w:r>
      <w:r w:rsidR="00397032" w:rsidRPr="00981405">
        <w:t>their</w:t>
      </w:r>
      <w:r w:rsidR="00190923" w:rsidRPr="00981405">
        <w:t xml:space="preserve"> </w:t>
      </w:r>
      <w:r w:rsidR="00397032" w:rsidRPr="00981405">
        <w:t>rules.</w:t>
      </w:r>
      <w:r w:rsidR="00190923" w:rsidRPr="00981405">
        <w:t xml:space="preserve"> </w:t>
      </w:r>
      <w:r w:rsidR="00397032" w:rsidRPr="00981405">
        <w:t>However,</w:t>
      </w:r>
      <w:r w:rsidR="00190923" w:rsidRPr="00981405">
        <w:t xml:space="preserve"> </w:t>
      </w:r>
      <w:r w:rsidR="00397032" w:rsidRPr="00981405">
        <w:t>the</w:t>
      </w:r>
      <w:r w:rsidR="00190923" w:rsidRPr="00981405">
        <w:t xml:space="preserve"> </w:t>
      </w:r>
      <w:r w:rsidR="00397032" w:rsidRPr="00981405">
        <w:t>reference</w:t>
      </w:r>
      <w:r w:rsidR="00190923" w:rsidRPr="00981405">
        <w:t xml:space="preserve"> </w:t>
      </w:r>
      <w:r w:rsidR="00397032" w:rsidRPr="00981405">
        <w:t>in</w:t>
      </w:r>
      <w:r w:rsidR="00190923" w:rsidRPr="00981405">
        <w:t xml:space="preserve"> </w:t>
      </w:r>
      <w:r w:rsidR="00397032" w:rsidRPr="00981405">
        <w:t>question</w:t>
      </w:r>
      <w:r w:rsidR="00190923" w:rsidRPr="00981405">
        <w:t xml:space="preserve"> </w:t>
      </w:r>
      <w:r w:rsidR="00397032" w:rsidRPr="00981405">
        <w:t>is</w:t>
      </w:r>
      <w:r w:rsidR="00190923" w:rsidRPr="00981405">
        <w:t xml:space="preserve"> </w:t>
      </w:r>
      <w:r w:rsidR="00397032" w:rsidRPr="00981405">
        <w:t>in</w:t>
      </w:r>
      <w:r w:rsidR="00190923" w:rsidRPr="00981405">
        <w:t xml:space="preserve"> </w:t>
      </w:r>
      <w:r w:rsidR="00397032" w:rsidRPr="00981405">
        <w:t>no</w:t>
      </w:r>
      <w:r w:rsidR="00190923" w:rsidRPr="00981405">
        <w:t xml:space="preserve"> </w:t>
      </w:r>
      <w:r w:rsidR="00397032" w:rsidRPr="00981405">
        <w:t>way</w:t>
      </w:r>
      <w:r w:rsidR="00190923" w:rsidRPr="00981405">
        <w:t xml:space="preserve"> </w:t>
      </w:r>
      <w:r w:rsidR="00397032" w:rsidRPr="00981405">
        <w:t>intended</w:t>
      </w:r>
      <w:r w:rsidR="00190923" w:rsidRPr="00981405">
        <w:t xml:space="preserve"> </w:t>
      </w:r>
      <w:r w:rsidR="00397032" w:rsidRPr="00981405">
        <w:t>to</w:t>
      </w:r>
      <w:r w:rsidR="00190923" w:rsidRPr="00981405">
        <w:t xml:space="preserve"> </w:t>
      </w:r>
      <w:r w:rsidR="00397032" w:rsidRPr="00981405">
        <w:t>suggest</w:t>
      </w:r>
      <w:r w:rsidR="00190923" w:rsidRPr="00981405">
        <w:t xml:space="preserve"> </w:t>
      </w:r>
      <w:r w:rsidR="00397032" w:rsidRPr="00981405">
        <w:t>that</w:t>
      </w:r>
      <w:r w:rsidR="00190923" w:rsidRPr="00981405">
        <w:t xml:space="preserve"> </w:t>
      </w:r>
      <w:r w:rsidR="00397032" w:rsidRPr="00981405">
        <w:t>practice</w:t>
      </w:r>
      <w:r w:rsidR="00190923" w:rsidRPr="00981405">
        <w:t xml:space="preserve"> </w:t>
      </w:r>
      <w:r w:rsidR="00397032" w:rsidRPr="00981405">
        <w:t>has</w:t>
      </w:r>
      <w:r w:rsidR="00190923" w:rsidRPr="00981405">
        <w:t xml:space="preserve"> </w:t>
      </w:r>
      <w:r w:rsidR="00397032" w:rsidRPr="00981405">
        <w:t>the</w:t>
      </w:r>
      <w:r w:rsidR="00190923" w:rsidRPr="00981405">
        <w:t xml:space="preserve"> </w:t>
      </w:r>
      <w:r w:rsidR="00397032" w:rsidRPr="00981405">
        <w:t>same</w:t>
      </w:r>
      <w:r w:rsidR="00190923" w:rsidRPr="00981405">
        <w:t xml:space="preserve"> </w:t>
      </w:r>
      <w:r w:rsidR="00397032" w:rsidRPr="00981405">
        <w:t>standing</w:t>
      </w:r>
      <w:r w:rsidR="00190923" w:rsidRPr="00981405">
        <w:t xml:space="preserve"> </w:t>
      </w:r>
      <w:r w:rsidR="00397032" w:rsidRPr="00981405">
        <w:t>in</w:t>
      </w:r>
      <w:r w:rsidR="00190923" w:rsidRPr="00981405">
        <w:t xml:space="preserve"> </w:t>
      </w:r>
      <w:r w:rsidR="00397032" w:rsidRPr="00981405">
        <w:t>all</w:t>
      </w:r>
      <w:r w:rsidR="00190923" w:rsidRPr="00981405">
        <w:t xml:space="preserve"> </w:t>
      </w:r>
      <w:r w:rsidR="00397032" w:rsidRPr="00981405">
        <w:t>organizations;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contrary,</w:t>
      </w:r>
      <w:r w:rsidR="00190923" w:rsidRPr="00981405">
        <w:t xml:space="preserve"> </w:t>
      </w:r>
      <w:r w:rsidR="00397032" w:rsidRPr="00981405">
        <w:t>each</w:t>
      </w:r>
      <w:r w:rsidR="00190923" w:rsidRPr="00981405">
        <w:t xml:space="preserve"> </w:t>
      </w:r>
      <w:r w:rsidR="00397032" w:rsidRPr="00981405">
        <w:t>organization</w:t>
      </w:r>
      <w:r w:rsidR="00190923" w:rsidRPr="00981405">
        <w:t xml:space="preserve"> </w:t>
      </w:r>
      <w:r w:rsidR="00397032" w:rsidRPr="00981405">
        <w:t>has</w:t>
      </w:r>
      <w:r w:rsidR="00190923" w:rsidRPr="00981405">
        <w:t xml:space="preserve"> </w:t>
      </w:r>
      <w:r w:rsidR="00397032" w:rsidRPr="00981405">
        <w:t>its</w:t>
      </w:r>
      <w:r w:rsidR="00190923" w:rsidRPr="00981405">
        <w:t xml:space="preserve"> </w:t>
      </w:r>
      <w:r w:rsidR="00397032" w:rsidRPr="00981405">
        <w:t>own</w:t>
      </w:r>
      <w:r w:rsidR="00190923" w:rsidRPr="00981405">
        <w:t xml:space="preserve"> </w:t>
      </w:r>
      <w:r w:rsidR="00397032" w:rsidRPr="00981405">
        <w:t>characteristics</w:t>
      </w:r>
      <w:r w:rsidR="00190923" w:rsidRPr="00981405">
        <w:t xml:space="preserve"> </w:t>
      </w:r>
      <w:r w:rsidR="00397032" w:rsidRPr="00981405">
        <w:t>in</w:t>
      </w:r>
      <w:r w:rsidR="00190923" w:rsidRPr="00981405">
        <w:t xml:space="preserve"> </w:t>
      </w:r>
      <w:r w:rsidR="00397032" w:rsidRPr="00981405">
        <w:t>that</w:t>
      </w:r>
      <w:r w:rsidR="00190923" w:rsidRPr="00981405">
        <w:t xml:space="preserve"> </w:t>
      </w:r>
      <w:r w:rsidR="00397032" w:rsidRPr="00981405">
        <w:t>respect.</w:t>
      </w:r>
      <w:r w:rsidRPr="00981405">
        <w:t>”</w:t>
      </w:r>
      <w:r w:rsidR="00397032" w:rsidRPr="00981405">
        <w:rPr>
          <w:rStyle w:val="FootnoteReference"/>
        </w:rPr>
        <w:footnoteReference w:id="369"/>
      </w:r>
    </w:p>
    <w:p w:rsidR="00397032" w:rsidRPr="00981405" w:rsidRDefault="00397032" w:rsidP="00D97463">
      <w:pPr>
        <w:pStyle w:val="SingleTxt"/>
      </w:pPr>
      <w:r w:rsidRPr="00981405">
        <w:t>(42)</w:t>
      </w:r>
      <w:r w:rsidRPr="00981405">
        <w:tab/>
        <w:t>In</w:t>
      </w:r>
      <w:r w:rsidR="00190923" w:rsidRPr="00981405">
        <w:t xml:space="preserve"> </w:t>
      </w:r>
      <w:r w:rsidRPr="00981405">
        <w:t>this</w:t>
      </w:r>
      <w:r w:rsidR="00190923" w:rsidRPr="00981405">
        <w:t xml:space="preserve"> </w:t>
      </w:r>
      <w:r w:rsidRPr="00981405">
        <w:t>sense,</w:t>
      </w:r>
      <w:r w:rsidR="00190923" w:rsidRPr="00981405">
        <w:t xml:space="preserve"> </w:t>
      </w:r>
      <w:r w:rsidRPr="00981405">
        <w:t>the</w:t>
      </w:r>
      <w:r w:rsidR="00190923" w:rsidRPr="00981405">
        <w:t xml:space="preserve"> </w:t>
      </w:r>
      <w:r w:rsidR="00B92E2C" w:rsidRPr="00981405">
        <w:t>“</w:t>
      </w:r>
      <w:r w:rsidRPr="00981405">
        <w:t>established</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00190923" w:rsidRPr="00981405">
        <w:t xml:space="preserve"> </w:t>
      </w:r>
      <w:r w:rsidRPr="00981405">
        <w:t>may</w:t>
      </w:r>
      <w:r w:rsidR="00190923" w:rsidRPr="00981405">
        <w:t xml:space="preserve"> </w:t>
      </w:r>
      <w:r w:rsidRPr="00981405">
        <w:t>also</w:t>
      </w:r>
      <w:r w:rsidR="00190923" w:rsidRPr="00981405">
        <w:t xml:space="preserve"> </w:t>
      </w:r>
      <w:r w:rsidRPr="00981405">
        <w:t>be</w:t>
      </w:r>
      <w:r w:rsidR="00190923" w:rsidRPr="00981405">
        <w:t xml:space="preserve"> </w:t>
      </w:r>
      <w:r w:rsidRPr="00981405">
        <w:t>a</w:t>
      </w:r>
      <w:r w:rsidR="00190923" w:rsidRPr="00981405">
        <w:t xml:space="preserve"> </w:t>
      </w:r>
      <w:r w:rsidRPr="00981405">
        <w:t>means</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constituent</w:t>
      </w:r>
      <w:r w:rsidR="00190923" w:rsidRPr="00981405">
        <w:t xml:space="preserve"> </w:t>
      </w:r>
      <w:r w:rsidRPr="00981405">
        <w:t>instruments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Article</w:t>
      </w:r>
      <w:r w:rsidR="00190923" w:rsidRPr="00981405">
        <w:t xml:space="preserve"> </w:t>
      </w:r>
      <w:r w:rsidRPr="00981405">
        <w:t>2</w:t>
      </w:r>
      <w:r w:rsidR="00190923" w:rsidRPr="00981405">
        <w:t xml:space="preserve"> </w:t>
      </w:r>
      <w:r w:rsidRPr="00981405">
        <w:t>(1)</w:t>
      </w:r>
      <w:r w:rsidR="00190923" w:rsidRPr="00981405">
        <w:t xml:space="preserve"> </w:t>
      </w:r>
      <w:r w:rsidRPr="00981405">
        <w:t>(j)</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of</w:t>
      </w:r>
      <w:r w:rsidR="00190923" w:rsidRPr="00981405">
        <w:t xml:space="preserve"> </w:t>
      </w:r>
      <w:r w:rsidRPr="00981405">
        <w:t>1986</w:t>
      </w:r>
      <w:r w:rsidR="00190923" w:rsidRPr="00981405">
        <w:t xml:space="preserve"> </w:t>
      </w:r>
      <w:r w:rsidRPr="00981405">
        <w:t>and</w:t>
      </w:r>
      <w:r w:rsidR="00190923" w:rsidRPr="00981405">
        <w:t xml:space="preserve"> </w:t>
      </w:r>
      <w:r w:rsidRPr="00981405">
        <w:t>article</w:t>
      </w:r>
      <w:r w:rsidR="00190923" w:rsidRPr="00981405">
        <w:t xml:space="preserve"> </w:t>
      </w:r>
      <w:r w:rsidRPr="00981405">
        <w:t>2</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Pr="00981405">
        <w:rPr>
          <w:rStyle w:val="FootnoteReference"/>
        </w:rPr>
        <w:footnoteReference w:id="370"/>
      </w:r>
      <w:r w:rsidR="00190923" w:rsidRPr="00981405">
        <w:t xml:space="preserve"> </w:t>
      </w:r>
      <w:r w:rsidRPr="00981405">
        <w:t>recognize</w:t>
      </w:r>
      <w:r w:rsidR="00190923" w:rsidRPr="00981405">
        <w:t xml:space="preserve"> </w:t>
      </w:r>
      <w:r w:rsidRPr="00981405">
        <w:t>the</w:t>
      </w:r>
      <w:r w:rsidR="00190923" w:rsidRPr="00981405">
        <w:t xml:space="preserve"> </w:t>
      </w:r>
      <w:r w:rsidR="00B92E2C" w:rsidRPr="00981405">
        <w:t>“</w:t>
      </w:r>
      <w:r w:rsidRPr="00981405">
        <w:t>established</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00190923" w:rsidRPr="00981405">
        <w:t xml:space="preserve"> </w:t>
      </w:r>
      <w:r w:rsidRPr="00981405">
        <w:t>as</w:t>
      </w:r>
      <w:r w:rsidR="00190923" w:rsidRPr="00981405">
        <w:t xml:space="preserve"> </w:t>
      </w:r>
      <w:r w:rsidRPr="00981405">
        <w:t>a</w:t>
      </w:r>
      <w:r w:rsidR="00190923" w:rsidRPr="00981405">
        <w:t xml:space="preserve"> </w:t>
      </w:r>
      <w:r w:rsidR="00B92E2C" w:rsidRPr="00981405">
        <w:t>“</w:t>
      </w:r>
      <w:r w:rsidRPr="00981405">
        <w:t>rule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Pr="00981405">
        <w:t>.</w:t>
      </w:r>
      <w:r w:rsidR="00190923" w:rsidRPr="00981405">
        <w:t xml:space="preserve"> </w:t>
      </w:r>
      <w:r w:rsidRPr="00981405">
        <w:t>Such</w:t>
      </w:r>
      <w:r w:rsidR="00190923" w:rsidRPr="00981405">
        <w:t xml:space="preserve"> </w:t>
      </w:r>
      <w:r w:rsidRPr="00981405">
        <w:t>practice</w:t>
      </w:r>
      <w:r w:rsidR="00190923" w:rsidRPr="00981405">
        <w:t xml:space="preserve"> </w:t>
      </w:r>
      <w:r w:rsidRPr="00981405">
        <w:t>may</w:t>
      </w:r>
      <w:r w:rsidR="00190923" w:rsidRPr="00981405">
        <w:t xml:space="preserve"> </w:t>
      </w:r>
      <w:r w:rsidRPr="00981405">
        <w:t>produce</w:t>
      </w:r>
      <w:r w:rsidR="00190923" w:rsidRPr="00981405">
        <w:t xml:space="preserve"> </w:t>
      </w:r>
      <w:r w:rsidRPr="00981405">
        <w:t>different</w:t>
      </w:r>
      <w:r w:rsidR="00190923" w:rsidRPr="00981405">
        <w:t xml:space="preserve"> </w:t>
      </w:r>
      <w:r w:rsidRPr="00981405">
        <w:t>legal</w:t>
      </w:r>
      <w:r w:rsidR="00190923" w:rsidRPr="00981405">
        <w:t xml:space="preserve"> </w:t>
      </w:r>
      <w:r w:rsidRPr="00981405">
        <w:t>effects</w:t>
      </w:r>
      <w:r w:rsidR="00190923" w:rsidRPr="00981405">
        <w:t xml:space="preserve"> </w:t>
      </w:r>
      <w:r w:rsidRPr="00981405">
        <w:t>in</w:t>
      </w:r>
      <w:r w:rsidR="00190923" w:rsidRPr="00981405">
        <w:t xml:space="preserve"> </w:t>
      </w:r>
      <w:r w:rsidRPr="00981405">
        <w:t>different</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it</w:t>
      </w:r>
      <w:r w:rsidR="00190923" w:rsidRPr="00981405">
        <w:t xml:space="preserve"> </w:t>
      </w:r>
      <w:r w:rsidRPr="00981405">
        <w:t>is</w:t>
      </w:r>
      <w:r w:rsidR="00190923" w:rsidRPr="00981405">
        <w:t xml:space="preserve"> </w:t>
      </w:r>
      <w:r w:rsidRPr="00981405">
        <w:t>not</w:t>
      </w:r>
      <w:r w:rsidR="00190923" w:rsidRPr="00981405">
        <w:t xml:space="preserve"> </w:t>
      </w:r>
      <w:r w:rsidRPr="00981405">
        <w:t>always</w:t>
      </w:r>
      <w:r w:rsidR="00190923" w:rsidRPr="00981405">
        <w:t xml:space="preserve"> </w:t>
      </w:r>
      <w:r w:rsidRPr="00981405">
        <w:t>clear</w:t>
      </w:r>
      <w:r w:rsidR="00190923" w:rsidRPr="00981405">
        <w:t xml:space="preserve"> </w:t>
      </w:r>
      <w:r w:rsidRPr="00981405">
        <w:t>whether</w:t>
      </w:r>
      <w:r w:rsidR="00190923" w:rsidRPr="00981405">
        <w:t xml:space="preserve"> </w:t>
      </w:r>
      <w:r w:rsidRPr="00981405">
        <w:t>those</w:t>
      </w:r>
      <w:r w:rsidR="00190923" w:rsidRPr="00981405">
        <w:t xml:space="preserve"> </w:t>
      </w:r>
      <w:r w:rsidRPr="00981405">
        <w:t>effects</w:t>
      </w:r>
      <w:r w:rsidR="00190923" w:rsidRPr="00981405">
        <w:t xml:space="preserve"> </w:t>
      </w:r>
      <w:r w:rsidRPr="00981405">
        <w:t>should</w:t>
      </w:r>
      <w:r w:rsidR="00190923" w:rsidRPr="00981405">
        <w:t xml:space="preserve"> </w:t>
      </w:r>
      <w:r w:rsidRPr="00981405">
        <w:t>be</w:t>
      </w:r>
      <w:r w:rsidR="00190923" w:rsidRPr="00981405">
        <w:t xml:space="preserve"> </w:t>
      </w:r>
      <w:r w:rsidRPr="00981405">
        <w:t>explained</w:t>
      </w:r>
      <w:r w:rsidR="00190923" w:rsidRPr="00981405">
        <w:t xml:space="preserve"> </w:t>
      </w:r>
      <w:r w:rsidRPr="00981405">
        <w:t>primarily</w:t>
      </w:r>
      <w:r w:rsidR="00190923" w:rsidRPr="00981405">
        <w:t xml:space="preserve"> </w:t>
      </w:r>
      <w:r w:rsidRPr="00981405">
        <w:t>in</w:t>
      </w:r>
      <w:r w:rsidR="00190923" w:rsidRPr="00981405">
        <w:t xml:space="preserve"> </w:t>
      </w:r>
      <w:r w:rsidRPr="00981405">
        <w:t>terms</w:t>
      </w:r>
      <w:r w:rsidR="00190923" w:rsidRPr="00981405">
        <w:t xml:space="preserve"> </w:t>
      </w:r>
      <w:r w:rsidRPr="00981405">
        <w:t>of</w:t>
      </w:r>
      <w:r w:rsidR="00190923" w:rsidRPr="00981405">
        <w:t xml:space="preserve"> </w:t>
      </w:r>
      <w:r w:rsidRPr="00981405">
        <w:t>traditional</w:t>
      </w:r>
      <w:r w:rsidR="00190923" w:rsidRPr="00981405">
        <w:t xml:space="preserve"> </w:t>
      </w:r>
      <w:r w:rsidRPr="00981405">
        <w:t>sources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(treaty</w:t>
      </w:r>
      <w:r w:rsidR="00190923" w:rsidRPr="00981405">
        <w:t xml:space="preserve"> </w:t>
      </w:r>
      <w:r w:rsidRPr="00981405">
        <w:t>or</w:t>
      </w:r>
      <w:r w:rsidR="00190923" w:rsidRPr="00981405">
        <w:t xml:space="preserve"> </w:t>
      </w:r>
      <w:r w:rsidRPr="00981405">
        <w:t>custom)</w:t>
      </w:r>
      <w:r w:rsidR="00190923" w:rsidRPr="00981405">
        <w:t xml:space="preserve"> </w:t>
      </w:r>
      <w:r w:rsidRPr="00981405">
        <w:t>or</w:t>
      </w:r>
      <w:r w:rsidR="00190923" w:rsidRPr="00981405">
        <w:t xml:space="preserve"> </w:t>
      </w:r>
      <w:r w:rsidRPr="00981405">
        <w:t>of</w:t>
      </w:r>
      <w:r w:rsidR="00190923" w:rsidRPr="00981405">
        <w:t xml:space="preserve"> </w:t>
      </w:r>
      <w:r w:rsidRPr="00981405">
        <w:t>institutional</w:t>
      </w:r>
      <w:r w:rsidR="00190923" w:rsidRPr="00981405">
        <w:t xml:space="preserve"> </w:t>
      </w:r>
      <w:r w:rsidRPr="00981405">
        <w:t>law.</w:t>
      </w:r>
      <w:bookmarkStart w:id="125" w:name="_Ref415780201"/>
      <w:r w:rsidRPr="00981405">
        <w:rPr>
          <w:rStyle w:val="FootnoteReference"/>
        </w:rPr>
        <w:footnoteReference w:id="371"/>
      </w:r>
      <w:bookmarkEnd w:id="125"/>
      <w:r w:rsidR="00190923" w:rsidRPr="00981405">
        <w:t xml:space="preserve"> </w:t>
      </w:r>
      <w:r w:rsidRPr="00981405">
        <w:t>But</w:t>
      </w:r>
      <w:r w:rsidR="00190923" w:rsidRPr="00981405">
        <w:t xml:space="preserve"> </w:t>
      </w:r>
      <w:r w:rsidRPr="00981405">
        <w:t>even</w:t>
      </w:r>
      <w:r w:rsidR="00190923" w:rsidRPr="00981405">
        <w:t xml:space="preserve"> </w:t>
      </w:r>
      <w:r w:rsidRPr="00981405">
        <w:t>if</w:t>
      </w:r>
      <w:r w:rsidR="00190923" w:rsidRPr="00981405">
        <w:t xml:space="preserve"> </w:t>
      </w:r>
      <w:r w:rsidRPr="00981405">
        <w:t>it</w:t>
      </w:r>
      <w:r w:rsidR="00190923" w:rsidRPr="00981405">
        <w:t xml:space="preserve"> </w:t>
      </w:r>
      <w:r w:rsidRPr="00981405">
        <w:t>is</w:t>
      </w:r>
      <w:r w:rsidR="00190923" w:rsidRPr="00981405">
        <w:t xml:space="preserve"> </w:t>
      </w:r>
      <w:r w:rsidRPr="00981405">
        <w:t>difficult</w:t>
      </w:r>
      <w:r w:rsidR="00190923" w:rsidRPr="00981405">
        <w:t xml:space="preserve"> </w:t>
      </w:r>
      <w:r w:rsidRPr="00981405">
        <w:t>to</w:t>
      </w:r>
      <w:r w:rsidR="00190923" w:rsidRPr="00981405">
        <w:t xml:space="preserve"> </w:t>
      </w:r>
      <w:r w:rsidRPr="00981405">
        <w:t>make</w:t>
      </w:r>
      <w:r w:rsidR="00190923" w:rsidRPr="00981405">
        <w:t xml:space="preserve"> </w:t>
      </w:r>
      <w:r w:rsidRPr="00981405">
        <w:t>general</w:t>
      </w:r>
      <w:r w:rsidR="00190923" w:rsidRPr="00981405">
        <w:t xml:space="preserve"> </w:t>
      </w:r>
      <w:r w:rsidRPr="00981405">
        <w:t>statements,</w:t>
      </w:r>
      <w:r w:rsidR="00190923" w:rsidRPr="00981405">
        <w:t xml:space="preserve"> </w:t>
      </w:r>
      <w:r w:rsidRPr="00981405">
        <w:t>the</w:t>
      </w:r>
      <w:r w:rsidR="00190923" w:rsidRPr="00981405">
        <w:t xml:space="preserve"> </w:t>
      </w:r>
      <w:r w:rsidR="00B92E2C" w:rsidRPr="00981405">
        <w:t>“</w:t>
      </w:r>
      <w:r w:rsidRPr="00981405">
        <w:t>established</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B92E2C" w:rsidRPr="00981405">
        <w:t>”</w:t>
      </w:r>
      <w:r w:rsidR="00190923" w:rsidRPr="00981405">
        <w:t xml:space="preserve"> </w:t>
      </w:r>
      <w:r w:rsidRPr="00981405">
        <w:t>usually</w:t>
      </w:r>
      <w:r w:rsidR="00190923" w:rsidRPr="00981405">
        <w:t xml:space="preserve"> </w:t>
      </w:r>
      <w:r w:rsidRPr="00981405">
        <w:t>encompasses</w:t>
      </w:r>
      <w:r w:rsidR="00190923" w:rsidRPr="00981405">
        <w:t xml:space="preserve"> </w:t>
      </w:r>
      <w:r w:rsidRPr="00981405">
        <w:t>a</w:t>
      </w:r>
      <w:r w:rsidR="00190923" w:rsidRPr="00981405">
        <w:t xml:space="preserve"> </w:t>
      </w:r>
      <w:r w:rsidRPr="00981405">
        <w:t>specific</w:t>
      </w:r>
      <w:r w:rsidR="00190923" w:rsidRPr="00981405">
        <w:t xml:space="preserve"> </w:t>
      </w:r>
      <w:r w:rsidRPr="00981405">
        <w:t>form</w:t>
      </w:r>
      <w:r w:rsidR="00190923" w:rsidRPr="00981405">
        <w:t xml:space="preserve"> </w:t>
      </w:r>
      <w:r w:rsidRPr="00981405">
        <w:t>of</w:t>
      </w:r>
      <w:r w:rsidR="00190923" w:rsidRPr="00981405">
        <w:t xml:space="preserve"> </w:t>
      </w:r>
      <w:r w:rsidRPr="00981405">
        <w:t>practice,</w:t>
      </w:r>
      <w:r w:rsidRPr="00981405">
        <w:rPr>
          <w:rStyle w:val="FootnoteReference"/>
        </w:rPr>
        <w:footnoteReference w:id="372"/>
      </w:r>
      <w:r w:rsidR="00190923" w:rsidRPr="00981405">
        <w:t xml:space="preserve"> </w:t>
      </w:r>
      <w:r w:rsidRPr="00981405">
        <w:t>one</w:t>
      </w:r>
      <w:r w:rsidR="00190923" w:rsidRPr="00981405">
        <w:t xml:space="preserve"> </w:t>
      </w:r>
      <w:r w:rsidRPr="00981405">
        <w:t>which</w:t>
      </w:r>
      <w:r w:rsidR="00190923" w:rsidRPr="00981405">
        <w:t xml:space="preserve"> </w:t>
      </w:r>
      <w:r w:rsidRPr="00981405">
        <w:t>has</w:t>
      </w:r>
      <w:r w:rsidR="00190923" w:rsidRPr="00981405">
        <w:t xml:space="preserve"> </w:t>
      </w:r>
      <w:r w:rsidRPr="00981405">
        <w:t>generally</w:t>
      </w:r>
      <w:r w:rsidR="00190923" w:rsidRPr="00981405">
        <w:t xml:space="preserve"> </w:t>
      </w:r>
      <w:r w:rsidRPr="00981405">
        <w:t>been</w:t>
      </w:r>
      <w:r w:rsidR="00190923" w:rsidRPr="00981405">
        <w:t xml:space="preserve"> </w:t>
      </w:r>
      <w:r w:rsidRPr="00981405">
        <w:t>accepted</w:t>
      </w:r>
      <w:r w:rsidR="00190923" w:rsidRPr="00981405">
        <w:t xml:space="preserve"> </w:t>
      </w:r>
      <w:r w:rsidRPr="00981405">
        <w:t>by</w:t>
      </w:r>
      <w:r w:rsidR="00190923" w:rsidRPr="00981405">
        <w:t xml:space="preserve"> </w:t>
      </w:r>
      <w:r w:rsidRPr="00981405">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albeit</w:t>
      </w:r>
      <w:r w:rsidR="00190923" w:rsidRPr="00981405">
        <w:t xml:space="preserve"> </w:t>
      </w:r>
      <w:r w:rsidRPr="00981405">
        <w:t>sometimes</w:t>
      </w:r>
      <w:r w:rsidR="00190923" w:rsidRPr="00981405">
        <w:t xml:space="preserve"> </w:t>
      </w:r>
      <w:r w:rsidRPr="00981405">
        <w:t>tacitly.</w:t>
      </w:r>
      <w:r w:rsidRPr="00981405">
        <w:rPr>
          <w:rStyle w:val="FootnoteReference"/>
        </w:rPr>
        <w:footnoteReference w:id="373"/>
      </w:r>
      <w:r w:rsidR="00190923" w:rsidRPr="00981405">
        <w:t xml:space="preserve"> </w:t>
      </w:r>
    </w:p>
    <w:p w:rsidR="00397032" w:rsidRPr="00981405" w:rsidRDefault="00397032" w:rsidP="00D97463">
      <w:pPr>
        <w:pStyle w:val="SingleTxt"/>
      </w:pPr>
      <w:r w:rsidRPr="00981405">
        <w:br w:type="page"/>
      </w:r>
    </w:p>
    <w:p w:rsidR="00E14542" w:rsidRPr="00D97463" w:rsidRDefault="00E14542" w:rsidP="00D97463">
      <w:pPr>
        <w:pStyle w:val="SingleTxt"/>
        <w:spacing w:after="0" w:line="120" w:lineRule="exact"/>
        <w:rPr>
          <w:sz w:val="10"/>
        </w:rPr>
      </w:pPr>
    </w:p>
    <w:p w:rsidR="00E14542" w:rsidRPr="00D97463" w:rsidRDefault="00E14542"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26" w:name="_Toc427938118"/>
      <w:r w:rsidRPr="00D97463">
        <w:t>Chapter</w:t>
      </w:r>
      <w:r w:rsidR="00190923" w:rsidRPr="00D97463">
        <w:t xml:space="preserve"> </w:t>
      </w:r>
      <w:r w:rsidRPr="00D97463">
        <w:t>IX</w:t>
      </w:r>
      <w:bookmarkStart w:id="127" w:name="_Toc427938119"/>
      <w:bookmarkEnd w:id="126"/>
      <w:r w:rsidR="00E14542" w:rsidRPr="00D97463">
        <w:br/>
      </w:r>
      <w:r w:rsidRPr="00D97463">
        <w:t>Protection</w:t>
      </w:r>
      <w:r w:rsidR="00190923" w:rsidRPr="00D97463">
        <w:t xml:space="preserve"> </w:t>
      </w:r>
      <w:r w:rsidRPr="00D97463">
        <w:t>of</w:t>
      </w:r>
      <w:r w:rsidR="00190923" w:rsidRPr="00D97463">
        <w:t xml:space="preserve"> </w:t>
      </w:r>
      <w:r w:rsidRPr="00D97463">
        <w:t>the</w:t>
      </w:r>
      <w:r w:rsidR="00190923" w:rsidRPr="00D97463">
        <w:t xml:space="preserve"> </w:t>
      </w:r>
      <w:r w:rsidRPr="00D97463">
        <w:t>environment</w:t>
      </w:r>
      <w:r w:rsidR="00190923" w:rsidRPr="00D97463">
        <w:t xml:space="preserve"> </w:t>
      </w:r>
      <w:r w:rsidRPr="00D97463">
        <w:t>in</w:t>
      </w:r>
      <w:r w:rsidR="00190923" w:rsidRPr="00D97463">
        <w:t xml:space="preserve"> </w:t>
      </w:r>
      <w:r w:rsidRPr="00D97463">
        <w:t>relation</w:t>
      </w:r>
      <w:r w:rsidR="00190923" w:rsidRPr="00D97463">
        <w:t xml:space="preserve"> </w:t>
      </w:r>
      <w:r w:rsidRPr="00D97463">
        <w:t>to</w:t>
      </w:r>
      <w:r w:rsidR="00190923" w:rsidRPr="00D97463">
        <w:t xml:space="preserve"> </w:t>
      </w:r>
      <w:r w:rsidRPr="00D97463">
        <w:t>armed</w:t>
      </w:r>
      <w:r w:rsidR="00190923" w:rsidRPr="00D97463">
        <w:t xml:space="preserve"> </w:t>
      </w:r>
      <w:r w:rsidRPr="00D97463">
        <w:t>conflicts</w:t>
      </w:r>
      <w:bookmarkEnd w:id="127"/>
    </w:p>
    <w:p w:rsidR="00397032" w:rsidRPr="00D97463" w:rsidRDefault="00397032" w:rsidP="00D97463">
      <w:pPr>
        <w:pStyle w:val="SingleTxt"/>
        <w:spacing w:after="0" w:line="120" w:lineRule="exact"/>
        <w:rPr>
          <w:sz w:val="10"/>
        </w:rPr>
      </w:pPr>
    </w:p>
    <w:p w:rsidR="00E14542" w:rsidRPr="00D97463" w:rsidRDefault="00E14542" w:rsidP="00D97463">
      <w:pPr>
        <w:pStyle w:val="SingleTxt"/>
        <w:spacing w:after="0" w:line="120" w:lineRule="exact"/>
        <w:rPr>
          <w:sz w:val="10"/>
        </w:rPr>
      </w:pPr>
    </w:p>
    <w:p w:rsidR="00397032" w:rsidRPr="00981405" w:rsidRDefault="00397032" w:rsidP="00E14542">
      <w:pPr>
        <w:pStyle w:val="H1"/>
        <w:ind w:right="1260"/>
      </w:pPr>
      <w:r w:rsidRPr="00981405">
        <w:tab/>
      </w:r>
      <w:bookmarkStart w:id="128" w:name="_Toc427938120"/>
      <w:r w:rsidRPr="00981405">
        <w:t>A.</w:t>
      </w:r>
      <w:r w:rsidRPr="00981405">
        <w:tab/>
        <w:t>Introduction</w:t>
      </w:r>
      <w:bookmarkEnd w:id="128"/>
    </w:p>
    <w:p w:rsidR="00E14542" w:rsidRPr="00D97463" w:rsidRDefault="00E14542" w:rsidP="00D97463">
      <w:pPr>
        <w:pStyle w:val="SingleTxt"/>
        <w:spacing w:after="0" w:line="120" w:lineRule="exact"/>
        <w:rPr>
          <w:sz w:val="10"/>
        </w:rPr>
      </w:pPr>
    </w:p>
    <w:p w:rsidR="00E14542" w:rsidRPr="00D97463" w:rsidRDefault="00E14542" w:rsidP="00D97463">
      <w:pPr>
        <w:pStyle w:val="SingleTxt"/>
        <w:spacing w:after="0" w:line="120" w:lineRule="exact"/>
        <w:rPr>
          <w:sz w:val="10"/>
        </w:rPr>
      </w:pPr>
    </w:p>
    <w:p w:rsidR="00397032" w:rsidRPr="00981405" w:rsidRDefault="00397032" w:rsidP="00D97463">
      <w:pPr>
        <w:pStyle w:val="SingleTxt"/>
      </w:pPr>
      <w:r w:rsidRPr="00981405">
        <w:t>130.</w:t>
      </w:r>
      <w:r w:rsidRPr="00981405">
        <w:tab/>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appointed</w:t>
      </w:r>
      <w:r w:rsidR="00190923" w:rsidRPr="00981405">
        <w:t xml:space="preserve"> </w:t>
      </w:r>
      <w:r w:rsidRPr="00981405">
        <w:t>Ms.</w:t>
      </w:r>
      <w:r w:rsidR="00190923" w:rsidRPr="00981405">
        <w:t xml:space="preserve"> </w:t>
      </w:r>
      <w:r w:rsidRPr="00981405">
        <w:t>Marie</w:t>
      </w:r>
      <w:r w:rsidR="00190923" w:rsidRPr="00981405">
        <w:t xml:space="preserve"> </w:t>
      </w:r>
      <w:r w:rsidRPr="00981405">
        <w:t>G.</w:t>
      </w:r>
      <w:r w:rsidR="00190923" w:rsidRPr="00981405">
        <w:t xml:space="preserve"> </w:t>
      </w:r>
      <w:r w:rsidRPr="00981405">
        <w:t>Jacobsson</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Pr="00981405">
        <w:rPr>
          <w:rStyle w:val="FootnoteReference"/>
        </w:rPr>
        <w:footnoteReference w:id="374"/>
      </w:r>
    </w:p>
    <w:p w:rsidR="00397032" w:rsidRPr="00981405" w:rsidRDefault="00397032" w:rsidP="00D97463">
      <w:pPr>
        <w:pStyle w:val="SingleTxt"/>
      </w:pPr>
      <w:r w:rsidRPr="00981405">
        <w:t>131.</w:t>
      </w:r>
      <w:r w:rsidRPr="00981405">
        <w:tab/>
        <w:t>At</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(2014),</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preliminary</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49" w:history="1">
        <w:r w:rsidR="00F304EB" w:rsidRPr="00F304EB">
          <w:rPr>
            <w:rStyle w:val="Hyperlink"/>
          </w:rPr>
          <w:t>A/CN.4/674</w:t>
        </w:r>
      </w:hyperlink>
      <w:r w:rsidR="00190923" w:rsidRPr="00981405">
        <w:t xml:space="preserve"> </w:t>
      </w:r>
      <w:r w:rsidRPr="00981405">
        <w:t>and</w:t>
      </w:r>
      <w:r w:rsidR="00190923" w:rsidRPr="00981405">
        <w:t xml:space="preserve"> </w:t>
      </w:r>
      <w:hyperlink r:id="rId50" w:history="1">
        <w:r w:rsidRPr="00425E49">
          <w:rPr>
            <w:rStyle w:val="Hyperlink"/>
          </w:rPr>
          <w:t>Corr.1</w:t>
        </w:r>
      </w:hyperlink>
      <w:r w:rsidRPr="00981405">
        <w:t>).</w:t>
      </w:r>
      <w:r w:rsidRPr="00981405">
        <w:rPr>
          <w:rStyle w:val="FootnoteReference"/>
        </w:rPr>
        <w:footnoteReference w:id="375"/>
      </w:r>
    </w:p>
    <w:p w:rsidR="00397032" w:rsidRPr="00D97463" w:rsidRDefault="00397032" w:rsidP="00D97463">
      <w:pPr>
        <w:pStyle w:val="SingleTxt"/>
        <w:spacing w:after="0" w:line="120" w:lineRule="exact"/>
        <w:rPr>
          <w:sz w:val="10"/>
        </w:rPr>
      </w:pPr>
      <w:bookmarkStart w:id="129" w:name="_Toc304293582"/>
      <w:bookmarkStart w:id="130" w:name="_Toc304454296"/>
    </w:p>
    <w:p w:rsidR="00E14542" w:rsidRPr="00D97463" w:rsidRDefault="00E14542" w:rsidP="00D97463">
      <w:pPr>
        <w:pStyle w:val="SingleTxt"/>
        <w:spacing w:after="0" w:line="120" w:lineRule="exact"/>
        <w:rPr>
          <w:sz w:val="10"/>
        </w:rPr>
      </w:pPr>
    </w:p>
    <w:p w:rsidR="00397032" w:rsidRPr="00D97463" w:rsidRDefault="00397032" w:rsidP="00D97463">
      <w:pPr>
        <w:pStyle w:val="H1"/>
        <w:ind w:right="1260"/>
      </w:pPr>
      <w:r w:rsidRPr="00D97463">
        <w:tab/>
      </w:r>
      <w:bookmarkStart w:id="131" w:name="_Toc427938121"/>
      <w:r w:rsidRPr="00D97463">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bookmarkEnd w:id="129"/>
      <w:bookmarkEnd w:id="130"/>
      <w:bookmarkEnd w:id="131"/>
    </w:p>
    <w:p w:rsidR="00397032" w:rsidRPr="00D97463" w:rsidRDefault="00397032" w:rsidP="00D97463">
      <w:pPr>
        <w:pStyle w:val="SingleTxt"/>
        <w:spacing w:after="0" w:line="120" w:lineRule="exact"/>
        <w:rPr>
          <w:sz w:val="10"/>
        </w:rPr>
      </w:pPr>
    </w:p>
    <w:p w:rsidR="00E14542" w:rsidRPr="00D97463" w:rsidRDefault="00E14542" w:rsidP="00D97463">
      <w:pPr>
        <w:pStyle w:val="SingleTxt"/>
        <w:spacing w:after="0" w:line="120" w:lineRule="exact"/>
        <w:rPr>
          <w:sz w:val="10"/>
        </w:rPr>
      </w:pPr>
    </w:p>
    <w:p w:rsidR="00397032" w:rsidRPr="00981405" w:rsidRDefault="00397032" w:rsidP="00D97463">
      <w:pPr>
        <w:pStyle w:val="SingleTxt"/>
      </w:pPr>
      <w:r w:rsidRPr="00981405">
        <w:t>132.</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51" w:history="1">
        <w:r w:rsidR="00F304EB" w:rsidRPr="00F304EB">
          <w:rPr>
            <w:rStyle w:val="Hyperlink"/>
          </w:rPr>
          <w:t>A/CN.4/685</w:t>
        </w:r>
      </w:hyperlink>
      <w:r w:rsidRPr="00981405">
        <w:t>),</w:t>
      </w:r>
      <w:r w:rsidR="00190923" w:rsidRPr="00981405">
        <w:t xml:space="preserve"> </w:t>
      </w:r>
      <w:r w:rsidRPr="00981405">
        <w:t>which</w:t>
      </w:r>
      <w:r w:rsidR="00190923" w:rsidRPr="00981405">
        <w:t xml:space="preserve"> </w:t>
      </w:r>
      <w:r w:rsidRPr="00981405">
        <w:t>it</w:t>
      </w:r>
      <w:r w:rsidR="00190923" w:rsidRPr="00981405">
        <w:t xml:space="preserve"> </w:t>
      </w:r>
      <w:r w:rsidRPr="00981405">
        <w:t>considered</w:t>
      </w:r>
      <w:r w:rsidR="00190923" w:rsidRPr="00981405">
        <w:t xml:space="preserve"> </w:t>
      </w:r>
      <w:r w:rsidRPr="00981405">
        <w:t>at</w:t>
      </w:r>
      <w:r w:rsidR="00190923" w:rsidRPr="00981405">
        <w:t xml:space="preserve"> </w:t>
      </w:r>
      <w:r w:rsidRPr="00981405">
        <w:t>its</w:t>
      </w:r>
      <w:r w:rsidR="00190923" w:rsidRPr="00981405">
        <w:t xml:space="preserve"> </w:t>
      </w:r>
      <w:r w:rsidRPr="00981405">
        <w:t>3264th</w:t>
      </w:r>
      <w:r w:rsidR="00190923" w:rsidRPr="00981405">
        <w:t xml:space="preserve"> </w:t>
      </w:r>
      <w:r w:rsidRPr="00981405">
        <w:t>to</w:t>
      </w:r>
      <w:r w:rsidR="00190923" w:rsidRPr="00981405">
        <w:t xml:space="preserve"> </w:t>
      </w:r>
      <w:r w:rsidRPr="00981405">
        <w:t>3269th</w:t>
      </w:r>
      <w:r w:rsidR="00190923" w:rsidRPr="00981405">
        <w:t xml:space="preserve"> </w:t>
      </w:r>
      <w:r w:rsidRPr="00981405">
        <w:t>meetings,</w:t>
      </w:r>
      <w:r w:rsidR="00190923" w:rsidRPr="00981405">
        <w:t xml:space="preserve"> </w:t>
      </w:r>
      <w:r w:rsidRPr="00981405">
        <w:t>from</w:t>
      </w:r>
      <w:r w:rsidR="00190923" w:rsidRPr="00981405">
        <w:t xml:space="preserve"> </w:t>
      </w:r>
      <w:r w:rsidRPr="00981405">
        <w:t>6</w:t>
      </w:r>
      <w:r w:rsidR="00190923" w:rsidRPr="00981405">
        <w:t xml:space="preserve"> </w:t>
      </w:r>
      <w:r w:rsidRPr="00981405">
        <w:t>to</w:t>
      </w:r>
      <w:r w:rsidR="00190923" w:rsidRPr="00981405">
        <w:t xml:space="preserve"> </w:t>
      </w:r>
      <w:r w:rsidRPr="00981405">
        <w:t>10</w:t>
      </w:r>
      <w:r w:rsidR="00190923" w:rsidRPr="00981405">
        <w:t xml:space="preserve"> </w:t>
      </w:r>
      <w:r w:rsidRPr="00981405">
        <w:t>July</w:t>
      </w:r>
      <w:r w:rsidR="00190923" w:rsidRPr="00981405">
        <w:t xml:space="preserve"> </w:t>
      </w:r>
      <w:r w:rsidRPr="00981405">
        <w:t>and</w:t>
      </w:r>
      <w:r w:rsidR="00190923" w:rsidRPr="00981405">
        <w:t xml:space="preserve"> </w:t>
      </w:r>
      <w:r w:rsidRPr="00981405">
        <w:t>on</w:t>
      </w:r>
      <w:r w:rsidR="00190923" w:rsidRPr="00981405">
        <w:t xml:space="preserve"> </w:t>
      </w:r>
      <w:r w:rsidRPr="00981405">
        <w:t>14</w:t>
      </w:r>
      <w:r w:rsidR="00190923" w:rsidRPr="00981405">
        <w:t xml:space="preserve"> </w:t>
      </w:r>
      <w:r w:rsidRPr="00981405">
        <w:t>July</w:t>
      </w:r>
      <w:r w:rsidR="00190923" w:rsidRPr="00981405">
        <w:t xml:space="preserve"> </w:t>
      </w:r>
      <w:r w:rsidRPr="00981405">
        <w:t>2015.</w:t>
      </w:r>
      <w:r w:rsidR="00190923" w:rsidRPr="00981405">
        <w:t xml:space="preserve"> </w:t>
      </w:r>
    </w:p>
    <w:p w:rsidR="00397032" w:rsidRPr="00981405" w:rsidRDefault="00397032" w:rsidP="00D97463">
      <w:pPr>
        <w:pStyle w:val="SingleTxt"/>
      </w:pPr>
      <w:r w:rsidRPr="00981405">
        <w:t>133.</w:t>
      </w:r>
      <w:r w:rsidRPr="00981405">
        <w:tab/>
        <w:t>At</w:t>
      </w:r>
      <w:r w:rsidR="00190923" w:rsidRPr="00981405">
        <w:t xml:space="preserve"> </w:t>
      </w:r>
      <w:r w:rsidRPr="00981405">
        <w:t>its</w:t>
      </w:r>
      <w:r w:rsidR="00190923" w:rsidRPr="00981405">
        <w:t xml:space="preserve"> </w:t>
      </w:r>
      <w:r w:rsidRPr="00981405">
        <w:t>3269th</w:t>
      </w:r>
      <w:r w:rsidR="00190923" w:rsidRPr="00981405">
        <w:t xml:space="preserve"> </w:t>
      </w:r>
      <w:r w:rsidRPr="00981405">
        <w:t>meeting,</w:t>
      </w:r>
      <w:r w:rsidR="00190923" w:rsidRPr="00981405">
        <w:t xml:space="preserve"> </w:t>
      </w:r>
      <w:r w:rsidRPr="00981405">
        <w:t>on</w:t>
      </w:r>
      <w:r w:rsidR="00190923" w:rsidRPr="00981405">
        <w:t xml:space="preserve"> </w:t>
      </w:r>
      <w:r w:rsidRPr="00981405">
        <w:t>14</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referred</w:t>
      </w:r>
      <w:r w:rsidR="00190923" w:rsidRPr="00981405">
        <w:t xml:space="preserve"> </w:t>
      </w:r>
      <w:r w:rsidRPr="00981405">
        <w:t>the</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and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1</w:t>
      </w:r>
      <w:r w:rsidR="00190923" w:rsidRPr="00981405">
        <w:t xml:space="preserve"> </w:t>
      </w:r>
      <w:r w:rsidRPr="00981405">
        <w:t>to</w:t>
      </w:r>
      <w:r w:rsidR="00190923" w:rsidRPr="00981405">
        <w:t xml:space="preserve"> </w:t>
      </w:r>
      <w:r w:rsidRPr="00981405">
        <w:t>5,</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Pr="00981405">
        <w:rPr>
          <w:rStyle w:val="FootnoteReference"/>
        </w:rPr>
        <w:footnoteReference w:id="376"/>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with</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w:t>
      </w:r>
      <w:r w:rsidR="00190923" w:rsidRPr="00981405">
        <w:t xml:space="preserve"> </w:t>
      </w:r>
      <w:r w:rsidRPr="00981405">
        <w:t>on</w:t>
      </w:r>
      <w:r w:rsidR="00190923" w:rsidRPr="00981405">
        <w:t xml:space="preserve"> </w:t>
      </w:r>
      <w:r w:rsidR="00B92E2C" w:rsidRPr="00981405">
        <w:lastRenderedPageBreak/>
        <w:t>“</w:t>
      </w:r>
      <w:r w:rsidRPr="00981405">
        <w:t>use</w:t>
      </w:r>
      <w:r w:rsidR="00190923" w:rsidRPr="00981405">
        <w:t xml:space="preserve"> </w:t>
      </w:r>
      <w:r w:rsidRPr="00981405">
        <w:t>of</w:t>
      </w:r>
      <w:r w:rsidR="00190923" w:rsidRPr="00981405">
        <w:t xml:space="preserve"> </w:t>
      </w:r>
      <w:r w:rsidRPr="00981405">
        <w:t>terms</w:t>
      </w:r>
      <w:r w:rsidR="00B92E2C" w:rsidRPr="00981405">
        <w:t>”</w:t>
      </w:r>
      <w:r w:rsidR="00190923" w:rsidRPr="00981405">
        <w:t xml:space="preserve"> </w:t>
      </w:r>
      <w:r w:rsidRPr="00981405">
        <w:t>was</w:t>
      </w:r>
      <w:r w:rsidR="00190923" w:rsidRPr="00981405">
        <w:t xml:space="preserve"> </w:t>
      </w:r>
      <w:r w:rsidRPr="00981405">
        <w:t>referred</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facilitating</w:t>
      </w:r>
      <w:r w:rsidR="00190923" w:rsidRPr="00981405">
        <w:t xml:space="preserve"> </w:t>
      </w:r>
      <w:r w:rsidRPr="00981405">
        <w:t>discussions</w:t>
      </w:r>
      <w:r w:rsidR="00190923" w:rsidRPr="00981405">
        <w:t xml:space="preserve"> </w:t>
      </w:r>
      <w:r w:rsidRPr="00981405">
        <w:t>and</w:t>
      </w:r>
      <w:r w:rsidR="00190923" w:rsidRPr="00981405">
        <w:t xml:space="preserve"> </w:t>
      </w:r>
      <w:r w:rsidRPr="00981405">
        <w:t>to</w:t>
      </w:r>
      <w:r w:rsidR="00190923" w:rsidRPr="00981405">
        <w:t xml:space="preserve"> </w:t>
      </w:r>
      <w:r w:rsidRPr="00981405">
        <w:t>be</w:t>
      </w:r>
      <w:r w:rsidR="00190923" w:rsidRPr="00981405">
        <w:t xml:space="preserve"> </w:t>
      </w:r>
      <w:r w:rsidRPr="00981405">
        <w:t>left</w:t>
      </w:r>
      <w:r w:rsidR="00190923" w:rsidRPr="00981405">
        <w:t xml:space="preserve"> </w:t>
      </w:r>
      <w:r w:rsidRPr="00981405">
        <w:t>pending</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this</w:t>
      </w:r>
      <w:r w:rsidR="00190923" w:rsidRPr="00981405">
        <w:t xml:space="preserve"> </w:t>
      </w:r>
      <w:r w:rsidRPr="00981405">
        <w:t>stage.</w:t>
      </w:r>
      <w:r w:rsidR="00190923" w:rsidRPr="00981405">
        <w:t xml:space="preserve"> </w:t>
      </w:r>
    </w:p>
    <w:p w:rsidR="00397032" w:rsidRPr="00981405" w:rsidRDefault="00397032" w:rsidP="00D97463">
      <w:pPr>
        <w:pStyle w:val="SingleTxt"/>
      </w:pPr>
      <w:r w:rsidRPr="00981405">
        <w:t>134.</w:t>
      </w:r>
      <w:r w:rsidRPr="00981405">
        <w:tab/>
        <w:t>At</w:t>
      </w:r>
      <w:r w:rsidR="00190923" w:rsidRPr="00981405">
        <w:t xml:space="preserve"> </w:t>
      </w:r>
      <w:r w:rsidRPr="00981405">
        <w:t>its</w:t>
      </w:r>
      <w:r w:rsidR="00190923" w:rsidRPr="00981405">
        <w:t xml:space="preserve"> </w:t>
      </w:r>
      <w:r w:rsidRPr="00981405">
        <w:t>3281st</w:t>
      </w:r>
      <w:r w:rsidR="00190923" w:rsidRPr="00981405">
        <w:t xml:space="preserve"> </w:t>
      </w:r>
      <w:r w:rsidRPr="00981405">
        <w:t>meeting,</w:t>
      </w:r>
      <w:r w:rsidR="00190923" w:rsidRPr="00981405">
        <w:t xml:space="preserve"> </w:t>
      </w:r>
      <w:r w:rsidRPr="00981405">
        <w:t>on</w:t>
      </w:r>
      <w:r w:rsidR="00190923" w:rsidRPr="00981405">
        <w:t xml:space="preserve"> </w:t>
      </w:r>
      <w:r w:rsidRPr="00981405">
        <w:t>30</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presented</w:t>
      </w:r>
      <w:r w:rsidRPr="00981405">
        <w:rPr>
          <w:rStyle w:val="FootnoteReference"/>
        </w:rPr>
        <w:footnoteReference w:id="377"/>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on</w:t>
      </w:r>
      <w:r w:rsidR="00190923" w:rsidRPr="00981405">
        <w:t xml:space="preserve"> </w:t>
      </w:r>
      <w:r w:rsidR="00B92E2C" w:rsidRPr="00981405">
        <w:t>“</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r w:rsidR="00B92E2C" w:rsidRPr="00981405">
        <w:t>”</w:t>
      </w:r>
      <w:r w:rsidRPr="00981405">
        <w:t>,</w:t>
      </w:r>
      <w:r w:rsidR="00190923" w:rsidRPr="00981405">
        <w:t xml:space="preserve"> </w:t>
      </w:r>
      <w:r w:rsidRPr="00981405">
        <w:t>containing</w:t>
      </w:r>
      <w:r w:rsidR="00190923" w:rsidRPr="00981405">
        <w:t xml:space="preserve"> </w:t>
      </w:r>
      <w:r w:rsidRPr="00981405">
        <w:t>the</w:t>
      </w:r>
      <w:r w:rsidR="00190923" w:rsidRPr="00981405">
        <w:t xml:space="preserve"> </w:t>
      </w:r>
      <w:r w:rsidRPr="00981405">
        <w:t>draft</w:t>
      </w:r>
      <w:r w:rsidR="00190923" w:rsidRPr="00981405">
        <w:t xml:space="preserve"> </w:t>
      </w:r>
      <w:r w:rsidRPr="00981405">
        <w:t>introductory</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I-(x)</w:t>
      </w:r>
      <w:r w:rsidR="00190923" w:rsidRPr="00981405">
        <w:t xml:space="preserve"> </w:t>
      </w:r>
      <w:r w:rsidRPr="00981405">
        <w:t>to</w:t>
      </w:r>
      <w:r w:rsidR="00190923" w:rsidRPr="00981405">
        <w:t xml:space="preserve"> </w:t>
      </w:r>
      <w:r w:rsidRPr="00981405">
        <w:t>II-5,</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w:t>
      </w:r>
      <w:hyperlink r:id="rId52" w:history="1">
        <w:r w:rsidR="00F304EB" w:rsidRPr="00F304EB">
          <w:rPr>
            <w:rStyle w:val="Hyperlink"/>
          </w:rPr>
          <w:t>A/CN.4/L.870</w:t>
        </w:r>
      </w:hyperlink>
      <w:r w:rsidRPr="00981405">
        <w:t>),</w:t>
      </w:r>
      <w:r w:rsidRPr="00981405">
        <w:rPr>
          <w:rStyle w:val="FootnoteReference"/>
        </w:rPr>
        <w:footnoteReference w:id="378"/>
      </w:r>
      <w:r w:rsidR="00190923" w:rsidRPr="00981405">
        <w:t xml:space="preserve"> </w:t>
      </w:r>
      <w:r w:rsidRPr="00981405">
        <w:t>which</w:t>
      </w:r>
      <w:r w:rsidR="00190923" w:rsidRPr="00981405">
        <w:t xml:space="preserve"> </w:t>
      </w:r>
      <w:r w:rsidRPr="00981405">
        <w:t>can</w:t>
      </w:r>
      <w:r w:rsidR="00190923" w:rsidRPr="00981405">
        <w:t xml:space="preserve"> </w:t>
      </w:r>
      <w:r w:rsidRPr="00981405">
        <w:t>be</w:t>
      </w:r>
      <w:r w:rsidR="00190923" w:rsidRPr="00981405">
        <w:t xml:space="preserve"> </w:t>
      </w:r>
      <w:r w:rsidRPr="00981405">
        <w:t>found</w:t>
      </w:r>
      <w:r w:rsidR="00190923" w:rsidRPr="00981405">
        <w:t xml:space="preserve"> </w:t>
      </w:r>
      <w:r w:rsidRPr="00981405">
        <w:t>on</w:t>
      </w:r>
      <w:r w:rsidR="00190923" w:rsidRPr="00981405">
        <w:t xml:space="preserve"> </w:t>
      </w:r>
      <w:r w:rsidRPr="00981405">
        <w:t>the</w:t>
      </w:r>
      <w:r w:rsidR="00190923" w:rsidRPr="00981405">
        <w:t xml:space="preserve"> </w:t>
      </w:r>
      <w:r w:rsidRPr="00981405">
        <w:t>website</w:t>
      </w:r>
      <w:r w:rsidR="00190923" w:rsidRPr="00981405">
        <w:t xml:space="preserve"> </w:t>
      </w:r>
      <w:r w:rsidRPr="00981405">
        <w:t>of</w:t>
      </w:r>
      <w:r w:rsidR="00190923" w:rsidRPr="00981405">
        <w:t xml:space="preserve"> </w:t>
      </w:r>
      <w:r w:rsidRPr="00981405">
        <w:t>the</w:t>
      </w:r>
      <w:r w:rsidR="0012313A">
        <w:t xml:space="preserve"> </w:t>
      </w:r>
      <w:r w:rsidRPr="00981405">
        <w:lastRenderedPageBreak/>
        <w:t>Commission.</w:t>
      </w:r>
      <w:r w:rsidR="0012313A">
        <w:t xml:space="preserve"> </w:t>
      </w:r>
      <w:r w:rsidRPr="00981405">
        <w:t>The</w:t>
      </w:r>
      <w:r w:rsidR="00190923" w:rsidRPr="00981405">
        <w:t xml:space="preserve"> </w:t>
      </w:r>
      <w:r w:rsidRPr="00981405">
        <w:t>Commission</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introductory</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as</w:t>
      </w:r>
      <w:r w:rsidR="00190923" w:rsidRPr="00981405">
        <w:t xml:space="preserve"> </w:t>
      </w:r>
      <w:r w:rsidRPr="00981405">
        <w:t>presented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It</w:t>
      </w:r>
      <w:r w:rsidR="00190923" w:rsidRPr="00981405">
        <w:t xml:space="preserve"> </w:t>
      </w:r>
      <w:r w:rsidRPr="00981405">
        <w:t>is</w:t>
      </w:r>
      <w:r w:rsidR="00190923" w:rsidRPr="00981405">
        <w:t xml:space="preserve"> </w:t>
      </w:r>
      <w:r w:rsidRPr="00981405">
        <w:t>anticipated</w:t>
      </w:r>
      <w:r w:rsidR="00190923" w:rsidRPr="00981405">
        <w:t xml:space="preserve"> </w:t>
      </w:r>
      <w:r w:rsidRPr="00981405">
        <w:t>that</w:t>
      </w:r>
      <w:r w:rsidR="00190923" w:rsidRPr="00981405">
        <w:t xml:space="preserve"> </w:t>
      </w:r>
      <w:r w:rsidRPr="00981405">
        <w:t>commentaries</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will</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at</w:t>
      </w:r>
      <w:r w:rsidR="00190923" w:rsidRPr="00981405">
        <w:t xml:space="preserve"> </w:t>
      </w:r>
      <w:r w:rsidRPr="00981405">
        <w:t>the</w:t>
      </w:r>
      <w:r w:rsidR="00190923" w:rsidRPr="00981405">
        <w:t xml:space="preserve"> </w:t>
      </w:r>
      <w:r w:rsidRPr="00981405">
        <w:t>next</w:t>
      </w:r>
      <w:r w:rsidR="00190923" w:rsidRPr="00981405">
        <w:t xml:space="preserve"> </w:t>
      </w:r>
      <w:r w:rsidRPr="00981405">
        <w:t>session.</w:t>
      </w:r>
    </w:p>
    <w:p w:rsidR="00590FA7" w:rsidRPr="00D97463" w:rsidRDefault="00590FA7" w:rsidP="00D97463">
      <w:pPr>
        <w:pStyle w:val="SingleTxt"/>
        <w:spacing w:after="0" w:line="120" w:lineRule="exact"/>
        <w:rPr>
          <w:sz w:val="10"/>
        </w:rPr>
      </w:pPr>
    </w:p>
    <w:p w:rsidR="00397032" w:rsidRPr="00D97463" w:rsidRDefault="00397032" w:rsidP="00D97463">
      <w:pPr>
        <w:pStyle w:val="H23"/>
        <w:ind w:right="1260"/>
      </w:pPr>
      <w:r w:rsidRPr="00D97463">
        <w:tab/>
      </w:r>
      <w:bookmarkStart w:id="132" w:name="_Toc427938122"/>
      <w:r w:rsidRPr="00D97463">
        <w:t>1.</w:t>
      </w:r>
      <w:r w:rsidRPr="00D97463">
        <w:tab/>
        <w:t>Introduction</w:t>
      </w:r>
      <w:r w:rsidR="00190923" w:rsidRPr="00D97463">
        <w:t xml:space="preserve"> </w:t>
      </w:r>
      <w:r w:rsidRPr="00D97463">
        <w:t>by</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r w:rsidR="00190923" w:rsidRPr="00D97463">
        <w:t xml:space="preserve"> </w:t>
      </w:r>
      <w:r w:rsidRPr="00D97463">
        <w:t>of</w:t>
      </w:r>
      <w:r w:rsidR="00190923" w:rsidRPr="00D97463">
        <w:t xml:space="preserve"> </w:t>
      </w:r>
      <w:r w:rsidRPr="00D97463">
        <w:t>the</w:t>
      </w:r>
      <w:r w:rsidR="00190923" w:rsidRPr="00D97463">
        <w:t xml:space="preserve"> </w:t>
      </w:r>
      <w:r w:rsidRPr="00D97463">
        <w:t>second</w:t>
      </w:r>
      <w:r w:rsidR="00190923" w:rsidRPr="00D97463">
        <w:t xml:space="preserve"> </w:t>
      </w:r>
      <w:r w:rsidRPr="00D97463">
        <w:t>report</w:t>
      </w:r>
      <w:bookmarkEnd w:id="13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135.</w:t>
      </w:r>
      <w:r w:rsidRPr="00981405">
        <w:tab/>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consisted</w:t>
      </w:r>
      <w:r w:rsidR="00190923" w:rsidRPr="00981405">
        <w:t xml:space="preserve"> </w:t>
      </w:r>
      <w:r w:rsidRPr="00981405">
        <w:t>in</w:t>
      </w:r>
      <w:r w:rsidR="00190923" w:rsidRPr="00981405">
        <w:t xml:space="preserve"> </w:t>
      </w:r>
      <w:r w:rsidRPr="00981405">
        <w:t>identifying</w:t>
      </w:r>
      <w:r w:rsidR="00190923" w:rsidRPr="00981405">
        <w:t xml:space="preserve"> </w:t>
      </w:r>
      <w:r w:rsidRPr="00981405">
        <w:t>existing</w:t>
      </w:r>
      <w:r w:rsidR="00190923" w:rsidRPr="00981405">
        <w:t xml:space="preserve"> </w:t>
      </w:r>
      <w:r w:rsidRPr="00981405">
        <w:t>rules</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directly</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and</w:t>
      </w:r>
      <w:r w:rsidR="00190923" w:rsidRPr="00981405">
        <w:t xml:space="preserve"> </w:t>
      </w:r>
      <w:r w:rsidRPr="00981405">
        <w:t>included</w:t>
      </w:r>
      <w:r w:rsidR="00190923" w:rsidRPr="00981405">
        <w:t xml:space="preserve"> </w:t>
      </w:r>
      <w:r w:rsidRPr="00981405">
        <w:t>an</w:t>
      </w:r>
      <w:r w:rsidR="00190923" w:rsidRPr="00981405">
        <w:t xml:space="preserve"> </w:t>
      </w:r>
      <w:r w:rsidRPr="00981405">
        <w:t>examination</w:t>
      </w:r>
      <w:r w:rsidR="00190923" w:rsidRPr="00981405">
        <w:t xml:space="preserve"> </w:t>
      </w:r>
      <w:r w:rsidRPr="00981405">
        <w:t>of</w:t>
      </w:r>
      <w:r w:rsidR="00190923" w:rsidRPr="00981405">
        <w:t xml:space="preserve"> </w:t>
      </w:r>
      <w:r w:rsidRPr="00981405">
        <w:t>such</w:t>
      </w:r>
      <w:r w:rsidR="00190923" w:rsidRPr="00981405">
        <w:t xml:space="preserve"> </w:t>
      </w:r>
      <w:r w:rsidRPr="00981405">
        <w:t>rules.</w:t>
      </w:r>
      <w:r w:rsidR="00190923" w:rsidRPr="00981405">
        <w:t xml:space="preserve"> </w:t>
      </w:r>
      <w:r w:rsidRPr="00981405">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contained</w:t>
      </w:r>
      <w:r w:rsidR="00190923" w:rsidRPr="00981405">
        <w:t xml:space="preserve"> </w:t>
      </w:r>
      <w:r w:rsidRPr="00981405">
        <w:t>proposals</w:t>
      </w:r>
      <w:r w:rsidR="00190923" w:rsidRPr="00981405">
        <w:t xml:space="preserve"> </w:t>
      </w:r>
      <w:r w:rsidRPr="00981405">
        <w:t>of</w:t>
      </w:r>
      <w:r w:rsidR="00190923" w:rsidRPr="00981405">
        <w:t xml:space="preserve"> </w:t>
      </w:r>
      <w:r w:rsidRPr="00981405">
        <w:t>a</w:t>
      </w:r>
      <w:r w:rsidR="00190923" w:rsidRPr="00981405">
        <w:t xml:space="preserve"> </w:t>
      </w:r>
      <w:r w:rsidRPr="00981405">
        <w:t>preamble</w:t>
      </w:r>
      <w:r w:rsidR="00190923" w:rsidRPr="00981405">
        <w:t xml:space="preserve"> </w:t>
      </w:r>
      <w:r w:rsidRPr="00981405">
        <w:t>and</w:t>
      </w:r>
      <w:r w:rsidR="00190923" w:rsidRPr="00981405">
        <w:t xml:space="preserve"> </w:t>
      </w:r>
      <w:r w:rsidRPr="00981405">
        <w:t>five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preambular</w:t>
      </w:r>
      <w:r w:rsidR="00190923" w:rsidRPr="00981405">
        <w:t xml:space="preserve"> </w:t>
      </w:r>
      <w:r w:rsidRPr="00981405">
        <w:t>paragraphs</w:t>
      </w:r>
      <w:r w:rsidR="00190923" w:rsidRPr="00981405">
        <w:t xml:space="preserve"> </w:t>
      </w:r>
      <w:r w:rsidRPr="00981405">
        <w:t>contained</w:t>
      </w:r>
      <w:r w:rsidR="00190923" w:rsidRPr="00981405">
        <w:t xml:space="preserve"> </w:t>
      </w:r>
      <w:r w:rsidRPr="00981405">
        <w:t>provisions</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purpose</w:t>
      </w:r>
      <w:r w:rsidR="00190923" w:rsidRPr="00981405">
        <w:t xml:space="preserve"> </w:t>
      </w:r>
      <w:r w:rsidRPr="00981405">
        <w:t>and</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delineating</w:t>
      </w:r>
      <w:r w:rsidR="00190923" w:rsidRPr="00981405">
        <w:t xml:space="preserve"> </w:t>
      </w:r>
      <w:r w:rsidRPr="00981405">
        <w:t>the</w:t>
      </w:r>
      <w:r w:rsidR="00190923" w:rsidRPr="00981405">
        <w:t xml:space="preserve"> </w:t>
      </w:r>
      <w:r w:rsidRPr="00981405">
        <w:t>terms</w:t>
      </w:r>
      <w:r w:rsidR="00190923" w:rsidRPr="00981405">
        <w:t xml:space="preserve"> </w:t>
      </w:r>
      <w:r w:rsidR="00B92E2C" w:rsidRPr="00981405">
        <w:t>“</w:t>
      </w:r>
      <w:r w:rsidRPr="00981405">
        <w:t>armed</w:t>
      </w:r>
      <w:r w:rsidR="00190923" w:rsidRPr="00981405">
        <w:t xml:space="preserve"> </w:t>
      </w:r>
      <w:r w:rsidRPr="00981405">
        <w:t>conflict</w:t>
      </w:r>
      <w:r w:rsidR="00B92E2C" w:rsidRPr="00981405">
        <w:t>”</w:t>
      </w:r>
      <w:r w:rsidR="00190923" w:rsidRPr="00981405">
        <w:t xml:space="preserve"> </w:t>
      </w:r>
      <w:r w:rsidRPr="00981405">
        <w:t>and</w:t>
      </w:r>
      <w:r w:rsidR="00190923" w:rsidRPr="00981405">
        <w:t xml:space="preserve"> </w:t>
      </w:r>
      <w:r w:rsidR="00B92E2C" w:rsidRPr="00981405">
        <w:t>“</w:t>
      </w:r>
      <w:r w:rsidRPr="00981405">
        <w:t>environment</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suggested</w:t>
      </w:r>
      <w:r w:rsidR="00190923" w:rsidRPr="00981405">
        <w:t xml:space="preserve"> </w:t>
      </w:r>
      <w:r w:rsidRPr="00981405">
        <w:t>formulations</w:t>
      </w:r>
      <w:r w:rsidR="00190923" w:rsidRPr="00981405">
        <w:t xml:space="preserve"> </w:t>
      </w:r>
      <w:r w:rsidRPr="00981405">
        <w:t>on</w:t>
      </w:r>
      <w:r w:rsidR="00190923" w:rsidRPr="00981405">
        <w:t xml:space="preserve"> </w:t>
      </w:r>
      <w:r w:rsidR="00B92E2C" w:rsidRPr="00981405">
        <w:t>“</w:t>
      </w:r>
      <w:r w:rsidRPr="00981405">
        <w:t>armed</w:t>
      </w:r>
      <w:r w:rsidR="00190923" w:rsidRPr="00981405">
        <w:t xml:space="preserve"> </w:t>
      </w:r>
      <w:r w:rsidRPr="00981405">
        <w:t>conflict</w:t>
      </w:r>
      <w:r w:rsidR="00B92E2C" w:rsidRPr="00981405">
        <w:t>”</w:t>
      </w:r>
      <w:r w:rsidR="00190923" w:rsidRPr="00981405">
        <w:t xml:space="preserve"> </w:t>
      </w:r>
      <w:r w:rsidRPr="00981405">
        <w:t>and</w:t>
      </w:r>
      <w:r w:rsidR="00190923" w:rsidRPr="00981405">
        <w:t xml:space="preserve"> </w:t>
      </w:r>
      <w:r w:rsidR="00B92E2C" w:rsidRPr="00981405">
        <w:t>“</w:t>
      </w:r>
      <w:r w:rsidRPr="00981405">
        <w:t>environment</w:t>
      </w:r>
      <w:r w:rsidR="00B92E2C" w:rsidRPr="00981405">
        <w:t>”</w:t>
      </w:r>
      <w:r w:rsidR="00190923" w:rsidRPr="00981405">
        <w:t xml:space="preserve"> </w:t>
      </w:r>
      <w:r w:rsidRPr="00981405">
        <w:t>had</w:t>
      </w:r>
      <w:r w:rsidR="00190923" w:rsidRPr="00981405">
        <w:t xml:space="preserve"> </w:t>
      </w:r>
      <w:r w:rsidRPr="00981405">
        <w:t>been</w:t>
      </w:r>
      <w:r w:rsidR="00190923" w:rsidRPr="00981405">
        <w:t xml:space="preserve"> </w:t>
      </w:r>
      <w:r w:rsidRPr="00981405">
        <w:t>submitted</w:t>
      </w:r>
      <w:r w:rsidR="00190923" w:rsidRPr="00981405">
        <w:t xml:space="preserve"> </w:t>
      </w:r>
      <w:r w:rsidRPr="00981405">
        <w:t>already</w:t>
      </w:r>
      <w:r w:rsidR="00190923" w:rsidRPr="00981405">
        <w:t xml:space="preserve"> </w:t>
      </w:r>
      <w:r w:rsidRPr="00981405">
        <w:t>in</w:t>
      </w:r>
      <w:r w:rsidR="00190923" w:rsidRPr="00981405">
        <w:t xml:space="preserve"> </w:t>
      </w:r>
      <w:r w:rsidRPr="00981405">
        <w:t>the</w:t>
      </w:r>
      <w:r w:rsidR="00190923" w:rsidRPr="00981405">
        <w:t xml:space="preserve"> </w:t>
      </w:r>
      <w:r w:rsidRPr="00981405">
        <w:t>preliminary</w:t>
      </w:r>
      <w:r w:rsidR="00190923" w:rsidRPr="00981405">
        <w:t xml:space="preserve"> </w:t>
      </w:r>
      <w:r w:rsidRPr="00981405">
        <w:t>report.</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contained</w:t>
      </w:r>
      <w:r w:rsidR="00190923" w:rsidRPr="00981405">
        <w:t xml:space="preserve"> </w:t>
      </w:r>
      <w:r w:rsidRPr="00981405">
        <w:t>a</w:t>
      </w:r>
      <w:r w:rsidR="00190923" w:rsidRPr="00981405">
        <w:t xml:space="preserve"> </w:t>
      </w:r>
      <w:r w:rsidRPr="00981405">
        <w:t>provision</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and</w:t>
      </w:r>
      <w:r w:rsidR="00190923" w:rsidRPr="00981405">
        <w:t xml:space="preserve"> </w:t>
      </w:r>
      <w:r w:rsidRPr="00981405">
        <w:t>was</w:t>
      </w:r>
      <w:r w:rsidR="00190923" w:rsidRPr="00981405">
        <w:t xml:space="preserve"> </w:t>
      </w:r>
      <w:r w:rsidRPr="00981405">
        <w:t>general</w:t>
      </w:r>
      <w:r w:rsidR="00190923" w:rsidRPr="00981405">
        <w:t xml:space="preserve"> </w:t>
      </w:r>
      <w:r w:rsidRPr="00981405">
        <w:t>in</w:t>
      </w:r>
      <w:r w:rsidR="00190923" w:rsidRPr="00981405">
        <w:t xml:space="preserve"> </w:t>
      </w:r>
      <w:r w:rsidRPr="00981405">
        <w:t>nature.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2</w:t>
      </w:r>
      <w:r w:rsidR="00190923" w:rsidRPr="00981405">
        <w:t xml:space="preserve"> </w:t>
      </w:r>
      <w:r w:rsidRPr="00981405">
        <w:t>concerned</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and</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3</w:t>
      </w:r>
      <w:r w:rsidR="00190923" w:rsidRPr="00981405">
        <w:t xml:space="preserve"> </w:t>
      </w:r>
      <w:r w:rsidRPr="00981405">
        <w:t>addressed</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take</w:t>
      </w:r>
      <w:r w:rsidR="00190923" w:rsidRPr="00981405">
        <w:t xml:space="preserve"> </w:t>
      </w:r>
      <w:r w:rsidRPr="00981405">
        <w:t>into</w:t>
      </w:r>
      <w:r w:rsidR="00190923" w:rsidRPr="00981405">
        <w:t xml:space="preserve"> </w:t>
      </w:r>
      <w:r w:rsidRPr="00981405">
        <w:t>account</w:t>
      </w:r>
      <w:r w:rsidR="00190923" w:rsidRPr="00981405">
        <w:t xml:space="preserve"> </w:t>
      </w:r>
      <w:r w:rsidRPr="00981405">
        <w:t>environmental</w:t>
      </w:r>
      <w:r w:rsidR="00190923" w:rsidRPr="00981405">
        <w:t xml:space="preserve"> </w:t>
      </w:r>
      <w:r w:rsidRPr="00981405">
        <w:t>considerations</w:t>
      </w:r>
      <w:r w:rsidR="00190923" w:rsidRPr="00981405">
        <w:t xml:space="preserve"> </w:t>
      </w:r>
      <w:r w:rsidRPr="00981405">
        <w:t>when</w:t>
      </w:r>
      <w:r w:rsidR="00190923" w:rsidRPr="00981405">
        <w:t xml:space="preserve"> </w:t>
      </w:r>
      <w:r w:rsidRPr="00981405">
        <w:t>assessing</w:t>
      </w:r>
      <w:r w:rsidR="00190923" w:rsidRPr="00981405">
        <w:t xml:space="preserve"> </w:t>
      </w:r>
      <w:r w:rsidRPr="00981405">
        <w:t>what</w:t>
      </w:r>
      <w:r w:rsidR="00190923" w:rsidRPr="00981405">
        <w:t xml:space="preserve"> </w:t>
      </w:r>
      <w:r w:rsidRPr="00981405">
        <w:t>is</w:t>
      </w:r>
      <w:r w:rsidR="00190923" w:rsidRPr="00981405">
        <w:t xml:space="preserve"> </w:t>
      </w:r>
      <w:r w:rsidRPr="00981405">
        <w:t>necessary</w:t>
      </w:r>
      <w:r w:rsidR="00190923" w:rsidRPr="00981405">
        <w:t xml:space="preserve"> </w:t>
      </w:r>
      <w:r w:rsidRPr="00981405">
        <w:t>and</w:t>
      </w:r>
      <w:r w:rsidR="00190923" w:rsidRPr="00981405">
        <w:t xml:space="preserve"> </w:t>
      </w:r>
      <w:r w:rsidRPr="00981405">
        <w:t>proportionate</w:t>
      </w:r>
      <w:r w:rsidR="00190923" w:rsidRPr="00981405">
        <w:t xml:space="preserve"> </w:t>
      </w:r>
      <w:r w:rsidRPr="00981405">
        <w:t>in</w:t>
      </w:r>
      <w:r w:rsidR="00190923" w:rsidRPr="00981405">
        <w:t xml:space="preserve"> </w:t>
      </w:r>
      <w:r w:rsidRPr="00981405">
        <w:t>the</w:t>
      </w:r>
      <w:r w:rsidR="00190923" w:rsidRPr="00981405">
        <w:t xml:space="preserve"> </w:t>
      </w:r>
      <w:r w:rsidRPr="00981405">
        <w:t>pursuit</w:t>
      </w:r>
      <w:r w:rsidR="00190923" w:rsidRPr="00981405">
        <w:t xml:space="preserve"> </w:t>
      </w:r>
      <w:r w:rsidRPr="00981405">
        <w:t>of</w:t>
      </w:r>
      <w:r w:rsidR="00190923" w:rsidRPr="00981405">
        <w:t xml:space="preserve"> </w:t>
      </w:r>
      <w:r w:rsidRPr="00981405">
        <w:t>military</w:t>
      </w:r>
      <w:r w:rsidR="00190923" w:rsidRPr="00981405">
        <w:t xml:space="preserve"> </w:t>
      </w:r>
      <w:r w:rsidRPr="00981405">
        <w:t>objectives.</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4</w:t>
      </w:r>
      <w:r w:rsidR="00190923" w:rsidRPr="00981405">
        <w:t xml:space="preserve"> </w:t>
      </w:r>
      <w:r w:rsidRPr="00981405">
        <w:t>contained</w:t>
      </w:r>
      <w:r w:rsidR="00190923" w:rsidRPr="00981405">
        <w:t xml:space="preserve"> </w:t>
      </w:r>
      <w:r w:rsidRPr="00981405">
        <w:t>a</w:t>
      </w:r>
      <w:r w:rsidR="00190923" w:rsidRPr="00981405">
        <w:t xml:space="preserve"> </w:t>
      </w:r>
      <w:r w:rsidRPr="00981405">
        <w:t>prohibition</w:t>
      </w:r>
      <w:r w:rsidR="00190923" w:rsidRPr="00981405">
        <w:t xml:space="preserve"> </w:t>
      </w:r>
      <w:r w:rsidRPr="00981405">
        <w:t>on</w:t>
      </w:r>
      <w:r w:rsidR="00190923" w:rsidRPr="00981405">
        <w:t xml:space="preserve"> </w:t>
      </w:r>
      <w:r w:rsidRPr="00981405">
        <w:t>attacks</w:t>
      </w:r>
      <w:r w:rsidR="00190923" w:rsidRPr="00981405">
        <w:t xml:space="preserve"> </w:t>
      </w:r>
      <w:r w:rsidRPr="00981405">
        <w:t>against</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by</w:t>
      </w:r>
      <w:r w:rsidR="00190923" w:rsidRPr="00981405">
        <w:t xml:space="preserve"> </w:t>
      </w:r>
      <w:r w:rsidRPr="00981405">
        <w:t>way</w:t>
      </w:r>
      <w:r w:rsidR="00190923" w:rsidRPr="00981405">
        <w:t xml:space="preserve"> </w:t>
      </w:r>
      <w:r w:rsidRPr="00981405">
        <w:t>of</w:t>
      </w:r>
      <w:r w:rsidR="00190923" w:rsidRPr="00981405">
        <w:t xml:space="preserve"> </w:t>
      </w:r>
      <w:r w:rsidRPr="00981405">
        <w:t>reprisals</w:t>
      </w:r>
      <w:r w:rsidR="00190923" w:rsidRPr="00981405">
        <w:t xml:space="preserve"> </w:t>
      </w:r>
      <w:r w:rsidRPr="00981405">
        <w:t>and</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5</w:t>
      </w:r>
      <w:r w:rsidR="00190923" w:rsidRPr="00981405">
        <w:t xml:space="preserve"> </w:t>
      </w:r>
      <w:r w:rsidRPr="00981405">
        <w:t>concerned</w:t>
      </w:r>
      <w:r w:rsidR="00190923" w:rsidRPr="00981405">
        <w:t xml:space="preserve"> </w:t>
      </w:r>
      <w:r w:rsidRPr="00981405">
        <w:t>the</w:t>
      </w:r>
      <w:r w:rsidR="00190923" w:rsidRPr="00981405">
        <w:t xml:space="preserve"> </w:t>
      </w:r>
      <w:r w:rsidRPr="00981405">
        <w:t>designation</w:t>
      </w:r>
      <w:r w:rsidR="00190923" w:rsidRPr="00981405">
        <w:t xml:space="preserve"> </w:t>
      </w:r>
      <w:r w:rsidRPr="00981405">
        <w:t>of</w:t>
      </w:r>
      <w:r w:rsidR="00190923" w:rsidRPr="00981405">
        <w:t xml:space="preserve"> </w:t>
      </w:r>
      <w:r w:rsidRPr="00981405">
        <w:t>areas</w:t>
      </w:r>
      <w:r w:rsidR="00190923" w:rsidRPr="00981405">
        <w:t xml:space="preserve"> </w:t>
      </w:r>
      <w:r w:rsidRPr="00981405">
        <w:t>of</w:t>
      </w:r>
      <w:r w:rsidR="00190923" w:rsidRPr="00981405">
        <w:t xml:space="preserve"> </w:t>
      </w:r>
      <w:r w:rsidRPr="00981405">
        <w:t>major</w:t>
      </w:r>
      <w:r w:rsidR="00190923" w:rsidRPr="00981405">
        <w:t xml:space="preserve"> </w:t>
      </w:r>
      <w:r w:rsidRPr="00981405">
        <w:t>ecological</w:t>
      </w:r>
      <w:r w:rsidR="00190923" w:rsidRPr="00981405">
        <w:t xml:space="preserve"> </w:t>
      </w:r>
      <w:r w:rsidRPr="00981405">
        <w:t>importance</w:t>
      </w:r>
      <w:r w:rsidR="00190923" w:rsidRPr="00981405">
        <w:t xml:space="preserve"> </w:t>
      </w:r>
      <w:r w:rsidRPr="00981405">
        <w:t>as</w:t>
      </w:r>
      <w:r w:rsidR="00190923" w:rsidRPr="00981405">
        <w:t xml:space="preserve"> </w:t>
      </w:r>
      <w:r w:rsidRPr="00981405">
        <w:t>demilitarized</w:t>
      </w:r>
      <w:r w:rsidR="00190923" w:rsidRPr="00981405">
        <w:t xml:space="preserve"> </w:t>
      </w:r>
      <w:r w:rsidRPr="00981405">
        <w:t>zones.</w:t>
      </w:r>
      <w:r w:rsidR="00190923" w:rsidRPr="00981405">
        <w:t xml:space="preserve"> </w:t>
      </w:r>
      <w:r w:rsidRPr="00981405">
        <w:t>When</w:t>
      </w:r>
      <w:r w:rsidR="00190923" w:rsidRPr="00981405">
        <w:t xml:space="preserve"> </w:t>
      </w:r>
      <w:r w:rsidRPr="00981405">
        <w:t>introducing</w:t>
      </w:r>
      <w:r w:rsidR="00190923" w:rsidRPr="00981405">
        <w:t xml:space="preserve"> </w:t>
      </w:r>
      <w:r w:rsidRPr="00981405">
        <w:t>the</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clarified</w:t>
      </w:r>
      <w:r w:rsidR="00190923" w:rsidRPr="00981405">
        <w:t xml:space="preserve"> </w:t>
      </w:r>
      <w:r w:rsidRPr="00981405">
        <w:t>that</w:t>
      </w:r>
      <w:r w:rsidR="00190923" w:rsidRPr="00981405">
        <w:t xml:space="preserve"> </w:t>
      </w:r>
      <w:r w:rsidR="00B92E2C" w:rsidRPr="00981405">
        <w:t>“</w:t>
      </w:r>
      <w:r w:rsidRPr="00981405">
        <w:t>principles</w:t>
      </w:r>
      <w:r w:rsidR="00B92E2C" w:rsidRPr="00981405">
        <w:t>”</w:t>
      </w:r>
      <w:r w:rsidR="00190923" w:rsidRPr="00981405">
        <w:t xml:space="preserve"> </w:t>
      </w:r>
      <w:r w:rsidRPr="00981405">
        <w:t>had</w:t>
      </w:r>
      <w:r w:rsidR="00190923" w:rsidRPr="00981405">
        <w:t xml:space="preserve"> </w:t>
      </w:r>
      <w:r w:rsidRPr="00981405">
        <w:t>been</w:t>
      </w:r>
      <w:r w:rsidR="00190923" w:rsidRPr="00981405">
        <w:t xml:space="preserve"> </w:t>
      </w:r>
      <w:r w:rsidRPr="00981405">
        <w:t>proposed</w:t>
      </w:r>
      <w:r w:rsidR="00190923" w:rsidRPr="00981405">
        <w:t xml:space="preserve"> </w:t>
      </w:r>
      <w:r w:rsidRPr="00981405">
        <w:t>as</w:t>
      </w:r>
      <w:r w:rsidR="00190923" w:rsidRPr="00981405">
        <w:t xml:space="preserve"> </w:t>
      </w:r>
      <w:r w:rsidRPr="00981405">
        <w:t>the</w:t>
      </w:r>
      <w:r w:rsidR="00190923" w:rsidRPr="00981405">
        <w:t xml:space="preserve"> </w:t>
      </w:r>
      <w:r w:rsidRPr="00981405">
        <w:t>most</w:t>
      </w:r>
      <w:r w:rsidR="00190923" w:rsidRPr="00981405">
        <w:t xml:space="preserve"> </w:t>
      </w:r>
      <w:r w:rsidRPr="00981405">
        <w:t>adequate</w:t>
      </w:r>
      <w:r w:rsidR="00190923" w:rsidRPr="00981405">
        <w:t xml:space="preserve"> </w:t>
      </w:r>
      <w:r w:rsidRPr="00981405">
        <w:t>outcome</w:t>
      </w:r>
      <w:r w:rsidR="00190923" w:rsidRPr="00981405">
        <w:t xml:space="preserve"> </w:t>
      </w:r>
      <w:r w:rsidRPr="00981405">
        <w:t>of</w:t>
      </w:r>
      <w:r w:rsidR="00190923" w:rsidRPr="00981405">
        <w:t xml:space="preserve"> </w:t>
      </w:r>
      <w:r w:rsidRPr="00981405">
        <w:t>work</w:t>
      </w:r>
      <w:r w:rsidR="00190923" w:rsidRPr="00981405">
        <w:t xml:space="preserve"> </w:t>
      </w:r>
      <w:r w:rsidRPr="00981405">
        <w:t>since</w:t>
      </w:r>
      <w:r w:rsidR="00190923" w:rsidRPr="00981405">
        <w:t xml:space="preserve"> </w:t>
      </w:r>
      <w:r w:rsidRPr="00981405">
        <w:t>they</w:t>
      </w:r>
      <w:r w:rsidR="00190923" w:rsidRPr="00981405">
        <w:t xml:space="preserve"> </w:t>
      </w:r>
      <w:r w:rsidRPr="00981405">
        <w:t>offered</w:t>
      </w:r>
      <w:r w:rsidR="00190923" w:rsidRPr="00981405">
        <w:t xml:space="preserve"> </w:t>
      </w:r>
      <w:r w:rsidRPr="00981405">
        <w:t>sufficient</w:t>
      </w:r>
      <w:r w:rsidR="00190923" w:rsidRPr="00981405">
        <w:t xml:space="preserve"> </w:t>
      </w:r>
      <w:r w:rsidRPr="00981405">
        <w:t>flexibility</w:t>
      </w:r>
      <w:r w:rsidR="00190923" w:rsidRPr="00981405">
        <w:t xml:space="preserve"> </w:t>
      </w:r>
      <w:r w:rsidRPr="00981405">
        <w:t>to</w:t>
      </w:r>
      <w:r w:rsidR="00190923" w:rsidRPr="00981405">
        <w:t xml:space="preserve"> </w:t>
      </w:r>
      <w:r w:rsidRPr="00981405">
        <w:t>cover</w:t>
      </w:r>
      <w:r w:rsidR="00190923" w:rsidRPr="00981405">
        <w:t xml:space="preserve"> </w:t>
      </w:r>
      <w:r w:rsidRPr="00981405">
        <w:t>all</w:t>
      </w:r>
      <w:r w:rsidR="00190923" w:rsidRPr="00981405">
        <w:t xml:space="preserve"> </w:t>
      </w:r>
      <w:r w:rsidRPr="00981405">
        <w:t>stages</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Referring</w:t>
      </w:r>
      <w:r w:rsidR="00190923" w:rsidRPr="00981405">
        <w:t xml:space="preserve"> </w:t>
      </w:r>
      <w:r w:rsidRPr="00981405">
        <w:t>to</w:t>
      </w:r>
      <w:r w:rsidR="00190923" w:rsidRPr="00981405">
        <w:t xml:space="preserve"> </w:t>
      </w:r>
      <w:r w:rsidRPr="00981405">
        <w:t>the</w:t>
      </w:r>
      <w:r w:rsidR="00190923" w:rsidRPr="00981405">
        <w:t xml:space="preserve"> </w:t>
      </w:r>
      <w:r w:rsidRPr="00981405">
        <w:t>proposed</w:t>
      </w:r>
      <w:r w:rsidR="00190923" w:rsidRPr="00981405">
        <w:t xml:space="preserve"> </w:t>
      </w:r>
      <w:r w:rsidRPr="00981405">
        <w:t>preamble,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reiterated</w:t>
      </w:r>
      <w:r w:rsidR="00190923" w:rsidRPr="00981405">
        <w:t xml:space="preserve"> </w:t>
      </w:r>
      <w:r w:rsidRPr="00981405">
        <w:t>her</w:t>
      </w:r>
      <w:r w:rsidR="00190923" w:rsidRPr="00981405">
        <w:t xml:space="preserve"> </w:t>
      </w:r>
      <w:r w:rsidRPr="00981405">
        <w:t>doubts</w:t>
      </w:r>
      <w:r w:rsidR="00190923" w:rsidRPr="00981405">
        <w:t xml:space="preserve"> </w:t>
      </w:r>
      <w:r w:rsidRPr="00981405">
        <w:t>as</w:t>
      </w:r>
      <w:r w:rsidR="00190923" w:rsidRPr="00981405">
        <w:t xml:space="preserve"> </w:t>
      </w:r>
      <w:r w:rsidRPr="00981405">
        <w:t>to</w:t>
      </w:r>
      <w:r w:rsidR="00190923" w:rsidRPr="00981405">
        <w:t xml:space="preserve"> </w:t>
      </w:r>
      <w:r w:rsidRPr="00981405">
        <w:t>need</w:t>
      </w:r>
      <w:r w:rsidR="00190923" w:rsidRPr="00981405">
        <w:t xml:space="preserve"> </w:t>
      </w:r>
      <w:r w:rsidRPr="00981405">
        <w:t>for</w:t>
      </w:r>
      <w:r w:rsidR="00190923" w:rsidRPr="00981405">
        <w:t xml:space="preserve"> </w:t>
      </w:r>
      <w:r w:rsidRPr="00981405">
        <w:t>a</w:t>
      </w:r>
      <w:r w:rsidR="00190923" w:rsidRPr="00981405">
        <w:t xml:space="preserve"> </w:t>
      </w:r>
      <w:r w:rsidRPr="00981405">
        <w:t>provision</w:t>
      </w:r>
      <w:r w:rsidR="00190923" w:rsidRPr="00981405">
        <w:t xml:space="preserve"> </w:t>
      </w:r>
      <w:r w:rsidRPr="00981405">
        <w:t>on</w:t>
      </w:r>
      <w:r w:rsidR="00190923" w:rsidRPr="00981405">
        <w:t xml:space="preserve"> </w:t>
      </w:r>
      <w:r w:rsidR="00B92E2C" w:rsidRPr="00981405">
        <w:t>“</w:t>
      </w:r>
      <w:r w:rsidRPr="00981405">
        <w:t>use</w:t>
      </w:r>
      <w:r w:rsidR="00190923" w:rsidRPr="00981405">
        <w:t xml:space="preserve"> </w:t>
      </w:r>
      <w:r w:rsidRPr="00981405">
        <w:t>of</w:t>
      </w:r>
      <w:r w:rsidR="00190923" w:rsidRPr="00981405">
        <w:t xml:space="preserve"> </w:t>
      </w:r>
      <w:r w:rsidRPr="00981405">
        <w:t>terms</w:t>
      </w:r>
      <w:r w:rsidR="00B92E2C" w:rsidRPr="00981405">
        <w:t>”</w:t>
      </w:r>
      <w:r w:rsidR="00190923" w:rsidRPr="00981405">
        <w:t xml:space="preserve"> </w:t>
      </w:r>
      <w:r w:rsidRPr="00981405">
        <w:t>but</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have</w:t>
      </w:r>
      <w:r w:rsidR="00190923" w:rsidRPr="00981405">
        <w:t xml:space="preserve"> </w:t>
      </w:r>
      <w:r w:rsidRPr="00981405">
        <w:t>been</w:t>
      </w:r>
      <w:r w:rsidR="00190923" w:rsidRPr="00981405">
        <w:t xml:space="preserve"> </w:t>
      </w:r>
      <w:r w:rsidRPr="00981405">
        <w:t>premature</w:t>
      </w:r>
      <w:r w:rsidR="00190923" w:rsidRPr="00981405">
        <w:t xml:space="preserve"> </w:t>
      </w:r>
      <w:r w:rsidRPr="00981405">
        <w:t>to</w:t>
      </w:r>
      <w:r w:rsidR="00190923" w:rsidRPr="00981405">
        <w:t xml:space="preserve"> </w:t>
      </w:r>
      <w:r w:rsidRPr="00981405">
        <w:t>exclude</w:t>
      </w:r>
      <w:r w:rsidR="00190923" w:rsidRPr="00981405">
        <w:t xml:space="preserve"> </w:t>
      </w:r>
      <w:r w:rsidRPr="00981405">
        <w:t>it</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views</w:t>
      </w:r>
      <w:r w:rsidR="00190923" w:rsidRPr="00981405">
        <w:t xml:space="preserve"> </w:t>
      </w:r>
      <w:r w:rsidRPr="00981405">
        <w:t>expressed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by</w:t>
      </w:r>
      <w:r w:rsidR="00190923" w:rsidRPr="00981405">
        <w:t xml:space="preserve"> </w:t>
      </w:r>
      <w:r w:rsidRPr="00981405">
        <w:t>States</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value</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clause.</w:t>
      </w:r>
      <w:r w:rsidR="00190923" w:rsidRPr="00981405">
        <w:t xml:space="preserve"> </w:t>
      </w:r>
      <w:r w:rsidRPr="00981405">
        <w:t>The</w:t>
      </w:r>
      <w:r w:rsidR="00190923" w:rsidRPr="00981405">
        <w:t xml:space="preserve"> </w:t>
      </w:r>
      <w:r w:rsidRPr="00981405">
        <w:t>need</w:t>
      </w:r>
      <w:r w:rsidR="00190923" w:rsidRPr="00981405">
        <w:t xml:space="preserve"> </w:t>
      </w:r>
      <w:r w:rsidRPr="00981405">
        <w:t>for</w:t>
      </w:r>
      <w:r w:rsidR="00190923" w:rsidRPr="00981405">
        <w:t xml:space="preserve"> </w:t>
      </w:r>
      <w:r w:rsidRPr="00981405">
        <w:t>such</w:t>
      </w:r>
      <w:r w:rsidR="00190923" w:rsidRPr="00981405">
        <w:t xml:space="preserve"> </w:t>
      </w:r>
      <w:r w:rsidRPr="00981405">
        <w:t>a</w:t>
      </w:r>
      <w:r w:rsidR="00190923" w:rsidRPr="00981405">
        <w:t xml:space="preserve"> </w:t>
      </w:r>
      <w:r w:rsidRPr="00981405">
        <w:t>provision</w:t>
      </w:r>
      <w:r w:rsidR="00190923" w:rsidRPr="00981405">
        <w:t xml:space="preserve"> </w:t>
      </w:r>
      <w:r w:rsidRPr="00981405">
        <w:t>would</w:t>
      </w:r>
      <w:r w:rsidR="00190923" w:rsidRPr="00981405">
        <w:t xml:space="preserve"> </w:t>
      </w:r>
      <w:r w:rsidRPr="00981405">
        <w:t>be</w:t>
      </w:r>
      <w:r w:rsidR="00190923" w:rsidRPr="00981405">
        <w:t xml:space="preserve"> </w:t>
      </w:r>
      <w:r w:rsidRPr="00981405">
        <w:t>reevaluated</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discussions</w:t>
      </w:r>
      <w:r w:rsidR="00190923" w:rsidRPr="00981405">
        <w:t xml:space="preserve"> </w:t>
      </w:r>
      <w:r w:rsidRPr="00981405">
        <w:t>during</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p>
    <w:p w:rsidR="00397032" w:rsidRPr="00981405" w:rsidRDefault="00397032" w:rsidP="00D97463">
      <w:pPr>
        <w:pStyle w:val="SingleTxt"/>
      </w:pPr>
      <w:r w:rsidRPr="00981405">
        <w:t>136.</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in</w:t>
      </w:r>
      <w:r w:rsidR="00190923" w:rsidRPr="00981405">
        <w:t xml:space="preserve"> </w:t>
      </w:r>
      <w:r w:rsidRPr="00981405">
        <w:t>addition</w:t>
      </w:r>
      <w:r w:rsidR="00190923" w:rsidRPr="00981405">
        <w:t xml:space="preserve"> </w:t>
      </w:r>
      <w:r w:rsidRPr="00981405">
        <w:t>to</w:t>
      </w:r>
      <w:r w:rsidR="00190923" w:rsidRPr="00981405">
        <w:t xml:space="preserve"> </w:t>
      </w:r>
      <w:r w:rsidRPr="00981405">
        <w:t>an</w:t>
      </w:r>
      <w:r w:rsidR="00190923" w:rsidRPr="00981405">
        <w:t xml:space="preserve"> </w:t>
      </w:r>
      <w:r w:rsidRPr="00981405">
        <w:t>examination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applicable</w:t>
      </w:r>
      <w:r w:rsidR="00190923" w:rsidRPr="00981405">
        <w:t xml:space="preserve"> </w:t>
      </w:r>
      <w:r w:rsidRPr="00981405">
        <w:t>during</w:t>
      </w:r>
      <w:r w:rsidR="00190923" w:rsidRPr="00981405">
        <w:t xml:space="preserve"> </w:t>
      </w:r>
      <w:r w:rsidRPr="00981405">
        <w:t>an</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report</w:t>
      </w:r>
      <w:r w:rsidR="00190923" w:rsidRPr="00981405">
        <w:t xml:space="preserve"> </w:t>
      </w:r>
      <w:r w:rsidRPr="00981405">
        <w:t>addressed</w:t>
      </w:r>
      <w:r w:rsidR="00190923" w:rsidRPr="00981405">
        <w:t xml:space="preserve"> </w:t>
      </w:r>
      <w:r w:rsidRPr="00981405">
        <w:t>some</w:t>
      </w:r>
      <w:r w:rsidR="00190923" w:rsidRPr="00981405">
        <w:t xml:space="preserve"> </w:t>
      </w:r>
      <w:r w:rsidRPr="00981405">
        <w:t>aspects</w:t>
      </w:r>
      <w:r w:rsidR="00190923" w:rsidRPr="00981405">
        <w:t xml:space="preserve"> </w:t>
      </w:r>
      <w:r w:rsidRPr="00981405">
        <w:t>of</w:t>
      </w:r>
      <w:r w:rsidR="00190923" w:rsidRPr="00981405">
        <w:t xml:space="preserve"> </w:t>
      </w:r>
      <w:r w:rsidRPr="00981405">
        <w:t>methodology</w:t>
      </w:r>
      <w:r w:rsidR="00190923" w:rsidRPr="00981405">
        <w:t xml:space="preserve"> </w:t>
      </w:r>
      <w:r w:rsidRPr="00981405">
        <w:t>and</w:t>
      </w:r>
      <w:r w:rsidR="00190923" w:rsidRPr="00981405">
        <w:t xml:space="preserve"> </w:t>
      </w:r>
      <w:r w:rsidRPr="00981405">
        <w:t>sources.</w:t>
      </w:r>
      <w:r w:rsidR="00190923" w:rsidRPr="00981405">
        <w:t xml:space="preserve"> </w:t>
      </w:r>
      <w:r w:rsidRPr="00981405">
        <w:t>It</w:t>
      </w:r>
      <w:r w:rsidR="00190923" w:rsidRPr="00981405">
        <w:t xml:space="preserve"> </w:t>
      </w:r>
      <w:r w:rsidRPr="00981405">
        <w:t>also</w:t>
      </w:r>
      <w:r w:rsidR="00190923" w:rsidRPr="00981405">
        <w:t xml:space="preserve"> </w:t>
      </w:r>
      <w:r w:rsidRPr="00981405">
        <w:t>provided</w:t>
      </w:r>
      <w:r w:rsidR="00190923" w:rsidRPr="00981405">
        <w:t xml:space="preserve"> </w:t>
      </w:r>
      <w:r w:rsidRPr="00981405">
        <w:t>a</w:t>
      </w:r>
      <w:r w:rsidR="00190923" w:rsidRPr="00981405">
        <w:t xml:space="preserve"> </w:t>
      </w:r>
      <w:r w:rsidRPr="00981405">
        <w:t>brief</w:t>
      </w:r>
      <w:r w:rsidR="00190923" w:rsidRPr="00981405">
        <w:t xml:space="preserve"> </w:t>
      </w:r>
      <w:r w:rsidRPr="00981405">
        <w:t>recapitulation</w:t>
      </w:r>
      <w:r w:rsidR="00190923" w:rsidRPr="00981405">
        <w:t xml:space="preserve"> </w:t>
      </w:r>
      <w:r w:rsidRPr="00981405">
        <w:t>of</w:t>
      </w:r>
      <w:r w:rsidR="00190923" w:rsidRPr="00981405">
        <w:t xml:space="preserve"> </w:t>
      </w:r>
      <w:r w:rsidRPr="00981405">
        <w:t>the</w:t>
      </w:r>
      <w:r w:rsidR="00190923" w:rsidRPr="00981405">
        <w:t xml:space="preserve"> </w:t>
      </w:r>
      <w:r w:rsidRPr="00981405">
        <w:t>discussions</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during</w:t>
      </w:r>
      <w:r w:rsidR="00190923" w:rsidRPr="00981405">
        <w:t xml:space="preserve"> </w:t>
      </w:r>
      <w:r w:rsidRPr="00981405">
        <w:t>the</w:t>
      </w:r>
      <w:r w:rsidR="00190923" w:rsidRPr="00981405">
        <w:t xml:space="preserve"> </w:t>
      </w:r>
      <w:r w:rsidRPr="00981405">
        <w:t>previous</w:t>
      </w:r>
      <w:r w:rsidR="00190923" w:rsidRPr="00981405">
        <w:t xml:space="preserve"> </w:t>
      </w:r>
      <w:r w:rsidRPr="00981405">
        <w:t>session,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views</w:t>
      </w:r>
      <w:r w:rsidR="00190923" w:rsidRPr="00981405">
        <w:t xml:space="preserve"> </w:t>
      </w:r>
      <w:r w:rsidRPr="00981405">
        <w:t>and</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and</w:t>
      </w:r>
      <w:r w:rsidR="00190923" w:rsidRPr="00981405">
        <w:t xml:space="preserve"> </w:t>
      </w:r>
      <w:r w:rsidRPr="00981405">
        <w:t>of</w:t>
      </w:r>
      <w:r w:rsidR="00190923" w:rsidRPr="00981405">
        <w:t xml:space="preserve"> </w:t>
      </w:r>
      <w:r w:rsidRPr="00981405">
        <w:t>select</w:t>
      </w:r>
      <w:r w:rsidR="00190923" w:rsidRPr="00981405">
        <w:t xml:space="preserve"> </w:t>
      </w:r>
      <w:r w:rsidRPr="00981405">
        <w:t>relevant</w:t>
      </w:r>
      <w:r w:rsidR="00190923" w:rsidRPr="00981405">
        <w:t xml:space="preserve"> </w:t>
      </w:r>
      <w:r w:rsidRPr="00981405">
        <w:t>case</w:t>
      </w:r>
      <w:r w:rsidR="00190923" w:rsidRPr="00981405">
        <w:t xml:space="preserve"> </w:t>
      </w:r>
      <w:r w:rsidRPr="00981405">
        <w:t>law.</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information</w:t>
      </w:r>
      <w:r w:rsidR="00190923" w:rsidRPr="00981405">
        <w:t xml:space="preserve"> </w:t>
      </w:r>
      <w:r w:rsidRPr="00981405">
        <w:t>provided</w:t>
      </w:r>
      <w:r w:rsidR="00190923" w:rsidRPr="00981405">
        <w:t xml:space="preserve"> </w:t>
      </w:r>
      <w:r w:rsidRPr="00981405">
        <w:t>by</w:t>
      </w:r>
      <w:r w:rsidR="00190923" w:rsidRPr="00981405">
        <w:t xml:space="preserve"> </w:t>
      </w:r>
      <w:r w:rsidRPr="00981405">
        <w:t>States,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such</w:t>
      </w:r>
      <w:r w:rsidR="00190923" w:rsidRPr="00981405">
        <w:t xml:space="preserve"> </w:t>
      </w:r>
      <w:r w:rsidRPr="00981405">
        <w:t>information</w:t>
      </w:r>
      <w:r w:rsidR="00190923" w:rsidRPr="00981405">
        <w:t xml:space="preserve"> </w:t>
      </w:r>
      <w:r w:rsidRPr="00981405">
        <w:t>was</w:t>
      </w:r>
      <w:r w:rsidR="00190923" w:rsidRPr="00981405">
        <w:t xml:space="preserve"> </w:t>
      </w:r>
      <w:r w:rsidRPr="00981405">
        <w:t>highly</w:t>
      </w:r>
      <w:r w:rsidR="00190923" w:rsidRPr="00981405">
        <w:t xml:space="preserve"> </w:t>
      </w:r>
      <w:r w:rsidRPr="00981405">
        <w:t>heterogeneous</w:t>
      </w:r>
      <w:r w:rsidR="00190923" w:rsidRPr="00981405">
        <w:t xml:space="preserve"> </w:t>
      </w:r>
      <w:r w:rsidRPr="00981405">
        <w:t>since</w:t>
      </w:r>
      <w:r w:rsidR="00190923" w:rsidRPr="00981405">
        <w:t xml:space="preserve"> </w:t>
      </w:r>
      <w:r w:rsidRPr="00981405">
        <w:t>States</w:t>
      </w:r>
      <w:r w:rsidR="00190923" w:rsidRPr="00981405">
        <w:t xml:space="preserve"> </w:t>
      </w:r>
      <w:r w:rsidRPr="00981405">
        <w:t>have</w:t>
      </w:r>
      <w:r w:rsidR="00190923" w:rsidRPr="00981405">
        <w:t xml:space="preserve"> </w:t>
      </w:r>
      <w:r w:rsidRPr="00981405">
        <w:t>chosen</w:t>
      </w:r>
      <w:r w:rsidR="00190923" w:rsidRPr="00981405">
        <w:t xml:space="preserve"> </w:t>
      </w:r>
      <w:r w:rsidRPr="00981405">
        <w:t>to</w:t>
      </w:r>
      <w:r w:rsidR="00190923" w:rsidRPr="00981405">
        <w:t xml:space="preserve"> </w:t>
      </w:r>
      <w:r w:rsidRPr="00981405">
        <w:t>provide</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different</w:t>
      </w:r>
      <w:r w:rsidR="00190923" w:rsidRPr="00981405">
        <w:t xml:space="preserve"> </w:t>
      </w:r>
      <w:r w:rsidRPr="00981405">
        <w:t>matters</w:t>
      </w:r>
      <w:r w:rsidR="00190923" w:rsidRPr="00981405">
        <w:t xml:space="preserve"> </w:t>
      </w:r>
      <w:r w:rsidRPr="00981405">
        <w:t>and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therefore</w:t>
      </w:r>
      <w:r w:rsidR="00190923" w:rsidRPr="00981405">
        <w:t xml:space="preserve"> </w:t>
      </w:r>
      <w:r w:rsidRPr="00981405">
        <w:t>difficult</w:t>
      </w:r>
      <w:r w:rsidR="00190923" w:rsidRPr="00981405">
        <w:t xml:space="preserve"> </w:t>
      </w:r>
      <w:r w:rsidRPr="00981405">
        <w:t>to</w:t>
      </w:r>
      <w:r w:rsidR="00190923" w:rsidRPr="00981405">
        <w:t xml:space="preserve"> </w:t>
      </w:r>
      <w:r w:rsidRPr="00981405">
        <w:t>draw</w:t>
      </w:r>
      <w:r w:rsidR="00190923" w:rsidRPr="00981405">
        <w:t xml:space="preserve"> </w:t>
      </w:r>
      <w:r w:rsidRPr="00981405">
        <w:t>too</w:t>
      </w:r>
      <w:r w:rsidR="00190923" w:rsidRPr="00981405">
        <w:t xml:space="preserve"> </w:t>
      </w:r>
      <w:r w:rsidRPr="00981405">
        <w:t>far-reaching</w:t>
      </w:r>
      <w:r w:rsidR="00190923" w:rsidRPr="00981405">
        <w:t xml:space="preserve"> </w:t>
      </w:r>
      <w:r w:rsidRPr="00981405">
        <w:t>conclusions.</w:t>
      </w:r>
      <w:r w:rsidR="00190923" w:rsidRPr="00981405">
        <w:t xml:space="preserve"> </w:t>
      </w:r>
      <w:r w:rsidRPr="00981405">
        <w:t>Nevertheless,</w:t>
      </w:r>
      <w:r w:rsidR="00190923" w:rsidRPr="00981405">
        <w:t xml:space="preserve"> </w:t>
      </w:r>
      <w:r w:rsidRPr="00981405">
        <w:t>two</w:t>
      </w:r>
      <w:r w:rsidR="00190923" w:rsidRPr="00981405">
        <w:t xml:space="preserve"> </w:t>
      </w:r>
      <w:r w:rsidRPr="00981405">
        <w:t>conclusions</w:t>
      </w:r>
      <w:r w:rsidR="00190923" w:rsidRPr="00981405">
        <w:t xml:space="preserve"> </w:t>
      </w:r>
      <w:r w:rsidRPr="00981405">
        <w:t>were</w:t>
      </w:r>
      <w:r w:rsidR="00190923" w:rsidRPr="00981405">
        <w:t xml:space="preserve"> </w:t>
      </w:r>
      <w:r w:rsidRPr="00981405">
        <w:t>worth</w:t>
      </w:r>
      <w:r w:rsidR="00190923" w:rsidRPr="00981405">
        <w:t xml:space="preserve"> </w:t>
      </w:r>
      <w:r w:rsidRPr="00981405">
        <w:t>highlighting,</w:t>
      </w:r>
      <w:r w:rsidR="00190923" w:rsidRPr="00981405">
        <w:t xml:space="preserve"> </w:t>
      </w:r>
      <w:r w:rsidRPr="00981405">
        <w:t>namely</w:t>
      </w:r>
      <w:r w:rsidR="00190923" w:rsidRPr="00981405">
        <w:t xml:space="preserve"> </w:t>
      </w:r>
      <w:r w:rsidRPr="00981405">
        <w:t>that</w:t>
      </w:r>
      <w:r w:rsidR="00190923" w:rsidRPr="00981405">
        <w:t xml:space="preserve"> </w:t>
      </w:r>
      <w:r w:rsidRPr="00981405">
        <w:t>the</w:t>
      </w:r>
      <w:r w:rsidR="00190923" w:rsidRPr="00981405">
        <w:t xml:space="preserve"> </w:t>
      </w:r>
      <w:r w:rsidRPr="00981405">
        <w:t>majority</w:t>
      </w:r>
      <w:r w:rsidR="00190923" w:rsidRPr="00981405">
        <w:t xml:space="preserve"> </w:t>
      </w:r>
      <w:r w:rsidRPr="00981405">
        <w:t>of</w:t>
      </w:r>
      <w:r w:rsidR="00190923" w:rsidRPr="00981405">
        <w:t xml:space="preserve"> </w:t>
      </w:r>
      <w:r w:rsidRPr="00981405">
        <w:t>regulations</w:t>
      </w:r>
      <w:r w:rsidR="00190923" w:rsidRPr="00981405">
        <w:t xml:space="preserve"> </w:t>
      </w:r>
      <w:r w:rsidRPr="00981405">
        <w:t>on</w:t>
      </w:r>
      <w:r w:rsidR="00190923" w:rsidRPr="00981405">
        <w:t xml:space="preserve"> </w:t>
      </w:r>
      <w:r w:rsidRPr="00981405">
        <w:t>peacetime</w:t>
      </w:r>
      <w:r w:rsidR="00190923" w:rsidRPr="00981405">
        <w:t xml:space="preserve"> </w:t>
      </w:r>
      <w:r w:rsidRPr="00981405">
        <w:t>military</w:t>
      </w:r>
      <w:r w:rsidR="00190923" w:rsidRPr="00981405">
        <w:t xml:space="preserve"> </w:t>
      </w:r>
      <w:r w:rsidRPr="00981405">
        <w:t>obligations</w:t>
      </w:r>
      <w:r w:rsidR="00190923" w:rsidRPr="00981405">
        <w:t xml:space="preserve"> </w:t>
      </w:r>
      <w:r w:rsidRPr="00981405">
        <w:t>was</w:t>
      </w:r>
      <w:r w:rsidR="00190923" w:rsidRPr="00981405">
        <w:t xml:space="preserve"> </w:t>
      </w:r>
      <w:r w:rsidRPr="00981405">
        <w:t>of</w:t>
      </w:r>
      <w:r w:rsidR="00190923" w:rsidRPr="00981405">
        <w:t xml:space="preserve"> </w:t>
      </w:r>
      <w:r w:rsidRPr="00981405">
        <w:t>recent</w:t>
      </w:r>
      <w:r w:rsidR="00190923" w:rsidRPr="00981405">
        <w:t xml:space="preserve"> </w:t>
      </w:r>
      <w:r w:rsidRPr="00981405">
        <w:t>date</w:t>
      </w:r>
      <w:r w:rsidR="00190923" w:rsidRPr="00981405">
        <w:t xml:space="preserve"> </w:t>
      </w:r>
      <w:r w:rsidRPr="00981405">
        <w:t>and</w:t>
      </w:r>
      <w:r w:rsidR="00190923" w:rsidRPr="00981405">
        <w:t xml:space="preserve"> </w:t>
      </w:r>
      <w:r w:rsidRPr="00981405">
        <w:t>that</w:t>
      </w:r>
      <w:r w:rsidR="00190923" w:rsidRPr="00981405">
        <w:t xml:space="preserve"> </w:t>
      </w:r>
      <w:r w:rsidRPr="00981405">
        <w:t>multilateral</w:t>
      </w:r>
      <w:r w:rsidR="00190923" w:rsidRPr="00981405">
        <w:t xml:space="preserve"> </w:t>
      </w:r>
      <w:r w:rsidRPr="00981405">
        <w:t>operations</w:t>
      </w:r>
      <w:r w:rsidR="00190923" w:rsidRPr="00981405">
        <w:t xml:space="preserve"> </w:t>
      </w:r>
      <w:r w:rsidRPr="00981405">
        <w:t>were</w:t>
      </w:r>
      <w:r w:rsidR="00190923" w:rsidRPr="00981405">
        <w:t xml:space="preserve"> </w:t>
      </w:r>
      <w:r w:rsidRPr="00981405">
        <w:t>increasingly</w:t>
      </w:r>
      <w:r w:rsidR="00190923" w:rsidRPr="00981405">
        <w:t xml:space="preserve"> </w:t>
      </w:r>
      <w:r w:rsidRPr="00981405">
        <w:t>undertaken</w:t>
      </w:r>
      <w:r w:rsidR="00190923" w:rsidRPr="00981405">
        <w:t xml:space="preserve"> </w:t>
      </w:r>
      <w:r w:rsidRPr="00981405">
        <w:t>within</w:t>
      </w:r>
      <w:r w:rsidR="00190923" w:rsidRPr="00981405">
        <w:t xml:space="preserve"> </w:t>
      </w:r>
      <w:r w:rsidRPr="00981405">
        <w:t>a</w:t>
      </w:r>
      <w:r w:rsidR="00190923" w:rsidRPr="00981405">
        <w:t xml:space="preserve"> </w:t>
      </w:r>
      <w:r w:rsidRPr="00981405">
        <w:t>framework</w:t>
      </w:r>
      <w:r w:rsidR="00190923" w:rsidRPr="00981405">
        <w:t xml:space="preserve"> </w:t>
      </w:r>
      <w:r w:rsidRPr="00981405">
        <w:t>of</w:t>
      </w:r>
      <w:r w:rsidR="00190923" w:rsidRPr="00981405">
        <w:t xml:space="preserve"> </w:t>
      </w:r>
      <w:r w:rsidRPr="00981405">
        <w:t>relatively</w:t>
      </w:r>
      <w:r w:rsidR="00190923" w:rsidRPr="00981405">
        <w:t xml:space="preserve"> </w:t>
      </w:r>
      <w:r w:rsidRPr="00981405">
        <w:t>newly</w:t>
      </w:r>
      <w:r w:rsidR="00190923" w:rsidRPr="00981405">
        <w:t xml:space="preserve"> </w:t>
      </w:r>
      <w:r w:rsidRPr="00981405">
        <w:t>adopted</w:t>
      </w:r>
      <w:r w:rsidR="00190923" w:rsidRPr="00981405">
        <w:t xml:space="preserve"> </w:t>
      </w:r>
      <w:r w:rsidRPr="00981405">
        <w:t>environmental</w:t>
      </w:r>
      <w:r w:rsidR="00190923" w:rsidRPr="00981405">
        <w:t xml:space="preserve"> </w:t>
      </w:r>
      <w:r w:rsidRPr="00981405">
        <w:t>regulations.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section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concerning</w:t>
      </w:r>
      <w:r w:rsidR="00190923" w:rsidRPr="00981405">
        <w:t xml:space="preserve"> </w:t>
      </w:r>
      <w:r w:rsidRPr="00981405">
        <w:t>case</w:t>
      </w:r>
      <w:r w:rsidR="00190923" w:rsidRPr="00981405">
        <w:t xml:space="preserve"> </w:t>
      </w:r>
      <w:r w:rsidRPr="00981405">
        <w:t>law,</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drew</w:t>
      </w:r>
      <w:r w:rsidR="00190923" w:rsidRPr="00981405">
        <w:t xml:space="preserve"> </w:t>
      </w:r>
      <w:r w:rsidRPr="00981405">
        <w:t>attention</w:t>
      </w:r>
      <w:r w:rsidR="00190923" w:rsidRPr="00981405">
        <w:t xml:space="preserve"> </w:t>
      </w:r>
      <w:r w:rsidRPr="00981405">
        <w:t>to</w:t>
      </w:r>
      <w:r w:rsidR="00190923" w:rsidRPr="00981405">
        <w:t xml:space="preserve"> </w:t>
      </w:r>
      <w:r w:rsidRPr="00981405">
        <w:t>the</w:t>
      </w:r>
      <w:r w:rsidR="00190923" w:rsidRPr="00981405">
        <w:t xml:space="preserve"> </w:t>
      </w:r>
      <w:r w:rsidRPr="00981405">
        <w:t>challenges</w:t>
      </w:r>
      <w:r w:rsidR="00190923" w:rsidRPr="00981405">
        <w:t xml:space="preserve"> </w:t>
      </w:r>
      <w:r w:rsidRPr="00981405">
        <w:t>that</w:t>
      </w:r>
      <w:r w:rsidR="00190923" w:rsidRPr="00981405">
        <w:t xml:space="preserve"> </w:t>
      </w:r>
      <w:r w:rsidRPr="00981405">
        <w:t>presented</w:t>
      </w:r>
      <w:r w:rsidR="00190923" w:rsidRPr="00981405">
        <w:t xml:space="preserve"> </w:t>
      </w:r>
      <w:r w:rsidRPr="00981405">
        <w:t>themselves</w:t>
      </w:r>
      <w:r w:rsidR="00190923" w:rsidRPr="00981405">
        <w:t xml:space="preserve"> </w:t>
      </w:r>
      <w:r w:rsidRPr="00981405">
        <w:t>in</w:t>
      </w:r>
      <w:r w:rsidR="00190923" w:rsidRPr="00981405">
        <w:t xml:space="preserve"> </w:t>
      </w:r>
      <w:r w:rsidRPr="00981405">
        <w:t>analyzing</w:t>
      </w:r>
      <w:r w:rsidR="00190923" w:rsidRPr="00981405">
        <w:t xml:space="preserve"> </w:t>
      </w:r>
      <w:r w:rsidRPr="00981405">
        <w:t>the</w:t>
      </w:r>
      <w:r w:rsidR="00190923" w:rsidRPr="00981405">
        <w:t xml:space="preserve"> </w:t>
      </w:r>
      <w:r w:rsidRPr="00981405">
        <w:t>cases</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property,</w:t>
      </w:r>
      <w:r w:rsidR="00190923" w:rsidRPr="00981405">
        <w:t xml:space="preserve"> </w:t>
      </w:r>
      <w:r w:rsidRPr="00981405">
        <w:t>livelihood,</w:t>
      </w:r>
      <w:r w:rsidR="00190923" w:rsidRPr="00981405">
        <w:t xml:space="preserve"> </w:t>
      </w:r>
      <w:r w:rsidRPr="00981405">
        <w:t>nature,</w:t>
      </w:r>
      <w:r w:rsidR="00190923" w:rsidRPr="00981405">
        <w:t xml:space="preserve"> </w:t>
      </w:r>
      <w:r w:rsidRPr="00981405">
        <w:t>land</w:t>
      </w:r>
      <w:r w:rsidR="00190923" w:rsidRPr="00981405">
        <w:t xml:space="preserve"> </w:t>
      </w:r>
      <w:r w:rsidRPr="00981405">
        <w:t>and</w:t>
      </w:r>
      <w:r w:rsidR="00190923" w:rsidRPr="00981405">
        <w:t xml:space="preserve"> </w:t>
      </w:r>
      <w:r w:rsidRPr="00981405">
        <w:t>natural</w:t>
      </w:r>
      <w:r w:rsidR="00190923" w:rsidRPr="00981405">
        <w:t xml:space="preserve"> </w:t>
      </w:r>
      <w:r w:rsidRPr="00981405">
        <w:t>resources,</w:t>
      </w:r>
      <w:r w:rsidR="00190923" w:rsidRPr="00981405">
        <w:t xml:space="preserve"> </w:t>
      </w:r>
      <w:r w:rsidRPr="00981405">
        <w:t>which</w:t>
      </w:r>
      <w:r w:rsidR="00190923" w:rsidRPr="00981405">
        <w:t xml:space="preserve"> </w:t>
      </w:r>
      <w:r w:rsidRPr="00981405">
        <w:t>entailed</w:t>
      </w:r>
      <w:r w:rsidR="00190923" w:rsidRPr="00981405">
        <w:t xml:space="preserve"> </w:t>
      </w:r>
      <w:r w:rsidRPr="00981405">
        <w:t>a</w:t>
      </w:r>
      <w:r w:rsidR="00190923" w:rsidRPr="00981405">
        <w:t xml:space="preserve"> </w:t>
      </w:r>
      <w:r w:rsidRPr="00981405">
        <w:t>clear</w:t>
      </w:r>
      <w:r w:rsidR="00190923" w:rsidRPr="00981405">
        <w:t xml:space="preserve"> </w:t>
      </w:r>
      <w:r w:rsidRPr="00981405">
        <w:t>link</w:t>
      </w:r>
      <w:r w:rsidR="00190923" w:rsidRPr="00981405">
        <w:t xml:space="preserve"> </w:t>
      </w:r>
      <w:r w:rsidRPr="00981405">
        <w:t>to</w:t>
      </w:r>
      <w:r w:rsidR="00190923" w:rsidRPr="00981405">
        <w:t xml:space="preserve"> </w:t>
      </w:r>
      <w:r w:rsidRPr="00981405">
        <w:t>human</w:t>
      </w:r>
      <w:r w:rsidR="00190923" w:rsidRPr="00981405">
        <w:t xml:space="preserve"> </w:t>
      </w:r>
      <w:r w:rsidRPr="00981405">
        <w:t>rights,</w:t>
      </w:r>
      <w:r w:rsidR="00190923" w:rsidRPr="00981405">
        <w:t xml:space="preserve"> </w:t>
      </w:r>
      <w:r w:rsidRPr="00981405">
        <w:t>in</w:t>
      </w:r>
      <w:r w:rsidR="00190923" w:rsidRPr="00981405">
        <w:t xml:space="preserve"> </w:t>
      </w:r>
      <w:r w:rsidRPr="00981405">
        <w:t>particular</w:t>
      </w:r>
      <w:r w:rsidR="00190923" w:rsidRPr="00981405">
        <w:t xml:space="preserve"> </w:t>
      </w:r>
      <w:r w:rsidRPr="00981405">
        <w:lastRenderedPageBreak/>
        <w:t>where</w:t>
      </w:r>
      <w:r w:rsidR="00190923" w:rsidRPr="00981405">
        <w:t xml:space="preserve"> </w:t>
      </w:r>
      <w:r w:rsidRPr="00981405">
        <w:t>indigenous</w:t>
      </w:r>
      <w:r w:rsidR="00190923" w:rsidRPr="00981405">
        <w:t xml:space="preserve"> </w:t>
      </w:r>
      <w:r w:rsidRPr="00981405">
        <w:t>peoples</w:t>
      </w:r>
      <w:r w:rsidR="00190923" w:rsidRPr="00981405">
        <w:t xml:space="preserve"> </w:t>
      </w:r>
      <w:r w:rsidRPr="00981405">
        <w:t>are</w:t>
      </w:r>
      <w:r w:rsidR="00190923" w:rsidRPr="00981405">
        <w:t xml:space="preserve"> </w:t>
      </w:r>
      <w:r w:rsidRPr="00981405">
        <w:t>affected.</w:t>
      </w:r>
      <w:r w:rsidR="00190923" w:rsidRPr="00981405">
        <w:t xml:space="preserve"> </w:t>
      </w:r>
      <w:r w:rsidRPr="00981405">
        <w:t>She</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there</w:t>
      </w:r>
      <w:r w:rsidR="00190923" w:rsidRPr="00981405">
        <w:t xml:space="preserve"> </w:t>
      </w:r>
      <w:r w:rsidRPr="00981405">
        <w:t>is</w:t>
      </w:r>
      <w:r w:rsidR="00190923" w:rsidRPr="00981405">
        <w:t xml:space="preserve"> </w:t>
      </w:r>
      <w:r w:rsidRPr="00981405">
        <w:t>reason</w:t>
      </w:r>
      <w:r w:rsidR="00190923" w:rsidRPr="00981405">
        <w:t xml:space="preserve"> </w:t>
      </w:r>
      <w:r w:rsidRPr="00981405">
        <w:t>to</w:t>
      </w:r>
      <w:r w:rsidR="00190923" w:rsidRPr="00981405">
        <w:t xml:space="preserve"> </w:t>
      </w:r>
      <w:r w:rsidRPr="00981405">
        <w:t>revert</w:t>
      </w:r>
      <w:r w:rsidR="00190923" w:rsidRPr="00981405">
        <w:t xml:space="preserve"> </w:t>
      </w:r>
      <w:r w:rsidRPr="00981405">
        <w:t>to</w:t>
      </w:r>
      <w:r w:rsidR="00190923" w:rsidRPr="00981405">
        <w:t xml:space="preserve"> </w:t>
      </w:r>
      <w:r w:rsidRPr="00981405">
        <w:t>this</w:t>
      </w:r>
      <w:r w:rsidR="00190923" w:rsidRPr="00981405">
        <w:t xml:space="preserve"> </w:t>
      </w:r>
      <w:r w:rsidRPr="00981405">
        <w:t>issue.</w:t>
      </w:r>
      <w:r w:rsidR="00190923" w:rsidRPr="00981405">
        <w:t xml:space="preserve"> </w:t>
      </w:r>
    </w:p>
    <w:p w:rsidR="00397032" w:rsidRPr="00981405" w:rsidRDefault="00397032" w:rsidP="00D97463">
      <w:pPr>
        <w:pStyle w:val="SingleTxt"/>
      </w:pPr>
      <w:r w:rsidRPr="00981405">
        <w:t>137.</w:t>
      </w:r>
      <w:r w:rsidRPr="00981405">
        <w:tab/>
        <w:t>The</w:t>
      </w:r>
      <w:r w:rsidR="00190923" w:rsidRPr="00981405">
        <w:t xml:space="preserve"> </w:t>
      </w:r>
      <w:r w:rsidRPr="00981405">
        <w:t>core</w:t>
      </w:r>
      <w:r w:rsidR="00190923" w:rsidRPr="00981405">
        <w:t xml:space="preserve"> </w:t>
      </w:r>
      <w:r w:rsidRPr="00981405">
        <w:t>of</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law</w:t>
      </w:r>
      <w:r w:rsidR="00190923" w:rsidRPr="00981405">
        <w:t xml:space="preserve"> </w:t>
      </w:r>
      <w:r w:rsidRPr="00981405">
        <w:t>applicable</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It</w:t>
      </w:r>
      <w:r w:rsidR="00190923" w:rsidRPr="00981405">
        <w:t xml:space="preserve"> </w:t>
      </w:r>
      <w:r w:rsidRPr="00981405">
        <w:t>provided</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directly</w:t>
      </w:r>
      <w:r w:rsidR="00190923" w:rsidRPr="00981405">
        <w:t xml:space="preserve"> </w:t>
      </w:r>
      <w:r w:rsidRPr="00981405">
        <w:t>applicable</w:t>
      </w:r>
      <w:r w:rsidR="00190923" w:rsidRPr="00981405">
        <w:t xml:space="preserve"> </w:t>
      </w:r>
      <w:r w:rsidRPr="00981405">
        <w:t>treaty</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relevant</w:t>
      </w:r>
      <w:r w:rsidR="00190923" w:rsidRPr="00981405">
        <w:t xml:space="preserve"> </w:t>
      </w:r>
      <w:r w:rsidRPr="00981405">
        <w:t>principles</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principles</w:t>
      </w:r>
      <w:r w:rsidR="00190923" w:rsidRPr="00981405">
        <w:t xml:space="preserve"> </w:t>
      </w:r>
      <w:r w:rsidRPr="00981405">
        <w:t>of</w:t>
      </w:r>
      <w:r w:rsidR="00190923" w:rsidRPr="00981405">
        <w:t xml:space="preserve"> </w:t>
      </w:r>
      <w:r w:rsidRPr="00981405">
        <w:t>distinction,</w:t>
      </w:r>
      <w:r w:rsidR="00190923" w:rsidRPr="00981405">
        <w:t xml:space="preserve"> </w:t>
      </w:r>
      <w:r w:rsidRPr="00981405">
        <w:t>proportionality</w:t>
      </w:r>
      <w:r w:rsidR="00190923" w:rsidRPr="00981405">
        <w:t xml:space="preserve"> </w:t>
      </w:r>
      <w:r w:rsidRPr="00981405">
        <w:t>and</w:t>
      </w:r>
      <w:r w:rsidR="00190923" w:rsidRPr="00981405">
        <w:t xml:space="preserve"> </w:t>
      </w:r>
      <w:r w:rsidRPr="00981405">
        <w:t>precaution</w:t>
      </w:r>
      <w:r w:rsidR="00190923" w:rsidRPr="00981405">
        <w:t xml:space="preserve"> </w:t>
      </w:r>
      <w:r w:rsidRPr="00981405">
        <w:t>in</w:t>
      </w:r>
      <w:r w:rsidR="00190923" w:rsidRPr="00981405">
        <w:t xml:space="preserve"> </w:t>
      </w:r>
      <w:r w:rsidRPr="00981405">
        <w:t>attack,</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rules</w:t>
      </w:r>
      <w:r w:rsidR="00190923" w:rsidRPr="00981405">
        <w:t xml:space="preserve"> </w:t>
      </w:r>
      <w:r w:rsidRPr="00981405">
        <w:t>on</w:t>
      </w:r>
      <w:r w:rsidR="00190923" w:rsidRPr="00981405">
        <w:t xml:space="preserve"> </w:t>
      </w:r>
      <w:r w:rsidRPr="00981405">
        <w:t>military</w:t>
      </w:r>
      <w:r w:rsidR="00190923" w:rsidRPr="00981405">
        <w:t xml:space="preserve"> </w:t>
      </w:r>
      <w:r w:rsidRPr="00981405">
        <w:t>necessity.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emphasized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since</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the</w:t>
      </w:r>
      <w:r w:rsidR="00190923" w:rsidRPr="00981405">
        <w:t xml:space="preserve"> </w:t>
      </w:r>
      <w:r w:rsidRPr="00981405">
        <w:t>task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revise</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report</w:t>
      </w:r>
      <w:r w:rsidR="00190923" w:rsidRPr="00981405">
        <w:t xml:space="preserve"> </w:t>
      </w:r>
      <w:r w:rsidRPr="00981405">
        <w:t>avoided</w:t>
      </w:r>
      <w:r w:rsidR="00190923" w:rsidRPr="00981405">
        <w:t xml:space="preserve"> </w:t>
      </w:r>
      <w:r w:rsidRPr="00981405">
        <w:t>analyzing</w:t>
      </w:r>
      <w:r w:rsidR="00190923" w:rsidRPr="00981405">
        <w:t xml:space="preserve"> </w:t>
      </w:r>
      <w:r w:rsidRPr="00981405">
        <w:t>the</w:t>
      </w:r>
      <w:r w:rsidR="00190923" w:rsidRPr="00981405">
        <w:t xml:space="preserve"> </w:t>
      </w:r>
      <w:r w:rsidRPr="00981405">
        <w:t>operational</w:t>
      </w:r>
      <w:r w:rsidR="00190923" w:rsidRPr="00981405">
        <w:t xml:space="preserve"> </w:t>
      </w:r>
      <w:r w:rsidRPr="00981405">
        <w:t>interpretations</w:t>
      </w:r>
      <w:r w:rsidR="00190923" w:rsidRPr="00981405">
        <w:t xml:space="preserve"> </w:t>
      </w:r>
      <w:r w:rsidRPr="00981405">
        <w:t>of</w:t>
      </w:r>
      <w:r w:rsidR="00190923" w:rsidRPr="00981405">
        <w:t xml:space="preserve"> </w:t>
      </w:r>
      <w:r w:rsidRPr="00981405">
        <w:t>such</w:t>
      </w:r>
      <w:r w:rsidR="00190923" w:rsidRPr="00981405">
        <w:t xml:space="preserve"> </w:t>
      </w:r>
      <w:r w:rsidRPr="00981405">
        <w:t>provisions.</w:t>
      </w:r>
      <w:r w:rsidR="00190923" w:rsidRPr="00981405">
        <w:t xml:space="preserve"> </w:t>
      </w:r>
      <w:r w:rsidRPr="00981405">
        <w:t>The</w:t>
      </w:r>
      <w:r w:rsidR="00190923" w:rsidRPr="00981405">
        <w:t xml:space="preserve"> </w:t>
      </w:r>
      <w:r w:rsidRPr="00981405">
        <w:t>report</w:t>
      </w:r>
      <w:r w:rsidR="00190923" w:rsidRPr="00981405">
        <w:t xml:space="preserve"> </w:t>
      </w:r>
      <w:r w:rsidRPr="00981405">
        <w:t>thus</w:t>
      </w:r>
      <w:r w:rsidR="00190923" w:rsidRPr="00981405">
        <w:t xml:space="preserve"> </w:t>
      </w:r>
      <w:r w:rsidRPr="00981405">
        <w:t>limited</w:t>
      </w:r>
      <w:r w:rsidR="00190923" w:rsidRPr="00981405">
        <w:t xml:space="preserve"> </w:t>
      </w:r>
      <w:r w:rsidRPr="00981405">
        <w:t>itself</w:t>
      </w:r>
      <w:r w:rsidR="00190923" w:rsidRPr="00981405">
        <w:t xml:space="preserve"> </w:t>
      </w:r>
      <w:r w:rsidRPr="00981405">
        <w:t>to</w:t>
      </w:r>
      <w:r w:rsidR="00190923" w:rsidRPr="00981405">
        <w:t xml:space="preserve"> </w:t>
      </w:r>
      <w:r w:rsidRPr="00981405">
        <w:t>establishing</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also</w:t>
      </w:r>
      <w:r w:rsidR="00190923" w:rsidRPr="00981405">
        <w:t xml:space="preserve"> </w:t>
      </w:r>
      <w:r w:rsidRPr="00981405">
        <w:t>covered</w:t>
      </w:r>
      <w:r w:rsidR="00190923" w:rsidRPr="00981405">
        <w:t xml:space="preserve"> </w:t>
      </w:r>
      <w:r w:rsidRPr="00981405">
        <w:t>measures</w:t>
      </w:r>
      <w:r w:rsidR="00190923" w:rsidRPr="00981405">
        <w:t xml:space="preserve"> </w:t>
      </w:r>
      <w:r w:rsidRPr="00981405">
        <w:t>aimed</w:t>
      </w:r>
      <w:r w:rsidR="00190923" w:rsidRPr="00981405">
        <w:t xml:space="preserve"> </w:t>
      </w:r>
      <w:r w:rsidRPr="00981405">
        <w:t>at</w:t>
      </w:r>
      <w:r w:rsidR="00190923" w:rsidRPr="00981405">
        <w:t xml:space="preserve"> </w:t>
      </w:r>
      <w:r w:rsidRPr="00981405">
        <w:t>protecting</w:t>
      </w:r>
      <w:r w:rsidR="00190923" w:rsidRPr="00981405">
        <w:t xml:space="preserve"> </w:t>
      </w:r>
      <w:r w:rsidRPr="00981405">
        <w:t>the</w:t>
      </w:r>
      <w:r w:rsidR="00190923" w:rsidRPr="00981405">
        <w:t xml:space="preserve"> </w:t>
      </w:r>
      <w:r w:rsidRPr="00981405">
        <w:t>environment.</w:t>
      </w:r>
      <w:r w:rsidR="00190923" w:rsidRPr="00981405">
        <w:t xml:space="preserve"> </w:t>
      </w:r>
    </w:p>
    <w:p w:rsidR="00397032" w:rsidRPr="00981405" w:rsidRDefault="00397032" w:rsidP="00D97463">
      <w:pPr>
        <w:pStyle w:val="SingleTxt"/>
      </w:pPr>
      <w:r w:rsidRPr="00981405">
        <w:t>138.</w:t>
      </w:r>
      <w:r w:rsidRPr="00981405">
        <w:tab/>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addressed</w:t>
      </w:r>
      <w:r w:rsidR="00190923" w:rsidRPr="00981405">
        <w:t xml:space="preserve"> </w:t>
      </w:r>
      <w:r w:rsidRPr="00981405">
        <w:t>protected</w:t>
      </w:r>
      <w:r w:rsidR="00190923" w:rsidRPr="00981405">
        <w:t xml:space="preserve"> </w:t>
      </w:r>
      <w:r w:rsidRPr="00981405">
        <w:t>zones</w:t>
      </w:r>
      <w:r w:rsidR="00190923" w:rsidRPr="00981405">
        <w:t xml:space="preserve"> </w:t>
      </w:r>
      <w:r w:rsidRPr="00981405">
        <w:t>and</w:t>
      </w:r>
      <w:r w:rsidR="00190923" w:rsidRPr="00981405">
        <w:t xml:space="preserve"> </w:t>
      </w:r>
      <w:r w:rsidRPr="00981405">
        <w:t>areas</w:t>
      </w:r>
      <w:r w:rsidR="00190923" w:rsidRPr="00981405">
        <w:t xml:space="preserve"> </w:t>
      </w:r>
      <w:r w:rsidRPr="00981405">
        <w:t>and</w:t>
      </w:r>
      <w:r w:rsidR="00190923" w:rsidRPr="00981405">
        <w:t xml:space="preserve"> </w:t>
      </w:r>
      <w:r w:rsidRPr="00981405">
        <w:t>examined</w:t>
      </w:r>
      <w:r w:rsidR="00190923" w:rsidRPr="00981405">
        <w:t xml:space="preserve"> </w:t>
      </w:r>
      <w:r w:rsidRPr="00981405">
        <w:t>the</w:t>
      </w:r>
      <w:r w:rsidR="00190923" w:rsidRPr="00981405">
        <w:t xml:space="preserve"> </w:t>
      </w:r>
      <w:r w:rsidRPr="00981405">
        <w:t>legal</w:t>
      </w:r>
      <w:r w:rsidR="00190923" w:rsidRPr="00981405">
        <w:t xml:space="preserve"> </w:t>
      </w:r>
      <w:r w:rsidRPr="00981405">
        <w:t>framework</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demilitarized</w:t>
      </w:r>
      <w:r w:rsidR="00190923" w:rsidRPr="00981405">
        <w:t xml:space="preserve"> </w:t>
      </w:r>
      <w:r w:rsidRPr="00981405">
        <w:t>zones,</w:t>
      </w:r>
      <w:r w:rsidR="00190923" w:rsidRPr="00981405">
        <w:t xml:space="preserve"> </w:t>
      </w:r>
      <w:r w:rsidRPr="00981405">
        <w:t>nuclear-weapon-free</w:t>
      </w:r>
      <w:r w:rsidR="00190923" w:rsidRPr="00981405">
        <w:t xml:space="preserve"> </w:t>
      </w:r>
      <w:r w:rsidRPr="00981405">
        <w:t>zones</w:t>
      </w:r>
      <w:r w:rsidR="00190923" w:rsidRPr="00981405">
        <w:t xml:space="preserve"> </w:t>
      </w:r>
      <w:r w:rsidRPr="00981405">
        <w:t>and</w:t>
      </w:r>
      <w:r w:rsidR="00190923" w:rsidRPr="00981405">
        <w:t xml:space="preserve"> </w:t>
      </w:r>
      <w:r w:rsidRPr="00981405">
        <w:t>natural</w:t>
      </w:r>
      <w:r w:rsidR="00190923" w:rsidRPr="00981405">
        <w:t xml:space="preserve"> </w:t>
      </w:r>
      <w:r w:rsidRPr="00981405">
        <w:t>heritage</w:t>
      </w:r>
      <w:r w:rsidR="00190923" w:rsidRPr="00981405">
        <w:t xml:space="preserve"> </w:t>
      </w:r>
      <w:r w:rsidRPr="00981405">
        <w:t>zones</w:t>
      </w:r>
      <w:r w:rsidR="00190923" w:rsidRPr="00981405">
        <w:t xml:space="preserve"> </w:t>
      </w:r>
      <w:r w:rsidRPr="00981405">
        <w:t>and</w:t>
      </w:r>
      <w:r w:rsidR="00190923" w:rsidRPr="00981405">
        <w:t xml:space="preserve"> </w:t>
      </w:r>
      <w:r w:rsidRPr="00981405">
        <w:t>areas</w:t>
      </w:r>
      <w:r w:rsidR="00190923" w:rsidRPr="00981405">
        <w:t xml:space="preserve"> </w:t>
      </w:r>
      <w:r w:rsidRPr="00981405">
        <w:t>of</w:t>
      </w:r>
      <w:r w:rsidR="00190923" w:rsidRPr="00981405">
        <w:t xml:space="preserve"> </w:t>
      </w:r>
      <w:r w:rsidRPr="00981405">
        <w:t>major</w:t>
      </w:r>
      <w:r w:rsidR="00190923" w:rsidRPr="00981405">
        <w:t xml:space="preserve"> </w:t>
      </w:r>
      <w:r w:rsidRPr="00981405">
        <w:t>ecological</w:t>
      </w:r>
      <w:r w:rsidR="00190923" w:rsidRPr="00981405">
        <w:t xml:space="preserve"> </w:t>
      </w:r>
      <w:r w:rsidRPr="00981405">
        <w:t>importance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this</w:t>
      </w:r>
      <w:r w:rsidR="00190923" w:rsidRPr="00981405">
        <w:t xml:space="preserve"> </w:t>
      </w:r>
      <w:r w:rsidRPr="00981405">
        <w:t>section</w:t>
      </w:r>
      <w:r w:rsidR="00190923" w:rsidRPr="00981405">
        <w:t xml:space="preserve"> </w:t>
      </w:r>
      <w:r w:rsidRPr="00981405">
        <w:t>aimed</w:t>
      </w:r>
      <w:r w:rsidR="00190923" w:rsidRPr="00981405">
        <w:t xml:space="preserve"> </w:t>
      </w:r>
      <w:r w:rsidRPr="00981405">
        <w:t>at</w:t>
      </w:r>
      <w:r w:rsidR="00190923" w:rsidRPr="00981405">
        <w:t xml:space="preserve"> </w:t>
      </w:r>
      <w:r w:rsidRPr="00981405">
        <w:t>analyzing</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environmental</w:t>
      </w:r>
      <w:r w:rsidR="00190923" w:rsidRPr="00981405">
        <w:t xml:space="preserve"> </w:t>
      </w:r>
      <w:r w:rsidRPr="00981405">
        <w:t>and</w:t>
      </w:r>
      <w:r w:rsidR="00190923" w:rsidRPr="00981405">
        <w:t xml:space="preserve"> </w:t>
      </w:r>
      <w:r w:rsidRPr="00981405">
        <w:t>cultural</w:t>
      </w:r>
      <w:r w:rsidR="00190923" w:rsidRPr="00981405">
        <w:t xml:space="preserve"> </w:t>
      </w:r>
      <w:r w:rsidRPr="00981405">
        <w:t>heritage</w:t>
      </w:r>
      <w:r w:rsidR="00190923" w:rsidRPr="00981405">
        <w:t xml:space="preserve"> </w:t>
      </w:r>
      <w:r w:rsidRPr="00981405">
        <w:t>zones,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right</w:t>
      </w:r>
      <w:r w:rsidR="00190923" w:rsidRPr="00981405">
        <w:t xml:space="preserve"> </w:t>
      </w:r>
      <w:r w:rsidRPr="00981405">
        <w:t>of</w:t>
      </w:r>
      <w:r w:rsidR="00190923" w:rsidRPr="00981405">
        <w:t xml:space="preserve"> </w:t>
      </w:r>
      <w:r w:rsidRPr="00981405">
        <w:t>indigenous</w:t>
      </w:r>
      <w:r w:rsidR="00190923" w:rsidRPr="00981405">
        <w:t xml:space="preserve"> </w:t>
      </w:r>
      <w:r w:rsidRPr="00981405">
        <w:t>peoples</w:t>
      </w:r>
      <w:r w:rsidR="00190923" w:rsidRPr="00981405">
        <w:t xml:space="preserve"> </w:t>
      </w:r>
      <w:r w:rsidRPr="00981405">
        <w:t>to</w:t>
      </w:r>
      <w:r w:rsidR="00190923" w:rsidRPr="00981405">
        <w:t xml:space="preserve"> </w:t>
      </w:r>
      <w:r w:rsidRPr="00981405">
        <w:t>their</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a</w:t>
      </w:r>
      <w:r w:rsidR="00190923" w:rsidRPr="00981405">
        <w:t xml:space="preserve"> </w:t>
      </w:r>
      <w:r w:rsidRPr="00981405">
        <w:t>cultural</w:t>
      </w:r>
      <w:r w:rsidR="00190923" w:rsidRPr="00981405">
        <w:t xml:space="preserve"> </w:t>
      </w:r>
      <w:r w:rsidRPr="00981405">
        <w:t>and</w:t>
      </w:r>
      <w:r w:rsidR="00190923" w:rsidRPr="00981405">
        <w:t xml:space="preserve"> </w:t>
      </w:r>
      <w:r w:rsidRPr="00981405">
        <w:t>natural</w:t>
      </w:r>
      <w:r w:rsidR="00190923" w:rsidRPr="00981405">
        <w:t xml:space="preserve"> </w:t>
      </w:r>
      <w:r w:rsidRPr="00981405">
        <w:t>resource.</w:t>
      </w:r>
      <w:r w:rsidR="00190923" w:rsidRPr="00981405">
        <w:t xml:space="preserve"> </w:t>
      </w:r>
    </w:p>
    <w:p w:rsidR="00397032" w:rsidRPr="00981405" w:rsidRDefault="00397032" w:rsidP="00D97463">
      <w:pPr>
        <w:pStyle w:val="SingleTxt"/>
      </w:pPr>
      <w:r w:rsidRPr="00981405">
        <w:t>139.</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further</w:t>
      </w:r>
      <w:r w:rsidR="00190923" w:rsidRPr="00981405">
        <w:t xml:space="preserve"> </w:t>
      </w:r>
      <w:r w:rsidRPr="00981405">
        <w:t>drew</w:t>
      </w:r>
      <w:r w:rsidR="00190923" w:rsidRPr="00981405">
        <w:t xml:space="preserve"> </w:t>
      </w:r>
      <w:r w:rsidRPr="00981405">
        <w:t>attention</w:t>
      </w:r>
      <w:r w:rsidR="00190923" w:rsidRPr="00981405">
        <w:t xml:space="preserve"> </w:t>
      </w:r>
      <w:r w:rsidRPr="00981405">
        <w:t>to</w:t>
      </w:r>
      <w:r w:rsidR="00190923" w:rsidRPr="00981405">
        <w:t xml:space="preserve"> </w:t>
      </w:r>
      <w:r w:rsidRPr="00981405">
        <w:t>certain</w:t>
      </w:r>
      <w:r w:rsidR="00190923" w:rsidRPr="00981405">
        <w:t xml:space="preserve"> </w:t>
      </w:r>
      <w:r w:rsidRPr="00981405">
        <w:t>issues</w:t>
      </w:r>
      <w:r w:rsidR="00190923" w:rsidRPr="00981405">
        <w:t xml:space="preserve"> </w:t>
      </w:r>
      <w:r w:rsidRPr="00981405">
        <w:t>that</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did</w:t>
      </w:r>
      <w:r w:rsidR="00190923" w:rsidRPr="00981405">
        <w:t xml:space="preserve"> </w:t>
      </w:r>
      <w:r w:rsidRPr="00981405">
        <w:t>not</w:t>
      </w:r>
      <w:r w:rsidR="00190923" w:rsidRPr="00981405">
        <w:t xml:space="preserve"> </w:t>
      </w:r>
      <w:r w:rsidRPr="00981405">
        <w:t>cover,</w:t>
      </w:r>
      <w:r w:rsidR="00190923" w:rsidRPr="00981405">
        <w:t xml:space="preserve"> </w:t>
      </w:r>
      <w:r w:rsidRPr="00981405">
        <w:t>including</w:t>
      </w:r>
      <w:r w:rsidR="00190923" w:rsidRPr="00981405">
        <w:t xml:space="preserve"> </w:t>
      </w:r>
      <w:r w:rsidRPr="00981405">
        <w:t>the</w:t>
      </w:r>
      <w:r w:rsidR="00190923" w:rsidRPr="00981405">
        <w:t xml:space="preserve"> </w:t>
      </w:r>
      <w:r w:rsidRPr="00981405">
        <w:t>Martens</w:t>
      </w:r>
      <w:r w:rsidR="00190923" w:rsidRPr="00981405">
        <w:t xml:space="preserve"> </w:t>
      </w:r>
      <w:r w:rsidRPr="00981405">
        <w:t>clause,</w:t>
      </w:r>
      <w:r w:rsidR="00190923" w:rsidRPr="00981405">
        <w:t xml:space="preserve"> </w:t>
      </w:r>
      <w:r w:rsidRPr="00981405">
        <w:t>multilateral</w:t>
      </w:r>
      <w:r w:rsidR="00190923" w:rsidRPr="00981405">
        <w:t xml:space="preserve"> </w:t>
      </w:r>
      <w:r w:rsidRPr="00981405">
        <w:t>operations,</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Compensation</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situations</w:t>
      </w:r>
      <w:r w:rsidR="00190923" w:rsidRPr="00981405">
        <w:t xml:space="preserve"> </w:t>
      </w:r>
      <w:r w:rsidRPr="00981405">
        <w:t>of</w:t>
      </w:r>
      <w:r w:rsidR="00190923" w:rsidRPr="00981405">
        <w:t xml:space="preserve"> </w:t>
      </w:r>
      <w:r w:rsidRPr="00981405">
        <w:t>occupation,</w:t>
      </w:r>
      <w:r w:rsidR="00190923" w:rsidRPr="00981405">
        <w:t xml:space="preserve"> </w:t>
      </w:r>
      <w:r w:rsidRPr="00981405">
        <w:t>all</w:t>
      </w:r>
      <w:r w:rsidR="00190923" w:rsidRPr="00981405">
        <w:t xml:space="preserve"> </w:t>
      </w:r>
      <w:r w:rsidRPr="00981405">
        <w:t>of</w:t>
      </w:r>
      <w:r w:rsidR="00190923" w:rsidRPr="00981405">
        <w:t xml:space="preserve"> </w:t>
      </w:r>
      <w:r w:rsidRPr="00981405">
        <w:t>which</w:t>
      </w:r>
      <w:r w:rsidR="00190923" w:rsidRPr="00981405">
        <w:t xml:space="preserve"> </w:t>
      </w:r>
      <w:r w:rsidRPr="00981405">
        <w:t>would</w:t>
      </w:r>
      <w:r w:rsidR="00190923" w:rsidRPr="00981405">
        <w:t xml:space="preserve"> </w:t>
      </w:r>
      <w:r w:rsidRPr="00981405">
        <w:t>be</w:t>
      </w:r>
      <w:r w:rsidR="00190923" w:rsidRPr="00981405">
        <w:t xml:space="preserve"> </w:t>
      </w:r>
      <w:r w:rsidRPr="00981405">
        <w:t>analyzed</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their</w:t>
      </w:r>
      <w:r w:rsidR="00190923" w:rsidRPr="00981405">
        <w:t xml:space="preserve"> </w:t>
      </w:r>
      <w:r w:rsidRPr="00981405">
        <w:t>relevance</w:t>
      </w:r>
      <w:r w:rsidR="00190923" w:rsidRPr="00981405">
        <w:t xml:space="preserve"> </w:t>
      </w:r>
      <w:r w:rsidRPr="00981405">
        <w:t>also</w:t>
      </w:r>
      <w:r w:rsidR="00190923" w:rsidRPr="00981405">
        <w:t xml:space="preserve"> </w:t>
      </w:r>
      <w:r w:rsidRPr="00981405">
        <w:t>to</w:t>
      </w:r>
      <w:r w:rsidR="00190923" w:rsidRPr="00981405">
        <w:t xml:space="preserve"> </w:t>
      </w:r>
      <w:r w:rsidRPr="00981405">
        <w:t>phase</w:t>
      </w:r>
      <w:r w:rsidR="00190923" w:rsidRPr="00981405">
        <w:t xml:space="preserve"> </w:t>
      </w:r>
      <w:r w:rsidRPr="00981405">
        <w:t>III</w:t>
      </w:r>
      <w:r w:rsidR="00190923" w:rsidRPr="00981405">
        <w:t xml:space="preserve"> </w:t>
      </w:r>
      <w:r w:rsidRPr="00981405">
        <w:t>—</w:t>
      </w:r>
      <w:r w:rsidR="00190923" w:rsidRPr="00981405">
        <w:t xml:space="preserve"> </w:t>
      </w:r>
      <w:r w:rsidRPr="00981405">
        <w:t>post-conflict</w:t>
      </w:r>
      <w:r w:rsidR="00190923" w:rsidRPr="00981405">
        <w:t xml:space="preserve"> </w:t>
      </w:r>
      <w:r w:rsidRPr="00981405">
        <w:t>obligations.</w:t>
      </w:r>
      <w:r w:rsidR="00190923" w:rsidRPr="00981405">
        <w:t xml:space="preserve"> </w:t>
      </w:r>
    </w:p>
    <w:p w:rsidR="00397032" w:rsidRPr="00981405" w:rsidRDefault="00397032" w:rsidP="00D97463">
      <w:pPr>
        <w:pStyle w:val="SingleTxt"/>
      </w:pPr>
      <w:r w:rsidRPr="00981405">
        <w:t>140.</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concluded</w:t>
      </w:r>
      <w:r w:rsidR="00190923" w:rsidRPr="00981405">
        <w:t xml:space="preserve"> </w:t>
      </w:r>
      <w:r w:rsidRPr="00981405">
        <w:t>by</w:t>
      </w:r>
      <w:r w:rsidR="00190923" w:rsidRPr="00981405">
        <w:t xml:space="preserve"> </w:t>
      </w:r>
      <w:r w:rsidRPr="00981405">
        <w:t>describing</w:t>
      </w:r>
      <w:r w:rsidR="00190923" w:rsidRPr="00981405">
        <w:t xml:space="preserve"> </w:t>
      </w:r>
      <w:r w:rsidRPr="00981405">
        <w:t>the</w:t>
      </w:r>
      <w:r w:rsidR="00190923" w:rsidRPr="00981405">
        <w:t xml:space="preserve"> </w:t>
      </w:r>
      <w:r w:rsidRPr="00981405">
        <w:t>proposed</w:t>
      </w:r>
      <w:r w:rsidR="00190923" w:rsidRPr="00981405">
        <w:t xml:space="preserve"> </w:t>
      </w:r>
      <w:r w:rsidRPr="00981405">
        <w:t>future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noting</w:t>
      </w:r>
      <w:r w:rsidR="00190923" w:rsidRPr="00981405">
        <w:t xml:space="preserve"> </w:t>
      </w:r>
      <w:r w:rsidRPr="00981405">
        <w:t>that</w:t>
      </w:r>
      <w:r w:rsidR="00190923" w:rsidRPr="00981405">
        <w:t xml:space="preserve"> </w:t>
      </w:r>
      <w:r w:rsidRPr="00981405">
        <w:t>her</w:t>
      </w:r>
      <w:r w:rsidR="00190923" w:rsidRPr="00981405">
        <w:t xml:space="preserve"> </w:t>
      </w:r>
      <w:r w:rsidRPr="00981405">
        <w:t>third</w:t>
      </w:r>
      <w:r w:rsidR="00190923" w:rsidRPr="00981405">
        <w:t xml:space="preserve"> </w:t>
      </w:r>
      <w:r w:rsidRPr="00981405">
        <w:t>report</w:t>
      </w:r>
      <w:r w:rsidR="00190923" w:rsidRPr="00981405">
        <w:t xml:space="preserve"> </w:t>
      </w:r>
      <w:r w:rsidRPr="00981405">
        <w:t>would</w:t>
      </w:r>
      <w:r w:rsidR="00190923" w:rsidRPr="00981405">
        <w:t xml:space="preserve"> </w:t>
      </w:r>
      <w:r w:rsidRPr="00981405">
        <w:t>include</w:t>
      </w:r>
      <w:r w:rsidR="00190923" w:rsidRPr="00981405">
        <w:t xml:space="preserve"> </w:t>
      </w:r>
      <w:r w:rsidRPr="00981405">
        <w:t>proposals</w:t>
      </w:r>
      <w:r w:rsidR="00190923" w:rsidRPr="00981405">
        <w:t xml:space="preserve"> </w:t>
      </w:r>
      <w:r w:rsidRPr="00981405">
        <w:t>on</w:t>
      </w:r>
      <w:r w:rsidR="00190923" w:rsidRPr="00981405">
        <w:t xml:space="preserve"> </w:t>
      </w:r>
      <w:r w:rsidRPr="00981405">
        <w:t>post-conflict</w:t>
      </w:r>
      <w:r w:rsidR="00190923" w:rsidRPr="00981405">
        <w:t xml:space="preserve"> </w:t>
      </w:r>
      <w:r w:rsidRPr="00981405">
        <w:t>measures,</w:t>
      </w:r>
      <w:r w:rsidR="00190923" w:rsidRPr="00981405">
        <w:t xml:space="preserve"> </w:t>
      </w:r>
      <w:r w:rsidRPr="00981405">
        <w:t>including</w:t>
      </w:r>
      <w:r w:rsidR="00190923" w:rsidRPr="00981405">
        <w:t xml:space="preserve"> </w:t>
      </w:r>
      <w:r w:rsidRPr="00981405">
        <w:t>cooperation,</w:t>
      </w:r>
      <w:r w:rsidR="00190923" w:rsidRPr="00981405">
        <w:t xml:space="preserve"> </w:t>
      </w:r>
      <w:r w:rsidRPr="00981405">
        <w:t>sharing</w:t>
      </w:r>
      <w:r w:rsidR="00190923" w:rsidRPr="00981405">
        <w:t xml:space="preserve"> </w:t>
      </w:r>
      <w:r w:rsidRPr="00981405">
        <w:t>of</w:t>
      </w:r>
      <w:r w:rsidR="00190923" w:rsidRPr="00981405">
        <w:t xml:space="preserve"> </w:t>
      </w:r>
      <w:r w:rsidRPr="00981405">
        <w:t>information</w:t>
      </w:r>
      <w:r w:rsidR="00190923" w:rsidRPr="00981405">
        <w:t xml:space="preserve"> </w:t>
      </w:r>
      <w:r w:rsidRPr="00981405">
        <w:t>and</w:t>
      </w:r>
      <w:r w:rsidR="00190923" w:rsidRPr="00981405">
        <w:t xml:space="preserve"> </w:t>
      </w:r>
      <w:r w:rsidRPr="00981405">
        <w:t>best</w:t>
      </w:r>
      <w:r w:rsidR="00190923" w:rsidRPr="00981405">
        <w:t xml:space="preserve"> </w:t>
      </w:r>
      <w:r w:rsidRPr="00981405">
        <w:t>practices,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reparative</w:t>
      </w:r>
      <w:r w:rsidR="00190923" w:rsidRPr="00981405">
        <w:t xml:space="preserve"> </w:t>
      </w:r>
      <w:r w:rsidRPr="00981405">
        <w:t>measures.</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would</w:t>
      </w:r>
      <w:r w:rsidR="00190923" w:rsidRPr="00981405">
        <w:t xml:space="preserve"> </w:t>
      </w:r>
      <w:r w:rsidRPr="00981405">
        <w:t>also</w:t>
      </w:r>
      <w:r w:rsidR="00190923" w:rsidRPr="00981405">
        <w:t xml:space="preserve"> </w:t>
      </w:r>
      <w:r w:rsidRPr="00981405">
        <w:t>aim</w:t>
      </w:r>
      <w:r w:rsidR="00190923" w:rsidRPr="00981405">
        <w:t xml:space="preserve"> </w:t>
      </w:r>
      <w:r w:rsidRPr="00981405">
        <w:t>to</w:t>
      </w:r>
      <w:r w:rsidR="00190923" w:rsidRPr="00981405">
        <w:t xml:space="preserve"> </w:t>
      </w:r>
      <w:r w:rsidRPr="00981405">
        <w:t>close</w:t>
      </w:r>
      <w:r w:rsidR="00190923" w:rsidRPr="00981405">
        <w:t xml:space="preserve"> </w:t>
      </w:r>
      <w:r w:rsidRPr="00981405">
        <w:t>the</w:t>
      </w:r>
      <w:r w:rsidR="00190923" w:rsidRPr="00981405">
        <w:t xml:space="preserve"> </w:t>
      </w:r>
      <w:r w:rsidRPr="00981405">
        <w:t>circle</w:t>
      </w:r>
      <w:r w:rsidR="00190923" w:rsidRPr="00981405">
        <w:t xml:space="preserve"> </w:t>
      </w:r>
      <w:r w:rsidRPr="00981405">
        <w:t>of</w:t>
      </w:r>
      <w:r w:rsidR="00190923" w:rsidRPr="00981405">
        <w:t xml:space="preserve"> </w:t>
      </w:r>
      <w:r w:rsidRPr="00981405">
        <w:t>the</w:t>
      </w:r>
      <w:r w:rsidR="00190923" w:rsidRPr="00981405">
        <w:t xml:space="preserve"> </w:t>
      </w:r>
      <w:r w:rsidRPr="00981405">
        <w:t>three</w:t>
      </w:r>
      <w:r w:rsidR="00190923" w:rsidRPr="00981405">
        <w:t xml:space="preserve"> </w:t>
      </w:r>
      <w:r w:rsidRPr="00981405">
        <w:t>temporal</w:t>
      </w:r>
      <w:r w:rsidR="00190923" w:rsidRPr="00981405">
        <w:t xml:space="preserve"> </w:t>
      </w:r>
      <w:r w:rsidRPr="00981405">
        <w:t>phases</w:t>
      </w:r>
      <w:r w:rsidR="00190923" w:rsidRPr="00981405">
        <w:t xml:space="preserve"> </w:t>
      </w:r>
      <w:r w:rsidRPr="00981405">
        <w:t>and</w:t>
      </w:r>
      <w:r w:rsidR="00190923" w:rsidRPr="00981405">
        <w:t xml:space="preserve"> </w:t>
      </w:r>
      <w:r w:rsidRPr="00981405">
        <w:t>it</w:t>
      </w:r>
      <w:r w:rsidR="00190923" w:rsidRPr="00981405">
        <w:t xml:space="preserve"> </w:t>
      </w:r>
      <w:r w:rsidRPr="00981405">
        <w:t>would</w:t>
      </w:r>
      <w:r w:rsidR="00190923" w:rsidRPr="00981405">
        <w:t xml:space="preserve"> </w:t>
      </w:r>
      <w:r w:rsidRPr="00981405">
        <w:t>therefore</w:t>
      </w:r>
      <w:r w:rsidR="00190923" w:rsidRPr="00981405">
        <w:t xml:space="preserve"> </w:t>
      </w:r>
      <w:r w:rsidRPr="00981405">
        <w:t>consist</w:t>
      </w:r>
      <w:r w:rsidR="00190923" w:rsidRPr="00981405">
        <w:t xml:space="preserve"> </w:t>
      </w:r>
      <w:r w:rsidRPr="00981405">
        <w:t>of</w:t>
      </w:r>
      <w:r w:rsidR="00190923" w:rsidRPr="00981405">
        <w:t xml:space="preserve"> </w:t>
      </w:r>
      <w:r w:rsidRPr="00981405">
        <w:t>three</w:t>
      </w:r>
      <w:r w:rsidR="00190923" w:rsidRPr="00981405">
        <w:t xml:space="preserve"> </w:t>
      </w:r>
      <w:r w:rsidRPr="00981405">
        <w:t>parts.</w:t>
      </w:r>
      <w:r w:rsidR="00190923" w:rsidRPr="00981405">
        <w:t xml:space="preserve"> </w:t>
      </w:r>
      <w:r w:rsidRPr="00981405">
        <w:t>The</w:t>
      </w:r>
      <w:r w:rsidR="00190923" w:rsidRPr="00981405">
        <w:t xml:space="preserve"> </w:t>
      </w:r>
      <w:r w:rsidRPr="00981405">
        <w:t>first</w:t>
      </w:r>
      <w:r w:rsidR="00190923" w:rsidRPr="00981405">
        <w:t xml:space="preserve"> </w:t>
      </w:r>
      <w:r w:rsidRPr="00981405">
        <w:t>part</w:t>
      </w:r>
      <w:r w:rsidR="00190923" w:rsidRPr="00981405">
        <w:t xml:space="preserve"> </w:t>
      </w:r>
      <w:r w:rsidRPr="00981405">
        <w:t>would</w:t>
      </w:r>
      <w:r w:rsidR="00190923" w:rsidRPr="00981405">
        <w:t xml:space="preserve"> </w:t>
      </w:r>
      <w:r w:rsidRPr="00981405">
        <w:t>focus</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applicable</w:t>
      </w:r>
      <w:r w:rsidR="00190923" w:rsidRPr="00981405">
        <w:t xml:space="preserve"> </w:t>
      </w:r>
      <w:r w:rsidRPr="00981405">
        <w:t>in</w:t>
      </w:r>
      <w:r w:rsidR="00190923" w:rsidRPr="00981405">
        <w:t xml:space="preserve"> </w:t>
      </w:r>
      <w:r w:rsidRPr="00981405">
        <w:t>post-conflict</w:t>
      </w:r>
      <w:r w:rsidR="00190923" w:rsidRPr="00981405">
        <w:t xml:space="preserve"> </w:t>
      </w:r>
      <w:r w:rsidRPr="00981405">
        <w:t>situations,</w:t>
      </w:r>
      <w:r w:rsidR="00190923" w:rsidRPr="00981405">
        <w:t xml:space="preserve"> </w:t>
      </w:r>
      <w:r w:rsidRPr="00981405">
        <w:t>the</w:t>
      </w:r>
      <w:r w:rsidR="00190923" w:rsidRPr="00981405">
        <w:t xml:space="preserve"> </w:t>
      </w:r>
      <w:r w:rsidRPr="00981405">
        <w:t>second</w:t>
      </w:r>
      <w:r w:rsidR="00190923" w:rsidRPr="00981405">
        <w:t xml:space="preserve"> </w:t>
      </w:r>
      <w:r w:rsidRPr="00981405">
        <w:t>would</w:t>
      </w:r>
      <w:r w:rsidR="00190923" w:rsidRPr="00981405">
        <w:t xml:space="preserve"> </w:t>
      </w:r>
      <w:r w:rsidRPr="00981405">
        <w:t>address</w:t>
      </w:r>
      <w:r w:rsidR="00190923" w:rsidRPr="00981405">
        <w:t xml:space="preserve"> </w:t>
      </w:r>
      <w:r w:rsidRPr="00981405">
        <w:t>issues</w:t>
      </w:r>
      <w:r w:rsidR="00190923" w:rsidRPr="00981405">
        <w:t xml:space="preserve"> </w:t>
      </w:r>
      <w:r w:rsidRPr="00981405">
        <w:t>that</w:t>
      </w:r>
      <w:r w:rsidR="00190923" w:rsidRPr="00981405">
        <w:t xml:space="preserve"> </w:t>
      </w:r>
      <w:r w:rsidRPr="00981405">
        <w:t>had</w:t>
      </w:r>
      <w:r w:rsidR="00190923" w:rsidRPr="00981405">
        <w:t xml:space="preserve"> </w:t>
      </w:r>
      <w:r w:rsidRPr="00981405">
        <w:t>not</w:t>
      </w:r>
      <w:r w:rsidR="00190923" w:rsidRPr="00981405">
        <w:t xml:space="preserve"> </w:t>
      </w:r>
      <w:r w:rsidRPr="00981405">
        <w:t>yet</w:t>
      </w:r>
      <w:r w:rsidR="00190923" w:rsidRPr="00981405">
        <w:t xml:space="preserve"> </w:t>
      </w:r>
      <w:r w:rsidRPr="00981405">
        <w:t>been</w:t>
      </w:r>
      <w:r w:rsidR="00190923" w:rsidRPr="00981405">
        <w:t xml:space="preserve"> </w:t>
      </w:r>
      <w:r w:rsidRPr="00981405">
        <w:t>examined,</w:t>
      </w:r>
      <w:r w:rsidR="00190923" w:rsidRPr="00981405">
        <w:t xml:space="preserve"> </w:t>
      </w:r>
      <w:r w:rsidRPr="00981405">
        <w:t>such</w:t>
      </w:r>
      <w:r w:rsidR="00190923" w:rsidRPr="00981405">
        <w:t xml:space="preserve"> </w:t>
      </w:r>
      <w:r w:rsidRPr="00981405">
        <w:t>as</w:t>
      </w:r>
      <w:r w:rsidR="00190923" w:rsidRPr="00981405">
        <w:t xml:space="preserve"> </w:t>
      </w:r>
      <w:r w:rsidRPr="00981405">
        <w:t>occupation,</w:t>
      </w:r>
      <w:r w:rsidR="00190923" w:rsidRPr="00981405">
        <w:t xml:space="preserve"> </w:t>
      </w:r>
      <w:r w:rsidRPr="00981405">
        <w:t>and</w:t>
      </w:r>
      <w:r w:rsidR="00190923" w:rsidRPr="00981405">
        <w:t xml:space="preserve"> </w:t>
      </w:r>
      <w:r w:rsidRPr="00981405">
        <w:t>the</w:t>
      </w:r>
      <w:r w:rsidR="00190923" w:rsidRPr="00981405">
        <w:t xml:space="preserve"> </w:t>
      </w:r>
      <w:r w:rsidRPr="00981405">
        <w:t>third</w:t>
      </w:r>
      <w:r w:rsidR="00190923" w:rsidRPr="00981405">
        <w:t xml:space="preserve"> </w:t>
      </w:r>
      <w:r w:rsidRPr="00981405">
        <w:t>would</w:t>
      </w:r>
      <w:r w:rsidR="00190923" w:rsidRPr="00981405">
        <w:t xml:space="preserve"> </w:t>
      </w:r>
      <w:r w:rsidRPr="00981405">
        <w:t>contain</w:t>
      </w:r>
      <w:r w:rsidR="00190923" w:rsidRPr="00981405">
        <w:t xml:space="preserve"> </w:t>
      </w:r>
      <w:r w:rsidRPr="00981405">
        <w:t>a</w:t>
      </w:r>
      <w:r w:rsidR="00190923" w:rsidRPr="00981405">
        <w:t xml:space="preserve"> </w:t>
      </w:r>
      <w:r w:rsidRPr="00981405">
        <w:t>summary</w:t>
      </w:r>
      <w:r w:rsidR="00190923" w:rsidRPr="00981405">
        <w:t xml:space="preserve"> </w:t>
      </w:r>
      <w:r w:rsidRPr="00981405">
        <w:t>analysis</w:t>
      </w:r>
      <w:r w:rsidR="00190923" w:rsidRPr="00981405">
        <w:t xml:space="preserve"> </w:t>
      </w:r>
      <w:r w:rsidRPr="00981405">
        <w:t>of</w:t>
      </w:r>
      <w:r w:rsidR="00190923" w:rsidRPr="00981405">
        <w:t xml:space="preserve"> </w:t>
      </w:r>
      <w:r w:rsidRPr="00981405">
        <w:t>all</w:t>
      </w:r>
      <w:r w:rsidR="00190923" w:rsidRPr="00981405">
        <w:t xml:space="preserve"> </w:t>
      </w:r>
      <w:r w:rsidRPr="00981405">
        <w:t>three</w:t>
      </w:r>
      <w:r w:rsidR="00190923" w:rsidRPr="00981405">
        <w:t xml:space="preserve"> </w:t>
      </w:r>
      <w:r w:rsidRPr="00981405">
        <w:t>phases.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her</w:t>
      </w:r>
      <w:r w:rsidR="00190923" w:rsidRPr="00981405">
        <w:t xml:space="preserve"> </w:t>
      </w:r>
      <w:r w:rsidRPr="00981405">
        <w:t>intention</w:t>
      </w:r>
      <w:r w:rsidR="00190923" w:rsidRPr="00981405">
        <w:t xml:space="preserve"> </w:t>
      </w:r>
      <w:r w:rsidRPr="00981405">
        <w:t>to</w:t>
      </w:r>
      <w:r w:rsidR="00190923" w:rsidRPr="00981405">
        <w:t xml:space="preserve"> </w:t>
      </w:r>
      <w:r w:rsidRPr="00981405">
        <w:t>continue</w:t>
      </w:r>
      <w:r w:rsidR="00190923" w:rsidRPr="00981405">
        <w:t xml:space="preserve"> </w:t>
      </w:r>
      <w:r w:rsidRPr="00981405">
        <w:t>consultations</w:t>
      </w:r>
      <w:r w:rsidR="00190923" w:rsidRPr="00981405">
        <w:t xml:space="preserve"> </w:t>
      </w:r>
      <w:r w:rsidRPr="00981405">
        <w:t>with</w:t>
      </w:r>
      <w:r w:rsidR="00190923" w:rsidRPr="00981405">
        <w:t xml:space="preserve"> </w:t>
      </w:r>
      <w:r w:rsidRPr="00981405">
        <w:t>other</w:t>
      </w:r>
      <w:r w:rsidR="00190923" w:rsidRPr="00981405">
        <w:t xml:space="preserve"> </w:t>
      </w:r>
      <w:r w:rsidRPr="00981405">
        <w:t>entities</w:t>
      </w:r>
      <w:r w:rsidR="00190923" w:rsidRPr="00981405">
        <w:t xml:space="preserve"> </w:t>
      </w:r>
      <w:r w:rsidRPr="00981405">
        <w:t>and</w:t>
      </w:r>
      <w:r w:rsidR="00190923" w:rsidRPr="00981405">
        <w:t xml:space="preserve"> </w:t>
      </w:r>
      <w:r w:rsidRPr="00981405">
        <w:t>regional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of</w:t>
      </w:r>
      <w:r w:rsidR="00190923" w:rsidRPr="00981405">
        <w:t xml:space="preserve"> </w:t>
      </w:r>
      <w:r w:rsidRPr="00981405">
        <w:t>assistance</w:t>
      </w:r>
      <w:r w:rsidR="00190923" w:rsidRPr="00981405">
        <w:t xml:space="preserve"> </w:t>
      </w:r>
      <w:r w:rsidRPr="00981405">
        <w:t>if</w:t>
      </w:r>
      <w:r w:rsidR="00190923" w:rsidRPr="00981405">
        <w:t xml:space="preserve"> </w:t>
      </w:r>
      <w:r w:rsidRPr="00981405">
        <w:t>States</w:t>
      </w:r>
      <w:r w:rsidR="00190923" w:rsidRPr="00981405">
        <w:t xml:space="preserve"> </w:t>
      </w:r>
      <w:r w:rsidRPr="00981405">
        <w:t>would</w:t>
      </w:r>
      <w:r w:rsidR="00190923" w:rsidRPr="00981405">
        <w:t xml:space="preserve"> </w:t>
      </w:r>
      <w:r w:rsidRPr="00981405">
        <w:t>continue</w:t>
      </w:r>
      <w:r w:rsidR="00190923" w:rsidRPr="00981405">
        <w:t xml:space="preserve"> </w:t>
      </w:r>
      <w:r w:rsidRPr="00981405">
        <w:t>to</w:t>
      </w:r>
      <w:r w:rsidR="00190923" w:rsidRPr="00981405">
        <w:t xml:space="preserve"> </w:t>
      </w:r>
      <w:r w:rsidRPr="00981405">
        <w:t>submit</w:t>
      </w:r>
      <w:r w:rsidR="00190923" w:rsidRPr="00981405">
        <w:t xml:space="preserve"> </w:t>
      </w:r>
      <w:r w:rsidRPr="00981405">
        <w:t>information</w:t>
      </w:r>
      <w:r w:rsidR="00190923" w:rsidRPr="00981405">
        <w:t xml:space="preserve"> </w:t>
      </w:r>
      <w:r w:rsidRPr="00981405">
        <w:t>of</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and</w:t>
      </w:r>
      <w:r w:rsidR="00190923" w:rsidRPr="00981405">
        <w:t xml:space="preserve"> </w:t>
      </w:r>
      <w:r w:rsidRPr="00981405">
        <w:t>case</w:t>
      </w:r>
      <w:r w:rsidR="00190923" w:rsidRPr="00981405">
        <w:t xml:space="preserve"> </w:t>
      </w:r>
      <w:r w:rsidRPr="00981405">
        <w:t>law</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33" w:name="_Toc427938123"/>
      <w:r w:rsidRPr="00D97463">
        <w:t>2.</w:t>
      </w:r>
      <w:r w:rsidRPr="00D97463">
        <w:tab/>
        <w:t>Summary</w:t>
      </w:r>
      <w:r w:rsidR="00190923" w:rsidRPr="00D97463">
        <w:t xml:space="preserve"> </w:t>
      </w:r>
      <w:r w:rsidRPr="00D97463">
        <w:t>of</w:t>
      </w:r>
      <w:r w:rsidR="00190923" w:rsidRPr="00D97463">
        <w:t xml:space="preserve"> </w:t>
      </w:r>
      <w:r w:rsidRPr="00D97463">
        <w:t>the</w:t>
      </w:r>
      <w:r w:rsidR="00190923" w:rsidRPr="00D97463">
        <w:t xml:space="preserve"> </w:t>
      </w:r>
      <w:r w:rsidRPr="00D97463">
        <w:t>debate</w:t>
      </w:r>
      <w:bookmarkEnd w:id="133"/>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34" w:name="_Toc427938124"/>
      <w:r w:rsidRPr="00D97463">
        <w:t>(a)</w:t>
      </w:r>
      <w:r w:rsidRPr="00D97463">
        <w:tab/>
        <w:t>General</w:t>
      </w:r>
      <w:r w:rsidR="00190923" w:rsidRPr="00D97463">
        <w:t xml:space="preserve"> </w:t>
      </w:r>
      <w:r w:rsidRPr="00D97463">
        <w:t>comments</w:t>
      </w:r>
      <w:bookmarkEnd w:id="13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141.</w:t>
      </w:r>
      <w:r w:rsidRPr="00981405">
        <w:tab/>
        <w:t>The</w:t>
      </w:r>
      <w:r w:rsidR="00190923" w:rsidRPr="00981405">
        <w:t xml:space="preserve"> </w:t>
      </w:r>
      <w:r w:rsidRPr="00981405">
        <w:t>importance</w:t>
      </w:r>
      <w:r w:rsidR="00190923" w:rsidRPr="00981405">
        <w:t xml:space="preserve"> </w:t>
      </w:r>
      <w:r w:rsidRPr="00981405">
        <w:t>that</w:t>
      </w:r>
      <w:r w:rsidR="00190923" w:rsidRPr="00981405">
        <w:t xml:space="preserve"> </w:t>
      </w:r>
      <w:r w:rsidRPr="00981405">
        <w:t>was</w:t>
      </w:r>
      <w:r w:rsidR="00190923" w:rsidRPr="00981405">
        <w:t xml:space="preserve"> </w:t>
      </w:r>
      <w:r w:rsidRPr="00981405">
        <w:t>attached</w:t>
      </w:r>
      <w:r w:rsidR="00190923" w:rsidRPr="00981405">
        <w:t xml:space="preserve"> </w:t>
      </w:r>
      <w:r w:rsidRPr="00981405">
        <w:t>to</w:t>
      </w:r>
      <w:r w:rsidR="00190923" w:rsidRPr="00981405">
        <w:t xml:space="preserve"> </w:t>
      </w:r>
      <w:r w:rsidRPr="00981405">
        <w:t>this</w:t>
      </w:r>
      <w:r w:rsidR="00190923" w:rsidRPr="00981405">
        <w:t xml:space="preserve"> </w:t>
      </w:r>
      <w:r w:rsidRPr="00981405">
        <w:t>topic</w:t>
      </w:r>
      <w:r w:rsidR="00190923" w:rsidRPr="00981405">
        <w:t xml:space="preserve"> </w:t>
      </w:r>
      <w:r w:rsidRPr="00981405">
        <w:t>was</w:t>
      </w:r>
      <w:r w:rsidR="00190923" w:rsidRPr="00981405">
        <w:t xml:space="preserve"> </w:t>
      </w:r>
      <w:r w:rsidRPr="00981405">
        <w:t>reiterated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noting</w:t>
      </w:r>
      <w:r w:rsidR="00190923" w:rsidRPr="00981405">
        <w:t xml:space="preserve"> </w:t>
      </w:r>
      <w:r w:rsidRPr="00981405">
        <w:t>not</w:t>
      </w:r>
      <w:r w:rsidR="00190923" w:rsidRPr="00981405">
        <w:t xml:space="preserve"> </w:t>
      </w:r>
      <w:r w:rsidRPr="00981405">
        <w:t>only</w:t>
      </w:r>
      <w:r w:rsidR="00190923" w:rsidRPr="00981405">
        <w:t xml:space="preserve"> </w:t>
      </w:r>
      <w:r w:rsidRPr="00981405">
        <w:t>its</w:t>
      </w:r>
      <w:r w:rsidR="00190923" w:rsidRPr="00981405">
        <w:t xml:space="preserve"> </w:t>
      </w:r>
      <w:r w:rsidRPr="00981405">
        <w:t>contemporary</w:t>
      </w:r>
      <w:r w:rsidR="00190923" w:rsidRPr="00981405">
        <w:t xml:space="preserve"> </w:t>
      </w:r>
      <w:r w:rsidRPr="00981405">
        <w:t>relevance</w:t>
      </w:r>
      <w:r w:rsidR="00190923" w:rsidRPr="00981405">
        <w:t xml:space="preserve"> </w:t>
      </w:r>
      <w:r w:rsidRPr="00981405">
        <w:t>but</w:t>
      </w:r>
      <w:r w:rsidR="00190923" w:rsidRPr="00981405">
        <w:t xml:space="preserve"> </w:t>
      </w:r>
      <w:r w:rsidRPr="00981405">
        <w:t>also</w:t>
      </w:r>
      <w:r w:rsidR="00190923" w:rsidRPr="00981405">
        <w:t xml:space="preserve"> </w:t>
      </w:r>
      <w:r w:rsidRPr="00981405">
        <w:t>the</w:t>
      </w:r>
      <w:r w:rsidR="00190923" w:rsidRPr="00981405">
        <w:t xml:space="preserve"> </w:t>
      </w:r>
      <w:r w:rsidRPr="00981405">
        <w:t>challenges</w:t>
      </w:r>
      <w:r w:rsidR="00190923" w:rsidRPr="00981405">
        <w:t xml:space="preserve"> </w:t>
      </w:r>
      <w:r w:rsidRPr="00981405">
        <w:t>it</w:t>
      </w:r>
      <w:r w:rsidR="00190923" w:rsidRPr="00981405">
        <w:t xml:space="preserve"> </w:t>
      </w:r>
      <w:r w:rsidRPr="00981405">
        <w:t>presented,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Pr="00981405">
        <w:t>attempting</w:t>
      </w:r>
      <w:r w:rsidR="00190923" w:rsidRPr="00981405">
        <w:t xml:space="preserve"> </w:t>
      </w:r>
      <w:r w:rsidRPr="00981405">
        <w:t>to</w:t>
      </w:r>
      <w:r w:rsidR="00190923" w:rsidRPr="00981405">
        <w:t xml:space="preserve"> </w:t>
      </w:r>
      <w:r w:rsidRPr="00981405">
        <w:t>achieve</w:t>
      </w:r>
      <w:r w:rsidR="00190923" w:rsidRPr="00981405">
        <w:t xml:space="preserve"> </w:t>
      </w:r>
      <w:r w:rsidRPr="00981405">
        <w:t>a</w:t>
      </w:r>
      <w:r w:rsidR="00190923" w:rsidRPr="00981405">
        <w:t xml:space="preserve"> </w:t>
      </w:r>
      <w:r w:rsidRPr="00981405">
        <w:t>proper</w:t>
      </w:r>
      <w:r w:rsidR="00190923" w:rsidRPr="00981405">
        <w:t xml:space="preserve"> </w:t>
      </w:r>
      <w:r w:rsidRPr="00981405">
        <w:t>balance</w:t>
      </w:r>
      <w:r w:rsidR="00190923" w:rsidRPr="00981405">
        <w:t xml:space="preserve"> </w:t>
      </w:r>
      <w:r w:rsidRPr="00981405">
        <w:t>between</w:t>
      </w:r>
      <w:r w:rsidR="00190923" w:rsidRPr="00981405">
        <w:t xml:space="preserve"> </w:t>
      </w:r>
      <w:r w:rsidRPr="00981405">
        <w:t>safeguarding</w:t>
      </w:r>
      <w:r w:rsidR="00190923" w:rsidRPr="00981405">
        <w:t xml:space="preserve"> </w:t>
      </w:r>
      <w:r w:rsidRPr="00981405">
        <w:t>legitimate</w:t>
      </w:r>
      <w:r w:rsidR="00190923" w:rsidRPr="00981405">
        <w:t xml:space="preserve"> </w:t>
      </w:r>
      <w:r w:rsidRPr="00981405">
        <w:t>rights</w:t>
      </w:r>
      <w:r w:rsidR="00190923" w:rsidRPr="00981405">
        <w:t xml:space="preserve"> </w:t>
      </w:r>
      <w:r w:rsidRPr="00981405">
        <w:t>that</w:t>
      </w:r>
      <w:r w:rsidR="00190923" w:rsidRPr="00981405">
        <w:t xml:space="preserve"> </w:t>
      </w:r>
      <w:r w:rsidRPr="00981405">
        <w:t>exist</w:t>
      </w:r>
      <w:r w:rsidR="00190923" w:rsidRPr="00981405">
        <w:t xml:space="preserve"> </w:t>
      </w:r>
      <w:r w:rsidRPr="00981405">
        <w:t>under</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and</w:t>
      </w:r>
      <w:r w:rsidR="00190923" w:rsidRPr="00981405">
        <w:t xml:space="preserve"> </w:t>
      </w:r>
      <w:r w:rsidRPr="00981405">
        <w:t>protecting</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achieve</w:t>
      </w:r>
      <w:r w:rsidR="00190923" w:rsidRPr="00981405">
        <w:t xml:space="preserve"> </w:t>
      </w:r>
      <w:r w:rsidRPr="00981405">
        <w:t>such</w:t>
      </w:r>
      <w:r w:rsidR="00190923" w:rsidRPr="00981405">
        <w:t xml:space="preserve"> </w:t>
      </w:r>
      <w:r w:rsidRPr="00981405">
        <w:t>equilibrium,</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an</w:t>
      </w:r>
      <w:r w:rsidR="00190923" w:rsidRPr="00981405">
        <w:t xml:space="preserve"> </w:t>
      </w:r>
      <w:r w:rsidRPr="00981405">
        <w:t>in-depth</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notion</w:t>
      </w:r>
      <w:r w:rsidR="00190923" w:rsidRPr="00981405">
        <w:t xml:space="preserve"> </w:t>
      </w:r>
      <w:r w:rsidRPr="00981405">
        <w:t>of</w:t>
      </w:r>
      <w:r w:rsidR="00190923" w:rsidRPr="00981405">
        <w:t xml:space="preserve"> </w:t>
      </w:r>
      <w:r w:rsidR="00B92E2C" w:rsidRPr="00981405">
        <w:t>“</w:t>
      </w:r>
      <w:r w:rsidRPr="00981405">
        <w:t>widespread,</w:t>
      </w:r>
      <w:r w:rsidR="00190923" w:rsidRPr="00981405">
        <w:t xml:space="preserve"> </w:t>
      </w:r>
      <w:r w:rsidRPr="00981405">
        <w:t>long-term</w:t>
      </w:r>
      <w:r w:rsidR="00190923" w:rsidRPr="00981405">
        <w:t xml:space="preserve"> </w:t>
      </w:r>
      <w:r w:rsidRPr="00981405">
        <w:t>and</w:t>
      </w:r>
      <w:r w:rsidR="00190923" w:rsidRPr="00981405">
        <w:t xml:space="preserve"> </w:t>
      </w:r>
      <w:r w:rsidRPr="00981405">
        <w:t>severe</w:t>
      </w:r>
      <w:r w:rsidR="00190923" w:rsidRPr="00981405">
        <w:t xml:space="preserve"> </w:t>
      </w:r>
      <w:r w:rsidRPr="00981405">
        <w:t>damage</w:t>
      </w:r>
      <w:r w:rsidR="00B92E2C" w:rsidRPr="00981405">
        <w: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of</w:t>
      </w:r>
      <w:r w:rsidR="00190923" w:rsidRPr="00981405">
        <w:t xml:space="preserve"> </w:t>
      </w:r>
      <w:r w:rsidRPr="00981405">
        <w:t>the</w:t>
      </w:r>
      <w:r w:rsidR="00190923" w:rsidRPr="00981405">
        <w:t xml:space="preserve"> </w:t>
      </w:r>
      <w:r w:rsidRPr="00981405">
        <w:t>standards</w:t>
      </w:r>
      <w:r w:rsidR="00190923" w:rsidRPr="00981405">
        <w:t xml:space="preserve"> </w:t>
      </w:r>
      <w:r w:rsidRPr="00981405">
        <w:t>used</w:t>
      </w:r>
      <w:r w:rsidR="00190923" w:rsidRPr="00981405">
        <w:t xml:space="preserve"> </w:t>
      </w:r>
      <w:r w:rsidRPr="00981405">
        <w:t>for</w:t>
      </w:r>
      <w:r w:rsidR="00190923" w:rsidRPr="00981405">
        <w:t xml:space="preserve"> </w:t>
      </w:r>
      <w:r w:rsidRPr="00981405">
        <w:t>those</w:t>
      </w:r>
      <w:r w:rsidR="00190923" w:rsidRPr="00981405">
        <w:t xml:space="preserve"> </w:t>
      </w:r>
      <w:r w:rsidRPr="00981405">
        <w:t>criteria</w:t>
      </w:r>
      <w:r w:rsidR="00190923" w:rsidRPr="00981405">
        <w:t xml:space="preserve"> </w:t>
      </w:r>
      <w:r w:rsidRPr="00981405">
        <w:t>would</w:t>
      </w:r>
      <w:r w:rsidR="00190923" w:rsidRPr="00981405">
        <w:t xml:space="preserve"> </w:t>
      </w:r>
      <w:r w:rsidRPr="00981405">
        <w:t>be</w:t>
      </w:r>
      <w:r w:rsidR="00190923" w:rsidRPr="00981405">
        <w:t xml:space="preserve"> </w:t>
      </w:r>
      <w:r w:rsidRPr="00981405">
        <w:t>essential.</w:t>
      </w:r>
      <w:r w:rsidR="00190923" w:rsidRPr="00981405">
        <w:t xml:space="preserve"> </w:t>
      </w:r>
    </w:p>
    <w:p w:rsidR="00397032" w:rsidRPr="00981405" w:rsidRDefault="00397032" w:rsidP="00D97463">
      <w:pPr>
        <w:pStyle w:val="SingleTxt"/>
      </w:pPr>
      <w:r w:rsidRPr="00981405">
        <w:t>142.</w:t>
      </w:r>
      <w:r w:rsidRPr="00981405">
        <w:tab/>
        <w:t>Some</w:t>
      </w:r>
      <w:r w:rsidR="00190923" w:rsidRPr="00981405">
        <w:t xml:space="preserve"> </w:t>
      </w:r>
      <w:r w:rsidRPr="00981405">
        <w:t>members</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was</w:t>
      </w:r>
      <w:r w:rsidR="00190923" w:rsidRPr="00981405">
        <w:t xml:space="preserve"> </w:t>
      </w:r>
      <w:r w:rsidRPr="00981405">
        <w:t>to</w:t>
      </w:r>
      <w:r w:rsidR="00190923" w:rsidRPr="00981405">
        <w:t xml:space="preserve"> </w:t>
      </w:r>
      <w:r w:rsidRPr="00981405">
        <w:t>identify</w:t>
      </w:r>
      <w:r w:rsidR="00190923" w:rsidRPr="00981405">
        <w:t xml:space="preserve"> </w:t>
      </w:r>
      <w:r w:rsidRPr="00981405">
        <w:t>the</w:t>
      </w:r>
      <w:r w:rsidR="00190923" w:rsidRPr="00981405">
        <w:t xml:space="preserve"> </w:t>
      </w:r>
      <w:r w:rsidRPr="00981405">
        <w:t>existing</w:t>
      </w:r>
      <w:r w:rsidR="00190923" w:rsidRPr="00981405">
        <w:t xml:space="preserve"> </w:t>
      </w:r>
      <w:r w:rsidRPr="00981405">
        <w:t>rules</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that</w:t>
      </w:r>
      <w:r w:rsidR="00190923" w:rsidRPr="00981405">
        <w:t xml:space="preserve"> </w:t>
      </w:r>
      <w:r w:rsidRPr="00981405">
        <w:t>are</w:t>
      </w:r>
      <w:r w:rsidR="00190923" w:rsidRPr="00981405">
        <w:t xml:space="preserve"> </w:t>
      </w:r>
      <w:r w:rsidRPr="00981405">
        <w:t>directly</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some</w:t>
      </w:r>
      <w:r w:rsidR="00190923" w:rsidRPr="00981405">
        <w:t xml:space="preserve"> </w:t>
      </w:r>
      <w:r w:rsidRPr="00981405">
        <w:t>members</w:t>
      </w:r>
      <w:r w:rsidR="00190923" w:rsidRPr="00981405">
        <w:t xml:space="preserve"> </w:t>
      </w:r>
      <w:r w:rsidRPr="00981405">
        <w:t>also</w:t>
      </w:r>
      <w:r w:rsidR="00190923" w:rsidRPr="00981405">
        <w:t xml:space="preserve"> </w:t>
      </w:r>
      <w:r w:rsidRPr="00981405">
        <w:t>stressed</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methodically</w:t>
      </w:r>
      <w:r w:rsidR="00190923" w:rsidRPr="00981405">
        <w:t xml:space="preserve"> </w:t>
      </w:r>
      <w:r w:rsidRPr="00981405">
        <w:t>examine</w:t>
      </w:r>
      <w:r w:rsidR="00190923" w:rsidRPr="00981405">
        <w:t xml:space="preserve"> </w:t>
      </w:r>
      <w:r w:rsidRPr="00981405">
        <w:t>rules</w:t>
      </w:r>
      <w:r w:rsidR="00190923" w:rsidRPr="00981405">
        <w:t xml:space="preserve"> </w:t>
      </w:r>
      <w:r w:rsidRPr="00981405">
        <w:t>and</w:t>
      </w:r>
      <w:r w:rsidR="00190923" w:rsidRPr="00981405">
        <w:t xml:space="preserve"> </w:t>
      </w:r>
      <w:r w:rsidRPr="00981405">
        <w:t>principles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environmental</w:t>
      </w:r>
      <w:r w:rsidR="00190923" w:rsidRPr="00981405">
        <w:t xml:space="preserve"> </w:t>
      </w:r>
      <w:r w:rsidRPr="00981405">
        <w:t>law</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their</w:t>
      </w:r>
      <w:r w:rsidR="00190923" w:rsidRPr="00981405">
        <w:t xml:space="preserve"> </w:t>
      </w:r>
      <w:r w:rsidRPr="00981405">
        <w:t>continued</w:t>
      </w:r>
      <w:r w:rsidR="00190923" w:rsidRPr="00981405">
        <w:t xml:space="preserve"> </w:t>
      </w:r>
      <w:r w:rsidRPr="00981405">
        <w:t>applicability</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and</w:t>
      </w:r>
      <w:r w:rsidR="00190923" w:rsidRPr="00981405">
        <w:t xml:space="preserve"> </w:t>
      </w:r>
      <w:r w:rsidRPr="00981405">
        <w:t>their</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that</w:t>
      </w:r>
      <w:r w:rsidR="00190923" w:rsidRPr="00981405">
        <w:t xml:space="preserve"> </w:t>
      </w:r>
      <w:r w:rsidRPr="00981405">
        <w:t>legal</w:t>
      </w:r>
      <w:r w:rsidR="00190923" w:rsidRPr="00981405">
        <w:t xml:space="preserve"> </w:t>
      </w:r>
      <w:r w:rsidRPr="00981405">
        <w:t>regime.</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that</w:t>
      </w:r>
      <w:r w:rsidR="00190923" w:rsidRPr="00981405">
        <w:t xml:space="preserve"> </w:t>
      </w:r>
      <w:r w:rsidRPr="00981405">
        <w:t>nature</w:t>
      </w:r>
      <w:r w:rsidR="00190923" w:rsidRPr="00981405">
        <w:t xml:space="preserve"> </w:t>
      </w:r>
      <w:r w:rsidRPr="00981405">
        <w:t>was</w:t>
      </w:r>
      <w:r w:rsidR="00190923" w:rsidRPr="00981405">
        <w:t xml:space="preserve"> </w:t>
      </w:r>
      <w:r w:rsidRPr="00981405">
        <w:t>key</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second</w:t>
      </w:r>
      <w:r w:rsidR="00190923" w:rsidRPr="00981405">
        <w:t xml:space="preserve"> </w:t>
      </w:r>
      <w:r w:rsidRPr="00981405">
        <w:t>phase</w:t>
      </w:r>
      <w:r w:rsidR="00190923" w:rsidRPr="00981405">
        <w:t xml:space="preserve"> </w:t>
      </w:r>
      <w:r w:rsidRPr="00981405">
        <w:t>currently</w:t>
      </w:r>
      <w:r w:rsidR="00190923" w:rsidRPr="00981405">
        <w:t xml:space="preserve"> </w:t>
      </w:r>
      <w:r w:rsidRPr="00981405">
        <w:t>under</w:t>
      </w:r>
      <w:r w:rsidR="00190923" w:rsidRPr="00981405">
        <w:t xml:space="preserve"> </w:t>
      </w:r>
      <w:r w:rsidRPr="00981405">
        <w:t>discussion.</w:t>
      </w:r>
      <w:r w:rsidR="00190923" w:rsidRPr="00981405">
        <w:t xml:space="preserve"> </w:t>
      </w:r>
      <w:r w:rsidRPr="00981405">
        <w:t>It</w:t>
      </w:r>
      <w:r w:rsidR="00190923" w:rsidRPr="00981405">
        <w:t xml:space="preserve"> </w:t>
      </w:r>
      <w:r w:rsidRPr="00981405">
        <w:t>was</w:t>
      </w:r>
      <w:r w:rsidR="00190923" w:rsidRPr="00981405">
        <w:t xml:space="preserve"> </w:t>
      </w:r>
      <w:r w:rsidRPr="00981405">
        <w:t>recommended</w:t>
      </w:r>
      <w:r w:rsidR="00190923" w:rsidRPr="00981405">
        <w:t xml:space="preserve"> </w:t>
      </w:r>
      <w:r w:rsidRPr="00981405">
        <w:t>that</w:t>
      </w:r>
      <w:r w:rsidR="00190923" w:rsidRPr="00981405">
        <w:t xml:space="preserve"> </w:t>
      </w:r>
      <w:r w:rsidRPr="00981405">
        <w:t>such</w:t>
      </w:r>
      <w:r w:rsidR="00190923" w:rsidRPr="00981405">
        <w:t xml:space="preserve"> </w:t>
      </w:r>
      <w:r w:rsidRPr="00981405">
        <w:t>a</w:t>
      </w:r>
      <w:r w:rsidR="00190923" w:rsidRPr="00981405">
        <w:t xml:space="preserve"> </w:t>
      </w:r>
      <w:r w:rsidRPr="00981405">
        <w:t>systematic</w:t>
      </w:r>
      <w:r w:rsidR="00190923" w:rsidRPr="00981405">
        <w:t xml:space="preserve"> </w:t>
      </w:r>
      <w:r w:rsidRPr="00981405">
        <w:t>review</w:t>
      </w:r>
      <w:r w:rsidR="00190923" w:rsidRPr="00981405">
        <w:t xml:space="preserve"> </w:t>
      </w:r>
      <w:r w:rsidRPr="00981405">
        <w:t>should</w:t>
      </w:r>
      <w:r w:rsidR="00190923" w:rsidRPr="00981405">
        <w:t xml:space="preserve"> </w:t>
      </w:r>
      <w:r w:rsidRPr="00981405">
        <w:t>use</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effects</w:t>
      </w:r>
      <w:r w:rsidR="00190923" w:rsidRPr="00981405">
        <w:t xml:space="preserve"> </w:t>
      </w:r>
      <w:r w:rsidRPr="00981405">
        <w:t>of</w:t>
      </w:r>
      <w:r w:rsidR="00190923" w:rsidRPr="00981405">
        <w:t xml:space="preserve"> </w:t>
      </w:r>
      <w:r w:rsidRPr="00981405">
        <w:lastRenderedPageBreak/>
        <w:t>armed</w:t>
      </w:r>
      <w:r w:rsidR="00190923" w:rsidRPr="00981405">
        <w:t xml:space="preserve"> </w:t>
      </w:r>
      <w:r w:rsidRPr="00981405">
        <w:t>conflict</w:t>
      </w:r>
      <w:r w:rsidR="00190923" w:rsidRPr="00981405">
        <w:t xml:space="preserve"> </w:t>
      </w:r>
      <w:r w:rsidRPr="00981405">
        <w:t>on</w:t>
      </w:r>
      <w:r w:rsidR="00190923" w:rsidRPr="00981405">
        <w:t xml:space="preserve"> </w:t>
      </w:r>
      <w:r w:rsidRPr="00981405">
        <w:t>treaties</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2011</w:t>
      </w:r>
      <w:r w:rsidR="00190923" w:rsidRPr="00981405">
        <w:t xml:space="preserve"> </w:t>
      </w:r>
      <w:r w:rsidRPr="00981405">
        <w:t>as</w:t>
      </w:r>
      <w:r w:rsidR="00190923" w:rsidRPr="00981405">
        <w:t xml:space="preserve"> </w:t>
      </w:r>
      <w:r w:rsidRPr="00981405">
        <w:t>a</w:t>
      </w:r>
      <w:r w:rsidR="00190923" w:rsidRPr="00981405">
        <w:t xml:space="preserve"> </w:t>
      </w:r>
      <w:r w:rsidRPr="00981405">
        <w:t>point</w:t>
      </w:r>
      <w:r w:rsidR="00190923" w:rsidRPr="00981405">
        <w:t xml:space="preserve"> </w:t>
      </w:r>
      <w:r w:rsidRPr="00981405">
        <w:t>of</w:t>
      </w:r>
      <w:r w:rsidR="00190923" w:rsidRPr="00981405">
        <w:t xml:space="preserve"> </w:t>
      </w:r>
      <w:r w:rsidRPr="00981405">
        <w:t>departure.</w:t>
      </w:r>
      <w:r w:rsidR="00190923" w:rsidRPr="00981405">
        <w:t xml:space="preserve"> </w:t>
      </w:r>
      <w:r w:rsidRPr="00981405">
        <w:t>It</w:t>
      </w:r>
      <w:r w:rsidR="00190923" w:rsidRPr="00981405">
        <w:t xml:space="preserve"> </w:t>
      </w:r>
      <w:r w:rsidRPr="00981405">
        <w:t>was</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applied,</w:t>
      </w:r>
      <w:r w:rsidR="00190923" w:rsidRPr="00981405">
        <w:t xml:space="preserve"> </w:t>
      </w:r>
      <w:r w:rsidRPr="00981405">
        <w:t>in</w:t>
      </w:r>
      <w:r w:rsidR="00190923" w:rsidRPr="00981405">
        <w:t xml:space="preserve"> </w:t>
      </w:r>
      <w:r w:rsidRPr="00981405">
        <w:t>principle,</w:t>
      </w:r>
      <w:r w:rsidR="00190923" w:rsidRPr="00981405">
        <w:t xml:space="preserve"> </w:t>
      </w:r>
      <w:r w:rsidRPr="00981405">
        <w:t>as</w:t>
      </w:r>
      <w:r w:rsidR="00190923" w:rsidRPr="00981405">
        <w:t xml:space="preserve"> </w:t>
      </w:r>
      <w:r w:rsidR="00590FA7" w:rsidRPr="00981405">
        <w:rPr>
          <w:i/>
          <w:iCs/>
        </w:rPr>
        <w:t>lex</w:t>
      </w:r>
      <w:r w:rsidR="00190923" w:rsidRPr="00981405">
        <w:rPr>
          <w:i/>
          <w:iCs/>
        </w:rPr>
        <w:t xml:space="preserve"> </w:t>
      </w:r>
      <w:r w:rsidR="00590FA7" w:rsidRPr="00981405">
        <w:rPr>
          <w:i/>
          <w:iCs/>
        </w:rPr>
        <w:t>specialis</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It</w:t>
      </w:r>
      <w:r w:rsidR="00190923" w:rsidRPr="00981405">
        <w:t xml:space="preserve"> </w:t>
      </w:r>
      <w:r w:rsidRPr="00981405">
        <w:t>was</w:t>
      </w:r>
      <w:r w:rsidR="00190923" w:rsidRPr="00981405">
        <w:t xml:space="preserve"> </w:t>
      </w:r>
      <w:r w:rsidRPr="00981405">
        <w:t>nevertheless</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legal</w:t>
      </w:r>
      <w:r w:rsidR="00190923" w:rsidRPr="00981405">
        <w:t xml:space="preserve"> </w:t>
      </w:r>
      <w:r w:rsidRPr="00981405">
        <w:t>gaps</w:t>
      </w:r>
      <w:r w:rsidR="00190923" w:rsidRPr="00981405">
        <w:t xml:space="preserve"> </w:t>
      </w:r>
      <w:r w:rsidRPr="00981405">
        <w:t>would</w:t>
      </w:r>
      <w:r w:rsidR="00190923" w:rsidRPr="00981405">
        <w:t xml:space="preserve"> </w:t>
      </w:r>
      <w:r w:rsidRPr="00981405">
        <w:t>be</w:t>
      </w:r>
      <w:r w:rsidR="00190923" w:rsidRPr="00981405">
        <w:t xml:space="preserve"> </w:t>
      </w:r>
      <w:r w:rsidRPr="00981405">
        <w:t>avoided</w:t>
      </w:r>
      <w:r w:rsidR="00190923" w:rsidRPr="00981405">
        <w:t xml:space="preserve"> </w:t>
      </w:r>
      <w:r w:rsidRPr="00981405">
        <w:t>by</w:t>
      </w:r>
      <w:r w:rsidR="00190923" w:rsidRPr="00981405">
        <w:t xml:space="preserve"> </w:t>
      </w:r>
      <w:r w:rsidRPr="00981405">
        <w:t>not</w:t>
      </w:r>
      <w:r w:rsidR="00190923" w:rsidRPr="00981405">
        <w:t xml:space="preserve"> </w:t>
      </w:r>
      <w:r w:rsidRPr="00981405">
        <w:t>ruling</w:t>
      </w:r>
      <w:r w:rsidR="00190923" w:rsidRPr="00981405">
        <w:t xml:space="preserve"> </w:t>
      </w:r>
      <w:r w:rsidRPr="00981405">
        <w:t>out</w:t>
      </w:r>
      <w:r w:rsidR="00190923" w:rsidRPr="00981405">
        <w:t xml:space="preserve"> </w:t>
      </w:r>
      <w:r w:rsidRPr="00981405">
        <w:t>the</w:t>
      </w:r>
      <w:r w:rsidR="00190923" w:rsidRPr="00981405">
        <w:t xml:space="preserve"> </w:t>
      </w:r>
      <w:r w:rsidRPr="00981405">
        <w:t>parallel</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environmental</w:t>
      </w:r>
      <w:r w:rsidR="00190923" w:rsidRPr="00981405">
        <w:t xml:space="preserve"> </w:t>
      </w:r>
      <w:r w:rsidRPr="00981405">
        <w:t>law.</w:t>
      </w:r>
      <w:r w:rsidR="00190923" w:rsidRPr="00981405">
        <w:t xml:space="preserve"> </w:t>
      </w:r>
      <w:r w:rsidRPr="00981405">
        <w:t>This</w:t>
      </w:r>
      <w:r w:rsidR="00190923" w:rsidRPr="00981405">
        <w:t xml:space="preserve"> </w:t>
      </w:r>
      <w:r w:rsidRPr="00981405">
        <w:t>was</w:t>
      </w:r>
      <w:r w:rsidR="00190923" w:rsidRPr="00981405">
        <w:t xml:space="preserve"> </w:t>
      </w:r>
      <w:r w:rsidRPr="00981405">
        <w:t>an</w:t>
      </w:r>
      <w:r w:rsidR="00190923" w:rsidRPr="00981405">
        <w:t xml:space="preserve"> </w:t>
      </w:r>
      <w:r w:rsidRPr="00981405">
        <w:t>approach</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used</w:t>
      </w:r>
      <w:r w:rsidR="00190923" w:rsidRPr="00981405">
        <w:t xml:space="preserve"> </w:t>
      </w:r>
      <w:r w:rsidRPr="00981405">
        <w:t>to</w:t>
      </w:r>
      <w:r w:rsidR="00190923" w:rsidRPr="00981405">
        <w:t xml:space="preserve"> </w:t>
      </w:r>
      <w:r w:rsidRPr="00981405">
        <w:t>address</w:t>
      </w:r>
      <w:r w:rsidR="00190923" w:rsidRPr="00981405">
        <w:t xml:space="preserve"> </w:t>
      </w:r>
      <w:r w:rsidRPr="00981405">
        <w:t>similar</w:t>
      </w:r>
      <w:r w:rsidR="00190923" w:rsidRPr="00981405">
        <w:t xml:space="preserve"> </w:t>
      </w:r>
      <w:r w:rsidRPr="00981405">
        <w:t>questions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protection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in</w:t>
      </w:r>
      <w:r w:rsidR="00190923" w:rsidRPr="00981405">
        <w:t xml:space="preserve"> </w:t>
      </w:r>
      <w:r w:rsidRPr="00981405">
        <w:t>the</w:t>
      </w:r>
      <w:r w:rsidR="00190923" w:rsidRPr="00981405">
        <w:t xml:space="preserve"> </w:t>
      </w:r>
      <w:r w:rsidRPr="00981405">
        <w:t>event</w:t>
      </w:r>
      <w:r w:rsidR="00190923" w:rsidRPr="00981405">
        <w:t xml:space="preserve"> </w:t>
      </w:r>
      <w:r w:rsidRPr="00981405">
        <w:t>of</w:t>
      </w:r>
      <w:r w:rsidR="00190923" w:rsidRPr="00981405">
        <w:t xml:space="preserve"> </w:t>
      </w:r>
      <w:r w:rsidRPr="00981405">
        <w:t>disasters.</w:t>
      </w:r>
      <w:r w:rsidR="00190923" w:rsidRPr="00981405">
        <w:t xml:space="preserve"> </w:t>
      </w:r>
      <w:r w:rsidRPr="00981405">
        <w:t>Some</w:t>
      </w:r>
      <w:r w:rsidR="00190923" w:rsidRPr="00981405">
        <w:t xml:space="preserve"> </w:t>
      </w:r>
      <w:r w:rsidRPr="00981405">
        <w:t>members</w:t>
      </w:r>
      <w:r w:rsidR="00190923" w:rsidRPr="00981405">
        <w:t xml:space="preserve"> </w:t>
      </w:r>
      <w:r w:rsidRPr="00981405">
        <w:t>also</w:t>
      </w:r>
      <w:r w:rsidR="00190923" w:rsidRPr="00981405">
        <w:t xml:space="preserve"> </w:t>
      </w:r>
      <w:r w:rsidRPr="00981405">
        <w:t>drew</w:t>
      </w:r>
      <w:r w:rsidR="00190923" w:rsidRPr="00981405">
        <w:t xml:space="preserve"> </w:t>
      </w:r>
      <w:r w:rsidRPr="00981405">
        <w:t>attention</w:t>
      </w:r>
      <w:r w:rsidR="00190923" w:rsidRPr="00981405">
        <w:t xml:space="preserve"> </w:t>
      </w:r>
      <w:r w:rsidRPr="00981405">
        <w:t>to</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other</w:t>
      </w:r>
      <w:r w:rsidR="00190923" w:rsidRPr="00981405">
        <w:t xml:space="preserve"> </w:t>
      </w:r>
      <w:r w:rsidRPr="00981405">
        <w:t>legal</w:t>
      </w:r>
      <w:r w:rsidR="00190923" w:rsidRPr="00981405">
        <w:t xml:space="preserve"> </w:t>
      </w:r>
      <w:r w:rsidRPr="00981405">
        <w:t>fields</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such</w:t>
      </w:r>
      <w:r w:rsidR="00190923" w:rsidRPr="00981405">
        <w:t xml:space="preserve"> </w:t>
      </w:r>
      <w:r w:rsidRPr="00981405">
        <w:t>as</w:t>
      </w:r>
      <w:r w:rsidR="00190923" w:rsidRPr="00981405">
        <w:t xml:space="preserve"> </w:t>
      </w:r>
      <w:r w:rsidRPr="00981405">
        <w:t>human</w:t>
      </w:r>
      <w:r w:rsidR="00190923" w:rsidRPr="00981405">
        <w:t xml:space="preserve"> </w:t>
      </w:r>
      <w:r w:rsidRPr="00981405">
        <w:t>rights,</w:t>
      </w:r>
      <w:r w:rsidR="00190923" w:rsidRPr="00981405">
        <w:t xml:space="preserve"> </w:t>
      </w:r>
      <w:r w:rsidRPr="00981405">
        <w:t>and</w:t>
      </w:r>
      <w:r w:rsidR="00190923" w:rsidRPr="00981405">
        <w:t xml:space="preserve"> </w:t>
      </w:r>
      <w:r w:rsidRPr="00981405">
        <w:t>encouraged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examine</w:t>
      </w:r>
      <w:r w:rsidR="00190923" w:rsidRPr="00981405">
        <w:t xml:space="preserve"> </w:t>
      </w:r>
      <w:r w:rsidRPr="00981405">
        <w:t>further</w:t>
      </w:r>
      <w:r w:rsidR="00190923" w:rsidRPr="00981405">
        <w:t xml:space="preserve"> </w:t>
      </w:r>
      <w:r w:rsidRPr="00981405">
        <w:t>how</w:t>
      </w:r>
      <w:r w:rsidR="00190923" w:rsidRPr="00981405">
        <w:t xml:space="preserve"> </w:t>
      </w:r>
      <w:r w:rsidRPr="00981405">
        <w:t>these</w:t>
      </w:r>
      <w:r w:rsidR="00190923" w:rsidRPr="00981405">
        <w:t xml:space="preserve"> </w:t>
      </w:r>
      <w:r w:rsidRPr="00981405">
        <w:t>fields</w:t>
      </w:r>
      <w:r w:rsidR="00190923" w:rsidRPr="00981405">
        <w:t xml:space="preserve"> </w:t>
      </w:r>
      <w:r w:rsidRPr="00981405">
        <w:t>interrelate.</w:t>
      </w:r>
      <w:r w:rsidR="00190923" w:rsidRPr="00981405">
        <w:t xml:space="preserve"> </w:t>
      </w:r>
      <w:r w:rsidRPr="00981405">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how</w:t>
      </w:r>
      <w:r w:rsidR="00190923" w:rsidRPr="00981405">
        <w:t xml:space="preserve"> </w:t>
      </w:r>
      <w:r w:rsidRPr="00981405">
        <w:t>the</w:t>
      </w:r>
      <w:r w:rsidR="00190923" w:rsidRPr="00981405">
        <w:t xml:space="preserve"> </w:t>
      </w:r>
      <w:r w:rsidRPr="00981405">
        <w:t>topic</w:t>
      </w:r>
      <w:r w:rsidR="00190923" w:rsidRPr="00981405">
        <w:t xml:space="preserve"> </w:t>
      </w:r>
      <w:r w:rsidRPr="00981405">
        <w:t>is</w:t>
      </w:r>
      <w:r w:rsidR="00190923" w:rsidRPr="00981405">
        <w:t xml:space="preserve"> </w:t>
      </w:r>
      <w:r w:rsidRPr="00981405">
        <w:t>intended</w:t>
      </w:r>
      <w:r w:rsidR="00190923" w:rsidRPr="00981405">
        <w:t xml:space="preserve"> </w:t>
      </w:r>
      <w:r w:rsidRPr="00981405">
        <w:t>to</w:t>
      </w:r>
      <w:r w:rsidR="00190923" w:rsidRPr="00981405">
        <w:t xml:space="preserve"> </w:t>
      </w:r>
      <w:r w:rsidRPr="00981405">
        <w:t>interact</w:t>
      </w:r>
      <w:r w:rsidR="00190923" w:rsidRPr="00981405">
        <w:t xml:space="preserve"> </w:t>
      </w:r>
      <w:r w:rsidRPr="00981405">
        <w:t>with</w:t>
      </w:r>
      <w:r w:rsidR="00190923" w:rsidRPr="00981405">
        <w:t xml:space="preserve"> </w:t>
      </w:r>
      <w:r w:rsidRPr="00981405">
        <w:t>the</w:t>
      </w:r>
      <w:r w:rsidR="00190923" w:rsidRPr="00981405">
        <w:t xml:space="preserve"> </w:t>
      </w:r>
      <w:r w:rsidRPr="00981405">
        <w:t>debate</w:t>
      </w:r>
      <w:r w:rsidR="00190923" w:rsidRPr="00981405">
        <w:t xml:space="preserve"> </w:t>
      </w:r>
      <w:r w:rsidRPr="00981405">
        <w:t>surrounding</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international</w:t>
      </w:r>
      <w:r w:rsidR="00190923" w:rsidRPr="00981405">
        <w:t xml:space="preserve"> </w:t>
      </w:r>
      <w:r w:rsidRPr="00981405">
        <w:t>humanitarian</w:t>
      </w:r>
      <w:r w:rsidR="00190923" w:rsidRPr="00981405">
        <w:t xml:space="preserve"> </w:t>
      </w:r>
      <w:r w:rsidRPr="00981405">
        <w:t>law</w:t>
      </w:r>
      <w:r w:rsidR="00190923" w:rsidRPr="00981405">
        <w:t xml:space="preserve"> </w:t>
      </w:r>
      <w:r w:rsidRPr="00981405">
        <w:t>and</w:t>
      </w:r>
      <w:r w:rsidR="00190923" w:rsidRPr="00981405">
        <w:t xml:space="preserve"> </w:t>
      </w:r>
      <w:r w:rsidRPr="00981405">
        <w:t>human</w:t>
      </w:r>
      <w:r w:rsidR="00190923" w:rsidRPr="00981405">
        <w:t xml:space="preserve"> </w:t>
      </w:r>
      <w:r w:rsidRPr="00981405">
        <w:t>rights</w:t>
      </w:r>
      <w:r w:rsidR="00190923" w:rsidRPr="00981405">
        <w:t xml:space="preserve"> </w:t>
      </w:r>
      <w:r w:rsidRPr="00981405">
        <w:t>law</w:t>
      </w:r>
      <w:r w:rsidR="00190923" w:rsidRPr="00981405">
        <w:t xml:space="preserve"> </w:t>
      </w:r>
      <w:r w:rsidRPr="00981405">
        <w:t>be</w:t>
      </w:r>
      <w:r w:rsidR="00190923" w:rsidRPr="00981405">
        <w:t xml:space="preserve"> </w:t>
      </w:r>
      <w:r w:rsidRPr="00981405">
        <w:t>addressed.</w:t>
      </w:r>
      <w:r w:rsidR="00190923" w:rsidRPr="00981405">
        <w:t xml:space="preserve"> </w:t>
      </w:r>
      <w:r w:rsidRPr="00981405">
        <w:t>Such</w:t>
      </w:r>
      <w:r w:rsidR="00190923" w:rsidRPr="00981405">
        <w:t xml:space="preserve"> </w:t>
      </w:r>
      <w:r w:rsidRPr="00981405">
        <w:t>an</w:t>
      </w:r>
      <w:r w:rsidR="00190923" w:rsidRPr="00981405">
        <w:t xml:space="preserve"> </w:t>
      </w:r>
      <w:r w:rsidRPr="00981405">
        <w:t>analysis</w:t>
      </w:r>
      <w:r w:rsidR="00190923" w:rsidRPr="00981405">
        <w:t xml:space="preserve"> </w:t>
      </w:r>
      <w:r w:rsidRPr="00981405">
        <w:t>should</w:t>
      </w:r>
      <w:r w:rsidR="00190923" w:rsidRPr="00981405">
        <w:t xml:space="preserve"> </w:t>
      </w:r>
      <w:r w:rsidRPr="00981405">
        <w:t>seek</w:t>
      </w:r>
      <w:r w:rsidR="00190923" w:rsidRPr="00981405">
        <w:t xml:space="preserve"> </w:t>
      </w:r>
      <w:r w:rsidRPr="00981405">
        <w:t>to</w:t>
      </w:r>
      <w:r w:rsidR="00190923" w:rsidRPr="00981405">
        <w:t xml:space="preserve"> </w:t>
      </w:r>
      <w:r w:rsidRPr="00981405">
        <w:t>clarify</w:t>
      </w:r>
      <w:r w:rsidR="00190923" w:rsidRPr="00981405">
        <w:t xml:space="preserve"> </w:t>
      </w:r>
      <w:r w:rsidRPr="00981405">
        <w:t>both</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environmental</w:t>
      </w:r>
      <w:r w:rsidR="00190923" w:rsidRPr="00981405">
        <w:t xml:space="preserve"> </w:t>
      </w:r>
      <w:r w:rsidRPr="00981405">
        <w:t>protections</w:t>
      </w:r>
      <w:r w:rsidR="00190923" w:rsidRPr="00981405">
        <w:t xml:space="preserve"> </w:t>
      </w:r>
      <w:r w:rsidRPr="00981405">
        <w:t>will</w:t>
      </w:r>
      <w:r w:rsidR="00190923" w:rsidRPr="00981405">
        <w:t xml:space="preserve"> </w:t>
      </w:r>
      <w:r w:rsidRPr="00981405">
        <w:t>be</w:t>
      </w:r>
      <w:r w:rsidR="00190923" w:rsidRPr="00981405">
        <w:t xml:space="preserve"> </w:t>
      </w:r>
      <w:r w:rsidRPr="00981405">
        <w:t>applied</w:t>
      </w:r>
      <w:r w:rsidR="00190923" w:rsidRPr="00981405">
        <w:t xml:space="preserve"> </w:t>
      </w:r>
      <w:r w:rsidRPr="00981405">
        <w:t>and</w:t>
      </w:r>
      <w:r w:rsidR="00190923" w:rsidRPr="00981405">
        <w:t xml:space="preserve"> </w:t>
      </w:r>
      <w:r w:rsidRPr="00981405">
        <w:t>how</w:t>
      </w:r>
      <w:r w:rsidR="00190923" w:rsidRPr="00981405">
        <w:t xml:space="preserve"> </w:t>
      </w:r>
      <w:r w:rsidRPr="00981405">
        <w:t>these</w:t>
      </w:r>
      <w:r w:rsidR="00190923" w:rsidRPr="00981405">
        <w:t xml:space="preserve"> </w:t>
      </w:r>
      <w:r w:rsidRPr="00981405">
        <w:t>will</w:t>
      </w:r>
      <w:r w:rsidR="00190923" w:rsidRPr="00981405">
        <w:t xml:space="preserve"> </w:t>
      </w:r>
      <w:r w:rsidRPr="00981405">
        <w:t>fit</w:t>
      </w:r>
      <w:r w:rsidR="00190923" w:rsidRPr="00981405">
        <w:t xml:space="preserve"> </w:t>
      </w:r>
      <w:r w:rsidRPr="00981405">
        <w:t>with</w:t>
      </w:r>
      <w:r w:rsidR="00190923" w:rsidRPr="00981405">
        <w:t xml:space="preserve"> </w:t>
      </w:r>
      <w:r w:rsidRPr="00981405">
        <w:t>related</w:t>
      </w:r>
      <w:r w:rsidR="00190923" w:rsidRPr="00981405">
        <w:t xml:space="preserve"> </w:t>
      </w:r>
      <w:r w:rsidRPr="00981405">
        <w:t>human</w:t>
      </w:r>
      <w:r w:rsidR="00190923" w:rsidRPr="00981405">
        <w:t xml:space="preserve"> </w:t>
      </w:r>
      <w:r w:rsidRPr="00981405">
        <w:t>rights</w:t>
      </w:r>
      <w:r w:rsidR="00190923" w:rsidRPr="00981405">
        <w:t xml:space="preserve"> </w:t>
      </w:r>
      <w:r w:rsidRPr="00981405">
        <w:t>protections.</w:t>
      </w:r>
    </w:p>
    <w:p w:rsidR="00397032" w:rsidRPr="00981405" w:rsidRDefault="00397032" w:rsidP="00D97463">
      <w:pPr>
        <w:pStyle w:val="SingleTxt"/>
      </w:pPr>
      <w:r w:rsidRPr="00981405">
        <w:t>143.</w:t>
      </w:r>
      <w:r w:rsidRPr="00981405">
        <w:tab/>
        <w:t>Also</w:t>
      </w:r>
      <w:r w:rsidR="00190923" w:rsidRPr="00981405">
        <w:t xml:space="preserve"> </w:t>
      </w:r>
      <w:r w:rsidRPr="00981405">
        <w:t>from</w:t>
      </w:r>
      <w:r w:rsidR="00190923" w:rsidRPr="00981405">
        <w:t xml:space="preserve"> </w:t>
      </w:r>
      <w:r w:rsidRPr="00981405">
        <w:t>a</w:t>
      </w:r>
      <w:r w:rsidR="00190923" w:rsidRPr="00981405">
        <w:t xml:space="preserve"> </w:t>
      </w:r>
      <w:r w:rsidRPr="00981405">
        <w:t>methodological</w:t>
      </w:r>
      <w:r w:rsidR="00190923" w:rsidRPr="00981405">
        <w:t xml:space="preserve"> </w:t>
      </w:r>
      <w:r w:rsidRPr="00981405">
        <w:t>perspective,</w:t>
      </w:r>
      <w:r w:rsidR="00190923" w:rsidRPr="00981405">
        <w:t xml:space="preserve"> </w:t>
      </w:r>
      <w:r w:rsidRPr="00981405">
        <w:t>caution</w:t>
      </w:r>
      <w:r w:rsidR="00190923" w:rsidRPr="00981405">
        <w:t xml:space="preserve"> </w:t>
      </w:r>
      <w:r w:rsidRPr="00981405">
        <w:t>was</w:t>
      </w:r>
      <w:r w:rsidR="00190923" w:rsidRPr="00981405">
        <w:t xml:space="preserve"> </w:t>
      </w:r>
      <w:r w:rsidRPr="00981405">
        <w:t>expressed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against</w:t>
      </w:r>
      <w:r w:rsidR="00190923" w:rsidRPr="00981405">
        <w:t xml:space="preserve"> </w:t>
      </w:r>
      <w:r w:rsidRPr="00981405">
        <w:t>an</w:t>
      </w:r>
      <w:r w:rsidR="00190923" w:rsidRPr="00981405">
        <w:t xml:space="preserve"> </w:t>
      </w:r>
      <w:r w:rsidRPr="00981405">
        <w:t>attempt</w:t>
      </w:r>
      <w:r w:rsidR="00190923" w:rsidRPr="00981405">
        <w:t xml:space="preserve"> </w:t>
      </w:r>
      <w:r w:rsidRPr="00981405">
        <w:t>to</w:t>
      </w:r>
      <w:r w:rsidR="00190923" w:rsidRPr="00981405">
        <w:t xml:space="preserve"> </w:t>
      </w:r>
      <w:r w:rsidRPr="00981405">
        <w:t>simply</w:t>
      </w:r>
      <w:r w:rsidR="00190923" w:rsidRPr="00981405">
        <w:t xml:space="preserve"> </w:t>
      </w:r>
      <w:r w:rsidRPr="00981405">
        <w:t>transpose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as</w:t>
      </w:r>
      <w:r w:rsidR="00190923" w:rsidRPr="00981405">
        <w:t xml:space="preserve"> </w:t>
      </w:r>
      <w:r w:rsidRPr="00981405">
        <w:t>they</w:t>
      </w:r>
      <w:r w:rsidR="00190923" w:rsidRPr="00981405">
        <w:t xml:space="preserve"> </w:t>
      </w:r>
      <w:r w:rsidRPr="00981405">
        <w:t>applied</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civilians</w:t>
      </w:r>
      <w:r w:rsidR="00190923" w:rsidRPr="00981405">
        <w:t xml:space="preserve"> </w:t>
      </w:r>
      <w:r w:rsidRPr="00981405">
        <w:t>or</w:t>
      </w:r>
      <w:r w:rsidR="00190923" w:rsidRPr="00981405">
        <w:t xml:space="preserve"> </w:t>
      </w:r>
      <w:r w:rsidRPr="00981405">
        <w:t>civilian</w:t>
      </w:r>
      <w:r w:rsidR="00190923" w:rsidRPr="00981405">
        <w:t xml:space="preserve"> </w:t>
      </w:r>
      <w:r w:rsidRPr="00981405">
        <w:t>objects</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The</w:t>
      </w:r>
      <w:r w:rsidR="00190923" w:rsidRPr="00981405">
        <w:t xml:space="preserve"> </w:t>
      </w:r>
      <w:r w:rsidRPr="00981405">
        <w:t>material,</w:t>
      </w:r>
      <w:r w:rsidR="00190923" w:rsidRPr="00981405">
        <w:t xml:space="preserve"> </w:t>
      </w:r>
      <w:r w:rsidRPr="00981405">
        <w:t>personal</w:t>
      </w:r>
      <w:r w:rsidR="00190923" w:rsidRPr="00981405">
        <w:t xml:space="preserve"> </w:t>
      </w:r>
      <w:r w:rsidRPr="00981405">
        <w:t>and</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of</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respected.</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it</w:t>
      </w:r>
      <w:r w:rsidR="00190923" w:rsidRPr="00981405">
        <w:t xml:space="preserve"> </w:t>
      </w:r>
      <w:r w:rsidRPr="00981405">
        <w:t>might</w:t>
      </w:r>
      <w:r w:rsidR="00190923" w:rsidRPr="00981405">
        <w:t xml:space="preserve"> </w:t>
      </w:r>
      <w:r w:rsidRPr="00981405">
        <w:t>be</w:t>
      </w:r>
      <w:r w:rsidR="00190923" w:rsidRPr="00981405">
        <w:t xml:space="preserve"> </w:t>
      </w:r>
      <w:r w:rsidRPr="00981405">
        <w:t>more</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develop</w:t>
      </w:r>
      <w:r w:rsidR="00190923" w:rsidRPr="00981405">
        <w:t xml:space="preserve"> </w:t>
      </w:r>
      <w:r w:rsidRPr="00981405">
        <w:t>specific</w:t>
      </w:r>
      <w:r w:rsidR="00190923" w:rsidRPr="00981405">
        <w:t xml:space="preserve"> </w:t>
      </w:r>
      <w:r w:rsidRPr="00981405">
        <w:t>rules</w:t>
      </w:r>
      <w:r w:rsidR="00190923" w:rsidRPr="00981405">
        <w:t xml:space="preserve"> </w:t>
      </w:r>
      <w:r w:rsidRPr="00981405">
        <w:t>for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instead</w:t>
      </w:r>
      <w:r w:rsidR="00190923" w:rsidRPr="00981405">
        <w:t xml:space="preserve"> </w:t>
      </w:r>
      <w:r w:rsidRPr="00981405">
        <w:t>of</w:t>
      </w:r>
      <w:r w:rsidR="00190923" w:rsidRPr="00981405">
        <w:t xml:space="preserve"> </w:t>
      </w:r>
      <w:r w:rsidRPr="00981405">
        <w:t>overcoming</w:t>
      </w:r>
      <w:r w:rsidR="00190923" w:rsidRPr="00981405">
        <w:t xml:space="preserve"> </w:t>
      </w:r>
      <w:r w:rsidRPr="00981405">
        <w:t>gaps</w:t>
      </w:r>
      <w:r w:rsidR="00190923" w:rsidRPr="00981405">
        <w:t xml:space="preserve"> </w:t>
      </w:r>
      <w:r w:rsidRPr="00981405">
        <w:t>in</w:t>
      </w:r>
      <w:r w:rsidR="00190923" w:rsidRPr="00981405">
        <w:t xml:space="preserve"> </w:t>
      </w:r>
      <w:r w:rsidRPr="00981405">
        <w:t>the</w:t>
      </w:r>
      <w:r w:rsidR="00190923" w:rsidRPr="00981405">
        <w:t xml:space="preserve"> </w:t>
      </w:r>
      <w:r w:rsidRPr="00981405">
        <w:t>regime</w:t>
      </w:r>
      <w:r w:rsidR="00190923" w:rsidRPr="00981405">
        <w:t xml:space="preserve"> </w:t>
      </w:r>
      <w:r w:rsidRPr="00981405">
        <w:t>of</w:t>
      </w:r>
      <w:r w:rsidR="00190923" w:rsidRPr="00981405">
        <w:t xml:space="preserve"> </w:t>
      </w:r>
      <w:r w:rsidRPr="00981405">
        <w:t>environmental</w:t>
      </w:r>
      <w:r w:rsidR="00190923" w:rsidRPr="00981405">
        <w:t xml:space="preserve"> </w:t>
      </w:r>
      <w:r w:rsidRPr="00981405">
        <w:t>protection</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simply</w:t>
      </w:r>
      <w:r w:rsidR="00190923" w:rsidRPr="00981405">
        <w:t xml:space="preserve"> </w:t>
      </w:r>
      <w:r w:rsidRPr="00981405">
        <w:t>by</w:t>
      </w:r>
      <w:r w:rsidR="00190923" w:rsidRPr="00981405">
        <w:t xml:space="preserve"> </w:t>
      </w:r>
      <w:r w:rsidRPr="00981405">
        <w:t>stating</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civilian.</w:t>
      </w:r>
    </w:p>
    <w:p w:rsidR="00397032" w:rsidRPr="00981405" w:rsidRDefault="00397032" w:rsidP="00D97463">
      <w:pPr>
        <w:pStyle w:val="SingleTxt"/>
      </w:pPr>
      <w:r w:rsidRPr="00981405">
        <w:t>144.</w:t>
      </w:r>
      <w:r w:rsidRPr="00981405">
        <w:tab/>
        <w:t>The</w:t>
      </w:r>
      <w:r w:rsidR="00190923" w:rsidRPr="00981405">
        <w:t xml:space="preserve"> </w:t>
      </w:r>
      <w:r w:rsidRPr="00981405">
        <w:t>detailed</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and</w:t>
      </w:r>
      <w:r w:rsidR="00190923" w:rsidRPr="00981405">
        <w:t xml:space="preserve"> </w:t>
      </w:r>
      <w:r w:rsidRPr="00981405">
        <w:t>analysis</w:t>
      </w:r>
      <w:r w:rsidR="00190923" w:rsidRPr="00981405">
        <w:t xml:space="preserve"> </w:t>
      </w:r>
      <w:r w:rsidRPr="00981405">
        <w:t>of</w:t>
      </w:r>
      <w:r w:rsidR="00190923" w:rsidRPr="00981405">
        <w:t xml:space="preserve"> </w:t>
      </w:r>
      <w:r w:rsidRPr="00981405">
        <w:t>applicable</w:t>
      </w:r>
      <w:r w:rsidR="00190923" w:rsidRPr="00981405">
        <w:t xml:space="preserve"> </w:t>
      </w:r>
      <w:r w:rsidRPr="00981405">
        <w:t>rules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was</w:t>
      </w:r>
      <w:r w:rsidR="00190923" w:rsidRPr="00981405">
        <w:t xml:space="preserve"> </w:t>
      </w:r>
      <w:r w:rsidRPr="00981405">
        <w:t>generally</w:t>
      </w:r>
      <w:r w:rsidR="00190923" w:rsidRPr="00981405">
        <w:t xml:space="preserve"> </w:t>
      </w:r>
      <w:r w:rsidRPr="00981405">
        <w:t>welcomed,</w:t>
      </w:r>
      <w:r w:rsidR="00190923" w:rsidRPr="00981405">
        <w:t xml:space="preserve"> </w:t>
      </w:r>
      <w:r w:rsidRPr="00981405">
        <w:t>though</w:t>
      </w:r>
      <w:r w:rsidR="00190923" w:rsidRPr="00981405">
        <w:t xml:space="preserve"> </w:t>
      </w:r>
      <w:r w:rsidRPr="00981405">
        <w:t>some</w:t>
      </w:r>
      <w:r w:rsidR="00190923" w:rsidRPr="00981405">
        <w:t xml:space="preserve"> </w:t>
      </w:r>
      <w:r w:rsidRPr="00981405">
        <w:t>members</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clear</w:t>
      </w:r>
      <w:r w:rsidR="00190923" w:rsidRPr="00981405">
        <w:t xml:space="preserve"> </w:t>
      </w:r>
      <w:r w:rsidRPr="00981405">
        <w:t>what</w:t>
      </w:r>
      <w:r w:rsidR="00190923" w:rsidRPr="00981405">
        <w:t xml:space="preserve"> </w:t>
      </w:r>
      <w:r w:rsidRPr="00981405">
        <w:t>conclusions</w:t>
      </w:r>
      <w:r w:rsidR="00190923" w:rsidRPr="00981405">
        <w:t xml:space="preserve"> </w:t>
      </w:r>
      <w:r w:rsidRPr="00981405">
        <w:t>could</w:t>
      </w:r>
      <w:r w:rsidR="00190923" w:rsidRPr="00981405">
        <w:t xml:space="preserve"> </w:t>
      </w:r>
      <w:r w:rsidRPr="00981405">
        <w:t>be</w:t>
      </w:r>
      <w:r w:rsidR="00190923" w:rsidRPr="00981405">
        <w:t xml:space="preserve"> </w:t>
      </w:r>
      <w:r w:rsidRPr="00981405">
        <w:t>drawn</w:t>
      </w:r>
      <w:r w:rsidR="00190923" w:rsidRPr="00981405">
        <w:t xml:space="preserve"> </w:t>
      </w:r>
      <w:r w:rsidRPr="00981405">
        <w:t>from</w:t>
      </w:r>
      <w:r w:rsidR="00190923" w:rsidRPr="00981405">
        <w:t xml:space="preserve"> </w:t>
      </w:r>
      <w:r w:rsidRPr="00981405">
        <w:t>it</w:t>
      </w:r>
      <w:r w:rsidR="00190923" w:rsidRPr="00981405">
        <w:t xml:space="preserve"> </w:t>
      </w:r>
      <w:r w:rsidRPr="00981405">
        <w:t>and</w:t>
      </w:r>
      <w:r w:rsidR="00190923" w:rsidRPr="00981405">
        <w:t xml:space="preserve"> </w:t>
      </w:r>
      <w:r w:rsidRPr="00981405">
        <w:t>how</w:t>
      </w:r>
      <w:r w:rsidR="00190923" w:rsidRPr="00981405">
        <w:t xml:space="preserve"> </w:t>
      </w:r>
      <w:r w:rsidRPr="00981405">
        <w:t>the</w:t>
      </w:r>
      <w:r w:rsidR="00190923" w:rsidRPr="00981405">
        <w:t xml:space="preserve"> </w:t>
      </w:r>
      <w:r w:rsidRPr="00981405">
        <w:t>information</w:t>
      </w:r>
      <w:r w:rsidR="00190923" w:rsidRPr="00981405">
        <w:t xml:space="preserve"> </w:t>
      </w:r>
      <w:r w:rsidRPr="00981405">
        <w:t>fed</w:t>
      </w:r>
      <w:r w:rsidR="00190923" w:rsidRPr="00981405">
        <w:t xml:space="preserve"> </w:t>
      </w:r>
      <w:r w:rsidRPr="00981405">
        <w:t>into</w:t>
      </w:r>
      <w:r w:rsidR="00190923" w:rsidRPr="00981405">
        <w:t xml:space="preserve"> </w:t>
      </w:r>
      <w:r w:rsidRPr="00981405">
        <w:t>the</w:t>
      </w:r>
      <w:r w:rsidR="00190923" w:rsidRPr="00981405">
        <w:t xml:space="preserve"> </w:t>
      </w:r>
      <w:r w:rsidRPr="00981405">
        <w:t>elaboration</w:t>
      </w:r>
      <w:r w:rsidR="00190923" w:rsidRPr="00981405">
        <w:t xml:space="preserve"> </w:t>
      </w:r>
      <w:r w:rsidRPr="00981405">
        <w:t>and</w:t>
      </w:r>
      <w:r w:rsidR="00190923" w:rsidRPr="00981405">
        <w:t xml:space="preserve"> </w:t>
      </w:r>
      <w:r w:rsidRPr="00981405">
        <w:t>content</w:t>
      </w:r>
      <w:r w:rsidR="00190923" w:rsidRPr="00981405">
        <w:t xml:space="preserve"> </w:t>
      </w:r>
      <w:r w:rsidRPr="00981405">
        <w:t>of</w:t>
      </w:r>
      <w:r w:rsidR="00190923" w:rsidRPr="00981405">
        <w:t xml:space="preserve"> </w:t>
      </w:r>
      <w:r w:rsidRPr="00981405">
        <w:t>the</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It</w:t>
      </w:r>
      <w:r w:rsidR="00190923" w:rsidRPr="00981405">
        <w:t xml:space="preserve"> </w:t>
      </w:r>
      <w:r w:rsidRPr="00981405">
        <w:t>was</w:t>
      </w:r>
      <w:r w:rsidR="00190923" w:rsidRPr="00981405">
        <w:t xml:space="preserve"> </w:t>
      </w:r>
      <w:r w:rsidRPr="00981405">
        <w:t>stressed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need</w:t>
      </w:r>
      <w:r w:rsidR="00190923" w:rsidRPr="00981405">
        <w:t xml:space="preserve"> </w:t>
      </w:r>
      <w:r w:rsidRPr="00981405">
        <w:t>to</w:t>
      </w:r>
      <w:r w:rsidR="00190923" w:rsidRPr="00981405">
        <w:t xml:space="preserve"> </w:t>
      </w:r>
      <w:r w:rsidRPr="00981405">
        <w:t>know</w:t>
      </w:r>
      <w:r w:rsidR="00190923" w:rsidRPr="00981405">
        <w:t xml:space="preserve"> </w:t>
      </w:r>
      <w:r w:rsidRPr="00981405">
        <w:t>how</w:t>
      </w:r>
      <w:r w:rsidR="00190923" w:rsidRPr="00981405">
        <w:t xml:space="preserve"> </w:t>
      </w:r>
      <w:r w:rsidRPr="00981405">
        <w:t>to</w:t>
      </w:r>
      <w:r w:rsidR="00190923" w:rsidRPr="00981405">
        <w:t xml:space="preserve"> </w:t>
      </w:r>
      <w:r w:rsidRPr="00981405">
        <w:t>use</w:t>
      </w:r>
      <w:r w:rsidR="00190923" w:rsidRPr="00981405">
        <w:t xml:space="preserve"> </w:t>
      </w:r>
      <w:r w:rsidRPr="00981405">
        <w:t>the</w:t>
      </w:r>
      <w:r w:rsidR="00190923" w:rsidRPr="00981405">
        <w:t xml:space="preserve"> </w:t>
      </w:r>
      <w:r w:rsidRPr="00981405">
        <w:t>information</w:t>
      </w:r>
      <w:r w:rsidR="00190923" w:rsidRPr="00981405">
        <w:t xml:space="preserve"> </w:t>
      </w:r>
      <w:r w:rsidRPr="00981405">
        <w:t>in</w:t>
      </w:r>
      <w:r w:rsidR="00190923" w:rsidRPr="00981405">
        <w:t xml:space="preserve"> </w:t>
      </w:r>
      <w:r w:rsidRPr="00981405">
        <w:t>its</w:t>
      </w:r>
      <w:r w:rsidR="00190923" w:rsidRPr="00981405">
        <w:t xml:space="preserve"> </w:t>
      </w:r>
      <w:r w:rsidRPr="00981405">
        <w:t>work,</w:t>
      </w:r>
      <w:r w:rsidR="00190923" w:rsidRPr="00981405">
        <w:t xml:space="preserve"> </w:t>
      </w:r>
      <w:r w:rsidRPr="00981405">
        <w:t>whether</w:t>
      </w:r>
      <w:r w:rsidR="00190923" w:rsidRPr="00981405">
        <w:t xml:space="preserve"> </w:t>
      </w:r>
      <w:r w:rsidRPr="00981405">
        <w:t>the</w:t>
      </w:r>
      <w:r w:rsidR="00190923" w:rsidRPr="00981405">
        <w:t xml:space="preserve"> </w:t>
      </w:r>
      <w:r w:rsidRPr="00981405">
        <w:t>practice</w:t>
      </w:r>
      <w:r w:rsidR="00190923" w:rsidRPr="00981405">
        <w:t xml:space="preserve"> </w:t>
      </w:r>
      <w:r w:rsidRPr="00981405">
        <w:t>represented</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emerging</w:t>
      </w:r>
      <w:r w:rsidR="00190923" w:rsidRPr="00981405">
        <w:t xml:space="preserve"> </w:t>
      </w:r>
      <w:r w:rsidRPr="00981405">
        <w:t>rules</w:t>
      </w:r>
      <w:r w:rsidR="00190923" w:rsidRPr="00981405">
        <w:t xml:space="preserve"> </w:t>
      </w:r>
      <w:r w:rsidRPr="00981405">
        <w:t>or</w:t>
      </w:r>
      <w:r w:rsidR="00190923" w:rsidRPr="00981405">
        <w:t xml:space="preserve"> </w:t>
      </w:r>
      <w:r w:rsidRPr="00981405">
        <w:t>new</w:t>
      </w:r>
      <w:r w:rsidR="00190923" w:rsidRPr="00981405">
        <w:t xml:space="preserve"> </w:t>
      </w:r>
      <w:r w:rsidRPr="00981405">
        <w:t>trends.</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some</w:t>
      </w:r>
      <w:r w:rsidR="00190923" w:rsidRPr="00981405">
        <w:t xml:space="preserve"> </w:t>
      </w:r>
      <w:r w:rsidRPr="00981405">
        <w:t>rules</w:t>
      </w:r>
      <w:r w:rsidR="00190923" w:rsidRPr="00981405">
        <w:t xml:space="preserve"> </w:t>
      </w:r>
      <w:r w:rsidRPr="00981405">
        <w:t>under</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did</w:t>
      </w:r>
      <w:r w:rsidR="00190923" w:rsidRPr="00981405">
        <w:t xml:space="preserve"> </w:t>
      </w:r>
      <w:r w:rsidRPr="00981405">
        <w:t>not</w:t>
      </w:r>
      <w:r w:rsidR="00190923" w:rsidRPr="00981405">
        <w:t xml:space="preserve"> </w:t>
      </w:r>
      <w:r w:rsidRPr="00981405">
        <w:t>seem</w:t>
      </w:r>
      <w:r w:rsidR="00190923" w:rsidRPr="00981405">
        <w:t xml:space="preserve"> </w:t>
      </w:r>
      <w:r w:rsidRPr="00981405">
        <w:t>to</w:t>
      </w:r>
      <w:r w:rsidR="00190923" w:rsidRPr="00981405">
        <w:t xml:space="preserve"> </w:t>
      </w:r>
      <w:r w:rsidRPr="00981405">
        <w:t>reflect</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therefore</w:t>
      </w:r>
      <w:r w:rsidR="00190923" w:rsidRPr="00981405">
        <w:t xml:space="preserve"> </w:t>
      </w:r>
      <w:r w:rsidRPr="00981405">
        <w:t>have</w:t>
      </w:r>
      <w:r w:rsidR="00190923" w:rsidRPr="00981405">
        <w:t xml:space="preserve"> </w:t>
      </w:r>
      <w:r w:rsidRPr="00981405">
        <w:t>to</w:t>
      </w:r>
      <w:r w:rsidR="00190923" w:rsidRPr="00981405">
        <w:t xml:space="preserve"> </w:t>
      </w:r>
      <w:r w:rsidRPr="00981405">
        <w:t>consider</w:t>
      </w:r>
      <w:r w:rsidR="00190923" w:rsidRPr="00981405">
        <w:t xml:space="preserve"> </w:t>
      </w:r>
      <w:r w:rsidRPr="00981405">
        <w:t>to</w:t>
      </w:r>
      <w:r w:rsidR="00190923" w:rsidRPr="00981405">
        <w:t xml:space="preserve"> </w:t>
      </w:r>
      <w:r w:rsidRPr="00981405">
        <w:t>what</w:t>
      </w:r>
      <w:r w:rsidR="00190923" w:rsidRPr="00981405">
        <w:t xml:space="preserve"> </w:t>
      </w:r>
      <w:r w:rsidRPr="00981405">
        <w:t>extent</w:t>
      </w:r>
      <w:r w:rsidR="00190923" w:rsidRPr="00981405">
        <w:t xml:space="preserve"> </w:t>
      </w:r>
      <w:r w:rsidRPr="00981405">
        <w:t>the</w:t>
      </w:r>
      <w:r w:rsidR="00190923" w:rsidRPr="00981405">
        <w:t xml:space="preserve"> </w:t>
      </w:r>
      <w:r w:rsidRPr="00981405">
        <w:t>final</w:t>
      </w:r>
      <w:r w:rsidR="00190923" w:rsidRPr="00981405">
        <w:t xml:space="preserve"> </w:t>
      </w:r>
      <w:r w:rsidRPr="00981405">
        <w:t>outcome</w:t>
      </w:r>
      <w:r w:rsidR="00190923" w:rsidRPr="00981405">
        <w:t xml:space="preserve"> </w:t>
      </w:r>
      <w:r w:rsidRPr="00981405">
        <w:t>would</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development</w:t>
      </w:r>
      <w:r w:rsidR="00190923" w:rsidRPr="00981405">
        <w:t xml:space="preserve"> </w:t>
      </w:r>
      <w:r w:rsidRPr="00981405">
        <w:t>of</w:t>
      </w:r>
      <w:r w:rsidR="00190923" w:rsidRPr="00981405">
        <w:t xml:space="preserve"> </w:t>
      </w:r>
      <w:r w:rsidR="00590FA7" w:rsidRPr="00981405">
        <w:rPr>
          <w:i/>
          <w:iCs/>
        </w:rPr>
        <w:t>lex</w:t>
      </w:r>
      <w:r w:rsidR="00190923" w:rsidRPr="00981405">
        <w:rPr>
          <w:i/>
          <w:iCs/>
        </w:rPr>
        <w:t xml:space="preserve"> </w:t>
      </w:r>
      <w:r w:rsidR="00590FA7" w:rsidRPr="00981405">
        <w:rPr>
          <w:i/>
          <w:iCs/>
        </w:rPr>
        <w:t>ferenda</w:t>
      </w:r>
      <w:r w:rsidRPr="00981405">
        <w:t>.</w:t>
      </w:r>
    </w:p>
    <w:p w:rsidR="00397032" w:rsidRPr="00981405" w:rsidRDefault="00397032" w:rsidP="00D97463">
      <w:pPr>
        <w:pStyle w:val="SingleTxt"/>
      </w:pPr>
      <w:r w:rsidRPr="00981405">
        <w:t>145.</w:t>
      </w:r>
      <w:r w:rsidRPr="00981405">
        <w:tab/>
        <w:t>Concerning</w:t>
      </w:r>
      <w:r w:rsidR="00190923" w:rsidRPr="00981405">
        <w:t xml:space="preserve"> </w:t>
      </w:r>
      <w:r w:rsidRPr="00981405">
        <w:t>the</w:t>
      </w:r>
      <w:r w:rsidR="00190923" w:rsidRPr="00981405">
        <w:t xml:space="preserve"> </w:t>
      </w:r>
      <w:r w:rsidRPr="00981405">
        <w:t>terminology</w:t>
      </w:r>
      <w:r w:rsidR="00190923" w:rsidRPr="00981405">
        <w:t xml:space="preserve"> </w:t>
      </w:r>
      <w:r w:rsidRPr="00981405">
        <w:t>used</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questioned</w:t>
      </w:r>
      <w:r w:rsidR="00190923" w:rsidRPr="00981405">
        <w:t xml:space="preserve"> </w:t>
      </w:r>
      <w:r w:rsidRPr="00981405">
        <w:t>the</w:t>
      </w:r>
      <w:r w:rsidR="00190923" w:rsidRPr="00981405">
        <w:t xml:space="preserve"> </w:t>
      </w:r>
      <w:r w:rsidRPr="00981405">
        <w:t>lack</w:t>
      </w:r>
      <w:r w:rsidR="00190923" w:rsidRPr="00981405">
        <w:t xml:space="preserve"> </w:t>
      </w:r>
      <w:r w:rsidRPr="00981405">
        <w:t>of</w:t>
      </w:r>
      <w:r w:rsidR="00190923" w:rsidRPr="00981405">
        <w:t xml:space="preserve"> </w:t>
      </w:r>
      <w:r w:rsidRPr="00981405">
        <w:t>uniformity</w:t>
      </w:r>
      <w:r w:rsidR="00190923" w:rsidRPr="00981405">
        <w:t xml:space="preserve"> </w:t>
      </w:r>
      <w:r w:rsidRPr="00981405">
        <w:t>of</w:t>
      </w:r>
      <w:r w:rsidR="00190923" w:rsidRPr="00981405">
        <w:t xml:space="preserve"> </w:t>
      </w:r>
      <w:r w:rsidRPr="00981405">
        <w:t>concepts,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terms</w:t>
      </w:r>
      <w:r w:rsidR="00190923" w:rsidRPr="00981405">
        <w:t xml:space="preserve"> </w:t>
      </w:r>
      <w:r w:rsidRPr="00981405">
        <w:t>such</w:t>
      </w:r>
      <w:r w:rsidR="00190923" w:rsidRPr="00981405">
        <w:t xml:space="preserve"> </w:t>
      </w:r>
      <w:r w:rsidRPr="00981405">
        <w:t>as</w:t>
      </w:r>
      <w:r w:rsidR="00190923" w:rsidRPr="00981405">
        <w:t xml:space="preserve"> </w:t>
      </w:r>
      <w:r w:rsidR="00B92E2C" w:rsidRPr="00981405">
        <w:t>“</w:t>
      </w:r>
      <w:r w:rsidRPr="00981405">
        <w:t>environment</w:t>
      </w:r>
      <w:r w:rsidR="00B92E2C" w:rsidRPr="00981405">
        <w:t>”</w:t>
      </w:r>
      <w:r w:rsidR="00190923" w:rsidRPr="00981405">
        <w:t xml:space="preserve"> </w:t>
      </w:r>
      <w:r w:rsidRPr="00981405">
        <w:t>and</w:t>
      </w:r>
      <w:r w:rsidR="00190923" w:rsidRPr="00981405">
        <w:t xml:space="preserve"> </w:t>
      </w:r>
      <w:r w:rsidR="00B92E2C" w:rsidRPr="00981405">
        <w:t>“</w:t>
      </w:r>
      <w:r w:rsidRPr="00981405">
        <w:t>natural</w:t>
      </w:r>
      <w:r w:rsidR="00190923" w:rsidRPr="00981405">
        <w:t xml:space="preserve"> </w:t>
      </w:r>
      <w:r w:rsidRPr="00981405">
        <w:t>environment</w:t>
      </w:r>
      <w:r w:rsidR="00B92E2C" w:rsidRPr="00981405">
        <w:t>”</w:t>
      </w:r>
      <w:r w:rsidR="00190923" w:rsidRPr="00981405">
        <w:t xml:space="preserve"> </w:t>
      </w:r>
      <w:r w:rsidRPr="00981405">
        <w:t>which</w:t>
      </w:r>
      <w:r w:rsidR="00190923" w:rsidRPr="00981405">
        <w:t xml:space="preserve"> </w:t>
      </w:r>
      <w:r w:rsidRPr="00981405">
        <w:t>were</w:t>
      </w:r>
      <w:r w:rsidR="00190923" w:rsidRPr="00981405">
        <w:t xml:space="preserve"> </w:t>
      </w:r>
      <w:r w:rsidRPr="00981405">
        <w:t>used</w:t>
      </w:r>
      <w:r w:rsidR="00190923" w:rsidRPr="00981405">
        <w:t xml:space="preserve"> </w:t>
      </w:r>
      <w:r w:rsidRPr="00981405">
        <w:t>inconsistently</w:t>
      </w:r>
      <w:r w:rsidR="00190923" w:rsidRPr="00981405">
        <w:t xml:space="preserve"> </w:t>
      </w:r>
      <w:r w:rsidRPr="00981405">
        <w:t>in</w:t>
      </w:r>
      <w:r w:rsidR="00190923" w:rsidRPr="00981405">
        <w:t xml:space="preserve"> </w:t>
      </w:r>
      <w:r w:rsidRPr="00981405">
        <w:t>the</w:t>
      </w:r>
      <w:r w:rsidR="00190923" w:rsidRPr="00981405">
        <w:t xml:space="preserve"> </w:t>
      </w:r>
      <w:r w:rsidRPr="00981405">
        <w:t>text,</w:t>
      </w:r>
      <w:r w:rsidR="00190923" w:rsidRPr="00981405">
        <w:t xml:space="preserve"> </w:t>
      </w:r>
      <w:r w:rsidRPr="00981405">
        <w:t>giving</w:t>
      </w:r>
      <w:r w:rsidR="00190923" w:rsidRPr="00981405">
        <w:t xml:space="preserve"> </w:t>
      </w:r>
      <w:r w:rsidRPr="00981405">
        <w:t>rise</w:t>
      </w:r>
      <w:r w:rsidR="00190923" w:rsidRPr="00981405">
        <w:t xml:space="preserve"> </w:t>
      </w:r>
      <w:r w:rsidRPr="00981405">
        <w:t>to</w:t>
      </w:r>
      <w:r w:rsidR="00190923" w:rsidRPr="00981405">
        <w:t xml:space="preserve"> </w:t>
      </w:r>
      <w:r w:rsidRPr="00981405">
        <w:t>confusion.</w:t>
      </w:r>
      <w:r w:rsidR="00190923" w:rsidRPr="00981405">
        <w:t xml:space="preserve"> </w:t>
      </w:r>
      <w:r w:rsidRPr="00981405">
        <w:t>Furthermore,</w:t>
      </w:r>
      <w:r w:rsidR="00190923" w:rsidRPr="00981405">
        <w:t xml:space="preserve"> </w:t>
      </w:r>
      <w:r w:rsidRPr="00981405">
        <w:t>members</w:t>
      </w:r>
      <w:r w:rsidR="00190923" w:rsidRPr="00981405">
        <w:t xml:space="preserve"> </w:t>
      </w:r>
      <w:r w:rsidRPr="00981405">
        <w:t>generally</w:t>
      </w:r>
      <w:r w:rsidR="00190923" w:rsidRPr="00981405">
        <w:t xml:space="preserve"> </w:t>
      </w:r>
      <w:r w:rsidRPr="00981405">
        <w:t>questioned</w:t>
      </w:r>
      <w:r w:rsidR="00190923" w:rsidRPr="00981405">
        <w:t xml:space="preserve"> </w:t>
      </w:r>
      <w:r w:rsidRPr="00981405">
        <w:t>the</w:t>
      </w:r>
      <w:r w:rsidR="00190923" w:rsidRPr="00981405">
        <w:t xml:space="preserve"> </w:t>
      </w:r>
      <w:r w:rsidRPr="00981405">
        <w:t>placement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concerning</w:t>
      </w:r>
      <w:r w:rsidR="00190923" w:rsidRPr="00981405">
        <w:t xml:space="preserve"> </w:t>
      </w:r>
      <w:r w:rsidRPr="00981405">
        <w:t>scope,</w:t>
      </w:r>
      <w:r w:rsidR="00190923" w:rsidRPr="00981405">
        <w:t xml:space="preserve"> </w:t>
      </w:r>
      <w:r w:rsidRPr="00981405">
        <w:t>purpose</w:t>
      </w:r>
      <w:r w:rsidR="00190923" w:rsidRPr="00981405">
        <w:t xml:space="preserve"> </w:t>
      </w:r>
      <w:r w:rsidRPr="00981405">
        <w:t>and</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in</w:t>
      </w:r>
      <w:r w:rsidR="00190923" w:rsidRPr="00981405">
        <w:t xml:space="preserve"> </w:t>
      </w:r>
      <w:r w:rsidRPr="00981405">
        <w:t>the</w:t>
      </w:r>
      <w:r w:rsidR="00190923" w:rsidRPr="00981405">
        <w:t xml:space="preserve"> </w:t>
      </w:r>
      <w:r w:rsidRPr="00981405">
        <w:t>preamble.</w:t>
      </w:r>
      <w:r w:rsidR="00190923" w:rsidRPr="00981405">
        <w:t xml:space="preserve"> </w:t>
      </w:r>
      <w:r w:rsidRPr="00981405">
        <w:t>While</w:t>
      </w:r>
      <w:r w:rsidR="00190923" w:rsidRPr="00981405">
        <w:t xml:space="preserve"> </w:t>
      </w:r>
      <w:r w:rsidRPr="00981405">
        <w:t>they</w:t>
      </w:r>
      <w:r w:rsidR="00190923" w:rsidRPr="00981405">
        <w:t xml:space="preserve"> </w:t>
      </w:r>
      <w:r w:rsidRPr="00981405">
        <w:t>were</w:t>
      </w:r>
      <w:r w:rsidR="00190923" w:rsidRPr="00981405">
        <w:t xml:space="preserve"> </w:t>
      </w:r>
      <w:r w:rsidRPr="00981405">
        <w:t>sympathetic</w:t>
      </w:r>
      <w:r w:rsidR="00190923" w:rsidRPr="00981405">
        <w:t xml:space="preserve"> </w:t>
      </w:r>
      <w:r w:rsidRPr="00981405">
        <w:t>to</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that</w:t>
      </w:r>
      <w:r w:rsidR="00190923" w:rsidRPr="00981405">
        <w:t xml:space="preserve"> </w:t>
      </w:r>
      <w:r w:rsidRPr="00981405">
        <w:t>such</w:t>
      </w:r>
      <w:r w:rsidR="00190923" w:rsidRPr="00981405">
        <w:t xml:space="preserve"> </w:t>
      </w:r>
      <w:r w:rsidRPr="00981405">
        <w:t>provisions</w:t>
      </w:r>
      <w:r w:rsidR="00190923" w:rsidRPr="00981405">
        <w:t xml:space="preserve"> </w:t>
      </w:r>
      <w:r w:rsidRPr="00981405">
        <w:t>were</w:t>
      </w:r>
      <w:r w:rsidR="00190923" w:rsidRPr="00981405">
        <w:t xml:space="preserve"> </w:t>
      </w:r>
      <w:r w:rsidRPr="00981405">
        <w:t>not</w:t>
      </w:r>
      <w:r w:rsidR="00190923" w:rsidRPr="00981405">
        <w:t xml:space="preserve"> </w:t>
      </w:r>
      <w:r w:rsidR="00B92E2C" w:rsidRPr="00981405">
        <w:t>“</w:t>
      </w:r>
      <w:r w:rsidRPr="00981405">
        <w:t>principles</w:t>
      </w:r>
      <w:r w:rsidR="00B92E2C" w:rsidRPr="00981405">
        <w:t>”</w:t>
      </w:r>
      <w:r w:rsidR="00190923" w:rsidRPr="00981405">
        <w:t xml:space="preserve"> </w:t>
      </w:r>
      <w:r w:rsidR="00590FA7" w:rsidRPr="00981405">
        <w:rPr>
          <w:i/>
          <w:iCs/>
        </w:rPr>
        <w:t>per</w:t>
      </w:r>
      <w:r w:rsidR="00190923" w:rsidRPr="00981405">
        <w:rPr>
          <w:i/>
          <w:iCs/>
        </w:rPr>
        <w:t xml:space="preserve"> </w:t>
      </w:r>
      <w:r w:rsidR="00590FA7" w:rsidRPr="00981405">
        <w:rPr>
          <w:i/>
          <w:iCs/>
        </w:rPr>
        <w:t>se</w:t>
      </w:r>
      <w:r w:rsidRPr="00981405">
        <w:t>,</w:t>
      </w:r>
      <w:r w:rsidR="00190923" w:rsidRPr="00981405">
        <w:t xml:space="preserve"> </w:t>
      </w:r>
      <w:r w:rsidRPr="00981405">
        <w:t>they</w:t>
      </w:r>
      <w:r w:rsidR="00190923" w:rsidRPr="00981405">
        <w:t xml:space="preserve"> </w:t>
      </w:r>
      <w:r w:rsidRPr="00981405">
        <w:t>referred</w:t>
      </w:r>
      <w:r w:rsidR="00190923" w:rsidRPr="00981405">
        <w:t xml:space="preserve"> </w:t>
      </w:r>
      <w:r w:rsidRPr="00981405">
        <w:t>to</w:t>
      </w:r>
      <w:r w:rsidR="00190923" w:rsidRPr="00981405">
        <w:t xml:space="preserve"> </w:t>
      </w:r>
      <w:r w:rsidRPr="00981405">
        <w:t>past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encouraged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their</w:t>
      </w:r>
      <w:r w:rsidR="00190923" w:rsidRPr="00981405">
        <w:t xml:space="preserve"> </w:t>
      </w:r>
      <w:r w:rsidRPr="00981405">
        <w:t>placement,</w:t>
      </w:r>
      <w:r w:rsidR="00190923" w:rsidRPr="00981405">
        <w:t xml:space="preserve"> </w:t>
      </w:r>
      <w:r w:rsidRPr="00981405">
        <w:t>including</w:t>
      </w:r>
      <w:r w:rsidR="00190923" w:rsidRPr="00981405">
        <w:t xml:space="preserve"> </w:t>
      </w:r>
      <w:r w:rsidRPr="00981405">
        <w:t>by</w:t>
      </w:r>
      <w:r w:rsidR="00190923" w:rsidRPr="00981405">
        <w:t xml:space="preserve"> </w:t>
      </w:r>
      <w:r w:rsidRPr="00981405">
        <w:t>moving</w:t>
      </w:r>
      <w:r w:rsidR="00190923" w:rsidRPr="00981405">
        <w:t xml:space="preserve"> </w:t>
      </w:r>
      <w:r w:rsidRPr="00981405">
        <w:t>some</w:t>
      </w:r>
      <w:r w:rsidR="00190923" w:rsidRPr="00981405">
        <w:t xml:space="preserve"> </w:t>
      </w:r>
      <w:r w:rsidRPr="00981405">
        <w:t>of</w:t>
      </w:r>
      <w:r w:rsidR="00190923" w:rsidRPr="00981405">
        <w:t xml:space="preserve"> </w:t>
      </w:r>
      <w:r w:rsidRPr="00981405">
        <w:t>them</w:t>
      </w:r>
      <w:r w:rsidR="00190923" w:rsidRPr="00981405">
        <w:t xml:space="preserve"> </w:t>
      </w:r>
      <w:r w:rsidRPr="00981405">
        <w:t>into</w:t>
      </w:r>
      <w:r w:rsidR="00190923" w:rsidRPr="00981405">
        <w:t xml:space="preserve"> </w:t>
      </w:r>
      <w:r w:rsidRPr="00981405">
        <w:t>the</w:t>
      </w:r>
      <w:r w:rsidR="00190923" w:rsidRPr="00981405">
        <w:t xml:space="preserve"> </w:t>
      </w:r>
      <w:r w:rsidRPr="00981405">
        <w:t>operative</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they</w:t>
      </w:r>
      <w:r w:rsidR="00190923" w:rsidRPr="00981405">
        <w:t xml:space="preserve"> </w:t>
      </w:r>
      <w:r w:rsidRPr="00981405">
        <w:t>could</w:t>
      </w:r>
      <w:r w:rsidR="00190923" w:rsidRPr="00981405">
        <w:t xml:space="preserve"> </w:t>
      </w:r>
      <w:r w:rsidRPr="00981405">
        <w:t>be</w:t>
      </w:r>
      <w:r w:rsidR="00190923" w:rsidRPr="00981405">
        <w:t xml:space="preserve"> </w:t>
      </w:r>
      <w:r w:rsidRPr="00981405">
        <w:t>joined</w:t>
      </w:r>
      <w:r w:rsidR="00190923" w:rsidRPr="00981405">
        <w:t xml:space="preserve"> </w:t>
      </w:r>
      <w:r w:rsidRPr="00981405">
        <w:t>under</w:t>
      </w:r>
      <w:r w:rsidR="00190923" w:rsidRPr="00981405">
        <w:t xml:space="preserve"> </w:t>
      </w:r>
      <w:r w:rsidRPr="00981405">
        <w:t>an</w:t>
      </w:r>
      <w:r w:rsidR="00190923" w:rsidRPr="00981405">
        <w:t xml:space="preserve"> </w:t>
      </w:r>
      <w:r w:rsidRPr="00981405">
        <w:t>introductory</w:t>
      </w:r>
      <w:r w:rsidR="00190923" w:rsidRPr="00981405">
        <w:t xml:space="preserve"> </w:t>
      </w:r>
      <w:r w:rsidRPr="00981405">
        <w:t>heading.</w:t>
      </w:r>
    </w:p>
    <w:p w:rsidR="00397032" w:rsidRPr="00981405" w:rsidRDefault="00397032" w:rsidP="00D97463">
      <w:pPr>
        <w:pStyle w:val="SingleTxt"/>
      </w:pPr>
      <w:r w:rsidRPr="00981405">
        <w:t>146.</w:t>
      </w:r>
      <w:r w:rsidRPr="00981405">
        <w:tab/>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outcome</w:t>
      </w:r>
      <w:r w:rsidR="00190923" w:rsidRPr="00981405">
        <w:t xml:space="preserve"> </w:t>
      </w:r>
      <w:r w:rsidRPr="00981405">
        <w:t>and</w:t>
      </w:r>
      <w:r w:rsidR="00190923" w:rsidRPr="00981405">
        <w:t xml:space="preserve"> </w:t>
      </w:r>
      <w:r w:rsidRPr="00981405">
        <w:t>form</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some</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a</w:t>
      </w:r>
      <w:r w:rsidR="00190923" w:rsidRPr="00981405">
        <w:t xml:space="preserve"> </w:t>
      </w:r>
      <w:r w:rsidRPr="00981405">
        <w:t>preference</w:t>
      </w:r>
      <w:r w:rsidR="00190923" w:rsidRPr="00981405">
        <w:t xml:space="preserve"> </w:t>
      </w:r>
      <w:r w:rsidRPr="00981405">
        <w:t>for</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as</w:t>
      </w:r>
      <w:r w:rsidR="00190923" w:rsidRPr="00981405">
        <w:t xml:space="preserve"> </w:t>
      </w:r>
      <w:r w:rsidRPr="00981405">
        <w:t>this</w:t>
      </w:r>
      <w:r w:rsidR="00190923" w:rsidRPr="00981405">
        <w:t xml:space="preserve"> </w:t>
      </w:r>
      <w:r w:rsidRPr="00981405">
        <w:t>corresponded</w:t>
      </w:r>
      <w:r w:rsidR="00190923" w:rsidRPr="00981405">
        <w:t xml:space="preserve"> </w:t>
      </w:r>
      <w:r w:rsidRPr="00981405">
        <w:t>better</w:t>
      </w:r>
      <w:r w:rsidR="00190923" w:rsidRPr="00981405">
        <w:t xml:space="preserve"> </w:t>
      </w:r>
      <w:r w:rsidRPr="00981405">
        <w:t>with</w:t>
      </w:r>
      <w:r w:rsidR="00190923" w:rsidRPr="00981405">
        <w:t xml:space="preserve"> </w:t>
      </w:r>
      <w:r w:rsidRPr="00981405">
        <w:t>the</w:t>
      </w:r>
      <w:r w:rsidR="00190923" w:rsidRPr="00981405">
        <w:t xml:space="preserve"> </w:t>
      </w:r>
      <w:r w:rsidRPr="00981405">
        <w:t>prescriptive</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terminology</w:t>
      </w:r>
      <w:r w:rsidR="00190923" w:rsidRPr="00981405">
        <w:t xml:space="preserve"> </w:t>
      </w:r>
      <w:r w:rsidRPr="00981405">
        <w:t>used</w:t>
      </w:r>
      <w:r w:rsidR="00190923" w:rsidRPr="00981405">
        <w:t xml:space="preserve"> </w:t>
      </w:r>
      <w:r w:rsidRPr="00981405">
        <w:t>in</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proposal</w:t>
      </w:r>
      <w:r w:rsidR="00190923" w:rsidRPr="00981405">
        <w:t xml:space="preserve"> </w:t>
      </w:r>
      <w:r w:rsidRPr="00981405">
        <w:t>to</w:t>
      </w:r>
      <w:r w:rsidR="00190923" w:rsidRPr="00981405">
        <w:t xml:space="preserve"> </w:t>
      </w:r>
      <w:r w:rsidRPr="00981405">
        <w:t>develop</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They</w:t>
      </w:r>
      <w:r w:rsidR="00190923" w:rsidRPr="00981405">
        <w:t xml:space="preserve"> </w:t>
      </w:r>
      <w:r w:rsidRPr="00981405">
        <w:t>did</w:t>
      </w:r>
      <w:r w:rsidR="00190923" w:rsidRPr="00981405">
        <w:t xml:space="preserve"> </w:t>
      </w:r>
      <w:r w:rsidRPr="00981405">
        <w:t>not</w:t>
      </w:r>
      <w:r w:rsidR="00190923" w:rsidRPr="00981405">
        <w:t xml:space="preserve"> </w:t>
      </w:r>
      <w:r w:rsidRPr="00981405">
        <w:t>agree</w:t>
      </w:r>
      <w:r w:rsidR="00190923" w:rsidRPr="00981405">
        <w:t xml:space="preserve"> </w:t>
      </w:r>
      <w:r w:rsidRPr="00981405">
        <w:t>with</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adopted</w:t>
      </w:r>
      <w:r w:rsidR="00190923" w:rsidRPr="00981405">
        <w:t xml:space="preserve"> </w:t>
      </w:r>
      <w:r w:rsidRPr="00981405">
        <w:t>principles</w:t>
      </w:r>
      <w:r w:rsidR="00190923" w:rsidRPr="00981405">
        <w:t xml:space="preserve"> </w:t>
      </w:r>
      <w:r w:rsidRPr="00981405">
        <w:t>only</w:t>
      </w:r>
      <w:r w:rsidR="00190923" w:rsidRPr="00981405">
        <w:t xml:space="preserve"> </w:t>
      </w:r>
      <w:r w:rsidRPr="00981405">
        <w:t>when</w:t>
      </w:r>
      <w:r w:rsidR="00190923" w:rsidRPr="00981405">
        <w:t xml:space="preserve"> </w:t>
      </w:r>
      <w:r w:rsidRPr="00981405">
        <w:t>motivated</w:t>
      </w:r>
      <w:r w:rsidR="00190923" w:rsidRPr="00981405">
        <w:t xml:space="preserve"> </w:t>
      </w:r>
      <w:r w:rsidRPr="00981405">
        <w:t>by</w:t>
      </w:r>
      <w:r w:rsidR="00190923" w:rsidRPr="00981405">
        <w:t xml:space="preserve"> </w:t>
      </w:r>
      <w:r w:rsidRPr="00981405">
        <w:t>a</w:t>
      </w:r>
      <w:r w:rsidR="00190923" w:rsidRPr="00981405">
        <w:t xml:space="preserve"> </w:t>
      </w:r>
      <w:r w:rsidRPr="00981405">
        <w:t>desire</w:t>
      </w:r>
      <w:r w:rsidR="00190923" w:rsidRPr="00981405">
        <w:t xml:space="preserve"> </w:t>
      </w:r>
      <w:r w:rsidRPr="00981405">
        <w:t>to</w:t>
      </w:r>
      <w:r w:rsidR="00190923" w:rsidRPr="00981405">
        <w:t xml:space="preserve"> </w:t>
      </w:r>
      <w:r w:rsidRPr="00981405">
        <w:t>influence</w:t>
      </w:r>
      <w:r w:rsidR="00190923" w:rsidRPr="00981405">
        <w:t xml:space="preserve"> </w:t>
      </w:r>
      <w:r w:rsidRPr="00981405">
        <w:t>the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rather</w:t>
      </w:r>
      <w:r w:rsidR="00190923" w:rsidRPr="00981405">
        <w:t xml:space="preserve"> </w:t>
      </w:r>
      <w:r w:rsidRPr="00981405">
        <w:t>than</w:t>
      </w:r>
      <w:r w:rsidR="00190923" w:rsidRPr="00981405">
        <w:t xml:space="preserve"> </w:t>
      </w:r>
      <w:r w:rsidRPr="00981405">
        <w:t>laying</w:t>
      </w:r>
      <w:r w:rsidR="00190923" w:rsidRPr="00981405">
        <w:t xml:space="preserve"> </w:t>
      </w:r>
      <w:r w:rsidRPr="00981405">
        <w:t>down</w:t>
      </w:r>
      <w:r w:rsidR="00190923" w:rsidRPr="00981405">
        <w:t xml:space="preserve"> </w:t>
      </w:r>
      <w:r w:rsidRPr="00981405">
        <w:t>normative</w:t>
      </w:r>
      <w:r w:rsidR="00190923" w:rsidRPr="00981405">
        <w:t xml:space="preserve"> </w:t>
      </w:r>
      <w:r w:rsidRPr="00981405">
        <w:t>prescriptions.</w:t>
      </w:r>
      <w:r w:rsidR="00190923" w:rsidRPr="00981405">
        <w:t xml:space="preserve"> </w:t>
      </w:r>
      <w:r w:rsidRPr="00981405">
        <w:t>In</w:t>
      </w:r>
      <w:r w:rsidR="00190923" w:rsidRPr="00981405">
        <w:t xml:space="preserve"> </w:t>
      </w:r>
      <w:r w:rsidRPr="00981405">
        <w:t>their</w:t>
      </w:r>
      <w:r w:rsidR="00190923" w:rsidRPr="00981405">
        <w:t xml:space="preserve"> </w:t>
      </w:r>
      <w:r w:rsidRPr="00981405">
        <w:t>view,</w:t>
      </w:r>
      <w:r w:rsidR="00190923" w:rsidRPr="00981405">
        <w:t xml:space="preserve"> </w:t>
      </w:r>
      <w:r w:rsidRPr="00981405">
        <w:t>principles</w:t>
      </w:r>
      <w:r w:rsidR="00190923" w:rsidRPr="00981405">
        <w:t xml:space="preserve"> </w:t>
      </w:r>
      <w:r w:rsidRPr="00981405">
        <w:t>would</w:t>
      </w:r>
      <w:r w:rsidR="00190923" w:rsidRPr="00981405">
        <w:t xml:space="preserve"> </w:t>
      </w:r>
      <w:r w:rsidRPr="00981405">
        <w:t>indeed</w:t>
      </w:r>
      <w:r w:rsidR="00190923" w:rsidRPr="00981405">
        <w:t xml:space="preserve"> </w:t>
      </w:r>
      <w:r w:rsidRPr="00981405">
        <w:t>have</w:t>
      </w:r>
      <w:r w:rsidR="00190923" w:rsidRPr="00981405">
        <w:t xml:space="preserve"> </w:t>
      </w:r>
      <w:r w:rsidRPr="00981405">
        <w:t>legal</w:t>
      </w:r>
      <w:r w:rsidR="00190923" w:rsidRPr="00981405">
        <w:t xml:space="preserve"> </w:t>
      </w:r>
      <w:r w:rsidRPr="00981405">
        <w:t>significance,</w:t>
      </w:r>
      <w:r w:rsidR="00190923" w:rsidRPr="00981405">
        <w:t xml:space="preserve"> </w:t>
      </w:r>
      <w:r w:rsidRPr="00981405">
        <w:t>albeit</w:t>
      </w:r>
      <w:r w:rsidR="00190923" w:rsidRPr="00981405">
        <w:t xml:space="preserve"> </w:t>
      </w:r>
      <w:r w:rsidRPr="00981405">
        <w:t>at</w:t>
      </w:r>
      <w:r w:rsidR="00190923" w:rsidRPr="00981405">
        <w:t xml:space="preserve"> </w:t>
      </w:r>
      <w:r w:rsidRPr="00981405">
        <w:t>a</w:t>
      </w:r>
      <w:r w:rsidR="00190923" w:rsidRPr="00981405">
        <w:t xml:space="preserve"> </w:t>
      </w:r>
      <w:r w:rsidRPr="00981405">
        <w:t>more</w:t>
      </w:r>
      <w:r w:rsidR="00190923" w:rsidRPr="00981405">
        <w:t xml:space="preserve"> </w:t>
      </w:r>
      <w:r w:rsidRPr="00981405">
        <w:t>general</w:t>
      </w:r>
      <w:r w:rsidR="00190923" w:rsidRPr="00981405">
        <w:t xml:space="preserve"> </w:t>
      </w:r>
      <w:r w:rsidRPr="00981405">
        <w:t>and</w:t>
      </w:r>
      <w:r w:rsidR="00190923" w:rsidRPr="00981405">
        <w:t xml:space="preserve"> </w:t>
      </w:r>
      <w:r w:rsidRPr="00981405">
        <w:t>abstract</w:t>
      </w:r>
      <w:r w:rsidR="00190923" w:rsidRPr="00981405">
        <w:t xml:space="preserve"> </w:t>
      </w:r>
      <w:r w:rsidRPr="00981405">
        <w:t>level</w:t>
      </w:r>
      <w:r w:rsidR="00190923" w:rsidRPr="00981405">
        <w:t xml:space="preserve"> </w:t>
      </w:r>
      <w:r w:rsidRPr="00981405">
        <w:t>than</w:t>
      </w:r>
      <w:r w:rsidR="00190923" w:rsidRPr="00981405">
        <w:t xml:space="preserve"> </w:t>
      </w:r>
      <w:r w:rsidRPr="00981405">
        <w:t>rules.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argued</w:t>
      </w:r>
      <w:r w:rsidR="00190923" w:rsidRPr="00981405">
        <w:t xml:space="preserve"> </w:t>
      </w:r>
      <w:r w:rsidRPr="00981405">
        <w:t>that</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were</w:t>
      </w:r>
      <w:r w:rsidR="00190923" w:rsidRPr="00981405">
        <w:t xml:space="preserve"> </w:t>
      </w:r>
      <w:r w:rsidRPr="00981405">
        <w:t>particularly</w:t>
      </w:r>
      <w:r w:rsidR="00190923" w:rsidRPr="00981405">
        <w:t xml:space="preserve"> </w:t>
      </w:r>
      <w:r w:rsidRPr="00981405">
        <w:t>appropriate</w:t>
      </w:r>
      <w:r w:rsidR="00190923" w:rsidRPr="00981405">
        <w:t xml:space="preserve"> </w:t>
      </w:r>
      <w:r w:rsidRPr="00981405">
        <w:t>if</w:t>
      </w:r>
      <w:r w:rsidR="00190923" w:rsidRPr="00981405">
        <w:t xml:space="preserve"> </w:t>
      </w:r>
      <w:r w:rsidRPr="00981405">
        <w:t>the</w:t>
      </w:r>
      <w:r w:rsidR="00190923" w:rsidRPr="00981405">
        <w:t xml:space="preserve"> </w:t>
      </w:r>
      <w:r w:rsidRPr="00981405">
        <w:t>intention</w:t>
      </w:r>
      <w:r w:rsidR="00190923" w:rsidRPr="00981405">
        <w:t xml:space="preserve"> </w:t>
      </w:r>
      <w:r w:rsidRPr="00981405">
        <w:t>was</w:t>
      </w:r>
      <w:r w:rsidR="00190923" w:rsidRPr="00981405">
        <w:t xml:space="preserve"> </w:t>
      </w:r>
      <w:r w:rsidRPr="00981405">
        <w:t>not</w:t>
      </w:r>
      <w:r w:rsidR="00190923" w:rsidRPr="00981405">
        <w:t xml:space="preserve"> </w:t>
      </w:r>
      <w:r w:rsidRPr="00981405">
        <w:t>to</w:t>
      </w:r>
      <w:r w:rsidR="00190923" w:rsidRPr="00981405">
        <w:t xml:space="preserve"> </w:t>
      </w:r>
      <w:r w:rsidRPr="00981405">
        <w:t>develop</w:t>
      </w:r>
      <w:r w:rsidR="00190923" w:rsidRPr="00981405">
        <w:t xml:space="preserve"> </w:t>
      </w:r>
      <w:r w:rsidRPr="00981405">
        <w:t>a</w:t>
      </w:r>
      <w:r w:rsidR="00190923" w:rsidRPr="00981405">
        <w:t xml:space="preserve"> </w:t>
      </w:r>
      <w:r w:rsidRPr="00981405">
        <w:t>new</w:t>
      </w:r>
      <w:r w:rsidR="00190923" w:rsidRPr="00981405">
        <w:t xml:space="preserve"> </w:t>
      </w:r>
      <w:r w:rsidRPr="00981405">
        <w:t>convention.</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may</w:t>
      </w:r>
      <w:r w:rsidR="00190923" w:rsidRPr="00981405">
        <w:t xml:space="preserve"> </w:t>
      </w:r>
      <w:r w:rsidRPr="00981405">
        <w:t>not</w:t>
      </w:r>
      <w:r w:rsidR="00190923" w:rsidRPr="00981405">
        <w:t xml:space="preserve"> </w:t>
      </w:r>
      <w:r w:rsidRPr="00981405">
        <w:t>wish</w:t>
      </w:r>
      <w:r w:rsidR="00190923" w:rsidRPr="00981405">
        <w:t xml:space="preserve"> </w:t>
      </w:r>
      <w:r w:rsidRPr="00981405">
        <w:t>to</w:t>
      </w:r>
      <w:r w:rsidR="00190923" w:rsidRPr="00981405">
        <w:t xml:space="preserve"> </w:t>
      </w:r>
      <w:r w:rsidRPr="00981405">
        <w:t>limit</w:t>
      </w:r>
      <w:r w:rsidR="00190923" w:rsidRPr="00981405">
        <w:t xml:space="preserve"> </w:t>
      </w:r>
      <w:r w:rsidRPr="00981405">
        <w:t>itself</w:t>
      </w:r>
      <w:r w:rsidR="00190923" w:rsidRPr="00981405">
        <w:t xml:space="preserve"> </w:t>
      </w:r>
      <w:r w:rsidRPr="00981405">
        <w:t>to</w:t>
      </w:r>
      <w:r w:rsidR="00190923" w:rsidRPr="00981405">
        <w:t xml:space="preserve"> </w:t>
      </w:r>
      <w:r w:rsidRPr="00981405">
        <w:t>principles</w:t>
      </w:r>
      <w:r w:rsidR="00190923" w:rsidRPr="00981405">
        <w:t xml:space="preserve"> </w:t>
      </w:r>
      <w:r w:rsidRPr="00981405">
        <w:t>but</w:t>
      </w:r>
      <w:r w:rsidR="00190923" w:rsidRPr="00981405">
        <w:t xml:space="preserve"> </w:t>
      </w:r>
      <w:r w:rsidRPr="00981405">
        <w:t>also</w:t>
      </w:r>
      <w:r w:rsidR="00190923" w:rsidRPr="00981405">
        <w:t xml:space="preserve"> </w:t>
      </w:r>
      <w:r w:rsidRPr="00981405">
        <w:t>to</w:t>
      </w:r>
      <w:r w:rsidR="00190923" w:rsidRPr="00981405">
        <w:t xml:space="preserve"> </w:t>
      </w:r>
      <w:r w:rsidRPr="00981405">
        <w:t>propose</w:t>
      </w:r>
      <w:r w:rsidR="00190923" w:rsidRPr="00981405">
        <w:t xml:space="preserve"> </w:t>
      </w:r>
      <w:r w:rsidRPr="00981405">
        <w:t>recommendations,</w:t>
      </w:r>
      <w:r w:rsidR="00190923" w:rsidRPr="00981405">
        <w:t xml:space="preserve"> </w:t>
      </w:r>
      <w:r w:rsidRPr="00981405">
        <w:t>or</w:t>
      </w:r>
      <w:r w:rsidR="00190923" w:rsidRPr="00981405">
        <w:t xml:space="preserve"> </w:t>
      </w:r>
      <w:r w:rsidRPr="00981405">
        <w:t>best</w:t>
      </w:r>
      <w:r w:rsidR="00190923" w:rsidRPr="00981405">
        <w:t xml:space="preserve"> </w:t>
      </w:r>
      <w:r w:rsidRPr="00981405">
        <w:lastRenderedPageBreak/>
        <w:t>practices.</w:t>
      </w:r>
      <w:r w:rsidR="00190923" w:rsidRPr="00981405">
        <w:t xml:space="preserve"> </w:t>
      </w:r>
      <w:r w:rsidRPr="00981405">
        <w:t>While</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structure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should</w:t>
      </w:r>
      <w:r w:rsidR="00190923" w:rsidRPr="00981405">
        <w:t xml:space="preserve"> </w:t>
      </w:r>
      <w:r w:rsidRPr="00981405">
        <w:t>align</w:t>
      </w:r>
      <w:r w:rsidR="00190923" w:rsidRPr="00981405">
        <w:t xml:space="preserve"> </w:t>
      </w:r>
      <w:r w:rsidRPr="00981405">
        <w:t>with</w:t>
      </w:r>
      <w:r w:rsidR="00190923" w:rsidRPr="00981405">
        <w:t xml:space="preserve"> </w:t>
      </w:r>
      <w:r w:rsidRPr="00981405">
        <w:t>the</w:t>
      </w:r>
      <w:r w:rsidR="00190923" w:rsidRPr="00981405">
        <w:t xml:space="preserve"> </w:t>
      </w:r>
      <w:r w:rsidRPr="00981405">
        <w:t>temporal</w:t>
      </w:r>
      <w:r w:rsidR="00190923" w:rsidRPr="00981405">
        <w:t xml:space="preserve"> </w:t>
      </w:r>
      <w:r w:rsidRPr="00981405">
        <w:t>phases,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since</w:t>
      </w:r>
      <w:r w:rsidR="00190923" w:rsidRPr="00981405">
        <w:t xml:space="preserve"> </w:t>
      </w:r>
      <w:r w:rsidRPr="00981405">
        <w:t>some</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would</w:t>
      </w:r>
      <w:r w:rsidR="00190923" w:rsidRPr="00981405">
        <w:t xml:space="preserve"> </w:t>
      </w:r>
      <w:r w:rsidRPr="00981405">
        <w:t>span</w:t>
      </w:r>
      <w:r w:rsidR="00190923" w:rsidRPr="00981405">
        <w:t xml:space="preserve"> </w:t>
      </w:r>
      <w:r w:rsidRPr="00981405">
        <w:t>over</w:t>
      </w:r>
      <w:r w:rsidR="00190923" w:rsidRPr="00981405">
        <w:t xml:space="preserve"> </w:t>
      </w:r>
      <w:r w:rsidRPr="00981405">
        <w:t>more</w:t>
      </w:r>
      <w:r w:rsidR="00190923" w:rsidRPr="00981405">
        <w:t xml:space="preserve"> </w:t>
      </w:r>
      <w:r w:rsidRPr="00981405">
        <w:t>than</w:t>
      </w:r>
      <w:r w:rsidR="00190923" w:rsidRPr="00981405">
        <w:t xml:space="preserve"> </w:t>
      </w:r>
      <w:r w:rsidRPr="00981405">
        <w:t>one</w:t>
      </w:r>
      <w:r w:rsidR="00190923" w:rsidRPr="00981405">
        <w:t xml:space="preserve"> </w:t>
      </w:r>
      <w:r w:rsidRPr="00981405">
        <w:t>phase,</w:t>
      </w:r>
      <w:r w:rsidR="00190923" w:rsidRPr="00981405">
        <w:t xml:space="preserve"> </w:t>
      </w:r>
      <w:r w:rsidRPr="00981405">
        <w:t>a</w:t>
      </w:r>
      <w:r w:rsidR="00190923" w:rsidRPr="00981405">
        <w:t xml:space="preserve"> </w:t>
      </w:r>
      <w:r w:rsidRPr="00981405">
        <w:t>strict</w:t>
      </w:r>
      <w:r w:rsidR="00190923" w:rsidRPr="00981405">
        <w:t xml:space="preserve"> </w:t>
      </w:r>
      <w:r w:rsidRPr="00981405">
        <w:t>temporal</w:t>
      </w:r>
      <w:r w:rsidR="00190923" w:rsidRPr="00981405">
        <w:t xml:space="preserve"> </w:t>
      </w:r>
      <w:r w:rsidRPr="00981405">
        <w:t>division</w:t>
      </w:r>
      <w:r w:rsidR="00190923" w:rsidRPr="00981405">
        <w:t xml:space="preserve"> </w:t>
      </w:r>
      <w:r w:rsidRPr="00981405">
        <w:t>would</w:t>
      </w:r>
      <w:r w:rsidR="00190923" w:rsidRPr="00981405">
        <w:t xml:space="preserve"> </w:t>
      </w:r>
      <w:r w:rsidRPr="00981405">
        <w:t>neither</w:t>
      </w:r>
      <w:r w:rsidR="00190923" w:rsidRPr="00981405">
        <w:t xml:space="preserve"> </w:t>
      </w:r>
      <w:r w:rsidRPr="00981405">
        <w:t>be</w:t>
      </w:r>
      <w:r w:rsidR="00190923" w:rsidRPr="00981405">
        <w:t xml:space="preserve"> </w:t>
      </w:r>
      <w:r w:rsidRPr="00981405">
        <w:t>desirable</w:t>
      </w:r>
      <w:r w:rsidR="00190923" w:rsidRPr="00981405">
        <w:t xml:space="preserve"> </w:t>
      </w:r>
      <w:r w:rsidRPr="00981405">
        <w:t>nor</w:t>
      </w:r>
      <w:r w:rsidR="00190923" w:rsidRPr="00981405">
        <w:t xml:space="preserve"> </w:t>
      </w:r>
      <w:r w:rsidRPr="00981405">
        <w:t>feasible.</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35" w:name="_Toc427938125"/>
      <w:r w:rsidRPr="00D97463">
        <w:t>(b)</w:t>
      </w:r>
      <w:r w:rsidRPr="00D97463">
        <w:tab/>
        <w:t>Scope</w:t>
      </w:r>
      <w:bookmarkEnd w:id="135"/>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147.</w:t>
      </w:r>
      <w:r w:rsidRPr="00981405">
        <w:tab/>
        <w:t>There</w:t>
      </w:r>
      <w:r w:rsidR="00190923" w:rsidRPr="00981405">
        <w:t xml:space="preserve"> </w:t>
      </w:r>
      <w:r w:rsidRPr="00981405">
        <w:t>was</w:t>
      </w:r>
      <w:r w:rsidR="00190923" w:rsidRPr="00981405">
        <w:t xml:space="preserve"> </w:t>
      </w:r>
      <w:r w:rsidRPr="00981405">
        <w:t>substantial</w:t>
      </w:r>
      <w:r w:rsidR="00190923" w:rsidRPr="00981405">
        <w:t xml:space="preserve"> </w:t>
      </w:r>
      <w:r w:rsidRPr="00981405">
        <w:t>discussion</w:t>
      </w:r>
      <w:r w:rsidR="00190923" w:rsidRPr="00981405">
        <w:t xml:space="preserve"> </w:t>
      </w:r>
      <w:r w:rsidRPr="00981405">
        <w:t>on</w:t>
      </w:r>
      <w:r w:rsidR="00190923" w:rsidRPr="00981405">
        <w:t xml:space="preserve"> </w:t>
      </w:r>
      <w:r w:rsidRPr="00981405">
        <w:t>the</w:t>
      </w:r>
      <w:r w:rsidR="00190923" w:rsidRPr="00981405">
        <w:t xml:space="preserve"> </w:t>
      </w:r>
      <w:r w:rsidRPr="00981405">
        <w:t>limitations</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Some</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it</w:t>
      </w:r>
      <w:r w:rsidR="00190923" w:rsidRPr="00981405">
        <w:t xml:space="preserve"> </w:t>
      </w:r>
      <w:r w:rsidRPr="00981405">
        <w:t>might</w:t>
      </w:r>
      <w:r w:rsidR="00190923" w:rsidRPr="00981405">
        <w:t xml:space="preserve"> </w:t>
      </w:r>
      <w:r w:rsidRPr="00981405">
        <w:t>be</w:t>
      </w:r>
      <w:r w:rsidR="00190923" w:rsidRPr="00981405">
        <w:t xml:space="preserve"> </w:t>
      </w:r>
      <w:r w:rsidRPr="00981405">
        <w:t>useful</w:t>
      </w:r>
      <w:r w:rsidR="00190923" w:rsidRPr="00981405">
        <w:t xml:space="preserve"> </w:t>
      </w:r>
      <w:r w:rsidRPr="00981405">
        <w:t>to</w:t>
      </w:r>
      <w:r w:rsidR="00190923" w:rsidRPr="00981405">
        <w:t xml:space="preserve"> </w:t>
      </w:r>
      <w:r w:rsidRPr="00981405">
        <w:t>add</w:t>
      </w:r>
      <w:r w:rsidR="00190923" w:rsidRPr="00981405">
        <w:t xml:space="preserve"> </w:t>
      </w:r>
      <w:r w:rsidRPr="00981405">
        <w:t>an</w:t>
      </w:r>
      <w:r w:rsidR="00190923" w:rsidRPr="00981405">
        <w:t xml:space="preserve"> </w:t>
      </w:r>
      <w:r w:rsidRPr="00981405">
        <w:t>element</w:t>
      </w:r>
      <w:r w:rsidR="00190923" w:rsidRPr="00981405">
        <w:t xml:space="preserve"> </w:t>
      </w:r>
      <w:r w:rsidRPr="00981405">
        <w:t>of</w:t>
      </w:r>
      <w:r w:rsidR="00190923" w:rsidRPr="00981405">
        <w:t xml:space="preserve"> </w:t>
      </w:r>
      <w:r w:rsidRPr="00981405">
        <w:t>threshold</w:t>
      </w:r>
      <w:r w:rsidR="00190923" w:rsidRPr="00981405">
        <w:t xml:space="preserve"> </w:t>
      </w:r>
      <w:r w:rsidRPr="00981405">
        <w:t>indicating</w:t>
      </w:r>
      <w:r w:rsidR="00190923" w:rsidRPr="00981405">
        <w:t xml:space="preserve"> </w:t>
      </w:r>
      <w:r w:rsidRPr="00981405">
        <w:t>that</w:t>
      </w:r>
      <w:r w:rsidR="00190923" w:rsidRPr="00981405">
        <w:t xml:space="preserve"> </w:t>
      </w:r>
      <w:r w:rsidRPr="00981405">
        <w:t>the</w:t>
      </w:r>
      <w:r w:rsidR="00190923" w:rsidRPr="00981405">
        <w:t xml:space="preserve"> </w:t>
      </w:r>
      <w:r w:rsidRPr="00981405">
        <w:t>topic</w:t>
      </w:r>
      <w:r w:rsidR="00190923" w:rsidRPr="00981405">
        <w:t xml:space="preserve"> </w:t>
      </w:r>
      <w:r w:rsidRPr="00981405">
        <w:t>aimed</w:t>
      </w:r>
      <w:r w:rsidR="00190923" w:rsidRPr="00981405">
        <w:t xml:space="preserve"> </w:t>
      </w:r>
      <w:r w:rsidRPr="00981405">
        <w:t>at</w:t>
      </w:r>
      <w:r w:rsidR="00190923" w:rsidRPr="00981405">
        <w:t xml:space="preserve"> </w:t>
      </w:r>
      <w:r w:rsidRPr="00981405">
        <w:t>addressing</w:t>
      </w:r>
      <w:r w:rsidR="00190923" w:rsidRPr="00981405">
        <w:t xml:space="preserve"> </w:t>
      </w:r>
      <w:r w:rsidRPr="00981405">
        <w:t>situations</w:t>
      </w:r>
      <w:r w:rsidR="00190923" w:rsidRPr="00981405">
        <w:t xml:space="preserve"> </w:t>
      </w:r>
      <w:r w:rsidRPr="00981405">
        <w:t>of</w:t>
      </w:r>
      <w:r w:rsidR="00190923" w:rsidRPr="00981405">
        <w:t xml:space="preserve"> </w:t>
      </w:r>
      <w:r w:rsidRPr="00981405">
        <w:t>a</w:t>
      </w:r>
      <w:r w:rsidR="00190923" w:rsidRPr="00981405">
        <w:t xml:space="preserve"> </w:t>
      </w:r>
      <w:r w:rsidRPr="00D97463">
        <w:rPr>
          <w:i/>
          <w:iCs/>
        </w:rPr>
        <w:t>certain</w:t>
      </w:r>
      <w:r w:rsidR="00190923" w:rsidRPr="00981405">
        <w:rPr>
          <w:i/>
          <w:iCs/>
        </w:rPr>
        <w:t xml:space="preserve"> </w:t>
      </w:r>
      <w:r w:rsidRPr="00D97463">
        <w:rPr>
          <w:i/>
          <w:iCs/>
        </w:rPr>
        <w:t>degree</w:t>
      </w:r>
      <w:r w:rsidR="00190923" w:rsidRPr="00981405">
        <w:t xml:space="preserve"> </w:t>
      </w:r>
      <w:r w:rsidRPr="00981405">
        <w:t>of</w:t>
      </w:r>
      <w:r w:rsidR="00190923" w:rsidRPr="00981405">
        <w:t xml:space="preserve"> </w:t>
      </w:r>
      <w:r w:rsidRPr="00981405">
        <w:t>damage</w:t>
      </w:r>
      <w:r w:rsidR="00190923" w:rsidRPr="00981405">
        <w:t xml:space="preserve"> </w:t>
      </w:r>
      <w:r w:rsidRPr="00981405">
        <w:t>caused</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While</w:t>
      </w:r>
      <w:r w:rsidR="00190923" w:rsidRPr="00981405">
        <w:t xml:space="preserve"> </w:t>
      </w:r>
      <w:r w:rsidRPr="00981405">
        <w:t>there</w:t>
      </w:r>
      <w:r w:rsidR="00190923" w:rsidRPr="00981405">
        <w:t xml:space="preserve"> </w:t>
      </w:r>
      <w:r w:rsidRPr="00981405">
        <w:t>was</w:t>
      </w:r>
      <w:r w:rsidR="00190923" w:rsidRPr="00981405">
        <w:t xml:space="preserve"> </w:t>
      </w:r>
      <w:r w:rsidRPr="00981405">
        <w:t>widespread</w:t>
      </w:r>
      <w:r w:rsidR="00190923" w:rsidRPr="00981405">
        <w:t xml:space="preserve"> </w:t>
      </w:r>
      <w:r w:rsidRPr="00981405">
        <w:t>agreement</w:t>
      </w:r>
      <w:r w:rsidR="00190923" w:rsidRPr="00981405">
        <w:t xml:space="preserve"> </w:t>
      </w:r>
      <w:r w:rsidRPr="00981405">
        <w:t>that</w:t>
      </w:r>
      <w:r w:rsidR="00190923" w:rsidRPr="00981405">
        <w:t xml:space="preserve"> </w:t>
      </w:r>
      <w:r w:rsidRPr="00981405">
        <w:t>both</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non-international</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should</w:t>
      </w:r>
      <w:r w:rsidR="00190923" w:rsidRPr="00981405">
        <w:t xml:space="preserve"> </w:t>
      </w:r>
      <w:r w:rsidRPr="00981405">
        <w:t>be</w:t>
      </w:r>
      <w:r w:rsidR="00190923" w:rsidRPr="00981405">
        <w:t xml:space="preserve"> </w:t>
      </w:r>
      <w:r w:rsidRPr="00981405">
        <w:t>covered</w:t>
      </w:r>
      <w:r w:rsidR="00190923" w:rsidRPr="00981405">
        <w:t xml:space="preserve"> </w:t>
      </w:r>
      <w:r w:rsidRPr="00981405">
        <w:t>by</w:t>
      </w:r>
      <w:r w:rsidR="00190923" w:rsidRPr="00981405">
        <w:t xml:space="preserve"> </w:t>
      </w:r>
      <w:r w:rsidRPr="00981405">
        <w:t>the</w:t>
      </w:r>
      <w:r w:rsidR="00190923" w:rsidRPr="00981405">
        <w:t xml:space="preserve"> </w:t>
      </w:r>
      <w:r w:rsidRPr="00981405">
        <w:t>topic,</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clarify</w:t>
      </w:r>
      <w:r w:rsidR="00190923" w:rsidRPr="00981405">
        <w:t xml:space="preserve"> </w:t>
      </w:r>
      <w:r w:rsidRPr="00981405">
        <w:t>how</w:t>
      </w:r>
      <w:r w:rsidR="00190923" w:rsidRPr="00981405">
        <w:t xml:space="preserve"> </w:t>
      </w:r>
      <w:r w:rsidRPr="00981405">
        <w:t>the</w:t>
      </w:r>
      <w:r w:rsidR="00190923" w:rsidRPr="00981405">
        <w:t xml:space="preserve"> </w:t>
      </w:r>
      <w:r w:rsidRPr="00981405">
        <w:t>differences</w:t>
      </w:r>
      <w:r w:rsidR="00190923" w:rsidRPr="00981405">
        <w:t xml:space="preserve"> </w:t>
      </w:r>
      <w:r w:rsidRPr="00981405">
        <w:t>between</w:t>
      </w:r>
      <w:r w:rsidR="00190923" w:rsidRPr="00981405">
        <w:t xml:space="preserve"> </w:t>
      </w:r>
      <w:r w:rsidRPr="00981405">
        <w:t>these</w:t>
      </w:r>
      <w:r w:rsidR="00190923" w:rsidRPr="00981405">
        <w:t xml:space="preserve"> </w:t>
      </w:r>
      <w:r w:rsidRPr="00981405">
        <w:t>types</w:t>
      </w:r>
      <w:r w:rsidR="00190923" w:rsidRPr="00981405">
        <w:t xml:space="preserve"> </w:t>
      </w:r>
      <w:r w:rsidRPr="00981405">
        <w:t>of</w:t>
      </w:r>
      <w:r w:rsidR="00190923" w:rsidRPr="00981405">
        <w:t xml:space="preserve"> </w:t>
      </w:r>
      <w:r w:rsidRPr="00981405">
        <w:t>conflict</w:t>
      </w:r>
      <w:r w:rsidR="00190923" w:rsidRPr="00981405">
        <w:t xml:space="preserve"> </w:t>
      </w:r>
      <w:r w:rsidRPr="00981405">
        <w:t>were</w:t>
      </w:r>
      <w:r w:rsidR="00190923" w:rsidRPr="00981405">
        <w:t xml:space="preserve"> </w:t>
      </w:r>
      <w:r w:rsidRPr="00981405">
        <w:t>reflected</w:t>
      </w:r>
      <w:r w:rsidR="00190923" w:rsidRPr="00981405">
        <w:t xml:space="preserve"> </w:t>
      </w:r>
      <w:r w:rsidRPr="00981405">
        <w:t>was</w:t>
      </w:r>
      <w:r w:rsidR="00190923" w:rsidRPr="00981405">
        <w:t xml:space="preserve"> </w:t>
      </w:r>
      <w:r w:rsidRPr="00981405">
        <w:t>also</w:t>
      </w:r>
      <w:r w:rsidR="00190923" w:rsidRPr="00981405">
        <w:t xml:space="preserve"> </w:t>
      </w:r>
      <w:r w:rsidRPr="00981405">
        <w:t>noted.</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if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adopt</w:t>
      </w:r>
      <w:r w:rsidR="00190923" w:rsidRPr="00981405">
        <w:t xml:space="preserve"> </w:t>
      </w:r>
      <w:r w:rsidRPr="00981405">
        <w:t>one</w:t>
      </w:r>
      <w:r w:rsidR="00190923" w:rsidRPr="00981405">
        <w:t xml:space="preserve"> </w:t>
      </w:r>
      <w:r w:rsidRPr="00981405">
        <w:t>single</w:t>
      </w:r>
      <w:r w:rsidR="00190923" w:rsidRPr="00981405">
        <w:t xml:space="preserve"> </w:t>
      </w:r>
      <w:r w:rsidRPr="00981405">
        <w:t>regime</w:t>
      </w:r>
      <w:r w:rsidR="00190923" w:rsidRPr="00981405">
        <w:t xml:space="preserve"> </w:t>
      </w:r>
      <w:r w:rsidRPr="00981405">
        <w:t>covering</w:t>
      </w:r>
      <w:r w:rsidR="00190923" w:rsidRPr="00981405">
        <w:t xml:space="preserve"> </w:t>
      </w:r>
      <w:r w:rsidRPr="00981405">
        <w:t>both</w:t>
      </w:r>
      <w:r w:rsidR="00190923" w:rsidRPr="00981405">
        <w:t xml:space="preserve"> </w:t>
      </w:r>
      <w:r w:rsidRPr="00981405">
        <w:t>types</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an</w:t>
      </w:r>
      <w:r w:rsidR="00190923" w:rsidRPr="00981405">
        <w:t xml:space="preserve"> </w:t>
      </w:r>
      <w:r w:rsidRPr="00981405">
        <w:t>approach</w:t>
      </w:r>
      <w:r w:rsidR="00190923" w:rsidRPr="00981405">
        <w:t xml:space="preserve"> </w:t>
      </w:r>
      <w:r w:rsidRPr="00981405">
        <w:t>that</w:t>
      </w:r>
      <w:r w:rsidR="00190923" w:rsidRPr="00981405">
        <w:t xml:space="preserve"> </w:t>
      </w:r>
      <w:r w:rsidRPr="00981405">
        <w:t>had</w:t>
      </w:r>
      <w:r w:rsidR="00190923" w:rsidRPr="00981405">
        <w:t xml:space="preserve"> </w:t>
      </w:r>
      <w:r w:rsidRPr="00981405">
        <w:t>its</w:t>
      </w:r>
      <w:r w:rsidR="00190923" w:rsidRPr="00981405">
        <w:t xml:space="preserve"> </w:t>
      </w:r>
      <w:r w:rsidRPr="00981405">
        <w:t>merits,</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important</w:t>
      </w:r>
      <w:r w:rsidR="00190923" w:rsidRPr="00981405">
        <w:t xml:space="preserve"> </w:t>
      </w:r>
      <w:r w:rsidRPr="00981405">
        <w:t>to</w:t>
      </w:r>
      <w:r w:rsidR="00190923" w:rsidRPr="00981405">
        <w:t xml:space="preserve"> </w:t>
      </w:r>
      <w:r w:rsidRPr="00981405">
        <w:t>clearly</w:t>
      </w:r>
      <w:r w:rsidR="00190923" w:rsidRPr="00981405">
        <w:t xml:space="preserve"> </w:t>
      </w:r>
      <w:r w:rsidRPr="00981405">
        <w:t>indicate</w:t>
      </w:r>
      <w:r w:rsidR="00190923" w:rsidRPr="00981405">
        <w:t xml:space="preserve"> </w:t>
      </w:r>
      <w:r w:rsidRPr="00981405">
        <w:t>the</w:t>
      </w:r>
      <w:r w:rsidR="00190923" w:rsidRPr="00981405">
        <w:t xml:space="preserve"> </w:t>
      </w:r>
      <w:r w:rsidRPr="00981405">
        <w:t>methodology</w:t>
      </w:r>
      <w:r w:rsidR="00190923" w:rsidRPr="00981405">
        <w:t xml:space="preserve"> </w:t>
      </w:r>
      <w:r w:rsidRPr="00981405">
        <w:t>followed</w:t>
      </w:r>
      <w:r w:rsidR="00190923" w:rsidRPr="00981405">
        <w:t xml:space="preserve"> </w:t>
      </w:r>
      <w:r w:rsidRPr="00981405">
        <w:t>for</w:t>
      </w:r>
      <w:r w:rsidR="00190923" w:rsidRPr="00981405">
        <w:t xml:space="preserve"> </w:t>
      </w:r>
      <w:r w:rsidRPr="00981405">
        <w:t>this</w:t>
      </w:r>
      <w:r w:rsidR="00190923" w:rsidRPr="00981405">
        <w:t xml:space="preserve"> </w:t>
      </w:r>
      <w:r w:rsidRPr="00981405">
        <w:t>purpose.</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also</w:t>
      </w:r>
      <w:r w:rsidR="00190923" w:rsidRPr="00981405">
        <w:t xml:space="preserve"> </w:t>
      </w:r>
      <w:r w:rsidRPr="00981405">
        <w:t>underlined</w:t>
      </w:r>
      <w:r w:rsidR="00190923" w:rsidRPr="00981405">
        <w:t xml:space="preserve"> </w:t>
      </w:r>
      <w:r w:rsidRPr="00981405">
        <w:t>the</w:t>
      </w:r>
      <w:r w:rsidR="00190923" w:rsidRPr="00981405">
        <w:t xml:space="preserve"> </w:t>
      </w:r>
      <w:r w:rsidRPr="00981405">
        <w:t>need</w:t>
      </w:r>
      <w:r w:rsidR="00190923" w:rsidRPr="00981405">
        <w:t xml:space="preserve"> </w:t>
      </w:r>
      <w:r w:rsidRPr="00981405">
        <w:t>for</w:t>
      </w:r>
      <w:r w:rsidR="00190923" w:rsidRPr="00981405">
        <w:t xml:space="preserve"> </w:t>
      </w:r>
      <w:r w:rsidRPr="00981405">
        <w:t>further</w:t>
      </w:r>
      <w:r w:rsidR="00190923" w:rsidRPr="00981405">
        <w:t xml:space="preserve"> </w:t>
      </w:r>
      <w:r w:rsidRPr="00981405">
        <w:t>research</w:t>
      </w:r>
      <w:r w:rsidR="00190923" w:rsidRPr="00981405">
        <w:t xml:space="preserve"> </w:t>
      </w:r>
      <w:r w:rsidRPr="00981405">
        <w:t>on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non-State</w:t>
      </w:r>
      <w:r w:rsidR="00190923" w:rsidRPr="00981405">
        <w:t xml:space="preserve"> </w:t>
      </w:r>
      <w:r w:rsidRPr="00981405">
        <w:t>actors,</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non-international</w:t>
      </w:r>
      <w:r w:rsidR="00190923" w:rsidRPr="00981405">
        <w:t xml:space="preserve"> </w:t>
      </w:r>
      <w:r w:rsidRPr="00981405">
        <w:t>armed</w:t>
      </w:r>
      <w:r w:rsidR="00190923" w:rsidRPr="00981405">
        <w:t xml:space="preserve"> </w:t>
      </w:r>
      <w:r w:rsidRPr="00981405">
        <w:t>conflicts.</w:t>
      </w:r>
    </w:p>
    <w:p w:rsidR="00397032" w:rsidRPr="00981405" w:rsidRDefault="00397032" w:rsidP="00D97463">
      <w:pPr>
        <w:pStyle w:val="SingleTxt"/>
      </w:pPr>
      <w:r w:rsidRPr="00981405">
        <w:t>148.</w:t>
      </w:r>
      <w:r w:rsidRPr="00981405">
        <w:tab/>
        <w:t>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specific</w:t>
      </w:r>
      <w:r w:rsidR="00190923" w:rsidRPr="00981405">
        <w:t xml:space="preserve"> </w:t>
      </w:r>
      <w:r w:rsidRPr="00981405">
        <w:t>weapons,</w:t>
      </w:r>
      <w:r w:rsidR="00190923" w:rsidRPr="00981405">
        <w:t xml:space="preserve"> </w:t>
      </w:r>
      <w:r w:rsidRPr="00981405">
        <w:t>divergent</w:t>
      </w:r>
      <w:r w:rsidR="00190923" w:rsidRPr="00981405">
        <w:t xml:space="preserve"> </w:t>
      </w:r>
      <w:r w:rsidRPr="00981405">
        <w:t>views</w:t>
      </w:r>
      <w:r w:rsidR="00190923" w:rsidRPr="00981405">
        <w:t xml:space="preserve"> </w:t>
      </w:r>
      <w:r w:rsidRPr="00981405">
        <w:t>were</w:t>
      </w:r>
      <w:r w:rsidR="00190923" w:rsidRPr="00981405">
        <w:t xml:space="preserve"> </w:t>
      </w:r>
      <w:r w:rsidRPr="00981405">
        <w:t>expressed</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would</w:t>
      </w:r>
      <w:r w:rsidR="00190923" w:rsidRPr="00981405">
        <w:t xml:space="preserve"> </w:t>
      </w:r>
      <w:r w:rsidRPr="00981405">
        <w:t>apply,</w:t>
      </w:r>
      <w:r w:rsidR="00190923" w:rsidRPr="00981405">
        <w:t xml:space="preserve"> </w:t>
      </w:r>
      <w:r w:rsidRPr="00981405">
        <w:t>as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existing</w:t>
      </w:r>
      <w:r w:rsidR="00190923" w:rsidRPr="00981405">
        <w:t xml:space="preserve"> </w:t>
      </w:r>
      <w:r w:rsidRPr="00981405">
        <w:t>law,</w:t>
      </w:r>
      <w:r w:rsidR="00190923" w:rsidRPr="00981405">
        <w:t xml:space="preserve"> </w:t>
      </w:r>
      <w:r w:rsidRPr="00981405">
        <w:t>to</w:t>
      </w:r>
      <w:r w:rsidR="00190923" w:rsidRPr="00981405">
        <w:t xml:space="preserve"> </w:t>
      </w:r>
      <w:r w:rsidRPr="00981405">
        <w:t>nuclear</w:t>
      </w:r>
      <w:r w:rsidR="00190923" w:rsidRPr="00981405">
        <w:t xml:space="preserve"> </w:t>
      </w:r>
      <w:r w:rsidRPr="00981405">
        <w:t>weapons</w:t>
      </w:r>
      <w:r w:rsidR="00190923" w:rsidRPr="00981405">
        <w:t xml:space="preserve"> </w:t>
      </w:r>
      <w:r w:rsidRPr="00981405">
        <w:t>and</w:t>
      </w:r>
      <w:r w:rsidR="00190923" w:rsidRPr="00981405">
        <w:t xml:space="preserve"> </w:t>
      </w:r>
      <w:r w:rsidRPr="00981405">
        <w:t>other</w:t>
      </w:r>
      <w:r w:rsidR="00190923" w:rsidRPr="00981405">
        <w:t xml:space="preserve"> </w:t>
      </w:r>
      <w:r w:rsidRPr="00981405">
        <w:t>weapons</w:t>
      </w:r>
      <w:r w:rsidR="00190923" w:rsidRPr="00981405">
        <w:t xml:space="preserve"> </w:t>
      </w:r>
      <w:r w:rsidRPr="00981405">
        <w:t>of</w:t>
      </w:r>
      <w:r w:rsidR="00190923" w:rsidRPr="00981405">
        <w:t xml:space="preserve"> </w:t>
      </w:r>
      <w:r w:rsidRPr="00981405">
        <w:t>mass-destruction.</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declarations</w:t>
      </w:r>
      <w:r w:rsidR="00190923" w:rsidRPr="00981405">
        <w:t xml:space="preserve"> </w:t>
      </w:r>
      <w:r w:rsidRPr="00981405">
        <w:t>made</w:t>
      </w:r>
      <w:r w:rsidR="00190923" w:rsidRPr="00981405">
        <w:t xml:space="preserve"> </w:t>
      </w:r>
      <w:r w:rsidRPr="00981405">
        <w:t>by</w:t>
      </w:r>
      <w:r w:rsidR="00190923" w:rsidRPr="00981405">
        <w:t xml:space="preserve"> </w:t>
      </w:r>
      <w:r w:rsidRPr="00981405">
        <w:t>States</w:t>
      </w:r>
      <w:r w:rsidR="00190923" w:rsidRPr="00981405">
        <w:t xml:space="preserve"> </w:t>
      </w:r>
      <w:r w:rsidRPr="00981405">
        <w:t>upon</w:t>
      </w:r>
      <w:r w:rsidR="00190923" w:rsidRPr="00981405">
        <w:t xml:space="preserve"> </w:t>
      </w:r>
      <w:r w:rsidRPr="00981405">
        <w:t>ratification</w:t>
      </w:r>
      <w:r w:rsidR="00190923" w:rsidRPr="00981405">
        <w:t xml:space="preserve"> </w:t>
      </w:r>
      <w:r w:rsidRPr="00981405">
        <w:t>of</w:t>
      </w:r>
      <w:r w:rsidR="00190923" w:rsidRPr="00981405">
        <w:t xml:space="preserve"> </w:t>
      </w:r>
      <w:r w:rsidRPr="00981405">
        <w:t>the</w:t>
      </w:r>
      <w:r w:rsidR="00190923" w:rsidRPr="00981405">
        <w:t xml:space="preserve"> </w:t>
      </w:r>
      <w:r w:rsidRPr="00981405">
        <w:t>Protocol</w:t>
      </w:r>
      <w:r w:rsidR="00190923" w:rsidRPr="00981405">
        <w:t xml:space="preserve"> </w:t>
      </w:r>
      <w:r w:rsidRPr="00981405">
        <w:t>Additional</w:t>
      </w:r>
      <w:r w:rsidR="00190923" w:rsidRPr="00981405">
        <w:t xml:space="preserve"> </w:t>
      </w:r>
      <w:r w:rsidRPr="00981405">
        <w:t>to</w:t>
      </w:r>
      <w:r w:rsidR="00190923" w:rsidRPr="00981405">
        <w:t xml:space="preserve"> </w:t>
      </w:r>
      <w:r w:rsidRPr="00981405">
        <w:t>the</w:t>
      </w:r>
      <w:r w:rsidR="00190923" w:rsidRPr="00981405">
        <w:t xml:space="preserve"> </w:t>
      </w:r>
      <w:r w:rsidRPr="00981405">
        <w:t>Geneva</w:t>
      </w:r>
      <w:r w:rsidR="00190923" w:rsidRPr="00981405">
        <w:t xml:space="preserve"> </w:t>
      </w:r>
      <w:r w:rsidRPr="00981405">
        <w:t>Conventions</w:t>
      </w:r>
      <w:r w:rsidR="00190923" w:rsidRPr="00981405">
        <w:t xml:space="preserve"> </w:t>
      </w:r>
      <w:r w:rsidRPr="00981405">
        <w:t>of</w:t>
      </w:r>
      <w:r w:rsidR="00190923" w:rsidRPr="00981405">
        <w:t xml:space="preserve"> </w:t>
      </w:r>
      <w:r w:rsidRPr="00981405">
        <w:t>12</w:t>
      </w:r>
      <w:r w:rsidR="00190923" w:rsidRPr="00981405">
        <w:t xml:space="preserve"> </w:t>
      </w:r>
      <w:r w:rsidRPr="00981405">
        <w:t>August</w:t>
      </w:r>
      <w:r w:rsidR="00190923" w:rsidRPr="00981405">
        <w:t xml:space="preserve"> </w:t>
      </w:r>
      <w:r w:rsidRPr="00981405">
        <w:t>1949,</w:t>
      </w:r>
      <w:r w:rsidR="00190923" w:rsidRPr="00981405">
        <w:t xml:space="preserve"> </w:t>
      </w:r>
      <w:r w:rsidRPr="00981405">
        <w:t>and</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Victims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Armed</w:t>
      </w:r>
      <w:r w:rsidR="00190923" w:rsidRPr="00981405">
        <w:t xml:space="preserve"> </w:t>
      </w:r>
      <w:r w:rsidRPr="00981405">
        <w:t>Conflicts</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w:t>
      </w:r>
      <w:r w:rsidR="00190923" w:rsidRPr="00981405">
        <w:t xml:space="preserve"> </w:t>
      </w:r>
      <w:r w:rsidRPr="00981405">
        <w:t>concerning</w:t>
      </w:r>
      <w:r w:rsidR="00190923" w:rsidRPr="00981405">
        <w:t xml:space="preserve"> </w:t>
      </w:r>
      <w:r w:rsidRPr="00981405">
        <w:t>its</w:t>
      </w:r>
      <w:r w:rsidR="00190923" w:rsidRPr="00981405">
        <w:t xml:space="preserve"> </w:t>
      </w:r>
      <w:r w:rsidRPr="00981405">
        <w:t>non-applicability</w:t>
      </w:r>
      <w:r w:rsidR="00190923" w:rsidRPr="00981405">
        <w:t xml:space="preserve"> </w:t>
      </w:r>
      <w:r w:rsidRPr="00981405">
        <w:t>to</w:t>
      </w:r>
      <w:r w:rsidR="00190923" w:rsidRPr="00981405">
        <w:t xml:space="preserve"> </w:t>
      </w:r>
      <w:r w:rsidRPr="00981405">
        <w:t>nuclear</w:t>
      </w:r>
      <w:r w:rsidR="00190923" w:rsidRPr="00981405">
        <w:t xml:space="preserve"> </w:t>
      </w:r>
      <w:r w:rsidRPr="00981405">
        <w:t>weapons,</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address</w:t>
      </w:r>
      <w:r w:rsidR="00190923" w:rsidRPr="00981405">
        <w:t xml:space="preserve"> </w:t>
      </w:r>
      <w:r w:rsidRPr="00981405">
        <w:t>this</w:t>
      </w:r>
      <w:r w:rsidR="00190923" w:rsidRPr="00981405">
        <w:t xml:space="preserve"> </w:t>
      </w:r>
      <w:r w:rsidRPr="00981405">
        <w:t>question</w:t>
      </w:r>
      <w:r w:rsidR="00190923" w:rsidRPr="00981405">
        <w:t xml:space="preserve"> </w:t>
      </w:r>
      <w:r w:rsidRPr="00981405">
        <w:t>by</w:t>
      </w:r>
      <w:r w:rsidR="00190923" w:rsidRPr="00981405">
        <w:t xml:space="preserve"> </w:t>
      </w:r>
      <w:r w:rsidRPr="00981405">
        <w:t>means</w:t>
      </w:r>
      <w:r w:rsidR="00190923" w:rsidRPr="00981405">
        <w:t xml:space="preserve"> </w:t>
      </w:r>
      <w:r w:rsidRPr="00981405">
        <w:t>of</w:t>
      </w:r>
      <w:r w:rsidR="00190923" w:rsidRPr="00981405">
        <w:t xml:space="preserve"> </w:t>
      </w:r>
      <w:r w:rsidRPr="00981405">
        <w:t>a</w:t>
      </w:r>
      <w:r w:rsidR="00190923" w:rsidRPr="00981405">
        <w:t xml:space="preserve"> </w:t>
      </w:r>
      <w:r w:rsidR="00B92E2C" w:rsidRPr="00981405">
        <w:t>“</w:t>
      </w:r>
      <w:r w:rsidRPr="00981405">
        <w:t>without</w:t>
      </w:r>
      <w:r w:rsidR="00190923" w:rsidRPr="00981405">
        <w:t xml:space="preserve"> </w:t>
      </w:r>
      <w:r w:rsidRPr="00981405">
        <w:t>prejudice</w:t>
      </w:r>
      <w:r w:rsidR="00B92E2C" w:rsidRPr="00981405">
        <w:t>”</w:t>
      </w:r>
      <w:r w:rsidR="00190923" w:rsidRPr="00981405">
        <w:t xml:space="preserve"> </w:t>
      </w:r>
      <w:r w:rsidRPr="00981405">
        <w:t>clause.</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further</w:t>
      </w:r>
      <w:r w:rsidR="00190923" w:rsidRPr="00981405">
        <w:t xml:space="preserve"> </w:t>
      </w:r>
      <w:r w:rsidRPr="00981405">
        <w:t>clarification</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weapons</w:t>
      </w:r>
      <w:r w:rsidR="00190923" w:rsidRPr="00981405">
        <w:t xml:space="preserve"> </w:t>
      </w:r>
      <w:r w:rsidRPr="00981405">
        <w:t>might</w:t>
      </w:r>
      <w:r w:rsidR="00190923" w:rsidRPr="00981405">
        <w:t xml:space="preserve"> </w:t>
      </w:r>
      <w:r w:rsidRPr="00981405">
        <w:t>be</w:t>
      </w:r>
      <w:r w:rsidR="00190923" w:rsidRPr="00981405">
        <w:t xml:space="preserve"> </w:t>
      </w:r>
      <w:r w:rsidRPr="00981405">
        <w:t>needed.</w:t>
      </w:r>
      <w:r w:rsidR="00190923" w:rsidRPr="00981405">
        <w:t xml:space="preserve"> </w:t>
      </w:r>
    </w:p>
    <w:p w:rsidR="00397032" w:rsidRPr="00981405" w:rsidRDefault="00397032" w:rsidP="00D97463">
      <w:pPr>
        <w:pStyle w:val="SingleTxt"/>
      </w:pPr>
      <w:r w:rsidRPr="00981405">
        <w:t>149.</w:t>
      </w:r>
      <w:r w:rsidRPr="00981405">
        <w:tab/>
        <w:t>Some</w:t>
      </w:r>
      <w:r w:rsidR="00190923" w:rsidRPr="00981405">
        <w:t xml:space="preserve"> </w:t>
      </w:r>
      <w:r w:rsidRPr="00981405">
        <w:t>members</w:t>
      </w:r>
      <w:r w:rsidR="00190923" w:rsidRPr="00981405">
        <w:t xml:space="preserve"> </w:t>
      </w:r>
      <w:r w:rsidRPr="00981405">
        <w:t>were</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natural</w:t>
      </w:r>
      <w:r w:rsidR="00190923" w:rsidRPr="00981405">
        <w:t xml:space="preserve"> </w:t>
      </w:r>
      <w:r w:rsidRPr="00981405">
        <w:t>and</w:t>
      </w:r>
      <w:r w:rsidR="00190923" w:rsidRPr="00981405">
        <w:t xml:space="preserve"> </w:t>
      </w:r>
      <w:r w:rsidRPr="00981405">
        <w:t>cultural</w:t>
      </w:r>
      <w:r w:rsidR="00190923" w:rsidRPr="00981405">
        <w:t xml:space="preserve"> </w:t>
      </w:r>
      <w:r w:rsidRPr="00981405">
        <w:t>heritage</w:t>
      </w:r>
      <w:r w:rsidR="00190923" w:rsidRPr="00981405">
        <w:t xml:space="preserve"> </w:t>
      </w:r>
      <w:r w:rsidRPr="00981405">
        <w:t>should</w:t>
      </w:r>
      <w:r w:rsidR="00190923" w:rsidRPr="00981405">
        <w:t xml:space="preserve"> </w:t>
      </w:r>
      <w:r w:rsidRPr="00981405">
        <w:t>be</w:t>
      </w:r>
      <w:r w:rsidR="00190923" w:rsidRPr="00981405">
        <w:t xml:space="preserve"> </w:t>
      </w:r>
      <w:r w:rsidRPr="00981405">
        <w:t>excluded,</w:t>
      </w:r>
      <w:r w:rsidR="00190923" w:rsidRPr="00981405">
        <w:t xml:space="preserve"> </w:t>
      </w:r>
      <w:r w:rsidRPr="00981405">
        <w:t>though</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issue</w:t>
      </w:r>
      <w:r w:rsidR="00190923" w:rsidRPr="00981405">
        <w:t xml:space="preserve"> </w:t>
      </w:r>
      <w:r w:rsidRPr="00981405">
        <w:t>had</w:t>
      </w:r>
      <w:r w:rsidR="00190923" w:rsidRPr="00981405">
        <w:t xml:space="preserve"> </w:t>
      </w:r>
      <w:r w:rsidRPr="00981405">
        <w:t>important</w:t>
      </w:r>
      <w:r w:rsidR="00190923" w:rsidRPr="00981405">
        <w:t xml:space="preserve"> </w:t>
      </w:r>
      <w:r w:rsidRPr="00981405">
        <w:t>linkages</w:t>
      </w:r>
      <w:r w:rsidR="00190923" w:rsidRPr="00981405">
        <w:t xml:space="preserve"> </w:t>
      </w:r>
      <w:r w:rsidRPr="00981405">
        <w:t>with</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and</w:t>
      </w:r>
      <w:r w:rsidR="00190923" w:rsidRPr="00981405">
        <w:t xml:space="preserve"> </w:t>
      </w:r>
      <w:r w:rsidRPr="00981405">
        <w:t>merited</w:t>
      </w:r>
      <w:r w:rsidR="00190923" w:rsidRPr="00981405">
        <w:t xml:space="preserve"> </w:t>
      </w:r>
      <w:r w:rsidRPr="00981405">
        <w:t>being</w:t>
      </w:r>
      <w:r w:rsidR="00190923" w:rsidRPr="00981405">
        <w:t xml:space="preserve"> </w:t>
      </w:r>
      <w:r w:rsidRPr="00981405">
        <w:t>addressed.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clearly</w:t>
      </w:r>
      <w:r w:rsidR="00190923" w:rsidRPr="00981405">
        <w:t xml:space="preserve"> </w:t>
      </w:r>
      <w:r w:rsidRPr="00981405">
        <w:t>differentiating</w:t>
      </w:r>
      <w:r w:rsidR="00190923" w:rsidRPr="00981405">
        <w:t xml:space="preserve"> </w:t>
      </w:r>
      <w:r w:rsidRPr="00981405">
        <w:t>between</w:t>
      </w:r>
      <w:r w:rsidR="00190923" w:rsidRPr="00981405">
        <w:t xml:space="preserve"> </w:t>
      </w:r>
      <w:r w:rsidRPr="00981405">
        <w:t>the</w:t>
      </w:r>
      <w:r w:rsidR="00190923" w:rsidRPr="00981405">
        <w:t xml:space="preserve"> </w:t>
      </w:r>
      <w:r w:rsidRPr="00981405">
        <w:t>human</w:t>
      </w:r>
      <w:r w:rsidR="00190923" w:rsidRPr="00981405">
        <w:t xml:space="preserve"> </w:t>
      </w:r>
      <w:r w:rsidRPr="00981405">
        <w:t>environment</w:t>
      </w:r>
      <w:r w:rsidR="00190923" w:rsidRPr="00981405">
        <w:t xml:space="preserve"> </w:t>
      </w:r>
      <w:r w:rsidRPr="00981405">
        <w:t>and</w:t>
      </w:r>
      <w:r w:rsidR="00190923" w:rsidRPr="00981405">
        <w:t xml:space="preserve"> </w:t>
      </w:r>
      <w:r w:rsidRPr="00981405">
        <w:t>the</w:t>
      </w:r>
      <w:r w:rsidR="00190923" w:rsidRPr="00981405">
        <w:t xml:space="preserve"> </w:t>
      </w:r>
      <w:r w:rsidRPr="00981405">
        <w:t>natural</w:t>
      </w:r>
      <w:r w:rsidR="00190923" w:rsidRPr="00981405">
        <w:t xml:space="preserve"> </w:t>
      </w:r>
      <w:r w:rsidRPr="00981405">
        <w:t>environment</w:t>
      </w:r>
      <w:r w:rsidR="00190923" w:rsidRPr="00981405">
        <w:t xml:space="preserve"> </w:t>
      </w:r>
      <w:r w:rsidRPr="00981405">
        <w:t>was</w:t>
      </w:r>
      <w:r w:rsidR="00190923" w:rsidRPr="00981405">
        <w:t xml:space="preserve"> </w:t>
      </w:r>
      <w:r w:rsidRPr="00981405">
        <w:t>also</w:t>
      </w:r>
      <w:r w:rsidR="00190923" w:rsidRPr="00981405">
        <w:t xml:space="preserve"> </w:t>
      </w:r>
      <w:r w:rsidRPr="00981405">
        <w:t>highlighted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who</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former</w:t>
      </w:r>
      <w:r w:rsidR="00190923" w:rsidRPr="00981405">
        <w:t xml:space="preserve"> </w:t>
      </w:r>
      <w:r w:rsidRPr="00981405">
        <w:t>concept</w:t>
      </w:r>
      <w:r w:rsidR="00190923" w:rsidRPr="00981405">
        <w:t xml:space="preserve"> </w:t>
      </w:r>
      <w:r w:rsidRPr="00981405">
        <w:t>to</w:t>
      </w:r>
      <w:r w:rsidR="00190923" w:rsidRPr="00981405">
        <w:t xml:space="preserve"> </w:t>
      </w:r>
      <w:r w:rsidRPr="00981405">
        <w:t>be</w:t>
      </w:r>
      <w:r w:rsidR="00190923" w:rsidRPr="00981405">
        <w:t xml:space="preserve"> </w:t>
      </w:r>
      <w:r w:rsidRPr="00981405">
        <w:t>outside</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Whereas</w:t>
      </w:r>
      <w:r w:rsidR="00190923" w:rsidRPr="00981405">
        <w:t xml:space="preserve"> </w:t>
      </w:r>
      <w:r w:rsidRPr="00981405">
        <w:t>some</w:t>
      </w:r>
      <w:r w:rsidR="00190923" w:rsidRPr="00981405">
        <w:t xml:space="preserve"> </w:t>
      </w:r>
      <w:r w:rsidRPr="00981405">
        <w:t>members</w:t>
      </w:r>
      <w:r w:rsidR="00190923" w:rsidRPr="00981405">
        <w:t xml:space="preserve"> </w:t>
      </w:r>
      <w:r w:rsidRPr="00981405">
        <w:t>emphasized</w:t>
      </w:r>
      <w:r w:rsidR="00190923" w:rsidRPr="00981405">
        <w:t xml:space="preserve"> </w:t>
      </w:r>
      <w:r w:rsidRPr="00981405">
        <w:t>that</w:t>
      </w:r>
      <w:r w:rsidR="00190923" w:rsidRPr="00981405">
        <w:t xml:space="preserve"> </w:t>
      </w:r>
      <w:r w:rsidRPr="00981405">
        <w:t>the</w:t>
      </w:r>
      <w:r w:rsidR="00190923" w:rsidRPr="00981405">
        <w:t xml:space="preserve"> </w:t>
      </w:r>
      <w:r w:rsidRPr="00981405">
        <w:t>exploitation</w:t>
      </w:r>
      <w:r w:rsidR="00190923" w:rsidRPr="00981405">
        <w:t xml:space="preserve"> </w:t>
      </w:r>
      <w:r w:rsidRPr="00981405">
        <w:t>of</w:t>
      </w:r>
      <w:r w:rsidR="00190923" w:rsidRPr="00981405">
        <w:t xml:space="preserve"> </w:t>
      </w:r>
      <w:r w:rsidRPr="00981405">
        <w:t>natural</w:t>
      </w:r>
      <w:r w:rsidR="00190923" w:rsidRPr="00981405">
        <w:t xml:space="preserve"> </w:t>
      </w:r>
      <w:r w:rsidRPr="00981405">
        <w:t>resources</w:t>
      </w:r>
      <w:r w:rsidR="00190923" w:rsidRPr="00981405">
        <w:t xml:space="preserve"> </w:t>
      </w:r>
      <w:r w:rsidRPr="00981405">
        <w:t>was</w:t>
      </w:r>
      <w:r w:rsidR="00190923" w:rsidRPr="00981405">
        <w:t xml:space="preserve"> </w:t>
      </w:r>
      <w:r w:rsidRPr="00981405">
        <w:t>not</w:t>
      </w:r>
      <w:r w:rsidR="00190923" w:rsidRPr="00981405">
        <w:t xml:space="preserve"> </w:t>
      </w:r>
      <w:r w:rsidRPr="00981405">
        <w:t>directly</w:t>
      </w:r>
      <w:r w:rsidR="00190923" w:rsidRPr="00981405">
        <w:t xml:space="preserve"> </w:t>
      </w:r>
      <w:r w:rsidRPr="00981405">
        <w:t>linked</w:t>
      </w:r>
      <w:r w:rsidR="00190923" w:rsidRPr="00981405">
        <w:t xml:space="preserve"> </w:t>
      </w:r>
      <w:r w:rsidRPr="00981405">
        <w:t>to</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human</w:t>
      </w:r>
      <w:r w:rsidR="00190923" w:rsidRPr="00981405">
        <w:t xml:space="preserve"> </w:t>
      </w:r>
      <w:r w:rsidRPr="00981405">
        <w:t>rights</w:t>
      </w:r>
      <w:r w:rsidR="00190923" w:rsidRPr="00981405">
        <w:t xml:space="preserve"> </w:t>
      </w:r>
      <w:r w:rsidRPr="00981405">
        <w:t>infringements</w:t>
      </w:r>
      <w:r w:rsidR="00190923" w:rsidRPr="00981405">
        <w:t xml:space="preserve"> </w:t>
      </w:r>
      <w:r w:rsidRPr="00981405">
        <w:t>caused</w:t>
      </w:r>
      <w:r w:rsidR="00190923" w:rsidRPr="00981405">
        <w:t xml:space="preserve"> </w:t>
      </w:r>
      <w:r w:rsidRPr="00981405">
        <w:t>by</w:t>
      </w:r>
      <w:r w:rsidR="00190923" w:rsidRPr="00981405">
        <w:t xml:space="preserve"> </w:t>
      </w:r>
      <w:r w:rsidRPr="00981405">
        <w:t>actions</w:t>
      </w:r>
      <w:r w:rsidR="00190923" w:rsidRPr="00981405">
        <w:t xml:space="preserve"> </w:t>
      </w:r>
      <w:r w:rsidRPr="00981405">
        <w:t>affecting</w:t>
      </w:r>
      <w:r w:rsidR="00190923" w:rsidRPr="00981405">
        <w:t xml:space="preserve"> </w:t>
      </w:r>
      <w:r w:rsidRPr="00981405">
        <w:t>the</w:t>
      </w:r>
      <w:r w:rsidR="00190923" w:rsidRPr="00981405">
        <w:t xml:space="preserve"> </w:t>
      </w:r>
      <w:r w:rsidRPr="00981405">
        <w:t>natural</w:t>
      </w:r>
      <w:r w:rsidR="00190923" w:rsidRPr="00981405">
        <w:t xml:space="preserve"> </w:t>
      </w:r>
      <w:r w:rsidRPr="00981405">
        <w:t>resources</w:t>
      </w:r>
      <w:r w:rsidR="00190923" w:rsidRPr="00981405">
        <w:t xml:space="preserve"> </w:t>
      </w:r>
      <w:r w:rsidRPr="00981405">
        <w:t>should</w:t>
      </w:r>
      <w:r w:rsidR="00190923" w:rsidRPr="00981405">
        <w:t xml:space="preserve"> </w:t>
      </w:r>
      <w:r w:rsidRPr="00981405">
        <w:t>be</w:t>
      </w:r>
      <w:r w:rsidR="00190923" w:rsidRPr="00981405">
        <w:t xml:space="preserve"> </w:t>
      </w:r>
      <w:r w:rsidRPr="00981405">
        <w:t>dealt</w:t>
      </w:r>
      <w:r w:rsidR="00190923" w:rsidRPr="00981405">
        <w:t xml:space="preserve"> </w:t>
      </w:r>
      <w:r w:rsidRPr="00981405">
        <w:t>with.</w:t>
      </w:r>
      <w:r w:rsidR="00190923" w:rsidRPr="00981405">
        <w:t xml:space="preserve"> </w:t>
      </w:r>
      <w:r w:rsidRPr="00981405">
        <w:t>Furthermore,</w:t>
      </w:r>
      <w:r w:rsidR="00190923" w:rsidRPr="00981405">
        <w:t xml:space="preserve"> </w:t>
      </w:r>
      <w:r w:rsidRPr="00981405">
        <w:t>some</w:t>
      </w:r>
      <w:r w:rsidR="00190923" w:rsidRPr="00981405">
        <w:t xml:space="preserve"> </w:t>
      </w:r>
      <w:r w:rsidRPr="00981405">
        <w:t>members</w:t>
      </w:r>
      <w:r w:rsidR="00190923" w:rsidRPr="00981405">
        <w:t xml:space="preserve"> </w:t>
      </w:r>
      <w:r w:rsidRPr="00981405">
        <w:t>were</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should</w:t>
      </w:r>
      <w:r w:rsidR="00190923" w:rsidRPr="00981405">
        <w:t xml:space="preserve"> </w:t>
      </w:r>
      <w:r w:rsidRPr="00981405">
        <w:t>include</w:t>
      </w:r>
      <w:r w:rsidR="00190923" w:rsidRPr="00981405">
        <w:t xml:space="preserve"> </w:t>
      </w:r>
      <w:r w:rsidRPr="00981405">
        <w:t>a</w:t>
      </w:r>
      <w:r w:rsidR="00190923" w:rsidRPr="00981405">
        <w:t xml:space="preserve"> </w:t>
      </w:r>
      <w:r w:rsidRPr="00981405">
        <w:t>provision</w:t>
      </w:r>
      <w:r w:rsidR="00190923" w:rsidRPr="00981405">
        <w:t xml:space="preserve"> </w:t>
      </w:r>
      <w:r w:rsidRPr="00981405">
        <w:t>on</w:t>
      </w:r>
      <w:r w:rsidR="00190923" w:rsidRPr="00981405">
        <w:t xml:space="preserve"> </w:t>
      </w:r>
      <w:r w:rsidRPr="00981405">
        <w:t>indigenous</w:t>
      </w:r>
      <w:r w:rsidR="00190923" w:rsidRPr="00981405">
        <w:t xml:space="preserve"> </w:t>
      </w:r>
      <w:r w:rsidRPr="00981405">
        <w:t>peoples</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their</w:t>
      </w:r>
      <w:r w:rsidR="00190923" w:rsidRPr="00981405">
        <w:t xml:space="preserve"> </w:t>
      </w:r>
      <w:r w:rsidRPr="00981405">
        <w:t>special</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the</w:t>
      </w:r>
      <w:r w:rsidR="00190923" w:rsidRPr="00981405">
        <w:t xml:space="preserve"> </w:t>
      </w:r>
      <w:r w:rsidRPr="00981405">
        <w:t>environment.</w:t>
      </w:r>
    </w:p>
    <w:p w:rsidR="00397032" w:rsidRPr="00981405" w:rsidRDefault="00397032" w:rsidP="00D97463">
      <w:pPr>
        <w:pStyle w:val="SingleTxt"/>
      </w:pPr>
      <w:r w:rsidRPr="00981405">
        <w:t>150.</w:t>
      </w:r>
      <w:r w:rsidRPr="00981405">
        <w:tab/>
        <w:t>Some</w:t>
      </w:r>
      <w:r w:rsidR="00190923" w:rsidRPr="00981405">
        <w:t xml:space="preserve"> </w:t>
      </w:r>
      <w:r w:rsidRPr="00981405">
        <w:t>members</w:t>
      </w:r>
      <w:r w:rsidR="00190923" w:rsidRPr="00981405">
        <w:t xml:space="preserve"> </w:t>
      </w:r>
      <w:r w:rsidRPr="00981405">
        <w:t>referred</w:t>
      </w:r>
      <w:r w:rsidR="00190923" w:rsidRPr="00981405">
        <w:t xml:space="preserve"> </w:t>
      </w:r>
      <w:r w:rsidRPr="00981405">
        <w:t>to</w:t>
      </w:r>
      <w:r w:rsidR="00190923" w:rsidRPr="00981405">
        <w:t xml:space="preserve"> </w:t>
      </w:r>
      <w:r w:rsidRPr="00981405">
        <w:t>what</w:t>
      </w:r>
      <w:r w:rsidR="00190923" w:rsidRPr="00981405">
        <w:t xml:space="preserve"> </w:t>
      </w:r>
      <w:r w:rsidRPr="00981405">
        <w:t>they</w:t>
      </w:r>
      <w:r w:rsidR="00190923" w:rsidRPr="00981405">
        <w:t xml:space="preserve"> </w:t>
      </w:r>
      <w:r w:rsidRPr="00981405">
        <w:t>considered</w:t>
      </w:r>
      <w:r w:rsidR="00190923" w:rsidRPr="00981405">
        <w:t xml:space="preserve"> </w:t>
      </w:r>
      <w:r w:rsidRPr="00981405">
        <w:t>to</w:t>
      </w:r>
      <w:r w:rsidR="00190923" w:rsidRPr="00981405">
        <w:t xml:space="preserve"> </w:t>
      </w:r>
      <w:r w:rsidRPr="00981405">
        <w:t>be</w:t>
      </w:r>
      <w:r w:rsidR="00190923" w:rsidRPr="00981405">
        <w:t xml:space="preserve"> </w:t>
      </w:r>
      <w:r w:rsidRPr="00981405">
        <w:t>a</w:t>
      </w:r>
      <w:r w:rsidR="00190923" w:rsidRPr="00981405">
        <w:t xml:space="preserve"> </w:t>
      </w:r>
      <w:r w:rsidRPr="00981405">
        <w:t>certain</w:t>
      </w:r>
      <w:r w:rsidR="00190923" w:rsidRPr="00981405">
        <w:t xml:space="preserve"> </w:t>
      </w:r>
      <w:r w:rsidRPr="00D97463">
        <w:rPr>
          <w:i/>
          <w:iCs/>
        </w:rPr>
        <w:t>lacunae</w:t>
      </w:r>
      <w:r w:rsidR="00190923" w:rsidRPr="00981405">
        <w:t xml:space="preserve"> </w:t>
      </w:r>
      <w:r w:rsidRPr="00981405">
        <w:t>in</w:t>
      </w:r>
      <w:r w:rsidR="00190923" w:rsidRPr="00981405">
        <w:t xml:space="preserve"> </w:t>
      </w:r>
      <w:r w:rsidRPr="00981405">
        <w:t>the</w:t>
      </w:r>
      <w:r w:rsidR="00190923" w:rsidRPr="00981405">
        <w:t xml:space="preserve"> </w:t>
      </w:r>
      <w:r w:rsidRPr="00981405">
        <w:t>proposed</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and</w:t>
      </w:r>
      <w:r w:rsidR="00190923" w:rsidRPr="00981405">
        <w:t xml:space="preserve"> </w:t>
      </w:r>
      <w:r w:rsidRPr="00981405">
        <w:t>various</w:t>
      </w:r>
      <w:r w:rsidR="00190923" w:rsidRPr="00981405">
        <w:t xml:space="preserve"> </w:t>
      </w:r>
      <w:r w:rsidRPr="00981405">
        <w:t>proposals</w:t>
      </w:r>
      <w:r w:rsidR="00190923" w:rsidRPr="00981405">
        <w:t xml:space="preserve"> </w:t>
      </w:r>
      <w:r w:rsidRPr="00981405">
        <w:t>concerning</w:t>
      </w:r>
      <w:r w:rsidR="00190923" w:rsidRPr="00981405">
        <w:t xml:space="preserve"> </w:t>
      </w:r>
      <w:r w:rsidRPr="00981405">
        <w:t>additional</w:t>
      </w:r>
      <w:r w:rsidR="00190923" w:rsidRPr="00981405">
        <w:t xml:space="preserve"> </w:t>
      </w:r>
      <w:r w:rsidRPr="00981405">
        <w:t>provisions</w:t>
      </w:r>
      <w:r w:rsidR="00190923" w:rsidRPr="00981405">
        <w:t xml:space="preserve"> </w:t>
      </w:r>
      <w:r w:rsidRPr="00981405">
        <w:t>were</w:t>
      </w:r>
      <w:r w:rsidR="00190923" w:rsidRPr="00981405">
        <w:t xml:space="preserve"> </w:t>
      </w:r>
      <w:r w:rsidRPr="00981405">
        <w:t>made.</w:t>
      </w:r>
      <w:r w:rsidR="00190923" w:rsidRPr="00981405">
        <w:t xml:space="preserve"> </w:t>
      </w:r>
      <w:r w:rsidRPr="00981405">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considered</w:t>
      </w:r>
      <w:r w:rsidR="00190923" w:rsidRPr="00981405">
        <w:t xml:space="preserve"> </w:t>
      </w:r>
      <w:r w:rsidRPr="00981405">
        <w:t>it</w:t>
      </w:r>
      <w:r w:rsidR="00190923" w:rsidRPr="00981405">
        <w:t xml:space="preserve"> </w:t>
      </w:r>
      <w:r w:rsidRPr="00981405">
        <w:t>important</w:t>
      </w:r>
      <w:r w:rsidR="00190923" w:rsidRPr="00981405">
        <w:t xml:space="preserve"> </w:t>
      </w:r>
      <w:r w:rsidRPr="00981405">
        <w:t>to</w:t>
      </w:r>
      <w:r w:rsidR="00190923" w:rsidRPr="00981405">
        <w:t xml:space="preserve"> </w:t>
      </w:r>
      <w:r w:rsidRPr="00981405">
        <w:t>reflect</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to</w:t>
      </w:r>
      <w:r w:rsidR="00190923" w:rsidRPr="00981405">
        <w:t xml:space="preserve"> </w:t>
      </w:r>
      <w:r w:rsidR="00B92E2C" w:rsidRPr="00981405">
        <w:t>“</w:t>
      </w:r>
      <w:r w:rsidRPr="00981405">
        <w:t>employ</w:t>
      </w:r>
      <w:r w:rsidR="00190923" w:rsidRPr="00981405">
        <w:t xml:space="preserve"> </w:t>
      </w:r>
      <w:r w:rsidRPr="00981405">
        <w:t>methods</w:t>
      </w:r>
      <w:r w:rsidR="00190923" w:rsidRPr="00981405">
        <w:t xml:space="preserve"> </w:t>
      </w:r>
      <w:r w:rsidRPr="00981405">
        <w:t>or</w:t>
      </w:r>
      <w:r w:rsidR="00190923" w:rsidRPr="00981405">
        <w:t xml:space="preserve"> </w:t>
      </w:r>
      <w:r w:rsidRPr="00981405">
        <w:t>means</w:t>
      </w:r>
      <w:r w:rsidR="00190923" w:rsidRPr="00981405">
        <w:t xml:space="preserve"> </w:t>
      </w:r>
      <w:r w:rsidRPr="00981405">
        <w:t>of</w:t>
      </w:r>
      <w:r w:rsidR="00190923" w:rsidRPr="00981405">
        <w:t xml:space="preserve"> </w:t>
      </w:r>
      <w:r w:rsidRPr="00981405">
        <w:t>warfare</w:t>
      </w:r>
      <w:r w:rsidR="00190923" w:rsidRPr="00981405">
        <w:t xml:space="preserve"> </w:t>
      </w:r>
      <w:r w:rsidRPr="00981405">
        <w:t>which</w:t>
      </w:r>
      <w:r w:rsidR="00190923" w:rsidRPr="00981405">
        <w:t xml:space="preserve"> </w:t>
      </w:r>
      <w:r w:rsidRPr="00981405">
        <w:t>are</w:t>
      </w:r>
      <w:r w:rsidR="00190923" w:rsidRPr="00981405">
        <w:t xml:space="preserve"> </w:t>
      </w:r>
      <w:r w:rsidRPr="00981405">
        <w:t>intended,</w:t>
      </w:r>
      <w:r w:rsidR="00190923" w:rsidRPr="00981405">
        <w:t xml:space="preserve"> </w:t>
      </w:r>
      <w:r w:rsidRPr="00981405">
        <w:t>or</w:t>
      </w:r>
      <w:r w:rsidR="00190923" w:rsidRPr="00981405">
        <w:t xml:space="preserve"> </w:t>
      </w:r>
      <w:r w:rsidRPr="00981405">
        <w:t>may</w:t>
      </w:r>
      <w:r w:rsidR="00190923" w:rsidRPr="00981405">
        <w:t xml:space="preserve"> </w:t>
      </w:r>
      <w:r w:rsidRPr="00981405">
        <w:t>be</w:t>
      </w:r>
      <w:r w:rsidR="00190923" w:rsidRPr="00981405">
        <w:t xml:space="preserve"> </w:t>
      </w:r>
      <w:r w:rsidRPr="00981405">
        <w:t>expected,</w:t>
      </w:r>
      <w:r w:rsidR="00190923" w:rsidRPr="00981405">
        <w:t xml:space="preserve"> </w:t>
      </w:r>
      <w:r w:rsidRPr="00981405">
        <w:t>to</w:t>
      </w:r>
      <w:r w:rsidR="00190923" w:rsidRPr="00981405">
        <w:t xml:space="preserve"> </w:t>
      </w:r>
      <w:r w:rsidRPr="00981405">
        <w:t>cause</w:t>
      </w:r>
      <w:r w:rsidR="00190923" w:rsidRPr="00981405">
        <w:t xml:space="preserve"> </w:t>
      </w:r>
      <w:r w:rsidRPr="00981405">
        <w:t>widespread,</w:t>
      </w:r>
      <w:r w:rsidR="00190923" w:rsidRPr="00981405">
        <w:t xml:space="preserve"> </w:t>
      </w:r>
      <w:r w:rsidRPr="00981405">
        <w:t>long-term</w:t>
      </w:r>
      <w:r w:rsidR="00190923" w:rsidRPr="00981405">
        <w:t xml:space="preserve"> </w:t>
      </w:r>
      <w:r w:rsidRPr="00981405">
        <w:t>and</w:t>
      </w:r>
      <w:r w:rsidR="00190923" w:rsidRPr="00981405">
        <w:t xml:space="preserve"> </w:t>
      </w:r>
      <w:r w:rsidRPr="00981405">
        <w:t>severe</w:t>
      </w:r>
      <w:r w:rsidR="00190923" w:rsidRPr="00981405">
        <w:t xml:space="preserve"> </w:t>
      </w:r>
      <w:r w:rsidRPr="00981405">
        <w:t>damage</w:t>
      </w:r>
      <w:r w:rsidR="00190923" w:rsidRPr="00981405">
        <w:t xml:space="preserve"> </w:t>
      </w:r>
      <w:r w:rsidRPr="00981405">
        <w:t>to</w:t>
      </w:r>
      <w:r w:rsidR="00190923" w:rsidRPr="00981405">
        <w:t xml:space="preserve"> </w:t>
      </w:r>
      <w:r w:rsidRPr="00981405">
        <w:t>the</w:t>
      </w:r>
      <w:r w:rsidR="00190923" w:rsidRPr="00981405">
        <w:t xml:space="preserve"> </w:t>
      </w:r>
      <w:r w:rsidRPr="00981405">
        <w:t>natural</w:t>
      </w:r>
      <w:r w:rsidR="00190923" w:rsidRPr="00981405">
        <w:t xml:space="preserve"> </w:t>
      </w:r>
      <w:r w:rsidRPr="00981405">
        <w:t>environment</w:t>
      </w:r>
      <w:r w:rsidR="00B92E2C" w:rsidRPr="00981405">
        <w:t>”</w:t>
      </w:r>
      <w:r w:rsidR="00190923" w:rsidRPr="00981405">
        <w:t xml:space="preserve"> </w:t>
      </w:r>
      <w:r w:rsidRPr="00981405">
        <w:t>as</w:t>
      </w:r>
      <w:r w:rsidR="00190923" w:rsidRPr="00981405">
        <w:t xml:space="preserve"> </w:t>
      </w:r>
      <w:r w:rsidRPr="00981405">
        <w:t>set</w:t>
      </w:r>
      <w:r w:rsidR="00190923" w:rsidRPr="00981405">
        <w:t xml:space="preserve"> </w:t>
      </w:r>
      <w:r w:rsidRPr="00981405">
        <w:t>forth</w:t>
      </w:r>
      <w:r w:rsidR="00190923" w:rsidRPr="00981405">
        <w:t xml:space="preserve"> </w:t>
      </w:r>
      <w:r w:rsidRPr="00981405">
        <w:t>in</w:t>
      </w:r>
      <w:r w:rsidR="00190923" w:rsidRPr="00981405">
        <w:t xml:space="preserve"> </w:t>
      </w:r>
      <w:r w:rsidRPr="00981405">
        <w:t>article</w:t>
      </w:r>
      <w:r w:rsidR="00190923" w:rsidRPr="00981405">
        <w:t xml:space="preserve"> </w:t>
      </w:r>
      <w:r w:rsidRPr="00981405">
        <w:t>35,</w:t>
      </w:r>
      <w:r w:rsidR="00190923" w:rsidRPr="00981405">
        <w:t xml:space="preserve"> </w:t>
      </w:r>
      <w:r w:rsidRPr="00981405">
        <w:t>paragraph</w:t>
      </w:r>
      <w:r w:rsidR="00190923" w:rsidRPr="00981405">
        <w:t xml:space="preserve"> </w:t>
      </w:r>
      <w:r w:rsidRPr="00981405">
        <w:t>3,</w:t>
      </w:r>
      <w:r w:rsidR="00190923" w:rsidRPr="00981405">
        <w:t xml:space="preserve"> </w:t>
      </w:r>
      <w:r w:rsidRPr="00981405">
        <w:t>of</w:t>
      </w:r>
      <w:r w:rsidR="00190923" w:rsidRPr="00981405">
        <w:t xml:space="preserve"> </w:t>
      </w:r>
      <w:r w:rsidRPr="00981405">
        <w:t>the</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w:t>
      </w:r>
      <w:r w:rsidR="00190923" w:rsidRPr="00981405">
        <w:t xml:space="preserve"> </w:t>
      </w:r>
      <w:r w:rsidRPr="00981405">
        <w:t>While</w:t>
      </w:r>
      <w:r w:rsidR="00190923" w:rsidRPr="00981405">
        <w:t xml:space="preserve"> </w:t>
      </w:r>
      <w:r w:rsidRPr="00981405">
        <w:t>the</w:t>
      </w:r>
      <w:r w:rsidR="00190923" w:rsidRPr="00981405">
        <w:t xml:space="preserve"> </w:t>
      </w:r>
      <w:r w:rsidRPr="00981405">
        <w:t>high</w:t>
      </w:r>
      <w:r w:rsidR="00190923" w:rsidRPr="00981405">
        <w:t xml:space="preserve"> </w:t>
      </w:r>
      <w:r w:rsidRPr="00981405">
        <w:t>threshold</w:t>
      </w:r>
      <w:r w:rsidR="00190923" w:rsidRPr="00981405">
        <w:t xml:space="preserve"> </w:t>
      </w:r>
      <w:r w:rsidRPr="00981405">
        <w:t>of</w:t>
      </w:r>
      <w:r w:rsidR="00190923" w:rsidRPr="00981405">
        <w:t xml:space="preserve"> </w:t>
      </w:r>
      <w:r w:rsidRPr="00981405">
        <w:t>this</w:t>
      </w:r>
      <w:r w:rsidR="00190923" w:rsidRPr="00981405">
        <w:t xml:space="preserve"> </w:t>
      </w:r>
      <w:r w:rsidRPr="00981405">
        <w:t>provision</w:t>
      </w:r>
      <w:r w:rsidR="00190923" w:rsidRPr="00981405">
        <w:t xml:space="preserve"> </w:t>
      </w:r>
      <w:r w:rsidRPr="00981405">
        <w:t>was</w:t>
      </w:r>
      <w:r w:rsidR="00190923" w:rsidRPr="00981405">
        <w:t xml:space="preserve"> </w:t>
      </w:r>
      <w:r w:rsidRPr="00981405">
        <w:t>acknowledged,</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at</w:t>
      </w:r>
      <w:r w:rsidR="00190923" w:rsidRPr="00981405">
        <w:t xml:space="preserve"> </w:t>
      </w:r>
      <w:r w:rsidRPr="00981405">
        <w:t>least</w:t>
      </w:r>
      <w:r w:rsidR="00190923" w:rsidRPr="00981405">
        <w:t xml:space="preserve"> </w:t>
      </w:r>
      <w:r w:rsidRPr="00981405">
        <w:t>it</w:t>
      </w:r>
      <w:r w:rsidR="00190923" w:rsidRPr="00981405">
        <w:t xml:space="preserve"> </w:t>
      </w:r>
      <w:r w:rsidRPr="00981405">
        <w:t>provided</w:t>
      </w:r>
      <w:r w:rsidR="00190923" w:rsidRPr="00981405">
        <w:t xml:space="preserve"> </w:t>
      </w:r>
      <w:r w:rsidRPr="00981405">
        <w:t>a</w:t>
      </w:r>
      <w:r w:rsidR="00190923" w:rsidRPr="00981405">
        <w:t xml:space="preserve"> </w:t>
      </w:r>
      <w:r w:rsidRPr="00981405">
        <w:t>minimum</w:t>
      </w:r>
      <w:r w:rsidR="00190923" w:rsidRPr="00981405">
        <w:t xml:space="preserve"> </w:t>
      </w:r>
      <w:r w:rsidRPr="00981405">
        <w:t>standard.</w:t>
      </w:r>
      <w:r w:rsidR="00190923" w:rsidRPr="00981405">
        <w:t xml:space="preserve"> </w:t>
      </w:r>
      <w:r w:rsidRPr="00981405">
        <w:t>A</w:t>
      </w:r>
      <w:r w:rsidR="00190923" w:rsidRPr="00981405">
        <w:t xml:space="preserve"> </w:t>
      </w:r>
      <w:r w:rsidRPr="00981405">
        <w:t>reference</w:t>
      </w:r>
      <w:r w:rsidR="00190923" w:rsidRPr="00981405">
        <w:t xml:space="preserve"> </w:t>
      </w:r>
      <w:r w:rsidRPr="00981405">
        <w:t>was</w:t>
      </w:r>
      <w:r w:rsidR="00190923" w:rsidRPr="00981405">
        <w:t xml:space="preserve"> </w:t>
      </w:r>
      <w:r w:rsidRPr="00981405">
        <w:t>also</w:t>
      </w:r>
      <w:r w:rsidR="00190923" w:rsidRPr="00981405">
        <w:t xml:space="preserve"> </w:t>
      </w:r>
      <w:r w:rsidRPr="00981405">
        <w:t>made</w:t>
      </w:r>
      <w:r w:rsidR="00190923" w:rsidRPr="00981405">
        <w:t xml:space="preserve"> </w:t>
      </w:r>
      <w:r w:rsidRPr="00981405">
        <w:t>to</w:t>
      </w:r>
      <w:r w:rsidR="00190923" w:rsidRPr="00981405">
        <w:t xml:space="preserve"> </w:t>
      </w:r>
      <w:r w:rsidRPr="00981405">
        <w:t>the</w:t>
      </w:r>
      <w:r w:rsidR="00190923" w:rsidRPr="00981405">
        <w:t xml:space="preserve"> </w:t>
      </w:r>
      <w:r w:rsidRPr="00981405">
        <w:t>duty</w:t>
      </w:r>
      <w:r w:rsidR="00190923" w:rsidRPr="00981405">
        <w:t xml:space="preserve"> </w:t>
      </w:r>
      <w:r w:rsidRPr="00981405">
        <w:t>of</w:t>
      </w:r>
      <w:r w:rsidR="00190923" w:rsidRPr="00981405">
        <w:t xml:space="preserve"> </w:t>
      </w:r>
      <w:r w:rsidRPr="00981405">
        <w:t>care</w:t>
      </w:r>
      <w:r w:rsidR="00190923" w:rsidRPr="00981405">
        <w:t xml:space="preserve"> </w:t>
      </w:r>
      <w:r w:rsidRPr="00981405">
        <w:t>expressed</w:t>
      </w:r>
      <w:r w:rsidR="00190923" w:rsidRPr="00981405">
        <w:t xml:space="preserve"> </w:t>
      </w:r>
      <w:r w:rsidRPr="00981405">
        <w:t>in</w:t>
      </w:r>
      <w:r w:rsidR="00190923" w:rsidRPr="00981405">
        <w:t xml:space="preserve"> </w:t>
      </w:r>
      <w:r w:rsidRPr="00981405">
        <w:t>article</w:t>
      </w:r>
      <w:r w:rsidR="00190923" w:rsidRPr="00981405">
        <w:t xml:space="preserve"> </w:t>
      </w:r>
      <w:r w:rsidRPr="00981405">
        <w:t>55,</w:t>
      </w:r>
      <w:r w:rsidR="00190923" w:rsidRPr="00981405">
        <w:t xml:space="preserve"> </w:t>
      </w:r>
      <w:r w:rsidRPr="00981405">
        <w:t>paragraph</w:t>
      </w:r>
      <w:r w:rsidR="00190923" w:rsidRPr="00981405">
        <w:t xml:space="preserve"> </w:t>
      </w:r>
      <w:r w:rsidRPr="00981405">
        <w:t>1,</w:t>
      </w:r>
      <w:r w:rsidR="00190923" w:rsidRPr="00981405">
        <w:t xml:space="preserve"> </w:t>
      </w:r>
      <w:r w:rsidRPr="00981405">
        <w:t>of</w:t>
      </w:r>
      <w:r w:rsidR="00190923" w:rsidRPr="00981405">
        <w:t xml:space="preserve"> </w:t>
      </w:r>
      <w:r w:rsidRPr="00981405">
        <w:t>the</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namely</w:t>
      </w:r>
      <w:r w:rsidR="00190923" w:rsidRPr="00981405">
        <w:t xml:space="preserve"> </w:t>
      </w:r>
      <w:r w:rsidRPr="00981405">
        <w:t>that</w:t>
      </w:r>
      <w:r w:rsidR="00190923" w:rsidRPr="00981405">
        <w:t xml:space="preserve"> </w:t>
      </w:r>
      <w:r w:rsidR="00B92E2C" w:rsidRPr="00981405">
        <w:t>“</w:t>
      </w:r>
      <w:r w:rsidRPr="00981405">
        <w:t>[c]are</w:t>
      </w:r>
      <w:r w:rsidR="00190923" w:rsidRPr="00981405">
        <w:t xml:space="preserve"> </w:t>
      </w:r>
      <w:r w:rsidRPr="00981405">
        <w:t>shall</w:t>
      </w:r>
      <w:r w:rsidR="00190923" w:rsidRPr="00981405">
        <w:t xml:space="preserve"> </w:t>
      </w:r>
      <w:r w:rsidRPr="00981405">
        <w:t>be</w:t>
      </w:r>
      <w:r w:rsidR="00190923" w:rsidRPr="00981405">
        <w:t xml:space="preserve"> </w:t>
      </w:r>
      <w:r w:rsidRPr="00981405">
        <w:t>taken</w:t>
      </w:r>
      <w:r w:rsidR="00190923" w:rsidRPr="00981405">
        <w:t xml:space="preserve"> </w:t>
      </w:r>
      <w:r w:rsidRPr="00981405">
        <w:t>in</w:t>
      </w:r>
      <w:r w:rsidR="00190923" w:rsidRPr="00981405">
        <w:t xml:space="preserve"> </w:t>
      </w:r>
      <w:r w:rsidRPr="00981405">
        <w:t>warfare</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natural</w:t>
      </w:r>
      <w:r w:rsidR="00190923" w:rsidRPr="00981405">
        <w:t xml:space="preserve"> </w:t>
      </w:r>
      <w:r w:rsidRPr="00981405">
        <w:t>environment</w:t>
      </w:r>
      <w:r w:rsidR="00190923" w:rsidRPr="00981405">
        <w:t xml:space="preserve"> </w:t>
      </w:r>
      <w:r w:rsidRPr="00981405">
        <w:t>against</w:t>
      </w:r>
      <w:r w:rsidR="00190923" w:rsidRPr="00981405">
        <w:t xml:space="preserve"> </w:t>
      </w:r>
      <w:r w:rsidRPr="00981405">
        <w:t>wide-spread,</w:t>
      </w:r>
      <w:r w:rsidR="00190923" w:rsidRPr="00981405">
        <w:t xml:space="preserve"> </w:t>
      </w:r>
      <w:r w:rsidRPr="00981405">
        <w:t>long-term</w:t>
      </w:r>
      <w:r w:rsidR="00190923" w:rsidRPr="00981405">
        <w:t xml:space="preserve"> </w:t>
      </w:r>
      <w:r w:rsidRPr="00981405">
        <w:t>and</w:t>
      </w:r>
      <w:r w:rsidR="00190923" w:rsidRPr="00981405">
        <w:t xml:space="preserve"> </w:t>
      </w:r>
      <w:r w:rsidRPr="00981405">
        <w:t>severe</w:t>
      </w:r>
      <w:r w:rsidR="00190923" w:rsidRPr="00981405">
        <w:t xml:space="preserve"> </w:t>
      </w:r>
      <w:r w:rsidRPr="00981405">
        <w:t>damage</w:t>
      </w:r>
      <w:r w:rsidR="00B92E2C" w:rsidRPr="00981405">
        <w:t>”</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this</w:t>
      </w:r>
      <w:r w:rsidR="00190923" w:rsidRPr="00981405">
        <w:t xml:space="preserve"> </w:t>
      </w:r>
      <w:r w:rsidRPr="00981405">
        <w:t>provision</w:t>
      </w:r>
      <w:r w:rsidR="00190923" w:rsidRPr="00981405">
        <w:t xml:space="preserve"> </w:t>
      </w:r>
      <w:r w:rsidRPr="00981405">
        <w:t>be</w:t>
      </w:r>
      <w:r w:rsidR="00190923" w:rsidRPr="00981405">
        <w:t xml:space="preserve"> </w:t>
      </w:r>
      <w:r w:rsidRPr="00981405">
        <w:t>reflected</w:t>
      </w:r>
      <w:r w:rsidR="00190923" w:rsidRPr="00981405">
        <w:t xml:space="preserve"> </w:t>
      </w:r>
      <w:r w:rsidRPr="00981405">
        <w:t>either</w:t>
      </w:r>
      <w:r w:rsidR="00190923" w:rsidRPr="00981405">
        <w:t xml:space="preserve"> </w:t>
      </w:r>
      <w:r w:rsidRPr="00981405">
        <w:t>in</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or</w:t>
      </w:r>
      <w:r w:rsidR="00190923" w:rsidRPr="00981405">
        <w:t xml:space="preserve"> </w:t>
      </w:r>
      <w:r w:rsidRPr="00981405">
        <w:t>in</w:t>
      </w:r>
      <w:r w:rsidR="00190923" w:rsidRPr="00981405">
        <w:t xml:space="preserve"> </w:t>
      </w:r>
      <w:r w:rsidRPr="00981405">
        <w:t>a</w:t>
      </w:r>
      <w:r w:rsidR="00190923" w:rsidRPr="00981405">
        <w:t xml:space="preserve"> </w:t>
      </w:r>
      <w:r w:rsidRPr="00981405">
        <w:t>separate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reflect</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in</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of</w:t>
      </w:r>
      <w:r w:rsidR="00190923" w:rsidRPr="00981405">
        <w:t xml:space="preserve"> </w:t>
      </w:r>
      <w:r w:rsidRPr="00981405">
        <w:t>military</w:t>
      </w:r>
      <w:r w:rsidR="00190923" w:rsidRPr="00981405">
        <w:t xml:space="preserve"> </w:t>
      </w:r>
      <w:r w:rsidRPr="00981405">
        <w:t>or</w:t>
      </w:r>
      <w:r w:rsidR="00190923" w:rsidRPr="00981405">
        <w:t xml:space="preserve"> </w:t>
      </w:r>
      <w:r w:rsidRPr="00981405">
        <w:t>any</w:t>
      </w:r>
      <w:r w:rsidR="00190923" w:rsidRPr="00981405">
        <w:t xml:space="preserve"> </w:t>
      </w:r>
      <w:r w:rsidRPr="00981405">
        <w:t>other</w:t>
      </w:r>
      <w:r w:rsidR="00190923" w:rsidRPr="00981405">
        <w:t xml:space="preserve"> </w:t>
      </w:r>
      <w:r w:rsidRPr="00981405">
        <w:t>hostile</w:t>
      </w:r>
      <w:r w:rsidR="00190923" w:rsidRPr="00981405">
        <w:t xml:space="preserve"> </w:t>
      </w:r>
      <w:r w:rsidRPr="00981405">
        <w:t>use</w:t>
      </w:r>
      <w:r w:rsidR="00190923" w:rsidRPr="00981405">
        <w:t xml:space="preserve"> </w:t>
      </w:r>
      <w:r w:rsidRPr="00981405">
        <w:t>of</w:t>
      </w:r>
      <w:r w:rsidR="00190923" w:rsidRPr="00981405">
        <w:t xml:space="preserve"> </w:t>
      </w:r>
      <w:r w:rsidRPr="00981405">
        <w:lastRenderedPageBreak/>
        <w:t>environmental</w:t>
      </w:r>
      <w:r w:rsidR="00190923" w:rsidRPr="00981405">
        <w:t xml:space="preserve"> </w:t>
      </w:r>
      <w:r w:rsidRPr="00981405">
        <w:t>modification</w:t>
      </w:r>
      <w:r w:rsidR="00190923" w:rsidRPr="00981405">
        <w:t xml:space="preserve"> </w:t>
      </w:r>
      <w:r w:rsidRPr="00981405">
        <w:t>technique</w:t>
      </w:r>
      <w:r w:rsidRPr="00981405">
        <w:rPr>
          <w:rStyle w:val="FootnoteReference"/>
        </w:rPr>
        <w:footnoteReference w:id="379"/>
      </w:r>
      <w:r w:rsidR="00190923" w:rsidRPr="00981405">
        <w:t xml:space="preserve"> </w:t>
      </w:r>
      <w:r w:rsidR="00B92E2C" w:rsidRPr="00981405">
        <w:t>“</w:t>
      </w:r>
      <w:r w:rsidRPr="00981405">
        <w:t>not</w:t>
      </w:r>
      <w:r w:rsidR="00190923" w:rsidRPr="00981405">
        <w:t xml:space="preserve"> </w:t>
      </w:r>
      <w:r w:rsidRPr="00981405">
        <w:t>to</w:t>
      </w:r>
      <w:r w:rsidR="00190923" w:rsidRPr="00981405">
        <w:t xml:space="preserve"> </w:t>
      </w:r>
      <w:r w:rsidRPr="00981405">
        <w:t>engage</w:t>
      </w:r>
      <w:r w:rsidR="00190923" w:rsidRPr="00981405">
        <w:t xml:space="preserve"> </w:t>
      </w:r>
      <w:r w:rsidRPr="00981405">
        <w:t>in</w:t>
      </w:r>
      <w:r w:rsidR="00190923" w:rsidRPr="00981405">
        <w:t xml:space="preserve"> </w:t>
      </w:r>
      <w:r w:rsidRPr="00981405">
        <w:t>military</w:t>
      </w:r>
      <w:r w:rsidR="00190923" w:rsidRPr="00981405">
        <w:t xml:space="preserve"> </w:t>
      </w:r>
      <w:r w:rsidRPr="00981405">
        <w:t>or</w:t>
      </w:r>
      <w:r w:rsidR="00190923" w:rsidRPr="00981405">
        <w:t xml:space="preserve"> </w:t>
      </w:r>
      <w:r w:rsidRPr="00981405">
        <w:t>any</w:t>
      </w:r>
      <w:r w:rsidR="00190923" w:rsidRPr="00981405">
        <w:t xml:space="preserve"> </w:t>
      </w:r>
      <w:r w:rsidRPr="00981405">
        <w:t>other</w:t>
      </w:r>
      <w:r w:rsidR="00190923" w:rsidRPr="00981405">
        <w:t xml:space="preserve"> </w:t>
      </w:r>
      <w:r w:rsidRPr="00981405">
        <w:t>hostile</w:t>
      </w:r>
      <w:r w:rsidR="00190923" w:rsidRPr="00981405">
        <w:t xml:space="preserve"> </w:t>
      </w:r>
      <w:r w:rsidRPr="00981405">
        <w:t>use</w:t>
      </w:r>
      <w:r w:rsidR="00190923" w:rsidRPr="00981405">
        <w:t xml:space="preserve"> </w:t>
      </w:r>
      <w:r w:rsidRPr="00981405">
        <w:t>of</w:t>
      </w:r>
      <w:r w:rsidR="00190923" w:rsidRPr="00981405">
        <w:t xml:space="preserve"> </w:t>
      </w:r>
      <w:r w:rsidRPr="00981405">
        <w:t>environmental</w:t>
      </w:r>
      <w:r w:rsidR="00190923" w:rsidRPr="00981405">
        <w:t xml:space="preserve"> </w:t>
      </w:r>
      <w:r w:rsidRPr="00981405">
        <w:t>modification</w:t>
      </w:r>
      <w:r w:rsidR="00190923" w:rsidRPr="00981405">
        <w:t xml:space="preserve"> </w:t>
      </w:r>
      <w:r w:rsidRPr="00981405">
        <w:t>techniques</w:t>
      </w:r>
      <w:r w:rsidR="00190923" w:rsidRPr="00981405">
        <w:t xml:space="preserve"> </w:t>
      </w:r>
      <w:r w:rsidRPr="00981405">
        <w:t>having</w:t>
      </w:r>
      <w:r w:rsidR="00190923" w:rsidRPr="00981405">
        <w:t xml:space="preserve"> </w:t>
      </w:r>
      <w:r w:rsidRPr="00981405">
        <w:t>widespread,</w:t>
      </w:r>
      <w:r w:rsidR="00190923" w:rsidRPr="00981405">
        <w:t xml:space="preserve"> </w:t>
      </w:r>
      <w:r w:rsidRPr="00981405">
        <w:t>long-lasting</w:t>
      </w:r>
      <w:r w:rsidR="00190923" w:rsidRPr="00981405">
        <w:t xml:space="preserve"> </w:t>
      </w:r>
      <w:r w:rsidRPr="00981405">
        <w:t>or</w:t>
      </w:r>
      <w:r w:rsidR="00190923" w:rsidRPr="00981405">
        <w:t xml:space="preserve"> </w:t>
      </w:r>
      <w:r w:rsidRPr="00981405">
        <w:t>severe</w:t>
      </w:r>
      <w:r w:rsidR="00190923" w:rsidRPr="00981405">
        <w:t xml:space="preserve"> </w:t>
      </w:r>
      <w:r w:rsidRPr="00981405">
        <w:t>effects</w:t>
      </w:r>
      <w:r w:rsidR="00190923" w:rsidRPr="00981405">
        <w:t xml:space="preserve"> </w:t>
      </w:r>
      <w:r w:rsidRPr="00981405">
        <w:t>as</w:t>
      </w:r>
      <w:r w:rsidR="00190923" w:rsidRPr="00981405">
        <w:t xml:space="preserve"> </w:t>
      </w:r>
      <w:r w:rsidRPr="00981405">
        <w:t>the</w:t>
      </w:r>
      <w:r w:rsidR="00190923" w:rsidRPr="00981405">
        <w:t xml:space="preserve"> </w:t>
      </w:r>
      <w:r w:rsidRPr="00981405">
        <w:t>means</w:t>
      </w:r>
      <w:r w:rsidR="00190923" w:rsidRPr="00981405">
        <w:t xml:space="preserve"> </w:t>
      </w:r>
      <w:r w:rsidRPr="00981405">
        <w:t>of</w:t>
      </w:r>
      <w:r w:rsidR="00190923" w:rsidRPr="00981405">
        <w:t xml:space="preserve"> </w:t>
      </w:r>
      <w:r w:rsidRPr="00981405">
        <w:t>destruction,</w:t>
      </w:r>
      <w:r w:rsidR="00190923" w:rsidRPr="00981405">
        <w:t xml:space="preserve"> </w:t>
      </w:r>
      <w:r w:rsidRPr="00981405">
        <w:t>damage</w:t>
      </w:r>
      <w:r w:rsidR="00190923" w:rsidRPr="00981405">
        <w:t xml:space="preserve"> </w:t>
      </w:r>
      <w:r w:rsidRPr="00981405">
        <w:t>or</w:t>
      </w:r>
      <w:r w:rsidR="00190923" w:rsidRPr="00981405">
        <w:t xml:space="preserve"> </w:t>
      </w:r>
      <w:r w:rsidRPr="00981405">
        <w:t>injury</w:t>
      </w:r>
      <w:r w:rsidR="00B92E2C" w:rsidRPr="00981405">
        <w:t>”</w:t>
      </w:r>
      <w:r w:rsidRPr="00981405">
        <w:t>.</w:t>
      </w:r>
      <w:r w:rsidR="00190923" w:rsidRPr="00981405">
        <w:t xml:space="preserve"> </w:t>
      </w:r>
      <w:r w:rsidRPr="00981405">
        <w:t>Besides</w:t>
      </w:r>
      <w:r w:rsidR="00190923" w:rsidRPr="00981405">
        <w:t xml:space="preserve"> </w:t>
      </w:r>
      <w:r w:rsidRPr="00981405">
        <w:t>the</w:t>
      </w:r>
      <w:r w:rsidR="00190923" w:rsidRPr="00981405">
        <w:t xml:space="preserve"> </w:t>
      </w:r>
      <w:r w:rsidRPr="00981405">
        <w:t>uncertainty</w:t>
      </w:r>
      <w:r w:rsidR="00190923" w:rsidRPr="00981405">
        <w:t xml:space="preserve"> </w:t>
      </w:r>
      <w:r w:rsidRPr="00981405">
        <w:t>on</w:t>
      </w:r>
      <w:r w:rsidR="00190923" w:rsidRPr="00981405">
        <w:t xml:space="preserve"> </w:t>
      </w:r>
      <w:r w:rsidRPr="00981405">
        <w:t>its</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status,</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difficult</w:t>
      </w:r>
      <w:r w:rsidR="00190923" w:rsidRPr="00981405">
        <w:t xml:space="preserve"> </w:t>
      </w:r>
      <w:r w:rsidRPr="00981405">
        <w:t>to</w:t>
      </w:r>
      <w:r w:rsidR="00190923" w:rsidRPr="00981405">
        <w:t xml:space="preserve"> </w:t>
      </w:r>
      <w:r w:rsidRPr="00981405">
        <w:t>contest</w:t>
      </w:r>
      <w:r w:rsidR="00190923" w:rsidRPr="00981405">
        <w:t xml:space="preserve"> </w:t>
      </w:r>
      <w:r w:rsidRPr="00981405">
        <w:t>the</w:t>
      </w:r>
      <w:r w:rsidR="00190923" w:rsidRPr="00981405">
        <w:t xml:space="preserve"> </w:t>
      </w:r>
      <w:r w:rsidRPr="00981405">
        <w:t>value</w:t>
      </w:r>
      <w:r w:rsidR="00190923" w:rsidRPr="00981405">
        <w:t xml:space="preserve"> </w:t>
      </w:r>
      <w:r w:rsidRPr="00981405">
        <w:t>of</w:t>
      </w:r>
      <w:r w:rsidR="00190923" w:rsidRPr="00981405">
        <w:t xml:space="preserve"> </w:t>
      </w:r>
      <w:r w:rsidRPr="00981405">
        <w:t>the</w:t>
      </w:r>
      <w:r w:rsidR="00190923" w:rsidRPr="00981405">
        <w:t xml:space="preserve"> </w:t>
      </w:r>
      <w:r w:rsidRPr="00981405">
        <w:t>principle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contemporary</w:t>
      </w:r>
      <w:r w:rsidR="00190923" w:rsidRPr="00981405">
        <w:t xml:space="preserve"> </w:t>
      </w:r>
      <w:r w:rsidRPr="00981405">
        <w:t>international</w:t>
      </w:r>
      <w:r w:rsidR="00190923" w:rsidRPr="00981405">
        <w:t xml:space="preserve"> </w:t>
      </w:r>
      <w:r w:rsidRPr="00981405">
        <w:t>environmental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further</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ought</w:t>
      </w:r>
      <w:r w:rsidR="00190923" w:rsidRPr="00981405">
        <w:t xml:space="preserve"> </w:t>
      </w:r>
      <w:r w:rsidRPr="00981405">
        <w:t>to</w:t>
      </w:r>
      <w:r w:rsidR="00190923" w:rsidRPr="00981405">
        <w:t xml:space="preserve"> </w:t>
      </w:r>
      <w:r w:rsidRPr="00981405">
        <w:t>contain</w:t>
      </w:r>
      <w:r w:rsidR="00190923" w:rsidRPr="00981405">
        <w:t xml:space="preserve"> </w:t>
      </w:r>
      <w:r w:rsidRPr="00981405">
        <w:t>a</w:t>
      </w:r>
      <w:r w:rsidR="00190923" w:rsidRPr="00981405">
        <w:t xml:space="preserve"> </w:t>
      </w:r>
      <w:r w:rsidRPr="00981405">
        <w:t>prohibition</w:t>
      </w:r>
      <w:r w:rsidR="00190923" w:rsidRPr="00981405">
        <w:t xml:space="preserve"> </w:t>
      </w:r>
      <w:r w:rsidRPr="00981405">
        <w:t>against</w:t>
      </w:r>
      <w:r w:rsidR="00190923" w:rsidRPr="00981405">
        <w:t xml:space="preserve"> </w:t>
      </w:r>
      <w:r w:rsidRPr="00981405">
        <w:t>the</w:t>
      </w:r>
      <w:r w:rsidR="00190923" w:rsidRPr="00981405">
        <w:t xml:space="preserve"> </w:t>
      </w:r>
      <w:r w:rsidRPr="00981405">
        <w:t>destruction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not</w:t>
      </w:r>
      <w:r w:rsidR="00190923" w:rsidRPr="00981405">
        <w:t xml:space="preserve"> </w:t>
      </w:r>
      <w:r w:rsidRPr="00981405">
        <w:t>justified</w:t>
      </w:r>
      <w:r w:rsidR="00190923" w:rsidRPr="00981405">
        <w:t xml:space="preserve"> </w:t>
      </w:r>
      <w:r w:rsidRPr="00981405">
        <w:t>by</w:t>
      </w:r>
      <w:r w:rsidR="00190923" w:rsidRPr="00981405">
        <w:t xml:space="preserve"> </w:t>
      </w:r>
      <w:r w:rsidRPr="00981405">
        <w:t>military</w:t>
      </w:r>
      <w:r w:rsidR="00190923" w:rsidRPr="00981405">
        <w:t xml:space="preserve"> </w:t>
      </w:r>
      <w:r w:rsidRPr="00981405">
        <w:t>necessity</w:t>
      </w:r>
      <w:r w:rsidR="00190923" w:rsidRPr="00981405">
        <w:t xml:space="preserve"> </w:t>
      </w:r>
      <w:r w:rsidRPr="00981405">
        <w:t>and</w:t>
      </w:r>
      <w:r w:rsidR="00190923" w:rsidRPr="00981405">
        <w:t xml:space="preserve"> </w:t>
      </w:r>
      <w:r w:rsidRPr="00981405">
        <w:t>carried</w:t>
      </w:r>
      <w:r w:rsidR="00190923" w:rsidRPr="00981405">
        <w:t xml:space="preserve"> </w:t>
      </w:r>
      <w:r w:rsidRPr="00981405">
        <w:t>out</w:t>
      </w:r>
      <w:r w:rsidR="00190923" w:rsidRPr="00981405">
        <w:t xml:space="preserve"> </w:t>
      </w:r>
      <w:r w:rsidRPr="00981405">
        <w:t>wantonly,</w:t>
      </w:r>
      <w:r w:rsidR="00190923" w:rsidRPr="00981405">
        <w:t xml:space="preserve"> </w:t>
      </w:r>
      <w:r w:rsidRPr="00981405">
        <w:t>drawing</w:t>
      </w:r>
      <w:r w:rsidR="00190923" w:rsidRPr="00981405">
        <w:t xml:space="preserve"> </w:t>
      </w:r>
      <w:r w:rsidRPr="00981405">
        <w:t>from</w:t>
      </w:r>
      <w:r w:rsidR="00190923" w:rsidRPr="00981405">
        <w:t xml:space="preserve"> </w:t>
      </w:r>
      <w:r w:rsidRPr="00981405">
        <w:t>language</w:t>
      </w:r>
      <w:r w:rsidR="00190923" w:rsidRPr="00981405">
        <w:t xml:space="preserve"> </w:t>
      </w:r>
      <w:r w:rsidRPr="00981405">
        <w:t>in</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Pr="00981405">
        <w:t>47/37</w:t>
      </w:r>
      <w:r w:rsidR="00190923" w:rsidRPr="00981405">
        <w:t xml:space="preserve"> </w:t>
      </w:r>
      <w:r w:rsidRPr="00981405">
        <w:t>of</w:t>
      </w:r>
      <w:r w:rsidR="00190923" w:rsidRPr="00981405">
        <w:t xml:space="preserve"> </w:t>
      </w:r>
      <w:r w:rsidRPr="00981405">
        <w:t>25</w:t>
      </w:r>
      <w:r w:rsidR="00190923" w:rsidRPr="00981405">
        <w:t xml:space="preserve"> </w:t>
      </w:r>
      <w:r w:rsidRPr="00981405">
        <w:t>November</w:t>
      </w:r>
      <w:r w:rsidR="00190923" w:rsidRPr="00981405">
        <w:t xml:space="preserve"> </w:t>
      </w:r>
      <w:r w:rsidRPr="00981405">
        <w:t>1992.</w:t>
      </w:r>
      <w:r w:rsidR="00190923" w:rsidRPr="00981405">
        <w:t xml:space="preserve"> </w:t>
      </w:r>
      <w:r w:rsidRPr="00981405">
        <w:t>It</w:t>
      </w:r>
      <w:r w:rsidR="00190923" w:rsidRPr="00981405">
        <w:t xml:space="preserve"> </w:t>
      </w:r>
      <w:r w:rsidRPr="00981405">
        <w:t>did</w:t>
      </w:r>
      <w:r w:rsidR="00190923" w:rsidRPr="00981405">
        <w:t xml:space="preserve"> </w:t>
      </w:r>
      <w:r w:rsidRPr="00981405">
        <w:t>not</w:t>
      </w:r>
      <w:r w:rsidR="00190923" w:rsidRPr="00981405">
        <w:t xml:space="preserve"> </w:t>
      </w:r>
      <w:r w:rsidRPr="00981405">
        <w:t>seem</w:t>
      </w:r>
      <w:r w:rsidR="00190923" w:rsidRPr="00981405">
        <w:t xml:space="preserve"> </w:t>
      </w:r>
      <w:r w:rsidRPr="00981405">
        <w:t>that</w:t>
      </w:r>
      <w:r w:rsidR="00190923" w:rsidRPr="00981405">
        <w:t xml:space="preserve"> </w:t>
      </w:r>
      <w:r w:rsidRPr="00981405">
        <w:t>this</w:t>
      </w:r>
      <w:r w:rsidR="00190923" w:rsidRPr="00981405">
        <w:t xml:space="preserve"> </w:t>
      </w:r>
      <w:r w:rsidRPr="00981405">
        <w:t>aspect</w:t>
      </w:r>
      <w:r w:rsidR="00190923" w:rsidRPr="00981405">
        <w:t xml:space="preserve"> </w:t>
      </w:r>
      <w:r w:rsidRPr="00981405">
        <w:t>was</w:t>
      </w:r>
      <w:r w:rsidR="00190923" w:rsidRPr="00981405">
        <w:t xml:space="preserve"> </w:t>
      </w:r>
      <w:r w:rsidRPr="00981405">
        <w:t>covered</w:t>
      </w:r>
      <w:r w:rsidR="00190923" w:rsidRPr="00981405">
        <w:t xml:space="preserve"> </w:t>
      </w:r>
      <w:r w:rsidRPr="00981405">
        <w:t>in</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which</w:t>
      </w:r>
      <w:r w:rsidR="00190923" w:rsidRPr="00981405">
        <w:t xml:space="preserve"> </w:t>
      </w:r>
      <w:r w:rsidRPr="00981405">
        <w:t>addressed</w:t>
      </w:r>
      <w:r w:rsidR="00190923" w:rsidRPr="00981405">
        <w:t xml:space="preserve"> </w:t>
      </w:r>
      <w:r w:rsidR="00B92E2C" w:rsidRPr="00981405">
        <w:t>“</w:t>
      </w:r>
      <w:r w:rsidRPr="00981405">
        <w:t>attacks</w:t>
      </w:r>
      <w:r w:rsidR="00B92E2C" w:rsidRPr="00981405">
        <w:t>”</w:t>
      </w:r>
      <w:r w:rsidR="00190923" w:rsidRPr="00981405">
        <w:t xml:space="preserve"> </w:t>
      </w:r>
      <w:r w:rsidRPr="00981405">
        <w:t>but</w:t>
      </w:r>
      <w:r w:rsidR="00190923" w:rsidRPr="00981405">
        <w:t xml:space="preserve"> </w:t>
      </w:r>
      <w:r w:rsidRPr="00981405">
        <w:t>not</w:t>
      </w:r>
      <w:r w:rsidR="00190923" w:rsidRPr="00981405">
        <w:t xml:space="preserve"> </w:t>
      </w:r>
      <w:r w:rsidRPr="00981405">
        <w:t>necessarily</w:t>
      </w:r>
      <w:r w:rsidR="00190923" w:rsidRPr="00981405">
        <w:t xml:space="preserve"> </w:t>
      </w:r>
      <w:r w:rsidRPr="00981405">
        <w:t>the</w:t>
      </w:r>
      <w:r w:rsidR="00190923" w:rsidRPr="00981405">
        <w:t xml:space="preserve"> </w:t>
      </w:r>
      <w:r w:rsidRPr="00981405">
        <w:t>notion</w:t>
      </w:r>
      <w:r w:rsidR="00190923" w:rsidRPr="00981405">
        <w:t xml:space="preserve"> </w:t>
      </w:r>
      <w:r w:rsidRPr="00981405">
        <w:t>of</w:t>
      </w:r>
      <w:r w:rsidR="00190923" w:rsidRPr="00981405">
        <w:t xml:space="preserve"> </w:t>
      </w:r>
      <w:r w:rsidR="00B92E2C" w:rsidRPr="00981405">
        <w:t>“</w:t>
      </w:r>
      <w:r w:rsidRPr="00981405">
        <w:t>destruction</w:t>
      </w:r>
      <w:r w:rsidR="00B92E2C" w:rsidRPr="00981405">
        <w:t>”</w:t>
      </w:r>
      <w:r w:rsidRPr="00981405">
        <w:t>.</w:t>
      </w:r>
      <w:r w:rsidR="00190923" w:rsidRPr="00981405">
        <w:t xml:space="preserve"> </w:t>
      </w:r>
    </w:p>
    <w:p w:rsidR="00397032" w:rsidRPr="00981405" w:rsidRDefault="00397032" w:rsidP="00D97463">
      <w:pPr>
        <w:pStyle w:val="SingleTxt"/>
      </w:pPr>
      <w:r w:rsidRPr="00981405">
        <w:t>151.</w:t>
      </w:r>
      <w:r w:rsidRPr="00981405">
        <w:tab/>
        <w:t>Some</w:t>
      </w:r>
      <w:r w:rsidR="00190923" w:rsidRPr="00981405">
        <w:t xml:space="preserve"> </w:t>
      </w:r>
      <w:r w:rsidRPr="00981405">
        <w:t>members</w:t>
      </w:r>
      <w:r w:rsidR="00190923" w:rsidRPr="00981405">
        <w:t xml:space="preserve"> </w:t>
      </w:r>
      <w:r w:rsidRPr="00981405">
        <w:t>regretted</w:t>
      </w:r>
      <w:r w:rsidR="00190923" w:rsidRPr="00981405">
        <w:t xml:space="preserve"> </w:t>
      </w:r>
      <w:r w:rsidRPr="00981405">
        <w:t>that</w:t>
      </w:r>
      <w:r w:rsidR="00190923" w:rsidRPr="00981405">
        <w:t xml:space="preserve"> </w:t>
      </w:r>
      <w:r w:rsidRPr="00981405">
        <w:t>the</w:t>
      </w:r>
      <w:r w:rsidR="00190923" w:rsidRPr="00981405">
        <w:t xml:space="preserve"> </w:t>
      </w:r>
      <w:r w:rsidRPr="00981405">
        <w:t>assertion</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on</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had</w:t>
      </w:r>
      <w:r w:rsidR="00190923" w:rsidRPr="00981405">
        <w:t xml:space="preserve"> </w:t>
      </w:r>
      <w:r w:rsidRPr="00981405">
        <w:t>not</w:t>
      </w:r>
      <w:r w:rsidR="00190923" w:rsidRPr="00981405">
        <w:t xml:space="preserve"> </w:t>
      </w:r>
      <w:r w:rsidRPr="00981405">
        <w:t>been</w:t>
      </w:r>
      <w:r w:rsidR="00190923" w:rsidRPr="00981405">
        <w:t xml:space="preserve"> </w:t>
      </w:r>
      <w:r w:rsidRPr="00981405">
        <w:t>translated</w:t>
      </w:r>
      <w:r w:rsidR="00190923" w:rsidRPr="00981405">
        <w:t xml:space="preserve"> </w:t>
      </w:r>
      <w:r w:rsidRPr="00981405">
        <w:t>into</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w:t>
      </w:r>
      <w:r w:rsidR="00190923" w:rsidRPr="00981405">
        <w:t xml:space="preserve"> </w:t>
      </w:r>
      <w:r w:rsidRPr="00981405">
        <w:t>separate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was</w:t>
      </w:r>
      <w:r w:rsidR="00190923" w:rsidRPr="00981405">
        <w:t xml:space="preserve"> </w:t>
      </w:r>
      <w:r w:rsidRPr="00981405">
        <w:t>therefore</w:t>
      </w:r>
      <w:r w:rsidR="00190923" w:rsidRPr="00981405">
        <w:t xml:space="preserve"> </w:t>
      </w:r>
      <w:r w:rsidRPr="00981405">
        <w:t>proposed</w:t>
      </w:r>
      <w:r w:rsidR="00190923" w:rsidRPr="00981405">
        <w:t xml:space="preserve"> </w:t>
      </w:r>
      <w:r w:rsidRPr="00981405">
        <w:t>to</w:t>
      </w:r>
      <w:r w:rsidR="00190923" w:rsidRPr="00981405">
        <w:t xml:space="preserve"> </w:t>
      </w:r>
      <w:r w:rsidRPr="00981405">
        <w:t>reflect</w:t>
      </w:r>
      <w:r w:rsidR="00190923" w:rsidRPr="00981405">
        <w:t xml:space="preserve"> </w:t>
      </w:r>
      <w:r w:rsidRPr="00981405">
        <w:t>a</w:t>
      </w:r>
      <w:r w:rsidR="00190923" w:rsidRPr="00981405">
        <w:t xml:space="preserve"> </w:t>
      </w:r>
      <w:r w:rsidRPr="00981405">
        <w:t>duty</w:t>
      </w:r>
      <w:r w:rsidR="00190923" w:rsidRPr="00981405">
        <w:t xml:space="preserve"> </w:t>
      </w:r>
      <w:r w:rsidRPr="00981405">
        <w:t>for</w:t>
      </w:r>
      <w:r w:rsidR="00190923" w:rsidRPr="00981405">
        <w:t xml:space="preserve"> </w:t>
      </w:r>
      <w:r w:rsidRPr="00981405">
        <w:t>States</w:t>
      </w:r>
      <w:r w:rsidR="00190923" w:rsidRPr="00981405">
        <w:t xml:space="preserve"> </w:t>
      </w:r>
      <w:r w:rsidRPr="00981405">
        <w:t>to</w:t>
      </w:r>
      <w:r w:rsidR="00190923" w:rsidRPr="00981405">
        <w:t xml:space="preserve"> </w:t>
      </w:r>
      <w:r w:rsidRPr="00981405">
        <w:t>undertake</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through</w:t>
      </w:r>
      <w:r w:rsidR="00190923" w:rsidRPr="00981405">
        <w:t xml:space="preserve"> </w:t>
      </w:r>
      <w:r w:rsidRPr="00981405">
        <w:t>legislative</w:t>
      </w:r>
      <w:r w:rsidR="00190923" w:rsidRPr="00981405">
        <w:t xml:space="preserve"> </w:t>
      </w:r>
      <w:r w:rsidRPr="00981405">
        <w:t>measures</w:t>
      </w:r>
      <w:r w:rsidR="00190923" w:rsidRPr="00981405">
        <w:t xml:space="preserve"> </w:t>
      </w:r>
      <w:r w:rsidRPr="00981405">
        <w:t>consistent</w:t>
      </w:r>
      <w:r w:rsidR="00190923" w:rsidRPr="00981405">
        <w:t xml:space="preserve"> </w:t>
      </w:r>
      <w:r w:rsidRPr="00981405">
        <w:t>with</w:t>
      </w:r>
      <w:r w:rsidR="00190923" w:rsidRPr="00981405">
        <w:t xml:space="preserve"> </w:t>
      </w:r>
      <w:r w:rsidRPr="00981405">
        <w:t>applicable</w:t>
      </w:r>
      <w:r w:rsidR="00190923" w:rsidRPr="00981405">
        <w:t xml:space="preserve"> </w:t>
      </w:r>
      <w:r w:rsidRPr="00981405">
        <w:t>international</w:t>
      </w:r>
      <w:r w:rsidR="00190923" w:rsidRPr="00981405">
        <w:t xml:space="preserve"> </w:t>
      </w:r>
      <w:r w:rsidRPr="00981405">
        <w:t>law.</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36" w:name="_Toc427938126"/>
      <w:r w:rsidRPr="00D97463">
        <w:t>(c)</w:t>
      </w:r>
      <w:r w:rsidRPr="00D97463">
        <w:tab/>
        <w:t>Purpose</w:t>
      </w:r>
      <w:bookmarkEnd w:id="136"/>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152.</w:t>
      </w:r>
      <w:r w:rsidRPr="00981405">
        <w:tab/>
        <w:t>Several</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proposed</w:t>
      </w:r>
      <w:r w:rsidR="00190923" w:rsidRPr="00981405">
        <w:t xml:space="preserve"> </w:t>
      </w:r>
      <w:r w:rsidRPr="00981405">
        <w:t>provision</w:t>
      </w:r>
      <w:r w:rsidR="00190923" w:rsidRPr="00981405">
        <w:t xml:space="preserve"> </w:t>
      </w:r>
      <w:r w:rsidRPr="00981405">
        <w:t>on</w:t>
      </w:r>
      <w:r w:rsidR="00190923" w:rsidRPr="00981405">
        <w:t xml:space="preserve"> </w:t>
      </w:r>
      <w:r w:rsidRPr="00981405">
        <w:t>purpose</w:t>
      </w:r>
      <w:r w:rsidR="00190923" w:rsidRPr="00981405">
        <w:t xml:space="preserve"> </w:t>
      </w:r>
      <w:r w:rsidRPr="00981405">
        <w:t>was</w:t>
      </w:r>
      <w:r w:rsidR="00190923" w:rsidRPr="00981405">
        <w:t xml:space="preserve"> </w:t>
      </w:r>
      <w:r w:rsidRPr="00981405">
        <w:t>unduly</w:t>
      </w:r>
      <w:r w:rsidR="00190923" w:rsidRPr="00981405">
        <w:t xml:space="preserve"> </w:t>
      </w:r>
      <w:r w:rsidRPr="00981405">
        <w:t>restrictive.</w:t>
      </w:r>
      <w:r w:rsidR="00190923" w:rsidRPr="00981405">
        <w:t xml:space="preserve"> </w:t>
      </w:r>
      <w:r w:rsidRPr="00981405">
        <w:t>In</w:t>
      </w:r>
      <w:r w:rsidR="00190923" w:rsidRPr="00981405">
        <w:t xml:space="preserve"> </w:t>
      </w:r>
      <w:r w:rsidRPr="00981405">
        <w:t>addition</w:t>
      </w:r>
      <w:r w:rsidR="00190923" w:rsidRPr="00981405">
        <w:t xml:space="preserve"> </w:t>
      </w:r>
      <w:r w:rsidRPr="00981405">
        <w:t>to</w:t>
      </w:r>
      <w:r w:rsidR="00190923" w:rsidRPr="00981405">
        <w:t xml:space="preserve"> </w:t>
      </w:r>
      <w:r w:rsidRPr="00981405">
        <w:t>preventive</w:t>
      </w:r>
      <w:r w:rsidR="00190923" w:rsidRPr="00981405">
        <w:t xml:space="preserve"> </w:t>
      </w:r>
      <w:r w:rsidRPr="00981405">
        <w:t>and</w:t>
      </w:r>
      <w:r w:rsidR="00190923" w:rsidRPr="00981405">
        <w:t xml:space="preserve"> </w:t>
      </w:r>
      <w:r w:rsidRPr="00981405">
        <w:t>restorative</w:t>
      </w:r>
      <w:r w:rsidR="00190923" w:rsidRPr="00981405">
        <w:t xml:space="preserve"> </w:t>
      </w:r>
      <w:r w:rsidRPr="00981405">
        <w:t>measures,</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also</w:t>
      </w:r>
      <w:r w:rsidR="00190923" w:rsidRPr="00981405">
        <w:t xml:space="preserve"> </w:t>
      </w:r>
      <w:r w:rsidRPr="00981405">
        <w:t>contained</w:t>
      </w:r>
      <w:r w:rsidR="00190923" w:rsidRPr="00981405">
        <w:t xml:space="preserve"> </w:t>
      </w:r>
      <w:r w:rsidRPr="00981405">
        <w:t>prohibitive</w:t>
      </w:r>
      <w:r w:rsidR="00190923" w:rsidRPr="00981405">
        <w:t xml:space="preserve"> </w:t>
      </w:r>
      <w:r w:rsidRPr="00981405">
        <w:t>clauses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obligations</w:t>
      </w:r>
      <w:r w:rsidR="00190923" w:rsidRPr="00981405">
        <w:t xml:space="preserve"> </w:t>
      </w:r>
      <w:r w:rsidRPr="00981405">
        <w:t>to</w:t>
      </w:r>
      <w:r w:rsidR="00190923" w:rsidRPr="00981405">
        <w:t xml:space="preserve"> </w:t>
      </w:r>
      <w:r w:rsidRPr="00981405">
        <w:t>undertake</w:t>
      </w:r>
      <w:r w:rsidR="00190923" w:rsidRPr="00981405">
        <w:t xml:space="preserve"> </w:t>
      </w:r>
      <w:r w:rsidRPr="00981405">
        <w:t>precautionary</w:t>
      </w:r>
      <w:r w:rsidR="00190923" w:rsidRPr="00981405">
        <w:t xml:space="preserve"> </w:t>
      </w:r>
      <w:r w:rsidRPr="00981405">
        <w:t>measures.</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proposed</w:t>
      </w:r>
      <w:r w:rsidR="00190923" w:rsidRPr="00981405">
        <w:t xml:space="preserve"> </w:t>
      </w:r>
      <w:r w:rsidRPr="00981405">
        <w:t>to</w:t>
      </w:r>
      <w:r w:rsidR="00190923" w:rsidRPr="00981405">
        <w:t xml:space="preserve"> </w:t>
      </w:r>
      <w:r w:rsidRPr="00981405">
        <w:t>delete</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collateral</w:t>
      </w:r>
      <w:r w:rsidR="00B92E2C" w:rsidRPr="00981405">
        <w:t>”</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aim</w:t>
      </w:r>
      <w:r w:rsidR="00190923" w:rsidRPr="00981405">
        <w:t xml:space="preserve"> </w:t>
      </w:r>
      <w:r w:rsidRPr="00981405">
        <w:t>was</w:t>
      </w:r>
      <w:r w:rsidR="00190923" w:rsidRPr="00981405">
        <w:t xml:space="preserve"> </w:t>
      </w:r>
      <w:r w:rsidRPr="00981405">
        <w:t>to</w:t>
      </w:r>
      <w:r w:rsidR="00190923" w:rsidRPr="00981405">
        <w:t xml:space="preserve"> </w:t>
      </w:r>
      <w:r w:rsidRPr="00981405">
        <w:t>minimise</w:t>
      </w:r>
      <w:r w:rsidR="00190923" w:rsidRPr="00981405">
        <w:t xml:space="preserve"> </w:t>
      </w:r>
      <w:r w:rsidRPr="00981405">
        <w:t>all</w:t>
      </w:r>
      <w:r w:rsidR="00190923" w:rsidRPr="00981405">
        <w:t xml:space="preserve"> </w:t>
      </w:r>
      <w:r w:rsidRPr="00981405">
        <w:t>damage,</w:t>
      </w:r>
      <w:r w:rsidR="00190923" w:rsidRPr="00981405">
        <w:t xml:space="preserve"> </w:t>
      </w:r>
      <w:r w:rsidRPr="00981405">
        <w:t>whether</w:t>
      </w:r>
      <w:r w:rsidR="00190923" w:rsidRPr="00981405">
        <w:t xml:space="preserve"> </w:t>
      </w:r>
      <w:r w:rsidRPr="00981405">
        <w:t>collateral</w:t>
      </w:r>
      <w:r w:rsidR="00190923" w:rsidRPr="00981405">
        <w:t xml:space="preserve"> </w:t>
      </w:r>
      <w:r w:rsidRPr="00981405">
        <w:t>or</w:t>
      </w:r>
      <w:r w:rsidR="00190923" w:rsidRPr="00981405">
        <w:t xml:space="preserve"> </w:t>
      </w:r>
      <w:r w:rsidRPr="00981405">
        <w:t>not.</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a</w:t>
      </w:r>
      <w:r w:rsidR="00190923" w:rsidRPr="00981405">
        <w:t xml:space="preserve"> </w:t>
      </w:r>
      <w:r w:rsidRPr="00981405">
        <w:t>distinction</w:t>
      </w:r>
      <w:r w:rsidR="00190923" w:rsidRPr="00981405">
        <w:t xml:space="preserve"> </w:t>
      </w:r>
      <w:r w:rsidRPr="00981405">
        <w:t>be</w:t>
      </w:r>
      <w:r w:rsidR="00190923" w:rsidRPr="00981405">
        <w:t xml:space="preserve"> </w:t>
      </w:r>
      <w:r w:rsidRPr="00981405">
        <w:t>made</w:t>
      </w:r>
      <w:r w:rsidR="00190923" w:rsidRPr="00981405">
        <w:t xml:space="preserve"> </w:t>
      </w:r>
      <w:r w:rsidRPr="00981405">
        <w:t>between</w:t>
      </w:r>
      <w:r w:rsidR="00190923" w:rsidRPr="00981405">
        <w:t xml:space="preserve"> </w:t>
      </w:r>
      <w:r w:rsidRPr="00981405">
        <w:t>intentional</w:t>
      </w:r>
      <w:r w:rsidR="00190923" w:rsidRPr="00981405">
        <w:t xml:space="preserve"> </w:t>
      </w:r>
      <w:r w:rsidRPr="00981405">
        <w:t>and</w:t>
      </w:r>
      <w:r w:rsidR="00190923" w:rsidRPr="00981405">
        <w:t xml:space="preserve"> </w:t>
      </w:r>
      <w:r w:rsidRPr="00981405">
        <w:t>collateral</w:t>
      </w:r>
      <w:r w:rsidR="00190923" w:rsidRPr="00981405">
        <w:t xml:space="preserve"> </w:t>
      </w:r>
      <w:r w:rsidRPr="00981405">
        <w:t>damage.</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collateral</w:t>
      </w:r>
      <w:r w:rsidR="00190923" w:rsidRPr="00981405">
        <w:t xml:space="preserve"> </w:t>
      </w:r>
      <w:r w:rsidRPr="00981405">
        <w:t>damage</w:t>
      </w:r>
      <w:r w:rsidR="00190923" w:rsidRPr="00981405">
        <w:t xml:space="preserve"> </w:t>
      </w:r>
      <w:r w:rsidRPr="00981405">
        <w:t>could</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a</w:t>
      </w:r>
      <w:r w:rsidR="00190923" w:rsidRPr="00981405">
        <w:t xml:space="preserve"> </w:t>
      </w:r>
      <w:r w:rsidRPr="00981405">
        <w:t>separate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though</w:t>
      </w:r>
      <w:r w:rsidR="00190923" w:rsidRPr="00981405">
        <w:t xml:space="preserve"> </w:t>
      </w:r>
      <w:r w:rsidRPr="00981405">
        <w:t>some</w:t>
      </w:r>
      <w:r w:rsidR="00190923" w:rsidRPr="00981405">
        <w:t xml:space="preserve"> </w:t>
      </w:r>
      <w:r w:rsidRPr="00981405">
        <w:t>members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Pr="00981405">
        <w:t>required</w:t>
      </w:r>
      <w:r w:rsidR="00190923" w:rsidRPr="00981405">
        <w:t xml:space="preserve"> </w:t>
      </w:r>
      <w:r w:rsidRPr="00981405">
        <w:t>further</w:t>
      </w:r>
      <w:r w:rsidR="00190923" w:rsidRPr="00981405">
        <w:t xml:space="preserve"> </w:t>
      </w:r>
      <w:r w:rsidRPr="00981405">
        <w:t>analysis.</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37" w:name="_Toc427938127"/>
      <w:r w:rsidRPr="00D97463">
        <w:t>(d)</w:t>
      </w:r>
      <w:r w:rsidRPr="00D97463">
        <w:tab/>
        <w:t>Use</w:t>
      </w:r>
      <w:r w:rsidR="00190923" w:rsidRPr="00D97463">
        <w:t xml:space="preserve"> </w:t>
      </w:r>
      <w:r w:rsidRPr="00D97463">
        <w:t>of</w:t>
      </w:r>
      <w:r w:rsidR="00190923" w:rsidRPr="00D97463">
        <w:t xml:space="preserve"> </w:t>
      </w:r>
      <w:r w:rsidRPr="00D97463">
        <w:t>terms</w:t>
      </w:r>
      <w:bookmarkEnd w:id="13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153.</w:t>
      </w:r>
      <w:r w:rsidRPr="00981405">
        <w:tab/>
        <w:t>Several</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a</w:t>
      </w:r>
      <w:r w:rsidR="00190923" w:rsidRPr="00981405">
        <w:t xml:space="preserve"> </w:t>
      </w:r>
      <w:r w:rsidRPr="00981405">
        <w:t>provision</w:t>
      </w:r>
      <w:r w:rsidR="00190923" w:rsidRPr="00981405">
        <w:t xml:space="preserve"> </w:t>
      </w:r>
      <w:r w:rsidRPr="00981405">
        <w:t>on</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such</w:t>
      </w:r>
      <w:r w:rsidR="00190923" w:rsidRPr="00981405">
        <w:t xml:space="preserve"> </w:t>
      </w:r>
      <w:r w:rsidRPr="00981405">
        <w:t>a</w:t>
      </w:r>
      <w:r w:rsidR="00190923" w:rsidRPr="00981405">
        <w:t xml:space="preserve"> </w:t>
      </w:r>
      <w:r w:rsidRPr="00981405">
        <w:t>provision</w:t>
      </w:r>
      <w:r w:rsidR="00190923" w:rsidRPr="00981405">
        <w:t xml:space="preserve"> </w:t>
      </w:r>
      <w:r w:rsidRPr="00981405">
        <w:t>would</w:t>
      </w:r>
      <w:r w:rsidR="00190923" w:rsidRPr="00981405">
        <w:t xml:space="preserve"> </w:t>
      </w:r>
      <w:r w:rsidRPr="00981405">
        <w:t>assist</w:t>
      </w:r>
      <w:r w:rsidR="00190923" w:rsidRPr="00981405">
        <w:t xml:space="preserve"> </w:t>
      </w:r>
      <w:r w:rsidRPr="00981405">
        <w:t>in</w:t>
      </w:r>
      <w:r w:rsidR="00190923" w:rsidRPr="00981405">
        <w:t xml:space="preserve"> </w:t>
      </w:r>
      <w:r w:rsidRPr="00981405">
        <w:t>properly</w:t>
      </w:r>
      <w:r w:rsidR="00190923" w:rsidRPr="00981405">
        <w:t xml:space="preserve"> </w:t>
      </w:r>
      <w:r w:rsidRPr="00981405">
        <w:t>determining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text</w:t>
      </w:r>
      <w:r w:rsidR="00190923" w:rsidRPr="00981405">
        <w:t xml:space="preserve"> </w:t>
      </w:r>
      <w:r w:rsidRPr="00981405">
        <w:t>and</w:t>
      </w:r>
      <w:r w:rsidR="00190923" w:rsidRPr="00981405">
        <w:t xml:space="preserve"> </w:t>
      </w:r>
      <w:r w:rsidRPr="00981405">
        <w:t>clarify</w:t>
      </w:r>
      <w:r w:rsidR="00190923" w:rsidRPr="00981405">
        <w:t xml:space="preserve"> </w:t>
      </w:r>
      <w:r w:rsidRPr="00981405">
        <w:t>the</w:t>
      </w:r>
      <w:r w:rsidR="00190923" w:rsidRPr="00981405">
        <w:t xml:space="preserve"> </w:t>
      </w:r>
      <w:r w:rsidRPr="00981405">
        <w:t>subject</w:t>
      </w:r>
      <w:r w:rsidR="00190923" w:rsidRPr="00981405">
        <w:t xml:space="preserve"> </w:t>
      </w:r>
      <w:r w:rsidRPr="00981405">
        <w:t>matter</w:t>
      </w:r>
      <w:r w:rsidR="00190923" w:rsidRPr="00981405">
        <w:t xml:space="preserve"> </w:t>
      </w:r>
      <w:r w:rsidRPr="00981405">
        <w:t>at</w:t>
      </w:r>
      <w:r w:rsidR="00190923" w:rsidRPr="00981405">
        <w:t xml:space="preserve"> </w:t>
      </w:r>
      <w:r w:rsidRPr="00981405">
        <w:t>hand.</w:t>
      </w:r>
      <w:r w:rsidR="00190923" w:rsidRPr="00981405">
        <w:t xml:space="preserve"> </w:t>
      </w:r>
      <w:r w:rsidRPr="00981405">
        <w:t>Caution</w:t>
      </w:r>
      <w:r w:rsidR="00190923" w:rsidRPr="00981405">
        <w:t xml:space="preserve"> </w:t>
      </w:r>
      <w:r w:rsidRPr="00981405">
        <w:t>was</w:t>
      </w:r>
      <w:r w:rsidR="00190923" w:rsidRPr="00981405">
        <w:t xml:space="preserve"> </w:t>
      </w:r>
      <w:r w:rsidRPr="00981405">
        <w:t>nevertheless</w:t>
      </w:r>
      <w:r w:rsidR="00190923" w:rsidRPr="00981405">
        <w:t xml:space="preserve"> </w:t>
      </w:r>
      <w:r w:rsidRPr="00981405">
        <w:t>also</w:t>
      </w:r>
      <w:r w:rsidR="00190923" w:rsidRPr="00981405">
        <w:t xml:space="preserve"> </w:t>
      </w:r>
      <w:r w:rsidRPr="00981405">
        <w:t>voiced</w:t>
      </w:r>
      <w:r w:rsidR="00190923" w:rsidRPr="00981405">
        <w:t xml:space="preserve"> </w:t>
      </w:r>
      <w:r w:rsidRPr="00981405">
        <w:t>regarding</w:t>
      </w:r>
      <w:r w:rsidR="00190923" w:rsidRPr="00981405">
        <w:t xml:space="preserve"> </w:t>
      </w:r>
      <w:r w:rsidRPr="00981405">
        <w:t>any</w:t>
      </w:r>
      <w:r w:rsidR="00190923" w:rsidRPr="00981405">
        <w:t xml:space="preserve"> </w:t>
      </w:r>
      <w:r w:rsidRPr="00981405">
        <w:t>attempt</w:t>
      </w:r>
      <w:r w:rsidR="00190923" w:rsidRPr="00981405">
        <w:t xml:space="preserve"> </w:t>
      </w:r>
      <w:r w:rsidRPr="00981405">
        <w:t>to</w:t>
      </w:r>
      <w:r w:rsidR="00190923" w:rsidRPr="00981405">
        <w:t xml:space="preserve"> </w:t>
      </w:r>
      <w:r w:rsidRPr="00981405">
        <w:t>define,</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this</w:t>
      </w:r>
      <w:r w:rsidR="00190923" w:rsidRPr="00981405">
        <w:t xml:space="preserve"> </w:t>
      </w:r>
      <w:r w:rsidRPr="00981405">
        <w:t>topic,</w:t>
      </w:r>
      <w:r w:rsidR="00190923" w:rsidRPr="00981405">
        <w:t xml:space="preserve"> </w:t>
      </w:r>
      <w:r w:rsidRPr="00981405">
        <w:t>the</w:t>
      </w:r>
      <w:r w:rsidR="00190923" w:rsidRPr="00981405">
        <w:t xml:space="preserve"> </w:t>
      </w:r>
      <w:r w:rsidRPr="00981405">
        <w:t>terms</w:t>
      </w:r>
      <w:r w:rsidR="00190923" w:rsidRPr="00981405">
        <w:t xml:space="preserve"> </w:t>
      </w:r>
      <w:r w:rsidR="00B92E2C" w:rsidRPr="00981405">
        <w:t>“</w:t>
      </w:r>
      <w:r w:rsidRPr="00981405">
        <w:t>armed</w:t>
      </w:r>
      <w:r w:rsidR="00190923" w:rsidRPr="00981405">
        <w:t xml:space="preserve"> </w:t>
      </w:r>
      <w:r w:rsidRPr="00981405">
        <w:t>conflict</w:t>
      </w:r>
      <w:r w:rsidR="00B92E2C" w:rsidRPr="00981405">
        <w:t>”</w:t>
      </w:r>
      <w:r w:rsidR="00190923" w:rsidRPr="00981405">
        <w:t xml:space="preserve"> </w:t>
      </w:r>
      <w:r w:rsidRPr="00981405">
        <w:t>and</w:t>
      </w:r>
      <w:r w:rsidR="00190923" w:rsidRPr="00981405">
        <w:t xml:space="preserve"> </w:t>
      </w:r>
      <w:r w:rsidR="00B92E2C" w:rsidRPr="00981405">
        <w:t>“</w:t>
      </w:r>
      <w:r w:rsidRPr="00981405">
        <w:t>environment</w:t>
      </w:r>
      <w:r w:rsidR="00B92E2C" w:rsidRPr="00981405">
        <w:t>”</w:t>
      </w:r>
      <w:r w:rsidRPr="00981405">
        <w:t>,</w:t>
      </w:r>
      <w:r w:rsidR="00190923" w:rsidRPr="00981405">
        <w:t xml:space="preserve"> </w:t>
      </w:r>
      <w:r w:rsidRPr="00981405">
        <w:t>which</w:t>
      </w:r>
      <w:r w:rsidR="00190923" w:rsidRPr="00981405">
        <w:t xml:space="preserve"> </w:t>
      </w:r>
      <w:r w:rsidRPr="00981405">
        <w:t>involved</w:t>
      </w:r>
      <w:r w:rsidR="00190923" w:rsidRPr="00981405">
        <w:t xml:space="preserve"> </w:t>
      </w:r>
      <w:r w:rsidRPr="00981405">
        <w:t>highly</w:t>
      </w:r>
      <w:r w:rsidR="00190923" w:rsidRPr="00981405">
        <w:t xml:space="preserve"> </w:t>
      </w:r>
      <w:r w:rsidRPr="00981405">
        <w:t>complex</w:t>
      </w:r>
      <w:r w:rsidR="00190923" w:rsidRPr="00981405">
        <w:t xml:space="preserve"> </w:t>
      </w:r>
      <w:r w:rsidRPr="00981405">
        <w:t>issues.</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00B92E2C" w:rsidRPr="00981405">
        <w:t>“</w:t>
      </w:r>
      <w:r w:rsidRPr="00981405">
        <w:t>armed</w:t>
      </w:r>
      <w:r w:rsidR="00190923" w:rsidRPr="00981405">
        <w:t xml:space="preserve"> </w:t>
      </w:r>
      <w:r w:rsidRPr="00981405">
        <w:t>conflict</w:t>
      </w:r>
      <w:r w:rsidR="00B92E2C" w:rsidRPr="00981405">
        <w:t>”</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broad</w:t>
      </w:r>
      <w:r w:rsidR="00190923" w:rsidRPr="00981405">
        <w:t xml:space="preserve"> </w:t>
      </w:r>
      <w:r w:rsidRPr="00981405">
        <w:t>enough</w:t>
      </w:r>
      <w:r w:rsidR="00190923" w:rsidRPr="00981405">
        <w:t xml:space="preserve"> </w:t>
      </w:r>
      <w:r w:rsidRPr="00981405">
        <w:t>to</w:t>
      </w:r>
      <w:r w:rsidR="00190923" w:rsidRPr="00981405">
        <w:t xml:space="preserve"> </w:t>
      </w:r>
      <w:r w:rsidRPr="00981405">
        <w:t>cover</w:t>
      </w:r>
      <w:r w:rsidR="00190923" w:rsidRPr="00981405">
        <w:t xml:space="preserve"> </w:t>
      </w:r>
      <w:r w:rsidRPr="00981405">
        <w:t>non-international</w:t>
      </w:r>
      <w:r w:rsidR="00190923" w:rsidRPr="00981405">
        <w:t xml:space="preserve"> </w:t>
      </w:r>
      <w:r w:rsidRPr="00981405">
        <w:t>armed</w:t>
      </w:r>
      <w:r w:rsidR="00190923" w:rsidRPr="00981405">
        <w:t xml:space="preserve"> </w:t>
      </w:r>
      <w:r w:rsidRPr="00981405">
        <w:t>conflicts,</w:t>
      </w:r>
      <w:r w:rsidR="00190923" w:rsidRPr="00981405">
        <w:t xml:space="preserve"> </w:t>
      </w:r>
      <w:r w:rsidRPr="00981405">
        <w:t>which</w:t>
      </w:r>
      <w:r w:rsidR="00190923" w:rsidRPr="00981405">
        <w:t xml:space="preserve"> </w:t>
      </w:r>
      <w:r w:rsidRPr="00981405">
        <w:t>are</w:t>
      </w:r>
      <w:r w:rsidR="00190923" w:rsidRPr="00981405">
        <w:t xml:space="preserve"> </w:t>
      </w:r>
      <w:r w:rsidRPr="00981405">
        <w:t>more</w:t>
      </w:r>
      <w:r w:rsidR="00190923" w:rsidRPr="00981405">
        <w:t xml:space="preserve"> </w:t>
      </w:r>
      <w:r w:rsidRPr="00981405">
        <w:t>common,</w:t>
      </w:r>
      <w:r w:rsidR="00190923" w:rsidRPr="00981405">
        <w:t xml:space="preserve"> </w:t>
      </w:r>
      <w:r w:rsidRPr="00981405">
        <w:t>more</w:t>
      </w:r>
      <w:r w:rsidR="00190923" w:rsidRPr="00981405">
        <w:t xml:space="preserve"> </w:t>
      </w:r>
      <w:r w:rsidRPr="00981405">
        <w:t>difficult</w:t>
      </w:r>
      <w:r w:rsidR="00190923" w:rsidRPr="00981405">
        <w:t xml:space="preserve"> </w:t>
      </w:r>
      <w:r w:rsidRPr="00981405">
        <w:t>to</w:t>
      </w:r>
      <w:r w:rsidR="00190923" w:rsidRPr="00981405">
        <w:t xml:space="preserve"> </w:t>
      </w:r>
      <w:r w:rsidRPr="00981405">
        <w:t>regulate,</w:t>
      </w:r>
      <w:r w:rsidR="00190923" w:rsidRPr="00981405">
        <w:t xml:space="preserve"> </w:t>
      </w:r>
      <w:r w:rsidRPr="00981405">
        <w:t>and</w:t>
      </w:r>
      <w:r w:rsidR="00190923" w:rsidRPr="00981405">
        <w:t xml:space="preserve"> </w:t>
      </w:r>
      <w:r w:rsidRPr="00981405">
        <w:t>more</w:t>
      </w:r>
      <w:r w:rsidR="00190923" w:rsidRPr="00981405">
        <w:t xml:space="preserve"> </w:t>
      </w:r>
      <w:r w:rsidRPr="00981405">
        <w:t>damaging</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It</w:t>
      </w:r>
      <w:r w:rsidR="00190923" w:rsidRPr="00981405">
        <w:t xml:space="preserve"> </w:t>
      </w:r>
      <w:r w:rsidRPr="00981405">
        <w:t>was</w:t>
      </w:r>
      <w:r w:rsidR="00190923" w:rsidRPr="00981405">
        <w:t xml:space="preserve"> </w:t>
      </w:r>
      <w:r w:rsidRPr="00981405">
        <w:t>furthermore</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it</w:t>
      </w:r>
      <w:r w:rsidR="00190923" w:rsidRPr="00981405">
        <w:t xml:space="preserve"> </w:t>
      </w:r>
      <w:r w:rsidRPr="00981405">
        <w:t>might</w:t>
      </w:r>
      <w:r w:rsidR="00190923" w:rsidRPr="00981405">
        <w:t xml:space="preserve"> </w:t>
      </w:r>
      <w:r w:rsidRPr="00981405">
        <w:t>require</w:t>
      </w:r>
      <w:r w:rsidR="00190923" w:rsidRPr="00981405">
        <w:t xml:space="preserve"> </w:t>
      </w:r>
      <w:r w:rsidRPr="00981405">
        <w:t>some</w:t>
      </w:r>
      <w:r w:rsidR="00190923" w:rsidRPr="00981405">
        <w:t xml:space="preserve"> </w:t>
      </w:r>
      <w:r w:rsidRPr="00981405">
        <w:t>clarification</w:t>
      </w:r>
      <w:r w:rsidR="00190923" w:rsidRPr="00981405">
        <w:t xml:space="preserve"> </w:t>
      </w:r>
      <w:r w:rsidRPr="00981405">
        <w:t>to</w:t>
      </w:r>
      <w:r w:rsidR="00190923" w:rsidRPr="00981405">
        <w:t xml:space="preserve"> </w:t>
      </w:r>
      <w:r w:rsidRPr="00981405">
        <w:t>ensure</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only</w:t>
      </w:r>
      <w:r w:rsidR="00190923" w:rsidRPr="00981405">
        <w:t xml:space="preserve"> </w:t>
      </w:r>
      <w:r w:rsidRPr="00981405">
        <w:t>applied</w:t>
      </w:r>
      <w:r w:rsidR="00190923" w:rsidRPr="00981405">
        <w:t xml:space="preserve"> </w:t>
      </w:r>
      <w:r w:rsidRPr="00981405">
        <w:t>to</w:t>
      </w:r>
      <w:r w:rsidR="00190923" w:rsidRPr="00981405">
        <w:t xml:space="preserve"> </w:t>
      </w:r>
      <w:r w:rsidRPr="00981405">
        <w:t>situations</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protracted</w:t>
      </w:r>
      <w:r w:rsidR="00190923" w:rsidRPr="00981405">
        <w:t xml:space="preserve"> </w:t>
      </w:r>
      <w:r w:rsidRPr="00981405">
        <w:t>use</w:t>
      </w:r>
      <w:r w:rsidR="00190923" w:rsidRPr="00981405">
        <w:t xml:space="preserve"> </w:t>
      </w:r>
      <w:r w:rsidRPr="00981405">
        <w:t>of</w:t>
      </w:r>
      <w:r w:rsidR="00190923" w:rsidRPr="00981405">
        <w:t xml:space="preserve"> </w:t>
      </w:r>
      <w:r w:rsidRPr="00981405">
        <w:t>force</w:t>
      </w:r>
      <w:r w:rsidR="00190923" w:rsidRPr="00981405">
        <w:t xml:space="preserve"> </w:t>
      </w:r>
      <w:r w:rsidRPr="00981405">
        <w:t>reached</w:t>
      </w:r>
      <w:r w:rsidR="00190923" w:rsidRPr="00981405">
        <w:t xml:space="preserve"> </w:t>
      </w:r>
      <w:r w:rsidRPr="00981405">
        <w:t>a</w:t>
      </w:r>
      <w:r w:rsidR="00190923" w:rsidRPr="00981405">
        <w:t xml:space="preserve"> </w:t>
      </w:r>
      <w:r w:rsidRPr="00981405">
        <w:t>certain</w:t>
      </w:r>
      <w:r w:rsidR="00190923" w:rsidRPr="00981405">
        <w:t xml:space="preserve"> </w:t>
      </w:r>
      <w:r w:rsidRPr="00981405">
        <w:t>level</w:t>
      </w:r>
      <w:r w:rsidR="00190923" w:rsidRPr="00981405">
        <w:t xml:space="preserve"> </w:t>
      </w:r>
      <w:r w:rsidRPr="00981405">
        <w:t>of</w:t>
      </w:r>
      <w:r w:rsidR="00190923" w:rsidRPr="00981405">
        <w:t xml:space="preserve"> </w:t>
      </w:r>
      <w:r w:rsidRPr="00981405">
        <w:t>intensity.</w:t>
      </w:r>
      <w:r w:rsidR="00190923" w:rsidRPr="00981405">
        <w:t xml:space="preserve"> </w:t>
      </w:r>
      <w:r w:rsidRPr="00981405">
        <w:t>Situations</w:t>
      </w:r>
      <w:r w:rsidR="00190923" w:rsidRPr="00981405">
        <w:t xml:space="preserve"> </w:t>
      </w:r>
      <w:r w:rsidRPr="00981405">
        <w:t>of</w:t>
      </w:r>
      <w:r w:rsidR="00190923" w:rsidRPr="00981405">
        <w:t xml:space="preserve"> </w:t>
      </w:r>
      <w:r w:rsidRPr="00981405">
        <w:t>internal</w:t>
      </w:r>
      <w:r w:rsidR="00190923" w:rsidRPr="00981405">
        <w:t xml:space="preserve"> </w:t>
      </w:r>
      <w:r w:rsidRPr="00981405">
        <w:t>disturbances</w:t>
      </w:r>
      <w:r w:rsidR="00190923" w:rsidRPr="00981405">
        <w:t xml:space="preserve"> </w:t>
      </w:r>
      <w:r w:rsidRPr="00981405">
        <w:t>of</w:t>
      </w:r>
      <w:r w:rsidR="00190923" w:rsidRPr="00981405">
        <w:t xml:space="preserve"> </w:t>
      </w:r>
      <w:r w:rsidRPr="00981405">
        <w:t>a</w:t>
      </w:r>
      <w:r w:rsidR="00190923" w:rsidRPr="00981405">
        <w:t xml:space="preserve"> </w:t>
      </w:r>
      <w:r w:rsidRPr="00981405">
        <w:t>pure</w:t>
      </w:r>
      <w:r w:rsidR="00190923" w:rsidRPr="00981405">
        <w:t xml:space="preserve"> </w:t>
      </w:r>
      <w:r w:rsidRPr="00981405">
        <w:t>law-enforcement</w:t>
      </w:r>
      <w:r w:rsidR="00190923" w:rsidRPr="00981405">
        <w:t xml:space="preserve"> </w:t>
      </w:r>
      <w:r w:rsidRPr="00981405">
        <w:t>nature</w:t>
      </w:r>
      <w:r w:rsidR="00190923" w:rsidRPr="00981405">
        <w:t xml:space="preserve"> </w:t>
      </w:r>
      <w:r w:rsidRPr="00981405">
        <w:t>would</w:t>
      </w:r>
      <w:r w:rsidR="00190923" w:rsidRPr="00981405">
        <w:t xml:space="preserve"> </w:t>
      </w:r>
      <w:r w:rsidRPr="00981405">
        <w:t>thus</w:t>
      </w:r>
      <w:r w:rsidR="00190923" w:rsidRPr="00981405">
        <w:t xml:space="preserve"> </w:t>
      </w:r>
      <w:r w:rsidRPr="00981405">
        <w:t>be</w:t>
      </w:r>
      <w:r w:rsidR="00190923" w:rsidRPr="00981405">
        <w:t xml:space="preserve"> </w:t>
      </w:r>
      <w:r w:rsidRPr="00981405">
        <w:t>excluded</w:t>
      </w:r>
      <w:r w:rsidR="00190923" w:rsidRPr="00981405">
        <w:t xml:space="preserve"> </w:t>
      </w:r>
      <w:r w:rsidRPr="00981405">
        <w:t>from</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topic.</w:t>
      </w:r>
      <w:r w:rsidR="00190923" w:rsidRPr="00981405">
        <w:t xml:space="preserve"> </w:t>
      </w:r>
      <w:r w:rsidRPr="00981405">
        <w:t>The</w:t>
      </w:r>
      <w:r w:rsidR="00190923" w:rsidRPr="00981405">
        <w:t xml:space="preserve"> </w:t>
      </w:r>
      <w:r w:rsidRPr="00981405">
        <w:t>broad</w:t>
      </w:r>
      <w:r w:rsidR="00190923" w:rsidRPr="00981405">
        <w:t xml:space="preserve"> </w:t>
      </w:r>
      <w:r w:rsidRPr="00981405">
        <w:t>manner</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environment</w:t>
      </w:r>
      <w:r w:rsidR="00B92E2C" w:rsidRPr="00981405">
        <w:t>”</w:t>
      </w:r>
      <w:r w:rsidR="00190923" w:rsidRPr="00981405">
        <w:t xml:space="preserve"> </w:t>
      </w:r>
      <w:r w:rsidRPr="00981405">
        <w:t>had</w:t>
      </w:r>
      <w:r w:rsidR="00190923" w:rsidRPr="00981405">
        <w:t xml:space="preserve"> </w:t>
      </w:r>
      <w:r w:rsidRPr="00981405">
        <w:t>been</w:t>
      </w:r>
      <w:r w:rsidR="00190923" w:rsidRPr="00981405">
        <w:t xml:space="preserve"> </w:t>
      </w:r>
      <w:r w:rsidRPr="00981405">
        <w:t>defined</w:t>
      </w:r>
      <w:r w:rsidR="00190923" w:rsidRPr="00981405">
        <w:t xml:space="preserve"> </w:t>
      </w:r>
      <w:r w:rsidRPr="00981405">
        <w:t>was</w:t>
      </w:r>
      <w:r w:rsidR="00190923" w:rsidRPr="00981405">
        <w:t xml:space="preserve"> </w:t>
      </w:r>
      <w:r w:rsidRPr="00981405">
        <w:t>questioned</w:t>
      </w:r>
      <w:r w:rsidR="00190923" w:rsidRPr="00981405">
        <w:t xml:space="preserve"> </w:t>
      </w:r>
      <w:r w:rsidRPr="00981405">
        <w:t>by</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and</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protection</w:t>
      </w:r>
      <w:r w:rsidR="00190923" w:rsidRPr="00981405">
        <w:t xml:space="preserve"> </w:t>
      </w:r>
      <w:r w:rsidRPr="00981405">
        <w:t>should</w:t>
      </w:r>
      <w:r w:rsidR="00190923" w:rsidRPr="00981405">
        <w:t xml:space="preserve"> </w:t>
      </w:r>
      <w:r w:rsidRPr="00981405">
        <w:t>be</w:t>
      </w:r>
      <w:r w:rsidR="00190923" w:rsidRPr="00981405">
        <w:t xml:space="preserve"> </w:t>
      </w:r>
      <w:r w:rsidRPr="00981405">
        <w:t>limited</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relevant</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situations.</w:t>
      </w:r>
      <w:r w:rsidR="00190923" w:rsidRPr="00981405">
        <w:t xml:space="preserve"> </w:t>
      </w:r>
      <w:r w:rsidRPr="00981405">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possible</w:t>
      </w:r>
      <w:r w:rsidR="00190923" w:rsidRPr="00981405">
        <w:t xml:space="preserve"> </w:t>
      </w:r>
      <w:r w:rsidRPr="00981405">
        <w:t>to</w:t>
      </w:r>
      <w:r w:rsidR="00190923" w:rsidRPr="00981405">
        <w:t xml:space="preserve"> </w:t>
      </w:r>
      <w:r w:rsidRPr="00981405">
        <w:t>borrow</w:t>
      </w:r>
      <w:r w:rsidR="00190923" w:rsidRPr="00981405">
        <w:t xml:space="preserve"> </w:t>
      </w:r>
      <w:r w:rsidRPr="00981405">
        <w:t>a</w:t>
      </w:r>
      <w:r w:rsidR="00190923" w:rsidRPr="00981405">
        <w:t xml:space="preserve"> </w:t>
      </w:r>
      <w:r w:rsidRPr="00981405">
        <w:t>definition</w:t>
      </w:r>
      <w:r w:rsidR="00190923" w:rsidRPr="00981405">
        <w:t xml:space="preserve"> </w:t>
      </w:r>
      <w:r w:rsidRPr="00981405">
        <w:t>from</w:t>
      </w:r>
      <w:r w:rsidR="00190923" w:rsidRPr="00981405">
        <w:t xml:space="preserve"> </w:t>
      </w:r>
      <w:r w:rsidRPr="00981405">
        <w:t>an</w:t>
      </w:r>
      <w:r w:rsidR="00190923" w:rsidRPr="00981405">
        <w:t xml:space="preserve"> </w:t>
      </w:r>
      <w:r w:rsidRPr="00981405">
        <w:t>instrument</w:t>
      </w:r>
      <w:r w:rsidR="00190923" w:rsidRPr="00981405">
        <w:t xml:space="preserve"> </w:t>
      </w:r>
      <w:r w:rsidRPr="00981405">
        <w:t>dealing</w:t>
      </w:r>
      <w:r w:rsidR="00190923" w:rsidRPr="00981405">
        <w:t xml:space="preserve"> </w:t>
      </w:r>
      <w:r w:rsidRPr="00981405">
        <w:t>with</w:t>
      </w:r>
      <w:r w:rsidR="00190923" w:rsidRPr="00981405">
        <w:t xml:space="preserve"> </w:t>
      </w:r>
      <w:r w:rsidRPr="00981405">
        <w:t>peacetime</w:t>
      </w:r>
      <w:r w:rsidR="00190923" w:rsidRPr="00981405">
        <w:t xml:space="preserve"> </w:t>
      </w:r>
      <w:r w:rsidRPr="00981405">
        <w:t>situations</w:t>
      </w:r>
      <w:r w:rsidR="00190923" w:rsidRPr="00981405">
        <w:t xml:space="preserve"> </w:t>
      </w:r>
      <w:r w:rsidRPr="00981405">
        <w:t>and</w:t>
      </w:r>
      <w:r w:rsidR="00190923" w:rsidRPr="00981405">
        <w:t xml:space="preserve"> </w:t>
      </w:r>
      <w:r w:rsidRPr="00981405">
        <w:t>simply</w:t>
      </w:r>
      <w:r w:rsidR="00190923" w:rsidRPr="00981405">
        <w:t xml:space="preserve"> </w:t>
      </w:r>
      <w:r w:rsidRPr="00981405">
        <w:t>transpose</w:t>
      </w:r>
      <w:r w:rsidR="00190923" w:rsidRPr="00981405">
        <w:t xml:space="preserve"> </w:t>
      </w:r>
      <w:r w:rsidRPr="00981405">
        <w:t>it</w:t>
      </w:r>
      <w:r w:rsidR="00190923" w:rsidRPr="00981405">
        <w:t xml:space="preserve"> </w:t>
      </w:r>
      <w:r w:rsidRPr="00981405">
        <w:t>to</w:t>
      </w:r>
      <w:r w:rsidR="00190923" w:rsidRPr="00981405">
        <w:t xml:space="preserve"> </w:t>
      </w:r>
      <w:r w:rsidRPr="00981405">
        <w:t>situations</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p>
    <w:p w:rsidR="00590FA7" w:rsidRPr="00D97463" w:rsidRDefault="00590FA7" w:rsidP="00D97463">
      <w:pPr>
        <w:pStyle w:val="SingleTxt"/>
        <w:spacing w:after="0" w:line="120" w:lineRule="exact"/>
        <w:rPr>
          <w:sz w:val="10"/>
        </w:rPr>
      </w:pPr>
    </w:p>
    <w:p w:rsidR="00397032" w:rsidRPr="00D97463" w:rsidRDefault="00397032" w:rsidP="00D97463">
      <w:pPr>
        <w:pStyle w:val="H23"/>
        <w:ind w:right="1260"/>
      </w:pPr>
      <w:r w:rsidRPr="00D97463">
        <w:tab/>
      </w:r>
      <w:bookmarkStart w:id="138" w:name="_Toc427938128"/>
      <w:r w:rsidRPr="00D97463">
        <w:t>(e)</w:t>
      </w:r>
      <w:r w:rsidR="00190923" w:rsidRPr="00D97463">
        <w:t xml:space="preserve"> </w:t>
      </w:r>
      <w:r w:rsidRPr="00D97463">
        <w:tab/>
        <w:t>Draft</w:t>
      </w:r>
      <w:r w:rsidR="00190923" w:rsidRPr="00D97463">
        <w:t xml:space="preserve"> </w:t>
      </w:r>
      <w:r w:rsidRPr="00D97463">
        <w:t>principle</w:t>
      </w:r>
      <w:r w:rsidR="00190923" w:rsidRPr="00D97463">
        <w:t xml:space="preserve"> </w:t>
      </w:r>
      <w:r w:rsidRPr="00D97463">
        <w:t>1</w:t>
      </w:r>
      <w:bookmarkEnd w:id="138"/>
    </w:p>
    <w:p w:rsidR="00590FA7" w:rsidRPr="00D97463" w:rsidRDefault="00590FA7" w:rsidP="00D97463">
      <w:pPr>
        <w:pStyle w:val="SingleTxt"/>
        <w:spacing w:after="0" w:line="120" w:lineRule="exact"/>
        <w:rPr>
          <w:sz w:val="10"/>
        </w:rPr>
      </w:pPr>
    </w:p>
    <w:p w:rsidR="00397032" w:rsidRPr="00981405" w:rsidRDefault="00397032" w:rsidP="00D97463">
      <w:pPr>
        <w:pStyle w:val="SingleTxt"/>
      </w:pPr>
      <w:r w:rsidRPr="00981405">
        <w:t>154.</w:t>
      </w:r>
      <w:r w:rsidRPr="00981405">
        <w:tab/>
        <w:t>Whereas</w:t>
      </w:r>
      <w:r w:rsidR="00190923" w:rsidRPr="00981405">
        <w:t xml:space="preserve"> </w:t>
      </w:r>
      <w:r w:rsidRPr="00981405">
        <w:t>some</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concern</w:t>
      </w:r>
      <w:r w:rsidR="00190923" w:rsidRPr="00981405">
        <w:t xml:space="preserve"> </w:t>
      </w:r>
      <w:r w:rsidRPr="00981405">
        <w:t>over</w:t>
      </w:r>
      <w:r w:rsidR="00190923" w:rsidRPr="00981405">
        <w:t xml:space="preserve"> </w:t>
      </w:r>
      <w:r w:rsidRPr="00981405">
        <w:t>the</w:t>
      </w:r>
      <w:r w:rsidR="00190923" w:rsidRPr="00981405">
        <w:t xml:space="preserve"> </w:t>
      </w:r>
      <w:r w:rsidRPr="00981405">
        <w:t>labelling</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as</w:t>
      </w:r>
      <w:r w:rsidR="00190923" w:rsidRPr="00981405">
        <w:t xml:space="preserve"> </w:t>
      </w:r>
      <w:r w:rsidR="00B92E2C" w:rsidRPr="00981405">
        <w:t>“</w:t>
      </w:r>
      <w:r w:rsidRPr="00981405">
        <w:t>civilian</w:t>
      </w:r>
      <w:r w:rsidR="00190923" w:rsidRPr="00981405">
        <w:t xml:space="preserve"> </w:t>
      </w:r>
      <w:r w:rsidRPr="00981405">
        <w:t>in</w:t>
      </w:r>
      <w:r w:rsidR="00190923" w:rsidRPr="00981405">
        <w:t xml:space="preserve"> </w:t>
      </w:r>
      <w:r w:rsidRPr="00981405">
        <w:t>nature</w:t>
      </w:r>
      <w:r w:rsidR="00B92E2C" w:rsidRPr="00981405">
        <w:t>”</w:t>
      </w:r>
      <w:r w:rsidRPr="00981405">
        <w:t>,</w:t>
      </w:r>
      <w:r w:rsidR="00190923" w:rsidRPr="00981405">
        <w:t xml:space="preserve"> </w:t>
      </w:r>
      <w:r w:rsidRPr="00981405">
        <w:t>which</w:t>
      </w:r>
      <w:r w:rsidR="00190923" w:rsidRPr="00981405">
        <w:t xml:space="preserve"> </w:t>
      </w:r>
      <w:r w:rsidRPr="00981405">
        <w:lastRenderedPageBreak/>
        <w:t>they</w:t>
      </w:r>
      <w:r w:rsidR="00190923" w:rsidRPr="00981405">
        <w:t xml:space="preserve"> </w:t>
      </w:r>
      <w:r w:rsidRPr="00981405">
        <w:t>considered</w:t>
      </w:r>
      <w:r w:rsidR="00190923" w:rsidRPr="00981405">
        <w:t xml:space="preserve"> </w:t>
      </w:r>
      <w:r w:rsidRPr="00981405">
        <w:t>was</w:t>
      </w:r>
      <w:r w:rsidR="00190923" w:rsidRPr="00981405">
        <w:t xml:space="preserve"> </w:t>
      </w:r>
      <w:r w:rsidRPr="00981405">
        <w:t>too</w:t>
      </w:r>
      <w:r w:rsidR="00190923" w:rsidRPr="00981405">
        <w:t xml:space="preserve"> </w:t>
      </w:r>
      <w:r w:rsidRPr="00981405">
        <w:t>broad</w:t>
      </w:r>
      <w:r w:rsidR="00190923" w:rsidRPr="00981405">
        <w:t xml:space="preserve"> </w:t>
      </w:r>
      <w:r w:rsidRPr="00981405">
        <w:t>and</w:t>
      </w:r>
      <w:r w:rsidR="00190923" w:rsidRPr="00981405">
        <w:t xml:space="preserve"> </w:t>
      </w:r>
      <w:r w:rsidRPr="00981405">
        <w:t>ambiguous.</w:t>
      </w:r>
      <w:r w:rsidR="00190923" w:rsidRPr="00981405">
        <w:t xml:space="preserve"> </w:t>
      </w:r>
      <w:r w:rsidRPr="00981405">
        <w:t>The</w:t>
      </w:r>
      <w:r w:rsidR="00190923" w:rsidRPr="00981405">
        <w:t xml:space="preserve"> </w:t>
      </w:r>
      <w:r w:rsidRPr="00981405">
        <w:t>proposition</w:t>
      </w:r>
      <w:r w:rsidR="00190923" w:rsidRPr="00981405">
        <w:t xml:space="preserve"> </w:t>
      </w:r>
      <w:r w:rsidRPr="00981405">
        <w:t>seemed</w:t>
      </w:r>
      <w:r w:rsidR="00190923" w:rsidRPr="00981405">
        <w:t xml:space="preserve"> </w:t>
      </w:r>
      <w:r w:rsidRPr="00981405">
        <w:t>to</w:t>
      </w:r>
      <w:r w:rsidR="00190923" w:rsidRPr="00981405">
        <w:t xml:space="preserve"> </w:t>
      </w:r>
      <w:r w:rsidRPr="00981405">
        <w:t>imply</w:t>
      </w:r>
      <w:r w:rsidR="00190923" w:rsidRPr="00981405">
        <w:t xml:space="preserve"> </w:t>
      </w:r>
      <w:r w:rsidRPr="00981405">
        <w:t>an</w:t>
      </w:r>
      <w:r w:rsidR="00190923" w:rsidRPr="00981405">
        <w:t xml:space="preserve"> </w:t>
      </w:r>
      <w:r w:rsidRPr="00981405">
        <w:t>equation</w:t>
      </w:r>
      <w:r w:rsidR="00190923" w:rsidRPr="00981405">
        <w:t xml:space="preserve"> </w:t>
      </w:r>
      <w:r w:rsidRPr="00981405">
        <w:t>between</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with</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w:t>
      </w:r>
      <w:r w:rsidR="00190923" w:rsidRPr="00981405">
        <w:t xml:space="preserve"> </w:t>
      </w:r>
      <w:r w:rsidR="00B92E2C" w:rsidRPr="00981405">
        <w:t>“</w:t>
      </w:r>
      <w:r w:rsidRPr="00981405">
        <w:t>civilian</w:t>
      </w:r>
      <w:r w:rsidR="00190923" w:rsidRPr="00981405">
        <w:t xml:space="preserve"> </w:t>
      </w:r>
      <w:r w:rsidRPr="00981405">
        <w:t>object</w:t>
      </w:r>
      <w:r w:rsidR="00B92E2C" w:rsidRPr="00981405">
        <w:t>”</w:t>
      </w:r>
      <w:r w:rsidRPr="00981405">
        <w:t>,</w:t>
      </w:r>
      <w:r w:rsidR="00190923" w:rsidRPr="00981405">
        <w:t xml:space="preserve"> </w:t>
      </w:r>
      <w:r w:rsidRPr="00981405">
        <w:t>which</w:t>
      </w:r>
      <w:r w:rsidR="00190923" w:rsidRPr="00981405">
        <w:t xml:space="preserve"> </w:t>
      </w:r>
      <w:r w:rsidRPr="00981405">
        <w:t>would</w:t>
      </w:r>
      <w:r w:rsidR="00190923" w:rsidRPr="00981405">
        <w:t xml:space="preserve"> </w:t>
      </w:r>
      <w:r w:rsidRPr="00981405">
        <w:t>lead</w:t>
      </w:r>
      <w:r w:rsidR="00190923" w:rsidRPr="00981405">
        <w:t xml:space="preserve"> </w:t>
      </w:r>
      <w:r w:rsidRPr="00981405">
        <w:t>to</w:t>
      </w:r>
      <w:r w:rsidR="00190923" w:rsidRPr="00981405">
        <w:t xml:space="preserve"> </w:t>
      </w:r>
      <w:r w:rsidRPr="00981405">
        <w:t>significant</w:t>
      </w:r>
      <w:r w:rsidR="00190923" w:rsidRPr="00981405">
        <w:t xml:space="preserve"> </w:t>
      </w:r>
      <w:r w:rsidRPr="00981405">
        <w:t>difficulties</w:t>
      </w:r>
      <w:r w:rsidR="00190923" w:rsidRPr="00981405">
        <w:t xml:space="preserve"> </w:t>
      </w:r>
      <w:r w:rsidRPr="00981405">
        <w:t>when</w:t>
      </w:r>
      <w:r w:rsidR="00190923" w:rsidRPr="00981405">
        <w:t xml:space="preserve"> </w:t>
      </w:r>
      <w:r w:rsidRPr="00981405">
        <w:t>applying</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distinction.</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did</w:t>
      </w:r>
      <w:r w:rsidR="00190923" w:rsidRPr="00981405">
        <w:t xml:space="preserve"> </w:t>
      </w:r>
      <w:r w:rsidRPr="00981405">
        <w:t>not</w:t>
      </w:r>
      <w:r w:rsidR="00190923" w:rsidRPr="00981405">
        <w:t xml:space="preserve"> </w:t>
      </w:r>
      <w:r w:rsidRPr="00981405">
        <w:t>address</w:t>
      </w:r>
      <w:r w:rsidR="00190923" w:rsidRPr="00981405">
        <w:t xml:space="preserve"> </w:t>
      </w:r>
      <w:r w:rsidRPr="00981405">
        <w:t>protection</w:t>
      </w:r>
      <w:r w:rsidR="00190923" w:rsidRPr="00981405">
        <w:t xml:space="preserve"> </w:t>
      </w:r>
      <w:r w:rsidRPr="00981405">
        <w:t>of</w:t>
      </w:r>
      <w:r w:rsidR="00190923" w:rsidRPr="00981405">
        <w:t xml:space="preserve"> </w:t>
      </w:r>
      <w:r w:rsidRPr="00981405">
        <w:t>persons</w:t>
      </w:r>
      <w:r w:rsidR="00190923" w:rsidRPr="00981405">
        <w:t xml:space="preserve"> </w:t>
      </w:r>
      <w:r w:rsidRPr="00981405">
        <w:t>or</w:t>
      </w:r>
      <w:r w:rsidR="00190923" w:rsidRPr="00981405">
        <w:t xml:space="preserve"> </w:t>
      </w:r>
      <w:r w:rsidRPr="00981405">
        <w:t>things</w:t>
      </w:r>
      <w:r w:rsidR="00190923" w:rsidRPr="00981405">
        <w:t xml:space="preserve"> </w:t>
      </w:r>
      <w:r w:rsidRPr="00981405">
        <w:t>in</w:t>
      </w:r>
      <w:r w:rsidR="00190923" w:rsidRPr="00981405">
        <w:t xml:space="preserve"> </w:t>
      </w:r>
      <w:r w:rsidRPr="00981405">
        <w:t>the</w:t>
      </w:r>
      <w:r w:rsidR="00190923" w:rsidRPr="00981405">
        <w:t xml:space="preserve"> </w:t>
      </w:r>
      <w:r w:rsidRPr="00981405">
        <w:t>abstract.</w:t>
      </w:r>
      <w:r w:rsidR="00190923" w:rsidRPr="00981405">
        <w:t xml:space="preserve"> </w:t>
      </w:r>
      <w:r w:rsidRPr="00981405">
        <w:t>It</w:t>
      </w:r>
      <w:r w:rsidR="00190923" w:rsidRPr="00981405">
        <w:t xml:space="preserve"> </w:t>
      </w:r>
      <w:r w:rsidRPr="00981405">
        <w:t>would</w:t>
      </w:r>
      <w:r w:rsidR="00190923" w:rsidRPr="00981405">
        <w:t xml:space="preserve"> </w:t>
      </w:r>
      <w:r w:rsidRPr="00981405">
        <w:t>therefore</w:t>
      </w:r>
      <w:r w:rsidR="00190923" w:rsidRPr="00981405">
        <w:t xml:space="preserve"> </w:t>
      </w:r>
      <w:r w:rsidRPr="00981405">
        <w:t>be</w:t>
      </w:r>
      <w:r w:rsidR="00190923" w:rsidRPr="00981405">
        <w:t xml:space="preserve"> </w:t>
      </w:r>
      <w:r w:rsidRPr="00981405">
        <w:t>more</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express</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environmental</w:t>
      </w:r>
      <w:r w:rsidR="00190923" w:rsidRPr="00981405">
        <w:t xml:space="preserve"> </w:t>
      </w:r>
      <w:r w:rsidRPr="00981405">
        <w:t>protection</w:t>
      </w:r>
      <w:r w:rsidR="00190923" w:rsidRPr="00981405">
        <w:t xml:space="preserve"> </w:t>
      </w:r>
      <w:r w:rsidRPr="00981405">
        <w:t>in</w:t>
      </w:r>
      <w:r w:rsidR="00190923" w:rsidRPr="00981405">
        <w:t xml:space="preserve"> </w:t>
      </w:r>
      <w:r w:rsidRPr="00981405">
        <w:t>terms</w:t>
      </w:r>
      <w:r w:rsidR="00190923" w:rsidRPr="00981405">
        <w:t xml:space="preserve"> </w:t>
      </w:r>
      <w:r w:rsidRPr="00981405">
        <w:t>of</w:t>
      </w:r>
      <w:r w:rsidR="00190923" w:rsidRPr="00981405">
        <w:t xml:space="preserve"> </w:t>
      </w:r>
      <w:r w:rsidRPr="00981405">
        <w:t>its</w:t>
      </w:r>
      <w:r w:rsidR="00190923" w:rsidRPr="00981405">
        <w:t xml:space="preserve"> </w:t>
      </w:r>
      <w:r w:rsidRPr="00981405">
        <w:t>specific</w:t>
      </w:r>
      <w:r w:rsidR="00190923" w:rsidRPr="00981405">
        <w:t xml:space="preserve"> </w:t>
      </w:r>
      <w:r w:rsidRPr="00981405">
        <w:t>parts</w:t>
      </w:r>
      <w:r w:rsidR="00190923" w:rsidRPr="00981405">
        <w:t xml:space="preserve"> </w:t>
      </w:r>
      <w:r w:rsidRPr="00981405">
        <w:t>or</w:t>
      </w:r>
      <w:r w:rsidR="00190923" w:rsidRPr="00981405">
        <w:t xml:space="preserve"> </w:t>
      </w:r>
      <w:r w:rsidRPr="00981405">
        <w:t>features.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it</w:t>
      </w:r>
      <w:r w:rsidR="00190923" w:rsidRPr="00981405">
        <w:t xml:space="preserve"> </w:t>
      </w:r>
      <w:r w:rsidRPr="00981405">
        <w:t>be</w:t>
      </w:r>
      <w:r w:rsidR="00190923" w:rsidRPr="00981405">
        <w:t xml:space="preserve"> </w:t>
      </w:r>
      <w:r w:rsidRPr="00981405">
        <w:t>defined</w:t>
      </w:r>
      <w:r w:rsidR="00190923" w:rsidRPr="00981405">
        <w:t xml:space="preserve"> </w:t>
      </w:r>
      <w:r w:rsidRPr="00981405">
        <w:t>as</w:t>
      </w:r>
      <w:r w:rsidR="00190923" w:rsidRPr="00981405">
        <w:t xml:space="preserve"> </w:t>
      </w:r>
      <w:r w:rsidRPr="00981405">
        <w:t>a</w:t>
      </w:r>
      <w:r w:rsidR="00190923" w:rsidRPr="00981405">
        <w:t xml:space="preserve"> </w:t>
      </w:r>
      <w:r w:rsidRPr="00981405">
        <w:t>civilian</w:t>
      </w:r>
      <w:r w:rsidR="00190923" w:rsidRPr="00981405">
        <w:t xml:space="preserve"> </w:t>
      </w:r>
      <w:r w:rsidRPr="00981405">
        <w:t>object.</w:t>
      </w:r>
      <w:r w:rsidR="00190923" w:rsidRPr="00981405">
        <w:t xml:space="preserve"> </w:t>
      </w:r>
      <w:r w:rsidRPr="00981405">
        <w:t>Such</w:t>
      </w:r>
      <w:r w:rsidR="00190923" w:rsidRPr="00981405">
        <w:t xml:space="preserve"> </w:t>
      </w:r>
      <w:r w:rsidRPr="00981405">
        <w:t>an</w:t>
      </w:r>
      <w:r w:rsidR="00190923" w:rsidRPr="00981405">
        <w:t xml:space="preserve"> </w:t>
      </w:r>
      <w:r w:rsidRPr="00981405">
        <w:t>approach</w:t>
      </w:r>
      <w:r w:rsidR="00190923" w:rsidRPr="00981405">
        <w:t xml:space="preserve"> </w:t>
      </w:r>
      <w:r w:rsidRPr="00981405">
        <w:t>would</w:t>
      </w:r>
      <w:r w:rsidR="00190923" w:rsidRPr="00981405">
        <w:t xml:space="preserve"> </w:t>
      </w:r>
      <w:r w:rsidRPr="00981405">
        <w:t>enable</w:t>
      </w:r>
      <w:r w:rsidR="00190923" w:rsidRPr="00981405">
        <w:t xml:space="preserve"> </w:t>
      </w:r>
      <w:r w:rsidRPr="00981405">
        <w:t>a</w:t>
      </w:r>
      <w:r w:rsidR="00190923" w:rsidRPr="00981405">
        <w:t xml:space="preserve"> </w:t>
      </w:r>
      <w:r w:rsidRPr="00981405">
        <w:t>classification</w:t>
      </w:r>
      <w:r w:rsidR="00190923" w:rsidRPr="00981405">
        <w:t xml:space="preserve"> </w:t>
      </w:r>
      <w:r w:rsidRPr="00981405">
        <w:t>of</w:t>
      </w:r>
      <w:r w:rsidR="00190923" w:rsidRPr="00981405">
        <w:t xml:space="preserve"> </w:t>
      </w:r>
      <w:r w:rsidRPr="00981405">
        <w:t>protection</w:t>
      </w:r>
      <w:r w:rsidR="00190923" w:rsidRPr="00981405">
        <w:t xml:space="preserve"> </w:t>
      </w:r>
      <w:r w:rsidRPr="00981405">
        <w:t>under</w:t>
      </w:r>
      <w:r w:rsidR="00190923" w:rsidRPr="00981405">
        <w:t xml:space="preserve"> </w:t>
      </w:r>
      <w:r w:rsidRPr="00981405">
        <w:t>the</w:t>
      </w:r>
      <w:r w:rsidR="00190923" w:rsidRPr="00981405">
        <w:t xml:space="preserve"> </w:t>
      </w:r>
      <w:r w:rsidRPr="00981405">
        <w:t>rules</w:t>
      </w:r>
      <w:r w:rsidR="00190923" w:rsidRPr="00981405">
        <w:t xml:space="preserve"> </w:t>
      </w:r>
      <w:r w:rsidRPr="00981405">
        <w:t>applicable</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civilian</w:t>
      </w:r>
      <w:r w:rsidR="00190923" w:rsidRPr="00981405">
        <w:t xml:space="preserve"> </w:t>
      </w:r>
      <w:r w:rsidRPr="00981405">
        <w:t>objects,</w:t>
      </w:r>
      <w:r w:rsidR="00190923" w:rsidRPr="00981405">
        <w:t xml:space="preserve"> </w:t>
      </w:r>
      <w:r w:rsidRPr="00981405">
        <w:t>though</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such</w:t>
      </w:r>
      <w:r w:rsidR="00190923" w:rsidRPr="00981405">
        <w:t xml:space="preserve"> </w:t>
      </w:r>
      <w:r w:rsidRPr="00981405">
        <w:t>rules</w:t>
      </w:r>
      <w:r w:rsidR="00190923" w:rsidRPr="00981405">
        <w:t xml:space="preserve"> </w:t>
      </w:r>
      <w:r w:rsidRPr="00981405">
        <w:t>could</w:t>
      </w:r>
      <w:r w:rsidR="00190923" w:rsidRPr="00981405">
        <w:t xml:space="preserve"> </w:t>
      </w:r>
      <w:r w:rsidRPr="00981405">
        <w:t>not</w:t>
      </w:r>
      <w:r w:rsidR="00190923" w:rsidRPr="00981405">
        <w:t xml:space="preserve"> </w:t>
      </w:r>
      <w:r w:rsidRPr="00981405">
        <w:t>automatically</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in</w:t>
      </w:r>
      <w:r w:rsidR="00190923" w:rsidRPr="00981405">
        <w:t xml:space="preserve"> </w:t>
      </w:r>
      <w:r w:rsidRPr="00981405">
        <w:t>which</w:t>
      </w:r>
      <w:r w:rsidR="00190923" w:rsidRPr="00981405">
        <w:t xml:space="preserve"> </w:t>
      </w:r>
      <w:r w:rsidRPr="00981405">
        <w:t>a</w:t>
      </w:r>
      <w:r w:rsidR="00190923" w:rsidRPr="00981405">
        <w:t xml:space="preserve"> </w:t>
      </w:r>
      <w:r w:rsidRPr="00981405">
        <w:t>civilian</w:t>
      </w:r>
      <w:r w:rsidR="00190923" w:rsidRPr="00981405">
        <w:t xml:space="preserve"> </w:t>
      </w:r>
      <w:r w:rsidRPr="00981405">
        <w:t>object</w:t>
      </w:r>
      <w:r w:rsidR="00190923" w:rsidRPr="00981405">
        <w:t xml:space="preserve"> </w:t>
      </w:r>
      <w:r w:rsidRPr="00981405">
        <w:t>becomes</w:t>
      </w:r>
      <w:r w:rsidR="00190923" w:rsidRPr="00981405">
        <w:t xml:space="preserve"> </w:t>
      </w:r>
      <w:r w:rsidRPr="00981405">
        <w:t>a</w:t>
      </w:r>
      <w:r w:rsidR="00190923" w:rsidRPr="00981405">
        <w:t xml:space="preserve"> </w:t>
      </w:r>
      <w:r w:rsidRPr="00981405">
        <w:t>military</w:t>
      </w:r>
      <w:r w:rsidR="00190923" w:rsidRPr="00981405">
        <w:t xml:space="preserve"> </w:t>
      </w:r>
      <w:r w:rsidRPr="00981405">
        <w:t>objective,</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whether</w:t>
      </w:r>
      <w:r w:rsidR="00190923" w:rsidRPr="00981405">
        <w:t xml:space="preserve"> </w:t>
      </w:r>
      <w:r w:rsidRPr="00981405">
        <w:t>it</w:t>
      </w:r>
      <w:r w:rsidR="00190923" w:rsidRPr="00981405">
        <w:t xml:space="preserve"> </w:t>
      </w:r>
      <w:r w:rsidRPr="00981405">
        <w:t>becomes</w:t>
      </w:r>
      <w:r w:rsidR="00190923" w:rsidRPr="00981405">
        <w:t xml:space="preserve"> </w:t>
      </w:r>
      <w:r w:rsidRPr="00981405">
        <w:t>such</w:t>
      </w:r>
      <w:r w:rsidR="00190923" w:rsidRPr="00981405">
        <w:t xml:space="preserve"> </w:t>
      </w:r>
      <w:r w:rsidRPr="00981405">
        <w:t>objective</w:t>
      </w:r>
      <w:r w:rsidR="00190923" w:rsidRPr="00981405">
        <w:t xml:space="preserve"> </w:t>
      </w:r>
      <w:r w:rsidRPr="00981405">
        <w:t>in</w:t>
      </w:r>
      <w:r w:rsidR="00190923" w:rsidRPr="00981405">
        <w:t xml:space="preserve"> </w:t>
      </w:r>
      <w:r w:rsidRPr="00981405">
        <w:t>whole</w:t>
      </w:r>
      <w:r w:rsidR="00190923" w:rsidRPr="00981405">
        <w:t xml:space="preserve"> </w:t>
      </w:r>
      <w:r w:rsidRPr="00981405">
        <w:t>or</w:t>
      </w:r>
      <w:r w:rsidR="00190923" w:rsidRPr="00981405">
        <w:t xml:space="preserve"> </w:t>
      </w:r>
      <w:r w:rsidRPr="00981405">
        <w:t>in</w:t>
      </w:r>
      <w:r w:rsidR="00190923" w:rsidRPr="00981405">
        <w:t xml:space="preserve"> </w:t>
      </w:r>
      <w:r w:rsidRPr="00981405">
        <w:t>part,</w:t>
      </w:r>
      <w:r w:rsidR="00190923" w:rsidRPr="00981405">
        <w:t xml:space="preserve"> </w:t>
      </w:r>
      <w:r w:rsidRPr="00981405">
        <w:t>required</w:t>
      </w:r>
      <w:r w:rsidR="00190923" w:rsidRPr="00981405">
        <w:t xml:space="preserve"> </w:t>
      </w:r>
      <w:r w:rsidRPr="00981405">
        <w:t>clarification.</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emphasized</w:t>
      </w:r>
      <w:r w:rsidR="00190923" w:rsidRPr="00981405">
        <w:t xml:space="preserve"> </w:t>
      </w:r>
      <w:r w:rsidRPr="00981405">
        <w:t>that</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w:t>
      </w:r>
      <w:r w:rsidR="00190923" w:rsidRPr="00981405">
        <w:t xml:space="preserve"> </w:t>
      </w:r>
      <w:r w:rsidRPr="00981405">
        <w:t>civilian</w:t>
      </w:r>
      <w:r w:rsidR="00190923" w:rsidRPr="00981405">
        <w:t xml:space="preserve"> </w:t>
      </w:r>
      <w:r w:rsidR="00B92E2C" w:rsidRPr="00981405">
        <w:t>“</w:t>
      </w:r>
      <w:r w:rsidRPr="00981405">
        <w:t>object</w:t>
      </w:r>
      <w:r w:rsidR="00B92E2C" w:rsidRPr="00981405">
        <w:t>”</w:t>
      </w:r>
      <w:r w:rsidR="00190923" w:rsidRPr="00981405">
        <w:t xml:space="preserve"> </w:t>
      </w:r>
      <w:r w:rsidRPr="00981405">
        <w:t>although</w:t>
      </w:r>
      <w:r w:rsidR="00190923" w:rsidRPr="00981405">
        <w:t xml:space="preserve"> </w:t>
      </w:r>
      <w:r w:rsidRPr="00981405">
        <w:t>it</w:t>
      </w:r>
      <w:r w:rsidR="00190923" w:rsidRPr="00981405">
        <w:t xml:space="preserve"> </w:t>
      </w:r>
      <w:r w:rsidRPr="00981405">
        <w:t>included</w:t>
      </w:r>
      <w:r w:rsidR="00190923" w:rsidRPr="00981405">
        <w:t xml:space="preserve"> </w:t>
      </w:r>
      <w:r w:rsidRPr="00981405">
        <w:t>such</w:t>
      </w:r>
      <w:r w:rsidR="00190923" w:rsidRPr="00981405">
        <w:t xml:space="preserve"> </w:t>
      </w:r>
      <w:r w:rsidRPr="00981405">
        <w:t>objects.</w:t>
      </w:r>
      <w:r w:rsidR="00190923" w:rsidRPr="00981405">
        <w:t xml:space="preserve"> </w:t>
      </w:r>
    </w:p>
    <w:p w:rsidR="00397032" w:rsidRPr="00981405" w:rsidRDefault="00397032" w:rsidP="00D97463">
      <w:pPr>
        <w:pStyle w:val="SingleTxt"/>
      </w:pPr>
      <w:r w:rsidRPr="00981405">
        <w:t>155.</w:t>
      </w:r>
      <w:r w:rsidRPr="00981405">
        <w:tab/>
        <w:t>Some</w:t>
      </w:r>
      <w:r w:rsidR="00190923" w:rsidRPr="00981405">
        <w:t xml:space="preserve"> </w:t>
      </w:r>
      <w:r w:rsidRPr="00981405">
        <w:t>members</w:t>
      </w:r>
      <w:r w:rsidR="00190923" w:rsidRPr="00981405">
        <w:t xml:space="preserve"> </w:t>
      </w:r>
      <w:r w:rsidRPr="00981405">
        <w:t>drew</w:t>
      </w:r>
      <w:r w:rsidR="00190923" w:rsidRPr="00981405">
        <w:t xml:space="preserve"> </w:t>
      </w:r>
      <w:r w:rsidRPr="00981405">
        <w:t>attention</w:t>
      </w:r>
      <w:r w:rsidR="00190923" w:rsidRPr="00981405">
        <w:t xml:space="preserve"> </w:t>
      </w:r>
      <w:r w:rsidRPr="00981405">
        <w:t>to</w:t>
      </w:r>
      <w:r w:rsidR="00190923" w:rsidRPr="00981405">
        <w:t xml:space="preserve"> </w:t>
      </w:r>
      <w:r w:rsidRPr="00981405">
        <w:t>the</w:t>
      </w:r>
      <w:r w:rsidR="00190923" w:rsidRPr="00981405">
        <w:t xml:space="preserve"> </w:t>
      </w:r>
      <w:r w:rsidRPr="00981405">
        <w:t>second</w:t>
      </w:r>
      <w:r w:rsidR="00190923" w:rsidRPr="00981405">
        <w:t xml:space="preserve"> </w:t>
      </w:r>
      <w:r w:rsidRPr="00981405">
        <w:t>sentence</w:t>
      </w:r>
      <w:r w:rsidR="00190923" w:rsidRPr="00981405">
        <w:t xml:space="preserve"> </w:t>
      </w:r>
      <w:r w:rsidRPr="00981405">
        <w:t>of</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which</w:t>
      </w:r>
      <w:r w:rsidR="00190923" w:rsidRPr="00981405">
        <w:t xml:space="preserve"> </w:t>
      </w:r>
      <w:r w:rsidRPr="00981405">
        <w:t>they</w:t>
      </w:r>
      <w:r w:rsidR="00190923" w:rsidRPr="00981405">
        <w:t xml:space="preserve"> </w:t>
      </w:r>
      <w:r w:rsidRPr="00981405">
        <w:t>considered</w:t>
      </w:r>
      <w:r w:rsidR="00190923" w:rsidRPr="00981405">
        <w:t xml:space="preserve"> </w:t>
      </w:r>
      <w:r w:rsidRPr="00981405">
        <w:t>could</w:t>
      </w:r>
      <w:r w:rsidR="00190923" w:rsidRPr="00981405">
        <w:t xml:space="preserve"> </w:t>
      </w:r>
      <w:r w:rsidRPr="00981405">
        <w:t>serve</w:t>
      </w:r>
      <w:r w:rsidR="00190923" w:rsidRPr="00981405">
        <w:t xml:space="preserve"> </w:t>
      </w:r>
      <w:r w:rsidRPr="00981405">
        <w:t>as</w:t>
      </w:r>
      <w:r w:rsidR="00190923" w:rsidRPr="00981405">
        <w:t xml:space="preserve"> </w:t>
      </w:r>
      <w:r w:rsidRPr="00981405">
        <w:t>the</w:t>
      </w:r>
      <w:r w:rsidR="00190923" w:rsidRPr="00981405">
        <w:t xml:space="preserve"> </w:t>
      </w:r>
      <w:r w:rsidRPr="00981405">
        <w:t>first</w:t>
      </w:r>
      <w:r w:rsidR="00190923" w:rsidRPr="00981405">
        <w:t xml:space="preserve"> </w:t>
      </w:r>
      <w:r w:rsidRPr="00981405">
        <w:t>principle,</w:t>
      </w:r>
      <w:r w:rsidR="00190923" w:rsidRPr="00981405">
        <w:t xml:space="preserve"> </w:t>
      </w:r>
      <w:r w:rsidRPr="00981405">
        <w:t>permitting</w:t>
      </w:r>
      <w:r w:rsidR="00190923" w:rsidRPr="00981405">
        <w:t xml:space="preserve"> </w:t>
      </w:r>
      <w:r w:rsidRPr="00981405">
        <w:t>to</w:t>
      </w:r>
      <w:r w:rsidR="00190923" w:rsidRPr="00981405">
        <w:t xml:space="preserve"> </w:t>
      </w:r>
      <w:r w:rsidRPr="00981405">
        <w:t>first</w:t>
      </w:r>
      <w:r w:rsidR="00190923" w:rsidRPr="00981405">
        <w:t xml:space="preserve"> </w:t>
      </w:r>
      <w:r w:rsidRPr="00981405">
        <w:t>address</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whole,</w:t>
      </w:r>
      <w:r w:rsidR="00190923" w:rsidRPr="00981405">
        <w:t xml:space="preserve"> </w:t>
      </w:r>
      <w:r w:rsidRPr="00981405">
        <w:t>then</w:t>
      </w:r>
      <w:r w:rsidR="00190923" w:rsidRPr="00981405">
        <w:t xml:space="preserve"> </w:t>
      </w:r>
      <w:r w:rsidRPr="00981405">
        <w:t>its</w:t>
      </w:r>
      <w:r w:rsidR="00190923" w:rsidRPr="00981405">
        <w:t xml:space="preserve"> </w:t>
      </w:r>
      <w:r w:rsidRPr="00981405">
        <w:t>parts.</w:t>
      </w:r>
      <w:r w:rsidR="00190923" w:rsidRPr="00981405">
        <w:t xml:space="preserve"> </w:t>
      </w:r>
      <w:r w:rsidRPr="00981405">
        <w:t>As</w:t>
      </w:r>
      <w:r w:rsidR="00190923" w:rsidRPr="00981405">
        <w:t xml:space="preserve"> </w:t>
      </w:r>
      <w:r w:rsidRPr="00981405">
        <w:t>such,</w:t>
      </w:r>
      <w:r w:rsidR="00190923" w:rsidRPr="00981405">
        <w:t xml:space="preserve"> </w:t>
      </w:r>
      <w:r w:rsidRPr="00981405">
        <w:t>the</w:t>
      </w:r>
      <w:r w:rsidR="00190923" w:rsidRPr="00981405">
        <w:t xml:space="preserve"> </w:t>
      </w:r>
      <w:r w:rsidRPr="00981405">
        <w:t>second</w:t>
      </w:r>
      <w:r w:rsidR="00190923" w:rsidRPr="00981405">
        <w:t xml:space="preserve"> </w:t>
      </w:r>
      <w:r w:rsidRPr="00981405">
        <w:t>sentence</w:t>
      </w:r>
      <w:r w:rsidR="00190923" w:rsidRPr="00981405">
        <w:t xml:space="preserve"> </w:t>
      </w:r>
      <w:r w:rsidRPr="00981405">
        <w:t>should</w:t>
      </w:r>
      <w:r w:rsidR="00190923" w:rsidRPr="00981405">
        <w:t xml:space="preserve"> </w:t>
      </w:r>
      <w:r w:rsidRPr="00981405">
        <w:t>either</w:t>
      </w:r>
      <w:r w:rsidR="00190923" w:rsidRPr="00981405">
        <w:t xml:space="preserve"> </w:t>
      </w:r>
      <w:r w:rsidRPr="00981405">
        <w:t>be</w:t>
      </w:r>
      <w:r w:rsidR="00190923" w:rsidRPr="00981405">
        <w:t xml:space="preserve"> </w:t>
      </w:r>
      <w:r w:rsidRPr="00981405">
        <w:t>reversed</w:t>
      </w:r>
      <w:r w:rsidR="00190923" w:rsidRPr="00981405">
        <w:t xml:space="preserve"> </w:t>
      </w:r>
      <w:r w:rsidRPr="00981405">
        <w:t>with</w:t>
      </w:r>
      <w:r w:rsidR="00190923" w:rsidRPr="00981405">
        <w:t xml:space="preserve"> </w:t>
      </w:r>
      <w:r w:rsidRPr="00981405">
        <w:t>the</w:t>
      </w:r>
      <w:r w:rsidR="00190923" w:rsidRPr="00981405">
        <w:t xml:space="preserve"> </w:t>
      </w:r>
      <w:r w:rsidRPr="00981405">
        <w:t>first</w:t>
      </w:r>
      <w:r w:rsidR="00190923" w:rsidRPr="00981405">
        <w:t xml:space="preserve"> </w:t>
      </w:r>
      <w:r w:rsidRPr="00981405">
        <w:t>or</w:t>
      </w:r>
      <w:r w:rsidR="00190923" w:rsidRPr="00981405">
        <w:t xml:space="preserve"> </w:t>
      </w:r>
      <w:r w:rsidRPr="00981405">
        <w:t>addressed</w:t>
      </w:r>
      <w:r w:rsidR="00190923" w:rsidRPr="00981405">
        <w:t xml:space="preserve"> </w:t>
      </w:r>
      <w:r w:rsidRPr="00981405">
        <w:t>in</w:t>
      </w:r>
      <w:r w:rsidR="00190923" w:rsidRPr="00981405">
        <w:t xml:space="preserve"> </w:t>
      </w:r>
      <w:r w:rsidRPr="00981405">
        <w:t>a</w:t>
      </w:r>
      <w:r w:rsidR="00190923" w:rsidRPr="00981405">
        <w:t xml:space="preserve"> </w:t>
      </w:r>
      <w:r w:rsidRPr="00981405">
        <w:t>separate</w:t>
      </w:r>
      <w:r w:rsidR="00190923" w:rsidRPr="00981405">
        <w:t xml:space="preserve"> </w:t>
      </w:r>
      <w:r w:rsidRPr="00981405">
        <w:t>principle</w:t>
      </w:r>
      <w:r w:rsidR="00190923" w:rsidRPr="00981405">
        <w:t xml:space="preserve"> </w:t>
      </w:r>
      <w:r w:rsidRPr="00981405">
        <w:t>all</w:t>
      </w:r>
      <w:r w:rsidR="00190923" w:rsidRPr="00981405">
        <w:t xml:space="preserve"> </w:t>
      </w:r>
      <w:r w:rsidRPr="00981405">
        <w:t>together.</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00B92E2C" w:rsidRPr="00981405">
        <w:t>“</w:t>
      </w:r>
      <w:r w:rsidRPr="00981405">
        <w:t>applicable</w:t>
      </w:r>
      <w:r w:rsidR="00190923" w:rsidRPr="00981405">
        <w:t xml:space="preserve"> </w:t>
      </w:r>
      <w:r w:rsidRPr="00981405">
        <w:t>international</w:t>
      </w:r>
      <w:r w:rsidR="00190923" w:rsidRPr="00981405">
        <w:t xml:space="preserve"> </w:t>
      </w:r>
      <w:r w:rsidRPr="00981405">
        <w:t>law</w:t>
      </w:r>
      <w:r w:rsidR="00B92E2C" w:rsidRPr="00981405">
        <w:t>”</w:t>
      </w:r>
      <w:r w:rsidR="00190923" w:rsidRPr="00981405">
        <w:t xml:space="preserve"> </w:t>
      </w:r>
      <w:r w:rsidRPr="00981405">
        <w:t>be</w:t>
      </w:r>
      <w:r w:rsidR="00190923" w:rsidRPr="00981405">
        <w:t xml:space="preserve"> </w:t>
      </w:r>
      <w:r w:rsidRPr="00981405">
        <w:t>clarified,</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pertinent</w:t>
      </w:r>
      <w:r w:rsidR="00190923" w:rsidRPr="00981405">
        <w:t xml:space="preserve"> </w:t>
      </w:r>
      <w:r w:rsidRPr="00981405">
        <w:t>rules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humanitarian</w:t>
      </w:r>
      <w:r w:rsidR="00190923" w:rsidRPr="00981405">
        <w:t xml:space="preserve"> </w:t>
      </w:r>
      <w:r w:rsidRPr="00981405">
        <w:t>law</w:t>
      </w:r>
      <w:r w:rsidR="00190923" w:rsidRPr="00981405">
        <w:t xml:space="preserve"> </w:t>
      </w:r>
      <w:r w:rsidRPr="00981405">
        <w:t>be</w:t>
      </w:r>
      <w:r w:rsidR="00190923" w:rsidRPr="00981405">
        <w:t xml:space="preserve"> </w:t>
      </w:r>
      <w:r w:rsidRPr="00981405">
        <w:t>identified.</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39" w:name="_Toc427938129"/>
      <w:r w:rsidRPr="00D97463">
        <w:t>(f)</w:t>
      </w:r>
      <w:r w:rsidR="00190923" w:rsidRPr="00D97463">
        <w:t xml:space="preserve"> </w:t>
      </w:r>
      <w:r w:rsidRPr="00D97463">
        <w:tab/>
        <w:t>Draft</w:t>
      </w:r>
      <w:r w:rsidR="00190923" w:rsidRPr="00D97463">
        <w:t xml:space="preserve"> </w:t>
      </w:r>
      <w:r w:rsidRPr="00D97463">
        <w:t>principle</w:t>
      </w:r>
      <w:r w:rsidR="00190923" w:rsidRPr="00D97463">
        <w:t xml:space="preserve"> </w:t>
      </w:r>
      <w:r w:rsidRPr="00D97463">
        <w:t>2</w:t>
      </w:r>
      <w:bookmarkEnd w:id="139"/>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156.</w:t>
      </w:r>
      <w:r w:rsidRPr="00981405">
        <w:tab/>
        <w:t>Members</w:t>
      </w:r>
      <w:r w:rsidR="00190923" w:rsidRPr="00981405">
        <w:t xml:space="preserve"> </w:t>
      </w:r>
      <w:r w:rsidRPr="00981405">
        <w:t>agreed</w:t>
      </w:r>
      <w:r w:rsidR="00190923" w:rsidRPr="00981405">
        <w:t xml:space="preserve"> </w:t>
      </w:r>
      <w:r w:rsidRPr="00981405">
        <w:t>in</w:t>
      </w:r>
      <w:r w:rsidR="00190923" w:rsidRPr="00981405">
        <w:t xml:space="preserve"> </w:t>
      </w:r>
      <w:r w:rsidRPr="00981405">
        <w:t>general</w:t>
      </w:r>
      <w:r w:rsidR="00190923" w:rsidRPr="00981405">
        <w:t xml:space="preserve"> </w:t>
      </w:r>
      <w:r w:rsidRPr="00981405">
        <w:t>with</w:t>
      </w:r>
      <w:r w:rsidR="00190923" w:rsidRPr="00981405">
        <w:t xml:space="preserve"> </w:t>
      </w:r>
      <w:r w:rsidRPr="00981405">
        <w:t>the</w:t>
      </w:r>
      <w:r w:rsidR="00190923" w:rsidRPr="00981405">
        <w:t xml:space="preserve"> </w:t>
      </w:r>
      <w:r w:rsidRPr="00981405">
        <w:t>thrust</w:t>
      </w:r>
      <w:r w:rsidR="00190923" w:rsidRPr="00981405">
        <w:t xml:space="preserve"> </w:t>
      </w:r>
      <w:r w:rsidRPr="00981405">
        <w:t>of</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2,</w:t>
      </w:r>
      <w:r w:rsidR="00190923" w:rsidRPr="00981405">
        <w:t xml:space="preserve"> </w:t>
      </w:r>
      <w:r w:rsidRPr="00981405">
        <w:t>though</w:t>
      </w:r>
      <w:r w:rsidR="00190923" w:rsidRPr="00981405">
        <w:t xml:space="preserve"> </w:t>
      </w:r>
      <w:r w:rsidRPr="00981405">
        <w:t>concern</w:t>
      </w:r>
      <w:r w:rsidR="00190923" w:rsidRPr="00981405">
        <w:t xml:space="preserve"> </w:t>
      </w:r>
      <w:r w:rsidRPr="00981405">
        <w:t>over</w:t>
      </w:r>
      <w:r w:rsidR="00190923" w:rsidRPr="00981405">
        <w:t xml:space="preserve"> </w:t>
      </w:r>
      <w:r w:rsidRPr="00981405">
        <w:t>the</w:t>
      </w:r>
      <w:r w:rsidR="00190923" w:rsidRPr="00981405">
        <w:t xml:space="preserve"> </w:t>
      </w:r>
      <w:r w:rsidRPr="00981405">
        <w:t>formulation</w:t>
      </w:r>
      <w:r w:rsidR="00190923" w:rsidRPr="00981405">
        <w:t xml:space="preserve"> </w:t>
      </w:r>
      <w:r w:rsidR="00B92E2C" w:rsidRPr="00981405">
        <w:t>“</w:t>
      </w:r>
      <w:r w:rsidRPr="00981405">
        <w:t>strongest</w:t>
      </w:r>
      <w:r w:rsidR="00190923" w:rsidRPr="00981405">
        <w:t xml:space="preserve"> </w:t>
      </w:r>
      <w:r w:rsidRPr="00981405">
        <w:t>possible</w:t>
      </w:r>
      <w:r w:rsidR="00B92E2C" w:rsidRPr="00981405">
        <w:t>”</w:t>
      </w:r>
      <w:r w:rsidR="00190923" w:rsidRPr="00981405">
        <w:t xml:space="preserve"> </w:t>
      </w:r>
      <w:r w:rsidRPr="00981405">
        <w:t>protection</w:t>
      </w:r>
      <w:r w:rsidR="00190923" w:rsidRPr="00981405">
        <w:t xml:space="preserve"> </w:t>
      </w:r>
      <w:r w:rsidRPr="00981405">
        <w:t>was</w:t>
      </w:r>
      <w:r w:rsidR="00190923" w:rsidRPr="00981405">
        <w:t xml:space="preserve"> </w:t>
      </w:r>
      <w:r w:rsidRPr="00981405">
        <w:t>also</w:t>
      </w:r>
      <w:r w:rsidR="00190923" w:rsidRPr="00981405">
        <w:t xml:space="preserve"> </w:t>
      </w:r>
      <w:r w:rsidRPr="00981405">
        <w:t>voiced.</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expression</w:t>
      </w:r>
      <w:r w:rsidR="00190923" w:rsidRPr="00981405">
        <w:t xml:space="preserve"> </w:t>
      </w:r>
      <w:r w:rsidRPr="00981405">
        <w:t>did</w:t>
      </w:r>
      <w:r w:rsidR="00190923" w:rsidRPr="00981405">
        <w:t xml:space="preserve"> </w:t>
      </w:r>
      <w:r w:rsidRPr="00981405">
        <w:t>not</w:t>
      </w:r>
      <w:r w:rsidR="00190923" w:rsidRPr="00981405">
        <w:t xml:space="preserve"> </w:t>
      </w:r>
      <w:r w:rsidRPr="00981405">
        <w:t>accurately</w:t>
      </w:r>
      <w:r w:rsidR="00190923" w:rsidRPr="00981405">
        <w:t xml:space="preserve"> </w:t>
      </w:r>
      <w:r w:rsidRPr="00981405">
        <w:t>reflect</w:t>
      </w:r>
      <w:r w:rsidR="00190923" w:rsidRPr="00981405">
        <w:t xml:space="preserve"> </w:t>
      </w:r>
      <w:r w:rsidRPr="00981405">
        <w:t>the</w:t>
      </w:r>
      <w:r w:rsidR="00190923" w:rsidRPr="00981405">
        <w:t xml:space="preserve"> </w:t>
      </w:r>
      <w:r w:rsidRPr="00981405">
        <w:t>requirement</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humanitarian</w:t>
      </w:r>
      <w:r w:rsidR="00190923" w:rsidRPr="00981405">
        <w:t xml:space="preserve"> </w:t>
      </w:r>
      <w:r w:rsidRPr="00981405">
        <w:t>law,</w:t>
      </w:r>
      <w:r w:rsidR="00190923" w:rsidRPr="00981405">
        <w:t xml:space="preserve"> </w:t>
      </w:r>
      <w:r w:rsidRPr="00981405">
        <w:t>which</w:t>
      </w:r>
      <w:r w:rsidR="00190923" w:rsidRPr="00981405">
        <w:t xml:space="preserve"> </w:t>
      </w:r>
      <w:r w:rsidRPr="00981405">
        <w:t>sets</w:t>
      </w:r>
      <w:r w:rsidR="00190923" w:rsidRPr="00981405">
        <w:t xml:space="preserve"> </w:t>
      </w:r>
      <w:r w:rsidRPr="00981405">
        <w:t>forth</w:t>
      </w:r>
      <w:r w:rsidR="00190923" w:rsidRPr="00981405">
        <w:t xml:space="preserve"> </w:t>
      </w:r>
      <w:r w:rsidRPr="00981405">
        <w:t>an</w:t>
      </w:r>
      <w:r w:rsidR="00190923" w:rsidRPr="00981405">
        <w:t xml:space="preserve"> </w:t>
      </w:r>
      <w:r w:rsidRPr="00981405">
        <w:t>obligation</w:t>
      </w:r>
      <w:r w:rsidR="00190923" w:rsidRPr="00981405">
        <w:t xml:space="preserve"> </w:t>
      </w:r>
      <w:r w:rsidRPr="00981405">
        <w:t>of</w:t>
      </w:r>
      <w:r w:rsidR="00190923" w:rsidRPr="00981405">
        <w:t xml:space="preserve"> </w:t>
      </w:r>
      <w:r w:rsidRPr="00981405">
        <w:t>taking</w:t>
      </w:r>
      <w:r w:rsidR="00190923" w:rsidRPr="00981405">
        <w:t xml:space="preserve"> </w:t>
      </w:r>
      <w:r w:rsidRPr="00981405">
        <w:t>feasible</w:t>
      </w:r>
      <w:r w:rsidR="00190923" w:rsidRPr="00981405">
        <w:t xml:space="preserve"> </w:t>
      </w:r>
      <w:r w:rsidRPr="00981405">
        <w:t>precautions</w:t>
      </w:r>
      <w:r w:rsidR="00190923" w:rsidRPr="00981405">
        <w:t xml:space="preserve"> </w:t>
      </w:r>
      <w:r w:rsidRPr="00981405">
        <w:t>to</w:t>
      </w:r>
      <w:r w:rsidR="00190923" w:rsidRPr="00981405">
        <w:t xml:space="preserve"> </w:t>
      </w:r>
      <w:r w:rsidRPr="00981405">
        <w:t>avoid</w:t>
      </w:r>
      <w:r w:rsidR="00190923" w:rsidRPr="00981405">
        <w:t xml:space="preserve"> </w:t>
      </w:r>
      <w:r w:rsidRPr="00981405">
        <w:t>and</w:t>
      </w:r>
      <w:r w:rsidR="00190923" w:rsidRPr="00981405">
        <w:t xml:space="preserve"> </w:t>
      </w:r>
      <w:r w:rsidRPr="00981405">
        <w:t>in</w:t>
      </w:r>
      <w:r w:rsidR="00190923" w:rsidRPr="00981405">
        <w:t xml:space="preserve"> </w:t>
      </w:r>
      <w:r w:rsidRPr="00981405">
        <w:t>any</w:t>
      </w:r>
      <w:r w:rsidR="00190923" w:rsidRPr="00981405">
        <w:t xml:space="preserve"> </w:t>
      </w:r>
      <w:r w:rsidRPr="00981405">
        <w:t>event</w:t>
      </w:r>
      <w:r w:rsidR="00190923" w:rsidRPr="00981405">
        <w:t xml:space="preserve"> </w:t>
      </w:r>
      <w:r w:rsidRPr="00981405">
        <w:t>minimise</w:t>
      </w:r>
      <w:r w:rsidR="00190923" w:rsidRPr="00981405">
        <w:t xml:space="preserve"> </w:t>
      </w:r>
      <w:r w:rsidRPr="00981405">
        <w:t>damage,</w:t>
      </w:r>
      <w:r w:rsidR="00190923" w:rsidRPr="00981405">
        <w:t xml:space="preserve"> </w:t>
      </w:r>
      <w:r w:rsidRPr="00981405">
        <w:t>excessive</w:t>
      </w:r>
      <w:r w:rsidR="00190923" w:rsidRPr="00981405">
        <w:t xml:space="preserve"> </w:t>
      </w:r>
      <w:r w:rsidRPr="00981405">
        <w:t>to</w:t>
      </w:r>
      <w:r w:rsidR="00190923" w:rsidRPr="00981405">
        <w:t xml:space="preserve"> </w:t>
      </w:r>
      <w:r w:rsidRPr="00981405">
        <w:t>the</w:t>
      </w:r>
      <w:r w:rsidR="00190923" w:rsidRPr="00981405">
        <w:t xml:space="preserve"> </w:t>
      </w:r>
      <w:r w:rsidRPr="00981405">
        <w:t>concrete</w:t>
      </w:r>
      <w:r w:rsidR="00190923" w:rsidRPr="00981405">
        <w:t xml:space="preserve"> </w:t>
      </w:r>
      <w:r w:rsidRPr="00981405">
        <w:t>military</w:t>
      </w:r>
      <w:r w:rsidR="00190923" w:rsidRPr="00981405">
        <w:t xml:space="preserve"> </w:t>
      </w:r>
      <w:r w:rsidRPr="00981405">
        <w:t>advantage.</w:t>
      </w:r>
      <w:r w:rsidR="00190923" w:rsidRPr="00981405">
        <w:t xml:space="preserve"> </w:t>
      </w:r>
      <w:r w:rsidRPr="00981405">
        <w:t>Furthermore,</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wording</w:t>
      </w:r>
      <w:r w:rsidR="00190923" w:rsidRPr="00981405">
        <w:t xml:space="preserve"> </w:t>
      </w:r>
      <w:r w:rsidRPr="00981405">
        <w:t>did</w:t>
      </w:r>
      <w:r w:rsidR="00190923" w:rsidRPr="00981405">
        <w:t xml:space="preserve"> </w:t>
      </w:r>
      <w:r w:rsidRPr="00981405">
        <w:t>not</w:t>
      </w:r>
      <w:r w:rsidR="00190923" w:rsidRPr="00981405">
        <w:t xml:space="preserve"> </w:t>
      </w:r>
      <w:r w:rsidRPr="00981405">
        <w:t>seem</w:t>
      </w:r>
      <w:r w:rsidR="00190923" w:rsidRPr="00981405">
        <w:t xml:space="preserve"> </w:t>
      </w:r>
      <w:r w:rsidRPr="00981405">
        <w:t>to</w:t>
      </w:r>
      <w:r w:rsidR="00190923" w:rsidRPr="00981405">
        <w:t xml:space="preserve"> </w:t>
      </w:r>
      <w:r w:rsidRPr="00981405">
        <w:t>recognize</w:t>
      </w:r>
      <w:r w:rsidR="00190923" w:rsidRPr="00981405">
        <w:t xml:space="preserve"> </w:t>
      </w:r>
      <w:r w:rsidRPr="00981405">
        <w:t>that</w:t>
      </w:r>
      <w:r w:rsidR="00190923" w:rsidRPr="00981405">
        <w:t xml:space="preserve"> </w:t>
      </w:r>
      <w:r w:rsidRPr="00981405">
        <w:t>in</w:t>
      </w:r>
      <w:r w:rsidR="00190923" w:rsidRPr="00981405">
        <w:t xml:space="preserve"> </w:t>
      </w:r>
      <w:r w:rsidRPr="00981405">
        <w:t>certain</w:t>
      </w:r>
      <w:r w:rsidR="00190923" w:rsidRPr="00981405">
        <w:t xml:space="preserve"> </w:t>
      </w:r>
      <w:r w:rsidRPr="00981405">
        <w:t>circumstances</w:t>
      </w:r>
      <w:r w:rsidR="00190923" w:rsidRPr="00981405">
        <w:t xml:space="preserve"> </w:t>
      </w:r>
      <w:r w:rsidRPr="00981405">
        <w:t>it</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possible</w:t>
      </w:r>
      <w:r w:rsidR="00190923" w:rsidRPr="00981405">
        <w:t xml:space="preserve"> </w:t>
      </w:r>
      <w:r w:rsidRPr="00981405">
        <w:t>to</w:t>
      </w:r>
      <w:r w:rsidR="00190923" w:rsidRPr="00981405">
        <w:t xml:space="preserve"> </w:t>
      </w:r>
      <w:r w:rsidRPr="00981405">
        <w:t>satisfy</w:t>
      </w:r>
      <w:r w:rsidR="00190923" w:rsidRPr="00981405">
        <w:t xml:space="preserve"> </w:t>
      </w:r>
      <w:r w:rsidRPr="00981405">
        <w:t>such</w:t>
      </w:r>
      <w:r w:rsidR="00190923" w:rsidRPr="00981405">
        <w:t xml:space="preserve"> </w:t>
      </w:r>
      <w:r w:rsidRPr="00981405">
        <w:t>standard</w:t>
      </w:r>
      <w:r w:rsidR="00190923" w:rsidRPr="00981405">
        <w:t xml:space="preserve"> </w:t>
      </w:r>
      <w:r w:rsidRPr="00981405">
        <w:t>for</w:t>
      </w:r>
      <w:r w:rsidR="00190923" w:rsidRPr="00981405">
        <w:t xml:space="preserve"> </w:t>
      </w:r>
      <w:r w:rsidRPr="00981405">
        <w:t>both</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civilians</w:t>
      </w:r>
      <w:r w:rsidR="00190923" w:rsidRPr="00981405">
        <w:t xml:space="preserve"> </w:t>
      </w:r>
      <w:r w:rsidRPr="00981405">
        <w:t>and</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necessary</w:t>
      </w:r>
      <w:r w:rsidR="00190923" w:rsidRPr="00981405">
        <w:t xml:space="preserve"> </w:t>
      </w:r>
      <w:r w:rsidRPr="00981405">
        <w:t>to</w:t>
      </w:r>
      <w:r w:rsidR="00190923" w:rsidRPr="00981405">
        <w:t xml:space="preserve"> </w:t>
      </w:r>
      <w:r w:rsidRPr="00981405">
        <w:t>adapt</w:t>
      </w:r>
      <w:r w:rsidR="00190923" w:rsidRPr="00981405">
        <w:t xml:space="preserve"> </w:t>
      </w:r>
      <w:r w:rsidRPr="00981405">
        <w:t>the</w:t>
      </w:r>
      <w:r w:rsidR="00190923" w:rsidRPr="00981405">
        <w:t xml:space="preserve"> </w:t>
      </w:r>
      <w:r w:rsidRPr="00981405">
        <w:t>principles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this</w:t>
      </w:r>
      <w:r w:rsidR="00190923" w:rsidRPr="00981405">
        <w:t xml:space="preserve"> </w:t>
      </w:r>
      <w:r w:rsidRPr="00981405">
        <w:t>provision</w:t>
      </w:r>
      <w:r w:rsidR="00190923" w:rsidRPr="00981405">
        <w:t xml:space="preserve"> </w:t>
      </w:r>
      <w:r w:rsidRPr="00981405">
        <w:t>to</w:t>
      </w:r>
      <w:r w:rsidR="00190923" w:rsidRPr="00981405">
        <w:t xml:space="preserve"> </w:t>
      </w:r>
      <w:r w:rsidRPr="00981405">
        <w:t>the</w:t>
      </w:r>
      <w:r w:rsidR="00190923" w:rsidRPr="00981405">
        <w:t xml:space="preserve"> </w:t>
      </w:r>
      <w:r w:rsidRPr="00981405">
        <w:t>specificity</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to</w:t>
      </w:r>
      <w:r w:rsidR="00190923" w:rsidRPr="00981405">
        <w:t xml:space="preserve"> </w:t>
      </w:r>
      <w:r w:rsidRPr="00981405">
        <w:t>clarify</w:t>
      </w:r>
      <w:r w:rsidR="00190923" w:rsidRPr="00981405">
        <w:t xml:space="preserve"> </w:t>
      </w:r>
      <w:r w:rsidRPr="00981405">
        <w:t>their</w:t>
      </w:r>
      <w:r w:rsidR="00190923" w:rsidRPr="00981405">
        <w:t xml:space="preserve"> </w:t>
      </w:r>
      <w:r w:rsidRPr="00981405">
        <w:t>applicability</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civilian</w:t>
      </w:r>
      <w:r w:rsidR="00190923" w:rsidRPr="00981405">
        <w:t xml:space="preserve"> </w:t>
      </w:r>
      <w:r w:rsidRPr="00981405">
        <w:t>status</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had</w:t>
      </w:r>
      <w:r w:rsidR="00190923" w:rsidRPr="00981405">
        <w:t xml:space="preserve"> </w:t>
      </w:r>
      <w:r w:rsidRPr="00981405">
        <w:t>been</w:t>
      </w:r>
      <w:r w:rsidR="00190923" w:rsidRPr="00981405">
        <w:t xml:space="preserve"> </w:t>
      </w:r>
      <w:r w:rsidRPr="00981405">
        <w:t>ascribed</w:t>
      </w:r>
      <w:r w:rsidR="00190923" w:rsidRPr="00981405">
        <w:t xml:space="preserve"> </w:t>
      </w:r>
      <w:r w:rsidRPr="00981405">
        <w:t>in</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precaution,</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standard</w:t>
      </w:r>
      <w:r w:rsidR="00190923" w:rsidRPr="00981405">
        <w:t xml:space="preserve"> </w:t>
      </w:r>
      <w:r w:rsidRPr="00981405">
        <w:t>to</w:t>
      </w:r>
      <w:r w:rsidR="00190923" w:rsidRPr="00981405">
        <w:t xml:space="preserve"> </w:t>
      </w:r>
      <w:r w:rsidRPr="00981405">
        <w:t>be</w:t>
      </w:r>
      <w:r w:rsidR="00190923" w:rsidRPr="00981405">
        <w:t xml:space="preserve"> </w:t>
      </w:r>
      <w:r w:rsidRPr="00981405">
        <w:t>applied</w:t>
      </w:r>
      <w:r w:rsidR="00190923" w:rsidRPr="00981405">
        <w:t xml:space="preserve"> </w:t>
      </w:r>
      <w:r w:rsidRPr="00981405">
        <w:t>for</w:t>
      </w:r>
      <w:r w:rsidR="00190923" w:rsidRPr="00981405">
        <w:t xml:space="preserve"> </w:t>
      </w:r>
      <w:r w:rsidRPr="00981405">
        <w:t>the</w:t>
      </w:r>
      <w:r w:rsidR="00190923" w:rsidRPr="00981405">
        <w:t xml:space="preserve"> </w:t>
      </w:r>
      <w:r w:rsidRPr="00981405">
        <w:t>required</w:t>
      </w:r>
      <w:r w:rsidR="00190923" w:rsidRPr="00981405">
        <w:t xml:space="preserve"> </w:t>
      </w:r>
      <w:r w:rsidRPr="00981405">
        <w:t>assessment</w:t>
      </w:r>
      <w:r w:rsidR="00190923" w:rsidRPr="00981405">
        <w:t xml:space="preserve"> </w:t>
      </w:r>
      <w:r w:rsidRPr="00981405">
        <w:t>of</w:t>
      </w:r>
      <w:r w:rsidR="00190923" w:rsidRPr="00981405">
        <w:t xml:space="preserve"> </w:t>
      </w:r>
      <w:r w:rsidR="00B92E2C" w:rsidRPr="00981405">
        <w:t>“</w:t>
      </w:r>
      <w:r w:rsidRPr="00981405">
        <w:t>damage</w:t>
      </w:r>
      <w:r w:rsidR="00B92E2C" w:rsidRPr="00981405">
        <w:t>”</w:t>
      </w:r>
      <w:r w:rsidR="00190923" w:rsidRPr="00981405">
        <w:t xml:space="preserve"> </w:t>
      </w:r>
      <w:r w:rsidRPr="00981405">
        <w:t>should</w:t>
      </w:r>
      <w:r w:rsidR="00190923" w:rsidRPr="00981405">
        <w:t xml:space="preserve"> </w:t>
      </w:r>
      <w:r w:rsidRPr="00981405">
        <w:t>be</w:t>
      </w:r>
      <w:r w:rsidR="00190923" w:rsidRPr="00981405">
        <w:t xml:space="preserve"> </w:t>
      </w:r>
      <w:r w:rsidRPr="00981405">
        <w:t>clarified,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whether</w:t>
      </w:r>
      <w:r w:rsidR="00190923" w:rsidRPr="00981405">
        <w:t xml:space="preserve"> </w:t>
      </w:r>
      <w:r w:rsidRPr="00981405">
        <w:t>it</w:t>
      </w:r>
      <w:r w:rsidR="00190923" w:rsidRPr="00981405">
        <w:t xml:space="preserve"> </w:t>
      </w:r>
      <w:r w:rsidRPr="00981405">
        <w:t>was</w:t>
      </w:r>
      <w:r w:rsidR="00190923" w:rsidRPr="00981405">
        <w:t xml:space="preserve"> </w:t>
      </w:r>
      <w:r w:rsidRPr="00981405">
        <w:t>distinct</w:t>
      </w:r>
      <w:r w:rsidR="00190923" w:rsidRPr="00981405">
        <w:t xml:space="preserve"> </w:t>
      </w:r>
      <w:r w:rsidRPr="00981405">
        <w:t>from</w:t>
      </w:r>
      <w:r w:rsidR="00190923" w:rsidRPr="00981405">
        <w:t xml:space="preserve"> </w:t>
      </w:r>
      <w:r w:rsidRPr="00981405">
        <w:t>the</w:t>
      </w:r>
      <w:r w:rsidR="00190923" w:rsidRPr="00981405">
        <w:t xml:space="preserve"> </w:t>
      </w:r>
      <w:r w:rsidRPr="00981405">
        <w:t>criteria</w:t>
      </w:r>
      <w:r w:rsidR="00190923" w:rsidRPr="00981405">
        <w:t xml:space="preserve"> </w:t>
      </w:r>
      <w:r w:rsidR="00B92E2C" w:rsidRPr="00981405">
        <w:t>“</w:t>
      </w:r>
      <w:r w:rsidRPr="00981405">
        <w:t>widespread,</w:t>
      </w:r>
      <w:r w:rsidR="00190923" w:rsidRPr="00981405">
        <w:t xml:space="preserve"> </w:t>
      </w:r>
      <w:r w:rsidRPr="00981405">
        <w:t>severe</w:t>
      </w:r>
      <w:r w:rsidR="00190923" w:rsidRPr="00981405">
        <w:t xml:space="preserve"> </w:t>
      </w:r>
      <w:r w:rsidRPr="00981405">
        <w:t>and</w:t>
      </w:r>
      <w:r w:rsidR="00190923" w:rsidRPr="00981405">
        <w:t xml:space="preserve"> </w:t>
      </w:r>
      <w:r w:rsidRPr="00981405">
        <w:t>long-term</w:t>
      </w:r>
      <w:r w:rsidR="00190923" w:rsidRPr="00981405">
        <w:t xml:space="preserve"> </w:t>
      </w:r>
      <w:r w:rsidRPr="00981405">
        <w:t>damage</w:t>
      </w:r>
      <w:r w:rsidR="00B92E2C" w:rsidRPr="00981405">
        <w:t>”</w:t>
      </w:r>
      <w:r w:rsidRPr="00981405">
        <w:t>.</w:t>
      </w:r>
      <w:r w:rsidR="00190923" w:rsidRPr="00981405">
        <w:t xml:space="preserve"> </w:t>
      </w:r>
      <w:r w:rsidRPr="00981405">
        <w:t>The</w:t>
      </w:r>
      <w:r w:rsidR="00190923" w:rsidRPr="00981405">
        <w:t xml:space="preserve"> </w:t>
      </w:r>
      <w:r w:rsidRPr="00981405">
        <w:t>point</w:t>
      </w:r>
      <w:r w:rsidR="00190923" w:rsidRPr="00981405">
        <w:t xml:space="preserve"> </w:t>
      </w:r>
      <w:r w:rsidRPr="00981405">
        <w:t>was</w:t>
      </w:r>
      <w:r w:rsidR="00190923" w:rsidRPr="00981405">
        <w:t xml:space="preserve"> </w:t>
      </w:r>
      <w:r w:rsidRPr="00981405">
        <w:t>also</w:t>
      </w:r>
      <w:r w:rsidR="00190923" w:rsidRPr="00981405">
        <w:t xml:space="preserve"> </w:t>
      </w:r>
      <w:r w:rsidRPr="00981405">
        <w:t>made</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should</w:t>
      </w:r>
      <w:r w:rsidR="00190923" w:rsidRPr="00981405">
        <w:t xml:space="preserve"> </w:t>
      </w:r>
      <w:r w:rsidRPr="00981405">
        <w:t>clarify</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proportionality</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parts</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that</w:t>
      </w:r>
      <w:r w:rsidR="00190923" w:rsidRPr="00981405">
        <w:t xml:space="preserve"> </w:t>
      </w:r>
      <w:r w:rsidRPr="00981405">
        <w:t>had</w:t>
      </w:r>
      <w:r w:rsidR="00190923" w:rsidRPr="00981405">
        <w:t xml:space="preserve"> </w:t>
      </w:r>
      <w:r w:rsidRPr="00981405">
        <w:t>lost</w:t>
      </w:r>
      <w:r w:rsidR="00190923" w:rsidRPr="00981405">
        <w:t xml:space="preserve"> </w:t>
      </w:r>
      <w:r w:rsidRPr="00981405">
        <w:t>their</w:t>
      </w:r>
      <w:r w:rsidR="00190923" w:rsidRPr="00981405">
        <w:t xml:space="preserve"> </w:t>
      </w:r>
      <w:r w:rsidRPr="00981405">
        <w:t>protection.</w:t>
      </w:r>
      <w:r w:rsidR="00190923" w:rsidRPr="00981405">
        <w:t xml:space="preserve"> </w:t>
      </w:r>
      <w:r w:rsidRPr="00981405">
        <w:t>A</w:t>
      </w:r>
      <w:r w:rsidR="00190923" w:rsidRPr="00981405">
        <w:t xml:space="preserve"> </w:t>
      </w:r>
      <w:r w:rsidRPr="00981405">
        <w:t>suggestion</w:t>
      </w:r>
      <w:r w:rsidR="00190923" w:rsidRPr="00981405">
        <w:t xml:space="preserve"> </w:t>
      </w:r>
      <w:r w:rsidRPr="00981405">
        <w:t>was</w:t>
      </w:r>
      <w:r w:rsidR="00190923" w:rsidRPr="00981405">
        <w:t xml:space="preserve"> </w:t>
      </w:r>
      <w:r w:rsidRPr="00981405">
        <w:t>made</w:t>
      </w:r>
      <w:r w:rsidR="00190923" w:rsidRPr="00981405">
        <w:t xml:space="preserve"> </w:t>
      </w:r>
      <w:r w:rsidRPr="00981405">
        <w:t>that</w:t>
      </w:r>
      <w:r w:rsidR="00190923" w:rsidRPr="00981405">
        <w:t xml:space="preserve"> </w:t>
      </w:r>
      <w:r w:rsidRPr="00981405">
        <w:t>a</w:t>
      </w:r>
      <w:r w:rsidR="00190923" w:rsidRPr="00981405">
        <w:t xml:space="preserve"> </w:t>
      </w:r>
      <w:r w:rsidRPr="00981405">
        <w:t>specific</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humanity</w:t>
      </w:r>
      <w:r w:rsidR="00190923" w:rsidRPr="00981405">
        <w:t xml:space="preserve"> </w:t>
      </w:r>
      <w:r w:rsidRPr="00981405">
        <w:t>should</w:t>
      </w:r>
      <w:r w:rsidR="00190923" w:rsidRPr="00981405">
        <w:t xml:space="preserve"> </w:t>
      </w:r>
      <w:r w:rsidRPr="00981405">
        <w:t>be</w:t>
      </w:r>
      <w:r w:rsidR="00190923" w:rsidRPr="00981405">
        <w:t xml:space="preserve"> </w:t>
      </w:r>
      <w:r w:rsidRPr="00981405">
        <w:t>included.</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40" w:name="_Toc427938130"/>
      <w:r w:rsidRPr="00D97463">
        <w:t>(g)</w:t>
      </w:r>
      <w:r w:rsidRPr="00D97463">
        <w:tab/>
        <w:t>Draft</w:t>
      </w:r>
      <w:r w:rsidR="00190923" w:rsidRPr="00D97463">
        <w:t xml:space="preserve"> </w:t>
      </w:r>
      <w:r w:rsidRPr="00D97463">
        <w:t>principle</w:t>
      </w:r>
      <w:r w:rsidR="00190923" w:rsidRPr="00D97463">
        <w:t xml:space="preserve"> </w:t>
      </w:r>
      <w:r w:rsidRPr="00D97463">
        <w:t>3</w:t>
      </w:r>
      <w:bookmarkEnd w:id="14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157.</w:t>
      </w:r>
      <w:r w:rsidRPr="00981405">
        <w:tab/>
        <w:t>Several</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3,</w:t>
      </w:r>
      <w:r w:rsidR="00190923" w:rsidRPr="00981405">
        <w:t xml:space="preserve"> </w:t>
      </w:r>
      <w:r w:rsidRPr="00981405">
        <w:t>which</w:t>
      </w:r>
      <w:r w:rsidR="00190923" w:rsidRPr="00981405">
        <w:t xml:space="preserve"> </w:t>
      </w:r>
      <w:r w:rsidRPr="00981405">
        <w:t>they</w:t>
      </w:r>
      <w:r w:rsidR="00190923" w:rsidRPr="00981405">
        <w:t xml:space="preserve"> </w:t>
      </w:r>
      <w:r w:rsidRPr="00981405">
        <w:t>observed</w:t>
      </w:r>
      <w:r w:rsidR="00190923" w:rsidRPr="00981405">
        <w:t xml:space="preserve"> </w:t>
      </w:r>
      <w:r w:rsidRPr="00981405">
        <w:t>had</w:t>
      </w:r>
      <w:r w:rsidR="00190923" w:rsidRPr="00981405">
        <w:t xml:space="preserve"> </w:t>
      </w:r>
      <w:r w:rsidRPr="00981405">
        <w:t>been</w:t>
      </w:r>
      <w:r w:rsidR="00190923" w:rsidRPr="00981405">
        <w:t xml:space="preserve"> </w:t>
      </w:r>
      <w:r w:rsidRPr="00981405">
        <w:t>drawn</w:t>
      </w:r>
      <w:r w:rsidR="00190923" w:rsidRPr="00981405">
        <w:t xml:space="preserve"> </w:t>
      </w:r>
      <w:r w:rsidRPr="00981405">
        <w:t>from</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B92E2C" w:rsidRPr="00981405">
        <w:t>’</w:t>
      </w:r>
      <w:r w:rsidRPr="00981405">
        <w:t>s</w:t>
      </w:r>
      <w:r w:rsidR="00190923" w:rsidRPr="00981405">
        <w:t xml:space="preserve"> </w:t>
      </w:r>
      <w:r w:rsidRPr="00981405">
        <w:t>advisory</w:t>
      </w:r>
      <w:r w:rsidR="00190923" w:rsidRPr="00981405">
        <w:t xml:space="preserve"> </w:t>
      </w:r>
      <w:r w:rsidRPr="00981405">
        <w:t>opinion</w:t>
      </w:r>
      <w:r w:rsidR="00190923" w:rsidRPr="00981405">
        <w:t xml:space="preserve"> </w:t>
      </w:r>
      <w:r w:rsidRPr="00981405">
        <w:t>on</w:t>
      </w:r>
      <w:r w:rsidR="00190923" w:rsidRPr="00981405">
        <w:t xml:space="preserve"> </w:t>
      </w:r>
      <w:r w:rsidRPr="00D97463">
        <w:rPr>
          <w:i/>
          <w:iCs/>
        </w:rPr>
        <w:t>Nuclear</w:t>
      </w:r>
      <w:r w:rsidR="00190923" w:rsidRPr="00981405">
        <w:rPr>
          <w:i/>
          <w:iCs/>
        </w:rPr>
        <w:t xml:space="preserve"> </w:t>
      </w:r>
      <w:r w:rsidRPr="00D97463">
        <w:rPr>
          <w:i/>
          <w:iCs/>
        </w:rPr>
        <w:t>Weapons</w:t>
      </w:r>
      <w:r w:rsidRPr="00981405">
        <w:t>.</w:t>
      </w:r>
      <w:r w:rsidRPr="00981405">
        <w:rPr>
          <w:rStyle w:val="FootnoteReference"/>
        </w:rPr>
        <w:footnoteReference w:id="380"/>
      </w:r>
      <w:r w:rsidR="00190923" w:rsidRPr="00981405">
        <w:t xml:space="preserve"> </w:t>
      </w:r>
      <w:r w:rsidRPr="00981405">
        <w:t>However,</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Court</w:t>
      </w:r>
      <w:r w:rsidR="00190923" w:rsidRPr="00981405">
        <w:t xml:space="preserve"> </w:t>
      </w:r>
      <w:r w:rsidRPr="00981405">
        <w:t>seemed</w:t>
      </w:r>
      <w:r w:rsidR="00190923" w:rsidRPr="00981405">
        <w:t xml:space="preserve"> </w:t>
      </w:r>
      <w:r w:rsidRPr="00981405">
        <w:t>to</w:t>
      </w:r>
      <w:r w:rsidR="00190923" w:rsidRPr="00981405">
        <w:t xml:space="preserve"> </w:t>
      </w:r>
      <w:r w:rsidRPr="00981405">
        <w:t>have</w:t>
      </w:r>
      <w:r w:rsidR="00190923" w:rsidRPr="00981405">
        <w:t xml:space="preserve"> </w:t>
      </w:r>
      <w:r w:rsidRPr="00981405">
        <w:t>addressed</w:t>
      </w:r>
      <w:r w:rsidR="00190923" w:rsidRPr="00981405">
        <w:t xml:space="preserve"> </w:t>
      </w:r>
      <w:r w:rsidRPr="00981405">
        <w:t>the</w:t>
      </w:r>
      <w:r w:rsidR="00190923" w:rsidRPr="00981405">
        <w:t xml:space="preserve"> </w:t>
      </w:r>
      <w:r w:rsidRPr="00981405">
        <w:t>issue</w:t>
      </w:r>
      <w:r w:rsidR="00190923" w:rsidRPr="00981405">
        <w:t xml:space="preserve"> </w:t>
      </w:r>
      <w:r w:rsidRPr="00981405">
        <w:t>of</w:t>
      </w:r>
      <w:r w:rsidR="00190923" w:rsidRPr="00981405">
        <w:t xml:space="preserve"> </w:t>
      </w:r>
      <w:r w:rsidRPr="00981405">
        <w:t>environmental</w:t>
      </w:r>
      <w:r w:rsidR="00190923" w:rsidRPr="00981405">
        <w:t xml:space="preserve"> </w:t>
      </w:r>
      <w:r w:rsidRPr="00981405">
        <w:t>considerations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D97463">
        <w:rPr>
          <w:i/>
          <w:iCs/>
        </w:rPr>
        <w:t>jus</w:t>
      </w:r>
      <w:r w:rsidR="00190923" w:rsidRPr="00981405">
        <w:rPr>
          <w:i/>
          <w:iCs/>
        </w:rPr>
        <w:t xml:space="preserve"> </w:t>
      </w:r>
      <w:r w:rsidRPr="00D97463">
        <w:rPr>
          <w:i/>
          <w:iCs/>
        </w:rPr>
        <w:t>ad</w:t>
      </w:r>
      <w:r w:rsidR="00190923" w:rsidRPr="00981405">
        <w:rPr>
          <w:i/>
          <w:iCs/>
        </w:rPr>
        <w:t xml:space="preserve"> </w:t>
      </w:r>
      <w:r w:rsidRPr="00D97463">
        <w:rPr>
          <w:i/>
          <w:iCs/>
        </w:rPr>
        <w:t>bellum</w:t>
      </w:r>
      <w:r w:rsidR="00190923" w:rsidRPr="00981405">
        <w:t xml:space="preserve"> </w:t>
      </w:r>
      <w:r w:rsidRPr="00981405">
        <w:t>and</w:t>
      </w:r>
      <w:r w:rsidR="00190923" w:rsidRPr="00981405">
        <w:t xml:space="preserve"> </w:t>
      </w:r>
      <w:r w:rsidRPr="00981405">
        <w:t>not</w:t>
      </w:r>
      <w:r w:rsidR="00190923" w:rsidRPr="00981405">
        <w:t xml:space="preserve"> </w:t>
      </w:r>
      <w:r w:rsidRPr="00D97463">
        <w:rPr>
          <w:i/>
          <w:iCs/>
        </w:rPr>
        <w:t>jus</w:t>
      </w:r>
      <w:r w:rsidR="00190923" w:rsidRPr="00981405">
        <w:rPr>
          <w:i/>
          <w:iCs/>
        </w:rPr>
        <w:t xml:space="preserve"> </w:t>
      </w:r>
      <w:r w:rsidRPr="00D97463">
        <w:rPr>
          <w:i/>
          <w:iCs/>
        </w:rPr>
        <w:t>in</w:t>
      </w:r>
      <w:r w:rsidR="00190923" w:rsidRPr="00981405">
        <w:rPr>
          <w:i/>
          <w:iCs/>
        </w:rPr>
        <w:t xml:space="preserve"> </w:t>
      </w:r>
      <w:r w:rsidRPr="00D97463">
        <w:rPr>
          <w:i/>
          <w:iCs/>
        </w:rPr>
        <w:t>bello</w:t>
      </w:r>
      <w:r w:rsidRPr="00981405">
        <w:t>,</w:t>
      </w:r>
      <w:r w:rsidR="00190923" w:rsidRPr="00981405">
        <w:t xml:space="preserve"> </w:t>
      </w:r>
      <w:r w:rsidRPr="00981405">
        <w:t>which</w:t>
      </w:r>
      <w:r w:rsidR="00190923" w:rsidRPr="00981405">
        <w:t xml:space="preserve"> </w:t>
      </w:r>
      <w:r w:rsidRPr="00981405">
        <w:t>would</w:t>
      </w:r>
      <w:r w:rsidR="00190923" w:rsidRPr="00981405">
        <w:t xml:space="preserve"> </w:t>
      </w:r>
      <w:r w:rsidRPr="00981405">
        <w:t>render</w:t>
      </w:r>
      <w:r w:rsidR="00190923" w:rsidRPr="00981405">
        <w:t xml:space="preserve"> </w:t>
      </w:r>
      <w:r w:rsidRPr="00981405">
        <w:t>the</w:t>
      </w:r>
      <w:r w:rsidR="00190923" w:rsidRPr="00981405">
        <w:t xml:space="preserve"> </w:t>
      </w:r>
      <w:r w:rsidRPr="00981405">
        <w:t>proposition</w:t>
      </w:r>
      <w:r w:rsidR="00190923" w:rsidRPr="00981405">
        <w:t xml:space="preserve"> </w:t>
      </w:r>
      <w:r w:rsidRPr="00981405">
        <w:t>in</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3</w:t>
      </w:r>
      <w:r w:rsidR="00190923" w:rsidRPr="00981405">
        <w:t xml:space="preserve"> </w:t>
      </w:r>
      <w:r w:rsidRPr="00981405">
        <w:t>problematic.</w:t>
      </w:r>
      <w:r w:rsidR="00190923" w:rsidRPr="00981405">
        <w:t xml:space="preserve"> </w:t>
      </w:r>
      <w:r w:rsidRPr="00981405">
        <w:t>The</w:t>
      </w:r>
      <w:r w:rsidR="00190923" w:rsidRPr="00981405">
        <w:t xml:space="preserve"> </w:t>
      </w:r>
      <w:r w:rsidRPr="00981405">
        <w:t>counter</w:t>
      </w:r>
      <w:r w:rsidR="00190923" w:rsidRPr="00981405">
        <w:t xml:space="preserve"> </w:t>
      </w:r>
      <w:r w:rsidRPr="00981405">
        <w:t>point</w:t>
      </w:r>
      <w:r w:rsidR="00190923" w:rsidRPr="00981405">
        <w:t xml:space="preserve"> </w:t>
      </w:r>
      <w:r w:rsidRPr="00981405">
        <w:t>was</w:t>
      </w:r>
      <w:r w:rsidR="00190923" w:rsidRPr="00981405">
        <w:t xml:space="preserve"> </w:t>
      </w:r>
      <w:r w:rsidRPr="00981405">
        <w:t>also</w:t>
      </w:r>
      <w:r w:rsidR="00190923" w:rsidRPr="00981405">
        <w:t xml:space="preserve"> </w:t>
      </w:r>
      <w:r w:rsidRPr="00981405">
        <w:t>made</w:t>
      </w:r>
      <w:r w:rsidR="00190923" w:rsidRPr="00981405">
        <w:t xml:space="preserve"> </w:t>
      </w:r>
      <w:r w:rsidRPr="00981405">
        <w:t>that</w:t>
      </w:r>
      <w:r w:rsidR="00190923" w:rsidRPr="00981405">
        <w:t xml:space="preserve"> </w:t>
      </w:r>
      <w:r w:rsidRPr="00981405">
        <w:t>reference</w:t>
      </w:r>
      <w:r w:rsidR="00190923" w:rsidRPr="00981405">
        <w:t xml:space="preserve"> </w:t>
      </w:r>
      <w:r w:rsidRPr="00981405">
        <w:t>in</w:t>
      </w:r>
      <w:r w:rsidR="00190923" w:rsidRPr="00981405">
        <w:t xml:space="preserve"> </w:t>
      </w:r>
      <w:r w:rsidRPr="00981405">
        <w:t>the</w:t>
      </w:r>
      <w:r w:rsidR="00190923" w:rsidRPr="00981405">
        <w:t xml:space="preserve"> </w:t>
      </w:r>
      <w:r w:rsidRPr="00981405">
        <w:t>opinion</w:t>
      </w:r>
      <w:r w:rsidR="00190923" w:rsidRPr="00981405">
        <w:t xml:space="preserve"> </w:t>
      </w:r>
      <w:r w:rsidRPr="00981405">
        <w:t>was</w:t>
      </w:r>
      <w:r w:rsidR="00190923" w:rsidRPr="00981405">
        <w:t xml:space="preserve"> </w:t>
      </w:r>
      <w:r w:rsidRPr="00981405">
        <w:t>to</w:t>
      </w:r>
      <w:r w:rsidR="00190923" w:rsidRPr="00981405">
        <w:t xml:space="preserve"> </w:t>
      </w:r>
      <w:r w:rsidRPr="00D97463">
        <w:rPr>
          <w:i/>
          <w:iCs/>
        </w:rPr>
        <w:t>jus</w:t>
      </w:r>
      <w:r w:rsidR="00190923" w:rsidRPr="00981405">
        <w:rPr>
          <w:i/>
          <w:iCs/>
        </w:rPr>
        <w:t xml:space="preserve"> </w:t>
      </w:r>
      <w:r w:rsidRPr="00D97463">
        <w:rPr>
          <w:i/>
          <w:iCs/>
        </w:rPr>
        <w:t>in</w:t>
      </w:r>
      <w:r w:rsidR="00190923" w:rsidRPr="00981405">
        <w:rPr>
          <w:i/>
          <w:iCs/>
        </w:rPr>
        <w:t xml:space="preserve"> </w:t>
      </w:r>
      <w:r w:rsidRPr="00D97463">
        <w:rPr>
          <w:i/>
          <w:iCs/>
        </w:rPr>
        <w:t>bello</w:t>
      </w:r>
      <w:r w:rsidRPr="00981405">
        <w:t>.</w:t>
      </w:r>
      <w:r w:rsidR="00190923" w:rsidRPr="00981405">
        <w:t xml:space="preserve"> </w:t>
      </w:r>
      <w:r w:rsidRPr="00981405">
        <w:t>Attention</w:t>
      </w:r>
      <w:r w:rsidR="00190923" w:rsidRPr="00981405">
        <w:t xml:space="preserve"> </w:t>
      </w:r>
      <w:r w:rsidRPr="00981405">
        <w:t>was</w:t>
      </w:r>
      <w:r w:rsidR="00190923" w:rsidRPr="00981405">
        <w:t xml:space="preserve"> </w:t>
      </w:r>
      <w:r w:rsidRPr="00981405">
        <w:t>also</w:t>
      </w:r>
      <w:r w:rsidR="00190923" w:rsidRPr="00981405">
        <w:t xml:space="preserve"> </w:t>
      </w:r>
      <w:r w:rsidRPr="00981405">
        <w:t>drawn</w:t>
      </w:r>
      <w:r w:rsidR="00190923" w:rsidRPr="00981405">
        <w:t xml:space="preserve"> </w:t>
      </w:r>
      <w:r w:rsidRPr="00981405">
        <w:t>to</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there</w:t>
      </w:r>
      <w:r w:rsidR="00190923" w:rsidRPr="00981405">
        <w:t xml:space="preserve"> </w:t>
      </w:r>
      <w:r w:rsidRPr="00981405">
        <w:t>may</w:t>
      </w:r>
      <w:r w:rsidR="00190923" w:rsidRPr="00981405">
        <w:t xml:space="preserve"> </w:t>
      </w:r>
      <w:r w:rsidRPr="00981405">
        <w:t>be</w:t>
      </w:r>
      <w:r w:rsidR="00190923" w:rsidRPr="00981405">
        <w:t xml:space="preserve"> </w:t>
      </w:r>
      <w:r w:rsidRPr="00981405">
        <w:t>situations</w:t>
      </w:r>
      <w:r w:rsidR="00190923" w:rsidRPr="00981405">
        <w:t xml:space="preserve"> </w:t>
      </w:r>
      <w:r w:rsidRPr="00981405">
        <w:t>in</w:t>
      </w:r>
      <w:r w:rsidR="00190923" w:rsidRPr="00981405">
        <w:t xml:space="preserve"> </w:t>
      </w:r>
      <w:r w:rsidRPr="00981405">
        <w:t>which</w:t>
      </w:r>
      <w:r w:rsidR="00190923" w:rsidRPr="00981405">
        <w:t xml:space="preserve"> </w:t>
      </w:r>
      <w:r w:rsidRPr="00981405">
        <w:t>environmental</w:t>
      </w:r>
      <w:r w:rsidR="00190923" w:rsidRPr="00981405">
        <w:t xml:space="preserve"> </w:t>
      </w:r>
      <w:r w:rsidRPr="00981405">
        <w:t>considerations</w:t>
      </w:r>
      <w:r w:rsidR="00190923" w:rsidRPr="00981405">
        <w:t xml:space="preserve"> </w:t>
      </w:r>
      <w:r w:rsidRPr="00981405">
        <w:t>were</w:t>
      </w:r>
      <w:r w:rsidR="00190923" w:rsidRPr="00981405">
        <w:t xml:space="preserve"> </w:t>
      </w:r>
      <w:r w:rsidRPr="00981405">
        <w:t>simply</w:t>
      </w:r>
      <w:r w:rsidR="00190923" w:rsidRPr="00981405">
        <w:t xml:space="preserve"> </w:t>
      </w:r>
      <w:r w:rsidRPr="00981405">
        <w:t>not</w:t>
      </w:r>
      <w:r w:rsidR="00190923" w:rsidRPr="00981405">
        <w:t xml:space="preserve"> </w:t>
      </w:r>
      <w:r w:rsidRPr="00981405">
        <w:t>relevant;</w:t>
      </w:r>
      <w:r w:rsidR="00190923" w:rsidRPr="00981405">
        <w:t xml:space="preserve"> </w:t>
      </w:r>
      <w:r w:rsidRPr="00981405">
        <w:t>the</w:t>
      </w:r>
      <w:r w:rsidR="00190923" w:rsidRPr="00981405">
        <w:t xml:space="preserve"> </w:t>
      </w:r>
      <w:r w:rsidRPr="00981405">
        <w:t>provision</w:t>
      </w:r>
      <w:r w:rsidR="00190923" w:rsidRPr="00981405">
        <w:t xml:space="preserve"> </w:t>
      </w:r>
      <w:r w:rsidRPr="00981405">
        <w:t>should</w:t>
      </w:r>
      <w:r w:rsidR="00190923" w:rsidRPr="00981405">
        <w:t xml:space="preserve"> </w:t>
      </w:r>
      <w:r w:rsidRPr="00981405">
        <w:t>include</w:t>
      </w:r>
      <w:r w:rsidR="00190923" w:rsidRPr="00981405">
        <w:t xml:space="preserve"> </w:t>
      </w:r>
      <w:r w:rsidRPr="00981405">
        <w:t>a</w:t>
      </w:r>
      <w:r w:rsidR="00190923" w:rsidRPr="00981405">
        <w:t xml:space="preserve"> </w:t>
      </w:r>
      <w:r w:rsidRPr="00981405">
        <w:t>caveat</w:t>
      </w:r>
      <w:r w:rsidR="00190923" w:rsidRPr="00981405">
        <w:t xml:space="preserve"> </w:t>
      </w:r>
      <w:r w:rsidRPr="00981405">
        <w:t>to</w:t>
      </w:r>
      <w:r w:rsidR="00190923" w:rsidRPr="00981405">
        <w:t xml:space="preserve"> </w:t>
      </w:r>
      <w:r w:rsidRPr="00981405">
        <w:t>acknowledge</w:t>
      </w:r>
      <w:r w:rsidR="00190923" w:rsidRPr="00981405">
        <w:t xml:space="preserve"> </w:t>
      </w:r>
      <w:r w:rsidRPr="00981405">
        <w:t>this.</w:t>
      </w:r>
      <w:r w:rsidR="00190923" w:rsidRPr="00981405">
        <w:t xml:space="preserve"> </w:t>
      </w:r>
      <w:r w:rsidRPr="00981405">
        <w:t>A</w:t>
      </w:r>
      <w:r w:rsidR="00190923" w:rsidRPr="00981405">
        <w:t xml:space="preserve"> </w:t>
      </w:r>
      <w:r w:rsidRPr="00981405">
        <w:t>suggestion</w:t>
      </w:r>
      <w:r w:rsidR="00190923" w:rsidRPr="00981405">
        <w:t xml:space="preserve"> </w:t>
      </w:r>
      <w:r w:rsidRPr="00981405">
        <w:t>was</w:t>
      </w:r>
      <w:r w:rsidR="00190923" w:rsidRPr="00981405">
        <w:t xml:space="preserve"> </w:t>
      </w:r>
      <w:r w:rsidRPr="00981405">
        <w:t>made</w:t>
      </w:r>
      <w:r w:rsidR="00190923" w:rsidRPr="00981405">
        <w:t xml:space="preserve"> </w:t>
      </w:r>
      <w:r w:rsidRPr="00981405">
        <w:t>that</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lastRenderedPageBreak/>
        <w:t>3</w:t>
      </w:r>
      <w:r w:rsidR="00190923" w:rsidRPr="00981405">
        <w:t xml:space="preserve"> </w:t>
      </w:r>
      <w:r w:rsidRPr="00981405">
        <w:t>be</w:t>
      </w:r>
      <w:r w:rsidR="00190923" w:rsidRPr="00981405">
        <w:t xml:space="preserve"> </w:t>
      </w:r>
      <w:r w:rsidRPr="00981405">
        <w:t>elaborated</w:t>
      </w:r>
      <w:r w:rsidR="00190923" w:rsidRPr="00981405">
        <w:t xml:space="preserve"> </w:t>
      </w:r>
      <w:r w:rsidRPr="00981405">
        <w:t>to</w:t>
      </w:r>
      <w:r w:rsidR="00190923" w:rsidRPr="00981405">
        <w:t xml:space="preserve"> </w:t>
      </w:r>
      <w:r w:rsidRPr="00981405">
        <w:t>clarify</w:t>
      </w:r>
      <w:r w:rsidR="00190923" w:rsidRPr="00981405">
        <w:t xml:space="preserve"> </w:t>
      </w:r>
      <w:r w:rsidRPr="00981405">
        <w:t>how</w:t>
      </w:r>
      <w:r w:rsidR="00190923" w:rsidRPr="00981405">
        <w:t xml:space="preserve"> </w:t>
      </w:r>
      <w:r w:rsidRPr="00981405">
        <w:t>environmental</w:t>
      </w:r>
      <w:r w:rsidR="00190923" w:rsidRPr="00981405">
        <w:t xml:space="preserve"> </w:t>
      </w:r>
      <w:r w:rsidRPr="00981405">
        <w:t>consideration</w:t>
      </w:r>
      <w:r w:rsidR="00190923" w:rsidRPr="00981405">
        <w:t xml:space="preserve"> </w:t>
      </w:r>
      <w:r w:rsidRPr="00981405">
        <w:t>should</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in</w:t>
      </w:r>
      <w:r w:rsidR="00190923" w:rsidRPr="00981405">
        <w:t xml:space="preserve"> </w:t>
      </w:r>
      <w:r w:rsidRPr="00981405">
        <w:t>assessing</w:t>
      </w:r>
      <w:r w:rsidR="00190923" w:rsidRPr="00981405">
        <w:t xml:space="preserve"> </w:t>
      </w:r>
      <w:r w:rsidRPr="00981405">
        <w:t>necessity</w:t>
      </w:r>
      <w:r w:rsidR="00190923" w:rsidRPr="00981405">
        <w:t xml:space="preserve"> </w:t>
      </w:r>
      <w:r w:rsidRPr="00981405">
        <w:t>and</w:t>
      </w:r>
      <w:r w:rsidR="00190923" w:rsidRPr="00981405">
        <w:t xml:space="preserve"> </w:t>
      </w:r>
      <w:r w:rsidRPr="00981405">
        <w:t>proportionality.</w:t>
      </w:r>
      <w:r w:rsidR="00190923" w:rsidRPr="00981405">
        <w:t xml:space="preserve"> </w:t>
      </w:r>
      <w:r w:rsidRPr="00981405">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00B92E2C" w:rsidRPr="00981405">
        <w:t>“</w:t>
      </w:r>
      <w:r w:rsidRPr="00981405">
        <w:t>environmental</w:t>
      </w:r>
      <w:r w:rsidR="00190923" w:rsidRPr="00981405">
        <w:t xml:space="preserve"> </w:t>
      </w:r>
      <w:r w:rsidRPr="00981405">
        <w:t>consideration</w:t>
      </w:r>
      <w:r w:rsidR="00B92E2C" w:rsidRPr="00981405">
        <w:t>”</w:t>
      </w:r>
      <w:r w:rsidR="00190923" w:rsidRPr="00981405">
        <w:t xml:space="preserve"> </w:t>
      </w:r>
      <w:r w:rsidRPr="00981405">
        <w:t>would</w:t>
      </w:r>
      <w:r w:rsidR="00190923" w:rsidRPr="00981405">
        <w:t xml:space="preserve"> </w:t>
      </w:r>
      <w:r w:rsidRPr="00981405">
        <w:t>need</w:t>
      </w:r>
      <w:r w:rsidR="00190923" w:rsidRPr="00981405">
        <w:t xml:space="preserve"> </w:t>
      </w:r>
      <w:r w:rsidRPr="00981405">
        <w:t>to</w:t>
      </w:r>
      <w:r w:rsidR="00190923" w:rsidRPr="00981405">
        <w:t xml:space="preserve"> </w:t>
      </w:r>
      <w:r w:rsidRPr="00981405">
        <w:t>be</w:t>
      </w:r>
      <w:r w:rsidR="00190923" w:rsidRPr="00981405">
        <w:t xml:space="preserve"> </w:t>
      </w:r>
      <w:r w:rsidRPr="00981405">
        <w:t>properly</w:t>
      </w:r>
      <w:r w:rsidR="00190923" w:rsidRPr="00981405">
        <w:t xml:space="preserve"> </w:t>
      </w:r>
      <w:r w:rsidRPr="00981405">
        <w:t>defined</w:t>
      </w:r>
      <w:r w:rsidR="00190923" w:rsidRPr="00981405">
        <w:t xml:space="preserve"> </w:t>
      </w:r>
      <w:r w:rsidRPr="00981405">
        <w:t>and</w:t>
      </w:r>
      <w:r w:rsidR="00190923" w:rsidRPr="00981405">
        <w:t xml:space="preserve"> </w:t>
      </w:r>
      <w:r w:rsidRPr="00981405">
        <w:t>that</w:t>
      </w:r>
      <w:r w:rsidR="00190923" w:rsidRPr="00981405">
        <w:t xml:space="preserve"> </w:t>
      </w:r>
      <w:r w:rsidRPr="00981405">
        <w:t>the</w:t>
      </w:r>
      <w:r w:rsidR="00190923" w:rsidRPr="00981405">
        <w:t xml:space="preserve"> </w:t>
      </w:r>
      <w:r w:rsidRPr="00981405">
        <w:t>limit</w:t>
      </w:r>
      <w:r w:rsidR="00190923" w:rsidRPr="00981405">
        <w:t xml:space="preserve"> </w:t>
      </w:r>
      <w:r w:rsidRPr="00981405">
        <w:t>of</w:t>
      </w:r>
      <w:r w:rsidR="00190923" w:rsidRPr="00981405">
        <w:t xml:space="preserve"> </w:t>
      </w:r>
      <w:r w:rsidRPr="00981405">
        <w:t>such</w:t>
      </w:r>
      <w:r w:rsidR="00190923" w:rsidRPr="00981405">
        <w:t xml:space="preserve"> </w:t>
      </w:r>
      <w:r w:rsidRPr="00981405">
        <w:t>consideration</w:t>
      </w:r>
      <w:r w:rsidR="00190923" w:rsidRPr="00981405">
        <w:t xml:space="preserve"> </w:t>
      </w:r>
      <w:r w:rsidRPr="00981405">
        <w:t>be</w:t>
      </w:r>
      <w:r w:rsidR="00190923" w:rsidRPr="00981405">
        <w:t xml:space="preserve"> </w:t>
      </w:r>
      <w:r w:rsidRPr="00981405">
        <w:t>clarified.</w:t>
      </w:r>
      <w:r w:rsidR="00190923" w:rsidRPr="00981405">
        <w:t xml:space="preserve"> </w:t>
      </w:r>
      <w:r w:rsidRPr="00981405">
        <w:t>A</w:t>
      </w:r>
      <w:r w:rsidR="00190923" w:rsidRPr="00981405">
        <w:t xml:space="preserve"> </w:t>
      </w:r>
      <w:r w:rsidRPr="00981405">
        <w:t>proposal</w:t>
      </w:r>
      <w:r w:rsidR="00190923" w:rsidRPr="00981405">
        <w:t xml:space="preserve"> </w:t>
      </w:r>
      <w:r w:rsidRPr="00981405">
        <w:t>was</w:t>
      </w:r>
      <w:r w:rsidR="00190923" w:rsidRPr="00981405">
        <w:t xml:space="preserve"> </w:t>
      </w:r>
      <w:r w:rsidRPr="00981405">
        <w:t>made</w:t>
      </w:r>
      <w:r w:rsidR="00190923" w:rsidRPr="00981405">
        <w:t xml:space="preserve"> </w:t>
      </w:r>
      <w:r w:rsidRPr="00981405">
        <w:t>to</w:t>
      </w:r>
      <w:r w:rsidR="00190923" w:rsidRPr="00981405">
        <w:t xml:space="preserve"> </w:t>
      </w:r>
      <w:r w:rsidRPr="00981405">
        <w:t>add</w:t>
      </w:r>
      <w:r w:rsidR="00190923" w:rsidRPr="00981405">
        <w:t xml:space="preserve"> </w:t>
      </w:r>
      <w:r w:rsidRPr="00981405">
        <w:t>a</w:t>
      </w:r>
      <w:r w:rsidR="00190923" w:rsidRPr="00981405">
        <w:t xml:space="preserve"> </w:t>
      </w:r>
      <w:r w:rsidRPr="00981405">
        <w:t>sentence</w:t>
      </w:r>
      <w:r w:rsidR="00190923" w:rsidRPr="00981405">
        <w:t xml:space="preserve"> </w:t>
      </w:r>
      <w:r w:rsidRPr="00981405">
        <w:t>to</w:t>
      </w:r>
      <w:r w:rsidR="00190923" w:rsidRPr="00981405">
        <w:t xml:space="preserve"> </w:t>
      </w:r>
      <w:r w:rsidRPr="00981405">
        <w:t>the</w:t>
      </w:r>
      <w:r w:rsidR="00190923" w:rsidRPr="00981405">
        <w:t xml:space="preserve"> </w:t>
      </w:r>
      <w:r w:rsidRPr="00981405">
        <w:t>effect</w:t>
      </w:r>
      <w:r w:rsidR="00190923" w:rsidRPr="00981405">
        <w:t xml:space="preserve"> </w:t>
      </w:r>
      <w:r w:rsidRPr="00981405">
        <w:t>that</w:t>
      </w:r>
      <w:r w:rsidR="00190923" w:rsidRPr="00981405">
        <w:t xml:space="preserve"> </w:t>
      </w:r>
      <w:r w:rsidRPr="00981405">
        <w:t>such</w:t>
      </w:r>
      <w:r w:rsidR="00190923" w:rsidRPr="00981405">
        <w:t xml:space="preserve"> </w:t>
      </w:r>
      <w:r w:rsidRPr="00981405">
        <w:t>assessments</w:t>
      </w:r>
      <w:r w:rsidR="00190923" w:rsidRPr="00981405">
        <w:t xml:space="preserve"> </w:t>
      </w:r>
      <w:r w:rsidRPr="00981405">
        <w:t>should</w:t>
      </w:r>
      <w:r w:rsidR="00190923" w:rsidRPr="00981405">
        <w:t xml:space="preserve"> </w:t>
      </w:r>
      <w:r w:rsidRPr="00981405">
        <w:t>be</w:t>
      </w:r>
      <w:r w:rsidR="00190923" w:rsidRPr="00981405">
        <w:t xml:space="preserve"> </w:t>
      </w:r>
      <w:r w:rsidRPr="00981405">
        <w:t>done</w:t>
      </w:r>
      <w:r w:rsidR="00190923" w:rsidRPr="00981405">
        <w:t xml:space="preserve"> </w:t>
      </w:r>
      <w:r w:rsidRPr="00981405">
        <w:t>objectively</w:t>
      </w:r>
      <w:r w:rsidR="00190923" w:rsidRPr="00981405">
        <w:t xml:space="preserve"> </w:t>
      </w:r>
      <w:r w:rsidRPr="00981405">
        <w:t>and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information</w:t>
      </w:r>
      <w:r w:rsidR="00190923" w:rsidRPr="00981405">
        <w:t xml:space="preserve"> </w:t>
      </w:r>
      <w:r w:rsidRPr="00981405">
        <w:t>available</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A</w:t>
      </w:r>
      <w:r w:rsidR="00190923" w:rsidRPr="00981405">
        <w:t xml:space="preserve"> </w:t>
      </w:r>
      <w:r w:rsidRPr="00981405">
        <w:t>certain</w:t>
      </w:r>
      <w:r w:rsidR="00190923" w:rsidRPr="00981405">
        <w:t xml:space="preserve"> </w:t>
      </w:r>
      <w:r w:rsidRPr="00981405">
        <w:t>overlap</w:t>
      </w:r>
      <w:r w:rsidR="00190923" w:rsidRPr="00981405">
        <w:t xml:space="preserve"> </w:t>
      </w:r>
      <w:r w:rsidRPr="00981405">
        <w:t>between</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2</w:t>
      </w:r>
      <w:r w:rsidR="00190923" w:rsidRPr="00981405">
        <w:t xml:space="preserve"> </w:t>
      </w:r>
      <w:r w:rsidRPr="00981405">
        <w:t>and</w:t>
      </w:r>
      <w:r w:rsidR="00190923" w:rsidRPr="00981405">
        <w:t xml:space="preserve"> </w:t>
      </w:r>
      <w:r w:rsidRPr="00981405">
        <w:t>3</w:t>
      </w:r>
      <w:r w:rsidR="00190923" w:rsidRPr="00981405">
        <w:t xml:space="preserve"> </w:t>
      </w:r>
      <w:r w:rsidRPr="00981405">
        <w:t>was</w:t>
      </w:r>
      <w:r w:rsidR="00190923" w:rsidRPr="00981405">
        <w:t xml:space="preserve"> </w:t>
      </w:r>
      <w:r w:rsidRPr="00981405">
        <w:t>observed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and</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merging</w:t>
      </w:r>
      <w:r w:rsidR="00190923" w:rsidRPr="00981405">
        <w:t xml:space="preserve"> </w:t>
      </w:r>
      <w:r w:rsidRPr="00981405">
        <w:t>the</w:t>
      </w:r>
      <w:r w:rsidR="00190923" w:rsidRPr="00981405">
        <w:t xml:space="preserve"> </w:t>
      </w:r>
      <w:r w:rsidRPr="00981405">
        <w:t>two</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was</w:t>
      </w:r>
      <w:r w:rsidR="00190923" w:rsidRPr="00981405">
        <w:t xml:space="preserve"> </w:t>
      </w:r>
      <w:r w:rsidRPr="00981405">
        <w:t>therefore</w:t>
      </w:r>
      <w:r w:rsidR="00190923" w:rsidRPr="00981405">
        <w:t xml:space="preserve"> </w:t>
      </w:r>
      <w:r w:rsidRPr="00981405">
        <w:t>put</w:t>
      </w:r>
      <w:r w:rsidR="00190923" w:rsidRPr="00981405">
        <w:t xml:space="preserve"> </w:t>
      </w:r>
      <w:r w:rsidRPr="00981405">
        <w:t>forward.</w:t>
      </w:r>
      <w:r w:rsidR="00190923" w:rsidRPr="00981405">
        <w:t xml:space="preserve"> </w:t>
      </w:r>
      <w:r w:rsidRPr="00981405">
        <w:t>However,</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3</w:t>
      </w:r>
      <w:r w:rsidR="00190923" w:rsidRPr="00981405">
        <w:t xml:space="preserve"> </w:t>
      </w:r>
      <w:r w:rsidRPr="00981405">
        <w:t>was</w:t>
      </w:r>
      <w:r w:rsidR="00190923" w:rsidRPr="00981405">
        <w:t xml:space="preserve"> </w:t>
      </w:r>
      <w:r w:rsidRPr="00981405">
        <w:t>more</w:t>
      </w:r>
      <w:r w:rsidR="00190923" w:rsidRPr="00981405">
        <w:t xml:space="preserve"> </w:t>
      </w:r>
      <w:r w:rsidRPr="00981405">
        <w:t>specific</w:t>
      </w:r>
      <w:r w:rsidR="00190923" w:rsidRPr="00981405">
        <w:t xml:space="preserve"> </w:t>
      </w:r>
      <w:r w:rsidRPr="00981405">
        <w:t>than</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2</w:t>
      </w:r>
      <w:r w:rsidR="00190923" w:rsidRPr="00981405">
        <w:t xml:space="preserve"> </w:t>
      </w:r>
      <w:r w:rsidRPr="00981405">
        <w:t>and</w:t>
      </w:r>
      <w:r w:rsidR="00190923" w:rsidRPr="00981405">
        <w:t xml:space="preserve"> </w:t>
      </w:r>
      <w:r w:rsidRPr="00981405">
        <w:t>should</w:t>
      </w:r>
      <w:r w:rsidR="00190923" w:rsidRPr="00981405">
        <w:t xml:space="preserve"> </w:t>
      </w:r>
      <w:r w:rsidRPr="00981405">
        <w:t>be</w:t>
      </w:r>
      <w:r w:rsidR="00190923" w:rsidRPr="00981405">
        <w:t xml:space="preserve"> </w:t>
      </w:r>
      <w:r w:rsidRPr="00981405">
        <w:t>retained.</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41" w:name="_Toc427938131"/>
      <w:r w:rsidRPr="00D97463">
        <w:t>(h)</w:t>
      </w:r>
      <w:r w:rsidRPr="00D97463">
        <w:tab/>
        <w:t>Draft</w:t>
      </w:r>
      <w:r w:rsidR="00190923" w:rsidRPr="00D97463">
        <w:t xml:space="preserve"> </w:t>
      </w:r>
      <w:r w:rsidRPr="00D97463">
        <w:t>principle</w:t>
      </w:r>
      <w:r w:rsidR="00190923" w:rsidRPr="00D97463">
        <w:t xml:space="preserve"> </w:t>
      </w:r>
      <w:r w:rsidRPr="00D97463">
        <w:t>4</w:t>
      </w:r>
      <w:bookmarkEnd w:id="141"/>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158.</w:t>
      </w:r>
      <w:r w:rsidRPr="00981405">
        <w:tab/>
        <w:t>Several</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4</w:t>
      </w:r>
      <w:r w:rsidR="00190923" w:rsidRPr="00981405">
        <w:t xml:space="preserve"> </w:t>
      </w:r>
      <w:r w:rsidRPr="00981405">
        <w:t>mirrored</w:t>
      </w:r>
      <w:r w:rsidR="00190923" w:rsidRPr="00981405">
        <w:t xml:space="preserve"> </w:t>
      </w:r>
      <w:r w:rsidRPr="00981405">
        <w:t>the</w:t>
      </w:r>
      <w:r w:rsidR="00190923" w:rsidRPr="00981405">
        <w:t xml:space="preserve"> </w:t>
      </w:r>
      <w:r w:rsidRPr="00981405">
        <w:t>provision</w:t>
      </w:r>
      <w:r w:rsidR="00190923" w:rsidRPr="00981405">
        <w:t xml:space="preserve"> </w:t>
      </w:r>
      <w:r w:rsidRPr="00981405">
        <w:t>laid</w:t>
      </w:r>
      <w:r w:rsidR="00190923" w:rsidRPr="00981405">
        <w:t xml:space="preserve"> </w:t>
      </w:r>
      <w:r w:rsidRPr="00981405">
        <w:t>down</w:t>
      </w:r>
      <w:r w:rsidR="00190923" w:rsidRPr="00981405">
        <w:t xml:space="preserve"> </w:t>
      </w:r>
      <w:r w:rsidRPr="00981405">
        <w:t>in</w:t>
      </w:r>
      <w:r w:rsidR="00190923" w:rsidRPr="00981405">
        <w:t xml:space="preserve"> </w:t>
      </w:r>
      <w:r w:rsidRPr="00981405">
        <w:t>article</w:t>
      </w:r>
      <w:r w:rsidR="00190923" w:rsidRPr="00981405">
        <w:t xml:space="preserve"> </w:t>
      </w:r>
      <w:r w:rsidRPr="00981405">
        <w:t>55,</w:t>
      </w:r>
      <w:r w:rsidR="00190923" w:rsidRPr="00981405">
        <w:t xml:space="preserve"> </w:t>
      </w:r>
      <w:r w:rsidRPr="00981405">
        <w:t>paragraph</w:t>
      </w:r>
      <w:r w:rsidR="00190923" w:rsidRPr="00981405">
        <w:t xml:space="preserve"> </w:t>
      </w:r>
      <w:r w:rsidRPr="00981405">
        <w:t>2,</w:t>
      </w:r>
      <w:r w:rsidR="00190923" w:rsidRPr="00981405">
        <w:t xml:space="preserve"> </w:t>
      </w:r>
      <w:r w:rsidRPr="00981405">
        <w:t>of</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w:t>
      </w:r>
      <w:r w:rsidR="00190923" w:rsidRPr="00981405">
        <w:t xml:space="preserve"> </w:t>
      </w:r>
      <w:r w:rsidRPr="00981405">
        <w:t>and</w:t>
      </w:r>
      <w:r w:rsidR="00190923" w:rsidRPr="00981405">
        <w:t xml:space="preserve"> </w:t>
      </w:r>
      <w:r w:rsidRPr="00981405">
        <w:t>expressed</w:t>
      </w:r>
      <w:r w:rsidR="00190923" w:rsidRPr="00981405">
        <w:t xml:space="preserve"> </w:t>
      </w:r>
      <w:r w:rsidRPr="00981405">
        <w:t>support</w:t>
      </w:r>
      <w:r w:rsidR="00190923" w:rsidRPr="00981405">
        <w:t xml:space="preserve"> </w:t>
      </w:r>
      <w:r w:rsidRPr="00981405">
        <w:t>for</w:t>
      </w:r>
      <w:r w:rsidR="00190923" w:rsidRPr="00981405">
        <w:t xml:space="preserve"> </w:t>
      </w:r>
      <w:r w:rsidRPr="00981405">
        <w:t>its</w:t>
      </w:r>
      <w:r w:rsidR="00190923" w:rsidRPr="00981405">
        <w:t xml:space="preserve"> </w:t>
      </w:r>
      <w:r w:rsidRPr="00981405">
        <w:t>inclusion.</w:t>
      </w:r>
      <w:r w:rsidR="00190923" w:rsidRPr="00981405">
        <w:t xml:space="preserve"> </w:t>
      </w:r>
      <w:r w:rsidRPr="00981405">
        <w:t>An</w:t>
      </w:r>
      <w:r w:rsidR="00190923" w:rsidRPr="00981405">
        <w:t xml:space="preserve"> </w:t>
      </w:r>
      <w:r w:rsidRPr="00981405">
        <w:t>absolute</w:t>
      </w:r>
      <w:r w:rsidR="00190923" w:rsidRPr="00981405">
        <w:t xml:space="preserve"> </w:t>
      </w:r>
      <w:r w:rsidRPr="00981405">
        <w:t>prohibition</w:t>
      </w:r>
      <w:r w:rsidR="00190923" w:rsidRPr="00981405">
        <w:t xml:space="preserve"> </w:t>
      </w:r>
      <w:r w:rsidRPr="00981405">
        <w:t>seemed</w:t>
      </w:r>
      <w:r w:rsidR="00190923" w:rsidRPr="00981405">
        <w:t xml:space="preserve"> </w:t>
      </w:r>
      <w:r w:rsidRPr="00981405">
        <w:t>appropriate;</w:t>
      </w:r>
      <w:r w:rsidR="00190923" w:rsidRPr="00981405">
        <w:t xml:space="preserve"> </w:t>
      </w:r>
      <w:r w:rsidRPr="00981405">
        <w:t>if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or</w:t>
      </w:r>
      <w:r w:rsidR="00190923" w:rsidRPr="00981405">
        <w:t xml:space="preserve"> </w:t>
      </w:r>
      <w:r w:rsidRPr="00981405">
        <w:t>part</w:t>
      </w:r>
      <w:r w:rsidR="00190923" w:rsidRPr="00981405">
        <w:t xml:space="preserve"> </w:t>
      </w:r>
      <w:r w:rsidRPr="00981405">
        <w:t>thereof,</w:t>
      </w:r>
      <w:r w:rsidR="00190923" w:rsidRPr="00981405">
        <w:t xml:space="preserve"> </w:t>
      </w:r>
      <w:r w:rsidRPr="00981405">
        <w:t>became</w:t>
      </w:r>
      <w:r w:rsidR="00190923" w:rsidRPr="00981405">
        <w:t xml:space="preserve"> </w:t>
      </w:r>
      <w:r w:rsidRPr="00981405">
        <w:t>a</w:t>
      </w:r>
      <w:r w:rsidR="00190923" w:rsidRPr="00981405">
        <w:t xml:space="preserve"> </w:t>
      </w:r>
      <w:r w:rsidRPr="00981405">
        <w:t>military</w:t>
      </w:r>
      <w:r w:rsidR="00190923" w:rsidRPr="00981405">
        <w:t xml:space="preserve"> </w:t>
      </w:r>
      <w:r w:rsidRPr="00981405">
        <w:t>objective</w:t>
      </w:r>
      <w:r w:rsidR="00190923" w:rsidRPr="00981405">
        <w:t xml:space="preserve"> </w:t>
      </w:r>
      <w:r w:rsidRPr="00981405">
        <w:t>other</w:t>
      </w:r>
      <w:r w:rsidR="00190923" w:rsidRPr="00981405">
        <w:t xml:space="preserve"> </w:t>
      </w:r>
      <w:r w:rsidRPr="00981405">
        <w:t>rules</w:t>
      </w:r>
      <w:r w:rsidR="00190923" w:rsidRPr="00981405">
        <w:t xml:space="preserve"> </w:t>
      </w:r>
      <w:r w:rsidRPr="00981405">
        <w:t>applied</w:t>
      </w:r>
      <w:r w:rsidR="00190923" w:rsidRPr="00981405">
        <w:t xml:space="preserve"> </w:t>
      </w:r>
      <w:r w:rsidRPr="00981405">
        <w:t>concerning</w:t>
      </w:r>
      <w:r w:rsidR="00190923" w:rsidRPr="00981405">
        <w:t xml:space="preserve"> </w:t>
      </w:r>
      <w:r w:rsidRPr="00981405">
        <w:t>attacks</w:t>
      </w:r>
      <w:r w:rsidR="00190923" w:rsidRPr="00981405">
        <w:t xml:space="preserve"> </w:t>
      </w:r>
      <w:r w:rsidRPr="00981405">
        <w:t>against</w:t>
      </w:r>
      <w:r w:rsidR="00190923" w:rsidRPr="00981405">
        <w:t xml:space="preserve"> </w:t>
      </w:r>
      <w:r w:rsidRPr="00981405">
        <w:t>it.</w:t>
      </w:r>
      <w:r w:rsidR="00190923" w:rsidRPr="00981405">
        <w:t xml:space="preserve"> </w:t>
      </w:r>
      <w:r w:rsidRPr="00981405">
        <w:t>Anything</w:t>
      </w:r>
      <w:r w:rsidR="00190923" w:rsidRPr="00981405">
        <w:t xml:space="preserve"> </w:t>
      </w:r>
      <w:r w:rsidRPr="00981405">
        <w:t>less</w:t>
      </w:r>
      <w:r w:rsidR="00190923" w:rsidRPr="00981405">
        <w:t xml:space="preserve"> </w:t>
      </w:r>
      <w:r w:rsidRPr="00981405">
        <w:t>than</w:t>
      </w:r>
      <w:r w:rsidR="00190923" w:rsidRPr="00981405">
        <w:t xml:space="preserve"> </w:t>
      </w:r>
      <w:r w:rsidRPr="00981405">
        <w:t>an</w:t>
      </w:r>
      <w:r w:rsidR="00190923" w:rsidRPr="00981405">
        <w:t xml:space="preserve"> </w:t>
      </w:r>
      <w:r w:rsidRPr="00981405">
        <w:t>absolute</w:t>
      </w:r>
      <w:r w:rsidR="00190923" w:rsidRPr="00981405">
        <w:t xml:space="preserve"> </w:t>
      </w:r>
      <w:r w:rsidRPr="00981405">
        <w:t>prohibition</w:t>
      </w:r>
      <w:r w:rsidR="00190923" w:rsidRPr="00981405">
        <w:t xml:space="preserve"> </w:t>
      </w:r>
      <w:r w:rsidRPr="00981405">
        <w:t>therefore</w:t>
      </w:r>
      <w:r w:rsidR="00190923" w:rsidRPr="00981405">
        <w:t xml:space="preserve"> </w:t>
      </w:r>
      <w:r w:rsidRPr="00981405">
        <w:t>did</w:t>
      </w:r>
      <w:r w:rsidR="00190923" w:rsidRPr="00981405">
        <w:t xml:space="preserve"> </w:t>
      </w:r>
      <w:r w:rsidRPr="00981405">
        <w:t>not</w:t>
      </w:r>
      <w:r w:rsidR="00190923" w:rsidRPr="00981405">
        <w:t xml:space="preserve"> </w:t>
      </w:r>
      <w:r w:rsidRPr="00981405">
        <w:t>seem</w:t>
      </w:r>
      <w:r w:rsidR="00190923" w:rsidRPr="00981405">
        <w:t xml:space="preserve"> </w:t>
      </w:r>
      <w:r w:rsidRPr="00981405">
        <w:t>warranted.</w:t>
      </w:r>
      <w:r w:rsidR="00190923" w:rsidRPr="00981405">
        <w:t xml:space="preserve"> </w:t>
      </w:r>
      <w:r w:rsidRPr="00981405">
        <w:t>It</w:t>
      </w:r>
      <w:r w:rsidR="00190923" w:rsidRPr="00981405">
        <w:t xml:space="preserve"> </w:t>
      </w:r>
      <w:r w:rsidRPr="00981405">
        <w:t>was</w:t>
      </w:r>
      <w:r w:rsidR="00190923" w:rsidRPr="00981405">
        <w:t xml:space="preserve"> </w:t>
      </w:r>
      <w:r w:rsidRPr="00981405">
        <w:t>further</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may</w:t>
      </w:r>
      <w:r w:rsidR="00190923" w:rsidRPr="00981405">
        <w:t xml:space="preserve"> </w:t>
      </w:r>
      <w:r w:rsidRPr="00981405">
        <w:t>exist</w:t>
      </w:r>
      <w:r w:rsidR="00190923" w:rsidRPr="00981405">
        <w:t xml:space="preserve"> </w:t>
      </w:r>
      <w:r w:rsidRPr="00981405">
        <w:t>only</w:t>
      </w:r>
      <w:r w:rsidR="00190923" w:rsidRPr="00981405">
        <w:t xml:space="preserve"> </w:t>
      </w:r>
      <w:r w:rsidRPr="00981405">
        <w:t>as</w:t>
      </w:r>
      <w:r w:rsidR="00190923" w:rsidRPr="00981405">
        <w:t xml:space="preserve"> </w:t>
      </w:r>
      <w:r w:rsidRPr="00981405">
        <w:t>a</w:t>
      </w:r>
      <w:r w:rsidR="00190923" w:rsidRPr="00981405">
        <w:t xml:space="preserve"> </w:t>
      </w:r>
      <w:r w:rsidRPr="00981405">
        <w:t>treaty</w:t>
      </w:r>
      <w:r w:rsidR="00190923" w:rsidRPr="00981405">
        <w:t xml:space="preserve"> </w:t>
      </w:r>
      <w:r w:rsidRPr="00981405">
        <w:t>obligation</w:t>
      </w:r>
      <w:r w:rsidR="00190923" w:rsidRPr="00981405">
        <w:t xml:space="preserve"> </w:t>
      </w:r>
      <w:r w:rsidRPr="00981405">
        <w:t>and</w:t>
      </w:r>
      <w:r w:rsidR="00190923" w:rsidRPr="00981405">
        <w:t xml:space="preserve"> </w:t>
      </w:r>
      <w:r w:rsidRPr="00981405">
        <w:t>not</w:t>
      </w:r>
      <w:r w:rsidR="00190923" w:rsidRPr="00981405">
        <w:t xml:space="preserve"> </w:t>
      </w:r>
      <w:r w:rsidRPr="00981405">
        <w:t>as</w:t>
      </w:r>
      <w:r w:rsidR="00190923" w:rsidRPr="00981405">
        <w:t xml:space="preserve"> </w:t>
      </w:r>
      <w:r w:rsidRPr="00981405">
        <w:t>a</w:t>
      </w:r>
      <w:r w:rsidR="00190923" w:rsidRPr="00981405">
        <w:t xml:space="preserve"> </w:t>
      </w:r>
      <w:r w:rsidRPr="00981405">
        <w:t>customary</w:t>
      </w:r>
      <w:r w:rsidR="00190923" w:rsidRPr="00981405">
        <w:t xml:space="preserve"> </w:t>
      </w:r>
      <w:r w:rsidRPr="00981405">
        <w:t>rule</w:t>
      </w:r>
      <w:r w:rsidR="00190923" w:rsidRPr="00981405">
        <w:t xml:space="preserve"> </w:t>
      </w:r>
      <w:r w:rsidRPr="00981405">
        <w:t>could</w:t>
      </w:r>
      <w:r w:rsidR="00190923" w:rsidRPr="00981405">
        <w:t xml:space="preserve"> </w:t>
      </w:r>
      <w:r w:rsidRPr="00981405">
        <w:t>be</w:t>
      </w:r>
      <w:r w:rsidR="00190923" w:rsidRPr="00981405">
        <w:t xml:space="preserve"> </w:t>
      </w:r>
      <w:r w:rsidRPr="00981405">
        <w:t>explained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commentaries;</w:t>
      </w:r>
      <w:r w:rsidR="00190923" w:rsidRPr="00981405">
        <w:t xml:space="preserve"> </w:t>
      </w:r>
      <w:r w:rsidRPr="00981405">
        <w:t>the</w:t>
      </w:r>
      <w:r w:rsidR="00190923" w:rsidRPr="00981405">
        <w:t xml:space="preserve"> </w:t>
      </w:r>
      <w:r w:rsidRPr="00981405">
        <w:t>task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not</w:t>
      </w:r>
      <w:r w:rsidR="00190923" w:rsidRPr="00981405">
        <w:t xml:space="preserve"> </w:t>
      </w:r>
      <w:r w:rsidRPr="00981405">
        <w:t>to</w:t>
      </w:r>
      <w:r w:rsidR="00190923" w:rsidRPr="00981405">
        <w:t xml:space="preserve"> </w:t>
      </w:r>
      <w:r w:rsidRPr="00981405">
        <w:t>produce</w:t>
      </w:r>
      <w:r w:rsidR="00190923" w:rsidRPr="00981405">
        <w:t xml:space="preserve"> </w:t>
      </w:r>
      <w:r w:rsidRPr="00981405">
        <w:t>a</w:t>
      </w:r>
      <w:r w:rsidR="00190923" w:rsidRPr="00981405">
        <w:t xml:space="preserve"> </w:t>
      </w:r>
      <w:r w:rsidRPr="00981405">
        <w:t>catalogue</w:t>
      </w:r>
      <w:r w:rsidR="00190923" w:rsidRPr="00981405">
        <w:t xml:space="preserve"> </w:t>
      </w:r>
      <w:r w:rsidRPr="00981405">
        <w:t>of</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However,</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considered</w:t>
      </w:r>
      <w:r w:rsidR="00190923" w:rsidRPr="00981405">
        <w:t xml:space="preserve"> </w:t>
      </w:r>
      <w:r w:rsidRPr="00981405">
        <w:t>highly</w:t>
      </w:r>
      <w:r w:rsidR="00190923" w:rsidRPr="00981405">
        <w:t xml:space="preserve"> </w:t>
      </w:r>
      <w:r w:rsidRPr="00981405">
        <w:t>pertinent</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against</w:t>
      </w:r>
      <w:r w:rsidR="00190923" w:rsidRPr="00981405">
        <w:t xml:space="preserve"> </w:t>
      </w:r>
      <w:r w:rsidRPr="00981405">
        <w:t>reprisals</w:t>
      </w:r>
      <w:r w:rsidR="00190923" w:rsidRPr="00981405">
        <w:t xml:space="preserve"> </w:t>
      </w:r>
      <w:r w:rsidRPr="00981405">
        <w:t>was</w:t>
      </w:r>
      <w:r w:rsidR="00190923" w:rsidRPr="00981405">
        <w:t xml:space="preserve"> </w:t>
      </w:r>
      <w:r w:rsidRPr="00981405">
        <w:t>not</w:t>
      </w:r>
      <w:r w:rsidR="00190923" w:rsidRPr="00981405">
        <w:t xml:space="preserve"> </w:t>
      </w:r>
      <w:r w:rsidRPr="00981405">
        <w:t>generally</w:t>
      </w:r>
      <w:r w:rsidR="00190923" w:rsidRPr="00981405">
        <w:t xml:space="preserve"> </w:t>
      </w:r>
      <w:r w:rsidRPr="00981405">
        <w:t>accepted</w:t>
      </w:r>
      <w:r w:rsidR="00190923" w:rsidRPr="00981405">
        <w:t xml:space="preserve"> </w:t>
      </w:r>
      <w:r w:rsidRPr="00981405">
        <w:t>as</w:t>
      </w:r>
      <w:r w:rsidR="00190923" w:rsidRPr="00981405">
        <w:t xml:space="preserve"> </w:t>
      </w:r>
      <w:r w:rsidRPr="00981405">
        <w:t>a</w:t>
      </w:r>
      <w:r w:rsidR="00190923" w:rsidRPr="00981405">
        <w:t xml:space="preserve"> </w:t>
      </w:r>
      <w:r w:rsidRPr="00981405">
        <w:t>rule</w:t>
      </w:r>
      <w:r w:rsidR="00190923" w:rsidRPr="00981405">
        <w:t xml:space="preserve"> </w:t>
      </w:r>
      <w:r w:rsidRPr="00981405">
        <w:t>under</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should</w:t>
      </w:r>
      <w:r w:rsidR="00190923" w:rsidRPr="00981405">
        <w:t xml:space="preserve"> </w:t>
      </w:r>
      <w:r w:rsidRPr="00981405">
        <w:t>be</w:t>
      </w:r>
      <w:r w:rsidR="00190923" w:rsidRPr="00981405">
        <w:t xml:space="preserve"> </w:t>
      </w:r>
      <w:r w:rsidRPr="00981405">
        <w:t>reflected</w:t>
      </w:r>
      <w:r w:rsidR="00190923" w:rsidRPr="00981405">
        <w:t xml:space="preserve"> </w:t>
      </w:r>
      <w:r w:rsidRPr="00981405">
        <w:t>as</w:t>
      </w:r>
      <w:r w:rsidR="00190923" w:rsidRPr="00981405">
        <w:t xml:space="preserve"> </w:t>
      </w:r>
      <w:r w:rsidRPr="00981405">
        <w:t>such</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The</w:t>
      </w:r>
      <w:r w:rsidR="00190923" w:rsidRPr="00981405">
        <w:t xml:space="preserve"> </w:t>
      </w:r>
      <w:r w:rsidRPr="00981405">
        <w:t>drafting</w:t>
      </w:r>
      <w:r w:rsidR="00190923" w:rsidRPr="00981405">
        <w:t xml:space="preserve"> </w:t>
      </w:r>
      <w:r w:rsidRPr="00981405">
        <w:t>of</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in</w:t>
      </w:r>
      <w:r w:rsidR="00190923" w:rsidRPr="00981405">
        <w:t xml:space="preserve"> </w:t>
      </w:r>
      <w:r w:rsidRPr="00981405">
        <w:t>such</w:t>
      </w:r>
      <w:r w:rsidR="00190923" w:rsidRPr="00981405">
        <w:t xml:space="preserve"> </w:t>
      </w:r>
      <w:r w:rsidRPr="00981405">
        <w:t>absolute</w:t>
      </w:r>
      <w:r w:rsidR="00190923" w:rsidRPr="00981405">
        <w:t xml:space="preserve"> </w:t>
      </w:r>
      <w:r w:rsidRPr="00981405">
        <w:t>terms</w:t>
      </w:r>
      <w:r w:rsidR="00190923" w:rsidRPr="00981405">
        <w:t xml:space="preserve"> </w:t>
      </w:r>
      <w:r w:rsidRPr="00981405">
        <w:t>as</w:t>
      </w:r>
      <w:r w:rsidR="00190923" w:rsidRPr="00981405">
        <w:t xml:space="preserve"> </w:t>
      </w:r>
      <w:r w:rsidRPr="00981405">
        <w:t>had</w:t>
      </w:r>
      <w:r w:rsidR="00190923" w:rsidRPr="00981405">
        <w:t xml:space="preserve"> </w:t>
      </w:r>
      <w:r w:rsidRPr="00981405">
        <w:t>been</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was</w:t>
      </w:r>
      <w:r w:rsidR="00190923" w:rsidRPr="00981405">
        <w:t xml:space="preserve"> </w:t>
      </w:r>
      <w:r w:rsidRPr="00981405">
        <w:t>thus</w:t>
      </w:r>
      <w:r w:rsidR="00190923" w:rsidRPr="00981405">
        <w:t xml:space="preserve"> </w:t>
      </w:r>
      <w:r w:rsidRPr="00981405">
        <w:t>questioned</w:t>
      </w:r>
      <w:r w:rsidR="00190923" w:rsidRPr="00981405">
        <w:t xml:space="preserve"> </w:t>
      </w:r>
      <w:r w:rsidRPr="00981405">
        <w:t>by</w:t>
      </w:r>
      <w:r w:rsidR="00190923" w:rsidRPr="00981405">
        <w:t xml:space="preserve"> </w:t>
      </w:r>
      <w:r w:rsidRPr="00981405">
        <w:t>those</w:t>
      </w:r>
      <w:r w:rsidR="00190923" w:rsidRPr="00981405">
        <w:t xml:space="preserve"> </w:t>
      </w:r>
      <w:r w:rsidRPr="00981405">
        <w:t>members.</w:t>
      </w:r>
      <w:r w:rsidR="00190923" w:rsidRPr="00981405">
        <w:t xml:space="preserve"> </w:t>
      </w:r>
      <w:r w:rsidRPr="00981405">
        <w:t>Moreover,</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in</w:t>
      </w:r>
      <w:r w:rsidR="00190923" w:rsidRPr="00981405">
        <w:t xml:space="preserve"> </w:t>
      </w:r>
      <w:r w:rsidRPr="00981405">
        <w:t>exceptional</w:t>
      </w:r>
      <w:r w:rsidR="00190923" w:rsidRPr="00981405">
        <w:t xml:space="preserve"> </w:t>
      </w:r>
      <w:r w:rsidRPr="00981405">
        <w:t>cases,</w:t>
      </w:r>
      <w:r w:rsidR="00190923" w:rsidRPr="00981405">
        <w:t xml:space="preserve"> </w:t>
      </w:r>
      <w:r w:rsidRPr="00981405">
        <w:t>belligerent</w:t>
      </w:r>
      <w:r w:rsidR="00190923" w:rsidRPr="00981405">
        <w:t xml:space="preserve"> </w:t>
      </w:r>
      <w:r w:rsidRPr="00981405">
        <w:t>reprisals</w:t>
      </w:r>
      <w:r w:rsidR="00190923" w:rsidRPr="00981405">
        <w:t xml:space="preserve"> </w:t>
      </w:r>
      <w:r w:rsidRPr="00981405">
        <w:t>could</w:t>
      </w:r>
      <w:r w:rsidR="00190923" w:rsidRPr="00981405">
        <w:t xml:space="preserve"> </w:t>
      </w:r>
      <w:r w:rsidRPr="00981405">
        <w:t>be</w:t>
      </w:r>
      <w:r w:rsidR="00190923" w:rsidRPr="00981405">
        <w:t xml:space="preserve"> </w:t>
      </w:r>
      <w:r w:rsidRPr="00981405">
        <w:t>considered</w:t>
      </w:r>
      <w:r w:rsidR="00190923" w:rsidRPr="00981405">
        <w:t xml:space="preserve"> </w:t>
      </w:r>
      <w:r w:rsidRPr="00981405">
        <w:t>lawful</w:t>
      </w:r>
      <w:r w:rsidR="00190923" w:rsidRPr="00981405">
        <w:t xml:space="preserve"> </w:t>
      </w:r>
      <w:r w:rsidRPr="00981405">
        <w:t>when</w:t>
      </w:r>
      <w:r w:rsidR="00190923" w:rsidRPr="00981405">
        <w:t xml:space="preserve"> </w:t>
      </w:r>
      <w:r w:rsidRPr="00981405">
        <w:t>used</w:t>
      </w:r>
      <w:r w:rsidR="00190923" w:rsidRPr="00981405">
        <w:t xml:space="preserve"> </w:t>
      </w:r>
      <w:r w:rsidRPr="00981405">
        <w:t>as</w:t>
      </w:r>
      <w:r w:rsidR="00190923" w:rsidRPr="00981405">
        <w:t xml:space="preserve"> </w:t>
      </w:r>
      <w:r w:rsidRPr="00981405">
        <w:t>an</w:t>
      </w:r>
      <w:r w:rsidR="00190923" w:rsidRPr="00981405">
        <w:t xml:space="preserve"> </w:t>
      </w:r>
      <w:r w:rsidRPr="00981405">
        <w:t>enforcement</w:t>
      </w:r>
      <w:r w:rsidR="00190923" w:rsidRPr="00981405">
        <w:t xml:space="preserve"> </w:t>
      </w:r>
      <w:r w:rsidRPr="00981405">
        <w:t>measures</w:t>
      </w:r>
      <w:r w:rsidR="00190923" w:rsidRPr="00981405">
        <w:t xml:space="preserve"> </w:t>
      </w:r>
      <w:r w:rsidRPr="00981405">
        <w:t>in</w:t>
      </w:r>
      <w:r w:rsidR="00190923" w:rsidRPr="00981405">
        <w:t xml:space="preserve"> </w:t>
      </w:r>
      <w:r w:rsidRPr="00981405">
        <w:t>reaction</w:t>
      </w:r>
      <w:r w:rsidR="00190923" w:rsidRPr="00981405">
        <w:t xml:space="preserve"> </w:t>
      </w:r>
      <w:r w:rsidRPr="00981405">
        <w:t>to</w:t>
      </w:r>
      <w:r w:rsidR="00190923" w:rsidRPr="00981405">
        <w:t xml:space="preserve"> </w:t>
      </w:r>
      <w:r w:rsidRPr="00981405">
        <w:t>unlawful</w:t>
      </w:r>
      <w:r w:rsidR="00190923" w:rsidRPr="00981405">
        <w:t xml:space="preserve"> </w:t>
      </w:r>
      <w:r w:rsidRPr="00981405">
        <w:t>acts</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party.</w:t>
      </w:r>
      <w:r w:rsidR="00190923" w:rsidRPr="00981405">
        <w:t xml:space="preserve"> </w:t>
      </w:r>
      <w:r w:rsidRPr="00981405">
        <w:t>In</w:t>
      </w:r>
      <w:r w:rsidR="00190923" w:rsidRPr="00981405">
        <w:t xml:space="preserve"> </w:t>
      </w:r>
      <w:r w:rsidRPr="00981405">
        <w:t>this</w:t>
      </w:r>
      <w:r w:rsidR="00190923" w:rsidRPr="00981405">
        <w:t xml:space="preserve"> </w:t>
      </w:r>
      <w:r w:rsidRPr="00981405">
        <w:t>context,</w:t>
      </w:r>
      <w:r w:rsidR="00190923" w:rsidRPr="00981405">
        <w:t xml:space="preserve"> </w:t>
      </w:r>
      <w:r w:rsidRPr="00981405">
        <w:t>references</w:t>
      </w:r>
      <w:r w:rsidR="00190923" w:rsidRPr="00981405">
        <w:t xml:space="preserve"> </w:t>
      </w:r>
      <w:r w:rsidRPr="00981405">
        <w:t>were</w:t>
      </w:r>
      <w:r w:rsidR="00190923" w:rsidRPr="00981405">
        <w:t xml:space="preserve"> </w:t>
      </w:r>
      <w:r w:rsidRPr="00981405">
        <w:t>made</w:t>
      </w:r>
      <w:r w:rsidR="00190923" w:rsidRPr="00981405">
        <w:t xml:space="preserve"> </w:t>
      </w:r>
      <w:r w:rsidRPr="00981405">
        <w:t>to</w:t>
      </w:r>
      <w:r w:rsidR="00190923" w:rsidRPr="00981405">
        <w:t xml:space="preserve"> </w:t>
      </w:r>
      <w:r w:rsidRPr="00981405">
        <w:t>the</w:t>
      </w:r>
      <w:r w:rsidR="00190923" w:rsidRPr="00981405">
        <w:t xml:space="preserve"> </w:t>
      </w:r>
      <w:r w:rsidRPr="00981405">
        <w:t>reservations</w:t>
      </w:r>
      <w:r w:rsidR="00190923" w:rsidRPr="00981405">
        <w:t xml:space="preserve"> </w:t>
      </w:r>
      <w:r w:rsidRPr="00981405">
        <w:t>made</w:t>
      </w:r>
      <w:r w:rsidR="00190923" w:rsidRPr="00981405">
        <w:t xml:space="preserve"> </w:t>
      </w:r>
      <w:r w:rsidRPr="00981405">
        <w:t>by</w:t>
      </w:r>
      <w:r w:rsidR="00190923" w:rsidRPr="00981405">
        <w:t xml:space="preserve"> </w:t>
      </w:r>
      <w:r w:rsidRPr="00981405">
        <w:t>States</w:t>
      </w:r>
      <w:r w:rsidR="00190923" w:rsidRPr="00981405">
        <w:t xml:space="preserve"> </w:t>
      </w:r>
      <w:r w:rsidRPr="00981405">
        <w:t>to</w:t>
      </w:r>
      <w:r w:rsidR="00190923" w:rsidRPr="00981405">
        <w:t xml:space="preserve"> </w:t>
      </w:r>
      <w:r w:rsidRPr="00981405">
        <w:t>article</w:t>
      </w:r>
      <w:r w:rsidR="00190923" w:rsidRPr="00981405">
        <w:t xml:space="preserve"> </w:t>
      </w:r>
      <w:r w:rsidRPr="00981405">
        <w:t>55,</w:t>
      </w:r>
      <w:r w:rsidR="00190923" w:rsidRPr="00981405">
        <w:t xml:space="preserve"> </w:t>
      </w:r>
      <w:r w:rsidRPr="00981405">
        <w:t>paragraph</w:t>
      </w:r>
      <w:r w:rsidR="00190923" w:rsidRPr="00981405">
        <w:t xml:space="preserve"> </w:t>
      </w:r>
      <w:r w:rsidRPr="00981405">
        <w:t>2,</w:t>
      </w:r>
      <w:r w:rsidR="00190923" w:rsidRPr="00981405">
        <w:t xml:space="preserve"> </w:t>
      </w:r>
      <w:r w:rsidRPr="00981405">
        <w:t>of</w:t>
      </w:r>
      <w:r w:rsidR="00190923" w:rsidRPr="00981405">
        <w:t xml:space="preserve"> </w:t>
      </w:r>
      <w:r w:rsidRPr="00981405">
        <w:t>the</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1,</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reprisals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ICRC</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study.</w:t>
      </w:r>
      <w:r w:rsidRPr="00981405">
        <w:rPr>
          <w:rStyle w:val="FootnoteReference"/>
        </w:rPr>
        <w:footnoteReference w:id="381"/>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addressed</w:t>
      </w:r>
      <w:r w:rsidR="00190923" w:rsidRPr="00981405">
        <w:t xml:space="preserve"> </w:t>
      </w:r>
      <w:r w:rsidRPr="00981405">
        <w:t>all</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non-international</w:t>
      </w:r>
      <w:r w:rsidR="00190923" w:rsidRPr="00981405">
        <w:t xml:space="preserve"> </w:t>
      </w:r>
      <w:r w:rsidRPr="00981405">
        <w:t>—</w:t>
      </w:r>
      <w:r w:rsidR="00190923" w:rsidRPr="00981405">
        <w:t xml:space="preserve"> </w:t>
      </w:r>
      <w:r w:rsidRPr="00981405">
        <w:t>attention</w:t>
      </w:r>
      <w:r w:rsidR="00190923" w:rsidRPr="00981405">
        <w:t xml:space="preserve"> </w:t>
      </w:r>
      <w:r w:rsidRPr="00981405">
        <w:t>was</w:t>
      </w:r>
      <w:r w:rsidR="00190923" w:rsidRPr="00981405">
        <w:t xml:space="preserve"> </w:t>
      </w:r>
      <w:r w:rsidRPr="00981405">
        <w:t>drawn</w:t>
      </w:r>
      <w:r w:rsidR="00190923" w:rsidRPr="00981405">
        <w:t xml:space="preserve"> </w:t>
      </w:r>
      <w:r w:rsidRPr="00981405">
        <w:t>to</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neither</w:t>
      </w:r>
      <w:r w:rsidR="00190923" w:rsidRPr="00981405">
        <w:t xml:space="preserve"> </w:t>
      </w:r>
      <w:r w:rsidRPr="00981405">
        <w:t>common</w:t>
      </w:r>
      <w:r w:rsidR="00190923" w:rsidRPr="00981405">
        <w:t xml:space="preserve"> </w:t>
      </w:r>
      <w:r w:rsidRPr="00981405">
        <w:t>article</w:t>
      </w:r>
      <w:r w:rsidR="00190923" w:rsidRPr="00981405">
        <w:t xml:space="preserve"> </w:t>
      </w:r>
      <w:r w:rsidRPr="00981405">
        <w:t>3</w:t>
      </w:r>
      <w:r w:rsidR="00190923" w:rsidRPr="00981405">
        <w:t xml:space="preserve"> </w:t>
      </w:r>
      <w:r w:rsidRPr="00981405">
        <w:t>to</w:t>
      </w:r>
      <w:r w:rsidR="00190923" w:rsidRPr="00981405">
        <w:t xml:space="preserve"> </w:t>
      </w:r>
      <w:r w:rsidRPr="00981405">
        <w:t>the</w:t>
      </w:r>
      <w:r w:rsidR="00190923" w:rsidRPr="00981405">
        <w:t xml:space="preserve"> </w:t>
      </w:r>
      <w:r w:rsidRPr="00981405">
        <w:t>Geneva</w:t>
      </w:r>
      <w:r w:rsidR="00190923" w:rsidRPr="00981405">
        <w:t xml:space="preserve"> </w:t>
      </w:r>
      <w:r w:rsidRPr="00981405">
        <w:t>Conventions</w:t>
      </w:r>
      <w:r w:rsidR="00190923" w:rsidRPr="00981405">
        <w:t xml:space="preserve"> </w:t>
      </w:r>
      <w:r w:rsidRPr="00981405">
        <w:t>nor</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II</w:t>
      </w:r>
      <w:r w:rsidR="00190923" w:rsidRPr="00981405">
        <w:t xml:space="preserve"> </w:t>
      </w:r>
      <w:r w:rsidRPr="00981405">
        <w:t>contained</w:t>
      </w:r>
      <w:r w:rsidR="00190923" w:rsidRPr="00981405">
        <w:t xml:space="preserve"> </w:t>
      </w:r>
      <w:r w:rsidRPr="00981405">
        <w:t>a</w:t>
      </w:r>
      <w:r w:rsidR="00190923" w:rsidRPr="00981405">
        <w:t xml:space="preserve"> </w:t>
      </w:r>
      <w:r w:rsidRPr="00981405">
        <w:t>specific</w:t>
      </w:r>
      <w:r w:rsidR="00190923" w:rsidRPr="00981405">
        <w:t xml:space="preserve"> </w:t>
      </w:r>
      <w:r w:rsidRPr="00981405">
        <w:t>prohibition</w:t>
      </w:r>
      <w:r w:rsidR="00190923" w:rsidRPr="00981405">
        <w:t xml:space="preserve"> </w:t>
      </w:r>
      <w:r w:rsidRPr="00981405">
        <w:t>of</w:t>
      </w:r>
      <w:r w:rsidR="00190923" w:rsidRPr="00981405">
        <w:t xml:space="preserve"> </w:t>
      </w:r>
      <w:r w:rsidRPr="00981405">
        <w:t>belligerent</w:t>
      </w:r>
      <w:r w:rsidR="00190923" w:rsidRPr="00981405">
        <w:t xml:space="preserve"> </w:t>
      </w:r>
      <w:r w:rsidRPr="00981405">
        <w:t>reprisals.</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should</w:t>
      </w:r>
      <w:r w:rsidR="00190923" w:rsidRPr="00981405">
        <w:t xml:space="preserve"> </w:t>
      </w:r>
      <w:r w:rsidRPr="00981405">
        <w:t>therefore</w:t>
      </w:r>
      <w:r w:rsidR="00190923" w:rsidRPr="00981405">
        <w:t xml:space="preserve"> </w:t>
      </w:r>
      <w:r w:rsidRPr="00981405">
        <w:t>be</w:t>
      </w:r>
      <w:r w:rsidR="00190923" w:rsidRPr="00981405">
        <w:t xml:space="preserve"> </w:t>
      </w:r>
      <w:r w:rsidRPr="00981405">
        <w:t>redrafted</w:t>
      </w:r>
      <w:r w:rsidR="00190923" w:rsidRPr="00981405">
        <w:t xml:space="preserve"> </w:t>
      </w:r>
      <w:r w:rsidRPr="00981405">
        <w:t>with</w:t>
      </w:r>
      <w:r w:rsidR="00190923" w:rsidRPr="00981405">
        <w:t xml:space="preserve"> </w:t>
      </w:r>
      <w:r w:rsidRPr="00981405">
        <w:t>appropriate</w:t>
      </w:r>
      <w:r w:rsidR="00190923" w:rsidRPr="00981405">
        <w:t xml:space="preserve"> </w:t>
      </w:r>
      <w:r w:rsidRPr="00981405">
        <w:t>caveats.</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nevertheless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this</w:t>
      </w:r>
      <w:r w:rsidR="00190923" w:rsidRPr="00981405">
        <w:t xml:space="preserve"> </w:t>
      </w:r>
      <w:r w:rsidRPr="00981405">
        <w:t>was</w:t>
      </w:r>
      <w:r w:rsidR="00190923" w:rsidRPr="00981405">
        <w:t xml:space="preserve"> </w:t>
      </w:r>
      <w:r w:rsidRPr="00981405">
        <w:t>an</w:t>
      </w:r>
      <w:r w:rsidR="00190923" w:rsidRPr="00981405">
        <w:t xml:space="preserve"> </w:t>
      </w:r>
      <w:r w:rsidRPr="00981405">
        <w:t>area</w:t>
      </w:r>
      <w:r w:rsidR="00190923" w:rsidRPr="00981405">
        <w:t xml:space="preserve"> </w:t>
      </w:r>
      <w:r w:rsidRPr="00981405">
        <w:t>where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may</w:t>
      </w:r>
      <w:r w:rsidR="00190923" w:rsidRPr="00981405">
        <w:t xml:space="preserve"> </w:t>
      </w:r>
      <w:r w:rsidRPr="00981405">
        <w:t>wish</w:t>
      </w:r>
      <w:r w:rsidR="00190923" w:rsidRPr="00981405">
        <w:t xml:space="preserve"> </w:t>
      </w:r>
      <w:r w:rsidRPr="00981405">
        <w:t>to</w:t>
      </w:r>
      <w:r w:rsidR="00190923" w:rsidRPr="00981405">
        <w:t xml:space="preserve"> </w:t>
      </w:r>
      <w:r w:rsidRPr="00981405">
        <w:t>engage</w:t>
      </w:r>
      <w:r w:rsidR="00190923" w:rsidRPr="00981405">
        <w:t xml:space="preserve"> </w:t>
      </w:r>
      <w:r w:rsidRPr="00981405">
        <w:t>in</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extend</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of</w:t>
      </w:r>
      <w:r w:rsidR="00190923" w:rsidRPr="00981405">
        <w:t xml:space="preserve"> </w:t>
      </w:r>
      <w:r w:rsidRPr="00981405">
        <w:t>reprisals</w:t>
      </w:r>
      <w:r w:rsidR="00190923" w:rsidRPr="00981405">
        <w:t xml:space="preserve"> </w:t>
      </w:r>
      <w:r w:rsidRPr="00981405">
        <w:t>to</w:t>
      </w:r>
      <w:r w:rsidR="00190923" w:rsidRPr="00981405">
        <w:t xml:space="preserve"> </w:t>
      </w:r>
      <w:r w:rsidRPr="00981405">
        <w:t>non-international</w:t>
      </w:r>
      <w:r w:rsidR="00190923" w:rsidRPr="00981405">
        <w:t xml:space="preserve"> </w:t>
      </w:r>
      <w:r w:rsidRPr="00981405">
        <w:t>armed</w:t>
      </w:r>
      <w:r w:rsidR="00190923" w:rsidRPr="00981405">
        <w:t xml:space="preserve"> </w:t>
      </w:r>
      <w:r w:rsidRPr="00981405">
        <w:t>conflicts.</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42" w:name="_Toc427938132"/>
      <w:r w:rsidRPr="00D97463">
        <w:t>(i)</w:t>
      </w:r>
      <w:r w:rsidRPr="00D97463">
        <w:tab/>
        <w:t>Draft</w:t>
      </w:r>
      <w:r w:rsidR="00190923" w:rsidRPr="00D97463">
        <w:t xml:space="preserve"> </w:t>
      </w:r>
      <w:r w:rsidRPr="00D97463">
        <w:t>principle</w:t>
      </w:r>
      <w:r w:rsidR="00190923" w:rsidRPr="00D97463">
        <w:t xml:space="preserve"> </w:t>
      </w:r>
      <w:r w:rsidRPr="00D97463">
        <w:t>5</w:t>
      </w:r>
      <w:bookmarkEnd w:id="14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159.</w:t>
      </w:r>
      <w:r w:rsidRPr="00981405">
        <w:tab/>
        <w:t>While</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thrust</w:t>
      </w:r>
      <w:r w:rsidR="00190923" w:rsidRPr="00981405">
        <w:t xml:space="preserve"> </w:t>
      </w:r>
      <w:r w:rsidRPr="00981405">
        <w:t>of</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5,</w:t>
      </w:r>
      <w:r w:rsidR="00190923" w:rsidRPr="00981405">
        <w:t xml:space="preserve"> </w:t>
      </w:r>
      <w:r w:rsidRPr="00981405">
        <w:t>which</w:t>
      </w:r>
      <w:r w:rsidR="00190923" w:rsidRPr="00981405">
        <w:t xml:space="preserve"> </w:t>
      </w:r>
      <w:r w:rsidRPr="00981405">
        <w:t>concerned</w:t>
      </w:r>
      <w:r w:rsidR="00190923" w:rsidRPr="00981405">
        <w:t xml:space="preserve"> </w:t>
      </w:r>
      <w:r w:rsidRPr="00981405">
        <w:t>the</w:t>
      </w:r>
      <w:r w:rsidR="00190923" w:rsidRPr="00981405">
        <w:t xml:space="preserve"> </w:t>
      </w:r>
      <w:r w:rsidRPr="00981405">
        <w:t>designation</w:t>
      </w:r>
      <w:r w:rsidR="00190923" w:rsidRPr="00981405">
        <w:t xml:space="preserve"> </w:t>
      </w:r>
      <w:r w:rsidRPr="00981405">
        <w:t>of</w:t>
      </w:r>
      <w:r w:rsidR="00190923" w:rsidRPr="00981405">
        <w:t xml:space="preserve"> </w:t>
      </w:r>
      <w:r w:rsidRPr="00981405">
        <w:t>areas</w:t>
      </w:r>
      <w:r w:rsidR="00190923" w:rsidRPr="00981405">
        <w:t xml:space="preserve"> </w:t>
      </w:r>
      <w:r w:rsidRPr="00981405">
        <w:t>of</w:t>
      </w:r>
      <w:r w:rsidR="00190923" w:rsidRPr="00981405">
        <w:t xml:space="preserve"> </w:t>
      </w:r>
      <w:r w:rsidRPr="00981405">
        <w:t>major</w:t>
      </w:r>
      <w:r w:rsidR="00190923" w:rsidRPr="00981405">
        <w:t xml:space="preserve"> </w:t>
      </w:r>
      <w:r w:rsidRPr="00981405">
        <w:t>ecological</w:t>
      </w:r>
      <w:r w:rsidR="00190923" w:rsidRPr="00981405">
        <w:t xml:space="preserve"> </w:t>
      </w:r>
      <w:r w:rsidRPr="00981405">
        <w:t>importance</w:t>
      </w:r>
      <w:r w:rsidR="00190923" w:rsidRPr="00981405">
        <w:t xml:space="preserve"> </w:t>
      </w:r>
      <w:r w:rsidRPr="00981405">
        <w:t>as</w:t>
      </w:r>
      <w:r w:rsidR="00190923" w:rsidRPr="00981405">
        <w:t xml:space="preserve"> </w:t>
      </w:r>
      <w:r w:rsidRPr="00981405">
        <w:t>demilitarised</w:t>
      </w:r>
      <w:r w:rsidR="00190923" w:rsidRPr="00981405">
        <w:t xml:space="preserve"> </w:t>
      </w:r>
      <w:r w:rsidRPr="00981405">
        <w:t>zones</w:t>
      </w:r>
      <w:r w:rsidR="00190923" w:rsidRPr="00981405">
        <w:t xml:space="preserve"> </w:t>
      </w:r>
      <w:r w:rsidRPr="00981405">
        <w:t>prior</w:t>
      </w:r>
      <w:r w:rsidR="00190923" w:rsidRPr="00981405">
        <w:t xml:space="preserve"> </w:t>
      </w:r>
      <w:r w:rsidRPr="00981405">
        <w:t>to</w:t>
      </w:r>
      <w:r w:rsidR="00190923" w:rsidRPr="00981405">
        <w:t xml:space="preserve"> </w:t>
      </w:r>
      <w:r w:rsidRPr="00981405">
        <w:t>an</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or</w:t>
      </w:r>
      <w:r w:rsidR="00190923" w:rsidRPr="00981405">
        <w:t xml:space="preserve"> </w:t>
      </w:r>
      <w:r w:rsidRPr="00981405">
        <w:t>at</w:t>
      </w:r>
      <w:r w:rsidR="00190923" w:rsidRPr="00981405">
        <w:t xml:space="preserve"> </w:t>
      </w:r>
      <w:r w:rsidRPr="00981405">
        <w:t>its</w:t>
      </w:r>
      <w:r w:rsidR="00190923" w:rsidRPr="00981405">
        <w:t xml:space="preserve"> </w:t>
      </w:r>
      <w:r w:rsidRPr="00981405">
        <w:t>outset,</w:t>
      </w:r>
      <w:r w:rsidR="00190923" w:rsidRPr="00981405">
        <w:t xml:space="preserve"> </w:t>
      </w:r>
      <w:r w:rsidRPr="00981405">
        <w:t>they</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raised</w:t>
      </w:r>
      <w:r w:rsidR="00190923" w:rsidRPr="00981405">
        <w:t xml:space="preserve"> </w:t>
      </w:r>
      <w:r w:rsidRPr="00981405">
        <w:t>several</w:t>
      </w:r>
      <w:r w:rsidR="00190923" w:rsidRPr="00981405">
        <w:t xml:space="preserve"> </w:t>
      </w:r>
      <w:r w:rsidRPr="00981405">
        <w:t>important</w:t>
      </w:r>
      <w:r w:rsidR="00190923" w:rsidRPr="00981405">
        <w:t xml:space="preserve"> </w:t>
      </w:r>
      <w:r w:rsidRPr="00981405">
        <w:t>questions</w:t>
      </w:r>
      <w:r w:rsidR="00190923" w:rsidRPr="00981405">
        <w:t xml:space="preserve"> </w:t>
      </w:r>
      <w:r w:rsidRPr="00981405">
        <w:t>that</w:t>
      </w:r>
      <w:r w:rsidR="00190923" w:rsidRPr="00981405">
        <w:t xml:space="preserve"> </w:t>
      </w:r>
      <w:r w:rsidRPr="00981405">
        <w:t>required</w:t>
      </w:r>
      <w:r w:rsidR="00190923" w:rsidRPr="00981405">
        <w:t xml:space="preserve"> </w:t>
      </w:r>
      <w:r w:rsidRPr="00981405">
        <w:t>further</w:t>
      </w:r>
      <w:r w:rsidR="00190923" w:rsidRPr="00981405">
        <w:t xml:space="preserve"> </w:t>
      </w:r>
      <w:r w:rsidRPr="00981405">
        <w:t>examination,</w:t>
      </w:r>
      <w:r w:rsidR="00190923" w:rsidRPr="00981405">
        <w:t xml:space="preserve"> </w:t>
      </w:r>
      <w:r w:rsidRPr="00981405">
        <w:t>both</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practical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such</w:t>
      </w:r>
      <w:r w:rsidR="00190923" w:rsidRPr="00981405">
        <w:t xml:space="preserve"> </w:t>
      </w:r>
      <w:r w:rsidRPr="00981405">
        <w:t>a</w:t>
      </w:r>
      <w:r w:rsidR="00190923" w:rsidRPr="00981405">
        <w:t xml:space="preserve"> </w:t>
      </w:r>
      <w:r w:rsidRPr="00981405">
        <w:t>provision</w:t>
      </w:r>
      <w:r w:rsidR="00190923" w:rsidRPr="00981405">
        <w:t xml:space="preserve"> </w:t>
      </w:r>
      <w:r w:rsidRPr="00981405">
        <w:t>and</w:t>
      </w:r>
      <w:r w:rsidR="00190923" w:rsidRPr="00981405">
        <w:t xml:space="preserve"> </w:t>
      </w:r>
      <w:r w:rsidRPr="00981405">
        <w:t>its</w:t>
      </w:r>
      <w:r w:rsidR="00190923" w:rsidRPr="00981405">
        <w:t xml:space="preserve"> </w:t>
      </w:r>
      <w:r w:rsidRPr="00981405">
        <w:t>normative</w:t>
      </w:r>
      <w:r w:rsidR="00190923" w:rsidRPr="00981405">
        <w:t xml:space="preserve"> </w:t>
      </w:r>
      <w:r w:rsidRPr="00981405">
        <w:t>implications.</w:t>
      </w:r>
      <w:r w:rsidR="00190923" w:rsidRPr="00981405">
        <w:t xml:space="preserve"> </w:t>
      </w:r>
      <w:r w:rsidRPr="00981405">
        <w:t>A</w:t>
      </w:r>
      <w:r w:rsidR="00190923" w:rsidRPr="00981405">
        <w:t xml:space="preserve"> </w:t>
      </w:r>
      <w:r w:rsidRPr="00981405">
        <w:t>doubt</w:t>
      </w:r>
      <w:r w:rsidR="00190923" w:rsidRPr="00981405">
        <w:t xml:space="preserve"> </w:t>
      </w:r>
      <w:r w:rsidRPr="00981405">
        <w:t>was</w:t>
      </w:r>
      <w:r w:rsidR="00190923" w:rsidRPr="00981405">
        <w:t xml:space="preserve"> </w:t>
      </w:r>
      <w:r w:rsidRPr="00981405">
        <w:t>nevertheless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legal</w:t>
      </w:r>
      <w:r w:rsidR="00190923" w:rsidRPr="00981405">
        <w:t xml:space="preserve"> </w:t>
      </w:r>
      <w:r w:rsidRPr="00981405">
        <w:t>foundation</w:t>
      </w:r>
      <w:r w:rsidR="00190923" w:rsidRPr="00981405">
        <w:t xml:space="preserve"> </w:t>
      </w:r>
      <w:r w:rsidRPr="00981405">
        <w:t>of</w:t>
      </w:r>
      <w:r w:rsidR="00190923" w:rsidRPr="00981405">
        <w:t xml:space="preserve"> </w:t>
      </w:r>
      <w:r w:rsidRPr="00981405">
        <w:t>this</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and</w:t>
      </w:r>
      <w:r w:rsidR="00190923" w:rsidRPr="00981405">
        <w:t xml:space="preserve"> </w:t>
      </w:r>
      <w:r w:rsidRPr="00981405">
        <w:t>to</w:t>
      </w:r>
      <w:r w:rsidR="00190923" w:rsidRPr="00981405">
        <w:t xml:space="preserve"> </w:t>
      </w:r>
      <w:r w:rsidRPr="00981405">
        <w:t>its</w:t>
      </w:r>
      <w:r w:rsidR="00190923" w:rsidRPr="00981405">
        <w:t xml:space="preserve"> </w:t>
      </w:r>
      <w:r w:rsidRPr="00981405">
        <w:t>realisation.</w:t>
      </w:r>
      <w:r w:rsidR="00190923" w:rsidRPr="00981405">
        <w:t xml:space="preserve"> </w:t>
      </w:r>
    </w:p>
    <w:p w:rsidR="00397032" w:rsidRPr="00981405" w:rsidRDefault="00397032" w:rsidP="00D97463">
      <w:pPr>
        <w:pStyle w:val="SingleTxt"/>
      </w:pPr>
      <w:r w:rsidRPr="00981405">
        <w:t>160.</w:t>
      </w:r>
      <w:r w:rsidRPr="00981405">
        <w:tab/>
        <w:t>Whereas</w:t>
      </w:r>
      <w:r w:rsidR="00190923" w:rsidRPr="00981405">
        <w:t xml:space="preserve"> </w:t>
      </w:r>
      <w:r w:rsidRPr="00981405">
        <w:t>some</w:t>
      </w:r>
      <w:r w:rsidR="00190923" w:rsidRPr="00981405">
        <w:t xml:space="preserve"> </w:t>
      </w:r>
      <w:r w:rsidRPr="00981405">
        <w:t>members</w:t>
      </w:r>
      <w:r w:rsidR="00190923" w:rsidRPr="00981405">
        <w:t xml:space="preserve"> </w:t>
      </w:r>
      <w:r w:rsidRPr="00981405">
        <w:t>were</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this</w:t>
      </w:r>
      <w:r w:rsidR="00190923" w:rsidRPr="00981405">
        <w:t xml:space="preserve"> </w:t>
      </w:r>
      <w:r w:rsidRPr="00981405">
        <w:t>provision</w:t>
      </w:r>
      <w:r w:rsidR="00190923" w:rsidRPr="00981405">
        <w:t xml:space="preserve"> </w:t>
      </w:r>
      <w:r w:rsidRPr="00981405">
        <w:t>related</w:t>
      </w:r>
      <w:r w:rsidR="00190923" w:rsidRPr="00981405">
        <w:t xml:space="preserve"> </w:t>
      </w:r>
      <w:r w:rsidRPr="00981405">
        <w:t>to</w:t>
      </w:r>
      <w:r w:rsidR="00190923" w:rsidRPr="00981405">
        <w:t xml:space="preserve"> </w:t>
      </w:r>
      <w:r w:rsidRPr="00981405">
        <w:t>phase</w:t>
      </w:r>
      <w:r w:rsidR="00190923" w:rsidRPr="00981405">
        <w:t xml:space="preserve"> </w:t>
      </w:r>
      <w:r w:rsidRPr="00981405">
        <w:t>I,</w:t>
      </w:r>
      <w:r w:rsidR="00190923" w:rsidRPr="00981405">
        <w:t xml:space="preserve"> </w:t>
      </w:r>
      <w:r w:rsidRPr="00981405">
        <w:t>peacetime</w:t>
      </w:r>
      <w:r w:rsidR="00190923" w:rsidRPr="00981405">
        <w:t xml:space="preserve"> </w:t>
      </w:r>
      <w:r w:rsidRPr="00981405">
        <w:t>obligations,</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apply</w:t>
      </w:r>
      <w:r w:rsidR="00190923" w:rsidRPr="00981405">
        <w:t xml:space="preserve"> </w:t>
      </w:r>
      <w:r w:rsidRPr="00981405">
        <w:t>also</w:t>
      </w:r>
      <w:r w:rsidR="00190923" w:rsidRPr="00981405">
        <w:t xml:space="preserve"> </w:t>
      </w:r>
      <w:r w:rsidRPr="00981405">
        <w:t>to</w:t>
      </w:r>
      <w:r w:rsidR="00190923" w:rsidRPr="00981405">
        <w:t xml:space="preserve"> </w:t>
      </w:r>
      <w:r w:rsidRPr="00981405">
        <w:t>phase</w:t>
      </w:r>
      <w:r w:rsidR="00190923" w:rsidRPr="00981405">
        <w:t xml:space="preserve"> </w:t>
      </w:r>
      <w:r w:rsidRPr="00981405">
        <w:t>II,</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or</w:t>
      </w:r>
      <w:r w:rsidR="00190923" w:rsidRPr="00981405">
        <w:t xml:space="preserve"> </w:t>
      </w:r>
      <w:r w:rsidRPr="00981405">
        <w:t>even</w:t>
      </w:r>
      <w:r w:rsidR="00190923" w:rsidRPr="00981405">
        <w:t xml:space="preserve"> </w:t>
      </w:r>
      <w:r w:rsidRPr="00981405">
        <w:t>phase</w:t>
      </w:r>
      <w:r w:rsidR="00190923" w:rsidRPr="00981405">
        <w:t xml:space="preserve"> </w:t>
      </w:r>
      <w:r w:rsidRPr="00981405">
        <w:t>III</w:t>
      </w:r>
      <w:r w:rsidR="00190923" w:rsidRPr="00981405">
        <w:t xml:space="preserve"> </w:t>
      </w:r>
      <w:r w:rsidRPr="00981405">
        <w:t>concerning</w:t>
      </w:r>
      <w:r w:rsidR="00190923" w:rsidRPr="00981405">
        <w:t xml:space="preserve"> </w:t>
      </w:r>
      <w:r w:rsidRPr="00981405">
        <w:t>post-conflict</w:t>
      </w:r>
      <w:r w:rsidR="00190923" w:rsidRPr="00981405">
        <w:t xml:space="preserve"> </w:t>
      </w:r>
      <w:r w:rsidRPr="00981405">
        <w:t>obligations.</w:t>
      </w:r>
      <w:r w:rsidR="00190923" w:rsidRPr="00981405">
        <w:t xml:space="preserve"> </w:t>
      </w:r>
      <w:r w:rsidRPr="00981405">
        <w:t>Suggestions</w:t>
      </w:r>
      <w:r w:rsidR="00190923" w:rsidRPr="00981405">
        <w:t xml:space="preserve"> </w:t>
      </w:r>
      <w:r w:rsidRPr="00981405">
        <w:t>were</w:t>
      </w:r>
      <w:r w:rsidR="00190923" w:rsidRPr="00981405">
        <w:t xml:space="preserve"> </w:t>
      </w:r>
      <w:r w:rsidRPr="00981405">
        <w:t>accordingly</w:t>
      </w:r>
      <w:r w:rsidR="00190923" w:rsidRPr="00981405">
        <w:t xml:space="preserve"> </w:t>
      </w:r>
      <w:r w:rsidRPr="00981405">
        <w:t>made</w:t>
      </w:r>
      <w:r w:rsidR="00190923" w:rsidRPr="00981405">
        <w:t xml:space="preserve"> </w:t>
      </w:r>
      <w:r w:rsidRPr="00981405">
        <w:t>to</w:t>
      </w:r>
      <w:r w:rsidR="00190923" w:rsidRPr="00981405">
        <w:t xml:space="preserve"> </w:t>
      </w:r>
      <w:r w:rsidRPr="00981405">
        <w:t>extend</w:t>
      </w:r>
      <w:r w:rsidR="00190923" w:rsidRPr="00981405">
        <w:t xml:space="preserve"> </w:t>
      </w:r>
      <w:r w:rsidRPr="00981405">
        <w:t>the</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of</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5,</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to</w:t>
      </w:r>
      <w:r w:rsidR="00190923" w:rsidRPr="00981405">
        <w:t xml:space="preserve"> </w:t>
      </w:r>
      <w:r w:rsidRPr="00981405">
        <w:t>address</w:t>
      </w:r>
      <w:r w:rsidR="00190923" w:rsidRPr="00981405">
        <w:t xml:space="preserve"> </w:t>
      </w:r>
      <w:r w:rsidRPr="00981405">
        <w:t>the</w:t>
      </w:r>
      <w:r w:rsidR="00190923" w:rsidRPr="00981405">
        <w:t xml:space="preserve"> </w:t>
      </w:r>
      <w:r w:rsidRPr="00981405">
        <w:t>legal</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such</w:t>
      </w:r>
      <w:r w:rsidR="00190923" w:rsidRPr="00981405">
        <w:t xml:space="preserve"> </w:t>
      </w:r>
      <w:r w:rsidRPr="00981405">
        <w:t>zones</w:t>
      </w:r>
      <w:r w:rsidR="00190923" w:rsidRPr="00981405">
        <w:t xml:space="preserve"> </w:t>
      </w:r>
      <w:r w:rsidRPr="00D97463">
        <w:rPr>
          <w:i/>
          <w:iCs/>
        </w:rPr>
        <w:t>vis-à-vis</w:t>
      </w:r>
      <w:r w:rsidR="00190923" w:rsidRPr="00981405">
        <w:t xml:space="preserve"> </w:t>
      </w:r>
      <w:r w:rsidRPr="00981405">
        <w:t>the</w:t>
      </w:r>
      <w:r w:rsidR="00190923" w:rsidRPr="00981405">
        <w:t xml:space="preserve"> </w:t>
      </w:r>
      <w:r w:rsidRPr="00981405">
        <w:t>other</w:t>
      </w:r>
      <w:r w:rsidR="00190923" w:rsidRPr="00981405">
        <w:t xml:space="preserve"> </w:t>
      </w:r>
      <w:r w:rsidRPr="00981405">
        <w:t>parties</w:t>
      </w:r>
      <w:r w:rsidR="00190923" w:rsidRPr="00981405">
        <w:t xml:space="preserve"> </w:t>
      </w:r>
      <w:r w:rsidRPr="00981405">
        <w:t>to</w:t>
      </w:r>
      <w:r w:rsidR="00190923" w:rsidRPr="00981405">
        <w:t xml:space="preserve"> </w:t>
      </w:r>
      <w:r w:rsidRPr="00981405">
        <w:lastRenderedPageBreak/>
        <w:t>a</w:t>
      </w:r>
      <w:r w:rsidR="00190923" w:rsidRPr="00981405">
        <w:t xml:space="preserve"> </w:t>
      </w:r>
      <w:r w:rsidRPr="00981405">
        <w:t>conflict,</w:t>
      </w:r>
      <w:r w:rsidR="00190923" w:rsidRPr="00981405">
        <w:t xml:space="preserve"> </w:t>
      </w:r>
      <w:r w:rsidRPr="00981405">
        <w:t>including</w:t>
      </w:r>
      <w:r w:rsidR="00190923" w:rsidRPr="00981405">
        <w:t xml:space="preserve"> </w:t>
      </w:r>
      <w:r w:rsidRPr="00981405">
        <w:t>obligations</w:t>
      </w:r>
      <w:r w:rsidR="00190923" w:rsidRPr="00981405">
        <w:t xml:space="preserve"> </w:t>
      </w:r>
      <w:r w:rsidRPr="00981405">
        <w:t>not</w:t>
      </w:r>
      <w:r w:rsidR="00190923" w:rsidRPr="00981405">
        <w:t xml:space="preserve"> </w:t>
      </w:r>
      <w:r w:rsidRPr="00981405">
        <w:t>to</w:t>
      </w:r>
      <w:r w:rsidR="00190923" w:rsidRPr="00981405">
        <w:t xml:space="preserve"> </w:t>
      </w:r>
      <w:r w:rsidRPr="00981405">
        <w:t>attack</w:t>
      </w:r>
      <w:r w:rsidR="00190923" w:rsidRPr="00981405">
        <w:t xml:space="preserve"> </w:t>
      </w:r>
      <w:r w:rsidRPr="00981405">
        <w:t>them.</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mutual</w:t>
      </w:r>
      <w:r w:rsidR="00190923" w:rsidRPr="00981405">
        <w:t xml:space="preserve"> </w:t>
      </w:r>
      <w:r w:rsidRPr="00981405">
        <w:t>agreements</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conflict</w:t>
      </w:r>
      <w:r w:rsidR="00190923" w:rsidRPr="00981405">
        <w:t xml:space="preserve"> </w:t>
      </w:r>
      <w:r w:rsidRPr="00981405">
        <w:t>establishing</w:t>
      </w:r>
      <w:r w:rsidR="00190923" w:rsidRPr="00981405">
        <w:t xml:space="preserve"> </w:t>
      </w:r>
      <w:r w:rsidRPr="00981405">
        <w:t>such</w:t>
      </w:r>
      <w:r w:rsidR="00190923" w:rsidRPr="00981405">
        <w:t xml:space="preserve"> </w:t>
      </w:r>
      <w:r w:rsidRPr="00981405">
        <w:t>areas</w:t>
      </w:r>
      <w:r w:rsidR="00190923" w:rsidRPr="00981405">
        <w:t xml:space="preserve"> </w:t>
      </w:r>
      <w:r w:rsidRPr="00981405">
        <w:t>and</w:t>
      </w:r>
      <w:r w:rsidR="00190923" w:rsidRPr="00981405">
        <w:t xml:space="preserve"> </w:t>
      </w:r>
      <w:r w:rsidRPr="00981405">
        <w:t>zones</w:t>
      </w:r>
      <w:r w:rsidR="00190923" w:rsidRPr="00981405">
        <w:t xml:space="preserve"> </w:t>
      </w:r>
      <w:r w:rsidRPr="00981405">
        <w:t>would</w:t>
      </w:r>
      <w:r w:rsidR="00190923" w:rsidRPr="00981405">
        <w:t xml:space="preserve"> </w:t>
      </w:r>
      <w:r w:rsidRPr="00981405">
        <w:t>offer</w:t>
      </w:r>
      <w:r w:rsidR="00190923" w:rsidRPr="00981405">
        <w:t xml:space="preserve"> </w:t>
      </w:r>
      <w:r w:rsidRPr="00981405">
        <w:t>a</w:t>
      </w:r>
      <w:r w:rsidR="00190923" w:rsidRPr="00981405">
        <w:t xml:space="preserve"> </w:t>
      </w:r>
      <w:r w:rsidRPr="00981405">
        <w:t>higher</w:t>
      </w:r>
      <w:r w:rsidR="00190923" w:rsidRPr="00981405">
        <w:t xml:space="preserve"> </w:t>
      </w:r>
      <w:r w:rsidRPr="00981405">
        <w:t>degree</w:t>
      </w:r>
      <w:r w:rsidR="00190923" w:rsidRPr="00981405">
        <w:t xml:space="preserve"> </w:t>
      </w:r>
      <w:r w:rsidRPr="00981405">
        <w:t>of</w:t>
      </w:r>
      <w:r w:rsidR="00190923" w:rsidRPr="00981405">
        <w:t xml:space="preserve"> </w:t>
      </w:r>
      <w:r w:rsidRPr="00981405">
        <w:t>protection</w:t>
      </w:r>
      <w:r w:rsidR="00190923" w:rsidRPr="00981405">
        <w:t xml:space="preserve"> </w:t>
      </w:r>
      <w:r w:rsidRPr="00981405">
        <w:t>rather</w:t>
      </w:r>
      <w:r w:rsidR="00190923" w:rsidRPr="00981405">
        <w:t xml:space="preserve"> </w:t>
      </w:r>
      <w:r w:rsidRPr="00981405">
        <w:t>than</w:t>
      </w:r>
      <w:r w:rsidR="00190923" w:rsidRPr="00981405">
        <w:t xml:space="preserve"> </w:t>
      </w:r>
      <w:r w:rsidRPr="00981405">
        <w:t>unilateral</w:t>
      </w:r>
      <w:r w:rsidR="00190923" w:rsidRPr="00981405">
        <w:t xml:space="preserve"> </w:t>
      </w:r>
      <w:r w:rsidRPr="00981405">
        <w:t>designations;</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should</w:t>
      </w:r>
      <w:r w:rsidR="00190923" w:rsidRPr="00981405">
        <w:t xml:space="preserve"> </w:t>
      </w:r>
      <w:r w:rsidRPr="00981405">
        <w:t>include</w:t>
      </w:r>
      <w:r w:rsidR="00190923" w:rsidRPr="00981405">
        <w:t xml:space="preserve"> </w:t>
      </w:r>
      <w:r w:rsidRPr="00981405">
        <w:t>language</w:t>
      </w:r>
      <w:r w:rsidR="00190923" w:rsidRPr="00981405">
        <w:t xml:space="preserve"> </w:t>
      </w:r>
      <w:r w:rsidRPr="00981405">
        <w:t>to</w:t>
      </w:r>
      <w:r w:rsidR="00190923" w:rsidRPr="00981405">
        <w:t xml:space="preserve"> </w:t>
      </w:r>
      <w:r w:rsidRPr="00981405">
        <w:t>this</w:t>
      </w:r>
      <w:r w:rsidR="00190923" w:rsidRPr="00981405">
        <w:t xml:space="preserve"> </w:t>
      </w:r>
      <w:r w:rsidRPr="00981405">
        <w:t>effect.</w:t>
      </w:r>
      <w:r w:rsidR="00190923" w:rsidRPr="00981405">
        <w:t xml:space="preserve"> </w:t>
      </w:r>
      <w:r w:rsidRPr="00981405">
        <w:t>Some</w:t>
      </w:r>
      <w:r w:rsidR="00190923" w:rsidRPr="00981405">
        <w:t xml:space="preserve"> </w:t>
      </w:r>
      <w:r w:rsidRPr="00981405">
        <w:t>members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cultural</w:t>
      </w:r>
      <w:r w:rsidR="00190923" w:rsidRPr="00981405">
        <w:t xml:space="preserve"> </w:t>
      </w:r>
      <w:r w:rsidRPr="00981405">
        <w:t>and</w:t>
      </w:r>
      <w:r w:rsidR="00190923" w:rsidRPr="00981405">
        <w:t xml:space="preserve"> </w:t>
      </w:r>
      <w:r w:rsidRPr="00981405">
        <w:t>natural</w:t>
      </w:r>
      <w:r w:rsidR="00190923" w:rsidRPr="00981405">
        <w:t xml:space="preserve"> </w:t>
      </w:r>
      <w:r w:rsidRPr="00981405">
        <w:t>heritage</w:t>
      </w:r>
      <w:r w:rsidR="00190923" w:rsidRPr="00981405">
        <w:t xml:space="preserve"> </w:t>
      </w:r>
      <w:r w:rsidRPr="00981405">
        <w:t>sites</w:t>
      </w:r>
      <w:r w:rsidR="00190923" w:rsidRPr="00981405">
        <w:t xml:space="preserve"> </w:t>
      </w:r>
      <w:r w:rsidRPr="00981405">
        <w:t>should</w:t>
      </w:r>
      <w:r w:rsidR="00190923" w:rsidRPr="00981405">
        <w:t xml:space="preserve"> </w:t>
      </w:r>
      <w:r w:rsidRPr="00981405">
        <w:t>fall</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this</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A</w:t>
      </w:r>
      <w:r w:rsidR="00190923" w:rsidRPr="00981405">
        <w:t xml:space="preserve"> </w:t>
      </w:r>
      <w:r w:rsidRPr="00981405">
        <w:t>proposal</w:t>
      </w:r>
      <w:r w:rsidR="00190923" w:rsidRPr="00981405">
        <w:t xml:space="preserve"> </w:t>
      </w:r>
      <w:r w:rsidRPr="00981405">
        <w:t>was</w:t>
      </w:r>
      <w:r w:rsidR="00190923" w:rsidRPr="00981405">
        <w:t xml:space="preserve"> </w:t>
      </w:r>
      <w:r w:rsidRPr="00981405">
        <w:t>made</w:t>
      </w:r>
      <w:r w:rsidR="00190923" w:rsidRPr="00981405">
        <w:t xml:space="preserve"> </w:t>
      </w:r>
      <w:r w:rsidRPr="00981405">
        <w:t>to</w:t>
      </w:r>
      <w:r w:rsidR="00190923" w:rsidRPr="00981405">
        <w:t xml:space="preserve"> </w:t>
      </w:r>
      <w:r w:rsidRPr="00981405">
        <w:t>include</w:t>
      </w:r>
      <w:r w:rsidR="00190923" w:rsidRPr="00981405">
        <w:t xml:space="preserve"> </w:t>
      </w:r>
      <w:r w:rsidRPr="00981405">
        <w:t>a</w:t>
      </w:r>
      <w:r w:rsidR="00190923" w:rsidRPr="00981405">
        <w:t xml:space="preserve"> </w:t>
      </w:r>
      <w:r w:rsidRPr="00981405">
        <w:t>separate</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on</w:t>
      </w:r>
      <w:r w:rsidR="00190923" w:rsidRPr="00981405">
        <w:t xml:space="preserve"> </w:t>
      </w:r>
      <w:r w:rsidRPr="00981405">
        <w:t>nuclear-weapon</w:t>
      </w:r>
      <w:r w:rsidR="00190923" w:rsidRPr="00981405">
        <w:t xml:space="preserve"> </w:t>
      </w:r>
      <w:r w:rsidRPr="00981405">
        <w:t>free</w:t>
      </w:r>
      <w:r w:rsidR="00190923" w:rsidRPr="00981405">
        <w:t xml:space="preserve"> </w:t>
      </w:r>
      <w:r w:rsidRPr="00981405">
        <w:t>zones</w:t>
      </w:r>
      <w:r w:rsidR="00190923" w:rsidRPr="00981405">
        <w:t xml:space="preserve"> </w:t>
      </w:r>
      <w:r w:rsidRPr="00981405">
        <w:t>in</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their</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on</w:t>
      </w:r>
      <w:r w:rsidR="00190923" w:rsidRPr="00981405">
        <w:t xml:space="preserve"> </w:t>
      </w:r>
      <w:r w:rsidRPr="00981405">
        <w:t>the</w:t>
      </w:r>
      <w:r w:rsidR="00190923" w:rsidRPr="00981405">
        <w:t xml:space="preserve"> </w:t>
      </w:r>
      <w:r w:rsidRPr="00981405">
        <w:t>need</w:t>
      </w:r>
      <w:r w:rsidR="00190923" w:rsidRPr="00981405">
        <w:t xml:space="preserve"> </w:t>
      </w:r>
      <w:r w:rsidRPr="00981405">
        <w:t>for</w:t>
      </w:r>
      <w:r w:rsidR="00190923" w:rsidRPr="00981405">
        <w:t xml:space="preserve"> </w:t>
      </w:r>
      <w:r w:rsidRPr="00981405">
        <w:t>implementation</w:t>
      </w:r>
      <w:r w:rsidR="00190923" w:rsidRPr="00981405">
        <w:t xml:space="preserve"> </w:t>
      </w:r>
      <w:r w:rsidRPr="00981405">
        <w:t>by</w:t>
      </w:r>
      <w:r w:rsidR="00190923" w:rsidRPr="00981405">
        <w:t xml:space="preserve"> </w:t>
      </w:r>
      <w:r w:rsidRPr="00981405">
        <w:t>third</w:t>
      </w:r>
      <w:r w:rsidR="00190923" w:rsidRPr="00981405">
        <w:t xml:space="preserve"> </w:t>
      </w:r>
      <w:r w:rsidRPr="00981405">
        <w:t>States</w:t>
      </w:r>
      <w:r w:rsidR="00190923" w:rsidRPr="00981405">
        <w:t xml:space="preserve"> </w:t>
      </w:r>
      <w:r w:rsidRPr="00981405">
        <w:t>of</w:t>
      </w:r>
      <w:r w:rsidR="00190923" w:rsidRPr="00981405">
        <w:t xml:space="preserve"> </w:t>
      </w:r>
      <w:r w:rsidRPr="00981405">
        <w:t>the</w:t>
      </w:r>
      <w:r w:rsidR="00190923" w:rsidRPr="00981405">
        <w:t xml:space="preserve"> </w:t>
      </w:r>
      <w:r w:rsidRPr="00981405">
        <w:t>obligations</w:t>
      </w:r>
      <w:r w:rsidR="00190923" w:rsidRPr="00981405">
        <w:t xml:space="preserve"> </w:t>
      </w:r>
      <w:r w:rsidRPr="00981405">
        <w:t>engaged</w:t>
      </w:r>
      <w:r w:rsidR="00190923" w:rsidRPr="00981405">
        <w:t xml:space="preserve"> </w:t>
      </w:r>
      <w:r w:rsidRPr="00981405">
        <w:t>by</w:t>
      </w:r>
      <w:r w:rsidR="00190923" w:rsidRPr="00981405">
        <w:t xml:space="preserve"> </w:t>
      </w:r>
      <w:r w:rsidRPr="00981405">
        <w:t>them</w:t>
      </w:r>
      <w:r w:rsidR="00190923" w:rsidRPr="00981405">
        <w:t xml:space="preserve"> </w:t>
      </w:r>
      <w:r w:rsidRPr="00981405">
        <w:t>to</w:t>
      </w:r>
      <w:r w:rsidR="00190923" w:rsidRPr="00981405">
        <w:t xml:space="preserve"> </w:t>
      </w:r>
      <w:r w:rsidRPr="00981405">
        <w:t>respect</w:t>
      </w:r>
      <w:r w:rsidR="00190923" w:rsidRPr="00981405">
        <w:t xml:space="preserve"> </w:t>
      </w:r>
      <w:r w:rsidRPr="00981405">
        <w:t>such</w:t>
      </w:r>
      <w:r w:rsidR="00190923" w:rsidRPr="00981405">
        <w:t xml:space="preserve"> </w:t>
      </w:r>
      <w:r w:rsidRPr="00981405">
        <w:t>zones.</w:t>
      </w:r>
      <w:r w:rsidR="00190923" w:rsidRPr="00981405">
        <w:t xml:space="preserve"> </w:t>
      </w:r>
    </w:p>
    <w:p w:rsidR="00397032" w:rsidRPr="00981405" w:rsidRDefault="00397032" w:rsidP="00D97463">
      <w:pPr>
        <w:pStyle w:val="SingleTxt"/>
      </w:pPr>
      <w:r w:rsidRPr="00981405">
        <w:t>161.</w:t>
      </w:r>
      <w:r w:rsidRPr="00981405">
        <w:tab/>
        <w:t>Several</w:t>
      </w:r>
      <w:r w:rsidR="00190923" w:rsidRPr="00981405">
        <w:t xml:space="preserve"> </w:t>
      </w:r>
      <w:r w:rsidRPr="00981405">
        <w:t>members</w:t>
      </w:r>
      <w:r w:rsidR="00190923" w:rsidRPr="00981405">
        <w:t xml:space="preserve"> </w:t>
      </w:r>
      <w:r w:rsidRPr="00981405">
        <w:t>encouraged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analyse</w:t>
      </w:r>
      <w:r w:rsidR="00190923" w:rsidRPr="00981405">
        <w:t xml:space="preserve"> </w:t>
      </w:r>
      <w:r w:rsidRPr="00981405">
        <w:t>in</w:t>
      </w:r>
      <w:r w:rsidR="00190923" w:rsidRPr="00981405">
        <w:t xml:space="preserve"> </w:t>
      </w:r>
      <w:r w:rsidRPr="00981405">
        <w:t>more</w:t>
      </w:r>
      <w:r w:rsidR="00190923" w:rsidRPr="00981405">
        <w:t xml:space="preserve"> </w:t>
      </w:r>
      <w:r w:rsidRPr="00981405">
        <w:t>detail</w:t>
      </w:r>
      <w:r w:rsidR="00190923" w:rsidRPr="00981405">
        <w:t xml:space="preserve"> </w:t>
      </w:r>
      <w:r w:rsidRPr="00981405">
        <w:t>the</w:t>
      </w:r>
      <w:r w:rsidR="00190923" w:rsidRPr="00981405">
        <w:t xml:space="preserve"> </w:t>
      </w:r>
      <w:r w:rsidRPr="00981405">
        <w:t>complex</w:t>
      </w:r>
      <w:r w:rsidR="00190923" w:rsidRPr="00981405">
        <w:t xml:space="preserve"> </w:t>
      </w:r>
      <w:r w:rsidRPr="00981405">
        <w:t>legal</w:t>
      </w:r>
      <w:r w:rsidR="00190923" w:rsidRPr="00981405">
        <w:t xml:space="preserve"> </w:t>
      </w:r>
      <w:r w:rsidRPr="00981405">
        <w:t>and</w:t>
      </w:r>
      <w:r w:rsidR="00190923" w:rsidRPr="00981405">
        <w:t xml:space="preserve"> </w:t>
      </w:r>
      <w:r w:rsidRPr="00981405">
        <w:t>practical</w:t>
      </w:r>
      <w:r w:rsidR="00190923" w:rsidRPr="00981405">
        <w:t xml:space="preserve"> </w:t>
      </w:r>
      <w:r w:rsidRPr="00981405">
        <w:t>issues</w:t>
      </w:r>
      <w:r w:rsidR="00190923" w:rsidRPr="00981405">
        <w:t xml:space="preserve"> </w:t>
      </w:r>
      <w:r w:rsidRPr="00981405">
        <w:t>that</w:t>
      </w:r>
      <w:r w:rsidR="00190923" w:rsidRPr="00981405">
        <w:t xml:space="preserve"> </w:t>
      </w:r>
      <w:r w:rsidRPr="00981405">
        <w:t>arose</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this</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in</w:t>
      </w:r>
      <w:r w:rsidR="00190923" w:rsidRPr="00981405">
        <w:t xml:space="preserve"> </w:t>
      </w:r>
      <w:r w:rsidRPr="00981405">
        <w:t>her</w:t>
      </w:r>
      <w:r w:rsidR="00190923" w:rsidRPr="00981405">
        <w:t xml:space="preserve"> </w:t>
      </w:r>
      <w:r w:rsidRPr="00981405">
        <w:t>next</w:t>
      </w:r>
      <w:r w:rsidR="00190923" w:rsidRPr="00981405">
        <w:t xml:space="preserve"> </w:t>
      </w:r>
      <w:r w:rsidRPr="00981405">
        <w:t>report,</w:t>
      </w:r>
      <w:r w:rsidR="00190923" w:rsidRPr="00981405">
        <w:t xml:space="preserve"> </w:t>
      </w:r>
      <w:r w:rsidRPr="00981405">
        <w:t>and</w:t>
      </w:r>
      <w:r w:rsidR="00190923" w:rsidRPr="00981405">
        <w:t xml:space="preserve"> </w:t>
      </w:r>
      <w:r w:rsidRPr="00981405">
        <w:t>to</w:t>
      </w:r>
      <w:r w:rsidR="00190923" w:rsidRPr="00981405">
        <w:t xml:space="preserve"> </w:t>
      </w:r>
      <w:r w:rsidRPr="00981405">
        <w:t>elaborate</w:t>
      </w:r>
      <w:r w:rsidR="00190923" w:rsidRPr="00981405">
        <w:t xml:space="preserve"> </w:t>
      </w:r>
      <w:r w:rsidRPr="00981405">
        <w:t>the</w:t>
      </w:r>
      <w:r w:rsidR="00190923" w:rsidRPr="00981405">
        <w:t xml:space="preserve"> </w:t>
      </w:r>
      <w:r w:rsidRPr="00981405">
        <w:t>proposed</w:t>
      </w:r>
      <w:r w:rsidR="00190923" w:rsidRPr="00981405">
        <w:t xml:space="preserve"> </w:t>
      </w:r>
      <w:r w:rsidRPr="00981405">
        <w:t>regime.</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43" w:name="_Toc427938133"/>
      <w:r w:rsidRPr="00D97463">
        <w:t>(j)</w:t>
      </w:r>
      <w:r w:rsidRPr="00D97463">
        <w:tab/>
        <w:t>Future</w:t>
      </w:r>
      <w:r w:rsidR="00190923" w:rsidRPr="00D97463">
        <w:t xml:space="preserve"> </w:t>
      </w:r>
      <w:r w:rsidRPr="00D97463">
        <w:t>programme</w:t>
      </w:r>
      <w:r w:rsidR="00190923" w:rsidRPr="00D97463">
        <w:t xml:space="preserve"> </w:t>
      </w:r>
      <w:r w:rsidRPr="00D97463">
        <w:t>of</w:t>
      </w:r>
      <w:r w:rsidR="00190923" w:rsidRPr="00D97463">
        <w:t xml:space="preserve"> </w:t>
      </w:r>
      <w:r w:rsidRPr="00D97463">
        <w:t>work</w:t>
      </w:r>
      <w:bookmarkEnd w:id="143"/>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162.</w:t>
      </w:r>
      <w:r w:rsidRPr="00981405">
        <w:tab/>
        <w:t>Some</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proposal</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address</w:t>
      </w:r>
      <w:r w:rsidR="00190923" w:rsidRPr="00981405">
        <w:t xml:space="preserve"> </w:t>
      </w:r>
      <w:r w:rsidRPr="00981405">
        <w:t>in</w:t>
      </w:r>
      <w:r w:rsidR="00190923" w:rsidRPr="00981405">
        <w:t xml:space="preserve"> </w:t>
      </w:r>
      <w:r w:rsidRPr="00981405">
        <w:t>her</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law</w:t>
      </w:r>
      <w:r w:rsidR="00190923" w:rsidRPr="00981405">
        <w:t xml:space="preserve"> </w:t>
      </w:r>
      <w:r w:rsidRPr="00981405">
        <w:t>applicable</w:t>
      </w:r>
      <w:r w:rsidR="00190923" w:rsidRPr="00981405">
        <w:t xml:space="preserve"> </w:t>
      </w:r>
      <w:r w:rsidRPr="00981405">
        <w:t>in</w:t>
      </w:r>
      <w:r w:rsidR="00190923" w:rsidRPr="00981405">
        <w:t xml:space="preserve"> </w:t>
      </w:r>
      <w:r w:rsidRPr="00981405">
        <w:t>post-conflict</w:t>
      </w:r>
      <w:r w:rsidR="00190923" w:rsidRPr="00981405">
        <w:t xml:space="preserve"> </w:t>
      </w:r>
      <w:r w:rsidRPr="00981405">
        <w:t>situations,</w:t>
      </w:r>
      <w:r w:rsidR="00190923" w:rsidRPr="00981405">
        <w:t xml:space="preserve"> </w:t>
      </w:r>
      <w:r w:rsidRPr="00981405">
        <w:t>issues</w:t>
      </w:r>
      <w:r w:rsidR="00190923" w:rsidRPr="00981405">
        <w:t xml:space="preserve"> </w:t>
      </w:r>
      <w:r w:rsidRPr="00981405">
        <w:t>that</w:t>
      </w:r>
      <w:r w:rsidR="00190923" w:rsidRPr="00981405">
        <w:t xml:space="preserve"> </w:t>
      </w:r>
      <w:r w:rsidRPr="00981405">
        <w:t>had</w:t>
      </w:r>
      <w:r w:rsidR="00190923" w:rsidRPr="00981405">
        <w:t xml:space="preserve"> </w:t>
      </w:r>
      <w:r w:rsidRPr="00981405">
        <w:t>not</w:t>
      </w:r>
      <w:r w:rsidR="00190923" w:rsidRPr="00981405">
        <w:t xml:space="preserve"> </w:t>
      </w:r>
      <w:r w:rsidRPr="00981405">
        <w:t>yet</w:t>
      </w:r>
      <w:r w:rsidR="00190923" w:rsidRPr="00981405">
        <w:t xml:space="preserve"> </w:t>
      </w:r>
      <w:r w:rsidRPr="00981405">
        <w:t>been</w:t>
      </w:r>
      <w:r w:rsidR="00190923" w:rsidRPr="00981405">
        <w:t xml:space="preserve"> </w:t>
      </w:r>
      <w:r w:rsidRPr="00981405">
        <w:t>examined</w:t>
      </w:r>
      <w:r w:rsidR="00190923" w:rsidRPr="00981405">
        <w:t xml:space="preserve"> </w:t>
      </w:r>
      <w:r w:rsidRPr="00981405">
        <w:t>during</w:t>
      </w:r>
      <w:r w:rsidR="00190923" w:rsidRPr="00981405">
        <w:t xml:space="preserve"> </w:t>
      </w:r>
      <w:r w:rsidRPr="00981405">
        <w:t>the</w:t>
      </w:r>
      <w:r w:rsidR="00190923" w:rsidRPr="00981405">
        <w:t xml:space="preserve"> </w:t>
      </w:r>
      <w:r w:rsidRPr="00981405">
        <w:t>second</w:t>
      </w:r>
      <w:r w:rsidR="00190923" w:rsidRPr="00981405">
        <w:t xml:space="preserve"> </w:t>
      </w:r>
      <w:r w:rsidRPr="00981405">
        <w:t>phase,</w:t>
      </w:r>
      <w:r w:rsidR="00190923" w:rsidRPr="00981405">
        <w:t xml:space="preserve"> </w:t>
      </w:r>
      <w:r w:rsidRPr="00981405">
        <w:t>and</w:t>
      </w:r>
      <w:r w:rsidR="00190923" w:rsidRPr="00981405">
        <w:t xml:space="preserve"> </w:t>
      </w:r>
      <w:r w:rsidRPr="00981405">
        <w:t>to</w:t>
      </w:r>
      <w:r w:rsidR="00190923" w:rsidRPr="00981405">
        <w:t xml:space="preserve"> </w:t>
      </w:r>
      <w:r w:rsidRPr="00981405">
        <w:t>provide</w:t>
      </w:r>
      <w:r w:rsidR="00190923" w:rsidRPr="00981405">
        <w:t xml:space="preserve"> </w:t>
      </w:r>
      <w:r w:rsidRPr="00981405">
        <w:t>a</w:t>
      </w:r>
      <w:r w:rsidR="00190923" w:rsidRPr="00981405">
        <w:t xml:space="preserve"> </w:t>
      </w:r>
      <w:r w:rsidRPr="00981405">
        <w:t>summary</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three</w:t>
      </w:r>
      <w:r w:rsidR="00190923" w:rsidRPr="00981405">
        <w:t xml:space="preserve"> </w:t>
      </w:r>
      <w:r w:rsidRPr="00981405">
        <w:t>phases.</w:t>
      </w:r>
      <w:r w:rsidR="00190923" w:rsidRPr="00981405">
        <w:t xml:space="preserve"> </w:t>
      </w:r>
      <w:r w:rsidRPr="00981405">
        <w:t>Nevertheless,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entirely</w:t>
      </w:r>
      <w:r w:rsidR="00190923" w:rsidRPr="00981405">
        <w:t xml:space="preserve"> </w:t>
      </w:r>
      <w:r w:rsidRPr="00981405">
        <w:t>clear</w:t>
      </w:r>
      <w:r w:rsidR="00190923" w:rsidRPr="00981405">
        <w:t xml:space="preserve"> </w:t>
      </w:r>
      <w:r w:rsidRPr="00981405">
        <w:t>how</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intended</w:t>
      </w:r>
      <w:r w:rsidR="00190923" w:rsidRPr="00981405">
        <w:t xml:space="preserve"> </w:t>
      </w:r>
      <w:r w:rsidRPr="00981405">
        <w:t>to</w:t>
      </w:r>
      <w:r w:rsidR="00190923" w:rsidRPr="00981405">
        <w:t xml:space="preserve"> </w:t>
      </w:r>
      <w:r w:rsidRPr="00981405">
        <w:t>proceed</w:t>
      </w:r>
      <w:r w:rsidR="00190923" w:rsidRPr="00981405">
        <w:t xml:space="preserve"> </w:t>
      </w:r>
      <w:r w:rsidRPr="00981405">
        <w:t>with</w:t>
      </w:r>
      <w:r w:rsidR="00190923" w:rsidRPr="00981405">
        <w:t xml:space="preserve"> </w:t>
      </w:r>
      <w:r w:rsidRPr="00981405">
        <w:t>the</w:t>
      </w:r>
      <w:r w:rsidR="00190923" w:rsidRPr="00981405">
        <w:t xml:space="preserve"> </w:t>
      </w:r>
      <w:r w:rsidRPr="00981405">
        <w:t>topic</w:t>
      </w:r>
      <w:r w:rsidR="00190923" w:rsidRPr="00981405">
        <w:t xml:space="preserve"> </w:t>
      </w:r>
      <w:r w:rsidRPr="00981405">
        <w:t>after</w:t>
      </w:r>
      <w:r w:rsidR="00190923" w:rsidRPr="00981405">
        <w:t xml:space="preserve"> </w:t>
      </w:r>
      <w:r w:rsidRPr="00981405">
        <w:t>her</w:t>
      </w:r>
      <w:r w:rsidR="00190923" w:rsidRPr="00981405">
        <w:t xml:space="preserve"> </w:t>
      </w:r>
      <w:r w:rsidRPr="00981405">
        <w:t>third</w:t>
      </w:r>
      <w:r w:rsidR="00190923" w:rsidRPr="00981405">
        <w:t xml:space="preserve"> </w:t>
      </w:r>
      <w:r w:rsidRPr="00981405">
        <w:t>report</w:t>
      </w:r>
      <w:r w:rsidR="00190923" w:rsidRPr="00981405">
        <w:t xml:space="preserve"> </w:t>
      </w:r>
      <w:r w:rsidRPr="00981405">
        <w:t>and</w:t>
      </w:r>
      <w:r w:rsidR="00190923" w:rsidRPr="00981405">
        <w:t xml:space="preserve"> </w:t>
      </w:r>
      <w:r w:rsidRPr="00981405">
        <w:t>it</w:t>
      </w:r>
      <w:r w:rsidR="00190923" w:rsidRPr="00981405">
        <w:t xml:space="preserve"> </w:t>
      </w:r>
      <w:r w:rsidRPr="00981405">
        <w:t>was</w:t>
      </w:r>
      <w:r w:rsidR="00190923" w:rsidRPr="00981405">
        <w:t xml:space="preserve"> </w:t>
      </w:r>
      <w:r w:rsidRPr="00981405">
        <w:t>hoped</w:t>
      </w:r>
      <w:r w:rsidR="00190923" w:rsidRPr="00981405">
        <w:t xml:space="preserve"> </w:t>
      </w:r>
      <w:r w:rsidRPr="00981405">
        <w:t>that</w:t>
      </w:r>
      <w:r w:rsidR="00190923" w:rsidRPr="00981405">
        <w:t xml:space="preserve"> </w:t>
      </w:r>
      <w:r w:rsidRPr="00981405">
        <w:t>this</w:t>
      </w:r>
      <w:r w:rsidR="00190923" w:rsidRPr="00981405">
        <w:t xml:space="preserve"> </w:t>
      </w:r>
      <w:r w:rsidRPr="00981405">
        <w:t>could</w:t>
      </w:r>
      <w:r w:rsidR="00190923" w:rsidRPr="00981405">
        <w:t xml:space="preserve"> </w:t>
      </w:r>
      <w:r w:rsidRPr="00981405">
        <w:t>be</w:t>
      </w:r>
      <w:r w:rsidR="00190923" w:rsidRPr="00981405">
        <w:t xml:space="preserve"> </w:t>
      </w:r>
      <w:r w:rsidRPr="00981405">
        <w:t>clarified</w:t>
      </w:r>
      <w:r w:rsidR="00190923" w:rsidRPr="00981405">
        <w:t xml:space="preserve"> </w:t>
      </w:r>
      <w:r w:rsidRPr="00981405">
        <w:t>further.</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an</w:t>
      </w:r>
      <w:r w:rsidR="00190923" w:rsidRPr="00981405">
        <w:t xml:space="preserve"> </w:t>
      </w:r>
      <w:r w:rsidRPr="00981405">
        <w:t>outline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envisaged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be</w:t>
      </w:r>
      <w:r w:rsidR="00190923" w:rsidRPr="00981405">
        <w:t xml:space="preserve"> </w:t>
      </w:r>
      <w:r w:rsidRPr="00981405">
        <w:t>elaborated</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facilitate</w:t>
      </w:r>
      <w:r w:rsidR="00190923" w:rsidRPr="00981405">
        <w:t xml:space="preserve"> </w:t>
      </w:r>
      <w:r w:rsidRPr="00981405">
        <w:t>work.</w:t>
      </w:r>
    </w:p>
    <w:p w:rsidR="00397032" w:rsidRPr="00981405" w:rsidRDefault="00397032" w:rsidP="00D97463">
      <w:pPr>
        <w:pStyle w:val="SingleTxt"/>
      </w:pPr>
      <w:r w:rsidRPr="00981405">
        <w:t>163.</w:t>
      </w:r>
      <w:r w:rsidRPr="00981405">
        <w:tab/>
        <w:t>Regarding</w:t>
      </w:r>
      <w:r w:rsidR="00190923" w:rsidRPr="00981405">
        <w:t xml:space="preserve"> </w:t>
      </w:r>
      <w:r w:rsidRPr="00981405">
        <w:t>specific</w:t>
      </w:r>
      <w:r w:rsidR="00190923" w:rsidRPr="00981405">
        <w:t xml:space="preserve"> </w:t>
      </w:r>
      <w:r w:rsidRPr="00981405">
        <w:t>issues</w:t>
      </w:r>
      <w:r w:rsidR="00190923" w:rsidRPr="00981405">
        <w:t xml:space="preserve"> </w:t>
      </w:r>
      <w:r w:rsidRPr="00981405">
        <w:t>to</w:t>
      </w:r>
      <w:r w:rsidR="00190923" w:rsidRPr="00981405">
        <w:t xml:space="preserve"> </w:t>
      </w:r>
      <w:r w:rsidRPr="00981405">
        <w:t>be</w:t>
      </w:r>
      <w:r w:rsidR="00190923" w:rsidRPr="00981405">
        <w:t xml:space="preserve"> </w:t>
      </w:r>
      <w:r w:rsidRPr="00981405">
        <w:t>considered</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should</w:t>
      </w:r>
      <w:r w:rsidR="00190923" w:rsidRPr="00981405">
        <w:t xml:space="preserve"> </w:t>
      </w:r>
      <w:r w:rsidRPr="00981405">
        <w:t>analyze</w:t>
      </w:r>
      <w:r w:rsidR="00190923" w:rsidRPr="00981405">
        <w:t xml:space="preserve"> </w:t>
      </w:r>
      <w:r w:rsidRPr="00981405">
        <w:t>in</w:t>
      </w:r>
      <w:r w:rsidR="00190923" w:rsidRPr="00981405">
        <w:t xml:space="preserve"> </w:t>
      </w:r>
      <w:r w:rsidRPr="00981405">
        <w:t>greater</w:t>
      </w:r>
      <w:r w:rsidR="00190923" w:rsidRPr="00981405">
        <w:t xml:space="preserve"> </w:t>
      </w:r>
      <w:r w:rsidRPr="00981405">
        <w:t>depth</w:t>
      </w:r>
      <w:r w:rsidR="00190923" w:rsidRPr="00981405">
        <w:t xml:space="preserve"> </w:t>
      </w:r>
      <w:r w:rsidRPr="00981405">
        <w:t>other</w:t>
      </w:r>
      <w:r w:rsidR="00190923" w:rsidRPr="00981405">
        <w:t xml:space="preserve"> </w:t>
      </w:r>
      <w:r w:rsidRPr="00981405">
        <w:t>treaties</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humanitarian</w:t>
      </w:r>
      <w:r w:rsidR="00190923" w:rsidRPr="00981405">
        <w:t xml:space="preserve"> </w:t>
      </w:r>
      <w:r w:rsidRPr="00981405">
        <w:t>law</w:t>
      </w:r>
      <w:r w:rsidR="00190923" w:rsidRPr="00981405">
        <w:t xml:space="preserve"> </w:t>
      </w:r>
      <w:r w:rsidRPr="00981405">
        <w:t>that</w:t>
      </w:r>
      <w:r w:rsidR="00190923" w:rsidRPr="00981405">
        <w:t xml:space="preserve"> </w:t>
      </w:r>
      <w:r w:rsidRPr="00981405">
        <w:t>limit</w:t>
      </w:r>
      <w:r w:rsidR="00190923" w:rsidRPr="00981405">
        <w:t xml:space="preserve"> </w:t>
      </w:r>
      <w:r w:rsidRPr="00981405">
        <w:t>the</w:t>
      </w:r>
      <w:r w:rsidR="00190923" w:rsidRPr="00981405">
        <w:t xml:space="preserve"> </w:t>
      </w:r>
      <w:r w:rsidRPr="00981405">
        <w:t>means</w:t>
      </w:r>
      <w:r w:rsidR="00190923" w:rsidRPr="00981405">
        <w:t xml:space="preserve"> </w:t>
      </w:r>
      <w:r w:rsidRPr="00981405">
        <w:t>and</w:t>
      </w:r>
      <w:r w:rsidR="00190923" w:rsidRPr="00981405">
        <w:t xml:space="preserve"> </w:t>
      </w:r>
      <w:r w:rsidRPr="00981405">
        <w:t>methods</w:t>
      </w:r>
      <w:r w:rsidR="00190923" w:rsidRPr="00981405">
        <w:t xml:space="preserve"> </w:t>
      </w:r>
      <w:r w:rsidRPr="00981405">
        <w:t>of</w:t>
      </w:r>
      <w:r w:rsidR="00190923" w:rsidRPr="00981405">
        <w:t xml:space="preserve"> </w:t>
      </w:r>
      <w:r w:rsidRPr="00981405">
        <w:t>warfare</w:t>
      </w:r>
      <w:r w:rsidR="00190923" w:rsidRPr="00981405">
        <w:t xml:space="preserve"> </w:t>
      </w:r>
      <w:r w:rsidRPr="00981405">
        <w:t>that</w:t>
      </w:r>
      <w:r w:rsidR="00190923" w:rsidRPr="00981405">
        <w:t xml:space="preserve"> </w:t>
      </w:r>
      <w:r w:rsidRPr="00981405">
        <w:t>might</w:t>
      </w:r>
      <w:r w:rsidR="00190923" w:rsidRPr="00981405">
        <w:t xml:space="preserve"> </w:t>
      </w:r>
      <w:r w:rsidRPr="00981405">
        <w:t>have</w:t>
      </w:r>
      <w:r w:rsidR="00190923" w:rsidRPr="00981405">
        <w:t xml:space="preserve"> </w:t>
      </w:r>
      <w:r w:rsidRPr="00981405">
        <w:t>an</w:t>
      </w:r>
      <w:r w:rsidR="00190923" w:rsidRPr="00981405">
        <w:t xml:space="preserve"> </w:t>
      </w:r>
      <w:r w:rsidRPr="00981405">
        <w:t>adverse</w:t>
      </w:r>
      <w:r w:rsidR="00190923" w:rsidRPr="00981405">
        <w:t xml:space="preserve"> </w:t>
      </w:r>
      <w:r w:rsidRPr="00981405">
        <w:t>effect</w:t>
      </w:r>
      <w:r w:rsidR="00190923" w:rsidRPr="00981405">
        <w:t xml:space="preserve"> </w:t>
      </w:r>
      <w:r w:rsidRPr="00981405">
        <w:t>on</w:t>
      </w:r>
      <w:r w:rsidR="00190923" w:rsidRPr="00981405">
        <w:t xml:space="preserve"> </w:t>
      </w:r>
      <w:r w:rsidRPr="00981405">
        <w:t>the</w:t>
      </w:r>
      <w:r w:rsidR="00190923" w:rsidRPr="00981405">
        <w:t xml:space="preserve"> </w:t>
      </w:r>
      <w:r w:rsidRPr="00981405">
        <w:t>natural</w:t>
      </w:r>
      <w:r w:rsidR="00190923" w:rsidRPr="00981405">
        <w:t xml:space="preserve"> </w:t>
      </w:r>
      <w:r w:rsidRPr="00981405">
        <w:t>environment,</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to</w:t>
      </w:r>
      <w:r w:rsidR="00190923" w:rsidRPr="00981405">
        <w:t xml:space="preserve"> </w:t>
      </w:r>
      <w:r w:rsidRPr="00981405">
        <w:t>examine</w:t>
      </w:r>
      <w:r w:rsidR="00190923" w:rsidRPr="00981405">
        <w:t xml:space="preserve"> </w:t>
      </w:r>
      <w:r w:rsidRPr="00981405">
        <w:t>developments</w:t>
      </w:r>
      <w:r w:rsidR="00190923" w:rsidRPr="00981405">
        <w:t xml:space="preserve"> </w:t>
      </w:r>
      <w:r w:rsidRPr="00981405">
        <w:t>of</w:t>
      </w:r>
      <w:r w:rsidR="00190923" w:rsidRPr="00981405">
        <w:t xml:space="preserve"> </w:t>
      </w:r>
      <w:r w:rsidRPr="00981405">
        <w:t>new</w:t>
      </w:r>
      <w:r w:rsidR="00190923" w:rsidRPr="00981405">
        <w:t xml:space="preserve"> </w:t>
      </w:r>
      <w:r w:rsidRPr="00981405">
        <w:t>technologies</w:t>
      </w:r>
      <w:r w:rsidR="00190923" w:rsidRPr="00981405">
        <w:t xml:space="preserve"> </w:t>
      </w:r>
      <w:r w:rsidRPr="00981405">
        <w:t>and</w:t>
      </w:r>
      <w:r w:rsidR="00190923" w:rsidRPr="00981405">
        <w:t xml:space="preserve"> </w:t>
      </w:r>
      <w:r w:rsidRPr="00981405">
        <w:t>weaponry.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intention</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occupation</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both</w:t>
      </w:r>
      <w:r w:rsidR="00190923" w:rsidRPr="00981405">
        <w:t xml:space="preserve"> </w:t>
      </w:r>
      <w:r w:rsidRPr="00981405">
        <w:t>phases</w:t>
      </w:r>
      <w:r w:rsidR="00190923" w:rsidRPr="00981405">
        <w:t xml:space="preserve"> </w:t>
      </w:r>
      <w:r w:rsidRPr="00981405">
        <w:t>II</w:t>
      </w:r>
      <w:r w:rsidR="00190923" w:rsidRPr="00981405">
        <w:t xml:space="preserve"> </w:t>
      </w:r>
      <w:r w:rsidRPr="00981405">
        <w:t>and</w:t>
      </w:r>
      <w:r w:rsidR="00190923" w:rsidRPr="00981405">
        <w:t xml:space="preserve"> </w:t>
      </w:r>
      <w:r w:rsidRPr="00981405">
        <w:t>III,</w:t>
      </w:r>
      <w:r w:rsidR="00190923" w:rsidRPr="00981405">
        <w:t xml:space="preserve"> </w:t>
      </w:r>
      <w:r w:rsidRPr="00981405">
        <w:t>was</w:t>
      </w:r>
      <w:r w:rsidR="00190923" w:rsidRPr="00981405">
        <w:t xml:space="preserve"> </w:t>
      </w:r>
      <w:r w:rsidRPr="00981405">
        <w:t>welcomed</w:t>
      </w:r>
      <w:r w:rsidR="00190923" w:rsidRPr="00981405">
        <w:t xml:space="preserve"> </w:t>
      </w:r>
      <w:r w:rsidRPr="00981405">
        <w:t>by</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propose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training</w:t>
      </w:r>
      <w:r w:rsidR="00190923" w:rsidRPr="00981405">
        <w:t xml:space="preserve"> </w:t>
      </w:r>
      <w:r w:rsidRPr="00981405">
        <w:t>of</w:t>
      </w:r>
      <w:r w:rsidR="00190923" w:rsidRPr="00981405">
        <w:t xml:space="preserve"> </w:t>
      </w:r>
      <w:r w:rsidRPr="00981405">
        <w:t>armed</w:t>
      </w:r>
      <w:r w:rsidR="00190923" w:rsidRPr="00981405">
        <w:t xml:space="preserve"> </w:t>
      </w:r>
      <w:r w:rsidRPr="00981405">
        <w:t>forces</w:t>
      </w:r>
      <w:r w:rsidR="00190923" w:rsidRPr="00981405">
        <w:t xml:space="preserve"> </w:t>
      </w:r>
      <w:r w:rsidRPr="00981405">
        <w:t>and</w:t>
      </w:r>
      <w:r w:rsidR="00190923" w:rsidRPr="00981405">
        <w:t xml:space="preserve"> </w:t>
      </w:r>
      <w:r w:rsidRPr="00981405">
        <w:t>to</w:t>
      </w:r>
      <w:r w:rsidR="00190923" w:rsidRPr="00981405">
        <w:t xml:space="preserve"> </w:t>
      </w:r>
      <w:r w:rsidRPr="00981405">
        <w:t>the</w:t>
      </w:r>
      <w:r w:rsidR="00190923" w:rsidRPr="00981405">
        <w:t xml:space="preserve"> </w:t>
      </w:r>
      <w:r w:rsidRPr="00981405">
        <w:t>development</w:t>
      </w:r>
      <w:r w:rsidR="00190923" w:rsidRPr="00981405">
        <w:t xml:space="preserve"> </w:t>
      </w:r>
      <w:r w:rsidRPr="00981405">
        <w:t>and</w:t>
      </w:r>
      <w:r w:rsidR="00190923" w:rsidRPr="00981405">
        <w:t xml:space="preserve"> </w:t>
      </w:r>
      <w:r w:rsidRPr="00981405">
        <w:t>dissemination</w:t>
      </w:r>
      <w:r w:rsidR="00190923" w:rsidRPr="00981405">
        <w:t xml:space="preserve"> </w:t>
      </w:r>
      <w:r w:rsidRPr="00981405">
        <w:t>of</w:t>
      </w:r>
      <w:r w:rsidR="00190923" w:rsidRPr="00981405">
        <w:t xml:space="preserve"> </w:t>
      </w:r>
      <w:r w:rsidRPr="00981405">
        <w:t>relevant</w:t>
      </w:r>
      <w:r w:rsidR="00190923" w:rsidRPr="00981405">
        <w:t xml:space="preserve"> </w:t>
      </w:r>
      <w:r w:rsidRPr="00981405">
        <w:t>educational</w:t>
      </w:r>
      <w:r w:rsidR="00190923" w:rsidRPr="00981405">
        <w:t xml:space="preserve"> </w:t>
      </w:r>
      <w:r w:rsidRPr="00981405">
        <w:t>materials.</w:t>
      </w:r>
      <w:r w:rsidR="00190923" w:rsidRPr="00981405">
        <w:t xml:space="preserve"> </w:t>
      </w:r>
      <w:r w:rsidRPr="00981405">
        <w:t>Finally,</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should</w:t>
      </w:r>
      <w:r w:rsidR="00190923" w:rsidRPr="00981405">
        <w:t xml:space="preserve"> </w:t>
      </w:r>
      <w:r w:rsidRPr="00981405">
        <w:t>include</w:t>
      </w:r>
      <w:r w:rsidR="00190923" w:rsidRPr="00981405">
        <w:t xml:space="preserve"> </w:t>
      </w:r>
      <w:r w:rsidRPr="00981405">
        <w:t>propositions</w:t>
      </w:r>
      <w:r w:rsidR="00190923" w:rsidRPr="00981405">
        <w:t xml:space="preserve"> </w:t>
      </w:r>
      <w:r w:rsidRPr="00981405">
        <w:t>concerning</w:t>
      </w:r>
      <w:r w:rsidR="00190923" w:rsidRPr="00981405">
        <w:t xml:space="preserve"> </w:t>
      </w:r>
      <w:r w:rsidRPr="00981405">
        <w:t>ways</w:t>
      </w:r>
      <w:r w:rsidR="00190923" w:rsidRPr="00981405">
        <w:t xml:space="preserve"> </w:t>
      </w:r>
      <w:r w:rsidRPr="00981405">
        <w:t>and</w:t>
      </w:r>
      <w:r w:rsidR="00190923" w:rsidRPr="00981405">
        <w:t xml:space="preserve"> </w:t>
      </w:r>
      <w:r w:rsidRPr="00981405">
        <w:t>means</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can</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legal</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Some</w:t>
      </w:r>
      <w:r w:rsidR="00190923" w:rsidRPr="00981405">
        <w:t xml:space="preserve"> </w:t>
      </w:r>
      <w:r w:rsidRPr="00981405">
        <w:t>members</w:t>
      </w:r>
      <w:r w:rsidR="00190923" w:rsidRPr="00981405">
        <w:t xml:space="preserve"> </w:t>
      </w:r>
      <w:r w:rsidRPr="00981405">
        <w:t>encouraged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structure</w:t>
      </w:r>
      <w:r w:rsidR="00190923" w:rsidRPr="00981405">
        <w:t xml:space="preserve"> </w:t>
      </w:r>
      <w:r w:rsidRPr="00981405">
        <w:t>the</w:t>
      </w:r>
      <w:r w:rsidR="00190923" w:rsidRPr="00981405">
        <w:t xml:space="preserve"> </w:t>
      </w:r>
      <w:r w:rsidRPr="00981405">
        <w:t>future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to</w:t>
      </w:r>
      <w:r w:rsidR="00190923" w:rsidRPr="00981405">
        <w:t xml:space="preserve"> </w:t>
      </w:r>
      <w:r w:rsidRPr="00981405">
        <w:t>correspond</w:t>
      </w:r>
      <w:r w:rsidR="00190923" w:rsidRPr="00981405">
        <w:t xml:space="preserve"> </w:t>
      </w:r>
      <w:r w:rsidRPr="00981405">
        <w:t>with</w:t>
      </w:r>
      <w:r w:rsidR="00190923" w:rsidRPr="00981405">
        <w:t xml:space="preserve"> </w:t>
      </w:r>
      <w:r w:rsidRPr="00981405">
        <w:t>the</w:t>
      </w:r>
      <w:r w:rsidR="00190923" w:rsidRPr="00981405">
        <w:t xml:space="preserve"> </w:t>
      </w:r>
      <w:r w:rsidRPr="00981405">
        <w:t>temporal</w:t>
      </w:r>
      <w:r w:rsidR="00190923" w:rsidRPr="00981405">
        <w:t xml:space="preserve"> </w:t>
      </w:r>
      <w:r w:rsidRPr="00981405">
        <w:t>phases.</w:t>
      </w:r>
    </w:p>
    <w:p w:rsidR="00397032" w:rsidRPr="00981405" w:rsidRDefault="00397032" w:rsidP="00D97463">
      <w:pPr>
        <w:pStyle w:val="SingleTxt"/>
      </w:pPr>
      <w:r w:rsidRPr="00981405">
        <w:t>164.</w:t>
      </w:r>
      <w:r w:rsidRPr="00981405">
        <w:tab/>
        <w:t>Some</w:t>
      </w:r>
      <w:r w:rsidR="00190923" w:rsidRPr="00981405">
        <w:t xml:space="preserve"> </w:t>
      </w:r>
      <w:r w:rsidRPr="00981405">
        <w:t>members</w:t>
      </w:r>
      <w:r w:rsidR="00190923" w:rsidRPr="00981405">
        <w:t xml:space="preserve"> </w:t>
      </w:r>
      <w:r w:rsidRPr="00981405">
        <w:t>welcomed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intention</w:t>
      </w:r>
      <w:r w:rsidR="00190923" w:rsidRPr="00981405">
        <w:t xml:space="preserve"> </w:t>
      </w:r>
      <w:r w:rsidRPr="00981405">
        <w:t>to</w:t>
      </w:r>
      <w:r w:rsidR="00190923" w:rsidRPr="00981405">
        <w:t xml:space="preserve"> </w:t>
      </w:r>
      <w:r w:rsidRPr="00981405">
        <w:t>continue</w:t>
      </w:r>
      <w:r w:rsidR="00190923" w:rsidRPr="00981405">
        <w:t xml:space="preserve"> </w:t>
      </w:r>
      <w:r w:rsidRPr="00981405">
        <w:t>consultation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entities,</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ICRC,</w:t>
      </w:r>
      <w:r w:rsidR="00190923" w:rsidRPr="00981405">
        <w:t xml:space="preserve"> </w:t>
      </w:r>
      <w:r w:rsidRPr="00981405">
        <w:t>UNESCO</w:t>
      </w:r>
      <w:r w:rsidR="00190923" w:rsidRPr="00981405">
        <w:t xml:space="preserve"> </w:t>
      </w:r>
      <w:r w:rsidRPr="00981405">
        <w:t>and</w:t>
      </w:r>
      <w:r w:rsidR="00190923" w:rsidRPr="00981405">
        <w:t xml:space="preserve"> </w:t>
      </w:r>
      <w:r w:rsidRPr="00981405">
        <w:t>UNEP,</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regional</w:t>
      </w:r>
      <w:r w:rsidR="00190923" w:rsidRPr="00981405">
        <w:t xml:space="preserve"> </w:t>
      </w:r>
      <w:r w:rsidRPr="00981405">
        <w:t>organizations.</w:t>
      </w:r>
      <w:r w:rsidR="00190923" w:rsidRPr="00981405">
        <w:t xml:space="preserve"> </w:t>
      </w:r>
      <w:r w:rsidRPr="00981405">
        <w:t>They</w:t>
      </w:r>
      <w:r w:rsidR="00190923" w:rsidRPr="00981405">
        <w:t xml:space="preserve"> </w:t>
      </w:r>
      <w:r w:rsidRPr="00981405">
        <w:t>also</w:t>
      </w:r>
      <w:r w:rsidR="00190923" w:rsidRPr="00981405">
        <w:t xml:space="preserve"> </w:t>
      </w:r>
      <w:r w:rsidRPr="00981405">
        <w:t>agreed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of</w:t>
      </w:r>
      <w:r w:rsidR="00190923" w:rsidRPr="00981405">
        <w:t xml:space="preserve"> </w:t>
      </w:r>
      <w:r w:rsidRPr="00981405">
        <w:t>useful</w:t>
      </w:r>
      <w:r w:rsidR="00190923" w:rsidRPr="00981405">
        <w:t xml:space="preserve"> </w:t>
      </w:r>
      <w:r w:rsidRPr="00981405">
        <w:t>if</w:t>
      </w:r>
      <w:r w:rsidR="00190923" w:rsidRPr="00981405">
        <w:t xml:space="preserve"> </w:t>
      </w:r>
      <w:r w:rsidRPr="00981405">
        <w:t>States</w:t>
      </w:r>
      <w:r w:rsidR="00190923" w:rsidRPr="00981405">
        <w:t xml:space="preserve"> </w:t>
      </w:r>
      <w:r w:rsidRPr="00981405">
        <w:t>would</w:t>
      </w:r>
      <w:r w:rsidR="00190923" w:rsidRPr="00981405">
        <w:t xml:space="preserve"> </w:t>
      </w:r>
      <w:r w:rsidRPr="00981405">
        <w:t>continue</w:t>
      </w:r>
      <w:r w:rsidR="00190923" w:rsidRPr="00981405">
        <w:t xml:space="preserve"> </w:t>
      </w:r>
      <w:r w:rsidRPr="00981405">
        <w:t>to</w:t>
      </w:r>
      <w:r w:rsidR="00190923" w:rsidRPr="00981405">
        <w:t xml:space="preserve"> </w:t>
      </w:r>
      <w:r w:rsidRPr="00981405">
        <w:t>provide</w:t>
      </w:r>
      <w:r w:rsidR="00190923" w:rsidRPr="00981405">
        <w:t xml:space="preserve"> </w:t>
      </w:r>
      <w:r w:rsidRPr="00981405">
        <w:t>examples</w:t>
      </w:r>
      <w:r w:rsidR="00190923" w:rsidRPr="00981405">
        <w:t xml:space="preserve"> </w:t>
      </w:r>
      <w:r w:rsidRPr="00981405">
        <w:t>of</w:t>
      </w:r>
      <w:r w:rsidR="00190923" w:rsidRPr="00981405">
        <w:t xml:space="preserve"> </w:t>
      </w:r>
      <w:r w:rsidRPr="00981405">
        <w:t>legislation</w:t>
      </w:r>
      <w:r w:rsidR="00190923" w:rsidRPr="00981405">
        <w:t xml:space="preserve"> </w:t>
      </w:r>
      <w:r w:rsidRPr="00981405">
        <w:t>and</w:t>
      </w:r>
      <w:r w:rsidR="00190923" w:rsidRPr="00981405">
        <w:t xml:space="preserve"> </w:t>
      </w:r>
      <w:r w:rsidRPr="00981405">
        <w:t>relevant</w:t>
      </w:r>
      <w:r w:rsidR="00190923" w:rsidRPr="00981405">
        <w:t xml:space="preserve"> </w:t>
      </w:r>
      <w:r w:rsidRPr="00981405">
        <w:t>case</w:t>
      </w:r>
      <w:r w:rsidR="00190923" w:rsidRPr="00981405">
        <w:t xml:space="preserve"> </w:t>
      </w:r>
      <w:r w:rsidRPr="00981405">
        <w:t>law.</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44" w:name="_Toc427938134"/>
      <w:r w:rsidRPr="00D97463">
        <w:t>3.</w:t>
      </w:r>
      <w:r w:rsidRPr="00D97463">
        <w:tab/>
        <w:t>Concluding</w:t>
      </w:r>
      <w:r w:rsidR="00190923" w:rsidRPr="00D97463">
        <w:t xml:space="preserve"> </w:t>
      </w:r>
      <w:r w:rsidRPr="00D97463">
        <w:t>remarks</w:t>
      </w:r>
      <w:r w:rsidR="00190923" w:rsidRPr="00D97463">
        <w:t xml:space="preserve"> </w:t>
      </w:r>
      <w:r w:rsidRPr="00D97463">
        <w:t>of</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bookmarkEnd w:id="144"/>
      <w:r w:rsidR="00190923" w:rsidRPr="00D97463">
        <w:t xml:space="preserve"> </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165.</w:t>
      </w:r>
      <w:r w:rsidRPr="00981405">
        <w:tab/>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comments</w:t>
      </w:r>
      <w:r w:rsidR="00190923" w:rsidRPr="00981405">
        <w:t xml:space="preserve"> </w:t>
      </w:r>
      <w:r w:rsidRPr="00981405">
        <w:t>made</w:t>
      </w:r>
      <w:r w:rsidR="00190923" w:rsidRPr="00981405">
        <w:t xml:space="preserve"> </w:t>
      </w:r>
      <w:r w:rsidRPr="00981405">
        <w:t>during</w:t>
      </w:r>
      <w:r w:rsidR="00190923" w:rsidRPr="00981405">
        <w:t xml:space="preserve"> </w:t>
      </w:r>
      <w:r w:rsidRPr="00981405">
        <w:t>the</w:t>
      </w:r>
      <w:r w:rsidR="00190923" w:rsidRPr="00981405">
        <w:t xml:space="preserve"> </w:t>
      </w:r>
      <w:r w:rsidRPr="00981405">
        <w:t>plenary</w:t>
      </w:r>
      <w:r w:rsidR="00190923" w:rsidRPr="00981405">
        <w:t xml:space="preserve"> </w:t>
      </w:r>
      <w:r w:rsidRPr="00981405">
        <w:t>debate</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structure</w:t>
      </w:r>
      <w:r w:rsidR="00190923" w:rsidRPr="00981405">
        <w:t xml:space="preserve"> </w:t>
      </w:r>
      <w:r w:rsidRPr="00981405">
        <w:t>and</w:t>
      </w:r>
      <w:r w:rsidR="00190923" w:rsidRPr="00981405">
        <w:t xml:space="preserve"> </w:t>
      </w:r>
      <w:r w:rsidRPr="00981405">
        <w:t>methodology</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and</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considered</w:t>
      </w:r>
      <w:r w:rsidR="00190923" w:rsidRPr="00981405">
        <w:t xml:space="preserve"> </w:t>
      </w:r>
      <w:r w:rsidRPr="00981405">
        <w:t>it</w:t>
      </w:r>
      <w:r w:rsidR="00190923" w:rsidRPr="00981405">
        <w:t xml:space="preserve"> </w:t>
      </w:r>
      <w:r w:rsidRPr="00981405">
        <w:t>useful</w:t>
      </w:r>
      <w:r w:rsidR="00190923" w:rsidRPr="00981405">
        <w:t xml:space="preserve"> </w:t>
      </w:r>
      <w:r w:rsidRPr="00981405">
        <w:t>to</w:t>
      </w:r>
      <w:r w:rsidR="00190923" w:rsidRPr="00981405">
        <w:t xml:space="preserve"> </w:t>
      </w:r>
      <w:r w:rsidRPr="00981405">
        <w:t>clarify</w:t>
      </w:r>
      <w:r w:rsidR="00190923" w:rsidRPr="00981405">
        <w:t xml:space="preserve"> </w:t>
      </w:r>
      <w:r w:rsidRPr="00981405">
        <w:t>that</w:t>
      </w:r>
      <w:r w:rsidR="00190923" w:rsidRPr="00981405">
        <w:t xml:space="preserve"> </w:t>
      </w:r>
      <w:r w:rsidRPr="00981405">
        <w:t>the</w:t>
      </w:r>
      <w:r w:rsidR="00190923" w:rsidRPr="00981405">
        <w:t xml:space="preserve"> </w:t>
      </w:r>
      <w:r w:rsidRPr="00981405">
        <w:t>overall</w:t>
      </w:r>
      <w:r w:rsidR="00190923" w:rsidRPr="00981405">
        <w:t xml:space="preserve"> </w:t>
      </w:r>
      <w:r w:rsidRPr="00981405">
        <w:t>outline</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Pr="00981405">
        <w:t>would</w:t>
      </w:r>
      <w:r w:rsidR="00190923" w:rsidRPr="00981405">
        <w:t xml:space="preserve"> </w:t>
      </w:r>
      <w:r w:rsidRPr="00981405">
        <w:t>consist</w:t>
      </w:r>
      <w:r w:rsidR="00190923" w:rsidRPr="00981405">
        <w:t xml:space="preserve"> </w:t>
      </w:r>
      <w:r w:rsidRPr="00981405">
        <w:t>of</w:t>
      </w:r>
      <w:r w:rsidR="00190923" w:rsidRPr="00981405">
        <w:t xml:space="preserve"> </w:t>
      </w:r>
      <w:r w:rsidRPr="00981405">
        <w:t>several</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grouped</w:t>
      </w:r>
      <w:r w:rsidR="00190923" w:rsidRPr="00981405">
        <w:t xml:space="preserve"> </w:t>
      </w:r>
      <w:r w:rsidRPr="00981405">
        <w:t>together</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their</w:t>
      </w:r>
      <w:r w:rsidR="00190923" w:rsidRPr="00981405">
        <w:t xml:space="preserve"> </w:t>
      </w:r>
      <w:r w:rsidRPr="00981405">
        <w:t>functional</w:t>
      </w:r>
      <w:r w:rsidR="00190923" w:rsidRPr="00981405">
        <w:t xml:space="preserve"> </w:t>
      </w:r>
      <w:r w:rsidRPr="00981405">
        <w:t>purpose,</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reflect</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possible</w:t>
      </w:r>
      <w:r w:rsidR="00190923" w:rsidRPr="00981405">
        <w:t xml:space="preserve"> </w:t>
      </w:r>
      <w:r w:rsidRPr="00981405">
        <w:t>the</w:t>
      </w:r>
      <w:r w:rsidR="00190923" w:rsidRPr="00981405">
        <w:t xml:space="preserve"> </w:t>
      </w:r>
      <w:r w:rsidRPr="00981405">
        <w:t>three</w:t>
      </w:r>
      <w:r w:rsidR="00190923" w:rsidRPr="00981405">
        <w:t xml:space="preserve"> </w:t>
      </w:r>
      <w:r w:rsidRPr="00981405">
        <w:t>temporal</w:t>
      </w:r>
      <w:r w:rsidR="00190923" w:rsidRPr="00981405">
        <w:t xml:space="preserve"> </w:t>
      </w:r>
      <w:r w:rsidRPr="00981405">
        <w:t>phases.</w:t>
      </w:r>
      <w:r w:rsidR="00190923" w:rsidRPr="00981405">
        <w:t xml:space="preserve"> </w:t>
      </w:r>
      <w:r w:rsidRPr="00981405">
        <w:t>It</w:t>
      </w:r>
      <w:r w:rsidR="00190923" w:rsidRPr="00981405">
        <w:t xml:space="preserve"> </w:t>
      </w:r>
      <w:r w:rsidRPr="00981405">
        <w:t>was</w:t>
      </w:r>
      <w:r w:rsidR="00190923" w:rsidRPr="00981405">
        <w:t xml:space="preserve"> </w:t>
      </w:r>
      <w:r w:rsidRPr="00981405">
        <w:t>further</w:t>
      </w:r>
      <w:r w:rsidR="00190923" w:rsidRPr="00981405">
        <w:t xml:space="preserve"> </w:t>
      </w:r>
      <w:r w:rsidRPr="00981405">
        <w:t>reiterated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proposed</w:t>
      </w:r>
      <w:r w:rsidR="00190923" w:rsidRPr="00981405">
        <w:t xml:space="preserve"> </w:t>
      </w:r>
      <w:r w:rsidRPr="00981405">
        <w:t>in</w:t>
      </w:r>
      <w:r w:rsidR="00190923" w:rsidRPr="00981405">
        <w:t xml:space="preserve"> </w:t>
      </w:r>
      <w:r w:rsidRPr="00981405">
        <w:t>the</w:t>
      </w:r>
      <w:r w:rsidR="00190923" w:rsidRPr="00981405">
        <w:t xml:space="preserve"> </w:t>
      </w:r>
      <w:r w:rsidRPr="00981405">
        <w:t>present</w:t>
      </w:r>
      <w:r w:rsidR="00190923" w:rsidRPr="00981405">
        <w:t xml:space="preserve"> </w:t>
      </w:r>
      <w:r w:rsidRPr="00981405">
        <w:t>report</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second</w:t>
      </w:r>
      <w:r w:rsidR="00190923" w:rsidRPr="00981405">
        <w:t xml:space="preserve"> </w:t>
      </w:r>
      <w:r w:rsidRPr="00981405">
        <w:t>temporal</w:t>
      </w:r>
      <w:r w:rsidR="00190923" w:rsidRPr="00981405">
        <w:t xml:space="preserve"> </w:t>
      </w:r>
      <w:r w:rsidRPr="00981405">
        <w:t>phase,</w:t>
      </w:r>
      <w:r w:rsidR="00190923" w:rsidRPr="00981405">
        <w:t xml:space="preserve"> </w:t>
      </w:r>
      <w:r w:rsidRPr="00981405">
        <w:t>(i.e.</w:t>
      </w:r>
      <w:r w:rsidR="00190923" w:rsidRPr="00981405">
        <w:t xml:space="preserve"> </w:t>
      </w:r>
      <w:r w:rsidRPr="00981405">
        <w:t>during</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which</w:t>
      </w:r>
      <w:r w:rsidR="00190923" w:rsidRPr="00981405">
        <w:t xml:space="preserve"> </w:t>
      </w:r>
      <w:r w:rsidRPr="00981405">
        <w:t>was</w:t>
      </w:r>
      <w:r w:rsidR="00190923" w:rsidRPr="00981405">
        <w:t xml:space="preserve"> </w:t>
      </w:r>
      <w:r w:rsidRPr="00981405">
        <w:t>the</w:t>
      </w:r>
      <w:r w:rsidR="00190923" w:rsidRPr="00981405">
        <w:t xml:space="preserve"> </w:t>
      </w:r>
      <w:r w:rsidRPr="00981405">
        <w:t>focus</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The</w:t>
      </w:r>
      <w:r w:rsidR="00190923" w:rsidRPr="00981405">
        <w:t xml:space="preserve"> </w:t>
      </w:r>
      <w:r w:rsidRPr="00981405">
        <w:t>placement</w:t>
      </w:r>
      <w:r w:rsidR="00190923" w:rsidRPr="00981405">
        <w:t xml:space="preserve"> </w:t>
      </w:r>
      <w:r w:rsidRPr="00981405">
        <w:t>and</w:t>
      </w:r>
      <w:r w:rsidR="00190923" w:rsidRPr="00981405">
        <w:t xml:space="preserve"> </w:t>
      </w:r>
      <w:r w:rsidRPr="00981405">
        <w:t>numbering</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should</w:t>
      </w:r>
      <w:r w:rsidR="00190923" w:rsidRPr="00981405">
        <w:t xml:space="preserve"> </w:t>
      </w:r>
      <w:r w:rsidRPr="00981405">
        <w:t>therefore</w:t>
      </w:r>
      <w:r w:rsidR="00190923" w:rsidRPr="00981405">
        <w:t xml:space="preserve"> </w:t>
      </w:r>
      <w:r w:rsidRPr="00981405">
        <w:t>be</w:t>
      </w:r>
      <w:r w:rsidR="00190923" w:rsidRPr="00981405">
        <w:t xml:space="preserve"> </w:t>
      </w:r>
      <w:r w:rsidRPr="00981405">
        <w:t>seen</w:t>
      </w:r>
      <w:r w:rsidR="00190923" w:rsidRPr="00981405">
        <w:t xml:space="preserve"> </w:t>
      </w:r>
      <w:r w:rsidRPr="00981405">
        <w:t>from</w:t>
      </w:r>
      <w:r w:rsidR="00190923" w:rsidRPr="00981405">
        <w:t xml:space="preserve"> </w:t>
      </w:r>
      <w:r w:rsidRPr="00981405">
        <w:t>that</w:t>
      </w:r>
      <w:r w:rsidR="00190923" w:rsidRPr="00981405">
        <w:t xml:space="preserve"> </w:t>
      </w:r>
      <w:r w:rsidRPr="00981405">
        <w:t>context,</w:t>
      </w:r>
      <w:r w:rsidR="00190923" w:rsidRPr="00981405">
        <w:t xml:space="preserve"> </w:t>
      </w:r>
      <w:r w:rsidRPr="00981405">
        <w:t>and</w:t>
      </w:r>
      <w:r w:rsidR="00190923" w:rsidRPr="00981405">
        <w:t xml:space="preserve"> </w:t>
      </w:r>
      <w:r w:rsidRPr="00981405">
        <w:t>accordingly</w:t>
      </w:r>
      <w:r w:rsidR="00190923" w:rsidRPr="00981405">
        <w:t xml:space="preserve"> </w:t>
      </w:r>
      <w:r w:rsidRPr="00981405">
        <w:t>provisional</w:t>
      </w:r>
      <w:r w:rsidR="00190923" w:rsidRPr="00981405">
        <w:t xml:space="preserve"> </w:t>
      </w:r>
      <w:r w:rsidRPr="00981405">
        <w:t>in</w:t>
      </w:r>
      <w:r w:rsidR="00190923" w:rsidRPr="00981405">
        <w:t xml:space="preserve"> </w:t>
      </w:r>
      <w:r w:rsidRPr="00981405">
        <w:t>nature;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on</w:t>
      </w:r>
      <w:r w:rsidR="00190923" w:rsidRPr="00981405">
        <w:t xml:space="preserve"> </w:t>
      </w:r>
      <w:r w:rsidRPr="00981405">
        <w:t>phases</w:t>
      </w:r>
      <w:r w:rsidR="00190923" w:rsidRPr="00981405">
        <w:t xml:space="preserve"> </w:t>
      </w:r>
      <w:r w:rsidRPr="00981405">
        <w:t>I</w:t>
      </w:r>
      <w:r w:rsidR="00190923" w:rsidRPr="00981405">
        <w:t xml:space="preserve"> </w:t>
      </w:r>
      <w:r w:rsidRPr="00981405">
        <w:t>and</w:t>
      </w:r>
      <w:r w:rsidR="00190923" w:rsidRPr="00981405">
        <w:t xml:space="preserve"> </w:t>
      </w:r>
      <w:r w:rsidRPr="00981405">
        <w:t>III</w:t>
      </w:r>
      <w:r w:rsidR="00190923" w:rsidRPr="00981405">
        <w:t xml:space="preserve"> </w:t>
      </w:r>
      <w:r w:rsidRPr="00981405">
        <w:t>would</w:t>
      </w:r>
      <w:r w:rsidR="00190923" w:rsidRPr="00981405">
        <w:t xml:space="preserve"> </w:t>
      </w:r>
      <w:r w:rsidRPr="00981405">
        <w:t>be</w:t>
      </w:r>
      <w:r w:rsidR="00190923" w:rsidRPr="00981405">
        <w:t xml:space="preserve"> </w:t>
      </w:r>
      <w:r w:rsidRPr="00981405">
        <w:t>added</w:t>
      </w:r>
      <w:r w:rsidR="00190923" w:rsidRPr="00981405">
        <w:t xml:space="preserve"> </w:t>
      </w:r>
      <w:r w:rsidRPr="00981405">
        <w:t>in</w:t>
      </w:r>
      <w:r w:rsidR="00190923" w:rsidRPr="00981405">
        <w:t xml:space="preserve"> </w:t>
      </w:r>
      <w:r w:rsidRPr="00981405">
        <w:t>a</w:t>
      </w:r>
      <w:r w:rsidR="00190923" w:rsidRPr="00981405">
        <w:t xml:space="preserve"> </w:t>
      </w:r>
      <w:r w:rsidRPr="00981405">
        <w:t>future</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shared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topic</w:t>
      </w:r>
      <w:r w:rsidR="00190923" w:rsidRPr="00981405">
        <w:t xml:space="preserve"> </w:t>
      </w:r>
      <w:r w:rsidRPr="00981405">
        <w:t>needs</w:t>
      </w:r>
      <w:r w:rsidR="00190923" w:rsidRPr="00981405">
        <w:t xml:space="preserve"> </w:t>
      </w:r>
      <w:r w:rsidRPr="00981405">
        <w:t>a</w:t>
      </w:r>
      <w:r w:rsidR="00190923" w:rsidRPr="00981405">
        <w:t xml:space="preserve"> </w:t>
      </w:r>
      <w:r w:rsidRPr="00981405">
        <w:t>proper</w:t>
      </w:r>
      <w:r w:rsidR="00190923" w:rsidRPr="00981405">
        <w:t xml:space="preserve"> </w:t>
      </w:r>
      <w:r w:rsidRPr="00981405">
        <w:t>preamble</w:t>
      </w:r>
      <w:r w:rsidR="00190923" w:rsidRPr="00981405">
        <w:t xml:space="preserve"> </w:t>
      </w:r>
      <w:r w:rsidRPr="00981405">
        <w:t>and</w:t>
      </w:r>
      <w:r w:rsidR="00190923" w:rsidRPr="00981405">
        <w:t xml:space="preserve"> </w:t>
      </w:r>
      <w:r w:rsidRPr="00981405">
        <w:t>this</w:t>
      </w:r>
      <w:r w:rsidR="00190923" w:rsidRPr="00981405">
        <w:t xml:space="preserve"> </w:t>
      </w:r>
      <w:r w:rsidRPr="00981405">
        <w:t>may</w:t>
      </w:r>
      <w:r w:rsidR="00190923" w:rsidRPr="00981405">
        <w:t xml:space="preserve"> </w:t>
      </w:r>
      <w:r w:rsidRPr="00981405">
        <w:t>be</w:t>
      </w:r>
      <w:r w:rsidR="00190923" w:rsidRPr="00981405">
        <w:t xml:space="preserve"> </w:t>
      </w:r>
      <w:r w:rsidRPr="00981405">
        <w:t>elaborated</w:t>
      </w:r>
      <w:r w:rsidR="00190923" w:rsidRPr="00981405">
        <w:t xml:space="preserve"> </w:t>
      </w:r>
      <w:r w:rsidRPr="00981405">
        <w:t>at</w:t>
      </w:r>
      <w:r w:rsidR="00190923" w:rsidRPr="00981405">
        <w:t xml:space="preserve"> </w:t>
      </w:r>
      <w:r w:rsidRPr="00981405">
        <w:t>a</w:t>
      </w:r>
      <w:r w:rsidR="00190923" w:rsidRPr="00981405">
        <w:t xml:space="preserve"> </w:t>
      </w:r>
      <w:r w:rsidRPr="00981405">
        <w:t>later</w:t>
      </w:r>
      <w:r w:rsidR="00190923" w:rsidRPr="00981405">
        <w:t xml:space="preserve"> </w:t>
      </w:r>
      <w:r w:rsidRPr="00981405">
        <w:t>stage</w:t>
      </w:r>
      <w:r w:rsidR="00190923" w:rsidRPr="00981405">
        <w:t xml:space="preserve"> </w:t>
      </w:r>
      <w:r w:rsidRPr="00981405">
        <w:t>in</w:t>
      </w:r>
      <w:r w:rsidR="00190923" w:rsidRPr="00981405">
        <w:t xml:space="preserve"> </w:t>
      </w:r>
      <w:r w:rsidRPr="00981405">
        <w:t>the</w:t>
      </w:r>
      <w:r w:rsidR="00190923" w:rsidRPr="00981405">
        <w:t xml:space="preserve"> </w:t>
      </w:r>
      <w:r w:rsidRPr="00981405">
        <w:lastRenderedPageBreak/>
        <w:t>process.</w:t>
      </w:r>
      <w:r w:rsidR="00190923" w:rsidRPr="00981405">
        <w:t xml:space="preserve"> </w:t>
      </w:r>
      <w:r w:rsidRPr="00981405">
        <w:t>Furthermore,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underlined</w:t>
      </w:r>
      <w:r w:rsidR="00190923" w:rsidRPr="00981405">
        <w:t xml:space="preserve"> </w:t>
      </w:r>
      <w:r w:rsidRPr="00981405">
        <w:t>that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what</w:t>
      </w:r>
      <w:r w:rsidR="00190923" w:rsidRPr="00981405">
        <w:t xml:space="preserve"> </w:t>
      </w:r>
      <w:r w:rsidRPr="00981405">
        <w:t>other</w:t>
      </w:r>
      <w:r w:rsidR="00190923" w:rsidRPr="00981405">
        <w:t xml:space="preserve"> </w:t>
      </w:r>
      <w:r w:rsidRPr="00981405">
        <w:t>rules</w:t>
      </w:r>
      <w:r w:rsidR="00190923" w:rsidRPr="00981405">
        <w:t xml:space="preserve"> </w:t>
      </w:r>
      <w:r w:rsidRPr="00981405">
        <w:t>may</w:t>
      </w:r>
      <w:r w:rsidR="00190923" w:rsidRPr="00981405">
        <w:t xml:space="preserve"> </w:t>
      </w:r>
      <w:r w:rsidRPr="00981405">
        <w:t>apply</w:t>
      </w:r>
      <w:r w:rsidR="00190923" w:rsidRPr="00981405">
        <w:t xml:space="preserve"> </w:t>
      </w:r>
      <w:r w:rsidRPr="00981405">
        <w:t>during</w:t>
      </w:r>
      <w:r w:rsidR="00190923" w:rsidRPr="00981405">
        <w:t xml:space="preserve"> </w:t>
      </w:r>
      <w:r w:rsidRPr="00981405">
        <w:t>an</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including</w:t>
      </w:r>
      <w:r w:rsidR="00190923" w:rsidRPr="00981405">
        <w:t xml:space="preserve"> </w:t>
      </w:r>
      <w:r w:rsidRPr="00981405">
        <w:t>rules</w:t>
      </w:r>
      <w:r w:rsidR="00190923" w:rsidRPr="00981405">
        <w:t xml:space="preserve"> </w:t>
      </w:r>
      <w:r w:rsidRPr="00981405">
        <w:t>and</w:t>
      </w:r>
      <w:r w:rsidR="00190923" w:rsidRPr="00981405">
        <w:t xml:space="preserve"> </w:t>
      </w:r>
      <w:r w:rsidRPr="00981405">
        <w:t>principles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environmental</w:t>
      </w:r>
      <w:r w:rsidR="00190923" w:rsidRPr="00981405">
        <w:t xml:space="preserve"> </w:t>
      </w:r>
      <w:r w:rsidRPr="00981405">
        <w:t>law;</w:t>
      </w:r>
      <w:r w:rsidR="00190923" w:rsidRPr="00981405">
        <w:t xml:space="preserve"> </w:t>
      </w:r>
      <w:r w:rsidRPr="00981405">
        <w:t>was</w:t>
      </w:r>
      <w:r w:rsidR="00190923" w:rsidRPr="00981405">
        <w:t xml:space="preserve"> </w:t>
      </w:r>
      <w:r w:rsidRPr="00981405">
        <w:t>the</w:t>
      </w:r>
      <w:r w:rsidR="00190923" w:rsidRPr="00981405">
        <w:t xml:space="preserve"> </w:t>
      </w:r>
      <w:r w:rsidRPr="00981405">
        <w:t>core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and</w:t>
      </w:r>
      <w:r w:rsidR="00190923" w:rsidRPr="00981405">
        <w:t xml:space="preserve"> </w:t>
      </w:r>
      <w:r w:rsidRPr="00981405">
        <w:t>hence</w:t>
      </w:r>
      <w:r w:rsidR="00190923" w:rsidRPr="00981405">
        <w:t xml:space="preserve"> </w:t>
      </w:r>
      <w:r w:rsidRPr="00981405">
        <w:t>she</w:t>
      </w:r>
      <w:r w:rsidR="00190923" w:rsidRPr="00981405">
        <w:t xml:space="preserve"> </w:t>
      </w:r>
      <w:r w:rsidRPr="00981405">
        <w:t>was</w:t>
      </w:r>
      <w:r w:rsidR="00190923" w:rsidRPr="00981405">
        <w:t xml:space="preserve"> </w:t>
      </w:r>
      <w:r w:rsidRPr="00981405">
        <w:t>in</w:t>
      </w:r>
      <w:r w:rsidR="00190923" w:rsidRPr="00981405">
        <w:t xml:space="preserve"> </w:t>
      </w:r>
      <w:r w:rsidRPr="00981405">
        <w:t>full</w:t>
      </w:r>
      <w:r w:rsidR="00190923" w:rsidRPr="00981405">
        <w:t xml:space="preserve"> </w:t>
      </w:r>
      <w:r w:rsidRPr="00981405">
        <w:t>agreement</w:t>
      </w:r>
      <w:r w:rsidR="00190923" w:rsidRPr="00981405">
        <w:t xml:space="preserve"> </w:t>
      </w:r>
      <w:r w:rsidRPr="00981405">
        <w:t>with</w:t>
      </w:r>
      <w:r w:rsidR="00190923" w:rsidRPr="00981405">
        <w:t xml:space="preserve"> </w:t>
      </w:r>
      <w:r w:rsidRPr="00981405">
        <w:t>the</w:t>
      </w:r>
      <w:r w:rsidR="00190923" w:rsidRPr="00981405">
        <w:t xml:space="preserve"> </w:t>
      </w:r>
      <w:r w:rsidRPr="00981405">
        <w:t>comments</w:t>
      </w:r>
      <w:r w:rsidR="00190923" w:rsidRPr="00981405">
        <w:t xml:space="preserve"> </w:t>
      </w:r>
      <w:r w:rsidRPr="00981405">
        <w:t>made</w:t>
      </w:r>
      <w:r w:rsidR="00190923" w:rsidRPr="00981405">
        <w:t xml:space="preserve"> </w:t>
      </w:r>
      <w:r w:rsidRPr="00981405">
        <w:t>regarding</w:t>
      </w:r>
      <w:r w:rsidR="00190923" w:rsidRPr="00981405">
        <w:t xml:space="preserve"> </w:t>
      </w:r>
      <w:r w:rsidRPr="00981405">
        <w:t>the</w:t>
      </w:r>
      <w:r w:rsidR="00190923" w:rsidRPr="00981405">
        <w:t xml:space="preserve"> </w:t>
      </w:r>
      <w:r w:rsidRPr="00981405">
        <w:t>necessity</w:t>
      </w:r>
      <w:r w:rsidR="00190923" w:rsidRPr="00981405">
        <w:t xml:space="preserve"> </w:t>
      </w:r>
      <w:r w:rsidRPr="00981405">
        <w:t>of</w:t>
      </w:r>
      <w:r w:rsidR="00190923" w:rsidRPr="00981405">
        <w:t xml:space="preserve"> </w:t>
      </w:r>
      <w:r w:rsidRPr="00981405">
        <w:t>addressing</w:t>
      </w:r>
      <w:r w:rsidR="00190923" w:rsidRPr="00981405">
        <w:t xml:space="preserve"> </w:t>
      </w:r>
      <w:r w:rsidRPr="00981405">
        <w:t>these</w:t>
      </w:r>
      <w:r w:rsidR="00190923" w:rsidRPr="00981405">
        <w:t xml:space="preserve"> </w:t>
      </w:r>
      <w:r w:rsidRPr="00981405">
        <w:t>issues.</w:t>
      </w:r>
      <w:r w:rsidR="00190923" w:rsidRPr="00981405">
        <w:t xml:space="preserve"> </w:t>
      </w:r>
      <w:r w:rsidRPr="00981405">
        <w:t>However,</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focus</w:t>
      </w:r>
      <w:r w:rsidR="00190923" w:rsidRPr="00981405">
        <w:t xml:space="preserve"> </w:t>
      </w:r>
      <w:r w:rsidRPr="00981405">
        <w:t>of</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on</w:t>
      </w:r>
      <w:r w:rsidR="00190923" w:rsidRPr="00981405">
        <w:t xml:space="preserve"> </w:t>
      </w:r>
      <w:r w:rsidRPr="00981405">
        <w:t>identifying</w:t>
      </w:r>
      <w:r w:rsidR="00190923" w:rsidRPr="00981405">
        <w:t xml:space="preserve"> </w:t>
      </w:r>
      <w:r w:rsidRPr="00981405">
        <w:t>rules</w:t>
      </w:r>
      <w:r w:rsidR="00190923" w:rsidRPr="00981405">
        <w:t xml:space="preserve"> </w:t>
      </w:r>
      <w:r w:rsidRPr="00981405">
        <w:t>and</w:t>
      </w:r>
      <w:r w:rsidR="00190923" w:rsidRPr="00981405">
        <w:t xml:space="preserve"> </w:t>
      </w:r>
      <w:r w:rsidRPr="00981405">
        <w:t>principles</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that</w:t>
      </w:r>
      <w:r w:rsidR="00190923" w:rsidRPr="00981405">
        <w:t xml:space="preserve"> </w:t>
      </w:r>
      <w:r w:rsidRPr="00981405">
        <w:t>relate</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possible</w:t>
      </w:r>
      <w:r w:rsidR="00190923" w:rsidRPr="00981405">
        <w:t xml:space="preserve"> </w:t>
      </w:r>
      <w:r w:rsidRPr="00981405">
        <w:t>to</w:t>
      </w:r>
      <w:r w:rsidR="00190923" w:rsidRPr="00981405">
        <w:t xml:space="preserve"> </w:t>
      </w:r>
      <w:r w:rsidRPr="00981405">
        <w:t>add</w:t>
      </w:r>
      <w:r w:rsidR="00190923" w:rsidRPr="00981405">
        <w:t xml:space="preserve"> </w:t>
      </w:r>
      <w:r w:rsidRPr="00981405">
        <w:t>into</w:t>
      </w:r>
      <w:r w:rsidR="00190923" w:rsidRPr="00981405">
        <w:t xml:space="preserve"> </w:t>
      </w:r>
      <w:r w:rsidRPr="00981405">
        <w:t>this</w:t>
      </w:r>
      <w:r w:rsidR="00190923" w:rsidRPr="00981405">
        <w:t xml:space="preserve"> </w:t>
      </w:r>
      <w:r w:rsidRPr="00981405">
        <w:t>examination</w:t>
      </w:r>
      <w:r w:rsidR="00190923" w:rsidRPr="00981405">
        <w:t xml:space="preserve"> </w:t>
      </w:r>
      <w:r w:rsidRPr="00981405">
        <w:t>other</w:t>
      </w:r>
      <w:r w:rsidR="00190923" w:rsidRPr="00981405">
        <w:t xml:space="preserve"> </w:t>
      </w:r>
      <w:r w:rsidRPr="00981405">
        <w:t>fields</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Such</w:t>
      </w:r>
      <w:r w:rsidR="00190923" w:rsidRPr="00981405">
        <w:t xml:space="preserve"> </w:t>
      </w:r>
      <w:r w:rsidRPr="00981405">
        <w:t>an</w:t>
      </w:r>
      <w:r w:rsidR="00190923" w:rsidRPr="00981405">
        <w:t xml:space="preserve"> </w:t>
      </w:r>
      <w:r w:rsidRPr="00981405">
        <w:t>examination</w:t>
      </w:r>
      <w:r w:rsidR="00190923" w:rsidRPr="00981405">
        <w:t xml:space="preserve"> </w:t>
      </w:r>
      <w:r w:rsidRPr="00981405">
        <w:t>would</w:t>
      </w:r>
      <w:r w:rsidR="00190923" w:rsidRPr="00981405">
        <w:t xml:space="preserve"> </w:t>
      </w:r>
      <w:r w:rsidRPr="00981405">
        <w:t>be</w:t>
      </w:r>
      <w:r w:rsidR="00190923" w:rsidRPr="00981405">
        <w:t xml:space="preserve"> </w:t>
      </w:r>
      <w:r w:rsidRPr="00981405">
        <w:t>done</w:t>
      </w:r>
      <w:r w:rsidR="00190923" w:rsidRPr="00981405">
        <w:t xml:space="preserve"> </w:t>
      </w:r>
      <w:r w:rsidRPr="00981405">
        <w:t>at</w:t>
      </w:r>
      <w:r w:rsidR="00190923" w:rsidRPr="00981405">
        <w:t xml:space="preserve"> </w:t>
      </w:r>
      <w:r w:rsidRPr="00981405">
        <w:t>a</w:t>
      </w:r>
      <w:r w:rsidR="00190923" w:rsidRPr="00981405">
        <w:t xml:space="preserve"> </w:t>
      </w:r>
      <w:r w:rsidRPr="00981405">
        <w:t>subsequent</w:t>
      </w:r>
      <w:r w:rsidR="00190923" w:rsidRPr="00981405">
        <w:t xml:space="preserve"> </w:t>
      </w:r>
      <w:r w:rsidRPr="00981405">
        <w:t>stage.</w:t>
      </w:r>
      <w:r w:rsidR="00190923" w:rsidRPr="00981405">
        <w:t xml:space="preserve"> </w:t>
      </w:r>
    </w:p>
    <w:p w:rsidR="00397032" w:rsidRPr="00981405" w:rsidRDefault="00397032" w:rsidP="00D97463">
      <w:pPr>
        <w:pStyle w:val="SingleTxt"/>
      </w:pPr>
      <w:r w:rsidRPr="00981405">
        <w:t>166.</w:t>
      </w:r>
      <w:r w:rsidRPr="00981405">
        <w:tab/>
        <w:t>In</w:t>
      </w:r>
      <w:r w:rsidR="00190923" w:rsidRPr="00981405">
        <w:t xml:space="preserve"> </w:t>
      </w:r>
      <w:r w:rsidRPr="00981405">
        <w:t>response</w:t>
      </w:r>
      <w:r w:rsidR="00190923" w:rsidRPr="00981405">
        <w:t xml:space="preserve"> </w:t>
      </w:r>
      <w:r w:rsidRPr="00981405">
        <w:t>to</w:t>
      </w:r>
      <w:r w:rsidR="00190923" w:rsidRPr="00981405">
        <w:t xml:space="preserve"> </w:t>
      </w:r>
      <w:r w:rsidRPr="00981405">
        <w:t>questions</w:t>
      </w:r>
      <w:r w:rsidR="00190923" w:rsidRPr="00981405">
        <w:t xml:space="preserve"> </w:t>
      </w:r>
      <w:r w:rsidRPr="00981405">
        <w:t>raised</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both</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environment</w:t>
      </w:r>
      <w:r w:rsidR="00B92E2C" w:rsidRPr="00981405">
        <w:t>”</w:t>
      </w:r>
      <w:r w:rsidR="00190923" w:rsidRPr="00981405">
        <w:t xml:space="preserve"> </w:t>
      </w:r>
      <w:r w:rsidRPr="00981405">
        <w:t>and</w:t>
      </w:r>
      <w:r w:rsidR="00190923" w:rsidRPr="00981405">
        <w:t xml:space="preserve"> </w:t>
      </w:r>
      <w:r w:rsidR="00B92E2C" w:rsidRPr="00981405">
        <w:t>“</w:t>
      </w:r>
      <w:r w:rsidRPr="00981405">
        <w:t>natural</w:t>
      </w:r>
      <w:r w:rsidR="00190923" w:rsidRPr="00981405">
        <w:t xml:space="preserve"> </w:t>
      </w:r>
      <w:r w:rsidRPr="00981405">
        <w:t>environment</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explained</w:t>
      </w:r>
      <w:r w:rsidR="00190923" w:rsidRPr="00981405">
        <w:t xml:space="preserve"> </w:t>
      </w:r>
      <w:r w:rsidRPr="00981405">
        <w:t>that</w:t>
      </w:r>
      <w:r w:rsidR="00190923" w:rsidRPr="00981405">
        <w:t xml:space="preserve"> </w:t>
      </w:r>
      <w:r w:rsidRPr="00981405">
        <w:t>the</w:t>
      </w:r>
      <w:r w:rsidR="00190923" w:rsidRPr="00981405">
        <w:t xml:space="preserve"> </w:t>
      </w:r>
      <w:r w:rsidRPr="00981405">
        <w:t>rationale</w:t>
      </w:r>
      <w:r w:rsidR="00190923" w:rsidRPr="00981405">
        <w:t xml:space="preserve"> </w:t>
      </w:r>
      <w:r w:rsidRPr="00981405">
        <w:t>behind</w:t>
      </w:r>
      <w:r w:rsidR="00190923" w:rsidRPr="00981405">
        <w:t xml:space="preserve"> </w:t>
      </w:r>
      <w:r w:rsidRPr="00981405">
        <w:t>this</w:t>
      </w:r>
      <w:r w:rsidR="00190923" w:rsidRPr="00981405">
        <w:t xml:space="preserve"> </w:t>
      </w:r>
      <w:r w:rsidRPr="00981405">
        <w:t>was</w:t>
      </w:r>
      <w:r w:rsidR="00190923" w:rsidRPr="00981405">
        <w:t xml:space="preserve"> </w:t>
      </w:r>
      <w:r w:rsidRPr="00981405">
        <w:t>linked</w:t>
      </w:r>
      <w:r w:rsidR="00190923" w:rsidRPr="00981405">
        <w:t xml:space="preserve"> </w:t>
      </w:r>
      <w:r w:rsidRPr="00981405">
        <w:t>to</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which</w:t>
      </w:r>
      <w:r w:rsidR="00190923" w:rsidRPr="00981405">
        <w:t xml:space="preserve"> </w:t>
      </w:r>
      <w:r w:rsidRPr="00981405">
        <w:t>was</w:t>
      </w:r>
      <w:r w:rsidR="00190923" w:rsidRPr="00981405">
        <w:t xml:space="preserve"> </w:t>
      </w:r>
      <w:r w:rsidRPr="00981405">
        <w:t>broad</w:t>
      </w:r>
      <w:r w:rsidR="00190923" w:rsidRPr="00981405">
        <w:t xml:space="preserve"> </w:t>
      </w:r>
      <w:r w:rsidRPr="00981405">
        <w:t>and</w:t>
      </w:r>
      <w:r w:rsidR="00190923" w:rsidRPr="00981405">
        <w:t xml:space="preserve"> </w:t>
      </w:r>
      <w:r w:rsidRPr="00981405">
        <w:t>referred</w:t>
      </w:r>
      <w:r w:rsidR="00190923" w:rsidRPr="00981405">
        <w:t xml:space="preserve"> </w:t>
      </w:r>
      <w:r w:rsidRPr="00981405">
        <w:t>to</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environment</w:t>
      </w:r>
      <w:r w:rsidR="00B92E2C" w:rsidRPr="00981405">
        <w:t>”</w:t>
      </w:r>
      <w:r w:rsidRPr="00981405">
        <w:t>.</w:t>
      </w:r>
      <w:r w:rsidR="00190923" w:rsidRPr="00981405">
        <w:t xml:space="preserve"> </w:t>
      </w:r>
      <w:r w:rsidRPr="00981405">
        <w:t>As</w:t>
      </w:r>
      <w:r w:rsidR="00190923" w:rsidRPr="00981405">
        <w:t xml:space="preserve"> </w:t>
      </w:r>
      <w:r w:rsidRPr="00981405">
        <w:t>such,</w:t>
      </w:r>
      <w:r w:rsidR="00190923" w:rsidRPr="00981405">
        <w:t xml:space="preserve"> </w:t>
      </w:r>
      <w:r w:rsidRPr="00981405">
        <w:t>this</w:t>
      </w:r>
      <w:r w:rsidR="00190923" w:rsidRPr="00981405">
        <w:t xml:space="preserve"> </w:t>
      </w:r>
      <w:r w:rsidRPr="00981405">
        <w:t>must</w:t>
      </w:r>
      <w:r w:rsidR="00190923" w:rsidRPr="00981405">
        <w:t xml:space="preserve"> </w:t>
      </w:r>
      <w:r w:rsidRPr="00981405">
        <w:t>be</w:t>
      </w:r>
      <w:r w:rsidR="00190923" w:rsidRPr="00981405">
        <w:t xml:space="preserve"> </w:t>
      </w:r>
      <w:r w:rsidRPr="00981405">
        <w:t>reflected</w:t>
      </w:r>
      <w:r w:rsidR="00190923" w:rsidRPr="00981405">
        <w:t xml:space="preserve"> </w:t>
      </w:r>
      <w:r w:rsidRPr="00981405">
        <w:t>in</w:t>
      </w:r>
      <w:r w:rsidR="00190923" w:rsidRPr="00981405">
        <w:t xml:space="preserve"> </w:t>
      </w:r>
      <w:r w:rsidRPr="00981405">
        <w:t>the</w:t>
      </w:r>
      <w:r w:rsidR="00190923" w:rsidRPr="00981405">
        <w:t xml:space="preserve"> </w:t>
      </w:r>
      <w:r w:rsidRPr="00981405">
        <w:t>provision</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and</w:t>
      </w:r>
      <w:r w:rsidR="00190923" w:rsidRPr="00981405">
        <w:t xml:space="preserve"> </w:t>
      </w:r>
      <w:r w:rsidRPr="00981405">
        <w:t>purpose.</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r w:rsidR="00190923" w:rsidRPr="00981405">
        <w:t xml:space="preserve"> </w:t>
      </w:r>
      <w:r w:rsidRPr="00981405">
        <w:t>relating</w:t>
      </w:r>
      <w:r w:rsidR="00190923" w:rsidRPr="00981405">
        <w:t xml:space="preserve"> </w:t>
      </w:r>
      <w:r w:rsidRPr="00981405">
        <w:t>to</w:t>
      </w:r>
      <w:r w:rsidR="00190923" w:rsidRPr="00981405">
        <w:t xml:space="preserve"> </w:t>
      </w:r>
      <w:r w:rsidRPr="00981405">
        <w:t>phase</w:t>
      </w:r>
      <w:r w:rsidR="00190923" w:rsidRPr="00981405">
        <w:t xml:space="preserve"> </w:t>
      </w:r>
      <w:r w:rsidRPr="00981405">
        <w:t>II,</w:t>
      </w:r>
      <w:r w:rsidR="00190923" w:rsidRPr="00981405">
        <w:t xml:space="preserve"> </w:t>
      </w:r>
      <w:r w:rsidRPr="00981405">
        <w:t>however,</w:t>
      </w:r>
      <w:r w:rsidR="00190923" w:rsidRPr="00981405">
        <w:t xml:space="preserve"> </w:t>
      </w:r>
      <w:r w:rsidRPr="00981405">
        <w:t>reflected</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which</w:t>
      </w:r>
      <w:r w:rsidR="00190923" w:rsidRPr="00981405">
        <w:t xml:space="preserve"> </w:t>
      </w:r>
      <w:r w:rsidRPr="00981405">
        <w:t>use</w:t>
      </w:r>
      <w:r w:rsidR="00190923" w:rsidRPr="00981405">
        <w:t xml:space="preserve"> </w:t>
      </w:r>
      <w:r w:rsidRPr="00981405">
        <w:t>a</w:t>
      </w:r>
      <w:r w:rsidR="00190923" w:rsidRPr="00981405">
        <w:t xml:space="preserve"> </w:t>
      </w:r>
      <w:r w:rsidRPr="00981405">
        <w:t>more</w:t>
      </w:r>
      <w:r w:rsidR="00190923" w:rsidRPr="00981405">
        <w:t xml:space="preserve"> </w:t>
      </w:r>
      <w:r w:rsidRPr="00981405">
        <w:t>narrow</w:t>
      </w:r>
      <w:r w:rsidR="00190923" w:rsidRPr="00981405">
        <w:t xml:space="preserve"> </w:t>
      </w:r>
      <w:r w:rsidRPr="00981405">
        <w:t>concept,</w:t>
      </w:r>
      <w:r w:rsidR="00190923" w:rsidRPr="00981405">
        <w:t xml:space="preserve"> </w:t>
      </w:r>
      <w:r w:rsidRPr="00981405">
        <w:t>namely</w:t>
      </w:r>
      <w:r w:rsidR="00190923" w:rsidRPr="00981405">
        <w:t xml:space="preserve"> </w:t>
      </w:r>
      <w:r w:rsidRPr="00981405">
        <w:t>the</w:t>
      </w:r>
      <w:r w:rsidR="00190923" w:rsidRPr="00981405">
        <w:t xml:space="preserve"> </w:t>
      </w:r>
      <w:r w:rsidR="00B92E2C" w:rsidRPr="00981405">
        <w:t>“</w:t>
      </w:r>
      <w:r w:rsidRPr="00981405">
        <w:t>natural</w:t>
      </w:r>
      <w:r w:rsidR="00190923" w:rsidRPr="00981405">
        <w:t xml:space="preserve"> </w:t>
      </w:r>
      <w:r w:rsidRPr="00981405">
        <w:t>environment</w:t>
      </w:r>
      <w:r w:rsidR="00B92E2C" w:rsidRPr="00981405">
        <w:t>”</w:t>
      </w:r>
      <w:r w:rsidRPr="00981405">
        <w:t>.</w:t>
      </w:r>
      <w:r w:rsidR="00190923" w:rsidRPr="00981405">
        <w:t xml:space="preserve"> </w:t>
      </w:r>
      <w:r w:rsidRPr="00981405">
        <w:t>In</w:t>
      </w:r>
      <w:r w:rsidR="00190923" w:rsidRPr="00981405">
        <w:t xml:space="preserve"> </w:t>
      </w:r>
      <w:r w:rsidRPr="00981405">
        <w:t>order</w:t>
      </w:r>
      <w:r w:rsidR="00190923" w:rsidRPr="00981405">
        <w:t xml:space="preserve"> </w:t>
      </w:r>
      <w:r w:rsidRPr="00981405">
        <w:t>not</w:t>
      </w:r>
      <w:r w:rsidR="00190923" w:rsidRPr="00981405">
        <w:t xml:space="preserve"> </w:t>
      </w:r>
      <w:r w:rsidRPr="00981405">
        <w:t>to</w:t>
      </w:r>
      <w:r w:rsidR="00190923" w:rsidRPr="00981405">
        <w:t xml:space="preserve"> </w:t>
      </w:r>
      <w:r w:rsidRPr="00981405">
        <w:t>be</w:t>
      </w:r>
      <w:r w:rsidR="00190923" w:rsidRPr="00981405">
        <w:t xml:space="preserve"> </w:t>
      </w:r>
      <w:r w:rsidRPr="00981405">
        <w:t>perceived</w:t>
      </w:r>
      <w:r w:rsidR="00190923" w:rsidRPr="00981405">
        <w:t xml:space="preserve"> </w:t>
      </w:r>
      <w:r w:rsidRPr="00981405">
        <w:t>as</w:t>
      </w:r>
      <w:r w:rsidR="00190923" w:rsidRPr="00981405">
        <w:t xml:space="preserve"> </w:t>
      </w:r>
      <w:r w:rsidRPr="00981405">
        <w:t>expanding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the</w:t>
      </w:r>
      <w:r w:rsidR="00190923" w:rsidRPr="00981405">
        <w:t xml:space="preserve"> </w:t>
      </w:r>
      <w:r w:rsidRPr="00981405">
        <w:t>term</w:t>
      </w:r>
      <w:r w:rsidR="00190923" w:rsidRPr="00981405">
        <w:t xml:space="preserve"> </w:t>
      </w:r>
      <w:r w:rsidRPr="00981405">
        <w:t>natural</w:t>
      </w:r>
      <w:r w:rsidR="00190923" w:rsidRPr="00981405">
        <w:t xml:space="preserve"> </w:t>
      </w:r>
      <w:r w:rsidRPr="00981405">
        <w:t>environment</w:t>
      </w:r>
      <w:r w:rsidR="00190923" w:rsidRPr="00981405">
        <w:t xml:space="preserve"> </w:t>
      </w:r>
      <w:r w:rsidRPr="00981405">
        <w:t>had</w:t>
      </w:r>
      <w:r w:rsidR="00190923" w:rsidRPr="00981405">
        <w:t xml:space="preserve"> </w:t>
      </w:r>
      <w:r w:rsidRPr="00981405">
        <w:t>been</w:t>
      </w:r>
      <w:r w:rsidR="00190923" w:rsidRPr="00981405">
        <w:t xml:space="preserve"> </w:t>
      </w:r>
      <w:r w:rsidRPr="00981405">
        <w:t>retained</w:t>
      </w:r>
      <w:r w:rsidR="00190923" w:rsidRPr="00981405">
        <w:t xml:space="preserve"> </w:t>
      </w:r>
      <w:r w:rsidRPr="00981405">
        <w:t>for</w:t>
      </w:r>
      <w:r w:rsidR="00190923" w:rsidRPr="00981405">
        <w:t xml:space="preserve"> </w:t>
      </w:r>
      <w:r w:rsidRPr="00981405">
        <w:t>this</w:t>
      </w:r>
      <w:r w:rsidR="00190923" w:rsidRPr="00981405">
        <w:t xml:space="preserve"> </w:t>
      </w:r>
      <w:r w:rsidRPr="00981405">
        <w:t>specific</w:t>
      </w:r>
      <w:r w:rsidR="00190923" w:rsidRPr="00981405">
        <w:t xml:space="preserve"> </w:t>
      </w:r>
      <w:r w:rsidRPr="00981405">
        <w:t>context.</w:t>
      </w:r>
      <w:r w:rsidR="00190923" w:rsidRPr="00981405">
        <w:t xml:space="preserve"> </w:t>
      </w:r>
      <w:r w:rsidRPr="00981405">
        <w:t>It</w:t>
      </w:r>
      <w:r w:rsidR="00190923" w:rsidRPr="00981405">
        <w:t xml:space="preserve"> </w:t>
      </w:r>
      <w:r w:rsidRPr="00981405">
        <w:t>was</w:t>
      </w:r>
      <w:r w:rsidR="00190923" w:rsidRPr="00981405">
        <w:t xml:space="preserve"> </w:t>
      </w:r>
      <w:r w:rsidRPr="00981405">
        <w:t>this</w:t>
      </w:r>
      <w:r w:rsidR="00190923" w:rsidRPr="00981405">
        <w:t xml:space="preserve"> </w:t>
      </w:r>
      <w:r w:rsidRPr="00981405">
        <w:t>distinction</w:t>
      </w:r>
      <w:r w:rsidR="00190923" w:rsidRPr="00981405">
        <w:t xml:space="preserve"> </w:t>
      </w:r>
      <w:r w:rsidRPr="00981405">
        <w:t>that</w:t>
      </w:r>
      <w:r w:rsidR="00190923" w:rsidRPr="00981405">
        <w:t xml:space="preserve"> </w:t>
      </w:r>
      <w:r w:rsidRPr="00981405">
        <w:t>the</w:t>
      </w:r>
      <w:r w:rsidR="00190923" w:rsidRPr="00981405">
        <w:t xml:space="preserve"> </w:t>
      </w:r>
      <w:r w:rsidRPr="00981405">
        <w:t>two</w:t>
      </w:r>
      <w:r w:rsidR="00190923" w:rsidRPr="00981405">
        <w:t xml:space="preserve"> </w:t>
      </w:r>
      <w:r w:rsidRPr="00981405">
        <w:t>terms</w:t>
      </w:r>
      <w:r w:rsidR="00190923" w:rsidRPr="00981405">
        <w:t xml:space="preserve"> </w:t>
      </w:r>
      <w:r w:rsidRPr="00981405">
        <w:t>had</w:t>
      </w:r>
      <w:r w:rsidR="00190923" w:rsidRPr="00981405">
        <w:t xml:space="preserve"> </w:t>
      </w:r>
      <w:r w:rsidRPr="00981405">
        <w:t>sought</w:t>
      </w:r>
      <w:r w:rsidR="00190923" w:rsidRPr="00981405">
        <w:t xml:space="preserve"> </w:t>
      </w:r>
      <w:r w:rsidRPr="00981405">
        <w:t>to</w:t>
      </w:r>
      <w:r w:rsidR="00190923" w:rsidRPr="00981405">
        <w:t xml:space="preserve"> </w:t>
      </w:r>
      <w:r w:rsidRPr="00981405">
        <w:t>capture.</w:t>
      </w:r>
    </w:p>
    <w:p w:rsidR="00397032" w:rsidRPr="00981405" w:rsidRDefault="00397032" w:rsidP="00D97463">
      <w:pPr>
        <w:pStyle w:val="SingleTxt"/>
      </w:pPr>
      <w:r w:rsidRPr="00981405">
        <w:t>167.</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draft</w:t>
      </w:r>
      <w:r w:rsidR="00190923" w:rsidRPr="00981405">
        <w:t xml:space="preserve"> </w:t>
      </w:r>
      <w:r w:rsidRPr="00981405">
        <w:t>principle</w:t>
      </w:r>
      <w:r w:rsidR="00190923" w:rsidRPr="00981405">
        <w:t xml:space="preserve"> </w:t>
      </w:r>
      <w:r w:rsidRPr="00981405">
        <w:t>1</w:t>
      </w:r>
      <w:r w:rsidR="00190923" w:rsidRPr="00981405">
        <w:t xml:space="preserve"> </w:t>
      </w:r>
      <w:r w:rsidRPr="00981405">
        <w:t>had</w:t>
      </w:r>
      <w:r w:rsidR="00190923" w:rsidRPr="00981405">
        <w:t xml:space="preserve"> </w:t>
      </w:r>
      <w:r w:rsidRPr="00981405">
        <w:t>generated</w:t>
      </w:r>
      <w:r w:rsidR="00190923" w:rsidRPr="00981405">
        <w:t xml:space="preserve"> </w:t>
      </w:r>
      <w:r w:rsidRPr="00981405">
        <w:t>much</w:t>
      </w:r>
      <w:r w:rsidR="00190923" w:rsidRPr="00981405">
        <w:t xml:space="preserve"> </w:t>
      </w:r>
      <w:r w:rsidRPr="00981405">
        <w:t>debate.</w:t>
      </w:r>
      <w:r w:rsidR="00190923" w:rsidRPr="00981405">
        <w:t xml:space="preserve"> </w:t>
      </w:r>
      <w:r w:rsidRPr="00981405">
        <w:t>She</w:t>
      </w:r>
      <w:r w:rsidR="00190923" w:rsidRPr="00981405">
        <w:t xml:space="preserve"> </w:t>
      </w:r>
      <w:r w:rsidRPr="00981405">
        <w:t>clarified</w:t>
      </w:r>
      <w:r w:rsidR="00190923" w:rsidRPr="00981405">
        <w:t xml:space="preserve"> </w:t>
      </w:r>
      <w:r w:rsidRPr="00981405">
        <w:t>that</w:t>
      </w:r>
      <w:r w:rsidR="00190923" w:rsidRPr="00981405">
        <w:t xml:space="preserve"> </w:t>
      </w:r>
      <w:r w:rsidRPr="00981405">
        <w:t>the</w:t>
      </w:r>
      <w:r w:rsidR="00190923" w:rsidRPr="00981405">
        <w:t xml:space="preserve"> </w:t>
      </w:r>
      <w:r w:rsidRPr="00981405">
        <w:t>proposed</w:t>
      </w:r>
      <w:r w:rsidR="00190923" w:rsidRPr="00981405">
        <w:t xml:space="preserve"> </w:t>
      </w:r>
      <w:r w:rsidRPr="00981405">
        <w:t>formulation</w:t>
      </w:r>
      <w:r w:rsidR="00190923" w:rsidRPr="00981405">
        <w:t xml:space="preserve"> </w:t>
      </w:r>
      <w:r w:rsidRPr="00981405">
        <w:t>that</w:t>
      </w:r>
      <w:r w:rsidR="00190923" w:rsidRPr="00981405">
        <w:t xml:space="preserve"> </w:t>
      </w:r>
      <w:r w:rsidR="00B92E2C" w:rsidRPr="00981405">
        <w:t>“</w:t>
      </w:r>
      <w:r w:rsidRPr="00981405">
        <w:t>the</w:t>
      </w:r>
      <w:r w:rsidR="00190923" w:rsidRPr="00981405">
        <w:t xml:space="preserve"> </w:t>
      </w:r>
      <w:r w:rsidRPr="00981405">
        <w:t>environment</w:t>
      </w:r>
      <w:r w:rsidR="00190923" w:rsidRPr="00981405">
        <w:t xml:space="preserve"> </w:t>
      </w:r>
      <w:r w:rsidRPr="00981405">
        <w:t>is</w:t>
      </w:r>
      <w:r w:rsidR="00190923" w:rsidRPr="00981405">
        <w:t xml:space="preserve"> </w:t>
      </w:r>
      <w:r w:rsidRPr="00981405">
        <w:t>civilian</w:t>
      </w:r>
      <w:r w:rsidR="00190923" w:rsidRPr="00981405">
        <w:t xml:space="preserve"> </w:t>
      </w:r>
      <w:r w:rsidRPr="00981405">
        <w:t>in</w:t>
      </w:r>
      <w:r w:rsidR="00190923" w:rsidRPr="00981405">
        <w:t xml:space="preserve"> </w:t>
      </w:r>
      <w:r w:rsidRPr="00981405">
        <w:t>nature</w:t>
      </w:r>
      <w:r w:rsidR="00B92E2C" w:rsidRPr="00981405">
        <w:t>”</w:t>
      </w:r>
      <w:r w:rsidRPr="00981405">
        <w:t>,</w:t>
      </w:r>
      <w:r w:rsidR="00190923" w:rsidRPr="00981405">
        <w:t xml:space="preserve"> </w:t>
      </w:r>
      <w:r w:rsidRPr="00981405">
        <w:t>was</w:t>
      </w:r>
      <w:r w:rsidR="00190923" w:rsidRPr="00981405">
        <w:t xml:space="preserve"> </w:t>
      </w:r>
      <w:r w:rsidRPr="00981405">
        <w:t>informed</w:t>
      </w:r>
      <w:r w:rsidR="00190923" w:rsidRPr="00981405">
        <w:t xml:space="preserve"> </w:t>
      </w:r>
      <w:r w:rsidRPr="00981405">
        <w:t>by</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distinction</w:t>
      </w:r>
      <w:r w:rsidR="00190923" w:rsidRPr="00981405">
        <w:t xml:space="preserve"> </w:t>
      </w:r>
      <w:r w:rsidRPr="00981405">
        <w:t>in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between</w:t>
      </w:r>
      <w:r w:rsidR="00190923" w:rsidRPr="00981405">
        <w:t xml:space="preserve"> </w:t>
      </w:r>
      <w:r w:rsidRPr="00981405">
        <w:t>civilian</w:t>
      </w:r>
      <w:r w:rsidR="00190923" w:rsidRPr="00981405">
        <w:t xml:space="preserve"> </w:t>
      </w:r>
      <w:r w:rsidRPr="00981405">
        <w:t>objects</w:t>
      </w:r>
      <w:r w:rsidR="00190923" w:rsidRPr="00981405">
        <w:t xml:space="preserve"> </w:t>
      </w:r>
      <w:r w:rsidRPr="00981405">
        <w:t>and</w:t>
      </w:r>
      <w:r w:rsidR="00190923" w:rsidRPr="00981405">
        <w:t xml:space="preserve"> </w:t>
      </w:r>
      <w:r w:rsidRPr="00981405">
        <w:t>military</w:t>
      </w:r>
      <w:r w:rsidR="00190923" w:rsidRPr="00981405">
        <w:t xml:space="preserve"> </w:t>
      </w:r>
      <w:r w:rsidRPr="00981405">
        <w:t>objectives,</w:t>
      </w:r>
      <w:r w:rsidR="00190923" w:rsidRPr="00981405">
        <w:t xml:space="preserve"> </w:t>
      </w:r>
      <w:r w:rsidRPr="00981405">
        <w:t>which</w:t>
      </w:r>
      <w:r w:rsidR="00190923" w:rsidRPr="00981405">
        <w:t xml:space="preserve"> </w:t>
      </w:r>
      <w:r w:rsidRPr="00981405">
        <w:t>meant</w:t>
      </w:r>
      <w:r w:rsidR="00190923" w:rsidRPr="00981405">
        <w:t xml:space="preserve"> </w:t>
      </w:r>
      <w:r w:rsidRPr="00981405">
        <w:t>that</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fell</w:t>
      </w:r>
      <w:r w:rsidR="00190923" w:rsidRPr="00981405">
        <w:t xml:space="preserve"> </w:t>
      </w:r>
      <w:r w:rsidRPr="00981405">
        <w:t>into</w:t>
      </w:r>
      <w:r w:rsidR="00190923" w:rsidRPr="00981405">
        <w:t xml:space="preserve"> </w:t>
      </w:r>
      <w:r w:rsidRPr="00981405">
        <w:t>either</w:t>
      </w:r>
      <w:r w:rsidR="00190923" w:rsidRPr="00981405">
        <w:t xml:space="preserve"> </w:t>
      </w:r>
      <w:r w:rsidRPr="00981405">
        <w:t>of</w:t>
      </w:r>
      <w:r w:rsidR="00190923" w:rsidRPr="00981405">
        <w:t xml:space="preserve"> </w:t>
      </w:r>
      <w:r w:rsidRPr="00981405">
        <w:t>these</w:t>
      </w:r>
      <w:r w:rsidR="00190923" w:rsidRPr="00981405">
        <w:t xml:space="preserve"> </w:t>
      </w:r>
      <w:r w:rsidRPr="00981405">
        <w:t>two</w:t>
      </w:r>
      <w:r w:rsidR="00190923" w:rsidRPr="00981405">
        <w:t xml:space="preserve"> </w:t>
      </w:r>
      <w:r w:rsidRPr="00981405">
        <w:t>categories</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applying</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It</w:t>
      </w:r>
      <w:r w:rsidR="00190923" w:rsidRPr="00981405">
        <w:t xml:space="preserve"> </w:t>
      </w:r>
      <w:r w:rsidRPr="00981405">
        <w:t>was</w:t>
      </w:r>
      <w:r w:rsidR="00190923" w:rsidRPr="00981405">
        <w:t xml:space="preserve"> </w:t>
      </w:r>
      <w:r w:rsidRPr="00981405">
        <w:t>this</w:t>
      </w:r>
      <w:r w:rsidR="00190923" w:rsidRPr="00981405">
        <w:t xml:space="preserve"> </w:t>
      </w:r>
      <w:r w:rsidRPr="00981405">
        <w:t>notion</w:t>
      </w:r>
      <w:r w:rsidR="00190923" w:rsidRPr="00981405">
        <w:t xml:space="preserve"> </w:t>
      </w:r>
      <w:r w:rsidRPr="00981405">
        <w:t>that</w:t>
      </w:r>
      <w:r w:rsidR="00190923" w:rsidRPr="00981405">
        <w:t xml:space="preserve"> </w:t>
      </w:r>
      <w:r w:rsidRPr="00981405">
        <w:t>she</w:t>
      </w:r>
      <w:r w:rsidR="00190923" w:rsidRPr="00981405">
        <w:t xml:space="preserve"> </w:t>
      </w:r>
      <w:r w:rsidRPr="00981405">
        <w:t>had</w:t>
      </w:r>
      <w:r w:rsidR="00190923" w:rsidRPr="00981405">
        <w:t xml:space="preserve"> </w:t>
      </w:r>
      <w:r w:rsidRPr="00981405">
        <w:t>sought</w:t>
      </w:r>
      <w:r w:rsidR="00190923" w:rsidRPr="00981405">
        <w:t xml:space="preserve"> </w:t>
      </w:r>
      <w:r w:rsidRPr="00981405">
        <w:t>to</w:t>
      </w:r>
      <w:r w:rsidR="00190923" w:rsidRPr="00981405">
        <w:t xml:space="preserve"> </w:t>
      </w:r>
      <w:r w:rsidRPr="00981405">
        <w:t>capture</w:t>
      </w:r>
      <w:r w:rsidR="00190923" w:rsidRPr="00981405">
        <w:t xml:space="preserve"> </w:t>
      </w:r>
      <w:r w:rsidRPr="00981405">
        <w:t>in</w:t>
      </w:r>
      <w:r w:rsidR="00190923" w:rsidRPr="00981405">
        <w:t xml:space="preserve"> </w:t>
      </w:r>
      <w:r w:rsidRPr="00981405">
        <w:t>her</w:t>
      </w:r>
      <w:r w:rsidR="00190923" w:rsidRPr="00981405">
        <w:t xml:space="preserve"> </w:t>
      </w:r>
      <w:r w:rsidRPr="00981405">
        <w:t>formulation.</w:t>
      </w:r>
      <w:r w:rsidR="00190923" w:rsidRPr="00981405">
        <w:t xml:space="preserve"> </w:t>
      </w:r>
      <w:r w:rsidRPr="00981405">
        <w:t>She</w:t>
      </w:r>
      <w:r w:rsidR="00190923" w:rsidRPr="00981405">
        <w:t xml:space="preserve"> </w:t>
      </w:r>
      <w:r w:rsidRPr="00981405">
        <w:t>had</w:t>
      </w:r>
      <w:r w:rsidR="00190923" w:rsidRPr="00981405">
        <w:t xml:space="preserve"> </w:t>
      </w:r>
      <w:r w:rsidRPr="00981405">
        <w:t>refrained</w:t>
      </w:r>
      <w:r w:rsidR="00190923" w:rsidRPr="00981405">
        <w:t xml:space="preserve"> </w:t>
      </w:r>
      <w:r w:rsidRPr="00981405">
        <w:t>from</w:t>
      </w:r>
      <w:r w:rsidR="00190923" w:rsidRPr="00981405">
        <w:t xml:space="preserve"> </w:t>
      </w:r>
      <w:r w:rsidRPr="00981405">
        <w:t>referring</w:t>
      </w:r>
      <w:r w:rsidR="00190923" w:rsidRPr="00981405">
        <w:t xml:space="preserve"> </w:t>
      </w:r>
      <w:r w:rsidRPr="00981405">
        <w:t>to</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a</w:t>
      </w:r>
      <w:r w:rsidR="00190923" w:rsidRPr="00981405">
        <w:t xml:space="preserve"> </w:t>
      </w:r>
      <w:r w:rsidRPr="00981405">
        <w:t>civilian</w:t>
      </w:r>
      <w:r w:rsidR="00190923" w:rsidRPr="00981405">
        <w:t xml:space="preserve"> </w:t>
      </w:r>
      <w:r w:rsidR="00B92E2C" w:rsidRPr="00981405">
        <w:t>“</w:t>
      </w:r>
      <w:r w:rsidRPr="00981405">
        <w:t>object</w:t>
      </w:r>
      <w:r w:rsidR="00B92E2C" w:rsidRPr="00981405">
        <w:t>”</w:t>
      </w:r>
      <w:r w:rsidRPr="00981405">
        <w:t>,</w:t>
      </w:r>
      <w:r w:rsidR="00190923" w:rsidRPr="00981405">
        <w:t xml:space="preserve"> </w:t>
      </w:r>
      <w:r w:rsidRPr="00981405">
        <w:t>since</w:t>
      </w:r>
      <w:r w:rsidR="00190923" w:rsidRPr="00981405">
        <w:t xml:space="preserve"> </w:t>
      </w:r>
      <w:r w:rsidRPr="00981405">
        <w:t>it</w:t>
      </w:r>
      <w:r w:rsidR="00190923" w:rsidRPr="00981405">
        <w:t xml:space="preserve"> </w:t>
      </w:r>
      <w:r w:rsidRPr="00981405">
        <w:t>could</w:t>
      </w:r>
      <w:r w:rsidR="00190923" w:rsidRPr="00981405">
        <w:t xml:space="preserve"> </w:t>
      </w:r>
      <w:r w:rsidRPr="00981405">
        <w:t>be</w:t>
      </w:r>
      <w:r w:rsidR="00190923" w:rsidRPr="00981405">
        <w:t xml:space="preserve"> </w:t>
      </w:r>
      <w:r w:rsidRPr="00981405">
        <w:t>confusing,</w:t>
      </w:r>
      <w:r w:rsidR="00190923" w:rsidRPr="00981405">
        <w:t xml:space="preserve"> </w:t>
      </w:r>
      <w:r w:rsidRPr="00981405">
        <w:t>although</w:t>
      </w:r>
      <w:r w:rsidR="00190923" w:rsidRPr="00981405">
        <w:t xml:space="preserve"> </w:t>
      </w:r>
      <w:r w:rsidRPr="00981405">
        <w:t>in</w:t>
      </w:r>
      <w:r w:rsidR="00190923" w:rsidRPr="00981405">
        <w:t xml:space="preserve"> </w:t>
      </w:r>
      <w:r w:rsidRPr="00981405">
        <w:t>her</w:t>
      </w:r>
      <w:r w:rsidR="00190923" w:rsidRPr="00981405">
        <w:t xml:space="preserve"> </w:t>
      </w:r>
      <w:r w:rsidRPr="00981405">
        <w:t>view,</w:t>
      </w:r>
      <w:r w:rsidR="00190923" w:rsidRPr="00981405">
        <w:t xml:space="preserve"> </w:t>
      </w:r>
      <w:r w:rsidRPr="00981405">
        <w:t>parts</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could</w:t>
      </w:r>
      <w:r w:rsidR="00190923" w:rsidRPr="00981405">
        <w:t xml:space="preserve"> </w:t>
      </w:r>
      <w:r w:rsidRPr="00981405">
        <w:t>constitute</w:t>
      </w:r>
      <w:r w:rsidR="00190923" w:rsidRPr="00981405">
        <w:t xml:space="preserve"> </w:t>
      </w:r>
      <w:r w:rsidRPr="00981405">
        <w:t>a</w:t>
      </w:r>
      <w:r w:rsidR="00190923" w:rsidRPr="00981405">
        <w:t xml:space="preserve"> </w:t>
      </w:r>
      <w:r w:rsidRPr="00981405">
        <w:t>civilian</w:t>
      </w:r>
      <w:r w:rsidR="00190923" w:rsidRPr="00981405">
        <w:t xml:space="preserve"> </w:t>
      </w:r>
      <w:r w:rsidRPr="00981405">
        <w:t>object.</w:t>
      </w:r>
      <w:r w:rsidR="00190923" w:rsidRPr="00981405">
        <w:t xml:space="preserve"> </w:t>
      </w:r>
      <w:r w:rsidRPr="00981405">
        <w:t>Nevertheless,</w:t>
      </w:r>
      <w:r w:rsidR="00190923" w:rsidRPr="00981405">
        <w:t xml:space="preserve"> </w:t>
      </w:r>
      <w:r w:rsidRPr="00981405">
        <w:t>she</w:t>
      </w:r>
      <w:r w:rsidR="00190923" w:rsidRPr="00981405">
        <w:t xml:space="preserve"> </w:t>
      </w:r>
      <w:r w:rsidRPr="00981405">
        <w:t>agreed</w:t>
      </w:r>
      <w:r w:rsidR="00190923" w:rsidRPr="00981405">
        <w:t xml:space="preserve"> </w:t>
      </w:r>
      <w:r w:rsidRPr="00981405">
        <w:t>that</w:t>
      </w:r>
      <w:r w:rsidR="00190923" w:rsidRPr="00981405">
        <w:t xml:space="preserve"> </w:t>
      </w:r>
      <w:r w:rsidRPr="00981405">
        <w:t>labelling</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an</w:t>
      </w:r>
      <w:r w:rsidR="00190923" w:rsidRPr="00981405">
        <w:t xml:space="preserve"> </w:t>
      </w:r>
      <w:r w:rsidR="00B92E2C" w:rsidRPr="00981405">
        <w:t>“</w:t>
      </w:r>
      <w:r w:rsidRPr="00981405">
        <w:t>object</w:t>
      </w:r>
      <w:r w:rsidR="00B92E2C" w:rsidRPr="00981405">
        <w:t>”</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appropriate.</w:t>
      </w:r>
      <w:r w:rsidR="00190923" w:rsidRPr="00981405">
        <w:t xml:space="preserve"> </w:t>
      </w:r>
      <w:r w:rsidRPr="00981405">
        <w:t>Since</w:t>
      </w:r>
      <w:r w:rsidR="00190923" w:rsidRPr="00981405">
        <w:t xml:space="preserve"> </w:t>
      </w:r>
      <w:r w:rsidRPr="00981405">
        <w:t>the</w:t>
      </w:r>
      <w:r w:rsidR="00190923" w:rsidRPr="00981405">
        <w:t xml:space="preserve"> </w:t>
      </w:r>
      <w:r w:rsidRPr="00981405">
        <w:t>proposition</w:t>
      </w:r>
      <w:r w:rsidR="00190923" w:rsidRPr="00981405">
        <w:t xml:space="preserve"> </w:t>
      </w:r>
      <w:r w:rsidRPr="00981405">
        <w:t>had</w:t>
      </w:r>
      <w:r w:rsidR="00190923" w:rsidRPr="00981405">
        <w:t xml:space="preserve"> </w:t>
      </w:r>
      <w:r w:rsidRPr="00981405">
        <w:t>created</w:t>
      </w:r>
      <w:r w:rsidR="00190923" w:rsidRPr="00981405">
        <w:t xml:space="preserve"> </w:t>
      </w:r>
      <w:r w:rsidRPr="00981405">
        <w:t>some</w:t>
      </w:r>
      <w:r w:rsidR="00190923" w:rsidRPr="00981405">
        <w:t xml:space="preserve"> </w:t>
      </w:r>
      <w:r w:rsidRPr="00981405">
        <w:t>confusion</w:t>
      </w:r>
      <w:r w:rsidR="00190923" w:rsidRPr="00981405">
        <w:t xml:space="preserve"> </w:t>
      </w:r>
      <w:r w:rsidRPr="00981405">
        <w:t>she</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it</w:t>
      </w:r>
      <w:r w:rsidR="00190923" w:rsidRPr="00981405">
        <w:t xml:space="preserve"> </w:t>
      </w:r>
      <w:r w:rsidRPr="00981405">
        <w:t>may</w:t>
      </w:r>
      <w:r w:rsidR="00190923" w:rsidRPr="00981405">
        <w:t xml:space="preserve"> </w:t>
      </w:r>
      <w:r w:rsidRPr="00981405">
        <w:t>be</w:t>
      </w:r>
      <w:r w:rsidR="00190923" w:rsidRPr="00981405">
        <w:t xml:space="preserve"> </w:t>
      </w:r>
      <w:r w:rsidRPr="00981405">
        <w:t>better</w:t>
      </w:r>
      <w:r w:rsidR="00190923" w:rsidRPr="00981405">
        <w:t xml:space="preserve"> </w:t>
      </w:r>
      <w:r w:rsidRPr="00981405">
        <w:t>to</w:t>
      </w:r>
      <w:r w:rsidR="00190923" w:rsidRPr="00981405">
        <w:t xml:space="preserve"> </w:t>
      </w:r>
      <w:r w:rsidRPr="00981405">
        <w:t>avoid</w:t>
      </w:r>
      <w:r w:rsidR="00190923" w:rsidRPr="00981405">
        <w:t xml:space="preserve"> </w:t>
      </w:r>
      <w:r w:rsidRPr="00981405">
        <w:t>its</w:t>
      </w:r>
      <w:r w:rsidR="00190923" w:rsidRPr="00981405">
        <w:t xml:space="preserve"> </w:t>
      </w:r>
      <w:r w:rsidRPr="00981405">
        <w:t>further</w:t>
      </w:r>
      <w:r w:rsidR="00190923" w:rsidRPr="00981405">
        <w:t xml:space="preserve"> </w:t>
      </w:r>
      <w:r w:rsidRPr="00981405">
        <w:t>use</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w:t>
      </w:r>
    </w:p>
    <w:p w:rsidR="00397032" w:rsidRPr="00981405" w:rsidRDefault="00397032" w:rsidP="00D97463">
      <w:pPr>
        <w:pStyle w:val="SingleTxt"/>
      </w:pPr>
      <w:r w:rsidRPr="00981405">
        <w:t>168.</w:t>
      </w:r>
      <w:r w:rsidRPr="00981405">
        <w:tab/>
        <w:t>Concerning</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collateral</w:t>
      </w:r>
      <w:r w:rsidR="00190923" w:rsidRPr="00981405">
        <w:t xml:space="preserve"> </w:t>
      </w:r>
      <w:r w:rsidRPr="00981405">
        <w:t>damage</w:t>
      </w:r>
      <w:r w:rsidR="00B92E2C" w:rsidRPr="00981405">
        <w: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concept</w:t>
      </w:r>
      <w:r w:rsidR="00190923" w:rsidRPr="00981405">
        <w:t xml:space="preserve"> </w:t>
      </w:r>
      <w:r w:rsidRPr="00981405">
        <w:t>had</w:t>
      </w:r>
      <w:r w:rsidR="00190923" w:rsidRPr="00981405">
        <w:t xml:space="preserve"> </w:t>
      </w:r>
      <w:r w:rsidRPr="00981405">
        <w:t>become</w:t>
      </w:r>
      <w:r w:rsidR="00190923" w:rsidRPr="00981405">
        <w:t xml:space="preserve"> </w:t>
      </w:r>
      <w:r w:rsidRPr="00981405">
        <w:t>almost</w:t>
      </w:r>
      <w:r w:rsidR="00190923" w:rsidRPr="00981405">
        <w:t xml:space="preserve"> </w:t>
      </w:r>
      <w:r w:rsidRPr="00981405">
        <w:t>synonymous</w:t>
      </w:r>
      <w:r w:rsidR="00190923" w:rsidRPr="00981405">
        <w:t xml:space="preserve"> </w:t>
      </w:r>
      <w:r w:rsidRPr="00981405">
        <w:t>for</w:t>
      </w:r>
      <w:r w:rsidR="00190923" w:rsidRPr="00981405">
        <w:t xml:space="preserve"> </w:t>
      </w:r>
      <w:r w:rsidRPr="00981405">
        <w:t>damage</w:t>
      </w:r>
      <w:r w:rsidR="00190923" w:rsidRPr="00981405">
        <w:t xml:space="preserve"> </w:t>
      </w:r>
      <w:r w:rsidRPr="00981405">
        <w:t>to</w:t>
      </w:r>
      <w:r w:rsidR="00190923" w:rsidRPr="00981405">
        <w:t xml:space="preserve"> </w:t>
      </w:r>
      <w:r w:rsidRPr="00981405">
        <w:t>civilians</w:t>
      </w:r>
      <w:r w:rsidR="00190923" w:rsidRPr="00981405">
        <w:t xml:space="preserve"> </w:t>
      </w:r>
      <w:r w:rsidRPr="00981405">
        <w:t>and</w:t>
      </w:r>
      <w:r w:rsidR="00190923" w:rsidRPr="00981405">
        <w:t xml:space="preserve"> </w:t>
      </w:r>
      <w:r w:rsidRPr="00981405">
        <w:t>civilian</w:t>
      </w:r>
      <w:r w:rsidR="00190923" w:rsidRPr="00981405">
        <w:t xml:space="preserve"> </w:t>
      </w:r>
      <w:r w:rsidRPr="00981405">
        <w:t>property</w:t>
      </w:r>
      <w:r w:rsidR="00190923" w:rsidRPr="00981405">
        <w:t xml:space="preserve"> </w:t>
      </w:r>
      <w:r w:rsidRPr="00981405">
        <w:t>that</w:t>
      </w:r>
      <w:r w:rsidR="00190923" w:rsidRPr="00981405">
        <w:t xml:space="preserve"> </w:t>
      </w:r>
      <w:r w:rsidRPr="00981405">
        <w:t>may</w:t>
      </w:r>
      <w:r w:rsidR="00190923" w:rsidRPr="00981405">
        <w:t xml:space="preserve"> </w:t>
      </w:r>
      <w:r w:rsidRPr="00981405">
        <w:t>occur</w:t>
      </w:r>
      <w:r w:rsidR="00190923" w:rsidRPr="00981405">
        <w:t xml:space="preserve"> </w:t>
      </w:r>
      <w:r w:rsidRPr="00981405">
        <w:t>as</w:t>
      </w:r>
      <w:r w:rsidR="00190923" w:rsidRPr="00981405">
        <w:t xml:space="preserve"> </w:t>
      </w:r>
      <w:r w:rsidRPr="00981405">
        <w:t>a</w:t>
      </w:r>
      <w:r w:rsidR="00190923" w:rsidRPr="00981405">
        <w:t xml:space="preserve"> </w:t>
      </w:r>
      <w:r w:rsidRPr="00981405">
        <w:t>consequence</w:t>
      </w:r>
      <w:r w:rsidR="00190923" w:rsidRPr="00981405">
        <w:t xml:space="preserve"> </w:t>
      </w:r>
      <w:r w:rsidRPr="00981405">
        <w:t>of</w:t>
      </w:r>
      <w:r w:rsidR="00190923" w:rsidRPr="00981405">
        <w:t xml:space="preserve"> </w:t>
      </w:r>
      <w:r w:rsidRPr="00981405">
        <w:t>a</w:t>
      </w:r>
      <w:r w:rsidR="00190923" w:rsidRPr="00981405">
        <w:t xml:space="preserve"> </w:t>
      </w:r>
      <w:r w:rsidRPr="00981405">
        <w:t>legitimate</w:t>
      </w:r>
      <w:r w:rsidR="00190923" w:rsidRPr="00981405">
        <w:t xml:space="preserve"> </w:t>
      </w:r>
      <w:r w:rsidRPr="00981405">
        <w:t>attack</w:t>
      </w:r>
      <w:r w:rsidR="00190923" w:rsidRPr="00981405">
        <w:t xml:space="preserve"> </w:t>
      </w:r>
      <w:r w:rsidRPr="00981405">
        <w:t>and</w:t>
      </w:r>
      <w:r w:rsidR="00190923" w:rsidRPr="00981405">
        <w:t xml:space="preserve"> </w:t>
      </w:r>
      <w:r w:rsidRPr="00981405">
        <w:t>was</w:t>
      </w:r>
      <w:r w:rsidR="00190923" w:rsidRPr="00981405">
        <w:t xml:space="preserve"> </w:t>
      </w:r>
      <w:r w:rsidRPr="00981405">
        <w:t>directly</w:t>
      </w:r>
      <w:r w:rsidR="00190923" w:rsidRPr="00981405">
        <w:t xml:space="preserve"> </w:t>
      </w:r>
      <w:r w:rsidRPr="00981405">
        <w:t>linked</w:t>
      </w:r>
      <w:r w:rsidR="00190923" w:rsidRPr="00981405">
        <w:t xml:space="preserve"> </w:t>
      </w:r>
      <w:r w:rsidRPr="00981405">
        <w:t>to</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proportionality.</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comments</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debate,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it</w:t>
      </w:r>
      <w:r w:rsidR="00190923" w:rsidRPr="00981405">
        <w:t xml:space="preserve"> </w:t>
      </w:r>
      <w:r w:rsidRPr="00981405">
        <w:t>may</w:t>
      </w:r>
      <w:r w:rsidR="00190923" w:rsidRPr="00981405">
        <w:t xml:space="preserve"> </w:t>
      </w:r>
      <w:r w:rsidRPr="00981405">
        <w:t>be</w:t>
      </w:r>
      <w:r w:rsidR="00190923" w:rsidRPr="00981405">
        <w:t xml:space="preserve"> </w:t>
      </w:r>
      <w:r w:rsidRPr="00981405">
        <w:t>deleted</w:t>
      </w:r>
      <w:r w:rsidR="00190923" w:rsidRPr="00981405">
        <w:t xml:space="preserve"> </w:t>
      </w:r>
      <w:r w:rsidRPr="00981405">
        <w:t>from</w:t>
      </w:r>
      <w:r w:rsidR="00190923" w:rsidRPr="00981405">
        <w:t xml:space="preserve"> </w:t>
      </w:r>
      <w:r w:rsidRPr="00981405">
        <w:t>the</w:t>
      </w:r>
      <w:r w:rsidR="00190923" w:rsidRPr="00981405">
        <w:t xml:space="preserve"> </w:t>
      </w:r>
      <w:r w:rsidRPr="00981405">
        <w:t>draft</w:t>
      </w:r>
      <w:r w:rsidR="00190923" w:rsidRPr="00981405">
        <w:t xml:space="preserve"> </w:t>
      </w:r>
      <w:r w:rsidRPr="00981405">
        <w:t>principles.</w:t>
      </w:r>
    </w:p>
    <w:p w:rsidR="00397032" w:rsidRPr="00981405" w:rsidRDefault="00397032" w:rsidP="00D97463">
      <w:pPr>
        <w:pStyle w:val="SingleTxt"/>
      </w:pPr>
      <w:r w:rsidRPr="00981405">
        <w:t>169.</w:t>
      </w:r>
      <w:r w:rsidRPr="00981405">
        <w:tab/>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views</w:t>
      </w:r>
      <w:r w:rsidR="00190923" w:rsidRPr="00981405">
        <w:t xml:space="preserve"> </w:t>
      </w:r>
      <w:r w:rsidRPr="00981405">
        <w:t>expressed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that</w:t>
      </w:r>
      <w:r w:rsidR="00190923" w:rsidRPr="00981405">
        <w:t xml:space="preserve"> </w:t>
      </w:r>
      <w:r w:rsidRPr="00981405">
        <w:t>the</w:t>
      </w:r>
      <w:r w:rsidR="00190923" w:rsidRPr="00981405">
        <w:t xml:space="preserve"> </w:t>
      </w:r>
      <w:r w:rsidRPr="00981405">
        <w:t>prohibition</w:t>
      </w:r>
      <w:r w:rsidR="00190923" w:rsidRPr="00981405">
        <w:t xml:space="preserve"> </w:t>
      </w:r>
      <w:r w:rsidRPr="00981405">
        <w:t>against</w:t>
      </w:r>
      <w:r w:rsidR="00190923" w:rsidRPr="00981405">
        <w:t xml:space="preserve"> </w:t>
      </w:r>
      <w:r w:rsidRPr="00981405">
        <w:t>reprisals</w:t>
      </w:r>
      <w:r w:rsidR="00190923" w:rsidRPr="00981405">
        <w:t xml:space="preserve"> </w:t>
      </w:r>
      <w:r w:rsidRPr="00981405">
        <w:t>was</w:t>
      </w:r>
      <w:r w:rsidR="00190923" w:rsidRPr="00981405">
        <w:t xml:space="preserve"> </w:t>
      </w:r>
      <w:r w:rsidRPr="00981405">
        <w:t>not</w:t>
      </w:r>
      <w:r w:rsidR="00190923" w:rsidRPr="00981405">
        <w:t xml:space="preserve"> </w:t>
      </w:r>
      <w:r w:rsidRPr="00981405">
        <w:t>a</w:t>
      </w:r>
      <w:r w:rsidR="00190923" w:rsidRPr="00981405">
        <w:t xml:space="preserve"> </w:t>
      </w:r>
      <w:r w:rsidRPr="00981405">
        <w:t>rule</w:t>
      </w:r>
      <w:r w:rsidR="00190923" w:rsidRPr="00981405">
        <w:t xml:space="preserve"> </w:t>
      </w:r>
      <w:r w:rsidRPr="00981405">
        <w:t>under</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stressed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Pr="00981405">
        <w:t>not</w:t>
      </w:r>
      <w:r w:rsidR="00190923" w:rsidRPr="00981405">
        <w:t xml:space="preserve"> </w:t>
      </w:r>
      <w:r w:rsidRPr="00981405">
        <w:t>to</w:t>
      </w:r>
      <w:r w:rsidR="00190923" w:rsidRPr="00981405">
        <w:t xml:space="preserve"> </w:t>
      </w:r>
      <w:r w:rsidRPr="00981405">
        <w:t>establish</w:t>
      </w:r>
      <w:r w:rsidR="00190923" w:rsidRPr="00981405">
        <w:t xml:space="preserve"> </w:t>
      </w:r>
      <w:r w:rsidRPr="00981405">
        <w:t>customary</w:t>
      </w:r>
      <w:r w:rsidR="00190923" w:rsidRPr="00981405">
        <w:t xml:space="preserve"> </w:t>
      </w:r>
      <w:r w:rsidRPr="00981405">
        <w:t>rules</w:t>
      </w:r>
      <w:r w:rsidR="00190923" w:rsidRPr="00981405">
        <w:t xml:space="preserve"> </w:t>
      </w:r>
      <w:r w:rsidRPr="00981405">
        <w:t>but</w:t>
      </w:r>
      <w:r w:rsidR="00190923" w:rsidRPr="00981405">
        <w:t xml:space="preserve"> </w:t>
      </w:r>
      <w:r w:rsidRPr="00981405">
        <w:t>to</w:t>
      </w:r>
      <w:r w:rsidR="00190923" w:rsidRPr="00981405">
        <w:t xml:space="preserve"> </w:t>
      </w:r>
      <w:r w:rsidRPr="00981405">
        <w:t>set</w:t>
      </w:r>
      <w:r w:rsidR="00190923" w:rsidRPr="00981405">
        <w:t xml:space="preserve"> </w:t>
      </w:r>
      <w:r w:rsidRPr="00981405">
        <w:t>a</w:t>
      </w:r>
      <w:r w:rsidR="00190923" w:rsidRPr="00981405">
        <w:t xml:space="preserve"> </w:t>
      </w:r>
      <w:r w:rsidRPr="00981405">
        <w:t>standard.</w:t>
      </w:r>
      <w:r w:rsidR="00190923" w:rsidRPr="00981405">
        <w:t xml:space="preserve"> </w:t>
      </w:r>
      <w:r w:rsidRPr="00981405">
        <w:t>Furthermore,</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large</w:t>
      </w:r>
      <w:r w:rsidR="00190923" w:rsidRPr="00981405">
        <w:t xml:space="preserve"> </w:t>
      </w:r>
      <w:r w:rsidRPr="00981405">
        <w:t>number</w:t>
      </w:r>
      <w:r w:rsidR="00190923" w:rsidRPr="00981405">
        <w:t xml:space="preserve"> </w:t>
      </w:r>
      <w:r w:rsidRPr="00981405">
        <w:t>of</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to</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regrettable</w:t>
      </w:r>
      <w:r w:rsidR="00190923" w:rsidRPr="00981405">
        <w:t xml:space="preserve"> </w:t>
      </w:r>
      <w:r w:rsidRPr="00981405">
        <w:t>if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in</w:t>
      </w:r>
      <w:r w:rsidR="00190923" w:rsidRPr="00981405">
        <w:t xml:space="preserve"> </w:t>
      </w:r>
      <w:r w:rsidRPr="00981405">
        <w:t>a</w:t>
      </w:r>
      <w:r w:rsidR="00190923" w:rsidRPr="00981405">
        <w:t xml:space="preserve"> </w:t>
      </w:r>
      <w:r w:rsidRPr="00981405">
        <w:t>position</w:t>
      </w:r>
      <w:r w:rsidR="00190923" w:rsidRPr="00981405">
        <w:t xml:space="preserve"> </w:t>
      </w:r>
      <w:r w:rsidRPr="00981405">
        <w:t>to</w:t>
      </w:r>
      <w:r w:rsidR="00190923" w:rsidRPr="00981405">
        <w:t xml:space="preserve"> </w:t>
      </w:r>
      <w:r w:rsidRPr="00981405">
        <w:t>recognize</w:t>
      </w:r>
      <w:r w:rsidR="00190923" w:rsidRPr="00981405">
        <w:t xml:space="preserve"> </w:t>
      </w:r>
      <w:r w:rsidRPr="00981405">
        <w:t>the</w:t>
      </w:r>
      <w:r w:rsidR="00190923" w:rsidRPr="00981405">
        <w:t xml:space="preserve"> </w:t>
      </w:r>
      <w:r w:rsidRPr="00981405">
        <w:t>important</w:t>
      </w:r>
      <w:r w:rsidR="00190923" w:rsidRPr="00981405">
        <w:t xml:space="preserve"> </w:t>
      </w:r>
      <w:r w:rsidRPr="00981405">
        <w:t>prohibition</w:t>
      </w:r>
      <w:r w:rsidR="00190923" w:rsidRPr="00981405">
        <w:t xml:space="preserve"> </w:t>
      </w:r>
      <w:r w:rsidRPr="00981405">
        <w:t>or</w:t>
      </w:r>
      <w:r w:rsidR="00190923" w:rsidRPr="00981405">
        <w:t xml:space="preserve"> </w:t>
      </w:r>
      <w:r w:rsidRPr="00981405">
        <w:t>to</w:t>
      </w:r>
      <w:r w:rsidR="00190923" w:rsidRPr="00981405">
        <w:t xml:space="preserve"> </w:t>
      </w:r>
      <w:r w:rsidRPr="00981405">
        <w:t>downplay</w:t>
      </w:r>
      <w:r w:rsidR="00190923" w:rsidRPr="00981405">
        <w:t xml:space="preserve"> </w:t>
      </w:r>
      <w:r w:rsidRPr="00981405">
        <w:t>it.</w:t>
      </w:r>
      <w:r w:rsidR="00190923" w:rsidRPr="00981405">
        <w:t xml:space="preserve"> </w:t>
      </w:r>
    </w:p>
    <w:p w:rsidR="00397032" w:rsidRPr="00981405" w:rsidRDefault="00397032" w:rsidP="00D97463">
      <w:pPr>
        <w:pStyle w:val="SingleTxt"/>
      </w:pPr>
      <w:r w:rsidRPr="00981405">
        <w:t>170.</w:t>
      </w:r>
      <w:r w:rsidRPr="00981405">
        <w:tab/>
        <w:t>Finally,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expressed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appropriate</w:t>
      </w:r>
      <w:r w:rsidR="00190923" w:rsidRPr="00981405">
        <w:t xml:space="preserve"> </w:t>
      </w:r>
      <w:r w:rsidRPr="00981405">
        <w:t>for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attempt</w:t>
      </w:r>
      <w:r w:rsidR="00190923" w:rsidRPr="00981405">
        <w:t xml:space="preserve"> </w:t>
      </w:r>
      <w:r w:rsidRPr="00981405">
        <w:t>to</w:t>
      </w:r>
      <w:r w:rsidR="00190923" w:rsidRPr="00981405">
        <w:t xml:space="preserve"> </w:t>
      </w:r>
      <w:r w:rsidRPr="00981405">
        <w:t>address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thresholds</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certain</w:t>
      </w:r>
      <w:r w:rsidR="00190923" w:rsidRPr="00981405">
        <w:t xml:space="preserve"> </w:t>
      </w:r>
      <w:r w:rsidRPr="00981405">
        <w:t>terms</w:t>
      </w:r>
      <w:r w:rsidR="00190923" w:rsidRPr="00981405">
        <w:t xml:space="preserve"> </w:t>
      </w:r>
      <w:r w:rsidRPr="00981405">
        <w:t>used</w:t>
      </w:r>
      <w:r w:rsidR="00190923" w:rsidRPr="00981405">
        <w:t xml:space="preserve"> </w:t>
      </w:r>
      <w:r w:rsidRPr="00981405">
        <w:t>in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armed</w:t>
      </w:r>
      <w:r w:rsidR="00190923" w:rsidRPr="00981405">
        <w:t xml:space="preserve"> </w:t>
      </w:r>
      <w:r w:rsidRPr="00981405">
        <w:t>conflict,</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articles</w:t>
      </w:r>
      <w:r w:rsidR="00190923" w:rsidRPr="00981405">
        <w:t xml:space="preserve"> </w:t>
      </w:r>
      <w:r w:rsidRPr="00981405">
        <w:t>35</w:t>
      </w:r>
      <w:r w:rsidR="00190923" w:rsidRPr="00981405">
        <w:t xml:space="preserve"> </w:t>
      </w:r>
      <w:r w:rsidRPr="00981405">
        <w:t>and</w:t>
      </w:r>
      <w:r w:rsidR="00190923" w:rsidRPr="00981405">
        <w:t xml:space="preserve"> </w:t>
      </w:r>
      <w:r w:rsidRPr="00981405">
        <w:t>55</w:t>
      </w:r>
      <w:r w:rsidR="00190923" w:rsidRPr="00981405">
        <w:t xml:space="preserve"> </w:t>
      </w:r>
      <w:r w:rsidRPr="00981405">
        <w:t>of</w:t>
      </w:r>
      <w:r w:rsidR="00190923" w:rsidRPr="00981405">
        <w:t xml:space="preserve"> </w:t>
      </w:r>
      <w:r w:rsidRPr="00981405">
        <w:t>Additional</w:t>
      </w:r>
      <w:r w:rsidR="00190923" w:rsidRPr="00981405">
        <w:t xml:space="preserve"> </w:t>
      </w:r>
      <w:r w:rsidRPr="00981405">
        <w:t>Protocol</w:t>
      </w:r>
      <w:r w:rsidR="00190923" w:rsidRPr="00981405">
        <w:t xml:space="preserve"> </w:t>
      </w:r>
      <w:r w:rsidRPr="00981405">
        <w:t>I,</w:t>
      </w:r>
      <w:r w:rsidR="00190923" w:rsidRPr="00981405">
        <w:t xml:space="preserve"> </w:t>
      </w:r>
      <w:r w:rsidRPr="00981405">
        <w:t>as</w:t>
      </w:r>
      <w:r w:rsidR="00190923" w:rsidRPr="00981405">
        <w:t xml:space="preserve"> </w:t>
      </w:r>
      <w:r w:rsidRPr="00981405">
        <w:t>had</w:t>
      </w:r>
      <w:r w:rsidR="00190923" w:rsidRPr="00981405">
        <w:t xml:space="preserve"> </w:t>
      </w:r>
      <w:r w:rsidRPr="00981405">
        <w:t>been</w:t>
      </w:r>
      <w:r w:rsidR="00190923" w:rsidRPr="00981405">
        <w:t xml:space="preserve"> </w:t>
      </w:r>
      <w:r w:rsidRPr="00981405">
        <w:t>suggested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p>
    <w:p w:rsidR="00397032" w:rsidRPr="00981405" w:rsidRDefault="00397032" w:rsidP="00D97463">
      <w:pPr>
        <w:pStyle w:val="SingleTxt"/>
      </w:pPr>
      <w:r w:rsidRPr="00981405">
        <w:br w:type="page"/>
      </w:r>
    </w:p>
    <w:p w:rsidR="00590FA7" w:rsidRPr="00D97463" w:rsidRDefault="00590FA7" w:rsidP="00D97463">
      <w:pPr>
        <w:pStyle w:val="SingleTxt"/>
        <w:spacing w:after="0" w:line="120" w:lineRule="exact"/>
        <w:rPr>
          <w:sz w:val="10"/>
        </w:rPr>
      </w:pPr>
    </w:p>
    <w:p w:rsidR="00590FA7" w:rsidRPr="00D97463" w:rsidRDefault="00590FA7"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45" w:name="_Toc427938135"/>
      <w:r w:rsidRPr="00D97463">
        <w:t>Chapter</w:t>
      </w:r>
      <w:r w:rsidR="00190923" w:rsidRPr="00D97463">
        <w:t xml:space="preserve"> </w:t>
      </w:r>
      <w:r w:rsidRPr="00D97463">
        <w:t>X</w:t>
      </w:r>
      <w:r w:rsidRPr="00D97463">
        <w:br/>
        <w:t>Immunity</w:t>
      </w:r>
      <w:r w:rsidR="00190923" w:rsidRPr="00D97463">
        <w:t xml:space="preserve"> </w:t>
      </w:r>
      <w:r w:rsidRPr="00D97463">
        <w:t>of</w:t>
      </w:r>
      <w:r w:rsidR="00190923" w:rsidRPr="00D97463">
        <w:t xml:space="preserve"> </w:t>
      </w:r>
      <w:r w:rsidRPr="00D97463">
        <w:t>State</w:t>
      </w:r>
      <w:r w:rsidR="00190923" w:rsidRPr="00D97463">
        <w:t xml:space="preserve"> </w:t>
      </w:r>
      <w:r w:rsidRPr="00D97463">
        <w:t>officials</w:t>
      </w:r>
      <w:r w:rsidR="00190923" w:rsidRPr="00D97463">
        <w:t xml:space="preserve"> </w:t>
      </w:r>
      <w:r w:rsidRPr="00D97463">
        <w:t>from</w:t>
      </w:r>
      <w:r w:rsidR="00190923" w:rsidRPr="00D97463">
        <w:t xml:space="preserve"> </w:t>
      </w:r>
      <w:r w:rsidRPr="00D97463">
        <w:t>foreign</w:t>
      </w:r>
      <w:r w:rsidR="00190923" w:rsidRPr="00D97463">
        <w:t xml:space="preserve"> </w:t>
      </w:r>
      <w:r w:rsidRPr="00D97463">
        <w:t>criminal</w:t>
      </w:r>
      <w:r w:rsidR="00190923" w:rsidRPr="00D97463">
        <w:t xml:space="preserve"> </w:t>
      </w:r>
      <w:r w:rsidRPr="00D97463">
        <w:t>jurisdiction</w:t>
      </w:r>
      <w:bookmarkEnd w:id="145"/>
    </w:p>
    <w:p w:rsidR="00397032" w:rsidRPr="00D97463" w:rsidRDefault="00397032" w:rsidP="00D97463">
      <w:pPr>
        <w:pStyle w:val="SingleTxt"/>
        <w:spacing w:after="0" w:line="120" w:lineRule="exact"/>
        <w:rPr>
          <w:sz w:val="10"/>
        </w:rPr>
      </w:pPr>
    </w:p>
    <w:p w:rsidR="00590FA7" w:rsidRPr="00D97463" w:rsidRDefault="00590FA7" w:rsidP="00D97463">
      <w:pPr>
        <w:pStyle w:val="SingleTxt"/>
        <w:spacing w:after="0" w:line="120" w:lineRule="exact"/>
        <w:rPr>
          <w:sz w:val="10"/>
        </w:rPr>
      </w:pPr>
    </w:p>
    <w:p w:rsidR="00397032" w:rsidRPr="00D97463" w:rsidRDefault="00397032" w:rsidP="00D97463">
      <w:pPr>
        <w:pStyle w:val="H1"/>
        <w:ind w:right="1260"/>
      </w:pPr>
      <w:bookmarkStart w:id="146" w:name="_Toc398107311"/>
      <w:r w:rsidRPr="00D97463">
        <w:tab/>
      </w:r>
      <w:bookmarkStart w:id="147" w:name="_Toc427938136"/>
      <w:r w:rsidRPr="00D97463">
        <w:t>A.</w:t>
      </w:r>
      <w:r w:rsidRPr="00D97463">
        <w:tab/>
        <w:t>Introduction</w:t>
      </w:r>
      <w:bookmarkEnd w:id="146"/>
      <w:bookmarkEnd w:id="147"/>
    </w:p>
    <w:p w:rsidR="00397032" w:rsidRPr="00D97463" w:rsidRDefault="00397032" w:rsidP="00D97463">
      <w:pPr>
        <w:pStyle w:val="SingleTxt"/>
        <w:spacing w:after="0" w:line="120" w:lineRule="exact"/>
        <w:rPr>
          <w:sz w:val="10"/>
        </w:rPr>
      </w:pPr>
    </w:p>
    <w:p w:rsidR="00590FA7" w:rsidRPr="00D97463" w:rsidRDefault="00590FA7" w:rsidP="00D97463">
      <w:pPr>
        <w:pStyle w:val="SingleTxt"/>
        <w:spacing w:after="0" w:line="120" w:lineRule="exact"/>
        <w:rPr>
          <w:sz w:val="10"/>
        </w:rPr>
      </w:pPr>
    </w:p>
    <w:p w:rsidR="00397032" w:rsidRPr="00981405" w:rsidRDefault="00397032" w:rsidP="00D97463">
      <w:pPr>
        <w:pStyle w:val="SingleTxt"/>
      </w:pPr>
      <w:r w:rsidRPr="00981405">
        <w:t>171.</w:t>
      </w:r>
      <w:r w:rsidRPr="00981405">
        <w:tab/>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fifty-ninth</w:t>
      </w:r>
      <w:r w:rsidR="00190923" w:rsidRPr="00981405">
        <w:t xml:space="preserve"> </w:t>
      </w:r>
      <w:r w:rsidRPr="00981405">
        <w:t>session</w:t>
      </w:r>
      <w:r w:rsidR="00190923" w:rsidRPr="00981405">
        <w:t xml:space="preserve"> </w:t>
      </w:r>
      <w:r w:rsidRPr="00981405">
        <w:t>(2007),</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appointed</w:t>
      </w:r>
      <w:r w:rsidR="00190923" w:rsidRPr="00981405">
        <w:t xml:space="preserve"> </w:t>
      </w:r>
      <w:r w:rsidRPr="00981405">
        <w:t>Mr.</w:t>
      </w:r>
      <w:r w:rsidR="00190923" w:rsidRPr="00981405">
        <w:t xml:space="preserve"> </w:t>
      </w:r>
      <w:r w:rsidRPr="00981405">
        <w:t>Roman</w:t>
      </w:r>
      <w:r w:rsidR="00190923" w:rsidRPr="00981405">
        <w:t xml:space="preserve"> </w:t>
      </w:r>
      <w:r w:rsidRPr="00981405">
        <w:t>A.</w:t>
      </w:r>
      <w:r w:rsidR="00190923" w:rsidRPr="00981405">
        <w:t xml:space="preserve"> </w:t>
      </w:r>
      <w:r w:rsidRPr="00981405">
        <w:t>Kolodkin</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Pr="00981405">
        <w:rPr>
          <w:rStyle w:val="FootnoteReference"/>
        </w:rPr>
        <w:footnoteReference w:id="382"/>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requested</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to</w:t>
      </w:r>
      <w:r w:rsidR="00190923" w:rsidRPr="00981405">
        <w:t xml:space="preserve"> </w:t>
      </w:r>
      <w:r w:rsidRPr="00981405">
        <w:t>prepare</w:t>
      </w:r>
      <w:r w:rsidR="00190923" w:rsidRPr="00981405">
        <w:t xml:space="preserve"> </w:t>
      </w:r>
      <w:r w:rsidRPr="00981405">
        <w:t>a</w:t>
      </w:r>
      <w:r w:rsidR="00190923" w:rsidRPr="00981405">
        <w:t xml:space="preserve"> </w:t>
      </w:r>
      <w:r w:rsidRPr="00981405">
        <w:t>background</w:t>
      </w:r>
      <w:r w:rsidR="00190923" w:rsidRPr="00981405">
        <w:t xml:space="preserve"> </w:t>
      </w:r>
      <w:r w:rsidRPr="00981405">
        <w:t>study</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which</w:t>
      </w:r>
      <w:r w:rsidR="00190923" w:rsidRPr="00981405">
        <w:t xml:space="preserve"> </w:t>
      </w:r>
      <w:r w:rsidRPr="00981405">
        <w:t>was</w:t>
      </w:r>
      <w:r w:rsidR="00190923" w:rsidRPr="00981405">
        <w:t xml:space="preserve"> </w:t>
      </w:r>
      <w:r w:rsidRPr="00981405">
        <w:t>made</w:t>
      </w:r>
      <w:r w:rsidR="00190923" w:rsidRPr="00981405">
        <w:t xml:space="preserve"> </w:t>
      </w:r>
      <w:r w:rsidRPr="00981405">
        <w:t>available</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sixtieth</w:t>
      </w:r>
      <w:r w:rsidR="00190923" w:rsidRPr="00981405">
        <w:t xml:space="preserve"> </w:t>
      </w:r>
      <w:r w:rsidRPr="00981405">
        <w:t>session.</w:t>
      </w:r>
      <w:r w:rsidRPr="00981405">
        <w:rPr>
          <w:rStyle w:val="FootnoteReference"/>
        </w:rPr>
        <w:footnoteReference w:id="383"/>
      </w:r>
    </w:p>
    <w:p w:rsidR="00397032" w:rsidRPr="00981405" w:rsidRDefault="00397032" w:rsidP="00D97463">
      <w:pPr>
        <w:pStyle w:val="SingleTxt"/>
      </w:pPr>
      <w:r w:rsidRPr="00981405">
        <w:t>172.</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submitted</w:t>
      </w:r>
      <w:r w:rsidR="00190923" w:rsidRPr="00981405">
        <w:t xml:space="preserve"> </w:t>
      </w:r>
      <w:r w:rsidRPr="00981405">
        <w:t>three</w:t>
      </w:r>
      <w:r w:rsidR="00190923" w:rsidRPr="00981405">
        <w:t xml:space="preserve"> </w:t>
      </w:r>
      <w:r w:rsidRPr="00981405">
        <w:t>reports.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and</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preliminary</w:t>
      </w:r>
      <w:r w:rsidR="00190923" w:rsidRPr="00981405">
        <w:t xml:space="preserve"> </w:t>
      </w:r>
      <w:r w:rsidRPr="00981405">
        <w:t>report</w:t>
      </w:r>
      <w:r w:rsidR="00190923" w:rsidRPr="00981405">
        <w:t xml:space="preserve"> </w:t>
      </w:r>
      <w:r w:rsidRPr="00981405">
        <w:t>at</w:t>
      </w:r>
      <w:r w:rsidR="00190923" w:rsidRPr="00981405">
        <w:t xml:space="preserve"> </w:t>
      </w:r>
      <w:r w:rsidRPr="00981405">
        <w:t>its</w:t>
      </w:r>
      <w:r w:rsidR="00190923" w:rsidRPr="00981405">
        <w:t xml:space="preserve"> </w:t>
      </w:r>
      <w:r w:rsidRPr="00981405">
        <w:t>sixtieth</w:t>
      </w:r>
      <w:r w:rsidR="00190923" w:rsidRPr="00981405">
        <w:t xml:space="preserve"> </w:t>
      </w:r>
      <w:r w:rsidRPr="00981405">
        <w:t>session</w:t>
      </w:r>
      <w:r w:rsidR="00190923" w:rsidRPr="00981405">
        <w:t xml:space="preserve"> </w:t>
      </w:r>
      <w:r w:rsidRPr="00981405">
        <w:t>(2008)</w:t>
      </w:r>
      <w:r w:rsidR="00190923" w:rsidRPr="00981405">
        <w:t xml:space="preserve"> </w:t>
      </w:r>
      <w:r w:rsidRPr="00981405">
        <w:t>and</w:t>
      </w:r>
      <w:r w:rsidR="00190923" w:rsidRPr="00981405">
        <w:t xml:space="preserve"> </w:t>
      </w:r>
      <w:r w:rsidRPr="00981405">
        <w:t>the</w:t>
      </w:r>
      <w:r w:rsidR="00190923" w:rsidRPr="00981405">
        <w:t xml:space="preserve"> </w:t>
      </w:r>
      <w:r w:rsidRPr="00981405">
        <w:t>second</w:t>
      </w:r>
      <w:r w:rsidR="00190923" w:rsidRPr="00981405">
        <w:t xml:space="preserve"> </w:t>
      </w:r>
      <w:r w:rsidRPr="00981405">
        <w:t>and</w:t>
      </w:r>
      <w:r w:rsidR="00190923" w:rsidRPr="00981405">
        <w:t xml:space="preserve"> </w:t>
      </w:r>
      <w:r w:rsidRPr="00981405">
        <w:t>third</w:t>
      </w:r>
      <w:r w:rsidR="00190923" w:rsidRPr="00981405">
        <w:t xml:space="preserve"> </w:t>
      </w:r>
      <w:r w:rsidRPr="00981405">
        <w:t>reports</w:t>
      </w:r>
      <w:r w:rsidR="00190923" w:rsidRPr="00981405">
        <w:t xml:space="preserve"> </w:t>
      </w:r>
      <w:r w:rsidRPr="00981405">
        <w:t>at</w:t>
      </w:r>
      <w:r w:rsidR="00190923" w:rsidRPr="00981405">
        <w:t xml:space="preserve"> </w:t>
      </w:r>
      <w:r w:rsidRPr="00981405">
        <w:t>its</w:t>
      </w:r>
      <w:r w:rsidR="00190923" w:rsidRPr="00981405">
        <w:t xml:space="preserve"> </w:t>
      </w:r>
      <w:r w:rsidRPr="00981405">
        <w:t>sixty-third</w:t>
      </w:r>
      <w:r w:rsidR="00190923" w:rsidRPr="00981405">
        <w:t xml:space="preserve"> </w:t>
      </w:r>
      <w:r w:rsidRPr="00981405">
        <w:t>session</w:t>
      </w:r>
      <w:r w:rsidR="00190923" w:rsidRPr="00981405">
        <w:t xml:space="preserve"> </w:t>
      </w:r>
      <w:r w:rsidRPr="00981405">
        <w:t>(2011).</w:t>
      </w:r>
      <w:r w:rsidRPr="00981405">
        <w:rPr>
          <w:rStyle w:val="FootnoteReference"/>
        </w:rPr>
        <w:footnoteReference w:id="384"/>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unable</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its</w:t>
      </w:r>
      <w:r w:rsidR="00190923" w:rsidRPr="00981405">
        <w:t xml:space="preserve"> </w:t>
      </w:r>
      <w:r w:rsidRPr="00981405">
        <w:t>sixty-first</w:t>
      </w:r>
      <w:r w:rsidR="00190923" w:rsidRPr="00981405">
        <w:t xml:space="preserve"> </w:t>
      </w:r>
      <w:r w:rsidRPr="00981405">
        <w:t>session</w:t>
      </w:r>
      <w:r w:rsidR="00190923" w:rsidRPr="00981405">
        <w:t xml:space="preserve"> </w:t>
      </w:r>
      <w:r w:rsidRPr="00981405">
        <w:t>(2009)</w:t>
      </w:r>
      <w:r w:rsidR="00190923" w:rsidRPr="00981405">
        <w:t xml:space="preserve"> </w:t>
      </w:r>
      <w:r w:rsidRPr="00981405">
        <w:t>and</w:t>
      </w:r>
      <w:r w:rsidR="00190923" w:rsidRPr="00981405">
        <w:t xml:space="preserve"> </w:t>
      </w:r>
      <w:r w:rsidRPr="00981405">
        <w:t>at</w:t>
      </w:r>
      <w:r w:rsidR="00190923" w:rsidRPr="00981405">
        <w:t xml:space="preserve"> </w:t>
      </w:r>
      <w:r w:rsidRPr="00981405">
        <w:t>its</w:t>
      </w:r>
      <w:r w:rsidR="00190923" w:rsidRPr="00981405">
        <w:t xml:space="preserve"> </w:t>
      </w:r>
      <w:r w:rsidRPr="00981405">
        <w:t>sixty-second</w:t>
      </w:r>
      <w:r w:rsidR="00190923" w:rsidRPr="00981405">
        <w:t xml:space="preserve"> </w:t>
      </w:r>
      <w:r w:rsidRPr="00981405">
        <w:t>session</w:t>
      </w:r>
      <w:r w:rsidR="00190923" w:rsidRPr="00981405">
        <w:t xml:space="preserve"> </w:t>
      </w:r>
      <w:r w:rsidRPr="00981405">
        <w:t>(2010).</w:t>
      </w:r>
      <w:r w:rsidRPr="00981405">
        <w:rPr>
          <w:rStyle w:val="FootnoteReference"/>
        </w:rPr>
        <w:footnoteReference w:id="385"/>
      </w:r>
    </w:p>
    <w:p w:rsidR="00397032" w:rsidRPr="00981405" w:rsidRDefault="00397032" w:rsidP="00D97463">
      <w:pPr>
        <w:pStyle w:val="SingleTxt"/>
      </w:pPr>
      <w:r w:rsidRPr="00981405">
        <w:t>173.</w:t>
      </w:r>
      <w:r w:rsidRPr="00981405">
        <w:tab/>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sixty-fourth</w:t>
      </w:r>
      <w:r w:rsidR="00190923" w:rsidRPr="00981405">
        <w:t xml:space="preserve"> </w:t>
      </w:r>
      <w:r w:rsidRPr="00981405">
        <w:t>session</w:t>
      </w:r>
      <w:r w:rsidR="00190923" w:rsidRPr="00981405">
        <w:t xml:space="preserve"> </w:t>
      </w:r>
      <w:r w:rsidRPr="00981405">
        <w:t>(2012),</w:t>
      </w:r>
      <w:r w:rsidR="00190923" w:rsidRPr="00981405">
        <w:t xml:space="preserve"> </w:t>
      </w:r>
      <w:r w:rsidRPr="00981405">
        <w:t>appointed</w:t>
      </w:r>
      <w:r w:rsidR="00190923" w:rsidRPr="00981405">
        <w:t xml:space="preserve"> </w:t>
      </w:r>
      <w:r w:rsidRPr="00981405">
        <w:t>Ms.</w:t>
      </w:r>
      <w:r w:rsidR="00190923" w:rsidRPr="00981405">
        <w:t xml:space="preserve"> </w:t>
      </w:r>
      <w:r w:rsidRPr="00981405">
        <w:t>Concepción</w:t>
      </w:r>
      <w:r w:rsidR="00190923" w:rsidRPr="00981405">
        <w:t xml:space="preserve"> </w:t>
      </w:r>
      <w:r w:rsidRPr="00981405">
        <w:t>Escobar</w:t>
      </w:r>
      <w:r w:rsidR="00190923" w:rsidRPr="00981405">
        <w:t xml:space="preserve"> </w:t>
      </w:r>
      <w:r w:rsidRPr="00981405">
        <w:t>Hernández</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replace</w:t>
      </w:r>
      <w:r w:rsidR="00190923" w:rsidRPr="00981405">
        <w:t xml:space="preserve"> </w:t>
      </w:r>
      <w:r w:rsidRPr="00981405">
        <w:t>Mr.</w:t>
      </w:r>
      <w:r w:rsidR="00190923" w:rsidRPr="00981405">
        <w:t xml:space="preserve"> </w:t>
      </w:r>
      <w:r w:rsidRPr="00981405">
        <w:t>Kolodkin,</w:t>
      </w:r>
      <w:r w:rsidR="00190923" w:rsidRPr="00981405">
        <w:t xml:space="preserve"> </w:t>
      </w:r>
      <w:r w:rsidRPr="00981405">
        <w:t>who</w:t>
      </w:r>
      <w:r w:rsidR="00190923" w:rsidRPr="00981405">
        <w:t xml:space="preserve"> </w:t>
      </w:r>
      <w:r w:rsidRPr="00981405">
        <w:t>was</w:t>
      </w:r>
      <w:r w:rsidR="00190923" w:rsidRPr="00981405">
        <w:t xml:space="preserve"> </w:t>
      </w:r>
      <w:r w:rsidRPr="00981405">
        <w:t>no</w:t>
      </w:r>
      <w:r w:rsidR="00190923" w:rsidRPr="00981405">
        <w:t xml:space="preserve"> </w:t>
      </w:r>
      <w:r w:rsidRPr="00981405">
        <w:t>longer</w:t>
      </w:r>
      <w:r w:rsidR="00190923" w:rsidRPr="00981405">
        <w:t xml:space="preserve"> </w:t>
      </w:r>
      <w:r w:rsidRPr="00981405">
        <w:t>with</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and</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preliminary</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(2012),</w:t>
      </w:r>
      <w:r w:rsidR="00190923" w:rsidRPr="00981405">
        <w:t xml:space="preserve"> </w:t>
      </w:r>
      <w:r w:rsidRPr="00981405">
        <w:t>her</w:t>
      </w:r>
      <w:r w:rsidR="00190923" w:rsidRPr="00981405">
        <w:t xml:space="preserve"> </w:t>
      </w:r>
      <w:r w:rsidRPr="00981405">
        <w:t>second</w:t>
      </w:r>
      <w:r w:rsidR="00190923" w:rsidRPr="00981405">
        <w:t xml:space="preserve"> </w:t>
      </w:r>
      <w:r w:rsidRPr="00981405">
        <w:t>report</w:t>
      </w:r>
      <w:r w:rsidR="00190923" w:rsidRPr="00981405">
        <w:t xml:space="preserve"> </w:t>
      </w:r>
      <w:r w:rsidRPr="00981405">
        <w:t>during</w:t>
      </w:r>
      <w:r w:rsidR="00190923" w:rsidRPr="00981405">
        <w:t xml:space="preserve"> </w:t>
      </w:r>
      <w:r w:rsidRPr="00981405">
        <w:t>the</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and</w:t>
      </w:r>
      <w:r w:rsidR="00190923" w:rsidRPr="00981405">
        <w:t xml:space="preserve"> </w:t>
      </w:r>
      <w:r w:rsidRPr="00981405">
        <w:t>her</w:t>
      </w:r>
      <w:r w:rsidR="00190923" w:rsidRPr="00981405">
        <w:t xml:space="preserve"> </w:t>
      </w:r>
      <w:r w:rsidRPr="00981405">
        <w:t>third</w:t>
      </w:r>
      <w:r w:rsidR="00190923" w:rsidRPr="00981405">
        <w:t xml:space="preserve"> </w:t>
      </w:r>
      <w:r w:rsidRPr="00981405">
        <w:t>report</w:t>
      </w:r>
      <w:r w:rsidR="00190923" w:rsidRPr="00981405">
        <w:t xml:space="preserve"> </w:t>
      </w:r>
      <w:r w:rsidRPr="00981405">
        <w:t>during</w:t>
      </w:r>
      <w:r w:rsidR="00190923" w:rsidRPr="00981405">
        <w:t xml:space="preserve"> </w:t>
      </w:r>
      <w:r w:rsidRPr="00981405">
        <w:t>the</w:t>
      </w:r>
      <w:r w:rsidR="00190923" w:rsidRPr="00981405">
        <w:t xml:space="preserve"> </w:t>
      </w:r>
      <w:r w:rsidRPr="00981405">
        <w:t>sixth-sixth</w:t>
      </w:r>
      <w:r w:rsidR="00190923" w:rsidRPr="00981405">
        <w:t xml:space="preserve"> </w:t>
      </w:r>
      <w:r w:rsidRPr="00981405">
        <w:t>session</w:t>
      </w:r>
      <w:r w:rsidR="00190923" w:rsidRPr="00981405">
        <w:t xml:space="preserve"> </w:t>
      </w:r>
      <w:r w:rsidRPr="00981405">
        <w:t>(2014).</w:t>
      </w:r>
      <w:r w:rsidRPr="00981405">
        <w:rPr>
          <w:rStyle w:val="FootnoteReference"/>
        </w:rPr>
        <w:footnoteReference w:id="386"/>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w:t>
      </w:r>
      <w:r w:rsidR="00190923" w:rsidRPr="00981405">
        <w:t xml:space="preserve"> </w:t>
      </w:r>
      <w:r w:rsidRPr="00981405">
        <w:t>the</w:t>
      </w:r>
      <w:r w:rsidR="00190923" w:rsidRPr="00981405">
        <w:t xml:space="preserve"> </w:t>
      </w:r>
      <w:r w:rsidRPr="00981405">
        <w:t>second</w:t>
      </w:r>
      <w:r w:rsidR="00190923" w:rsidRPr="00981405">
        <w:t xml:space="preserve"> </w:t>
      </w:r>
      <w:r w:rsidRPr="00981405">
        <w:t>and</w:t>
      </w:r>
      <w:r w:rsidR="00190923" w:rsidRPr="00981405">
        <w:t xml:space="preserve"> </w:t>
      </w:r>
      <w:r w:rsidRPr="00981405">
        <w:t>third</w:t>
      </w:r>
      <w:r w:rsidR="00190923" w:rsidRPr="00981405">
        <w:t xml:space="preserve"> </w:t>
      </w:r>
      <w:r w:rsidRPr="00981405">
        <w:t>reports,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thus</w:t>
      </w:r>
      <w:r w:rsidR="00190923" w:rsidRPr="00981405">
        <w:t xml:space="preserve"> </w:t>
      </w:r>
      <w:r w:rsidRPr="00981405">
        <w:t>far</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five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commentaries</w:t>
      </w:r>
      <w:r w:rsidR="00190923" w:rsidRPr="00981405">
        <w:t xml:space="preserve"> </w:t>
      </w:r>
      <w:r w:rsidRPr="00981405">
        <w:t>thereto.</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on</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terms</w:t>
      </w:r>
      <w:r w:rsidR="00190923" w:rsidRPr="00981405">
        <w:t xml:space="preserve"> </w:t>
      </w:r>
      <w:r w:rsidRPr="00981405">
        <w:t>is</w:t>
      </w:r>
      <w:r w:rsidR="00190923" w:rsidRPr="00981405">
        <w:t xml:space="preserve"> </w:t>
      </w:r>
      <w:r w:rsidRPr="00981405">
        <w:t>still</w:t>
      </w:r>
      <w:r w:rsidR="00190923" w:rsidRPr="00981405">
        <w:t xml:space="preserve"> </w:t>
      </w:r>
      <w:r w:rsidRPr="00981405">
        <w:t>a</w:t>
      </w:r>
      <w:r w:rsidR="00190923" w:rsidRPr="00981405">
        <w:t xml:space="preserve"> </w:t>
      </w:r>
      <w:r w:rsidRPr="00981405">
        <w:t>developing</w:t>
      </w:r>
      <w:r w:rsidR="00190923" w:rsidRPr="00981405">
        <w:t xml:space="preserve"> </w:t>
      </w:r>
      <w:r w:rsidRPr="00981405">
        <w:t>text.</w:t>
      </w:r>
      <w:r w:rsidRPr="00981405">
        <w:rPr>
          <w:rStyle w:val="FootnoteReference"/>
        </w:rPr>
        <w:footnoteReference w:id="387"/>
      </w:r>
    </w:p>
    <w:p w:rsidR="00397032" w:rsidRPr="00D97463" w:rsidRDefault="00397032" w:rsidP="00D97463">
      <w:pPr>
        <w:pStyle w:val="SingleTxt"/>
        <w:keepNext/>
        <w:keepLines/>
        <w:spacing w:after="0" w:line="120" w:lineRule="exact"/>
        <w:rPr>
          <w:sz w:val="10"/>
        </w:rPr>
      </w:pPr>
    </w:p>
    <w:p w:rsidR="00590FA7" w:rsidRPr="00D97463" w:rsidRDefault="00590FA7" w:rsidP="00D97463">
      <w:pPr>
        <w:pStyle w:val="SingleTxt"/>
        <w:keepNext/>
        <w:keepLines/>
        <w:spacing w:after="0" w:line="120" w:lineRule="exact"/>
        <w:rPr>
          <w:sz w:val="10"/>
        </w:rPr>
      </w:pPr>
    </w:p>
    <w:p w:rsidR="00397032" w:rsidRPr="00D97463" w:rsidRDefault="00397032" w:rsidP="00D97463">
      <w:pPr>
        <w:pStyle w:val="H1"/>
        <w:ind w:right="1260"/>
      </w:pPr>
      <w:r w:rsidRPr="00D97463">
        <w:tab/>
      </w:r>
      <w:bookmarkStart w:id="148" w:name="_Toc398107312"/>
      <w:bookmarkStart w:id="149" w:name="_Toc427938137"/>
      <w:r w:rsidRPr="00D97463">
        <w:t>B.</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bookmarkEnd w:id="148"/>
      <w:bookmarkEnd w:id="149"/>
    </w:p>
    <w:p w:rsidR="00397032" w:rsidRPr="00D97463" w:rsidRDefault="00397032" w:rsidP="00D97463">
      <w:pPr>
        <w:pStyle w:val="SingleTxt"/>
        <w:keepNext/>
        <w:keepLines/>
        <w:spacing w:after="0" w:line="120" w:lineRule="exact"/>
        <w:rPr>
          <w:sz w:val="10"/>
        </w:rPr>
      </w:pPr>
    </w:p>
    <w:p w:rsidR="00590FA7" w:rsidRPr="00D97463" w:rsidRDefault="00590FA7"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174.</w:t>
      </w:r>
      <w:r w:rsidRPr="00981405">
        <w:tab/>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53" w:history="1">
        <w:r w:rsidR="00F304EB" w:rsidRPr="00F304EB">
          <w:rPr>
            <w:rStyle w:val="Hyperlink"/>
          </w:rPr>
          <w:t>A/CN.4/687</w:t>
        </w:r>
      </w:hyperlink>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report</w:t>
      </w:r>
      <w:r w:rsidR="00190923" w:rsidRPr="00981405">
        <w:t xml:space="preserve"> </w:t>
      </w:r>
      <w:r w:rsidRPr="00981405">
        <w:t>at</w:t>
      </w:r>
      <w:r w:rsidR="00190923" w:rsidRPr="00981405">
        <w:t xml:space="preserve"> </w:t>
      </w:r>
      <w:r w:rsidRPr="00981405">
        <w:t>its</w:t>
      </w:r>
      <w:r w:rsidR="00190923" w:rsidRPr="00981405">
        <w:t xml:space="preserve"> </w:t>
      </w:r>
      <w:r w:rsidRPr="00981405">
        <w:t>3271st</w:t>
      </w:r>
      <w:r w:rsidR="00190923" w:rsidRPr="00981405">
        <w:t xml:space="preserve"> </w:t>
      </w:r>
      <w:r w:rsidRPr="00981405">
        <w:t>to</w:t>
      </w:r>
      <w:r w:rsidR="00190923" w:rsidRPr="00981405">
        <w:t xml:space="preserve"> </w:t>
      </w:r>
      <w:r w:rsidRPr="00981405">
        <w:t>3278th</w:t>
      </w:r>
      <w:r w:rsidR="00190923" w:rsidRPr="00981405">
        <w:t xml:space="preserve"> </w:t>
      </w:r>
      <w:r w:rsidRPr="00981405">
        <w:t>meetings,</w:t>
      </w:r>
      <w:r w:rsidR="00190923" w:rsidRPr="00981405">
        <w:t xml:space="preserve"> </w:t>
      </w:r>
      <w:r w:rsidRPr="00981405">
        <w:t>on</w:t>
      </w:r>
      <w:r w:rsidR="00190923" w:rsidRPr="00981405">
        <w:t xml:space="preserve"> </w:t>
      </w:r>
      <w:r w:rsidRPr="00981405">
        <w:t>16</w:t>
      </w:r>
      <w:r w:rsidR="00190923" w:rsidRPr="00981405">
        <w:t xml:space="preserve"> </w:t>
      </w:r>
      <w:r w:rsidRPr="00981405">
        <w:t>July</w:t>
      </w:r>
      <w:r w:rsidR="00190923" w:rsidRPr="00981405">
        <w:t xml:space="preserve"> </w:t>
      </w:r>
      <w:r w:rsidRPr="00981405">
        <w:t>and</w:t>
      </w:r>
      <w:r w:rsidR="00190923" w:rsidRPr="00981405">
        <w:t xml:space="preserve"> </w:t>
      </w:r>
      <w:r w:rsidRPr="00981405">
        <w:t>21</w:t>
      </w:r>
      <w:r w:rsidR="00190923" w:rsidRPr="00981405">
        <w:t xml:space="preserve"> </w:t>
      </w:r>
      <w:r w:rsidRPr="00981405">
        <w:t>to</w:t>
      </w:r>
      <w:r w:rsidR="00190923" w:rsidRPr="00981405">
        <w:t xml:space="preserve"> </w:t>
      </w:r>
      <w:r w:rsidRPr="00981405">
        <w:t>24</w:t>
      </w:r>
      <w:r w:rsidR="00190923" w:rsidRPr="00981405">
        <w:t xml:space="preserve"> </w:t>
      </w:r>
      <w:r w:rsidRPr="00981405">
        <w:t>July</w:t>
      </w:r>
      <w:r w:rsidR="00190923" w:rsidRPr="00981405">
        <w:t xml:space="preserve"> </w:t>
      </w:r>
      <w:r w:rsidRPr="00981405">
        <w:t>2015.</w:t>
      </w:r>
    </w:p>
    <w:p w:rsidR="00397032" w:rsidRPr="00981405" w:rsidRDefault="00397032" w:rsidP="00D97463">
      <w:pPr>
        <w:pStyle w:val="SingleTxt"/>
      </w:pPr>
      <w:r w:rsidRPr="00981405">
        <w:t>175.</w:t>
      </w:r>
      <w:r w:rsidRPr="00981405">
        <w:tab/>
        <w:t>At</w:t>
      </w:r>
      <w:r w:rsidR="00190923" w:rsidRPr="00981405">
        <w:t xml:space="preserve"> </w:t>
      </w:r>
      <w:r w:rsidRPr="00981405">
        <w:t>its</w:t>
      </w:r>
      <w:r w:rsidR="00190923" w:rsidRPr="00981405">
        <w:t xml:space="preserve"> </w:t>
      </w:r>
      <w:r w:rsidRPr="00981405">
        <w:t>3278th</w:t>
      </w:r>
      <w:r w:rsidR="00190923" w:rsidRPr="00981405">
        <w:t xml:space="preserve"> </w:t>
      </w:r>
      <w:r w:rsidRPr="00981405">
        <w:t>meeting,</w:t>
      </w:r>
      <w:r w:rsidR="00190923" w:rsidRPr="00981405">
        <w:t xml:space="preserve"> </w:t>
      </w:r>
      <w:r w:rsidRPr="00981405">
        <w:t>on</w:t>
      </w:r>
      <w:r w:rsidR="00190923" w:rsidRPr="00981405">
        <w:t xml:space="preserve"> </w:t>
      </w:r>
      <w:r w:rsidRPr="00981405">
        <w:t>24</w:t>
      </w:r>
      <w:r w:rsidR="00190923" w:rsidRPr="00981405">
        <w:t xml:space="preserve"> </w:t>
      </w:r>
      <w:r w:rsidRPr="00981405">
        <w:t>July</w:t>
      </w:r>
      <w:r w:rsidR="00495BC6">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refer</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(f)</w:t>
      </w:r>
      <w:r w:rsidR="00190923" w:rsidRPr="00981405">
        <w:t xml:space="preserve"> </w:t>
      </w:r>
      <w:r w:rsidRPr="00981405">
        <w:t>and</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Pr="00981405">
        <w:rPr>
          <w:rStyle w:val="FootnoteReference"/>
        </w:rPr>
        <w:footnoteReference w:id="388"/>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p>
    <w:p w:rsidR="00397032" w:rsidRPr="00981405" w:rsidRDefault="00397032" w:rsidP="00D97463">
      <w:pPr>
        <w:pStyle w:val="SingleTxt"/>
      </w:pPr>
      <w:r w:rsidRPr="00981405">
        <w:t>176.</w:t>
      </w:r>
      <w:r w:rsidRPr="00981405">
        <w:tab/>
        <w:t>At</w:t>
      </w:r>
      <w:r w:rsidR="00190923" w:rsidRPr="00981405">
        <w:t xml:space="preserve"> </w:t>
      </w:r>
      <w:r w:rsidRPr="00981405">
        <w:t>its</w:t>
      </w:r>
      <w:r w:rsidR="00190923" w:rsidRPr="00981405">
        <w:t xml:space="preserve"> </w:t>
      </w:r>
      <w:r w:rsidRPr="00981405">
        <w:t>3284th</w:t>
      </w:r>
      <w:r w:rsidR="00190923" w:rsidRPr="00981405">
        <w:t xml:space="preserve"> </w:t>
      </w:r>
      <w:r w:rsidRPr="00981405">
        <w:t>meeting,</w:t>
      </w:r>
      <w:r w:rsidR="00190923" w:rsidRPr="00981405">
        <w:t xml:space="preserve"> </w:t>
      </w:r>
      <w:r w:rsidRPr="00981405">
        <w:t>on</w:t>
      </w:r>
      <w:r w:rsidR="00190923" w:rsidRPr="00981405">
        <w:t xml:space="preserve"> </w:t>
      </w:r>
      <w:r w:rsidRPr="00981405">
        <w:t>4</w:t>
      </w:r>
      <w:r w:rsidR="00190923" w:rsidRPr="00981405">
        <w:t xml:space="preserve"> </w:t>
      </w:r>
      <w:r w:rsidRPr="00981405">
        <w:t>August</w:t>
      </w:r>
      <w:r w:rsidR="00190923" w:rsidRPr="00981405">
        <w:t xml:space="preserve"> </w:t>
      </w:r>
      <w:r w:rsidRPr="00981405">
        <w:t>2015,</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presented</w:t>
      </w:r>
      <w:r w:rsidRPr="00981405">
        <w:rPr>
          <w:rStyle w:val="FootnoteReference"/>
        </w:rPr>
        <w:footnoteReference w:id="389"/>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on</w:t>
      </w:r>
      <w:r w:rsidR="00190923" w:rsidRPr="00981405">
        <w:t xml:space="preserve"> </w:t>
      </w:r>
      <w:r w:rsidR="00B92E2C" w:rsidRPr="00981405">
        <w:t>“</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B92E2C" w:rsidRPr="00981405">
        <w:t>”</w:t>
      </w:r>
      <w:r w:rsidRPr="00981405">
        <w:t>,</w:t>
      </w:r>
      <w:r w:rsidR="00190923" w:rsidRPr="00981405">
        <w:t xml:space="preserve"> </w:t>
      </w:r>
      <w:r w:rsidRPr="00981405">
        <w:t>containing</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2,</w:t>
      </w:r>
      <w:r w:rsidR="00190923" w:rsidRPr="00981405">
        <w:t xml:space="preserve"> </w:t>
      </w:r>
      <w:r w:rsidRPr="00981405">
        <w:t>subparagraph</w:t>
      </w:r>
      <w:r w:rsidR="00190923" w:rsidRPr="00981405">
        <w:t xml:space="preserve"> </w:t>
      </w:r>
      <w:r w:rsidRPr="00981405">
        <w:t>(f)</w:t>
      </w:r>
      <w:r w:rsidR="00190923" w:rsidRPr="00981405">
        <w:t xml:space="preserve"> </w:t>
      </w:r>
      <w:r w:rsidRPr="00981405">
        <w:t>and</w:t>
      </w:r>
      <w:r w:rsidR="00190923" w:rsidRPr="00981405">
        <w:t xml:space="preserve"> </w:t>
      </w:r>
      <w:r w:rsidRPr="00981405">
        <w:t>6,</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w:t>
      </w:r>
      <w:hyperlink r:id="rId54" w:history="1">
        <w:r w:rsidR="00F304EB" w:rsidRPr="00F304EB">
          <w:rPr>
            <w:rStyle w:val="Hyperlink"/>
          </w:rPr>
          <w:t>A/CN.4/L.865</w:t>
        </w:r>
      </w:hyperlink>
      <w:r w:rsidRPr="00981405">
        <w:t>),</w:t>
      </w:r>
      <w:r w:rsidRPr="00981405">
        <w:rPr>
          <w:rStyle w:val="FootnoteReference"/>
        </w:rPr>
        <w:footnoteReference w:id="390"/>
      </w:r>
      <w:r w:rsidR="00190923" w:rsidRPr="00981405">
        <w:t xml:space="preserve"> </w:t>
      </w:r>
      <w:r w:rsidRPr="00981405">
        <w:t>which</w:t>
      </w:r>
      <w:r w:rsidR="00190923" w:rsidRPr="00981405">
        <w:t xml:space="preserve"> </w:t>
      </w:r>
      <w:r w:rsidRPr="00981405">
        <w:t>can</w:t>
      </w:r>
      <w:r w:rsidR="00190923" w:rsidRPr="00981405">
        <w:t xml:space="preserve"> </w:t>
      </w:r>
      <w:r w:rsidRPr="00981405">
        <w:t>be</w:t>
      </w:r>
      <w:r w:rsidR="00190923" w:rsidRPr="00981405">
        <w:t xml:space="preserve"> </w:t>
      </w:r>
      <w:r w:rsidRPr="00981405">
        <w:t>found</w:t>
      </w:r>
      <w:r w:rsidR="00190923" w:rsidRPr="00981405">
        <w:t xml:space="preserve"> </w:t>
      </w:r>
      <w:r w:rsidRPr="00981405">
        <w:t>on</w:t>
      </w:r>
      <w:r w:rsidR="00190923" w:rsidRPr="00981405">
        <w:t xml:space="preserve"> </w:t>
      </w:r>
      <w:r w:rsidRPr="00981405">
        <w:t>the</w:t>
      </w:r>
      <w:r w:rsidR="00190923" w:rsidRPr="00981405">
        <w:t xml:space="preserve"> </w:t>
      </w:r>
      <w:r w:rsidRPr="00981405">
        <w:t>website</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as</w:t>
      </w:r>
      <w:r w:rsidR="00190923" w:rsidRPr="00981405">
        <w:t xml:space="preserve"> </w:t>
      </w:r>
      <w:r w:rsidRPr="00981405">
        <w:t>presented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It</w:t>
      </w:r>
      <w:r w:rsidR="00190923" w:rsidRPr="00981405">
        <w:t xml:space="preserve"> </w:t>
      </w:r>
      <w:r w:rsidRPr="00981405">
        <w:t>is</w:t>
      </w:r>
      <w:r w:rsidR="00190923" w:rsidRPr="00981405">
        <w:t xml:space="preserve"> </w:t>
      </w:r>
      <w:r w:rsidRPr="00981405">
        <w:t>anticipated</w:t>
      </w:r>
      <w:r w:rsidR="00190923" w:rsidRPr="00981405">
        <w:t xml:space="preserve"> </w:t>
      </w:r>
      <w:r w:rsidRPr="00981405">
        <w:t>that</w:t>
      </w:r>
      <w:r w:rsidR="00190923" w:rsidRPr="00981405">
        <w:t xml:space="preserve"> </w:t>
      </w:r>
      <w:r w:rsidRPr="00981405">
        <w:t>commentaries</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will</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at</w:t>
      </w:r>
      <w:r w:rsidR="00190923" w:rsidRPr="00981405">
        <w:t xml:space="preserve"> </w:t>
      </w:r>
      <w:r w:rsidRPr="00981405">
        <w:t>the</w:t>
      </w:r>
      <w:r w:rsidR="00190923" w:rsidRPr="00981405">
        <w:t xml:space="preserve"> </w:t>
      </w:r>
      <w:r w:rsidRPr="00981405">
        <w:t>next</w:t>
      </w:r>
      <w:r w:rsidR="00190923" w:rsidRPr="00981405">
        <w:t xml:space="preserve"> </w:t>
      </w:r>
      <w:r w:rsidRPr="00981405">
        <w:t>session.</w:t>
      </w:r>
    </w:p>
    <w:p w:rsidR="00B247C2" w:rsidRPr="00D97463" w:rsidRDefault="00B247C2" w:rsidP="00D97463">
      <w:pPr>
        <w:pStyle w:val="SingleTxt"/>
        <w:keepNext/>
        <w:spacing w:after="0" w:line="120" w:lineRule="exact"/>
        <w:rPr>
          <w:sz w:val="10"/>
        </w:rPr>
      </w:pPr>
    </w:p>
    <w:p w:rsidR="00397032" w:rsidRPr="00D97463" w:rsidRDefault="00397032" w:rsidP="00D97463">
      <w:pPr>
        <w:pStyle w:val="H23"/>
        <w:ind w:right="1260"/>
      </w:pPr>
      <w:r w:rsidRPr="00D97463">
        <w:tab/>
      </w:r>
      <w:bookmarkStart w:id="150" w:name="_Toc427938138"/>
      <w:r w:rsidRPr="00D97463">
        <w:t>1.</w:t>
      </w:r>
      <w:r w:rsidRPr="00D97463">
        <w:tab/>
        <w:t>Introduction</w:t>
      </w:r>
      <w:r w:rsidR="00190923" w:rsidRPr="00D97463">
        <w:t xml:space="preserve"> </w:t>
      </w:r>
      <w:r w:rsidRPr="00D97463">
        <w:t>by</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r w:rsidR="00190923" w:rsidRPr="00D97463">
        <w:t xml:space="preserve"> </w:t>
      </w:r>
      <w:r w:rsidRPr="00D97463">
        <w:t>of</w:t>
      </w:r>
      <w:r w:rsidR="00190923" w:rsidRPr="00D97463">
        <w:t xml:space="preserve"> </w:t>
      </w:r>
      <w:r w:rsidRPr="00D97463">
        <w:t>the</w:t>
      </w:r>
      <w:r w:rsidR="00190923" w:rsidRPr="00D97463">
        <w:t xml:space="preserve"> </w:t>
      </w:r>
      <w:r w:rsidRPr="00D97463">
        <w:t>fourth</w:t>
      </w:r>
      <w:r w:rsidR="00190923" w:rsidRPr="00D97463">
        <w:t xml:space="preserve"> </w:t>
      </w:r>
      <w:r w:rsidRPr="00D97463">
        <w:t>report</w:t>
      </w:r>
      <w:bookmarkEnd w:id="15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177.</w:t>
      </w:r>
      <w:r w:rsidRPr="00981405">
        <w:tab/>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represented</w:t>
      </w:r>
      <w:r w:rsidR="00190923" w:rsidRPr="00981405">
        <w:t xml:space="preserve"> </w:t>
      </w:r>
      <w:r w:rsidRPr="00981405">
        <w:t>a</w:t>
      </w:r>
      <w:r w:rsidR="00190923" w:rsidRPr="00981405">
        <w:t xml:space="preserve"> </w:t>
      </w:r>
      <w:r w:rsidRPr="00981405">
        <w:t>continuation</w:t>
      </w:r>
      <w:r w:rsidR="00190923" w:rsidRPr="00981405">
        <w:t xml:space="preserve"> </w:t>
      </w:r>
      <w:r w:rsidRPr="00981405">
        <w:t>of</w:t>
      </w:r>
      <w:r w:rsidR="00190923" w:rsidRPr="00981405">
        <w:t xml:space="preserve"> </w:t>
      </w:r>
      <w:r w:rsidRPr="00981405">
        <w:t>the</w:t>
      </w:r>
      <w:r w:rsidR="00190923" w:rsidRPr="00981405">
        <w:t xml:space="preserve"> </w:t>
      </w:r>
      <w:r w:rsidRPr="00981405">
        <w:t>analysis,</w:t>
      </w:r>
      <w:r w:rsidR="00190923" w:rsidRPr="00981405">
        <w:t xml:space="preserve"> </w:t>
      </w:r>
      <w:r w:rsidRPr="00981405">
        <w:t>commenced</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w:t>
      </w:r>
      <w:hyperlink r:id="rId55" w:history="1">
        <w:r w:rsidR="00F304EB" w:rsidRPr="00F304EB">
          <w:rPr>
            <w:rStyle w:val="Hyperlink"/>
          </w:rPr>
          <w:t>A/CN.4/646</w:t>
        </w:r>
      </w:hyperlink>
      <w:r w:rsidRPr="00981405">
        <w:t>),</w:t>
      </w:r>
      <w:r w:rsidR="00190923" w:rsidRPr="00981405">
        <w:t xml:space="preserve"> </w:t>
      </w:r>
      <w:r w:rsidRPr="00981405">
        <w:t>of</w:t>
      </w:r>
      <w:r w:rsidR="00190923" w:rsidRPr="00981405">
        <w:t xml:space="preserve"> </w:t>
      </w:r>
      <w:r w:rsidRPr="00981405">
        <w:t>the</w:t>
      </w:r>
      <w:r w:rsidR="00190923" w:rsidRPr="00981405">
        <w:t xml:space="preserve"> </w:t>
      </w:r>
      <w:r w:rsidRPr="00981405">
        <w:t>normative</w:t>
      </w:r>
      <w:r w:rsidR="00190923" w:rsidRPr="00981405">
        <w:t xml:space="preserve"> </w:t>
      </w:r>
      <w:r w:rsidRPr="00981405">
        <w:t>elements</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Since</w:t>
      </w:r>
      <w:r w:rsidR="00190923" w:rsidRPr="00981405">
        <w:t xml:space="preserve"> </w:t>
      </w:r>
      <w:r w:rsidRPr="00981405">
        <w:t>the</w:t>
      </w:r>
      <w:r w:rsidR="00190923" w:rsidRPr="00981405">
        <w:t xml:space="preserve"> </w:t>
      </w:r>
      <w:r w:rsidRPr="00981405">
        <w:t>subjective</w:t>
      </w:r>
      <w:r w:rsidR="00190923" w:rsidRPr="00981405">
        <w:t xml:space="preserve"> </w:t>
      </w:r>
      <w:r w:rsidRPr="00981405">
        <w:t>scope</w:t>
      </w:r>
      <w:r w:rsidR="00190923" w:rsidRPr="00981405">
        <w:t xml:space="preserve"> </w:t>
      </w:r>
      <w:r w:rsidRPr="00981405">
        <w:t>of</w:t>
      </w:r>
      <w:r w:rsidR="00190923" w:rsidRPr="00981405">
        <w:t xml:space="preserve"> </w:t>
      </w:r>
      <w:r w:rsidRPr="00981405">
        <w:t>such</w:t>
      </w:r>
      <w:r w:rsidR="00190923" w:rsidRPr="00981405">
        <w:t xml:space="preserve"> </w:t>
      </w:r>
      <w:r w:rsidRPr="00981405">
        <w:t>immunity</w:t>
      </w:r>
      <w:r w:rsidR="00190923" w:rsidRPr="00981405">
        <w:t xml:space="preserve"> </w:t>
      </w:r>
      <w:r w:rsidRPr="00981405">
        <w:t>(who</w:t>
      </w:r>
      <w:r w:rsidR="00190923" w:rsidRPr="00981405">
        <w:t xml:space="preserve"> </w:t>
      </w:r>
      <w:r w:rsidRPr="00981405">
        <w:t>are</w:t>
      </w:r>
      <w:r w:rsidR="00190923" w:rsidRPr="00981405">
        <w:t xml:space="preserve"> </w:t>
      </w:r>
      <w:r w:rsidRPr="00981405">
        <w:t>the</w:t>
      </w:r>
      <w:r w:rsidR="00190923" w:rsidRPr="00981405">
        <w:t xml:space="preserve"> </w:t>
      </w:r>
      <w:r w:rsidRPr="00981405">
        <w:t>beneficiaries</w:t>
      </w:r>
      <w:r w:rsidR="00190923" w:rsidRPr="00981405">
        <w:t xml:space="preserve"> </w:t>
      </w:r>
      <w:r w:rsidRPr="00981405">
        <w:t>of</w:t>
      </w:r>
      <w:r w:rsidR="00190923" w:rsidRPr="00981405">
        <w:t xml:space="preserve"> </w:t>
      </w:r>
      <w:r w:rsidRPr="00981405">
        <w:t>such</w:t>
      </w:r>
      <w:r w:rsidR="00190923" w:rsidRPr="00981405">
        <w:t xml:space="preserve"> </w:t>
      </w:r>
      <w:r w:rsidRPr="00981405">
        <w:t>immunity)</w:t>
      </w:r>
      <w:r w:rsidR="00190923" w:rsidRPr="00981405">
        <w:t xml:space="preserve"> </w:t>
      </w:r>
      <w:r w:rsidRPr="00981405">
        <w:t>was</w:t>
      </w:r>
      <w:r w:rsidR="00190923" w:rsidRPr="00981405">
        <w:t xml:space="preserve"> </w:t>
      </w:r>
      <w:r w:rsidRPr="00981405">
        <w:t>already</w:t>
      </w:r>
      <w:r w:rsidR="00190923" w:rsidRPr="00981405">
        <w:t xml:space="preserve"> </w:t>
      </w:r>
      <w:r w:rsidRPr="00981405">
        <w:t>addressed</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was</w:t>
      </w:r>
      <w:r w:rsidR="00190923" w:rsidRPr="00981405">
        <w:t xml:space="preserve"> </w:t>
      </w:r>
      <w:r w:rsidRPr="00981405">
        <w:t>devoted</w:t>
      </w:r>
      <w:r w:rsidR="00190923" w:rsidRPr="00981405">
        <w:t xml:space="preserve"> </w:t>
      </w:r>
      <w:r w:rsidRPr="00981405">
        <w:t>to</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remaining</w:t>
      </w:r>
      <w:r w:rsidR="00190923" w:rsidRPr="00981405">
        <w:t xml:space="preserve"> </w:t>
      </w:r>
      <w:r w:rsidRPr="00981405">
        <w:t>material</w:t>
      </w:r>
      <w:r w:rsidR="00190923" w:rsidRPr="00981405">
        <w:t xml:space="preserve"> </w:t>
      </w:r>
      <w:r w:rsidRPr="00981405">
        <w:t>scope</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As</w:t>
      </w:r>
      <w:r w:rsidR="00190923" w:rsidRPr="00981405">
        <w:t xml:space="preserve"> </w:t>
      </w:r>
      <w:r w:rsidRPr="00981405">
        <w:t>a</w:t>
      </w:r>
      <w:r w:rsidR="00190923" w:rsidRPr="00981405">
        <w:t xml:space="preserve"> </w:t>
      </w:r>
      <w:r w:rsidRPr="00981405">
        <w:t>consequence</w:t>
      </w:r>
      <w:r w:rsidR="00190923" w:rsidRPr="00981405">
        <w:t xml:space="preserve"> </w:t>
      </w:r>
      <w:r w:rsidRPr="00981405">
        <w:t>of</w:t>
      </w:r>
      <w:r w:rsidR="00190923" w:rsidRPr="00981405">
        <w:t xml:space="preserve"> </w:t>
      </w:r>
      <w:r w:rsidRPr="00981405">
        <w:t>the</w:t>
      </w:r>
      <w:r w:rsidR="00190923" w:rsidRPr="00981405">
        <w:t xml:space="preserve"> </w:t>
      </w:r>
      <w:r w:rsidRPr="00981405">
        <w:t>analysis,</w:t>
      </w:r>
      <w:r w:rsidR="00190923" w:rsidRPr="00981405">
        <w:t xml:space="preserve"> </w:t>
      </w:r>
      <w:r w:rsidRPr="00981405">
        <w:t>the</w:t>
      </w:r>
      <w:r w:rsidR="00190923" w:rsidRPr="00981405">
        <w:t xml:space="preserve"> </w:t>
      </w:r>
      <w:r w:rsidRPr="00981405">
        <w:t>report</w:t>
      </w:r>
      <w:r w:rsidR="00190923" w:rsidRPr="00981405">
        <w:t xml:space="preserve"> </w:t>
      </w:r>
      <w:r w:rsidRPr="00981405">
        <w:t>also</w:t>
      </w:r>
      <w:r w:rsidR="00190923" w:rsidRPr="00981405">
        <w:t xml:space="preserve"> </w:t>
      </w:r>
      <w:r w:rsidRPr="00981405">
        <w:t>contained</w:t>
      </w:r>
      <w:r w:rsidR="00190923" w:rsidRPr="00981405">
        <w:t xml:space="preserve"> </w:t>
      </w:r>
      <w:r w:rsidRPr="00981405">
        <w:t>proposals</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(f)</w:t>
      </w:r>
      <w:r w:rsidR="00190923" w:rsidRPr="00981405">
        <w:t xml:space="preserve"> </w:t>
      </w:r>
      <w:r w:rsidRPr="00981405">
        <w:t>defining,</w:t>
      </w:r>
      <w:r w:rsidR="00190923" w:rsidRPr="00981405">
        <w:t xml:space="preserve"> </w:t>
      </w:r>
      <w:r w:rsidRPr="00981405">
        <w:t>for</w:t>
      </w:r>
      <w:r w:rsidR="00190923" w:rsidRPr="00981405">
        <w:t xml:space="preserve"> </w:t>
      </w:r>
      <w:r w:rsidRPr="00981405">
        <w:t>the</w:t>
      </w:r>
      <w:r w:rsidR="00190923" w:rsidRPr="00981405">
        <w:t xml:space="preserve"> </w:t>
      </w:r>
      <w:r w:rsidRPr="00981405">
        <w:t>general</w:t>
      </w:r>
      <w:r w:rsidR="00190923" w:rsidRPr="00981405">
        <w:t xml:space="preserve"> </w:t>
      </w:r>
      <w:r w:rsidRPr="00981405">
        <w:t>purpose</w:t>
      </w:r>
      <w:r w:rsidR="00190923" w:rsidRPr="00981405">
        <w:t xml:space="preserve"> </w:t>
      </w:r>
      <w:r w:rsidRPr="00981405">
        <w:t>of</w:t>
      </w:r>
      <w:r w:rsidR="00190923" w:rsidRPr="00981405">
        <w:t xml:space="preserve"> </w:t>
      </w:r>
      <w:r w:rsidRPr="00981405">
        <w:t>immunity,</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on</w:t>
      </w:r>
      <w:r w:rsidR="00190923" w:rsidRPr="00981405">
        <w:t xml:space="preserve"> </w:t>
      </w:r>
      <w:r w:rsidRPr="00981405">
        <w:t>the</w:t>
      </w:r>
      <w:r w:rsidR="00190923" w:rsidRPr="00981405">
        <w:t xml:space="preserve"> </w:t>
      </w:r>
      <w:r w:rsidRPr="00981405">
        <w:t>material</w:t>
      </w:r>
      <w:r w:rsidR="00190923" w:rsidRPr="00981405">
        <w:t xml:space="preserve"> </w:t>
      </w:r>
      <w:r w:rsidRPr="00981405">
        <w:t>and</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which</w:t>
      </w:r>
      <w:r w:rsidR="00190923" w:rsidRPr="00981405">
        <w:t xml:space="preserve"> </w:t>
      </w:r>
      <w:r w:rsidRPr="00981405">
        <w:t>contains</w:t>
      </w:r>
      <w:r w:rsidR="00190923" w:rsidRPr="00981405">
        <w:t xml:space="preserve"> </w:t>
      </w:r>
      <w:r w:rsidRPr="00981405">
        <w:t>a</w:t>
      </w:r>
      <w:r w:rsidR="00190923" w:rsidRPr="00981405">
        <w:t xml:space="preserve"> </w:t>
      </w:r>
      <w:r w:rsidRPr="00981405">
        <w:t>specific</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to</w:t>
      </w:r>
      <w:r w:rsidR="00190923" w:rsidRPr="00981405">
        <w:t xml:space="preserve"> </w:t>
      </w:r>
      <w:r w:rsidRPr="00981405">
        <w:t>former</w:t>
      </w:r>
      <w:r w:rsidR="00190923" w:rsidRPr="00981405">
        <w:t xml:space="preserve"> </w:t>
      </w:r>
      <w:r w:rsidRPr="00981405">
        <w:t>Heads</w:t>
      </w:r>
      <w:r w:rsidR="00190923" w:rsidRPr="00981405">
        <w:t xml:space="preserve"> </w:t>
      </w:r>
      <w:r w:rsidRPr="00981405">
        <w:t>of</w:t>
      </w:r>
      <w:r w:rsidR="00190923" w:rsidRPr="00981405">
        <w:t xml:space="preserve"> </w:t>
      </w:r>
      <w:r w:rsidRPr="00981405">
        <w:t>State,</w:t>
      </w:r>
      <w:r w:rsidR="00190923" w:rsidRPr="00981405">
        <w:t xml:space="preserve"> </w:t>
      </w:r>
      <w:r w:rsidRPr="00981405">
        <w:t>former</w:t>
      </w:r>
      <w:r w:rsidR="00190923" w:rsidRPr="00981405">
        <w:t xml:space="preserve"> </w:t>
      </w:r>
      <w:r w:rsidRPr="00981405">
        <w:t>Heads</w:t>
      </w:r>
      <w:r w:rsidR="00190923" w:rsidRPr="00981405">
        <w:t xml:space="preserve"> </w:t>
      </w:r>
      <w:r w:rsidRPr="00981405">
        <w:t>of</w:t>
      </w:r>
      <w:r w:rsidR="00190923" w:rsidRPr="00981405">
        <w:t xml:space="preserve"> </w:t>
      </w:r>
      <w:r w:rsidRPr="00981405">
        <w:t>Government</w:t>
      </w:r>
      <w:r w:rsidR="00190923" w:rsidRPr="00981405">
        <w:t xml:space="preserve"> </w:t>
      </w:r>
      <w:r w:rsidRPr="00981405">
        <w:t>and</w:t>
      </w:r>
      <w:r w:rsidR="00190923" w:rsidRPr="00981405">
        <w:t xml:space="preserve"> </w:t>
      </w:r>
      <w:r w:rsidRPr="00981405">
        <w:t>former</w:t>
      </w:r>
      <w:r w:rsidR="00190923" w:rsidRPr="00981405">
        <w:t xml:space="preserve"> </w:t>
      </w:r>
      <w:r w:rsidRPr="00981405">
        <w:t>Ministers</w:t>
      </w:r>
      <w:r w:rsidR="00190923" w:rsidRPr="00981405">
        <w:t xml:space="preserve"> </w:t>
      </w:r>
      <w:r w:rsidRPr="00981405">
        <w:t>of</w:t>
      </w:r>
      <w:r w:rsidR="00190923" w:rsidRPr="00981405">
        <w:t xml:space="preserve"> </w:t>
      </w:r>
      <w:r w:rsidRPr="00981405">
        <w:t>Foreign</w:t>
      </w:r>
      <w:r w:rsidR="00190923" w:rsidRPr="00981405">
        <w:t xml:space="preserve"> </w:t>
      </w:r>
      <w:r w:rsidRPr="00981405">
        <w:t>Affairs.</w:t>
      </w:r>
    </w:p>
    <w:p w:rsidR="00397032" w:rsidRPr="00981405" w:rsidRDefault="00397032" w:rsidP="00D97463">
      <w:pPr>
        <w:pStyle w:val="SingleTxt"/>
      </w:pPr>
      <w:r w:rsidRPr="00981405">
        <w:t>178.</w:t>
      </w:r>
      <w:r w:rsidRPr="00981405">
        <w:tab/>
        <w:t>In</w:t>
      </w:r>
      <w:r w:rsidR="00190923" w:rsidRPr="00981405">
        <w:t xml:space="preserve"> </w:t>
      </w:r>
      <w:r w:rsidRPr="00981405">
        <w:t>her</w:t>
      </w:r>
      <w:r w:rsidR="00190923" w:rsidRPr="00981405">
        <w:t xml:space="preserve"> </w:t>
      </w:r>
      <w:r w:rsidRPr="00981405">
        <w:t>introduction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it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read</w:t>
      </w:r>
      <w:r w:rsidR="00190923" w:rsidRPr="00981405">
        <w:t xml:space="preserve"> </w:t>
      </w:r>
      <w:r w:rsidRPr="00981405">
        <w:t>with</w:t>
      </w:r>
      <w:r w:rsidR="00190923" w:rsidRPr="00981405">
        <w:t xml:space="preserve"> </w:t>
      </w:r>
      <w:r w:rsidRPr="00981405">
        <w:t>previous</w:t>
      </w:r>
      <w:r w:rsidR="00190923" w:rsidRPr="00981405">
        <w:t xml:space="preserve"> </w:t>
      </w:r>
      <w:r w:rsidRPr="00981405">
        <w:t>reports,</w:t>
      </w:r>
      <w:r w:rsidR="00190923" w:rsidRPr="00981405">
        <w:t xml:space="preserve"> </w:t>
      </w:r>
      <w:r w:rsidRPr="00981405">
        <w:t>as</w:t>
      </w:r>
      <w:r w:rsidR="00190923" w:rsidRPr="00981405">
        <w:t xml:space="preserve"> </w:t>
      </w:r>
      <w:r w:rsidRPr="00981405">
        <w:t>together</w:t>
      </w:r>
      <w:r w:rsidR="00190923" w:rsidRPr="00981405">
        <w:t xml:space="preserve"> </w:t>
      </w:r>
      <w:r w:rsidRPr="00981405">
        <w:t>these</w:t>
      </w:r>
      <w:r w:rsidR="00190923" w:rsidRPr="00981405">
        <w:t xml:space="preserve"> </w:t>
      </w:r>
      <w:r w:rsidRPr="00981405">
        <w:t>reports</w:t>
      </w:r>
      <w:r w:rsidR="00190923" w:rsidRPr="00981405">
        <w:t xml:space="preserve"> </w:t>
      </w:r>
      <w:r w:rsidRPr="00981405">
        <w:t>constituted</w:t>
      </w:r>
      <w:r w:rsidR="00190923" w:rsidRPr="00981405">
        <w:t xml:space="preserve"> </w:t>
      </w:r>
      <w:r w:rsidRPr="00981405">
        <w:t>a</w:t>
      </w:r>
      <w:r w:rsidR="00190923" w:rsidRPr="00981405">
        <w:t xml:space="preserve"> </w:t>
      </w:r>
      <w:r w:rsidRPr="00981405">
        <w:t>unitary</w:t>
      </w:r>
      <w:r w:rsidR="00190923" w:rsidRPr="00981405">
        <w:t xml:space="preserve"> </w:t>
      </w:r>
      <w:r w:rsidRPr="00981405">
        <w:t>whole.</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present</w:t>
      </w:r>
      <w:r w:rsidR="00190923" w:rsidRPr="00981405">
        <w:t xml:space="preserve"> </w:t>
      </w:r>
      <w:r w:rsidRPr="00981405">
        <w:t>report,</w:t>
      </w:r>
      <w:r w:rsidR="00190923" w:rsidRPr="00981405">
        <w:t xml:space="preserve"> </w:t>
      </w:r>
      <w:r w:rsidRPr="00981405">
        <w:t>like</w:t>
      </w:r>
      <w:r w:rsidR="00190923" w:rsidRPr="00981405">
        <w:t xml:space="preserve"> </w:t>
      </w:r>
      <w:r w:rsidRPr="00981405">
        <w:t>the</w:t>
      </w:r>
      <w:r w:rsidR="00190923" w:rsidRPr="00981405">
        <w:t xml:space="preserve"> </w:t>
      </w:r>
      <w:r w:rsidRPr="00981405">
        <w:t>previous</w:t>
      </w:r>
      <w:r w:rsidR="00190923" w:rsidRPr="00981405">
        <w:t xml:space="preserve"> </w:t>
      </w:r>
      <w:r w:rsidRPr="00981405">
        <w:t>treatment</w:t>
      </w:r>
      <w:r w:rsidR="00190923" w:rsidRPr="00981405">
        <w:t xml:space="preserve"> </w:t>
      </w:r>
      <w:r w:rsidRPr="00981405">
        <w:t>of</w:t>
      </w:r>
      <w:r w:rsidR="00190923" w:rsidRPr="00981405">
        <w:t xml:space="preserve"> </w:t>
      </w:r>
      <w:r w:rsidRPr="00981405">
        <w:t>immunity</w:t>
      </w:r>
      <w:r w:rsidR="00190923" w:rsidRPr="00981405">
        <w:t xml:space="preserve"> </w:t>
      </w:r>
      <w:r w:rsidR="00B247C2" w:rsidRPr="00981405">
        <w:rPr>
          <w:i/>
          <w:iCs/>
        </w:rPr>
        <w:t>ratione</w:t>
      </w:r>
      <w:r w:rsidR="00190923" w:rsidRPr="00981405">
        <w:rPr>
          <w:i/>
          <w:iCs/>
        </w:rPr>
        <w:t xml:space="preserve"> </w:t>
      </w:r>
      <w:r w:rsidR="00B247C2" w:rsidRPr="00981405">
        <w:rPr>
          <w:i/>
          <w:iCs/>
        </w:rPr>
        <w:t>personae</w:t>
      </w:r>
      <w:r w:rsidRPr="00981405">
        <w:t>,</w:t>
      </w:r>
      <w:r w:rsidR="00190923" w:rsidRPr="00981405">
        <w:t xml:space="preserve"> </w:t>
      </w:r>
      <w:r w:rsidRPr="00981405">
        <w:t>did</w:t>
      </w:r>
      <w:r w:rsidR="00190923" w:rsidRPr="00981405">
        <w:t xml:space="preserve"> </w:t>
      </w:r>
      <w:r w:rsidRPr="00981405">
        <w:t>not</w:t>
      </w:r>
      <w:r w:rsidR="00190923" w:rsidRPr="00981405">
        <w:t xml:space="preserve"> </w:t>
      </w:r>
      <w:r w:rsidRPr="00981405">
        <w:t>address</w:t>
      </w:r>
      <w:r w:rsidR="00190923" w:rsidRPr="00981405">
        <w:t xml:space="preserve"> </w:t>
      </w:r>
      <w:r w:rsidRPr="00981405">
        <w:t>directly</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to</w:t>
      </w:r>
      <w:r w:rsidR="00190923" w:rsidRPr="00981405">
        <w:t xml:space="preserve"> </w:t>
      </w:r>
      <w:r w:rsidRPr="00981405">
        <w:t>immunity,</w:t>
      </w:r>
      <w:r w:rsidR="00190923" w:rsidRPr="00981405">
        <w:t xml:space="preserve"> </w:t>
      </w:r>
      <w:r w:rsidRPr="00981405">
        <w:t>a</w:t>
      </w:r>
      <w:r w:rsidR="00190923" w:rsidRPr="00981405">
        <w:t xml:space="preserve"> </w:t>
      </w:r>
      <w:r w:rsidRPr="00981405">
        <w:t>matter</w:t>
      </w:r>
      <w:r w:rsidR="00190923" w:rsidRPr="00981405">
        <w:t xml:space="preserve"> </w:t>
      </w:r>
      <w:r w:rsidRPr="00981405">
        <w:t>which</w:t>
      </w:r>
      <w:r w:rsidR="00190923" w:rsidRPr="00981405">
        <w:t xml:space="preserve"> </w:t>
      </w:r>
      <w:r w:rsidRPr="00981405">
        <w:t>would</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her</w:t>
      </w:r>
      <w:r w:rsidR="00190923" w:rsidRPr="00981405">
        <w:t xml:space="preserve"> </w:t>
      </w:r>
      <w:r w:rsidRPr="00981405">
        <w:t>fifth</w:t>
      </w:r>
      <w:r w:rsidR="00190923" w:rsidRPr="00981405">
        <w:t xml:space="preserve"> </w:t>
      </w:r>
      <w:r w:rsidRPr="00981405">
        <w:t>report</w:t>
      </w:r>
      <w:r w:rsidR="00190923" w:rsidRPr="00981405">
        <w:t xml:space="preserve"> </w:t>
      </w:r>
      <w:r w:rsidRPr="00981405">
        <w:t>in</w:t>
      </w:r>
      <w:r w:rsidR="00190923" w:rsidRPr="00981405">
        <w:t xml:space="preserve"> </w:t>
      </w:r>
      <w:r w:rsidRPr="00981405">
        <w:t>2016.</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pointed</w:t>
      </w:r>
      <w:r w:rsidR="00190923" w:rsidRPr="00981405">
        <w:t xml:space="preserve"> </w:t>
      </w:r>
      <w:r w:rsidRPr="00981405">
        <w:t>to</w:t>
      </w:r>
      <w:r w:rsidR="00190923" w:rsidRPr="00981405">
        <w:t xml:space="preserve"> </w:t>
      </w:r>
      <w:r w:rsidRPr="00981405">
        <w:t>some</w:t>
      </w:r>
      <w:r w:rsidR="00190923" w:rsidRPr="00981405">
        <w:t xml:space="preserve"> </w:t>
      </w:r>
      <w:r w:rsidRPr="00981405">
        <w:t>problems</w:t>
      </w:r>
      <w:r w:rsidR="00190923" w:rsidRPr="00981405">
        <w:t xml:space="preserve"> </w:t>
      </w:r>
      <w:r w:rsidRPr="00981405">
        <w:t>of</w:t>
      </w:r>
      <w:r w:rsidR="00190923" w:rsidRPr="00981405">
        <w:t xml:space="preserve"> </w:t>
      </w:r>
      <w:r w:rsidRPr="00981405">
        <w:t>translation</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in</w:t>
      </w:r>
      <w:r w:rsidR="00190923" w:rsidRPr="00981405">
        <w:t xml:space="preserve"> </w:t>
      </w:r>
      <w:r w:rsidRPr="00981405">
        <w:t>the</w:t>
      </w:r>
      <w:r w:rsidR="00190923" w:rsidRPr="00981405">
        <w:t xml:space="preserve"> </w:t>
      </w:r>
      <w:r w:rsidRPr="00981405">
        <w:t>various</w:t>
      </w:r>
      <w:r w:rsidR="00190923" w:rsidRPr="00981405">
        <w:t xml:space="preserve"> </w:t>
      </w:r>
      <w:r w:rsidRPr="00981405">
        <w:t>language</w:t>
      </w:r>
      <w:r w:rsidR="00190923" w:rsidRPr="00981405">
        <w:t xml:space="preserve"> </w:t>
      </w:r>
      <w:r w:rsidRPr="00981405">
        <w:t>versions</w:t>
      </w:r>
      <w:r w:rsidR="00190923" w:rsidRPr="00981405">
        <w:t xml:space="preserve"> </w:t>
      </w:r>
      <w:r w:rsidRPr="00981405">
        <w:t>from</w:t>
      </w:r>
      <w:r w:rsidR="00190923" w:rsidRPr="00981405">
        <w:t xml:space="preserve"> </w:t>
      </w:r>
      <w:r w:rsidRPr="00981405">
        <w:t>the</w:t>
      </w:r>
      <w:r w:rsidR="00190923" w:rsidRPr="00981405">
        <w:t xml:space="preserve"> </w:t>
      </w:r>
      <w:r w:rsidRPr="00981405">
        <w:t>original</w:t>
      </w:r>
      <w:r w:rsidR="00190923" w:rsidRPr="00981405">
        <w:t xml:space="preserve"> </w:t>
      </w:r>
      <w:r w:rsidRPr="00981405">
        <w:t>Spanish,</w:t>
      </w:r>
      <w:r w:rsidR="00190923" w:rsidRPr="00981405">
        <w:t xml:space="preserve"> </w:t>
      </w:r>
      <w:r w:rsidRPr="00981405">
        <w:t>concerning</w:t>
      </w:r>
      <w:r w:rsidR="00190923" w:rsidRPr="00981405">
        <w:t xml:space="preserve"> </w:t>
      </w:r>
      <w:r w:rsidRPr="00981405">
        <w:t>which</w:t>
      </w:r>
      <w:r w:rsidR="00190923" w:rsidRPr="00981405">
        <w:t xml:space="preserve"> </w:t>
      </w:r>
      <w:r w:rsidRPr="00981405">
        <w:t>she</w:t>
      </w:r>
      <w:r w:rsidR="00190923" w:rsidRPr="00981405">
        <w:t xml:space="preserve"> </w:t>
      </w:r>
      <w:r w:rsidRPr="00981405">
        <w:t>introduced</w:t>
      </w:r>
      <w:r w:rsidR="00190923" w:rsidRPr="00981405">
        <w:t xml:space="preserve"> </w:t>
      </w:r>
      <w:r w:rsidRPr="00981405">
        <w:t>the</w:t>
      </w:r>
      <w:r w:rsidR="00190923" w:rsidRPr="00981405">
        <w:t xml:space="preserve"> </w:t>
      </w:r>
      <w:r w:rsidRPr="00981405">
        <w:t>appropriate</w:t>
      </w:r>
      <w:r w:rsidR="00190923" w:rsidRPr="00981405">
        <w:t xml:space="preserve"> </w:t>
      </w:r>
      <w:r w:rsidRPr="00981405">
        <w:t>changes</w:t>
      </w:r>
      <w:r w:rsidR="00190923" w:rsidRPr="00981405">
        <w:t xml:space="preserve"> </w:t>
      </w:r>
      <w:r w:rsidRPr="00981405">
        <w:t>through</w:t>
      </w:r>
      <w:r w:rsidR="00190923" w:rsidRPr="00981405">
        <w:t xml:space="preserve"> </w:t>
      </w:r>
      <w:r w:rsidRPr="00981405">
        <w:t>a</w:t>
      </w:r>
      <w:r w:rsidR="00190923" w:rsidRPr="00981405">
        <w:t xml:space="preserve"> </w:t>
      </w:r>
      <w:r w:rsidRPr="00981405">
        <w:t>corrigendum</w:t>
      </w:r>
      <w:r w:rsidR="00190923" w:rsidRPr="00981405">
        <w:t xml:space="preserve"> </w:t>
      </w:r>
      <w:r w:rsidRPr="00981405">
        <w:t>that</w:t>
      </w:r>
      <w:r w:rsidR="00190923" w:rsidRPr="00981405">
        <w:t xml:space="preserve"> </w:t>
      </w:r>
      <w:r w:rsidRPr="00981405">
        <w:t>was</w:t>
      </w:r>
      <w:r w:rsidR="00190923" w:rsidRPr="00981405">
        <w:t xml:space="preserve"> </w:t>
      </w:r>
      <w:r w:rsidRPr="00981405">
        <w:t>distributed</w:t>
      </w:r>
      <w:r w:rsidR="00190923" w:rsidRPr="00981405">
        <w:t xml:space="preserve"> </w:t>
      </w:r>
      <w:r w:rsidRPr="00981405">
        <w:t>to</w:t>
      </w:r>
      <w:r w:rsidR="00190923" w:rsidRPr="00981405">
        <w:t xml:space="preserve"> </w:t>
      </w:r>
      <w:r w:rsidRPr="00981405">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requested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prepare</w:t>
      </w:r>
      <w:r w:rsidR="00190923" w:rsidRPr="00981405">
        <w:t xml:space="preserve"> </w:t>
      </w:r>
      <w:r w:rsidRPr="00981405">
        <w:t>a</w:t>
      </w:r>
      <w:r w:rsidR="00190923" w:rsidRPr="00981405">
        <w:t xml:space="preserve"> </w:t>
      </w:r>
      <w:r w:rsidRPr="00981405">
        <w:t>corrigendum</w:t>
      </w:r>
      <w:r w:rsidR="00190923" w:rsidRPr="00981405">
        <w:t xml:space="preserve"> </w:t>
      </w:r>
      <w:r w:rsidRPr="00981405">
        <w:t>with</w:t>
      </w:r>
      <w:r w:rsidR="00190923" w:rsidRPr="00981405">
        <w:t xml:space="preserve"> </w:t>
      </w:r>
      <w:r w:rsidRPr="00981405">
        <w:t>a</w:t>
      </w:r>
      <w:r w:rsidR="00190923" w:rsidRPr="00981405">
        <w:t xml:space="preserve"> </w:t>
      </w:r>
      <w:r w:rsidRPr="00981405">
        <w:t>view</w:t>
      </w:r>
      <w:r w:rsidR="00190923" w:rsidRPr="00981405">
        <w:t xml:space="preserve"> </w:t>
      </w:r>
      <w:r w:rsidRPr="00981405">
        <w:t>to</w:t>
      </w:r>
      <w:r w:rsidR="00190923" w:rsidRPr="00981405">
        <w:t xml:space="preserve"> </w:t>
      </w:r>
      <w:r w:rsidRPr="00981405">
        <w:t>distributing</w:t>
      </w:r>
      <w:r w:rsidR="00190923" w:rsidRPr="00981405">
        <w:t xml:space="preserve"> </w:t>
      </w:r>
      <w:r w:rsidRPr="00981405">
        <w:t>it</w:t>
      </w:r>
      <w:r w:rsidR="00190923" w:rsidRPr="00981405">
        <w:t xml:space="preserve"> </w:t>
      </w:r>
      <w:r w:rsidRPr="00981405">
        <w:t>as</w:t>
      </w:r>
      <w:r w:rsidR="00190923" w:rsidRPr="00981405">
        <w:t xml:space="preserve"> </w:t>
      </w:r>
      <w:r w:rsidRPr="00981405">
        <w:t>an</w:t>
      </w:r>
      <w:r w:rsidR="00190923" w:rsidRPr="00981405">
        <w:t xml:space="preserve"> </w:t>
      </w:r>
      <w:r w:rsidRPr="00981405">
        <w:t>official</w:t>
      </w:r>
      <w:r w:rsidR="00190923" w:rsidRPr="00981405">
        <w:t xml:space="preserve"> </w:t>
      </w:r>
      <w:r w:rsidRPr="00981405">
        <w:t>document</w:t>
      </w:r>
      <w:r w:rsidR="00190923" w:rsidRPr="00981405">
        <w:t xml:space="preserve"> </w:t>
      </w:r>
      <w:r w:rsidRPr="00981405">
        <w:t>of</w:t>
      </w:r>
      <w:r w:rsidR="00190923" w:rsidRPr="00981405">
        <w:t xml:space="preserve"> </w:t>
      </w:r>
      <w:r w:rsidRPr="00981405">
        <w:t>this</w:t>
      </w:r>
      <w:r w:rsidR="00190923" w:rsidRPr="00981405">
        <w:t xml:space="preserve"> </w:t>
      </w:r>
      <w:r w:rsidRPr="00981405">
        <w:t>session.</w:t>
      </w:r>
    </w:p>
    <w:p w:rsidR="00397032" w:rsidRPr="00981405" w:rsidRDefault="00397032" w:rsidP="00D97463">
      <w:pPr>
        <w:pStyle w:val="SingleTxt"/>
      </w:pPr>
      <w:r w:rsidRPr="00981405">
        <w:t>179.</w:t>
      </w:r>
      <w:r w:rsidRPr="00981405">
        <w:tab/>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submitted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when</w:t>
      </w:r>
      <w:r w:rsidR="00190923" w:rsidRPr="00981405">
        <w:t xml:space="preserve"> </w:t>
      </w:r>
      <w:r w:rsidRPr="00981405">
        <w:t>dealing</w:t>
      </w:r>
      <w:r w:rsidR="00190923" w:rsidRPr="00981405">
        <w:t xml:space="preserve"> </w:t>
      </w:r>
      <w:r w:rsidRPr="00981405">
        <w:t>with</w:t>
      </w:r>
      <w:r w:rsidR="00190923" w:rsidRPr="00981405">
        <w:t xml:space="preserve"> </w:t>
      </w:r>
      <w:r w:rsidRPr="00981405">
        <w:t>the</w:t>
      </w:r>
      <w:r w:rsidR="00190923" w:rsidRPr="00981405">
        <w:t xml:space="preserve"> </w:t>
      </w:r>
      <w:r w:rsidRPr="00981405">
        <w:t>normative</w:t>
      </w:r>
      <w:r w:rsidR="00190923" w:rsidRPr="00981405">
        <w:t xml:space="preserve"> </w:t>
      </w:r>
      <w:r w:rsidRPr="00981405">
        <w:t>elements</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started</w:t>
      </w:r>
      <w:r w:rsidR="00190923" w:rsidRPr="00981405">
        <w:t xml:space="preserve"> </w:t>
      </w:r>
      <w:r w:rsidRPr="00981405">
        <w:t>by</w:t>
      </w:r>
      <w:r w:rsidR="00190923" w:rsidRPr="00981405">
        <w:t xml:space="preserve"> </w:t>
      </w:r>
      <w:r w:rsidRPr="00981405">
        <w:t>highlighting</w:t>
      </w:r>
      <w:r w:rsidR="00190923" w:rsidRPr="00981405">
        <w:t xml:space="preserve"> </w:t>
      </w:r>
      <w:r w:rsidRPr="00981405">
        <w:t>the</w:t>
      </w:r>
      <w:r w:rsidR="00190923" w:rsidRPr="00981405">
        <w:t xml:space="preserve"> </w:t>
      </w:r>
      <w:r w:rsidRPr="00981405">
        <w:t>basic</w:t>
      </w:r>
      <w:r w:rsidR="00190923" w:rsidRPr="00981405">
        <w:t xml:space="preserve"> </w:t>
      </w:r>
      <w:r w:rsidRPr="00981405">
        <w:t>characteristics</w:t>
      </w:r>
      <w:r w:rsidR="00190923" w:rsidRPr="00981405">
        <w:t xml:space="preserve"> </w:t>
      </w:r>
      <w:r w:rsidRPr="00981405">
        <w:t>of</w:t>
      </w:r>
      <w:r w:rsidR="00190923" w:rsidRPr="00981405">
        <w:t xml:space="preserve"> </w:t>
      </w:r>
      <w:r w:rsidRPr="00981405">
        <w:t>this</w:t>
      </w:r>
      <w:r w:rsidR="00190923" w:rsidRPr="00981405">
        <w:t xml:space="preserve"> </w:t>
      </w:r>
      <w:r w:rsidRPr="00981405">
        <w:t>type</w:t>
      </w:r>
      <w:r w:rsidR="00190923" w:rsidRPr="00981405">
        <w:t xml:space="preserve"> </w:t>
      </w:r>
      <w:r w:rsidRPr="00981405">
        <w:t>of</w:t>
      </w:r>
      <w:r w:rsidR="00190923" w:rsidRPr="00981405">
        <w:t xml:space="preserve"> </w:t>
      </w:r>
      <w:r w:rsidRPr="00981405">
        <w:t>immunity,</w:t>
      </w:r>
      <w:r w:rsidR="00190923" w:rsidRPr="00981405">
        <w:t xml:space="preserve"> </w:t>
      </w:r>
      <w:r w:rsidRPr="00981405">
        <w:t>namely</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granted</w:t>
      </w:r>
      <w:r w:rsidR="00190923" w:rsidRPr="00981405">
        <w:t xml:space="preserve"> </w:t>
      </w:r>
      <w:r w:rsidRPr="00981405">
        <w:t>to</w:t>
      </w:r>
      <w:r w:rsidR="00190923" w:rsidRPr="00981405">
        <w:t xml:space="preserve"> </w:t>
      </w:r>
      <w:r w:rsidRPr="00981405">
        <w:t>all</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granted</w:t>
      </w:r>
      <w:r w:rsidR="00190923" w:rsidRPr="00981405">
        <w:t xml:space="preserve"> </w:t>
      </w:r>
      <w:r w:rsidRPr="00981405">
        <w:t>only</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not</w:t>
      </w:r>
      <w:r w:rsidR="00190923" w:rsidRPr="00981405">
        <w:t xml:space="preserve"> </w:t>
      </w:r>
      <w:r w:rsidRPr="00981405">
        <w:t>time-limited.</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normative</w:t>
      </w:r>
      <w:r w:rsidR="00190923" w:rsidRPr="00981405">
        <w:t xml:space="preserve"> </w:t>
      </w:r>
      <w:r w:rsidRPr="00981405">
        <w:t>elements</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the</w:t>
      </w:r>
      <w:r w:rsidR="00190923" w:rsidRPr="00981405">
        <w:t xml:space="preserve"> </w:t>
      </w:r>
      <w:r w:rsidRPr="00981405">
        <w:t>subjective</w:t>
      </w:r>
      <w:r w:rsidR="00190923" w:rsidRPr="00981405">
        <w:t xml:space="preserve"> </w:t>
      </w:r>
      <w:r w:rsidRPr="00981405">
        <w:t>scope</w:t>
      </w:r>
      <w:r w:rsidR="00190923" w:rsidRPr="00981405">
        <w:t xml:space="preserve"> </w:t>
      </w:r>
      <w:r w:rsidRPr="00981405">
        <w:t>having</w:t>
      </w:r>
      <w:r w:rsidR="00190923" w:rsidRPr="00981405">
        <w:t xml:space="preserve"> </w:t>
      </w:r>
      <w:r w:rsidRPr="00981405">
        <w:t>been</w:t>
      </w:r>
      <w:r w:rsidR="00190923" w:rsidRPr="00981405">
        <w:t xml:space="preserve"> </w:t>
      </w:r>
      <w:r w:rsidRPr="00981405">
        <w:t>dealt</w:t>
      </w:r>
      <w:r w:rsidR="00190923" w:rsidRPr="00981405">
        <w:t xml:space="preserve"> </w:t>
      </w:r>
      <w:r w:rsidRPr="00981405">
        <w:t>with</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was</w:t>
      </w:r>
      <w:r w:rsidR="00190923" w:rsidRPr="00981405">
        <w:t xml:space="preserve"> </w:t>
      </w:r>
      <w:r w:rsidRPr="00981405">
        <w:t>focused</w:t>
      </w:r>
      <w:r w:rsidR="00190923" w:rsidRPr="00981405">
        <w:t xml:space="preserve"> </w:t>
      </w:r>
      <w:r w:rsidRPr="00981405">
        <w:t>on</w:t>
      </w:r>
      <w:r w:rsidR="00190923" w:rsidRPr="00981405">
        <w:t xml:space="preserve"> </w:t>
      </w:r>
      <w:r w:rsidRPr="00981405">
        <w:t>the</w:t>
      </w:r>
      <w:r w:rsidR="00190923" w:rsidRPr="00981405">
        <w:t xml:space="preserve"> </w:t>
      </w:r>
      <w:r w:rsidRPr="00981405">
        <w:t>material</w:t>
      </w:r>
      <w:r w:rsidR="00190923" w:rsidRPr="00981405">
        <w:t xml:space="preserve"> </w:t>
      </w:r>
      <w:r w:rsidRPr="00981405">
        <w:t>and</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as</w:t>
      </w:r>
      <w:r w:rsidR="00190923" w:rsidRPr="00981405">
        <w:t xml:space="preserve"> </w:t>
      </w:r>
      <w:r w:rsidRPr="00981405">
        <w:t>indicated</w:t>
      </w:r>
      <w:r w:rsidR="00190923" w:rsidRPr="00981405">
        <w:t xml:space="preserve"> </w:t>
      </w:r>
      <w:r w:rsidRPr="00981405">
        <w:t>above.</w:t>
      </w:r>
      <w:r w:rsidR="00190923" w:rsidRPr="00981405">
        <w:t xml:space="preserve"> </w:t>
      </w:r>
    </w:p>
    <w:p w:rsidR="00397032" w:rsidRPr="00981405" w:rsidRDefault="00397032" w:rsidP="00D97463">
      <w:pPr>
        <w:pStyle w:val="SingleTxt"/>
      </w:pPr>
      <w:r w:rsidRPr="00981405">
        <w:t>180.</w:t>
      </w:r>
      <w:r w:rsidRPr="00981405">
        <w:tab/>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was</w:t>
      </w:r>
      <w:r w:rsidR="00190923" w:rsidRPr="00981405">
        <w:t xml:space="preserve"> </w:t>
      </w:r>
      <w:r w:rsidRPr="00981405">
        <w:t>first</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some</w:t>
      </w:r>
      <w:r w:rsidR="00190923" w:rsidRPr="00981405">
        <w:t xml:space="preserve"> </w:t>
      </w:r>
      <w:r w:rsidRPr="00981405">
        <w:t>general</w:t>
      </w:r>
      <w:r w:rsidR="00190923" w:rsidRPr="00981405">
        <w:t xml:space="preserve"> </w:t>
      </w:r>
      <w:r w:rsidRPr="00981405">
        <w:t>considerations</w:t>
      </w:r>
      <w:r w:rsidR="00190923" w:rsidRPr="00981405">
        <w:t xml:space="preserve"> </w:t>
      </w:r>
      <w:r w:rsidRPr="00981405">
        <w:t>which</w:t>
      </w:r>
      <w:r w:rsidR="00190923" w:rsidRPr="00981405">
        <w:t xml:space="preserve"> </w:t>
      </w:r>
      <w:r w:rsidRPr="00981405">
        <w:t>emphasized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this</w:t>
      </w:r>
      <w:r w:rsidR="00190923" w:rsidRPr="00981405">
        <w:t xml:space="preserve"> </w:t>
      </w:r>
      <w:r w:rsidRPr="00981405">
        <w:t>concept</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Such</w:t>
      </w:r>
      <w:r w:rsidR="00190923" w:rsidRPr="00981405">
        <w:t xml:space="preserve"> </w:t>
      </w:r>
      <w:r w:rsidRPr="00981405">
        <w:t>importance</w:t>
      </w:r>
      <w:r w:rsidR="00190923" w:rsidRPr="00981405">
        <w:t xml:space="preserve"> </w:t>
      </w:r>
      <w:r w:rsidRPr="00981405">
        <w:t>derives</w:t>
      </w:r>
      <w:r w:rsidR="00190923" w:rsidRPr="00981405">
        <w:t xml:space="preserve"> </w:t>
      </w:r>
      <w:r w:rsidRPr="00981405">
        <w:t>from</w:t>
      </w:r>
      <w:r w:rsidR="00190923" w:rsidRPr="00981405">
        <w:t xml:space="preserve"> </w:t>
      </w:r>
      <w:r w:rsidRPr="00981405">
        <w:t>the</w:t>
      </w:r>
      <w:r w:rsidR="00190923" w:rsidRPr="00981405">
        <w:t xml:space="preserve"> </w:t>
      </w:r>
      <w:r w:rsidRPr="00981405">
        <w:t>functional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this</w:t>
      </w:r>
      <w:r w:rsidR="00190923" w:rsidRPr="00981405">
        <w:t xml:space="preserve"> </w:t>
      </w:r>
      <w:r w:rsidRPr="00981405">
        <w:t>type</w:t>
      </w:r>
      <w:r w:rsidR="00190923" w:rsidRPr="00981405">
        <w:t xml:space="preserve"> </w:t>
      </w:r>
      <w:r w:rsidRPr="00981405">
        <w:t>of</w:t>
      </w:r>
      <w:r w:rsidR="00190923" w:rsidRPr="00981405">
        <w:t xml:space="preserve"> </w:t>
      </w:r>
      <w:r w:rsidRPr="00981405">
        <w:t>immunity.</w:t>
      </w:r>
      <w:r w:rsidR="00190923" w:rsidRPr="00981405">
        <w:t xml:space="preserve"> </w:t>
      </w:r>
      <w:r w:rsidRPr="00981405">
        <w:t>The</w:t>
      </w:r>
      <w:r w:rsidR="00190923" w:rsidRPr="00981405">
        <w:t xml:space="preserve"> </w:t>
      </w:r>
      <w:r w:rsidRPr="00981405">
        <w:t>report</w:t>
      </w:r>
      <w:r w:rsidR="00190923" w:rsidRPr="00981405">
        <w:t xml:space="preserve"> </w:t>
      </w:r>
      <w:r w:rsidRPr="00981405">
        <w:t>then</w:t>
      </w:r>
      <w:r w:rsidR="00190923" w:rsidRPr="00981405">
        <w:t xml:space="preserve"> </w:t>
      </w:r>
      <w:r w:rsidRPr="00981405">
        <w:t>approached</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B92E2C" w:rsidRPr="00981405">
        <w:t>”</w:t>
      </w:r>
      <w:r w:rsidRPr="00981405">
        <w:t>.</w:t>
      </w:r>
      <w:r w:rsidR="00190923" w:rsidRPr="00981405">
        <w:t xml:space="preserve"> </w:t>
      </w:r>
      <w:r w:rsidRPr="00981405">
        <w:t>The</w:t>
      </w:r>
      <w:r w:rsidR="00190923" w:rsidRPr="00981405">
        <w:t xml:space="preserve"> </w:t>
      </w:r>
      <w:r w:rsidRPr="00981405">
        <w:t>study</w:t>
      </w:r>
      <w:r w:rsidR="00190923" w:rsidRPr="00981405">
        <w:t xml:space="preserve"> </w:t>
      </w:r>
      <w:r w:rsidRPr="00981405">
        <w:t>of</w:t>
      </w:r>
      <w:r w:rsidR="00190923" w:rsidRPr="00981405">
        <w:t xml:space="preserve"> </w:t>
      </w:r>
      <w:r w:rsidRPr="00981405">
        <w:t>this</w:t>
      </w:r>
      <w:r w:rsidR="00190923" w:rsidRPr="00981405">
        <w:t xml:space="preserve"> </w:t>
      </w:r>
      <w:r w:rsidRPr="00981405">
        <w:t>distinction</w:t>
      </w:r>
      <w:r w:rsidR="00190923" w:rsidRPr="00981405">
        <w:t xml:space="preserve"> </w:t>
      </w:r>
      <w:r w:rsidRPr="00981405">
        <w:t>led,</w:t>
      </w:r>
      <w:r w:rsidR="00190923" w:rsidRPr="00981405">
        <w:t xml:space="preserve"> </w:t>
      </w:r>
      <w:r w:rsidRPr="00981405">
        <w:t>among</w:t>
      </w:r>
      <w:r w:rsidR="00190923" w:rsidRPr="00981405">
        <w:t xml:space="preserve"> </w:t>
      </w:r>
      <w:r w:rsidRPr="00981405">
        <w:t>other</w:t>
      </w:r>
      <w:r w:rsidR="00190923" w:rsidRPr="00981405">
        <w:t xml:space="preserve"> </w:t>
      </w:r>
      <w:r w:rsidRPr="00981405">
        <w:t>things,</w:t>
      </w:r>
      <w:r w:rsidR="00190923" w:rsidRPr="00981405">
        <w:t xml:space="preserve"> </w:t>
      </w:r>
      <w:r w:rsidRPr="00981405">
        <w:t>to</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equivalent</w:t>
      </w:r>
      <w:r w:rsidR="00190923" w:rsidRPr="00981405">
        <w:t xml:space="preserve"> </w:t>
      </w:r>
      <w:r w:rsidRPr="00981405">
        <w:t>to</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D97463">
        <w:rPr>
          <w:i/>
          <w:iCs/>
        </w:rPr>
        <w:t>acta</w:t>
      </w:r>
      <w:r w:rsidR="00190923" w:rsidRPr="00981405">
        <w:rPr>
          <w:i/>
          <w:iCs/>
        </w:rPr>
        <w:t xml:space="preserve"> </w:t>
      </w:r>
      <w:r w:rsidRPr="00D97463">
        <w:rPr>
          <w:i/>
          <w:iCs/>
        </w:rPr>
        <w:t>iure</w:t>
      </w:r>
      <w:r w:rsidR="00190923" w:rsidRPr="00981405">
        <w:rPr>
          <w:i/>
          <w:iCs/>
        </w:rPr>
        <w:t xml:space="preserve"> </w:t>
      </w:r>
      <w:r w:rsidRPr="00D97463">
        <w:rPr>
          <w:i/>
          <w:iCs/>
        </w:rPr>
        <w:t>imperii</w:t>
      </w:r>
      <w:r w:rsidR="00190923" w:rsidRPr="00981405">
        <w:t xml:space="preserve"> </w:t>
      </w:r>
      <w:r w:rsidRPr="00981405">
        <w:t>and</w:t>
      </w:r>
      <w:r w:rsidR="00190923" w:rsidRPr="00981405">
        <w:t xml:space="preserve"> </w:t>
      </w:r>
      <w:r w:rsidRPr="00D97463">
        <w:rPr>
          <w:i/>
          <w:iCs/>
        </w:rPr>
        <w:t>acta</w:t>
      </w:r>
      <w:r w:rsidR="00190923" w:rsidRPr="00981405">
        <w:rPr>
          <w:i/>
          <w:iCs/>
        </w:rPr>
        <w:t xml:space="preserve"> </w:t>
      </w:r>
      <w:r w:rsidRPr="00D97463">
        <w:rPr>
          <w:i/>
          <w:iCs/>
        </w:rPr>
        <w:t>iure</w:t>
      </w:r>
      <w:r w:rsidR="00190923" w:rsidRPr="00981405">
        <w:rPr>
          <w:i/>
          <w:iCs/>
        </w:rPr>
        <w:t xml:space="preserve"> </w:t>
      </w:r>
      <w:r w:rsidRPr="00D97463">
        <w:rPr>
          <w:i/>
          <w:iCs/>
        </w:rPr>
        <w:t>gestionis</w:t>
      </w:r>
      <w:r w:rsidRPr="00981405">
        <w:t>,</w:t>
      </w:r>
      <w:r w:rsidR="00190923" w:rsidRPr="00981405">
        <w:t xml:space="preserve"> </w:t>
      </w:r>
      <w:r w:rsidRPr="00981405">
        <w:t>or</w:t>
      </w:r>
      <w:r w:rsidR="00190923" w:rsidRPr="00981405">
        <w:t xml:space="preserve"> </w:t>
      </w:r>
      <w:r w:rsidRPr="00981405">
        <w:t>to</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lawful</w:t>
      </w:r>
      <w:r w:rsidR="00190923" w:rsidRPr="00981405">
        <w:t xml:space="preserve"> </w:t>
      </w:r>
      <w:r w:rsidRPr="00981405">
        <w:t>and</w:t>
      </w:r>
      <w:r w:rsidR="00190923" w:rsidRPr="00981405">
        <w:t xml:space="preserve"> </w:t>
      </w:r>
      <w:r w:rsidRPr="00981405">
        <w:t>unlawful</w:t>
      </w:r>
      <w:r w:rsidR="00190923" w:rsidRPr="00981405">
        <w:t xml:space="preserve"> </w:t>
      </w:r>
      <w:r w:rsidRPr="00981405">
        <w:t>acts.</w:t>
      </w:r>
      <w:r w:rsidR="00190923" w:rsidRPr="00981405">
        <w:t xml:space="preserve"> </w:t>
      </w:r>
    </w:p>
    <w:p w:rsidR="00397032" w:rsidRPr="00981405" w:rsidRDefault="00397032" w:rsidP="00D97463">
      <w:pPr>
        <w:pStyle w:val="SingleTxt"/>
      </w:pPr>
      <w:r w:rsidRPr="00981405">
        <w:t>181.</w:t>
      </w:r>
      <w:r w:rsidRPr="00981405">
        <w:tab/>
        <w:t>The</w:t>
      </w:r>
      <w:r w:rsidR="00190923" w:rsidRPr="00981405">
        <w:t xml:space="preserve"> </w:t>
      </w:r>
      <w:r w:rsidRPr="00981405">
        <w:t>report</w:t>
      </w:r>
      <w:r w:rsidR="00190923" w:rsidRPr="00981405">
        <w:t xml:space="preserve"> </w:t>
      </w:r>
      <w:r w:rsidRPr="00981405">
        <w:t>then</w:t>
      </w:r>
      <w:r w:rsidR="00190923" w:rsidRPr="00981405">
        <w:t xml:space="preserve"> </w:t>
      </w:r>
      <w:r w:rsidRPr="00981405">
        <w:t>focused</w:t>
      </w:r>
      <w:r w:rsidR="00190923" w:rsidRPr="00981405">
        <w:t xml:space="preserve"> </w:t>
      </w:r>
      <w:r w:rsidRPr="00981405">
        <w:t>on</w:t>
      </w:r>
      <w:r w:rsidR="00190923" w:rsidRPr="00981405">
        <w:t xml:space="preserve"> </w:t>
      </w:r>
      <w:r w:rsidRPr="00981405">
        <w:t>providing</w:t>
      </w:r>
      <w:r w:rsidR="00190923" w:rsidRPr="00981405">
        <w:t xml:space="preserve"> </w:t>
      </w:r>
      <w:r w:rsidRPr="00981405">
        <w:t>criteria</w:t>
      </w:r>
      <w:r w:rsidR="00190923" w:rsidRPr="00981405">
        <w:t xml:space="preserve"> </w:t>
      </w:r>
      <w:r w:rsidRPr="00981405">
        <w:t>for</w:t>
      </w:r>
      <w:r w:rsidR="00190923" w:rsidRPr="00981405">
        <w:t xml:space="preserve"> </w:t>
      </w:r>
      <w:r w:rsidRPr="00981405">
        <w:t>identifying</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which</w:t>
      </w:r>
      <w:r w:rsidR="00190923" w:rsidRPr="00981405">
        <w:t xml:space="preserve"> </w:t>
      </w:r>
      <w:r w:rsidRPr="00981405">
        <w:t>involves</w:t>
      </w:r>
      <w:r w:rsidR="00190923" w:rsidRPr="00981405">
        <w:t xml:space="preserve"> </w:t>
      </w:r>
      <w:r w:rsidRPr="00981405">
        <w:t>the</w:t>
      </w:r>
      <w:r w:rsidR="00190923" w:rsidRPr="00981405">
        <w:t xml:space="preserve"> </w:t>
      </w:r>
      <w:r w:rsidRPr="00981405">
        <w:t>successive</w:t>
      </w:r>
      <w:r w:rsidR="00190923" w:rsidRPr="00981405">
        <w:t xml:space="preserve"> </w:t>
      </w:r>
      <w:r w:rsidRPr="00981405">
        <w:t>analysis</w:t>
      </w:r>
      <w:r w:rsidR="00190923" w:rsidRPr="00981405">
        <w:t xml:space="preserve"> </w:t>
      </w:r>
      <w:r w:rsidRPr="00981405">
        <w:t>of</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national),</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and</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emphasized</w:t>
      </w:r>
      <w:r w:rsidR="00190923" w:rsidRPr="00981405">
        <w:t xml:space="preserve"> </w:t>
      </w:r>
      <w:r w:rsidRPr="00981405">
        <w:t>the</w:t>
      </w:r>
      <w:r w:rsidR="00190923" w:rsidRPr="00981405">
        <w:t xml:space="preserve"> </w:t>
      </w:r>
      <w:r w:rsidRPr="00981405">
        <w:t>significance</w:t>
      </w:r>
      <w:r w:rsidR="00190923" w:rsidRPr="00981405">
        <w:t xml:space="preserve"> </w:t>
      </w:r>
      <w:r w:rsidRPr="00981405">
        <w:t>of</w:t>
      </w:r>
      <w:r w:rsidR="00190923" w:rsidRPr="00981405">
        <w:t xml:space="preserve"> </w:t>
      </w:r>
      <w:r w:rsidRPr="00981405">
        <w:t>various</w:t>
      </w:r>
      <w:r w:rsidR="00190923" w:rsidRPr="00981405">
        <w:t xml:space="preserve"> </w:t>
      </w:r>
      <w:r w:rsidRPr="00981405">
        <w:t>judgments</w:t>
      </w:r>
      <w:r w:rsidR="00190923" w:rsidRPr="00981405">
        <w:t xml:space="preserve"> </w:t>
      </w:r>
      <w:r w:rsidRPr="00981405">
        <w:t>issued</w:t>
      </w:r>
      <w:r w:rsidR="00190923" w:rsidRPr="00981405">
        <w:t xml:space="preserve"> </w:t>
      </w:r>
      <w:r w:rsidRPr="00981405">
        <w:t>by</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the</w:t>
      </w:r>
      <w:r w:rsidR="00190923" w:rsidRPr="00981405">
        <w:t xml:space="preserve"> </w:t>
      </w:r>
      <w:r w:rsidRPr="00981405">
        <w:t>European</w:t>
      </w:r>
      <w:r w:rsidR="00190923" w:rsidRPr="00981405">
        <w:t xml:space="preserve"> </w:t>
      </w:r>
      <w:r w:rsidRPr="00981405">
        <w:t>Court</w:t>
      </w:r>
      <w:r w:rsidR="00190923" w:rsidRPr="00981405">
        <w:t xml:space="preserve"> </w:t>
      </w:r>
      <w:r w:rsidRPr="00981405">
        <w:t>of</w:t>
      </w:r>
      <w:r w:rsidR="00190923" w:rsidRPr="00981405">
        <w:t xml:space="preserve"> </w:t>
      </w:r>
      <w:r w:rsidRPr="00981405">
        <w:t>Human</w:t>
      </w:r>
      <w:r w:rsidR="00190923" w:rsidRPr="00981405">
        <w:t xml:space="preserve"> </w:t>
      </w:r>
      <w:r w:rsidRPr="00981405">
        <w:t>Rights</w:t>
      </w:r>
      <w:r w:rsidR="00190923" w:rsidRPr="00981405">
        <w:t xml:space="preserve"> </w:t>
      </w:r>
      <w:r w:rsidRPr="00981405">
        <w:t>and</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Tribunal</w:t>
      </w:r>
      <w:r w:rsidR="00190923" w:rsidRPr="00981405">
        <w:t xml:space="preserve"> </w:t>
      </w:r>
      <w:r w:rsidRPr="00981405">
        <w:t>for</w:t>
      </w:r>
      <w:r w:rsidR="00190923" w:rsidRPr="00981405">
        <w:t xml:space="preserve"> </w:t>
      </w:r>
      <w:r w:rsidRPr="00981405">
        <w:t>the</w:t>
      </w:r>
      <w:r w:rsidR="00190923" w:rsidRPr="00981405">
        <w:t xml:space="preserve"> </w:t>
      </w:r>
      <w:r w:rsidRPr="00981405">
        <w:t>former</w:t>
      </w:r>
      <w:r w:rsidR="00190923" w:rsidRPr="00981405">
        <w:t xml:space="preserve"> </w:t>
      </w:r>
      <w:r w:rsidRPr="00981405">
        <w:t>Yugoslavia.</w:t>
      </w:r>
      <w:r w:rsidR="00190923" w:rsidRPr="00981405">
        <w:t xml:space="preserve"> </w:t>
      </w:r>
      <w:r w:rsidRPr="00981405">
        <w:t>The</w:t>
      </w:r>
      <w:r w:rsidR="00190923" w:rsidRPr="00981405">
        <w:t xml:space="preserve"> </w:t>
      </w:r>
      <w:r w:rsidRPr="00981405">
        <w:t>study</w:t>
      </w:r>
      <w:r w:rsidR="00190923" w:rsidRPr="00981405">
        <w:t xml:space="preserve"> </w:t>
      </w:r>
      <w:r w:rsidRPr="00981405">
        <w:t>of</w:t>
      </w:r>
      <w:r w:rsidR="00190923" w:rsidRPr="00981405">
        <w:t xml:space="preserve"> </w:t>
      </w:r>
      <w:r w:rsidRPr="00981405">
        <w:t>national</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was</w:t>
      </w:r>
      <w:r w:rsidR="00190923" w:rsidRPr="00981405">
        <w:t xml:space="preserve"> </w:t>
      </w:r>
      <w:r w:rsidRPr="00981405">
        <w:t>based</w:t>
      </w:r>
      <w:r w:rsidR="00190923" w:rsidRPr="00981405">
        <w:t xml:space="preserve"> </w:t>
      </w:r>
      <w:r w:rsidRPr="00981405">
        <w:t>on</w:t>
      </w:r>
      <w:r w:rsidR="00190923" w:rsidRPr="00981405">
        <w:t xml:space="preserve"> </w:t>
      </w:r>
      <w:r w:rsidRPr="00981405">
        <w:t>a</w:t>
      </w:r>
      <w:r w:rsidR="00190923" w:rsidRPr="00981405">
        <w:t xml:space="preserve"> </w:t>
      </w:r>
      <w:r w:rsidRPr="00981405">
        <w:t>large</w:t>
      </w:r>
      <w:r w:rsidR="00190923" w:rsidRPr="00981405">
        <w:t xml:space="preserve"> </w:t>
      </w:r>
      <w:r w:rsidRPr="00981405">
        <w:t>number</w:t>
      </w:r>
      <w:r w:rsidR="00190923" w:rsidRPr="00981405">
        <w:t xml:space="preserve"> </w:t>
      </w:r>
      <w:r w:rsidRPr="00981405">
        <w:t>of</w:t>
      </w:r>
      <w:r w:rsidR="00190923" w:rsidRPr="00981405">
        <w:t xml:space="preserve"> </w:t>
      </w:r>
      <w:r w:rsidRPr="00981405">
        <w:t>national</w:t>
      </w:r>
      <w:r w:rsidR="00190923" w:rsidRPr="00981405">
        <w:t xml:space="preserve"> </w:t>
      </w:r>
      <w:r w:rsidRPr="00981405">
        <w:t>cases</w:t>
      </w:r>
      <w:r w:rsidR="00190923" w:rsidRPr="00981405">
        <w:t xml:space="preserve"> </w:t>
      </w:r>
      <w:r w:rsidRPr="00981405">
        <w:t>referring</w:t>
      </w:r>
      <w:r w:rsidR="00190923" w:rsidRPr="00981405">
        <w:t xml:space="preserve"> </w:t>
      </w:r>
      <w:r w:rsidRPr="00981405">
        <w:t>to</w:t>
      </w:r>
      <w:r w:rsidR="00190923" w:rsidRPr="00981405">
        <w:t xml:space="preserve"> </w:t>
      </w:r>
      <w:r w:rsidRPr="00981405">
        <w:t>several</w:t>
      </w:r>
      <w:r w:rsidR="00190923" w:rsidRPr="00981405">
        <w:t xml:space="preserve"> </w:t>
      </w:r>
      <w:r w:rsidRPr="00981405">
        <w:t>aspects</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and</w:t>
      </w:r>
      <w:r w:rsidR="00190923" w:rsidRPr="00981405">
        <w:t xml:space="preserve"> </w:t>
      </w:r>
      <w:r w:rsidRPr="00981405">
        <w:t>took</w:t>
      </w:r>
      <w:r w:rsidR="00190923" w:rsidRPr="00981405">
        <w:t xml:space="preserve"> </w:t>
      </w:r>
      <w:r w:rsidRPr="00981405">
        <w:t>into</w:t>
      </w:r>
      <w:r w:rsidR="00190923" w:rsidRPr="00981405">
        <w:t xml:space="preserve"> </w:t>
      </w:r>
      <w:r w:rsidRPr="00981405">
        <w:t>consideration</w:t>
      </w:r>
      <w:r w:rsidR="00190923" w:rsidRPr="00981405">
        <w:t xml:space="preserve"> </w:t>
      </w:r>
      <w:r w:rsidRPr="00981405">
        <w:t>both</w:t>
      </w:r>
      <w:r w:rsidR="00190923" w:rsidRPr="00981405">
        <w:t xml:space="preserve"> </w:t>
      </w:r>
      <w:r w:rsidRPr="00981405">
        <w:t>criminal</w:t>
      </w:r>
      <w:r w:rsidR="00190923" w:rsidRPr="00981405">
        <w:t xml:space="preserve"> </w:t>
      </w:r>
      <w:r w:rsidRPr="00981405">
        <w:t>and</w:t>
      </w:r>
      <w:r w:rsidR="00190923" w:rsidRPr="00981405">
        <w:t xml:space="preserve"> </w:t>
      </w:r>
      <w:r w:rsidRPr="00981405">
        <w:t>civil</w:t>
      </w:r>
      <w:r w:rsidR="00190923" w:rsidRPr="00981405">
        <w:t xml:space="preserve"> </w:t>
      </w:r>
      <w:r w:rsidRPr="00981405">
        <w:t>proceedings</w:t>
      </w:r>
      <w:r w:rsidR="00190923" w:rsidRPr="00981405">
        <w:t xml:space="preserve"> </w:t>
      </w:r>
      <w:r w:rsidRPr="00981405">
        <w:t>as</w:t>
      </w:r>
      <w:r w:rsidR="00190923" w:rsidRPr="00981405">
        <w:t xml:space="preserve"> </w:t>
      </w:r>
      <w:r w:rsidRPr="00981405">
        <w:t>the</w:t>
      </w:r>
      <w:r w:rsidR="00190923" w:rsidRPr="00981405">
        <w:t xml:space="preserve"> </w:t>
      </w:r>
      <w:r w:rsidRPr="00981405">
        <w:t>forms</w:t>
      </w:r>
      <w:r w:rsidR="00190923" w:rsidRPr="00981405">
        <w:t xml:space="preserve"> </w:t>
      </w:r>
      <w:r w:rsidRPr="00981405">
        <w:t>of</w:t>
      </w:r>
      <w:r w:rsidR="00190923" w:rsidRPr="00981405">
        <w:t xml:space="preserve"> </w:t>
      </w:r>
      <w:r w:rsidRPr="00981405">
        <w:t>conduct</w:t>
      </w:r>
      <w:r w:rsidR="00190923" w:rsidRPr="00981405">
        <w:t xml:space="preserve"> </w:t>
      </w:r>
      <w:r w:rsidRPr="00981405">
        <w:t>that</w:t>
      </w:r>
      <w:r w:rsidR="00190923" w:rsidRPr="00981405">
        <w:t xml:space="preserve"> </w:t>
      </w:r>
      <w:r w:rsidRPr="00981405">
        <w:t>could</w:t>
      </w:r>
      <w:r w:rsidR="00190923" w:rsidRPr="00981405">
        <w:t xml:space="preserve"> </w:t>
      </w:r>
      <w:r w:rsidRPr="00981405">
        <w:t>be</w:t>
      </w:r>
      <w:r w:rsidR="00190923" w:rsidRPr="00981405">
        <w:t xml:space="preserve"> </w:t>
      </w:r>
      <w:r w:rsidRPr="00981405">
        <w:t>identified</w:t>
      </w:r>
      <w:r w:rsidR="00190923" w:rsidRPr="00981405">
        <w:t xml:space="preserve"> </w:t>
      </w:r>
      <w:r w:rsidRPr="00981405">
        <w:t>with</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manifested</w:t>
      </w:r>
      <w:r w:rsidR="00190923" w:rsidRPr="00981405">
        <w:t xml:space="preserve"> </w:t>
      </w:r>
      <w:r w:rsidRPr="00981405">
        <w:t>themselves</w:t>
      </w:r>
      <w:r w:rsidR="00190923" w:rsidRPr="00981405">
        <w:t xml:space="preserve"> </w:t>
      </w:r>
      <w:r w:rsidRPr="00981405">
        <w:t>in</w:t>
      </w:r>
      <w:r w:rsidR="00190923" w:rsidRPr="00981405">
        <w:t xml:space="preserve"> </w:t>
      </w:r>
      <w:r w:rsidRPr="00981405">
        <w:t>both</w:t>
      </w:r>
      <w:r w:rsidR="00190923" w:rsidRPr="00981405">
        <w:t xml:space="preserve"> </w:t>
      </w:r>
      <w:r w:rsidRPr="00981405">
        <w:t>types</w:t>
      </w:r>
      <w:r w:rsidR="00190923" w:rsidRPr="00981405">
        <w:t xml:space="preserve"> </w:t>
      </w:r>
      <w:r w:rsidRPr="00981405">
        <w:t>of</w:t>
      </w:r>
      <w:r w:rsidR="00190923" w:rsidRPr="00981405">
        <w:t xml:space="preserve"> </w:t>
      </w:r>
      <w:r w:rsidRPr="00981405">
        <w:t>proceedings</w:t>
      </w:r>
      <w:r w:rsidR="00190923" w:rsidRPr="00981405">
        <w:t xml:space="preserve"> </w:t>
      </w:r>
      <w:r w:rsidRPr="00981405">
        <w:t>and</w:t>
      </w:r>
      <w:r w:rsidR="00190923" w:rsidRPr="00981405">
        <w:t xml:space="preserve"> </w:t>
      </w:r>
      <w:r w:rsidRPr="00981405">
        <w:t>elements</w:t>
      </w:r>
      <w:r w:rsidR="00190923" w:rsidRPr="00981405">
        <w:t xml:space="preserve"> </w:t>
      </w:r>
      <w:r w:rsidRPr="00981405">
        <w:t>common</w:t>
      </w:r>
      <w:r w:rsidR="00190923" w:rsidRPr="00981405">
        <w:t xml:space="preserve"> </w:t>
      </w:r>
      <w:r w:rsidRPr="00981405">
        <w:t>to</w:t>
      </w:r>
      <w:r w:rsidR="00190923" w:rsidRPr="00981405">
        <w:t xml:space="preserve"> </w:t>
      </w:r>
      <w:r w:rsidRPr="00981405">
        <w:t>such</w:t>
      </w:r>
      <w:r w:rsidR="00190923" w:rsidRPr="00981405">
        <w:t xml:space="preserve"> </w:t>
      </w:r>
      <w:r w:rsidRPr="00981405">
        <w:t>acts</w:t>
      </w:r>
      <w:r w:rsidR="00190923" w:rsidRPr="00981405">
        <w:t xml:space="preserve"> </w:t>
      </w:r>
      <w:r w:rsidRPr="00981405">
        <w:t>could</w:t>
      </w:r>
      <w:r w:rsidR="00190923" w:rsidRPr="00981405">
        <w:t xml:space="preserve"> </w:t>
      </w:r>
      <w:r w:rsidRPr="00981405">
        <w:t>be</w:t>
      </w:r>
      <w:r w:rsidR="00190923" w:rsidRPr="00981405">
        <w:t xml:space="preserve"> </w:t>
      </w:r>
      <w:r w:rsidRPr="00981405">
        <w:t>inferred</w:t>
      </w:r>
      <w:r w:rsidR="00190923" w:rsidRPr="00981405">
        <w:t xml:space="preserve"> </w:t>
      </w:r>
      <w:r w:rsidRPr="00981405">
        <w:t>from</w:t>
      </w:r>
      <w:r w:rsidR="00190923" w:rsidRPr="00981405">
        <w:t xml:space="preserve"> </w:t>
      </w:r>
      <w:r w:rsidRPr="00981405">
        <w:t>them.</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considered</w:t>
      </w:r>
      <w:r w:rsidR="00190923" w:rsidRPr="00981405">
        <w:t xml:space="preserve"> </w:t>
      </w:r>
      <w:r w:rsidRPr="00981405">
        <w:t>various</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conventions</w:t>
      </w:r>
      <w:r w:rsidR="00190923" w:rsidRPr="00981405">
        <w:t xml:space="preserve"> </w:t>
      </w:r>
      <w:r w:rsidRPr="00981405">
        <w:t>directly</w:t>
      </w:r>
      <w:r w:rsidR="00190923" w:rsidRPr="00981405">
        <w:t xml:space="preserve"> </w:t>
      </w:r>
      <w:r w:rsidRPr="00981405">
        <w:t>or</w:t>
      </w:r>
      <w:r w:rsidR="00190923" w:rsidRPr="00981405">
        <w:t xml:space="preserve"> </w:t>
      </w:r>
      <w:r w:rsidRPr="00981405">
        <w:t>indirectly</w:t>
      </w:r>
      <w:r w:rsidR="00190923" w:rsidRPr="00981405">
        <w:t xml:space="preserve"> </w:t>
      </w:r>
      <w:r w:rsidRPr="00981405">
        <w:t>referring</w:t>
      </w:r>
      <w:r w:rsidR="00190923" w:rsidRPr="00981405">
        <w:t xml:space="preserve"> </w:t>
      </w:r>
      <w:r w:rsidRPr="00981405">
        <w:t>to</w:t>
      </w:r>
      <w:r w:rsidR="00190923" w:rsidRPr="00981405">
        <w:t xml:space="preserve"> </w:t>
      </w:r>
      <w:r w:rsidRPr="00981405">
        <w:t>immunities,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law</w:t>
      </w:r>
      <w:r w:rsidR="00190923" w:rsidRPr="00981405">
        <w:t xml:space="preserve"> </w:t>
      </w:r>
      <w:r w:rsidRPr="00981405">
        <w:t>treaties</w:t>
      </w:r>
      <w:r w:rsidR="00190923" w:rsidRPr="00981405">
        <w:t xml:space="preserve"> </w:t>
      </w:r>
      <w:r w:rsidRPr="00981405">
        <w:t>(universal</w:t>
      </w:r>
      <w:r w:rsidR="00190923" w:rsidRPr="00981405">
        <w:t xml:space="preserve"> </w:t>
      </w:r>
      <w:r w:rsidRPr="00981405">
        <w:t>and</w:t>
      </w:r>
      <w:r w:rsidR="00190923" w:rsidRPr="00981405">
        <w:t xml:space="preserve"> </w:t>
      </w:r>
      <w:r w:rsidRPr="00981405">
        <w:t>regional)</w:t>
      </w:r>
      <w:r w:rsidR="00190923" w:rsidRPr="00981405">
        <w:t xml:space="preserve"> </w:t>
      </w:r>
      <w:r w:rsidRPr="00981405">
        <w:t>that</w:t>
      </w:r>
      <w:r w:rsidR="00190923" w:rsidRPr="00981405">
        <w:t xml:space="preserve"> </w:t>
      </w:r>
      <w:r w:rsidRPr="00981405">
        <w:t>include</w:t>
      </w:r>
      <w:r w:rsidR="00190923" w:rsidRPr="00981405">
        <w:t xml:space="preserve"> </w:t>
      </w:r>
      <w:r w:rsidRPr="00981405">
        <w:t>references</w:t>
      </w:r>
      <w:r w:rsidR="00190923" w:rsidRPr="00981405">
        <w:t xml:space="preserve"> </w:t>
      </w:r>
      <w:r w:rsidRPr="00981405">
        <w:t>to</w:t>
      </w:r>
      <w:r w:rsidR="00190923" w:rsidRPr="00981405">
        <w:t xml:space="preserve"> </w:t>
      </w:r>
      <w:r w:rsidRPr="00981405">
        <w:t>the</w:t>
      </w:r>
      <w:r w:rsidR="00190923" w:rsidRPr="00981405">
        <w:t xml:space="preserve"> </w:t>
      </w:r>
      <w:r w:rsidRPr="00981405">
        <w:t>official</w:t>
      </w:r>
      <w:r w:rsidR="00190923" w:rsidRPr="00981405">
        <w:t xml:space="preserve"> </w:t>
      </w:r>
      <w:r w:rsidRPr="00981405">
        <w:t>nature</w:t>
      </w:r>
      <w:r w:rsidR="00190923" w:rsidRPr="00981405">
        <w:t xml:space="preserve"> </w:t>
      </w:r>
      <w:r w:rsidRPr="00981405">
        <w:t>of</w:t>
      </w:r>
      <w:r w:rsidR="00190923" w:rsidRPr="00981405">
        <w:t xml:space="preserve"> </w:t>
      </w:r>
      <w:r w:rsidRPr="00981405">
        <w:t>acts</w:t>
      </w:r>
      <w:r w:rsidR="00190923" w:rsidRPr="00981405">
        <w:t xml:space="preserve"> </w:t>
      </w:r>
      <w:r w:rsidRPr="00981405">
        <w:t>characterized</w:t>
      </w:r>
      <w:r w:rsidR="00190923" w:rsidRPr="00981405">
        <w:t xml:space="preserve"> </w:t>
      </w:r>
      <w:r w:rsidRPr="00981405">
        <w:t>as</w:t>
      </w:r>
      <w:r w:rsidR="00190923" w:rsidRPr="00981405">
        <w:t xml:space="preserve"> </w:t>
      </w:r>
      <w:r w:rsidRPr="00981405">
        <w:lastRenderedPageBreak/>
        <w:t>conduct</w:t>
      </w:r>
      <w:r w:rsidR="00190923" w:rsidRPr="00981405">
        <w:t xml:space="preserve"> </w:t>
      </w:r>
      <w:r w:rsidRPr="00981405">
        <w:t>prohibited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law.</w:t>
      </w:r>
      <w:r w:rsidR="00190923" w:rsidRPr="00981405">
        <w:t xml:space="preserve"> </w:t>
      </w:r>
      <w:r w:rsidRPr="00981405">
        <w:t>As</w:t>
      </w:r>
      <w:r w:rsidR="00190923" w:rsidRPr="00981405">
        <w:t xml:space="preserve"> </w:t>
      </w:r>
      <w:r w:rsidRPr="00981405">
        <w:t>for</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emphasis</w:t>
      </w:r>
      <w:r w:rsidR="00190923" w:rsidRPr="00981405">
        <w:t xml:space="preserve"> </w:t>
      </w:r>
      <w:r w:rsidRPr="00981405">
        <w:t>was</w:t>
      </w:r>
      <w:r w:rsidR="00190923" w:rsidRPr="00981405">
        <w:t xml:space="preserve"> </w:t>
      </w:r>
      <w:r w:rsidRPr="00981405">
        <w:t>placed</w:t>
      </w:r>
      <w:r w:rsidR="00190923" w:rsidRPr="00981405">
        <w:t xml:space="preserve"> </w:t>
      </w:r>
      <w:r w:rsidRPr="00981405">
        <w:t>on</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for</w:t>
      </w:r>
      <w:r w:rsidR="00190923" w:rsidRPr="00981405">
        <w:t xml:space="preserve"> </w:t>
      </w:r>
      <w:r w:rsidRPr="00981405">
        <w:t>internationally</w:t>
      </w:r>
      <w:r w:rsidR="00190923" w:rsidRPr="00981405">
        <w:t xml:space="preserve"> </w:t>
      </w:r>
      <w:r w:rsidRPr="00981405">
        <w:t>wrongful</w:t>
      </w:r>
      <w:r w:rsidR="00190923" w:rsidRPr="00981405">
        <w:t xml:space="preserve"> </w:t>
      </w:r>
      <w:r w:rsidRPr="00981405">
        <w:t>acts,</w:t>
      </w:r>
      <w:r w:rsidR="00190923" w:rsidRPr="00981405">
        <w:t xml:space="preserve"> </w:t>
      </w:r>
      <w:r w:rsidRPr="00981405">
        <w:t>the</w:t>
      </w:r>
      <w:r w:rsidR="00190923" w:rsidRPr="00981405">
        <w:t xml:space="preserve"> </w:t>
      </w:r>
      <w:r w:rsidRPr="00981405">
        <w:t>Nürnberg</w:t>
      </w:r>
      <w:r w:rsidR="00190923" w:rsidRPr="00981405">
        <w:t xml:space="preserve"> </w:t>
      </w:r>
      <w:r w:rsidRPr="00981405">
        <w:t>Principles,</w:t>
      </w:r>
      <w:r w:rsidR="00190923" w:rsidRPr="00981405">
        <w:t xml:space="preserve"> </w:t>
      </w:r>
      <w:r w:rsidRPr="00981405">
        <w:t>the</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Offences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of</w:t>
      </w:r>
      <w:r w:rsidR="00190923" w:rsidRPr="00981405">
        <w:t xml:space="preserve"> </w:t>
      </w:r>
      <w:r w:rsidRPr="00981405">
        <w:t>1954,</w:t>
      </w:r>
      <w:r w:rsidR="00190923" w:rsidRPr="00981405">
        <w:t xml:space="preserve"> </w:t>
      </w:r>
      <w:r w:rsidRPr="00981405">
        <w:t>the</w:t>
      </w:r>
      <w:r w:rsidR="00190923" w:rsidRPr="00981405">
        <w:t xml:space="preserve"> </w:t>
      </w:r>
      <w:r w:rsidRPr="00981405">
        <w:t>Draft</w:t>
      </w:r>
      <w:r w:rsidR="00190923" w:rsidRPr="00981405">
        <w:t xml:space="preserve"> </w:t>
      </w:r>
      <w:r w:rsidRPr="00981405">
        <w:t>Code</w:t>
      </w:r>
      <w:r w:rsidR="00190923" w:rsidRPr="00981405">
        <w:t xml:space="preserve"> </w:t>
      </w:r>
      <w:r w:rsidRPr="00981405">
        <w:t>of</w:t>
      </w:r>
      <w:r w:rsidR="00190923" w:rsidRPr="00981405">
        <w:t xml:space="preserve"> </w:t>
      </w:r>
      <w:r w:rsidRPr="00981405">
        <w:t>Crimes</w:t>
      </w:r>
      <w:r w:rsidR="00190923" w:rsidRPr="00981405">
        <w:t xml:space="preserve"> </w:t>
      </w:r>
      <w:r w:rsidRPr="00981405">
        <w:t>against</w:t>
      </w:r>
      <w:r w:rsidR="00190923" w:rsidRPr="00981405">
        <w:t xml:space="preserve"> </w:t>
      </w:r>
      <w:r w:rsidRPr="00981405">
        <w:t>the</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of</w:t>
      </w:r>
      <w:r w:rsidR="00190923" w:rsidRPr="00981405">
        <w:t xml:space="preserve"> </w:t>
      </w:r>
      <w:r w:rsidRPr="00981405">
        <w:t>Mankind</w:t>
      </w:r>
      <w:r w:rsidR="00190923" w:rsidRPr="00981405">
        <w:t xml:space="preserve"> </w:t>
      </w:r>
      <w:r w:rsidRPr="00981405">
        <w:t>of</w:t>
      </w:r>
      <w:r w:rsidR="00190923" w:rsidRPr="00981405">
        <w:t xml:space="preserve"> </w:t>
      </w:r>
      <w:r w:rsidRPr="00981405">
        <w:t>1996</w:t>
      </w:r>
      <w:r w:rsidR="00190923" w:rsidRPr="00981405">
        <w:t xml:space="preserve"> </w:t>
      </w:r>
      <w:r w:rsidRPr="00981405">
        <w:t>and</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of</w:t>
      </w:r>
      <w:r w:rsidR="00190923" w:rsidRPr="00981405">
        <w:t xml:space="preserve"> </w:t>
      </w:r>
      <w:r w:rsidRPr="00981405">
        <w:t>2011.</w:t>
      </w:r>
      <w:r w:rsidR="00190923" w:rsidRPr="00981405">
        <w:t xml:space="preserve"> </w:t>
      </w:r>
    </w:p>
    <w:p w:rsidR="00397032" w:rsidRPr="00981405" w:rsidRDefault="00397032" w:rsidP="00D97463">
      <w:pPr>
        <w:pStyle w:val="SingleTxt"/>
      </w:pPr>
      <w:r w:rsidRPr="00981405">
        <w:t>182.</w:t>
      </w:r>
      <w:r w:rsidRPr="00981405">
        <w:tab/>
        <w:t>Having</w:t>
      </w:r>
      <w:r w:rsidR="00190923" w:rsidRPr="00981405">
        <w:t xml:space="preserve"> </w:t>
      </w:r>
      <w:r w:rsidRPr="00981405">
        <w:t>conducted</w:t>
      </w:r>
      <w:r w:rsidR="00190923" w:rsidRPr="00981405">
        <w:t xml:space="preserve"> </w:t>
      </w:r>
      <w:r w:rsidRPr="00981405">
        <w:t>the</w:t>
      </w:r>
      <w:r w:rsidR="00190923" w:rsidRPr="00981405">
        <w:t xml:space="preserve"> </w:t>
      </w:r>
      <w:r w:rsidRPr="00981405">
        <w:t>foregoing</w:t>
      </w:r>
      <w:r w:rsidR="00190923" w:rsidRPr="00981405">
        <w:t xml:space="preserve"> </w:t>
      </w:r>
      <w:r w:rsidRPr="00981405">
        <w:t>research,</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went</w:t>
      </w:r>
      <w:r w:rsidR="00190923" w:rsidRPr="00981405">
        <w:t xml:space="preserve"> </w:t>
      </w:r>
      <w:r w:rsidRPr="00981405">
        <w:t>on</w:t>
      </w:r>
      <w:r w:rsidR="00190923" w:rsidRPr="00981405">
        <w:t xml:space="preserve"> </w:t>
      </w:r>
      <w:r w:rsidRPr="00981405">
        <w:t>to</w:t>
      </w:r>
      <w:r w:rsidR="00190923" w:rsidRPr="00981405">
        <w:t xml:space="preserve"> </w:t>
      </w:r>
      <w:r w:rsidRPr="00981405">
        <w:t>examine</w:t>
      </w:r>
      <w:r w:rsidR="00190923" w:rsidRPr="00981405">
        <w:t xml:space="preserve"> </w:t>
      </w:r>
      <w:r w:rsidRPr="00981405">
        <w:t>the</w:t>
      </w:r>
      <w:r w:rsidR="00190923" w:rsidRPr="00981405">
        <w:t xml:space="preserve"> </w:t>
      </w:r>
      <w:r w:rsidRPr="00981405">
        <w:t>resulting</w:t>
      </w:r>
      <w:r w:rsidR="00190923" w:rsidRPr="00981405">
        <w:t xml:space="preserve"> </w:t>
      </w:r>
      <w:r w:rsidRPr="00981405">
        <w:t>characteristics</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namely,</w:t>
      </w:r>
      <w:r w:rsidR="00190923" w:rsidRPr="00981405">
        <w:t xml:space="preserve"> </w:t>
      </w:r>
      <w:r w:rsidRPr="00981405">
        <w:t>the</w:t>
      </w:r>
      <w:r w:rsidR="00190923" w:rsidRPr="00981405">
        <w:t xml:space="preserve"> </w:t>
      </w:r>
      <w:r w:rsidRPr="00981405">
        <w:t>criminal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the</w:t>
      </w:r>
      <w:r w:rsidR="00190923" w:rsidRPr="00981405">
        <w:t xml:space="preserve"> </w:t>
      </w:r>
      <w:r w:rsidRPr="00981405">
        <w:t>attribution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and</w:t>
      </w:r>
      <w:r w:rsidR="00190923" w:rsidRPr="00981405">
        <w:t xml:space="preserve"> </w:t>
      </w:r>
      <w:r w:rsidRPr="00981405">
        <w:t>elements</w:t>
      </w:r>
      <w:r w:rsidR="00190923" w:rsidRPr="00981405">
        <w:t xml:space="preserve"> </w:t>
      </w:r>
      <w:r w:rsidRPr="00981405">
        <w:t>of</w:t>
      </w:r>
      <w:r w:rsidR="00190923" w:rsidRPr="00981405">
        <w:t xml:space="preserve"> </w:t>
      </w:r>
      <w:r w:rsidRPr="00981405">
        <w:t>the</w:t>
      </w:r>
      <w:r w:rsidR="00190923" w:rsidRPr="00981405">
        <w:t xml:space="preserve"> </w:t>
      </w:r>
      <w:r w:rsidRPr="00981405">
        <w:t>governmental</w:t>
      </w:r>
      <w:r w:rsidR="00190923" w:rsidRPr="00981405">
        <w:t xml:space="preserve"> </w:t>
      </w:r>
      <w:r w:rsidRPr="00981405">
        <w:t>authority</w:t>
      </w:r>
      <w:r w:rsidR="00190923" w:rsidRPr="00981405">
        <w:t xml:space="preserve"> </w:t>
      </w:r>
      <w:r w:rsidRPr="00981405">
        <w:t>when</w:t>
      </w:r>
      <w:r w:rsidR="00190923" w:rsidRPr="00981405">
        <w:t xml:space="preserve"> </w:t>
      </w:r>
      <w:r w:rsidRPr="00981405">
        <w:t>the</w:t>
      </w:r>
      <w:r w:rsidR="00190923" w:rsidRPr="00981405">
        <w:t xml:space="preserve"> </w:t>
      </w:r>
      <w:r w:rsidRPr="00981405">
        <w:t>act</w:t>
      </w:r>
      <w:r w:rsidR="00190923" w:rsidRPr="00981405">
        <w:t xml:space="preserve"> </w:t>
      </w:r>
      <w:r w:rsidRPr="00981405">
        <w:t>is</w:t>
      </w:r>
      <w:r w:rsidR="00190923" w:rsidRPr="00981405">
        <w:t xml:space="preserve"> </w:t>
      </w:r>
      <w:r w:rsidRPr="00981405">
        <w:t>performed.</w:t>
      </w:r>
      <w:r w:rsidR="00190923" w:rsidRPr="00981405">
        <w:t xml:space="preserve"> </w:t>
      </w:r>
      <w:r w:rsidRPr="00981405">
        <w:t>Referring</w:t>
      </w:r>
      <w:r w:rsidR="00190923" w:rsidRPr="00981405">
        <w:t xml:space="preserve"> </w:t>
      </w:r>
      <w:r w:rsidRPr="00981405">
        <w:t>to</w:t>
      </w:r>
      <w:r w:rsidR="00190923" w:rsidRPr="00981405">
        <w:t xml:space="preserve"> </w:t>
      </w:r>
      <w:r w:rsidRPr="00981405">
        <w:t>the</w:t>
      </w:r>
      <w:r w:rsidR="00190923" w:rsidRPr="00981405">
        <w:t xml:space="preserve"> </w:t>
      </w:r>
      <w:r w:rsidRPr="00981405">
        <w:t>criminal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served</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highlighting</w:t>
      </w:r>
      <w:r w:rsidR="00190923" w:rsidRPr="00981405">
        <w:t xml:space="preserve"> </w:t>
      </w:r>
      <w:r w:rsidRPr="00981405">
        <w:t>the</w:t>
      </w:r>
      <w:r w:rsidR="00190923" w:rsidRPr="00981405">
        <w:t xml:space="preserve"> </w:t>
      </w:r>
      <w:r w:rsidRPr="00981405">
        <w:t>link</w:t>
      </w:r>
      <w:r w:rsidR="00190923" w:rsidRPr="00981405">
        <w:t xml:space="preserve"> </w:t>
      </w:r>
      <w:r w:rsidRPr="00981405">
        <w:t>with</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situations</w:t>
      </w:r>
      <w:r w:rsidR="00190923" w:rsidRPr="00981405">
        <w:t xml:space="preserve"> </w:t>
      </w:r>
      <w:r w:rsidRPr="00981405">
        <w:t>in</w:t>
      </w:r>
      <w:r w:rsidR="00190923" w:rsidRPr="00981405">
        <w:t xml:space="preserve"> </w:t>
      </w:r>
      <w:r w:rsidRPr="00981405">
        <w:t>which</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might</w:t>
      </w:r>
      <w:r w:rsidR="00190923" w:rsidRPr="00981405">
        <w:t xml:space="preserve"> </w:t>
      </w:r>
      <w:r w:rsidRPr="00981405">
        <w:t>be</w:t>
      </w:r>
      <w:r w:rsidR="00190923" w:rsidRPr="00981405">
        <w:t xml:space="preserve"> </w:t>
      </w:r>
      <w:r w:rsidRPr="00981405">
        <w:t>invoked.</w:t>
      </w:r>
      <w:r w:rsidR="00190923" w:rsidRPr="00981405">
        <w:t xml:space="preserve"> </w:t>
      </w:r>
      <w:r w:rsidRPr="00981405">
        <w:t>It</w:t>
      </w:r>
      <w:r w:rsidR="00190923" w:rsidRPr="00981405">
        <w:t xml:space="preserve"> </w:t>
      </w:r>
      <w:r w:rsidRPr="00981405">
        <w:t>led</w:t>
      </w:r>
      <w:r w:rsidR="00190923" w:rsidRPr="00981405">
        <w:t xml:space="preserve"> </w:t>
      </w:r>
      <w:r w:rsidRPr="00981405">
        <w:t>to</w:t>
      </w:r>
      <w:r w:rsidR="00190923" w:rsidRPr="00981405">
        <w:t xml:space="preserve"> </w:t>
      </w:r>
      <w:r w:rsidRPr="00981405">
        <w:t>a</w:t>
      </w:r>
      <w:r w:rsidR="00190923" w:rsidRPr="00981405">
        <w:t xml:space="preserve"> </w:t>
      </w:r>
      <w:r w:rsidRPr="00981405">
        <w:t>model</w:t>
      </w:r>
      <w:r w:rsidR="00190923" w:rsidRPr="00981405">
        <w:t xml:space="preserve"> </w:t>
      </w:r>
      <w:r w:rsidRPr="00981405">
        <w:t>of</w:t>
      </w:r>
      <w:r w:rsidR="00190923" w:rsidRPr="00981405">
        <w:t xml:space="preserve"> </w:t>
      </w:r>
      <w:r w:rsidRPr="00981405">
        <w:t>relation</w:t>
      </w:r>
      <w:r w:rsidR="00190923" w:rsidRPr="00981405">
        <w:t xml:space="preserve"> </w:t>
      </w:r>
      <w:r w:rsidRPr="00981405">
        <w:t>between</w:t>
      </w:r>
      <w:r w:rsidR="00190923" w:rsidRPr="00981405">
        <w:t xml:space="preserve"> </w:t>
      </w:r>
      <w:r w:rsidRPr="00981405">
        <w:t>individual</w:t>
      </w:r>
      <w:r w:rsidR="00190923" w:rsidRPr="00981405">
        <w:t xml:space="preserve"> </w:t>
      </w:r>
      <w:r w:rsidRPr="00981405">
        <w:t>and</w:t>
      </w:r>
      <w:r w:rsidR="00190923" w:rsidRPr="00981405">
        <w:t xml:space="preserve"> </w:t>
      </w:r>
      <w:r w:rsidRPr="00981405">
        <w:t>State</w:t>
      </w:r>
      <w:r w:rsidR="00190923" w:rsidRPr="00981405">
        <w:t xml:space="preserve"> </w:t>
      </w:r>
      <w:r w:rsidRPr="00981405">
        <w:t>responsibility</w:t>
      </w:r>
      <w:r w:rsidR="00190923" w:rsidRPr="00981405">
        <w:t xml:space="preserve"> </w:t>
      </w:r>
      <w:r w:rsidRPr="00981405">
        <w:t>termed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as</w:t>
      </w:r>
      <w:r w:rsidR="00190923" w:rsidRPr="00981405">
        <w:t xml:space="preserve"> </w:t>
      </w:r>
      <w:r w:rsidR="00B92E2C" w:rsidRPr="00981405">
        <w:t>“</w:t>
      </w:r>
      <w:r w:rsidRPr="00981405">
        <w:t>single</w:t>
      </w:r>
      <w:r w:rsidR="00190923" w:rsidRPr="00981405">
        <w:t xml:space="preserve"> </w:t>
      </w:r>
      <w:r w:rsidRPr="00981405">
        <w:t>act,</w:t>
      </w:r>
      <w:r w:rsidR="00190923" w:rsidRPr="00981405">
        <w:t xml:space="preserve"> </w:t>
      </w:r>
      <w:r w:rsidRPr="00981405">
        <w:t>dual</w:t>
      </w:r>
      <w:r w:rsidR="00190923" w:rsidRPr="00981405">
        <w:t xml:space="preserve"> </w:t>
      </w:r>
      <w:r w:rsidRPr="00981405">
        <w:t>responsibility</w:t>
      </w:r>
      <w:r w:rsidR="00B92E2C" w:rsidRPr="00981405">
        <w:t>”</w:t>
      </w:r>
      <w:r w:rsidRPr="00981405">
        <w:t>,</w:t>
      </w:r>
      <w:r w:rsidR="00190923" w:rsidRPr="00981405">
        <w:t xml:space="preserve"> </w:t>
      </w:r>
      <w:r w:rsidRPr="00981405">
        <w:t>whose</w:t>
      </w:r>
      <w:r w:rsidR="00190923" w:rsidRPr="00981405">
        <w:t xml:space="preserve"> </w:t>
      </w:r>
      <w:r w:rsidRPr="00981405">
        <w:t>alternatives</w:t>
      </w:r>
      <w:r w:rsidR="00190923" w:rsidRPr="00981405">
        <w:t xml:space="preserve"> </w:t>
      </w:r>
      <w:r w:rsidRPr="00981405">
        <w:t>were</w:t>
      </w:r>
      <w:r w:rsidR="00190923" w:rsidRPr="00981405">
        <w:t xml:space="preserve"> </w:t>
      </w:r>
      <w:r w:rsidRPr="00981405">
        <w:t>detailed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A</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attribution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was</w:t>
      </w:r>
      <w:r w:rsidR="00190923" w:rsidRPr="00981405">
        <w:t xml:space="preserve"> </w:t>
      </w:r>
      <w:r w:rsidRPr="00981405">
        <w:t>necessary</w:t>
      </w:r>
      <w:r w:rsidR="00190923" w:rsidRPr="00981405">
        <w:t xml:space="preserve"> </w:t>
      </w:r>
      <w:r w:rsidRPr="00981405">
        <w:t>as</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is</w:t>
      </w:r>
      <w:r w:rsidR="00190923" w:rsidRPr="00981405">
        <w:t xml:space="preserve"> </w:t>
      </w:r>
      <w:r w:rsidRPr="00981405">
        <w:t>justified</w:t>
      </w:r>
      <w:r w:rsidR="00190923" w:rsidRPr="00981405">
        <w:t xml:space="preserve"> </w:t>
      </w:r>
      <w:r w:rsidRPr="00981405">
        <w:t>only</w:t>
      </w:r>
      <w:r w:rsidR="00190923" w:rsidRPr="00981405">
        <w:t xml:space="preserve"> </w:t>
      </w:r>
      <w:r w:rsidRPr="00981405">
        <w:t>when</w:t>
      </w:r>
      <w:r w:rsidR="00190923" w:rsidRPr="00981405">
        <w:t xml:space="preserve"> </w:t>
      </w:r>
      <w:r w:rsidRPr="00981405">
        <w:t>a</w:t>
      </w:r>
      <w:r w:rsidR="00190923" w:rsidRPr="00981405">
        <w:t xml:space="preserve"> </w:t>
      </w:r>
      <w:r w:rsidRPr="00981405">
        <w:t>link</w:t>
      </w:r>
      <w:r w:rsidR="00190923" w:rsidRPr="00981405">
        <w:t xml:space="preserve"> </w:t>
      </w:r>
      <w:r w:rsidRPr="00981405">
        <w:t>exists</w:t>
      </w:r>
      <w:r w:rsidR="00190923" w:rsidRPr="00981405">
        <w:t xml:space="preserve"> </w:t>
      </w:r>
      <w:r w:rsidRPr="00981405">
        <w:t>between</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the</w:t>
      </w:r>
      <w:r w:rsidR="00190923" w:rsidRPr="00981405">
        <w:t xml:space="preserve"> </w:t>
      </w:r>
      <w:r w:rsidRPr="00981405">
        <w:t>act</w:t>
      </w:r>
      <w:r w:rsidR="00190923" w:rsidRPr="00981405">
        <w:t xml:space="preserve"> </w:t>
      </w:r>
      <w:r w:rsidRPr="00981405">
        <w:t>performed</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Of</w:t>
      </w:r>
      <w:r w:rsidR="00190923" w:rsidRPr="00981405">
        <w:t xml:space="preserve"> </w:t>
      </w:r>
      <w:r w:rsidRPr="00981405">
        <w:t>particular</w:t>
      </w:r>
      <w:r w:rsidR="00190923" w:rsidRPr="00981405">
        <w:t xml:space="preserve"> </w:t>
      </w:r>
      <w:r w:rsidRPr="00981405">
        <w:t>interest,</w:t>
      </w:r>
      <w:r w:rsidR="00190923" w:rsidRPr="00981405">
        <w:t xml:space="preserve"> </w:t>
      </w:r>
      <w:r w:rsidRPr="00981405">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was</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certain</w:t>
      </w:r>
      <w:r w:rsidR="00190923" w:rsidRPr="00981405">
        <w:t xml:space="preserve"> </w:t>
      </w:r>
      <w:r w:rsidRPr="00981405">
        <w:t>criteria</w:t>
      </w:r>
      <w:r w:rsidR="00190923" w:rsidRPr="00981405">
        <w:t xml:space="preserve"> </w:t>
      </w:r>
      <w:r w:rsidRPr="00981405">
        <w:t>for</w:t>
      </w:r>
      <w:r w:rsidR="00190923" w:rsidRPr="00981405">
        <w:t xml:space="preserve"> </w:t>
      </w:r>
      <w:r w:rsidRPr="00981405">
        <w:t>attribution</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for</w:t>
      </w:r>
      <w:r w:rsidR="00190923" w:rsidRPr="00981405">
        <w:t xml:space="preserve"> </w:t>
      </w:r>
      <w:r w:rsidRPr="00981405">
        <w:t>internationally</w:t>
      </w:r>
      <w:r w:rsidR="00190923" w:rsidRPr="00981405">
        <w:t xml:space="preserve"> </w:t>
      </w:r>
      <w:r w:rsidRPr="00981405">
        <w:t>wrongful</w:t>
      </w:r>
      <w:r w:rsidR="00190923" w:rsidRPr="00981405">
        <w:t xml:space="preserve"> </w:t>
      </w:r>
      <w:r w:rsidRPr="00981405">
        <w:t>acts</w:t>
      </w:r>
      <w:r w:rsidR="00190923" w:rsidRPr="00981405">
        <w:t xml:space="preserve"> </w:t>
      </w:r>
      <w:r w:rsidRPr="00981405">
        <w:t>were</w:t>
      </w:r>
      <w:r w:rsidR="00190923" w:rsidRPr="00981405">
        <w:t xml:space="preserve"> </w:t>
      </w:r>
      <w:r w:rsidRPr="00981405">
        <w:t>not</w:t>
      </w:r>
      <w:r w:rsidR="00190923" w:rsidRPr="00981405">
        <w:t xml:space="preserve"> </w:t>
      </w:r>
      <w:r w:rsidRPr="00981405">
        <w:t>useful</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Finally,</w:t>
      </w:r>
      <w:r w:rsidR="00190923" w:rsidRPr="00981405">
        <w:t xml:space="preserve"> </w:t>
      </w:r>
      <w:r w:rsidRPr="00981405">
        <w:t>a</w:t>
      </w:r>
      <w:r w:rsidR="00190923" w:rsidRPr="00981405">
        <w:t xml:space="preserve"> </w:t>
      </w:r>
      <w:r w:rsidRPr="00981405">
        <w:t>third</w:t>
      </w:r>
      <w:r w:rsidR="00190923" w:rsidRPr="00981405">
        <w:t xml:space="preserve"> </w:t>
      </w:r>
      <w:r w:rsidRPr="00981405">
        <w:t>teleological</w:t>
      </w:r>
      <w:r w:rsidR="00190923" w:rsidRPr="00981405">
        <w:t xml:space="preserve"> </w:t>
      </w:r>
      <w:r w:rsidRPr="00981405">
        <w:t>feature</w:t>
      </w:r>
      <w:r w:rsidR="00190923" w:rsidRPr="00981405">
        <w:t xml:space="preserve"> </w:t>
      </w:r>
      <w:r w:rsidRPr="00981405">
        <w:t>was</w:t>
      </w:r>
      <w:r w:rsidR="00190923" w:rsidRPr="00981405">
        <w:t xml:space="preserve"> </w:t>
      </w:r>
      <w:r w:rsidRPr="00981405">
        <w:t>identified</w:t>
      </w:r>
      <w:r w:rsidR="00190923" w:rsidRPr="00981405">
        <w:t xml:space="preserve"> </w:t>
      </w:r>
      <w:r w:rsidRPr="00981405">
        <w:t>as</w:t>
      </w:r>
      <w:r w:rsidR="00190923" w:rsidRPr="00981405">
        <w:t xml:space="preserve"> </w:t>
      </w:r>
      <w:r w:rsidRPr="00981405">
        <w:t>characterizing</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namely</w:t>
      </w:r>
      <w:r w:rsidR="00190923" w:rsidRPr="00981405">
        <w:t xml:space="preserve"> </w:t>
      </w:r>
      <w:r w:rsidRPr="00981405">
        <w:t>that</w:t>
      </w:r>
      <w:r w:rsidR="00190923" w:rsidRPr="00981405">
        <w:t xml:space="preserve"> </w:t>
      </w:r>
      <w:r w:rsidRPr="00981405">
        <w:t>such</w:t>
      </w:r>
      <w:r w:rsidR="00190923" w:rsidRPr="00981405">
        <w:t xml:space="preserve"> </w:t>
      </w:r>
      <w:r w:rsidRPr="00981405">
        <w:t>acts</w:t>
      </w:r>
      <w:r w:rsidR="00190923" w:rsidRPr="00981405">
        <w:t xml:space="preserve"> </w:t>
      </w:r>
      <w:r w:rsidRPr="00981405">
        <w:t>are</w:t>
      </w:r>
      <w:r w:rsidR="00190923" w:rsidRPr="00981405">
        <w:t xml:space="preserve"> </w:t>
      </w:r>
      <w:r w:rsidRPr="00981405">
        <w:t>a</w:t>
      </w:r>
      <w:r w:rsidR="00190923" w:rsidRPr="00981405">
        <w:t xml:space="preserve"> </w:t>
      </w:r>
      <w:r w:rsidRPr="00981405">
        <w:t>manifestation</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and</w:t>
      </w:r>
      <w:r w:rsidR="00190923" w:rsidRPr="00981405">
        <w:t xml:space="preserve"> </w:t>
      </w:r>
      <w:r w:rsidRPr="00981405">
        <w:t>a</w:t>
      </w:r>
      <w:r w:rsidR="00190923" w:rsidRPr="00981405">
        <w:t xml:space="preserve"> </w:t>
      </w:r>
      <w:r w:rsidRPr="00981405">
        <w:t>form</w:t>
      </w:r>
      <w:r w:rsidR="00190923" w:rsidRPr="00981405">
        <w:t xml:space="preserve"> </w:t>
      </w:r>
      <w:r w:rsidRPr="00981405">
        <w:t>of</w:t>
      </w:r>
      <w:r w:rsidR="00190923" w:rsidRPr="00981405">
        <w:t xml:space="preserve"> </w:t>
      </w:r>
      <w:r w:rsidRPr="00981405">
        <w:t>exercise</w:t>
      </w:r>
      <w:r w:rsidR="00190923" w:rsidRPr="00981405">
        <w:t xml:space="preserve"> </w:t>
      </w:r>
      <w:r w:rsidRPr="00981405">
        <w:t>of</w:t>
      </w:r>
      <w:r w:rsidR="00190923" w:rsidRPr="00981405">
        <w:t xml:space="preserve"> </w:t>
      </w:r>
      <w:r w:rsidRPr="00981405">
        <w:t>elements</w:t>
      </w:r>
      <w:r w:rsidR="00190923" w:rsidRPr="00981405">
        <w:t xml:space="preserve"> </w:t>
      </w:r>
      <w:r w:rsidRPr="00981405">
        <w:t>of</w:t>
      </w:r>
      <w:r w:rsidR="00190923" w:rsidRPr="00981405">
        <w:t xml:space="preserve"> </w:t>
      </w:r>
      <w:r w:rsidRPr="00981405">
        <w:t>the</w:t>
      </w:r>
      <w:r w:rsidR="00190923" w:rsidRPr="00981405">
        <w:t xml:space="preserve"> </w:t>
      </w:r>
      <w:r w:rsidRPr="00981405">
        <w:t>governmental</w:t>
      </w:r>
      <w:r w:rsidR="00190923" w:rsidRPr="00981405">
        <w:t xml:space="preserve"> </w:t>
      </w:r>
      <w:r w:rsidRPr="00981405">
        <w:t>authority.</w:t>
      </w:r>
      <w:r w:rsidR="00190923" w:rsidRPr="00981405">
        <w:t xml:space="preserve"> </w:t>
      </w:r>
      <w:r w:rsidRPr="00981405">
        <w:t>Examples</w:t>
      </w:r>
      <w:r w:rsidR="00190923" w:rsidRPr="00981405">
        <w:t xml:space="preserve"> </w:t>
      </w:r>
      <w:r w:rsidRPr="00981405">
        <w:t>of</w:t>
      </w:r>
      <w:r w:rsidR="00190923" w:rsidRPr="00981405">
        <w:t xml:space="preserve"> </w:t>
      </w:r>
      <w:r w:rsidRPr="00981405">
        <w:t>some</w:t>
      </w:r>
      <w:r w:rsidR="00190923" w:rsidRPr="00981405">
        <w:t xml:space="preserve"> </w:t>
      </w:r>
      <w:r w:rsidRPr="00981405">
        <w:t>elements</w:t>
      </w:r>
      <w:r w:rsidR="00190923" w:rsidRPr="00981405">
        <w:t xml:space="preserve"> </w:t>
      </w:r>
      <w:r w:rsidRPr="00981405">
        <w:t>were</w:t>
      </w:r>
      <w:r w:rsidR="00190923" w:rsidRPr="00981405">
        <w:t xml:space="preserve"> </w:t>
      </w:r>
      <w:r w:rsidRPr="00981405">
        <w:t>given</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This</w:t>
      </w:r>
      <w:r w:rsidR="00190923" w:rsidRPr="00981405">
        <w:t xml:space="preserve"> </w:t>
      </w:r>
      <w:r w:rsidRPr="00981405">
        <w:t>section</w:t>
      </w:r>
      <w:r w:rsidR="00190923" w:rsidRPr="00981405">
        <w:t xml:space="preserve"> </w:t>
      </w:r>
      <w:r w:rsidRPr="00981405">
        <w:t>concluded</w:t>
      </w:r>
      <w:r w:rsidR="00190923" w:rsidRPr="00981405">
        <w:t xml:space="preserve"> </w:t>
      </w:r>
      <w:r w:rsidRPr="00981405">
        <w:t>with</w:t>
      </w:r>
      <w:r w:rsidR="00190923" w:rsidRPr="00981405">
        <w:t xml:space="preserve"> </w:t>
      </w:r>
      <w:r w:rsidRPr="00981405">
        <w:t>a</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relation</w:t>
      </w:r>
      <w:r w:rsidR="00190923" w:rsidRPr="00981405">
        <w:t xml:space="preserve"> </w:t>
      </w:r>
      <w:r w:rsidRPr="00981405">
        <w:t>between</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and</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was</w:t>
      </w:r>
      <w:r w:rsidR="00190923" w:rsidRPr="00981405">
        <w:t xml:space="preserve"> </w:t>
      </w:r>
      <w:r w:rsidRPr="00981405">
        <w:t>finally</w:t>
      </w:r>
      <w:r w:rsidR="00190923" w:rsidRPr="00981405">
        <w:t xml:space="preserve"> </w:t>
      </w:r>
      <w:r w:rsidRPr="00981405">
        <w:t>defined</w:t>
      </w:r>
      <w:r w:rsidR="00190923" w:rsidRPr="00981405">
        <w:t xml:space="preserve"> </w:t>
      </w:r>
      <w:r w:rsidRPr="00981405">
        <w:t>as</w:t>
      </w:r>
      <w:r w:rsidR="00190923" w:rsidRPr="00981405">
        <w:t xml:space="preserve"> </w:t>
      </w:r>
      <w:r w:rsidRPr="00981405">
        <w:t>a</w:t>
      </w:r>
      <w:r w:rsidR="00190923" w:rsidRPr="00981405">
        <w:t xml:space="preserve"> </w:t>
      </w:r>
      <w:r w:rsidRPr="00981405">
        <w:t>conclusion</w:t>
      </w:r>
      <w:r w:rsidR="00190923" w:rsidRPr="00981405">
        <w:t xml:space="preserve"> </w:t>
      </w:r>
      <w:r w:rsidRPr="00981405">
        <w:t>to</w:t>
      </w:r>
      <w:r w:rsidR="00190923" w:rsidRPr="00981405">
        <w:t xml:space="preserve"> </w:t>
      </w:r>
      <w:r w:rsidRPr="00981405">
        <w:t>Part</w:t>
      </w:r>
      <w:r w:rsidR="00190923" w:rsidRPr="00981405">
        <w:t xml:space="preserve"> </w:t>
      </w:r>
      <w:r w:rsidRPr="00981405">
        <w:t>B</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p>
    <w:p w:rsidR="00397032" w:rsidRPr="00981405" w:rsidRDefault="00397032" w:rsidP="00D97463">
      <w:pPr>
        <w:pStyle w:val="SingleTxt"/>
      </w:pPr>
      <w:r w:rsidRPr="00981405">
        <w:t>183.</w:t>
      </w:r>
      <w:r w:rsidRPr="00981405">
        <w:tab/>
        <w:t>Part</w:t>
      </w:r>
      <w:r w:rsidR="00190923" w:rsidRPr="00981405">
        <w:t xml:space="preserve"> </w:t>
      </w:r>
      <w:r w:rsidRPr="00981405">
        <w:t>C</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briefly</w:t>
      </w:r>
      <w:r w:rsidR="00190923" w:rsidRPr="00981405">
        <w:t xml:space="preserve"> </w:t>
      </w:r>
      <w:r w:rsidRPr="00981405">
        <w:t>analysed</w:t>
      </w:r>
      <w:r w:rsidR="00190923" w:rsidRPr="00981405">
        <w:t xml:space="preserve"> </w:t>
      </w:r>
      <w:r w:rsidRPr="00981405">
        <w:t>the</w:t>
      </w:r>
      <w:r w:rsidR="00190923" w:rsidRPr="00981405">
        <w:t xml:space="preserve"> </w:t>
      </w:r>
      <w:r w:rsidRPr="00981405">
        <w:t>temporal</w:t>
      </w:r>
      <w:r w:rsidR="00190923" w:rsidRPr="00981405">
        <w:t xml:space="preserve"> </w:t>
      </w:r>
      <w:r w:rsidRPr="00981405">
        <w:t>element,</w:t>
      </w:r>
      <w:r w:rsidR="00190923" w:rsidRPr="00981405">
        <w:t xml:space="preserve"> </w:t>
      </w:r>
      <w:r w:rsidRPr="00981405">
        <w:t>reflecting</w:t>
      </w:r>
      <w:r w:rsidR="00190923" w:rsidRPr="00981405">
        <w:t xml:space="preserve"> </w:t>
      </w:r>
      <w:r w:rsidRPr="00981405">
        <w:t>the</w:t>
      </w:r>
      <w:r w:rsidR="00190923" w:rsidRPr="00981405">
        <w:t xml:space="preserve"> </w:t>
      </w:r>
      <w:r w:rsidRPr="00981405">
        <w:t>consensus</w:t>
      </w:r>
      <w:r w:rsidR="00190923" w:rsidRPr="00981405">
        <w:t xml:space="preserve"> </w:t>
      </w:r>
      <w:r w:rsidRPr="00981405">
        <w:t>on</w:t>
      </w:r>
      <w:r w:rsidR="00190923" w:rsidRPr="00981405">
        <w:t xml:space="preserve"> </w:t>
      </w:r>
      <w:r w:rsidRPr="00981405">
        <w:t>the</w:t>
      </w:r>
      <w:r w:rsidR="00190923" w:rsidRPr="00981405">
        <w:t xml:space="preserve"> </w:t>
      </w:r>
      <w:r w:rsidRPr="00981405">
        <w:t>indefinite</w:t>
      </w:r>
      <w:r w:rsidR="00190923" w:rsidRPr="00981405">
        <w:t xml:space="preserve"> </w:t>
      </w:r>
      <w:r w:rsidRPr="00981405">
        <w:t>nature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and</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considering</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when</w:t>
      </w:r>
      <w:r w:rsidR="00190923" w:rsidRPr="00981405">
        <w:t xml:space="preserve"> </w:t>
      </w:r>
      <w:r w:rsidRPr="00981405">
        <w:t>the</w:t>
      </w:r>
      <w:r w:rsidR="00190923" w:rsidRPr="00981405">
        <w:t xml:space="preserve"> </w:t>
      </w:r>
      <w:r w:rsidRPr="00981405">
        <w:t>act</w:t>
      </w:r>
      <w:r w:rsidR="00190923" w:rsidRPr="00981405">
        <w:t xml:space="preserve"> </w:t>
      </w:r>
      <w:r w:rsidRPr="00981405">
        <w:t>was</w:t>
      </w:r>
      <w:r w:rsidR="00190923" w:rsidRPr="00981405">
        <w:t xml:space="preserve"> </w:t>
      </w:r>
      <w:r w:rsidRPr="00981405">
        <w:t>performed</w:t>
      </w:r>
      <w:r w:rsidR="00190923" w:rsidRPr="00981405">
        <w:t xml:space="preserve"> </w:t>
      </w:r>
      <w:r w:rsidRPr="00981405">
        <w:t>and</w:t>
      </w:r>
      <w:r w:rsidR="00190923" w:rsidRPr="00981405">
        <w:t xml:space="preserve"> </w:t>
      </w:r>
      <w:r w:rsidRPr="00981405">
        <w:t>when</w:t>
      </w:r>
      <w:r w:rsidR="00190923" w:rsidRPr="00981405">
        <w:t xml:space="preserve"> </w:t>
      </w:r>
      <w:r w:rsidRPr="00981405">
        <w:t>immunity</w:t>
      </w:r>
      <w:r w:rsidR="00190923" w:rsidRPr="00981405">
        <w:t xml:space="preserve"> </w:t>
      </w:r>
      <w:r w:rsidRPr="00981405">
        <w:t>is</w:t>
      </w:r>
      <w:r w:rsidR="00190923" w:rsidRPr="00981405">
        <w:t xml:space="preserve"> </w:t>
      </w:r>
      <w:r w:rsidRPr="00981405">
        <w:t>invoked.</w:t>
      </w:r>
      <w:r w:rsidR="00190923" w:rsidRPr="00981405">
        <w:t xml:space="preserve"> </w:t>
      </w:r>
      <w:r w:rsidRPr="00981405">
        <w:t>Part</w:t>
      </w:r>
      <w:r w:rsidR="00190923" w:rsidRPr="00981405">
        <w:t xml:space="preserve"> </w:t>
      </w:r>
      <w:r w:rsidRPr="00981405">
        <w:t>D</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focused</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and</w:t>
      </w:r>
      <w:r w:rsidR="00190923" w:rsidRPr="00981405">
        <w:t xml:space="preserve"> </w:t>
      </w:r>
      <w:r w:rsidRPr="00981405">
        <w:t>resulted</w:t>
      </w:r>
      <w:r w:rsidR="00190923" w:rsidRPr="00981405">
        <w:t xml:space="preserve"> </w:t>
      </w:r>
      <w:r w:rsidRPr="00981405">
        <w:t>in</w:t>
      </w:r>
      <w:r w:rsidR="00190923" w:rsidRPr="00981405">
        <w:t xml:space="preserve"> </w:t>
      </w:r>
      <w:r w:rsidRPr="00981405">
        <w:t>the</w:t>
      </w:r>
      <w:r w:rsidR="00190923" w:rsidRPr="00981405">
        <w:t xml:space="preserve"> </w:t>
      </w:r>
      <w:r w:rsidRPr="00981405">
        <w:t>proposition</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on</w:t>
      </w:r>
      <w:r w:rsidR="00190923" w:rsidRPr="00981405">
        <w:t xml:space="preserve"> </w:t>
      </w:r>
      <w:r w:rsidRPr="00981405">
        <w:t>this</w:t>
      </w:r>
      <w:r w:rsidR="00190923" w:rsidRPr="00981405">
        <w:t xml:space="preserve"> </w:t>
      </w:r>
      <w:r w:rsidRPr="00981405">
        <w:t>issue.</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r w:rsidR="00190923" w:rsidRPr="00981405">
        <w:t xml:space="preserve"> </w:t>
      </w:r>
      <w:r w:rsidRPr="00981405">
        <w:t>concluded</w:t>
      </w:r>
      <w:r w:rsidR="00190923" w:rsidRPr="00981405">
        <w:t xml:space="preserve"> </w:t>
      </w:r>
      <w:r w:rsidRPr="00981405">
        <w:t>with</w:t>
      </w:r>
      <w:r w:rsidR="00190923" w:rsidRPr="00981405">
        <w:t xml:space="preserve"> </w:t>
      </w:r>
      <w:r w:rsidRPr="00981405">
        <w:t>a</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future</w:t>
      </w:r>
      <w:r w:rsidR="00190923" w:rsidRPr="00981405">
        <w:t xml:space="preserve"> </w:t>
      </w:r>
      <w:r w:rsidRPr="00981405">
        <w:t>work</w:t>
      </w:r>
      <w:r w:rsidR="00190923" w:rsidRPr="00981405">
        <w:t xml:space="preserve"> </w:t>
      </w:r>
      <w:r w:rsidRPr="00981405">
        <w:t>plan</w:t>
      </w:r>
      <w:r w:rsidR="00190923" w:rsidRPr="00981405">
        <w:t xml:space="preserve"> </w:t>
      </w:r>
      <w:r w:rsidRPr="00981405">
        <w:t>on</w:t>
      </w:r>
      <w:r w:rsidR="00190923" w:rsidRPr="00981405">
        <w:t xml:space="preserve"> </w:t>
      </w:r>
      <w:r w:rsidRPr="00981405">
        <w:t>this</w:t>
      </w:r>
      <w:r w:rsidR="00190923" w:rsidRPr="00981405">
        <w:t xml:space="preserve"> </w:t>
      </w:r>
      <w:r w:rsidRPr="00981405">
        <w:t>topic,</w:t>
      </w:r>
      <w:r w:rsidR="00190923" w:rsidRPr="00981405">
        <w:t xml:space="preserve"> </w:t>
      </w:r>
      <w:r w:rsidRPr="00981405">
        <w:t>with</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announcing</w:t>
      </w:r>
      <w:r w:rsidR="00190923" w:rsidRPr="00981405">
        <w:t xml:space="preserve"> </w:t>
      </w:r>
      <w:r w:rsidRPr="00981405">
        <w:t>a</w:t>
      </w:r>
      <w:r w:rsidR="00190923" w:rsidRPr="00981405">
        <w:t xml:space="preserve"> </w:t>
      </w:r>
      <w:r w:rsidRPr="00981405">
        <w:t>fifth</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limits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to</w:t>
      </w:r>
      <w:r w:rsidR="00190923" w:rsidRPr="00981405">
        <w:t xml:space="preserve"> </w:t>
      </w:r>
      <w:r w:rsidRPr="00981405">
        <w:t>immunity.</w:t>
      </w:r>
    </w:p>
    <w:p w:rsidR="00397032" w:rsidRPr="00981405" w:rsidRDefault="00397032" w:rsidP="00D97463">
      <w:pPr>
        <w:pStyle w:val="SingleTxt"/>
      </w:pPr>
      <w:r w:rsidRPr="00981405">
        <w:t>184.</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report</w:t>
      </w:r>
      <w:r w:rsidR="00190923" w:rsidRPr="00981405">
        <w:t xml:space="preserve"> </w:t>
      </w:r>
      <w:r w:rsidRPr="00981405">
        <w:t>was</w:t>
      </w:r>
      <w:r w:rsidR="00190923" w:rsidRPr="00981405">
        <w:t xml:space="preserve"> </w:t>
      </w:r>
      <w:r w:rsidRPr="00981405">
        <w:t>patterned</w:t>
      </w:r>
      <w:r w:rsidR="00190923" w:rsidRPr="00981405">
        <w:t xml:space="preserve"> </w:t>
      </w:r>
      <w:r w:rsidRPr="00981405">
        <w:t>on</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in</w:t>
      </w:r>
      <w:r w:rsidR="00190923" w:rsidRPr="00981405">
        <w:t xml:space="preserve"> </w:t>
      </w:r>
      <w:r w:rsidRPr="00981405">
        <w:t>terms</w:t>
      </w:r>
      <w:r w:rsidR="00190923" w:rsidRPr="00981405">
        <w:t xml:space="preserve"> </w:t>
      </w:r>
      <w:r w:rsidRPr="00981405">
        <w:t>of</w:t>
      </w:r>
      <w:r w:rsidR="00190923" w:rsidRPr="00981405">
        <w:t xml:space="preserve"> </w:t>
      </w:r>
      <w:r w:rsidRPr="00981405">
        <w:t>the</w:t>
      </w:r>
      <w:r w:rsidR="00190923" w:rsidRPr="00981405">
        <w:t xml:space="preserve"> </w:t>
      </w:r>
      <w:r w:rsidRPr="00981405">
        <w:t>methodological</w:t>
      </w:r>
      <w:r w:rsidR="00190923" w:rsidRPr="00981405">
        <w:t xml:space="preserve"> </w:t>
      </w:r>
      <w:r w:rsidRPr="00981405">
        <w:t>approach</w:t>
      </w:r>
      <w:r w:rsidR="00190923" w:rsidRPr="00981405">
        <w:t xml:space="preserve"> </w:t>
      </w:r>
      <w:r w:rsidRPr="00981405">
        <w:t>taken,</w:t>
      </w:r>
      <w:r w:rsidR="00190923" w:rsidRPr="00981405">
        <w:t xml:space="preserve"> </w:t>
      </w:r>
      <w:r w:rsidRPr="00981405">
        <w:t>essentially</w:t>
      </w:r>
      <w:r w:rsidR="00190923" w:rsidRPr="00981405">
        <w:t xml:space="preserve"> </w:t>
      </w:r>
      <w:r w:rsidRPr="00981405">
        <w:t>basing</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issues</w:t>
      </w:r>
      <w:r w:rsidR="00190923" w:rsidRPr="00981405">
        <w:t xml:space="preserve"> </w:t>
      </w:r>
      <w:r w:rsidRPr="00981405">
        <w:t>on</w:t>
      </w:r>
      <w:r w:rsidR="00190923" w:rsidRPr="00981405">
        <w:t xml:space="preserve"> </w:t>
      </w:r>
      <w:r w:rsidRPr="00981405">
        <w:t>the</w:t>
      </w:r>
      <w:r w:rsidR="00190923" w:rsidRPr="00981405">
        <w:t xml:space="preserve"> </w:t>
      </w:r>
      <w:r w:rsidRPr="00981405">
        <w:t>judicial</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national)</w:t>
      </w:r>
      <w:r w:rsidR="00190923" w:rsidRPr="00981405">
        <w:t xml:space="preserve"> </w:t>
      </w:r>
      <w:r w:rsidRPr="00981405">
        <w:t>and</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Account</w:t>
      </w:r>
      <w:r w:rsidR="00190923" w:rsidRPr="00981405">
        <w:t xml:space="preserve"> </w:t>
      </w:r>
      <w:r w:rsidRPr="00981405">
        <w:t>was</w:t>
      </w:r>
      <w:r w:rsidR="00190923" w:rsidRPr="00981405">
        <w:t xml:space="preserve"> </w:t>
      </w:r>
      <w:r w:rsidRPr="00981405">
        <w:t>also</w:t>
      </w:r>
      <w:r w:rsidR="00190923" w:rsidRPr="00981405">
        <w:t xml:space="preserve"> </w:t>
      </w:r>
      <w:r w:rsidRPr="00981405">
        <w:t>taken</w:t>
      </w:r>
      <w:r w:rsidR="00190923" w:rsidRPr="00981405">
        <w:t xml:space="preserve"> </w:t>
      </w:r>
      <w:r w:rsidRPr="00981405">
        <w:t>of</w:t>
      </w:r>
      <w:r w:rsidR="00190923" w:rsidRPr="00981405">
        <w:t xml:space="preserve"> </w:t>
      </w:r>
      <w:r w:rsidRPr="00981405">
        <w:t>comments</w:t>
      </w:r>
      <w:r w:rsidR="00190923" w:rsidRPr="00981405">
        <w:t xml:space="preserve"> </w:t>
      </w:r>
      <w:r w:rsidRPr="00981405">
        <w:t>received</w:t>
      </w:r>
      <w:r w:rsidR="00190923" w:rsidRPr="00981405">
        <w:t xml:space="preserve"> </w:t>
      </w:r>
      <w:r w:rsidRPr="00981405">
        <w:t>from</w:t>
      </w:r>
      <w:r w:rsidR="00190923" w:rsidRPr="00981405">
        <w:t xml:space="preserve"> </w:t>
      </w:r>
      <w:r w:rsidRPr="00981405">
        <w:t>Governments</w:t>
      </w:r>
      <w:r w:rsidR="00190923" w:rsidRPr="00981405">
        <w:t xml:space="preserve"> </w:t>
      </w:r>
      <w:r w:rsidRPr="00981405">
        <w:t>in</w:t>
      </w:r>
      <w:r w:rsidR="00190923" w:rsidRPr="00981405">
        <w:t xml:space="preserve"> </w:t>
      </w:r>
      <w:r w:rsidRPr="00981405">
        <w:t>2014</w:t>
      </w:r>
      <w:r w:rsidR="00190923" w:rsidRPr="00981405">
        <w:t xml:space="preserve"> </w:t>
      </w:r>
      <w:r w:rsidRPr="00981405">
        <w:t>and</w:t>
      </w:r>
      <w:r w:rsidR="00190923" w:rsidRPr="00981405">
        <w:t xml:space="preserve"> </w:t>
      </w:r>
      <w:r w:rsidRPr="00981405">
        <w:t>2015,</w:t>
      </w:r>
      <w:r w:rsidR="00190923" w:rsidRPr="00981405">
        <w:t xml:space="preserve"> </w:t>
      </w:r>
      <w:r w:rsidRPr="00981405">
        <w:t>which</w:t>
      </w:r>
      <w:r w:rsidR="00190923" w:rsidRPr="00981405">
        <w:t xml:space="preserve"> </w:t>
      </w:r>
      <w:r w:rsidRPr="00981405">
        <w:t>were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as</w:t>
      </w:r>
      <w:r w:rsidR="00190923" w:rsidRPr="00981405">
        <w:t xml:space="preserve"> </w:t>
      </w:r>
      <w:r w:rsidRPr="00981405">
        <w:t>appropriate</w:t>
      </w:r>
      <w:r w:rsidR="00190923" w:rsidRPr="00981405">
        <w:t xml:space="preserve"> </w:t>
      </w:r>
      <w:r w:rsidRPr="00981405">
        <w:t>as</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of</w:t>
      </w:r>
      <w:r w:rsidR="00190923" w:rsidRPr="00981405">
        <w:t xml:space="preserve"> </w:t>
      </w:r>
      <w:r w:rsidRPr="00981405">
        <w:t>submission,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observations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oral</w:t>
      </w:r>
      <w:r w:rsidR="00190923" w:rsidRPr="00981405">
        <w:t xml:space="preserve"> </w:t>
      </w:r>
      <w:r w:rsidRPr="00981405">
        <w:t>statements</w:t>
      </w:r>
      <w:r w:rsidR="00190923" w:rsidRPr="00981405">
        <w:t xml:space="preserve"> </w:t>
      </w:r>
      <w:r w:rsidRPr="00981405">
        <w:t>made</w:t>
      </w:r>
      <w:r w:rsidR="00190923" w:rsidRPr="00981405">
        <w:t xml:space="preserve"> </w:t>
      </w:r>
      <w:r w:rsidRPr="00981405">
        <w:t>by</w:t>
      </w:r>
      <w:r w:rsidR="00190923" w:rsidRPr="00981405">
        <w:t xml:space="preserve"> </w:t>
      </w:r>
      <w:r w:rsidRPr="00981405">
        <w:t>delegates</w:t>
      </w:r>
      <w:r w:rsidR="00190923" w:rsidRPr="00981405">
        <w:t xml:space="preserve"> </w:t>
      </w:r>
      <w:r w:rsidRPr="00981405">
        <w:t>in</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drew</w:t>
      </w:r>
      <w:r w:rsidR="00190923" w:rsidRPr="00981405">
        <w:t xml:space="preserve"> </w:t>
      </w:r>
      <w:r w:rsidRPr="00981405">
        <w:t>the</w:t>
      </w:r>
      <w:r w:rsidR="00190923" w:rsidRPr="00981405">
        <w:t xml:space="preserve"> </w:t>
      </w:r>
      <w:r w:rsidRPr="00981405">
        <w:t>attention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the</w:t>
      </w:r>
      <w:r w:rsidR="00190923" w:rsidRPr="00981405">
        <w:t xml:space="preserve"> </w:t>
      </w:r>
      <w:r w:rsidRPr="00981405">
        <w:t>statements</w:t>
      </w:r>
      <w:r w:rsidR="00190923" w:rsidRPr="00981405">
        <w:t xml:space="preserve"> </w:t>
      </w:r>
      <w:r w:rsidRPr="00981405">
        <w:t>made</w:t>
      </w:r>
      <w:r w:rsidR="00190923" w:rsidRPr="00981405">
        <w:t xml:space="preserve"> </w:t>
      </w:r>
      <w:r w:rsidRPr="00981405">
        <w:t>by</w:t>
      </w:r>
      <w:r w:rsidR="00190923" w:rsidRPr="00981405">
        <w:t xml:space="preserve"> </w:t>
      </w:r>
      <w:r w:rsidRPr="00981405">
        <w:t>the</w:t>
      </w:r>
      <w:r w:rsidR="00190923" w:rsidRPr="00981405">
        <w:t xml:space="preserve"> </w:t>
      </w:r>
      <w:r w:rsidRPr="00981405">
        <w:t>Netherlands</w:t>
      </w:r>
      <w:r w:rsidR="00190923" w:rsidRPr="00981405">
        <w:t xml:space="preserve"> </w:t>
      </w:r>
      <w:r w:rsidRPr="00981405">
        <w:t>and</w:t>
      </w:r>
      <w:r w:rsidR="00190923" w:rsidRPr="00981405">
        <w:t xml:space="preserve"> </w:t>
      </w:r>
      <w:r w:rsidRPr="00981405">
        <w:t>Poland,</w:t>
      </w:r>
      <w:r w:rsidR="00190923" w:rsidRPr="00981405">
        <w:t xml:space="preserve"> </w:t>
      </w:r>
      <w:r w:rsidRPr="00981405">
        <w:t>which</w:t>
      </w:r>
      <w:r w:rsidR="00190923" w:rsidRPr="00981405">
        <w:t xml:space="preserve"> </w:t>
      </w:r>
      <w:r w:rsidRPr="00981405">
        <w:t>were</w:t>
      </w:r>
      <w:r w:rsidR="00190923" w:rsidRPr="00981405">
        <w:t xml:space="preserve"> </w:t>
      </w:r>
      <w:r w:rsidRPr="00981405">
        <w:t>received</w:t>
      </w:r>
      <w:r w:rsidR="00190923" w:rsidRPr="00981405">
        <w:t xml:space="preserve"> </w:t>
      </w:r>
      <w:r w:rsidRPr="00981405">
        <w:t>after</w:t>
      </w:r>
      <w:r w:rsidR="00190923" w:rsidRPr="00981405">
        <w:t xml:space="preserve"> </w:t>
      </w:r>
      <w:r w:rsidRPr="00981405">
        <w:t>the</w:t>
      </w:r>
      <w:r w:rsidR="00190923" w:rsidRPr="00981405">
        <w:t xml:space="preserve"> </w:t>
      </w:r>
      <w:r w:rsidRPr="00981405">
        <w:t>completion</w:t>
      </w:r>
      <w:r w:rsidR="00190923" w:rsidRPr="00981405">
        <w:t xml:space="preserve"> </w:t>
      </w:r>
      <w:r w:rsidRPr="00981405">
        <w:t>of</w:t>
      </w:r>
      <w:r w:rsidR="00190923" w:rsidRPr="00981405">
        <w:t xml:space="preserve"> </w:t>
      </w:r>
      <w:r w:rsidRPr="00981405">
        <w:t>the</w:t>
      </w:r>
      <w:r w:rsidR="00190923" w:rsidRPr="00981405">
        <w:t xml:space="preserve"> </w:t>
      </w:r>
      <w:r w:rsidRPr="00981405">
        <w:t>fourth</w:t>
      </w:r>
      <w:r w:rsidR="00190923" w:rsidRPr="00981405">
        <w:t xml:space="preserve"> </w:t>
      </w:r>
      <w:r w:rsidRPr="00981405">
        <w:t>report.</w:t>
      </w:r>
    </w:p>
    <w:p w:rsidR="00397032" w:rsidRPr="00981405" w:rsidRDefault="00397032" w:rsidP="00D97463">
      <w:pPr>
        <w:pStyle w:val="SingleTxt"/>
      </w:pPr>
      <w:r w:rsidRPr="00981405">
        <w:t>185.</w:t>
      </w:r>
      <w:r w:rsidRPr="00981405">
        <w:tab/>
        <w:t>The</w:t>
      </w:r>
      <w:r w:rsidR="00190923" w:rsidRPr="00981405">
        <w:t xml:space="preserve"> </w:t>
      </w:r>
      <w:r w:rsidRPr="00981405">
        <w:t>report</w:t>
      </w:r>
      <w:r w:rsidR="00190923" w:rsidRPr="00981405">
        <w:t xml:space="preserve"> </w:t>
      </w:r>
      <w:r w:rsidRPr="00981405">
        <w:t>centred</w:t>
      </w:r>
      <w:r w:rsidR="00190923" w:rsidRPr="00981405">
        <w:t xml:space="preserve"> </w:t>
      </w:r>
      <w:r w:rsidRPr="00981405">
        <w:t>on</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temporal</w:t>
      </w:r>
      <w:r w:rsidR="00190923" w:rsidRPr="00981405">
        <w:t xml:space="preserve"> </w:t>
      </w:r>
      <w:r w:rsidRPr="00981405">
        <w:t>element</w:t>
      </w:r>
      <w:r w:rsidR="00190923" w:rsidRPr="00981405">
        <w:t xml:space="preserve"> </w:t>
      </w:r>
      <w:r w:rsidRPr="00981405">
        <w:t>was</w:t>
      </w:r>
      <w:r w:rsidR="00190923" w:rsidRPr="00981405">
        <w:t xml:space="preserve"> </w:t>
      </w:r>
      <w:r w:rsidRPr="00981405">
        <w:t>brief</w:t>
      </w:r>
      <w:r w:rsidR="00190923" w:rsidRPr="00981405">
        <w:t xml:space="preserve"> </w:t>
      </w:r>
      <w:r w:rsidRPr="00981405">
        <w:t>because</w:t>
      </w:r>
      <w:r w:rsidR="00190923" w:rsidRPr="00981405">
        <w:t xml:space="preserve"> </w:t>
      </w:r>
      <w:r w:rsidRPr="00981405">
        <w:t>the</w:t>
      </w:r>
      <w:r w:rsidR="00190923" w:rsidRPr="00981405">
        <w:t xml:space="preserve"> </w:t>
      </w:r>
      <w:r w:rsidRPr="00981405">
        <w:t>matter</w:t>
      </w:r>
      <w:r w:rsidR="00190923" w:rsidRPr="00981405">
        <w:t xml:space="preserve"> </w:t>
      </w:r>
      <w:r w:rsidRPr="00981405">
        <w:t>was</w:t>
      </w:r>
      <w:r w:rsidR="00190923" w:rsidRPr="00981405">
        <w:t xml:space="preserve"> </w:t>
      </w:r>
      <w:r w:rsidRPr="00981405">
        <w:t>mostly</w:t>
      </w:r>
      <w:r w:rsidR="00190923" w:rsidRPr="00981405">
        <w:t xml:space="preserve"> </w:t>
      </w:r>
      <w:r w:rsidRPr="00981405">
        <w:t>uncontroversial</w:t>
      </w:r>
      <w:r w:rsidR="00190923" w:rsidRPr="00981405">
        <w:t xml:space="preserve"> </w:t>
      </w:r>
      <w:r w:rsidRPr="00981405">
        <w:t>in</w:t>
      </w:r>
      <w:r w:rsidR="00190923" w:rsidRPr="00981405">
        <w:t xml:space="preserve"> </w:t>
      </w:r>
      <w:r w:rsidRPr="00981405">
        <w:t>nature;</w:t>
      </w:r>
      <w:r w:rsidR="00190923" w:rsidRPr="00981405">
        <w:t xml:space="preserve"> </w:t>
      </w:r>
      <w:r w:rsidRPr="00981405">
        <w:t>there</w:t>
      </w:r>
      <w:r w:rsidR="00190923" w:rsidRPr="00981405">
        <w:t xml:space="preserve"> </w:t>
      </w:r>
      <w:r w:rsidRPr="00981405">
        <w:t>was</w:t>
      </w:r>
      <w:r w:rsidR="00190923" w:rsidRPr="00981405">
        <w:t xml:space="preserve"> </w:t>
      </w:r>
      <w:r w:rsidRPr="00981405">
        <w:t>broad</w:t>
      </w:r>
      <w:r w:rsidR="00190923" w:rsidRPr="00981405">
        <w:t xml:space="preserve"> </w:t>
      </w:r>
      <w:r w:rsidRPr="00981405">
        <w:t>consensus</w:t>
      </w:r>
      <w:r w:rsidR="00190923" w:rsidRPr="00981405">
        <w:t xml:space="preserve"> </w:t>
      </w:r>
      <w:r w:rsidRPr="00981405">
        <w:t>in</w:t>
      </w:r>
      <w:r w:rsidR="00190923" w:rsidRPr="00981405">
        <w:t xml:space="preserve"> </w:t>
      </w:r>
      <w:r w:rsidRPr="00981405">
        <w:t>the</w:t>
      </w:r>
      <w:r w:rsidR="00190923" w:rsidRPr="00981405">
        <w:t xml:space="preserve"> </w:t>
      </w:r>
      <w:r w:rsidRPr="00981405">
        <w:t>practice</w:t>
      </w:r>
      <w:r w:rsidR="00190923" w:rsidRPr="00981405">
        <w:t xml:space="preserve"> </w:t>
      </w:r>
      <w:r w:rsidRPr="00981405">
        <w:t>and</w:t>
      </w:r>
      <w:r w:rsidR="00190923" w:rsidRPr="00981405">
        <w:t xml:space="preserve"> </w:t>
      </w:r>
      <w:r w:rsidRPr="00981405">
        <w:t>doctrine</w:t>
      </w:r>
      <w:r w:rsidR="00190923" w:rsidRPr="00981405">
        <w:t xml:space="preserve"> </w:t>
      </w:r>
      <w:r w:rsidRPr="00981405">
        <w:t>on</w:t>
      </w:r>
      <w:r w:rsidR="00190923" w:rsidRPr="00981405">
        <w:t xml:space="preserve"> </w:t>
      </w:r>
      <w:r w:rsidRPr="00981405">
        <w:t>the</w:t>
      </w:r>
      <w:r w:rsidR="00190923" w:rsidRPr="00981405">
        <w:t xml:space="preserve"> </w:t>
      </w:r>
      <w:r w:rsidR="00B92E2C" w:rsidRPr="00981405">
        <w:t>“</w:t>
      </w:r>
      <w:r w:rsidRPr="00981405">
        <w:t>indefinite</w:t>
      </w:r>
      <w:r w:rsidR="00B92E2C" w:rsidRPr="00981405">
        <w:t>”</w:t>
      </w:r>
      <w:r w:rsidR="00190923" w:rsidRPr="00981405">
        <w:t xml:space="preserve"> </w:t>
      </w:r>
      <w:r w:rsidRPr="00981405">
        <w:t>or</w:t>
      </w:r>
      <w:r w:rsidR="00190923" w:rsidRPr="00981405">
        <w:t xml:space="preserve"> </w:t>
      </w:r>
      <w:r w:rsidR="00B92E2C" w:rsidRPr="00981405">
        <w:t>“</w:t>
      </w:r>
      <w:r w:rsidRPr="00981405">
        <w:t>permanent</w:t>
      </w:r>
      <w:r w:rsidR="00B92E2C" w:rsidRPr="00981405">
        <w:t>”</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She</w:t>
      </w:r>
      <w:r w:rsidR="00190923" w:rsidRPr="00981405">
        <w:t xml:space="preserve"> </w:t>
      </w:r>
      <w:r w:rsidRPr="00981405">
        <w:t>nevertheless</w:t>
      </w:r>
      <w:r w:rsidR="00190923" w:rsidRPr="00981405">
        <w:t xml:space="preserve"> </w:t>
      </w:r>
      <w:r w:rsidRPr="00981405">
        <w:t>pointed</w:t>
      </w:r>
      <w:r w:rsidR="00190923" w:rsidRPr="00981405">
        <w:t xml:space="preserve"> </w:t>
      </w:r>
      <w:r w:rsidRPr="00981405">
        <w:t>to</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analyse</w:t>
      </w:r>
      <w:r w:rsidR="00190923" w:rsidRPr="00981405">
        <w:t xml:space="preserve"> </w:t>
      </w:r>
      <w:r w:rsidRPr="00981405">
        <w:t>what</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that</w:t>
      </w:r>
      <w:r w:rsidR="00190923" w:rsidRPr="00981405">
        <w:t xml:space="preserve"> </w:t>
      </w:r>
      <w:r w:rsidRPr="00981405">
        <w:t>element</w:t>
      </w:r>
      <w:r w:rsidR="00190923" w:rsidRPr="00981405">
        <w:t xml:space="preserve"> </w:t>
      </w:r>
      <w:r w:rsidRPr="00981405">
        <w:t>(limit</w:t>
      </w:r>
      <w:r w:rsidR="00190923" w:rsidRPr="00981405">
        <w:t xml:space="preserve"> </w:t>
      </w:r>
      <w:r w:rsidRPr="00981405">
        <w:t>or</w:t>
      </w:r>
      <w:r w:rsidR="00190923" w:rsidRPr="00981405">
        <w:t xml:space="preserve"> </w:t>
      </w:r>
      <w:r w:rsidRPr="00981405">
        <w:t>condition)</w:t>
      </w:r>
      <w:r w:rsidR="00190923" w:rsidRPr="00981405">
        <w:t xml:space="preserve"> </w:t>
      </w:r>
      <w:r w:rsidRPr="00981405">
        <w:t>was,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critical</w:t>
      </w:r>
      <w:r w:rsidR="00190923" w:rsidRPr="00981405">
        <w:t xml:space="preserve"> </w:t>
      </w:r>
      <w:r w:rsidRPr="00981405">
        <w:t>dates</w:t>
      </w:r>
      <w:r w:rsidR="00190923" w:rsidRPr="00981405">
        <w:t xml:space="preserve"> </w:t>
      </w:r>
      <w:r w:rsidRPr="00981405">
        <w:t>which</w:t>
      </w:r>
      <w:r w:rsidR="00190923" w:rsidRPr="00981405">
        <w:t xml:space="preserve"> </w:t>
      </w:r>
      <w:r w:rsidRPr="00981405">
        <w:t>were</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determining</w:t>
      </w:r>
      <w:r w:rsidR="00190923" w:rsidRPr="00981405">
        <w:t xml:space="preserve"> </w:t>
      </w:r>
      <w:r w:rsidRPr="00981405">
        <w:t>if</w:t>
      </w:r>
      <w:r w:rsidR="00190923" w:rsidRPr="00981405">
        <w:t xml:space="preserve"> </w:t>
      </w:r>
      <w:r w:rsidRPr="00981405">
        <w:t>the</w:t>
      </w:r>
      <w:r w:rsidR="00190923" w:rsidRPr="00981405">
        <w:t xml:space="preserve"> </w:t>
      </w:r>
      <w:r w:rsidRPr="00981405">
        <w:t>temporal</w:t>
      </w:r>
      <w:r w:rsidR="00190923" w:rsidRPr="00981405">
        <w:t xml:space="preserve"> </w:t>
      </w:r>
      <w:r w:rsidRPr="00981405">
        <w:t>element</w:t>
      </w:r>
      <w:r w:rsidR="00190923" w:rsidRPr="00981405">
        <w:t xml:space="preserve"> </w:t>
      </w:r>
      <w:r w:rsidRPr="00981405">
        <w:t>was</w:t>
      </w:r>
      <w:r w:rsidR="00190923" w:rsidRPr="00981405">
        <w:t xml:space="preserve"> </w:t>
      </w:r>
      <w:r w:rsidRPr="00981405">
        <w:t>met;</w:t>
      </w:r>
      <w:r w:rsidR="00190923" w:rsidRPr="00981405">
        <w:t xml:space="preserve"> </w:t>
      </w:r>
      <w:r w:rsidRPr="00981405">
        <w:t>whether</w:t>
      </w:r>
      <w:r w:rsidR="00190923" w:rsidRPr="00981405">
        <w:t xml:space="preserve"> </w:t>
      </w:r>
      <w:r w:rsidRPr="00981405">
        <w:t>it</w:t>
      </w:r>
      <w:r w:rsidR="00190923" w:rsidRPr="00981405">
        <w:t xml:space="preserve"> </w:t>
      </w:r>
      <w:r w:rsidRPr="00981405">
        <w:t>was</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of</w:t>
      </w:r>
      <w:r w:rsidR="00190923" w:rsidRPr="00981405">
        <w:t xml:space="preserve"> </w:t>
      </w:r>
      <w:r w:rsidRPr="00981405">
        <w:t>commission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or</w:t>
      </w:r>
      <w:r w:rsidR="00190923" w:rsidRPr="00981405">
        <w:t xml:space="preserve"> </w:t>
      </w:r>
      <w:r w:rsidRPr="00981405">
        <w:t>when</w:t>
      </w:r>
      <w:r w:rsidR="00190923" w:rsidRPr="00981405">
        <w:t xml:space="preserve"> </w:t>
      </w:r>
      <w:r w:rsidRPr="00981405">
        <w:t>the</w:t>
      </w:r>
      <w:r w:rsidR="00190923" w:rsidRPr="00981405">
        <w:t xml:space="preserve"> </w:t>
      </w:r>
      <w:r w:rsidRPr="00981405">
        <w:t>claim</w:t>
      </w:r>
      <w:r w:rsidR="00190923" w:rsidRPr="00981405">
        <w:t xml:space="preserve"> </w:t>
      </w:r>
      <w:r w:rsidRPr="00981405">
        <w:t>of</w:t>
      </w:r>
      <w:r w:rsidR="00190923" w:rsidRPr="00981405">
        <w:t xml:space="preserve"> </w:t>
      </w:r>
      <w:r w:rsidRPr="00981405">
        <w:t>immunity</w:t>
      </w:r>
      <w:r w:rsidR="00190923" w:rsidRPr="00981405">
        <w:t xml:space="preserve"> </w:t>
      </w:r>
      <w:r w:rsidRPr="00981405">
        <w:t>was</w:t>
      </w:r>
      <w:r w:rsidR="00190923" w:rsidRPr="00981405">
        <w:t xml:space="preserve"> </w:t>
      </w:r>
      <w:r w:rsidRPr="00981405">
        <w:t>made.</w:t>
      </w:r>
      <w:r w:rsidR="00190923" w:rsidRPr="00981405">
        <w:t xml:space="preserve"> </w:t>
      </w:r>
      <w:r w:rsidRPr="00981405">
        <w:t>She</w:t>
      </w:r>
      <w:r w:rsidR="00190923" w:rsidRPr="00981405">
        <w:t xml:space="preserve"> </w:t>
      </w:r>
      <w:r w:rsidRPr="00981405">
        <w:t>also</w:t>
      </w:r>
      <w:r w:rsidR="00190923" w:rsidRPr="00981405">
        <w:t xml:space="preserve"> </w:t>
      </w:r>
      <w:r w:rsidRPr="00981405">
        <w:t>drew</w:t>
      </w:r>
      <w:r w:rsidR="00190923" w:rsidRPr="00981405">
        <w:t xml:space="preserve"> </w:t>
      </w:r>
      <w:r w:rsidRPr="00981405">
        <w:t>attention</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w:t>
      </w:r>
      <w:r w:rsidR="00190923" w:rsidRPr="00981405">
        <w:t xml:space="preserve"> </w:t>
      </w:r>
      <w:r w:rsidRPr="00981405">
        <w:t>proposed.</w:t>
      </w:r>
    </w:p>
    <w:p w:rsidR="00397032" w:rsidRPr="00981405" w:rsidRDefault="00397032" w:rsidP="00D97463">
      <w:pPr>
        <w:pStyle w:val="SingleTxt"/>
      </w:pPr>
      <w:r w:rsidRPr="00981405">
        <w:lastRenderedPageBreak/>
        <w:t>186.</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highlighted</w:t>
      </w:r>
      <w:r w:rsidR="00190923" w:rsidRPr="00981405">
        <w:t xml:space="preserve"> </w:t>
      </w:r>
      <w:r w:rsidRPr="00981405">
        <w:t>that</w:t>
      </w:r>
      <w:r w:rsidR="00190923" w:rsidRPr="00981405">
        <w:t xml:space="preserve"> </w:t>
      </w:r>
      <w:r w:rsidRPr="00981405">
        <w:t>the</w:t>
      </w:r>
      <w:r w:rsidR="00190923" w:rsidRPr="00981405">
        <w:t xml:space="preserve"> </w:t>
      </w:r>
      <w:r w:rsidRPr="00981405">
        <w:t>core</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was</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material</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It</w:t>
      </w:r>
      <w:r w:rsidR="00190923" w:rsidRPr="00981405">
        <w:t xml:space="preserve"> </w:t>
      </w:r>
      <w:r w:rsidRPr="00981405">
        <w:t>therefore</w:t>
      </w:r>
      <w:r w:rsidR="00190923" w:rsidRPr="00981405">
        <w:t xml:space="preserve"> </w:t>
      </w:r>
      <w:r w:rsidRPr="00981405">
        <w:t>constituted</w:t>
      </w:r>
      <w:r w:rsidR="00190923" w:rsidRPr="00981405">
        <w:t xml:space="preserve"> </w:t>
      </w:r>
      <w:r w:rsidRPr="00981405">
        <w:t>a</w:t>
      </w:r>
      <w:r w:rsidR="00190923" w:rsidRPr="00981405">
        <w:t xml:space="preserve"> </w:t>
      </w:r>
      <w:r w:rsidRPr="00981405">
        <w:t>study</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which</w:t>
      </w:r>
      <w:r w:rsidR="00190923" w:rsidRPr="00981405">
        <w:t xml:space="preserve"> </w:t>
      </w:r>
      <w:r w:rsidRPr="00981405">
        <w:t>in</w:t>
      </w:r>
      <w:r w:rsidR="00190923" w:rsidRPr="00981405">
        <w:t xml:space="preserve"> </w:t>
      </w:r>
      <w:r w:rsidRPr="00981405">
        <w:t>turn</w:t>
      </w:r>
      <w:r w:rsidR="00190923" w:rsidRPr="00981405">
        <w:t xml:space="preserve"> </w:t>
      </w:r>
      <w:r w:rsidRPr="00981405">
        <w:t>addressed</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B92E2C" w:rsidRPr="00981405">
        <w:t>”</w:t>
      </w:r>
      <w:r w:rsidRPr="00981405">
        <w:t>,</w:t>
      </w:r>
      <w:r w:rsidR="00190923" w:rsidRPr="00981405">
        <w:t xml:space="preserve"> </w:t>
      </w:r>
      <w:r w:rsidRPr="00981405">
        <w:t>offered</w:t>
      </w:r>
      <w:r w:rsidR="00190923" w:rsidRPr="00981405">
        <w:t xml:space="preserve"> </w:t>
      </w:r>
      <w:r w:rsidRPr="00981405">
        <w:t>the</w:t>
      </w:r>
      <w:r w:rsidR="00190923" w:rsidRPr="00981405">
        <w:t xml:space="preserve"> </w:t>
      </w:r>
      <w:r w:rsidRPr="00981405">
        <w:t>identifying</w:t>
      </w:r>
      <w:r w:rsidR="00190923" w:rsidRPr="00981405">
        <w:t xml:space="preserve"> </w:t>
      </w:r>
      <w:r w:rsidRPr="00981405">
        <w:t>criteria</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committed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Pr="00981405">
        <w:t>characteristics</w:t>
      </w:r>
      <w:r w:rsidR="00190923" w:rsidRPr="00981405">
        <w:t xml:space="preserve"> </w:t>
      </w:r>
      <w:r w:rsidRPr="00981405">
        <w:t>thereof,</w:t>
      </w:r>
      <w:r w:rsidR="00190923" w:rsidRPr="00981405">
        <w:t xml:space="preserve"> </w:t>
      </w:r>
      <w:r w:rsidRPr="00981405">
        <w:t>concluding</w:t>
      </w:r>
      <w:r w:rsidR="00190923" w:rsidRPr="00981405">
        <w:t xml:space="preserve"> </w:t>
      </w:r>
      <w:r w:rsidRPr="00981405">
        <w:t>with</w:t>
      </w:r>
      <w:r w:rsidR="00190923" w:rsidRPr="00981405">
        <w:t xml:space="preserve"> </w:t>
      </w:r>
      <w:r w:rsidRPr="00981405">
        <w:t>a</w:t>
      </w:r>
      <w:r w:rsidR="00190923" w:rsidRPr="00981405">
        <w:t xml:space="preserve"> </w:t>
      </w:r>
      <w:r w:rsidRPr="00981405">
        <w:t>draft</w:t>
      </w:r>
      <w:r w:rsidR="00190923" w:rsidRPr="00981405">
        <w:t xml:space="preserve"> </w:t>
      </w:r>
      <w:r w:rsidRPr="00981405">
        <w:t>article</w:t>
      </w:r>
      <w:r w:rsidR="00190923" w:rsidRPr="00981405">
        <w:t xml:space="preserve"> </w:t>
      </w:r>
      <w:r w:rsidRPr="00981405">
        <w:t>on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this</w:t>
      </w:r>
      <w:r w:rsidR="00190923" w:rsidRPr="00981405">
        <w:t xml:space="preserve"> </w:t>
      </w:r>
      <w:r w:rsidRPr="00981405">
        <w:t>category</w:t>
      </w:r>
      <w:r w:rsidR="00190923" w:rsidRPr="00981405">
        <w:t xml:space="preserve"> </w:t>
      </w:r>
      <w:r w:rsidRPr="00981405">
        <w:t>of</w:t>
      </w:r>
      <w:r w:rsidR="00190923" w:rsidRPr="00981405">
        <w:t xml:space="preserve"> </w:t>
      </w:r>
      <w:r w:rsidRPr="00981405">
        <w:t>acts.</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paragraph</w:t>
      </w:r>
      <w:r w:rsidR="00190923" w:rsidRPr="00981405">
        <w:t xml:space="preserve"> </w:t>
      </w:r>
      <w:r w:rsidRPr="00981405">
        <w:t>2,</w:t>
      </w:r>
      <w:r w:rsidR="00190923" w:rsidRPr="00981405">
        <w:t xml:space="preserve"> </w:t>
      </w:r>
      <w:r w:rsidRPr="00981405">
        <w:t>for</w:t>
      </w:r>
      <w:r w:rsidR="00190923" w:rsidRPr="00981405">
        <w:t xml:space="preserve"> </w:t>
      </w:r>
      <w:r w:rsidRPr="00981405">
        <w:t>its</w:t>
      </w:r>
      <w:r w:rsidR="00190923" w:rsidRPr="00981405">
        <w:t xml:space="preserve"> </w:t>
      </w:r>
      <w:r w:rsidRPr="00981405">
        <w:t>part,</w:t>
      </w:r>
      <w:r w:rsidR="00190923" w:rsidRPr="00981405">
        <w:t xml:space="preserve"> </w:t>
      </w:r>
      <w:r w:rsidRPr="00981405">
        <w:t>referred</w:t>
      </w:r>
      <w:r w:rsidR="00190923" w:rsidRPr="00981405">
        <w:t xml:space="preserve"> </w:t>
      </w:r>
      <w:r w:rsidRPr="00981405">
        <w:t>to</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as</w:t>
      </w:r>
      <w:r w:rsidR="00190923" w:rsidRPr="00981405">
        <w:t xml:space="preserve"> </w:t>
      </w:r>
      <w:r w:rsidRPr="00981405">
        <w:t>the</w:t>
      </w:r>
      <w:r w:rsidR="00190923" w:rsidRPr="00981405">
        <w:t xml:space="preserve"> </w:t>
      </w:r>
      <w:r w:rsidRPr="00981405">
        <w:t>only</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by</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that</w:t>
      </w:r>
      <w:r w:rsidR="00190923" w:rsidRPr="00981405">
        <w:t xml:space="preserve"> </w:t>
      </w:r>
      <w:r w:rsidRPr="00981405">
        <w:t>are</w:t>
      </w:r>
      <w:r w:rsidR="00190923" w:rsidRPr="00981405">
        <w:t xml:space="preserve"> </w:t>
      </w:r>
      <w:r w:rsidRPr="00981405">
        <w:t>covered</w:t>
      </w:r>
      <w:r w:rsidR="00190923" w:rsidRPr="00981405">
        <w:t xml:space="preserve"> </w:t>
      </w:r>
      <w:r w:rsidRPr="00981405">
        <w:t>by</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p>
    <w:p w:rsidR="00397032" w:rsidRPr="00981405" w:rsidRDefault="00397032" w:rsidP="00D97463">
      <w:pPr>
        <w:pStyle w:val="SingleTxt"/>
      </w:pPr>
      <w:r w:rsidRPr="00981405">
        <w:t>187.</w:t>
      </w:r>
      <w:r w:rsidRPr="00981405">
        <w:tab/>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which</w:t>
      </w:r>
      <w:r w:rsidR="00190923" w:rsidRPr="00981405">
        <w:t xml:space="preserve"> </w:t>
      </w:r>
      <w:r w:rsidRPr="00981405">
        <w:t>is</w:t>
      </w:r>
      <w:r w:rsidR="00190923" w:rsidRPr="00981405">
        <w:t xml:space="preserve"> </w:t>
      </w:r>
      <w:r w:rsidRPr="00981405">
        <w:t>a</w:t>
      </w:r>
      <w:r w:rsidR="00190923" w:rsidRPr="00981405">
        <w:t xml:space="preserve"> </w:t>
      </w:r>
      <w:r w:rsidRPr="00981405">
        <w:t>central</w:t>
      </w:r>
      <w:r w:rsidR="00190923" w:rsidRPr="00981405">
        <w:t xml:space="preserve"> </w:t>
      </w:r>
      <w:r w:rsidRPr="00981405">
        <w:t>issue</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has</w:t>
      </w:r>
      <w:r w:rsidR="00190923" w:rsidRPr="00981405">
        <w:t xml:space="preserve"> </w:t>
      </w:r>
      <w:r w:rsidRPr="00981405">
        <w:t>special</w:t>
      </w:r>
      <w:r w:rsidR="00190923" w:rsidRPr="00981405">
        <w:t xml:space="preserve"> </w:t>
      </w:r>
      <w:r w:rsidRPr="00981405">
        <w:t>significance</w:t>
      </w:r>
      <w:r w:rsidR="00190923" w:rsidRPr="00981405">
        <w:t xml:space="preserve"> </w:t>
      </w:r>
      <w:r w:rsidRPr="00981405">
        <w:t>to</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only</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by</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in</w:t>
      </w:r>
      <w:r w:rsidR="00190923" w:rsidRPr="00981405">
        <w:t xml:space="preserve"> </w:t>
      </w:r>
      <w:r w:rsidRPr="00981405">
        <w:t>their</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were</w:t>
      </w:r>
      <w:r w:rsidR="00190923" w:rsidRPr="00981405">
        <w:t xml:space="preserve"> </w:t>
      </w:r>
      <w:r w:rsidRPr="00981405">
        <w:t>under</w:t>
      </w:r>
      <w:r w:rsidR="00190923" w:rsidRPr="00981405">
        <w:t xml:space="preserve"> </w:t>
      </w:r>
      <w:r w:rsidRPr="00981405">
        <w:t>the</w:t>
      </w:r>
      <w:r w:rsidR="00190923" w:rsidRPr="00981405">
        <w:t xml:space="preserve"> </w:t>
      </w:r>
      <w:r w:rsidRPr="00981405">
        <w:t>cover</w:t>
      </w:r>
      <w:r w:rsidR="00190923" w:rsidRPr="00981405">
        <w:t xml:space="preserve"> </w:t>
      </w:r>
      <w:r w:rsidRPr="00981405">
        <w:t>of</w:t>
      </w:r>
      <w:r w:rsidR="00190923" w:rsidRPr="00981405">
        <w:t xml:space="preserve"> </w:t>
      </w:r>
      <w:r w:rsidRPr="00981405">
        <w:t>immunity</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It</w:t>
      </w:r>
      <w:r w:rsidR="00190923" w:rsidRPr="00981405">
        <w:t xml:space="preserve"> </w:t>
      </w:r>
      <w:r w:rsidRPr="00981405">
        <w:t>was</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terms</w:t>
      </w:r>
      <w:r w:rsidR="00190923" w:rsidRPr="00981405">
        <w:t xml:space="preserve"> </w:t>
      </w:r>
      <w:r w:rsidRPr="00981405">
        <w:t>have</w:t>
      </w:r>
      <w:r w:rsidR="00190923" w:rsidRPr="00981405">
        <w:t xml:space="preserve"> </w:t>
      </w:r>
      <w:r w:rsidRPr="00981405">
        <w:t>been</w:t>
      </w:r>
      <w:r w:rsidR="00190923" w:rsidRPr="00981405">
        <w:t xml:space="preserve"> </w:t>
      </w:r>
      <w:r w:rsidRPr="00981405">
        <w:t>used</w:t>
      </w:r>
      <w:r w:rsidR="00190923" w:rsidRPr="00981405">
        <w:t xml:space="preserve"> </w:t>
      </w:r>
      <w:r w:rsidRPr="00981405">
        <w:t>to</w:t>
      </w:r>
      <w:r w:rsidR="00190923" w:rsidRPr="00981405">
        <w:t xml:space="preserve"> </w:t>
      </w:r>
      <w:r w:rsidRPr="00981405">
        <w:t>refer</w:t>
      </w:r>
      <w:r w:rsidR="00190923" w:rsidRPr="00981405">
        <w:t xml:space="preserve"> </w:t>
      </w:r>
      <w:r w:rsidRPr="00981405">
        <w:t>to</w:t>
      </w:r>
      <w:r w:rsidR="00190923" w:rsidRPr="00981405">
        <w:t xml:space="preserve"> </w:t>
      </w:r>
      <w:r w:rsidRPr="00981405">
        <w:t>the</w:t>
      </w:r>
      <w:r w:rsidR="00190923" w:rsidRPr="00981405">
        <w:t xml:space="preserve"> </w:t>
      </w:r>
      <w:r w:rsidRPr="00981405">
        <w:t>concept,</w:t>
      </w:r>
      <w:r w:rsidR="00190923" w:rsidRPr="00981405">
        <w:t xml:space="preserve"> </w:t>
      </w:r>
      <w:r w:rsidRPr="00981405">
        <w:t>but</w:t>
      </w:r>
      <w:r w:rsidR="00190923" w:rsidRPr="00981405">
        <w:t xml:space="preserve"> </w:t>
      </w:r>
      <w:r w:rsidRPr="00981405">
        <w:t>in</w:t>
      </w:r>
      <w:r w:rsidR="00190923" w:rsidRPr="00981405">
        <w:t xml:space="preserve"> </w:t>
      </w:r>
      <w:r w:rsidRPr="00981405">
        <w:t>this</w:t>
      </w:r>
      <w:r w:rsidR="00190923" w:rsidRPr="00981405">
        <w:t xml:space="preserve"> </w:t>
      </w:r>
      <w:r w:rsidRPr="00981405">
        <w:t>case</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was</w:t>
      </w:r>
      <w:r w:rsidR="00190923" w:rsidRPr="00981405">
        <w:t xml:space="preserve"> </w:t>
      </w:r>
      <w:r w:rsidRPr="00981405">
        <w:t>employed</w:t>
      </w:r>
      <w:r w:rsidR="00190923" w:rsidRPr="00981405">
        <w:t xml:space="preserve"> </w:t>
      </w:r>
      <w:r w:rsidRPr="00981405">
        <w:t>to</w:t>
      </w:r>
      <w:r w:rsidR="00190923" w:rsidRPr="00981405">
        <w:t xml:space="preserve"> </w:t>
      </w:r>
      <w:r w:rsidRPr="00981405">
        <w:t>ensure</w:t>
      </w:r>
      <w:r w:rsidR="00190923" w:rsidRPr="00981405">
        <w:t xml:space="preserve"> </w:t>
      </w:r>
      <w:r w:rsidRPr="00981405">
        <w:t>continuity</w:t>
      </w:r>
      <w:r w:rsidR="00190923" w:rsidRPr="00981405">
        <w:t xml:space="preserve"> </w:t>
      </w:r>
      <w:r w:rsidRPr="00981405">
        <w:t>of</w:t>
      </w:r>
      <w:r w:rsidR="00190923" w:rsidRPr="00981405">
        <w:t xml:space="preserve"> </w:t>
      </w:r>
      <w:r w:rsidRPr="00981405">
        <w:t>terminological</w:t>
      </w:r>
      <w:r w:rsidR="00190923" w:rsidRPr="00981405">
        <w:t xml:space="preserve"> </w:t>
      </w:r>
      <w:r w:rsidRPr="00981405">
        <w:t>usage</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following</w:t>
      </w:r>
      <w:r w:rsidR="00190923" w:rsidRPr="00981405">
        <w:t xml:space="preserve"> </w:t>
      </w:r>
      <w:r w:rsidRPr="00981405">
        <w:t>the</w:t>
      </w:r>
      <w:r w:rsidR="00190923" w:rsidRPr="00981405">
        <w:t xml:space="preserve"> </w:t>
      </w:r>
      <w:r w:rsidRPr="00981405">
        <w:t>terminology</w:t>
      </w:r>
      <w:r w:rsidR="00190923" w:rsidRPr="00981405">
        <w:t xml:space="preserve"> </w:t>
      </w:r>
      <w:r w:rsidRPr="00981405">
        <w:t>used</w:t>
      </w:r>
      <w:r w:rsidR="00190923" w:rsidRPr="00981405">
        <w:t xml:space="preserve"> </w:t>
      </w:r>
      <w:r w:rsidRPr="00981405">
        <w:t>by</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Arrest</w:t>
      </w:r>
      <w:r w:rsidR="00190923" w:rsidRPr="00981405">
        <w:rPr>
          <w:i/>
          <w:iCs/>
        </w:rPr>
        <w:t xml:space="preserve"> </w:t>
      </w:r>
      <w:r w:rsidRPr="00D97463">
        <w:rPr>
          <w:i/>
          <w:iCs/>
        </w:rPr>
        <w:t>Warrant</w:t>
      </w:r>
      <w:r w:rsidR="00190923" w:rsidRPr="00981405">
        <w:t xml:space="preserve"> </w:t>
      </w:r>
      <w:r w:rsidRPr="00981405">
        <w:t>case.</w:t>
      </w:r>
    </w:p>
    <w:p w:rsidR="00397032" w:rsidRPr="00981405" w:rsidRDefault="00397032" w:rsidP="00D97463">
      <w:pPr>
        <w:pStyle w:val="SingleTxt"/>
      </w:pPr>
      <w:r w:rsidRPr="00981405">
        <w:t>188.</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expression</w:t>
      </w:r>
      <w:r w:rsidR="00190923" w:rsidRPr="00981405">
        <w:t xml:space="preserve"> </w:t>
      </w:r>
      <w:r w:rsidRPr="00981405">
        <w:t>had</w:t>
      </w:r>
      <w:r w:rsidR="00190923" w:rsidRPr="00981405">
        <w:t xml:space="preserve"> </w:t>
      </w:r>
      <w:r w:rsidRPr="00981405">
        <w:t>not</w:t>
      </w:r>
      <w:r w:rsidR="00190923" w:rsidRPr="00981405">
        <w:t xml:space="preserve"> </w:t>
      </w:r>
      <w:r w:rsidRPr="00981405">
        <w:t>been</w:t>
      </w:r>
      <w:r w:rsidR="00190923" w:rsidRPr="00981405">
        <w:t xml:space="preserve"> </w:t>
      </w:r>
      <w:r w:rsidRPr="00981405">
        <w:t>defined</w:t>
      </w:r>
      <w:r w:rsidR="00190923" w:rsidRPr="00981405">
        <w:t xml:space="preserve"> </w:t>
      </w:r>
      <w:r w:rsidRPr="00981405">
        <w:t>in</w:t>
      </w:r>
      <w:r w:rsidR="00190923" w:rsidRPr="00981405">
        <w:t xml:space="preserve"> </w:t>
      </w:r>
      <w:r w:rsidRPr="00981405">
        <w:t>contemporary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often</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opposition</w:t>
      </w:r>
      <w:r w:rsidR="00190923" w:rsidRPr="00981405">
        <w:t xml:space="preserve"> </w:t>
      </w:r>
      <w:r w:rsidRPr="00981405">
        <w:t>to</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B92E2C" w:rsidRPr="00981405">
        <w:t>”</w:t>
      </w:r>
      <w:r w:rsidRPr="00981405">
        <w:t>,</w:t>
      </w:r>
      <w:r w:rsidR="00190923" w:rsidRPr="00981405">
        <w:t xml:space="preserve"> </w:t>
      </w:r>
      <w:r w:rsidRPr="00981405">
        <w:t>which</w:t>
      </w:r>
      <w:r w:rsidR="00190923" w:rsidRPr="00981405">
        <w:t xml:space="preserve"> </w:t>
      </w:r>
      <w:r w:rsidRPr="00981405">
        <w:t>itself</w:t>
      </w:r>
      <w:r w:rsidR="00190923" w:rsidRPr="00981405">
        <w:t xml:space="preserve"> </w:t>
      </w:r>
      <w:r w:rsidRPr="00981405">
        <w:t>was</w:t>
      </w:r>
      <w:r w:rsidR="00190923" w:rsidRPr="00981405">
        <w:t xml:space="preserve"> </w:t>
      </w:r>
      <w:r w:rsidRPr="00981405">
        <w:t>an</w:t>
      </w:r>
      <w:r w:rsidR="00190923" w:rsidRPr="00981405">
        <w:t xml:space="preserve"> </w:t>
      </w:r>
      <w:r w:rsidRPr="00981405">
        <w:t>undefined</w:t>
      </w:r>
      <w:r w:rsidR="00190923" w:rsidRPr="00981405">
        <w:t xml:space="preserve"> </w:t>
      </w:r>
      <w:r w:rsidRPr="00981405">
        <w:t>category.</w:t>
      </w:r>
      <w:r w:rsidR="00190923" w:rsidRPr="00981405">
        <w:t xml:space="preserve"> </w:t>
      </w:r>
      <w:r w:rsidRPr="00981405">
        <w:t>However,</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relevant</w:t>
      </w:r>
      <w:r w:rsidR="00190923" w:rsidRPr="00981405">
        <w:t xml:space="preserve"> </w:t>
      </w:r>
      <w:r w:rsidRPr="00981405">
        <w:t>practice,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offered</w:t>
      </w:r>
      <w:r w:rsidR="00190923" w:rsidRPr="00981405">
        <w:t xml:space="preserve"> </w:t>
      </w:r>
      <w:r w:rsidRPr="00981405">
        <w:t>certain</w:t>
      </w:r>
      <w:r w:rsidR="00190923" w:rsidRPr="00981405">
        <w:t xml:space="preserve"> </w:t>
      </w:r>
      <w:r w:rsidRPr="00981405">
        <w:t>discernible</w:t>
      </w:r>
      <w:r w:rsidR="00190923" w:rsidRPr="00981405">
        <w:t xml:space="preserve"> </w:t>
      </w:r>
      <w:r w:rsidRPr="00981405">
        <w:t>criteria</w:t>
      </w:r>
      <w:r w:rsidR="00190923" w:rsidRPr="00981405">
        <w:t xml:space="preserve"> </w:t>
      </w:r>
      <w:r w:rsidRPr="00981405">
        <w:t>for</w:t>
      </w:r>
      <w:r w:rsidR="00190923" w:rsidRPr="00981405">
        <w:t xml:space="preserve"> </w:t>
      </w:r>
      <w:r w:rsidRPr="00981405">
        <w:t>identifying</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(a)</w:t>
      </w:r>
      <w:r w:rsidR="00190923" w:rsidRPr="00981405">
        <w:t xml:space="preserve"> </w:t>
      </w:r>
      <w:r w:rsidRPr="00981405">
        <w:t>the</w:t>
      </w:r>
      <w:r w:rsidR="00190923" w:rsidRPr="00981405">
        <w:t xml:space="preserve"> </w:t>
      </w:r>
      <w:r w:rsidRPr="00981405">
        <w:t>acts</w:t>
      </w:r>
      <w:r w:rsidR="00190923" w:rsidRPr="00981405">
        <w:t xml:space="preserve"> </w:t>
      </w:r>
      <w:r w:rsidRPr="00981405">
        <w:t>were</w:t>
      </w:r>
      <w:r w:rsidR="00190923" w:rsidRPr="00981405">
        <w:t xml:space="preserve"> </w:t>
      </w:r>
      <w:r w:rsidRPr="00981405">
        <w:rPr>
          <w:i/>
          <w:iCs/>
        </w:rPr>
        <w:t>inter</w:t>
      </w:r>
      <w:r w:rsidR="00190923" w:rsidRPr="00981405">
        <w:rPr>
          <w:i/>
          <w:iCs/>
        </w:rPr>
        <w:t xml:space="preserve"> </w:t>
      </w:r>
      <w:r w:rsidRPr="00981405">
        <w:rPr>
          <w:i/>
          <w:iCs/>
        </w:rPr>
        <w:t>alia</w:t>
      </w:r>
      <w:r w:rsidR="00190923" w:rsidRPr="00981405">
        <w:t xml:space="preserve"> </w:t>
      </w:r>
      <w:r w:rsidRPr="00981405">
        <w:t>connected</w:t>
      </w:r>
      <w:r w:rsidR="00190923" w:rsidRPr="00981405">
        <w:t xml:space="preserve"> </w:t>
      </w:r>
      <w:r w:rsidRPr="00981405">
        <w:t>with</w:t>
      </w:r>
      <w:r w:rsidR="00190923" w:rsidRPr="00981405">
        <w:t xml:space="preserve"> </w:t>
      </w:r>
      <w:r w:rsidRPr="00981405">
        <w:t>a</w:t>
      </w:r>
      <w:r w:rsidR="00190923" w:rsidRPr="00981405">
        <w:t xml:space="preserve"> </w:t>
      </w:r>
      <w:r w:rsidRPr="00981405">
        <w:t>limited</w:t>
      </w:r>
      <w:r w:rsidR="00190923" w:rsidRPr="00981405">
        <w:t xml:space="preserve"> </w:t>
      </w:r>
      <w:r w:rsidRPr="00981405">
        <w:t>number</w:t>
      </w:r>
      <w:r w:rsidR="00190923" w:rsidRPr="00981405">
        <w:t xml:space="preserve"> </w:t>
      </w:r>
      <w:r w:rsidRPr="00981405">
        <w:t>of</w:t>
      </w:r>
      <w:r w:rsidR="00190923" w:rsidRPr="00981405">
        <w:t xml:space="preserve"> </w:t>
      </w:r>
      <w:r w:rsidRPr="00981405">
        <w:t>crimes,</w:t>
      </w:r>
      <w:r w:rsidR="00190923" w:rsidRPr="00981405">
        <w:t xml:space="preserve"> </w:t>
      </w:r>
      <w:r w:rsidRPr="00981405">
        <w:t>including</w:t>
      </w:r>
      <w:r w:rsidR="00190923" w:rsidRPr="00981405">
        <w:t xml:space="preserve"> </w:t>
      </w:r>
      <w:r w:rsidRPr="00981405">
        <w:t>crimes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systematic</w:t>
      </w:r>
      <w:r w:rsidR="00190923" w:rsidRPr="00981405">
        <w:t xml:space="preserve"> </w:t>
      </w:r>
      <w:r w:rsidRPr="00981405">
        <w:t>and</w:t>
      </w:r>
      <w:r w:rsidR="00190923" w:rsidRPr="00981405">
        <w:t xml:space="preserve"> </w:t>
      </w:r>
      <w:r w:rsidRPr="00981405">
        <w:t>serious</w:t>
      </w:r>
      <w:r w:rsidR="00190923" w:rsidRPr="00981405">
        <w:t xml:space="preserve"> </w:t>
      </w:r>
      <w:r w:rsidRPr="00981405">
        <w:t>violations</w:t>
      </w:r>
      <w:r w:rsidR="00190923" w:rsidRPr="00981405">
        <w:t xml:space="preserve"> </w:t>
      </w:r>
      <w:r w:rsidRPr="00981405">
        <w:t>of</w:t>
      </w:r>
      <w:r w:rsidR="00190923" w:rsidRPr="00981405">
        <w:t xml:space="preserve"> </w:t>
      </w:r>
      <w:r w:rsidRPr="00981405">
        <w:t>human</w:t>
      </w:r>
      <w:r w:rsidR="00190923" w:rsidRPr="00981405">
        <w:t xml:space="preserve"> </w:t>
      </w:r>
      <w:r w:rsidRPr="00981405">
        <w:t>rights,</w:t>
      </w:r>
      <w:r w:rsidR="00190923" w:rsidRPr="00981405">
        <w:t xml:space="preserve"> </w:t>
      </w:r>
      <w:r w:rsidRPr="00981405">
        <w:t>certain</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by</w:t>
      </w:r>
      <w:r w:rsidR="00190923" w:rsidRPr="00981405">
        <w:t xml:space="preserve"> </w:t>
      </w:r>
      <w:r w:rsidRPr="00981405">
        <w:t>the</w:t>
      </w:r>
      <w:r w:rsidR="00190923" w:rsidRPr="00981405">
        <w:t xml:space="preserve"> </w:t>
      </w:r>
      <w:r w:rsidRPr="00981405">
        <w:t>armed</w:t>
      </w:r>
      <w:r w:rsidR="00190923" w:rsidRPr="00981405">
        <w:t xml:space="preserve"> </w:t>
      </w:r>
      <w:r w:rsidRPr="00981405">
        <w:t>forces</w:t>
      </w:r>
      <w:r w:rsidR="00190923" w:rsidRPr="00981405">
        <w:t xml:space="preserve"> </w:t>
      </w:r>
      <w:r w:rsidRPr="00981405">
        <w:t>and</w:t>
      </w:r>
      <w:r w:rsidR="00190923" w:rsidRPr="00981405">
        <w:t xml:space="preserve"> </w:t>
      </w:r>
      <w:r w:rsidRPr="00981405">
        <w:t>law</w:t>
      </w:r>
      <w:r w:rsidR="00190923" w:rsidRPr="00981405">
        <w:t xml:space="preserve"> </w:t>
      </w:r>
      <w:r w:rsidRPr="00981405">
        <w:t>enforcement</w:t>
      </w:r>
      <w:r w:rsidR="00190923" w:rsidRPr="00981405">
        <w:t xml:space="preserve"> </w:t>
      </w:r>
      <w:r w:rsidRPr="00981405">
        <w:t>officials</w:t>
      </w:r>
      <w:r w:rsidR="00190923" w:rsidRPr="00981405">
        <w:t xml:space="preserve"> </w:t>
      </w:r>
      <w:r w:rsidRPr="00981405">
        <w:t>and</w:t>
      </w:r>
      <w:r w:rsidR="00190923" w:rsidRPr="00981405">
        <w:t xml:space="preserve"> </w:t>
      </w:r>
      <w:r w:rsidRPr="00981405">
        <w:t>acts</w:t>
      </w:r>
      <w:r w:rsidR="00190923" w:rsidRPr="00981405">
        <w:t xml:space="preserve"> </w:t>
      </w:r>
      <w:r w:rsidRPr="00981405">
        <w:t>related</w:t>
      </w:r>
      <w:r w:rsidR="00190923" w:rsidRPr="00981405">
        <w:t xml:space="preserve"> </w:t>
      </w:r>
      <w:r w:rsidRPr="00981405">
        <w:t>to</w:t>
      </w:r>
      <w:r w:rsidR="00190923" w:rsidRPr="00981405">
        <w:t xml:space="preserve"> </w:t>
      </w:r>
      <w:r w:rsidRPr="00981405">
        <w:t>corruption;</w:t>
      </w:r>
      <w:r w:rsidR="00190923" w:rsidRPr="00981405">
        <w:t xml:space="preserve"> </w:t>
      </w:r>
      <w:r w:rsidRPr="00981405">
        <w:t>(b)</w:t>
      </w:r>
      <w:r w:rsidR="00190923" w:rsidRPr="00981405">
        <w:t xml:space="preserve"> </w:t>
      </w:r>
      <w:r w:rsidRPr="00981405">
        <w:t>some</w:t>
      </w:r>
      <w:r w:rsidR="00190923" w:rsidRPr="00981405">
        <w:t xml:space="preserve"> </w:t>
      </w:r>
      <w:r w:rsidRPr="00981405">
        <w:t>multilateral</w:t>
      </w:r>
      <w:r w:rsidR="00190923" w:rsidRPr="00981405">
        <w:t xml:space="preserve"> </w:t>
      </w:r>
      <w:r w:rsidRPr="00981405">
        <w:t>treaties</w:t>
      </w:r>
      <w:r w:rsidR="00190923" w:rsidRPr="00981405">
        <w:t xml:space="preserve"> </w:t>
      </w:r>
      <w:r w:rsidRPr="00981405">
        <w:t>link</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certain</w:t>
      </w:r>
      <w:r w:rsidR="00190923" w:rsidRPr="00981405">
        <w:t xml:space="preserve"> </w:t>
      </w:r>
      <w:r w:rsidRPr="00981405">
        <w:t>acts</w:t>
      </w:r>
      <w:r w:rsidR="00190923" w:rsidRPr="00981405">
        <w:t xml:space="preserve"> </w:t>
      </w:r>
      <w:r w:rsidRPr="00981405">
        <w:t>to</w:t>
      </w:r>
      <w:r w:rsidR="00190923" w:rsidRPr="00981405">
        <w:t xml:space="preserve"> </w:t>
      </w:r>
      <w:r w:rsidRPr="00981405">
        <w:t>the</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of</w:t>
      </w:r>
      <w:r w:rsidR="00190923" w:rsidRPr="00981405">
        <w:t xml:space="preserve"> </w:t>
      </w:r>
      <w:r w:rsidRPr="00981405">
        <w:t>the</w:t>
      </w:r>
      <w:r w:rsidR="00190923" w:rsidRPr="00981405">
        <w:t xml:space="preserve"> </w:t>
      </w:r>
      <w:r w:rsidRPr="00981405">
        <w:t>perpetrators</w:t>
      </w:r>
      <w:r w:rsidR="00190923" w:rsidRPr="00981405">
        <w:t xml:space="preserve"> </w:t>
      </w:r>
      <w:r w:rsidRPr="00981405">
        <w:t>of</w:t>
      </w:r>
      <w:r w:rsidR="00190923" w:rsidRPr="00981405">
        <w:t xml:space="preserve"> </w:t>
      </w:r>
      <w:r w:rsidRPr="00981405">
        <w:t>such</w:t>
      </w:r>
      <w:r w:rsidR="00190923" w:rsidRPr="00981405">
        <w:t xml:space="preserve"> </w:t>
      </w:r>
      <w:r w:rsidRPr="00981405">
        <w:t>acts;</w:t>
      </w:r>
      <w:r w:rsidR="00190923" w:rsidRPr="00981405">
        <w:t xml:space="preserve"> </w:t>
      </w:r>
      <w:r w:rsidRPr="00981405">
        <w:t>(c)</w:t>
      </w:r>
      <w:r w:rsidR="00190923" w:rsidRPr="00981405">
        <w:t xml:space="preserve"> </w:t>
      </w:r>
      <w:r w:rsidRPr="00981405">
        <w:t>an</w:t>
      </w:r>
      <w:r w:rsidR="00190923" w:rsidRPr="00981405">
        <w:t xml:space="preserve"> </w:t>
      </w:r>
      <w:r w:rsidRPr="00981405">
        <w:t>act</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to</w:t>
      </w:r>
      <w:r w:rsidR="00190923" w:rsidRPr="00981405">
        <w:t xml:space="preserve"> </w:t>
      </w:r>
      <w:r w:rsidRPr="00981405">
        <w:t>have</w:t>
      </w:r>
      <w:r w:rsidR="00190923" w:rsidRPr="00981405">
        <w:t xml:space="preserve"> </w:t>
      </w:r>
      <w:r w:rsidRPr="00981405">
        <w:t>been</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when</w:t>
      </w:r>
      <w:r w:rsidR="00190923" w:rsidRPr="00981405">
        <w:t xml:space="preserve"> </w:t>
      </w:r>
      <w:r w:rsidRPr="00981405">
        <w:t>committed</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acting</w:t>
      </w:r>
      <w:r w:rsidR="00190923" w:rsidRPr="00981405">
        <w:t xml:space="preserve"> </w:t>
      </w:r>
      <w:r w:rsidRPr="00981405">
        <w:t>on</w:t>
      </w:r>
      <w:r w:rsidR="00190923" w:rsidRPr="00981405">
        <w:t xml:space="preserve"> </w:t>
      </w:r>
      <w:r w:rsidRPr="00981405">
        <w:t>behalf</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exercising</w:t>
      </w:r>
      <w:r w:rsidR="00190923" w:rsidRPr="00981405">
        <w:t xml:space="preserve"> </w:t>
      </w:r>
      <w:r w:rsidRPr="00981405">
        <w:t>prerogatives</w:t>
      </w:r>
      <w:r w:rsidR="00190923" w:rsidRPr="00981405">
        <w:t xml:space="preserve"> </w:t>
      </w:r>
      <w:r w:rsidRPr="00981405">
        <w:t>of</w:t>
      </w:r>
      <w:r w:rsidR="00190923" w:rsidRPr="00981405">
        <w:t xml:space="preserve"> </w:t>
      </w:r>
      <w:r w:rsidRPr="00981405">
        <w:t>public</w:t>
      </w:r>
      <w:r w:rsidR="00190923" w:rsidRPr="00981405">
        <w:t xml:space="preserve"> </w:t>
      </w:r>
      <w:r w:rsidRPr="00981405">
        <w:t>power</w:t>
      </w:r>
      <w:r w:rsidR="00190923" w:rsidRPr="00981405">
        <w:t xml:space="preserve"> </w:t>
      </w:r>
      <w:r w:rsidRPr="00981405">
        <w:t>or</w:t>
      </w:r>
      <w:r w:rsidR="00190923" w:rsidRPr="00981405">
        <w:t xml:space="preserve"> </w:t>
      </w:r>
      <w:r w:rsidRPr="00981405">
        <w:t>performing</w:t>
      </w:r>
      <w:r w:rsidR="00190923" w:rsidRPr="00981405">
        <w:t xml:space="preserve"> </w:t>
      </w:r>
      <w:r w:rsidRPr="00981405">
        <w:t>acts</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(d)</w:t>
      </w:r>
      <w:r w:rsidR="00190923" w:rsidRPr="00981405">
        <w:t xml:space="preserve"> </w:t>
      </w:r>
      <w:r w:rsidRPr="00981405">
        <w:t>immunity</w:t>
      </w:r>
      <w:r w:rsidR="00190923" w:rsidRPr="00981405">
        <w:t xml:space="preserve"> </w:t>
      </w:r>
      <w:r w:rsidRPr="00981405">
        <w:t>was</w:t>
      </w:r>
      <w:r w:rsidR="00190923" w:rsidRPr="00981405">
        <w:t xml:space="preserve"> </w:t>
      </w:r>
      <w:r w:rsidRPr="00981405">
        <w:t>generally</w:t>
      </w:r>
      <w:r w:rsidR="00190923" w:rsidRPr="00981405">
        <w:t xml:space="preserve"> </w:t>
      </w:r>
      <w:r w:rsidRPr="00981405">
        <w:t>denied</w:t>
      </w:r>
      <w:r w:rsidR="00190923" w:rsidRPr="00981405">
        <w:t xml:space="preserve"> </w:t>
      </w:r>
      <w:r w:rsidRPr="00981405">
        <w:t>in</w:t>
      </w:r>
      <w:r w:rsidR="00190923" w:rsidRPr="00981405">
        <w:t xml:space="preserve"> </w:t>
      </w:r>
      <w:r w:rsidRPr="00981405">
        <w:t>corruption-related</w:t>
      </w:r>
      <w:r w:rsidR="00190923" w:rsidRPr="00981405">
        <w:t xml:space="preserve"> </w:t>
      </w:r>
      <w:r w:rsidRPr="00981405">
        <w:t>cases,</w:t>
      </w:r>
      <w:r w:rsidR="00190923" w:rsidRPr="00981405">
        <w:t xml:space="preserve"> </w:t>
      </w:r>
      <w:r w:rsidRPr="00981405">
        <w:t>by</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the</w:t>
      </w:r>
      <w:r w:rsidR="00190923" w:rsidRPr="00981405">
        <w:t xml:space="preserve"> </w:t>
      </w:r>
      <w:r w:rsidRPr="00981405">
        <w:t>logic</w:t>
      </w:r>
      <w:r w:rsidR="00190923" w:rsidRPr="00981405">
        <w:t xml:space="preserve"> </w:t>
      </w:r>
      <w:r w:rsidRPr="00981405">
        <w:t>advanced</w:t>
      </w:r>
      <w:r w:rsidR="00190923" w:rsidRPr="00981405">
        <w:t xml:space="preserve"> </w:t>
      </w:r>
      <w:r w:rsidRPr="00981405">
        <w:t>being</w:t>
      </w:r>
      <w:r w:rsidR="00190923" w:rsidRPr="00981405">
        <w:t xml:space="preserve"> </w:t>
      </w:r>
      <w:r w:rsidRPr="00981405">
        <w:t>that</w:t>
      </w:r>
      <w:r w:rsidR="00190923" w:rsidRPr="00981405">
        <w:t xml:space="preserve"> </w:t>
      </w:r>
      <w:r w:rsidRPr="00981405">
        <w:t>officials</w:t>
      </w:r>
      <w:r w:rsidR="00190923" w:rsidRPr="00981405">
        <w:t xml:space="preserve"> </w:t>
      </w:r>
      <w:r w:rsidRPr="00981405">
        <w:t>cannot</w:t>
      </w:r>
      <w:r w:rsidR="00190923" w:rsidRPr="00981405">
        <w:t xml:space="preserve"> </w:t>
      </w:r>
      <w:r w:rsidRPr="00981405">
        <w:t>benefit</w:t>
      </w:r>
      <w:r w:rsidR="00190923" w:rsidRPr="00981405">
        <w:t xml:space="preserve"> </w:t>
      </w:r>
      <w:r w:rsidRPr="00981405">
        <w:t>from</w:t>
      </w:r>
      <w:r w:rsidR="00190923" w:rsidRPr="00981405">
        <w:t xml:space="preserve"> </w:t>
      </w:r>
      <w:r w:rsidRPr="00981405">
        <w:t>immunity</w:t>
      </w:r>
      <w:r w:rsidR="00190923" w:rsidRPr="00981405">
        <w:t xml:space="preserve"> </w:t>
      </w:r>
      <w:r w:rsidRPr="00981405">
        <w:t>for</w:t>
      </w:r>
      <w:r w:rsidR="00190923" w:rsidRPr="00981405">
        <w:t xml:space="preserve"> </w:t>
      </w:r>
      <w:r w:rsidRPr="00981405">
        <w:t>activities</w:t>
      </w:r>
      <w:r w:rsidR="00190923" w:rsidRPr="00981405">
        <w:t xml:space="preserve"> </w:t>
      </w:r>
      <w:r w:rsidRPr="00981405">
        <w:t>that</w:t>
      </w:r>
      <w:r w:rsidR="00190923" w:rsidRPr="00981405">
        <w:t xml:space="preserve"> </w:t>
      </w:r>
      <w:r w:rsidRPr="00981405">
        <w:t>are</w:t>
      </w:r>
      <w:r w:rsidR="00190923" w:rsidRPr="00981405">
        <w:t xml:space="preserve"> </w:t>
      </w:r>
      <w:r w:rsidRPr="00981405">
        <w:t>closely</w:t>
      </w:r>
      <w:r w:rsidR="00190923" w:rsidRPr="00981405">
        <w:t xml:space="preserve"> </w:t>
      </w:r>
      <w:r w:rsidRPr="00981405">
        <w:t>linked</w:t>
      </w:r>
      <w:r w:rsidR="00190923" w:rsidRPr="00981405">
        <w:t xml:space="preserve"> </w:t>
      </w:r>
      <w:r w:rsidRPr="00981405">
        <w:t>to</w:t>
      </w:r>
      <w:r w:rsidR="00190923" w:rsidRPr="00981405">
        <w:t xml:space="preserve"> </w:t>
      </w:r>
      <w:r w:rsidRPr="00981405">
        <w:t>private</w:t>
      </w:r>
      <w:r w:rsidR="00190923" w:rsidRPr="00981405">
        <w:t xml:space="preserve"> </w:t>
      </w:r>
      <w:r w:rsidRPr="00981405">
        <w:t>interest</w:t>
      </w:r>
      <w:r w:rsidR="00190923" w:rsidRPr="00981405">
        <w:t xml:space="preserve"> </w:t>
      </w:r>
      <w:r w:rsidRPr="00981405">
        <w:t>and</w:t>
      </w:r>
      <w:r w:rsidR="00190923" w:rsidRPr="00981405">
        <w:t xml:space="preserve"> </w:t>
      </w:r>
      <w:r w:rsidRPr="00981405">
        <w:t>whose</w:t>
      </w:r>
      <w:r w:rsidR="00190923" w:rsidRPr="00981405">
        <w:t xml:space="preserve"> </w:t>
      </w:r>
      <w:r w:rsidRPr="00981405">
        <w:t>objective</w:t>
      </w:r>
      <w:r w:rsidR="00190923" w:rsidRPr="00981405">
        <w:t xml:space="preserve"> </w:t>
      </w:r>
      <w:r w:rsidRPr="00981405">
        <w:t>is</w:t>
      </w:r>
      <w:r w:rsidR="00190923" w:rsidRPr="00981405">
        <w:t xml:space="preserve"> </w:t>
      </w:r>
      <w:r w:rsidRPr="00981405">
        <w:t>the</w:t>
      </w:r>
      <w:r w:rsidR="00190923" w:rsidRPr="00981405">
        <w:t xml:space="preserve"> </w:t>
      </w:r>
      <w:r w:rsidRPr="00981405">
        <w:t>personal</w:t>
      </w:r>
      <w:r w:rsidR="00190923" w:rsidRPr="00981405">
        <w:t xml:space="preserve"> </w:t>
      </w:r>
      <w:r w:rsidRPr="00981405">
        <w:t>enrichment</w:t>
      </w:r>
      <w:r w:rsidR="00190923" w:rsidRPr="00981405">
        <w:t xml:space="preserve"> </w:t>
      </w:r>
      <w:r w:rsidRPr="00981405">
        <w:t>of</w:t>
      </w:r>
      <w:r w:rsidR="00190923" w:rsidRPr="00981405">
        <w:t xml:space="preserve"> </w:t>
      </w:r>
      <w:r w:rsidRPr="00981405">
        <w:t>the</w:t>
      </w:r>
      <w:r w:rsidR="00190923" w:rsidRPr="00981405">
        <w:t xml:space="preserve"> </w:t>
      </w:r>
      <w:r w:rsidRPr="00981405">
        <w:t>official</w:t>
      </w:r>
      <w:r w:rsidR="00190923" w:rsidRPr="00981405">
        <w:t xml:space="preserve"> </w:t>
      </w:r>
      <w:r w:rsidRPr="00981405">
        <w:t>and</w:t>
      </w:r>
      <w:r w:rsidR="00190923" w:rsidRPr="00981405">
        <w:t xml:space="preserve"> </w:t>
      </w:r>
      <w:r w:rsidRPr="00981405">
        <w:t>not</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the</w:t>
      </w:r>
      <w:r w:rsidR="00190923" w:rsidRPr="00981405">
        <w:t xml:space="preserve"> </w:t>
      </w:r>
      <w:r w:rsidRPr="00981405">
        <w:t>sovereign;</w:t>
      </w:r>
      <w:r w:rsidR="00190923" w:rsidRPr="00981405">
        <w:t xml:space="preserve"> </w:t>
      </w:r>
      <w:r w:rsidRPr="00981405">
        <w:t>(e)</w:t>
      </w:r>
      <w:r w:rsidR="00190923" w:rsidRPr="00981405">
        <w:t xml:space="preserve"> </w:t>
      </w:r>
      <w:r w:rsidRPr="00981405">
        <w:t>what</w:t>
      </w:r>
      <w:r w:rsidR="00190923" w:rsidRPr="00981405">
        <w:t xml:space="preserve"> </w:t>
      </w:r>
      <w:r w:rsidRPr="00981405">
        <w:t>was</w:t>
      </w:r>
      <w:r w:rsidR="00190923" w:rsidRPr="00981405">
        <w:t xml:space="preserve"> </w:t>
      </w:r>
      <w:r w:rsidRPr="00981405">
        <w:t>meant</w:t>
      </w:r>
      <w:r w:rsidR="00190923" w:rsidRPr="00981405">
        <w:t xml:space="preserve"> </w:t>
      </w:r>
      <w:r w:rsidRPr="00981405">
        <w:t>by</w:t>
      </w:r>
      <w:r w:rsidR="00190923" w:rsidRPr="00981405">
        <w:t xml:space="preserve"> </w:t>
      </w:r>
      <w:r w:rsidR="00B92E2C" w:rsidRPr="00981405">
        <w:t>“</w:t>
      </w:r>
      <w:r w:rsidRPr="00981405">
        <w:t>exercising</w:t>
      </w:r>
      <w:r w:rsidR="00190923" w:rsidRPr="00981405">
        <w:t xml:space="preserve"> </w:t>
      </w:r>
      <w:r w:rsidRPr="00981405">
        <w:t>the</w:t>
      </w:r>
      <w:r w:rsidR="00190923" w:rsidRPr="00981405">
        <w:t xml:space="preserve"> </w:t>
      </w:r>
      <w:r w:rsidRPr="00981405">
        <w:t>prerogatives</w:t>
      </w:r>
      <w:r w:rsidR="00190923" w:rsidRPr="00981405">
        <w:t xml:space="preserve"> </w:t>
      </w:r>
      <w:r w:rsidRPr="00981405">
        <w:t>of</w:t>
      </w:r>
      <w:r w:rsidR="00190923" w:rsidRPr="00981405">
        <w:t xml:space="preserve"> </w:t>
      </w:r>
      <w:r w:rsidRPr="00981405">
        <w:t>public</w:t>
      </w:r>
      <w:r w:rsidR="00190923" w:rsidRPr="00981405">
        <w:t xml:space="preserve"> </w:t>
      </w:r>
      <w:r w:rsidRPr="00981405">
        <w:t>power</w:t>
      </w:r>
      <w:r w:rsidR="00B92E2C" w:rsidRPr="00981405">
        <w:t>”</w:t>
      </w:r>
      <w:r w:rsidR="00190923" w:rsidRPr="00981405">
        <w:t xml:space="preserve"> </w:t>
      </w:r>
      <w:r w:rsidRPr="00981405">
        <w:t>or</w:t>
      </w:r>
      <w:r w:rsidR="00190923" w:rsidRPr="00981405">
        <w:t xml:space="preserve"> </w:t>
      </w:r>
      <w:r w:rsidR="00B92E2C" w:rsidRPr="00981405">
        <w:t>“</w:t>
      </w:r>
      <w:r w:rsidRPr="00981405">
        <w:t>sovereign</w:t>
      </w:r>
      <w:r w:rsidR="00190923" w:rsidRPr="00981405">
        <w:t xml:space="preserve"> </w:t>
      </w:r>
      <w:r w:rsidRPr="00981405">
        <w:t>acts</w:t>
      </w:r>
      <w:r w:rsidR="00B92E2C" w:rsidRPr="00981405">
        <w:t>”</w:t>
      </w:r>
      <w:r w:rsidR="00190923" w:rsidRPr="00981405">
        <w:t xml:space="preserve"> </w:t>
      </w:r>
      <w:r w:rsidRPr="00981405">
        <w:t>was</w:t>
      </w:r>
      <w:r w:rsidR="00190923" w:rsidRPr="00981405">
        <w:t xml:space="preserve"> </w:t>
      </w:r>
      <w:r w:rsidRPr="00981405">
        <w:t>not</w:t>
      </w:r>
      <w:r w:rsidR="00190923" w:rsidRPr="00981405">
        <w:t xml:space="preserve"> </w:t>
      </w:r>
      <w:r w:rsidRPr="00981405">
        <w:t>easily</w:t>
      </w:r>
      <w:r w:rsidR="00190923" w:rsidRPr="00981405">
        <w:t xml:space="preserve"> </w:t>
      </w:r>
      <w:r w:rsidRPr="00981405">
        <w:t>defined.</w:t>
      </w:r>
      <w:r w:rsidR="00190923" w:rsidRPr="00981405">
        <w:t xml:space="preserve"> </w:t>
      </w:r>
      <w:r w:rsidRPr="00981405">
        <w:t>Courts,</w:t>
      </w:r>
      <w:r w:rsidR="00190923" w:rsidRPr="00981405">
        <w:t xml:space="preserve"> </w:t>
      </w:r>
      <w:r w:rsidRPr="00981405">
        <w:t>however,</w:t>
      </w:r>
      <w:r w:rsidR="00190923" w:rsidRPr="00981405">
        <w:t xml:space="preserve"> </w:t>
      </w:r>
      <w:r w:rsidRPr="00981405">
        <w:t>have</w:t>
      </w:r>
      <w:r w:rsidR="00190923" w:rsidRPr="00981405">
        <w:t xml:space="preserve"> </w:t>
      </w:r>
      <w:r w:rsidRPr="00981405">
        <w:t>considered</w:t>
      </w:r>
      <w:r w:rsidR="00190923" w:rsidRPr="00981405">
        <w:t xml:space="preserve"> </w:t>
      </w:r>
      <w:r w:rsidRPr="00981405">
        <w:t>as</w:t>
      </w:r>
      <w:r w:rsidR="00190923" w:rsidRPr="00981405">
        <w:t xml:space="preserve"> </w:t>
      </w:r>
      <w:r w:rsidRPr="00981405">
        <w:t>falling</w:t>
      </w:r>
      <w:r w:rsidR="00190923" w:rsidRPr="00981405">
        <w:t xml:space="preserve"> </w:t>
      </w:r>
      <w:r w:rsidRPr="00981405">
        <w:t>into</w:t>
      </w:r>
      <w:r w:rsidR="00190923" w:rsidRPr="00981405">
        <w:t xml:space="preserve"> </w:t>
      </w:r>
      <w:r w:rsidRPr="00981405">
        <w:t>that</w:t>
      </w:r>
      <w:r w:rsidR="00190923" w:rsidRPr="00981405">
        <w:t xml:space="preserve"> </w:t>
      </w:r>
      <w:r w:rsidRPr="00981405">
        <w:t>category</w:t>
      </w:r>
      <w:r w:rsidR="00190923" w:rsidRPr="00981405">
        <w:t xml:space="preserve"> </w:t>
      </w:r>
      <w:r w:rsidRPr="00981405">
        <w:t>activities</w:t>
      </w:r>
      <w:r w:rsidR="00190923" w:rsidRPr="00981405">
        <w:t xml:space="preserve"> </w:t>
      </w:r>
      <w:r w:rsidRPr="00981405">
        <w:t>such</w:t>
      </w:r>
      <w:r w:rsidR="00190923" w:rsidRPr="00981405">
        <w:t xml:space="preserve"> </w:t>
      </w:r>
      <w:r w:rsidRPr="00981405">
        <w:t>as</w:t>
      </w:r>
      <w:r w:rsidR="00190923" w:rsidRPr="00981405">
        <w:t xml:space="preserve"> </w:t>
      </w:r>
      <w:r w:rsidRPr="00981405">
        <w:t>policing,</w:t>
      </w:r>
      <w:r w:rsidR="00190923" w:rsidRPr="00981405">
        <w:t xml:space="preserve"> </w:t>
      </w:r>
      <w:r w:rsidRPr="00981405">
        <w:t>activities</w:t>
      </w:r>
      <w:r w:rsidR="00190923" w:rsidRPr="00981405">
        <w:t xml:space="preserve"> </w:t>
      </w:r>
      <w:r w:rsidRPr="00981405">
        <w:t>of</w:t>
      </w:r>
      <w:r w:rsidR="00190923" w:rsidRPr="00981405">
        <w:t xml:space="preserve"> </w:t>
      </w:r>
      <w:r w:rsidRPr="00981405">
        <w:t>the</w:t>
      </w:r>
      <w:r w:rsidR="00190923" w:rsidRPr="00981405">
        <w:t xml:space="preserve"> </w:t>
      </w:r>
      <w:r w:rsidRPr="00981405">
        <w:t>security</w:t>
      </w:r>
      <w:r w:rsidR="00190923" w:rsidRPr="00981405">
        <w:t xml:space="preserve"> </w:t>
      </w:r>
      <w:r w:rsidRPr="00981405">
        <w:t>forces</w:t>
      </w:r>
      <w:r w:rsidR="00190923" w:rsidRPr="00981405">
        <w:t xml:space="preserve"> </w:t>
      </w:r>
      <w:r w:rsidRPr="00981405">
        <w:t>and</w:t>
      </w:r>
      <w:r w:rsidR="00190923" w:rsidRPr="00981405">
        <w:t xml:space="preserve"> </w:t>
      </w:r>
      <w:r w:rsidRPr="00981405">
        <w:t>of</w:t>
      </w:r>
      <w:r w:rsidR="00190923" w:rsidRPr="00981405">
        <w:t xml:space="preserve"> </w:t>
      </w:r>
      <w:r w:rsidRPr="00981405">
        <w:t>the</w:t>
      </w:r>
      <w:r w:rsidR="00190923" w:rsidRPr="00981405">
        <w:t xml:space="preserve"> </w:t>
      </w:r>
      <w:r w:rsidRPr="00981405">
        <w:t>armed</w:t>
      </w:r>
      <w:r w:rsidR="00190923" w:rsidRPr="00981405">
        <w:t xml:space="preserve"> </w:t>
      </w:r>
      <w:r w:rsidRPr="00981405">
        <w:t>forces,</w:t>
      </w:r>
      <w:r w:rsidR="00190923" w:rsidRPr="00981405">
        <w:t xml:space="preserve"> </w:t>
      </w:r>
      <w:r w:rsidRPr="00981405">
        <w:t>foreign</w:t>
      </w:r>
      <w:r w:rsidR="00190923" w:rsidRPr="00981405">
        <w:t xml:space="preserve"> </w:t>
      </w:r>
      <w:r w:rsidRPr="00981405">
        <w:t>affairs,</w:t>
      </w:r>
      <w:r w:rsidR="00190923" w:rsidRPr="00981405">
        <w:t xml:space="preserve"> </w:t>
      </w:r>
      <w:r w:rsidRPr="00981405">
        <w:t>legislative</w:t>
      </w:r>
      <w:r w:rsidR="00190923" w:rsidRPr="00981405">
        <w:t xml:space="preserve"> </w:t>
      </w:r>
      <w:r w:rsidRPr="00981405">
        <w:t>acts,</w:t>
      </w:r>
      <w:r w:rsidR="00190923" w:rsidRPr="00981405">
        <w:t xml:space="preserve"> </w:t>
      </w:r>
      <w:r w:rsidRPr="00981405">
        <w:t>administration</w:t>
      </w:r>
      <w:r w:rsidR="00190923" w:rsidRPr="00981405">
        <w:t xml:space="preserve"> </w:t>
      </w:r>
      <w:r w:rsidRPr="00981405">
        <w:t>of</w:t>
      </w:r>
      <w:r w:rsidR="00190923" w:rsidRPr="00981405">
        <w:t xml:space="preserve"> </w:t>
      </w:r>
      <w:r w:rsidRPr="00981405">
        <w:t>justice</w:t>
      </w:r>
      <w:r w:rsidR="00190923" w:rsidRPr="00981405">
        <w:t xml:space="preserve"> </w:t>
      </w:r>
      <w:r w:rsidRPr="00981405">
        <w:t>and</w:t>
      </w:r>
      <w:r w:rsidR="00190923" w:rsidRPr="00981405">
        <w:t xml:space="preserve"> </w:t>
      </w:r>
      <w:r w:rsidRPr="00981405">
        <w:t>administrative</w:t>
      </w:r>
      <w:r w:rsidR="00190923" w:rsidRPr="00981405">
        <w:t xml:space="preserve"> </w:t>
      </w:r>
      <w:r w:rsidRPr="00981405">
        <w:t>acts</w:t>
      </w:r>
      <w:r w:rsidR="00190923" w:rsidRPr="00981405">
        <w:t xml:space="preserve"> </w:t>
      </w:r>
      <w:r w:rsidRPr="00981405">
        <w:t>of</w:t>
      </w:r>
      <w:r w:rsidR="00190923" w:rsidRPr="00981405">
        <w:t xml:space="preserve"> </w:t>
      </w:r>
      <w:r w:rsidRPr="00981405">
        <w:t>diverse</w:t>
      </w:r>
      <w:r w:rsidR="00190923" w:rsidRPr="00981405">
        <w:t xml:space="preserve"> </w:t>
      </w:r>
      <w:r w:rsidRPr="00981405">
        <w:t>content;</w:t>
      </w:r>
      <w:r w:rsidR="00190923" w:rsidRPr="00981405">
        <w:t xml:space="preserve"> </w:t>
      </w:r>
      <w:r w:rsidRPr="00981405">
        <w:t>(f)</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did</w:t>
      </w:r>
      <w:r w:rsidR="00190923" w:rsidRPr="00981405">
        <w:t xml:space="preserve"> </w:t>
      </w:r>
      <w:r w:rsidRPr="00981405">
        <w:t>not</w:t>
      </w:r>
      <w:r w:rsidR="00190923" w:rsidRPr="00981405">
        <w:t xml:space="preserve"> </w:t>
      </w:r>
      <w:r w:rsidRPr="00981405">
        <w:t>automatically</w:t>
      </w:r>
      <w:r w:rsidR="00190923" w:rsidRPr="00981405">
        <w:t xml:space="preserve"> </w:t>
      </w:r>
      <w:r w:rsidRPr="00981405">
        <w:t>correspond</w:t>
      </w:r>
      <w:r w:rsidR="00190923" w:rsidRPr="00981405">
        <w:t xml:space="preserve"> </w:t>
      </w:r>
      <w:r w:rsidRPr="00981405">
        <w:t>to</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D97463">
        <w:rPr>
          <w:i/>
          <w:iCs/>
        </w:rPr>
        <w:t>acta</w:t>
      </w:r>
      <w:r w:rsidR="00190923" w:rsidRPr="00981405">
        <w:rPr>
          <w:i/>
          <w:iCs/>
        </w:rPr>
        <w:t xml:space="preserve"> </w:t>
      </w:r>
      <w:r w:rsidRPr="00D97463">
        <w:rPr>
          <w:i/>
          <w:iCs/>
        </w:rPr>
        <w:t>jure</w:t>
      </w:r>
      <w:r w:rsidR="00190923" w:rsidRPr="00981405">
        <w:rPr>
          <w:i/>
          <w:iCs/>
        </w:rPr>
        <w:t xml:space="preserve"> </w:t>
      </w:r>
      <w:r w:rsidRPr="00D97463">
        <w:rPr>
          <w:i/>
          <w:iCs/>
        </w:rPr>
        <w:t>imperii</w:t>
      </w:r>
      <w:r w:rsidRPr="00981405">
        <w:t>.</w:t>
      </w:r>
      <w:r w:rsidR="00190923" w:rsidRPr="00981405">
        <w:t xml:space="preserve"> </w:t>
      </w:r>
      <w:r w:rsidRPr="00981405">
        <w:t>Far</w:t>
      </w:r>
      <w:r w:rsidR="00190923" w:rsidRPr="00981405">
        <w:t xml:space="preserve"> </w:t>
      </w:r>
      <w:r w:rsidRPr="00981405">
        <w:t>from</w:t>
      </w:r>
      <w:r w:rsidR="00190923" w:rsidRPr="00981405">
        <w:t xml:space="preserve"> </w:t>
      </w:r>
      <w:r w:rsidRPr="00981405">
        <w:t>that,</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may</w:t>
      </w:r>
      <w:r w:rsidR="00190923" w:rsidRPr="00981405">
        <w:t xml:space="preserve"> </w:t>
      </w:r>
      <w:r w:rsidRPr="00981405">
        <w:t>exceed</w:t>
      </w:r>
      <w:r w:rsidR="00190923" w:rsidRPr="00981405">
        <w:t xml:space="preserve"> </w:t>
      </w:r>
      <w:r w:rsidRPr="00981405">
        <w:t>the</w:t>
      </w:r>
      <w:r w:rsidR="00190923" w:rsidRPr="00981405">
        <w:t xml:space="preserve"> </w:t>
      </w:r>
      <w:r w:rsidRPr="00981405">
        <w:t>limits</w:t>
      </w:r>
      <w:r w:rsidR="00190923" w:rsidRPr="00981405">
        <w:t xml:space="preserve"> </w:t>
      </w:r>
      <w:r w:rsidRPr="00981405">
        <w:t>of</w:t>
      </w:r>
      <w:r w:rsidR="00190923" w:rsidRPr="00981405">
        <w:t xml:space="preserve"> </w:t>
      </w:r>
      <w:r w:rsidRPr="00981405">
        <w:t>an</w:t>
      </w:r>
      <w:r w:rsidR="00190923" w:rsidRPr="00981405">
        <w:t xml:space="preserve"> </w:t>
      </w:r>
      <w:r w:rsidRPr="00A00224">
        <w:t>act</w:t>
      </w:r>
      <w:r w:rsidR="00190923" w:rsidRPr="00D97463">
        <w:t xml:space="preserve"> </w:t>
      </w:r>
      <w:r w:rsidRPr="00D97463">
        <w:rPr>
          <w:i/>
          <w:iCs/>
        </w:rPr>
        <w:t>iure</w:t>
      </w:r>
      <w:r w:rsidR="00190923" w:rsidRPr="00981405">
        <w:rPr>
          <w:i/>
          <w:iCs/>
        </w:rPr>
        <w:t xml:space="preserve"> </w:t>
      </w:r>
      <w:r w:rsidRPr="00D97463">
        <w:rPr>
          <w:i/>
          <w:iCs/>
        </w:rPr>
        <w:t>imperii</w:t>
      </w:r>
      <w:r w:rsidRPr="00981405">
        <w:t>,</w:t>
      </w:r>
      <w:r w:rsidR="00190923" w:rsidRPr="00981405">
        <w:t xml:space="preserve"> </w:t>
      </w:r>
      <w:r w:rsidRPr="00981405">
        <w:t>and</w:t>
      </w:r>
      <w:r w:rsidR="00190923" w:rsidRPr="00981405">
        <w:t xml:space="preserve"> </w:t>
      </w:r>
      <w:r w:rsidRPr="00981405">
        <w:t>may</w:t>
      </w:r>
      <w:r w:rsidR="00190923" w:rsidRPr="00981405">
        <w:t xml:space="preserve"> </w:t>
      </w:r>
      <w:r w:rsidRPr="00981405">
        <w:t>also</w:t>
      </w:r>
      <w:r w:rsidR="00190923" w:rsidRPr="00981405">
        <w:t xml:space="preserve"> </w:t>
      </w:r>
      <w:r w:rsidRPr="00981405">
        <w:t>refer</w:t>
      </w:r>
      <w:r w:rsidR="00190923" w:rsidRPr="00981405">
        <w:t xml:space="preserve"> </w:t>
      </w:r>
      <w:r w:rsidRPr="00981405">
        <w:t>to</w:t>
      </w:r>
      <w:r w:rsidR="00190923" w:rsidRPr="00981405">
        <w:t xml:space="preserve"> </w:t>
      </w:r>
      <w:r w:rsidRPr="00981405">
        <w:t>some</w:t>
      </w:r>
      <w:r w:rsidR="00190923" w:rsidRPr="00981405">
        <w:t xml:space="preserve"> </w:t>
      </w:r>
      <w:r w:rsidRPr="00D97463">
        <w:rPr>
          <w:i/>
          <w:iCs/>
        </w:rPr>
        <w:t>acta</w:t>
      </w:r>
      <w:r w:rsidR="00190923" w:rsidRPr="00981405">
        <w:rPr>
          <w:i/>
          <w:iCs/>
        </w:rPr>
        <w:t xml:space="preserve"> </w:t>
      </w:r>
      <w:r w:rsidRPr="00D97463">
        <w:rPr>
          <w:i/>
          <w:iCs/>
        </w:rPr>
        <w:t>iure</w:t>
      </w:r>
      <w:r w:rsidR="00190923" w:rsidRPr="00981405">
        <w:rPr>
          <w:i/>
          <w:iCs/>
        </w:rPr>
        <w:t xml:space="preserve"> </w:t>
      </w:r>
      <w:r w:rsidRPr="00D97463">
        <w:rPr>
          <w:i/>
          <w:iCs/>
        </w:rPr>
        <w:t>gestionis</w:t>
      </w:r>
      <w:r w:rsidR="00190923" w:rsidRPr="00981405">
        <w:t xml:space="preserve"> </w:t>
      </w:r>
      <w:r w:rsidRPr="00981405">
        <w:t>performed</w:t>
      </w:r>
      <w:r w:rsidR="00190923" w:rsidRPr="00981405">
        <w:t xml:space="preserve"> </w:t>
      </w:r>
      <w:r w:rsidRPr="00981405">
        <w:t>by</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while</w:t>
      </w:r>
      <w:r w:rsidR="00190923" w:rsidRPr="00981405">
        <w:t xml:space="preserve"> </w:t>
      </w:r>
      <w:r w:rsidRPr="00981405">
        <w:t>fulfilling</w:t>
      </w:r>
      <w:r w:rsidR="00190923" w:rsidRPr="00981405">
        <w:t xml:space="preserve"> </w:t>
      </w:r>
      <w:r w:rsidRPr="00981405">
        <w:t>their</w:t>
      </w:r>
      <w:r w:rsidR="00190923" w:rsidRPr="00981405">
        <w:t xml:space="preserve"> </w:t>
      </w:r>
      <w:r w:rsidRPr="00981405">
        <w:t>duties</w:t>
      </w:r>
      <w:r w:rsidR="00190923" w:rsidRPr="00981405">
        <w:t xml:space="preserve"> </w:t>
      </w:r>
      <w:r w:rsidRPr="00981405">
        <w:t>and</w:t>
      </w:r>
      <w:r w:rsidR="00190923" w:rsidRPr="00981405">
        <w:t xml:space="preserve"> </w:t>
      </w:r>
      <w:r w:rsidRPr="00981405">
        <w:t>exercising</w:t>
      </w:r>
      <w:r w:rsidR="00190923" w:rsidRPr="00981405">
        <w:t xml:space="preserve"> </w:t>
      </w:r>
      <w:r w:rsidRPr="00981405">
        <w:t>State</w:t>
      </w:r>
      <w:r w:rsidR="00190923" w:rsidRPr="00981405">
        <w:t xml:space="preserve"> </w:t>
      </w:r>
      <w:r w:rsidRPr="00981405">
        <w:t>functions.</w:t>
      </w:r>
      <w:r w:rsidR="00190923" w:rsidRPr="00981405">
        <w:t xml:space="preserve"> </w:t>
      </w:r>
      <w:r w:rsidRPr="00981405">
        <w:t>(g)</w:t>
      </w:r>
      <w:r w:rsidR="00190923" w:rsidRPr="00981405">
        <w:t xml:space="preserve"> </w:t>
      </w:r>
      <w:r w:rsidRPr="00981405">
        <w:t>the</w:t>
      </w:r>
      <w:r w:rsidR="00190923" w:rsidRPr="00981405">
        <w:t xml:space="preserve"> </w:t>
      </w:r>
      <w:r w:rsidRPr="00981405">
        <w:t>concept</w:t>
      </w:r>
      <w:r w:rsidR="00190923" w:rsidRPr="00981405">
        <w:t xml:space="preserve"> </w:t>
      </w:r>
      <w:r w:rsidRPr="00981405">
        <w:t>bore</w:t>
      </w:r>
      <w:r w:rsidR="00190923" w:rsidRPr="00981405">
        <w:t xml:space="preserve"> </w:t>
      </w:r>
      <w:r w:rsidRPr="00981405">
        <w:t>no</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lawfulness</w:t>
      </w:r>
      <w:r w:rsidR="00190923" w:rsidRPr="00981405">
        <w:t xml:space="preserve"> </w:t>
      </w:r>
      <w:r w:rsidRPr="00981405">
        <w:t>or</w:t>
      </w:r>
      <w:r w:rsidR="00190923" w:rsidRPr="00981405">
        <w:t xml:space="preserve"> </w:t>
      </w:r>
      <w:r w:rsidRPr="00981405">
        <w:t>unlawfulness</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in</w:t>
      </w:r>
      <w:r w:rsidR="00190923" w:rsidRPr="00981405">
        <w:t xml:space="preserve"> </w:t>
      </w:r>
      <w:r w:rsidRPr="00981405">
        <w:t>question;</w:t>
      </w:r>
      <w:r w:rsidR="00190923" w:rsidRPr="00981405">
        <w:t xml:space="preserve"> </w:t>
      </w:r>
      <w:r w:rsidRPr="00981405">
        <w:t>and</w:t>
      </w:r>
      <w:r w:rsidR="00190923" w:rsidRPr="00981405">
        <w:t xml:space="preserve"> </w:t>
      </w:r>
      <w:r w:rsidRPr="00981405">
        <w:t>(h)</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the</w:t>
      </w:r>
      <w:r w:rsidR="00190923" w:rsidRPr="00981405">
        <w:t xml:space="preserve"> </w:t>
      </w:r>
      <w:r w:rsidRPr="00981405">
        <w:t>identification</w:t>
      </w:r>
      <w:r w:rsidR="00190923" w:rsidRPr="00981405">
        <w:t xml:space="preserve"> </w:t>
      </w:r>
      <w:r w:rsidRPr="00981405">
        <w:t>of</w:t>
      </w:r>
      <w:r w:rsidR="00190923" w:rsidRPr="00981405">
        <w:t xml:space="preserve"> </w:t>
      </w:r>
      <w:r w:rsidRPr="00981405">
        <w:t>such</w:t>
      </w:r>
      <w:r w:rsidR="00190923" w:rsidRPr="00981405">
        <w:t xml:space="preserve"> </w:t>
      </w:r>
      <w:r w:rsidRPr="00981405">
        <w:t>an</w:t>
      </w:r>
      <w:r w:rsidR="00190923" w:rsidRPr="00981405">
        <w:t xml:space="preserve"> </w:t>
      </w:r>
      <w:r w:rsidRPr="00981405">
        <w:t>act</w:t>
      </w:r>
      <w:r w:rsidR="00190923" w:rsidRPr="00981405">
        <w:t xml:space="preserve"> </w:t>
      </w:r>
      <w:r w:rsidRPr="00981405">
        <w:t>was</w:t>
      </w:r>
      <w:r w:rsidR="00190923" w:rsidRPr="00981405">
        <w:t xml:space="preserve"> </w:t>
      </w:r>
      <w:r w:rsidRPr="00981405">
        <w:t>always</w:t>
      </w:r>
      <w:r w:rsidR="00190923" w:rsidRPr="00981405">
        <w:t xml:space="preserve"> </w:t>
      </w:r>
      <w:r w:rsidRPr="00981405">
        <w:t>done</w:t>
      </w:r>
      <w:r w:rsidR="00190923" w:rsidRPr="00981405">
        <w:t xml:space="preserve"> </w:t>
      </w:r>
      <w:r w:rsidRPr="00981405">
        <w:t>on</w:t>
      </w:r>
      <w:r w:rsidR="00190923" w:rsidRPr="00981405">
        <w:t xml:space="preserve"> </w:t>
      </w:r>
      <w:r w:rsidRPr="00981405">
        <w:t>case</w:t>
      </w:r>
      <w:r w:rsidR="00190923" w:rsidRPr="00981405">
        <w:t xml:space="preserve"> </w:t>
      </w:r>
      <w:r w:rsidRPr="00981405">
        <w:t>by</w:t>
      </w:r>
      <w:r w:rsidR="00190923" w:rsidRPr="00981405">
        <w:t xml:space="preserve"> </w:t>
      </w:r>
      <w:r w:rsidRPr="00981405">
        <w:t>case</w:t>
      </w:r>
      <w:r w:rsidR="00190923" w:rsidRPr="00981405">
        <w:t xml:space="preserve"> </w:t>
      </w:r>
      <w:r w:rsidRPr="00981405">
        <w:t>basis.</w:t>
      </w:r>
    </w:p>
    <w:p w:rsidR="00397032" w:rsidRPr="00981405" w:rsidRDefault="00397032" w:rsidP="00D97463">
      <w:pPr>
        <w:pStyle w:val="SingleTxt"/>
      </w:pPr>
      <w:r w:rsidRPr="00981405">
        <w:t>189.</w:t>
      </w:r>
      <w:r w:rsidRPr="00981405">
        <w:tab/>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foregoing</w:t>
      </w:r>
      <w:r w:rsidR="00190923" w:rsidRPr="00981405">
        <w:t xml:space="preserve"> </w:t>
      </w:r>
      <w:r w:rsidRPr="00981405">
        <w:t>criteria,</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highlighted</w:t>
      </w:r>
      <w:r w:rsidR="00190923" w:rsidRPr="00981405">
        <w:t xml:space="preserve"> </w:t>
      </w:r>
      <w:r w:rsidRPr="00981405">
        <w:t>the</w:t>
      </w:r>
      <w:r w:rsidR="00190923" w:rsidRPr="00981405">
        <w:t xml:space="preserve"> </w:t>
      </w:r>
      <w:r w:rsidRPr="00981405">
        <w:t>following</w:t>
      </w:r>
      <w:r w:rsidR="00190923" w:rsidRPr="00981405">
        <w:t xml:space="preserve"> </w:t>
      </w:r>
      <w:r w:rsidRPr="00981405">
        <w:t>as</w:t>
      </w:r>
      <w:r w:rsidR="00190923" w:rsidRPr="00981405">
        <w:t xml:space="preserve"> </w:t>
      </w:r>
      <w:r w:rsidRPr="00981405">
        <w:t>the</w:t>
      </w:r>
      <w:r w:rsidR="00190923" w:rsidRPr="00981405">
        <w:t xml:space="preserve"> </w:t>
      </w:r>
      <w:r w:rsidRPr="00981405">
        <w:t>characteristics</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w:t>
      </w:r>
      <w:r w:rsidR="00190923" w:rsidRPr="00981405">
        <w:t xml:space="preserve"> </w:t>
      </w:r>
      <w:r w:rsidRPr="00981405">
        <w:t>it</w:t>
      </w:r>
      <w:r w:rsidR="00190923" w:rsidRPr="00981405">
        <w:t xml:space="preserve"> </w:t>
      </w:r>
      <w:r w:rsidRPr="00981405">
        <w:t>was</w:t>
      </w:r>
      <w:r w:rsidR="00190923" w:rsidRPr="00981405">
        <w:t xml:space="preserve"> </w:t>
      </w:r>
      <w:r w:rsidRPr="00981405">
        <w:t>an</w:t>
      </w:r>
      <w:r w:rsidR="00190923" w:rsidRPr="00981405">
        <w:t xml:space="preserve"> </w:t>
      </w:r>
      <w:r w:rsidRPr="00981405">
        <w:t>act</w:t>
      </w:r>
      <w:r w:rsidR="00190923" w:rsidRPr="00981405">
        <w:t xml:space="preserve"> </w:t>
      </w:r>
      <w:r w:rsidRPr="00981405">
        <w:t>of</w:t>
      </w:r>
      <w:r w:rsidR="00190923" w:rsidRPr="00981405">
        <w:t xml:space="preserve"> </w:t>
      </w:r>
      <w:r w:rsidRPr="00981405">
        <w:t>a</w:t>
      </w:r>
      <w:r w:rsidR="00190923" w:rsidRPr="00981405">
        <w:t xml:space="preserve"> </w:t>
      </w:r>
      <w:r w:rsidRPr="00981405">
        <w:t>criminal</w:t>
      </w:r>
      <w:r w:rsidR="00190923" w:rsidRPr="00981405">
        <w:t xml:space="preserve"> </w:t>
      </w:r>
      <w:r w:rsidRPr="00981405">
        <w:t>nature;</w:t>
      </w:r>
      <w:r w:rsidR="00190923" w:rsidRPr="00981405">
        <w:t xml:space="preserve"> </w:t>
      </w:r>
      <w:r w:rsidRPr="00981405">
        <w:t>(b)</w:t>
      </w:r>
      <w:r w:rsidR="00190923" w:rsidRPr="00981405">
        <w:t xml:space="preserve"> </w:t>
      </w:r>
      <w:r w:rsidRPr="00981405">
        <w:t>the</w:t>
      </w:r>
      <w:r w:rsidR="00190923" w:rsidRPr="00981405">
        <w:t xml:space="preserve"> </w:t>
      </w:r>
      <w:r w:rsidRPr="00981405">
        <w:t>act</w:t>
      </w:r>
      <w:r w:rsidR="00190923" w:rsidRPr="00981405">
        <w:t xml:space="preserve"> </w:t>
      </w:r>
      <w:r w:rsidRPr="00981405">
        <w:t>was</w:t>
      </w:r>
      <w:r w:rsidR="00190923" w:rsidRPr="00981405">
        <w:t xml:space="preserve"> </w:t>
      </w:r>
      <w:r w:rsidRPr="00981405">
        <w:t>performed</w:t>
      </w:r>
      <w:r w:rsidR="00190923" w:rsidRPr="00981405">
        <w:t xml:space="preserve"> </w:t>
      </w:r>
      <w:r w:rsidRPr="00981405">
        <w:t>on</w:t>
      </w:r>
      <w:r w:rsidR="00190923" w:rsidRPr="00981405">
        <w:t xml:space="preserve"> </w:t>
      </w:r>
      <w:r w:rsidRPr="00981405">
        <w:t>behalf</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(c)</w:t>
      </w:r>
      <w:r w:rsidR="00190923" w:rsidRPr="00981405">
        <w:t xml:space="preserve"> </w:t>
      </w:r>
      <w:r w:rsidRPr="00981405">
        <w:t>it</w:t>
      </w:r>
      <w:r w:rsidR="00190923" w:rsidRPr="00981405">
        <w:t xml:space="preserve"> </w:t>
      </w:r>
      <w:r w:rsidRPr="00981405">
        <w:t>involved</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and</w:t>
      </w:r>
      <w:r w:rsidR="00190923" w:rsidRPr="00981405">
        <w:t xml:space="preserve"> </w:t>
      </w:r>
      <w:r w:rsidRPr="00981405">
        <w:t>elements</w:t>
      </w:r>
      <w:r w:rsidR="00190923" w:rsidRPr="00981405">
        <w:t xml:space="preserve"> </w:t>
      </w:r>
      <w:r w:rsidRPr="00981405">
        <w:t>of</w:t>
      </w:r>
      <w:r w:rsidR="00190923" w:rsidRPr="00981405">
        <w:t xml:space="preserve"> </w:t>
      </w:r>
      <w:r w:rsidRPr="00981405">
        <w:t>governmental</w:t>
      </w:r>
      <w:r w:rsidR="00190923" w:rsidRPr="00981405">
        <w:t xml:space="preserve"> </w:t>
      </w:r>
      <w:r w:rsidRPr="00981405">
        <w:t>authority.</w:t>
      </w:r>
    </w:p>
    <w:p w:rsidR="00397032" w:rsidRPr="00981405" w:rsidRDefault="00397032" w:rsidP="00D97463">
      <w:pPr>
        <w:pStyle w:val="SingleTxt"/>
      </w:pPr>
      <w:r w:rsidRPr="00981405">
        <w:t>190.</w:t>
      </w:r>
      <w:r w:rsidRPr="00981405">
        <w:tab/>
        <w:t>The</w:t>
      </w:r>
      <w:r w:rsidR="00190923" w:rsidRPr="00981405">
        <w:t xml:space="preserve"> </w:t>
      </w:r>
      <w:r w:rsidRPr="00981405">
        <w:t>criminal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had</w:t>
      </w:r>
      <w:r w:rsidR="00190923" w:rsidRPr="00981405">
        <w:t xml:space="preserve"> </w:t>
      </w:r>
      <w:r w:rsidRPr="00981405">
        <w:t>implications</w:t>
      </w:r>
      <w:r w:rsidR="00190923" w:rsidRPr="00981405">
        <w:t xml:space="preserve"> </w:t>
      </w:r>
      <w:r w:rsidRPr="00981405">
        <w:t>for</w:t>
      </w:r>
      <w:r w:rsidR="00190923" w:rsidRPr="00981405">
        <w:t xml:space="preserve"> </w:t>
      </w:r>
      <w:r w:rsidRPr="00981405">
        <w:t>immunity</w:t>
      </w:r>
      <w:r w:rsidR="00190923" w:rsidRPr="00981405">
        <w:t xml:space="preserve"> </w:t>
      </w:r>
      <w:r w:rsidRPr="00981405">
        <w:t>in</w:t>
      </w:r>
      <w:r w:rsidR="00190923" w:rsidRPr="00981405">
        <w:t xml:space="preserve"> </w:t>
      </w:r>
      <w:r w:rsidRPr="00981405">
        <w:t>that</w:t>
      </w:r>
      <w:r w:rsidR="00190923" w:rsidRPr="00981405">
        <w:t xml:space="preserve"> </w:t>
      </w:r>
      <w:r w:rsidRPr="00981405">
        <w:t>the</w:t>
      </w:r>
      <w:r w:rsidR="00190923" w:rsidRPr="00981405">
        <w:t xml:space="preserve"> </w:t>
      </w:r>
      <w:r w:rsidRPr="00981405">
        <w:t>criminal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could</w:t>
      </w:r>
      <w:r w:rsidR="00190923" w:rsidRPr="00981405">
        <w:t xml:space="preserve"> </w:t>
      </w:r>
      <w:r w:rsidRPr="00981405">
        <w:t>conceivably</w:t>
      </w:r>
      <w:r w:rsidR="00190923" w:rsidRPr="00981405">
        <w:t xml:space="preserve"> </w:t>
      </w:r>
      <w:r w:rsidRPr="00981405">
        <w:t>occasion</w:t>
      </w:r>
      <w:r w:rsidR="00190923" w:rsidRPr="00981405">
        <w:t xml:space="preserve"> </w:t>
      </w:r>
      <w:r w:rsidRPr="00981405">
        <w:t>two</w:t>
      </w:r>
      <w:r w:rsidR="00190923" w:rsidRPr="00981405">
        <w:t xml:space="preserve"> </w:t>
      </w:r>
      <w:r w:rsidRPr="00981405">
        <w:t>different</w:t>
      </w:r>
      <w:r w:rsidR="00190923" w:rsidRPr="00981405">
        <w:t xml:space="preserve"> </w:t>
      </w:r>
      <w:r w:rsidRPr="00981405">
        <w:t>types</w:t>
      </w:r>
      <w:r w:rsidR="00190923" w:rsidRPr="00981405">
        <w:t xml:space="preserve"> </w:t>
      </w:r>
      <w:r w:rsidRPr="00981405">
        <w:t>of</w:t>
      </w:r>
      <w:r w:rsidR="00190923" w:rsidRPr="00981405">
        <w:t xml:space="preserve"> </w:t>
      </w:r>
      <w:r w:rsidRPr="00981405">
        <w:t>responsibility,</w:t>
      </w:r>
      <w:r w:rsidR="00190923" w:rsidRPr="00981405">
        <w:t xml:space="preserve"> </w:t>
      </w:r>
      <w:r w:rsidRPr="00981405">
        <w:t>one</w:t>
      </w:r>
      <w:r w:rsidR="00190923" w:rsidRPr="00981405">
        <w:t xml:space="preserve"> </w:t>
      </w:r>
      <w:r w:rsidRPr="00981405">
        <w:t>criminal</w:t>
      </w:r>
      <w:r w:rsidR="00190923" w:rsidRPr="00981405">
        <w:t xml:space="preserve"> </w:t>
      </w:r>
      <w:r w:rsidRPr="00981405">
        <w:t>in</w:t>
      </w:r>
      <w:r w:rsidR="00190923" w:rsidRPr="00981405">
        <w:t xml:space="preserve"> </w:t>
      </w:r>
      <w:r w:rsidRPr="00981405">
        <w:t>nature</w:t>
      </w:r>
      <w:r w:rsidR="00190923" w:rsidRPr="00981405">
        <w:t xml:space="preserve"> </w:t>
      </w:r>
      <w:r w:rsidRPr="00981405">
        <w:t>attributable</w:t>
      </w:r>
      <w:r w:rsidR="00190923" w:rsidRPr="00981405">
        <w:t xml:space="preserve"> </w:t>
      </w:r>
      <w:r w:rsidRPr="00981405">
        <w:t>to</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lastRenderedPageBreak/>
        <w:t>and</w:t>
      </w:r>
      <w:r w:rsidR="00190923" w:rsidRPr="00981405">
        <w:t xml:space="preserve"> </w:t>
      </w:r>
      <w:r w:rsidRPr="00981405">
        <w:t>another</w:t>
      </w:r>
      <w:r w:rsidR="00190923" w:rsidRPr="00981405">
        <w:t xml:space="preserve"> </w:t>
      </w:r>
      <w:r w:rsidRPr="00981405">
        <w:t>civil</w:t>
      </w:r>
      <w:r w:rsidR="00190923" w:rsidRPr="00981405">
        <w:t xml:space="preserve"> </w:t>
      </w:r>
      <w:r w:rsidRPr="00981405">
        <w:t>in</w:t>
      </w:r>
      <w:r w:rsidR="00190923" w:rsidRPr="00981405">
        <w:t xml:space="preserve"> </w:t>
      </w:r>
      <w:r w:rsidRPr="00981405">
        <w:t>nature</w:t>
      </w:r>
      <w:r w:rsidR="00190923" w:rsidRPr="00981405">
        <w:t xml:space="preserve"> </w:t>
      </w:r>
      <w:r w:rsidRPr="00981405">
        <w:t>attaching</w:t>
      </w:r>
      <w:r w:rsidR="00190923" w:rsidRPr="00981405">
        <w:t xml:space="preserve"> </w:t>
      </w:r>
      <w:r w:rsidRPr="00981405">
        <w:t>to</w:t>
      </w:r>
      <w:r w:rsidR="00190923" w:rsidRPr="00981405">
        <w:t xml:space="preserve"> </w:t>
      </w:r>
      <w:r w:rsidRPr="00981405">
        <w:t>the</w:t>
      </w:r>
      <w:r w:rsidR="00190923" w:rsidRPr="00981405">
        <w:t xml:space="preserve"> </w:t>
      </w:r>
      <w:r w:rsidRPr="00981405">
        <w:t>perpetrator</w:t>
      </w:r>
      <w:r w:rsidR="00190923" w:rsidRPr="00981405">
        <w:t xml:space="preserve"> </w:t>
      </w:r>
      <w:r w:rsidRPr="00981405">
        <w:t>or</w:t>
      </w:r>
      <w:r w:rsidR="00190923" w:rsidRPr="00981405">
        <w:t xml:space="preserve"> </w:t>
      </w:r>
      <w:r w:rsidRPr="00981405">
        <w:t>to</w:t>
      </w:r>
      <w:r w:rsidR="00190923" w:rsidRPr="00981405">
        <w:t xml:space="preserve"> </w:t>
      </w:r>
      <w:r w:rsidRPr="00981405">
        <w:t>a</w:t>
      </w:r>
      <w:r w:rsidR="00190923" w:rsidRPr="00981405">
        <w:t xml:space="preserve"> </w:t>
      </w:r>
      <w:r w:rsidRPr="00981405">
        <w:t>State.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attached</w:t>
      </w:r>
      <w:r w:rsidR="00190923" w:rsidRPr="00981405">
        <w:t xml:space="preserve"> </w:t>
      </w:r>
      <w:r w:rsidRPr="00981405">
        <w:t>particular</w:t>
      </w:r>
      <w:r w:rsidR="00190923" w:rsidRPr="00981405">
        <w:t xml:space="preserve"> </w:t>
      </w:r>
      <w:r w:rsidRPr="00981405">
        <w:t>stress</w:t>
      </w:r>
      <w:r w:rsidR="00190923" w:rsidRPr="00981405">
        <w:t xml:space="preserve"> </w:t>
      </w:r>
      <w:r w:rsidRPr="00981405">
        <w:t>to</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single</w:t>
      </w:r>
      <w:r w:rsidR="00190923" w:rsidRPr="00981405">
        <w:t xml:space="preserve"> </w:t>
      </w:r>
      <w:r w:rsidRPr="00981405">
        <w:t>act,</w:t>
      </w:r>
      <w:r w:rsidR="00190923" w:rsidRPr="00981405">
        <w:t xml:space="preserve"> </w:t>
      </w:r>
      <w:r w:rsidRPr="00981405">
        <w:t>dual</w:t>
      </w:r>
      <w:r w:rsidR="00190923" w:rsidRPr="00981405">
        <w:t xml:space="preserve"> </w:t>
      </w:r>
      <w:r w:rsidRPr="00981405">
        <w:t>responsibility</w:t>
      </w:r>
      <w:r w:rsidR="00B92E2C" w:rsidRPr="00981405">
        <w:t>”</w:t>
      </w:r>
      <w:r w:rsidR="00190923" w:rsidRPr="00981405">
        <w:t xml:space="preserve"> </w:t>
      </w:r>
      <w:r w:rsidRPr="00981405">
        <w:t>model</w:t>
      </w:r>
      <w:r w:rsidR="00190923" w:rsidRPr="00981405">
        <w:t xml:space="preserve"> </w:t>
      </w:r>
      <w:r w:rsidRPr="00981405">
        <w:t>brought</w:t>
      </w:r>
      <w:r w:rsidR="00190923" w:rsidRPr="00981405">
        <w:t xml:space="preserve"> </w:t>
      </w:r>
      <w:r w:rsidRPr="00981405">
        <w:t>about</w:t>
      </w:r>
      <w:r w:rsidR="00190923" w:rsidRPr="00981405">
        <w:t xml:space="preserve"> </w:t>
      </w:r>
      <w:r w:rsidRPr="00981405">
        <w:t>several</w:t>
      </w:r>
      <w:r w:rsidR="00190923" w:rsidRPr="00981405">
        <w:t xml:space="preserve"> </w:t>
      </w:r>
      <w:r w:rsidRPr="00981405">
        <w:t>scenari</w:t>
      </w:r>
      <w:r w:rsidR="00B247C2" w:rsidRPr="00981405">
        <w:t>o</w:t>
      </w:r>
      <w:r w:rsidRPr="00981405">
        <w:t>,</w:t>
      </w:r>
      <w:r w:rsidR="00190923" w:rsidRPr="00981405">
        <w:t xml:space="preserve"> </w:t>
      </w:r>
      <w:r w:rsidRPr="00981405">
        <w:t>which</w:t>
      </w:r>
      <w:r w:rsidR="00190923" w:rsidRPr="00981405">
        <w:t xml:space="preserve"> </w:t>
      </w:r>
      <w:r w:rsidRPr="00981405">
        <w:t>were</w:t>
      </w:r>
      <w:r w:rsidR="00190923" w:rsidRPr="00981405">
        <w:t xml:space="preserve"> </w:t>
      </w:r>
      <w:r w:rsidRPr="00981405">
        <w:t>relevant</w:t>
      </w:r>
      <w:r w:rsidR="00190923" w:rsidRPr="00981405">
        <w:t xml:space="preserve"> </w:t>
      </w:r>
      <w:r w:rsidRPr="00981405">
        <w:t>for</w:t>
      </w:r>
      <w:r w:rsidR="00190923" w:rsidRPr="00981405">
        <w:t xml:space="preserve"> </w:t>
      </w:r>
      <w:r w:rsidRPr="00981405">
        <w:t>immunity,</w:t>
      </w:r>
      <w:r w:rsidR="00190923" w:rsidRPr="00981405">
        <w:t xml:space="preserve"> </w:t>
      </w:r>
      <w:r w:rsidRPr="00981405">
        <w:t>including</w:t>
      </w:r>
      <w:r w:rsidR="00190923" w:rsidRPr="00981405">
        <w:t xml:space="preserve"> </w:t>
      </w:r>
      <w:r w:rsidRPr="00981405">
        <w:t>(a)</w:t>
      </w:r>
      <w:r w:rsidR="00190923" w:rsidRPr="00981405">
        <w:t xml:space="preserve"> </w:t>
      </w:r>
      <w:r w:rsidRPr="00981405">
        <w:t>exclusive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in</w:t>
      </w:r>
      <w:r w:rsidR="00190923" w:rsidRPr="00981405">
        <w:t xml:space="preserve"> </w:t>
      </w:r>
      <w:r w:rsidRPr="00981405">
        <w:t>cases</w:t>
      </w:r>
      <w:r w:rsidR="00190923" w:rsidRPr="00981405">
        <w:t xml:space="preserve"> </w:t>
      </w:r>
      <w:r w:rsidRPr="00981405">
        <w:t>where</w:t>
      </w:r>
      <w:r w:rsidR="00190923" w:rsidRPr="00981405">
        <w:t xml:space="preserve"> </w:t>
      </w:r>
      <w:r w:rsidRPr="00981405">
        <w:t>the</w:t>
      </w:r>
      <w:r w:rsidR="00190923" w:rsidRPr="00981405">
        <w:t xml:space="preserve"> </w:t>
      </w:r>
      <w:r w:rsidRPr="00981405">
        <w:t>act</w:t>
      </w:r>
      <w:r w:rsidR="00190923" w:rsidRPr="00981405">
        <w:t xml:space="preserve"> </w:t>
      </w:r>
      <w:r w:rsidRPr="00981405">
        <w:t>was</w:t>
      </w:r>
      <w:r w:rsidR="00190923" w:rsidRPr="00981405">
        <w:t xml:space="preserve"> </w:t>
      </w:r>
      <w:r w:rsidRPr="00981405">
        <w:t>not</w:t>
      </w:r>
      <w:r w:rsidR="00190923" w:rsidRPr="00981405">
        <w:t xml:space="preserve"> </w:t>
      </w:r>
      <w:r w:rsidRPr="00981405">
        <w:t>attributable</w:t>
      </w:r>
      <w:r w:rsidR="00190923" w:rsidRPr="00981405">
        <w:t xml:space="preserve"> </w:t>
      </w:r>
      <w:r w:rsidRPr="00981405">
        <w:t>to</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by</w:t>
      </w:r>
      <w:r w:rsidR="00190923" w:rsidRPr="00981405">
        <w:t xml:space="preserve"> </w:t>
      </w:r>
      <w:r w:rsidRPr="00981405">
        <w:t>whom</w:t>
      </w:r>
      <w:r w:rsidR="00190923" w:rsidRPr="00981405">
        <w:t xml:space="preserve"> </w:t>
      </w:r>
      <w:r w:rsidRPr="00981405">
        <w:t>it</w:t>
      </w:r>
      <w:r w:rsidR="00190923" w:rsidRPr="00981405">
        <w:t xml:space="preserve"> </w:t>
      </w:r>
      <w:r w:rsidRPr="00981405">
        <w:t>was</w:t>
      </w:r>
      <w:r w:rsidR="00190923" w:rsidRPr="00981405">
        <w:t xml:space="preserve"> </w:t>
      </w:r>
      <w:r w:rsidRPr="00981405">
        <w:t>committed;</w:t>
      </w:r>
      <w:r w:rsidR="00190923" w:rsidRPr="00981405">
        <w:t xml:space="preserve"> </w:t>
      </w:r>
      <w:r w:rsidRPr="00981405">
        <w:t>(b)</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criminal</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an</w:t>
      </w:r>
      <w:r w:rsidR="00190923" w:rsidRPr="00981405">
        <w:t xml:space="preserve"> </w:t>
      </w:r>
      <w:r w:rsidRPr="00981405">
        <w:t>individual,</w:t>
      </w:r>
      <w:r w:rsidR="00190923" w:rsidRPr="00981405">
        <w:t xml:space="preserve"> </w:t>
      </w:r>
      <w:r w:rsidRPr="00981405">
        <w:t>when</w:t>
      </w:r>
      <w:r w:rsidR="00190923" w:rsidRPr="00981405">
        <w:t xml:space="preserve"> </w:t>
      </w:r>
      <w:r w:rsidRPr="00981405">
        <w:t>the</w:t>
      </w:r>
      <w:r w:rsidR="00190923" w:rsidRPr="00981405">
        <w:t xml:space="preserve"> </w:t>
      </w:r>
      <w:r w:rsidRPr="00981405">
        <w:t>act</w:t>
      </w:r>
      <w:r w:rsidR="00190923" w:rsidRPr="00981405">
        <w:t xml:space="preserve"> </w:t>
      </w:r>
      <w:r w:rsidRPr="00981405">
        <w:t>was</w:t>
      </w:r>
      <w:r w:rsidR="00190923" w:rsidRPr="00981405">
        <w:t xml:space="preserve"> </w:t>
      </w:r>
      <w:r w:rsidRPr="00981405">
        <w:t>attributable</w:t>
      </w:r>
      <w:r w:rsidR="00190923" w:rsidRPr="00981405">
        <w:t xml:space="preserve"> </w:t>
      </w:r>
      <w:r w:rsidRPr="00981405">
        <w:t>to</w:t>
      </w:r>
      <w:r w:rsidR="00190923" w:rsidRPr="00981405">
        <w:t xml:space="preserve"> </w:t>
      </w:r>
      <w:r w:rsidRPr="00981405">
        <w:t>both;</w:t>
      </w:r>
      <w:r w:rsidR="00190923" w:rsidRPr="00981405">
        <w:t xml:space="preserve"> </w:t>
      </w:r>
      <w:r w:rsidRPr="00981405">
        <w:t>(c)</w:t>
      </w:r>
      <w:r w:rsidR="00190923" w:rsidRPr="00981405">
        <w:t xml:space="preserve"> </w:t>
      </w:r>
      <w:r w:rsidRPr="00981405">
        <w:t>exclusive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when</w:t>
      </w:r>
      <w:r w:rsidR="00190923" w:rsidRPr="00981405">
        <w:t xml:space="preserve"> </w:t>
      </w:r>
      <w:r w:rsidRPr="00981405">
        <w:t>the</w:t>
      </w:r>
      <w:r w:rsidR="00190923" w:rsidRPr="00981405">
        <w:t xml:space="preserve"> </w:t>
      </w:r>
      <w:r w:rsidRPr="00981405">
        <w:t>act</w:t>
      </w:r>
      <w:r w:rsidR="00190923" w:rsidRPr="00981405">
        <w:t xml:space="preserve"> </w:t>
      </w:r>
      <w:r w:rsidRPr="00981405">
        <w:t>was</w:t>
      </w:r>
      <w:r w:rsidR="00190923" w:rsidRPr="00981405">
        <w:t xml:space="preserve"> </w:t>
      </w:r>
      <w:r w:rsidRPr="00981405">
        <w:t>solely</w:t>
      </w:r>
      <w:r w:rsidR="00190923" w:rsidRPr="00981405">
        <w:t xml:space="preserve"> </w:t>
      </w:r>
      <w:r w:rsidRPr="00981405">
        <w:t>attributable</w:t>
      </w:r>
      <w:r w:rsidR="00190923" w:rsidRPr="00981405">
        <w:t xml:space="preserve"> </w:t>
      </w:r>
      <w:r w:rsidRPr="00981405">
        <w:t>to</w:t>
      </w:r>
      <w:r w:rsidR="00190923" w:rsidRPr="00981405">
        <w:t xml:space="preserve"> </w:t>
      </w:r>
      <w:r w:rsidRPr="00981405">
        <w:t>such</w:t>
      </w:r>
      <w:r w:rsidR="00190923" w:rsidRPr="00981405">
        <w:t xml:space="preserve"> </w:t>
      </w:r>
      <w:r w:rsidRPr="00981405">
        <w:t>individual,</w:t>
      </w:r>
      <w:r w:rsidR="00190923" w:rsidRPr="00981405">
        <w:t xml:space="preserve"> </w:t>
      </w:r>
      <w:r w:rsidRPr="00981405">
        <w:t>even</w:t>
      </w:r>
      <w:r w:rsidR="00190923" w:rsidRPr="00981405">
        <w:t xml:space="preserve"> </w:t>
      </w:r>
      <w:r w:rsidRPr="00981405">
        <w:t>though</w:t>
      </w:r>
      <w:r w:rsidR="00190923" w:rsidRPr="00981405">
        <w:t xml:space="preserve"> </w:t>
      </w:r>
      <w:r w:rsidRPr="00981405">
        <w:t>he</w:t>
      </w:r>
      <w:r w:rsidR="00190923" w:rsidRPr="00981405">
        <w:t xml:space="preserve"> </w:t>
      </w:r>
      <w:r w:rsidRPr="00981405">
        <w:t>or</w:t>
      </w:r>
      <w:r w:rsidR="00190923" w:rsidRPr="00981405">
        <w:t xml:space="preserve"> </w:t>
      </w:r>
      <w:r w:rsidRPr="00981405">
        <w:t>she</w:t>
      </w:r>
      <w:r w:rsidR="00190923" w:rsidRPr="00981405">
        <w:t xml:space="preserve"> </w:t>
      </w:r>
      <w:r w:rsidRPr="00981405">
        <w:t>acted</w:t>
      </w:r>
      <w:r w:rsidR="00190923" w:rsidRPr="00981405">
        <w:t xml:space="preserve"> </w:t>
      </w:r>
      <w:r w:rsidRPr="00981405">
        <w:t>as</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observed</w:t>
      </w:r>
      <w:r w:rsidR="00190923" w:rsidRPr="00981405">
        <w:t xml:space="preserve"> </w:t>
      </w:r>
      <w:r w:rsidRPr="00981405">
        <w:t>that</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three</w:t>
      </w:r>
      <w:r w:rsidR="00190923" w:rsidRPr="00981405">
        <w:t xml:space="preserve"> </w:t>
      </w:r>
      <w:r w:rsidRPr="00981405">
        <w:t>possible</w:t>
      </w:r>
      <w:r w:rsidR="00190923" w:rsidRPr="00981405">
        <w:t xml:space="preserve"> </w:t>
      </w:r>
      <w:r w:rsidR="00BA12B3" w:rsidRPr="00981405">
        <w:t>scenario</w:t>
      </w:r>
      <w:r w:rsidRPr="00981405">
        <w:t>,</w:t>
      </w:r>
      <w:r w:rsidR="00190923" w:rsidRPr="00981405">
        <w:t xml:space="preserve"> </w:t>
      </w:r>
      <w:r w:rsidRPr="00981405">
        <w:t>a</w:t>
      </w:r>
      <w:r w:rsidR="00190923" w:rsidRPr="00981405">
        <w:t xml:space="preserve"> </w:t>
      </w:r>
      <w:r w:rsidRPr="00981405">
        <w:t>claim</w:t>
      </w:r>
      <w:r w:rsidR="00190923" w:rsidRPr="00981405">
        <w:t xml:space="preserve"> </w:t>
      </w:r>
      <w:r w:rsidRPr="00981405">
        <w:t>of</w:t>
      </w:r>
      <w:r w:rsidR="00190923" w:rsidRPr="00981405">
        <w:t xml:space="preserve"> </w:t>
      </w:r>
      <w:r w:rsidRPr="00981405">
        <w:t>immunity</w:t>
      </w:r>
      <w:r w:rsidR="00190923" w:rsidRPr="00981405">
        <w:t xml:space="preserve"> </w:t>
      </w:r>
      <w:r w:rsidRPr="00981405">
        <w:t>may</w:t>
      </w:r>
      <w:r w:rsidR="00190923" w:rsidRPr="00981405">
        <w:t xml:space="preserve"> </w:t>
      </w:r>
      <w:r w:rsidRPr="00981405">
        <w:t>be</w:t>
      </w:r>
      <w:r w:rsidR="00190923" w:rsidRPr="00981405">
        <w:t xml:space="preserve"> </w:t>
      </w:r>
      <w:r w:rsidRPr="00981405">
        <w:t>invoked</w:t>
      </w:r>
      <w:r w:rsidR="00190923" w:rsidRPr="00981405">
        <w:t xml:space="preserve"> </w:t>
      </w:r>
      <w:r w:rsidRPr="00981405">
        <w:t>based</w:t>
      </w:r>
      <w:r w:rsidR="00190923" w:rsidRPr="00981405">
        <w:t xml:space="preserve"> </w:t>
      </w:r>
      <w:r w:rsidRPr="00981405">
        <w:t>on:</w:t>
      </w:r>
      <w:r w:rsidR="00190923" w:rsidRPr="00981405">
        <w:t xml:space="preserve"> </w:t>
      </w:r>
      <w:r w:rsidRPr="00981405">
        <w:t>(a)</w:t>
      </w:r>
      <w:r w:rsidR="00190923" w:rsidRPr="00981405">
        <w:t xml:space="preserve"> </w:t>
      </w:r>
      <w:r w:rsidRPr="00981405">
        <w:t>State</w:t>
      </w:r>
      <w:r w:rsidR="00190923" w:rsidRPr="00981405">
        <w:t xml:space="preserve"> </w:t>
      </w:r>
      <w:r w:rsidRPr="00981405">
        <w:t>immunity,</w:t>
      </w:r>
      <w:r w:rsidR="00190923" w:rsidRPr="00981405">
        <w:t xml:space="preserve"> </w:t>
      </w:r>
      <w:r w:rsidRPr="00981405">
        <w:t>in</w:t>
      </w:r>
      <w:r w:rsidR="00190923" w:rsidRPr="00981405">
        <w:t xml:space="preserve"> </w:t>
      </w:r>
      <w:r w:rsidRPr="00981405">
        <w:t>the</w:t>
      </w:r>
      <w:r w:rsidR="00190923" w:rsidRPr="00981405">
        <w:t xml:space="preserve"> </w:t>
      </w:r>
      <w:r w:rsidRPr="00981405">
        <w:t>event</w:t>
      </w:r>
      <w:r w:rsidR="00190923" w:rsidRPr="00981405">
        <w:t xml:space="preserve"> </w:t>
      </w:r>
      <w:r w:rsidRPr="00981405">
        <w:t>that</w:t>
      </w:r>
      <w:r w:rsidR="00190923" w:rsidRPr="00981405">
        <w:t xml:space="preserve"> </w:t>
      </w:r>
      <w:r w:rsidRPr="00981405">
        <w:t>the</w:t>
      </w:r>
      <w:r w:rsidR="00190923" w:rsidRPr="00981405">
        <w:t xml:space="preserve"> </w:t>
      </w:r>
      <w:r w:rsidRPr="00981405">
        <w:t>act</w:t>
      </w:r>
      <w:r w:rsidR="00190923" w:rsidRPr="00981405">
        <w:t xml:space="preserve"> </w:t>
      </w:r>
      <w:r w:rsidRPr="00981405">
        <w:t>could</w:t>
      </w:r>
      <w:r w:rsidR="00190923" w:rsidRPr="00981405">
        <w:t xml:space="preserve"> </w:t>
      </w:r>
      <w:r w:rsidRPr="00981405">
        <w:t>only</w:t>
      </w:r>
      <w:r w:rsidR="00190923" w:rsidRPr="00981405">
        <w:t xml:space="preserve"> </w:t>
      </w:r>
      <w:r w:rsidRPr="00981405">
        <w:t>be</w:t>
      </w:r>
      <w:r w:rsidR="00190923" w:rsidRPr="00981405">
        <w:t xml:space="preserve"> </w:t>
      </w:r>
      <w:r w:rsidRPr="00981405">
        <w:t>attributed</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only</w:t>
      </w:r>
      <w:r w:rsidR="00190923" w:rsidRPr="00981405">
        <w:t xml:space="preserve"> </w:t>
      </w:r>
      <w:r w:rsidRPr="00981405">
        <w:t>the</w:t>
      </w:r>
      <w:r w:rsidR="00190923" w:rsidRPr="00981405">
        <w:t xml:space="preserve"> </w:t>
      </w:r>
      <w:r w:rsidRPr="00981405">
        <w:t>State</w:t>
      </w:r>
      <w:r w:rsidR="00190923" w:rsidRPr="00981405">
        <w:t xml:space="preserve"> </w:t>
      </w:r>
      <w:r w:rsidRPr="00981405">
        <w:t>alone</w:t>
      </w:r>
      <w:r w:rsidR="00190923" w:rsidRPr="00981405">
        <w:t xml:space="preserve"> </w:t>
      </w:r>
      <w:r w:rsidRPr="00981405">
        <w:t>could</w:t>
      </w:r>
      <w:r w:rsidR="00190923" w:rsidRPr="00981405">
        <w:t xml:space="preserve"> </w:t>
      </w:r>
      <w:r w:rsidRPr="00981405">
        <w:t>be</w:t>
      </w:r>
      <w:r w:rsidR="00190923" w:rsidRPr="00981405">
        <w:t xml:space="preserve"> </w:t>
      </w:r>
      <w:r w:rsidRPr="00981405">
        <w:t>held</w:t>
      </w:r>
      <w:r w:rsidR="00190923" w:rsidRPr="00981405">
        <w:t xml:space="preserve"> </w:t>
      </w:r>
      <w:r w:rsidRPr="00981405">
        <w:t>responsible;</w:t>
      </w:r>
      <w:r w:rsidR="00190923" w:rsidRPr="00981405">
        <w:t xml:space="preserve"> </w:t>
      </w:r>
      <w:r w:rsidRPr="00981405">
        <w:t>(b)</w:t>
      </w:r>
      <w:r w:rsidR="00190923" w:rsidRPr="00981405">
        <w:t xml:space="preserve"> </w:t>
      </w:r>
      <w:r w:rsidRPr="00981405">
        <w:t>State</w:t>
      </w:r>
      <w:r w:rsidR="00190923" w:rsidRPr="00981405">
        <w:t xml:space="preserve"> </w:t>
      </w:r>
      <w:r w:rsidRPr="00981405">
        <w:t>immunity</w:t>
      </w:r>
      <w:r w:rsidR="00190923" w:rsidRPr="00981405">
        <w:t xml:space="preserve"> </w:t>
      </w:r>
      <w:r w:rsidRPr="00981405">
        <w:t>and</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where</w:t>
      </w:r>
      <w:r w:rsidR="00190923" w:rsidRPr="00981405">
        <w:t xml:space="preserve"> </w:t>
      </w:r>
      <w:r w:rsidRPr="00981405">
        <w:t>the</w:t>
      </w:r>
      <w:r w:rsidR="00190923" w:rsidRPr="00981405">
        <w:t xml:space="preserve"> </w:t>
      </w:r>
      <w:r w:rsidRPr="00981405">
        <w:t>act</w:t>
      </w:r>
      <w:r w:rsidR="00190923" w:rsidRPr="00981405">
        <w:t xml:space="preserve"> </w:t>
      </w:r>
      <w:r w:rsidRPr="00981405">
        <w:t>is</w:t>
      </w:r>
      <w:r w:rsidR="00190923" w:rsidRPr="00981405">
        <w:t xml:space="preserve"> </w:t>
      </w:r>
      <w:r w:rsidRPr="00981405">
        <w:t>attributable</w:t>
      </w:r>
      <w:r w:rsidR="00190923" w:rsidRPr="00981405">
        <w:t xml:space="preserve"> </w:t>
      </w:r>
      <w:r w:rsidRPr="00981405">
        <w:t>to</w:t>
      </w:r>
      <w:r w:rsidR="00190923" w:rsidRPr="00981405">
        <w:t xml:space="preserve"> </w:t>
      </w:r>
      <w:r w:rsidRPr="00981405">
        <w:t>both</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the</w:t>
      </w:r>
      <w:r w:rsidR="00190923" w:rsidRPr="00981405">
        <w:t xml:space="preserve"> </w:t>
      </w:r>
      <w:r w:rsidRPr="00981405">
        <w:t>individual.</w:t>
      </w:r>
    </w:p>
    <w:p w:rsidR="00397032" w:rsidRPr="00981405" w:rsidRDefault="00397032" w:rsidP="00D97463">
      <w:pPr>
        <w:pStyle w:val="SingleTxt"/>
      </w:pPr>
      <w:r w:rsidRPr="00981405">
        <w:t>191.</w:t>
      </w:r>
      <w:r w:rsidRPr="00981405">
        <w:tab/>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was</w:t>
      </w:r>
      <w:r w:rsidR="00190923" w:rsidRPr="00981405">
        <w:t xml:space="preserve"> </w:t>
      </w:r>
      <w:r w:rsidRPr="00981405">
        <w:t>individual</w:t>
      </w:r>
      <w:r w:rsidR="00190923" w:rsidRPr="00981405">
        <w:t xml:space="preserve"> </w:t>
      </w:r>
      <w:r w:rsidRPr="00981405">
        <w:t>in</w:t>
      </w:r>
      <w:r w:rsidR="00190923" w:rsidRPr="00981405">
        <w:t xml:space="preserve"> </w:t>
      </w:r>
      <w:r w:rsidRPr="00981405">
        <w:t>nature</w:t>
      </w:r>
      <w:r w:rsidR="00190923" w:rsidRPr="00981405">
        <w:t xml:space="preserve"> </w:t>
      </w:r>
      <w:r w:rsidRPr="00981405">
        <w:t>and</w:t>
      </w:r>
      <w:r w:rsidR="00190923" w:rsidRPr="00981405">
        <w:t xml:space="preserve"> </w:t>
      </w:r>
      <w:r w:rsidRPr="00981405">
        <w:t>distinct</w:t>
      </w:r>
      <w:r w:rsidR="00190923" w:rsidRPr="00981405">
        <w:t xml:space="preserve"> </w:t>
      </w:r>
      <w:r w:rsidRPr="00981405">
        <w:t>from</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D97463">
        <w:rPr>
          <w:i/>
          <w:iCs/>
        </w:rPr>
        <w:t>stricto</w:t>
      </w:r>
      <w:r w:rsidR="00190923" w:rsidRPr="00981405">
        <w:rPr>
          <w:i/>
          <w:iCs/>
        </w:rPr>
        <w:t xml:space="preserve"> </w:t>
      </w:r>
      <w:r w:rsidRPr="00D97463">
        <w:rPr>
          <w:i/>
          <w:iCs/>
        </w:rPr>
        <w:t>sensu</w:t>
      </w:r>
      <w:r w:rsidRPr="00981405">
        <w:t>.</w:t>
      </w:r>
      <w:r w:rsidR="00190923" w:rsidRPr="00981405">
        <w:t xml:space="preserve"> </w:t>
      </w:r>
      <w:r w:rsidRPr="00981405">
        <w:t>This</w:t>
      </w:r>
      <w:r w:rsidR="00190923" w:rsidRPr="00981405">
        <w:t xml:space="preserve"> </w:t>
      </w:r>
      <w:r w:rsidRPr="00981405">
        <w:t>differentiation</w:t>
      </w:r>
      <w:r w:rsidR="00190923" w:rsidRPr="00981405">
        <w:t xml:space="preserve"> </w:t>
      </w:r>
      <w:r w:rsidRPr="00981405">
        <w:t>had</w:t>
      </w:r>
      <w:r w:rsidR="00190923" w:rsidRPr="00981405">
        <w:t xml:space="preserve"> </w:t>
      </w:r>
      <w:r w:rsidRPr="00981405">
        <w:t>a</w:t>
      </w:r>
      <w:r w:rsidR="00190923" w:rsidRPr="00981405">
        <w:t xml:space="preserve"> </w:t>
      </w:r>
      <w:r w:rsidRPr="00981405">
        <w:t>maximum</w:t>
      </w:r>
      <w:r w:rsidR="00190923" w:rsidRPr="00981405">
        <w:t xml:space="preserve"> </w:t>
      </w:r>
      <w:r w:rsidRPr="00981405">
        <w:t>effect</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immunity</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different</w:t>
      </w:r>
      <w:r w:rsidR="00190923" w:rsidRPr="00981405">
        <w:t xml:space="preserve"> </w:t>
      </w:r>
      <w:r w:rsidRPr="00981405">
        <w:t>basis</w:t>
      </w:r>
      <w:r w:rsidR="00190923" w:rsidRPr="00981405">
        <w:t xml:space="preserve"> </w:t>
      </w:r>
      <w:r w:rsidRPr="00981405">
        <w:t>for</w:t>
      </w:r>
      <w:r w:rsidR="00190923" w:rsidRPr="00981405">
        <w:t xml:space="preserve"> </w:t>
      </w:r>
      <w:r w:rsidRPr="00981405">
        <w:t>responsibility,</w:t>
      </w:r>
      <w:r w:rsidR="00190923" w:rsidRPr="00981405">
        <w:t xml:space="preserve"> </w:t>
      </w:r>
      <w:r w:rsidRPr="00981405">
        <w:t>which,</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was</w:t>
      </w:r>
      <w:r w:rsidR="00190923" w:rsidRPr="00981405">
        <w:t xml:space="preserve"> </w:t>
      </w:r>
      <w:r w:rsidRPr="00981405">
        <w:t>civil,</w:t>
      </w:r>
      <w:r w:rsidR="00190923" w:rsidRPr="00981405">
        <w:t xml:space="preserve"> </w:t>
      </w:r>
      <w:r w:rsidRPr="00981405">
        <w:t>while</w:t>
      </w:r>
      <w:r w:rsidR="00190923" w:rsidRPr="00981405">
        <w:t xml:space="preserve"> </w:t>
      </w:r>
      <w:r w:rsidRPr="00981405">
        <w:t>for</w:t>
      </w:r>
      <w:r w:rsidR="00190923" w:rsidRPr="00981405">
        <w:t xml:space="preserve"> </w:t>
      </w:r>
      <w:r w:rsidRPr="00981405">
        <w:t>the</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it</w:t>
      </w:r>
      <w:r w:rsidR="00190923" w:rsidRPr="00981405">
        <w:t xml:space="preserve"> </w:t>
      </w:r>
      <w:r w:rsidRPr="00981405">
        <w:t>was</w:t>
      </w:r>
      <w:r w:rsidR="00190923" w:rsidRPr="00981405">
        <w:t xml:space="preserve"> </w:t>
      </w:r>
      <w:r w:rsidRPr="00981405">
        <w:t>criminal.</w:t>
      </w:r>
      <w:r w:rsidR="00190923" w:rsidRPr="00981405">
        <w:t xml:space="preserve"> </w:t>
      </w:r>
      <w:r w:rsidRPr="00981405">
        <w:t>Moreover,</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from</w:t>
      </w:r>
      <w:r w:rsidR="00190923" w:rsidRPr="00981405">
        <w:t xml:space="preserve"> </w:t>
      </w:r>
      <w:r w:rsidRPr="00981405">
        <w:t>which</w:t>
      </w:r>
      <w:r w:rsidR="00190923" w:rsidRPr="00981405">
        <w:t xml:space="preserve"> </w:t>
      </w:r>
      <w:r w:rsidRPr="00981405">
        <w:t>immunity</w:t>
      </w:r>
      <w:r w:rsidR="00190923" w:rsidRPr="00981405">
        <w:t xml:space="preserve"> </w:t>
      </w:r>
      <w:r w:rsidRPr="00981405">
        <w:t>was</w:t>
      </w:r>
      <w:r w:rsidR="00190923" w:rsidRPr="00981405">
        <w:t xml:space="preserve"> </w:t>
      </w:r>
      <w:r w:rsidRPr="00981405">
        <w:t>invoked</w:t>
      </w:r>
      <w:r w:rsidR="00190923" w:rsidRPr="00981405">
        <w:t xml:space="preserve"> </w:t>
      </w:r>
      <w:r w:rsidRPr="00981405">
        <w:t>was</w:t>
      </w:r>
      <w:r w:rsidR="00190923" w:rsidRPr="00981405">
        <w:t xml:space="preserve"> </w:t>
      </w:r>
      <w:r w:rsidRPr="00981405">
        <w:t>different.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noted</w:t>
      </w:r>
      <w:r w:rsidR="00190923" w:rsidRPr="00981405">
        <w:t xml:space="preserve"> </w:t>
      </w:r>
      <w:r w:rsidRPr="00981405">
        <w:t>that</w:t>
      </w:r>
      <w:r w:rsidR="00190923" w:rsidRPr="00981405">
        <w:t xml:space="preserve"> </w:t>
      </w:r>
      <w:r w:rsidRPr="00981405">
        <w:t>this</w:t>
      </w:r>
      <w:r w:rsidR="00190923" w:rsidRPr="00981405">
        <w:t xml:space="preserve"> </w:t>
      </w:r>
      <w:r w:rsidRPr="00981405">
        <w:t>distinction</w:t>
      </w:r>
      <w:r w:rsidR="00190923" w:rsidRPr="00981405">
        <w:t xml:space="preserve"> </w:t>
      </w:r>
      <w:r w:rsidRPr="00981405">
        <w:t>was</w:t>
      </w:r>
      <w:r w:rsidR="00190923" w:rsidRPr="00981405">
        <w:t xml:space="preserve"> </w:t>
      </w:r>
      <w:r w:rsidRPr="00981405">
        <w:t>not</w:t>
      </w:r>
      <w:r w:rsidR="00190923" w:rsidRPr="00981405">
        <w:t xml:space="preserve"> </w:t>
      </w:r>
      <w:r w:rsidRPr="00981405">
        <w:t>always</w:t>
      </w:r>
      <w:r w:rsidR="00190923" w:rsidRPr="00981405">
        <w:t xml:space="preserve"> </w:t>
      </w:r>
      <w:r w:rsidRPr="00981405">
        <w:t>made</w:t>
      </w:r>
      <w:r w:rsidR="00190923" w:rsidRPr="00981405">
        <w:t xml:space="preserve"> </w:t>
      </w:r>
      <w:r w:rsidRPr="00981405">
        <w:t>with</w:t>
      </w:r>
      <w:r w:rsidR="00190923" w:rsidRPr="00981405">
        <w:t xml:space="preserve"> </w:t>
      </w:r>
      <w:r w:rsidRPr="00981405">
        <w:t>sufficient</w:t>
      </w:r>
      <w:r w:rsidR="00190923" w:rsidRPr="00981405">
        <w:t xml:space="preserve"> </w:t>
      </w:r>
      <w:r w:rsidRPr="00981405">
        <w:t>clarity</w:t>
      </w:r>
      <w:r w:rsidR="00190923" w:rsidRPr="00981405">
        <w:t xml:space="preserve"> </w:t>
      </w:r>
      <w:r w:rsidRPr="00981405">
        <w:t>in</w:t>
      </w:r>
      <w:r w:rsidR="00190923" w:rsidRPr="00981405">
        <w:t xml:space="preserve"> </w:t>
      </w:r>
      <w:r w:rsidRPr="00981405">
        <w:t>the</w:t>
      </w:r>
      <w:r w:rsidR="00190923" w:rsidRPr="00981405">
        <w:t xml:space="preserve"> </w:t>
      </w:r>
      <w:r w:rsidRPr="00981405">
        <w:t>literature</w:t>
      </w:r>
      <w:r w:rsidR="00190923" w:rsidRPr="00981405">
        <w:t xml:space="preserve"> </w:t>
      </w:r>
      <w:r w:rsidRPr="00981405">
        <w:t>and</w:t>
      </w:r>
      <w:r w:rsidR="00190923" w:rsidRPr="00981405">
        <w:t xml:space="preserve"> </w:t>
      </w:r>
      <w:r w:rsidRPr="00981405">
        <w:t>in</w:t>
      </w:r>
      <w:r w:rsidR="00190923" w:rsidRPr="00981405">
        <w:t xml:space="preserve"> </w:t>
      </w:r>
      <w:r w:rsidRPr="00981405">
        <w:t>practice,</w:t>
      </w:r>
      <w:r w:rsidR="00190923" w:rsidRPr="00981405">
        <w:t xml:space="preserve"> </w:t>
      </w:r>
      <w:r w:rsidRPr="00981405">
        <w:t>largely</w:t>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Pr="00981405">
        <w:t>of</w:t>
      </w:r>
      <w:r w:rsidR="00190923" w:rsidRPr="00981405">
        <w:t xml:space="preserve"> </w:t>
      </w:r>
      <w:r w:rsidRPr="00981405">
        <w:t>the</w:t>
      </w:r>
      <w:r w:rsidR="00190923" w:rsidRPr="00981405">
        <w:t xml:space="preserve"> </w:t>
      </w:r>
      <w:r w:rsidRPr="00981405">
        <w:t>traditional</w:t>
      </w:r>
      <w:r w:rsidR="00190923" w:rsidRPr="00981405">
        <w:t xml:space="preserve"> </w:t>
      </w:r>
      <w:r w:rsidRPr="00981405">
        <w:t>emphasis</w:t>
      </w:r>
      <w:r w:rsidR="00190923" w:rsidRPr="00981405">
        <w:t xml:space="preserve"> </w:t>
      </w:r>
      <w:r w:rsidRPr="00981405">
        <w:t>on</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its</w:t>
      </w:r>
      <w:r w:rsidR="00190923" w:rsidRPr="00981405">
        <w:t xml:space="preserve"> </w:t>
      </w:r>
      <w:r w:rsidRPr="00981405">
        <w:t>rights</w:t>
      </w:r>
      <w:r w:rsidR="00190923" w:rsidRPr="00981405">
        <w:t xml:space="preserve"> </w:t>
      </w:r>
      <w:r w:rsidRPr="00981405">
        <w:t>and</w:t>
      </w:r>
      <w:r w:rsidR="00190923" w:rsidRPr="00981405">
        <w:t xml:space="preserve"> </w:t>
      </w:r>
      <w:r w:rsidRPr="00981405">
        <w:t>interests)</w:t>
      </w:r>
      <w:r w:rsidR="00190923" w:rsidRPr="00981405">
        <w:t xml:space="preserve"> </w:t>
      </w:r>
      <w:r w:rsidRPr="00981405">
        <w:t>as</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afforded</w:t>
      </w:r>
      <w:r w:rsidR="00190923" w:rsidRPr="00981405">
        <w:t xml:space="preserve"> </w:t>
      </w:r>
      <w:r w:rsidRPr="00981405">
        <w:t>by</w:t>
      </w:r>
      <w:r w:rsidR="00190923" w:rsidRPr="00981405">
        <w:t xml:space="preserve"> </w:t>
      </w:r>
      <w:r w:rsidRPr="00981405">
        <w:t>immunity.</w:t>
      </w:r>
      <w:r w:rsidR="00190923" w:rsidRPr="00981405">
        <w:t xml:space="preserve"> </w:t>
      </w:r>
      <w:r w:rsidRPr="00981405">
        <w:t>She</w:t>
      </w:r>
      <w:r w:rsidR="00190923" w:rsidRPr="00981405">
        <w:t xml:space="preserve"> </w:t>
      </w:r>
      <w:r w:rsidRPr="00981405">
        <w:t>explained</w:t>
      </w:r>
      <w:r w:rsidR="00190923" w:rsidRPr="00981405">
        <w:t xml:space="preserve"> </w:t>
      </w:r>
      <w:r w:rsidRPr="00981405">
        <w:t>that</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was</w:t>
      </w:r>
      <w:r w:rsidR="00190923" w:rsidRPr="00981405">
        <w:t xml:space="preserve"> </w:t>
      </w:r>
      <w:r w:rsidRPr="00981405">
        <w:t>recognized</w:t>
      </w:r>
      <w:r w:rsidR="00190923" w:rsidRPr="00981405">
        <w:t xml:space="preserve"> </w:t>
      </w:r>
      <w:r w:rsidRPr="00981405">
        <w:t>in</w:t>
      </w:r>
      <w:r w:rsidR="00190923" w:rsidRPr="00981405">
        <w:t xml:space="preserve"> </w:t>
      </w:r>
      <w:r w:rsidRPr="00981405">
        <w:t>the</w:t>
      </w:r>
      <w:r w:rsidR="00190923" w:rsidRPr="00981405">
        <w:t xml:space="preserve"> </w:t>
      </w:r>
      <w:r w:rsidRPr="00981405">
        <w:t>interest</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whose</w:t>
      </w:r>
      <w:r w:rsidR="00190923" w:rsidRPr="00981405">
        <w:t xml:space="preserve"> </w:t>
      </w:r>
      <w:r w:rsidRPr="00981405">
        <w:t>sovereignty</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protected,</w:t>
      </w:r>
      <w:r w:rsidR="00190923" w:rsidRPr="00981405">
        <w:t xml:space="preserve"> </w:t>
      </w:r>
      <w:r w:rsidRPr="00981405">
        <w:t>but</w:t>
      </w:r>
      <w:r w:rsidR="00190923" w:rsidRPr="00981405">
        <w:t xml:space="preserve"> </w:t>
      </w:r>
      <w:r w:rsidRPr="00981405">
        <w:t>directly</w:t>
      </w:r>
      <w:r w:rsidR="00190923" w:rsidRPr="00981405">
        <w:t xml:space="preserve"> </w:t>
      </w:r>
      <w:r w:rsidRPr="00981405">
        <w:t>benefits</w:t>
      </w:r>
      <w:r w:rsidR="00190923" w:rsidRPr="00981405">
        <w:t xml:space="preserve"> </w:t>
      </w:r>
      <w:r w:rsidRPr="00981405">
        <w:t>the</w:t>
      </w:r>
      <w:r w:rsidR="00190923" w:rsidRPr="00981405">
        <w:t xml:space="preserve"> </w:t>
      </w:r>
      <w:r w:rsidRPr="00981405">
        <w:t>official</w:t>
      </w:r>
      <w:r w:rsidR="00190923" w:rsidRPr="00981405">
        <w:t xml:space="preserve"> </w:t>
      </w:r>
      <w:r w:rsidRPr="00981405">
        <w:t>when</w:t>
      </w:r>
      <w:r w:rsidR="00190923" w:rsidRPr="00981405">
        <w:t xml:space="preserve"> </w:t>
      </w:r>
      <w:r w:rsidRPr="00981405">
        <w:t>he</w:t>
      </w:r>
      <w:r w:rsidR="00190923" w:rsidRPr="00981405">
        <w:t xml:space="preserve"> </w:t>
      </w:r>
      <w:r w:rsidRPr="00981405">
        <w:t>or</w:t>
      </w:r>
      <w:r w:rsidR="00190923" w:rsidRPr="00981405">
        <w:t xml:space="preserve"> </w:t>
      </w:r>
      <w:r w:rsidRPr="00981405">
        <w:t>she</w:t>
      </w:r>
      <w:r w:rsidR="00190923" w:rsidRPr="00981405">
        <w:t xml:space="preserve"> </w:t>
      </w:r>
      <w:r w:rsidRPr="00981405">
        <w:t>acted</w:t>
      </w:r>
      <w:r w:rsidR="00190923" w:rsidRPr="00981405">
        <w:t xml:space="preserve"> </w:t>
      </w:r>
      <w:r w:rsidRPr="00981405">
        <w:t>in</w:t>
      </w:r>
      <w:r w:rsidR="00190923" w:rsidRPr="00981405">
        <w:t xml:space="preserve"> </w:t>
      </w:r>
      <w:r w:rsidRPr="00981405">
        <w:t>the</w:t>
      </w:r>
      <w:r w:rsidR="00190923" w:rsidRPr="00981405">
        <w:t xml:space="preserve"> </w:t>
      </w:r>
      <w:r w:rsidRPr="00981405">
        <w:t>manifestation</w:t>
      </w:r>
      <w:r w:rsidR="00190923" w:rsidRPr="00981405">
        <w:t xml:space="preserve"> </w:t>
      </w:r>
      <w:r w:rsidRPr="00981405">
        <w:t>of</w:t>
      </w:r>
      <w:r w:rsidR="00190923" w:rsidRPr="00981405">
        <w:t xml:space="preserve"> </w:t>
      </w:r>
      <w:r w:rsidRPr="00981405">
        <w:t>such</w:t>
      </w:r>
      <w:r w:rsidR="00190923" w:rsidRPr="00981405">
        <w:t xml:space="preserve"> </w:t>
      </w:r>
      <w:r w:rsidRPr="00981405">
        <w:t>sovereignty.</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to</w:t>
      </w:r>
      <w:r w:rsidR="00190923" w:rsidRPr="00981405">
        <w:t xml:space="preserve"> </w:t>
      </w:r>
      <w:r w:rsidRPr="00981405">
        <w:t>be</w:t>
      </w:r>
      <w:r w:rsidR="00190923" w:rsidRPr="00981405">
        <w:t xml:space="preserve"> </w:t>
      </w:r>
      <w:r w:rsidRPr="00981405">
        <w:t>justified,</w:t>
      </w:r>
      <w:r w:rsidR="00190923" w:rsidRPr="00981405">
        <w:t xml:space="preserve"> </w:t>
      </w:r>
      <w:r w:rsidRPr="00981405">
        <w:t>there</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a</w:t>
      </w:r>
      <w:r w:rsidR="00190923" w:rsidRPr="00981405">
        <w:t xml:space="preserve"> </w:t>
      </w:r>
      <w:r w:rsidRPr="00981405">
        <w:t>link</w:t>
      </w:r>
      <w:r w:rsidR="00190923" w:rsidRPr="00981405">
        <w:t xml:space="preserve"> </w:t>
      </w:r>
      <w:r w:rsidRPr="00981405">
        <w:t>between</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the</w:t>
      </w:r>
      <w:r w:rsidR="00190923" w:rsidRPr="00981405">
        <w:t xml:space="preserve"> </w:t>
      </w:r>
      <w:r w:rsidRPr="00981405">
        <w:t>act</w:t>
      </w:r>
      <w:r w:rsidR="00190923" w:rsidRPr="00981405">
        <w:t xml:space="preserve"> </w:t>
      </w:r>
      <w:r w:rsidRPr="00981405">
        <w:t>carried</w:t>
      </w:r>
      <w:r w:rsidR="00190923" w:rsidRPr="00981405">
        <w:t xml:space="preserve"> </w:t>
      </w:r>
      <w:r w:rsidRPr="00981405">
        <w:t>out</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This</w:t>
      </w:r>
      <w:r w:rsidR="00190923" w:rsidRPr="00981405">
        <w:t xml:space="preserve"> </w:t>
      </w:r>
      <w:r w:rsidRPr="00981405">
        <w:t>link</w:t>
      </w:r>
      <w:r w:rsidR="00190923" w:rsidRPr="00981405">
        <w:t xml:space="preserve"> </w:t>
      </w:r>
      <w:r w:rsidRPr="00981405">
        <w:t>implied</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attributing</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a</w:t>
      </w:r>
      <w:r w:rsidR="00190923" w:rsidRPr="00981405">
        <w:t xml:space="preserve"> </w:t>
      </w:r>
      <w:r w:rsidRPr="00981405">
        <w:t>State.</w:t>
      </w:r>
      <w:r w:rsidR="00190923" w:rsidRPr="00981405">
        <w:t xml:space="preserve"> </w:t>
      </w:r>
      <w:r w:rsidRPr="00981405">
        <w:t>She</w:t>
      </w:r>
      <w:r w:rsidR="00190923" w:rsidRPr="00981405">
        <w:t xml:space="preserve"> </w:t>
      </w:r>
      <w:r w:rsidRPr="00981405">
        <w:t>nevertheless</w:t>
      </w:r>
      <w:r w:rsidR="00190923" w:rsidRPr="00981405">
        <w:t xml:space="preserve"> </w:t>
      </w:r>
      <w:r w:rsidRPr="00981405">
        <w:t>found</w:t>
      </w:r>
      <w:r w:rsidR="00190923" w:rsidRPr="00981405">
        <w:t xml:space="preserve"> </w:t>
      </w:r>
      <w:r w:rsidRPr="00981405">
        <w:t>questionable</w:t>
      </w:r>
      <w:r w:rsidR="00190923" w:rsidRPr="00981405">
        <w:t xml:space="preserve"> </w:t>
      </w:r>
      <w:r w:rsidRPr="00981405">
        <w:t>whether</w:t>
      </w:r>
      <w:r w:rsidR="00190923" w:rsidRPr="00981405">
        <w:t xml:space="preserve"> </w:t>
      </w:r>
      <w:r w:rsidRPr="00981405">
        <w:t>all</w:t>
      </w:r>
      <w:r w:rsidR="00190923" w:rsidRPr="00981405">
        <w:t xml:space="preserve"> </w:t>
      </w:r>
      <w:r w:rsidRPr="00981405">
        <w:t>the</w:t>
      </w:r>
      <w:r w:rsidR="00190923" w:rsidRPr="00981405">
        <w:t xml:space="preserve"> </w:t>
      </w:r>
      <w:r w:rsidRPr="00981405">
        <w:t>criteria</w:t>
      </w:r>
      <w:r w:rsidR="00190923" w:rsidRPr="00981405">
        <w:t xml:space="preserve"> </w:t>
      </w:r>
      <w:r w:rsidRPr="00981405">
        <w:t>for</w:t>
      </w:r>
      <w:r w:rsidR="00190923" w:rsidRPr="00981405">
        <w:t xml:space="preserve"> </w:t>
      </w:r>
      <w:r w:rsidRPr="00981405">
        <w:t>attribution</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for</w:t>
      </w:r>
      <w:r w:rsidR="00190923" w:rsidRPr="00981405">
        <w:t xml:space="preserve"> </w:t>
      </w:r>
      <w:r w:rsidRPr="00981405">
        <w:t>internationally</w:t>
      </w:r>
      <w:r w:rsidR="00190923" w:rsidRPr="00981405">
        <w:t xml:space="preserve"> </w:t>
      </w:r>
      <w:r w:rsidRPr="00981405">
        <w:t>wrongful</w:t>
      </w:r>
      <w:r w:rsidR="00190923" w:rsidRPr="00981405">
        <w:t xml:space="preserve"> </w:t>
      </w:r>
      <w:r w:rsidRPr="00981405">
        <w:t>acts</w:t>
      </w:r>
      <w:r w:rsidR="00190923" w:rsidRPr="00981405">
        <w:t xml:space="preserve"> </w:t>
      </w:r>
      <w:r w:rsidRPr="00981405">
        <w:t>were</w:t>
      </w:r>
      <w:r w:rsidR="00190923" w:rsidRPr="00981405">
        <w:t xml:space="preserve"> </w:t>
      </w:r>
      <w:r w:rsidRPr="00981405">
        <w:t>useful</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singling</w:t>
      </w:r>
      <w:r w:rsidR="00190923" w:rsidRPr="00981405">
        <w:t xml:space="preserve"> </w:t>
      </w:r>
      <w:r w:rsidRPr="00981405">
        <w:t>out</w:t>
      </w:r>
      <w:r w:rsidR="00190923" w:rsidRPr="00981405">
        <w:t xml:space="preserve"> </w:t>
      </w:r>
      <w:r w:rsidRPr="00981405">
        <w:t>as</w:t>
      </w:r>
      <w:r w:rsidR="00190923" w:rsidRPr="00981405">
        <w:t xml:space="preserve"> </w:t>
      </w:r>
      <w:r w:rsidRPr="00981405">
        <w:t>particularly</w:t>
      </w:r>
      <w:r w:rsidR="00190923" w:rsidRPr="00981405">
        <w:t xml:space="preserve"> </w:t>
      </w:r>
      <w:r w:rsidRPr="00981405">
        <w:t>unsuitable</w:t>
      </w:r>
      <w:r w:rsidR="00190923" w:rsidRPr="00981405">
        <w:t xml:space="preserve"> </w:t>
      </w:r>
      <w:r w:rsidRPr="00981405">
        <w:t>the</w:t>
      </w:r>
      <w:r w:rsidR="00190923" w:rsidRPr="00981405">
        <w:t xml:space="preserve"> </w:t>
      </w:r>
      <w:r w:rsidRPr="00981405">
        <w:t>criteria</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articles</w:t>
      </w:r>
      <w:r w:rsidR="00190923" w:rsidRPr="00981405">
        <w:t xml:space="preserve"> </w:t>
      </w:r>
      <w:r w:rsidRPr="00981405">
        <w:t>7,</w:t>
      </w:r>
      <w:r w:rsidR="00190923" w:rsidRPr="00981405">
        <w:t xml:space="preserve"> </w:t>
      </w:r>
      <w:r w:rsidRPr="00981405">
        <w:t>8,</w:t>
      </w:r>
      <w:r w:rsidR="00190923" w:rsidRPr="00981405">
        <w:t xml:space="preserve"> </w:t>
      </w:r>
      <w:r w:rsidRPr="00981405">
        <w:t>9,</w:t>
      </w:r>
      <w:r w:rsidR="00190923" w:rsidRPr="00981405">
        <w:t xml:space="preserve"> </w:t>
      </w:r>
      <w:r w:rsidRPr="00981405">
        <w:t>10</w:t>
      </w:r>
      <w:r w:rsidR="00190923" w:rsidRPr="00981405">
        <w:t xml:space="preserve"> </w:t>
      </w:r>
      <w:r w:rsidRPr="00981405">
        <w:t>and</w:t>
      </w:r>
      <w:r w:rsidR="00190923" w:rsidRPr="00981405">
        <w:t xml:space="preserve"> </w:t>
      </w:r>
      <w:r w:rsidRPr="00981405">
        <w:t>11.</w:t>
      </w:r>
    </w:p>
    <w:p w:rsidR="00397032" w:rsidRPr="00981405" w:rsidRDefault="00397032" w:rsidP="00D97463">
      <w:pPr>
        <w:pStyle w:val="SingleTxt"/>
      </w:pPr>
      <w:r w:rsidRPr="00981405">
        <w:t>192.</w:t>
      </w:r>
      <w:r w:rsidRPr="00981405">
        <w:tab/>
        <w:t>She</w:t>
      </w:r>
      <w:r w:rsidR="00190923" w:rsidRPr="00981405">
        <w:t xml:space="preserve"> </w:t>
      </w:r>
      <w:r w:rsidRPr="00981405">
        <w:t>noted</w:t>
      </w:r>
      <w:r w:rsidR="00190923" w:rsidRPr="00981405">
        <w:t xml:space="preserve"> </w:t>
      </w:r>
      <w:r w:rsidRPr="00981405">
        <w:t>that</w:t>
      </w:r>
      <w:r w:rsidR="00190923" w:rsidRPr="00981405">
        <w:t xml:space="preserve"> </w:t>
      </w:r>
      <w:r w:rsidRPr="00981405">
        <w:t>although</w:t>
      </w:r>
      <w:r w:rsidR="00190923" w:rsidRPr="00981405">
        <w:t xml:space="preserve"> </w:t>
      </w:r>
      <w:r w:rsidRPr="00981405">
        <w:t>determining</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a</w:t>
      </w:r>
      <w:r w:rsidR="00190923" w:rsidRPr="00981405">
        <w:t xml:space="preserve"> </w:t>
      </w:r>
      <w:r w:rsidRPr="00981405">
        <w:t>connection</w:t>
      </w:r>
      <w:r w:rsidR="00190923" w:rsidRPr="00981405">
        <w:t xml:space="preserve"> </w:t>
      </w:r>
      <w:r w:rsidRPr="00981405">
        <w:t>between</w:t>
      </w:r>
      <w:r w:rsidR="00190923" w:rsidRPr="00981405">
        <w:t xml:space="preserve"> </w:t>
      </w:r>
      <w:r w:rsidRPr="00981405">
        <w:t>act</w:t>
      </w:r>
      <w:r w:rsidR="00190923" w:rsidRPr="00981405">
        <w:t xml:space="preserve"> </w:t>
      </w:r>
      <w:r w:rsidRPr="00981405">
        <w:t>and</w:t>
      </w:r>
      <w:r w:rsidR="00190923" w:rsidRPr="00981405">
        <w:t xml:space="preserve"> </w:t>
      </w:r>
      <w:r w:rsidRPr="00981405">
        <w:t>sovereign</w:t>
      </w:r>
      <w:r w:rsidR="00190923" w:rsidRPr="00981405">
        <w:t xml:space="preserve"> </w:t>
      </w:r>
      <w:r w:rsidRPr="00981405">
        <w:t>was</w:t>
      </w:r>
      <w:r w:rsidR="00190923" w:rsidRPr="00981405">
        <w:t xml:space="preserve"> </w:t>
      </w:r>
      <w:r w:rsidRPr="00981405">
        <w:t>not</w:t>
      </w:r>
      <w:r w:rsidR="00190923" w:rsidRPr="00981405">
        <w:t xml:space="preserve"> </w:t>
      </w:r>
      <w:r w:rsidRPr="00981405">
        <w:t>easy,</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showed</w:t>
      </w:r>
      <w:r w:rsidR="00190923" w:rsidRPr="00981405">
        <w:t xml:space="preserve"> </w:t>
      </w:r>
      <w:r w:rsidRPr="00981405">
        <w:t>that</w:t>
      </w:r>
      <w:r w:rsidR="00190923" w:rsidRPr="00981405">
        <w:t xml:space="preserve"> </w:t>
      </w:r>
      <w:r w:rsidRPr="00981405">
        <w:t>certain</w:t>
      </w:r>
      <w:r w:rsidR="00190923" w:rsidRPr="00981405">
        <w:t xml:space="preserve"> </w:t>
      </w:r>
      <w:r w:rsidRPr="00981405">
        <w:t>activities</w:t>
      </w:r>
      <w:r w:rsidR="00190923" w:rsidRPr="00981405">
        <w:t xml:space="preserve"> </w:t>
      </w:r>
      <w:r w:rsidRPr="00981405">
        <w:t>which,</w:t>
      </w:r>
      <w:r w:rsidR="00190923" w:rsidRPr="00981405">
        <w:t xml:space="preserve"> </w:t>
      </w:r>
      <w:r w:rsidRPr="00981405">
        <w:t>by</w:t>
      </w:r>
      <w:r w:rsidR="00190923" w:rsidRPr="00981405">
        <w:t xml:space="preserve"> </w:t>
      </w:r>
      <w:r w:rsidRPr="00981405">
        <w:t>their</w:t>
      </w:r>
      <w:r w:rsidR="00190923" w:rsidRPr="00981405">
        <w:t xml:space="preserve"> </w:t>
      </w:r>
      <w:r w:rsidRPr="00981405">
        <w:t>nature,</w:t>
      </w:r>
      <w:r w:rsidR="00190923" w:rsidRPr="00981405">
        <w:t xml:space="preserve"> </w:t>
      </w:r>
      <w:r w:rsidRPr="00981405">
        <w:t>were</w:t>
      </w:r>
      <w:r w:rsidR="00190923" w:rsidRPr="00981405">
        <w:t xml:space="preserve"> </w:t>
      </w:r>
      <w:r w:rsidRPr="00981405">
        <w:t>considered</w:t>
      </w:r>
      <w:r w:rsidR="00190923" w:rsidRPr="00981405">
        <w:t xml:space="preserve"> </w:t>
      </w:r>
      <w:r w:rsidRPr="00981405">
        <w:t>as</w:t>
      </w:r>
      <w:r w:rsidR="00190923" w:rsidRPr="00981405">
        <w:t xml:space="preserve"> </w:t>
      </w:r>
      <w:r w:rsidRPr="00981405">
        <w:t>expressions</w:t>
      </w:r>
      <w:r w:rsidR="00190923" w:rsidRPr="00981405">
        <w:t xml:space="preserve"> </w:t>
      </w:r>
      <w:r w:rsidRPr="00981405">
        <w:t>of,</w:t>
      </w:r>
      <w:r w:rsidR="00190923" w:rsidRPr="00981405">
        <w:t xml:space="preserve"> </w:t>
      </w:r>
      <w:r w:rsidRPr="00981405">
        <w:t>or</w:t>
      </w:r>
      <w:r w:rsidR="00190923" w:rsidRPr="00981405">
        <w:t xml:space="preserve"> </w:t>
      </w:r>
      <w:r w:rsidRPr="00981405">
        <w:t>inherent</w:t>
      </w:r>
      <w:r w:rsidR="00190923" w:rsidRPr="00981405">
        <w:t xml:space="preserve"> </w:t>
      </w:r>
      <w:r w:rsidRPr="00981405">
        <w:t>to,</w:t>
      </w:r>
      <w:r w:rsidR="00190923" w:rsidRPr="00981405">
        <w:t xml:space="preserve"> </w:t>
      </w:r>
      <w:r w:rsidRPr="00981405">
        <w:t>the</w:t>
      </w:r>
      <w:r w:rsidR="00190923" w:rsidRPr="00981405">
        <w:t xml:space="preserve"> </w:t>
      </w:r>
      <w:r w:rsidRPr="00981405">
        <w:t>sovereignty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(police,</w:t>
      </w:r>
      <w:r w:rsidR="00190923" w:rsidRPr="00981405">
        <w:t xml:space="preserve"> </w:t>
      </w:r>
      <w:r w:rsidRPr="00981405">
        <w:t>administration</w:t>
      </w:r>
      <w:r w:rsidR="00190923" w:rsidRPr="00981405">
        <w:t xml:space="preserve"> </w:t>
      </w:r>
      <w:r w:rsidRPr="00981405">
        <w:t>of</w:t>
      </w:r>
      <w:r w:rsidR="00190923" w:rsidRPr="00981405">
        <w:t xml:space="preserve"> </w:t>
      </w:r>
      <w:r w:rsidRPr="00981405">
        <w:t>justice,</w:t>
      </w:r>
      <w:r w:rsidR="00190923" w:rsidRPr="00981405">
        <w:t xml:space="preserve"> </w:t>
      </w:r>
      <w:r w:rsidRPr="00981405">
        <w:t>activities</w:t>
      </w:r>
      <w:r w:rsidR="00190923" w:rsidRPr="00981405">
        <w:t xml:space="preserve"> </w:t>
      </w:r>
      <w:r w:rsidRPr="00981405">
        <w:t>of</w:t>
      </w:r>
      <w:r w:rsidR="00190923" w:rsidRPr="00981405">
        <w:t xml:space="preserve"> </w:t>
      </w:r>
      <w:r w:rsidRPr="00981405">
        <w:t>the</w:t>
      </w:r>
      <w:r w:rsidR="00190923" w:rsidRPr="00981405">
        <w:t xml:space="preserve"> </w:t>
      </w:r>
      <w:r w:rsidRPr="00981405">
        <w:t>armed</w:t>
      </w:r>
      <w:r w:rsidR="00190923" w:rsidRPr="00981405">
        <w:t xml:space="preserve"> </w:t>
      </w:r>
      <w:r w:rsidRPr="00981405">
        <w:t>forces,</w:t>
      </w:r>
      <w:r w:rsidR="00190923" w:rsidRPr="00981405">
        <w:t xml:space="preserve"> </w:t>
      </w:r>
      <w:r w:rsidRPr="00981405">
        <w:t>or</w:t>
      </w:r>
      <w:r w:rsidR="00190923" w:rsidRPr="00981405">
        <w:t xml:space="preserve"> </w:t>
      </w:r>
      <w:r w:rsidRPr="00981405">
        <w:t>foreign</w:t>
      </w:r>
      <w:r w:rsidR="00190923" w:rsidRPr="00981405">
        <w:t xml:space="preserve"> </w:t>
      </w:r>
      <w:r w:rsidRPr="00981405">
        <w:t>affairs),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certain</w:t>
      </w:r>
      <w:r w:rsidR="00190923" w:rsidRPr="00981405">
        <w:t xml:space="preserve"> </w:t>
      </w:r>
      <w:r w:rsidRPr="00981405">
        <w:t>activities</w:t>
      </w:r>
      <w:r w:rsidR="00190923" w:rsidRPr="00981405">
        <w:t xml:space="preserve"> </w:t>
      </w:r>
      <w:r w:rsidRPr="00981405">
        <w:t>that</w:t>
      </w:r>
      <w:r w:rsidR="00190923" w:rsidRPr="00981405">
        <w:t xml:space="preserve"> </w:t>
      </w:r>
      <w:r w:rsidRPr="00981405">
        <w:t>functionally</w:t>
      </w:r>
      <w:r w:rsidR="00190923" w:rsidRPr="00981405">
        <w:t xml:space="preserve"> </w:t>
      </w:r>
      <w:r w:rsidRPr="00981405">
        <w:t>occur</w:t>
      </w:r>
      <w:r w:rsidR="00190923" w:rsidRPr="00981405">
        <w:t xml:space="preserve"> </w:t>
      </w:r>
      <w:r w:rsidRPr="00981405">
        <w:t>pursuant</w:t>
      </w:r>
      <w:r w:rsidR="00190923" w:rsidRPr="00981405">
        <w:t xml:space="preserve"> </w:t>
      </w:r>
      <w:r w:rsidRPr="00981405">
        <w:t>to</w:t>
      </w:r>
      <w:r w:rsidR="00190923" w:rsidRPr="00981405">
        <w:t xml:space="preserve"> </w:t>
      </w:r>
      <w:r w:rsidRPr="00981405">
        <w:t>State</w:t>
      </w:r>
      <w:r w:rsidR="00190923" w:rsidRPr="00981405">
        <w:t xml:space="preserve"> </w:t>
      </w:r>
      <w:r w:rsidRPr="00981405">
        <w:t>policies</w:t>
      </w:r>
      <w:r w:rsidR="00190923" w:rsidRPr="00981405">
        <w:t xml:space="preserve"> </w:t>
      </w:r>
      <w:r w:rsidRPr="00981405">
        <w:t>and</w:t>
      </w:r>
      <w:r w:rsidR="00190923" w:rsidRPr="00981405">
        <w:t xml:space="preserve"> </w:t>
      </w:r>
      <w:r w:rsidRPr="00981405">
        <w:t>decisions</w:t>
      </w:r>
      <w:r w:rsidR="00190923" w:rsidRPr="00981405">
        <w:t xml:space="preserve"> </w:t>
      </w:r>
      <w:r w:rsidRPr="00981405">
        <w:t>involving</w:t>
      </w:r>
      <w:r w:rsidR="00190923" w:rsidRPr="00981405">
        <w:t xml:space="preserve"> </w:t>
      </w:r>
      <w:r w:rsidRPr="00981405">
        <w:t>an</w:t>
      </w:r>
      <w:r w:rsidR="00190923" w:rsidRPr="00981405">
        <w:t xml:space="preserve"> </w:t>
      </w:r>
      <w:r w:rsidRPr="00981405">
        <w:t>exercise</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satisfied</w:t>
      </w:r>
      <w:r w:rsidR="00190923" w:rsidRPr="00981405">
        <w:t xml:space="preserve"> </w:t>
      </w:r>
      <w:r w:rsidRPr="00981405">
        <w:t>such</w:t>
      </w:r>
      <w:r w:rsidR="00190923" w:rsidRPr="00981405">
        <w:t xml:space="preserve"> </w:t>
      </w:r>
      <w:r w:rsidRPr="00981405">
        <w:t>connection</w:t>
      </w:r>
      <w:r w:rsidR="00190923" w:rsidRPr="00981405">
        <w:t xml:space="preserve"> </w:t>
      </w:r>
      <w:r w:rsidRPr="00981405">
        <w:t>criteria.</w:t>
      </w:r>
      <w:r w:rsidR="00190923" w:rsidRPr="00981405">
        <w:t xml:space="preserve"> </w:t>
      </w:r>
      <w:r w:rsidRPr="00981405">
        <w:t>She</w:t>
      </w:r>
      <w:r w:rsidR="00190923" w:rsidRPr="00981405">
        <w:t xml:space="preserve"> </w:t>
      </w:r>
      <w:r w:rsidRPr="00981405">
        <w:t>contended</w:t>
      </w:r>
      <w:r w:rsidR="00190923" w:rsidRPr="00981405">
        <w:t xml:space="preserve"> </w:t>
      </w:r>
      <w:r w:rsidRPr="00981405">
        <w:t>for</w:t>
      </w:r>
      <w:r w:rsidR="00190923" w:rsidRPr="00981405">
        <w:t xml:space="preserve"> </w:t>
      </w:r>
      <w:r w:rsidRPr="00981405">
        <w:t>a</w:t>
      </w:r>
      <w:r w:rsidR="00190923" w:rsidRPr="00981405">
        <w:t xml:space="preserve"> </w:t>
      </w:r>
      <w:r w:rsidRPr="00981405">
        <w:t>strict</w:t>
      </w:r>
      <w:r w:rsidR="00190923" w:rsidRPr="00981405">
        <w:t xml:space="preserve"> </w:t>
      </w:r>
      <w:r w:rsidRPr="00981405">
        <w:t>interpretation</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which</w:t>
      </w:r>
      <w:r w:rsidR="00190923" w:rsidRPr="00981405">
        <w:t xml:space="preserve"> </w:t>
      </w:r>
      <w:r w:rsidRPr="00981405">
        <w:t>would</w:t>
      </w:r>
      <w:r w:rsidR="00190923" w:rsidRPr="00981405">
        <w:t xml:space="preserve"> </w:t>
      </w:r>
      <w:r w:rsidRPr="00981405">
        <w:t>place</w:t>
      </w:r>
      <w:r w:rsidR="00190923" w:rsidRPr="00981405">
        <w:t xml:space="preserve"> </w:t>
      </w:r>
      <w:r w:rsidRPr="00981405">
        <w:t>immunity</w:t>
      </w:r>
      <w:r w:rsidR="00190923" w:rsidRPr="00981405">
        <w:t xml:space="preserve"> </w:t>
      </w:r>
      <w:r w:rsidRPr="00981405">
        <w:t>where</w:t>
      </w:r>
      <w:r w:rsidR="00190923" w:rsidRPr="00981405">
        <w:t xml:space="preserve"> </w:t>
      </w:r>
      <w:r w:rsidRPr="00981405">
        <w:t>it</w:t>
      </w:r>
      <w:r w:rsidR="00190923" w:rsidRPr="00981405">
        <w:t xml:space="preserve"> </w:t>
      </w:r>
      <w:r w:rsidRPr="00981405">
        <w:t>rightly</w:t>
      </w:r>
      <w:r w:rsidR="00190923" w:rsidRPr="00981405">
        <w:t xml:space="preserve"> </w:t>
      </w:r>
      <w:r w:rsidRPr="00981405">
        <w:t>belonged,</w:t>
      </w:r>
      <w:r w:rsidR="00190923" w:rsidRPr="00981405">
        <w:t xml:space="preserve"> </w:t>
      </w:r>
      <w:r w:rsidRPr="00981405">
        <w:t>namely</w:t>
      </w:r>
      <w:r w:rsidR="00190923" w:rsidRPr="00981405">
        <w:t xml:space="preserve"> </w:t>
      </w:r>
      <w:r w:rsidRPr="00981405">
        <w:t>to</w:t>
      </w:r>
      <w:r w:rsidR="00190923" w:rsidRPr="00981405">
        <w:t xml:space="preserve"> </w:t>
      </w:r>
      <w:r w:rsidRPr="00981405">
        <w:t>protect</w:t>
      </w:r>
      <w:r w:rsidR="00190923" w:rsidRPr="00981405">
        <w:t xml:space="preserve"> </w:t>
      </w:r>
      <w:r w:rsidRPr="00981405">
        <w:t>the</w:t>
      </w:r>
      <w:r w:rsidR="00190923" w:rsidRPr="00981405">
        <w:t xml:space="preserve"> </w:t>
      </w:r>
      <w:r w:rsidRPr="00981405">
        <w:t>sovereignty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She</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qualification</w:t>
      </w:r>
      <w:r w:rsidR="00190923" w:rsidRPr="00981405">
        <w:t xml:space="preserve"> </w:t>
      </w:r>
      <w:r w:rsidRPr="00981405">
        <w:t>as</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of</w:t>
      </w:r>
      <w:r w:rsidR="00190923" w:rsidRPr="00981405">
        <w:t xml:space="preserve"> </w:t>
      </w:r>
      <w:r w:rsidRPr="00981405">
        <w:t>such</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by</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in</w:t>
      </w:r>
      <w:r w:rsidR="00190923" w:rsidRPr="00981405">
        <w:t xml:space="preserve"> </w:t>
      </w:r>
      <w:r w:rsidRPr="00981405">
        <w:t>their</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must</w:t>
      </w:r>
      <w:r w:rsidR="00190923" w:rsidRPr="00981405">
        <w:t xml:space="preserve"> </w:t>
      </w:r>
      <w:r w:rsidRPr="00981405">
        <w:t>not</w:t>
      </w:r>
      <w:r w:rsidR="00190923" w:rsidRPr="00981405">
        <w:t xml:space="preserve"> </w:t>
      </w:r>
      <w:r w:rsidRPr="00981405">
        <w:t>result</w:t>
      </w:r>
      <w:r w:rsidR="00190923" w:rsidRPr="00981405">
        <w:t xml:space="preserve"> </w:t>
      </w:r>
      <w:r w:rsidRPr="00981405">
        <w:t>in</w:t>
      </w:r>
      <w:r w:rsidR="00190923" w:rsidRPr="00981405">
        <w:t xml:space="preserve"> </w:t>
      </w:r>
      <w:r w:rsidRPr="00981405">
        <w:t>the</w:t>
      </w:r>
      <w:r w:rsidR="00190923" w:rsidRPr="00981405">
        <w:t xml:space="preserve"> </w:t>
      </w:r>
      <w:r w:rsidRPr="00981405">
        <w:t>automatic</w:t>
      </w:r>
      <w:r w:rsidR="00190923" w:rsidRPr="00981405">
        <w:t xml:space="preserve"> </w:t>
      </w:r>
      <w:r w:rsidRPr="00981405">
        <w:t>and</w:t>
      </w:r>
      <w:r w:rsidR="00190923" w:rsidRPr="00981405">
        <w:t xml:space="preserve"> </w:t>
      </w:r>
      <w:r w:rsidRPr="00981405">
        <w:t>mechanical</w:t>
      </w:r>
      <w:r w:rsidR="00190923" w:rsidRPr="00981405">
        <w:t xml:space="preserve"> </w:t>
      </w:r>
      <w:r w:rsidRPr="00981405">
        <w:t>recognition</w:t>
      </w:r>
      <w:r w:rsidR="00190923" w:rsidRPr="00981405">
        <w:t xml:space="preserve"> </w:t>
      </w:r>
      <w:r w:rsidRPr="00981405">
        <w:t>of</w:t>
      </w:r>
      <w:r w:rsidR="00190923" w:rsidRPr="00981405">
        <w:t xml:space="preserve"> </w:t>
      </w:r>
      <w:r w:rsidRPr="00981405">
        <w:t>immunity</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such</w:t>
      </w:r>
      <w:r w:rsidR="00190923" w:rsidRPr="00981405">
        <w:t xml:space="preserve"> </w:t>
      </w:r>
      <w:r w:rsidRPr="00981405">
        <w:t>category</w:t>
      </w:r>
      <w:r w:rsidR="00190923" w:rsidRPr="00981405">
        <w:t xml:space="preserve"> </w:t>
      </w:r>
      <w:r w:rsidRPr="00981405">
        <w:t>of</w:t>
      </w:r>
      <w:r w:rsidR="00190923" w:rsidRPr="00981405">
        <w:t xml:space="preserve"> </w:t>
      </w:r>
      <w:r w:rsidRPr="00981405">
        <w:t>acts.</w:t>
      </w:r>
      <w:r w:rsidR="00190923" w:rsidRPr="00981405">
        <w:t xml:space="preserve"> </w:t>
      </w:r>
      <w:r w:rsidRPr="00981405">
        <w:t>The</w:t>
      </w:r>
      <w:r w:rsidR="00190923" w:rsidRPr="00981405">
        <w:t xml:space="preserve"> </w:t>
      </w:r>
      <w:r w:rsidRPr="00981405">
        <w:t>question</w:t>
      </w:r>
      <w:r w:rsidR="00190923" w:rsidRPr="00981405">
        <w:t xml:space="preserve"> </w:t>
      </w:r>
      <w:r w:rsidRPr="00981405">
        <w:t>will</w:t>
      </w:r>
      <w:r w:rsidR="00190923" w:rsidRPr="00981405">
        <w:t xml:space="preserve"> </w:t>
      </w:r>
      <w:r w:rsidRPr="00981405">
        <w:t>be</w:t>
      </w:r>
      <w:r w:rsidR="00190923" w:rsidRPr="00981405">
        <w:t xml:space="preserve"> </w:t>
      </w:r>
      <w:r w:rsidRPr="00981405">
        <w:t>analysed</w:t>
      </w:r>
      <w:r w:rsidR="00190923" w:rsidRPr="00981405">
        <w:t xml:space="preserve"> </w:t>
      </w:r>
      <w:r w:rsidRPr="00981405">
        <w:t>in</w:t>
      </w:r>
      <w:r w:rsidR="00190923" w:rsidRPr="00981405">
        <w:t xml:space="preserve"> </w:t>
      </w:r>
      <w:r w:rsidRPr="00981405">
        <w:t>greater</w:t>
      </w:r>
      <w:r w:rsidR="00190923" w:rsidRPr="00981405">
        <w:t xml:space="preserve"> </w:t>
      </w:r>
      <w:r w:rsidRPr="00981405">
        <w:t>detail</w:t>
      </w:r>
      <w:r w:rsidR="00190923" w:rsidRPr="00981405">
        <w:t xml:space="preserve"> </w:t>
      </w:r>
      <w:r w:rsidRPr="00981405">
        <w:t>in</w:t>
      </w:r>
      <w:r w:rsidR="00190923" w:rsidRPr="00981405">
        <w:t xml:space="preserve"> </w:t>
      </w:r>
      <w:r w:rsidRPr="00981405">
        <w:t>the</w:t>
      </w:r>
      <w:r w:rsidR="00190923" w:rsidRPr="00981405">
        <w:t xml:space="preserve"> </w:t>
      </w:r>
      <w:r w:rsidRPr="00981405">
        <w:t>fifth</w:t>
      </w:r>
      <w:r w:rsidR="00190923" w:rsidRPr="00981405">
        <w:t xml:space="preserve"> </w:t>
      </w:r>
      <w:r w:rsidRPr="00981405">
        <w:t>report.</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1" w:name="_Toc427938139"/>
      <w:r w:rsidRPr="00D97463">
        <w:t>2.</w:t>
      </w:r>
      <w:r w:rsidRPr="00D97463">
        <w:tab/>
        <w:t>Summary</w:t>
      </w:r>
      <w:r w:rsidR="00190923" w:rsidRPr="00D97463">
        <w:t xml:space="preserve"> </w:t>
      </w:r>
      <w:r w:rsidRPr="00D97463">
        <w:t>of</w:t>
      </w:r>
      <w:r w:rsidR="00190923" w:rsidRPr="00D97463">
        <w:t xml:space="preserve"> </w:t>
      </w:r>
      <w:r w:rsidRPr="00D97463">
        <w:t>the</w:t>
      </w:r>
      <w:r w:rsidR="00190923" w:rsidRPr="00D97463">
        <w:t xml:space="preserve"> </w:t>
      </w:r>
      <w:r w:rsidRPr="00D97463">
        <w:t>debate</w:t>
      </w:r>
      <w:bookmarkEnd w:id="151"/>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2" w:name="_Toc427938140"/>
      <w:r w:rsidRPr="00D97463">
        <w:t>(a)</w:t>
      </w:r>
      <w:r w:rsidRPr="00D97463">
        <w:tab/>
        <w:t>General</w:t>
      </w:r>
      <w:r w:rsidR="00190923" w:rsidRPr="00D97463">
        <w:t xml:space="preserve"> </w:t>
      </w:r>
      <w:r w:rsidRPr="00D97463">
        <w:t>comments</w:t>
      </w:r>
      <w:bookmarkEnd w:id="15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193.</w:t>
      </w:r>
      <w:r w:rsidRPr="00981405">
        <w:tab/>
        <w:t>Members</w:t>
      </w:r>
      <w:r w:rsidR="00190923" w:rsidRPr="00981405">
        <w:t xml:space="preserve"> </w:t>
      </w:r>
      <w:r w:rsidRPr="00981405">
        <w:t>generally</w:t>
      </w:r>
      <w:r w:rsidR="00190923" w:rsidRPr="00981405">
        <w:t xml:space="preserve"> </w:t>
      </w:r>
      <w:r w:rsidRPr="00981405">
        <w:t>welcomed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fourth</w:t>
      </w:r>
      <w:r w:rsidR="00190923" w:rsidRPr="00981405">
        <w:t xml:space="preserve"> </w:t>
      </w:r>
      <w:r w:rsidRPr="00981405">
        <w:t>report</w:t>
      </w:r>
      <w:r w:rsidR="00190923" w:rsidRPr="00981405">
        <w:t xml:space="preserve"> </w:t>
      </w:r>
      <w:r w:rsidRPr="00981405">
        <w:t>for</w:t>
      </w:r>
      <w:r w:rsidR="00190923" w:rsidRPr="00981405">
        <w:t xml:space="preserve"> </w:t>
      </w:r>
      <w:r w:rsidRPr="00981405">
        <w:t>its</w:t>
      </w:r>
      <w:r w:rsidR="00190923" w:rsidRPr="00981405">
        <w:t xml:space="preserve"> </w:t>
      </w:r>
      <w:r w:rsidRPr="00981405">
        <w:t>rich,</w:t>
      </w:r>
      <w:r w:rsidR="00190923" w:rsidRPr="00981405">
        <w:t xml:space="preserve"> </w:t>
      </w:r>
      <w:r w:rsidRPr="00981405">
        <w:t>systematic</w:t>
      </w:r>
      <w:r w:rsidR="00190923" w:rsidRPr="00981405">
        <w:t xml:space="preserve"> </w:t>
      </w:r>
      <w:r w:rsidRPr="00981405">
        <w:t>and</w:t>
      </w:r>
      <w:r w:rsidR="00190923" w:rsidRPr="00981405">
        <w:t xml:space="preserve"> </w:t>
      </w:r>
      <w:r w:rsidRPr="00981405">
        <w:t>well</w:t>
      </w:r>
      <w:r w:rsidR="00190923" w:rsidRPr="00981405">
        <w:t xml:space="preserve"> </w:t>
      </w:r>
      <w:r w:rsidRPr="00981405">
        <w:t>documented</w:t>
      </w:r>
      <w:r w:rsidR="00190923" w:rsidRPr="00981405">
        <w:t xml:space="preserve"> </w:t>
      </w:r>
      <w:r w:rsidRPr="00981405">
        <w:t>examples</w:t>
      </w:r>
      <w:r w:rsidR="00190923" w:rsidRPr="00981405">
        <w:t xml:space="preserve"> </w:t>
      </w:r>
      <w:r w:rsidRPr="00981405">
        <w:t>of</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national</w:t>
      </w:r>
      <w:r w:rsidR="00190923" w:rsidRPr="00981405">
        <w:t xml:space="preserve"> </w:t>
      </w:r>
      <w:r w:rsidRPr="00981405">
        <w:t>case-law,</w:t>
      </w:r>
      <w:r w:rsidR="00190923" w:rsidRPr="00981405">
        <w:t xml:space="preserve"> </w:t>
      </w:r>
      <w:r w:rsidRPr="00981405">
        <w:t>while</w:t>
      </w:r>
      <w:r w:rsidR="00190923" w:rsidRPr="00981405">
        <w:t xml:space="preserve"> </w:t>
      </w:r>
      <w:r w:rsidRPr="00981405">
        <w:t>managing</w:t>
      </w:r>
      <w:r w:rsidR="00190923" w:rsidRPr="00981405">
        <w:t xml:space="preserve"> </w:t>
      </w:r>
      <w:r w:rsidRPr="00981405">
        <w:t>to</w:t>
      </w:r>
      <w:r w:rsidR="00190923" w:rsidRPr="00981405">
        <w:t xml:space="preserve"> </w:t>
      </w:r>
      <w:r w:rsidRPr="00981405">
        <w:t>establish</w:t>
      </w:r>
      <w:r w:rsidR="00190923" w:rsidRPr="00981405">
        <w:t xml:space="preserve"> </w:t>
      </w:r>
      <w:r w:rsidRPr="00981405">
        <w:t>a</w:t>
      </w:r>
      <w:r w:rsidR="00190923" w:rsidRPr="00981405">
        <w:t xml:space="preserve"> </w:t>
      </w:r>
      <w:r w:rsidRPr="00981405">
        <w:t>clear</w:t>
      </w:r>
      <w:r w:rsidR="00190923" w:rsidRPr="00981405">
        <w:t xml:space="preserve"> </w:t>
      </w:r>
      <w:r w:rsidRPr="00981405">
        <w:t>connection</w:t>
      </w:r>
      <w:r w:rsidR="00190923" w:rsidRPr="00981405">
        <w:t xml:space="preserve"> </w:t>
      </w:r>
      <w:r w:rsidRPr="00981405">
        <w:t>between</w:t>
      </w:r>
      <w:r w:rsidR="00190923" w:rsidRPr="00981405">
        <w:t xml:space="preserve"> </w:t>
      </w:r>
      <w:r w:rsidRPr="00981405">
        <w:t>the</w:t>
      </w:r>
      <w:r w:rsidR="00190923" w:rsidRPr="00981405">
        <w:t xml:space="preserve"> </w:t>
      </w:r>
      <w:r w:rsidRPr="00981405">
        <w:t>analysis</w:t>
      </w:r>
      <w:r w:rsidR="00190923" w:rsidRPr="00981405">
        <w:t xml:space="preserve"> </w:t>
      </w:r>
      <w:r w:rsidRPr="00981405">
        <w:t>and</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proposed.</w:t>
      </w:r>
      <w:r w:rsidR="00190923" w:rsidRPr="00981405">
        <w:t xml:space="preserve"> </w:t>
      </w:r>
      <w:r w:rsidRPr="00981405">
        <w:t>In</w:t>
      </w:r>
      <w:r w:rsidR="00190923" w:rsidRPr="00981405">
        <w:t xml:space="preserve"> </w:t>
      </w:r>
      <w:r w:rsidRPr="00981405">
        <w:t>doing</w:t>
      </w:r>
      <w:r w:rsidR="00190923" w:rsidRPr="00981405">
        <w:t xml:space="preserve"> </w:t>
      </w:r>
      <w:r w:rsidRPr="00981405">
        <w:t>so,</w:t>
      </w:r>
      <w:r w:rsidR="00190923" w:rsidRPr="00981405">
        <w:t xml:space="preserve"> </w:t>
      </w:r>
      <w:r w:rsidRPr="00981405">
        <w:t>the</w:t>
      </w:r>
      <w:r w:rsidR="00190923" w:rsidRPr="00981405">
        <w:t xml:space="preserve"> </w:t>
      </w:r>
      <w:r w:rsidRPr="00981405">
        <w:t>report</w:t>
      </w:r>
      <w:r w:rsidR="00190923" w:rsidRPr="00981405">
        <w:t xml:space="preserve"> </w:t>
      </w:r>
      <w:r w:rsidRPr="00981405">
        <w:t>provided</w:t>
      </w:r>
      <w:r w:rsidR="00190923" w:rsidRPr="00981405">
        <w:t xml:space="preserve"> </w:t>
      </w:r>
      <w:r w:rsidRPr="00981405">
        <w:t>a</w:t>
      </w:r>
      <w:r w:rsidR="00190923" w:rsidRPr="00981405">
        <w:t xml:space="preserve"> </w:t>
      </w:r>
      <w:r w:rsidRPr="00981405">
        <w:lastRenderedPageBreak/>
        <w:t>comprehensive</w:t>
      </w:r>
      <w:r w:rsidR="00190923" w:rsidRPr="00981405">
        <w:t xml:space="preserve"> </w:t>
      </w:r>
      <w:r w:rsidRPr="00981405">
        <w:t>picture</w:t>
      </w:r>
      <w:r w:rsidR="00190923" w:rsidRPr="00981405">
        <w:t xml:space="preserve"> </w:t>
      </w:r>
      <w:r w:rsidRPr="00981405">
        <w:t>of</w:t>
      </w:r>
      <w:r w:rsidR="00190923" w:rsidRPr="00981405">
        <w:t xml:space="preserve"> </w:t>
      </w:r>
      <w:r w:rsidRPr="00981405">
        <w:t>the</w:t>
      </w:r>
      <w:r w:rsidR="00190923" w:rsidRPr="00981405">
        <w:t xml:space="preserve"> </w:t>
      </w:r>
      <w:r w:rsidRPr="00981405">
        <w:t>various</w:t>
      </w:r>
      <w:r w:rsidR="00190923" w:rsidRPr="00981405">
        <w:t xml:space="preserve"> </w:t>
      </w:r>
      <w:r w:rsidRPr="00981405">
        <w:t>considerations</w:t>
      </w:r>
      <w:r w:rsidR="00190923" w:rsidRPr="00981405">
        <w:t xml:space="preserve"> </w:t>
      </w:r>
      <w:r w:rsidRPr="00981405">
        <w:t>relevant</w:t>
      </w:r>
      <w:r w:rsidR="00190923" w:rsidRPr="00981405">
        <w:t xml:space="preserve"> </w:t>
      </w:r>
      <w:r w:rsidRPr="00981405">
        <w:t>for</w:t>
      </w:r>
      <w:r w:rsidR="00190923" w:rsidRPr="00981405">
        <w:t xml:space="preserve"> </w:t>
      </w:r>
      <w:r w:rsidRPr="00981405">
        <w:t>determining</w:t>
      </w:r>
      <w:r w:rsidR="00190923" w:rsidRPr="00981405">
        <w:t xml:space="preserve"> </w:t>
      </w:r>
      <w:r w:rsidRPr="00981405">
        <w:t>the</w:t>
      </w:r>
      <w:r w:rsidR="00190923" w:rsidRPr="00981405">
        <w:t xml:space="preserve"> </w:t>
      </w:r>
      <w:r w:rsidRPr="00981405">
        <w:t>material</w:t>
      </w:r>
      <w:r w:rsidR="00190923" w:rsidRPr="00981405">
        <w:t xml:space="preserve"> </w:t>
      </w:r>
      <w:r w:rsidRPr="00981405">
        <w:t>and</w:t>
      </w:r>
      <w:r w:rsidR="00190923" w:rsidRPr="00981405">
        <w:t xml:space="preserve"> </w:t>
      </w:r>
      <w:r w:rsidRPr="00981405">
        <w:t>temporal</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a</w:t>
      </w:r>
      <w:r w:rsidR="00190923" w:rsidRPr="00981405">
        <w:t xml:space="preserve"> </w:t>
      </w:r>
      <w:r w:rsidRPr="00981405">
        <w:t>step</w:t>
      </w:r>
      <w:r w:rsidR="00190923" w:rsidRPr="00981405">
        <w:t xml:space="preserve"> </w:t>
      </w:r>
      <w:r w:rsidRPr="00981405">
        <w:t>that</w:t>
      </w:r>
      <w:r w:rsidR="00190923" w:rsidRPr="00981405">
        <w:t xml:space="preserve"> </w:t>
      </w:r>
      <w:r w:rsidRPr="00981405">
        <w:t>had</w:t>
      </w:r>
      <w:r w:rsidR="00190923" w:rsidRPr="00981405">
        <w:t xml:space="preserve"> </w:t>
      </w:r>
      <w:r w:rsidRPr="00981405">
        <w:t>helped</w:t>
      </w:r>
      <w:r w:rsidR="00190923" w:rsidRPr="00981405">
        <w:t xml:space="preserve"> </w:t>
      </w:r>
      <w:r w:rsidRPr="00981405">
        <w:t>to</w:t>
      </w:r>
      <w:r w:rsidR="00190923" w:rsidRPr="00981405">
        <w:t xml:space="preserve"> </w:t>
      </w:r>
      <w:r w:rsidRPr="00981405">
        <w:t>throw</w:t>
      </w:r>
      <w:r w:rsidR="00190923" w:rsidRPr="00981405">
        <w:t xml:space="preserve"> </w:t>
      </w:r>
      <w:r w:rsidRPr="00981405">
        <w:t>more</w:t>
      </w:r>
      <w:r w:rsidR="00190923" w:rsidRPr="00981405">
        <w:t xml:space="preserve"> </w:t>
      </w:r>
      <w:r w:rsidRPr="00981405">
        <w:t>light</w:t>
      </w:r>
      <w:r w:rsidR="00190923" w:rsidRPr="00981405">
        <w:t xml:space="preserve"> </w:t>
      </w:r>
      <w:r w:rsidRPr="00981405">
        <w:t>on</w:t>
      </w:r>
      <w:r w:rsidR="00190923" w:rsidRPr="00981405">
        <w:t xml:space="preserve"> </w:t>
      </w:r>
      <w:r w:rsidRPr="00981405">
        <w:t>an</w:t>
      </w:r>
      <w:r w:rsidR="00190923" w:rsidRPr="00981405">
        <w:t xml:space="preserve"> </w:t>
      </w:r>
      <w:r w:rsidRPr="00981405">
        <w:t>essential</w:t>
      </w:r>
      <w:r w:rsidR="00190923" w:rsidRPr="00981405">
        <w:t xml:space="preserve"> </w:t>
      </w:r>
      <w:r w:rsidRPr="00981405">
        <w:t>element</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It</w:t>
      </w:r>
      <w:r w:rsidR="00190923" w:rsidRPr="00981405">
        <w:t xml:space="preserve"> </w:t>
      </w:r>
      <w:r w:rsidRPr="00981405">
        <w:t>was</w:t>
      </w:r>
      <w:r w:rsidR="00190923" w:rsidRPr="00981405">
        <w:t xml:space="preserve"> </w:t>
      </w:r>
      <w:r w:rsidRPr="00981405">
        <w:t>readily</w:t>
      </w:r>
      <w:r w:rsidR="00190923" w:rsidRPr="00981405">
        <w:t xml:space="preserve"> </w:t>
      </w:r>
      <w:r w:rsidRPr="00981405">
        <w:t>recognized</w:t>
      </w:r>
      <w:r w:rsidR="00190923" w:rsidRPr="00981405">
        <w:t xml:space="preserve"> </w:t>
      </w:r>
      <w:r w:rsidRPr="00981405">
        <w:t>that</w:t>
      </w:r>
      <w:r w:rsidR="00190923" w:rsidRPr="00981405">
        <w:t xml:space="preserve"> </w:t>
      </w:r>
      <w:r w:rsidRPr="00981405">
        <w:t>the</w:t>
      </w:r>
      <w:r w:rsidR="00190923" w:rsidRPr="00981405">
        <w:t xml:space="preserve"> </w:t>
      </w:r>
      <w:r w:rsidRPr="00981405">
        <w:t>subject</w:t>
      </w:r>
      <w:r w:rsidR="00190923" w:rsidRPr="00981405">
        <w:t xml:space="preserve"> </w:t>
      </w:r>
      <w:r w:rsidRPr="00981405">
        <w:t>matter</w:t>
      </w:r>
      <w:r w:rsidR="00190923" w:rsidRPr="00981405">
        <w:t xml:space="preserve"> </w:t>
      </w:r>
      <w:r w:rsidRPr="00981405">
        <w:t>was</w:t>
      </w:r>
      <w:r w:rsidR="00190923" w:rsidRPr="00981405">
        <w:t xml:space="preserve"> </w:t>
      </w:r>
      <w:r w:rsidRPr="00981405">
        <w:t>legally</w:t>
      </w:r>
      <w:r w:rsidR="00190923" w:rsidRPr="00981405">
        <w:t xml:space="preserve"> </w:t>
      </w:r>
      <w:r w:rsidRPr="00981405">
        <w:t>complex</w:t>
      </w:r>
      <w:r w:rsidR="00190923" w:rsidRPr="00981405">
        <w:t xml:space="preserve"> </w:t>
      </w:r>
      <w:r w:rsidRPr="00981405">
        <w:t>and</w:t>
      </w:r>
      <w:r w:rsidR="00190923" w:rsidRPr="00981405">
        <w:t xml:space="preserve"> </w:t>
      </w:r>
      <w:r w:rsidRPr="00981405">
        <w:t>raised</w:t>
      </w:r>
      <w:r w:rsidR="00190923" w:rsidRPr="00981405">
        <w:t xml:space="preserve"> </w:t>
      </w:r>
      <w:r w:rsidRPr="00981405">
        <w:t>issues</w:t>
      </w:r>
      <w:r w:rsidR="00190923" w:rsidRPr="00981405">
        <w:t xml:space="preserve"> </w:t>
      </w:r>
      <w:r w:rsidRPr="00981405">
        <w:t>that</w:t>
      </w:r>
      <w:r w:rsidR="00190923" w:rsidRPr="00981405">
        <w:t xml:space="preserve"> </w:t>
      </w:r>
      <w:r w:rsidRPr="00981405">
        <w:t>were</w:t>
      </w:r>
      <w:r w:rsidR="00190923" w:rsidRPr="00981405">
        <w:t xml:space="preserve"> </w:t>
      </w:r>
      <w:r w:rsidRPr="00981405">
        <w:t>politically</w:t>
      </w:r>
      <w:r w:rsidR="00190923" w:rsidRPr="00981405">
        <w:t xml:space="preserve"> </w:t>
      </w:r>
      <w:r w:rsidRPr="00981405">
        <w:t>sensitive</w:t>
      </w:r>
      <w:r w:rsidR="00190923" w:rsidRPr="00981405">
        <w:t xml:space="preserve"> </w:t>
      </w:r>
      <w:r w:rsidRPr="00981405">
        <w:t>and</w:t>
      </w:r>
      <w:r w:rsidR="00190923" w:rsidRPr="00981405">
        <w:t xml:space="preserve"> </w:t>
      </w:r>
      <w:r w:rsidRPr="00981405">
        <w:t>important</w:t>
      </w:r>
      <w:r w:rsidR="00190923" w:rsidRPr="00981405">
        <w:t xml:space="preserve"> </w:t>
      </w:r>
      <w:r w:rsidRPr="00981405">
        <w:t>for</w:t>
      </w:r>
      <w:r w:rsidR="00190923" w:rsidRPr="00981405">
        <w:t xml:space="preserve"> </w:t>
      </w:r>
      <w:r w:rsidRPr="00981405">
        <w:t>States.</w:t>
      </w:r>
      <w:r w:rsidR="00190923" w:rsidRPr="00981405">
        <w:t xml:space="preserve"> </w:t>
      </w:r>
    </w:p>
    <w:p w:rsidR="00397032" w:rsidRPr="00981405" w:rsidRDefault="00397032" w:rsidP="00D97463">
      <w:pPr>
        <w:pStyle w:val="SingleTxt"/>
      </w:pPr>
      <w:r w:rsidRPr="00981405">
        <w:t>194.</w:t>
      </w:r>
      <w:r w:rsidR="00190923" w:rsidRPr="00981405">
        <w:t xml:space="preserve"> </w:t>
      </w:r>
      <w:r w:rsidRPr="00981405">
        <w:t>A</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was</w:t>
      </w:r>
      <w:r w:rsidR="00190923" w:rsidRPr="00981405">
        <w:t xml:space="preserve"> </w:t>
      </w:r>
      <w:r w:rsidRPr="00981405">
        <w:t>not</w:t>
      </w:r>
      <w:r w:rsidR="00190923" w:rsidRPr="00981405">
        <w:t xml:space="preserve"> </w:t>
      </w:r>
      <w:r w:rsidRPr="00981405">
        <w:t>uniform,</w:t>
      </w:r>
      <w:r w:rsidR="00190923" w:rsidRPr="00981405">
        <w:t xml:space="preserve"> </w:t>
      </w:r>
      <w:r w:rsidRPr="00981405">
        <w:t>and</w:t>
      </w:r>
      <w:r w:rsidR="00190923" w:rsidRPr="00981405">
        <w:t xml:space="preserve"> </w:t>
      </w:r>
      <w:r w:rsidRPr="00981405">
        <w:t>more</w:t>
      </w:r>
      <w:r w:rsidR="00190923" w:rsidRPr="00981405">
        <w:t xml:space="preserve"> </w:t>
      </w:r>
      <w:r w:rsidRPr="00981405">
        <w:t>crucially,</w:t>
      </w:r>
      <w:r w:rsidR="00190923" w:rsidRPr="00981405">
        <w:t xml:space="preserve"> </w:t>
      </w:r>
      <w:r w:rsidRPr="00981405">
        <w:t>the</w:t>
      </w:r>
      <w:r w:rsidR="00190923" w:rsidRPr="00981405">
        <w:t xml:space="preserve"> </w:t>
      </w:r>
      <w:r w:rsidRPr="00981405">
        <w:t>direction</w:t>
      </w:r>
      <w:r w:rsidR="00190923" w:rsidRPr="00981405">
        <w:t xml:space="preserve"> </w:t>
      </w:r>
      <w:r w:rsidRPr="00981405">
        <w:t>of</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was</w:t>
      </w:r>
      <w:r w:rsidR="00190923" w:rsidRPr="00981405">
        <w:t xml:space="preserve"> </w:t>
      </w:r>
      <w:r w:rsidRPr="00981405">
        <w:t>in</w:t>
      </w:r>
      <w:r w:rsidR="00190923" w:rsidRPr="00981405">
        <w:t xml:space="preserve"> </w:t>
      </w:r>
      <w:r w:rsidRPr="00981405">
        <w:t>a</w:t>
      </w:r>
      <w:r w:rsidR="00190923" w:rsidRPr="00981405">
        <w:t xml:space="preserve"> </w:t>
      </w:r>
      <w:r w:rsidR="00B92E2C" w:rsidRPr="00981405">
        <w:t>“</w:t>
      </w:r>
      <w:r w:rsidRPr="00981405">
        <w:t>state</w:t>
      </w:r>
      <w:r w:rsidR="00190923" w:rsidRPr="00981405">
        <w:t xml:space="preserve"> </w:t>
      </w:r>
      <w:r w:rsidRPr="00981405">
        <w:t>of</w:t>
      </w:r>
      <w:r w:rsidR="00190923" w:rsidRPr="00981405">
        <w:t xml:space="preserve"> </w:t>
      </w:r>
      <w:r w:rsidRPr="00981405">
        <w:t>flux</w:t>
      </w:r>
      <w:r w:rsidR="00B92E2C" w:rsidRPr="00981405">
        <w:t>”</w:t>
      </w:r>
      <w:r w:rsidR="00190923" w:rsidRPr="00981405">
        <w:t xml:space="preserve"> </w:t>
      </w:r>
      <w:r w:rsidRPr="00981405">
        <w:t>such</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easy</w:t>
      </w:r>
      <w:r w:rsidR="00190923" w:rsidRPr="00981405">
        <w:t xml:space="preserve"> </w:t>
      </w:r>
      <w:r w:rsidRPr="00981405">
        <w:t>to</w:t>
      </w:r>
      <w:r w:rsidR="00190923" w:rsidRPr="00981405">
        <w:t xml:space="preserve"> </w:t>
      </w:r>
      <w:r w:rsidRPr="00981405">
        <w:t>identify</w:t>
      </w:r>
      <w:r w:rsidR="00190923" w:rsidRPr="00981405">
        <w:t xml:space="preserve"> </w:t>
      </w:r>
      <w:r w:rsidRPr="00981405">
        <w:t>the</w:t>
      </w:r>
      <w:r w:rsidR="00190923" w:rsidRPr="00981405">
        <w:t xml:space="preserve"> </w:t>
      </w:r>
      <w:r w:rsidRPr="00981405">
        <w:t>clear</w:t>
      </w:r>
      <w:r w:rsidR="00190923" w:rsidRPr="00981405">
        <w:t xml:space="preserve"> </w:t>
      </w:r>
      <w:r w:rsidRPr="00981405">
        <w:t>and</w:t>
      </w:r>
      <w:r w:rsidR="00190923" w:rsidRPr="00981405">
        <w:t xml:space="preserve"> </w:t>
      </w:r>
      <w:r w:rsidRPr="00981405">
        <w:t>unambiguous</w:t>
      </w:r>
      <w:r w:rsidR="00190923" w:rsidRPr="00981405">
        <w:t xml:space="preserve"> </w:t>
      </w:r>
      <w:r w:rsidRPr="00981405">
        <w:t>applicable</w:t>
      </w:r>
      <w:r w:rsidR="00190923" w:rsidRPr="00981405">
        <w:t xml:space="preserve"> </w:t>
      </w:r>
      <w:r w:rsidRPr="00981405">
        <w:t>rules.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not</w:t>
      </w:r>
      <w:r w:rsidR="00190923" w:rsidRPr="00981405">
        <w:t xml:space="preserve"> </w:t>
      </w:r>
      <w:r w:rsidRPr="00981405">
        <w:t>only</w:t>
      </w:r>
      <w:r w:rsidR="00190923" w:rsidRPr="00981405">
        <w:t xml:space="preserve"> </w:t>
      </w:r>
      <w:r w:rsidRPr="00981405">
        <w:t>confronting</w:t>
      </w:r>
      <w:r w:rsidR="00190923" w:rsidRPr="00981405">
        <w:t xml:space="preserve"> </w:t>
      </w:r>
      <w:r w:rsidRPr="00981405">
        <w:t>theoretical</w:t>
      </w:r>
      <w:r w:rsidR="00190923" w:rsidRPr="00981405">
        <w:t xml:space="preserve"> </w:t>
      </w:r>
      <w:r w:rsidRPr="00981405">
        <w:t>and</w:t>
      </w:r>
      <w:r w:rsidR="00190923" w:rsidRPr="00981405">
        <w:t xml:space="preserve"> </w:t>
      </w:r>
      <w:r w:rsidRPr="00981405">
        <w:t>doctrinal</w:t>
      </w:r>
      <w:r w:rsidR="00190923" w:rsidRPr="00981405">
        <w:t xml:space="preserve"> </w:t>
      </w:r>
      <w:r w:rsidRPr="00981405">
        <w:t>questions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relation</w:t>
      </w:r>
      <w:r w:rsidR="00190923" w:rsidRPr="00981405">
        <w:t xml:space="preserve"> </w:t>
      </w:r>
      <w:r w:rsidRPr="00981405">
        <w:t>with</w:t>
      </w:r>
      <w:r w:rsidR="00190923" w:rsidRPr="00981405">
        <w:t xml:space="preserve"> </w:t>
      </w:r>
      <w:r w:rsidRPr="00981405">
        <w:t>other</w:t>
      </w:r>
      <w:r w:rsidR="00190923" w:rsidRPr="00981405">
        <w:t xml:space="preserve"> </w:t>
      </w:r>
      <w:r w:rsidRPr="00981405">
        <w:t>fields</w:t>
      </w:r>
      <w:r w:rsidR="00190923" w:rsidRPr="00981405">
        <w:t xml:space="preserve"> </w:t>
      </w:r>
      <w:r w:rsidRPr="00981405">
        <w:t>of</w:t>
      </w:r>
      <w:r w:rsidR="00190923" w:rsidRPr="00981405">
        <w:t xml:space="preserve"> </w:t>
      </w:r>
      <w:r w:rsidRPr="00981405">
        <w:t>law</w:t>
      </w:r>
      <w:r w:rsidR="00190923" w:rsidRPr="00981405">
        <w:t xml:space="preserve"> </w:t>
      </w:r>
      <w:r w:rsidRPr="00981405">
        <w:t>in</w:t>
      </w:r>
      <w:r w:rsidR="00190923" w:rsidRPr="00981405">
        <w:t xml:space="preserve"> </w:t>
      </w:r>
      <w:r w:rsidRPr="00981405">
        <w:t>the</w:t>
      </w:r>
      <w:r w:rsidR="00190923" w:rsidRPr="00981405">
        <w:t xml:space="preserve"> </w:t>
      </w:r>
      <w:r w:rsidRPr="00981405">
        <w:t>overall</w:t>
      </w:r>
      <w:r w:rsidR="00190923" w:rsidRPr="00981405">
        <w:t xml:space="preserve"> </w:t>
      </w:r>
      <w:r w:rsidRPr="00981405">
        <w:t>international</w:t>
      </w:r>
      <w:r w:rsidR="00190923" w:rsidRPr="00981405">
        <w:t xml:space="preserve"> </w:t>
      </w:r>
      <w:r w:rsidRPr="00981405">
        <w:t>legal</w:t>
      </w:r>
      <w:r w:rsidR="00190923" w:rsidRPr="00981405">
        <w:t xml:space="preserve"> </w:t>
      </w:r>
      <w:r w:rsidRPr="00981405">
        <w:t>system,</w:t>
      </w:r>
      <w:r w:rsidR="00190923" w:rsidRPr="00981405">
        <w:t xml:space="preserve"> </w:t>
      </w:r>
      <w:r w:rsidRPr="00981405">
        <w:t>but</w:t>
      </w:r>
      <w:r w:rsidR="00190923" w:rsidRPr="00981405">
        <w:t xml:space="preserve"> </w:t>
      </w:r>
      <w:r w:rsidRPr="00981405">
        <w:t>also</w:t>
      </w:r>
      <w:r w:rsidR="00190923" w:rsidRPr="00981405">
        <w:t xml:space="preserve"> </w:t>
      </w:r>
      <w:r w:rsidRPr="00981405">
        <w:t>the</w:t>
      </w:r>
      <w:r w:rsidR="00190923" w:rsidRPr="00981405">
        <w:t xml:space="preserve"> </w:t>
      </w:r>
      <w:r w:rsidRPr="00981405">
        <w:t>difficulty</w:t>
      </w:r>
      <w:r w:rsidR="00190923" w:rsidRPr="00981405">
        <w:t xml:space="preserve"> </w:t>
      </w:r>
      <w:r w:rsidRPr="00981405">
        <w:t>of</w:t>
      </w:r>
      <w:r w:rsidR="00190923" w:rsidRPr="00981405">
        <w:t xml:space="preserve"> </w:t>
      </w:r>
      <w:r w:rsidRPr="00981405">
        <w:t>making</w:t>
      </w:r>
      <w:r w:rsidR="00190923" w:rsidRPr="00981405">
        <w:t xml:space="preserve"> </w:t>
      </w:r>
      <w:r w:rsidRPr="00981405">
        <w:t>choices</w:t>
      </w:r>
      <w:r w:rsidR="00190923" w:rsidRPr="00981405">
        <w:t xml:space="preserve"> </w:t>
      </w:r>
      <w:r w:rsidRPr="00981405">
        <w:t>in</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and</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that</w:t>
      </w:r>
      <w:r w:rsidR="00190923" w:rsidRPr="00981405">
        <w:t xml:space="preserve"> </w:t>
      </w:r>
      <w:r w:rsidRPr="00981405">
        <w:t>would</w:t>
      </w:r>
      <w:r w:rsidR="00190923" w:rsidRPr="00981405">
        <w:t xml:space="preserve"> </w:t>
      </w:r>
      <w:r w:rsidRPr="00981405">
        <w:t>help</w:t>
      </w:r>
      <w:r w:rsidR="00190923" w:rsidRPr="00981405">
        <w:t xml:space="preserve"> </w:t>
      </w:r>
      <w:r w:rsidRPr="00981405">
        <w:t>to</w:t>
      </w:r>
      <w:r w:rsidR="00190923" w:rsidRPr="00981405">
        <w:t xml:space="preserve"> </w:t>
      </w:r>
      <w:r w:rsidRPr="00981405">
        <w:t>advance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necessary</w:t>
      </w:r>
      <w:r w:rsidR="00190923" w:rsidRPr="00981405">
        <w:t xml:space="preserve"> </w:t>
      </w:r>
      <w:r w:rsidRPr="00981405">
        <w:t>to</w:t>
      </w:r>
      <w:r w:rsidR="00190923" w:rsidRPr="00981405">
        <w:t xml:space="preserve"> </w:t>
      </w:r>
      <w:r w:rsidRPr="00981405">
        <w:t>strike</w:t>
      </w:r>
      <w:r w:rsidR="00190923" w:rsidRPr="00981405">
        <w:t xml:space="preserve"> </w:t>
      </w:r>
      <w:r w:rsidRPr="00981405">
        <w:t>a</w:t>
      </w:r>
      <w:r w:rsidR="00190923" w:rsidRPr="00981405">
        <w:t xml:space="preserve"> </w:t>
      </w:r>
      <w:r w:rsidRPr="00981405">
        <w:t>balance</w:t>
      </w:r>
      <w:r w:rsidR="00190923" w:rsidRPr="00981405">
        <w:t xml:space="preserve"> </w:t>
      </w:r>
      <w:r w:rsidRPr="00981405">
        <w:t>between</w:t>
      </w:r>
      <w:r w:rsidR="00190923" w:rsidRPr="00981405">
        <w:t xml:space="preserve"> </w:t>
      </w:r>
      <w:r w:rsidRPr="00981405">
        <w:t>fighting</w:t>
      </w:r>
      <w:r w:rsidR="00190923" w:rsidRPr="00981405">
        <w:t xml:space="preserve"> </w:t>
      </w:r>
      <w:r w:rsidRPr="00981405">
        <w:t>impunity</w:t>
      </w:r>
      <w:r w:rsidR="00190923" w:rsidRPr="00981405">
        <w:t xml:space="preserve"> </w:t>
      </w:r>
      <w:r w:rsidRPr="00981405">
        <w:t>and</w:t>
      </w:r>
      <w:r w:rsidR="00190923" w:rsidRPr="00981405">
        <w:t xml:space="preserve"> </w:t>
      </w:r>
      <w:r w:rsidRPr="00981405">
        <w:t>preserving</w:t>
      </w:r>
      <w:r w:rsidR="00190923" w:rsidRPr="00981405">
        <w:t xml:space="preserve"> </w:t>
      </w:r>
      <w:r w:rsidRPr="00981405">
        <w:t>stability</w:t>
      </w:r>
      <w:r w:rsidR="00190923" w:rsidRPr="00981405">
        <w:t xml:space="preserve"> </w:t>
      </w:r>
      <w:r w:rsidRPr="00981405">
        <w:t>in</w:t>
      </w:r>
      <w:r w:rsidR="00190923" w:rsidRPr="00981405">
        <w:t xml:space="preserve"> </w:t>
      </w:r>
      <w:r w:rsidRPr="00981405">
        <w:t>inter-State</w:t>
      </w:r>
      <w:r w:rsidR="00190923" w:rsidRPr="00981405">
        <w:t xml:space="preserve"> </w:t>
      </w:r>
      <w:r w:rsidRPr="00981405">
        <w:t>relations.</w:t>
      </w:r>
      <w:r w:rsidR="00190923" w:rsidRPr="00981405">
        <w:t xml:space="preserve"> </w:t>
      </w:r>
      <w:r w:rsidRPr="00981405">
        <w:t>In</w:t>
      </w:r>
      <w:r w:rsidR="00190923" w:rsidRPr="00981405">
        <w:t xml:space="preserve"> </w:t>
      </w:r>
      <w:r w:rsidRPr="00981405">
        <w:t>such</w:t>
      </w:r>
      <w:r w:rsidR="00190923" w:rsidRPr="00981405">
        <w:t xml:space="preserve"> </w:t>
      </w:r>
      <w:r w:rsidRPr="00981405">
        <w:t>circumstances,</w:t>
      </w:r>
      <w:r w:rsidR="00190923" w:rsidRPr="00981405">
        <w:t xml:space="preserve"> </w:t>
      </w:r>
      <w:r w:rsidRPr="00981405">
        <w:t>it</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essential</w:t>
      </w:r>
      <w:r w:rsidR="00190923" w:rsidRPr="00981405">
        <w:t xml:space="preserve"> </w:t>
      </w:r>
      <w:r w:rsidRPr="00981405">
        <w:t>that</w:t>
      </w:r>
      <w:r w:rsidR="00190923" w:rsidRPr="00981405">
        <w:t xml:space="preserve"> </w:t>
      </w:r>
      <w:r w:rsidRPr="00981405">
        <w:t>there</w:t>
      </w:r>
      <w:r w:rsidR="00190923" w:rsidRPr="00981405">
        <w:t xml:space="preserve"> </w:t>
      </w:r>
      <w:r w:rsidRPr="00981405">
        <w:t>be</w:t>
      </w:r>
      <w:r w:rsidR="00190923" w:rsidRPr="00981405">
        <w:t xml:space="preserve"> </w:t>
      </w:r>
      <w:r w:rsidRPr="00981405">
        <w:t>transparency</w:t>
      </w:r>
      <w:r w:rsidR="00190923" w:rsidRPr="00981405">
        <w:t xml:space="preserve"> </w:t>
      </w:r>
      <w:r w:rsidRPr="00981405">
        <w:t>and</w:t>
      </w:r>
      <w:r w:rsidR="00190923" w:rsidRPr="00981405">
        <w:t xml:space="preserve"> </w:t>
      </w:r>
      <w:r w:rsidRPr="00981405">
        <w:t>an</w:t>
      </w:r>
      <w:r w:rsidR="00190923" w:rsidRPr="00981405">
        <w:t xml:space="preserve"> </w:t>
      </w:r>
      <w:r w:rsidRPr="00981405">
        <w:t>informed</w:t>
      </w:r>
      <w:r w:rsidR="00190923" w:rsidRPr="00981405">
        <w:t xml:space="preserve"> </w:t>
      </w:r>
      <w:r w:rsidRPr="00981405">
        <w:t>debate</w:t>
      </w:r>
      <w:r w:rsidR="00190923" w:rsidRPr="00981405">
        <w:t xml:space="preserve"> </w:t>
      </w:r>
      <w:r w:rsidRPr="00981405">
        <w:t>on</w:t>
      </w:r>
      <w:r w:rsidR="00190923" w:rsidRPr="00981405">
        <w:t xml:space="preserve"> </w:t>
      </w:r>
      <w:r w:rsidRPr="00981405">
        <w:t>whatever</w:t>
      </w:r>
      <w:r w:rsidR="00190923" w:rsidRPr="00981405">
        <w:t xml:space="preserve"> </w:t>
      </w:r>
      <w:r w:rsidRPr="00981405">
        <w:t>choices</w:t>
      </w:r>
      <w:r w:rsidR="00190923" w:rsidRPr="00981405">
        <w:t xml:space="preserve"> </w:t>
      </w:r>
      <w:r w:rsidRPr="00981405">
        <w:t>were</w:t>
      </w:r>
      <w:r w:rsidR="00190923" w:rsidRPr="00981405">
        <w:t xml:space="preserve"> </w:t>
      </w:r>
      <w:r w:rsidRPr="00981405">
        <w:t>to</w:t>
      </w:r>
      <w:r w:rsidR="00190923" w:rsidRPr="00981405">
        <w:t xml:space="preserve"> </w:t>
      </w:r>
      <w:r w:rsidRPr="00981405">
        <w:t>be</w:t>
      </w:r>
      <w:r w:rsidR="00190923" w:rsidRPr="00981405">
        <w:t xml:space="preserve"> </w:t>
      </w:r>
      <w:r w:rsidRPr="00981405">
        <w:t>made</w:t>
      </w:r>
      <w:r w:rsidR="00190923" w:rsidRPr="00981405">
        <w:t xml:space="preserve"> </w:t>
      </w:r>
      <w:r w:rsidRPr="00981405">
        <w:t>and</w:t>
      </w:r>
      <w:r w:rsidR="00190923" w:rsidRPr="00981405">
        <w:t xml:space="preserve"> </w:t>
      </w:r>
      <w:r w:rsidRPr="00981405">
        <w:t>on</w:t>
      </w:r>
      <w:r w:rsidR="00190923" w:rsidRPr="00981405">
        <w:t xml:space="preserve"> </w:t>
      </w:r>
      <w:r w:rsidRPr="00981405">
        <w:t>the</w:t>
      </w:r>
      <w:r w:rsidR="00190923" w:rsidRPr="00981405">
        <w:t xml:space="preserve"> </w:t>
      </w:r>
      <w:r w:rsidRPr="00981405">
        <w:t>direction</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p>
    <w:p w:rsidR="00397032" w:rsidRPr="00981405" w:rsidRDefault="00397032" w:rsidP="00D97463">
      <w:pPr>
        <w:pStyle w:val="SingleTxt"/>
      </w:pPr>
      <w:r w:rsidRPr="00981405">
        <w:t>195.</w:t>
      </w:r>
      <w:r w:rsidR="00190923" w:rsidRPr="00981405">
        <w:t xml:space="preserve"> </w:t>
      </w:r>
      <w:r w:rsidRPr="00981405">
        <w:tab/>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that</w:t>
      </w:r>
      <w:r w:rsidR="00190923" w:rsidRPr="00981405">
        <w:t xml:space="preserve"> </w:t>
      </w:r>
      <w:r w:rsidRPr="00981405">
        <w:t>the</w:t>
      </w:r>
      <w:r w:rsidR="00190923" w:rsidRPr="00981405">
        <w:t xml:space="preserve"> </w:t>
      </w:r>
      <w:r w:rsidRPr="00981405">
        <w:t>report</w:t>
      </w:r>
      <w:r w:rsidR="00190923" w:rsidRPr="00981405">
        <w:t xml:space="preserve"> </w:t>
      </w:r>
      <w:r w:rsidRPr="00981405">
        <w:t>opened</w:t>
      </w:r>
      <w:r w:rsidR="00190923" w:rsidRPr="00981405">
        <w:t xml:space="preserve"> </w:t>
      </w:r>
      <w:r w:rsidRPr="00981405">
        <w:t>up</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conceptually</w:t>
      </w:r>
      <w:r w:rsidR="00190923" w:rsidRPr="00981405">
        <w:t xml:space="preserve"> </w:t>
      </w:r>
      <w:r w:rsidRPr="00981405">
        <w:t>approaching</w:t>
      </w:r>
      <w:r w:rsidR="00190923" w:rsidRPr="00981405">
        <w:t xml:space="preserve"> </w:t>
      </w:r>
      <w:r w:rsidRPr="00981405">
        <w:t>the</w:t>
      </w:r>
      <w:r w:rsidR="00190923" w:rsidRPr="00981405">
        <w:t xml:space="preserve"> </w:t>
      </w:r>
      <w:r w:rsidRPr="00981405">
        <w:t>whole</w:t>
      </w:r>
      <w:r w:rsidR="00190923" w:rsidRPr="00981405">
        <w:t xml:space="preserve"> </w:t>
      </w:r>
      <w:r w:rsidRPr="00981405">
        <w:t>subject</w:t>
      </w:r>
      <w:r w:rsidR="00190923" w:rsidRPr="00981405">
        <w:t xml:space="preserve"> </w:t>
      </w:r>
      <w:r w:rsidRPr="00981405">
        <w:t>from</w:t>
      </w:r>
      <w:r w:rsidR="00190923" w:rsidRPr="00981405">
        <w:t xml:space="preserve"> </w:t>
      </w:r>
      <w:r w:rsidRPr="00981405">
        <w:t>the</w:t>
      </w:r>
      <w:r w:rsidR="00190923" w:rsidRPr="00981405">
        <w:t xml:space="preserve"> </w:t>
      </w:r>
      <w:r w:rsidRPr="00981405">
        <w:t>standpoint</w:t>
      </w:r>
      <w:r w:rsidR="00190923" w:rsidRPr="00981405">
        <w:t xml:space="preserve"> </w:t>
      </w:r>
      <w:r w:rsidRPr="00981405">
        <w:t>that</w:t>
      </w:r>
      <w:r w:rsidR="00190923" w:rsidRPr="00981405">
        <w:t xml:space="preserve"> </w:t>
      </w:r>
      <w:r w:rsidRPr="00981405">
        <w:t>limitations</w:t>
      </w:r>
      <w:r w:rsidR="00190923" w:rsidRPr="00981405">
        <w:t xml:space="preserve"> </w:t>
      </w:r>
      <w:r w:rsidRPr="00981405">
        <w:t>or</w:t>
      </w:r>
      <w:r w:rsidR="00190923" w:rsidRPr="00981405">
        <w:t xml:space="preserve"> </w:t>
      </w:r>
      <w:r w:rsidRPr="00981405">
        <w:t>exceptions</w:t>
      </w:r>
      <w:r w:rsidR="00190923" w:rsidRPr="00981405">
        <w:t xml:space="preserve"> </w:t>
      </w:r>
      <w:r w:rsidRPr="00981405">
        <w:t>to</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existed,</w:t>
      </w:r>
      <w:r w:rsidR="00190923" w:rsidRPr="00981405">
        <w:t xml:space="preserve"> </w:t>
      </w:r>
      <w:r w:rsidRPr="00981405">
        <w:t>as</w:t>
      </w:r>
      <w:r w:rsidR="00190923" w:rsidRPr="00981405">
        <w:t xml:space="preserve"> </w:t>
      </w:r>
      <w:r w:rsidRPr="00981405">
        <w:t>opposed</w:t>
      </w:r>
      <w:r w:rsidR="00190923" w:rsidRPr="00981405">
        <w:t xml:space="preserve"> </w:t>
      </w:r>
      <w:r w:rsidRPr="00981405">
        <w:t>to</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all</w:t>
      </w:r>
      <w:r w:rsidR="00190923" w:rsidRPr="00981405">
        <w:t xml:space="preserve"> </w:t>
      </w:r>
      <w:r w:rsidRPr="00981405">
        <w:t>acts,</w:t>
      </w:r>
      <w:r w:rsidR="00190923" w:rsidRPr="00981405">
        <w:t xml:space="preserve"> </w:t>
      </w:r>
      <w:r w:rsidRPr="00981405">
        <w:t>including</w:t>
      </w:r>
      <w:r w:rsidR="00190923" w:rsidRPr="00981405">
        <w:t xml:space="preserve"> </w:t>
      </w:r>
      <w:r w:rsidRPr="00981405">
        <w:t>those</w:t>
      </w:r>
      <w:r w:rsidR="00190923" w:rsidRPr="00981405">
        <w:t xml:space="preserve"> </w:t>
      </w:r>
      <w:r w:rsidRPr="00981405">
        <w:t>constituting</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by</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that</w:t>
      </w:r>
      <w:r w:rsidR="00190923" w:rsidRPr="00981405">
        <w:t xml:space="preserve"> </w:t>
      </w:r>
      <w:r w:rsidRPr="00981405">
        <w:t>circumstances</w:t>
      </w:r>
      <w:r w:rsidR="00190923" w:rsidRPr="00981405">
        <w:t xml:space="preserve"> </w:t>
      </w:r>
      <w:r w:rsidRPr="00981405">
        <w:t>present</w:t>
      </w:r>
      <w:r w:rsidR="00190923" w:rsidRPr="00981405">
        <w:t xml:space="preserve"> </w:t>
      </w:r>
      <w:r w:rsidRPr="00981405">
        <w:t>an</w:t>
      </w:r>
      <w:r w:rsidR="00190923" w:rsidRPr="00981405">
        <w:t xml:space="preserve"> </w:t>
      </w:r>
      <w:r w:rsidRPr="00981405">
        <w:t>opportunity</w:t>
      </w:r>
      <w:r w:rsidR="00190923" w:rsidRPr="00981405">
        <w:t xml:space="preserve"> </w:t>
      </w:r>
      <w:r w:rsidRPr="00981405">
        <w:t>for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for</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given</w:t>
      </w:r>
      <w:r w:rsidR="00190923" w:rsidRPr="00981405">
        <w:t xml:space="preserve"> </w:t>
      </w:r>
      <w:r w:rsidRPr="00981405">
        <w:t>current</w:t>
      </w:r>
      <w:r w:rsidR="00190923" w:rsidRPr="00981405">
        <w:t xml:space="preserve"> </w:t>
      </w:r>
      <w:r w:rsidRPr="00981405">
        <w:t>recourse</w:t>
      </w:r>
      <w:r w:rsidR="00190923" w:rsidRPr="00981405">
        <w:t xml:space="preserve"> </w:t>
      </w:r>
      <w:r w:rsidRPr="00981405">
        <w:t>in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restrictive</w:t>
      </w:r>
      <w:r w:rsidR="00190923" w:rsidRPr="00981405">
        <w:t xml:space="preserve"> </w:t>
      </w:r>
      <w:r w:rsidRPr="00981405">
        <w:t>immunity</w:t>
      </w:r>
      <w:r w:rsidR="00190923" w:rsidRPr="00981405">
        <w:t xml:space="preserve"> </w:t>
      </w:r>
      <w:r w:rsidRPr="00981405">
        <w:t>regarding</w:t>
      </w:r>
      <w:r w:rsidR="00190923" w:rsidRPr="00981405">
        <w:t xml:space="preserve"> </w:t>
      </w:r>
      <w:r w:rsidRPr="00981405">
        <w:t>jurisdictional</w:t>
      </w:r>
      <w:r w:rsidR="00190923" w:rsidRPr="00981405">
        <w:t xml:space="preserve"> </w:t>
      </w:r>
      <w:r w:rsidRPr="00981405">
        <w:t>immunities</w:t>
      </w:r>
      <w:r w:rsidR="00190923" w:rsidRPr="00981405">
        <w:t xml:space="preserve"> </w:t>
      </w:r>
      <w:r w:rsidRPr="00981405">
        <w:t>of</w:t>
      </w:r>
      <w:r w:rsidR="00190923" w:rsidRPr="00981405">
        <w:t xml:space="preserve"> </w:t>
      </w:r>
      <w:r w:rsidRPr="00981405">
        <w:t>States.</w:t>
      </w:r>
    </w:p>
    <w:p w:rsidR="00397032" w:rsidRPr="00981405" w:rsidRDefault="00397032" w:rsidP="00D97463">
      <w:pPr>
        <w:pStyle w:val="SingleTxt"/>
      </w:pPr>
      <w:r w:rsidRPr="00981405">
        <w:t>196.</w:t>
      </w:r>
      <w:r w:rsidRPr="00981405">
        <w:tab/>
        <w:t>There</w:t>
      </w:r>
      <w:r w:rsidR="00190923" w:rsidRPr="00981405">
        <w:t xml:space="preserve"> </w:t>
      </w:r>
      <w:r w:rsidRPr="00981405">
        <w:t>was</w:t>
      </w:r>
      <w:r w:rsidR="00190923" w:rsidRPr="00981405">
        <w:t xml:space="preserve"> </w:t>
      </w:r>
      <w:r w:rsidRPr="00981405">
        <w:t>general</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referral</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Some</w:t>
      </w:r>
      <w:r w:rsidR="00190923" w:rsidRPr="00981405">
        <w:t xml:space="preserve"> </w:t>
      </w:r>
      <w:r w:rsidRPr="00981405">
        <w:t>members</w:t>
      </w:r>
      <w:r w:rsidR="00190923" w:rsidRPr="00981405">
        <w:t xml:space="preserve"> </w:t>
      </w:r>
      <w:r w:rsidRPr="00981405">
        <w:t>made</w:t>
      </w:r>
      <w:r w:rsidR="00190923" w:rsidRPr="00981405">
        <w:t xml:space="preserve"> </w:t>
      </w:r>
      <w:r w:rsidRPr="00981405">
        <w:t>comments</w:t>
      </w:r>
      <w:r w:rsidR="00190923" w:rsidRPr="00981405">
        <w:t xml:space="preserve"> </w:t>
      </w:r>
      <w:r w:rsidRPr="00981405">
        <w:t>and</w:t>
      </w:r>
      <w:r w:rsidR="00190923" w:rsidRPr="00981405">
        <w:t xml:space="preserve"> </w:t>
      </w:r>
      <w:r w:rsidRPr="00981405">
        <w:t>observations,</w:t>
      </w:r>
      <w:r w:rsidR="00190923" w:rsidRPr="00981405">
        <w:t xml:space="preserve"> </w:t>
      </w:r>
      <w:r w:rsidRPr="00981405">
        <w:t>including</w:t>
      </w:r>
      <w:r w:rsidR="00190923" w:rsidRPr="00981405">
        <w:t xml:space="preserve"> </w:t>
      </w:r>
      <w:r w:rsidRPr="00981405">
        <w:t>on</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reasoning</w:t>
      </w:r>
      <w:r w:rsidR="00190923" w:rsidRPr="00981405">
        <w:t xml:space="preserve"> </w:t>
      </w:r>
      <w:r w:rsidRPr="00981405">
        <w:t>and</w:t>
      </w:r>
      <w:r w:rsidR="00190923" w:rsidRPr="00981405">
        <w:t xml:space="preserve"> </w:t>
      </w:r>
      <w:r w:rsidRPr="00981405">
        <w:t>conclusions</w:t>
      </w:r>
      <w:r w:rsidR="00190923" w:rsidRPr="00981405">
        <w:t xml:space="preserve"> </w:t>
      </w:r>
      <w:r w:rsidRPr="00981405">
        <w:t>as</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p>
    <w:p w:rsidR="00397032" w:rsidRPr="00981405" w:rsidRDefault="00397032" w:rsidP="00D97463">
      <w:pPr>
        <w:pStyle w:val="SingleTxt"/>
      </w:pPr>
      <w:r w:rsidRPr="00981405">
        <w:t>197.</w:t>
      </w:r>
      <w:r w:rsidRPr="00981405">
        <w:tab/>
        <w:t>Attention</w:t>
      </w:r>
      <w:r w:rsidR="00190923" w:rsidRPr="00981405">
        <w:t xml:space="preserve"> </w:t>
      </w:r>
      <w:r w:rsidRPr="00981405">
        <w:t>was</w:t>
      </w:r>
      <w:r w:rsidR="00190923" w:rsidRPr="00981405">
        <w:t xml:space="preserve"> </w:t>
      </w:r>
      <w:r w:rsidRPr="00981405">
        <w:t>drawn</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to</w:t>
      </w:r>
      <w:r w:rsidR="00190923" w:rsidRPr="00981405">
        <w:t xml:space="preserve"> </w:t>
      </w:r>
      <w:r w:rsidRPr="00981405">
        <w:t>the</w:t>
      </w:r>
      <w:r w:rsidR="00190923" w:rsidRPr="00981405">
        <w:t xml:space="preserve"> </w:t>
      </w:r>
      <w:r w:rsidRPr="00981405">
        <w:t>continuing</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the</w:t>
      </w:r>
      <w:r w:rsidR="00190923" w:rsidRPr="00981405">
        <w:t xml:space="preserve"> </w:t>
      </w:r>
      <w:r w:rsidRPr="00981405">
        <w:t>status-based</w:t>
      </w:r>
      <w:r w:rsidR="00190923" w:rsidRPr="00981405">
        <w:t xml:space="preserve"> </w:t>
      </w:r>
      <w:r w:rsidRPr="00981405">
        <w:t>immunity</w:t>
      </w:r>
      <w:r w:rsidR="00190923" w:rsidRPr="00981405">
        <w:t xml:space="preserve"> </w:t>
      </w:r>
      <w:r w:rsidR="00BF1D0D" w:rsidRPr="00981405">
        <w:rPr>
          <w:i/>
          <w:iCs/>
        </w:rPr>
        <w:t>ratione</w:t>
      </w:r>
      <w:r w:rsidR="00190923" w:rsidRPr="00981405">
        <w:rPr>
          <w:i/>
          <w:iCs/>
        </w:rPr>
        <w:t xml:space="preserve"> </w:t>
      </w:r>
      <w:r w:rsidR="00BF1D0D" w:rsidRPr="00981405">
        <w:rPr>
          <w:i/>
          <w:iCs/>
        </w:rPr>
        <w:t>personae</w:t>
      </w:r>
      <w:r w:rsidR="00190923" w:rsidRPr="00981405">
        <w:rPr>
          <w:i/>
          <w:iCs/>
        </w:rPr>
        <w:t xml:space="preserve"> </w:t>
      </w:r>
      <w:r w:rsidRPr="00981405">
        <w:t>and</w:t>
      </w:r>
      <w:r w:rsidR="00190923" w:rsidRPr="00981405">
        <w:t xml:space="preserve"> </w:t>
      </w:r>
      <w:r w:rsidRPr="00981405">
        <w:t>the</w:t>
      </w:r>
      <w:r w:rsidR="00190923" w:rsidRPr="00981405">
        <w:t xml:space="preserve"> </w:t>
      </w:r>
      <w:r w:rsidRPr="00981405">
        <w:t>conduct-based</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On</w:t>
      </w:r>
      <w:r w:rsidR="00190923" w:rsidRPr="00981405">
        <w:t xml:space="preserve"> </w:t>
      </w:r>
      <w:r w:rsidRPr="00981405">
        <w:t>some</w:t>
      </w:r>
      <w:r w:rsidR="00190923" w:rsidRPr="00981405">
        <w:t xml:space="preserve"> </w:t>
      </w:r>
      <w:r w:rsidRPr="00981405">
        <w:t>accounts,</w:t>
      </w:r>
      <w:r w:rsidR="00190923" w:rsidRPr="00981405">
        <w:t xml:space="preserve"> </w:t>
      </w:r>
      <w:r w:rsidRPr="00981405">
        <w:t>the</w:t>
      </w:r>
      <w:r w:rsidR="00190923" w:rsidRPr="00981405">
        <w:t xml:space="preserve"> </w:t>
      </w:r>
      <w:r w:rsidRPr="00981405">
        <w:t>two</w:t>
      </w:r>
      <w:r w:rsidR="00190923" w:rsidRPr="00981405">
        <w:t xml:space="preserve"> </w:t>
      </w:r>
      <w:r w:rsidRPr="00981405">
        <w:t>had</w:t>
      </w:r>
      <w:r w:rsidR="00190923" w:rsidRPr="00981405">
        <w:t xml:space="preserve"> </w:t>
      </w:r>
      <w:r w:rsidRPr="00981405">
        <w:t>some</w:t>
      </w:r>
      <w:r w:rsidR="00190923" w:rsidRPr="00981405">
        <w:t xml:space="preserve"> </w:t>
      </w:r>
      <w:r w:rsidRPr="00981405">
        <w:t>basic</w:t>
      </w:r>
      <w:r w:rsidR="00190923" w:rsidRPr="00981405">
        <w:t xml:space="preserve"> </w:t>
      </w:r>
      <w:r w:rsidRPr="00981405">
        <w:t>elements</w:t>
      </w:r>
      <w:r w:rsidR="00190923" w:rsidRPr="00981405">
        <w:t xml:space="preserve"> </w:t>
      </w:r>
      <w:r w:rsidRPr="00981405">
        <w:t>in</w:t>
      </w:r>
      <w:r w:rsidR="00190923" w:rsidRPr="00981405">
        <w:t xml:space="preserve"> </w:t>
      </w:r>
      <w:r w:rsidRPr="00981405">
        <w:t>common</w:t>
      </w:r>
      <w:r w:rsidR="00190923" w:rsidRPr="00981405">
        <w:t xml:space="preserve"> </w:t>
      </w:r>
      <w:r w:rsidRPr="00981405">
        <w:t>and,</w:t>
      </w:r>
      <w:r w:rsidR="00190923" w:rsidRPr="00981405">
        <w:t xml:space="preserve"> </w:t>
      </w:r>
      <w:r w:rsidRPr="00981405">
        <w:t>more</w:t>
      </w:r>
      <w:r w:rsidR="00190923" w:rsidRPr="00981405">
        <w:t xml:space="preserve"> </w:t>
      </w:r>
      <w:r w:rsidRPr="00981405">
        <w:t>fundamentally,</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their</w:t>
      </w:r>
      <w:r w:rsidR="00190923" w:rsidRPr="00981405">
        <w:t xml:space="preserve"> </w:t>
      </w:r>
      <w:r w:rsidRPr="00981405">
        <w:t>legal</w:t>
      </w:r>
      <w:r w:rsidR="00190923" w:rsidRPr="00981405">
        <w:t xml:space="preserve"> </w:t>
      </w:r>
      <w:r w:rsidRPr="00981405">
        <w:t>foundation</w:t>
      </w:r>
      <w:r w:rsidR="00190923" w:rsidRPr="00981405">
        <w:t xml:space="preserve"> </w:t>
      </w:r>
      <w:r w:rsidRPr="00981405">
        <w:t>was</w:t>
      </w:r>
      <w:r w:rsidR="00190923" w:rsidRPr="00981405">
        <w:t xml:space="preserve"> </w:t>
      </w:r>
      <w:r w:rsidRPr="00981405">
        <w:t>the</w:t>
      </w:r>
      <w:r w:rsidR="00190923" w:rsidRPr="00981405">
        <w:t xml:space="preserve"> </w:t>
      </w:r>
      <w:r w:rsidRPr="00981405">
        <w:t>same,</w:t>
      </w:r>
      <w:r w:rsidR="00190923" w:rsidRPr="00981405">
        <w:t xml:space="preserve"> </w:t>
      </w:r>
      <w:r w:rsidRPr="00981405">
        <w:t>namely</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the</w:t>
      </w:r>
      <w:r w:rsidR="00190923" w:rsidRPr="00981405">
        <w:t xml:space="preserve"> </w:t>
      </w:r>
      <w:r w:rsidRPr="00981405">
        <w:t>sovereign</w:t>
      </w:r>
      <w:r w:rsidR="00190923" w:rsidRPr="00981405">
        <w:t xml:space="preserve"> </w:t>
      </w:r>
      <w:r w:rsidRPr="00981405">
        <w:t>equality</w:t>
      </w:r>
      <w:r w:rsidR="00190923" w:rsidRPr="00981405">
        <w:t xml:space="preserve"> </w:t>
      </w:r>
      <w:r w:rsidRPr="00981405">
        <w:t>of</w:t>
      </w:r>
      <w:r w:rsidR="00190923" w:rsidRPr="00981405">
        <w:t xml:space="preserve"> </w:t>
      </w:r>
      <w:r w:rsidRPr="00981405">
        <w:t>States.</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caution</w:t>
      </w:r>
      <w:r w:rsidR="00190923" w:rsidRPr="00981405">
        <w:t xml:space="preserve"> </w:t>
      </w:r>
      <w:r w:rsidRPr="00981405">
        <w:t>was</w:t>
      </w:r>
      <w:r w:rsidR="00190923" w:rsidRPr="00981405">
        <w:t xml:space="preserve"> </w:t>
      </w:r>
      <w:r w:rsidRPr="00981405">
        <w:t>urged</w:t>
      </w:r>
      <w:r w:rsidR="00190923" w:rsidRPr="00981405">
        <w:t xml:space="preserve"> </w:t>
      </w:r>
      <w:r w:rsidRPr="00981405">
        <w:t>against</w:t>
      </w:r>
      <w:r w:rsidR="00190923" w:rsidRPr="00981405">
        <w:t xml:space="preserve"> </w:t>
      </w:r>
      <w:r w:rsidRPr="00981405">
        <w:t>overreliance</w:t>
      </w:r>
      <w:r w:rsidR="00190923" w:rsidRPr="00981405">
        <w:t xml:space="preserve"> </w:t>
      </w:r>
      <w:r w:rsidRPr="00981405">
        <w:t>on</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sovereign</w:t>
      </w:r>
      <w:r w:rsidR="00190923" w:rsidRPr="00981405">
        <w:t xml:space="preserve"> </w:t>
      </w:r>
      <w:r w:rsidRPr="00981405">
        <w:t>equality</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explain</w:t>
      </w:r>
      <w:r w:rsidR="00190923" w:rsidRPr="00981405">
        <w:t xml:space="preserve"> </w:t>
      </w:r>
      <w:r w:rsidRPr="00981405">
        <w:t>the</w:t>
      </w:r>
      <w:r w:rsidR="00190923" w:rsidRPr="00981405">
        <w:t xml:space="preserve"> </w:t>
      </w:r>
      <w:r w:rsidRPr="00981405">
        <w:t>complicated</w:t>
      </w:r>
      <w:r w:rsidR="00190923" w:rsidRPr="00981405">
        <w:t xml:space="preserve"> </w:t>
      </w:r>
      <w:r w:rsidRPr="00981405">
        <w:t>issues</w:t>
      </w:r>
      <w:r w:rsidR="00190923" w:rsidRPr="00981405">
        <w:t xml:space="preserve"> </w:t>
      </w:r>
      <w:r w:rsidRPr="00981405">
        <w:t>involved</w:t>
      </w:r>
      <w:r w:rsidR="00190923" w:rsidRPr="00981405">
        <w:t xml:space="preserve"> </w:t>
      </w:r>
      <w:r w:rsidRPr="00981405">
        <w:t>in</w:t>
      </w:r>
      <w:r w:rsidR="00190923" w:rsidRPr="00981405">
        <w:t xml:space="preserve"> </w:t>
      </w:r>
      <w:r w:rsidRPr="00981405">
        <w:t>the</w:t>
      </w:r>
      <w:r w:rsidR="00190923" w:rsidRPr="00981405">
        <w:t xml:space="preserve"> </w:t>
      </w:r>
      <w:r w:rsidRPr="00981405">
        <w:t>topic,</w:t>
      </w:r>
      <w:r w:rsidR="00190923" w:rsidRPr="00981405">
        <w:t xml:space="preserve"> </w:t>
      </w:r>
      <w:r w:rsidRPr="00981405">
        <w:t>since</w:t>
      </w:r>
      <w:r w:rsidR="00190923" w:rsidRPr="00981405">
        <w:t xml:space="preserve"> </w:t>
      </w:r>
      <w:r w:rsidRPr="00981405">
        <w:t>the</w:t>
      </w:r>
      <w:r w:rsidR="00190923" w:rsidRPr="00981405">
        <w:t xml:space="preserve"> </w:t>
      </w:r>
      <w:r w:rsidRPr="00981405">
        <w:t>principle</w:t>
      </w:r>
      <w:r w:rsidR="00190923" w:rsidRPr="00981405">
        <w:t xml:space="preserve"> </w:t>
      </w:r>
      <w:r w:rsidRPr="00981405">
        <w:t>does</w:t>
      </w:r>
      <w:r w:rsidR="00190923" w:rsidRPr="00981405">
        <w:t xml:space="preserve"> </w:t>
      </w:r>
      <w:r w:rsidRPr="00981405">
        <w:t>not</w:t>
      </w:r>
      <w:r w:rsidR="00190923" w:rsidRPr="00981405">
        <w:t xml:space="preserve"> </w:t>
      </w:r>
      <w:r w:rsidRPr="00981405">
        <w:t>explain,</w:t>
      </w:r>
      <w:r w:rsidR="00190923" w:rsidRPr="00981405">
        <w:t xml:space="preserve"> </w:t>
      </w:r>
      <w:r w:rsidRPr="00981405">
        <w:t>for</w:t>
      </w:r>
      <w:r w:rsidR="00190923" w:rsidRPr="00981405">
        <w:t xml:space="preserve"> </w:t>
      </w:r>
      <w:r w:rsidRPr="00981405">
        <w:t>instance,</w:t>
      </w:r>
      <w:r w:rsidR="00190923" w:rsidRPr="00981405">
        <w:t xml:space="preserve"> </w:t>
      </w:r>
      <w:r w:rsidRPr="00981405">
        <w:t>the</w:t>
      </w:r>
      <w:r w:rsidR="00190923" w:rsidRPr="00981405">
        <w:t xml:space="preserve"> </w:t>
      </w:r>
      <w:r w:rsidRPr="00981405">
        <w:t>restrictive</w:t>
      </w:r>
      <w:r w:rsidR="00190923" w:rsidRPr="00981405">
        <w:t xml:space="preserve"> </w:t>
      </w:r>
      <w:r w:rsidRPr="00981405">
        <w:t>approach</w:t>
      </w:r>
      <w:r w:rsidR="00190923" w:rsidRPr="00981405">
        <w:t xml:space="preserve"> </w:t>
      </w:r>
      <w:r w:rsidRPr="00981405">
        <w:t>to</w:t>
      </w:r>
      <w:r w:rsidR="00190923" w:rsidRPr="00981405">
        <w:t xml:space="preserve"> </w:t>
      </w:r>
      <w:r w:rsidRPr="00981405">
        <w:t>jurisdictional</w:t>
      </w:r>
      <w:r w:rsidR="00190923" w:rsidRPr="00981405">
        <w:t xml:space="preserve"> </w:t>
      </w:r>
      <w:r w:rsidRPr="00981405">
        <w:t>immunity</w:t>
      </w:r>
      <w:r w:rsidR="00190923" w:rsidRPr="00981405">
        <w:t xml:space="preserve"> </w:t>
      </w:r>
      <w:r w:rsidRPr="00981405">
        <w:t>of</w:t>
      </w:r>
      <w:r w:rsidR="00190923" w:rsidRPr="00981405">
        <w:t xml:space="preserve"> </w:t>
      </w:r>
      <w:r w:rsidRPr="00981405">
        <w:t>States,</w:t>
      </w:r>
      <w:r w:rsidR="00190923" w:rsidRPr="00981405">
        <w:t xml:space="preserve"> </w:t>
      </w:r>
      <w:r w:rsidRPr="00981405">
        <w:t>which</w:t>
      </w:r>
      <w:r w:rsidR="00190923" w:rsidRPr="00981405">
        <w:t xml:space="preserve"> </w:t>
      </w:r>
      <w:r w:rsidRPr="00981405">
        <w:t>allowed</w:t>
      </w:r>
      <w:r w:rsidR="00190923" w:rsidRPr="00981405">
        <w:t xml:space="preserve"> </w:t>
      </w:r>
      <w:r w:rsidRPr="00981405">
        <w:t>a</w:t>
      </w:r>
      <w:r w:rsidR="00190923" w:rsidRPr="00981405">
        <w:t xml:space="preserve"> </w:t>
      </w:r>
      <w:r w:rsidRPr="00981405">
        <w:t>State</w:t>
      </w:r>
      <w:r w:rsidR="00190923" w:rsidRPr="00981405">
        <w:t xml:space="preserve"> </w:t>
      </w:r>
      <w:r w:rsidRPr="00981405">
        <w:t>to</w:t>
      </w:r>
      <w:r w:rsidR="00190923" w:rsidRPr="00981405">
        <w:t xml:space="preserve"> </w:t>
      </w:r>
      <w:r w:rsidRPr="00981405">
        <w:t>exercise</w:t>
      </w:r>
      <w:r w:rsidR="00190923" w:rsidRPr="00981405">
        <w:t xml:space="preserve"> </w:t>
      </w:r>
      <w:r w:rsidRPr="00981405">
        <w:t>jurisdiction</w:t>
      </w:r>
      <w:r w:rsidR="00190923" w:rsidRPr="00981405">
        <w:t xml:space="preserve"> </w:t>
      </w:r>
      <w:r w:rsidRPr="00981405">
        <w:t>over</w:t>
      </w:r>
      <w:r w:rsidR="00190923" w:rsidRPr="00981405">
        <w:t xml:space="preserve"> </w:t>
      </w:r>
      <w:r w:rsidRPr="00981405">
        <w:t>commercial</w:t>
      </w:r>
      <w:r w:rsidR="00190923" w:rsidRPr="00981405">
        <w:t xml:space="preserve"> </w:t>
      </w:r>
      <w:r w:rsidRPr="00981405">
        <w:t>and</w:t>
      </w:r>
      <w:r w:rsidR="00190923" w:rsidRPr="00981405">
        <w:t xml:space="preserve"> </w:t>
      </w:r>
      <w:r w:rsidRPr="00981405">
        <w:t>other</w:t>
      </w:r>
      <w:r w:rsidR="00190923" w:rsidRPr="00981405">
        <w:t xml:space="preserve"> </w:t>
      </w:r>
      <w:r w:rsidRPr="00981405">
        <w:t>non-public</w:t>
      </w:r>
      <w:r w:rsidR="00190923" w:rsidRPr="00981405">
        <w:t xml:space="preserve"> </w:t>
      </w:r>
      <w:r w:rsidRPr="00981405">
        <w:t>activities</w:t>
      </w:r>
      <w:r w:rsidR="00190923" w:rsidRPr="00981405">
        <w:t xml:space="preserve"> </w:t>
      </w:r>
      <w:r w:rsidRPr="00981405">
        <w:t>of</w:t>
      </w:r>
      <w:r w:rsidR="00190923" w:rsidRPr="00981405">
        <w:t xml:space="preserve"> </w:t>
      </w:r>
      <w:r w:rsidRPr="00981405">
        <w:t>another</w:t>
      </w:r>
      <w:r w:rsidR="00190923" w:rsidRPr="00981405">
        <w:t xml:space="preserve"> </w:t>
      </w:r>
      <w:r w:rsidRPr="00981405">
        <w:t>State.</w:t>
      </w:r>
      <w:r w:rsidR="00190923" w:rsidRPr="00981405">
        <w:t xml:space="preserve"> </w:t>
      </w:r>
      <w:r w:rsidRPr="00981405">
        <w:t>According</w:t>
      </w:r>
      <w:r w:rsidR="00190923" w:rsidRPr="00981405">
        <w:t xml:space="preserve"> </w:t>
      </w:r>
      <w:r w:rsidRPr="00981405">
        <w:t>to</w:t>
      </w:r>
      <w:r w:rsidR="00190923" w:rsidRPr="00981405">
        <w:t xml:space="preserve"> </w:t>
      </w:r>
      <w:r w:rsidRPr="00981405">
        <w:t>this</w:t>
      </w:r>
      <w:r w:rsidR="00190923" w:rsidRPr="00981405">
        <w:t xml:space="preserve"> </w:t>
      </w:r>
      <w:r w:rsidRPr="00981405">
        <w:t>view,</w:t>
      </w:r>
      <w:r w:rsidR="00190923" w:rsidRPr="00981405">
        <w:t xml:space="preserve"> </w:t>
      </w:r>
      <w:r w:rsidRPr="00981405">
        <w:t>the</w:t>
      </w:r>
      <w:r w:rsidR="00190923" w:rsidRPr="00981405">
        <w:t xml:space="preserve"> </w:t>
      </w:r>
      <w:r w:rsidRPr="00981405">
        <w:t>proper</w:t>
      </w:r>
      <w:r w:rsidR="00190923" w:rsidRPr="00981405">
        <w:t xml:space="preserve"> </w:t>
      </w:r>
      <w:r w:rsidRPr="00981405">
        <w:t>test</w:t>
      </w:r>
      <w:r w:rsidR="00190923" w:rsidRPr="00981405">
        <w:t xml:space="preserve"> </w:t>
      </w:r>
      <w:r w:rsidRPr="00981405">
        <w:t>for</w:t>
      </w:r>
      <w:r w:rsidR="00190923" w:rsidRPr="00981405">
        <w:t xml:space="preserve"> </w:t>
      </w:r>
      <w:r w:rsidRPr="00981405">
        <w:t>granting</w:t>
      </w:r>
      <w:r w:rsidR="00190923" w:rsidRPr="00981405">
        <w:t xml:space="preserve"> </w:t>
      </w:r>
      <w:r w:rsidRPr="00981405">
        <w:t>the</w:t>
      </w:r>
      <w:r w:rsidR="00190923" w:rsidRPr="00981405">
        <w:t xml:space="preserve"> </w:t>
      </w:r>
      <w:r w:rsidRPr="00981405">
        <w:t>official</w:t>
      </w:r>
      <w:r w:rsidR="00190923" w:rsidRPr="00981405">
        <w:t xml:space="preserve"> </w:t>
      </w:r>
      <w:r w:rsidRPr="00981405">
        <w:t>immunity</w:t>
      </w:r>
      <w:r w:rsidR="00190923" w:rsidRPr="00981405">
        <w:t xml:space="preserve"> </w:t>
      </w:r>
      <w:r w:rsidRPr="00981405">
        <w:t>for</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should</w:t>
      </w:r>
      <w:r w:rsidR="00190923" w:rsidRPr="00981405">
        <w:t xml:space="preserve"> </w:t>
      </w:r>
      <w:r w:rsidRPr="00981405">
        <w:t>depend</w:t>
      </w:r>
      <w:r w:rsidR="00190923" w:rsidRPr="00981405">
        <w:t xml:space="preserve"> </w:t>
      </w:r>
      <w:r w:rsidRPr="00981405">
        <w:t>upon</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his</w:t>
      </w:r>
      <w:r w:rsidR="00190923" w:rsidRPr="00981405">
        <w:t xml:space="preserve"> </w:t>
      </w:r>
      <w:r w:rsidRPr="00981405">
        <w:t>or</w:t>
      </w:r>
      <w:r w:rsidR="00190923" w:rsidRPr="00981405">
        <w:t xml:space="preserve"> </w:t>
      </w:r>
      <w:r w:rsidRPr="00981405">
        <w:t>her</w:t>
      </w:r>
      <w:r w:rsidR="00190923" w:rsidRPr="00981405">
        <w:t xml:space="preserve"> </w:t>
      </w:r>
      <w:r w:rsidRPr="00981405">
        <w:t>State</w:t>
      </w:r>
      <w:r w:rsidR="00190923" w:rsidRPr="00981405">
        <w:t xml:space="preserve"> </w:t>
      </w:r>
      <w:r w:rsidRPr="00981405">
        <w:t>and</w:t>
      </w:r>
      <w:r w:rsidR="00190923" w:rsidRPr="00981405">
        <w:t xml:space="preserve"> </w:t>
      </w:r>
      <w:r w:rsidRPr="00981405">
        <w:t>upon</w:t>
      </w:r>
      <w:r w:rsidR="00190923" w:rsidRPr="00981405">
        <w:t xml:space="preserve"> </w:t>
      </w:r>
      <w:r w:rsidRPr="00981405">
        <w:t>ensuring</w:t>
      </w:r>
      <w:r w:rsidR="00190923" w:rsidRPr="00981405">
        <w:t xml:space="preserve"> </w:t>
      </w:r>
      <w:r w:rsidRPr="00981405">
        <w:t>the</w:t>
      </w:r>
      <w:r w:rsidR="00190923" w:rsidRPr="00981405">
        <w:t xml:space="preserve"> </w:t>
      </w:r>
      <w:r w:rsidRPr="00981405">
        <w:t>effective</w:t>
      </w:r>
      <w:r w:rsidR="00190923" w:rsidRPr="00981405">
        <w:t xml:space="preserve"> </w:t>
      </w:r>
      <w:r w:rsidRPr="00981405">
        <w:t>exercise</w:t>
      </w:r>
      <w:r w:rsidR="00190923" w:rsidRPr="00981405">
        <w:t xml:space="preserve"> </w:t>
      </w:r>
      <w:r w:rsidRPr="00981405">
        <w:t>of</w:t>
      </w:r>
      <w:r w:rsidR="00190923" w:rsidRPr="00981405">
        <w:t xml:space="preserve"> </w:t>
      </w:r>
      <w:r w:rsidRPr="00981405">
        <w:t>its</w:t>
      </w:r>
      <w:r w:rsidR="00190923" w:rsidRPr="00981405">
        <w:t xml:space="preserve"> </w:t>
      </w:r>
      <w:r w:rsidRPr="00981405">
        <w:t>function.</w:t>
      </w:r>
      <w:r w:rsidR="00190923" w:rsidRPr="00981405">
        <w:t xml:space="preserve"> </w:t>
      </w:r>
      <w:r w:rsidRPr="00981405">
        <w:t>While</w:t>
      </w:r>
      <w:r w:rsidR="00190923" w:rsidRPr="00981405">
        <w:t xml:space="preserve"> </w:t>
      </w:r>
      <w:r w:rsidRPr="00981405">
        <w:t>some</w:t>
      </w:r>
      <w:r w:rsidR="00190923" w:rsidRPr="00981405">
        <w:t xml:space="preserve"> </w:t>
      </w:r>
      <w:r w:rsidRPr="00981405">
        <w:t>members</w:t>
      </w:r>
      <w:r w:rsidR="00190923" w:rsidRPr="00981405">
        <w:t xml:space="preserve"> </w:t>
      </w:r>
      <w:r w:rsidRPr="00981405">
        <w:t>recognised</w:t>
      </w:r>
      <w:r w:rsidR="00190923" w:rsidRPr="00981405">
        <w:t xml:space="preserve"> </w:t>
      </w:r>
      <w:r w:rsidRPr="00981405">
        <w:t>the</w:t>
      </w:r>
      <w:r w:rsidR="00190923" w:rsidRPr="00981405">
        <w:t xml:space="preserve"> </w:t>
      </w:r>
      <w:r w:rsidRPr="00981405">
        <w:t>differences</w:t>
      </w:r>
      <w:r w:rsidR="00190923" w:rsidRPr="00981405">
        <w:t xml:space="preserve"> </w:t>
      </w:r>
      <w:r w:rsidRPr="00981405">
        <w:t>existing</w:t>
      </w:r>
      <w:r w:rsidR="00190923" w:rsidRPr="00981405">
        <w:t xml:space="preserve"> </w:t>
      </w:r>
      <w:r w:rsidRPr="00981405">
        <w:t>among</w:t>
      </w:r>
      <w:r w:rsidR="00190923" w:rsidRPr="00981405">
        <w:t xml:space="preserve"> </w:t>
      </w:r>
      <w:r w:rsidRPr="00981405">
        <w:t>the</w:t>
      </w:r>
      <w:r w:rsidR="00190923" w:rsidRPr="00981405">
        <w:t xml:space="preserve"> </w:t>
      </w:r>
      <w:r w:rsidRPr="00981405">
        <w:t>various</w:t>
      </w:r>
      <w:r w:rsidR="00190923" w:rsidRPr="00981405">
        <w:t xml:space="preserve"> </w:t>
      </w:r>
      <w:r w:rsidRPr="00981405">
        <w:t>rules</w:t>
      </w:r>
      <w:r w:rsidR="00190923" w:rsidRPr="00981405">
        <w:t xml:space="preserve"> </w:t>
      </w:r>
      <w:r w:rsidRPr="00981405">
        <w:t>and</w:t>
      </w:r>
      <w:r w:rsidR="00190923" w:rsidRPr="00981405">
        <w:t xml:space="preserve"> </w:t>
      </w:r>
      <w:r w:rsidRPr="00981405">
        <w:t>regimes</w:t>
      </w:r>
      <w:r w:rsidR="00190923" w:rsidRPr="00981405">
        <w:t xml:space="preserve"> </w:t>
      </w:r>
      <w:r w:rsidRPr="00981405">
        <w:t>governing</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legal</w:t>
      </w:r>
      <w:r w:rsidR="00190923" w:rsidRPr="00981405">
        <w:t xml:space="preserve"> </w:t>
      </w:r>
      <w:r w:rsidRPr="00981405">
        <w:t>system,</w:t>
      </w:r>
      <w:r w:rsidR="00190923" w:rsidRPr="00981405">
        <w:t xml:space="preserve"> </w:t>
      </w:r>
      <w:r w:rsidRPr="00981405">
        <w:t>the</w:t>
      </w:r>
      <w:r w:rsidR="00190923" w:rsidRPr="00981405">
        <w:t xml:space="preserve"> </w:t>
      </w:r>
      <w:r w:rsidRPr="00981405">
        <w:t>cautionary</w:t>
      </w:r>
      <w:r w:rsidR="00190923" w:rsidRPr="00981405">
        <w:t xml:space="preserve"> </w:t>
      </w:r>
      <w:r w:rsidRPr="00981405">
        <w:t>point</w:t>
      </w:r>
      <w:r w:rsidR="00190923" w:rsidRPr="00981405">
        <w:t xml:space="preserve"> </w:t>
      </w:r>
      <w:r w:rsidRPr="00981405">
        <w:t>was</w:t>
      </w:r>
      <w:r w:rsidR="00190923" w:rsidRPr="00981405">
        <w:t xml:space="preserve"> </w:t>
      </w:r>
      <w:r w:rsidRPr="00981405">
        <w:t>made</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risked</w:t>
      </w:r>
      <w:r w:rsidR="00190923" w:rsidRPr="00981405">
        <w:t xml:space="preserve"> </w:t>
      </w:r>
      <w:r w:rsidRPr="00981405">
        <w:t>establishing</w:t>
      </w:r>
      <w:r w:rsidR="00190923" w:rsidRPr="00981405">
        <w:t xml:space="preserve"> </w:t>
      </w:r>
      <w:r w:rsidRPr="00981405">
        <w:t>a</w:t>
      </w:r>
      <w:r w:rsidR="00190923" w:rsidRPr="00981405">
        <w:t xml:space="preserve"> </w:t>
      </w:r>
      <w:r w:rsidRPr="00981405">
        <w:t>regime</w:t>
      </w:r>
      <w:r w:rsidR="00190923" w:rsidRPr="00981405">
        <w:t xml:space="preserve"> </w:t>
      </w:r>
      <w:r w:rsidRPr="00981405">
        <w:t>that</w:t>
      </w:r>
      <w:r w:rsidR="00190923" w:rsidRPr="00981405">
        <w:t xml:space="preserve"> </w:t>
      </w:r>
      <w:r w:rsidRPr="00981405">
        <w:t>was</w:t>
      </w:r>
      <w:r w:rsidR="00190923" w:rsidRPr="00981405">
        <w:t xml:space="preserve"> </w:t>
      </w:r>
      <w:r w:rsidRPr="00981405">
        <w:t>inconsistent</w:t>
      </w:r>
      <w:r w:rsidR="00190923" w:rsidRPr="00981405">
        <w:t xml:space="preserve"> </w:t>
      </w:r>
      <w:r w:rsidRPr="00981405">
        <w:t>with</w:t>
      </w:r>
      <w:r w:rsidR="00190923" w:rsidRPr="00981405">
        <w:t xml:space="preserve"> </w:t>
      </w:r>
      <w:r w:rsidRPr="00981405">
        <w:t>the</w:t>
      </w:r>
      <w:r w:rsidR="00190923" w:rsidRPr="00981405">
        <w:t xml:space="preserve"> </w:t>
      </w:r>
      <w:r w:rsidRPr="00981405">
        <w:t>regime</w:t>
      </w:r>
      <w:r w:rsidR="00190923" w:rsidRPr="00981405">
        <w:t xml:space="preserve"> </w:t>
      </w:r>
      <w:r w:rsidRPr="00981405">
        <w:t>under</w:t>
      </w:r>
      <w:r w:rsidR="00190923" w:rsidRPr="00981405">
        <w:t xml:space="preserve"> </w:t>
      </w:r>
      <w:r w:rsidRPr="00981405">
        <w:t>the</w:t>
      </w:r>
      <w:r w:rsidR="00190923" w:rsidRPr="00981405">
        <w:t xml:space="preserve"> </w:t>
      </w:r>
      <w:r w:rsidRPr="00981405">
        <w:t>Rome</w:t>
      </w:r>
      <w:r w:rsidR="00190923" w:rsidRPr="00981405">
        <w:t xml:space="preserve"> </w:t>
      </w:r>
      <w:r w:rsidRPr="00981405">
        <w:t>Statute</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Court,</w:t>
      </w:r>
      <w:r w:rsidR="00190923" w:rsidRPr="00981405">
        <w:t xml:space="preserve"> </w:t>
      </w:r>
      <w:r w:rsidRPr="00981405">
        <w:t>which</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itself</w:t>
      </w:r>
      <w:r w:rsidR="00190923" w:rsidRPr="00981405">
        <w:t xml:space="preserve"> </w:t>
      </w:r>
      <w:r w:rsidRPr="00981405">
        <w:t>helped</w:t>
      </w:r>
      <w:r w:rsidR="00190923" w:rsidRPr="00981405">
        <w:t xml:space="preserve"> </w:t>
      </w:r>
      <w:r w:rsidRPr="00981405">
        <w:t>to</w:t>
      </w:r>
      <w:r w:rsidR="00190923" w:rsidRPr="00981405">
        <w:t xml:space="preserve"> </w:t>
      </w:r>
      <w:r w:rsidRPr="00981405">
        <w:t>create.</w:t>
      </w:r>
      <w:r w:rsidR="00190923" w:rsidRPr="00981405">
        <w:t xml:space="preserve"> </w:t>
      </w:r>
      <w:r w:rsidRPr="00981405">
        <w:t>It</w:t>
      </w:r>
      <w:r w:rsidR="00190923" w:rsidRPr="00981405">
        <w:t xml:space="preserve"> </w:t>
      </w:r>
      <w:r w:rsidRPr="00981405">
        <w:t>was</w:t>
      </w:r>
      <w:r w:rsidR="00190923" w:rsidRPr="00981405">
        <w:t xml:space="preserve"> </w:t>
      </w:r>
      <w:r w:rsidRPr="00981405">
        <w:t>on</w:t>
      </w:r>
      <w:r w:rsidR="00190923" w:rsidRPr="00981405">
        <w:t xml:space="preserve"> </w:t>
      </w:r>
      <w:r w:rsidRPr="00981405">
        <w:t>the</w:t>
      </w:r>
      <w:r w:rsidR="00190923" w:rsidRPr="00981405">
        <w:t xml:space="preserve"> </w:t>
      </w:r>
      <w:r w:rsidRPr="00981405">
        <w:t>other</w:t>
      </w:r>
      <w:r w:rsidR="00190923" w:rsidRPr="00981405">
        <w:t xml:space="preserve"> </w:t>
      </w:r>
      <w:r w:rsidRPr="00981405">
        <w:t>hand</w:t>
      </w:r>
      <w:r w:rsidR="00190923" w:rsidRPr="00981405">
        <w:t xml:space="preserve"> </w:t>
      </w:r>
      <w:r w:rsidRPr="00981405">
        <w:t>recalled</w:t>
      </w:r>
      <w:r w:rsidR="00190923" w:rsidRPr="00981405">
        <w:t xml:space="preserve"> </w:t>
      </w:r>
      <w:r w:rsidRPr="00981405">
        <w:t>that</w:t>
      </w:r>
      <w:r w:rsidR="00190923" w:rsidRPr="00981405">
        <w:t xml:space="preserve"> </w:t>
      </w:r>
      <w:r w:rsidRPr="00981405">
        <w:t>unlike</w:t>
      </w:r>
      <w:r w:rsidR="00190923" w:rsidRPr="00981405">
        <w:t xml:space="preserve"> </w:t>
      </w:r>
      <w:r w:rsidRPr="00981405">
        <w:t>the</w:t>
      </w:r>
      <w:r w:rsidR="00190923" w:rsidRPr="00981405">
        <w:t xml:space="preserve"> </w:t>
      </w:r>
      <w:r w:rsidRPr="00981405">
        <w:t>present</w:t>
      </w:r>
      <w:r w:rsidR="00190923" w:rsidRPr="00981405">
        <w:t xml:space="preserve"> </w:t>
      </w:r>
      <w:r w:rsidRPr="00981405">
        <w:t>topic,</w:t>
      </w:r>
      <w:r w:rsidR="00190923" w:rsidRPr="00981405">
        <w:t xml:space="preserve"> </w:t>
      </w:r>
      <w:r w:rsidRPr="00981405">
        <w:t>which</w:t>
      </w:r>
      <w:r w:rsidR="00190923" w:rsidRPr="00981405">
        <w:t xml:space="preserve"> </w:t>
      </w:r>
      <w:r w:rsidRPr="00981405">
        <w:t>was</w:t>
      </w:r>
      <w:r w:rsidR="00190923" w:rsidRPr="00981405">
        <w:t xml:space="preserve"> </w:t>
      </w:r>
      <w:r w:rsidRPr="00981405">
        <w:t>based</w:t>
      </w:r>
      <w:r w:rsidR="00190923" w:rsidRPr="00981405">
        <w:t xml:space="preserve"> </w:t>
      </w:r>
      <w:r w:rsidRPr="00981405">
        <w:t>on</w:t>
      </w:r>
      <w:r w:rsidR="00190923" w:rsidRPr="00981405">
        <w:t xml:space="preserve"> </w:t>
      </w:r>
      <w:r w:rsidRPr="00981405">
        <w:t>a</w:t>
      </w:r>
      <w:r w:rsidR="00190923" w:rsidRPr="00981405">
        <w:t xml:space="preserve"> </w:t>
      </w:r>
      <w:r w:rsidR="00B92E2C" w:rsidRPr="00981405">
        <w:t>“</w:t>
      </w:r>
      <w:r w:rsidRPr="00981405">
        <w:t>horizontal</w:t>
      </w:r>
      <w:r w:rsidR="00190923" w:rsidRPr="00981405">
        <w:t xml:space="preserve"> </w:t>
      </w:r>
      <w:r w:rsidRPr="00981405">
        <w:t>relationship</w:t>
      </w:r>
      <w:r w:rsidR="00B92E2C" w:rsidRPr="00981405">
        <w:t>”</w:t>
      </w:r>
      <w:r w:rsidR="00190923" w:rsidRPr="00981405">
        <w:t xml:space="preserve"> </w:t>
      </w:r>
      <w:r w:rsidRPr="00981405">
        <w:t>among</w:t>
      </w:r>
      <w:r w:rsidR="00190923" w:rsidRPr="00981405">
        <w:t xml:space="preserve"> </w:t>
      </w:r>
      <w:r w:rsidRPr="00981405">
        <w:t>States,</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established</w:t>
      </w:r>
      <w:r w:rsidR="00190923" w:rsidRPr="00981405">
        <w:t xml:space="preserve"> </w:t>
      </w:r>
      <w:r w:rsidRPr="00981405">
        <w:t>a</w:t>
      </w:r>
      <w:r w:rsidR="00190923" w:rsidRPr="00981405">
        <w:t xml:space="preserve"> </w:t>
      </w:r>
      <w:r w:rsidR="00B92E2C" w:rsidRPr="00981405">
        <w:t>“</w:t>
      </w:r>
      <w:r w:rsidRPr="00981405">
        <w:t>vertical</w:t>
      </w:r>
      <w:r w:rsidR="00190923" w:rsidRPr="00981405">
        <w:t xml:space="preserve"> </w:t>
      </w:r>
      <w:r w:rsidRPr="00981405">
        <w:t>relationship</w:t>
      </w:r>
      <w:r w:rsidR="00B92E2C" w:rsidRPr="00981405">
        <w:t>”</w:t>
      </w:r>
      <w:r w:rsidR="00190923" w:rsidRPr="00981405">
        <w:t xml:space="preserve"> </w:t>
      </w:r>
      <w:r w:rsidRPr="00981405">
        <w:t>among</w:t>
      </w:r>
      <w:r w:rsidR="00190923" w:rsidRPr="00981405">
        <w:t xml:space="preserve"> </w:t>
      </w:r>
      <w:r w:rsidRPr="00981405">
        <w:t>them.</w:t>
      </w:r>
      <w:r w:rsidR="00190923" w:rsidRPr="00981405">
        <w:t xml:space="preserve"> </w:t>
      </w:r>
      <w:r w:rsidRPr="00981405">
        <w:t>This</w:t>
      </w:r>
      <w:r w:rsidR="00190923" w:rsidRPr="00981405">
        <w:t xml:space="preserve"> </w:t>
      </w:r>
      <w:r w:rsidRPr="00981405">
        <w:t>key</w:t>
      </w:r>
      <w:r w:rsidR="00190923" w:rsidRPr="00981405">
        <w:t xml:space="preserve"> </w:t>
      </w:r>
      <w:r w:rsidRPr="00981405">
        <w:t>consideration</w:t>
      </w:r>
      <w:r w:rsidR="00190923" w:rsidRPr="00981405">
        <w:t xml:space="preserve"> </w:t>
      </w:r>
      <w:r w:rsidRPr="00981405">
        <w:t>presented</w:t>
      </w:r>
      <w:r w:rsidR="00190923" w:rsidRPr="00981405">
        <w:t xml:space="preserve"> </w:t>
      </w:r>
      <w:r w:rsidRPr="00981405">
        <w:t>a</w:t>
      </w:r>
      <w:r w:rsidR="00190923" w:rsidRPr="00981405">
        <w:t xml:space="preserve"> </w:t>
      </w:r>
      <w:r w:rsidRPr="00981405">
        <w:t>set</w:t>
      </w:r>
      <w:r w:rsidR="00190923" w:rsidRPr="00981405">
        <w:t xml:space="preserve"> </w:t>
      </w:r>
      <w:r w:rsidRPr="00981405">
        <w:t>of</w:t>
      </w:r>
      <w:r w:rsidR="00190923" w:rsidRPr="00981405">
        <w:t xml:space="preserve"> </w:t>
      </w:r>
      <w:r w:rsidRPr="00981405">
        <w:t>different</w:t>
      </w:r>
      <w:r w:rsidR="00190923" w:rsidRPr="00981405">
        <w:t xml:space="preserve"> </w:t>
      </w:r>
      <w:r w:rsidRPr="00981405">
        <w:t>factors</w:t>
      </w:r>
      <w:r w:rsidR="00190923" w:rsidRPr="00981405">
        <w:t xml:space="preserve"> </w:t>
      </w:r>
      <w:r w:rsidRPr="00981405">
        <w:t>requiring</w:t>
      </w:r>
      <w:r w:rsidR="00190923" w:rsidRPr="00981405">
        <w:t xml:space="preserve"> </w:t>
      </w:r>
      <w:r w:rsidRPr="00981405">
        <w:t>critical</w:t>
      </w:r>
      <w:r w:rsidR="00190923" w:rsidRPr="00981405">
        <w:t xml:space="preserve"> </w:t>
      </w:r>
      <w:r w:rsidRPr="00981405">
        <w:t>review.</w:t>
      </w:r>
    </w:p>
    <w:p w:rsidR="00397032" w:rsidRPr="00981405" w:rsidRDefault="00397032" w:rsidP="00D97463">
      <w:pPr>
        <w:pStyle w:val="SingleTxt"/>
      </w:pPr>
      <w:r w:rsidRPr="00981405">
        <w:t>198.</w:t>
      </w:r>
      <w:r w:rsidRPr="00981405">
        <w:tab/>
        <w:t>It</w:t>
      </w:r>
      <w:r w:rsidR="00190923" w:rsidRPr="00981405">
        <w:t xml:space="preserve"> </w:t>
      </w:r>
      <w:r w:rsidRPr="00981405">
        <w:t>was,</w:t>
      </w:r>
      <w:r w:rsidR="00190923" w:rsidRPr="00981405">
        <w:t xml:space="preserve"> </w:t>
      </w:r>
      <w:r w:rsidRPr="00981405">
        <w:t>for</w:t>
      </w:r>
      <w:r w:rsidR="00190923" w:rsidRPr="00981405">
        <w:t xml:space="preserve"> </w:t>
      </w:r>
      <w:r w:rsidRPr="00981405">
        <w:t>instance,</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in</w:t>
      </w:r>
      <w:r w:rsidR="00190923" w:rsidRPr="00981405">
        <w:t xml:space="preserve"> </w:t>
      </w:r>
      <w:r w:rsidRPr="00981405">
        <w:t>determining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there</w:t>
      </w:r>
      <w:r w:rsidR="00190923" w:rsidRPr="00981405">
        <w:t xml:space="preserve"> </w:t>
      </w:r>
      <w:r w:rsidRPr="00981405">
        <w:t>were</w:t>
      </w:r>
      <w:r w:rsidR="00190923" w:rsidRPr="00981405">
        <w:t xml:space="preserve"> </w:t>
      </w:r>
      <w:r w:rsidRPr="00981405">
        <w:t>certain</w:t>
      </w:r>
      <w:r w:rsidR="00190923" w:rsidRPr="00981405">
        <w:t xml:space="preserve"> </w:t>
      </w:r>
      <w:r w:rsidRPr="00981405">
        <w:t>acts</w:t>
      </w:r>
      <w:r w:rsidR="00190923" w:rsidRPr="00981405">
        <w:t xml:space="preserve"> </w:t>
      </w:r>
      <w:r w:rsidRPr="00981405">
        <w:t>that</w:t>
      </w:r>
      <w:r w:rsidR="00190923" w:rsidRPr="00981405">
        <w:t xml:space="preserve"> </w:t>
      </w:r>
      <w:r w:rsidRPr="00981405">
        <w:t>could</w:t>
      </w:r>
      <w:r w:rsidR="00190923" w:rsidRPr="00981405">
        <w:t xml:space="preserve"> </w:t>
      </w:r>
      <w:r w:rsidRPr="00981405">
        <w:t>potentially</w:t>
      </w:r>
      <w:r w:rsidR="00190923" w:rsidRPr="00981405">
        <w:t xml:space="preserve"> </w:t>
      </w:r>
      <w:r w:rsidRPr="00981405">
        <w:t>be</w:t>
      </w:r>
      <w:r w:rsidR="00190923" w:rsidRPr="00981405">
        <w:t xml:space="preserve"> </w:t>
      </w:r>
      <w:r w:rsidRPr="00981405">
        <w:t>beyond</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This</w:t>
      </w:r>
      <w:r w:rsidR="00190923" w:rsidRPr="00981405">
        <w:t xml:space="preserve"> </w:t>
      </w:r>
      <w:r w:rsidRPr="00981405">
        <w:t>was</w:t>
      </w:r>
      <w:r w:rsidR="00190923" w:rsidRPr="00981405">
        <w:t xml:space="preserve"> </w:t>
      </w:r>
      <w:r w:rsidRPr="00981405">
        <w:t>the</w:t>
      </w:r>
      <w:r w:rsidR="00190923" w:rsidRPr="00981405">
        <w:t xml:space="preserve"> </w:t>
      </w:r>
      <w:r w:rsidRPr="00981405">
        <w:t>case</w:t>
      </w:r>
      <w:r w:rsidR="00190923" w:rsidRPr="00981405">
        <w:t xml:space="preserve"> </w:t>
      </w:r>
      <w:r w:rsidRPr="00981405">
        <w:t>for</w:t>
      </w:r>
      <w:r w:rsidR="00190923" w:rsidRPr="00981405">
        <w:t xml:space="preserve"> </w:t>
      </w:r>
      <w:r w:rsidRPr="00981405">
        <w:t>acts</w:t>
      </w:r>
      <w:r w:rsidR="00190923" w:rsidRPr="00981405">
        <w:t xml:space="preserve"> </w:t>
      </w:r>
      <w:r w:rsidRPr="00981405">
        <w:t>involving</w:t>
      </w:r>
      <w:r w:rsidR="00190923" w:rsidRPr="00981405">
        <w:t xml:space="preserve"> </w:t>
      </w:r>
      <w:r w:rsidRPr="00981405">
        <w:t>allegations</w:t>
      </w:r>
      <w:r w:rsidR="00190923" w:rsidRPr="00981405">
        <w:t xml:space="preserve"> </w:t>
      </w:r>
      <w:r w:rsidRPr="00981405">
        <w:t>of</w:t>
      </w:r>
      <w:r w:rsidR="00190923" w:rsidRPr="00981405">
        <w:t xml:space="preserve"> </w:t>
      </w:r>
      <w:r w:rsidRPr="00981405">
        <w:t>serious</w:t>
      </w:r>
      <w:r w:rsidR="00190923" w:rsidRPr="00981405">
        <w:t xml:space="preserve"> </w:t>
      </w:r>
      <w:r w:rsidRPr="00981405">
        <w:t>international</w:t>
      </w:r>
      <w:r w:rsidR="00190923" w:rsidRPr="00981405">
        <w:t xml:space="preserve"> </w:t>
      </w:r>
      <w:r w:rsidRPr="00981405">
        <w:t>crimes,</w:t>
      </w:r>
      <w:r w:rsidR="00190923" w:rsidRPr="00981405">
        <w:t xml:space="preserve"> </w:t>
      </w:r>
      <w:r w:rsidR="00272399" w:rsidRPr="00981405">
        <w:rPr>
          <w:i/>
          <w:iCs/>
        </w:rPr>
        <w:t>ultra</w:t>
      </w:r>
      <w:r w:rsidR="00190923" w:rsidRPr="00981405">
        <w:rPr>
          <w:i/>
          <w:iCs/>
        </w:rPr>
        <w:t xml:space="preserve"> </w:t>
      </w:r>
      <w:r w:rsidR="00272399" w:rsidRPr="00981405">
        <w:rPr>
          <w:i/>
          <w:iCs/>
        </w:rPr>
        <w:t>vires</w:t>
      </w:r>
      <w:r w:rsidR="00190923" w:rsidRPr="00981405">
        <w:t xml:space="preserve"> </w:t>
      </w:r>
      <w:r w:rsidRPr="00981405">
        <w:t>acts,</w:t>
      </w:r>
      <w:r w:rsidR="00190923" w:rsidRPr="00981405">
        <w:t xml:space="preserve"> </w:t>
      </w:r>
      <w:r w:rsidRPr="00D97463">
        <w:rPr>
          <w:i/>
          <w:iCs/>
        </w:rPr>
        <w:t>acta</w:t>
      </w:r>
      <w:r w:rsidR="00190923" w:rsidRPr="00981405">
        <w:rPr>
          <w:i/>
          <w:iCs/>
        </w:rPr>
        <w:t xml:space="preserve"> </w:t>
      </w:r>
      <w:r w:rsidRPr="00D97463">
        <w:rPr>
          <w:i/>
          <w:iCs/>
        </w:rPr>
        <w:t>jure</w:t>
      </w:r>
      <w:r w:rsidR="00190923" w:rsidRPr="00981405">
        <w:rPr>
          <w:i/>
          <w:iCs/>
        </w:rPr>
        <w:t xml:space="preserve"> </w:t>
      </w:r>
      <w:r w:rsidRPr="00D97463">
        <w:rPr>
          <w:i/>
          <w:iCs/>
        </w:rPr>
        <w:t>gestionis</w:t>
      </w:r>
      <w:r w:rsidRPr="00981405">
        <w:t>,</w:t>
      </w:r>
      <w:r w:rsidR="00190923" w:rsidRPr="00981405">
        <w:t xml:space="preserve"> </w:t>
      </w:r>
      <w:r w:rsidRPr="00981405">
        <w:t>or</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lastRenderedPageBreak/>
        <w:t>official</w:t>
      </w:r>
      <w:r w:rsidR="00190923" w:rsidRPr="00981405">
        <w:t xml:space="preserve"> </w:t>
      </w:r>
      <w:r w:rsidRPr="00981405">
        <w:t>capacity</w:t>
      </w:r>
      <w:r w:rsidR="00190923" w:rsidRPr="00981405">
        <w:t xml:space="preserve"> </w:t>
      </w:r>
      <w:r w:rsidRPr="00981405">
        <w:t>but</w:t>
      </w:r>
      <w:r w:rsidR="00190923" w:rsidRPr="00981405">
        <w:t xml:space="preserve"> </w:t>
      </w:r>
      <w:r w:rsidRPr="00981405">
        <w:t>exclusively</w:t>
      </w:r>
      <w:r w:rsidR="00190923" w:rsidRPr="00981405">
        <w:t xml:space="preserve"> </w:t>
      </w:r>
      <w:r w:rsidRPr="00981405">
        <w:t>for</w:t>
      </w:r>
      <w:r w:rsidR="00190923" w:rsidRPr="00981405">
        <w:t xml:space="preserve"> </w:t>
      </w:r>
      <w:r w:rsidRPr="00981405">
        <w:t>personal</w:t>
      </w:r>
      <w:r w:rsidR="00190923" w:rsidRPr="00981405">
        <w:t xml:space="preserve"> </w:t>
      </w:r>
      <w:r w:rsidRPr="00981405">
        <w:t>benefit,</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on</w:t>
      </w:r>
      <w:r w:rsidR="00190923" w:rsidRPr="00981405">
        <w:t xml:space="preserve"> </w:t>
      </w:r>
      <w:r w:rsidRPr="00981405">
        <w:t>the</w:t>
      </w:r>
      <w:r w:rsidR="00190923" w:rsidRPr="00981405">
        <w:t xml:space="preserve"> </w:t>
      </w:r>
      <w:r w:rsidRPr="00981405">
        <w:t>territory</w:t>
      </w:r>
      <w:r w:rsidR="00190923" w:rsidRPr="00981405">
        <w:t xml:space="preserve"> </w:t>
      </w:r>
      <w:r w:rsidRPr="00981405">
        <w:t>of</w:t>
      </w:r>
      <w:r w:rsidR="00190923" w:rsidRPr="00981405">
        <w:t xml:space="preserve"> </w:t>
      </w:r>
      <w:r w:rsidRPr="00981405">
        <w:t>the</w:t>
      </w:r>
      <w:r w:rsidR="00190923" w:rsidRPr="00981405">
        <w:t xml:space="preserve"> </w:t>
      </w:r>
      <w:r w:rsidRPr="00981405">
        <w:t>forum</w:t>
      </w:r>
      <w:r w:rsidR="00190923" w:rsidRPr="00981405">
        <w:t xml:space="preserve"> </w:t>
      </w:r>
      <w:r w:rsidRPr="00981405">
        <w:t>State</w:t>
      </w:r>
      <w:r w:rsidR="00190923" w:rsidRPr="00981405">
        <w:t xml:space="preserve"> </w:t>
      </w:r>
      <w:r w:rsidRPr="00981405">
        <w:t>without</w:t>
      </w:r>
      <w:r w:rsidR="00190923" w:rsidRPr="00981405">
        <w:t xml:space="preserve"> </w:t>
      </w:r>
      <w:r w:rsidRPr="00981405">
        <w:t>its</w:t>
      </w:r>
      <w:r w:rsidR="00190923" w:rsidRPr="00981405">
        <w:t xml:space="preserve"> </w:t>
      </w:r>
      <w:r w:rsidRPr="00981405">
        <w:t>consent.</w:t>
      </w:r>
    </w:p>
    <w:p w:rsidR="00397032" w:rsidRPr="00981405" w:rsidRDefault="00397032" w:rsidP="00D97463">
      <w:pPr>
        <w:pStyle w:val="SingleTxt"/>
      </w:pPr>
      <w:r w:rsidRPr="00981405">
        <w:t>199.</w:t>
      </w:r>
      <w:r w:rsidRPr="00981405">
        <w:tab/>
        <w:t>To</w:t>
      </w:r>
      <w:r w:rsidR="00190923" w:rsidRPr="00981405">
        <w:t xml:space="preserve"> </w:t>
      </w:r>
      <w:r w:rsidRPr="00981405">
        <w:t>address</w:t>
      </w:r>
      <w:r w:rsidR="00190923" w:rsidRPr="00981405">
        <w:t xml:space="preserve"> </w:t>
      </w:r>
      <w:r w:rsidRPr="00981405">
        <w:t>such</w:t>
      </w:r>
      <w:r w:rsidR="00190923" w:rsidRPr="00981405">
        <w:t xml:space="preserve"> </w:t>
      </w:r>
      <w:r w:rsidRPr="00981405">
        <w:t>acts,</w:t>
      </w:r>
      <w:r w:rsidR="00190923" w:rsidRPr="00981405">
        <w:t xml:space="preserve"> </w:t>
      </w:r>
      <w:r w:rsidRPr="00981405">
        <w:t>according</w:t>
      </w:r>
      <w:r w:rsidR="00190923" w:rsidRPr="00981405">
        <w:t xml:space="preserve"> </w:t>
      </w:r>
      <w:r w:rsidRPr="00981405">
        <w:t>to</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two</w:t>
      </w:r>
      <w:r w:rsidR="00190923" w:rsidRPr="00981405">
        <w:t xml:space="preserve"> </w:t>
      </w:r>
      <w:r w:rsidRPr="00981405">
        <w:t>possibilities</w:t>
      </w:r>
      <w:r w:rsidR="00190923" w:rsidRPr="00981405">
        <w:t xml:space="preserve"> </w:t>
      </w:r>
      <w:r w:rsidRPr="00981405">
        <w:t>existed;</w:t>
      </w:r>
      <w:r w:rsidR="00190923" w:rsidRPr="00981405">
        <w:t xml:space="preserve"> </w:t>
      </w:r>
      <w:r w:rsidRPr="00981405">
        <w:t>either</w:t>
      </w:r>
      <w:r w:rsidR="00190923" w:rsidRPr="00981405">
        <w:t xml:space="preserve"> </w:t>
      </w:r>
      <w:r w:rsidRPr="00981405">
        <w:t>to</w:t>
      </w:r>
      <w:r w:rsidR="00190923" w:rsidRPr="00981405">
        <w:t xml:space="preserve"> </w:t>
      </w:r>
      <w:r w:rsidRPr="00981405">
        <w:t>be</w:t>
      </w:r>
      <w:r w:rsidR="00190923" w:rsidRPr="00981405">
        <w:t xml:space="preserve"> </w:t>
      </w:r>
      <w:r w:rsidRPr="00981405">
        <w:t>inclusive</w:t>
      </w:r>
      <w:r w:rsidR="00190923" w:rsidRPr="00981405">
        <w:t xml:space="preserve"> </w:t>
      </w:r>
      <w:r w:rsidRPr="00981405">
        <w:t>and</w:t>
      </w:r>
      <w:r w:rsidR="00190923" w:rsidRPr="00981405">
        <w:t xml:space="preserve"> </w:t>
      </w:r>
      <w:r w:rsidRPr="00981405">
        <w:t>asserting</w:t>
      </w:r>
      <w:r w:rsidR="00190923" w:rsidRPr="00981405">
        <w:t xml:space="preserve"> </w:t>
      </w:r>
      <w:r w:rsidRPr="00981405">
        <w:t>that</w:t>
      </w:r>
      <w:r w:rsidR="00190923" w:rsidRPr="00981405">
        <w:t xml:space="preserve"> </w:t>
      </w:r>
      <w:r w:rsidRPr="00981405">
        <w:t>an</w:t>
      </w:r>
      <w:r w:rsidR="00190923" w:rsidRPr="00981405">
        <w:t xml:space="preserve"> </w:t>
      </w:r>
      <w:r w:rsidRPr="00981405">
        <w:t>act</w:t>
      </w:r>
      <w:r w:rsidR="00190923" w:rsidRPr="00981405">
        <w:t xml:space="preserve"> </w:t>
      </w:r>
      <w:r w:rsidRPr="00981405">
        <w:t>constituting</w:t>
      </w:r>
      <w:r w:rsidR="00190923" w:rsidRPr="00981405">
        <w:t xml:space="preserve"> </w:t>
      </w:r>
      <w:r w:rsidRPr="00981405">
        <w:t>a</w:t>
      </w:r>
      <w:r w:rsidR="00190923" w:rsidRPr="00981405">
        <w:t xml:space="preserve"> </w:t>
      </w:r>
      <w:r w:rsidRPr="00981405">
        <w:t>crime</w:t>
      </w:r>
      <w:r w:rsidR="00190923" w:rsidRPr="00981405">
        <w:t xml:space="preserve"> </w:t>
      </w:r>
      <w:r w:rsidRPr="00981405">
        <w:t>was</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and</w:t>
      </w:r>
      <w:r w:rsidR="00190923" w:rsidRPr="00981405">
        <w:t xml:space="preserve"> </w:t>
      </w:r>
      <w:r w:rsidRPr="00981405">
        <w:t>be</w:t>
      </w:r>
      <w:r w:rsidR="00190923" w:rsidRPr="00981405">
        <w:t xml:space="preserve"> </w:t>
      </w:r>
      <w:r w:rsidRPr="00981405">
        <w:t>confronted</w:t>
      </w:r>
      <w:r w:rsidR="00190923" w:rsidRPr="00981405">
        <w:t xml:space="preserve"> </w:t>
      </w:r>
      <w:r w:rsidRPr="00981405">
        <w:t>with</w:t>
      </w:r>
      <w:r w:rsidR="00190923" w:rsidRPr="00981405">
        <w:t xml:space="preserve"> </w:t>
      </w:r>
      <w:r w:rsidRPr="00981405">
        <w:t>the</w:t>
      </w:r>
      <w:r w:rsidR="00190923" w:rsidRPr="00981405">
        <w:t xml:space="preserve"> </w:t>
      </w:r>
      <w:r w:rsidRPr="00981405">
        <w:t>problem</w:t>
      </w:r>
      <w:r w:rsidR="00190923" w:rsidRPr="00981405">
        <w:t xml:space="preserve"> </w:t>
      </w:r>
      <w:r w:rsidRPr="00981405">
        <w:t>of</w:t>
      </w:r>
      <w:r w:rsidR="00190923" w:rsidRPr="00981405">
        <w:t xml:space="preserve"> </w:t>
      </w:r>
      <w:r w:rsidRPr="00981405">
        <w:t>whether</w:t>
      </w:r>
      <w:r w:rsidR="00190923" w:rsidRPr="00981405">
        <w:t xml:space="preserve"> </w:t>
      </w:r>
      <w:r w:rsidRPr="00981405">
        <w:t>they</w:t>
      </w:r>
      <w:r w:rsidR="00190923" w:rsidRPr="00981405">
        <w:t xml:space="preserve"> </w:t>
      </w:r>
      <w:r w:rsidRPr="00981405">
        <w:t>were</w:t>
      </w:r>
      <w:r w:rsidR="00190923" w:rsidRPr="00981405">
        <w:t xml:space="preserve"> </w:t>
      </w:r>
      <w:r w:rsidRPr="00981405">
        <w:t>public</w:t>
      </w:r>
      <w:r w:rsidR="00190923" w:rsidRPr="00981405">
        <w:t xml:space="preserve"> </w:t>
      </w:r>
      <w:r w:rsidRPr="00981405">
        <w:t>or</w:t>
      </w:r>
      <w:r w:rsidR="00190923" w:rsidRPr="00981405">
        <w:t xml:space="preserve"> </w:t>
      </w:r>
      <w:r w:rsidRPr="00981405">
        <w:t>private,</w:t>
      </w:r>
      <w:r w:rsidR="00190923" w:rsidRPr="00981405">
        <w:t xml:space="preserve"> </w:t>
      </w:r>
      <w:r w:rsidRPr="00981405">
        <w:t>or</w:t>
      </w:r>
      <w:r w:rsidR="00190923" w:rsidRPr="00981405">
        <w:t xml:space="preserve"> </w:t>
      </w:r>
      <w:r w:rsidRPr="00981405">
        <w:t>both,</w:t>
      </w:r>
      <w:r w:rsidR="00190923" w:rsidRPr="00981405">
        <w:t xml:space="preserve"> </w:t>
      </w:r>
      <w:r w:rsidRPr="00981405">
        <w:t>or</w:t>
      </w:r>
      <w:r w:rsidR="00190923" w:rsidRPr="00981405">
        <w:t xml:space="preserve"> </w:t>
      </w:r>
      <w:r w:rsidRPr="00981405">
        <w:t>deal</w:t>
      </w:r>
      <w:r w:rsidR="00190923" w:rsidRPr="00981405">
        <w:t xml:space="preserve"> </w:t>
      </w:r>
      <w:r w:rsidRPr="00981405">
        <w:t>with</w:t>
      </w:r>
      <w:r w:rsidR="00190923" w:rsidRPr="00981405">
        <w:t xml:space="preserve"> </w:t>
      </w:r>
      <w:r w:rsidRPr="00981405">
        <w:t>such</w:t>
      </w:r>
      <w:r w:rsidR="00190923" w:rsidRPr="00981405">
        <w:t xml:space="preserve"> </w:t>
      </w:r>
      <w:r w:rsidRPr="00981405">
        <w:t>questions</w:t>
      </w:r>
      <w:r w:rsidR="00190923" w:rsidRPr="00981405">
        <w:t xml:space="preserve"> </w:t>
      </w:r>
      <w:r w:rsidRPr="00981405">
        <w:t>as</w:t>
      </w:r>
      <w:r w:rsidR="00190923" w:rsidRPr="00981405">
        <w:t xml:space="preserve"> </w:t>
      </w:r>
      <w:r w:rsidRPr="00981405">
        <w:t>limitations</w:t>
      </w:r>
      <w:r w:rsidR="00190923" w:rsidRPr="00981405">
        <w:t xml:space="preserve"> </w:t>
      </w:r>
      <w:r w:rsidRPr="00981405">
        <w:t>or</w:t>
      </w:r>
      <w:r w:rsidR="00190923" w:rsidRPr="00981405">
        <w:t xml:space="preserve"> </w:t>
      </w:r>
      <w:r w:rsidRPr="00981405">
        <w:t>exceptions.</w:t>
      </w:r>
      <w:r w:rsidR="00190923" w:rsidRPr="00981405">
        <w:t xml:space="preserve"> </w:t>
      </w:r>
      <w:r w:rsidRPr="00981405">
        <w:t>Some</w:t>
      </w:r>
      <w:r w:rsidR="00190923" w:rsidRPr="00981405">
        <w:t xml:space="preserve"> </w:t>
      </w:r>
      <w:r w:rsidRPr="00981405">
        <w:t>members</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while</w:t>
      </w:r>
      <w:r w:rsidR="00190923" w:rsidRPr="00981405">
        <w:t xml:space="preserve"> </w:t>
      </w:r>
      <w:r w:rsidRPr="00981405">
        <w:t>it</w:t>
      </w:r>
      <w:r w:rsidR="00190923" w:rsidRPr="00981405">
        <w:t xml:space="preserve"> </w:t>
      </w:r>
      <w:r w:rsidRPr="00981405">
        <w:t>was</w:t>
      </w:r>
      <w:r w:rsidR="00190923" w:rsidRPr="00981405">
        <w:t xml:space="preserve"> </w:t>
      </w:r>
      <w:r w:rsidRPr="00981405">
        <w:t>difficult</w:t>
      </w:r>
      <w:r w:rsidR="00190923" w:rsidRPr="00981405">
        <w:t xml:space="preserve"> </w:t>
      </w:r>
      <w:r w:rsidRPr="00981405">
        <w:t>to</w:t>
      </w:r>
      <w:r w:rsidR="00190923" w:rsidRPr="00981405">
        <w:t xml:space="preserve"> </w:t>
      </w:r>
      <w:r w:rsidRPr="00981405">
        <w:t>categorize</w:t>
      </w:r>
      <w:r w:rsidR="00190923" w:rsidRPr="00981405">
        <w:t xml:space="preserve"> </w:t>
      </w:r>
      <w:r w:rsidRPr="00981405">
        <w:t>serious</w:t>
      </w:r>
      <w:r w:rsidR="00190923" w:rsidRPr="00981405">
        <w:t xml:space="preserve"> </w:t>
      </w:r>
      <w:r w:rsidRPr="00981405">
        <w:t>international</w:t>
      </w:r>
      <w:r w:rsidR="00190923" w:rsidRPr="00981405">
        <w:t xml:space="preserve"> </w:t>
      </w:r>
      <w:r w:rsidRPr="00981405">
        <w:t>crimes,</w:t>
      </w:r>
      <w:r w:rsidR="00190923" w:rsidRPr="00981405">
        <w:t xml:space="preserve"> </w:t>
      </w:r>
      <w:r w:rsidR="00272399" w:rsidRPr="00981405">
        <w:rPr>
          <w:i/>
          <w:iCs/>
        </w:rPr>
        <w:t>ultra</w:t>
      </w:r>
      <w:r w:rsidR="00190923" w:rsidRPr="00981405">
        <w:rPr>
          <w:i/>
          <w:iCs/>
        </w:rPr>
        <w:t xml:space="preserve"> </w:t>
      </w:r>
      <w:r w:rsidR="00272399" w:rsidRPr="00981405">
        <w:rPr>
          <w:i/>
          <w:iCs/>
        </w:rPr>
        <w:t>vires</w:t>
      </w:r>
      <w:r w:rsidR="00190923" w:rsidRPr="00981405">
        <w:t xml:space="preserve"> </w:t>
      </w:r>
      <w:r w:rsidRPr="00981405">
        <w:t>acts,</w:t>
      </w:r>
      <w:r w:rsidR="00190923" w:rsidRPr="00981405">
        <w:t xml:space="preserve"> </w:t>
      </w:r>
      <w:r w:rsidRPr="00981405">
        <w:t>or</w:t>
      </w:r>
      <w:r w:rsidR="00190923" w:rsidRPr="00981405">
        <w:t xml:space="preserve"> </w:t>
      </w:r>
      <w:r w:rsidRPr="00981405">
        <w:t>acts</w:t>
      </w:r>
      <w:r w:rsidR="00190923" w:rsidRPr="00981405">
        <w:t xml:space="preserve"> </w:t>
      </w:r>
      <w:r w:rsidRPr="00D97463">
        <w:rPr>
          <w:i/>
          <w:iCs/>
        </w:rPr>
        <w:t>jure</w:t>
      </w:r>
      <w:r w:rsidR="00190923" w:rsidRPr="00981405">
        <w:rPr>
          <w:i/>
          <w:iCs/>
        </w:rPr>
        <w:t xml:space="preserve"> </w:t>
      </w:r>
      <w:r w:rsidRPr="00D97463">
        <w:rPr>
          <w:i/>
          <w:iCs/>
        </w:rPr>
        <w:t>gestionis</w:t>
      </w:r>
      <w:r w:rsidR="00190923" w:rsidRPr="00981405">
        <w:t xml:space="preserve"> </w:t>
      </w:r>
      <w:r w:rsidRPr="00981405">
        <w:t>as</w:t>
      </w:r>
      <w:r w:rsidR="00190923" w:rsidRPr="00981405">
        <w:t xml:space="preserve"> </w:t>
      </w:r>
      <w:r w:rsidRPr="00981405">
        <w:t>being</w:t>
      </w:r>
      <w:r w:rsidR="00190923" w:rsidRPr="00981405">
        <w:t xml:space="preserve"> </w:t>
      </w:r>
      <w:r w:rsidRPr="00981405">
        <w:t>private</w:t>
      </w:r>
      <w:r w:rsidR="00190923" w:rsidRPr="00981405">
        <w:t xml:space="preserve"> </w:t>
      </w:r>
      <w:r w:rsidRPr="00981405">
        <w:t>acts,</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better</w:t>
      </w:r>
      <w:r w:rsidR="00190923" w:rsidRPr="00981405">
        <w:t xml:space="preserve"> </w:t>
      </w:r>
      <w:r w:rsidRPr="00981405">
        <w:t>to</w:t>
      </w:r>
      <w:r w:rsidR="00190923" w:rsidRPr="00981405">
        <w:t xml:space="preserve"> </w:t>
      </w:r>
      <w:r w:rsidRPr="00981405">
        <w:t>address</w:t>
      </w:r>
      <w:r w:rsidR="00190923" w:rsidRPr="00981405">
        <w:t xml:space="preserve"> </w:t>
      </w:r>
      <w:r w:rsidRPr="00981405">
        <w:t>these</w:t>
      </w:r>
      <w:r w:rsidR="00190923" w:rsidRPr="00981405">
        <w:t xml:space="preserve"> </w:t>
      </w:r>
      <w:r w:rsidRPr="00981405">
        <w:t>matters</w:t>
      </w:r>
      <w:r w:rsidR="00190923" w:rsidRPr="00981405">
        <w:t xml:space="preserve"> </w:t>
      </w:r>
      <w:r w:rsidRPr="00981405">
        <w:t>as</w:t>
      </w:r>
      <w:r w:rsidR="00190923" w:rsidRPr="00981405">
        <w:t xml:space="preserve"> </w:t>
      </w:r>
      <w:r w:rsidRPr="00981405">
        <w:t>limitations</w:t>
      </w:r>
      <w:r w:rsidR="00190923" w:rsidRPr="00981405">
        <w:t xml:space="preserve"> </w:t>
      </w:r>
      <w:r w:rsidRPr="00981405">
        <w:t>or</w:t>
      </w:r>
      <w:r w:rsidR="00190923" w:rsidRPr="00981405">
        <w:t xml:space="preserve"> </w:t>
      </w:r>
      <w:r w:rsidRPr="00981405">
        <w:t>exceptions</w:t>
      </w:r>
      <w:r w:rsidR="00190923" w:rsidRPr="00981405">
        <w:t xml:space="preserve"> </w:t>
      </w:r>
      <w:r w:rsidRPr="00981405">
        <w:t>rather</w:t>
      </w:r>
      <w:r w:rsidR="00190923" w:rsidRPr="00981405">
        <w:t xml:space="preserve"> </w:t>
      </w:r>
      <w:r w:rsidRPr="00981405">
        <w:t>than</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definition</w:t>
      </w:r>
      <w:r w:rsidR="00190923" w:rsidRPr="00981405">
        <w:t xml:space="preserve"> </w:t>
      </w:r>
      <w:r w:rsidRPr="00981405">
        <w:t>of</w:t>
      </w:r>
      <w:r w:rsidR="00190923" w:rsidRPr="00981405">
        <w:t xml:space="preserve"> </w:t>
      </w:r>
      <w:r w:rsidRPr="00981405">
        <w:t>official</w:t>
      </w:r>
      <w:r w:rsidR="00190923" w:rsidRPr="00981405">
        <w:t xml:space="preserve"> </w:t>
      </w:r>
      <w:r w:rsidRPr="00981405">
        <w:t>or</w:t>
      </w:r>
      <w:r w:rsidR="00190923" w:rsidRPr="00981405">
        <w:t xml:space="preserve"> </w:t>
      </w:r>
      <w:r w:rsidRPr="00981405">
        <w:t>unofficial</w:t>
      </w:r>
      <w:r w:rsidR="00190923" w:rsidRPr="00981405">
        <w:t xml:space="preserve"> </w:t>
      </w:r>
      <w:r w:rsidRPr="00981405">
        <w:t>acts.</w:t>
      </w:r>
      <w:r w:rsidR="00190923" w:rsidRPr="00981405">
        <w:t xml:space="preserve"> </w:t>
      </w:r>
      <w:r w:rsidRPr="00981405">
        <w:t>This</w:t>
      </w:r>
      <w:r w:rsidR="00190923" w:rsidRPr="00981405">
        <w:t xml:space="preserve"> </w:t>
      </w:r>
      <w:r w:rsidRPr="00981405">
        <w:t>approach</w:t>
      </w:r>
      <w:r w:rsidR="00190923" w:rsidRPr="00981405">
        <w:t xml:space="preserve"> </w:t>
      </w:r>
      <w:r w:rsidRPr="00981405">
        <w:t>seemed</w:t>
      </w:r>
      <w:r w:rsidR="00190923" w:rsidRPr="00981405">
        <w:t xml:space="preserve"> </w:t>
      </w:r>
      <w:r w:rsidRPr="00981405">
        <w:t>to</w:t>
      </w:r>
      <w:r w:rsidR="00190923" w:rsidRPr="00981405">
        <w:t xml:space="preserve"> </w:t>
      </w:r>
      <w:r w:rsidRPr="00981405">
        <w:t>have</w:t>
      </w:r>
      <w:r w:rsidR="00190923" w:rsidRPr="00981405">
        <w:t xml:space="preserve"> </w:t>
      </w:r>
      <w:r w:rsidRPr="00981405">
        <w:t>the</w:t>
      </w:r>
      <w:r w:rsidR="00190923" w:rsidRPr="00981405">
        <w:t xml:space="preserve"> </w:t>
      </w:r>
      <w:r w:rsidRPr="00981405">
        <w:t>advantage</w:t>
      </w:r>
      <w:r w:rsidR="00190923" w:rsidRPr="00981405">
        <w:t xml:space="preserve"> </w:t>
      </w:r>
      <w:r w:rsidRPr="00981405">
        <w:t>that</w:t>
      </w:r>
      <w:r w:rsidR="00190923" w:rsidRPr="00981405">
        <w:t xml:space="preserve"> </w:t>
      </w:r>
      <w:r w:rsidRPr="00981405">
        <w:t>practice</w:t>
      </w:r>
      <w:r w:rsidR="00190923" w:rsidRPr="00981405">
        <w:t xml:space="preserve"> </w:t>
      </w:r>
      <w:r w:rsidRPr="00981405">
        <w:t>has</w:t>
      </w:r>
      <w:r w:rsidR="00190923" w:rsidRPr="00981405">
        <w:t xml:space="preserve"> </w:t>
      </w:r>
      <w:r w:rsidRPr="00981405">
        <w:t>followed</w:t>
      </w:r>
      <w:r w:rsidR="00190923" w:rsidRPr="00981405">
        <w:t xml:space="preserve"> </w:t>
      </w:r>
      <w:r w:rsidRPr="00981405">
        <w:t>similar</w:t>
      </w:r>
      <w:r w:rsidR="00190923" w:rsidRPr="00981405">
        <w:t xml:space="preserve"> </w:t>
      </w:r>
      <w:r w:rsidRPr="00981405">
        <w:t>approaches</w:t>
      </w:r>
      <w:r w:rsidR="00190923" w:rsidRPr="00981405">
        <w:t xml:space="preserve"> </w:t>
      </w:r>
      <w:r w:rsidRPr="00981405">
        <w:t>before</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jurisdictional</w:t>
      </w:r>
      <w:r w:rsidR="00190923" w:rsidRPr="00981405">
        <w:t xml:space="preserve"> </w:t>
      </w:r>
      <w:r w:rsidRPr="00981405">
        <w:t>immunities</w:t>
      </w:r>
      <w:r w:rsidR="00190923" w:rsidRPr="00981405">
        <w:t xml:space="preserve"> </w:t>
      </w:r>
      <w:r w:rsidRPr="00981405">
        <w:t>of</w:t>
      </w:r>
      <w:r w:rsidR="00190923" w:rsidRPr="00981405">
        <w:t xml:space="preserve"> </w:t>
      </w:r>
      <w:r w:rsidRPr="00981405">
        <w:t>States.</w:t>
      </w:r>
      <w:r w:rsidR="00190923" w:rsidRPr="00981405">
        <w:t xml:space="preserve"> </w:t>
      </w:r>
      <w:r w:rsidRPr="00981405">
        <w:t>Some</w:t>
      </w:r>
      <w:r w:rsidR="00190923" w:rsidRPr="00981405">
        <w:t xml:space="preserve"> </w:t>
      </w:r>
      <w:r w:rsidRPr="00981405">
        <w:t>members</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such</w:t>
      </w:r>
      <w:r w:rsidR="00190923" w:rsidRPr="00981405">
        <w:t xml:space="preserve"> </w:t>
      </w:r>
      <w:r w:rsidRPr="00981405">
        <w:t>an</w:t>
      </w:r>
      <w:r w:rsidR="00190923" w:rsidRPr="00981405">
        <w:t xml:space="preserve"> </w:t>
      </w:r>
      <w:r w:rsidRPr="00981405">
        <w:t>approach</w:t>
      </w:r>
      <w:r w:rsidR="00190923" w:rsidRPr="00981405">
        <w:t xml:space="preserve"> </w:t>
      </w:r>
      <w:r w:rsidRPr="00981405">
        <w:t>would</w:t>
      </w:r>
      <w:r w:rsidR="00190923" w:rsidRPr="00981405">
        <w:t xml:space="preserve"> </w:t>
      </w:r>
      <w:r w:rsidRPr="00981405">
        <w:t>also</w:t>
      </w:r>
      <w:r w:rsidR="00190923" w:rsidRPr="00981405">
        <w:t xml:space="preserve"> </w:t>
      </w:r>
      <w:r w:rsidRPr="00981405">
        <w:t>make</w:t>
      </w:r>
      <w:r w:rsidR="00190923" w:rsidRPr="00981405">
        <w:t xml:space="preserve"> </w:t>
      </w:r>
      <w:r w:rsidRPr="00981405">
        <w:t>it</w:t>
      </w:r>
      <w:r w:rsidR="00190923" w:rsidRPr="00981405">
        <w:t xml:space="preserve"> </w:t>
      </w:r>
      <w:r w:rsidRPr="00981405">
        <w:t>possible</w:t>
      </w:r>
      <w:r w:rsidR="00190923" w:rsidRPr="00981405">
        <w:t xml:space="preserve"> </w:t>
      </w:r>
      <w:r w:rsidRPr="00981405">
        <w:t>to</w:t>
      </w:r>
      <w:r w:rsidR="00190923" w:rsidRPr="00981405">
        <w:t xml:space="preserve"> </w:t>
      </w:r>
      <w:r w:rsidRPr="00981405">
        <w:t>find</w:t>
      </w:r>
      <w:r w:rsidR="00190923" w:rsidRPr="00981405">
        <w:t xml:space="preserve"> </w:t>
      </w:r>
      <w:r w:rsidRPr="00981405">
        <w:t>solutions</w:t>
      </w:r>
      <w:r w:rsidR="00190923" w:rsidRPr="00981405">
        <w:t xml:space="preserve"> </w:t>
      </w:r>
      <w:r w:rsidRPr="00981405">
        <w:t>which</w:t>
      </w:r>
      <w:r w:rsidR="00190923" w:rsidRPr="00981405">
        <w:t xml:space="preserve"> </w:t>
      </w:r>
      <w:r w:rsidRPr="00981405">
        <w:t>combined</w:t>
      </w:r>
      <w:r w:rsidR="00190923" w:rsidRPr="00981405">
        <w:t xml:space="preserve"> </w:t>
      </w:r>
      <w:r w:rsidRPr="00981405">
        <w:t>acceptance</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with</w:t>
      </w:r>
      <w:r w:rsidR="00190923" w:rsidRPr="00981405">
        <w:t xml:space="preserve"> </w:t>
      </w:r>
      <w:r w:rsidRPr="00981405">
        <w:t>appropriate</w:t>
      </w:r>
      <w:r w:rsidR="00190923" w:rsidRPr="00981405">
        <w:t xml:space="preserve"> </w:t>
      </w:r>
      <w:r w:rsidRPr="00981405">
        <w:t>procedural</w:t>
      </w:r>
      <w:r w:rsidR="00190923" w:rsidRPr="00981405">
        <w:t xml:space="preserve"> </w:t>
      </w:r>
      <w:r w:rsidRPr="00981405">
        <w:t>safeguards</w:t>
      </w:r>
      <w:r w:rsidR="00190923" w:rsidRPr="00981405">
        <w:t xml:space="preserve"> </w:t>
      </w:r>
      <w:r w:rsidRPr="00981405">
        <w:t>and</w:t>
      </w:r>
      <w:r w:rsidR="00190923" w:rsidRPr="00981405">
        <w:t xml:space="preserve"> </w:t>
      </w:r>
      <w:r w:rsidRPr="00981405">
        <w:t>due</w:t>
      </w:r>
      <w:r w:rsidR="00190923" w:rsidRPr="00981405">
        <w:t xml:space="preserve"> </w:t>
      </w:r>
      <w:r w:rsidRPr="00981405">
        <w:t>process</w:t>
      </w:r>
      <w:r w:rsidR="00190923" w:rsidRPr="00981405">
        <w:t xml:space="preserve"> </w:t>
      </w:r>
      <w:r w:rsidRPr="00981405">
        <w:t>guarantees.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3" w:name="_Toc427938141"/>
      <w:r w:rsidRPr="00D97463">
        <w:t>(b)</w:t>
      </w:r>
      <w:r w:rsidRPr="00D97463">
        <w:tab/>
        <w:t>Methodology</w:t>
      </w:r>
      <w:bookmarkEnd w:id="153"/>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200.</w:t>
      </w:r>
      <w:r w:rsidRPr="00981405">
        <w:tab/>
        <w:t>The</w:t>
      </w:r>
      <w:r w:rsidR="00190923" w:rsidRPr="00981405">
        <w:t xml:space="preserve"> </w:t>
      </w:r>
      <w:r w:rsidRPr="00981405">
        <w:t>methodical</w:t>
      </w:r>
      <w:r w:rsidR="00190923" w:rsidRPr="00981405">
        <w:t xml:space="preserve"> </w:t>
      </w:r>
      <w:r w:rsidRPr="00981405">
        <w:t>approach</w:t>
      </w:r>
      <w:r w:rsidR="00190923" w:rsidRPr="00981405">
        <w:t xml:space="preserve"> </w:t>
      </w:r>
      <w:r w:rsidRPr="00981405">
        <w:t>taken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of</w:t>
      </w:r>
      <w:r w:rsidR="00190923" w:rsidRPr="00981405">
        <w:t xml:space="preserve"> </w:t>
      </w:r>
      <w:r w:rsidRPr="00981405">
        <w:t>analysing</w:t>
      </w:r>
      <w:r w:rsidR="00190923" w:rsidRPr="00981405">
        <w:t xml:space="preserve"> </w:t>
      </w:r>
      <w:r w:rsidRPr="00981405">
        <w:t>systematically</w:t>
      </w:r>
      <w:r w:rsidR="00190923" w:rsidRPr="00981405">
        <w:t xml:space="preserve"> </w:t>
      </w:r>
      <w:r w:rsidRPr="00981405">
        <w:t>the</w:t>
      </w:r>
      <w:r w:rsidR="00190923" w:rsidRPr="00981405">
        <w:t xml:space="preserve"> </w:t>
      </w:r>
      <w:r w:rsidRPr="00981405">
        <w:t>available</w:t>
      </w:r>
      <w:r w:rsidR="00190923" w:rsidRPr="00981405">
        <w:t xml:space="preserve"> </w:t>
      </w:r>
      <w:r w:rsidRPr="00981405">
        <w:t>practice</w:t>
      </w:r>
      <w:r w:rsidR="00190923" w:rsidRPr="00981405">
        <w:t xml:space="preserve"> </w:t>
      </w:r>
      <w:r w:rsidRPr="00981405">
        <w:t>in</w:t>
      </w:r>
      <w:r w:rsidR="00190923" w:rsidRPr="00981405">
        <w:t xml:space="preserve"> </w:t>
      </w:r>
      <w:r w:rsidRPr="00981405">
        <w:t>seeking</w:t>
      </w:r>
      <w:r w:rsidR="00190923" w:rsidRPr="00981405">
        <w:t xml:space="preserve"> </w:t>
      </w:r>
      <w:r w:rsidRPr="00981405">
        <w:t>to</w:t>
      </w:r>
      <w:r w:rsidR="00190923" w:rsidRPr="00981405">
        <w:t xml:space="preserve"> </w:t>
      </w:r>
      <w:r w:rsidRPr="00981405">
        <w:t>determine</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was</w:t>
      </w:r>
      <w:r w:rsidR="00190923" w:rsidRPr="00981405">
        <w:t xml:space="preserve"> </w:t>
      </w:r>
      <w:r w:rsidRPr="00981405">
        <w:t>generally</w:t>
      </w:r>
      <w:r w:rsidR="00190923" w:rsidRPr="00981405">
        <w:t xml:space="preserve"> </w:t>
      </w:r>
      <w:r w:rsidRPr="00981405">
        <w:t>considered</w:t>
      </w:r>
      <w:r w:rsidR="00190923" w:rsidRPr="00981405">
        <w:t xml:space="preserve"> </w:t>
      </w:r>
      <w:r w:rsidRPr="00981405">
        <w:t>praiseworthy</w:t>
      </w:r>
      <w:r w:rsidR="00190923" w:rsidRPr="00981405">
        <w:t xml:space="preserve"> </w:t>
      </w:r>
      <w:r w:rsidRPr="00981405">
        <w:t>for</w:t>
      </w:r>
      <w:r w:rsidR="00190923" w:rsidRPr="00981405">
        <w:t xml:space="preserve"> </w:t>
      </w:r>
      <w:r w:rsidRPr="00981405">
        <w:t>the</w:t>
      </w:r>
      <w:r w:rsidR="00190923" w:rsidRPr="00981405">
        <w:t xml:space="preserve"> </w:t>
      </w:r>
      <w:r w:rsidRPr="00981405">
        <w:t>wealth</w:t>
      </w:r>
      <w:r w:rsidR="00190923" w:rsidRPr="00981405">
        <w:t xml:space="preserve"> </w:t>
      </w:r>
      <w:r w:rsidRPr="00981405">
        <w:t>of</w:t>
      </w:r>
      <w:r w:rsidR="00190923" w:rsidRPr="00981405">
        <w:t xml:space="preserve"> </w:t>
      </w:r>
      <w:r w:rsidRPr="00981405">
        <w:t>materials</w:t>
      </w:r>
      <w:r w:rsidR="00190923" w:rsidRPr="00981405">
        <w:t xml:space="preserve"> </w:t>
      </w:r>
      <w:r w:rsidRPr="00981405">
        <w:t>reviewed</w:t>
      </w:r>
      <w:r w:rsidR="00190923" w:rsidRPr="00981405">
        <w:t xml:space="preserve"> </w:t>
      </w:r>
      <w:r w:rsidRPr="00981405">
        <w:t>and</w:t>
      </w:r>
      <w:r w:rsidR="00190923" w:rsidRPr="00981405">
        <w:t xml:space="preserve"> </w:t>
      </w:r>
      <w:r w:rsidRPr="00981405">
        <w:t>the</w:t>
      </w:r>
      <w:r w:rsidR="00190923" w:rsidRPr="00981405">
        <w:t xml:space="preserve"> </w:t>
      </w:r>
      <w:r w:rsidRPr="00981405">
        <w:t>pertinence</w:t>
      </w:r>
      <w:r w:rsidR="00190923" w:rsidRPr="00981405">
        <w:t xml:space="preserve"> </w:t>
      </w:r>
      <w:r w:rsidRPr="00981405">
        <w:t>of</w:t>
      </w:r>
      <w:r w:rsidR="00190923" w:rsidRPr="00981405">
        <w:t xml:space="preserve"> </w:t>
      </w:r>
      <w:r w:rsidRPr="00981405">
        <w:t>the</w:t>
      </w:r>
      <w:r w:rsidR="00190923" w:rsidRPr="00981405">
        <w:t xml:space="preserve"> </w:t>
      </w:r>
      <w:r w:rsidRPr="00981405">
        <w:t>analysis</w:t>
      </w:r>
      <w:r w:rsidR="00190923" w:rsidRPr="00981405">
        <w:t xml:space="preserve"> </w:t>
      </w:r>
      <w:r w:rsidRPr="00981405">
        <w:t>made.</w:t>
      </w:r>
      <w:r w:rsidR="00190923" w:rsidRPr="00981405">
        <w:t xml:space="preserve"> </w:t>
      </w:r>
      <w:r w:rsidRPr="00981405">
        <w:t>Some</w:t>
      </w:r>
      <w:r w:rsidR="00190923" w:rsidRPr="00981405">
        <w:t xml:space="preserve"> </w:t>
      </w:r>
      <w:r w:rsidRPr="00981405">
        <w:t>members,</w:t>
      </w:r>
      <w:r w:rsidR="00190923" w:rsidRPr="00981405">
        <w:t xml:space="preserve"> </w:t>
      </w:r>
      <w:r w:rsidRPr="00981405">
        <w:t>however,</w:t>
      </w:r>
      <w:r w:rsidR="00190923" w:rsidRPr="00981405">
        <w:t xml:space="preserve"> </w:t>
      </w:r>
      <w:r w:rsidRPr="00981405">
        <w:t>noted</w:t>
      </w:r>
      <w:r w:rsidR="00190923" w:rsidRPr="00981405">
        <w:t xml:space="preserve"> </w:t>
      </w:r>
      <w:r w:rsidRPr="00981405">
        <w:t>that</w:t>
      </w:r>
      <w:r w:rsidR="00190923" w:rsidRPr="00981405">
        <w:t xml:space="preserve"> </w:t>
      </w:r>
      <w:r w:rsidRPr="00981405">
        <w:t>in</w:t>
      </w:r>
      <w:r w:rsidR="00190923" w:rsidRPr="00981405">
        <w:t xml:space="preserve"> </w:t>
      </w:r>
      <w:r w:rsidRPr="00981405">
        <w:t>some</w:t>
      </w:r>
      <w:r w:rsidR="00190923" w:rsidRPr="00981405">
        <w:t xml:space="preserve"> </w:t>
      </w:r>
      <w:r w:rsidRPr="00981405">
        <w:t>instances,</w:t>
      </w:r>
      <w:r w:rsidR="00190923" w:rsidRPr="00981405">
        <w:t xml:space="preserve"> </w:t>
      </w:r>
      <w:r w:rsidRPr="00981405">
        <w:t>the</w:t>
      </w:r>
      <w:r w:rsidR="00190923" w:rsidRPr="00981405">
        <w:t xml:space="preserve"> </w:t>
      </w:r>
      <w:r w:rsidRPr="00981405">
        <w:t>report</w:t>
      </w:r>
      <w:r w:rsidR="00190923" w:rsidRPr="00981405">
        <w:t xml:space="preserve"> </w:t>
      </w:r>
      <w:r w:rsidRPr="00981405">
        <w:t>merely</w:t>
      </w:r>
      <w:r w:rsidR="00190923" w:rsidRPr="00981405">
        <w:t xml:space="preserve"> </w:t>
      </w:r>
      <w:r w:rsidRPr="00981405">
        <w:t>referred</w:t>
      </w:r>
      <w:r w:rsidR="00190923" w:rsidRPr="00981405">
        <w:t xml:space="preserve"> </w:t>
      </w:r>
      <w:r w:rsidRPr="00981405">
        <w:t>to</w:t>
      </w:r>
      <w:r w:rsidR="00190923" w:rsidRPr="00981405">
        <w:t xml:space="preserve"> </w:t>
      </w:r>
      <w:r w:rsidRPr="00981405">
        <w:t>cases</w:t>
      </w:r>
      <w:r w:rsidR="00190923" w:rsidRPr="00981405">
        <w:t xml:space="preserve"> </w:t>
      </w:r>
      <w:r w:rsidRPr="00981405">
        <w:t>without</w:t>
      </w:r>
      <w:r w:rsidR="00190923" w:rsidRPr="00981405">
        <w:t xml:space="preserve"> </w:t>
      </w:r>
      <w:r w:rsidRPr="00981405">
        <w:t>analysing</w:t>
      </w:r>
      <w:r w:rsidR="00190923" w:rsidRPr="00981405">
        <w:t xml:space="preserve"> </w:t>
      </w:r>
      <w:r w:rsidRPr="00981405">
        <w:t>them</w:t>
      </w:r>
      <w:r w:rsidR="00190923" w:rsidRPr="00981405">
        <w:t xml:space="preserve"> </w:t>
      </w:r>
      <w:r w:rsidRPr="00981405">
        <w:t>in</w:t>
      </w:r>
      <w:r w:rsidR="00190923" w:rsidRPr="00981405">
        <w:t xml:space="preserve"> </w:t>
      </w:r>
      <w:r w:rsidRPr="00981405">
        <w:t>their</w:t>
      </w:r>
      <w:r w:rsidR="00190923" w:rsidRPr="00981405">
        <w:t xml:space="preserve"> </w:t>
      </w:r>
      <w:r w:rsidRPr="00981405">
        <w:t>full</w:t>
      </w:r>
      <w:r w:rsidR="00190923" w:rsidRPr="00981405">
        <w:t xml:space="preserve"> </w:t>
      </w:r>
      <w:r w:rsidRPr="00981405">
        <w:t>context.</w:t>
      </w:r>
      <w:r w:rsidR="00190923" w:rsidRPr="00981405">
        <w:t xml:space="preserve"> </w:t>
      </w:r>
      <w:r w:rsidRPr="00981405">
        <w:t>Moreover,</w:t>
      </w:r>
      <w:r w:rsidR="00190923" w:rsidRPr="00981405">
        <w:t xml:space="preserve"> </w:t>
      </w:r>
      <w:r w:rsidRPr="00981405">
        <w:t>in</w:t>
      </w:r>
      <w:r w:rsidR="00190923" w:rsidRPr="00981405">
        <w:t xml:space="preserve"> </w:t>
      </w:r>
      <w:r w:rsidRPr="00981405">
        <w:t>some</w:t>
      </w:r>
      <w:r w:rsidR="00190923" w:rsidRPr="00981405">
        <w:t xml:space="preserve"> </w:t>
      </w:r>
      <w:r w:rsidRPr="00981405">
        <w:t>situations,</w:t>
      </w:r>
      <w:r w:rsidR="00190923" w:rsidRPr="00981405">
        <w:t xml:space="preserve"> </w:t>
      </w:r>
      <w:r w:rsidRPr="00981405">
        <w:t>categorical</w:t>
      </w:r>
      <w:r w:rsidR="00190923" w:rsidRPr="00981405">
        <w:t xml:space="preserve"> </w:t>
      </w:r>
      <w:r w:rsidRPr="00981405">
        <w:t>statements</w:t>
      </w:r>
      <w:r w:rsidR="00190923" w:rsidRPr="00981405">
        <w:t xml:space="preserve"> </w:t>
      </w:r>
      <w:r w:rsidRPr="00981405">
        <w:t>were</w:t>
      </w:r>
      <w:r w:rsidR="00190923" w:rsidRPr="00981405">
        <w:t xml:space="preserve"> </w:t>
      </w:r>
      <w:r w:rsidRPr="00981405">
        <w:t>made</w:t>
      </w:r>
      <w:r w:rsidR="00190923" w:rsidRPr="00981405">
        <w:t xml:space="preserve"> </w:t>
      </w:r>
      <w:r w:rsidRPr="00981405">
        <w:t>that</w:t>
      </w:r>
      <w:r w:rsidR="00190923" w:rsidRPr="00981405">
        <w:t xml:space="preserve"> </w:t>
      </w:r>
      <w:r w:rsidRPr="00981405">
        <w:t>went</w:t>
      </w:r>
      <w:r w:rsidR="00190923" w:rsidRPr="00981405">
        <w:t xml:space="preserve"> </w:t>
      </w:r>
      <w:r w:rsidRPr="00981405">
        <w:t>further</w:t>
      </w:r>
      <w:r w:rsidR="00190923" w:rsidRPr="00981405">
        <w:t xml:space="preserve"> </w:t>
      </w:r>
      <w:r w:rsidRPr="00981405">
        <w:t>than</w:t>
      </w:r>
      <w:r w:rsidR="00190923" w:rsidRPr="00981405">
        <w:t xml:space="preserve"> </w:t>
      </w:r>
      <w:r w:rsidRPr="00981405">
        <w:t>was</w:t>
      </w:r>
      <w:r w:rsidR="00190923" w:rsidRPr="00981405">
        <w:t xml:space="preserve"> </w:t>
      </w:r>
      <w:r w:rsidRPr="00981405">
        <w:t>needed</w:t>
      </w:r>
      <w:r w:rsidR="00190923" w:rsidRPr="00981405">
        <w:t xml:space="preserve"> </w:t>
      </w:r>
      <w:r w:rsidRPr="00981405">
        <w:t>or</w:t>
      </w:r>
      <w:r w:rsidR="00190923" w:rsidRPr="00981405">
        <w:t xml:space="preserve"> </w:t>
      </w:r>
      <w:r w:rsidRPr="00981405">
        <w:t>justified,</w:t>
      </w:r>
      <w:r w:rsidR="00190923" w:rsidRPr="00981405">
        <w:t xml:space="preserve"> </w:t>
      </w:r>
      <w:r w:rsidRPr="00981405">
        <w:t>while</w:t>
      </w:r>
      <w:r w:rsidR="00190923" w:rsidRPr="00981405">
        <w:t xml:space="preserve"> </w:t>
      </w:r>
      <w:r w:rsidRPr="00981405">
        <w:t>in</w:t>
      </w:r>
      <w:r w:rsidR="00190923" w:rsidRPr="00981405">
        <w:t xml:space="preserve"> </w:t>
      </w:r>
      <w:r w:rsidRPr="00981405">
        <w:t>other</w:t>
      </w:r>
      <w:r w:rsidR="00190923" w:rsidRPr="00981405">
        <w:t xml:space="preserve"> </w:t>
      </w:r>
      <w:r w:rsidRPr="00981405">
        <w:t>parts,</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always</w:t>
      </w:r>
      <w:r w:rsidR="00190923" w:rsidRPr="00981405">
        <w:t xml:space="preserve"> </w:t>
      </w:r>
      <w:r w:rsidRPr="00981405">
        <w:t>clear</w:t>
      </w:r>
      <w:r w:rsidR="00190923" w:rsidRPr="00981405">
        <w:t xml:space="preserve"> </w:t>
      </w:r>
      <w:r w:rsidRPr="00981405">
        <w:t>how</w:t>
      </w:r>
      <w:r w:rsidR="00190923" w:rsidRPr="00981405">
        <w:t xml:space="preserve"> </w:t>
      </w:r>
      <w:r w:rsidRPr="00981405">
        <w:t>the</w:t>
      </w:r>
      <w:r w:rsidR="00190923" w:rsidRPr="00981405">
        <w:t xml:space="preserve"> </w:t>
      </w:r>
      <w:r w:rsidRPr="00981405">
        <w:t>materials</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were</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formulations</w:t>
      </w:r>
      <w:r w:rsidR="00190923" w:rsidRPr="00981405">
        <w:t xml:space="preserve"> </w:t>
      </w:r>
      <w:r w:rsidRPr="00981405">
        <w:t>made.</w:t>
      </w:r>
    </w:p>
    <w:p w:rsidR="00397032" w:rsidRPr="00981405" w:rsidRDefault="00397032" w:rsidP="00D97463">
      <w:pPr>
        <w:pStyle w:val="SingleTxt"/>
      </w:pPr>
      <w:r w:rsidRPr="00981405">
        <w:t>201.</w:t>
      </w:r>
      <w:r w:rsidRPr="00981405">
        <w:tab/>
        <w:t>It</w:t>
      </w:r>
      <w:r w:rsidR="00190923" w:rsidRPr="00981405">
        <w:t xml:space="preserve"> </w:t>
      </w:r>
      <w:r w:rsidRPr="00981405">
        <w:t>was</w:t>
      </w:r>
      <w:r w:rsidR="00190923" w:rsidRPr="00981405">
        <w:t xml:space="preserve"> </w:t>
      </w:r>
      <w:r w:rsidRPr="00981405">
        <w:t>also</w:t>
      </w:r>
      <w:r w:rsidR="00190923" w:rsidRPr="00981405">
        <w:t xml:space="preserve"> </w:t>
      </w:r>
      <w:r w:rsidRPr="00981405">
        <w:t>noted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heavy</w:t>
      </w:r>
      <w:r w:rsidR="00190923" w:rsidRPr="00981405">
        <w:t xml:space="preserve"> </w:t>
      </w:r>
      <w:r w:rsidRPr="00981405">
        <w:t>reliance</w:t>
      </w:r>
      <w:r w:rsidR="00190923" w:rsidRPr="00981405">
        <w:t xml:space="preserve"> </w:t>
      </w:r>
      <w:r w:rsidRPr="00981405">
        <w:t>on</w:t>
      </w:r>
      <w:r w:rsidR="00190923" w:rsidRPr="00981405">
        <w:t xml:space="preserve"> </w:t>
      </w:r>
      <w:r w:rsidRPr="00981405">
        <w:t>cases</w:t>
      </w:r>
      <w:r w:rsidR="00190923" w:rsidRPr="00981405">
        <w:t xml:space="preserve"> </w:t>
      </w:r>
      <w:r w:rsidRPr="00981405">
        <w:t>from</w:t>
      </w:r>
      <w:r w:rsidR="00190923" w:rsidRPr="00981405">
        <w:t xml:space="preserve"> </w:t>
      </w:r>
      <w:r w:rsidRPr="00981405">
        <w:t>particular</w:t>
      </w:r>
      <w:r w:rsidR="00190923" w:rsidRPr="00981405">
        <w:t xml:space="preserve"> </w:t>
      </w:r>
      <w:r w:rsidRPr="00981405">
        <w:t>jurisdictions</w:t>
      </w:r>
      <w:r w:rsidR="00190923" w:rsidRPr="00981405">
        <w:t xml:space="preserve"> </w:t>
      </w:r>
      <w:r w:rsidRPr="00981405">
        <w:t>or</w:t>
      </w:r>
      <w:r w:rsidR="00190923" w:rsidRPr="00981405">
        <w:t xml:space="preserve"> </w:t>
      </w:r>
      <w:r w:rsidRPr="00981405">
        <w:t>regions,</w:t>
      </w:r>
      <w:r w:rsidR="00190923" w:rsidRPr="00981405">
        <w:t xml:space="preserve"> </w:t>
      </w:r>
      <w:r w:rsidRPr="00981405">
        <w:t>or</w:t>
      </w:r>
      <w:r w:rsidR="00190923" w:rsidRPr="00981405">
        <w:t xml:space="preserve"> </w:t>
      </w:r>
      <w:r w:rsidRPr="00981405">
        <w:t>on</w:t>
      </w:r>
      <w:r w:rsidR="00190923" w:rsidRPr="00981405">
        <w:t xml:space="preserve"> </w:t>
      </w:r>
      <w:r w:rsidRPr="00981405">
        <w:t>cases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civil</w:t>
      </w:r>
      <w:r w:rsidR="00190923" w:rsidRPr="00981405">
        <w:t xml:space="preserve"> </w:t>
      </w:r>
      <w:r w:rsidRPr="00981405">
        <w:t>jurisdiction,</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w:t>
      </w:r>
      <w:r w:rsidR="00190923" w:rsidRPr="00981405">
        <w:t xml:space="preserve"> </w:t>
      </w:r>
      <w:r w:rsidRPr="00981405">
        <w:t>topic</w:t>
      </w:r>
      <w:r w:rsidR="00190923" w:rsidRPr="00981405">
        <w:t xml:space="preserve"> </w:t>
      </w:r>
      <w:r w:rsidRPr="00981405">
        <w:t>concerned</w:t>
      </w:r>
      <w:r w:rsidR="00190923" w:rsidRPr="00981405">
        <w:t xml:space="preserve"> </w:t>
      </w:r>
      <w:r w:rsidRPr="00981405">
        <w:t>immunity</w:t>
      </w:r>
      <w:r w:rsidR="00190923" w:rsidRPr="00981405">
        <w:t xml:space="preserve"> </w:t>
      </w:r>
      <w:r w:rsidRPr="00981405">
        <w:t>from</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to</w:t>
      </w:r>
      <w:r w:rsidR="00190923" w:rsidRPr="00981405">
        <w:t xml:space="preserve"> </w:t>
      </w:r>
      <w:r w:rsidRPr="00981405">
        <w:t>survey</w:t>
      </w:r>
      <w:r w:rsidR="00190923" w:rsidRPr="00981405">
        <w:t xml:space="preserve"> </w:t>
      </w:r>
      <w:r w:rsidRPr="00981405">
        <w:t>even</w:t>
      </w:r>
      <w:r w:rsidR="00190923" w:rsidRPr="00981405">
        <w:t xml:space="preserve"> </w:t>
      </w:r>
      <w:r w:rsidRPr="00981405">
        <w:t>more</w:t>
      </w:r>
      <w:r w:rsidR="00190923" w:rsidRPr="00981405">
        <w:t xml:space="preserve"> </w:t>
      </w:r>
      <w:r w:rsidRPr="00981405">
        <w:t>widely,</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case-law</w:t>
      </w:r>
      <w:r w:rsidR="00190923" w:rsidRPr="00981405">
        <w:t xml:space="preserve"> </w:t>
      </w:r>
      <w:r w:rsidRPr="00981405">
        <w:t>of</w:t>
      </w:r>
      <w:r w:rsidR="00190923" w:rsidRPr="00981405">
        <w:t xml:space="preserve"> </w:t>
      </w:r>
      <w:r w:rsidRPr="00981405">
        <w:t>all</w:t>
      </w:r>
      <w:r w:rsidR="00190923" w:rsidRPr="00981405">
        <w:t xml:space="preserve"> </w:t>
      </w:r>
      <w:r w:rsidRPr="00981405">
        <w:t>legal</w:t>
      </w:r>
      <w:r w:rsidR="00190923" w:rsidRPr="00981405">
        <w:t xml:space="preserve"> </w:t>
      </w:r>
      <w:r w:rsidRPr="00981405">
        <w:t>traditions</w:t>
      </w:r>
      <w:r w:rsidR="00190923" w:rsidRPr="00981405">
        <w:t xml:space="preserve"> </w:t>
      </w:r>
      <w:r w:rsidRPr="00981405">
        <w:t>and</w:t>
      </w:r>
      <w:r w:rsidR="00190923" w:rsidRPr="00981405">
        <w:t xml:space="preserve"> </w:t>
      </w:r>
      <w:r w:rsidRPr="00981405">
        <w:t>the</w:t>
      </w:r>
      <w:r w:rsidR="00190923" w:rsidRPr="00981405">
        <w:t xml:space="preserve"> </w:t>
      </w:r>
      <w:r w:rsidRPr="00981405">
        <w:t>various</w:t>
      </w:r>
      <w:r w:rsidR="00190923" w:rsidRPr="00981405">
        <w:t xml:space="preserve"> </w:t>
      </w:r>
      <w:r w:rsidRPr="00981405">
        <w:t>regions.</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need</w:t>
      </w:r>
      <w:r w:rsidR="00190923" w:rsidRPr="00981405">
        <w:t xml:space="preserve"> </w:t>
      </w:r>
      <w:r w:rsidRPr="00981405">
        <w:t>to</w:t>
      </w:r>
      <w:r w:rsidR="00190923" w:rsidRPr="00981405">
        <w:t xml:space="preserve"> </w:t>
      </w:r>
      <w:r w:rsidRPr="00981405">
        <w:t>be</w:t>
      </w:r>
      <w:r w:rsidR="00190923" w:rsidRPr="00981405">
        <w:t xml:space="preserve"> </w:t>
      </w:r>
      <w:r w:rsidRPr="00981405">
        <w:t>careful</w:t>
      </w:r>
      <w:r w:rsidR="00190923" w:rsidRPr="00981405">
        <w:t xml:space="preserve"> </w:t>
      </w:r>
      <w:r w:rsidRPr="00981405">
        <w:t>about</w:t>
      </w:r>
      <w:r w:rsidR="00190923" w:rsidRPr="00981405">
        <w:t xml:space="preserve"> </w:t>
      </w:r>
      <w:r w:rsidRPr="00981405">
        <w:t>the</w:t>
      </w:r>
      <w:r w:rsidR="00190923" w:rsidRPr="00981405">
        <w:t xml:space="preserve"> </w:t>
      </w:r>
      <w:r w:rsidRPr="00981405">
        <w:t>reliance</w:t>
      </w:r>
      <w:r w:rsidR="00190923" w:rsidRPr="00981405">
        <w:t xml:space="preserve"> </w:t>
      </w:r>
      <w:r w:rsidRPr="00981405">
        <w:t>on</w:t>
      </w:r>
      <w:r w:rsidR="00190923" w:rsidRPr="00981405">
        <w:t xml:space="preserve"> </w:t>
      </w:r>
      <w:r w:rsidRPr="00981405">
        <w:t>such</w:t>
      </w:r>
      <w:r w:rsidR="00190923" w:rsidRPr="00981405">
        <w:t xml:space="preserve"> </w:t>
      </w:r>
      <w:r w:rsidRPr="00981405">
        <w:t>case-law;</w:t>
      </w:r>
      <w:r w:rsidR="00190923" w:rsidRPr="00981405">
        <w:t xml:space="preserve"> </w:t>
      </w:r>
      <w:r w:rsidRPr="00981405">
        <w:t>while</w:t>
      </w:r>
      <w:r w:rsidR="00190923" w:rsidRPr="00981405">
        <w:t xml:space="preserve"> </w:t>
      </w:r>
      <w:r w:rsidRPr="00981405">
        <w:t>it</w:t>
      </w:r>
      <w:r w:rsidR="00190923" w:rsidRPr="00981405">
        <w:t xml:space="preserve"> </w:t>
      </w:r>
      <w:r w:rsidRPr="00981405">
        <w:t>was</w:t>
      </w:r>
      <w:r w:rsidR="00190923" w:rsidRPr="00981405">
        <w:t xml:space="preserve"> </w:t>
      </w:r>
      <w:r w:rsidRPr="00981405">
        <w:t>conceivable</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no</w:t>
      </w:r>
      <w:r w:rsidR="00190923" w:rsidRPr="00981405">
        <w:t xml:space="preserve"> </w:t>
      </w:r>
      <w:r w:rsidRPr="00981405">
        <w:t>material</w:t>
      </w:r>
      <w:r w:rsidR="00190923" w:rsidRPr="00981405">
        <w:t xml:space="preserve"> </w:t>
      </w:r>
      <w:r w:rsidRPr="00981405">
        <w:t>difference</w:t>
      </w:r>
      <w:r w:rsidR="00190923" w:rsidRPr="00981405">
        <w:t xml:space="preserve"> </w:t>
      </w:r>
      <w:r w:rsidRPr="00981405">
        <w:t>between</w:t>
      </w:r>
      <w:r w:rsidR="00190923" w:rsidRPr="00981405">
        <w:t xml:space="preserve"> </w:t>
      </w:r>
      <w:r w:rsidRPr="00981405">
        <w:t>civil</w:t>
      </w:r>
      <w:r w:rsidR="00190923" w:rsidRPr="00981405">
        <w:t xml:space="preserve"> </w:t>
      </w:r>
      <w:r w:rsidRPr="00981405">
        <w:t>or</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when</w:t>
      </w:r>
      <w:r w:rsidR="00190923" w:rsidRPr="00981405">
        <w:t xml:space="preserve"> </w:t>
      </w:r>
      <w:r w:rsidRPr="00981405">
        <w:t>exercised</w:t>
      </w:r>
      <w:r w:rsidR="00190923" w:rsidRPr="00981405">
        <w:t xml:space="preserve"> </w:t>
      </w:r>
      <w:r w:rsidRPr="00981405">
        <w:t>in</w:t>
      </w:r>
      <w:r w:rsidR="00190923" w:rsidRPr="00981405">
        <w:t xml:space="preserve"> </w:t>
      </w:r>
      <w:r w:rsidRPr="00981405">
        <w:t>determining</w:t>
      </w:r>
      <w:r w:rsidR="00190923" w:rsidRPr="00981405">
        <w:t xml:space="preserve"> </w:t>
      </w:r>
      <w:r w:rsidRPr="00981405">
        <w:t>what</w:t>
      </w:r>
      <w:r w:rsidR="00190923" w:rsidRPr="00981405">
        <w:t xml:space="preserve"> </w:t>
      </w:r>
      <w:r w:rsidRPr="00981405">
        <w:t>constituted</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in</w:t>
      </w:r>
      <w:r w:rsidR="00190923" w:rsidRPr="00981405">
        <w:t xml:space="preserve"> </w:t>
      </w:r>
      <w:r w:rsidRPr="00981405">
        <w:t>some</w:t>
      </w:r>
      <w:r w:rsidR="00190923" w:rsidRPr="00981405">
        <w:t xml:space="preserve"> </w:t>
      </w:r>
      <w:r w:rsidRPr="00981405">
        <w:t>situations</w:t>
      </w:r>
      <w:r w:rsidR="00190923" w:rsidRPr="00981405">
        <w:t xml:space="preserve"> </w:t>
      </w:r>
      <w:r w:rsidRPr="00981405">
        <w:t>it</w:t>
      </w:r>
      <w:r w:rsidR="00190923" w:rsidRPr="00981405">
        <w:t xml:space="preserve"> </w:t>
      </w:r>
      <w:r w:rsidRPr="00981405">
        <w:t>might</w:t>
      </w:r>
      <w:r w:rsidR="00190923" w:rsidRPr="00981405">
        <w:t xml:space="preserve"> </w:t>
      </w:r>
      <w:r w:rsidRPr="00981405">
        <w:t>be</w:t>
      </w:r>
      <w:r w:rsidR="00190923" w:rsidRPr="00981405">
        <w:t xml:space="preserve"> </w:t>
      </w:r>
      <w:r w:rsidRPr="00981405">
        <w:t>critical</w:t>
      </w:r>
      <w:r w:rsidR="00190923" w:rsidRPr="00981405">
        <w:t xml:space="preserve"> </w:t>
      </w:r>
      <w:r w:rsidRPr="00981405">
        <w:t>to</w:t>
      </w:r>
      <w:r w:rsidR="00190923" w:rsidRPr="00981405">
        <w:t xml:space="preserve"> </w:t>
      </w:r>
      <w:r w:rsidRPr="00981405">
        <w:t>analyse</w:t>
      </w:r>
      <w:r w:rsidR="00190923" w:rsidRPr="00981405">
        <w:t xml:space="preserve"> </w:t>
      </w:r>
      <w:r w:rsidRPr="00981405">
        <w:t>the</w:t>
      </w:r>
      <w:r w:rsidR="00190923" w:rsidRPr="00981405">
        <w:t xml:space="preserve"> </w:t>
      </w:r>
      <w:r w:rsidRPr="00981405">
        <w:t>context</w:t>
      </w:r>
      <w:r w:rsidR="00190923" w:rsidRPr="00981405">
        <w:t xml:space="preserve"> </w:t>
      </w:r>
      <w:r w:rsidRPr="00981405">
        <w:t>in</w:t>
      </w:r>
      <w:r w:rsidR="00190923" w:rsidRPr="00981405">
        <w:t xml:space="preserve"> </w:t>
      </w:r>
      <w:r w:rsidRPr="00981405">
        <w:t>which</w:t>
      </w:r>
      <w:r w:rsidR="00190923" w:rsidRPr="00981405">
        <w:t xml:space="preserve"> </w:t>
      </w:r>
      <w:r w:rsidRPr="00981405">
        <w:t>immunity</w:t>
      </w:r>
      <w:r w:rsidR="00190923" w:rsidRPr="00981405">
        <w:t xml:space="preserve"> </w:t>
      </w:r>
      <w:r w:rsidRPr="00981405">
        <w:t>might</w:t>
      </w:r>
      <w:r w:rsidR="00190923" w:rsidRPr="00981405">
        <w:t xml:space="preserve"> </w:t>
      </w:r>
      <w:r w:rsidRPr="00981405">
        <w:t>have</w:t>
      </w:r>
      <w:r w:rsidR="00190923" w:rsidRPr="00981405">
        <w:t xml:space="preserve"> </w:t>
      </w:r>
      <w:r w:rsidRPr="00981405">
        <w:t>been</w:t>
      </w:r>
      <w:r w:rsidR="00190923" w:rsidRPr="00981405">
        <w:t xml:space="preserve"> </w:t>
      </w:r>
      <w:r w:rsidRPr="00981405">
        <w:t>granted</w:t>
      </w:r>
      <w:r w:rsidR="00190923" w:rsidRPr="00981405">
        <w:t xml:space="preserve"> </w:t>
      </w:r>
      <w:r w:rsidRPr="00981405">
        <w:t>or</w:t>
      </w:r>
      <w:r w:rsidR="00190923" w:rsidRPr="00981405">
        <w:t xml:space="preserve"> </w:t>
      </w:r>
      <w:r w:rsidRPr="00981405">
        <w:t>denied;</w:t>
      </w:r>
      <w:r w:rsidR="00190923" w:rsidRPr="00981405">
        <w:t xml:space="preserve"> </w:t>
      </w:r>
      <w:r w:rsidRPr="00981405">
        <w:t>immunity</w:t>
      </w:r>
      <w:r w:rsidR="00190923" w:rsidRPr="00981405">
        <w:t xml:space="preserve"> </w:t>
      </w:r>
      <w:r w:rsidRPr="00981405">
        <w:t>might</w:t>
      </w:r>
      <w:r w:rsidR="00190923" w:rsidRPr="00981405">
        <w:t xml:space="preserve"> </w:t>
      </w:r>
      <w:r w:rsidRPr="00981405">
        <w:t>differ</w:t>
      </w:r>
      <w:r w:rsidR="00190923" w:rsidRPr="00981405">
        <w:t xml:space="preserve"> </w:t>
      </w:r>
      <w:r w:rsidRPr="00981405">
        <w:t>depending</w:t>
      </w:r>
      <w:r w:rsidR="00190923" w:rsidRPr="00981405">
        <w:t xml:space="preserve"> </w:t>
      </w:r>
      <w:r w:rsidRPr="00981405">
        <w:t>on</w:t>
      </w:r>
      <w:r w:rsidR="00190923" w:rsidRPr="00981405">
        <w:t xml:space="preserve"> </w:t>
      </w:r>
      <w:r w:rsidRPr="00981405">
        <w:t>whether</w:t>
      </w:r>
      <w:r w:rsidR="00190923" w:rsidRPr="00981405">
        <w:t xml:space="preserve"> </w:t>
      </w:r>
      <w:r w:rsidRPr="00981405">
        <w:t>the</w:t>
      </w:r>
      <w:r w:rsidR="00190923" w:rsidRPr="00981405">
        <w:t xml:space="preserve"> </w:t>
      </w:r>
      <w:r w:rsidRPr="00981405">
        <w:t>case</w:t>
      </w:r>
      <w:r w:rsidR="00190923" w:rsidRPr="00981405">
        <w:t xml:space="preserve"> </w:t>
      </w:r>
      <w:r w:rsidRPr="00981405">
        <w:t>was</w:t>
      </w:r>
      <w:r w:rsidR="00190923" w:rsidRPr="00981405">
        <w:t xml:space="preserve"> </w:t>
      </w:r>
      <w:r w:rsidRPr="00981405">
        <w:t>against</w:t>
      </w:r>
      <w:r w:rsidR="00190923" w:rsidRPr="00981405">
        <w:t xml:space="preserve"> </w:t>
      </w:r>
      <w:r w:rsidRPr="00981405">
        <w:t>a</w:t>
      </w:r>
      <w:r w:rsidR="00190923" w:rsidRPr="00981405">
        <w:t xml:space="preserve"> </w:t>
      </w:r>
      <w:r w:rsidRPr="00981405">
        <w:t>foreign</w:t>
      </w:r>
      <w:r w:rsidR="00190923" w:rsidRPr="00981405">
        <w:t xml:space="preserve"> </w:t>
      </w:r>
      <w:r w:rsidRPr="00981405">
        <w:t>sovereign</w:t>
      </w:r>
      <w:r w:rsidR="00190923" w:rsidRPr="00981405">
        <w:t xml:space="preserve"> </w:t>
      </w:r>
      <w:r w:rsidRPr="00981405">
        <w:t>or</w:t>
      </w:r>
      <w:r w:rsidR="00190923" w:rsidRPr="00981405">
        <w:t xml:space="preserve"> </w:t>
      </w:r>
      <w:r w:rsidRPr="00981405">
        <w:t>against</w:t>
      </w:r>
      <w:r w:rsidR="00190923" w:rsidRPr="00981405">
        <w:t xml:space="preserve"> </w:t>
      </w:r>
      <w:r w:rsidRPr="00981405">
        <w:t>an</w:t>
      </w:r>
      <w:r w:rsidR="00190923" w:rsidRPr="00981405">
        <w:t xml:space="preserve"> </w:t>
      </w:r>
      <w:r w:rsidRPr="00981405">
        <w:t>individual</w:t>
      </w:r>
      <w:r w:rsidR="00190923" w:rsidRPr="00981405">
        <w:t xml:space="preserve"> </w:t>
      </w:r>
      <w:r w:rsidRPr="00981405">
        <w:t>in</w:t>
      </w:r>
      <w:r w:rsidR="00190923" w:rsidRPr="00981405">
        <w:t xml:space="preserve"> </w:t>
      </w:r>
      <w:r w:rsidRPr="00981405">
        <w:t>a</w:t>
      </w:r>
      <w:r w:rsidR="00190923" w:rsidRPr="00981405">
        <w:t xml:space="preserve"> </w:t>
      </w:r>
      <w:r w:rsidRPr="00981405">
        <w:t>civil</w:t>
      </w:r>
      <w:r w:rsidR="00190923" w:rsidRPr="00981405">
        <w:t xml:space="preserve"> </w:t>
      </w:r>
      <w:r w:rsidRPr="00981405">
        <w:t>context</w:t>
      </w:r>
      <w:r w:rsidR="00190923" w:rsidRPr="00981405">
        <w:t xml:space="preserve"> </w:t>
      </w:r>
      <w:r w:rsidRPr="00981405">
        <w:t>or</w:t>
      </w:r>
      <w:r w:rsidR="00190923" w:rsidRPr="00981405">
        <w:t xml:space="preserve"> </w:t>
      </w:r>
      <w:r w:rsidRPr="00981405">
        <w:t>a</w:t>
      </w:r>
      <w:r w:rsidR="00190923" w:rsidRPr="00981405">
        <w:t xml:space="preserve"> </w:t>
      </w:r>
      <w:r w:rsidRPr="00981405">
        <w:t>criminal</w:t>
      </w:r>
      <w:r w:rsidR="00190923" w:rsidRPr="00981405">
        <w:t xml:space="preserve"> </w:t>
      </w:r>
      <w:r w:rsidRPr="00981405">
        <w:t>context.</w:t>
      </w:r>
    </w:p>
    <w:p w:rsidR="00397032" w:rsidRPr="00981405" w:rsidRDefault="00397032" w:rsidP="00D97463">
      <w:pPr>
        <w:pStyle w:val="SingleTxt"/>
      </w:pPr>
      <w:r w:rsidRPr="00981405">
        <w:t>202.</w:t>
      </w:r>
      <w:r w:rsidRPr="00981405">
        <w:tab/>
        <w:t>Some</w:t>
      </w:r>
      <w:r w:rsidR="00190923" w:rsidRPr="00981405">
        <w:t xml:space="preserve"> </w:t>
      </w:r>
      <w:r w:rsidRPr="00981405">
        <w:t>members</w:t>
      </w:r>
      <w:r w:rsidR="00190923" w:rsidRPr="00981405">
        <w:t xml:space="preserve"> </w:t>
      </w:r>
      <w:r w:rsidRPr="00981405">
        <w:t>also</w:t>
      </w:r>
      <w:r w:rsidR="00190923" w:rsidRPr="00981405">
        <w:t xml:space="preserve"> </w:t>
      </w:r>
      <w:r w:rsidRPr="00981405">
        <w:t>questioned</w:t>
      </w:r>
      <w:r w:rsidR="00190923" w:rsidRPr="00981405">
        <w:t xml:space="preserve"> </w:t>
      </w:r>
      <w:r w:rsidRPr="00981405">
        <w:t>the</w:t>
      </w:r>
      <w:r w:rsidR="00190923" w:rsidRPr="00981405">
        <w:t xml:space="preserve"> </w:t>
      </w:r>
      <w:r w:rsidRPr="00981405">
        <w:t>assertion</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about</w:t>
      </w:r>
      <w:r w:rsidR="00190923" w:rsidRPr="00981405">
        <w:t xml:space="preserve"> </w:t>
      </w:r>
      <w:r w:rsidRPr="00981405">
        <w:t>the</w:t>
      </w:r>
      <w:r w:rsidR="00190923" w:rsidRPr="00981405">
        <w:t xml:space="preserve"> </w:t>
      </w:r>
      <w:r w:rsidRPr="00981405">
        <w:t>irrelevance</w:t>
      </w:r>
      <w:r w:rsidR="00190923" w:rsidRPr="00981405">
        <w:t xml:space="preserve"> </w:t>
      </w:r>
      <w:r w:rsidRPr="00981405">
        <w:t>of</w:t>
      </w:r>
      <w:r w:rsidR="00190923" w:rsidRPr="00981405">
        <w:t xml:space="preserve"> </w:t>
      </w:r>
      <w:r w:rsidRPr="00981405">
        <w:t>national</w:t>
      </w:r>
      <w:r w:rsidR="00190923" w:rsidRPr="00981405">
        <w:t xml:space="preserve"> </w:t>
      </w:r>
      <w:r w:rsidRPr="00981405">
        <w:t>law</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determining</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considering</w:t>
      </w:r>
      <w:r w:rsidR="00190923" w:rsidRPr="00981405">
        <w:t xml:space="preserve"> </w:t>
      </w:r>
      <w:r w:rsidRPr="00981405">
        <w:t>that</w:t>
      </w:r>
      <w:r w:rsidR="00190923" w:rsidRPr="00981405">
        <w:t xml:space="preserve"> </w:t>
      </w:r>
      <w:r w:rsidRPr="00981405">
        <w:t>such</w:t>
      </w:r>
      <w:r w:rsidR="00190923" w:rsidRPr="00981405">
        <w:t xml:space="preserve"> </w:t>
      </w:r>
      <w:r w:rsidRPr="00981405">
        <w:t>law</w:t>
      </w:r>
      <w:r w:rsidR="00190923" w:rsidRPr="00981405">
        <w:t xml:space="preserve"> </w:t>
      </w:r>
      <w:r w:rsidRPr="00981405">
        <w:t>constituted</w:t>
      </w:r>
      <w:r w:rsidR="00190923" w:rsidRPr="00981405">
        <w:t xml:space="preserve"> </w:t>
      </w:r>
      <w:r w:rsidRPr="00981405">
        <w:t>practice</w:t>
      </w:r>
      <w:r w:rsidR="00190923" w:rsidRPr="00981405">
        <w:t xml:space="preserve"> </w:t>
      </w:r>
      <w:r w:rsidRPr="00981405">
        <w:t>in</w:t>
      </w:r>
      <w:r w:rsidR="00190923" w:rsidRPr="00981405">
        <w:t xml:space="preserve"> </w:t>
      </w:r>
      <w:r w:rsidRPr="00981405">
        <w:t>determining</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indeed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had,</w:t>
      </w:r>
      <w:r w:rsidR="00190923" w:rsidRPr="00981405">
        <w:t xml:space="preserve"> </w:t>
      </w:r>
      <w:r w:rsidRPr="00981405">
        <w:t>in</w:t>
      </w:r>
      <w:r w:rsidR="00190923" w:rsidRPr="00981405">
        <w:t xml:space="preserve"> </w:t>
      </w:r>
      <w:r w:rsidRPr="00981405">
        <w:t>her</w:t>
      </w:r>
      <w:r w:rsidR="00190923" w:rsidRPr="00981405">
        <w:t xml:space="preserve"> </w:t>
      </w:r>
      <w:r w:rsidRPr="00981405">
        <w:t>analysis,</w:t>
      </w:r>
      <w:r w:rsidR="00190923" w:rsidRPr="00981405">
        <w:t xml:space="preserve"> </w:t>
      </w:r>
      <w:r w:rsidRPr="00981405">
        <w:t>relied</w:t>
      </w:r>
      <w:r w:rsidR="00190923" w:rsidRPr="00981405">
        <w:t xml:space="preserve"> </w:t>
      </w:r>
      <w:r w:rsidRPr="00981405">
        <w:t>upon</w:t>
      </w:r>
      <w:r w:rsidR="00190923" w:rsidRPr="00981405">
        <w:t xml:space="preserve"> </w:t>
      </w:r>
      <w:r w:rsidRPr="00981405">
        <w:t>case-law</w:t>
      </w:r>
      <w:r w:rsidR="00190923" w:rsidRPr="00981405">
        <w:t xml:space="preserve"> </w:t>
      </w:r>
      <w:r w:rsidRPr="00981405">
        <w:t>interpreting</w:t>
      </w:r>
      <w:r w:rsidR="00190923" w:rsidRPr="00981405">
        <w:t xml:space="preserve"> </w:t>
      </w:r>
      <w:r w:rsidRPr="00981405">
        <w:t>and</w:t>
      </w:r>
      <w:r w:rsidR="00190923" w:rsidRPr="00981405">
        <w:t xml:space="preserve"> </w:t>
      </w:r>
      <w:r w:rsidRPr="00981405">
        <w:t>applying</w:t>
      </w:r>
      <w:r w:rsidR="00190923" w:rsidRPr="00981405">
        <w:t xml:space="preserve"> </w:t>
      </w:r>
      <w:r w:rsidRPr="00981405">
        <w:t>such</w:t>
      </w:r>
      <w:r w:rsidR="00190923" w:rsidRPr="00981405">
        <w:t xml:space="preserve"> </w:t>
      </w:r>
      <w:r w:rsidRPr="00981405">
        <w:t>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noted</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need</w:t>
      </w:r>
      <w:r w:rsidR="00190923" w:rsidRPr="00981405">
        <w:t xml:space="preserve"> </w:t>
      </w:r>
      <w:r w:rsidRPr="00981405">
        <w:t>to</w:t>
      </w:r>
      <w:r w:rsidR="00190923" w:rsidRPr="00981405">
        <w:t xml:space="preserve"> </w:t>
      </w:r>
      <w:r w:rsidRPr="00981405">
        <w:t>place</w:t>
      </w:r>
      <w:r w:rsidR="00190923" w:rsidRPr="00981405">
        <w:t xml:space="preserve"> </w:t>
      </w:r>
      <w:r w:rsidRPr="00981405">
        <w:t>more</w:t>
      </w:r>
      <w:r w:rsidR="00190923" w:rsidRPr="00981405">
        <w:t xml:space="preserve"> </w:t>
      </w:r>
      <w:r w:rsidRPr="00981405">
        <w:t>stress</w:t>
      </w:r>
      <w:r w:rsidR="00190923" w:rsidRPr="00981405">
        <w:t xml:space="preserve"> </w:t>
      </w:r>
      <w:r w:rsidRPr="00981405">
        <w:t>on</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national</w:t>
      </w:r>
      <w:r w:rsidR="00190923" w:rsidRPr="00981405">
        <w:t xml:space="preserve"> </w:t>
      </w:r>
      <w:r w:rsidRPr="00981405">
        <w:t>legislative</w:t>
      </w:r>
      <w:r w:rsidR="00190923" w:rsidRPr="00981405">
        <w:t xml:space="preserve"> </w:t>
      </w:r>
      <w:r w:rsidRPr="00981405">
        <w:t>and</w:t>
      </w:r>
      <w:r w:rsidR="00190923" w:rsidRPr="00981405">
        <w:t xml:space="preserve"> </w:t>
      </w:r>
      <w:r w:rsidRPr="00981405">
        <w:t>executive</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to</w:t>
      </w:r>
      <w:r w:rsidR="00190923" w:rsidRPr="00981405">
        <w:t xml:space="preserve"> </w:t>
      </w:r>
      <w:r w:rsidRPr="00981405">
        <w:t>give</w:t>
      </w:r>
      <w:r w:rsidR="00190923" w:rsidRPr="00981405">
        <w:t xml:space="preserve"> </w:t>
      </w:r>
      <w:r w:rsidRPr="00981405">
        <w:t>more</w:t>
      </w:r>
      <w:r w:rsidR="00190923" w:rsidRPr="00981405">
        <w:t xml:space="preserve"> </w:t>
      </w:r>
      <w:r w:rsidRPr="00981405">
        <w:t>importance</w:t>
      </w:r>
      <w:r w:rsidR="00190923" w:rsidRPr="00981405">
        <w:t xml:space="preserve"> </w:t>
      </w:r>
      <w:r w:rsidRPr="00981405">
        <w:t>to</w:t>
      </w:r>
      <w:r w:rsidR="00190923" w:rsidRPr="00981405">
        <w:t xml:space="preserve"> </w:t>
      </w:r>
      <w:r w:rsidRPr="00981405">
        <w:t>the</w:t>
      </w:r>
      <w:r w:rsidR="00190923" w:rsidRPr="00981405">
        <w:t xml:space="preserve"> </w:t>
      </w:r>
      <w:r w:rsidRPr="00981405">
        <w:t>analysis</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including</w:t>
      </w:r>
      <w:r w:rsidR="00190923" w:rsidRPr="00981405">
        <w:t xml:space="preserve"> </w:t>
      </w:r>
      <w:r w:rsidRPr="00981405">
        <w:t>the</w:t>
      </w:r>
      <w:r w:rsidR="00190923" w:rsidRPr="00981405">
        <w:t xml:space="preserve"> </w:t>
      </w:r>
      <w:r w:rsidRPr="00981405">
        <w:t>full</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judgments</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D97463">
        <w:rPr>
          <w:i/>
          <w:iCs/>
        </w:rPr>
        <w:t>Arrest</w:t>
      </w:r>
      <w:r w:rsidR="00190923" w:rsidRPr="00981405">
        <w:rPr>
          <w:i/>
          <w:iCs/>
        </w:rPr>
        <w:t xml:space="preserve"> </w:t>
      </w:r>
      <w:r w:rsidRPr="00D97463">
        <w:rPr>
          <w:i/>
          <w:iCs/>
        </w:rPr>
        <w:t>Warrant</w:t>
      </w:r>
      <w:r w:rsidR="00190923" w:rsidRPr="00981405">
        <w:t xml:space="preserve"> </w:t>
      </w:r>
      <w:r w:rsidRPr="00981405">
        <w:t>case</w:t>
      </w:r>
      <w:r w:rsidRPr="00981405">
        <w:rPr>
          <w:rStyle w:val="FootnoteReference"/>
        </w:rPr>
        <w:footnoteReference w:id="391"/>
      </w:r>
      <w:r w:rsidR="00190923" w:rsidRPr="00981405">
        <w:t xml:space="preserve"> </w:t>
      </w:r>
      <w:r w:rsidRPr="00981405">
        <w:t>and</w:t>
      </w:r>
      <w:r w:rsidR="00190923" w:rsidRPr="00981405">
        <w:t xml:space="preserve"> </w:t>
      </w:r>
      <w:r w:rsidRPr="00D97463">
        <w:rPr>
          <w:i/>
          <w:iCs/>
        </w:rPr>
        <w:t>Certain</w:t>
      </w:r>
      <w:r w:rsidR="00190923" w:rsidRPr="00981405">
        <w:rPr>
          <w:i/>
          <w:iCs/>
        </w:rPr>
        <w:t xml:space="preserve"> </w:t>
      </w:r>
      <w:r w:rsidRPr="00D97463">
        <w:rPr>
          <w:i/>
          <w:iCs/>
        </w:rPr>
        <w:t>questions</w:t>
      </w:r>
      <w:r w:rsidR="00190923" w:rsidRPr="00981405">
        <w:rPr>
          <w:i/>
          <w:iCs/>
        </w:rPr>
        <w:t xml:space="preserve"> </w:t>
      </w:r>
      <w:r w:rsidRPr="00D97463">
        <w:rPr>
          <w:i/>
          <w:iCs/>
        </w:rPr>
        <w:t>of</w:t>
      </w:r>
      <w:r w:rsidR="00190923" w:rsidRPr="00981405">
        <w:rPr>
          <w:i/>
          <w:iCs/>
        </w:rPr>
        <w:t xml:space="preserve"> </w:t>
      </w:r>
      <w:r w:rsidRPr="00D97463">
        <w:rPr>
          <w:i/>
          <w:iCs/>
        </w:rPr>
        <w:t>Mutual</w:t>
      </w:r>
      <w:r w:rsidR="00190923" w:rsidRPr="00981405">
        <w:rPr>
          <w:i/>
          <w:iCs/>
        </w:rPr>
        <w:t xml:space="preserve"> </w:t>
      </w:r>
      <w:r w:rsidRPr="00D97463">
        <w:rPr>
          <w:i/>
          <w:iCs/>
        </w:rPr>
        <w:t>Assistance</w:t>
      </w:r>
      <w:r w:rsidR="00190923" w:rsidRPr="00981405">
        <w:rPr>
          <w:i/>
          <w:iCs/>
        </w:rPr>
        <w:t xml:space="preserve"> </w:t>
      </w:r>
      <w:r w:rsidRPr="00D97463">
        <w:rPr>
          <w:i/>
          <w:iCs/>
        </w:rPr>
        <w:t>in</w:t>
      </w:r>
      <w:r w:rsidR="00190923" w:rsidRPr="00981405">
        <w:rPr>
          <w:i/>
          <w:iCs/>
        </w:rPr>
        <w:t xml:space="preserve"> </w:t>
      </w:r>
      <w:r w:rsidRPr="00D97463">
        <w:rPr>
          <w:i/>
          <w:iCs/>
        </w:rPr>
        <w:t>Criminal</w:t>
      </w:r>
      <w:r w:rsidR="00190923" w:rsidRPr="00981405">
        <w:rPr>
          <w:i/>
          <w:iCs/>
        </w:rPr>
        <w:t xml:space="preserve"> </w:t>
      </w:r>
      <w:r w:rsidRPr="00D97463">
        <w:rPr>
          <w:i/>
          <w:iCs/>
        </w:rPr>
        <w:lastRenderedPageBreak/>
        <w:t>Matters</w:t>
      </w:r>
      <w:r w:rsidRPr="00981405">
        <w:rPr>
          <w:rStyle w:val="FootnoteReference"/>
        </w:rPr>
        <w:footnoteReference w:id="392"/>
      </w:r>
      <w:r w:rsidR="00190923" w:rsidRPr="00981405">
        <w:t xml:space="preserve"> </w:t>
      </w:r>
      <w:r w:rsidRPr="00981405">
        <w:t>rendered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which</w:t>
      </w:r>
      <w:r w:rsidR="00190923" w:rsidRPr="00981405">
        <w:t xml:space="preserve"> </w:t>
      </w:r>
      <w:r w:rsidRPr="00981405">
        <w:t>it</w:t>
      </w:r>
      <w:r w:rsidR="00190923" w:rsidRPr="00981405">
        <w:t xml:space="preserve"> </w:t>
      </w:r>
      <w:r w:rsidRPr="00981405">
        <w:t>was</w:t>
      </w:r>
      <w:r w:rsidR="00190923" w:rsidRPr="00981405">
        <w:t xml:space="preserve"> </w:t>
      </w:r>
      <w:r w:rsidRPr="00981405">
        <w:t>contended</w:t>
      </w:r>
      <w:r w:rsidR="00190923" w:rsidRPr="00981405">
        <w:t xml:space="preserve"> </w:t>
      </w:r>
      <w:r w:rsidRPr="00981405">
        <w:t>had</w:t>
      </w:r>
      <w:r w:rsidR="00190923" w:rsidRPr="00981405">
        <w:t xml:space="preserve"> </w:t>
      </w:r>
      <w:r w:rsidRPr="00981405">
        <w:t>dealt</w:t>
      </w:r>
      <w:r w:rsidR="00190923" w:rsidRPr="00981405">
        <w:t xml:space="preserve"> </w:t>
      </w:r>
      <w:r w:rsidRPr="00981405">
        <w:t>with</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issues</w:t>
      </w:r>
      <w:r w:rsidR="00190923" w:rsidRPr="00981405">
        <w:t xml:space="preserve"> </w:t>
      </w:r>
      <w:r w:rsidRPr="00981405">
        <w:t>with</w:t>
      </w:r>
      <w:r w:rsidR="00190923" w:rsidRPr="00981405">
        <w:t xml:space="preserve"> </w:t>
      </w:r>
      <w:r w:rsidRPr="00981405">
        <w:t>a</w:t>
      </w:r>
      <w:r w:rsidR="00190923" w:rsidRPr="00981405">
        <w:t xml:space="preserve"> </w:t>
      </w:r>
      <w:r w:rsidRPr="00981405">
        <w:t>certain</w:t>
      </w:r>
      <w:r w:rsidR="00190923" w:rsidRPr="00981405">
        <w:t xml:space="preserve"> </w:t>
      </w:r>
      <w:r w:rsidRPr="00981405">
        <w:t>degree</w:t>
      </w:r>
      <w:r w:rsidR="00190923" w:rsidRPr="00981405">
        <w:t xml:space="preserve"> </w:t>
      </w:r>
      <w:r w:rsidRPr="00981405">
        <w:t>of</w:t>
      </w:r>
      <w:r w:rsidR="00190923" w:rsidRPr="00981405">
        <w:t xml:space="preserve"> </w:t>
      </w:r>
      <w:r w:rsidRPr="00981405">
        <w:t>consistency.</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4" w:name="_Toc427938142"/>
      <w:r w:rsidRPr="00D97463">
        <w:t>(c)</w:t>
      </w:r>
      <w:r w:rsidRPr="00D97463">
        <w:tab/>
        <w:t>Draft</w:t>
      </w:r>
      <w:r w:rsidR="00190923" w:rsidRPr="00D97463">
        <w:t xml:space="preserve"> </w:t>
      </w:r>
      <w:r w:rsidRPr="00D97463">
        <w:t>article</w:t>
      </w:r>
      <w:r w:rsidR="00190923" w:rsidRPr="00D97463">
        <w:t xml:space="preserve"> </w:t>
      </w:r>
      <w:r w:rsidRPr="00D97463">
        <w:t>2</w:t>
      </w:r>
      <w:r w:rsidR="00190923" w:rsidRPr="00D97463">
        <w:t xml:space="preserve"> </w:t>
      </w:r>
      <w:r w:rsidRPr="00D97463">
        <w:t>(f):</w:t>
      </w:r>
      <w:r w:rsidR="00190923" w:rsidRPr="00D97463">
        <w:t xml:space="preserve"> </w:t>
      </w:r>
      <w:r w:rsidRPr="00D97463">
        <w:t>Definition</w:t>
      </w:r>
      <w:r w:rsidR="00190923" w:rsidRPr="00D97463">
        <w:t xml:space="preserve"> </w:t>
      </w:r>
      <w:r w:rsidRPr="00D97463">
        <w:t>of</w:t>
      </w:r>
      <w:r w:rsidR="00190923" w:rsidRPr="00D97463">
        <w:t xml:space="preserve"> </w:t>
      </w:r>
      <w:r w:rsidRPr="00D97463">
        <w:t>an</w:t>
      </w:r>
      <w:r w:rsidR="00190923" w:rsidRPr="00D97463">
        <w:t xml:space="preserve"> </w:t>
      </w:r>
      <w:r w:rsidR="00B92E2C" w:rsidRPr="00D97463">
        <w:t>“</w:t>
      </w:r>
      <w:r w:rsidRPr="00D97463">
        <w:t>act</w:t>
      </w:r>
      <w:r w:rsidR="00190923" w:rsidRPr="00D97463">
        <w:t xml:space="preserve"> </w:t>
      </w:r>
      <w:r w:rsidRPr="00D97463">
        <w:t>performed</w:t>
      </w:r>
      <w:r w:rsidR="00190923" w:rsidRPr="00D97463">
        <w:t xml:space="preserve"> </w:t>
      </w:r>
      <w:r w:rsidRPr="00D97463">
        <w:t>in</w:t>
      </w:r>
      <w:r w:rsidR="00190923" w:rsidRPr="00D97463">
        <w:t xml:space="preserve"> </w:t>
      </w:r>
      <w:r w:rsidRPr="00D97463">
        <w:t>an</w:t>
      </w:r>
      <w:r w:rsidR="00190923" w:rsidRPr="00D97463">
        <w:t xml:space="preserve"> </w:t>
      </w:r>
      <w:r w:rsidRPr="00D97463">
        <w:t>official</w:t>
      </w:r>
      <w:r w:rsidR="00190923" w:rsidRPr="00D97463">
        <w:t xml:space="preserve"> </w:t>
      </w:r>
      <w:r w:rsidRPr="00D97463">
        <w:t>capacity</w:t>
      </w:r>
      <w:bookmarkEnd w:id="154"/>
      <w:r w:rsidR="00B92E2C" w:rsidRPr="00D97463">
        <w:t>”</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203.</w:t>
      </w:r>
      <w:r w:rsidRPr="00981405">
        <w:tab/>
        <w:t>While</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(f)</w:t>
      </w:r>
      <w:r w:rsidR="00190923" w:rsidRPr="00981405">
        <w:t xml:space="preserve"> </w:t>
      </w:r>
      <w:r w:rsidRPr="00981405">
        <w:t>is</w:t>
      </w:r>
      <w:r w:rsidR="00190923" w:rsidRPr="00981405">
        <w:t xml:space="preserve"> </w:t>
      </w:r>
      <w:r w:rsidRPr="00981405">
        <w:t>definitional</w:t>
      </w:r>
      <w:r w:rsidR="00190923" w:rsidRPr="00981405">
        <w:t xml:space="preserve"> </w:t>
      </w:r>
      <w:r w:rsidRPr="00981405">
        <w:t>in</w:t>
      </w:r>
      <w:r w:rsidR="00190923" w:rsidRPr="00981405">
        <w:t xml:space="preserve"> </w:t>
      </w:r>
      <w:r w:rsidRPr="00981405">
        <w:t>nature</w:t>
      </w:r>
      <w:r w:rsidR="00190923" w:rsidRPr="00981405">
        <w:t xml:space="preserve"> </w:t>
      </w:r>
      <w:r w:rsidRPr="00981405">
        <w:t>and</w:t>
      </w:r>
      <w:r w:rsidR="00190923" w:rsidRPr="00981405">
        <w:t xml:space="preserve"> </w:t>
      </w:r>
      <w:r w:rsidRPr="00981405">
        <w:t>is</w:t>
      </w:r>
      <w:r w:rsidR="00190923" w:rsidRPr="00981405">
        <w:t xml:space="preserve"> </w:t>
      </w:r>
      <w:r w:rsidRPr="00981405">
        <w:t>briefly</w:t>
      </w:r>
      <w:r w:rsidR="00190923" w:rsidRPr="00981405">
        <w:t xml:space="preserve"> </w:t>
      </w:r>
      <w:r w:rsidRPr="00981405">
        <w:t>formulated,</w:t>
      </w:r>
      <w:r w:rsidR="00190923" w:rsidRPr="00981405">
        <w:t xml:space="preserve"> </w:t>
      </w:r>
      <w:r w:rsidRPr="00981405">
        <w:t>comments</w:t>
      </w:r>
      <w:r w:rsidR="00190923" w:rsidRPr="00981405">
        <w:t xml:space="preserve"> </w:t>
      </w:r>
      <w:r w:rsidRPr="00981405">
        <w:t>were</w:t>
      </w:r>
      <w:r w:rsidR="00190923" w:rsidRPr="00981405">
        <w:t xml:space="preserve"> </w:t>
      </w:r>
      <w:r w:rsidRPr="00981405">
        <w:t>made</w:t>
      </w:r>
      <w:r w:rsidR="00190923" w:rsidRPr="00981405">
        <w:t xml:space="preserve"> </w:t>
      </w:r>
      <w:r w:rsidRPr="00981405">
        <w:t>on</w:t>
      </w:r>
      <w:r w:rsidR="00190923" w:rsidRPr="00981405">
        <w:t xml:space="preserve"> </w:t>
      </w:r>
      <w:r w:rsidRPr="00981405">
        <w:t>it</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extensive</w:t>
      </w:r>
      <w:r w:rsidR="00190923" w:rsidRPr="00981405">
        <w:t xml:space="preserve"> </w:t>
      </w:r>
      <w:r w:rsidRPr="00981405">
        <w:t>analysis</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had</w:t>
      </w:r>
      <w:r w:rsidR="00190923" w:rsidRPr="00981405">
        <w:t xml:space="preserve"> </w:t>
      </w:r>
      <w:r w:rsidRPr="00981405">
        <w:t>offered</w:t>
      </w:r>
      <w:r w:rsidR="00190923" w:rsidRPr="00981405">
        <w:t xml:space="preserve"> </w:t>
      </w:r>
      <w:r w:rsidRPr="00981405">
        <w:t>in</w:t>
      </w:r>
      <w:r w:rsidR="00190923" w:rsidRPr="00981405">
        <w:t xml:space="preserve"> </w:t>
      </w:r>
      <w:r w:rsidRPr="00981405">
        <w:t>her</w:t>
      </w:r>
      <w:r w:rsidR="00190923" w:rsidRPr="00981405">
        <w:t xml:space="preserve"> </w:t>
      </w:r>
      <w:r w:rsidRPr="00981405">
        <w:t>report</w:t>
      </w:r>
      <w:r w:rsidR="00190923" w:rsidRPr="00981405">
        <w:t xml:space="preserve"> </w:t>
      </w:r>
      <w:r w:rsidRPr="00981405">
        <w:t>to</w:t>
      </w:r>
      <w:r w:rsidR="00190923" w:rsidRPr="00981405">
        <w:t xml:space="preserve"> </w:t>
      </w:r>
      <w:r w:rsidRPr="00981405">
        <w:t>base</w:t>
      </w:r>
      <w:r w:rsidR="00190923" w:rsidRPr="00981405">
        <w:t xml:space="preserve"> </w:t>
      </w:r>
      <w:r w:rsidRPr="00981405">
        <w:t>its</w:t>
      </w:r>
      <w:r w:rsidR="00190923" w:rsidRPr="00981405">
        <w:t xml:space="preserve"> </w:t>
      </w:r>
      <w:r w:rsidRPr="00981405">
        <w:t>formulation.</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5" w:name="_Toc427938143"/>
      <w:r w:rsidRPr="00D97463">
        <w:t>(i)</w:t>
      </w:r>
      <w:r w:rsidRPr="00D97463">
        <w:tab/>
      </w:r>
      <w:r w:rsidR="00B92E2C" w:rsidRPr="00D97463">
        <w:t>“</w:t>
      </w:r>
      <w:r w:rsidRPr="00D97463">
        <w:t>Act</w:t>
      </w:r>
      <w:r w:rsidR="00190923" w:rsidRPr="00D97463">
        <w:t xml:space="preserve"> </w:t>
      </w:r>
      <w:r w:rsidRPr="00D97463">
        <w:t>performed</w:t>
      </w:r>
      <w:r w:rsidR="00190923" w:rsidRPr="00D97463">
        <w:t xml:space="preserve"> </w:t>
      </w:r>
      <w:r w:rsidRPr="00D97463">
        <w:t>in</w:t>
      </w:r>
      <w:r w:rsidR="00190923" w:rsidRPr="00D97463">
        <w:t xml:space="preserve"> </w:t>
      </w:r>
      <w:r w:rsidRPr="00D97463">
        <w:t>an</w:t>
      </w:r>
      <w:r w:rsidR="00190923" w:rsidRPr="00D97463">
        <w:t xml:space="preserve"> </w:t>
      </w:r>
      <w:r w:rsidRPr="00D97463">
        <w:t>official</w:t>
      </w:r>
      <w:r w:rsidR="00190923" w:rsidRPr="00D97463">
        <w:t xml:space="preserve"> </w:t>
      </w:r>
      <w:r w:rsidRPr="00D97463">
        <w:t>capacity</w:t>
      </w:r>
      <w:r w:rsidR="00B92E2C" w:rsidRPr="00D97463">
        <w:t>”</w:t>
      </w:r>
      <w:r w:rsidR="00190923" w:rsidRPr="00D97463">
        <w:t xml:space="preserve"> </w:t>
      </w:r>
      <w:r w:rsidRPr="00D97463">
        <w:t>versus</w:t>
      </w:r>
      <w:r w:rsidR="00190923" w:rsidRPr="00D97463">
        <w:t xml:space="preserve"> </w:t>
      </w:r>
      <w:r w:rsidR="00B92E2C" w:rsidRPr="00D97463">
        <w:t>“</w:t>
      </w:r>
      <w:r w:rsidRPr="00D97463">
        <w:t>act</w:t>
      </w:r>
      <w:r w:rsidR="00190923" w:rsidRPr="00D97463">
        <w:t xml:space="preserve"> </w:t>
      </w:r>
      <w:r w:rsidRPr="00D97463">
        <w:t>performed</w:t>
      </w:r>
      <w:r w:rsidR="00190923" w:rsidRPr="00D97463">
        <w:t xml:space="preserve"> </w:t>
      </w:r>
      <w:r w:rsidRPr="00D97463">
        <w:t>in</w:t>
      </w:r>
      <w:r w:rsidR="00190923" w:rsidRPr="00D97463">
        <w:t xml:space="preserve"> </w:t>
      </w:r>
      <w:r w:rsidRPr="00D97463">
        <w:t>a</w:t>
      </w:r>
      <w:r w:rsidR="00190923" w:rsidRPr="00D97463">
        <w:t xml:space="preserve"> </w:t>
      </w:r>
      <w:r w:rsidRPr="00D97463">
        <w:t>private</w:t>
      </w:r>
      <w:r w:rsidR="00190923" w:rsidRPr="00D97463">
        <w:t xml:space="preserve"> </w:t>
      </w:r>
      <w:r w:rsidRPr="00D97463">
        <w:t>capacity</w:t>
      </w:r>
      <w:bookmarkEnd w:id="155"/>
      <w:r w:rsidR="00B92E2C" w:rsidRPr="00D97463">
        <w:t>”</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204.</w:t>
      </w:r>
      <w:r w:rsidRPr="00981405">
        <w:tab/>
        <w:t>It</w:t>
      </w:r>
      <w:r w:rsidR="00190923" w:rsidRPr="00981405">
        <w:t xml:space="preserve"> </w:t>
      </w:r>
      <w:r w:rsidRPr="00981405">
        <w:t>was</w:t>
      </w:r>
      <w:r w:rsidR="00190923" w:rsidRPr="00981405">
        <w:t xml:space="preserve"> </w:t>
      </w:r>
      <w:r w:rsidRPr="00981405">
        <w:t>recognised</w:t>
      </w:r>
      <w:r w:rsidR="00190923" w:rsidRPr="00981405">
        <w:t xml:space="preserve"> </w:t>
      </w:r>
      <w:r w:rsidRPr="00981405">
        <w:t>that</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of</w:t>
      </w:r>
      <w:r w:rsidR="00190923" w:rsidRPr="00981405">
        <w:t xml:space="preserve"> </w:t>
      </w:r>
      <w:r w:rsidRPr="00981405">
        <w:t>state</w:t>
      </w:r>
      <w:r w:rsidR="00190923" w:rsidRPr="00981405">
        <w:t xml:space="preserve"> </w:t>
      </w:r>
      <w:r w:rsidRPr="00981405">
        <w:t>doctrine</w:t>
      </w:r>
      <w:r w:rsidR="00B92E2C" w:rsidRPr="00981405">
        <w:t>”</w:t>
      </w:r>
      <w:r w:rsidR="00190923" w:rsidRPr="00981405">
        <w:t xml:space="preserve"> </w:t>
      </w:r>
      <w:r w:rsidRPr="00981405">
        <w:t>was</w:t>
      </w:r>
      <w:r w:rsidR="00190923" w:rsidRPr="00981405">
        <w:t xml:space="preserve"> </w:t>
      </w:r>
      <w:r w:rsidRPr="00981405">
        <w:t>an</w:t>
      </w:r>
      <w:r w:rsidR="00190923" w:rsidRPr="00981405">
        <w:t xml:space="preserve"> </w:t>
      </w:r>
      <w:r w:rsidRPr="00981405">
        <w:t>entirely</w:t>
      </w:r>
      <w:r w:rsidR="00190923" w:rsidRPr="00981405">
        <w:t xml:space="preserve"> </w:t>
      </w:r>
      <w:r w:rsidRPr="00981405">
        <w:t>different</w:t>
      </w:r>
      <w:r w:rsidR="00190923" w:rsidRPr="00981405">
        <w:t xml:space="preserve"> </w:t>
      </w:r>
      <w:r w:rsidRPr="00981405">
        <w:t>legal</w:t>
      </w:r>
      <w:r w:rsidR="00190923" w:rsidRPr="00981405">
        <w:t xml:space="preserve"> </w:t>
      </w:r>
      <w:r w:rsidRPr="00981405">
        <w:t>concept</w:t>
      </w:r>
      <w:r w:rsidR="00190923" w:rsidRPr="00981405">
        <w:t xml:space="preserve"> </w:t>
      </w:r>
      <w:r w:rsidRPr="00981405">
        <w:t>from</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In</w:t>
      </w:r>
      <w:r w:rsidR="00190923" w:rsidRPr="00981405">
        <w:t xml:space="preserve"> </w:t>
      </w:r>
      <w:r w:rsidRPr="00981405">
        <w:t>general,</w:t>
      </w:r>
      <w:r w:rsidR="00190923" w:rsidRPr="00981405">
        <w:t xml:space="preserve"> </w:t>
      </w:r>
      <w:r w:rsidRPr="00981405">
        <w:t>there</w:t>
      </w:r>
      <w:r w:rsidR="00190923" w:rsidRPr="00981405">
        <w:t xml:space="preserve"> </w:t>
      </w:r>
      <w:r w:rsidRPr="00981405">
        <w:t>was</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assertion</w:t>
      </w:r>
      <w:r w:rsidR="00190923" w:rsidRPr="00981405">
        <w:t xml:space="preserve"> </w:t>
      </w:r>
      <w:r w:rsidRPr="00981405">
        <w:t>that</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was</w:t>
      </w:r>
      <w:r w:rsidR="00190923" w:rsidRPr="00981405">
        <w:t xml:space="preserve"> </w:t>
      </w:r>
      <w:r w:rsidRPr="00981405">
        <w:t>defined</w:t>
      </w:r>
      <w:r w:rsidR="00190923" w:rsidRPr="00981405">
        <w:t xml:space="preserve"> </w:t>
      </w:r>
      <w:r w:rsidRPr="00981405">
        <w:t>and</w:t>
      </w:r>
      <w:r w:rsidR="00190923" w:rsidRPr="00981405">
        <w:t xml:space="preserve"> </w:t>
      </w:r>
      <w:r w:rsidRPr="00981405">
        <w:t>appreciated</w:t>
      </w:r>
      <w:r w:rsidR="00190923" w:rsidRPr="00981405">
        <w:t xml:space="preserve"> </w:t>
      </w:r>
      <w:r w:rsidRPr="00981405">
        <w:t>in</w:t>
      </w:r>
      <w:r w:rsidR="00190923" w:rsidRPr="00981405">
        <w:t xml:space="preserve"> </w:t>
      </w:r>
      <w:r w:rsidRPr="00981405">
        <w:t>contradistinction</w:t>
      </w:r>
      <w:r w:rsidR="00190923" w:rsidRPr="00981405">
        <w:t xml:space="preserve"> </w:t>
      </w:r>
      <w:r w:rsidRPr="00981405">
        <w:t>to</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B92E2C" w:rsidRPr="00981405">
        <w:t>”</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appreciated</w:t>
      </w:r>
      <w:r w:rsidR="00190923" w:rsidRPr="00981405">
        <w:t xml:space="preserve"> </w:t>
      </w:r>
      <w:r w:rsidRPr="00981405">
        <w:t>that</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190923" w:rsidRPr="00981405">
        <w:t xml:space="preserve"> </w:t>
      </w:r>
      <w:r w:rsidRPr="00981405">
        <w:t>was</w:t>
      </w:r>
      <w:r w:rsidR="00190923" w:rsidRPr="00981405">
        <w:t xml:space="preserve"> </w:t>
      </w:r>
      <w:r w:rsidRPr="00981405">
        <w:t>not</w:t>
      </w:r>
      <w:r w:rsidR="00190923" w:rsidRPr="00981405">
        <w:t xml:space="preserve"> </w:t>
      </w:r>
      <w:r w:rsidRPr="00981405">
        <w:t>necessary</w:t>
      </w:r>
      <w:r w:rsidR="00190923" w:rsidRPr="00981405">
        <w:t xml:space="preserve"> </w:t>
      </w:r>
      <w:r w:rsidRPr="00981405">
        <w:t>identical</w:t>
      </w:r>
      <w:r w:rsidR="00190923" w:rsidRPr="00981405">
        <w:t xml:space="preserve"> </w:t>
      </w:r>
      <w:r w:rsidRPr="00981405">
        <w:t>with</w:t>
      </w:r>
      <w:r w:rsidR="00190923" w:rsidRPr="00981405">
        <w:t xml:space="preserve"> </w:t>
      </w:r>
      <w:r w:rsidR="00B247C2" w:rsidRPr="00981405">
        <w:rPr>
          <w:i/>
          <w:iCs/>
        </w:rPr>
        <w:t>acta</w:t>
      </w:r>
      <w:r w:rsidR="00190923" w:rsidRPr="00981405">
        <w:rPr>
          <w:i/>
          <w:iCs/>
        </w:rPr>
        <w:t xml:space="preserve"> </w:t>
      </w:r>
      <w:r w:rsidR="00B247C2" w:rsidRPr="00981405">
        <w:rPr>
          <w:i/>
          <w:iCs/>
        </w:rPr>
        <w:t>jure</w:t>
      </w:r>
      <w:r w:rsidR="00190923" w:rsidRPr="00981405">
        <w:rPr>
          <w:i/>
          <w:iCs/>
        </w:rPr>
        <w:t xml:space="preserve"> </w:t>
      </w:r>
      <w:r w:rsidR="00B247C2" w:rsidRPr="00981405">
        <w:rPr>
          <w:i/>
          <w:iCs/>
        </w:rPr>
        <w:t>gestionis</w:t>
      </w:r>
      <w:r w:rsidRPr="00981405">
        <w:t>,</w:t>
      </w:r>
      <w:r w:rsidR="00190923" w:rsidRPr="00981405">
        <w:t xml:space="preserve"> </w:t>
      </w:r>
      <w:r w:rsidRPr="00981405">
        <w:t>nor</w:t>
      </w:r>
      <w:r w:rsidR="00190923" w:rsidRPr="00981405">
        <w:t xml:space="preserve"> </w:t>
      </w:r>
      <w:r w:rsidRPr="00981405">
        <w:t>was</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coterminous</w:t>
      </w:r>
      <w:r w:rsidR="00190923" w:rsidRPr="00981405">
        <w:t xml:space="preserve"> </w:t>
      </w:r>
      <w:r w:rsidRPr="00981405">
        <w:t>with</w:t>
      </w:r>
      <w:r w:rsidR="00190923" w:rsidRPr="00981405">
        <w:t xml:space="preserve"> </w:t>
      </w:r>
      <w:r w:rsidR="00B247C2" w:rsidRPr="00981405">
        <w:rPr>
          <w:i/>
          <w:iCs/>
        </w:rPr>
        <w:t>acta</w:t>
      </w:r>
      <w:r w:rsidR="00190923" w:rsidRPr="00981405">
        <w:rPr>
          <w:i/>
          <w:iCs/>
        </w:rPr>
        <w:t xml:space="preserve"> </w:t>
      </w:r>
      <w:r w:rsidR="00B247C2" w:rsidRPr="00981405">
        <w:rPr>
          <w:i/>
          <w:iCs/>
        </w:rPr>
        <w:t>jure</w:t>
      </w:r>
      <w:r w:rsidR="00190923" w:rsidRPr="00981405">
        <w:rPr>
          <w:i/>
          <w:iCs/>
        </w:rPr>
        <w:t xml:space="preserve"> </w:t>
      </w:r>
      <w:r w:rsidR="00B247C2" w:rsidRPr="00981405">
        <w:rPr>
          <w:i/>
          <w:iCs/>
        </w:rPr>
        <w:t>imperii</w:t>
      </w:r>
      <w:r w:rsidRPr="00981405">
        <w:t>.</w:t>
      </w:r>
      <w:r w:rsidR="00190923" w:rsidRPr="00981405">
        <w:t xml:space="preserve"> </w:t>
      </w:r>
      <w:r w:rsidRPr="00981405">
        <w:t>Moreover,</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and</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B92E2C" w:rsidRPr="00981405">
        <w:t>”</w:t>
      </w:r>
      <w:r w:rsidR="00190923" w:rsidRPr="00981405">
        <w:t xml:space="preserve"> </w:t>
      </w:r>
      <w:r w:rsidRPr="00981405">
        <w:t>had</w:t>
      </w:r>
      <w:r w:rsidR="00190923" w:rsidRPr="00981405">
        <w:t xml:space="preserve"> </w:t>
      </w:r>
      <w:r w:rsidRPr="00981405">
        <w:t>no</w:t>
      </w:r>
      <w:r w:rsidR="00190923" w:rsidRPr="00981405">
        <w:t xml:space="preserve"> </w:t>
      </w:r>
      <w:r w:rsidRPr="00981405">
        <w:t>relation</w:t>
      </w:r>
      <w:r w:rsidR="00190923" w:rsidRPr="00981405">
        <w:t xml:space="preserve"> </w:t>
      </w:r>
      <w:r w:rsidRPr="00981405">
        <w:t>whatsoever</w:t>
      </w:r>
      <w:r w:rsidR="00190923" w:rsidRPr="00981405">
        <w:t xml:space="preserve"> </w:t>
      </w:r>
      <w:r w:rsidRPr="00981405">
        <w:t>to</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lawful</w:t>
      </w:r>
      <w:r w:rsidR="00190923" w:rsidRPr="00981405">
        <w:t xml:space="preserve"> </w:t>
      </w:r>
      <w:r w:rsidRPr="00981405">
        <w:t>and</w:t>
      </w:r>
      <w:r w:rsidR="00190923" w:rsidRPr="00981405">
        <w:t xml:space="preserve"> </w:t>
      </w:r>
      <w:r w:rsidRPr="00981405">
        <w:t>unlawful</w:t>
      </w:r>
      <w:r w:rsidR="00190923" w:rsidRPr="00981405">
        <w:t xml:space="preserve"> </w:t>
      </w:r>
      <w:r w:rsidRPr="00981405">
        <w:t>acts.</w:t>
      </w:r>
      <w:r w:rsidR="00190923" w:rsidRPr="00981405">
        <w:t xml:space="preserve"> </w:t>
      </w:r>
      <w:r w:rsidRPr="00981405">
        <w:t>The</w:t>
      </w:r>
      <w:r w:rsidR="00190923" w:rsidRPr="00981405">
        <w:t xml:space="preserve"> </w:t>
      </w:r>
      <w:r w:rsidRPr="00981405">
        <w:t>point</w:t>
      </w:r>
      <w:r w:rsidR="00190923" w:rsidRPr="00981405">
        <w:t xml:space="preserve"> </w:t>
      </w:r>
      <w:r w:rsidRPr="00981405">
        <w:t>was</w:t>
      </w:r>
      <w:r w:rsidR="00190923" w:rsidRPr="00981405">
        <w:t xml:space="preserve"> </w:t>
      </w:r>
      <w:r w:rsidRPr="00981405">
        <w:t>however</w:t>
      </w:r>
      <w:r w:rsidR="00190923" w:rsidRPr="00981405">
        <w:t xml:space="preserve"> </w:t>
      </w:r>
      <w:r w:rsidRPr="00981405">
        <w:t>made</w:t>
      </w:r>
      <w:r w:rsidR="00190923" w:rsidRPr="00981405">
        <w:t xml:space="preserve"> </w:t>
      </w:r>
      <w:r w:rsidRPr="00981405">
        <w:t>that</w:t>
      </w:r>
      <w:r w:rsidR="00190923" w:rsidRPr="00981405">
        <w:t xml:space="preserve"> </w:t>
      </w:r>
      <w:r w:rsidRPr="00981405">
        <w:t>these</w:t>
      </w:r>
      <w:r w:rsidR="00190923" w:rsidRPr="00981405">
        <w:t xml:space="preserve"> </w:t>
      </w:r>
      <w:r w:rsidRPr="00981405">
        <w:t>concepts</w:t>
      </w:r>
      <w:r w:rsidR="00190923" w:rsidRPr="00981405">
        <w:t xml:space="preserve"> </w:t>
      </w:r>
      <w:r w:rsidRPr="00981405">
        <w:t>of</w:t>
      </w:r>
      <w:r w:rsidR="00190923" w:rsidRPr="00981405">
        <w:t xml:space="preserve"> </w:t>
      </w:r>
      <w:r w:rsidRPr="00981405">
        <w:t>contrast</w:t>
      </w:r>
      <w:r w:rsidR="00190923" w:rsidRPr="00981405">
        <w:t xml:space="preserve"> </w:t>
      </w:r>
      <w:r w:rsidRPr="00981405">
        <w:t>still</w:t>
      </w:r>
      <w:r w:rsidR="00190923" w:rsidRPr="00981405">
        <w:t xml:space="preserve"> </w:t>
      </w:r>
      <w:r w:rsidRPr="00981405">
        <w:t>provided</w:t>
      </w:r>
      <w:r w:rsidR="00190923" w:rsidRPr="00981405">
        <w:t xml:space="preserve"> </w:t>
      </w:r>
      <w:r w:rsidRPr="00981405">
        <w:t>some</w:t>
      </w:r>
      <w:r w:rsidR="00190923" w:rsidRPr="00981405">
        <w:t xml:space="preserve"> </w:t>
      </w:r>
      <w:r w:rsidRPr="00981405">
        <w:t>useful</w:t>
      </w:r>
      <w:r w:rsidR="00190923" w:rsidRPr="00981405">
        <w:t xml:space="preserve"> </w:t>
      </w:r>
      <w:r w:rsidRPr="00981405">
        <w:t>elements</w:t>
      </w:r>
      <w:r w:rsidR="00190923" w:rsidRPr="00981405">
        <w:t xml:space="preserve"> </w:t>
      </w:r>
      <w:r w:rsidRPr="00981405">
        <w:t>that</w:t>
      </w:r>
      <w:r w:rsidR="00190923" w:rsidRPr="00981405">
        <w:t xml:space="preserve"> </w:t>
      </w:r>
      <w:r w:rsidRPr="00981405">
        <w:t>could</w:t>
      </w:r>
      <w:r w:rsidR="00190923" w:rsidRPr="00981405">
        <w:t xml:space="preserve"> </w:t>
      </w:r>
      <w:r w:rsidRPr="00981405">
        <w:t>be</w:t>
      </w:r>
      <w:r w:rsidR="00190923" w:rsidRPr="00981405">
        <w:t xml:space="preserve"> </w:t>
      </w:r>
      <w:r w:rsidRPr="00981405">
        <w:t>helpful</w:t>
      </w:r>
      <w:r w:rsidR="00190923" w:rsidRPr="00981405">
        <w:t xml:space="preserve"> </w:t>
      </w:r>
      <w:r w:rsidRPr="00981405">
        <w:t>in</w:t>
      </w:r>
      <w:r w:rsidR="00190923" w:rsidRPr="00981405">
        <w:t xml:space="preserve"> </w:t>
      </w:r>
      <w:r w:rsidRPr="00981405">
        <w:t>understanding</w:t>
      </w:r>
      <w:r w:rsidR="00190923" w:rsidRPr="00981405">
        <w:t xml:space="preserve"> </w:t>
      </w:r>
      <w:r w:rsidRPr="00981405">
        <w:t>whether</w:t>
      </w:r>
      <w:r w:rsidR="00190923" w:rsidRPr="00981405">
        <w:t xml:space="preserve"> </w:t>
      </w:r>
      <w:r w:rsidRPr="00981405">
        <w:t>an</w:t>
      </w:r>
      <w:r w:rsidR="00190923" w:rsidRPr="00981405">
        <w:t xml:space="preserve"> </w:t>
      </w:r>
      <w:r w:rsidRPr="00981405">
        <w:t>act</w:t>
      </w:r>
      <w:r w:rsidR="00190923" w:rsidRPr="00981405">
        <w:t xml:space="preserve"> </w:t>
      </w:r>
      <w:r w:rsidRPr="00981405">
        <w:t>was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or</w:t>
      </w:r>
      <w:r w:rsidR="00190923" w:rsidRPr="00981405">
        <w:t xml:space="preserve"> </w:t>
      </w:r>
      <w:r w:rsidRPr="00981405">
        <w:t>in</w:t>
      </w:r>
      <w:r w:rsidR="00190923" w:rsidRPr="00981405">
        <w:t xml:space="preserve"> </w:t>
      </w:r>
      <w:r w:rsidRPr="00981405">
        <w:t>private</w:t>
      </w:r>
      <w:r w:rsidR="00190923" w:rsidRPr="00981405">
        <w:t xml:space="preserve"> </w:t>
      </w:r>
      <w:r w:rsidRPr="00981405">
        <w:t>capacity,</w:t>
      </w:r>
      <w:r w:rsidR="00190923" w:rsidRPr="00981405">
        <w:t xml:space="preserve"> </w:t>
      </w:r>
      <w:r w:rsidRPr="00981405">
        <w:t>or</w:t>
      </w:r>
      <w:r w:rsidR="00190923" w:rsidRPr="00981405">
        <w:t xml:space="preserve"> </w:t>
      </w:r>
      <w:r w:rsidRPr="00981405">
        <w:t>indeed</w:t>
      </w:r>
      <w:r w:rsidR="00190923" w:rsidRPr="00981405">
        <w:t xml:space="preserve"> </w:t>
      </w:r>
      <w:r w:rsidRPr="00981405">
        <w:t>whether</w:t>
      </w:r>
      <w:r w:rsidR="00190923" w:rsidRPr="00981405">
        <w:t xml:space="preserve"> </w:t>
      </w:r>
      <w:r w:rsidRPr="00981405">
        <w:t>an</w:t>
      </w:r>
      <w:r w:rsidR="00190923" w:rsidRPr="00981405">
        <w:t xml:space="preserve"> </w:t>
      </w:r>
      <w:r w:rsidRPr="00981405">
        <w:t>act</w:t>
      </w:r>
      <w:r w:rsidR="00190923" w:rsidRPr="00981405">
        <w:t xml:space="preserve"> </w:t>
      </w:r>
      <w:r w:rsidRPr="00981405">
        <w:t>was</w:t>
      </w:r>
      <w:r w:rsidR="00190923" w:rsidRPr="00981405">
        <w:t xml:space="preserve"> </w:t>
      </w:r>
      <w:r w:rsidRPr="00981405">
        <w:t>lawful</w:t>
      </w:r>
      <w:r w:rsidR="00190923" w:rsidRPr="00981405">
        <w:t xml:space="preserve"> </w:t>
      </w:r>
      <w:r w:rsidRPr="00981405">
        <w:t>or</w:t>
      </w:r>
      <w:r w:rsidR="00190923" w:rsidRPr="00981405">
        <w:t xml:space="preserve"> </w:t>
      </w:r>
      <w:r w:rsidRPr="00981405">
        <w:t>unlawful.</w:t>
      </w:r>
      <w:r w:rsidR="00190923" w:rsidRPr="00981405">
        <w:t xml:space="preserve"> </w:t>
      </w:r>
      <w:r w:rsidRPr="00981405">
        <w:t>Well-crafted</w:t>
      </w:r>
      <w:r w:rsidR="00190923" w:rsidRPr="00981405">
        <w:t xml:space="preserve"> </w:t>
      </w:r>
      <w:r w:rsidRPr="00981405">
        <w:t>commentaries</w:t>
      </w:r>
      <w:r w:rsidR="00190923" w:rsidRPr="00981405">
        <w:t xml:space="preserve"> </w:t>
      </w:r>
      <w:r w:rsidRPr="00981405">
        <w:t>capturing</w:t>
      </w:r>
      <w:r w:rsidR="00190923" w:rsidRPr="00981405">
        <w:t xml:space="preserve"> </w:t>
      </w:r>
      <w:r w:rsidRPr="00981405">
        <w:t>the</w:t>
      </w:r>
      <w:r w:rsidR="00190923" w:rsidRPr="00981405">
        <w:t xml:space="preserve"> </w:t>
      </w:r>
      <w:r w:rsidRPr="00981405">
        <w:t>various</w:t>
      </w:r>
      <w:r w:rsidR="00190923" w:rsidRPr="00981405">
        <w:t xml:space="preserve"> </w:t>
      </w:r>
      <w:r w:rsidRPr="00981405">
        <w:t>nuances</w:t>
      </w:r>
      <w:r w:rsidR="00190923" w:rsidRPr="00981405">
        <w:t xml:space="preserve"> </w:t>
      </w:r>
      <w:r w:rsidRPr="00981405">
        <w:t>could</w:t>
      </w:r>
      <w:r w:rsidR="00190923" w:rsidRPr="00981405">
        <w:t xml:space="preserve"> </w:t>
      </w:r>
      <w:r w:rsidRPr="00981405">
        <w:t>facilitate</w:t>
      </w:r>
      <w:r w:rsidR="00190923" w:rsidRPr="00981405">
        <w:t xml:space="preserve"> </w:t>
      </w:r>
      <w:r w:rsidRPr="00981405">
        <w:t>a</w:t>
      </w:r>
      <w:r w:rsidR="00190923" w:rsidRPr="00981405">
        <w:t xml:space="preserve"> </w:t>
      </w:r>
      <w:r w:rsidRPr="00981405">
        <w:t>better</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p>
    <w:p w:rsidR="00397032" w:rsidRPr="00981405" w:rsidRDefault="00397032" w:rsidP="00D97463">
      <w:pPr>
        <w:pStyle w:val="SingleTxt"/>
      </w:pPr>
      <w:r w:rsidRPr="00981405">
        <w:t>205.</w:t>
      </w:r>
      <w:r w:rsidRPr="00981405">
        <w:tab/>
        <w:t>Some</w:t>
      </w:r>
      <w:r w:rsidR="00190923" w:rsidRPr="00981405">
        <w:t xml:space="preserve"> </w:t>
      </w:r>
      <w:r w:rsidRPr="00981405">
        <w:t>members</w:t>
      </w:r>
      <w:r w:rsidR="00190923" w:rsidRPr="00981405">
        <w:t xml:space="preserve"> </w:t>
      </w:r>
      <w:r w:rsidRPr="00981405">
        <w:t>were</w:t>
      </w:r>
      <w:r w:rsidR="00190923" w:rsidRPr="00981405">
        <w:t xml:space="preserve"> </w:t>
      </w:r>
      <w:r w:rsidRPr="00981405">
        <w:t>not</w:t>
      </w:r>
      <w:r w:rsidR="00190923" w:rsidRPr="00981405">
        <w:t xml:space="preserve"> </w:t>
      </w:r>
      <w:r w:rsidRPr="00981405">
        <w:t>convinced</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a</w:t>
      </w:r>
      <w:r w:rsidR="00190923" w:rsidRPr="00981405">
        <w:t xml:space="preserve"> </w:t>
      </w:r>
      <w:r w:rsidRPr="00981405">
        <w:t>need</w:t>
      </w:r>
      <w:r w:rsidR="00190923" w:rsidRPr="00981405">
        <w:t xml:space="preserve"> </w:t>
      </w:r>
      <w:r w:rsidRPr="00981405">
        <w:t>to</w:t>
      </w:r>
      <w:r w:rsidR="00190923" w:rsidRPr="00981405">
        <w:t xml:space="preserve"> </w:t>
      </w:r>
      <w:r w:rsidRPr="00981405">
        <w:t>define</w:t>
      </w:r>
      <w:r w:rsidR="00190923" w:rsidRPr="00981405">
        <w:t xml:space="preserve"> </w:t>
      </w:r>
      <w:r w:rsidRPr="00981405">
        <w:t>an</w:t>
      </w:r>
      <w:r w:rsidR="00190923" w:rsidRPr="00981405">
        <w:t xml:space="preserve"> </w:t>
      </w:r>
      <w:r w:rsidRPr="00981405">
        <w:t>official</w:t>
      </w:r>
      <w:r w:rsidR="00190923" w:rsidRPr="00981405">
        <w:t xml:space="preserve"> </w:t>
      </w:r>
      <w:r w:rsidRPr="00981405">
        <w:t>act</w:t>
      </w:r>
      <w:r w:rsidR="00190923" w:rsidRPr="00981405">
        <w:t xml:space="preserve"> </w:t>
      </w:r>
      <w:r w:rsidRPr="00981405">
        <w:t>or</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topic.</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legal</w:t>
      </w:r>
      <w:r w:rsidR="00190923" w:rsidRPr="00981405">
        <w:t xml:space="preserve"> </w:t>
      </w:r>
      <w:r w:rsidRPr="00981405">
        <w:t>concepts</w:t>
      </w:r>
      <w:r w:rsidR="00190923" w:rsidRPr="00981405">
        <w:t xml:space="preserve"> </w:t>
      </w:r>
      <w:r w:rsidRPr="00981405">
        <w:t>tend</w:t>
      </w:r>
      <w:r w:rsidR="00190923" w:rsidRPr="00981405">
        <w:t xml:space="preserve"> </w:t>
      </w:r>
      <w:r w:rsidRPr="00981405">
        <w:t>to</w:t>
      </w:r>
      <w:r w:rsidR="00190923" w:rsidRPr="00981405">
        <w:t xml:space="preserve"> </w:t>
      </w:r>
      <w:r w:rsidRPr="00981405">
        <w:t>be</w:t>
      </w:r>
      <w:r w:rsidR="00190923" w:rsidRPr="00981405">
        <w:t xml:space="preserve"> </w:t>
      </w:r>
      <w:r w:rsidRPr="00981405">
        <w:t>indeterminate</w:t>
      </w:r>
      <w:r w:rsidR="00190923" w:rsidRPr="00981405">
        <w:t xml:space="preserve"> </w:t>
      </w:r>
      <w:r w:rsidRPr="00981405">
        <w:t>and</w:t>
      </w:r>
      <w:r w:rsidR="00190923" w:rsidRPr="00981405">
        <w:t xml:space="preserve"> </w:t>
      </w:r>
      <w:r w:rsidRPr="00981405">
        <w:t>did</w:t>
      </w:r>
      <w:r w:rsidR="00190923" w:rsidRPr="00981405">
        <w:t xml:space="preserve"> </w:t>
      </w:r>
      <w:r w:rsidRPr="00981405">
        <w:t>not</w:t>
      </w:r>
      <w:r w:rsidR="00190923" w:rsidRPr="00981405">
        <w:t xml:space="preserve"> </w:t>
      </w:r>
      <w:r w:rsidRPr="00981405">
        <w:t>always</w:t>
      </w:r>
      <w:r w:rsidR="00190923" w:rsidRPr="00981405">
        <w:t xml:space="preserve"> </w:t>
      </w:r>
      <w:r w:rsidRPr="00981405">
        <w:t>lend</w:t>
      </w:r>
      <w:r w:rsidR="00190923" w:rsidRPr="00981405">
        <w:t xml:space="preserve"> </w:t>
      </w:r>
      <w:r w:rsidRPr="00981405">
        <w:t>themselves</w:t>
      </w:r>
      <w:r w:rsidR="00190923" w:rsidRPr="00981405">
        <w:t xml:space="preserve"> </w:t>
      </w:r>
      <w:r w:rsidRPr="00981405">
        <w:t>to</w:t>
      </w:r>
      <w:r w:rsidR="00190923" w:rsidRPr="00981405">
        <w:t xml:space="preserve"> </w:t>
      </w:r>
      <w:r w:rsidRPr="00981405">
        <w:t>legal</w:t>
      </w:r>
      <w:r w:rsidR="00190923" w:rsidRPr="00981405">
        <w:t xml:space="preserve"> </w:t>
      </w:r>
      <w:r w:rsidRPr="00981405">
        <w:t>definition.</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entirely</w:t>
      </w:r>
      <w:r w:rsidR="00190923" w:rsidRPr="00981405">
        <w:t xml:space="preserve"> </w:t>
      </w:r>
      <w:r w:rsidRPr="00981405">
        <w:t>clear</w:t>
      </w:r>
      <w:r w:rsidR="00190923" w:rsidRPr="00981405">
        <w:t xml:space="preserve"> </w:t>
      </w:r>
      <w:r w:rsidRPr="00981405">
        <w:t>whether</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helpful</w:t>
      </w:r>
      <w:r w:rsidR="00190923" w:rsidRPr="00981405">
        <w:t xml:space="preserve"> </w:t>
      </w:r>
      <w:r w:rsidRPr="00981405">
        <w:t>to</w:t>
      </w:r>
      <w:r w:rsidR="00190923" w:rsidRPr="00981405">
        <w:t xml:space="preserve"> </w:t>
      </w:r>
      <w:r w:rsidRPr="00981405">
        <w:t>provide</w:t>
      </w:r>
      <w:r w:rsidR="00190923" w:rsidRPr="00981405">
        <w:t xml:space="preserve"> </w:t>
      </w:r>
      <w:r w:rsidRPr="00981405">
        <w:t>a</w:t>
      </w:r>
      <w:r w:rsidR="00190923" w:rsidRPr="00981405">
        <w:t xml:space="preserve"> </w:t>
      </w:r>
      <w:r w:rsidRPr="00981405">
        <w:t>definition</w:t>
      </w:r>
      <w:r w:rsidR="00190923" w:rsidRPr="00981405">
        <w:t xml:space="preserve"> </w:t>
      </w:r>
      <w:r w:rsidRPr="00981405">
        <w:t>beyond</w:t>
      </w:r>
      <w:r w:rsidR="00190923" w:rsidRPr="00981405">
        <w:t xml:space="preserve"> </w:t>
      </w:r>
      <w:r w:rsidRPr="00981405">
        <w:t>the</w:t>
      </w:r>
      <w:r w:rsidR="00190923" w:rsidRPr="00981405">
        <w:t xml:space="preserve"> </w:t>
      </w:r>
      <w:r w:rsidRPr="00981405">
        <w:t>dichotomy</w:t>
      </w:r>
      <w:r w:rsidR="00190923" w:rsidRPr="00981405">
        <w:t xml:space="preserve"> </w:t>
      </w:r>
      <w:r w:rsidRPr="00981405">
        <w:t>between</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and</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190923" w:rsidRPr="00981405">
        <w:t xml:space="preserve"> </w:t>
      </w:r>
      <w:r w:rsidRPr="00981405">
        <w:t>Any</w:t>
      </w:r>
      <w:r w:rsidR="00190923" w:rsidRPr="00981405">
        <w:t xml:space="preserve"> </w:t>
      </w:r>
      <w:r w:rsidRPr="00981405">
        <w:t>attempt</w:t>
      </w:r>
      <w:r w:rsidR="00190923" w:rsidRPr="00981405">
        <w:t xml:space="preserve"> </w:t>
      </w:r>
      <w:r w:rsidRPr="00981405">
        <w:t>to</w:t>
      </w:r>
      <w:r w:rsidR="00190923" w:rsidRPr="00981405">
        <w:t xml:space="preserve"> </w:t>
      </w:r>
      <w:r w:rsidRPr="00981405">
        <w:t>go</w:t>
      </w:r>
      <w:r w:rsidR="00190923" w:rsidRPr="00981405">
        <w:t xml:space="preserve"> </w:t>
      </w:r>
      <w:r w:rsidRPr="00981405">
        <w:t>beyond</w:t>
      </w:r>
      <w:r w:rsidR="00190923" w:rsidRPr="00981405">
        <w:t xml:space="preserve"> </w:t>
      </w:r>
      <w:r w:rsidRPr="00981405">
        <w:t>the</w:t>
      </w:r>
      <w:r w:rsidR="00190923" w:rsidRPr="00981405">
        <w:t xml:space="preserve"> </w:t>
      </w:r>
      <w:r w:rsidRPr="00981405">
        <w:t>common</w:t>
      </w:r>
      <w:r w:rsidR="00190923" w:rsidRPr="00981405">
        <w:t xml:space="preserve"> </w:t>
      </w:r>
      <w:r w:rsidRPr="00981405">
        <w:t>places</w:t>
      </w:r>
      <w:r w:rsidR="00190923" w:rsidRPr="00981405">
        <w:t xml:space="preserve"> </w:t>
      </w:r>
      <w:r w:rsidRPr="00981405">
        <w:t>would</w:t>
      </w:r>
      <w:r w:rsidR="00190923" w:rsidRPr="00981405">
        <w:t xml:space="preserve"> </w:t>
      </w:r>
      <w:r w:rsidRPr="00981405">
        <w:t>be</w:t>
      </w:r>
      <w:r w:rsidR="00190923" w:rsidRPr="00981405">
        <w:t xml:space="preserve"> </w:t>
      </w:r>
      <w:r w:rsidRPr="00981405">
        <w:t>an</w:t>
      </w:r>
      <w:r w:rsidR="00190923" w:rsidRPr="00981405">
        <w:t xml:space="preserve"> </w:t>
      </w:r>
      <w:r w:rsidRPr="00981405">
        <w:t>impossible</w:t>
      </w:r>
      <w:r w:rsidR="00190923" w:rsidRPr="00981405">
        <w:t xml:space="preserve"> </w:t>
      </w:r>
      <w:r w:rsidRPr="00981405">
        <w:t>task.</w:t>
      </w:r>
      <w:r w:rsidR="00190923" w:rsidRPr="00981405">
        <w:t xml:space="preserve"> </w:t>
      </w:r>
      <w:r w:rsidRPr="00981405">
        <w:t>It</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and</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190923" w:rsidRPr="00981405">
        <w:t xml:space="preserve"> </w:t>
      </w:r>
      <w:r w:rsidRPr="00981405">
        <w:t>was</w:t>
      </w:r>
      <w:r w:rsidR="00190923" w:rsidRPr="00981405">
        <w:t xml:space="preserve"> </w:t>
      </w:r>
      <w:r w:rsidRPr="00981405">
        <w:t>general</w:t>
      </w:r>
      <w:r w:rsidR="00190923" w:rsidRPr="00981405">
        <w:t xml:space="preserve"> </w:t>
      </w:r>
      <w:r w:rsidRPr="00981405">
        <w:t>and</w:t>
      </w:r>
      <w:r w:rsidR="00190923" w:rsidRPr="00981405">
        <w:t xml:space="preserve"> </w:t>
      </w:r>
      <w:r w:rsidRPr="00981405">
        <w:t>sufficient</w:t>
      </w:r>
      <w:r w:rsidR="00190923" w:rsidRPr="00981405">
        <w:t xml:space="preserve"> </w:t>
      </w:r>
      <w:r w:rsidRPr="00981405">
        <w:t>to</w:t>
      </w:r>
      <w:r w:rsidR="00190923" w:rsidRPr="00981405">
        <w:t xml:space="preserve"> </w:t>
      </w:r>
      <w:r w:rsidRPr="00981405">
        <w:t>allow</w:t>
      </w:r>
      <w:r w:rsidR="00190923" w:rsidRPr="00981405">
        <w:t xml:space="preserve"> </w:t>
      </w:r>
      <w:r w:rsidRPr="00981405">
        <w:t>for</w:t>
      </w:r>
      <w:r w:rsidR="00190923" w:rsidRPr="00981405">
        <w:t xml:space="preserve"> </w:t>
      </w:r>
      <w:r w:rsidRPr="00981405">
        <w:t>a</w:t>
      </w:r>
      <w:r w:rsidR="00190923" w:rsidRPr="00981405">
        <w:t xml:space="preserve"> </w:t>
      </w:r>
      <w:r w:rsidRPr="00981405">
        <w:t>case</w:t>
      </w:r>
      <w:r w:rsidR="00190923" w:rsidRPr="00981405">
        <w:t xml:space="preserve"> </w:t>
      </w:r>
      <w:r w:rsidRPr="00981405">
        <w:t>by</w:t>
      </w:r>
      <w:r w:rsidR="00190923" w:rsidRPr="00981405">
        <w:t xml:space="preserve"> </w:t>
      </w:r>
      <w:r w:rsidRPr="00981405">
        <w:t>case</w:t>
      </w:r>
      <w:r w:rsidR="00190923" w:rsidRPr="00981405">
        <w:t xml:space="preserve"> </w:t>
      </w:r>
      <w:r w:rsidRPr="00981405">
        <w:t>determination</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of</w:t>
      </w:r>
      <w:r w:rsidR="00190923" w:rsidRPr="00981405">
        <w:t xml:space="preserve"> </w:t>
      </w:r>
      <w:r w:rsidRPr="00981405">
        <w:t>each</w:t>
      </w:r>
      <w:r w:rsidR="00190923" w:rsidRPr="00981405">
        <w:t xml:space="preserve"> </w:t>
      </w:r>
      <w:r w:rsidRPr="00981405">
        <w:t>case.</w:t>
      </w:r>
      <w:r w:rsidR="00190923" w:rsidRPr="00981405">
        <w:t xml:space="preserve"> </w:t>
      </w:r>
      <w:r w:rsidRPr="00981405">
        <w:t>This</w:t>
      </w:r>
      <w:r w:rsidR="00190923" w:rsidRPr="00981405">
        <w:t xml:space="preserve"> </w:t>
      </w:r>
      <w:r w:rsidRPr="00981405">
        <w:t>binary</w:t>
      </w:r>
      <w:r w:rsidR="00190923" w:rsidRPr="00981405">
        <w:t xml:space="preserve"> </w:t>
      </w:r>
      <w:r w:rsidRPr="00981405">
        <w:t>opposition</w:t>
      </w:r>
      <w:r w:rsidR="00190923" w:rsidRPr="00981405">
        <w:t xml:space="preserve"> </w:t>
      </w:r>
      <w:r w:rsidRPr="00981405">
        <w:t>was</w:t>
      </w:r>
      <w:r w:rsidR="00190923" w:rsidRPr="00981405">
        <w:t xml:space="preserve"> </w:t>
      </w:r>
      <w:r w:rsidRPr="00981405">
        <w:t>borne</w:t>
      </w:r>
      <w:r w:rsidR="00190923" w:rsidRPr="00981405">
        <w:t xml:space="preserve"> </w:t>
      </w:r>
      <w:r w:rsidRPr="00981405">
        <w:t>out</w:t>
      </w:r>
      <w:r w:rsidR="00190923" w:rsidRPr="00981405">
        <w:t xml:space="preserve"> </w:t>
      </w:r>
      <w:r w:rsidRPr="00981405">
        <w:t>by</w:t>
      </w:r>
      <w:r w:rsidR="00190923" w:rsidRPr="00981405">
        <w:t xml:space="preserve"> </w:t>
      </w:r>
      <w:r w:rsidRPr="00981405">
        <w:t>the</w:t>
      </w:r>
      <w:r w:rsidR="00190923" w:rsidRPr="00981405">
        <w:t xml:space="preserve"> </w:t>
      </w:r>
      <w:r w:rsidRPr="00981405">
        <w:t>practice,</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domestic</w:t>
      </w:r>
      <w:r w:rsidR="00190923" w:rsidRPr="00981405">
        <w:t xml:space="preserve"> </w:t>
      </w:r>
      <w:r w:rsidRPr="00981405">
        <w:t>case</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doubted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whether</w:t>
      </w:r>
      <w:r w:rsidR="00190923" w:rsidRPr="00981405">
        <w:t xml:space="preserve"> </w:t>
      </w:r>
      <w:r w:rsidRPr="00981405">
        <w:t>the</w:t>
      </w:r>
      <w:r w:rsidR="00190923" w:rsidRPr="00981405">
        <w:t xml:space="preserve"> </w:t>
      </w:r>
      <w:r w:rsidRPr="00981405">
        <w:t>collection</w:t>
      </w:r>
      <w:r w:rsidR="00190923" w:rsidRPr="00981405">
        <w:t xml:space="preserve"> </w:t>
      </w:r>
      <w:r w:rsidRPr="00981405">
        <w:t>of</w:t>
      </w:r>
      <w:r w:rsidR="00190923" w:rsidRPr="00981405">
        <w:t xml:space="preserve"> </w:t>
      </w:r>
      <w:r w:rsidRPr="00981405">
        <w:t>numerous</w:t>
      </w:r>
      <w:r w:rsidR="00190923" w:rsidRPr="00981405">
        <w:t xml:space="preserve"> </w:t>
      </w:r>
      <w:r w:rsidRPr="00981405">
        <w:t>references</w:t>
      </w:r>
      <w:r w:rsidR="00190923" w:rsidRPr="00981405">
        <w:t xml:space="preserve"> </w:t>
      </w:r>
      <w:r w:rsidRPr="00981405">
        <w:t>of</w:t>
      </w:r>
      <w:r w:rsidR="00190923" w:rsidRPr="00981405">
        <w:t xml:space="preserve"> </w:t>
      </w:r>
      <w:r w:rsidRPr="00981405">
        <w:t>instances</w:t>
      </w:r>
      <w:r w:rsidR="00190923" w:rsidRPr="00981405">
        <w:t xml:space="preserve"> </w:t>
      </w:r>
      <w:r w:rsidRPr="00981405">
        <w:t>where</w:t>
      </w:r>
      <w:r w:rsidR="00190923" w:rsidRPr="00981405">
        <w:t xml:space="preserve"> </w:t>
      </w:r>
      <w:r w:rsidRPr="00981405">
        <w:t>the</w:t>
      </w:r>
      <w:r w:rsidR="00190923" w:rsidRPr="00981405">
        <w:t xml:space="preserve"> </w:t>
      </w:r>
      <w:r w:rsidRPr="00981405">
        <w:t>terms</w:t>
      </w:r>
      <w:r w:rsidR="00190923" w:rsidRPr="00981405">
        <w:t xml:space="preserve"> </w:t>
      </w:r>
      <w:r w:rsidRPr="00981405">
        <w:t>like</w:t>
      </w:r>
      <w:r w:rsidR="00190923" w:rsidRPr="00981405">
        <w:t xml:space="preserve"> </w:t>
      </w:r>
      <w:r w:rsidR="00B92E2C" w:rsidRPr="00981405">
        <w:t>“</w:t>
      </w:r>
      <w:r w:rsidRPr="00981405">
        <w:t>official</w:t>
      </w:r>
      <w:r w:rsidR="00190923" w:rsidRPr="00981405">
        <w:t xml:space="preserve"> </w:t>
      </w:r>
      <w:r w:rsidRPr="00981405">
        <w:t>act</w:t>
      </w:r>
      <w:r w:rsidR="00B92E2C" w:rsidRPr="00981405">
        <w:t>”</w:t>
      </w:r>
      <w:r w:rsidR="00190923" w:rsidRPr="00981405">
        <w:t xml:space="preserve"> </w:t>
      </w:r>
      <w:r w:rsidRPr="00981405">
        <w:t>or</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were</w:t>
      </w:r>
      <w:r w:rsidR="00190923" w:rsidRPr="00981405">
        <w:t xml:space="preserve"> </w:t>
      </w:r>
      <w:r w:rsidRPr="00981405">
        <w:t>employed</w:t>
      </w:r>
      <w:r w:rsidR="00190923" w:rsidRPr="00981405">
        <w:t xml:space="preserve"> </w:t>
      </w:r>
      <w:r w:rsidRPr="00981405">
        <w:t>was</w:t>
      </w:r>
      <w:r w:rsidR="00190923" w:rsidRPr="00981405">
        <w:t xml:space="preserve"> </w:t>
      </w:r>
      <w:r w:rsidRPr="00981405">
        <w:t>useful,</w:t>
      </w:r>
      <w:r w:rsidR="00190923" w:rsidRPr="00981405">
        <w:t xml:space="preserve"> </w:t>
      </w:r>
      <w:r w:rsidRPr="00981405">
        <w:t>as</w:t>
      </w:r>
      <w:r w:rsidR="00190923" w:rsidRPr="00981405">
        <w:t xml:space="preserve"> </w:t>
      </w:r>
      <w:r w:rsidRPr="00981405">
        <w:t>such</w:t>
      </w:r>
      <w:r w:rsidR="00190923" w:rsidRPr="00981405">
        <w:t xml:space="preserve"> </w:t>
      </w:r>
      <w:r w:rsidRPr="00981405">
        <w:t>collection</w:t>
      </w:r>
      <w:r w:rsidR="00190923" w:rsidRPr="00981405">
        <w:t xml:space="preserve"> </w:t>
      </w:r>
      <w:r w:rsidRPr="00981405">
        <w:t>was</w:t>
      </w:r>
      <w:r w:rsidR="00190923" w:rsidRPr="00981405">
        <w:t xml:space="preserve"> </w:t>
      </w:r>
      <w:r w:rsidRPr="00981405">
        <w:t>bound</w:t>
      </w:r>
      <w:r w:rsidR="00190923" w:rsidRPr="00981405">
        <w:t xml:space="preserve"> </w:t>
      </w:r>
      <w:r w:rsidRPr="00981405">
        <w:t>to</w:t>
      </w:r>
      <w:r w:rsidR="00190923" w:rsidRPr="00981405">
        <w:t xml:space="preserve"> </w:t>
      </w:r>
      <w:r w:rsidRPr="00981405">
        <w:t>be</w:t>
      </w:r>
      <w:r w:rsidR="00190923" w:rsidRPr="00981405">
        <w:t xml:space="preserve"> </w:t>
      </w:r>
      <w:r w:rsidRPr="00981405">
        <w:t>under-inclusive</w:t>
      </w:r>
      <w:r w:rsidR="00190923" w:rsidRPr="00981405">
        <w:t xml:space="preserve"> </w:t>
      </w:r>
      <w:r w:rsidRPr="00981405">
        <w:t>and</w:t>
      </w:r>
      <w:r w:rsidR="00190923" w:rsidRPr="00981405">
        <w:t xml:space="preserve"> </w:t>
      </w:r>
      <w:r w:rsidRPr="00981405">
        <w:t>would</w:t>
      </w:r>
      <w:r w:rsidR="00190923" w:rsidRPr="00981405">
        <w:t xml:space="preserve"> </w:t>
      </w:r>
      <w:r w:rsidRPr="00981405">
        <w:t>require</w:t>
      </w:r>
      <w:r w:rsidR="00190923" w:rsidRPr="00981405">
        <w:t xml:space="preserve"> </w:t>
      </w:r>
      <w:r w:rsidRPr="00981405">
        <w:t>deeper</w:t>
      </w:r>
      <w:r w:rsidR="00190923" w:rsidRPr="00981405">
        <w:t xml:space="preserve"> </w:t>
      </w:r>
      <w:r w:rsidRPr="00981405">
        <w:t>analysis</w:t>
      </w:r>
      <w:r w:rsidR="00190923" w:rsidRPr="00981405">
        <w:t xml:space="preserve"> </w:t>
      </w:r>
      <w:r w:rsidRPr="00981405">
        <w:t>to</w:t>
      </w:r>
      <w:r w:rsidR="00190923" w:rsidRPr="00981405">
        <w:t xml:space="preserve"> </w:t>
      </w:r>
      <w:r w:rsidRPr="00981405">
        <w:t>understand</w:t>
      </w:r>
      <w:r w:rsidR="00190923" w:rsidRPr="00981405">
        <w:t xml:space="preserve"> </w:t>
      </w:r>
      <w:r w:rsidRPr="00981405">
        <w:t>the</w:t>
      </w:r>
      <w:r w:rsidR="00190923" w:rsidRPr="00981405">
        <w:t xml:space="preserve"> </w:t>
      </w:r>
      <w:r w:rsidRPr="00981405">
        <w:t>context.</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should</w:t>
      </w:r>
      <w:r w:rsidR="00190923" w:rsidRPr="00981405">
        <w:t xml:space="preserve"> </w:t>
      </w:r>
      <w:r w:rsidRPr="00981405">
        <w:t>have</w:t>
      </w:r>
      <w:r w:rsidR="00190923" w:rsidRPr="00981405">
        <w:t xml:space="preserve"> </w:t>
      </w:r>
      <w:r w:rsidRPr="00981405">
        <w:t>explored</w:t>
      </w:r>
      <w:r w:rsidR="00190923" w:rsidRPr="00981405">
        <w:t xml:space="preserve"> </w:t>
      </w:r>
      <w:r w:rsidRPr="00981405">
        <w:t>more</w:t>
      </w:r>
      <w:r w:rsidR="00190923" w:rsidRPr="00981405">
        <w:t xml:space="preserve"> </w:t>
      </w:r>
      <w:r w:rsidRPr="00981405">
        <w:t>fully</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how</w:t>
      </w:r>
      <w:r w:rsidR="00190923" w:rsidRPr="00981405">
        <w:t xml:space="preserve"> </w:t>
      </w:r>
      <w:r w:rsidRPr="00981405">
        <w:t>far</w:t>
      </w:r>
      <w:r w:rsidR="00190923" w:rsidRPr="00981405">
        <w:t xml:space="preserve"> </w:t>
      </w:r>
      <w:r w:rsidRPr="00981405">
        <w:t>a</w:t>
      </w:r>
      <w:r w:rsidR="00190923" w:rsidRPr="00981405">
        <w:t xml:space="preserve"> </w:t>
      </w:r>
      <w:r w:rsidRPr="00981405">
        <w:t>State</w:t>
      </w:r>
      <w:r w:rsidR="00190923" w:rsidRPr="00981405">
        <w:t xml:space="preserve"> </w:t>
      </w:r>
      <w:r w:rsidRPr="00981405">
        <w:t>may</w:t>
      </w:r>
      <w:r w:rsidR="00190923" w:rsidRPr="00981405">
        <w:t xml:space="preserve"> </w:t>
      </w:r>
      <w:r w:rsidRPr="00981405">
        <w:t>determine</w:t>
      </w:r>
      <w:r w:rsidR="00190923" w:rsidRPr="00981405">
        <w:t xml:space="preserve"> </w:t>
      </w:r>
      <w:r w:rsidRPr="00981405">
        <w:t>the</w:t>
      </w:r>
      <w:r w:rsidR="00190923" w:rsidRPr="00981405">
        <w:t xml:space="preserve"> </w:t>
      </w:r>
      <w:r w:rsidRPr="00981405">
        <w:t>range</w:t>
      </w:r>
      <w:r w:rsidR="00190923" w:rsidRPr="00981405">
        <w:t xml:space="preserve"> </w:t>
      </w:r>
      <w:r w:rsidRPr="00981405">
        <w:t>of</w:t>
      </w:r>
      <w:r w:rsidR="00190923" w:rsidRPr="00981405">
        <w:t xml:space="preserve"> </w:t>
      </w:r>
      <w:r w:rsidRPr="00981405">
        <w:t>activities</w:t>
      </w:r>
      <w:r w:rsidR="00190923" w:rsidRPr="00981405">
        <w:t xml:space="preserve"> </w:t>
      </w:r>
      <w:r w:rsidRPr="00981405">
        <w:t>which</w:t>
      </w:r>
      <w:r w:rsidR="00190923" w:rsidRPr="00981405">
        <w:t xml:space="preserve"> </w:t>
      </w:r>
      <w:r w:rsidRPr="00981405">
        <w:t>it</w:t>
      </w:r>
      <w:r w:rsidR="00190923" w:rsidRPr="00981405">
        <w:t xml:space="preserve"> </w:t>
      </w:r>
      <w:r w:rsidRPr="00981405">
        <w:t>considered</w:t>
      </w:r>
      <w:r w:rsidR="00190923" w:rsidRPr="00981405">
        <w:t xml:space="preserve"> </w:t>
      </w:r>
      <w:r w:rsidRPr="00981405">
        <w:t>as</w:t>
      </w:r>
      <w:r w:rsidR="00190923" w:rsidRPr="00981405">
        <w:t xml:space="preserve"> </w:t>
      </w:r>
      <w:r w:rsidRPr="00981405">
        <w:t>constituting</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However,</w:t>
      </w:r>
      <w:r w:rsidR="00190923" w:rsidRPr="00981405">
        <w:t xml:space="preserve"> </w:t>
      </w:r>
      <w:r w:rsidRPr="00981405">
        <w:t>other</w:t>
      </w:r>
      <w:r w:rsidR="00190923" w:rsidRPr="00981405">
        <w:t xml:space="preserve"> </w:t>
      </w:r>
      <w:r w:rsidRPr="00981405">
        <w:t>members</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t>a</w:t>
      </w:r>
      <w:r w:rsidR="00190923" w:rsidRPr="00981405">
        <w:t xml:space="preserve"> </w:t>
      </w:r>
      <w:r w:rsidRPr="00981405">
        <w:t>definition,</w:t>
      </w:r>
      <w:r w:rsidR="00190923" w:rsidRPr="00981405">
        <w:t xml:space="preserve"> </w:t>
      </w:r>
      <w:r w:rsidRPr="00981405">
        <w:t>if</w:t>
      </w:r>
      <w:r w:rsidR="00190923" w:rsidRPr="00981405">
        <w:t xml:space="preserve"> </w:t>
      </w:r>
      <w:r w:rsidRPr="00981405">
        <w:t>properly</w:t>
      </w:r>
      <w:r w:rsidR="00190923" w:rsidRPr="00981405">
        <w:t xml:space="preserve"> </w:t>
      </w:r>
      <w:r w:rsidRPr="00981405">
        <w:t>drafted,</w:t>
      </w:r>
      <w:r w:rsidR="00190923" w:rsidRPr="00981405">
        <w:t xml:space="preserve"> </w:t>
      </w:r>
      <w:r w:rsidRPr="00981405">
        <w:t>could</w:t>
      </w:r>
      <w:r w:rsidR="00190923" w:rsidRPr="00981405">
        <w:t xml:space="preserve"> </w:t>
      </w:r>
      <w:r w:rsidRPr="00981405">
        <w:t>be</w:t>
      </w:r>
      <w:r w:rsidR="00190923" w:rsidRPr="00981405">
        <w:t xml:space="preserve"> </w:t>
      </w:r>
      <w:r w:rsidRPr="00981405">
        <w:t>necessary</w:t>
      </w:r>
      <w:r w:rsidR="00190923" w:rsidRPr="00981405">
        <w:t xml:space="preserve"> </w:t>
      </w:r>
      <w:r w:rsidRPr="00981405">
        <w:t>or</w:t>
      </w:r>
      <w:r w:rsidR="00190923" w:rsidRPr="00981405">
        <w:t xml:space="preserve"> </w:t>
      </w:r>
      <w:r w:rsidRPr="00981405">
        <w:t>useful.</w:t>
      </w:r>
      <w:r w:rsidR="00190923" w:rsidRPr="00981405">
        <w:t xml:space="preserve"> </w:t>
      </w:r>
      <w:r w:rsidRPr="00981405">
        <w:t>It</w:t>
      </w:r>
      <w:r w:rsidR="00190923" w:rsidRPr="00981405">
        <w:t xml:space="preserve"> </w:t>
      </w:r>
      <w:r w:rsidRPr="00981405">
        <w:t>was</w:t>
      </w:r>
      <w:r w:rsidR="00190923" w:rsidRPr="00981405">
        <w:t xml:space="preserve"> </w:t>
      </w:r>
      <w:r w:rsidRPr="00981405">
        <w:t>further</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could</w:t>
      </w:r>
      <w:r w:rsidR="00190923" w:rsidRPr="00981405">
        <w:t xml:space="preserve"> </w:t>
      </w:r>
      <w:r w:rsidRPr="00981405">
        <w:t>cite</w:t>
      </w:r>
      <w:r w:rsidR="00190923" w:rsidRPr="00981405">
        <w:t xml:space="preserve"> </w:t>
      </w:r>
      <w:r w:rsidRPr="00981405">
        <w:t>examples</w:t>
      </w:r>
      <w:r w:rsidR="00190923" w:rsidRPr="00981405">
        <w:t xml:space="preserve"> </w:t>
      </w:r>
      <w:r w:rsidRPr="00981405">
        <w:t>of</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6" w:name="_Toc427938144"/>
      <w:r w:rsidRPr="00D97463">
        <w:t>(ii)</w:t>
      </w:r>
      <w:r w:rsidRPr="00D97463">
        <w:tab/>
        <w:t>Criminal</w:t>
      </w:r>
      <w:r w:rsidR="00190923" w:rsidRPr="00D97463">
        <w:t xml:space="preserve"> </w:t>
      </w:r>
      <w:r w:rsidRPr="00D97463">
        <w:t>nature</w:t>
      </w:r>
      <w:r w:rsidR="00190923" w:rsidRPr="00D97463">
        <w:t xml:space="preserve"> </w:t>
      </w:r>
      <w:r w:rsidRPr="00D97463">
        <w:t>of</w:t>
      </w:r>
      <w:r w:rsidR="00190923" w:rsidRPr="00D97463">
        <w:t xml:space="preserve"> </w:t>
      </w:r>
      <w:r w:rsidRPr="00D97463">
        <w:t>the</w:t>
      </w:r>
      <w:r w:rsidR="00190923" w:rsidRPr="00D97463">
        <w:t xml:space="preserve"> </w:t>
      </w:r>
      <w:r w:rsidRPr="00D97463">
        <w:t>act</w:t>
      </w:r>
      <w:bookmarkEnd w:id="156"/>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206.</w:t>
      </w:r>
      <w:r w:rsidRPr="00981405">
        <w:tab/>
        <w:t>Some</w:t>
      </w:r>
      <w:r w:rsidR="00190923" w:rsidRPr="00981405">
        <w:t xml:space="preserve"> </w:t>
      </w:r>
      <w:r w:rsidRPr="00981405">
        <w:t>members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certain</w:t>
      </w:r>
      <w:r w:rsidR="00190923" w:rsidRPr="00981405">
        <w:t xml:space="preserve"> </w:t>
      </w:r>
      <w:r w:rsidRPr="00981405">
        <w:t>treaties</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participation</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a</w:t>
      </w:r>
      <w:r w:rsidR="00190923" w:rsidRPr="00981405">
        <w:t xml:space="preserve"> </w:t>
      </w:r>
      <w:r w:rsidRPr="00981405">
        <w:t>crime,</w:t>
      </w:r>
      <w:r w:rsidR="00190923" w:rsidRPr="00981405">
        <w:t xml:space="preserve"> </w:t>
      </w:r>
      <w:r w:rsidRPr="00981405">
        <w:t>while</w:t>
      </w:r>
      <w:r w:rsidR="00190923" w:rsidRPr="00981405">
        <w:t xml:space="preserve"> </w:t>
      </w:r>
      <w:r w:rsidRPr="00981405">
        <w:t>in</w:t>
      </w:r>
      <w:r w:rsidR="00190923" w:rsidRPr="00981405">
        <w:t xml:space="preserve"> </w:t>
      </w:r>
      <w:r w:rsidRPr="00981405">
        <w:t>other</w:t>
      </w:r>
      <w:r w:rsidR="00190923" w:rsidRPr="00981405">
        <w:t xml:space="preserve"> </w:t>
      </w:r>
      <w:r w:rsidRPr="00981405">
        <w:t>instances</w:t>
      </w:r>
      <w:r w:rsidR="00190923" w:rsidRPr="00981405">
        <w:t xml:space="preserve"> </w:t>
      </w:r>
      <w:r w:rsidRPr="00981405">
        <w:t>that</w:t>
      </w:r>
      <w:r w:rsidR="00190923" w:rsidRPr="00981405">
        <w:t xml:space="preserve"> </w:t>
      </w:r>
      <w:r w:rsidRPr="00981405">
        <w:t>participation</w:t>
      </w:r>
      <w:r w:rsidR="00190923" w:rsidRPr="00981405">
        <w:t xml:space="preserve"> </w:t>
      </w:r>
      <w:r w:rsidRPr="00981405">
        <w:t>was</w:t>
      </w:r>
      <w:r w:rsidR="00190923" w:rsidRPr="00981405">
        <w:t xml:space="preserve"> </w:t>
      </w:r>
      <w:r w:rsidRPr="00981405">
        <w:t>not</w:t>
      </w:r>
      <w:r w:rsidR="00190923" w:rsidRPr="00981405">
        <w:t xml:space="preserve"> </w:t>
      </w:r>
      <w:r w:rsidRPr="00981405">
        <w:t>an</w:t>
      </w:r>
      <w:r w:rsidR="00190923" w:rsidRPr="00981405">
        <w:t xml:space="preserve"> </w:t>
      </w:r>
      <w:r w:rsidRPr="00981405">
        <w:t>express</w:t>
      </w:r>
      <w:r w:rsidR="00190923" w:rsidRPr="00981405">
        <w:t xml:space="preserve"> </w:t>
      </w:r>
      <w:r w:rsidRPr="00981405">
        <w:t>element</w:t>
      </w:r>
      <w:r w:rsidR="00190923" w:rsidRPr="00981405">
        <w:t xml:space="preserve"> </w:t>
      </w:r>
      <w:r w:rsidRPr="00981405">
        <w:t>of</w:t>
      </w:r>
      <w:r w:rsidR="00190923" w:rsidRPr="00981405">
        <w:t xml:space="preserve"> </w:t>
      </w:r>
      <w:r w:rsidRPr="00981405">
        <w:t>the</w:t>
      </w:r>
      <w:r w:rsidR="00190923" w:rsidRPr="00981405">
        <w:t xml:space="preserve"> </w:t>
      </w:r>
      <w:r w:rsidRPr="00981405">
        <w:t>crime</w:t>
      </w:r>
      <w:r w:rsidR="00190923" w:rsidRPr="00981405">
        <w:t xml:space="preserve"> </w:t>
      </w:r>
      <w:r w:rsidRPr="00981405">
        <w:t>in</w:t>
      </w:r>
      <w:r w:rsidR="00190923" w:rsidRPr="00981405">
        <w:t xml:space="preserve"> </w:t>
      </w:r>
      <w:r w:rsidRPr="00981405">
        <w:t>question,</w:t>
      </w:r>
      <w:r w:rsidR="00190923" w:rsidRPr="00981405">
        <w:t xml:space="preserve"> </w:t>
      </w:r>
      <w:r w:rsidRPr="00981405">
        <w:lastRenderedPageBreak/>
        <w:t>but</w:t>
      </w:r>
      <w:r w:rsidR="00190923" w:rsidRPr="00981405">
        <w:t xml:space="preserve"> </w:t>
      </w:r>
      <w:r w:rsidRPr="00981405">
        <w:t>that</w:t>
      </w:r>
      <w:r w:rsidR="00190923" w:rsidRPr="00981405">
        <w:t xml:space="preserve"> </w:t>
      </w:r>
      <w:r w:rsidRPr="00981405">
        <w:t>did</w:t>
      </w:r>
      <w:r w:rsidR="00190923" w:rsidRPr="00981405">
        <w:t xml:space="preserve"> </w:t>
      </w:r>
      <w:r w:rsidRPr="00981405">
        <w:t>not</w:t>
      </w:r>
      <w:r w:rsidR="00190923" w:rsidRPr="00981405">
        <w:t xml:space="preserve"> </w:t>
      </w:r>
      <w:r w:rsidRPr="00981405">
        <w:t>necessarily</w:t>
      </w:r>
      <w:r w:rsidR="00190923" w:rsidRPr="00981405">
        <w:t xml:space="preserve"> </w:t>
      </w:r>
      <w:r w:rsidRPr="00981405">
        <w:t>exclude</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an</w:t>
      </w:r>
      <w:r w:rsidR="00190923" w:rsidRPr="00981405">
        <w:t xml:space="preserve"> </w:t>
      </w:r>
      <w:r w:rsidRPr="00981405">
        <w:t>official</w:t>
      </w:r>
      <w:r w:rsidR="00190923" w:rsidRPr="00981405">
        <w:t xml:space="preserve"> </w:t>
      </w:r>
      <w:r w:rsidRPr="00981405">
        <w:t>being</w:t>
      </w:r>
      <w:r w:rsidR="00190923" w:rsidRPr="00981405">
        <w:t xml:space="preserve"> </w:t>
      </w:r>
      <w:r w:rsidRPr="00981405">
        <w:t>involved</w:t>
      </w:r>
      <w:r w:rsidR="00190923" w:rsidRPr="00981405">
        <w:t xml:space="preserve"> </w:t>
      </w:r>
      <w:r w:rsidRPr="00981405">
        <w:t>in</w:t>
      </w:r>
      <w:r w:rsidR="00190923" w:rsidRPr="00981405">
        <w:t xml:space="preserve"> </w:t>
      </w:r>
      <w:r w:rsidRPr="00981405">
        <w:t>that</w:t>
      </w:r>
      <w:r w:rsidR="00190923" w:rsidRPr="00981405">
        <w:t xml:space="preserve"> </w:t>
      </w:r>
      <w:r w:rsidRPr="00981405">
        <w:t>capacity</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the</w:t>
      </w:r>
      <w:r w:rsidR="00190923" w:rsidRPr="00981405">
        <w:t xml:space="preserve"> </w:t>
      </w:r>
      <w:r w:rsidRPr="00981405">
        <w:t>crime</w:t>
      </w:r>
      <w:r w:rsidR="00190923" w:rsidRPr="00981405">
        <w:t xml:space="preserve"> </w:t>
      </w:r>
      <w:r w:rsidRPr="00981405">
        <w:t>in</w:t>
      </w:r>
      <w:r w:rsidR="00190923" w:rsidRPr="00981405">
        <w:t xml:space="preserve"> </w:t>
      </w:r>
      <w:r w:rsidRPr="00981405">
        <w:t>question.</w:t>
      </w:r>
      <w:r w:rsidR="00190923" w:rsidRPr="00981405">
        <w:t xml:space="preserve"> </w:t>
      </w:r>
      <w:r w:rsidRPr="00981405">
        <w:t>However,</w:t>
      </w:r>
      <w:r w:rsidR="00190923" w:rsidRPr="00981405">
        <w:t xml:space="preserve"> </w:t>
      </w:r>
      <w:r w:rsidRPr="00981405">
        <w:t>according</w:t>
      </w:r>
      <w:r w:rsidR="00190923" w:rsidRPr="00981405">
        <w:t xml:space="preserve"> </w:t>
      </w:r>
      <w:r w:rsidRPr="00981405">
        <w:t>to</w:t>
      </w:r>
      <w:r w:rsidR="00190923" w:rsidRPr="00981405">
        <w:t xml:space="preserve"> </w:t>
      </w:r>
      <w:r w:rsidRPr="00981405">
        <w:t>that</w:t>
      </w:r>
      <w:r w:rsidR="00190923" w:rsidRPr="00981405">
        <w:t xml:space="preserve"> </w:t>
      </w:r>
      <w:r w:rsidRPr="00981405">
        <w:t>view,</w:t>
      </w:r>
      <w:r w:rsidR="00190923" w:rsidRPr="00981405">
        <w:t xml:space="preserve"> </w:t>
      </w:r>
      <w:r w:rsidRPr="00981405">
        <w:t>the</w:t>
      </w:r>
      <w:r w:rsidR="00190923" w:rsidRPr="00981405">
        <w:t xml:space="preserve"> </w:t>
      </w:r>
      <w:r w:rsidRPr="00981405">
        <w:t>prescriptive</w:t>
      </w:r>
      <w:r w:rsidR="00190923" w:rsidRPr="00981405">
        <w:t xml:space="preserve"> </w:t>
      </w:r>
      <w:r w:rsidRPr="00981405">
        <w:t>or</w:t>
      </w:r>
      <w:r w:rsidR="00190923" w:rsidRPr="00981405">
        <w:t xml:space="preserve"> </w:t>
      </w:r>
      <w:r w:rsidRPr="00981405">
        <w:t>descriptive</w:t>
      </w:r>
      <w:r w:rsidR="00190923" w:rsidRPr="00981405">
        <w:t xml:space="preserve"> </w:t>
      </w:r>
      <w:r w:rsidRPr="00981405">
        <w:t>nature</w:t>
      </w:r>
      <w:r w:rsidR="00190923" w:rsidRPr="00981405">
        <w:t xml:space="preserve"> </w:t>
      </w:r>
      <w:r w:rsidRPr="00981405">
        <w:t>of</w:t>
      </w:r>
      <w:r w:rsidR="00190923" w:rsidRPr="00981405">
        <w:t xml:space="preserve"> </w:t>
      </w:r>
      <w:r w:rsidRPr="00981405">
        <w:t>a</w:t>
      </w:r>
      <w:r w:rsidR="00190923" w:rsidRPr="00981405">
        <w:t xml:space="preserve"> </w:t>
      </w:r>
      <w:r w:rsidRPr="00981405">
        <w:t>particular</w:t>
      </w:r>
      <w:r w:rsidR="00190923" w:rsidRPr="00981405">
        <w:t xml:space="preserve"> </w:t>
      </w:r>
      <w:r w:rsidRPr="00981405">
        <w:t>characterization</w:t>
      </w:r>
      <w:r w:rsidR="00190923" w:rsidRPr="00981405">
        <w:t xml:space="preserve"> </w:t>
      </w:r>
      <w:r w:rsidRPr="00981405">
        <w:t>of</w:t>
      </w:r>
      <w:r w:rsidR="00190923" w:rsidRPr="00981405">
        <w:t xml:space="preserve"> </w:t>
      </w:r>
      <w:r w:rsidRPr="00981405">
        <w:t>a</w:t>
      </w:r>
      <w:r w:rsidR="00190923" w:rsidRPr="00981405">
        <w:t xml:space="preserve"> </w:t>
      </w:r>
      <w:r w:rsidRPr="00981405">
        <w:t>crime</w:t>
      </w:r>
      <w:r w:rsidR="00190923" w:rsidRPr="00981405">
        <w:t xml:space="preserve"> </w:t>
      </w:r>
      <w:r w:rsidRPr="00981405">
        <w:t>had</w:t>
      </w:r>
      <w:r w:rsidR="00190923" w:rsidRPr="00981405">
        <w:t xml:space="preserve"> </w:t>
      </w:r>
      <w:r w:rsidRPr="00981405">
        <w:t>no</w:t>
      </w:r>
      <w:r w:rsidR="00190923" w:rsidRPr="00981405">
        <w:t xml:space="preserve"> </w:t>
      </w:r>
      <w:r w:rsidRPr="00981405">
        <w:t>bearing</w:t>
      </w:r>
      <w:r w:rsidR="00190923" w:rsidRPr="00981405">
        <w:t xml:space="preserve"> </w:t>
      </w:r>
      <w:r w:rsidRPr="00981405">
        <w:t>necessarily</w:t>
      </w:r>
      <w:r w:rsidR="00190923" w:rsidRPr="00981405">
        <w:t xml:space="preserve"> </w:t>
      </w:r>
      <w:r w:rsidRPr="00981405">
        <w:t>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whether</w:t>
      </w:r>
      <w:r w:rsidR="00190923" w:rsidRPr="00981405">
        <w:t xml:space="preserve"> </w:t>
      </w:r>
      <w:r w:rsidRPr="00981405">
        <w:t>the</w:t>
      </w:r>
      <w:r w:rsidR="00190923" w:rsidRPr="00981405">
        <w:t xml:space="preserve"> </w:t>
      </w:r>
      <w:r w:rsidRPr="00981405">
        <w:t>person</w:t>
      </w:r>
      <w:r w:rsidR="00190923" w:rsidRPr="00981405">
        <w:t xml:space="preserve"> </w:t>
      </w:r>
      <w:r w:rsidRPr="00981405">
        <w:t>had</w:t>
      </w:r>
      <w:r w:rsidR="00190923" w:rsidRPr="00981405">
        <w:t xml:space="preserve"> </w:t>
      </w:r>
      <w:r w:rsidRPr="00981405">
        <w:t>acted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p>
    <w:p w:rsidR="00397032" w:rsidRPr="00981405" w:rsidRDefault="00397032" w:rsidP="00D97463">
      <w:pPr>
        <w:pStyle w:val="SingleTxt"/>
      </w:pPr>
      <w:r w:rsidRPr="00981405">
        <w:t>207.</w:t>
      </w:r>
      <w:r w:rsidRPr="00981405">
        <w:tab/>
        <w:t>Some</w:t>
      </w:r>
      <w:r w:rsidR="00190923" w:rsidRPr="00981405">
        <w:t xml:space="preserve"> </w:t>
      </w:r>
      <w:r w:rsidRPr="00981405">
        <w:t>members</w:t>
      </w:r>
      <w:r w:rsidR="00190923" w:rsidRPr="00981405">
        <w:t xml:space="preserve"> </w:t>
      </w:r>
      <w:r w:rsidRPr="00981405">
        <w:t>were</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central</w:t>
      </w:r>
      <w:r w:rsidR="00190923" w:rsidRPr="00981405">
        <w:t xml:space="preserve"> </w:t>
      </w:r>
      <w:r w:rsidRPr="00981405">
        <w:t>issue</w:t>
      </w:r>
      <w:r w:rsidR="00190923" w:rsidRPr="00981405">
        <w:t xml:space="preserve"> </w:t>
      </w:r>
      <w:r w:rsidRPr="00981405">
        <w:t>which</w:t>
      </w:r>
      <w:r w:rsidR="00190923" w:rsidRPr="00981405">
        <w:t xml:space="preserve"> </w:t>
      </w:r>
      <w:r w:rsidRPr="00981405">
        <w:t>was</w:t>
      </w:r>
      <w:r w:rsidR="00190923" w:rsidRPr="00981405">
        <w:t xml:space="preserve"> </w:t>
      </w:r>
      <w:r w:rsidRPr="00981405">
        <w:t>determinative</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was</w:t>
      </w:r>
      <w:r w:rsidR="00190923" w:rsidRPr="00981405">
        <w:t xml:space="preserve"> </w:t>
      </w:r>
      <w:r w:rsidRPr="00981405">
        <w:t>not</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but</w:t>
      </w:r>
      <w:r w:rsidR="00190923" w:rsidRPr="00981405">
        <w:t xml:space="preserve"> </w:t>
      </w:r>
      <w:r w:rsidRPr="00981405">
        <w:t>the</w:t>
      </w:r>
      <w:r w:rsidR="00190923" w:rsidRPr="00981405">
        <w:t xml:space="preserve"> </w:t>
      </w:r>
      <w:r w:rsidRPr="00981405">
        <w:t>capacity</w:t>
      </w:r>
      <w:r w:rsidR="00190923" w:rsidRPr="00981405">
        <w:t xml:space="preserve"> </w:t>
      </w:r>
      <w:r w:rsidRPr="00981405">
        <w:t>in</w:t>
      </w:r>
      <w:r w:rsidR="00190923" w:rsidRPr="00981405">
        <w:t xml:space="preserve"> </w:t>
      </w:r>
      <w:r w:rsidRPr="00981405">
        <w:t>which</w:t>
      </w:r>
      <w:r w:rsidR="00190923" w:rsidRPr="00981405">
        <w:t xml:space="preserve"> </w:t>
      </w:r>
      <w:r w:rsidRPr="00981405">
        <w:t>one</w:t>
      </w:r>
      <w:r w:rsidR="00190923" w:rsidRPr="00981405">
        <w:t xml:space="preserve"> </w:t>
      </w:r>
      <w:r w:rsidRPr="00981405">
        <w:t>acted.</w:t>
      </w:r>
      <w:r w:rsidR="00190923" w:rsidRPr="00981405">
        <w:t xml:space="preserve"> </w:t>
      </w:r>
    </w:p>
    <w:p w:rsidR="00397032" w:rsidRPr="00981405" w:rsidRDefault="00397032" w:rsidP="00D97463">
      <w:pPr>
        <w:pStyle w:val="SingleTxt"/>
      </w:pPr>
      <w:r w:rsidRPr="00981405">
        <w:t>208.</w:t>
      </w:r>
      <w:r w:rsidRPr="00981405">
        <w:tab/>
        <w:t>Some</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while</w:t>
      </w:r>
      <w:r w:rsidR="00190923" w:rsidRPr="00981405">
        <w:t xml:space="preserve"> </w:t>
      </w:r>
      <w:r w:rsidRPr="00981405">
        <w:t>the</w:t>
      </w:r>
      <w:r w:rsidR="00190923" w:rsidRPr="00981405">
        <w:t xml:space="preserve"> </w:t>
      </w:r>
      <w:r w:rsidRPr="00981405">
        <w:t>criminal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did</w:t>
      </w:r>
      <w:r w:rsidR="00190923" w:rsidRPr="00981405">
        <w:t xml:space="preserve"> </w:t>
      </w:r>
      <w:r w:rsidRPr="00981405">
        <w:t>not</w:t>
      </w:r>
      <w:r w:rsidR="00190923" w:rsidRPr="00981405">
        <w:t xml:space="preserve"> </w:t>
      </w:r>
      <w:r w:rsidRPr="00981405">
        <w:t>alter</w:t>
      </w:r>
      <w:r w:rsidR="00190923" w:rsidRPr="00981405">
        <w:t xml:space="preserve"> </w:t>
      </w:r>
      <w:r w:rsidRPr="00981405">
        <w:t>its</w:t>
      </w:r>
      <w:r w:rsidR="00190923" w:rsidRPr="00981405">
        <w:t xml:space="preserve"> </w:t>
      </w:r>
      <w:r w:rsidRPr="00981405">
        <w:t>official</w:t>
      </w:r>
      <w:r w:rsidR="00190923" w:rsidRPr="00981405">
        <w:t xml:space="preserve"> </w:t>
      </w:r>
      <w:r w:rsidRPr="00981405">
        <w:t>character,</w:t>
      </w:r>
      <w:r w:rsidR="00190923" w:rsidRPr="00981405">
        <w:t xml:space="preserve"> </w:t>
      </w:r>
      <w:r w:rsidRPr="00981405">
        <w:t>that</w:t>
      </w:r>
      <w:r w:rsidR="00190923" w:rsidRPr="00981405">
        <w:t xml:space="preserve"> </w:t>
      </w:r>
      <w:r w:rsidRPr="00981405">
        <w:t>did</w:t>
      </w:r>
      <w:r w:rsidR="00190923" w:rsidRPr="00981405">
        <w:t xml:space="preserve"> </w:t>
      </w:r>
      <w:r w:rsidRPr="00981405">
        <w:t>not</w:t>
      </w:r>
      <w:r w:rsidR="00190923" w:rsidRPr="00981405">
        <w:t xml:space="preserve"> </w:t>
      </w:r>
      <w:r w:rsidRPr="00981405">
        <w:t>mean</w:t>
      </w:r>
      <w:r w:rsidR="00190923" w:rsidRPr="00981405">
        <w:t xml:space="preserve"> </w:t>
      </w:r>
      <w:r w:rsidRPr="00981405">
        <w:t>that</w:t>
      </w:r>
      <w:r w:rsidR="00190923" w:rsidRPr="00981405">
        <w:t xml:space="preserve"> </w:t>
      </w:r>
      <w:r w:rsidRPr="00981405">
        <w:t>the</w:t>
      </w:r>
      <w:r w:rsidR="00190923" w:rsidRPr="00981405">
        <w:t xml:space="preserve"> </w:t>
      </w:r>
      <w:r w:rsidRPr="00981405">
        <w:t>criminality</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could</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as</w:t>
      </w:r>
      <w:r w:rsidR="00190923" w:rsidRPr="00981405">
        <w:t xml:space="preserve"> </w:t>
      </w:r>
      <w:r w:rsidRPr="00981405">
        <w:t>an</w:t>
      </w:r>
      <w:r w:rsidR="00190923" w:rsidRPr="00981405">
        <w:t xml:space="preserve"> </w:t>
      </w:r>
      <w:r w:rsidRPr="00981405">
        <w:t>element</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characterization</w:t>
      </w:r>
      <w:r w:rsidR="00190923" w:rsidRPr="00981405">
        <w:t xml:space="preserve"> </w:t>
      </w:r>
      <w:r w:rsidRPr="00981405">
        <w:t>as</w:t>
      </w:r>
      <w:r w:rsidR="00190923" w:rsidRPr="00981405">
        <w:t xml:space="preserve"> </w:t>
      </w:r>
      <w:r w:rsidRPr="00981405">
        <w:t>criminal</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which</w:t>
      </w:r>
      <w:r w:rsidR="00190923" w:rsidRPr="00981405">
        <w:t xml:space="preserve"> </w:t>
      </w:r>
      <w:r w:rsidRPr="00981405">
        <w:t>appeared</w:t>
      </w:r>
      <w:r w:rsidR="00190923" w:rsidRPr="00981405">
        <w:t xml:space="preserve"> </w:t>
      </w:r>
      <w:r w:rsidRPr="00981405">
        <w:t>to</w:t>
      </w:r>
      <w:r w:rsidR="00190923" w:rsidRPr="00981405">
        <w:t xml:space="preserve"> </w:t>
      </w:r>
      <w:r w:rsidRPr="00981405">
        <w:t>be</w:t>
      </w:r>
      <w:r w:rsidR="00190923" w:rsidRPr="00981405">
        <w:t xml:space="preserve"> </w:t>
      </w:r>
      <w:r w:rsidRPr="00981405">
        <w:t>incorporated</w:t>
      </w:r>
      <w:r w:rsidR="00190923" w:rsidRPr="00981405">
        <w:t xml:space="preserve"> </w:t>
      </w:r>
      <w:r w:rsidRPr="00981405">
        <w:t>in</w:t>
      </w:r>
      <w:r w:rsidR="00190923" w:rsidRPr="00981405">
        <w:t xml:space="preserve"> </w:t>
      </w:r>
      <w:r w:rsidRPr="00981405">
        <w:t>the</w:t>
      </w:r>
      <w:r w:rsidR="00190923" w:rsidRPr="00981405">
        <w:t xml:space="preserve"> </w:t>
      </w:r>
      <w:r w:rsidRPr="00981405">
        <w:t>proposed</w:t>
      </w:r>
      <w:r w:rsidR="00190923" w:rsidRPr="00981405">
        <w:t xml:space="preserve"> </w:t>
      </w:r>
      <w:r w:rsidRPr="00981405">
        <w:t>definition</w:t>
      </w:r>
      <w:r w:rsidR="00190923" w:rsidRPr="00981405">
        <w:t xml:space="preserve"> </w:t>
      </w:r>
      <w:r w:rsidRPr="00981405">
        <w:t>would</w:t>
      </w:r>
      <w:r w:rsidR="00190923" w:rsidRPr="00981405">
        <w:t xml:space="preserve"> </w:t>
      </w:r>
      <w:r w:rsidRPr="00981405">
        <w:t>lead</w:t>
      </w:r>
      <w:r w:rsidR="00190923" w:rsidRPr="00981405">
        <w:t xml:space="preserve"> </w:t>
      </w:r>
      <w:r w:rsidRPr="00981405">
        <w:t>to</w:t>
      </w:r>
      <w:r w:rsidR="00190923" w:rsidRPr="00981405">
        <w:t xml:space="preserve"> </w:t>
      </w:r>
      <w:r w:rsidRPr="00981405">
        <w:t>a</w:t>
      </w:r>
      <w:r w:rsidR="00190923" w:rsidRPr="00981405">
        <w:t xml:space="preserve"> </w:t>
      </w:r>
      <w:r w:rsidRPr="00981405">
        <w:t>surprising</w:t>
      </w:r>
      <w:r w:rsidR="00190923" w:rsidRPr="00981405">
        <w:t xml:space="preserve"> </w:t>
      </w:r>
      <w:r w:rsidRPr="00981405">
        <w:t>result,</w:t>
      </w:r>
      <w:r w:rsidR="00190923" w:rsidRPr="00981405">
        <w:t xml:space="preserve"> </w:t>
      </w:r>
      <w:r w:rsidRPr="00981405">
        <w:t>since</w:t>
      </w:r>
      <w:r w:rsidR="00190923" w:rsidRPr="00981405">
        <w:t xml:space="preserve"> </w:t>
      </w:r>
      <w:r w:rsidRPr="00981405">
        <w:t>it</w:t>
      </w:r>
      <w:r w:rsidR="00190923" w:rsidRPr="00981405">
        <w:t xml:space="preserve"> </w:t>
      </w:r>
      <w:r w:rsidRPr="00981405">
        <w:t>considered</w:t>
      </w:r>
      <w:r w:rsidR="00190923" w:rsidRPr="00981405">
        <w:t xml:space="preserve"> </w:t>
      </w:r>
      <w:r w:rsidRPr="00981405">
        <w:t>any</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as</w:t>
      </w:r>
      <w:r w:rsidR="00190923" w:rsidRPr="00981405">
        <w:t xml:space="preserve"> </w:t>
      </w:r>
      <w:r w:rsidRPr="00981405">
        <w:t>a</w:t>
      </w:r>
      <w:r w:rsidR="00190923" w:rsidRPr="00981405">
        <w:t xml:space="preserve"> </w:t>
      </w:r>
      <w:r w:rsidRPr="00981405">
        <w:t>crime.</w:t>
      </w:r>
      <w:r w:rsidR="00190923" w:rsidRPr="00981405">
        <w:t xml:space="preserve"> </w:t>
      </w:r>
      <w:r w:rsidRPr="00981405">
        <w:t>This</w:t>
      </w:r>
      <w:r w:rsidR="00190923" w:rsidRPr="00981405">
        <w:t xml:space="preserve"> </w:t>
      </w:r>
      <w:r w:rsidRPr="00981405">
        <w:t>was</w:t>
      </w:r>
      <w:r w:rsidR="00190923" w:rsidRPr="00981405">
        <w:t xml:space="preserve"> </w:t>
      </w:r>
      <w:r w:rsidRPr="00981405">
        <w:t>tantamount</w:t>
      </w:r>
      <w:r w:rsidR="00190923" w:rsidRPr="00981405">
        <w:t xml:space="preserve"> </w:t>
      </w:r>
      <w:r w:rsidRPr="00981405">
        <w:t>to</w:t>
      </w:r>
      <w:r w:rsidR="00190923" w:rsidRPr="00981405">
        <w:t xml:space="preserve"> </w:t>
      </w:r>
      <w:r w:rsidRPr="00981405">
        <w:t>suggesting</w:t>
      </w:r>
      <w:r w:rsidR="00190923" w:rsidRPr="00981405">
        <w:t xml:space="preserve"> </w:t>
      </w:r>
      <w:r w:rsidRPr="00981405">
        <w:t>that</w:t>
      </w:r>
      <w:r w:rsidR="00190923" w:rsidRPr="00981405">
        <w:t xml:space="preserve"> </w:t>
      </w:r>
      <w:r w:rsidRPr="00981405">
        <w:t>every</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by</w:t>
      </w:r>
      <w:r w:rsidR="00190923" w:rsidRPr="00981405">
        <w:t xml:space="preserve"> </w:t>
      </w:r>
      <w:r w:rsidRPr="00981405">
        <w:t>definition,</w:t>
      </w:r>
      <w:r w:rsidR="00190923" w:rsidRPr="00981405">
        <w:t xml:space="preserve"> </w:t>
      </w:r>
      <w:r w:rsidRPr="00981405">
        <w:t>constituted</w:t>
      </w:r>
      <w:r w:rsidR="00190923" w:rsidRPr="00981405">
        <w:t xml:space="preserve"> </w:t>
      </w:r>
      <w:r w:rsidRPr="00981405">
        <w:t>a</w:t>
      </w:r>
      <w:r w:rsidR="00190923" w:rsidRPr="00981405">
        <w:t xml:space="preserve"> </w:t>
      </w:r>
      <w:r w:rsidRPr="00981405">
        <w:t>crime,</w:t>
      </w:r>
      <w:r w:rsidR="00190923" w:rsidRPr="00981405">
        <w:t xml:space="preserve"> </w:t>
      </w:r>
      <w:r w:rsidRPr="00981405">
        <w:t>and</w:t>
      </w:r>
      <w:r w:rsidR="00190923" w:rsidRPr="00981405">
        <w:t xml:space="preserve"> </w:t>
      </w:r>
      <w:r w:rsidRPr="00981405">
        <w:t>necessarily</w:t>
      </w:r>
      <w:r w:rsidR="00190923" w:rsidRPr="00981405">
        <w:t xml:space="preserve"> </w:t>
      </w:r>
      <w:r w:rsidRPr="00981405">
        <w:t>that</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always</w:t>
      </w:r>
      <w:r w:rsidR="00190923" w:rsidRPr="00981405">
        <w:t xml:space="preserve"> </w:t>
      </w:r>
      <w:r w:rsidRPr="00981405">
        <w:t>commit</w:t>
      </w:r>
      <w:r w:rsidR="00190923" w:rsidRPr="00981405">
        <w:t xml:space="preserve"> </w:t>
      </w:r>
      <w:r w:rsidRPr="00981405">
        <w:t>crimes</w:t>
      </w:r>
      <w:r w:rsidR="00190923" w:rsidRPr="00981405">
        <w:t xml:space="preserve"> </w:t>
      </w:r>
      <w:r w:rsidRPr="00981405">
        <w:t>when</w:t>
      </w:r>
      <w:r w:rsidR="00190923" w:rsidRPr="00981405">
        <w:t xml:space="preserve"> </w:t>
      </w:r>
      <w:r w:rsidRPr="00981405">
        <w:t>they</w:t>
      </w:r>
      <w:r w:rsidR="00190923" w:rsidRPr="00981405">
        <w:t xml:space="preserve"> </w:t>
      </w:r>
      <w:r w:rsidRPr="00981405">
        <w:t>act</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An</w:t>
      </w:r>
      <w:r w:rsidR="00190923" w:rsidRPr="00981405">
        <w:t xml:space="preserve"> </w:t>
      </w:r>
      <w:r w:rsidRPr="00981405">
        <w:t>act</w:t>
      </w:r>
      <w:r w:rsidR="00190923" w:rsidRPr="00981405">
        <w:t xml:space="preserve"> </w:t>
      </w:r>
      <w:r w:rsidRPr="00981405">
        <w:t>was</w:t>
      </w:r>
      <w:r w:rsidR="00190923" w:rsidRPr="00981405">
        <w:t xml:space="preserve"> </w:t>
      </w:r>
      <w:r w:rsidRPr="00981405">
        <w:t>a</w:t>
      </w:r>
      <w:r w:rsidR="00190923" w:rsidRPr="00981405">
        <w:t xml:space="preserve"> </w:t>
      </w:r>
      <w:r w:rsidRPr="00981405">
        <w:t>crime</w:t>
      </w:r>
      <w:r w:rsidR="00190923" w:rsidRPr="00981405">
        <w:t xml:space="preserve"> </w:t>
      </w:r>
      <w:r w:rsidRPr="00981405">
        <w:t>not</w:t>
      </w:r>
      <w:r w:rsidR="00190923" w:rsidRPr="00981405">
        <w:t xml:space="preserve"> </w:t>
      </w:r>
      <w:r w:rsidRPr="00981405">
        <w:t>by</w:t>
      </w:r>
      <w:r w:rsidR="00190923" w:rsidRPr="00981405">
        <w:t xml:space="preserve"> </w:t>
      </w:r>
      <w:r w:rsidRPr="00981405">
        <w:t>its</w:t>
      </w:r>
      <w:r w:rsidR="00190923" w:rsidRPr="00981405">
        <w:t xml:space="preserve"> </w:t>
      </w:r>
      <w:r w:rsidRPr="00981405">
        <w:t>nature</w:t>
      </w:r>
      <w:r w:rsidR="00190923" w:rsidRPr="00981405">
        <w:t xml:space="preserve"> </w:t>
      </w:r>
      <w:r w:rsidRPr="00981405">
        <w:t>but</w:t>
      </w:r>
      <w:r w:rsidR="00190923" w:rsidRPr="00981405">
        <w:t xml:space="preserve"> </w:t>
      </w:r>
      <w:r w:rsidRPr="00981405">
        <w:t>rather</w:t>
      </w:r>
      <w:r w:rsidR="00190923" w:rsidRPr="00981405">
        <w:t xml:space="preserve"> </w:t>
      </w:r>
      <w:r w:rsidRPr="00981405">
        <w:t>by</w:t>
      </w:r>
      <w:r w:rsidR="00190923" w:rsidRPr="00981405">
        <w:t xml:space="preserve"> </w:t>
      </w:r>
      <w:r w:rsidRPr="00981405">
        <w:t>its</w:t>
      </w:r>
      <w:r w:rsidR="00190923" w:rsidRPr="00981405">
        <w:t xml:space="preserve"> </w:t>
      </w:r>
      <w:r w:rsidRPr="00981405">
        <w:t>criminalization</w:t>
      </w:r>
      <w:r w:rsidR="00190923" w:rsidRPr="00981405">
        <w:t xml:space="preserve"> </w:t>
      </w:r>
      <w:r w:rsidRPr="00981405">
        <w:t>at</w:t>
      </w:r>
      <w:r w:rsidR="00190923" w:rsidRPr="00981405">
        <w:t xml:space="preserve"> </w:t>
      </w:r>
      <w:r w:rsidRPr="00981405">
        <w:t>the</w:t>
      </w:r>
      <w:r w:rsidR="00190923" w:rsidRPr="00981405">
        <w:t xml:space="preserve"> </w:t>
      </w:r>
      <w:r w:rsidRPr="00981405">
        <w:t>levels</w:t>
      </w:r>
      <w:r w:rsidR="00190923" w:rsidRPr="00981405">
        <w:t xml:space="preserve"> </w:t>
      </w:r>
      <w:r w:rsidRPr="00981405">
        <w:t>of</w:t>
      </w:r>
      <w:r w:rsidR="00190923" w:rsidRPr="00981405">
        <w:t xml:space="preserve"> </w:t>
      </w:r>
      <w:r w:rsidRPr="00981405">
        <w:t>national</w:t>
      </w:r>
      <w:r w:rsidR="00190923" w:rsidRPr="00981405">
        <w:t xml:space="preserve"> </w:t>
      </w:r>
      <w:r w:rsidRPr="00981405">
        <w:t>or</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law.</w:t>
      </w:r>
    </w:p>
    <w:p w:rsidR="00397032" w:rsidRPr="00981405" w:rsidRDefault="00397032" w:rsidP="00D97463">
      <w:pPr>
        <w:pStyle w:val="SingleTxt"/>
      </w:pPr>
      <w:r w:rsidRPr="00981405">
        <w:t>209.</w:t>
      </w:r>
      <w:r w:rsidRPr="00981405">
        <w:tab/>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whole</w:t>
      </w:r>
      <w:r w:rsidR="00190923" w:rsidRPr="00981405">
        <w:t xml:space="preserve"> </w:t>
      </w:r>
      <w:r w:rsidRPr="00981405">
        <w:t>point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of</w:t>
      </w:r>
      <w:r w:rsidR="00190923" w:rsidRPr="00981405">
        <w:t xml:space="preserve"> </w:t>
      </w:r>
      <w:r w:rsidRPr="00981405">
        <w:t>immunity</w:t>
      </w:r>
      <w:r w:rsidR="00190923" w:rsidRPr="00981405">
        <w:t xml:space="preserve"> </w:t>
      </w:r>
      <w:r w:rsidRPr="00981405">
        <w:t>was</w:t>
      </w:r>
      <w:r w:rsidR="00190923" w:rsidRPr="00981405">
        <w:t xml:space="preserve"> </w:t>
      </w:r>
      <w:r w:rsidRPr="00981405">
        <w:t>for</w:t>
      </w:r>
      <w:r w:rsidR="00190923" w:rsidRPr="00981405">
        <w:t xml:space="preserve"> </w:t>
      </w:r>
      <w:r w:rsidRPr="00981405">
        <w:t>a</w:t>
      </w:r>
      <w:r w:rsidR="00190923" w:rsidRPr="00981405">
        <w:t xml:space="preserve"> </w:t>
      </w:r>
      <w:r w:rsidRPr="00981405">
        <w:t>court</w:t>
      </w:r>
      <w:r w:rsidR="00190923" w:rsidRPr="00981405">
        <w:t xml:space="preserve"> </w:t>
      </w:r>
      <w:r w:rsidRPr="00981405">
        <w:t>of</w:t>
      </w:r>
      <w:r w:rsidR="00190923" w:rsidRPr="00981405">
        <w:t xml:space="preserve"> </w:t>
      </w:r>
      <w:r w:rsidRPr="00981405">
        <w:t>the</w:t>
      </w:r>
      <w:r w:rsidR="00190923" w:rsidRPr="00981405">
        <w:t xml:space="preserve"> </w:t>
      </w:r>
      <w:r w:rsidRPr="00981405">
        <w:t>forum</w:t>
      </w:r>
      <w:r w:rsidR="00190923" w:rsidRPr="00981405">
        <w:t xml:space="preserve"> </w:t>
      </w:r>
      <w:r w:rsidRPr="00981405">
        <w:t>State</w:t>
      </w:r>
      <w:r w:rsidR="00190923" w:rsidRPr="00981405">
        <w:t xml:space="preserve"> </w:t>
      </w:r>
      <w:r w:rsidRPr="00981405">
        <w:t>to</w:t>
      </w:r>
      <w:r w:rsidR="00190923" w:rsidRPr="00981405">
        <w:t xml:space="preserve"> </w:t>
      </w:r>
      <w:r w:rsidRPr="00981405">
        <w:t>determine,</w:t>
      </w:r>
      <w:r w:rsidR="00190923" w:rsidRPr="00981405">
        <w:t xml:space="preserve"> </w:t>
      </w:r>
      <w:r w:rsidRPr="00981405">
        <w:t>as</w:t>
      </w:r>
      <w:r w:rsidR="00190923" w:rsidRPr="00981405">
        <w:t xml:space="preserve"> </w:t>
      </w:r>
      <w:r w:rsidRPr="00981405">
        <w:t>procedural</w:t>
      </w:r>
      <w:r w:rsidR="00190923" w:rsidRPr="00981405">
        <w:t xml:space="preserve"> </w:t>
      </w:r>
      <w:r w:rsidRPr="00981405">
        <w:t>matter,</w:t>
      </w:r>
      <w:r w:rsidR="00190923" w:rsidRPr="00981405">
        <w:t xml:space="preserve"> </w:t>
      </w:r>
      <w:r w:rsidRPr="00981405">
        <w:t>whether</w:t>
      </w:r>
      <w:r w:rsidR="00190923" w:rsidRPr="00981405">
        <w:t xml:space="preserve"> </w:t>
      </w:r>
      <w:r w:rsidRPr="00981405">
        <w:t>a</w:t>
      </w:r>
      <w:r w:rsidR="00190923" w:rsidRPr="00981405">
        <w:t xml:space="preserve"> </w:t>
      </w:r>
      <w:r w:rsidRPr="00981405">
        <w:t>particular</w:t>
      </w:r>
      <w:r w:rsidR="00190923" w:rsidRPr="00981405">
        <w:t xml:space="preserve"> </w:t>
      </w:r>
      <w:r w:rsidRPr="00981405">
        <w:t>act</w:t>
      </w:r>
      <w:r w:rsidR="00190923" w:rsidRPr="00981405">
        <w:t xml:space="preserve"> </w:t>
      </w:r>
      <w:r w:rsidRPr="00981405">
        <w:t>performed</w:t>
      </w:r>
      <w:r w:rsidR="00190923" w:rsidRPr="00981405">
        <w:t xml:space="preserve"> </w:t>
      </w:r>
      <w:r w:rsidRPr="00981405">
        <w:t>by</w:t>
      </w:r>
      <w:r w:rsidR="00190923" w:rsidRPr="00981405">
        <w:t xml:space="preserve"> </w:t>
      </w:r>
      <w:r w:rsidRPr="00981405">
        <w:t>an</w:t>
      </w:r>
      <w:r w:rsidR="00190923" w:rsidRPr="00981405">
        <w:t xml:space="preserve"> </w:t>
      </w:r>
      <w:r w:rsidRPr="00981405">
        <w:t>official</w:t>
      </w:r>
      <w:r w:rsidR="00190923" w:rsidRPr="00981405">
        <w:t xml:space="preserve"> </w:t>
      </w:r>
      <w:r w:rsidRPr="00981405">
        <w:t>was</w:t>
      </w:r>
      <w:r w:rsidR="00190923" w:rsidRPr="00981405">
        <w:t xml:space="preserve"> </w:t>
      </w:r>
      <w:r w:rsidRPr="00981405">
        <w:t>amenable</w:t>
      </w:r>
      <w:r w:rsidR="00190923" w:rsidRPr="00981405">
        <w:t xml:space="preserve"> </w:t>
      </w:r>
      <w:r w:rsidRPr="00981405">
        <w:t>to</w:t>
      </w:r>
      <w:r w:rsidR="00190923" w:rsidRPr="00981405">
        <w:t xml:space="preserve"> </w:t>
      </w:r>
      <w:r w:rsidRPr="00981405">
        <w:t>its</w:t>
      </w:r>
      <w:r w:rsidR="00190923" w:rsidRPr="00981405">
        <w:t xml:space="preserve"> </w:t>
      </w:r>
      <w:r w:rsidRPr="00981405">
        <w:t>jurisdiction.</w:t>
      </w:r>
      <w:r w:rsidR="00190923" w:rsidRPr="00981405">
        <w:t xml:space="preserve"> </w:t>
      </w:r>
      <w:r w:rsidRPr="00981405">
        <w:t>These</w:t>
      </w:r>
      <w:r w:rsidR="00190923" w:rsidRPr="00981405">
        <w:t xml:space="preserve"> </w:t>
      </w:r>
      <w:r w:rsidRPr="00981405">
        <w:t>matters</w:t>
      </w:r>
      <w:r w:rsidR="00190923" w:rsidRPr="00981405">
        <w:t xml:space="preserve"> </w:t>
      </w:r>
      <w:r w:rsidRPr="00981405">
        <w:t>were</w:t>
      </w:r>
      <w:r w:rsidR="00190923" w:rsidRPr="00981405">
        <w:t xml:space="preserve"> </w:t>
      </w:r>
      <w:r w:rsidRPr="00981405">
        <w:t>considered</w:t>
      </w:r>
      <w:r w:rsidR="00190923" w:rsidRPr="00981405">
        <w:t xml:space="preserve"> </w:t>
      </w:r>
      <w:r w:rsidRPr="00981405">
        <w:t>in</w:t>
      </w:r>
      <w:r w:rsidR="00190923" w:rsidRPr="00981405">
        <w:t xml:space="preserve"> </w:t>
      </w:r>
      <w:r w:rsidRPr="00D97463">
        <w:rPr>
          <w:i/>
          <w:iCs/>
        </w:rPr>
        <w:t>limine</w:t>
      </w:r>
      <w:r w:rsidR="00190923" w:rsidRPr="00981405">
        <w:rPr>
          <w:i/>
          <w:iCs/>
        </w:rPr>
        <w:t xml:space="preserve"> </w:t>
      </w:r>
      <w:r w:rsidRPr="00D97463">
        <w:rPr>
          <w:i/>
          <w:iCs/>
        </w:rPr>
        <w:t>litis</w:t>
      </w:r>
      <w:r w:rsidRPr="00981405">
        <w:t>.</w:t>
      </w:r>
      <w:r w:rsidR="00190923" w:rsidRPr="00981405">
        <w:t xml:space="preserve"> </w:t>
      </w:r>
      <w:r w:rsidRPr="00981405">
        <w:t>If</w:t>
      </w:r>
      <w:r w:rsidR="00190923" w:rsidRPr="00981405">
        <w:t xml:space="preserve"> </w:t>
      </w:r>
      <w:r w:rsidRPr="00981405">
        <w:t>the</w:t>
      </w:r>
      <w:r w:rsidR="00190923" w:rsidRPr="00981405">
        <w:t xml:space="preserve"> </w:t>
      </w:r>
      <w:r w:rsidRPr="00981405">
        <w:t>lawfulness</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as</w:t>
      </w:r>
      <w:r w:rsidR="00190923" w:rsidRPr="00981405">
        <w:t xml:space="preserve"> </w:t>
      </w:r>
      <w:r w:rsidRPr="00981405">
        <w:t>such,</w:t>
      </w:r>
      <w:r w:rsidR="00190923" w:rsidRPr="00981405">
        <w:t xml:space="preserve"> </w:t>
      </w:r>
      <w:r w:rsidRPr="00981405">
        <w:t>would</w:t>
      </w:r>
      <w:r w:rsidR="00190923" w:rsidRPr="00981405">
        <w:t xml:space="preserve"> </w:t>
      </w:r>
      <w:r w:rsidRPr="00981405">
        <w:t>be</w:t>
      </w:r>
      <w:r w:rsidR="00190923" w:rsidRPr="00981405">
        <w:t xml:space="preserve"> </w:t>
      </w:r>
      <w:r w:rsidRPr="00981405">
        <w:t>a</w:t>
      </w:r>
      <w:r w:rsidR="00190923" w:rsidRPr="00981405">
        <w:t xml:space="preserve"> </w:t>
      </w:r>
      <w:r w:rsidRPr="00981405">
        <w:t>relevant</w:t>
      </w:r>
      <w:r w:rsidR="00190923" w:rsidRPr="00981405">
        <w:t xml:space="preserve"> </w:t>
      </w:r>
      <w:r w:rsidRPr="00981405">
        <w:t>criterion</w:t>
      </w:r>
      <w:r w:rsidR="00190923" w:rsidRPr="00981405">
        <w:t xml:space="preserve"> </w:t>
      </w:r>
      <w:r w:rsidRPr="00981405">
        <w:t>for</w:t>
      </w:r>
      <w:r w:rsidR="00190923" w:rsidRPr="00981405">
        <w:t xml:space="preserve"> </w:t>
      </w:r>
      <w:r w:rsidRPr="00981405">
        <w:t>determining</w:t>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would</w:t>
      </w:r>
      <w:r w:rsidR="00190923" w:rsidRPr="00981405">
        <w:t xml:space="preserve"> </w:t>
      </w:r>
      <w:r w:rsidRPr="00981405">
        <w:t>to</w:t>
      </w:r>
      <w:r w:rsidR="00190923" w:rsidRPr="00981405">
        <w:t xml:space="preserve"> </w:t>
      </w:r>
      <w:r w:rsidRPr="00981405">
        <w:t>that</w:t>
      </w:r>
      <w:r w:rsidR="00190923" w:rsidRPr="00981405">
        <w:t xml:space="preserve"> </w:t>
      </w:r>
      <w:r w:rsidRPr="00981405">
        <w:t>extent,</w:t>
      </w:r>
      <w:r w:rsidR="00190923" w:rsidRPr="00981405">
        <w:t xml:space="preserve"> </w:t>
      </w:r>
      <w:r w:rsidRPr="00981405">
        <w:t>be</w:t>
      </w:r>
      <w:r w:rsidR="00190923" w:rsidRPr="00981405">
        <w:t xml:space="preserve"> </w:t>
      </w:r>
      <w:r w:rsidRPr="00981405">
        <w:t>rendered</w:t>
      </w:r>
      <w:r w:rsidR="00190923" w:rsidRPr="00981405">
        <w:t xml:space="preserve"> </w:t>
      </w:r>
      <w:r w:rsidRPr="00981405">
        <w:t>superfluous.</w:t>
      </w:r>
      <w:r w:rsidR="00190923" w:rsidRPr="00981405">
        <w:t xml:space="preserve"> </w:t>
      </w:r>
      <w:r w:rsidRPr="00981405">
        <w:t>Such</w:t>
      </w:r>
      <w:r w:rsidR="00190923" w:rsidRPr="00981405">
        <w:t xml:space="preserve"> </w:t>
      </w:r>
      <w:r w:rsidRPr="00981405">
        <w:t>an</w:t>
      </w:r>
      <w:r w:rsidR="00190923" w:rsidRPr="00981405">
        <w:t xml:space="preserve"> </w:t>
      </w:r>
      <w:r w:rsidRPr="00981405">
        <w:t>approach</w:t>
      </w:r>
      <w:r w:rsidR="00190923" w:rsidRPr="00981405">
        <w:t xml:space="preserve"> </w:t>
      </w:r>
      <w:r w:rsidRPr="00981405">
        <w:t>would</w:t>
      </w:r>
      <w:r w:rsidR="00190923" w:rsidRPr="00981405">
        <w:t xml:space="preserve"> </w:t>
      </w:r>
      <w:r w:rsidRPr="00981405">
        <w:t>also</w:t>
      </w:r>
      <w:r w:rsidR="00190923" w:rsidRPr="00981405">
        <w:t xml:space="preserve"> </w:t>
      </w:r>
      <w:r w:rsidRPr="00981405">
        <w:t>have</w:t>
      </w:r>
      <w:r w:rsidR="00190923" w:rsidRPr="00981405">
        <w:t xml:space="preserve"> </w:t>
      </w:r>
      <w:r w:rsidRPr="00981405">
        <w:t>implications</w:t>
      </w:r>
      <w:r w:rsidR="00190923" w:rsidRPr="00981405">
        <w:t xml:space="preserve"> </w:t>
      </w:r>
      <w:r w:rsidRPr="00981405">
        <w:t>for</w:t>
      </w:r>
      <w:r w:rsidR="00190923" w:rsidRPr="00981405">
        <w:t xml:space="preserve"> </w:t>
      </w:r>
      <w:r w:rsidRPr="00981405">
        <w:t>the</w:t>
      </w:r>
      <w:r w:rsidR="00190923" w:rsidRPr="00981405">
        <w:t xml:space="preserve"> </w:t>
      </w:r>
      <w:r w:rsidRPr="00981405">
        <w:t>presumption</w:t>
      </w:r>
      <w:r w:rsidR="00190923" w:rsidRPr="00981405">
        <w:t xml:space="preserve"> </w:t>
      </w:r>
      <w:r w:rsidRPr="00981405">
        <w:t>of</w:t>
      </w:r>
      <w:r w:rsidR="00190923" w:rsidRPr="00981405">
        <w:t xml:space="preserve"> </w:t>
      </w:r>
      <w:r w:rsidRPr="00981405">
        <w:t>innocence.</w:t>
      </w:r>
    </w:p>
    <w:p w:rsidR="00397032" w:rsidRPr="00981405" w:rsidRDefault="00397032" w:rsidP="00D97463">
      <w:pPr>
        <w:pStyle w:val="SingleTxt"/>
      </w:pPr>
      <w:r w:rsidRPr="00981405">
        <w:t>210.</w:t>
      </w:r>
      <w:r w:rsidRPr="00981405">
        <w:tab/>
        <w:t>For</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the</w:t>
      </w:r>
      <w:r w:rsidR="00190923" w:rsidRPr="00981405">
        <w:t xml:space="preserve"> </w:t>
      </w:r>
      <w:r w:rsidRPr="00981405">
        <w:t>reference</w:t>
      </w:r>
      <w:r w:rsidR="00190923" w:rsidRPr="00981405">
        <w:t xml:space="preserve"> </w:t>
      </w:r>
      <w:r w:rsidRPr="00981405">
        <w:t>to</w:t>
      </w:r>
      <w:r w:rsidR="00190923" w:rsidRPr="00981405">
        <w:t xml:space="preserve"> </w:t>
      </w:r>
      <w:r w:rsidR="00B92E2C" w:rsidRPr="00981405">
        <w:t>“</w:t>
      </w:r>
      <w:r w:rsidRPr="00981405">
        <w:t>criminal</w:t>
      </w:r>
      <w:r w:rsidR="00190923" w:rsidRPr="00981405">
        <w:t xml:space="preserve"> </w:t>
      </w:r>
      <w:r w:rsidRPr="00981405">
        <w:t>nature</w:t>
      </w:r>
      <w:r w:rsidR="00B92E2C" w:rsidRPr="00981405">
        <w:t>”</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merely</w:t>
      </w:r>
      <w:r w:rsidR="00190923" w:rsidRPr="00981405">
        <w:t xml:space="preserve"> </w:t>
      </w:r>
      <w:r w:rsidRPr="00981405">
        <w:t>sought</w:t>
      </w:r>
      <w:r w:rsidR="00190923" w:rsidRPr="00981405">
        <w:t xml:space="preserve"> </w:t>
      </w:r>
      <w:r w:rsidRPr="00981405">
        <w:t>to</w:t>
      </w:r>
      <w:r w:rsidR="00190923" w:rsidRPr="00981405">
        <w:t xml:space="preserve"> </w:t>
      </w:r>
      <w:r w:rsidRPr="00981405">
        <w:t>reflect</w:t>
      </w:r>
      <w:r w:rsidR="00190923" w:rsidRPr="00981405">
        <w:t xml:space="preserve"> </w:t>
      </w:r>
      <w:r w:rsidRPr="00981405">
        <w:t>a</w:t>
      </w:r>
      <w:r w:rsidR="00190923" w:rsidRPr="00981405">
        <w:t xml:space="preserve"> </w:t>
      </w:r>
      <w:r w:rsidRPr="00981405">
        <w:t>descriptive</w:t>
      </w:r>
      <w:r w:rsidR="00190923" w:rsidRPr="00981405">
        <w:t xml:space="preserve"> </w:t>
      </w:r>
      <w:r w:rsidRPr="00981405">
        <w:t>notion</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intended</w:t>
      </w:r>
      <w:r w:rsidR="00190923" w:rsidRPr="00981405">
        <w:t xml:space="preserve"> </w:t>
      </w:r>
      <w:r w:rsidRPr="00981405">
        <w:t>to</w:t>
      </w:r>
      <w:r w:rsidR="00190923" w:rsidRPr="00981405">
        <w:t xml:space="preserve"> </w:t>
      </w:r>
      <w:r w:rsidRPr="00981405">
        <w:t>mean</w:t>
      </w:r>
      <w:r w:rsidR="00190923" w:rsidRPr="00981405">
        <w:t xml:space="preserve"> </w:t>
      </w:r>
      <w:r w:rsidRPr="00981405">
        <w:t>that</w:t>
      </w:r>
      <w:r w:rsidR="00190923" w:rsidRPr="00981405">
        <w:t xml:space="preserve"> </w:t>
      </w:r>
      <w:r w:rsidRPr="00981405">
        <w:t>all</w:t>
      </w:r>
      <w:r w:rsidR="00190923" w:rsidRPr="00981405">
        <w:t xml:space="preserve"> </w:t>
      </w:r>
      <w:r w:rsidRPr="00981405">
        <w:t>official</w:t>
      </w:r>
      <w:r w:rsidR="00190923" w:rsidRPr="00981405">
        <w:t xml:space="preserve"> </w:t>
      </w:r>
      <w:r w:rsidRPr="00981405">
        <w:t>acts</w:t>
      </w:r>
      <w:r w:rsidR="00190923" w:rsidRPr="00981405">
        <w:t xml:space="preserve"> </w:t>
      </w:r>
      <w:r w:rsidRPr="00981405">
        <w:t>were</w:t>
      </w:r>
      <w:r w:rsidR="00190923" w:rsidRPr="00981405">
        <w:t xml:space="preserve"> </w:t>
      </w:r>
      <w:r w:rsidR="00B92E2C" w:rsidRPr="00981405">
        <w:t>“</w:t>
      </w:r>
      <w:r w:rsidRPr="00981405">
        <w:t>criminal</w:t>
      </w:r>
      <w:r w:rsidR="00B92E2C" w:rsidRPr="00981405">
        <w:t>”</w:t>
      </w:r>
      <w:r w:rsidRPr="00981405">
        <w:t>.</w:t>
      </w:r>
      <w:r w:rsidR="00190923" w:rsidRPr="00981405">
        <w:t xml:space="preserve"> </w:t>
      </w:r>
      <w:r w:rsidRPr="00981405">
        <w:t>Some</w:t>
      </w:r>
      <w:r w:rsidR="00190923" w:rsidRPr="00981405">
        <w:t xml:space="preserve"> </w:t>
      </w:r>
      <w:r w:rsidRPr="00981405">
        <w:t>members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they</w:t>
      </w:r>
      <w:r w:rsidR="00190923" w:rsidRPr="00981405">
        <w:t xml:space="preserve"> </w:t>
      </w:r>
      <w:r w:rsidRPr="00981405">
        <w:t>did</w:t>
      </w:r>
      <w:r w:rsidR="00190923" w:rsidRPr="00981405">
        <w:t xml:space="preserve"> </w:t>
      </w:r>
      <w:r w:rsidRPr="00981405">
        <w:t>not</w:t>
      </w:r>
      <w:r w:rsidR="00190923" w:rsidRPr="00981405">
        <w:t xml:space="preserve"> </w:t>
      </w:r>
      <w:r w:rsidRPr="00981405">
        <w:t>understand</w:t>
      </w:r>
      <w:r w:rsidR="00190923" w:rsidRPr="00981405">
        <w:t xml:space="preserve"> </w:t>
      </w:r>
      <w:r w:rsidRPr="00981405">
        <w:t>the</w:t>
      </w:r>
      <w:r w:rsidR="00190923" w:rsidRPr="00981405">
        <w:t xml:space="preserve"> </w:t>
      </w:r>
      <w:r w:rsidRPr="00981405">
        <w:t>logic</w:t>
      </w:r>
      <w:r w:rsidR="00190923" w:rsidRPr="00981405">
        <w:t xml:space="preserve"> </w:t>
      </w:r>
      <w:r w:rsidRPr="00981405">
        <w:t>that</w:t>
      </w:r>
      <w:r w:rsidR="00190923" w:rsidRPr="00981405">
        <w:t xml:space="preserve"> </w:t>
      </w:r>
      <w:r w:rsidRPr="00981405">
        <w:t>immunity</w:t>
      </w:r>
      <w:r w:rsidR="00190923" w:rsidRPr="00981405">
        <w:t xml:space="preserve"> </w:t>
      </w:r>
      <w:r w:rsidRPr="00981405">
        <w:t>applied</w:t>
      </w:r>
      <w:r w:rsidR="00190923" w:rsidRPr="00981405">
        <w:t xml:space="preserve"> </w:t>
      </w:r>
      <w:r w:rsidRPr="00981405">
        <w:t>because</w:t>
      </w:r>
      <w:r w:rsidR="00190923" w:rsidRPr="00981405">
        <w:t xml:space="preserve"> </w:t>
      </w:r>
      <w:r w:rsidRPr="00981405">
        <w:t>the</w:t>
      </w:r>
      <w:r w:rsidR="00190923" w:rsidRPr="00981405">
        <w:t xml:space="preserve"> </w:t>
      </w:r>
      <w:r w:rsidRPr="00981405">
        <w:t>act</w:t>
      </w:r>
      <w:r w:rsidR="00190923" w:rsidRPr="00981405">
        <w:t xml:space="preserve"> </w:t>
      </w:r>
      <w:r w:rsidRPr="00981405">
        <w:t>had</w:t>
      </w:r>
      <w:r w:rsidR="00190923" w:rsidRPr="00981405">
        <w:t xml:space="preserve"> </w:t>
      </w:r>
      <w:r w:rsidRPr="00981405">
        <w:t>been</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and</w:t>
      </w:r>
      <w:r w:rsidR="00190923" w:rsidRPr="00981405">
        <w:t xml:space="preserve"> </w:t>
      </w:r>
      <w:r w:rsidRPr="00981405">
        <w:t>not</w:t>
      </w:r>
      <w:r w:rsidR="00190923" w:rsidRPr="00981405">
        <w:t xml:space="preserve"> </w:t>
      </w:r>
      <w:r w:rsidRPr="00981405">
        <w:t>because</w:t>
      </w:r>
      <w:r w:rsidR="00190923" w:rsidRPr="00981405">
        <w:t xml:space="preserve"> </w:t>
      </w:r>
      <w:r w:rsidRPr="00981405">
        <w:t>it</w:t>
      </w:r>
      <w:r w:rsidR="00190923" w:rsidRPr="00981405">
        <w:t xml:space="preserve"> </w:t>
      </w:r>
      <w:r w:rsidRPr="00981405">
        <w:t>had</w:t>
      </w:r>
      <w:r w:rsidR="00190923" w:rsidRPr="00981405">
        <w:t xml:space="preserve"> </w:t>
      </w:r>
      <w:r w:rsidRPr="00981405">
        <w:t>a</w:t>
      </w:r>
      <w:r w:rsidR="00190923" w:rsidRPr="00981405">
        <w:t xml:space="preserve"> </w:t>
      </w:r>
      <w:r w:rsidRPr="00981405">
        <w:t>criminal</w:t>
      </w:r>
      <w:r w:rsidR="00190923" w:rsidRPr="00981405">
        <w:t xml:space="preserve"> </w:t>
      </w:r>
      <w:r w:rsidRPr="00981405">
        <w:t>element.</w:t>
      </w:r>
      <w:r w:rsidR="00190923" w:rsidRPr="00981405">
        <w:t xml:space="preserve"> </w:t>
      </w:r>
      <w:r w:rsidRPr="00981405">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it</w:t>
      </w:r>
      <w:r w:rsidR="00190923" w:rsidRPr="00981405">
        <w:t xml:space="preserve"> </w:t>
      </w:r>
      <w:r w:rsidRPr="00981405">
        <w:t>was</w:t>
      </w:r>
      <w:r w:rsidR="00190923" w:rsidRPr="00981405">
        <w:t xml:space="preserve"> </w:t>
      </w:r>
      <w:r w:rsidRPr="00981405">
        <w:t>recalled</w:t>
      </w:r>
      <w:r w:rsidR="00190923" w:rsidRPr="00981405">
        <w:t xml:space="preserve"> </w:t>
      </w:r>
      <w:r w:rsidRPr="00981405">
        <w:t>that</w:t>
      </w:r>
      <w:r w:rsidR="00190923" w:rsidRPr="00981405">
        <w:t xml:space="preserve"> </w:t>
      </w:r>
      <w:r w:rsidRPr="00981405">
        <w:t>suggestions</w:t>
      </w:r>
      <w:r w:rsidR="00190923" w:rsidRPr="00981405">
        <w:t xml:space="preserve"> </w:t>
      </w:r>
      <w:r w:rsidRPr="00981405">
        <w:t>had</w:t>
      </w:r>
      <w:r w:rsidR="00190923" w:rsidRPr="00981405">
        <w:t xml:space="preserve"> </w:t>
      </w:r>
      <w:r w:rsidRPr="00981405">
        <w:t>been</w:t>
      </w:r>
      <w:r w:rsidR="00190923" w:rsidRPr="00981405">
        <w:t xml:space="preserve"> </w:t>
      </w:r>
      <w:r w:rsidRPr="00981405">
        <w:t>made</w:t>
      </w:r>
      <w:r w:rsidR="00190923" w:rsidRPr="00981405">
        <w:t xml:space="preserve"> </w:t>
      </w:r>
      <w:r w:rsidRPr="00981405">
        <w:t>in</w:t>
      </w:r>
      <w:r w:rsidR="00190923" w:rsidRPr="00981405">
        <w:t xml:space="preserve"> </w:t>
      </w:r>
      <w:r w:rsidRPr="00981405">
        <w:t>the</w:t>
      </w:r>
      <w:r w:rsidR="00190923" w:rsidRPr="00981405">
        <w:t xml:space="preserve"> </w:t>
      </w:r>
      <w:r w:rsidRPr="00981405">
        <w:t>past</w:t>
      </w:r>
      <w:r w:rsidR="00190923" w:rsidRPr="00981405">
        <w:t xml:space="preserve"> </w:t>
      </w:r>
      <w:r w:rsidRPr="00981405">
        <w:t>for</w:t>
      </w:r>
      <w:r w:rsidR="00190923" w:rsidRPr="00981405">
        <w:t xml:space="preserve"> </w:t>
      </w:r>
      <w:r w:rsidRPr="00981405">
        <w:t>a</w:t>
      </w:r>
      <w:r w:rsidR="00190923" w:rsidRPr="00981405">
        <w:t xml:space="preserve"> </w:t>
      </w:r>
      <w:r w:rsidRPr="00981405">
        <w:t>definition</w:t>
      </w:r>
      <w:r w:rsidR="00190923" w:rsidRPr="00981405">
        <w:t xml:space="preserve"> </w:t>
      </w:r>
      <w:r w:rsidRPr="00981405">
        <w:t>of</w:t>
      </w:r>
      <w:r w:rsidR="00190923" w:rsidRPr="00981405">
        <w:t xml:space="preserve"> </w:t>
      </w:r>
      <w:r w:rsidRPr="00981405">
        <w:t>criminal</w:t>
      </w:r>
      <w:r w:rsidR="00190923" w:rsidRPr="00981405">
        <w:t xml:space="preserve"> </w:t>
      </w:r>
      <w:r w:rsidRPr="00981405">
        <w:t>conduct.</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wondered</w:t>
      </w:r>
      <w:r w:rsidR="00190923" w:rsidRPr="00981405">
        <w:t xml:space="preserve"> </w:t>
      </w:r>
      <w:r w:rsidRPr="00981405">
        <w:t>what</w:t>
      </w:r>
      <w:r w:rsidR="00190923" w:rsidRPr="00981405">
        <w:t xml:space="preserve"> </w:t>
      </w:r>
      <w:r w:rsidRPr="00981405">
        <w:t>would</w:t>
      </w:r>
      <w:r w:rsidR="00190923" w:rsidRPr="00981405">
        <w:t xml:space="preserve"> </w:t>
      </w:r>
      <w:r w:rsidRPr="00981405">
        <w:t>be</w:t>
      </w:r>
      <w:r w:rsidR="00190923" w:rsidRPr="00981405">
        <w:t xml:space="preserve"> </w:t>
      </w:r>
      <w:r w:rsidRPr="00981405">
        <w:t>the</w:t>
      </w:r>
      <w:r w:rsidR="00190923" w:rsidRPr="00981405">
        <w:t xml:space="preserve"> </w:t>
      </w:r>
      <w:r w:rsidRPr="00981405">
        <w:t>whole</w:t>
      </w:r>
      <w:r w:rsidR="00190923" w:rsidRPr="00981405">
        <w:t xml:space="preserve"> </w:t>
      </w:r>
      <w:r w:rsidRPr="00981405">
        <w:t>point</w:t>
      </w:r>
      <w:r w:rsidR="00190923" w:rsidRPr="00981405">
        <w:t xml:space="preserve"> </w:t>
      </w:r>
      <w:r w:rsidRPr="00981405">
        <w:t>of</w:t>
      </w:r>
      <w:r w:rsidR="00190923" w:rsidRPr="00981405">
        <w:t xml:space="preserve"> </w:t>
      </w:r>
      <w:r w:rsidRPr="00981405">
        <w:t>arresting</w:t>
      </w:r>
      <w:r w:rsidR="00190923" w:rsidRPr="00981405">
        <w:t xml:space="preserve"> </w:t>
      </w:r>
      <w:r w:rsidRPr="00981405">
        <w:t>an</w:t>
      </w:r>
      <w:r w:rsidR="00190923" w:rsidRPr="00981405">
        <w:t xml:space="preserve"> </w:t>
      </w:r>
      <w:r w:rsidRPr="00981405">
        <w:t>official</w:t>
      </w:r>
      <w:r w:rsidR="00190923" w:rsidRPr="00981405">
        <w:t xml:space="preserve"> </w:t>
      </w:r>
      <w:r w:rsidRPr="00981405">
        <w:t>if</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for</w:t>
      </w:r>
      <w:r w:rsidR="00190923" w:rsidRPr="00981405">
        <w:t xml:space="preserve"> </w:t>
      </w:r>
      <w:r w:rsidRPr="00981405">
        <w:t>having</w:t>
      </w:r>
      <w:r w:rsidR="00190923" w:rsidRPr="00981405">
        <w:t xml:space="preserve"> </w:t>
      </w:r>
      <w:r w:rsidRPr="00981405">
        <w:t>allegedly</w:t>
      </w:r>
      <w:r w:rsidR="00190923" w:rsidRPr="00981405">
        <w:t xml:space="preserve"> </w:t>
      </w:r>
      <w:r w:rsidRPr="00981405">
        <w:t>committed</w:t>
      </w:r>
      <w:r w:rsidR="00190923" w:rsidRPr="00981405">
        <w:t xml:space="preserve"> </w:t>
      </w:r>
      <w:r w:rsidRPr="00981405">
        <w:t>a</w:t>
      </w:r>
      <w:r w:rsidR="00190923" w:rsidRPr="00981405">
        <w:t xml:space="preserve"> </w:t>
      </w:r>
      <w:r w:rsidRPr="00981405">
        <w:t>criminal</w:t>
      </w:r>
      <w:r w:rsidR="00190923" w:rsidRPr="00981405">
        <w:t xml:space="preserve"> </w:t>
      </w:r>
      <w:r w:rsidRPr="00981405">
        <w:t>act,</w:t>
      </w:r>
      <w:r w:rsidR="00190923" w:rsidRPr="00981405">
        <w:t xml:space="preserve"> </w:t>
      </w:r>
      <w:r w:rsidRPr="00981405">
        <w:t>and</w:t>
      </w:r>
      <w:r w:rsidR="00190923" w:rsidRPr="00981405">
        <w:t xml:space="preserve"> </w:t>
      </w:r>
      <w:r w:rsidRPr="00981405">
        <w:t>indeed</w:t>
      </w:r>
      <w:r w:rsidR="00190923" w:rsidRPr="00981405">
        <w:t xml:space="preserve"> </w:t>
      </w:r>
      <w:r w:rsidRPr="00981405">
        <w:t>at</w:t>
      </w:r>
      <w:r w:rsidR="00190923" w:rsidRPr="00981405">
        <w:t xml:space="preserve"> </w:t>
      </w:r>
      <w:r w:rsidRPr="00981405">
        <w:t>that</w:t>
      </w:r>
      <w:r w:rsidR="00190923" w:rsidRPr="00981405">
        <w:t xml:space="preserve"> </w:t>
      </w:r>
      <w:r w:rsidRPr="00981405">
        <w:t>point</w:t>
      </w:r>
      <w:r w:rsidR="00190923" w:rsidRPr="00981405">
        <w:t xml:space="preserve"> </w:t>
      </w:r>
      <w:r w:rsidRPr="00981405">
        <w:t>it</w:t>
      </w:r>
      <w:r w:rsidR="00190923" w:rsidRPr="00981405">
        <w:t xml:space="preserve"> </w:t>
      </w:r>
      <w:r w:rsidRPr="00981405">
        <w:t>was</w:t>
      </w:r>
      <w:r w:rsidR="00190923" w:rsidRPr="00981405">
        <w:t xml:space="preserve"> </w:t>
      </w:r>
      <w:r w:rsidRPr="00981405">
        <w:t>doubted</w:t>
      </w:r>
      <w:r w:rsidR="00190923" w:rsidRPr="00981405">
        <w:t xml:space="preserve"> </w:t>
      </w:r>
      <w:r w:rsidRPr="00981405">
        <w:t>that</w:t>
      </w:r>
      <w:r w:rsidR="00190923" w:rsidRPr="00981405">
        <w:t xml:space="preserve"> </w:t>
      </w:r>
      <w:r w:rsidRPr="00981405">
        <w:t>the</w:t>
      </w:r>
      <w:r w:rsidR="00190923" w:rsidRPr="00981405">
        <w:t xml:space="preserve"> </w:t>
      </w:r>
      <w:r w:rsidRPr="00981405">
        <w:t>presumption</w:t>
      </w:r>
      <w:r w:rsidR="00190923" w:rsidRPr="00981405">
        <w:t xml:space="preserve"> </w:t>
      </w:r>
      <w:r w:rsidRPr="00981405">
        <w:t>of</w:t>
      </w:r>
      <w:r w:rsidR="00190923" w:rsidRPr="00981405">
        <w:t xml:space="preserve"> </w:t>
      </w:r>
      <w:r w:rsidRPr="00981405">
        <w:t>innocence</w:t>
      </w:r>
      <w:r w:rsidR="00190923" w:rsidRPr="00981405">
        <w:t xml:space="preserve"> </w:t>
      </w:r>
      <w:r w:rsidRPr="00981405">
        <w:t>would</w:t>
      </w:r>
      <w:r w:rsidR="00190923" w:rsidRPr="00981405">
        <w:t xml:space="preserve"> </w:t>
      </w:r>
      <w:r w:rsidRPr="00981405">
        <w:t>be</w:t>
      </w:r>
      <w:r w:rsidR="00190923" w:rsidRPr="00981405">
        <w:t xml:space="preserve"> </w:t>
      </w:r>
      <w:r w:rsidRPr="00981405">
        <w:t>engaged.</w:t>
      </w:r>
    </w:p>
    <w:p w:rsidR="00397032" w:rsidRPr="00981405" w:rsidRDefault="00397032" w:rsidP="00D97463">
      <w:pPr>
        <w:pStyle w:val="SingleTxt"/>
      </w:pPr>
      <w:r w:rsidRPr="00981405">
        <w:t>211.</w:t>
      </w:r>
      <w:r w:rsidRPr="00981405">
        <w:tab/>
        <w:t>It</w:t>
      </w:r>
      <w:r w:rsidR="00190923" w:rsidRPr="00981405">
        <w:t xml:space="preserve"> </w:t>
      </w:r>
      <w:r w:rsidRPr="00981405">
        <w:t>was</w:t>
      </w:r>
      <w:r w:rsidR="00190923" w:rsidRPr="00981405">
        <w:t xml:space="preserve"> </w:t>
      </w:r>
      <w:r w:rsidRPr="00981405">
        <w:t>countered,</w:t>
      </w:r>
      <w:r w:rsidR="00190923" w:rsidRPr="00981405">
        <w:t xml:space="preserve"> </w:t>
      </w:r>
      <w:r w:rsidRPr="00981405">
        <w:t>in</w:t>
      </w:r>
      <w:r w:rsidR="00190923" w:rsidRPr="00981405">
        <w:t xml:space="preserve"> </w:t>
      </w:r>
      <w:r w:rsidRPr="00981405">
        <w:t>turn,</w:t>
      </w:r>
      <w:r w:rsidR="00190923" w:rsidRPr="00981405">
        <w:t xml:space="preserve"> </w:t>
      </w:r>
      <w:r w:rsidRPr="00981405">
        <w:t>that</w:t>
      </w:r>
      <w:r w:rsidR="00190923" w:rsidRPr="00981405">
        <w:t xml:space="preserve"> </w:t>
      </w:r>
      <w:r w:rsidRPr="00981405">
        <w:t>draft</w:t>
      </w:r>
      <w:r w:rsidR="00190923" w:rsidRPr="00981405">
        <w:t xml:space="preserve"> </w:t>
      </w:r>
      <w:r w:rsidRPr="00981405">
        <w:t>article</w:t>
      </w:r>
      <w:r w:rsidR="00190923" w:rsidRPr="00981405">
        <w:t xml:space="preserve"> </w:t>
      </w:r>
      <w:r w:rsidRPr="00981405">
        <w:t>1,</w:t>
      </w:r>
      <w:r w:rsidR="00190923" w:rsidRPr="00981405">
        <w:t xml:space="preserve"> </w:t>
      </w:r>
      <w:r w:rsidRPr="00981405">
        <w:t>on</w:t>
      </w:r>
      <w:r w:rsidR="00190923" w:rsidRPr="00981405">
        <w:t xml:space="preserve"> </w:t>
      </w:r>
      <w:r w:rsidRPr="00981405">
        <w:t>scope,</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2013</w:t>
      </w:r>
      <w:r w:rsidR="00190923" w:rsidRPr="00981405">
        <w:t xml:space="preserve"> </w:t>
      </w:r>
      <w:r w:rsidRPr="00981405">
        <w:t>already</w:t>
      </w:r>
      <w:r w:rsidR="00190923" w:rsidRPr="00981405">
        <w:t xml:space="preserve"> </w:t>
      </w:r>
      <w:r w:rsidRPr="00981405">
        <w:t>provided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were</w:t>
      </w:r>
      <w:r w:rsidR="00190923" w:rsidRPr="00981405">
        <w:t xml:space="preserve"> </w:t>
      </w:r>
      <w:r w:rsidRPr="00981405">
        <w:t>focused</w:t>
      </w:r>
      <w:r w:rsidR="00190923" w:rsidRPr="00981405">
        <w:t xml:space="preserve"> </w:t>
      </w:r>
      <w:r w:rsidRPr="00981405">
        <w:t>on</w:t>
      </w:r>
      <w:r w:rsidR="00190923" w:rsidRPr="00981405">
        <w:t xml:space="preserve"> </w:t>
      </w:r>
      <w:r w:rsidRPr="00981405">
        <w:t>criminal</w:t>
      </w:r>
      <w:r w:rsidR="00190923" w:rsidRPr="00981405">
        <w:t xml:space="preserve"> </w:t>
      </w:r>
      <w:r w:rsidRPr="00981405">
        <w:t>jurisdiction.</w:t>
      </w:r>
    </w:p>
    <w:p w:rsidR="00397032" w:rsidRPr="00981405" w:rsidRDefault="00397032" w:rsidP="00D97463">
      <w:pPr>
        <w:pStyle w:val="SingleTxt"/>
      </w:pPr>
      <w:r w:rsidRPr="00981405">
        <w:t>212.</w:t>
      </w:r>
      <w:r w:rsidRPr="00981405">
        <w:tab/>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proposals</w:t>
      </w:r>
      <w:r w:rsidR="00190923" w:rsidRPr="00981405">
        <w:t xml:space="preserve"> </w:t>
      </w:r>
      <w:r w:rsidRPr="00981405">
        <w:t>were</w:t>
      </w:r>
      <w:r w:rsidR="00190923" w:rsidRPr="00981405">
        <w:t xml:space="preserve"> </w:t>
      </w:r>
      <w:r w:rsidRPr="00981405">
        <w:t>made</w:t>
      </w:r>
      <w:r w:rsidR="00190923" w:rsidRPr="00981405">
        <w:t xml:space="preserve"> </w:t>
      </w:r>
      <w:r w:rsidRPr="00981405">
        <w:t>to</w:t>
      </w:r>
      <w:r w:rsidR="00190923" w:rsidRPr="00981405">
        <w:t xml:space="preserve"> </w:t>
      </w:r>
      <w:r w:rsidRPr="00981405">
        <w:t>qualify</w:t>
      </w:r>
      <w:r w:rsidR="00190923" w:rsidRPr="00981405">
        <w:t xml:space="preserve"> </w:t>
      </w:r>
      <w:r w:rsidRPr="00981405">
        <w:t>and</w:t>
      </w:r>
      <w:r w:rsidR="00190923" w:rsidRPr="00981405">
        <w:t xml:space="preserve"> </w:t>
      </w:r>
      <w:r w:rsidRPr="00981405">
        <w:t>remove</w:t>
      </w:r>
      <w:r w:rsidR="00190923" w:rsidRPr="00981405">
        <w:t xml:space="preserve"> </w:t>
      </w:r>
      <w:r w:rsidRPr="00981405">
        <w:t>from</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proposed</w:t>
      </w:r>
      <w:r w:rsidR="00190923" w:rsidRPr="00981405">
        <w:t xml:space="preserve"> </w:t>
      </w:r>
      <w:r w:rsidRPr="00981405">
        <w:t>definition</w:t>
      </w:r>
      <w:r w:rsidR="00190923" w:rsidRPr="00981405">
        <w:t xml:space="preserve"> </w:t>
      </w:r>
      <w:r w:rsidRPr="00981405">
        <w:t>any</w:t>
      </w:r>
      <w:r w:rsidR="00190923" w:rsidRPr="00981405">
        <w:t xml:space="preserve"> </w:t>
      </w:r>
      <w:r w:rsidRPr="00981405">
        <w:t>connotation</w:t>
      </w:r>
      <w:r w:rsidR="00190923" w:rsidRPr="00981405">
        <w:t xml:space="preserve"> </w:t>
      </w:r>
      <w:r w:rsidRPr="00981405">
        <w:t>that</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00590FA7" w:rsidRPr="00981405">
        <w:rPr>
          <w:i/>
          <w:iCs/>
        </w:rPr>
        <w:t>per</w:t>
      </w:r>
      <w:r w:rsidR="00190923" w:rsidRPr="00981405">
        <w:rPr>
          <w:i/>
          <w:iCs/>
        </w:rPr>
        <w:t xml:space="preserve"> </w:t>
      </w:r>
      <w:r w:rsidR="00590FA7" w:rsidRPr="00981405">
        <w:rPr>
          <w:i/>
          <w:iCs/>
        </w:rPr>
        <w:t>se</w:t>
      </w:r>
      <w:r w:rsidR="00190923" w:rsidRPr="00981405">
        <w:t xml:space="preserve"> </w:t>
      </w:r>
      <w:r w:rsidRPr="00981405">
        <w:t>was</w:t>
      </w:r>
      <w:r w:rsidR="00190923" w:rsidRPr="00981405">
        <w:t xml:space="preserve"> </w:t>
      </w:r>
      <w:r w:rsidRPr="00981405">
        <w:t>a</w:t>
      </w:r>
      <w:r w:rsidR="00190923" w:rsidRPr="00981405">
        <w:t xml:space="preserve"> </w:t>
      </w:r>
      <w:r w:rsidRPr="00981405">
        <w:t>crime.</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paragraph</w:t>
      </w:r>
      <w:r w:rsidR="00190923" w:rsidRPr="00981405">
        <w:t xml:space="preserve"> </w:t>
      </w:r>
      <w:r w:rsidRPr="00981405">
        <w:t>(f),</w:t>
      </w:r>
      <w:r w:rsidR="00190923" w:rsidRPr="00981405">
        <w:t xml:space="preserve"> </w:t>
      </w:r>
      <w:r w:rsidRPr="00981405">
        <w:t>should</w:t>
      </w:r>
      <w:r w:rsidR="00190923" w:rsidRPr="00981405">
        <w:t xml:space="preserve"> </w:t>
      </w:r>
      <w:r w:rsidRPr="00981405">
        <w:t>be</w:t>
      </w:r>
      <w:r w:rsidR="00190923" w:rsidRPr="00981405">
        <w:t xml:space="preserve"> </w:t>
      </w:r>
      <w:r w:rsidRPr="00981405">
        <w:t>recast</w:t>
      </w:r>
      <w:r w:rsidR="00190923" w:rsidRPr="00981405">
        <w:t xml:space="preserve"> </w:t>
      </w:r>
      <w:r w:rsidRPr="00981405">
        <w:t>in</w:t>
      </w:r>
      <w:r w:rsidR="00190923" w:rsidRPr="00981405">
        <w:t xml:space="preserve"> </w:t>
      </w:r>
      <w:r w:rsidRPr="00981405">
        <w:t>such</w:t>
      </w:r>
      <w:r w:rsidR="00190923" w:rsidRPr="00981405">
        <w:t xml:space="preserve"> </w:t>
      </w:r>
      <w:r w:rsidRPr="00981405">
        <w:t>a</w:t>
      </w:r>
      <w:r w:rsidR="00190923" w:rsidRPr="00981405">
        <w:t xml:space="preserve"> </w:t>
      </w:r>
      <w:r w:rsidRPr="00981405">
        <w:t>way</w:t>
      </w:r>
      <w:r w:rsidR="00190923" w:rsidRPr="00981405">
        <w:t xml:space="preserve"> </w:t>
      </w:r>
      <w:r w:rsidRPr="00981405">
        <w:t>as</w:t>
      </w:r>
      <w:r w:rsidR="00190923" w:rsidRPr="00981405">
        <w:t xml:space="preserve"> </w:t>
      </w:r>
      <w:r w:rsidRPr="00981405">
        <w:t>to</w:t>
      </w:r>
      <w:r w:rsidR="00190923" w:rsidRPr="00981405">
        <w:t xml:space="preserve"> </w:t>
      </w:r>
      <w:r w:rsidRPr="00981405">
        <w:t>remove</w:t>
      </w:r>
      <w:r w:rsidR="00190923" w:rsidRPr="00981405">
        <w:t xml:space="preserve"> </w:t>
      </w:r>
      <w:r w:rsidRPr="00981405">
        <w:t>the</w:t>
      </w:r>
      <w:r w:rsidR="00190923" w:rsidRPr="00981405">
        <w:t xml:space="preserve"> </w:t>
      </w:r>
      <w:r w:rsidRPr="00981405">
        <w:t>requirements</w:t>
      </w:r>
      <w:r w:rsidR="00190923" w:rsidRPr="00981405">
        <w:t xml:space="preserve"> </w:t>
      </w:r>
      <w:r w:rsidRPr="00981405">
        <w:t>of</w:t>
      </w:r>
      <w:r w:rsidR="00190923" w:rsidRPr="00981405">
        <w:t xml:space="preserve"> </w:t>
      </w:r>
      <w:r w:rsidRPr="00981405">
        <w:t>criminality.</w:t>
      </w:r>
    </w:p>
    <w:p w:rsidR="00397032" w:rsidRPr="00981405" w:rsidRDefault="00397032" w:rsidP="00D97463">
      <w:pPr>
        <w:pStyle w:val="SingleTxt"/>
      </w:pPr>
      <w:r w:rsidRPr="00981405">
        <w:t>213.</w:t>
      </w:r>
      <w:r w:rsidRPr="00981405">
        <w:tab/>
        <w:t>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00B92E2C" w:rsidRPr="00981405">
        <w:t>“</w:t>
      </w:r>
      <w:r w:rsidRPr="00981405">
        <w:t>single</w:t>
      </w:r>
      <w:r w:rsidR="00190923" w:rsidRPr="00981405">
        <w:t xml:space="preserve"> </w:t>
      </w:r>
      <w:r w:rsidRPr="00981405">
        <w:t>act,</w:t>
      </w:r>
      <w:r w:rsidR="00190923" w:rsidRPr="00981405">
        <w:t xml:space="preserve"> </w:t>
      </w:r>
      <w:r w:rsidRPr="00981405">
        <w:t>dual</w:t>
      </w:r>
      <w:r w:rsidR="00190923" w:rsidRPr="00981405">
        <w:t xml:space="preserve"> </w:t>
      </w:r>
      <w:r w:rsidRPr="00981405">
        <w:t>responsibility</w:t>
      </w:r>
      <w:r w:rsidR="00B92E2C" w:rsidRPr="00981405">
        <w:t>”</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some</w:t>
      </w:r>
      <w:r w:rsidR="00190923" w:rsidRPr="00981405">
        <w:t xml:space="preserve"> </w:t>
      </w:r>
      <w:r w:rsidRPr="00981405">
        <w:t>members,</w:t>
      </w:r>
      <w:r w:rsidR="00190923" w:rsidRPr="00981405">
        <w:t xml:space="preserve"> </w:t>
      </w:r>
      <w:r w:rsidRPr="00981405">
        <w:t>well</w:t>
      </w:r>
      <w:r w:rsidR="00190923" w:rsidRPr="00981405">
        <w:t xml:space="preserve"> </w:t>
      </w:r>
      <w:r w:rsidRPr="00981405">
        <w:t>established</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clear</w:t>
      </w:r>
      <w:r w:rsidR="00190923" w:rsidRPr="00981405">
        <w:t xml:space="preserve"> </w:t>
      </w:r>
      <w:r w:rsidRPr="00981405">
        <w:t>that</w:t>
      </w:r>
      <w:r w:rsidR="00190923" w:rsidRPr="00981405">
        <w:t xml:space="preserve"> </w:t>
      </w:r>
      <w:r w:rsidRPr="00981405">
        <w:t>any</w:t>
      </w:r>
      <w:r w:rsidR="00190923" w:rsidRPr="00981405">
        <w:t xml:space="preserve"> </w:t>
      </w:r>
      <w:r w:rsidRPr="00981405">
        <w:t>act</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was</w:t>
      </w:r>
      <w:r w:rsidR="00190923" w:rsidRPr="00981405">
        <w:t xml:space="preserve"> </w:t>
      </w:r>
      <w:r w:rsidRPr="00981405">
        <w:t>attributable</w:t>
      </w:r>
      <w:r w:rsidR="00190923" w:rsidRPr="00981405">
        <w:t xml:space="preserve"> </w:t>
      </w:r>
      <w:r w:rsidRPr="00981405">
        <w:t>not</w:t>
      </w:r>
      <w:r w:rsidR="00190923" w:rsidRPr="00981405">
        <w:t xml:space="preserve"> </w:t>
      </w:r>
      <w:r w:rsidRPr="00981405">
        <w:t>only</w:t>
      </w:r>
      <w:r w:rsidR="00190923" w:rsidRPr="00981405">
        <w:t xml:space="preserve"> </w:t>
      </w:r>
      <w:r w:rsidRPr="00981405">
        <w:t>to</w:t>
      </w:r>
      <w:r w:rsidR="00190923" w:rsidRPr="00981405">
        <w:t xml:space="preserve"> </w:t>
      </w:r>
      <w:r w:rsidRPr="00981405">
        <w:t>the</w:t>
      </w:r>
      <w:r w:rsidR="00190923" w:rsidRPr="00981405">
        <w:t xml:space="preserve"> </w:t>
      </w:r>
      <w:r w:rsidRPr="00981405">
        <w:t>person</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his</w:t>
      </w:r>
      <w:r w:rsidR="00190923" w:rsidRPr="00981405">
        <w:t xml:space="preserve"> </w:t>
      </w:r>
      <w:r w:rsidRPr="00981405">
        <w:t>individual</w:t>
      </w:r>
      <w:r w:rsidR="00190923" w:rsidRPr="00981405">
        <w:t xml:space="preserve"> </w:t>
      </w:r>
      <w:r w:rsidRPr="00981405">
        <w:t>criminal</w:t>
      </w:r>
      <w:r w:rsidR="00190923" w:rsidRPr="00981405">
        <w:t xml:space="preserve"> </w:t>
      </w:r>
      <w:r w:rsidRPr="00981405">
        <w:t>responsibility)</w:t>
      </w:r>
      <w:r w:rsidR="00190923" w:rsidRPr="00981405">
        <w:t xml:space="preserve"> </w:t>
      </w:r>
      <w:r w:rsidRPr="00981405">
        <w:t>but</w:t>
      </w:r>
      <w:r w:rsidR="00190923" w:rsidRPr="00981405">
        <w:t xml:space="preserve"> </w:t>
      </w:r>
      <w:r w:rsidRPr="00981405">
        <w:t>also</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State</w:t>
      </w:r>
      <w:r w:rsidR="00190923" w:rsidRPr="00981405">
        <w:t xml:space="preserve"> </w:t>
      </w:r>
      <w:r w:rsidRPr="00981405">
        <w:t>responsibility).</w:t>
      </w:r>
      <w:r w:rsidR="00190923" w:rsidRPr="00981405">
        <w:t xml:space="preserve"> </w:t>
      </w:r>
      <w:r w:rsidRPr="00981405">
        <w:t>For</w:t>
      </w:r>
      <w:r w:rsidR="00190923" w:rsidRPr="00981405">
        <w:t xml:space="preserve"> </w:t>
      </w:r>
      <w:r w:rsidRPr="00981405">
        <w:t>other</w:t>
      </w:r>
      <w:r w:rsidR="00190923" w:rsidRPr="00981405">
        <w:t xml:space="preserve"> </w:t>
      </w:r>
      <w:r w:rsidRPr="00981405">
        <w:t>members,</w:t>
      </w:r>
      <w:r w:rsidR="00190923" w:rsidRPr="00981405">
        <w:t xml:space="preserve"> </w:t>
      </w:r>
      <w:r w:rsidRPr="00981405">
        <w:t>even</w:t>
      </w:r>
      <w:r w:rsidR="00190923" w:rsidRPr="00981405">
        <w:t xml:space="preserve"> </w:t>
      </w:r>
      <w:r w:rsidRPr="00981405">
        <w:t>though</w:t>
      </w:r>
      <w:r w:rsidR="00190923" w:rsidRPr="00981405">
        <w:t xml:space="preserve"> </w:t>
      </w:r>
      <w:r w:rsidRPr="00981405">
        <w:t>not</w:t>
      </w:r>
      <w:r w:rsidR="00190923" w:rsidRPr="00981405">
        <w:t xml:space="preserve"> </w:t>
      </w:r>
      <w:r w:rsidRPr="00981405">
        <w:t>opposed</w:t>
      </w:r>
      <w:r w:rsidR="00190923" w:rsidRPr="00981405">
        <w:t xml:space="preserve"> </w:t>
      </w:r>
      <w:r w:rsidRPr="00981405">
        <w:t>to</w:t>
      </w:r>
      <w:r w:rsidR="00190923" w:rsidRPr="00981405">
        <w:t xml:space="preserve"> </w:t>
      </w:r>
      <w:r w:rsidRPr="00981405">
        <w:t>such</w:t>
      </w:r>
      <w:r w:rsidR="00190923" w:rsidRPr="00981405">
        <w:t xml:space="preserve"> </w:t>
      </w:r>
      <w:r w:rsidRPr="00981405">
        <w:t>a</w:t>
      </w:r>
      <w:r w:rsidR="00190923" w:rsidRPr="00981405">
        <w:t xml:space="preserve"> </w:t>
      </w:r>
      <w:r w:rsidRPr="00981405">
        <w:t>description,</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entirely</w:t>
      </w:r>
      <w:r w:rsidR="00190923" w:rsidRPr="00981405">
        <w:t xml:space="preserve"> </w:t>
      </w:r>
      <w:r w:rsidRPr="00981405">
        <w:t>apparent</w:t>
      </w:r>
      <w:r w:rsidR="00190923" w:rsidRPr="00981405">
        <w:t xml:space="preserve"> </w:t>
      </w:r>
      <w:r w:rsidRPr="00981405">
        <w:t>how</w:t>
      </w:r>
      <w:r w:rsidR="00190923" w:rsidRPr="00981405">
        <w:t xml:space="preserve"> </w:t>
      </w:r>
      <w:r w:rsidRPr="00981405">
        <w:t>the</w:t>
      </w:r>
      <w:r w:rsidR="00190923" w:rsidRPr="00981405">
        <w:t xml:space="preserve"> </w:t>
      </w:r>
      <w:r w:rsidR="00B92E2C" w:rsidRPr="00981405">
        <w:t>“</w:t>
      </w:r>
      <w:r w:rsidRPr="00981405">
        <w:t>single</w:t>
      </w:r>
      <w:r w:rsidR="00190923" w:rsidRPr="00981405">
        <w:t xml:space="preserve"> </w:t>
      </w:r>
      <w:r w:rsidRPr="00981405">
        <w:t>act,</w:t>
      </w:r>
      <w:r w:rsidR="00190923" w:rsidRPr="00981405">
        <w:t xml:space="preserve"> </w:t>
      </w:r>
      <w:r w:rsidRPr="00981405">
        <w:t>dual</w:t>
      </w:r>
      <w:r w:rsidR="00190923" w:rsidRPr="00981405">
        <w:t xml:space="preserve"> </w:t>
      </w:r>
      <w:r w:rsidRPr="00981405">
        <w:t>responsibility</w:t>
      </w:r>
      <w:r w:rsidR="00B92E2C" w:rsidRPr="00981405">
        <w:t>”</w:t>
      </w:r>
      <w:r w:rsidR="00190923" w:rsidRPr="00981405">
        <w:t xml:space="preserve"> </w:t>
      </w:r>
      <w:r w:rsidRPr="00981405">
        <w:t>model</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must</w:t>
      </w:r>
      <w:r w:rsidR="00190923" w:rsidRPr="00981405">
        <w:t xml:space="preserve"> </w:t>
      </w:r>
      <w:r w:rsidRPr="00981405">
        <w:t>be</w:t>
      </w:r>
      <w:r w:rsidR="00190923" w:rsidRPr="00981405">
        <w:t xml:space="preserve"> </w:t>
      </w:r>
      <w:r w:rsidRPr="00981405">
        <w:t>criminal</w:t>
      </w:r>
      <w:r w:rsidR="00190923" w:rsidRPr="00981405">
        <w:t xml:space="preserve"> </w:t>
      </w:r>
      <w:r w:rsidRPr="00981405">
        <w:t>in</w:t>
      </w:r>
      <w:r w:rsidR="00190923" w:rsidRPr="00981405">
        <w:t xml:space="preserve"> </w:t>
      </w:r>
      <w:r w:rsidRPr="00981405">
        <w:t>nature.</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there</w:t>
      </w:r>
      <w:r w:rsidR="00190923" w:rsidRPr="00981405">
        <w:t xml:space="preserve"> </w:t>
      </w:r>
      <w:r w:rsidRPr="00981405">
        <w:t>seemed</w:t>
      </w:r>
      <w:r w:rsidR="00190923" w:rsidRPr="00981405">
        <w:t xml:space="preserve"> </w:t>
      </w:r>
      <w:r w:rsidRPr="00981405">
        <w:t>to</w:t>
      </w:r>
      <w:r w:rsidR="00190923" w:rsidRPr="00981405">
        <w:t xml:space="preserve"> </w:t>
      </w:r>
      <w:r w:rsidRPr="00981405">
        <w:t>be</w:t>
      </w:r>
      <w:r w:rsidR="00190923" w:rsidRPr="00981405">
        <w:t xml:space="preserve"> </w:t>
      </w:r>
      <w:r w:rsidRPr="00981405">
        <w:t>a</w:t>
      </w:r>
      <w:r w:rsidR="00190923" w:rsidRPr="00981405">
        <w:t xml:space="preserve"> </w:t>
      </w:r>
      <w:r w:rsidRPr="00981405">
        <w:t>confusion</w:t>
      </w:r>
      <w:r w:rsidR="00190923" w:rsidRPr="00981405">
        <w:t xml:space="preserve"> </w:t>
      </w:r>
      <w:r w:rsidRPr="00981405">
        <w:t>of</w:t>
      </w:r>
      <w:r w:rsidR="00190923" w:rsidRPr="00981405">
        <w:t xml:space="preserve"> </w:t>
      </w:r>
      <w:r w:rsidRPr="00981405">
        <w:t>understanding</w:t>
      </w:r>
      <w:r w:rsidR="00190923" w:rsidRPr="00981405">
        <w:t xml:space="preserve"> </w:t>
      </w:r>
      <w:r w:rsidRPr="00981405">
        <w:t>between</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and</w:t>
      </w:r>
      <w:r w:rsidR="00190923" w:rsidRPr="00981405">
        <w:t xml:space="preserve"> </w:t>
      </w:r>
      <w:r w:rsidRPr="00981405">
        <w:t>of</w:t>
      </w:r>
      <w:r w:rsidR="00190923" w:rsidRPr="00981405">
        <w:t xml:space="preserve"> </w:t>
      </w:r>
      <w:r w:rsidRPr="00981405">
        <w:t>immunity,</w:t>
      </w:r>
      <w:r w:rsidR="00190923" w:rsidRPr="00981405">
        <w:t xml:space="preserve"> </w:t>
      </w:r>
      <w:r w:rsidRPr="00981405">
        <w:t>themselves</w:t>
      </w:r>
      <w:r w:rsidR="00190923" w:rsidRPr="00981405">
        <w:t xml:space="preserve"> </w:t>
      </w:r>
      <w:r w:rsidRPr="00981405">
        <w:lastRenderedPageBreak/>
        <w:t>different</w:t>
      </w:r>
      <w:r w:rsidR="00190923" w:rsidRPr="00981405">
        <w:t xml:space="preserve"> </w:t>
      </w:r>
      <w:r w:rsidRPr="00981405">
        <w:t>albeit</w:t>
      </w:r>
      <w:r w:rsidR="00190923" w:rsidRPr="00981405">
        <w:t xml:space="preserve"> </w:t>
      </w:r>
      <w:r w:rsidRPr="00981405">
        <w:t>interrelated</w:t>
      </w:r>
      <w:r w:rsidR="00190923" w:rsidRPr="00981405">
        <w:t xml:space="preserve"> </w:t>
      </w:r>
      <w:r w:rsidRPr="00981405">
        <w:t>concepts,</w:t>
      </w:r>
      <w:r w:rsidR="00190923" w:rsidRPr="00981405">
        <w:t xml:space="preserve"> </w:t>
      </w:r>
      <w:r w:rsidRPr="00981405">
        <w:t>with</w:t>
      </w:r>
      <w:r w:rsidR="00190923" w:rsidRPr="00981405">
        <w:t xml:space="preserve"> </w:t>
      </w:r>
      <w:r w:rsidRPr="00981405">
        <w:t>responsibility,</w:t>
      </w:r>
      <w:r w:rsidR="00190923" w:rsidRPr="00981405">
        <w:t xml:space="preserve"> </w:t>
      </w:r>
      <w:r w:rsidRPr="00981405">
        <w:t>whether</w:t>
      </w:r>
      <w:r w:rsidR="00190923" w:rsidRPr="00981405">
        <w:t xml:space="preserve"> </w:t>
      </w:r>
      <w:r w:rsidRPr="00981405">
        <w:t>individual</w:t>
      </w:r>
      <w:r w:rsidR="00190923" w:rsidRPr="00981405">
        <w:t xml:space="preserve"> </w:t>
      </w:r>
      <w:r w:rsidRPr="00981405">
        <w:t>criminal</w:t>
      </w:r>
      <w:r w:rsidR="00190923" w:rsidRPr="00981405">
        <w:t xml:space="preserve"> </w:t>
      </w:r>
      <w:r w:rsidRPr="00981405">
        <w:t>responsibility</w:t>
      </w:r>
      <w:r w:rsidR="00190923" w:rsidRPr="00981405">
        <w:t xml:space="preserve"> </w:t>
      </w:r>
      <w:r w:rsidRPr="00981405">
        <w:t>or</w:t>
      </w:r>
      <w:r w:rsidR="00190923" w:rsidRPr="00981405">
        <w:t xml:space="preserve"> </w:t>
      </w:r>
      <w:r w:rsidRPr="00981405">
        <w:t>State</w:t>
      </w:r>
      <w:r w:rsidR="00190923" w:rsidRPr="00981405">
        <w:t xml:space="preserve"> </w:t>
      </w:r>
      <w:r w:rsidRPr="00981405">
        <w:t>responsibility.</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7" w:name="_Toc427938145"/>
      <w:r w:rsidRPr="00D97463">
        <w:t>(iii)</w:t>
      </w:r>
      <w:r w:rsidRPr="00D97463">
        <w:tab/>
        <w:t>Attribution</w:t>
      </w:r>
      <w:r w:rsidR="00190923" w:rsidRPr="00D97463">
        <w:t xml:space="preserve"> </w:t>
      </w:r>
      <w:r w:rsidRPr="00D97463">
        <w:t>of</w:t>
      </w:r>
      <w:r w:rsidR="00190923" w:rsidRPr="00D97463">
        <w:t xml:space="preserve"> </w:t>
      </w:r>
      <w:r w:rsidRPr="00D97463">
        <w:t>the</w:t>
      </w:r>
      <w:r w:rsidR="00190923" w:rsidRPr="00D97463">
        <w:t xml:space="preserve"> </w:t>
      </w:r>
      <w:r w:rsidRPr="00D97463">
        <w:t>act</w:t>
      </w:r>
      <w:r w:rsidR="00190923" w:rsidRPr="00D97463">
        <w:t xml:space="preserve"> </w:t>
      </w:r>
      <w:r w:rsidRPr="00D97463">
        <w:t>to</w:t>
      </w:r>
      <w:r w:rsidR="00190923" w:rsidRPr="00D97463">
        <w:t xml:space="preserve"> </w:t>
      </w:r>
      <w:r w:rsidRPr="00D97463">
        <w:t>the</w:t>
      </w:r>
      <w:r w:rsidR="00190923" w:rsidRPr="00D97463">
        <w:t xml:space="preserve"> </w:t>
      </w:r>
      <w:r w:rsidRPr="00D97463">
        <w:t>State</w:t>
      </w:r>
      <w:bookmarkEnd w:id="15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214.</w:t>
      </w:r>
      <w:r w:rsidRPr="00981405">
        <w:tab/>
        <w:t>Some</w:t>
      </w:r>
      <w:r w:rsidR="00190923" w:rsidRPr="00981405">
        <w:t xml:space="preserve"> </w:t>
      </w:r>
      <w:r w:rsidRPr="00981405">
        <w:t>members</w:t>
      </w:r>
      <w:r w:rsidR="00190923" w:rsidRPr="00981405">
        <w:t xml:space="preserve"> </w:t>
      </w:r>
      <w:r w:rsidRPr="00981405">
        <w:t>considered</w:t>
      </w:r>
      <w:r w:rsidR="00190923" w:rsidRPr="00981405">
        <w:t xml:space="preserve"> </w:t>
      </w:r>
      <w:r w:rsidRPr="00981405">
        <w:t>it</w:t>
      </w:r>
      <w:r w:rsidR="00190923" w:rsidRPr="00981405">
        <w:t xml:space="preserve"> </w:t>
      </w:r>
      <w:r w:rsidRPr="00981405">
        <w:t>important</w:t>
      </w:r>
      <w:r w:rsidR="00190923" w:rsidRPr="00981405">
        <w:t xml:space="preserve"> </w:t>
      </w:r>
      <w:r w:rsidRPr="00981405">
        <w:t>that</w:t>
      </w:r>
      <w:r w:rsidR="00190923" w:rsidRPr="00981405">
        <w:t xml:space="preserve"> </w:t>
      </w:r>
      <w:r w:rsidRPr="00981405">
        <w:t>the</w:t>
      </w:r>
      <w:r w:rsidR="00190923" w:rsidRPr="00981405">
        <w:t xml:space="preserve"> </w:t>
      </w:r>
      <w:r w:rsidRPr="00981405">
        <w:t>report</w:t>
      </w:r>
      <w:r w:rsidR="00190923" w:rsidRPr="00981405">
        <w:t xml:space="preserve"> </w:t>
      </w:r>
      <w:r w:rsidRPr="00981405">
        <w:t>had</w:t>
      </w:r>
      <w:r w:rsidR="00190923" w:rsidRPr="00981405">
        <w:t xml:space="preserve"> </w:t>
      </w:r>
      <w:r w:rsidRPr="00981405">
        <w:t>addressed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attribution,</w:t>
      </w:r>
      <w:r w:rsidR="00190923" w:rsidRPr="00981405">
        <w:t xml:space="preserve"> </w:t>
      </w:r>
      <w:r w:rsidRPr="00981405">
        <w:t>as</w:t>
      </w:r>
      <w:r w:rsidR="00190923" w:rsidRPr="00981405">
        <w:t xml:space="preserve"> </w:t>
      </w:r>
      <w:r w:rsidRPr="00981405">
        <w:t>it</w:t>
      </w:r>
      <w:r w:rsidR="00190923" w:rsidRPr="00981405">
        <w:t xml:space="preserve"> </w:t>
      </w:r>
      <w:r w:rsidRPr="00981405">
        <w:t>helped</w:t>
      </w:r>
      <w:r w:rsidR="00190923" w:rsidRPr="00981405">
        <w:t xml:space="preserve"> </w:t>
      </w:r>
      <w:r w:rsidRPr="00981405">
        <w:t>to</w:t>
      </w:r>
      <w:r w:rsidR="00190923" w:rsidRPr="00981405">
        <w:t xml:space="preserve"> </w:t>
      </w:r>
      <w:r w:rsidRPr="00981405">
        <w:t>clarify</w:t>
      </w:r>
      <w:r w:rsidR="00190923" w:rsidRPr="00981405">
        <w:t xml:space="preserve"> </w:t>
      </w:r>
      <w:r w:rsidRPr="00981405">
        <w:t>certain</w:t>
      </w:r>
      <w:r w:rsidR="00190923" w:rsidRPr="00981405">
        <w:t xml:space="preserve"> </w:t>
      </w:r>
      <w:r w:rsidRPr="00981405">
        <w:t>questions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p>
    <w:p w:rsidR="00397032" w:rsidRPr="00981405" w:rsidRDefault="00397032" w:rsidP="00D97463">
      <w:pPr>
        <w:pStyle w:val="SingleTxt"/>
      </w:pPr>
      <w:r w:rsidRPr="00981405">
        <w:t>215.</w:t>
      </w:r>
      <w:r w:rsidRPr="00981405">
        <w:tab/>
        <w:t>For</w:t>
      </w:r>
      <w:r w:rsidR="00190923" w:rsidRPr="00981405">
        <w:t xml:space="preserve"> </w:t>
      </w:r>
      <w:r w:rsidRPr="00981405">
        <w:t>other</w:t>
      </w:r>
      <w:r w:rsidR="00190923" w:rsidRPr="00981405">
        <w:t xml:space="preserve"> </w:t>
      </w:r>
      <w:r w:rsidRPr="00981405">
        <w:t>members,</w:t>
      </w:r>
      <w:r w:rsidR="00190923" w:rsidRPr="00981405">
        <w:t xml:space="preserve"> </w:t>
      </w:r>
      <w:r w:rsidRPr="00981405">
        <w:t>the</w:t>
      </w:r>
      <w:r w:rsidR="00190923" w:rsidRPr="00981405">
        <w:t xml:space="preserve"> </w:t>
      </w:r>
      <w:r w:rsidRPr="00981405">
        <w:t>reference,</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to</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attribution</w:t>
      </w:r>
      <w:r w:rsidR="00190923" w:rsidRPr="00981405">
        <w:t xml:space="preserve"> </w:t>
      </w:r>
      <w:r w:rsidRPr="00981405">
        <w:t>for</w:t>
      </w:r>
      <w:r w:rsidR="00190923" w:rsidRPr="00981405">
        <w:t xml:space="preserve"> </w:t>
      </w:r>
      <w:r w:rsidRPr="00981405">
        <w:t>State</w:t>
      </w:r>
      <w:r w:rsidR="00190923" w:rsidRPr="00981405">
        <w:t xml:space="preserve"> </w:t>
      </w:r>
      <w:r w:rsidRPr="00981405">
        <w:t>responsibility</w:t>
      </w:r>
      <w:r w:rsidR="00190923" w:rsidRPr="00981405">
        <w:t xml:space="preserve"> </w:t>
      </w:r>
      <w:r w:rsidRPr="00981405">
        <w:t>was</w:t>
      </w:r>
      <w:r w:rsidR="00190923" w:rsidRPr="00981405">
        <w:t xml:space="preserve"> </w:t>
      </w:r>
      <w:r w:rsidRPr="00981405">
        <w:t>only</w:t>
      </w:r>
      <w:r w:rsidR="00190923" w:rsidRPr="00981405">
        <w:t xml:space="preserve"> </w:t>
      </w:r>
      <w:r w:rsidRPr="00981405">
        <w:t>logical,</w:t>
      </w:r>
      <w:r w:rsidR="00190923" w:rsidRPr="00981405">
        <w:t xml:space="preserve"> </w:t>
      </w:r>
      <w:r w:rsidRPr="00981405">
        <w:t>as</w:t>
      </w:r>
      <w:r w:rsidR="00190923" w:rsidRPr="00981405">
        <w:t xml:space="preserve"> </w:t>
      </w:r>
      <w:r w:rsidRPr="00981405">
        <w:t>the</w:t>
      </w:r>
      <w:r w:rsidR="00190923" w:rsidRPr="00981405">
        <w:t xml:space="preserve"> </w:t>
      </w:r>
      <w:r w:rsidRPr="00981405">
        <w:t>immunity</w:t>
      </w:r>
      <w:r w:rsidR="00190923" w:rsidRPr="00981405">
        <w:t xml:space="preserve"> </w:t>
      </w:r>
      <w:r w:rsidRPr="00981405">
        <w:t>in</w:t>
      </w:r>
      <w:r w:rsidR="00190923" w:rsidRPr="00981405">
        <w:t xml:space="preserve"> </w:t>
      </w:r>
      <w:r w:rsidRPr="00981405">
        <w:t>question,</w:t>
      </w:r>
      <w:r w:rsidR="00190923" w:rsidRPr="00981405">
        <w:t xml:space="preserve"> </w:t>
      </w:r>
      <w:r w:rsidRPr="00981405">
        <w:t>in</w:t>
      </w:r>
      <w:r w:rsidR="00190923" w:rsidRPr="00981405">
        <w:t xml:space="preserve"> </w:t>
      </w:r>
      <w:r w:rsidRPr="00981405">
        <w:t>their</w:t>
      </w:r>
      <w:r w:rsidR="00190923" w:rsidRPr="00981405">
        <w:t xml:space="preserve"> </w:t>
      </w:r>
      <w:r w:rsidRPr="00981405">
        <w:t>view,</w:t>
      </w:r>
      <w:r w:rsidR="00190923" w:rsidRPr="00981405">
        <w:t xml:space="preserve"> </w:t>
      </w:r>
      <w:r w:rsidRPr="00981405">
        <w:t>belonged</w:t>
      </w:r>
      <w:r w:rsidR="00190923" w:rsidRPr="00981405">
        <w:t xml:space="preserve"> </w:t>
      </w:r>
      <w:r w:rsidRPr="00981405">
        <w:t>solely</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They</w:t>
      </w:r>
      <w:r w:rsidR="00190923" w:rsidRPr="00981405">
        <w:t xml:space="preserve"> </w:t>
      </w:r>
      <w:r w:rsidRPr="00981405">
        <w:t>therefore</w:t>
      </w:r>
      <w:r w:rsidR="00190923" w:rsidRPr="00981405">
        <w:t xml:space="preserve"> </w:t>
      </w:r>
      <w:r w:rsidRPr="00981405">
        <w:t>expressed</w:t>
      </w:r>
      <w:r w:rsidR="00190923" w:rsidRPr="00981405">
        <w:t xml:space="preserve"> </w:t>
      </w:r>
      <w:r w:rsidRPr="00981405">
        <w:t>doubts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assertion</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that</w:t>
      </w:r>
      <w:r w:rsidR="00190923" w:rsidRPr="00981405">
        <w:t xml:space="preserve"> </w:t>
      </w:r>
      <w:r w:rsidR="00B92E2C" w:rsidRPr="00981405">
        <w:t>“</w:t>
      </w:r>
      <w:r w:rsidRPr="00981405">
        <w:t>any</w:t>
      </w:r>
      <w:r w:rsidR="00190923" w:rsidRPr="00981405">
        <w:t xml:space="preserve"> </w:t>
      </w:r>
      <w:r w:rsidRPr="00981405">
        <w:t>criminal</w:t>
      </w:r>
      <w:r w:rsidR="00190923" w:rsidRPr="00981405">
        <w:t xml:space="preserve"> </w:t>
      </w:r>
      <w:r w:rsidRPr="00981405">
        <w:t>act</w:t>
      </w:r>
      <w:r w:rsidR="00190923" w:rsidRPr="00981405">
        <w:t xml:space="preserve"> </w:t>
      </w:r>
      <w:r w:rsidRPr="00981405">
        <w:t>covered</w:t>
      </w:r>
      <w:r w:rsidR="00190923" w:rsidRPr="00981405">
        <w:t xml:space="preserve"> </w:t>
      </w:r>
      <w:r w:rsidRPr="00981405">
        <w:t>by</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was</w:t>
      </w:r>
      <w:r w:rsidR="00190923" w:rsidRPr="00981405">
        <w:t xml:space="preserve"> </w:t>
      </w:r>
      <w:r w:rsidRPr="00981405">
        <w:t>not,</w:t>
      </w:r>
      <w:r w:rsidR="00190923" w:rsidRPr="00981405">
        <w:t xml:space="preserve"> </w:t>
      </w:r>
      <w:r w:rsidRPr="00981405">
        <w:t>strictly</w:t>
      </w:r>
      <w:r w:rsidR="00190923" w:rsidRPr="00981405">
        <w:t xml:space="preserve"> </w:t>
      </w:r>
      <w:r w:rsidRPr="00981405">
        <w:t>speaking,</w:t>
      </w:r>
      <w:r w:rsidR="00190923" w:rsidRPr="00981405">
        <w:t xml:space="preserve"> </w:t>
      </w:r>
      <w:r w:rsidRPr="00981405">
        <w:t>an</w:t>
      </w:r>
      <w:r w:rsidR="00190923" w:rsidRPr="00981405">
        <w:t xml:space="preserve"> </w:t>
      </w:r>
      <w:r w:rsidRPr="00981405">
        <w:t>act</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itself,</w:t>
      </w:r>
      <w:r w:rsidR="00190923" w:rsidRPr="00981405">
        <w:t xml:space="preserve"> </w:t>
      </w:r>
      <w:r w:rsidRPr="00981405">
        <w:t>but</w:t>
      </w:r>
      <w:r w:rsidR="00190923" w:rsidRPr="00981405">
        <w:t xml:space="preserve"> </w:t>
      </w:r>
      <w:r w:rsidRPr="00981405">
        <w:t>an</w:t>
      </w:r>
      <w:r w:rsidR="00190923" w:rsidRPr="00981405">
        <w:t xml:space="preserve"> </w:t>
      </w:r>
      <w:r w:rsidRPr="00981405">
        <w:t>act</w:t>
      </w:r>
      <w:r w:rsidR="00190923" w:rsidRPr="00981405">
        <w:t xml:space="preserve"> </w:t>
      </w:r>
      <w:r w:rsidRPr="00981405">
        <w:t>of</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by</w:t>
      </w:r>
      <w:r w:rsidR="00190923" w:rsidRPr="00981405">
        <w:t xml:space="preserve"> </w:t>
      </w:r>
      <w:r w:rsidRPr="00981405">
        <w:t>whom</w:t>
      </w:r>
      <w:r w:rsidR="00190923" w:rsidRPr="00981405">
        <w:t xml:space="preserve"> </w:t>
      </w:r>
      <w:r w:rsidRPr="00981405">
        <w:t>it</w:t>
      </w:r>
      <w:r w:rsidR="00190923" w:rsidRPr="00981405">
        <w:t xml:space="preserve"> </w:t>
      </w:r>
      <w:r w:rsidRPr="00981405">
        <w:t>was</w:t>
      </w:r>
      <w:r w:rsidR="00190923" w:rsidRPr="00981405">
        <w:t xml:space="preserve"> </w:t>
      </w:r>
      <w:r w:rsidRPr="00981405">
        <w:t>committed</w:t>
      </w:r>
      <w:r w:rsidR="00B92E2C" w:rsidRPr="00981405">
        <w:t>”</w:t>
      </w:r>
      <w:r w:rsidRPr="00981405">
        <w:t>,</w:t>
      </w:r>
      <w:r w:rsidR="00190923" w:rsidRPr="00981405">
        <w:t xml:space="preserve"> </w:t>
      </w:r>
      <w:r w:rsidRPr="00981405">
        <w:t>finding</w:t>
      </w:r>
      <w:r w:rsidR="00190923" w:rsidRPr="00981405">
        <w:t xml:space="preserve"> </w:t>
      </w:r>
      <w:r w:rsidRPr="00981405">
        <w:t>it</w:t>
      </w:r>
      <w:r w:rsidR="00190923" w:rsidRPr="00981405">
        <w:t xml:space="preserve"> </w:t>
      </w:r>
      <w:r w:rsidRPr="00981405">
        <w:t>confusing</w:t>
      </w:r>
      <w:r w:rsidR="00190923" w:rsidRPr="00981405">
        <w:t xml:space="preserve"> </w:t>
      </w:r>
      <w:r w:rsidRPr="00981405">
        <w:t>and</w:t>
      </w:r>
      <w:r w:rsidR="00190923" w:rsidRPr="00981405">
        <w:t xml:space="preserve"> </w:t>
      </w:r>
      <w:r w:rsidRPr="00981405">
        <w:t>complicating</w:t>
      </w:r>
      <w:r w:rsidR="00190923" w:rsidRPr="00981405">
        <w:t xml:space="preserve"> </w:t>
      </w:r>
      <w:r w:rsidRPr="00981405">
        <w:t>matters.</w:t>
      </w:r>
    </w:p>
    <w:p w:rsidR="00397032" w:rsidRPr="00981405" w:rsidRDefault="00397032" w:rsidP="00D97463">
      <w:pPr>
        <w:pStyle w:val="SingleTxt"/>
      </w:pPr>
      <w:r w:rsidRPr="00981405">
        <w:t>216.</w:t>
      </w:r>
      <w:r w:rsidRPr="00981405">
        <w:tab/>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recalled</w:t>
      </w:r>
      <w:r w:rsidR="00190923" w:rsidRPr="00981405">
        <w:t xml:space="preserve"> </w:t>
      </w:r>
      <w:r w:rsidRPr="00981405">
        <w:t>that</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were</w:t>
      </w:r>
      <w:r w:rsidR="00190923" w:rsidRPr="00981405">
        <w:t xml:space="preserve"> </w:t>
      </w:r>
      <w:r w:rsidRPr="00981405">
        <w:t>procedural</w:t>
      </w:r>
      <w:r w:rsidR="00190923" w:rsidRPr="00981405">
        <w:t xml:space="preserve"> </w:t>
      </w:r>
      <w:r w:rsidRPr="00981405">
        <w:t>in</w:t>
      </w:r>
      <w:r w:rsidR="00190923" w:rsidRPr="00981405">
        <w:t xml:space="preserve"> </w:t>
      </w:r>
      <w:r w:rsidRPr="00981405">
        <w:t>nature</w:t>
      </w:r>
      <w:r w:rsidR="00190923" w:rsidRPr="00981405">
        <w:t xml:space="preserve"> </w:t>
      </w:r>
      <w:r w:rsidRPr="00981405">
        <w:t>and</w:t>
      </w:r>
      <w:r w:rsidR="00190923" w:rsidRPr="00981405">
        <w:t xml:space="preserve"> </w:t>
      </w:r>
      <w:r w:rsidRPr="00981405">
        <w:t>were</w:t>
      </w:r>
      <w:r w:rsidR="00190923" w:rsidRPr="00981405">
        <w:t xml:space="preserve"> </w:t>
      </w:r>
      <w:r w:rsidRPr="00981405">
        <w:t>confined</w:t>
      </w:r>
      <w:r w:rsidR="00190923" w:rsidRPr="00981405">
        <w:t xml:space="preserve"> </w:t>
      </w:r>
      <w:r w:rsidRPr="00981405">
        <w:t>to</w:t>
      </w:r>
      <w:r w:rsidR="00190923" w:rsidRPr="00981405">
        <w:t xml:space="preserve"> </w:t>
      </w:r>
      <w:r w:rsidRPr="00981405">
        <w:t>determining</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a</w:t>
      </w:r>
      <w:r w:rsidR="00190923" w:rsidRPr="00981405">
        <w:t xml:space="preserve"> </w:t>
      </w:r>
      <w:r w:rsidRPr="00981405">
        <w:t>forum</w:t>
      </w:r>
      <w:r w:rsidR="00190923" w:rsidRPr="00981405">
        <w:t xml:space="preserve"> </w:t>
      </w:r>
      <w:r w:rsidRPr="00981405">
        <w:t>State</w:t>
      </w:r>
      <w:r w:rsidR="00190923" w:rsidRPr="00981405">
        <w:t xml:space="preserve"> </w:t>
      </w:r>
      <w:r w:rsidRPr="00981405">
        <w:t>may</w:t>
      </w:r>
      <w:r w:rsidR="00190923" w:rsidRPr="00981405">
        <w:t xml:space="preserve"> </w:t>
      </w:r>
      <w:r w:rsidRPr="00981405">
        <w:t>exercise</w:t>
      </w:r>
      <w:r w:rsidR="00190923" w:rsidRPr="00981405">
        <w:t xml:space="preserve"> </w:t>
      </w:r>
      <w:r w:rsidRPr="00981405">
        <w:t>jurisdiction</w:t>
      </w:r>
      <w:r w:rsidR="00190923" w:rsidRPr="00981405">
        <w:t xml:space="preserve"> </w:t>
      </w:r>
      <w:r w:rsidRPr="00981405">
        <w:t>over</w:t>
      </w:r>
      <w:r w:rsidR="00190923" w:rsidRPr="00981405">
        <w:t xml:space="preserve"> </w:t>
      </w:r>
      <w:r w:rsidRPr="00981405">
        <w:t>another.</w:t>
      </w:r>
      <w:r w:rsidR="00190923" w:rsidRPr="00981405">
        <w:t xml:space="preserve"> </w:t>
      </w:r>
      <w:r w:rsidRPr="00981405">
        <w:t>They</w:t>
      </w:r>
      <w:r w:rsidR="00190923" w:rsidRPr="00981405">
        <w:t xml:space="preserve"> </w:t>
      </w:r>
      <w:r w:rsidRPr="00981405">
        <w:t>do</w:t>
      </w:r>
      <w:r w:rsidR="00190923" w:rsidRPr="00981405">
        <w:t xml:space="preserve"> </w:t>
      </w:r>
      <w:r w:rsidRPr="00981405">
        <w:t>not</w:t>
      </w:r>
      <w:r w:rsidR="00190923" w:rsidRPr="00981405">
        <w:t xml:space="preserve"> </w:t>
      </w:r>
      <w:r w:rsidRPr="00981405">
        <w:t>bear</w:t>
      </w:r>
      <w:r w:rsidR="00190923" w:rsidRPr="00981405">
        <w:t xml:space="preserve"> </w:t>
      </w:r>
      <w:r w:rsidRPr="00981405">
        <w:t>upon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the</w:t>
      </w:r>
      <w:r w:rsidR="00190923" w:rsidRPr="00981405">
        <w:t xml:space="preserve"> </w:t>
      </w:r>
      <w:r w:rsidRPr="00981405">
        <w:t>conduct</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which</w:t>
      </w:r>
      <w:r w:rsidR="00190923" w:rsidRPr="00981405">
        <w:t xml:space="preserve"> </w:t>
      </w:r>
      <w:r w:rsidRPr="00981405">
        <w:t>the</w:t>
      </w:r>
      <w:r w:rsidR="00190923" w:rsidRPr="00981405">
        <w:t xml:space="preserve"> </w:t>
      </w:r>
      <w:r w:rsidRPr="00981405">
        <w:t>proceedings</w:t>
      </w:r>
      <w:r w:rsidR="00190923" w:rsidRPr="00981405">
        <w:t xml:space="preserve"> </w:t>
      </w:r>
      <w:r w:rsidRPr="00981405">
        <w:t>are</w:t>
      </w:r>
      <w:r w:rsidR="00190923" w:rsidRPr="00981405">
        <w:t xml:space="preserve"> </w:t>
      </w:r>
      <w:r w:rsidRPr="00981405">
        <w:t>brought</w:t>
      </w:r>
      <w:r w:rsidR="00190923" w:rsidRPr="00981405">
        <w:t xml:space="preserve"> </w:t>
      </w:r>
      <w:r w:rsidRPr="00981405">
        <w:t>was</w:t>
      </w:r>
      <w:r w:rsidR="00190923" w:rsidRPr="00981405">
        <w:t xml:space="preserve"> </w:t>
      </w:r>
      <w:r w:rsidRPr="00981405">
        <w:t>lawful</w:t>
      </w:r>
      <w:r w:rsidR="00190923" w:rsidRPr="00981405">
        <w:t xml:space="preserve"> </w:t>
      </w:r>
      <w:r w:rsidRPr="00981405">
        <w:t>or</w:t>
      </w:r>
      <w:r w:rsidR="00190923" w:rsidRPr="00981405">
        <w:t xml:space="preserve"> </w:t>
      </w:r>
      <w:r w:rsidRPr="00981405">
        <w:t>unlawful.</w:t>
      </w:r>
    </w:p>
    <w:p w:rsidR="00397032" w:rsidRPr="00981405" w:rsidRDefault="00397032" w:rsidP="00D97463">
      <w:pPr>
        <w:pStyle w:val="SingleTxt"/>
      </w:pPr>
      <w:r w:rsidRPr="00981405">
        <w:t>217.</w:t>
      </w:r>
      <w:r w:rsidRPr="00981405">
        <w:tab/>
        <w:t>Several</w:t>
      </w:r>
      <w:r w:rsidR="00190923" w:rsidRPr="00981405">
        <w:t xml:space="preserve"> </w:t>
      </w:r>
      <w:r w:rsidRPr="00981405">
        <w:t>members</w:t>
      </w:r>
      <w:r w:rsidR="00190923" w:rsidRPr="00981405">
        <w:t xml:space="preserve"> </w:t>
      </w:r>
      <w:r w:rsidRPr="00981405">
        <w:t>were</w:t>
      </w:r>
      <w:r w:rsidR="00190923" w:rsidRPr="00981405">
        <w:t xml:space="preserve"> </w:t>
      </w:r>
      <w:r w:rsidRPr="00981405">
        <w:t>not</w:t>
      </w:r>
      <w:r w:rsidR="00190923" w:rsidRPr="00981405">
        <w:t xml:space="preserve"> </w:t>
      </w:r>
      <w:r w:rsidRPr="00981405">
        <w:t>prepared</w:t>
      </w:r>
      <w:r w:rsidR="00190923" w:rsidRPr="00981405">
        <w:t xml:space="preserve"> </w:t>
      </w:r>
      <w:r w:rsidRPr="00981405">
        <w:t>to</w:t>
      </w:r>
      <w:r w:rsidR="00190923" w:rsidRPr="00981405">
        <w:t xml:space="preserve"> </w:t>
      </w:r>
      <w:r w:rsidRPr="00981405">
        <w:t>concede</w:t>
      </w:r>
      <w:r w:rsidR="00190923" w:rsidRPr="00981405">
        <w:t xml:space="preserve"> </w:t>
      </w:r>
      <w:r w:rsidRPr="00981405">
        <w:t>that</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from</w:t>
      </w:r>
      <w:r w:rsidR="00190923" w:rsidRPr="00981405">
        <w:t xml:space="preserve"> </w:t>
      </w:r>
      <w:r w:rsidRPr="00981405">
        <w:t>the</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another</w:t>
      </w:r>
      <w:r w:rsidR="00190923" w:rsidRPr="00981405">
        <w:t xml:space="preserve"> </w:t>
      </w:r>
      <w:r w:rsidRPr="00981405">
        <w:t>State</w:t>
      </w:r>
      <w:r w:rsidR="00190923" w:rsidRPr="00981405">
        <w:t xml:space="preserve"> </w:t>
      </w:r>
      <w:r w:rsidRPr="00981405">
        <w:t>was</w:t>
      </w:r>
      <w:r w:rsidR="00190923" w:rsidRPr="00981405">
        <w:t xml:space="preserve"> </w:t>
      </w:r>
      <w:r w:rsidRPr="00981405">
        <w:t>aligned</w:t>
      </w:r>
      <w:r w:rsidR="00190923" w:rsidRPr="00981405">
        <w:t xml:space="preserve"> </w:t>
      </w:r>
      <w:r w:rsidRPr="00981405">
        <w:t>with</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In</w:t>
      </w:r>
      <w:r w:rsidR="00190923" w:rsidRPr="00981405">
        <w:t xml:space="preserve"> </w:t>
      </w:r>
      <w:r w:rsidRPr="00981405">
        <w:t>their</w:t>
      </w:r>
      <w:r w:rsidR="00190923" w:rsidRPr="00981405">
        <w:t xml:space="preserve"> </w:t>
      </w:r>
      <w:r w:rsidRPr="00981405">
        <w:t>view,</w:t>
      </w:r>
      <w:r w:rsidR="00190923" w:rsidRPr="00981405">
        <w:t xml:space="preserve"> </w:t>
      </w:r>
      <w:r w:rsidRPr="00981405">
        <w:t>the</w:t>
      </w:r>
      <w:r w:rsidR="00190923" w:rsidRPr="00981405">
        <w:t xml:space="preserve"> </w:t>
      </w:r>
      <w:r w:rsidRPr="00981405">
        <w:t>differentiation</w:t>
      </w:r>
      <w:r w:rsidR="00190923" w:rsidRPr="00981405">
        <w:t xml:space="preserve"> </w:t>
      </w:r>
      <w:r w:rsidRPr="00981405">
        <w:t>was</w:t>
      </w:r>
      <w:r w:rsidR="00190923" w:rsidRPr="00981405">
        <w:t xml:space="preserve"> </w:t>
      </w:r>
      <w:r w:rsidRPr="00981405">
        <w:t>useful</w:t>
      </w:r>
      <w:r w:rsidR="00190923" w:rsidRPr="00981405">
        <w:t xml:space="preserve"> </w:t>
      </w:r>
      <w:r w:rsidRPr="00981405">
        <w:t>and</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further</w:t>
      </w:r>
      <w:r w:rsidR="00190923" w:rsidRPr="00981405">
        <w:t xml:space="preserve"> </w:t>
      </w:r>
      <w:r w:rsidRPr="00981405">
        <w:t>explored;</w:t>
      </w:r>
      <w:r w:rsidR="00190923" w:rsidRPr="00981405">
        <w:t xml:space="preserve"> </w:t>
      </w:r>
      <w:r w:rsidRPr="00981405">
        <w:t>as</w:t>
      </w:r>
      <w:r w:rsidR="00190923" w:rsidRPr="00981405">
        <w:t xml:space="preserve"> </w:t>
      </w:r>
      <w:r w:rsidRPr="00981405">
        <w:t>developments</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law</w:t>
      </w:r>
      <w:r w:rsidR="00190923" w:rsidRPr="00981405">
        <w:t xml:space="preserve"> </w:t>
      </w:r>
      <w:r w:rsidRPr="00981405">
        <w:t>particularly</w:t>
      </w:r>
      <w:r w:rsidR="00190923" w:rsidRPr="00981405">
        <w:t xml:space="preserve"> </w:t>
      </w:r>
      <w:r w:rsidRPr="00981405">
        <w:t>since</w:t>
      </w:r>
      <w:r w:rsidR="00190923" w:rsidRPr="00981405">
        <w:t xml:space="preserve"> </w:t>
      </w:r>
      <w:r w:rsidRPr="00981405">
        <w:t>the</w:t>
      </w:r>
      <w:r w:rsidR="00190923" w:rsidRPr="00981405">
        <w:t xml:space="preserve"> </w:t>
      </w:r>
      <w:r w:rsidRPr="00981405">
        <w:t>end</w:t>
      </w:r>
      <w:r w:rsidR="00190923" w:rsidRPr="00981405">
        <w:t xml:space="preserve"> </w:t>
      </w:r>
      <w:r w:rsidRPr="00981405">
        <w:t>of</w:t>
      </w:r>
      <w:r w:rsidR="00190923" w:rsidRPr="00981405">
        <w:t xml:space="preserve"> </w:t>
      </w:r>
      <w:r w:rsidRPr="00981405">
        <w:t>the</w:t>
      </w:r>
      <w:r w:rsidR="00190923" w:rsidRPr="00981405">
        <w:t xml:space="preserve"> </w:t>
      </w:r>
      <w:r w:rsidRPr="00981405">
        <w:t>Second</w:t>
      </w:r>
      <w:r w:rsidR="00190923" w:rsidRPr="00981405">
        <w:t xml:space="preserve"> </w:t>
      </w:r>
      <w:r w:rsidRPr="00981405">
        <w:t>World</w:t>
      </w:r>
      <w:r w:rsidR="00190923" w:rsidRPr="00981405">
        <w:t xml:space="preserve"> </w:t>
      </w:r>
      <w:r w:rsidRPr="00981405">
        <w:t>War</w:t>
      </w:r>
      <w:r w:rsidR="00190923" w:rsidRPr="00981405">
        <w:t xml:space="preserve"> </w:t>
      </w:r>
      <w:r w:rsidRPr="00981405">
        <w:t>had</w:t>
      </w:r>
      <w:r w:rsidR="00190923" w:rsidRPr="00981405">
        <w:t xml:space="preserve"> </w:t>
      </w:r>
      <w:r w:rsidRPr="00981405">
        <w:t>shown,</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need</w:t>
      </w:r>
      <w:r w:rsidR="00190923" w:rsidRPr="00981405">
        <w:t xml:space="preserve"> </w:t>
      </w:r>
      <w:r w:rsidRPr="00981405">
        <w:t>not</w:t>
      </w:r>
      <w:r w:rsidR="00190923" w:rsidRPr="00981405">
        <w:t xml:space="preserve"> </w:t>
      </w:r>
      <w:r w:rsidRPr="00981405">
        <w:t>be</w:t>
      </w:r>
      <w:r w:rsidR="00190923" w:rsidRPr="00981405">
        <w:t xml:space="preserve"> </w:t>
      </w:r>
      <w:r w:rsidRPr="00981405">
        <w:t>aligned</w:t>
      </w:r>
      <w:r w:rsidR="00190923" w:rsidRPr="00981405">
        <w:t xml:space="preserve"> </w:t>
      </w:r>
      <w:r w:rsidRPr="00981405">
        <w:t>always</w:t>
      </w:r>
      <w:r w:rsidR="00190923" w:rsidRPr="00981405">
        <w:t xml:space="preserve"> </w:t>
      </w:r>
      <w:r w:rsidRPr="00981405">
        <w:t>with</w:t>
      </w:r>
      <w:r w:rsidR="00190923" w:rsidRPr="00981405">
        <w:t xml:space="preserve"> </w:t>
      </w:r>
      <w:r w:rsidRPr="00981405">
        <w:t>State</w:t>
      </w:r>
      <w:r w:rsidR="00190923" w:rsidRPr="00981405">
        <w:t xml:space="preserve"> </w:t>
      </w:r>
      <w:r w:rsidRPr="00981405">
        <w:t>immunity.</w:t>
      </w:r>
      <w:r w:rsidR="00190923" w:rsidRPr="00981405">
        <w:t xml:space="preserve"> </w:t>
      </w:r>
      <w:r w:rsidRPr="00981405">
        <w:t>Other</w:t>
      </w:r>
      <w:r w:rsidR="00190923" w:rsidRPr="00981405">
        <w:t xml:space="preserve"> </w:t>
      </w:r>
      <w:r w:rsidRPr="00981405">
        <w:t>members</w:t>
      </w:r>
      <w:r w:rsidR="00190923" w:rsidRPr="00981405">
        <w:t xml:space="preserve"> </w:t>
      </w:r>
      <w:r w:rsidRPr="00981405">
        <w:t>pointed</w:t>
      </w:r>
      <w:r w:rsidR="00190923" w:rsidRPr="00981405">
        <w:t xml:space="preserve"> </w:t>
      </w:r>
      <w:r w:rsidRPr="00981405">
        <w:t>to</w:t>
      </w:r>
      <w:r w:rsidR="00190923" w:rsidRPr="00981405">
        <w:t xml:space="preserve"> </w:t>
      </w:r>
      <w:r w:rsidRPr="00981405">
        <w:t>the</w:t>
      </w:r>
      <w:r w:rsidR="00190923" w:rsidRPr="00981405">
        <w:t xml:space="preserve"> </w:t>
      </w:r>
      <w:r w:rsidRPr="00981405">
        <w:t>right</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to</w:t>
      </w:r>
      <w:r w:rsidR="00190923" w:rsidRPr="00981405">
        <w:t xml:space="preserve"> </w:t>
      </w:r>
      <w:r w:rsidRPr="00981405">
        <w:t>waive</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its</w:t>
      </w:r>
      <w:r w:rsidR="00190923" w:rsidRPr="00981405">
        <w:t xml:space="preserve"> </w:t>
      </w:r>
      <w:r w:rsidRPr="00981405">
        <w:t>officials,</w:t>
      </w:r>
      <w:r w:rsidR="00190923" w:rsidRPr="00981405">
        <w:t xml:space="preserve"> </w:t>
      </w:r>
      <w:r w:rsidRPr="00981405">
        <w:t>which</w:t>
      </w:r>
      <w:r w:rsidR="00190923" w:rsidRPr="00981405">
        <w:t xml:space="preserve"> </w:t>
      </w:r>
      <w:r w:rsidRPr="00981405">
        <w:t>demonstrated</w:t>
      </w:r>
      <w:r w:rsidR="00190923" w:rsidRPr="00981405">
        <w:t xml:space="preserve"> </w:t>
      </w:r>
      <w:r w:rsidRPr="00981405">
        <w:t>the</w:t>
      </w:r>
      <w:r w:rsidR="00190923" w:rsidRPr="00981405">
        <w:t xml:space="preserve"> </w:t>
      </w:r>
      <w:r w:rsidRPr="00981405">
        <w:t>connection</w:t>
      </w:r>
      <w:r w:rsidR="00190923" w:rsidRPr="00981405">
        <w:t xml:space="preserve"> </w:t>
      </w:r>
      <w:r w:rsidRPr="00981405">
        <w:t>between</w:t>
      </w:r>
      <w:r w:rsidR="00190923" w:rsidRPr="00981405">
        <w:t xml:space="preserve"> </w:t>
      </w:r>
      <w:r w:rsidRPr="00981405">
        <w:t>all</w:t>
      </w:r>
      <w:r w:rsidR="00190923" w:rsidRPr="00981405">
        <w:t xml:space="preserve"> </w:t>
      </w:r>
      <w:r w:rsidRPr="00981405">
        <w:t>forms</w:t>
      </w:r>
      <w:r w:rsidR="00190923" w:rsidRPr="00981405">
        <w:t xml:space="preserve"> </w:t>
      </w:r>
      <w:r w:rsidRPr="00981405">
        <w:t>of</w:t>
      </w:r>
      <w:r w:rsidR="00190923" w:rsidRPr="00981405">
        <w:t xml:space="preserve"> </w:t>
      </w:r>
      <w:r w:rsidRPr="00981405">
        <w:t>State-based</w:t>
      </w:r>
      <w:r w:rsidR="00190923" w:rsidRPr="00981405">
        <w:t xml:space="preserve"> </w:t>
      </w:r>
      <w:r w:rsidRPr="00981405">
        <w:t>immunity.</w:t>
      </w:r>
    </w:p>
    <w:p w:rsidR="00397032" w:rsidRPr="00981405" w:rsidRDefault="00397032" w:rsidP="00D97463">
      <w:pPr>
        <w:pStyle w:val="SingleTxt"/>
      </w:pPr>
      <w:r w:rsidRPr="00981405">
        <w:t>218.</w:t>
      </w:r>
      <w:r w:rsidRPr="00981405">
        <w:tab/>
        <w:t>Some</w:t>
      </w:r>
      <w:r w:rsidR="00190923" w:rsidRPr="00981405">
        <w:t xml:space="preserve"> </w:t>
      </w:r>
      <w:r w:rsidRPr="00981405">
        <w:t>members</w:t>
      </w:r>
      <w:r w:rsidR="00190923" w:rsidRPr="00981405">
        <w:t xml:space="preserve"> </w:t>
      </w:r>
      <w:r w:rsidRPr="00981405">
        <w:t>also</w:t>
      </w:r>
      <w:r w:rsidR="00190923" w:rsidRPr="00981405">
        <w:t xml:space="preserve"> </w:t>
      </w:r>
      <w:r w:rsidRPr="00981405">
        <w:t>shared</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that</w:t>
      </w:r>
      <w:r w:rsidR="00190923" w:rsidRPr="00981405">
        <w:t xml:space="preserve"> </w:t>
      </w:r>
      <w:r w:rsidRPr="00981405">
        <w:t>not</w:t>
      </w:r>
      <w:r w:rsidR="00190923" w:rsidRPr="00981405">
        <w:t xml:space="preserve"> </w:t>
      </w:r>
      <w:r w:rsidRPr="00981405">
        <w:t>all</w:t>
      </w:r>
      <w:r w:rsidR="00190923" w:rsidRPr="00981405">
        <w:t xml:space="preserve"> </w:t>
      </w:r>
      <w:r w:rsidRPr="00981405">
        <w:t>criteria</w:t>
      </w:r>
      <w:r w:rsidR="00190923" w:rsidRPr="00981405">
        <w:t xml:space="preserve"> </w:t>
      </w:r>
      <w:r w:rsidRPr="00981405">
        <w:t>of</w:t>
      </w:r>
      <w:r w:rsidR="00190923" w:rsidRPr="00981405">
        <w:t xml:space="preserve"> </w:t>
      </w:r>
      <w:r w:rsidRPr="00981405">
        <w:t>attribution,</w:t>
      </w:r>
      <w:r w:rsidR="00190923" w:rsidRPr="00981405">
        <w:t xml:space="preserve"> </w:t>
      </w:r>
      <w:r w:rsidRPr="00981405">
        <w:t>as</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articles</w:t>
      </w:r>
      <w:r w:rsidR="00190923" w:rsidRPr="00981405">
        <w:t xml:space="preserve"> </w:t>
      </w:r>
      <w:r w:rsidRPr="00981405">
        <w:t>4</w:t>
      </w:r>
      <w:r w:rsidR="00190923" w:rsidRPr="00981405">
        <w:t xml:space="preserve"> </w:t>
      </w:r>
      <w:r w:rsidRPr="00981405">
        <w:t>to</w:t>
      </w:r>
      <w:r w:rsidR="00190923" w:rsidRPr="00981405">
        <w:t xml:space="preserve"> </w:t>
      </w:r>
      <w:r w:rsidRPr="00981405">
        <w:t>11</w:t>
      </w:r>
      <w:r w:rsidR="00190923" w:rsidRPr="00981405">
        <w:t xml:space="preserve"> </w:t>
      </w:r>
      <w:r w:rsidRPr="00981405">
        <w:t>of</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for</w:t>
      </w:r>
      <w:r w:rsidR="00190923" w:rsidRPr="00981405">
        <w:t xml:space="preserve"> </w:t>
      </w:r>
      <w:r w:rsidRPr="00981405">
        <w:t>internationally</w:t>
      </w:r>
      <w:r w:rsidR="00190923" w:rsidRPr="00981405">
        <w:t xml:space="preserve"> </w:t>
      </w:r>
      <w:r w:rsidRPr="00981405">
        <w:t>wrongful</w:t>
      </w:r>
      <w:r w:rsidR="00190923" w:rsidRPr="00981405">
        <w:t xml:space="preserve"> </w:t>
      </w:r>
      <w:r w:rsidRPr="00981405">
        <w:t>acts</w:t>
      </w:r>
      <w:r w:rsidR="00190923" w:rsidRPr="00981405">
        <w:t xml:space="preserve"> </w:t>
      </w:r>
      <w:r w:rsidRPr="00981405">
        <w:t>were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for</w:t>
      </w:r>
      <w:r w:rsidR="00190923" w:rsidRPr="00981405">
        <w:t xml:space="preserve"> </w:t>
      </w:r>
      <w:r w:rsidRPr="00981405">
        <w:t>instance</w:t>
      </w:r>
      <w:r w:rsidR="00190923" w:rsidRPr="00981405">
        <w:t xml:space="preserve"> </w:t>
      </w:r>
      <w:r w:rsidRPr="00981405">
        <w:t>that</w:t>
      </w:r>
      <w:r w:rsidR="00190923" w:rsidRPr="00981405">
        <w:t xml:space="preserve"> </w:t>
      </w:r>
      <w:r w:rsidRPr="00981405">
        <w:t>conduct</w:t>
      </w:r>
      <w:r w:rsidR="00190923" w:rsidRPr="00981405">
        <w:t xml:space="preserve"> </w:t>
      </w:r>
      <w:r w:rsidRPr="00981405">
        <w:t>of</w:t>
      </w:r>
      <w:r w:rsidR="00190923" w:rsidRPr="00981405">
        <w:t xml:space="preserve"> </w:t>
      </w:r>
      <w:r w:rsidRPr="00981405">
        <w:t>persons</w:t>
      </w:r>
      <w:r w:rsidR="00190923" w:rsidRPr="00981405">
        <w:t xml:space="preserve"> </w:t>
      </w:r>
      <w:r w:rsidRPr="00981405">
        <w:t>attributed</w:t>
      </w:r>
      <w:r w:rsidR="00190923" w:rsidRPr="00981405">
        <w:t xml:space="preserve"> </w:t>
      </w:r>
      <w:r w:rsidRPr="00981405">
        <w:t>under</w:t>
      </w:r>
      <w:r w:rsidR="00190923" w:rsidRPr="00981405">
        <w:t xml:space="preserve"> </w:t>
      </w:r>
      <w:r w:rsidRPr="00981405">
        <w:t>certain</w:t>
      </w:r>
      <w:r w:rsidR="00190923" w:rsidRPr="00981405">
        <w:t xml:space="preserve"> </w:t>
      </w:r>
      <w:r w:rsidRPr="00981405">
        <w:t>circumstances</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7,</w:t>
      </w:r>
      <w:r w:rsidR="00190923" w:rsidRPr="00981405">
        <w:t xml:space="preserve"> </w:t>
      </w:r>
      <w:r w:rsidRPr="00981405">
        <w:t>8,</w:t>
      </w:r>
      <w:r w:rsidR="00190923" w:rsidRPr="00981405">
        <w:t xml:space="preserve"> </w:t>
      </w:r>
      <w:r w:rsidRPr="00981405">
        <w:t>9,</w:t>
      </w:r>
      <w:r w:rsidR="00190923" w:rsidRPr="00981405">
        <w:t xml:space="preserve"> </w:t>
      </w:r>
      <w:r w:rsidRPr="00981405">
        <w:t>10</w:t>
      </w:r>
      <w:r w:rsidR="00190923" w:rsidRPr="00981405">
        <w:t xml:space="preserve"> </w:t>
      </w:r>
      <w:r w:rsidRPr="00981405">
        <w:t>and</w:t>
      </w:r>
      <w:r w:rsidR="00190923" w:rsidRPr="00981405">
        <w:t xml:space="preserve"> </w:t>
      </w:r>
      <w:r w:rsidRPr="00981405">
        <w:t>11,</w:t>
      </w:r>
      <w:r w:rsidR="00190923" w:rsidRPr="00981405">
        <w:t xml:space="preserve"> </w:t>
      </w:r>
      <w:r w:rsidRPr="00981405">
        <w:t>of</w:t>
      </w:r>
      <w:r w:rsidR="00190923" w:rsidRPr="00981405">
        <w:t xml:space="preserve"> </w:t>
      </w:r>
      <w:r w:rsidRPr="00981405">
        <w:t>the</w:t>
      </w:r>
      <w:r w:rsidR="00190923" w:rsidRPr="00981405">
        <w:t xml:space="preserve"> </w:t>
      </w:r>
      <w:r w:rsidRPr="00981405">
        <w:t>Articles</w:t>
      </w:r>
      <w:r w:rsidR="00190923" w:rsidRPr="00981405">
        <w:t xml:space="preserve"> </w:t>
      </w:r>
      <w:r w:rsidRPr="00981405">
        <w:t>did</w:t>
      </w:r>
      <w:r w:rsidR="00190923" w:rsidRPr="00981405">
        <w:t xml:space="preserve"> </w:t>
      </w:r>
      <w:r w:rsidRPr="00981405">
        <w:t>not</w:t>
      </w:r>
      <w:r w:rsidR="00190923" w:rsidRPr="00981405">
        <w:t xml:space="preserve"> </w:t>
      </w:r>
      <w:r w:rsidRPr="00981405">
        <w:t>constitute</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such</w:t>
      </w:r>
      <w:r w:rsidR="00190923" w:rsidRPr="00981405">
        <w:t xml:space="preserve"> </w:t>
      </w:r>
      <w:r w:rsidRPr="00981405">
        <w:t>persons.</w:t>
      </w:r>
    </w:p>
    <w:p w:rsidR="00397032" w:rsidRPr="00981405" w:rsidRDefault="00397032" w:rsidP="00D97463">
      <w:pPr>
        <w:pStyle w:val="SingleTxt"/>
      </w:pPr>
      <w:r w:rsidRPr="00981405">
        <w:t>219.</w:t>
      </w:r>
      <w:r w:rsidRPr="00981405">
        <w:tab/>
        <w:t>Considering</w:t>
      </w:r>
      <w:r w:rsidR="00190923" w:rsidRPr="00981405">
        <w:t xml:space="preserve"> </w:t>
      </w:r>
      <w:r w:rsidRPr="00981405">
        <w:t>that</w:t>
      </w:r>
      <w:r w:rsidR="00190923" w:rsidRPr="00981405">
        <w:t xml:space="preserve"> </w:t>
      </w:r>
      <w:r w:rsidRPr="00981405">
        <w:t>there</w:t>
      </w:r>
      <w:r w:rsidR="00190923" w:rsidRPr="00981405">
        <w:t xml:space="preserve"> </w:t>
      </w:r>
      <w:r w:rsidRPr="00981405">
        <w:t>seemed</w:t>
      </w:r>
      <w:r w:rsidR="00190923" w:rsidRPr="00981405">
        <w:t xml:space="preserve"> </w:t>
      </w:r>
      <w:r w:rsidRPr="00981405">
        <w:t>to</w:t>
      </w:r>
      <w:r w:rsidR="00190923" w:rsidRPr="00981405">
        <w:t xml:space="preserve"> </w:t>
      </w:r>
      <w:r w:rsidRPr="00981405">
        <w:t>be</w:t>
      </w:r>
      <w:r w:rsidR="00190923" w:rsidRPr="00981405">
        <w:t xml:space="preserve"> </w:t>
      </w:r>
      <w:r w:rsidRPr="00981405">
        <w:t>scant</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or</w:t>
      </w:r>
      <w:r w:rsidR="00190923" w:rsidRPr="00981405">
        <w:t xml:space="preserve"> </w:t>
      </w:r>
      <w:r w:rsidRPr="00981405">
        <w:t>pertinent</w:t>
      </w:r>
      <w:r w:rsidR="00190923" w:rsidRPr="00981405">
        <w:t xml:space="preserve"> </w:t>
      </w:r>
      <w:r w:rsidRPr="00981405">
        <w:t>case</w:t>
      </w:r>
      <w:r w:rsidR="00190923" w:rsidRPr="00981405">
        <w:t xml:space="preserve"> </w:t>
      </w:r>
      <w:r w:rsidRPr="00981405">
        <w:t>law,</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wondered</w:t>
      </w:r>
      <w:r w:rsidR="00190923" w:rsidRPr="00981405">
        <w:t xml:space="preserve"> </w:t>
      </w:r>
      <w:r w:rsidRPr="00981405">
        <w:t>about</w:t>
      </w:r>
      <w:r w:rsidR="00190923" w:rsidRPr="00981405">
        <w:t xml:space="preserve"> </w:t>
      </w:r>
      <w:r w:rsidRPr="00981405">
        <w:t>the</w:t>
      </w:r>
      <w:r w:rsidR="00190923" w:rsidRPr="00981405">
        <w:t xml:space="preserve"> </w:t>
      </w:r>
      <w:r w:rsidRPr="00981405">
        <w:t>basis</w:t>
      </w:r>
      <w:r w:rsidR="00190923" w:rsidRPr="00981405">
        <w:t xml:space="preserve"> </w:t>
      </w:r>
      <w:r w:rsidRPr="00981405">
        <w:t>on</w:t>
      </w:r>
      <w:r w:rsidR="00190923" w:rsidRPr="00981405">
        <w:t xml:space="preserve"> </w:t>
      </w:r>
      <w:r w:rsidRPr="00981405">
        <w:t>which</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had</w:t>
      </w:r>
      <w:r w:rsidR="00190923" w:rsidRPr="00981405">
        <w:t xml:space="preserve"> </w:t>
      </w:r>
      <w:r w:rsidRPr="00981405">
        <w:t>made</w:t>
      </w:r>
      <w:r w:rsidR="00190923" w:rsidRPr="00981405">
        <w:t xml:space="preserve"> </w:t>
      </w:r>
      <w:r w:rsidRPr="00981405">
        <w:t>the</w:t>
      </w:r>
      <w:r w:rsidR="00190923" w:rsidRPr="00981405">
        <w:t xml:space="preserve"> </w:t>
      </w:r>
      <w:r w:rsidRPr="00981405">
        <w:t>assertion</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State</w:t>
      </w:r>
      <w:r w:rsidR="00190923" w:rsidRPr="00981405">
        <w:t xml:space="preserve"> </w:t>
      </w:r>
      <w:r w:rsidRPr="00981405">
        <w:t>official</w:t>
      </w:r>
      <w:r w:rsidR="00B92E2C" w:rsidRPr="00981405">
        <w:t>”</w:t>
      </w:r>
      <w:r w:rsidR="00190923" w:rsidRPr="00981405">
        <w:t xml:space="preserve"> </w:t>
      </w:r>
      <w:r w:rsidRPr="00981405">
        <w:t>excluded</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immunity</w:t>
      </w:r>
      <w:r w:rsidR="00190923" w:rsidRPr="00981405">
        <w:t xml:space="preserve"> </w:t>
      </w:r>
      <w:r w:rsidRPr="00981405">
        <w:t>individuals</w:t>
      </w:r>
      <w:r w:rsidR="00190923" w:rsidRPr="00981405">
        <w:t xml:space="preserve"> </w:t>
      </w:r>
      <w:r w:rsidRPr="00981405">
        <w:t>who</w:t>
      </w:r>
      <w:r w:rsidR="00190923" w:rsidRPr="00981405">
        <w:t xml:space="preserve"> </w:t>
      </w:r>
      <w:r w:rsidRPr="00981405">
        <w:t>were</w:t>
      </w:r>
      <w:r w:rsidR="00190923" w:rsidRPr="00981405">
        <w:t xml:space="preserve"> </w:t>
      </w:r>
      <w:r w:rsidRPr="00981405">
        <w:t>usually</w:t>
      </w:r>
      <w:r w:rsidR="00190923" w:rsidRPr="00981405">
        <w:t xml:space="preserve"> </w:t>
      </w:r>
      <w:r w:rsidRPr="00981405">
        <w:t>regarded</w:t>
      </w:r>
      <w:r w:rsidR="00190923" w:rsidRPr="00981405">
        <w:t xml:space="preserve"> </w:t>
      </w:r>
      <w:r w:rsidRPr="00981405">
        <w:t>as</w:t>
      </w:r>
      <w:r w:rsidR="00190923" w:rsidRPr="00981405">
        <w:t xml:space="preserve"> </w:t>
      </w:r>
      <w:r w:rsidR="004769B2" w:rsidRPr="00981405">
        <w:rPr>
          <w:i/>
          <w:iCs/>
        </w:rPr>
        <w:t>de</w:t>
      </w:r>
      <w:r w:rsidR="00190923" w:rsidRPr="00981405">
        <w:rPr>
          <w:i/>
          <w:iCs/>
        </w:rPr>
        <w:t xml:space="preserve"> </w:t>
      </w:r>
      <w:r w:rsidR="004769B2" w:rsidRPr="00981405">
        <w:rPr>
          <w:i/>
          <w:iCs/>
        </w:rPr>
        <w:t>facto</w:t>
      </w:r>
      <w:r w:rsidR="00190923" w:rsidRPr="00981405">
        <w:rPr>
          <w:i/>
          <w:iCs/>
        </w:rPr>
        <w:t xml:space="preserve"> </w:t>
      </w:r>
      <w:r w:rsidRPr="00981405">
        <w:t>officials.</w:t>
      </w:r>
      <w:r w:rsidR="00190923" w:rsidRPr="00981405">
        <w:t xml:space="preserve"> </w:t>
      </w:r>
      <w:r w:rsidRPr="00981405">
        <w:t>There</w:t>
      </w:r>
      <w:r w:rsidR="00190923" w:rsidRPr="00981405">
        <w:t xml:space="preserve"> </w:t>
      </w:r>
      <w:r w:rsidRPr="00981405">
        <w:t>was</w:t>
      </w:r>
      <w:r w:rsidR="00190923" w:rsidRPr="00981405">
        <w:t xml:space="preserve"> </w:t>
      </w:r>
      <w:r w:rsidRPr="00981405">
        <w:t>need,</w:t>
      </w:r>
      <w:r w:rsidR="00190923" w:rsidRPr="00981405">
        <w:t xml:space="preserve"> </w:t>
      </w:r>
      <w:r w:rsidRPr="00981405">
        <w:t>for</w:t>
      </w:r>
      <w:r w:rsidR="00190923" w:rsidRPr="00981405">
        <w:t xml:space="preserve"> </w:t>
      </w:r>
      <w:r w:rsidRPr="00981405">
        <w:t>some</w:t>
      </w:r>
      <w:r w:rsidR="00190923" w:rsidRPr="00981405">
        <w:t xml:space="preserve"> </w:t>
      </w:r>
      <w:r w:rsidRPr="00981405">
        <w:t>members,</w:t>
      </w:r>
      <w:r w:rsidR="00190923" w:rsidRPr="00981405">
        <w:t xml:space="preserve"> </w:t>
      </w:r>
      <w:r w:rsidRPr="00981405">
        <w:t>to</w:t>
      </w:r>
      <w:r w:rsidR="00190923" w:rsidRPr="00981405">
        <w:t xml:space="preserve"> </w:t>
      </w:r>
      <w:r w:rsidRPr="00981405">
        <w:t>take</w:t>
      </w:r>
      <w:r w:rsidR="00190923" w:rsidRPr="00981405">
        <w:t xml:space="preserve"> </w:t>
      </w:r>
      <w:r w:rsidRPr="00981405">
        <w:t>a</w:t>
      </w:r>
      <w:r w:rsidR="00190923" w:rsidRPr="00981405">
        <w:t xml:space="preserve"> </w:t>
      </w:r>
      <w:r w:rsidRPr="00981405">
        <w:t>broader</w:t>
      </w:r>
      <w:r w:rsidR="00190923" w:rsidRPr="00981405">
        <w:t xml:space="preserve"> </w:t>
      </w:r>
      <w:r w:rsidRPr="00981405">
        <w:t>approach</w:t>
      </w:r>
      <w:r w:rsidR="00190923" w:rsidRPr="00981405">
        <w:t xml:space="preserve"> </w:t>
      </w:r>
      <w:r w:rsidRPr="00981405">
        <w:t>to</w:t>
      </w:r>
      <w:r w:rsidR="00190923" w:rsidRPr="00981405">
        <w:t xml:space="preserve"> </w:t>
      </w:r>
      <w:r w:rsidRPr="00981405">
        <w:t>cover</w:t>
      </w:r>
      <w:r w:rsidR="00190923" w:rsidRPr="00981405">
        <w:t xml:space="preserve"> </w:t>
      </w:r>
      <w:r w:rsidRPr="00981405">
        <w:t>acts</w:t>
      </w:r>
      <w:r w:rsidR="00190923" w:rsidRPr="00981405">
        <w:t xml:space="preserve"> </w:t>
      </w:r>
      <w:r w:rsidRPr="00981405">
        <w:t>of</w:t>
      </w:r>
      <w:r w:rsidR="00190923" w:rsidRPr="00981405">
        <w:t xml:space="preserve"> </w:t>
      </w:r>
      <w:r w:rsidRPr="00981405">
        <w:t>a</w:t>
      </w:r>
      <w:r w:rsidR="00190923" w:rsidRPr="00981405">
        <w:t xml:space="preserve"> </w:t>
      </w:r>
      <w:r w:rsidRPr="00981405">
        <w:t>person</w:t>
      </w:r>
      <w:r w:rsidR="00190923" w:rsidRPr="00981405">
        <w:t xml:space="preserve"> </w:t>
      </w:r>
      <w:r w:rsidRPr="00981405">
        <w:t>acting</w:t>
      </w:r>
      <w:r w:rsidR="00190923" w:rsidRPr="00981405">
        <w:t xml:space="preserve"> </w:t>
      </w:r>
      <w:r w:rsidRPr="00981405">
        <w:t>under</w:t>
      </w:r>
      <w:r w:rsidR="00190923" w:rsidRPr="00981405">
        <w:t xml:space="preserve"> </w:t>
      </w:r>
      <w:r w:rsidRPr="00981405">
        <w:t>governmental</w:t>
      </w:r>
      <w:r w:rsidR="00190923" w:rsidRPr="00981405">
        <w:t xml:space="preserve"> </w:t>
      </w:r>
      <w:r w:rsidRPr="00981405">
        <w:t>direction</w:t>
      </w:r>
      <w:r w:rsidR="00190923" w:rsidRPr="00981405">
        <w:t xml:space="preserve"> </w:t>
      </w:r>
      <w:r w:rsidRPr="00981405">
        <w:t>and</w:t>
      </w:r>
      <w:r w:rsidR="00190923" w:rsidRPr="00981405">
        <w:t xml:space="preserve"> </w:t>
      </w:r>
      <w:r w:rsidRPr="00981405">
        <w:t>control.</w:t>
      </w:r>
      <w:r w:rsidR="00190923" w:rsidRPr="00981405">
        <w:t xml:space="preserve"> </w:t>
      </w:r>
      <w:r w:rsidRPr="00981405">
        <w:t>The</w:t>
      </w:r>
      <w:r w:rsidR="00190923" w:rsidRPr="00981405">
        <w:t xml:space="preserve"> </w:t>
      </w:r>
      <w:r w:rsidRPr="00981405">
        <w:t>point</w:t>
      </w:r>
      <w:r w:rsidR="00190923" w:rsidRPr="00981405">
        <w:t xml:space="preserve"> </w:t>
      </w:r>
      <w:r w:rsidRPr="00981405">
        <w:t>was</w:t>
      </w:r>
      <w:r w:rsidR="00190923" w:rsidRPr="00981405">
        <w:t xml:space="preserve"> </w:t>
      </w:r>
      <w:r w:rsidRPr="00981405">
        <w:t>also</w:t>
      </w:r>
      <w:r w:rsidR="00190923" w:rsidRPr="00981405">
        <w:t xml:space="preserve"> </w:t>
      </w:r>
      <w:r w:rsidRPr="00981405">
        <w:t>made</w:t>
      </w:r>
      <w:r w:rsidR="00190923" w:rsidRPr="00981405">
        <w:t xml:space="preserve"> </w:t>
      </w:r>
      <w:r w:rsidRPr="00981405">
        <w:t>that</w:t>
      </w:r>
      <w:r w:rsidR="00190923" w:rsidRPr="00981405">
        <w:t xml:space="preserve"> </w:t>
      </w:r>
      <w:r w:rsidRPr="00981405">
        <w:t>the</w:t>
      </w:r>
      <w:r w:rsidR="00190923" w:rsidRPr="00981405">
        <w:t xml:space="preserve"> </w:t>
      </w:r>
      <w:r w:rsidRPr="00981405">
        <w:t>trend</w:t>
      </w:r>
      <w:r w:rsidR="00190923" w:rsidRPr="00981405">
        <w:t xml:space="preserve"> </w:t>
      </w:r>
      <w:r w:rsidRPr="00981405">
        <w:t>from</w:t>
      </w:r>
      <w:r w:rsidR="00190923" w:rsidRPr="00981405">
        <w:t xml:space="preserve"> </w:t>
      </w:r>
      <w:r w:rsidRPr="00981405">
        <w:t>recently</w:t>
      </w:r>
      <w:r w:rsidR="00190923" w:rsidRPr="00981405">
        <w:t xml:space="preserve"> </w:t>
      </w:r>
      <w:r w:rsidRPr="00981405">
        <w:t>concluded</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elaborated</w:t>
      </w:r>
      <w:r w:rsidR="00190923" w:rsidRPr="00981405">
        <w:t xml:space="preserve"> </w:t>
      </w:r>
      <w:r w:rsidRPr="00981405">
        <w:t>principles</w:t>
      </w:r>
      <w:r w:rsidR="00190923" w:rsidRPr="00981405">
        <w:t xml:space="preserve"> </w:t>
      </w:r>
      <w:r w:rsidRPr="00981405">
        <w:t>on</w:t>
      </w:r>
      <w:r w:rsidR="00190923" w:rsidRPr="00981405">
        <w:t xml:space="preserve"> </w:t>
      </w:r>
      <w:r w:rsidRPr="00981405">
        <w:t>private</w:t>
      </w:r>
      <w:r w:rsidR="00190923" w:rsidRPr="00981405">
        <w:t xml:space="preserve"> </w:t>
      </w:r>
      <w:r w:rsidRPr="00981405">
        <w:t>contractors</w:t>
      </w:r>
      <w:r w:rsidR="00190923" w:rsidRPr="00981405">
        <w:t xml:space="preserve"> </w:t>
      </w:r>
      <w:r w:rsidRPr="00981405">
        <w:t>was</w:t>
      </w:r>
      <w:r w:rsidR="00190923" w:rsidRPr="00981405">
        <w:t xml:space="preserve"> </w:t>
      </w:r>
      <w:r w:rsidRPr="00981405">
        <w:t>in</w:t>
      </w:r>
      <w:r w:rsidR="00190923" w:rsidRPr="00981405">
        <w:t xml:space="preserve"> </w:t>
      </w:r>
      <w:r w:rsidRPr="00981405">
        <w:t>favour</w:t>
      </w:r>
      <w:r w:rsidR="00190923" w:rsidRPr="00981405">
        <w:t xml:space="preserve"> </w:t>
      </w:r>
      <w:r w:rsidRPr="00981405">
        <w:t>of</w:t>
      </w:r>
      <w:r w:rsidR="00190923" w:rsidRPr="00981405">
        <w:t xml:space="preserve"> </w:t>
      </w:r>
      <w:r w:rsidRPr="00981405">
        <w:t>restricting</w:t>
      </w:r>
      <w:r w:rsidR="00190923" w:rsidRPr="00981405">
        <w:t xml:space="preserve"> </w:t>
      </w:r>
      <w:r w:rsidRPr="00981405">
        <w:t>or</w:t>
      </w:r>
      <w:r w:rsidR="00190923" w:rsidRPr="00981405">
        <w:t xml:space="preserve"> </w:t>
      </w:r>
      <w:r w:rsidRPr="00981405">
        <w:t>denying</w:t>
      </w:r>
      <w:r w:rsidR="00190923" w:rsidRPr="00981405">
        <w:t xml:space="preserve"> </w:t>
      </w:r>
      <w:r w:rsidRPr="00981405">
        <w:t>immunity</w:t>
      </w:r>
      <w:r w:rsidR="00190923" w:rsidRPr="00981405">
        <w:t xml:space="preserve"> </w:t>
      </w:r>
      <w:r w:rsidRPr="00981405">
        <w:t>to</w:t>
      </w:r>
      <w:r w:rsidR="00190923" w:rsidRPr="00981405">
        <w:t xml:space="preserve"> </w:t>
      </w:r>
      <w:r w:rsidRPr="00981405">
        <w:t>such</w:t>
      </w:r>
      <w:r w:rsidR="00190923" w:rsidRPr="00981405">
        <w:t xml:space="preserve"> </w:t>
      </w:r>
      <w:r w:rsidRPr="00981405">
        <w:t>actors.</w:t>
      </w:r>
    </w:p>
    <w:p w:rsidR="00397032" w:rsidRPr="00981405" w:rsidRDefault="00397032" w:rsidP="00D97463">
      <w:pPr>
        <w:pStyle w:val="SingleTxt"/>
      </w:pPr>
      <w:r w:rsidRPr="00981405">
        <w:t>220.</w:t>
      </w:r>
      <w:r w:rsidRPr="00981405">
        <w:tab/>
        <w:t>According</w:t>
      </w:r>
      <w:r w:rsidR="00190923" w:rsidRPr="00981405">
        <w:t xml:space="preserve"> </w:t>
      </w:r>
      <w:r w:rsidRPr="00981405">
        <w:t>to</w:t>
      </w:r>
      <w:r w:rsidR="00190923" w:rsidRPr="00981405">
        <w:t xml:space="preserve"> </w:t>
      </w:r>
      <w:r w:rsidRPr="00981405">
        <w:t>another</w:t>
      </w:r>
      <w:r w:rsidR="00190923" w:rsidRPr="00981405">
        <w:t xml:space="preserve"> </w:t>
      </w:r>
      <w:r w:rsidRPr="00981405">
        <w:t>view,</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immunity</w:t>
      </w:r>
      <w:r w:rsidR="00190923" w:rsidRPr="00981405">
        <w:t xml:space="preserve"> </w:t>
      </w:r>
      <w:r w:rsidRPr="00981405">
        <w:t>and</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State</w:t>
      </w:r>
      <w:r w:rsidR="00190923" w:rsidRPr="00981405">
        <w:t xml:space="preserve"> </w:t>
      </w:r>
      <w:r w:rsidRPr="00981405">
        <w:t>responsibility</w:t>
      </w:r>
      <w:r w:rsidR="00190923" w:rsidRPr="00981405">
        <w:t xml:space="preserve"> </w:t>
      </w:r>
      <w:r w:rsidRPr="00981405">
        <w:t>were</w:t>
      </w:r>
      <w:r w:rsidR="00190923" w:rsidRPr="00981405">
        <w:t xml:space="preserve"> </w:t>
      </w:r>
      <w:r w:rsidRPr="00981405">
        <w:t>different</w:t>
      </w:r>
      <w:r w:rsidR="00190923" w:rsidRPr="00981405">
        <w:t xml:space="preserve"> </w:t>
      </w:r>
      <w:r w:rsidRPr="00981405">
        <w:t>regimes,</w:t>
      </w:r>
      <w:r w:rsidR="00190923" w:rsidRPr="00981405">
        <w:t xml:space="preserve"> </w:t>
      </w:r>
      <w:r w:rsidRPr="00981405">
        <w:t>whose</w:t>
      </w:r>
      <w:r w:rsidR="00190923" w:rsidRPr="00981405">
        <w:t xml:space="preserve"> </w:t>
      </w:r>
      <w:r w:rsidRPr="00981405">
        <w:t>rationale</w:t>
      </w:r>
      <w:r w:rsidR="00190923" w:rsidRPr="00981405">
        <w:t xml:space="preserve"> </w:t>
      </w:r>
      <w:r w:rsidRPr="00981405">
        <w:t>for</w:t>
      </w:r>
      <w:r w:rsidR="00190923" w:rsidRPr="00981405">
        <w:t xml:space="preserve"> </w:t>
      </w:r>
      <w:r w:rsidRPr="00981405">
        <w:t>existence</w:t>
      </w:r>
      <w:r w:rsidR="00190923" w:rsidRPr="00981405">
        <w:t xml:space="preserve"> </w:t>
      </w:r>
      <w:r w:rsidRPr="00981405">
        <w:t>was</w:t>
      </w:r>
      <w:r w:rsidR="00190923" w:rsidRPr="00981405">
        <w:t xml:space="preserve"> </w:t>
      </w:r>
      <w:r w:rsidRPr="00981405">
        <w:t>different</w:t>
      </w:r>
      <w:r w:rsidR="00190923" w:rsidRPr="00981405">
        <w:t xml:space="preserve"> </w:t>
      </w:r>
      <w:r w:rsidRPr="00981405">
        <w:t>with</w:t>
      </w:r>
      <w:r w:rsidR="00190923" w:rsidRPr="00981405">
        <w:t xml:space="preserve"> </w:t>
      </w:r>
      <w:r w:rsidRPr="00981405">
        <w:t>the</w:t>
      </w:r>
      <w:r w:rsidR="00190923" w:rsidRPr="00981405">
        <w:t xml:space="preserve"> </w:t>
      </w:r>
      <w:r w:rsidRPr="00981405">
        <w:t>consequent</w:t>
      </w:r>
      <w:r w:rsidR="00190923" w:rsidRPr="00981405">
        <w:t xml:space="preserve"> </w:t>
      </w:r>
      <w:r w:rsidRPr="00981405">
        <w:t>result</w:t>
      </w:r>
      <w:r w:rsidR="00190923" w:rsidRPr="00981405">
        <w:t xml:space="preserve"> </w:t>
      </w:r>
      <w:r w:rsidRPr="00981405">
        <w:t>that</w:t>
      </w:r>
      <w:r w:rsidR="00190923" w:rsidRPr="00981405">
        <w:t xml:space="preserve"> </w:t>
      </w:r>
      <w:r w:rsidRPr="00981405">
        <w:t>they</w:t>
      </w:r>
      <w:r w:rsidR="00190923" w:rsidRPr="00981405">
        <w:t xml:space="preserve"> </w:t>
      </w:r>
      <w:r w:rsidRPr="00981405">
        <w:t>provided</w:t>
      </w:r>
      <w:r w:rsidR="00190923" w:rsidRPr="00981405">
        <w:t xml:space="preserve"> </w:t>
      </w:r>
      <w:r w:rsidRPr="00981405">
        <w:t>different</w:t>
      </w:r>
      <w:r w:rsidR="00190923" w:rsidRPr="00981405">
        <w:t xml:space="preserve"> </w:t>
      </w:r>
      <w:r w:rsidRPr="00981405">
        <w:t>solutions</w:t>
      </w:r>
      <w:r w:rsidR="00190923" w:rsidRPr="00981405">
        <w:t xml:space="preserve"> </w:t>
      </w:r>
      <w:r w:rsidRPr="00981405">
        <w:t>and</w:t>
      </w:r>
      <w:r w:rsidR="00190923" w:rsidRPr="00981405">
        <w:t xml:space="preserve"> </w:t>
      </w:r>
      <w:r w:rsidRPr="00981405">
        <w:t>remedies.</w:t>
      </w:r>
    </w:p>
    <w:p w:rsidR="00397032" w:rsidRPr="00981405" w:rsidRDefault="00397032" w:rsidP="00D97463">
      <w:pPr>
        <w:pStyle w:val="SingleTxt"/>
      </w:pPr>
      <w:r w:rsidRPr="00981405">
        <w:t>221.</w:t>
      </w:r>
      <w:r w:rsidRPr="00981405">
        <w:tab/>
        <w:t>In</w:t>
      </w:r>
      <w:r w:rsidR="00190923" w:rsidRPr="00981405">
        <w:t xml:space="preserve"> </w:t>
      </w:r>
      <w:r w:rsidRPr="00981405">
        <w:t>specific</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draft</w:t>
      </w:r>
      <w:r w:rsidR="00190923" w:rsidRPr="00981405">
        <w:t xml:space="preserve"> </w:t>
      </w:r>
      <w:r w:rsidRPr="00981405">
        <w:t>definition</w:t>
      </w:r>
      <w:r w:rsidR="00190923" w:rsidRPr="00981405">
        <w:t xml:space="preserve"> </w:t>
      </w:r>
      <w:r w:rsidRPr="00981405">
        <w:t>as</w:t>
      </w:r>
      <w:r w:rsidR="00190923" w:rsidRPr="00981405">
        <w:t xml:space="preserve"> </w:t>
      </w:r>
      <w:r w:rsidRPr="00981405">
        <w:t>proposed,</w:t>
      </w:r>
      <w:r w:rsidR="00190923" w:rsidRPr="00981405">
        <w:t xml:space="preserve"> </w:t>
      </w:r>
      <w:r w:rsidRPr="00981405">
        <w:t>some</w:t>
      </w:r>
      <w:r w:rsidR="00190923" w:rsidRPr="00981405">
        <w:t xml:space="preserve"> </w:t>
      </w:r>
      <w:r w:rsidRPr="00981405">
        <w:t>members</w:t>
      </w:r>
      <w:r w:rsidR="00190923" w:rsidRPr="00981405">
        <w:t xml:space="preserve"> </w:t>
      </w:r>
      <w:r w:rsidRPr="00981405">
        <w:t>welcomed</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had</w:t>
      </w:r>
      <w:r w:rsidR="00190923" w:rsidRPr="00981405">
        <w:t xml:space="preserve"> </w:t>
      </w:r>
      <w:r w:rsidRPr="00981405">
        <w:t>not</w:t>
      </w:r>
      <w:r w:rsidR="00190923" w:rsidRPr="00981405">
        <w:t xml:space="preserve"> </w:t>
      </w:r>
      <w:r w:rsidRPr="00981405">
        <w:t>introduced</w:t>
      </w:r>
      <w:r w:rsidR="00190923" w:rsidRPr="00981405">
        <w:t xml:space="preserve"> </w:t>
      </w:r>
      <w:r w:rsidRPr="00981405">
        <w:t>the</w:t>
      </w:r>
      <w:r w:rsidR="00190923" w:rsidRPr="00981405">
        <w:t xml:space="preserve"> </w:t>
      </w:r>
      <w:r w:rsidRPr="00981405">
        <w:t>attribution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in</w:t>
      </w:r>
      <w:r w:rsidR="00190923" w:rsidRPr="00981405">
        <w:t xml:space="preserve"> </w:t>
      </w:r>
      <w:r w:rsidRPr="00981405">
        <w:t>the</w:t>
      </w:r>
      <w:r w:rsidR="00190923" w:rsidRPr="00981405">
        <w:t xml:space="preserve"> </w:t>
      </w:r>
      <w:r w:rsidRPr="00981405">
        <w:t>text</w:t>
      </w:r>
      <w:r w:rsidR="00190923" w:rsidRPr="00981405">
        <w:t xml:space="preserve"> </w:t>
      </w:r>
      <w:r w:rsidRPr="00981405">
        <w:t>as</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a</w:t>
      </w:r>
      <w:r w:rsidR="00190923" w:rsidRPr="00981405">
        <w:t xml:space="preserve"> </w:t>
      </w:r>
      <w:r w:rsidRPr="00981405">
        <w:t>helpful</w:t>
      </w:r>
      <w:r w:rsidR="00190923" w:rsidRPr="00981405">
        <w:t xml:space="preserve"> </w:t>
      </w:r>
      <w:r w:rsidRPr="00981405">
        <w:t>criterion</w:t>
      </w:r>
      <w:r w:rsidR="00190923" w:rsidRPr="00981405">
        <w:t xml:space="preserve"> </w:t>
      </w:r>
      <w:r w:rsidRPr="00981405">
        <w:t>when</w:t>
      </w:r>
      <w:r w:rsidR="00190923" w:rsidRPr="00981405">
        <w:t xml:space="preserve"> </w:t>
      </w:r>
      <w:r w:rsidRPr="00981405">
        <w:t>determining</w:t>
      </w:r>
      <w:r w:rsidR="00190923" w:rsidRPr="00981405">
        <w:t xml:space="preserve"> </w:t>
      </w:r>
      <w:r w:rsidRPr="00981405">
        <w:t>what</w:t>
      </w:r>
      <w:r w:rsidR="00190923" w:rsidRPr="00981405">
        <w:t xml:space="preserve"> </w:t>
      </w:r>
      <w:r w:rsidRPr="00981405">
        <w:t>constituted</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p>
    <w:p w:rsidR="00397032" w:rsidRPr="00D97463" w:rsidRDefault="00397032" w:rsidP="00D97463">
      <w:pPr>
        <w:pStyle w:val="SingleTxt"/>
        <w:keepNext/>
        <w:keepLines/>
        <w:spacing w:after="0" w:line="120" w:lineRule="exact"/>
        <w:rPr>
          <w:sz w:val="10"/>
        </w:rPr>
      </w:pPr>
    </w:p>
    <w:p w:rsidR="00397032" w:rsidRPr="00D97463" w:rsidRDefault="00397032" w:rsidP="00D97463">
      <w:pPr>
        <w:pStyle w:val="H23"/>
        <w:ind w:right="1260"/>
      </w:pPr>
      <w:r w:rsidRPr="00D97463">
        <w:tab/>
      </w:r>
      <w:bookmarkStart w:id="158" w:name="_Toc427938146"/>
      <w:r w:rsidRPr="00D97463">
        <w:t>(iv)</w:t>
      </w:r>
      <w:r w:rsidRPr="00D97463">
        <w:tab/>
        <w:t>Sovereignty</w:t>
      </w:r>
      <w:r w:rsidR="00190923" w:rsidRPr="00D97463">
        <w:t xml:space="preserve"> </w:t>
      </w:r>
      <w:r w:rsidRPr="00D97463">
        <w:t>and</w:t>
      </w:r>
      <w:r w:rsidR="00190923" w:rsidRPr="00D97463">
        <w:t xml:space="preserve"> </w:t>
      </w:r>
      <w:r w:rsidRPr="00D97463">
        <w:t>exercise</w:t>
      </w:r>
      <w:r w:rsidR="00190923" w:rsidRPr="00D97463">
        <w:t xml:space="preserve"> </w:t>
      </w:r>
      <w:r w:rsidRPr="00D97463">
        <w:t>of</w:t>
      </w:r>
      <w:r w:rsidR="00190923" w:rsidRPr="00D97463">
        <w:t xml:space="preserve"> </w:t>
      </w:r>
      <w:r w:rsidRPr="00D97463">
        <w:t>elements</w:t>
      </w:r>
      <w:r w:rsidR="00190923" w:rsidRPr="00D97463">
        <w:t xml:space="preserve"> </w:t>
      </w:r>
      <w:r w:rsidRPr="00D97463">
        <w:t>of</w:t>
      </w:r>
      <w:r w:rsidR="00190923" w:rsidRPr="00D97463">
        <w:t xml:space="preserve"> </w:t>
      </w:r>
      <w:r w:rsidRPr="00D97463">
        <w:t>the</w:t>
      </w:r>
      <w:r w:rsidR="00190923" w:rsidRPr="00D97463">
        <w:t xml:space="preserve"> </w:t>
      </w:r>
      <w:r w:rsidRPr="00D97463">
        <w:t>governmental</w:t>
      </w:r>
      <w:r w:rsidR="00190923" w:rsidRPr="00D97463">
        <w:t xml:space="preserve"> </w:t>
      </w:r>
      <w:r w:rsidRPr="00D97463">
        <w:t>authority</w:t>
      </w:r>
      <w:bookmarkEnd w:id="158"/>
    </w:p>
    <w:p w:rsidR="00397032" w:rsidRPr="00D97463" w:rsidRDefault="00397032"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222.</w:t>
      </w:r>
      <w:r w:rsidRPr="00981405">
        <w:tab/>
        <w:t>According</w:t>
      </w:r>
      <w:r w:rsidR="00190923" w:rsidRPr="00981405">
        <w:t xml:space="preserve"> </w:t>
      </w:r>
      <w:r w:rsidRPr="00981405">
        <w:t>to</w:t>
      </w:r>
      <w:r w:rsidR="00190923" w:rsidRPr="00981405">
        <w:t xml:space="preserve"> </w:t>
      </w:r>
      <w:r w:rsidRPr="00981405">
        <w:t>some</w:t>
      </w:r>
      <w:r w:rsidR="00190923" w:rsidRPr="00981405">
        <w:t xml:space="preserve"> </w:t>
      </w:r>
      <w:r w:rsidRPr="00981405">
        <w:t>members,</w:t>
      </w:r>
      <w:r w:rsidR="00190923" w:rsidRPr="00981405">
        <w:t xml:space="preserve"> </w:t>
      </w:r>
      <w:r w:rsidRPr="00981405">
        <w:t>it</w:t>
      </w:r>
      <w:r w:rsidR="00190923" w:rsidRPr="00981405">
        <w:t xml:space="preserve"> </w:t>
      </w:r>
      <w:r w:rsidRPr="00981405">
        <w:t>was</w:t>
      </w:r>
      <w:r w:rsidR="00190923" w:rsidRPr="00981405">
        <w:t xml:space="preserve"> </w:t>
      </w:r>
      <w:r w:rsidRPr="00981405">
        <w:t>important,</w:t>
      </w:r>
      <w:r w:rsidR="00190923" w:rsidRPr="00981405">
        <w:t xml:space="preserve"> </w:t>
      </w:r>
      <w:r w:rsidRPr="00981405">
        <w:t>as</w:t>
      </w:r>
      <w:r w:rsidR="00190923" w:rsidRPr="00981405">
        <w:t xml:space="preserve"> </w:t>
      </w:r>
      <w:r w:rsidRPr="00981405">
        <w:t>noted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to</w:t>
      </w:r>
      <w:r w:rsidR="00190923" w:rsidRPr="00981405">
        <w:t xml:space="preserve"> </w:t>
      </w:r>
      <w:r w:rsidRPr="00981405">
        <w:t>distinguish</w:t>
      </w:r>
      <w:r w:rsidR="00190923" w:rsidRPr="00981405">
        <w:t xml:space="preserve"> </w:t>
      </w:r>
      <w:r w:rsidRPr="00981405">
        <w:t>acts</w:t>
      </w:r>
      <w:r w:rsidR="00190923" w:rsidRPr="00981405">
        <w:t xml:space="preserve"> </w:t>
      </w:r>
      <w:r w:rsidRPr="00981405">
        <w:t>which</w:t>
      </w:r>
      <w:r w:rsidR="00190923" w:rsidRPr="00981405">
        <w:t xml:space="preserve"> </w:t>
      </w:r>
      <w:r w:rsidRPr="00981405">
        <w:t>are</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in</w:t>
      </w:r>
      <w:r w:rsidR="00190923" w:rsidRPr="00981405">
        <w:t xml:space="preserve"> </w:t>
      </w:r>
      <w:r w:rsidRPr="00981405">
        <w:t>the</w:t>
      </w:r>
      <w:r w:rsidR="00190923" w:rsidRPr="00981405">
        <w:t xml:space="preserve"> </w:t>
      </w:r>
      <w:r w:rsidRPr="00981405">
        <w:t>sense</w:t>
      </w:r>
      <w:r w:rsidR="00190923" w:rsidRPr="00981405">
        <w:t xml:space="preserve"> </w:t>
      </w:r>
      <w:r w:rsidRPr="00981405">
        <w:t>that</w:t>
      </w:r>
      <w:r w:rsidR="00190923" w:rsidRPr="00981405">
        <w:t xml:space="preserve"> </w:t>
      </w:r>
      <w:r w:rsidRPr="00981405">
        <w:t>they</w:t>
      </w:r>
      <w:r w:rsidR="00190923" w:rsidRPr="00981405">
        <w:t xml:space="preserve"> </w:t>
      </w:r>
      <w:r w:rsidRPr="00981405">
        <w:t>were</w:t>
      </w:r>
      <w:r w:rsidR="00190923" w:rsidRPr="00981405">
        <w:t xml:space="preserve"> </w:t>
      </w:r>
      <w:r w:rsidRPr="00981405">
        <w:t>in</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a</w:t>
      </w:r>
      <w:r w:rsidR="00190923" w:rsidRPr="00981405">
        <w:t xml:space="preserve"> </w:t>
      </w:r>
      <w:r w:rsidRPr="00981405">
        <w:t>public</w:t>
      </w:r>
      <w:r w:rsidR="00190923" w:rsidRPr="00981405">
        <w:t xml:space="preserve"> </w:t>
      </w:r>
      <w:r w:rsidRPr="00981405">
        <w:t>function,</w:t>
      </w:r>
      <w:r w:rsidR="00190923" w:rsidRPr="00981405">
        <w:t xml:space="preserve"> </w:t>
      </w:r>
      <w:r w:rsidRPr="00981405">
        <w:t>or</w:t>
      </w:r>
      <w:r w:rsidR="00190923" w:rsidRPr="00981405">
        <w:t xml:space="preserve"> </w:t>
      </w:r>
      <w:r w:rsidRPr="00981405">
        <w:t>of</w:t>
      </w:r>
      <w:r w:rsidR="00190923" w:rsidRPr="00981405">
        <w:t xml:space="preserve"> </w:t>
      </w:r>
      <w:r w:rsidRPr="00981405">
        <w:t>the</w:t>
      </w:r>
      <w:r w:rsidR="00190923" w:rsidRPr="00981405">
        <w:t xml:space="preserve"> </w:t>
      </w:r>
      <w:r w:rsidRPr="00981405">
        <w:t>sovereign</w:t>
      </w:r>
      <w:r w:rsidR="00190923" w:rsidRPr="00981405">
        <w:t xml:space="preserve"> </w:t>
      </w:r>
      <w:r w:rsidRPr="00981405">
        <w:t>prerogative</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those</w:t>
      </w:r>
      <w:r w:rsidR="00190923" w:rsidRPr="00981405">
        <w:t xml:space="preserve"> </w:t>
      </w:r>
      <w:r w:rsidRPr="00981405">
        <w:t>which</w:t>
      </w:r>
      <w:r w:rsidR="00190923" w:rsidRPr="00981405">
        <w:t xml:space="preserve"> </w:t>
      </w:r>
      <w:r w:rsidRPr="00981405">
        <w:t>are</w:t>
      </w:r>
      <w:r w:rsidR="00190923" w:rsidRPr="00981405">
        <w:t xml:space="preserve"> </w:t>
      </w:r>
      <w:r w:rsidRPr="00981405">
        <w:t>merely</w:t>
      </w:r>
      <w:r w:rsidR="00190923" w:rsidRPr="00981405">
        <w:t xml:space="preserve"> </w:t>
      </w:r>
      <w:r w:rsidRPr="00981405">
        <w:t>in</w:t>
      </w:r>
      <w:r w:rsidR="00190923" w:rsidRPr="00981405">
        <w:t xml:space="preserve"> </w:t>
      </w:r>
      <w:r w:rsidRPr="00981405">
        <w:t>furtherance</w:t>
      </w:r>
      <w:r w:rsidR="00190923" w:rsidRPr="00981405">
        <w:t xml:space="preserve"> </w:t>
      </w:r>
      <w:r w:rsidRPr="00981405">
        <w:t>of</w:t>
      </w:r>
      <w:r w:rsidR="00190923" w:rsidRPr="00981405">
        <w:t xml:space="preserve"> </w:t>
      </w:r>
      <w:r w:rsidRPr="00981405">
        <w:t>a</w:t>
      </w:r>
      <w:r w:rsidR="00190923" w:rsidRPr="00981405">
        <w:t xml:space="preserve"> </w:t>
      </w:r>
      <w:r w:rsidRPr="00981405">
        <w:t>private</w:t>
      </w:r>
      <w:r w:rsidR="00190923" w:rsidRPr="00981405">
        <w:t xml:space="preserve"> </w:t>
      </w:r>
      <w:r w:rsidRPr="00981405">
        <w:t>interest.</w:t>
      </w:r>
      <w:r w:rsidR="00190923" w:rsidRPr="00981405">
        <w:t xml:space="preserve"> </w:t>
      </w:r>
      <w:r w:rsidRPr="00981405">
        <w:t>They</w:t>
      </w:r>
      <w:r w:rsidR="00190923" w:rsidRPr="00981405">
        <w:t xml:space="preserve"> </w:t>
      </w:r>
      <w:r w:rsidRPr="00981405">
        <w:t>found</w:t>
      </w:r>
      <w:r w:rsidR="00190923" w:rsidRPr="00981405">
        <w:t xml:space="preserve"> </w:t>
      </w:r>
      <w:r w:rsidRPr="00981405">
        <w:t>the</w:t>
      </w:r>
      <w:r w:rsidR="00190923" w:rsidRPr="00981405">
        <w:t xml:space="preserve"> </w:t>
      </w:r>
      <w:r w:rsidRPr="00981405">
        <w:t>extrapolations</w:t>
      </w:r>
      <w:r w:rsidR="00190923" w:rsidRPr="00981405">
        <w:t xml:space="preserve"> </w:t>
      </w:r>
      <w:r w:rsidRPr="00981405">
        <w:t>of</w:t>
      </w:r>
      <w:r w:rsidR="00190923" w:rsidRPr="00981405">
        <w:t xml:space="preserve"> </w:t>
      </w:r>
      <w:r w:rsidR="00B92E2C" w:rsidRPr="00981405">
        <w:t>“</w:t>
      </w:r>
      <w:r w:rsidRPr="00981405">
        <w:t>representative</w:t>
      </w:r>
      <w:r w:rsidR="00B92E2C"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00B92E2C" w:rsidRPr="00981405">
        <w:t>“</w:t>
      </w:r>
      <w:r w:rsidRPr="00981405">
        <w:t>functional</w:t>
      </w:r>
      <w:r w:rsidR="00B92E2C" w:rsidRPr="00981405">
        <w:t>”</w:t>
      </w:r>
      <w:r w:rsidR="00190923" w:rsidRPr="00981405">
        <w:t xml:space="preserve"> </w:t>
      </w:r>
      <w:r w:rsidRPr="00981405">
        <w:t>aspects</w:t>
      </w:r>
      <w:r w:rsidR="00190923" w:rsidRPr="00981405">
        <w:t xml:space="preserve"> </w:t>
      </w:r>
      <w:r w:rsidRPr="00981405">
        <w:t>of</w:t>
      </w:r>
      <w:r w:rsidR="00190923" w:rsidRPr="00981405">
        <w:t xml:space="preserve"> </w:t>
      </w:r>
      <w:r w:rsidRPr="00981405">
        <w:t>State</w:t>
      </w:r>
      <w:r w:rsidR="00190923" w:rsidRPr="00981405">
        <w:t xml:space="preserve"> </w:t>
      </w:r>
      <w:r w:rsidRPr="00981405">
        <w:t>functioning</w:t>
      </w:r>
      <w:r w:rsidR="00190923" w:rsidRPr="00981405">
        <w:t xml:space="preserve"> </w:t>
      </w:r>
      <w:r w:rsidRPr="00981405">
        <w:t>well</w:t>
      </w:r>
      <w:r w:rsidR="00190923" w:rsidRPr="00981405">
        <w:t xml:space="preserve"> </w:t>
      </w:r>
      <w:r w:rsidRPr="00981405">
        <w:t>reflected</w:t>
      </w:r>
      <w:r w:rsidR="00190923" w:rsidRPr="00981405">
        <w:t xml:space="preserve"> </w:t>
      </w:r>
      <w:r w:rsidRPr="00981405">
        <w:t>in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formulations.</w:t>
      </w:r>
      <w:r w:rsidR="00190923" w:rsidRPr="00981405">
        <w:t xml:space="preserve"> </w:t>
      </w:r>
      <w:r w:rsidRPr="00981405">
        <w:t>Attention</w:t>
      </w:r>
      <w:r w:rsidR="00190923" w:rsidRPr="00981405">
        <w:t xml:space="preserve"> </w:t>
      </w:r>
      <w:r w:rsidRPr="00981405">
        <w:t>was</w:t>
      </w:r>
      <w:r w:rsidR="00190923" w:rsidRPr="00981405">
        <w:t xml:space="preserve"> </w:t>
      </w:r>
      <w:r w:rsidRPr="00981405">
        <w:t>drawn</w:t>
      </w:r>
      <w:r w:rsidR="00190923" w:rsidRPr="00981405">
        <w:t xml:space="preserve"> </w:t>
      </w:r>
      <w:r w:rsidRPr="00981405">
        <w:t>with</w:t>
      </w:r>
      <w:r w:rsidR="00190923" w:rsidRPr="00981405">
        <w:t xml:space="preserve"> </w:t>
      </w:r>
      <w:r w:rsidRPr="00981405">
        <w:t>approval</w:t>
      </w:r>
      <w:r w:rsidR="00190923" w:rsidRPr="00981405">
        <w:t xml:space="preserve"> </w:t>
      </w:r>
      <w:r w:rsidRPr="00981405">
        <w:t>to</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00B92E2C" w:rsidRPr="00981405">
        <w:t>“</w:t>
      </w:r>
      <w:r w:rsidRPr="00981405">
        <w:t>elements</w:t>
      </w:r>
      <w:r w:rsidR="00190923" w:rsidRPr="00981405">
        <w:t xml:space="preserve"> </w:t>
      </w:r>
      <w:r w:rsidRPr="00981405">
        <w:t>of</w:t>
      </w:r>
      <w:r w:rsidR="00190923" w:rsidRPr="00981405">
        <w:t xml:space="preserve"> </w:t>
      </w:r>
      <w:r w:rsidRPr="00981405">
        <w:t>governmental</w:t>
      </w:r>
      <w:r w:rsidR="00190923" w:rsidRPr="00981405">
        <w:t xml:space="preserve"> </w:t>
      </w:r>
      <w:r w:rsidRPr="00981405">
        <w:t>authority</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Articles</w:t>
      </w:r>
      <w:r w:rsidR="00190923" w:rsidRPr="00981405">
        <w:t xml:space="preserve"> </w:t>
      </w:r>
      <w:r w:rsidRPr="00981405">
        <w:t>on</w:t>
      </w:r>
      <w:r w:rsidR="00190923" w:rsidRPr="00981405">
        <w:t xml:space="preserve"> </w:t>
      </w:r>
      <w:r w:rsidRPr="00981405">
        <w:t>State</w:t>
      </w:r>
      <w:r w:rsidR="00190923" w:rsidRPr="00981405">
        <w:t xml:space="preserve"> </w:t>
      </w:r>
      <w:r w:rsidRPr="00981405">
        <w:t>responsibility</w:t>
      </w:r>
      <w:r w:rsidR="00190923" w:rsidRPr="00981405">
        <w:t xml:space="preserve"> </w:t>
      </w:r>
      <w:r w:rsidRPr="00981405">
        <w:t>for</w:t>
      </w:r>
      <w:r w:rsidR="00190923" w:rsidRPr="00981405">
        <w:t xml:space="preserve"> </w:t>
      </w:r>
      <w:r w:rsidRPr="00981405">
        <w:t>internationally</w:t>
      </w:r>
      <w:r w:rsidR="00190923" w:rsidRPr="00981405">
        <w:t xml:space="preserve"> </w:t>
      </w:r>
      <w:r w:rsidRPr="00981405">
        <w:t>wrongful</w:t>
      </w:r>
      <w:r w:rsidR="00190923" w:rsidRPr="00981405">
        <w:t xml:space="preserve"> </w:t>
      </w:r>
      <w:r w:rsidRPr="00981405">
        <w:t>acts.</w:t>
      </w:r>
      <w:r w:rsidR="00190923" w:rsidRPr="00981405">
        <w:t xml:space="preserve"> </w:t>
      </w:r>
      <w:r w:rsidRPr="00981405">
        <w:t>Other</w:t>
      </w:r>
      <w:r w:rsidR="00190923" w:rsidRPr="00981405">
        <w:t xml:space="preserve"> </w:t>
      </w:r>
      <w:r w:rsidRPr="00981405">
        <w:t>members</w:t>
      </w:r>
      <w:r w:rsidR="00190923" w:rsidRPr="00981405">
        <w:t xml:space="preserve"> </w:t>
      </w:r>
      <w:r w:rsidRPr="00981405">
        <w:t>viewed</w:t>
      </w:r>
      <w:r w:rsidR="00190923" w:rsidRPr="00981405">
        <w:t xml:space="preserve"> </w:t>
      </w:r>
      <w:r w:rsidRPr="00981405">
        <w:t>the</w:t>
      </w:r>
      <w:r w:rsidR="00190923" w:rsidRPr="00981405">
        <w:t xml:space="preserve"> </w:t>
      </w:r>
      <w:r w:rsidRPr="00981405">
        <w:t>context</w:t>
      </w:r>
      <w:r w:rsidR="00190923" w:rsidRPr="00981405">
        <w:t xml:space="preserve"> </w:t>
      </w:r>
      <w:r w:rsidRPr="00981405">
        <w:t>in</w:t>
      </w:r>
      <w:r w:rsidR="00190923" w:rsidRPr="00981405">
        <w:t xml:space="preserve"> </w:t>
      </w:r>
      <w:r w:rsidRPr="00981405">
        <w:t>which</w:t>
      </w:r>
      <w:r w:rsidR="00190923" w:rsidRPr="00981405">
        <w:t xml:space="preserve"> </w:t>
      </w:r>
      <w:r w:rsidRPr="00981405">
        <w:t>those</w:t>
      </w:r>
      <w:r w:rsidR="00190923" w:rsidRPr="00981405">
        <w:t xml:space="preserve"> </w:t>
      </w:r>
      <w:r w:rsidRPr="00981405">
        <w:t>Articles</w:t>
      </w:r>
      <w:r w:rsidR="00190923" w:rsidRPr="00981405">
        <w:t xml:space="preserve"> </w:t>
      </w:r>
      <w:r w:rsidRPr="00981405">
        <w:t>dealt</w:t>
      </w:r>
      <w:r w:rsidR="00190923" w:rsidRPr="00981405">
        <w:t xml:space="preserve"> </w:t>
      </w:r>
      <w:r w:rsidRPr="00981405">
        <w:t>with</w:t>
      </w:r>
      <w:r w:rsidR="00190923" w:rsidRPr="00981405">
        <w:t xml:space="preserve"> </w:t>
      </w:r>
      <w:r w:rsidRPr="00981405">
        <w:t>that</w:t>
      </w:r>
      <w:r w:rsidR="00190923" w:rsidRPr="00981405">
        <w:t xml:space="preserve"> </w:t>
      </w:r>
      <w:r w:rsidRPr="00981405">
        <w:t>term</w:t>
      </w:r>
      <w:r w:rsidR="00190923" w:rsidRPr="00981405">
        <w:t xml:space="preserve"> </w:t>
      </w:r>
      <w:r w:rsidRPr="00981405">
        <w:t>to</w:t>
      </w:r>
      <w:r w:rsidR="00190923" w:rsidRPr="00981405">
        <w:t xml:space="preserve"> </w:t>
      </w:r>
      <w:r w:rsidRPr="00981405">
        <w:t>be</w:t>
      </w:r>
      <w:r w:rsidR="00190923" w:rsidRPr="00981405">
        <w:t xml:space="preserve"> </w:t>
      </w:r>
      <w:r w:rsidRPr="00981405">
        <w:t>different.</w:t>
      </w:r>
      <w:r w:rsidR="00190923" w:rsidRPr="00981405">
        <w:t xml:space="preserve"> </w:t>
      </w:r>
      <w:r w:rsidRPr="00981405">
        <w:t>Several</w:t>
      </w:r>
      <w:r w:rsidR="00190923" w:rsidRPr="00981405">
        <w:t xml:space="preserve"> </w:t>
      </w:r>
      <w:r w:rsidRPr="00981405">
        <w:t>members</w:t>
      </w:r>
      <w:r w:rsidR="00190923" w:rsidRPr="00981405">
        <w:t xml:space="preserve"> </w:t>
      </w:r>
      <w:r w:rsidRPr="00981405">
        <w:t>also</w:t>
      </w:r>
      <w:r w:rsidR="00190923" w:rsidRPr="00981405">
        <w:t xml:space="preserve"> </w:t>
      </w:r>
      <w:r w:rsidRPr="00981405">
        <w:t>pointed</w:t>
      </w:r>
      <w:r w:rsidR="00190923" w:rsidRPr="00981405">
        <w:t xml:space="preserve"> </w:t>
      </w:r>
      <w:r w:rsidRPr="00981405">
        <w:t>to</w:t>
      </w:r>
      <w:r w:rsidR="00190923" w:rsidRPr="00981405">
        <w:t xml:space="preserve"> </w:t>
      </w:r>
      <w:r w:rsidRPr="00981405">
        <w:t>the</w:t>
      </w:r>
      <w:r w:rsidR="00190923" w:rsidRPr="00981405">
        <w:t xml:space="preserve"> </w:t>
      </w:r>
      <w:r w:rsidRPr="00981405">
        <w:t>difficulty</w:t>
      </w:r>
      <w:r w:rsidR="00190923" w:rsidRPr="00981405">
        <w:t xml:space="preserve"> </w:t>
      </w:r>
      <w:r w:rsidRPr="00981405">
        <w:t>of</w:t>
      </w:r>
      <w:r w:rsidR="00190923" w:rsidRPr="00981405">
        <w:t xml:space="preserve"> </w:t>
      </w:r>
      <w:r w:rsidRPr="00981405">
        <w:t>defining</w:t>
      </w:r>
      <w:r w:rsidR="00190923" w:rsidRPr="00981405">
        <w:t xml:space="preserve"> </w:t>
      </w:r>
      <w:r w:rsidRPr="00981405">
        <w:t>sovereignty</w:t>
      </w:r>
      <w:r w:rsidR="00190923" w:rsidRPr="00981405">
        <w:t xml:space="preserve"> </w:t>
      </w:r>
      <w:r w:rsidRPr="00981405">
        <w:t>and</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elements</w:t>
      </w:r>
      <w:r w:rsidR="00190923" w:rsidRPr="00981405">
        <w:t xml:space="preserve"> </w:t>
      </w:r>
      <w:r w:rsidRPr="00981405">
        <w:t>of</w:t>
      </w:r>
      <w:r w:rsidR="00190923" w:rsidRPr="00981405">
        <w:t xml:space="preserve"> </w:t>
      </w:r>
      <w:r w:rsidRPr="00981405">
        <w:t>governmental</w:t>
      </w:r>
      <w:r w:rsidR="00190923" w:rsidRPr="00981405">
        <w:t xml:space="preserve"> </w:t>
      </w:r>
      <w:r w:rsidRPr="00981405">
        <w:t>authority.</w:t>
      </w:r>
    </w:p>
    <w:p w:rsidR="00397032" w:rsidRPr="00981405" w:rsidRDefault="00397032" w:rsidP="00D97463">
      <w:pPr>
        <w:pStyle w:val="SingleTxt"/>
      </w:pPr>
      <w:r w:rsidRPr="00981405">
        <w:t>223.</w:t>
      </w:r>
      <w:r w:rsidRPr="00981405">
        <w:tab/>
        <w:t>For</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the</w:t>
      </w:r>
      <w:r w:rsidR="00190923" w:rsidRPr="00981405">
        <w:t xml:space="preserve"> </w:t>
      </w:r>
      <w:r w:rsidRPr="00981405">
        <w:t>argument</w:t>
      </w:r>
      <w:r w:rsidR="00190923" w:rsidRPr="00981405">
        <w:t xml:space="preserve"> </w:t>
      </w:r>
      <w:r w:rsidRPr="00981405">
        <w:t>that</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crime</w:t>
      </w:r>
      <w:r w:rsidR="00190923" w:rsidRPr="00981405">
        <w:t xml:space="preserve"> </w:t>
      </w:r>
      <w:r w:rsidRPr="00981405">
        <w:t>was</w:t>
      </w:r>
      <w:r w:rsidR="00190923" w:rsidRPr="00981405">
        <w:t xml:space="preserve"> </w:t>
      </w:r>
      <w:r w:rsidRPr="00981405">
        <w:t>contrary</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did</w:t>
      </w:r>
      <w:r w:rsidR="00190923" w:rsidRPr="00981405">
        <w:t xml:space="preserve"> </w:t>
      </w:r>
      <w:r w:rsidRPr="00981405">
        <w:t>not</w:t>
      </w:r>
      <w:r w:rsidR="00190923" w:rsidRPr="00981405">
        <w:t xml:space="preserve"> </w:t>
      </w:r>
      <w:r w:rsidRPr="00981405">
        <w:t>provide</w:t>
      </w:r>
      <w:r w:rsidR="00190923" w:rsidRPr="00981405">
        <w:t xml:space="preserve"> </w:t>
      </w:r>
      <w:r w:rsidRPr="00981405">
        <w:t>any</w:t>
      </w:r>
      <w:r w:rsidR="00190923" w:rsidRPr="00981405">
        <w:t xml:space="preserve"> </w:t>
      </w:r>
      <w:r w:rsidRPr="00981405">
        <w:t>additional</w:t>
      </w:r>
      <w:r w:rsidR="00190923" w:rsidRPr="00981405">
        <w:t xml:space="preserve"> </w:t>
      </w:r>
      <w:r w:rsidRPr="00981405">
        <w:t>element</w:t>
      </w:r>
      <w:r w:rsidR="00190923" w:rsidRPr="00981405">
        <w:t xml:space="preserve"> </w:t>
      </w:r>
      <w:r w:rsidRPr="00981405">
        <w:t>of</w:t>
      </w:r>
      <w:r w:rsidR="00190923" w:rsidRPr="00981405">
        <w:t xml:space="preserve"> </w:t>
      </w:r>
      <w:r w:rsidRPr="00981405">
        <w:t>relevance</w:t>
      </w:r>
      <w:r w:rsidR="00190923" w:rsidRPr="00981405">
        <w:t xml:space="preserve"> </w:t>
      </w:r>
      <w:r w:rsidRPr="00981405">
        <w:t>for</w:t>
      </w:r>
      <w:r w:rsidR="00190923" w:rsidRPr="00981405">
        <w:t xml:space="preserve"> </w:t>
      </w:r>
      <w:r w:rsidRPr="00981405">
        <w:t>the</w:t>
      </w:r>
      <w:r w:rsidR="00190923" w:rsidRPr="00981405">
        <w:t xml:space="preserve"> </w:t>
      </w:r>
      <w:r w:rsidRPr="00981405">
        <w:t>characterization</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yet</w:t>
      </w:r>
      <w:r w:rsidR="00190923" w:rsidRPr="00981405">
        <w:t xml:space="preserve"> </w:t>
      </w:r>
      <w:r w:rsidRPr="00981405">
        <w:t>the</w:t>
      </w:r>
      <w:r w:rsidR="00190923" w:rsidRPr="00981405">
        <w:t xml:space="preserve"> </w:t>
      </w:r>
      <w:r w:rsidRPr="00981405">
        <w:t>proposition</w:t>
      </w:r>
      <w:r w:rsidR="00190923" w:rsidRPr="00981405">
        <w:t xml:space="preserve"> </w:t>
      </w:r>
      <w:r w:rsidRPr="00981405">
        <w:t>that</w:t>
      </w:r>
      <w:r w:rsidR="00190923" w:rsidRPr="00981405">
        <w:t xml:space="preserve"> </w:t>
      </w:r>
      <w:r w:rsidRPr="00981405">
        <w:t>an</w:t>
      </w:r>
      <w:r w:rsidR="00190923" w:rsidRPr="00981405">
        <w:t xml:space="preserve"> </w:t>
      </w:r>
      <w:r w:rsidRPr="00981405">
        <w:t>act</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was</w:t>
      </w:r>
      <w:r w:rsidR="00190923" w:rsidRPr="00981405">
        <w:t xml:space="preserve"> </w:t>
      </w:r>
      <w:r w:rsidRPr="00981405">
        <w:t>criminal</w:t>
      </w:r>
      <w:r w:rsidR="00190923" w:rsidRPr="00981405">
        <w:t xml:space="preserve"> </w:t>
      </w:r>
      <w:r w:rsidRPr="00981405">
        <w:t>in</w:t>
      </w:r>
      <w:r w:rsidR="00190923" w:rsidRPr="00981405">
        <w:t xml:space="preserve"> </w:t>
      </w:r>
      <w:r w:rsidRPr="00981405">
        <w:t>nature</w:t>
      </w:r>
      <w:r w:rsidR="00190923" w:rsidRPr="00981405">
        <w:t xml:space="preserve"> </w:t>
      </w:r>
      <w:r w:rsidRPr="00981405">
        <w:t>seemed</w:t>
      </w:r>
      <w:r w:rsidR="00190923" w:rsidRPr="00981405">
        <w:t xml:space="preserve"> </w:t>
      </w:r>
      <w:r w:rsidRPr="00981405">
        <w:t>to</w:t>
      </w:r>
      <w:r w:rsidR="00190923" w:rsidRPr="00981405">
        <w:t xml:space="preserve"> </w:t>
      </w:r>
      <w:r w:rsidRPr="00981405">
        <w:t>suggest</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had</w:t>
      </w:r>
      <w:r w:rsidR="00190923" w:rsidRPr="00981405">
        <w:t xml:space="preserve"> </w:t>
      </w:r>
      <w:r w:rsidRPr="00981405">
        <w:t>effectively</w:t>
      </w:r>
      <w:r w:rsidR="00190923" w:rsidRPr="00981405">
        <w:t xml:space="preserve"> </w:t>
      </w:r>
      <w:r w:rsidRPr="00981405">
        <w:t>taken</w:t>
      </w:r>
      <w:r w:rsidR="00190923" w:rsidRPr="00981405">
        <w:t xml:space="preserve"> </w:t>
      </w:r>
      <w:r w:rsidRPr="00981405">
        <w:t>a</w:t>
      </w:r>
      <w:r w:rsidR="00190923" w:rsidRPr="00981405">
        <w:t xml:space="preserve"> </w:t>
      </w:r>
      <w:r w:rsidRPr="00981405">
        <w:t>stand</w:t>
      </w:r>
      <w:r w:rsidR="00190923" w:rsidRPr="00981405">
        <w:t xml:space="preserve"> </w:t>
      </w:r>
      <w:r w:rsidRPr="00981405">
        <w:t>on</w:t>
      </w:r>
      <w:r w:rsidR="00190923" w:rsidRPr="00981405">
        <w:t xml:space="preserve"> </w:t>
      </w:r>
      <w:r w:rsidRPr="00981405">
        <w:t>the</w:t>
      </w:r>
      <w:r w:rsidR="00190923" w:rsidRPr="00981405">
        <w:t xml:space="preserve"> </w:t>
      </w:r>
      <w:r w:rsidRPr="00981405">
        <w:t>matter</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w:t>
      </w:r>
      <w:r w:rsidR="00190923" w:rsidRPr="00981405">
        <w:t xml:space="preserve"> </w:t>
      </w:r>
      <w:r w:rsidRPr="00981405">
        <w:t>will</w:t>
      </w:r>
      <w:r w:rsidR="00190923" w:rsidRPr="00981405">
        <w:t xml:space="preserve"> </w:t>
      </w:r>
      <w:r w:rsidRPr="00981405">
        <w:t>be</w:t>
      </w:r>
      <w:r w:rsidR="00190923" w:rsidRPr="00981405">
        <w:t xml:space="preserve"> </w:t>
      </w:r>
      <w:r w:rsidRPr="00981405">
        <w:t>taken</w:t>
      </w:r>
      <w:r w:rsidR="00190923" w:rsidRPr="00981405">
        <w:t xml:space="preserve"> </w:t>
      </w:r>
      <w:r w:rsidRPr="00981405">
        <w:t>up</w:t>
      </w:r>
      <w:r w:rsidR="00190923" w:rsidRPr="00981405">
        <w:t xml:space="preserve"> </w:t>
      </w:r>
      <w:r w:rsidRPr="00981405">
        <w:t>in</w:t>
      </w:r>
      <w:r w:rsidR="00190923" w:rsidRPr="00981405">
        <w:t xml:space="preserve"> </w:t>
      </w:r>
      <w:r w:rsidRPr="00981405">
        <w:t>the</w:t>
      </w:r>
      <w:r w:rsidR="00190923" w:rsidRPr="00981405">
        <w:t xml:space="preserve"> </w:t>
      </w:r>
      <w:r w:rsidRPr="00981405">
        <w:t>fifth</w:t>
      </w:r>
      <w:r w:rsidR="00190923" w:rsidRPr="00981405">
        <w:t xml:space="preserve"> </w:t>
      </w:r>
      <w:r w:rsidRPr="00981405">
        <w:t>report</w:t>
      </w:r>
      <w:r w:rsidR="00190923" w:rsidRPr="00981405">
        <w:t xml:space="preserve"> </w:t>
      </w:r>
      <w:r w:rsidRPr="00981405">
        <w:t>in</w:t>
      </w:r>
      <w:r w:rsidR="00190923" w:rsidRPr="00981405">
        <w:t xml:space="preserve"> </w:t>
      </w:r>
      <w:r w:rsidRPr="00981405">
        <w:t>2016.</w:t>
      </w:r>
      <w:r w:rsidR="00190923" w:rsidRPr="00981405">
        <w:t xml:space="preserve"> </w:t>
      </w:r>
      <w:r w:rsidRPr="00981405">
        <w:t>Other</w:t>
      </w:r>
      <w:r w:rsidR="00190923" w:rsidRPr="00981405">
        <w:t xml:space="preserve"> </w:t>
      </w:r>
      <w:r w:rsidRPr="00981405">
        <w:t>members</w:t>
      </w:r>
      <w:r w:rsidR="00190923" w:rsidRPr="00981405">
        <w:t xml:space="preserve"> </w:t>
      </w:r>
      <w:r w:rsidRPr="00981405">
        <w:t>agreed</w:t>
      </w:r>
      <w:r w:rsidR="00190923" w:rsidRPr="00981405">
        <w:t xml:space="preserve"> </w:t>
      </w:r>
      <w:r w:rsidRPr="00981405">
        <w:t>with</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that</w:t>
      </w:r>
      <w:r w:rsidR="00190923" w:rsidRPr="00981405">
        <w:t xml:space="preserve"> </w:t>
      </w:r>
      <w:r w:rsidRPr="00981405">
        <w:t>given</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and</w:t>
      </w:r>
      <w:r w:rsidR="00190923" w:rsidRPr="00981405">
        <w:t xml:space="preserve"> </w:t>
      </w:r>
      <w:r w:rsidRPr="00981405">
        <w:t>their</w:t>
      </w:r>
      <w:r w:rsidR="00190923" w:rsidRPr="00981405">
        <w:t xml:space="preserve"> </w:t>
      </w:r>
      <w:r w:rsidRPr="00981405">
        <w:t>gravity</w:t>
      </w:r>
      <w:r w:rsidR="00190923" w:rsidRPr="00981405">
        <w:t xml:space="preserve"> </w:t>
      </w:r>
      <w:r w:rsidRPr="00981405">
        <w:t>there</w:t>
      </w:r>
      <w:r w:rsidR="00190923" w:rsidRPr="00981405">
        <w:t xml:space="preserve"> </w:t>
      </w:r>
      <w:r w:rsidRPr="00981405">
        <w:t>is</w:t>
      </w:r>
      <w:r w:rsidR="00190923" w:rsidRPr="00981405">
        <w:t xml:space="preserve"> </w:t>
      </w:r>
      <w:r w:rsidRPr="00981405">
        <w:t>an</w:t>
      </w:r>
      <w:r w:rsidR="00190923" w:rsidRPr="00981405">
        <w:t xml:space="preserve"> </w:t>
      </w:r>
      <w:r w:rsidRPr="00981405">
        <w:t>obligation</w:t>
      </w:r>
      <w:r w:rsidR="00190923" w:rsidRPr="00981405">
        <w:t xml:space="preserve"> </w:t>
      </w:r>
      <w:r w:rsidRPr="00981405">
        <w:t>to</w:t>
      </w:r>
      <w:r w:rsidR="00190923" w:rsidRPr="00981405">
        <w:t xml:space="preserve"> </w:t>
      </w:r>
      <w:r w:rsidRPr="00981405">
        <w:t>take</w:t>
      </w:r>
      <w:r w:rsidR="00190923" w:rsidRPr="00981405">
        <w:t xml:space="preserve"> </w:t>
      </w:r>
      <w:r w:rsidRPr="00981405">
        <w:t>them</w:t>
      </w:r>
      <w:r w:rsidR="00190923" w:rsidRPr="00981405">
        <w:t xml:space="preserve"> </w:t>
      </w:r>
      <w:r w:rsidRPr="00981405">
        <w:t>into</w:t>
      </w:r>
      <w:r w:rsidR="00190923" w:rsidRPr="00981405">
        <w:t xml:space="preserve"> </w:t>
      </w:r>
      <w:r w:rsidRPr="00981405">
        <w:t>account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defining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immunity</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p>
    <w:p w:rsidR="00397032" w:rsidRPr="00981405" w:rsidRDefault="00397032" w:rsidP="00D97463">
      <w:pPr>
        <w:pStyle w:val="SingleTxt"/>
      </w:pPr>
      <w:r w:rsidRPr="00981405">
        <w:t>224.</w:t>
      </w:r>
      <w:r w:rsidRPr="00981405">
        <w:tab/>
        <w:t>Some</w:t>
      </w:r>
      <w:r w:rsidR="00190923" w:rsidRPr="00981405">
        <w:t xml:space="preserve"> </w:t>
      </w:r>
      <w:r w:rsidRPr="00981405">
        <w:t>members</w:t>
      </w:r>
      <w:r w:rsidR="00190923" w:rsidRPr="00981405">
        <w:t xml:space="preserve"> </w:t>
      </w:r>
      <w:r w:rsidRPr="00981405">
        <w:t>disagreed</w:t>
      </w:r>
      <w:r w:rsidR="00190923" w:rsidRPr="00981405">
        <w:t xml:space="preserve"> </w:t>
      </w:r>
      <w:r w:rsidRPr="00981405">
        <w:t>with</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that</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the</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was</w:t>
      </w:r>
      <w:r w:rsidR="00190923" w:rsidRPr="00981405">
        <w:t xml:space="preserve"> </w:t>
      </w:r>
      <w:r w:rsidRPr="00981405">
        <w:t>settled.</w:t>
      </w:r>
      <w:r w:rsidR="00190923" w:rsidRPr="00981405">
        <w:t xml:space="preserve"> </w:t>
      </w:r>
      <w:r w:rsidRPr="00981405">
        <w:t>They</w:t>
      </w:r>
      <w:r w:rsidR="00190923" w:rsidRPr="00981405">
        <w:t xml:space="preserve"> </w:t>
      </w:r>
      <w:r w:rsidRPr="00981405">
        <w:t>pointed</w:t>
      </w:r>
      <w:r w:rsidR="00190923" w:rsidRPr="00981405">
        <w:t xml:space="preserve"> </w:t>
      </w:r>
      <w:r w:rsidRPr="00981405">
        <w:t>to</w:t>
      </w:r>
      <w:r w:rsidR="00190923" w:rsidRPr="00981405">
        <w:t xml:space="preserve"> </w:t>
      </w:r>
      <w:r w:rsidRPr="00981405">
        <w:t>the</w:t>
      </w:r>
      <w:r w:rsidR="00190923" w:rsidRPr="00981405">
        <w:t xml:space="preserve"> </w:t>
      </w:r>
      <w:r w:rsidRPr="00981405">
        <w:t>joint</w:t>
      </w:r>
      <w:r w:rsidR="00190923" w:rsidRPr="00981405">
        <w:t xml:space="preserve"> </w:t>
      </w:r>
      <w:r w:rsidRPr="00981405">
        <w:t>separate</w:t>
      </w:r>
      <w:r w:rsidR="00190923" w:rsidRPr="00981405">
        <w:t xml:space="preserve"> </w:t>
      </w:r>
      <w:r w:rsidRPr="00981405">
        <w:t>opinion</w:t>
      </w:r>
      <w:r w:rsidR="00190923" w:rsidRPr="00981405">
        <w:t xml:space="preserve"> </w:t>
      </w:r>
      <w:r w:rsidRPr="00981405">
        <w:t>by</w:t>
      </w:r>
      <w:r w:rsidR="00190923" w:rsidRPr="00981405">
        <w:t xml:space="preserve"> </w:t>
      </w:r>
      <w:r w:rsidRPr="00981405">
        <w:t>Judges</w:t>
      </w:r>
      <w:r w:rsidR="00190923" w:rsidRPr="00981405">
        <w:t xml:space="preserve"> </w:t>
      </w:r>
      <w:r w:rsidRPr="00981405">
        <w:t>Higgins,</w:t>
      </w:r>
      <w:r w:rsidR="00190923" w:rsidRPr="00981405">
        <w:t xml:space="preserve"> </w:t>
      </w:r>
      <w:r w:rsidRPr="00981405">
        <w:t>Kooijmans</w:t>
      </w:r>
      <w:r w:rsidR="00190923" w:rsidRPr="00981405">
        <w:t xml:space="preserve"> </w:t>
      </w:r>
      <w:r w:rsidRPr="00981405">
        <w:t>and</w:t>
      </w:r>
      <w:r w:rsidR="00190923" w:rsidRPr="00981405">
        <w:t xml:space="preserve"> </w:t>
      </w:r>
      <w:r w:rsidRPr="00981405">
        <w:t>Buergenthal</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Arrest</w:t>
      </w:r>
      <w:r w:rsidR="00190923" w:rsidRPr="00981405">
        <w:rPr>
          <w:i/>
          <w:iCs/>
        </w:rPr>
        <w:t xml:space="preserve"> </w:t>
      </w:r>
      <w:r w:rsidRPr="00D97463">
        <w:rPr>
          <w:i/>
          <w:iCs/>
        </w:rPr>
        <w:t>Warrant</w:t>
      </w:r>
      <w:r w:rsidR="00190923" w:rsidRPr="00981405">
        <w:rPr>
          <w:i/>
          <w:iCs/>
        </w:rPr>
        <w:t xml:space="preserve"> </w:t>
      </w:r>
      <w:r w:rsidRPr="00981405">
        <w:t>case</w:t>
      </w:r>
      <w:r w:rsidR="00190923" w:rsidRPr="00981405">
        <w:t xml:space="preserve"> </w:t>
      </w:r>
      <w:r w:rsidR="00B92E2C" w:rsidRPr="00981405">
        <w:t>“</w:t>
      </w:r>
      <w:r w:rsidRPr="00981405">
        <w:t>...</w:t>
      </w:r>
      <w:r w:rsidR="00190923" w:rsidRPr="00981405">
        <w:t xml:space="preserve"> </w:t>
      </w:r>
      <w:r w:rsidRPr="00981405">
        <w:t>that</w:t>
      </w:r>
      <w:r w:rsidR="00190923" w:rsidRPr="00981405">
        <w:t xml:space="preserve"> </w:t>
      </w:r>
      <w:r w:rsidRPr="00981405">
        <w:t>serious</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cannot</w:t>
      </w:r>
      <w:r w:rsidR="00190923" w:rsidRPr="00981405">
        <w:t xml:space="preserve"> </w:t>
      </w:r>
      <w:r w:rsidRPr="00981405">
        <w:t>be</w:t>
      </w:r>
      <w:r w:rsidR="00190923" w:rsidRPr="00981405">
        <w:t xml:space="preserve"> </w:t>
      </w:r>
      <w:r w:rsidRPr="00981405">
        <w:t>regarded</w:t>
      </w:r>
      <w:r w:rsidR="00190923" w:rsidRPr="00981405">
        <w:t xml:space="preserve"> </w:t>
      </w:r>
      <w:r w:rsidRPr="00981405">
        <w:t>as</w:t>
      </w:r>
      <w:r w:rsidR="00190923" w:rsidRPr="00981405">
        <w:t xml:space="preserve"> </w:t>
      </w:r>
      <w:r w:rsidRPr="00981405">
        <w:t>official</w:t>
      </w:r>
      <w:r w:rsidR="00190923" w:rsidRPr="00981405">
        <w:t xml:space="preserve"> </w:t>
      </w:r>
      <w:r w:rsidRPr="00981405">
        <w:t>acts</w:t>
      </w:r>
      <w:r w:rsidR="00190923" w:rsidRPr="00981405">
        <w:t xml:space="preserve"> </w:t>
      </w:r>
      <w:r w:rsidRPr="00981405">
        <w:t>because</w:t>
      </w:r>
      <w:r w:rsidR="00190923" w:rsidRPr="00981405">
        <w:t xml:space="preserve"> </w:t>
      </w:r>
      <w:r w:rsidRPr="00981405">
        <w:t>they</w:t>
      </w:r>
      <w:r w:rsidR="00190923" w:rsidRPr="00981405">
        <w:t xml:space="preserve"> </w:t>
      </w:r>
      <w:r w:rsidRPr="00981405">
        <w:t>are</w:t>
      </w:r>
      <w:r w:rsidR="00190923" w:rsidRPr="00981405">
        <w:t xml:space="preserve"> </w:t>
      </w:r>
      <w:r w:rsidRPr="00981405">
        <w:t>neither</w:t>
      </w:r>
      <w:r w:rsidR="00190923" w:rsidRPr="00981405">
        <w:t xml:space="preserve"> </w:t>
      </w:r>
      <w:r w:rsidRPr="00981405">
        <w:t>normal</w:t>
      </w:r>
      <w:r w:rsidR="00190923" w:rsidRPr="00981405">
        <w:t xml:space="preserve"> </w:t>
      </w:r>
      <w:r w:rsidRPr="00981405">
        <w:t>State</w:t>
      </w:r>
      <w:r w:rsidR="00190923" w:rsidRPr="00981405">
        <w:t xml:space="preserve"> </w:t>
      </w:r>
      <w:r w:rsidRPr="00981405">
        <w:t>functions</w:t>
      </w:r>
      <w:r w:rsidR="00190923" w:rsidRPr="00981405">
        <w:t xml:space="preserve"> </w:t>
      </w:r>
      <w:r w:rsidRPr="00981405">
        <w:t>nor</w:t>
      </w:r>
      <w:r w:rsidR="00190923" w:rsidRPr="00981405">
        <w:t xml:space="preserve"> </w:t>
      </w:r>
      <w:r w:rsidRPr="00981405">
        <w:t>functions</w:t>
      </w:r>
      <w:r w:rsidR="00190923" w:rsidRPr="00981405">
        <w:t xml:space="preserve"> </w:t>
      </w:r>
      <w:r w:rsidRPr="00981405">
        <w:t>that</w:t>
      </w:r>
      <w:r w:rsidR="00190923" w:rsidRPr="00981405">
        <w:t xml:space="preserve"> </w:t>
      </w:r>
      <w:r w:rsidRPr="00981405">
        <w:t>a</w:t>
      </w:r>
      <w:r w:rsidR="00190923" w:rsidRPr="00981405">
        <w:t xml:space="preserve"> </w:t>
      </w:r>
      <w:r w:rsidRPr="00981405">
        <w:t>State</w:t>
      </w:r>
      <w:r w:rsidR="00190923" w:rsidRPr="00981405">
        <w:t xml:space="preserve"> </w:t>
      </w:r>
      <w:r w:rsidRPr="00981405">
        <w:t>alone</w:t>
      </w:r>
      <w:r w:rsidR="00190923" w:rsidRPr="00981405">
        <w:t xml:space="preserve"> </w:t>
      </w:r>
      <w:r w:rsidRPr="00981405">
        <w:t>can</w:t>
      </w:r>
      <w:r w:rsidR="00190923" w:rsidRPr="00981405">
        <w:t xml:space="preserve"> </w:t>
      </w:r>
      <w:r w:rsidRPr="00981405">
        <w:t>perform</w:t>
      </w:r>
      <w:r w:rsidR="00190923" w:rsidRPr="00981405">
        <w:t xml:space="preserve"> </w:t>
      </w:r>
      <w:r w:rsidRPr="00981405">
        <w:t>...</w:t>
      </w:r>
      <w:r w:rsidR="00B92E2C" w:rsidRPr="00981405">
        <w:t>”</w:t>
      </w:r>
      <w:r w:rsidRPr="00981405">
        <w:rPr>
          <w:rStyle w:val="FootnoteReference"/>
        </w:rPr>
        <w:footnoteReference w:id="393"/>
      </w:r>
      <w:r w:rsidR="00190923" w:rsidRPr="00981405">
        <w:t xml:space="preserve"> </w:t>
      </w:r>
      <w:r w:rsidRPr="00981405">
        <w:t>Other</w:t>
      </w:r>
      <w:r w:rsidR="00190923" w:rsidRPr="00981405">
        <w:t xml:space="preserve"> </w:t>
      </w:r>
      <w:r w:rsidRPr="00981405">
        <w:t>members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had</w:t>
      </w:r>
      <w:r w:rsidR="00190923" w:rsidRPr="00981405">
        <w:t xml:space="preserve"> </w:t>
      </w:r>
      <w:r w:rsidRPr="00981405">
        <w:t>concentrated</w:t>
      </w:r>
      <w:r w:rsidR="00190923" w:rsidRPr="00981405">
        <w:t xml:space="preserve"> </w:t>
      </w:r>
      <w:r w:rsidRPr="00981405">
        <w:t>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whether</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may</w:t>
      </w:r>
      <w:r w:rsidR="00190923" w:rsidRPr="00981405">
        <w:t xml:space="preserve"> </w:t>
      </w:r>
      <w:r w:rsidRPr="00981405">
        <w:t>ever</w:t>
      </w:r>
      <w:r w:rsidR="00190923" w:rsidRPr="00981405">
        <w:t xml:space="preserve"> </w:t>
      </w:r>
      <w:r w:rsidRPr="00981405">
        <w:t>be</w:t>
      </w:r>
      <w:r w:rsidR="00190923" w:rsidRPr="00981405">
        <w:t xml:space="preserve"> </w:t>
      </w:r>
      <w:r w:rsidR="00B92E2C" w:rsidRPr="00981405">
        <w:t>“</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without</w:t>
      </w:r>
      <w:r w:rsidR="00190923" w:rsidRPr="00981405">
        <w:t xml:space="preserve"> </w:t>
      </w:r>
      <w:r w:rsidRPr="00981405">
        <w:t>addressing</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or</w:t>
      </w:r>
      <w:r w:rsidR="00190923" w:rsidRPr="00981405">
        <w:t xml:space="preserve"> </w:t>
      </w:r>
      <w:r w:rsidRPr="00981405">
        <w:t>exceptions.</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commentaries</w:t>
      </w:r>
      <w:r w:rsidR="00190923" w:rsidRPr="00981405">
        <w:t xml:space="preserve"> </w:t>
      </w:r>
      <w:r w:rsidRPr="00981405">
        <w:t>to</w:t>
      </w:r>
      <w:r w:rsidR="00190923" w:rsidRPr="00981405">
        <w:t xml:space="preserve"> </w:t>
      </w:r>
      <w:r w:rsidRPr="00981405">
        <w:t>be</w:t>
      </w:r>
      <w:r w:rsidR="00190923" w:rsidRPr="00981405">
        <w:t xml:space="preserve"> </w:t>
      </w:r>
      <w:r w:rsidRPr="00981405">
        <w:t>adopted</w:t>
      </w:r>
      <w:r w:rsidR="00190923" w:rsidRPr="00981405">
        <w:t xml:space="preserve"> </w:t>
      </w:r>
      <w:r w:rsidRPr="00981405">
        <w:t>on</w:t>
      </w:r>
      <w:r w:rsidR="00190923" w:rsidRPr="00981405">
        <w:t xml:space="preserve"> </w:t>
      </w:r>
      <w:r w:rsidRPr="00981405">
        <w:t>the</w:t>
      </w:r>
      <w:r w:rsidR="00190923" w:rsidRPr="00981405">
        <w:t xml:space="preserve"> </w:t>
      </w:r>
      <w:r w:rsidRPr="00981405">
        <w:t>draft</w:t>
      </w:r>
      <w:r w:rsidR="00190923" w:rsidRPr="00981405">
        <w:t xml:space="preserve"> </w:t>
      </w:r>
      <w:r w:rsidRPr="00981405">
        <w:t>provision</w:t>
      </w:r>
      <w:r w:rsidR="00190923" w:rsidRPr="00981405">
        <w:t xml:space="preserve"> </w:t>
      </w:r>
      <w:r w:rsidRPr="00981405">
        <w:t>should</w:t>
      </w:r>
      <w:r w:rsidR="00190923" w:rsidRPr="00981405">
        <w:t xml:space="preserve"> </w:t>
      </w:r>
      <w:r w:rsidRPr="00981405">
        <w:t>be</w:t>
      </w:r>
      <w:r w:rsidR="00190923" w:rsidRPr="00981405">
        <w:t xml:space="preserve"> </w:t>
      </w:r>
      <w:r w:rsidRPr="00981405">
        <w:t>prepared</w:t>
      </w:r>
      <w:r w:rsidR="00190923" w:rsidRPr="00981405">
        <w:t xml:space="preserve"> </w:t>
      </w:r>
      <w:r w:rsidRPr="00981405">
        <w:t>in</w:t>
      </w:r>
      <w:r w:rsidR="00190923" w:rsidRPr="00981405">
        <w:t xml:space="preserve"> </w:t>
      </w:r>
      <w:r w:rsidRPr="00981405">
        <w:t>such</w:t>
      </w:r>
      <w:r w:rsidR="00190923" w:rsidRPr="00981405">
        <w:t xml:space="preserve"> </w:t>
      </w:r>
      <w:r w:rsidRPr="00981405">
        <w:t>a</w:t>
      </w:r>
      <w:r w:rsidR="00190923" w:rsidRPr="00981405">
        <w:t xml:space="preserve"> </w:t>
      </w:r>
      <w:r w:rsidRPr="00981405">
        <w:t>way</w:t>
      </w:r>
      <w:r w:rsidR="00190923" w:rsidRPr="00981405">
        <w:t xml:space="preserve"> </w:t>
      </w:r>
      <w:r w:rsidRPr="00981405">
        <w:t>so</w:t>
      </w:r>
      <w:r w:rsidR="00190923" w:rsidRPr="00981405">
        <w:t xml:space="preserve"> </w:t>
      </w:r>
      <w:r w:rsidRPr="00981405">
        <w:t>as</w:t>
      </w:r>
      <w:r w:rsidR="00190923" w:rsidRPr="00981405">
        <w:t xml:space="preserve"> </w:t>
      </w:r>
      <w:r w:rsidRPr="00981405">
        <w:t>not</w:t>
      </w:r>
      <w:r w:rsidR="00190923" w:rsidRPr="00981405">
        <w:t xml:space="preserve"> </w:t>
      </w:r>
      <w:r w:rsidRPr="00981405">
        <w:t>to</w:t>
      </w:r>
      <w:r w:rsidR="00190923" w:rsidRPr="00981405">
        <w:t xml:space="preserve"> </w:t>
      </w:r>
      <w:r w:rsidRPr="00981405">
        <w:t>prejudge</w:t>
      </w:r>
      <w:r w:rsidR="00190923" w:rsidRPr="00981405">
        <w:t xml:space="preserve"> </w:t>
      </w:r>
      <w:r w:rsidRPr="00981405">
        <w:t>the</w:t>
      </w:r>
      <w:r w:rsidR="00190923" w:rsidRPr="00981405">
        <w:t xml:space="preserve"> </w:t>
      </w:r>
      <w:r w:rsidRPr="00981405">
        <w:t>discussion</w:t>
      </w:r>
      <w:r w:rsidR="00190923" w:rsidRPr="00981405">
        <w:t xml:space="preserve"> </w:t>
      </w:r>
      <w:r w:rsidRPr="00981405">
        <w:t>about</w:t>
      </w:r>
      <w:r w:rsidR="00190923" w:rsidRPr="00981405">
        <w:t xml:space="preserve"> </w:t>
      </w:r>
      <w:r w:rsidRPr="00981405">
        <w:t>immunities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crimes.</w:t>
      </w:r>
    </w:p>
    <w:p w:rsidR="00397032" w:rsidRPr="00981405" w:rsidRDefault="00397032" w:rsidP="00D97463">
      <w:pPr>
        <w:pStyle w:val="SingleTxt"/>
      </w:pPr>
      <w:r w:rsidRPr="00981405">
        <w:t>225.</w:t>
      </w:r>
      <w:r w:rsidRPr="00981405">
        <w:tab/>
        <w:t>Nevertheless,</w:t>
      </w:r>
      <w:r w:rsidR="00190923" w:rsidRPr="00981405">
        <w:t xml:space="preserve"> </w:t>
      </w:r>
      <w:r w:rsidRPr="00981405">
        <w:t>some</w:t>
      </w:r>
      <w:r w:rsidR="00190923" w:rsidRPr="00981405">
        <w:t xml:space="preserve"> </w:t>
      </w:r>
      <w:r w:rsidRPr="00981405">
        <w:t>members</w:t>
      </w:r>
      <w:r w:rsidR="00190923" w:rsidRPr="00981405">
        <w:t xml:space="preserve"> </w:t>
      </w:r>
      <w:r w:rsidRPr="00981405">
        <w:t>asserted,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Arrest</w:t>
      </w:r>
      <w:r w:rsidR="00190923" w:rsidRPr="00981405">
        <w:rPr>
          <w:i/>
          <w:iCs/>
        </w:rPr>
        <w:t xml:space="preserve"> </w:t>
      </w:r>
      <w:r w:rsidRPr="00D97463">
        <w:rPr>
          <w:i/>
          <w:iCs/>
        </w:rPr>
        <w:t>Warrant</w:t>
      </w:r>
      <w:r w:rsidR="00190923" w:rsidRPr="00981405">
        <w:t xml:space="preserve"> </w:t>
      </w:r>
      <w:r w:rsidRPr="00981405">
        <w:t>case,</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international</w:t>
      </w:r>
      <w:r w:rsidR="00190923" w:rsidRPr="00981405">
        <w:t xml:space="preserve"> </w:t>
      </w:r>
      <w:r w:rsidRPr="00981405">
        <w:t>crime</w:t>
      </w:r>
      <w:r w:rsidR="00190923" w:rsidRPr="00981405">
        <w:t xml:space="preserve"> </w:t>
      </w:r>
      <w:r w:rsidRPr="00981405">
        <w:t>exception</w:t>
      </w:r>
      <w:r w:rsidR="00B92E2C" w:rsidRPr="00981405">
        <w:t>”</w:t>
      </w:r>
      <w:r w:rsidR="00190923" w:rsidRPr="00981405">
        <w:t xml:space="preserve"> </w:t>
      </w:r>
      <w:r w:rsidRPr="00981405">
        <w:t>was</w:t>
      </w:r>
      <w:r w:rsidR="00190923" w:rsidRPr="00981405">
        <w:t xml:space="preserve"> </w:t>
      </w:r>
      <w:r w:rsidRPr="00981405">
        <w:t>not</w:t>
      </w:r>
      <w:r w:rsidR="00190923" w:rsidRPr="00981405">
        <w:t xml:space="preserve"> </w:t>
      </w:r>
      <w:r w:rsidRPr="00981405">
        <w:t>applicable</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immunity</w:t>
      </w:r>
      <w:r w:rsidR="00190923" w:rsidRPr="00981405">
        <w:t xml:space="preserve"> </w:t>
      </w:r>
      <w:r w:rsidR="00B247C2" w:rsidRPr="00981405">
        <w:rPr>
          <w:i/>
          <w:iCs/>
        </w:rPr>
        <w:t>ratione</w:t>
      </w:r>
      <w:r w:rsidR="00190923" w:rsidRPr="00981405">
        <w:rPr>
          <w:i/>
          <w:iCs/>
        </w:rPr>
        <w:t xml:space="preserve"> </w:t>
      </w:r>
      <w:r w:rsidR="00B247C2" w:rsidRPr="00981405">
        <w:rPr>
          <w:i/>
          <w:iCs/>
        </w:rPr>
        <w:t>personae</w:t>
      </w:r>
      <w:r w:rsidRPr="00981405">
        <w:t>.</w:t>
      </w:r>
      <w:r w:rsidR="00190923" w:rsidRPr="00981405">
        <w:t xml:space="preserve"> </w:t>
      </w:r>
      <w:r w:rsidRPr="00981405">
        <w:t>On</w:t>
      </w:r>
      <w:r w:rsidR="00190923" w:rsidRPr="00981405">
        <w:t xml:space="preserve"> </w:t>
      </w:r>
      <w:r w:rsidRPr="00981405">
        <w:t>the</w:t>
      </w:r>
      <w:r w:rsidR="00190923" w:rsidRPr="00981405">
        <w:t xml:space="preserve"> </w:t>
      </w:r>
      <w:r w:rsidRPr="00981405">
        <w:t>other</w:t>
      </w:r>
      <w:r w:rsidR="00190923" w:rsidRPr="00981405">
        <w:t xml:space="preserve"> </w:t>
      </w:r>
      <w:r w:rsidRPr="00981405">
        <w:t>hand,</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that</w:t>
      </w:r>
      <w:r w:rsidR="00190923" w:rsidRPr="00981405">
        <w:t xml:space="preserve"> </w:t>
      </w:r>
      <w:r w:rsidRPr="00981405">
        <w:t>case</w:t>
      </w:r>
      <w:r w:rsidR="00190923" w:rsidRPr="00981405">
        <w:t xml:space="preserve"> </w:t>
      </w:r>
      <w:r w:rsidRPr="00981405">
        <w:t>left</w:t>
      </w:r>
      <w:r w:rsidR="00190923" w:rsidRPr="00981405">
        <w:t xml:space="preserve"> </w:t>
      </w:r>
      <w:r w:rsidRPr="00981405">
        <w:t>open</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possible</w:t>
      </w:r>
      <w:r w:rsidR="00190923" w:rsidRPr="00981405">
        <w:t xml:space="preserve"> </w:t>
      </w:r>
      <w:r w:rsidRPr="00981405">
        <w:t>exceptions</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for</w:t>
      </w:r>
      <w:r w:rsidR="00190923" w:rsidRPr="00981405">
        <w:t xml:space="preserve"> </w:t>
      </w:r>
      <w:r w:rsidRPr="00981405">
        <w:t>when</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pronounced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unable</w:t>
      </w:r>
      <w:r w:rsidR="00190923" w:rsidRPr="00981405">
        <w:t xml:space="preserve"> </w:t>
      </w:r>
      <w:r w:rsidRPr="00981405">
        <w:t>to</w:t>
      </w:r>
      <w:r w:rsidR="00190923" w:rsidRPr="00981405">
        <w:t xml:space="preserve"> </w:t>
      </w:r>
      <w:r w:rsidRPr="00981405">
        <w:t>deduce</w:t>
      </w:r>
      <w:r w:rsidR="00190923" w:rsidRPr="00981405">
        <w:t xml:space="preserve"> </w:t>
      </w:r>
      <w:r w:rsidRPr="00981405">
        <w:t>from</w:t>
      </w:r>
      <w:r w:rsidR="00190923" w:rsidRPr="00981405">
        <w:t xml:space="preserve"> </w:t>
      </w:r>
      <w:r w:rsidRPr="00981405">
        <w:t>practice</w:t>
      </w:r>
      <w:r w:rsidR="00190923" w:rsidRPr="00981405">
        <w:t xml:space="preserve"> </w:t>
      </w:r>
      <w:r w:rsidRPr="00981405">
        <w:t>that</w:t>
      </w:r>
      <w:r w:rsidR="00190923" w:rsidRPr="00981405">
        <w:t xml:space="preserve"> </w:t>
      </w:r>
      <w:r w:rsidRPr="00981405">
        <w:t>there</w:t>
      </w:r>
      <w:r w:rsidR="00190923" w:rsidRPr="00981405">
        <w:t xml:space="preserve"> </w:t>
      </w:r>
      <w:r w:rsidRPr="00981405">
        <w:t>exists</w:t>
      </w:r>
      <w:r w:rsidR="00190923" w:rsidRPr="00981405">
        <w:t xml:space="preserve"> </w:t>
      </w:r>
      <w:r w:rsidRPr="00981405">
        <w:t>under</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any</w:t>
      </w:r>
      <w:r w:rsidR="00190923" w:rsidRPr="00981405">
        <w:t xml:space="preserve"> </w:t>
      </w:r>
      <w:r w:rsidRPr="00981405">
        <w:t>form</w:t>
      </w:r>
      <w:r w:rsidR="00190923" w:rsidRPr="00981405">
        <w:t xml:space="preserve"> </w:t>
      </w:r>
      <w:r w:rsidRPr="00981405">
        <w:t>of</w:t>
      </w:r>
      <w:r w:rsidR="00190923" w:rsidRPr="00981405">
        <w:t xml:space="preserve"> </w:t>
      </w:r>
      <w:r w:rsidRPr="00981405">
        <w:t>exception</w:t>
      </w:r>
      <w:r w:rsidR="00190923" w:rsidRPr="00981405">
        <w:t xml:space="preserve"> </w:t>
      </w:r>
      <w:r w:rsidRPr="00981405">
        <w:t>to</w:t>
      </w:r>
      <w:r w:rsidR="00190923" w:rsidRPr="00981405">
        <w:t xml:space="preserve"> </w:t>
      </w:r>
      <w:r w:rsidRPr="00981405">
        <w:t>the</w:t>
      </w:r>
      <w:r w:rsidR="00190923" w:rsidRPr="00981405">
        <w:t xml:space="preserve"> </w:t>
      </w:r>
      <w:r w:rsidRPr="00981405">
        <w:t>rule</w:t>
      </w:r>
      <w:r w:rsidR="00190923" w:rsidRPr="00981405">
        <w:t xml:space="preserve"> </w:t>
      </w:r>
      <w:r w:rsidRPr="00981405">
        <w:t>according</w:t>
      </w:r>
      <w:r w:rsidR="00190923" w:rsidRPr="00981405">
        <w:t xml:space="preserve"> </w:t>
      </w:r>
      <w:r w:rsidRPr="00981405">
        <w:t>immunity</w:t>
      </w:r>
      <w:r w:rsidR="00190923" w:rsidRPr="00981405">
        <w:t xml:space="preserve"> </w:t>
      </w:r>
      <w:r w:rsidRPr="00981405">
        <w:t>from</w:t>
      </w:r>
      <w:r w:rsidR="00190923" w:rsidRPr="00981405">
        <w:t xml:space="preserve"> </w:t>
      </w:r>
      <w:r w:rsidRPr="00981405">
        <w:t>criminal</w:t>
      </w:r>
      <w:r w:rsidR="00190923" w:rsidRPr="00981405">
        <w:t xml:space="preserve"> </w:t>
      </w:r>
      <w:r w:rsidRPr="00981405">
        <w:t>jurisdiction</w:t>
      </w:r>
      <w:r w:rsidR="00190923" w:rsidRPr="00981405">
        <w:t xml:space="preserve"> </w:t>
      </w:r>
      <w:r w:rsidRPr="00981405">
        <w:t>and</w:t>
      </w:r>
      <w:r w:rsidR="00190923" w:rsidRPr="00981405">
        <w:t xml:space="preserve"> </w:t>
      </w:r>
      <w:r w:rsidRPr="00981405">
        <w:t>inviolability</w:t>
      </w:r>
      <w:r w:rsidR="00190923" w:rsidRPr="00981405">
        <w:t xml:space="preserve"> </w:t>
      </w:r>
      <w:r w:rsidRPr="00981405">
        <w:t>to</w:t>
      </w:r>
      <w:r w:rsidR="00190923" w:rsidRPr="00981405">
        <w:t xml:space="preserve"> </w:t>
      </w:r>
      <w:r w:rsidRPr="00981405">
        <w:t>incumbent</w:t>
      </w:r>
      <w:r w:rsidR="00190923" w:rsidRPr="00981405">
        <w:t xml:space="preserve"> </w:t>
      </w:r>
      <w:r w:rsidRPr="00981405">
        <w:t>Minister</w:t>
      </w:r>
      <w:r w:rsidR="00190923" w:rsidRPr="00981405">
        <w:t xml:space="preserve"> </w:t>
      </w:r>
      <w:r w:rsidRPr="00981405">
        <w:t>of</w:t>
      </w:r>
      <w:r w:rsidR="00190923" w:rsidRPr="00981405">
        <w:t xml:space="preserve"> </w:t>
      </w:r>
      <w:r w:rsidRPr="00981405">
        <w:t>Foreign</w:t>
      </w:r>
      <w:r w:rsidR="00190923" w:rsidRPr="00981405">
        <w:t xml:space="preserve"> </w:t>
      </w:r>
      <w:r w:rsidRPr="00981405">
        <w:t>Affairs,</w:t>
      </w:r>
      <w:r w:rsidR="00190923" w:rsidRPr="00981405">
        <w:t xml:space="preserve"> </w:t>
      </w:r>
      <w:r w:rsidRPr="00981405">
        <w:t>it</w:t>
      </w:r>
      <w:r w:rsidR="00190923" w:rsidRPr="00981405">
        <w:t xml:space="preserve"> </w:t>
      </w:r>
      <w:r w:rsidRPr="00981405">
        <w:t>had</w:t>
      </w:r>
      <w:r w:rsidR="00190923" w:rsidRPr="00981405">
        <w:t xml:space="preserve"> </w:t>
      </w:r>
      <w:r w:rsidRPr="00981405">
        <w:t>confined</w:t>
      </w:r>
      <w:r w:rsidR="00190923" w:rsidRPr="00981405">
        <w:t xml:space="preserve"> </w:t>
      </w:r>
      <w:r w:rsidRPr="00981405">
        <w:t>the</w:t>
      </w:r>
      <w:r w:rsidR="00190923" w:rsidRPr="00981405">
        <w:t xml:space="preserve"> </w:t>
      </w:r>
      <w:r w:rsidRPr="00981405">
        <w:t>finding</w:t>
      </w:r>
      <w:r w:rsidR="00190923" w:rsidRPr="00981405">
        <w:t xml:space="preserve"> </w:t>
      </w:r>
      <w:r w:rsidRPr="00981405">
        <w:t>to</w:t>
      </w:r>
      <w:r w:rsidR="00190923" w:rsidRPr="00981405">
        <w:t xml:space="preserve"> </w:t>
      </w:r>
      <w:r w:rsidRPr="00981405">
        <w:t>immunity</w:t>
      </w:r>
      <w:r w:rsidR="00190923" w:rsidRPr="00981405">
        <w:t xml:space="preserve"> </w:t>
      </w:r>
      <w:r w:rsidR="00B247C2" w:rsidRPr="00981405">
        <w:rPr>
          <w:i/>
          <w:iCs/>
        </w:rPr>
        <w:t>ratione</w:t>
      </w:r>
      <w:r w:rsidR="00190923" w:rsidRPr="00981405">
        <w:rPr>
          <w:i/>
          <w:iCs/>
        </w:rPr>
        <w:t xml:space="preserve"> </w:t>
      </w:r>
      <w:r w:rsidR="00B247C2" w:rsidRPr="00981405">
        <w:rPr>
          <w:i/>
          <w:iCs/>
        </w:rPr>
        <w:t>personae</w:t>
      </w:r>
      <w:r w:rsidRPr="00981405">
        <w:t>.</w:t>
      </w:r>
    </w:p>
    <w:p w:rsidR="00397032" w:rsidRPr="00981405" w:rsidRDefault="00397032" w:rsidP="00D97463">
      <w:pPr>
        <w:pStyle w:val="SingleTxt"/>
      </w:pPr>
      <w:r w:rsidRPr="00981405">
        <w:t>226.</w:t>
      </w:r>
      <w:r w:rsidRPr="00981405">
        <w:tab/>
        <w:t>Some</w:t>
      </w:r>
      <w:r w:rsidR="00190923" w:rsidRPr="00981405">
        <w:t xml:space="preserve"> </w:t>
      </w:r>
      <w:r w:rsidRPr="00981405">
        <w:t>members,</w:t>
      </w:r>
      <w:r w:rsidR="00190923" w:rsidRPr="00981405">
        <w:t xml:space="preserve"> </w:t>
      </w:r>
      <w:r w:rsidRPr="00981405">
        <w:t>questioning</w:t>
      </w:r>
      <w:r w:rsidR="00190923" w:rsidRPr="00981405">
        <w:t xml:space="preserve"> </w:t>
      </w:r>
      <w:r w:rsidRPr="00981405">
        <w:t>the</w:t>
      </w:r>
      <w:r w:rsidR="00190923" w:rsidRPr="00981405">
        <w:t xml:space="preserve"> </w:t>
      </w:r>
      <w:r w:rsidRPr="00981405">
        <w:t>need</w:t>
      </w:r>
      <w:r w:rsidR="00190923" w:rsidRPr="00981405">
        <w:t xml:space="preserve"> </w:t>
      </w:r>
      <w:r w:rsidRPr="00981405">
        <w:t>for</w:t>
      </w:r>
      <w:r w:rsidR="00190923" w:rsidRPr="00981405">
        <w:t xml:space="preserve"> </w:t>
      </w:r>
      <w:r w:rsidRPr="00981405">
        <w:t>a</w:t>
      </w:r>
      <w:r w:rsidR="00190923" w:rsidRPr="00981405">
        <w:t xml:space="preserve"> </w:t>
      </w:r>
      <w:r w:rsidRPr="00981405">
        <w:t>definition,</w:t>
      </w:r>
      <w:r w:rsidR="00190923" w:rsidRPr="00981405">
        <w:t xml:space="preserve"> </w:t>
      </w:r>
      <w:r w:rsidRPr="00981405">
        <w:t>doubted</w:t>
      </w:r>
      <w:r w:rsidR="00190923" w:rsidRPr="00981405">
        <w:t xml:space="preserve"> </w:t>
      </w:r>
      <w:r w:rsidRPr="00981405">
        <w:t>the</w:t>
      </w:r>
      <w:r w:rsidR="00190923" w:rsidRPr="00981405">
        <w:t xml:space="preserve"> </w:t>
      </w:r>
      <w:r w:rsidRPr="00981405">
        <w:t>usefulness</w:t>
      </w:r>
      <w:r w:rsidR="00190923" w:rsidRPr="00981405">
        <w:t xml:space="preserve"> </w:t>
      </w:r>
      <w:r w:rsidRPr="00981405">
        <w:t>of</w:t>
      </w:r>
      <w:r w:rsidR="00190923" w:rsidRPr="00981405">
        <w:t xml:space="preserve"> </w:t>
      </w:r>
      <w:r w:rsidRPr="00981405">
        <w:t>the</w:t>
      </w:r>
      <w:r w:rsidR="00190923" w:rsidRPr="00981405">
        <w:t xml:space="preserve"> </w:t>
      </w:r>
      <w:r w:rsidRPr="00981405">
        <w:t>formulation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exercising</w:t>
      </w:r>
      <w:r w:rsidR="00190923" w:rsidRPr="00981405">
        <w:t xml:space="preserve"> </w:t>
      </w:r>
      <w:r w:rsidRPr="00981405">
        <w:t>elements</w:t>
      </w:r>
      <w:r w:rsidR="00190923" w:rsidRPr="00981405">
        <w:t xml:space="preserve"> </w:t>
      </w:r>
      <w:r w:rsidRPr="00981405">
        <w:t>of</w:t>
      </w:r>
      <w:r w:rsidR="00190923" w:rsidRPr="00981405">
        <w:t xml:space="preserve"> </w:t>
      </w:r>
      <w:r w:rsidRPr="00981405">
        <w:t>governmental</w:t>
      </w:r>
      <w:r w:rsidR="00190923" w:rsidRPr="00981405">
        <w:t xml:space="preserve"> </w:t>
      </w:r>
      <w:r w:rsidRPr="00981405">
        <w:t>authority</w:t>
      </w:r>
      <w:r w:rsidR="00B92E2C" w:rsidRPr="00981405">
        <w:t>”</w:t>
      </w:r>
      <w:r w:rsidRPr="00981405">
        <w:t>,</w:t>
      </w:r>
      <w:r w:rsidR="00190923" w:rsidRPr="00981405">
        <w:t xml:space="preserve"> </w:t>
      </w:r>
      <w:r w:rsidRPr="00981405">
        <w:t>viewing</w:t>
      </w:r>
      <w:r w:rsidR="00190923" w:rsidRPr="00981405">
        <w:t xml:space="preserve"> </w:t>
      </w:r>
      <w:r w:rsidRPr="00981405">
        <w:t>the</w:t>
      </w:r>
      <w:r w:rsidR="00190923" w:rsidRPr="00981405">
        <w:t xml:space="preserve"> </w:t>
      </w:r>
      <w:r w:rsidRPr="00981405">
        <w:t>word</w:t>
      </w:r>
      <w:r w:rsidR="00190923" w:rsidRPr="00981405">
        <w:t xml:space="preserve"> </w:t>
      </w:r>
      <w:r w:rsidR="00B92E2C" w:rsidRPr="00981405">
        <w:t>“</w:t>
      </w:r>
      <w:r w:rsidRPr="00981405">
        <w:t>elements</w:t>
      </w:r>
      <w:r w:rsidR="00B92E2C" w:rsidRPr="00981405">
        <w:t>”</w:t>
      </w:r>
      <w:r w:rsidR="00190923" w:rsidRPr="00981405">
        <w:t xml:space="preserve"> </w:t>
      </w:r>
      <w:r w:rsidRPr="00981405">
        <w:t>to</w:t>
      </w:r>
      <w:r w:rsidR="00190923" w:rsidRPr="00981405">
        <w:t xml:space="preserve"> </w:t>
      </w:r>
      <w:r w:rsidRPr="00981405">
        <w:t>be</w:t>
      </w:r>
      <w:r w:rsidR="00190923" w:rsidRPr="00981405">
        <w:t xml:space="preserve"> </w:t>
      </w:r>
      <w:r w:rsidRPr="00981405">
        <w:t>unclear</w:t>
      </w:r>
      <w:r w:rsidR="00190923" w:rsidRPr="00981405">
        <w:t xml:space="preserve"> </w:t>
      </w:r>
      <w:r w:rsidRPr="00981405">
        <w:t>and</w:t>
      </w:r>
      <w:r w:rsidR="00190923" w:rsidRPr="00981405">
        <w:t xml:space="preserve"> </w:t>
      </w:r>
      <w:r w:rsidR="00B92E2C" w:rsidRPr="00981405">
        <w:t>“</w:t>
      </w:r>
      <w:r w:rsidRPr="00981405">
        <w:t>governmental</w:t>
      </w:r>
      <w:r w:rsidR="00B92E2C" w:rsidRPr="00981405">
        <w:t>”</w:t>
      </w:r>
      <w:r w:rsidRPr="00981405">
        <w:t>,</w:t>
      </w:r>
      <w:r w:rsidR="00190923" w:rsidRPr="00981405">
        <w:t xml:space="preserve"> </w:t>
      </w:r>
      <w:r w:rsidRPr="00981405">
        <w:t>question</w:t>
      </w:r>
      <w:r w:rsidR="00190923" w:rsidRPr="00981405">
        <w:t xml:space="preserve"> </w:t>
      </w:r>
      <w:r w:rsidRPr="00981405">
        <w:t>begging.</w:t>
      </w:r>
      <w:r w:rsidR="00190923" w:rsidRPr="00981405">
        <w:t xml:space="preserve"> </w:t>
      </w:r>
      <w:r w:rsidRPr="00981405">
        <w:t>The</w:t>
      </w:r>
      <w:r w:rsidR="00190923" w:rsidRPr="00981405">
        <w:t xml:space="preserve"> </w:t>
      </w:r>
      <w:r w:rsidRPr="00981405">
        <w:t>alternative</w:t>
      </w:r>
      <w:r w:rsidR="00190923" w:rsidRPr="00981405">
        <w:t xml:space="preserve"> </w:t>
      </w:r>
      <w:r w:rsidRPr="00981405">
        <w:t>was</w:t>
      </w:r>
      <w:r w:rsidR="00190923" w:rsidRPr="00981405">
        <w:t xml:space="preserve"> </w:t>
      </w:r>
      <w:r w:rsidRPr="00981405">
        <w:t>to</w:t>
      </w:r>
      <w:r w:rsidR="00190923" w:rsidRPr="00981405">
        <w:t xml:space="preserve"> </w:t>
      </w:r>
      <w:r w:rsidRPr="00981405">
        <w:t>employ</w:t>
      </w:r>
      <w:r w:rsidR="00190923" w:rsidRPr="00981405">
        <w:t xml:space="preserve"> </w:t>
      </w:r>
      <w:r w:rsidRPr="00981405">
        <w:t>the</w:t>
      </w:r>
      <w:r w:rsidR="00190923" w:rsidRPr="00981405">
        <w:t xml:space="preserve"> </w:t>
      </w:r>
      <w:r w:rsidRPr="00981405">
        <w:t>formulation</w:t>
      </w:r>
      <w:r w:rsidR="00190923" w:rsidRPr="00981405">
        <w:t xml:space="preserve"> </w:t>
      </w:r>
      <w:r w:rsidRPr="00981405">
        <w:t>contained</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2,</w:t>
      </w:r>
      <w:r w:rsidR="00190923" w:rsidRPr="00981405">
        <w:t xml:space="preserve"> </w:t>
      </w:r>
      <w:r w:rsidRPr="00981405">
        <w:t>paragraph</w:t>
      </w:r>
      <w:r w:rsidR="00190923" w:rsidRPr="00981405">
        <w:t xml:space="preserve"> </w:t>
      </w:r>
      <w:r w:rsidRPr="00981405">
        <w:t>(e),</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2014,</w:t>
      </w:r>
      <w:r w:rsidR="00190923" w:rsidRPr="00981405">
        <w:t xml:space="preserve"> </w:t>
      </w:r>
      <w:r w:rsidRPr="00981405">
        <w:t>in</w:t>
      </w:r>
      <w:r w:rsidR="00190923" w:rsidRPr="00981405">
        <w:t xml:space="preserve"> </w:t>
      </w:r>
      <w:r w:rsidRPr="00981405">
        <w:t>which</w:t>
      </w:r>
      <w:r w:rsidR="00190923" w:rsidRPr="00981405">
        <w:t xml:space="preserve"> </w:t>
      </w:r>
      <w:r w:rsidRPr="00981405">
        <w:t>case</w:t>
      </w:r>
      <w:r w:rsidR="00190923" w:rsidRPr="00981405">
        <w:t xml:space="preserve"> </w:t>
      </w:r>
      <w:r w:rsidRPr="00981405">
        <w:t>reference</w:t>
      </w:r>
      <w:r w:rsidR="00190923" w:rsidRPr="00981405">
        <w:t xml:space="preserve"> </w:t>
      </w:r>
      <w:r w:rsidRPr="00981405">
        <w:t>would</w:t>
      </w:r>
      <w:r w:rsidR="00190923" w:rsidRPr="00981405">
        <w:t xml:space="preserve"> </w:t>
      </w:r>
      <w:r w:rsidRPr="00981405">
        <w:t>be</w:t>
      </w:r>
      <w:r w:rsidR="00190923" w:rsidRPr="00981405">
        <w:t xml:space="preserve"> </w:t>
      </w:r>
      <w:r w:rsidRPr="00981405">
        <w:t>made</w:t>
      </w:r>
      <w:r w:rsidR="00190923" w:rsidRPr="00981405">
        <w:t xml:space="preserve"> </w:t>
      </w:r>
      <w:r w:rsidRPr="00981405">
        <w:t>to</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when</w:t>
      </w:r>
      <w:r w:rsidR="00190923" w:rsidRPr="00981405">
        <w:t xml:space="preserve"> </w:t>
      </w:r>
      <w:r w:rsidRPr="00981405">
        <w:t>representing</w:t>
      </w:r>
      <w:r w:rsidR="00190923" w:rsidRPr="00981405">
        <w:t xml:space="preserve"> </w:t>
      </w:r>
      <w:r w:rsidRPr="00981405">
        <w:t>the</w:t>
      </w:r>
      <w:r w:rsidR="00190923" w:rsidRPr="00981405">
        <w:t xml:space="preserve"> </w:t>
      </w:r>
      <w:r w:rsidRPr="00981405">
        <w:t>State</w:t>
      </w:r>
      <w:r w:rsidR="00190923" w:rsidRPr="00981405">
        <w:t xml:space="preserve"> </w:t>
      </w:r>
      <w:r w:rsidRPr="00981405">
        <w:t>or</w:t>
      </w:r>
      <w:r w:rsidR="00190923" w:rsidRPr="00981405">
        <w:t xml:space="preserve"> </w:t>
      </w:r>
      <w:r w:rsidRPr="00981405">
        <w:t>when</w:t>
      </w:r>
      <w:r w:rsidR="00190923" w:rsidRPr="00981405">
        <w:t xml:space="preserve"> </w:t>
      </w:r>
      <w:r w:rsidRPr="00981405">
        <w:t>exercising</w:t>
      </w:r>
      <w:r w:rsidR="00190923" w:rsidRPr="00981405">
        <w:t xml:space="preserve"> </w:t>
      </w:r>
      <w:r w:rsidRPr="00981405">
        <w:t>State</w:t>
      </w:r>
      <w:r w:rsidR="00190923" w:rsidRPr="00981405">
        <w:t xml:space="preserve"> </w:t>
      </w:r>
      <w:r w:rsidRPr="00981405">
        <w:t>functions</w:t>
      </w:r>
      <w:r w:rsidR="00B92E2C" w:rsidRPr="00981405">
        <w:t>”</w:t>
      </w:r>
      <w:r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recalled</w:t>
      </w:r>
      <w:r w:rsidR="00190923" w:rsidRPr="00981405">
        <w:t xml:space="preserve"> </w:t>
      </w:r>
      <w:r w:rsidRPr="00981405">
        <w:t>that</w:t>
      </w:r>
      <w:r w:rsidR="00190923" w:rsidRPr="00981405">
        <w:t xml:space="preserve"> </w:t>
      </w:r>
      <w:r w:rsidRPr="00981405">
        <w:t>when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that</w:t>
      </w:r>
      <w:r w:rsidR="00190923" w:rsidRPr="00981405">
        <w:t xml:space="preserve"> </w:t>
      </w:r>
      <w:r w:rsidRPr="00981405">
        <w:t>provision</w:t>
      </w:r>
      <w:r w:rsidR="00190923" w:rsidRPr="00981405">
        <w:t xml:space="preserve"> </w:t>
      </w:r>
      <w:r w:rsidRPr="00981405">
        <w:t>it</w:t>
      </w:r>
      <w:r w:rsidR="00190923" w:rsidRPr="00981405">
        <w:t xml:space="preserve"> </w:t>
      </w:r>
      <w:r w:rsidRPr="00981405">
        <w:t>discussed</w:t>
      </w:r>
      <w:r w:rsidR="00190923" w:rsidRPr="00981405">
        <w:t xml:space="preserve"> </w:t>
      </w:r>
      <w:r w:rsidRPr="00981405">
        <w:t>and</w:t>
      </w:r>
      <w:r w:rsidR="00190923" w:rsidRPr="00981405">
        <w:t xml:space="preserve"> </w:t>
      </w:r>
      <w:r w:rsidRPr="00981405">
        <w:t>refrained</w:t>
      </w:r>
      <w:r w:rsidR="00190923" w:rsidRPr="00981405">
        <w:t xml:space="preserve"> </w:t>
      </w:r>
      <w:r w:rsidRPr="00981405">
        <w:t>from</w:t>
      </w:r>
      <w:r w:rsidR="00190923" w:rsidRPr="00981405">
        <w:t xml:space="preserve"> </w:t>
      </w:r>
      <w:r w:rsidRPr="00981405">
        <w:t>using</w:t>
      </w:r>
      <w:r w:rsidR="00190923" w:rsidRPr="00981405">
        <w:t xml:space="preserve"> </w:t>
      </w:r>
      <w:r w:rsidRPr="00981405">
        <w:t>of</w:t>
      </w:r>
      <w:r w:rsidR="00190923" w:rsidRPr="00981405">
        <w:t xml:space="preserve"> </w:t>
      </w:r>
      <w:r w:rsidRPr="00981405">
        <w:lastRenderedPageBreak/>
        <w:t>the</w:t>
      </w:r>
      <w:r w:rsidR="00190923" w:rsidRPr="00981405">
        <w:t xml:space="preserve"> </w:t>
      </w:r>
      <w:r w:rsidRPr="00981405">
        <w:t>term</w:t>
      </w:r>
      <w:r w:rsidR="00190923" w:rsidRPr="00981405">
        <w:t xml:space="preserve"> </w:t>
      </w:r>
      <w:r w:rsidR="00B92E2C" w:rsidRPr="00981405">
        <w:t>“</w:t>
      </w:r>
      <w:r w:rsidRPr="00981405">
        <w:t>governmental</w:t>
      </w:r>
      <w:r w:rsidR="00190923" w:rsidRPr="00981405">
        <w:t xml:space="preserve"> </w:t>
      </w:r>
      <w:r w:rsidRPr="00981405">
        <w:t>authority</w:t>
      </w:r>
      <w:r w:rsidR="00B92E2C" w:rsidRPr="00981405">
        <w:t>”</w:t>
      </w:r>
      <w:r w:rsidRPr="00981405">
        <w:t>.</w:t>
      </w:r>
      <w:r w:rsidR="00190923" w:rsidRPr="00981405">
        <w:t xml:space="preserve"> </w:t>
      </w:r>
      <w:r w:rsidRPr="00981405">
        <w:t>Other</w:t>
      </w:r>
      <w:r w:rsidR="00190923" w:rsidRPr="00981405">
        <w:t xml:space="preserve"> </w:t>
      </w:r>
      <w:r w:rsidRPr="00981405">
        <w:t>members</w:t>
      </w:r>
      <w:r w:rsidR="00190923" w:rsidRPr="00981405">
        <w:t xml:space="preserve"> </w:t>
      </w:r>
      <w:r w:rsidRPr="00981405">
        <w:t>however</w:t>
      </w:r>
      <w:r w:rsidR="00190923" w:rsidRPr="00981405">
        <w:t xml:space="preserve"> </w:t>
      </w:r>
      <w:r w:rsidRPr="00981405">
        <w:t>viewed</w:t>
      </w:r>
      <w:r w:rsidR="00190923" w:rsidRPr="00981405">
        <w:t xml:space="preserve"> </w:t>
      </w:r>
      <w:r w:rsidRPr="00981405">
        <w:t>this</w:t>
      </w:r>
      <w:r w:rsidR="00190923" w:rsidRPr="00981405">
        <w:t xml:space="preserve"> </w:t>
      </w:r>
      <w:r w:rsidRPr="00981405">
        <w:t>term</w:t>
      </w:r>
      <w:r w:rsidR="00190923" w:rsidRPr="00981405">
        <w:t xml:space="preserve"> </w:t>
      </w:r>
      <w:r w:rsidRPr="00981405">
        <w:t>as</w:t>
      </w:r>
      <w:r w:rsidR="00190923" w:rsidRPr="00981405">
        <w:t xml:space="preserve"> </w:t>
      </w:r>
      <w:r w:rsidRPr="00981405">
        <w:t>useful</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this</w:t>
      </w:r>
      <w:r w:rsidR="00190923" w:rsidRPr="00981405">
        <w:t xml:space="preserve"> </w:t>
      </w:r>
      <w:r w:rsidRPr="00981405">
        <w:t>topic.</w:t>
      </w:r>
      <w:r w:rsidR="00190923" w:rsidRPr="00981405">
        <w:t xml:space="preserve"> </w:t>
      </w:r>
    </w:p>
    <w:p w:rsidR="00397032" w:rsidRPr="00981405" w:rsidRDefault="00397032" w:rsidP="00D97463">
      <w:pPr>
        <w:pStyle w:val="SingleTxt"/>
      </w:pPr>
      <w:r w:rsidRPr="00981405">
        <w:t>227.</w:t>
      </w:r>
      <w:r w:rsidRPr="00981405">
        <w:tab/>
        <w:t>Some</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if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a</w:t>
      </w:r>
      <w:r w:rsidR="00190923" w:rsidRPr="00981405">
        <w:t xml:space="preserve"> </w:t>
      </w:r>
      <w:r w:rsidRPr="00981405">
        <w:t>definition</w:t>
      </w:r>
      <w:r w:rsidR="00190923" w:rsidRPr="00981405">
        <w:t xml:space="preserve"> </w:t>
      </w:r>
      <w:r w:rsidRPr="00981405">
        <w:t>of</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190923" w:rsidRPr="00981405">
        <w:t xml:space="preserve"> </w:t>
      </w:r>
      <w:r w:rsidRPr="00981405">
        <w:t>then</w:t>
      </w:r>
      <w:r w:rsidR="00190923" w:rsidRPr="00981405">
        <w:t xml:space="preserve"> </w:t>
      </w:r>
      <w:r w:rsidRPr="00981405">
        <w:t>it</w:t>
      </w:r>
      <w:r w:rsidR="00190923" w:rsidRPr="00981405">
        <w:t xml:space="preserve"> </w:t>
      </w:r>
      <w:r w:rsidRPr="00981405">
        <w:t>might</w:t>
      </w:r>
      <w:r w:rsidR="00190923" w:rsidRPr="00981405">
        <w:t xml:space="preserve"> </w:t>
      </w:r>
      <w:r w:rsidRPr="00981405">
        <w:t>be</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amend</w:t>
      </w:r>
      <w:r w:rsidR="00190923" w:rsidRPr="00981405">
        <w:t xml:space="preserve"> </w:t>
      </w:r>
      <w:r w:rsidRPr="00981405">
        <w:t>accordingly</w:t>
      </w:r>
      <w:r w:rsidR="00190923" w:rsidRPr="00981405">
        <w:t xml:space="preserve"> </w:t>
      </w:r>
      <w:r w:rsidRPr="00981405">
        <w:t>draft</w:t>
      </w:r>
      <w:r w:rsidR="00190923" w:rsidRPr="00981405">
        <w:t xml:space="preserve"> </w:t>
      </w:r>
      <w:r w:rsidRPr="00981405">
        <w:t>article</w:t>
      </w:r>
      <w:r w:rsidR="00190923" w:rsidRPr="00981405">
        <w:t xml:space="preserve"> </w:t>
      </w:r>
      <w:r w:rsidRPr="00981405">
        <w:t>5,</w:t>
      </w:r>
      <w:r w:rsidR="00190923" w:rsidRPr="00981405">
        <w:t xml:space="preserve"> </w:t>
      </w:r>
      <w:r w:rsidRPr="00981405">
        <w:t>as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59" w:name="_Toc427938147"/>
      <w:r w:rsidRPr="00D97463">
        <w:t>(d)</w:t>
      </w:r>
      <w:r w:rsidRPr="00D97463">
        <w:tab/>
        <w:t>Draft</w:t>
      </w:r>
      <w:r w:rsidR="00190923" w:rsidRPr="00D97463">
        <w:t xml:space="preserve"> </w:t>
      </w:r>
      <w:r w:rsidRPr="00D97463">
        <w:t>article</w:t>
      </w:r>
      <w:r w:rsidR="00190923" w:rsidRPr="00D97463">
        <w:t xml:space="preserve"> </w:t>
      </w:r>
      <w:r w:rsidRPr="00D97463">
        <w:t>6:</w:t>
      </w:r>
      <w:r w:rsidR="00190923" w:rsidRPr="00D97463">
        <w:t xml:space="preserve"> </w:t>
      </w:r>
      <w:r w:rsidRPr="00D97463">
        <w:t>Scope</w:t>
      </w:r>
      <w:r w:rsidR="00190923" w:rsidRPr="00D97463">
        <w:t xml:space="preserve"> </w:t>
      </w:r>
      <w:r w:rsidRPr="00D97463">
        <w:t>of</w:t>
      </w:r>
      <w:r w:rsidR="00190923" w:rsidRPr="00D97463">
        <w:t xml:space="preserve"> </w:t>
      </w:r>
      <w:r w:rsidRPr="00D97463">
        <w:t>immunity</w:t>
      </w:r>
      <w:bookmarkEnd w:id="159"/>
      <w:r w:rsidR="00190923" w:rsidRPr="00D97463">
        <w:t xml:space="preserve"> </w:t>
      </w:r>
      <w:r w:rsidRPr="00D97463">
        <w:rPr>
          <w:i/>
          <w:iCs/>
        </w:rPr>
        <w:t>ratione</w:t>
      </w:r>
      <w:r w:rsidR="00190923" w:rsidRPr="00D97463">
        <w:rPr>
          <w:i/>
          <w:iCs/>
        </w:rPr>
        <w:t xml:space="preserve"> </w:t>
      </w:r>
      <w:r w:rsidRPr="00D97463">
        <w:rPr>
          <w:i/>
          <w:iCs/>
        </w:rPr>
        <w:t>materiae</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228.</w:t>
      </w:r>
      <w:r w:rsidRPr="00981405">
        <w:tab/>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was</w:t>
      </w:r>
      <w:r w:rsidR="00190923" w:rsidRPr="00981405">
        <w:t xml:space="preserve"> </w:t>
      </w:r>
      <w:r w:rsidRPr="00981405">
        <w:t>found</w:t>
      </w:r>
      <w:r w:rsidR="00190923" w:rsidRPr="00981405">
        <w:t xml:space="preserve"> </w:t>
      </w:r>
      <w:r w:rsidRPr="00981405">
        <w:t>generally</w:t>
      </w:r>
      <w:r w:rsidR="00190923" w:rsidRPr="00981405">
        <w:t xml:space="preserve"> </w:t>
      </w:r>
      <w:r w:rsidRPr="00981405">
        <w:t>acceptable.</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paragraphs</w:t>
      </w:r>
      <w:r w:rsidR="00190923" w:rsidRPr="00981405">
        <w:t xml:space="preserve"> </w:t>
      </w:r>
      <w:r w:rsidRPr="00981405">
        <w:t>1</w:t>
      </w:r>
      <w:r w:rsidR="00190923" w:rsidRPr="00981405">
        <w:t xml:space="preserve"> </w:t>
      </w:r>
      <w:r w:rsidRPr="00981405">
        <w:t>and</w:t>
      </w:r>
      <w:r w:rsidR="00190923" w:rsidRPr="00981405">
        <w:t xml:space="preserve"> </w:t>
      </w:r>
      <w:r w:rsidRPr="00981405">
        <w:t>2</w:t>
      </w:r>
      <w:r w:rsidR="00190923" w:rsidRPr="00981405">
        <w:t xml:space="preserve"> </w:t>
      </w:r>
      <w:r w:rsidRPr="00981405">
        <w:t>be</w:t>
      </w:r>
      <w:r w:rsidR="00190923" w:rsidRPr="00981405">
        <w:t xml:space="preserve"> </w:t>
      </w:r>
      <w:r w:rsidRPr="00981405">
        <w:t>reformulated</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avoid</w:t>
      </w:r>
      <w:r w:rsidR="00190923" w:rsidRPr="00981405">
        <w:t xml:space="preserve"> </w:t>
      </w:r>
      <w:r w:rsidRPr="00981405">
        <w:t>the</w:t>
      </w:r>
      <w:r w:rsidR="00190923" w:rsidRPr="00981405">
        <w:t xml:space="preserve"> </w:t>
      </w:r>
      <w:r w:rsidRPr="00981405">
        <w:t>impression</w:t>
      </w:r>
      <w:r w:rsidR="00190923" w:rsidRPr="00981405">
        <w:t xml:space="preserve"> </w:t>
      </w:r>
      <w:r w:rsidRPr="00981405">
        <w:t>that</w:t>
      </w:r>
      <w:r w:rsidR="00190923" w:rsidRPr="00981405">
        <w:t xml:space="preserve"> </w:t>
      </w:r>
      <w:r w:rsidRPr="00981405">
        <w:t>it</w:t>
      </w:r>
      <w:r w:rsidR="00190923" w:rsidRPr="00981405">
        <w:t xml:space="preserve"> </w:t>
      </w:r>
      <w:r w:rsidRPr="00981405">
        <w:t>only</w:t>
      </w:r>
      <w:r w:rsidR="00190923" w:rsidRPr="00981405">
        <w:t xml:space="preserve"> </w:t>
      </w:r>
      <w:r w:rsidRPr="00981405">
        <w:t>covered</w:t>
      </w:r>
      <w:r w:rsidR="00190923" w:rsidRPr="00981405">
        <w:t xml:space="preserve"> </w:t>
      </w:r>
      <w:r w:rsidRPr="00981405">
        <w:t>elected</w:t>
      </w:r>
      <w:r w:rsidR="00190923" w:rsidRPr="00981405">
        <w:t xml:space="preserve"> </w:t>
      </w:r>
      <w:r w:rsidRPr="00981405">
        <w:t>officials.</w:t>
      </w:r>
      <w:r w:rsidR="00190923" w:rsidRPr="00981405">
        <w:t xml:space="preserve"> </w:t>
      </w:r>
      <w:r w:rsidRPr="00981405">
        <w:t>This</w:t>
      </w:r>
      <w:r w:rsidR="00190923" w:rsidRPr="00981405">
        <w:t xml:space="preserve"> </w:t>
      </w:r>
      <w:r w:rsidRPr="00981405">
        <w:t>could</w:t>
      </w:r>
      <w:r w:rsidR="00190923" w:rsidRPr="00981405">
        <w:t xml:space="preserve"> </w:t>
      </w:r>
      <w:r w:rsidRPr="00981405">
        <w:t>be</w:t>
      </w:r>
      <w:r w:rsidR="00190923" w:rsidRPr="00981405">
        <w:t xml:space="preserve"> </w:t>
      </w:r>
      <w:r w:rsidRPr="00981405">
        <w:t>done</w:t>
      </w:r>
      <w:r w:rsidR="00190923" w:rsidRPr="00981405">
        <w:t xml:space="preserve"> </w:t>
      </w:r>
      <w:r w:rsidRPr="00981405">
        <w:t>by</w:t>
      </w:r>
      <w:r w:rsidR="00190923" w:rsidRPr="00981405">
        <w:t xml:space="preserve"> </w:t>
      </w:r>
      <w:r w:rsidRPr="00981405">
        <w:t>employing</w:t>
      </w:r>
      <w:r w:rsidR="00190923" w:rsidRPr="00981405">
        <w:t xml:space="preserve"> </w:t>
      </w:r>
      <w:r w:rsidRPr="00981405">
        <w:t>the</w:t>
      </w:r>
      <w:r w:rsidR="00190923" w:rsidRPr="00981405">
        <w:t xml:space="preserve"> </w:t>
      </w:r>
      <w:r w:rsidRPr="00981405">
        <w:t>formulation</w:t>
      </w:r>
      <w:r w:rsidR="00190923" w:rsidRPr="00981405">
        <w:t xml:space="preserve"> </w:t>
      </w:r>
      <w:r w:rsidR="00B92E2C" w:rsidRPr="00981405">
        <w:t>“</w:t>
      </w:r>
      <w:r w:rsidRPr="00D97463">
        <w:rPr>
          <w:i/>
          <w:iCs/>
        </w:rPr>
        <w:t>while</w:t>
      </w:r>
      <w:r w:rsidR="00190923" w:rsidRPr="00981405">
        <w:rPr>
          <w:i/>
          <w:iCs/>
        </w:rPr>
        <w:t xml:space="preserve"> </w:t>
      </w:r>
      <w:r w:rsidRPr="00D97463">
        <w:rPr>
          <w:i/>
          <w:iCs/>
        </w:rPr>
        <w:t>they</w:t>
      </w:r>
      <w:r w:rsidR="00190923" w:rsidRPr="00981405">
        <w:rPr>
          <w:i/>
          <w:iCs/>
        </w:rPr>
        <w:t xml:space="preserve"> </w:t>
      </w:r>
      <w:r w:rsidRPr="00D97463">
        <w:rPr>
          <w:i/>
          <w:iCs/>
        </w:rPr>
        <w:t>are</w:t>
      </w:r>
      <w:r w:rsidR="00190923" w:rsidRPr="00981405">
        <w:rPr>
          <w:i/>
          <w:iCs/>
        </w:rPr>
        <w:t xml:space="preserve"> </w:t>
      </w:r>
      <w:r w:rsidRPr="00D97463">
        <w:rPr>
          <w:i/>
          <w:iCs/>
        </w:rPr>
        <w:t>representing</w:t>
      </w:r>
      <w:r w:rsidR="00190923" w:rsidRPr="00981405">
        <w:rPr>
          <w:i/>
          <w:iCs/>
        </w:rPr>
        <w:t xml:space="preserve"> </w:t>
      </w:r>
      <w:r w:rsidRPr="00D97463">
        <w:rPr>
          <w:i/>
          <w:iCs/>
        </w:rPr>
        <w:t>the</w:t>
      </w:r>
      <w:r w:rsidR="00190923" w:rsidRPr="00981405">
        <w:rPr>
          <w:i/>
          <w:iCs/>
        </w:rPr>
        <w:t xml:space="preserve"> </w:t>
      </w:r>
      <w:r w:rsidRPr="00D97463">
        <w:rPr>
          <w:i/>
          <w:iCs/>
        </w:rPr>
        <w:t>State</w:t>
      </w:r>
      <w:r w:rsidR="00190923" w:rsidRPr="00981405">
        <w:rPr>
          <w:i/>
          <w:iCs/>
        </w:rPr>
        <w:t xml:space="preserve"> </w:t>
      </w:r>
      <w:r w:rsidRPr="00D97463">
        <w:rPr>
          <w:i/>
          <w:iCs/>
        </w:rPr>
        <w:t>or</w:t>
      </w:r>
      <w:r w:rsidR="00190923" w:rsidRPr="00981405">
        <w:rPr>
          <w:i/>
          <w:iCs/>
        </w:rPr>
        <w:t xml:space="preserve"> </w:t>
      </w:r>
      <w:r w:rsidRPr="00D97463">
        <w:rPr>
          <w:i/>
          <w:iCs/>
        </w:rPr>
        <w:t>exercising</w:t>
      </w:r>
      <w:r w:rsidR="00190923" w:rsidRPr="00981405">
        <w:rPr>
          <w:i/>
          <w:iCs/>
        </w:rPr>
        <w:t xml:space="preserve"> </w:t>
      </w:r>
      <w:r w:rsidRPr="00D97463">
        <w:rPr>
          <w:i/>
          <w:iCs/>
        </w:rPr>
        <w:t>State</w:t>
      </w:r>
      <w:r w:rsidR="00190923" w:rsidRPr="00981405">
        <w:rPr>
          <w:i/>
          <w:iCs/>
        </w:rPr>
        <w:t xml:space="preserve"> </w:t>
      </w:r>
      <w:r w:rsidRPr="00D97463">
        <w:rPr>
          <w:i/>
          <w:iCs/>
        </w:rPr>
        <w:t>functions,</w:t>
      </w:r>
      <w:r w:rsidR="00190923" w:rsidRPr="00981405">
        <w:rPr>
          <w:i/>
          <w:iCs/>
        </w:rPr>
        <w:t xml:space="preserve"> </w:t>
      </w:r>
      <w:r w:rsidRPr="00D97463">
        <w:rPr>
          <w:i/>
          <w:iCs/>
        </w:rPr>
        <w:t>and</w:t>
      </w:r>
      <w:r w:rsidR="00190923" w:rsidRPr="00981405">
        <w:rPr>
          <w:i/>
          <w:iCs/>
        </w:rPr>
        <w:t xml:space="preserve"> </w:t>
      </w:r>
      <w:r w:rsidRPr="00D97463">
        <w:rPr>
          <w:i/>
          <w:iCs/>
        </w:rPr>
        <w:t>thereafter</w:t>
      </w:r>
      <w:r w:rsidR="00B92E2C" w:rsidRPr="00981405">
        <w:t>”</w:t>
      </w:r>
      <w:r w:rsidRPr="00981405">
        <w:t>.</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reversing</w:t>
      </w:r>
      <w:r w:rsidR="00190923" w:rsidRPr="00981405">
        <w:t xml:space="preserve"> </w:t>
      </w:r>
      <w:r w:rsidRPr="00981405">
        <w:t>the</w:t>
      </w:r>
      <w:r w:rsidR="00190923" w:rsidRPr="00981405">
        <w:t xml:space="preserve"> </w:t>
      </w:r>
      <w:r w:rsidRPr="00981405">
        <w:t>order</w:t>
      </w:r>
      <w:r w:rsidR="00190923" w:rsidRPr="00981405">
        <w:t xml:space="preserve"> </w:t>
      </w:r>
      <w:r w:rsidRPr="00981405">
        <w:t>in</w:t>
      </w:r>
      <w:r w:rsidR="00190923" w:rsidRPr="00981405">
        <w:t xml:space="preserve"> </w:t>
      </w:r>
      <w:r w:rsidRPr="00981405">
        <w:t>which</w:t>
      </w:r>
      <w:r w:rsidR="00190923" w:rsidRPr="00981405">
        <w:t xml:space="preserve"> </w:t>
      </w:r>
      <w:r w:rsidRPr="00981405">
        <w:t>paragraphs</w:t>
      </w:r>
      <w:r w:rsidR="00190923" w:rsidRPr="00981405">
        <w:t xml:space="preserve"> </w:t>
      </w:r>
      <w:r w:rsidRPr="00981405">
        <w:t>1</w:t>
      </w:r>
      <w:r w:rsidR="00190923" w:rsidRPr="00981405">
        <w:t xml:space="preserve"> </w:t>
      </w:r>
      <w:r w:rsidRPr="00981405">
        <w:t>and</w:t>
      </w:r>
      <w:r w:rsidR="00190923" w:rsidRPr="00981405">
        <w:t xml:space="preserve"> </w:t>
      </w:r>
      <w:r w:rsidRPr="00981405">
        <w:t>2</w:t>
      </w:r>
      <w:r w:rsidR="00190923" w:rsidRPr="00981405">
        <w:t xml:space="preserve"> </w:t>
      </w:r>
      <w:r w:rsidRPr="00981405">
        <w:t>appeared</w:t>
      </w:r>
      <w:r w:rsidR="00190923" w:rsidRPr="00981405">
        <w:t xml:space="preserve"> </w:t>
      </w:r>
      <w:r w:rsidRPr="00981405">
        <w:t>was</w:t>
      </w:r>
      <w:r w:rsidR="00190923" w:rsidRPr="00981405">
        <w:t xml:space="preserve"> </w:t>
      </w:r>
      <w:r w:rsidRPr="00981405">
        <w:t>also</w:t>
      </w:r>
      <w:r w:rsidR="00190923" w:rsidRPr="00981405">
        <w:t xml:space="preserve"> </w:t>
      </w:r>
      <w:r w:rsidRPr="00981405">
        <w:t>raised</w:t>
      </w:r>
      <w:r w:rsidR="00190923" w:rsidRPr="00981405">
        <w:t xml:space="preserve"> </w:t>
      </w:r>
      <w:r w:rsidRPr="00981405">
        <w:t>as</w:t>
      </w:r>
      <w:r w:rsidR="00190923" w:rsidRPr="00981405">
        <w:t xml:space="preserve"> </w:t>
      </w:r>
      <w:r w:rsidRPr="00981405">
        <w:t>this</w:t>
      </w:r>
      <w:r w:rsidR="00190923" w:rsidRPr="00981405">
        <w:t xml:space="preserve"> </w:t>
      </w:r>
      <w:r w:rsidRPr="00981405">
        <w:t>would</w:t>
      </w:r>
      <w:r w:rsidR="00190923" w:rsidRPr="00981405">
        <w:t xml:space="preserve"> </w:t>
      </w:r>
      <w:r w:rsidRPr="00981405">
        <w:t>clearly</w:t>
      </w:r>
      <w:r w:rsidR="00190923" w:rsidRPr="00981405">
        <w:t xml:space="preserve"> </w:t>
      </w:r>
      <w:r w:rsidRPr="00981405">
        <w:t>distinguish</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from</w:t>
      </w:r>
      <w:r w:rsidR="00190923" w:rsidRPr="00981405">
        <w:t xml:space="preserve"> </w:t>
      </w:r>
      <w:r w:rsidRPr="00981405">
        <w:t>immunity</w:t>
      </w:r>
      <w:r w:rsidR="00190923" w:rsidRPr="00981405">
        <w:t xml:space="preserve"> </w:t>
      </w:r>
      <w:r w:rsidR="00B247C2" w:rsidRPr="00981405">
        <w:rPr>
          <w:i/>
          <w:iCs/>
        </w:rPr>
        <w:t>ratione</w:t>
      </w:r>
      <w:r w:rsidR="00190923" w:rsidRPr="00981405">
        <w:rPr>
          <w:i/>
          <w:iCs/>
        </w:rPr>
        <w:t xml:space="preserve"> </w:t>
      </w:r>
      <w:r w:rsidR="00B247C2" w:rsidRPr="00981405">
        <w:rPr>
          <w:i/>
          <w:iCs/>
        </w:rPr>
        <w:t>personae</w:t>
      </w:r>
      <w:r w:rsidRPr="00981405">
        <w:t>.</w:t>
      </w:r>
      <w:r w:rsidR="00190923" w:rsidRPr="00981405">
        <w:t xml:space="preserve"> </w:t>
      </w:r>
      <w:r w:rsidRPr="00981405">
        <w:t>The</w:t>
      </w:r>
      <w:r w:rsidR="00190923" w:rsidRPr="00981405">
        <w:t xml:space="preserve"> </w:t>
      </w:r>
      <w:r w:rsidRPr="00981405">
        <w:t>point</w:t>
      </w:r>
      <w:r w:rsidR="00190923" w:rsidRPr="00981405">
        <w:t xml:space="preserve"> </w:t>
      </w:r>
      <w:r w:rsidRPr="00981405">
        <w:t>was</w:t>
      </w:r>
      <w:r w:rsidR="00190923" w:rsidRPr="00981405">
        <w:t xml:space="preserve"> </w:t>
      </w:r>
      <w:r w:rsidRPr="00981405">
        <w:t>also</w:t>
      </w:r>
      <w:r w:rsidR="00190923" w:rsidRPr="00981405">
        <w:t xml:space="preserve"> </w:t>
      </w:r>
      <w:r w:rsidRPr="00981405">
        <w:t>made</w:t>
      </w:r>
      <w:r w:rsidR="00190923" w:rsidRPr="00981405">
        <w:t xml:space="preserve"> </w:t>
      </w:r>
      <w:r w:rsidRPr="00981405">
        <w:t>that</w:t>
      </w:r>
      <w:r w:rsidR="00190923" w:rsidRPr="00981405">
        <w:t xml:space="preserve"> </w:t>
      </w:r>
      <w:r w:rsidRPr="00981405">
        <w:t>while</w:t>
      </w:r>
      <w:r w:rsidR="00190923" w:rsidRPr="00981405">
        <w:t xml:space="preserve"> </w:t>
      </w:r>
      <w:r w:rsidRPr="00981405">
        <w:t>draft</w:t>
      </w:r>
      <w:r w:rsidR="00190923" w:rsidRPr="00981405">
        <w:t xml:space="preserve"> </w:t>
      </w:r>
      <w:r w:rsidRPr="00981405">
        <w:t>paragraph</w:t>
      </w:r>
      <w:r w:rsidR="00190923" w:rsidRPr="00981405">
        <w:t xml:space="preserve"> </w:t>
      </w:r>
      <w:r w:rsidRPr="00981405">
        <w:t>2</w:t>
      </w:r>
      <w:r w:rsidR="00190923" w:rsidRPr="00981405">
        <w:t xml:space="preserve"> </w:t>
      </w:r>
      <w:r w:rsidRPr="00981405">
        <w:t>was</w:t>
      </w:r>
      <w:r w:rsidR="00190923" w:rsidRPr="00981405">
        <w:t xml:space="preserve"> </w:t>
      </w:r>
      <w:r w:rsidRPr="00981405">
        <w:t>acceptable</w:t>
      </w:r>
      <w:r w:rsidR="00190923" w:rsidRPr="00981405">
        <w:t xml:space="preserve"> </w:t>
      </w:r>
      <w:r w:rsidRPr="00981405">
        <w:t>its</w:t>
      </w:r>
      <w:r w:rsidR="00190923" w:rsidRPr="00981405">
        <w:t xml:space="preserve"> </w:t>
      </w:r>
      <w:r w:rsidRPr="00981405">
        <w:t>acceptance</w:t>
      </w:r>
      <w:r w:rsidR="00190923" w:rsidRPr="00981405">
        <w:t xml:space="preserve"> </w:t>
      </w:r>
      <w:r w:rsidRPr="00981405">
        <w:t>does</w:t>
      </w:r>
      <w:r w:rsidR="00190923" w:rsidRPr="00981405">
        <w:t xml:space="preserve"> </w:t>
      </w:r>
      <w:r w:rsidRPr="00981405">
        <w:t>not</w:t>
      </w:r>
      <w:r w:rsidR="00190923" w:rsidRPr="00981405">
        <w:t xml:space="preserve"> </w:t>
      </w:r>
      <w:r w:rsidRPr="00981405">
        <w:t>prejudge</w:t>
      </w:r>
      <w:r w:rsidR="00190923" w:rsidRPr="00981405">
        <w:t xml:space="preserve"> </w:t>
      </w:r>
      <w:r w:rsidRPr="00981405">
        <w:t>or</w:t>
      </w:r>
      <w:r w:rsidR="00190923" w:rsidRPr="00981405">
        <w:t xml:space="preserve"> </w:t>
      </w:r>
      <w:r w:rsidRPr="00981405">
        <w:t>prejudice</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possible</w:t>
      </w:r>
      <w:r w:rsidR="00190923" w:rsidRPr="00981405">
        <w:t xml:space="preserve"> </w:t>
      </w:r>
      <w:r w:rsidRPr="00981405">
        <w:t>exceptions.</w:t>
      </w:r>
    </w:p>
    <w:p w:rsidR="00397032" w:rsidRPr="00981405" w:rsidRDefault="00397032" w:rsidP="00D97463">
      <w:pPr>
        <w:pStyle w:val="SingleTxt"/>
      </w:pPr>
      <w:r w:rsidRPr="00981405">
        <w:t>229.</w:t>
      </w:r>
      <w:r w:rsidRPr="00981405">
        <w:tab/>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paragraph</w:t>
      </w:r>
      <w:r w:rsidR="00190923" w:rsidRPr="00981405">
        <w:t xml:space="preserve"> </w:t>
      </w:r>
      <w:r w:rsidRPr="00981405">
        <w:t>3</w:t>
      </w:r>
      <w:r w:rsidR="00190923" w:rsidRPr="00981405">
        <w:t xml:space="preserve"> </w:t>
      </w:r>
      <w:r w:rsidRPr="00981405">
        <w:t>was</w:t>
      </w:r>
      <w:r w:rsidR="00190923" w:rsidRPr="00981405">
        <w:t xml:space="preserve"> </w:t>
      </w:r>
      <w:r w:rsidRPr="00981405">
        <w:t>superfluous</w:t>
      </w:r>
      <w:r w:rsidR="00190923" w:rsidRPr="00981405">
        <w:t xml:space="preserve"> </w:t>
      </w:r>
      <w:r w:rsidRPr="00981405">
        <w:t>as</w:t>
      </w:r>
      <w:r w:rsidR="00190923" w:rsidRPr="00981405">
        <w:t xml:space="preserve"> </w:t>
      </w:r>
      <w:r w:rsidRPr="00981405">
        <w:t>it</w:t>
      </w:r>
      <w:r w:rsidR="00190923" w:rsidRPr="00981405">
        <w:t xml:space="preserve"> </w:t>
      </w:r>
      <w:r w:rsidRPr="00981405">
        <w:t>stated</w:t>
      </w:r>
      <w:r w:rsidR="00190923" w:rsidRPr="00981405">
        <w:t xml:space="preserve"> </w:t>
      </w:r>
      <w:r w:rsidRPr="00981405">
        <w:t>an</w:t>
      </w:r>
      <w:r w:rsidR="00190923" w:rsidRPr="00981405">
        <w:t xml:space="preserve"> </w:t>
      </w:r>
      <w:r w:rsidRPr="00981405">
        <w:t>aspect</w:t>
      </w:r>
      <w:r w:rsidR="00190923" w:rsidRPr="00981405">
        <w:t xml:space="preserve"> </w:t>
      </w:r>
      <w:r w:rsidRPr="00981405">
        <w:t>already</w:t>
      </w:r>
      <w:r w:rsidR="00190923" w:rsidRPr="00981405">
        <w:t xml:space="preserve"> </w:t>
      </w:r>
      <w:r w:rsidRPr="00981405">
        <w:t>covered</w:t>
      </w:r>
      <w:r w:rsidR="00190923" w:rsidRPr="00981405">
        <w:t xml:space="preserve"> </w:t>
      </w:r>
      <w:r w:rsidRPr="00981405">
        <w:t>by</w:t>
      </w:r>
      <w:r w:rsidR="00190923" w:rsidRPr="00981405">
        <w:t xml:space="preserve"> </w:t>
      </w:r>
      <w:r w:rsidRPr="00981405">
        <w:t>paragraph</w:t>
      </w:r>
      <w:r w:rsidR="00190923" w:rsidRPr="00981405">
        <w:t xml:space="preserve"> </w:t>
      </w:r>
      <w:r w:rsidRPr="00981405">
        <w:t>3</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and</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thereto</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2013.</w:t>
      </w:r>
      <w:r w:rsidR="00190923" w:rsidRPr="00981405">
        <w:t xml:space="preserve"> </w:t>
      </w:r>
      <w:r w:rsidRPr="00981405">
        <w:t>It</w:t>
      </w:r>
      <w:r w:rsidR="00190923" w:rsidRPr="00981405">
        <w:t xml:space="preserve"> </w:t>
      </w:r>
      <w:r w:rsidRPr="00981405">
        <w:t>ought</w:t>
      </w:r>
      <w:r w:rsidR="00190923" w:rsidRPr="00981405">
        <w:t xml:space="preserve"> </w:t>
      </w:r>
      <w:r w:rsidRPr="00981405">
        <w:t>to</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but</w:t>
      </w:r>
      <w:r w:rsidR="00190923" w:rsidRPr="00981405">
        <w:t xml:space="preserve"> </w:t>
      </w:r>
      <w:r w:rsidRPr="00981405">
        <w:t>if,</w:t>
      </w:r>
      <w:r w:rsidR="00190923" w:rsidRPr="00981405">
        <w:t xml:space="preserve"> </w:t>
      </w:r>
      <w:r w:rsidRPr="00981405">
        <w:t>retained,</w:t>
      </w:r>
      <w:r w:rsidR="00190923" w:rsidRPr="00981405">
        <w:t xml:space="preserve"> </w:t>
      </w:r>
      <w:r w:rsidRPr="00981405">
        <w:t>there</w:t>
      </w:r>
      <w:r w:rsidR="00190923" w:rsidRPr="00981405">
        <w:t xml:space="preserve"> </w:t>
      </w:r>
      <w:r w:rsidRPr="00981405">
        <w:t>was</w:t>
      </w:r>
      <w:r w:rsidR="00190923" w:rsidRPr="00981405">
        <w:t xml:space="preserve"> </w:t>
      </w:r>
      <w:r w:rsidRPr="00981405">
        <w:t>need</w:t>
      </w:r>
      <w:r w:rsidR="00190923" w:rsidRPr="00981405">
        <w:t xml:space="preserve"> </w:t>
      </w:r>
      <w:r w:rsidRPr="00981405">
        <w:t>to</w:t>
      </w:r>
      <w:r w:rsidR="00190923" w:rsidRPr="00981405">
        <w:t xml:space="preserve"> </w:t>
      </w:r>
      <w:r w:rsidRPr="00981405">
        <w:t>delete</w:t>
      </w:r>
      <w:r w:rsidR="00190923" w:rsidRPr="00981405">
        <w:t xml:space="preserve"> </w:t>
      </w:r>
      <w:r w:rsidRPr="00981405">
        <w:t>the</w:t>
      </w:r>
      <w:r w:rsidR="00190923" w:rsidRPr="00981405">
        <w:t xml:space="preserve"> </w:t>
      </w:r>
      <w:r w:rsidRPr="00981405">
        <w:t>word</w:t>
      </w:r>
      <w:r w:rsidR="00190923" w:rsidRPr="00981405">
        <w:t xml:space="preserve"> </w:t>
      </w:r>
      <w:r w:rsidR="00B92E2C" w:rsidRPr="00981405">
        <w:t>“</w:t>
      </w:r>
      <w:r w:rsidRPr="00981405">
        <w:t>former</w:t>
      </w:r>
      <w:r w:rsidR="00B92E2C" w:rsidRPr="00981405">
        <w:t>”</w:t>
      </w:r>
      <w:r w:rsidR="00190923" w:rsidRPr="00981405">
        <w:t xml:space="preserve"> </w:t>
      </w:r>
      <w:r w:rsidRPr="00981405">
        <w:t>as</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00190923" w:rsidRPr="00981405">
        <w:t xml:space="preserve"> </w:t>
      </w:r>
      <w:r w:rsidRPr="00981405">
        <w:t>also</w:t>
      </w:r>
      <w:r w:rsidR="00190923" w:rsidRPr="00981405">
        <w:t xml:space="preserve"> </w:t>
      </w:r>
      <w:r w:rsidRPr="00981405">
        <w:t>covered</w:t>
      </w:r>
      <w:r w:rsidR="00190923" w:rsidRPr="00981405">
        <w:t xml:space="preserve"> </w:t>
      </w:r>
      <w:r w:rsidRPr="00981405">
        <w:t>Heads</w:t>
      </w:r>
      <w:r w:rsidR="00190923" w:rsidRPr="00981405">
        <w:t xml:space="preserve"> </w:t>
      </w:r>
      <w:r w:rsidRPr="00981405">
        <w:t>of</w:t>
      </w:r>
      <w:r w:rsidR="00190923" w:rsidRPr="00981405">
        <w:t xml:space="preserve"> </w:t>
      </w:r>
      <w:r w:rsidRPr="00981405">
        <w:t>State,</w:t>
      </w:r>
      <w:r w:rsidR="00190923" w:rsidRPr="00981405">
        <w:t xml:space="preserve"> </w:t>
      </w:r>
      <w:r w:rsidRPr="00981405">
        <w:t>Heads</w:t>
      </w:r>
      <w:r w:rsidR="00190923" w:rsidRPr="00981405">
        <w:t xml:space="preserve"> </w:t>
      </w:r>
      <w:r w:rsidRPr="00981405">
        <w:t>of</w:t>
      </w:r>
      <w:r w:rsidR="00190923" w:rsidRPr="00981405">
        <w:t xml:space="preserve"> </w:t>
      </w:r>
      <w:r w:rsidRPr="00981405">
        <w:t>Government</w:t>
      </w:r>
      <w:r w:rsidR="00190923" w:rsidRPr="00981405">
        <w:t xml:space="preserve"> </w:t>
      </w:r>
      <w:r w:rsidRPr="00981405">
        <w:t>and</w:t>
      </w:r>
      <w:r w:rsidR="00190923" w:rsidRPr="00981405">
        <w:t xml:space="preserve"> </w:t>
      </w:r>
      <w:r w:rsidRPr="00981405">
        <w:t>Ministers</w:t>
      </w:r>
      <w:r w:rsidR="00190923" w:rsidRPr="00981405">
        <w:t xml:space="preserve"> </w:t>
      </w:r>
      <w:r w:rsidRPr="00981405">
        <w:t>for</w:t>
      </w:r>
      <w:r w:rsidR="00190923" w:rsidRPr="00981405">
        <w:t xml:space="preserve"> </w:t>
      </w:r>
      <w:r w:rsidRPr="00981405">
        <w:t>Foreign</w:t>
      </w:r>
      <w:r w:rsidR="00190923" w:rsidRPr="00981405">
        <w:t xml:space="preserve"> </w:t>
      </w:r>
      <w:r w:rsidRPr="00981405">
        <w:t>Affairs</w:t>
      </w:r>
      <w:r w:rsidR="00190923" w:rsidRPr="00981405">
        <w:t xml:space="preserve"> </w:t>
      </w:r>
      <w:r w:rsidRPr="00981405">
        <w:t>while</w:t>
      </w:r>
      <w:r w:rsidR="00190923" w:rsidRPr="00981405">
        <w:t xml:space="preserve"> </w:t>
      </w:r>
      <w:r w:rsidRPr="00981405">
        <w:t>in</w:t>
      </w:r>
      <w:r w:rsidR="00190923" w:rsidRPr="00981405">
        <w:t xml:space="preserve"> </w:t>
      </w:r>
      <w:r w:rsidRPr="00981405">
        <w:t>office.</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60" w:name="_Toc427938148"/>
      <w:r w:rsidRPr="00D97463">
        <w:t>(e)</w:t>
      </w:r>
      <w:r w:rsidRPr="00D97463">
        <w:tab/>
        <w:t>Future</w:t>
      </w:r>
      <w:r w:rsidR="00190923" w:rsidRPr="00D97463">
        <w:t xml:space="preserve"> </w:t>
      </w:r>
      <w:r w:rsidRPr="00D97463">
        <w:t>workplan</w:t>
      </w:r>
      <w:bookmarkEnd w:id="16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230.</w:t>
      </w:r>
      <w:r w:rsidRPr="00981405">
        <w:tab/>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to</w:t>
      </w:r>
      <w:r w:rsidR="00190923" w:rsidRPr="00981405">
        <w:t xml:space="preserve"> </w:t>
      </w:r>
      <w:r w:rsidRPr="00981405">
        <w:t>immunity</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a</w:t>
      </w:r>
      <w:r w:rsidR="00190923" w:rsidRPr="00981405">
        <w:t xml:space="preserve"> </w:t>
      </w:r>
      <w:r w:rsidRPr="00981405">
        <w:t>key</w:t>
      </w:r>
      <w:r w:rsidR="00190923" w:rsidRPr="00981405">
        <w:t xml:space="preserve"> </w:t>
      </w:r>
      <w:r w:rsidRPr="00981405">
        <w:t>aspect</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this</w:t>
      </w:r>
      <w:r w:rsidR="00190923" w:rsidRPr="00981405">
        <w:t xml:space="preserve"> </w:t>
      </w:r>
      <w:r w:rsidRPr="00981405">
        <w:t>respect,</w:t>
      </w:r>
      <w:r w:rsidR="00190923" w:rsidRPr="00981405">
        <w:t xml:space="preserve"> </w:t>
      </w:r>
      <w:r w:rsidRPr="00981405">
        <w:t>some</w:t>
      </w:r>
      <w:r w:rsidR="00190923" w:rsidRPr="00981405">
        <w:t xml:space="preserve"> </w:t>
      </w:r>
      <w:r w:rsidRPr="00981405">
        <w:t>members</w:t>
      </w:r>
      <w:r w:rsidR="00190923" w:rsidRPr="00981405">
        <w:t xml:space="preserve"> </w:t>
      </w:r>
      <w:r w:rsidRPr="00981405">
        <w:t>stressed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a</w:t>
      </w:r>
      <w:r w:rsidR="00190923" w:rsidRPr="00981405">
        <w:t xml:space="preserve"> </w:t>
      </w:r>
      <w:r w:rsidRPr="00981405">
        <w:t>thorough</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comments</w:t>
      </w:r>
      <w:r w:rsidR="00190923" w:rsidRPr="00981405">
        <w:t xml:space="preserve"> </w:t>
      </w:r>
      <w:r w:rsidRPr="00981405">
        <w:t>received</w:t>
      </w:r>
      <w:r w:rsidR="00190923" w:rsidRPr="00981405">
        <w:t xml:space="preserve"> </w:t>
      </w:r>
      <w:r w:rsidRPr="00981405">
        <w:t>from</w:t>
      </w:r>
      <w:r w:rsidR="00190923" w:rsidRPr="00981405">
        <w:t xml:space="preserve"> </w:t>
      </w:r>
      <w:r w:rsidRPr="00981405">
        <w:t>Governments,</w:t>
      </w:r>
      <w:r w:rsidR="00190923" w:rsidRPr="00981405">
        <w:t xml:space="preserve"> </w:t>
      </w:r>
      <w:r w:rsidRPr="00981405">
        <w:t>not</w:t>
      </w:r>
      <w:r w:rsidR="00190923" w:rsidRPr="00981405">
        <w:t xml:space="preserve"> </w:t>
      </w:r>
      <w:r w:rsidRPr="00981405">
        <w:t>only</w:t>
      </w:r>
      <w:r w:rsidR="00190923" w:rsidRPr="00981405">
        <w:t xml:space="preserve"> </w:t>
      </w:r>
      <w:r w:rsidRPr="00981405">
        <w:t>for</w:t>
      </w:r>
      <w:r w:rsidR="00190923" w:rsidRPr="00981405">
        <w:t xml:space="preserve"> </w:t>
      </w:r>
      <w:r w:rsidRPr="00981405">
        <w:t>the</w:t>
      </w:r>
      <w:r w:rsidR="00190923" w:rsidRPr="00981405">
        <w:t xml:space="preserve"> </w:t>
      </w:r>
      <w:r w:rsidRPr="00981405">
        <w:t>evidence</w:t>
      </w:r>
      <w:r w:rsidR="00190923" w:rsidRPr="00981405">
        <w:t xml:space="preserve"> </w:t>
      </w:r>
      <w:r w:rsidRPr="00981405">
        <w:t>of</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but</w:t>
      </w:r>
      <w:r w:rsidR="00190923" w:rsidRPr="00981405">
        <w:t xml:space="preserve"> </w:t>
      </w:r>
      <w:r w:rsidRPr="00981405">
        <w:t>also</w:t>
      </w:r>
      <w:r w:rsidR="00190923" w:rsidRPr="00981405">
        <w:t xml:space="preserve"> </w:t>
      </w:r>
      <w:r w:rsidRPr="00981405">
        <w:t>for</w:t>
      </w:r>
      <w:r w:rsidR="00190923" w:rsidRPr="00981405">
        <w:t xml:space="preserve"> </w:t>
      </w:r>
      <w:r w:rsidRPr="00981405">
        <w:t>the</w:t>
      </w:r>
      <w:r w:rsidR="00190923" w:rsidRPr="00981405">
        <w:t xml:space="preserve"> </w:t>
      </w:r>
      <w:r w:rsidRPr="00981405">
        <w:t>nuance</w:t>
      </w:r>
      <w:r w:rsidR="00190923" w:rsidRPr="00981405">
        <w:t xml:space="preserve"> </w:t>
      </w:r>
      <w:r w:rsidRPr="00981405">
        <w:t>in</w:t>
      </w:r>
      <w:r w:rsidR="00190923" w:rsidRPr="00981405">
        <w:t xml:space="preserve"> </w:t>
      </w:r>
      <w:r w:rsidRPr="00981405">
        <w:t>the</w:t>
      </w:r>
      <w:r w:rsidR="00190923" w:rsidRPr="00981405">
        <w:t xml:space="preserve"> </w:t>
      </w:r>
      <w:r w:rsidRPr="00981405">
        <w:t>positions</w:t>
      </w:r>
      <w:r w:rsidR="00190923" w:rsidRPr="00981405">
        <w:t xml:space="preserve"> </w:t>
      </w:r>
      <w:r w:rsidRPr="00981405">
        <w:t>taken,</w:t>
      </w:r>
      <w:r w:rsidR="00190923" w:rsidRPr="00981405">
        <w:t xml:space="preserve"> </w:t>
      </w:r>
      <w:r w:rsidRPr="00981405">
        <w:t>including</w:t>
      </w:r>
      <w:r w:rsidR="00190923" w:rsidRPr="00981405">
        <w:t xml:space="preserve"> </w:t>
      </w:r>
      <w:r w:rsidRPr="00981405">
        <w:t>whether</w:t>
      </w:r>
      <w:r w:rsidR="00190923" w:rsidRPr="00981405">
        <w:t xml:space="preserve"> </w:t>
      </w:r>
      <w:r w:rsidRPr="00981405">
        <w:t>they</w:t>
      </w:r>
      <w:r w:rsidR="00190923" w:rsidRPr="00981405">
        <w:t xml:space="preserve"> </w:t>
      </w:r>
      <w:r w:rsidRPr="00981405">
        <w:t>viewed</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generally</w:t>
      </w:r>
      <w:r w:rsidR="00190923" w:rsidRPr="00981405">
        <w:t xml:space="preserve"> </w:t>
      </w:r>
      <w:r w:rsidRPr="00981405">
        <w:t>in</w:t>
      </w:r>
      <w:r w:rsidR="00190923" w:rsidRPr="00981405">
        <w:t xml:space="preserve"> </w:t>
      </w:r>
      <w:r w:rsidRPr="00981405">
        <w:t>this</w:t>
      </w:r>
      <w:r w:rsidR="00190923" w:rsidRPr="00981405">
        <w:t xml:space="preserve"> </w:t>
      </w:r>
      <w:r w:rsidRPr="00981405">
        <w:t>area</w:t>
      </w:r>
      <w:r w:rsidR="00190923" w:rsidRPr="00981405">
        <w:t xml:space="preserve"> </w:t>
      </w:r>
      <w:r w:rsidRPr="00981405">
        <w:t>as</w:t>
      </w:r>
      <w:r w:rsidR="00190923" w:rsidRPr="00981405">
        <w:t xml:space="preserve"> </w:t>
      </w:r>
      <w:r w:rsidRPr="00981405">
        <w:t>being</w:t>
      </w:r>
      <w:r w:rsidR="00190923" w:rsidRPr="00981405">
        <w:t xml:space="preserve"> </w:t>
      </w:r>
      <w:r w:rsidRPr="00981405">
        <w:t>settled.</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regretted</w:t>
      </w:r>
      <w:r w:rsidR="00190923" w:rsidRPr="00981405">
        <w:t xml:space="preserve"> </w:t>
      </w:r>
      <w:r w:rsidRPr="00981405">
        <w:t>that</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to</w:t>
      </w:r>
      <w:r w:rsidR="00190923" w:rsidRPr="00981405">
        <w:t xml:space="preserve"> </w:t>
      </w:r>
      <w:r w:rsidRPr="00981405">
        <w:t>immunity</w:t>
      </w:r>
      <w:r w:rsidR="00190923" w:rsidRPr="00981405">
        <w:t xml:space="preserve"> </w:t>
      </w:r>
      <w:r w:rsidRPr="00981405">
        <w:t>would</w:t>
      </w:r>
      <w:r w:rsidR="00190923" w:rsidRPr="00981405">
        <w:t xml:space="preserve"> </w:t>
      </w:r>
      <w:r w:rsidRPr="00981405">
        <w:t>only</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2016,</w:t>
      </w:r>
      <w:r w:rsidR="00190923" w:rsidRPr="00981405">
        <w:t xml:space="preserve"> </w:t>
      </w:r>
      <w:r w:rsidRPr="00981405">
        <w:t>even</w:t>
      </w:r>
      <w:r w:rsidR="00190923" w:rsidRPr="00981405">
        <w:t xml:space="preserve"> </w:t>
      </w:r>
      <w:r w:rsidRPr="00981405">
        <w:t>though</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often</w:t>
      </w:r>
      <w:r w:rsidR="00190923" w:rsidRPr="00981405">
        <w:t xml:space="preserve"> </w:t>
      </w:r>
      <w:r w:rsidRPr="00981405">
        <w:t>mentioned</w:t>
      </w:r>
      <w:r w:rsidR="00190923" w:rsidRPr="00981405">
        <w:t xml:space="preserve"> </w:t>
      </w:r>
      <w:r w:rsidRPr="00981405">
        <w:t>in</w:t>
      </w:r>
      <w:r w:rsidR="00190923" w:rsidRPr="00981405">
        <w:t xml:space="preserve"> </w:t>
      </w:r>
      <w:r w:rsidRPr="00981405">
        <w:t>previous</w:t>
      </w:r>
      <w:r w:rsidR="00190923" w:rsidRPr="00981405">
        <w:t xml:space="preserve"> </w:t>
      </w:r>
      <w:r w:rsidRPr="00981405">
        <w:t>reports</w:t>
      </w:r>
      <w:r w:rsidR="00190923" w:rsidRPr="00981405">
        <w:t xml:space="preserve"> </w:t>
      </w:r>
      <w:r w:rsidRPr="00981405">
        <w:t>with</w:t>
      </w:r>
      <w:r w:rsidR="00190923" w:rsidRPr="00981405">
        <w:t xml:space="preserve"> </w:t>
      </w:r>
      <w:r w:rsidRPr="00981405">
        <w:t>little</w:t>
      </w:r>
      <w:r w:rsidR="00190923" w:rsidRPr="00981405">
        <w:t xml:space="preserve"> </w:t>
      </w:r>
      <w:r w:rsidRPr="00981405">
        <w:t>discussion.</w:t>
      </w:r>
    </w:p>
    <w:p w:rsidR="00397032" w:rsidRPr="00981405" w:rsidRDefault="00397032" w:rsidP="00D97463">
      <w:pPr>
        <w:pStyle w:val="SingleTxt"/>
      </w:pPr>
      <w:r w:rsidRPr="00981405">
        <w:t>231.</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was</w:t>
      </w:r>
      <w:r w:rsidR="00190923" w:rsidRPr="00981405">
        <w:t xml:space="preserve"> </w:t>
      </w:r>
      <w:r w:rsidRPr="00981405">
        <w:t>encouraged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to</w:t>
      </w:r>
      <w:r w:rsidR="00190923" w:rsidRPr="00981405">
        <w:t xml:space="preserve"> </w:t>
      </w:r>
      <w:r w:rsidRPr="00981405">
        <w:t>address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together</w:t>
      </w:r>
      <w:r w:rsidR="00190923" w:rsidRPr="00981405">
        <w:t xml:space="preserve"> </w:t>
      </w:r>
      <w:r w:rsidRPr="00981405">
        <w:t>with</w:t>
      </w:r>
      <w:r w:rsidR="00190923" w:rsidRPr="00981405">
        <w:t xml:space="preserve"> </w:t>
      </w:r>
      <w:r w:rsidRPr="00981405">
        <w:t>questions</w:t>
      </w:r>
      <w:r w:rsidR="00190923" w:rsidRPr="00981405">
        <w:t xml:space="preserve"> </w:t>
      </w:r>
      <w:r w:rsidRPr="00981405">
        <w:t>of</w:t>
      </w:r>
      <w:r w:rsidR="00190923" w:rsidRPr="00981405">
        <w:t xml:space="preserve"> </w:t>
      </w:r>
      <w:r w:rsidRPr="00981405">
        <w:t>procedure</w:t>
      </w:r>
      <w:r w:rsidR="00190923" w:rsidRPr="00981405">
        <w:t xml:space="preserve"> </w:t>
      </w:r>
      <w:r w:rsidRPr="00981405">
        <w:t>not</w:t>
      </w:r>
      <w:r w:rsidR="00190923" w:rsidRPr="00981405">
        <w:t xml:space="preserve"> </w:t>
      </w:r>
      <w:r w:rsidRPr="00981405">
        <w:t>only</w:t>
      </w:r>
      <w:r w:rsidR="00190923" w:rsidRPr="00981405">
        <w:t xml:space="preserve"> </w:t>
      </w:r>
      <w:r w:rsidRPr="00981405">
        <w:t>because</w:t>
      </w:r>
      <w:r w:rsidR="00190923" w:rsidRPr="00981405">
        <w:t xml:space="preserve"> </w:t>
      </w:r>
      <w:r w:rsidRPr="00981405">
        <w:t>the</w:t>
      </w:r>
      <w:r w:rsidR="00190923" w:rsidRPr="00981405">
        <w:t xml:space="preserve"> </w:t>
      </w:r>
      <w:r w:rsidRPr="00981405">
        <w:t>two</w:t>
      </w:r>
      <w:r w:rsidR="00190923" w:rsidRPr="00981405">
        <w:t xml:space="preserve"> </w:t>
      </w:r>
      <w:r w:rsidRPr="00981405">
        <w:t>aspects</w:t>
      </w:r>
      <w:r w:rsidR="00190923" w:rsidRPr="00981405">
        <w:t xml:space="preserve"> </w:t>
      </w:r>
      <w:r w:rsidRPr="00981405">
        <w:t>were</w:t>
      </w:r>
      <w:r w:rsidR="00190923" w:rsidRPr="00981405">
        <w:t xml:space="preserve"> </w:t>
      </w:r>
      <w:r w:rsidRPr="00981405">
        <w:t>inter-related</w:t>
      </w:r>
      <w:r w:rsidR="00190923" w:rsidRPr="00981405">
        <w:t xml:space="preserve"> </w:t>
      </w:r>
      <w:r w:rsidRPr="00981405">
        <w:t>but</w:t>
      </w:r>
      <w:r w:rsidR="00190923" w:rsidRPr="00981405">
        <w:t xml:space="preserve"> </w:t>
      </w:r>
      <w:r w:rsidRPr="00981405">
        <w:t>also</w:t>
      </w:r>
      <w:r w:rsidR="00190923" w:rsidRPr="00981405">
        <w:t xml:space="preserve"> </w:t>
      </w:r>
      <w:r w:rsidRPr="00981405">
        <w:t>because</w:t>
      </w:r>
      <w:r w:rsidR="00190923" w:rsidRPr="00981405">
        <w:t xml:space="preserve"> </w:t>
      </w:r>
      <w:r w:rsidRPr="00981405">
        <w:t>to</w:t>
      </w:r>
      <w:r w:rsidR="00190923" w:rsidRPr="00981405">
        <w:t xml:space="preserve"> </w:t>
      </w:r>
      <w:r w:rsidRPr="00981405">
        <w:t>do</w:t>
      </w:r>
      <w:r w:rsidR="00190923" w:rsidRPr="00981405">
        <w:t xml:space="preserve"> </w:t>
      </w:r>
      <w:r w:rsidRPr="00981405">
        <w:t>so</w:t>
      </w:r>
      <w:r w:rsidR="00190923" w:rsidRPr="00981405">
        <w:t xml:space="preserve"> </w:t>
      </w:r>
      <w:r w:rsidRPr="00981405">
        <w:t>might</w:t>
      </w:r>
      <w:r w:rsidR="00190923" w:rsidRPr="00981405">
        <w:t xml:space="preserve"> </w:t>
      </w:r>
      <w:r w:rsidRPr="00981405">
        <w:t>ultimately</w:t>
      </w:r>
      <w:r w:rsidR="00190923" w:rsidRPr="00981405">
        <w:t xml:space="preserve"> </w:t>
      </w:r>
      <w:r w:rsidRPr="00981405">
        <w:t>assist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overcome</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thorny</w:t>
      </w:r>
      <w:r w:rsidR="00190923" w:rsidRPr="00981405">
        <w:t xml:space="preserve"> </w:t>
      </w:r>
      <w:r w:rsidRPr="00981405">
        <w:t>issues</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It</w:t>
      </w:r>
      <w:r w:rsidR="00190923" w:rsidRPr="00981405">
        <w:t xml:space="preserve"> </w:t>
      </w:r>
      <w:r w:rsidRPr="00981405">
        <w:t>was</w:t>
      </w:r>
      <w:r w:rsidR="00190923" w:rsidRPr="00981405">
        <w:t xml:space="preserve"> </w:t>
      </w:r>
      <w:r w:rsidRPr="00981405">
        <w:t>even</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procedural</w:t>
      </w:r>
      <w:r w:rsidR="00190923" w:rsidRPr="00981405">
        <w:t xml:space="preserve"> </w:t>
      </w:r>
      <w:r w:rsidRPr="00981405">
        <w:t>issues</w:t>
      </w:r>
      <w:r w:rsidR="00190923" w:rsidRPr="00981405">
        <w:t xml:space="preserve"> </w:t>
      </w:r>
      <w:r w:rsidRPr="00981405">
        <w:t>be</w:t>
      </w:r>
      <w:r w:rsidR="00190923" w:rsidRPr="00981405">
        <w:t xml:space="preserve"> </w:t>
      </w:r>
      <w:r w:rsidRPr="00981405">
        <w:t>taken</w:t>
      </w:r>
      <w:r w:rsidR="00190923" w:rsidRPr="00981405">
        <w:t xml:space="preserve"> </w:t>
      </w:r>
      <w:r w:rsidRPr="00981405">
        <w:t>up</w:t>
      </w:r>
      <w:r w:rsidR="00190923" w:rsidRPr="00981405">
        <w:t xml:space="preserve"> </w:t>
      </w:r>
      <w:r w:rsidRPr="00981405">
        <w:t>first.</w:t>
      </w:r>
      <w:r w:rsidR="00190923" w:rsidRPr="00981405">
        <w:t xml:space="preserve"> </w:t>
      </w:r>
      <w:r w:rsidRPr="00981405">
        <w:t>Some</w:t>
      </w:r>
      <w:r w:rsidR="00190923" w:rsidRPr="00981405">
        <w:t xml:space="preserve"> </w:t>
      </w:r>
      <w:r w:rsidRPr="00981405">
        <w:t>other</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premature</w:t>
      </w:r>
      <w:r w:rsidR="00190923" w:rsidRPr="00981405">
        <w:t xml:space="preserve"> </w:t>
      </w:r>
      <w:r w:rsidRPr="00981405">
        <w:t>to</w:t>
      </w:r>
      <w:r w:rsidR="00190923" w:rsidRPr="00981405">
        <w:t xml:space="preserve"> </w:t>
      </w:r>
      <w:r w:rsidRPr="00981405">
        <w:t>deal</w:t>
      </w:r>
      <w:r w:rsidR="00190923" w:rsidRPr="00981405">
        <w:t xml:space="preserve"> </w:t>
      </w:r>
      <w:r w:rsidRPr="00981405">
        <w:t>with</w:t>
      </w:r>
      <w:r w:rsidR="00190923" w:rsidRPr="00981405">
        <w:t xml:space="preserve"> </w:t>
      </w:r>
      <w:r w:rsidRPr="00981405">
        <w:t>limitations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next</w:t>
      </w:r>
      <w:r w:rsidR="00190923" w:rsidRPr="00981405">
        <w:t xml:space="preserve"> </w:t>
      </w:r>
      <w:r w:rsidRPr="00981405">
        <w:t>year</w:t>
      </w:r>
      <w:r w:rsidR="00190923" w:rsidRPr="00981405">
        <w:t xml:space="preserve"> </w:t>
      </w:r>
      <w:r w:rsidRPr="00981405">
        <w:t>since</w:t>
      </w:r>
      <w:r w:rsidR="00190923" w:rsidRPr="00981405">
        <w:t xml:space="preserve"> </w:t>
      </w:r>
      <w:r w:rsidRPr="00981405">
        <w:t>there</w:t>
      </w:r>
      <w:r w:rsidR="00190923" w:rsidRPr="00981405">
        <w:t xml:space="preserve"> </w:t>
      </w:r>
      <w:r w:rsidRPr="00981405">
        <w:t>were</w:t>
      </w:r>
      <w:r w:rsidR="00190923" w:rsidRPr="00981405">
        <w:t xml:space="preserve"> </w:t>
      </w:r>
      <w:r w:rsidRPr="00981405">
        <w:t>still</w:t>
      </w:r>
      <w:r w:rsidR="00190923" w:rsidRPr="00981405">
        <w:t xml:space="preserve"> </w:t>
      </w:r>
      <w:r w:rsidRPr="00981405">
        <w:t>some</w:t>
      </w:r>
      <w:r w:rsidR="00190923" w:rsidRPr="00981405">
        <w:t xml:space="preserve"> </w:t>
      </w:r>
      <w:r w:rsidRPr="00981405">
        <w:t>general</w:t>
      </w:r>
      <w:r w:rsidR="00190923" w:rsidRPr="00981405">
        <w:t xml:space="preserve"> </w:t>
      </w:r>
      <w:r w:rsidRPr="00981405">
        <w:t>matters</w:t>
      </w:r>
      <w:r w:rsidR="00190923" w:rsidRPr="00981405">
        <w:t xml:space="preserve"> </w:t>
      </w:r>
      <w:r w:rsidRPr="00981405">
        <w:t>to</w:t>
      </w:r>
      <w:r w:rsidR="00190923" w:rsidRPr="00981405">
        <w:t xml:space="preserve"> </w:t>
      </w:r>
      <w:r w:rsidRPr="00981405">
        <w:t>be</w:t>
      </w:r>
      <w:r w:rsidR="00190923" w:rsidRPr="00981405">
        <w:t xml:space="preserve"> </w:t>
      </w:r>
      <w:r w:rsidRPr="00981405">
        <w:t>dealt</w:t>
      </w:r>
      <w:r w:rsidR="00190923" w:rsidRPr="00981405">
        <w:t xml:space="preserve"> </w:t>
      </w:r>
      <w:r w:rsidRPr="00981405">
        <w:t>with.</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61" w:name="_Toc427938149"/>
      <w:r w:rsidRPr="00D97463">
        <w:t>3.</w:t>
      </w:r>
      <w:r w:rsidRPr="00D97463">
        <w:tab/>
        <w:t>Concluding</w:t>
      </w:r>
      <w:r w:rsidR="00190923" w:rsidRPr="00D97463">
        <w:t xml:space="preserve"> </w:t>
      </w:r>
      <w:r w:rsidRPr="00D97463">
        <w:t>remarks</w:t>
      </w:r>
      <w:r w:rsidR="00190923" w:rsidRPr="00D97463">
        <w:t xml:space="preserve"> </w:t>
      </w:r>
      <w:r w:rsidRPr="00D97463">
        <w:t>by</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bookmarkEnd w:id="161"/>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232.</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addressed</w:t>
      </w:r>
      <w:r w:rsidR="00190923" w:rsidRPr="00981405">
        <w:t xml:space="preserve"> </w:t>
      </w:r>
      <w:r w:rsidRPr="00981405">
        <w:t>the</w:t>
      </w:r>
      <w:r w:rsidR="00190923" w:rsidRPr="00981405">
        <w:t xml:space="preserve"> </w:t>
      </w:r>
      <w:r w:rsidRPr="00981405">
        <w:t>issues</w:t>
      </w:r>
      <w:r w:rsidR="00190923" w:rsidRPr="00981405">
        <w:t xml:space="preserve"> </w:t>
      </w:r>
      <w:r w:rsidRPr="00981405">
        <w:t>raised</w:t>
      </w:r>
      <w:r w:rsidR="00190923" w:rsidRPr="00981405">
        <w:t xml:space="preserve"> </w:t>
      </w:r>
      <w:r w:rsidRPr="00981405">
        <w:t>during</w:t>
      </w:r>
      <w:r w:rsidR="00190923" w:rsidRPr="00981405">
        <w:t xml:space="preserve"> </w:t>
      </w:r>
      <w:r w:rsidRPr="00981405">
        <w:t>the</w:t>
      </w:r>
      <w:r w:rsidR="00190923" w:rsidRPr="00981405">
        <w:t xml:space="preserve"> </w:t>
      </w:r>
      <w:r w:rsidRPr="00981405">
        <w:t>debate,</w:t>
      </w:r>
      <w:r w:rsidR="00190923" w:rsidRPr="00981405">
        <w:t xml:space="preserve"> </w:t>
      </w:r>
      <w:r w:rsidRPr="00981405">
        <w:t>dividing</w:t>
      </w:r>
      <w:r w:rsidR="00190923" w:rsidRPr="00981405">
        <w:t xml:space="preserve"> </w:t>
      </w:r>
      <w:r w:rsidRPr="00981405">
        <w:t>them</w:t>
      </w:r>
      <w:r w:rsidR="00190923" w:rsidRPr="00981405">
        <w:t xml:space="preserve"> </w:t>
      </w:r>
      <w:r w:rsidRPr="00981405">
        <w:t>into</w:t>
      </w:r>
      <w:r w:rsidR="00190923" w:rsidRPr="00981405">
        <w:t xml:space="preserve"> </w:t>
      </w:r>
      <w:r w:rsidRPr="00981405">
        <w:t>two</w:t>
      </w:r>
      <w:r w:rsidR="00190923" w:rsidRPr="00981405">
        <w:t xml:space="preserve"> </w:t>
      </w:r>
      <w:r w:rsidRPr="00981405">
        <w:t>groups,</w:t>
      </w:r>
      <w:r w:rsidR="00190923" w:rsidRPr="00981405">
        <w:t xml:space="preserve"> </w:t>
      </w:r>
      <w:r w:rsidRPr="00981405">
        <w:t>dealing</w:t>
      </w:r>
      <w:r w:rsidR="00190923" w:rsidRPr="00981405">
        <w:t xml:space="preserve"> </w:t>
      </w:r>
      <w:r w:rsidRPr="00981405">
        <w:t>first</w:t>
      </w:r>
      <w:r w:rsidR="00190923" w:rsidRPr="00981405">
        <w:t xml:space="preserve"> </w:t>
      </w:r>
      <w:r w:rsidRPr="00981405">
        <w:t>with</w:t>
      </w:r>
      <w:r w:rsidR="00190923" w:rsidRPr="00981405">
        <w:t xml:space="preserve"> </w:t>
      </w:r>
      <w:r w:rsidRPr="00981405">
        <w:t>certain</w:t>
      </w:r>
      <w:r w:rsidR="00190923" w:rsidRPr="00981405">
        <w:t xml:space="preserve"> </w:t>
      </w:r>
      <w:r w:rsidRPr="00981405">
        <w:t>methodological</w:t>
      </w:r>
      <w:r w:rsidR="00190923" w:rsidRPr="00981405">
        <w:t xml:space="preserve"> </w:t>
      </w:r>
      <w:r w:rsidRPr="00981405">
        <w:t>issues</w:t>
      </w:r>
      <w:r w:rsidR="00190923" w:rsidRPr="00981405">
        <w:t xml:space="preserve"> </w:t>
      </w:r>
      <w:r w:rsidRPr="00981405">
        <w:t>raised</w:t>
      </w:r>
      <w:r w:rsidR="00190923" w:rsidRPr="00981405">
        <w:t xml:space="preserve"> </w:t>
      </w:r>
      <w:r w:rsidRPr="00981405">
        <w:t>by</w:t>
      </w:r>
      <w:r w:rsidR="00190923" w:rsidRPr="00981405">
        <w:t xml:space="preserve"> </w:t>
      </w:r>
      <w:r w:rsidRPr="00981405">
        <w:t>various</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then</w:t>
      </w:r>
      <w:r w:rsidR="00190923" w:rsidRPr="00981405">
        <w:t xml:space="preserve"> </w:t>
      </w:r>
      <w:r w:rsidRPr="00981405">
        <w:t>with</w:t>
      </w:r>
      <w:r w:rsidR="00190923" w:rsidRPr="00981405">
        <w:t xml:space="preserve"> </w:t>
      </w:r>
      <w:r w:rsidRPr="00981405">
        <w:t>issues</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p>
    <w:p w:rsidR="00397032" w:rsidRPr="00981405" w:rsidRDefault="00397032" w:rsidP="00D97463">
      <w:pPr>
        <w:pStyle w:val="SingleTxt"/>
      </w:pPr>
      <w:r w:rsidRPr="00981405">
        <w:t>233.</w:t>
      </w:r>
      <w:r w:rsidRPr="00981405">
        <w:tab/>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first</w:t>
      </w:r>
      <w:r w:rsidR="00190923" w:rsidRPr="00981405">
        <w:t xml:space="preserve"> </w:t>
      </w:r>
      <w:r w:rsidRPr="00981405">
        <w:t>group</w:t>
      </w:r>
      <w:r w:rsidR="00190923" w:rsidRPr="00981405">
        <w:t xml:space="preserve"> </w:t>
      </w:r>
      <w:r w:rsidRPr="00981405">
        <w:t>of</w:t>
      </w:r>
      <w:r w:rsidR="00190923" w:rsidRPr="00981405">
        <w:t xml:space="preserve"> </w:t>
      </w:r>
      <w:r w:rsidRPr="00981405">
        <w:t>issues,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made</w:t>
      </w:r>
      <w:r w:rsidR="00190923" w:rsidRPr="00981405">
        <w:t xml:space="preserve"> </w:t>
      </w:r>
      <w:r w:rsidRPr="00981405">
        <w:t>the</w:t>
      </w:r>
      <w:r w:rsidR="00190923" w:rsidRPr="00981405">
        <w:t xml:space="preserve"> </w:t>
      </w:r>
      <w:r w:rsidRPr="00981405">
        <w:t>general</w:t>
      </w:r>
      <w:r w:rsidR="00190923" w:rsidRPr="00981405">
        <w:t xml:space="preserve"> </w:t>
      </w:r>
      <w:r w:rsidRPr="00981405">
        <w:t>point</w:t>
      </w:r>
      <w:r w:rsidR="00190923" w:rsidRPr="00981405">
        <w:t xml:space="preserve"> </w:t>
      </w:r>
      <w:r w:rsidRPr="00981405">
        <w:t>that</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members</w:t>
      </w:r>
      <w:r w:rsidR="00B92E2C" w:rsidRPr="00981405">
        <w:t>’</w:t>
      </w:r>
      <w:r w:rsidR="00190923" w:rsidRPr="00981405">
        <w:t xml:space="preserve"> </w:t>
      </w:r>
      <w:r w:rsidRPr="00981405">
        <w:t>observations</w:t>
      </w:r>
      <w:r w:rsidR="00190923" w:rsidRPr="00981405">
        <w:t xml:space="preserve"> </w:t>
      </w:r>
      <w:r w:rsidRPr="00981405">
        <w:t>went</w:t>
      </w:r>
      <w:r w:rsidR="00190923" w:rsidRPr="00981405">
        <w:t xml:space="preserve"> </w:t>
      </w:r>
      <w:r w:rsidRPr="00981405">
        <w:t>beyond</w:t>
      </w:r>
      <w:r w:rsidR="00190923" w:rsidRPr="00981405">
        <w:t xml:space="preserve"> </w:t>
      </w:r>
      <w:r w:rsidRPr="00981405">
        <w:t>solely</w:t>
      </w:r>
      <w:r w:rsidR="00190923" w:rsidRPr="00981405">
        <w:t xml:space="preserve"> </w:t>
      </w:r>
      <w:r w:rsidRPr="00981405">
        <w:t>methodological</w:t>
      </w:r>
      <w:r w:rsidR="00190923" w:rsidRPr="00981405">
        <w:t xml:space="preserve"> </w:t>
      </w:r>
      <w:r w:rsidRPr="00981405">
        <w:t>concerns.</w:t>
      </w:r>
      <w:r w:rsidR="00190923" w:rsidRPr="00981405">
        <w:t xml:space="preserve"> </w:t>
      </w:r>
      <w:r w:rsidRPr="00981405">
        <w:t>Nonetheless,</w:t>
      </w:r>
      <w:r w:rsidR="00190923" w:rsidRPr="00981405">
        <w:t xml:space="preserve"> </w:t>
      </w:r>
      <w:r w:rsidRPr="00981405">
        <w:t>in</w:t>
      </w:r>
      <w:r w:rsidR="00190923" w:rsidRPr="00981405">
        <w:t xml:space="preserve"> </w:t>
      </w:r>
      <w:r w:rsidRPr="00981405">
        <w:t>that</w:t>
      </w:r>
      <w:r w:rsidR="00190923" w:rsidRPr="00981405">
        <w:t xml:space="preserve"> </w:t>
      </w:r>
      <w:r w:rsidRPr="00981405">
        <w:t>regard,</w:t>
      </w:r>
      <w:r w:rsidR="00190923" w:rsidRPr="00981405">
        <w:t xml:space="preserve"> </w:t>
      </w:r>
      <w:r w:rsidRPr="00981405">
        <w:t>she</w:t>
      </w:r>
      <w:r w:rsidR="00190923" w:rsidRPr="00981405">
        <w:t xml:space="preserve"> </w:t>
      </w:r>
      <w:r w:rsidRPr="00981405">
        <w:t>addressed</w:t>
      </w:r>
      <w:r w:rsidR="00190923" w:rsidRPr="00981405">
        <w:t xml:space="preserve"> </w:t>
      </w:r>
      <w:r w:rsidRPr="00981405">
        <w:t>their</w:t>
      </w:r>
      <w:r w:rsidR="00190923" w:rsidRPr="00981405">
        <w:t xml:space="preserve"> </w:t>
      </w:r>
      <w:r w:rsidRPr="00981405">
        <w:t>comments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analysis</w:t>
      </w:r>
      <w:r w:rsidR="00190923" w:rsidRPr="00981405">
        <w:t xml:space="preserve"> </w:t>
      </w:r>
      <w:r w:rsidRPr="00981405">
        <w:t>and</w:t>
      </w:r>
      <w:r w:rsidR="00190923" w:rsidRPr="00981405">
        <w:t xml:space="preserve"> </w:t>
      </w:r>
      <w:r w:rsidRPr="00981405">
        <w:t>value</w:t>
      </w:r>
      <w:r w:rsidR="00190923" w:rsidRPr="00981405">
        <w:t xml:space="preserve"> </w:t>
      </w:r>
      <w:r w:rsidRPr="00981405">
        <w:t>of</w:t>
      </w:r>
      <w:r w:rsidR="00190923" w:rsidRPr="00981405">
        <w:t xml:space="preserve"> </w:t>
      </w:r>
      <w:r w:rsidRPr="00981405">
        <w:t>the</w:t>
      </w:r>
      <w:r w:rsidR="00190923" w:rsidRPr="00981405">
        <w:t xml:space="preserve"> </w:t>
      </w:r>
      <w:r w:rsidRPr="00981405">
        <w:t>case-law</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treatment</w:t>
      </w:r>
      <w:r w:rsidR="00190923" w:rsidRPr="00981405">
        <w:t xml:space="preserve"> </w:t>
      </w:r>
      <w:r w:rsidRPr="00981405">
        <w:t>of</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and</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given</w:t>
      </w:r>
      <w:r w:rsidR="00190923" w:rsidRPr="00981405">
        <w:t xml:space="preserve"> </w:t>
      </w:r>
      <w:r w:rsidRPr="00981405">
        <w:t>to</w:t>
      </w:r>
      <w:r w:rsidR="00190923" w:rsidRPr="00981405">
        <w:t xml:space="preserve"> </w:t>
      </w:r>
      <w:r w:rsidRPr="00981405">
        <w:t>statements</w:t>
      </w:r>
      <w:r w:rsidR="00190923" w:rsidRPr="00981405">
        <w:t xml:space="preserve"> </w:t>
      </w:r>
      <w:r w:rsidRPr="00981405">
        <w:t>and</w:t>
      </w:r>
      <w:r w:rsidR="00190923" w:rsidRPr="00981405">
        <w:t xml:space="preserve"> </w:t>
      </w:r>
      <w:r w:rsidRPr="00981405">
        <w:t>communications</w:t>
      </w:r>
      <w:r w:rsidR="00190923" w:rsidRPr="00981405">
        <w:t xml:space="preserve"> </w:t>
      </w:r>
      <w:r w:rsidRPr="00981405">
        <w:t>by</w:t>
      </w:r>
      <w:r w:rsidR="00190923" w:rsidRPr="00981405">
        <w:t xml:space="preserve"> </w:t>
      </w:r>
      <w:r w:rsidRPr="00981405">
        <w:t>States.</w:t>
      </w:r>
    </w:p>
    <w:p w:rsidR="00397032" w:rsidRPr="00981405" w:rsidRDefault="00397032" w:rsidP="00D97463">
      <w:pPr>
        <w:pStyle w:val="SingleTxt"/>
      </w:pPr>
      <w:r w:rsidRPr="00981405">
        <w:lastRenderedPageBreak/>
        <w:t>234.</w:t>
      </w:r>
      <w:r w:rsidRPr="00981405">
        <w:tab/>
        <w:t>Regarding</w:t>
      </w:r>
      <w:r w:rsidR="00190923" w:rsidRPr="00981405">
        <w:t xml:space="preserve"> </w:t>
      </w:r>
      <w:r w:rsidRPr="00981405">
        <w:t>case-law,</w:t>
      </w:r>
      <w:r w:rsidR="00190923" w:rsidRPr="00981405">
        <w:t xml:space="preserve"> </w:t>
      </w:r>
      <w:r w:rsidRPr="00981405">
        <w:t>she</w:t>
      </w:r>
      <w:r w:rsidR="00190923" w:rsidRPr="00981405">
        <w:t xml:space="preserve"> </w:t>
      </w:r>
      <w:r w:rsidRPr="00981405">
        <w:t>welcomed</w:t>
      </w:r>
      <w:r w:rsidR="00190923" w:rsidRPr="00981405">
        <w:t xml:space="preserve"> </w:t>
      </w:r>
      <w:r w:rsidRPr="00981405">
        <w:t>the</w:t>
      </w:r>
      <w:r w:rsidR="00190923" w:rsidRPr="00981405">
        <w:t xml:space="preserve"> </w:t>
      </w:r>
      <w:r w:rsidRPr="00981405">
        <w:t>positive</w:t>
      </w:r>
      <w:r w:rsidR="00190923" w:rsidRPr="00981405">
        <w:t xml:space="preserve"> </w:t>
      </w:r>
      <w:r w:rsidRPr="00981405">
        <w:t>response</w:t>
      </w:r>
      <w:r w:rsidR="00190923" w:rsidRPr="00981405">
        <w:t xml:space="preserve"> </w:t>
      </w:r>
      <w:r w:rsidRPr="00981405">
        <w:t>of</w:t>
      </w:r>
      <w:r w:rsidR="00190923" w:rsidRPr="00981405">
        <w:t xml:space="preserve"> </w:t>
      </w:r>
      <w:r w:rsidRPr="00981405">
        <w:t>a</w:t>
      </w:r>
      <w:r w:rsidR="00190923" w:rsidRPr="00981405">
        <w:t xml:space="preserve"> </w:t>
      </w:r>
      <w:r w:rsidRPr="00981405">
        <w:t>large</w:t>
      </w:r>
      <w:r w:rsidR="00190923" w:rsidRPr="00981405">
        <w:t xml:space="preserve"> </w:t>
      </w:r>
      <w:r w:rsidRPr="00981405">
        <w:t>number</w:t>
      </w:r>
      <w:r w:rsidR="00190923" w:rsidRPr="00981405">
        <w:t xml:space="preserve"> </w:t>
      </w:r>
      <w:r w:rsidRPr="00981405">
        <w:t>of</w:t>
      </w:r>
      <w:r w:rsidR="00190923" w:rsidRPr="00981405">
        <w:t xml:space="preserve"> </w:t>
      </w:r>
      <w:r w:rsidRPr="00981405">
        <w:t>Commission</w:t>
      </w:r>
      <w:r w:rsidR="00190923" w:rsidRPr="00981405">
        <w:t xml:space="preserve"> </w:t>
      </w:r>
      <w:r w:rsidRPr="00981405">
        <w:t>members</w:t>
      </w:r>
      <w:r w:rsidR="00190923" w:rsidRPr="00981405">
        <w:t xml:space="preserve"> </w:t>
      </w:r>
      <w:r w:rsidRPr="00981405">
        <w:t>to</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judicial</w:t>
      </w:r>
      <w:r w:rsidR="00190923" w:rsidRPr="00981405">
        <w:t xml:space="preserve"> </w:t>
      </w:r>
      <w:r w:rsidRPr="00981405">
        <w:t>practice</w:t>
      </w:r>
      <w:r w:rsidR="00190923" w:rsidRPr="00981405">
        <w:t xml:space="preserve"> </w:t>
      </w:r>
      <w:r w:rsidRPr="00981405">
        <w:t>contained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comments</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usefulness</w:t>
      </w:r>
      <w:r w:rsidR="00190923" w:rsidRPr="00981405">
        <w:t xml:space="preserve"> </w:t>
      </w:r>
      <w:r w:rsidRPr="00981405">
        <w:t>of</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national</w:t>
      </w:r>
      <w:r w:rsidR="00190923" w:rsidRPr="00981405">
        <w:t xml:space="preserve"> </w:t>
      </w:r>
      <w:r w:rsidRPr="00981405">
        <w:t>case</w:t>
      </w:r>
      <w:r w:rsidR="00190923" w:rsidRPr="00981405">
        <w:t xml:space="preserve"> </w:t>
      </w:r>
      <w:r w:rsidRPr="00981405">
        <w:t>law,</w:t>
      </w:r>
      <w:r w:rsidR="00190923" w:rsidRPr="00981405">
        <w:t xml:space="preserve"> </w:t>
      </w:r>
      <w:r w:rsidRPr="00981405">
        <w:t>she</w:t>
      </w:r>
      <w:r w:rsidR="00190923" w:rsidRPr="00981405">
        <w:t xml:space="preserve"> </w:t>
      </w:r>
      <w:r w:rsidRPr="00981405">
        <w:t>reiterated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that</w:t>
      </w:r>
      <w:r w:rsidR="00190923" w:rsidRPr="00981405">
        <w:t xml:space="preserve"> </w:t>
      </w:r>
      <w:r w:rsidRPr="00981405">
        <w:t>she</w:t>
      </w:r>
      <w:r w:rsidR="00190923" w:rsidRPr="00981405">
        <w:t xml:space="preserve"> </w:t>
      </w:r>
      <w:r w:rsidRPr="00981405">
        <w:t>attached</w:t>
      </w:r>
      <w:r w:rsidR="00190923" w:rsidRPr="00981405">
        <w:t xml:space="preserve"> </w:t>
      </w:r>
      <w:r w:rsidRPr="00981405">
        <w:t>to</w:t>
      </w:r>
      <w:r w:rsidR="00190923" w:rsidRPr="00981405">
        <w:t xml:space="preserve"> </w:t>
      </w:r>
      <w:r w:rsidRPr="00981405">
        <w:t>national</w:t>
      </w:r>
      <w:r w:rsidR="00190923" w:rsidRPr="00981405">
        <w:t xml:space="preserve"> </w:t>
      </w:r>
      <w:r w:rsidRPr="00981405">
        <w:t>case-law</w:t>
      </w:r>
      <w:r w:rsidR="00190923" w:rsidRPr="00981405">
        <w:t xml:space="preserve"> </w:t>
      </w:r>
      <w:r w:rsidRPr="00981405">
        <w:t>in</w:t>
      </w:r>
      <w:r w:rsidR="00190923" w:rsidRPr="00981405">
        <w:t xml:space="preserve"> </w:t>
      </w:r>
      <w:r w:rsidRPr="00981405">
        <w:t>the</w:t>
      </w:r>
      <w:r w:rsidR="00190923" w:rsidRPr="00981405">
        <w:t xml:space="preserve"> </w:t>
      </w:r>
      <w:r w:rsidRPr="00981405">
        <w:t>treatment</w:t>
      </w:r>
      <w:r w:rsidR="00190923" w:rsidRPr="00981405">
        <w:t xml:space="preserve"> </w:t>
      </w:r>
      <w:r w:rsidRPr="00981405">
        <w:t>of</w:t>
      </w:r>
      <w:r w:rsidR="00190923" w:rsidRPr="00981405">
        <w:t xml:space="preserve"> </w:t>
      </w:r>
      <w:r w:rsidRPr="00981405">
        <w:t>immunity</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Pr="00981405">
        <w:t>particularly</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that</w:t>
      </w:r>
      <w:r w:rsidR="00190923" w:rsidRPr="00981405">
        <w:t xml:space="preserve"> </w:t>
      </w:r>
      <w:r w:rsidRPr="00981405">
        <w:t>were</w:t>
      </w:r>
      <w:r w:rsidR="00190923" w:rsidRPr="00981405">
        <w:t xml:space="preserve"> </w:t>
      </w:r>
      <w:r w:rsidRPr="00981405">
        <w:t>directly</w:t>
      </w:r>
      <w:r w:rsidR="00190923" w:rsidRPr="00981405">
        <w:t xml:space="preserve"> </w:t>
      </w:r>
      <w:r w:rsidRPr="00981405">
        <w:t>confronted</w:t>
      </w:r>
      <w:r w:rsidR="00190923" w:rsidRPr="00981405">
        <w:t xml:space="preserve"> </w:t>
      </w:r>
      <w:r w:rsidRPr="00981405">
        <w:t>with</w:t>
      </w:r>
      <w:r w:rsidR="00190923" w:rsidRPr="00981405">
        <w:t xml:space="preserve"> </w:t>
      </w:r>
      <w:r w:rsidRPr="00981405">
        <w:t>immunity-related</w:t>
      </w:r>
      <w:r w:rsidR="00190923" w:rsidRPr="00981405">
        <w:t xml:space="preserve"> </w:t>
      </w:r>
      <w:r w:rsidRPr="00981405">
        <w:t>issues.</w:t>
      </w:r>
      <w:r w:rsidR="00190923" w:rsidRPr="00981405">
        <w:t xml:space="preserve"> </w:t>
      </w:r>
      <w:r w:rsidRPr="00981405">
        <w:t>She</w:t>
      </w:r>
      <w:r w:rsidR="00190923" w:rsidRPr="00981405">
        <w:t xml:space="preserve"> </w:t>
      </w:r>
      <w:r w:rsidRPr="00981405">
        <w:t>emphasized</w:t>
      </w:r>
      <w:r w:rsidR="00190923" w:rsidRPr="00981405">
        <w:t xml:space="preserve"> </w:t>
      </w:r>
      <w:r w:rsidRPr="00981405">
        <w:t>that,</w:t>
      </w:r>
      <w:r w:rsidR="00190923" w:rsidRPr="00981405">
        <w:t xml:space="preserve"> </w:t>
      </w:r>
      <w:r w:rsidRPr="00981405">
        <w:t>even</w:t>
      </w:r>
      <w:r w:rsidR="00190923" w:rsidRPr="00981405">
        <w:t xml:space="preserve"> </w:t>
      </w:r>
      <w:r w:rsidRPr="00981405">
        <w:t>if</w:t>
      </w:r>
      <w:r w:rsidR="00190923" w:rsidRPr="00981405">
        <w:t xml:space="preserve"> </w:t>
      </w:r>
      <w:r w:rsidRPr="00981405">
        <w:t>national</w:t>
      </w:r>
      <w:r w:rsidR="00190923" w:rsidRPr="00981405">
        <w:t xml:space="preserve"> </w:t>
      </w:r>
      <w:r w:rsidRPr="00981405">
        <w:t>case-</w:t>
      </w:r>
      <w:r w:rsidR="00190923" w:rsidRPr="00981405">
        <w:t xml:space="preserve"> </w:t>
      </w:r>
      <w:r w:rsidRPr="00981405">
        <w:t>law</w:t>
      </w:r>
      <w:r w:rsidR="00190923" w:rsidRPr="00981405">
        <w:t xml:space="preserve"> </w:t>
      </w:r>
      <w:r w:rsidRPr="00981405">
        <w:t>was</w:t>
      </w:r>
      <w:r w:rsidR="00190923" w:rsidRPr="00981405">
        <w:t xml:space="preserve"> </w:t>
      </w:r>
      <w:r w:rsidRPr="00981405">
        <w:t>not</w:t>
      </w:r>
      <w:r w:rsidR="00190923" w:rsidRPr="00981405">
        <w:t xml:space="preserve"> </w:t>
      </w:r>
      <w:r w:rsidRPr="00981405">
        <w:t>consistent</w:t>
      </w:r>
      <w:r w:rsidR="00190923" w:rsidRPr="00981405">
        <w:t xml:space="preserve"> </w:t>
      </w:r>
      <w:r w:rsidRPr="00981405">
        <w:t>and</w:t>
      </w:r>
      <w:r w:rsidR="00190923" w:rsidRPr="00981405">
        <w:t xml:space="preserve"> </w:t>
      </w:r>
      <w:r w:rsidRPr="00981405">
        <w:t>homogeneous,</w:t>
      </w:r>
      <w:r w:rsidR="00190923" w:rsidRPr="00981405">
        <w:t xml:space="preserve"> </w:t>
      </w:r>
      <w:r w:rsidRPr="00981405">
        <w:t>a</w:t>
      </w:r>
      <w:r w:rsidR="00190923" w:rsidRPr="00981405">
        <w:t xml:space="preserve"> </w:t>
      </w:r>
      <w:r w:rsidRPr="00981405">
        <w:t>finding</w:t>
      </w:r>
      <w:r w:rsidR="00190923" w:rsidRPr="00981405">
        <w:t xml:space="preserve"> </w:t>
      </w:r>
      <w:r w:rsidRPr="00981405">
        <w:t>to</w:t>
      </w:r>
      <w:r w:rsidR="00190923" w:rsidRPr="00981405">
        <w:t xml:space="preserve"> </w:t>
      </w:r>
      <w:r w:rsidRPr="00981405">
        <w:t>that</w:t>
      </w:r>
      <w:r w:rsidR="00190923" w:rsidRPr="00981405">
        <w:t xml:space="preserve"> </w:t>
      </w:r>
      <w:r w:rsidRPr="00981405">
        <w:t>effect</w:t>
      </w:r>
      <w:r w:rsidR="00190923" w:rsidRPr="00981405">
        <w:t xml:space="preserve"> </w:t>
      </w:r>
      <w:r w:rsidRPr="00981405">
        <w:t>was</w:t>
      </w:r>
      <w:r w:rsidR="00190923" w:rsidRPr="00981405">
        <w:t xml:space="preserve"> </w:t>
      </w:r>
      <w:r w:rsidRPr="00981405">
        <w:t>in</w:t>
      </w:r>
      <w:r w:rsidR="00190923" w:rsidRPr="00981405">
        <w:t xml:space="preserve"> </w:t>
      </w:r>
      <w:r w:rsidRPr="00981405">
        <w:t>itself</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acknowledged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case-law</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courts</w:t>
      </w:r>
      <w:r w:rsidR="00190923" w:rsidRPr="00981405">
        <w:t xml:space="preserve"> </w:t>
      </w:r>
      <w:r w:rsidRPr="00981405">
        <w:t>and</w:t>
      </w:r>
      <w:r w:rsidR="00190923" w:rsidRPr="00981405">
        <w:t xml:space="preserve"> </w:t>
      </w:r>
      <w:r w:rsidRPr="00981405">
        <w:t>tribunals,</w:t>
      </w:r>
      <w:r w:rsidR="00190923" w:rsidRPr="00981405">
        <w:t xml:space="preserve"> </w:t>
      </w:r>
      <w:r w:rsidRPr="00981405">
        <w:t>but</w:t>
      </w:r>
      <w:r w:rsidR="00190923" w:rsidRPr="00981405">
        <w:t xml:space="preserve"> </w:t>
      </w:r>
      <w:r w:rsidRPr="00981405">
        <w:t>she</w:t>
      </w:r>
      <w:r w:rsidR="00190923" w:rsidRPr="00981405">
        <w:t xml:space="preserve"> </w:t>
      </w:r>
      <w:r w:rsidRPr="00981405">
        <w:t>stressed</w:t>
      </w:r>
      <w:r w:rsidR="00190923" w:rsidRPr="00981405">
        <w:t xml:space="preserve"> </w:t>
      </w:r>
      <w:r w:rsidRPr="00981405">
        <w:t>her</w:t>
      </w:r>
      <w:r w:rsidR="00190923" w:rsidRPr="00981405">
        <w:t xml:space="preserve"> </w:t>
      </w:r>
      <w:r w:rsidRPr="00981405">
        <w:t>disagreement</w:t>
      </w:r>
      <w:r w:rsidR="00190923" w:rsidRPr="00981405">
        <w:t xml:space="preserve"> </w:t>
      </w:r>
      <w:r w:rsidRPr="00981405">
        <w:t>with</w:t>
      </w:r>
      <w:r w:rsidR="00190923" w:rsidRPr="00981405">
        <w:t xml:space="preserve"> </w:t>
      </w:r>
      <w:r w:rsidRPr="00981405">
        <w:t>the</w:t>
      </w:r>
      <w:r w:rsidR="00190923" w:rsidRPr="00981405">
        <w:t xml:space="preserve"> </w:t>
      </w:r>
      <w:r w:rsidRPr="00981405">
        <w:t>idea</w:t>
      </w:r>
      <w:r w:rsidR="00190923" w:rsidRPr="00981405">
        <w:t xml:space="preserve"> </w:t>
      </w:r>
      <w:r w:rsidRPr="00981405">
        <w:t>that</w:t>
      </w:r>
      <w:r w:rsidR="00190923" w:rsidRPr="00981405">
        <w:t xml:space="preserve"> </w:t>
      </w:r>
      <w:r w:rsidRPr="00981405">
        <w:t>a</w:t>
      </w:r>
      <w:r w:rsidR="00190923" w:rsidRPr="00981405">
        <w:t xml:space="preserve"> </w:t>
      </w:r>
      <w:r w:rsidRPr="00981405">
        <w:t>sort</w:t>
      </w:r>
      <w:r w:rsidR="00190923" w:rsidRPr="00981405">
        <w:t xml:space="preserve"> </w:t>
      </w:r>
      <w:r w:rsidRPr="00981405">
        <w:t>of</w:t>
      </w:r>
      <w:r w:rsidR="00190923" w:rsidRPr="00981405">
        <w:t xml:space="preserve"> </w:t>
      </w:r>
      <w:r w:rsidRPr="00981405">
        <w:t>hierarchy</w:t>
      </w:r>
      <w:r w:rsidR="00190923" w:rsidRPr="00981405">
        <w:t xml:space="preserve"> </w:t>
      </w:r>
      <w:r w:rsidRPr="00981405">
        <w:t>existed</w:t>
      </w:r>
      <w:r w:rsidR="00190923" w:rsidRPr="00981405">
        <w:t xml:space="preserve"> </w:t>
      </w:r>
      <w:r w:rsidRPr="00981405">
        <w:t>between</w:t>
      </w:r>
      <w:r w:rsidR="00190923" w:rsidRPr="00981405">
        <w:t xml:space="preserve"> </w:t>
      </w:r>
      <w:r w:rsidRPr="00981405">
        <w:t>international</w:t>
      </w:r>
      <w:r w:rsidR="00190923" w:rsidRPr="00981405">
        <w:t xml:space="preserve"> </w:t>
      </w:r>
      <w:r w:rsidRPr="00981405">
        <w:t>case</w:t>
      </w:r>
      <w:r w:rsidR="00190923" w:rsidRPr="00981405">
        <w:t xml:space="preserve"> </w:t>
      </w:r>
      <w:r w:rsidRPr="00981405">
        <w:t>law</w:t>
      </w:r>
      <w:r w:rsidR="00190923" w:rsidRPr="00981405">
        <w:t xml:space="preserve"> </w:t>
      </w:r>
      <w:r w:rsidRPr="00981405">
        <w:t>and</w:t>
      </w:r>
      <w:r w:rsidR="00190923" w:rsidRPr="00981405">
        <w:t xml:space="preserve"> </w:t>
      </w:r>
      <w:r w:rsidRPr="00981405">
        <w:t>national</w:t>
      </w:r>
      <w:r w:rsidR="00190923" w:rsidRPr="00981405">
        <w:t xml:space="preserve"> </w:t>
      </w:r>
      <w:r w:rsidRPr="00981405">
        <w:t>case</w:t>
      </w:r>
      <w:r w:rsidR="00190923" w:rsidRPr="00981405">
        <w:t xml:space="preserve"> </w:t>
      </w:r>
      <w:r w:rsidRPr="00981405">
        <w:t>law.</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she</w:t>
      </w:r>
      <w:r w:rsidR="00190923" w:rsidRPr="00981405">
        <w:t xml:space="preserve"> </w:t>
      </w:r>
      <w:r w:rsidRPr="00981405">
        <w:t>noted</w:t>
      </w:r>
      <w:r w:rsidR="00190923" w:rsidRPr="00981405">
        <w:t xml:space="preserve"> </w:t>
      </w:r>
      <w:r w:rsidRPr="00981405">
        <w:t>that</w:t>
      </w:r>
      <w:r w:rsidR="00190923" w:rsidRPr="00981405">
        <w:t xml:space="preserve"> </w:t>
      </w:r>
      <w:r w:rsidRPr="00981405">
        <w:t>she</w:t>
      </w:r>
      <w:r w:rsidR="00190923" w:rsidRPr="00981405">
        <w:t xml:space="preserve"> </w:t>
      </w:r>
      <w:r w:rsidRPr="00981405">
        <w:t>did</w:t>
      </w:r>
      <w:r w:rsidR="00190923" w:rsidRPr="00981405">
        <w:t xml:space="preserve"> </w:t>
      </w:r>
      <w:r w:rsidRPr="00981405">
        <w:t>not</w:t>
      </w:r>
      <w:r w:rsidR="00190923" w:rsidRPr="00981405">
        <w:t xml:space="preserve"> </w:t>
      </w:r>
      <w:r w:rsidRPr="00981405">
        <w:t>share</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had</w:t>
      </w:r>
      <w:r w:rsidR="00190923" w:rsidRPr="00981405">
        <w:t xml:space="preserve"> </w:t>
      </w:r>
      <w:r w:rsidRPr="00981405">
        <w:t>been</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international</w:t>
      </w:r>
      <w:r w:rsidR="00190923" w:rsidRPr="00981405">
        <w:t xml:space="preserve"> </w:t>
      </w:r>
      <w:r w:rsidRPr="00981405">
        <w:t>case-law</w:t>
      </w:r>
      <w:r w:rsidR="00190923" w:rsidRPr="00981405">
        <w:t xml:space="preserve"> </w:t>
      </w:r>
      <w:r w:rsidRPr="00981405">
        <w:t>was</w:t>
      </w:r>
      <w:r w:rsidR="00190923" w:rsidRPr="00981405">
        <w:t xml:space="preserve"> </w:t>
      </w:r>
      <w:r w:rsidRPr="00981405">
        <w:t>fully</w:t>
      </w:r>
      <w:r w:rsidR="00190923" w:rsidRPr="00981405">
        <w:t xml:space="preserve"> </w:t>
      </w:r>
      <w:r w:rsidRPr="00981405">
        <w:t>coherent</w:t>
      </w:r>
      <w:r w:rsidR="00190923" w:rsidRPr="00981405">
        <w:t xml:space="preserve"> </w:t>
      </w:r>
      <w:r w:rsidRPr="00981405">
        <w:t>and</w:t>
      </w:r>
      <w:r w:rsidR="00190923" w:rsidRPr="00981405">
        <w:t xml:space="preserve"> </w:t>
      </w:r>
      <w:r w:rsidRPr="00981405">
        <w:t>consistent.</w:t>
      </w:r>
    </w:p>
    <w:p w:rsidR="00397032" w:rsidRPr="00981405" w:rsidRDefault="00397032" w:rsidP="00D97463">
      <w:pPr>
        <w:pStyle w:val="SingleTxt"/>
      </w:pPr>
      <w:r w:rsidRPr="00981405">
        <w:t>235.</w:t>
      </w:r>
      <w:r w:rsidRPr="00981405">
        <w:tab/>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weight</w:t>
      </w:r>
      <w:r w:rsidR="00190923" w:rsidRPr="00981405">
        <w:t xml:space="preserve"> </w:t>
      </w:r>
      <w:r w:rsidRPr="00981405">
        <w:t>given</w:t>
      </w:r>
      <w:r w:rsidR="00190923" w:rsidRPr="00981405">
        <w:t xml:space="preserve"> </w:t>
      </w:r>
      <w:r w:rsidRPr="00981405">
        <w:t>to</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in</w:t>
      </w:r>
      <w:r w:rsidR="00190923" w:rsidRPr="00981405">
        <w:t xml:space="preserve"> </w:t>
      </w:r>
      <w:r w:rsidRPr="00981405">
        <w:t>defining</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current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she</w:t>
      </w:r>
      <w:r w:rsidR="00190923" w:rsidRPr="00981405">
        <w:t xml:space="preserve"> </w:t>
      </w:r>
      <w:r w:rsidRPr="00981405">
        <w:t>acknowledged</w:t>
      </w:r>
      <w:r w:rsidR="00190923" w:rsidRPr="00981405">
        <w:t xml:space="preserve"> </w:t>
      </w:r>
      <w:r w:rsidRPr="00981405">
        <w:t>that</w:t>
      </w:r>
      <w:r w:rsidR="00190923" w:rsidRPr="00981405">
        <w:t xml:space="preserve"> </w:t>
      </w:r>
      <w:r w:rsidRPr="00981405">
        <w:t>the</w:t>
      </w:r>
      <w:r w:rsidR="00190923" w:rsidRPr="00981405">
        <w:t xml:space="preserve"> </w:t>
      </w:r>
      <w:r w:rsidRPr="00981405">
        <w:t>word</w:t>
      </w:r>
      <w:r w:rsidR="00190923" w:rsidRPr="00981405">
        <w:t xml:space="preserve"> </w:t>
      </w:r>
      <w:r w:rsidR="00B92E2C" w:rsidRPr="00981405">
        <w:t>“</w:t>
      </w:r>
      <w:r w:rsidRPr="00981405">
        <w:t>irrelevant</w:t>
      </w:r>
      <w:r w:rsidR="00B92E2C" w:rsidRPr="00981405">
        <w:t>”</w:t>
      </w:r>
      <w:r w:rsidR="00190923" w:rsidRPr="00981405">
        <w:t xml:space="preserve"> </w:t>
      </w:r>
      <w:r w:rsidRPr="00981405">
        <w:t>as</w:t>
      </w:r>
      <w:r w:rsidR="00190923" w:rsidRPr="00981405">
        <w:t xml:space="preserve"> </w:t>
      </w:r>
      <w:r w:rsidRPr="00981405">
        <w:t>used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was</w:t>
      </w:r>
      <w:r w:rsidR="00190923" w:rsidRPr="00981405">
        <w:t xml:space="preserve"> </w:t>
      </w:r>
      <w:r w:rsidRPr="00981405">
        <w:t>not</w:t>
      </w:r>
      <w:r w:rsidR="00190923" w:rsidRPr="00981405">
        <w:t xml:space="preserve"> </w:t>
      </w:r>
      <w:r w:rsidRPr="00981405">
        <w:t>the</w:t>
      </w:r>
      <w:r w:rsidR="00190923" w:rsidRPr="00981405">
        <w:t xml:space="preserve"> </w:t>
      </w:r>
      <w:r w:rsidRPr="00981405">
        <w:t>most</w:t>
      </w:r>
      <w:r w:rsidR="00190923" w:rsidRPr="00981405">
        <w:t xml:space="preserve"> </w:t>
      </w:r>
      <w:r w:rsidRPr="00981405">
        <w:t>suitable</w:t>
      </w:r>
      <w:r w:rsidR="00190923" w:rsidRPr="00981405">
        <w:t xml:space="preserve"> </w:t>
      </w:r>
      <w:r w:rsidRPr="00981405">
        <w:t>term.</w:t>
      </w:r>
      <w:r w:rsidR="00190923" w:rsidRPr="00981405">
        <w:t xml:space="preserve"> </w:t>
      </w:r>
      <w:r w:rsidRPr="00981405">
        <w:t>However,</w:t>
      </w:r>
      <w:r w:rsidR="00190923" w:rsidRPr="00981405">
        <w:t xml:space="preserve"> </w:t>
      </w:r>
      <w:r w:rsidRPr="00981405">
        <w:t>she</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her</w:t>
      </w:r>
      <w:r w:rsidR="00190923" w:rsidRPr="00981405">
        <w:t xml:space="preserve"> </w:t>
      </w:r>
      <w:r w:rsidRPr="00981405">
        <w:t>intention</w:t>
      </w:r>
      <w:r w:rsidR="00190923" w:rsidRPr="00981405">
        <w:t xml:space="preserve"> </w:t>
      </w:r>
      <w:r w:rsidRPr="00981405">
        <w:t>was</w:t>
      </w:r>
      <w:r w:rsidR="00190923" w:rsidRPr="00981405">
        <w:t xml:space="preserve"> </w:t>
      </w:r>
      <w:r w:rsidRPr="00981405">
        <w:t>not</w:t>
      </w:r>
      <w:r w:rsidR="00190923" w:rsidRPr="00981405">
        <w:t xml:space="preserve"> </w:t>
      </w:r>
      <w:r w:rsidRPr="00981405">
        <w:t>to</w:t>
      </w:r>
      <w:r w:rsidR="00190923" w:rsidRPr="00981405">
        <w:t xml:space="preserve"> </w:t>
      </w:r>
      <w:r w:rsidRPr="00981405">
        <w:t>deprive</w:t>
      </w:r>
      <w:r w:rsidR="00190923" w:rsidRPr="00981405">
        <w:t xml:space="preserve"> </w:t>
      </w:r>
      <w:r w:rsidRPr="00981405">
        <w:t>national</w:t>
      </w:r>
      <w:r w:rsidR="00190923" w:rsidRPr="00981405">
        <w:t xml:space="preserve"> </w:t>
      </w:r>
      <w:r w:rsidRPr="00981405">
        <w:t>legislation</w:t>
      </w:r>
      <w:r w:rsidR="00190923" w:rsidRPr="00981405">
        <w:t xml:space="preserve"> </w:t>
      </w:r>
      <w:r w:rsidRPr="00981405">
        <w:t>of</w:t>
      </w:r>
      <w:r w:rsidR="00190923" w:rsidRPr="00981405">
        <w:t xml:space="preserve"> </w:t>
      </w:r>
      <w:r w:rsidRPr="00981405">
        <w:t>all</w:t>
      </w:r>
      <w:r w:rsidR="00190923" w:rsidRPr="00981405">
        <w:t xml:space="preserve"> </w:t>
      </w:r>
      <w:r w:rsidRPr="00981405">
        <w:t>value,</w:t>
      </w:r>
      <w:r w:rsidR="00190923" w:rsidRPr="00981405">
        <w:t xml:space="preserve"> </w:t>
      </w:r>
      <w:r w:rsidRPr="00981405">
        <w:t>but</w:t>
      </w:r>
      <w:r w:rsidR="00190923" w:rsidRPr="00981405">
        <w:t xml:space="preserve"> </w:t>
      </w:r>
      <w:r w:rsidRPr="00981405">
        <w:t>to</w:t>
      </w:r>
      <w:r w:rsidR="00190923" w:rsidRPr="00981405">
        <w:t xml:space="preserve"> </w:t>
      </w:r>
      <w:r w:rsidRPr="00981405">
        <w:t>emphasize</w:t>
      </w:r>
      <w:r w:rsidR="00190923" w:rsidRPr="00981405">
        <w:t xml:space="preserve"> </w:t>
      </w:r>
      <w:r w:rsidRPr="00981405">
        <w:t>that</w:t>
      </w:r>
      <w:r w:rsidR="00190923" w:rsidRPr="00981405">
        <w:t xml:space="preserve"> </w:t>
      </w:r>
      <w:r w:rsidRPr="00981405">
        <w:t>it</w:t>
      </w:r>
      <w:r w:rsidR="00190923" w:rsidRPr="00981405">
        <w:t xml:space="preserve"> </w:t>
      </w:r>
      <w:r w:rsidRPr="00981405">
        <w:t>should</w:t>
      </w:r>
      <w:r w:rsidR="00190923" w:rsidRPr="00981405">
        <w:t xml:space="preserve"> </w:t>
      </w:r>
      <w:r w:rsidRPr="00981405">
        <w:t>serve</w:t>
      </w:r>
      <w:r w:rsidR="00190923" w:rsidRPr="00981405">
        <w:t xml:space="preserve"> </w:t>
      </w:r>
      <w:r w:rsidRPr="00981405">
        <w:t>solely</w:t>
      </w:r>
      <w:r w:rsidR="00190923" w:rsidRPr="00981405">
        <w:t xml:space="preserve"> </w:t>
      </w:r>
      <w:r w:rsidRPr="00981405">
        <w:t>as</w:t>
      </w:r>
      <w:r w:rsidR="00190923" w:rsidRPr="00981405">
        <w:t xml:space="preserve"> </w:t>
      </w:r>
      <w:r w:rsidRPr="00981405">
        <w:t>a</w:t>
      </w:r>
      <w:r w:rsidR="00190923" w:rsidRPr="00981405">
        <w:t xml:space="preserve"> </w:t>
      </w:r>
      <w:r w:rsidRPr="00981405">
        <w:t>complementary</w:t>
      </w:r>
      <w:r w:rsidR="00190923" w:rsidRPr="00981405">
        <w:t xml:space="preserve"> </w:t>
      </w:r>
      <w:r w:rsidRPr="00981405">
        <w:t>interpretive</w:t>
      </w:r>
      <w:r w:rsidR="00190923" w:rsidRPr="00981405">
        <w:t xml:space="preserve"> </w:t>
      </w:r>
      <w:r w:rsidRPr="00981405">
        <w:t>tool,</w:t>
      </w:r>
      <w:r w:rsidR="00190923" w:rsidRPr="00981405">
        <w:t xml:space="preserve"> </w:t>
      </w:r>
      <w:r w:rsidRPr="00981405">
        <w:t>especially</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considerable</w:t>
      </w:r>
      <w:r w:rsidR="00190923" w:rsidRPr="00981405">
        <w:t xml:space="preserve"> </w:t>
      </w:r>
      <w:r w:rsidRPr="00981405">
        <w:t>differences</w:t>
      </w:r>
      <w:r w:rsidR="00190923" w:rsidRPr="00981405">
        <w:t xml:space="preserve"> </w:t>
      </w:r>
      <w:r w:rsidRPr="00981405">
        <w:t>that</w:t>
      </w:r>
      <w:r w:rsidR="00190923" w:rsidRPr="00981405">
        <w:t xml:space="preserve"> </w:t>
      </w:r>
      <w:r w:rsidRPr="00981405">
        <w:t>could</w:t>
      </w:r>
      <w:r w:rsidR="00190923" w:rsidRPr="00981405">
        <w:t xml:space="preserve"> </w:t>
      </w:r>
      <w:r w:rsidRPr="00981405">
        <w:t>be</w:t>
      </w:r>
      <w:r w:rsidR="00190923" w:rsidRPr="00981405">
        <w:t xml:space="preserve"> </w:t>
      </w:r>
      <w:r w:rsidRPr="00981405">
        <w:t>found</w:t>
      </w:r>
      <w:r w:rsidR="00190923" w:rsidRPr="00981405">
        <w:t xml:space="preserve"> </w:t>
      </w:r>
      <w:r w:rsidRPr="00981405">
        <w:t>in</w:t>
      </w:r>
      <w:r w:rsidR="00190923" w:rsidRPr="00981405">
        <w:t xml:space="preserve"> </w:t>
      </w:r>
      <w:r w:rsidRPr="00981405">
        <w:t>the</w:t>
      </w:r>
      <w:r w:rsidR="00190923" w:rsidRPr="00981405">
        <w:t xml:space="preserve"> </w:t>
      </w:r>
      <w:r w:rsidRPr="00981405">
        <w:t>various</w:t>
      </w:r>
      <w:r w:rsidR="00190923" w:rsidRPr="00981405">
        <w:t xml:space="preserve"> </w:t>
      </w:r>
      <w:r w:rsidRPr="00981405">
        <w:t>national</w:t>
      </w:r>
      <w:r w:rsidR="00190923" w:rsidRPr="00981405">
        <w:t xml:space="preserve"> </w:t>
      </w:r>
      <w:r w:rsidRPr="00981405">
        <w:t>legislations</w:t>
      </w:r>
      <w:r w:rsidR="00190923" w:rsidRPr="00981405">
        <w:t xml:space="preserve"> </w:t>
      </w:r>
      <w:r w:rsidRPr="00981405">
        <w:t>and</w:t>
      </w:r>
      <w:r w:rsidR="00190923" w:rsidRPr="00981405">
        <w:t xml:space="preserve"> </w:t>
      </w:r>
      <w:r w:rsidRPr="00981405">
        <w:t>the</w:t>
      </w:r>
      <w:r w:rsidR="00190923" w:rsidRPr="00981405">
        <w:t xml:space="preserve"> </w:t>
      </w:r>
      <w:r w:rsidRPr="00981405">
        <w:t>difficulty</w:t>
      </w:r>
      <w:r w:rsidR="00190923" w:rsidRPr="00981405">
        <w:t xml:space="preserve"> </w:t>
      </w:r>
      <w:r w:rsidRPr="00981405">
        <w:t>in</w:t>
      </w:r>
      <w:r w:rsidR="00190923" w:rsidRPr="00981405">
        <w:t xml:space="preserve"> </w:t>
      </w:r>
      <w:r w:rsidRPr="00981405">
        <w:t>identifying</w:t>
      </w:r>
      <w:r w:rsidR="00190923" w:rsidRPr="00981405">
        <w:t xml:space="preserve"> </w:t>
      </w:r>
      <w:r w:rsidRPr="00981405">
        <w:t>which</w:t>
      </w:r>
      <w:r w:rsidR="00190923" w:rsidRPr="00981405">
        <w:t xml:space="preserve"> </w:t>
      </w:r>
      <w:r w:rsidRPr="00981405">
        <w:t>national</w:t>
      </w:r>
      <w:r w:rsidR="00190923" w:rsidRPr="00981405">
        <w:t xml:space="preserve"> </w:t>
      </w:r>
      <w:r w:rsidRPr="00981405">
        <w:t>laws</w:t>
      </w:r>
      <w:r w:rsidR="00190923" w:rsidRPr="00981405">
        <w:t xml:space="preserve"> </w:t>
      </w:r>
      <w:r w:rsidRPr="00981405">
        <w:t>were</w:t>
      </w:r>
      <w:r w:rsidR="00190923" w:rsidRPr="00981405">
        <w:t xml:space="preserve"> </w:t>
      </w:r>
      <w:r w:rsidRPr="00981405">
        <w:t>relevant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defining</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Furthermore,</w:t>
      </w:r>
      <w:r w:rsidR="00190923" w:rsidRPr="00981405">
        <w:t xml:space="preserve"> </w:t>
      </w:r>
      <w:r w:rsidRPr="00981405">
        <w:t>national</w:t>
      </w:r>
      <w:r w:rsidR="00190923" w:rsidRPr="00981405">
        <w:t xml:space="preserve"> </w:t>
      </w:r>
      <w:r w:rsidRPr="00981405">
        <w:t>laws</w:t>
      </w:r>
      <w:r w:rsidR="00190923" w:rsidRPr="00981405">
        <w:t xml:space="preserve"> </w:t>
      </w:r>
      <w:r w:rsidRPr="00981405">
        <w:t>on</w:t>
      </w:r>
      <w:r w:rsidR="00190923" w:rsidRPr="00981405">
        <w:t xml:space="preserve"> </w:t>
      </w:r>
      <w:r w:rsidRPr="00981405">
        <w:t>State</w:t>
      </w:r>
      <w:r w:rsidR="00190923" w:rsidRPr="00981405">
        <w:t xml:space="preserve"> </w:t>
      </w:r>
      <w:r w:rsidRPr="00981405">
        <w:t>immunity</w:t>
      </w:r>
      <w:r w:rsidR="00190923" w:rsidRPr="00981405">
        <w:t xml:space="preserve"> </w:t>
      </w:r>
      <w:r w:rsidRPr="00981405">
        <w:t>contained</w:t>
      </w:r>
      <w:r w:rsidR="00190923" w:rsidRPr="00981405">
        <w:t xml:space="preserve"> </w:t>
      </w:r>
      <w:r w:rsidRPr="00981405">
        <w:t>no</w:t>
      </w:r>
      <w:r w:rsidR="00190923" w:rsidRPr="00981405">
        <w:t xml:space="preserve"> </w:t>
      </w:r>
      <w:r w:rsidRPr="00981405">
        <w:t>definition</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p>
    <w:p w:rsidR="00397032" w:rsidRPr="00981405" w:rsidRDefault="00397032" w:rsidP="00D97463">
      <w:pPr>
        <w:pStyle w:val="SingleTxt"/>
      </w:pPr>
      <w:r w:rsidRPr="00981405">
        <w:t>236.</w:t>
      </w:r>
      <w:r w:rsidRPr="00981405">
        <w:tab/>
        <w:t>Lastly,</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statements</w:t>
      </w:r>
      <w:r w:rsidR="00190923" w:rsidRPr="00981405">
        <w:t xml:space="preserve"> </w:t>
      </w:r>
      <w:r w:rsidRPr="00981405">
        <w:t>and</w:t>
      </w:r>
      <w:r w:rsidR="00190923" w:rsidRPr="00981405">
        <w:t xml:space="preserve"> </w:t>
      </w:r>
      <w:r w:rsidRPr="00981405">
        <w:t>comments</w:t>
      </w:r>
      <w:r w:rsidR="00190923" w:rsidRPr="00981405">
        <w:t xml:space="preserve"> </w:t>
      </w:r>
      <w:r w:rsidRPr="00981405">
        <w:t>submitted</w:t>
      </w:r>
      <w:r w:rsidR="00190923" w:rsidRPr="00981405">
        <w:t xml:space="preserve"> </w:t>
      </w:r>
      <w:r w:rsidRPr="00981405">
        <w:t>by</w:t>
      </w:r>
      <w:r w:rsidR="00190923" w:rsidRPr="00981405">
        <w:t xml:space="preserve"> </w:t>
      </w:r>
      <w:r w:rsidRPr="00981405">
        <w:t>States,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reiterated</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that</w:t>
      </w:r>
      <w:r w:rsidR="00190923" w:rsidRPr="00981405">
        <w:t xml:space="preserve"> </w:t>
      </w:r>
      <w:r w:rsidRPr="00981405">
        <w:t>she</w:t>
      </w:r>
      <w:r w:rsidR="00190923" w:rsidRPr="00981405">
        <w:t xml:space="preserve"> </w:t>
      </w:r>
      <w:r w:rsidRPr="00981405">
        <w:t>had</w:t>
      </w:r>
      <w:r w:rsidR="00190923" w:rsidRPr="00981405">
        <w:t xml:space="preserve"> </w:t>
      </w:r>
      <w:r w:rsidRPr="00981405">
        <w:t>always</w:t>
      </w:r>
      <w:r w:rsidR="00190923" w:rsidRPr="00981405">
        <w:t xml:space="preserve"> </w:t>
      </w:r>
      <w:r w:rsidRPr="00981405">
        <w:t>accorded</w:t>
      </w:r>
      <w:r w:rsidR="00190923" w:rsidRPr="00981405">
        <w:t xml:space="preserve"> </w:t>
      </w:r>
      <w:r w:rsidRPr="00981405">
        <w:t>to</w:t>
      </w:r>
      <w:r w:rsidR="00190923" w:rsidRPr="00981405">
        <w:t xml:space="preserve"> </w:t>
      </w:r>
      <w:r w:rsidRPr="00981405">
        <w:t>such</w:t>
      </w:r>
      <w:r w:rsidR="00190923" w:rsidRPr="00981405">
        <w:t xml:space="preserve"> </w:t>
      </w:r>
      <w:r w:rsidRPr="00981405">
        <w:t>valuable</w:t>
      </w:r>
      <w:r w:rsidR="00190923" w:rsidRPr="00981405">
        <w:t xml:space="preserve"> </w:t>
      </w:r>
      <w:r w:rsidRPr="00981405">
        <w:t>material,</w:t>
      </w:r>
      <w:r w:rsidR="00190923" w:rsidRPr="00981405">
        <w:t xml:space="preserve"> </w:t>
      </w:r>
      <w:r w:rsidRPr="00981405">
        <w:t>which</w:t>
      </w:r>
      <w:r w:rsidR="00190923" w:rsidRPr="00981405">
        <w:t xml:space="preserve"> </w:t>
      </w:r>
      <w:r w:rsidRPr="00981405">
        <w:t>she</w:t>
      </w:r>
      <w:r w:rsidR="00190923" w:rsidRPr="00981405">
        <w:t xml:space="preserve"> </w:t>
      </w:r>
      <w:r w:rsidRPr="00981405">
        <w:t>had</w:t>
      </w:r>
      <w:r w:rsidR="00190923" w:rsidRPr="00981405">
        <w:t xml:space="preserve"> </w:t>
      </w:r>
      <w:r w:rsidRPr="00981405">
        <w:t>used</w:t>
      </w:r>
      <w:r w:rsidR="00190923" w:rsidRPr="00981405">
        <w:t xml:space="preserve"> </w:t>
      </w:r>
      <w:r w:rsidRPr="00981405">
        <w:t>systematically</w:t>
      </w:r>
      <w:r w:rsidR="00190923" w:rsidRPr="00981405">
        <w:t xml:space="preserve"> </w:t>
      </w:r>
      <w:r w:rsidRPr="00981405">
        <w:t>when</w:t>
      </w:r>
      <w:r w:rsidR="00190923" w:rsidRPr="00981405">
        <w:t xml:space="preserve"> </w:t>
      </w:r>
      <w:r w:rsidRPr="00981405">
        <w:t>preparing</w:t>
      </w:r>
      <w:r w:rsidR="00190923" w:rsidRPr="00981405">
        <w:t xml:space="preserve"> </w:t>
      </w:r>
      <w:r w:rsidRPr="00981405">
        <w:t>her</w:t>
      </w:r>
      <w:r w:rsidR="00190923" w:rsidRPr="00981405">
        <w:t xml:space="preserve"> </w:t>
      </w:r>
      <w:r w:rsidRPr="00981405">
        <w:t>reports.</w:t>
      </w:r>
      <w:r w:rsidR="00190923" w:rsidRPr="00981405">
        <w:t xml:space="preserve"> </w:t>
      </w:r>
      <w:r w:rsidRPr="00981405">
        <w:t>She</w:t>
      </w:r>
      <w:r w:rsidR="00190923" w:rsidRPr="00981405">
        <w:t xml:space="preserve"> </w:t>
      </w:r>
      <w:r w:rsidRPr="00981405">
        <w:t>welcomed</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those</w:t>
      </w:r>
      <w:r w:rsidR="00190923" w:rsidRPr="00981405">
        <w:t xml:space="preserve"> </w:t>
      </w:r>
      <w:r w:rsidRPr="00981405">
        <w:t>statements</w:t>
      </w:r>
      <w:r w:rsidR="00190923" w:rsidRPr="00981405">
        <w:t xml:space="preserve"> </w:t>
      </w:r>
      <w:r w:rsidRPr="00981405">
        <w:t>and</w:t>
      </w:r>
      <w:r w:rsidR="00190923" w:rsidRPr="00981405">
        <w:t xml:space="preserve"> </w:t>
      </w:r>
      <w:r w:rsidRPr="00981405">
        <w:t>comments</w:t>
      </w:r>
      <w:r w:rsidR="00190923" w:rsidRPr="00981405">
        <w:t xml:space="preserve"> </w:t>
      </w:r>
      <w:r w:rsidRPr="00981405">
        <w:t>to</w:t>
      </w:r>
      <w:r w:rsidR="00190923" w:rsidRPr="00981405">
        <w:t xml:space="preserve"> </w:t>
      </w:r>
      <w:r w:rsidRPr="00981405">
        <w:t>be</w:t>
      </w:r>
      <w:r w:rsidR="00190923" w:rsidRPr="00981405">
        <w:t xml:space="preserve"> </w:t>
      </w:r>
      <w:r w:rsidRPr="00981405">
        <w:t>important</w:t>
      </w:r>
      <w:r w:rsidR="00190923" w:rsidRPr="00981405">
        <w:t xml:space="preserve"> </w:t>
      </w:r>
      <w:r w:rsidRPr="00981405">
        <w:t>and</w:t>
      </w:r>
      <w:r w:rsidR="00190923" w:rsidRPr="00981405">
        <w:t xml:space="preserve"> </w:t>
      </w:r>
      <w:r w:rsidRPr="00981405">
        <w:t>useful,</w:t>
      </w:r>
      <w:r w:rsidR="00190923" w:rsidRPr="00981405">
        <w:t xml:space="preserve"> </w:t>
      </w:r>
      <w:r w:rsidRPr="00981405">
        <w:t>not</w:t>
      </w:r>
      <w:r w:rsidR="00190923" w:rsidRPr="00981405">
        <w:t xml:space="preserve"> </w:t>
      </w:r>
      <w:r w:rsidRPr="00981405">
        <w:t>only</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reporting</w:t>
      </w:r>
      <w:r w:rsidR="00190923" w:rsidRPr="00981405">
        <w:t xml:space="preserve"> </w:t>
      </w:r>
      <w:r w:rsidRPr="00981405">
        <w:t>on</w:t>
      </w:r>
      <w:r w:rsidR="00190923" w:rsidRPr="00981405">
        <w:t xml:space="preserve"> </w:t>
      </w:r>
      <w:r w:rsidRPr="00981405">
        <w:t>national</w:t>
      </w:r>
      <w:r w:rsidR="00190923" w:rsidRPr="00981405">
        <w:t xml:space="preserve"> </w:t>
      </w:r>
      <w:r w:rsidRPr="00981405">
        <w:t>practice</w:t>
      </w:r>
      <w:r w:rsidR="00190923" w:rsidRPr="00981405">
        <w:t xml:space="preserve"> </w:t>
      </w:r>
      <w:r w:rsidRPr="00981405">
        <w:t>but</w:t>
      </w:r>
      <w:r w:rsidR="00190923" w:rsidRPr="00981405">
        <w:t xml:space="preserve"> </w:t>
      </w:r>
      <w:r w:rsidRPr="00981405">
        <w:t>also</w:t>
      </w:r>
      <w:r w:rsidR="00190923" w:rsidRPr="00981405">
        <w:t xml:space="preserve"> </w:t>
      </w:r>
      <w:r w:rsidRPr="00981405">
        <w:t>with</w:t>
      </w:r>
      <w:r w:rsidR="00190923" w:rsidRPr="00981405">
        <w:t xml:space="preserve"> </w:t>
      </w:r>
      <w:r w:rsidRPr="00981405">
        <w:t>a</w:t>
      </w:r>
      <w:r w:rsidR="00190923" w:rsidRPr="00981405">
        <w:t xml:space="preserve"> </w:t>
      </w:r>
      <w:r w:rsidRPr="00981405">
        <w:t>view</w:t>
      </w:r>
      <w:r w:rsidR="00190923" w:rsidRPr="00981405">
        <w:t xml:space="preserve"> </w:t>
      </w:r>
      <w:r w:rsidRPr="00981405">
        <w:t>to</w:t>
      </w:r>
      <w:r w:rsidR="00190923" w:rsidRPr="00981405">
        <w:t xml:space="preserve"> </w:t>
      </w:r>
      <w:r w:rsidRPr="00981405">
        <w:t>ascertaining</w:t>
      </w:r>
      <w:r w:rsidR="00190923" w:rsidRPr="00981405">
        <w:t xml:space="preserve"> </w:t>
      </w:r>
      <w:r w:rsidRPr="00981405">
        <w:t>how</w:t>
      </w:r>
      <w:r w:rsidR="00190923" w:rsidRPr="00981405">
        <w:t xml:space="preserve"> </w:t>
      </w:r>
      <w:r w:rsidRPr="00981405">
        <w:t>States</w:t>
      </w:r>
      <w:r w:rsidR="00190923" w:rsidRPr="00981405">
        <w:t xml:space="preserve"> </w:t>
      </w:r>
      <w:r w:rsidRPr="00981405">
        <w:t>perceived</w:t>
      </w:r>
      <w:r w:rsidR="00190923" w:rsidRPr="00981405">
        <w:t xml:space="preserve"> </w:t>
      </w:r>
      <w:r w:rsidRPr="00981405">
        <w:t>the</w:t>
      </w:r>
      <w:r w:rsidR="00190923" w:rsidRPr="00981405">
        <w:t xml:space="preserve"> </w:t>
      </w:r>
      <w:r w:rsidRPr="00981405">
        <w:t>various</w:t>
      </w:r>
      <w:r w:rsidR="00190923" w:rsidRPr="00981405">
        <w:t xml:space="preserve"> </w:t>
      </w:r>
      <w:r w:rsidRPr="00981405">
        <w:t>legal</w:t>
      </w:r>
      <w:r w:rsidR="00190923" w:rsidRPr="00981405">
        <w:t xml:space="preserve"> </w:t>
      </w:r>
      <w:r w:rsidRPr="00981405">
        <w:t>questions</w:t>
      </w:r>
      <w:r w:rsidR="00190923" w:rsidRPr="00981405">
        <w:t xml:space="preserve"> </w:t>
      </w:r>
      <w:r w:rsidRPr="00981405">
        <w:t>that</w:t>
      </w:r>
      <w:r w:rsidR="00190923" w:rsidRPr="00981405">
        <w:t xml:space="preserve"> </w:t>
      </w:r>
      <w:r w:rsidRPr="00981405">
        <w:t>came</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current</w:t>
      </w:r>
      <w:r w:rsidR="00190923" w:rsidRPr="00981405">
        <w:t xml:space="preserve"> </w:t>
      </w:r>
      <w:r w:rsidRPr="00981405">
        <w:t>topic.</w:t>
      </w:r>
    </w:p>
    <w:p w:rsidR="00397032" w:rsidRPr="00981405" w:rsidRDefault="00397032" w:rsidP="00D97463">
      <w:pPr>
        <w:pStyle w:val="SingleTxt"/>
      </w:pPr>
      <w:r w:rsidRPr="00981405">
        <w:t>237.</w:t>
      </w:r>
      <w:r w:rsidRPr="00981405">
        <w:tab/>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comments</w:t>
      </w:r>
      <w:r w:rsidR="00190923" w:rsidRPr="00981405">
        <w:t xml:space="preserve"> </w:t>
      </w:r>
      <w:r w:rsidRPr="00981405">
        <w:t>made</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made</w:t>
      </w:r>
      <w:r w:rsidR="00190923" w:rsidRPr="00981405">
        <w:t xml:space="preserve"> </w:t>
      </w:r>
      <w:r w:rsidRPr="00981405">
        <w:t>several</w:t>
      </w:r>
      <w:r w:rsidR="00190923" w:rsidRPr="00981405">
        <w:t xml:space="preserve"> </w:t>
      </w:r>
      <w:r w:rsidRPr="00981405">
        <w:t>concluding</w:t>
      </w:r>
      <w:r w:rsidR="00190923" w:rsidRPr="00981405">
        <w:t xml:space="preserve"> </w:t>
      </w:r>
      <w:r w:rsidRPr="00981405">
        <w:t>remarks</w:t>
      </w:r>
      <w:r w:rsidR="00190923" w:rsidRPr="00981405">
        <w:t xml:space="preserve"> </w:t>
      </w:r>
      <w:r w:rsidRPr="00981405">
        <w:t>on</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including</w:t>
      </w:r>
      <w:r w:rsidR="00190923" w:rsidRPr="00981405">
        <w:t xml:space="preserve"> </w:t>
      </w:r>
      <w:r w:rsidRPr="00981405">
        <w:t>such</w:t>
      </w:r>
      <w:r w:rsidR="00190923" w:rsidRPr="00981405">
        <w:t xml:space="preserve"> </w:t>
      </w:r>
      <w:r w:rsidRPr="00981405">
        <w:t>a</w:t>
      </w:r>
      <w:r w:rsidR="00190923" w:rsidRPr="00981405">
        <w:t xml:space="preserve"> </w:t>
      </w:r>
      <w:r w:rsidRPr="00981405">
        <w:t>definition</w:t>
      </w:r>
      <w:r w:rsidR="00190923" w:rsidRPr="00981405">
        <w:t xml:space="preserve"> </w:t>
      </w:r>
      <w:r w:rsidRPr="00981405">
        <w:t>in</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the</w:t>
      </w:r>
      <w:r w:rsidR="00190923" w:rsidRPr="00981405">
        <w:t xml:space="preserve"> </w:t>
      </w:r>
      <w:r w:rsidRPr="00981405">
        <w:t>link</w:t>
      </w:r>
      <w:r w:rsidR="00190923" w:rsidRPr="00981405">
        <w:t xml:space="preserve"> </w:t>
      </w:r>
      <w:r w:rsidRPr="00981405">
        <w:t>that</w:t>
      </w:r>
      <w:r w:rsidR="00190923" w:rsidRPr="00981405">
        <w:t xml:space="preserve"> </w:t>
      </w:r>
      <w:r w:rsidRPr="00981405">
        <w:t>existed</w:t>
      </w:r>
      <w:r w:rsidR="00190923" w:rsidRPr="00981405">
        <w:t xml:space="preserve"> </w:t>
      </w:r>
      <w:r w:rsidRPr="00981405">
        <w:t>between</w:t>
      </w:r>
      <w:r w:rsidR="00190923" w:rsidRPr="00981405">
        <w:t xml:space="preserve"> </w:t>
      </w:r>
      <w:r w:rsidRPr="00981405">
        <w:t>such</w:t>
      </w:r>
      <w:r w:rsidR="00190923" w:rsidRPr="00981405">
        <w:t xml:space="preserve"> </w:t>
      </w:r>
      <w:r w:rsidRPr="00981405">
        <w:t>an</w:t>
      </w:r>
      <w:r w:rsidR="00190923" w:rsidRPr="00981405">
        <w:t xml:space="preserve"> </w:t>
      </w:r>
      <w:r w:rsidRPr="00981405">
        <w:t>act</w:t>
      </w:r>
      <w:r w:rsidR="00190923" w:rsidRPr="00981405">
        <w:t xml:space="preserve"> </w:t>
      </w:r>
      <w:r w:rsidRPr="00981405">
        <w:t>and</w:t>
      </w:r>
      <w:r w:rsidR="00190923" w:rsidRPr="00981405">
        <w:t xml:space="preserve"> </w:t>
      </w:r>
      <w:r w:rsidRPr="00981405">
        <w:t>sovereignty</w:t>
      </w:r>
      <w:r w:rsidR="00190923" w:rsidRPr="00981405">
        <w:t xml:space="preserve"> </w:t>
      </w:r>
      <w:r w:rsidRPr="00981405">
        <w:t>and</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elements</w:t>
      </w:r>
      <w:r w:rsidR="00190923" w:rsidRPr="00981405">
        <w:t xml:space="preserve"> </w:t>
      </w:r>
      <w:r w:rsidRPr="00981405">
        <w:t>of</w:t>
      </w:r>
      <w:r w:rsidR="00190923" w:rsidRPr="00981405">
        <w:t xml:space="preserve"> </w:t>
      </w:r>
      <w:r w:rsidRPr="00981405">
        <w:t>governmental</w:t>
      </w:r>
      <w:r w:rsidR="00190923" w:rsidRPr="00981405">
        <w:t xml:space="preserve"> </w:t>
      </w:r>
      <w:r w:rsidRPr="00981405">
        <w:t>authority;</w:t>
      </w:r>
      <w:r w:rsidR="00190923" w:rsidRPr="00981405">
        <w:t xml:space="preserve"> </w:t>
      </w:r>
      <w:r w:rsidRPr="00981405">
        <w:t>the</w:t>
      </w:r>
      <w:r w:rsidR="00190923" w:rsidRPr="00981405">
        <w:t xml:space="preserve"> </w:t>
      </w:r>
      <w:r w:rsidRPr="00981405">
        <w:t>criminal</w:t>
      </w:r>
      <w:r w:rsidR="00190923" w:rsidRPr="00981405">
        <w:t xml:space="preserve"> </w:t>
      </w:r>
      <w:r w:rsidRPr="00981405">
        <w:t>dimension</w:t>
      </w:r>
      <w:r w:rsidR="00190923" w:rsidRPr="00981405">
        <w:t xml:space="preserve"> </w:t>
      </w:r>
      <w:r w:rsidRPr="00981405">
        <w:t>linked</w:t>
      </w:r>
      <w:r w:rsidR="00190923" w:rsidRPr="00981405">
        <w:t xml:space="preserve"> </w:t>
      </w:r>
      <w:r w:rsidRPr="00981405">
        <w:t>to</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responsibility</w:t>
      </w:r>
      <w:r w:rsidR="00190923" w:rsidRPr="00981405">
        <w:t xml:space="preserve"> </w:t>
      </w:r>
      <w:r w:rsidRPr="00981405">
        <w:t>and</w:t>
      </w:r>
      <w:r w:rsidR="00190923" w:rsidRPr="00981405">
        <w:t xml:space="preserve"> </w:t>
      </w:r>
      <w:r w:rsidRPr="00981405">
        <w:t>immunity.</w:t>
      </w:r>
    </w:p>
    <w:p w:rsidR="00397032" w:rsidRPr="00981405" w:rsidRDefault="00397032" w:rsidP="00D97463">
      <w:pPr>
        <w:pStyle w:val="SingleTxt"/>
      </w:pPr>
      <w:r w:rsidRPr="00981405">
        <w:t>238.</w:t>
      </w:r>
      <w:r w:rsidRPr="00981405">
        <w:tab/>
        <w:t>On</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defining</w:t>
      </w:r>
      <w:r w:rsidR="00190923" w:rsidRPr="00981405">
        <w:t xml:space="preserve"> </w:t>
      </w:r>
      <w:r w:rsidRPr="00981405">
        <w:t>an</w:t>
      </w:r>
      <w:r w:rsidR="00190923" w:rsidRPr="00981405">
        <w:t xml:space="preserve"> </w:t>
      </w:r>
      <w:r w:rsidR="00B92E2C" w:rsidRPr="00981405">
        <w:t>“</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an</w:t>
      </w:r>
      <w:r w:rsidR="00190923" w:rsidRPr="00981405">
        <w:t xml:space="preserve"> </w:t>
      </w:r>
      <w:r w:rsidRPr="00981405">
        <w:t>official</w:t>
      </w:r>
      <w:r w:rsidR="00190923" w:rsidRPr="00981405">
        <w:t xml:space="preserve"> </w:t>
      </w:r>
      <w:r w:rsidRPr="00981405">
        <w:t>capacity</w:t>
      </w:r>
      <w:r w:rsidR="00B92E2C" w:rsidRPr="00981405">
        <w:t>”</w:t>
      </w:r>
      <w:r w:rsidRPr="00981405">
        <w: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reaffirmed</w:t>
      </w:r>
      <w:r w:rsidR="00190923" w:rsidRPr="00981405">
        <w:t xml:space="preserve"> </w:t>
      </w:r>
      <w:r w:rsidRPr="00981405">
        <w:t>her</w:t>
      </w:r>
      <w:r w:rsidR="00190923" w:rsidRPr="00981405">
        <w:t xml:space="preserve"> </w:t>
      </w:r>
      <w:r w:rsidRPr="00981405">
        <w:t>conviction</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necessary</w:t>
      </w:r>
      <w:r w:rsidR="00190923" w:rsidRPr="00981405">
        <w:t xml:space="preserve"> </w:t>
      </w:r>
      <w:r w:rsidRPr="00981405">
        <w:t>to</w:t>
      </w:r>
      <w:r w:rsidR="00190923" w:rsidRPr="00981405">
        <w:t xml:space="preserve"> </w:t>
      </w:r>
      <w:r w:rsidRPr="00981405">
        <w:t>have</w:t>
      </w:r>
      <w:r w:rsidR="00190923" w:rsidRPr="00981405">
        <w:t xml:space="preserve"> </w:t>
      </w:r>
      <w:r w:rsidRPr="00981405">
        <w:t>such</w:t>
      </w:r>
      <w:r w:rsidR="00190923" w:rsidRPr="00981405">
        <w:t xml:space="preserve"> </w:t>
      </w:r>
      <w:r w:rsidRPr="00981405">
        <w:t>a</w:t>
      </w:r>
      <w:r w:rsidR="00190923" w:rsidRPr="00981405">
        <w:t xml:space="preserve"> </w:t>
      </w:r>
      <w:r w:rsidRPr="00981405">
        <w:t>definition</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w:t>
      </w:r>
      <w:r w:rsidR="00190923" w:rsidRPr="00981405">
        <w:t xml:space="preserve"> </w:t>
      </w:r>
      <w:r w:rsidRPr="00981405">
        <w:t>view</w:t>
      </w:r>
      <w:r w:rsidR="00190923" w:rsidRPr="00981405">
        <w:t xml:space="preserve"> </w:t>
      </w:r>
      <w:r w:rsidRPr="00981405">
        <w:t>which</w:t>
      </w:r>
      <w:r w:rsidR="00190923" w:rsidRPr="00981405">
        <w:t xml:space="preserve"> </w:t>
      </w:r>
      <w:r w:rsidRPr="00981405">
        <w:t>had</w:t>
      </w:r>
      <w:r w:rsidR="00190923" w:rsidRPr="00981405">
        <w:t xml:space="preserve"> </w:t>
      </w:r>
      <w:r w:rsidRPr="00981405">
        <w:t>been</w:t>
      </w:r>
      <w:r w:rsidR="00190923" w:rsidRPr="00981405">
        <w:t xml:space="preserve"> </w:t>
      </w:r>
      <w:r w:rsidRPr="00981405">
        <w:t>endorsed</w:t>
      </w:r>
      <w:r w:rsidR="00190923" w:rsidRPr="00981405">
        <w:t xml:space="preserve"> </w:t>
      </w:r>
      <w:r w:rsidRPr="00981405">
        <w:t>by</w:t>
      </w:r>
      <w:r w:rsidR="00190923" w:rsidRPr="00981405">
        <w:t xml:space="preserve"> </w:t>
      </w:r>
      <w:r w:rsidRPr="00981405">
        <w:t>a</w:t>
      </w:r>
      <w:r w:rsidR="00190923" w:rsidRPr="00981405">
        <w:t xml:space="preserve"> </w:t>
      </w:r>
      <w:r w:rsidRPr="00981405">
        <w:t>considerable</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her</w:t>
      </w:r>
      <w:r w:rsidR="00190923" w:rsidRPr="00981405">
        <w:t xml:space="preserve"> </w:t>
      </w:r>
      <w:r w:rsidRPr="00981405">
        <w:t>opinion,</w:t>
      </w:r>
      <w:r w:rsidR="00190923" w:rsidRPr="00981405">
        <w:t xml:space="preserve"> </w:t>
      </w:r>
      <w:r w:rsidRPr="00981405">
        <w:t>such</w:t>
      </w:r>
      <w:r w:rsidR="00190923" w:rsidRPr="00981405">
        <w:t xml:space="preserve"> </w:t>
      </w:r>
      <w:r w:rsidRPr="00981405">
        <w:t>a</w:t>
      </w:r>
      <w:r w:rsidR="00190923" w:rsidRPr="00981405">
        <w:t xml:space="preserve"> </w:t>
      </w:r>
      <w:r w:rsidRPr="00981405">
        <w:t>definition</w:t>
      </w:r>
      <w:r w:rsidR="00190923" w:rsidRPr="00981405">
        <w:t xml:space="preserve"> </w:t>
      </w:r>
      <w:r w:rsidRPr="00981405">
        <w:t>would</w:t>
      </w:r>
      <w:r w:rsidR="00190923" w:rsidRPr="00981405">
        <w:t xml:space="preserve"> </w:t>
      </w:r>
      <w:r w:rsidRPr="00981405">
        <w:t>assist</w:t>
      </w:r>
      <w:r w:rsidR="00190923" w:rsidRPr="00981405">
        <w:t xml:space="preserve"> </w:t>
      </w:r>
      <w:r w:rsidRPr="00981405">
        <w:t>in</w:t>
      </w:r>
      <w:r w:rsidR="00190923" w:rsidRPr="00981405">
        <w:t xml:space="preserve"> </w:t>
      </w:r>
      <w:r w:rsidRPr="00981405">
        <w:t>achieving</w:t>
      </w:r>
      <w:r w:rsidR="00190923" w:rsidRPr="00981405">
        <w:t xml:space="preserve"> </w:t>
      </w:r>
      <w:r w:rsidRPr="00981405">
        <w:t>legal</w:t>
      </w:r>
      <w:r w:rsidR="00190923" w:rsidRPr="00981405">
        <w:t xml:space="preserve"> </w:t>
      </w:r>
      <w:r w:rsidRPr="00981405">
        <w:t>certainty,</w:t>
      </w:r>
      <w:r w:rsidR="00190923" w:rsidRPr="00981405">
        <w:t xml:space="preserve"> </w:t>
      </w:r>
      <w:r w:rsidRPr="00981405">
        <w:t>in</w:t>
      </w:r>
      <w:r w:rsidR="00190923" w:rsidRPr="00981405">
        <w:t xml:space="preserve"> </w:t>
      </w:r>
      <w:r w:rsidRPr="00981405">
        <w:t>particular</w:t>
      </w:r>
      <w:r w:rsidR="00190923" w:rsidRPr="00981405">
        <w:t xml:space="preserve"> </w:t>
      </w:r>
      <w:r w:rsidRPr="00981405">
        <w:t>bearing</w:t>
      </w:r>
      <w:r w:rsidR="00190923" w:rsidRPr="00981405">
        <w:t xml:space="preserve"> </w:t>
      </w:r>
      <w:r w:rsidRPr="00981405">
        <w:t>in</w:t>
      </w:r>
      <w:r w:rsidR="00190923" w:rsidRPr="00981405">
        <w:t xml:space="preserve"> </w:t>
      </w:r>
      <w:r w:rsidRPr="00981405">
        <w:t>mind</w:t>
      </w:r>
      <w:r w:rsidR="00190923" w:rsidRPr="00981405">
        <w:t xml:space="preserve"> </w:t>
      </w:r>
      <w:r w:rsidRPr="00981405">
        <w:t>that</w:t>
      </w:r>
      <w:r w:rsidR="00190923" w:rsidRPr="00981405">
        <w:t xml:space="preserve"> </w:t>
      </w:r>
      <w:r w:rsidRPr="00981405">
        <w:t>the</w:t>
      </w:r>
      <w:r w:rsidR="00190923" w:rsidRPr="00981405">
        <w:t xml:space="preserve"> </w:t>
      </w:r>
      <w:r w:rsidRPr="00981405">
        <w:t>concept</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defined</w:t>
      </w:r>
      <w:r w:rsidR="00190923" w:rsidRPr="00981405">
        <w:t xml:space="preserve"> </w:t>
      </w:r>
      <w:r w:rsidRPr="00981405">
        <w:t>solely</w:t>
      </w:r>
      <w:r w:rsidR="00190923" w:rsidRPr="00981405">
        <w:t xml:space="preserve"> </w:t>
      </w:r>
      <w:r w:rsidRPr="00981405">
        <w:t>by</w:t>
      </w:r>
      <w:r w:rsidR="00190923" w:rsidRPr="00981405">
        <w:t xml:space="preserve"> </w:t>
      </w:r>
      <w:r w:rsidRPr="00981405">
        <w:t>opposition</w:t>
      </w:r>
      <w:r w:rsidR="00190923" w:rsidRPr="00981405">
        <w:t xml:space="preserve"> </w:t>
      </w:r>
      <w:r w:rsidRPr="00981405">
        <w:t>to</w:t>
      </w:r>
      <w:r w:rsidR="00190923" w:rsidRPr="00981405">
        <w:t xml:space="preserve"> </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a</w:t>
      </w:r>
      <w:r w:rsidR="00190923" w:rsidRPr="00981405">
        <w:t xml:space="preserve"> </w:t>
      </w:r>
      <w:r w:rsidRPr="00981405">
        <w:t>private</w:t>
      </w:r>
      <w:r w:rsidR="00190923" w:rsidRPr="00981405">
        <w:t xml:space="preserve"> </w:t>
      </w:r>
      <w:r w:rsidRPr="00981405">
        <w:t>capacity,</w:t>
      </w:r>
      <w:r w:rsidR="00190923" w:rsidRPr="00981405">
        <w:t xml:space="preserve"> </w:t>
      </w:r>
      <w:r w:rsidRPr="00981405">
        <w:t>which</w:t>
      </w:r>
      <w:r w:rsidR="00190923" w:rsidRPr="00981405">
        <w:t xml:space="preserve"> </w:t>
      </w:r>
      <w:r w:rsidRPr="00981405">
        <w:t>also</w:t>
      </w:r>
      <w:r w:rsidR="00190923" w:rsidRPr="00981405">
        <w:t xml:space="preserve"> </w:t>
      </w:r>
      <w:r w:rsidRPr="00981405">
        <w:t>had</w:t>
      </w:r>
      <w:r w:rsidR="00190923" w:rsidRPr="00981405">
        <w:t xml:space="preserve"> </w:t>
      </w:r>
      <w:r w:rsidRPr="00981405">
        <w:t>not</w:t>
      </w:r>
      <w:r w:rsidR="00190923" w:rsidRPr="00981405">
        <w:t xml:space="preserve"> </w:t>
      </w:r>
      <w:r w:rsidRPr="00981405">
        <w:t>been</w:t>
      </w:r>
      <w:r w:rsidR="00190923" w:rsidRPr="00981405">
        <w:t xml:space="preserve"> </w:t>
      </w:r>
      <w:r w:rsidRPr="00981405">
        <w:t>defined,</w:t>
      </w:r>
      <w:r w:rsidR="00190923" w:rsidRPr="00981405">
        <w:t xml:space="preserve"> </w:t>
      </w:r>
      <w:r w:rsidRPr="00981405">
        <w:t>and</w:t>
      </w:r>
      <w:r w:rsidR="00190923" w:rsidRPr="00981405">
        <w:t xml:space="preserve"> </w:t>
      </w:r>
      <w:r w:rsidRPr="00981405">
        <w:t>the</w:t>
      </w:r>
      <w:r w:rsidR="00190923" w:rsidRPr="00981405">
        <w:t xml:space="preserve"> </w:t>
      </w:r>
      <w:r w:rsidRPr="00981405">
        <w:t>diversity</w:t>
      </w:r>
      <w:r w:rsidR="00190923" w:rsidRPr="00981405">
        <w:t xml:space="preserve"> </w:t>
      </w:r>
      <w:r w:rsidRPr="00981405">
        <w:t>and</w:t>
      </w:r>
      <w:r w:rsidR="00190923" w:rsidRPr="00981405">
        <w:t xml:space="preserve"> </w:t>
      </w:r>
      <w:r w:rsidRPr="00981405">
        <w:t>lack</w:t>
      </w:r>
      <w:r w:rsidR="00190923" w:rsidRPr="00981405">
        <w:t xml:space="preserve"> </w:t>
      </w:r>
      <w:r w:rsidRPr="00981405">
        <w:t>of</w:t>
      </w:r>
      <w:r w:rsidR="00190923" w:rsidRPr="00981405">
        <w:t xml:space="preserve"> </w:t>
      </w:r>
      <w:r w:rsidRPr="00981405">
        <w:t>homogeneity</w:t>
      </w:r>
      <w:r w:rsidR="00190923" w:rsidRPr="00981405">
        <w:t xml:space="preserve"> </w:t>
      </w:r>
      <w:r w:rsidRPr="00981405">
        <w:t>of</w:t>
      </w:r>
      <w:r w:rsidR="00190923" w:rsidRPr="00981405">
        <w:t xml:space="preserve"> </w:t>
      </w:r>
      <w:r w:rsidRPr="00981405">
        <w:t>case</w:t>
      </w:r>
      <w:r w:rsidR="00190923" w:rsidRPr="00981405">
        <w:t xml:space="preserve"> </w:t>
      </w:r>
      <w:r w:rsidRPr="00981405">
        <w:t>law,</w:t>
      </w:r>
      <w:r w:rsidR="00190923" w:rsidRPr="00981405">
        <w:t xml:space="preserve"> </w:t>
      </w:r>
      <w:r w:rsidRPr="00981405">
        <w:t>which</w:t>
      </w:r>
      <w:r w:rsidR="00190923" w:rsidRPr="00981405">
        <w:t xml:space="preserve"> </w:t>
      </w:r>
      <w:r w:rsidRPr="00981405">
        <w:t>militated</w:t>
      </w:r>
      <w:r w:rsidR="00190923" w:rsidRPr="00981405">
        <w:t xml:space="preserve"> </w:t>
      </w:r>
      <w:r w:rsidRPr="00981405">
        <w:t>against</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an</w:t>
      </w:r>
      <w:r w:rsidR="00190923" w:rsidRPr="00981405">
        <w:t xml:space="preserve"> </w:t>
      </w:r>
      <w:r w:rsidRPr="00981405">
        <w:t>indeterminate</w:t>
      </w:r>
      <w:r w:rsidR="00190923" w:rsidRPr="00981405">
        <w:t xml:space="preserve"> </w:t>
      </w:r>
      <w:r w:rsidRPr="00981405">
        <w:t>legal</w:t>
      </w:r>
      <w:r w:rsidR="00190923" w:rsidRPr="00981405">
        <w:t xml:space="preserve"> </w:t>
      </w:r>
      <w:r w:rsidRPr="00981405">
        <w:t>concept</w:t>
      </w:r>
      <w:r w:rsidR="00190923" w:rsidRPr="00981405">
        <w:t xml:space="preserve"> </w:t>
      </w:r>
      <w:r w:rsidRPr="00981405">
        <w:t>that</w:t>
      </w:r>
      <w:r w:rsidR="00190923" w:rsidRPr="00981405">
        <w:t xml:space="preserve"> </w:t>
      </w:r>
      <w:r w:rsidRPr="00981405">
        <w:t>could</w:t>
      </w:r>
      <w:r w:rsidR="00190923" w:rsidRPr="00981405">
        <w:t xml:space="preserve"> </w:t>
      </w:r>
      <w:r w:rsidRPr="00981405">
        <w:t>be</w:t>
      </w:r>
      <w:r w:rsidR="00190923" w:rsidRPr="00981405">
        <w:t xml:space="preserve"> </w:t>
      </w:r>
      <w:r w:rsidRPr="00981405">
        <w:t>identified</w:t>
      </w:r>
      <w:r w:rsidR="00190923" w:rsidRPr="00981405">
        <w:t xml:space="preserve"> </w:t>
      </w:r>
      <w:r w:rsidRPr="00981405">
        <w:t>by</w:t>
      </w:r>
      <w:r w:rsidR="00190923" w:rsidRPr="00981405">
        <w:t xml:space="preserve"> </w:t>
      </w:r>
      <w:r w:rsidRPr="00981405">
        <w:t>judicial</w:t>
      </w:r>
      <w:r w:rsidR="00190923" w:rsidRPr="00981405">
        <w:t xml:space="preserve"> </w:t>
      </w:r>
      <w:r w:rsidRPr="00981405">
        <w:t>means.</w:t>
      </w:r>
      <w:r w:rsidR="00190923" w:rsidRPr="00981405">
        <w:t xml:space="preserve"> </w:t>
      </w:r>
      <w:r w:rsidRPr="00981405">
        <w:t>Moreover,</w:t>
      </w:r>
      <w:r w:rsidR="00190923" w:rsidRPr="00981405">
        <w:t xml:space="preserve"> </w:t>
      </w:r>
      <w:r w:rsidRPr="00981405">
        <w:t>its</w:t>
      </w:r>
      <w:r w:rsidR="00190923" w:rsidRPr="00981405">
        <w:t xml:space="preserve"> </w:t>
      </w:r>
      <w:r w:rsidRPr="00981405">
        <w:t>definition</w:t>
      </w:r>
      <w:r w:rsidR="00190923" w:rsidRPr="00981405">
        <w:t xml:space="preserve"> </w:t>
      </w:r>
      <w:r w:rsidRPr="00981405">
        <w:t>would</w:t>
      </w:r>
      <w:r w:rsidR="00190923" w:rsidRPr="00981405">
        <w:t xml:space="preserve"> </w:t>
      </w:r>
      <w:r w:rsidRPr="00981405">
        <w:t>contribute</w:t>
      </w:r>
      <w:r w:rsidR="00190923" w:rsidRPr="00981405">
        <w:t xml:space="preserve"> </w:t>
      </w:r>
      <w:r w:rsidRPr="00981405">
        <w:t>to</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and</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assist</w:t>
      </w:r>
      <w:r w:rsidR="00190923" w:rsidRPr="00981405">
        <w:t xml:space="preserve"> </w:t>
      </w:r>
      <w:r w:rsidRPr="00981405">
        <w:t>practitioners,</w:t>
      </w:r>
      <w:r w:rsidR="00190923" w:rsidRPr="00981405">
        <w:t xml:space="preserve"> </w:t>
      </w:r>
      <w:r w:rsidRPr="00981405">
        <w:t>including</w:t>
      </w:r>
      <w:r w:rsidR="00190923" w:rsidRPr="00981405">
        <w:t xml:space="preserve"> </w:t>
      </w:r>
      <w:r w:rsidRPr="00981405">
        <w:t>national</w:t>
      </w:r>
      <w:r w:rsidR="00190923" w:rsidRPr="00981405">
        <w:t xml:space="preserve"> </w:t>
      </w:r>
      <w:r w:rsidRPr="00981405">
        <w:t>courts.</w:t>
      </w:r>
      <w:r w:rsidR="00190923" w:rsidRPr="00981405">
        <w:t xml:space="preserve"> </w:t>
      </w:r>
      <w:r w:rsidRPr="00981405">
        <w:t>On</w:t>
      </w:r>
      <w:r w:rsidR="00190923" w:rsidRPr="00981405">
        <w:t xml:space="preserve"> </w:t>
      </w:r>
      <w:r w:rsidRPr="00981405">
        <w:t>that</w:t>
      </w:r>
      <w:r w:rsidR="00190923" w:rsidRPr="00981405">
        <w:t xml:space="preserve"> </w:t>
      </w:r>
      <w:r w:rsidRPr="00981405">
        <w:t>point,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expressed</w:t>
      </w:r>
      <w:r w:rsidR="00190923" w:rsidRPr="00981405">
        <w:t xml:space="preserve"> </w:t>
      </w:r>
      <w:r w:rsidRPr="00981405">
        <w:t>her</w:t>
      </w:r>
      <w:r w:rsidR="00190923" w:rsidRPr="00981405">
        <w:t xml:space="preserve"> </w:t>
      </w:r>
      <w:r w:rsidRPr="00981405">
        <w:t>view</w:t>
      </w:r>
      <w:r w:rsidR="00190923" w:rsidRPr="00981405">
        <w:t xml:space="preserve"> </w:t>
      </w:r>
      <w:r w:rsidRPr="00981405">
        <w:t>that</w:t>
      </w:r>
      <w:r w:rsidR="00190923" w:rsidRPr="00981405">
        <w:t xml:space="preserve"> </w:t>
      </w:r>
      <w:r w:rsidRPr="00981405">
        <w:t>repeatedly</w:t>
      </w:r>
      <w:r w:rsidR="00190923" w:rsidRPr="00981405">
        <w:t xml:space="preserve"> </w:t>
      </w:r>
      <w:r w:rsidRPr="00981405">
        <w:t>applying</w:t>
      </w:r>
      <w:r w:rsidR="00190923" w:rsidRPr="00981405">
        <w:t xml:space="preserve"> </w:t>
      </w:r>
      <w:r w:rsidRPr="00981405">
        <w:t>the</w:t>
      </w:r>
      <w:r w:rsidR="00190923" w:rsidRPr="00981405">
        <w:t xml:space="preserve"> </w:t>
      </w:r>
      <w:r w:rsidRPr="00981405">
        <w:t>technique</w:t>
      </w:r>
      <w:r w:rsidR="00190923" w:rsidRPr="00981405">
        <w:t xml:space="preserve"> </w:t>
      </w:r>
      <w:r w:rsidRPr="00981405">
        <w:t>of</w:t>
      </w:r>
      <w:r w:rsidR="00190923" w:rsidRPr="00981405">
        <w:t xml:space="preserve"> </w:t>
      </w:r>
      <w:r w:rsidR="00B92E2C" w:rsidRPr="00981405">
        <w:t>“</w:t>
      </w:r>
      <w:r w:rsidRPr="00981405">
        <w:t>deregulation</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in</w:t>
      </w:r>
      <w:r w:rsidR="00190923" w:rsidRPr="00981405">
        <w:t xml:space="preserve"> </w:t>
      </w:r>
      <w:r w:rsidRPr="00981405">
        <w:t>question,</w:t>
      </w:r>
      <w:r w:rsidR="00190923" w:rsidRPr="00981405">
        <w:t xml:space="preserve"> </w:t>
      </w:r>
      <w:r w:rsidRPr="00981405">
        <w:t>failing</w:t>
      </w:r>
      <w:r w:rsidR="00190923" w:rsidRPr="00981405">
        <w:t xml:space="preserve"> </w:t>
      </w:r>
      <w:r w:rsidRPr="00981405">
        <w:t>to</w:t>
      </w:r>
      <w:r w:rsidR="00190923" w:rsidRPr="00981405">
        <w:t xml:space="preserve"> </w:t>
      </w:r>
      <w:r w:rsidRPr="00981405">
        <w:t>adopt</w:t>
      </w:r>
      <w:r w:rsidR="00190923" w:rsidRPr="00981405">
        <w:t xml:space="preserve"> </w:t>
      </w:r>
      <w:r w:rsidRPr="00981405">
        <w:t>a</w:t>
      </w:r>
      <w:r w:rsidR="00190923" w:rsidRPr="00981405">
        <w:t xml:space="preserve"> </w:t>
      </w:r>
      <w:r w:rsidRPr="00981405">
        <w:t>definition)</w:t>
      </w:r>
      <w:r w:rsidR="00190923" w:rsidRPr="00981405">
        <w:t xml:space="preserve"> </w:t>
      </w:r>
      <w:r w:rsidRPr="00981405">
        <w:t>did</w:t>
      </w:r>
      <w:r w:rsidR="00190923" w:rsidRPr="00981405">
        <w:t xml:space="preserve"> </w:t>
      </w:r>
      <w:r w:rsidRPr="00981405">
        <w:t>not</w:t>
      </w:r>
      <w:r w:rsidR="00190923" w:rsidRPr="00981405">
        <w:t xml:space="preserve"> </w:t>
      </w:r>
      <w:r w:rsidRPr="00981405">
        <w:t>appear</w:t>
      </w:r>
      <w:r w:rsidR="00190923" w:rsidRPr="00981405">
        <w:t xml:space="preserve"> </w:t>
      </w:r>
      <w:r w:rsidRPr="00981405">
        <w:t>to</w:t>
      </w:r>
      <w:r w:rsidR="00190923" w:rsidRPr="00981405">
        <w:t xml:space="preserve"> </w:t>
      </w:r>
      <w:r w:rsidRPr="00981405">
        <w:t>be</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mandate.</w:t>
      </w:r>
    </w:p>
    <w:p w:rsidR="00397032" w:rsidRPr="00981405" w:rsidRDefault="00397032" w:rsidP="00D97463">
      <w:pPr>
        <w:pStyle w:val="SingleTxt"/>
      </w:pPr>
      <w:r w:rsidRPr="00981405">
        <w:lastRenderedPageBreak/>
        <w:t>239.</w:t>
      </w:r>
      <w:r w:rsidRPr="00981405">
        <w:tab/>
        <w:t>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sovereignty</w:t>
      </w:r>
      <w:r w:rsidR="00190923" w:rsidRPr="00981405">
        <w:t xml:space="preserve"> </w:t>
      </w:r>
      <w:r w:rsidRPr="00981405">
        <w:t>and</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sovereign</w:t>
      </w:r>
      <w:r w:rsidR="00190923" w:rsidRPr="00981405">
        <w:t xml:space="preserve"> </w:t>
      </w:r>
      <w:r w:rsidRPr="00981405">
        <w:t>authority,</w:t>
      </w:r>
      <w:r w:rsidR="00190923" w:rsidRPr="00981405">
        <w:t xml:space="preserve"> </w:t>
      </w:r>
      <w:r w:rsidRPr="00981405">
        <w:t>she</w:t>
      </w:r>
      <w:r w:rsidR="00190923" w:rsidRPr="00981405">
        <w:t xml:space="preserve"> </w:t>
      </w:r>
      <w:r w:rsidRPr="00981405">
        <w:t>stressed</w:t>
      </w:r>
      <w:r w:rsidR="00190923" w:rsidRPr="00981405">
        <w:t xml:space="preserve"> </w:t>
      </w:r>
      <w:r w:rsidRPr="00981405">
        <w:t>that</w:t>
      </w:r>
      <w:r w:rsidR="00190923" w:rsidRPr="00981405">
        <w:t xml:space="preserve"> </w:t>
      </w:r>
      <w:r w:rsidRPr="00981405">
        <w:t>qualifying</w:t>
      </w:r>
      <w:r w:rsidR="00190923" w:rsidRPr="00981405">
        <w:t xml:space="preserve"> </w:t>
      </w:r>
      <w:r w:rsidR="00B92E2C" w:rsidRPr="00981405">
        <w:t>“</w:t>
      </w:r>
      <w:r w:rsidRPr="00981405">
        <w:t>an</w:t>
      </w:r>
      <w:r w:rsidR="00190923" w:rsidRPr="00981405">
        <w:t xml:space="preserve"> </w:t>
      </w:r>
      <w:r w:rsidRPr="00981405">
        <w:t>act</w:t>
      </w:r>
      <w:r w:rsidR="00190923" w:rsidRPr="00981405">
        <w:t xml:space="preserve"> </w:t>
      </w:r>
      <w:r w:rsidRPr="00981405">
        <w:t>performed</w:t>
      </w:r>
      <w:r w:rsidR="00190923" w:rsidRPr="00981405">
        <w:t xml:space="preserve"> </w:t>
      </w:r>
      <w:r w:rsidRPr="00981405">
        <w:t>in</w:t>
      </w:r>
      <w:r w:rsidR="00190923" w:rsidRPr="00981405">
        <w:t xml:space="preserve"> </w:t>
      </w:r>
      <w:r w:rsidRPr="00981405">
        <w:t>the</w:t>
      </w:r>
      <w:r w:rsidR="00190923" w:rsidRPr="00981405">
        <w:t xml:space="preserve"> </w:t>
      </w:r>
      <w:r w:rsidRPr="00981405">
        <w:t>official</w:t>
      </w:r>
      <w:r w:rsidR="00190923" w:rsidRPr="00981405">
        <w:t xml:space="preserve"> </w:t>
      </w:r>
      <w:r w:rsidRPr="00981405">
        <w:t>capacity</w:t>
      </w:r>
      <w:r w:rsidR="00B92E2C" w:rsidRPr="00981405">
        <w:t>”</w:t>
      </w:r>
      <w:r w:rsidR="00190923" w:rsidRPr="00981405">
        <w:t xml:space="preserve"> </w:t>
      </w:r>
      <w:r w:rsidRPr="00981405">
        <w:t>as</w:t>
      </w:r>
      <w:r w:rsidR="00190923" w:rsidRPr="00981405">
        <w:t xml:space="preserve"> </w:t>
      </w:r>
      <w:r w:rsidRPr="00981405">
        <w:t>a</w:t>
      </w:r>
      <w:r w:rsidR="00190923" w:rsidRPr="00981405">
        <w:t xml:space="preserve"> </w:t>
      </w:r>
      <w:r w:rsidRPr="00981405">
        <w:t>material,</w:t>
      </w:r>
      <w:r w:rsidR="00190923" w:rsidRPr="00981405">
        <w:t xml:space="preserve"> </w:t>
      </w:r>
      <w:r w:rsidRPr="00981405">
        <w:t>as</w:t>
      </w:r>
      <w:r w:rsidR="00190923" w:rsidRPr="00981405">
        <w:t xml:space="preserve"> </w:t>
      </w:r>
      <w:r w:rsidRPr="00981405">
        <w:t>opposed</w:t>
      </w:r>
      <w:r w:rsidR="00190923" w:rsidRPr="00981405">
        <w:t xml:space="preserve"> </w:t>
      </w:r>
      <w:r w:rsidRPr="00981405">
        <w:t>to</w:t>
      </w:r>
      <w:r w:rsidR="00190923" w:rsidRPr="00981405">
        <w:t xml:space="preserve"> </w:t>
      </w:r>
      <w:r w:rsidRPr="00981405">
        <w:t>a</w:t>
      </w:r>
      <w:r w:rsidR="00190923" w:rsidRPr="00981405">
        <w:t xml:space="preserve"> </w:t>
      </w:r>
      <w:r w:rsidRPr="00981405">
        <w:t>subjective,</w:t>
      </w:r>
      <w:r w:rsidR="00190923" w:rsidRPr="00981405">
        <w:t xml:space="preserve"> </w:t>
      </w:r>
      <w:r w:rsidRPr="00981405">
        <w:t>element,</w:t>
      </w:r>
      <w:r w:rsidR="00190923" w:rsidRPr="00981405">
        <w:t xml:space="preserve"> </w:t>
      </w:r>
      <w:r w:rsidRPr="00981405">
        <w:t>required</w:t>
      </w:r>
      <w:r w:rsidR="00190923" w:rsidRPr="00981405">
        <w:t xml:space="preserve"> </w:t>
      </w:r>
      <w:r w:rsidRPr="00981405">
        <w:t>a</w:t>
      </w:r>
      <w:r w:rsidR="00190923" w:rsidRPr="00981405">
        <w:t xml:space="preserve"> </w:t>
      </w:r>
      <w:r w:rsidRPr="00981405">
        <w:t>special</w:t>
      </w:r>
      <w:r w:rsidR="00190923" w:rsidRPr="00981405">
        <w:t xml:space="preserve"> </w:t>
      </w:r>
      <w:r w:rsidRPr="00981405">
        <w:t>bond</w:t>
      </w:r>
      <w:r w:rsidR="00190923" w:rsidRPr="00981405">
        <w:t xml:space="preserve"> </w:t>
      </w:r>
      <w:r w:rsidRPr="00981405">
        <w:t>between</w:t>
      </w:r>
      <w:r w:rsidR="00190923" w:rsidRPr="00981405">
        <w:t xml:space="preserve"> </w:t>
      </w:r>
      <w:r w:rsidRPr="00981405">
        <w:t>the</w:t>
      </w:r>
      <w:r w:rsidR="00190923" w:rsidRPr="00981405">
        <w:t xml:space="preserve"> </w:t>
      </w:r>
      <w:r w:rsidRPr="00981405">
        <w:t>State</w:t>
      </w:r>
      <w:r w:rsidR="00190923" w:rsidRPr="00981405">
        <w:t xml:space="preserve"> </w:t>
      </w:r>
      <w:r w:rsidRPr="00981405">
        <w:t>official</w:t>
      </w:r>
      <w:r w:rsidR="00190923" w:rsidRPr="00981405">
        <w:t xml:space="preserve"> </w:t>
      </w:r>
      <w:r w:rsidRPr="00981405">
        <w:t>and</w:t>
      </w:r>
      <w:r w:rsidR="00190923" w:rsidRPr="00981405">
        <w:t xml:space="preserve"> </w:t>
      </w:r>
      <w:r w:rsidRPr="00981405">
        <w:t>the</w:t>
      </w:r>
      <w:r w:rsidR="00190923" w:rsidRPr="00981405">
        <w:t xml:space="preserve"> </w:t>
      </w:r>
      <w:r w:rsidRPr="00981405">
        <w:t>State.</w:t>
      </w:r>
      <w:r w:rsidR="00190923" w:rsidRPr="00981405">
        <w:t xml:space="preserve"> </w:t>
      </w:r>
      <w:r w:rsidRPr="00981405">
        <w:t>Even</w:t>
      </w:r>
      <w:r w:rsidR="00190923" w:rsidRPr="00981405">
        <w:t xml:space="preserve"> </w:t>
      </w:r>
      <w:r w:rsidRPr="00981405">
        <w:t>though</w:t>
      </w:r>
      <w:r w:rsidR="00190923" w:rsidRPr="00981405">
        <w:t xml:space="preserve"> </w:t>
      </w:r>
      <w:r w:rsidR="00B92E2C" w:rsidRPr="00981405">
        <w:t>“</w:t>
      </w:r>
      <w:r w:rsidRPr="00981405">
        <w:t>sovereignty</w:t>
      </w:r>
      <w:r w:rsidR="00B92E2C" w:rsidRPr="00981405">
        <w:t>”</w:t>
      </w:r>
      <w:r w:rsidR="00190923" w:rsidRPr="00981405">
        <w:t xml:space="preserve"> </w:t>
      </w:r>
      <w:r w:rsidRPr="00981405">
        <w:t>did</w:t>
      </w:r>
      <w:r w:rsidR="00190923" w:rsidRPr="00981405">
        <w:t xml:space="preserve"> </w:t>
      </w:r>
      <w:r w:rsidRPr="00981405">
        <w:t>not</w:t>
      </w:r>
      <w:r w:rsidR="00190923" w:rsidRPr="00981405">
        <w:t xml:space="preserve"> </w:t>
      </w:r>
      <w:r w:rsidRPr="00981405">
        <w:t>lend</w:t>
      </w:r>
      <w:r w:rsidR="00190923" w:rsidRPr="00981405">
        <w:t xml:space="preserve"> </w:t>
      </w:r>
      <w:r w:rsidRPr="00981405">
        <w:t>itself</w:t>
      </w:r>
      <w:r w:rsidR="00190923" w:rsidRPr="00981405">
        <w:t xml:space="preserve"> </w:t>
      </w:r>
      <w:r w:rsidRPr="00981405">
        <w:t>to</w:t>
      </w:r>
      <w:r w:rsidR="00190923" w:rsidRPr="00981405">
        <w:t xml:space="preserve"> </w:t>
      </w:r>
      <w:r w:rsidRPr="00981405">
        <w:t>a</w:t>
      </w:r>
      <w:r w:rsidR="00190923" w:rsidRPr="00981405">
        <w:t xml:space="preserve"> </w:t>
      </w:r>
      <w:r w:rsidRPr="00981405">
        <w:t>precise</w:t>
      </w:r>
      <w:r w:rsidR="00190923" w:rsidRPr="00981405">
        <w:t xml:space="preserve"> </w:t>
      </w:r>
      <w:r w:rsidRPr="00981405">
        <w:t>definition,</w:t>
      </w:r>
      <w:r w:rsidR="00190923" w:rsidRPr="00981405">
        <w:t xml:space="preserve"> </w:t>
      </w:r>
      <w:r w:rsidRPr="00981405">
        <w:t>it</w:t>
      </w:r>
      <w:r w:rsidR="00190923" w:rsidRPr="00981405">
        <w:t xml:space="preserve"> </w:t>
      </w:r>
      <w:r w:rsidRPr="00981405">
        <w:t>was</w:t>
      </w:r>
      <w:r w:rsidR="00190923" w:rsidRPr="00981405">
        <w:t xml:space="preserve"> </w:t>
      </w:r>
      <w:r w:rsidRPr="00981405">
        <w:t>possible</w:t>
      </w:r>
      <w:r w:rsidR="00190923" w:rsidRPr="00981405">
        <w:t xml:space="preserve"> </w:t>
      </w:r>
      <w:r w:rsidRPr="00981405">
        <w:t>to</w:t>
      </w:r>
      <w:r w:rsidR="00190923" w:rsidRPr="00981405">
        <w:t xml:space="preserve"> </w:t>
      </w:r>
      <w:r w:rsidRPr="00981405">
        <w:t>identify</w:t>
      </w:r>
      <w:r w:rsidR="00190923" w:rsidRPr="00981405">
        <w:t xml:space="preserve"> </w:t>
      </w:r>
      <w:r w:rsidRPr="00981405">
        <w:t>examples</w:t>
      </w:r>
      <w:r w:rsidR="00190923" w:rsidRPr="00981405">
        <w:t xml:space="preserve"> </w:t>
      </w:r>
      <w:r w:rsidRPr="00981405">
        <w:t>in</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00B92E2C" w:rsidRPr="00981405">
        <w:t>“</w:t>
      </w:r>
      <w:r w:rsidRPr="00981405">
        <w:t>inherent</w:t>
      </w:r>
      <w:r w:rsidR="00190923" w:rsidRPr="00981405">
        <w:t xml:space="preserve"> </w:t>
      </w:r>
      <w:r w:rsidRPr="00981405">
        <w:t>acts</w:t>
      </w:r>
      <w:r w:rsidR="00190923" w:rsidRPr="00981405">
        <w:t xml:space="preserve"> </w:t>
      </w:r>
      <w:r w:rsidRPr="00981405">
        <w:t>of</w:t>
      </w:r>
      <w:r w:rsidR="00190923" w:rsidRPr="00981405">
        <w:t xml:space="preserve"> </w:t>
      </w:r>
      <w:r w:rsidRPr="00981405">
        <w:t>sovereignty</w:t>
      </w:r>
      <w:r w:rsidR="00B92E2C" w:rsidRPr="00981405">
        <w:t>”</w:t>
      </w:r>
      <w:r w:rsidR="00190923" w:rsidRPr="00981405">
        <w:t xml:space="preserve"> </w:t>
      </w:r>
      <w:r w:rsidRPr="00981405">
        <w:t>or</w:t>
      </w:r>
      <w:r w:rsidR="00190923" w:rsidRPr="00981405">
        <w:t xml:space="preserve"> </w:t>
      </w:r>
      <w:r w:rsidR="00B92E2C" w:rsidRPr="00981405">
        <w:t>“</w:t>
      </w:r>
      <w:r w:rsidRPr="00981405">
        <w:t>acts</w:t>
      </w:r>
      <w:r w:rsidR="00190923" w:rsidRPr="00981405">
        <w:t xml:space="preserve"> </w:t>
      </w:r>
      <w:r w:rsidRPr="00981405">
        <w:t>inherently</w:t>
      </w:r>
      <w:r w:rsidR="00190923" w:rsidRPr="00981405">
        <w:t xml:space="preserve"> </w:t>
      </w:r>
      <w:r w:rsidRPr="00981405">
        <w:t>sovereign</w:t>
      </w:r>
      <w:r w:rsidR="00B92E2C" w:rsidRPr="00981405">
        <w:t>”</w:t>
      </w:r>
      <w:r w:rsidRPr="00981405">
        <w:t>,</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examples</w:t>
      </w:r>
      <w:r w:rsidR="00190923" w:rsidRPr="00981405">
        <w:t xml:space="preserve"> </w:t>
      </w:r>
      <w:r w:rsidRPr="00981405">
        <w:t>contained</w:t>
      </w:r>
      <w:r w:rsidR="00190923" w:rsidRPr="00981405">
        <w:t xml:space="preserve"> </w:t>
      </w:r>
      <w:r w:rsidRPr="00981405">
        <w:t>in</w:t>
      </w:r>
      <w:r w:rsidR="00190923" w:rsidRPr="00981405">
        <w:t xml:space="preserve"> </w:t>
      </w:r>
      <w:r w:rsidRPr="00981405">
        <w:t>paragraphs</w:t>
      </w:r>
      <w:r w:rsidR="00190923" w:rsidRPr="00981405">
        <w:t xml:space="preserve"> </w:t>
      </w:r>
      <w:r w:rsidRPr="00981405">
        <w:t>54</w:t>
      </w:r>
      <w:r w:rsidR="00190923" w:rsidRPr="00981405">
        <w:t xml:space="preserve"> </w:t>
      </w:r>
      <w:r w:rsidRPr="00981405">
        <w:t>and</w:t>
      </w:r>
      <w:r w:rsidR="00190923" w:rsidRPr="00981405">
        <w:t xml:space="preserve"> </w:t>
      </w:r>
      <w:r w:rsidRPr="00981405">
        <w:t>58</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190923" w:rsidRPr="00981405">
        <w:t xml:space="preserve"> </w:t>
      </w:r>
      <w:r w:rsidRPr="00981405">
        <w:t>Moreover,</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exercise</w:t>
      </w:r>
      <w:r w:rsidR="00190923" w:rsidRPr="00981405">
        <w:t xml:space="preserve"> </w:t>
      </w:r>
      <w:r w:rsidRPr="00981405">
        <w:t>of</w:t>
      </w:r>
      <w:r w:rsidR="00190923" w:rsidRPr="00981405">
        <w:t xml:space="preserve"> </w:t>
      </w:r>
      <w:r w:rsidRPr="00981405">
        <w:t>governmental</w:t>
      </w:r>
      <w:r w:rsidR="00190923" w:rsidRPr="00981405">
        <w:t xml:space="preserve"> </w:t>
      </w:r>
      <w:r w:rsidRPr="00981405">
        <w:t>authority</w:t>
      </w:r>
      <w:r w:rsidR="00B92E2C" w:rsidRPr="00981405">
        <w:t>”</w:t>
      </w:r>
      <w:r w:rsidR="00190923" w:rsidRPr="00981405">
        <w:t xml:space="preserve"> </w:t>
      </w:r>
      <w:r w:rsidRPr="00981405">
        <w:t>had</w:t>
      </w:r>
      <w:r w:rsidR="00190923" w:rsidRPr="00981405">
        <w:t xml:space="preserve"> </w:t>
      </w:r>
      <w:r w:rsidRPr="00981405">
        <w:t>already</w:t>
      </w:r>
      <w:r w:rsidR="00190923" w:rsidRPr="00981405">
        <w:t xml:space="preserve"> </w:t>
      </w:r>
      <w:r w:rsidRPr="00981405">
        <w:t>been</w:t>
      </w:r>
      <w:r w:rsidR="00190923" w:rsidRPr="00981405">
        <w:t xml:space="preserve"> </w:t>
      </w:r>
      <w:r w:rsidRPr="00981405">
        <w:t>employed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its</w:t>
      </w:r>
      <w:r w:rsidR="00190923" w:rsidRPr="00981405">
        <w:t xml:space="preserve"> </w:t>
      </w:r>
      <w:r w:rsidRPr="00981405">
        <w:t>earlier</w:t>
      </w:r>
      <w:r w:rsidR="00190923" w:rsidRPr="00981405">
        <w:t xml:space="preserve"> </w:t>
      </w:r>
      <w:r w:rsidRPr="00981405">
        <w:t>work</w:t>
      </w:r>
      <w:r w:rsidR="00190923" w:rsidRPr="00981405">
        <w:t xml:space="preserve"> </w:t>
      </w:r>
      <w:r w:rsidRPr="00981405">
        <w:t>on</w:t>
      </w:r>
      <w:r w:rsidR="00190923" w:rsidRPr="00981405">
        <w:t xml:space="preserve"> </w:t>
      </w:r>
      <w:r w:rsidRPr="00981405">
        <w:t>State</w:t>
      </w:r>
      <w:r w:rsidR="00190923" w:rsidRPr="00981405">
        <w:t xml:space="preserve"> </w:t>
      </w:r>
      <w:r w:rsidRPr="00981405">
        <w:t>responsibility.</w:t>
      </w:r>
      <w:r w:rsidR="00190923" w:rsidRPr="00981405">
        <w:t xml:space="preserve"> </w:t>
      </w:r>
      <w:r w:rsidRPr="00981405">
        <w:t>She</w:t>
      </w:r>
      <w:r w:rsidR="00190923" w:rsidRPr="00981405">
        <w:t xml:space="preserve"> </w:t>
      </w:r>
      <w:r w:rsidRPr="00981405">
        <w:t>recalled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a</w:t>
      </w:r>
      <w:r w:rsidR="00190923" w:rsidRPr="00981405">
        <w:t xml:space="preserve"> </w:t>
      </w:r>
      <w:r w:rsidRPr="00981405">
        <w:t>matter</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set</w:t>
      </w:r>
      <w:r w:rsidR="00190923" w:rsidRPr="00981405">
        <w:t xml:space="preserve"> </w:t>
      </w:r>
      <w:r w:rsidRPr="00981405">
        <w:t>aside</w:t>
      </w:r>
      <w:r w:rsidR="00190923" w:rsidRPr="00981405">
        <w:t xml:space="preserve"> </w:t>
      </w:r>
      <w:r w:rsidRPr="00981405">
        <w:t>for</w:t>
      </w:r>
      <w:r w:rsidR="00190923" w:rsidRPr="00981405">
        <w:t xml:space="preserve"> </w:t>
      </w:r>
      <w:r w:rsidRPr="00981405">
        <w:t>further</w:t>
      </w:r>
      <w:r w:rsidR="00190923" w:rsidRPr="00981405">
        <w:t xml:space="preserve"> </w:t>
      </w:r>
      <w:r w:rsidRPr="00981405">
        <w:t>elaboration.</w:t>
      </w:r>
    </w:p>
    <w:p w:rsidR="00397032" w:rsidRPr="00981405" w:rsidRDefault="00397032" w:rsidP="00D97463">
      <w:pPr>
        <w:pStyle w:val="SingleTxt"/>
      </w:pPr>
      <w:r w:rsidRPr="00981405">
        <w:t>240.</w:t>
      </w:r>
      <w:r w:rsidRPr="00981405">
        <w:tab/>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between</w:t>
      </w:r>
      <w:r w:rsidR="00190923" w:rsidRPr="00981405">
        <w:t xml:space="preserve"> </w:t>
      </w:r>
      <w:r w:rsidRPr="00981405">
        <w:t>responsibility</w:t>
      </w:r>
      <w:r w:rsidR="00190923" w:rsidRPr="00981405">
        <w:t xml:space="preserve"> </w:t>
      </w:r>
      <w:r w:rsidRPr="00981405">
        <w:t>and</w:t>
      </w:r>
      <w:r w:rsidR="00190923" w:rsidRPr="00981405">
        <w:t xml:space="preserve"> </w:t>
      </w:r>
      <w:r w:rsidRPr="00981405">
        <w:t>immunity,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reiterated</w:t>
      </w:r>
      <w:r w:rsidR="00190923" w:rsidRPr="00981405">
        <w:t xml:space="preserve"> </w:t>
      </w:r>
      <w:r w:rsidRPr="00981405">
        <w:t>that,</w:t>
      </w:r>
      <w:r w:rsidR="00190923" w:rsidRPr="00981405">
        <w:t xml:space="preserve"> </w:t>
      </w:r>
      <w:r w:rsidRPr="00981405">
        <w:t>while</w:t>
      </w:r>
      <w:r w:rsidR="00190923" w:rsidRPr="00981405">
        <w:t xml:space="preserve"> </w:t>
      </w:r>
      <w:r w:rsidRPr="00981405">
        <w:t>it</w:t>
      </w:r>
      <w:r w:rsidR="00190923" w:rsidRPr="00981405">
        <w:t xml:space="preserve"> </w:t>
      </w:r>
      <w:r w:rsidRPr="00981405">
        <w:t>was</w:t>
      </w:r>
      <w:r w:rsidR="00190923" w:rsidRPr="00981405">
        <w:t xml:space="preserve"> </w:t>
      </w:r>
      <w:r w:rsidRPr="00981405">
        <w:t>true</w:t>
      </w:r>
      <w:r w:rsidR="00190923" w:rsidRPr="00981405">
        <w:t xml:space="preserve"> </w:t>
      </w:r>
      <w:r w:rsidRPr="00981405">
        <w:t>that</w:t>
      </w:r>
      <w:r w:rsidR="00190923" w:rsidRPr="00981405">
        <w:t xml:space="preserve"> </w:t>
      </w:r>
      <w:r w:rsidRPr="00981405">
        <w:t>the</w:t>
      </w:r>
      <w:r w:rsidR="00190923" w:rsidRPr="00981405">
        <w:t xml:space="preserve"> </w:t>
      </w:r>
      <w:r w:rsidRPr="00981405">
        <w:t>two</w:t>
      </w:r>
      <w:r w:rsidR="00190923" w:rsidRPr="00981405">
        <w:t xml:space="preserve"> </w:t>
      </w:r>
      <w:r w:rsidRPr="00981405">
        <w:t>regimes</w:t>
      </w:r>
      <w:r w:rsidR="00190923" w:rsidRPr="00981405">
        <w:t xml:space="preserve"> </w:t>
      </w:r>
      <w:r w:rsidRPr="00981405">
        <w:t>pursued</w:t>
      </w:r>
      <w:r w:rsidR="00190923" w:rsidRPr="00981405">
        <w:t xml:space="preserve"> </w:t>
      </w:r>
      <w:r w:rsidRPr="00981405">
        <w:t>different</w:t>
      </w:r>
      <w:r w:rsidR="00190923" w:rsidRPr="00981405">
        <w:t xml:space="preserve"> </w:t>
      </w:r>
      <w:r w:rsidRPr="00981405">
        <w:t>aims,</w:t>
      </w:r>
      <w:r w:rsidR="00190923" w:rsidRPr="00981405">
        <w:t xml:space="preserve"> </w:t>
      </w:r>
      <w:r w:rsidRPr="00981405">
        <w:t>they</w:t>
      </w:r>
      <w:r w:rsidR="00190923" w:rsidRPr="00981405">
        <w:t xml:space="preserve"> </w:t>
      </w:r>
      <w:r w:rsidRPr="00981405">
        <w:t>nevertheless</w:t>
      </w:r>
      <w:r w:rsidR="00190923" w:rsidRPr="00981405">
        <w:t xml:space="preserve"> </w:t>
      </w:r>
      <w:r w:rsidRPr="00981405">
        <w:t>had</w:t>
      </w:r>
      <w:r w:rsidR="00190923" w:rsidRPr="00981405">
        <w:t xml:space="preserve"> </w:t>
      </w:r>
      <w:r w:rsidRPr="00981405">
        <w:t>certain</w:t>
      </w:r>
      <w:r w:rsidR="00190923" w:rsidRPr="00981405">
        <w:t xml:space="preserve"> </w:t>
      </w:r>
      <w:r w:rsidRPr="00981405">
        <w:t>elements</w:t>
      </w:r>
      <w:r w:rsidR="00190923" w:rsidRPr="00981405">
        <w:t xml:space="preserve"> </w:t>
      </w:r>
      <w:r w:rsidRPr="00981405">
        <w:t>in</w:t>
      </w:r>
      <w:r w:rsidR="00190923" w:rsidRPr="00981405">
        <w:t xml:space="preserve"> </w:t>
      </w:r>
      <w:r w:rsidRPr="00981405">
        <w:t>common,</w:t>
      </w:r>
      <w:r w:rsidR="00190923" w:rsidRPr="00981405">
        <w:t xml:space="preserve"> </w:t>
      </w:r>
      <w:r w:rsidRPr="00981405">
        <w:t>which</w:t>
      </w:r>
      <w:r w:rsidR="00190923" w:rsidRPr="00981405">
        <w:t xml:space="preserve"> </w:t>
      </w:r>
      <w:r w:rsidRPr="00981405">
        <w:t>precluded</w:t>
      </w:r>
      <w:r w:rsidR="00190923" w:rsidRPr="00981405">
        <w:t xml:space="preserve"> </w:t>
      </w:r>
      <w:r w:rsidRPr="00981405">
        <w:t>a</w:t>
      </w:r>
      <w:r w:rsidR="00190923" w:rsidRPr="00981405">
        <w:t xml:space="preserve"> </w:t>
      </w:r>
      <w:r w:rsidRPr="00981405">
        <w:t>radical</w:t>
      </w:r>
      <w:r w:rsidR="00190923" w:rsidRPr="00981405">
        <w:t xml:space="preserve"> </w:t>
      </w:r>
      <w:r w:rsidRPr="00981405">
        <w:t>separation</w:t>
      </w:r>
      <w:r w:rsidR="00190923" w:rsidRPr="00981405">
        <w:t xml:space="preserve"> </w:t>
      </w:r>
      <w:r w:rsidRPr="00981405">
        <w:t>of</w:t>
      </w:r>
      <w:r w:rsidR="00190923" w:rsidRPr="00981405">
        <w:t xml:space="preserve"> </w:t>
      </w:r>
      <w:r w:rsidRPr="00981405">
        <w:t>the</w:t>
      </w:r>
      <w:r w:rsidR="00190923" w:rsidRPr="00981405">
        <w:t xml:space="preserve"> </w:t>
      </w:r>
      <w:r w:rsidRPr="00981405">
        <w:t>two.</w:t>
      </w:r>
      <w:r w:rsidR="00190923" w:rsidRPr="00981405">
        <w:t xml:space="preserve"> </w:t>
      </w:r>
      <w:r w:rsidRPr="00981405">
        <w:t>A</w:t>
      </w:r>
      <w:r w:rsidR="00190923" w:rsidRPr="00981405">
        <w:t xml:space="preserve"> </w:t>
      </w:r>
      <w:r w:rsidRPr="00981405">
        <w:t>good</w:t>
      </w:r>
      <w:r w:rsidR="00190923" w:rsidRPr="00981405">
        <w:t xml:space="preserve"> </w:t>
      </w:r>
      <w:r w:rsidRPr="00981405">
        <w:t>example</w:t>
      </w:r>
      <w:r w:rsidR="00190923" w:rsidRPr="00981405">
        <w:t xml:space="preserve"> </w:t>
      </w:r>
      <w:r w:rsidRPr="00981405">
        <w:t>in</w:t>
      </w:r>
      <w:r w:rsidR="00190923" w:rsidRPr="00981405">
        <w:t xml:space="preserve"> </w:t>
      </w:r>
      <w:r w:rsidRPr="00981405">
        <w:t>that</w:t>
      </w:r>
      <w:r w:rsidR="00190923" w:rsidRPr="00981405">
        <w:t xml:space="preserve"> </w:t>
      </w:r>
      <w:r w:rsidRPr="00981405">
        <w:t>regard</w:t>
      </w:r>
      <w:r w:rsidR="00190923" w:rsidRPr="00981405">
        <w:t xml:space="preserve"> </w:t>
      </w:r>
      <w:r w:rsidRPr="00981405">
        <w:t>was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crimes</w:t>
      </w:r>
      <w:r w:rsidR="00190923" w:rsidRPr="00981405">
        <w:t xml:space="preserve"> </w:t>
      </w:r>
      <w:r w:rsidRPr="00981405">
        <w:t>and</w:t>
      </w:r>
      <w:r w:rsidR="00190923" w:rsidRPr="00981405">
        <w:t xml:space="preserve"> </w:t>
      </w:r>
      <w:r w:rsidRPr="00981405">
        <w:t>their</w:t>
      </w:r>
      <w:r w:rsidR="00190923" w:rsidRPr="00981405">
        <w:t xml:space="preserve"> </w:t>
      </w:r>
      <w:r w:rsidRPr="00981405">
        <w:t>relationship</w:t>
      </w:r>
      <w:r w:rsidR="00190923" w:rsidRPr="00981405">
        <w:t xml:space="preserve"> </w:t>
      </w:r>
      <w:r w:rsidRPr="00981405">
        <w:t>to</w:t>
      </w:r>
      <w:r w:rsidR="00190923" w:rsidRPr="00981405">
        <w:t xml:space="preserve"> </w:t>
      </w:r>
      <w:r w:rsidRPr="00981405">
        <w:t>immunity,</w:t>
      </w:r>
      <w:r w:rsidR="00190923" w:rsidRPr="00981405">
        <w:t xml:space="preserve"> </w:t>
      </w:r>
      <w:r w:rsidRPr="00981405">
        <w:t>an</w:t>
      </w:r>
      <w:r w:rsidR="00190923" w:rsidRPr="00981405">
        <w:t xml:space="preserve"> </w:t>
      </w:r>
      <w:r w:rsidRPr="00981405">
        <w:t>issue</w:t>
      </w:r>
      <w:r w:rsidR="00190923" w:rsidRPr="00981405">
        <w:t xml:space="preserve"> </w:t>
      </w:r>
      <w:r w:rsidRPr="00981405">
        <w:t>that</w:t>
      </w:r>
      <w:r w:rsidR="00190923" w:rsidRPr="00981405">
        <w:t xml:space="preserve"> </w:t>
      </w:r>
      <w:r w:rsidRPr="00981405">
        <w:t>had</w:t>
      </w:r>
      <w:r w:rsidR="00190923" w:rsidRPr="00981405">
        <w:t xml:space="preserve"> </w:t>
      </w:r>
      <w:r w:rsidRPr="00981405">
        <w:t>been</w:t>
      </w:r>
      <w:r w:rsidR="00190923" w:rsidRPr="00981405">
        <w:t xml:space="preserve"> </w:t>
      </w:r>
      <w:r w:rsidRPr="00981405">
        <w:t>raised</w:t>
      </w:r>
      <w:r w:rsidR="00190923" w:rsidRPr="00981405">
        <w:t xml:space="preserve"> </w:t>
      </w:r>
      <w:r w:rsidRPr="00981405">
        <w:t>by</w:t>
      </w:r>
      <w:r w:rsidR="00190923" w:rsidRPr="00981405">
        <w:t xml:space="preserve"> </w:t>
      </w:r>
      <w:r w:rsidRPr="00981405">
        <w:t>various</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during</w:t>
      </w:r>
      <w:r w:rsidR="00190923" w:rsidRPr="00981405">
        <w:t xml:space="preserve"> </w:t>
      </w:r>
      <w:r w:rsidRPr="00981405">
        <w:t>the</w:t>
      </w:r>
      <w:r w:rsidR="00190923" w:rsidRPr="00981405">
        <w:t xml:space="preserve"> </w:t>
      </w:r>
      <w:r w:rsidRPr="00981405">
        <w:t>debate.</w:t>
      </w:r>
      <w:r w:rsidR="00190923" w:rsidRPr="00981405">
        <w:t xml:space="preserve"> </w:t>
      </w:r>
      <w:r w:rsidRPr="00981405">
        <w:t>Accordingly,</w:t>
      </w:r>
      <w:r w:rsidR="00190923" w:rsidRPr="00981405">
        <w:t xml:space="preserve"> </w:t>
      </w:r>
      <w:r w:rsidRPr="00981405">
        <w:t>in</w:t>
      </w:r>
      <w:r w:rsidR="00190923" w:rsidRPr="00981405">
        <w:t xml:space="preserve"> </w:t>
      </w:r>
      <w:r w:rsidRPr="00981405">
        <w:t>her</w:t>
      </w:r>
      <w:r w:rsidR="00190923" w:rsidRPr="00981405">
        <w:t xml:space="preserve"> </w:t>
      </w:r>
      <w:r w:rsidRPr="00981405">
        <w:t>view,</w:t>
      </w:r>
      <w:r w:rsidR="00190923" w:rsidRPr="00981405">
        <w:t xml:space="preserve"> </w:t>
      </w:r>
      <w:r w:rsidRPr="00981405">
        <w:t>one</w:t>
      </w:r>
      <w:r w:rsidR="00190923" w:rsidRPr="00981405">
        <w:t xml:space="preserve"> </w:t>
      </w:r>
      <w:r w:rsidRPr="00981405">
        <w:t>could</w:t>
      </w:r>
      <w:r w:rsidR="00190923" w:rsidRPr="00981405">
        <w:t xml:space="preserve"> </w:t>
      </w:r>
      <w:r w:rsidRPr="00981405">
        <w:t>not</w:t>
      </w:r>
      <w:r w:rsidR="00190923" w:rsidRPr="00981405">
        <w:t xml:space="preserve"> </w:t>
      </w:r>
      <w:r w:rsidRPr="00981405">
        <w:t>overlook</w:t>
      </w:r>
      <w:r w:rsidR="00190923" w:rsidRPr="00981405">
        <w:t xml:space="preserve"> </w:t>
      </w:r>
      <w:r w:rsidRPr="00981405">
        <w:t>questions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responsibility</w:t>
      </w:r>
      <w:r w:rsidR="00190923" w:rsidRPr="00981405">
        <w:t xml:space="preserve"> </w:t>
      </w:r>
      <w:r w:rsidRPr="00981405">
        <w:t>in</w:t>
      </w:r>
      <w:r w:rsidR="00190923" w:rsidRPr="00981405">
        <w:t xml:space="preserve"> </w:t>
      </w:r>
      <w:r w:rsidRPr="00981405">
        <w:t>dealing</w:t>
      </w:r>
      <w:r w:rsidR="00190923" w:rsidRPr="00981405">
        <w:t xml:space="preserve"> </w:t>
      </w:r>
      <w:r w:rsidRPr="00981405">
        <w:t>with</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least</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certain</w:t>
      </w:r>
      <w:r w:rsidR="00190923" w:rsidRPr="00981405">
        <w:t xml:space="preserve"> </w:t>
      </w:r>
      <w:r w:rsidRPr="00981405">
        <w:t>rules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attribution</w:t>
      </w:r>
      <w:r w:rsidR="00190923" w:rsidRPr="00981405">
        <w:t xml:space="preserve"> </w:t>
      </w:r>
      <w:r w:rsidRPr="00981405">
        <w:t>of</w:t>
      </w:r>
      <w:r w:rsidR="00190923" w:rsidRPr="00981405">
        <w:t xml:space="preserve"> </w:t>
      </w:r>
      <w:r w:rsidRPr="00981405">
        <w:t>the</w:t>
      </w:r>
      <w:r w:rsidR="00190923" w:rsidRPr="00981405">
        <w:t xml:space="preserve"> </w:t>
      </w:r>
      <w:r w:rsidRPr="00981405">
        <w:t>act</w:t>
      </w:r>
      <w:r w:rsidR="00190923" w:rsidRPr="00981405">
        <w:t xml:space="preserve"> </w:t>
      </w:r>
      <w:r w:rsidRPr="00981405">
        <w:t>to</w:t>
      </w:r>
      <w:r w:rsidR="00190923" w:rsidRPr="00981405">
        <w:t xml:space="preserve"> </w:t>
      </w:r>
      <w:r w:rsidRPr="00981405">
        <w:t>the</w:t>
      </w:r>
      <w:r w:rsidR="00190923" w:rsidRPr="00981405">
        <w:t xml:space="preserve"> </w:t>
      </w:r>
      <w:r w:rsidRPr="00981405">
        <w:t>State.</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said</w:t>
      </w:r>
      <w:r w:rsidR="00190923" w:rsidRPr="00981405">
        <w:t xml:space="preserve"> </w:t>
      </w:r>
      <w:r w:rsidRPr="00981405">
        <w:t>that</w:t>
      </w:r>
      <w:r w:rsidR="00190923" w:rsidRPr="00981405">
        <w:t xml:space="preserve"> </w:t>
      </w:r>
      <w:r w:rsidRPr="00981405">
        <w:t>she</w:t>
      </w:r>
      <w:r w:rsidR="00190923" w:rsidRPr="00981405">
        <w:t xml:space="preserve"> </w:t>
      </w:r>
      <w:r w:rsidRPr="00981405">
        <w:t>did</w:t>
      </w:r>
      <w:r w:rsidR="00190923" w:rsidRPr="00981405">
        <w:t xml:space="preserve"> </w:t>
      </w:r>
      <w:r w:rsidRPr="00981405">
        <w:t>not</w:t>
      </w:r>
      <w:r w:rsidR="00190923" w:rsidRPr="00981405">
        <w:t xml:space="preserve"> </w:t>
      </w:r>
      <w:r w:rsidRPr="00981405">
        <w:t>share</w:t>
      </w:r>
      <w:r w:rsidR="00190923" w:rsidRPr="00981405">
        <w:t xml:space="preserve"> </w:t>
      </w:r>
      <w:r w:rsidRPr="00981405">
        <w:t>the</w:t>
      </w:r>
      <w:r w:rsidR="00190923" w:rsidRPr="00981405">
        <w:t xml:space="preserve"> </w:t>
      </w:r>
      <w:r w:rsidRPr="00981405">
        <w:t>view</w:t>
      </w:r>
      <w:r w:rsidR="00190923" w:rsidRPr="00981405">
        <w:t xml:space="preserve"> </w:t>
      </w:r>
      <w:r w:rsidRPr="00981405">
        <w:t>expressed</w:t>
      </w:r>
      <w:r w:rsidR="00190923" w:rsidRPr="00981405">
        <w:t xml:space="preserve"> </w:t>
      </w:r>
      <w:r w:rsidRPr="00981405">
        <w:t>by</w:t>
      </w:r>
      <w:r w:rsidR="00190923" w:rsidRPr="00981405">
        <w:t xml:space="preserve"> </w:t>
      </w:r>
      <w:r w:rsidRPr="00981405">
        <w:t>a</w:t>
      </w:r>
      <w:r w:rsidR="00190923" w:rsidRPr="00981405">
        <w:t xml:space="preserve"> </w:t>
      </w:r>
      <w:r w:rsidRPr="00981405">
        <w:t>member</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that</w:t>
      </w:r>
      <w:r w:rsidR="00190923" w:rsidRPr="00981405">
        <w:t xml:space="preserve"> </w:t>
      </w:r>
      <w:r w:rsidRPr="00981405">
        <w:t>an</w:t>
      </w:r>
      <w:r w:rsidR="00190923" w:rsidRPr="00981405">
        <w:t xml:space="preserve"> </w:t>
      </w:r>
      <w:r w:rsidRPr="00981405">
        <w:t>act</w:t>
      </w:r>
      <w:r w:rsidR="00190923" w:rsidRPr="00981405">
        <w:t xml:space="preserve"> </w:t>
      </w:r>
      <w:r w:rsidRPr="00981405">
        <w:t>was</w:t>
      </w:r>
      <w:r w:rsidR="00190923" w:rsidRPr="00981405">
        <w:t xml:space="preserve"> </w:t>
      </w:r>
      <w:r w:rsidRPr="00981405">
        <w:t>not</w:t>
      </w:r>
      <w:r w:rsidR="00190923" w:rsidRPr="00981405">
        <w:t xml:space="preserve"> </w:t>
      </w:r>
      <w:r w:rsidRPr="00981405">
        <w:t>official</w:t>
      </w:r>
      <w:r w:rsidR="00190923" w:rsidRPr="00981405">
        <w:t xml:space="preserve"> </w:t>
      </w:r>
      <w:r w:rsidRPr="00981405">
        <w:t>because</w:t>
      </w:r>
      <w:r w:rsidR="00190923" w:rsidRPr="00981405">
        <w:t xml:space="preserve"> </w:t>
      </w:r>
      <w:r w:rsidRPr="00981405">
        <w:t>it</w:t>
      </w:r>
      <w:r w:rsidR="00190923" w:rsidRPr="00981405">
        <w:t xml:space="preserve"> </w:t>
      </w:r>
      <w:r w:rsidRPr="00981405">
        <w:t>had</w:t>
      </w:r>
      <w:r w:rsidR="00190923" w:rsidRPr="00981405">
        <w:t xml:space="preserve"> </w:t>
      </w:r>
      <w:r w:rsidRPr="00981405">
        <w:t>been</w:t>
      </w:r>
      <w:r w:rsidR="00190923" w:rsidRPr="00981405">
        <w:t xml:space="preserve"> </w:t>
      </w:r>
      <w:r w:rsidRPr="00981405">
        <w:t>carried</w:t>
      </w:r>
      <w:r w:rsidR="00190923" w:rsidRPr="00981405">
        <w:t xml:space="preserve"> </w:t>
      </w:r>
      <w:r w:rsidRPr="00981405">
        <w:t>out</w:t>
      </w:r>
      <w:r w:rsidR="00190923" w:rsidRPr="00981405">
        <w:t xml:space="preserve"> </w:t>
      </w:r>
      <w:r w:rsidRPr="00981405">
        <w:t>by</w:t>
      </w:r>
      <w:r w:rsidR="00190923" w:rsidRPr="00981405">
        <w:t xml:space="preserve"> </w:t>
      </w:r>
      <w:r w:rsidRPr="00981405">
        <w:t>an</w:t>
      </w:r>
      <w:r w:rsidR="00190923" w:rsidRPr="00981405">
        <w:t xml:space="preserve"> </w:t>
      </w:r>
      <w:r w:rsidRPr="00981405">
        <w:t>official</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p>
    <w:p w:rsidR="00397032" w:rsidRPr="00981405" w:rsidRDefault="00397032" w:rsidP="00D97463">
      <w:pPr>
        <w:pStyle w:val="SingleTxt"/>
      </w:pPr>
      <w:r w:rsidRPr="00981405">
        <w:t>241.</w:t>
      </w:r>
      <w:r w:rsidRPr="00981405">
        <w:tab/>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highlighted</w:t>
      </w:r>
      <w:r w:rsidR="00190923" w:rsidRPr="00981405">
        <w:t xml:space="preserve"> </w:t>
      </w:r>
      <w:r w:rsidRPr="00981405">
        <w:t>the</w:t>
      </w:r>
      <w:r w:rsidR="00190923" w:rsidRPr="00981405">
        <w:t xml:space="preserve"> </w:t>
      </w:r>
      <w:r w:rsidRPr="00981405">
        <w:t>combination</w:t>
      </w:r>
      <w:r w:rsidR="00190923" w:rsidRPr="00981405">
        <w:t xml:space="preserve"> </w:t>
      </w:r>
      <w:r w:rsidRPr="00981405">
        <w:t>of</w:t>
      </w:r>
      <w:r w:rsidR="00190923" w:rsidRPr="00981405">
        <w:t xml:space="preserve"> </w:t>
      </w:r>
      <w:r w:rsidRPr="00981405">
        <w:t>the</w:t>
      </w:r>
      <w:r w:rsidR="00190923" w:rsidRPr="00981405">
        <w:t xml:space="preserve"> </w:t>
      </w:r>
      <w:r w:rsidRPr="00981405">
        <w:t>two</w:t>
      </w:r>
      <w:r w:rsidR="00190923" w:rsidRPr="00981405">
        <w:t xml:space="preserve"> </w:t>
      </w:r>
      <w:r w:rsidRPr="00981405">
        <w:t>elements</w:t>
      </w:r>
      <w:r w:rsidR="00190923" w:rsidRPr="00981405">
        <w:t xml:space="preserve"> </w:t>
      </w:r>
      <w:r w:rsidRPr="00981405">
        <w:t>(material</w:t>
      </w:r>
      <w:r w:rsidR="00190923" w:rsidRPr="00981405">
        <w:t xml:space="preserve"> </w:t>
      </w:r>
      <w:r w:rsidRPr="00981405">
        <w:t>and</w:t>
      </w:r>
      <w:r w:rsidR="00190923" w:rsidRPr="00981405">
        <w:t xml:space="preserve"> </w:t>
      </w:r>
      <w:r w:rsidRPr="00981405">
        <w:t>temporal)</w:t>
      </w:r>
      <w:r w:rsidR="00190923" w:rsidRPr="00981405">
        <w:t xml:space="preserve"> </w:t>
      </w:r>
      <w:r w:rsidRPr="00981405">
        <w:t>and</w:t>
      </w:r>
      <w:r w:rsidR="00190923" w:rsidRPr="00981405">
        <w:t xml:space="preserve"> </w:t>
      </w:r>
      <w:r w:rsidRPr="00981405">
        <w:t>said</w:t>
      </w:r>
      <w:r w:rsidR="00190923" w:rsidRPr="00981405">
        <w:t xml:space="preserve"> </w:t>
      </w:r>
      <w:r w:rsidRPr="00981405">
        <w:t>that</w:t>
      </w:r>
      <w:r w:rsidR="00190923" w:rsidRPr="00981405">
        <w:t xml:space="preserve"> </w:t>
      </w:r>
      <w:r w:rsidRPr="00981405">
        <w:t>she</w:t>
      </w:r>
      <w:r w:rsidR="00190923" w:rsidRPr="00981405">
        <w:t xml:space="preserve"> </w:t>
      </w:r>
      <w:r w:rsidRPr="00981405">
        <w:t>was</w:t>
      </w:r>
      <w:r w:rsidR="00190923" w:rsidRPr="00981405">
        <w:t xml:space="preserve"> </w:t>
      </w:r>
      <w:r w:rsidRPr="00981405">
        <w:t>in</w:t>
      </w:r>
      <w:r w:rsidR="00190923" w:rsidRPr="00981405">
        <w:t xml:space="preserve"> </w:t>
      </w:r>
      <w:r w:rsidRPr="00981405">
        <w:t>favour</w:t>
      </w:r>
      <w:r w:rsidR="00190923" w:rsidRPr="00981405">
        <w:t xml:space="preserve"> </w:t>
      </w:r>
      <w:r w:rsidRPr="00981405">
        <w:t>of</w:t>
      </w:r>
      <w:r w:rsidR="00190923" w:rsidRPr="00981405">
        <w:t xml:space="preserve"> </w:t>
      </w:r>
      <w:r w:rsidRPr="00981405">
        <w:t>considering</w:t>
      </w:r>
      <w:r w:rsidR="00190923" w:rsidRPr="00981405">
        <w:t xml:space="preserve"> </w:t>
      </w:r>
      <w:r w:rsidRPr="00981405">
        <w:t>the</w:t>
      </w:r>
      <w:r w:rsidR="00190923" w:rsidRPr="00981405">
        <w:t xml:space="preserve"> </w:t>
      </w:r>
      <w:r w:rsidRPr="00981405">
        <w:t>option</w:t>
      </w:r>
      <w:r w:rsidR="00190923" w:rsidRPr="00981405">
        <w:t xml:space="preserve"> </w:t>
      </w:r>
      <w:r w:rsidRPr="00981405">
        <w:t>of</w:t>
      </w:r>
      <w:r w:rsidR="00190923" w:rsidRPr="00981405">
        <w:t xml:space="preserve"> </w:t>
      </w:r>
      <w:r w:rsidRPr="00981405">
        <w:t>reversing</w:t>
      </w:r>
      <w:r w:rsidR="00190923" w:rsidRPr="00981405">
        <w:t xml:space="preserve"> </w:t>
      </w:r>
      <w:r w:rsidRPr="00981405">
        <w:t>the</w:t>
      </w:r>
      <w:r w:rsidR="00190923" w:rsidRPr="00981405">
        <w:t xml:space="preserve"> </w:t>
      </w:r>
      <w:r w:rsidRPr="00981405">
        <w:t>order</w:t>
      </w:r>
      <w:r w:rsidR="00190923" w:rsidRPr="00981405">
        <w:t xml:space="preserve"> </w:t>
      </w:r>
      <w:r w:rsidRPr="00981405">
        <w:t>of</w:t>
      </w:r>
      <w:r w:rsidR="00190923" w:rsidRPr="00981405">
        <w:t xml:space="preserve"> </w:t>
      </w:r>
      <w:r w:rsidRPr="00981405">
        <w:t>paragraphs</w:t>
      </w:r>
      <w:r w:rsidR="00190923" w:rsidRPr="00981405">
        <w:t xml:space="preserve"> </w:t>
      </w:r>
      <w:r w:rsidRPr="00981405">
        <w:t>1</w:t>
      </w:r>
      <w:r w:rsidR="00190923" w:rsidRPr="00981405">
        <w:t xml:space="preserve"> </w:t>
      </w:r>
      <w:r w:rsidRPr="00981405">
        <w:t>and</w:t>
      </w:r>
      <w:r w:rsidR="00190923" w:rsidRPr="00981405">
        <w:t xml:space="preserve"> </w:t>
      </w:r>
      <w:r w:rsidRPr="00981405">
        <w:t>2.</w:t>
      </w:r>
      <w:r w:rsidR="00190923" w:rsidRPr="00981405">
        <w:t xml:space="preserve"> </w:t>
      </w:r>
      <w:r w:rsidRPr="00981405">
        <w:t>Regarding</w:t>
      </w:r>
      <w:r w:rsidR="00190923" w:rsidRPr="00981405">
        <w:t xml:space="preserve"> </w:t>
      </w:r>
      <w:r w:rsidRPr="00981405">
        <w:t>paragraph</w:t>
      </w:r>
      <w:r w:rsidR="00190923" w:rsidRPr="00981405">
        <w:t xml:space="preserve"> </w:t>
      </w:r>
      <w:r w:rsidRPr="00981405">
        <w:t>3</w:t>
      </w:r>
      <w:r w:rsidR="00190923" w:rsidRPr="00981405">
        <w:t xml:space="preserve"> </w:t>
      </w:r>
      <w:r w:rsidRPr="00981405">
        <w:t>of</w:t>
      </w:r>
      <w:r w:rsidR="00190923" w:rsidRPr="00981405">
        <w:t xml:space="preserve"> </w:t>
      </w:r>
      <w:r w:rsidRPr="00981405">
        <w:t>draft</w:t>
      </w:r>
      <w:r w:rsidR="00190923" w:rsidRPr="00981405">
        <w:t xml:space="preserve"> </w:t>
      </w:r>
      <w:r w:rsidRPr="00981405">
        <w:t>article</w:t>
      </w:r>
      <w:r w:rsidR="00190923" w:rsidRPr="00981405">
        <w:t xml:space="preserve"> </w:t>
      </w:r>
      <w:r w:rsidRPr="00981405">
        <w:t>6,</w:t>
      </w:r>
      <w:r w:rsidR="00190923" w:rsidRPr="00981405">
        <w:t xml:space="preserve"> </w:t>
      </w:r>
      <w:r w:rsidRPr="00981405">
        <w:t>she</w:t>
      </w:r>
      <w:r w:rsidR="00190923" w:rsidRPr="00981405">
        <w:t xml:space="preserve"> </w:t>
      </w:r>
      <w:r w:rsidRPr="00981405">
        <w:t>was</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it</w:t>
      </w:r>
      <w:r w:rsidR="00190923" w:rsidRPr="00981405">
        <w:t xml:space="preserve"> </w:t>
      </w:r>
      <w:r w:rsidRPr="00981405">
        <w:t>should</w:t>
      </w:r>
      <w:r w:rsidR="00190923" w:rsidRPr="00981405">
        <w:t xml:space="preserve"> </w:t>
      </w:r>
      <w:r w:rsidRPr="00981405">
        <w:t>be</w:t>
      </w:r>
      <w:r w:rsidR="00190923" w:rsidRPr="00981405">
        <w:t xml:space="preserve"> </w:t>
      </w:r>
      <w:r w:rsidRPr="00981405">
        <w:t>retained,</w:t>
      </w:r>
      <w:r w:rsidR="00190923" w:rsidRPr="00981405">
        <w:t xml:space="preserve"> </w:t>
      </w:r>
      <w:r w:rsidRPr="00981405">
        <w:t>but</w:t>
      </w:r>
      <w:r w:rsidR="00190923" w:rsidRPr="00981405">
        <w:t xml:space="preserve"> </w:t>
      </w:r>
      <w:r w:rsidRPr="00981405">
        <w:t>left</w:t>
      </w:r>
      <w:r w:rsidR="00190923" w:rsidRPr="00981405">
        <w:t xml:space="preserve"> </w:t>
      </w:r>
      <w:r w:rsidRPr="00981405">
        <w:t>open</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might</w:t>
      </w:r>
      <w:r w:rsidR="00190923" w:rsidRPr="00981405">
        <w:t xml:space="preserve"> </w:t>
      </w:r>
      <w:r w:rsidRPr="00981405">
        <w:t>decide</w:t>
      </w:r>
      <w:r w:rsidR="00190923" w:rsidRPr="00981405">
        <w:t xml:space="preserve"> </w:t>
      </w:r>
      <w:r w:rsidRPr="00981405">
        <w:t>to</w:t>
      </w:r>
      <w:r w:rsidR="00190923" w:rsidRPr="00981405">
        <w:t xml:space="preserve"> </w:t>
      </w:r>
      <w:r w:rsidRPr="00981405">
        <w:t>delete</w:t>
      </w:r>
      <w:r w:rsidR="00190923" w:rsidRPr="00981405">
        <w:t xml:space="preserve"> </w:t>
      </w:r>
      <w:r w:rsidRPr="00981405">
        <w:t>it</w:t>
      </w:r>
      <w:r w:rsidR="00190923" w:rsidRPr="00981405">
        <w:t xml:space="preserve"> </w:t>
      </w:r>
      <w:r w:rsidRPr="00981405">
        <w:t>and</w:t>
      </w:r>
      <w:r w:rsidR="00190923" w:rsidRPr="00981405">
        <w:t xml:space="preserve"> </w:t>
      </w:r>
      <w:r w:rsidRPr="00981405">
        <w:t>to</w:t>
      </w:r>
      <w:r w:rsidR="00190923" w:rsidRPr="00981405">
        <w:t xml:space="preserve"> </w:t>
      </w:r>
      <w:r w:rsidRPr="00981405">
        <w:t>incorporate</w:t>
      </w:r>
      <w:r w:rsidR="00190923" w:rsidRPr="00981405">
        <w:t xml:space="preserve"> </w:t>
      </w:r>
      <w:r w:rsidRPr="00981405">
        <w:t>its</w:t>
      </w:r>
      <w:r w:rsidR="00190923" w:rsidRPr="00981405">
        <w:t xml:space="preserve"> </w:t>
      </w:r>
      <w:r w:rsidRPr="00981405">
        <w:t>content</w:t>
      </w:r>
      <w:r w:rsidR="00190923" w:rsidRPr="00981405">
        <w:t xml:space="preserve"> </w:t>
      </w:r>
      <w:r w:rsidRPr="00981405">
        <w:t>and</w:t>
      </w:r>
      <w:r w:rsidR="00190923" w:rsidRPr="00981405">
        <w:t xml:space="preserve"> </w:t>
      </w:r>
      <w:r w:rsidRPr="00981405">
        <w:t>the</w:t>
      </w:r>
      <w:r w:rsidR="00190923" w:rsidRPr="00981405">
        <w:t xml:space="preserve"> </w:t>
      </w:r>
      <w:r w:rsidRPr="00981405">
        <w:t>reasons</w:t>
      </w:r>
      <w:r w:rsidR="00190923" w:rsidRPr="00981405">
        <w:t xml:space="preserve"> </w:t>
      </w:r>
      <w:r w:rsidRPr="00981405">
        <w:t>for</w:t>
      </w:r>
      <w:r w:rsidR="00190923" w:rsidRPr="00981405">
        <w:t xml:space="preserve"> </w:t>
      </w:r>
      <w:r w:rsidRPr="00981405">
        <w:t>it</w:t>
      </w:r>
      <w:r w:rsidR="00190923" w:rsidRPr="00981405">
        <w:t xml:space="preserve"> </w:t>
      </w:r>
      <w:r w:rsidRPr="00981405">
        <w:t>in</w:t>
      </w:r>
      <w:r w:rsidR="00190923" w:rsidRPr="00981405">
        <w:t xml:space="preserve"> </w:t>
      </w:r>
      <w:r w:rsidRPr="00981405">
        <w:t>the</w:t>
      </w:r>
      <w:r w:rsidR="00190923" w:rsidRPr="00981405">
        <w:t xml:space="preserve"> </w:t>
      </w:r>
      <w:r w:rsidRPr="00981405">
        <w:t>commentaries.</w:t>
      </w:r>
    </w:p>
    <w:p w:rsidR="00397032" w:rsidRPr="00981405" w:rsidRDefault="00397032" w:rsidP="00D97463">
      <w:pPr>
        <w:pStyle w:val="SingleTxt"/>
      </w:pPr>
      <w:r w:rsidRPr="00981405">
        <w:t>242.</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responded</w:t>
      </w:r>
      <w:r w:rsidR="00190923" w:rsidRPr="00981405">
        <w:t xml:space="preserve"> </w:t>
      </w:r>
      <w:r w:rsidRPr="00981405">
        <w:t>to</w:t>
      </w:r>
      <w:r w:rsidR="00190923" w:rsidRPr="00981405">
        <w:t xml:space="preserve"> </w:t>
      </w:r>
      <w:r w:rsidRPr="00981405">
        <w:t>various</w:t>
      </w:r>
      <w:r w:rsidR="00190923" w:rsidRPr="00981405">
        <w:t xml:space="preserve"> </w:t>
      </w:r>
      <w:r w:rsidRPr="00981405">
        <w:t>questions</w:t>
      </w:r>
      <w:r w:rsidR="00190923" w:rsidRPr="00981405">
        <w:t xml:space="preserve"> </w:t>
      </w:r>
      <w:r w:rsidRPr="00981405">
        <w:t>raised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Lastly,</w:t>
      </w:r>
      <w:r w:rsidR="00190923" w:rsidRPr="00981405">
        <w:t xml:space="preserve"> </w:t>
      </w:r>
      <w:r w:rsidRPr="00981405">
        <w:t>regarding</w:t>
      </w:r>
      <w:r w:rsidR="00190923" w:rsidRPr="00981405">
        <w:t xml:space="preserve"> </w:t>
      </w:r>
      <w:r w:rsidRPr="00981405">
        <w:t>the</w:t>
      </w:r>
      <w:r w:rsidR="00190923" w:rsidRPr="00981405">
        <w:t xml:space="preserve"> </w:t>
      </w:r>
      <w:r w:rsidRPr="00981405">
        <w:t>future</w:t>
      </w:r>
      <w:r w:rsidR="00190923" w:rsidRPr="00981405">
        <w:t xml:space="preserve"> </w:t>
      </w:r>
      <w:r w:rsidRPr="00981405">
        <w:t>workplan,</w:t>
      </w:r>
      <w:r w:rsidR="00190923" w:rsidRPr="00981405">
        <w:t xml:space="preserve"> </w:t>
      </w:r>
      <w:r w:rsidRPr="00981405">
        <w:t>she</w:t>
      </w:r>
      <w:r w:rsidR="00190923" w:rsidRPr="00981405">
        <w:t xml:space="preserve"> </w:t>
      </w:r>
      <w:r w:rsidRPr="00981405">
        <w:t>said</w:t>
      </w:r>
      <w:r w:rsidR="00190923" w:rsidRPr="00981405">
        <w:t xml:space="preserve"> </w:t>
      </w:r>
      <w:r w:rsidRPr="00981405">
        <w:t>that</w:t>
      </w:r>
      <w:r w:rsidR="00190923" w:rsidRPr="00981405">
        <w:t xml:space="preserve"> </w:t>
      </w:r>
      <w:r w:rsidRPr="00981405">
        <w:t>the</w:t>
      </w:r>
      <w:r w:rsidR="00190923" w:rsidRPr="00981405">
        <w:t xml:space="preserve"> </w:t>
      </w:r>
      <w:r w:rsidRPr="00981405">
        <w:t>interesting</w:t>
      </w:r>
      <w:r w:rsidR="00190923" w:rsidRPr="00981405">
        <w:t xml:space="preserve"> </w:t>
      </w:r>
      <w:r w:rsidRPr="00981405">
        <w:t>debate</w:t>
      </w:r>
      <w:r w:rsidR="00190923" w:rsidRPr="00981405">
        <w:t xml:space="preserve"> </w:t>
      </w:r>
      <w:r w:rsidRPr="00981405">
        <w:t>in</w:t>
      </w:r>
      <w:r w:rsidR="00190923" w:rsidRPr="00981405">
        <w:t xml:space="preserve"> </w:t>
      </w:r>
      <w:r w:rsidRPr="00981405">
        <w:t>the</w:t>
      </w:r>
      <w:r w:rsidR="00190923" w:rsidRPr="00981405">
        <w:t xml:space="preserve"> </w:t>
      </w:r>
      <w:r w:rsidRPr="00981405">
        <w:t>plenary</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w:t>
      </w:r>
      <w:r w:rsidR="00190923" w:rsidRPr="00981405">
        <w:t xml:space="preserve"> </w:t>
      </w:r>
      <w:r w:rsidRPr="00981405">
        <w:t>to</w:t>
      </w:r>
      <w:r w:rsidR="00190923" w:rsidRPr="00981405">
        <w:t xml:space="preserve"> </w:t>
      </w:r>
      <w:r w:rsidRPr="00981405">
        <w:t>a</w:t>
      </w:r>
      <w:r w:rsidR="00190923" w:rsidRPr="00981405">
        <w:t xml:space="preserve"> </w:t>
      </w:r>
      <w:r w:rsidRPr="00981405">
        <w:t>great</w:t>
      </w:r>
      <w:r w:rsidR="00190923" w:rsidRPr="00981405">
        <w:t xml:space="preserve"> </w:t>
      </w:r>
      <w:r w:rsidRPr="00981405">
        <w:t>extent</w:t>
      </w:r>
      <w:r w:rsidR="00190923" w:rsidRPr="00981405">
        <w:t xml:space="preserve"> </w:t>
      </w:r>
      <w:r w:rsidRPr="00981405">
        <w:t>—</w:t>
      </w:r>
      <w:r w:rsidR="00190923" w:rsidRPr="00981405">
        <w:t xml:space="preserve"> </w:t>
      </w:r>
      <w:r w:rsidRPr="00981405">
        <w:t>a</w:t>
      </w:r>
      <w:r w:rsidR="00190923" w:rsidRPr="00981405">
        <w:t xml:space="preserve"> </w:t>
      </w:r>
      <w:r w:rsidRPr="00981405">
        <w:t>repeat</w:t>
      </w:r>
      <w:r w:rsidR="00190923" w:rsidRPr="00981405">
        <w:t xml:space="preserve"> </w:t>
      </w:r>
      <w:r w:rsidRPr="00981405">
        <w:t>of</w:t>
      </w:r>
      <w:r w:rsidR="00190923" w:rsidRPr="00981405">
        <w:t xml:space="preserve"> </w:t>
      </w:r>
      <w:r w:rsidRPr="00981405">
        <w:t>a</w:t>
      </w:r>
      <w:r w:rsidR="00190923" w:rsidRPr="00981405">
        <w:t xml:space="preserve"> </w:t>
      </w:r>
      <w:r w:rsidRPr="00981405">
        <w:t>debate</w:t>
      </w:r>
      <w:r w:rsidR="00190923" w:rsidRPr="00981405">
        <w:t xml:space="preserve"> </w:t>
      </w:r>
      <w:r w:rsidRPr="00981405">
        <w:t>that</w:t>
      </w:r>
      <w:r w:rsidR="00190923" w:rsidRPr="00981405">
        <w:t xml:space="preserve"> </w:t>
      </w:r>
      <w:r w:rsidRPr="00981405">
        <w:t>had</w:t>
      </w:r>
      <w:r w:rsidR="00190923" w:rsidRPr="00981405">
        <w:t xml:space="preserve"> </w:t>
      </w:r>
      <w:r w:rsidRPr="00981405">
        <w:t>previously</w:t>
      </w:r>
      <w:r w:rsidR="00190923" w:rsidRPr="00981405">
        <w:t xml:space="preserve"> </w:t>
      </w:r>
      <w:r w:rsidRPr="00981405">
        <w:t>taken</w:t>
      </w:r>
      <w:r w:rsidR="00190923" w:rsidRPr="00981405">
        <w:t xml:space="preserve"> </w:t>
      </w:r>
      <w:r w:rsidRPr="00981405">
        <w:t>place</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She</w:t>
      </w:r>
      <w:r w:rsidR="00190923" w:rsidRPr="00981405">
        <w:t xml:space="preserve"> </w:t>
      </w:r>
      <w:r w:rsidRPr="00981405">
        <w:t>recalled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endorsed</w:t>
      </w:r>
      <w:r w:rsidR="00190923" w:rsidRPr="00981405">
        <w:t xml:space="preserve"> </w:t>
      </w:r>
      <w:r w:rsidRPr="00981405">
        <w:t>the</w:t>
      </w:r>
      <w:r w:rsidR="00190923" w:rsidRPr="00981405">
        <w:t xml:space="preserve"> </w:t>
      </w:r>
      <w:r w:rsidRPr="00981405">
        <w:t>workplan</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and</w:t>
      </w:r>
      <w:r w:rsidR="00190923" w:rsidRPr="00981405">
        <w:t xml:space="preserve"> </w:t>
      </w:r>
      <w:r w:rsidRPr="00981405">
        <w:t>that</w:t>
      </w:r>
      <w:r w:rsidR="00190923" w:rsidRPr="00981405">
        <w:t xml:space="preserve"> </w:t>
      </w:r>
      <w:r w:rsidRPr="00981405">
        <w:t>a</w:t>
      </w:r>
      <w:r w:rsidR="00190923" w:rsidRPr="00981405">
        <w:t xml:space="preserve"> </w:t>
      </w:r>
      <w:r w:rsidRPr="00981405">
        <w:t>large</w:t>
      </w:r>
      <w:r w:rsidR="00190923" w:rsidRPr="00981405">
        <w:t xml:space="preserve"> </w:t>
      </w:r>
      <w:r w:rsidRPr="00981405">
        <w:t>number</w:t>
      </w:r>
      <w:r w:rsidR="00190923" w:rsidRPr="00981405">
        <w:t xml:space="preserve"> </w:t>
      </w:r>
      <w:r w:rsidRPr="00981405">
        <w:t>of</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supported</w:t>
      </w:r>
      <w:r w:rsidR="00190923" w:rsidRPr="00981405">
        <w:t xml:space="preserve"> </w:t>
      </w:r>
      <w:r w:rsidRPr="00981405">
        <w:t>her</w:t>
      </w:r>
      <w:r w:rsidR="00190923" w:rsidRPr="00981405">
        <w:t xml:space="preserve"> </w:t>
      </w:r>
      <w:r w:rsidRPr="00981405">
        <w:t>proposal</w:t>
      </w:r>
      <w:r w:rsidR="00190923" w:rsidRPr="00981405">
        <w:t xml:space="preserve"> </w:t>
      </w:r>
      <w:r w:rsidRPr="00981405">
        <w:t>to</w:t>
      </w:r>
      <w:r w:rsidR="00190923" w:rsidRPr="00981405">
        <w:t xml:space="preserve"> </w:t>
      </w:r>
      <w:r w:rsidRPr="00981405">
        <w:t>address</w:t>
      </w:r>
      <w:r w:rsidR="00190923" w:rsidRPr="00981405">
        <w:t xml:space="preserve"> </w:t>
      </w:r>
      <w:r w:rsidRPr="00981405">
        <w:t>the</w:t>
      </w:r>
      <w:r w:rsidR="00190923" w:rsidRPr="00981405">
        <w:t xml:space="preserve"> </w:t>
      </w:r>
      <w:r w:rsidRPr="00981405">
        <w:t>issue</w:t>
      </w:r>
      <w:r w:rsidR="00190923" w:rsidRPr="00981405">
        <w:t xml:space="preserve"> </w:t>
      </w:r>
      <w:r w:rsidRPr="00981405">
        <w:t>of</w:t>
      </w:r>
      <w:r w:rsidR="00190923" w:rsidRPr="00981405">
        <w:t xml:space="preserve"> </w:t>
      </w:r>
      <w:r w:rsidRPr="00981405">
        <w:t>limits</w:t>
      </w:r>
      <w:r w:rsidR="00190923" w:rsidRPr="00981405">
        <w:t xml:space="preserve"> </w:t>
      </w:r>
      <w:r w:rsidRPr="00981405">
        <w:t>and</w:t>
      </w:r>
      <w:r w:rsidR="00190923" w:rsidRPr="00981405">
        <w:t xml:space="preserve"> </w:t>
      </w:r>
      <w:r w:rsidRPr="00981405">
        <w:t>exceptions</w:t>
      </w:r>
      <w:r w:rsidR="00190923" w:rsidRPr="00981405">
        <w:t xml:space="preserve"> </w:t>
      </w:r>
      <w:r w:rsidRPr="00981405">
        <w:t>in</w:t>
      </w:r>
      <w:r w:rsidR="00190923" w:rsidRPr="00981405">
        <w:t xml:space="preserve"> </w:t>
      </w:r>
      <w:r w:rsidRPr="00981405">
        <w:t>her</w:t>
      </w:r>
      <w:r w:rsidR="00190923" w:rsidRPr="00981405">
        <w:t xml:space="preserve"> </w:t>
      </w:r>
      <w:r w:rsidRPr="00981405">
        <w:t>next</w:t>
      </w:r>
      <w:r w:rsidR="00190923" w:rsidRPr="00981405">
        <w:t xml:space="preserve"> </w:t>
      </w:r>
      <w:r w:rsidRPr="00981405">
        <w:t>report.</w:t>
      </w:r>
      <w:r w:rsidR="00190923" w:rsidRPr="00981405">
        <w:t xml:space="preserve"> </w:t>
      </w:r>
      <w:r w:rsidRPr="00981405">
        <w:t>She</w:t>
      </w:r>
      <w:r w:rsidR="00190923" w:rsidRPr="00981405">
        <w:t xml:space="preserve"> </w:t>
      </w:r>
      <w:r w:rsidRPr="00981405">
        <w:t>had,</w:t>
      </w:r>
      <w:r w:rsidR="00190923" w:rsidRPr="00981405">
        <w:t xml:space="preserve"> </w:t>
      </w:r>
      <w:r w:rsidRPr="00981405">
        <w:t>however,</w:t>
      </w:r>
      <w:r w:rsidR="00190923" w:rsidRPr="00981405">
        <w:t xml:space="preserve"> </w:t>
      </w:r>
      <w:r w:rsidRPr="00981405">
        <w:t>taken</w:t>
      </w:r>
      <w:r w:rsidR="00190923" w:rsidRPr="00981405">
        <w:t xml:space="preserve"> </w:t>
      </w:r>
      <w:r w:rsidRPr="00981405">
        <w:t>careful</w:t>
      </w:r>
      <w:r w:rsidR="00190923" w:rsidRPr="00981405">
        <w:t xml:space="preserve"> </w:t>
      </w:r>
      <w:r w:rsidRPr="00981405">
        <w:t>note</w:t>
      </w:r>
      <w:r w:rsidR="00190923" w:rsidRPr="00981405">
        <w:t xml:space="preserve"> </w:t>
      </w:r>
      <w:r w:rsidRPr="00981405">
        <w:t>of</w:t>
      </w:r>
      <w:r w:rsidR="00190923" w:rsidRPr="00981405">
        <w:t xml:space="preserve"> </w:t>
      </w:r>
      <w:r w:rsidRPr="00981405">
        <w:t>the</w:t>
      </w:r>
      <w:r w:rsidR="00190923" w:rsidRPr="00981405">
        <w:t xml:space="preserve"> </w:t>
      </w:r>
      <w:r w:rsidRPr="00981405">
        <w:t>suggestions</w:t>
      </w:r>
      <w:r w:rsidR="00190923" w:rsidRPr="00981405">
        <w:t xml:space="preserve"> </w:t>
      </w:r>
      <w:r w:rsidRPr="00981405">
        <w:t>made</w:t>
      </w:r>
      <w:r w:rsidR="00190923" w:rsidRPr="00981405">
        <w:t xml:space="preserve"> </w:t>
      </w:r>
      <w:r w:rsidRPr="00981405">
        <w:t>by</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Commission</w:t>
      </w:r>
      <w:r w:rsidR="00190923" w:rsidRPr="00981405">
        <w:t xml:space="preserve"> </w:t>
      </w:r>
      <w:r w:rsidRPr="00981405">
        <w:t>members</w:t>
      </w:r>
      <w:r w:rsidR="00190923" w:rsidRPr="00981405">
        <w:t xml:space="preserve"> </w:t>
      </w:r>
      <w:r w:rsidRPr="00981405">
        <w:t>to</w:t>
      </w:r>
      <w:r w:rsidR="00190923" w:rsidRPr="00981405">
        <w:t xml:space="preserve"> </w:t>
      </w:r>
      <w:r w:rsidRPr="00981405">
        <w:t>consider</w:t>
      </w:r>
      <w:r w:rsidR="00190923" w:rsidRPr="00981405">
        <w:t xml:space="preserve"> </w:t>
      </w:r>
      <w:r w:rsidRPr="00981405">
        <w:t>first,</w:t>
      </w:r>
      <w:r w:rsidR="00190923" w:rsidRPr="00981405">
        <w:t xml:space="preserve"> </w:t>
      </w:r>
      <w:r w:rsidRPr="00981405">
        <w:t>or</w:t>
      </w:r>
      <w:r w:rsidR="00190923" w:rsidRPr="00981405">
        <w:t xml:space="preserve"> </w:t>
      </w:r>
      <w:r w:rsidRPr="00981405">
        <w:t>concurrently,</w:t>
      </w:r>
      <w:r w:rsidR="00190923" w:rsidRPr="00981405">
        <w:t xml:space="preserve"> </w:t>
      </w:r>
      <w:r w:rsidRPr="00981405">
        <w:t>the</w:t>
      </w:r>
      <w:r w:rsidR="00190923" w:rsidRPr="00981405">
        <w:t xml:space="preserve"> </w:t>
      </w:r>
      <w:r w:rsidRPr="00981405">
        <w:t>procedural</w:t>
      </w:r>
      <w:r w:rsidR="00190923" w:rsidRPr="00981405">
        <w:t xml:space="preserve"> </w:t>
      </w:r>
      <w:r w:rsidRPr="00981405">
        <w:t>aspects</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that</w:t>
      </w:r>
      <w:r w:rsidR="00190923" w:rsidRPr="00981405">
        <w:t xml:space="preserve"> </w:t>
      </w:r>
      <w:r w:rsidRPr="00981405">
        <w:t>regard,</w:t>
      </w:r>
      <w:r w:rsidR="00190923" w:rsidRPr="00981405">
        <w:t xml:space="preserve"> </w:t>
      </w:r>
      <w:r w:rsidRPr="00981405">
        <w:t>she</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she</w:t>
      </w:r>
      <w:r w:rsidR="00190923" w:rsidRPr="00981405">
        <w:t xml:space="preserve"> </w:t>
      </w:r>
      <w:r w:rsidRPr="00981405">
        <w:t>would,</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necessary</w:t>
      </w:r>
      <w:r w:rsidR="00190923" w:rsidRPr="00981405">
        <w:t xml:space="preserve"> </w:t>
      </w:r>
      <w:r w:rsidRPr="00981405">
        <w:t>and</w:t>
      </w:r>
      <w:r w:rsidR="00190923" w:rsidRPr="00981405">
        <w:t xml:space="preserve"> </w:t>
      </w:r>
      <w:r w:rsidRPr="00981405">
        <w:t>possible,</w:t>
      </w:r>
      <w:r w:rsidR="00190923" w:rsidRPr="00981405">
        <w:t xml:space="preserve"> </w:t>
      </w:r>
      <w:r w:rsidRPr="00981405">
        <w:t>deal</w:t>
      </w:r>
      <w:r w:rsidR="00190923" w:rsidRPr="00981405">
        <w:t xml:space="preserve"> </w:t>
      </w:r>
      <w:r w:rsidRPr="00981405">
        <w:t>with</w:t>
      </w:r>
      <w:r w:rsidR="00190923" w:rsidRPr="00981405">
        <w:t xml:space="preserve"> </w:t>
      </w:r>
      <w:r w:rsidRPr="00981405">
        <w:t>procedural</w:t>
      </w:r>
      <w:r w:rsidR="00190923" w:rsidRPr="00981405">
        <w:t xml:space="preserve"> </w:t>
      </w:r>
      <w:r w:rsidRPr="00981405">
        <w:t>issues</w:t>
      </w:r>
      <w:r w:rsidR="00190923" w:rsidRPr="00981405">
        <w:t xml:space="preserve"> </w:t>
      </w:r>
      <w:r w:rsidRPr="00981405">
        <w:t>in</w:t>
      </w:r>
      <w:r w:rsidR="00190923" w:rsidRPr="00981405">
        <w:t xml:space="preserve"> </w:t>
      </w:r>
      <w:r w:rsidRPr="00981405">
        <w:t>her</w:t>
      </w:r>
      <w:r w:rsidR="00190923" w:rsidRPr="00981405">
        <w:t xml:space="preserve"> </w:t>
      </w:r>
      <w:r w:rsidRPr="00981405">
        <w:t>next</w:t>
      </w:r>
      <w:r w:rsidR="00190923" w:rsidRPr="00981405">
        <w:t xml:space="preserve"> </w:t>
      </w:r>
      <w:r w:rsidRPr="00981405">
        <w:t>report.</w:t>
      </w:r>
    </w:p>
    <w:p w:rsidR="00397032" w:rsidRPr="00981405" w:rsidRDefault="00397032" w:rsidP="00D97463">
      <w:pPr>
        <w:pStyle w:val="SingleTxt"/>
      </w:pPr>
      <w:r w:rsidRPr="00981405">
        <w:t>243.</w:t>
      </w:r>
      <w:r w:rsidRPr="00981405">
        <w:tab/>
        <w:t>In</w:t>
      </w:r>
      <w:r w:rsidR="00190923" w:rsidRPr="00981405">
        <w:t xml:space="preserve"> </w:t>
      </w:r>
      <w:r w:rsidRPr="00981405">
        <w:t>conclusion,</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recommended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should</w:t>
      </w:r>
      <w:r w:rsidR="00190923" w:rsidRPr="00981405">
        <w:t xml:space="preserve"> </w:t>
      </w:r>
      <w:r w:rsidRPr="00981405">
        <w:t>refer</w:t>
      </w:r>
      <w:r w:rsidR="00190923" w:rsidRPr="00981405">
        <w:t xml:space="preserve"> </w:t>
      </w:r>
      <w:r w:rsidRPr="00981405">
        <w:t>the</w:t>
      </w:r>
      <w:r w:rsidR="00190923" w:rsidRPr="00981405">
        <w:t xml:space="preserve"> </w:t>
      </w:r>
      <w:r w:rsidRPr="00981405">
        <w:t>two</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on</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that</w:t>
      </w:r>
      <w:r w:rsidR="00190923" w:rsidRPr="00981405">
        <w:t xml:space="preserve"> </w:t>
      </w:r>
      <w:r w:rsidRPr="00981405">
        <w:t>the</w:t>
      </w:r>
      <w:r w:rsidR="00190923" w:rsidRPr="00981405">
        <w:t xml:space="preserve"> </w:t>
      </w:r>
      <w:r w:rsidRPr="00981405">
        <w:t>latter</w:t>
      </w:r>
      <w:r w:rsidR="00190923" w:rsidRPr="00981405">
        <w:t xml:space="preserve"> </w:t>
      </w:r>
      <w:r w:rsidRPr="00981405">
        <w:t>would</w:t>
      </w:r>
      <w:r w:rsidR="00190923" w:rsidRPr="00981405">
        <w:t xml:space="preserve"> </w:t>
      </w:r>
      <w:r w:rsidRPr="00981405">
        <w:t>consider</w:t>
      </w:r>
      <w:r w:rsidR="00190923" w:rsidRPr="00981405">
        <w:t xml:space="preserve"> </w:t>
      </w:r>
      <w:r w:rsidRPr="00981405">
        <w:t>them</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plenary</w:t>
      </w:r>
      <w:r w:rsidR="00190923" w:rsidRPr="00981405">
        <w:t xml:space="preserve"> </w:t>
      </w:r>
      <w:r w:rsidRPr="00981405">
        <w:t>debate.</w:t>
      </w:r>
    </w:p>
    <w:p w:rsidR="00397032" w:rsidRPr="00981405" w:rsidRDefault="00397032" w:rsidP="00D97463">
      <w:pPr>
        <w:pStyle w:val="SingleTxt"/>
      </w:pPr>
      <w:r w:rsidRPr="00981405">
        <w:br w:type="page"/>
      </w:r>
    </w:p>
    <w:p w:rsidR="00AF59AC" w:rsidRPr="00D97463" w:rsidRDefault="00AF59AC" w:rsidP="00D97463">
      <w:pPr>
        <w:pStyle w:val="SingleTxt"/>
        <w:spacing w:after="0" w:line="120" w:lineRule="exact"/>
        <w:rPr>
          <w:sz w:val="10"/>
        </w:rPr>
      </w:pPr>
    </w:p>
    <w:p w:rsidR="00AF59AC" w:rsidRPr="00D97463" w:rsidRDefault="00AF59AC"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62" w:name="_Toc427938150"/>
      <w:r w:rsidRPr="00D97463">
        <w:t>Chapter</w:t>
      </w:r>
      <w:r w:rsidR="00190923" w:rsidRPr="00D97463">
        <w:t xml:space="preserve"> </w:t>
      </w:r>
      <w:r w:rsidRPr="00D97463">
        <w:t>XI</w:t>
      </w:r>
      <w:r w:rsidRPr="00D97463">
        <w:br/>
        <w:t>Provisional</w:t>
      </w:r>
      <w:r w:rsidR="00190923" w:rsidRPr="00D97463">
        <w:t xml:space="preserve"> </w:t>
      </w:r>
      <w:r w:rsidRPr="00D97463">
        <w:t>application</w:t>
      </w:r>
      <w:r w:rsidR="00190923" w:rsidRPr="00D97463">
        <w:t xml:space="preserve"> </w:t>
      </w:r>
      <w:r w:rsidRPr="00D97463">
        <w:t>of</w:t>
      </w:r>
      <w:r w:rsidR="00190923" w:rsidRPr="00D97463">
        <w:t xml:space="preserve"> </w:t>
      </w:r>
      <w:r w:rsidRPr="00D97463">
        <w:t>treaties</w:t>
      </w:r>
      <w:bookmarkEnd w:id="162"/>
      <w:r w:rsidR="00190923" w:rsidRPr="00D97463">
        <w:t xml:space="preserve"> </w:t>
      </w:r>
    </w:p>
    <w:p w:rsidR="00397032" w:rsidRPr="00D97463" w:rsidRDefault="00397032" w:rsidP="00D97463">
      <w:pPr>
        <w:pStyle w:val="SingleTxt"/>
        <w:spacing w:after="0" w:line="120" w:lineRule="exact"/>
        <w:rPr>
          <w:sz w:val="10"/>
        </w:rPr>
      </w:pPr>
    </w:p>
    <w:p w:rsidR="00AF59AC" w:rsidRPr="00D97463" w:rsidRDefault="00AF59AC" w:rsidP="00D97463">
      <w:pPr>
        <w:pStyle w:val="SingleTxt"/>
        <w:spacing w:after="0" w:line="120" w:lineRule="exact"/>
        <w:rPr>
          <w:sz w:val="10"/>
        </w:rPr>
      </w:pPr>
    </w:p>
    <w:p w:rsidR="00397032" w:rsidRPr="00D97463" w:rsidRDefault="00397032" w:rsidP="00D97463">
      <w:pPr>
        <w:pStyle w:val="H1"/>
        <w:ind w:right="1260"/>
      </w:pPr>
      <w:r w:rsidRPr="00D97463">
        <w:tab/>
      </w:r>
      <w:bookmarkStart w:id="163" w:name="_Toc427938151"/>
      <w:r w:rsidRPr="00D97463">
        <w:t>A.</w:t>
      </w:r>
      <w:r w:rsidRPr="00D97463">
        <w:tab/>
        <w:t>Introduction</w:t>
      </w:r>
      <w:bookmarkEnd w:id="163"/>
    </w:p>
    <w:p w:rsidR="00397032" w:rsidRPr="00D97463" w:rsidRDefault="00397032" w:rsidP="00D97463">
      <w:pPr>
        <w:pStyle w:val="SingleTxt"/>
        <w:spacing w:after="0" w:line="120" w:lineRule="exact"/>
        <w:rPr>
          <w:sz w:val="10"/>
        </w:rPr>
      </w:pPr>
    </w:p>
    <w:p w:rsidR="00AF59AC" w:rsidRPr="00D97463" w:rsidRDefault="00AF59AC" w:rsidP="00D97463">
      <w:pPr>
        <w:pStyle w:val="SingleTxt"/>
        <w:spacing w:after="0" w:line="120" w:lineRule="exact"/>
        <w:rPr>
          <w:sz w:val="10"/>
        </w:rPr>
      </w:pPr>
    </w:p>
    <w:p w:rsidR="00397032" w:rsidRPr="00981405" w:rsidRDefault="00397032" w:rsidP="00D97463">
      <w:pPr>
        <w:pStyle w:val="SingleTxt"/>
      </w:pPr>
      <w:r w:rsidRPr="00981405">
        <w:t>244.</w:t>
      </w:r>
      <w:r w:rsidRPr="00981405">
        <w:tab/>
        <w:t>At</w:t>
      </w:r>
      <w:r w:rsidR="00190923" w:rsidRPr="00981405">
        <w:t xml:space="preserve"> </w:t>
      </w:r>
      <w:r w:rsidRPr="00981405">
        <w:t>its</w:t>
      </w:r>
      <w:r w:rsidR="00190923" w:rsidRPr="00981405">
        <w:t xml:space="preserve"> </w:t>
      </w:r>
      <w:r w:rsidRPr="00981405">
        <w:t>sixty-fourth</w:t>
      </w:r>
      <w:r w:rsidR="00190923" w:rsidRPr="00981405">
        <w:t xml:space="preserve"> </w:t>
      </w:r>
      <w:r w:rsidRPr="00981405">
        <w:t>session</w:t>
      </w:r>
      <w:r w:rsidR="00190923" w:rsidRPr="00981405">
        <w:t xml:space="preserve"> </w:t>
      </w:r>
      <w:r w:rsidRPr="00981405">
        <w:t>(2012),</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appointed</w:t>
      </w:r>
      <w:r w:rsidR="00190923" w:rsidRPr="00981405">
        <w:t xml:space="preserve"> </w:t>
      </w:r>
      <w:r w:rsidRPr="00981405">
        <w:t>Mr.</w:t>
      </w:r>
      <w:r w:rsidR="00190923" w:rsidRPr="00981405">
        <w:t xml:space="preserve"> </w:t>
      </w:r>
      <w:r w:rsidRPr="00981405">
        <w:t>Juan</w:t>
      </w:r>
      <w:r w:rsidR="00190923" w:rsidRPr="00981405">
        <w:t xml:space="preserve"> </w:t>
      </w:r>
      <w:r w:rsidRPr="00981405">
        <w:t>Manuel</w:t>
      </w:r>
      <w:r w:rsidR="00190923" w:rsidRPr="00981405">
        <w:t xml:space="preserve"> </w:t>
      </w:r>
      <w:r w:rsidRPr="00981405">
        <w:t>Gómez-Robledo</w:t>
      </w:r>
      <w:r w:rsidR="00190923" w:rsidRPr="00981405">
        <w:t xml:space="preserve"> </w:t>
      </w:r>
      <w:r w:rsidRPr="00981405">
        <w:t>as</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an</w:t>
      </w:r>
      <w:r w:rsidR="00190923" w:rsidRPr="00981405">
        <w:t xml:space="preserve"> </w:t>
      </w:r>
      <w:r w:rsidRPr="00981405">
        <w:t>oral</w:t>
      </w:r>
      <w:r w:rsidR="00190923" w:rsidRPr="00981405">
        <w:t xml:space="preserve"> </w:t>
      </w:r>
      <w:r w:rsidRPr="00981405">
        <w:t>report,</w:t>
      </w:r>
      <w:r w:rsidR="00190923" w:rsidRPr="00981405">
        <w:t xml:space="preserve"> </w:t>
      </w:r>
      <w:r w:rsidRPr="00981405">
        <w:t>presented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on</w:t>
      </w:r>
      <w:r w:rsidR="00190923" w:rsidRPr="00981405">
        <w:t xml:space="preserve"> </w:t>
      </w:r>
      <w:r w:rsidRPr="00981405">
        <w:t>the</w:t>
      </w:r>
      <w:r w:rsidR="00190923" w:rsidRPr="00981405">
        <w:t xml:space="preserve"> </w:t>
      </w:r>
      <w:r w:rsidRPr="00981405">
        <w:t>informal</w:t>
      </w:r>
      <w:r w:rsidR="00190923" w:rsidRPr="00981405">
        <w:t xml:space="preserve"> </w:t>
      </w:r>
      <w:r w:rsidRPr="00981405">
        <w:t>consultations</w:t>
      </w:r>
      <w:r w:rsidR="00190923" w:rsidRPr="00981405">
        <w:t xml:space="preserve"> </w:t>
      </w:r>
      <w:r w:rsidRPr="00981405">
        <w:t>held</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under</w:t>
      </w:r>
      <w:r w:rsidR="00190923" w:rsidRPr="00981405">
        <w:t xml:space="preserve"> </w:t>
      </w:r>
      <w:r w:rsidRPr="00981405">
        <w:t>his</w:t>
      </w:r>
      <w:r w:rsidR="00190923" w:rsidRPr="00981405">
        <w:t xml:space="preserve"> </w:t>
      </w:r>
      <w:r w:rsidRPr="00981405">
        <w:t>chairmanship.</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subsequently,</w:t>
      </w:r>
      <w:r w:rsidR="00190923" w:rsidRPr="00981405">
        <w:t xml:space="preserve"> </w:t>
      </w:r>
      <w:r w:rsidRPr="00981405">
        <w:t>in</w:t>
      </w:r>
      <w:r w:rsidR="00190923" w:rsidRPr="00981405">
        <w:t xml:space="preserve"> </w:t>
      </w:r>
      <w:r w:rsidRPr="00981405">
        <w:t>resolution</w:t>
      </w:r>
      <w:r w:rsidR="00190923" w:rsidRPr="00981405">
        <w:t xml:space="preserve"> </w:t>
      </w:r>
      <w:r w:rsidRPr="00981405">
        <w:t>67/92</w:t>
      </w:r>
      <w:r w:rsidR="00190923" w:rsidRPr="00981405">
        <w:t xml:space="preserve"> </w:t>
      </w:r>
      <w:r w:rsidRPr="00981405">
        <w:t>of</w:t>
      </w:r>
      <w:r w:rsidR="00190923" w:rsidRPr="00981405">
        <w:t xml:space="preserve"> </w:t>
      </w:r>
      <w:r w:rsidRPr="00981405">
        <w:t>14</w:t>
      </w:r>
      <w:r w:rsidR="00190923" w:rsidRPr="00981405">
        <w:t xml:space="preserve"> </w:t>
      </w:r>
      <w:r w:rsidRPr="00981405">
        <w:t>December</w:t>
      </w:r>
      <w:r w:rsidR="00190923" w:rsidRPr="00981405">
        <w:t xml:space="preserve"> </w:t>
      </w:r>
      <w:r w:rsidRPr="00981405">
        <w:t>2012,</w:t>
      </w:r>
      <w:r w:rsidR="00190923" w:rsidRPr="00981405">
        <w:t xml:space="preserve"> </w:t>
      </w:r>
      <w:r w:rsidRPr="00981405">
        <w:t>noted</w:t>
      </w:r>
      <w:r w:rsidR="00190923" w:rsidRPr="00981405">
        <w:t xml:space="preserve"> </w:t>
      </w:r>
      <w:r w:rsidRPr="00981405">
        <w:t>with</w:t>
      </w:r>
      <w:r w:rsidR="00190923" w:rsidRPr="00981405">
        <w:t xml:space="preserve"> </w:t>
      </w:r>
      <w:r w:rsidRPr="00981405">
        <w:t>appreciation</w:t>
      </w:r>
      <w:r w:rsidR="00190923" w:rsidRPr="00981405">
        <w:t xml:space="preserve"> </w:t>
      </w:r>
      <w:r w:rsidRPr="00981405">
        <w:t>the</w:t>
      </w:r>
      <w:r w:rsidR="00190923" w:rsidRPr="00981405">
        <w:t xml:space="preserve"> </w:t>
      </w:r>
      <w:r w:rsidRPr="00981405">
        <w:t>decision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p>
    <w:p w:rsidR="00397032" w:rsidRPr="00981405" w:rsidRDefault="00397032" w:rsidP="00D97463">
      <w:pPr>
        <w:pStyle w:val="SingleTxt"/>
      </w:pPr>
      <w:r w:rsidRPr="00981405">
        <w:t>245.</w:t>
      </w:r>
      <w:r w:rsidRPr="00981405">
        <w:tab/>
        <w:t>At</w:t>
      </w:r>
      <w:r w:rsidR="00190923" w:rsidRPr="00981405">
        <w:t xml:space="preserve"> </w:t>
      </w:r>
      <w:r w:rsidRPr="00981405">
        <w:t>its</w:t>
      </w:r>
      <w:r w:rsidR="00190923" w:rsidRPr="00981405">
        <w:t xml:space="preserve"> </w:t>
      </w:r>
      <w:r w:rsidRPr="00981405">
        <w:t>sixty-fifth</w:t>
      </w:r>
      <w:r w:rsidR="00190923" w:rsidRPr="00981405">
        <w:t xml:space="preserve"> </w:t>
      </w:r>
      <w:r w:rsidRPr="00981405">
        <w:t>session</w:t>
      </w:r>
      <w:r w:rsidR="00190923" w:rsidRPr="00981405">
        <w:t xml:space="preserve"> </w:t>
      </w:r>
      <w:r w:rsidRPr="00981405">
        <w:t>(2013),</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first</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56" w:history="1">
        <w:r w:rsidR="00F304EB" w:rsidRPr="00F304EB">
          <w:rPr>
            <w:rStyle w:val="Hyperlink"/>
          </w:rPr>
          <w:t>A/CN.4/664</w:t>
        </w:r>
      </w:hyperlink>
      <w:r w:rsidRPr="00981405">
        <w:t>)</w:t>
      </w:r>
      <w:r w:rsidR="00190923" w:rsidRPr="00981405">
        <w:t xml:space="preserve"> </w:t>
      </w:r>
      <w:r w:rsidRPr="00981405">
        <w:t>which</w:t>
      </w:r>
      <w:r w:rsidR="00190923" w:rsidRPr="00981405">
        <w:t xml:space="preserve"> </w:t>
      </w:r>
      <w:r w:rsidRPr="00981405">
        <w:t>sought</w:t>
      </w:r>
      <w:r w:rsidR="00190923" w:rsidRPr="00981405">
        <w:t xml:space="preserve"> </w:t>
      </w:r>
      <w:r w:rsidRPr="00981405">
        <w:t>to</w:t>
      </w:r>
      <w:r w:rsidR="00190923" w:rsidRPr="00981405">
        <w:t xml:space="preserve"> </w:t>
      </w:r>
      <w:r w:rsidRPr="00981405">
        <w:t>establish,</w:t>
      </w:r>
      <w:r w:rsidR="00190923" w:rsidRPr="00981405">
        <w:t xml:space="preserve"> </w:t>
      </w:r>
      <w:r w:rsidRPr="00981405">
        <w:t>in</w:t>
      </w:r>
      <w:r w:rsidR="00190923" w:rsidRPr="00981405">
        <w:t xml:space="preserve"> </w:t>
      </w:r>
      <w:r w:rsidRPr="00981405">
        <w:t>general</w:t>
      </w:r>
      <w:r w:rsidR="00190923" w:rsidRPr="00981405">
        <w:t xml:space="preserve"> </w:t>
      </w:r>
      <w:r w:rsidRPr="00981405">
        <w:t>terms,</w:t>
      </w:r>
      <w:r w:rsidR="00190923" w:rsidRPr="00981405">
        <w:t xml:space="preserve"> </w:t>
      </w:r>
      <w:r w:rsidRPr="00981405">
        <w:t>the</w:t>
      </w:r>
      <w:r w:rsidR="00190923" w:rsidRPr="00981405">
        <w:t xml:space="preserve"> </w:t>
      </w:r>
      <w:r w:rsidRPr="00981405">
        <w:t>principal</w:t>
      </w:r>
      <w:r w:rsidR="00190923" w:rsidRPr="00981405">
        <w:t xml:space="preserve"> </w:t>
      </w:r>
      <w:r w:rsidRPr="00981405">
        <w:t>legal</w:t>
      </w:r>
      <w:r w:rsidR="00190923" w:rsidRPr="00981405">
        <w:t xml:space="preserve"> </w:t>
      </w:r>
      <w:r w:rsidRPr="00981405">
        <w:t>issues</w:t>
      </w:r>
      <w:r w:rsidR="00190923" w:rsidRPr="00981405">
        <w:t xml:space="preserve"> </w:t>
      </w:r>
      <w:r w:rsidRPr="00981405">
        <w:t>that</w:t>
      </w:r>
      <w:r w:rsidR="00190923" w:rsidRPr="00981405">
        <w:t xml:space="preserve"> </w:t>
      </w:r>
      <w:r w:rsidRPr="00981405">
        <w:t>arose</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by</w:t>
      </w:r>
      <w:r w:rsidR="00190923" w:rsidRPr="00981405">
        <w:t xml:space="preserve"> </w:t>
      </w:r>
      <w:r w:rsidRPr="00981405">
        <w:t>considering</w:t>
      </w:r>
      <w:r w:rsidR="00190923" w:rsidRPr="00981405">
        <w:t xml:space="preserve"> </w:t>
      </w:r>
      <w:r w:rsidRPr="00981405">
        <w:t>doctrinal</w:t>
      </w:r>
      <w:r w:rsidR="00190923" w:rsidRPr="00981405">
        <w:t xml:space="preserve"> </w:t>
      </w:r>
      <w:r w:rsidRPr="00981405">
        <w:t>approaches</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r w:rsidR="00190923" w:rsidRPr="00981405">
        <w:t xml:space="preserve"> </w:t>
      </w:r>
      <w:r w:rsidRPr="00981405">
        <w:t>and</w:t>
      </w:r>
      <w:r w:rsidR="00190923" w:rsidRPr="00981405">
        <w:t xml:space="preserve"> </w:t>
      </w:r>
      <w:r w:rsidRPr="00981405">
        <w:t>briefly</w:t>
      </w:r>
      <w:r w:rsidR="00190923" w:rsidRPr="00981405">
        <w:t xml:space="preserve"> </w:t>
      </w:r>
      <w:r w:rsidRPr="00981405">
        <w:t>reviewing</w:t>
      </w:r>
      <w:r w:rsidR="00190923" w:rsidRPr="00981405">
        <w:t xml:space="preserve"> </w:t>
      </w:r>
      <w:r w:rsidRPr="00981405">
        <w:t>the</w:t>
      </w:r>
      <w:r w:rsidR="00190923" w:rsidRPr="00981405">
        <w:t xml:space="preserve"> </w:t>
      </w:r>
      <w:r w:rsidRPr="00981405">
        <w:t>existing</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a</w:t>
      </w:r>
      <w:r w:rsidR="00190923" w:rsidRPr="00981405">
        <w:t xml:space="preserve"> </w:t>
      </w:r>
      <w:r w:rsidRPr="00981405">
        <w:t>memorandum</w:t>
      </w:r>
      <w:r w:rsidR="00190923" w:rsidRPr="00981405">
        <w:t xml:space="preserve"> </w:t>
      </w:r>
      <w:r w:rsidRPr="00981405">
        <w:t>by</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w:t>
      </w:r>
      <w:hyperlink r:id="rId57" w:history="1">
        <w:r w:rsidR="00F304EB" w:rsidRPr="00F304EB">
          <w:rPr>
            <w:rStyle w:val="Hyperlink"/>
          </w:rPr>
          <w:t>A/CN.4/658</w:t>
        </w:r>
      </w:hyperlink>
      <w:r w:rsidRPr="00981405">
        <w:t>),</w:t>
      </w:r>
      <w:r w:rsidR="00190923" w:rsidRPr="00981405">
        <w:t xml:space="preserve"> </w:t>
      </w:r>
      <w:r w:rsidRPr="00981405">
        <w:t>which</w:t>
      </w:r>
      <w:r w:rsidR="00190923" w:rsidRPr="00981405">
        <w:t xml:space="preserve"> </w:t>
      </w:r>
      <w:r w:rsidRPr="00981405">
        <w:t>traced</w:t>
      </w:r>
      <w:r w:rsidR="00190923" w:rsidRPr="00981405">
        <w:t xml:space="preserve"> </w:t>
      </w:r>
      <w:r w:rsidRPr="00981405">
        <w:t>the</w:t>
      </w:r>
      <w:r w:rsidR="00190923" w:rsidRPr="00981405">
        <w:t xml:space="preserve"> </w:t>
      </w:r>
      <w:r w:rsidRPr="00981405">
        <w:t>negotiating</w:t>
      </w:r>
      <w:r w:rsidR="00190923" w:rsidRPr="00981405">
        <w:t xml:space="preserve"> </w:t>
      </w:r>
      <w:r w:rsidRPr="00981405">
        <w:t>history</w:t>
      </w:r>
      <w:r w:rsidR="00190923" w:rsidRPr="00981405">
        <w:t xml:space="preserve"> </w:t>
      </w:r>
      <w:r w:rsidRPr="00981405">
        <w:t>of</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w:t>
      </w:r>
      <w:r w:rsidR="00B92E2C" w:rsidRPr="00981405">
        <w:t>“</w:t>
      </w:r>
      <w:r w:rsidRPr="00981405">
        <w:t>1969</w:t>
      </w:r>
      <w:r w:rsidR="00190923" w:rsidRPr="00981405">
        <w:t xml:space="preserve"> </w:t>
      </w:r>
      <w:r w:rsidRPr="00981405">
        <w:t>Vienna</w:t>
      </w:r>
      <w:r w:rsidR="00190923" w:rsidRPr="00981405">
        <w:t xml:space="preserve"> </w:t>
      </w:r>
      <w:r w:rsidRPr="00981405">
        <w:t>Convention</w:t>
      </w:r>
      <w:r w:rsidR="00B92E2C" w:rsidRPr="00981405">
        <w:t>”</w:t>
      </w:r>
      <w:r w:rsidRPr="00981405">
        <w:t>)</w:t>
      </w:r>
      <w:r w:rsidR="00190923" w:rsidRPr="00981405">
        <w:t xml:space="preserve"> </w:t>
      </w:r>
      <w:r w:rsidRPr="00981405">
        <w:t>both</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at</w:t>
      </w:r>
      <w:r w:rsidR="00190923" w:rsidRPr="00981405">
        <w:t xml:space="preserve"> </w:t>
      </w:r>
      <w:r w:rsidRPr="00981405">
        <w:t>the</w:t>
      </w:r>
      <w:r w:rsidR="00190923" w:rsidRPr="00981405">
        <w:t xml:space="preserve"> </w:t>
      </w:r>
      <w:r w:rsidRPr="00981405">
        <w:t>Vienna</w:t>
      </w:r>
      <w:r w:rsidR="00190923" w:rsidRPr="00981405">
        <w:t xml:space="preserve"> </w:t>
      </w:r>
      <w:r w:rsidRPr="00981405">
        <w:t>Conference</w:t>
      </w:r>
      <w:r w:rsidR="00190923" w:rsidRPr="00981405">
        <w:t xml:space="preserve"> </w:t>
      </w:r>
      <w:r w:rsidRPr="00981405">
        <w:t>of</w:t>
      </w:r>
      <w:r w:rsidR="00190923" w:rsidRPr="00981405">
        <w:t xml:space="preserve"> </w:t>
      </w:r>
      <w:r w:rsidRPr="00981405">
        <w:t>1968</w:t>
      </w:r>
      <w:r w:rsidR="00B92E2C" w:rsidRPr="00981405">
        <w:t>-</w:t>
      </w:r>
      <w:r w:rsidRPr="00981405">
        <w:t>69,</w:t>
      </w:r>
      <w:r w:rsidR="00190923" w:rsidRPr="00981405">
        <w:t xml:space="preserve"> </w:t>
      </w:r>
      <w:r w:rsidRPr="00981405">
        <w:t>and</w:t>
      </w:r>
      <w:r w:rsidR="00190923" w:rsidRPr="00981405">
        <w:t xml:space="preserve"> </w:t>
      </w:r>
      <w:r w:rsidRPr="00981405">
        <w:t>included</w:t>
      </w:r>
      <w:r w:rsidR="00190923" w:rsidRPr="00981405">
        <w:t xml:space="preserve"> </w:t>
      </w:r>
      <w:r w:rsidRPr="00981405">
        <w:t>a</w:t>
      </w:r>
      <w:r w:rsidR="00190923" w:rsidRPr="00981405">
        <w:t xml:space="preserve"> </w:t>
      </w:r>
      <w:r w:rsidRPr="00981405">
        <w:t>brief</w:t>
      </w:r>
      <w:r w:rsidR="00190923" w:rsidRPr="00981405">
        <w:t xml:space="preserve"> </w:t>
      </w:r>
      <w:r w:rsidRPr="00981405">
        <w:t>analysis</w:t>
      </w:r>
      <w:r w:rsidR="00190923" w:rsidRPr="00981405">
        <w:t xml:space="preserve"> </w:t>
      </w:r>
      <w:r w:rsidRPr="00981405">
        <w:t>of</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substantive</w:t>
      </w:r>
      <w:r w:rsidR="00190923" w:rsidRPr="00981405">
        <w:t xml:space="preserve"> </w:t>
      </w:r>
      <w:r w:rsidRPr="00981405">
        <w:t>issues</w:t>
      </w:r>
      <w:r w:rsidR="00190923" w:rsidRPr="00981405">
        <w:t xml:space="preserve"> </w:t>
      </w:r>
      <w:r w:rsidRPr="00981405">
        <w:t>raised</w:t>
      </w:r>
      <w:r w:rsidR="00190923" w:rsidRPr="00981405">
        <w:t xml:space="preserve"> </w:t>
      </w:r>
      <w:r w:rsidRPr="00981405">
        <w:t>during</w:t>
      </w:r>
      <w:r w:rsidR="00190923" w:rsidRPr="00981405">
        <w:t xml:space="preserve"> </w:t>
      </w:r>
      <w:r w:rsidRPr="00981405">
        <w:t>its</w:t>
      </w:r>
      <w:r w:rsidR="00190923" w:rsidRPr="00981405">
        <w:t xml:space="preserve"> </w:t>
      </w:r>
      <w:r w:rsidRPr="00981405">
        <w:t>consideration.</w:t>
      </w:r>
    </w:p>
    <w:p w:rsidR="00397032" w:rsidRPr="00981405" w:rsidRDefault="00397032" w:rsidP="00D97463">
      <w:pPr>
        <w:pStyle w:val="SingleTxt"/>
      </w:pPr>
      <w:r w:rsidRPr="00981405">
        <w:t>246.</w:t>
      </w:r>
      <w:r w:rsidRPr="00981405">
        <w:tab/>
        <w:t>At</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(2014),</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58" w:history="1">
        <w:r w:rsidR="00F304EB" w:rsidRPr="00F304EB">
          <w:rPr>
            <w:rStyle w:val="Hyperlink"/>
          </w:rPr>
          <w:t>A/CN.4/675</w:t>
        </w:r>
      </w:hyperlink>
      <w:r w:rsidRPr="00981405">
        <w:t>)</w:t>
      </w:r>
      <w:r w:rsidR="00190923" w:rsidRPr="00981405">
        <w:t xml:space="preserve"> </w:t>
      </w:r>
      <w:r w:rsidRPr="00981405">
        <w:t>which</w:t>
      </w:r>
      <w:r w:rsidR="00190923" w:rsidRPr="00981405">
        <w:t xml:space="preserve"> </w:t>
      </w:r>
      <w:r w:rsidRPr="00981405">
        <w:t>sought</w:t>
      </w:r>
      <w:r w:rsidR="00190923" w:rsidRPr="00981405">
        <w:t xml:space="preserve"> </w:t>
      </w:r>
      <w:r w:rsidRPr="00981405">
        <w:t>to</w:t>
      </w:r>
      <w:r w:rsidR="00190923" w:rsidRPr="00981405">
        <w:t xml:space="preserve"> </w:t>
      </w:r>
      <w:r w:rsidRPr="00981405">
        <w:t>provide</w:t>
      </w:r>
      <w:r w:rsidR="00190923" w:rsidRPr="00981405">
        <w:t xml:space="preserve"> </w:t>
      </w:r>
      <w:r w:rsidRPr="00981405">
        <w:t>a</w:t>
      </w:r>
      <w:r w:rsidR="00190923" w:rsidRPr="00981405">
        <w:t xml:space="preserve"> </w:t>
      </w:r>
      <w:r w:rsidRPr="00981405">
        <w:t>substantive</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legal</w:t>
      </w:r>
      <w:r w:rsidR="00190923" w:rsidRPr="00981405">
        <w:t xml:space="preserve"> </w:t>
      </w:r>
      <w:r w:rsidRPr="00981405">
        <w:t>effects</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p>
    <w:p w:rsidR="00397032" w:rsidRPr="00D97463" w:rsidRDefault="00397032" w:rsidP="00D97463">
      <w:pPr>
        <w:pStyle w:val="SingleTxt"/>
        <w:spacing w:after="0" w:line="120" w:lineRule="exact"/>
        <w:rPr>
          <w:sz w:val="10"/>
        </w:rPr>
      </w:pPr>
      <w:bookmarkStart w:id="164" w:name="B_Consideration"/>
    </w:p>
    <w:p w:rsidR="00AF59AC" w:rsidRPr="00D97463" w:rsidRDefault="00AF59AC" w:rsidP="00D97463">
      <w:pPr>
        <w:pStyle w:val="SingleTxt"/>
        <w:spacing w:after="0" w:line="120" w:lineRule="exact"/>
        <w:rPr>
          <w:sz w:val="10"/>
        </w:rPr>
      </w:pPr>
    </w:p>
    <w:p w:rsidR="00397032" w:rsidRPr="00D97463" w:rsidRDefault="00397032" w:rsidP="00D97463">
      <w:pPr>
        <w:pStyle w:val="H1"/>
        <w:ind w:right="1260"/>
      </w:pPr>
      <w:r w:rsidRPr="00D97463">
        <w:tab/>
      </w:r>
      <w:bookmarkStart w:id="165" w:name="_Toc427938152"/>
      <w:r w:rsidRPr="00D97463">
        <w:t>B</w:t>
      </w:r>
      <w:bookmarkEnd w:id="164"/>
      <w:r w:rsidRPr="00D97463">
        <w:t>.</w:t>
      </w:r>
      <w:r w:rsidRPr="00D97463">
        <w:tab/>
        <w:t>Consideration</w:t>
      </w:r>
      <w:r w:rsidR="00190923" w:rsidRPr="00D97463">
        <w:t xml:space="preserve"> </w:t>
      </w:r>
      <w:r w:rsidRPr="00D97463">
        <w:t>of</w:t>
      </w:r>
      <w:r w:rsidR="00190923" w:rsidRPr="00D97463">
        <w:t xml:space="preserve"> </w:t>
      </w:r>
      <w:r w:rsidRPr="00D97463">
        <w:t>the</w:t>
      </w:r>
      <w:r w:rsidR="00190923" w:rsidRPr="00D97463">
        <w:t xml:space="preserve"> </w:t>
      </w:r>
      <w:r w:rsidRPr="00D97463">
        <w:t>topic</w:t>
      </w:r>
      <w:r w:rsidR="00190923" w:rsidRPr="00D97463">
        <w:t xml:space="preserve"> </w:t>
      </w:r>
      <w:r w:rsidRPr="00D97463">
        <w:t>at</w:t>
      </w:r>
      <w:r w:rsidR="00190923" w:rsidRPr="00D97463">
        <w:t xml:space="preserve"> </w:t>
      </w:r>
      <w:r w:rsidRPr="00D97463">
        <w:t>the</w:t>
      </w:r>
      <w:r w:rsidR="00190923" w:rsidRPr="00D97463">
        <w:t xml:space="preserve"> </w:t>
      </w:r>
      <w:r w:rsidRPr="00D97463">
        <w:t>present</w:t>
      </w:r>
      <w:r w:rsidR="00190923" w:rsidRPr="00D97463">
        <w:t xml:space="preserve"> </w:t>
      </w:r>
      <w:r w:rsidRPr="00D97463">
        <w:t>session</w:t>
      </w:r>
      <w:bookmarkEnd w:id="165"/>
      <w:r w:rsidR="00190923" w:rsidRPr="00D97463">
        <w:t xml:space="preserve"> </w:t>
      </w:r>
    </w:p>
    <w:p w:rsidR="00397032" w:rsidRPr="00D97463" w:rsidRDefault="00397032" w:rsidP="00D97463">
      <w:pPr>
        <w:pStyle w:val="SingleTxt"/>
        <w:spacing w:after="0" w:line="120" w:lineRule="exact"/>
        <w:rPr>
          <w:sz w:val="10"/>
        </w:rPr>
      </w:pPr>
    </w:p>
    <w:p w:rsidR="00AF59AC" w:rsidRPr="00D97463" w:rsidRDefault="00AF59AC" w:rsidP="00D97463">
      <w:pPr>
        <w:pStyle w:val="SingleTxt"/>
        <w:spacing w:after="0" w:line="120" w:lineRule="exact"/>
        <w:rPr>
          <w:sz w:val="10"/>
        </w:rPr>
      </w:pPr>
    </w:p>
    <w:p w:rsidR="00397032" w:rsidRPr="00981405" w:rsidRDefault="00397032" w:rsidP="00D97463">
      <w:pPr>
        <w:pStyle w:val="SingleTxt"/>
      </w:pPr>
      <w:r w:rsidRPr="00981405">
        <w:t>247.</w:t>
      </w:r>
      <w:r w:rsidRPr="00981405">
        <w:tab/>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the</w:t>
      </w:r>
      <w:r w:rsidR="00190923" w:rsidRPr="00981405">
        <w:t xml:space="preserve"> </w:t>
      </w:r>
      <w:r w:rsidRPr="00981405">
        <w:t>third</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t>
      </w:r>
      <w:hyperlink r:id="rId59" w:history="1">
        <w:r w:rsidR="00F304EB" w:rsidRPr="00F304EB">
          <w:rPr>
            <w:rStyle w:val="Hyperlink"/>
          </w:rPr>
          <w:t>A/CN.4/687</w:t>
        </w:r>
      </w:hyperlink>
      <w:r w:rsidRPr="00981405">
        <w:t>),</w:t>
      </w:r>
      <w:r w:rsidR="00190923" w:rsidRPr="00981405">
        <w:t xml:space="preserve"> </w:t>
      </w:r>
      <w:r w:rsidRPr="00981405">
        <w:t>which</w:t>
      </w:r>
      <w:r w:rsidR="00190923" w:rsidRPr="00981405">
        <w:t xml:space="preserve"> </w:t>
      </w:r>
      <w:r w:rsidRPr="00981405">
        <w:t>continued</w:t>
      </w:r>
      <w:r w:rsidR="00190923" w:rsidRPr="00981405">
        <w:t xml:space="preserve"> </w:t>
      </w:r>
      <w:r w:rsidRPr="00981405">
        <w:t>the</w:t>
      </w:r>
      <w:r w:rsidR="00190923" w:rsidRPr="00981405">
        <w:t xml:space="preserve"> </w:t>
      </w:r>
      <w:r w:rsidRPr="00981405">
        <w:t>analysis</w:t>
      </w:r>
      <w:r w:rsidR="00190923" w:rsidRPr="00981405">
        <w:t xml:space="preserve"> </w:t>
      </w:r>
      <w:r w:rsidRPr="00981405">
        <w:t>of</w:t>
      </w:r>
      <w:r w:rsidR="00190923" w:rsidRPr="00981405">
        <w:t xml:space="preserve"> </w:t>
      </w:r>
      <w:r w:rsidRPr="00981405">
        <w:t>State</w:t>
      </w:r>
      <w:r w:rsidR="00190923" w:rsidRPr="00981405">
        <w:t xml:space="preserve"> </w:t>
      </w:r>
      <w:r w:rsidRPr="00981405">
        <w:t>practice,</w:t>
      </w:r>
      <w:r w:rsidR="00190923" w:rsidRPr="00981405">
        <w:t xml:space="preserve"> </w:t>
      </w:r>
      <w:r w:rsidRPr="00981405">
        <w:t>and</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to</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The</w:t>
      </w:r>
      <w:r w:rsidR="00190923" w:rsidRPr="00981405">
        <w:t xml:space="preserve"> </w:t>
      </w:r>
      <w:r w:rsidRPr="00981405">
        <w:t>report</w:t>
      </w:r>
      <w:r w:rsidR="00190923" w:rsidRPr="00981405">
        <w:t xml:space="preserve"> </w:t>
      </w:r>
      <w:r w:rsidRPr="00981405">
        <w:t>included</w:t>
      </w:r>
      <w:r w:rsidR="00190923" w:rsidRPr="00981405">
        <w:t xml:space="preserve"> </w:t>
      </w:r>
      <w:r w:rsidRPr="00981405">
        <w:t>proposals</w:t>
      </w:r>
      <w:r w:rsidR="00190923" w:rsidRPr="00981405">
        <w:t xml:space="preserve"> </w:t>
      </w:r>
      <w:r w:rsidRPr="00981405">
        <w:t>for</w:t>
      </w:r>
      <w:r w:rsidR="00190923" w:rsidRPr="00981405">
        <w:t xml:space="preserve"> </w:t>
      </w:r>
      <w:r w:rsidRPr="00981405">
        <w:t>six</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provisional</w:t>
      </w:r>
      <w:r w:rsidR="00190923" w:rsidRPr="00981405">
        <w:t xml:space="preserve"> </w:t>
      </w:r>
      <w:r w:rsidRPr="00981405">
        <w:t>application.</w:t>
      </w:r>
      <w:r w:rsidRPr="00981405">
        <w:rPr>
          <w:rStyle w:val="FootnoteReference"/>
        </w:rPr>
        <w:footnoteReference w:id="394"/>
      </w:r>
    </w:p>
    <w:p w:rsidR="00397032" w:rsidRPr="00981405" w:rsidRDefault="00397032" w:rsidP="00D97463">
      <w:pPr>
        <w:pStyle w:val="SingleTxt"/>
      </w:pPr>
      <w:r w:rsidRPr="00981405">
        <w:lastRenderedPageBreak/>
        <w:t>248.</w:t>
      </w:r>
      <w:r w:rsidRPr="00981405">
        <w:tab/>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a</w:t>
      </w:r>
      <w:r w:rsidR="00190923" w:rsidRPr="00981405">
        <w:t xml:space="preserve"> </w:t>
      </w:r>
      <w:r w:rsidRPr="00981405">
        <w:t>memorandum</w:t>
      </w:r>
      <w:r w:rsidR="00190923" w:rsidRPr="00981405">
        <w:t xml:space="preserve"> </w:t>
      </w:r>
      <w:r w:rsidRPr="00981405">
        <w:t>(</w:t>
      </w:r>
      <w:hyperlink r:id="rId60" w:history="1">
        <w:r w:rsidR="00F304EB" w:rsidRPr="00F304EB">
          <w:rPr>
            <w:rStyle w:val="Hyperlink"/>
          </w:rPr>
          <w:t>A/CN.4/676</w:t>
        </w:r>
      </w:hyperlink>
      <w:r w:rsidRPr="00981405">
        <w:t>),</w:t>
      </w:r>
      <w:r w:rsidR="00190923" w:rsidRPr="00981405">
        <w:t xml:space="preserve"> </w:t>
      </w:r>
      <w:r w:rsidRPr="00981405">
        <w:t>prepared</w:t>
      </w:r>
      <w:r w:rsidR="00190923" w:rsidRPr="00981405">
        <w:t xml:space="preserve"> </w:t>
      </w:r>
      <w:r w:rsidRPr="00981405">
        <w:t>by</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on</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under</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between</w:t>
      </w:r>
      <w:r w:rsidR="00190923" w:rsidRPr="00981405">
        <w:t xml:space="preserve"> </w:t>
      </w:r>
      <w:r w:rsidRPr="00981405">
        <w:t>States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between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of</w:t>
      </w:r>
      <w:r w:rsidR="00190923" w:rsidRPr="00981405">
        <w:t xml:space="preserve"> </w:t>
      </w:r>
      <w:r w:rsidRPr="00981405">
        <w:t>1986</w:t>
      </w:r>
      <w:r w:rsidR="00190923" w:rsidRPr="00981405">
        <w:t xml:space="preserve"> </w:t>
      </w:r>
      <w:r w:rsidRPr="00981405">
        <w:t>(</w:t>
      </w:r>
      <w:r w:rsidR="00B92E2C" w:rsidRPr="00981405">
        <w:t>“</w:t>
      </w:r>
      <w:r w:rsidRPr="00981405">
        <w:t>1986</w:t>
      </w:r>
      <w:r w:rsidR="00190923" w:rsidRPr="00981405">
        <w:t xml:space="preserve"> </w:t>
      </w:r>
      <w:r w:rsidRPr="00981405">
        <w:t>Vienna</w:t>
      </w:r>
      <w:r w:rsidR="00190923" w:rsidRPr="00981405">
        <w:t xml:space="preserve"> </w:t>
      </w:r>
      <w:r w:rsidRPr="00981405">
        <w:t>Convention</w:t>
      </w:r>
      <w:r w:rsidR="00B92E2C" w:rsidRPr="00981405">
        <w:t>”</w:t>
      </w:r>
      <w:r w:rsidRPr="00981405">
        <w:t>).</w:t>
      </w:r>
    </w:p>
    <w:p w:rsidR="00397032" w:rsidRPr="00981405" w:rsidRDefault="00397032" w:rsidP="00D97463">
      <w:pPr>
        <w:pStyle w:val="SingleTxt"/>
      </w:pPr>
      <w:r w:rsidRPr="00981405">
        <w:t>249.</w:t>
      </w:r>
      <w:r w:rsidRPr="00981405">
        <w:tab/>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second</w:t>
      </w:r>
      <w:r w:rsidR="00190923" w:rsidRPr="00981405">
        <w:t xml:space="preserve"> </w:t>
      </w:r>
      <w:r w:rsidRPr="00981405">
        <w:t>report</w:t>
      </w:r>
      <w:r w:rsidR="00190923" w:rsidRPr="00981405">
        <w:t xml:space="preserve"> </w:t>
      </w:r>
      <w:r w:rsidRPr="00981405">
        <w:t>at</w:t>
      </w:r>
      <w:r w:rsidR="00190923" w:rsidRPr="00981405">
        <w:t xml:space="preserve"> </w:t>
      </w:r>
      <w:r w:rsidRPr="00981405">
        <w:t>its</w:t>
      </w:r>
      <w:r w:rsidR="00190923" w:rsidRPr="00981405">
        <w:t xml:space="preserve"> </w:t>
      </w:r>
      <w:r w:rsidRPr="00981405">
        <w:t>3269th</w:t>
      </w:r>
      <w:r w:rsidR="00190923" w:rsidRPr="00981405">
        <w:t xml:space="preserve"> </w:t>
      </w:r>
      <w:r w:rsidRPr="00981405">
        <w:t>to</w:t>
      </w:r>
      <w:r w:rsidR="00190923" w:rsidRPr="00981405">
        <w:t xml:space="preserve"> </w:t>
      </w:r>
      <w:r w:rsidRPr="00981405">
        <w:t>3270th,</w:t>
      </w:r>
      <w:r w:rsidR="00190923" w:rsidRPr="00981405">
        <w:t xml:space="preserve"> </w:t>
      </w:r>
      <w:r w:rsidRPr="00981405">
        <w:t>and</w:t>
      </w:r>
      <w:r w:rsidR="00190923" w:rsidRPr="00981405">
        <w:t xml:space="preserve"> </w:t>
      </w:r>
      <w:r w:rsidRPr="00981405">
        <w:t>3277th</w:t>
      </w:r>
      <w:r w:rsidR="00190923" w:rsidRPr="00981405">
        <w:t xml:space="preserve"> </w:t>
      </w:r>
      <w:r w:rsidRPr="00981405">
        <w:t>to</w:t>
      </w:r>
      <w:r w:rsidR="00190923" w:rsidRPr="00981405">
        <w:t xml:space="preserve"> </w:t>
      </w:r>
      <w:r w:rsidRPr="00981405">
        <w:t>3279th</w:t>
      </w:r>
      <w:r w:rsidR="00190923" w:rsidRPr="00981405">
        <w:t xml:space="preserve"> </w:t>
      </w:r>
      <w:r w:rsidRPr="00981405">
        <w:t>meetings,</w:t>
      </w:r>
      <w:r w:rsidR="00190923" w:rsidRPr="00981405">
        <w:t xml:space="preserve"> </w:t>
      </w:r>
      <w:r w:rsidRPr="00981405">
        <w:t>held</w:t>
      </w:r>
      <w:r w:rsidR="00190923" w:rsidRPr="00981405">
        <w:t xml:space="preserve"> </w:t>
      </w:r>
      <w:r w:rsidRPr="00981405">
        <w:t>on</w:t>
      </w:r>
      <w:r w:rsidR="00190923" w:rsidRPr="00981405">
        <w:t xml:space="preserve"> </w:t>
      </w:r>
      <w:r w:rsidRPr="00981405">
        <w:t>14,</w:t>
      </w:r>
      <w:r w:rsidR="00190923" w:rsidRPr="00981405">
        <w:t xml:space="preserve"> </w:t>
      </w:r>
      <w:r w:rsidRPr="00981405">
        <w:t>15,</w:t>
      </w:r>
      <w:r w:rsidR="00190923" w:rsidRPr="00981405">
        <w:t xml:space="preserve"> </w:t>
      </w:r>
      <w:r w:rsidRPr="00981405">
        <w:t>23,</w:t>
      </w:r>
      <w:r w:rsidR="00190923" w:rsidRPr="00981405">
        <w:t xml:space="preserve"> </w:t>
      </w:r>
      <w:r w:rsidRPr="00981405">
        <w:t>24</w:t>
      </w:r>
      <w:r w:rsidR="00190923" w:rsidRPr="00981405">
        <w:t xml:space="preserve"> </w:t>
      </w:r>
      <w:r w:rsidRPr="00981405">
        <w:t>and</w:t>
      </w:r>
      <w:r w:rsidR="00190923" w:rsidRPr="00981405">
        <w:t xml:space="preserve"> </w:t>
      </w:r>
      <w:r w:rsidRPr="00981405">
        <w:t>28</w:t>
      </w:r>
      <w:r w:rsidR="00190923" w:rsidRPr="00981405">
        <w:t xml:space="preserve"> </w:t>
      </w:r>
      <w:r w:rsidRPr="00981405">
        <w:t>July</w:t>
      </w:r>
      <w:r w:rsidR="00190923" w:rsidRPr="00981405">
        <w:t xml:space="preserve"> </w:t>
      </w:r>
      <w:r w:rsidRPr="00981405">
        <w:t>2015.</w:t>
      </w:r>
    </w:p>
    <w:p w:rsidR="00397032" w:rsidRPr="00981405" w:rsidRDefault="00397032" w:rsidP="00D97463">
      <w:pPr>
        <w:pStyle w:val="SingleTxt"/>
      </w:pPr>
      <w:r w:rsidRPr="00981405">
        <w:t>250.</w:t>
      </w:r>
      <w:r w:rsidRPr="00981405">
        <w:tab/>
        <w:t>At</w:t>
      </w:r>
      <w:r w:rsidR="00190923" w:rsidRPr="00981405">
        <w:t xml:space="preserve"> </w:t>
      </w:r>
      <w:r w:rsidRPr="00981405">
        <w:t>its</w:t>
      </w:r>
      <w:r w:rsidR="00190923" w:rsidRPr="00981405">
        <w:t xml:space="preserve"> </w:t>
      </w:r>
      <w:r w:rsidRPr="00981405">
        <w:t>3279th</w:t>
      </w:r>
      <w:r w:rsidR="00190923" w:rsidRPr="00981405">
        <w:t xml:space="preserve"> </w:t>
      </w:r>
      <w:r w:rsidRPr="00981405">
        <w:t>meeting,</w:t>
      </w:r>
      <w:r w:rsidR="00190923" w:rsidRPr="00981405">
        <w:t xml:space="preserve"> </w:t>
      </w:r>
      <w:r w:rsidRPr="00981405">
        <w:t>on</w:t>
      </w:r>
      <w:r w:rsidR="00190923" w:rsidRPr="00981405">
        <w:t xml:space="preserve"> </w:t>
      </w:r>
      <w:r w:rsidRPr="00981405">
        <w:t>28</w:t>
      </w:r>
      <w:r w:rsidR="00190923" w:rsidRPr="00981405">
        <w:t xml:space="preserve"> </w:t>
      </w:r>
      <w:r w:rsidRPr="00981405">
        <w:t>July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referred</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to</w:t>
      </w:r>
      <w:r w:rsidR="00190923" w:rsidRPr="00981405">
        <w:t xml:space="preserve"> </w:t>
      </w:r>
      <w:r w:rsidRPr="00981405">
        <w:t>6</w:t>
      </w:r>
      <w:r w:rsidR="00190923" w:rsidRPr="00981405">
        <w:t xml:space="preserve"> </w:t>
      </w:r>
      <w:r w:rsidRPr="00981405">
        <w:t>to</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p>
    <w:p w:rsidR="00397032" w:rsidRPr="00981405" w:rsidRDefault="00397032" w:rsidP="00D97463">
      <w:pPr>
        <w:pStyle w:val="SingleTxt"/>
      </w:pPr>
      <w:r w:rsidRPr="00981405">
        <w:t>251.</w:t>
      </w:r>
      <w:r w:rsidRPr="00981405">
        <w:tab/>
        <w:t>At</w:t>
      </w:r>
      <w:r w:rsidR="00190923" w:rsidRPr="00981405">
        <w:t xml:space="preserve"> </w:t>
      </w:r>
      <w:r w:rsidRPr="00981405">
        <w:t>its</w:t>
      </w:r>
      <w:r w:rsidR="00190923" w:rsidRPr="00981405">
        <w:t xml:space="preserve"> </w:t>
      </w:r>
      <w:r w:rsidRPr="00981405">
        <w:t>3284th</w:t>
      </w:r>
      <w:r w:rsidR="00190923" w:rsidRPr="00981405">
        <w:t xml:space="preserve"> </w:t>
      </w:r>
      <w:r w:rsidRPr="00981405">
        <w:t>meeting,</w:t>
      </w:r>
      <w:r w:rsidR="00190923" w:rsidRPr="00981405">
        <w:t xml:space="preserve"> </w:t>
      </w:r>
      <w:r w:rsidRPr="00981405">
        <w:t>on</w:t>
      </w:r>
      <w:r w:rsidR="00190923" w:rsidRPr="00981405">
        <w:t xml:space="preserve"> </w:t>
      </w:r>
      <w:r w:rsidRPr="00981405">
        <w:t>4</w:t>
      </w:r>
      <w:r w:rsidR="00190923" w:rsidRPr="00981405">
        <w:t xml:space="preserve"> </w:t>
      </w:r>
      <w:r w:rsidRPr="00981405">
        <w:t>August</w:t>
      </w:r>
      <w:r w:rsidR="00190923" w:rsidRPr="00981405">
        <w:t xml:space="preserve"> </w:t>
      </w:r>
      <w:r w:rsidRPr="00981405">
        <w:t>2015,</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presented</w:t>
      </w:r>
      <w:r w:rsidR="00190923" w:rsidRPr="00981405">
        <w:t xml:space="preserve"> </w:t>
      </w:r>
      <w:r w:rsidRPr="00981405">
        <w:t>an</w:t>
      </w:r>
      <w:r w:rsidR="00190923" w:rsidRPr="00981405">
        <w:t xml:space="preserve"> </w:t>
      </w:r>
      <w:r w:rsidRPr="00981405">
        <w:t>interim</w:t>
      </w:r>
      <w:r w:rsidR="00190923" w:rsidRPr="00981405">
        <w:t xml:space="preserve"> </w:t>
      </w:r>
      <w:r w:rsidRPr="00981405">
        <w:t>oral</w:t>
      </w:r>
      <w:r w:rsidR="00190923" w:rsidRPr="00981405">
        <w:t xml:space="preserve"> </w:t>
      </w:r>
      <w:r w:rsidRPr="00981405">
        <w:t>report</w:t>
      </w:r>
      <w:r w:rsidR="00190923" w:rsidRPr="00981405">
        <w:t xml:space="preserve"> </w:t>
      </w:r>
      <w:r w:rsidRPr="00981405">
        <w:t>on</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1</w:t>
      </w:r>
      <w:r w:rsidR="00190923" w:rsidRPr="00981405">
        <w:t xml:space="preserve"> </w:t>
      </w:r>
      <w:r w:rsidRPr="00981405">
        <w:t>to</w:t>
      </w:r>
      <w:r w:rsidR="00190923" w:rsidRPr="00981405">
        <w:t xml:space="preserve"> </w:t>
      </w:r>
      <w:r w:rsidRPr="00981405">
        <w:t>3,</w:t>
      </w:r>
      <w:r w:rsidR="00190923" w:rsidRPr="00981405">
        <w:t xml:space="preserve"> </w:t>
      </w:r>
      <w:r w:rsidRPr="00981405">
        <w:t>as</w:t>
      </w:r>
      <w:r w:rsidR="00190923" w:rsidRPr="00981405">
        <w:t xml:space="preserve"> </w:t>
      </w:r>
      <w:r w:rsidRPr="00981405">
        <w:t>provisionally</w:t>
      </w:r>
      <w:r w:rsidR="00190923" w:rsidRPr="00981405">
        <w:t xml:space="preserve"> </w:t>
      </w:r>
      <w:r w:rsidRPr="00981405">
        <w:t>adopted</w:t>
      </w:r>
      <w:r w:rsidR="00190923" w:rsidRPr="00981405">
        <w:t xml:space="preserve"> </w:t>
      </w:r>
      <w:r w:rsidRPr="00981405">
        <w:t>by</w:t>
      </w:r>
      <w:r w:rsidR="00190923" w:rsidRPr="00981405">
        <w:t xml:space="preserve"> </w:t>
      </w:r>
      <w:r w:rsidRPr="00981405">
        <w:t>the</w:t>
      </w:r>
      <w:r w:rsidR="00190923" w:rsidRPr="00981405">
        <w:t xml:space="preserve"> </w:t>
      </w:r>
      <w:r w:rsidRPr="00981405">
        <w:t>Drafting</w:t>
      </w:r>
      <w:r w:rsidR="00190923" w:rsidRPr="00981405">
        <w:t xml:space="preserve"> </w:t>
      </w:r>
      <w:r w:rsidRPr="00981405">
        <w:t>Committee</w:t>
      </w:r>
      <w:r w:rsidR="00190923" w:rsidRPr="00981405">
        <w:t xml:space="preserve"> </w:t>
      </w:r>
      <w:r w:rsidRPr="00981405">
        <w:t>at</w:t>
      </w:r>
      <w:r w:rsidR="00190923" w:rsidRPr="00981405">
        <w:t xml:space="preserve"> </w:t>
      </w:r>
      <w:r w:rsidRPr="00981405">
        <w:t>the</w:t>
      </w:r>
      <w:r w:rsidR="00190923" w:rsidRPr="00981405">
        <w:t xml:space="preserve"> </w:t>
      </w:r>
      <w:r w:rsidRPr="00981405">
        <w:t>sixty-seventh</w:t>
      </w:r>
      <w:r w:rsidR="00190923" w:rsidRPr="00981405">
        <w:t xml:space="preserve"> </w:t>
      </w:r>
      <w:r w:rsidRPr="00981405">
        <w:t>session.</w:t>
      </w:r>
      <w:r w:rsidR="00190923" w:rsidRPr="00981405">
        <w:t xml:space="preserve"> </w:t>
      </w:r>
      <w:r w:rsidRPr="00981405">
        <w:t>The</w:t>
      </w:r>
      <w:r w:rsidR="00190923" w:rsidRPr="00981405">
        <w:t xml:space="preserve"> </w:t>
      </w:r>
      <w:r w:rsidRPr="00981405">
        <w:t>report</w:t>
      </w:r>
      <w:r w:rsidR="00190923" w:rsidRPr="00981405">
        <w:t xml:space="preserve"> </w:t>
      </w:r>
      <w:r w:rsidRPr="00981405">
        <w:t>was</w:t>
      </w:r>
      <w:r w:rsidR="00190923" w:rsidRPr="00981405">
        <w:t xml:space="preserve"> </w:t>
      </w:r>
      <w:r w:rsidRPr="00981405">
        <w:t>presented</w:t>
      </w:r>
      <w:r w:rsidR="00190923" w:rsidRPr="00981405">
        <w:t xml:space="preserve"> </w:t>
      </w:r>
      <w:r w:rsidRPr="00981405">
        <w:t>for</w:t>
      </w:r>
      <w:r w:rsidR="00190923" w:rsidRPr="00981405">
        <w:t xml:space="preserve"> </w:t>
      </w:r>
      <w:r w:rsidRPr="00981405">
        <w:t>information</w:t>
      </w:r>
      <w:r w:rsidR="00190923" w:rsidRPr="00981405">
        <w:t xml:space="preserve"> </w:t>
      </w:r>
      <w:r w:rsidRPr="00981405">
        <w:t>only</w:t>
      </w:r>
      <w:r w:rsidR="00190923" w:rsidRPr="00981405">
        <w:t xml:space="preserve"> </w:t>
      </w:r>
      <w:r w:rsidRPr="00981405">
        <w:t>at</w:t>
      </w:r>
      <w:r w:rsidR="00190923" w:rsidRPr="00981405">
        <w:t xml:space="preserve"> </w:t>
      </w:r>
      <w:r w:rsidRPr="00981405">
        <w:t>this</w:t>
      </w:r>
      <w:r w:rsidR="00190923" w:rsidRPr="00981405">
        <w:t xml:space="preserve"> </w:t>
      </w:r>
      <w:r w:rsidRPr="00981405">
        <w:t>stage,</w:t>
      </w:r>
      <w:r w:rsidR="00190923" w:rsidRPr="00981405">
        <w:t xml:space="preserve"> </w:t>
      </w:r>
      <w:r w:rsidRPr="00981405">
        <w:t>and</w:t>
      </w:r>
      <w:r w:rsidR="00190923" w:rsidRPr="00981405">
        <w:t xml:space="preserve"> </w:t>
      </w:r>
      <w:r w:rsidRPr="00981405">
        <w:t>is</w:t>
      </w:r>
      <w:r w:rsidR="00190923" w:rsidRPr="00981405">
        <w:t xml:space="preserve"> </w:t>
      </w:r>
      <w:r w:rsidRPr="00981405">
        <w:t>available,</w:t>
      </w:r>
      <w:r w:rsidR="00190923" w:rsidRPr="00981405">
        <w:t xml:space="preserve"> </w:t>
      </w:r>
      <w:r w:rsidRPr="00981405">
        <w:t>together</w:t>
      </w:r>
      <w:r w:rsidR="00190923" w:rsidRPr="00981405">
        <w:t xml:space="preserve"> </w:t>
      </w:r>
      <w:r w:rsidRPr="00981405">
        <w:t>with</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website.</w:t>
      </w:r>
      <w:r w:rsidRPr="00981405">
        <w:rPr>
          <w:rStyle w:val="FootnoteReference"/>
        </w:rPr>
        <w:footnoteReference w:id="395"/>
      </w:r>
    </w:p>
    <w:p w:rsidR="00397032" w:rsidRPr="00D97463" w:rsidRDefault="00397032" w:rsidP="00D97463">
      <w:pPr>
        <w:pStyle w:val="SingleTxt"/>
        <w:spacing w:after="0" w:line="120" w:lineRule="exact"/>
        <w:rPr>
          <w:sz w:val="10"/>
        </w:rPr>
      </w:pPr>
      <w:bookmarkStart w:id="166" w:name="1_Intro_by_SR"/>
    </w:p>
    <w:p w:rsidR="00397032" w:rsidRPr="00D97463" w:rsidRDefault="00397032" w:rsidP="00D97463">
      <w:pPr>
        <w:pStyle w:val="H23"/>
        <w:ind w:right="1260"/>
      </w:pPr>
      <w:r w:rsidRPr="00D97463">
        <w:tab/>
      </w:r>
      <w:bookmarkStart w:id="167" w:name="_Toc427938153"/>
      <w:r w:rsidRPr="00D97463">
        <w:t>1</w:t>
      </w:r>
      <w:bookmarkEnd w:id="166"/>
      <w:r w:rsidRPr="00D97463">
        <w:t>.</w:t>
      </w:r>
      <w:r w:rsidRPr="00D97463">
        <w:tab/>
        <w:t>Introduction</w:t>
      </w:r>
      <w:r w:rsidR="00190923" w:rsidRPr="00D97463">
        <w:t xml:space="preserve"> </w:t>
      </w:r>
      <w:r w:rsidRPr="00D97463">
        <w:t>by</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r w:rsidR="00190923" w:rsidRPr="00D97463">
        <w:t xml:space="preserve"> </w:t>
      </w:r>
      <w:r w:rsidRPr="00D97463">
        <w:t>of</w:t>
      </w:r>
      <w:r w:rsidR="00190923" w:rsidRPr="00D97463">
        <w:t xml:space="preserve"> </w:t>
      </w:r>
      <w:r w:rsidRPr="00D97463">
        <w:t>the</w:t>
      </w:r>
      <w:r w:rsidR="00190923" w:rsidRPr="00D97463">
        <w:t xml:space="preserve"> </w:t>
      </w:r>
      <w:r w:rsidRPr="00D97463">
        <w:t>third</w:t>
      </w:r>
      <w:r w:rsidR="00190923" w:rsidRPr="00D97463">
        <w:t xml:space="preserve"> </w:t>
      </w:r>
      <w:r w:rsidRPr="00D97463">
        <w:t>report</w:t>
      </w:r>
      <w:bookmarkEnd w:id="16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252.</w:t>
      </w:r>
      <w:r w:rsidRPr="00981405">
        <w:tab/>
        <w:t>In</w:t>
      </w:r>
      <w:r w:rsidR="00190923" w:rsidRPr="00981405">
        <w:t xml:space="preserve"> </w:t>
      </w:r>
      <w:r w:rsidRPr="00981405">
        <w:t>introducing</w:t>
      </w:r>
      <w:r w:rsidR="00190923" w:rsidRPr="00981405">
        <w:t xml:space="preserve"> </w:t>
      </w:r>
      <w:r w:rsidRPr="00981405">
        <w:t>his</w:t>
      </w:r>
      <w:r w:rsidR="00190923" w:rsidRPr="00981405">
        <w:t xml:space="preserve"> </w:t>
      </w:r>
      <w:r w:rsidRPr="00981405">
        <w:t>third</w:t>
      </w:r>
      <w:r w:rsidR="00190923" w:rsidRPr="00981405">
        <w:t xml:space="preserve"> </w:t>
      </w:r>
      <w:r w:rsidRPr="00981405">
        <w:t>report,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recalled</w:t>
      </w:r>
      <w:r w:rsidR="00190923" w:rsidRPr="00981405">
        <w:t xml:space="preserve"> </w:t>
      </w:r>
      <w:r w:rsidRPr="00981405">
        <w:t>the</w:t>
      </w:r>
      <w:r w:rsidR="00190923" w:rsidRPr="00981405">
        <w:t xml:space="preserve"> </w:t>
      </w:r>
      <w:r w:rsidRPr="00981405">
        <w:t>work</w:t>
      </w:r>
      <w:r w:rsidR="00190923" w:rsidRPr="00981405">
        <w:t xml:space="preserve"> </w:t>
      </w:r>
      <w:r w:rsidRPr="00981405">
        <w:t>carried</w:t>
      </w:r>
      <w:r w:rsidR="00190923" w:rsidRPr="00981405">
        <w:t xml:space="preserve"> </w:t>
      </w:r>
      <w:r w:rsidRPr="00981405">
        <w:t>out</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previous</w:t>
      </w:r>
      <w:r w:rsidR="00190923" w:rsidRPr="00981405">
        <w:t xml:space="preserve"> </w:t>
      </w:r>
      <w:r w:rsidRPr="00981405">
        <w:t>sessions,</w:t>
      </w:r>
      <w:r w:rsidR="00190923" w:rsidRPr="00981405">
        <w:t xml:space="preserve"> </w:t>
      </w:r>
      <w:r w:rsidRPr="00981405">
        <w:t>and</w:t>
      </w:r>
      <w:r w:rsidR="00190923" w:rsidRPr="00981405">
        <w:t xml:space="preserve"> </w:t>
      </w:r>
      <w:r w:rsidRPr="00981405">
        <w:t>the</w:t>
      </w:r>
      <w:r w:rsidR="00190923" w:rsidRPr="00981405">
        <w:t xml:space="preserve"> </w:t>
      </w:r>
      <w:r w:rsidRPr="00981405">
        <w:t>content</w:t>
      </w:r>
      <w:r w:rsidR="00190923" w:rsidRPr="00981405">
        <w:t xml:space="preserve"> </w:t>
      </w:r>
      <w:r w:rsidRPr="00981405">
        <w:t>and</w:t>
      </w:r>
      <w:r w:rsidR="00190923" w:rsidRPr="00981405">
        <w:t xml:space="preserve"> </w:t>
      </w:r>
      <w:r w:rsidRPr="00981405">
        <w:t>purpose</w:t>
      </w:r>
      <w:r w:rsidR="00190923" w:rsidRPr="00981405">
        <w:t xml:space="preserve"> </w:t>
      </w:r>
      <w:r w:rsidRPr="00981405">
        <w:t>of</w:t>
      </w:r>
      <w:r w:rsidR="00190923" w:rsidRPr="00981405">
        <w:t xml:space="preserve"> </w:t>
      </w:r>
      <w:r w:rsidRPr="00981405">
        <w:t>his</w:t>
      </w:r>
      <w:r w:rsidR="00190923" w:rsidRPr="00981405">
        <w:t xml:space="preserve"> </w:t>
      </w:r>
      <w:r w:rsidRPr="00981405">
        <w:t>first</w:t>
      </w:r>
      <w:r w:rsidR="00190923" w:rsidRPr="00981405">
        <w:t xml:space="preserve"> </w:t>
      </w:r>
      <w:r w:rsidRPr="00981405">
        <w:t>two</w:t>
      </w:r>
      <w:r w:rsidR="00190923" w:rsidRPr="00981405">
        <w:t xml:space="preserve"> </w:t>
      </w:r>
      <w:r w:rsidRPr="00981405">
        <w:t>reports.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he</w:t>
      </w:r>
      <w:r w:rsidR="00190923" w:rsidRPr="00981405">
        <w:t xml:space="preserve"> </w:t>
      </w:r>
      <w:r w:rsidRPr="00981405">
        <w:t>recalled</w:t>
      </w:r>
      <w:r w:rsidR="00190923" w:rsidRPr="00981405">
        <w:t xml:space="preserve"> </w:t>
      </w:r>
      <w:r w:rsidRPr="00981405">
        <w:t>his</w:t>
      </w:r>
      <w:r w:rsidR="00190923" w:rsidRPr="00981405">
        <w:t xml:space="preserve"> </w:t>
      </w:r>
      <w:r w:rsidRPr="00981405">
        <w:t>assessment</w:t>
      </w:r>
      <w:r w:rsidR="00190923" w:rsidRPr="00981405">
        <w:t xml:space="preserve"> </w:t>
      </w:r>
      <w:r w:rsidRPr="00981405">
        <w:t>that,</w:t>
      </w:r>
      <w:r w:rsidR="00190923" w:rsidRPr="00981405">
        <w:t xml:space="preserve"> </w:t>
      </w: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981405">
        <w:t>specific</w:t>
      </w:r>
      <w:r w:rsidR="00190923" w:rsidRPr="00981405">
        <w:t xml:space="preserve"> </w:t>
      </w:r>
      <w:r w:rsidRPr="00981405">
        <w:t>characteristics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981405">
        <w:t>question,</w:t>
      </w:r>
      <w:r w:rsidR="00190923" w:rsidRPr="00981405">
        <w:t xml:space="preserve"> </w:t>
      </w:r>
      <w:r w:rsidRPr="00981405">
        <w:t>the</w:t>
      </w:r>
      <w:r w:rsidR="00190923" w:rsidRPr="00981405">
        <w:t xml:space="preserve"> </w:t>
      </w:r>
      <w:r w:rsidRPr="00981405">
        <w:t>rights</w:t>
      </w:r>
      <w:r w:rsidR="00190923" w:rsidRPr="00981405">
        <w:t xml:space="preserve"> </w:t>
      </w:r>
      <w:r w:rsidRPr="00981405">
        <w:t>and</w:t>
      </w:r>
      <w:r w:rsidR="00190923" w:rsidRPr="00981405">
        <w:t xml:space="preserve"> </w:t>
      </w:r>
      <w:r w:rsidRPr="00981405">
        <w:t>obligations</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which</w:t>
      </w:r>
      <w:r w:rsidR="00190923" w:rsidRPr="00981405">
        <w:t xml:space="preserve"> </w:t>
      </w:r>
      <w:r w:rsidRPr="00981405">
        <w:t>had</w:t>
      </w:r>
      <w:r w:rsidR="00190923" w:rsidRPr="00981405">
        <w:t xml:space="preserve"> </w:t>
      </w:r>
      <w:r w:rsidRPr="00981405">
        <w:t>consented</w:t>
      </w:r>
      <w:r w:rsidR="00190923" w:rsidRPr="00981405">
        <w:t xml:space="preserve"> </w:t>
      </w:r>
      <w:r w:rsidRPr="00981405">
        <w:t>to</w:t>
      </w:r>
      <w:r w:rsidR="00190923" w:rsidRPr="00981405">
        <w:t xml:space="preserve"> </w:t>
      </w:r>
      <w:r w:rsidRPr="00981405">
        <w:t>provisionally</w:t>
      </w:r>
      <w:r w:rsidR="00190923" w:rsidRPr="00981405">
        <w:t xml:space="preserve"> </w:t>
      </w:r>
      <w:r w:rsidRPr="00981405">
        <w:t>apply</w:t>
      </w:r>
      <w:r w:rsidR="00190923" w:rsidRPr="00981405">
        <w:t xml:space="preserve"> </w:t>
      </w:r>
      <w:r w:rsidRPr="00981405">
        <w:t>a</w:t>
      </w:r>
      <w:r w:rsidR="00190923" w:rsidRPr="00981405">
        <w:t xml:space="preserve"> </w:t>
      </w:r>
      <w:r w:rsidRPr="00981405">
        <w:t>treaty</w:t>
      </w:r>
      <w:r w:rsidR="00190923" w:rsidRPr="00981405">
        <w:t xml:space="preserve"> </w:t>
      </w:r>
      <w:r w:rsidRPr="00981405">
        <w:t>were</w:t>
      </w:r>
      <w:r w:rsidR="00190923" w:rsidRPr="00981405">
        <w:t xml:space="preserve"> </w:t>
      </w:r>
      <w:r w:rsidRPr="00981405">
        <w:t>the</w:t>
      </w:r>
      <w:r w:rsidR="00190923" w:rsidRPr="00981405">
        <w:t xml:space="preserve"> </w:t>
      </w:r>
      <w:r w:rsidRPr="00981405">
        <w:t>same</w:t>
      </w:r>
      <w:r w:rsidR="00190923" w:rsidRPr="00981405">
        <w:t xml:space="preserve"> </w:t>
      </w:r>
      <w:r w:rsidRPr="00981405">
        <w:t>as</w:t>
      </w:r>
      <w:r w:rsidR="00190923" w:rsidRPr="00981405">
        <w:t xml:space="preserve"> </w:t>
      </w:r>
      <w:r w:rsidRPr="00981405">
        <w:t>the</w:t>
      </w:r>
      <w:r w:rsidR="00190923" w:rsidRPr="00981405">
        <w:t xml:space="preserve"> </w:t>
      </w:r>
      <w:r w:rsidRPr="00981405">
        <w:t>rights</w:t>
      </w:r>
      <w:r w:rsidR="00190923" w:rsidRPr="00981405">
        <w:t xml:space="preserve"> </w:t>
      </w:r>
      <w:r w:rsidRPr="00981405">
        <w:t>and</w:t>
      </w:r>
      <w:r w:rsidR="00190923" w:rsidRPr="00981405">
        <w:t xml:space="preserve"> </w:t>
      </w:r>
      <w:r w:rsidRPr="00981405">
        <w:t>obligations</w:t>
      </w:r>
      <w:r w:rsidR="00190923" w:rsidRPr="00981405">
        <w:t xml:space="preserve"> </w:t>
      </w:r>
      <w:r w:rsidRPr="00981405">
        <w:t>that</w:t>
      </w:r>
      <w:r w:rsidR="00190923" w:rsidRPr="00981405">
        <w:t xml:space="preserve"> </w:t>
      </w:r>
      <w:r w:rsidRPr="00981405">
        <w:t>stemmed</w:t>
      </w:r>
      <w:r w:rsidR="00190923" w:rsidRPr="00981405">
        <w:t xml:space="preserve"> </w:t>
      </w:r>
      <w:r w:rsidRPr="00981405">
        <w:t>from</w:t>
      </w:r>
      <w:r w:rsidR="00190923" w:rsidRPr="00981405">
        <w:t xml:space="preserve"> </w:t>
      </w:r>
      <w:r w:rsidRPr="00981405">
        <w:t>the</w:t>
      </w:r>
      <w:r w:rsidR="00190923" w:rsidRPr="00981405">
        <w:t xml:space="preserve"> </w:t>
      </w:r>
      <w:r w:rsidRPr="00981405">
        <w:t>treaty</w:t>
      </w:r>
      <w:r w:rsidR="00190923" w:rsidRPr="00981405">
        <w:t xml:space="preserve"> </w:t>
      </w:r>
      <w:r w:rsidRPr="00981405">
        <w:t>itself</w:t>
      </w:r>
      <w:r w:rsidR="00190923" w:rsidRPr="00981405">
        <w:t xml:space="preserve"> </w:t>
      </w:r>
      <w:r w:rsidRPr="00981405">
        <w:t>as</w:t>
      </w:r>
      <w:r w:rsidR="00190923" w:rsidRPr="00981405">
        <w:t xml:space="preserve"> </w:t>
      </w:r>
      <w:r w:rsidRPr="00981405">
        <w:t>if</w:t>
      </w:r>
      <w:r w:rsidR="00190923" w:rsidRPr="00981405">
        <w:t xml:space="preserve"> </w:t>
      </w:r>
      <w:r w:rsidRPr="00981405">
        <w:t>it</w:t>
      </w:r>
      <w:r w:rsidR="00190923" w:rsidRPr="00981405">
        <w:t xml:space="preserve"> </w:t>
      </w:r>
      <w:r w:rsidRPr="00981405">
        <w:t>were</w:t>
      </w:r>
      <w:r w:rsidR="00190923" w:rsidRPr="00981405">
        <w:t xml:space="preserve"> </w:t>
      </w:r>
      <w:r w:rsidRPr="00981405">
        <w:t>in</w:t>
      </w:r>
      <w:r w:rsidR="00190923" w:rsidRPr="00981405">
        <w:t xml:space="preserve"> </w:t>
      </w:r>
      <w:r w:rsidRPr="00981405">
        <w:t>force;</w:t>
      </w:r>
      <w:r w:rsidR="00190923" w:rsidRPr="00981405">
        <w:t xml:space="preserve"> </w:t>
      </w:r>
      <w:r w:rsidRPr="00981405">
        <w:t>and</w:t>
      </w:r>
      <w:r w:rsidR="00190923" w:rsidRPr="00981405">
        <w:t xml:space="preserve"> </w:t>
      </w:r>
      <w:r w:rsidRPr="00981405">
        <w:t>that</w:t>
      </w:r>
      <w:r w:rsidR="00190923" w:rsidRPr="00981405">
        <w:t xml:space="preserve"> </w:t>
      </w:r>
      <w:r w:rsidRPr="00981405">
        <w:t>a</w:t>
      </w:r>
      <w:r w:rsidR="00190923" w:rsidRPr="00981405">
        <w:t xml:space="preserve"> </w:t>
      </w:r>
      <w:r w:rsidRPr="00981405">
        <w:t>violation</w:t>
      </w:r>
      <w:r w:rsidR="00190923" w:rsidRPr="00981405">
        <w:t xml:space="preserve"> </w:t>
      </w:r>
      <w:r w:rsidRPr="00981405">
        <w:t>of</w:t>
      </w:r>
      <w:r w:rsidR="00190923" w:rsidRPr="00981405">
        <w:t xml:space="preserve"> </w:t>
      </w:r>
      <w:r w:rsidRPr="00981405">
        <w:t>an</w:t>
      </w:r>
      <w:r w:rsidR="00190923" w:rsidRPr="00981405">
        <w:t xml:space="preserve"> </w:t>
      </w:r>
      <w:r w:rsidRPr="00981405">
        <w:t>obligation</w:t>
      </w:r>
      <w:r w:rsidR="00190923" w:rsidRPr="00981405">
        <w:t xml:space="preserve"> </w:t>
      </w:r>
      <w:r w:rsidRPr="00981405">
        <w:t>stemming</w:t>
      </w:r>
      <w:r w:rsidR="00190923" w:rsidRPr="00981405">
        <w:t xml:space="preserve"> </w:t>
      </w:r>
      <w:r w:rsidRPr="00981405">
        <w:t>from</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activated</w:t>
      </w:r>
      <w:r w:rsidR="00190923" w:rsidRPr="00981405">
        <w:t xml:space="preserve"> </w:t>
      </w:r>
      <w:r w:rsidRPr="00981405">
        <w:t>the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p>
    <w:p w:rsidR="00397032" w:rsidRPr="00981405" w:rsidRDefault="00397032" w:rsidP="00D97463">
      <w:pPr>
        <w:pStyle w:val="SingleTxt"/>
      </w:pPr>
      <w:r w:rsidRPr="00981405">
        <w:t>253.</w:t>
      </w:r>
      <w:r w:rsidRPr="00981405">
        <w:tab/>
        <w:t>Approximately</w:t>
      </w:r>
      <w:r w:rsidR="00190923" w:rsidRPr="00981405">
        <w:t xml:space="preserve"> </w:t>
      </w:r>
      <w:r w:rsidRPr="00981405">
        <w:t>twenty</w:t>
      </w:r>
      <w:r w:rsidR="00190923" w:rsidRPr="00981405">
        <w:t xml:space="preserve"> </w:t>
      </w:r>
      <w:r w:rsidRPr="00981405">
        <w:t>member</w:t>
      </w:r>
      <w:r w:rsidR="00190923" w:rsidRPr="00981405">
        <w:t xml:space="preserve"> </w:t>
      </w:r>
      <w:r w:rsidRPr="00981405">
        <w:t>States</w:t>
      </w:r>
      <w:r w:rsidR="00190923" w:rsidRPr="00981405">
        <w:t xml:space="preserve"> </w:t>
      </w:r>
      <w:r w:rsidRPr="00981405">
        <w:t>had</w:t>
      </w:r>
      <w:r w:rsidR="00190923" w:rsidRPr="00981405">
        <w:t xml:space="preserve"> </w:t>
      </w:r>
      <w:r w:rsidRPr="00981405">
        <w:t>provided</w:t>
      </w:r>
      <w:r w:rsidR="00190923" w:rsidRPr="00981405">
        <w:t xml:space="preserve"> </w:t>
      </w:r>
      <w:r w:rsidRPr="00981405">
        <w:t>comments</w:t>
      </w:r>
      <w:r w:rsidR="00190923" w:rsidRPr="00981405">
        <w:t xml:space="preserve"> </w:t>
      </w:r>
      <w:r w:rsidRPr="00981405">
        <w:t>on</w:t>
      </w:r>
      <w:r w:rsidR="00190923" w:rsidRPr="00981405">
        <w:t xml:space="preserve"> </w:t>
      </w:r>
      <w:r w:rsidRPr="00981405">
        <w:t>their</w:t>
      </w:r>
      <w:r w:rsidR="00190923" w:rsidRPr="00981405">
        <w:t xml:space="preserve"> </w:t>
      </w:r>
      <w:r w:rsidRPr="00981405">
        <w:t>practice.</w:t>
      </w:r>
      <w:r w:rsidR="00190923" w:rsidRPr="00981405">
        <w:t xml:space="preserve"> </w:t>
      </w:r>
      <w:r w:rsidRPr="00981405">
        <w:t>While</w:t>
      </w:r>
      <w:r w:rsidR="00190923" w:rsidRPr="00981405">
        <w:t xml:space="preserve"> </w:t>
      </w:r>
      <w:r w:rsidRPr="00981405">
        <w:t>he</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was</w:t>
      </w:r>
      <w:r w:rsidR="00190923" w:rsidRPr="00981405">
        <w:t xml:space="preserve"> </w:t>
      </w:r>
      <w:r w:rsidRPr="00981405">
        <w:t>not</w:t>
      </w:r>
      <w:r w:rsidR="00190923" w:rsidRPr="00981405">
        <w:t xml:space="preserve"> </w:t>
      </w:r>
      <w:r w:rsidRPr="00981405">
        <w:t>uniform,</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continued</w:t>
      </w:r>
      <w:r w:rsidR="00190923" w:rsidRPr="00981405">
        <w:t xml:space="preserve"> </w:t>
      </w:r>
      <w:r w:rsidRPr="00981405">
        <w:t>to</w:t>
      </w:r>
      <w:r w:rsidR="00190923" w:rsidRPr="00981405">
        <w:t xml:space="preserve"> </w:t>
      </w:r>
      <w:r w:rsidRPr="00981405">
        <w:t>be</w:t>
      </w:r>
      <w:r w:rsidR="00190923" w:rsidRPr="00981405">
        <w:t xml:space="preserve"> </w:t>
      </w:r>
      <w:r w:rsidRPr="00981405">
        <w:t>of</w:t>
      </w:r>
      <w:r w:rsidR="00190923" w:rsidRPr="00981405">
        <w:t xml:space="preserve"> </w:t>
      </w:r>
      <w:r w:rsidRPr="00981405">
        <w:t>the</w:t>
      </w:r>
      <w:r w:rsidR="00190923" w:rsidRPr="00981405">
        <w:t xml:space="preserve"> </w:t>
      </w:r>
      <w:r w:rsidRPr="00981405">
        <w:t>opinion</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necessary</w:t>
      </w:r>
      <w:r w:rsidR="00190923" w:rsidRPr="00981405">
        <w:t xml:space="preserve"> </w:t>
      </w:r>
      <w:r w:rsidRPr="00981405">
        <w:t>to</w:t>
      </w:r>
      <w:r w:rsidR="00190923" w:rsidRPr="00981405">
        <w:t xml:space="preserve"> </w:t>
      </w:r>
      <w:r w:rsidRPr="00981405">
        <w:t>carry</w:t>
      </w:r>
      <w:r w:rsidR="00190923" w:rsidRPr="00981405">
        <w:t xml:space="preserve"> </w:t>
      </w:r>
      <w:r w:rsidRPr="00981405">
        <w:t>out</w:t>
      </w:r>
      <w:r w:rsidR="00190923" w:rsidRPr="00981405">
        <w:t xml:space="preserve"> </w:t>
      </w:r>
      <w:r w:rsidRPr="00981405">
        <w:t>a</w:t>
      </w:r>
      <w:r w:rsidR="00190923" w:rsidRPr="00981405">
        <w:t xml:space="preserve"> </w:t>
      </w:r>
      <w:r w:rsidRPr="00981405">
        <w:t>comparative</w:t>
      </w:r>
      <w:r w:rsidR="00190923" w:rsidRPr="00981405">
        <w:t xml:space="preserve"> </w:t>
      </w:r>
      <w:r w:rsidRPr="00981405">
        <w:t>study</w:t>
      </w:r>
      <w:r w:rsidR="00190923" w:rsidRPr="00981405">
        <w:t xml:space="preserve"> </w:t>
      </w:r>
      <w:r w:rsidRPr="00981405">
        <w:t>of</w:t>
      </w:r>
      <w:r w:rsidR="00190923" w:rsidRPr="00981405">
        <w:t xml:space="preserve"> </w:t>
      </w:r>
      <w:r w:rsidRPr="00981405">
        <w:t>internal</w:t>
      </w:r>
      <w:r w:rsidR="00190923" w:rsidRPr="00981405">
        <w:t xml:space="preserve"> </w:t>
      </w:r>
      <w:r w:rsidRPr="00981405">
        <w:t>laws.</w:t>
      </w:r>
      <w:r w:rsidR="00190923" w:rsidRPr="00981405">
        <w:t xml:space="preserve"> </w:t>
      </w:r>
      <w:r w:rsidRPr="00981405">
        <w:t>He</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number</w:t>
      </w:r>
      <w:r w:rsidR="00190923" w:rsidRPr="00981405">
        <w:t xml:space="preserve"> </w:t>
      </w:r>
      <w:r w:rsidRPr="00981405">
        <w:t>of</w:t>
      </w:r>
      <w:r w:rsidR="00190923" w:rsidRPr="00981405">
        <w:t xml:space="preserve"> </w:t>
      </w:r>
      <w:r w:rsidRPr="00981405">
        <w:t>treaties</w:t>
      </w:r>
      <w:r w:rsidR="00190923" w:rsidRPr="00981405">
        <w:t xml:space="preserve"> </w:t>
      </w:r>
      <w:r w:rsidRPr="00981405">
        <w:t>that</w:t>
      </w:r>
      <w:r w:rsidR="00190923" w:rsidRPr="00981405">
        <w:t xml:space="preserve"> </w:t>
      </w:r>
      <w:r w:rsidRPr="00981405">
        <w:t>provided</w:t>
      </w:r>
      <w:r w:rsidR="00190923" w:rsidRPr="00981405">
        <w:t xml:space="preserve"> </w:t>
      </w:r>
      <w:r w:rsidRPr="00981405">
        <w:t>for</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which</w:t>
      </w:r>
      <w:r w:rsidR="00190923" w:rsidRPr="00981405">
        <w:t xml:space="preserve"> </w:t>
      </w:r>
      <w:r w:rsidRPr="00981405">
        <w:t>had</w:t>
      </w:r>
      <w:r w:rsidR="00190923" w:rsidRPr="00981405">
        <w:t xml:space="preserve"> </w:t>
      </w:r>
      <w:r w:rsidRPr="00981405">
        <w:t>been</w:t>
      </w:r>
      <w:r w:rsidR="00190923" w:rsidRPr="00981405">
        <w:t xml:space="preserve"> </w:t>
      </w:r>
      <w:r w:rsidRPr="00981405">
        <w:t>applied</w:t>
      </w:r>
      <w:r w:rsidR="00190923" w:rsidRPr="00981405">
        <w:t xml:space="preserve"> </w:t>
      </w:r>
      <w:r w:rsidRPr="00981405">
        <w:t>provisionally</w:t>
      </w:r>
      <w:r w:rsidR="00190923" w:rsidRPr="00981405">
        <w:t xml:space="preserve"> </w:t>
      </w:r>
      <w:r w:rsidRPr="00981405">
        <w:t>was</w:t>
      </w:r>
      <w:r w:rsidR="00190923" w:rsidRPr="00981405">
        <w:t xml:space="preserve"> </w:t>
      </w:r>
      <w:r w:rsidRPr="00981405">
        <w:t>relatively</w:t>
      </w:r>
      <w:r w:rsidR="00190923" w:rsidRPr="00981405">
        <w:t xml:space="preserve"> </w:t>
      </w:r>
      <w:r w:rsidRPr="00981405">
        <w:t>high.</w:t>
      </w:r>
    </w:p>
    <w:p w:rsidR="00397032" w:rsidRPr="00981405" w:rsidRDefault="00397032" w:rsidP="00D97463">
      <w:pPr>
        <w:pStyle w:val="SingleTxt"/>
      </w:pPr>
      <w:r w:rsidRPr="00981405">
        <w:t>254.</w:t>
      </w:r>
      <w:r w:rsidRPr="00981405">
        <w:tab/>
        <w:t>His</w:t>
      </w:r>
      <w:r w:rsidR="00190923" w:rsidRPr="00981405">
        <w:t xml:space="preserve"> </w:t>
      </w:r>
      <w:r w:rsidRPr="00981405">
        <w:t>third</w:t>
      </w:r>
      <w:r w:rsidR="00190923" w:rsidRPr="00981405">
        <w:t xml:space="preserve"> </w:t>
      </w:r>
      <w:r w:rsidRPr="00981405">
        <w:t>report</w:t>
      </w:r>
      <w:r w:rsidR="00190923" w:rsidRPr="00981405">
        <w:t xml:space="preserve"> </w:t>
      </w:r>
      <w:r w:rsidRPr="00981405">
        <w:t>focused</w:t>
      </w:r>
      <w:r w:rsidR="00190923" w:rsidRPr="00981405">
        <w:t xml:space="preserve"> </w:t>
      </w:r>
      <w:r w:rsidRPr="00981405">
        <w:t>on</w:t>
      </w:r>
      <w:r w:rsidR="00190923" w:rsidRPr="00981405">
        <w:t xml:space="preserve"> </w:t>
      </w:r>
      <w:r w:rsidRPr="00981405">
        <w:t>two</w:t>
      </w:r>
      <w:r w:rsidR="00190923" w:rsidRPr="00981405">
        <w:t xml:space="preserve"> </w:t>
      </w:r>
      <w:r w:rsidRPr="00981405">
        <w:t>major</w:t>
      </w:r>
      <w:r w:rsidR="00190923" w:rsidRPr="00981405">
        <w:t xml:space="preserve"> </w:t>
      </w:r>
      <w:r w:rsidRPr="00981405">
        <w:t>issues:</w:t>
      </w:r>
      <w:r w:rsidR="00190923" w:rsidRPr="00981405">
        <w:t xml:space="preserve"> </w:t>
      </w:r>
      <w:r w:rsidRPr="00981405">
        <w:t>first,</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second,</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former,</w:t>
      </w:r>
      <w:r w:rsidR="00190923" w:rsidRPr="00981405">
        <w:t xml:space="preserve"> </w:t>
      </w:r>
      <w:r w:rsidRPr="00981405">
        <w:t>his</w:t>
      </w:r>
      <w:r w:rsidR="00190923" w:rsidRPr="00981405">
        <w:t xml:space="preserve"> </w:t>
      </w:r>
      <w:r w:rsidRPr="00981405">
        <w:t>analysis,</w:t>
      </w:r>
      <w:r w:rsidR="00190923" w:rsidRPr="00981405">
        <w:t xml:space="preserve"> </w:t>
      </w:r>
      <w:r w:rsidRPr="00981405">
        <w:t>which</w:t>
      </w:r>
      <w:r w:rsidR="00190923" w:rsidRPr="00981405">
        <w:t xml:space="preserve"> </w:t>
      </w:r>
      <w:r w:rsidRPr="00981405">
        <w:t>had</w:t>
      </w:r>
      <w:r w:rsidR="00190923" w:rsidRPr="00981405">
        <w:t xml:space="preserve"> </w:t>
      </w:r>
      <w:r w:rsidRPr="00981405">
        <w:t>not</w:t>
      </w:r>
      <w:r w:rsidR="00190923" w:rsidRPr="00981405">
        <w:t xml:space="preserve"> </w:t>
      </w:r>
      <w:r w:rsidRPr="00981405">
        <w:t>been</w:t>
      </w:r>
      <w:r w:rsidR="00190923" w:rsidRPr="00981405">
        <w:t xml:space="preserve"> </w:t>
      </w:r>
      <w:r w:rsidRPr="00981405">
        <w:t>intended</w:t>
      </w:r>
      <w:r w:rsidR="00190923" w:rsidRPr="00981405">
        <w:t xml:space="preserve"> </w:t>
      </w:r>
      <w:r w:rsidRPr="00981405">
        <w:t>to</w:t>
      </w:r>
      <w:r w:rsidR="00190923" w:rsidRPr="00981405">
        <w:t xml:space="preserve"> </w:t>
      </w:r>
      <w:r w:rsidRPr="00981405">
        <w:t>be</w:t>
      </w:r>
      <w:r w:rsidR="00190923" w:rsidRPr="00981405">
        <w:t xml:space="preserve"> </w:t>
      </w:r>
      <w:r w:rsidRPr="00981405">
        <w:t>exhaustive,</w:t>
      </w:r>
      <w:r w:rsidR="00190923" w:rsidRPr="00981405">
        <w:t xml:space="preserve"> </w:t>
      </w:r>
      <w:r w:rsidRPr="00981405">
        <w:t>focused</w:t>
      </w:r>
      <w:r w:rsidR="00190923" w:rsidRPr="00981405">
        <w:t xml:space="preserve"> </w:t>
      </w:r>
      <w:r w:rsidRPr="00981405">
        <w:t>on</w:t>
      </w:r>
      <w:r w:rsidR="00190923" w:rsidRPr="00981405">
        <w:t xml:space="preserve"> </w:t>
      </w:r>
      <w:r w:rsidRPr="00981405">
        <w:t>articles</w:t>
      </w:r>
      <w:r w:rsidR="00190923" w:rsidRPr="00981405">
        <w:t xml:space="preserve"> </w:t>
      </w:r>
      <w:r w:rsidRPr="00981405">
        <w:t>11</w:t>
      </w:r>
      <w:r w:rsidR="00190923" w:rsidRPr="00981405">
        <w:t xml:space="preserve"> </w:t>
      </w:r>
      <w:r w:rsidRPr="00981405">
        <w:t>(Means</w:t>
      </w:r>
      <w:r w:rsidR="00190923" w:rsidRPr="00981405">
        <w:t xml:space="preserve"> </w:t>
      </w:r>
      <w:r w:rsidRPr="00981405">
        <w:t>of</w:t>
      </w:r>
      <w:r w:rsidR="00190923" w:rsidRPr="00981405">
        <w:t xml:space="preserve"> </w:t>
      </w:r>
      <w:r w:rsidRPr="00981405">
        <w:t>expressing</w:t>
      </w:r>
      <w:r w:rsidR="00190923" w:rsidRPr="00981405">
        <w:t xml:space="preserve"> </w:t>
      </w:r>
      <w:r w:rsidRPr="00981405">
        <w:t>consent</w:t>
      </w:r>
      <w:r w:rsidR="00190923" w:rsidRPr="00981405">
        <w:t xml:space="preserve"> </w:t>
      </w:r>
      <w:r w:rsidRPr="00981405">
        <w:t>to</w:t>
      </w:r>
      <w:r w:rsidR="00190923" w:rsidRPr="00981405">
        <w:t xml:space="preserve"> </w:t>
      </w:r>
      <w:r w:rsidRPr="00981405">
        <w:t>be</w:t>
      </w:r>
      <w:r w:rsidR="00190923" w:rsidRPr="00981405">
        <w:t xml:space="preserve"> </w:t>
      </w:r>
      <w:r w:rsidRPr="00981405">
        <w:t>bound</w:t>
      </w:r>
      <w:r w:rsidR="00190923" w:rsidRPr="00981405">
        <w:t xml:space="preserve"> </w:t>
      </w:r>
      <w:r w:rsidRPr="00981405">
        <w:t>by</w:t>
      </w:r>
      <w:r w:rsidR="00190923" w:rsidRPr="00981405">
        <w:t xml:space="preserve"> </w:t>
      </w:r>
      <w:r w:rsidRPr="00981405">
        <w:t>a</w:t>
      </w:r>
      <w:r w:rsidR="00190923" w:rsidRPr="00981405">
        <w:t xml:space="preserve"> </w:t>
      </w:r>
      <w:r w:rsidRPr="00981405">
        <w:t>treaty),</w:t>
      </w:r>
      <w:r w:rsidR="00190923" w:rsidRPr="00981405">
        <w:t xml:space="preserve"> </w:t>
      </w:r>
      <w:r w:rsidRPr="00981405">
        <w:t>18</w:t>
      </w:r>
      <w:r w:rsidR="00190923" w:rsidRPr="00981405">
        <w:t xml:space="preserve"> </w:t>
      </w:r>
      <w:r w:rsidRPr="00981405">
        <w:t>(Obligation</w:t>
      </w:r>
      <w:r w:rsidR="00190923" w:rsidRPr="00981405">
        <w:t xml:space="preserve"> </w:t>
      </w:r>
      <w:r w:rsidRPr="00981405">
        <w:t>not</w:t>
      </w:r>
      <w:r w:rsidR="00190923" w:rsidRPr="00981405">
        <w:t xml:space="preserve"> </w:t>
      </w:r>
      <w:r w:rsidRPr="00981405">
        <w:t>to</w:t>
      </w:r>
      <w:r w:rsidR="00190923" w:rsidRPr="00981405">
        <w:t xml:space="preserve"> </w:t>
      </w:r>
      <w:r w:rsidRPr="00981405">
        <w:t>defeat</w:t>
      </w:r>
      <w:r w:rsidR="00190923" w:rsidRPr="00981405">
        <w:t xml:space="preserve"> </w:t>
      </w:r>
      <w:r w:rsidRPr="00981405">
        <w:t>the</w:t>
      </w:r>
      <w:r w:rsidR="00190923" w:rsidRPr="00981405">
        <w:t xml:space="preserve"> </w:t>
      </w:r>
      <w:r w:rsidRPr="00981405">
        <w:t>object</w:t>
      </w:r>
      <w:r w:rsidR="00190923" w:rsidRPr="00981405">
        <w:t xml:space="preserve"> </w:t>
      </w:r>
      <w:r w:rsidRPr="00981405">
        <w:t>and</w:t>
      </w:r>
      <w:r w:rsidR="00190923" w:rsidRPr="00981405">
        <w:t xml:space="preserve"> </w:t>
      </w:r>
      <w:r w:rsidRPr="00981405">
        <w:t>purpose</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24</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26</w:t>
      </w:r>
      <w:r w:rsidR="00190923" w:rsidRPr="00981405">
        <w:t xml:space="preserve"> </w:t>
      </w:r>
      <w:r w:rsidRPr="00981405">
        <w:t>(</w:t>
      </w:r>
      <w:r w:rsidRPr="00D97463">
        <w:rPr>
          <w:i/>
          <w:iCs/>
        </w:rPr>
        <w:t>Pacta</w:t>
      </w:r>
      <w:r w:rsidR="00190923" w:rsidRPr="00981405">
        <w:rPr>
          <w:i/>
          <w:iCs/>
        </w:rPr>
        <w:t xml:space="preserve"> </w:t>
      </w:r>
      <w:r w:rsidRPr="00D97463">
        <w:rPr>
          <w:i/>
          <w:iCs/>
        </w:rPr>
        <w:t>sunt</w:t>
      </w:r>
      <w:r w:rsidR="00190923" w:rsidRPr="00981405">
        <w:rPr>
          <w:i/>
          <w:iCs/>
        </w:rPr>
        <w:t xml:space="preserve"> </w:t>
      </w:r>
      <w:r w:rsidRPr="00D97463">
        <w:rPr>
          <w:i/>
          <w:iCs/>
        </w:rPr>
        <w:t>servanda</w:t>
      </w:r>
      <w:r w:rsidRPr="00981405">
        <w:t>)</w:t>
      </w:r>
      <w:r w:rsidR="00190923" w:rsidRPr="00981405">
        <w:t xml:space="preserve"> </w:t>
      </w:r>
      <w:r w:rsidRPr="00981405">
        <w:t>and</w:t>
      </w:r>
      <w:r w:rsidR="00190923" w:rsidRPr="00981405">
        <w:t xml:space="preserve"> </w:t>
      </w:r>
      <w:r w:rsidRPr="00981405">
        <w:t>27</w:t>
      </w:r>
      <w:r w:rsidR="00190923" w:rsidRPr="00981405">
        <w:t xml:space="preserve"> </w:t>
      </w:r>
      <w:r w:rsidRPr="00981405">
        <w:t>(Internal</w:t>
      </w:r>
      <w:r w:rsidR="00190923" w:rsidRPr="00981405">
        <w:t xml:space="preserve"> </w:t>
      </w:r>
      <w:r w:rsidRPr="00981405">
        <w:t>law</w:t>
      </w:r>
      <w:r w:rsidR="00190923" w:rsidRPr="00981405">
        <w:t xml:space="preserve"> </w:t>
      </w:r>
      <w:r w:rsidRPr="00981405">
        <w:t>and</w:t>
      </w:r>
      <w:r w:rsidR="00190923" w:rsidRPr="00981405">
        <w:t xml:space="preserve"> </w:t>
      </w:r>
      <w:r w:rsidRPr="00981405">
        <w:t>observance</w:t>
      </w:r>
      <w:r w:rsidR="00190923" w:rsidRPr="00981405">
        <w:t xml:space="preserve"> </w:t>
      </w:r>
      <w:r w:rsidRPr="00981405">
        <w:t>of</w:t>
      </w:r>
      <w:r w:rsidR="00190923" w:rsidRPr="00981405">
        <w:t xml:space="preserve"> </w:t>
      </w:r>
      <w:r w:rsidRPr="00981405">
        <w:t>treaties).</w:t>
      </w:r>
      <w:r w:rsidR="00190923" w:rsidRPr="00981405">
        <w:t xml:space="preserve"> </w:t>
      </w:r>
      <w:r w:rsidRPr="00981405">
        <w:t>Those</w:t>
      </w:r>
      <w:r w:rsidR="00190923" w:rsidRPr="00981405">
        <w:t xml:space="preserve"> </w:t>
      </w:r>
      <w:r w:rsidRPr="00981405">
        <w:t>provisions</w:t>
      </w:r>
      <w:r w:rsidR="00190923" w:rsidRPr="00981405">
        <w:t xml:space="preserve"> </w:t>
      </w:r>
      <w:r w:rsidRPr="00981405">
        <w:t>were</w:t>
      </w:r>
      <w:r w:rsidR="00190923" w:rsidRPr="00981405">
        <w:t xml:space="preserve"> </w:t>
      </w:r>
      <w:r w:rsidRPr="00981405">
        <w:t>chosen</w:t>
      </w:r>
      <w:r w:rsidR="00190923" w:rsidRPr="00981405">
        <w:t xml:space="preserve"> </w:t>
      </w:r>
      <w:r w:rsidRPr="00981405">
        <w:t>because</w:t>
      </w:r>
      <w:r w:rsidR="00190923" w:rsidRPr="00981405">
        <w:t xml:space="preserve"> </w:t>
      </w:r>
      <w:r w:rsidRPr="00981405">
        <w:t>they</w:t>
      </w:r>
      <w:r w:rsidR="00190923" w:rsidRPr="00981405">
        <w:t xml:space="preserve"> </w:t>
      </w:r>
      <w:r w:rsidRPr="00981405">
        <w:t>enjoyed</w:t>
      </w:r>
      <w:r w:rsidR="00190923" w:rsidRPr="00981405">
        <w:t xml:space="preserve"> </w:t>
      </w:r>
      <w:r w:rsidRPr="00981405">
        <w:t>a</w:t>
      </w:r>
      <w:r w:rsidR="00190923" w:rsidRPr="00981405">
        <w:t xml:space="preserve"> </w:t>
      </w:r>
      <w:r w:rsidRPr="00981405">
        <w:t>natural</w:t>
      </w:r>
      <w:r w:rsidR="00190923" w:rsidRPr="00981405">
        <w:t xml:space="preserve"> </w:t>
      </w:r>
      <w:r w:rsidRPr="00981405">
        <w:t>and</w:t>
      </w:r>
      <w:r w:rsidR="00190923" w:rsidRPr="00981405">
        <w:t xml:space="preserve"> </w:t>
      </w:r>
      <w:r w:rsidRPr="00981405">
        <w:t>close</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between</w:t>
      </w:r>
      <w:r w:rsidR="00190923" w:rsidRPr="00981405">
        <w:t xml:space="preserve"> </w:t>
      </w:r>
      <w:r w:rsidRPr="00981405">
        <w:t>States</w:t>
      </w:r>
      <w:r w:rsidR="00190923" w:rsidRPr="00981405">
        <w:t xml:space="preserve"> </w:t>
      </w:r>
      <w:r w:rsidRPr="00981405">
        <w:t>and</w:t>
      </w:r>
      <w:r w:rsidR="00190923" w:rsidRPr="00981405">
        <w:t xml:space="preserve"> </w:t>
      </w:r>
      <w:r w:rsidRPr="00981405">
        <w:t>with</w:t>
      </w:r>
      <w:r w:rsidR="00190923" w:rsidRPr="00981405">
        <w:t xml:space="preserve"> </w:t>
      </w:r>
      <w:r w:rsidRPr="00981405">
        <w:t>international</w:t>
      </w:r>
      <w:r w:rsidR="00190923" w:rsidRPr="00981405">
        <w:t xml:space="preserve"> </w:t>
      </w:r>
      <w:r w:rsidRPr="00981405">
        <w:lastRenderedPageBreak/>
        <w:t>organizations,</w:t>
      </w:r>
      <w:r w:rsidR="00190923" w:rsidRPr="00981405">
        <w:t xml:space="preserve"> </w:t>
      </w:r>
      <w:r w:rsidRPr="00981405">
        <w:t>or</w:t>
      </w:r>
      <w:r w:rsidR="00190923" w:rsidRPr="00981405">
        <w:t xml:space="preserve"> </w:t>
      </w:r>
      <w:r w:rsidRPr="00981405">
        <w:t>among</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Secretariat</w:t>
      </w:r>
      <w:r w:rsidR="00B92E2C" w:rsidRPr="00981405">
        <w:t>’</w:t>
      </w:r>
      <w:r w:rsidRPr="00981405">
        <w:t>s</w:t>
      </w:r>
      <w:r w:rsidR="00190923" w:rsidRPr="00981405">
        <w:t xml:space="preserve"> </w:t>
      </w:r>
      <w:r w:rsidRPr="00981405">
        <w:t>memorandum</w:t>
      </w:r>
      <w:r w:rsidR="00190923" w:rsidRPr="00981405">
        <w:t xml:space="preserve"> </w:t>
      </w:r>
      <w:r w:rsidRPr="00981405">
        <w:t>had</w:t>
      </w:r>
      <w:r w:rsidR="00190923" w:rsidRPr="00981405">
        <w:t xml:space="preserve"> </w:t>
      </w:r>
      <w:r w:rsidRPr="00981405">
        <w:t>clearly</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States</w:t>
      </w:r>
      <w:r w:rsidR="00190923" w:rsidRPr="00981405">
        <w:t xml:space="preserve"> </w:t>
      </w:r>
      <w:r w:rsidRPr="00981405">
        <w:t>took</w:t>
      </w:r>
      <w:r w:rsidR="00190923" w:rsidRPr="00981405">
        <w:t xml:space="preserve"> </w:t>
      </w:r>
      <w:r w:rsidRPr="00981405">
        <w:t>as</w:t>
      </w:r>
      <w:r w:rsidR="00190923" w:rsidRPr="00981405">
        <w:t xml:space="preserve"> </w:t>
      </w:r>
      <w:r w:rsidRPr="00981405">
        <w:t>valid</w:t>
      </w:r>
      <w:r w:rsidR="00190923" w:rsidRPr="00981405">
        <w:t xml:space="preserve"> </w:t>
      </w:r>
      <w:r w:rsidRPr="00981405">
        <w:t>the</w:t>
      </w:r>
      <w:r w:rsidR="00190923" w:rsidRPr="00981405">
        <w:t xml:space="preserve"> </w:t>
      </w:r>
      <w:r w:rsidRPr="00981405">
        <w:t>formulation</w:t>
      </w:r>
      <w:r w:rsidR="00190923" w:rsidRPr="00981405">
        <w:t xml:space="preserve"> </w:t>
      </w:r>
      <w:r w:rsidRPr="00981405">
        <w:t>adopted</w:t>
      </w:r>
      <w:r w:rsidR="00190923" w:rsidRPr="00981405">
        <w:t xml:space="preserve"> </w:t>
      </w:r>
      <w:r w:rsidRPr="00981405">
        <w:t>in</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Nonetheless,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reiterated</w:t>
      </w:r>
      <w:r w:rsidR="00190923" w:rsidRPr="00981405">
        <w:t xml:space="preserve"> </w:t>
      </w:r>
      <w:r w:rsidRPr="00981405">
        <w:t>his</w:t>
      </w:r>
      <w:r w:rsidR="00190923" w:rsidRPr="00981405">
        <w:t xml:space="preserve"> </w:t>
      </w:r>
      <w:r w:rsidRPr="00981405">
        <w:t>view</w:t>
      </w:r>
      <w:r w:rsidR="00190923" w:rsidRPr="00981405">
        <w:t xml:space="preserve"> </w:t>
      </w:r>
      <w:r w:rsidRPr="00981405">
        <w:t>that</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whether</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reflected</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would</w:t>
      </w:r>
      <w:r w:rsidR="00190923" w:rsidRPr="00981405">
        <w:t xml:space="preserve"> </w:t>
      </w:r>
      <w:r w:rsidRPr="00981405">
        <w:t>not</w:t>
      </w:r>
      <w:r w:rsidR="00190923" w:rsidRPr="00981405">
        <w:t xml:space="preserve"> </w:t>
      </w:r>
      <w:r w:rsidRPr="00981405">
        <w:t>affect</w:t>
      </w:r>
      <w:r w:rsidR="00190923" w:rsidRPr="00981405">
        <w:t xml:space="preserve"> </w:t>
      </w:r>
      <w:r w:rsidRPr="00981405">
        <w:t>the</w:t>
      </w:r>
      <w:r w:rsidR="00190923" w:rsidRPr="00981405">
        <w:t xml:space="preserve"> </w:t>
      </w:r>
      <w:r w:rsidRPr="00981405">
        <w:t>general</w:t>
      </w:r>
      <w:r w:rsidR="00190923" w:rsidRPr="00981405">
        <w:t xml:space="preserve"> </w:t>
      </w:r>
      <w:r w:rsidRPr="00981405">
        <w:t>approach</w:t>
      </w:r>
      <w:r w:rsidR="00190923" w:rsidRPr="00981405">
        <w:t xml:space="preserve"> </w:t>
      </w:r>
      <w:r w:rsidRPr="00981405">
        <w:t>to</w:t>
      </w:r>
      <w:r w:rsidR="00190923" w:rsidRPr="00981405">
        <w:t xml:space="preserve"> </w:t>
      </w:r>
      <w:r w:rsidRPr="00981405">
        <w:t>the</w:t>
      </w:r>
      <w:r w:rsidR="00190923" w:rsidRPr="00981405">
        <w:t xml:space="preserve"> </w:t>
      </w:r>
      <w:r w:rsidRPr="00981405">
        <w:t>topic.</w:t>
      </w:r>
    </w:p>
    <w:p w:rsidR="00397032" w:rsidRPr="00981405" w:rsidRDefault="00397032" w:rsidP="00D97463">
      <w:pPr>
        <w:pStyle w:val="SingleTxt"/>
      </w:pPr>
      <w:r w:rsidRPr="00981405">
        <w:t>255.</w:t>
      </w:r>
      <w:r w:rsidRPr="00981405">
        <w:tab/>
        <w:t>Chapter</w:t>
      </w:r>
      <w:r w:rsidR="00190923" w:rsidRPr="00981405">
        <w:t xml:space="preserve"> </w:t>
      </w:r>
      <w:r w:rsidRPr="00981405">
        <w:t>IV</w:t>
      </w:r>
      <w:r w:rsidR="00190923" w:rsidRPr="00981405">
        <w:t xml:space="preserve"> </w:t>
      </w:r>
      <w:r w:rsidRPr="00981405">
        <w:t>of</w:t>
      </w:r>
      <w:r w:rsidR="00190923" w:rsidRPr="00981405">
        <w:t xml:space="preserve"> </w:t>
      </w:r>
      <w:r w:rsidRPr="00981405">
        <w:t>his</w:t>
      </w:r>
      <w:r w:rsidR="00190923" w:rsidRPr="00981405">
        <w:t xml:space="preserve"> </w:t>
      </w:r>
      <w:r w:rsidRPr="00981405">
        <w:t>report</w:t>
      </w:r>
      <w:r w:rsidR="00190923" w:rsidRPr="00981405">
        <w:t xml:space="preserve"> </w:t>
      </w:r>
      <w:r w:rsidRPr="00981405">
        <w:t>focused</w:t>
      </w:r>
      <w:r w:rsidR="00190923" w:rsidRPr="00981405">
        <w:t xml:space="preserve"> </w:t>
      </w:r>
      <w:r w:rsidRPr="00981405">
        <w:t>on</w:t>
      </w:r>
      <w:r w:rsidR="00190923" w:rsidRPr="00981405">
        <w:t xml:space="preserve"> </w:t>
      </w:r>
      <w:r w:rsidRPr="00981405">
        <w:t>several</w:t>
      </w:r>
      <w:r w:rsidR="00190923" w:rsidRPr="00981405">
        <w:t xml:space="preserve"> </w:t>
      </w:r>
      <w:r w:rsidRPr="00981405">
        <w:t>aspects:</w:t>
      </w:r>
      <w:r w:rsidR="00190923" w:rsidRPr="00981405">
        <w:t xml:space="preserve"> </w:t>
      </w:r>
      <w:r w:rsidRPr="00981405">
        <w:t>(1)</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international</w:t>
      </w:r>
      <w:r w:rsidR="00190923" w:rsidRPr="00981405">
        <w:t xml:space="preserve"> </w:t>
      </w:r>
      <w:r w:rsidRPr="00981405">
        <w:t>regimes</w:t>
      </w:r>
      <w:r w:rsidR="00190923" w:rsidRPr="00981405">
        <w:t xml:space="preserve"> </w:t>
      </w:r>
      <w:r w:rsidRPr="00981405">
        <w:t>created</w:t>
      </w:r>
      <w:r w:rsidR="00190923" w:rsidRPr="00981405">
        <w:t xml:space="preserve"> </w:t>
      </w:r>
      <w:r w:rsidRPr="00981405">
        <w:t>through</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(2)</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negotiated</w:t>
      </w:r>
      <w:r w:rsidR="00190923" w:rsidRPr="00981405">
        <w:t xml:space="preserve"> </w:t>
      </w:r>
      <w:r w:rsidRPr="00981405">
        <w:t>within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at</w:t>
      </w:r>
      <w:r w:rsidR="00190923" w:rsidRPr="00981405">
        <w:t xml:space="preserve"> </w:t>
      </w:r>
      <w:r w:rsidRPr="00981405">
        <w:t>diplomatic</w:t>
      </w:r>
      <w:r w:rsidR="00190923" w:rsidRPr="00981405">
        <w:t xml:space="preserve"> </w:t>
      </w:r>
      <w:r w:rsidRPr="00981405">
        <w:t>conferences</w:t>
      </w:r>
      <w:r w:rsidR="00190923" w:rsidRPr="00981405">
        <w:t xml:space="preserve"> </w:t>
      </w:r>
      <w:r w:rsidRPr="00981405">
        <w:t>convened</w:t>
      </w:r>
      <w:r w:rsidR="00190923" w:rsidRPr="00981405">
        <w:t xml:space="preserve"> </w:t>
      </w:r>
      <w:r w:rsidRPr="00981405">
        <w:t>under</w:t>
      </w:r>
      <w:r w:rsidR="00190923" w:rsidRPr="00981405">
        <w:t xml:space="preserve"> </w:t>
      </w:r>
      <w:r w:rsidRPr="00981405">
        <w:t>the</w:t>
      </w:r>
      <w:r w:rsidR="00190923" w:rsidRPr="00981405">
        <w:t xml:space="preserve"> </w:t>
      </w:r>
      <w:r w:rsidRPr="00981405">
        <w:t>auspices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and</w:t>
      </w:r>
      <w:r w:rsidR="00190923" w:rsidRPr="00981405">
        <w:t xml:space="preserve"> </w:t>
      </w:r>
      <w:r w:rsidRPr="00981405">
        <w:t>(3)</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of</w:t>
      </w:r>
      <w:r w:rsidR="00190923" w:rsidRPr="00981405">
        <w:t xml:space="preserve"> </w:t>
      </w:r>
      <w:r w:rsidRPr="00981405">
        <w:t>which</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were</w:t>
      </w:r>
      <w:r w:rsidR="00190923" w:rsidRPr="00981405">
        <w:t xml:space="preserve"> </w:t>
      </w:r>
      <w:r w:rsidRPr="00981405">
        <w:t>parties.</w:t>
      </w:r>
      <w:r w:rsidR="00190923" w:rsidRPr="00981405">
        <w:t xml:space="preserve"> </w:t>
      </w:r>
      <w:r w:rsidRPr="00981405">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creation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international</w:t>
      </w:r>
      <w:r w:rsidR="00190923" w:rsidRPr="00981405">
        <w:t xml:space="preserve"> </w:t>
      </w:r>
      <w:r w:rsidRPr="00981405">
        <w:t>regimes,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clarified</w:t>
      </w:r>
      <w:r w:rsidR="00190923" w:rsidRPr="00981405">
        <w:t xml:space="preserve"> </w:t>
      </w:r>
      <w:r w:rsidRPr="00981405">
        <w:t>that</w:t>
      </w:r>
      <w:r w:rsidR="00190923" w:rsidRPr="00981405">
        <w:t xml:space="preserve"> </w:t>
      </w:r>
      <w:r w:rsidRPr="00981405">
        <w:t>he</w:t>
      </w:r>
      <w:r w:rsidR="00190923" w:rsidRPr="00981405">
        <w:t xml:space="preserve"> </w:t>
      </w:r>
      <w:r w:rsidRPr="00981405">
        <w:t>was</w:t>
      </w:r>
      <w:r w:rsidR="00190923" w:rsidRPr="00981405">
        <w:t xml:space="preserve"> </w:t>
      </w:r>
      <w:r w:rsidRPr="00981405">
        <w:t>referring</w:t>
      </w:r>
      <w:r w:rsidR="00190923" w:rsidRPr="00981405">
        <w:t xml:space="preserve"> </w:t>
      </w:r>
      <w:r w:rsidRPr="00981405">
        <w:t>to</w:t>
      </w:r>
      <w:r w:rsidR="00190923" w:rsidRPr="00981405">
        <w:t xml:space="preserve"> </w:t>
      </w:r>
      <w:r w:rsidRPr="00981405">
        <w:t>those</w:t>
      </w:r>
      <w:r w:rsidR="00190923" w:rsidRPr="00981405">
        <w:t xml:space="preserve"> </w:t>
      </w:r>
      <w:r w:rsidRPr="00981405">
        <w:t>international</w:t>
      </w:r>
      <w:r w:rsidR="00190923" w:rsidRPr="00981405">
        <w:t xml:space="preserve"> </w:t>
      </w:r>
      <w:r w:rsidRPr="00981405">
        <w:t>bodies</w:t>
      </w:r>
      <w:r w:rsidR="00190923" w:rsidRPr="00981405">
        <w:t xml:space="preserve"> </w:t>
      </w:r>
      <w:r w:rsidRPr="00981405">
        <w:t>created</w:t>
      </w:r>
      <w:r w:rsidR="00190923" w:rsidRPr="00981405">
        <w:t xml:space="preserve"> </w:t>
      </w:r>
      <w:r w:rsidRPr="00981405">
        <w:t>by</w:t>
      </w:r>
      <w:r w:rsidR="00190923" w:rsidRPr="00981405">
        <w:t xml:space="preserve"> </w:t>
      </w:r>
      <w:r w:rsidRPr="00981405">
        <w:t>treaties,</w:t>
      </w:r>
      <w:r w:rsidR="00190923" w:rsidRPr="00981405">
        <w:t xml:space="preserve"> </w:t>
      </w:r>
      <w:r w:rsidRPr="00981405">
        <w:t>and</w:t>
      </w:r>
      <w:r w:rsidR="00190923" w:rsidRPr="00981405">
        <w:t xml:space="preserve"> </w:t>
      </w:r>
      <w:r w:rsidRPr="00981405">
        <w:t>which</w:t>
      </w:r>
      <w:r w:rsidR="00190923" w:rsidRPr="00981405">
        <w:t xml:space="preserve"> </w:t>
      </w:r>
      <w:r w:rsidRPr="00981405">
        <w:t>played</w:t>
      </w:r>
      <w:r w:rsidR="00190923" w:rsidRPr="00981405">
        <w:t xml:space="preserve"> </w:t>
      </w:r>
      <w:r w:rsidRPr="00981405">
        <w:t>a</w:t>
      </w:r>
      <w:r w:rsidR="00190923" w:rsidRPr="00981405">
        <w:t xml:space="preserve"> </w:t>
      </w:r>
      <w:r w:rsidRPr="00981405">
        <w:t>significant</w:t>
      </w:r>
      <w:r w:rsidR="00190923" w:rsidRPr="00981405">
        <w:t xml:space="preserve"> </w:t>
      </w:r>
      <w:r w:rsidRPr="00981405">
        <w:t>role</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they</w:t>
      </w:r>
      <w:r w:rsidR="00190923" w:rsidRPr="00981405">
        <w:t xml:space="preserve"> </w:t>
      </w:r>
      <w:r w:rsidRPr="00981405">
        <w:t>were</w:t>
      </w:r>
      <w:r w:rsidR="00190923" w:rsidRPr="00981405">
        <w:t xml:space="preserve"> </w:t>
      </w:r>
      <w:r w:rsidRPr="00981405">
        <w:t>not</w:t>
      </w:r>
      <w:r w:rsidR="00190923" w:rsidRPr="00981405">
        <w:t xml:space="preserve"> </w:t>
      </w:r>
      <w:r w:rsidRPr="00981405">
        <w:t>designed</w:t>
      </w:r>
      <w:r w:rsidR="00190923" w:rsidRPr="00981405">
        <w:t xml:space="preserve"> </w:t>
      </w:r>
      <w:r w:rsidRPr="00981405">
        <w:t>to</w:t>
      </w:r>
      <w:r w:rsidR="00190923" w:rsidRPr="00981405">
        <w:t xml:space="preserve"> </w:t>
      </w:r>
      <w:r w:rsidRPr="00981405">
        <w:t>become</w:t>
      </w:r>
      <w:r w:rsidR="00190923" w:rsidRPr="00981405">
        <w:t xml:space="preserve"> </w:t>
      </w:r>
      <w:r w:rsidRPr="00981405">
        <w:t>fully</w:t>
      </w:r>
      <w:r w:rsidR="00190923" w:rsidRPr="00981405">
        <w:t xml:space="preserve"> </w:t>
      </w:r>
      <w:r w:rsidRPr="00981405">
        <w:t>fledged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negotiated</w:t>
      </w:r>
      <w:r w:rsidR="00190923" w:rsidRPr="00981405">
        <w:t xml:space="preserve"> </w:t>
      </w:r>
      <w:r w:rsidRPr="00981405">
        <w:t>within</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or</w:t>
      </w:r>
      <w:r w:rsidR="00190923" w:rsidRPr="00981405">
        <w:t xml:space="preserve"> </w:t>
      </w:r>
      <w:r w:rsidRPr="00981405">
        <w:t>at</w:t>
      </w:r>
      <w:r w:rsidR="00190923" w:rsidRPr="00981405">
        <w:t xml:space="preserve"> </w:t>
      </w:r>
      <w:r w:rsidRPr="00981405">
        <w:t>diplomatic</w:t>
      </w:r>
      <w:r w:rsidR="00190923" w:rsidRPr="00981405">
        <w:t xml:space="preserve"> </w:t>
      </w:r>
      <w:r w:rsidRPr="00981405">
        <w:t>conferences</w:t>
      </w:r>
      <w:r w:rsidR="00190923" w:rsidRPr="00981405">
        <w:t xml:space="preserve"> </w:t>
      </w:r>
      <w:r w:rsidRPr="00981405">
        <w:t>convened</w:t>
      </w:r>
      <w:r w:rsidR="00190923" w:rsidRPr="00981405">
        <w:t xml:space="preserve"> </w:t>
      </w:r>
      <w:r w:rsidRPr="00981405">
        <w:t>under</w:t>
      </w:r>
      <w:r w:rsidR="00190923" w:rsidRPr="00981405">
        <w:t xml:space="preserve"> </w:t>
      </w:r>
      <w:r w:rsidRPr="00981405">
        <w:t>the</w:t>
      </w:r>
      <w:r w:rsidR="00190923" w:rsidRPr="00981405">
        <w:t xml:space="preserve"> </w:t>
      </w:r>
      <w:r w:rsidRPr="00981405">
        <w:t>auspices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referred,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to</w:t>
      </w:r>
      <w:r w:rsidR="00190923" w:rsidRPr="00981405">
        <w:t xml:space="preserve"> </w:t>
      </w:r>
      <w:r w:rsidRPr="00981405">
        <w:t>the</w:t>
      </w:r>
      <w:r w:rsidR="00190923" w:rsidRPr="00981405">
        <w:t xml:space="preserve"> </w:t>
      </w:r>
      <w:r w:rsidRPr="00981405">
        <w:t>establishment</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for</w:t>
      </w:r>
      <w:r w:rsidR="00190923" w:rsidRPr="00981405">
        <w:t xml:space="preserve"> </w:t>
      </w:r>
      <w:r w:rsidRPr="00981405">
        <w:t>the</w:t>
      </w:r>
      <w:r w:rsidR="00190923" w:rsidRPr="00981405">
        <w:t xml:space="preserve"> </w:t>
      </w:r>
      <w:r w:rsidRPr="00981405">
        <w:t>Nuclear</w:t>
      </w:r>
      <w:r w:rsidR="00190923" w:rsidRPr="00981405">
        <w:t xml:space="preserve"> </w:t>
      </w:r>
      <w:r w:rsidRPr="00981405">
        <w:t>Test</w:t>
      </w:r>
      <w:r w:rsidR="00190923" w:rsidRPr="00981405">
        <w:t xml:space="preserve"> </w:t>
      </w:r>
      <w:r w:rsidRPr="00981405">
        <w:t>Ban</w:t>
      </w:r>
      <w:r w:rsidR="00190923" w:rsidRPr="00981405">
        <w:t xml:space="preserve"> </w:t>
      </w:r>
      <w:r w:rsidRPr="00981405">
        <w:t>Treaty</w:t>
      </w:r>
      <w:r w:rsidR="00190923" w:rsidRPr="00981405">
        <w:t xml:space="preserve"> </w:t>
      </w:r>
      <w:r w:rsidRPr="00981405">
        <w:t>(CTBTO).</w:t>
      </w:r>
      <w:r w:rsidR="00190923" w:rsidRPr="00981405">
        <w:t xml:space="preserve"> </w:t>
      </w:r>
      <w:r w:rsidRPr="00981405">
        <w:t>Despite</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convention</w:t>
      </w:r>
      <w:r w:rsidR="00190923" w:rsidRPr="00981405">
        <w:t xml:space="preserve"> </w:t>
      </w:r>
      <w:r w:rsidRPr="00981405">
        <w:t>was</w:t>
      </w:r>
      <w:r w:rsidR="00190923" w:rsidRPr="00981405">
        <w:t xml:space="preserve"> </w:t>
      </w:r>
      <w:r w:rsidRPr="00981405">
        <w:t>not</w:t>
      </w:r>
      <w:r w:rsidR="00190923" w:rsidRPr="00981405">
        <w:t xml:space="preserve"> </w:t>
      </w:r>
      <w:r w:rsidRPr="00981405">
        <w:t>in</w:t>
      </w:r>
      <w:r w:rsidR="00190923" w:rsidRPr="00981405">
        <w:t xml:space="preserve"> </w:t>
      </w:r>
      <w:r w:rsidRPr="00981405">
        <w:t>force,</w:t>
      </w:r>
      <w:r w:rsidR="00190923" w:rsidRPr="00981405">
        <w:t xml:space="preserve"> </w:t>
      </w:r>
      <w:r w:rsidRPr="00981405">
        <w:t>the</w:t>
      </w:r>
      <w:r w:rsidR="00190923" w:rsidRPr="00981405">
        <w:t xml:space="preserve"> </w:t>
      </w:r>
      <w:r w:rsidRPr="00981405">
        <w:t>CTBTO</w:t>
      </w:r>
      <w:r w:rsidR="00190923" w:rsidRPr="00981405">
        <w:t xml:space="preserve"> </w:t>
      </w:r>
      <w:r w:rsidRPr="00981405">
        <w:t>in</w:t>
      </w:r>
      <w:r w:rsidR="00190923" w:rsidRPr="00981405">
        <w:t xml:space="preserve"> </w:t>
      </w:r>
      <w:r w:rsidRPr="00981405">
        <w:t>its</w:t>
      </w:r>
      <w:r w:rsidR="00190923" w:rsidRPr="00981405">
        <w:t xml:space="preserve"> </w:t>
      </w:r>
      <w:r w:rsidRPr="00981405">
        <w:t>transitional</w:t>
      </w:r>
      <w:r w:rsidR="00190923" w:rsidRPr="00981405">
        <w:t xml:space="preserve"> </w:t>
      </w:r>
      <w:r w:rsidRPr="00981405">
        <w:t>form</w:t>
      </w:r>
      <w:r w:rsidR="00190923" w:rsidRPr="00981405">
        <w:t xml:space="preserve"> </w:t>
      </w:r>
      <w:r w:rsidRPr="00981405">
        <w:t>had</w:t>
      </w:r>
      <w:r w:rsidR="00190923" w:rsidRPr="00981405">
        <w:t xml:space="preserve"> </w:t>
      </w:r>
      <w:r w:rsidRPr="00981405">
        <w:t>been</w:t>
      </w:r>
      <w:r w:rsidR="00190923" w:rsidRPr="00981405">
        <w:t xml:space="preserve"> </w:t>
      </w:r>
      <w:r w:rsidRPr="00981405">
        <w:t>operating</w:t>
      </w:r>
      <w:r w:rsidR="00190923" w:rsidRPr="00981405">
        <w:t xml:space="preserve"> </w:t>
      </w:r>
      <w:r w:rsidRPr="00981405">
        <w:t>for</w:t>
      </w:r>
      <w:r w:rsidR="00190923" w:rsidRPr="00981405">
        <w:t xml:space="preserve"> </w:t>
      </w:r>
      <w:r w:rsidRPr="00981405">
        <w:t>nearly</w:t>
      </w:r>
      <w:r w:rsidR="00190923" w:rsidRPr="00981405">
        <w:t xml:space="preserve"> </w:t>
      </w:r>
      <w:r w:rsidRPr="00981405">
        <w:t>twenty</w:t>
      </w:r>
      <w:r w:rsidR="00190923" w:rsidRPr="00981405">
        <w:t xml:space="preserve"> </w:t>
      </w:r>
      <w:r w:rsidRPr="00981405">
        <w:t>years.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also</w:t>
      </w:r>
      <w:r w:rsidR="00190923" w:rsidRPr="00981405">
        <w:t xml:space="preserve"> </w:t>
      </w:r>
      <w:r w:rsidRPr="00981405">
        <w:t>referred</w:t>
      </w:r>
      <w:r w:rsidR="00190923" w:rsidRPr="00981405">
        <w:t xml:space="preserve"> </w:t>
      </w:r>
      <w:r w:rsidRPr="00981405">
        <w:t>to</w:t>
      </w:r>
      <w:r w:rsidR="00190923" w:rsidRPr="00981405">
        <w:t xml:space="preserve"> </w:t>
      </w:r>
      <w:r w:rsidRPr="00981405">
        <w:t>more</w:t>
      </w:r>
      <w:r w:rsidR="00190923" w:rsidRPr="00981405">
        <w:t xml:space="preserve"> </w:t>
      </w:r>
      <w:r w:rsidRPr="00981405">
        <w:t>than</w:t>
      </w:r>
      <w:r w:rsidR="00190923" w:rsidRPr="00981405">
        <w:t xml:space="preserve"> </w:t>
      </w:r>
      <w:r w:rsidRPr="00981405">
        <w:t>fifty</w:t>
      </w:r>
      <w:r w:rsidR="00190923" w:rsidRPr="00981405">
        <w:t xml:space="preserve"> </w:t>
      </w:r>
      <w:r w:rsidRPr="00981405">
        <w:t>treaties</w:t>
      </w:r>
      <w:r w:rsidR="00190923" w:rsidRPr="00981405">
        <w:t xml:space="preserve"> </w:t>
      </w:r>
      <w:r w:rsidRPr="00981405">
        <w:t>negotiated</w:t>
      </w:r>
      <w:r w:rsidR="00190923" w:rsidRPr="00981405">
        <w:t xml:space="preserve"> </w:t>
      </w:r>
      <w:r w:rsidRPr="00981405">
        <w:t>under</w:t>
      </w:r>
      <w:r w:rsidR="00190923" w:rsidRPr="00981405">
        <w:t xml:space="preserve"> </w:t>
      </w:r>
      <w:r w:rsidRPr="00981405">
        <w:t>the</w:t>
      </w:r>
      <w:r w:rsidR="00190923" w:rsidRPr="00981405">
        <w:t xml:space="preserve"> </w:t>
      </w:r>
      <w:r w:rsidRPr="00981405">
        <w:t>auspices</w:t>
      </w:r>
      <w:r w:rsidR="00190923" w:rsidRPr="00981405">
        <w:t xml:space="preserve"> </w:t>
      </w:r>
      <w:r w:rsidRPr="00981405">
        <w:t>of</w:t>
      </w:r>
      <w:r w:rsidR="00190923" w:rsidRPr="00981405">
        <w:t xml:space="preserve"> </w:t>
      </w:r>
      <w:r w:rsidRPr="00981405">
        <w:t>ECOWAS,</w:t>
      </w:r>
      <w:r w:rsidR="00190923" w:rsidRPr="00981405">
        <w:t xml:space="preserve"> </w:t>
      </w:r>
      <w:r w:rsidRPr="00981405">
        <w:t>a</w:t>
      </w:r>
      <w:r w:rsidR="00190923" w:rsidRPr="00981405">
        <w:t xml:space="preserve"> </w:t>
      </w:r>
      <w:r w:rsidRPr="00981405">
        <w:t>significant</w:t>
      </w:r>
      <w:r w:rsidR="00190923" w:rsidRPr="00981405">
        <w:t xml:space="preserve"> </w:t>
      </w:r>
      <w:r w:rsidRPr="00981405">
        <w:t>number</w:t>
      </w:r>
      <w:r w:rsidR="00190923" w:rsidRPr="00981405">
        <w:t xml:space="preserve"> </w:t>
      </w:r>
      <w:r w:rsidRPr="00981405">
        <w:t>of</w:t>
      </w:r>
      <w:r w:rsidR="00190923" w:rsidRPr="00981405">
        <w:t xml:space="preserve"> </w:t>
      </w:r>
      <w:r w:rsidRPr="00981405">
        <w:t>which</w:t>
      </w:r>
      <w:r w:rsidR="00190923" w:rsidRPr="00981405">
        <w:t xml:space="preserve"> </w:t>
      </w:r>
      <w:r w:rsidRPr="00981405">
        <w:t>made</w:t>
      </w:r>
      <w:r w:rsidR="00190923" w:rsidRPr="00981405">
        <w:t xml:space="preserve"> </w:t>
      </w:r>
      <w:r w:rsidRPr="00981405">
        <w:t>provision</w:t>
      </w:r>
      <w:r w:rsidR="00190923" w:rsidRPr="00981405">
        <w:t xml:space="preserve"> </w:t>
      </w:r>
      <w:r w:rsidRPr="00981405">
        <w:t>for</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He</w:t>
      </w:r>
      <w:r w:rsidR="00190923" w:rsidRPr="00981405">
        <w:t xml:space="preserve"> </w:t>
      </w:r>
      <w:r w:rsidRPr="00981405">
        <w:t>submitted</w:t>
      </w:r>
      <w:r w:rsidR="00190923" w:rsidRPr="00981405">
        <w:t xml:space="preserve"> </w:t>
      </w:r>
      <w:r w:rsidRPr="00981405">
        <w:t>for</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studying</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regional</w:t>
      </w:r>
      <w:r w:rsidR="00190923" w:rsidRPr="00981405">
        <w:t xml:space="preserve"> </w:t>
      </w:r>
      <w:r w:rsidRPr="00981405">
        <w:t>international</w:t>
      </w:r>
      <w:r w:rsidR="00190923" w:rsidRPr="00981405">
        <w:t xml:space="preserve"> </w:t>
      </w:r>
      <w:r w:rsidRPr="00981405">
        <w:t>organizations.</w:t>
      </w:r>
    </w:p>
    <w:p w:rsidR="00397032" w:rsidRPr="00981405" w:rsidRDefault="00397032" w:rsidP="00D97463">
      <w:pPr>
        <w:pStyle w:val="SingleTxt"/>
      </w:pPr>
      <w:r w:rsidRPr="00981405">
        <w:t>256.</w:t>
      </w:r>
      <w:r w:rsidRPr="00981405">
        <w:tab/>
        <w:t>In</w:t>
      </w:r>
      <w:r w:rsidR="00190923" w:rsidRPr="00981405">
        <w:t xml:space="preserve"> </w:t>
      </w:r>
      <w:r w:rsidRPr="00981405">
        <w:t>his</w:t>
      </w:r>
      <w:r w:rsidR="00190923" w:rsidRPr="00981405">
        <w:t xml:space="preserve"> </w:t>
      </w:r>
      <w:r w:rsidRPr="00981405">
        <w:t>view,</w:t>
      </w:r>
      <w:r w:rsidR="00190923" w:rsidRPr="00981405">
        <w:t xml:space="preserve"> </w:t>
      </w:r>
      <w:r w:rsidRPr="00981405">
        <w:t>the</w:t>
      </w:r>
      <w:r w:rsidR="00190923" w:rsidRPr="00981405">
        <w:t xml:space="preserve"> </w:t>
      </w:r>
      <w:r w:rsidRPr="00981405">
        <w:t>task</w:t>
      </w:r>
      <w:r w:rsidR="00190923" w:rsidRPr="00981405">
        <w:t xml:space="preserve"> </w:t>
      </w:r>
      <w:r w:rsidRPr="00981405">
        <w:t>before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to</w:t>
      </w:r>
      <w:r w:rsidR="00190923" w:rsidRPr="00981405">
        <w:t xml:space="preserve"> </w:t>
      </w:r>
      <w:r w:rsidRPr="00981405">
        <w:t>develop</w:t>
      </w:r>
      <w:r w:rsidR="00190923" w:rsidRPr="00981405">
        <w:t xml:space="preserve"> </w:t>
      </w:r>
      <w:r w:rsidRPr="00981405">
        <w:t>a</w:t>
      </w:r>
      <w:r w:rsidR="00190923" w:rsidRPr="00981405">
        <w:t xml:space="preserve"> </w:t>
      </w:r>
      <w:r w:rsidRPr="00981405">
        <w:t>series</w:t>
      </w:r>
      <w:r w:rsidR="00190923" w:rsidRPr="00981405">
        <w:t xml:space="preserve"> </w:t>
      </w:r>
      <w:r w:rsidRPr="00981405">
        <w:t>of</w:t>
      </w:r>
      <w:r w:rsidR="00190923" w:rsidRPr="00981405">
        <w:t xml:space="preserve"> </w:t>
      </w:r>
      <w:r w:rsidRPr="00981405">
        <w:t>guidelines</w:t>
      </w:r>
      <w:r w:rsidR="00190923" w:rsidRPr="00981405">
        <w:t xml:space="preserve"> </w:t>
      </w:r>
      <w:r w:rsidRPr="00981405">
        <w:t>for</w:t>
      </w:r>
      <w:r w:rsidR="00190923" w:rsidRPr="00981405">
        <w:t xml:space="preserve"> </w:t>
      </w:r>
      <w:r w:rsidRPr="00981405">
        <w:t>States</w:t>
      </w:r>
      <w:r w:rsidR="00190923" w:rsidRPr="00981405">
        <w:t xml:space="preserve"> </w:t>
      </w:r>
      <w:r w:rsidRPr="00981405">
        <w:t>wishing</w:t>
      </w:r>
      <w:r w:rsidR="00190923" w:rsidRPr="00981405">
        <w:t xml:space="preserve"> </w:t>
      </w:r>
      <w:r w:rsidRPr="00981405">
        <w:t>to</w:t>
      </w:r>
      <w:r w:rsidR="00190923" w:rsidRPr="00981405">
        <w:t xml:space="preserve"> </w:t>
      </w:r>
      <w:r w:rsidRPr="00981405">
        <w:t>resort</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he</w:t>
      </w:r>
      <w:r w:rsidR="00190923" w:rsidRPr="00981405">
        <w:t xml:space="preserve"> </w:t>
      </w:r>
      <w:r w:rsidRPr="00981405">
        <w:t>proposed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could</w:t>
      </w:r>
      <w:r w:rsidR="00190923" w:rsidRPr="00981405">
        <w:t xml:space="preserve"> </w:t>
      </w:r>
      <w:r w:rsidRPr="00981405">
        <w:t>also</w:t>
      </w:r>
      <w:r w:rsidR="00190923" w:rsidRPr="00981405">
        <w:t xml:space="preserve"> </w:t>
      </w:r>
      <w:r w:rsidRPr="00981405">
        <w:t>consider</w:t>
      </w:r>
      <w:r w:rsidR="00190923" w:rsidRPr="00981405">
        <w:t xml:space="preserve"> </w:t>
      </w:r>
      <w:r w:rsidRPr="00981405">
        <w:t>within</w:t>
      </w:r>
      <w:r w:rsidR="00190923" w:rsidRPr="00981405">
        <w:t xml:space="preserve"> </w:t>
      </w:r>
      <w:r w:rsidRPr="00981405">
        <w:t>those</w:t>
      </w:r>
      <w:r w:rsidR="00190923" w:rsidRPr="00981405">
        <w:t xml:space="preserve"> </w:t>
      </w:r>
      <w:r w:rsidRPr="00981405">
        <w:t>guidelines</w:t>
      </w:r>
      <w:r w:rsidR="00190923" w:rsidRPr="00981405">
        <w:t xml:space="preserve"> </w:t>
      </w:r>
      <w:r w:rsidRPr="00981405">
        <w:t>the</w:t>
      </w:r>
      <w:r w:rsidR="00190923" w:rsidRPr="00981405">
        <w:t xml:space="preserve"> </w:t>
      </w:r>
      <w:r w:rsidRPr="00981405">
        <w:t>preparation</w:t>
      </w:r>
      <w:r w:rsidR="00190923" w:rsidRPr="00981405">
        <w:t xml:space="preserve"> </w:t>
      </w:r>
      <w:r w:rsidRPr="00981405">
        <w:t>of</w:t>
      </w:r>
      <w:r w:rsidR="00190923" w:rsidRPr="00981405">
        <w:t xml:space="preserve"> </w:t>
      </w:r>
      <w:r w:rsidRPr="00981405">
        <w:t>model</w:t>
      </w:r>
      <w:r w:rsidR="00190923" w:rsidRPr="00981405">
        <w:t xml:space="preserve"> </w:t>
      </w:r>
      <w:r w:rsidRPr="00981405">
        <w:t>clauses</w:t>
      </w:r>
      <w:r w:rsidR="00190923" w:rsidRPr="00981405">
        <w:t xml:space="preserve"> </w:t>
      </w:r>
      <w:r w:rsidRPr="00981405">
        <w:t>to</w:t>
      </w:r>
      <w:r w:rsidR="00190923" w:rsidRPr="00981405">
        <w:t xml:space="preserve"> </w:t>
      </w:r>
      <w:r w:rsidRPr="00981405">
        <w:t>guide</w:t>
      </w:r>
      <w:r w:rsidR="00190923" w:rsidRPr="00981405">
        <w:t xml:space="preserve"> </w:t>
      </w:r>
      <w:r w:rsidRPr="00981405">
        <w:t>negotiating</w:t>
      </w:r>
      <w:r w:rsidR="00190923" w:rsidRPr="00981405">
        <w:t xml:space="preserve"> </w:t>
      </w:r>
      <w:r w:rsidRPr="00981405">
        <w:t>States.</w:t>
      </w:r>
      <w:r w:rsidR="00190923" w:rsidRPr="00981405">
        <w:t xml:space="preserve"> </w:t>
      </w:r>
      <w:r w:rsidRPr="00981405">
        <w:t>He</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six</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were</w:t>
      </w:r>
      <w:r w:rsidR="00190923" w:rsidRPr="00981405">
        <w:t xml:space="preserve"> </w:t>
      </w:r>
      <w:r w:rsidRPr="00981405">
        <w:t>the</w:t>
      </w:r>
      <w:r w:rsidR="00190923" w:rsidRPr="00981405">
        <w:t xml:space="preserve"> </w:t>
      </w:r>
      <w:r w:rsidRPr="00981405">
        <w:t>outcome</w:t>
      </w:r>
      <w:r w:rsidR="00190923" w:rsidRPr="00981405">
        <w:t xml:space="preserve"> </w:t>
      </w:r>
      <w:r w:rsidRPr="00981405">
        <w:t>of</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three</w:t>
      </w:r>
      <w:r w:rsidR="00190923" w:rsidRPr="00981405">
        <w:t xml:space="preserve"> </w:t>
      </w:r>
      <w:r w:rsidRPr="00981405">
        <w:t>reports</w:t>
      </w:r>
      <w:r w:rsidR="00190923" w:rsidRPr="00981405">
        <w:t xml:space="preserve"> </w:t>
      </w:r>
      <w:r w:rsidRPr="00981405">
        <w:t>which</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read</w:t>
      </w:r>
      <w:r w:rsidR="00190923" w:rsidRPr="00981405">
        <w:t xml:space="preserve"> </w:t>
      </w:r>
      <w:r w:rsidRPr="00981405">
        <w:t>each</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The</w:t>
      </w:r>
      <w:r w:rsidR="00190923" w:rsidRPr="00981405">
        <w:t xml:space="preserve"> </w:t>
      </w:r>
      <w:r w:rsidRPr="00981405">
        <w:t>starting</w:t>
      </w:r>
      <w:r w:rsidR="00190923" w:rsidRPr="00981405">
        <w:t xml:space="preserve"> </w:t>
      </w:r>
      <w:r w:rsidRPr="00981405">
        <w:t>point</w:t>
      </w:r>
      <w:r w:rsidR="00190923" w:rsidRPr="00981405">
        <w:t xml:space="preserve"> </w:t>
      </w:r>
      <w:r w:rsidRPr="00981405">
        <w:t>for</w:t>
      </w:r>
      <w:r w:rsidR="00190923" w:rsidRPr="00981405">
        <w:t xml:space="preserve"> </w:t>
      </w:r>
      <w:r w:rsidRPr="00981405">
        <w:t>their</w:t>
      </w:r>
      <w:r w:rsidR="00190923" w:rsidRPr="00981405">
        <w:t xml:space="preserve"> </w:t>
      </w:r>
      <w:r w:rsidRPr="00981405">
        <w:t>drafting</w:t>
      </w:r>
      <w:r w:rsidR="00190923" w:rsidRPr="00981405">
        <w:t xml:space="preserve"> </w:t>
      </w:r>
      <w:r w:rsidRPr="00981405">
        <w:t>was</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both</w:t>
      </w:r>
      <w:r w:rsidR="00190923" w:rsidRPr="00981405">
        <w:t xml:space="preserve"> </w:t>
      </w:r>
      <w:r w:rsidRPr="00981405">
        <w:t>the</w:t>
      </w:r>
      <w:r w:rsidR="00190923" w:rsidRPr="00981405">
        <w:t xml:space="preserve"> </w:t>
      </w:r>
      <w:r w:rsidRPr="00981405">
        <w:t>1969</w:t>
      </w:r>
      <w:r w:rsidR="00190923" w:rsidRPr="00981405">
        <w:t xml:space="preserve"> </w:t>
      </w:r>
      <w:r w:rsidRPr="00981405">
        <w:t>and</w:t>
      </w:r>
      <w:r w:rsidR="00190923" w:rsidRPr="00981405">
        <w:t xml:space="preserve"> </w:t>
      </w:r>
      <w:r w:rsidRPr="00981405">
        <w:t>1986</w:t>
      </w:r>
      <w:r w:rsidR="00190923" w:rsidRPr="00981405">
        <w:t xml:space="preserve"> </w:t>
      </w:r>
      <w:r w:rsidRPr="00981405">
        <w:t>Vienna</w:t>
      </w:r>
      <w:r w:rsidR="00190923" w:rsidRPr="00981405">
        <w:t xml:space="preserve"> </w:t>
      </w:r>
      <w:r w:rsidRPr="00981405">
        <w:t>conventions.</w:t>
      </w:r>
    </w:p>
    <w:p w:rsidR="00397032" w:rsidRPr="00D97463" w:rsidRDefault="00397032" w:rsidP="00D97463">
      <w:pPr>
        <w:pStyle w:val="SingleTxt"/>
        <w:spacing w:after="0" w:line="120" w:lineRule="exact"/>
        <w:rPr>
          <w:sz w:val="10"/>
        </w:rPr>
      </w:pPr>
      <w:bookmarkStart w:id="168" w:name="2_Summary"/>
    </w:p>
    <w:p w:rsidR="00397032" w:rsidRPr="00D97463" w:rsidRDefault="00397032" w:rsidP="00D97463">
      <w:pPr>
        <w:pStyle w:val="H23"/>
        <w:ind w:right="1260"/>
      </w:pPr>
      <w:r w:rsidRPr="00D97463">
        <w:tab/>
      </w:r>
      <w:bookmarkStart w:id="169" w:name="_Toc427938154"/>
      <w:r w:rsidRPr="00D97463">
        <w:t>2</w:t>
      </w:r>
      <w:bookmarkEnd w:id="168"/>
      <w:r w:rsidRPr="00D97463">
        <w:t>.</w:t>
      </w:r>
      <w:r w:rsidRPr="00D97463">
        <w:tab/>
        <w:t>Summary</w:t>
      </w:r>
      <w:r w:rsidR="00190923" w:rsidRPr="00D97463">
        <w:t xml:space="preserve"> </w:t>
      </w:r>
      <w:r w:rsidRPr="00D97463">
        <w:t>of</w:t>
      </w:r>
      <w:r w:rsidR="00190923" w:rsidRPr="00D97463">
        <w:t xml:space="preserve"> </w:t>
      </w:r>
      <w:r w:rsidRPr="00D97463">
        <w:t>the</w:t>
      </w:r>
      <w:r w:rsidR="00190923" w:rsidRPr="00D97463">
        <w:t xml:space="preserve"> </w:t>
      </w:r>
      <w:r w:rsidRPr="00D97463">
        <w:t>debate</w:t>
      </w:r>
      <w:bookmarkEnd w:id="169"/>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70" w:name="_Toc427938155"/>
      <w:r w:rsidRPr="00D97463">
        <w:t>(a)</w:t>
      </w:r>
      <w:r w:rsidRPr="00D97463">
        <w:tab/>
        <w:t>General</w:t>
      </w:r>
      <w:r w:rsidR="00190923" w:rsidRPr="00D97463">
        <w:t xml:space="preserve"> </w:t>
      </w:r>
      <w:r w:rsidRPr="00D97463">
        <w:t>remarks</w:t>
      </w:r>
      <w:bookmarkEnd w:id="17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257.</w:t>
      </w:r>
      <w:r w:rsidRPr="00981405">
        <w:tab/>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generally</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internal</w:t>
      </w:r>
      <w:r w:rsidR="00190923" w:rsidRPr="00981405">
        <w:t xml:space="preserve"> </w:t>
      </w:r>
      <w:r w:rsidRPr="00981405">
        <w:t>laws</w:t>
      </w:r>
      <w:r w:rsidR="00190923" w:rsidRPr="00981405">
        <w:t xml:space="preserve"> </w:t>
      </w:r>
      <w:r w:rsidRPr="00981405">
        <w:t>and</w:t>
      </w:r>
      <w:r w:rsidR="00190923" w:rsidRPr="00981405">
        <w:t xml:space="preserve"> </w:t>
      </w:r>
      <w:r w:rsidRPr="00981405">
        <w:t>practice</w:t>
      </w:r>
      <w:r w:rsidR="00190923" w:rsidRPr="00981405">
        <w:t xml:space="preserve"> </w:t>
      </w:r>
      <w:r w:rsidRPr="00981405">
        <w:t>on</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States</w:t>
      </w:r>
      <w:r w:rsidR="00190923" w:rsidRPr="00981405">
        <w:t xml:space="preserve"> </w:t>
      </w:r>
      <w:r w:rsidRPr="00981405">
        <w:t>enter</w:t>
      </w:r>
      <w:r w:rsidR="00190923" w:rsidRPr="00981405">
        <w:t xml:space="preserve"> </w:t>
      </w:r>
      <w:r w:rsidRPr="00981405">
        <w:t>into</w:t>
      </w:r>
      <w:r w:rsidR="00190923" w:rsidRPr="00981405">
        <w:t xml:space="preserve"> </w:t>
      </w:r>
      <w:r w:rsidRPr="00981405">
        <w:t>treaties,</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provisionally,</w:t>
      </w:r>
      <w:r w:rsidR="00190923" w:rsidRPr="00981405">
        <w:t xml:space="preserve"> </w:t>
      </w:r>
      <w:r w:rsidRPr="00981405">
        <w:t>differed</w:t>
      </w:r>
      <w:r w:rsidR="00190923" w:rsidRPr="00981405">
        <w:t xml:space="preserve"> </w:t>
      </w:r>
      <w:r w:rsidRPr="00981405">
        <w:t>considerably,</w:t>
      </w:r>
      <w:r w:rsidR="00190923" w:rsidRPr="00981405">
        <w:t xml:space="preserve"> </w:t>
      </w:r>
      <w:r w:rsidRPr="00981405">
        <w:t>and</w:t>
      </w:r>
      <w:r w:rsidR="00190923" w:rsidRPr="00981405">
        <w:t xml:space="preserve"> </w:t>
      </w:r>
      <w:r w:rsidRPr="00981405">
        <w:t>any</w:t>
      </w:r>
      <w:r w:rsidR="00190923" w:rsidRPr="00981405">
        <w:t xml:space="preserve"> </w:t>
      </w:r>
      <w:r w:rsidRPr="00981405">
        <w:t>attempt</w:t>
      </w:r>
      <w:r w:rsidR="00190923" w:rsidRPr="00981405">
        <w:t xml:space="preserve"> </w:t>
      </w:r>
      <w:r w:rsidRPr="00981405">
        <w:t>at</w:t>
      </w:r>
      <w:r w:rsidR="00190923" w:rsidRPr="00981405">
        <w:t xml:space="preserve"> </w:t>
      </w:r>
      <w:r w:rsidRPr="00981405">
        <w:t>categorization,</w:t>
      </w:r>
      <w:r w:rsidR="00190923" w:rsidRPr="00981405">
        <w:t xml:space="preserve"> </w:t>
      </w:r>
      <w:r w:rsidRPr="00981405">
        <w:t>even</w:t>
      </w:r>
      <w:r w:rsidR="00190923" w:rsidRPr="00981405">
        <w:t xml:space="preserve"> </w:t>
      </w:r>
      <w:r w:rsidRPr="00981405">
        <w:t>if</w:t>
      </w:r>
      <w:r w:rsidR="00190923" w:rsidRPr="00981405">
        <w:t xml:space="preserve"> </w:t>
      </w:r>
      <w:r w:rsidRPr="00981405">
        <w:t>possible,</w:t>
      </w:r>
      <w:r w:rsidR="00190923" w:rsidRPr="00981405">
        <w:t xml:space="preserve"> </w:t>
      </w:r>
      <w:r w:rsidRPr="00981405">
        <w:t>would</w:t>
      </w:r>
      <w:r w:rsidR="00190923" w:rsidRPr="00981405">
        <w:t xml:space="preserve"> </w:t>
      </w:r>
      <w:r w:rsidRPr="00981405">
        <w:t>likely</w:t>
      </w:r>
      <w:r w:rsidR="00190923" w:rsidRPr="00981405">
        <w:t xml:space="preserve"> </w:t>
      </w:r>
      <w:r w:rsidRPr="00981405">
        <w:t>not</w:t>
      </w:r>
      <w:r w:rsidR="00190923" w:rsidRPr="00981405">
        <w:t xml:space="preserve"> </w:t>
      </w:r>
      <w:r w:rsidRPr="00981405">
        <w:t>be</w:t>
      </w:r>
      <w:r w:rsidR="00190923" w:rsidRPr="00981405">
        <w:t xml:space="preserve"> </w:t>
      </w:r>
      <w:r w:rsidRPr="00981405">
        <w:t>pertinent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identifying</w:t>
      </w:r>
      <w:r w:rsidR="00190923" w:rsidRPr="00981405">
        <w:t xml:space="preserve"> </w:t>
      </w:r>
      <w:r w:rsidRPr="00981405">
        <w:t>relevant</w:t>
      </w:r>
      <w:r w:rsidR="00190923" w:rsidRPr="00981405">
        <w:t xml:space="preserve"> </w:t>
      </w:r>
      <w:r w:rsidRPr="00981405">
        <w:t>rules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Caution</w:t>
      </w:r>
      <w:r w:rsidR="00190923" w:rsidRPr="00981405">
        <w:t xml:space="preserve"> </w:t>
      </w:r>
      <w:r w:rsidRPr="00981405">
        <w:t>was</w:t>
      </w:r>
      <w:r w:rsidR="00190923" w:rsidRPr="00981405">
        <w:t xml:space="preserve"> </w:t>
      </w:r>
      <w:r w:rsidRPr="00981405">
        <w:t>also</w:t>
      </w:r>
      <w:r w:rsidR="00190923" w:rsidRPr="00981405">
        <w:t xml:space="preserve"> </w:t>
      </w:r>
      <w:r w:rsidRPr="00981405">
        <w:t>advised</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classification</w:t>
      </w:r>
      <w:r w:rsidR="00190923" w:rsidRPr="00981405">
        <w:t xml:space="preserve"> </w:t>
      </w:r>
      <w:r w:rsidRPr="00981405">
        <w:t>of</w:t>
      </w:r>
      <w:r w:rsidR="00190923" w:rsidRPr="00981405">
        <w:t xml:space="preserve"> </w:t>
      </w:r>
      <w:r w:rsidRPr="00981405">
        <w:t>States</w:t>
      </w:r>
      <w:r w:rsidR="00190923" w:rsidRPr="00981405">
        <w:t xml:space="preserve"> </w:t>
      </w:r>
      <w:r w:rsidRPr="00981405">
        <w:t>as</w:t>
      </w:r>
      <w:r w:rsidR="00190923" w:rsidRPr="00981405">
        <w:t xml:space="preserve"> </w:t>
      </w:r>
      <w:r w:rsidRPr="00981405">
        <w:t>to</w:t>
      </w:r>
      <w:r w:rsidR="00190923" w:rsidRPr="00981405">
        <w:t xml:space="preserve"> </w:t>
      </w:r>
      <w:r w:rsidRPr="00981405">
        <w:t>whether</w:t>
      </w:r>
      <w:r w:rsidR="00190923" w:rsidRPr="00981405">
        <w:t xml:space="preserve"> </w:t>
      </w:r>
      <w:r w:rsidRPr="00981405">
        <w:t>their</w:t>
      </w:r>
      <w:r w:rsidR="00190923" w:rsidRPr="00981405">
        <w:t xml:space="preserve"> </w:t>
      </w:r>
      <w:r w:rsidRPr="00981405">
        <w:t>internal</w:t>
      </w:r>
      <w:r w:rsidR="00190923" w:rsidRPr="00981405">
        <w:t xml:space="preserve"> </w:t>
      </w:r>
      <w:r w:rsidRPr="00981405">
        <w:t>law</w:t>
      </w:r>
      <w:r w:rsidR="00190923" w:rsidRPr="00981405">
        <w:t xml:space="preserve"> </w:t>
      </w:r>
      <w:r w:rsidRPr="00981405">
        <w:t>accepted</w:t>
      </w:r>
      <w:r w:rsidR="00190923" w:rsidRPr="00981405">
        <w:t xml:space="preserve"> </w:t>
      </w:r>
      <w:r w:rsidRPr="00981405">
        <w:t>or</w:t>
      </w:r>
      <w:r w:rsidR="00190923" w:rsidRPr="00981405">
        <w:t xml:space="preserve"> </w:t>
      </w:r>
      <w:r w:rsidRPr="00981405">
        <w:t>not,</w:t>
      </w:r>
      <w:r w:rsidR="00190923" w:rsidRPr="00981405">
        <w:t xml:space="preserve"> </w:t>
      </w:r>
      <w:r w:rsidRPr="00981405">
        <w:t>and</w:t>
      </w:r>
      <w:r w:rsidR="00190923" w:rsidRPr="00981405">
        <w:t xml:space="preserve"> </w:t>
      </w:r>
      <w:r w:rsidRPr="00981405">
        <w:t>to</w:t>
      </w:r>
      <w:r w:rsidR="00190923" w:rsidRPr="00981405">
        <w:t xml:space="preserve"> </w:t>
      </w:r>
      <w:r w:rsidRPr="00981405">
        <w:t>what</w:t>
      </w:r>
      <w:r w:rsidR="00190923" w:rsidRPr="00981405">
        <w:t xml:space="preserve"> </w:t>
      </w:r>
      <w:r w:rsidRPr="00981405">
        <w:t>extent,</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in</w:t>
      </w:r>
      <w:r w:rsidR="00190923" w:rsidRPr="00981405">
        <w:t xml:space="preserve"> </w:t>
      </w:r>
      <w:r w:rsidRPr="00981405">
        <w:t>some</w:t>
      </w:r>
      <w:r w:rsidR="00190923" w:rsidRPr="00981405">
        <w:t xml:space="preserve"> </w:t>
      </w:r>
      <w:r w:rsidRPr="00981405">
        <w:t>national</w:t>
      </w:r>
      <w:r w:rsidR="00190923" w:rsidRPr="00981405">
        <w:t xml:space="preserve"> </w:t>
      </w:r>
      <w:r w:rsidRPr="00981405">
        <w:t>legal</w:t>
      </w:r>
      <w:r w:rsidR="00190923" w:rsidRPr="00981405">
        <w:t xml:space="preserve"> </w:t>
      </w:r>
      <w:r w:rsidRPr="00981405">
        <w:t>systems,</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provisionally</w:t>
      </w:r>
      <w:r w:rsidR="00190923" w:rsidRPr="00981405">
        <w:t xml:space="preserve"> </w:t>
      </w:r>
      <w:r w:rsidRPr="00981405">
        <w:t>applying</w:t>
      </w:r>
      <w:r w:rsidR="00190923" w:rsidRPr="00981405">
        <w:t xml:space="preserve"> </w:t>
      </w:r>
      <w:r w:rsidRPr="00981405">
        <w:t>treaties</w:t>
      </w:r>
      <w:r w:rsidR="00190923" w:rsidRPr="00981405">
        <w:t xml:space="preserve"> </w:t>
      </w:r>
      <w:r w:rsidRPr="00981405">
        <w:t>was</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ongoing</w:t>
      </w:r>
      <w:r w:rsidR="00190923" w:rsidRPr="00981405">
        <w:t xml:space="preserve"> </w:t>
      </w:r>
      <w:r w:rsidRPr="00981405">
        <w:t>dispute.</w:t>
      </w:r>
    </w:p>
    <w:p w:rsidR="00397032" w:rsidRPr="00981405" w:rsidRDefault="00397032" w:rsidP="00D97463">
      <w:pPr>
        <w:pStyle w:val="SingleTxt"/>
      </w:pPr>
      <w:r w:rsidRPr="00981405">
        <w:t>258.</w:t>
      </w:r>
      <w:r w:rsidRPr="00981405">
        <w:tab/>
        <w:t>Others</w:t>
      </w:r>
      <w:r w:rsidR="00190923" w:rsidRPr="00981405">
        <w:t xml:space="preserve"> </w:t>
      </w:r>
      <w:r w:rsidRPr="00981405">
        <w:t>were</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internal</w:t>
      </w:r>
      <w:r w:rsidR="00190923" w:rsidRPr="00981405">
        <w:t xml:space="preserve"> </w:t>
      </w:r>
      <w:r w:rsidRPr="00981405">
        <w:t>rules</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ignored.</w:t>
      </w:r>
      <w:r w:rsidR="00190923" w:rsidRPr="00981405">
        <w:t xml:space="preserve"> </w:t>
      </w:r>
      <w:r w:rsidRPr="00981405">
        <w:t>There</w:t>
      </w:r>
      <w:r w:rsidR="00190923" w:rsidRPr="00981405">
        <w:t xml:space="preserve"> </w:t>
      </w:r>
      <w:r w:rsidRPr="00981405">
        <w:t>was</w:t>
      </w:r>
      <w:r w:rsidR="00190923" w:rsidRPr="00981405">
        <w:t xml:space="preserve"> </w:t>
      </w:r>
      <w:r w:rsidRPr="00981405">
        <w:t>value</w:t>
      </w:r>
      <w:r w:rsidR="00190923" w:rsidRPr="00981405">
        <w:t xml:space="preserve"> </w:t>
      </w:r>
      <w:r w:rsidRPr="00981405">
        <w:t>in</w:t>
      </w:r>
      <w:r w:rsidR="00190923" w:rsidRPr="00981405">
        <w:t xml:space="preserve"> </w:t>
      </w:r>
      <w:r w:rsidRPr="00981405">
        <w:t>analysing</w:t>
      </w:r>
      <w:r w:rsidR="00190923" w:rsidRPr="00981405">
        <w:t xml:space="preserve"> </w:t>
      </w:r>
      <w:r w:rsidRPr="00981405">
        <w:t>the</w:t>
      </w:r>
      <w:r w:rsidR="00190923" w:rsidRPr="00981405">
        <w:t xml:space="preserve"> </w:t>
      </w:r>
      <w:r w:rsidRPr="00981405">
        <w:t>different</w:t>
      </w:r>
      <w:r w:rsidR="00190923" w:rsidRPr="00981405">
        <w:t xml:space="preserve"> </w:t>
      </w:r>
      <w:r w:rsidRPr="00981405">
        <w:t>internal</w:t>
      </w:r>
      <w:r w:rsidR="00190923" w:rsidRPr="00981405">
        <w:t xml:space="preserve"> </w:t>
      </w:r>
      <w:r w:rsidRPr="00981405">
        <w:t>laws</w:t>
      </w:r>
      <w:r w:rsidR="00190923" w:rsidRPr="00981405">
        <w:t xml:space="preserve"> </w:t>
      </w:r>
      <w:r w:rsidRPr="00981405">
        <w:t>and</w:t>
      </w:r>
      <w:r w:rsidR="00190923" w:rsidRPr="00981405">
        <w:t xml:space="preserve"> </w:t>
      </w:r>
      <w:r w:rsidRPr="00981405">
        <w:t>practices</w:t>
      </w:r>
      <w:r w:rsidR="00190923" w:rsidRPr="00981405">
        <w:t xml:space="preserve"> </w:t>
      </w:r>
      <w:r w:rsidRPr="00981405">
        <w:t>on</w:t>
      </w:r>
      <w:r w:rsidR="00190923" w:rsidRPr="00981405">
        <w:t xml:space="preserve"> </w:t>
      </w:r>
      <w:r w:rsidRPr="00981405">
        <w:t>the</w:t>
      </w:r>
      <w:r w:rsidR="00190923" w:rsidRPr="00981405">
        <w:t xml:space="preserve"> </w:t>
      </w:r>
      <w:r w:rsidRPr="00981405">
        <w:t>processes</w:t>
      </w:r>
      <w:r w:rsidR="00190923" w:rsidRPr="00981405">
        <w:t xml:space="preserve"> </w:t>
      </w:r>
      <w:r w:rsidRPr="00981405">
        <w:t>applied</w:t>
      </w:r>
      <w:r w:rsidR="00190923" w:rsidRPr="00981405">
        <w:t xml:space="preserve"> </w:t>
      </w:r>
      <w:r w:rsidRPr="00981405">
        <w:t>prior</w:t>
      </w:r>
      <w:r w:rsidR="00190923" w:rsidRPr="00981405">
        <w:t xml:space="preserve"> </w:t>
      </w:r>
      <w:r w:rsidRPr="00981405">
        <w:t>to</w:t>
      </w:r>
      <w:r w:rsidR="00190923" w:rsidRPr="00981405">
        <w:t xml:space="preserve"> </w:t>
      </w:r>
      <w:r w:rsidRPr="00981405">
        <w:t>consenting</w:t>
      </w:r>
      <w:r w:rsidR="00190923" w:rsidRPr="00981405">
        <w:t xml:space="preserve"> </w:t>
      </w:r>
      <w:r w:rsidRPr="00981405">
        <w:t>to</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which</w:t>
      </w:r>
      <w:r w:rsidR="00190923" w:rsidRPr="00981405">
        <w:t xml:space="preserve"> </w:t>
      </w:r>
      <w:r w:rsidRPr="00981405">
        <w:t>could</w:t>
      </w:r>
      <w:r w:rsidR="00190923" w:rsidRPr="00981405">
        <w:t xml:space="preserve"> </w:t>
      </w:r>
      <w:r w:rsidRPr="00981405">
        <w:t>provide</w:t>
      </w:r>
      <w:r w:rsidR="00190923" w:rsidRPr="00981405">
        <w:t xml:space="preserve"> </w:t>
      </w:r>
      <w:r w:rsidRPr="00981405">
        <w:t>greater</w:t>
      </w:r>
      <w:r w:rsidR="00190923" w:rsidRPr="00981405">
        <w:t xml:space="preserve"> </w:t>
      </w:r>
      <w:r w:rsidRPr="00981405">
        <w:t>insights</w:t>
      </w:r>
      <w:r w:rsidR="00190923" w:rsidRPr="00981405">
        <w:t xml:space="preserve"> </w:t>
      </w:r>
      <w:r w:rsidRPr="00981405">
        <w:t>into</w:t>
      </w:r>
      <w:r w:rsidR="00190923" w:rsidRPr="00981405">
        <w:t xml:space="preserve"> </w:t>
      </w:r>
      <w:r w:rsidRPr="00981405">
        <w:t>how</w:t>
      </w:r>
      <w:r w:rsidR="00190923" w:rsidRPr="00981405">
        <w:t xml:space="preserve"> </w:t>
      </w:r>
      <w:r w:rsidRPr="00981405">
        <w:t>States</w:t>
      </w:r>
      <w:r w:rsidR="00190923" w:rsidRPr="00981405">
        <w:t xml:space="preserve"> </w:t>
      </w:r>
      <w:r w:rsidRPr="00981405">
        <w:t>viewed</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as</w:t>
      </w:r>
      <w:r w:rsidR="00190923" w:rsidRPr="00981405">
        <w:t xml:space="preserve"> </w:t>
      </w:r>
      <w:r w:rsidRPr="00981405">
        <w:t>a</w:t>
      </w:r>
      <w:r w:rsidR="00190923" w:rsidRPr="00981405">
        <w:t xml:space="preserve"> </w:t>
      </w:r>
      <w:r w:rsidRPr="00981405">
        <w:t>legal</w:t>
      </w:r>
      <w:r w:rsidR="00190923" w:rsidRPr="00981405">
        <w:t xml:space="preserve"> </w:t>
      </w:r>
      <w:r w:rsidRPr="00981405">
        <w:t>phenomenon.</w:t>
      </w:r>
      <w:r w:rsidR="00190923" w:rsidRPr="00981405">
        <w:t xml:space="preserve"> </w:t>
      </w:r>
      <w:r w:rsidRPr="00981405">
        <w:t>It</w:t>
      </w:r>
      <w:r w:rsidR="00190923" w:rsidRPr="00981405">
        <w:t xml:space="preserve"> </w:t>
      </w:r>
      <w:r w:rsidRPr="00981405">
        <w:t>could,</w:t>
      </w:r>
      <w:r w:rsidR="00190923" w:rsidRPr="00981405">
        <w:t xml:space="preserve"> </w:t>
      </w:r>
      <w:r w:rsidRPr="00981405">
        <w:t>for</w:t>
      </w:r>
      <w:r w:rsidR="00190923" w:rsidRPr="00981405">
        <w:t xml:space="preserve"> </w:t>
      </w:r>
      <w:r w:rsidRPr="00981405">
        <w:t>example,</w:t>
      </w:r>
      <w:r w:rsidR="00190923" w:rsidRPr="00981405">
        <w:t xml:space="preserve"> </w:t>
      </w:r>
      <w:r w:rsidRPr="00981405">
        <w:t>be</w:t>
      </w:r>
      <w:r w:rsidR="00190923" w:rsidRPr="00981405">
        <w:t xml:space="preserve"> </w:t>
      </w:r>
      <w:r w:rsidRPr="00981405">
        <w:t>worth</w:t>
      </w:r>
      <w:r w:rsidR="00190923" w:rsidRPr="00981405">
        <w:t xml:space="preserve"> </w:t>
      </w:r>
      <w:r w:rsidRPr="00981405">
        <w:t>assessing</w:t>
      </w:r>
      <w:r w:rsidR="00190923" w:rsidRPr="00981405">
        <w:t xml:space="preserve"> </w:t>
      </w:r>
      <w:r w:rsidRPr="00981405">
        <w:t>whether</w:t>
      </w:r>
      <w:r w:rsidR="00190923" w:rsidRPr="00981405">
        <w:t xml:space="preserve"> </w:t>
      </w:r>
      <w:r w:rsidRPr="00981405">
        <w:t>States,</w:t>
      </w:r>
      <w:r w:rsidR="00190923" w:rsidRPr="00981405">
        <w:t xml:space="preserve"> </w:t>
      </w:r>
      <w:r w:rsidRPr="00981405">
        <w:t>in</w:t>
      </w:r>
      <w:r w:rsidR="00190923" w:rsidRPr="00981405">
        <w:t xml:space="preserve"> </w:t>
      </w:r>
      <w:r w:rsidRPr="00981405">
        <w:t>their</w:t>
      </w:r>
      <w:r w:rsidR="00190923" w:rsidRPr="00981405">
        <w:t xml:space="preserve"> </w:t>
      </w:r>
      <w:r w:rsidRPr="00981405">
        <w:t>practice,</w:t>
      </w:r>
      <w:r w:rsidR="00190923" w:rsidRPr="00981405">
        <w:t xml:space="preserve"> </w:t>
      </w:r>
      <w:r w:rsidRPr="00981405">
        <w:t>appeared</w:t>
      </w:r>
      <w:r w:rsidR="00190923" w:rsidRPr="00981405">
        <w:t xml:space="preserve"> </w:t>
      </w:r>
      <w:r w:rsidRPr="00981405">
        <w:t>to</w:t>
      </w:r>
      <w:r w:rsidR="00190923" w:rsidRPr="00981405">
        <w:t xml:space="preserve"> </w:t>
      </w:r>
      <w:r w:rsidRPr="00981405">
        <w:t>interpret</w:t>
      </w:r>
      <w:r w:rsidR="00190923" w:rsidRPr="00981405">
        <w:t xml:space="preserve"> </w:t>
      </w:r>
      <w:r w:rsidRPr="00981405">
        <w:t>article</w:t>
      </w:r>
      <w:r w:rsidR="00190923" w:rsidRPr="00981405">
        <w:t xml:space="preserve"> </w:t>
      </w:r>
      <w:r w:rsidRPr="00981405">
        <w:t>25</w:t>
      </w:r>
      <w:r w:rsidR="00190923" w:rsidRPr="00981405">
        <w:t xml:space="preserve"> </w:t>
      </w:r>
      <w:r w:rsidRPr="00981405">
        <w:t>in</w:t>
      </w:r>
      <w:r w:rsidR="00190923" w:rsidRPr="00981405">
        <w:t xml:space="preserve"> </w:t>
      </w:r>
      <w:r w:rsidRPr="00981405">
        <w:t>a</w:t>
      </w:r>
      <w:r w:rsidR="00190923" w:rsidRPr="00981405">
        <w:t xml:space="preserve"> </w:t>
      </w:r>
      <w:r w:rsidRPr="00981405">
        <w:t>manner</w:t>
      </w:r>
      <w:r w:rsidR="00190923" w:rsidRPr="00981405">
        <w:t xml:space="preserve"> </w:t>
      </w:r>
      <w:r w:rsidRPr="00981405">
        <w:t>that</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as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could</w:t>
      </w:r>
      <w:r w:rsidR="00190923" w:rsidRPr="00981405">
        <w:t xml:space="preserve"> </w:t>
      </w:r>
      <w:r w:rsidRPr="00981405">
        <w:t>only</w:t>
      </w:r>
      <w:r w:rsidR="00190923" w:rsidRPr="00981405">
        <w:t xml:space="preserve"> </w:t>
      </w:r>
      <w:r w:rsidRPr="00981405">
        <w:t>be</w:t>
      </w:r>
      <w:r w:rsidR="00190923" w:rsidRPr="00981405">
        <w:t xml:space="preserve"> </w:t>
      </w:r>
      <w:r w:rsidRPr="00981405">
        <w:t>resorted</w:t>
      </w:r>
      <w:r w:rsidR="00190923" w:rsidRPr="00981405">
        <w:t xml:space="preserve"> </w:t>
      </w:r>
      <w:r w:rsidRPr="00981405">
        <w:t>to</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where</w:t>
      </w:r>
      <w:r w:rsidR="00190923" w:rsidRPr="00981405">
        <w:t xml:space="preserve"> </w:t>
      </w:r>
      <w:r w:rsidRPr="00981405">
        <w:t>its</w:t>
      </w:r>
      <w:r w:rsidR="00190923" w:rsidRPr="00981405">
        <w:t xml:space="preserve"> </w:t>
      </w:r>
      <w:r w:rsidRPr="00981405">
        <w:t>internal</w:t>
      </w:r>
      <w:r w:rsidR="00190923" w:rsidRPr="00981405">
        <w:t xml:space="preserve"> </w:t>
      </w:r>
      <w:r w:rsidRPr="00981405">
        <w:t>law</w:t>
      </w:r>
      <w:r w:rsidR="00190923" w:rsidRPr="00981405">
        <w:t xml:space="preserve"> </w:t>
      </w:r>
      <w:r w:rsidRPr="00981405">
        <w:t>so</w:t>
      </w:r>
      <w:r w:rsidR="00190923" w:rsidRPr="00981405">
        <w:t xml:space="preserve"> </w:t>
      </w:r>
      <w:r w:rsidRPr="00981405">
        <w:t>provided.</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to</w:t>
      </w:r>
      <w:r w:rsidR="00190923" w:rsidRPr="00981405">
        <w:t xml:space="preserve"> </w:t>
      </w:r>
      <w:r w:rsidRPr="00981405">
        <w:t>first</w:t>
      </w:r>
      <w:r w:rsidR="00190923" w:rsidRPr="00981405">
        <w:t xml:space="preserve"> </w:t>
      </w:r>
      <w:r w:rsidRPr="00981405">
        <w:t>take</w:t>
      </w:r>
      <w:r w:rsidR="00190923" w:rsidRPr="00981405">
        <w:t xml:space="preserve"> </w:t>
      </w:r>
      <w:r w:rsidRPr="00981405">
        <w:t>a</w:t>
      </w:r>
      <w:r w:rsidR="00190923" w:rsidRPr="00981405">
        <w:t xml:space="preserve"> </w:t>
      </w:r>
      <w:r w:rsidRPr="00981405">
        <w:t>position</w:t>
      </w:r>
      <w:r w:rsidR="00190923" w:rsidRPr="00981405">
        <w:t xml:space="preserve"> </w:t>
      </w:r>
      <w:r w:rsidRPr="00981405">
        <w:t>on</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article</w:t>
      </w:r>
      <w:r w:rsidR="00190923" w:rsidRPr="00981405">
        <w:t xml:space="preserve"> </w:t>
      </w:r>
      <w:r w:rsidRPr="00981405">
        <w:t>46</w:t>
      </w:r>
      <w:r w:rsidR="00190923" w:rsidRPr="00981405">
        <w:t xml:space="preserve"> </w:t>
      </w:r>
      <w:r w:rsidRPr="00981405">
        <w:t>of</w:t>
      </w:r>
      <w:r w:rsidR="00190923" w:rsidRPr="00981405">
        <w:t xml:space="preserve"> </w:t>
      </w:r>
      <w:r w:rsidRPr="00981405">
        <w:t>the</w:t>
      </w:r>
      <w:r w:rsidR="00190923" w:rsidRPr="00981405">
        <w:t xml:space="preserve"> </w:t>
      </w:r>
      <w:r w:rsidRPr="00981405">
        <w:lastRenderedPageBreak/>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(Provisions</w:t>
      </w:r>
      <w:r w:rsidR="00190923" w:rsidRPr="00981405">
        <w:t xml:space="preserve"> </w:t>
      </w:r>
      <w:r w:rsidRPr="00981405">
        <w:t>of</w:t>
      </w:r>
      <w:r w:rsidR="00190923" w:rsidRPr="00981405">
        <w:t xml:space="preserve"> </w:t>
      </w:r>
      <w:r w:rsidRPr="00981405">
        <w:t>internal</w:t>
      </w:r>
      <w:r w:rsidR="00190923" w:rsidRPr="00981405">
        <w:t xml:space="preserve"> </w:t>
      </w:r>
      <w:r w:rsidRPr="00981405">
        <w:t>law</w:t>
      </w:r>
      <w:r w:rsidR="00190923" w:rsidRPr="00981405">
        <w:t xml:space="preserve"> </w:t>
      </w:r>
      <w:r w:rsidRPr="00981405">
        <w:t>regarding</w:t>
      </w:r>
      <w:r w:rsidR="00190923" w:rsidRPr="00981405">
        <w:t xml:space="preserve"> </w:t>
      </w:r>
      <w:r w:rsidRPr="00981405">
        <w:t>competence</w:t>
      </w:r>
      <w:r w:rsidR="00190923" w:rsidRPr="00981405">
        <w:t xml:space="preserve"> </w:t>
      </w:r>
      <w:r w:rsidRPr="00981405">
        <w:t>to</w:t>
      </w:r>
      <w:r w:rsidR="00190923" w:rsidRPr="00981405">
        <w:t xml:space="preserve"> </w:t>
      </w:r>
      <w:r w:rsidRPr="00981405">
        <w:t>conclude</w:t>
      </w:r>
      <w:r w:rsidR="00190923" w:rsidRPr="00981405">
        <w:t xml:space="preserve"> </w:t>
      </w:r>
      <w:r w:rsidRPr="00981405">
        <w:t>treaties)</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interplay</w:t>
      </w:r>
      <w:r w:rsidR="00190923" w:rsidRPr="00981405">
        <w:t xml:space="preserve"> </w:t>
      </w:r>
      <w:r w:rsidRPr="00981405">
        <w:t>between</w:t>
      </w:r>
      <w:r w:rsidR="00190923" w:rsidRPr="00981405">
        <w:t xml:space="preserve"> </w:t>
      </w:r>
      <w:r w:rsidRPr="00981405">
        <w:t>internal</w:t>
      </w:r>
      <w:r w:rsidR="00190923" w:rsidRPr="00981405">
        <w:t xml:space="preserve"> </w:t>
      </w:r>
      <w:r w:rsidRPr="00981405">
        <w:t>law</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could</w:t>
      </w:r>
      <w:r w:rsidR="00190923" w:rsidRPr="00981405">
        <w:t xml:space="preserve"> </w:t>
      </w:r>
      <w:r w:rsidRPr="00981405">
        <w:t>take</w:t>
      </w:r>
      <w:r w:rsidR="00190923" w:rsidRPr="00981405">
        <w:t xml:space="preserve"> </w:t>
      </w:r>
      <w:r w:rsidRPr="00981405">
        <w:t>two</w:t>
      </w:r>
      <w:r w:rsidR="00190923" w:rsidRPr="00981405">
        <w:t xml:space="preserve"> </w:t>
      </w:r>
      <w:r w:rsidRPr="00981405">
        <w:t>different</w:t>
      </w:r>
      <w:r w:rsidR="00190923" w:rsidRPr="00981405">
        <w:t xml:space="preserve"> </w:t>
      </w:r>
      <w:r w:rsidRPr="00981405">
        <w:t>forms.</w:t>
      </w:r>
      <w:r w:rsidR="00190923" w:rsidRPr="00981405">
        <w:t xml:space="preserve"> </w:t>
      </w:r>
      <w:r w:rsidRPr="00981405">
        <w:t>First,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internal</w:t>
      </w:r>
      <w:r w:rsidR="00190923" w:rsidRPr="00981405">
        <w:t xml:space="preserve"> </w:t>
      </w:r>
      <w:r w:rsidRPr="00981405">
        <w:t>law</w:t>
      </w:r>
      <w:r w:rsidR="00190923" w:rsidRPr="00981405">
        <w:t xml:space="preserve"> </w:t>
      </w:r>
      <w:r w:rsidRPr="00981405">
        <w:t>could</w:t>
      </w:r>
      <w:r w:rsidR="00190923" w:rsidRPr="00981405">
        <w:t xml:space="preserve"> </w:t>
      </w:r>
      <w:r w:rsidRPr="00981405">
        <w:t>address</w:t>
      </w:r>
      <w:r w:rsidR="00190923" w:rsidRPr="00981405">
        <w:t xml:space="preserve"> </w:t>
      </w:r>
      <w:r w:rsidRPr="00981405">
        <w:t>the</w:t>
      </w:r>
      <w:r w:rsidR="00190923" w:rsidRPr="00981405">
        <w:t xml:space="preserve"> </w:t>
      </w:r>
      <w:r w:rsidRPr="00981405">
        <w:t>procedure</w:t>
      </w:r>
      <w:r w:rsidR="00190923" w:rsidRPr="00981405">
        <w:t xml:space="preserve"> </w:t>
      </w:r>
      <w:r w:rsidRPr="00981405">
        <w:t>or</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the</w:t>
      </w:r>
      <w:r w:rsidR="00190923" w:rsidRPr="00981405">
        <w:t xml:space="preserve"> </w:t>
      </w:r>
      <w:r w:rsidRPr="00981405">
        <w:t>expression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consent</w:t>
      </w:r>
      <w:r w:rsidR="00190923" w:rsidRPr="00981405">
        <w:t xml:space="preserve"> </w:t>
      </w:r>
      <w:r w:rsidRPr="00981405">
        <w:t>of</w:t>
      </w:r>
      <w:r w:rsidR="00190923" w:rsidRPr="00981405">
        <w:t xml:space="preserve"> </w:t>
      </w:r>
      <w:r w:rsidRPr="00981405">
        <w:t>a</w:t>
      </w:r>
      <w:r w:rsidR="00190923" w:rsidRPr="00981405">
        <w:t xml:space="preserve"> </w:t>
      </w:r>
      <w:r w:rsidRPr="00981405">
        <w:t>State</w:t>
      </w:r>
      <w:r w:rsidR="00190923" w:rsidRPr="00981405">
        <w:t xml:space="preserve"> </w:t>
      </w:r>
      <w:r w:rsidRPr="00981405">
        <w:t>to</w:t>
      </w:r>
      <w:r w:rsidR="00190923" w:rsidRPr="00981405">
        <w:t xml:space="preserve"> </w:t>
      </w:r>
      <w:r w:rsidRPr="00981405">
        <w:t>its</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Second,</w:t>
      </w:r>
      <w:r w:rsidR="00190923" w:rsidRPr="00981405">
        <w:t xml:space="preserve"> </w:t>
      </w:r>
      <w:r w:rsidRPr="00981405">
        <w:t>the</w:t>
      </w:r>
      <w:r w:rsidR="00190923" w:rsidRPr="00981405">
        <w:t xml:space="preserve"> </w:t>
      </w:r>
      <w:r w:rsidRPr="00981405">
        <w:t>relevant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given</w:t>
      </w:r>
      <w:r w:rsidR="00190923" w:rsidRPr="00981405">
        <w:t xml:space="preserve"> </w:t>
      </w:r>
      <w:r w:rsidRPr="00981405">
        <w:t>treaty</w:t>
      </w:r>
      <w:r w:rsidR="00190923" w:rsidRPr="00981405">
        <w:t xml:space="preserve"> </w:t>
      </w:r>
      <w:r w:rsidRPr="00981405">
        <w:t>that</w:t>
      </w:r>
      <w:r w:rsidR="00190923" w:rsidRPr="00981405">
        <w:t xml:space="preserve"> </w:t>
      </w:r>
      <w:r w:rsidRPr="00981405">
        <w:t>allows</w:t>
      </w:r>
      <w:r w:rsidR="00190923" w:rsidRPr="00981405">
        <w:t xml:space="preserve"> </w:t>
      </w:r>
      <w:r w:rsidRPr="00981405">
        <w:t>for</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sometimes</w:t>
      </w:r>
      <w:r w:rsidR="00190923" w:rsidRPr="00981405">
        <w:t xml:space="preserve"> </w:t>
      </w:r>
      <w:r w:rsidRPr="00981405">
        <w:t>referred</w:t>
      </w:r>
      <w:r w:rsidR="00190923" w:rsidRPr="00981405">
        <w:t xml:space="preserve"> </w:t>
      </w:r>
      <w:r w:rsidRPr="00981405">
        <w:t>also</w:t>
      </w:r>
      <w:r w:rsidR="00190923" w:rsidRPr="00981405">
        <w:t xml:space="preserve"> </w:t>
      </w:r>
      <w:r w:rsidRPr="00981405">
        <w:t>to</w:t>
      </w:r>
      <w:r w:rsidR="00190923" w:rsidRPr="00981405">
        <w:t xml:space="preserve"> </w:t>
      </w:r>
      <w:r w:rsidRPr="00981405">
        <w:t>internal</w:t>
      </w:r>
      <w:r w:rsidR="00190923" w:rsidRPr="00981405">
        <w:t xml:space="preserve"> </w:t>
      </w:r>
      <w:r w:rsidRPr="00981405">
        <w:t>substantive</w:t>
      </w:r>
      <w:r w:rsidR="00190923" w:rsidRPr="00981405">
        <w:t xml:space="preserve"> </w:t>
      </w:r>
      <w:r w:rsidRPr="00981405">
        <w:t>law.</w:t>
      </w:r>
      <w:bookmarkStart w:id="171" w:name="Legal_effects"/>
    </w:p>
    <w:p w:rsidR="00397032" w:rsidRPr="00981405" w:rsidRDefault="00397032" w:rsidP="00D97463">
      <w:pPr>
        <w:pStyle w:val="SingleTxt"/>
      </w:pPr>
      <w:r w:rsidRPr="00981405">
        <w:t>259.</w:t>
      </w:r>
      <w:r w:rsidRPr="00981405">
        <w:tab/>
        <w:t>Some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that</w:t>
      </w:r>
      <w:r w:rsidR="00190923" w:rsidRPr="00981405">
        <w:t xml:space="preserve"> </w:t>
      </w:r>
      <w:r w:rsidRPr="00981405">
        <w:t>while</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was</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legal</w:t>
      </w:r>
      <w:r w:rsidR="00190923" w:rsidRPr="00981405">
        <w:t xml:space="preserve"> </w:t>
      </w:r>
      <w:r w:rsidRPr="00981405">
        <w:t>regime</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it</w:t>
      </w:r>
      <w:r w:rsidR="00190923" w:rsidRPr="00981405">
        <w:t xml:space="preserve"> </w:t>
      </w:r>
      <w:r w:rsidRPr="00981405">
        <w:t>did</w:t>
      </w:r>
      <w:r w:rsidR="00190923" w:rsidRPr="00981405">
        <w:t xml:space="preserve"> </w:t>
      </w:r>
      <w:r w:rsidRPr="00981405">
        <w:t>not</w:t>
      </w:r>
      <w:r w:rsidR="00190923" w:rsidRPr="00981405">
        <w:t xml:space="preserve"> </w:t>
      </w:r>
      <w:r w:rsidRPr="00981405">
        <w:t>answer</w:t>
      </w:r>
      <w:r w:rsidR="00190923" w:rsidRPr="00981405">
        <w:t xml:space="preserve"> </w:t>
      </w:r>
      <w:r w:rsidRPr="00981405">
        <w:t>all</w:t>
      </w:r>
      <w:r w:rsidR="00190923" w:rsidRPr="00981405">
        <w:t xml:space="preserve"> </w:t>
      </w:r>
      <w:r w:rsidRPr="00981405">
        <w:t>the</w:t>
      </w:r>
      <w:r w:rsidR="00190923" w:rsidRPr="00981405">
        <w:t xml:space="preserve"> </w:t>
      </w:r>
      <w:r w:rsidRPr="00981405">
        <w:t>questions</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should</w:t>
      </w:r>
      <w:r w:rsidR="00190923" w:rsidRPr="00981405">
        <w:t xml:space="preserve"> </w:t>
      </w:r>
      <w:r w:rsidRPr="00981405">
        <w:t>provide</w:t>
      </w:r>
      <w:r w:rsidR="00190923" w:rsidRPr="00981405">
        <w:t xml:space="preserve"> </w:t>
      </w:r>
      <w:r w:rsidRPr="00981405">
        <w:t>guidance</w:t>
      </w:r>
      <w:r w:rsidR="00190923" w:rsidRPr="00981405">
        <w:t xml:space="preserve"> </w:t>
      </w:r>
      <w:r w:rsidRPr="00981405">
        <w:t>to</w:t>
      </w:r>
      <w:r w:rsidR="00190923" w:rsidRPr="00981405">
        <w:t xml:space="preserve"> </w:t>
      </w:r>
      <w:r w:rsidRPr="00981405">
        <w:t>States</w:t>
      </w:r>
      <w:r w:rsidR="00190923" w:rsidRPr="00981405">
        <w:t xml:space="preserve"> </w:t>
      </w:r>
      <w:r w:rsidRPr="00981405">
        <w:t>on</w:t>
      </w:r>
      <w:r w:rsidR="00190923" w:rsidRPr="00981405">
        <w:t xml:space="preserve"> </w:t>
      </w:r>
      <w:r w:rsidRPr="00981405">
        <w:t>such</w:t>
      </w:r>
      <w:r w:rsidR="00190923" w:rsidRPr="00981405">
        <w:t xml:space="preserve"> </w:t>
      </w:r>
      <w:r w:rsidRPr="00981405">
        <w:t>questions</w:t>
      </w:r>
      <w:r w:rsidR="00190923" w:rsidRPr="00981405">
        <w:t xml:space="preserve"> </w:t>
      </w:r>
      <w:r w:rsidRPr="00981405">
        <w:t>as:</w:t>
      </w:r>
      <w:r w:rsidR="00190923" w:rsidRPr="00981405">
        <w:t xml:space="preserve"> </w:t>
      </w:r>
      <w:r w:rsidRPr="00981405">
        <w:t>which</w:t>
      </w:r>
      <w:r w:rsidR="00190923" w:rsidRPr="00981405">
        <w:t xml:space="preserve"> </w:t>
      </w:r>
      <w:r w:rsidRPr="00981405">
        <w:t>States</w:t>
      </w:r>
      <w:r w:rsidR="00190923" w:rsidRPr="00981405">
        <w:t xml:space="preserve"> </w:t>
      </w:r>
      <w:r w:rsidRPr="00981405">
        <w:t>may</w:t>
      </w:r>
      <w:r w:rsidR="00190923" w:rsidRPr="00981405">
        <w:t xml:space="preserve"> </w:t>
      </w:r>
      <w:r w:rsidRPr="00981405">
        <w:t>agree</w:t>
      </w:r>
      <w:r w:rsidR="00190923" w:rsidRPr="00981405">
        <w:t xml:space="preserve"> </w:t>
      </w:r>
      <w:r w:rsidRPr="00981405">
        <w:t>on</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(only</w:t>
      </w:r>
      <w:r w:rsidR="00190923" w:rsidRPr="00981405">
        <w:t xml:space="preserve"> </w:t>
      </w:r>
      <w:r w:rsidRPr="00981405">
        <w:t>negotiating</w:t>
      </w:r>
      <w:r w:rsidR="00190923" w:rsidRPr="00981405">
        <w:t xml:space="preserve"> </w:t>
      </w:r>
      <w:r w:rsidRPr="00981405">
        <w:t>States</w:t>
      </w:r>
      <w:r w:rsidR="00190923" w:rsidRPr="00981405">
        <w:t xml:space="preserve"> </w:t>
      </w:r>
      <w:r w:rsidRPr="00981405">
        <w:t>or</w:t>
      </w:r>
      <w:r w:rsidR="00190923" w:rsidRPr="00981405">
        <w:t xml:space="preserve"> </w:t>
      </w:r>
      <w:r w:rsidRPr="00981405">
        <w:t>other</w:t>
      </w:r>
      <w:r w:rsidR="00190923" w:rsidRPr="00981405">
        <w:t xml:space="preserve"> </w:t>
      </w:r>
      <w:r w:rsidRPr="00981405">
        <w:t>States</w:t>
      </w:r>
      <w:r w:rsidR="00190923" w:rsidRPr="00981405">
        <w:t xml:space="preserve"> </w:t>
      </w:r>
      <w:r w:rsidRPr="00981405">
        <w:t>as</w:t>
      </w:r>
      <w:r w:rsidR="00190923" w:rsidRPr="00981405">
        <w:t xml:space="preserve"> </w:t>
      </w:r>
      <w:r w:rsidRPr="00981405">
        <w:t>well);</w:t>
      </w:r>
      <w:r w:rsidR="00190923" w:rsidRPr="00981405">
        <w:t xml:space="preserve"> </w:t>
      </w:r>
      <w:r w:rsidRPr="00981405">
        <w:t>whether</w:t>
      </w:r>
      <w:r w:rsidR="00190923" w:rsidRPr="00981405">
        <w:t xml:space="preserve"> </w:t>
      </w:r>
      <w:r w:rsidRPr="00981405">
        <w:t>an</w:t>
      </w:r>
      <w:r w:rsidR="00190923" w:rsidRPr="00981405">
        <w:t xml:space="preserve"> </w:t>
      </w:r>
      <w:r w:rsidRPr="00981405">
        <w:t>agreement</w:t>
      </w:r>
      <w:r w:rsidR="00190923" w:rsidRPr="00981405">
        <w:t xml:space="preserve"> </w:t>
      </w:r>
      <w:r w:rsidRPr="00981405">
        <w:t>on</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must</w:t>
      </w:r>
      <w:r w:rsidR="00190923" w:rsidRPr="00981405">
        <w:t xml:space="preserve"> </w:t>
      </w:r>
      <w:r w:rsidRPr="00981405">
        <w:t>be</w:t>
      </w:r>
      <w:r w:rsidR="00190923" w:rsidRPr="00981405">
        <w:t xml:space="preserve"> </w:t>
      </w:r>
      <w:r w:rsidRPr="00981405">
        <w:t>legally</w:t>
      </w:r>
      <w:r w:rsidR="00190923" w:rsidRPr="00981405">
        <w:t xml:space="preserve"> </w:t>
      </w:r>
      <w:r w:rsidRPr="00981405">
        <w:t>binding;</w:t>
      </w:r>
      <w:r w:rsidR="00190923" w:rsidRPr="00981405">
        <w:t xml:space="preserve"> </w:t>
      </w:r>
      <w:r w:rsidRPr="00981405">
        <w:t>and</w:t>
      </w:r>
      <w:r w:rsidR="00190923" w:rsidRPr="00981405">
        <w:t xml:space="preserve"> </w:t>
      </w:r>
      <w:r w:rsidRPr="00981405">
        <w:t>whether</w:t>
      </w:r>
      <w:r w:rsidR="00190923" w:rsidRPr="00981405">
        <w:t xml:space="preserve"> </w:t>
      </w:r>
      <w:r w:rsidRPr="00981405">
        <w:t>such</w:t>
      </w:r>
      <w:r w:rsidR="00190923" w:rsidRPr="00981405">
        <w:t xml:space="preserve"> </w:t>
      </w:r>
      <w:r w:rsidRPr="00981405">
        <w:t>an</w:t>
      </w:r>
      <w:r w:rsidR="00190923" w:rsidRPr="00981405">
        <w:t xml:space="preserve"> </w:t>
      </w:r>
      <w:r w:rsidRPr="00981405">
        <w:t>agreement</w:t>
      </w:r>
      <w:r w:rsidR="00190923" w:rsidRPr="00981405">
        <w:t xml:space="preserve"> </w:t>
      </w:r>
      <w:r w:rsidRPr="00981405">
        <w:t>can</w:t>
      </w:r>
      <w:r w:rsidR="00190923" w:rsidRPr="00981405">
        <w:t xml:space="preserve"> </w:t>
      </w:r>
      <w:r w:rsidRPr="00981405">
        <w:t>be</w:t>
      </w:r>
      <w:r w:rsidR="00190923" w:rsidRPr="00981405">
        <w:t xml:space="preserve"> </w:t>
      </w:r>
      <w:r w:rsidRPr="00981405">
        <w:t>tacit</w:t>
      </w:r>
      <w:r w:rsidR="00190923" w:rsidRPr="00981405">
        <w:t xml:space="preserve"> </w:t>
      </w:r>
      <w:r w:rsidRPr="00981405">
        <w:t>or</w:t>
      </w:r>
      <w:r w:rsidR="00190923" w:rsidRPr="00981405">
        <w:t xml:space="preserve"> </w:t>
      </w:r>
      <w:r w:rsidRPr="00981405">
        <w:t>implied.</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should</w:t>
      </w:r>
      <w:r w:rsidR="00190923" w:rsidRPr="00981405">
        <w:t xml:space="preserve"> </w:t>
      </w:r>
      <w:r w:rsidRPr="00981405">
        <w:t>provide</w:t>
      </w:r>
      <w:r w:rsidR="00190923" w:rsidRPr="00981405">
        <w:t xml:space="preserve"> </w:t>
      </w:r>
      <w:r w:rsidRPr="00981405">
        <w:t>guidance</w:t>
      </w:r>
      <w:r w:rsidR="00190923" w:rsidRPr="00981405">
        <w:t xml:space="preserve"> </w:t>
      </w:r>
      <w:r w:rsidRPr="00981405">
        <w:t>to</w:t>
      </w:r>
      <w:r w:rsidR="00190923" w:rsidRPr="00981405">
        <w:t xml:space="preserve"> </w:t>
      </w:r>
      <w:r w:rsidRPr="00981405">
        <w:t>States</w:t>
      </w:r>
      <w:r w:rsidR="00190923" w:rsidRPr="00981405">
        <w:t xml:space="preserve"> </w:t>
      </w:r>
      <w:r w:rsidRPr="00981405">
        <w:t>as</w:t>
      </w:r>
      <w:r w:rsidR="00190923" w:rsidRPr="00981405">
        <w:t xml:space="preserve"> </w:t>
      </w:r>
      <w:r w:rsidRPr="00981405">
        <w:t>to</w:t>
      </w:r>
      <w:r w:rsidR="00190923" w:rsidRPr="00981405">
        <w:t xml:space="preserve"> </w:t>
      </w:r>
      <w:r w:rsidRPr="00981405">
        <w:t>which</w:t>
      </w:r>
      <w:r w:rsidR="00190923" w:rsidRPr="00981405">
        <w:t xml:space="preserve"> </w:t>
      </w:r>
      <w:r w:rsidRPr="00981405">
        <w:t>other</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for</w:t>
      </w:r>
      <w:r w:rsidR="00190923" w:rsidRPr="00981405">
        <w:t xml:space="preserve"> </w:t>
      </w:r>
      <w:r w:rsidRPr="00981405">
        <w:t>example</w:t>
      </w:r>
      <w:r w:rsidR="00190923" w:rsidRPr="00981405">
        <w:t xml:space="preserve"> </w:t>
      </w:r>
      <w:r w:rsidRPr="00981405">
        <w:t>on</w:t>
      </w:r>
      <w:r w:rsidR="00190923" w:rsidRPr="00981405">
        <w:t xml:space="preserve"> </w:t>
      </w:r>
      <w:r w:rsidRPr="00981405">
        <w:t>responsibility</w:t>
      </w:r>
      <w:r w:rsidR="00190923" w:rsidRPr="00981405">
        <w:t xml:space="preserve"> </w:t>
      </w:r>
      <w:r w:rsidRPr="00981405">
        <w:t>and</w:t>
      </w:r>
      <w:r w:rsidR="00190923" w:rsidRPr="00981405">
        <w:t xml:space="preserve"> </w:t>
      </w:r>
      <w:r w:rsidRPr="00981405">
        <w:t>succession,</w:t>
      </w:r>
      <w:r w:rsidR="00190923" w:rsidRPr="00981405">
        <w:t xml:space="preserve"> </w:t>
      </w:r>
      <w:r w:rsidRPr="00981405">
        <w:t>apply</w:t>
      </w:r>
      <w:r w:rsidR="00190923" w:rsidRPr="00981405">
        <w:t xml:space="preserve"> </w:t>
      </w:r>
      <w:r w:rsidRPr="00981405">
        <w:t>to</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treaties.</w:t>
      </w:r>
    </w:p>
    <w:p w:rsidR="00397032" w:rsidRPr="00981405" w:rsidRDefault="00397032" w:rsidP="00D97463">
      <w:pPr>
        <w:pStyle w:val="SingleTxt"/>
      </w:pPr>
      <w:r w:rsidRPr="00981405">
        <w:t>260.</w:t>
      </w:r>
      <w:r w:rsidRPr="00981405">
        <w:tab/>
        <w:t>It</w:t>
      </w:r>
      <w:r w:rsidR="00190923" w:rsidRPr="00981405">
        <w:t xml:space="preserve"> </w:t>
      </w:r>
      <w:r w:rsidRPr="00981405">
        <w:t>was</w:t>
      </w:r>
      <w:r w:rsidR="00190923" w:rsidRPr="00981405">
        <w:t xml:space="preserve"> </w:t>
      </w:r>
      <w:r w:rsidRPr="00981405">
        <w:t>generally</w:t>
      </w:r>
      <w:r w:rsidR="00190923" w:rsidRPr="00981405">
        <w:t xml:space="preserve"> </w:t>
      </w:r>
      <w:r w:rsidRPr="00981405">
        <w:t>agreed</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had</w:t>
      </w:r>
      <w:r w:rsidR="00190923" w:rsidRPr="00981405">
        <w:t xml:space="preserve"> </w:t>
      </w:r>
      <w:r w:rsidRPr="00981405">
        <w:t>legal</w:t>
      </w:r>
      <w:r w:rsidR="00190923" w:rsidRPr="00981405">
        <w:t xml:space="preserve"> </w:t>
      </w:r>
      <w:r w:rsidRPr="00981405">
        <w:t>effects</w:t>
      </w:r>
      <w:r w:rsidR="00190923" w:rsidRPr="00981405">
        <w:t xml:space="preserve"> </w:t>
      </w:r>
      <w:r w:rsidRPr="00981405">
        <w:t>and</w:t>
      </w:r>
      <w:r w:rsidR="00190923" w:rsidRPr="00981405">
        <w:t xml:space="preserve"> </w:t>
      </w:r>
      <w:r w:rsidRPr="00981405">
        <w:t>created</w:t>
      </w:r>
      <w:r w:rsidR="00190923" w:rsidRPr="00981405">
        <w:t xml:space="preserve"> </w:t>
      </w:r>
      <w:r w:rsidRPr="00981405">
        <w:t>rights</w:t>
      </w:r>
      <w:r w:rsidR="00190923" w:rsidRPr="00981405">
        <w:t xml:space="preserve"> </w:t>
      </w:r>
      <w:r w:rsidRPr="00981405">
        <w:t>and</w:t>
      </w:r>
      <w:r w:rsidR="00190923" w:rsidRPr="00981405">
        <w:t xml:space="preserve"> </w:t>
      </w:r>
      <w:r w:rsidRPr="00981405">
        <w:t>obligations.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was</w:t>
      </w:r>
      <w:r w:rsidR="00190923" w:rsidRPr="00981405">
        <w:t xml:space="preserve"> </w:t>
      </w:r>
      <w:r w:rsidRPr="00981405">
        <w:t>nonetheless</w:t>
      </w:r>
      <w:r w:rsidR="00190923" w:rsidRPr="00981405">
        <w:t xml:space="preserve"> </w:t>
      </w:r>
      <w:r w:rsidRPr="00981405">
        <w:t>called</w:t>
      </w:r>
      <w:r w:rsidR="00190923" w:rsidRPr="00981405">
        <w:t xml:space="preserve"> </w:t>
      </w:r>
      <w:r w:rsidRPr="00981405">
        <w:t>upon</w:t>
      </w:r>
      <w:r w:rsidR="00190923" w:rsidRPr="00981405">
        <w:t xml:space="preserve"> </w:t>
      </w:r>
      <w:r w:rsidRPr="00981405">
        <w:t>to</w:t>
      </w:r>
      <w:r w:rsidR="00190923" w:rsidRPr="00981405">
        <w:t xml:space="preserve"> </w:t>
      </w:r>
      <w:r w:rsidRPr="00981405">
        <w:t>further</w:t>
      </w:r>
      <w:r w:rsidR="00190923" w:rsidRPr="00981405">
        <w:t xml:space="preserve"> </w:t>
      </w:r>
      <w:r w:rsidRPr="00981405">
        <w:t>substantiate</w:t>
      </w:r>
      <w:r w:rsidR="00190923" w:rsidRPr="00981405">
        <w:t xml:space="preserve"> </w:t>
      </w:r>
      <w:r w:rsidRPr="00981405">
        <w:t>his</w:t>
      </w:r>
      <w:bookmarkEnd w:id="171"/>
      <w:r w:rsidR="00190923" w:rsidRPr="00981405">
        <w:t xml:space="preserve"> </w:t>
      </w:r>
      <w:r w:rsidRPr="00981405">
        <w:t>conclusion</w:t>
      </w:r>
      <w:r w:rsidR="00190923" w:rsidRPr="00981405">
        <w:t xml:space="preserve"> </w:t>
      </w:r>
      <w:r w:rsidRPr="00981405">
        <w:t>that</w:t>
      </w:r>
      <w:r w:rsidR="00190923" w:rsidRPr="00981405">
        <w:t xml:space="preserve"> </w:t>
      </w:r>
      <w:r w:rsidRPr="00981405">
        <w:t>the</w:t>
      </w:r>
      <w:r w:rsidR="00190923" w:rsidRPr="00981405">
        <w:t xml:space="preserve"> </w:t>
      </w:r>
      <w:r w:rsidRPr="00981405">
        <w:t>legal</w:t>
      </w:r>
      <w:r w:rsidR="00190923" w:rsidRPr="00981405">
        <w:t xml:space="preserve"> </w:t>
      </w:r>
      <w:r w:rsidRPr="00981405">
        <w:t>effects</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were</w:t>
      </w:r>
      <w:r w:rsidR="00190923" w:rsidRPr="00981405">
        <w:t xml:space="preserve"> </w:t>
      </w:r>
      <w:r w:rsidRPr="00981405">
        <w:t>the</w:t>
      </w:r>
      <w:r w:rsidR="00190923" w:rsidRPr="00981405">
        <w:t xml:space="preserve"> </w:t>
      </w:r>
      <w:r w:rsidRPr="00981405">
        <w:t>same</w:t>
      </w:r>
      <w:r w:rsidR="00190923" w:rsidRPr="00981405">
        <w:t xml:space="preserve"> </w:t>
      </w:r>
      <w:r w:rsidRPr="00981405">
        <w:t>as</w:t>
      </w:r>
      <w:r w:rsidR="00190923" w:rsidRPr="00981405">
        <w:t xml:space="preserve"> </w:t>
      </w:r>
      <w:r w:rsidRPr="00981405">
        <w:t>those</w:t>
      </w:r>
      <w:r w:rsidR="00190923" w:rsidRPr="00981405">
        <w:t xml:space="preserve"> </w:t>
      </w:r>
      <w:r w:rsidRPr="00981405">
        <w:t>after</w:t>
      </w:r>
      <w:r w:rsidR="00190923" w:rsidRPr="00981405">
        <w:t xml:space="preserve"> </w:t>
      </w:r>
      <w:r w:rsidRPr="00981405">
        <w:t>the</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and</w:t>
      </w:r>
      <w:r w:rsidR="00190923" w:rsidRPr="00981405">
        <w:t xml:space="preserve"> </w:t>
      </w:r>
      <w:r w:rsidRPr="00981405">
        <w:t>that</w:t>
      </w:r>
      <w:r w:rsidR="00190923" w:rsidRPr="00981405">
        <w:t xml:space="preserve"> </w:t>
      </w:r>
      <w:r w:rsidRPr="00981405">
        <w:t>such</w:t>
      </w:r>
      <w:r w:rsidR="00190923" w:rsidRPr="00981405">
        <w:t xml:space="preserve"> </w:t>
      </w:r>
      <w:r w:rsidRPr="00981405">
        <w:t>effects</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subsequently</w:t>
      </w:r>
      <w:r w:rsidR="00190923" w:rsidRPr="00981405">
        <w:t xml:space="preserve"> </w:t>
      </w:r>
      <w:r w:rsidRPr="00981405">
        <w:t>called</w:t>
      </w:r>
      <w:r w:rsidR="00190923" w:rsidRPr="00981405">
        <w:t xml:space="preserve"> </w:t>
      </w:r>
      <w:r w:rsidRPr="00981405">
        <w:t>into</w:t>
      </w:r>
      <w:r w:rsidR="00190923" w:rsidRPr="00981405">
        <w:t xml:space="preserve"> </w:t>
      </w:r>
      <w:r w:rsidRPr="00981405">
        <w:t>question</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B92E2C" w:rsidRPr="00981405">
        <w:t>’</w:t>
      </w:r>
      <w:r w:rsidRPr="00981405">
        <w:t>s</w:t>
      </w:r>
      <w:r w:rsidR="00190923" w:rsidRPr="00981405">
        <w:t xml:space="preserve"> </w:t>
      </w:r>
      <w:r w:rsidRPr="00981405">
        <w:t>application.</w:t>
      </w:r>
      <w:r w:rsidR="00190923" w:rsidRPr="00981405">
        <w:t xml:space="preserve"> </w:t>
      </w:r>
      <w:r w:rsidRPr="00981405">
        <w:t>What</w:t>
      </w:r>
      <w:r w:rsidR="00190923" w:rsidRPr="00981405">
        <w:t xml:space="preserve"> </w:t>
      </w:r>
      <w:r w:rsidRPr="00981405">
        <w:t>was</w:t>
      </w:r>
      <w:r w:rsidR="00190923" w:rsidRPr="00981405">
        <w:t xml:space="preserve"> </w:t>
      </w:r>
      <w:r w:rsidRPr="00981405">
        <w:t>not</w:t>
      </w:r>
      <w:r w:rsidR="00190923" w:rsidRPr="00981405">
        <w:t xml:space="preserve"> </w:t>
      </w:r>
      <w:r w:rsidRPr="00981405">
        <w:t>entirely</w:t>
      </w:r>
      <w:r w:rsidR="00190923" w:rsidRPr="00981405">
        <w:t xml:space="preserve"> </w:t>
      </w:r>
      <w:r w:rsidRPr="00981405">
        <w:t>clear</w:t>
      </w:r>
      <w:r w:rsidR="00190923" w:rsidRPr="00981405">
        <w:t xml:space="preserve"> </w:t>
      </w:r>
      <w:r w:rsidRPr="00981405">
        <w:t>was</w:t>
      </w:r>
      <w:r w:rsidR="00190923" w:rsidRPr="00981405">
        <w:t xml:space="preserve"> </w:t>
      </w:r>
      <w:r w:rsidRPr="00981405">
        <w:t>whether</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would</w:t>
      </w:r>
      <w:r w:rsidR="00190923" w:rsidRPr="00981405">
        <w:t xml:space="preserve"> </w:t>
      </w:r>
      <w:r w:rsidRPr="00981405">
        <w:t>produce</w:t>
      </w:r>
      <w:r w:rsidR="00190923" w:rsidRPr="00981405">
        <w:t xml:space="preserve"> </w:t>
      </w:r>
      <w:r w:rsidRPr="00981405">
        <w:t>the</w:t>
      </w:r>
      <w:r w:rsidR="00190923" w:rsidRPr="00981405">
        <w:t xml:space="preserve"> </w:t>
      </w:r>
      <w:r w:rsidRPr="00981405">
        <w:t>exact</w:t>
      </w:r>
      <w:r w:rsidR="00190923" w:rsidRPr="00981405">
        <w:t xml:space="preserve"> </w:t>
      </w:r>
      <w:r w:rsidRPr="00981405">
        <w:t>same</w:t>
      </w:r>
      <w:r w:rsidR="00190923" w:rsidRPr="00981405">
        <w:t xml:space="preserve"> </w:t>
      </w:r>
      <w:r w:rsidRPr="00981405">
        <w:t>effects</w:t>
      </w:r>
      <w:r w:rsidR="00190923" w:rsidRPr="00981405">
        <w:t xml:space="preserve"> </w:t>
      </w:r>
      <w:r w:rsidRPr="00981405">
        <w:t>as</w:t>
      </w:r>
      <w:r w:rsidR="00190923" w:rsidRPr="00981405">
        <w:t xml:space="preserve"> </w:t>
      </w:r>
      <w:r w:rsidRPr="00981405">
        <w:t>the</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Several</w:t>
      </w:r>
      <w:r w:rsidR="00190923" w:rsidRPr="00981405">
        <w:t xml:space="preserve"> </w:t>
      </w:r>
      <w:r w:rsidRPr="00981405">
        <w:t>possibilities</w:t>
      </w:r>
      <w:r w:rsidR="00190923" w:rsidRPr="00981405">
        <w:t xml:space="preserve"> </w:t>
      </w:r>
      <w:r w:rsidRPr="00981405">
        <w:t>were</w:t>
      </w:r>
      <w:r w:rsidR="00190923" w:rsidRPr="00981405">
        <w:t xml:space="preserve"> </w:t>
      </w:r>
      <w:r w:rsidRPr="00981405">
        <w:t>raised.</w:t>
      </w:r>
      <w:r w:rsidR="00190923" w:rsidRPr="00981405">
        <w:t xml:space="preserve"> </w:t>
      </w:r>
      <w:r w:rsidRPr="00981405">
        <w:t>One</w:t>
      </w:r>
      <w:r w:rsidR="00190923" w:rsidRPr="00981405">
        <w:t xml:space="preserve"> </w:t>
      </w:r>
      <w:r w:rsidRPr="00981405">
        <w:t>solution</w:t>
      </w:r>
      <w:r w:rsidR="00190923" w:rsidRPr="00981405">
        <w:t xml:space="preserve"> </w:t>
      </w:r>
      <w:r w:rsidRPr="00981405">
        <w:t>was</w:t>
      </w:r>
      <w:r w:rsidR="00190923" w:rsidRPr="00981405">
        <w:t xml:space="preserve"> </w:t>
      </w:r>
      <w:r w:rsidRPr="00981405">
        <w:t>to</w:t>
      </w:r>
      <w:r w:rsidR="00190923" w:rsidRPr="00981405">
        <w:t xml:space="preserve"> </w:t>
      </w:r>
      <w:r w:rsidRPr="00981405">
        <w:t>compare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to</w:t>
      </w:r>
      <w:r w:rsidR="00190923" w:rsidRPr="00981405">
        <w:t xml:space="preserve"> </w:t>
      </w:r>
      <w:r w:rsidRPr="00981405">
        <w:t>the</w:t>
      </w:r>
      <w:r w:rsidR="00190923" w:rsidRPr="00981405">
        <w:t xml:space="preserve"> </w:t>
      </w:r>
      <w:r w:rsidRPr="00981405">
        <w:t>regime</w:t>
      </w:r>
      <w:r w:rsidR="00190923" w:rsidRPr="00981405">
        <w:t xml:space="preserve"> </w:t>
      </w:r>
      <w:r w:rsidRPr="00981405">
        <w:t>of</w:t>
      </w:r>
      <w:r w:rsidR="00190923" w:rsidRPr="00981405">
        <w:t xml:space="preserve"> </w:t>
      </w:r>
      <w:r w:rsidRPr="00981405">
        <w:t>the</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under</w:t>
      </w:r>
      <w:r w:rsidR="00190923" w:rsidRPr="00981405">
        <w:t xml:space="preserve"> </w:t>
      </w:r>
      <w:r w:rsidRPr="00981405">
        <w:t>article</w:t>
      </w:r>
      <w:r w:rsidR="00190923" w:rsidRPr="00981405">
        <w:t xml:space="preserve"> </w:t>
      </w:r>
      <w:r w:rsidRPr="00981405">
        <w:t>70</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Another</w:t>
      </w:r>
      <w:r w:rsidR="00190923" w:rsidRPr="00981405">
        <w:t xml:space="preserve"> </w:t>
      </w:r>
      <w:r w:rsidRPr="00981405">
        <w:t>possibility</w:t>
      </w:r>
      <w:r w:rsidR="00190923" w:rsidRPr="00981405">
        <w:t xml:space="preserve"> </w:t>
      </w:r>
      <w:r w:rsidRPr="00981405">
        <w:t>was</w:t>
      </w:r>
      <w:r w:rsidR="00190923" w:rsidRPr="00981405">
        <w:t xml:space="preserve"> </w:t>
      </w:r>
      <w:r w:rsidRPr="00981405">
        <w:t>to</w:t>
      </w:r>
      <w:r w:rsidR="00190923" w:rsidRPr="00981405">
        <w:t xml:space="preserve"> </w:t>
      </w:r>
      <w:r w:rsidRPr="00981405">
        <w:t>refer</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consequences</w:t>
      </w:r>
      <w:r w:rsidR="00190923" w:rsidRPr="00981405">
        <w:t xml:space="preserve"> </w:t>
      </w:r>
      <w:r w:rsidRPr="00981405">
        <w:t>of</w:t>
      </w:r>
      <w:r w:rsidR="00190923" w:rsidRPr="00981405">
        <w:t xml:space="preserve"> </w:t>
      </w:r>
      <w:r w:rsidRPr="00981405">
        <w:t>the</w:t>
      </w:r>
      <w:r w:rsidR="00190923" w:rsidRPr="00981405">
        <w:t xml:space="preserve"> </w:t>
      </w:r>
      <w:r w:rsidRPr="00981405">
        <w:t>invalidity</w:t>
      </w:r>
      <w:r w:rsidR="00190923" w:rsidRPr="00981405">
        <w:t xml:space="preserve"> </w:t>
      </w:r>
      <w:r w:rsidRPr="00981405">
        <w:t>of</w:t>
      </w:r>
      <w:r w:rsidR="00190923" w:rsidRPr="00981405">
        <w:t xml:space="preserve"> </w:t>
      </w:r>
      <w:r w:rsidRPr="00981405">
        <w:t>treaties</w:t>
      </w:r>
      <w:r w:rsidR="00190923" w:rsidRPr="00981405">
        <w:t xml:space="preserve"> </w:t>
      </w:r>
      <w:r w:rsidRPr="00981405">
        <w:t>(art.</w:t>
      </w:r>
      <w:r w:rsidR="00190923" w:rsidRPr="00981405">
        <w:t xml:space="preserve"> </w:t>
      </w:r>
      <w:r w:rsidRPr="00981405">
        <w:t>69),</w:t>
      </w:r>
      <w:r w:rsidR="00190923" w:rsidRPr="00981405">
        <w:t xml:space="preserve"> </w:t>
      </w:r>
      <w:r w:rsidRPr="00981405">
        <w:t>whereby</w:t>
      </w:r>
      <w:r w:rsidR="00190923" w:rsidRPr="00981405">
        <w:t xml:space="preserve"> </w:t>
      </w:r>
      <w:r w:rsidRPr="00981405">
        <w:t>acts</w:t>
      </w:r>
      <w:r w:rsidR="00190923" w:rsidRPr="00981405">
        <w:t xml:space="preserve"> </w:t>
      </w:r>
      <w:r w:rsidRPr="00981405">
        <w:t>performed</w:t>
      </w:r>
      <w:r w:rsidR="00190923" w:rsidRPr="00981405">
        <w:t xml:space="preserve"> </w:t>
      </w:r>
      <w:r w:rsidRPr="00981405">
        <w:t>in</w:t>
      </w:r>
      <w:r w:rsidR="00190923" w:rsidRPr="00981405">
        <w:t xml:space="preserve"> </w:t>
      </w:r>
      <w:r w:rsidRPr="00981405">
        <w:t>good</w:t>
      </w:r>
      <w:r w:rsidR="00190923" w:rsidRPr="00981405">
        <w:t xml:space="preserve"> </w:t>
      </w:r>
      <w:r w:rsidRPr="00981405">
        <w:t>faith</w:t>
      </w:r>
      <w:r w:rsidR="00190923" w:rsidRPr="00981405">
        <w:t xml:space="preserve"> </w:t>
      </w:r>
      <w:r w:rsidRPr="00981405">
        <w:t>are</w:t>
      </w:r>
      <w:r w:rsidR="00190923" w:rsidRPr="00981405">
        <w:t xml:space="preserve"> </w:t>
      </w:r>
      <w:r w:rsidRPr="00981405">
        <w:t>opposable</w:t>
      </w:r>
      <w:r w:rsidR="00190923" w:rsidRPr="00981405">
        <w:t xml:space="preserve"> </w:t>
      </w:r>
      <w:r w:rsidRPr="00981405">
        <w:t>to</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A</w:t>
      </w:r>
      <w:r w:rsidR="00190923" w:rsidRPr="00981405">
        <w:t xml:space="preserve"> </w:t>
      </w:r>
      <w:r w:rsidRPr="00981405">
        <w:t>further</w:t>
      </w:r>
      <w:r w:rsidR="00190923" w:rsidRPr="00981405">
        <w:t xml:space="preserve"> </w:t>
      </w:r>
      <w:r w:rsidRPr="00981405">
        <w:t>view</w:t>
      </w:r>
      <w:r w:rsidR="00190923" w:rsidRPr="00981405">
        <w:t xml:space="preserve"> </w:t>
      </w:r>
      <w:r w:rsidRPr="00981405">
        <w:t>was</w:t>
      </w:r>
      <w:r w:rsidR="00190923" w:rsidRPr="00981405">
        <w:t xml:space="preserve"> </w:t>
      </w:r>
      <w:r w:rsidRPr="00981405">
        <w:t>that,</w:t>
      </w:r>
      <w:r w:rsidR="00190923" w:rsidRPr="00981405">
        <w:t xml:space="preserve"> </w:t>
      </w:r>
      <w:r w:rsidRPr="00981405">
        <w:t>while</w:t>
      </w:r>
      <w:r w:rsidR="00190923" w:rsidRPr="00981405">
        <w:t xml:space="preserve"> </w:t>
      </w:r>
      <w:r w:rsidRPr="00981405">
        <w:t>the</w:t>
      </w:r>
      <w:r w:rsidR="00190923" w:rsidRPr="00981405">
        <w:t xml:space="preserve"> </w:t>
      </w:r>
      <w:r w:rsidRPr="00981405">
        <w:t>legal</w:t>
      </w:r>
      <w:r w:rsidR="00190923" w:rsidRPr="00981405">
        <w:t xml:space="preserve"> </w:t>
      </w:r>
      <w:r w:rsidRPr="00981405">
        <w:t>effects</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might</w:t>
      </w:r>
      <w:r w:rsidR="00190923" w:rsidRPr="00981405">
        <w:t xml:space="preserve"> </w:t>
      </w:r>
      <w:r w:rsidRPr="00981405">
        <w:t>be</w:t>
      </w:r>
      <w:r w:rsidR="00190923" w:rsidRPr="00981405">
        <w:t xml:space="preserve"> </w:t>
      </w:r>
      <w:r w:rsidRPr="00981405">
        <w:t>practically</w:t>
      </w:r>
      <w:r w:rsidR="00190923" w:rsidRPr="00981405">
        <w:t xml:space="preserve"> </w:t>
      </w:r>
      <w:r w:rsidRPr="00981405">
        <w:t>the</w:t>
      </w:r>
      <w:r w:rsidR="00190923" w:rsidRPr="00981405">
        <w:t xml:space="preserve"> </w:t>
      </w:r>
      <w:r w:rsidRPr="00981405">
        <w:t>same</w:t>
      </w:r>
      <w:r w:rsidR="00190923" w:rsidRPr="00981405">
        <w:t xml:space="preserve"> </w:t>
      </w:r>
      <w:r w:rsidRPr="00981405">
        <w:t>as</w:t>
      </w:r>
      <w:r w:rsidR="00190923" w:rsidRPr="00981405">
        <w:t xml:space="preserve"> </w:t>
      </w:r>
      <w:r w:rsidRPr="00981405">
        <w:t>those</w:t>
      </w:r>
      <w:r w:rsidR="00190923" w:rsidRPr="00981405">
        <w:t xml:space="preserve"> </w:t>
      </w:r>
      <w:r w:rsidRPr="00981405">
        <w:t>after</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was</w:t>
      </w:r>
      <w:r w:rsidR="00190923" w:rsidRPr="00981405">
        <w:t xml:space="preserve"> </w:t>
      </w:r>
      <w:r w:rsidRPr="00981405">
        <w:t>merely</w:t>
      </w:r>
      <w:r w:rsidR="00190923" w:rsidRPr="00981405">
        <w:t xml:space="preserve"> </w:t>
      </w:r>
      <w:r w:rsidRPr="00981405">
        <w:t>provisional,</w:t>
      </w:r>
      <w:r w:rsidR="00190923" w:rsidRPr="00981405">
        <w:t xml:space="preserve"> </w:t>
      </w:r>
      <w:r w:rsidRPr="00981405">
        <w:t>had</w:t>
      </w:r>
      <w:r w:rsidR="00190923" w:rsidRPr="00981405">
        <w:t xml:space="preserve"> </w:t>
      </w:r>
      <w:r w:rsidRPr="00981405">
        <w:t>legal</w:t>
      </w:r>
      <w:r w:rsidR="00190923" w:rsidRPr="00981405">
        <w:t xml:space="preserve"> </w:t>
      </w:r>
      <w:r w:rsidRPr="00981405">
        <w:t>effects</w:t>
      </w:r>
      <w:r w:rsidR="00190923" w:rsidRPr="00981405">
        <w:t xml:space="preserve"> </w:t>
      </w:r>
      <w:r w:rsidRPr="00981405">
        <w:t>for</w:t>
      </w:r>
      <w:r w:rsidR="00190923" w:rsidRPr="00981405">
        <w:t xml:space="preserve"> </w:t>
      </w:r>
      <w:r w:rsidRPr="00981405">
        <w:t>only</w:t>
      </w:r>
      <w:r w:rsidR="00190923" w:rsidRPr="00981405">
        <w:t xml:space="preserve"> </w:t>
      </w:r>
      <w:r w:rsidRPr="00981405">
        <w:t>those</w:t>
      </w:r>
      <w:r w:rsidR="00190923" w:rsidRPr="00981405">
        <w:t xml:space="preserve"> </w:t>
      </w:r>
      <w:r w:rsidRPr="00981405">
        <w:t>States</w:t>
      </w:r>
      <w:r w:rsidR="00190923" w:rsidRPr="00981405">
        <w:t xml:space="preserve"> </w:t>
      </w:r>
      <w:r w:rsidRPr="00981405">
        <w:t>that</w:t>
      </w:r>
      <w:r w:rsidR="00190923" w:rsidRPr="00981405">
        <w:t xml:space="preserve"> </w:t>
      </w:r>
      <w:r w:rsidRPr="00981405">
        <w:t>agreed</w:t>
      </w:r>
      <w:r w:rsidR="00190923" w:rsidRPr="00981405">
        <w:t xml:space="preserve"> </w:t>
      </w:r>
      <w:r w:rsidRPr="00981405">
        <w:t>to</w:t>
      </w:r>
      <w:r w:rsidR="00190923" w:rsidRPr="00981405">
        <w:t xml:space="preserve"> </w:t>
      </w:r>
      <w:r w:rsidRPr="00981405">
        <w:t>apply</w:t>
      </w:r>
      <w:r w:rsidR="00190923" w:rsidRPr="00981405">
        <w:t xml:space="preserve"> </w:t>
      </w:r>
      <w:r w:rsidRPr="00981405">
        <w:t>a</w:t>
      </w:r>
      <w:r w:rsidR="00190923" w:rsidRPr="00981405">
        <w:t xml:space="preserve"> </w:t>
      </w:r>
      <w:r w:rsidRPr="00981405">
        <w:t>treaty</w:t>
      </w:r>
      <w:r w:rsidR="00190923" w:rsidRPr="00981405">
        <w:t xml:space="preserve"> </w:t>
      </w:r>
      <w:r w:rsidRPr="00981405">
        <w:t>provisionally,</w:t>
      </w:r>
      <w:r w:rsidR="00190923" w:rsidRPr="00981405">
        <w:t xml:space="preserve"> </w:t>
      </w:r>
      <w:r w:rsidRPr="00981405">
        <w:t>and</w:t>
      </w:r>
      <w:r w:rsidR="00190923" w:rsidRPr="00981405">
        <w:t xml:space="preserve"> </w:t>
      </w:r>
      <w:r w:rsidRPr="00981405">
        <w:t>had</w:t>
      </w:r>
      <w:r w:rsidR="00190923" w:rsidRPr="00981405">
        <w:t xml:space="preserve"> </w:t>
      </w:r>
      <w:r w:rsidRPr="00981405">
        <w:t>such</w:t>
      </w:r>
      <w:r w:rsidR="00190923" w:rsidRPr="00981405">
        <w:t xml:space="preserve"> </w:t>
      </w:r>
      <w:r w:rsidRPr="00981405">
        <w:t>effects</w:t>
      </w:r>
      <w:r w:rsidR="00190923" w:rsidRPr="00981405">
        <w:t xml:space="preserve"> </w:t>
      </w:r>
      <w:r w:rsidRPr="00981405">
        <w:t>for</w:t>
      </w:r>
      <w:r w:rsidR="00190923" w:rsidRPr="00981405">
        <w:t xml:space="preserve"> </w:t>
      </w:r>
      <w:r w:rsidRPr="00981405">
        <w:t>only</w:t>
      </w:r>
      <w:r w:rsidR="00190923" w:rsidRPr="00981405">
        <w:t xml:space="preserve"> </w:t>
      </w:r>
      <w:r w:rsidRPr="00981405">
        <w:t>those</w:t>
      </w:r>
      <w:r w:rsidR="00190923" w:rsidRPr="00981405">
        <w:t xml:space="preserve"> </w:t>
      </w:r>
      <w:r w:rsidRPr="00981405">
        <w:t>parts</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on</w:t>
      </w:r>
      <w:r w:rsidR="00190923" w:rsidRPr="00981405">
        <w:t xml:space="preserve"> </w:t>
      </w:r>
      <w:r w:rsidRPr="00981405">
        <w:t>which</w:t>
      </w:r>
      <w:r w:rsidR="00190923" w:rsidRPr="00981405">
        <w:t xml:space="preserve"> </w:t>
      </w:r>
      <w:r w:rsidRPr="00981405">
        <w:t>there</w:t>
      </w:r>
      <w:r w:rsidR="00190923" w:rsidRPr="00981405">
        <w:t xml:space="preserve"> </w:t>
      </w:r>
      <w:r w:rsidRPr="00981405">
        <w:t>was</w:t>
      </w:r>
      <w:r w:rsidR="00190923" w:rsidRPr="00981405">
        <w:t xml:space="preserve"> </w:t>
      </w:r>
      <w:r w:rsidRPr="00981405">
        <w:t>such</w:t>
      </w:r>
      <w:r w:rsidR="00190923" w:rsidRPr="00981405">
        <w:t xml:space="preserve"> </w:t>
      </w:r>
      <w:r w:rsidRPr="00981405">
        <w:t>agreement.</w:t>
      </w:r>
      <w:r w:rsidR="00190923" w:rsidRPr="00981405">
        <w:t xml:space="preserve"> </w:t>
      </w:r>
      <w:r w:rsidRPr="00981405">
        <w:t>Furthermore,</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could</w:t>
      </w:r>
      <w:r w:rsidR="00190923" w:rsidRPr="00981405">
        <w:t xml:space="preserve"> </w:t>
      </w:r>
      <w:r w:rsidRPr="00981405">
        <w:t>also</w:t>
      </w:r>
      <w:r w:rsidR="00190923" w:rsidRPr="00981405">
        <w:t xml:space="preserve"> </w:t>
      </w:r>
      <w:r w:rsidRPr="00981405">
        <w:t>address</w:t>
      </w:r>
      <w:r w:rsidR="00190923" w:rsidRPr="00981405">
        <w:t xml:space="preserve"> </w:t>
      </w:r>
      <w:r w:rsidRPr="00981405">
        <w:t>whether</w:t>
      </w:r>
      <w:r w:rsidR="00190923" w:rsidRPr="00981405">
        <w:t xml:space="preserve"> </w:t>
      </w:r>
      <w:r w:rsidRPr="00981405">
        <w:t>the</w:t>
      </w:r>
      <w:r w:rsidR="00190923" w:rsidRPr="00981405">
        <w:t xml:space="preserve"> </w:t>
      </w:r>
      <w:r w:rsidRPr="00981405">
        <w:t>termination</w:t>
      </w:r>
      <w:r w:rsidR="00190923" w:rsidRPr="00981405">
        <w:t xml:space="preserve"> </w:t>
      </w:r>
      <w:r w:rsidRPr="00981405">
        <w:t>and</w:t>
      </w:r>
      <w:r w:rsidR="00190923" w:rsidRPr="00981405">
        <w:t xml:space="preserve"> </w:t>
      </w:r>
      <w:r w:rsidRPr="00981405">
        <w:t>suspension</w:t>
      </w:r>
      <w:r w:rsidR="00190923" w:rsidRPr="00981405">
        <w:t xml:space="preserve"> </w:t>
      </w:r>
      <w:r w:rsidRPr="00981405">
        <w:t>processes</w:t>
      </w:r>
      <w:r w:rsidR="00190923" w:rsidRPr="00981405">
        <w:t xml:space="preserve"> </w:t>
      </w:r>
      <w:r w:rsidRPr="00981405">
        <w:t>for</w:t>
      </w:r>
      <w:r w:rsidR="00190923" w:rsidRPr="00981405">
        <w:t xml:space="preserve"> </w:t>
      </w:r>
      <w:r w:rsidRPr="00981405">
        <w:t>both</w:t>
      </w:r>
      <w:r w:rsidR="00190923" w:rsidRPr="00981405">
        <w:t xml:space="preserve"> </w:t>
      </w:r>
      <w:r w:rsidRPr="00981405">
        <w:t>regimes</w:t>
      </w:r>
      <w:r w:rsidR="00190923" w:rsidRPr="00981405">
        <w:t xml:space="preserve"> </w:t>
      </w:r>
      <w:r w:rsidRPr="00981405">
        <w:t>were</w:t>
      </w:r>
      <w:r w:rsidR="00190923" w:rsidRPr="00981405">
        <w:t xml:space="preserve"> </w:t>
      </w:r>
      <w:r w:rsidRPr="00981405">
        <w:t>identical.</w:t>
      </w:r>
      <w:r w:rsidR="00190923" w:rsidRPr="00981405">
        <w:t xml:space="preserve"> </w:t>
      </w:r>
    </w:p>
    <w:p w:rsidR="00397032" w:rsidRPr="00981405" w:rsidRDefault="00397032" w:rsidP="00D97463">
      <w:pPr>
        <w:pStyle w:val="SingleTxt"/>
      </w:pPr>
      <w:r w:rsidRPr="00981405">
        <w:t>261.</w:t>
      </w:r>
      <w:r w:rsidRPr="00981405">
        <w:tab/>
        <w:t>Members</w:t>
      </w:r>
      <w:r w:rsidR="00190923" w:rsidRPr="00981405">
        <w:t xml:space="preserve"> </w:t>
      </w:r>
      <w:r w:rsidRPr="00981405">
        <w:t>endorsed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B92E2C" w:rsidRPr="00981405">
        <w:t>’</w:t>
      </w:r>
      <w:r w:rsidRPr="00981405">
        <w:t>s</w:t>
      </w:r>
      <w:r w:rsidR="00190923" w:rsidRPr="00981405">
        <w:t xml:space="preserve"> </w:t>
      </w:r>
      <w:r w:rsidRPr="00981405">
        <w:t>assessment</w:t>
      </w:r>
      <w:r w:rsidR="00190923" w:rsidRPr="00981405">
        <w:t xml:space="preserve"> </w:t>
      </w:r>
      <w:r w:rsidRPr="00981405">
        <w:t>that</w:t>
      </w:r>
      <w:r w:rsidR="00190923" w:rsidRPr="00981405">
        <w:t xml:space="preserve"> </w:t>
      </w:r>
      <w:r w:rsidRPr="00981405">
        <w:t>the</w:t>
      </w:r>
      <w:r w:rsidR="00190923" w:rsidRPr="00981405">
        <w:t xml:space="preserve"> </w:t>
      </w:r>
      <w:r w:rsidRPr="00981405">
        <w:t>legal</w:t>
      </w:r>
      <w:r w:rsidR="00190923" w:rsidRPr="00981405">
        <w:t xml:space="preserve"> </w:t>
      </w:r>
      <w:r w:rsidRPr="00981405">
        <w:t>effects</w:t>
      </w:r>
      <w:r w:rsidR="00190923" w:rsidRPr="00981405">
        <w:t xml:space="preserve"> </w:t>
      </w:r>
      <w:r w:rsidRPr="00981405">
        <w:t>of</w:t>
      </w:r>
      <w:r w:rsidR="00190923" w:rsidRPr="00981405">
        <w:t xml:space="preserve"> </w:t>
      </w:r>
      <w:r w:rsidRPr="00981405">
        <w:t>a</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treaty</w:t>
      </w:r>
      <w:r w:rsidR="00190923" w:rsidRPr="00981405">
        <w:t xml:space="preserve"> </w:t>
      </w:r>
      <w:r w:rsidRPr="00981405">
        <w:t>were</w:t>
      </w:r>
      <w:r w:rsidR="00190923" w:rsidRPr="00981405">
        <w:t xml:space="preserve"> </w:t>
      </w:r>
      <w:r w:rsidRPr="00981405">
        <w:t>the</w:t>
      </w:r>
      <w:r w:rsidR="00190923" w:rsidRPr="00981405">
        <w:t xml:space="preserve"> </w:t>
      </w:r>
      <w:r w:rsidRPr="00981405">
        <w:t>same</w:t>
      </w:r>
      <w:r w:rsidR="00190923" w:rsidRPr="00981405">
        <w:t xml:space="preserve"> </w:t>
      </w:r>
      <w:r w:rsidRPr="00981405">
        <w:t>as</w:t>
      </w:r>
      <w:r w:rsidR="00190923" w:rsidRPr="00981405">
        <w:t xml:space="preserve"> </w:t>
      </w:r>
      <w:r w:rsidRPr="00981405">
        <w:t>those</w:t>
      </w:r>
      <w:r w:rsidR="00190923" w:rsidRPr="00981405">
        <w:t xml:space="preserve"> </w:t>
      </w:r>
      <w:r w:rsidRPr="00981405">
        <w:t>stemming</w:t>
      </w:r>
      <w:r w:rsidR="00190923" w:rsidRPr="00981405">
        <w:t xml:space="preserve"> </w:t>
      </w:r>
      <w:r w:rsidRPr="00981405">
        <w:t>from</w:t>
      </w:r>
      <w:r w:rsidR="00190923" w:rsidRPr="00981405">
        <w:t xml:space="preserve"> </w:t>
      </w:r>
      <w:r w:rsidRPr="00981405">
        <w:t>a</w:t>
      </w:r>
      <w:r w:rsidR="00190923" w:rsidRPr="00981405">
        <w:t xml:space="preserve"> </w:t>
      </w:r>
      <w:r w:rsidRPr="00981405">
        <w:t>treaty</w:t>
      </w:r>
      <w:r w:rsidR="00190923" w:rsidRPr="00981405">
        <w:t xml:space="preserve"> </w:t>
      </w:r>
      <w:r w:rsidRPr="00981405">
        <w:t>in</w:t>
      </w:r>
      <w:r w:rsidR="00190923" w:rsidRPr="00981405">
        <w:t xml:space="preserve"> </w:t>
      </w:r>
      <w:r w:rsidRPr="00981405">
        <w:t>force.</w:t>
      </w:r>
      <w:r w:rsidR="00190923" w:rsidRPr="00981405">
        <w:t xml:space="preserve"> </w:t>
      </w:r>
      <w:r w:rsidRPr="00981405">
        <w:t>It</w:t>
      </w:r>
      <w:r w:rsidR="00190923" w:rsidRPr="00981405">
        <w:t xml:space="preserve"> </w:t>
      </w:r>
      <w:r w:rsidRPr="00981405">
        <w:t>was</w:t>
      </w:r>
      <w:r w:rsidR="00190923" w:rsidRPr="00981405">
        <w:t xml:space="preserve"> </w:t>
      </w:r>
      <w:r w:rsidRPr="00981405">
        <w:t>maintained</w:t>
      </w:r>
      <w:r w:rsidR="00190923" w:rsidRPr="00981405">
        <w:t xml:space="preserve"> </w:t>
      </w:r>
      <w:r w:rsidRPr="00981405">
        <w:t>that</w:t>
      </w:r>
      <w:r w:rsidR="00190923" w:rsidRPr="00981405">
        <w:t xml:space="preserve"> </w:t>
      </w:r>
      <w:r w:rsidRPr="00981405">
        <w:t>a</w:t>
      </w:r>
      <w:r w:rsidR="00190923" w:rsidRPr="00981405">
        <w:t xml:space="preserve"> </w:t>
      </w:r>
      <w:r w:rsidRPr="00981405">
        <w:t>State</w:t>
      </w:r>
      <w:r w:rsidR="00190923" w:rsidRPr="00981405">
        <w:t xml:space="preserve"> </w:t>
      </w:r>
      <w:r w:rsidRPr="00981405">
        <w:t>could</w:t>
      </w:r>
      <w:r w:rsidR="00190923" w:rsidRPr="00981405">
        <w:t xml:space="preserve"> </w:t>
      </w:r>
      <w:r w:rsidRPr="00981405">
        <w:t>not</w:t>
      </w:r>
      <w:r w:rsidR="00190923" w:rsidRPr="00981405">
        <w:t xml:space="preserve"> </w:t>
      </w:r>
      <w:r w:rsidRPr="00981405">
        <w:t>hide</w:t>
      </w:r>
      <w:r w:rsidR="00190923" w:rsidRPr="00981405">
        <w:t xml:space="preserve"> </w:t>
      </w:r>
      <w:r w:rsidRPr="00981405">
        <w:t>behind</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treaty</w:t>
      </w:r>
      <w:r w:rsidR="00190923" w:rsidRPr="00981405">
        <w:t xml:space="preserve"> </w:t>
      </w:r>
      <w:r w:rsidRPr="00981405">
        <w:t>was</w:t>
      </w:r>
      <w:r w:rsidR="00190923" w:rsidRPr="00981405">
        <w:t xml:space="preserve"> </w:t>
      </w:r>
      <w:r w:rsidRPr="00981405">
        <w:t>being</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to</w:t>
      </w:r>
      <w:r w:rsidR="00190923" w:rsidRPr="00981405">
        <w:t xml:space="preserve"> </w:t>
      </w:r>
      <w:r w:rsidRPr="00981405">
        <w:t>contend</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not</w:t>
      </w:r>
      <w:r w:rsidR="00190923" w:rsidRPr="00981405">
        <w:t xml:space="preserve"> </w:t>
      </w:r>
      <w:r w:rsidRPr="00981405">
        <w:t>accept</w:t>
      </w:r>
      <w:r w:rsidR="00190923" w:rsidRPr="00981405">
        <w:t xml:space="preserve"> </w:t>
      </w:r>
      <w:r w:rsidRPr="00981405">
        <w:t>the</w:t>
      </w:r>
      <w:r w:rsidR="00190923" w:rsidRPr="00981405">
        <w:t xml:space="preserve"> </w:t>
      </w:r>
      <w:r w:rsidRPr="00981405">
        <w:t>validity</w:t>
      </w:r>
      <w:r w:rsidR="00190923" w:rsidRPr="00981405">
        <w:t xml:space="preserve"> </w:t>
      </w:r>
      <w:r w:rsidRPr="00981405">
        <w:t>of</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effects</w:t>
      </w:r>
      <w:r w:rsidR="00190923" w:rsidRPr="00981405">
        <w:t xml:space="preserve"> </w:t>
      </w:r>
      <w:r w:rsidRPr="00981405">
        <w:t>produced</w:t>
      </w:r>
      <w:r w:rsidR="00190923" w:rsidRPr="00981405">
        <w:t xml:space="preserve"> </w:t>
      </w:r>
      <w:r w:rsidRPr="00981405">
        <w:t>by</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provisionally</w:t>
      </w:r>
      <w:r w:rsidR="00190923" w:rsidRPr="00981405">
        <w:t xml:space="preserve"> </w:t>
      </w:r>
      <w:r w:rsidRPr="00981405">
        <w:t>apply</w:t>
      </w:r>
      <w:r w:rsidR="00190923" w:rsidRPr="00981405">
        <w:t xml:space="preserve"> </w:t>
      </w:r>
      <w:r w:rsidRPr="00981405">
        <w:t>that</w:t>
      </w:r>
      <w:r w:rsidR="00190923" w:rsidRPr="00981405">
        <w:t xml:space="preserve"> </w:t>
      </w:r>
      <w:r w:rsidRPr="00981405">
        <w:t>treaty.</w:t>
      </w:r>
      <w:r w:rsidR="00190923" w:rsidRPr="00981405">
        <w:t xml:space="preserve"> </w:t>
      </w:r>
      <w:r w:rsidRPr="00981405">
        <w:t>Accordingly</w:t>
      </w:r>
      <w:r w:rsidR="00190923" w:rsidRPr="00981405">
        <w:t xml:space="preserve"> </w:t>
      </w:r>
      <w:r w:rsidRPr="00981405">
        <w:t>a</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treaty</w:t>
      </w:r>
      <w:r w:rsidR="00190923" w:rsidRPr="00981405">
        <w:t xml:space="preserve"> </w:t>
      </w:r>
      <w:r w:rsidRPr="00981405">
        <w:t>was</w:t>
      </w:r>
      <w:r w:rsidR="00190923" w:rsidRPr="00981405">
        <w:t xml:space="preserve"> </w:t>
      </w: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D97463">
        <w:rPr>
          <w:i/>
          <w:iCs/>
        </w:rPr>
        <w:t>pacta</w:t>
      </w:r>
      <w:r w:rsidR="00190923" w:rsidRPr="00981405">
        <w:rPr>
          <w:i/>
          <w:iCs/>
        </w:rPr>
        <w:t xml:space="preserve"> </w:t>
      </w:r>
      <w:r w:rsidRPr="00D97463">
        <w:rPr>
          <w:i/>
          <w:iCs/>
        </w:rPr>
        <w:t>sunt</w:t>
      </w:r>
      <w:r w:rsidR="00190923" w:rsidRPr="00981405">
        <w:rPr>
          <w:i/>
          <w:iCs/>
        </w:rPr>
        <w:t xml:space="preserve"> </w:t>
      </w:r>
      <w:r w:rsidRPr="00D97463">
        <w:rPr>
          <w:i/>
          <w:iCs/>
        </w:rPr>
        <w:t>servanda</w:t>
      </w:r>
      <w:r w:rsidR="00190923" w:rsidRPr="00981405">
        <w:t xml:space="preserve"> </w:t>
      </w:r>
      <w:r w:rsidRPr="00981405">
        <w:t>rule</w:t>
      </w:r>
      <w:r w:rsidR="00190923" w:rsidRPr="00981405">
        <w:t xml:space="preserve"> </w:t>
      </w:r>
      <w:r w:rsidRPr="00981405">
        <w:t>in</w:t>
      </w:r>
      <w:r w:rsidR="00190923" w:rsidRPr="00981405">
        <w:t xml:space="preserve"> </w:t>
      </w:r>
      <w:r w:rsidRPr="00981405">
        <w:t>article</w:t>
      </w:r>
      <w:r w:rsidR="00190923" w:rsidRPr="00981405">
        <w:t xml:space="preserve"> </w:t>
      </w:r>
      <w:r w:rsidRPr="00981405">
        <w:t>26</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Its</w:t>
      </w:r>
      <w:r w:rsidR="00190923" w:rsidRPr="00981405">
        <w:t xml:space="preserve"> </w:t>
      </w:r>
      <w:r w:rsidRPr="00981405">
        <w:t>breach</w:t>
      </w:r>
      <w:r w:rsidR="00190923" w:rsidRPr="00981405">
        <w:t xml:space="preserve"> </w:t>
      </w:r>
      <w:r w:rsidRPr="00981405">
        <w:t>would</w:t>
      </w:r>
      <w:r w:rsidR="00190923" w:rsidRPr="00981405">
        <w:t xml:space="preserve"> </w:t>
      </w:r>
      <w:r w:rsidRPr="00981405">
        <w:t>also</w:t>
      </w:r>
      <w:r w:rsidR="00190923" w:rsidRPr="00981405">
        <w:t xml:space="preserve"> </w:t>
      </w:r>
      <w:r w:rsidRPr="00981405">
        <w:t>trigger</w:t>
      </w:r>
      <w:r w:rsidR="00190923" w:rsidRPr="00981405">
        <w:t xml:space="preserve"> </w:t>
      </w:r>
      <w:r w:rsidRPr="00981405">
        <w:t>the</w:t>
      </w:r>
      <w:r w:rsidR="00190923" w:rsidRPr="00981405">
        <w:t xml:space="preserve"> </w:t>
      </w:r>
      <w:r w:rsidRPr="00981405">
        <w:t>operation</w:t>
      </w:r>
      <w:r w:rsidR="00190923" w:rsidRPr="00981405">
        <w:t xml:space="preserve"> </w:t>
      </w:r>
      <w:r w:rsidRPr="00981405">
        <w:t>of</w:t>
      </w:r>
      <w:r w:rsidR="00190923" w:rsidRPr="00981405">
        <w:t xml:space="preserve"> </w:t>
      </w:r>
      <w:r w:rsidRPr="00981405">
        <w:t>the</w:t>
      </w:r>
      <w:r w:rsidR="00190923" w:rsidRPr="00981405">
        <w:t xml:space="preserve"> </w:t>
      </w:r>
      <w:r w:rsidRPr="00981405">
        <w:t>applicable</w:t>
      </w:r>
      <w:r w:rsidR="00190923" w:rsidRPr="00981405">
        <w:t xml:space="preserve"> </w:t>
      </w:r>
      <w:r w:rsidRPr="00981405">
        <w:t>rules</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responsibility</w:t>
      </w:r>
      <w:r w:rsidR="00190923" w:rsidRPr="00981405">
        <w:t xml:space="preserve"> </w:t>
      </w:r>
      <w:r w:rsidRPr="00981405">
        <w:t>for</w:t>
      </w:r>
      <w:r w:rsidR="00190923" w:rsidRPr="00981405">
        <w:t xml:space="preserve"> </w:t>
      </w:r>
      <w:r w:rsidRPr="00981405">
        <w:t>wrongful</w:t>
      </w:r>
      <w:r w:rsidR="00190923" w:rsidRPr="00981405">
        <w:t xml:space="preserve"> </w:t>
      </w:r>
      <w:r w:rsidRPr="00981405">
        <w:t>acts,</w:t>
      </w:r>
      <w:r w:rsidR="00190923" w:rsidRPr="00981405">
        <w:t xml:space="preserve"> </w:t>
      </w:r>
      <w:r w:rsidRPr="00981405">
        <w:t>as</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the</w:t>
      </w:r>
      <w:r w:rsidR="00190923" w:rsidRPr="00981405">
        <w:t xml:space="preserve"> </w:t>
      </w:r>
      <w:r w:rsidRPr="00981405">
        <w:t>breach</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in</w:t>
      </w:r>
      <w:r w:rsidR="00190923" w:rsidRPr="00981405">
        <w:t xml:space="preserve"> </w:t>
      </w:r>
      <w:r w:rsidRPr="00981405">
        <w:t>force.</w:t>
      </w:r>
      <w:r w:rsidR="00190923" w:rsidRPr="00981405">
        <w:t xml:space="preserve"> </w:t>
      </w:r>
      <w:r w:rsidRPr="00981405">
        <w:t>A</w:t>
      </w:r>
      <w:r w:rsidR="00190923" w:rsidRPr="00981405">
        <w:t xml:space="preserve"> </w:t>
      </w:r>
      <w:r w:rsidRPr="00981405">
        <w:t>further</w:t>
      </w:r>
      <w:r w:rsidR="00190923" w:rsidRPr="00981405">
        <w:t xml:space="preserve"> </w:t>
      </w:r>
      <w:r w:rsidRPr="00981405">
        <w:t>view</w:t>
      </w:r>
      <w:r w:rsidR="00190923" w:rsidRPr="00981405">
        <w:t xml:space="preserve"> </w:t>
      </w:r>
      <w:r w:rsidRPr="00981405">
        <w:t>was</w:t>
      </w:r>
      <w:r w:rsidR="00190923" w:rsidRPr="00981405">
        <w:t xml:space="preserve"> </w:t>
      </w:r>
      <w:r w:rsidRPr="00981405">
        <w:t>that</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treaties</w:t>
      </w:r>
      <w:r w:rsidR="00190923" w:rsidRPr="00981405">
        <w:t xml:space="preserve"> </w:t>
      </w:r>
      <w:r w:rsidRPr="00981405">
        <w:t>in</w:t>
      </w:r>
      <w:r w:rsidR="00190923" w:rsidRPr="00981405">
        <w:t xml:space="preserve"> </w:t>
      </w:r>
      <w:r w:rsidRPr="00981405">
        <w:t>force</w:t>
      </w:r>
      <w:r w:rsidR="00190923" w:rsidRPr="00981405">
        <w:t xml:space="preserve"> </w:t>
      </w:r>
      <w:r w:rsidRPr="00981405">
        <w:t>and</w:t>
      </w:r>
      <w:r w:rsidR="00190923" w:rsidRPr="00981405">
        <w:t xml:space="preserve"> </w:t>
      </w:r>
      <w:r w:rsidRPr="00981405">
        <w:t>those</w:t>
      </w:r>
      <w:r w:rsidR="00190923" w:rsidRPr="00981405">
        <w:t xml:space="preserve"> </w:t>
      </w:r>
      <w:r w:rsidRPr="00981405">
        <w:t>being</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was</w:t>
      </w:r>
      <w:r w:rsidR="00190923" w:rsidRPr="00981405">
        <w:t xml:space="preserve"> </w:t>
      </w:r>
      <w:r w:rsidRPr="00981405">
        <w:t>less</w:t>
      </w:r>
      <w:r w:rsidR="00190923" w:rsidRPr="00981405">
        <w:t xml:space="preserve"> </w:t>
      </w:r>
      <w:r w:rsidRPr="00981405">
        <w:t>substantive</w:t>
      </w:r>
      <w:r w:rsidR="00190923" w:rsidRPr="00981405">
        <w:t xml:space="preserve"> </w:t>
      </w:r>
      <w:r w:rsidRPr="00981405">
        <w:t>and</w:t>
      </w:r>
      <w:r w:rsidR="00190923" w:rsidRPr="00981405">
        <w:t xml:space="preserve"> </w:t>
      </w:r>
      <w:r w:rsidRPr="00981405">
        <w:t>more</w:t>
      </w:r>
      <w:r w:rsidR="00190923" w:rsidRPr="00981405">
        <w:t xml:space="preserve"> </w:t>
      </w:r>
      <w:r w:rsidRPr="00981405">
        <w:t>procedural,</w:t>
      </w:r>
      <w:r w:rsidR="00190923" w:rsidRPr="00981405">
        <w:t xml:space="preserve"> </w:t>
      </w:r>
      <w:r w:rsidRPr="00981405">
        <w:t>with</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simpler</w:t>
      </w:r>
      <w:r w:rsidR="00190923" w:rsidRPr="00981405">
        <w:t xml:space="preserve"> </w:t>
      </w:r>
      <w:r w:rsidRPr="00981405">
        <w:t>to</w:t>
      </w:r>
      <w:r w:rsidR="00190923" w:rsidRPr="00981405">
        <w:t xml:space="preserve"> </w:t>
      </w:r>
      <w:r w:rsidRPr="00981405">
        <w:t>commence</w:t>
      </w:r>
      <w:r w:rsidR="00190923" w:rsidRPr="00981405">
        <w:t xml:space="preserve"> </w:t>
      </w:r>
      <w:r w:rsidRPr="00981405">
        <w:t>and</w:t>
      </w:r>
      <w:r w:rsidR="00190923" w:rsidRPr="00981405">
        <w:t xml:space="preserve"> </w:t>
      </w:r>
      <w:r w:rsidRPr="00981405">
        <w:t>to</w:t>
      </w:r>
      <w:r w:rsidR="00190923" w:rsidRPr="00981405">
        <w:t xml:space="preserve"> </w:t>
      </w:r>
      <w:r w:rsidRPr="00981405">
        <w:t>end.</w:t>
      </w:r>
      <w:r w:rsidR="00190923" w:rsidRPr="00981405">
        <w:t xml:space="preserve"> </w:t>
      </w:r>
      <w:r w:rsidRPr="00981405">
        <w:t>Some</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that</w:t>
      </w:r>
      <w:r w:rsidR="00190923" w:rsidRPr="00981405">
        <w:t xml:space="preserve"> </w:t>
      </w:r>
      <w:r w:rsidRPr="00981405">
        <w:t>article</w:t>
      </w:r>
      <w:r w:rsidR="00190923" w:rsidRPr="00981405">
        <w:t xml:space="preserve"> </w:t>
      </w:r>
      <w:r w:rsidRPr="00981405">
        <w:t>27</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was</w:t>
      </w:r>
      <w:r w:rsidR="00190923" w:rsidRPr="00981405">
        <w:t xml:space="preserve"> </w:t>
      </w:r>
      <w:r w:rsidRPr="00981405">
        <w:t>also</w:t>
      </w:r>
      <w:r w:rsidR="00190923" w:rsidRPr="00981405">
        <w:t xml:space="preserve"> </w:t>
      </w:r>
      <w:r w:rsidRPr="00981405">
        <w:t>applicable</w:t>
      </w:r>
      <w:r w:rsidR="00190923" w:rsidRPr="00981405">
        <w:t xml:space="preserve"> </w:t>
      </w:r>
      <w:r w:rsidRPr="00981405">
        <w:t>to</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treaties.</w:t>
      </w:r>
      <w:r w:rsidR="00190923" w:rsidRPr="00981405">
        <w:t xml:space="preserve"> </w:t>
      </w:r>
    </w:p>
    <w:p w:rsidR="00397032" w:rsidRPr="00981405" w:rsidRDefault="00397032" w:rsidP="00D97463">
      <w:pPr>
        <w:pStyle w:val="SingleTxt"/>
      </w:pPr>
      <w:r w:rsidRPr="00981405">
        <w:t>262.</w:t>
      </w:r>
      <w:r w:rsidRPr="00981405">
        <w:tab/>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example,</w:t>
      </w:r>
      <w:r w:rsidR="00190923" w:rsidRPr="00981405">
        <w:t xml:space="preserve"> </w:t>
      </w:r>
      <w:r w:rsidRPr="00981405">
        <w:t>cited</w:t>
      </w:r>
      <w:r w:rsidR="00190923" w:rsidRPr="00981405">
        <w:t xml:space="preserve"> </w:t>
      </w:r>
      <w:r w:rsidRPr="00981405">
        <w:t>in</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Chemical</w:t>
      </w:r>
      <w:r w:rsidR="00190923" w:rsidRPr="00981405">
        <w:t xml:space="preserve"> </w:t>
      </w:r>
      <w:r w:rsidRPr="00981405">
        <w:t>Weapons</w:t>
      </w:r>
      <w:r w:rsidR="00190923" w:rsidRPr="00981405">
        <w:t xml:space="preserve"> </w:t>
      </w:r>
      <w:r w:rsidRPr="00981405">
        <w:t>Convention</w:t>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Pr="00981405">
        <w:t>of</w:t>
      </w:r>
      <w:r w:rsidR="00190923" w:rsidRPr="00981405">
        <w:t xml:space="preserve"> </w:t>
      </w:r>
      <w:r w:rsidRPr="00981405">
        <w:t>a</w:t>
      </w:r>
      <w:r w:rsidR="00190923" w:rsidRPr="00981405">
        <w:t xml:space="preserve"> </w:t>
      </w:r>
      <w:r w:rsidRPr="00981405">
        <w:t>unilateral</w:t>
      </w:r>
      <w:r w:rsidR="00190923" w:rsidRPr="00981405">
        <w:t xml:space="preserve"> </w:t>
      </w:r>
      <w:r w:rsidRPr="00981405">
        <w:t>declaration</w:t>
      </w:r>
      <w:r w:rsidR="00190923" w:rsidRPr="00981405">
        <w:t xml:space="preserve"> </w:t>
      </w:r>
      <w:r w:rsidRPr="00981405">
        <w:t>by</w:t>
      </w:r>
      <w:r w:rsidR="00190923" w:rsidRPr="00981405">
        <w:t xml:space="preserve"> </w:t>
      </w:r>
      <w:r w:rsidRPr="00981405">
        <w:t>Syria,</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by</w:t>
      </w:r>
      <w:r w:rsidR="00190923" w:rsidRPr="00981405">
        <w:t xml:space="preserve"> </w:t>
      </w:r>
      <w:r w:rsidRPr="00981405">
        <w:t>some</w:t>
      </w:r>
      <w:r w:rsidR="00190923" w:rsidRPr="00981405">
        <w:t xml:space="preserve"> </w:t>
      </w:r>
      <w:r w:rsidRPr="00981405">
        <w:t>members</w:t>
      </w:r>
      <w:r w:rsidR="00190923" w:rsidRPr="00981405">
        <w:t xml:space="preserve"> </w:t>
      </w:r>
      <w:r w:rsidRPr="00981405">
        <w:t>that</w:t>
      </w:r>
      <w:r w:rsidR="00190923" w:rsidRPr="00981405">
        <w:t xml:space="preserve"> </w:t>
      </w:r>
      <w:r w:rsidRPr="00981405">
        <w:t>it</w:t>
      </w:r>
      <w:r w:rsidR="00190923" w:rsidRPr="00981405">
        <w:t xml:space="preserve"> </w:t>
      </w:r>
      <w:r w:rsidRPr="00981405">
        <w:t>did</w:t>
      </w:r>
      <w:r w:rsidR="00190923" w:rsidRPr="00981405">
        <w:t xml:space="preserve"> </w:t>
      </w:r>
      <w:r w:rsidRPr="00981405">
        <w:t>not</w:t>
      </w:r>
      <w:r w:rsidR="00190923" w:rsidRPr="00981405">
        <w:t xml:space="preserve"> </w:t>
      </w:r>
      <w:r w:rsidRPr="00981405">
        <w:t>concern</w:t>
      </w:r>
      <w:r w:rsidR="00190923" w:rsidRPr="00981405">
        <w:t xml:space="preserve"> </w:t>
      </w:r>
      <w:r w:rsidRPr="00981405">
        <w:t>provisional</w:t>
      </w:r>
      <w:r w:rsidR="00190923" w:rsidRPr="00981405">
        <w:t xml:space="preserve"> </w:t>
      </w:r>
      <w:r w:rsidRPr="00981405">
        <w:t>application</w:t>
      </w:r>
      <w:r w:rsidR="00190923" w:rsidRPr="00981405">
        <w:t xml:space="preserve"> </w:t>
      </w:r>
      <w:r w:rsidR="00190923" w:rsidRPr="00981405">
        <w:rPr>
          <w:i/>
          <w:iCs/>
        </w:rPr>
        <w:lastRenderedPageBreak/>
        <w:t xml:space="preserve">stricto sensu </w:t>
      </w:r>
      <w:r w:rsidRPr="00981405">
        <w:t>under</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unless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had</w:t>
      </w:r>
      <w:r w:rsidR="00190923" w:rsidRPr="00981405">
        <w:t xml:space="preserve"> </w:t>
      </w:r>
      <w:r w:rsidRPr="00981405">
        <w:t>been</w:t>
      </w:r>
      <w:r w:rsidR="00190923" w:rsidRPr="00981405">
        <w:t xml:space="preserve"> </w:t>
      </w:r>
      <w:r w:rsidRPr="00981405">
        <w:t>evidenced</w:t>
      </w:r>
      <w:r w:rsidR="00190923" w:rsidRPr="00981405">
        <w:t xml:space="preserve"> </w:t>
      </w:r>
      <w:r w:rsidRPr="00981405">
        <w:t>by</w:t>
      </w:r>
      <w:r w:rsidR="00190923" w:rsidRPr="00981405">
        <w:t xml:space="preserve"> </w:t>
      </w:r>
      <w:r w:rsidRPr="00981405">
        <w:t>their</w:t>
      </w:r>
      <w:r w:rsidR="00190923" w:rsidRPr="00981405">
        <w:t xml:space="preserve"> </w:t>
      </w:r>
      <w:r w:rsidRPr="00981405">
        <w:t>silence</w:t>
      </w:r>
      <w:r w:rsidR="00190923" w:rsidRPr="00981405">
        <w:t xml:space="preserve"> </w:t>
      </w:r>
      <w:r w:rsidRPr="00981405">
        <w:t>or</w:t>
      </w:r>
      <w:r w:rsidR="00190923" w:rsidRPr="00981405">
        <w:t xml:space="preserve"> </w:t>
      </w:r>
      <w:r w:rsidRPr="00981405">
        <w:t>inaction</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Syria</w:t>
      </w:r>
      <w:r w:rsidR="00B92E2C" w:rsidRPr="00981405">
        <w:t>’</w:t>
      </w:r>
      <w:r w:rsidRPr="00981405">
        <w:t>s</w:t>
      </w:r>
      <w:r w:rsidR="00190923" w:rsidRPr="00981405">
        <w:t xml:space="preserve"> </w:t>
      </w:r>
      <w:r w:rsidRPr="00981405">
        <w:t>unilateral</w:t>
      </w:r>
      <w:r w:rsidR="00190923" w:rsidRPr="00981405">
        <w:t xml:space="preserve"> </w:t>
      </w:r>
      <w:r w:rsidRPr="00981405">
        <w:t>declaration.</w:t>
      </w:r>
      <w:r w:rsidR="00190923" w:rsidRPr="00981405">
        <w:t xml:space="preserve"> </w:t>
      </w:r>
      <w:r w:rsidRPr="00981405">
        <w:t>If</w:t>
      </w:r>
      <w:r w:rsidR="00190923" w:rsidRPr="00981405">
        <w:t xml:space="preserve"> </w:t>
      </w:r>
      <w:r w:rsidRPr="00981405">
        <w:t>so,</w:t>
      </w:r>
      <w:r w:rsidR="00190923" w:rsidRPr="00981405">
        <w:t xml:space="preserve"> </w:t>
      </w:r>
      <w:r w:rsidRPr="00981405">
        <w:t>then</w:t>
      </w:r>
      <w:r w:rsidR="00190923" w:rsidRPr="00981405">
        <w:t xml:space="preserve"> </w:t>
      </w:r>
      <w:r w:rsidRPr="00981405">
        <w:t>further</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phrase</w:t>
      </w:r>
      <w:r w:rsidR="00190923" w:rsidRPr="00981405">
        <w:t xml:space="preserve"> </w:t>
      </w:r>
      <w:r w:rsidR="00B92E2C" w:rsidRPr="00981405">
        <w:t>“</w:t>
      </w:r>
      <w:r w:rsidRPr="00981405">
        <w:t>have</w:t>
      </w:r>
      <w:r w:rsidR="00190923" w:rsidRPr="00981405">
        <w:t xml:space="preserve"> </w:t>
      </w:r>
      <w:r w:rsidRPr="00981405">
        <w:t>in</w:t>
      </w:r>
      <w:r w:rsidR="00190923" w:rsidRPr="00981405">
        <w:t xml:space="preserve"> </w:t>
      </w:r>
      <w:r w:rsidRPr="00981405">
        <w:t>some</w:t>
      </w:r>
      <w:r w:rsidR="00190923" w:rsidRPr="00981405">
        <w:t xml:space="preserve"> </w:t>
      </w:r>
      <w:r w:rsidRPr="00981405">
        <w:t>other</w:t>
      </w:r>
      <w:r w:rsidR="00190923" w:rsidRPr="00981405">
        <w:t xml:space="preserve"> </w:t>
      </w:r>
      <w:r w:rsidRPr="00981405">
        <w:t>manner</w:t>
      </w:r>
      <w:r w:rsidR="00190923" w:rsidRPr="00981405">
        <w:t xml:space="preserve"> </w:t>
      </w:r>
      <w:r w:rsidRPr="00981405">
        <w:t>so</w:t>
      </w:r>
      <w:r w:rsidR="00190923" w:rsidRPr="00981405">
        <w:t xml:space="preserve"> </w:t>
      </w:r>
      <w:r w:rsidRPr="00981405">
        <w:t>agreed</w:t>
      </w:r>
      <w:r w:rsidR="00B92E2C" w:rsidRPr="00981405">
        <w:t>”</w:t>
      </w:r>
      <w:r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25,</w:t>
      </w:r>
      <w:r w:rsidR="00190923" w:rsidRPr="00981405">
        <w:t xml:space="preserve"> </w:t>
      </w:r>
      <w:r w:rsidRPr="00981405">
        <w:t>was</w:t>
      </w:r>
      <w:r w:rsidR="00190923" w:rsidRPr="00981405">
        <w:t xml:space="preserve"> </w:t>
      </w:r>
      <w:r w:rsidRPr="00981405">
        <w:t>needed,</w:t>
      </w:r>
      <w:r w:rsidR="00190923" w:rsidRPr="00981405">
        <w:t xml:space="preserve"> </w:t>
      </w:r>
      <w:r w:rsidRPr="00981405">
        <w:t>with</w:t>
      </w:r>
      <w:r w:rsidR="00190923" w:rsidRPr="00981405">
        <w:t xml:space="preserve"> </w:t>
      </w:r>
      <w:r w:rsidRPr="00981405">
        <w:t>a</w:t>
      </w:r>
      <w:r w:rsidR="00190923" w:rsidRPr="00981405">
        <w:t xml:space="preserve"> </w:t>
      </w:r>
      <w:r w:rsidRPr="00981405">
        <w:t>view</w:t>
      </w:r>
      <w:r w:rsidR="00190923" w:rsidRPr="00981405">
        <w:t xml:space="preserve"> </w:t>
      </w:r>
      <w:r w:rsidRPr="00981405">
        <w:t>to</w:t>
      </w:r>
      <w:r w:rsidR="00190923" w:rsidRPr="00981405">
        <w:t xml:space="preserve"> </w:t>
      </w:r>
      <w:r w:rsidRPr="00981405">
        <w:t>determining</w:t>
      </w:r>
      <w:r w:rsidR="00190923" w:rsidRPr="00981405">
        <w:t xml:space="preserve"> </w:t>
      </w:r>
      <w:r w:rsidRPr="00981405">
        <w:t>whether</w:t>
      </w:r>
      <w:r w:rsidR="00190923" w:rsidRPr="00981405">
        <w:t xml:space="preserve"> </w:t>
      </w:r>
      <w:r w:rsidRPr="00981405">
        <w:t>acquiescence</w:t>
      </w:r>
      <w:r w:rsidR="00190923" w:rsidRPr="00981405">
        <w:t xml:space="preserve"> </w:t>
      </w:r>
      <w:r w:rsidRPr="00981405">
        <w:t>in</w:t>
      </w:r>
      <w:r w:rsidR="00190923" w:rsidRPr="00981405">
        <w:t xml:space="preserve"> </w:t>
      </w:r>
      <w:r w:rsidRPr="00981405">
        <w:t>the</w:t>
      </w:r>
      <w:r w:rsidR="00190923" w:rsidRPr="00981405">
        <w:t xml:space="preserve"> </w:t>
      </w:r>
      <w:r w:rsidRPr="00981405">
        <w:t>form</w:t>
      </w:r>
      <w:r w:rsidR="00190923" w:rsidRPr="00981405">
        <w:t xml:space="preserve"> </w:t>
      </w:r>
      <w:r w:rsidRPr="00981405">
        <w:t>of</w:t>
      </w:r>
      <w:r w:rsidR="00190923" w:rsidRPr="00981405">
        <w:t xml:space="preserve"> </w:t>
      </w:r>
      <w:r w:rsidRPr="00981405">
        <w:t>silence</w:t>
      </w:r>
      <w:r w:rsidR="00190923" w:rsidRPr="00981405">
        <w:t xml:space="preserve"> </w:t>
      </w:r>
      <w:r w:rsidRPr="00981405">
        <w:t>or</w:t>
      </w:r>
      <w:r w:rsidR="00190923" w:rsidRPr="00981405">
        <w:t xml:space="preserve"> </w:t>
      </w:r>
      <w:r w:rsidRPr="00981405">
        <w:t>inaction</w:t>
      </w:r>
      <w:r w:rsidR="00190923" w:rsidRPr="00981405">
        <w:t xml:space="preserve"> </w:t>
      </w:r>
      <w:r w:rsidRPr="00981405">
        <w:t>could</w:t>
      </w:r>
      <w:r w:rsidR="00190923" w:rsidRPr="00981405">
        <w:t xml:space="preserve"> </w:t>
      </w:r>
      <w:r w:rsidRPr="00981405">
        <w:t>represent</w:t>
      </w:r>
      <w:r w:rsidR="00190923" w:rsidRPr="00981405">
        <w:t xml:space="preserve"> </w:t>
      </w:r>
      <w:r w:rsidRPr="00981405">
        <w:t>agreement</w:t>
      </w:r>
      <w:r w:rsidR="00190923" w:rsidRPr="00981405">
        <w:t xml:space="preserve"> </w:t>
      </w:r>
      <w:r w:rsidRPr="00981405">
        <w:t>for</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in</w:t>
      </w:r>
      <w:r w:rsidR="00190923" w:rsidRPr="00981405">
        <w:t xml:space="preserve"> </w:t>
      </w:r>
      <w:r w:rsidRPr="00981405">
        <w:t>question</w:t>
      </w:r>
      <w:r w:rsidR="00190923" w:rsidRPr="00981405">
        <w:t xml:space="preserve"> </w:t>
      </w:r>
      <w:r w:rsidRPr="00981405">
        <w:t>had</w:t>
      </w:r>
      <w:r w:rsidR="00190923" w:rsidRPr="00981405">
        <w:t xml:space="preserve"> </w:t>
      </w:r>
      <w:r w:rsidRPr="00981405">
        <w:t>tacitly</w:t>
      </w:r>
      <w:r w:rsidR="00190923" w:rsidRPr="00981405">
        <w:t xml:space="preserve"> </w:t>
      </w:r>
      <w:r w:rsidRPr="00981405">
        <w:t>consented</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declaration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by</w:t>
      </w:r>
      <w:r w:rsidR="00190923" w:rsidRPr="00981405">
        <w:t xml:space="preserve"> </w:t>
      </w:r>
      <w:r w:rsidRPr="00981405">
        <w:t>Syria</w:t>
      </w:r>
      <w:r w:rsidR="00190923" w:rsidRPr="00981405">
        <w:t xml:space="preserve"> </w:t>
      </w:r>
      <w:r w:rsidRPr="00981405">
        <w:t>was</w:t>
      </w:r>
      <w:r w:rsidR="00190923" w:rsidRPr="00981405">
        <w:t xml:space="preserve"> </w:t>
      </w:r>
      <w:r w:rsidRPr="00981405">
        <w:t>notified</w:t>
      </w:r>
      <w:r w:rsidR="00190923" w:rsidRPr="00981405">
        <w:t xml:space="preserve"> </w:t>
      </w:r>
      <w:r w:rsidRPr="00981405">
        <w:t>by</w:t>
      </w:r>
      <w:r w:rsidR="00190923" w:rsidRPr="00981405">
        <w:t xml:space="preserve"> </w:t>
      </w:r>
      <w:r w:rsidRPr="00981405">
        <w:t>the</w:t>
      </w:r>
      <w:r w:rsidR="00190923" w:rsidRPr="00981405">
        <w:t xml:space="preserve"> </w:t>
      </w:r>
      <w:r w:rsidRPr="00981405">
        <w:t>depositary</w:t>
      </w:r>
      <w:r w:rsidR="00190923" w:rsidRPr="00981405">
        <w:t xml:space="preserve"> </w:t>
      </w:r>
      <w:r w:rsidRPr="00981405">
        <w:t>to</w:t>
      </w:r>
      <w:r w:rsidR="00190923" w:rsidRPr="00981405">
        <w:t xml:space="preserve"> </w:t>
      </w:r>
      <w:r w:rsidRPr="00981405">
        <w:t>the</w:t>
      </w:r>
      <w:r w:rsidR="00190923" w:rsidRPr="00981405">
        <w:t xml:space="preserve"> </w:t>
      </w:r>
      <w:r w:rsidRPr="00981405">
        <w:t>States</w:t>
      </w:r>
      <w:r w:rsidR="00190923" w:rsidRPr="00981405">
        <w:t xml:space="preserve"> </w:t>
      </w:r>
      <w:r w:rsidRPr="00981405">
        <w:t>Parties</w:t>
      </w:r>
      <w:r w:rsidR="00190923" w:rsidRPr="00981405">
        <w:t xml:space="preserve"> </w:t>
      </w:r>
      <w:r w:rsidRPr="00981405">
        <w:t>and</w:t>
      </w:r>
      <w:r w:rsidR="00190923" w:rsidRPr="00981405">
        <w:t xml:space="preserve"> </w:t>
      </w:r>
      <w:r w:rsidRPr="00981405">
        <w:t>none</w:t>
      </w:r>
      <w:r w:rsidR="00190923" w:rsidRPr="00981405">
        <w:t xml:space="preserve"> </w:t>
      </w:r>
      <w:r w:rsidRPr="00981405">
        <w:t>objected</w:t>
      </w:r>
      <w:r w:rsidR="00190923" w:rsidRPr="00981405">
        <w:t xml:space="preserve"> </w:t>
      </w:r>
      <w:r w:rsidRPr="00981405">
        <w:t>to</w:t>
      </w:r>
      <w:r w:rsidR="00190923" w:rsidRPr="00981405">
        <w:t xml:space="preserve"> </w:t>
      </w:r>
      <w:r w:rsidRPr="00981405">
        <w:t>such</w:t>
      </w:r>
      <w:r w:rsidR="00190923" w:rsidRPr="00981405">
        <w:t xml:space="preserve"> </w:t>
      </w:r>
      <w:r w:rsidRPr="00981405">
        <w:t>decision.</w:t>
      </w:r>
    </w:p>
    <w:p w:rsidR="00397032" w:rsidRPr="00981405" w:rsidRDefault="00397032" w:rsidP="00D97463">
      <w:pPr>
        <w:pStyle w:val="SingleTxt"/>
      </w:pPr>
      <w:r w:rsidRPr="00981405">
        <w:t>263.</w:t>
      </w:r>
      <w:r w:rsidRPr="00981405">
        <w:tab/>
        <w:t>As</w:t>
      </w:r>
      <w:r w:rsidR="00190923" w:rsidRPr="00981405">
        <w:t xml:space="preserve"> </w:t>
      </w:r>
      <w:r w:rsidRPr="00981405">
        <w:t>regards</w:t>
      </w:r>
      <w:r w:rsidR="00190923" w:rsidRPr="00981405">
        <w:t xml:space="preserve"> </w:t>
      </w:r>
      <w:r w:rsidRPr="00981405">
        <w:t>future</w:t>
      </w:r>
      <w:r w:rsidR="00190923" w:rsidRPr="00981405">
        <w:t xml:space="preserve"> </w:t>
      </w:r>
      <w:r w:rsidRPr="00981405">
        <w:t>work,</w:t>
      </w:r>
      <w:r w:rsidR="00190923" w:rsidRPr="00981405">
        <w:t xml:space="preserve"> </w:t>
      </w:r>
      <w:r w:rsidRPr="00981405">
        <w:t>it</w:t>
      </w:r>
      <w:r w:rsidR="00190923" w:rsidRPr="00981405">
        <w:t xml:space="preserve"> </w:t>
      </w:r>
      <w:r w:rsidRPr="00981405">
        <w:t>was</w:t>
      </w:r>
      <w:r w:rsidR="00190923" w:rsidRPr="00981405">
        <w:t xml:space="preserve"> </w:t>
      </w:r>
      <w:r w:rsidRPr="00981405">
        <w:t>proposed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focus</w:t>
      </w:r>
      <w:r w:rsidR="00190923" w:rsidRPr="00981405">
        <w:t xml:space="preserve"> </w:t>
      </w:r>
      <w:r w:rsidRPr="00981405">
        <w:t>on</w:t>
      </w:r>
      <w:r w:rsidR="00190923" w:rsidRPr="00981405">
        <w:t xml:space="preserve"> </w:t>
      </w:r>
      <w:r w:rsidRPr="00981405">
        <w:t>the</w:t>
      </w:r>
      <w:r w:rsidR="00190923" w:rsidRPr="00981405">
        <w:t xml:space="preserve"> </w:t>
      </w:r>
      <w:r w:rsidRPr="00981405">
        <w:t>legal</w:t>
      </w:r>
      <w:r w:rsidR="00190923" w:rsidRPr="00981405">
        <w:t xml:space="preserve"> </w:t>
      </w:r>
      <w:r w:rsidRPr="00981405">
        <w:t>regime</w:t>
      </w:r>
      <w:r w:rsidR="00190923" w:rsidRPr="00981405">
        <w:t xml:space="preserve"> </w:t>
      </w:r>
      <w:r w:rsidRPr="00981405">
        <w:t>and</w:t>
      </w:r>
      <w:r w:rsidR="00190923" w:rsidRPr="00981405">
        <w:t xml:space="preserve"> </w:t>
      </w:r>
      <w:r w:rsidRPr="00981405">
        <w:t>modalities</w:t>
      </w:r>
      <w:r w:rsidR="00190923" w:rsidRPr="00981405">
        <w:t xml:space="preserve"> </w:t>
      </w:r>
      <w:r w:rsidRPr="00981405">
        <w:t>for</w:t>
      </w:r>
      <w:r w:rsidR="00190923" w:rsidRPr="00981405">
        <w:t xml:space="preserve"> </w:t>
      </w:r>
      <w:r w:rsidRPr="00981405">
        <w:t>the</w:t>
      </w:r>
      <w:r w:rsidR="00190923" w:rsidRPr="00981405">
        <w:t xml:space="preserve"> </w:t>
      </w:r>
      <w:r w:rsidRPr="00981405">
        <w:t>termination</w:t>
      </w:r>
      <w:r w:rsidR="00190923" w:rsidRPr="00981405">
        <w:t xml:space="preserve"> </w:t>
      </w:r>
      <w:r w:rsidRPr="00981405">
        <w:t>and</w:t>
      </w:r>
      <w:r w:rsidR="00190923" w:rsidRPr="00981405">
        <w:t xml:space="preserve"> </w:t>
      </w:r>
      <w:r w:rsidRPr="00981405">
        <w:t>suspension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For</w:t>
      </w:r>
      <w:r w:rsidR="00190923" w:rsidRPr="00981405">
        <w:t xml:space="preserve"> </w:t>
      </w:r>
      <w:r w:rsidRPr="00981405">
        <w:t>example,</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interesting</w:t>
      </w:r>
      <w:r w:rsidR="00190923" w:rsidRPr="00981405">
        <w:t xml:space="preserve"> </w:t>
      </w:r>
      <w:r w:rsidRPr="00981405">
        <w:t>to</w:t>
      </w:r>
      <w:r w:rsidR="00190923" w:rsidRPr="00981405">
        <w:t xml:space="preserve"> </w:t>
      </w:r>
      <w:r w:rsidRPr="00981405">
        <w:t>know</w:t>
      </w:r>
      <w:r w:rsidR="00190923" w:rsidRPr="00981405">
        <w:t xml:space="preserve"> </w:t>
      </w:r>
      <w:r w:rsidRPr="00981405">
        <w:t>to</w:t>
      </w:r>
      <w:r w:rsidR="00190923" w:rsidRPr="00981405">
        <w:t xml:space="preserve"> </w:t>
      </w:r>
      <w:r w:rsidRPr="00981405">
        <w:t>what</w:t>
      </w:r>
      <w:r w:rsidR="00190923" w:rsidRPr="00981405">
        <w:t xml:space="preserve"> </w:t>
      </w:r>
      <w:r w:rsidRPr="00981405">
        <w:t>extent</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might</w:t>
      </w:r>
      <w:r w:rsidR="00190923" w:rsidRPr="00981405">
        <w:t xml:space="preserve"> </w:t>
      </w:r>
      <w:r w:rsidRPr="00981405">
        <w:t>be</w:t>
      </w:r>
      <w:r w:rsidR="00190923" w:rsidRPr="00981405">
        <w:t xml:space="preserve"> </w:t>
      </w:r>
      <w:r w:rsidRPr="00981405">
        <w:t>suspended</w:t>
      </w:r>
      <w:r w:rsidR="00190923" w:rsidRPr="00981405">
        <w:t xml:space="preserve"> </w:t>
      </w:r>
      <w:r w:rsidRPr="00981405">
        <w:t>or</w:t>
      </w:r>
      <w:r w:rsidR="00190923" w:rsidRPr="00981405">
        <w:t xml:space="preserve"> </w:t>
      </w:r>
      <w:r w:rsidRPr="00981405">
        <w:t>terminated</w:t>
      </w:r>
      <w:r w:rsidR="00190923" w:rsidRPr="00981405">
        <w:t xml:space="preserve"> </w:t>
      </w:r>
      <w:r w:rsidRPr="00981405">
        <w:t>by,</w:t>
      </w:r>
      <w:r w:rsidR="00190923" w:rsidRPr="00981405">
        <w:t xml:space="preserve"> </w:t>
      </w:r>
      <w:r w:rsidRPr="00981405">
        <w:t>for</w:t>
      </w:r>
      <w:r w:rsidR="00190923" w:rsidRPr="00981405">
        <w:t xml:space="preserve"> </w:t>
      </w:r>
      <w:r w:rsidRPr="00981405">
        <w:t>example,</w:t>
      </w:r>
      <w:r w:rsidR="00190923" w:rsidRPr="00981405">
        <w:t xml:space="preserve"> </w:t>
      </w:r>
      <w:r w:rsidRPr="00981405">
        <w:t>violations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by</w:t>
      </w:r>
      <w:r w:rsidR="00190923" w:rsidRPr="00981405">
        <w:t xml:space="preserve"> </w:t>
      </w:r>
      <w:r w:rsidRPr="00981405">
        <w:t>another</w:t>
      </w:r>
      <w:r w:rsidR="00190923" w:rsidRPr="00981405">
        <w:t xml:space="preserve"> </w:t>
      </w:r>
      <w:r w:rsidRPr="00981405">
        <w:t>party</w:t>
      </w:r>
      <w:r w:rsidR="00190923" w:rsidRPr="00981405">
        <w:t xml:space="preserve"> </w:t>
      </w:r>
      <w:r w:rsidRPr="00981405">
        <w:t>which</w:t>
      </w:r>
      <w:r w:rsidR="00190923" w:rsidRPr="00981405">
        <w:t xml:space="preserve"> </w:t>
      </w:r>
      <w:r w:rsidRPr="00981405">
        <w:t>was</w:t>
      </w:r>
      <w:r w:rsidR="00190923" w:rsidRPr="00981405">
        <w:t xml:space="preserve"> </w:t>
      </w:r>
      <w:r w:rsidRPr="00981405">
        <w:t>also</w:t>
      </w:r>
      <w:r w:rsidR="00190923" w:rsidRPr="00981405">
        <w:t xml:space="preserve"> </w:t>
      </w:r>
      <w:r w:rsidRPr="00981405">
        <w:t>applying</w:t>
      </w:r>
      <w:r w:rsidR="00190923" w:rsidRPr="00981405">
        <w:t xml:space="preserve"> </w:t>
      </w:r>
      <w:r w:rsidRPr="00981405">
        <w:t>it</w:t>
      </w:r>
      <w:r w:rsidR="00190923" w:rsidRPr="00981405">
        <w:t xml:space="preserve"> </w:t>
      </w:r>
      <w:r w:rsidRPr="00981405">
        <w:t>provisionally,</w:t>
      </w:r>
      <w:r w:rsidR="00190923" w:rsidRPr="00981405">
        <w:t xml:space="preserve"> </w:t>
      </w:r>
      <w:r w:rsidRPr="00981405">
        <w:t>or</w:t>
      </w:r>
      <w:r w:rsidR="00190923" w:rsidRPr="00981405">
        <w:t xml:space="preserve"> </w:t>
      </w:r>
      <w:r w:rsidRPr="00981405">
        <w:t>in</w:t>
      </w:r>
      <w:r w:rsidR="00190923" w:rsidRPr="00981405">
        <w:t xml:space="preserve"> </w:t>
      </w:r>
      <w:r w:rsidRPr="00981405">
        <w:t>situations</w:t>
      </w:r>
      <w:r w:rsidR="00190923" w:rsidRPr="00981405">
        <w:t xml:space="preserve"> </w:t>
      </w:r>
      <w:r w:rsidRPr="00981405">
        <w:t>where</w:t>
      </w:r>
      <w:r w:rsidR="00190923" w:rsidRPr="00981405">
        <w:t xml:space="preserve"> </w:t>
      </w:r>
      <w:r w:rsidRPr="00981405">
        <w:t>it</w:t>
      </w:r>
      <w:r w:rsidR="00190923" w:rsidRPr="00981405">
        <w:t xml:space="preserve"> </w:t>
      </w:r>
      <w:r w:rsidRPr="00981405">
        <w:t>was</w:t>
      </w:r>
      <w:r w:rsidR="00190923" w:rsidRPr="00981405">
        <w:t xml:space="preserve"> </w:t>
      </w:r>
      <w:r w:rsidRPr="00981405">
        <w:t>uncertain</w:t>
      </w:r>
      <w:r w:rsidR="00190923" w:rsidRPr="00981405">
        <w:t xml:space="preserve"> </w:t>
      </w:r>
      <w:r w:rsidRPr="00981405">
        <w:t>if</w:t>
      </w:r>
      <w:r w:rsidR="00190923" w:rsidRPr="00981405">
        <w:t xml:space="preserve"> </w:t>
      </w:r>
      <w:r w:rsidRPr="00981405">
        <w:t>the</w:t>
      </w:r>
      <w:r w:rsidR="00190923" w:rsidRPr="00981405">
        <w:t xml:space="preserve"> </w:t>
      </w:r>
      <w:r w:rsidRPr="00981405">
        <w:t>treaty</w:t>
      </w:r>
      <w:r w:rsidR="00190923" w:rsidRPr="00981405">
        <w:t xml:space="preserve"> </w:t>
      </w:r>
      <w:r w:rsidRPr="00981405">
        <w:t>would</w:t>
      </w:r>
      <w:r w:rsidR="00190923" w:rsidRPr="00981405">
        <w:t xml:space="preserve"> </w:t>
      </w:r>
      <w:r w:rsidRPr="00981405">
        <w:t>enter</w:t>
      </w:r>
      <w:r w:rsidR="00190923" w:rsidRPr="00981405">
        <w:t xml:space="preserve"> </w:t>
      </w:r>
      <w:r w:rsidRPr="00981405">
        <w:t>into</w:t>
      </w:r>
      <w:r w:rsidR="00190923" w:rsidRPr="00981405">
        <w:t xml:space="preserve"> </w:t>
      </w:r>
      <w:r w:rsidRPr="00981405">
        <w:t>force.</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indefinite</w:t>
      </w:r>
      <w:r w:rsidR="00190923" w:rsidRPr="00981405">
        <w:t xml:space="preserve"> </w:t>
      </w:r>
      <w:r w:rsidRPr="00981405">
        <w:t>continuation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particularly</w:t>
      </w:r>
      <w:r w:rsidR="00190923" w:rsidRPr="00981405">
        <w:t xml:space="preserve"> </w:t>
      </w:r>
      <w:r w:rsidRPr="00981405">
        <w:t>given</w:t>
      </w:r>
      <w:r w:rsidR="00190923" w:rsidRPr="00981405">
        <w:t xml:space="preserve"> </w:t>
      </w:r>
      <w:r w:rsidRPr="00981405">
        <w:t>that</w:t>
      </w:r>
      <w:r w:rsidR="00190923" w:rsidRPr="00981405">
        <w:t xml:space="preserve"> </w:t>
      </w:r>
      <w:r w:rsidRPr="00981405">
        <w:t>it</w:t>
      </w:r>
      <w:r w:rsidR="00190923" w:rsidRPr="00981405">
        <w:t xml:space="preserve"> </w:t>
      </w:r>
      <w:r w:rsidRPr="00981405">
        <w:t>allowed</w:t>
      </w:r>
      <w:r w:rsidR="00190923" w:rsidRPr="00981405">
        <w:t xml:space="preserve"> </w:t>
      </w:r>
      <w:r w:rsidRPr="00981405">
        <w:t>for</w:t>
      </w:r>
      <w:r w:rsidR="00190923" w:rsidRPr="00981405">
        <w:t xml:space="preserve"> </w:t>
      </w:r>
      <w:r w:rsidRPr="00981405">
        <w:t>a</w:t>
      </w:r>
      <w:r w:rsidR="00190923" w:rsidRPr="00981405">
        <w:t xml:space="preserve"> </w:t>
      </w:r>
      <w:r w:rsidRPr="00981405">
        <w:t>simplified</w:t>
      </w:r>
      <w:r w:rsidR="00190923" w:rsidRPr="00981405">
        <w:t xml:space="preserve"> </w:t>
      </w:r>
      <w:r w:rsidRPr="00981405">
        <w:t>means</w:t>
      </w:r>
      <w:r w:rsidR="00190923" w:rsidRPr="00981405">
        <w:t xml:space="preserve"> </w:t>
      </w:r>
      <w:r w:rsidRPr="00981405">
        <w:t>of</w:t>
      </w:r>
      <w:r w:rsidR="00190923" w:rsidRPr="00981405">
        <w:t xml:space="preserve"> </w:t>
      </w:r>
      <w:r w:rsidRPr="00981405">
        <w:t>termination</w:t>
      </w:r>
      <w:r w:rsidR="00190923" w:rsidRPr="00981405">
        <w:t xml:space="preserve"> </w:t>
      </w:r>
      <w:r w:rsidRPr="00981405">
        <w:t>as</w:t>
      </w:r>
      <w:r w:rsidR="00190923" w:rsidRPr="00981405">
        <w:t xml:space="preserve"> </w:t>
      </w:r>
      <w:r w:rsidRPr="00981405">
        <w:t>provided</w:t>
      </w:r>
      <w:r w:rsidR="00190923" w:rsidRPr="00981405">
        <w:t xml:space="preserve"> </w:t>
      </w:r>
      <w:r w:rsidRPr="00981405">
        <w:t>in</w:t>
      </w:r>
      <w:r w:rsidR="00190923" w:rsidRPr="00981405">
        <w:t xml:space="preserve"> </w:t>
      </w:r>
      <w:r w:rsidRPr="00981405">
        <w:t>article</w:t>
      </w:r>
      <w:r w:rsidR="00190923" w:rsidRPr="00981405">
        <w:t xml:space="preserve"> </w:t>
      </w:r>
      <w:r w:rsidRPr="00981405">
        <w:t>25,</w:t>
      </w:r>
      <w:r w:rsidR="00190923" w:rsidRPr="00981405">
        <w:t xml:space="preserve"> </w:t>
      </w:r>
      <w:r w:rsidRPr="00981405">
        <w:t>paragraph</w:t>
      </w:r>
      <w:r w:rsidR="00190923" w:rsidRPr="00981405">
        <w:t xml:space="preserve"> </w:t>
      </w:r>
      <w:r w:rsidRPr="00981405">
        <w:t>2,</w:t>
      </w:r>
      <w:r w:rsidR="00190923" w:rsidRPr="00981405">
        <w:t xml:space="preserve"> </w:t>
      </w:r>
      <w:r w:rsidRPr="00981405">
        <w:t>could</w:t>
      </w:r>
      <w:r w:rsidR="00190923" w:rsidRPr="00981405">
        <w:t xml:space="preserve"> </w:t>
      </w:r>
      <w:r w:rsidRPr="00981405">
        <w:t>have</w:t>
      </w:r>
      <w:r w:rsidR="00190923" w:rsidRPr="00981405">
        <w:t xml:space="preserve"> </w:t>
      </w:r>
      <w:r w:rsidRPr="00981405">
        <w:t>undesirable</w:t>
      </w:r>
      <w:r w:rsidR="00190923" w:rsidRPr="00981405">
        <w:t xml:space="preserve"> </w:t>
      </w:r>
      <w:r w:rsidRPr="00981405">
        <w:t>consequences.</w:t>
      </w:r>
    </w:p>
    <w:p w:rsidR="00397032" w:rsidRPr="00981405" w:rsidRDefault="00397032" w:rsidP="00D97463">
      <w:pPr>
        <w:pStyle w:val="SingleTxt"/>
      </w:pPr>
      <w:r w:rsidRPr="00981405">
        <w:t>264.</w:t>
      </w:r>
      <w:r w:rsidRPr="00981405">
        <w:tab/>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could</w:t>
      </w:r>
      <w:r w:rsidR="00190923" w:rsidRPr="00981405">
        <w:t xml:space="preserve"> </w:t>
      </w:r>
      <w:r w:rsidRPr="00981405">
        <w:t>seek</w:t>
      </w:r>
      <w:r w:rsidR="00190923" w:rsidRPr="00981405">
        <w:t xml:space="preserve"> </w:t>
      </w:r>
      <w:r w:rsidRPr="00981405">
        <w:t>to</w:t>
      </w:r>
      <w:r w:rsidR="00190923" w:rsidRPr="00981405">
        <w:t xml:space="preserve"> </w:t>
      </w:r>
      <w:r w:rsidRPr="00981405">
        <w:t>identify</w:t>
      </w:r>
      <w:r w:rsidR="00190923" w:rsidRPr="00981405">
        <w:t xml:space="preserve"> </w:t>
      </w:r>
      <w:r w:rsidRPr="00981405">
        <w:t>the</w:t>
      </w:r>
      <w:r w:rsidR="00190923" w:rsidRPr="00981405">
        <w:t xml:space="preserve"> </w:t>
      </w:r>
      <w:r w:rsidRPr="00981405">
        <w:t>type</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provisions</w:t>
      </w:r>
      <w:r w:rsidR="00190923" w:rsidRPr="00981405">
        <w:t xml:space="preserve"> </w:t>
      </w:r>
      <w:r w:rsidRPr="00981405">
        <w:t>in</w:t>
      </w:r>
      <w:r w:rsidR="00190923" w:rsidRPr="00981405">
        <w:t xml:space="preserve"> </w:t>
      </w:r>
      <w:r w:rsidRPr="00981405">
        <w:t>treaties,</w:t>
      </w:r>
      <w:r w:rsidR="00190923" w:rsidRPr="00981405">
        <w:t xml:space="preserve"> </w:t>
      </w:r>
      <w:r w:rsidRPr="00981405">
        <w:t>which</w:t>
      </w:r>
      <w:r w:rsidR="00190923" w:rsidRPr="00981405">
        <w:t xml:space="preserve"> </w:t>
      </w:r>
      <w:r w:rsidRPr="00981405">
        <w:t>were</w:t>
      </w:r>
      <w:r w:rsidR="00190923" w:rsidRPr="00981405">
        <w:t xml:space="preserve"> </w:t>
      </w:r>
      <w:r w:rsidRPr="00981405">
        <w:t>often</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and</w:t>
      </w:r>
      <w:r w:rsidR="00190923" w:rsidRPr="00981405">
        <w:t xml:space="preserve"> </w:t>
      </w:r>
      <w:r w:rsidRPr="00981405">
        <w:t>whether</w:t>
      </w:r>
      <w:r w:rsidR="00190923" w:rsidRPr="00981405">
        <w:t xml:space="preserve"> </w:t>
      </w:r>
      <w:r w:rsidRPr="00981405">
        <w:t>or</w:t>
      </w:r>
      <w:r w:rsidR="00190923" w:rsidRPr="00981405">
        <w:t xml:space="preserve"> </w:t>
      </w:r>
      <w:r w:rsidRPr="00981405">
        <w:t>not</w:t>
      </w:r>
      <w:r w:rsidR="00190923" w:rsidRPr="00981405">
        <w:t xml:space="preserve"> </w:t>
      </w:r>
      <w:r w:rsidRPr="00981405">
        <w:t>certain</w:t>
      </w:r>
      <w:r w:rsidR="00190923" w:rsidRPr="00981405">
        <w:t xml:space="preserve"> </w:t>
      </w:r>
      <w:r w:rsidRPr="00981405">
        <w:t>kinds</w:t>
      </w:r>
      <w:r w:rsidR="00190923" w:rsidRPr="00981405">
        <w:t xml:space="preserve"> </w:t>
      </w:r>
      <w:r w:rsidRPr="00981405">
        <w:t>of</w:t>
      </w:r>
      <w:r w:rsidR="00190923" w:rsidRPr="00981405">
        <w:t xml:space="preserve"> </w:t>
      </w:r>
      <w:r w:rsidRPr="00981405">
        <w:t>treaties</w:t>
      </w:r>
      <w:r w:rsidR="00190923" w:rsidRPr="00981405">
        <w:t xml:space="preserve"> </w:t>
      </w:r>
      <w:r w:rsidRPr="00981405">
        <w:t>addressed</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similarly.</w:t>
      </w:r>
      <w:r w:rsidR="00190923" w:rsidRPr="00981405">
        <w:t xml:space="preserve"> </w:t>
      </w:r>
      <w:r w:rsidRPr="00981405">
        <w:t>Likewise,</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who</w:t>
      </w:r>
      <w:r w:rsidR="00190923" w:rsidRPr="00981405">
        <w:t xml:space="preserve"> </w:t>
      </w:r>
      <w:r w:rsidRPr="00981405">
        <w:t>the</w:t>
      </w:r>
      <w:r w:rsidR="00190923" w:rsidRPr="00981405">
        <w:t xml:space="preserve"> </w:t>
      </w:r>
      <w:r w:rsidRPr="00981405">
        <w:t>beneficiaries</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were</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worth</w:t>
      </w:r>
      <w:r w:rsidR="00190923" w:rsidRPr="00981405">
        <w:t xml:space="preserve"> </w:t>
      </w:r>
      <w:r w:rsidRPr="00981405">
        <w:t>discussing.</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could</w:t>
      </w:r>
      <w:r w:rsidR="00190923" w:rsidRPr="00981405">
        <w:t xml:space="preserve"> </w:t>
      </w:r>
      <w:r w:rsidRPr="00981405">
        <w:t>undertake</w:t>
      </w:r>
      <w:r w:rsidR="00190923" w:rsidRPr="00981405">
        <w:t xml:space="preserve"> </w:t>
      </w:r>
      <w:r w:rsidRPr="00981405">
        <w:t>an</w:t>
      </w:r>
      <w:r w:rsidR="00190923" w:rsidRPr="00981405">
        <w:t xml:space="preserve"> </w:t>
      </w:r>
      <w:r w:rsidRPr="00981405">
        <w:t>analysis</w:t>
      </w:r>
      <w:r w:rsidR="00190923" w:rsidRPr="00981405">
        <w:t xml:space="preserve"> </w:t>
      </w:r>
      <w:r w:rsidRPr="00981405">
        <w:t>of</w:t>
      </w:r>
      <w:r w:rsidR="00190923" w:rsidRPr="00981405">
        <w:t xml:space="preserve"> </w:t>
      </w:r>
      <w:r w:rsidRPr="00981405">
        <w:t>limitation</w:t>
      </w:r>
      <w:r w:rsidR="00190923" w:rsidRPr="00981405">
        <w:t xml:space="preserve"> </w:t>
      </w:r>
      <w:r w:rsidRPr="00981405">
        <w:t>clauses</w:t>
      </w:r>
      <w:r w:rsidR="00190923" w:rsidRPr="00981405">
        <w:t xml:space="preserve"> </w:t>
      </w:r>
      <w:r w:rsidRPr="00981405">
        <w:t>used</w:t>
      </w:r>
      <w:r w:rsidR="00190923" w:rsidRPr="00981405">
        <w:t xml:space="preserve"> </w:t>
      </w:r>
      <w:r w:rsidRPr="00981405">
        <w:t>to</w:t>
      </w:r>
      <w:r w:rsidR="00190923" w:rsidRPr="00981405">
        <w:t xml:space="preserve"> </w:t>
      </w:r>
      <w:r w:rsidRPr="00981405">
        <w:t>modulate</w:t>
      </w:r>
      <w:r w:rsidR="00190923" w:rsidRPr="00981405">
        <w:t xml:space="preserve"> </w:t>
      </w:r>
      <w:r w:rsidRPr="00981405">
        <w:t>the</w:t>
      </w:r>
      <w:r w:rsidR="00190923" w:rsidRPr="00981405">
        <w:t xml:space="preserve"> </w:t>
      </w:r>
      <w:r w:rsidRPr="00981405">
        <w:t>obligations</w:t>
      </w:r>
      <w:r w:rsidR="00190923" w:rsidRPr="00981405">
        <w:t xml:space="preserve"> </w:t>
      </w:r>
      <w:r w:rsidRPr="00981405">
        <w:t>being</w:t>
      </w:r>
      <w:r w:rsidR="00190923" w:rsidRPr="00981405">
        <w:t xml:space="preserve"> </w:t>
      </w:r>
      <w:r w:rsidRPr="00981405">
        <w:t>undertaken</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comply</w:t>
      </w:r>
      <w:r w:rsidR="00190923" w:rsidRPr="00981405">
        <w:t xml:space="preserve"> </w:t>
      </w:r>
      <w:r w:rsidRPr="00981405">
        <w:t>with</w:t>
      </w:r>
      <w:r w:rsidR="00190923" w:rsidRPr="00981405">
        <w:t xml:space="preserve"> </w:t>
      </w:r>
      <w:r w:rsidRPr="00981405">
        <w:t>internal</w:t>
      </w:r>
      <w:r w:rsidR="00190923" w:rsidRPr="00981405">
        <w:t xml:space="preserve"> </w:t>
      </w:r>
      <w:r w:rsidRPr="00981405">
        <w:t>law,</w:t>
      </w:r>
      <w:r w:rsidR="00190923" w:rsidRPr="00981405">
        <w:t xml:space="preserve"> </w:t>
      </w:r>
      <w:r w:rsidRPr="00981405">
        <w:t>or</w:t>
      </w:r>
      <w:r w:rsidR="00190923" w:rsidRPr="00981405">
        <w:t xml:space="preserve"> </w:t>
      </w:r>
      <w:r w:rsidRPr="00981405">
        <w:t>conditioning</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on</w:t>
      </w:r>
      <w:r w:rsidR="00190923" w:rsidRPr="00981405">
        <w:t xml:space="preserve"> </w:t>
      </w:r>
      <w:r w:rsidRPr="00981405">
        <w:t>respect</w:t>
      </w:r>
      <w:r w:rsidR="00190923" w:rsidRPr="00981405">
        <w:t xml:space="preserve"> </w:t>
      </w:r>
      <w:r w:rsidRPr="00981405">
        <w:t>for</w:t>
      </w:r>
      <w:r w:rsidR="00190923" w:rsidRPr="00981405">
        <w:t xml:space="preserve"> </w:t>
      </w:r>
      <w:r w:rsidRPr="00981405">
        <w:t>internal</w:t>
      </w:r>
      <w:r w:rsidR="00190923" w:rsidRPr="00981405">
        <w:t xml:space="preserve"> </w:t>
      </w:r>
      <w:r w:rsidRPr="00981405">
        <w:t>law.</w:t>
      </w:r>
    </w:p>
    <w:p w:rsidR="00397032" w:rsidRPr="00981405" w:rsidRDefault="00397032" w:rsidP="00D97463">
      <w:pPr>
        <w:pStyle w:val="SingleTxt"/>
      </w:pPr>
      <w:r w:rsidRPr="00981405">
        <w:t>265.</w:t>
      </w:r>
      <w:r w:rsidRPr="00981405">
        <w:tab/>
        <w:t>Some</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worth</w:t>
      </w:r>
      <w:r w:rsidR="00190923" w:rsidRPr="00981405">
        <w:t xml:space="preserve"> </w:t>
      </w:r>
      <w:r w:rsidRPr="00981405">
        <w:t>drafting</w:t>
      </w:r>
      <w:r w:rsidR="00190923" w:rsidRPr="00981405">
        <w:t xml:space="preserve"> </w:t>
      </w:r>
      <w:r w:rsidRPr="00981405">
        <w:t>model</w:t>
      </w:r>
      <w:r w:rsidR="00190923" w:rsidRPr="00981405">
        <w:t xml:space="preserve"> </w:t>
      </w:r>
      <w:r w:rsidRPr="00981405">
        <w:t>clauses</w:t>
      </w:r>
      <w:r w:rsidR="00190923" w:rsidRPr="00981405">
        <w:t xml:space="preserve"> </w:t>
      </w:r>
      <w:r w:rsidRPr="00981405">
        <w:t>which</w:t>
      </w:r>
      <w:r w:rsidR="00190923" w:rsidRPr="00981405">
        <w:t xml:space="preserve"> </w:t>
      </w:r>
      <w:r w:rsidRPr="00981405">
        <w:t>could</w:t>
      </w:r>
      <w:r w:rsidR="00190923" w:rsidRPr="00981405">
        <w:t xml:space="preserve"> </w:t>
      </w:r>
      <w:r w:rsidRPr="00981405">
        <w:t>be</w:t>
      </w:r>
      <w:r w:rsidR="00190923" w:rsidRPr="00981405">
        <w:t xml:space="preserve"> </w:t>
      </w:r>
      <w:r w:rsidRPr="00981405">
        <w:t>of</w:t>
      </w:r>
      <w:r w:rsidR="00190923" w:rsidRPr="00981405">
        <w:t xml:space="preserve"> </w:t>
      </w:r>
      <w:r w:rsidRPr="00981405">
        <w:t>practical</w:t>
      </w:r>
      <w:r w:rsidR="00190923" w:rsidRPr="00981405">
        <w:t xml:space="preserve"> </w:t>
      </w:r>
      <w:r w:rsidRPr="00981405">
        <w:t>importance</w:t>
      </w:r>
      <w:r w:rsidR="00190923" w:rsidRPr="00981405">
        <w:t xml:space="preserve"> </w:t>
      </w:r>
      <w:r w:rsidRPr="00981405">
        <w:t>to</w:t>
      </w:r>
      <w:r w:rsidR="00190923" w:rsidRPr="00981405">
        <w:t xml:space="preserve"> </w:t>
      </w:r>
      <w:r w:rsidRPr="00981405">
        <w:t>States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However,</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was</w:t>
      </w:r>
      <w:r w:rsidR="00190923" w:rsidRPr="00981405">
        <w:t xml:space="preserve"> </w:t>
      </w:r>
      <w:r w:rsidRPr="00981405">
        <w:t>cautioned</w:t>
      </w:r>
      <w:r w:rsidR="00190923" w:rsidRPr="00981405">
        <w:t xml:space="preserve"> </w:t>
      </w:r>
      <w:r w:rsidRPr="00981405">
        <w:t>by</w:t>
      </w:r>
      <w:r w:rsidR="00190923" w:rsidRPr="00981405">
        <w:t xml:space="preserve"> </w:t>
      </w:r>
      <w:r w:rsidRPr="00981405">
        <w:t>other</w:t>
      </w:r>
      <w:r w:rsidR="00190923" w:rsidRPr="00981405">
        <w:t xml:space="preserve"> </w:t>
      </w:r>
      <w:r w:rsidRPr="00981405">
        <w:t>members</w:t>
      </w:r>
      <w:r w:rsidR="00190923" w:rsidRPr="00981405">
        <w:t xml:space="preserve"> </w:t>
      </w:r>
      <w:r w:rsidRPr="00981405">
        <w:t>against</w:t>
      </w:r>
      <w:r w:rsidR="00190923" w:rsidRPr="00981405">
        <w:t xml:space="preserve"> </w:t>
      </w:r>
      <w:r w:rsidRPr="00981405">
        <w:t>developing</w:t>
      </w:r>
      <w:r w:rsidR="00190923" w:rsidRPr="00981405">
        <w:t xml:space="preserve"> </w:t>
      </w:r>
      <w:r w:rsidRPr="00981405">
        <w:t>model</w:t>
      </w:r>
      <w:r w:rsidR="00190923" w:rsidRPr="00981405">
        <w:t xml:space="preserve"> </w:t>
      </w:r>
      <w:r w:rsidRPr="00981405">
        <w:t>clauses</w:t>
      </w:r>
      <w:r w:rsidR="00190923" w:rsidRPr="00981405">
        <w:t xml:space="preserve"> </w:t>
      </w:r>
      <w:r w:rsidRPr="00981405">
        <w:t>on</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which</w:t>
      </w:r>
      <w:r w:rsidR="00190923" w:rsidRPr="00981405">
        <w:t xml:space="preserve"> </w:t>
      </w:r>
      <w:r w:rsidRPr="00981405">
        <w:t>could</w:t>
      </w:r>
      <w:r w:rsidR="00190923" w:rsidRPr="00981405">
        <w:t xml:space="preserve"> </w:t>
      </w:r>
      <w:r w:rsidRPr="00981405">
        <w:t>prove</w:t>
      </w:r>
      <w:r w:rsidR="00190923" w:rsidRPr="00981405">
        <w:t xml:space="preserve"> </w:t>
      </w:r>
      <w:r w:rsidRPr="00981405">
        <w:t>complex</w:t>
      </w:r>
      <w:r w:rsidR="00190923" w:rsidRPr="00981405">
        <w:t xml:space="preserve"> </w:t>
      </w:r>
      <w:r w:rsidRPr="00981405">
        <w:t>due</w:t>
      </w:r>
      <w:r w:rsidR="00190923" w:rsidRPr="00981405">
        <w:t xml:space="preserve"> </w:t>
      </w:r>
      <w:r w:rsidRPr="00981405">
        <w:t>to</w:t>
      </w:r>
      <w:r w:rsidR="00190923" w:rsidRPr="00981405">
        <w:t xml:space="preserve"> </w:t>
      </w:r>
      <w:r w:rsidRPr="00981405">
        <w:t>the</w:t>
      </w:r>
      <w:r w:rsidR="00190923" w:rsidRPr="00981405">
        <w:t xml:space="preserve"> </w:t>
      </w:r>
      <w:r w:rsidRPr="00981405">
        <w:t>differences</w:t>
      </w:r>
      <w:r w:rsidR="00190923" w:rsidRPr="00981405">
        <w:t xml:space="preserve"> </w:t>
      </w:r>
      <w:r w:rsidRPr="00981405">
        <w:t>between</w:t>
      </w:r>
      <w:r w:rsidR="00190923" w:rsidRPr="00981405">
        <w:t xml:space="preserve"> </w:t>
      </w:r>
      <w:r w:rsidRPr="00981405">
        <w:t>national</w:t>
      </w:r>
      <w:r w:rsidR="00190923" w:rsidRPr="00981405">
        <w:t xml:space="preserve"> </w:t>
      </w:r>
      <w:r w:rsidRPr="00981405">
        <w:t>legal</w:t>
      </w:r>
      <w:r w:rsidR="00190923" w:rsidRPr="00981405">
        <w:t xml:space="preserve"> </w:t>
      </w:r>
      <w:r w:rsidRPr="00981405">
        <w:t>systems.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72" w:name="_Toc427938156"/>
      <w:r w:rsidRPr="00D97463">
        <w:t>(b)</w:t>
      </w:r>
      <w:r w:rsidRPr="00D97463">
        <w:tab/>
        <w:t>Relationship</w:t>
      </w:r>
      <w:r w:rsidR="00190923" w:rsidRPr="00D97463">
        <w:t xml:space="preserve"> </w:t>
      </w:r>
      <w:r w:rsidRPr="00D97463">
        <w:t>with</w:t>
      </w:r>
      <w:r w:rsidR="00190923" w:rsidRPr="00D97463">
        <w:t xml:space="preserve"> </w:t>
      </w:r>
      <w:r w:rsidRPr="00D97463">
        <w:t>other</w:t>
      </w:r>
      <w:r w:rsidR="00190923" w:rsidRPr="00D97463">
        <w:t xml:space="preserve"> </w:t>
      </w:r>
      <w:r w:rsidRPr="00D97463">
        <w:t>provisions</w:t>
      </w:r>
      <w:r w:rsidR="00190923" w:rsidRPr="00D97463">
        <w:t xml:space="preserve"> </w:t>
      </w:r>
      <w:r w:rsidRPr="00D97463">
        <w:t>of</w:t>
      </w:r>
      <w:r w:rsidR="00190923" w:rsidRPr="00D97463">
        <w:t xml:space="preserve"> </w:t>
      </w:r>
      <w:r w:rsidRPr="00D97463">
        <w:t>the</w:t>
      </w:r>
      <w:r w:rsidR="00190923" w:rsidRPr="00D97463">
        <w:t xml:space="preserve"> </w:t>
      </w:r>
      <w:r w:rsidRPr="00D97463">
        <w:t>1969</w:t>
      </w:r>
      <w:r w:rsidR="00190923" w:rsidRPr="00D97463">
        <w:t xml:space="preserve"> </w:t>
      </w:r>
      <w:r w:rsidRPr="00D97463">
        <w:t>Vienna</w:t>
      </w:r>
      <w:r w:rsidR="00190923" w:rsidRPr="00D97463">
        <w:t xml:space="preserve"> </w:t>
      </w:r>
      <w:r w:rsidRPr="00D97463">
        <w:t>Convention</w:t>
      </w:r>
      <w:bookmarkEnd w:id="17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266.</w:t>
      </w:r>
      <w:r w:rsidRPr="00981405">
        <w:tab/>
        <w:t>The</w:t>
      </w:r>
      <w:r w:rsidR="00190923" w:rsidRPr="00981405">
        <w:t xml:space="preserve"> </w:t>
      </w:r>
      <w:r w:rsidRPr="00981405">
        <w:t>report</w:t>
      </w:r>
      <w:r w:rsidR="00B92E2C" w:rsidRPr="00981405">
        <w:t>’</w:t>
      </w:r>
      <w:r w:rsidRPr="00981405">
        <w:t>s</w:t>
      </w:r>
      <w:r w:rsidR="00190923" w:rsidRPr="00981405">
        <w:t xml:space="preserve"> </w:t>
      </w:r>
      <w:r w:rsidRPr="00981405">
        <w:t>treatment</w:t>
      </w:r>
      <w:r w:rsidR="00190923" w:rsidRPr="00981405">
        <w:t xml:space="preserve"> </w:t>
      </w:r>
      <w:r w:rsidRPr="00981405">
        <w:t>of</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of</w:t>
      </w:r>
      <w:r w:rsidR="00190923" w:rsidRPr="00981405">
        <w:t xml:space="preserve"> </w:t>
      </w:r>
      <w:r w:rsidRPr="00981405">
        <w:t>article</w:t>
      </w:r>
      <w:r w:rsidR="00190923" w:rsidRPr="00981405">
        <w:t xml:space="preserve"> </w:t>
      </w:r>
      <w:r w:rsidRPr="00981405">
        <w:t>25</w:t>
      </w:r>
      <w:r w:rsidR="00190923" w:rsidRPr="00981405">
        <w:t xml:space="preserve"> </w:t>
      </w:r>
      <w:r w:rsidRPr="00981405">
        <w:t>with</w:t>
      </w:r>
      <w:r w:rsidR="00190923" w:rsidRPr="00981405">
        <w:t xml:space="preserve"> </w:t>
      </w:r>
      <w:r w:rsidRPr="00981405">
        <w:t>the</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was</w:t>
      </w:r>
      <w:r w:rsidR="00190923" w:rsidRPr="00981405">
        <w:t xml:space="preserve"> </w:t>
      </w:r>
      <w:r w:rsidRPr="00981405">
        <w:t>welcomed.</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additional</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were</w:t>
      </w:r>
      <w:r w:rsidR="00190923" w:rsidRPr="00981405">
        <w:t xml:space="preserve"> </w:t>
      </w:r>
      <w:r w:rsidRPr="00981405">
        <w:t>also</w:t>
      </w:r>
      <w:r w:rsidR="00190923" w:rsidRPr="00981405">
        <w:t xml:space="preserve"> </w:t>
      </w:r>
      <w:r w:rsidRPr="00981405">
        <w:t>relevant.</w:t>
      </w:r>
      <w:r w:rsidR="00190923" w:rsidRPr="00981405">
        <w:t xml:space="preserve"> </w:t>
      </w:r>
      <w:r w:rsidRPr="00981405">
        <w:t>For</w:t>
      </w:r>
      <w:r w:rsidR="00190923" w:rsidRPr="00981405">
        <w:t xml:space="preserve"> </w:t>
      </w:r>
      <w:r w:rsidRPr="00981405">
        <w:t>example,</w:t>
      </w:r>
      <w:r w:rsidR="00190923" w:rsidRPr="00981405">
        <w:t xml:space="preserve"> </w:t>
      </w:r>
      <w:r w:rsidRPr="00981405">
        <w:t>article</w:t>
      </w:r>
      <w:r w:rsidR="00190923" w:rsidRPr="00981405">
        <w:t xml:space="preserve"> </w:t>
      </w:r>
      <w:r w:rsidRPr="00981405">
        <w:t>60</w:t>
      </w:r>
      <w:r w:rsidR="00190923" w:rsidRPr="00981405">
        <w:t xml:space="preserve"> </w:t>
      </w:r>
      <w:r w:rsidRPr="00981405">
        <w:t>was</w:t>
      </w:r>
      <w:r w:rsidR="00190923" w:rsidRPr="00981405">
        <w:t xml:space="preserve"> </w:t>
      </w:r>
      <w:r w:rsidRPr="00981405">
        <w:t>relevant,</w:t>
      </w:r>
      <w:r w:rsidR="00190923" w:rsidRPr="00981405">
        <w:t xml:space="preserve"> </w:t>
      </w:r>
      <w:r w:rsidRPr="00981405">
        <w:t>since</w:t>
      </w:r>
      <w:r w:rsidR="00190923" w:rsidRPr="00981405">
        <w:t xml:space="preserve"> </w:t>
      </w:r>
      <w:r w:rsidRPr="00981405">
        <w:t>the</w:t>
      </w:r>
      <w:r w:rsidR="00190923" w:rsidRPr="00981405">
        <w:t xml:space="preserve"> </w:t>
      </w:r>
      <w:r w:rsidRPr="00981405">
        <w:t>material</w:t>
      </w:r>
      <w:r w:rsidR="00190923" w:rsidRPr="00981405">
        <w:t xml:space="preserve"> </w:t>
      </w:r>
      <w:r w:rsidRPr="00981405">
        <w:t>breach</w:t>
      </w:r>
      <w:r w:rsidR="00190923" w:rsidRPr="00981405">
        <w:t xml:space="preserve"> </w:t>
      </w:r>
      <w:r w:rsidRPr="00981405">
        <w:t>of</w:t>
      </w:r>
      <w:r w:rsidR="00190923" w:rsidRPr="00981405">
        <w:t xml:space="preserve"> </w:t>
      </w:r>
      <w:r w:rsidRPr="00981405">
        <w:t>a</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treaty</w:t>
      </w:r>
      <w:r w:rsidR="00190923" w:rsidRPr="00981405">
        <w:t xml:space="preserve"> </w:t>
      </w:r>
      <w:r w:rsidRPr="00981405">
        <w:t>could,</w:t>
      </w:r>
      <w:r w:rsidR="00190923" w:rsidRPr="00981405">
        <w:t xml:space="preserve"> </w:t>
      </w:r>
      <w:r w:rsidRPr="00981405">
        <w:t>according</w:t>
      </w:r>
      <w:r w:rsidR="00190923" w:rsidRPr="00981405">
        <w:t xml:space="preserve"> </w:t>
      </w:r>
      <w:r w:rsidRPr="00981405">
        <w:t>to</w:t>
      </w:r>
      <w:r w:rsidR="00190923" w:rsidRPr="00981405">
        <w:t xml:space="preserve"> </w:t>
      </w:r>
      <w:r w:rsidRPr="00981405">
        <w:t>that</w:t>
      </w:r>
      <w:r w:rsidR="00190923" w:rsidRPr="00981405">
        <w:t xml:space="preserve"> </w:t>
      </w:r>
      <w:r w:rsidRPr="00981405">
        <w:t>view,</w:t>
      </w:r>
      <w:r w:rsidR="00190923" w:rsidRPr="00981405">
        <w:t xml:space="preserve"> </w:t>
      </w:r>
      <w:r w:rsidRPr="00981405">
        <w:t>lead</w:t>
      </w:r>
      <w:r w:rsidR="00190923" w:rsidRPr="00981405">
        <w:t xml:space="preserve"> </w:t>
      </w:r>
      <w:r w:rsidRPr="00981405">
        <w:t>to</w:t>
      </w:r>
      <w:r w:rsidR="00190923" w:rsidRPr="00981405">
        <w:t xml:space="preserve"> </w:t>
      </w:r>
      <w:r w:rsidRPr="00981405">
        <w:t>the</w:t>
      </w:r>
      <w:r w:rsidR="00190923" w:rsidRPr="00981405">
        <w:t xml:space="preserve"> </w:t>
      </w:r>
      <w:r w:rsidRPr="00981405">
        <w:t>suspension</w:t>
      </w:r>
      <w:r w:rsidR="00190923" w:rsidRPr="00981405">
        <w:t xml:space="preserve"> </w:t>
      </w:r>
      <w:r w:rsidRPr="00981405">
        <w:t>or</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doubted</w:t>
      </w:r>
      <w:r w:rsidR="00190923" w:rsidRPr="00981405">
        <w:t xml:space="preserve"> </w:t>
      </w:r>
      <w:r w:rsidRPr="00981405">
        <w:t>that</w:t>
      </w:r>
      <w:r w:rsidR="00190923" w:rsidRPr="00981405">
        <w:t xml:space="preserve"> </w:t>
      </w:r>
      <w:r w:rsidRPr="00981405">
        <w:t>article</w:t>
      </w:r>
      <w:r w:rsidR="00190923" w:rsidRPr="00981405">
        <w:t xml:space="preserve"> </w:t>
      </w:r>
      <w:r w:rsidRPr="00981405">
        <w:t>60</w:t>
      </w:r>
      <w:r w:rsidR="00190923" w:rsidRPr="00981405">
        <w:t xml:space="preserve"> </w:t>
      </w:r>
      <w:r w:rsidRPr="00981405">
        <w:t>would</w:t>
      </w:r>
      <w:r w:rsidR="00190923" w:rsidRPr="00981405">
        <w:t xml:space="preserve"> </w:t>
      </w:r>
      <w:r w:rsidRPr="00981405">
        <w:t>operate</w:t>
      </w:r>
      <w:r w:rsidR="00190923" w:rsidRPr="00981405">
        <w:t xml:space="preserve"> </w:t>
      </w:r>
      <w:r w:rsidRPr="00981405">
        <w:t>in</w:t>
      </w:r>
      <w:r w:rsidR="00190923" w:rsidRPr="00981405">
        <w:t xml:space="preserve"> </w:t>
      </w:r>
      <w:r w:rsidRPr="00981405">
        <w:t>the</w:t>
      </w:r>
      <w:r w:rsidR="00190923" w:rsidRPr="00981405">
        <w:t xml:space="preserve"> </w:t>
      </w:r>
      <w:r w:rsidRPr="00981405">
        <w:t>same</w:t>
      </w:r>
      <w:r w:rsidR="00190923" w:rsidRPr="00981405">
        <w:t xml:space="preserve"> </w:t>
      </w:r>
      <w:r w:rsidRPr="00981405">
        <w:t>manner</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w:t>
      </w:r>
      <w:r w:rsidR="00190923" w:rsidRPr="00981405">
        <w:t xml:space="preserve"> </w:t>
      </w:r>
      <w:r w:rsidRPr="00981405">
        <w:t>treaty</w:t>
      </w:r>
      <w:r w:rsidR="00190923" w:rsidRPr="00981405">
        <w:t xml:space="preserve"> </w:t>
      </w:r>
      <w:r w:rsidRPr="00981405">
        <w:t>being</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With</w:t>
      </w:r>
      <w:r w:rsidR="00190923" w:rsidRPr="00981405">
        <w:t xml:space="preserve"> </w:t>
      </w:r>
      <w:r w:rsidRPr="00981405">
        <w:t>regard</w:t>
      </w:r>
      <w:r w:rsidR="00190923" w:rsidRPr="00981405">
        <w:t xml:space="preserve"> </w:t>
      </w:r>
      <w:r w:rsidRPr="00981405">
        <w:t>to</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article</w:t>
      </w:r>
      <w:r w:rsidR="00190923" w:rsidRPr="00981405">
        <w:t xml:space="preserve"> </w:t>
      </w:r>
      <w:r w:rsidRPr="00981405">
        <w:t>26,</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00190923" w:rsidRPr="00981405">
        <w:rPr>
          <w:i/>
          <w:iCs/>
        </w:rPr>
        <w:t xml:space="preserve">pacta sunt servanda </w:t>
      </w:r>
      <w:r w:rsidRPr="00981405">
        <w:t>rule</w:t>
      </w:r>
      <w:r w:rsidR="00190923" w:rsidRPr="00981405">
        <w:t xml:space="preserve"> </w:t>
      </w:r>
      <w:r w:rsidRPr="00981405">
        <w:t>could</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explain</w:t>
      </w:r>
      <w:r w:rsidR="00190923" w:rsidRPr="00981405">
        <w:t xml:space="preserve"> </w:t>
      </w:r>
      <w:r w:rsidRPr="00981405">
        <w:t>the</w:t>
      </w:r>
      <w:r w:rsidR="00190923" w:rsidRPr="00981405">
        <w:t xml:space="preserve"> </w:t>
      </w:r>
      <w:r w:rsidRPr="00981405">
        <w:t>situation</w:t>
      </w:r>
      <w:r w:rsidR="00190923" w:rsidRPr="00981405">
        <w:t xml:space="preserve"> </w:t>
      </w:r>
      <w:r w:rsidRPr="00981405">
        <w:t>which</w:t>
      </w:r>
      <w:r w:rsidR="00190923" w:rsidRPr="00981405">
        <w:t xml:space="preserve"> </w:t>
      </w:r>
      <w:r w:rsidRPr="00981405">
        <w:t>might</w:t>
      </w:r>
      <w:r w:rsidR="00190923" w:rsidRPr="00981405">
        <w:t xml:space="preserve"> </w:t>
      </w:r>
      <w:r w:rsidRPr="00981405">
        <w:t>result</w:t>
      </w:r>
      <w:r w:rsidR="00190923" w:rsidRPr="00981405">
        <w:t xml:space="preserve"> </w:t>
      </w:r>
      <w:r w:rsidRPr="00981405">
        <w:t>from</w:t>
      </w:r>
      <w:r w:rsidR="00190923" w:rsidRPr="00981405">
        <w:t xml:space="preserve"> </w:t>
      </w:r>
      <w:r w:rsidRPr="00981405">
        <w:t>the</w:t>
      </w:r>
      <w:r w:rsidR="00190923" w:rsidRPr="00981405">
        <w:t xml:space="preserve"> </w:t>
      </w:r>
      <w:r w:rsidRPr="00981405">
        <w:t>unilateral</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p>
    <w:p w:rsidR="00397032" w:rsidRPr="00981405" w:rsidRDefault="00397032" w:rsidP="00D97463">
      <w:pPr>
        <w:pStyle w:val="SingleTxt"/>
      </w:pPr>
      <w:r w:rsidRPr="00981405">
        <w:t>267.</w:t>
      </w:r>
      <w:r w:rsidRPr="00981405">
        <w:tab/>
        <w:t>By</w:t>
      </w:r>
      <w:r w:rsidR="00190923" w:rsidRPr="00981405">
        <w:t xml:space="preserve"> </w:t>
      </w:r>
      <w:r w:rsidRPr="00981405">
        <w:t>another</w:t>
      </w:r>
      <w:r w:rsidR="00190923" w:rsidRPr="00981405">
        <w:t xml:space="preserve"> </w:t>
      </w:r>
      <w:r w:rsidRPr="00981405">
        <w:t>view,</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necessary</w:t>
      </w:r>
      <w:r w:rsidR="00190923" w:rsidRPr="00981405">
        <w:t xml:space="preserve"> </w:t>
      </w:r>
      <w:r w:rsidRPr="00981405">
        <w:t>to</w:t>
      </w:r>
      <w:r w:rsidR="00190923" w:rsidRPr="00981405">
        <w:t xml:space="preserve"> </w:t>
      </w:r>
      <w:r w:rsidRPr="00981405">
        <w:t>extend</w:t>
      </w:r>
      <w:r w:rsidR="00190923" w:rsidRPr="00981405">
        <w:t xml:space="preserve"> </w:t>
      </w:r>
      <w:r w:rsidRPr="00981405">
        <w:t>the</w:t>
      </w:r>
      <w:r w:rsidR="00190923" w:rsidRPr="00981405">
        <w:t xml:space="preserve"> </w:t>
      </w:r>
      <w:r w:rsidRPr="00981405">
        <w:t>review</w:t>
      </w:r>
      <w:r w:rsidR="00190923" w:rsidRPr="00981405">
        <w:t xml:space="preserve"> </w:t>
      </w:r>
      <w:r w:rsidRPr="00981405">
        <w:t>of</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of</w:t>
      </w:r>
      <w:r w:rsidR="00190923" w:rsidRPr="00981405">
        <w:t xml:space="preserve"> </w:t>
      </w:r>
      <w:r w:rsidRPr="00981405">
        <w:t>article</w:t>
      </w:r>
      <w:r w:rsidR="00190923" w:rsidRPr="00981405">
        <w:t xml:space="preserve"> </w:t>
      </w:r>
      <w:r w:rsidRPr="00981405">
        <w:t>25</w:t>
      </w:r>
      <w:r w:rsidR="00190923" w:rsidRPr="00981405">
        <w:t xml:space="preserve"> </w:t>
      </w:r>
      <w:r w:rsidRPr="00981405">
        <w:t>to</w:t>
      </w:r>
      <w:r w:rsidR="00190923" w:rsidRPr="00981405">
        <w:t xml:space="preserve"> </w:t>
      </w:r>
      <w:r w:rsidRPr="00981405">
        <w:t>other</w:t>
      </w:r>
      <w:r w:rsidR="00190923" w:rsidRPr="00981405">
        <w:t xml:space="preserve"> </w:t>
      </w:r>
      <w:r w:rsidRPr="00981405">
        <w:t>rules</w:t>
      </w:r>
      <w:r w:rsidR="00190923" w:rsidRPr="00981405">
        <w:t xml:space="preserve"> </w:t>
      </w:r>
      <w:r w:rsidRPr="00981405">
        <w:t>of</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and</w:t>
      </w:r>
      <w:r w:rsidR="00190923" w:rsidRPr="00981405">
        <w:t xml:space="preserve"> </w:t>
      </w:r>
      <w:r w:rsidRPr="00981405">
        <w:t>also</w:t>
      </w:r>
      <w:r w:rsidR="00190923" w:rsidRPr="00981405">
        <w:t xml:space="preserve"> </w:t>
      </w:r>
      <w:r w:rsidRPr="00981405">
        <w:t>study</w:t>
      </w:r>
      <w:r w:rsidR="00190923" w:rsidRPr="00981405">
        <w:t xml:space="preserve"> </w:t>
      </w:r>
      <w:r w:rsidRPr="00981405">
        <w:t>the</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articles</w:t>
      </w:r>
      <w:r w:rsidR="00190923" w:rsidRPr="00981405">
        <w:t xml:space="preserve"> </w:t>
      </w:r>
      <w:r w:rsidRPr="00981405">
        <w:t>19</w:t>
      </w:r>
      <w:r w:rsidR="00190923" w:rsidRPr="00981405">
        <w:t xml:space="preserve"> </w:t>
      </w:r>
      <w:r w:rsidRPr="00981405">
        <w:t>and</w:t>
      </w:r>
      <w:r w:rsidR="00190923" w:rsidRPr="00981405">
        <w:t xml:space="preserve"> </w:t>
      </w:r>
      <w:r w:rsidRPr="00981405">
        <w:t>46</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as</w:t>
      </w:r>
      <w:r w:rsidR="00190923" w:rsidRPr="00981405">
        <w:t xml:space="preserve"> </w:t>
      </w:r>
      <w:r w:rsidRPr="00981405">
        <w:t>the</w:t>
      </w:r>
      <w:r w:rsidR="00190923" w:rsidRPr="00981405">
        <w:t xml:space="preserve"> </w:t>
      </w:r>
      <w:r w:rsidRPr="00981405">
        <w:t>focus</w:t>
      </w:r>
      <w:r w:rsidR="00190923" w:rsidRPr="00981405">
        <w:t xml:space="preserve"> </w:t>
      </w:r>
      <w:r w:rsidRPr="00981405">
        <w:t>was</w:t>
      </w:r>
      <w:r w:rsidR="00190923" w:rsidRPr="00981405">
        <w:t xml:space="preserve"> </w:t>
      </w:r>
      <w:r w:rsidRPr="00981405">
        <w:t>best</w:t>
      </w:r>
      <w:r w:rsidR="00190923" w:rsidRPr="00981405">
        <w:t xml:space="preserve"> </w:t>
      </w:r>
      <w:r w:rsidRPr="00981405">
        <w:t>placed</w:t>
      </w:r>
      <w:r w:rsidR="00190923" w:rsidRPr="00981405">
        <w:t xml:space="preserve"> </w:t>
      </w:r>
      <w:r w:rsidRPr="00981405">
        <w:t>on</w:t>
      </w:r>
      <w:r w:rsidR="00190923" w:rsidRPr="00981405">
        <w:t xml:space="preserve"> </w:t>
      </w:r>
      <w:r w:rsidRPr="00981405">
        <w:t>specifying</w:t>
      </w:r>
      <w:r w:rsidR="00190923" w:rsidRPr="00981405">
        <w:t xml:space="preserve"> </w:t>
      </w:r>
      <w:r w:rsidRPr="00981405">
        <w:t>the</w:t>
      </w:r>
      <w:r w:rsidR="00190923" w:rsidRPr="00981405">
        <w:t xml:space="preserve"> </w:t>
      </w:r>
      <w:r w:rsidRPr="00981405">
        <w:t>differences</w:t>
      </w:r>
      <w:r w:rsidR="00190923" w:rsidRPr="00981405">
        <w:t xml:space="preserve"> </w:t>
      </w:r>
      <w:r w:rsidRPr="00981405">
        <w:t>between</w:t>
      </w:r>
      <w:r w:rsidR="00190923" w:rsidRPr="00981405">
        <w:t xml:space="preserve"> </w:t>
      </w:r>
      <w:r w:rsidRPr="00981405">
        <w:t>a</w:t>
      </w:r>
      <w:r w:rsidR="00190923" w:rsidRPr="00981405">
        <w:t xml:space="preserve"> </w:t>
      </w:r>
      <w:r w:rsidRPr="00981405">
        <w:t>treaty</w:t>
      </w:r>
      <w:r w:rsidR="00190923" w:rsidRPr="00981405">
        <w:t xml:space="preserve"> </w:t>
      </w:r>
      <w:r w:rsidRPr="00981405">
        <w:t>being</w:t>
      </w:r>
      <w:r w:rsidR="00190923" w:rsidRPr="00981405">
        <w:t xml:space="preserve"> </w:t>
      </w:r>
      <w:r w:rsidRPr="00981405">
        <w:t>provisionally</w:t>
      </w:r>
      <w:r w:rsidR="00190923" w:rsidRPr="00981405">
        <w:t xml:space="preserve"> </w:t>
      </w:r>
      <w:r w:rsidRPr="00981405">
        <w:t>applied</w:t>
      </w:r>
      <w:r w:rsidR="00190923" w:rsidRPr="00981405">
        <w:t xml:space="preserve"> </w:t>
      </w:r>
      <w:r w:rsidRPr="00981405">
        <w:t>and</w:t>
      </w:r>
      <w:r w:rsidR="00190923" w:rsidRPr="00981405">
        <w:t xml:space="preserve"> </w:t>
      </w:r>
      <w:r w:rsidRPr="00981405">
        <w:t>from</w:t>
      </w:r>
      <w:r w:rsidR="00190923" w:rsidRPr="00981405">
        <w:t xml:space="preserve"> </w:t>
      </w:r>
      <w:r w:rsidRPr="00981405">
        <w:t>that</w:t>
      </w:r>
      <w:r w:rsidR="00190923" w:rsidRPr="00981405">
        <w:t xml:space="preserve"> </w:t>
      </w:r>
      <w:r w:rsidRPr="00981405">
        <w:t>which</w:t>
      </w:r>
      <w:r w:rsidR="00190923" w:rsidRPr="00981405">
        <w:t xml:space="preserve"> </w:t>
      </w:r>
      <w:r w:rsidRPr="00981405">
        <w:t>is</w:t>
      </w:r>
      <w:r w:rsidR="00190923" w:rsidRPr="00981405">
        <w:t xml:space="preserve"> </w:t>
      </w:r>
      <w:r w:rsidRPr="00981405">
        <w:t>in</w:t>
      </w:r>
      <w:r w:rsidR="00190923" w:rsidRPr="00981405">
        <w:t xml:space="preserve"> </w:t>
      </w:r>
      <w:r w:rsidRPr="00981405">
        <w:t>force</w:t>
      </w:r>
      <w:r w:rsidR="00190923" w:rsidRPr="00981405">
        <w:t xml:space="preserve"> </w:t>
      </w:r>
      <w:r w:rsidRPr="00981405">
        <w:t>for</w:t>
      </w:r>
      <w:r w:rsidR="00190923" w:rsidRPr="00981405">
        <w:t xml:space="preserve"> </w:t>
      </w:r>
      <w:r w:rsidRPr="00981405">
        <w:t>a</w:t>
      </w:r>
      <w:r w:rsidR="00190923" w:rsidRPr="00981405">
        <w:t xml:space="preserve"> </w:t>
      </w:r>
      <w:r w:rsidRPr="00981405">
        <w:t>particular</w:t>
      </w:r>
      <w:r w:rsidR="00190923" w:rsidRPr="00981405">
        <w:t xml:space="preserve"> </w:t>
      </w:r>
      <w:r w:rsidRPr="00981405">
        <w:t>State.</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lastRenderedPageBreak/>
        <w:tab/>
      </w:r>
      <w:bookmarkStart w:id="173" w:name="_Toc427938157"/>
      <w:r w:rsidRPr="00D97463">
        <w:t>(c)</w:t>
      </w:r>
      <w:r w:rsidRPr="00D97463">
        <w:tab/>
        <w:t>Provisional</w:t>
      </w:r>
      <w:r w:rsidR="00190923" w:rsidRPr="00D97463">
        <w:t xml:space="preserve"> </w:t>
      </w:r>
      <w:r w:rsidRPr="00D97463">
        <w:t>application</w:t>
      </w:r>
      <w:r w:rsidR="00190923" w:rsidRPr="00D97463">
        <w:t xml:space="preserve"> </w:t>
      </w:r>
      <w:r w:rsidRPr="00D97463">
        <w:t>of</w:t>
      </w:r>
      <w:r w:rsidR="00190923" w:rsidRPr="00D97463">
        <w:t xml:space="preserve"> </w:t>
      </w:r>
      <w:r w:rsidRPr="00D97463">
        <w:t>a</w:t>
      </w:r>
      <w:r w:rsidR="00190923" w:rsidRPr="00D97463">
        <w:t xml:space="preserve"> </w:t>
      </w:r>
      <w:r w:rsidRPr="00D97463">
        <w:t>treaty</w:t>
      </w:r>
      <w:r w:rsidR="00190923" w:rsidRPr="00D97463">
        <w:t xml:space="preserve"> </w:t>
      </w:r>
      <w:r w:rsidRPr="00D97463">
        <w:t>with</w:t>
      </w:r>
      <w:r w:rsidR="00190923" w:rsidRPr="00D97463">
        <w:t xml:space="preserve"> </w:t>
      </w:r>
      <w:r w:rsidRPr="00D97463">
        <w:t>the</w:t>
      </w:r>
      <w:r w:rsidR="00190923" w:rsidRPr="00D97463">
        <w:t xml:space="preserve"> </w:t>
      </w:r>
      <w:r w:rsidRPr="00D97463">
        <w:t>participation</w:t>
      </w:r>
      <w:r w:rsidR="00190923" w:rsidRPr="00D97463">
        <w:t xml:space="preserve"> </w:t>
      </w:r>
      <w:r w:rsidRPr="00D97463">
        <w:t>of</w:t>
      </w:r>
      <w:r w:rsidR="00190923" w:rsidRPr="00D97463">
        <w:t xml:space="preserve"> </w:t>
      </w:r>
      <w:r w:rsidRPr="00D97463">
        <w:t>international</w:t>
      </w:r>
      <w:r w:rsidR="00190923" w:rsidRPr="00D97463">
        <w:t xml:space="preserve"> </w:t>
      </w:r>
      <w:r w:rsidRPr="00D97463">
        <w:t>organizations</w:t>
      </w:r>
      <w:bookmarkEnd w:id="173"/>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268.</w:t>
      </w:r>
      <w:r w:rsidRPr="00981405">
        <w:tab/>
        <w:t>Some</w:t>
      </w:r>
      <w:r w:rsidR="00190923" w:rsidRPr="00981405">
        <w:t xml:space="preserve"> </w:t>
      </w:r>
      <w:r w:rsidRPr="00981405">
        <w:t>speakers</w:t>
      </w:r>
      <w:r w:rsidR="00190923" w:rsidRPr="00981405">
        <w:t xml:space="preserve"> </w:t>
      </w:r>
      <w:r w:rsidRPr="00981405">
        <w:t>expressed</w:t>
      </w:r>
      <w:r w:rsidR="00190923" w:rsidRPr="00981405">
        <w:t xml:space="preserve"> </w:t>
      </w:r>
      <w:r w:rsidRPr="00981405">
        <w:t>doubts</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assertion</w:t>
      </w:r>
      <w:r w:rsidR="00190923" w:rsidRPr="00981405">
        <w:t xml:space="preserve"> </w:t>
      </w:r>
      <w:r w:rsidRPr="00981405">
        <w:t>that</w:t>
      </w:r>
      <w:r w:rsidR="00190923" w:rsidRPr="00981405">
        <w:t xml:space="preserve"> </w:t>
      </w:r>
      <w:r w:rsidRPr="00981405">
        <w:t>the</w:t>
      </w:r>
      <w:r w:rsidR="00190923" w:rsidRPr="00981405">
        <w:t xml:space="preserve"> </w:t>
      </w:r>
      <w:r w:rsidRPr="00981405">
        <w:t>1986</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in</w:t>
      </w:r>
      <w:r w:rsidR="00190923" w:rsidRPr="00981405">
        <w:t xml:space="preserve"> </w:t>
      </w:r>
      <w:r w:rsidRPr="00981405">
        <w:t>its</w:t>
      </w:r>
      <w:r w:rsidR="00190923" w:rsidRPr="00981405">
        <w:t xml:space="preserve"> </w:t>
      </w:r>
      <w:r w:rsidRPr="00981405">
        <w:t>entirety,</w:t>
      </w:r>
      <w:r w:rsidR="00190923" w:rsidRPr="00981405">
        <w:t xml:space="preserve"> </w:t>
      </w:r>
      <w:r w:rsidRPr="00981405">
        <w:t>reflected</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be</w:t>
      </w:r>
      <w:r w:rsidR="00190923" w:rsidRPr="00981405">
        <w:t xml:space="preserve"> </w:t>
      </w:r>
      <w:r w:rsidRPr="00981405">
        <w:t>possible</w:t>
      </w:r>
      <w:r w:rsidR="00190923" w:rsidRPr="00981405">
        <w:t xml:space="preserve"> </w:t>
      </w:r>
      <w:r w:rsidRPr="00981405">
        <w:t>to</w:t>
      </w:r>
      <w:r w:rsidR="00190923" w:rsidRPr="00981405">
        <w:t xml:space="preserve"> </w:t>
      </w:r>
      <w:r w:rsidRPr="00981405">
        <w:t>assert</w:t>
      </w:r>
      <w:r w:rsidR="00190923" w:rsidRPr="00981405">
        <w:t xml:space="preserve"> </w:t>
      </w:r>
      <w:r w:rsidRPr="00981405">
        <w:t>that</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perhaps</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1986</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reflected</w:t>
      </w:r>
      <w:r w:rsidR="00190923" w:rsidRPr="00981405">
        <w:t xml:space="preserve"> </w:t>
      </w:r>
      <w:r w:rsidRPr="00981405">
        <w:t>a</w:t>
      </w:r>
      <w:r w:rsidR="00190923" w:rsidRPr="00981405">
        <w:t xml:space="preserve"> </w:t>
      </w:r>
      <w:r w:rsidRPr="00981405">
        <w:t>rule</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However,</w:t>
      </w:r>
      <w:r w:rsidR="00190923" w:rsidRPr="00981405">
        <w:t xml:space="preserve"> </w:t>
      </w:r>
      <w:r w:rsidRPr="00981405">
        <w:t>further</w:t>
      </w:r>
      <w:r w:rsidR="00190923" w:rsidRPr="00981405">
        <w:t xml:space="preserve"> </w:t>
      </w:r>
      <w:r w:rsidRPr="00981405">
        <w:t>analysis</w:t>
      </w:r>
      <w:r w:rsidR="00190923" w:rsidRPr="00981405">
        <w:t xml:space="preserve"> </w:t>
      </w:r>
      <w:r w:rsidRPr="00981405">
        <w:t>into</w:t>
      </w:r>
      <w:r w:rsidR="00190923" w:rsidRPr="00981405">
        <w:t xml:space="preserve"> </w:t>
      </w:r>
      <w:r w:rsidRPr="00981405">
        <w:t>the</w:t>
      </w:r>
      <w:r w:rsidR="00190923" w:rsidRPr="00981405">
        <w:t xml:space="preserve"> </w:t>
      </w:r>
      <w:r w:rsidRPr="00981405">
        <w:t>matter,</w:t>
      </w:r>
      <w:r w:rsidR="00190923" w:rsidRPr="00981405">
        <w:t xml:space="preserve"> </w:t>
      </w:r>
      <w:r w:rsidRPr="00981405">
        <w:t>in</w:t>
      </w:r>
      <w:r w:rsidR="00190923" w:rsidRPr="00981405">
        <w:t xml:space="preserve"> </w:t>
      </w:r>
      <w:r w:rsidRPr="00981405">
        <w:t>a</w:t>
      </w:r>
      <w:r w:rsidR="00190923" w:rsidRPr="00981405">
        <w:t xml:space="preserve"> </w:t>
      </w:r>
      <w:r w:rsidRPr="00981405">
        <w:t>future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would</w:t>
      </w:r>
      <w:r w:rsidR="00190923" w:rsidRPr="00981405">
        <w:t xml:space="preserve"> </w:t>
      </w:r>
      <w:r w:rsidRPr="00981405">
        <w:t>be</w:t>
      </w:r>
      <w:r w:rsidR="00190923" w:rsidRPr="00981405">
        <w:t xml:space="preserve"> </w:t>
      </w:r>
      <w:r w:rsidRPr="00981405">
        <w:t>necessary</w:t>
      </w:r>
      <w:r w:rsidR="00190923" w:rsidRPr="00981405">
        <w:t xml:space="preserve"> </w:t>
      </w:r>
      <w:r w:rsidRPr="00981405">
        <w:t>before</w:t>
      </w:r>
      <w:r w:rsidR="00190923" w:rsidRPr="00981405">
        <w:t xml:space="preserve"> </w:t>
      </w:r>
      <w:r w:rsidRPr="00981405">
        <w:t>any</w:t>
      </w:r>
      <w:r w:rsidR="00190923" w:rsidRPr="00981405">
        <w:t xml:space="preserve"> </w:t>
      </w:r>
      <w:r w:rsidRPr="00981405">
        <w:t>such</w:t>
      </w:r>
      <w:r w:rsidR="00190923" w:rsidRPr="00981405">
        <w:t xml:space="preserve"> </w:t>
      </w:r>
      <w:r w:rsidRPr="00981405">
        <w:t>conclusion</w:t>
      </w:r>
      <w:r w:rsidR="00190923" w:rsidRPr="00981405">
        <w:t xml:space="preserve"> </w:t>
      </w:r>
      <w:r w:rsidRPr="00981405">
        <w:t>could</w:t>
      </w:r>
      <w:r w:rsidR="00190923" w:rsidRPr="00981405">
        <w:t xml:space="preserve"> </w:t>
      </w:r>
      <w:r w:rsidRPr="00981405">
        <w:t>be</w:t>
      </w:r>
      <w:r w:rsidR="00190923" w:rsidRPr="00981405">
        <w:t xml:space="preserve"> </w:t>
      </w:r>
      <w:r w:rsidRPr="00981405">
        <w:t>reached.</w:t>
      </w:r>
    </w:p>
    <w:p w:rsidR="00397032" w:rsidRPr="00981405" w:rsidRDefault="00397032" w:rsidP="00D97463">
      <w:pPr>
        <w:pStyle w:val="SingleTxt"/>
      </w:pPr>
      <w:r w:rsidRPr="00981405">
        <w:t>269.</w:t>
      </w:r>
      <w:r w:rsidRPr="00981405">
        <w:tab/>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even</w:t>
      </w:r>
      <w:r w:rsidR="00190923" w:rsidRPr="00981405">
        <w:t xml:space="preserve"> </w:t>
      </w:r>
      <w:r w:rsidRPr="00981405">
        <w:t>if</w:t>
      </w:r>
      <w:r w:rsidR="00190923" w:rsidRPr="00981405">
        <w:t xml:space="preserve"> </w:t>
      </w:r>
      <w:r w:rsidRPr="00981405">
        <w:t>a</w:t>
      </w:r>
      <w:r w:rsidR="00190923" w:rsidRPr="00981405">
        <w:t xml:space="preserve"> </w:t>
      </w:r>
      <w:r w:rsidRPr="00981405">
        <w:t>treaty</w:t>
      </w:r>
      <w:r w:rsidR="00190923" w:rsidRPr="00981405">
        <w:t xml:space="preserve"> </w:t>
      </w:r>
      <w:r w:rsidRPr="00981405">
        <w:t>was</w:t>
      </w:r>
      <w:r w:rsidR="00190923" w:rsidRPr="00981405">
        <w:t xml:space="preserve"> </w:t>
      </w:r>
      <w:r w:rsidRPr="00981405">
        <w:t>negotiated</w:t>
      </w:r>
      <w:r w:rsidR="00190923" w:rsidRPr="00981405">
        <w:t xml:space="preserve"> </w:t>
      </w:r>
      <w:r w:rsidRPr="00981405">
        <w:t>within</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or</w:t>
      </w:r>
      <w:r w:rsidR="00190923" w:rsidRPr="00981405">
        <w:t xml:space="preserve"> </w:t>
      </w:r>
      <w:r w:rsidRPr="00981405">
        <w:t>at</w:t>
      </w:r>
      <w:r w:rsidR="00190923" w:rsidRPr="00981405">
        <w:t xml:space="preserve"> </w:t>
      </w:r>
      <w:r w:rsidRPr="00981405">
        <w:t>a</w:t>
      </w:r>
      <w:r w:rsidR="00190923" w:rsidRPr="00981405">
        <w:t xml:space="preserve"> </w:t>
      </w:r>
      <w:r w:rsidRPr="00981405">
        <w:t>diplomatic</w:t>
      </w:r>
      <w:r w:rsidR="00190923" w:rsidRPr="00981405">
        <w:t xml:space="preserve"> </w:t>
      </w:r>
      <w:r w:rsidRPr="00981405">
        <w:t>conference</w:t>
      </w:r>
      <w:r w:rsidR="00190923" w:rsidRPr="00981405">
        <w:t xml:space="preserve"> </w:t>
      </w:r>
      <w:r w:rsidRPr="00981405">
        <w:t>convened</w:t>
      </w:r>
      <w:r w:rsidR="00190923" w:rsidRPr="00981405">
        <w:t xml:space="preserve"> </w:t>
      </w:r>
      <w:r w:rsidRPr="00981405">
        <w:t>under</w:t>
      </w:r>
      <w:r w:rsidR="00190923" w:rsidRPr="00981405">
        <w:t xml:space="preserve"> </w:t>
      </w:r>
      <w:r w:rsidRPr="00981405">
        <w:t>the</w:t>
      </w:r>
      <w:r w:rsidR="00190923" w:rsidRPr="00981405">
        <w:t xml:space="preserve"> </w:t>
      </w:r>
      <w:r w:rsidRPr="00981405">
        <w:t>auspices</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was</w:t>
      </w:r>
      <w:r w:rsidR="00190923" w:rsidRPr="00981405">
        <w:t xml:space="preserve"> </w:t>
      </w:r>
      <w:r w:rsidRPr="00981405">
        <w:t>an</w:t>
      </w:r>
      <w:r w:rsidR="00190923" w:rsidRPr="00981405">
        <w:t xml:space="preserve"> </w:t>
      </w:r>
      <w:r w:rsidRPr="00981405">
        <w:t>act</w:t>
      </w:r>
      <w:r w:rsidR="00190923" w:rsidRPr="00981405">
        <w:t xml:space="preserve"> </w:t>
      </w:r>
      <w:r w:rsidRPr="00981405">
        <w:t>of</w:t>
      </w:r>
      <w:r w:rsidR="00190923" w:rsidRPr="00981405">
        <w:t xml:space="preserve"> </w:t>
      </w:r>
      <w:r w:rsidRPr="00981405">
        <w:t>the</w:t>
      </w:r>
      <w:r w:rsidR="00190923" w:rsidRPr="00981405">
        <w:t xml:space="preserve"> </w:t>
      </w:r>
      <w:r w:rsidRPr="00981405">
        <w:t>States</w:t>
      </w:r>
      <w:r w:rsidR="00190923" w:rsidRPr="00981405">
        <w:t xml:space="preserve"> </w:t>
      </w:r>
      <w:r w:rsidRPr="00981405">
        <w:t>concerned</w:t>
      </w:r>
      <w:r w:rsidR="00190923" w:rsidRPr="00981405">
        <w:t xml:space="preserve"> </w:t>
      </w:r>
      <w:r w:rsidRPr="00981405">
        <w:t>and</w:t>
      </w:r>
      <w:r w:rsidR="00190923" w:rsidRPr="00981405">
        <w:t xml:space="preserve"> </w:t>
      </w:r>
      <w:r w:rsidRPr="00981405">
        <w:t>not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w:t>
      </w:r>
    </w:p>
    <w:p w:rsidR="00397032" w:rsidRPr="00981405" w:rsidRDefault="00397032" w:rsidP="00D97463">
      <w:pPr>
        <w:pStyle w:val="SingleTxt"/>
      </w:pPr>
      <w:r w:rsidRPr="00981405">
        <w:t>270.</w:t>
      </w:r>
      <w:r w:rsidRPr="00981405">
        <w:tab/>
        <w:t>It</w:t>
      </w:r>
      <w:r w:rsidR="00190923" w:rsidRPr="00981405">
        <w:t xml:space="preserve"> </w:t>
      </w:r>
      <w:r w:rsidRPr="00981405">
        <w:t>was</w:t>
      </w:r>
      <w:r w:rsidR="00190923" w:rsidRPr="00981405">
        <w:t xml:space="preserve"> </w:t>
      </w:r>
      <w:r w:rsidRPr="00981405">
        <w:t>further</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with</w:t>
      </w:r>
      <w:r w:rsidR="00190923" w:rsidRPr="00981405">
        <w:t xml:space="preserve"> </w:t>
      </w:r>
      <w:r w:rsidRPr="00981405">
        <w:t>the</w:t>
      </w:r>
      <w:r w:rsidR="00190923" w:rsidRPr="00981405">
        <w:t xml:space="preserve"> </w:t>
      </w:r>
      <w:r w:rsidRPr="00981405">
        <w:t>participation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was</w:t>
      </w:r>
      <w:r w:rsidR="00190923" w:rsidRPr="00981405">
        <w:t xml:space="preserve"> </w:t>
      </w:r>
      <w:r w:rsidRPr="00981405">
        <w:t>different.</w:t>
      </w:r>
      <w:r w:rsidR="00190923" w:rsidRPr="00981405">
        <w:t xml:space="preserve"> </w:t>
      </w:r>
      <w:r w:rsidRPr="00981405">
        <w:t>Such</w:t>
      </w:r>
      <w:r w:rsidR="00190923" w:rsidRPr="00981405">
        <w:t xml:space="preserve"> </w:t>
      </w:r>
      <w:r w:rsidRPr="00981405">
        <w:t>arrangements</w:t>
      </w:r>
      <w:r w:rsidR="00190923" w:rsidRPr="00981405">
        <w:t xml:space="preserve"> </w:t>
      </w:r>
      <w:r w:rsidRPr="00981405">
        <w:t>were</w:t>
      </w:r>
      <w:r w:rsidR="00190923" w:rsidRPr="00981405">
        <w:t xml:space="preserve"> </w:t>
      </w:r>
      <w:r w:rsidRPr="00981405">
        <w:t>more</w:t>
      </w:r>
      <w:r w:rsidR="00190923" w:rsidRPr="00981405">
        <w:t xml:space="preserve"> </w:t>
      </w:r>
      <w:r w:rsidRPr="00981405">
        <w:t>complicated,</w:t>
      </w:r>
      <w:r w:rsidR="00190923" w:rsidRPr="00981405">
        <w:t xml:space="preserve"> </w:t>
      </w:r>
      <w:r w:rsidRPr="00981405">
        <w:t>because</w:t>
      </w:r>
      <w:r w:rsidR="00190923" w:rsidRPr="00981405">
        <w:t xml:space="preserve"> </w:t>
      </w:r>
      <w:r w:rsidRPr="00981405">
        <w:t>they</w:t>
      </w:r>
      <w:r w:rsidR="00190923" w:rsidRPr="00981405">
        <w:t xml:space="preserve"> </w:t>
      </w:r>
      <w:r w:rsidRPr="00981405">
        <w:t>were</w:t>
      </w:r>
      <w:r w:rsidR="00190923" w:rsidRPr="00981405">
        <w:t xml:space="preserve"> </w:t>
      </w:r>
      <w:r w:rsidRPr="00981405">
        <w:t>often</w:t>
      </w:r>
      <w:r w:rsidR="00190923" w:rsidRPr="00981405">
        <w:t xml:space="preserve"> </w:t>
      </w:r>
      <w:r w:rsidRPr="00981405">
        <w:t>designed</w:t>
      </w:r>
      <w:r w:rsidR="00190923" w:rsidRPr="00981405">
        <w:t xml:space="preserve"> </w:t>
      </w:r>
      <w:r w:rsidRPr="00981405">
        <w:t>to</w:t>
      </w:r>
      <w:r w:rsidR="00190923" w:rsidRPr="00981405">
        <w:t xml:space="preserve"> </w:t>
      </w:r>
      <w:r w:rsidRPr="00981405">
        <w:t>ensure</w:t>
      </w:r>
      <w:r w:rsidR="00190923" w:rsidRPr="00981405">
        <w:t xml:space="preserve"> </w:t>
      </w:r>
      <w:r w:rsidRPr="00981405">
        <w:t>the</w:t>
      </w:r>
      <w:r w:rsidR="00190923" w:rsidRPr="00981405">
        <w:t xml:space="preserve"> </w:t>
      </w:r>
      <w:r w:rsidRPr="00981405">
        <w:t>greatest</w:t>
      </w:r>
      <w:r w:rsidR="00190923" w:rsidRPr="00981405">
        <w:t xml:space="preserve"> </w:t>
      </w:r>
      <w:r w:rsidRPr="00981405">
        <w:t>participation</w:t>
      </w:r>
      <w:r w:rsidR="00190923" w:rsidRPr="00981405">
        <w:t xml:space="preserve"> </w:t>
      </w:r>
      <w:r w:rsidRPr="00981405">
        <w:t>simultaneously</w:t>
      </w:r>
      <w:r w:rsidR="00190923" w:rsidRPr="00981405">
        <w:t xml:space="preserve"> </w:t>
      </w:r>
      <w:r w:rsidRPr="00981405">
        <w:t>of</w:t>
      </w:r>
      <w:r w:rsidR="00190923" w:rsidRPr="00981405">
        <w:t xml:space="preserve"> </w:t>
      </w:r>
      <w:r w:rsidRPr="00981405">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and</w:t>
      </w:r>
      <w:r w:rsidR="00190923" w:rsidRPr="00981405">
        <w:t xml:space="preserve"> </w:t>
      </w:r>
      <w:r w:rsidRPr="00981405">
        <w:t>of</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itself.</w:t>
      </w:r>
      <w:r w:rsidR="00190923" w:rsidRPr="00981405">
        <w:t xml:space="preserve"> </w:t>
      </w:r>
      <w:r w:rsidRPr="00981405">
        <w:t>It</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worth</w:t>
      </w:r>
      <w:r w:rsidR="00190923" w:rsidRPr="00981405">
        <w:t xml:space="preserve"> </w:t>
      </w:r>
      <w:r w:rsidRPr="00981405">
        <w:t>investigating</w:t>
      </w:r>
      <w:r w:rsidR="00190923" w:rsidRPr="00981405">
        <w:t xml:space="preserve"> </w:t>
      </w:r>
      <w:r w:rsidRPr="00981405">
        <w:t>whether</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had</w:t>
      </w:r>
      <w:r w:rsidR="00190923" w:rsidRPr="00981405">
        <w:t xml:space="preserve"> </w:t>
      </w:r>
      <w:r w:rsidRPr="00981405">
        <w:t>considered</w:t>
      </w:r>
      <w:r w:rsidR="00190923" w:rsidRPr="00981405">
        <w:t xml:space="preserve"> </w:t>
      </w:r>
      <w:r w:rsidRPr="00981405">
        <w:t>or</w:t>
      </w:r>
      <w:r w:rsidR="00190923" w:rsidRPr="00981405">
        <w:t xml:space="preserve"> </w:t>
      </w:r>
      <w:r w:rsidRPr="00981405">
        <w:t>were</w:t>
      </w:r>
      <w:r w:rsidR="00190923" w:rsidRPr="00981405">
        <w:t xml:space="preserve"> </w:t>
      </w:r>
      <w:r w:rsidRPr="00981405">
        <w:t>considering</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as</w:t>
      </w:r>
      <w:r w:rsidR="00190923" w:rsidRPr="00981405">
        <w:t xml:space="preserve"> </w:t>
      </w:r>
      <w:r w:rsidRPr="00981405">
        <w:t>being</w:t>
      </w:r>
      <w:r w:rsidR="00190923" w:rsidRPr="00981405">
        <w:t xml:space="preserve"> </w:t>
      </w:r>
      <w:r w:rsidRPr="00981405">
        <w:t>a</w:t>
      </w:r>
      <w:r w:rsidR="00190923" w:rsidRPr="00981405">
        <w:t xml:space="preserve"> </w:t>
      </w:r>
      <w:r w:rsidRPr="00981405">
        <w:t>useful</w:t>
      </w:r>
      <w:r w:rsidR="00190923" w:rsidRPr="00981405">
        <w:t xml:space="preserve"> </w:t>
      </w:r>
      <w:r w:rsidRPr="00981405">
        <w:t>mechanism,</w:t>
      </w:r>
      <w:r w:rsidR="00190923" w:rsidRPr="00981405">
        <w:t xml:space="preserve"> </w:t>
      </w:r>
      <w:r w:rsidRPr="00981405">
        <w:t>and</w:t>
      </w:r>
      <w:r w:rsidR="00190923" w:rsidRPr="00981405">
        <w:t xml:space="preserve"> </w:t>
      </w:r>
      <w:r w:rsidRPr="00981405">
        <w:t>if</w:t>
      </w:r>
      <w:r w:rsidR="00190923" w:rsidRPr="00981405">
        <w:t xml:space="preserve"> </w:t>
      </w:r>
      <w:r w:rsidRPr="00981405">
        <w:t>such</w:t>
      </w:r>
      <w:r w:rsidR="00190923" w:rsidRPr="00981405">
        <w:t xml:space="preserve"> </w:t>
      </w:r>
      <w:r w:rsidRPr="00981405">
        <w:t>mechanism</w:t>
      </w:r>
      <w:r w:rsidR="00190923" w:rsidRPr="00981405">
        <w:t xml:space="preserve"> </w:t>
      </w:r>
      <w:r w:rsidRPr="00981405">
        <w:t>had</w:t>
      </w:r>
      <w:r w:rsidR="00190923" w:rsidRPr="00981405">
        <w:t xml:space="preserve"> </w:t>
      </w:r>
      <w:r w:rsidRPr="00981405">
        <w:t>been</w:t>
      </w:r>
      <w:r w:rsidR="00190923" w:rsidRPr="00981405">
        <w:t xml:space="preserve"> </w:t>
      </w:r>
      <w:r w:rsidRPr="00981405">
        <w:t>incorporated</w:t>
      </w:r>
      <w:r w:rsidR="00190923" w:rsidRPr="00981405">
        <w:t xml:space="preserve"> </w:t>
      </w:r>
      <w:r w:rsidRPr="00981405">
        <w:t>in</w:t>
      </w:r>
      <w:r w:rsidR="00190923" w:rsidRPr="00981405">
        <w:t xml:space="preserve"> </w:t>
      </w:r>
      <w:r w:rsidRPr="00981405">
        <w:t>their</w:t>
      </w:r>
      <w:r w:rsidR="00190923" w:rsidRPr="00981405">
        <w:t xml:space="preserve"> </w:t>
      </w:r>
      <w:r w:rsidRPr="00981405">
        <w:t>constituent</w:t>
      </w:r>
      <w:r w:rsidR="00190923" w:rsidRPr="00981405">
        <w:t xml:space="preserve"> </w:t>
      </w:r>
      <w:r w:rsidRPr="00981405">
        <w:t>rules.</w:t>
      </w:r>
    </w:p>
    <w:p w:rsidR="00397032" w:rsidRPr="00981405" w:rsidRDefault="00397032" w:rsidP="00D97463">
      <w:pPr>
        <w:pStyle w:val="SingleTxt"/>
      </w:pPr>
      <w:r w:rsidRPr="00981405">
        <w:t>271.</w:t>
      </w:r>
      <w:r w:rsidRPr="00981405">
        <w:tab/>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look</w:t>
      </w:r>
      <w:r w:rsidR="00190923" w:rsidRPr="00981405">
        <w:t xml:space="preserve"> </w:t>
      </w:r>
      <w:r w:rsidRPr="00981405">
        <w:t>at</w:t>
      </w:r>
      <w:r w:rsidR="00190923" w:rsidRPr="00981405">
        <w:t xml:space="preserve"> </w:t>
      </w:r>
      <w:r w:rsidRPr="00981405">
        <w:t>other</w:t>
      </w:r>
      <w:r w:rsidR="00190923" w:rsidRPr="00981405">
        <w:t xml:space="preserve"> </w:t>
      </w:r>
      <w:r w:rsidRPr="00981405">
        <w:t>categories</w:t>
      </w:r>
      <w:r w:rsidR="00190923" w:rsidRPr="00981405">
        <w:t xml:space="preserve"> </w:t>
      </w:r>
      <w:r w:rsidRPr="00981405">
        <w:t>of</w:t>
      </w:r>
      <w:r w:rsidR="00190923" w:rsidRPr="00981405">
        <w:t xml:space="preserve"> </w:t>
      </w:r>
      <w:r w:rsidRPr="00981405">
        <w:t>treaties</w:t>
      </w:r>
      <w:r w:rsidR="00190923" w:rsidRPr="00981405">
        <w:t xml:space="preserve"> </w:t>
      </w:r>
      <w:r w:rsidRPr="00981405">
        <w:t>which</w:t>
      </w:r>
      <w:r w:rsidR="00190923" w:rsidRPr="00981405">
        <w:t xml:space="preserve"> </w:t>
      </w:r>
      <w:r w:rsidRPr="00981405">
        <w:t>might</w:t>
      </w:r>
      <w:r w:rsidR="00190923" w:rsidRPr="00981405">
        <w:t xml:space="preserve"> </w:t>
      </w:r>
      <w:r w:rsidRPr="00981405">
        <w:t>be</w:t>
      </w:r>
      <w:r w:rsidR="00190923" w:rsidRPr="00981405">
        <w:t xml:space="preserve"> </w:t>
      </w:r>
      <w:r w:rsidRPr="00981405">
        <w:t>subject</w:t>
      </w:r>
      <w:r w:rsidR="00190923" w:rsidRPr="00981405">
        <w:t xml:space="preserve"> </w:t>
      </w:r>
      <w:r w:rsidRPr="00981405">
        <w:t>to</w:t>
      </w:r>
      <w:r w:rsidR="00190923" w:rsidRPr="00981405">
        <w:t xml:space="preserve"> </w:t>
      </w:r>
      <w:r w:rsidRPr="00981405">
        <w:t>a</w:t>
      </w:r>
      <w:r w:rsidR="00190923" w:rsidRPr="00981405">
        <w:t xml:space="preserve"> </w:t>
      </w:r>
      <w:r w:rsidRPr="00981405">
        <w:t>special</w:t>
      </w:r>
      <w:r w:rsidR="00190923" w:rsidRPr="00981405">
        <w:t xml:space="preserve"> </w:t>
      </w:r>
      <w:r w:rsidRPr="00981405">
        <w:t>form</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For</w:t>
      </w:r>
      <w:r w:rsidR="00190923" w:rsidRPr="00981405">
        <w:t xml:space="preserve"> </w:t>
      </w:r>
      <w:r w:rsidRPr="00981405">
        <w:t>example,</w:t>
      </w:r>
      <w:r w:rsidR="00190923" w:rsidRPr="00981405">
        <w:t xml:space="preserve"> </w:t>
      </w:r>
      <w:r w:rsidRPr="00981405">
        <w:t>headquarters</w:t>
      </w:r>
      <w:r w:rsidR="00190923" w:rsidRPr="00981405">
        <w:t xml:space="preserve"> </w:t>
      </w:r>
      <w:r w:rsidRPr="00981405">
        <w:t>agreements</w:t>
      </w:r>
      <w:r w:rsidR="00190923" w:rsidRPr="00981405">
        <w:t xml:space="preserve"> </w:t>
      </w:r>
      <w:r w:rsidRPr="00981405">
        <w:t>were</w:t>
      </w:r>
      <w:r w:rsidR="00190923" w:rsidRPr="00981405">
        <w:t xml:space="preserve"> </w:t>
      </w:r>
      <w:r w:rsidRPr="00981405">
        <w:t>not</w:t>
      </w:r>
      <w:r w:rsidR="00190923" w:rsidRPr="00981405">
        <w:t xml:space="preserve"> </w:t>
      </w:r>
      <w:r w:rsidRPr="00981405">
        <w:t>typically</w:t>
      </w:r>
      <w:r w:rsidR="00190923" w:rsidRPr="00981405">
        <w:t xml:space="preserve"> </w:t>
      </w:r>
      <w:r w:rsidRPr="00981405">
        <w:t>permanent,</w:t>
      </w:r>
      <w:r w:rsidR="00190923" w:rsidRPr="00981405">
        <w:t xml:space="preserve"> </w:t>
      </w:r>
      <w:r w:rsidRPr="00981405">
        <w:t>but</w:t>
      </w:r>
      <w:r w:rsidR="00190923" w:rsidRPr="00981405">
        <w:t xml:space="preserve"> </w:t>
      </w:r>
      <w:r w:rsidRPr="00981405">
        <w:t>were</w:t>
      </w:r>
      <w:r w:rsidR="00190923" w:rsidRPr="00981405">
        <w:t xml:space="preserve"> </w:t>
      </w:r>
      <w:r w:rsidRPr="00981405">
        <w:t>often</w:t>
      </w:r>
      <w:r w:rsidR="00190923" w:rsidRPr="00981405">
        <w:t xml:space="preserve"> </w:t>
      </w:r>
      <w:r w:rsidRPr="00981405">
        <w:t>agreed</w:t>
      </w:r>
      <w:r w:rsidR="00190923" w:rsidRPr="00981405">
        <w:t xml:space="preserve"> </w:t>
      </w:r>
      <w:r w:rsidRPr="00981405">
        <w:t>for</w:t>
      </w:r>
      <w:r w:rsidR="00190923" w:rsidRPr="00981405">
        <w:t xml:space="preserve"> </w:t>
      </w:r>
      <w:r w:rsidRPr="00981405">
        <w:t>a</w:t>
      </w:r>
      <w:r w:rsidR="00190923" w:rsidRPr="00981405">
        <w:t xml:space="preserve"> </w:t>
      </w:r>
      <w:r w:rsidRPr="00981405">
        <w:t>specific</w:t>
      </w:r>
      <w:r w:rsidR="00190923" w:rsidRPr="00981405">
        <w:t xml:space="preserve"> </w:t>
      </w:r>
      <w:r w:rsidRPr="00981405">
        <w:t>conference</w:t>
      </w:r>
      <w:r w:rsidR="00190923" w:rsidRPr="00981405">
        <w:t xml:space="preserve"> </w:t>
      </w:r>
      <w:r w:rsidRPr="00981405">
        <w:t>or</w:t>
      </w:r>
      <w:r w:rsidR="00190923" w:rsidRPr="00981405">
        <w:t xml:space="preserve"> </w:t>
      </w:r>
      <w:r w:rsidRPr="00981405">
        <w:t>event</w:t>
      </w:r>
      <w:r w:rsidR="00190923" w:rsidRPr="00981405">
        <w:t xml:space="preserve"> </w:t>
      </w:r>
      <w:r w:rsidRPr="00981405">
        <w:t>to</w:t>
      </w:r>
      <w:r w:rsidR="00190923" w:rsidRPr="00981405">
        <w:t xml:space="preserve"> </w:t>
      </w:r>
      <w:r w:rsidRPr="00981405">
        <w:t>be</w:t>
      </w:r>
      <w:r w:rsidR="00190923" w:rsidRPr="00981405">
        <w:t xml:space="preserve"> </w:t>
      </w:r>
      <w:r w:rsidRPr="00981405">
        <w:t>held</w:t>
      </w:r>
      <w:r w:rsidR="00190923" w:rsidRPr="00981405">
        <w:t xml:space="preserve"> </w:t>
      </w:r>
      <w:r w:rsidRPr="00981405">
        <w:t>by</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in</w:t>
      </w:r>
      <w:r w:rsidR="00190923" w:rsidRPr="00981405">
        <w:t xml:space="preserve"> </w:t>
      </w:r>
      <w:r w:rsidRPr="00981405">
        <w:t>the</w:t>
      </w:r>
      <w:r w:rsidR="00190923" w:rsidRPr="00981405">
        <w:t xml:space="preserve"> </w:t>
      </w:r>
      <w:r w:rsidRPr="00981405">
        <w:t>State</w:t>
      </w:r>
      <w:r w:rsidR="00190923" w:rsidRPr="00981405">
        <w:t xml:space="preserve"> </w:t>
      </w:r>
      <w:r w:rsidRPr="00981405">
        <w:t>in</w:t>
      </w:r>
      <w:r w:rsidR="00190923" w:rsidRPr="00981405">
        <w:t xml:space="preserve"> </w:t>
      </w:r>
      <w:r w:rsidRPr="00981405">
        <w:t>question.</w:t>
      </w:r>
      <w:r w:rsidR="00190923" w:rsidRPr="00981405">
        <w:t xml:space="preserve"> </w:t>
      </w:r>
      <w:r w:rsidRPr="00981405">
        <w:t>By</w:t>
      </w:r>
      <w:r w:rsidR="00190923" w:rsidRPr="00981405">
        <w:t xml:space="preserve"> </w:t>
      </w:r>
      <w:r w:rsidRPr="00981405">
        <w:t>their</w:t>
      </w:r>
      <w:r w:rsidR="00190923" w:rsidRPr="00981405">
        <w:t xml:space="preserve"> </w:t>
      </w:r>
      <w:r w:rsidRPr="00981405">
        <w:t>nature</w:t>
      </w:r>
      <w:r w:rsidR="00190923" w:rsidRPr="00981405">
        <w:t xml:space="preserve"> </w:t>
      </w:r>
      <w:r w:rsidRPr="00981405">
        <w:t>they</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implemented</w:t>
      </w:r>
      <w:r w:rsidR="00190923" w:rsidRPr="00981405">
        <w:t xml:space="preserve"> </w:t>
      </w:r>
      <w:r w:rsidRPr="00981405">
        <w:t>immediately</w:t>
      </w:r>
      <w:r w:rsidR="00190923" w:rsidRPr="00981405">
        <w:t xml:space="preserve"> </w:t>
      </w:r>
      <w:r w:rsidRPr="00981405">
        <w:t>and</w:t>
      </w:r>
      <w:r w:rsidR="00190923" w:rsidRPr="00981405">
        <w:t xml:space="preserve"> </w:t>
      </w:r>
      <w:r w:rsidRPr="00981405">
        <w:t>therefore</w:t>
      </w:r>
      <w:r w:rsidR="00190923" w:rsidRPr="00981405">
        <w:t xml:space="preserve"> </w:t>
      </w:r>
      <w:r w:rsidRPr="00981405">
        <w:t>often</w:t>
      </w:r>
      <w:r w:rsidR="00190923" w:rsidRPr="00981405">
        <w:t xml:space="preserve"> </w:t>
      </w:r>
      <w:r w:rsidRPr="00981405">
        <w:t>provided</w:t>
      </w:r>
      <w:r w:rsidR="00190923" w:rsidRPr="00981405">
        <w:t xml:space="preserve"> </w:t>
      </w:r>
      <w:r w:rsidRPr="00981405">
        <w:t>for</w:t>
      </w:r>
      <w:r w:rsidR="00190923" w:rsidRPr="00981405">
        <w:t xml:space="preserve"> </w:t>
      </w:r>
      <w:r w:rsidRPr="00981405">
        <w:t>provisional</w:t>
      </w:r>
      <w:r w:rsidR="00190923" w:rsidRPr="00981405">
        <w:t xml:space="preserve"> </w:t>
      </w:r>
      <w:r w:rsidRPr="00981405">
        <w:t>application.</w:t>
      </w:r>
    </w:p>
    <w:p w:rsidR="00397032" w:rsidRPr="00981405" w:rsidRDefault="00397032" w:rsidP="00D97463">
      <w:pPr>
        <w:pStyle w:val="SingleTxt"/>
      </w:pPr>
      <w:r w:rsidRPr="00981405">
        <w:t>272.</w:t>
      </w:r>
      <w:r w:rsidRPr="00981405">
        <w:tab/>
        <w:t>Some</w:t>
      </w:r>
      <w:r w:rsidR="00190923" w:rsidRPr="00981405">
        <w:t xml:space="preserve"> </w:t>
      </w:r>
      <w:r w:rsidRPr="00981405">
        <w:t>members</w:t>
      </w:r>
      <w:r w:rsidR="00190923" w:rsidRPr="00981405">
        <w:t xml:space="preserve"> </w:t>
      </w:r>
      <w:r w:rsidRPr="00981405">
        <w:t>noted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appropriate</w:t>
      </w:r>
      <w:r w:rsidR="00190923" w:rsidRPr="00981405">
        <w:t xml:space="preserve"> </w:t>
      </w:r>
      <w:r w:rsidRPr="00981405">
        <w:t>to</w:t>
      </w:r>
      <w:r w:rsidR="00190923" w:rsidRPr="00981405">
        <w:t xml:space="preserve"> </w:t>
      </w:r>
      <w:r w:rsidRPr="00981405">
        <w:t>undertake</w:t>
      </w:r>
      <w:r w:rsidR="00190923" w:rsidRPr="00981405">
        <w:t xml:space="preserve"> </w:t>
      </w:r>
      <w:r w:rsidRPr="00981405">
        <w:t>first</w:t>
      </w:r>
      <w:r w:rsidR="00190923" w:rsidRPr="00981405">
        <w:t xml:space="preserve"> </w:t>
      </w:r>
      <w:r w:rsidRPr="00981405">
        <w:t>the</w:t>
      </w:r>
      <w:r w:rsidR="00190923" w:rsidRPr="00981405">
        <w:t xml:space="preserve"> </w:t>
      </w:r>
      <w:r w:rsidRPr="00981405">
        <w:t>examination</w:t>
      </w:r>
      <w:r w:rsidR="00190923" w:rsidRPr="00981405">
        <w:t xml:space="preserve"> </w:t>
      </w:r>
      <w:r w:rsidRPr="00981405">
        <w:t>of</w:t>
      </w:r>
      <w:r w:rsidR="00190923" w:rsidRPr="00981405">
        <w:t xml:space="preserve"> </w:t>
      </w:r>
      <w:r w:rsidRPr="00981405">
        <w:t>questions</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concluded</w:t>
      </w:r>
      <w:r w:rsidR="00190923" w:rsidRPr="00981405">
        <w:t xml:space="preserve"> </w:t>
      </w:r>
      <w:r w:rsidRPr="00981405">
        <w:t>by</w:t>
      </w:r>
      <w:r w:rsidR="00190923" w:rsidRPr="00981405">
        <w:t xml:space="preserve"> </w:t>
      </w:r>
      <w:r w:rsidRPr="00981405">
        <w:t>States</w:t>
      </w:r>
      <w:r w:rsidR="00190923" w:rsidRPr="00981405">
        <w:t xml:space="preserve"> </w:t>
      </w:r>
      <w:r w:rsidRPr="00981405">
        <w:t>and</w:t>
      </w:r>
      <w:r w:rsidR="00190923" w:rsidRPr="00981405">
        <w:t xml:space="preserve"> </w:t>
      </w:r>
      <w:r w:rsidRPr="00981405">
        <w:t>only</w:t>
      </w:r>
      <w:r w:rsidR="00190923" w:rsidRPr="00981405">
        <w:t xml:space="preserve"> </w:t>
      </w:r>
      <w:r w:rsidRPr="00981405">
        <w:t>afterwards</w:t>
      </w:r>
      <w:r w:rsidR="00190923" w:rsidRPr="00981405">
        <w:t xml:space="preserve"> </w:t>
      </w:r>
      <w:r w:rsidRPr="00981405">
        <w:t>to</w:t>
      </w:r>
      <w:r w:rsidR="00190923" w:rsidRPr="00981405">
        <w:t xml:space="preserve"> </w:t>
      </w:r>
      <w:r w:rsidRPr="00981405">
        <w:t>proceed</w:t>
      </w:r>
      <w:r w:rsidR="00190923" w:rsidRPr="00981405">
        <w:t xml:space="preserve"> </w:t>
      </w:r>
      <w:r w:rsidRPr="00981405">
        <w:t>to</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with</w:t>
      </w:r>
      <w:r w:rsidR="00190923" w:rsidRPr="00981405">
        <w:t xml:space="preserve"> </w:t>
      </w:r>
      <w:r w:rsidRPr="00981405">
        <w:t>the</w:t>
      </w:r>
      <w:r w:rsidR="00190923" w:rsidRPr="00981405">
        <w:t xml:space="preserve"> </w:t>
      </w:r>
      <w:r w:rsidRPr="00981405">
        <w:t>participation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r w:rsidRPr="00D97463">
        <w:tab/>
      </w:r>
      <w:bookmarkStart w:id="174" w:name="_Toc427938158"/>
      <w:r w:rsidRPr="00D97463">
        <w:t>(d)</w:t>
      </w:r>
      <w:r w:rsidRPr="00D97463">
        <w:tab/>
        <w:t>Comments</w:t>
      </w:r>
      <w:r w:rsidR="00190923" w:rsidRPr="00D97463">
        <w:t xml:space="preserve"> </w:t>
      </w:r>
      <w:r w:rsidRPr="00D97463">
        <w:t>on</w:t>
      </w:r>
      <w:r w:rsidR="00190923" w:rsidRPr="00D97463">
        <w:t xml:space="preserve"> </w:t>
      </w:r>
      <w:r w:rsidRPr="00D97463">
        <w:t>the</w:t>
      </w:r>
      <w:r w:rsidR="00190923" w:rsidRPr="00D97463">
        <w:t xml:space="preserve"> </w:t>
      </w:r>
      <w:r w:rsidRPr="00D97463">
        <w:t>draft</w:t>
      </w:r>
      <w:r w:rsidR="00190923" w:rsidRPr="00D97463">
        <w:t xml:space="preserve"> </w:t>
      </w:r>
      <w:r w:rsidRPr="00D97463">
        <w:t>guidelines</w:t>
      </w:r>
      <w:bookmarkEnd w:id="17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273.</w:t>
      </w:r>
      <w:r w:rsidRPr="00981405">
        <w:tab/>
        <w:t>In</w:t>
      </w:r>
      <w:r w:rsidR="00190923" w:rsidRPr="00981405">
        <w:t xml:space="preserve"> </w:t>
      </w:r>
      <w:r w:rsidRPr="00981405">
        <w:t>general,</w:t>
      </w:r>
      <w:r w:rsidR="00190923" w:rsidRPr="00981405">
        <w:t xml:space="preserve"> </w:t>
      </w:r>
      <w:r w:rsidRPr="00981405">
        <w:t>members</w:t>
      </w:r>
      <w:r w:rsidR="00190923" w:rsidRPr="00981405">
        <w:t xml:space="preserve"> </w:t>
      </w:r>
      <w:r w:rsidRPr="00981405">
        <w:t>supported</w:t>
      </w:r>
      <w:r w:rsidR="00190923" w:rsidRPr="00981405">
        <w:t xml:space="preserve"> </w:t>
      </w:r>
      <w:r w:rsidRPr="00981405">
        <w:t>the</w:t>
      </w:r>
      <w:r w:rsidR="00190923" w:rsidRPr="00981405">
        <w:t xml:space="preserve"> </w:t>
      </w:r>
      <w:r w:rsidRPr="00981405">
        <w:t>approach</w:t>
      </w:r>
      <w:r w:rsidR="00190923" w:rsidRPr="00981405">
        <w:t xml:space="preserve"> </w:t>
      </w:r>
      <w:r w:rsidRPr="00981405">
        <w:t>taken</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to</w:t>
      </w:r>
      <w:r w:rsidR="00190923" w:rsidRPr="00981405">
        <w:t xml:space="preserve"> </w:t>
      </w:r>
      <w:r w:rsidRPr="00981405">
        <w:t>prepare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providing</w:t>
      </w:r>
      <w:r w:rsidR="00190923" w:rsidRPr="00981405">
        <w:t xml:space="preserve"> </w:t>
      </w:r>
      <w:r w:rsidRPr="00981405">
        <w:t>States</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with</w:t>
      </w:r>
      <w:r w:rsidR="00190923" w:rsidRPr="00981405">
        <w:t xml:space="preserve"> </w:t>
      </w:r>
      <w:r w:rsidRPr="00981405">
        <w:t>a</w:t>
      </w:r>
      <w:r w:rsidR="00190923" w:rsidRPr="00981405">
        <w:t xml:space="preserve"> </w:t>
      </w:r>
      <w:r w:rsidRPr="00981405">
        <w:t>practical</w:t>
      </w:r>
      <w:r w:rsidR="00190923" w:rsidRPr="00981405">
        <w:t xml:space="preserve"> </w:t>
      </w:r>
      <w:r w:rsidRPr="00981405">
        <w:t>tool.</w:t>
      </w:r>
      <w:r w:rsidR="00190923" w:rsidRPr="00981405">
        <w:t xml:space="preserve"> </w:t>
      </w:r>
      <w:r w:rsidRPr="00981405">
        <w:t>Some</w:t>
      </w:r>
      <w:r w:rsidR="00190923" w:rsidRPr="00981405">
        <w:t xml:space="preserve"> </w:t>
      </w:r>
      <w:r w:rsidRPr="00981405">
        <w:t>members</w:t>
      </w:r>
      <w:r w:rsidR="00190923" w:rsidRPr="00981405">
        <w:t xml:space="preserve"> </w:t>
      </w:r>
      <w:r w:rsidRPr="00981405">
        <w:t>were,</w:t>
      </w:r>
      <w:r w:rsidR="00190923" w:rsidRPr="00981405">
        <w:t xml:space="preserve"> </w:t>
      </w:r>
      <w:r w:rsidRPr="00981405">
        <w:t>however,</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proposed</w:t>
      </w:r>
      <w:r w:rsidR="00190923" w:rsidRPr="00981405">
        <w:t xml:space="preserve"> </w:t>
      </w:r>
      <w:r w:rsidRPr="00981405">
        <w:t>by</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were</w:t>
      </w:r>
      <w:r w:rsidR="00190923" w:rsidRPr="00981405">
        <w:t xml:space="preserve"> </w:t>
      </w:r>
      <w:r w:rsidRPr="00981405">
        <w:t>better</w:t>
      </w:r>
      <w:r w:rsidR="00190923" w:rsidRPr="00981405">
        <w:t xml:space="preserve"> </w:t>
      </w:r>
      <w:r w:rsidRPr="00981405">
        <w:t>presented</w:t>
      </w:r>
      <w:r w:rsidR="00190923" w:rsidRPr="00981405">
        <w:t xml:space="preserve"> </w:t>
      </w:r>
      <w:r w:rsidRPr="00981405">
        <w:t>as</w:t>
      </w:r>
      <w:r w:rsidR="00190923" w:rsidRPr="00981405">
        <w:t xml:space="preserve"> </w:t>
      </w:r>
      <w:r w:rsidRPr="00981405">
        <w:t>draft</w:t>
      </w:r>
      <w:r w:rsidR="00190923" w:rsidRPr="00981405">
        <w:t xml:space="preserve"> </w:t>
      </w:r>
      <w:r w:rsidRPr="00981405">
        <w:t>conclusions.</w:t>
      </w:r>
      <w:r w:rsidR="00190923" w:rsidRPr="00981405">
        <w:t xml:space="preserve"> </w:t>
      </w:r>
      <w:r w:rsidRPr="00981405">
        <w:t>Another</w:t>
      </w:r>
      <w:r w:rsidR="00190923" w:rsidRPr="00981405">
        <w:t xml:space="preserve"> </w:t>
      </w:r>
      <w:r w:rsidRPr="00981405">
        <w:t>general</w:t>
      </w:r>
      <w:r w:rsidR="00190923" w:rsidRPr="00981405">
        <w:t xml:space="preserve"> </w:t>
      </w:r>
      <w:r w:rsidRPr="00981405">
        <w:t>remark</w:t>
      </w:r>
      <w:r w:rsidR="00190923" w:rsidRPr="00981405">
        <w:t xml:space="preserve"> </w:t>
      </w:r>
      <w:r w:rsidRPr="00981405">
        <w:t>was</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better</w:t>
      </w:r>
      <w:r w:rsidR="00190923" w:rsidRPr="00981405">
        <w:t xml:space="preserve"> </w:t>
      </w:r>
      <w:r w:rsidRPr="00981405">
        <w:t>to</w:t>
      </w:r>
      <w:r w:rsidR="00190923" w:rsidRPr="00981405">
        <w:t xml:space="preserve"> </w:t>
      </w:r>
      <w:r w:rsidRPr="00981405">
        <w:t>separate</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States</w:t>
      </w:r>
      <w:r w:rsidR="00190923" w:rsidRPr="00981405">
        <w:t xml:space="preserve"> </w:t>
      </w:r>
      <w:r w:rsidRPr="00981405">
        <w:t>from</w:t>
      </w:r>
      <w:r w:rsidR="00190923" w:rsidRPr="00981405">
        <w:t xml:space="preserve"> </w:t>
      </w:r>
      <w:r w:rsidRPr="00981405">
        <w:t>that</w:t>
      </w:r>
      <w:r w:rsidR="00190923" w:rsidRPr="00981405">
        <w:t xml:space="preserve"> </w:t>
      </w:r>
      <w:r w:rsidRPr="00981405">
        <w:t>of</w:t>
      </w:r>
      <w:r w:rsidR="00190923" w:rsidRPr="00981405">
        <w:t xml:space="preserve"> </w:t>
      </w:r>
      <w:r w:rsidRPr="00981405">
        <w:t>treaties</w:t>
      </w:r>
      <w:r w:rsidR="00190923" w:rsidRPr="00981405">
        <w:t xml:space="preserve"> </w:t>
      </w:r>
      <w:r w:rsidRPr="00981405">
        <w:t>with</w:t>
      </w:r>
      <w:r w:rsidR="00190923" w:rsidRPr="00981405">
        <w:t xml:space="preserve"> </w:t>
      </w:r>
      <w:r w:rsidRPr="00981405">
        <w:t>the</w:t>
      </w:r>
      <w:r w:rsidR="00190923" w:rsidRPr="00981405">
        <w:t xml:space="preserve"> </w:t>
      </w:r>
      <w:r w:rsidRPr="00981405">
        <w:t>participation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organizations.</w:t>
      </w:r>
    </w:p>
    <w:p w:rsidR="00397032" w:rsidRPr="00981405" w:rsidRDefault="00397032" w:rsidP="00D97463">
      <w:pPr>
        <w:pStyle w:val="SingleTxt"/>
      </w:pPr>
      <w:r w:rsidRPr="00981405">
        <w:t>274.</w:t>
      </w:r>
      <w:r w:rsidRPr="00981405">
        <w:tab/>
        <w:t>Several</w:t>
      </w:r>
      <w:r w:rsidR="00190923" w:rsidRPr="00981405">
        <w:t xml:space="preserve"> </w:t>
      </w:r>
      <w:r w:rsidRPr="00981405">
        <w:t>drafting</w:t>
      </w:r>
      <w:r w:rsidR="00190923" w:rsidRPr="00981405">
        <w:t xml:space="preserve"> </w:t>
      </w:r>
      <w:r w:rsidRPr="00981405">
        <w:t>suggestions</w:t>
      </w:r>
      <w:r w:rsidR="00190923" w:rsidRPr="00981405">
        <w:t xml:space="preserve"> </w:t>
      </w:r>
      <w:r w:rsidRPr="00981405">
        <w:t>were</w:t>
      </w:r>
      <w:r w:rsidR="00190923" w:rsidRPr="00981405">
        <w:t xml:space="preserve"> </w:t>
      </w:r>
      <w:r w:rsidRPr="00981405">
        <w:t>made</w:t>
      </w:r>
      <w:r w:rsidR="00190923" w:rsidRPr="00981405">
        <w:t xml:space="preserve"> </w:t>
      </w:r>
      <w:r w:rsidRPr="00981405">
        <w:t>concerning</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1,</w:t>
      </w:r>
      <w:r w:rsidR="00190923" w:rsidRPr="00981405">
        <w:t xml:space="preserve"> </w:t>
      </w:r>
      <w:r w:rsidRPr="00981405">
        <w:t>with</w:t>
      </w:r>
      <w:r w:rsidR="00190923" w:rsidRPr="00981405">
        <w:t xml:space="preserve"> </w:t>
      </w:r>
      <w:r w:rsidRPr="00981405">
        <w:t>a</w:t>
      </w:r>
      <w:r w:rsidR="00190923" w:rsidRPr="00981405">
        <w:t xml:space="preserve"> </w:t>
      </w:r>
      <w:r w:rsidRPr="00981405">
        <w:t>view</w:t>
      </w:r>
      <w:r w:rsidR="00190923" w:rsidRPr="00981405">
        <w:t xml:space="preserve"> </w:t>
      </w:r>
      <w:r w:rsidRPr="00981405">
        <w:t>to</w:t>
      </w:r>
      <w:r w:rsidR="00190923" w:rsidRPr="00981405">
        <w:t xml:space="preserve"> </w:t>
      </w:r>
      <w:r w:rsidRPr="00981405">
        <w:t>bringing</w:t>
      </w:r>
      <w:r w:rsidR="00190923" w:rsidRPr="00981405">
        <w:t xml:space="preserve"> </w:t>
      </w:r>
      <w:r w:rsidRPr="00981405">
        <w:t>the</w:t>
      </w:r>
      <w:r w:rsidR="00190923" w:rsidRPr="00981405">
        <w:t xml:space="preserve"> </w:t>
      </w:r>
      <w:r w:rsidRPr="00981405">
        <w:t>provision</w:t>
      </w:r>
      <w:r w:rsidR="00190923" w:rsidRPr="00981405">
        <w:t xml:space="preserve"> </w:t>
      </w:r>
      <w:r w:rsidRPr="00981405">
        <w:t>more</w:t>
      </w:r>
      <w:r w:rsidR="00190923" w:rsidRPr="00981405">
        <w:t xml:space="preserve"> </w:t>
      </w:r>
      <w:r w:rsidRPr="00981405">
        <w:t>into</w:t>
      </w:r>
      <w:r w:rsidR="00190923" w:rsidRPr="00981405">
        <w:t xml:space="preserve"> </w:t>
      </w:r>
      <w:r w:rsidRPr="00981405">
        <w:t>line</w:t>
      </w:r>
      <w:r w:rsidR="00190923" w:rsidRPr="00981405">
        <w:t xml:space="preserve"> </w:t>
      </w:r>
      <w:r w:rsidRPr="00981405">
        <w:t>with</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For</w:t>
      </w:r>
      <w:r w:rsidR="00190923" w:rsidRPr="00981405">
        <w:t xml:space="preserve"> </w:t>
      </w:r>
      <w:r w:rsidRPr="00981405">
        <w:t>example,</w:t>
      </w:r>
      <w:r w:rsidR="00190923" w:rsidRPr="00981405">
        <w:t xml:space="preserve"> </w:t>
      </w:r>
      <w:r w:rsidRPr="00981405">
        <w:t>it</w:t>
      </w:r>
      <w:r w:rsidR="00190923" w:rsidRPr="00981405">
        <w:t xml:space="preserve"> </w:t>
      </w:r>
      <w:r w:rsidRPr="00981405">
        <w:t>was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reference</w:t>
      </w:r>
      <w:r w:rsidR="00190923" w:rsidRPr="00981405">
        <w:t xml:space="preserve"> </w:t>
      </w:r>
      <w:r w:rsidRPr="00981405">
        <w:t>to</w:t>
      </w:r>
      <w:r w:rsidR="00190923" w:rsidRPr="00981405">
        <w:t xml:space="preserve"> </w:t>
      </w:r>
      <w:r w:rsidRPr="00981405">
        <w:t>internal</w:t>
      </w:r>
      <w:r w:rsidR="00190923" w:rsidRPr="00981405">
        <w:t xml:space="preserve"> </w:t>
      </w:r>
      <w:r w:rsidRPr="00981405">
        <w:t>law</w:t>
      </w:r>
      <w:r w:rsidR="00190923" w:rsidRPr="00981405">
        <w:t xml:space="preserve"> </w:t>
      </w:r>
      <w:r w:rsidRPr="00981405">
        <w:t>not</w:t>
      </w:r>
      <w:r w:rsidR="00190923" w:rsidRPr="00981405">
        <w:t xml:space="preserve"> </w:t>
      </w:r>
      <w:r w:rsidRPr="00981405">
        <w:t>prohibiting</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did</w:t>
      </w:r>
      <w:r w:rsidR="00190923" w:rsidRPr="00981405">
        <w:t xml:space="preserve"> </w:t>
      </w:r>
      <w:r w:rsidRPr="00981405">
        <w:t>not</w:t>
      </w:r>
      <w:r w:rsidR="00190923" w:rsidRPr="00981405">
        <w:t xml:space="preserve"> </w:t>
      </w:r>
      <w:r w:rsidRPr="00981405">
        <w:t>appear</w:t>
      </w:r>
      <w:r w:rsidR="00190923" w:rsidRPr="00981405">
        <w:t xml:space="preserve"> </w:t>
      </w:r>
      <w:r w:rsidRPr="00981405">
        <w:t>to</w:t>
      </w:r>
      <w:r w:rsidR="00190923" w:rsidRPr="00981405">
        <w:t xml:space="preserve"> </w:t>
      </w:r>
      <w:r w:rsidRPr="00981405">
        <w:t>be</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article</w:t>
      </w:r>
      <w:r w:rsidR="00190923" w:rsidRPr="00981405">
        <w:t xml:space="preserve"> </w:t>
      </w:r>
      <w:r w:rsidRPr="00981405">
        <w:t>25,</w:t>
      </w:r>
      <w:r w:rsidR="00190923" w:rsidRPr="00981405">
        <w:t xml:space="preserve"> </w:t>
      </w:r>
      <w:r w:rsidRPr="00981405">
        <w:t>and</w:t>
      </w:r>
      <w:r w:rsidR="00190923" w:rsidRPr="00981405">
        <w:t xml:space="preserve"> </w:t>
      </w:r>
      <w:r w:rsidRPr="00981405">
        <w:t>needed</w:t>
      </w:r>
      <w:r w:rsidR="00190923" w:rsidRPr="00981405">
        <w:t xml:space="preserve"> </w:t>
      </w:r>
      <w:r w:rsidRPr="00981405">
        <w:t>to</w:t>
      </w:r>
      <w:r w:rsidR="00190923" w:rsidRPr="00981405">
        <w:t xml:space="preserve"> </w:t>
      </w:r>
      <w:r w:rsidRPr="00981405">
        <w:t>be</w:t>
      </w:r>
      <w:r w:rsidR="00190923" w:rsidRPr="00981405">
        <w:t xml:space="preserve"> </w:t>
      </w:r>
      <w:r w:rsidRPr="00981405">
        <w:t>deleted</w:t>
      </w:r>
      <w:r w:rsidR="00190923" w:rsidRPr="00981405">
        <w:t xml:space="preserve"> </w:t>
      </w:r>
      <w:r w:rsidRPr="00981405">
        <w:t>since</w:t>
      </w:r>
      <w:r w:rsidR="00190923" w:rsidRPr="00981405">
        <w:t xml:space="preserve"> </w:t>
      </w:r>
      <w:r w:rsidRPr="00981405">
        <w:t>it</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States</w:t>
      </w:r>
      <w:r w:rsidR="00190923" w:rsidRPr="00981405">
        <w:t xml:space="preserve"> </w:t>
      </w:r>
      <w:r w:rsidRPr="00981405">
        <w:t>could</w:t>
      </w:r>
      <w:r w:rsidR="00190923" w:rsidRPr="00981405">
        <w:t xml:space="preserve"> </w:t>
      </w:r>
      <w:r w:rsidRPr="00981405">
        <w:t>turn</w:t>
      </w:r>
      <w:r w:rsidR="00190923" w:rsidRPr="00981405">
        <w:t xml:space="preserve"> </w:t>
      </w:r>
      <w:r w:rsidRPr="00981405">
        <w:t>to</w:t>
      </w:r>
      <w:r w:rsidR="00190923" w:rsidRPr="00981405">
        <w:t xml:space="preserve"> </w:t>
      </w:r>
      <w:r w:rsidRPr="00981405">
        <w:t>their</w:t>
      </w:r>
      <w:r w:rsidR="00190923" w:rsidRPr="00981405">
        <w:t xml:space="preserve"> </w:t>
      </w:r>
      <w:r w:rsidRPr="00981405">
        <w:t>internal</w:t>
      </w:r>
      <w:r w:rsidR="00190923" w:rsidRPr="00981405">
        <w:t xml:space="preserve"> </w:t>
      </w:r>
      <w:r w:rsidRPr="00981405">
        <w:t>laws</w:t>
      </w:r>
      <w:r w:rsidR="00190923" w:rsidRPr="00981405">
        <w:t xml:space="preserve"> </w:t>
      </w:r>
      <w:r w:rsidRPr="00981405">
        <w:t>to</w:t>
      </w:r>
      <w:r w:rsidR="00190923" w:rsidRPr="00981405">
        <w:t xml:space="preserve"> </w:t>
      </w:r>
      <w:r w:rsidRPr="00981405">
        <w:t>escape</w:t>
      </w:r>
      <w:r w:rsidR="00190923" w:rsidRPr="00981405">
        <w:t xml:space="preserve"> </w:t>
      </w:r>
      <w:r w:rsidRPr="00981405">
        <w:t>an</w:t>
      </w:r>
      <w:r w:rsidR="00190923" w:rsidRPr="00981405">
        <w:t xml:space="preserve"> </w:t>
      </w:r>
      <w:r w:rsidRPr="00981405">
        <w:t>obligation</w:t>
      </w:r>
      <w:r w:rsidR="00190923" w:rsidRPr="00981405">
        <w:t xml:space="preserve"> </w:t>
      </w:r>
      <w:r w:rsidRPr="00981405">
        <w:t>to</w:t>
      </w:r>
      <w:r w:rsidR="00190923" w:rsidRPr="00981405">
        <w:t xml:space="preserve"> </w:t>
      </w:r>
      <w:r w:rsidRPr="00981405">
        <w:t>provisionally</w:t>
      </w:r>
      <w:r w:rsidR="00190923" w:rsidRPr="00981405">
        <w:t xml:space="preserve"> </w:t>
      </w:r>
      <w:r w:rsidRPr="00981405">
        <w:t>apply</w:t>
      </w:r>
      <w:r w:rsidR="00190923" w:rsidRPr="00981405">
        <w:t xml:space="preserve"> </w:t>
      </w:r>
      <w:r w:rsidRPr="00981405">
        <w:t>a</w:t>
      </w:r>
      <w:r w:rsidR="00190923" w:rsidRPr="00981405">
        <w:t xml:space="preserve"> </w:t>
      </w:r>
      <w:r w:rsidRPr="00981405">
        <w:t>treaty.</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could</w:t>
      </w:r>
      <w:r w:rsidR="00190923" w:rsidRPr="00981405">
        <w:t xml:space="preserve"> </w:t>
      </w:r>
      <w:r w:rsidRPr="00981405">
        <w:t>be</w:t>
      </w:r>
      <w:r w:rsidR="00190923" w:rsidRPr="00981405">
        <w:t xml:space="preserve"> </w:t>
      </w:r>
      <w:r w:rsidRPr="00981405">
        <w:t>coupled</w:t>
      </w:r>
      <w:r w:rsidR="00190923" w:rsidRPr="00981405">
        <w:t xml:space="preserve"> </w:t>
      </w:r>
      <w:r w:rsidRPr="00981405">
        <w:t>with</w:t>
      </w:r>
      <w:r w:rsidR="00190923" w:rsidRPr="00981405">
        <w:t xml:space="preserve"> </w:t>
      </w:r>
      <w:r w:rsidRPr="00981405">
        <w:t>another</w:t>
      </w:r>
      <w:r w:rsidR="00190923" w:rsidRPr="00981405">
        <w:t xml:space="preserve"> </w:t>
      </w:r>
      <w:r w:rsidRPr="00981405">
        <w:t>on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p>
    <w:p w:rsidR="00397032" w:rsidRPr="00981405" w:rsidRDefault="00397032" w:rsidP="00D97463">
      <w:pPr>
        <w:pStyle w:val="SingleTxt"/>
      </w:pPr>
      <w:r w:rsidRPr="00981405">
        <w:t>275.</w:t>
      </w:r>
      <w:r w:rsidRPr="00981405">
        <w:tab/>
        <w:t>Concerning</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2,</w:t>
      </w:r>
      <w:r w:rsidR="00190923" w:rsidRPr="00981405">
        <w:t xml:space="preserve"> </w:t>
      </w:r>
      <w:r w:rsidRPr="00981405">
        <w:t>it</w:t>
      </w:r>
      <w:r w:rsidR="00190923" w:rsidRPr="00981405">
        <w:t xml:space="preserve"> </w:t>
      </w:r>
      <w:r w:rsidRPr="00981405">
        <w:t>was</w:t>
      </w:r>
      <w:r w:rsidR="00190923" w:rsidRPr="00981405">
        <w:t xml:space="preserve"> </w:t>
      </w:r>
      <w:r w:rsidRPr="00981405">
        <w:t>proposed</w:t>
      </w:r>
      <w:r w:rsidR="00190923" w:rsidRPr="00981405">
        <w:t xml:space="preserve"> </w:t>
      </w:r>
      <w:r w:rsidRPr="00981405">
        <w:t>that</w:t>
      </w:r>
      <w:r w:rsidR="00190923" w:rsidRPr="00981405">
        <w:t xml:space="preserve"> </w:t>
      </w:r>
      <w:r w:rsidRPr="00981405">
        <w:t>the</w:t>
      </w:r>
      <w:r w:rsidR="00190923" w:rsidRPr="00981405">
        <w:t xml:space="preserve"> </w:t>
      </w:r>
      <w:r w:rsidRPr="00981405">
        <w:t>reference</w:t>
      </w:r>
      <w:r w:rsidR="00190923" w:rsidRPr="00981405">
        <w:t xml:space="preserve"> </w:t>
      </w:r>
      <w:r w:rsidRPr="00981405">
        <w:t>to</w:t>
      </w:r>
      <w:r w:rsidR="00190923" w:rsidRPr="00981405">
        <w:t xml:space="preserve"> </w:t>
      </w:r>
      <w:r w:rsidRPr="00981405">
        <w:t>a</w:t>
      </w:r>
      <w:r w:rsidR="00190923" w:rsidRPr="00981405">
        <w:t xml:space="preserve"> </w:t>
      </w:r>
      <w:r w:rsidRPr="00981405">
        <w:t>resolution</w:t>
      </w:r>
      <w:r w:rsidR="00190923" w:rsidRPr="00981405">
        <w:t xml:space="preserve"> </w:t>
      </w:r>
      <w:r w:rsidRPr="00981405">
        <w:t>by</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organization</w:t>
      </w:r>
      <w:r w:rsidR="00190923" w:rsidRPr="00981405">
        <w:t xml:space="preserve"> </w:t>
      </w:r>
      <w:r w:rsidRPr="00981405">
        <w:t>be</w:t>
      </w:r>
      <w:r w:rsidR="00190923" w:rsidRPr="00981405">
        <w:t xml:space="preserve"> </w:t>
      </w:r>
      <w:r w:rsidRPr="00981405">
        <w:t>clarified.</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resolutions</w:t>
      </w:r>
      <w:r w:rsidR="00190923" w:rsidRPr="00981405">
        <w:t xml:space="preserve"> </w:t>
      </w:r>
      <w:r w:rsidRPr="00981405">
        <w:t>in</w:t>
      </w:r>
      <w:r w:rsidR="00190923" w:rsidRPr="00981405">
        <w:t xml:space="preserve"> </w:t>
      </w:r>
      <w:r w:rsidRPr="00981405">
        <w:t>many</w:t>
      </w:r>
      <w:r w:rsidR="00190923" w:rsidRPr="00981405">
        <w:t xml:space="preserve"> </w:t>
      </w:r>
      <w:r w:rsidRPr="00981405">
        <w:t>cases</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equated</w:t>
      </w:r>
      <w:r w:rsidR="00190923" w:rsidRPr="00981405">
        <w:t xml:space="preserve"> </w:t>
      </w:r>
      <w:r w:rsidRPr="00981405">
        <w:t>with</w:t>
      </w:r>
      <w:r w:rsidR="00190923" w:rsidRPr="00981405">
        <w:t xml:space="preserve"> </w:t>
      </w:r>
      <w:r w:rsidRPr="00981405">
        <w:t>an</w:t>
      </w:r>
      <w:r w:rsidR="00190923" w:rsidRPr="00981405">
        <w:t xml:space="preserve"> </w:t>
      </w:r>
      <w:r w:rsidRPr="00981405">
        <w:t>agreement</w:t>
      </w:r>
      <w:r w:rsidR="00190923" w:rsidRPr="00981405">
        <w:t xml:space="preserve"> </w:t>
      </w:r>
      <w:r w:rsidRPr="00981405">
        <w:t>establishing</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reference</w:t>
      </w:r>
      <w:r w:rsidR="00190923" w:rsidRPr="00981405">
        <w:t xml:space="preserve"> </w:t>
      </w:r>
      <w:r w:rsidRPr="00981405">
        <w:t>be</w:t>
      </w:r>
      <w:r w:rsidR="00190923" w:rsidRPr="00981405">
        <w:t xml:space="preserve"> </w:t>
      </w:r>
      <w:r w:rsidRPr="00981405">
        <w:t>made</w:t>
      </w:r>
      <w:r w:rsidR="00190923" w:rsidRPr="00981405">
        <w:t xml:space="preserve"> </w:t>
      </w:r>
      <w:r w:rsidRPr="00981405">
        <w:t>to</w:t>
      </w:r>
      <w:r w:rsidR="00190923" w:rsidRPr="00981405">
        <w:t xml:space="preserve"> </w:t>
      </w:r>
      <w:r w:rsidRPr="00981405">
        <w:t>other</w:t>
      </w:r>
      <w:r w:rsidR="00190923" w:rsidRPr="00981405">
        <w:t xml:space="preserve"> </w:t>
      </w:r>
      <w:r w:rsidRPr="00981405">
        <w:t>forms</w:t>
      </w:r>
      <w:r w:rsidR="00190923" w:rsidRPr="00981405">
        <w:t xml:space="preserve"> </w:t>
      </w:r>
      <w:r w:rsidRPr="00981405">
        <w:t>of</w:t>
      </w:r>
      <w:r w:rsidR="00190923" w:rsidRPr="00981405">
        <w:t xml:space="preserve"> </w:t>
      </w:r>
      <w:r w:rsidRPr="00981405">
        <w:t>agreement</w:t>
      </w:r>
      <w:r w:rsidR="00190923" w:rsidRPr="00981405">
        <w:t xml:space="preserve"> </w:t>
      </w:r>
      <w:r w:rsidRPr="00981405">
        <w:lastRenderedPageBreak/>
        <w:t>such</w:t>
      </w:r>
      <w:r w:rsidR="00190923" w:rsidRPr="00981405">
        <w:t xml:space="preserve"> </w:t>
      </w:r>
      <w:r w:rsidRPr="00981405">
        <w:t>as</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letters</w:t>
      </w:r>
      <w:r w:rsidR="00190923" w:rsidRPr="00981405">
        <w:t xml:space="preserve"> </w:t>
      </w:r>
      <w:r w:rsidRPr="00981405">
        <w:t>or</w:t>
      </w:r>
      <w:r w:rsidR="00190923" w:rsidRPr="00981405">
        <w:t xml:space="preserve"> </w:t>
      </w:r>
      <w:r w:rsidRPr="00981405">
        <w:t>diplomatic</w:t>
      </w:r>
      <w:r w:rsidR="00190923" w:rsidRPr="00981405">
        <w:t xml:space="preserve"> </w:t>
      </w:r>
      <w:r w:rsidRPr="00981405">
        <w:t>notes.</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w:t>
      </w:r>
      <w:r w:rsidR="00190923" w:rsidRPr="00981405">
        <w:t xml:space="preserve"> </w:t>
      </w:r>
      <w:r w:rsidRPr="00981405">
        <w:t>could</w:t>
      </w:r>
      <w:r w:rsidR="00190923" w:rsidRPr="00981405">
        <w:t xml:space="preserve"> </w:t>
      </w:r>
      <w:r w:rsidRPr="00981405">
        <w:t>also</w:t>
      </w:r>
      <w:r w:rsidR="00190923" w:rsidRPr="00981405">
        <w:t xml:space="preserve"> </w:t>
      </w:r>
      <w:r w:rsidRPr="00981405">
        <w:t>be</w:t>
      </w:r>
      <w:r w:rsidR="00190923" w:rsidRPr="00981405">
        <w:t xml:space="preserve"> </w:t>
      </w:r>
      <w:r w:rsidRPr="00981405">
        <w:t>clearer</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acquiescence</w:t>
      </w:r>
      <w:r w:rsidR="00190923" w:rsidRPr="00981405">
        <w:t xml:space="preserve"> </w:t>
      </w:r>
      <w:r w:rsidRPr="00981405">
        <w:t>by</w:t>
      </w:r>
      <w:r w:rsidR="00190923" w:rsidRPr="00981405">
        <w:t xml:space="preserve"> </w:t>
      </w:r>
      <w:r w:rsidRPr="00981405">
        <w:t>negotiating</w:t>
      </w:r>
      <w:r w:rsidR="00190923" w:rsidRPr="00981405">
        <w:t xml:space="preserve"> </w:t>
      </w:r>
      <w:r w:rsidRPr="00981405">
        <w:t>or</w:t>
      </w:r>
      <w:r w:rsidR="00190923" w:rsidRPr="00981405">
        <w:t xml:space="preserve"> </w:t>
      </w:r>
      <w:r w:rsidRPr="00981405">
        <w:t>contracting</w:t>
      </w:r>
      <w:r w:rsidR="00190923" w:rsidRPr="00981405">
        <w:t xml:space="preserve"> </w:t>
      </w:r>
      <w:r w:rsidRPr="00981405">
        <w:t>States</w:t>
      </w:r>
      <w:r w:rsidR="00190923" w:rsidRPr="00981405">
        <w:t xml:space="preserve"> </w:t>
      </w:r>
      <w:r w:rsidRPr="00981405">
        <w:t>to</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by</w:t>
      </w:r>
      <w:r w:rsidR="00190923" w:rsidRPr="00981405">
        <w:t xml:space="preserve"> </w:t>
      </w:r>
      <w:r w:rsidRPr="00981405">
        <w:t>a</w:t>
      </w:r>
      <w:r w:rsidR="00190923" w:rsidRPr="00981405">
        <w:t xml:space="preserve"> </w:t>
      </w:r>
      <w:r w:rsidRPr="00981405">
        <w:t>third</w:t>
      </w:r>
      <w:r w:rsidR="00190923" w:rsidRPr="00981405">
        <w:t xml:space="preserve"> </w:t>
      </w:r>
      <w:r w:rsidRPr="00981405">
        <w:t>State.</w:t>
      </w:r>
    </w:p>
    <w:p w:rsidR="00397032" w:rsidRPr="00981405" w:rsidRDefault="00397032" w:rsidP="00D97463">
      <w:pPr>
        <w:pStyle w:val="SingleTxt"/>
      </w:pPr>
      <w:r w:rsidRPr="00981405">
        <w:t>276.</w:t>
      </w:r>
      <w:r w:rsidRPr="00981405">
        <w:tab/>
        <w:t>Regarding</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3,</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w:t>
      </w:r>
      <w:r w:rsidR="00190923" w:rsidRPr="00981405">
        <w:t xml:space="preserve"> </w:t>
      </w:r>
      <w:r w:rsidRPr="00981405">
        <w:t>could</w:t>
      </w:r>
      <w:r w:rsidR="00190923" w:rsidRPr="00981405">
        <w:t xml:space="preserve"> </w:t>
      </w:r>
      <w:r w:rsidRPr="00981405">
        <w:t>be</w:t>
      </w:r>
      <w:r w:rsidR="00190923" w:rsidRPr="00981405">
        <w:t xml:space="preserve"> </w:t>
      </w:r>
      <w:r w:rsidRPr="00981405">
        <w:t>simplified;</w:t>
      </w:r>
      <w:r w:rsidR="00190923" w:rsidRPr="00981405">
        <w:t xml:space="preserve"> </w:t>
      </w:r>
      <w:r w:rsidRPr="00981405">
        <w:t>and</w:t>
      </w:r>
      <w:r w:rsidR="00190923" w:rsidRPr="00981405">
        <w:t xml:space="preserve"> </w:t>
      </w:r>
      <w:r w:rsidRPr="00981405">
        <w:t>that</w:t>
      </w:r>
      <w:r w:rsidR="00190923" w:rsidRPr="00981405">
        <w:t xml:space="preserve"> </w:t>
      </w:r>
      <w:r w:rsidRPr="00981405">
        <w:t>reference</w:t>
      </w:r>
      <w:r w:rsidR="00190923" w:rsidRPr="00981405">
        <w:t xml:space="preserve"> </w:t>
      </w:r>
      <w:r w:rsidRPr="00981405">
        <w:t>be</w:t>
      </w:r>
      <w:r w:rsidR="00190923" w:rsidRPr="00981405">
        <w:t xml:space="preserve"> </w:t>
      </w:r>
      <w:r w:rsidRPr="00981405">
        <w:t>made</w:t>
      </w:r>
      <w:r w:rsidR="00190923" w:rsidRPr="00981405">
        <w:t xml:space="preserve"> </w:t>
      </w:r>
      <w:r w:rsidRPr="00981405">
        <w:t>to</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only</w:t>
      </w:r>
      <w:r w:rsidR="00190923" w:rsidRPr="00981405">
        <w:t xml:space="preserve"> </w:t>
      </w:r>
      <w:r w:rsidR="007153AB" w:rsidRPr="00981405">
        <w:t>occurred</w:t>
      </w:r>
      <w:r w:rsidR="00190923" w:rsidRPr="00981405">
        <w:t xml:space="preserve"> </w:t>
      </w:r>
      <w:r w:rsidRPr="00981405">
        <w:t>prior</w:t>
      </w:r>
      <w:r w:rsidR="00190923" w:rsidRPr="00981405">
        <w:t xml:space="preserve"> </w:t>
      </w:r>
      <w:r w:rsidRPr="00981405">
        <w:t>to</w:t>
      </w:r>
      <w:r w:rsidR="00190923" w:rsidRPr="00981405">
        <w:t xml:space="preserve"> </w:t>
      </w:r>
      <w:r w:rsidRPr="00981405">
        <w:t>the</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for</w:t>
      </w:r>
      <w:r w:rsidR="00190923" w:rsidRPr="00981405">
        <w:t xml:space="preserve"> </w:t>
      </w:r>
      <w:r w:rsidRPr="00981405">
        <w:t>the</w:t>
      </w:r>
      <w:r w:rsidR="00190923" w:rsidRPr="00981405">
        <w:t xml:space="preserve"> </w:t>
      </w:r>
      <w:r w:rsidRPr="00981405">
        <w:t>relevant</w:t>
      </w:r>
      <w:r w:rsidR="00190923" w:rsidRPr="00981405">
        <w:t xml:space="preserve"> </w:t>
      </w:r>
      <w:r w:rsidRPr="00981405">
        <w:t>party.</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elements</w:t>
      </w:r>
      <w:r w:rsidR="00190923" w:rsidRPr="00981405">
        <w:t xml:space="preserve"> </w:t>
      </w:r>
      <w:r w:rsidRPr="00981405">
        <w:t>of</w:t>
      </w:r>
      <w:r w:rsidR="00190923" w:rsidRPr="00981405">
        <w:t xml:space="preserve"> </w:t>
      </w:r>
      <w:r w:rsidRPr="00981405">
        <w:t>the</w:t>
      </w:r>
      <w:r w:rsidR="00190923" w:rsidRPr="00981405">
        <w:t xml:space="preserve"> </w:t>
      </w:r>
      <w:r w:rsidRPr="00981405">
        <w:t>means</w:t>
      </w:r>
      <w:r w:rsidR="00190923" w:rsidRPr="00981405">
        <w:t xml:space="preserve"> </w:t>
      </w:r>
      <w:r w:rsidRPr="00981405">
        <w:t>of</w:t>
      </w:r>
      <w:r w:rsidR="00190923" w:rsidRPr="00981405">
        <w:t xml:space="preserve"> </w:t>
      </w:r>
      <w:r w:rsidRPr="00981405">
        <w:t>expressing</w:t>
      </w:r>
      <w:r w:rsidR="00190923" w:rsidRPr="00981405">
        <w:t xml:space="preserve"> </w:t>
      </w:r>
      <w:r w:rsidRPr="00981405">
        <w:t>consent,</w:t>
      </w:r>
      <w:r w:rsidR="00190923" w:rsidRPr="00981405">
        <w:t xml:space="preserve"> </w:t>
      </w:r>
      <w:r w:rsidRPr="00981405">
        <w:t>and</w:t>
      </w:r>
      <w:r w:rsidR="00190923" w:rsidRPr="00981405">
        <w:t xml:space="preserve"> </w:t>
      </w:r>
      <w:r w:rsidRPr="00981405">
        <w:t>the</w:t>
      </w:r>
      <w:r w:rsidR="00190923" w:rsidRPr="00981405">
        <w:t xml:space="preserve"> </w:t>
      </w:r>
      <w:r w:rsidRPr="00981405">
        <w:t>temporal</w:t>
      </w:r>
      <w:r w:rsidR="00190923" w:rsidRPr="00981405">
        <w:t xml:space="preserve"> </w:t>
      </w:r>
      <w:r w:rsidRPr="00981405">
        <w:t>starting</w:t>
      </w:r>
      <w:r w:rsidR="00190923" w:rsidRPr="00981405">
        <w:t xml:space="preserve"> </w:t>
      </w:r>
      <w:r w:rsidRPr="00981405">
        <w:t>point</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could</w:t>
      </w:r>
      <w:r w:rsidR="00190923" w:rsidRPr="00981405">
        <w:t xml:space="preserve"> </w:t>
      </w:r>
      <w:r w:rsidRPr="00981405">
        <w:t>be</w:t>
      </w:r>
      <w:r w:rsidR="00190923" w:rsidRPr="00981405">
        <w:t xml:space="preserve"> </w:t>
      </w:r>
      <w:r w:rsidRPr="00981405">
        <w:t>separated</w:t>
      </w:r>
      <w:r w:rsidR="00190923" w:rsidRPr="00981405">
        <w:t xml:space="preserve"> </w:t>
      </w:r>
      <w:r w:rsidRPr="00981405">
        <w:t>into</w:t>
      </w:r>
      <w:r w:rsidR="00190923" w:rsidRPr="00981405">
        <w:t xml:space="preserve"> </w:t>
      </w:r>
      <w:r w:rsidRPr="00981405">
        <w:t>two</w:t>
      </w:r>
      <w:r w:rsidR="00190923" w:rsidRPr="00981405">
        <w:t xml:space="preserve"> </w:t>
      </w:r>
      <w:r w:rsidRPr="00981405">
        <w:t>draft</w:t>
      </w:r>
      <w:r w:rsidR="00190923" w:rsidRPr="00981405">
        <w:t xml:space="preserve"> </w:t>
      </w:r>
      <w:r w:rsidRPr="00981405">
        <w:t>guidelines.</w:t>
      </w:r>
    </w:p>
    <w:p w:rsidR="00397032" w:rsidRPr="00981405" w:rsidRDefault="00397032" w:rsidP="00D97463">
      <w:pPr>
        <w:pStyle w:val="SingleTxt"/>
      </w:pPr>
      <w:r w:rsidRPr="00981405">
        <w:t>277.</w:t>
      </w:r>
      <w:r w:rsidRPr="00981405">
        <w:tab/>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legal</w:t>
      </w:r>
      <w:r w:rsidR="00190923" w:rsidRPr="00981405">
        <w:t xml:space="preserve"> </w:t>
      </w:r>
      <w:r w:rsidRPr="00981405">
        <w:t>effects</w:t>
      </w:r>
      <w:r w:rsidR="00B92E2C" w:rsidRPr="00981405">
        <w:t>”</w:t>
      </w:r>
      <w:r w:rsidR="00190923" w:rsidRPr="00981405">
        <w:t xml:space="preserve"> </w:t>
      </w:r>
      <w:r w:rsidRPr="00981405">
        <w:t>in</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4</w:t>
      </w:r>
      <w:r w:rsidR="00190923" w:rsidRPr="00981405">
        <w:t xml:space="preserve"> </w:t>
      </w:r>
      <w:r w:rsidRPr="00981405">
        <w:t>be</w:t>
      </w:r>
      <w:r w:rsidR="00190923" w:rsidRPr="00981405">
        <w:t xml:space="preserve"> </w:t>
      </w:r>
      <w:r w:rsidRPr="00981405">
        <w:t>clarified</w:t>
      </w:r>
      <w:r w:rsidR="00190923" w:rsidRPr="00981405">
        <w:t xml:space="preserve"> </w:t>
      </w:r>
      <w:r w:rsidRPr="00981405">
        <w:t>and</w:t>
      </w:r>
      <w:r w:rsidR="00190923" w:rsidRPr="00981405">
        <w:t xml:space="preserve"> </w:t>
      </w:r>
      <w:r w:rsidRPr="00981405">
        <w:t>the</w:t>
      </w:r>
      <w:r w:rsidR="00190923" w:rsidRPr="00981405">
        <w:t xml:space="preserve"> </w:t>
      </w:r>
      <w:r w:rsidRPr="00981405">
        <w:t>provision</w:t>
      </w:r>
      <w:r w:rsidR="00190923" w:rsidRPr="00981405">
        <w:t xml:space="preserve"> </w:t>
      </w:r>
      <w:r w:rsidRPr="00981405">
        <w:t>further</w:t>
      </w:r>
      <w:r w:rsidR="00190923" w:rsidRPr="00981405">
        <w:t xml:space="preserve"> </w:t>
      </w:r>
      <w:r w:rsidRPr="00981405">
        <w:t>developed,</w:t>
      </w:r>
      <w:r w:rsidR="00190923" w:rsidRPr="00981405">
        <w:t xml:space="preserve"> </w:t>
      </w:r>
      <w:r w:rsidRPr="00981405">
        <w:t>since</w:t>
      </w:r>
      <w:r w:rsidR="00190923" w:rsidRPr="00981405">
        <w:t xml:space="preserve"> </w:t>
      </w:r>
      <w:r w:rsidRPr="00981405">
        <w:t>it</w:t>
      </w:r>
      <w:r w:rsidR="00190923" w:rsidRPr="00981405">
        <w:t xml:space="preserve"> </w:t>
      </w:r>
      <w:r w:rsidRPr="00981405">
        <w:t>was</w:t>
      </w:r>
      <w:r w:rsidR="00190923" w:rsidRPr="00981405">
        <w:t xml:space="preserve"> </w:t>
      </w:r>
      <w:r w:rsidRPr="00981405">
        <w:t>the</w:t>
      </w:r>
      <w:r w:rsidR="00190923" w:rsidRPr="00981405">
        <w:t xml:space="preserve"> </w:t>
      </w:r>
      <w:r w:rsidRPr="00981405">
        <w:t>key</w:t>
      </w:r>
      <w:r w:rsidR="00190923" w:rsidRPr="00981405">
        <w:t xml:space="preserve"> </w:t>
      </w:r>
      <w:r w:rsidRPr="00981405">
        <w:t>provision</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For</w:t>
      </w:r>
      <w:r w:rsidR="00190923" w:rsidRPr="00981405">
        <w:t xml:space="preserve"> </w:t>
      </w:r>
      <w:r w:rsidRPr="00981405">
        <w:t>example,</w:t>
      </w:r>
      <w:r w:rsidR="00190923" w:rsidRPr="00981405">
        <w:t xml:space="preserve"> </w:t>
      </w:r>
      <w:r w:rsidRPr="00981405">
        <w:t>it</w:t>
      </w:r>
      <w:r w:rsidR="00190923" w:rsidRPr="00981405">
        <w:t xml:space="preserve"> </w:t>
      </w:r>
      <w:r w:rsidRPr="00981405">
        <w:t>could</w:t>
      </w:r>
      <w:r w:rsidR="00190923" w:rsidRPr="00981405">
        <w:t xml:space="preserve"> </w:t>
      </w:r>
      <w:r w:rsidRPr="00981405">
        <w:t>be</w:t>
      </w:r>
      <w:r w:rsidR="00190923" w:rsidRPr="00981405">
        <w:t xml:space="preserve"> </w:t>
      </w:r>
      <w:r w:rsidRPr="00981405">
        <w:t>considered</w:t>
      </w:r>
      <w:r w:rsidR="00190923" w:rsidRPr="00981405">
        <w:t xml:space="preserve"> </w:t>
      </w:r>
      <w:r w:rsidRPr="00981405">
        <w:t>whether</w:t>
      </w:r>
      <w:r w:rsidR="00190923" w:rsidRPr="00981405">
        <w:t xml:space="preserve"> </w:t>
      </w:r>
      <w:r w:rsidRPr="00981405">
        <w:t>the</w:t>
      </w:r>
      <w:r w:rsidR="00190923" w:rsidRPr="00981405">
        <w:t xml:space="preserve"> </w:t>
      </w:r>
      <w:r w:rsidRPr="00981405">
        <w:t>obligations</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extended</w:t>
      </w:r>
      <w:r w:rsidR="00190923" w:rsidRPr="00981405">
        <w:t xml:space="preserve"> </w:t>
      </w:r>
      <w:r w:rsidRPr="00981405">
        <w:t>to</w:t>
      </w:r>
      <w:r w:rsidR="00190923" w:rsidRPr="00981405">
        <w:t xml:space="preserve"> </w:t>
      </w:r>
      <w:r w:rsidRPr="00981405">
        <w:t>the</w:t>
      </w:r>
      <w:r w:rsidR="00190923" w:rsidRPr="00981405">
        <w:t xml:space="preserve"> </w:t>
      </w:r>
      <w:r w:rsidRPr="00981405">
        <w:t>whole</w:t>
      </w:r>
      <w:r w:rsidR="00190923" w:rsidRPr="00981405">
        <w:t xml:space="preserve"> </w:t>
      </w:r>
      <w:r w:rsidRPr="00981405">
        <w:t>treaty</w:t>
      </w:r>
      <w:r w:rsidR="00190923" w:rsidRPr="00981405">
        <w:t xml:space="preserve"> </w:t>
      </w:r>
      <w:r w:rsidRPr="00981405">
        <w:t>or</w:t>
      </w:r>
      <w:r w:rsidR="00190923" w:rsidRPr="00981405">
        <w:t xml:space="preserve"> </w:t>
      </w:r>
      <w:r w:rsidRPr="00981405">
        <w:t>only</w:t>
      </w:r>
      <w:r w:rsidR="00190923" w:rsidRPr="00981405">
        <w:t xml:space="preserve"> </w:t>
      </w:r>
      <w:r w:rsidRPr="00981405">
        <w:t>to</w:t>
      </w:r>
      <w:r w:rsidR="00190923" w:rsidRPr="00981405">
        <w:t xml:space="preserve"> </w:t>
      </w:r>
      <w:r w:rsidRPr="00981405">
        <w:t>select</w:t>
      </w:r>
      <w:r w:rsidR="00190923" w:rsidRPr="00981405">
        <w:t xml:space="preserve"> </w:t>
      </w:r>
      <w:r w:rsidRPr="00981405">
        <w:t>provisions.</w:t>
      </w:r>
      <w:r w:rsidR="00190923" w:rsidRPr="00981405">
        <w:t xml:space="preserve"> </w:t>
      </w:r>
      <w:r w:rsidRPr="00981405">
        <w:t>Another</w:t>
      </w:r>
      <w:r w:rsidR="00190923" w:rsidRPr="00981405">
        <w:t xml:space="preserve"> </w:t>
      </w:r>
      <w:r w:rsidRPr="00981405">
        <w:t>possibility</w:t>
      </w:r>
      <w:r w:rsidR="00190923" w:rsidRPr="00981405">
        <w:t xml:space="preserve"> </w:t>
      </w:r>
      <w:r w:rsidRPr="00981405">
        <w:t>was</w:t>
      </w:r>
      <w:r w:rsidR="00190923" w:rsidRPr="00981405">
        <w:t xml:space="preserve"> </w:t>
      </w:r>
      <w:r w:rsidRPr="00981405">
        <w:t>to</w:t>
      </w:r>
      <w:r w:rsidR="00190923" w:rsidRPr="00981405">
        <w:t xml:space="preserve"> </w:t>
      </w:r>
      <w:r w:rsidRPr="00981405">
        <w:t>indicate</w:t>
      </w:r>
      <w:r w:rsidR="00190923" w:rsidRPr="00981405">
        <w:t xml:space="preserve"> </w:t>
      </w:r>
      <w:r w:rsidRPr="00981405">
        <w:t>that</w:t>
      </w:r>
      <w:r w:rsidR="00190923" w:rsidRPr="00981405">
        <w:t xml:space="preserve"> </w:t>
      </w:r>
      <w:r w:rsidRPr="00981405">
        <w:t>the</w:t>
      </w:r>
      <w:r w:rsidR="00190923" w:rsidRPr="00981405">
        <w:t xml:space="preserve"> </w:t>
      </w:r>
      <w:r w:rsidRPr="00981405">
        <w:t>legal</w:t>
      </w:r>
      <w:r w:rsidR="00190923" w:rsidRPr="00981405">
        <w:t xml:space="preserve"> </w:t>
      </w:r>
      <w:r w:rsidRPr="00981405">
        <w:t>effect</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could</w:t>
      </w:r>
      <w:r w:rsidR="00190923" w:rsidRPr="00981405">
        <w:t xml:space="preserve"> </w:t>
      </w:r>
      <w:r w:rsidRPr="00981405">
        <w:t>continue</w:t>
      </w:r>
      <w:r w:rsidR="00190923" w:rsidRPr="00981405">
        <w:t xml:space="preserve"> </w:t>
      </w:r>
      <w:r w:rsidRPr="00981405">
        <w:t>after</w:t>
      </w:r>
      <w:r w:rsidR="00190923" w:rsidRPr="00981405">
        <w:t xml:space="preserve"> </w:t>
      </w:r>
      <w:r w:rsidRPr="00981405">
        <w:t>its</w:t>
      </w:r>
      <w:r w:rsidR="00190923" w:rsidRPr="00981405">
        <w:t xml:space="preserve"> </w:t>
      </w:r>
      <w:r w:rsidRPr="00981405">
        <w:t>termination.</w:t>
      </w:r>
      <w:r w:rsidR="00190923" w:rsidRPr="00981405">
        <w:t xml:space="preserve"> </w:t>
      </w:r>
      <w:r w:rsidRPr="00981405">
        <w:t>It</w:t>
      </w:r>
      <w:r w:rsidR="00190923" w:rsidRPr="00981405">
        <w:t xml:space="preserve"> </w:t>
      </w:r>
      <w:r w:rsidRPr="00981405">
        <w:t>was</w:t>
      </w:r>
      <w:r w:rsidR="00190923" w:rsidRPr="00981405">
        <w:t xml:space="preserve"> </w:t>
      </w:r>
      <w:r w:rsidRPr="00981405">
        <w:t>also</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w:t>
      </w:r>
      <w:r w:rsidR="00190923" w:rsidRPr="00981405">
        <w:t xml:space="preserve"> </w:t>
      </w:r>
      <w:r w:rsidRPr="00981405">
        <w:t>could</w:t>
      </w:r>
      <w:r w:rsidR="00190923" w:rsidRPr="00981405">
        <w:t xml:space="preserve"> </w:t>
      </w:r>
      <w:r w:rsidRPr="00981405">
        <w:t>be</w:t>
      </w:r>
      <w:r w:rsidR="00190923" w:rsidRPr="00981405">
        <w:t xml:space="preserve"> </w:t>
      </w:r>
      <w:r w:rsidRPr="00981405">
        <w:t>drafted</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the</w:t>
      </w:r>
      <w:r w:rsidR="00190923" w:rsidRPr="00981405">
        <w:t xml:space="preserve"> </w:t>
      </w:r>
      <w:r w:rsidRPr="00981405">
        <w:t>formulation</w:t>
      </w:r>
      <w:r w:rsidR="00190923" w:rsidRPr="00981405">
        <w:t xml:space="preserve"> </w:t>
      </w:r>
      <w:r w:rsidRPr="00981405">
        <w:t>of</w:t>
      </w:r>
      <w:r w:rsidR="00190923" w:rsidRPr="00981405">
        <w:t xml:space="preserve"> </w:t>
      </w:r>
      <w:r w:rsidRPr="00981405">
        <w:t>article</w:t>
      </w:r>
      <w:r w:rsidR="00190923" w:rsidRPr="00981405">
        <w:t xml:space="preserve"> </w:t>
      </w:r>
      <w:r w:rsidRPr="00981405">
        <w:t>26</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and</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be</w:t>
      </w:r>
      <w:r w:rsidR="00190923" w:rsidRPr="00981405">
        <w:t xml:space="preserve"> </w:t>
      </w:r>
      <w:r w:rsidRPr="00981405">
        <w:t>specified</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could</w:t>
      </w:r>
      <w:r w:rsidR="00190923" w:rsidRPr="00981405">
        <w:t xml:space="preserve"> </w:t>
      </w:r>
      <w:r w:rsidRPr="00981405">
        <w:t>not</w:t>
      </w:r>
      <w:r w:rsidR="00190923" w:rsidRPr="00981405">
        <w:t xml:space="preserve"> </w:t>
      </w:r>
      <w:r w:rsidRPr="00981405">
        <w:t>result</w:t>
      </w:r>
      <w:r w:rsidR="00190923" w:rsidRPr="00981405">
        <w:t xml:space="preserve"> </w:t>
      </w:r>
      <w:r w:rsidRPr="00981405">
        <w:t>in</w:t>
      </w:r>
      <w:r w:rsidR="00190923" w:rsidRPr="00981405">
        <w:t xml:space="preserve"> </w:t>
      </w:r>
      <w:r w:rsidRPr="00981405">
        <w:t>the</w:t>
      </w:r>
      <w:r w:rsidR="00190923" w:rsidRPr="00981405">
        <w:t xml:space="preserve"> </w:t>
      </w:r>
      <w:r w:rsidRPr="00981405">
        <w:t>modification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p>
    <w:p w:rsidR="00397032" w:rsidRPr="00981405" w:rsidRDefault="00397032" w:rsidP="00D97463">
      <w:pPr>
        <w:pStyle w:val="SingleTxt"/>
      </w:pPr>
      <w:r w:rsidRPr="00981405">
        <w:t>278.</w:t>
      </w:r>
      <w:r w:rsidRPr="00981405">
        <w:tab/>
        <w:t>Concerning</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5,</w:t>
      </w:r>
      <w:r w:rsidR="00190923" w:rsidRPr="00981405">
        <w:t xml:space="preserve"> </w:t>
      </w:r>
      <w:r w:rsidRPr="00981405">
        <w:t>it</w:t>
      </w:r>
      <w:r w:rsidR="00190923" w:rsidRPr="00981405">
        <w:t xml:space="preserve"> </w:t>
      </w:r>
      <w:r w:rsidRPr="00981405">
        <w:t>was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it</w:t>
      </w:r>
      <w:r w:rsidR="00190923" w:rsidRPr="00981405">
        <w:t xml:space="preserve"> </w:t>
      </w:r>
      <w:r w:rsidRPr="00981405">
        <w:t>be</w:t>
      </w:r>
      <w:r w:rsidR="00190923" w:rsidRPr="00981405">
        <w:t xml:space="preserve"> </w:t>
      </w:r>
      <w:r w:rsidRPr="00981405">
        <w:t>clarified</w:t>
      </w:r>
      <w:r w:rsidR="00190923" w:rsidRPr="00981405">
        <w:t xml:space="preserve"> </w:t>
      </w:r>
      <w:r w:rsidRPr="00981405">
        <w:t>that</w:t>
      </w:r>
      <w:r w:rsidR="00190923" w:rsidRPr="00981405">
        <w:t xml:space="preserve"> </w:t>
      </w:r>
      <w:r w:rsidRPr="00981405">
        <w:t>the</w:t>
      </w:r>
      <w:r w:rsidR="00190923" w:rsidRPr="00981405">
        <w:t xml:space="preserve"> </w:t>
      </w:r>
      <w:r w:rsidRPr="00981405">
        <w:t>effects</w:t>
      </w:r>
      <w:r w:rsidR="00190923" w:rsidRPr="00981405">
        <w:t xml:space="preserve"> </w:t>
      </w:r>
      <w:r w:rsidRPr="00981405">
        <w:t>of</w:t>
      </w:r>
      <w:r w:rsidR="00190923" w:rsidRPr="00981405">
        <w:t xml:space="preserve"> </w:t>
      </w:r>
      <w:r w:rsidRPr="00981405">
        <w:t>obligations</w:t>
      </w:r>
      <w:r w:rsidR="00190923" w:rsidRPr="00981405">
        <w:t xml:space="preserve"> </w:t>
      </w:r>
      <w:r w:rsidRPr="00981405">
        <w:t>arising</w:t>
      </w:r>
      <w:r w:rsidR="00190923" w:rsidRPr="00981405">
        <w:t xml:space="preserve"> </w:t>
      </w:r>
      <w:r w:rsidRPr="00981405">
        <w:t>from</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depended</w:t>
      </w:r>
      <w:r w:rsidR="00190923" w:rsidRPr="00981405">
        <w:t xml:space="preserve"> </w:t>
      </w:r>
      <w:r w:rsidRPr="00981405">
        <w:t>on</w:t>
      </w:r>
      <w:r w:rsidR="00190923" w:rsidRPr="00981405">
        <w:t xml:space="preserve"> </w:t>
      </w:r>
      <w:r w:rsidRPr="00981405">
        <w:t>what</w:t>
      </w:r>
      <w:r w:rsidR="00190923" w:rsidRPr="00981405">
        <w:t xml:space="preserve"> </w:t>
      </w:r>
      <w:r w:rsidRPr="00981405">
        <w:t>States</w:t>
      </w:r>
      <w:r w:rsidR="00190923" w:rsidRPr="00981405">
        <w:t xml:space="preserve"> </w:t>
      </w:r>
      <w:r w:rsidRPr="00981405">
        <w:t>had</w:t>
      </w:r>
      <w:r w:rsidR="00190923" w:rsidRPr="00981405">
        <w:t xml:space="preserve"> </w:t>
      </w:r>
      <w:r w:rsidRPr="00981405">
        <w:t>provided</w:t>
      </w:r>
      <w:r w:rsidR="00190923" w:rsidRPr="00981405">
        <w:t xml:space="preserve"> </w:t>
      </w:r>
      <w:r w:rsidRPr="00981405">
        <w:t>for</w:t>
      </w:r>
      <w:r w:rsidR="00190923" w:rsidRPr="00981405">
        <w:t xml:space="preserve"> </w:t>
      </w:r>
      <w:r w:rsidRPr="00981405">
        <w:t>when</w:t>
      </w:r>
      <w:r w:rsidR="00190923" w:rsidRPr="00981405">
        <w:t xml:space="preserve"> </w:t>
      </w:r>
      <w:r w:rsidRPr="00981405">
        <w:t>they</w:t>
      </w:r>
      <w:r w:rsidR="00190923" w:rsidRPr="00981405">
        <w:t xml:space="preserve"> </w:t>
      </w:r>
      <w:r w:rsidRPr="00981405">
        <w:t>agreed</w:t>
      </w:r>
      <w:r w:rsidR="00190923" w:rsidRPr="00981405">
        <w:t xml:space="preserve"> </w:t>
      </w:r>
      <w:r w:rsidRPr="00981405">
        <w:t>upon</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Furthermore,</w:t>
      </w:r>
      <w:r w:rsidR="00190923" w:rsidRPr="00981405">
        <w:t xml:space="preserve"> </w:t>
      </w:r>
      <w:r w:rsidRPr="00981405">
        <w:t>it</w:t>
      </w:r>
      <w:r w:rsidR="00190923" w:rsidRPr="00981405">
        <w:t xml:space="preserve"> </w:t>
      </w:r>
      <w:r w:rsidRPr="00981405">
        <w:t>was</w:t>
      </w:r>
      <w:r w:rsidR="00190923" w:rsidRPr="00981405">
        <w:t xml:space="preserve"> </w:t>
      </w:r>
      <w:r w:rsidRPr="00981405">
        <w:t>necessary</w:t>
      </w:r>
      <w:r w:rsidR="00190923" w:rsidRPr="00981405">
        <w:t xml:space="preserve"> </w:t>
      </w:r>
      <w:r w:rsidRPr="00981405">
        <w:t>to</w:t>
      </w:r>
      <w:r w:rsidR="00190923" w:rsidRPr="00981405">
        <w:t xml:space="preserve"> </w:t>
      </w:r>
      <w:r w:rsidRPr="00981405">
        <w:t>take</w:t>
      </w:r>
      <w:r w:rsidR="00190923" w:rsidRPr="00981405">
        <w:t xml:space="preserve"> </w:t>
      </w:r>
      <w:r w:rsidRPr="00981405">
        <w:t>into</w:t>
      </w:r>
      <w:r w:rsidR="00190923" w:rsidRPr="00981405">
        <w:t xml:space="preserve"> </w:t>
      </w:r>
      <w:r w:rsidRPr="00981405">
        <w:t>account</w:t>
      </w:r>
      <w:r w:rsidR="00190923" w:rsidRPr="00981405">
        <w:t xml:space="preserve"> </w:t>
      </w:r>
      <w:r w:rsidRPr="00981405">
        <w:t>which</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was</w:t>
      </w:r>
      <w:r w:rsidR="00190923" w:rsidRPr="00981405">
        <w:t xml:space="preserve"> </w:t>
      </w:r>
      <w:r w:rsidRPr="00981405">
        <w:t>being</w:t>
      </w:r>
      <w:r w:rsidR="00190923" w:rsidRPr="00981405">
        <w:t xml:space="preserve"> </w:t>
      </w:r>
      <w:r w:rsidRPr="00981405">
        <w:t>referred</w:t>
      </w:r>
      <w:r w:rsidR="00190923" w:rsidRPr="00981405">
        <w:t xml:space="preserve"> </w:t>
      </w:r>
      <w:r w:rsidRPr="00981405">
        <w:t>to,</w:t>
      </w:r>
      <w:r w:rsidR="00190923" w:rsidRPr="00981405">
        <w:t xml:space="preserve"> </w:t>
      </w:r>
      <w:r w:rsidRPr="00981405">
        <w:t>i.e.,</w:t>
      </w:r>
      <w:r w:rsidR="00190923" w:rsidRPr="00981405">
        <w:t xml:space="preserve"> </w:t>
      </w:r>
      <w:r w:rsidRPr="00981405">
        <w:t>that</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itself</w:t>
      </w:r>
      <w:r w:rsidR="00190923" w:rsidRPr="00981405">
        <w:t xml:space="preserve"> </w:t>
      </w:r>
      <w:r w:rsidRPr="00981405">
        <w:t>or</w:t>
      </w:r>
      <w:r w:rsidR="00190923" w:rsidRPr="00981405">
        <w:t xml:space="preserve"> </w:t>
      </w:r>
      <w:r w:rsidRPr="00981405">
        <w:t>of</w:t>
      </w:r>
      <w:r w:rsidR="00190923" w:rsidRPr="00981405">
        <w:t xml:space="preserve"> </w:t>
      </w:r>
      <w:r w:rsidRPr="00981405">
        <w:t>the</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for</w:t>
      </w:r>
      <w:r w:rsidR="00190923" w:rsidRPr="00981405">
        <w:t xml:space="preserve"> </w:t>
      </w:r>
      <w:r w:rsidRPr="00981405">
        <w:t>the</w:t>
      </w:r>
      <w:r w:rsidR="00190923" w:rsidRPr="00981405">
        <w:t xml:space="preserve"> </w:t>
      </w:r>
      <w:r w:rsidRPr="00981405">
        <w:t>State</w:t>
      </w:r>
      <w:r w:rsidR="00190923" w:rsidRPr="00981405">
        <w:t xml:space="preserve"> </w:t>
      </w:r>
      <w:r w:rsidRPr="00981405">
        <w:t>itself.</w:t>
      </w:r>
      <w:r w:rsidR="00190923" w:rsidRPr="00981405">
        <w:t xml:space="preserve"> </w:t>
      </w:r>
      <w:r w:rsidRPr="00981405">
        <w:t>It</w:t>
      </w:r>
      <w:r w:rsidR="00190923" w:rsidRPr="00981405">
        <w:t xml:space="preserve"> </w:t>
      </w:r>
      <w:r w:rsidRPr="00981405">
        <w:t>was</w:t>
      </w:r>
      <w:r w:rsidR="00190923" w:rsidRPr="00981405">
        <w:t xml:space="preserve"> </w:t>
      </w:r>
      <w:r w:rsidRPr="00981405">
        <w:t>observed</w:t>
      </w:r>
      <w:r w:rsidR="00190923" w:rsidRPr="00981405">
        <w:t xml:space="preserve"> </w:t>
      </w:r>
      <w:r w:rsidRPr="00981405">
        <w:t>that</w:t>
      </w:r>
      <w:r w:rsidR="00190923" w:rsidRPr="00981405">
        <w:t xml:space="preserve"> </w:t>
      </w:r>
      <w:r w:rsidRPr="00981405">
        <w:t>when</w:t>
      </w:r>
      <w:r w:rsidR="00190923" w:rsidRPr="00981405">
        <w:t xml:space="preserve"> </w:t>
      </w:r>
      <w:r w:rsidRPr="00981405">
        <w:t>a</w:t>
      </w:r>
      <w:r w:rsidR="00190923" w:rsidRPr="00981405">
        <w:t xml:space="preserve"> </w:t>
      </w:r>
      <w:r w:rsidRPr="00981405">
        <w:t>multilateral</w:t>
      </w:r>
      <w:r w:rsidR="00190923" w:rsidRPr="00981405">
        <w:t xml:space="preserve"> </w:t>
      </w:r>
      <w:r w:rsidRPr="00981405">
        <w:t>treaty</w:t>
      </w:r>
      <w:r w:rsidR="00190923" w:rsidRPr="00981405">
        <w:t xml:space="preserve"> </w:t>
      </w:r>
      <w:r w:rsidRPr="00981405">
        <w:t>entered</w:t>
      </w:r>
      <w:r w:rsidR="00190923" w:rsidRPr="00981405">
        <w:t xml:space="preserve"> </w:t>
      </w:r>
      <w:r w:rsidRPr="00981405">
        <w:t>into</w:t>
      </w:r>
      <w:r w:rsidR="00190923" w:rsidRPr="00981405">
        <w:t xml:space="preserve"> </w:t>
      </w:r>
      <w:r w:rsidRPr="00981405">
        <w:t>force,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terminated</w:t>
      </w:r>
      <w:r w:rsidR="00190923" w:rsidRPr="00981405">
        <w:t xml:space="preserve"> </w:t>
      </w:r>
      <w:r w:rsidRPr="00981405">
        <w:t>only</w:t>
      </w:r>
      <w:r w:rsidR="00190923" w:rsidRPr="00981405">
        <w:t xml:space="preserve"> </w:t>
      </w:r>
      <w:r w:rsidRPr="00981405">
        <w:t>for</w:t>
      </w:r>
      <w:r w:rsidR="00190923" w:rsidRPr="00981405">
        <w:t xml:space="preserve"> </w:t>
      </w:r>
      <w:r w:rsidRPr="00981405">
        <w:t>those</w:t>
      </w:r>
      <w:r w:rsidR="00190923" w:rsidRPr="00981405">
        <w:t xml:space="preserve"> </w:t>
      </w:r>
      <w:r w:rsidRPr="00981405">
        <w:t>States</w:t>
      </w:r>
      <w:r w:rsidR="00190923" w:rsidRPr="00981405">
        <w:t xml:space="preserve"> </w:t>
      </w:r>
      <w:r w:rsidRPr="00981405">
        <w:t>that</w:t>
      </w:r>
      <w:r w:rsidR="00190923" w:rsidRPr="00981405">
        <w:t xml:space="preserve"> </w:t>
      </w:r>
      <w:r w:rsidRPr="00981405">
        <w:t>had</w:t>
      </w:r>
      <w:r w:rsidR="00190923" w:rsidRPr="00981405">
        <w:t xml:space="preserve"> </w:t>
      </w:r>
      <w:r w:rsidRPr="00981405">
        <w:t>ratified</w:t>
      </w:r>
      <w:r w:rsidR="00190923" w:rsidRPr="00981405">
        <w:t xml:space="preserve"> </w:t>
      </w:r>
      <w:r w:rsidRPr="00981405">
        <w:t>or</w:t>
      </w:r>
      <w:r w:rsidR="00190923" w:rsidRPr="00981405">
        <w:t xml:space="preserve"> </w:t>
      </w:r>
      <w:r w:rsidRPr="00981405">
        <w:t>acceded</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continued,</w:t>
      </w:r>
      <w:r w:rsidR="00190923" w:rsidRPr="00981405">
        <w:t xml:space="preserve"> </w:t>
      </w:r>
      <w:r w:rsidRPr="00981405">
        <w:t>however,</w:t>
      </w:r>
      <w:r w:rsidR="00190923" w:rsidRPr="00981405">
        <w:t xml:space="preserve"> </w:t>
      </w:r>
      <w:r w:rsidRPr="00981405">
        <w:t>for</w:t>
      </w:r>
      <w:r w:rsidR="00190923" w:rsidRPr="00981405">
        <w:t xml:space="preserve"> </w:t>
      </w:r>
      <w:r w:rsidRPr="00981405">
        <w:t>any</w:t>
      </w:r>
      <w:r w:rsidR="00190923" w:rsidRPr="00981405">
        <w:t xml:space="preserve"> </w:t>
      </w:r>
      <w:r w:rsidRPr="00981405">
        <w:t>State</w:t>
      </w:r>
      <w:r w:rsidR="00190923" w:rsidRPr="00981405">
        <w:t xml:space="preserve"> </w:t>
      </w:r>
      <w:r w:rsidRPr="00981405">
        <w:t>that</w:t>
      </w:r>
      <w:r w:rsidR="00190923" w:rsidRPr="00981405">
        <w:t xml:space="preserve"> </w:t>
      </w:r>
      <w:r w:rsidRPr="00981405">
        <w:t>had</w:t>
      </w:r>
      <w:r w:rsidR="00190923" w:rsidRPr="00981405">
        <w:t xml:space="preserve"> </w:t>
      </w:r>
      <w:r w:rsidRPr="00981405">
        <w:t>not</w:t>
      </w:r>
      <w:r w:rsidR="00190923" w:rsidRPr="00981405">
        <w:t xml:space="preserve"> </w:t>
      </w:r>
      <w:r w:rsidRPr="00981405">
        <w:t>yet</w:t>
      </w:r>
      <w:r w:rsidR="00190923" w:rsidRPr="00981405">
        <w:t xml:space="preserve"> </w:t>
      </w:r>
      <w:r w:rsidRPr="00981405">
        <w:t>ratified</w:t>
      </w:r>
      <w:r w:rsidR="00190923" w:rsidRPr="00981405">
        <w:t xml:space="preserve"> </w:t>
      </w:r>
      <w:r w:rsidRPr="00981405">
        <w:t>or</w:t>
      </w:r>
      <w:r w:rsidR="00190923" w:rsidRPr="00981405">
        <w:t xml:space="preserve"> </w:t>
      </w:r>
      <w:r w:rsidRPr="00981405">
        <w:t>acceded</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until</w:t>
      </w:r>
      <w:r w:rsidR="00190923" w:rsidRPr="00981405">
        <w:t xml:space="preserve"> </w:t>
      </w:r>
      <w:r w:rsidRPr="00981405">
        <w:t>such</w:t>
      </w:r>
      <w:r w:rsidR="00190923" w:rsidRPr="00981405">
        <w:t xml:space="preserve"> </w:t>
      </w:r>
      <w:r w:rsidRPr="00981405">
        <w:t>time</w:t>
      </w:r>
      <w:r w:rsidR="00190923" w:rsidRPr="00981405">
        <w:t xml:space="preserve"> </w:t>
      </w:r>
      <w:r w:rsidRPr="00981405">
        <w:t>as</w:t>
      </w:r>
      <w:r w:rsidR="00190923" w:rsidRPr="00981405">
        <w:t xml:space="preserve"> </w:t>
      </w:r>
      <w:r w:rsidRPr="00981405">
        <w:t>the</w:t>
      </w:r>
      <w:r w:rsidR="00190923" w:rsidRPr="00981405">
        <w:t xml:space="preserve"> </w:t>
      </w:r>
      <w:r w:rsidRPr="00981405">
        <w:t>treaty</w:t>
      </w:r>
      <w:r w:rsidR="00190923" w:rsidRPr="00981405">
        <w:t xml:space="preserve"> </w:t>
      </w:r>
      <w:r w:rsidRPr="00981405">
        <w:t>entered</w:t>
      </w:r>
      <w:r w:rsidR="00190923" w:rsidRPr="00981405">
        <w:t xml:space="preserve"> </w:t>
      </w:r>
      <w:r w:rsidRPr="00981405">
        <w:t>into</w:t>
      </w:r>
      <w:r w:rsidR="00190923" w:rsidRPr="00981405">
        <w:t xml:space="preserve"> </w:t>
      </w:r>
      <w:r w:rsidRPr="00981405">
        <w:t>force</w:t>
      </w:r>
      <w:r w:rsidR="00190923" w:rsidRPr="00981405">
        <w:t xml:space="preserve"> </w:t>
      </w:r>
      <w:r w:rsidRPr="00981405">
        <w:t>for</w:t>
      </w:r>
      <w:r w:rsidR="00190923" w:rsidRPr="00981405">
        <w:t xml:space="preserve"> </w:t>
      </w:r>
      <w:r w:rsidRPr="00981405">
        <w:t>that</w:t>
      </w:r>
      <w:r w:rsidR="00190923" w:rsidRPr="00981405">
        <w:t xml:space="preserve"> </w:t>
      </w:r>
      <w:r w:rsidRPr="00981405">
        <w:t>State.</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could</w:t>
      </w:r>
      <w:r w:rsidR="00190923" w:rsidRPr="00981405">
        <w:t xml:space="preserve"> </w:t>
      </w:r>
      <w:r w:rsidRPr="00981405">
        <w:t>recognize</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setting</w:t>
      </w:r>
      <w:r w:rsidR="00190923" w:rsidRPr="00981405">
        <w:t xml:space="preserve"> </w:t>
      </w:r>
      <w:r w:rsidRPr="00981405">
        <w:t>specific</w:t>
      </w:r>
      <w:r w:rsidR="00190923" w:rsidRPr="00981405">
        <w:t xml:space="preserve"> </w:t>
      </w:r>
      <w:r w:rsidRPr="00981405">
        <w:t>terms</w:t>
      </w:r>
      <w:r w:rsidR="00190923" w:rsidRPr="00981405">
        <w:t xml:space="preserve"> </w:t>
      </w:r>
      <w:r w:rsidRPr="00981405">
        <w:t>for</w:t>
      </w:r>
      <w:r w:rsidR="00190923" w:rsidRPr="00981405">
        <w:t xml:space="preserve"> </w:t>
      </w:r>
      <w:r w:rsidRPr="00981405">
        <w:t>the</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p>
    <w:p w:rsidR="00397032" w:rsidRPr="00981405" w:rsidRDefault="00397032" w:rsidP="00D97463">
      <w:pPr>
        <w:pStyle w:val="SingleTxt"/>
      </w:pPr>
      <w:r w:rsidRPr="00981405">
        <w:t>279.</w:t>
      </w:r>
      <w:r w:rsidRPr="00981405">
        <w:tab/>
        <w:t>While</w:t>
      </w:r>
      <w:r w:rsidR="00190923" w:rsidRPr="00981405">
        <w:t xml:space="preserve"> </w:t>
      </w:r>
      <w:r w:rsidRPr="00981405">
        <w:t>some</w:t>
      </w:r>
      <w:r w:rsidR="00190923" w:rsidRPr="00981405">
        <w:t xml:space="preserve"> </w:t>
      </w:r>
      <w:r w:rsidRPr="00981405">
        <w:t>members</w:t>
      </w:r>
      <w:r w:rsidR="00190923" w:rsidRPr="00981405">
        <w:t xml:space="preserve"> </w:t>
      </w:r>
      <w:r w:rsidRPr="00981405">
        <w:t>expressed</w:t>
      </w:r>
      <w:r w:rsidR="00190923" w:rsidRPr="00981405">
        <w:t xml:space="preserve"> </w:t>
      </w:r>
      <w:r w:rsidRPr="00981405">
        <w:t>doubts</w:t>
      </w:r>
      <w:r w:rsidR="00190923" w:rsidRPr="00981405">
        <w:t xml:space="preserve"> </w:t>
      </w:r>
      <w:r w:rsidRPr="00981405">
        <w:t>on</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include</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6,</w:t>
      </w:r>
      <w:r w:rsidR="00190923" w:rsidRPr="00981405">
        <w:t xml:space="preserve"> </w:t>
      </w:r>
      <w:r w:rsidRPr="00981405">
        <w:t>others</w:t>
      </w:r>
      <w:r w:rsidR="00190923" w:rsidRPr="00981405">
        <w:t xml:space="preserve"> </w:t>
      </w:r>
      <w:r w:rsidRPr="00981405">
        <w:t>expressed</w:t>
      </w:r>
      <w:r w:rsidR="00190923" w:rsidRPr="00981405">
        <w:t xml:space="preserve"> </w:t>
      </w:r>
      <w:r w:rsidRPr="00981405">
        <w:t>support.</w:t>
      </w:r>
      <w:r w:rsidR="00190923" w:rsidRPr="00981405">
        <w:t xml:space="preserve"> </w:t>
      </w:r>
      <w:r w:rsidRPr="00981405">
        <w:t>It</w:t>
      </w:r>
      <w:r w:rsidR="00190923" w:rsidRPr="00981405">
        <w:t xml:space="preserve"> </w:t>
      </w:r>
      <w:r w:rsidRPr="00981405">
        <w:t>was</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the</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had</w:t>
      </w:r>
      <w:r w:rsidR="00190923" w:rsidRPr="00981405">
        <w:t xml:space="preserve"> </w:t>
      </w:r>
      <w:r w:rsidRPr="00981405">
        <w:t>omitted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the</w:t>
      </w:r>
      <w:r w:rsidR="00190923" w:rsidRPr="00981405">
        <w:t xml:space="preserve"> </w:t>
      </w:r>
      <w:r w:rsidRPr="00981405">
        <w:t>unilateral</w:t>
      </w:r>
      <w:r w:rsidR="00190923" w:rsidRPr="00981405">
        <w:t xml:space="preserve"> </w:t>
      </w:r>
      <w:r w:rsidRPr="00981405">
        <w:t>suspension</w:t>
      </w:r>
      <w:r w:rsidR="00190923" w:rsidRPr="00981405">
        <w:t xml:space="preserve"> </w:t>
      </w:r>
      <w:r w:rsidRPr="00981405">
        <w:t>or</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under</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was</w:t>
      </w:r>
      <w:r w:rsidR="00190923" w:rsidRPr="00981405">
        <w:t xml:space="preserve"> </w:t>
      </w:r>
      <w:r w:rsidRPr="00981405">
        <w:t>wrongful</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thereby</w:t>
      </w:r>
      <w:r w:rsidR="00190923" w:rsidRPr="00981405">
        <w:t xml:space="preserve"> </w:t>
      </w:r>
      <w:r w:rsidRPr="00981405">
        <w:t>triggering</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on</w:t>
      </w:r>
      <w:r w:rsidR="00190923" w:rsidRPr="00981405">
        <w:t xml:space="preserve"> </w:t>
      </w:r>
      <w:r w:rsidRPr="00981405">
        <w:t>the</w:t>
      </w:r>
      <w:r w:rsidR="00190923" w:rsidRPr="00981405">
        <w:t xml:space="preserve"> </w:t>
      </w:r>
      <w:r w:rsidRPr="00981405">
        <w:t>responsibility</w:t>
      </w:r>
      <w:r w:rsidR="00190923" w:rsidRPr="00981405">
        <w:t xml:space="preserve"> </w:t>
      </w:r>
      <w:r w:rsidRPr="00981405">
        <w:t>of</w:t>
      </w:r>
      <w:r w:rsidR="00190923" w:rsidRPr="00981405">
        <w:t xml:space="preserve"> </w:t>
      </w:r>
      <w:r w:rsidRPr="00981405">
        <w:t>States</w:t>
      </w:r>
      <w:r w:rsidR="00190923" w:rsidRPr="00981405">
        <w:t xml:space="preserve"> </w:t>
      </w:r>
      <w:r w:rsidRPr="00981405">
        <w:t>for</w:t>
      </w:r>
      <w:r w:rsidR="00190923" w:rsidRPr="00981405">
        <w:t xml:space="preserve"> </w:t>
      </w:r>
      <w:r w:rsidRPr="00981405">
        <w:t>internationally</w:t>
      </w:r>
      <w:r w:rsidR="00190923" w:rsidRPr="00981405">
        <w:t xml:space="preserve"> </w:t>
      </w:r>
      <w:r w:rsidRPr="00981405">
        <w:t>wrongful</w:t>
      </w:r>
      <w:r w:rsidR="00190923" w:rsidRPr="00981405">
        <w:t xml:space="preserve"> </w:t>
      </w:r>
      <w:r w:rsidRPr="00981405">
        <w:t>acts.</w:t>
      </w:r>
    </w:p>
    <w:p w:rsidR="00397032" w:rsidRPr="00D97463" w:rsidRDefault="00397032" w:rsidP="00D97463">
      <w:pPr>
        <w:pStyle w:val="SingleTxt"/>
        <w:spacing w:after="0" w:line="120" w:lineRule="exact"/>
        <w:rPr>
          <w:sz w:val="10"/>
        </w:rPr>
      </w:pPr>
      <w:bookmarkStart w:id="175" w:name="3_Concluding"/>
    </w:p>
    <w:p w:rsidR="00397032" w:rsidRPr="00D97463" w:rsidRDefault="00397032" w:rsidP="00D97463">
      <w:pPr>
        <w:pStyle w:val="H23"/>
        <w:ind w:right="1260"/>
      </w:pPr>
      <w:r w:rsidRPr="00D97463">
        <w:tab/>
      </w:r>
      <w:bookmarkStart w:id="176" w:name="_Toc427938159"/>
      <w:r w:rsidRPr="00D97463">
        <w:t>3</w:t>
      </w:r>
      <w:bookmarkEnd w:id="175"/>
      <w:r w:rsidRPr="00D97463">
        <w:t>.</w:t>
      </w:r>
      <w:r w:rsidRPr="00D97463">
        <w:tab/>
        <w:t>Concluding</w:t>
      </w:r>
      <w:r w:rsidR="00190923" w:rsidRPr="00D97463">
        <w:t xml:space="preserve"> </w:t>
      </w:r>
      <w:r w:rsidRPr="00D97463">
        <w:t>remarks</w:t>
      </w:r>
      <w:r w:rsidR="00190923" w:rsidRPr="00D97463">
        <w:t xml:space="preserve"> </w:t>
      </w:r>
      <w:r w:rsidRPr="00D97463">
        <w:t>of</w:t>
      </w:r>
      <w:r w:rsidR="00190923" w:rsidRPr="00D97463">
        <w:t xml:space="preserve"> </w:t>
      </w:r>
      <w:r w:rsidRPr="00D97463">
        <w:t>the</w:t>
      </w:r>
      <w:r w:rsidR="00190923" w:rsidRPr="00D97463">
        <w:t xml:space="preserve"> </w:t>
      </w:r>
      <w:r w:rsidRPr="00D97463">
        <w:t>Special</w:t>
      </w:r>
      <w:r w:rsidR="00190923" w:rsidRPr="00D97463">
        <w:t xml:space="preserve"> </w:t>
      </w:r>
      <w:r w:rsidRPr="00D97463">
        <w:t>Rapporteur</w:t>
      </w:r>
      <w:bookmarkEnd w:id="176"/>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280.</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in</w:t>
      </w:r>
      <w:r w:rsidR="00190923" w:rsidRPr="00981405">
        <w:t xml:space="preserve"> </w:t>
      </w:r>
      <w:r w:rsidRPr="00981405">
        <w:t>his</w:t>
      </w:r>
      <w:r w:rsidR="00190923" w:rsidRPr="00981405">
        <w:t xml:space="preserve"> </w:t>
      </w:r>
      <w:r w:rsidRPr="00981405">
        <w:t>opinion,</w:t>
      </w:r>
      <w:r w:rsidR="00190923" w:rsidRPr="00981405">
        <w:t xml:space="preserve"> </w:t>
      </w:r>
      <w:r w:rsidRPr="00981405">
        <w:t>article</w:t>
      </w:r>
      <w:r w:rsidR="00190923" w:rsidRPr="00981405">
        <w:t xml:space="preserve"> </w:t>
      </w:r>
      <w:r w:rsidRPr="00981405">
        <w:t>25</w:t>
      </w:r>
      <w:r w:rsidR="00190923" w:rsidRPr="00981405">
        <w:t xml:space="preserve"> </w:t>
      </w:r>
      <w:r w:rsidRPr="00981405">
        <w:t>of</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was</w:t>
      </w:r>
      <w:r w:rsidR="00190923" w:rsidRPr="00981405">
        <w:t xml:space="preserve"> </w:t>
      </w:r>
      <w:r w:rsidRPr="00981405">
        <w:t>the</w:t>
      </w:r>
      <w:r w:rsidR="00190923" w:rsidRPr="00981405">
        <w:t xml:space="preserve"> </w:t>
      </w:r>
      <w:r w:rsidRPr="00981405">
        <w:t>point</w:t>
      </w:r>
      <w:r w:rsidR="00190923" w:rsidRPr="00981405">
        <w:t xml:space="preserve"> </w:t>
      </w:r>
      <w:r w:rsidRPr="00981405">
        <w:t>of</w:t>
      </w:r>
      <w:r w:rsidR="00190923" w:rsidRPr="00981405">
        <w:t xml:space="preserve"> </w:t>
      </w:r>
      <w:r w:rsidRPr="00981405">
        <w:t>departure</w:t>
      </w:r>
      <w:r w:rsidR="00190923" w:rsidRPr="00981405">
        <w:t xml:space="preserve"> </w:t>
      </w:r>
      <w:r w:rsidRPr="00981405">
        <w:t>for</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It</w:t>
      </w:r>
      <w:r w:rsidR="00190923" w:rsidRPr="00981405">
        <w:t xml:space="preserve"> </w:t>
      </w:r>
      <w:r w:rsidRPr="00981405">
        <w:t>could</w:t>
      </w:r>
      <w:r w:rsidR="00190923" w:rsidRPr="00981405">
        <w:t xml:space="preserve"> </w:t>
      </w:r>
      <w:r w:rsidRPr="00981405">
        <w:t>go</w:t>
      </w:r>
      <w:r w:rsidR="00190923" w:rsidRPr="00981405">
        <w:t xml:space="preserve"> </w:t>
      </w:r>
      <w:r w:rsidRPr="00981405">
        <w:t>beyond</w:t>
      </w:r>
      <w:r w:rsidR="00190923" w:rsidRPr="00981405">
        <w:t xml:space="preserve"> </w:t>
      </w:r>
      <w:r w:rsidRPr="00981405">
        <w:t>the</w:t>
      </w:r>
      <w:r w:rsidR="00190923" w:rsidRPr="00981405">
        <w:t xml:space="preserve"> </w:t>
      </w:r>
      <w:r w:rsidRPr="00981405">
        <w:t>article</w:t>
      </w:r>
      <w:r w:rsidR="00190923" w:rsidRPr="00981405">
        <w:t xml:space="preserve"> </w:t>
      </w:r>
      <w:r w:rsidRPr="00981405">
        <w:t>only</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it</w:t>
      </w:r>
      <w:r w:rsidR="00190923" w:rsidRPr="00981405">
        <w:t xml:space="preserve"> </w:t>
      </w:r>
      <w:r w:rsidRPr="00981405">
        <w:t>proved</w:t>
      </w:r>
      <w:r w:rsidR="00190923" w:rsidRPr="00981405">
        <w:t xml:space="preserve"> </w:t>
      </w:r>
      <w:r w:rsidRPr="00981405">
        <w:t>useful</w:t>
      </w:r>
      <w:r w:rsidR="00190923" w:rsidRPr="00981405">
        <w:t xml:space="preserve"> </w:t>
      </w:r>
      <w:r w:rsidRPr="00981405">
        <w:t>to</w:t>
      </w:r>
      <w:r w:rsidR="00190923" w:rsidRPr="00981405">
        <w:t xml:space="preserve"> </w:t>
      </w:r>
      <w:r w:rsidRPr="00981405">
        <w:t>ascertain</w:t>
      </w:r>
      <w:r w:rsidR="00190923" w:rsidRPr="00981405">
        <w:t xml:space="preserve"> </w:t>
      </w:r>
      <w:r w:rsidRPr="00981405">
        <w:t>the</w:t>
      </w:r>
      <w:r w:rsidR="00190923" w:rsidRPr="00981405">
        <w:t xml:space="preserve"> </w:t>
      </w:r>
      <w:r w:rsidRPr="00981405">
        <w:t>legal</w:t>
      </w:r>
      <w:r w:rsidR="00190923" w:rsidRPr="00981405">
        <w:t xml:space="preserve"> </w:t>
      </w:r>
      <w:r w:rsidRPr="00981405">
        <w:t>consequences</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In</w:t>
      </w:r>
      <w:r w:rsidR="00190923" w:rsidRPr="00981405">
        <w:t xml:space="preserve"> </w:t>
      </w:r>
      <w:r w:rsidRPr="00981405">
        <w:t>his</w:t>
      </w:r>
      <w:r w:rsidR="00190923" w:rsidRPr="00981405">
        <w:t xml:space="preserve"> </w:t>
      </w:r>
      <w:r w:rsidRPr="00981405">
        <w:t>view,</w:t>
      </w:r>
      <w:r w:rsidR="00190923" w:rsidRPr="00981405">
        <w:t xml:space="preserve"> </w:t>
      </w:r>
      <w:r w:rsidRPr="00981405">
        <w:t>the</w:t>
      </w:r>
      <w:r w:rsidR="00190923" w:rsidRPr="00981405">
        <w:t xml:space="preserve"> </w:t>
      </w:r>
      <w:r w:rsidRPr="00981405">
        <w:t>primary</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was</w:t>
      </w:r>
      <w:r w:rsidR="00190923" w:rsidRPr="00981405">
        <w:t xml:space="preserve"> </w:t>
      </w:r>
      <w:r w:rsidRPr="00981405">
        <w:t>the</w:t>
      </w:r>
      <w:r w:rsidR="00190923" w:rsidRPr="00981405">
        <w:t xml:space="preserve"> </w:t>
      </w:r>
      <w:r w:rsidRPr="00981405">
        <w:t>treaty</w:t>
      </w:r>
      <w:r w:rsidR="00190923" w:rsidRPr="00981405">
        <w:t xml:space="preserve"> </w:t>
      </w:r>
      <w:r w:rsidRPr="00981405">
        <w:t>itself,</w:t>
      </w:r>
      <w:r w:rsidR="00190923" w:rsidRPr="00981405">
        <w:t xml:space="preserve"> </w:t>
      </w:r>
      <w:r w:rsidRPr="00981405">
        <w:t>since</w:t>
      </w:r>
      <w:r w:rsidR="00190923" w:rsidRPr="00981405">
        <w:t xml:space="preserve"> </w:t>
      </w:r>
      <w:r w:rsidRPr="00981405">
        <w:t>it</w:t>
      </w:r>
      <w:r w:rsidR="00190923" w:rsidRPr="00981405">
        <w:t xml:space="preserve"> </w:t>
      </w:r>
      <w:r w:rsidRPr="00981405">
        <w:t>was</w:t>
      </w:r>
      <w:r w:rsidR="00190923" w:rsidRPr="00981405">
        <w:t xml:space="preserve"> </w:t>
      </w:r>
      <w:r w:rsidRPr="00981405">
        <w:t>being</w:t>
      </w:r>
      <w:r w:rsidR="00190923" w:rsidRPr="00981405">
        <w:t xml:space="preserve"> </w:t>
      </w:r>
      <w:r w:rsidRPr="00981405">
        <w:t>applied</w:t>
      </w:r>
      <w:r w:rsidR="00190923" w:rsidRPr="00981405">
        <w:t xml:space="preserve"> </w:t>
      </w:r>
      <w:r w:rsidRPr="00981405">
        <w:t>despite</w:t>
      </w:r>
      <w:r w:rsidR="00190923" w:rsidRPr="00981405">
        <w:t xml:space="preserve"> </w:t>
      </w:r>
      <w:r w:rsidRPr="00981405">
        <w:t>not</w:t>
      </w:r>
      <w:r w:rsidR="00190923" w:rsidRPr="00981405">
        <w:t xml:space="preserve"> </w:t>
      </w:r>
      <w:r w:rsidRPr="00981405">
        <w:t>being</w:t>
      </w:r>
      <w:r w:rsidR="00190923" w:rsidRPr="00981405">
        <w:t xml:space="preserve"> </w:t>
      </w:r>
      <w:r w:rsidRPr="00981405">
        <w:t>in</w:t>
      </w:r>
      <w:r w:rsidR="00190923" w:rsidRPr="00981405">
        <w:t xml:space="preserve"> </w:t>
      </w:r>
      <w:r w:rsidRPr="00981405">
        <w:t>force.</w:t>
      </w:r>
      <w:r w:rsidR="00190923" w:rsidRPr="00981405">
        <w:t xml:space="preserve"> </w:t>
      </w:r>
      <w:r w:rsidRPr="00981405">
        <w:t>In</w:t>
      </w:r>
      <w:r w:rsidR="00190923" w:rsidRPr="00981405">
        <w:t xml:space="preserve"> </w:t>
      </w:r>
      <w:r w:rsidRPr="00981405">
        <w:t>addition,</w:t>
      </w:r>
      <w:r w:rsidR="00190923" w:rsidRPr="00981405">
        <w:t xml:space="preserve"> </w:t>
      </w:r>
      <w:r w:rsidRPr="00981405">
        <w:t>those</w:t>
      </w:r>
      <w:r w:rsidR="00190923" w:rsidRPr="00981405">
        <w:t xml:space="preserve"> </w:t>
      </w:r>
      <w:r w:rsidRPr="00981405">
        <w:t>negotiating</w:t>
      </w:r>
      <w:r w:rsidR="00190923" w:rsidRPr="00981405">
        <w:t xml:space="preserve"> </w:t>
      </w:r>
      <w:r w:rsidRPr="00981405">
        <w:t>States</w:t>
      </w:r>
      <w:r w:rsidR="00190923" w:rsidRPr="00981405">
        <w:t xml:space="preserve"> </w:t>
      </w:r>
      <w:r w:rsidRPr="00981405">
        <w:t>who</w:t>
      </w:r>
      <w:r w:rsidR="00190923" w:rsidRPr="00981405">
        <w:t xml:space="preserve"> </w:t>
      </w:r>
      <w:r w:rsidRPr="00981405">
        <w:t>could</w:t>
      </w:r>
      <w:r w:rsidR="00190923" w:rsidRPr="00981405">
        <w:t xml:space="preserve"> </w:t>
      </w:r>
      <w:r w:rsidRPr="00981405">
        <w:t>partake</w:t>
      </w:r>
      <w:r w:rsidR="00190923" w:rsidRPr="00981405">
        <w:t xml:space="preserve"> </w:t>
      </w:r>
      <w:r w:rsidRPr="00981405">
        <w:t>in</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were</w:t>
      </w:r>
      <w:r w:rsidR="00190923" w:rsidRPr="00981405">
        <w:t xml:space="preserve"> </w:t>
      </w:r>
      <w:r w:rsidRPr="00981405">
        <w:t>also</w:t>
      </w:r>
      <w:r w:rsidR="00190923" w:rsidRPr="00981405">
        <w:t xml:space="preserve"> </w:t>
      </w:r>
      <w:r w:rsidRPr="00981405">
        <w:t>potentially</w:t>
      </w:r>
      <w:r w:rsidR="00190923" w:rsidRPr="00981405">
        <w:t xml:space="preserve"> </w:t>
      </w:r>
      <w:r w:rsidRPr="00981405">
        <w:t>beneficiaries.</w:t>
      </w:r>
    </w:p>
    <w:p w:rsidR="00397032" w:rsidRPr="00981405" w:rsidRDefault="00397032" w:rsidP="00D97463">
      <w:pPr>
        <w:pStyle w:val="SingleTxt"/>
      </w:pPr>
      <w:r w:rsidRPr="00981405">
        <w:t>281.</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observed</w:t>
      </w:r>
      <w:r w:rsidR="00190923" w:rsidRPr="00981405">
        <w:t xml:space="preserve"> </w:t>
      </w:r>
      <w:r w:rsidRPr="00981405">
        <w:t>that</w:t>
      </w:r>
      <w:r w:rsidR="00190923" w:rsidRPr="00981405">
        <w:t xml:space="preserve"> </w:t>
      </w:r>
      <w:r w:rsidRPr="00981405">
        <w:t>the</w:t>
      </w:r>
      <w:r w:rsidR="00190923" w:rsidRPr="00981405">
        <w:t xml:space="preserve"> </w:t>
      </w:r>
      <w:r w:rsidRPr="00981405">
        <w:t>preponderance</w:t>
      </w:r>
      <w:r w:rsidR="00190923" w:rsidRPr="00981405">
        <w:t xml:space="preserve"> </w:t>
      </w:r>
      <w:r w:rsidRPr="00981405">
        <w:t>of</w:t>
      </w:r>
      <w:r w:rsidR="00190923" w:rsidRPr="00981405">
        <w:t xml:space="preserve"> </w:t>
      </w:r>
      <w:r w:rsidRPr="00981405">
        <w:t>views</w:t>
      </w:r>
      <w:r w:rsidR="00190923" w:rsidRPr="00981405">
        <w:t xml:space="preserve"> </w:t>
      </w:r>
      <w:r w:rsidRPr="00981405">
        <w:t>within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were</w:t>
      </w:r>
      <w:r w:rsidR="00190923" w:rsidRPr="00981405">
        <w:t xml:space="preserve"> </w:t>
      </w:r>
      <w:r w:rsidRPr="00981405">
        <w:t>not</w:t>
      </w:r>
      <w:r w:rsidR="00190923" w:rsidRPr="00981405">
        <w:t xml:space="preserve"> </w:t>
      </w:r>
      <w:r w:rsidRPr="00981405">
        <w:t>in</w:t>
      </w:r>
      <w:r w:rsidR="00190923" w:rsidRPr="00981405">
        <w:t xml:space="preserve"> </w:t>
      </w:r>
      <w:r w:rsidRPr="00981405">
        <w:t>favour</w:t>
      </w:r>
      <w:r w:rsidR="00190923" w:rsidRPr="00981405">
        <w:t xml:space="preserve"> </w:t>
      </w:r>
      <w:r w:rsidRPr="00981405">
        <w:t>of</w:t>
      </w:r>
      <w:r w:rsidR="00190923" w:rsidRPr="00981405">
        <w:t xml:space="preserve"> </w:t>
      </w:r>
      <w:r w:rsidRPr="00981405">
        <w:t>undertaking</w:t>
      </w:r>
      <w:r w:rsidR="00190923" w:rsidRPr="00981405">
        <w:t xml:space="preserve"> </w:t>
      </w:r>
      <w:r w:rsidRPr="00981405">
        <w:t>a</w:t>
      </w:r>
      <w:r w:rsidR="00190923" w:rsidRPr="00981405">
        <w:t xml:space="preserve"> </w:t>
      </w:r>
      <w:r w:rsidRPr="00981405">
        <w:t>comparative</w:t>
      </w:r>
      <w:r w:rsidR="00190923" w:rsidRPr="00981405">
        <w:t xml:space="preserve"> </w:t>
      </w:r>
      <w:r w:rsidRPr="00981405">
        <w:t>study</w:t>
      </w:r>
      <w:r w:rsidR="00190923" w:rsidRPr="00981405">
        <w:t xml:space="preserve"> </w:t>
      </w:r>
      <w:r w:rsidRPr="00981405">
        <w:t>of</w:t>
      </w:r>
      <w:r w:rsidR="00190923" w:rsidRPr="00981405">
        <w:t xml:space="preserve"> </w:t>
      </w:r>
      <w:r w:rsidRPr="00981405">
        <w:t>internal</w:t>
      </w:r>
      <w:r w:rsidR="00190923" w:rsidRPr="00981405">
        <w:t xml:space="preserve"> </w:t>
      </w:r>
      <w:r w:rsidRPr="00981405">
        <w:t>legislation</w:t>
      </w:r>
      <w:r w:rsidR="00190923" w:rsidRPr="00981405">
        <w:t xml:space="preserve"> </w:t>
      </w:r>
      <w:r w:rsidRPr="00981405">
        <w:t>applicable</w:t>
      </w:r>
      <w:r w:rsidR="00190923" w:rsidRPr="00981405">
        <w:t xml:space="preserve"> </w:t>
      </w:r>
      <w:r w:rsidRPr="00981405">
        <w:t>to</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he</w:t>
      </w:r>
      <w:r w:rsidR="00190923" w:rsidRPr="00981405">
        <w:t xml:space="preserve"> </w:t>
      </w:r>
      <w:r w:rsidRPr="00981405">
        <w:t>recalled</w:t>
      </w:r>
      <w:r w:rsidR="00190923" w:rsidRPr="00981405">
        <w:t xml:space="preserve"> </w:t>
      </w:r>
      <w:r w:rsidRPr="00981405">
        <w:t>that</w:t>
      </w:r>
      <w:r w:rsidR="00190923" w:rsidRPr="00981405">
        <w:t xml:space="preserve"> </w:t>
      </w:r>
      <w:r w:rsidRPr="00981405">
        <w:t>he</w:t>
      </w:r>
      <w:r w:rsidR="00190923" w:rsidRPr="00981405">
        <w:t xml:space="preserve"> </w:t>
      </w:r>
      <w:r w:rsidRPr="00981405">
        <w:t>continued</w:t>
      </w:r>
      <w:r w:rsidR="00190923" w:rsidRPr="00981405">
        <w:t xml:space="preserve"> </w:t>
      </w:r>
      <w:r w:rsidRPr="00981405">
        <w:t>to</w:t>
      </w:r>
      <w:r w:rsidR="00190923" w:rsidRPr="00981405">
        <w:t xml:space="preserve"> </w:t>
      </w:r>
      <w:r w:rsidRPr="00981405">
        <w:t>receive</w:t>
      </w:r>
      <w:r w:rsidR="00190923" w:rsidRPr="00981405">
        <w:t xml:space="preserve"> </w:t>
      </w:r>
      <w:r w:rsidRPr="00981405">
        <w:t>submissions</w:t>
      </w:r>
      <w:r w:rsidR="00190923" w:rsidRPr="00981405">
        <w:t xml:space="preserve"> </w:t>
      </w:r>
      <w:r w:rsidRPr="00981405">
        <w:t>from</w:t>
      </w:r>
      <w:r w:rsidR="00190923" w:rsidRPr="00981405">
        <w:t xml:space="preserve"> </w:t>
      </w:r>
      <w:r w:rsidRPr="00981405">
        <w:t>member</w:t>
      </w:r>
      <w:r w:rsidR="00190923" w:rsidRPr="00981405">
        <w:t xml:space="preserve"> </w:t>
      </w:r>
      <w:r w:rsidRPr="00981405">
        <w:t>States</w:t>
      </w:r>
      <w:r w:rsidR="00190923" w:rsidRPr="00981405">
        <w:t xml:space="preserve"> </w:t>
      </w:r>
      <w:r w:rsidRPr="00981405">
        <w:t>as</w:t>
      </w:r>
      <w:r w:rsidR="00190923" w:rsidRPr="00981405">
        <w:t xml:space="preserve"> </w:t>
      </w:r>
      <w:r w:rsidRPr="00981405">
        <w:t>to</w:t>
      </w:r>
      <w:r w:rsidR="00190923" w:rsidRPr="00981405">
        <w:t xml:space="preserve"> </w:t>
      </w:r>
      <w:r w:rsidRPr="00981405">
        <w:t>their</w:t>
      </w:r>
      <w:r w:rsidR="00190923" w:rsidRPr="00981405">
        <w:t xml:space="preserve"> </w:t>
      </w:r>
      <w:r w:rsidRPr="00981405">
        <w:t>practice,</w:t>
      </w:r>
      <w:r w:rsidR="00190923" w:rsidRPr="00981405">
        <w:t xml:space="preserve"> </w:t>
      </w:r>
      <w:r w:rsidRPr="00981405">
        <w:t>which</w:t>
      </w:r>
      <w:r w:rsidR="00190923" w:rsidRPr="00981405">
        <w:t xml:space="preserve"> </w:t>
      </w:r>
      <w:r w:rsidRPr="00981405">
        <w:t>invariably</w:t>
      </w:r>
      <w:r w:rsidR="00190923" w:rsidRPr="00981405">
        <w:t xml:space="preserve"> </w:t>
      </w:r>
      <w:r w:rsidRPr="00981405">
        <w:t>also</w:t>
      </w:r>
      <w:r w:rsidR="00190923" w:rsidRPr="00981405">
        <w:t xml:space="preserve"> </w:t>
      </w:r>
      <w:r w:rsidRPr="00981405">
        <w:t>included</w:t>
      </w:r>
      <w:r w:rsidR="00190923" w:rsidRPr="00981405">
        <w:t xml:space="preserve"> </w:t>
      </w:r>
      <w:r w:rsidRPr="00981405">
        <w:t>information</w:t>
      </w:r>
      <w:r w:rsidR="00190923" w:rsidRPr="00981405">
        <w:t xml:space="preserve"> </w:t>
      </w:r>
      <w:r w:rsidRPr="00981405">
        <w:t>about</w:t>
      </w:r>
      <w:r w:rsidR="00190923" w:rsidRPr="00981405">
        <w:t xml:space="preserve"> </w:t>
      </w:r>
      <w:r w:rsidRPr="00981405">
        <w:t>the</w:t>
      </w:r>
      <w:r w:rsidR="00190923" w:rsidRPr="00981405">
        <w:t xml:space="preserve"> </w:t>
      </w:r>
      <w:r w:rsidRPr="00981405">
        <w:t>prevailing</w:t>
      </w:r>
      <w:r w:rsidR="00190923" w:rsidRPr="00981405">
        <w:t xml:space="preserve"> </w:t>
      </w:r>
      <w:r w:rsidRPr="00981405">
        <w:t>position</w:t>
      </w:r>
      <w:r w:rsidR="00190923" w:rsidRPr="00981405">
        <w:t xml:space="preserve"> </w:t>
      </w:r>
      <w:r w:rsidRPr="00981405">
        <w:t>under</w:t>
      </w:r>
      <w:r w:rsidR="00190923" w:rsidRPr="00981405">
        <w:t xml:space="preserve"> </w:t>
      </w:r>
      <w:r w:rsidRPr="00981405">
        <w:t>their</w:t>
      </w:r>
      <w:r w:rsidR="00190923" w:rsidRPr="00981405">
        <w:t xml:space="preserve"> </w:t>
      </w:r>
      <w:r w:rsidRPr="00981405">
        <w:t>respective</w:t>
      </w:r>
      <w:r w:rsidR="00190923" w:rsidRPr="00981405">
        <w:t xml:space="preserve"> </w:t>
      </w:r>
      <w:r w:rsidRPr="00981405">
        <w:t>internal</w:t>
      </w:r>
      <w:r w:rsidR="00190923" w:rsidRPr="00981405">
        <w:t xml:space="preserve"> </w:t>
      </w:r>
      <w:r w:rsidRPr="00981405">
        <w:t>law.</w:t>
      </w:r>
      <w:r w:rsidR="00190923" w:rsidRPr="00981405">
        <w:t xml:space="preserve"> </w:t>
      </w:r>
      <w:r w:rsidRPr="00981405">
        <w:t>Nonetheless,</w:t>
      </w:r>
      <w:r w:rsidR="00190923" w:rsidRPr="00981405">
        <w:t xml:space="preserve"> </w:t>
      </w:r>
      <w:r w:rsidRPr="00981405">
        <w:t>this</w:t>
      </w:r>
      <w:r w:rsidR="00190923" w:rsidRPr="00981405">
        <w:t xml:space="preserve"> </w:t>
      </w:r>
      <w:r w:rsidRPr="00981405">
        <w:t>did</w:t>
      </w:r>
      <w:r w:rsidR="00190923" w:rsidRPr="00981405">
        <w:t xml:space="preserve"> </w:t>
      </w:r>
      <w:r w:rsidRPr="00981405">
        <w:t>not</w:t>
      </w:r>
      <w:r w:rsidR="00190923" w:rsidRPr="00981405">
        <w:t xml:space="preserve"> </w:t>
      </w:r>
      <w:r w:rsidRPr="00981405">
        <w:t>contradict</w:t>
      </w:r>
      <w:r w:rsidR="00190923" w:rsidRPr="00981405">
        <w:t xml:space="preserve"> </w:t>
      </w:r>
      <w:r w:rsidRPr="00981405">
        <w:t>his</w:t>
      </w:r>
      <w:r w:rsidR="00190923" w:rsidRPr="00981405">
        <w:t xml:space="preserve"> </w:t>
      </w:r>
      <w:r w:rsidRPr="00981405">
        <w:t>stated</w:t>
      </w:r>
      <w:r w:rsidR="00190923" w:rsidRPr="00981405">
        <w:t xml:space="preserve"> </w:t>
      </w:r>
      <w:r w:rsidRPr="00981405">
        <w:t>intention</w:t>
      </w:r>
      <w:r w:rsidR="00190923" w:rsidRPr="00981405">
        <w:t xml:space="preserve"> </w:t>
      </w:r>
      <w:r w:rsidRPr="00981405">
        <w:t>of</w:t>
      </w:r>
      <w:r w:rsidR="00190923" w:rsidRPr="00981405">
        <w:t xml:space="preserve"> </w:t>
      </w:r>
      <w:r w:rsidRPr="00981405">
        <w:t>not</w:t>
      </w:r>
      <w:r w:rsidR="00190923" w:rsidRPr="00981405">
        <w:t xml:space="preserve"> </w:t>
      </w:r>
      <w:r w:rsidRPr="00981405">
        <w:t>undertaking</w:t>
      </w:r>
      <w:r w:rsidR="00190923" w:rsidRPr="00981405">
        <w:t xml:space="preserve"> </w:t>
      </w:r>
      <w:r w:rsidRPr="00981405">
        <w:t>a</w:t>
      </w:r>
      <w:r w:rsidR="00190923" w:rsidRPr="00981405">
        <w:t xml:space="preserve"> </w:t>
      </w:r>
      <w:r w:rsidRPr="00981405">
        <w:t>comparative</w:t>
      </w:r>
      <w:r w:rsidR="00190923" w:rsidRPr="00981405">
        <w:t xml:space="preserve"> </w:t>
      </w:r>
      <w:r w:rsidRPr="00981405">
        <w:t>law</w:t>
      </w:r>
      <w:r w:rsidR="00190923" w:rsidRPr="00981405">
        <w:t xml:space="preserve"> </w:t>
      </w:r>
      <w:r w:rsidRPr="00981405">
        <w:t>analysis,</w:t>
      </w:r>
      <w:r w:rsidR="00190923" w:rsidRPr="00981405">
        <w:t xml:space="preserve"> </w:t>
      </w:r>
      <w:r w:rsidRPr="00981405">
        <w:t>as</w:t>
      </w:r>
      <w:r w:rsidR="00190923" w:rsidRPr="00981405">
        <w:t xml:space="preserve"> </w:t>
      </w:r>
      <w:r w:rsidRPr="00981405">
        <w:t>the</w:t>
      </w:r>
      <w:r w:rsidR="00190923" w:rsidRPr="00981405">
        <w:t xml:space="preserve"> </w:t>
      </w:r>
      <w:r w:rsidRPr="00981405">
        <w:t>primary</w:t>
      </w:r>
      <w:r w:rsidR="00190923" w:rsidRPr="00981405">
        <w:t xml:space="preserve"> </w:t>
      </w:r>
      <w:r w:rsidRPr="00981405">
        <w:t>focus</w:t>
      </w:r>
      <w:r w:rsidR="00190923" w:rsidRPr="00981405">
        <w:t xml:space="preserve"> </w:t>
      </w:r>
      <w:r w:rsidRPr="00981405">
        <w:t>was</w:t>
      </w:r>
      <w:r w:rsidR="00190923" w:rsidRPr="00981405">
        <w:t xml:space="preserve"> </w:t>
      </w:r>
      <w:r w:rsidRPr="00981405">
        <w:t>on</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To</w:t>
      </w:r>
      <w:r w:rsidR="00190923" w:rsidRPr="00981405">
        <w:t xml:space="preserve"> </w:t>
      </w:r>
      <w:r w:rsidRPr="00981405">
        <w:t>remove</w:t>
      </w:r>
      <w:r w:rsidR="00190923" w:rsidRPr="00981405">
        <w:t xml:space="preserve"> </w:t>
      </w:r>
      <w:r w:rsidRPr="00981405">
        <w:t>any</w:t>
      </w:r>
      <w:r w:rsidR="00190923" w:rsidRPr="00981405">
        <w:t xml:space="preserve"> </w:t>
      </w:r>
      <w:r w:rsidRPr="00981405">
        <w:t>doubt,</w:t>
      </w:r>
      <w:r w:rsidR="00190923" w:rsidRPr="00981405">
        <w:t xml:space="preserve"> </w:t>
      </w:r>
      <w:r w:rsidRPr="00981405">
        <w:t>he</w:t>
      </w:r>
      <w:r w:rsidR="00190923" w:rsidRPr="00981405">
        <w:t xml:space="preserve"> </w:t>
      </w:r>
      <w:r w:rsidRPr="00981405">
        <w:t>could</w:t>
      </w:r>
      <w:r w:rsidR="00190923" w:rsidRPr="00981405">
        <w:t xml:space="preserve"> </w:t>
      </w:r>
      <w:r w:rsidRPr="00981405">
        <w:t>accept</w:t>
      </w:r>
      <w:r w:rsidR="00190923" w:rsidRPr="00981405">
        <w:t xml:space="preserve"> </w:t>
      </w:r>
      <w:r w:rsidRPr="00981405">
        <w:t>the</w:t>
      </w:r>
      <w:r w:rsidR="00190923" w:rsidRPr="00981405">
        <w:t xml:space="preserve"> </w:t>
      </w:r>
      <w:r w:rsidRPr="00981405">
        <w:t>deletion</w:t>
      </w:r>
      <w:r w:rsidR="00190923" w:rsidRPr="00981405">
        <w:t xml:space="preserve"> </w:t>
      </w:r>
      <w:r w:rsidRPr="00981405">
        <w:t>of</w:t>
      </w:r>
      <w:r w:rsidR="00190923" w:rsidRPr="00981405">
        <w:t xml:space="preserve"> </w:t>
      </w:r>
      <w:r w:rsidRPr="00981405">
        <w:t>the</w:t>
      </w:r>
      <w:r w:rsidR="00190923" w:rsidRPr="00981405">
        <w:t xml:space="preserve"> </w:t>
      </w:r>
      <w:r w:rsidRPr="00981405">
        <w:t>reference</w:t>
      </w:r>
      <w:r w:rsidR="00190923" w:rsidRPr="00981405">
        <w:t xml:space="preserve"> </w:t>
      </w:r>
      <w:r w:rsidRPr="00981405">
        <w:lastRenderedPageBreak/>
        <w:t>to</w:t>
      </w:r>
      <w:r w:rsidR="00190923" w:rsidRPr="00981405">
        <w:t xml:space="preserve"> </w:t>
      </w:r>
      <w:r w:rsidRPr="00981405">
        <w:t>internal</w:t>
      </w:r>
      <w:r w:rsidR="00190923" w:rsidRPr="00981405">
        <w:t xml:space="preserve"> </w:t>
      </w:r>
      <w:r w:rsidRPr="00981405">
        <w:t>law</w:t>
      </w:r>
      <w:r w:rsidR="00190923" w:rsidRPr="00981405">
        <w:t xml:space="preserve"> </w:t>
      </w:r>
      <w:r w:rsidRPr="00981405">
        <w:t>in</w:t>
      </w:r>
      <w:r w:rsidR="00190923" w:rsidRPr="00981405">
        <w:t xml:space="preserve"> </w:t>
      </w:r>
      <w:r w:rsidRPr="00981405">
        <w:t>draft</w:t>
      </w:r>
      <w:r w:rsidR="00190923" w:rsidRPr="00981405">
        <w:t xml:space="preserve"> </w:t>
      </w:r>
      <w:r w:rsidRPr="00981405">
        <w:t>guideline</w:t>
      </w:r>
      <w:r w:rsidR="00190923" w:rsidRPr="00981405">
        <w:t xml:space="preserve"> </w:t>
      </w:r>
      <w:r w:rsidRPr="00981405">
        <w:t>1,</w:t>
      </w:r>
      <w:r w:rsidR="00190923" w:rsidRPr="00981405">
        <w:t xml:space="preserve"> </w:t>
      </w:r>
      <w:r w:rsidRPr="00981405">
        <w:t>and</w:t>
      </w:r>
      <w:r w:rsidR="00190923" w:rsidRPr="00981405">
        <w:t xml:space="preserve"> </w:t>
      </w:r>
      <w:r w:rsidRPr="00981405">
        <w:t>the</w:t>
      </w:r>
      <w:r w:rsidR="00190923" w:rsidRPr="00981405">
        <w:t xml:space="preserve"> </w:t>
      </w:r>
      <w:r w:rsidRPr="00981405">
        <w:t>discussion</w:t>
      </w:r>
      <w:r w:rsidR="00190923" w:rsidRPr="00981405">
        <w:t xml:space="preserve"> </w:t>
      </w:r>
      <w:r w:rsidRPr="00981405">
        <w:t>of</w:t>
      </w:r>
      <w:r w:rsidR="00190923" w:rsidRPr="00981405">
        <w:t xml:space="preserve"> </w:t>
      </w:r>
      <w:r w:rsidRPr="00981405">
        <w:t>the</w:t>
      </w:r>
      <w:r w:rsidR="00190923" w:rsidRPr="00981405">
        <w:t xml:space="preserve"> </w:t>
      </w:r>
      <w:r w:rsidRPr="00981405">
        <w:t>matter</w:t>
      </w:r>
      <w:r w:rsidR="00190923" w:rsidRPr="00981405">
        <w:t xml:space="preserve"> </w:t>
      </w:r>
      <w:r w:rsidRPr="00981405">
        <w:t>instead</w:t>
      </w:r>
      <w:r w:rsidR="00190923" w:rsidRPr="00981405">
        <w:t xml:space="preserve"> </w:t>
      </w:r>
      <w:r w:rsidRPr="00981405">
        <w:t>in</w:t>
      </w:r>
      <w:r w:rsidR="00190923" w:rsidRPr="00981405">
        <w:t xml:space="preserve"> </w:t>
      </w:r>
      <w:r w:rsidRPr="00981405">
        <w:t>the</w:t>
      </w:r>
      <w:r w:rsidR="00190923" w:rsidRPr="00981405">
        <w:t xml:space="preserve"> </w:t>
      </w:r>
      <w:r w:rsidRPr="00981405">
        <w:t>corresponding</w:t>
      </w:r>
      <w:r w:rsidR="00190923" w:rsidRPr="00981405">
        <w:t xml:space="preserve"> </w:t>
      </w:r>
      <w:r w:rsidRPr="00981405">
        <w:t>commentary.</w:t>
      </w:r>
    </w:p>
    <w:p w:rsidR="00397032" w:rsidRPr="00981405" w:rsidRDefault="00397032" w:rsidP="00D97463">
      <w:pPr>
        <w:pStyle w:val="SingleTxt"/>
      </w:pPr>
      <w:r w:rsidRPr="00981405">
        <w:t>282.</w:t>
      </w:r>
      <w:r w:rsidRPr="00981405">
        <w:tab/>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did</w:t>
      </w:r>
      <w:r w:rsidR="00190923" w:rsidRPr="00981405">
        <w:t xml:space="preserve"> </w:t>
      </w:r>
      <w:r w:rsidRPr="00981405">
        <w:t>not</w:t>
      </w:r>
      <w:r w:rsidR="00190923" w:rsidRPr="00981405">
        <w:t xml:space="preserve"> </w:t>
      </w:r>
      <w:r w:rsidRPr="00981405">
        <w:t>agree</w:t>
      </w:r>
      <w:r w:rsidR="00190923" w:rsidRPr="00981405">
        <w:t xml:space="preserve"> </w:t>
      </w:r>
      <w:r w:rsidRPr="00981405">
        <w:t>with</w:t>
      </w:r>
      <w:r w:rsidR="00190923" w:rsidRPr="00981405">
        <w:t xml:space="preserve"> </w:t>
      </w:r>
      <w:r w:rsidRPr="00981405">
        <w:t>the</w:t>
      </w:r>
      <w:r w:rsidR="00190923" w:rsidRPr="00981405">
        <w:t xml:space="preserve"> </w:t>
      </w:r>
      <w:r w:rsidRPr="00981405">
        <w:t>assertion</w:t>
      </w:r>
      <w:r w:rsidR="00190923" w:rsidRPr="00981405">
        <w:t xml:space="preserve"> </w:t>
      </w:r>
      <w:r w:rsidRPr="00981405">
        <w:t>that</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might</w:t>
      </w:r>
      <w:r w:rsidR="00190923" w:rsidRPr="00981405">
        <w:t xml:space="preserve"> </w:t>
      </w:r>
      <w:r w:rsidRPr="00981405">
        <w:t>also</w:t>
      </w:r>
      <w:r w:rsidR="00190923" w:rsidRPr="00981405">
        <w:t xml:space="preserve"> </w:t>
      </w:r>
      <w:r w:rsidRPr="00981405">
        <w:t>be</w:t>
      </w:r>
      <w:r w:rsidR="00190923" w:rsidRPr="00981405">
        <w:t xml:space="preserve"> </w:t>
      </w:r>
      <w:r w:rsidRPr="00981405">
        <w:t>terminated</w:t>
      </w:r>
      <w:r w:rsidR="00190923" w:rsidRPr="00981405">
        <w:t xml:space="preserve"> </w:t>
      </w:r>
      <w:r w:rsidRPr="00981405">
        <w:t>if</w:t>
      </w:r>
      <w:r w:rsidR="00190923" w:rsidRPr="00981405">
        <w:t xml:space="preserve"> </w:t>
      </w:r>
      <w:r w:rsidRPr="00981405">
        <w:t>it</w:t>
      </w:r>
      <w:r w:rsidR="00190923" w:rsidRPr="00981405">
        <w:t xml:space="preserve"> </w:t>
      </w:r>
      <w:r w:rsidRPr="00981405">
        <w:t>were</w:t>
      </w:r>
      <w:r w:rsidR="00190923" w:rsidRPr="00981405">
        <w:t xml:space="preserve"> </w:t>
      </w:r>
      <w:r w:rsidRPr="00981405">
        <w:t>uncertain</w:t>
      </w:r>
      <w:r w:rsidR="00190923" w:rsidRPr="00981405">
        <w:t xml:space="preserve"> </w:t>
      </w:r>
      <w:r w:rsidRPr="00981405">
        <w:t>that</w:t>
      </w:r>
      <w:r w:rsidR="00190923" w:rsidRPr="00981405">
        <w:t xml:space="preserve"> </w:t>
      </w:r>
      <w:r w:rsidRPr="00981405">
        <w:t>the</w:t>
      </w:r>
      <w:r w:rsidR="00190923" w:rsidRPr="00981405">
        <w:t xml:space="preserve"> </w:t>
      </w:r>
      <w:r w:rsidRPr="00981405">
        <w:t>treaty</w:t>
      </w:r>
      <w:r w:rsidR="00190923" w:rsidRPr="00981405">
        <w:t xml:space="preserve"> </w:t>
      </w:r>
      <w:r w:rsidRPr="00981405">
        <w:t>would</w:t>
      </w:r>
      <w:r w:rsidR="00190923" w:rsidRPr="00981405">
        <w:t xml:space="preserve"> </w:t>
      </w:r>
      <w:r w:rsidRPr="00981405">
        <w:t>enter</w:t>
      </w:r>
      <w:r w:rsidR="00190923" w:rsidRPr="00981405">
        <w:t xml:space="preserve"> </w:t>
      </w:r>
      <w:r w:rsidRPr="00981405">
        <w:t>into</w:t>
      </w:r>
      <w:r w:rsidR="00190923" w:rsidRPr="00981405">
        <w:t xml:space="preserve"> </w:t>
      </w:r>
      <w:r w:rsidRPr="00981405">
        <w:t>force,</w:t>
      </w:r>
      <w:r w:rsidR="00190923" w:rsidRPr="00981405">
        <w:t xml:space="preserve"> </w:t>
      </w:r>
      <w:r w:rsidRPr="00981405">
        <w:t>or</w:t>
      </w:r>
      <w:r w:rsidR="00190923" w:rsidRPr="00981405">
        <w:t xml:space="preserve"> </w:t>
      </w:r>
      <w:r w:rsidRPr="00981405">
        <w:t>if</w:t>
      </w:r>
      <w:r w:rsidR="00190923" w:rsidRPr="00981405">
        <w:t xml:space="preserve"> </w:t>
      </w:r>
      <w:r w:rsidRPr="00981405">
        <w:t>it</w:t>
      </w:r>
      <w:r w:rsidR="00190923" w:rsidRPr="00981405">
        <w:t xml:space="preserve"> </w:t>
      </w:r>
      <w:r w:rsidRPr="00981405">
        <w:t>had</w:t>
      </w:r>
      <w:r w:rsidR="00190923" w:rsidRPr="00981405">
        <w:t xml:space="preserve"> </w:t>
      </w:r>
      <w:r w:rsidRPr="00981405">
        <w:t>been</w:t>
      </w:r>
      <w:r w:rsidR="00190923" w:rsidRPr="00981405">
        <w:t xml:space="preserve"> </w:t>
      </w:r>
      <w:r w:rsidRPr="00981405">
        <w:t>applied</w:t>
      </w:r>
      <w:r w:rsidR="00190923" w:rsidRPr="00981405">
        <w:t xml:space="preserve"> </w:t>
      </w:r>
      <w:r w:rsidRPr="00981405">
        <w:t>provisionally</w:t>
      </w:r>
      <w:r w:rsidR="00190923" w:rsidRPr="00981405">
        <w:t xml:space="preserve"> </w:t>
      </w:r>
      <w:r w:rsidRPr="00981405">
        <w:t>for</w:t>
      </w:r>
      <w:r w:rsidR="00190923" w:rsidRPr="00981405">
        <w:t xml:space="preserve"> </w:t>
      </w:r>
      <w:r w:rsidRPr="00981405">
        <w:t>a</w:t>
      </w:r>
      <w:r w:rsidR="00190923" w:rsidRPr="00981405">
        <w:t xml:space="preserve"> </w:t>
      </w:r>
      <w:r w:rsidRPr="00981405">
        <w:t>prolonged</w:t>
      </w:r>
      <w:r w:rsidR="00190923" w:rsidRPr="00981405">
        <w:t xml:space="preserve"> </w:t>
      </w:r>
      <w:r w:rsidRPr="00981405">
        <w:t>period</w:t>
      </w:r>
      <w:r w:rsidR="00190923" w:rsidRPr="00981405">
        <w:t xml:space="preserve"> </w:t>
      </w:r>
      <w:r w:rsidRPr="00981405">
        <w:t>of</w:t>
      </w:r>
      <w:r w:rsidR="00190923" w:rsidRPr="00981405">
        <w:t xml:space="preserve"> </w:t>
      </w:r>
      <w:r w:rsidRPr="00981405">
        <w:t>time.</w:t>
      </w:r>
      <w:r w:rsidR="00190923" w:rsidRPr="00981405">
        <w:t xml:space="preserve"> </w:t>
      </w:r>
      <w:r w:rsidRPr="00981405">
        <w:t>In</w:t>
      </w:r>
      <w:r w:rsidR="00190923" w:rsidRPr="00981405">
        <w:t xml:space="preserve"> </w:t>
      </w:r>
      <w:r w:rsidRPr="00981405">
        <w:t>his</w:t>
      </w:r>
      <w:r w:rsidR="00190923" w:rsidRPr="00981405">
        <w:t xml:space="preserve"> </w:t>
      </w:r>
      <w:r w:rsidRPr="00981405">
        <w:t>view,</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feasible</w:t>
      </w:r>
      <w:r w:rsidR="00190923" w:rsidRPr="00981405">
        <w:t xml:space="preserve"> </w:t>
      </w:r>
      <w:r w:rsidRPr="00981405">
        <w:t>to</w:t>
      </w:r>
      <w:r w:rsidR="00190923" w:rsidRPr="00981405">
        <w:t xml:space="preserve"> </w:t>
      </w:r>
      <w:r w:rsidRPr="00981405">
        <w:t>refer</w:t>
      </w:r>
      <w:r w:rsidR="00190923" w:rsidRPr="00981405">
        <w:t xml:space="preserve"> </w:t>
      </w:r>
      <w:r w:rsidRPr="00981405">
        <w:t>to</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solely</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unpredictability</w:t>
      </w:r>
      <w:r w:rsidR="00190923" w:rsidRPr="00981405">
        <w:t xml:space="preserve"> </w:t>
      </w:r>
      <w:r w:rsidRPr="00981405">
        <w:t>of</w:t>
      </w:r>
      <w:r w:rsidR="00190923" w:rsidRPr="00981405">
        <w:t xml:space="preserve"> </w:t>
      </w:r>
      <w:r w:rsidRPr="00981405">
        <w:t>its</w:t>
      </w:r>
      <w:r w:rsidR="00190923" w:rsidRPr="00981405">
        <w:t xml:space="preserve"> </w:t>
      </w:r>
      <w:r w:rsidRPr="00981405">
        <w:t>entry</w:t>
      </w:r>
      <w:r w:rsidR="00190923" w:rsidRPr="00981405">
        <w:t xml:space="preserve"> </w:t>
      </w:r>
      <w:r w:rsidRPr="00981405">
        <w:t>into</w:t>
      </w:r>
      <w:r w:rsidR="00190923" w:rsidRPr="00981405">
        <w:t xml:space="preserve"> </w:t>
      </w:r>
      <w:r w:rsidRPr="00981405">
        <w:t>force.</w:t>
      </w:r>
      <w:r w:rsidR="00190923" w:rsidRPr="00981405">
        <w:t xml:space="preserve"> </w:t>
      </w:r>
      <w:r w:rsidRPr="00981405">
        <w:t>Furthermore,</w:t>
      </w:r>
      <w:r w:rsidR="00190923" w:rsidRPr="00981405">
        <w:t xml:space="preserve"> </w:t>
      </w:r>
      <w:r w:rsidRPr="00981405">
        <w:t>article</w:t>
      </w:r>
      <w:r w:rsidR="00190923" w:rsidRPr="00981405">
        <w:t xml:space="preserve"> </w:t>
      </w:r>
      <w:r w:rsidRPr="00981405">
        <w:t>25</w:t>
      </w:r>
      <w:r w:rsidR="00190923" w:rsidRPr="00981405">
        <w:t xml:space="preserve"> </w:t>
      </w:r>
      <w:r w:rsidRPr="00981405">
        <w:t>imposed</w:t>
      </w:r>
      <w:r w:rsidR="00190923" w:rsidRPr="00981405">
        <w:t xml:space="preserve"> </w:t>
      </w:r>
      <w:r w:rsidRPr="00981405">
        <w:t>no</w:t>
      </w:r>
      <w:r w:rsidR="00190923" w:rsidRPr="00981405">
        <w:t xml:space="preserve"> </w:t>
      </w:r>
      <w:r w:rsidRPr="00981405">
        <w:t>such</w:t>
      </w:r>
      <w:r w:rsidR="00190923" w:rsidRPr="00981405">
        <w:t xml:space="preserve"> </w:t>
      </w:r>
      <w:r w:rsidRPr="00981405">
        <w:t>limitation</w:t>
      </w:r>
      <w:r w:rsidR="00190923" w:rsidRPr="00981405">
        <w:t xml:space="preserve"> </w:t>
      </w:r>
      <w:r w:rsidRPr="00981405">
        <w:t>on</w:t>
      </w:r>
      <w:r w:rsidR="00190923" w:rsidRPr="00981405">
        <w:t xml:space="preserve"> </w:t>
      </w:r>
      <w:r w:rsidRPr="00981405">
        <w:t>the</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p>
    <w:p w:rsidR="00397032" w:rsidRPr="00981405" w:rsidRDefault="00397032" w:rsidP="00D97463">
      <w:pPr>
        <w:pStyle w:val="SingleTxt"/>
      </w:pPr>
      <w:r w:rsidRPr="00981405">
        <w:t>283.</w:t>
      </w:r>
      <w:r w:rsidRPr="00981405">
        <w:tab/>
        <w:t>He</w:t>
      </w:r>
      <w:r w:rsidR="00190923" w:rsidRPr="00981405">
        <w:t xml:space="preserve"> </w:t>
      </w:r>
      <w:r w:rsidRPr="00981405">
        <w:t>indicated</w:t>
      </w:r>
      <w:r w:rsidR="00190923" w:rsidRPr="00981405">
        <w:t xml:space="preserve"> </w:t>
      </w:r>
      <w:r w:rsidRPr="00981405">
        <w:t>his</w:t>
      </w:r>
      <w:r w:rsidR="00190923" w:rsidRPr="00981405">
        <w:t xml:space="preserve"> </w:t>
      </w:r>
      <w:r w:rsidRPr="00981405">
        <w:t>intention</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termination</w:t>
      </w:r>
      <w:r w:rsidR="00190923" w:rsidRPr="00981405">
        <w:t xml:space="preserve"> </w:t>
      </w:r>
      <w:r w:rsidRPr="00981405">
        <w:t>of</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and</w:t>
      </w:r>
      <w:r w:rsidR="00190923" w:rsidRPr="00981405">
        <w:t xml:space="preserve"> </w:t>
      </w:r>
      <w:r w:rsidRPr="00981405">
        <w:t>its</w:t>
      </w:r>
      <w:r w:rsidR="00190923" w:rsidRPr="00981405">
        <w:t xml:space="preserve"> </w:t>
      </w:r>
      <w:r w:rsidRPr="00981405">
        <w:t>legal</w:t>
      </w:r>
      <w:r w:rsidR="00190923" w:rsidRPr="00981405">
        <w:t xml:space="preserve"> </w:t>
      </w:r>
      <w:r w:rsidRPr="00981405">
        <w:t>regime,</w:t>
      </w:r>
      <w:r w:rsidR="00190923" w:rsidRPr="00981405">
        <w:t xml:space="preserve"> </w:t>
      </w:r>
      <w:r w:rsidRPr="00981405">
        <w:t>in</w:t>
      </w:r>
      <w:r w:rsidR="00190923" w:rsidRPr="00981405">
        <w:t xml:space="preserve"> </w:t>
      </w:r>
      <w:r w:rsidRPr="00981405">
        <w:t>his</w:t>
      </w:r>
      <w:r w:rsidR="00190923" w:rsidRPr="00981405">
        <w:t xml:space="preserve"> </w:t>
      </w:r>
      <w:r w:rsidRPr="00981405">
        <w:t>next</w:t>
      </w:r>
      <w:r w:rsidR="00190923" w:rsidRPr="00981405">
        <w:t xml:space="preserve"> </w:t>
      </w:r>
      <w:r w:rsidRPr="00981405">
        <w:t>report,</w:t>
      </w:r>
      <w:r w:rsidR="00190923" w:rsidRPr="00981405">
        <w:t xml:space="preserve"> </w:t>
      </w:r>
      <w:r w:rsidRPr="00981405">
        <w:t>together</w:t>
      </w:r>
      <w:r w:rsidR="00190923" w:rsidRPr="00981405">
        <w:t xml:space="preserve"> </w:t>
      </w:r>
      <w:r w:rsidRPr="00981405">
        <w:t>with</w:t>
      </w:r>
      <w:r w:rsidR="00190923" w:rsidRPr="00981405">
        <w:t xml:space="preserve"> </w:t>
      </w:r>
      <w:r w:rsidRPr="00981405">
        <w:t>a</w:t>
      </w:r>
      <w:r w:rsidR="00190923" w:rsidRPr="00981405">
        <w:t xml:space="preserve"> </w:t>
      </w:r>
      <w:r w:rsidRPr="00981405">
        <w:t>study</w:t>
      </w:r>
      <w:r w:rsidR="00190923" w:rsidRPr="00981405">
        <w:t xml:space="preserve"> </w:t>
      </w:r>
      <w:r w:rsidRPr="00981405">
        <w:t>of</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in</w:t>
      </w:r>
      <w:r w:rsidR="00190923" w:rsidRPr="00981405">
        <w:t xml:space="preserve"> </w:t>
      </w:r>
      <w:r w:rsidRPr="00981405">
        <w:t>the</w:t>
      </w:r>
      <w:r w:rsidR="00190923" w:rsidRPr="00981405">
        <w:t xml:space="preserve"> </w:t>
      </w:r>
      <w:r w:rsidRPr="00981405">
        <w:t>1969</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of</w:t>
      </w:r>
      <w:r w:rsidR="00190923" w:rsidRPr="00981405">
        <w:t xml:space="preserve"> </w:t>
      </w:r>
      <w:r w:rsidRPr="00981405">
        <w:t>relevance</w:t>
      </w:r>
      <w:r w:rsidR="00190923" w:rsidRPr="00981405">
        <w:t xml:space="preserve"> </w:t>
      </w:r>
      <w:r w:rsidRPr="00981405">
        <w:t>to</w:t>
      </w:r>
      <w:r w:rsidR="00190923" w:rsidRPr="00981405">
        <w:t xml:space="preserve"> </w:t>
      </w:r>
      <w:r w:rsidRPr="00981405">
        <w:t>provisional</w:t>
      </w:r>
      <w:r w:rsidR="00190923" w:rsidRPr="00981405">
        <w:t xml:space="preserve"> </w:t>
      </w:r>
      <w:r w:rsidRPr="00981405">
        <w:t>application,</w:t>
      </w:r>
      <w:r w:rsidR="00190923" w:rsidRPr="00981405">
        <w:t xml:space="preserve"> </w:t>
      </w:r>
      <w:r w:rsidRPr="00981405">
        <w:t>including</w:t>
      </w:r>
      <w:r w:rsidR="00190923" w:rsidRPr="00981405">
        <w:t xml:space="preserve"> </w:t>
      </w:r>
      <w:r w:rsidRPr="00981405">
        <w:t>articles</w:t>
      </w:r>
      <w:r w:rsidR="00190923" w:rsidRPr="00981405">
        <w:t xml:space="preserve"> </w:t>
      </w:r>
      <w:r w:rsidRPr="00981405">
        <w:t>19,</w:t>
      </w:r>
      <w:r w:rsidR="00190923" w:rsidRPr="00981405">
        <w:t xml:space="preserve"> </w:t>
      </w:r>
      <w:r w:rsidRPr="00981405">
        <w:t>46</w:t>
      </w:r>
      <w:r w:rsidR="00190923" w:rsidRPr="00981405">
        <w:t xml:space="preserve"> </w:t>
      </w:r>
      <w:r w:rsidRPr="00981405">
        <w:t>and</w:t>
      </w:r>
      <w:r w:rsidR="00190923" w:rsidRPr="00981405">
        <w:t xml:space="preserve"> </w:t>
      </w:r>
      <w:r w:rsidRPr="00981405">
        <w:t>60.</w:t>
      </w:r>
    </w:p>
    <w:p w:rsidR="00397032" w:rsidRPr="00981405" w:rsidRDefault="00397032" w:rsidP="00D97463">
      <w:pPr>
        <w:pStyle w:val="SingleTxt"/>
      </w:pPr>
      <w:r w:rsidRPr="00981405">
        <w:br w:type="page"/>
      </w:r>
    </w:p>
    <w:p w:rsidR="00190923" w:rsidRPr="00D97463" w:rsidRDefault="00190923" w:rsidP="00D97463">
      <w:pPr>
        <w:pStyle w:val="SingleTxt"/>
        <w:spacing w:after="0" w:line="120" w:lineRule="exact"/>
        <w:rPr>
          <w:sz w:val="10"/>
        </w:rPr>
      </w:pPr>
    </w:p>
    <w:p w:rsidR="00190923" w:rsidRPr="00D97463" w:rsidRDefault="00190923"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77" w:name="_Toc427938160"/>
      <w:r w:rsidRPr="00D97463">
        <w:t>Chapter</w:t>
      </w:r>
      <w:r w:rsidR="00190923" w:rsidRPr="00D97463">
        <w:t xml:space="preserve"> </w:t>
      </w:r>
      <w:r w:rsidRPr="00D97463">
        <w:t>XII</w:t>
      </w:r>
      <w:bookmarkStart w:id="178" w:name="_Toc427938161"/>
      <w:bookmarkEnd w:id="177"/>
      <w:r w:rsidR="00190923" w:rsidRPr="00D97463">
        <w:br/>
      </w:r>
      <w:r w:rsidRPr="00D97463">
        <w:t>Other</w:t>
      </w:r>
      <w:r w:rsidR="00190923" w:rsidRPr="00D97463">
        <w:t xml:space="preserve"> </w:t>
      </w:r>
      <w:r w:rsidRPr="00D97463">
        <w:t>decisions</w:t>
      </w:r>
      <w:r w:rsidR="00190923" w:rsidRPr="00D97463">
        <w:t xml:space="preserve"> </w:t>
      </w:r>
      <w:r w:rsidRPr="00D97463">
        <w:t>and</w:t>
      </w:r>
      <w:r w:rsidR="00190923" w:rsidRPr="00D97463">
        <w:t xml:space="preserve"> </w:t>
      </w:r>
      <w:r w:rsidRPr="00D97463">
        <w:t>conclusions</w:t>
      </w:r>
      <w:r w:rsidR="00190923" w:rsidRPr="00D97463">
        <w:t xml:space="preserve"> </w:t>
      </w:r>
      <w:r w:rsidRPr="00D97463">
        <w:t>of</w:t>
      </w:r>
      <w:r w:rsidR="00190923" w:rsidRPr="00D97463">
        <w:t xml:space="preserve"> </w:t>
      </w:r>
      <w:r w:rsidRPr="00D97463">
        <w:t>the</w:t>
      </w:r>
      <w:r w:rsidR="00190923" w:rsidRPr="00D97463">
        <w:t xml:space="preserve"> </w:t>
      </w:r>
      <w:r w:rsidRPr="00D97463">
        <w:t>Commission</w:t>
      </w:r>
      <w:bookmarkEnd w:id="178"/>
    </w:p>
    <w:p w:rsidR="00397032" w:rsidRPr="00D97463" w:rsidRDefault="00397032" w:rsidP="00D97463">
      <w:pPr>
        <w:pStyle w:val="SingleTxt"/>
        <w:spacing w:after="0" w:line="120" w:lineRule="exact"/>
        <w:rPr>
          <w:rFonts w:eastAsia="Calibri"/>
          <w:sz w:val="10"/>
        </w:rPr>
      </w:pPr>
    </w:p>
    <w:p w:rsidR="00190923" w:rsidRPr="00D97463" w:rsidRDefault="00190923" w:rsidP="00D97463">
      <w:pPr>
        <w:pStyle w:val="SingleTxt"/>
        <w:spacing w:after="0" w:line="120" w:lineRule="exact"/>
        <w:rPr>
          <w:rFonts w:eastAsia="Calibri"/>
          <w:sz w:val="10"/>
        </w:rPr>
      </w:pPr>
    </w:p>
    <w:p w:rsidR="00397032" w:rsidRPr="00D97463" w:rsidRDefault="00397032" w:rsidP="00D97463">
      <w:pPr>
        <w:pStyle w:val="H1"/>
        <w:ind w:right="1260"/>
      </w:pPr>
      <w:r w:rsidRPr="00D97463">
        <w:tab/>
      </w:r>
      <w:bookmarkStart w:id="179" w:name="_Toc427938162"/>
      <w:r w:rsidRPr="00D97463">
        <w:t>A.</w:t>
      </w:r>
      <w:r w:rsidRPr="00D97463">
        <w:tab/>
        <w:t>Programme,</w:t>
      </w:r>
      <w:r w:rsidR="00190923" w:rsidRPr="00D97463">
        <w:t xml:space="preserve"> </w:t>
      </w:r>
      <w:r w:rsidRPr="00D97463">
        <w:t>procedures</w:t>
      </w:r>
      <w:r w:rsidR="00190923" w:rsidRPr="00D97463">
        <w:t xml:space="preserve"> </w:t>
      </w:r>
      <w:r w:rsidRPr="00D97463">
        <w:t>and</w:t>
      </w:r>
      <w:r w:rsidR="00190923" w:rsidRPr="00D97463">
        <w:t xml:space="preserve"> </w:t>
      </w:r>
      <w:r w:rsidRPr="00D97463">
        <w:t>working</w:t>
      </w:r>
      <w:r w:rsidR="00190923" w:rsidRPr="00D97463">
        <w:t xml:space="preserve"> </w:t>
      </w:r>
      <w:r w:rsidRPr="00D97463">
        <w:t>methods</w:t>
      </w:r>
      <w:r w:rsidR="00190923" w:rsidRPr="00D97463">
        <w:t xml:space="preserve"> </w:t>
      </w:r>
      <w:r w:rsidRPr="00D97463">
        <w:t>of</w:t>
      </w:r>
      <w:r w:rsidR="00190923" w:rsidRPr="00D97463">
        <w:t xml:space="preserve"> </w:t>
      </w:r>
      <w:r w:rsidRPr="00D97463">
        <w:t>the</w:t>
      </w:r>
      <w:r w:rsidR="00190923" w:rsidRPr="00D97463">
        <w:t xml:space="preserve"> </w:t>
      </w:r>
      <w:r w:rsidRPr="00D97463">
        <w:t>Commission</w:t>
      </w:r>
      <w:r w:rsidR="00190923" w:rsidRPr="00D97463">
        <w:t xml:space="preserve"> </w:t>
      </w:r>
      <w:r w:rsidRPr="00D97463">
        <w:t>and</w:t>
      </w:r>
      <w:r w:rsidR="00190923" w:rsidRPr="00D97463">
        <w:t xml:space="preserve"> </w:t>
      </w:r>
      <w:r w:rsidRPr="00D97463">
        <w:t>its</w:t>
      </w:r>
      <w:r w:rsidR="00190923" w:rsidRPr="00D97463">
        <w:t xml:space="preserve"> </w:t>
      </w:r>
      <w:r w:rsidRPr="00D97463">
        <w:t>documentation</w:t>
      </w:r>
      <w:bookmarkEnd w:id="179"/>
    </w:p>
    <w:p w:rsidR="00397032" w:rsidRPr="00D97463" w:rsidRDefault="00397032" w:rsidP="00D97463">
      <w:pPr>
        <w:pStyle w:val="SingleTxt"/>
        <w:spacing w:after="0" w:line="120" w:lineRule="exact"/>
        <w:rPr>
          <w:rFonts w:eastAsia="Calibri"/>
          <w:sz w:val="10"/>
        </w:rPr>
      </w:pPr>
    </w:p>
    <w:p w:rsidR="00190923" w:rsidRPr="00D97463" w:rsidRDefault="00190923" w:rsidP="00D97463">
      <w:pPr>
        <w:pStyle w:val="SingleTxt"/>
        <w:spacing w:after="0" w:line="120" w:lineRule="exact"/>
        <w:rPr>
          <w:rFonts w:eastAsia="Calibri"/>
          <w:sz w:val="10"/>
        </w:rPr>
      </w:pPr>
    </w:p>
    <w:p w:rsidR="00397032" w:rsidRPr="00981405" w:rsidRDefault="00397032" w:rsidP="00D97463">
      <w:pPr>
        <w:pStyle w:val="SingleTxt"/>
      </w:pPr>
      <w:r w:rsidRPr="00981405">
        <w:t>284.</w:t>
      </w:r>
      <w:r w:rsidRPr="00981405">
        <w:tab/>
        <w:t>At</w:t>
      </w:r>
      <w:r w:rsidR="00190923" w:rsidRPr="00981405">
        <w:t xml:space="preserve"> </w:t>
      </w:r>
      <w:r w:rsidRPr="00981405">
        <w:t>its</w:t>
      </w:r>
      <w:r w:rsidR="00190923" w:rsidRPr="00981405">
        <w:t xml:space="preserve"> </w:t>
      </w:r>
      <w:r w:rsidRPr="00981405">
        <w:t>3248th</w:t>
      </w:r>
      <w:r w:rsidR="00190923" w:rsidRPr="00981405">
        <w:t xml:space="preserve"> </w:t>
      </w:r>
      <w:r w:rsidRPr="00981405">
        <w:t>meeting,</w:t>
      </w:r>
      <w:r w:rsidR="00190923" w:rsidRPr="00981405">
        <w:t xml:space="preserve"> </w:t>
      </w:r>
      <w:r w:rsidRPr="00981405">
        <w:t>on</w:t>
      </w:r>
      <w:r w:rsidR="00190923" w:rsidRPr="00981405">
        <w:t xml:space="preserve"> </w:t>
      </w:r>
      <w:r w:rsidRPr="00981405">
        <w:t>8</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established</w:t>
      </w:r>
      <w:r w:rsidR="00190923" w:rsidRPr="00981405">
        <w:t xml:space="preserve"> </w:t>
      </w:r>
      <w:r w:rsidRPr="00981405">
        <w:t>a</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for</w:t>
      </w:r>
      <w:r w:rsidR="00190923" w:rsidRPr="00981405">
        <w:t xml:space="preserve"> </w:t>
      </w:r>
      <w:r w:rsidRPr="00981405">
        <w:t>the</w:t>
      </w:r>
      <w:r w:rsidR="00190923" w:rsidRPr="00981405">
        <w:t xml:space="preserve"> </w:t>
      </w:r>
      <w:r w:rsidRPr="00981405">
        <w:t>current</w:t>
      </w:r>
      <w:r w:rsidR="00190923" w:rsidRPr="00981405">
        <w:t xml:space="preserve"> </w:t>
      </w:r>
      <w:r w:rsidRPr="00981405">
        <w:t>session.</w:t>
      </w:r>
      <w:r w:rsidRPr="00981405">
        <w:rPr>
          <w:rStyle w:val="FootnoteReference"/>
        </w:rPr>
        <w:footnoteReference w:id="396"/>
      </w:r>
    </w:p>
    <w:p w:rsidR="00397032" w:rsidRPr="00981405" w:rsidRDefault="00397032" w:rsidP="00D97463">
      <w:pPr>
        <w:pStyle w:val="SingleTxt"/>
      </w:pPr>
      <w:r w:rsidRPr="00981405">
        <w:t>285.</w:t>
      </w:r>
      <w:r w:rsidRPr="00981405">
        <w:tab/>
        <w:t>The</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held</w:t>
      </w:r>
      <w:r w:rsidR="00190923" w:rsidRPr="00981405">
        <w:t xml:space="preserve"> </w:t>
      </w:r>
      <w:r w:rsidRPr="00981405">
        <w:t>three</w:t>
      </w:r>
      <w:r w:rsidR="00190923" w:rsidRPr="00981405">
        <w:t xml:space="preserve"> </w:t>
      </w:r>
      <w:r w:rsidRPr="00981405">
        <w:t>meetings.</w:t>
      </w:r>
      <w:r w:rsidR="00190923" w:rsidRPr="00981405">
        <w:t xml:space="preserve"> </w:t>
      </w:r>
      <w:r w:rsidRPr="00981405">
        <w:t>It</w:t>
      </w:r>
      <w:r w:rsidR="00190923" w:rsidRPr="00981405">
        <w:t xml:space="preserve"> </w:t>
      </w:r>
      <w:r w:rsidRPr="00981405">
        <w:t>had</w:t>
      </w:r>
      <w:r w:rsidR="00190923" w:rsidRPr="00981405">
        <w:t xml:space="preserve"> </w:t>
      </w:r>
      <w:r w:rsidRPr="00981405">
        <w:t>before</w:t>
      </w:r>
      <w:r w:rsidR="00190923" w:rsidRPr="00981405">
        <w:t xml:space="preserve"> </w:t>
      </w:r>
      <w:r w:rsidRPr="00981405">
        <w:t>it</w:t>
      </w:r>
      <w:r w:rsidR="00190923" w:rsidRPr="00981405">
        <w:t xml:space="preserve"> </w:t>
      </w:r>
      <w:r w:rsidRPr="00981405">
        <w:t>Section</w:t>
      </w:r>
      <w:r w:rsidR="00190923" w:rsidRPr="00981405">
        <w:t xml:space="preserve"> </w:t>
      </w:r>
      <w:r w:rsidRPr="00981405">
        <w:t>I,</w:t>
      </w:r>
      <w:r w:rsidR="00190923" w:rsidRPr="00981405">
        <w:t xml:space="preserve"> </w:t>
      </w:r>
      <w:r w:rsidRPr="00981405">
        <w:t>entitled</w:t>
      </w:r>
      <w:r w:rsidR="00190923" w:rsidRPr="00981405">
        <w:t xml:space="preserve"> </w:t>
      </w:r>
      <w:r w:rsidR="00B92E2C" w:rsidRPr="00981405">
        <w:t>“</w:t>
      </w:r>
      <w:r w:rsidRPr="00981405">
        <w:t>Other</w:t>
      </w:r>
      <w:r w:rsidR="00190923" w:rsidRPr="00981405">
        <w:t xml:space="preserve"> </w:t>
      </w:r>
      <w:r w:rsidRPr="00981405">
        <w:t>decisions</w:t>
      </w:r>
      <w:r w:rsidR="00190923" w:rsidRPr="00981405">
        <w:t xml:space="preserve"> </w:t>
      </w:r>
      <w:r w:rsidRPr="00981405">
        <w:t>and</w:t>
      </w:r>
      <w:r w:rsidR="00190923" w:rsidRPr="00981405">
        <w:t xml:space="preserve"> </w:t>
      </w:r>
      <w:r w:rsidRPr="00981405">
        <w:t>conclusions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w:t>
      </w:r>
      <w:r w:rsidR="00190923" w:rsidRPr="00981405">
        <w:t xml:space="preserve"> </w:t>
      </w:r>
      <w:r w:rsidRPr="00981405">
        <w:t>of</w:t>
      </w:r>
      <w:r w:rsidR="00190923" w:rsidRPr="00981405">
        <w:t xml:space="preserve"> </w:t>
      </w:r>
      <w:r w:rsidRPr="00981405">
        <w:t>the</w:t>
      </w:r>
      <w:r w:rsidR="00190923" w:rsidRPr="00981405">
        <w:t xml:space="preserve"> </w:t>
      </w:r>
      <w:r w:rsidRPr="00981405">
        <w:t>Topical</w:t>
      </w:r>
      <w:r w:rsidR="00190923" w:rsidRPr="00981405">
        <w:t xml:space="preserve"> </w:t>
      </w:r>
      <w:r w:rsidRPr="00981405">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discussion</w:t>
      </w:r>
      <w:r w:rsidR="00190923" w:rsidRPr="00981405">
        <w:t xml:space="preserve"> </w:t>
      </w:r>
      <w:r w:rsidRPr="00981405">
        <w:t>held</w:t>
      </w:r>
      <w:r w:rsidR="00190923" w:rsidRPr="00981405">
        <w:t xml:space="preserve"> </w:t>
      </w:r>
      <w:r w:rsidRPr="00981405">
        <w:t>in</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during</w:t>
      </w:r>
      <w:r w:rsidR="00190923" w:rsidRPr="00981405">
        <w:t xml:space="preserve"> </w:t>
      </w:r>
      <w:r w:rsidRPr="00981405">
        <w:t>its</w:t>
      </w:r>
      <w:r w:rsidR="00190923" w:rsidRPr="00981405">
        <w:t xml:space="preserve"> </w:t>
      </w:r>
      <w:r w:rsidRPr="00981405">
        <w:t>sixty-ninth</w:t>
      </w:r>
      <w:r w:rsidR="00190923" w:rsidRPr="00981405">
        <w:t xml:space="preserve"> </w:t>
      </w:r>
      <w:r w:rsidRPr="00981405">
        <w:t>session;</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Pr="00981405">
        <w:t>69/118</w:t>
      </w:r>
      <w:r w:rsidR="00190923" w:rsidRPr="00981405">
        <w:t xml:space="preserve"> </w:t>
      </w:r>
      <w:r w:rsidRPr="00981405">
        <w:t>of</w:t>
      </w:r>
      <w:r w:rsidR="00190923" w:rsidRPr="00981405">
        <w:t xml:space="preserve"> </w:t>
      </w:r>
      <w:r w:rsidRPr="00981405">
        <w:t>10</w:t>
      </w:r>
      <w:r w:rsidR="00190923" w:rsidRPr="00981405">
        <w:t xml:space="preserve"> </w:t>
      </w:r>
      <w:r w:rsidRPr="00981405">
        <w:t>December</w:t>
      </w:r>
      <w:r w:rsidR="00190923" w:rsidRPr="00981405">
        <w:t xml:space="preserve"> </w:t>
      </w:r>
      <w:r w:rsidRPr="00981405">
        <w:t>2014</w:t>
      </w:r>
      <w:r w:rsidR="00190923" w:rsidRPr="00981405">
        <w:t xml:space="preserve"> </w:t>
      </w:r>
      <w:r w:rsidRPr="00981405">
        <w:t>on</w:t>
      </w:r>
      <w:r w:rsidR="00190923" w:rsidRPr="00981405">
        <w:t xml:space="preserve"> </w:t>
      </w:r>
      <w:r w:rsidRPr="00981405">
        <w:t>the</w:t>
      </w:r>
      <w:r w:rsidR="00190923" w:rsidRPr="00981405">
        <w:t xml:space="preserve"> </w:t>
      </w:r>
      <w:r w:rsidRPr="00981405">
        <w:t>Report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its</w:t>
      </w:r>
      <w:r w:rsidR="00190923" w:rsidRPr="00981405">
        <w:t xml:space="preserve"> </w:t>
      </w:r>
      <w:r w:rsidRPr="00981405">
        <w:t>sixty-sixth</w:t>
      </w:r>
      <w:r w:rsidR="00190923" w:rsidRPr="00981405">
        <w:t xml:space="preserve"> </w:t>
      </w:r>
      <w:r w:rsidRPr="00981405">
        <w:t>session;</w:t>
      </w:r>
      <w:r w:rsidR="00190923" w:rsidRPr="00981405">
        <w:t xml:space="preserve"> </w:t>
      </w:r>
      <w:r w:rsidRPr="00981405">
        <w:t>and</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Pr="00981405">
        <w:t>69/123</w:t>
      </w:r>
      <w:r w:rsidR="00190923" w:rsidRPr="00981405">
        <w:t xml:space="preserve"> </w:t>
      </w:r>
      <w:r w:rsidRPr="00981405">
        <w:t>of</w:t>
      </w:r>
      <w:r w:rsidR="00190923" w:rsidRPr="00981405">
        <w:t xml:space="preserve"> </w:t>
      </w:r>
      <w:r w:rsidRPr="00981405">
        <w:t>10</w:t>
      </w:r>
      <w:r w:rsidR="00190923" w:rsidRPr="00981405">
        <w:t xml:space="preserve"> </w:t>
      </w:r>
      <w:r w:rsidRPr="00981405">
        <w:t>December</w:t>
      </w:r>
      <w:r w:rsidR="00190923" w:rsidRPr="00981405">
        <w:t xml:space="preserve"> </w:t>
      </w:r>
      <w:r w:rsidRPr="00981405">
        <w:t>2014</w:t>
      </w:r>
      <w:r w:rsidR="00190923" w:rsidRPr="00981405">
        <w:t xml:space="preserve"> </w:t>
      </w:r>
      <w:r w:rsidRPr="00981405">
        <w:t>on</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at</w:t>
      </w:r>
      <w:r w:rsidR="00190923" w:rsidRPr="00981405">
        <w:t xml:space="preserve"> </w:t>
      </w:r>
      <w:r w:rsidRPr="00981405">
        <w:t>the</w:t>
      </w:r>
      <w:r w:rsidR="00190923" w:rsidRPr="00981405">
        <w:t xml:space="preserve"> </w:t>
      </w:r>
      <w:r w:rsidRPr="00981405">
        <w:t>national</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levels.</w:t>
      </w:r>
    </w:p>
    <w:p w:rsidR="00190923" w:rsidRPr="00D97463" w:rsidRDefault="00190923" w:rsidP="00D97463">
      <w:pPr>
        <w:pStyle w:val="SingleTxt"/>
        <w:spacing w:after="0" w:line="120" w:lineRule="exact"/>
        <w:rPr>
          <w:sz w:val="10"/>
        </w:rPr>
      </w:pPr>
    </w:p>
    <w:p w:rsidR="00397032" w:rsidRPr="00D97463" w:rsidRDefault="00190923" w:rsidP="00D97463">
      <w:pPr>
        <w:pStyle w:val="H23"/>
        <w:ind w:right="1260"/>
      </w:pPr>
      <w:r w:rsidRPr="00D97463">
        <w:tab/>
      </w:r>
      <w:r w:rsidR="00397032" w:rsidRPr="00D97463">
        <w:t>1.</w:t>
      </w:r>
      <w:r w:rsidRPr="00D97463">
        <w:tab/>
      </w:r>
      <w:r w:rsidR="00397032" w:rsidRPr="00D97463">
        <w:t>Inclusion</w:t>
      </w:r>
      <w:r w:rsidRPr="00D97463">
        <w:t xml:space="preserve"> </w:t>
      </w:r>
      <w:r w:rsidR="00397032" w:rsidRPr="00D97463">
        <w:t>of</w:t>
      </w:r>
      <w:r w:rsidRPr="00D97463">
        <w:t xml:space="preserve"> </w:t>
      </w:r>
      <w:r w:rsidR="00397032" w:rsidRPr="00D97463">
        <w:t>a</w:t>
      </w:r>
      <w:r w:rsidRPr="00D97463">
        <w:t xml:space="preserve"> </w:t>
      </w:r>
      <w:r w:rsidR="00397032" w:rsidRPr="00D97463">
        <w:t>new</w:t>
      </w:r>
      <w:r w:rsidRPr="00D97463">
        <w:t xml:space="preserve"> </w:t>
      </w:r>
      <w:r w:rsidR="00397032" w:rsidRPr="00D97463">
        <w:t>topic</w:t>
      </w:r>
      <w:r w:rsidRPr="00D97463">
        <w:t xml:space="preserve"> </w:t>
      </w:r>
      <w:r w:rsidR="00397032" w:rsidRPr="00D97463">
        <w:t>in</w:t>
      </w:r>
      <w:r w:rsidRPr="00D97463">
        <w:t xml:space="preserve"> </w:t>
      </w:r>
      <w:r w:rsidR="00397032" w:rsidRPr="00D97463">
        <w:t>the</w:t>
      </w:r>
      <w:r w:rsidRPr="00D97463">
        <w:t xml:space="preserve"> </w:t>
      </w:r>
      <w:r w:rsidR="00397032" w:rsidRPr="00D97463">
        <w:t>programme</w:t>
      </w:r>
      <w:r w:rsidRPr="00D97463">
        <w:t xml:space="preserve"> </w:t>
      </w:r>
      <w:r w:rsidR="00397032" w:rsidRPr="00D97463">
        <w:t>of</w:t>
      </w:r>
      <w:r w:rsidRPr="00D97463">
        <w:t xml:space="preserve"> </w:t>
      </w:r>
      <w:r w:rsidR="00397032" w:rsidRPr="00D97463">
        <w:t>work</w:t>
      </w:r>
      <w:r w:rsidRPr="00D97463">
        <w:t xml:space="preserve"> </w:t>
      </w:r>
      <w:r w:rsidR="00397032" w:rsidRPr="00D97463">
        <w:t>of</w:t>
      </w:r>
      <w:r w:rsidRPr="00D97463">
        <w:t xml:space="preserve"> </w:t>
      </w:r>
      <w:r w:rsidR="00397032" w:rsidRPr="00D97463">
        <w:t>the</w:t>
      </w:r>
      <w:r w:rsidRPr="00D97463">
        <w:t xml:space="preserve"> </w:t>
      </w:r>
      <w:r w:rsidR="00397032" w:rsidRPr="00D97463">
        <w:t>Commission</w:t>
      </w:r>
    </w:p>
    <w:p w:rsidR="00190923" w:rsidRPr="00D97463" w:rsidRDefault="00190923" w:rsidP="00D97463">
      <w:pPr>
        <w:pStyle w:val="SingleTxt"/>
        <w:spacing w:after="0" w:line="120" w:lineRule="exact"/>
        <w:rPr>
          <w:sz w:val="10"/>
        </w:rPr>
      </w:pPr>
    </w:p>
    <w:p w:rsidR="00397032" w:rsidRPr="00981405" w:rsidRDefault="00397032" w:rsidP="00D97463">
      <w:pPr>
        <w:pStyle w:val="SingleTxt"/>
      </w:pPr>
      <w:r w:rsidRPr="00981405">
        <w:t>286.</w:t>
      </w:r>
      <w:r w:rsidRPr="00981405">
        <w:tab/>
        <w:t>At</w:t>
      </w:r>
      <w:r w:rsidR="00190923" w:rsidRPr="00981405">
        <w:t xml:space="preserve"> </w:t>
      </w:r>
      <w:r w:rsidRPr="00981405">
        <w:t>its</w:t>
      </w:r>
      <w:r w:rsidR="00190923" w:rsidRPr="00981405">
        <w:t xml:space="preserve"> </w:t>
      </w:r>
      <w:r w:rsidRPr="00981405">
        <w:t>3257th</w:t>
      </w:r>
      <w:r w:rsidR="00190923" w:rsidRPr="00981405">
        <w:t xml:space="preserve"> </w:t>
      </w:r>
      <w:r w:rsidRPr="00981405">
        <w:t>meeting,</w:t>
      </w:r>
      <w:r w:rsidR="00190923" w:rsidRPr="00981405">
        <w:t xml:space="preserve"> </w:t>
      </w:r>
      <w:r w:rsidRPr="00981405">
        <w:t>on</w:t>
      </w:r>
      <w:r w:rsidR="00190923" w:rsidRPr="00981405">
        <w:t xml:space="preserve"> </w:t>
      </w:r>
      <w:r w:rsidRPr="00981405">
        <w:t>27</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i/>
          <w:iCs/>
        </w:rPr>
        <w:t>Jus</w:t>
      </w:r>
      <w:r w:rsidR="00190923" w:rsidRPr="00981405">
        <w:rPr>
          <w:i/>
          <w:iCs/>
        </w:rPr>
        <w:t xml:space="preserve"> </w:t>
      </w:r>
      <w:r w:rsidRPr="00D97463">
        <w:rPr>
          <w:i/>
          <w:iCs/>
        </w:rPr>
        <w:t>cogens</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to</w:t>
      </w:r>
      <w:r w:rsidR="00190923" w:rsidRPr="00981405">
        <w:t xml:space="preserve"> </w:t>
      </w:r>
      <w:r w:rsidRPr="00981405">
        <w:t>appoint</w:t>
      </w:r>
      <w:r w:rsidR="00190923" w:rsidRPr="00981405">
        <w:t xml:space="preserve"> </w:t>
      </w:r>
      <w:r w:rsidRPr="00981405">
        <w:t>Mr.</w:t>
      </w:r>
      <w:r w:rsidR="00190923" w:rsidRPr="00981405">
        <w:t xml:space="preserve"> </w:t>
      </w:r>
      <w:r w:rsidRPr="00981405">
        <w:t>Dire</w:t>
      </w:r>
      <w:r w:rsidR="00190923" w:rsidRPr="00981405">
        <w:t xml:space="preserve"> </w:t>
      </w:r>
      <w:r w:rsidRPr="00981405">
        <w:t>Tladi</w:t>
      </w:r>
      <w:r w:rsidR="00190923" w:rsidRPr="00981405">
        <w:t xml:space="preserve"> </w:t>
      </w:r>
      <w:r w:rsidRPr="00981405">
        <w:t>as</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p>
    <w:p w:rsidR="00190923" w:rsidRPr="00D97463" w:rsidRDefault="00190923" w:rsidP="00D97463">
      <w:pPr>
        <w:pStyle w:val="SingleTxt"/>
        <w:spacing w:after="0" w:line="120" w:lineRule="exact"/>
        <w:rPr>
          <w:sz w:val="10"/>
        </w:rPr>
      </w:pPr>
    </w:p>
    <w:p w:rsidR="00397032" w:rsidRPr="00D97463" w:rsidRDefault="00190923" w:rsidP="00D97463">
      <w:pPr>
        <w:pStyle w:val="H23"/>
        <w:ind w:right="1260"/>
      </w:pPr>
      <w:r w:rsidRPr="00D97463">
        <w:tab/>
      </w:r>
      <w:r w:rsidR="00397032" w:rsidRPr="00D97463">
        <w:t>2.</w:t>
      </w:r>
      <w:r w:rsidRPr="00D97463">
        <w:tab/>
      </w:r>
      <w:r w:rsidR="00397032" w:rsidRPr="00D97463">
        <w:t>Working</w:t>
      </w:r>
      <w:r w:rsidRPr="00D97463">
        <w:t xml:space="preserve"> </w:t>
      </w:r>
      <w:r w:rsidR="00397032" w:rsidRPr="00D97463">
        <w:t>Group</w:t>
      </w:r>
      <w:r w:rsidRPr="00D97463">
        <w:t xml:space="preserve"> </w:t>
      </w:r>
      <w:r w:rsidR="00397032" w:rsidRPr="00D97463">
        <w:t>on</w:t>
      </w:r>
      <w:r w:rsidRPr="00D97463">
        <w:t xml:space="preserve"> </w:t>
      </w:r>
      <w:r w:rsidR="00397032" w:rsidRPr="00D97463">
        <w:t>the</w:t>
      </w:r>
      <w:r w:rsidRPr="00D97463">
        <w:t xml:space="preserve"> </w:t>
      </w:r>
      <w:r w:rsidR="00397032" w:rsidRPr="00D97463">
        <w:t>Long-term</w:t>
      </w:r>
      <w:r w:rsidRPr="00D97463">
        <w:t xml:space="preserve"> </w:t>
      </w:r>
      <w:r w:rsidR="00397032" w:rsidRPr="00D97463">
        <w:t>Programme</w:t>
      </w:r>
      <w:r w:rsidRPr="00D97463">
        <w:t xml:space="preserve"> </w:t>
      </w:r>
      <w:r w:rsidR="00397032" w:rsidRPr="00D97463">
        <w:t>of</w:t>
      </w:r>
      <w:r w:rsidRPr="00D97463">
        <w:t xml:space="preserve"> </w:t>
      </w:r>
      <w:r w:rsidR="00397032" w:rsidRPr="00D97463">
        <w:t>Work</w:t>
      </w:r>
    </w:p>
    <w:p w:rsidR="00190923" w:rsidRPr="00D97463" w:rsidRDefault="00190923" w:rsidP="00D97463">
      <w:pPr>
        <w:pStyle w:val="SingleTxt"/>
        <w:spacing w:after="0" w:line="120" w:lineRule="exact"/>
        <w:rPr>
          <w:sz w:val="10"/>
        </w:rPr>
      </w:pPr>
    </w:p>
    <w:p w:rsidR="00397032" w:rsidRPr="00981405" w:rsidRDefault="00397032" w:rsidP="00D97463">
      <w:pPr>
        <w:pStyle w:val="SingleTxt"/>
      </w:pPr>
      <w:r w:rsidRPr="00981405">
        <w:t>287.</w:t>
      </w:r>
      <w:r w:rsidRPr="00981405">
        <w:tab/>
        <w:t>At</w:t>
      </w:r>
      <w:r w:rsidR="00190923" w:rsidRPr="00981405">
        <w:t xml:space="preserve"> </w:t>
      </w:r>
      <w:r w:rsidRPr="00981405">
        <w:t>its</w:t>
      </w:r>
      <w:r w:rsidR="00190923" w:rsidRPr="00981405">
        <w:t xml:space="preserve"> </w:t>
      </w:r>
      <w:r w:rsidRPr="00981405">
        <w:t>1st</w:t>
      </w:r>
      <w:r w:rsidR="00190923" w:rsidRPr="00981405">
        <w:t xml:space="preserve"> </w:t>
      </w:r>
      <w:r w:rsidRPr="00981405">
        <w:t>meeting,</w:t>
      </w:r>
      <w:r w:rsidR="00190923" w:rsidRPr="00981405">
        <w:t xml:space="preserve"> </w:t>
      </w:r>
      <w:r w:rsidRPr="00981405">
        <w:t>on</w:t>
      </w:r>
      <w:r w:rsidR="00190923" w:rsidRPr="00981405">
        <w:t xml:space="preserve"> </w:t>
      </w:r>
      <w:r w:rsidRPr="00981405">
        <w:t>11</w:t>
      </w:r>
      <w:r w:rsidR="00190923" w:rsidRPr="00981405">
        <w:t xml:space="preserve"> </w:t>
      </w:r>
      <w:r w:rsidRPr="00981405">
        <w:t>May</w:t>
      </w:r>
      <w:r w:rsidR="00190923" w:rsidRPr="00981405">
        <w:t xml:space="preserve"> </w:t>
      </w:r>
      <w:r w:rsidRPr="00981405">
        <w:t>2015,</w:t>
      </w:r>
      <w:r w:rsidR="00190923" w:rsidRPr="00981405">
        <w:t xml:space="preserve"> </w:t>
      </w:r>
      <w:r w:rsidRPr="00981405">
        <w:t>the</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decided</w:t>
      </w:r>
      <w:r w:rsidR="00190923" w:rsidRPr="00981405">
        <w:t xml:space="preserve"> </w:t>
      </w:r>
      <w:r w:rsidRPr="00981405">
        <w:t>to</w:t>
      </w:r>
      <w:r w:rsidR="00190923" w:rsidRPr="00981405">
        <w:t xml:space="preserve"> </w:t>
      </w:r>
      <w:r w:rsidRPr="00981405">
        <w:t>reconstitute</w:t>
      </w:r>
      <w:r w:rsidR="00190923" w:rsidRPr="00981405">
        <w:t xml:space="preserve"> </w:t>
      </w:r>
      <w:r w:rsidRPr="00981405">
        <w:t>for</w:t>
      </w:r>
      <w:r w:rsidR="00190923" w:rsidRPr="00981405">
        <w:t xml:space="preserve"> </w:t>
      </w:r>
      <w:r w:rsidRPr="00981405">
        <w:t>the</w:t>
      </w:r>
      <w:r w:rsidR="00190923" w:rsidRPr="00981405">
        <w:t xml:space="preserve"> </w:t>
      </w:r>
      <w:r w:rsidRPr="00981405">
        <w:t>current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Working</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Long-term</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under</w:t>
      </w:r>
      <w:r w:rsidR="00190923" w:rsidRPr="00981405">
        <w:t xml:space="preserve"> </w:t>
      </w:r>
      <w:r w:rsidRPr="00981405">
        <w:t>the</w:t>
      </w:r>
      <w:r w:rsidR="00190923" w:rsidRPr="00981405">
        <w:t xml:space="preserve"> </w:t>
      </w:r>
      <w:r w:rsidRPr="00981405">
        <w:t>chairmanship</w:t>
      </w:r>
      <w:r w:rsidR="00190923" w:rsidRPr="00981405">
        <w:t xml:space="preserve"> </w:t>
      </w:r>
      <w:r w:rsidRPr="00981405">
        <w:t>of</w:t>
      </w:r>
      <w:r w:rsidR="00190923" w:rsidRPr="00981405">
        <w:t xml:space="preserve"> </w:t>
      </w:r>
      <w:r w:rsidRPr="00981405">
        <w:t>Mr.</w:t>
      </w:r>
      <w:r w:rsidR="00190923" w:rsidRPr="00981405">
        <w:t xml:space="preserve"> </w:t>
      </w:r>
      <w:r w:rsidRPr="00981405">
        <w:t>Donald</w:t>
      </w:r>
      <w:r w:rsidR="00190923" w:rsidRPr="00981405">
        <w:t xml:space="preserve"> </w:t>
      </w:r>
      <w:r w:rsidRPr="00981405">
        <w:t>M.</w:t>
      </w:r>
      <w:r w:rsidR="00190923" w:rsidRPr="00981405">
        <w:t xml:space="preserve"> </w:t>
      </w:r>
      <w:r w:rsidRPr="00981405">
        <w:t>McRae.</w:t>
      </w:r>
      <w:r w:rsidR="00190923" w:rsidRPr="00981405">
        <w:t xml:space="preserve"> </w:t>
      </w:r>
      <w:r w:rsidRPr="00981405">
        <w:t>The</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Working</w:t>
      </w:r>
      <w:r w:rsidR="00190923" w:rsidRPr="00981405">
        <w:t xml:space="preserve"> </w:t>
      </w:r>
      <w:r w:rsidRPr="00981405">
        <w:t>Group</w:t>
      </w:r>
      <w:r w:rsidR="00190923" w:rsidRPr="00981405">
        <w:t xml:space="preserve"> </w:t>
      </w:r>
      <w:r w:rsidRPr="00981405">
        <w:t>submitted</w:t>
      </w:r>
      <w:r w:rsidR="00190923" w:rsidRPr="00981405">
        <w:t xml:space="preserve"> </w:t>
      </w:r>
      <w:r w:rsidRPr="00981405">
        <w:t>an</w:t>
      </w:r>
      <w:r w:rsidR="00190923" w:rsidRPr="00981405">
        <w:t xml:space="preserve"> </w:t>
      </w:r>
      <w:r w:rsidRPr="00981405">
        <w:t>oral</w:t>
      </w:r>
      <w:r w:rsidR="00190923" w:rsidRPr="00981405">
        <w:t xml:space="preserve"> </w:t>
      </w:r>
      <w:r w:rsidRPr="00981405">
        <w:t>progress</w:t>
      </w:r>
      <w:r w:rsidR="00190923" w:rsidRPr="00981405">
        <w:t xml:space="preserve"> </w:t>
      </w:r>
      <w:r w:rsidRPr="00981405">
        <w:t>report</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Working</w:t>
      </w:r>
      <w:r w:rsidR="00190923" w:rsidRPr="00981405">
        <w:t xml:space="preserve"> </w:t>
      </w:r>
      <w:r w:rsidRPr="00981405">
        <w:t>Group</w:t>
      </w:r>
      <w:r w:rsidR="00190923" w:rsidRPr="00981405">
        <w:t xml:space="preserve"> </w:t>
      </w:r>
      <w:r w:rsidRPr="00981405">
        <w:t>at</w:t>
      </w:r>
      <w:r w:rsidR="00190923" w:rsidRPr="00981405">
        <w:t xml:space="preserve"> </w:t>
      </w:r>
      <w:r w:rsidRPr="00981405">
        <w:t>the</w:t>
      </w:r>
      <w:r w:rsidR="00190923" w:rsidRPr="00981405">
        <w:t xml:space="preserve"> </w:t>
      </w:r>
      <w:r w:rsidRPr="00981405">
        <w:t>current</w:t>
      </w:r>
      <w:r w:rsidR="00190923" w:rsidRPr="00981405">
        <w:t xml:space="preserve"> </w:t>
      </w:r>
      <w:r w:rsidRPr="00981405">
        <w:t>session</w:t>
      </w:r>
      <w:r w:rsidR="00190923" w:rsidRPr="00981405">
        <w:t xml:space="preserve"> </w:t>
      </w:r>
      <w:r w:rsidRPr="00981405">
        <w:t>to</w:t>
      </w:r>
      <w:r w:rsidR="00190923" w:rsidRPr="00981405">
        <w:t xml:space="preserve"> </w:t>
      </w:r>
      <w:r w:rsidRPr="00981405">
        <w:t>the</w:t>
      </w:r>
      <w:r w:rsidR="00190923" w:rsidRPr="00981405">
        <w:t xml:space="preserve"> </w:t>
      </w:r>
      <w:r w:rsidRPr="00981405">
        <w:t>Planning</w:t>
      </w:r>
      <w:r w:rsidR="00190923" w:rsidRPr="00981405">
        <w:t xml:space="preserve"> </w:t>
      </w:r>
      <w:r w:rsidRPr="00981405">
        <w:t>Group,</w:t>
      </w:r>
      <w:r w:rsidR="00190923" w:rsidRPr="00981405">
        <w:t xml:space="preserve"> </w:t>
      </w:r>
      <w:r w:rsidRPr="00981405">
        <w:t>at</w:t>
      </w:r>
      <w:r w:rsidR="00190923" w:rsidRPr="00981405">
        <w:t xml:space="preserve"> </w:t>
      </w:r>
      <w:r w:rsidRPr="00981405">
        <w:t>its</w:t>
      </w:r>
      <w:r w:rsidR="00190923" w:rsidRPr="00981405">
        <w:t xml:space="preserve"> </w:t>
      </w:r>
      <w:r w:rsidRPr="00981405">
        <w:t>3rd</w:t>
      </w:r>
      <w:r w:rsidR="00190923" w:rsidRPr="00981405">
        <w:t xml:space="preserve"> </w:t>
      </w:r>
      <w:r w:rsidRPr="00981405">
        <w:t>meeting,</w:t>
      </w:r>
      <w:r w:rsidR="00190923" w:rsidRPr="00981405">
        <w:t xml:space="preserve"> </w:t>
      </w:r>
      <w:r w:rsidRPr="00981405">
        <w:t>on</w:t>
      </w:r>
      <w:r w:rsidR="00190923" w:rsidRPr="00981405">
        <w:t xml:space="preserve"> </w:t>
      </w:r>
      <w:r w:rsidRPr="00981405">
        <w:t>30</w:t>
      </w:r>
      <w:r w:rsidR="00190923" w:rsidRPr="00981405">
        <w:t xml:space="preserve"> </w:t>
      </w:r>
      <w:r w:rsidRPr="00981405">
        <w:t>July</w:t>
      </w:r>
      <w:r w:rsidR="00190923" w:rsidRPr="00981405">
        <w:t xml:space="preserve"> </w:t>
      </w:r>
      <w:r w:rsidRPr="00981405">
        <w:t>2015.</w:t>
      </w:r>
      <w:r w:rsidR="00190923" w:rsidRPr="00981405">
        <w:t xml:space="preserve"> </w:t>
      </w:r>
    </w:p>
    <w:p w:rsidR="00190923" w:rsidRPr="00D97463" w:rsidRDefault="00190923" w:rsidP="00D97463">
      <w:pPr>
        <w:pStyle w:val="SingleTxt"/>
        <w:spacing w:after="0" w:line="120" w:lineRule="exact"/>
        <w:rPr>
          <w:sz w:val="10"/>
        </w:rPr>
      </w:pPr>
    </w:p>
    <w:p w:rsidR="00397032" w:rsidRPr="00D97463" w:rsidRDefault="00190923" w:rsidP="00D97463">
      <w:pPr>
        <w:pStyle w:val="H23"/>
        <w:ind w:right="1260"/>
      </w:pPr>
      <w:r w:rsidRPr="00D97463">
        <w:tab/>
      </w:r>
      <w:r w:rsidR="00397032" w:rsidRPr="00D97463">
        <w:t>3.</w:t>
      </w:r>
      <w:r w:rsidRPr="00D97463">
        <w:tab/>
      </w:r>
      <w:r w:rsidR="00397032" w:rsidRPr="00D97463">
        <w:t>Consideration</w:t>
      </w:r>
      <w:r w:rsidRPr="00D97463">
        <w:t xml:space="preserve"> </w:t>
      </w:r>
      <w:r w:rsidR="00397032" w:rsidRPr="00D97463">
        <w:t>of</w:t>
      </w:r>
      <w:r w:rsidRPr="00D97463">
        <w:t xml:space="preserve"> </w:t>
      </w:r>
      <w:r w:rsidR="00397032" w:rsidRPr="00D97463">
        <w:t>General</w:t>
      </w:r>
      <w:r w:rsidRPr="00D97463">
        <w:t xml:space="preserve"> </w:t>
      </w:r>
      <w:r w:rsidR="00397032" w:rsidRPr="00D97463">
        <w:t>Assembly</w:t>
      </w:r>
      <w:r w:rsidRPr="00D97463">
        <w:t xml:space="preserve"> </w:t>
      </w:r>
      <w:r w:rsidR="00397032" w:rsidRPr="00D97463">
        <w:t>resolution</w:t>
      </w:r>
      <w:r w:rsidRPr="00D97463">
        <w:t xml:space="preserve"> </w:t>
      </w:r>
      <w:r w:rsidR="00397032" w:rsidRPr="00D97463">
        <w:t>69/123</w:t>
      </w:r>
      <w:r w:rsidRPr="00D97463">
        <w:t xml:space="preserve"> </w:t>
      </w:r>
      <w:r w:rsidR="00397032" w:rsidRPr="00D97463">
        <w:t>of</w:t>
      </w:r>
      <w:r w:rsidRPr="00D97463">
        <w:t xml:space="preserve"> </w:t>
      </w:r>
      <w:r w:rsidR="00397032" w:rsidRPr="00D97463">
        <w:t>10</w:t>
      </w:r>
      <w:r w:rsidRPr="00D97463">
        <w:t xml:space="preserve"> </w:t>
      </w:r>
      <w:r w:rsidR="00397032" w:rsidRPr="00D97463">
        <w:t>December</w:t>
      </w:r>
      <w:r w:rsidRPr="00D97463">
        <w:t xml:space="preserve"> </w:t>
      </w:r>
      <w:r w:rsidR="00397032" w:rsidRPr="00D97463">
        <w:t>2014</w:t>
      </w:r>
      <w:r w:rsidRPr="00D97463">
        <w:t xml:space="preserve"> </w:t>
      </w:r>
      <w:r w:rsidR="00397032" w:rsidRPr="00D97463">
        <w:t>on</w:t>
      </w:r>
      <w:r w:rsidRPr="00D97463">
        <w:t xml:space="preserve"> </w:t>
      </w:r>
      <w:r w:rsidR="00397032" w:rsidRPr="00D97463">
        <w:t>the</w:t>
      </w:r>
      <w:r w:rsidRPr="00D97463">
        <w:t xml:space="preserve"> </w:t>
      </w:r>
      <w:r w:rsidR="00397032" w:rsidRPr="00D97463">
        <w:t>rule</w:t>
      </w:r>
      <w:r w:rsidRPr="00D97463">
        <w:t xml:space="preserve"> </w:t>
      </w:r>
      <w:r w:rsidR="00397032" w:rsidRPr="00D97463">
        <w:t>of</w:t>
      </w:r>
      <w:r w:rsidRPr="00D97463">
        <w:t xml:space="preserve"> </w:t>
      </w:r>
      <w:r w:rsidR="00397032" w:rsidRPr="00D97463">
        <w:t>law</w:t>
      </w:r>
      <w:r w:rsidRPr="00D97463">
        <w:t xml:space="preserve"> </w:t>
      </w:r>
      <w:r w:rsidR="00397032" w:rsidRPr="00D97463">
        <w:t>at</w:t>
      </w:r>
      <w:r w:rsidRPr="00D97463">
        <w:t xml:space="preserve"> </w:t>
      </w:r>
      <w:r w:rsidR="00397032" w:rsidRPr="00D97463">
        <w:t>the</w:t>
      </w:r>
      <w:r w:rsidRPr="00D97463">
        <w:t xml:space="preserve"> </w:t>
      </w:r>
      <w:r w:rsidR="00397032" w:rsidRPr="00D97463">
        <w:t>national</w:t>
      </w:r>
      <w:r w:rsidRPr="00D97463">
        <w:t xml:space="preserve"> </w:t>
      </w:r>
      <w:r w:rsidR="00397032" w:rsidRPr="00D97463">
        <w:t>and</w:t>
      </w:r>
      <w:r w:rsidRPr="00D97463">
        <w:t xml:space="preserve"> </w:t>
      </w:r>
      <w:r w:rsidR="00397032" w:rsidRPr="00D97463">
        <w:t>international</w:t>
      </w:r>
      <w:r w:rsidRPr="00D97463">
        <w:t xml:space="preserve"> </w:t>
      </w:r>
      <w:r w:rsidR="00397032" w:rsidRPr="00D97463">
        <w:t>levels</w:t>
      </w:r>
    </w:p>
    <w:p w:rsidR="00190923" w:rsidRPr="00D97463" w:rsidRDefault="00190923" w:rsidP="00D97463">
      <w:pPr>
        <w:pStyle w:val="SingleTxt"/>
        <w:spacing w:after="0" w:line="120" w:lineRule="exact"/>
        <w:rPr>
          <w:sz w:val="10"/>
        </w:rPr>
      </w:pPr>
    </w:p>
    <w:p w:rsidR="00397032" w:rsidRPr="00981405" w:rsidRDefault="00190923" w:rsidP="00D97463">
      <w:pPr>
        <w:pStyle w:val="SingleTxt"/>
      </w:pPr>
      <w:r w:rsidRPr="00981405">
        <w:t>288.</w:t>
      </w:r>
      <w:r w:rsidRPr="00981405">
        <w:tab/>
      </w:r>
      <w:r w:rsidR="00397032" w:rsidRPr="00981405">
        <w:t>The</w:t>
      </w:r>
      <w:r w:rsidRPr="00981405">
        <w:t xml:space="preserve"> </w:t>
      </w:r>
      <w:r w:rsidR="00397032" w:rsidRPr="00981405">
        <w:t>General</w:t>
      </w:r>
      <w:r w:rsidRPr="00981405">
        <w:t xml:space="preserve"> </w:t>
      </w:r>
      <w:r w:rsidR="00397032" w:rsidRPr="00981405">
        <w:t>Assembly,</w:t>
      </w:r>
      <w:r w:rsidRPr="00981405">
        <w:t xml:space="preserve"> </w:t>
      </w:r>
      <w:r w:rsidR="00397032" w:rsidRPr="00981405">
        <w:t>in</w:t>
      </w:r>
      <w:r w:rsidRPr="00981405">
        <w:t xml:space="preserve"> </w:t>
      </w:r>
      <w:r w:rsidR="00397032" w:rsidRPr="00981405">
        <w:t>resolution</w:t>
      </w:r>
      <w:r w:rsidRPr="00981405">
        <w:t xml:space="preserve"> </w:t>
      </w:r>
      <w:r w:rsidR="00397032" w:rsidRPr="00981405">
        <w:t>69/123</w:t>
      </w:r>
      <w:r w:rsidRPr="00981405">
        <w:t xml:space="preserve"> </w:t>
      </w:r>
      <w:r w:rsidR="00397032" w:rsidRPr="00981405">
        <w:t>of</w:t>
      </w:r>
      <w:r w:rsidRPr="00981405">
        <w:t xml:space="preserve"> </w:t>
      </w:r>
      <w:r w:rsidR="00397032" w:rsidRPr="00981405">
        <w:t>10</w:t>
      </w:r>
      <w:r w:rsidRPr="00981405">
        <w:t xml:space="preserve"> </w:t>
      </w:r>
      <w:r w:rsidR="00397032" w:rsidRPr="00981405">
        <w:t>December</w:t>
      </w:r>
      <w:r w:rsidRPr="00981405">
        <w:t xml:space="preserve"> </w:t>
      </w:r>
      <w:r w:rsidR="00397032" w:rsidRPr="00981405">
        <w:t>2014</w:t>
      </w:r>
      <w:r w:rsidRPr="00981405">
        <w:t xml:space="preserve"> </w:t>
      </w:r>
      <w:r w:rsidR="00397032" w:rsidRPr="00981405">
        <w:t>on</w:t>
      </w:r>
      <w:r w:rsidRPr="00981405">
        <w:t xml:space="preserve"> </w:t>
      </w:r>
      <w:r w:rsidR="00397032" w:rsidRPr="00981405">
        <w:t>the</w:t>
      </w:r>
      <w:r w:rsidRPr="00981405">
        <w:t xml:space="preserve"> </w:t>
      </w:r>
      <w:r w:rsidR="00397032" w:rsidRPr="00981405">
        <w:t>rule</w:t>
      </w:r>
      <w:r w:rsidRPr="00981405">
        <w:t xml:space="preserve"> </w:t>
      </w:r>
      <w:r w:rsidR="00397032" w:rsidRPr="00981405">
        <w:t>of</w:t>
      </w:r>
      <w:r w:rsidRPr="00981405">
        <w:t xml:space="preserve"> </w:t>
      </w:r>
      <w:r w:rsidR="00397032" w:rsidRPr="00981405">
        <w:t>law</w:t>
      </w:r>
      <w:r w:rsidRPr="00981405">
        <w:t xml:space="preserve"> </w:t>
      </w:r>
      <w:r w:rsidR="00397032" w:rsidRPr="00981405">
        <w:t>at</w:t>
      </w:r>
      <w:r w:rsidRPr="00981405">
        <w:t xml:space="preserve"> </w:t>
      </w:r>
      <w:r w:rsidR="00397032" w:rsidRPr="00981405">
        <w:t>the</w:t>
      </w:r>
      <w:r w:rsidRPr="00981405">
        <w:t xml:space="preserve"> </w:t>
      </w:r>
      <w:r w:rsidR="00397032" w:rsidRPr="00981405">
        <w:t>national</w:t>
      </w:r>
      <w:r w:rsidRPr="00981405">
        <w:t xml:space="preserve"> </w:t>
      </w:r>
      <w:r w:rsidR="00397032" w:rsidRPr="00981405">
        <w:t>and</w:t>
      </w:r>
      <w:r w:rsidRPr="00981405">
        <w:t xml:space="preserve"> </w:t>
      </w:r>
      <w:r w:rsidR="00397032" w:rsidRPr="00981405">
        <w:t>international</w:t>
      </w:r>
      <w:r w:rsidRPr="00981405">
        <w:t xml:space="preserve"> </w:t>
      </w:r>
      <w:r w:rsidR="00397032" w:rsidRPr="00981405">
        <w:t>levels,</w:t>
      </w:r>
      <w:r w:rsidRPr="00981405">
        <w:t xml:space="preserve"> </w:t>
      </w:r>
      <w:r w:rsidR="00397032" w:rsidRPr="00981405">
        <w:rPr>
          <w:i/>
          <w:iCs/>
        </w:rPr>
        <w:t>inter</w:t>
      </w:r>
      <w:r w:rsidRPr="00981405">
        <w:rPr>
          <w:i/>
          <w:iCs/>
        </w:rPr>
        <w:t xml:space="preserve"> </w:t>
      </w:r>
      <w:r w:rsidR="00397032" w:rsidRPr="00981405">
        <w:rPr>
          <w:i/>
          <w:iCs/>
        </w:rPr>
        <w:t>alia</w:t>
      </w:r>
      <w:r w:rsidR="00397032" w:rsidRPr="00981405">
        <w:t>,</w:t>
      </w:r>
      <w:r w:rsidRPr="00981405">
        <w:t xml:space="preserve"> </w:t>
      </w:r>
      <w:r w:rsidR="00397032" w:rsidRPr="00981405">
        <w:t>reiterated</w:t>
      </w:r>
      <w:r w:rsidRPr="00981405">
        <w:t xml:space="preserve"> </w:t>
      </w:r>
      <w:r w:rsidR="00397032" w:rsidRPr="00981405">
        <w:t>its</w:t>
      </w:r>
      <w:r w:rsidRPr="00981405">
        <w:t xml:space="preserve"> </w:t>
      </w:r>
      <w:r w:rsidR="00397032" w:rsidRPr="00981405">
        <w:t>invitation</w:t>
      </w:r>
      <w:r w:rsidRPr="00981405">
        <w:t xml:space="preserve"> </w:t>
      </w:r>
      <w:r w:rsidR="00397032" w:rsidRPr="00981405">
        <w:t>to</w:t>
      </w:r>
      <w:r w:rsidRPr="00981405">
        <w:t xml:space="preserve"> </w:t>
      </w:r>
      <w:r w:rsidR="00397032" w:rsidRPr="00981405">
        <w:t>the</w:t>
      </w:r>
      <w:r w:rsidRPr="00981405">
        <w:t xml:space="preserve"> </w:t>
      </w:r>
      <w:r w:rsidR="00397032" w:rsidRPr="00981405">
        <w:t>Commission</w:t>
      </w:r>
      <w:r w:rsidRPr="00981405">
        <w:t xml:space="preserve"> </w:t>
      </w:r>
      <w:r w:rsidR="00397032" w:rsidRPr="00981405">
        <w:t>to</w:t>
      </w:r>
      <w:r w:rsidRPr="00981405">
        <w:t xml:space="preserve"> </w:t>
      </w:r>
      <w:r w:rsidR="00397032" w:rsidRPr="00981405">
        <w:t>comment,</w:t>
      </w:r>
      <w:r w:rsidRPr="00981405">
        <w:t xml:space="preserve"> </w:t>
      </w:r>
      <w:r w:rsidR="00397032" w:rsidRPr="00981405">
        <w:t>in</w:t>
      </w:r>
      <w:r w:rsidRPr="00981405">
        <w:t xml:space="preserve"> </w:t>
      </w:r>
      <w:r w:rsidR="00397032" w:rsidRPr="00981405">
        <w:t>its</w:t>
      </w:r>
      <w:r w:rsidRPr="00981405">
        <w:t xml:space="preserve"> </w:t>
      </w:r>
      <w:r w:rsidR="00397032" w:rsidRPr="00981405">
        <w:t>report</w:t>
      </w:r>
      <w:r w:rsidRPr="00981405">
        <w:t xml:space="preserve"> </w:t>
      </w:r>
      <w:r w:rsidR="00397032" w:rsidRPr="00981405">
        <w:t>to</w:t>
      </w:r>
      <w:r w:rsidRPr="00981405">
        <w:t xml:space="preserve"> </w:t>
      </w:r>
      <w:r w:rsidR="00397032" w:rsidRPr="00981405">
        <w:t>the</w:t>
      </w:r>
      <w:r w:rsidRPr="00981405">
        <w:t xml:space="preserve"> </w:t>
      </w:r>
      <w:r w:rsidR="00397032" w:rsidRPr="00981405">
        <w:t>General</w:t>
      </w:r>
      <w:r w:rsidRPr="00981405">
        <w:t xml:space="preserve"> </w:t>
      </w:r>
      <w:r w:rsidR="00397032" w:rsidRPr="00981405">
        <w:t>Assembly,</w:t>
      </w:r>
      <w:r w:rsidRPr="00981405">
        <w:t xml:space="preserve"> </w:t>
      </w:r>
      <w:r w:rsidR="00397032" w:rsidRPr="00981405">
        <w:t>on</w:t>
      </w:r>
      <w:r w:rsidRPr="00981405">
        <w:t xml:space="preserve"> </w:t>
      </w:r>
      <w:r w:rsidR="00397032" w:rsidRPr="00981405">
        <w:t>its</w:t>
      </w:r>
      <w:r w:rsidRPr="00981405">
        <w:t xml:space="preserve"> </w:t>
      </w:r>
      <w:r w:rsidR="00397032" w:rsidRPr="00981405">
        <w:t>current</w:t>
      </w:r>
      <w:r w:rsidRPr="00981405">
        <w:t xml:space="preserve"> </w:t>
      </w:r>
      <w:r w:rsidR="00397032" w:rsidRPr="00981405">
        <w:t>role</w:t>
      </w:r>
      <w:r w:rsidRPr="00981405">
        <w:t xml:space="preserve"> </w:t>
      </w:r>
      <w:r w:rsidR="00397032" w:rsidRPr="00981405">
        <w:t>in</w:t>
      </w:r>
      <w:r w:rsidRPr="00981405">
        <w:t xml:space="preserve"> </w:t>
      </w:r>
      <w:r w:rsidR="00397032" w:rsidRPr="00981405">
        <w:t>promoting</w:t>
      </w:r>
      <w:r w:rsidRPr="00981405">
        <w:t xml:space="preserve"> </w:t>
      </w:r>
      <w:r w:rsidR="00397032" w:rsidRPr="00981405">
        <w:t>the</w:t>
      </w:r>
      <w:r w:rsidRPr="00981405">
        <w:t xml:space="preserve"> </w:t>
      </w:r>
      <w:r w:rsidR="00397032" w:rsidRPr="00981405">
        <w:t>rule</w:t>
      </w:r>
      <w:r w:rsidRPr="00981405">
        <w:t xml:space="preserve"> </w:t>
      </w:r>
      <w:r w:rsidR="00397032" w:rsidRPr="00981405">
        <w:t>of</w:t>
      </w:r>
      <w:r w:rsidRPr="00981405">
        <w:t xml:space="preserve"> </w:t>
      </w:r>
      <w:r w:rsidR="00397032" w:rsidRPr="00981405">
        <w:t>law.</w:t>
      </w:r>
      <w:r w:rsidRPr="00981405">
        <w:t xml:space="preserve"> </w:t>
      </w:r>
      <w:r w:rsidR="00397032" w:rsidRPr="00981405">
        <w:t>Since</w:t>
      </w:r>
      <w:r w:rsidRPr="00981405">
        <w:t xml:space="preserve"> </w:t>
      </w:r>
      <w:r w:rsidR="00397032" w:rsidRPr="00981405">
        <w:t>its</w:t>
      </w:r>
      <w:r w:rsidRPr="00981405">
        <w:t xml:space="preserve"> </w:t>
      </w:r>
      <w:r w:rsidR="00397032" w:rsidRPr="00981405">
        <w:t>sixtieth</w:t>
      </w:r>
      <w:r w:rsidRPr="00981405">
        <w:t xml:space="preserve"> </w:t>
      </w:r>
      <w:r w:rsidR="00397032" w:rsidRPr="00981405">
        <w:t>session</w:t>
      </w:r>
      <w:r w:rsidRPr="00981405">
        <w:t xml:space="preserve"> </w:t>
      </w:r>
      <w:r w:rsidR="00397032" w:rsidRPr="00981405">
        <w:t>(2008),</w:t>
      </w:r>
      <w:r w:rsidRPr="00981405">
        <w:t xml:space="preserve"> </w:t>
      </w:r>
      <w:r w:rsidR="00397032" w:rsidRPr="00981405">
        <w:t>the</w:t>
      </w:r>
      <w:r w:rsidRPr="00981405">
        <w:t xml:space="preserve"> </w:t>
      </w:r>
      <w:r w:rsidR="00397032" w:rsidRPr="00981405">
        <w:t>Commission</w:t>
      </w:r>
      <w:r w:rsidRPr="00981405">
        <w:t xml:space="preserve"> </w:t>
      </w:r>
      <w:r w:rsidR="00397032" w:rsidRPr="00981405">
        <w:t>has</w:t>
      </w:r>
      <w:r w:rsidRPr="00981405">
        <w:t xml:space="preserve"> </w:t>
      </w:r>
      <w:r w:rsidR="00397032" w:rsidRPr="00981405">
        <w:t>commented</w:t>
      </w:r>
      <w:r w:rsidRPr="00981405">
        <w:t xml:space="preserve"> </w:t>
      </w:r>
      <w:r w:rsidR="00397032" w:rsidRPr="00981405">
        <w:t>annually</w:t>
      </w:r>
      <w:r w:rsidRPr="00981405">
        <w:t xml:space="preserve"> </w:t>
      </w:r>
      <w:r w:rsidR="00397032" w:rsidRPr="00981405">
        <w:t>on</w:t>
      </w:r>
      <w:r w:rsidRPr="00981405">
        <w:t xml:space="preserve"> </w:t>
      </w:r>
      <w:r w:rsidR="00397032" w:rsidRPr="00981405">
        <w:t>its</w:t>
      </w:r>
      <w:r w:rsidRPr="00981405">
        <w:t xml:space="preserve"> </w:t>
      </w:r>
      <w:r w:rsidR="00397032" w:rsidRPr="00981405">
        <w:t>role</w:t>
      </w:r>
      <w:r w:rsidRPr="00981405">
        <w:t xml:space="preserve"> </w:t>
      </w:r>
      <w:r w:rsidR="00397032" w:rsidRPr="00981405">
        <w:t>in</w:t>
      </w:r>
      <w:r w:rsidRPr="00981405">
        <w:t xml:space="preserve"> </w:t>
      </w:r>
      <w:r w:rsidR="00397032" w:rsidRPr="00981405">
        <w:t>promoting</w:t>
      </w:r>
      <w:r w:rsidRPr="00981405">
        <w:t xml:space="preserve"> </w:t>
      </w:r>
      <w:r w:rsidR="00397032" w:rsidRPr="00981405">
        <w:t>the</w:t>
      </w:r>
      <w:r w:rsidRPr="00981405">
        <w:t xml:space="preserve"> </w:t>
      </w:r>
      <w:r w:rsidR="00397032" w:rsidRPr="00981405">
        <w:t>rule</w:t>
      </w:r>
      <w:r w:rsidRPr="00981405">
        <w:t xml:space="preserve"> </w:t>
      </w:r>
      <w:r w:rsidR="00397032" w:rsidRPr="00981405">
        <w:t>of</w:t>
      </w:r>
      <w:r w:rsidRPr="00981405">
        <w:t xml:space="preserve"> </w:t>
      </w:r>
      <w:r w:rsidR="00397032" w:rsidRPr="00981405">
        <w:t>law.</w:t>
      </w:r>
      <w:r w:rsidRPr="00981405">
        <w:t xml:space="preserve"> </w:t>
      </w:r>
      <w:r w:rsidR="00397032" w:rsidRPr="00981405">
        <w:t>The</w:t>
      </w:r>
      <w:r w:rsidRPr="00981405">
        <w:t xml:space="preserve"> </w:t>
      </w:r>
      <w:r w:rsidR="00397032" w:rsidRPr="00981405">
        <w:t>Commission</w:t>
      </w:r>
      <w:r w:rsidRPr="00981405">
        <w:t xml:space="preserve"> </w:t>
      </w:r>
      <w:r w:rsidR="00397032" w:rsidRPr="00981405">
        <w:t>notes</w:t>
      </w:r>
      <w:r w:rsidRPr="00981405">
        <w:t xml:space="preserve"> </w:t>
      </w:r>
      <w:r w:rsidR="00397032" w:rsidRPr="00981405">
        <w:t>that</w:t>
      </w:r>
      <w:r w:rsidRPr="00981405">
        <w:t xml:space="preserve"> </w:t>
      </w:r>
      <w:r w:rsidR="00397032" w:rsidRPr="00981405">
        <w:t>the</w:t>
      </w:r>
      <w:r w:rsidRPr="00981405">
        <w:t xml:space="preserve"> </w:t>
      </w:r>
      <w:r w:rsidR="00397032" w:rsidRPr="00981405">
        <w:t>comments</w:t>
      </w:r>
      <w:r w:rsidRPr="00981405">
        <w:t xml:space="preserve"> </w:t>
      </w:r>
      <w:r w:rsidR="00397032" w:rsidRPr="00981405">
        <w:t>contained</w:t>
      </w:r>
      <w:r w:rsidRPr="00981405">
        <w:t xml:space="preserve"> </w:t>
      </w:r>
      <w:r w:rsidR="00397032" w:rsidRPr="00981405">
        <w:t>in</w:t>
      </w:r>
      <w:r w:rsidRPr="00981405">
        <w:t xml:space="preserve"> </w:t>
      </w:r>
      <w:r w:rsidR="00397032" w:rsidRPr="00981405">
        <w:t>paragraphs</w:t>
      </w:r>
      <w:r w:rsidRPr="00981405">
        <w:t xml:space="preserve"> </w:t>
      </w:r>
      <w:r w:rsidR="00397032" w:rsidRPr="00981405">
        <w:t>341</w:t>
      </w:r>
      <w:r w:rsidRPr="00981405">
        <w:t xml:space="preserve"> </w:t>
      </w:r>
      <w:r w:rsidR="00397032" w:rsidRPr="00981405">
        <w:t>to</w:t>
      </w:r>
      <w:r w:rsidRPr="00981405">
        <w:t xml:space="preserve"> </w:t>
      </w:r>
      <w:r w:rsidR="00397032" w:rsidRPr="00981405">
        <w:t>346</w:t>
      </w:r>
      <w:r w:rsidRPr="00981405">
        <w:t xml:space="preserve"> </w:t>
      </w:r>
      <w:r w:rsidR="00397032" w:rsidRPr="00981405">
        <w:t>of</w:t>
      </w:r>
      <w:r w:rsidRPr="00981405">
        <w:t xml:space="preserve"> </w:t>
      </w:r>
      <w:r w:rsidR="00397032" w:rsidRPr="00981405">
        <w:t>its</w:t>
      </w:r>
      <w:r w:rsidRPr="00981405">
        <w:t xml:space="preserve"> </w:t>
      </w:r>
      <w:r w:rsidR="00397032" w:rsidRPr="00981405">
        <w:t>2008</w:t>
      </w:r>
      <w:r w:rsidRPr="00981405">
        <w:t xml:space="preserve"> </w:t>
      </w:r>
      <w:r w:rsidR="00397032" w:rsidRPr="00981405">
        <w:t>report</w:t>
      </w:r>
      <w:r w:rsidRPr="00981405">
        <w:t xml:space="preserve"> </w:t>
      </w:r>
      <w:r w:rsidR="00397032" w:rsidRPr="00981405">
        <w:t>(</w:t>
      </w:r>
      <w:hyperlink r:id="rId61" w:history="1">
        <w:r w:rsidR="00F304EB" w:rsidRPr="00F304EB">
          <w:rPr>
            <w:rStyle w:val="Hyperlink"/>
          </w:rPr>
          <w:t>A/63/10</w:t>
        </w:r>
      </w:hyperlink>
      <w:r w:rsidR="00397032" w:rsidRPr="00981405">
        <w:t>)</w:t>
      </w:r>
      <w:r w:rsidRPr="00981405">
        <w:t xml:space="preserve"> </w:t>
      </w:r>
      <w:r w:rsidR="00397032" w:rsidRPr="00981405">
        <w:t>remain</w:t>
      </w:r>
      <w:r w:rsidRPr="00981405">
        <w:t xml:space="preserve"> </w:t>
      </w:r>
      <w:r w:rsidR="00397032" w:rsidRPr="00981405">
        <w:t>relevant</w:t>
      </w:r>
      <w:r w:rsidRPr="00981405">
        <w:t xml:space="preserve"> </w:t>
      </w:r>
      <w:r w:rsidR="00397032" w:rsidRPr="00981405">
        <w:t>and</w:t>
      </w:r>
      <w:r w:rsidRPr="00981405">
        <w:t xml:space="preserve"> </w:t>
      </w:r>
      <w:r w:rsidR="00397032" w:rsidRPr="00981405">
        <w:t>reiterates</w:t>
      </w:r>
      <w:r w:rsidRPr="00981405">
        <w:t xml:space="preserve"> </w:t>
      </w:r>
      <w:r w:rsidR="00397032" w:rsidRPr="00981405">
        <w:t>the</w:t>
      </w:r>
      <w:r w:rsidRPr="00981405">
        <w:t xml:space="preserve"> </w:t>
      </w:r>
      <w:r w:rsidR="00397032" w:rsidRPr="00981405">
        <w:t>comments</w:t>
      </w:r>
      <w:r w:rsidRPr="00981405">
        <w:t xml:space="preserve"> </w:t>
      </w:r>
      <w:r w:rsidR="00397032" w:rsidRPr="00981405">
        <w:t>made</w:t>
      </w:r>
      <w:r w:rsidRPr="00981405">
        <w:t xml:space="preserve"> </w:t>
      </w:r>
      <w:r w:rsidR="00397032" w:rsidRPr="00981405">
        <w:t>at</w:t>
      </w:r>
      <w:r w:rsidRPr="00981405">
        <w:t xml:space="preserve"> </w:t>
      </w:r>
      <w:r w:rsidR="00397032" w:rsidRPr="00981405">
        <w:t>its</w:t>
      </w:r>
      <w:r w:rsidRPr="00981405">
        <w:t xml:space="preserve"> </w:t>
      </w:r>
      <w:r w:rsidR="00397032" w:rsidRPr="00981405">
        <w:t>previous</w:t>
      </w:r>
      <w:r w:rsidRPr="00981405">
        <w:t xml:space="preserve"> </w:t>
      </w:r>
      <w:r w:rsidR="00397032" w:rsidRPr="00981405">
        <w:t>sessions.</w:t>
      </w:r>
      <w:r w:rsidR="00397032" w:rsidRPr="00981405">
        <w:rPr>
          <w:rStyle w:val="FootnoteReference"/>
        </w:rPr>
        <w:footnoteReference w:id="397"/>
      </w:r>
      <w:r w:rsidRPr="00981405">
        <w:t xml:space="preserve"> </w:t>
      </w:r>
    </w:p>
    <w:p w:rsidR="00397032" w:rsidRPr="00981405" w:rsidRDefault="00397032" w:rsidP="00D97463">
      <w:pPr>
        <w:pStyle w:val="SingleTxt"/>
      </w:pPr>
      <w:r w:rsidRPr="00981405">
        <w:lastRenderedPageBreak/>
        <w:t>289.</w:t>
      </w:r>
      <w:r w:rsidRPr="00981405">
        <w:tab/>
        <w:t>The</w:t>
      </w:r>
      <w:r w:rsidR="00190923" w:rsidRPr="00981405">
        <w:t xml:space="preserve"> </w:t>
      </w:r>
      <w:r w:rsidRPr="00981405">
        <w:t>Commission</w:t>
      </w:r>
      <w:r w:rsidR="00190923" w:rsidRPr="00981405">
        <w:t xml:space="preserve"> </w:t>
      </w:r>
      <w:r w:rsidRPr="00981405">
        <w:t>recalls</w:t>
      </w:r>
      <w:r w:rsidR="00190923" w:rsidRPr="00981405">
        <w:t xml:space="preserve"> </w:t>
      </w:r>
      <w:r w:rsidRPr="00981405">
        <w:t>that</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is</w:t>
      </w:r>
      <w:r w:rsidR="00190923" w:rsidRPr="00981405">
        <w:t xml:space="preserve"> </w:t>
      </w:r>
      <w:r w:rsidRPr="00981405">
        <w:t>of</w:t>
      </w:r>
      <w:r w:rsidR="00190923" w:rsidRPr="00981405">
        <w:t xml:space="preserve"> </w:t>
      </w:r>
      <w:r w:rsidRPr="00981405">
        <w:t>the</w:t>
      </w:r>
      <w:r w:rsidR="00190923" w:rsidRPr="00981405">
        <w:t xml:space="preserve"> </w:t>
      </w:r>
      <w:r w:rsidRPr="00981405">
        <w:t>essence</w:t>
      </w:r>
      <w:r w:rsidR="00190923" w:rsidRPr="00981405">
        <w:t xml:space="preserve"> </w:t>
      </w:r>
      <w:r w:rsidRPr="00981405">
        <w:t>of</w:t>
      </w:r>
      <w:r w:rsidR="00190923" w:rsidRPr="00981405">
        <w:t xml:space="preserve"> </w:t>
      </w:r>
      <w:r w:rsidRPr="00981405">
        <w:t>its</w:t>
      </w:r>
      <w:r w:rsidR="00190923" w:rsidRPr="00981405">
        <w:t xml:space="preserve"> </w:t>
      </w:r>
      <w:r w:rsidRPr="00981405">
        <w:t>work.</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object,</w:t>
      </w:r>
      <w:r w:rsidR="00190923" w:rsidRPr="00981405">
        <w:t xml:space="preserve"> </w:t>
      </w:r>
      <w:r w:rsidRPr="00981405">
        <w:t>as</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Article</w:t>
      </w:r>
      <w:r w:rsidR="00190923" w:rsidRPr="00981405">
        <w:t xml:space="preserve"> </w:t>
      </w:r>
      <w:r w:rsidRPr="00981405">
        <w:t>1</w:t>
      </w:r>
      <w:r w:rsidR="00190923" w:rsidRPr="00981405">
        <w:t xml:space="preserve"> </w:t>
      </w:r>
      <w:r w:rsidRPr="00981405">
        <w:t>of</w:t>
      </w:r>
      <w:r w:rsidR="00190923" w:rsidRPr="00981405">
        <w:t xml:space="preserve"> </w:t>
      </w:r>
      <w:r w:rsidRPr="00981405">
        <w:t>its</w:t>
      </w:r>
      <w:r w:rsidR="00190923" w:rsidRPr="00981405">
        <w:t xml:space="preserve"> </w:t>
      </w:r>
      <w:r w:rsidRPr="00981405">
        <w:t>Statute,</w:t>
      </w:r>
      <w:r w:rsidR="00190923" w:rsidRPr="00981405">
        <w:t xml:space="preserve"> </w:t>
      </w:r>
      <w:r w:rsidRPr="00981405">
        <w:t>is</w:t>
      </w:r>
      <w:r w:rsidR="00190923" w:rsidRPr="00981405">
        <w:t xml:space="preserve"> </w:t>
      </w:r>
      <w:r w:rsidRPr="00981405">
        <w:t>the</w:t>
      </w:r>
      <w:r w:rsidR="00190923" w:rsidRPr="00981405">
        <w:t xml:space="preserve"> </w:t>
      </w:r>
      <w:r w:rsidRPr="00981405">
        <w:t>promotion</w:t>
      </w:r>
      <w:r w:rsidR="00190923" w:rsidRPr="00981405">
        <w:t xml:space="preserve"> </w:t>
      </w:r>
      <w:r w:rsidRPr="00981405">
        <w:t>of</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its</w:t>
      </w:r>
      <w:r w:rsidR="00190923" w:rsidRPr="00981405">
        <w:t xml:space="preserve"> </w:t>
      </w:r>
      <w:r w:rsidRPr="00981405">
        <w:t>codification.</w:t>
      </w:r>
    </w:p>
    <w:p w:rsidR="00397032" w:rsidRPr="00981405" w:rsidRDefault="00397032" w:rsidP="00D97463">
      <w:pPr>
        <w:pStyle w:val="SingleTxt"/>
      </w:pPr>
      <w:r w:rsidRPr="00981405">
        <w:t>290.</w:t>
      </w:r>
      <w:r w:rsidRPr="00981405">
        <w:tab/>
        <w:t>Having</w:t>
      </w:r>
      <w:r w:rsidR="00190923" w:rsidRPr="00981405">
        <w:t xml:space="preserve"> </w:t>
      </w:r>
      <w:r w:rsidRPr="00981405">
        <w:t>in</w:t>
      </w:r>
      <w:r w:rsidR="00190923" w:rsidRPr="00981405">
        <w:t xml:space="preserve"> </w:t>
      </w:r>
      <w:r w:rsidRPr="00981405">
        <w:t>mind</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in</w:t>
      </w:r>
      <w:r w:rsidR="00190923" w:rsidRPr="00981405">
        <w:t xml:space="preserve"> </w:t>
      </w:r>
      <w:r w:rsidRPr="00981405">
        <w:t>all</w:t>
      </w:r>
      <w:r w:rsidR="00190923" w:rsidRPr="00981405">
        <w:t xml:space="preserve"> </w:t>
      </w:r>
      <w:r w:rsidRPr="00981405">
        <w:t>its</w:t>
      </w:r>
      <w:r w:rsidR="00190923" w:rsidRPr="00981405">
        <w:t xml:space="preserve"> </w:t>
      </w:r>
      <w:r w:rsidRPr="00981405">
        <w:t>work,</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fully</w:t>
      </w:r>
      <w:r w:rsidR="00190923" w:rsidRPr="00981405">
        <w:t xml:space="preserve"> </w:t>
      </w:r>
      <w:r w:rsidRPr="00981405">
        <w:t>conscious</w:t>
      </w:r>
      <w:r w:rsidR="00190923" w:rsidRPr="00981405">
        <w:t xml:space="preserve"> </w:t>
      </w:r>
      <w:r w:rsidRPr="00981405">
        <w:t>of</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implementation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at</w:t>
      </w:r>
      <w:r w:rsidR="00190923" w:rsidRPr="00981405">
        <w:t xml:space="preserve"> </w:t>
      </w:r>
      <w:r w:rsidRPr="00981405">
        <w:t>the</w:t>
      </w:r>
      <w:r w:rsidR="00190923" w:rsidRPr="00981405">
        <w:t xml:space="preserve"> </w:t>
      </w:r>
      <w:r w:rsidRPr="00981405">
        <w:t>national</w:t>
      </w:r>
      <w:r w:rsidR="00190923" w:rsidRPr="00981405">
        <w:t xml:space="preserve"> </w:t>
      </w:r>
      <w:r w:rsidRPr="00981405">
        <w:t>level,</w:t>
      </w:r>
      <w:r w:rsidR="00190923" w:rsidRPr="00981405">
        <w:t xml:space="preserve"> </w:t>
      </w:r>
      <w:r w:rsidRPr="00981405">
        <w:t>and</w:t>
      </w:r>
      <w:r w:rsidR="00190923" w:rsidRPr="00981405">
        <w:t xml:space="preserve"> </w:t>
      </w:r>
      <w:r w:rsidRPr="00981405">
        <w:t>aims</w:t>
      </w:r>
      <w:r w:rsidR="00190923" w:rsidRPr="00981405">
        <w:t xml:space="preserve"> </w:t>
      </w:r>
      <w:r w:rsidRPr="00981405">
        <w:t>at</w:t>
      </w:r>
      <w:r w:rsidR="00190923" w:rsidRPr="00981405">
        <w:t xml:space="preserve"> </w:t>
      </w:r>
      <w:r w:rsidRPr="00981405">
        <w:t>promoting</w:t>
      </w:r>
      <w:r w:rsidR="00190923" w:rsidRPr="00981405">
        <w:t xml:space="preserve"> </w:t>
      </w:r>
      <w:r w:rsidRPr="00981405">
        <w:t>respect</w:t>
      </w:r>
      <w:r w:rsidR="00190923" w:rsidRPr="00981405">
        <w:t xml:space="preserve"> </w:t>
      </w:r>
      <w:r w:rsidRPr="00981405">
        <w:t>for</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level.</w:t>
      </w:r>
    </w:p>
    <w:p w:rsidR="00397032" w:rsidRPr="00981405" w:rsidRDefault="00397032" w:rsidP="00D97463">
      <w:pPr>
        <w:pStyle w:val="SingleTxt"/>
      </w:pPr>
      <w:r w:rsidRPr="00981405">
        <w:t>291.</w:t>
      </w:r>
      <w:r w:rsidRPr="00981405">
        <w:tab/>
        <w:t>In</w:t>
      </w:r>
      <w:r w:rsidR="00190923" w:rsidRPr="00981405">
        <w:t xml:space="preserve"> </w:t>
      </w:r>
      <w:r w:rsidRPr="00981405">
        <w:t>fulfilling</w:t>
      </w:r>
      <w:r w:rsidR="00190923" w:rsidRPr="00981405">
        <w:t xml:space="preserve"> </w:t>
      </w:r>
      <w:r w:rsidRPr="00981405">
        <w:t>its</w:t>
      </w:r>
      <w:r w:rsidR="00190923" w:rsidRPr="00981405">
        <w:t xml:space="preserve"> </w:t>
      </w:r>
      <w:r w:rsidRPr="00981405">
        <w:t>mandate</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its</w:t>
      </w:r>
      <w:r w:rsidR="00190923" w:rsidRPr="00981405">
        <w:t xml:space="preserve"> </w:t>
      </w:r>
      <w:r w:rsidRPr="00981405">
        <w:t>codification,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will</w:t>
      </w:r>
      <w:r w:rsidR="00190923" w:rsidRPr="00981405">
        <w:t xml:space="preserve"> </w:t>
      </w:r>
      <w:r w:rsidRPr="00981405">
        <w:t>continue</w:t>
      </w:r>
      <w:r w:rsidR="00190923" w:rsidRPr="00981405">
        <w:t xml:space="preserve"> </w:t>
      </w:r>
      <w:r w:rsidRPr="00981405">
        <w:t>to</w:t>
      </w:r>
      <w:r w:rsidR="00190923" w:rsidRPr="00981405">
        <w:t xml:space="preserve"> </w:t>
      </w:r>
      <w:r w:rsidRPr="00981405">
        <w:t>take</w:t>
      </w:r>
      <w:r w:rsidR="00190923" w:rsidRPr="00981405">
        <w:t xml:space="preserve"> </w:t>
      </w:r>
      <w:r w:rsidRPr="00981405">
        <w:t>into</w:t>
      </w:r>
      <w:r w:rsidR="00190923" w:rsidRPr="00981405">
        <w:t xml:space="preserve"> </w:t>
      </w:r>
      <w:r w:rsidRPr="00981405">
        <w:t>account,</w:t>
      </w:r>
      <w:r w:rsidR="00190923" w:rsidRPr="00981405">
        <w:t xml:space="preserve"> </w:t>
      </w:r>
      <w:r w:rsidRPr="00981405">
        <w:t>where</w:t>
      </w:r>
      <w:r w:rsidR="00190923" w:rsidRPr="00981405">
        <w:t xml:space="preserve"> </w:t>
      </w:r>
      <w:r w:rsidRPr="00981405">
        <w:t>appropriate,</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as</w:t>
      </w:r>
      <w:r w:rsidR="00190923" w:rsidRPr="00981405">
        <w:t xml:space="preserve"> </w:t>
      </w:r>
      <w:r w:rsidRPr="00981405">
        <w:t>a</w:t>
      </w:r>
      <w:r w:rsidR="00190923" w:rsidRPr="00981405">
        <w:t xml:space="preserve"> </w:t>
      </w:r>
      <w:r w:rsidRPr="00981405">
        <w:t>principle</w:t>
      </w:r>
      <w:r w:rsidR="00190923" w:rsidRPr="00981405">
        <w:t xml:space="preserve"> </w:t>
      </w:r>
      <w:r w:rsidRPr="00981405">
        <w:t>of</w:t>
      </w:r>
      <w:r w:rsidR="00190923" w:rsidRPr="00981405">
        <w:t xml:space="preserve"> </w:t>
      </w:r>
      <w:r w:rsidRPr="00981405">
        <w:t>governance</w:t>
      </w:r>
      <w:r w:rsidR="00190923" w:rsidRPr="00981405">
        <w:t xml:space="preserve"> </w:t>
      </w:r>
      <w:r w:rsidRPr="00981405">
        <w:t>and</w:t>
      </w:r>
      <w:r w:rsidR="00190923" w:rsidRPr="00981405">
        <w:t xml:space="preserve"> </w:t>
      </w:r>
      <w:r w:rsidRPr="00981405">
        <w:t>the</w:t>
      </w:r>
      <w:r w:rsidR="00190923" w:rsidRPr="00981405">
        <w:t xml:space="preserve"> </w:t>
      </w:r>
      <w:r w:rsidRPr="00981405">
        <w:t>human</w:t>
      </w:r>
      <w:r w:rsidR="00190923" w:rsidRPr="00981405">
        <w:t xml:space="preserve"> </w:t>
      </w:r>
      <w:r w:rsidRPr="00981405">
        <w:t>rights</w:t>
      </w:r>
      <w:r w:rsidR="00190923" w:rsidRPr="00981405">
        <w:t xml:space="preserve"> </w:t>
      </w:r>
      <w:r w:rsidRPr="00981405">
        <w:t>that</w:t>
      </w:r>
      <w:r w:rsidR="00190923" w:rsidRPr="00981405">
        <w:t xml:space="preserve"> </w:t>
      </w:r>
      <w:r w:rsidRPr="00981405">
        <w:t>are</w:t>
      </w:r>
      <w:r w:rsidR="00190923" w:rsidRPr="00981405">
        <w:t xml:space="preserve"> </w:t>
      </w:r>
      <w:r w:rsidRPr="00981405">
        <w:t>fundamental</w:t>
      </w:r>
      <w:r w:rsidR="00190923" w:rsidRPr="00981405">
        <w:t xml:space="preserve"> </w:t>
      </w:r>
      <w:r w:rsidRPr="00981405">
        <w:t>to</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as</w:t>
      </w:r>
      <w:r w:rsidR="00190923" w:rsidRPr="00981405">
        <w:t xml:space="preserve"> </w:t>
      </w:r>
      <w:r w:rsidRPr="00981405">
        <w:t>reflected</w:t>
      </w:r>
      <w:r w:rsidR="00190923" w:rsidRPr="00981405">
        <w:t xml:space="preserve"> </w:t>
      </w:r>
      <w:r w:rsidRPr="00981405">
        <w:t>in</w:t>
      </w:r>
      <w:r w:rsidR="00190923" w:rsidRPr="00981405">
        <w:t xml:space="preserve"> </w:t>
      </w:r>
      <w:r w:rsidRPr="00981405">
        <w:t>the</w:t>
      </w:r>
      <w:r w:rsidR="00190923" w:rsidRPr="00981405">
        <w:t xml:space="preserve"> </w:t>
      </w:r>
      <w:r w:rsidRPr="00981405">
        <w:t>preamble</w:t>
      </w:r>
      <w:r w:rsidR="00190923" w:rsidRPr="00981405">
        <w:t xml:space="preserve"> </w:t>
      </w:r>
      <w:r w:rsidRPr="00981405">
        <w:t>and</w:t>
      </w:r>
      <w:r w:rsidR="00190923" w:rsidRPr="00981405">
        <w:t xml:space="preserve"> </w:t>
      </w:r>
      <w:r w:rsidRPr="00981405">
        <w:t>in</w:t>
      </w:r>
      <w:r w:rsidR="00190923" w:rsidRPr="00981405">
        <w:t xml:space="preserve"> </w:t>
      </w:r>
      <w:r w:rsidRPr="00981405">
        <w:t>Article</w:t>
      </w:r>
      <w:r w:rsidR="00190923" w:rsidRPr="00981405">
        <w:t xml:space="preserve"> </w:t>
      </w:r>
      <w:r w:rsidRPr="00981405">
        <w:t>13</w:t>
      </w:r>
      <w:r w:rsidR="00190923" w:rsidRPr="00981405">
        <w:t xml:space="preserve"> </w:t>
      </w:r>
      <w:r w:rsidRPr="00981405">
        <w:t>of</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Declaration</w:t>
      </w:r>
      <w:r w:rsidR="00190923" w:rsidRPr="00981405">
        <w:t xml:space="preserve"> </w:t>
      </w:r>
      <w:r w:rsidRPr="00981405">
        <w:t>of</w:t>
      </w:r>
      <w:r w:rsidR="00190923" w:rsidRPr="00981405">
        <w:t xml:space="preserve"> </w:t>
      </w:r>
      <w:r w:rsidRPr="00981405">
        <w:t>the</w:t>
      </w:r>
      <w:r w:rsidR="00190923" w:rsidRPr="00981405">
        <w:t xml:space="preserve"> </w:t>
      </w:r>
      <w:r w:rsidRPr="00981405">
        <w:t>High-level</w:t>
      </w:r>
      <w:r w:rsidR="00190923" w:rsidRPr="00981405">
        <w:t xml:space="preserve"> </w:t>
      </w:r>
      <w:r w:rsidRPr="00981405">
        <w:t>Meeting</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on</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at</w:t>
      </w:r>
      <w:r w:rsidR="00190923" w:rsidRPr="00981405">
        <w:t xml:space="preserve"> </w:t>
      </w:r>
      <w:r w:rsidRPr="00981405">
        <w:t>the</w:t>
      </w:r>
      <w:r w:rsidR="00190923" w:rsidRPr="00981405">
        <w:t xml:space="preserve"> </w:t>
      </w:r>
      <w:r w:rsidRPr="00981405">
        <w:t>National</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Levels.</w:t>
      </w:r>
      <w:r w:rsidRPr="00981405">
        <w:rPr>
          <w:rStyle w:val="FootnoteReference"/>
        </w:rPr>
        <w:footnoteReference w:id="398"/>
      </w:r>
      <w:r w:rsidR="00190923" w:rsidRPr="00981405">
        <w:t xml:space="preserve"> </w:t>
      </w:r>
    </w:p>
    <w:p w:rsidR="00397032" w:rsidRPr="00981405" w:rsidRDefault="00397032" w:rsidP="00D97463">
      <w:pPr>
        <w:pStyle w:val="SingleTxt"/>
      </w:pPr>
      <w:r w:rsidRPr="00981405">
        <w:t>292.</w:t>
      </w:r>
      <w:r w:rsidRPr="00981405">
        <w:tab/>
        <w:t>In</w:t>
      </w:r>
      <w:r w:rsidR="00190923" w:rsidRPr="00981405">
        <w:t xml:space="preserve"> </w:t>
      </w:r>
      <w:r w:rsidRPr="00981405">
        <w:t>its</w:t>
      </w:r>
      <w:r w:rsidR="00190923" w:rsidRPr="00981405">
        <w:t xml:space="preserve"> </w:t>
      </w:r>
      <w:r w:rsidRPr="00981405">
        <w:t>current</w:t>
      </w:r>
      <w:r w:rsidR="00190923" w:rsidRPr="00981405">
        <w:t xml:space="preserve"> </w:t>
      </w:r>
      <w:r w:rsidRPr="00981405">
        <w:t>work,</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aware</w:t>
      </w:r>
      <w:r w:rsidR="00190923" w:rsidRPr="00981405">
        <w:t xml:space="preserve"> </w:t>
      </w:r>
      <w:r w:rsidRPr="00981405">
        <w:t>of</w:t>
      </w:r>
      <w:r w:rsidR="00190923" w:rsidRPr="00981405">
        <w:t xml:space="preserve"> </w:t>
      </w:r>
      <w:r w:rsidR="00B92E2C" w:rsidRPr="00981405">
        <w:t>“</w:t>
      </w:r>
      <w:r w:rsidRPr="00981405">
        <w:t>the</w:t>
      </w:r>
      <w:r w:rsidR="00190923" w:rsidRPr="00981405">
        <w:t xml:space="preserve"> </w:t>
      </w:r>
      <w:r w:rsidRPr="00981405">
        <w:t>interrelationship</w:t>
      </w:r>
      <w:r w:rsidR="00190923" w:rsidRPr="00981405">
        <w:t xml:space="preserve"> </w:t>
      </w:r>
      <w:r w:rsidRPr="00981405">
        <w:t>between</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and</w:t>
      </w:r>
      <w:r w:rsidR="00190923" w:rsidRPr="00981405">
        <w:t xml:space="preserve"> </w:t>
      </w:r>
      <w:r w:rsidRPr="00981405">
        <w:t>the</w:t>
      </w:r>
      <w:r w:rsidR="00190923" w:rsidRPr="00981405">
        <w:t xml:space="preserve"> </w:t>
      </w:r>
      <w:r w:rsidRPr="00981405">
        <w:t>three</w:t>
      </w:r>
      <w:r w:rsidR="00190923" w:rsidRPr="00981405">
        <w:t xml:space="preserve"> </w:t>
      </w:r>
      <w:r w:rsidRPr="00981405">
        <w:t>pillars</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00190923" w:rsidRPr="00981405">
        <w:t xml:space="preserve"> </w:t>
      </w:r>
      <w:r w:rsidRPr="00981405">
        <w:t>development,</w:t>
      </w:r>
      <w:r w:rsidR="00190923" w:rsidRPr="00981405">
        <w:t xml:space="preserve"> </w:t>
      </w:r>
      <w:r w:rsidRPr="00981405">
        <w:t>and</w:t>
      </w:r>
      <w:r w:rsidR="00190923" w:rsidRPr="00981405">
        <w:t xml:space="preserve"> </w:t>
      </w:r>
      <w:r w:rsidRPr="00981405">
        <w:t>human</w:t>
      </w:r>
      <w:r w:rsidR="00190923" w:rsidRPr="00981405">
        <w:t xml:space="preserve"> </w:t>
      </w:r>
      <w:r w:rsidRPr="00981405">
        <w:t>rights)</w:t>
      </w:r>
      <w:r w:rsidR="00B92E2C" w:rsidRPr="00981405">
        <w:t>”</w:t>
      </w:r>
      <w:r w:rsidRPr="00981405">
        <w:t>,</w:t>
      </w:r>
      <w:r w:rsidRPr="00981405">
        <w:rPr>
          <w:rStyle w:val="FootnoteReference"/>
        </w:rPr>
        <w:footnoteReference w:id="399"/>
      </w:r>
      <w:r w:rsidR="00190923" w:rsidRPr="00981405">
        <w:t xml:space="preserve"> </w:t>
      </w:r>
      <w:r w:rsidRPr="00981405">
        <w:t>without</w:t>
      </w:r>
      <w:r w:rsidR="00190923" w:rsidRPr="00981405">
        <w:t xml:space="preserve"> </w:t>
      </w:r>
      <w:r w:rsidRPr="00981405">
        <w:t>emphasizing</w:t>
      </w:r>
      <w:r w:rsidR="00190923" w:rsidRPr="00981405">
        <w:t xml:space="preserve"> </w:t>
      </w:r>
      <w:r w:rsidRPr="00981405">
        <w:t>one</w:t>
      </w:r>
      <w:r w:rsidR="00190923" w:rsidRPr="00981405">
        <w:t xml:space="preserve"> </w:t>
      </w:r>
      <w:r w:rsidRPr="00981405">
        <w:t>at</w:t>
      </w:r>
      <w:r w:rsidR="00190923" w:rsidRPr="00981405">
        <w:t xml:space="preserve"> </w:t>
      </w:r>
      <w:r w:rsidRPr="00981405">
        <w:t>the</w:t>
      </w:r>
      <w:r w:rsidR="00190923" w:rsidRPr="00981405">
        <w:t xml:space="preserve"> </w:t>
      </w:r>
      <w:r w:rsidRPr="00981405">
        <w:t>expense</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In</w:t>
      </w:r>
      <w:r w:rsidR="00190923" w:rsidRPr="00981405">
        <w:t xml:space="preserve"> </w:t>
      </w:r>
      <w:r w:rsidRPr="00981405">
        <w:t>fulfilling</w:t>
      </w:r>
      <w:r w:rsidR="00190923" w:rsidRPr="00981405">
        <w:t xml:space="preserve"> </w:t>
      </w:r>
      <w:r w:rsidRPr="00981405">
        <w:t>its</w:t>
      </w:r>
      <w:r w:rsidR="00190923" w:rsidRPr="00981405">
        <w:t xml:space="preserve"> </w:t>
      </w:r>
      <w:r w:rsidRPr="00981405">
        <w:t>mandate</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and</w:t>
      </w:r>
      <w:r w:rsidR="00190923" w:rsidRPr="00981405">
        <w:t xml:space="preserve"> </w:t>
      </w:r>
      <w:r w:rsidRPr="00981405">
        <w:t>codification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conscious</w:t>
      </w:r>
      <w:r w:rsidR="00190923" w:rsidRPr="00981405">
        <w:t xml:space="preserve"> </w:t>
      </w:r>
      <w:r w:rsidRPr="00981405">
        <w:t>of</w:t>
      </w:r>
      <w:r w:rsidR="00190923" w:rsidRPr="00981405">
        <w:t xml:space="preserve"> </w:t>
      </w:r>
      <w:r w:rsidRPr="00981405">
        <w:t>current</w:t>
      </w:r>
      <w:r w:rsidR="00190923" w:rsidRPr="00981405">
        <w:t xml:space="preserve"> </w:t>
      </w:r>
      <w:r w:rsidRPr="00981405">
        <w:t>challenges</w:t>
      </w:r>
      <w:r w:rsidR="00190923" w:rsidRPr="00981405">
        <w:t xml:space="preserve"> </w:t>
      </w:r>
      <w:r w:rsidRPr="00981405">
        <w:t>for</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p>
    <w:p w:rsidR="00397032" w:rsidRPr="00981405" w:rsidRDefault="00397032" w:rsidP="00D97463">
      <w:pPr>
        <w:pStyle w:val="SingleTxt"/>
      </w:pPr>
      <w:r w:rsidRPr="00981405">
        <w:t>293.</w:t>
      </w:r>
      <w:r w:rsidRPr="00981405">
        <w:tab/>
        <w:t>In</w:t>
      </w:r>
      <w:r w:rsidR="00190923" w:rsidRPr="00981405">
        <w:t xml:space="preserve"> </w:t>
      </w:r>
      <w:r w:rsidRPr="00981405">
        <w:t>the</w:t>
      </w:r>
      <w:r w:rsidR="00190923" w:rsidRPr="00981405">
        <w:t xml:space="preserve"> </w:t>
      </w:r>
      <w:r w:rsidRPr="00981405">
        <w:t>course</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continued</w:t>
      </w:r>
      <w:r w:rsidR="00190923" w:rsidRPr="00981405">
        <w:t xml:space="preserve"> </w:t>
      </w:r>
      <w:r w:rsidRPr="00981405">
        <w:t>to</w:t>
      </w:r>
      <w:r w:rsidR="00190923" w:rsidRPr="00981405">
        <w:t xml:space="preserve"> </w:t>
      </w:r>
      <w:r w:rsidRPr="00981405">
        <w:t>make</w:t>
      </w:r>
      <w:r w:rsidR="00190923" w:rsidRPr="00981405">
        <w:t xml:space="preserve"> </w:t>
      </w:r>
      <w:r w:rsidRPr="00981405">
        <w:t>its</w:t>
      </w:r>
      <w:r w:rsidR="00190923" w:rsidRPr="00981405">
        <w:t xml:space="preserve"> </w:t>
      </w:r>
      <w:r w:rsidRPr="00981405">
        <w:t>contribution</w:t>
      </w:r>
      <w:r w:rsidR="00190923" w:rsidRPr="00981405">
        <w:t xml:space="preserve"> </w:t>
      </w:r>
      <w:r w:rsidRPr="00981405">
        <w:t>to</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including</w:t>
      </w:r>
      <w:r w:rsidR="00190923" w:rsidRPr="00981405">
        <w:t xml:space="preserve"> </w:t>
      </w:r>
      <w:r w:rsidRPr="00981405">
        <w:t>by</w:t>
      </w:r>
      <w:r w:rsidR="00190923" w:rsidRPr="00981405">
        <w:t xml:space="preserve"> </w:t>
      </w:r>
      <w:r w:rsidRPr="00981405">
        <w:t>working</w:t>
      </w:r>
      <w:r w:rsidR="00190923" w:rsidRPr="00981405">
        <w:t xml:space="preserve"> </w:t>
      </w:r>
      <w:r w:rsidRPr="00981405">
        <w:t>on</w:t>
      </w:r>
      <w:r w:rsidR="00190923" w:rsidRPr="00981405">
        <w:t xml:space="preserve"> </w:t>
      </w:r>
      <w:r w:rsidRPr="00981405">
        <w:t>the</w:t>
      </w:r>
      <w:r w:rsidR="00190923" w:rsidRPr="00981405">
        <w:t xml:space="preserve"> </w:t>
      </w:r>
      <w:r w:rsidRPr="00981405">
        <w:t>topics</w:t>
      </w:r>
      <w:r w:rsidR="00190923" w:rsidRPr="00981405">
        <w:t xml:space="preserve"> </w:t>
      </w:r>
      <w:r w:rsidR="00B92E2C" w:rsidRPr="00981405">
        <w:t>“</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B92E2C" w:rsidRPr="00981405">
        <w:t>”</w:t>
      </w:r>
      <w:r w:rsidRPr="00981405">
        <w:t>,</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Pr="00981405">
        <w:t>,</w:t>
      </w:r>
      <w:r w:rsidR="00190923" w:rsidRPr="00981405">
        <w:t xml:space="preserve"> </w:t>
      </w:r>
      <w:r w:rsidR="00B92E2C" w:rsidRPr="00981405">
        <w:t>“</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t>,</w:t>
      </w:r>
      <w:r w:rsidR="00190923" w:rsidRPr="00981405">
        <w:t xml:space="preserve"> </w:t>
      </w:r>
      <w:r w:rsidR="00B92E2C" w:rsidRPr="00981405">
        <w:t>“</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B92E2C" w:rsidRPr="00981405">
        <w:t>”</w:t>
      </w:r>
      <w:r w:rsidRPr="00981405">
        <w:t>,</w:t>
      </w:r>
      <w:r w:rsidR="00190923" w:rsidRPr="00981405">
        <w:t xml:space="preserve"> </w:t>
      </w:r>
      <w:r w:rsidR="00B92E2C" w:rsidRPr="00981405">
        <w:t>“</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environment</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armed</w:t>
      </w:r>
      <w:r w:rsidR="00190923" w:rsidRPr="00981405">
        <w:t xml:space="preserve"> </w:t>
      </w:r>
      <w:r w:rsidRPr="00981405">
        <w:t>conflicts</w:t>
      </w:r>
      <w:r w:rsidR="00B92E2C" w:rsidRPr="00981405">
        <w:t>”</w:t>
      </w:r>
      <w:r w:rsidRPr="00981405">
        <w:t>,</w:t>
      </w:r>
      <w:r w:rsidR="00190923" w:rsidRPr="00981405">
        <w:t xml:space="preserve"> </w:t>
      </w:r>
      <w:r w:rsidR="00B92E2C" w:rsidRPr="00981405">
        <w:t>“</w:t>
      </w:r>
      <w:r w:rsidRPr="00981405">
        <w:t>The</w:t>
      </w:r>
      <w:r w:rsidR="00190923" w:rsidRPr="00981405">
        <w:t xml:space="preserve"> </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B92E2C" w:rsidRPr="00981405">
        <w:t>”</w:t>
      </w:r>
      <w:r w:rsidRPr="00981405">
        <w:t>,</w:t>
      </w:r>
      <w:r w:rsidR="00190923" w:rsidRPr="00981405">
        <w:t xml:space="preserve"> </w:t>
      </w:r>
      <w:r w:rsidR="00B92E2C" w:rsidRPr="00981405">
        <w:t>“</w:t>
      </w:r>
      <w:r w:rsidRPr="00981405">
        <w:t>Provisional</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B92E2C" w:rsidRPr="00981405">
        <w:t>”</w:t>
      </w:r>
      <w:r w:rsidR="00190923" w:rsidRPr="00981405">
        <w:t xml:space="preserve"> </w:t>
      </w:r>
      <w:r w:rsidRPr="00981405">
        <w:t>and</w:t>
      </w:r>
      <w:r w:rsidR="00190923" w:rsidRPr="00981405">
        <w:t xml:space="preserve"> </w:t>
      </w:r>
      <w:r w:rsidR="00B92E2C" w:rsidRPr="00981405">
        <w:t>“</w:t>
      </w:r>
      <w:r w:rsidRPr="00981405">
        <w:t>The</w:t>
      </w:r>
      <w:r w:rsidR="00190923" w:rsidRPr="00981405">
        <w:t xml:space="preserve"> </w:t>
      </w:r>
      <w:r w:rsidRPr="00981405">
        <w:t>Most-Favoured-Nation</w:t>
      </w:r>
      <w:r w:rsidR="00190923" w:rsidRPr="00981405">
        <w:t xml:space="preserve"> </w:t>
      </w:r>
      <w:r w:rsidRPr="00981405">
        <w:t>clause</w:t>
      </w:r>
      <w:r w:rsidR="00B92E2C" w:rsidRPr="00981405">
        <w:t>”</w:t>
      </w:r>
      <w:r w:rsidRPr="00981405">
        <w:t>.</w:t>
      </w:r>
      <w:r w:rsidR="00190923" w:rsidRPr="00981405">
        <w:t xml:space="preserve"> </w:t>
      </w:r>
      <w:r w:rsidRPr="00981405">
        <w:t>In</w:t>
      </w:r>
      <w:r w:rsidR="00190923" w:rsidRPr="00981405">
        <w:t xml:space="preserve"> </w:t>
      </w:r>
      <w:r w:rsidRPr="00981405">
        <w:t>addition,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has</w:t>
      </w:r>
      <w:r w:rsidR="00190923" w:rsidRPr="00981405">
        <w:t xml:space="preserve"> </w:t>
      </w:r>
      <w:r w:rsidRPr="00981405">
        <w:t>appointed</w:t>
      </w:r>
      <w:r w:rsidR="00190923" w:rsidRPr="00981405">
        <w:t xml:space="preserve"> </w:t>
      </w:r>
      <w:r w:rsidRPr="00981405">
        <w:t>a</w:t>
      </w:r>
      <w:r w:rsidR="00190923" w:rsidRPr="00981405">
        <w:t xml:space="preserve"> </w:t>
      </w:r>
      <w:r w:rsidRPr="00981405">
        <w:t>Special</w:t>
      </w:r>
      <w:r w:rsidR="00190923" w:rsidRPr="00981405">
        <w:t xml:space="preserve"> </w:t>
      </w:r>
      <w:r w:rsidRPr="00981405">
        <w:t>Rapporteur</w:t>
      </w:r>
      <w:r w:rsidR="00190923" w:rsidRPr="00981405">
        <w:t xml:space="preserve"> </w:t>
      </w:r>
      <w:r w:rsidRPr="00981405">
        <w:t>for</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i/>
          <w:iCs/>
        </w:rPr>
        <w:t>Jus</w:t>
      </w:r>
      <w:r w:rsidR="00190923" w:rsidRPr="00981405">
        <w:rPr>
          <w:i/>
          <w:iCs/>
        </w:rPr>
        <w:t xml:space="preserve"> </w:t>
      </w:r>
      <w:r w:rsidRPr="00D97463">
        <w:rPr>
          <w:i/>
          <w:iCs/>
        </w:rPr>
        <w:t>cogens</w:t>
      </w:r>
      <w:r w:rsidR="00B92E2C" w:rsidRPr="00981405">
        <w:t>”</w:t>
      </w:r>
      <w:r w:rsidRPr="00981405">
        <w:t>.</w:t>
      </w:r>
      <w:r w:rsidR="00B92E2C" w:rsidRPr="00981405">
        <w:t xml:space="preserve"> </w:t>
      </w:r>
    </w:p>
    <w:p w:rsidR="00397032" w:rsidRPr="00981405" w:rsidRDefault="00397032" w:rsidP="00D97463">
      <w:pPr>
        <w:pStyle w:val="SingleTxt"/>
      </w:pPr>
      <w:r w:rsidRPr="00981405">
        <w:t>294.</w:t>
      </w:r>
      <w:r w:rsidRPr="00981405">
        <w:tab/>
        <w:t>The</w:t>
      </w:r>
      <w:r w:rsidR="00190923" w:rsidRPr="00981405">
        <w:t xml:space="preserve"> </w:t>
      </w:r>
      <w:r w:rsidRPr="00981405">
        <w:t>Commission</w:t>
      </w:r>
      <w:r w:rsidR="00190923" w:rsidRPr="00981405">
        <w:t xml:space="preserve"> </w:t>
      </w:r>
      <w:r w:rsidRPr="00981405">
        <w:t>notes</w:t>
      </w:r>
      <w:r w:rsidR="00190923" w:rsidRPr="00981405">
        <w:t xml:space="preserve"> </w:t>
      </w:r>
      <w:r w:rsidRPr="00981405">
        <w:t>that</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has</w:t>
      </w:r>
      <w:r w:rsidR="00190923" w:rsidRPr="00981405">
        <w:t xml:space="preserve"> </w:t>
      </w:r>
      <w:r w:rsidRPr="00981405">
        <w:t>invited</w:t>
      </w:r>
      <w:r w:rsidR="00190923" w:rsidRPr="00981405">
        <w:t xml:space="preserve"> </w:t>
      </w:r>
      <w:r w:rsidRPr="00981405">
        <w:t>Member</w:t>
      </w:r>
      <w:r w:rsidR="00190923" w:rsidRPr="00981405">
        <w:t xml:space="preserve"> </w:t>
      </w:r>
      <w:r w:rsidRPr="00981405">
        <w:t>States</w:t>
      </w:r>
      <w:r w:rsidR="00190923" w:rsidRPr="00981405">
        <w:t xml:space="preserve"> </w:t>
      </w:r>
      <w:r w:rsidRPr="00981405">
        <w:t>to</w:t>
      </w:r>
      <w:r w:rsidR="00190923" w:rsidRPr="00981405">
        <w:t xml:space="preserve"> </w:t>
      </w:r>
      <w:r w:rsidRPr="00981405">
        <w:t>comment</w:t>
      </w:r>
      <w:r w:rsidR="00190923" w:rsidRPr="00981405">
        <w:t xml:space="preserve"> </w:t>
      </w:r>
      <w:r w:rsidRPr="00981405">
        <w:t>in</w:t>
      </w:r>
      <w:r w:rsidR="00190923" w:rsidRPr="00981405">
        <w:t xml:space="preserve"> </w:t>
      </w:r>
      <w:r w:rsidRPr="00981405">
        <w:t>particular</w:t>
      </w:r>
      <w:r w:rsidR="00190923" w:rsidRPr="00981405">
        <w:t xml:space="preserve"> </w:t>
      </w:r>
      <w:r w:rsidRPr="00981405">
        <w:t>on</w:t>
      </w:r>
      <w:r w:rsidR="00190923" w:rsidRPr="00981405">
        <w:t xml:space="preserve"> </w:t>
      </w:r>
      <w:r w:rsidR="00B92E2C" w:rsidRPr="00981405">
        <w:t>“</w:t>
      </w:r>
      <w:r w:rsidRPr="00981405">
        <w:t>The</w:t>
      </w:r>
      <w:r w:rsidR="00190923" w:rsidRPr="00981405">
        <w:t xml:space="preserve"> </w:t>
      </w:r>
      <w:r w:rsidRPr="00981405">
        <w:t>role</w:t>
      </w:r>
      <w:r w:rsidR="00190923" w:rsidRPr="00981405">
        <w:t xml:space="preserve"> </w:t>
      </w:r>
      <w:r w:rsidRPr="00981405">
        <w:t>of</w:t>
      </w:r>
      <w:r w:rsidR="00190923" w:rsidRPr="00981405">
        <w:t xml:space="preserve"> </w:t>
      </w:r>
      <w:r w:rsidRPr="00981405">
        <w:t>multilateral</w:t>
      </w:r>
      <w:r w:rsidR="00190923" w:rsidRPr="00981405">
        <w:t xml:space="preserve"> </w:t>
      </w:r>
      <w:r w:rsidRPr="00981405">
        <w:t>treaty</w:t>
      </w:r>
      <w:r w:rsidR="00190923" w:rsidRPr="00981405">
        <w:t xml:space="preserve"> </w:t>
      </w:r>
      <w:r w:rsidRPr="00981405">
        <w:t>processes</w:t>
      </w:r>
      <w:r w:rsidR="00190923" w:rsidRPr="00981405">
        <w:t xml:space="preserve"> </w:t>
      </w:r>
      <w:r w:rsidRPr="00981405">
        <w:t>in</w:t>
      </w:r>
      <w:r w:rsidR="00190923" w:rsidRPr="00981405">
        <w:t xml:space="preserve"> </w:t>
      </w:r>
      <w:r w:rsidRPr="00981405">
        <w:t>promoting</w:t>
      </w:r>
      <w:r w:rsidR="00190923" w:rsidRPr="00981405">
        <w:t xml:space="preserve"> </w:t>
      </w:r>
      <w:r w:rsidRPr="00981405">
        <w:t>and</w:t>
      </w:r>
      <w:r w:rsidR="00190923" w:rsidRPr="00981405">
        <w:t xml:space="preserve"> </w:t>
      </w:r>
      <w:r w:rsidRPr="00981405">
        <w:t>advancing</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B92E2C" w:rsidRPr="00981405">
        <w:t>”</w:t>
      </w:r>
      <w:r w:rsidRPr="00981405">
        <w:t>.</w:t>
      </w:r>
      <w:r w:rsidRPr="00981405">
        <w:rPr>
          <w:rStyle w:val="FootnoteReference"/>
        </w:rPr>
        <w:footnoteReference w:id="400"/>
      </w:r>
      <w:r w:rsidR="00190923" w:rsidRPr="00981405">
        <w:t xml:space="preserve"> </w:t>
      </w:r>
      <w:r w:rsidRPr="00981405">
        <w:t>The</w:t>
      </w:r>
      <w:r w:rsidR="00190923" w:rsidRPr="00981405">
        <w:t xml:space="preserve"> </w:t>
      </w:r>
      <w:r w:rsidRPr="00981405">
        <w:t>Commission</w:t>
      </w:r>
      <w:r w:rsidR="00190923" w:rsidRPr="00981405">
        <w:t xml:space="preserve"> </w:t>
      </w:r>
      <w:r w:rsidRPr="00981405">
        <w:t>wishes</w:t>
      </w:r>
      <w:r w:rsidR="00190923" w:rsidRPr="00981405">
        <w:t xml:space="preserve"> </w:t>
      </w:r>
      <w:r w:rsidRPr="00981405">
        <w:t>to</w:t>
      </w:r>
      <w:r w:rsidR="00190923" w:rsidRPr="00981405">
        <w:t xml:space="preserve"> </w:t>
      </w:r>
      <w:r w:rsidRPr="00981405">
        <w:t>recall</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different</w:t>
      </w:r>
      <w:r w:rsidR="00190923" w:rsidRPr="00981405">
        <w:t xml:space="preserve"> </w:t>
      </w:r>
      <w:r w:rsidRPr="00981405">
        <w:t>topics</w:t>
      </w:r>
      <w:r w:rsidR="00190923" w:rsidRPr="00981405">
        <w:t xml:space="preserve"> </w:t>
      </w:r>
      <w:r w:rsidRPr="00981405">
        <w:t>which,</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proposals</w:t>
      </w:r>
      <w:r w:rsidR="00190923" w:rsidRPr="00981405">
        <w:t xml:space="preserve"> </w:t>
      </w:r>
      <w:r w:rsidRPr="00981405">
        <w:t>under</w:t>
      </w:r>
      <w:r w:rsidR="00190923" w:rsidRPr="00981405">
        <w:t xml:space="preserve"> </w:t>
      </w:r>
      <w:r w:rsidRPr="00981405">
        <w:t>articles</w:t>
      </w:r>
      <w:r w:rsidR="00190923" w:rsidRPr="00981405">
        <w:t xml:space="preserve"> </w:t>
      </w:r>
      <w:r w:rsidRPr="00981405">
        <w:t>16</w:t>
      </w:r>
      <w:r w:rsidR="00190923" w:rsidRPr="00981405">
        <w:t xml:space="preserve"> </w:t>
      </w:r>
      <w:r w:rsidRPr="00981405">
        <w:t>and</w:t>
      </w:r>
      <w:r w:rsidR="00190923" w:rsidRPr="00981405">
        <w:t xml:space="preserve"> </w:t>
      </w:r>
      <w:r w:rsidRPr="00981405">
        <w:t>23</w:t>
      </w:r>
      <w:r w:rsidR="00190923" w:rsidRPr="00981405">
        <w:t xml:space="preserve"> </w:t>
      </w:r>
      <w:r w:rsidRPr="00981405">
        <w:t>of</w:t>
      </w:r>
      <w:r w:rsidR="00190923" w:rsidRPr="00981405">
        <w:t xml:space="preserve"> </w:t>
      </w:r>
      <w:r w:rsidRPr="00981405">
        <w:t>its</w:t>
      </w:r>
      <w:r w:rsidR="00190923" w:rsidRPr="00981405">
        <w:t xml:space="preserve"> </w:t>
      </w:r>
      <w:r w:rsidRPr="00981405">
        <w:t>Statute,</w:t>
      </w:r>
      <w:r w:rsidR="00190923" w:rsidRPr="00981405">
        <w:t xml:space="preserve"> </w:t>
      </w:r>
      <w:r w:rsidRPr="00981405">
        <w:t>have</w:t>
      </w:r>
      <w:r w:rsidR="00190923" w:rsidRPr="00981405">
        <w:t xml:space="preserve"> </w:t>
      </w:r>
      <w:r w:rsidRPr="00981405">
        <w:t>become</w:t>
      </w:r>
      <w:r w:rsidR="00190923" w:rsidRPr="00981405">
        <w:t xml:space="preserve"> </w:t>
      </w:r>
      <w:r w:rsidRPr="00981405">
        <w:t>subject</w:t>
      </w:r>
      <w:r w:rsidR="00190923" w:rsidRPr="00981405">
        <w:t xml:space="preserve"> </w:t>
      </w:r>
      <w:r w:rsidRPr="00981405">
        <w:t>to</w:t>
      </w:r>
      <w:r w:rsidR="00190923" w:rsidRPr="00981405">
        <w:t xml:space="preserve"> </w:t>
      </w:r>
      <w:r w:rsidRPr="00981405">
        <w:t>multilateral</w:t>
      </w:r>
      <w:r w:rsidR="00190923" w:rsidRPr="00981405">
        <w:t xml:space="preserve"> </w:t>
      </w:r>
      <w:r w:rsidRPr="00981405">
        <w:t>treaty</w:t>
      </w:r>
      <w:r w:rsidR="00190923" w:rsidRPr="00981405">
        <w:t xml:space="preserve"> </w:t>
      </w:r>
      <w:r w:rsidRPr="00981405">
        <w:t>processes,</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D97463">
        <w:rPr>
          <w:i/>
          <w:iCs/>
        </w:rPr>
        <w:t>Draft</w:t>
      </w:r>
      <w:r w:rsidR="00190923" w:rsidRPr="00D97463">
        <w:rPr>
          <w:i/>
          <w:iCs/>
        </w:rPr>
        <w:t xml:space="preserve"> </w:t>
      </w:r>
      <w:r w:rsidRPr="00D97463">
        <w:rPr>
          <w:i/>
          <w:iCs/>
        </w:rPr>
        <w:t>Articles</w:t>
      </w:r>
      <w:r w:rsidR="00190923" w:rsidRPr="00D97463">
        <w:rPr>
          <w:i/>
          <w:iCs/>
        </w:rPr>
        <w:t xml:space="preserve"> </w:t>
      </w:r>
      <w:r w:rsidRPr="00D97463">
        <w:rPr>
          <w:i/>
          <w:iCs/>
        </w:rPr>
        <w:t>on</w:t>
      </w:r>
      <w:r w:rsidR="00190923" w:rsidRPr="00D97463">
        <w:rPr>
          <w:i/>
          <w:iCs/>
        </w:rPr>
        <w:t xml:space="preserve"> </w:t>
      </w:r>
      <w:r w:rsidRPr="00D97463">
        <w:rPr>
          <w:i/>
          <w:iCs/>
        </w:rPr>
        <w:t>Jurisdictional</w:t>
      </w:r>
      <w:r w:rsidR="00190923" w:rsidRPr="00D97463">
        <w:rPr>
          <w:i/>
          <w:iCs/>
        </w:rPr>
        <w:t xml:space="preserve"> </w:t>
      </w:r>
      <w:r w:rsidRPr="00D97463">
        <w:rPr>
          <w:i/>
          <w:iCs/>
        </w:rPr>
        <w:t>Immunities</w:t>
      </w:r>
      <w:r w:rsidR="00190923" w:rsidRPr="00D97463">
        <w:rPr>
          <w:i/>
          <w:iCs/>
        </w:rPr>
        <w:t xml:space="preserve"> </w:t>
      </w:r>
      <w:r w:rsidRPr="00D97463">
        <w:rPr>
          <w:i/>
          <w:iCs/>
        </w:rPr>
        <w:t>of</w:t>
      </w:r>
      <w:r w:rsidR="00190923" w:rsidRPr="00D97463">
        <w:rPr>
          <w:i/>
          <w:iCs/>
        </w:rPr>
        <w:t xml:space="preserve"> </w:t>
      </w:r>
      <w:r w:rsidRPr="00D97463">
        <w:rPr>
          <w:i/>
          <w:iCs/>
        </w:rPr>
        <w:t>States</w:t>
      </w:r>
      <w:r w:rsidR="00190923" w:rsidRPr="00D97463">
        <w:rPr>
          <w:i/>
          <w:iCs/>
        </w:rPr>
        <w:t xml:space="preserve"> </w:t>
      </w:r>
      <w:r w:rsidRPr="00D97463">
        <w:rPr>
          <w:i/>
          <w:iCs/>
        </w:rPr>
        <w:t>and</w:t>
      </w:r>
      <w:r w:rsidR="00190923" w:rsidRPr="00D97463">
        <w:rPr>
          <w:i/>
          <w:iCs/>
        </w:rPr>
        <w:t xml:space="preserve"> </w:t>
      </w:r>
      <w:r w:rsidRPr="00D97463">
        <w:rPr>
          <w:i/>
          <w:iCs/>
        </w:rPr>
        <w:t>Their</w:t>
      </w:r>
      <w:r w:rsidR="00190923" w:rsidRPr="00D97463">
        <w:rPr>
          <w:i/>
          <w:iCs/>
        </w:rPr>
        <w:t xml:space="preserve"> </w:t>
      </w:r>
      <w:r w:rsidRPr="00D97463">
        <w:rPr>
          <w:i/>
          <w:iCs/>
        </w:rPr>
        <w:t>Property,</w:t>
      </w:r>
      <w:r w:rsidR="00190923" w:rsidRPr="00D97463">
        <w:rPr>
          <w:i/>
          <w:iCs/>
        </w:rPr>
        <w:t xml:space="preserve"> </w:t>
      </w:r>
      <w:r w:rsidRPr="00D97463">
        <w:rPr>
          <w:i/>
          <w:iCs/>
        </w:rPr>
        <w:t>2001</w:t>
      </w:r>
      <w:r w:rsidRPr="00981405">
        <w:t>,</w:t>
      </w:r>
      <w:r w:rsidR="00190923" w:rsidRPr="00981405">
        <w:t xml:space="preserve"> </w:t>
      </w:r>
      <w:r w:rsidRPr="00981405">
        <w:t>the</w:t>
      </w:r>
      <w:r w:rsidR="00190923" w:rsidRPr="00981405">
        <w:t xml:space="preserve"> </w:t>
      </w:r>
      <w:r w:rsidRPr="00D97463">
        <w:rPr>
          <w:i/>
          <w:iCs/>
        </w:rPr>
        <w:t>Draft</w:t>
      </w:r>
      <w:r w:rsidR="00190923" w:rsidRPr="00D97463">
        <w:rPr>
          <w:i/>
          <w:iCs/>
        </w:rPr>
        <w:t xml:space="preserve"> </w:t>
      </w:r>
      <w:r w:rsidRPr="00D97463">
        <w:rPr>
          <w:i/>
          <w:iCs/>
        </w:rPr>
        <w:t>Code</w:t>
      </w:r>
      <w:r w:rsidR="00190923" w:rsidRPr="00D97463">
        <w:rPr>
          <w:i/>
          <w:iCs/>
        </w:rPr>
        <w:t xml:space="preserve"> </w:t>
      </w:r>
      <w:r w:rsidRPr="00D97463">
        <w:rPr>
          <w:i/>
          <w:iCs/>
        </w:rPr>
        <w:t>of</w:t>
      </w:r>
      <w:r w:rsidR="00190923" w:rsidRPr="00D97463">
        <w:rPr>
          <w:i/>
          <w:iCs/>
        </w:rPr>
        <w:t xml:space="preserve"> </w:t>
      </w:r>
      <w:r w:rsidRPr="00D97463">
        <w:rPr>
          <w:i/>
          <w:iCs/>
        </w:rPr>
        <w:t>Crimes</w:t>
      </w:r>
      <w:r w:rsidR="00190923" w:rsidRPr="00D97463">
        <w:rPr>
          <w:i/>
          <w:iCs/>
        </w:rPr>
        <w:t xml:space="preserve"> </w:t>
      </w:r>
      <w:r w:rsidRPr="00D97463">
        <w:rPr>
          <w:i/>
          <w:iCs/>
        </w:rPr>
        <w:t>against</w:t>
      </w:r>
      <w:r w:rsidR="00190923" w:rsidRPr="00D97463">
        <w:rPr>
          <w:i/>
          <w:iCs/>
        </w:rPr>
        <w:t xml:space="preserve"> </w:t>
      </w:r>
      <w:r w:rsidRPr="00D97463">
        <w:rPr>
          <w:i/>
          <w:iCs/>
        </w:rPr>
        <w:t>the</w:t>
      </w:r>
      <w:r w:rsidR="00190923" w:rsidRPr="00D97463">
        <w:rPr>
          <w:i/>
          <w:iCs/>
        </w:rPr>
        <w:t xml:space="preserve"> </w:t>
      </w:r>
      <w:r w:rsidRPr="00D97463">
        <w:rPr>
          <w:i/>
          <w:iCs/>
        </w:rPr>
        <w:t>Peace</w:t>
      </w:r>
      <w:r w:rsidR="00190923" w:rsidRPr="00D97463">
        <w:rPr>
          <w:i/>
          <w:iCs/>
        </w:rPr>
        <w:t xml:space="preserve"> </w:t>
      </w:r>
      <w:r w:rsidRPr="00D97463">
        <w:rPr>
          <w:i/>
          <w:iCs/>
        </w:rPr>
        <w:t>and</w:t>
      </w:r>
      <w:r w:rsidR="00190923" w:rsidRPr="00D97463">
        <w:rPr>
          <w:i/>
          <w:iCs/>
        </w:rPr>
        <w:t xml:space="preserve"> </w:t>
      </w:r>
      <w:r w:rsidRPr="00D97463">
        <w:rPr>
          <w:i/>
          <w:iCs/>
        </w:rPr>
        <w:t>Security</w:t>
      </w:r>
      <w:r w:rsidR="00190923" w:rsidRPr="00D97463">
        <w:rPr>
          <w:i/>
          <w:iCs/>
        </w:rPr>
        <w:t xml:space="preserve"> </w:t>
      </w:r>
      <w:r w:rsidRPr="00D97463">
        <w:rPr>
          <w:i/>
          <w:iCs/>
        </w:rPr>
        <w:t>of</w:t>
      </w:r>
      <w:r w:rsidR="00190923" w:rsidRPr="00D97463">
        <w:rPr>
          <w:i/>
          <w:iCs/>
        </w:rPr>
        <w:t xml:space="preserve"> </w:t>
      </w:r>
      <w:r w:rsidRPr="00D97463">
        <w:rPr>
          <w:i/>
          <w:iCs/>
        </w:rPr>
        <w:t>Mankind,</w:t>
      </w:r>
      <w:r w:rsidR="00190923" w:rsidRPr="00D97463">
        <w:rPr>
          <w:i/>
          <w:iCs/>
        </w:rPr>
        <w:t xml:space="preserve"> </w:t>
      </w:r>
      <w:r w:rsidRPr="00D97463">
        <w:rPr>
          <w:i/>
          <w:iCs/>
        </w:rPr>
        <w:t>1996</w:t>
      </w:r>
      <w:r w:rsidRPr="00981405">
        <w:t>,</w:t>
      </w:r>
      <w:r w:rsidR="00190923" w:rsidRPr="00981405">
        <w:t xml:space="preserve"> </w:t>
      </w:r>
      <w:r w:rsidRPr="00981405">
        <w:t>the</w:t>
      </w:r>
      <w:r w:rsidR="00190923" w:rsidRPr="00981405">
        <w:t xml:space="preserve"> </w:t>
      </w:r>
      <w:r w:rsidRPr="00D97463">
        <w:rPr>
          <w:i/>
          <w:iCs/>
        </w:rPr>
        <w:t>Draft</w:t>
      </w:r>
      <w:r w:rsidR="00190923" w:rsidRPr="00D97463">
        <w:rPr>
          <w:i/>
          <w:iCs/>
        </w:rPr>
        <w:t xml:space="preserve"> </w:t>
      </w:r>
      <w:r w:rsidRPr="00D97463">
        <w:rPr>
          <w:i/>
          <w:iCs/>
        </w:rPr>
        <w:t>Statute</w:t>
      </w:r>
      <w:r w:rsidR="00190923" w:rsidRPr="00D97463">
        <w:rPr>
          <w:i/>
          <w:iCs/>
        </w:rPr>
        <w:t xml:space="preserve"> </w:t>
      </w:r>
      <w:r w:rsidRPr="00D97463">
        <w:rPr>
          <w:i/>
          <w:iCs/>
        </w:rPr>
        <w:t>for</w:t>
      </w:r>
      <w:r w:rsidR="00190923" w:rsidRPr="00D97463">
        <w:rPr>
          <w:i/>
          <w:iCs/>
        </w:rPr>
        <w:t xml:space="preserve"> </w:t>
      </w:r>
      <w:r w:rsidRPr="00D97463">
        <w:rPr>
          <w:i/>
          <w:iCs/>
        </w:rPr>
        <w:t>an</w:t>
      </w:r>
      <w:r w:rsidR="00190923" w:rsidRPr="00D97463">
        <w:rPr>
          <w:i/>
          <w:iCs/>
        </w:rPr>
        <w:t xml:space="preserve"> </w:t>
      </w:r>
      <w:r w:rsidRPr="00D97463">
        <w:rPr>
          <w:i/>
          <w:iCs/>
        </w:rPr>
        <w:t>International</w:t>
      </w:r>
      <w:r w:rsidR="00190923" w:rsidRPr="00D97463">
        <w:rPr>
          <w:i/>
          <w:iCs/>
        </w:rPr>
        <w:t xml:space="preserve"> </w:t>
      </w:r>
      <w:r w:rsidRPr="00D97463">
        <w:rPr>
          <w:i/>
          <w:iCs/>
        </w:rPr>
        <w:t>Criminal</w:t>
      </w:r>
      <w:r w:rsidR="00190923" w:rsidRPr="00D97463">
        <w:rPr>
          <w:i/>
          <w:iCs/>
        </w:rPr>
        <w:t xml:space="preserve"> </w:t>
      </w:r>
      <w:r w:rsidRPr="00D97463">
        <w:rPr>
          <w:i/>
          <w:iCs/>
        </w:rPr>
        <w:t>Court,</w:t>
      </w:r>
      <w:r w:rsidR="00190923" w:rsidRPr="00D97463">
        <w:rPr>
          <w:i/>
          <w:iCs/>
        </w:rPr>
        <w:t xml:space="preserve"> </w:t>
      </w:r>
      <w:r w:rsidRPr="00D97463">
        <w:rPr>
          <w:i/>
          <w:iCs/>
        </w:rPr>
        <w:t>1994</w:t>
      </w:r>
      <w:r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Pr="00D97463">
        <w:rPr>
          <w:i/>
          <w:iCs/>
        </w:rPr>
        <w:t>Draft</w:t>
      </w:r>
      <w:r w:rsidR="00190923" w:rsidRPr="00D97463">
        <w:rPr>
          <w:i/>
          <w:iCs/>
        </w:rPr>
        <w:t xml:space="preserve"> </w:t>
      </w:r>
      <w:r w:rsidRPr="00D97463">
        <w:rPr>
          <w:i/>
          <w:iCs/>
        </w:rPr>
        <w:t>Articles</w:t>
      </w:r>
      <w:r w:rsidR="00190923" w:rsidRPr="00D97463">
        <w:rPr>
          <w:i/>
          <w:iCs/>
        </w:rPr>
        <w:t xml:space="preserve"> </w:t>
      </w:r>
      <w:r w:rsidRPr="00D97463">
        <w:rPr>
          <w:i/>
          <w:iCs/>
        </w:rPr>
        <w:t>on</w:t>
      </w:r>
      <w:r w:rsidR="00190923" w:rsidRPr="00D97463">
        <w:rPr>
          <w:i/>
          <w:iCs/>
        </w:rPr>
        <w:t xml:space="preserve"> </w:t>
      </w:r>
      <w:r w:rsidRPr="00D97463">
        <w:rPr>
          <w:i/>
          <w:iCs/>
        </w:rPr>
        <w:t>the</w:t>
      </w:r>
      <w:r w:rsidR="00190923" w:rsidRPr="00D97463">
        <w:rPr>
          <w:i/>
          <w:iCs/>
        </w:rPr>
        <w:t xml:space="preserve"> </w:t>
      </w:r>
      <w:r w:rsidRPr="00D97463">
        <w:rPr>
          <w:i/>
          <w:iCs/>
        </w:rPr>
        <w:t>Law</w:t>
      </w:r>
      <w:r w:rsidR="00190923" w:rsidRPr="00D97463">
        <w:rPr>
          <w:i/>
          <w:iCs/>
        </w:rPr>
        <w:t xml:space="preserve"> </w:t>
      </w:r>
      <w:r w:rsidRPr="00D97463">
        <w:rPr>
          <w:i/>
          <w:iCs/>
        </w:rPr>
        <w:t>of</w:t>
      </w:r>
      <w:r w:rsidR="00190923" w:rsidRPr="00D97463">
        <w:rPr>
          <w:i/>
          <w:iCs/>
        </w:rPr>
        <w:t xml:space="preserve"> </w:t>
      </w:r>
      <w:r w:rsidRPr="00D97463">
        <w:rPr>
          <w:i/>
          <w:iCs/>
        </w:rPr>
        <w:t>Non-Navigational</w:t>
      </w:r>
      <w:r w:rsidR="00190923" w:rsidRPr="00D97463">
        <w:rPr>
          <w:i/>
          <w:iCs/>
        </w:rPr>
        <w:t xml:space="preserve"> </w:t>
      </w:r>
      <w:r w:rsidRPr="00D97463">
        <w:rPr>
          <w:i/>
          <w:iCs/>
        </w:rPr>
        <w:t>Watercourses,</w:t>
      </w:r>
      <w:r w:rsidR="00190923" w:rsidRPr="00D97463">
        <w:rPr>
          <w:i/>
          <w:iCs/>
        </w:rPr>
        <w:t xml:space="preserve"> </w:t>
      </w:r>
      <w:r w:rsidRPr="00D97463">
        <w:rPr>
          <w:i/>
          <w:iCs/>
        </w:rPr>
        <w:t>1994</w:t>
      </w:r>
      <w:r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draws</w:t>
      </w:r>
      <w:r w:rsidR="00190923" w:rsidRPr="00981405">
        <w:t xml:space="preserve"> </w:t>
      </w:r>
      <w:r w:rsidRPr="00981405">
        <w:t>attention</w:t>
      </w:r>
      <w:r w:rsidR="00190923" w:rsidRPr="00981405">
        <w:t xml:space="preserve"> </w:t>
      </w:r>
      <w:r w:rsidRPr="00981405">
        <w:t>to</w:t>
      </w:r>
      <w:r w:rsidR="00190923" w:rsidRPr="00981405">
        <w:t xml:space="preserve"> </w:t>
      </w:r>
      <w:r w:rsidRPr="00981405">
        <w:t>its</w:t>
      </w:r>
      <w:r w:rsidR="00190923" w:rsidRPr="00981405">
        <w:t xml:space="preserve"> </w:t>
      </w:r>
      <w:r w:rsidRPr="00981405">
        <w:t>recent</w:t>
      </w:r>
      <w:r w:rsidR="00190923" w:rsidRPr="00981405">
        <w:t xml:space="preserve"> </w:t>
      </w:r>
      <w:r w:rsidRPr="00981405">
        <w:t>work</w:t>
      </w:r>
      <w:r w:rsidR="00190923" w:rsidRPr="00981405">
        <w:t xml:space="preserve"> </w:t>
      </w:r>
      <w:r w:rsidRPr="00981405">
        <w:t>on</w:t>
      </w:r>
      <w:r w:rsidR="00190923" w:rsidRPr="00981405">
        <w:t xml:space="preserve"> </w:t>
      </w:r>
      <w:r w:rsidRPr="00981405">
        <w:t>different</w:t>
      </w:r>
      <w:r w:rsidR="00190923" w:rsidRPr="00981405">
        <w:t xml:space="preserve"> </w:t>
      </w:r>
      <w:r w:rsidRPr="00981405">
        <w:t>topics,</w:t>
      </w:r>
      <w:r w:rsidR="00190923" w:rsidRPr="00981405">
        <w:t xml:space="preserve"> </w:t>
      </w:r>
      <w:r w:rsidRPr="00981405">
        <w:t>including</w:t>
      </w:r>
      <w:r w:rsidR="00190923" w:rsidRPr="00981405">
        <w:t xml:space="preserve"> </w:t>
      </w:r>
      <w:r w:rsidRPr="00981405">
        <w:t>the:</w:t>
      </w:r>
      <w:r w:rsidR="00190923" w:rsidRPr="00981405">
        <w:t xml:space="preserve"> </w:t>
      </w:r>
    </w:p>
    <w:p w:rsidR="00397032" w:rsidRPr="00981405" w:rsidRDefault="007C17A7" w:rsidP="00D97463">
      <w:pPr>
        <w:pStyle w:val="SingleTxt"/>
        <w:tabs>
          <w:tab w:val="right" w:pos="1685"/>
        </w:tabs>
        <w:ind w:left="1742" w:hanging="475"/>
      </w:pPr>
      <w:r w:rsidRPr="00981405">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responsibility</w:t>
      </w:r>
      <w:r w:rsidR="00190923" w:rsidRPr="00981405">
        <w:t xml:space="preserve"> </w:t>
      </w:r>
      <w:r w:rsidR="00397032" w:rsidRPr="00981405">
        <w:t>of</w:t>
      </w:r>
      <w:r w:rsidR="00190923" w:rsidRPr="00981405">
        <w:t xml:space="preserve"> </w:t>
      </w:r>
      <w:r w:rsidR="00397032" w:rsidRPr="00981405">
        <w:t>States</w:t>
      </w:r>
      <w:r w:rsidR="00190923" w:rsidRPr="00981405">
        <w:t xml:space="preserve"> </w:t>
      </w:r>
      <w:r w:rsidR="00397032" w:rsidRPr="00981405">
        <w:t>for</w:t>
      </w:r>
      <w:r w:rsidR="00190923" w:rsidRPr="00981405">
        <w:t xml:space="preserve"> </w:t>
      </w:r>
      <w:r w:rsidR="00397032" w:rsidRPr="00981405">
        <w:t>internationally</w:t>
      </w:r>
      <w:r w:rsidR="00190923" w:rsidRPr="00981405">
        <w:t xml:space="preserve"> </w:t>
      </w:r>
      <w:r w:rsidR="00397032" w:rsidRPr="00981405">
        <w:t>wrongful</w:t>
      </w:r>
      <w:r w:rsidR="00190923" w:rsidRPr="00981405">
        <w:t xml:space="preserve"> </w:t>
      </w:r>
      <w:r w:rsidR="00397032" w:rsidRPr="00981405">
        <w:t>acts,</w:t>
      </w:r>
      <w:r w:rsidR="00190923" w:rsidRPr="00981405">
        <w:t xml:space="preserve"> </w:t>
      </w:r>
      <w:r w:rsidR="00397032" w:rsidRPr="00981405">
        <w:t>2001</w:t>
      </w:r>
    </w:p>
    <w:p w:rsidR="00397032" w:rsidRPr="00981405" w:rsidRDefault="007C17A7" w:rsidP="00D97463">
      <w:pPr>
        <w:pStyle w:val="SingleTxt"/>
        <w:tabs>
          <w:tab w:val="right" w:pos="1685"/>
        </w:tabs>
        <w:ind w:left="1742" w:hanging="475"/>
      </w:pPr>
      <w:r w:rsidRPr="00981405">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prevention</w:t>
      </w:r>
      <w:r w:rsidR="00190923" w:rsidRPr="00981405">
        <w:t xml:space="preserve"> </w:t>
      </w:r>
      <w:r w:rsidR="00397032" w:rsidRPr="00981405">
        <w:t>of</w:t>
      </w:r>
      <w:r w:rsidR="00190923" w:rsidRPr="00981405">
        <w:t xml:space="preserve"> </w:t>
      </w:r>
      <w:r w:rsidR="00397032" w:rsidRPr="00981405">
        <w:t>transboundary</w:t>
      </w:r>
      <w:r w:rsidR="00190923" w:rsidRPr="00981405">
        <w:t xml:space="preserve"> </w:t>
      </w:r>
      <w:r w:rsidR="00397032" w:rsidRPr="00981405">
        <w:t>harm</w:t>
      </w:r>
      <w:r w:rsidR="00190923" w:rsidRPr="00981405">
        <w:t xml:space="preserve"> </w:t>
      </w:r>
      <w:r w:rsidR="00397032" w:rsidRPr="00981405">
        <w:t>from</w:t>
      </w:r>
      <w:r w:rsidR="00190923" w:rsidRPr="00981405">
        <w:t xml:space="preserve"> </w:t>
      </w:r>
      <w:r w:rsidR="00397032" w:rsidRPr="00981405">
        <w:t>hazardous</w:t>
      </w:r>
      <w:r w:rsidR="00190923" w:rsidRPr="00981405">
        <w:t xml:space="preserve"> </w:t>
      </w:r>
      <w:r w:rsidR="00397032" w:rsidRPr="00981405">
        <w:t>activities,</w:t>
      </w:r>
      <w:r w:rsidR="00190923" w:rsidRPr="00981405">
        <w:t xml:space="preserve"> </w:t>
      </w:r>
      <w:r w:rsidR="00397032" w:rsidRPr="00981405">
        <w:t>2001</w:t>
      </w:r>
      <w:r w:rsidR="00190923" w:rsidRPr="00981405">
        <w:t xml:space="preserve"> </w:t>
      </w:r>
    </w:p>
    <w:p w:rsidR="00397032" w:rsidRPr="00981405" w:rsidRDefault="007C17A7" w:rsidP="00D97463">
      <w:pPr>
        <w:pStyle w:val="SingleTxt"/>
        <w:tabs>
          <w:tab w:val="right" w:pos="1685"/>
        </w:tabs>
        <w:ind w:left="1742" w:hanging="475"/>
      </w:pPr>
      <w:r w:rsidRPr="00981405">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diplomatic</w:t>
      </w:r>
      <w:r w:rsidR="00190923" w:rsidRPr="00981405">
        <w:t xml:space="preserve"> </w:t>
      </w:r>
      <w:r w:rsidR="00397032" w:rsidRPr="00981405">
        <w:t>protection,</w:t>
      </w:r>
      <w:r w:rsidR="00190923" w:rsidRPr="00981405">
        <w:t xml:space="preserve"> </w:t>
      </w:r>
      <w:r w:rsidR="00397032" w:rsidRPr="00981405">
        <w:t>2006</w:t>
      </w:r>
      <w:r w:rsidR="00190923" w:rsidRPr="00981405">
        <w:t xml:space="preserve"> </w:t>
      </w:r>
    </w:p>
    <w:p w:rsidR="00397032" w:rsidRPr="00981405" w:rsidRDefault="007C17A7" w:rsidP="00D97463">
      <w:pPr>
        <w:pStyle w:val="SingleTxt"/>
        <w:tabs>
          <w:tab w:val="right" w:pos="1685"/>
        </w:tabs>
        <w:ind w:left="1742" w:hanging="475"/>
      </w:pPr>
      <w:r w:rsidRPr="00981405">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law</w:t>
      </w:r>
      <w:r w:rsidR="00190923" w:rsidRPr="00981405">
        <w:t xml:space="preserve"> </w:t>
      </w:r>
      <w:r w:rsidR="00397032" w:rsidRPr="00981405">
        <w:t>of</w:t>
      </w:r>
      <w:r w:rsidR="00190923" w:rsidRPr="00981405">
        <w:t xml:space="preserve"> </w:t>
      </w:r>
      <w:r w:rsidR="00397032" w:rsidRPr="00981405">
        <w:t>transboundary</w:t>
      </w:r>
      <w:r w:rsidR="00190923" w:rsidRPr="00981405">
        <w:t xml:space="preserve"> </w:t>
      </w:r>
      <w:r w:rsidR="00397032" w:rsidRPr="00981405">
        <w:t>aquifers,</w:t>
      </w:r>
      <w:r w:rsidR="00190923" w:rsidRPr="00981405">
        <w:t xml:space="preserve"> </w:t>
      </w:r>
      <w:r w:rsidR="00397032" w:rsidRPr="00981405">
        <w:t>2008</w:t>
      </w:r>
      <w:r w:rsidR="00190923" w:rsidRPr="00981405">
        <w:t xml:space="preserve"> </w:t>
      </w:r>
    </w:p>
    <w:p w:rsidR="00397032" w:rsidRPr="00981405" w:rsidRDefault="007C17A7" w:rsidP="00D97463">
      <w:pPr>
        <w:pStyle w:val="SingleTxt"/>
        <w:tabs>
          <w:tab w:val="right" w:pos="1685"/>
        </w:tabs>
        <w:ind w:left="1742" w:hanging="475"/>
      </w:pPr>
      <w:r w:rsidRPr="00981405">
        <w:lastRenderedPageBreak/>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effects</w:t>
      </w:r>
      <w:r w:rsidR="00190923" w:rsidRPr="00981405">
        <w:t xml:space="preserve"> </w:t>
      </w:r>
      <w:r w:rsidR="00397032" w:rsidRPr="00981405">
        <w:t>of</w:t>
      </w:r>
      <w:r w:rsidR="00190923" w:rsidRPr="00981405">
        <w:t xml:space="preserve"> </w:t>
      </w:r>
      <w:r w:rsidR="00397032" w:rsidRPr="00981405">
        <w:t>armed</w:t>
      </w:r>
      <w:r w:rsidR="00190923" w:rsidRPr="00981405">
        <w:t xml:space="preserve"> </w:t>
      </w:r>
      <w:r w:rsidR="00397032" w:rsidRPr="00981405">
        <w:t>conflicts</w:t>
      </w:r>
      <w:r w:rsidR="00190923" w:rsidRPr="00981405">
        <w:t xml:space="preserve"> </w:t>
      </w:r>
      <w:r w:rsidR="00397032" w:rsidRPr="00981405">
        <w:t>on</w:t>
      </w:r>
      <w:r w:rsidR="00190923" w:rsidRPr="00981405">
        <w:t xml:space="preserve"> </w:t>
      </w:r>
      <w:r w:rsidR="00397032" w:rsidRPr="00981405">
        <w:t>treaties,</w:t>
      </w:r>
      <w:r w:rsidR="00190923" w:rsidRPr="00981405">
        <w:t xml:space="preserve"> </w:t>
      </w:r>
      <w:r w:rsidR="00397032" w:rsidRPr="00981405">
        <w:t>2011</w:t>
      </w:r>
      <w:r w:rsidR="00190923" w:rsidRPr="00981405">
        <w:t xml:space="preserve"> </w:t>
      </w:r>
    </w:p>
    <w:p w:rsidR="00397032" w:rsidRPr="00981405" w:rsidRDefault="007C17A7" w:rsidP="00D97463">
      <w:pPr>
        <w:pStyle w:val="SingleTxt"/>
        <w:tabs>
          <w:tab w:val="right" w:pos="1685"/>
        </w:tabs>
        <w:ind w:left="1742" w:hanging="475"/>
        <w:rPr>
          <w:rFonts w:eastAsia="SimSun"/>
        </w:rPr>
      </w:pPr>
      <w:r w:rsidRPr="00981405">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responsibility</w:t>
      </w:r>
      <w:r w:rsidR="00190923" w:rsidRPr="00981405">
        <w:t xml:space="preserve"> </w:t>
      </w:r>
      <w:r w:rsidR="00397032" w:rsidRPr="00981405">
        <w:t>of</w:t>
      </w:r>
      <w:r w:rsidR="00190923" w:rsidRPr="00981405">
        <w:t xml:space="preserve"> </w:t>
      </w:r>
      <w:r w:rsidR="00397032" w:rsidRPr="00981405">
        <w:t>international</w:t>
      </w:r>
      <w:r w:rsidR="00190923" w:rsidRPr="00981405">
        <w:t xml:space="preserve"> </w:t>
      </w:r>
      <w:r w:rsidR="00397032" w:rsidRPr="00981405">
        <w:t>organizations,</w:t>
      </w:r>
      <w:r w:rsidR="00190923" w:rsidRPr="00981405">
        <w:t xml:space="preserve"> </w:t>
      </w:r>
      <w:r w:rsidR="00397032" w:rsidRPr="00981405">
        <w:t>2011</w:t>
      </w:r>
      <w:r w:rsidR="00190923" w:rsidRPr="00981405">
        <w:t xml:space="preserve"> </w:t>
      </w:r>
    </w:p>
    <w:p w:rsidR="00397032" w:rsidRPr="00981405" w:rsidRDefault="007C17A7" w:rsidP="00D97463">
      <w:pPr>
        <w:pStyle w:val="SingleTxt"/>
        <w:tabs>
          <w:tab w:val="right" w:pos="1685"/>
        </w:tabs>
        <w:ind w:left="1742" w:hanging="475"/>
      </w:pPr>
      <w:r w:rsidRPr="00981405">
        <w:tab/>
        <w:t>•</w:t>
      </w:r>
      <w:r w:rsidRPr="00981405">
        <w:tab/>
      </w:r>
      <w:r w:rsidR="00397032" w:rsidRPr="00981405">
        <w:t>Draft</w:t>
      </w:r>
      <w:r w:rsidR="00190923" w:rsidRPr="00981405">
        <w:t xml:space="preserve"> </w:t>
      </w:r>
      <w:r w:rsidR="00397032" w:rsidRPr="00981405">
        <w:t>articles</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expulsion</w:t>
      </w:r>
      <w:r w:rsidR="00190923" w:rsidRPr="00981405">
        <w:t xml:space="preserve"> </w:t>
      </w:r>
      <w:r w:rsidR="00397032" w:rsidRPr="00981405">
        <w:t>of</w:t>
      </w:r>
      <w:r w:rsidR="00190923" w:rsidRPr="00981405">
        <w:t xml:space="preserve"> </w:t>
      </w:r>
      <w:r w:rsidR="00397032" w:rsidRPr="00981405">
        <w:t>aliens,</w:t>
      </w:r>
      <w:r w:rsidR="00190923" w:rsidRPr="00981405">
        <w:t xml:space="preserve"> </w:t>
      </w:r>
      <w:r w:rsidR="00397032" w:rsidRPr="00981405">
        <w:t>2014</w:t>
      </w:r>
    </w:p>
    <w:p w:rsidR="00397032" w:rsidRPr="00981405" w:rsidRDefault="00397032" w:rsidP="00D97463">
      <w:pPr>
        <w:pStyle w:val="SingleTxt"/>
        <w:rPr>
          <w:rFonts w:eastAsia="SimSun"/>
        </w:rPr>
      </w:pPr>
      <w:r w:rsidRPr="00981405">
        <w:t>Furthermore,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recalls</w:t>
      </w:r>
      <w:r w:rsidR="00190923" w:rsidRPr="00981405">
        <w:t xml:space="preserve"> </w:t>
      </w:r>
      <w:r w:rsidRPr="00981405">
        <w:t>the</w:t>
      </w:r>
      <w:r w:rsidR="00190923" w:rsidRPr="00981405">
        <w:t xml:space="preserve"> </w:t>
      </w:r>
      <w:r w:rsidRPr="00981405">
        <w:t>Guide</w:t>
      </w:r>
      <w:r w:rsidR="00190923" w:rsidRPr="00981405">
        <w:t xml:space="preserve"> </w:t>
      </w:r>
      <w:r w:rsidRPr="00981405">
        <w:t>to</w:t>
      </w:r>
      <w:r w:rsidR="00190923" w:rsidRPr="00981405">
        <w:t xml:space="preserve"> </w:t>
      </w:r>
      <w:r w:rsidRPr="00981405">
        <w:t>practice</w:t>
      </w:r>
      <w:r w:rsidR="00190923" w:rsidRPr="00981405">
        <w:t xml:space="preserve"> </w:t>
      </w:r>
      <w:r w:rsidRPr="00981405">
        <w:t>on</w:t>
      </w:r>
      <w:r w:rsidR="00190923" w:rsidRPr="00981405">
        <w:t xml:space="preserve"> </w:t>
      </w:r>
      <w:r w:rsidRPr="00981405">
        <w:t>reservations</w:t>
      </w:r>
      <w:r w:rsidR="00190923" w:rsidRPr="00981405">
        <w:t xml:space="preserve"> </w:t>
      </w:r>
      <w:r w:rsidRPr="00981405">
        <w:t>to</w:t>
      </w:r>
      <w:r w:rsidR="00190923" w:rsidRPr="00981405">
        <w:t xml:space="preserve"> </w:t>
      </w:r>
      <w:r w:rsidRPr="00981405">
        <w:t>treaties</w:t>
      </w:r>
      <w:r w:rsidR="00190923" w:rsidRPr="00981405">
        <w:t xml:space="preserve"> </w:t>
      </w:r>
      <w:r w:rsidRPr="00981405">
        <w:t>(2011).</w:t>
      </w:r>
    </w:p>
    <w:p w:rsidR="00397032" w:rsidRPr="00981405" w:rsidRDefault="00397032" w:rsidP="00D97463">
      <w:pPr>
        <w:pStyle w:val="SingleTxt"/>
      </w:pPr>
      <w:r w:rsidRPr="00981405">
        <w:t>295.</w:t>
      </w:r>
      <w:r w:rsidRPr="00981405">
        <w:tab/>
        <w:t>The</w:t>
      </w:r>
      <w:r w:rsidR="00190923" w:rsidRPr="00981405">
        <w:t xml:space="preserve"> </w:t>
      </w:r>
      <w:r w:rsidRPr="00981405">
        <w:t>Commission</w:t>
      </w:r>
      <w:r w:rsidR="00190923" w:rsidRPr="00981405">
        <w:t xml:space="preserve"> </w:t>
      </w:r>
      <w:r w:rsidRPr="00981405">
        <w:t>reiterates</w:t>
      </w:r>
      <w:r w:rsidR="00190923" w:rsidRPr="00981405">
        <w:t xml:space="preserve"> </w:t>
      </w:r>
      <w:r w:rsidRPr="00981405">
        <w:t>its</w:t>
      </w:r>
      <w:r w:rsidR="00190923" w:rsidRPr="00981405">
        <w:t xml:space="preserve"> </w:t>
      </w:r>
      <w:r w:rsidRPr="00981405">
        <w:t>commitment</w:t>
      </w:r>
      <w:r w:rsidR="00190923" w:rsidRPr="00981405">
        <w:t xml:space="preserve"> </w:t>
      </w:r>
      <w:r w:rsidRPr="00981405">
        <w:t>to</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in</w:t>
      </w:r>
      <w:r w:rsidR="00190923" w:rsidRPr="00981405">
        <w:t xml:space="preserve"> </w:t>
      </w:r>
      <w:r w:rsidRPr="00981405">
        <w:t>all</w:t>
      </w:r>
      <w:r w:rsidR="00190923" w:rsidRPr="00981405">
        <w:t xml:space="preserve"> </w:t>
      </w:r>
      <w:r w:rsidRPr="00981405">
        <w:t>of</w:t>
      </w:r>
      <w:r w:rsidR="00190923" w:rsidRPr="00981405">
        <w:t xml:space="preserve"> </w:t>
      </w:r>
      <w:r w:rsidRPr="00981405">
        <w:t>its</w:t>
      </w:r>
      <w:r w:rsidR="00190923" w:rsidRPr="00981405">
        <w:t xml:space="preserve"> </w:t>
      </w:r>
      <w:r w:rsidRPr="00981405">
        <w:t>activities.</w:t>
      </w:r>
    </w:p>
    <w:p w:rsidR="007C17A7" w:rsidRPr="00D97463" w:rsidRDefault="007C17A7" w:rsidP="00D97463">
      <w:pPr>
        <w:pStyle w:val="SingleTxt"/>
        <w:spacing w:after="0" w:line="120" w:lineRule="exact"/>
        <w:rPr>
          <w:sz w:val="10"/>
        </w:rPr>
      </w:pPr>
    </w:p>
    <w:p w:rsidR="00397032" w:rsidRPr="00D97463" w:rsidRDefault="007C17A7" w:rsidP="00D97463">
      <w:pPr>
        <w:pStyle w:val="H23"/>
        <w:ind w:right="1260"/>
      </w:pPr>
      <w:r w:rsidRPr="00D97463">
        <w:tab/>
      </w:r>
      <w:r w:rsidR="00397032" w:rsidRPr="00D97463">
        <w:t>4.</w:t>
      </w:r>
      <w:r w:rsidRPr="00D97463">
        <w:tab/>
      </w:r>
      <w:r w:rsidR="00397032" w:rsidRPr="00D97463">
        <w:t>Consideration</w:t>
      </w:r>
      <w:r w:rsidR="00190923" w:rsidRPr="00D97463">
        <w:t xml:space="preserve"> </w:t>
      </w:r>
      <w:r w:rsidR="00397032" w:rsidRPr="00D97463">
        <w:t>of</w:t>
      </w:r>
      <w:r w:rsidR="00190923" w:rsidRPr="00D97463">
        <w:t xml:space="preserve"> </w:t>
      </w:r>
      <w:r w:rsidR="00397032" w:rsidRPr="00D97463">
        <w:t>paragraphs</w:t>
      </w:r>
      <w:r w:rsidR="00190923" w:rsidRPr="00D97463">
        <w:t xml:space="preserve"> </w:t>
      </w:r>
      <w:r w:rsidR="00397032" w:rsidRPr="00D97463">
        <w:t>10</w:t>
      </w:r>
      <w:r w:rsidR="00190923" w:rsidRPr="00D97463">
        <w:t xml:space="preserve"> </w:t>
      </w:r>
      <w:r w:rsidR="00397032" w:rsidRPr="00D97463">
        <w:t>to</w:t>
      </w:r>
      <w:r w:rsidR="00190923" w:rsidRPr="00D97463">
        <w:t xml:space="preserve"> </w:t>
      </w:r>
      <w:r w:rsidR="00397032" w:rsidRPr="00D97463">
        <w:t>13</w:t>
      </w:r>
      <w:r w:rsidR="00190923" w:rsidRPr="00D97463">
        <w:t xml:space="preserve"> </w:t>
      </w:r>
      <w:r w:rsidR="00397032" w:rsidRPr="00D97463">
        <w:t>of</w:t>
      </w:r>
      <w:r w:rsidR="00190923" w:rsidRPr="00D97463">
        <w:t xml:space="preserve"> </w:t>
      </w:r>
      <w:r w:rsidR="00397032" w:rsidRPr="00D97463">
        <w:t>General</w:t>
      </w:r>
      <w:r w:rsidR="00190923" w:rsidRPr="00D97463">
        <w:t xml:space="preserve"> </w:t>
      </w:r>
      <w:r w:rsidR="00397032" w:rsidRPr="00D97463">
        <w:t>Assembly</w:t>
      </w:r>
      <w:r w:rsidR="00190923" w:rsidRPr="00D97463">
        <w:t xml:space="preserve"> </w:t>
      </w:r>
      <w:r w:rsidR="00397032" w:rsidRPr="00D97463">
        <w:t>resolution</w:t>
      </w:r>
      <w:r w:rsidR="00190923" w:rsidRPr="00D97463">
        <w:t xml:space="preserve"> </w:t>
      </w:r>
      <w:r w:rsidR="00397032" w:rsidRPr="00D97463">
        <w:t>69/118</w:t>
      </w:r>
      <w:r w:rsidR="00190923" w:rsidRPr="00D97463">
        <w:t xml:space="preserve"> </w:t>
      </w:r>
      <w:r w:rsidR="00397032" w:rsidRPr="00D97463">
        <w:t>of</w:t>
      </w:r>
      <w:r w:rsidR="00B92E2C" w:rsidRPr="00D97463">
        <w:t xml:space="preserve"> </w:t>
      </w:r>
      <w:r w:rsidR="00397032" w:rsidRPr="00D97463">
        <w:t>10</w:t>
      </w:r>
      <w:r w:rsidR="00190923" w:rsidRPr="00D97463">
        <w:t xml:space="preserve"> </w:t>
      </w:r>
      <w:r w:rsidR="00397032" w:rsidRPr="00D97463">
        <w:t>December</w:t>
      </w:r>
      <w:r w:rsidR="00190923" w:rsidRPr="00D97463">
        <w:t xml:space="preserve"> </w:t>
      </w:r>
      <w:r w:rsidR="00397032" w:rsidRPr="00D97463">
        <w:t>2014</w:t>
      </w:r>
      <w:r w:rsidR="00190923" w:rsidRPr="00D97463">
        <w:t xml:space="preserve"> </w:t>
      </w:r>
      <w:r w:rsidR="00397032" w:rsidRPr="00D97463">
        <w:t>on</w:t>
      </w:r>
      <w:r w:rsidR="00190923" w:rsidRPr="00D97463">
        <w:t xml:space="preserve"> </w:t>
      </w:r>
      <w:r w:rsidR="00397032" w:rsidRPr="00D97463">
        <w:t>the</w:t>
      </w:r>
      <w:r w:rsidR="00190923" w:rsidRPr="00D97463">
        <w:t xml:space="preserve"> </w:t>
      </w:r>
      <w:r w:rsidR="00397032" w:rsidRPr="00D97463">
        <w:t>Report</w:t>
      </w:r>
      <w:r w:rsidR="00190923" w:rsidRPr="00D97463">
        <w:t xml:space="preserve"> </w:t>
      </w:r>
      <w:r w:rsidR="00397032" w:rsidRPr="00D97463">
        <w:t>of</w:t>
      </w:r>
      <w:r w:rsidR="00190923" w:rsidRPr="00D97463">
        <w:t xml:space="preserve"> </w:t>
      </w:r>
      <w:r w:rsidR="00397032" w:rsidRPr="00D97463">
        <w:t>the</w:t>
      </w:r>
      <w:r w:rsidR="00190923" w:rsidRPr="00D97463">
        <w:t xml:space="preserve"> </w:t>
      </w:r>
      <w:r w:rsidR="00397032" w:rsidRPr="00D97463">
        <w:t>International</w:t>
      </w:r>
      <w:r w:rsidR="00190923" w:rsidRPr="00D97463">
        <w:t xml:space="preserve"> </w:t>
      </w:r>
      <w:r w:rsidR="00397032" w:rsidRPr="00D97463">
        <w:t>Law</w:t>
      </w:r>
      <w:r w:rsidR="00190923" w:rsidRPr="00D97463">
        <w:t xml:space="preserve"> </w:t>
      </w:r>
      <w:r w:rsidR="00397032" w:rsidRPr="00D97463">
        <w:t>Commission</w:t>
      </w:r>
      <w:r w:rsidR="00190923" w:rsidRPr="00D97463">
        <w:t xml:space="preserve"> </w:t>
      </w:r>
      <w:r w:rsidR="00397032" w:rsidRPr="00D97463">
        <w:t>on</w:t>
      </w:r>
      <w:r w:rsidR="00190923" w:rsidRPr="00D97463">
        <w:t xml:space="preserve"> </w:t>
      </w:r>
      <w:r w:rsidR="00397032" w:rsidRPr="00D97463">
        <w:t>the</w:t>
      </w:r>
      <w:r w:rsidR="00190923" w:rsidRPr="00D97463">
        <w:t xml:space="preserve"> </w:t>
      </w:r>
      <w:r w:rsidR="00397032" w:rsidRPr="00D97463">
        <w:t>work</w:t>
      </w:r>
      <w:r w:rsidR="00190923" w:rsidRPr="00D97463">
        <w:t xml:space="preserve"> </w:t>
      </w:r>
      <w:r w:rsidR="00397032" w:rsidRPr="00D97463">
        <w:t>of</w:t>
      </w:r>
      <w:r w:rsidR="00190923" w:rsidRPr="00D97463">
        <w:t xml:space="preserve"> </w:t>
      </w:r>
      <w:r w:rsidR="00397032" w:rsidRPr="00D97463">
        <w:t>its</w:t>
      </w:r>
      <w:r w:rsidR="00190923" w:rsidRPr="00D97463">
        <w:t xml:space="preserve"> </w:t>
      </w:r>
      <w:r w:rsidR="00397032" w:rsidRPr="00D97463">
        <w:t>sixty-sixth</w:t>
      </w:r>
      <w:r w:rsidR="00190923" w:rsidRPr="00D97463">
        <w:t xml:space="preserve"> </w:t>
      </w:r>
      <w:r w:rsidR="00397032" w:rsidRPr="00D97463">
        <w:t>session</w:t>
      </w:r>
    </w:p>
    <w:p w:rsidR="007C17A7" w:rsidRPr="00D97463" w:rsidRDefault="007C17A7" w:rsidP="00D97463">
      <w:pPr>
        <w:pStyle w:val="SingleTxt"/>
        <w:spacing w:after="0" w:line="120" w:lineRule="exact"/>
        <w:rPr>
          <w:sz w:val="10"/>
        </w:rPr>
      </w:pPr>
    </w:p>
    <w:p w:rsidR="00397032" w:rsidRPr="00981405" w:rsidRDefault="00397032" w:rsidP="00D97463">
      <w:pPr>
        <w:pStyle w:val="SingleTxt"/>
      </w:pPr>
      <w:r w:rsidRPr="00981405">
        <w:t>296.</w:t>
      </w:r>
      <w:r w:rsidRPr="00981405">
        <w:tab/>
        <w:t>The</w:t>
      </w:r>
      <w:r w:rsidR="00190923" w:rsidRPr="00981405">
        <w:t xml:space="preserve"> </w:t>
      </w:r>
      <w:r w:rsidRPr="00981405">
        <w:t>Commission</w:t>
      </w:r>
      <w:r w:rsidR="00190923" w:rsidRPr="00981405">
        <w:t xml:space="preserve"> </w:t>
      </w:r>
      <w:r w:rsidRPr="00981405">
        <w:t>took</w:t>
      </w:r>
      <w:r w:rsidR="00190923" w:rsidRPr="00981405">
        <w:t xml:space="preserve"> </w:t>
      </w:r>
      <w:r w:rsidRPr="00981405">
        <w:t>note</w:t>
      </w:r>
      <w:r w:rsidR="00190923" w:rsidRPr="00981405">
        <w:t xml:space="preserve"> </w:t>
      </w:r>
      <w:r w:rsidRPr="00981405">
        <w:t>of</w:t>
      </w:r>
      <w:r w:rsidR="00190923" w:rsidRPr="00981405">
        <w:t xml:space="preserve"> </w:t>
      </w:r>
      <w:r w:rsidRPr="00981405">
        <w:t>paragraphs</w:t>
      </w:r>
      <w:r w:rsidR="00190923" w:rsidRPr="00981405">
        <w:t xml:space="preserve"> </w:t>
      </w:r>
      <w:r w:rsidRPr="00981405">
        <w:t>10</w:t>
      </w:r>
      <w:r w:rsidR="00190923" w:rsidRPr="00981405">
        <w:t xml:space="preserve"> </w:t>
      </w:r>
      <w:r w:rsidRPr="00981405">
        <w:t>to</w:t>
      </w:r>
      <w:r w:rsidR="00190923" w:rsidRPr="00981405">
        <w:t xml:space="preserve"> </w:t>
      </w:r>
      <w:r w:rsidRPr="00981405">
        <w:t>13</w:t>
      </w:r>
      <w:r w:rsidR="00190923" w:rsidRPr="00981405">
        <w:t xml:space="preserve"> </w:t>
      </w:r>
      <w:r w:rsidRPr="00981405">
        <w:t>of</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Pr="00981405">
        <w:t>69/118,</w:t>
      </w:r>
      <w:r w:rsidR="00190923" w:rsidRPr="00981405">
        <w:t xml:space="preserve"> </w:t>
      </w:r>
      <w:r w:rsidRPr="00981405">
        <w:t>by</w:t>
      </w:r>
      <w:r w:rsidR="00190923" w:rsidRPr="00981405">
        <w:t xml:space="preserve"> </w:t>
      </w:r>
      <w:r w:rsidRPr="00981405">
        <w:t>the</w:t>
      </w:r>
      <w:r w:rsidR="00190923" w:rsidRPr="00981405">
        <w:t xml:space="preserve"> </w:t>
      </w:r>
      <w:r w:rsidRPr="00981405">
        <w:t>terms</w:t>
      </w:r>
      <w:r w:rsidR="00190923" w:rsidRPr="00981405">
        <w:t xml:space="preserve"> </w:t>
      </w:r>
      <w:r w:rsidRPr="00981405">
        <w:t>of</w:t>
      </w:r>
      <w:r w:rsidR="00190923" w:rsidRPr="00981405">
        <w:t xml:space="preserve"> </w:t>
      </w:r>
      <w:r w:rsidRPr="00981405">
        <w:t>which</w:t>
      </w:r>
      <w:r w:rsidR="00190923" w:rsidRPr="00981405">
        <w:t xml:space="preserve"> </w:t>
      </w:r>
      <w:r w:rsidRPr="00981405">
        <w:t>the</w:t>
      </w:r>
      <w:r w:rsidR="00190923" w:rsidRPr="00981405">
        <w:t xml:space="preserve"> </w:t>
      </w:r>
      <w:r w:rsidRPr="00981405">
        <w:t>Assembly</w:t>
      </w:r>
      <w:r w:rsidR="00190923" w:rsidRPr="00981405">
        <w:t xml:space="preserve"> </w:t>
      </w:r>
      <w:r w:rsidRPr="00981405">
        <w:t>welcomed</w:t>
      </w:r>
      <w:r w:rsidR="00190923" w:rsidRPr="00981405">
        <w:t xml:space="preserve"> </w:t>
      </w:r>
      <w:r w:rsidRPr="00981405">
        <w:t>the</w:t>
      </w:r>
      <w:r w:rsidR="00190923" w:rsidRPr="00981405">
        <w:t xml:space="preserve"> </w:t>
      </w:r>
      <w:r w:rsidRPr="00981405">
        <w:t>efforts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improve</w:t>
      </w:r>
      <w:r w:rsidR="00190923" w:rsidRPr="00981405">
        <w:t xml:space="preserve"> </w:t>
      </w:r>
      <w:r w:rsidRPr="00981405">
        <w:t>its</w:t>
      </w:r>
      <w:r w:rsidR="00190923" w:rsidRPr="00981405">
        <w:t xml:space="preserve"> </w:t>
      </w:r>
      <w:r w:rsidRPr="00981405">
        <w:t>methods</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encouraged</w:t>
      </w:r>
      <w:r w:rsidR="00190923" w:rsidRPr="00981405">
        <w:t xml:space="preserve"> </w:t>
      </w:r>
      <w:r w:rsidRPr="00981405">
        <w:t>it</w:t>
      </w:r>
      <w:r w:rsidR="00190923" w:rsidRPr="00981405">
        <w:t xml:space="preserve"> </w:t>
      </w:r>
      <w:r w:rsidRPr="00981405">
        <w:t>to</w:t>
      </w:r>
      <w:r w:rsidR="00190923" w:rsidRPr="00981405">
        <w:t xml:space="preserve"> </w:t>
      </w:r>
      <w:r w:rsidRPr="00981405">
        <w:t>continue</w:t>
      </w:r>
      <w:r w:rsidR="00190923" w:rsidRPr="00981405">
        <w:t xml:space="preserve"> </w:t>
      </w:r>
      <w:r w:rsidRPr="00981405">
        <w:t>this</w:t>
      </w:r>
      <w:r w:rsidR="00190923" w:rsidRPr="00981405">
        <w:t xml:space="preserve"> </w:t>
      </w:r>
      <w:r w:rsidRPr="00981405">
        <w:t>practice;</w:t>
      </w:r>
      <w:r w:rsidR="00B92E2C" w:rsidRPr="00981405">
        <w:t xml:space="preserve"> </w:t>
      </w:r>
      <w:r w:rsidRPr="00981405">
        <w:t>recalled</w:t>
      </w:r>
      <w:r w:rsidR="00190923" w:rsidRPr="00981405">
        <w:t xml:space="preserve"> </w:t>
      </w:r>
      <w:r w:rsidRPr="00981405">
        <w:t>that</w:t>
      </w:r>
      <w:r w:rsidR="00190923" w:rsidRPr="00981405">
        <w:t xml:space="preserve"> </w:t>
      </w:r>
      <w:r w:rsidRPr="00981405">
        <w:t>the</w:t>
      </w:r>
      <w:r w:rsidR="00190923" w:rsidRPr="00981405">
        <w:t xml:space="preserve"> </w:t>
      </w:r>
      <w:r w:rsidRPr="00981405">
        <w:t>seat</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is</w:t>
      </w:r>
      <w:r w:rsidR="00190923" w:rsidRPr="00981405">
        <w:t xml:space="preserve"> </w:t>
      </w:r>
      <w:r w:rsidRPr="00981405">
        <w:t>at</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Office</w:t>
      </w:r>
      <w:r w:rsidR="00190923" w:rsidRPr="00981405">
        <w:t xml:space="preserve"> </w:t>
      </w:r>
      <w:r w:rsidRPr="00981405">
        <w:t>at</w:t>
      </w:r>
      <w:r w:rsidR="00190923" w:rsidRPr="00981405">
        <w:t xml:space="preserve"> </w:t>
      </w:r>
      <w:r w:rsidRPr="00981405">
        <w:t>Geneva;</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considering</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holding</w:t>
      </w:r>
      <w:r w:rsidR="00190923" w:rsidRPr="00981405">
        <w:t xml:space="preserve"> </w:t>
      </w:r>
      <w:r w:rsidRPr="00981405">
        <w:t>part</w:t>
      </w:r>
      <w:r w:rsidR="00190923" w:rsidRPr="00981405">
        <w:t xml:space="preserve"> </w:t>
      </w:r>
      <w:r w:rsidRPr="00981405">
        <w:t>of</w:t>
      </w:r>
      <w:r w:rsidR="00190923" w:rsidRPr="00981405">
        <w:t xml:space="preserve"> </w:t>
      </w:r>
      <w:r w:rsidRPr="00981405">
        <w:t>its</w:t>
      </w:r>
      <w:r w:rsidR="00190923" w:rsidRPr="00981405">
        <w:t xml:space="preserve"> </w:t>
      </w:r>
      <w:r w:rsidRPr="00981405">
        <w:t>future</w:t>
      </w:r>
      <w:r w:rsidR="00190923" w:rsidRPr="00981405">
        <w:t xml:space="preserve"> </w:t>
      </w:r>
      <w:r w:rsidRPr="00981405">
        <w:t>sessions</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underlined,</w:t>
      </w:r>
      <w:r w:rsidR="00190923" w:rsidRPr="00981405">
        <w:t xml:space="preserve"> </w:t>
      </w:r>
      <w:r w:rsidRPr="00981405">
        <w:t>to</w:t>
      </w:r>
      <w:r w:rsidR="00190923" w:rsidRPr="00981405">
        <w:t xml:space="preserve"> </w:t>
      </w:r>
      <w:r w:rsidRPr="00981405">
        <w:t>that</w:t>
      </w:r>
      <w:r w:rsidR="00190923" w:rsidRPr="00981405">
        <w:t xml:space="preserve"> </w:t>
      </w:r>
      <w:r w:rsidRPr="00981405">
        <w:t>purpose,</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estimated</w:t>
      </w:r>
      <w:r w:rsidR="00190923" w:rsidRPr="00981405">
        <w:t xml:space="preserve"> </w:t>
      </w:r>
      <w:r w:rsidRPr="00981405">
        <w:t>costs</w:t>
      </w:r>
      <w:r w:rsidR="00190923" w:rsidRPr="00981405">
        <w:t xml:space="preserve"> </w:t>
      </w:r>
      <w:r w:rsidRPr="00981405">
        <w:t>and</w:t>
      </w:r>
      <w:r w:rsidR="00190923" w:rsidRPr="00981405">
        <w:t xml:space="preserve"> </w:t>
      </w:r>
      <w:r w:rsidRPr="00981405">
        <w:t>relevant</w:t>
      </w:r>
      <w:r w:rsidR="00190923" w:rsidRPr="00981405">
        <w:t xml:space="preserve"> </w:t>
      </w:r>
      <w:r w:rsidRPr="00981405">
        <w:t>administrative,</w:t>
      </w:r>
      <w:r w:rsidR="00190923" w:rsidRPr="00981405">
        <w:t xml:space="preserve"> </w:t>
      </w:r>
      <w:r w:rsidRPr="00981405">
        <w:t>organizational</w:t>
      </w:r>
      <w:r w:rsidR="00190923" w:rsidRPr="00981405">
        <w:t xml:space="preserve"> </w:t>
      </w:r>
      <w:r w:rsidRPr="00981405">
        <w:t>and</w:t>
      </w:r>
      <w:r w:rsidR="00190923" w:rsidRPr="00981405">
        <w:t xml:space="preserve"> </w:t>
      </w:r>
      <w:r w:rsidRPr="00981405">
        <w:t>other</w:t>
      </w:r>
      <w:r w:rsidR="00190923" w:rsidRPr="00981405">
        <w:t xml:space="preserve"> </w:t>
      </w:r>
      <w:r w:rsidRPr="00981405">
        <w:t>factors,</w:t>
      </w:r>
      <w:r w:rsidR="00190923" w:rsidRPr="00981405">
        <w:t xml:space="preserve"> </w:t>
      </w:r>
      <w:r w:rsidRPr="00981405">
        <w:t>and</w:t>
      </w:r>
      <w:r w:rsidR="00190923" w:rsidRPr="00981405">
        <w:t xml:space="preserve"> </w:t>
      </w:r>
      <w:r w:rsidRPr="00981405">
        <w:t>called</w:t>
      </w:r>
      <w:r w:rsidR="00190923" w:rsidRPr="00981405">
        <w:t xml:space="preserve"> </w:t>
      </w:r>
      <w:r w:rsidRPr="00981405">
        <w:t>upon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deliberate</w:t>
      </w:r>
      <w:r w:rsidR="00190923" w:rsidRPr="00981405">
        <w:t xml:space="preserve"> </w:t>
      </w:r>
      <w:r w:rsidRPr="00981405">
        <w:t>thoroughly</w:t>
      </w:r>
      <w:r w:rsidR="00190923" w:rsidRPr="00981405">
        <w:t xml:space="preserve"> </w:t>
      </w:r>
      <w:r w:rsidRPr="00981405">
        <w:t>the</w:t>
      </w:r>
      <w:r w:rsidR="00190923" w:rsidRPr="00981405">
        <w:t xml:space="preserve"> </w:t>
      </w:r>
      <w:r w:rsidRPr="00981405">
        <w:t>feasibility</w:t>
      </w:r>
      <w:r w:rsidR="00190923" w:rsidRPr="00981405">
        <w:t xml:space="preserve"> </w:t>
      </w:r>
      <w:r w:rsidRPr="00981405">
        <w:t>of</w:t>
      </w:r>
      <w:r w:rsidR="00190923" w:rsidRPr="00981405">
        <w:t xml:space="preserve"> </w:t>
      </w:r>
      <w:r w:rsidRPr="00981405">
        <w:t>holding</w:t>
      </w:r>
      <w:r w:rsidR="00190923" w:rsidRPr="00981405">
        <w:t xml:space="preserve"> </w:t>
      </w:r>
      <w:r w:rsidRPr="00981405">
        <w:t>part</w:t>
      </w:r>
      <w:r w:rsidR="00190923" w:rsidRPr="00981405">
        <w:t xml:space="preserve"> </w:t>
      </w:r>
      <w:r w:rsidRPr="00981405">
        <w:t>of</w:t>
      </w:r>
      <w:r w:rsidR="00190923" w:rsidRPr="00981405">
        <w:t xml:space="preserve"> </w:t>
      </w:r>
      <w:r w:rsidRPr="00981405">
        <w:t>its</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and</w:t>
      </w:r>
      <w:r w:rsidR="00190923" w:rsidRPr="00981405">
        <w:t xml:space="preserve"> </w:t>
      </w:r>
      <w:r w:rsidRPr="00981405">
        <w:t>decided,</w:t>
      </w:r>
      <w:r w:rsidR="00190923" w:rsidRPr="00981405">
        <w:t xml:space="preserve"> </w:t>
      </w:r>
      <w:r w:rsidRPr="00981405">
        <w:t>without</w:t>
      </w:r>
      <w:r w:rsidR="00190923" w:rsidRPr="00981405">
        <w:t xml:space="preserve"> </w:t>
      </w:r>
      <w:r w:rsidRPr="00981405">
        <w:t>prejudice</w:t>
      </w:r>
      <w:r w:rsidR="00190923" w:rsidRPr="00981405">
        <w:t xml:space="preserve"> </w:t>
      </w:r>
      <w:r w:rsidRPr="00981405">
        <w:t>to</w:t>
      </w:r>
      <w:r w:rsidR="00190923" w:rsidRPr="00981405">
        <w:t xml:space="preserve"> </w:t>
      </w:r>
      <w:r w:rsidRPr="00981405">
        <w:t>the</w:t>
      </w:r>
      <w:r w:rsidR="00190923" w:rsidRPr="00981405">
        <w:t xml:space="preserve"> </w:t>
      </w:r>
      <w:r w:rsidRPr="00981405">
        <w:t>output</w:t>
      </w:r>
      <w:r w:rsidR="00190923" w:rsidRPr="00981405">
        <w:t xml:space="preserve"> </w:t>
      </w:r>
      <w:r w:rsidRPr="00981405">
        <w:t>of</w:t>
      </w:r>
      <w:r w:rsidR="00190923" w:rsidRPr="00981405">
        <w:t xml:space="preserve"> </w:t>
      </w:r>
      <w:r w:rsidRPr="00981405">
        <w:t>those</w:t>
      </w:r>
      <w:r w:rsidR="00190923" w:rsidRPr="00981405">
        <w:t xml:space="preserve"> </w:t>
      </w:r>
      <w:r w:rsidRPr="00981405">
        <w:t>deliberations,</w:t>
      </w:r>
      <w:r w:rsidR="00190923" w:rsidRPr="00981405">
        <w:t xml:space="preserve"> </w:t>
      </w:r>
      <w:r w:rsidRPr="00981405">
        <w:t>to</w:t>
      </w:r>
      <w:r w:rsidR="00190923" w:rsidRPr="00981405">
        <w:t xml:space="preserve"> </w:t>
      </w:r>
      <w:r w:rsidRPr="00981405">
        <w:t>revert</w:t>
      </w:r>
      <w:r w:rsidR="00190923" w:rsidRPr="00981405">
        <w:t xml:space="preserve"> </w:t>
      </w:r>
      <w:r w:rsidRPr="00981405">
        <w:t>to</w:t>
      </w:r>
      <w:r w:rsidR="00190923" w:rsidRPr="00981405">
        <w:t xml:space="preserve"> </w:t>
      </w:r>
      <w:r w:rsidRPr="00981405">
        <w:t>the</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recommendation</w:t>
      </w:r>
      <w:r w:rsidR="00190923" w:rsidRPr="00981405">
        <w:t xml:space="preserve"> </w:t>
      </w:r>
      <w:r w:rsidRPr="00981405">
        <w:t>contained</w:t>
      </w:r>
      <w:r w:rsidR="00190923" w:rsidRPr="00981405">
        <w:t xml:space="preserve"> </w:t>
      </w:r>
      <w:r w:rsidRPr="00981405">
        <w:t>in</w:t>
      </w:r>
      <w:r w:rsidR="00190923" w:rsidRPr="00981405">
        <w:t xml:space="preserve"> </w:t>
      </w:r>
      <w:r w:rsidRPr="00981405">
        <w:t>paragraph</w:t>
      </w:r>
      <w:r w:rsidR="00190923" w:rsidRPr="00981405">
        <w:t xml:space="preserve"> </w:t>
      </w:r>
      <w:r w:rsidRPr="00981405">
        <w:t>388</w:t>
      </w:r>
      <w:r w:rsidR="00190923" w:rsidRPr="00981405">
        <w:t xml:space="preserve"> </w:t>
      </w:r>
      <w:r w:rsidRPr="00981405">
        <w:t>of</w:t>
      </w:r>
      <w:r w:rsidR="00190923" w:rsidRPr="00981405">
        <w:t xml:space="preserve"> </w:t>
      </w:r>
      <w:r w:rsidRPr="00981405">
        <w:t>the</w:t>
      </w:r>
      <w:r w:rsidR="00190923" w:rsidRPr="00981405">
        <w:t xml:space="preserve"> </w:t>
      </w:r>
      <w:r w:rsidRPr="00981405">
        <w:t>report</w:t>
      </w:r>
      <w:r w:rsidR="00B92E2C"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its</w:t>
      </w:r>
      <w:r w:rsidR="00190923" w:rsidRPr="00981405">
        <w:t xml:space="preserve"> </w:t>
      </w:r>
      <w:r w:rsidRPr="00981405">
        <w:t>sixty-third</w:t>
      </w:r>
      <w:r w:rsidR="00190923" w:rsidRPr="00981405">
        <w:t xml:space="preserve"> </w:t>
      </w:r>
      <w:r w:rsidRPr="00981405">
        <w:t>session</w:t>
      </w:r>
      <w:r w:rsidR="00190923" w:rsidRPr="00981405">
        <w:t xml:space="preserve"> </w:t>
      </w:r>
      <w:r w:rsidRPr="00981405">
        <w:t>during</w:t>
      </w:r>
      <w:r w:rsidR="00190923" w:rsidRPr="00981405">
        <w:t xml:space="preserve"> </w:t>
      </w:r>
      <w:r w:rsidRPr="00981405">
        <w:t>the</w:t>
      </w:r>
      <w:r w:rsidR="00190923" w:rsidRPr="00981405">
        <w:t xml:space="preserve"> </w:t>
      </w:r>
      <w:r w:rsidRPr="00981405">
        <w:t>seventieth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p>
    <w:p w:rsidR="00397032" w:rsidRPr="00981405" w:rsidRDefault="00397032" w:rsidP="00D97463">
      <w:pPr>
        <w:pStyle w:val="SingleTxt"/>
      </w:pPr>
      <w:r w:rsidRPr="00981405">
        <w:t>297.</w:t>
      </w:r>
      <w:r w:rsidRPr="00981405">
        <w:tab/>
        <w:t>The</w:t>
      </w:r>
      <w:r w:rsidR="00190923" w:rsidRPr="00981405">
        <w:t xml:space="preserve"> </w:t>
      </w:r>
      <w:r w:rsidRPr="00981405">
        <w:t>Commission</w:t>
      </w:r>
      <w:r w:rsidR="00190923" w:rsidRPr="00981405">
        <w:t xml:space="preserve"> </w:t>
      </w:r>
      <w:r w:rsidRPr="00981405">
        <w:t>recalled</w:t>
      </w:r>
      <w:r w:rsidR="00190923" w:rsidRPr="00981405">
        <w:t xml:space="preserve"> </w:t>
      </w:r>
      <w:r w:rsidRPr="00981405">
        <w:t>that,</w:t>
      </w:r>
      <w:r w:rsidR="00190923" w:rsidRPr="00981405">
        <w:t xml:space="preserve"> </w:t>
      </w:r>
      <w:r w:rsidRPr="00981405">
        <w:t>during</w:t>
      </w:r>
      <w:r w:rsidR="00190923" w:rsidRPr="00981405">
        <w:t xml:space="preserve"> </w:t>
      </w:r>
      <w:r w:rsidRPr="00981405">
        <w:t>its</w:t>
      </w:r>
      <w:r w:rsidR="00190923" w:rsidRPr="00981405">
        <w:t xml:space="preserve"> </w:t>
      </w:r>
      <w:r w:rsidRPr="00981405">
        <w:t>sixty-third</w:t>
      </w:r>
      <w:r w:rsidR="00190923" w:rsidRPr="00981405">
        <w:t xml:space="preserve"> </w:t>
      </w:r>
      <w:r w:rsidRPr="00981405">
        <w:t>session,</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discussion</w:t>
      </w:r>
      <w:r w:rsidR="00190923" w:rsidRPr="00981405">
        <w:t xml:space="preserve"> </w:t>
      </w:r>
      <w:r w:rsidRPr="00981405">
        <w:t>of</w:t>
      </w:r>
      <w:r w:rsidR="00190923" w:rsidRPr="00981405">
        <w:t xml:space="preserve"> </w:t>
      </w:r>
      <w:r w:rsidRPr="00981405">
        <w:t>its</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it</w:t>
      </w:r>
      <w:r w:rsidR="00190923" w:rsidRPr="00981405">
        <w:t xml:space="preserve"> </w:t>
      </w:r>
      <w:r w:rsidRPr="00981405">
        <w:t>had</w:t>
      </w:r>
      <w:r w:rsidR="00190923" w:rsidRPr="00981405">
        <w:t xml:space="preserve"> </w:t>
      </w:r>
      <w:r w:rsidRPr="00981405">
        <w:t>expressed</w:t>
      </w:r>
      <w:r w:rsidR="00190923" w:rsidRPr="00981405">
        <w:t xml:space="preserve"> </w:t>
      </w:r>
      <w:r w:rsidRPr="00981405">
        <w:t>the</w:t>
      </w:r>
      <w:r w:rsidR="00190923" w:rsidRPr="00981405">
        <w:t xml:space="preserve"> </w:t>
      </w:r>
      <w:r w:rsidRPr="00981405">
        <w:t>wish</w:t>
      </w:r>
      <w:r w:rsidR="00190923" w:rsidRPr="00981405">
        <w:t xml:space="preserve"> </w:t>
      </w:r>
      <w:r w:rsidRPr="00981405">
        <w:t>that</w:t>
      </w:r>
      <w:r w:rsidR="00190923" w:rsidRPr="00981405">
        <w:t xml:space="preserve"> </w:t>
      </w:r>
      <w:r w:rsidRPr="00981405">
        <w:t>consideration</w:t>
      </w:r>
      <w:r w:rsidR="00190923" w:rsidRPr="00981405">
        <w:t xml:space="preserve"> </w:t>
      </w:r>
      <w:r w:rsidRPr="00981405">
        <w:t>be</w:t>
      </w:r>
      <w:r w:rsidR="00190923" w:rsidRPr="00981405">
        <w:t xml:space="preserve"> </w:t>
      </w:r>
      <w:r w:rsidRPr="00981405">
        <w:t>given</w:t>
      </w:r>
      <w:r w:rsidR="00190923" w:rsidRPr="00981405">
        <w:t xml:space="preserve"> </w:t>
      </w:r>
      <w:r w:rsidRPr="00981405">
        <w:t>to</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having</w:t>
      </w:r>
      <w:r w:rsidR="00190923" w:rsidRPr="00981405">
        <w:t xml:space="preserve"> </w:t>
      </w:r>
      <w:r w:rsidRPr="00981405">
        <w:t>one</w:t>
      </w:r>
      <w:r w:rsidR="00190923" w:rsidRPr="00981405">
        <w:t xml:space="preserve"> </w:t>
      </w:r>
      <w:r w:rsidRPr="00981405">
        <w:t>half</w:t>
      </w:r>
      <w:r w:rsidR="00190923" w:rsidRPr="00981405">
        <w:t xml:space="preserve"> </w:t>
      </w:r>
      <w:r w:rsidRPr="00981405">
        <w:t>session</w:t>
      </w:r>
      <w:r w:rsidR="00190923" w:rsidRPr="00981405">
        <w:t xml:space="preserve"> </w:t>
      </w:r>
      <w:r w:rsidRPr="00981405">
        <w:t>each</w:t>
      </w:r>
      <w:r w:rsidR="00190923" w:rsidRPr="00981405">
        <w:t xml:space="preserve"> </w:t>
      </w:r>
      <w:r w:rsidRPr="00981405">
        <w:t>quinquennium</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facilitate</w:t>
      </w:r>
      <w:r w:rsidR="00190923" w:rsidRPr="00981405">
        <w:t xml:space="preserve"> </w:t>
      </w:r>
      <w:r w:rsidRPr="00981405">
        <w:t>direct</w:t>
      </w:r>
      <w:r w:rsidR="00190923" w:rsidRPr="00981405">
        <w:t xml:space="preserve"> </w:t>
      </w:r>
      <w:r w:rsidRPr="00981405">
        <w:t>contact</w:t>
      </w:r>
      <w:r w:rsidR="00190923" w:rsidRPr="00981405">
        <w:t xml:space="preserve"> </w:t>
      </w:r>
      <w:r w:rsidRPr="00981405">
        <w:t>between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delegates</w:t>
      </w:r>
      <w:r w:rsidR="00190923" w:rsidRPr="00981405">
        <w:t xml:space="preserve"> </w:t>
      </w:r>
      <w:r w:rsidRPr="00981405">
        <w:t>of</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further</w:t>
      </w:r>
      <w:r w:rsidR="00190923" w:rsidRPr="00981405">
        <w:t xml:space="preserve"> </w:t>
      </w:r>
      <w:r w:rsidRPr="00981405">
        <w:t>recalled</w:t>
      </w:r>
      <w:r w:rsidR="00190923" w:rsidRPr="00981405">
        <w:t xml:space="preserve"> </w:t>
      </w:r>
      <w:r w:rsidRPr="00981405">
        <w:t>that</w:t>
      </w:r>
      <w:r w:rsidR="00190923" w:rsidRPr="00981405">
        <w:t xml:space="preserve"> </w:t>
      </w:r>
      <w:r w:rsidRPr="00981405">
        <w:t>it</w:t>
      </w:r>
      <w:r w:rsidR="00190923" w:rsidRPr="00981405">
        <w:t xml:space="preserve"> </w:t>
      </w:r>
      <w:r w:rsidRPr="00981405">
        <w:t>had</w:t>
      </w:r>
      <w:r w:rsidR="00190923" w:rsidRPr="00981405">
        <w:t xml:space="preserve"> </w:t>
      </w:r>
      <w:r w:rsidRPr="00981405">
        <w:t>on</w:t>
      </w:r>
      <w:r w:rsidR="00190923" w:rsidRPr="00981405">
        <w:t xml:space="preserve"> </w:t>
      </w:r>
      <w:r w:rsidRPr="00981405">
        <w:t>previous</w:t>
      </w:r>
      <w:r w:rsidR="00190923" w:rsidRPr="00981405">
        <w:t xml:space="preserve"> </w:t>
      </w:r>
      <w:r w:rsidRPr="00981405">
        <w:t>occasions</w:t>
      </w:r>
      <w:r w:rsidR="00190923" w:rsidRPr="00981405">
        <w:t xml:space="preserve"> </w:t>
      </w:r>
      <w:r w:rsidRPr="00981405">
        <w:t>held</w:t>
      </w:r>
      <w:r w:rsidR="00190923" w:rsidRPr="00981405">
        <w:t xml:space="preserve"> </w:t>
      </w:r>
      <w:r w:rsidRPr="00981405">
        <w:t>sessions</w:t>
      </w:r>
      <w:r w:rsidR="00190923" w:rsidRPr="00981405">
        <w:t xml:space="preserve"> </w:t>
      </w:r>
      <w:r w:rsidRPr="00981405">
        <w:t>other</w:t>
      </w:r>
      <w:r w:rsidR="00190923" w:rsidRPr="00981405">
        <w:t xml:space="preserve"> </w:t>
      </w:r>
      <w:r w:rsidRPr="00981405">
        <w:t>than</w:t>
      </w:r>
      <w:r w:rsidR="00190923" w:rsidRPr="00981405">
        <w:t xml:space="preserve"> </w:t>
      </w:r>
      <w:r w:rsidRPr="00981405">
        <w:t>at</w:t>
      </w:r>
      <w:r w:rsidR="00190923" w:rsidRPr="00981405">
        <w:t xml:space="preserve"> </w:t>
      </w:r>
      <w:r w:rsidRPr="00981405">
        <w:t>its</w:t>
      </w:r>
      <w:r w:rsidR="00190923" w:rsidRPr="00981405">
        <w:t xml:space="preserve"> </w:t>
      </w:r>
      <w:r w:rsidRPr="00981405">
        <w:t>Headquarters.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that,</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overall</w:t>
      </w:r>
      <w:r w:rsidR="00190923" w:rsidRPr="00981405">
        <w:t xml:space="preserve"> </w:t>
      </w:r>
      <w:r w:rsidRPr="00981405">
        <w:t>arrangements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convening</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Diplomatic</w:t>
      </w:r>
      <w:r w:rsidR="00190923" w:rsidRPr="00981405">
        <w:t xml:space="preserve"> </w:t>
      </w:r>
      <w:r w:rsidRPr="00981405">
        <w:t>Conference</w:t>
      </w:r>
      <w:r w:rsidR="00190923" w:rsidRPr="00981405">
        <w:t xml:space="preserve"> </w:t>
      </w:r>
      <w:r w:rsidRPr="00981405">
        <w:t>of</w:t>
      </w:r>
      <w:r w:rsidR="00190923" w:rsidRPr="00981405">
        <w:t xml:space="preserve"> </w:t>
      </w:r>
      <w:r w:rsidRPr="00981405">
        <w:t>Plenipotentiaries</w:t>
      </w:r>
      <w:r w:rsidR="00190923" w:rsidRPr="00981405">
        <w:t xml:space="preserve"> </w:t>
      </w:r>
      <w:r w:rsidRPr="00981405">
        <w:t>on</w:t>
      </w:r>
      <w:r w:rsidR="00190923" w:rsidRPr="00981405">
        <w:t xml:space="preserve"> </w:t>
      </w:r>
      <w:r w:rsidRPr="00981405">
        <w:t>the</w:t>
      </w:r>
      <w:r w:rsidR="00190923" w:rsidRPr="00981405">
        <w:t xml:space="preserve"> </w:t>
      </w:r>
      <w:r w:rsidRPr="00981405">
        <w:t>Establishment</w:t>
      </w:r>
      <w:r w:rsidR="00190923" w:rsidRPr="00981405">
        <w:t xml:space="preserve"> </w:t>
      </w:r>
      <w:r w:rsidRPr="00981405">
        <w:t>of</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Criminal</w:t>
      </w:r>
      <w:r w:rsidR="00190923" w:rsidRPr="00981405">
        <w:t xml:space="preserve"> </w:t>
      </w:r>
      <w:r w:rsidRPr="00981405">
        <w:t>Court,</w:t>
      </w:r>
      <w:r w:rsidR="00190923" w:rsidRPr="00981405">
        <w:t xml:space="preserve"> </w:t>
      </w:r>
      <w:r w:rsidRPr="00981405">
        <w:t>it</w:t>
      </w:r>
      <w:r w:rsidR="00190923" w:rsidRPr="00981405">
        <w:t xml:space="preserve"> </w:t>
      </w:r>
      <w:r w:rsidRPr="00981405">
        <w:t>held</w:t>
      </w:r>
      <w:r w:rsidR="00190923" w:rsidRPr="00981405">
        <w:t xml:space="preserve"> </w:t>
      </w:r>
      <w:r w:rsidRPr="00981405">
        <w:t>the</w:t>
      </w:r>
      <w:r w:rsidR="00190923" w:rsidRPr="00981405">
        <w:t xml:space="preserve"> </w:t>
      </w:r>
      <w:r w:rsidRPr="00981405">
        <w:t>first</w:t>
      </w:r>
      <w:r w:rsidR="00190923" w:rsidRPr="00981405">
        <w:t xml:space="preserve"> </w:t>
      </w:r>
      <w:r w:rsidRPr="00981405">
        <w:t>part</w:t>
      </w:r>
      <w:r w:rsidR="00190923" w:rsidRPr="00981405">
        <w:t xml:space="preserve"> </w:t>
      </w:r>
      <w:r w:rsidRPr="00981405">
        <w:t>of</w:t>
      </w:r>
      <w:r w:rsidR="00190923" w:rsidRPr="00981405">
        <w:t xml:space="preserve"> </w:t>
      </w:r>
      <w:r w:rsidRPr="00981405">
        <w:t>its</w:t>
      </w:r>
      <w:r w:rsidR="00190923" w:rsidRPr="00981405">
        <w:t xml:space="preserve"> </w:t>
      </w:r>
      <w:r w:rsidRPr="00981405">
        <w:t>fiftieth</w:t>
      </w:r>
      <w:r w:rsidR="00190923" w:rsidRPr="00981405">
        <w:t xml:space="preserve"> </w:t>
      </w:r>
      <w:r w:rsidRPr="00981405">
        <w:t>session</w:t>
      </w:r>
      <w:r w:rsidR="00190923" w:rsidRPr="00981405">
        <w:t xml:space="preserve"> </w:t>
      </w:r>
      <w:r w:rsidRPr="00981405">
        <w:t>at</w:t>
      </w:r>
      <w:r w:rsidR="00190923" w:rsidRPr="00981405">
        <w:t xml:space="preserve"> </w:t>
      </w:r>
      <w:r w:rsidRPr="00981405">
        <w:t>its</w:t>
      </w:r>
      <w:r w:rsidR="00190923" w:rsidRPr="00981405">
        <w:t xml:space="preserve"> </w:t>
      </w:r>
      <w:r w:rsidRPr="00981405">
        <w:t>seat</w:t>
      </w:r>
      <w:r w:rsidR="00190923" w:rsidRPr="00981405">
        <w:t xml:space="preserve"> </w:t>
      </w:r>
      <w:r w:rsidRPr="00981405">
        <w:t>at</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Office</w:t>
      </w:r>
      <w:r w:rsidR="00190923" w:rsidRPr="00981405">
        <w:t xml:space="preserve"> </w:t>
      </w:r>
      <w:r w:rsidRPr="00981405">
        <w:t>at</w:t>
      </w:r>
      <w:r w:rsidR="00190923" w:rsidRPr="00981405">
        <w:t xml:space="preserve"> </w:t>
      </w:r>
      <w:r w:rsidRPr="00981405">
        <w:t>Geneva,</w:t>
      </w:r>
      <w:r w:rsidR="00190923" w:rsidRPr="00981405">
        <w:t xml:space="preserve"> </w:t>
      </w:r>
      <w:r w:rsidRPr="00981405">
        <w:t>from</w:t>
      </w:r>
      <w:r w:rsidR="00190923" w:rsidRPr="00981405">
        <w:t xml:space="preserve"> </w:t>
      </w:r>
      <w:r w:rsidRPr="00981405">
        <w:t>20</w:t>
      </w:r>
      <w:r w:rsidR="00190923" w:rsidRPr="00981405">
        <w:t xml:space="preserve"> </w:t>
      </w:r>
      <w:r w:rsidRPr="00981405">
        <w:t>April</w:t>
      </w:r>
      <w:r w:rsidR="00190923" w:rsidRPr="00981405">
        <w:t xml:space="preserve"> </w:t>
      </w:r>
      <w:r w:rsidRPr="00981405">
        <w:t>to</w:t>
      </w:r>
      <w:r w:rsidR="00190923" w:rsidRPr="00981405">
        <w:t xml:space="preserve"> </w:t>
      </w:r>
      <w:r w:rsidRPr="00981405">
        <w:t>12</w:t>
      </w:r>
      <w:r w:rsidR="00190923" w:rsidRPr="00981405">
        <w:t xml:space="preserve"> </w:t>
      </w:r>
      <w:r w:rsidRPr="00981405">
        <w:t>June</w:t>
      </w:r>
      <w:r w:rsidR="00190923" w:rsidRPr="00981405">
        <w:t xml:space="preserve"> </w:t>
      </w:r>
      <w:r w:rsidRPr="00981405">
        <w:t>1998,</w:t>
      </w:r>
      <w:r w:rsidR="00190923" w:rsidRPr="00981405">
        <w:t xml:space="preserve"> </w:t>
      </w:r>
      <w:r w:rsidRPr="00981405">
        <w:t>and</w:t>
      </w:r>
      <w:r w:rsidR="00190923" w:rsidRPr="00981405">
        <w:t xml:space="preserve"> </w:t>
      </w:r>
      <w:r w:rsidRPr="00981405">
        <w:t>the</w:t>
      </w:r>
      <w:r w:rsidR="00190923" w:rsidRPr="00981405">
        <w:t xml:space="preserve"> </w:t>
      </w:r>
      <w:r w:rsidRPr="00981405">
        <w:t>second</w:t>
      </w:r>
      <w:r w:rsidR="00190923" w:rsidRPr="00981405">
        <w:t xml:space="preserve"> </w:t>
      </w:r>
      <w:r w:rsidRPr="00981405">
        <w:t>part</w:t>
      </w:r>
      <w:r w:rsidR="00190923" w:rsidRPr="00981405">
        <w:t xml:space="preserve"> </w:t>
      </w:r>
      <w:r w:rsidRPr="00981405">
        <w:t>at</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Headquarters</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from</w:t>
      </w:r>
      <w:r w:rsidR="00190923" w:rsidRPr="00981405">
        <w:t xml:space="preserve"> </w:t>
      </w:r>
      <w:r w:rsidRPr="00981405">
        <w:t>27</w:t>
      </w:r>
      <w:r w:rsidR="00190923" w:rsidRPr="00981405">
        <w:t xml:space="preserve"> </w:t>
      </w:r>
      <w:r w:rsidRPr="00981405">
        <w:t>July</w:t>
      </w:r>
      <w:r w:rsidR="00190923" w:rsidRPr="00981405">
        <w:t xml:space="preserve"> </w:t>
      </w:r>
      <w:r w:rsidRPr="00981405">
        <w:t>to</w:t>
      </w:r>
      <w:r w:rsidR="00190923" w:rsidRPr="00981405">
        <w:t xml:space="preserve"> </w:t>
      </w:r>
      <w:r w:rsidRPr="00981405">
        <w:t>14</w:t>
      </w:r>
      <w:r w:rsidR="00190923" w:rsidRPr="00981405">
        <w:t xml:space="preserve"> </w:t>
      </w:r>
      <w:r w:rsidRPr="00981405">
        <w:t>August</w:t>
      </w:r>
      <w:r w:rsidR="00190923" w:rsidRPr="00981405">
        <w:t xml:space="preserve"> </w:t>
      </w:r>
      <w:r w:rsidRPr="00981405">
        <w:t>1998.</w:t>
      </w:r>
    </w:p>
    <w:p w:rsidR="00397032" w:rsidRPr="00981405" w:rsidRDefault="00397032" w:rsidP="00D97463">
      <w:pPr>
        <w:pStyle w:val="SingleTxt"/>
      </w:pPr>
      <w:r w:rsidRPr="00981405">
        <w:t>298.</w:t>
      </w:r>
      <w:r w:rsidRPr="00981405">
        <w:tab/>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feasibility</w:t>
      </w:r>
      <w:r w:rsidR="00190923" w:rsidRPr="00981405">
        <w:t xml:space="preserve"> </w:t>
      </w:r>
      <w:r w:rsidRPr="00981405">
        <w:t>of</w:t>
      </w:r>
      <w:r w:rsidR="00190923" w:rsidRPr="00981405">
        <w:t xml:space="preserve"> </w:t>
      </w:r>
      <w:r w:rsidRPr="00981405">
        <w:t>holding</w:t>
      </w:r>
      <w:r w:rsidR="00190923" w:rsidRPr="00981405">
        <w:t xml:space="preserve"> </w:t>
      </w:r>
      <w:r w:rsidRPr="00981405">
        <w:t>part</w:t>
      </w:r>
      <w:r w:rsidR="00190923" w:rsidRPr="00981405">
        <w:t xml:space="preserve"> </w:t>
      </w:r>
      <w:r w:rsidRPr="00981405">
        <w:t>of</w:t>
      </w:r>
      <w:r w:rsidR="00190923" w:rsidRPr="00981405">
        <w:t xml:space="preserve"> </w:t>
      </w:r>
      <w:r w:rsidRPr="00981405">
        <w:t>its</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based</w:t>
      </w:r>
      <w:r w:rsidR="00190923" w:rsidRPr="00981405">
        <w:t xml:space="preserve"> </w:t>
      </w:r>
      <w:r w:rsidRPr="00981405">
        <w:t>on</w:t>
      </w:r>
      <w:r w:rsidR="00190923" w:rsidRPr="00981405">
        <w:t xml:space="preserve"> </w:t>
      </w:r>
      <w:r w:rsidRPr="00981405">
        <w:t>information</w:t>
      </w:r>
      <w:r w:rsidR="00190923" w:rsidRPr="00981405">
        <w:t xml:space="preserve"> </w:t>
      </w:r>
      <w:r w:rsidRPr="00981405">
        <w:t>provided</w:t>
      </w:r>
      <w:r w:rsidR="00190923" w:rsidRPr="00981405">
        <w:t xml:space="preserve"> </w:t>
      </w:r>
      <w:r w:rsidRPr="00981405">
        <w:t>by</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regarding</w:t>
      </w:r>
      <w:r w:rsidR="00190923" w:rsidRPr="00981405">
        <w:t xml:space="preserve"> </w:t>
      </w:r>
      <w:r w:rsidRPr="00981405">
        <w:t>estimated</w:t>
      </w:r>
      <w:r w:rsidR="00190923" w:rsidRPr="00981405">
        <w:t xml:space="preserve"> </w:t>
      </w:r>
      <w:r w:rsidRPr="00981405">
        <w:t>costs</w:t>
      </w:r>
      <w:r w:rsidR="00190923" w:rsidRPr="00981405">
        <w:t xml:space="preserve"> </w:t>
      </w:r>
      <w:r w:rsidRPr="00981405">
        <w:t>and</w:t>
      </w:r>
      <w:r w:rsidR="00190923" w:rsidRPr="00981405">
        <w:t xml:space="preserve"> </w:t>
      </w:r>
      <w:r w:rsidRPr="00981405">
        <w:t>relevant</w:t>
      </w:r>
      <w:r w:rsidR="00190923" w:rsidRPr="00981405">
        <w:t xml:space="preserve"> </w:t>
      </w:r>
      <w:r w:rsidRPr="00981405">
        <w:t>administrative,</w:t>
      </w:r>
      <w:r w:rsidR="00190923" w:rsidRPr="00981405">
        <w:t xml:space="preserve"> </w:t>
      </w:r>
      <w:r w:rsidRPr="00981405">
        <w:t>organizational</w:t>
      </w:r>
      <w:r w:rsidR="00190923" w:rsidRPr="00981405">
        <w:t xml:space="preserve"> </w:t>
      </w:r>
      <w:r w:rsidRPr="00981405">
        <w:t>and</w:t>
      </w:r>
      <w:r w:rsidR="00190923" w:rsidRPr="00981405">
        <w:t xml:space="preserve"> </w:t>
      </w:r>
      <w:r w:rsidRPr="00981405">
        <w:t>other</w:t>
      </w:r>
      <w:r w:rsidR="00190923" w:rsidRPr="00981405">
        <w:t xml:space="preserve"> </w:t>
      </w:r>
      <w:r w:rsidRPr="00981405">
        <w:t>factors,</w:t>
      </w:r>
      <w:r w:rsidR="00190923" w:rsidRPr="00981405">
        <w:t xml:space="preserve"> </w:t>
      </w:r>
      <w:r w:rsidRPr="00981405">
        <w:t>including</w:t>
      </w:r>
      <w:r w:rsidR="00190923" w:rsidRPr="00981405">
        <w:t xml:space="preserve"> </w:t>
      </w:r>
      <w:r w:rsidRPr="00981405">
        <w:t>its</w:t>
      </w:r>
      <w:r w:rsidR="00190923" w:rsidRPr="00981405">
        <w:t xml:space="preserve"> </w:t>
      </w:r>
      <w:r w:rsidRPr="00981405">
        <w:t>anticipated</w:t>
      </w:r>
      <w:r w:rsidR="00190923" w:rsidRPr="00981405">
        <w:t xml:space="preserve"> </w:t>
      </w:r>
      <w:r w:rsidRPr="00981405">
        <w:t>workload</w:t>
      </w:r>
      <w:r w:rsidR="00190923" w:rsidRPr="00981405">
        <w:t xml:space="preserve"> </w:t>
      </w:r>
      <w:r w:rsidRPr="00981405">
        <w:t>in</w:t>
      </w:r>
      <w:r w:rsidR="00190923" w:rsidRPr="00981405">
        <w:t xml:space="preserve"> </w:t>
      </w:r>
      <w:r w:rsidRPr="00981405">
        <w:t>the</w:t>
      </w:r>
      <w:r w:rsidR="00190923" w:rsidRPr="00981405">
        <w:t xml:space="preserve"> </w:t>
      </w:r>
      <w:r w:rsidRPr="00981405">
        <w:t>final</w:t>
      </w:r>
      <w:r w:rsidR="00190923" w:rsidRPr="00981405">
        <w:t xml:space="preserve"> </w:t>
      </w:r>
      <w:r w:rsidRPr="00981405">
        <w:t>year</w:t>
      </w:r>
      <w:r w:rsidR="00190923" w:rsidRPr="00981405">
        <w:t xml:space="preserve"> </w:t>
      </w:r>
      <w:r w:rsidRPr="00981405">
        <w:t>of</w:t>
      </w:r>
      <w:r w:rsidR="00190923" w:rsidRPr="00981405">
        <w:t xml:space="preserve"> </w:t>
      </w:r>
      <w:r w:rsidRPr="00981405">
        <w:t>the</w:t>
      </w:r>
      <w:r w:rsidR="00190923" w:rsidRPr="00981405">
        <w:t xml:space="preserve"> </w:t>
      </w:r>
      <w:r w:rsidRPr="00981405">
        <w:t>present</w:t>
      </w:r>
      <w:r w:rsidR="00190923" w:rsidRPr="00981405">
        <w:t xml:space="preserve"> </w:t>
      </w:r>
      <w:r w:rsidRPr="00981405">
        <w:t>quinquennium.</w:t>
      </w:r>
      <w:r w:rsidR="00190923" w:rsidRPr="00981405">
        <w:t xml:space="preserve"> </w:t>
      </w:r>
      <w:r w:rsidRPr="00981405">
        <w:t>Having</w:t>
      </w:r>
      <w:r w:rsidR="00190923" w:rsidRPr="00981405">
        <w:t xml:space="preserve"> </w:t>
      </w:r>
      <w:r w:rsidRPr="00981405">
        <w:t>regard</w:t>
      </w:r>
      <w:r w:rsidR="00190923" w:rsidRPr="00981405">
        <w:t xml:space="preserve"> </w:t>
      </w:r>
      <w:r w:rsidRPr="00981405">
        <w:t>to</w:t>
      </w:r>
      <w:r w:rsidR="00190923" w:rsidRPr="00981405">
        <w:t xml:space="preserve"> </w:t>
      </w:r>
      <w:r w:rsidRPr="00981405">
        <w:t>all</w:t>
      </w:r>
      <w:r w:rsidR="00190923" w:rsidRPr="00981405">
        <w:t xml:space="preserve"> </w:t>
      </w:r>
      <w:r w:rsidRPr="00981405">
        <w:t>the</w:t>
      </w:r>
      <w:r w:rsidR="00190923" w:rsidRPr="00981405">
        <w:t xml:space="preserve"> </w:t>
      </w:r>
      <w:r w:rsidRPr="00981405">
        <w:t>factors</w:t>
      </w:r>
      <w:r w:rsidR="00190923" w:rsidRPr="00981405">
        <w:t xml:space="preserve"> </w:t>
      </w:r>
      <w:r w:rsidRPr="00981405">
        <w:t>at</w:t>
      </w:r>
      <w:r w:rsidR="00190923" w:rsidRPr="00981405">
        <w:t xml:space="preserve"> </w:t>
      </w:r>
      <w:r w:rsidRPr="00981405">
        <w:t>its</w:t>
      </w:r>
      <w:r w:rsidR="00190923" w:rsidRPr="00981405">
        <w:t xml:space="preserve"> </w:t>
      </w:r>
      <w:r w:rsidRPr="00981405">
        <w:t>disposal,</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came</w:t>
      </w:r>
      <w:r w:rsidR="00190923" w:rsidRPr="00981405">
        <w:t xml:space="preserve"> </w:t>
      </w:r>
      <w:r w:rsidRPr="00981405">
        <w:t>to</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feasible</w:t>
      </w:r>
      <w:r w:rsidR="00190923" w:rsidRPr="00981405">
        <w:t xml:space="preserve"> </w:t>
      </w:r>
      <w:r w:rsidRPr="00981405">
        <w:t>for</w:t>
      </w:r>
      <w:r w:rsidR="00190923" w:rsidRPr="00981405">
        <w:t xml:space="preserve"> </w:t>
      </w:r>
      <w:r w:rsidRPr="00981405">
        <w:t>it</w:t>
      </w:r>
      <w:r w:rsidR="00190923" w:rsidRPr="00981405">
        <w:t xml:space="preserve"> </w:t>
      </w:r>
      <w:r w:rsidRPr="00981405">
        <w:t>to</w:t>
      </w:r>
      <w:r w:rsidR="00190923" w:rsidRPr="00981405">
        <w:t xml:space="preserve"> </w:t>
      </w:r>
      <w:r w:rsidRPr="00981405">
        <w:t>hold</w:t>
      </w:r>
      <w:r w:rsidR="00190923" w:rsidRPr="00981405">
        <w:t xml:space="preserve"> </w:t>
      </w:r>
      <w:r w:rsidRPr="00981405">
        <w:t>part</w:t>
      </w:r>
      <w:r w:rsidR="00190923" w:rsidRPr="00981405">
        <w:t xml:space="preserve"> </w:t>
      </w:r>
      <w:r w:rsidRPr="00981405">
        <w:t>of</w:t>
      </w:r>
      <w:r w:rsidR="00190923" w:rsidRPr="00981405">
        <w:t xml:space="preserve"> </w:t>
      </w:r>
      <w:r w:rsidRPr="00981405">
        <w:t>its</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without</w:t>
      </w:r>
      <w:r w:rsidR="00190923" w:rsidRPr="00981405">
        <w:t xml:space="preserve"> </w:t>
      </w:r>
      <w:r w:rsidRPr="00981405">
        <w:t>causing</w:t>
      </w:r>
      <w:r w:rsidR="00190923" w:rsidRPr="00981405">
        <w:t xml:space="preserve"> </w:t>
      </w:r>
      <w:r w:rsidRPr="00981405">
        <w:t>undue</w:t>
      </w:r>
      <w:r w:rsidR="00190923" w:rsidRPr="00981405">
        <w:t xml:space="preserve"> </w:t>
      </w:r>
      <w:r w:rsidRPr="00981405">
        <w:t>disruptions.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nevertheless</w:t>
      </w:r>
      <w:r w:rsidR="00190923" w:rsidRPr="00981405">
        <w:t xml:space="preserve"> </w:t>
      </w:r>
      <w:r w:rsidRPr="00981405">
        <w:t>affirmed</w:t>
      </w:r>
      <w:r w:rsidR="00190923" w:rsidRPr="00981405">
        <w:t xml:space="preserve"> </w:t>
      </w:r>
      <w:r w:rsidRPr="00981405">
        <w:t>its</w:t>
      </w:r>
      <w:r w:rsidR="00190923" w:rsidRPr="00981405">
        <w:t xml:space="preserve"> </w:t>
      </w:r>
      <w:r w:rsidRPr="00981405">
        <w:t>wish</w:t>
      </w:r>
      <w:r w:rsidR="00190923" w:rsidRPr="00981405">
        <w:t xml:space="preserve"> </w:t>
      </w:r>
      <w:r w:rsidRPr="00981405">
        <w:t>that</w:t>
      </w:r>
      <w:r w:rsidR="00190923" w:rsidRPr="00981405">
        <w:t xml:space="preserve"> </w:t>
      </w:r>
      <w:r w:rsidRPr="00981405">
        <w:t>consideration</w:t>
      </w:r>
      <w:r w:rsidR="00190923" w:rsidRPr="00981405">
        <w:t xml:space="preserve"> </w:t>
      </w:r>
      <w:r w:rsidRPr="00981405">
        <w:t>be</w:t>
      </w:r>
      <w:r w:rsidR="00190923" w:rsidRPr="00981405">
        <w:t xml:space="preserve"> </w:t>
      </w:r>
      <w:r w:rsidRPr="00981405">
        <w:t>given</w:t>
      </w:r>
      <w:r w:rsidR="00190923" w:rsidRPr="00981405">
        <w:t xml:space="preserve"> </w:t>
      </w:r>
      <w:r w:rsidRPr="00981405">
        <w:t>to</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having</w:t>
      </w:r>
      <w:r w:rsidR="00190923" w:rsidRPr="00981405">
        <w:t xml:space="preserve"> </w:t>
      </w:r>
      <w:r w:rsidRPr="00981405">
        <w:t>one</w:t>
      </w:r>
      <w:r w:rsidR="00190923" w:rsidRPr="00981405">
        <w:t xml:space="preserve"> </w:t>
      </w:r>
      <w:r w:rsidRPr="00981405">
        <w:t>half</w:t>
      </w:r>
      <w:r w:rsidR="00190923" w:rsidRPr="00981405">
        <w:t xml:space="preserve"> </w:t>
      </w:r>
      <w:r w:rsidRPr="00981405">
        <w:t>session</w:t>
      </w:r>
      <w:r w:rsidR="00190923" w:rsidRPr="00981405">
        <w:t xml:space="preserve"> </w:t>
      </w:r>
      <w:r w:rsidRPr="00981405">
        <w:t>in</w:t>
      </w:r>
      <w:r w:rsidR="00190923" w:rsidRPr="00981405">
        <w:t xml:space="preserve"> </w:t>
      </w:r>
      <w:r w:rsidRPr="00981405">
        <w:t>the</w:t>
      </w:r>
      <w:r w:rsidR="00190923" w:rsidRPr="00981405">
        <w:t xml:space="preserve"> </w:t>
      </w:r>
      <w:r w:rsidRPr="00981405">
        <w:t>next</w:t>
      </w:r>
      <w:r w:rsidR="00190923" w:rsidRPr="00981405">
        <w:t xml:space="preserve"> </w:t>
      </w:r>
      <w:r w:rsidRPr="00981405">
        <w:t>quinquennium</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Such</w:t>
      </w:r>
      <w:r w:rsidR="00190923" w:rsidRPr="00981405">
        <w:t xml:space="preserve"> </w:t>
      </w:r>
      <w:r w:rsidRPr="00981405">
        <w:t>a</w:t>
      </w:r>
      <w:r w:rsidR="00190923" w:rsidRPr="00981405">
        <w:t xml:space="preserve"> </w:t>
      </w:r>
      <w:r w:rsidRPr="00981405">
        <w:t>possibility</w:t>
      </w:r>
      <w:r w:rsidR="00190923" w:rsidRPr="00981405">
        <w:t xml:space="preserve"> </w:t>
      </w:r>
      <w:r w:rsidRPr="00981405">
        <w:t>ought</w:t>
      </w:r>
      <w:r w:rsidR="00190923" w:rsidRPr="00981405">
        <w:t xml:space="preserve"> </w:t>
      </w:r>
      <w:r w:rsidRPr="00981405">
        <w:t>to</w:t>
      </w:r>
      <w:r w:rsidR="00190923" w:rsidRPr="00981405">
        <w:t xml:space="preserve"> </w:t>
      </w:r>
      <w:r w:rsidRPr="00981405">
        <w:t>be</w:t>
      </w:r>
      <w:r w:rsidR="00190923" w:rsidRPr="00981405">
        <w:t xml:space="preserve"> </w:t>
      </w:r>
      <w:r w:rsidRPr="00981405">
        <w:t>anticipated</w:t>
      </w:r>
      <w:r w:rsidR="00190923" w:rsidRPr="00981405">
        <w:t xml:space="preserve"> </w:t>
      </w:r>
      <w:r w:rsidRPr="00981405">
        <w:t>in</w:t>
      </w:r>
      <w:r w:rsidR="00190923" w:rsidRPr="00981405">
        <w:t xml:space="preserve"> </w:t>
      </w:r>
      <w:r w:rsidRPr="00981405">
        <w:t>the</w:t>
      </w:r>
      <w:r w:rsidR="00190923" w:rsidRPr="00981405">
        <w:t xml:space="preserve"> </w:t>
      </w:r>
      <w:r w:rsidRPr="00981405">
        <w:t>planning</w:t>
      </w:r>
      <w:r w:rsidR="00190923" w:rsidRPr="00981405">
        <w:t xml:space="preserve"> </w:t>
      </w:r>
      <w:r w:rsidRPr="00981405">
        <w:t>of</w:t>
      </w:r>
      <w:r w:rsidR="00190923" w:rsidRPr="00981405">
        <w:t xml:space="preserve"> </w:t>
      </w:r>
      <w:r w:rsidRPr="00981405">
        <w:t>future</w:t>
      </w:r>
      <w:r w:rsidR="00190923" w:rsidRPr="00981405">
        <w:t xml:space="preserve"> </w:t>
      </w:r>
      <w:r w:rsidRPr="00981405">
        <w:t>sessions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for</w:t>
      </w:r>
      <w:r w:rsidR="00190923" w:rsidRPr="00981405">
        <w:t xml:space="preserve"> </w:t>
      </w:r>
      <w:r w:rsidRPr="00981405">
        <w:t>the</w:t>
      </w:r>
      <w:r w:rsidR="00190923" w:rsidRPr="00981405">
        <w:t xml:space="preserve"> </w:t>
      </w:r>
      <w:r w:rsidRPr="00981405">
        <w:t>next</w:t>
      </w:r>
      <w:r w:rsidR="00190923" w:rsidRPr="00981405">
        <w:t xml:space="preserve"> </w:t>
      </w:r>
      <w:r w:rsidRPr="00981405">
        <w:t>quinquennium.</w:t>
      </w:r>
      <w:r w:rsidR="00B92E2C" w:rsidRPr="00981405">
        <w:t xml:space="preserve"> </w:t>
      </w:r>
      <w:r w:rsidRPr="00981405">
        <w:t>In</w:t>
      </w:r>
      <w:r w:rsidR="00190923" w:rsidRPr="00981405">
        <w:t xml:space="preserve"> </w:t>
      </w:r>
      <w:r w:rsidRPr="00981405">
        <w:t>that</w:t>
      </w:r>
      <w:r w:rsidR="00190923" w:rsidRPr="00981405">
        <w:t xml:space="preserve"> </w:t>
      </w:r>
      <w:r w:rsidRPr="00981405">
        <w:t>regard,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that</w:t>
      </w:r>
      <w:r w:rsidR="00190923" w:rsidRPr="00981405">
        <w:t xml:space="preserve"> </w:t>
      </w:r>
      <w:r w:rsidRPr="00981405">
        <w:t>such</w:t>
      </w:r>
      <w:r w:rsidR="00190923" w:rsidRPr="00981405">
        <w:t xml:space="preserve"> </w:t>
      </w:r>
      <w:r w:rsidRPr="00981405">
        <w:t>convening,</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the</w:t>
      </w:r>
      <w:r w:rsidR="00190923" w:rsidRPr="00981405">
        <w:t xml:space="preserve"> </w:t>
      </w:r>
      <w:r w:rsidRPr="00981405">
        <w:t>estimated</w:t>
      </w:r>
      <w:r w:rsidR="00190923" w:rsidRPr="00981405">
        <w:t xml:space="preserve"> </w:t>
      </w:r>
      <w:r w:rsidRPr="00981405">
        <w:t>costs</w:t>
      </w:r>
      <w:r w:rsidR="00190923" w:rsidRPr="00981405">
        <w:t xml:space="preserve"> </w:t>
      </w:r>
      <w:r w:rsidRPr="00981405">
        <w:t>and</w:t>
      </w:r>
      <w:r w:rsidR="00190923" w:rsidRPr="00981405">
        <w:t xml:space="preserve"> </w:t>
      </w:r>
      <w:r w:rsidRPr="00981405">
        <w:t>relevant</w:t>
      </w:r>
      <w:r w:rsidR="00190923" w:rsidRPr="00981405">
        <w:t xml:space="preserve"> </w:t>
      </w:r>
      <w:r w:rsidRPr="00981405">
        <w:t>administrative,</w:t>
      </w:r>
      <w:r w:rsidR="00190923" w:rsidRPr="00981405">
        <w:t xml:space="preserve"> </w:t>
      </w:r>
      <w:r w:rsidRPr="00981405">
        <w:t>organizational</w:t>
      </w:r>
      <w:r w:rsidR="00190923" w:rsidRPr="00981405">
        <w:t xml:space="preserve"> </w:t>
      </w:r>
      <w:r w:rsidRPr="00981405">
        <w:t>and</w:t>
      </w:r>
      <w:r w:rsidR="00190923" w:rsidRPr="00981405">
        <w:t xml:space="preserve"> </w:t>
      </w:r>
      <w:r w:rsidRPr="00981405">
        <w:t>other</w:t>
      </w:r>
      <w:r w:rsidR="00190923" w:rsidRPr="00981405">
        <w:t xml:space="preserve"> </w:t>
      </w:r>
      <w:r w:rsidRPr="00981405">
        <w:t>factors,</w:t>
      </w:r>
      <w:r w:rsidR="00190923" w:rsidRPr="00981405">
        <w:t xml:space="preserve"> </w:t>
      </w:r>
      <w:r w:rsidRPr="00981405">
        <w:t>could</w:t>
      </w:r>
      <w:r w:rsidR="00190923" w:rsidRPr="00981405">
        <w:t xml:space="preserve"> </w:t>
      </w:r>
      <w:r w:rsidRPr="00981405">
        <w:t>be</w:t>
      </w:r>
      <w:r w:rsidR="00190923" w:rsidRPr="00981405">
        <w:t xml:space="preserve"> </w:t>
      </w:r>
      <w:r w:rsidRPr="00981405">
        <w:t>anticipated</w:t>
      </w:r>
      <w:r w:rsidR="00190923" w:rsidRPr="00981405">
        <w:t xml:space="preserve"> </w:t>
      </w:r>
      <w:r w:rsidRPr="00981405">
        <w:t>during</w:t>
      </w:r>
      <w:r w:rsidR="00190923" w:rsidRPr="00981405">
        <w:t xml:space="preserve"> </w:t>
      </w:r>
      <w:r w:rsidRPr="00981405">
        <w:t>the</w:t>
      </w:r>
      <w:r w:rsidR="00190923" w:rsidRPr="00981405">
        <w:t xml:space="preserve"> </w:t>
      </w:r>
      <w:r w:rsidRPr="00981405">
        <w:t>first</w:t>
      </w:r>
      <w:r w:rsidR="00190923" w:rsidRPr="00981405">
        <w:t xml:space="preserve"> </w:t>
      </w:r>
      <w:r w:rsidRPr="00981405">
        <w:t>segment</w:t>
      </w:r>
      <w:r w:rsidR="00190923" w:rsidRPr="00981405">
        <w:t xml:space="preserve"> </w:t>
      </w:r>
      <w:r w:rsidRPr="00981405">
        <w:t>of</w:t>
      </w:r>
      <w:r w:rsidR="00190923" w:rsidRPr="00981405">
        <w:t xml:space="preserve"> </w:t>
      </w:r>
      <w:r w:rsidRPr="00981405">
        <w:t>a</w:t>
      </w:r>
      <w:r w:rsidR="00190923" w:rsidRPr="00981405">
        <w:t xml:space="preserve"> </w:t>
      </w:r>
      <w:r w:rsidRPr="00981405">
        <w:t>session</w:t>
      </w:r>
      <w:r w:rsidR="00190923" w:rsidRPr="00981405">
        <w:t xml:space="preserve"> </w:t>
      </w:r>
      <w:r w:rsidRPr="00981405">
        <w:t>either</w:t>
      </w:r>
      <w:r w:rsidR="00190923" w:rsidRPr="00981405">
        <w:t xml:space="preserve"> </w:t>
      </w:r>
      <w:r w:rsidRPr="00981405">
        <w:t>during</w:t>
      </w:r>
      <w:r w:rsidR="00190923" w:rsidRPr="00981405">
        <w:t xml:space="preserve"> </w:t>
      </w:r>
      <w:r w:rsidRPr="00981405">
        <w:t>the</w:t>
      </w:r>
      <w:r w:rsidR="00190923" w:rsidRPr="00981405">
        <w:t xml:space="preserve"> </w:t>
      </w:r>
      <w:r w:rsidRPr="00981405">
        <w:t>first</w:t>
      </w:r>
      <w:r w:rsidR="00190923" w:rsidRPr="00981405">
        <w:t xml:space="preserve"> </w:t>
      </w:r>
      <w:r w:rsidRPr="00981405">
        <w:t>(2017)</w:t>
      </w:r>
      <w:r w:rsidR="00190923" w:rsidRPr="00981405">
        <w:t xml:space="preserve"> </w:t>
      </w:r>
      <w:r w:rsidRPr="00981405">
        <w:t>or</w:t>
      </w:r>
      <w:r w:rsidR="00190923" w:rsidRPr="00981405">
        <w:t xml:space="preserve"> </w:t>
      </w:r>
      <w:r w:rsidRPr="00981405">
        <w:t>second</w:t>
      </w:r>
      <w:r w:rsidR="00190923" w:rsidRPr="00981405">
        <w:t xml:space="preserve"> </w:t>
      </w:r>
      <w:r w:rsidRPr="00981405">
        <w:t>(2018)</w:t>
      </w:r>
      <w:r w:rsidR="00190923" w:rsidRPr="00981405">
        <w:t xml:space="preserve"> </w:t>
      </w:r>
      <w:r w:rsidRPr="00981405">
        <w:t>year</w:t>
      </w:r>
      <w:r w:rsidR="00190923" w:rsidRPr="00981405">
        <w:t xml:space="preserve"> </w:t>
      </w:r>
      <w:r w:rsidRPr="00981405">
        <w:t>of</w:t>
      </w:r>
      <w:r w:rsidR="00190923" w:rsidRPr="00981405">
        <w:t xml:space="preserve"> </w:t>
      </w:r>
      <w:r w:rsidRPr="00981405">
        <w:t>the</w:t>
      </w:r>
      <w:r w:rsidR="00190923" w:rsidRPr="00981405">
        <w:t xml:space="preserve"> </w:t>
      </w:r>
      <w:r w:rsidRPr="00981405">
        <w:t>next</w:t>
      </w:r>
      <w:r w:rsidR="00190923" w:rsidRPr="00981405">
        <w:t xml:space="preserve"> </w:t>
      </w:r>
      <w:r w:rsidRPr="00981405">
        <w:t>quinquennium.</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information</w:t>
      </w:r>
      <w:r w:rsidR="00190923" w:rsidRPr="00981405">
        <w:t xml:space="preserve"> </w:t>
      </w:r>
      <w:r w:rsidRPr="00981405">
        <w:t>made</w:t>
      </w:r>
      <w:r w:rsidR="00190923" w:rsidRPr="00981405">
        <w:t xml:space="preserve"> </w:t>
      </w:r>
      <w:r w:rsidRPr="00981405">
        <w:t>available</w:t>
      </w:r>
      <w:r w:rsidR="00190923" w:rsidRPr="00981405">
        <w:t xml:space="preserve"> </w:t>
      </w:r>
      <w:r w:rsidRPr="00981405">
        <w:t>to</w:t>
      </w:r>
      <w:r w:rsidR="00190923" w:rsidRPr="00981405">
        <w:t xml:space="preserve"> </w:t>
      </w:r>
      <w:r w:rsidRPr="00981405">
        <w:t>it,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recommends</w:t>
      </w:r>
      <w:r w:rsidR="00190923" w:rsidRPr="00981405">
        <w:t xml:space="preserve"> </w:t>
      </w:r>
      <w:r w:rsidRPr="00981405">
        <w:t>that</w:t>
      </w:r>
      <w:r w:rsidR="00190923" w:rsidRPr="00981405">
        <w:t xml:space="preserve"> </w:t>
      </w:r>
      <w:r w:rsidRPr="00981405">
        <w:t>preparatory</w:t>
      </w:r>
      <w:r w:rsidR="00190923" w:rsidRPr="00981405">
        <w:t xml:space="preserve"> </w:t>
      </w:r>
      <w:r w:rsidRPr="00981405">
        <w:t>work</w:t>
      </w:r>
      <w:r w:rsidR="00190923" w:rsidRPr="00981405">
        <w:t xml:space="preserve"> </w:t>
      </w:r>
      <w:r w:rsidRPr="00981405">
        <w:t>and</w:t>
      </w:r>
      <w:r w:rsidR="00190923" w:rsidRPr="00981405">
        <w:t xml:space="preserve"> </w:t>
      </w:r>
      <w:r w:rsidRPr="00981405">
        <w:t>estimates</w:t>
      </w:r>
      <w:r w:rsidR="00190923" w:rsidRPr="00981405">
        <w:t xml:space="preserve"> </w:t>
      </w:r>
      <w:r w:rsidRPr="00981405">
        <w:t>proceed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that</w:t>
      </w:r>
      <w:r w:rsidR="00190923" w:rsidRPr="00981405">
        <w:t xml:space="preserve"> </w:t>
      </w:r>
      <w:r w:rsidRPr="00981405">
        <w:t>the</w:t>
      </w:r>
      <w:r w:rsidR="00190923" w:rsidRPr="00981405">
        <w:t xml:space="preserve"> </w:t>
      </w:r>
      <w:r w:rsidRPr="00981405">
        <w:t>first</w:t>
      </w:r>
      <w:r w:rsidR="00190923" w:rsidRPr="00981405">
        <w:t xml:space="preserve"> </w:t>
      </w:r>
      <w:r w:rsidRPr="00981405">
        <w:t>segment</w:t>
      </w:r>
      <w:r w:rsidR="00190923" w:rsidRPr="00981405">
        <w:t xml:space="preserve"> </w:t>
      </w:r>
      <w:r w:rsidRPr="00981405">
        <w:t>of</w:t>
      </w:r>
      <w:r w:rsidR="00190923" w:rsidRPr="00981405">
        <w:t xml:space="preserve"> </w:t>
      </w:r>
      <w:r w:rsidRPr="00981405">
        <w:t>its</w:t>
      </w:r>
      <w:r w:rsidR="00190923" w:rsidRPr="00981405">
        <w:t xml:space="preserve"> </w:t>
      </w:r>
      <w:r w:rsidRPr="00981405">
        <w:t>seventieth</w:t>
      </w:r>
      <w:r w:rsidR="00190923" w:rsidRPr="00981405">
        <w:t xml:space="preserve"> </w:t>
      </w:r>
      <w:r w:rsidRPr="00981405">
        <w:t>session</w:t>
      </w:r>
      <w:r w:rsidR="00190923" w:rsidRPr="00981405">
        <w:t xml:space="preserve"> </w:t>
      </w:r>
      <w:r w:rsidRPr="00981405">
        <w:t>(2018)</w:t>
      </w:r>
      <w:r w:rsidR="00190923" w:rsidRPr="00981405">
        <w:t xml:space="preserve"> </w:t>
      </w:r>
      <w:r w:rsidRPr="00981405">
        <w:t>would</w:t>
      </w:r>
      <w:r w:rsidR="00190923" w:rsidRPr="00981405">
        <w:t xml:space="preserve"> </w:t>
      </w:r>
      <w:r w:rsidRPr="00981405">
        <w:t>be</w:t>
      </w:r>
      <w:r w:rsidR="00190923" w:rsidRPr="00981405">
        <w:t xml:space="preserve"> </w:t>
      </w:r>
      <w:r w:rsidRPr="00981405">
        <w:t>convened</w:t>
      </w:r>
      <w:r w:rsidR="00190923" w:rsidRPr="00981405">
        <w:t xml:space="preserve"> </w:t>
      </w:r>
      <w:r w:rsidRPr="00981405">
        <w:t>at</w:t>
      </w:r>
      <w:r w:rsidR="00190923" w:rsidRPr="00981405">
        <w:t xml:space="preserve"> </w:t>
      </w:r>
      <w:r w:rsidRPr="00981405">
        <w:t>the</w:t>
      </w:r>
      <w:r w:rsidR="00190923" w:rsidRPr="00981405">
        <w:t xml:space="preserve"> </w:t>
      </w:r>
      <w:r w:rsidRPr="00981405">
        <w:t>United</w:t>
      </w:r>
      <w:r w:rsidR="00190923" w:rsidRPr="00981405">
        <w:t xml:space="preserve"> </w:t>
      </w:r>
      <w:r w:rsidRPr="00981405">
        <w:lastRenderedPageBreak/>
        <w:t>Nations</w:t>
      </w:r>
      <w:r w:rsidR="00190923" w:rsidRPr="00981405">
        <w:t xml:space="preserve"> </w:t>
      </w:r>
      <w:r w:rsidRPr="00981405">
        <w:t>Headquarters</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Accordingly,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requested</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to</w:t>
      </w:r>
      <w:r w:rsidR="00190923" w:rsidRPr="00981405">
        <w:t xml:space="preserve"> </w:t>
      </w:r>
      <w:r w:rsidRPr="00981405">
        <w:t>proceed</w:t>
      </w:r>
      <w:r w:rsidR="00190923" w:rsidRPr="00981405">
        <w:t xml:space="preserve"> </w:t>
      </w:r>
      <w:r w:rsidRPr="00981405">
        <w:t>to</w:t>
      </w:r>
      <w:r w:rsidR="00190923" w:rsidRPr="00981405">
        <w:t xml:space="preserve"> </w:t>
      </w:r>
      <w:r w:rsidRPr="00981405">
        <w:t>make</w:t>
      </w:r>
      <w:r w:rsidR="00190923" w:rsidRPr="00981405">
        <w:t xml:space="preserve"> </w:t>
      </w:r>
      <w:r w:rsidRPr="00981405">
        <w:t>the</w:t>
      </w:r>
      <w:r w:rsidR="00190923" w:rsidRPr="00981405">
        <w:t xml:space="preserve"> </w:t>
      </w:r>
      <w:r w:rsidRPr="00981405">
        <w:t>necessary</w:t>
      </w:r>
      <w:r w:rsidR="00190923" w:rsidRPr="00981405">
        <w:t xml:space="preserve"> </w:t>
      </w:r>
      <w:r w:rsidRPr="00981405">
        <w:t>arrangements</w:t>
      </w:r>
      <w:r w:rsidR="00190923" w:rsidRPr="00981405">
        <w:t xml:space="preserve"> </w:t>
      </w:r>
      <w:r w:rsidRPr="00981405">
        <w:t>for</w:t>
      </w:r>
      <w:r w:rsidR="00190923" w:rsidRPr="00981405">
        <w:t xml:space="preserve"> </w:t>
      </w:r>
      <w:r w:rsidRPr="00981405">
        <w:t>that</w:t>
      </w:r>
      <w:r w:rsidR="00190923" w:rsidRPr="00981405">
        <w:t xml:space="preserve"> </w:t>
      </w:r>
      <w:r w:rsidRPr="00981405">
        <w:t>purpose</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facilitate</w:t>
      </w:r>
      <w:r w:rsidR="00190923" w:rsidRPr="00981405">
        <w:t xml:space="preserve"> </w:t>
      </w:r>
      <w:r w:rsidRPr="00981405">
        <w:t>the</w:t>
      </w:r>
      <w:r w:rsidR="00190923" w:rsidRPr="00981405">
        <w:t xml:space="preserve"> </w:t>
      </w:r>
      <w:r w:rsidRPr="00981405">
        <w:t>taking</w:t>
      </w:r>
      <w:r w:rsidR="00190923" w:rsidRPr="00981405">
        <w:t xml:space="preserve"> </w:t>
      </w:r>
      <w:r w:rsidRPr="00981405">
        <w:t>of</w:t>
      </w:r>
      <w:r w:rsidR="00190923" w:rsidRPr="00981405">
        <w:t xml:space="preserve"> </w:t>
      </w:r>
      <w:r w:rsidRPr="00981405">
        <w:t>the</w:t>
      </w:r>
      <w:r w:rsidR="00190923" w:rsidRPr="00981405">
        <w:t xml:space="preserve"> </w:t>
      </w:r>
      <w:r w:rsidRPr="00981405">
        <w:t>appropriate</w:t>
      </w:r>
      <w:r w:rsidR="00190923" w:rsidRPr="00981405">
        <w:t xml:space="preserve"> </w:t>
      </w:r>
      <w:r w:rsidRPr="00981405">
        <w:t>decision</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in</w:t>
      </w:r>
      <w:r w:rsidR="00190923" w:rsidRPr="00981405">
        <w:t xml:space="preserve"> </w:t>
      </w:r>
      <w:r w:rsidRPr="00981405">
        <w:t>2016.</w:t>
      </w:r>
    </w:p>
    <w:p w:rsidR="00BD3228" w:rsidRPr="00D97463" w:rsidRDefault="00BD3228" w:rsidP="00D97463">
      <w:pPr>
        <w:pStyle w:val="SingleTxt"/>
        <w:spacing w:after="0" w:line="120" w:lineRule="exact"/>
        <w:rPr>
          <w:sz w:val="10"/>
        </w:rPr>
      </w:pPr>
    </w:p>
    <w:p w:rsidR="00397032" w:rsidRPr="00D97463" w:rsidRDefault="00397032" w:rsidP="00D97463">
      <w:pPr>
        <w:pStyle w:val="H23"/>
        <w:ind w:right="1260"/>
      </w:pPr>
      <w:r w:rsidRPr="00D97463">
        <w:tab/>
        <w:t>5.</w:t>
      </w:r>
      <w:r w:rsidR="00BD3228" w:rsidRPr="00D97463">
        <w:tab/>
      </w:r>
      <w:r w:rsidRPr="00D97463">
        <w:t>Honoraria</w:t>
      </w:r>
    </w:p>
    <w:p w:rsidR="00BD3228" w:rsidRPr="00D97463" w:rsidRDefault="00BD3228" w:rsidP="00D97463">
      <w:pPr>
        <w:pStyle w:val="SingleTxt"/>
        <w:spacing w:after="0" w:line="120" w:lineRule="exact"/>
        <w:rPr>
          <w:sz w:val="10"/>
        </w:rPr>
      </w:pPr>
    </w:p>
    <w:p w:rsidR="00397032" w:rsidRPr="00981405" w:rsidRDefault="00397032" w:rsidP="00D97463">
      <w:pPr>
        <w:pStyle w:val="SingleTxt"/>
      </w:pPr>
      <w:r w:rsidRPr="00981405">
        <w:t>299.</w:t>
      </w:r>
      <w:r w:rsidRPr="00981405">
        <w:tab/>
        <w:t>The</w:t>
      </w:r>
      <w:r w:rsidR="00190923" w:rsidRPr="00981405">
        <w:t xml:space="preserve"> </w:t>
      </w:r>
      <w:r w:rsidRPr="00981405">
        <w:t>Commission</w:t>
      </w:r>
      <w:r w:rsidR="00190923" w:rsidRPr="00981405">
        <w:t xml:space="preserve"> </w:t>
      </w:r>
      <w:r w:rsidRPr="00981405">
        <w:t>reiterates</w:t>
      </w:r>
      <w:r w:rsidR="00190923" w:rsidRPr="00981405">
        <w:t xml:space="preserve"> </w:t>
      </w:r>
      <w:r w:rsidRPr="00981405">
        <w:t>its</w:t>
      </w:r>
      <w:r w:rsidR="00190923" w:rsidRPr="00981405">
        <w:t xml:space="preserve"> </w:t>
      </w:r>
      <w:r w:rsidRPr="00981405">
        <w:t>views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honoraria,</w:t>
      </w:r>
      <w:r w:rsidR="00190923" w:rsidRPr="00981405">
        <w:t xml:space="preserve"> </w:t>
      </w:r>
      <w:r w:rsidRPr="00981405">
        <w:t>resulting</w:t>
      </w:r>
      <w:r w:rsidR="00190923" w:rsidRPr="00981405">
        <w:t xml:space="preserve"> </w:t>
      </w:r>
      <w:r w:rsidRPr="00981405">
        <w:t>from</w:t>
      </w:r>
      <w:r w:rsidR="00190923" w:rsidRPr="00981405">
        <w:t xml:space="preserve"> </w:t>
      </w:r>
      <w:r w:rsidRPr="00981405">
        <w:t>the</w:t>
      </w:r>
      <w:r w:rsidR="00190923" w:rsidRPr="00981405">
        <w:t xml:space="preserve"> </w:t>
      </w:r>
      <w:r w:rsidRPr="00981405">
        <w:t>adoption</w:t>
      </w:r>
      <w:r w:rsidR="00190923" w:rsidRPr="00981405">
        <w:t xml:space="preserve"> </w:t>
      </w:r>
      <w:r w:rsidRPr="00981405">
        <w:t>by</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of</w:t>
      </w:r>
      <w:r w:rsidR="00190923" w:rsidRPr="00981405">
        <w:t xml:space="preserve"> </w:t>
      </w:r>
      <w:r w:rsidRPr="00981405">
        <w:t>its</w:t>
      </w:r>
      <w:r w:rsidR="00190923" w:rsidRPr="00981405">
        <w:t xml:space="preserve"> </w:t>
      </w:r>
      <w:r w:rsidRPr="00981405">
        <w:t>resolution</w:t>
      </w:r>
      <w:r w:rsidR="00190923" w:rsidRPr="00981405">
        <w:t xml:space="preserve"> </w:t>
      </w:r>
      <w:r w:rsidRPr="00981405">
        <w:t>56/272</w:t>
      </w:r>
      <w:r w:rsidR="00190923" w:rsidRPr="00981405">
        <w:t xml:space="preserve"> </w:t>
      </w:r>
      <w:r w:rsidRPr="00981405">
        <w:t>of</w:t>
      </w:r>
      <w:r w:rsidR="00190923" w:rsidRPr="00981405">
        <w:t xml:space="preserve"> </w:t>
      </w:r>
      <w:r w:rsidRPr="00981405">
        <w:t>27</w:t>
      </w:r>
      <w:r w:rsidR="00190923" w:rsidRPr="00981405">
        <w:t xml:space="preserve"> </w:t>
      </w:r>
      <w:r w:rsidRPr="00981405">
        <w:t>March</w:t>
      </w:r>
      <w:r w:rsidR="00190923" w:rsidRPr="00981405">
        <w:t xml:space="preserve"> </w:t>
      </w:r>
      <w:r w:rsidRPr="00981405">
        <w:t>2002,</w:t>
      </w:r>
      <w:r w:rsidR="00190923" w:rsidRPr="00981405">
        <w:t xml:space="preserve"> </w:t>
      </w:r>
      <w:r w:rsidRPr="00981405">
        <w:t>which</w:t>
      </w:r>
      <w:r w:rsidR="00190923" w:rsidRPr="00981405">
        <w:t xml:space="preserve"> </w:t>
      </w:r>
      <w:r w:rsidRPr="00981405">
        <w:t>has</w:t>
      </w:r>
      <w:r w:rsidR="00190923" w:rsidRPr="00981405">
        <w:t xml:space="preserve"> </w:t>
      </w:r>
      <w:r w:rsidRPr="00981405">
        <w:t>been</w:t>
      </w:r>
      <w:r w:rsidR="00190923" w:rsidRPr="00981405">
        <w:t xml:space="preserve"> </w:t>
      </w:r>
      <w:r w:rsidRPr="00981405">
        <w:t>expressed</w:t>
      </w:r>
      <w:r w:rsidR="00190923" w:rsidRPr="00981405">
        <w:t xml:space="preserve"> </w:t>
      </w:r>
      <w:r w:rsidRPr="00981405">
        <w:t>in</w:t>
      </w:r>
      <w:r w:rsidR="00190923" w:rsidRPr="00981405">
        <w:t xml:space="preserve"> </w:t>
      </w:r>
      <w:r w:rsidRPr="00981405">
        <w:t>the</w:t>
      </w:r>
      <w:r w:rsidR="00190923" w:rsidRPr="00981405">
        <w:t xml:space="preserve"> </w:t>
      </w:r>
      <w:r w:rsidRPr="00981405">
        <w:t>previous</w:t>
      </w:r>
      <w:r w:rsidR="00190923" w:rsidRPr="00981405">
        <w:t xml:space="preserve"> </w:t>
      </w:r>
      <w:r w:rsidRPr="00981405">
        <w:t>reports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Pr="00981405">
        <w:rPr>
          <w:rStyle w:val="FootnoteReference"/>
        </w:rPr>
        <w:footnoteReference w:id="401"/>
      </w:r>
      <w:r w:rsidR="00190923" w:rsidRPr="00981405">
        <w:t xml:space="preserve"> </w:t>
      </w:r>
      <w:r w:rsidRPr="00981405">
        <w:t>The</w:t>
      </w:r>
      <w:r w:rsidR="00190923" w:rsidRPr="00981405">
        <w:t xml:space="preserve"> </w:t>
      </w:r>
      <w:r w:rsidRPr="00981405">
        <w:t>Commission</w:t>
      </w:r>
      <w:r w:rsidR="00190923" w:rsidRPr="00981405">
        <w:t xml:space="preserve"> </w:t>
      </w:r>
      <w:r w:rsidRPr="00981405">
        <w:t>emphasizes</w:t>
      </w:r>
      <w:r w:rsidR="00190923" w:rsidRPr="00981405">
        <w:t xml:space="preserve"> </w:t>
      </w:r>
      <w:r w:rsidRPr="00981405">
        <w:t>that</w:t>
      </w:r>
      <w:r w:rsidR="00190923" w:rsidRPr="00981405">
        <w:t xml:space="preserve"> </w:t>
      </w:r>
      <w:r w:rsidRPr="00981405">
        <w:t>resolution</w:t>
      </w:r>
      <w:r w:rsidR="00190923" w:rsidRPr="00981405">
        <w:t xml:space="preserve"> </w:t>
      </w:r>
      <w:r w:rsidRPr="00981405">
        <w:t>56/272</w:t>
      </w:r>
      <w:r w:rsidR="00190923" w:rsidRPr="00981405">
        <w:t xml:space="preserve"> </w:t>
      </w:r>
      <w:r w:rsidRPr="00981405">
        <w:t>especially</w:t>
      </w:r>
      <w:r w:rsidR="00190923" w:rsidRPr="00981405">
        <w:t xml:space="preserve"> </w:t>
      </w:r>
      <w:r w:rsidRPr="00981405">
        <w:t>affects</w:t>
      </w:r>
      <w:r w:rsidR="00190923" w:rsidRPr="00981405">
        <w:t xml:space="preserve"> </w:t>
      </w:r>
      <w:r w:rsidRPr="00981405">
        <w:t>Special</w:t>
      </w:r>
      <w:r w:rsidR="00190923" w:rsidRPr="00981405">
        <w:t xml:space="preserve"> </w:t>
      </w:r>
      <w:r w:rsidRPr="00981405">
        <w:t>Rapporteurs,</w:t>
      </w:r>
      <w:r w:rsidR="00190923" w:rsidRPr="00981405">
        <w:t xml:space="preserve"> </w:t>
      </w:r>
      <w:r w:rsidRPr="00981405">
        <w:t>as</w:t>
      </w:r>
      <w:r w:rsidR="00190923" w:rsidRPr="00981405">
        <w:t xml:space="preserve"> </w:t>
      </w:r>
      <w:r w:rsidRPr="00981405">
        <w:t>it</w:t>
      </w:r>
      <w:r w:rsidR="00190923" w:rsidRPr="00981405">
        <w:t xml:space="preserve"> </w:t>
      </w:r>
      <w:r w:rsidRPr="00981405">
        <w:t>compromises</w:t>
      </w:r>
      <w:r w:rsidR="00190923" w:rsidRPr="00981405">
        <w:t xml:space="preserve"> </w:t>
      </w:r>
      <w:r w:rsidRPr="00981405">
        <w:t>support</w:t>
      </w:r>
      <w:r w:rsidR="00190923" w:rsidRPr="00981405">
        <w:t xml:space="preserve"> </w:t>
      </w:r>
      <w:r w:rsidRPr="00981405">
        <w:t>for</w:t>
      </w:r>
      <w:r w:rsidR="00190923" w:rsidRPr="00981405">
        <w:t xml:space="preserve"> </w:t>
      </w:r>
      <w:r w:rsidRPr="00981405">
        <w:t>their</w:t>
      </w:r>
      <w:r w:rsidR="00190923" w:rsidRPr="00981405">
        <w:t xml:space="preserve"> </w:t>
      </w:r>
      <w:r w:rsidRPr="00981405">
        <w:t>research</w:t>
      </w:r>
      <w:r w:rsidR="00190923" w:rsidRPr="00981405">
        <w:t xml:space="preserve"> </w:t>
      </w:r>
      <w:r w:rsidRPr="00981405">
        <w:t>work.</w:t>
      </w:r>
    </w:p>
    <w:p w:rsidR="00BD3228" w:rsidRPr="00D97463" w:rsidRDefault="00BD3228" w:rsidP="00D97463">
      <w:pPr>
        <w:pStyle w:val="SingleTxt"/>
        <w:spacing w:after="0" w:line="120" w:lineRule="exact"/>
        <w:rPr>
          <w:sz w:val="10"/>
        </w:rPr>
      </w:pPr>
    </w:p>
    <w:p w:rsidR="00397032" w:rsidRPr="00D97463" w:rsidRDefault="00BD3228" w:rsidP="00D97463">
      <w:pPr>
        <w:pStyle w:val="H23"/>
        <w:ind w:right="1260"/>
      </w:pPr>
      <w:r w:rsidRPr="00D97463">
        <w:tab/>
      </w:r>
      <w:r w:rsidR="00397032" w:rsidRPr="00D97463">
        <w:t>6.</w:t>
      </w:r>
      <w:r w:rsidRPr="00D97463">
        <w:tab/>
      </w:r>
      <w:r w:rsidR="00397032" w:rsidRPr="00D97463">
        <w:t>Documentation</w:t>
      </w:r>
      <w:r w:rsidR="00190923" w:rsidRPr="00D97463">
        <w:t xml:space="preserve"> </w:t>
      </w:r>
      <w:r w:rsidR="00397032" w:rsidRPr="00D97463">
        <w:t>and</w:t>
      </w:r>
      <w:r w:rsidR="00190923" w:rsidRPr="00D97463">
        <w:t xml:space="preserve"> </w:t>
      </w:r>
      <w:r w:rsidR="00397032" w:rsidRPr="00D97463">
        <w:t>publications</w:t>
      </w:r>
    </w:p>
    <w:p w:rsidR="00BD3228" w:rsidRPr="00D97463" w:rsidRDefault="00BD3228" w:rsidP="00D97463">
      <w:pPr>
        <w:pStyle w:val="SingleTxt"/>
        <w:spacing w:after="0" w:line="120" w:lineRule="exact"/>
        <w:rPr>
          <w:sz w:val="10"/>
        </w:rPr>
      </w:pPr>
    </w:p>
    <w:p w:rsidR="00397032" w:rsidRPr="00981405" w:rsidRDefault="00397032" w:rsidP="00D97463">
      <w:pPr>
        <w:pStyle w:val="SingleTxt"/>
      </w:pPr>
      <w:r w:rsidRPr="00981405">
        <w:t>300.</w:t>
      </w:r>
      <w:r w:rsidRPr="00981405">
        <w:tab/>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its</w:t>
      </w:r>
      <w:r w:rsidR="00190923" w:rsidRPr="00981405">
        <w:t xml:space="preserve"> </w:t>
      </w:r>
      <w:r w:rsidRPr="00981405">
        <w:t>recognition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relevance</w:t>
      </w:r>
      <w:r w:rsidR="00190923" w:rsidRPr="00981405">
        <w:t xml:space="preserve"> </w:t>
      </w:r>
      <w:r w:rsidRPr="00981405">
        <w:t>and</w:t>
      </w:r>
      <w:r w:rsidR="00190923" w:rsidRPr="00981405">
        <w:t xml:space="preserve"> </w:t>
      </w:r>
      <w:r w:rsidRPr="00981405">
        <w:t>significant</w:t>
      </w:r>
      <w:r w:rsidR="00190923" w:rsidRPr="00981405">
        <w:t xml:space="preserve"> </w:t>
      </w:r>
      <w:r w:rsidRPr="00981405">
        <w:t>value</w:t>
      </w:r>
      <w:r w:rsidR="00190923" w:rsidRPr="00981405">
        <w:t xml:space="preserve"> </w:t>
      </w:r>
      <w:r w:rsidRPr="00981405">
        <w:t>to</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the</w:t>
      </w:r>
      <w:r w:rsidR="00190923" w:rsidRPr="00981405">
        <w:t xml:space="preserve"> </w:t>
      </w:r>
      <w:r w:rsidRPr="00981405">
        <w:t>legal</w:t>
      </w:r>
      <w:r w:rsidR="00190923" w:rsidRPr="00981405">
        <w:t xml:space="preserve"> </w:t>
      </w:r>
      <w:r w:rsidRPr="00981405">
        <w:t>publications</w:t>
      </w:r>
      <w:r w:rsidR="00190923" w:rsidRPr="00981405">
        <w:t xml:space="preserve"> </w:t>
      </w:r>
      <w:r w:rsidRPr="00981405">
        <w:t>prepared</w:t>
      </w:r>
      <w:r w:rsidR="00190923" w:rsidRPr="00981405">
        <w:t xml:space="preserve"> </w:t>
      </w:r>
      <w:r w:rsidRPr="00981405">
        <w:t>by</w:t>
      </w:r>
      <w:r w:rsidR="00190923" w:rsidRPr="00981405">
        <w:t xml:space="preserve"> </w:t>
      </w:r>
      <w:r w:rsidRPr="00981405">
        <w:t>the</w:t>
      </w:r>
      <w:r w:rsidR="00190923" w:rsidRPr="00981405">
        <w:t xml:space="preserve"> </w:t>
      </w:r>
      <w:r w:rsidRPr="00981405">
        <w:t>Secretariat.</w:t>
      </w:r>
      <w:r w:rsidRPr="00981405">
        <w:rPr>
          <w:rStyle w:val="FootnoteReference"/>
        </w:rPr>
        <w:footnoteReference w:id="402"/>
      </w:r>
      <w:r w:rsidR="00190923" w:rsidRPr="00981405">
        <w:t xml:space="preserve"> </w:t>
      </w:r>
      <w:r w:rsidRPr="00981405">
        <w:t>It</w:t>
      </w:r>
      <w:r w:rsidR="00190923" w:rsidRPr="00981405">
        <w:t xml:space="preserve"> </w:t>
      </w:r>
      <w:r w:rsidRPr="00981405">
        <w:t>recalled</w:t>
      </w:r>
      <w:r w:rsidR="00190923" w:rsidRPr="00981405">
        <w:t xml:space="preserve"> </w:t>
      </w:r>
      <w:r w:rsidRPr="00981405">
        <w:t>that</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190923" w:rsidRPr="00981405">
        <w:t xml:space="preserve"> </w:t>
      </w:r>
      <w:r w:rsidRPr="00981405">
        <w:t>had</w:t>
      </w:r>
      <w:r w:rsidR="00190923" w:rsidRPr="00981405">
        <w:t xml:space="preserve"> </w:t>
      </w:r>
      <w:r w:rsidRPr="00981405">
        <w:t>been</w:t>
      </w:r>
      <w:r w:rsidR="00190923" w:rsidRPr="00981405">
        <w:t xml:space="preserve"> </w:t>
      </w:r>
      <w:r w:rsidRPr="00981405">
        <w:t>able</w:t>
      </w:r>
      <w:r w:rsidR="00190923" w:rsidRPr="00981405">
        <w:t xml:space="preserve"> </w:t>
      </w:r>
      <w:r w:rsidRPr="00981405">
        <w:t>significantly</w:t>
      </w:r>
      <w:r w:rsidR="00190923" w:rsidRPr="00981405">
        <w:t xml:space="preserve"> </w:t>
      </w:r>
      <w:r w:rsidRPr="00981405">
        <w:t>to</w:t>
      </w:r>
      <w:r w:rsidR="00190923" w:rsidRPr="00981405">
        <w:t xml:space="preserve"> </w:t>
      </w:r>
      <w:r w:rsidRPr="00981405">
        <w:t>expedite</w:t>
      </w:r>
      <w:r w:rsidR="00190923" w:rsidRPr="00981405">
        <w:t xml:space="preserve"> </w:t>
      </w:r>
      <w:r w:rsidRPr="00981405">
        <w:t>the</w:t>
      </w:r>
      <w:r w:rsidR="00190923" w:rsidRPr="00981405">
        <w:t xml:space="preserve"> </w:t>
      </w:r>
      <w:r w:rsidRPr="00981405">
        <w:t>issuance</w:t>
      </w:r>
      <w:r w:rsidR="00190923" w:rsidRPr="00981405">
        <w:t xml:space="preserve"> </w:t>
      </w:r>
      <w:r w:rsidRPr="00981405">
        <w:t>of</w:t>
      </w:r>
      <w:r w:rsidR="00190923" w:rsidRPr="00981405">
        <w:t xml:space="preserve"> </w:t>
      </w:r>
      <w:r w:rsidRPr="00981405">
        <w:t>its</w:t>
      </w:r>
      <w:r w:rsidR="00190923" w:rsidRPr="00981405">
        <w:t xml:space="preserve"> </w:t>
      </w:r>
      <w:r w:rsidRPr="00981405">
        <w:t>publications</w:t>
      </w:r>
      <w:r w:rsidR="00190923" w:rsidRPr="00981405">
        <w:t xml:space="preserve"> </w:t>
      </w:r>
      <w:r w:rsidRPr="00981405">
        <w:t>through</w:t>
      </w:r>
      <w:r w:rsidR="00190923" w:rsidRPr="00981405">
        <w:t xml:space="preserve"> </w:t>
      </w:r>
      <w:r w:rsidRPr="00981405">
        <w:t>its</w:t>
      </w:r>
      <w:r w:rsidR="00190923" w:rsidRPr="00981405">
        <w:t xml:space="preserve"> </w:t>
      </w:r>
      <w:r w:rsidRPr="00981405">
        <w:t>highly</w:t>
      </w:r>
      <w:r w:rsidR="00190923" w:rsidRPr="00981405">
        <w:t xml:space="preserve"> </w:t>
      </w:r>
      <w:r w:rsidRPr="00981405">
        <w:t>successful</w:t>
      </w:r>
      <w:r w:rsidR="00190923" w:rsidRPr="00981405">
        <w:t xml:space="preserve"> </w:t>
      </w:r>
      <w:r w:rsidRPr="00981405">
        <w:t>desktop</w:t>
      </w:r>
      <w:r w:rsidR="00190923" w:rsidRPr="00981405">
        <w:t xml:space="preserve"> </w:t>
      </w:r>
      <w:r w:rsidRPr="00981405">
        <w:t>publishing</w:t>
      </w:r>
      <w:r w:rsidR="00190923" w:rsidRPr="00981405">
        <w:t xml:space="preserve"> </w:t>
      </w:r>
      <w:r w:rsidRPr="00981405">
        <w:t>initiative</w:t>
      </w:r>
      <w:r w:rsidR="00190923" w:rsidRPr="00981405">
        <w:t xml:space="preserve"> </w:t>
      </w:r>
      <w:r w:rsidRPr="00981405">
        <w:t>which</w:t>
      </w:r>
      <w:r w:rsidR="00190923" w:rsidRPr="00981405">
        <w:t xml:space="preserve"> </w:t>
      </w:r>
      <w:r w:rsidRPr="00981405">
        <w:t>greatly</w:t>
      </w:r>
      <w:r w:rsidR="00190923" w:rsidRPr="00981405">
        <w:t xml:space="preserve"> </w:t>
      </w:r>
      <w:r w:rsidRPr="00981405">
        <w:t>enhanced</w:t>
      </w:r>
      <w:r w:rsidR="00190923" w:rsidRPr="00981405">
        <w:t xml:space="preserve"> </w:t>
      </w:r>
      <w:r w:rsidRPr="00981405">
        <w:t>the</w:t>
      </w:r>
      <w:r w:rsidR="00190923" w:rsidRPr="00981405">
        <w:t xml:space="preserve"> </w:t>
      </w:r>
      <w:r w:rsidRPr="00981405">
        <w:t>timeliness</w:t>
      </w:r>
      <w:r w:rsidR="00190923" w:rsidRPr="00981405">
        <w:t xml:space="preserve"> </w:t>
      </w:r>
      <w:r w:rsidRPr="00981405">
        <w:t>and</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these</w:t>
      </w:r>
      <w:r w:rsidR="00190923" w:rsidRPr="00981405">
        <w:t xml:space="preserve"> </w:t>
      </w:r>
      <w:r w:rsidRPr="00981405">
        <w:t>publications</w:t>
      </w:r>
      <w:r w:rsidR="00190923" w:rsidRPr="00981405">
        <w:t xml:space="preserve"> </w:t>
      </w:r>
      <w:r w:rsidRPr="00981405">
        <w:t>to</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work</w:t>
      </w:r>
      <w:r w:rsidR="00190923" w:rsidRPr="00981405">
        <w:t xml:space="preserve"> </w:t>
      </w:r>
      <w:r w:rsidRPr="00981405">
        <w:t>for</w:t>
      </w:r>
      <w:r w:rsidR="00190923" w:rsidRPr="00981405">
        <w:t xml:space="preserve"> </w:t>
      </w:r>
      <w:r w:rsidRPr="00981405">
        <w:t>more</w:t>
      </w:r>
      <w:r w:rsidR="00190923" w:rsidRPr="00981405">
        <w:t xml:space="preserve"> </w:t>
      </w:r>
      <w:r w:rsidRPr="00981405">
        <w:t>than</w:t>
      </w:r>
      <w:r w:rsidR="00190923" w:rsidRPr="00981405">
        <w:t xml:space="preserve"> </w:t>
      </w:r>
      <w:r w:rsidRPr="00981405">
        <w:t>a</w:t>
      </w:r>
      <w:r w:rsidR="00190923" w:rsidRPr="00981405">
        <w:t xml:space="preserve"> </w:t>
      </w:r>
      <w:r w:rsidRPr="00981405">
        <w:t>decade.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its</w:t>
      </w:r>
      <w:r w:rsidR="00190923" w:rsidRPr="00981405">
        <w:t xml:space="preserve"> </w:t>
      </w:r>
      <w:r w:rsidRPr="00981405">
        <w:t>regret</w:t>
      </w:r>
      <w:r w:rsidR="00190923" w:rsidRPr="00981405">
        <w:t xml:space="preserve"> </w:t>
      </w:r>
      <w:r w:rsidRPr="00981405">
        <w:t>as</w:t>
      </w:r>
      <w:r w:rsidR="00190923" w:rsidRPr="00981405">
        <w:t xml:space="preserve"> </w:t>
      </w:r>
      <w:r w:rsidRPr="00981405">
        <w:t>regards</w:t>
      </w:r>
      <w:r w:rsidR="00190923" w:rsidRPr="00981405">
        <w:t xml:space="preserve"> </w:t>
      </w:r>
      <w:r w:rsidRPr="00981405">
        <w:t>the</w:t>
      </w:r>
      <w:r w:rsidR="00190923" w:rsidRPr="00981405">
        <w:t xml:space="preserve"> </w:t>
      </w:r>
      <w:r w:rsidRPr="00981405">
        <w:t>curtailment</w:t>
      </w:r>
      <w:r w:rsidR="00190923" w:rsidRPr="00981405">
        <w:t xml:space="preserve"> </w:t>
      </w:r>
      <w:r w:rsidRPr="00981405">
        <w:t>and</w:t>
      </w:r>
      <w:r w:rsidR="00190923" w:rsidRPr="00981405">
        <w:t xml:space="preserve"> </w:t>
      </w:r>
      <w:r w:rsidRPr="00981405">
        <w:t>possible</w:t>
      </w:r>
      <w:r w:rsidR="00190923" w:rsidRPr="00981405">
        <w:t xml:space="preserve"> </w:t>
      </w:r>
      <w:r w:rsidRPr="00981405">
        <w:t>discontinuation</w:t>
      </w:r>
      <w:r w:rsidR="00190923" w:rsidRPr="00981405">
        <w:t xml:space="preserve"> </w:t>
      </w:r>
      <w:r w:rsidRPr="00981405">
        <w:t>of</w:t>
      </w:r>
      <w:r w:rsidR="00190923" w:rsidRPr="00981405">
        <w:t xml:space="preserve"> </w:t>
      </w:r>
      <w:r w:rsidRPr="00981405">
        <w:t>this</w:t>
      </w:r>
      <w:r w:rsidR="00190923" w:rsidRPr="00981405">
        <w:t xml:space="preserve"> </w:t>
      </w:r>
      <w:r w:rsidRPr="00981405">
        <w:t>initiative</w:t>
      </w:r>
      <w:r w:rsidR="00190923" w:rsidRPr="00981405">
        <w:t xml:space="preserve"> </w:t>
      </w:r>
      <w:r w:rsidRPr="00981405">
        <w:t>due</w:t>
      </w:r>
      <w:r w:rsidR="00190923" w:rsidRPr="00981405">
        <w:t xml:space="preserve"> </w:t>
      </w:r>
      <w:r w:rsidRPr="00981405">
        <w:t>to</w:t>
      </w:r>
      <w:r w:rsidR="00190923" w:rsidRPr="00981405">
        <w:t xml:space="preserve"> </w:t>
      </w:r>
      <w:r w:rsidRPr="00981405">
        <w:t>lack</w:t>
      </w:r>
      <w:r w:rsidR="00190923" w:rsidRPr="00981405">
        <w:t xml:space="preserve"> </w:t>
      </w:r>
      <w:r w:rsidRPr="00981405">
        <w:t>of</w:t>
      </w:r>
      <w:r w:rsidR="00190923" w:rsidRPr="00981405">
        <w:t xml:space="preserve"> </w:t>
      </w:r>
      <w:r w:rsidRPr="00981405">
        <w:t>resources</w:t>
      </w:r>
      <w:r w:rsidR="00190923" w:rsidRPr="00981405">
        <w:t xml:space="preserve"> </w:t>
      </w:r>
      <w:r w:rsidRPr="00981405">
        <w:t>and</w:t>
      </w:r>
      <w:r w:rsidR="00190923" w:rsidRPr="00981405">
        <w:t xml:space="preserve"> </w:t>
      </w:r>
      <w:r w:rsidRPr="00981405">
        <w:t>that</w:t>
      </w:r>
      <w:r w:rsidR="00190923" w:rsidRPr="00981405">
        <w:t xml:space="preserve"> </w:t>
      </w:r>
      <w:r w:rsidRPr="00981405">
        <w:t>consequently</w:t>
      </w:r>
      <w:r w:rsidR="00190923" w:rsidRPr="00981405">
        <w:t xml:space="preserve"> </w:t>
      </w:r>
      <w:r w:rsidRPr="00981405">
        <w:t>that</w:t>
      </w:r>
      <w:r w:rsidR="00190923" w:rsidRPr="00981405">
        <w:t xml:space="preserve"> </w:t>
      </w:r>
      <w:r w:rsidRPr="00981405">
        <w:t>no</w:t>
      </w:r>
      <w:r w:rsidR="00190923" w:rsidRPr="00981405">
        <w:t xml:space="preserve"> </w:t>
      </w:r>
      <w:r w:rsidRPr="00981405">
        <w:t>new</w:t>
      </w:r>
      <w:r w:rsidR="00190923" w:rsidRPr="00981405">
        <w:t xml:space="preserve"> </w:t>
      </w:r>
      <w:r w:rsidRPr="00981405">
        <w:t>legal</w:t>
      </w:r>
      <w:r w:rsidR="00190923" w:rsidRPr="00981405">
        <w:t xml:space="preserve"> </w:t>
      </w:r>
      <w:r w:rsidRPr="00981405">
        <w:t>publications</w:t>
      </w:r>
      <w:r w:rsidR="00190923" w:rsidRPr="00981405">
        <w:t xml:space="preserve"> </w:t>
      </w:r>
      <w:r w:rsidRPr="00981405">
        <w:t>were</w:t>
      </w:r>
      <w:r w:rsidR="00190923" w:rsidRPr="00981405">
        <w:t xml:space="preserve"> </w:t>
      </w:r>
      <w:r w:rsidRPr="00981405">
        <w:t>distributed</w:t>
      </w:r>
      <w:r w:rsidR="00190923" w:rsidRPr="00981405">
        <w:t xml:space="preserve"> </w:t>
      </w:r>
      <w:r w:rsidRPr="00981405">
        <w:t>at</w:t>
      </w:r>
      <w:r w:rsidR="00190923" w:rsidRPr="00981405">
        <w:t xml:space="preserve"> </w:t>
      </w:r>
      <w:r w:rsidRPr="00981405">
        <w:t>its</w:t>
      </w:r>
      <w:r w:rsidR="00190923" w:rsidRPr="00981405">
        <w:t xml:space="preserve"> </w:t>
      </w:r>
      <w:r w:rsidRPr="00981405">
        <w:t>current</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its</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continuation</w:t>
      </w:r>
      <w:r w:rsidR="00190923" w:rsidRPr="00981405">
        <w:t xml:space="preserve"> </w:t>
      </w:r>
      <w:r w:rsidRPr="00981405">
        <w:t>of</w:t>
      </w:r>
      <w:r w:rsidR="00190923" w:rsidRPr="00981405">
        <w:t xml:space="preserve"> </w:t>
      </w:r>
      <w:r w:rsidRPr="00981405">
        <w:t>this</w:t>
      </w:r>
      <w:r w:rsidR="00190923" w:rsidRPr="00981405">
        <w:t xml:space="preserve"> </w:t>
      </w:r>
      <w:r w:rsidRPr="00981405">
        <w:t>initiative</w:t>
      </w:r>
      <w:r w:rsidR="00190923" w:rsidRPr="00981405">
        <w:t xml:space="preserve"> </w:t>
      </w:r>
      <w:r w:rsidRPr="00981405">
        <w:t>was</w:t>
      </w:r>
      <w:r w:rsidR="00190923" w:rsidRPr="00981405">
        <w:t xml:space="preserve"> </w:t>
      </w:r>
      <w:r w:rsidRPr="00981405">
        <w:t>essential</w:t>
      </w:r>
      <w:r w:rsidR="00190923" w:rsidRPr="00981405">
        <w:t xml:space="preserve"> </w:t>
      </w:r>
      <w:r w:rsidRPr="00981405">
        <w:t>to</w:t>
      </w:r>
      <w:r w:rsidR="00190923" w:rsidRPr="00981405">
        <w:t xml:space="preserve"> </w:t>
      </w:r>
      <w:r w:rsidRPr="00981405">
        <w:t>ensure</w:t>
      </w:r>
      <w:r w:rsidR="00190923" w:rsidRPr="00981405">
        <w:t xml:space="preserve"> </w:t>
      </w:r>
      <w:r w:rsidRPr="00981405">
        <w:t>the</w:t>
      </w:r>
      <w:r w:rsidR="00190923" w:rsidRPr="00981405">
        <w:t xml:space="preserve"> </w:t>
      </w:r>
      <w:r w:rsidRPr="00981405">
        <w:t>timely</w:t>
      </w:r>
      <w:r w:rsidR="00190923" w:rsidRPr="00981405">
        <w:t xml:space="preserve"> </w:t>
      </w:r>
      <w:r w:rsidRPr="00981405">
        <w:t>issuance</w:t>
      </w:r>
      <w:r w:rsidR="00190923" w:rsidRPr="00981405">
        <w:t xml:space="preserve"> </w:t>
      </w:r>
      <w:r w:rsidRPr="00981405">
        <w:t>of</w:t>
      </w:r>
      <w:r w:rsidR="00190923" w:rsidRPr="00981405">
        <w:t xml:space="preserve"> </w:t>
      </w:r>
      <w:r w:rsidRPr="00981405">
        <w:t>these</w:t>
      </w:r>
      <w:r w:rsidR="00190923" w:rsidRPr="00981405">
        <w:t xml:space="preserve"> </w:t>
      </w:r>
      <w:r w:rsidRPr="00981405">
        <w:t>legal</w:t>
      </w:r>
      <w:r w:rsidR="00190923" w:rsidRPr="00981405">
        <w:t xml:space="preserve"> </w:t>
      </w:r>
      <w:r w:rsidRPr="00981405">
        <w:t>publications,</w:t>
      </w:r>
      <w:r w:rsidR="00190923" w:rsidRPr="00981405">
        <w:t xml:space="preserve"> </w:t>
      </w:r>
      <w:r w:rsidRPr="00981405">
        <w:t>in</w:t>
      </w:r>
      <w:r w:rsidR="00190923" w:rsidRPr="00981405">
        <w:t xml:space="preserve"> </w:t>
      </w:r>
      <w:r w:rsidRPr="00981405">
        <w:t>particular</w:t>
      </w:r>
      <w:r w:rsidR="00190923" w:rsidRPr="00981405">
        <w:t xml:space="preserve"> </w:t>
      </w:r>
      <w:r w:rsidRPr="00D97463">
        <w:rPr>
          <w:i/>
          <w:iCs/>
        </w:rPr>
        <w:t>The</w:t>
      </w:r>
      <w:r w:rsidR="00190923" w:rsidRPr="00D97463">
        <w:rPr>
          <w:i/>
          <w:iCs/>
        </w:rPr>
        <w:t xml:space="preserve"> </w:t>
      </w:r>
      <w:r w:rsidRPr="00D97463">
        <w:rPr>
          <w:i/>
          <w:iCs/>
        </w:rPr>
        <w:t>Work</w:t>
      </w:r>
      <w:r w:rsidR="00190923" w:rsidRPr="00D97463">
        <w:rPr>
          <w:i/>
          <w:iCs/>
        </w:rPr>
        <w:t xml:space="preserve"> </w:t>
      </w:r>
      <w:r w:rsidRPr="00D97463">
        <w:rPr>
          <w:i/>
          <w:iCs/>
        </w:rPr>
        <w:t>of</w:t>
      </w:r>
      <w:r w:rsidR="00190923" w:rsidRPr="00D97463">
        <w:rPr>
          <w:i/>
          <w:iCs/>
        </w:rPr>
        <w:t xml:space="preserve"> </w:t>
      </w:r>
      <w:r w:rsidRPr="00D97463">
        <w:rPr>
          <w:i/>
          <w:iCs/>
        </w:rPr>
        <w:t>the</w:t>
      </w:r>
      <w:r w:rsidR="00190923" w:rsidRPr="00D97463">
        <w:rPr>
          <w:i/>
          <w:iCs/>
        </w:rPr>
        <w:t xml:space="preserve"> </w:t>
      </w:r>
      <w:r w:rsidRPr="00D97463">
        <w:rPr>
          <w:i/>
          <w:iCs/>
        </w:rPr>
        <w:t>International</w:t>
      </w:r>
      <w:r w:rsidR="00190923" w:rsidRPr="00D97463">
        <w:rPr>
          <w:i/>
          <w:iCs/>
        </w:rPr>
        <w:t xml:space="preserve"> </w:t>
      </w:r>
      <w:r w:rsidRPr="00D97463">
        <w:rPr>
          <w:i/>
          <w:iCs/>
        </w:rPr>
        <w:t>Law</w:t>
      </w:r>
      <w:r w:rsidR="00190923" w:rsidRPr="00D97463">
        <w:rPr>
          <w:i/>
          <w:iCs/>
        </w:rPr>
        <w:t xml:space="preserve"> </w:t>
      </w:r>
      <w:r w:rsidRPr="00D97463">
        <w:rPr>
          <w:i/>
          <w:iCs/>
        </w:rPr>
        <w:t>Commission</w:t>
      </w:r>
      <w:r w:rsidR="00190923" w:rsidRPr="00981405">
        <w:t xml:space="preserve"> </w:t>
      </w:r>
      <w:r w:rsidRPr="00981405">
        <w:t>in</w:t>
      </w:r>
      <w:r w:rsidR="00190923" w:rsidRPr="00981405">
        <w:t xml:space="preserve"> </w:t>
      </w:r>
      <w:r w:rsidRPr="00981405">
        <w:t>the</w:t>
      </w:r>
      <w:r w:rsidR="00190923" w:rsidRPr="00981405">
        <w:t xml:space="preserve"> </w:t>
      </w:r>
      <w:r w:rsidRPr="00981405">
        <w:t>various</w:t>
      </w:r>
      <w:r w:rsidR="00190923" w:rsidRPr="00981405">
        <w:t xml:space="preserve"> </w:t>
      </w:r>
      <w:r w:rsidRPr="00981405">
        <w:t>official</w:t>
      </w:r>
      <w:r w:rsidR="00190923" w:rsidRPr="00981405">
        <w:t xml:space="preserve"> </w:t>
      </w:r>
      <w:r w:rsidRPr="00981405">
        <w:t>languages.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again</w:t>
      </w:r>
      <w:r w:rsidR="00190923" w:rsidRPr="00981405">
        <w:t xml:space="preserve"> </w:t>
      </w:r>
      <w:r w:rsidRPr="00981405">
        <w:t>reiterated</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relevance</w:t>
      </w:r>
      <w:r w:rsidR="00190923" w:rsidRPr="00981405">
        <w:t xml:space="preserve"> </w:t>
      </w:r>
      <w:r w:rsidRPr="00981405">
        <w:t>and</w:t>
      </w:r>
      <w:r w:rsidR="00190923" w:rsidRPr="00981405">
        <w:t xml:space="preserve"> </w:t>
      </w:r>
      <w:r w:rsidRPr="00981405">
        <w:t>significant</w:t>
      </w:r>
      <w:r w:rsidR="00190923" w:rsidRPr="00981405">
        <w:t xml:space="preserve"> </w:t>
      </w:r>
      <w:r w:rsidRPr="00981405">
        <w:t>value</w:t>
      </w:r>
      <w:r w:rsidR="00190923" w:rsidRPr="00981405">
        <w:t xml:space="preserve"> </w:t>
      </w:r>
      <w:r w:rsidRPr="00981405">
        <w:t>of</w:t>
      </w:r>
      <w:r w:rsidR="00190923" w:rsidRPr="00981405">
        <w:t xml:space="preserve"> </w:t>
      </w:r>
      <w:r w:rsidRPr="00981405">
        <w:t>the</w:t>
      </w:r>
      <w:r w:rsidR="00190923" w:rsidRPr="00981405">
        <w:t xml:space="preserve"> </w:t>
      </w:r>
      <w:r w:rsidRPr="00981405">
        <w:t>legal</w:t>
      </w:r>
      <w:r w:rsidR="00190923" w:rsidRPr="00981405">
        <w:t xml:space="preserve"> </w:t>
      </w:r>
      <w:r w:rsidRPr="00981405">
        <w:t>publications</w:t>
      </w:r>
      <w:r w:rsidR="00190923" w:rsidRPr="00981405">
        <w:t xml:space="preserve"> </w:t>
      </w:r>
      <w:r w:rsidRPr="00981405">
        <w:t>prepared</w:t>
      </w:r>
      <w:r w:rsidR="00190923" w:rsidRPr="00981405">
        <w:t xml:space="preserve"> </w:t>
      </w:r>
      <w:r w:rsidRPr="00981405">
        <w:t>by</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190923" w:rsidRPr="00981405">
        <w:t xml:space="preserve"> </w:t>
      </w:r>
      <w:r w:rsidRPr="00981405">
        <w:t>to</w:t>
      </w:r>
      <w:r w:rsidR="00190923" w:rsidRPr="00981405">
        <w:t xml:space="preserve"> </w:t>
      </w:r>
      <w:r w:rsidRPr="00981405">
        <w:t>its</w:t>
      </w:r>
      <w:r w:rsidR="00190923" w:rsidRPr="00981405">
        <w:t xml:space="preserve"> </w:t>
      </w:r>
      <w:r w:rsidRPr="00981405">
        <w:t>work,</w:t>
      </w:r>
      <w:r w:rsidR="00190923" w:rsidRPr="00981405">
        <w:t xml:space="preserve"> </w:t>
      </w:r>
      <w:r w:rsidRPr="00981405">
        <w:t>and</w:t>
      </w:r>
      <w:r w:rsidR="00190923" w:rsidRPr="00981405">
        <w:t xml:space="preserve"> </w:t>
      </w:r>
      <w:r w:rsidRPr="00981405">
        <w:t>reiterated</w:t>
      </w:r>
      <w:r w:rsidR="00190923" w:rsidRPr="00981405">
        <w:t xml:space="preserve"> </w:t>
      </w:r>
      <w:r w:rsidRPr="00981405">
        <w:t>its</w:t>
      </w:r>
      <w:r w:rsidR="00190923" w:rsidRPr="00981405">
        <w:t xml:space="preserve"> </w:t>
      </w:r>
      <w:r w:rsidRPr="00981405">
        <w:t>request</w:t>
      </w:r>
      <w:r w:rsidR="00190923" w:rsidRPr="00981405">
        <w:t xml:space="preserve"> </w:t>
      </w:r>
      <w:r w:rsidRPr="00981405">
        <w:t>that</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190923" w:rsidRPr="00981405">
        <w:t xml:space="preserve"> </w:t>
      </w:r>
      <w:r w:rsidRPr="00981405">
        <w:t>continue</w:t>
      </w:r>
      <w:r w:rsidR="00190923" w:rsidRPr="00981405">
        <w:t xml:space="preserve"> </w:t>
      </w:r>
      <w:r w:rsidRPr="00981405">
        <w:t>to</w:t>
      </w:r>
      <w:r w:rsidR="00190923" w:rsidRPr="00981405">
        <w:t xml:space="preserve"> </w:t>
      </w:r>
      <w:r w:rsidRPr="00981405">
        <w:t>provide</w:t>
      </w:r>
      <w:r w:rsidR="00190923" w:rsidRPr="00981405">
        <w:t xml:space="preserve"> </w:t>
      </w:r>
      <w:r w:rsidRPr="00981405">
        <w:t>it</w:t>
      </w:r>
      <w:r w:rsidR="00190923" w:rsidRPr="00981405">
        <w:t xml:space="preserve"> </w:t>
      </w:r>
      <w:r w:rsidRPr="00981405">
        <w:t>with</w:t>
      </w:r>
      <w:r w:rsidR="00190923" w:rsidRPr="00981405">
        <w:t xml:space="preserve"> </w:t>
      </w:r>
      <w:r w:rsidRPr="00981405">
        <w:t>those</w:t>
      </w:r>
      <w:r w:rsidR="00190923" w:rsidRPr="00981405">
        <w:t xml:space="preserve"> </w:t>
      </w:r>
      <w:r w:rsidRPr="00981405">
        <w:t>publications.</w:t>
      </w:r>
    </w:p>
    <w:p w:rsidR="00397032" w:rsidRPr="00981405" w:rsidRDefault="00397032" w:rsidP="00D97463">
      <w:pPr>
        <w:pStyle w:val="SingleTxt"/>
      </w:pPr>
      <w:r w:rsidRPr="00981405">
        <w:t>301.</w:t>
      </w:r>
      <w:r w:rsidRPr="00981405">
        <w:tab/>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its</w:t>
      </w:r>
      <w:r w:rsidR="00190923" w:rsidRPr="00981405">
        <w:t xml:space="preserve"> </w:t>
      </w:r>
      <w:r w:rsidRPr="00981405">
        <w:t>satisfaction</w:t>
      </w:r>
      <w:r w:rsidR="00190923" w:rsidRPr="00981405">
        <w:t xml:space="preserve"> </w:t>
      </w:r>
      <w:r w:rsidRPr="00981405">
        <w:t>that</w:t>
      </w:r>
      <w:r w:rsidR="00190923" w:rsidRPr="00981405">
        <w:t xml:space="preserve"> </w:t>
      </w:r>
      <w:r w:rsidRPr="00981405">
        <w:t>the</w:t>
      </w:r>
      <w:r w:rsidR="00190923" w:rsidRPr="00981405">
        <w:t xml:space="preserve"> </w:t>
      </w:r>
      <w:r w:rsidRPr="00981405">
        <w:t>summary</w:t>
      </w:r>
      <w:r w:rsidR="00190923" w:rsidRPr="00981405">
        <w:t xml:space="preserve"> </w:t>
      </w:r>
      <w:r w:rsidRPr="00981405">
        <w:t>records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constituting</w:t>
      </w:r>
      <w:r w:rsidR="00190923" w:rsidRPr="00981405">
        <w:t xml:space="preserve"> </w:t>
      </w:r>
      <w:r w:rsidRPr="00981405">
        <w:t>crucial</w:t>
      </w:r>
      <w:r w:rsidR="00190923" w:rsidRPr="00981405">
        <w:t xml:space="preserve"> </w:t>
      </w:r>
      <w:r w:rsidRPr="00D97463">
        <w:rPr>
          <w:i/>
          <w:iCs/>
        </w:rPr>
        <w:t>travaux</w:t>
      </w:r>
      <w:r w:rsidR="00190923" w:rsidRPr="00D97463">
        <w:rPr>
          <w:i/>
          <w:iCs/>
        </w:rPr>
        <w:t xml:space="preserve"> </w:t>
      </w:r>
      <w:r w:rsidRPr="00D97463">
        <w:rPr>
          <w:i/>
          <w:iCs/>
        </w:rPr>
        <w:t>préparatoires</w:t>
      </w:r>
      <w:r w:rsidR="00190923" w:rsidRPr="00981405">
        <w:t xml:space="preserve"> </w:t>
      </w:r>
      <w:r w:rsidRPr="00981405">
        <w:t>in</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and</w:t>
      </w:r>
      <w:r w:rsidR="00190923" w:rsidRPr="00981405">
        <w:t xml:space="preserve"> </w:t>
      </w:r>
      <w:r w:rsidRPr="00981405">
        <w:t>codification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subject</w:t>
      </w:r>
      <w:r w:rsidR="00190923" w:rsidRPr="00981405">
        <w:t xml:space="preserve"> </w:t>
      </w:r>
      <w:r w:rsidRPr="00981405">
        <w:t>to</w:t>
      </w:r>
      <w:r w:rsidR="00190923" w:rsidRPr="00981405">
        <w:t xml:space="preserve"> </w:t>
      </w:r>
      <w:r w:rsidRPr="00981405">
        <w:t>arbitrary</w:t>
      </w:r>
      <w:r w:rsidR="00190923" w:rsidRPr="00981405">
        <w:t xml:space="preserve"> </w:t>
      </w:r>
      <w:r w:rsidRPr="00981405">
        <w:t>length</w:t>
      </w:r>
      <w:r w:rsidR="00190923" w:rsidRPr="00981405">
        <w:t xml:space="preserve"> </w:t>
      </w:r>
      <w:r w:rsidRPr="00981405">
        <w:t>restrictions.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with</w:t>
      </w:r>
      <w:r w:rsidR="00190923" w:rsidRPr="00981405">
        <w:t xml:space="preserve"> </w:t>
      </w:r>
      <w:r w:rsidRPr="00981405">
        <w:t>satisfaction</w:t>
      </w:r>
      <w:r w:rsidR="00190923" w:rsidRPr="00981405">
        <w:t xml:space="preserve"> </w:t>
      </w:r>
      <w:r w:rsidRPr="00981405">
        <w:t>that</w:t>
      </w:r>
      <w:r w:rsidR="00190923" w:rsidRPr="00981405">
        <w:t xml:space="preserve"> </w:t>
      </w:r>
      <w:r w:rsidRPr="00981405">
        <w:t>the</w:t>
      </w:r>
      <w:r w:rsidR="00190923" w:rsidRPr="00981405">
        <w:t xml:space="preserve"> </w:t>
      </w:r>
      <w:r w:rsidRPr="00981405">
        <w:t>experimental</w:t>
      </w:r>
      <w:r w:rsidR="00190923" w:rsidRPr="00981405">
        <w:t xml:space="preserve"> </w:t>
      </w:r>
      <w:r w:rsidRPr="00981405">
        <w:t>measures</w:t>
      </w:r>
      <w:r w:rsidR="00190923" w:rsidRPr="00981405">
        <w:t xml:space="preserve"> </w:t>
      </w:r>
      <w:r w:rsidRPr="00981405">
        <w:t>to</w:t>
      </w:r>
      <w:r w:rsidR="00190923" w:rsidRPr="00981405">
        <w:t xml:space="preserve"> </w:t>
      </w:r>
      <w:r w:rsidRPr="00981405">
        <w:t>streamline</w:t>
      </w:r>
      <w:r w:rsidR="00190923" w:rsidRPr="00981405">
        <w:t xml:space="preserve"> </w:t>
      </w:r>
      <w:r w:rsidRPr="00981405">
        <w:t>the</w:t>
      </w:r>
      <w:r w:rsidR="00190923" w:rsidRPr="00981405">
        <w:t xml:space="preserve"> </w:t>
      </w:r>
      <w:r w:rsidRPr="00981405">
        <w:t>processing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Summary</w:t>
      </w:r>
      <w:r w:rsidR="00190923" w:rsidRPr="00981405">
        <w:t xml:space="preserve"> </w:t>
      </w:r>
      <w:r w:rsidRPr="00981405">
        <w:t>records</w:t>
      </w:r>
      <w:r w:rsidR="00190923" w:rsidRPr="00981405">
        <w:t xml:space="preserve"> </w:t>
      </w:r>
      <w:r w:rsidRPr="00981405">
        <w:t>introduced</w:t>
      </w:r>
      <w:r w:rsidR="00190923" w:rsidRPr="00981405">
        <w:t xml:space="preserve"> </w:t>
      </w:r>
      <w:r w:rsidRPr="00981405">
        <w:t>at</w:t>
      </w:r>
      <w:r w:rsidR="00190923" w:rsidRPr="00981405">
        <w:t xml:space="preserve"> </w:t>
      </w:r>
      <w:r w:rsidRPr="00981405">
        <w:t>the</w:t>
      </w:r>
      <w:r w:rsidR="00190923" w:rsidRPr="00981405">
        <w:t xml:space="preserve"> </w:t>
      </w:r>
      <w:r w:rsidRPr="00981405">
        <w:t>2013</w:t>
      </w:r>
      <w:r w:rsidR="00190923" w:rsidRPr="00981405">
        <w:t xml:space="preserve"> </w:t>
      </w:r>
      <w:r w:rsidRPr="00981405">
        <w:t>session</w:t>
      </w:r>
      <w:r w:rsidR="00190923" w:rsidRPr="00981405">
        <w:t xml:space="preserve"> </w:t>
      </w:r>
      <w:r w:rsidRPr="00981405">
        <w:t>had</w:t>
      </w:r>
      <w:r w:rsidR="00190923" w:rsidRPr="00981405">
        <w:t xml:space="preserve"> </w:t>
      </w:r>
      <w:r w:rsidRPr="00981405">
        <w:t>resulted</w:t>
      </w:r>
      <w:r w:rsidR="00190923" w:rsidRPr="00981405">
        <w:t xml:space="preserve"> </w:t>
      </w:r>
      <w:r w:rsidRPr="00981405">
        <w:t>in</w:t>
      </w:r>
      <w:r w:rsidR="00190923" w:rsidRPr="00981405">
        <w:t xml:space="preserve"> </w:t>
      </w:r>
      <w:r w:rsidRPr="00981405">
        <w:t>the</w:t>
      </w:r>
      <w:r w:rsidR="00190923" w:rsidRPr="00981405">
        <w:t xml:space="preserve"> </w:t>
      </w:r>
      <w:r w:rsidRPr="00981405">
        <w:t>more</w:t>
      </w:r>
      <w:r w:rsidR="00190923" w:rsidRPr="00981405">
        <w:t xml:space="preserve"> </w:t>
      </w:r>
      <w:r w:rsidRPr="00981405">
        <w:t>expeditious</w:t>
      </w:r>
      <w:r w:rsidR="00190923" w:rsidRPr="00981405">
        <w:t xml:space="preserve"> </w:t>
      </w:r>
      <w:r w:rsidRPr="00981405">
        <w:t>transmission</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provisional</w:t>
      </w:r>
      <w:r w:rsidR="00190923" w:rsidRPr="00981405">
        <w:t xml:space="preserve"> </w:t>
      </w:r>
      <w:r w:rsidRPr="00981405">
        <w:t>records</w:t>
      </w:r>
      <w:r w:rsidR="00190923" w:rsidRPr="00981405">
        <w:t xml:space="preserve"> </w:t>
      </w:r>
      <w:r w:rsidRPr="00981405">
        <w:t>to</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for</w:t>
      </w:r>
      <w:r w:rsidR="00190923" w:rsidRPr="00981405">
        <w:t xml:space="preserve"> </w:t>
      </w:r>
      <w:r w:rsidRPr="00981405">
        <w:t>timely</w:t>
      </w:r>
      <w:r w:rsidR="00190923" w:rsidRPr="00981405">
        <w:t xml:space="preserve"> </w:t>
      </w:r>
      <w:r w:rsidRPr="00981405">
        <w:t>correction,</w:t>
      </w:r>
      <w:r w:rsidR="00190923" w:rsidRPr="00981405">
        <w:t xml:space="preserve"> </w:t>
      </w:r>
      <w:r w:rsidRPr="00981405">
        <w:t>and</w:t>
      </w:r>
      <w:r w:rsidR="00190923" w:rsidRPr="00981405">
        <w:t xml:space="preserve"> </w:t>
      </w:r>
      <w:r w:rsidRPr="00981405">
        <w:t>prompt</w:t>
      </w:r>
      <w:r w:rsidR="00190923" w:rsidRPr="00981405">
        <w:t xml:space="preserve"> </w:t>
      </w:r>
      <w:r w:rsidRPr="00981405">
        <w:t>release.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welcomed</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new</w:t>
      </w:r>
      <w:r w:rsidR="00190923" w:rsidRPr="00981405">
        <w:t xml:space="preserve"> </w:t>
      </w:r>
      <w:r w:rsidRPr="00981405">
        <w:t>working</w:t>
      </w:r>
      <w:r w:rsidR="00190923" w:rsidRPr="00981405">
        <w:t xml:space="preserve"> </w:t>
      </w:r>
      <w:r w:rsidRPr="00981405">
        <w:t>methods</w:t>
      </w:r>
      <w:r w:rsidR="00190923" w:rsidRPr="00981405">
        <w:t xml:space="preserve"> </w:t>
      </w:r>
      <w:r w:rsidRPr="00981405">
        <w:t>had</w:t>
      </w:r>
      <w:r w:rsidR="00190923" w:rsidRPr="00981405">
        <w:t xml:space="preserve"> </w:t>
      </w:r>
      <w:r w:rsidRPr="00981405">
        <w:t>led</w:t>
      </w:r>
      <w:r w:rsidR="00190923" w:rsidRPr="00981405">
        <w:t xml:space="preserve"> </w:t>
      </w:r>
      <w:r w:rsidRPr="00981405">
        <w:t>to</w:t>
      </w:r>
      <w:r w:rsidR="00190923" w:rsidRPr="00981405">
        <w:t xml:space="preserve"> </w:t>
      </w:r>
      <w:r w:rsidRPr="00981405">
        <w:t>the</w:t>
      </w:r>
      <w:r w:rsidR="00190923" w:rsidRPr="00981405">
        <w:t xml:space="preserve"> </w:t>
      </w:r>
      <w:r w:rsidRPr="00981405">
        <w:t>more</w:t>
      </w:r>
      <w:r w:rsidR="00190923" w:rsidRPr="00981405">
        <w:t xml:space="preserve"> </w:t>
      </w:r>
      <w:r w:rsidRPr="00981405">
        <w:t>rational</w:t>
      </w:r>
      <w:r w:rsidR="00190923" w:rsidRPr="00981405">
        <w:t xml:space="preserve"> </w:t>
      </w:r>
      <w:r w:rsidRPr="00981405">
        <w:t>use</w:t>
      </w:r>
      <w:r w:rsidR="00190923" w:rsidRPr="00981405">
        <w:t xml:space="preserve"> </w:t>
      </w:r>
      <w:r w:rsidRPr="00981405">
        <w:t>of</w:t>
      </w:r>
      <w:r w:rsidR="00190923" w:rsidRPr="00981405">
        <w:t xml:space="preserve"> </w:t>
      </w:r>
      <w:r w:rsidRPr="00981405">
        <w:t>resources</w:t>
      </w:r>
      <w:r w:rsidR="00190923" w:rsidRPr="00981405">
        <w:t xml:space="preserve"> </w:t>
      </w:r>
      <w:r w:rsidRPr="00981405">
        <w:t>and</w:t>
      </w:r>
      <w:r w:rsidR="00190923" w:rsidRPr="00981405">
        <w:t xml:space="preserve"> </w:t>
      </w:r>
      <w:r w:rsidRPr="00981405">
        <w:t>called</w:t>
      </w:r>
      <w:r w:rsidR="00190923" w:rsidRPr="00981405">
        <w:t xml:space="preserve"> </w:t>
      </w:r>
      <w:r w:rsidRPr="00981405">
        <w:t>on</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to</w:t>
      </w:r>
      <w:r w:rsidR="00190923" w:rsidRPr="00981405">
        <w:t xml:space="preserve"> </w:t>
      </w:r>
      <w:r w:rsidRPr="00981405">
        <w:t>continue</w:t>
      </w:r>
      <w:r w:rsidR="00190923" w:rsidRPr="00981405">
        <w:t xml:space="preserve"> </w:t>
      </w:r>
      <w:r w:rsidRPr="00981405">
        <w:t>its</w:t>
      </w:r>
      <w:r w:rsidR="00190923" w:rsidRPr="00981405">
        <w:t xml:space="preserve"> </w:t>
      </w:r>
      <w:r w:rsidRPr="00981405">
        <w:t>efforts</w:t>
      </w:r>
      <w:r w:rsidR="00190923" w:rsidRPr="00981405">
        <w:t xml:space="preserve"> </w:t>
      </w:r>
      <w:r w:rsidRPr="00981405">
        <w:t>to</w:t>
      </w:r>
      <w:r w:rsidR="00190923" w:rsidRPr="00981405">
        <w:t xml:space="preserve"> </w:t>
      </w:r>
      <w:r w:rsidRPr="00981405">
        <w:t>facilitate</w:t>
      </w:r>
      <w:r w:rsidR="00190923" w:rsidRPr="00981405">
        <w:t xml:space="preserve"> </w:t>
      </w:r>
      <w:r w:rsidRPr="00981405">
        <w:t>the</w:t>
      </w:r>
      <w:r w:rsidR="00190923" w:rsidRPr="00981405">
        <w:t xml:space="preserve"> </w:t>
      </w:r>
      <w:r w:rsidRPr="00981405">
        <w:t>preparation</w:t>
      </w:r>
      <w:r w:rsidR="00190923" w:rsidRPr="00981405">
        <w:t xml:space="preserve"> </w:t>
      </w:r>
      <w:r w:rsidRPr="00981405">
        <w:t>of</w:t>
      </w:r>
      <w:r w:rsidR="00190923" w:rsidRPr="00981405">
        <w:t xml:space="preserve"> </w:t>
      </w:r>
      <w:r w:rsidRPr="00981405">
        <w:t>the</w:t>
      </w:r>
      <w:r w:rsidR="00190923" w:rsidRPr="00981405">
        <w:t xml:space="preserve"> </w:t>
      </w:r>
      <w:r w:rsidRPr="00981405">
        <w:t>definitive</w:t>
      </w:r>
      <w:r w:rsidR="00190923" w:rsidRPr="00981405">
        <w:t xml:space="preserve"> </w:t>
      </w:r>
      <w:r w:rsidRPr="00981405">
        <w:t>records</w:t>
      </w:r>
      <w:r w:rsidR="00190923" w:rsidRPr="00981405">
        <w:t xml:space="preserve"> </w:t>
      </w:r>
      <w:r w:rsidRPr="00981405">
        <w:t>in</w:t>
      </w:r>
      <w:r w:rsidR="00190923" w:rsidRPr="00981405">
        <w:t xml:space="preserve"> </w:t>
      </w:r>
      <w:r w:rsidRPr="00981405">
        <w:t>all</w:t>
      </w:r>
      <w:r w:rsidR="00190923" w:rsidRPr="00981405">
        <w:t xml:space="preserve"> </w:t>
      </w:r>
      <w:r w:rsidRPr="00981405">
        <w:t>languages,</w:t>
      </w:r>
      <w:r w:rsidR="00190923" w:rsidRPr="00981405">
        <w:t xml:space="preserve"> </w:t>
      </w:r>
      <w:r w:rsidRPr="00981405">
        <w:t>without</w:t>
      </w:r>
      <w:r w:rsidR="00190923" w:rsidRPr="00981405">
        <w:t xml:space="preserve"> </w:t>
      </w:r>
      <w:r w:rsidRPr="00981405">
        <w:t>compromising</w:t>
      </w:r>
      <w:r w:rsidR="00190923" w:rsidRPr="00981405">
        <w:t xml:space="preserve"> </w:t>
      </w:r>
      <w:r w:rsidRPr="00981405">
        <w:t>their</w:t>
      </w:r>
      <w:r w:rsidR="00190923" w:rsidRPr="00981405">
        <w:t xml:space="preserve"> </w:t>
      </w:r>
      <w:r w:rsidRPr="00981405">
        <w:t>integrity.</w:t>
      </w:r>
    </w:p>
    <w:p w:rsidR="00397032" w:rsidRPr="00981405" w:rsidRDefault="00397032" w:rsidP="00D97463">
      <w:pPr>
        <w:pStyle w:val="SingleTxt"/>
      </w:pPr>
      <w:r w:rsidRPr="00981405">
        <w:t>302.</w:t>
      </w:r>
      <w:r w:rsidRPr="00981405">
        <w:tab/>
        <w:t>The</w:t>
      </w:r>
      <w:r w:rsidR="00190923" w:rsidRPr="00981405">
        <w:t xml:space="preserve"> </w:t>
      </w:r>
      <w:r w:rsidRPr="00981405">
        <w:t>Commission</w:t>
      </w:r>
      <w:r w:rsidR="00190923" w:rsidRPr="00981405">
        <w:t xml:space="preserve"> </w:t>
      </w:r>
      <w:r w:rsidRPr="00981405">
        <w:t>expressed</w:t>
      </w:r>
      <w:r w:rsidR="00190923" w:rsidRPr="00981405">
        <w:t xml:space="preserve"> </w:t>
      </w:r>
      <w:r w:rsidRPr="00981405">
        <w:t>its</w:t>
      </w:r>
      <w:r w:rsidR="00190923" w:rsidRPr="00981405">
        <w:t xml:space="preserve"> </w:t>
      </w:r>
      <w:r w:rsidRPr="00981405">
        <w:t>gratitude</w:t>
      </w:r>
      <w:r w:rsidR="00190923" w:rsidRPr="00981405">
        <w:t xml:space="preserve"> </w:t>
      </w:r>
      <w:r w:rsidRPr="00981405">
        <w:t>to</w:t>
      </w:r>
      <w:r w:rsidR="00190923" w:rsidRPr="00981405">
        <w:t xml:space="preserve"> </w:t>
      </w:r>
      <w:r w:rsidRPr="00981405">
        <w:t>all</w:t>
      </w:r>
      <w:r w:rsidR="00190923" w:rsidRPr="00981405">
        <w:t xml:space="preserve"> </w:t>
      </w:r>
      <w:r w:rsidRPr="00981405">
        <w:t>Services</w:t>
      </w:r>
      <w:r w:rsidR="00190923" w:rsidRPr="00981405">
        <w:t xml:space="preserve"> </w:t>
      </w:r>
      <w:r w:rsidRPr="00981405">
        <w:t>involved</w:t>
      </w:r>
      <w:r w:rsidR="00190923" w:rsidRPr="00981405">
        <w:t xml:space="preserve"> </w:t>
      </w:r>
      <w:r w:rsidRPr="00981405">
        <w:t>in</w:t>
      </w:r>
      <w:r w:rsidR="00190923" w:rsidRPr="00981405">
        <w:t xml:space="preserve"> </w:t>
      </w:r>
      <w:r w:rsidRPr="00981405">
        <w:t>the</w:t>
      </w:r>
      <w:r w:rsidR="00190923" w:rsidRPr="00981405">
        <w:t xml:space="preserve"> </w:t>
      </w:r>
      <w:r w:rsidRPr="00981405">
        <w:t>processing</w:t>
      </w:r>
      <w:r w:rsidR="00190923" w:rsidRPr="00981405">
        <w:t xml:space="preserve"> </w:t>
      </w:r>
      <w:r w:rsidRPr="00981405">
        <w:t>of</w:t>
      </w:r>
      <w:r w:rsidR="00190923" w:rsidRPr="00981405">
        <w:t xml:space="preserve"> </w:t>
      </w:r>
      <w:r w:rsidRPr="00981405">
        <w:t>documents,</w:t>
      </w:r>
      <w:r w:rsidR="00190923" w:rsidRPr="00981405">
        <w:t xml:space="preserve"> </w:t>
      </w:r>
      <w:r w:rsidRPr="00981405">
        <w:t>both</w:t>
      </w:r>
      <w:r w:rsidR="00190923" w:rsidRPr="00981405">
        <w:t xml:space="preserve"> </w:t>
      </w:r>
      <w:r w:rsidRPr="00981405">
        <w:t>in</w:t>
      </w:r>
      <w:r w:rsidR="00190923" w:rsidRPr="00981405">
        <w:t xml:space="preserve"> </w:t>
      </w:r>
      <w:r w:rsidRPr="00981405">
        <w:t>Geneva</w:t>
      </w:r>
      <w:r w:rsidR="00190923" w:rsidRPr="00981405">
        <w:t xml:space="preserve"> </w:t>
      </w:r>
      <w:r w:rsidRPr="00981405">
        <w:t>and</w:t>
      </w:r>
      <w:r w:rsidR="00190923" w:rsidRPr="00981405">
        <w:t xml:space="preserve"> </w:t>
      </w:r>
      <w:r w:rsidRPr="00981405">
        <w:t>in</w:t>
      </w:r>
      <w:r w:rsidR="00190923" w:rsidRPr="00981405">
        <w:t xml:space="preserve"> </w:t>
      </w:r>
      <w:r w:rsidRPr="00981405">
        <w:t>New</w:t>
      </w:r>
      <w:r w:rsidR="00190923" w:rsidRPr="00981405">
        <w:t xml:space="preserve"> </w:t>
      </w:r>
      <w:r w:rsidRPr="00981405">
        <w:t>York,</w:t>
      </w:r>
      <w:r w:rsidR="00190923" w:rsidRPr="00981405">
        <w:t xml:space="preserve"> </w:t>
      </w:r>
      <w:r w:rsidRPr="00981405">
        <w:t>for</w:t>
      </w:r>
      <w:r w:rsidR="00190923" w:rsidRPr="00981405">
        <w:t xml:space="preserve"> </w:t>
      </w:r>
      <w:r w:rsidRPr="00981405">
        <w:t>their</w:t>
      </w:r>
      <w:r w:rsidR="00190923" w:rsidRPr="00981405">
        <w:t xml:space="preserve"> </w:t>
      </w:r>
      <w:r w:rsidRPr="00981405">
        <w:t>timely</w:t>
      </w:r>
      <w:r w:rsidR="00190923" w:rsidRPr="00981405">
        <w:t xml:space="preserve"> </w:t>
      </w:r>
      <w:r w:rsidRPr="00981405">
        <w:t>and</w:t>
      </w:r>
      <w:r w:rsidR="00190923" w:rsidRPr="00981405">
        <w:t xml:space="preserve"> </w:t>
      </w:r>
      <w:r w:rsidRPr="00981405">
        <w:lastRenderedPageBreak/>
        <w:t>efficient</w:t>
      </w:r>
      <w:r w:rsidR="00190923" w:rsidRPr="00981405">
        <w:t xml:space="preserve"> </w:t>
      </w:r>
      <w:r w:rsidRPr="00981405">
        <w:t>processing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documents,</w:t>
      </w:r>
      <w:r w:rsidR="00190923" w:rsidRPr="00981405">
        <w:t xml:space="preserve"> </w:t>
      </w:r>
      <w:r w:rsidRPr="00981405">
        <w:t>often</w:t>
      </w:r>
      <w:r w:rsidR="00190923" w:rsidRPr="00981405">
        <w:t xml:space="preserve"> </w:t>
      </w:r>
      <w:r w:rsidRPr="00981405">
        <w:t>under</w:t>
      </w:r>
      <w:r w:rsidR="00190923" w:rsidRPr="00981405">
        <w:t xml:space="preserve"> </w:t>
      </w:r>
      <w:r w:rsidRPr="00981405">
        <w:t>narrow</w:t>
      </w:r>
      <w:r w:rsidR="00190923" w:rsidRPr="00981405">
        <w:t xml:space="preserve"> </w:t>
      </w:r>
      <w:r w:rsidRPr="00981405">
        <w:t>time</w:t>
      </w:r>
      <w:r w:rsidR="00190923" w:rsidRPr="00981405">
        <w:t xml:space="preserve"> </w:t>
      </w:r>
      <w:r w:rsidRPr="00981405">
        <w:t>constraints.</w:t>
      </w:r>
      <w:r w:rsidR="00190923" w:rsidRPr="00981405">
        <w:t xml:space="preserve"> </w:t>
      </w:r>
      <w:r w:rsidRPr="00981405">
        <w:t>It</w:t>
      </w:r>
      <w:r w:rsidR="00190923" w:rsidRPr="00981405">
        <w:t xml:space="preserve"> </w:t>
      </w:r>
      <w:r w:rsidRPr="00981405">
        <w:t>noted</w:t>
      </w:r>
      <w:r w:rsidR="00190923" w:rsidRPr="00981405">
        <w:t xml:space="preserve"> </w:t>
      </w:r>
      <w:r w:rsidRPr="00981405">
        <w:t>that</w:t>
      </w:r>
      <w:r w:rsidR="00190923" w:rsidRPr="00981405">
        <w:t xml:space="preserve"> </w:t>
      </w:r>
      <w:r w:rsidRPr="00981405">
        <w:t>such</w:t>
      </w:r>
      <w:r w:rsidR="00190923" w:rsidRPr="00981405">
        <w:t xml:space="preserve"> </w:t>
      </w:r>
      <w:r w:rsidRPr="00981405">
        <w:t>timely</w:t>
      </w:r>
      <w:r w:rsidR="00190923" w:rsidRPr="00981405">
        <w:t xml:space="preserve"> </w:t>
      </w:r>
      <w:r w:rsidRPr="00981405">
        <w:t>and</w:t>
      </w:r>
      <w:r w:rsidR="00190923" w:rsidRPr="00981405">
        <w:t xml:space="preserve"> </w:t>
      </w:r>
      <w:r w:rsidRPr="00981405">
        <w:t>efficient</w:t>
      </w:r>
      <w:r w:rsidR="00190923" w:rsidRPr="00981405">
        <w:t xml:space="preserve"> </w:t>
      </w:r>
      <w:r w:rsidRPr="00981405">
        <w:t>processing</w:t>
      </w:r>
      <w:r w:rsidR="00190923" w:rsidRPr="00981405">
        <w:t xml:space="preserve"> </w:t>
      </w:r>
      <w:r w:rsidRPr="00981405">
        <w:t>contributed</w:t>
      </w:r>
      <w:r w:rsidR="00190923" w:rsidRPr="00981405">
        <w:t xml:space="preserve"> </w:t>
      </w:r>
      <w:r w:rsidRPr="00981405">
        <w:t>to</w:t>
      </w:r>
      <w:r w:rsidR="00190923" w:rsidRPr="00981405">
        <w:t xml:space="preserve"> </w:t>
      </w:r>
      <w:r w:rsidRPr="00981405">
        <w:t>the</w:t>
      </w:r>
      <w:r w:rsidR="00190923" w:rsidRPr="00981405">
        <w:t xml:space="preserve"> </w:t>
      </w:r>
      <w:r w:rsidRPr="00981405">
        <w:t>smooth</w:t>
      </w:r>
      <w:r w:rsidR="00190923" w:rsidRPr="00981405">
        <w:t xml:space="preserve"> </w:t>
      </w:r>
      <w:r w:rsidRPr="00981405">
        <w:t>conduct</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work.</w:t>
      </w:r>
      <w:r w:rsidR="00190923" w:rsidRPr="00981405">
        <w:t xml:space="preserve"> </w:t>
      </w:r>
    </w:p>
    <w:p w:rsidR="00397032" w:rsidRPr="00981405" w:rsidRDefault="00397032" w:rsidP="00D97463">
      <w:pPr>
        <w:pStyle w:val="SingleTxt"/>
      </w:pPr>
      <w:r w:rsidRPr="00981405">
        <w:t>303.</w:t>
      </w:r>
      <w:r w:rsidRPr="00981405">
        <w:tab/>
        <w:t>The</w:t>
      </w:r>
      <w:r w:rsidR="00190923" w:rsidRPr="00981405">
        <w:t xml:space="preserve"> </w:t>
      </w:r>
      <w:r w:rsidRPr="00981405">
        <w:t>Commission</w:t>
      </w:r>
      <w:r w:rsidR="00190923" w:rsidRPr="00981405">
        <w:t xml:space="preserve"> </w:t>
      </w:r>
      <w:r w:rsidRPr="00981405">
        <w:t>expressed</w:t>
      </w:r>
      <w:r w:rsidR="00190923" w:rsidRPr="00981405">
        <w:t xml:space="preserve"> </w:t>
      </w:r>
      <w:r w:rsidRPr="00981405">
        <w:t>its</w:t>
      </w:r>
      <w:r w:rsidR="00190923" w:rsidRPr="00981405">
        <w:t xml:space="preserve"> </w:t>
      </w:r>
      <w:r w:rsidRPr="00981405">
        <w:t>appreciation</w:t>
      </w:r>
      <w:r w:rsidR="00190923" w:rsidRPr="00981405">
        <w:t xml:space="preserve"> </w:t>
      </w:r>
      <w:r w:rsidRPr="00981405">
        <w:t>to</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Office</w:t>
      </w:r>
      <w:r w:rsidR="00190923" w:rsidRPr="00981405">
        <w:t xml:space="preserve"> </w:t>
      </w:r>
      <w:r w:rsidRPr="00981405">
        <w:t>at</w:t>
      </w:r>
      <w:r w:rsidR="00190923" w:rsidRPr="00981405">
        <w:t xml:space="preserve"> </w:t>
      </w:r>
      <w:r w:rsidRPr="00981405">
        <w:t>Geneva</w:t>
      </w:r>
      <w:r w:rsidR="00190923" w:rsidRPr="00981405">
        <w:t xml:space="preserve"> </w:t>
      </w:r>
      <w:r w:rsidRPr="00981405">
        <w:t>Library,</w:t>
      </w:r>
      <w:r w:rsidR="00190923" w:rsidRPr="00981405">
        <w:t xml:space="preserve"> </w:t>
      </w:r>
      <w:r w:rsidRPr="00981405">
        <w:t>which</w:t>
      </w:r>
      <w:r w:rsidR="00190923" w:rsidRPr="00981405">
        <w:t xml:space="preserve"> </w:t>
      </w:r>
      <w:r w:rsidRPr="00981405">
        <w:t>assisted</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very</w:t>
      </w:r>
      <w:r w:rsidR="00190923" w:rsidRPr="00981405">
        <w:t xml:space="preserve"> </w:t>
      </w:r>
      <w:r w:rsidRPr="00981405">
        <w:t>efficiently</w:t>
      </w:r>
      <w:r w:rsidR="00190923" w:rsidRPr="00981405">
        <w:t xml:space="preserve"> </w:t>
      </w:r>
      <w:r w:rsidRPr="00981405">
        <w:t>and</w:t>
      </w:r>
      <w:r w:rsidR="00190923" w:rsidRPr="00981405">
        <w:t xml:space="preserve"> </w:t>
      </w:r>
      <w:r w:rsidRPr="00981405">
        <w:t>competently.</w:t>
      </w:r>
    </w:p>
    <w:p w:rsidR="00BD3228" w:rsidRPr="00D97463" w:rsidRDefault="00BD3228" w:rsidP="00D97463">
      <w:pPr>
        <w:pStyle w:val="SingleTxt"/>
        <w:spacing w:after="0" w:line="120" w:lineRule="exact"/>
        <w:rPr>
          <w:sz w:val="10"/>
        </w:rPr>
      </w:pPr>
    </w:p>
    <w:p w:rsidR="00397032" w:rsidRPr="00D97463" w:rsidRDefault="00BD3228" w:rsidP="00D97463">
      <w:pPr>
        <w:pStyle w:val="H23"/>
        <w:ind w:right="1260"/>
      </w:pPr>
      <w:r w:rsidRPr="00D97463">
        <w:tab/>
      </w:r>
      <w:r w:rsidR="00397032" w:rsidRPr="00D97463">
        <w:t>7.</w:t>
      </w:r>
      <w:r w:rsidRPr="00D97463">
        <w:tab/>
      </w:r>
      <w:r w:rsidR="00397032" w:rsidRPr="00D97463">
        <w:rPr>
          <w:i/>
          <w:iCs/>
        </w:rPr>
        <w:t>Yearbook</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the</w:t>
      </w:r>
      <w:r w:rsidR="00190923" w:rsidRPr="00D97463">
        <w:rPr>
          <w:i/>
          <w:iCs/>
        </w:rPr>
        <w:t xml:space="preserve"> </w:t>
      </w:r>
      <w:r w:rsidR="00397032" w:rsidRPr="00D97463">
        <w:rPr>
          <w:i/>
          <w:iCs/>
        </w:rPr>
        <w:t>International</w:t>
      </w:r>
      <w:r w:rsidR="00190923" w:rsidRPr="00D97463">
        <w:rPr>
          <w:i/>
          <w:iCs/>
        </w:rPr>
        <w:t xml:space="preserve"> </w:t>
      </w:r>
      <w:r w:rsidR="00397032" w:rsidRPr="00D97463">
        <w:rPr>
          <w:i/>
          <w:iCs/>
        </w:rPr>
        <w:t>Law</w:t>
      </w:r>
      <w:r w:rsidR="00190923" w:rsidRPr="00D97463">
        <w:rPr>
          <w:i/>
          <w:iCs/>
        </w:rPr>
        <w:t xml:space="preserve"> </w:t>
      </w:r>
      <w:r w:rsidR="00397032" w:rsidRPr="00D97463">
        <w:rPr>
          <w:i/>
          <w:iCs/>
        </w:rPr>
        <w:t>Commission</w:t>
      </w:r>
    </w:p>
    <w:p w:rsidR="00BD3228" w:rsidRPr="00D97463" w:rsidRDefault="00BD3228" w:rsidP="00D97463">
      <w:pPr>
        <w:pStyle w:val="SingleTxt"/>
        <w:spacing w:after="0" w:line="120" w:lineRule="exact"/>
        <w:rPr>
          <w:sz w:val="10"/>
        </w:rPr>
      </w:pPr>
    </w:p>
    <w:p w:rsidR="00397032" w:rsidRPr="00981405" w:rsidRDefault="00397032" w:rsidP="00D97463">
      <w:pPr>
        <w:pStyle w:val="SingleTxt"/>
      </w:pPr>
      <w:r w:rsidRPr="00981405">
        <w:t>304.</w:t>
      </w:r>
      <w:r w:rsidRPr="00981405">
        <w:tab/>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that</w:t>
      </w:r>
      <w:r w:rsidR="00190923" w:rsidRPr="00981405">
        <w:t xml:space="preserve"> </w:t>
      </w:r>
      <w:r w:rsidRPr="00981405">
        <w:t>the</w:t>
      </w:r>
      <w:r w:rsidR="00190923" w:rsidRPr="00981405">
        <w:t xml:space="preserve"> </w:t>
      </w:r>
      <w:r w:rsidRPr="00D97463">
        <w:rPr>
          <w:i/>
          <w:iCs/>
        </w:rPr>
        <w:t>Yearbook</w:t>
      </w:r>
      <w:r w:rsidR="00190923" w:rsidRPr="00D97463">
        <w:rPr>
          <w:i/>
          <w:iCs/>
        </w:rPr>
        <w:t xml:space="preserve"> </w:t>
      </w:r>
      <w:r w:rsidRPr="00D97463">
        <w:rPr>
          <w:i/>
          <w:iCs/>
        </w:rPr>
        <w:t>of</w:t>
      </w:r>
      <w:r w:rsidR="00190923" w:rsidRPr="00D97463">
        <w:rPr>
          <w:i/>
          <w:iCs/>
        </w:rPr>
        <w:t xml:space="preserve"> </w:t>
      </w:r>
      <w:r w:rsidRPr="00D97463">
        <w:rPr>
          <w:i/>
          <w:iCs/>
        </w:rPr>
        <w:t>the</w:t>
      </w:r>
      <w:r w:rsidR="00190923" w:rsidRPr="00D97463">
        <w:rPr>
          <w:i/>
          <w:iCs/>
        </w:rPr>
        <w:t xml:space="preserve"> </w:t>
      </w:r>
      <w:r w:rsidRPr="00D97463">
        <w:rPr>
          <w:i/>
          <w:iCs/>
        </w:rPr>
        <w:t>International</w:t>
      </w:r>
      <w:r w:rsidR="00190923" w:rsidRPr="00D97463">
        <w:rPr>
          <w:i/>
          <w:iCs/>
        </w:rPr>
        <w:t xml:space="preserve"> </w:t>
      </w:r>
      <w:r w:rsidRPr="00D97463">
        <w:rPr>
          <w:i/>
          <w:iCs/>
        </w:rPr>
        <w:t>Law</w:t>
      </w:r>
      <w:r w:rsidR="00190923" w:rsidRPr="00D97463">
        <w:rPr>
          <w:i/>
          <w:iCs/>
        </w:rPr>
        <w:t xml:space="preserve"> </w:t>
      </w:r>
      <w:r w:rsidRPr="00D97463">
        <w:rPr>
          <w:i/>
          <w:iCs/>
        </w:rPr>
        <w:t>Commission</w:t>
      </w:r>
      <w:r w:rsidR="00190923" w:rsidRPr="00981405">
        <w:t xml:space="preserve"> </w:t>
      </w:r>
      <w:r w:rsidRPr="00981405">
        <w:t>was</w:t>
      </w:r>
      <w:r w:rsidR="00190923" w:rsidRPr="00981405">
        <w:t xml:space="preserve"> </w:t>
      </w:r>
      <w:r w:rsidRPr="00981405">
        <w:t>critical</w:t>
      </w:r>
      <w:r w:rsidR="00190923" w:rsidRPr="00981405">
        <w:t xml:space="preserve"> </w:t>
      </w:r>
      <w:r w:rsidRPr="00981405">
        <w:t>to</w:t>
      </w:r>
      <w:r w:rsidR="00190923" w:rsidRPr="00981405">
        <w:t xml:space="preserve"> </w:t>
      </w:r>
      <w:r w:rsidRPr="00981405">
        <w:t>the</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work</w:t>
      </w:r>
      <w:r w:rsidR="00190923" w:rsidRPr="00981405">
        <w:t xml:space="preserve"> </w:t>
      </w:r>
      <w:r w:rsidRPr="00981405">
        <w:t>in</w:t>
      </w:r>
      <w:r w:rsidR="00190923" w:rsidRPr="00981405">
        <w:t xml:space="preserve"> </w:t>
      </w:r>
      <w:r w:rsidRPr="00981405">
        <w:t>the</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its</w:t>
      </w:r>
      <w:r w:rsidR="00190923" w:rsidRPr="00981405">
        <w:t xml:space="preserve"> </w:t>
      </w:r>
      <w:r w:rsidRPr="00981405">
        <w:t>codification,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in</w:t>
      </w:r>
      <w:r w:rsidR="00190923" w:rsidRPr="00981405">
        <w:t xml:space="preserve"> </w:t>
      </w:r>
      <w:r w:rsidRPr="00981405">
        <w:t>the</w:t>
      </w:r>
      <w:r w:rsidR="00190923" w:rsidRPr="00981405">
        <w:t xml:space="preserve"> </w:t>
      </w:r>
      <w:r w:rsidRPr="00981405">
        <w:t>strengthening</w:t>
      </w:r>
      <w:r w:rsidR="00190923" w:rsidRPr="00981405">
        <w:t xml:space="preserve"> </w:t>
      </w:r>
      <w:r w:rsidRPr="00981405">
        <w:t>of</w:t>
      </w:r>
      <w:r w:rsidR="00190923" w:rsidRPr="00981405">
        <w:t xml:space="preserve"> </w:t>
      </w:r>
      <w:r w:rsidRPr="00981405">
        <w:t>the</w:t>
      </w:r>
      <w:r w:rsidR="00190923" w:rsidRPr="00981405">
        <w:t xml:space="preserve"> </w:t>
      </w:r>
      <w:r w:rsidRPr="00981405">
        <w:t>rule</w:t>
      </w:r>
      <w:r w:rsidR="00190923" w:rsidRPr="00981405">
        <w:t xml:space="preserve"> </w:t>
      </w:r>
      <w:r w:rsidRPr="00981405">
        <w:t>of</w:t>
      </w:r>
      <w:r w:rsidR="00190923" w:rsidRPr="00981405">
        <w:t xml:space="preserve"> </w:t>
      </w:r>
      <w:r w:rsidRPr="00981405">
        <w:t>law</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relations.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took</w:t>
      </w:r>
      <w:r w:rsidR="00190923" w:rsidRPr="00981405">
        <w:t xml:space="preserve"> </w:t>
      </w:r>
      <w:r w:rsidRPr="00981405">
        <w:t>note</w:t>
      </w:r>
      <w:r w:rsidR="00190923" w:rsidRPr="00981405">
        <w:t xml:space="preserve"> </w:t>
      </w:r>
      <w:r w:rsidRPr="00981405">
        <w:t>that</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in</w:t>
      </w:r>
      <w:r w:rsidR="00190923" w:rsidRPr="00981405">
        <w:t xml:space="preserve"> </w:t>
      </w:r>
      <w:r w:rsidRPr="00981405">
        <w:t>its</w:t>
      </w:r>
      <w:r w:rsidR="00190923" w:rsidRPr="00981405">
        <w:t xml:space="preserve"> </w:t>
      </w:r>
      <w:r w:rsidRPr="00981405">
        <w:t>resolution</w:t>
      </w:r>
      <w:r w:rsidR="00190923" w:rsidRPr="00981405">
        <w:t xml:space="preserve"> </w:t>
      </w:r>
      <w:r w:rsidRPr="00981405">
        <w:t>69/118,</w:t>
      </w:r>
      <w:r w:rsidR="00190923" w:rsidRPr="00981405">
        <w:t xml:space="preserve"> </w:t>
      </w:r>
      <w:r w:rsidRPr="00981405">
        <w:t>expressed</w:t>
      </w:r>
      <w:r w:rsidR="00190923" w:rsidRPr="00981405">
        <w:t xml:space="preserve"> </w:t>
      </w:r>
      <w:r w:rsidRPr="00981405">
        <w:t>its</w:t>
      </w:r>
      <w:r w:rsidR="00190923" w:rsidRPr="00981405">
        <w:t xml:space="preserve"> </w:t>
      </w:r>
      <w:r w:rsidRPr="00981405">
        <w:t>appreciation</w:t>
      </w:r>
      <w:r w:rsidR="00190923" w:rsidRPr="00981405">
        <w:t xml:space="preserve"> </w:t>
      </w:r>
      <w:r w:rsidRPr="00981405">
        <w:t>to</w:t>
      </w:r>
      <w:r w:rsidR="00190923" w:rsidRPr="00981405">
        <w:t xml:space="preserve"> </w:t>
      </w:r>
      <w:r w:rsidRPr="00981405">
        <w:t>governments</w:t>
      </w:r>
      <w:r w:rsidR="00190923" w:rsidRPr="00981405">
        <w:t xml:space="preserve"> </w:t>
      </w:r>
      <w:r w:rsidRPr="00981405">
        <w:t>that</w:t>
      </w:r>
      <w:r w:rsidR="00190923" w:rsidRPr="00981405">
        <w:t xml:space="preserve"> </w:t>
      </w:r>
      <w:r w:rsidRPr="00981405">
        <w:t>had</w:t>
      </w:r>
      <w:r w:rsidR="00190923" w:rsidRPr="00981405">
        <w:t xml:space="preserve"> </w:t>
      </w:r>
      <w:r w:rsidRPr="00981405">
        <w:t>made</w:t>
      </w:r>
      <w:r w:rsidR="00190923" w:rsidRPr="00981405">
        <w:t xml:space="preserve"> </w:t>
      </w:r>
      <w:r w:rsidRPr="00981405">
        <w:t>voluntary</w:t>
      </w:r>
      <w:r w:rsidR="00190923" w:rsidRPr="00981405">
        <w:t xml:space="preserve"> </w:t>
      </w:r>
      <w:r w:rsidRPr="00981405">
        <w:t>contributions</w:t>
      </w:r>
      <w:r w:rsidR="00190923" w:rsidRPr="00981405">
        <w:t xml:space="preserve"> </w:t>
      </w:r>
      <w:r w:rsidRPr="00981405">
        <w:t>to</w:t>
      </w:r>
      <w:r w:rsidR="00190923" w:rsidRPr="00981405">
        <w:t xml:space="preserve"> </w:t>
      </w:r>
      <w:r w:rsidRPr="00981405">
        <w:t>the</w:t>
      </w:r>
      <w:r w:rsidR="00190923" w:rsidRPr="00981405">
        <w:t xml:space="preserve"> </w:t>
      </w:r>
      <w:r w:rsidRPr="00981405">
        <w:t>Trust</w:t>
      </w:r>
      <w:r w:rsidR="00190923" w:rsidRPr="00981405">
        <w:t xml:space="preserve"> </w:t>
      </w:r>
      <w:r w:rsidRPr="00981405">
        <w:t>Fund</w:t>
      </w:r>
      <w:r w:rsidR="00190923" w:rsidRPr="00981405">
        <w:t xml:space="preserve"> </w:t>
      </w:r>
      <w:r w:rsidRPr="00981405">
        <w:t>on</w:t>
      </w:r>
      <w:r w:rsidR="00190923" w:rsidRPr="00981405">
        <w:t xml:space="preserve"> </w:t>
      </w:r>
      <w:r w:rsidRPr="00981405">
        <w:t>the</w:t>
      </w:r>
      <w:r w:rsidR="00190923" w:rsidRPr="00981405">
        <w:t xml:space="preserve"> </w:t>
      </w:r>
      <w:r w:rsidRPr="00981405">
        <w:t>backlog</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D97463">
        <w:rPr>
          <w:i/>
          <w:iCs/>
        </w:rPr>
        <w:t>Yearbook</w:t>
      </w:r>
      <w:r w:rsidRPr="00981405">
        <w:t>,</w:t>
      </w:r>
      <w:r w:rsidR="00190923" w:rsidRPr="00981405">
        <w:t xml:space="preserve"> </w:t>
      </w:r>
      <w:r w:rsidRPr="00981405">
        <w:t>and</w:t>
      </w:r>
      <w:r w:rsidR="00190923" w:rsidRPr="00981405">
        <w:t xml:space="preserve"> </w:t>
      </w:r>
      <w:r w:rsidRPr="00981405">
        <w:t>encouraged</w:t>
      </w:r>
      <w:r w:rsidR="00190923" w:rsidRPr="00981405">
        <w:t xml:space="preserve"> </w:t>
      </w:r>
      <w:r w:rsidRPr="00981405">
        <w:t>further</w:t>
      </w:r>
      <w:r w:rsidR="00190923" w:rsidRPr="00981405">
        <w:t xml:space="preserve"> </w:t>
      </w:r>
      <w:r w:rsidRPr="00981405">
        <w:t>contributions</w:t>
      </w:r>
      <w:r w:rsidR="00190923" w:rsidRPr="00981405">
        <w:t xml:space="preserve"> </w:t>
      </w:r>
      <w:r w:rsidRPr="00981405">
        <w:t>to</w:t>
      </w:r>
      <w:r w:rsidR="00190923" w:rsidRPr="00981405">
        <w:t xml:space="preserve"> </w:t>
      </w:r>
      <w:r w:rsidRPr="00981405">
        <w:t>the</w:t>
      </w:r>
      <w:r w:rsidR="00190923" w:rsidRPr="00981405">
        <w:t xml:space="preserve"> </w:t>
      </w:r>
      <w:r w:rsidRPr="00981405">
        <w:t>Trust</w:t>
      </w:r>
      <w:r w:rsidR="00190923" w:rsidRPr="00981405">
        <w:t xml:space="preserve"> </w:t>
      </w:r>
      <w:r w:rsidRPr="00981405">
        <w:t>Fund.</w:t>
      </w:r>
      <w:r w:rsidRPr="00981405">
        <w:tab/>
      </w:r>
    </w:p>
    <w:p w:rsidR="00BD3228" w:rsidRPr="00981405" w:rsidRDefault="00397032" w:rsidP="00D97463">
      <w:pPr>
        <w:pStyle w:val="SingleTxt"/>
      </w:pPr>
      <w:r w:rsidRPr="00981405">
        <w:t>305.</w:t>
      </w:r>
      <w:r w:rsidRPr="00981405">
        <w:tab/>
        <w:t>The</w:t>
      </w:r>
      <w:r w:rsidR="00190923" w:rsidRPr="00981405">
        <w:t xml:space="preserve"> </w:t>
      </w:r>
      <w:r w:rsidRPr="00981405">
        <w:t>Commission</w:t>
      </w:r>
      <w:r w:rsidR="00190923" w:rsidRPr="00981405">
        <w:t xml:space="preserve"> </w:t>
      </w:r>
      <w:r w:rsidRPr="00981405">
        <w:t>recommends</w:t>
      </w:r>
      <w:r w:rsidR="00190923" w:rsidRPr="00981405">
        <w:t xml:space="preserve"> </w:t>
      </w:r>
      <w:r w:rsidRPr="00981405">
        <w:t>that</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as</w:t>
      </w:r>
      <w:r w:rsidR="00190923" w:rsidRPr="00981405">
        <w:t xml:space="preserve"> </w:t>
      </w:r>
      <w:r w:rsidRPr="00981405">
        <w:t>in</w:t>
      </w:r>
      <w:r w:rsidR="00190923" w:rsidRPr="00981405">
        <w:t xml:space="preserve"> </w:t>
      </w:r>
      <w:r w:rsidRPr="00981405">
        <w:t>its</w:t>
      </w:r>
      <w:r w:rsidR="00190923" w:rsidRPr="00981405">
        <w:t xml:space="preserve"> </w:t>
      </w:r>
      <w:r w:rsidRPr="00981405">
        <w:t>resolution</w:t>
      </w:r>
      <w:r w:rsidR="00190923" w:rsidRPr="00981405">
        <w:t xml:space="preserve"> </w:t>
      </w:r>
      <w:r w:rsidRPr="00981405">
        <w:t>69/118,</w:t>
      </w:r>
      <w:r w:rsidR="00190923" w:rsidRPr="00981405">
        <w:t xml:space="preserve"> </w:t>
      </w:r>
      <w:r w:rsidRPr="00D97463">
        <w:rPr>
          <w:i/>
          <w:iCs/>
        </w:rPr>
        <w:t>express</w:t>
      </w:r>
      <w:r w:rsidR="00190923" w:rsidRPr="00D97463">
        <w:rPr>
          <w:i/>
          <w:iCs/>
        </w:rPr>
        <w:t xml:space="preserve"> </w:t>
      </w:r>
      <w:r w:rsidRPr="00D97463">
        <w:rPr>
          <w:i/>
          <w:iCs/>
        </w:rPr>
        <w:t>its</w:t>
      </w:r>
      <w:r w:rsidR="00190923" w:rsidRPr="00D97463">
        <w:rPr>
          <w:i/>
          <w:iCs/>
        </w:rPr>
        <w:t xml:space="preserve"> </w:t>
      </w:r>
      <w:r w:rsidRPr="00D97463">
        <w:rPr>
          <w:i/>
          <w:iCs/>
        </w:rPr>
        <w:t>satisfaction</w:t>
      </w:r>
      <w:r w:rsidR="00190923" w:rsidRPr="00D97463">
        <w:rPr>
          <w:i/>
          <w:iCs/>
        </w:rPr>
        <w:t xml:space="preserve"> </w:t>
      </w:r>
      <w:r w:rsidRPr="00981405">
        <w:t>with</w:t>
      </w:r>
      <w:r w:rsidR="00190923" w:rsidRPr="00981405">
        <w:t xml:space="preserve"> </w:t>
      </w:r>
      <w:r w:rsidRPr="00981405">
        <w:t>the</w:t>
      </w:r>
      <w:r w:rsidR="00190923" w:rsidRPr="00981405">
        <w:t xml:space="preserve"> </w:t>
      </w:r>
      <w:r w:rsidRPr="00981405">
        <w:t>remarkable</w:t>
      </w:r>
      <w:r w:rsidR="00190923" w:rsidRPr="00981405">
        <w:t xml:space="preserve"> </w:t>
      </w:r>
      <w:r w:rsidRPr="00981405">
        <w:t>progress</w:t>
      </w:r>
      <w:r w:rsidR="00190923" w:rsidRPr="00981405">
        <w:t xml:space="preserve"> </w:t>
      </w:r>
      <w:r w:rsidRPr="00981405">
        <w:t>achieved</w:t>
      </w:r>
      <w:r w:rsidR="00190923" w:rsidRPr="00981405">
        <w:t xml:space="preserve"> </w:t>
      </w:r>
      <w:r w:rsidRPr="00981405">
        <w:t>in</w:t>
      </w:r>
      <w:r w:rsidR="00190923" w:rsidRPr="00981405">
        <w:t xml:space="preserve"> </w:t>
      </w:r>
      <w:r w:rsidRPr="00981405">
        <w:t>the</w:t>
      </w:r>
      <w:r w:rsidR="00190923" w:rsidRPr="00981405">
        <w:t xml:space="preserve"> </w:t>
      </w:r>
      <w:r w:rsidRPr="00981405">
        <w:t>last</w:t>
      </w:r>
      <w:r w:rsidR="00190923" w:rsidRPr="00981405">
        <w:t xml:space="preserve"> </w:t>
      </w:r>
      <w:r w:rsidRPr="00981405">
        <w:t>few</w:t>
      </w:r>
      <w:r w:rsidR="00190923" w:rsidRPr="00981405">
        <w:t xml:space="preserve"> </w:t>
      </w:r>
      <w:r w:rsidRPr="00981405">
        <w:t>years</w:t>
      </w:r>
      <w:r w:rsidR="00190923" w:rsidRPr="00981405">
        <w:t xml:space="preserve"> </w:t>
      </w:r>
      <w:r w:rsidRPr="00981405">
        <w:t>in</w:t>
      </w:r>
      <w:r w:rsidR="00190923" w:rsidRPr="00981405">
        <w:t xml:space="preserve"> </w:t>
      </w:r>
      <w:r w:rsidRPr="00981405">
        <w:t>catching</w:t>
      </w:r>
      <w:r w:rsidR="00190923" w:rsidRPr="00981405">
        <w:t xml:space="preserve"> </w:t>
      </w:r>
      <w:r w:rsidRPr="00981405">
        <w:t>up</w:t>
      </w:r>
      <w:r w:rsidR="00190923" w:rsidRPr="00981405">
        <w:t xml:space="preserve"> </w:t>
      </w:r>
      <w:r w:rsidRPr="00981405">
        <w:t>with</w:t>
      </w:r>
      <w:r w:rsidR="00190923" w:rsidRPr="00981405">
        <w:t xml:space="preserve"> </w:t>
      </w:r>
      <w:r w:rsidRPr="00981405">
        <w:t>the</w:t>
      </w:r>
      <w:r w:rsidR="00190923" w:rsidRPr="00981405">
        <w:t xml:space="preserve"> </w:t>
      </w:r>
      <w:r w:rsidRPr="00981405">
        <w:t>backlog</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Yearbook</w:t>
      </w:r>
      <w:r w:rsidR="00190923" w:rsidRPr="00981405">
        <w:t xml:space="preserve"> </w:t>
      </w:r>
      <w:r w:rsidRPr="00981405">
        <w:t>in</w:t>
      </w:r>
      <w:r w:rsidR="00190923" w:rsidRPr="00981405">
        <w:t xml:space="preserve"> </w:t>
      </w:r>
      <w:r w:rsidRPr="00981405">
        <w:t>all</w:t>
      </w:r>
      <w:r w:rsidR="00190923" w:rsidRPr="00981405">
        <w:t xml:space="preserve"> </w:t>
      </w:r>
      <w:r w:rsidRPr="00981405">
        <w:t>six</w:t>
      </w:r>
      <w:r w:rsidR="00190923" w:rsidRPr="00981405">
        <w:t xml:space="preserve"> </w:t>
      </w:r>
      <w:r w:rsidRPr="00981405">
        <w:t>languages,</w:t>
      </w:r>
      <w:r w:rsidR="00190923" w:rsidRPr="00981405">
        <w:t xml:space="preserve"> </w:t>
      </w:r>
      <w:r w:rsidRPr="00981405">
        <w:t>and</w:t>
      </w:r>
      <w:r w:rsidR="00190923" w:rsidRPr="00981405">
        <w:t xml:space="preserve"> </w:t>
      </w:r>
      <w:r w:rsidRPr="00981405">
        <w:t>welcome</w:t>
      </w:r>
      <w:r w:rsidR="00190923" w:rsidRPr="00981405">
        <w:t xml:space="preserve"> </w:t>
      </w:r>
      <w:r w:rsidRPr="00981405">
        <w:t>the</w:t>
      </w:r>
      <w:r w:rsidR="00190923" w:rsidRPr="00981405">
        <w:t xml:space="preserve"> </w:t>
      </w:r>
      <w:r w:rsidRPr="00981405">
        <w:t>efforts</w:t>
      </w:r>
      <w:r w:rsidR="00190923" w:rsidRPr="00981405">
        <w:t xml:space="preserve"> </w:t>
      </w:r>
      <w:r w:rsidRPr="00981405">
        <w:t>made</w:t>
      </w:r>
      <w:r w:rsidR="00190923" w:rsidRPr="00981405">
        <w:t xml:space="preserve"> </w:t>
      </w:r>
      <w:r w:rsidRPr="00981405">
        <w:t>by</w:t>
      </w:r>
      <w:r w:rsidR="00190923" w:rsidRPr="00981405">
        <w:t xml:space="preserve"> </w:t>
      </w:r>
      <w:r w:rsidRPr="00981405">
        <w:t>the</w:t>
      </w:r>
      <w:r w:rsidR="00190923" w:rsidRPr="00981405">
        <w:t xml:space="preserve"> </w:t>
      </w:r>
      <w:r w:rsidRPr="00981405">
        <w:t>Division</w:t>
      </w:r>
      <w:r w:rsidR="00190923" w:rsidRPr="00981405">
        <w:t xml:space="preserve"> </w:t>
      </w:r>
      <w:r w:rsidRPr="00981405">
        <w:t>of</w:t>
      </w:r>
      <w:r w:rsidR="00190923" w:rsidRPr="00981405">
        <w:t xml:space="preserve"> </w:t>
      </w:r>
      <w:r w:rsidRPr="00981405">
        <w:t>Conference</w:t>
      </w:r>
      <w:r w:rsidR="00190923" w:rsidRPr="00981405">
        <w:t xml:space="preserve"> </w:t>
      </w:r>
      <w:r w:rsidRPr="00981405">
        <w:t>Management,</w:t>
      </w:r>
      <w:r w:rsidR="00190923" w:rsidRPr="00981405">
        <w:t xml:space="preserve"> </w:t>
      </w:r>
      <w:r w:rsidRPr="00981405">
        <w:t>especially</w:t>
      </w:r>
      <w:r w:rsidR="00190923" w:rsidRPr="00981405">
        <w:t xml:space="preserve"> </w:t>
      </w:r>
      <w:r w:rsidRPr="00981405">
        <w:t>its</w:t>
      </w:r>
      <w:r w:rsidR="00190923" w:rsidRPr="00981405">
        <w:t xml:space="preserve"> </w:t>
      </w:r>
      <w:r w:rsidRPr="00981405">
        <w:t>Editing</w:t>
      </w:r>
      <w:r w:rsidR="00190923" w:rsidRPr="00981405">
        <w:t xml:space="preserve"> </w:t>
      </w:r>
      <w:r w:rsidRPr="00981405">
        <w:t>Section</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Office</w:t>
      </w:r>
      <w:r w:rsidR="00190923" w:rsidRPr="00981405">
        <w:t xml:space="preserve"> </w:t>
      </w:r>
      <w:r w:rsidRPr="00981405">
        <w:t>at</w:t>
      </w:r>
      <w:r w:rsidR="00190923" w:rsidRPr="00981405">
        <w:t xml:space="preserve"> </w:t>
      </w:r>
      <w:r w:rsidRPr="00981405">
        <w:t>Geneva</w:t>
      </w:r>
      <w:r w:rsidR="00190923" w:rsidRPr="00981405">
        <w:t xml:space="preserve"> </w:t>
      </w:r>
      <w:r w:rsidRPr="00981405">
        <w:t>in</w:t>
      </w:r>
      <w:r w:rsidR="00190923" w:rsidRPr="00981405">
        <w:t xml:space="preserve"> </w:t>
      </w:r>
      <w:r w:rsidRPr="00981405">
        <w:t>effectively</w:t>
      </w:r>
      <w:r w:rsidR="00190923" w:rsidRPr="00981405">
        <w:t xml:space="preserve"> </w:t>
      </w:r>
      <w:r w:rsidRPr="00981405">
        <w:t>implementing</w:t>
      </w:r>
      <w:r w:rsidR="00190923" w:rsidRPr="00981405">
        <w:t xml:space="preserve"> </w:t>
      </w:r>
      <w:r w:rsidRPr="00981405">
        <w:t>relevant</w:t>
      </w:r>
      <w:r w:rsidR="00190923" w:rsidRPr="00981405">
        <w:t xml:space="preserve"> </w:t>
      </w:r>
      <w:r w:rsidRPr="00981405">
        <w:t>resolutions</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calling</w:t>
      </w:r>
      <w:r w:rsidR="00190923" w:rsidRPr="00981405">
        <w:t xml:space="preserve"> </w:t>
      </w:r>
      <w:r w:rsidRPr="00981405">
        <w:t>for</w:t>
      </w:r>
      <w:r w:rsidR="00190923" w:rsidRPr="00981405">
        <w:t xml:space="preserve"> </w:t>
      </w:r>
      <w:r w:rsidRPr="00981405">
        <w:t>the</w:t>
      </w:r>
      <w:r w:rsidR="00190923" w:rsidRPr="00981405">
        <w:t xml:space="preserve"> </w:t>
      </w:r>
      <w:r w:rsidRPr="00981405">
        <w:t>reduction</w:t>
      </w:r>
      <w:r w:rsidR="00190923" w:rsidRPr="00981405">
        <w:t xml:space="preserve"> </w:t>
      </w:r>
      <w:r w:rsidRPr="00981405">
        <w:t>of</w:t>
      </w:r>
      <w:r w:rsidR="00190923" w:rsidRPr="00981405">
        <w:t xml:space="preserve"> </w:t>
      </w:r>
      <w:r w:rsidRPr="00981405">
        <w:t>the</w:t>
      </w:r>
      <w:r w:rsidR="00190923" w:rsidRPr="00981405">
        <w:t xml:space="preserve"> </w:t>
      </w:r>
      <w:r w:rsidRPr="00981405">
        <w:t>backlog;</w:t>
      </w:r>
      <w:r w:rsidR="00190923" w:rsidRPr="00981405">
        <w:t xml:space="preserve"> </w:t>
      </w:r>
      <w:r w:rsidRPr="00981405">
        <w:t>and</w:t>
      </w:r>
      <w:r w:rsidR="00190923" w:rsidRPr="00981405">
        <w:t xml:space="preserve"> </w:t>
      </w:r>
      <w:r w:rsidRPr="00D97463">
        <w:rPr>
          <w:i/>
          <w:iCs/>
        </w:rPr>
        <w:t>encourage</w:t>
      </w:r>
      <w:r w:rsidR="00190923" w:rsidRPr="00981405">
        <w:t xml:space="preserve"> </w:t>
      </w:r>
      <w:r w:rsidRPr="00981405">
        <w:t>the</w:t>
      </w:r>
      <w:r w:rsidR="00190923" w:rsidRPr="00981405">
        <w:t xml:space="preserve"> </w:t>
      </w:r>
      <w:r w:rsidRPr="00981405">
        <w:t>Division</w:t>
      </w:r>
      <w:r w:rsidR="00190923" w:rsidRPr="00981405">
        <w:t xml:space="preserve"> </w:t>
      </w:r>
      <w:r w:rsidRPr="00981405">
        <w:t>of</w:t>
      </w:r>
      <w:r w:rsidR="00190923" w:rsidRPr="00981405">
        <w:t xml:space="preserve"> </w:t>
      </w:r>
      <w:r w:rsidRPr="00981405">
        <w:t>Conference</w:t>
      </w:r>
      <w:r w:rsidR="00190923" w:rsidRPr="00981405">
        <w:t xml:space="preserve"> </w:t>
      </w:r>
      <w:r w:rsidRPr="00981405">
        <w:t>Management</w:t>
      </w:r>
      <w:r w:rsidR="00190923" w:rsidRPr="00981405">
        <w:t xml:space="preserve"> </w:t>
      </w:r>
      <w:r w:rsidRPr="00981405">
        <w:t>to</w:t>
      </w:r>
      <w:r w:rsidR="00190923" w:rsidRPr="00981405">
        <w:t xml:space="preserve"> </w:t>
      </w:r>
      <w:r w:rsidRPr="00981405">
        <w:t>continue</w:t>
      </w:r>
      <w:r w:rsidR="00190923" w:rsidRPr="00981405">
        <w:t xml:space="preserve"> </w:t>
      </w:r>
      <w:r w:rsidRPr="00981405">
        <w:t>providing</w:t>
      </w:r>
      <w:r w:rsidR="00B92E2C" w:rsidRPr="00981405">
        <w:t xml:space="preserve"> </w:t>
      </w:r>
      <w:r w:rsidRPr="00981405">
        <w:t>all</w:t>
      </w:r>
      <w:r w:rsidR="00190923" w:rsidRPr="00981405">
        <w:t xml:space="preserve"> </w:t>
      </w:r>
      <w:r w:rsidRPr="00981405">
        <w:t>necessary</w:t>
      </w:r>
      <w:r w:rsidR="00190923" w:rsidRPr="00981405">
        <w:t xml:space="preserve"> </w:t>
      </w:r>
      <w:r w:rsidRPr="00981405">
        <w:t>support</w:t>
      </w:r>
      <w:r w:rsidR="00190923" w:rsidRPr="00981405">
        <w:t xml:space="preserve"> </w:t>
      </w:r>
      <w:r w:rsidRPr="00981405">
        <w:t>to</w:t>
      </w:r>
      <w:r w:rsidR="00190923" w:rsidRPr="00981405">
        <w:t xml:space="preserve"> </w:t>
      </w:r>
      <w:r w:rsidRPr="00981405">
        <w:t>the</w:t>
      </w:r>
      <w:r w:rsidR="00190923" w:rsidRPr="00981405">
        <w:t xml:space="preserve"> </w:t>
      </w:r>
      <w:r w:rsidRPr="00981405">
        <w:t>Editing</w:t>
      </w:r>
      <w:r w:rsidR="00190923" w:rsidRPr="00981405">
        <w:t xml:space="preserve"> </w:t>
      </w:r>
      <w:r w:rsidRPr="00981405">
        <w:t>Section</w:t>
      </w:r>
      <w:r w:rsidR="00190923" w:rsidRPr="00981405">
        <w:t xml:space="preserve"> </w:t>
      </w:r>
      <w:r w:rsidRPr="00981405">
        <w:t>in</w:t>
      </w:r>
      <w:r w:rsidR="00190923" w:rsidRPr="00981405">
        <w:t xml:space="preserve"> </w:t>
      </w:r>
      <w:r w:rsidRPr="00981405">
        <w:t>advancing</w:t>
      </w:r>
      <w:r w:rsidR="00190923" w:rsidRPr="00981405">
        <w:t xml:space="preserve"> </w:t>
      </w:r>
      <w:r w:rsidRPr="00981405">
        <w:t>work</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Yearbook</w:t>
      </w:r>
      <w:r w:rsidRPr="00981405">
        <w:t>.</w:t>
      </w:r>
    </w:p>
    <w:p w:rsidR="00BD3228" w:rsidRPr="00D97463" w:rsidRDefault="00BD3228" w:rsidP="00D97463">
      <w:pPr>
        <w:pStyle w:val="SingleTxt"/>
        <w:spacing w:after="0" w:line="120" w:lineRule="exact"/>
        <w:rPr>
          <w:sz w:val="10"/>
        </w:rPr>
      </w:pPr>
    </w:p>
    <w:p w:rsidR="00397032" w:rsidRPr="00D97463" w:rsidRDefault="00BD3228" w:rsidP="00D97463">
      <w:pPr>
        <w:pStyle w:val="H23"/>
        <w:ind w:right="1260"/>
      </w:pPr>
      <w:r w:rsidRPr="00D97463">
        <w:tab/>
      </w:r>
      <w:r w:rsidR="00397032" w:rsidRPr="00D97463">
        <w:t>8.</w:t>
      </w:r>
      <w:r w:rsidRPr="00D97463">
        <w:tab/>
      </w:r>
      <w:r w:rsidR="00397032" w:rsidRPr="00D97463">
        <w:t>Assistance</w:t>
      </w:r>
      <w:r w:rsidR="00190923" w:rsidRPr="00D97463">
        <w:t xml:space="preserve"> </w:t>
      </w:r>
      <w:r w:rsidR="00397032" w:rsidRPr="00D97463">
        <w:t>of</w:t>
      </w:r>
      <w:r w:rsidR="00190923" w:rsidRPr="00D97463">
        <w:t xml:space="preserve"> </w:t>
      </w:r>
      <w:r w:rsidR="00397032" w:rsidRPr="00D97463">
        <w:t>the</w:t>
      </w:r>
      <w:r w:rsidR="00190923" w:rsidRPr="00D97463">
        <w:t xml:space="preserve"> </w:t>
      </w:r>
      <w:r w:rsidR="00397032" w:rsidRPr="00D97463">
        <w:t>Codification</w:t>
      </w:r>
      <w:r w:rsidR="00190923" w:rsidRPr="00D97463">
        <w:t xml:space="preserve"> </w:t>
      </w:r>
      <w:r w:rsidR="00397032" w:rsidRPr="00D97463">
        <w:t>Division</w:t>
      </w:r>
    </w:p>
    <w:p w:rsidR="00BD3228" w:rsidRPr="00D97463" w:rsidRDefault="00BD3228" w:rsidP="00D97463">
      <w:pPr>
        <w:pStyle w:val="SingleTxt"/>
        <w:spacing w:after="0" w:line="120" w:lineRule="exact"/>
        <w:rPr>
          <w:sz w:val="10"/>
        </w:rPr>
      </w:pPr>
    </w:p>
    <w:p w:rsidR="00397032" w:rsidRPr="00981405" w:rsidRDefault="00397032" w:rsidP="00D97463">
      <w:pPr>
        <w:pStyle w:val="SingleTxt"/>
      </w:pPr>
      <w:r w:rsidRPr="00981405">
        <w:t>306.</w:t>
      </w:r>
      <w:r w:rsidRPr="00981405">
        <w:tab/>
        <w:t>The</w:t>
      </w:r>
      <w:r w:rsidR="00190923" w:rsidRPr="00981405">
        <w:t xml:space="preserve"> </w:t>
      </w:r>
      <w:r w:rsidRPr="00981405">
        <w:t>Commission</w:t>
      </w:r>
      <w:r w:rsidR="00190923" w:rsidRPr="00981405">
        <w:t xml:space="preserve"> </w:t>
      </w:r>
      <w:r w:rsidRPr="00981405">
        <w:t>expressed</w:t>
      </w:r>
      <w:r w:rsidR="00190923" w:rsidRPr="00981405">
        <w:t xml:space="preserve"> </w:t>
      </w:r>
      <w:r w:rsidRPr="00981405">
        <w:t>its</w:t>
      </w:r>
      <w:r w:rsidR="00190923" w:rsidRPr="00981405">
        <w:t xml:space="preserve"> </w:t>
      </w:r>
      <w:r w:rsidRPr="00981405">
        <w:t>appreciation</w:t>
      </w:r>
      <w:r w:rsidR="00190923" w:rsidRPr="00981405">
        <w:t xml:space="preserve"> </w:t>
      </w:r>
      <w:r w:rsidRPr="00981405">
        <w:t>for</w:t>
      </w:r>
      <w:r w:rsidR="00190923" w:rsidRPr="00981405">
        <w:t xml:space="preserve"> </w:t>
      </w:r>
      <w:r w:rsidRPr="00981405">
        <w:t>the</w:t>
      </w:r>
      <w:r w:rsidR="00190923" w:rsidRPr="00981405">
        <w:t xml:space="preserve"> </w:t>
      </w:r>
      <w:r w:rsidRPr="00981405">
        <w:t>valuable</w:t>
      </w:r>
      <w:r w:rsidR="00190923" w:rsidRPr="00981405">
        <w:t xml:space="preserve"> </w:t>
      </w:r>
      <w:r w:rsidRPr="00981405">
        <w:t>assistance</w:t>
      </w:r>
      <w:r w:rsidR="00190923" w:rsidRPr="00981405">
        <w:t xml:space="preserve"> </w:t>
      </w:r>
      <w:r w:rsidRPr="00981405">
        <w:t>of</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00190923" w:rsidRPr="00981405">
        <w:t xml:space="preserve"> </w:t>
      </w:r>
      <w:r w:rsidRPr="00981405">
        <w:t>of</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in</w:t>
      </w:r>
      <w:r w:rsidR="00190923" w:rsidRPr="00981405">
        <w:t xml:space="preserve"> </w:t>
      </w:r>
      <w:r w:rsidRPr="00981405">
        <w:t>its</w:t>
      </w:r>
      <w:r w:rsidR="00190923" w:rsidRPr="00981405">
        <w:t xml:space="preserve"> </w:t>
      </w:r>
      <w:r w:rsidRPr="00981405">
        <w:t>substantive</w:t>
      </w:r>
      <w:r w:rsidR="00190923" w:rsidRPr="00981405">
        <w:t xml:space="preserve"> </w:t>
      </w:r>
      <w:r w:rsidRPr="00981405">
        <w:t>servicing</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ongoing</w:t>
      </w:r>
      <w:r w:rsidR="00190923" w:rsidRPr="00981405">
        <w:t xml:space="preserve"> </w:t>
      </w:r>
      <w:r w:rsidRPr="00981405">
        <w:t>assistance</w:t>
      </w:r>
      <w:r w:rsidR="00190923" w:rsidRPr="00981405">
        <w:t xml:space="preserve"> </w:t>
      </w:r>
      <w:r w:rsidRPr="00981405">
        <w:t>provided</w:t>
      </w:r>
      <w:r w:rsidR="00190923" w:rsidRPr="00981405">
        <w:t xml:space="preserve"> </w:t>
      </w:r>
      <w:r w:rsidRPr="00981405">
        <w:t>to</w:t>
      </w:r>
      <w:r w:rsidR="00190923" w:rsidRPr="00981405">
        <w:t xml:space="preserve"> </w:t>
      </w:r>
      <w:r w:rsidRPr="00981405">
        <w:t>Special</w:t>
      </w:r>
      <w:r w:rsidR="00190923" w:rsidRPr="00981405">
        <w:t xml:space="preserve"> </w:t>
      </w:r>
      <w:r w:rsidRPr="00981405">
        <w:t>Rapporteurs</w:t>
      </w:r>
      <w:r w:rsidR="00190923" w:rsidRPr="00981405">
        <w:t xml:space="preserve"> </w:t>
      </w:r>
      <w:r w:rsidRPr="00981405">
        <w:t>and</w:t>
      </w:r>
      <w:r w:rsidR="00190923" w:rsidRPr="00981405">
        <w:t xml:space="preserve"> </w:t>
      </w:r>
      <w:r w:rsidRPr="00981405">
        <w:t>the</w:t>
      </w:r>
      <w:r w:rsidR="00190923" w:rsidRPr="00981405">
        <w:t xml:space="preserve"> </w:t>
      </w:r>
      <w:r w:rsidRPr="00981405">
        <w:t>preparation</w:t>
      </w:r>
      <w:r w:rsidR="00190923" w:rsidRPr="00981405">
        <w:t xml:space="preserve"> </w:t>
      </w:r>
      <w:r w:rsidRPr="00981405">
        <w:t>of</w:t>
      </w:r>
      <w:r w:rsidR="00190923" w:rsidRPr="00981405">
        <w:t xml:space="preserve"> </w:t>
      </w:r>
      <w:r w:rsidRPr="00981405">
        <w:t>in-depth</w:t>
      </w:r>
      <w:r w:rsidR="00190923" w:rsidRPr="00981405">
        <w:t xml:space="preserve"> </w:t>
      </w:r>
      <w:r w:rsidRPr="00981405">
        <w:t>research</w:t>
      </w:r>
      <w:r w:rsidR="00190923" w:rsidRPr="00981405">
        <w:t xml:space="preserve"> </w:t>
      </w:r>
      <w:r w:rsidRPr="00981405">
        <w:t>studies</w:t>
      </w:r>
      <w:r w:rsidR="00190923" w:rsidRPr="00981405">
        <w:t xml:space="preserve"> </w:t>
      </w:r>
      <w:r w:rsidRPr="00981405">
        <w:t>pertaining</w:t>
      </w:r>
      <w:r w:rsidR="00190923" w:rsidRPr="00981405">
        <w:t xml:space="preserve"> </w:t>
      </w:r>
      <w:r w:rsidRPr="00981405">
        <w:t>to</w:t>
      </w:r>
      <w:r w:rsidR="00190923" w:rsidRPr="00981405">
        <w:t xml:space="preserve"> </w:t>
      </w:r>
      <w:r w:rsidRPr="00981405">
        <w:t>aspects</w:t>
      </w:r>
      <w:r w:rsidR="00190923" w:rsidRPr="00981405">
        <w:t xml:space="preserve"> </w:t>
      </w:r>
      <w:r w:rsidRPr="00981405">
        <w:t>of</w:t>
      </w:r>
      <w:r w:rsidR="00190923" w:rsidRPr="00981405">
        <w:t xml:space="preserve"> </w:t>
      </w:r>
      <w:r w:rsidRPr="00981405">
        <w:t>topics</w:t>
      </w:r>
      <w:r w:rsidR="00190923" w:rsidRPr="00981405">
        <w:t xml:space="preserve"> </w:t>
      </w:r>
      <w:r w:rsidRPr="00981405">
        <w:t>presently</w:t>
      </w:r>
      <w:r w:rsidR="00190923" w:rsidRPr="00981405">
        <w:t xml:space="preserve"> </w:t>
      </w:r>
      <w:r w:rsidRPr="00981405">
        <w:t>under</w:t>
      </w:r>
      <w:r w:rsidR="00190923" w:rsidRPr="00981405">
        <w:t xml:space="preserve"> </w:t>
      </w:r>
      <w:r w:rsidRPr="00981405">
        <w:t>consideration,</w:t>
      </w:r>
      <w:r w:rsidR="00190923" w:rsidRPr="00981405">
        <w:t xml:space="preserve"> </w:t>
      </w:r>
      <w:r w:rsidRPr="00981405">
        <w:t>as</w:t>
      </w:r>
      <w:r w:rsidR="00190923" w:rsidRPr="00981405">
        <w:t xml:space="preserve"> </w:t>
      </w:r>
      <w:r w:rsidRPr="00981405">
        <w:t>requested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p>
    <w:p w:rsidR="0054347D" w:rsidRPr="00D97463" w:rsidRDefault="0054347D" w:rsidP="00D97463">
      <w:pPr>
        <w:pStyle w:val="SingleTxt"/>
        <w:spacing w:after="0" w:line="120" w:lineRule="exact"/>
        <w:rPr>
          <w:sz w:val="10"/>
        </w:rPr>
      </w:pPr>
    </w:p>
    <w:p w:rsidR="00397032" w:rsidRPr="00D97463" w:rsidRDefault="0054347D" w:rsidP="00D97463">
      <w:pPr>
        <w:pStyle w:val="H23"/>
        <w:ind w:right="1260"/>
      </w:pPr>
      <w:r w:rsidRPr="00D97463">
        <w:tab/>
      </w:r>
      <w:r w:rsidR="00397032" w:rsidRPr="00D97463">
        <w:t>9.</w:t>
      </w:r>
      <w:r w:rsidRPr="00D97463">
        <w:tab/>
      </w:r>
      <w:r w:rsidR="00397032" w:rsidRPr="00D97463">
        <w:t>Websites</w:t>
      </w:r>
    </w:p>
    <w:p w:rsidR="0054347D" w:rsidRPr="00D97463" w:rsidRDefault="0054347D" w:rsidP="00D97463">
      <w:pPr>
        <w:pStyle w:val="SingleTxt"/>
        <w:spacing w:after="0" w:line="120" w:lineRule="exact"/>
        <w:rPr>
          <w:sz w:val="10"/>
        </w:rPr>
      </w:pPr>
    </w:p>
    <w:p w:rsidR="00397032" w:rsidRPr="00981405" w:rsidRDefault="00397032" w:rsidP="00D97463">
      <w:pPr>
        <w:pStyle w:val="SingleTxt"/>
      </w:pPr>
      <w:r w:rsidRPr="00981405">
        <w:t>307.</w:t>
      </w:r>
      <w:r w:rsidRPr="00981405">
        <w:tab/>
        <w:t>The</w:t>
      </w:r>
      <w:r w:rsidR="00190923" w:rsidRPr="00981405">
        <w:t xml:space="preserve"> </w:t>
      </w:r>
      <w:r w:rsidRPr="00981405">
        <w:t>Commission</w:t>
      </w:r>
      <w:r w:rsidR="00190923" w:rsidRPr="00981405">
        <w:t xml:space="preserve"> </w:t>
      </w:r>
      <w:r w:rsidRPr="00981405">
        <w:t>expressed</w:t>
      </w:r>
      <w:r w:rsidR="00190923" w:rsidRPr="00981405">
        <w:t xml:space="preserve"> </w:t>
      </w:r>
      <w:r w:rsidRPr="00981405">
        <w:t>its</w:t>
      </w:r>
      <w:r w:rsidR="00190923" w:rsidRPr="00981405">
        <w:t xml:space="preserve"> </w:t>
      </w:r>
      <w:r w:rsidRPr="00981405">
        <w:t>deep</w:t>
      </w:r>
      <w:r w:rsidR="00190923" w:rsidRPr="00981405">
        <w:t xml:space="preserve"> </w:t>
      </w:r>
      <w:r w:rsidRPr="00981405">
        <w:t>appreciation</w:t>
      </w:r>
      <w:r w:rsidR="00190923" w:rsidRPr="00981405">
        <w:t xml:space="preserve"> </w:t>
      </w:r>
      <w:r w:rsidRPr="00981405">
        <w:t>to</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for</w:t>
      </w:r>
      <w:r w:rsidR="00190923" w:rsidRPr="00981405">
        <w:t xml:space="preserve"> </w:t>
      </w:r>
      <w:r w:rsidRPr="00981405">
        <w:t>the</w:t>
      </w:r>
      <w:r w:rsidR="00190923" w:rsidRPr="00981405">
        <w:t xml:space="preserve"> </w:t>
      </w:r>
      <w:r w:rsidRPr="00981405">
        <w:t>establishment</w:t>
      </w:r>
      <w:r w:rsidR="00190923" w:rsidRPr="00981405">
        <w:t xml:space="preserve"> </w:t>
      </w:r>
      <w:r w:rsidRPr="00981405">
        <w:t>of</w:t>
      </w:r>
      <w:r w:rsidR="00190923" w:rsidRPr="00981405">
        <w:t xml:space="preserve"> </w:t>
      </w:r>
      <w:r w:rsidRPr="00981405">
        <w:t>a</w:t>
      </w:r>
      <w:r w:rsidR="00190923" w:rsidRPr="00981405">
        <w:t xml:space="preserve"> </w:t>
      </w:r>
      <w:r w:rsidRPr="00981405">
        <w:t>new</w:t>
      </w:r>
      <w:r w:rsidR="00190923" w:rsidRPr="00981405">
        <w:t xml:space="preserve"> </w:t>
      </w:r>
      <w:r w:rsidRPr="00981405">
        <w:t>website</w:t>
      </w:r>
      <w:r w:rsidR="00190923" w:rsidRPr="00981405">
        <w:t xml:space="preserve"> </w:t>
      </w:r>
      <w:r w:rsidRPr="00981405">
        <w:t>for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called</w:t>
      </w:r>
      <w:r w:rsidR="00190923" w:rsidRPr="00981405">
        <w:t xml:space="preserve"> </w:t>
      </w:r>
      <w:r w:rsidRPr="00981405">
        <w:t>on</w:t>
      </w:r>
      <w:r w:rsidR="00190923" w:rsidRPr="00981405">
        <w:t xml:space="preserve"> </w:t>
      </w:r>
      <w:r w:rsidRPr="00981405">
        <w:t>it</w:t>
      </w:r>
      <w:r w:rsidR="00190923" w:rsidRPr="00981405">
        <w:t xml:space="preserve"> </w:t>
      </w:r>
      <w:r w:rsidRPr="00981405">
        <w:t>to</w:t>
      </w:r>
      <w:r w:rsidR="00190923" w:rsidRPr="00981405">
        <w:t xml:space="preserve"> </w:t>
      </w:r>
      <w:r w:rsidRPr="00981405">
        <w:t>continue</w:t>
      </w:r>
      <w:r w:rsidR="00190923" w:rsidRPr="00981405">
        <w:t xml:space="preserve"> </w:t>
      </w:r>
      <w:r w:rsidRPr="00981405">
        <w:t>updating</w:t>
      </w:r>
      <w:r w:rsidR="00190923" w:rsidRPr="00981405">
        <w:t xml:space="preserve"> </w:t>
      </w:r>
      <w:r w:rsidRPr="00981405">
        <w:t>and</w:t>
      </w:r>
      <w:r w:rsidR="00190923" w:rsidRPr="00981405">
        <w:t xml:space="preserve"> </w:t>
      </w:r>
      <w:r w:rsidRPr="00981405">
        <w:t>managing</w:t>
      </w:r>
      <w:r w:rsidR="00190923" w:rsidRPr="00981405">
        <w:t xml:space="preserve"> </w:t>
      </w:r>
      <w:r w:rsidRPr="00981405">
        <w:t>the</w:t>
      </w:r>
      <w:r w:rsidR="00190923" w:rsidRPr="00981405">
        <w:t xml:space="preserve"> </w:t>
      </w:r>
      <w:r w:rsidRPr="00981405">
        <w:t>website.</w:t>
      </w:r>
      <w:r w:rsidRPr="00981405">
        <w:rPr>
          <w:rStyle w:val="FootnoteReference"/>
        </w:rPr>
        <w:footnoteReference w:id="403"/>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reiterated</w:t>
      </w:r>
      <w:r w:rsidR="00190923" w:rsidRPr="00981405">
        <w:t xml:space="preserve"> </w:t>
      </w:r>
      <w:r w:rsidRPr="00981405">
        <w:t>that</w:t>
      </w:r>
      <w:r w:rsidR="00190923" w:rsidRPr="00981405">
        <w:t xml:space="preserve"> </w:t>
      </w:r>
      <w:r w:rsidRPr="00981405">
        <w:t>the</w:t>
      </w:r>
      <w:r w:rsidR="00190923" w:rsidRPr="00981405">
        <w:t xml:space="preserve"> </w:t>
      </w:r>
      <w:r w:rsidRPr="00981405">
        <w:t>website</w:t>
      </w:r>
      <w:r w:rsidR="00190923" w:rsidRPr="00981405">
        <w:t xml:space="preserve"> </w:t>
      </w:r>
      <w:r w:rsidRPr="00981405">
        <w:t>and</w:t>
      </w:r>
      <w:r w:rsidR="00190923" w:rsidRPr="00981405">
        <w:t xml:space="preserve"> </w:t>
      </w:r>
      <w:r w:rsidRPr="00981405">
        <w:t>other</w:t>
      </w:r>
      <w:r w:rsidR="00190923" w:rsidRPr="00981405">
        <w:t xml:space="preserve"> </w:t>
      </w:r>
      <w:r w:rsidRPr="00981405">
        <w:t>websites</w:t>
      </w:r>
      <w:r w:rsidR="00190923" w:rsidRPr="00981405">
        <w:t xml:space="preserve"> </w:t>
      </w:r>
      <w:r w:rsidRPr="00981405">
        <w:t>maintained</w:t>
      </w:r>
      <w:r w:rsidR="00190923" w:rsidRPr="00981405">
        <w:t xml:space="preserve"> </w:t>
      </w:r>
      <w:r w:rsidRPr="00981405">
        <w:t>by</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Division</w:t>
      </w:r>
      <w:r w:rsidRPr="00981405">
        <w:rPr>
          <w:rStyle w:val="FootnoteReference"/>
        </w:rPr>
        <w:footnoteReference w:id="404"/>
      </w:r>
      <w:r w:rsidR="00190923" w:rsidRPr="00981405">
        <w:t xml:space="preserve"> </w:t>
      </w:r>
      <w:r w:rsidRPr="00981405">
        <w:t>constitute</w:t>
      </w:r>
      <w:r w:rsidR="00190923" w:rsidRPr="00981405">
        <w:t xml:space="preserve"> </w:t>
      </w:r>
      <w:r w:rsidRPr="00981405">
        <w:t>an</w:t>
      </w:r>
      <w:r w:rsidR="00190923" w:rsidRPr="00981405">
        <w:t xml:space="preserve"> </w:t>
      </w:r>
      <w:r w:rsidRPr="00981405">
        <w:t>invaluable</w:t>
      </w:r>
      <w:r w:rsidR="00190923" w:rsidRPr="00981405">
        <w:t xml:space="preserve"> </w:t>
      </w:r>
      <w:r w:rsidRPr="00981405">
        <w:t>resource</w:t>
      </w:r>
      <w:r w:rsidR="00190923" w:rsidRPr="00981405">
        <w:t xml:space="preserve"> </w:t>
      </w:r>
      <w:r w:rsidRPr="00981405">
        <w:t>for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for</w:t>
      </w:r>
      <w:r w:rsidR="00190923" w:rsidRPr="00981405">
        <w:t xml:space="preserve"> </w:t>
      </w:r>
      <w:r w:rsidRPr="00981405">
        <w:t>researchers</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the</w:t>
      </w:r>
      <w:r w:rsidR="00190923" w:rsidRPr="00981405">
        <w:t xml:space="preserve"> </w:t>
      </w:r>
      <w:r w:rsidRPr="00981405">
        <w:t>wider</w:t>
      </w:r>
      <w:r w:rsidR="00190923" w:rsidRPr="00981405">
        <w:t xml:space="preserve"> </w:t>
      </w:r>
      <w:r w:rsidRPr="00981405">
        <w:t>community,</w:t>
      </w:r>
      <w:r w:rsidR="00190923" w:rsidRPr="00981405">
        <w:t xml:space="preserve"> </w:t>
      </w:r>
      <w:r w:rsidRPr="00981405">
        <w:t>thereby</w:t>
      </w:r>
      <w:r w:rsidR="00190923" w:rsidRPr="00981405">
        <w:t xml:space="preserve"> </w:t>
      </w:r>
      <w:r w:rsidRPr="00981405">
        <w:t>contributing</w:t>
      </w:r>
      <w:r w:rsidR="00190923" w:rsidRPr="00981405">
        <w:t xml:space="preserve"> </w:t>
      </w:r>
      <w:r w:rsidRPr="00981405">
        <w:t>to</w:t>
      </w:r>
      <w:r w:rsidR="00190923" w:rsidRPr="00981405">
        <w:t xml:space="preserve"> </w:t>
      </w:r>
      <w:r w:rsidRPr="00981405">
        <w:t>the</w:t>
      </w:r>
      <w:r w:rsidR="00190923" w:rsidRPr="00981405">
        <w:t xml:space="preserve"> </w:t>
      </w:r>
      <w:r w:rsidRPr="00981405">
        <w:t>overall</w:t>
      </w:r>
      <w:r w:rsidR="00190923" w:rsidRPr="00981405">
        <w:t xml:space="preserve"> </w:t>
      </w:r>
      <w:r w:rsidRPr="00981405">
        <w:t>strengthening</w:t>
      </w:r>
      <w:r w:rsidR="00190923" w:rsidRPr="00981405">
        <w:t xml:space="preserve"> </w:t>
      </w:r>
      <w:r w:rsidRPr="00981405">
        <w:t>of</w:t>
      </w:r>
      <w:r w:rsidR="00190923" w:rsidRPr="00981405">
        <w:t xml:space="preserve"> </w:t>
      </w:r>
      <w:r w:rsidRPr="00981405">
        <w:t>the</w:t>
      </w:r>
      <w:r w:rsidR="00190923" w:rsidRPr="00981405">
        <w:t xml:space="preserve"> </w:t>
      </w:r>
      <w:r w:rsidRPr="00981405">
        <w:t>teaching,</w:t>
      </w:r>
      <w:r w:rsidR="00190923" w:rsidRPr="00981405">
        <w:t xml:space="preserve"> </w:t>
      </w:r>
      <w:r w:rsidRPr="00981405">
        <w:t>study,</w:t>
      </w:r>
      <w:r w:rsidR="00190923" w:rsidRPr="00981405">
        <w:t xml:space="preserve"> </w:t>
      </w:r>
      <w:r w:rsidRPr="00981405">
        <w:t>dissemination</w:t>
      </w:r>
      <w:r w:rsidR="00190923" w:rsidRPr="00981405">
        <w:t xml:space="preserve"> </w:t>
      </w:r>
      <w:r w:rsidRPr="00981405">
        <w:t>and</w:t>
      </w:r>
      <w:r w:rsidR="00190923" w:rsidRPr="00981405">
        <w:t xml:space="preserve"> </w:t>
      </w:r>
      <w:r w:rsidRPr="00981405">
        <w:t>wider</w:t>
      </w:r>
      <w:r w:rsidR="00190923" w:rsidRPr="00981405">
        <w:t xml:space="preserve"> </w:t>
      </w:r>
      <w:r w:rsidRPr="00981405">
        <w:t>appreciation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welcomed</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website</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included</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the</w:t>
      </w:r>
      <w:r w:rsidR="00190923" w:rsidRPr="00981405">
        <w:t xml:space="preserve"> </w:t>
      </w:r>
      <w:r w:rsidRPr="00981405">
        <w:t>current</w:t>
      </w:r>
      <w:r w:rsidR="00190923" w:rsidRPr="00981405">
        <w:t xml:space="preserve"> </w:t>
      </w:r>
      <w:r w:rsidRPr="00981405">
        <w:t>status</w:t>
      </w:r>
      <w:r w:rsidR="00190923" w:rsidRPr="00981405">
        <w:t xml:space="preserve"> </w:t>
      </w:r>
      <w:r w:rsidRPr="00981405">
        <w:t>of</w:t>
      </w:r>
      <w:r w:rsidR="00190923" w:rsidRPr="00981405">
        <w:t xml:space="preserve"> </w:t>
      </w:r>
      <w:r w:rsidRPr="00981405">
        <w:t>the</w:t>
      </w:r>
      <w:r w:rsidR="00190923" w:rsidRPr="00981405">
        <w:t xml:space="preserve"> </w:t>
      </w:r>
      <w:r w:rsidRPr="00981405">
        <w:t>topics</w:t>
      </w:r>
      <w:r w:rsidR="00190923" w:rsidRPr="00981405">
        <w:t xml:space="preserve"> </w:t>
      </w:r>
      <w:r w:rsidRPr="00981405">
        <w:t>on</w:t>
      </w:r>
      <w:r w:rsidR="00190923" w:rsidRPr="00981405">
        <w:t xml:space="preserve"> </w:t>
      </w:r>
      <w:r w:rsidRPr="00981405">
        <w:t>the</w:t>
      </w:r>
      <w:r w:rsidR="00190923" w:rsidRPr="00981405">
        <w:t xml:space="preserve"> </w:t>
      </w:r>
      <w:r w:rsidRPr="00981405">
        <w:t>agenda</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advance</w:t>
      </w:r>
      <w:r w:rsidR="00190923" w:rsidRPr="00981405">
        <w:t xml:space="preserve"> </w:t>
      </w:r>
      <w:r w:rsidRPr="00981405">
        <w:t>edited</w:t>
      </w:r>
      <w:r w:rsidR="00190923" w:rsidRPr="00981405">
        <w:t xml:space="preserve"> </w:t>
      </w:r>
      <w:r w:rsidRPr="00981405">
        <w:t>versions</w:t>
      </w:r>
      <w:r w:rsidR="00190923" w:rsidRPr="00981405">
        <w:t xml:space="preserve"> </w:t>
      </w:r>
      <w:r w:rsidRPr="00981405">
        <w:t>of</w:t>
      </w:r>
      <w:r w:rsidR="00190923" w:rsidRPr="00981405">
        <w:t xml:space="preserve"> </w:t>
      </w:r>
      <w:r w:rsidRPr="00981405">
        <w:t>the</w:t>
      </w:r>
      <w:r w:rsidR="00190923" w:rsidRPr="00981405">
        <w:t xml:space="preserve"> </w:t>
      </w:r>
      <w:r w:rsidRPr="00981405">
        <w:t>summary</w:t>
      </w:r>
      <w:r w:rsidR="00190923" w:rsidRPr="00981405">
        <w:t xml:space="preserve"> </w:t>
      </w:r>
      <w:r w:rsidRPr="00981405">
        <w:t>records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expressed</w:t>
      </w:r>
      <w:r w:rsidR="00190923" w:rsidRPr="00981405">
        <w:t xml:space="preserve"> </w:t>
      </w:r>
      <w:r w:rsidRPr="00981405">
        <w:t>its</w:t>
      </w:r>
      <w:r w:rsidR="00190923" w:rsidRPr="00981405">
        <w:t xml:space="preserve"> </w:t>
      </w:r>
      <w:r w:rsidRPr="00981405">
        <w:t>gratitude</w:t>
      </w:r>
      <w:r w:rsidR="00190923" w:rsidRPr="00981405">
        <w:t xml:space="preserve"> </w:t>
      </w:r>
      <w:r w:rsidRPr="00981405">
        <w:t>to</w:t>
      </w:r>
      <w:r w:rsidR="00190923" w:rsidRPr="00981405">
        <w:t xml:space="preserve"> </w:t>
      </w:r>
      <w:r w:rsidRPr="00981405">
        <w:t>the</w:t>
      </w:r>
      <w:r w:rsidR="00190923" w:rsidRPr="00981405">
        <w:t xml:space="preserve"> </w:t>
      </w:r>
      <w:r w:rsidRPr="00981405">
        <w:t>Secretariat</w:t>
      </w:r>
      <w:r w:rsidR="00190923" w:rsidRPr="00981405">
        <w:t xml:space="preserve"> </w:t>
      </w:r>
      <w:r w:rsidRPr="00981405">
        <w:t>for</w:t>
      </w:r>
      <w:r w:rsidR="00190923" w:rsidRPr="00981405">
        <w:t xml:space="preserve"> </w:t>
      </w:r>
      <w:r w:rsidRPr="00981405">
        <w:t>the</w:t>
      </w:r>
      <w:r w:rsidR="00190923" w:rsidRPr="00981405">
        <w:t xml:space="preserve"> </w:t>
      </w:r>
      <w:r w:rsidRPr="00981405">
        <w:t>successful</w:t>
      </w:r>
      <w:r w:rsidR="00190923" w:rsidRPr="00981405">
        <w:t xml:space="preserve"> </w:t>
      </w:r>
      <w:r w:rsidRPr="00981405">
        <w:t>completion</w:t>
      </w:r>
      <w:r w:rsidR="00190923" w:rsidRPr="00981405">
        <w:t xml:space="preserve"> </w:t>
      </w:r>
      <w:r w:rsidRPr="00981405">
        <w:t>of</w:t>
      </w:r>
      <w:r w:rsidR="00190923" w:rsidRPr="00981405">
        <w:t xml:space="preserve"> </w:t>
      </w:r>
      <w:r w:rsidRPr="00981405">
        <w:t>the</w:t>
      </w:r>
      <w:r w:rsidR="00190923" w:rsidRPr="00981405">
        <w:t xml:space="preserve"> </w:t>
      </w:r>
      <w:r w:rsidRPr="00981405">
        <w:t>digitization</w:t>
      </w:r>
      <w:r w:rsidR="00190923" w:rsidRPr="00981405">
        <w:t xml:space="preserve"> </w:t>
      </w:r>
      <w:r w:rsidRPr="00981405">
        <w:t>and</w:t>
      </w:r>
      <w:r w:rsidR="00190923" w:rsidRPr="00981405">
        <w:t xml:space="preserve"> </w:t>
      </w:r>
      <w:r w:rsidRPr="00981405">
        <w:t>posting</w:t>
      </w:r>
      <w:r w:rsidR="00190923" w:rsidRPr="00981405">
        <w:t xml:space="preserve"> </w:t>
      </w:r>
      <w:r w:rsidRPr="00981405">
        <w:t>on</w:t>
      </w:r>
      <w:r w:rsidR="00190923" w:rsidRPr="00981405">
        <w:t xml:space="preserve"> </w:t>
      </w:r>
      <w:r w:rsidRPr="00981405">
        <w:t>the</w:t>
      </w:r>
      <w:r w:rsidR="00190923" w:rsidRPr="00981405">
        <w:t xml:space="preserve"> </w:t>
      </w:r>
      <w:r w:rsidRPr="00981405">
        <w:t>website</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Yearbooks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Russian.</w:t>
      </w:r>
    </w:p>
    <w:p w:rsidR="0054347D" w:rsidRPr="00D97463" w:rsidRDefault="0054347D" w:rsidP="00D97463">
      <w:pPr>
        <w:pStyle w:val="SingleTxt"/>
        <w:keepNext/>
        <w:keepLines/>
        <w:spacing w:after="0" w:line="120" w:lineRule="exact"/>
        <w:rPr>
          <w:sz w:val="10"/>
        </w:rPr>
      </w:pPr>
    </w:p>
    <w:p w:rsidR="00397032" w:rsidRPr="00D97463" w:rsidRDefault="00397032" w:rsidP="00D97463">
      <w:pPr>
        <w:pStyle w:val="H23"/>
        <w:ind w:right="1260"/>
      </w:pPr>
      <w:r w:rsidRPr="00D97463">
        <w:tab/>
        <w:t>10.</w:t>
      </w:r>
      <w:r w:rsidR="0054347D" w:rsidRPr="00D97463">
        <w:tab/>
      </w:r>
      <w:r w:rsidRPr="00D97463">
        <w:t>United</w:t>
      </w:r>
      <w:r w:rsidR="00190923" w:rsidRPr="00D97463">
        <w:t xml:space="preserve"> </w:t>
      </w:r>
      <w:r w:rsidRPr="00D97463">
        <w:t>Nations</w:t>
      </w:r>
      <w:r w:rsidR="00190923" w:rsidRPr="00D97463">
        <w:t xml:space="preserve"> </w:t>
      </w:r>
      <w:r w:rsidRPr="00D97463">
        <w:t>Audiovisual</w:t>
      </w:r>
      <w:r w:rsidR="00190923" w:rsidRPr="00D97463">
        <w:t xml:space="preserve"> </w:t>
      </w:r>
      <w:r w:rsidRPr="00D97463">
        <w:t>Library</w:t>
      </w:r>
      <w:r w:rsidR="00190923" w:rsidRPr="00D97463">
        <w:t xml:space="preserve"> </w:t>
      </w:r>
      <w:r w:rsidRPr="00D97463">
        <w:t>of</w:t>
      </w:r>
      <w:r w:rsidR="00190923" w:rsidRPr="00D97463">
        <w:t xml:space="preserve"> </w:t>
      </w:r>
      <w:r w:rsidRPr="00D97463">
        <w:t>International</w:t>
      </w:r>
      <w:r w:rsidR="00190923" w:rsidRPr="00D97463">
        <w:t xml:space="preserve"> </w:t>
      </w:r>
      <w:r w:rsidRPr="00D97463">
        <w:t>Law</w:t>
      </w:r>
    </w:p>
    <w:p w:rsidR="0054347D" w:rsidRPr="00D97463" w:rsidRDefault="0054347D"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308.</w:t>
      </w:r>
      <w:r w:rsidRPr="00981405">
        <w:tab/>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with</w:t>
      </w:r>
      <w:r w:rsidR="00190923" w:rsidRPr="00981405">
        <w:t xml:space="preserve"> </w:t>
      </w:r>
      <w:r w:rsidRPr="00981405">
        <w:t>appreciation</w:t>
      </w:r>
      <w:r w:rsidR="00190923" w:rsidRPr="00981405">
        <w:t xml:space="preserve"> </w:t>
      </w:r>
      <w:r w:rsidRPr="00981405">
        <w:t>the</w:t>
      </w:r>
      <w:r w:rsidR="00190923" w:rsidRPr="00981405">
        <w:t xml:space="preserve"> </w:t>
      </w:r>
      <w:r w:rsidRPr="00981405">
        <w:t>extraordinary</w:t>
      </w:r>
      <w:r w:rsidR="00190923" w:rsidRPr="00981405">
        <w:t xml:space="preserve"> </w:t>
      </w:r>
      <w:r w:rsidRPr="00981405">
        <w:t>value</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Audiovisual</w:t>
      </w:r>
      <w:r w:rsidR="00190923" w:rsidRPr="00981405">
        <w:t xml:space="preserve"> </w:t>
      </w:r>
      <w:r w:rsidRPr="00981405">
        <w:t>Library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w:t>
      </w:r>
      <w:r w:rsidR="00190923" w:rsidRPr="00981405">
        <w:t xml:space="preserve"> </w:t>
      </w:r>
      <w:r w:rsidRPr="00981405">
        <w:t>promoting</w:t>
      </w:r>
      <w:r w:rsidR="00190923" w:rsidRPr="00981405">
        <w:t xml:space="preserve"> </w:t>
      </w:r>
      <w:r w:rsidRPr="00981405">
        <w:t>a</w:t>
      </w:r>
      <w:r w:rsidR="00190923" w:rsidRPr="00981405">
        <w:t xml:space="preserve"> </w:t>
      </w:r>
      <w:r w:rsidRPr="00981405">
        <w:t>better</w:t>
      </w:r>
      <w:r w:rsidR="00190923" w:rsidRPr="00981405">
        <w:t xml:space="preserve"> </w:t>
      </w:r>
      <w:r w:rsidRPr="00981405">
        <w:t>knowledge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in</w:t>
      </w:r>
      <w:r w:rsidR="00190923" w:rsidRPr="00981405">
        <w:t xml:space="preserve"> </w:t>
      </w:r>
      <w:r w:rsidRPr="00981405">
        <w:t>this</w:t>
      </w:r>
      <w:r w:rsidR="00190923" w:rsidRPr="00981405">
        <w:t xml:space="preserve"> </w:t>
      </w:r>
      <w:r w:rsidRPr="00981405">
        <w:t>field,</w:t>
      </w:r>
      <w:r w:rsidR="00190923" w:rsidRPr="00981405">
        <w:t xml:space="preserve"> </w:t>
      </w:r>
      <w:r w:rsidRPr="00981405">
        <w:t>including</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p>
    <w:p w:rsidR="0054347D" w:rsidRPr="00D97463" w:rsidRDefault="0054347D" w:rsidP="00D97463">
      <w:pPr>
        <w:pStyle w:val="SingleTxt"/>
        <w:keepNext/>
        <w:keepLines/>
        <w:spacing w:after="0" w:line="120" w:lineRule="exact"/>
        <w:rPr>
          <w:sz w:val="10"/>
        </w:rPr>
      </w:pPr>
    </w:p>
    <w:p w:rsidR="0054347D" w:rsidRPr="00D97463" w:rsidRDefault="0054347D" w:rsidP="00D97463">
      <w:pPr>
        <w:pStyle w:val="SingleTxt"/>
        <w:keepNext/>
        <w:keepLines/>
        <w:spacing w:after="0" w:line="120" w:lineRule="exact"/>
        <w:rPr>
          <w:sz w:val="10"/>
        </w:rPr>
      </w:pPr>
    </w:p>
    <w:p w:rsidR="00397032" w:rsidRPr="00D97463" w:rsidRDefault="00397032" w:rsidP="00D97463">
      <w:pPr>
        <w:pStyle w:val="H1"/>
        <w:ind w:right="1260"/>
      </w:pPr>
      <w:r w:rsidRPr="00D97463">
        <w:tab/>
        <w:t>B.</w:t>
      </w:r>
      <w:r w:rsidRPr="00D97463">
        <w:tab/>
        <w:t>Date</w:t>
      </w:r>
      <w:r w:rsidR="00190923" w:rsidRPr="00D97463">
        <w:t xml:space="preserve"> </w:t>
      </w:r>
      <w:r w:rsidRPr="00D97463">
        <w:t>and</w:t>
      </w:r>
      <w:r w:rsidR="00190923" w:rsidRPr="00D97463">
        <w:t xml:space="preserve"> </w:t>
      </w:r>
      <w:r w:rsidRPr="00D97463">
        <w:t>place</w:t>
      </w:r>
      <w:r w:rsidR="00190923" w:rsidRPr="00D97463">
        <w:t xml:space="preserve"> </w:t>
      </w:r>
      <w:r w:rsidRPr="00D97463">
        <w:t>of</w:t>
      </w:r>
      <w:r w:rsidR="00190923" w:rsidRPr="00D97463">
        <w:t xml:space="preserve"> </w:t>
      </w:r>
      <w:r w:rsidRPr="00D97463">
        <w:t>the</w:t>
      </w:r>
      <w:r w:rsidR="00190923" w:rsidRPr="00D97463">
        <w:t xml:space="preserve"> </w:t>
      </w:r>
      <w:r w:rsidRPr="00D97463">
        <w:t>sixty-eighth</w:t>
      </w:r>
      <w:r w:rsidR="00190923" w:rsidRPr="00D97463">
        <w:t xml:space="preserve"> </w:t>
      </w:r>
      <w:r w:rsidRPr="00D97463">
        <w:t>session</w:t>
      </w:r>
      <w:r w:rsidR="00190923" w:rsidRPr="00D97463">
        <w:t xml:space="preserve"> </w:t>
      </w:r>
      <w:r w:rsidRPr="00D97463">
        <w:t>of</w:t>
      </w:r>
      <w:r w:rsidR="00190923" w:rsidRPr="00D97463">
        <w:t xml:space="preserve"> </w:t>
      </w:r>
      <w:r w:rsidRPr="00D97463">
        <w:t>the</w:t>
      </w:r>
      <w:r w:rsidR="00190923" w:rsidRPr="00D97463">
        <w:t xml:space="preserve"> </w:t>
      </w:r>
      <w:r w:rsidRPr="00D97463">
        <w:t>Commission</w:t>
      </w:r>
    </w:p>
    <w:p w:rsidR="0054347D" w:rsidRPr="00D97463" w:rsidRDefault="0054347D"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981405" w:rsidRDefault="00397032" w:rsidP="00D97463">
      <w:pPr>
        <w:pStyle w:val="SingleTxt"/>
      </w:pPr>
      <w:r w:rsidRPr="00981405">
        <w:t>309.</w:t>
      </w:r>
      <w:r w:rsidRPr="00981405">
        <w:tab/>
        <w:t>The</w:t>
      </w:r>
      <w:r w:rsidR="00190923" w:rsidRPr="00981405">
        <w:t xml:space="preserve"> </w:t>
      </w:r>
      <w:r w:rsidRPr="00981405">
        <w:t>Commission</w:t>
      </w:r>
      <w:r w:rsidR="00190923" w:rsidRPr="00981405">
        <w:t xml:space="preserve"> </w:t>
      </w:r>
      <w:r w:rsidRPr="00981405">
        <w:t>recommends</w:t>
      </w:r>
      <w:r w:rsidR="00190923" w:rsidRPr="00981405">
        <w:t xml:space="preserve"> </w:t>
      </w:r>
      <w:r w:rsidRPr="00981405">
        <w:t>that</w:t>
      </w:r>
      <w:r w:rsidR="00190923" w:rsidRPr="00981405">
        <w:t xml:space="preserve"> </w:t>
      </w:r>
      <w:r w:rsidRPr="00981405">
        <w:t>the</w:t>
      </w:r>
      <w:r w:rsidR="00190923" w:rsidRPr="00981405">
        <w:t xml:space="preserve"> </w:t>
      </w:r>
      <w:r w:rsidRPr="00981405">
        <w:t>sixty-eighth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be</w:t>
      </w:r>
      <w:r w:rsidR="00190923" w:rsidRPr="00981405">
        <w:t xml:space="preserve"> </w:t>
      </w:r>
      <w:r w:rsidRPr="00981405">
        <w:t>held</w:t>
      </w:r>
      <w:r w:rsidR="00190923" w:rsidRPr="00981405">
        <w:t xml:space="preserve"> </w:t>
      </w:r>
      <w:r w:rsidRPr="00981405">
        <w:t>in</w:t>
      </w:r>
      <w:r w:rsidR="00190923" w:rsidRPr="00981405">
        <w:t xml:space="preserve"> </w:t>
      </w:r>
      <w:r w:rsidRPr="00981405">
        <w:t>Geneva</w:t>
      </w:r>
      <w:r w:rsidR="00190923" w:rsidRPr="00981405">
        <w:t xml:space="preserve"> </w:t>
      </w:r>
      <w:r w:rsidRPr="00981405">
        <w:t>from</w:t>
      </w:r>
      <w:r w:rsidR="00190923" w:rsidRPr="00981405">
        <w:t xml:space="preserve"> </w:t>
      </w:r>
      <w:r w:rsidRPr="00981405">
        <w:t>2</w:t>
      </w:r>
      <w:r w:rsidR="00190923" w:rsidRPr="00981405">
        <w:t xml:space="preserve"> </w:t>
      </w:r>
      <w:r w:rsidRPr="00981405">
        <w:t>May</w:t>
      </w:r>
      <w:r w:rsidR="00190923" w:rsidRPr="00981405">
        <w:t xml:space="preserve"> </w:t>
      </w:r>
      <w:r w:rsidRPr="00981405">
        <w:t>to</w:t>
      </w:r>
      <w:r w:rsidR="00190923" w:rsidRPr="00981405">
        <w:t xml:space="preserve"> </w:t>
      </w:r>
      <w:r w:rsidRPr="00981405">
        <w:t>10</w:t>
      </w:r>
      <w:r w:rsidR="00190923" w:rsidRPr="00981405">
        <w:t xml:space="preserve"> </w:t>
      </w:r>
      <w:r w:rsidRPr="00981405">
        <w:t>June</w:t>
      </w:r>
      <w:r w:rsidR="00190923" w:rsidRPr="00981405">
        <w:t xml:space="preserve"> </w:t>
      </w:r>
      <w:r w:rsidRPr="00981405">
        <w:t>and</w:t>
      </w:r>
      <w:r w:rsidR="00190923" w:rsidRPr="00981405">
        <w:t xml:space="preserve"> </w:t>
      </w:r>
      <w:r w:rsidRPr="00981405">
        <w:t>4</w:t>
      </w:r>
      <w:r w:rsidR="00190923" w:rsidRPr="00981405">
        <w:t xml:space="preserve"> </w:t>
      </w:r>
      <w:r w:rsidRPr="00981405">
        <w:t>July</w:t>
      </w:r>
      <w:r w:rsidR="00190923" w:rsidRPr="00981405">
        <w:t xml:space="preserve"> </w:t>
      </w:r>
      <w:r w:rsidRPr="00981405">
        <w:t>to</w:t>
      </w:r>
      <w:r w:rsidR="00190923" w:rsidRPr="00981405">
        <w:t xml:space="preserve"> </w:t>
      </w:r>
      <w:r w:rsidRPr="00981405">
        <w:t>12</w:t>
      </w:r>
      <w:r w:rsidR="00190923" w:rsidRPr="00981405">
        <w:t xml:space="preserve"> </w:t>
      </w:r>
      <w:r w:rsidRPr="00981405">
        <w:t>August</w:t>
      </w:r>
      <w:r w:rsidR="00190923" w:rsidRPr="00981405">
        <w:t xml:space="preserve"> </w:t>
      </w:r>
      <w:r w:rsidRPr="00981405">
        <w:t>2016.</w:t>
      </w:r>
    </w:p>
    <w:p w:rsidR="00397032" w:rsidRPr="00D97463" w:rsidRDefault="00397032"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D97463" w:rsidRDefault="0054347D" w:rsidP="00D97463">
      <w:pPr>
        <w:pStyle w:val="H1"/>
        <w:ind w:right="1260"/>
      </w:pPr>
      <w:r w:rsidRPr="00D97463">
        <w:tab/>
      </w:r>
      <w:r w:rsidR="00397032" w:rsidRPr="00D97463">
        <w:t>C.</w:t>
      </w:r>
      <w:r w:rsidRPr="00D97463">
        <w:tab/>
      </w:r>
      <w:r w:rsidR="00397032" w:rsidRPr="00D97463">
        <w:t>Tribute</w:t>
      </w:r>
      <w:r w:rsidR="00190923" w:rsidRPr="00D97463">
        <w:t xml:space="preserve"> </w:t>
      </w:r>
      <w:r w:rsidR="00397032" w:rsidRPr="00D97463">
        <w:t>to</w:t>
      </w:r>
      <w:r w:rsidR="00190923" w:rsidRPr="00D97463">
        <w:t xml:space="preserve"> </w:t>
      </w:r>
      <w:r w:rsidR="00397032" w:rsidRPr="00D97463">
        <w:t>the</w:t>
      </w:r>
      <w:r w:rsidR="00190923" w:rsidRPr="00D97463">
        <w:t xml:space="preserve"> </w:t>
      </w:r>
      <w:r w:rsidR="00397032" w:rsidRPr="00D97463">
        <w:t>Secretary</w:t>
      </w:r>
      <w:r w:rsidR="00190923" w:rsidRPr="00D97463">
        <w:t xml:space="preserve"> </w:t>
      </w:r>
      <w:r w:rsidR="00397032" w:rsidRPr="00D97463">
        <w:t>of</w:t>
      </w:r>
      <w:r w:rsidR="00190923" w:rsidRPr="00D97463">
        <w:t xml:space="preserve"> </w:t>
      </w:r>
      <w:r w:rsidR="00397032" w:rsidRPr="00D97463">
        <w:t>the</w:t>
      </w:r>
      <w:r w:rsidR="00190923" w:rsidRPr="00D97463">
        <w:t xml:space="preserve"> </w:t>
      </w:r>
      <w:r w:rsidR="00397032" w:rsidRPr="00D97463">
        <w:t>Commission</w:t>
      </w:r>
    </w:p>
    <w:p w:rsidR="0054347D" w:rsidRPr="00D97463" w:rsidRDefault="0054347D"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981405" w:rsidRDefault="00397032" w:rsidP="00D97463">
      <w:pPr>
        <w:pStyle w:val="SingleTxt"/>
      </w:pPr>
      <w:r w:rsidRPr="00981405">
        <w:t>310.</w:t>
      </w:r>
      <w:r w:rsidRPr="00981405">
        <w:tab/>
        <w:t>At</w:t>
      </w:r>
      <w:r w:rsidR="00190923" w:rsidRPr="00981405">
        <w:t xml:space="preserve"> </w:t>
      </w:r>
      <w:r w:rsidRPr="00981405">
        <w:t>its</w:t>
      </w:r>
      <w:r w:rsidR="00190923" w:rsidRPr="00981405">
        <w:t xml:space="preserve"> </w:t>
      </w:r>
      <w:r w:rsidRPr="00981405">
        <w:t>3263rd</w:t>
      </w:r>
      <w:r w:rsidR="00190923" w:rsidRPr="00981405">
        <w:t xml:space="preserve"> </w:t>
      </w:r>
      <w:r w:rsidRPr="00981405">
        <w:t>meeting,</w:t>
      </w:r>
      <w:r w:rsidR="00190923" w:rsidRPr="00981405">
        <w:t xml:space="preserve"> </w:t>
      </w:r>
      <w:r w:rsidRPr="00981405">
        <w:t>on</w:t>
      </w:r>
      <w:r w:rsidR="00190923" w:rsidRPr="00981405">
        <w:t xml:space="preserve"> </w:t>
      </w:r>
      <w:r w:rsidRPr="00981405">
        <w:t>5</w:t>
      </w:r>
      <w:r w:rsidR="00190923" w:rsidRPr="00981405">
        <w:t xml:space="preserve"> </w:t>
      </w:r>
      <w:r w:rsidRPr="00981405">
        <w:t>June</w:t>
      </w:r>
      <w:r w:rsidR="00190923" w:rsidRPr="00981405">
        <w:t xml:space="preserve"> </w:t>
      </w:r>
      <w:r w:rsidRPr="00981405">
        <w:t>2015,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paid</w:t>
      </w:r>
      <w:r w:rsidR="00190923" w:rsidRPr="00981405">
        <w:t xml:space="preserve"> </w:t>
      </w:r>
      <w:r w:rsidRPr="00981405">
        <w:t>tribute</w:t>
      </w:r>
      <w:r w:rsidR="00190923" w:rsidRPr="00981405">
        <w:t xml:space="preserve"> </w:t>
      </w:r>
      <w:r w:rsidRPr="00981405">
        <w:t>to</w:t>
      </w:r>
      <w:r w:rsidR="00190923" w:rsidRPr="00981405">
        <w:t xml:space="preserve"> </w:t>
      </w:r>
      <w:r w:rsidRPr="00981405">
        <w:t>Mr.</w:t>
      </w:r>
      <w:r w:rsidR="00190923" w:rsidRPr="00981405">
        <w:t xml:space="preserve"> </w:t>
      </w:r>
      <w:r w:rsidRPr="00981405">
        <w:t>George</w:t>
      </w:r>
      <w:r w:rsidR="00190923" w:rsidRPr="00981405">
        <w:t xml:space="preserve"> </w:t>
      </w:r>
      <w:r w:rsidRPr="00981405">
        <w:t>Korontzis,</w:t>
      </w:r>
      <w:r w:rsidR="00190923" w:rsidRPr="00981405">
        <w:t xml:space="preserve"> </w:t>
      </w:r>
      <w:r w:rsidRPr="00981405">
        <w:t>who</w:t>
      </w:r>
      <w:r w:rsidR="00190923" w:rsidRPr="00981405">
        <w:t xml:space="preserve"> </w:t>
      </w:r>
      <w:r w:rsidRPr="00981405">
        <w:t>had</w:t>
      </w:r>
      <w:r w:rsidR="00190923" w:rsidRPr="00981405">
        <w:t xml:space="preserve"> </w:t>
      </w:r>
      <w:r w:rsidRPr="00981405">
        <w:t>acted</w:t>
      </w:r>
      <w:r w:rsidR="00190923" w:rsidRPr="00981405">
        <w:t xml:space="preserve"> </w:t>
      </w:r>
      <w:r w:rsidRPr="00981405">
        <w:t>with</w:t>
      </w:r>
      <w:r w:rsidR="00190923" w:rsidRPr="00981405">
        <w:t xml:space="preserve"> </w:t>
      </w:r>
      <w:r w:rsidRPr="00981405">
        <w:t>high</w:t>
      </w:r>
      <w:r w:rsidR="00190923" w:rsidRPr="00981405">
        <w:t xml:space="preserve"> </w:t>
      </w:r>
      <w:r w:rsidRPr="00981405">
        <w:t>distinction</w:t>
      </w:r>
      <w:r w:rsidR="00190923" w:rsidRPr="00981405">
        <w:t xml:space="preserve"> </w:t>
      </w:r>
      <w:r w:rsidRPr="00981405">
        <w:t>as</w:t>
      </w:r>
      <w:r w:rsidR="00190923" w:rsidRPr="00981405">
        <w:t xml:space="preserve"> </w:t>
      </w:r>
      <w:r w:rsidRPr="00981405">
        <w:t>Secretary</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since</w:t>
      </w:r>
      <w:r w:rsidR="00190923" w:rsidRPr="00981405">
        <w:t xml:space="preserve"> </w:t>
      </w:r>
      <w:r w:rsidRPr="00981405">
        <w:t>2013,</w:t>
      </w:r>
      <w:r w:rsidR="00190923" w:rsidRPr="00981405">
        <w:t xml:space="preserve"> </w:t>
      </w:r>
      <w:r w:rsidRPr="00981405">
        <w:t>and</w:t>
      </w:r>
      <w:r w:rsidR="00190923" w:rsidRPr="00981405">
        <w:t xml:space="preserve"> </w:t>
      </w:r>
      <w:r w:rsidRPr="00981405">
        <w:t>who</w:t>
      </w:r>
      <w:r w:rsidR="00190923" w:rsidRPr="00981405">
        <w:t xml:space="preserve"> </w:t>
      </w:r>
      <w:r w:rsidRPr="00981405">
        <w:t>retired</w:t>
      </w:r>
      <w:r w:rsidR="00190923" w:rsidRPr="00981405">
        <w:t xml:space="preserve"> </w:t>
      </w:r>
      <w:r w:rsidRPr="00981405">
        <w:t>during</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It</w:t>
      </w:r>
      <w:r w:rsidR="00190923" w:rsidRPr="00981405">
        <w:t xml:space="preserve"> </w:t>
      </w:r>
      <w:r w:rsidRPr="00981405">
        <w:t>expressed</w:t>
      </w:r>
      <w:r w:rsidR="00190923" w:rsidRPr="00981405">
        <w:t xml:space="preserve"> </w:t>
      </w:r>
      <w:r w:rsidRPr="00981405">
        <w:t>its</w:t>
      </w:r>
      <w:r w:rsidR="00190923" w:rsidRPr="00981405">
        <w:t xml:space="preserve"> </w:t>
      </w:r>
      <w:r w:rsidRPr="00981405">
        <w:t>gratitude</w:t>
      </w:r>
      <w:r w:rsidR="00190923" w:rsidRPr="00981405">
        <w:t xml:space="preserve"> </w:t>
      </w:r>
      <w:r w:rsidRPr="00981405">
        <w:t>for</w:t>
      </w:r>
      <w:r w:rsidR="00190923" w:rsidRPr="00981405">
        <w:t xml:space="preserve"> </w:t>
      </w:r>
      <w:r w:rsidRPr="00981405">
        <w:t>the</w:t>
      </w:r>
      <w:r w:rsidR="00190923" w:rsidRPr="00981405">
        <w:t xml:space="preserve"> </w:t>
      </w:r>
      <w:r w:rsidRPr="00981405">
        <w:t>outstanding</w:t>
      </w:r>
      <w:r w:rsidR="00190923" w:rsidRPr="00981405">
        <w:t xml:space="preserve"> </w:t>
      </w:r>
      <w:r w:rsidRPr="00981405">
        <w:t>contribution</w:t>
      </w:r>
      <w:r w:rsidR="00190923" w:rsidRPr="00981405">
        <w:t xml:space="preserve"> </w:t>
      </w:r>
      <w:r w:rsidRPr="00981405">
        <w:t>made</w:t>
      </w:r>
      <w:r w:rsidR="00190923" w:rsidRPr="00981405">
        <w:t xml:space="preserve"> </w:t>
      </w:r>
      <w:r w:rsidRPr="00981405">
        <w:t>by</w:t>
      </w:r>
      <w:r w:rsidR="00190923" w:rsidRPr="00981405">
        <w:t xml:space="preserve"> </w:t>
      </w:r>
      <w:r w:rsidRPr="00981405">
        <w:t>Mr.</w:t>
      </w:r>
      <w:r w:rsidR="00190923" w:rsidRPr="00981405">
        <w:t xml:space="preserve"> </w:t>
      </w:r>
      <w:r w:rsidRPr="00981405">
        <w:t>Korontzis</w:t>
      </w:r>
      <w:r w:rsidR="00190923" w:rsidRPr="00981405">
        <w:t xml:space="preserve"> </w:t>
      </w:r>
      <w:r w:rsidRPr="00981405">
        <w:t>to</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to</w:t>
      </w:r>
      <w:r w:rsidR="00190923" w:rsidRPr="00981405">
        <w:t xml:space="preserve"> </w:t>
      </w:r>
      <w:r w:rsidRPr="00981405">
        <w:t>the</w:t>
      </w:r>
      <w:r w:rsidR="00190923" w:rsidRPr="00981405">
        <w:t xml:space="preserve"> </w:t>
      </w:r>
      <w:r w:rsidRPr="00981405">
        <w:t>codification</w:t>
      </w:r>
      <w:r w:rsidR="00190923" w:rsidRPr="00981405">
        <w:t xml:space="preserve"> </w:t>
      </w:r>
      <w:r w:rsidRPr="00981405">
        <w:t>and</w:t>
      </w:r>
      <w:r w:rsidR="00190923" w:rsidRPr="00981405">
        <w:t xml:space="preserve"> </w:t>
      </w:r>
      <w:r w:rsidRPr="00981405">
        <w:t>progressive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acknowledged</w:t>
      </w:r>
      <w:r w:rsidR="00190923" w:rsidRPr="00981405">
        <w:t xml:space="preserve"> </w:t>
      </w:r>
      <w:r w:rsidRPr="00981405">
        <w:t>with</w:t>
      </w:r>
      <w:r w:rsidR="00190923" w:rsidRPr="00981405">
        <w:t xml:space="preserve"> </w:t>
      </w:r>
      <w:r w:rsidRPr="00981405">
        <w:t>appreciation</w:t>
      </w:r>
      <w:r w:rsidR="00190923" w:rsidRPr="00981405">
        <w:t xml:space="preserve"> </w:t>
      </w:r>
      <w:r w:rsidRPr="00981405">
        <w:t>his</w:t>
      </w:r>
      <w:r w:rsidR="00190923" w:rsidRPr="00981405">
        <w:t xml:space="preserve"> </w:t>
      </w:r>
      <w:r w:rsidRPr="00981405">
        <w:t>professionalism,</w:t>
      </w:r>
      <w:r w:rsidR="00190923" w:rsidRPr="00981405">
        <w:t xml:space="preserve"> </w:t>
      </w:r>
      <w:r w:rsidRPr="00981405">
        <w:t>dedication</w:t>
      </w:r>
      <w:r w:rsidR="00190923" w:rsidRPr="00981405">
        <w:t xml:space="preserve"> </w:t>
      </w:r>
      <w:r w:rsidRPr="00981405">
        <w:t>to</w:t>
      </w:r>
      <w:r w:rsidR="00190923" w:rsidRPr="00981405">
        <w:t xml:space="preserve"> </w:t>
      </w:r>
      <w:r w:rsidRPr="00981405">
        <w:t>public</w:t>
      </w:r>
      <w:r w:rsidR="00190923" w:rsidRPr="00981405">
        <w:t xml:space="preserve"> </w:t>
      </w:r>
      <w:r w:rsidRPr="00981405">
        <w:t>service</w:t>
      </w:r>
      <w:r w:rsidR="00190923" w:rsidRPr="00981405">
        <w:t xml:space="preserve"> </w:t>
      </w:r>
      <w:r w:rsidRPr="00981405">
        <w:t>and</w:t>
      </w:r>
      <w:r w:rsidR="00190923" w:rsidRPr="00981405">
        <w:t xml:space="preserve"> </w:t>
      </w:r>
      <w:r w:rsidRPr="00981405">
        <w:t>commitment</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extended</w:t>
      </w:r>
      <w:r w:rsidR="00190923" w:rsidRPr="00981405">
        <w:t xml:space="preserve"> </w:t>
      </w:r>
      <w:r w:rsidRPr="00981405">
        <w:t>its</w:t>
      </w:r>
      <w:r w:rsidR="00190923" w:rsidRPr="00981405">
        <w:t xml:space="preserve"> </w:t>
      </w:r>
      <w:r w:rsidRPr="00981405">
        <w:t>very</w:t>
      </w:r>
      <w:r w:rsidR="00190923" w:rsidRPr="00981405">
        <w:t xml:space="preserve"> </w:t>
      </w:r>
      <w:r w:rsidRPr="00981405">
        <w:t>best</w:t>
      </w:r>
      <w:r w:rsidR="00190923" w:rsidRPr="00981405">
        <w:t xml:space="preserve"> </w:t>
      </w:r>
      <w:r w:rsidRPr="00981405">
        <w:t>wishes</w:t>
      </w:r>
      <w:r w:rsidR="00190923" w:rsidRPr="00981405">
        <w:t xml:space="preserve"> </w:t>
      </w:r>
      <w:r w:rsidRPr="00981405">
        <w:t>to</w:t>
      </w:r>
      <w:r w:rsidR="00190923" w:rsidRPr="00981405">
        <w:t xml:space="preserve"> </w:t>
      </w:r>
      <w:r w:rsidRPr="00981405">
        <w:t>him</w:t>
      </w:r>
      <w:r w:rsidR="00190923" w:rsidRPr="00981405">
        <w:t xml:space="preserve"> </w:t>
      </w:r>
      <w:r w:rsidRPr="00981405">
        <w:t>in</w:t>
      </w:r>
      <w:r w:rsidR="00190923" w:rsidRPr="00981405">
        <w:t xml:space="preserve"> </w:t>
      </w:r>
      <w:r w:rsidRPr="00981405">
        <w:t>his</w:t>
      </w:r>
      <w:r w:rsidR="00190923" w:rsidRPr="00981405">
        <w:t xml:space="preserve"> </w:t>
      </w:r>
      <w:r w:rsidRPr="00981405">
        <w:t>future</w:t>
      </w:r>
      <w:r w:rsidR="00190923" w:rsidRPr="00981405">
        <w:t xml:space="preserve"> </w:t>
      </w:r>
      <w:r w:rsidRPr="00981405">
        <w:t>endeavours.</w:t>
      </w:r>
    </w:p>
    <w:p w:rsidR="00397032" w:rsidRPr="00D97463" w:rsidRDefault="00397032"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D97463" w:rsidRDefault="0054347D" w:rsidP="00D97463">
      <w:pPr>
        <w:pStyle w:val="H1"/>
        <w:ind w:right="1260"/>
      </w:pPr>
      <w:r w:rsidRPr="00D97463">
        <w:tab/>
      </w:r>
      <w:r w:rsidR="00397032" w:rsidRPr="00D97463">
        <w:t>D.</w:t>
      </w:r>
      <w:r w:rsidRPr="00D97463">
        <w:tab/>
      </w:r>
      <w:r w:rsidR="00397032" w:rsidRPr="00D97463">
        <w:t>Cooperation</w:t>
      </w:r>
      <w:r w:rsidR="00190923" w:rsidRPr="00D97463">
        <w:t xml:space="preserve"> </w:t>
      </w:r>
      <w:r w:rsidR="00397032" w:rsidRPr="00D97463">
        <w:t>with</w:t>
      </w:r>
      <w:r w:rsidR="00190923" w:rsidRPr="00D97463">
        <w:t xml:space="preserve"> </w:t>
      </w:r>
      <w:r w:rsidR="00397032" w:rsidRPr="00D97463">
        <w:t>other</w:t>
      </w:r>
      <w:r w:rsidR="00190923" w:rsidRPr="00D97463">
        <w:t xml:space="preserve"> </w:t>
      </w:r>
      <w:r w:rsidR="00397032" w:rsidRPr="00D97463">
        <w:t>bodies</w:t>
      </w:r>
    </w:p>
    <w:p w:rsidR="0054347D" w:rsidRPr="00D97463" w:rsidRDefault="0054347D"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981405" w:rsidRDefault="00397032" w:rsidP="00A3158E">
      <w:pPr>
        <w:pStyle w:val="SingleTxt"/>
      </w:pPr>
      <w:r w:rsidRPr="00981405">
        <w:t>311.</w:t>
      </w:r>
      <w:r w:rsidRPr="00981405">
        <w:tab/>
        <w:t>At</w:t>
      </w:r>
      <w:r w:rsidR="00190923" w:rsidRPr="00981405">
        <w:t xml:space="preserve"> </w:t>
      </w:r>
      <w:r w:rsidRPr="00981405">
        <w:t>the</w:t>
      </w:r>
      <w:r w:rsidR="00190923" w:rsidRPr="00981405">
        <w:t xml:space="preserve"> </w:t>
      </w:r>
      <w:r w:rsidRPr="00981405">
        <w:t>3274th</w:t>
      </w:r>
      <w:r w:rsidR="00190923" w:rsidRPr="00981405">
        <w:t xml:space="preserve"> </w:t>
      </w:r>
      <w:r w:rsidRPr="00981405">
        <w:t>meeting,</w:t>
      </w:r>
      <w:r w:rsidR="00190923" w:rsidRPr="00981405">
        <w:t xml:space="preserve"> </w:t>
      </w:r>
      <w:r w:rsidRPr="00981405">
        <w:t>on</w:t>
      </w:r>
      <w:r w:rsidR="00190923" w:rsidRPr="00981405">
        <w:t xml:space="preserve"> </w:t>
      </w:r>
      <w:r w:rsidRPr="00981405">
        <w:t>22</w:t>
      </w:r>
      <w:r w:rsidR="00190923" w:rsidRPr="00981405">
        <w:t xml:space="preserve"> </w:t>
      </w:r>
      <w:r w:rsidRPr="00981405">
        <w:t>July</w:t>
      </w:r>
      <w:r w:rsidR="00190923" w:rsidRPr="00981405">
        <w:t xml:space="preserve"> </w:t>
      </w:r>
      <w:r w:rsidRPr="00981405">
        <w:t>201</w:t>
      </w:r>
      <w:r w:rsidR="00A3158E">
        <w:t>5</w:t>
      </w:r>
      <w:r w:rsidRPr="00981405">
        <w:t>,</w:t>
      </w:r>
      <w:r w:rsidR="00190923" w:rsidRPr="00981405">
        <w:t xml:space="preserve"> </w:t>
      </w:r>
      <w:r w:rsidRPr="00981405">
        <w:t>Judge</w:t>
      </w:r>
      <w:r w:rsidR="00190923" w:rsidRPr="00981405">
        <w:t xml:space="preserve"> </w:t>
      </w:r>
      <w:r w:rsidRPr="00981405">
        <w:t>Ronny</w:t>
      </w:r>
      <w:r w:rsidR="00190923" w:rsidRPr="00981405">
        <w:t xml:space="preserve"> </w:t>
      </w:r>
      <w:r w:rsidRPr="00981405">
        <w:t>Abraham,</w:t>
      </w:r>
      <w:r w:rsidR="00190923" w:rsidRPr="00981405">
        <w:t xml:space="preserve"> </w:t>
      </w:r>
      <w:r w:rsidRPr="00981405">
        <w:t>President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briefed</w:t>
      </w:r>
      <w:r w:rsidR="00190923" w:rsidRPr="00981405">
        <w:t xml:space="preserve"> </w:t>
      </w:r>
      <w:r w:rsidRPr="00981405">
        <w:t>it</w:t>
      </w:r>
      <w:r w:rsidR="00190923" w:rsidRPr="00981405">
        <w:t xml:space="preserve"> </w:t>
      </w:r>
      <w:r w:rsidRPr="00981405">
        <w:t>on</w:t>
      </w:r>
      <w:r w:rsidR="00190923" w:rsidRPr="00981405">
        <w:t xml:space="preserve"> </w:t>
      </w:r>
      <w:r w:rsidRPr="00981405">
        <w:t>the</w:t>
      </w:r>
      <w:r w:rsidR="00190923" w:rsidRPr="00981405">
        <w:t xml:space="preserve"> </w:t>
      </w:r>
      <w:r w:rsidRPr="00981405">
        <w:t>recent</w:t>
      </w:r>
      <w:r w:rsidR="00190923" w:rsidRPr="00981405">
        <w:t xml:space="preserve"> </w:t>
      </w:r>
      <w:r w:rsidRPr="00981405">
        <w:t>judicial</w:t>
      </w:r>
      <w:r w:rsidR="00190923" w:rsidRPr="00981405">
        <w:t xml:space="preserve"> </w:t>
      </w:r>
      <w:r w:rsidRPr="00981405">
        <w:t>activities</w:t>
      </w:r>
      <w:r w:rsidR="00190923" w:rsidRPr="00981405">
        <w:t xml:space="preserve"> </w:t>
      </w:r>
      <w:r w:rsidRPr="00981405">
        <w:t>of</w:t>
      </w:r>
      <w:r w:rsidR="00190923" w:rsidRPr="00981405">
        <w:t xml:space="preserve"> </w:t>
      </w:r>
      <w:r w:rsidRPr="00981405">
        <w:t>the</w:t>
      </w:r>
      <w:r w:rsidR="00190923" w:rsidRPr="00981405">
        <w:t xml:space="preserve"> </w:t>
      </w:r>
      <w:r w:rsidRPr="00981405">
        <w:t>Court.</w:t>
      </w:r>
      <w:r w:rsidRPr="00981405">
        <w:rPr>
          <w:rStyle w:val="FootnoteReference"/>
        </w:rPr>
        <w:footnoteReference w:id="405"/>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followed.</w:t>
      </w:r>
    </w:p>
    <w:p w:rsidR="00397032" w:rsidRPr="00981405" w:rsidRDefault="00397032" w:rsidP="00D97463">
      <w:pPr>
        <w:pStyle w:val="SingleTxt"/>
      </w:pPr>
      <w:r w:rsidRPr="00981405">
        <w:t>312.</w:t>
      </w:r>
      <w:r w:rsidRPr="00981405">
        <w:tab/>
        <w:t>The</w:t>
      </w:r>
      <w:r w:rsidR="00190923" w:rsidRPr="00981405">
        <w:t xml:space="preserve"> </w:t>
      </w:r>
      <w:r w:rsidRPr="00981405">
        <w:t>Asian-African</w:t>
      </w:r>
      <w:r w:rsidR="00190923" w:rsidRPr="00981405">
        <w:t xml:space="preserve"> </w:t>
      </w:r>
      <w:r w:rsidRPr="00981405">
        <w:t>Legal</w:t>
      </w:r>
      <w:r w:rsidR="00190923" w:rsidRPr="00981405">
        <w:t xml:space="preserve"> </w:t>
      </w:r>
      <w:r w:rsidRPr="00981405">
        <w:t>Consultative</w:t>
      </w:r>
      <w:r w:rsidR="00190923" w:rsidRPr="00981405">
        <w:t xml:space="preserve"> </w:t>
      </w:r>
      <w:r w:rsidRPr="00981405">
        <w:t>Organization</w:t>
      </w:r>
      <w:r w:rsidR="00190923" w:rsidRPr="00981405">
        <w:t xml:space="preserve"> </w:t>
      </w:r>
      <w:r w:rsidRPr="00981405">
        <w:t>(AALCO)</w:t>
      </w:r>
      <w:r w:rsidR="00190923" w:rsidRPr="00981405">
        <w:t xml:space="preserve"> </w:t>
      </w:r>
      <w:r w:rsidRPr="00981405">
        <w:t>was</w:t>
      </w:r>
      <w:r w:rsidR="00190923" w:rsidRPr="00981405">
        <w:t xml:space="preserve"> </w:t>
      </w:r>
      <w:r w:rsidRPr="00981405">
        <w:t>represented</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by</w:t>
      </w:r>
      <w:r w:rsidR="00190923" w:rsidRPr="00981405">
        <w:t xml:space="preserve"> </w:t>
      </w:r>
      <w:r w:rsidRPr="00981405">
        <w:t>its</w:t>
      </w:r>
      <w:r w:rsidR="00190923" w:rsidRPr="00981405">
        <w:t xml:space="preserve"> </w:t>
      </w:r>
      <w:r w:rsidRPr="00981405">
        <w:t>Secretary-General,</w:t>
      </w:r>
      <w:r w:rsidR="00190923" w:rsidRPr="00981405">
        <w:t xml:space="preserve"> </w:t>
      </w:r>
      <w:r w:rsidRPr="00981405">
        <w:t>Mr.</w:t>
      </w:r>
      <w:r w:rsidR="00190923" w:rsidRPr="00981405">
        <w:t xml:space="preserve"> </w:t>
      </w:r>
      <w:r w:rsidRPr="00981405">
        <w:t>Rahmat</w:t>
      </w:r>
      <w:r w:rsidR="00190923" w:rsidRPr="00981405">
        <w:t xml:space="preserve"> </w:t>
      </w:r>
      <w:r w:rsidRPr="00981405">
        <w:t>Mohamad,</w:t>
      </w:r>
      <w:r w:rsidR="00190923" w:rsidRPr="00981405">
        <w:t xml:space="preserve"> </w:t>
      </w:r>
      <w:r w:rsidRPr="00981405">
        <w:t>who</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the</w:t>
      </w:r>
      <w:r w:rsidR="00190923" w:rsidRPr="00981405">
        <w:t xml:space="preserve"> </w:t>
      </w:r>
      <w:r w:rsidRPr="00981405">
        <w:t>3250th</w:t>
      </w:r>
      <w:r w:rsidR="00190923" w:rsidRPr="00981405">
        <w:t xml:space="preserve"> </w:t>
      </w:r>
      <w:r w:rsidRPr="00981405">
        <w:t>meeting,</w:t>
      </w:r>
      <w:r w:rsidR="00190923" w:rsidRPr="00981405">
        <w:t xml:space="preserve"> </w:t>
      </w:r>
      <w:r w:rsidRPr="00981405">
        <w:t>on</w:t>
      </w:r>
      <w:r w:rsidR="00190923" w:rsidRPr="00981405">
        <w:t xml:space="preserve"> </w:t>
      </w:r>
      <w:r w:rsidRPr="00981405">
        <w:t>13</w:t>
      </w:r>
      <w:r w:rsidR="00190923" w:rsidRPr="00981405">
        <w:t xml:space="preserve"> </w:t>
      </w:r>
      <w:r w:rsidRPr="00981405">
        <w:t>May</w:t>
      </w:r>
      <w:r w:rsidR="00190923" w:rsidRPr="00981405">
        <w:t xml:space="preserve"> </w:t>
      </w:r>
      <w:r w:rsidRPr="00981405">
        <w:t>2015.</w:t>
      </w:r>
      <w:r w:rsidRPr="00981405">
        <w:rPr>
          <w:rStyle w:val="FootnoteReference"/>
        </w:rPr>
        <w:footnoteReference w:id="406"/>
      </w:r>
      <w:r w:rsidR="00190923" w:rsidRPr="00981405">
        <w:t xml:space="preserve"> </w:t>
      </w:r>
      <w:r w:rsidRPr="00981405">
        <w:t>He</w:t>
      </w:r>
      <w:r w:rsidR="00190923" w:rsidRPr="00981405">
        <w:t xml:space="preserve"> </w:t>
      </w:r>
      <w:r w:rsidRPr="00981405">
        <w:t>briefed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the</w:t>
      </w:r>
      <w:r w:rsidR="00190923" w:rsidRPr="00981405">
        <w:t xml:space="preserve"> </w:t>
      </w:r>
      <w:r w:rsidRPr="00981405">
        <w:t>current</w:t>
      </w:r>
      <w:r w:rsidR="00190923" w:rsidRPr="00981405">
        <w:t xml:space="preserve"> </w:t>
      </w:r>
      <w:r w:rsidRPr="00981405">
        <w:t>activities</w:t>
      </w:r>
      <w:r w:rsidR="00190923" w:rsidRPr="00981405">
        <w:t xml:space="preserve"> </w:t>
      </w:r>
      <w:r w:rsidRPr="00981405">
        <w:t>of</w:t>
      </w:r>
      <w:r w:rsidR="00190923" w:rsidRPr="00981405">
        <w:t xml:space="preserve"> </w:t>
      </w:r>
      <w:r w:rsidRPr="00981405">
        <w:t>AALCO</w:t>
      </w:r>
      <w:r w:rsidR="00190923" w:rsidRPr="00981405">
        <w:t xml:space="preserve"> </w:t>
      </w:r>
      <w:r w:rsidRPr="00981405">
        <w:t>and</w:t>
      </w:r>
      <w:r w:rsidR="00190923" w:rsidRPr="00981405">
        <w:t xml:space="preserve"> </w:t>
      </w:r>
      <w:r w:rsidRPr="00981405">
        <w:t>provided</w:t>
      </w:r>
      <w:r w:rsidR="00190923" w:rsidRPr="00981405">
        <w:t xml:space="preserve"> </w:t>
      </w:r>
      <w:r w:rsidRPr="00981405">
        <w:t>an</w:t>
      </w:r>
      <w:r w:rsidR="00190923" w:rsidRPr="00981405">
        <w:t xml:space="preserve"> </w:t>
      </w:r>
      <w:r w:rsidRPr="00981405">
        <w:t>overview</w:t>
      </w:r>
      <w:r w:rsidR="00190923" w:rsidRPr="00981405">
        <w:t xml:space="preserve"> </w:t>
      </w:r>
      <w:r w:rsidRPr="00981405">
        <w:t>of</w:t>
      </w:r>
      <w:r w:rsidR="00190923" w:rsidRPr="00981405">
        <w:t xml:space="preserve"> </w:t>
      </w:r>
      <w:r w:rsidRPr="00981405">
        <w:t>the</w:t>
      </w:r>
      <w:r w:rsidR="00190923" w:rsidRPr="00981405">
        <w:t xml:space="preserve"> </w:t>
      </w:r>
      <w:r w:rsidRPr="00981405">
        <w:t>deliberations</w:t>
      </w:r>
      <w:r w:rsidR="00190923" w:rsidRPr="00981405">
        <w:t xml:space="preserve"> </w:t>
      </w:r>
      <w:r w:rsidRPr="00981405">
        <w:t>of</w:t>
      </w:r>
      <w:r w:rsidR="00190923" w:rsidRPr="00981405">
        <w:t xml:space="preserve"> </w:t>
      </w:r>
      <w:r w:rsidRPr="00981405">
        <w:t>AALCO</w:t>
      </w:r>
      <w:r w:rsidR="00190923" w:rsidRPr="00981405">
        <w:t xml:space="preserve"> </w:t>
      </w:r>
      <w:r w:rsidRPr="00981405">
        <w:t>at</w:t>
      </w:r>
      <w:r w:rsidR="00190923" w:rsidRPr="00981405">
        <w:t xml:space="preserve"> </w:t>
      </w:r>
      <w:r w:rsidRPr="00981405">
        <w:t>its</w:t>
      </w:r>
      <w:r w:rsidR="00190923" w:rsidRPr="00981405">
        <w:t xml:space="preserve"> </w:t>
      </w:r>
      <w:r w:rsidRPr="00981405">
        <w:t>fifty-fourth</w:t>
      </w:r>
      <w:r w:rsidR="00190923" w:rsidRPr="00981405">
        <w:t xml:space="preserve"> </w:t>
      </w:r>
      <w:r w:rsidRPr="00981405">
        <w:t>annual</w:t>
      </w:r>
      <w:r w:rsidR="00190923" w:rsidRPr="00981405">
        <w:t xml:space="preserve"> </w:t>
      </w:r>
      <w:r w:rsidRPr="00981405">
        <w:t>session</w:t>
      </w:r>
      <w:r w:rsidR="00190923" w:rsidRPr="00981405">
        <w:t xml:space="preserve"> </w:t>
      </w:r>
      <w:r w:rsidRPr="00981405">
        <w:t>held</w:t>
      </w:r>
      <w:r w:rsidR="00190923" w:rsidRPr="00981405">
        <w:t xml:space="preserve"> </w:t>
      </w:r>
      <w:r w:rsidRPr="00981405">
        <w:t>in</w:t>
      </w:r>
      <w:r w:rsidR="00190923" w:rsidRPr="00981405">
        <w:t xml:space="preserve"> </w:t>
      </w:r>
      <w:r w:rsidRPr="00981405">
        <w:t>Beijing</w:t>
      </w:r>
      <w:r w:rsidR="00190923" w:rsidRPr="00981405">
        <w:t xml:space="preserve"> </w:t>
      </w:r>
      <w:r w:rsidRPr="00981405">
        <w:t>from</w:t>
      </w:r>
      <w:r w:rsidR="00190923" w:rsidRPr="00981405">
        <w:t xml:space="preserve"> </w:t>
      </w:r>
      <w:r w:rsidRPr="00981405">
        <w:t>13</w:t>
      </w:r>
      <w:r w:rsidR="00190923" w:rsidRPr="00981405">
        <w:t xml:space="preserve"> </w:t>
      </w:r>
      <w:r w:rsidRPr="00981405">
        <w:t>to</w:t>
      </w:r>
      <w:r w:rsidR="00190923" w:rsidRPr="00981405">
        <w:t xml:space="preserve"> </w:t>
      </w:r>
      <w:r w:rsidRPr="00981405">
        <w:t>17</w:t>
      </w:r>
      <w:r w:rsidR="00190923" w:rsidRPr="00981405">
        <w:t xml:space="preserve"> </w:t>
      </w:r>
      <w:r w:rsidRPr="00981405">
        <w:t>April</w:t>
      </w:r>
      <w:r w:rsidR="00190923" w:rsidRPr="00981405">
        <w:t xml:space="preserve"> </w:t>
      </w:r>
      <w:r w:rsidRPr="00981405">
        <w:t>2015,</w:t>
      </w:r>
      <w:r w:rsidR="00190923" w:rsidRPr="00981405">
        <w:t xml:space="preserve"> </w:t>
      </w:r>
      <w:r w:rsidRPr="00981405">
        <w:t>which</w:t>
      </w:r>
      <w:r w:rsidR="00190923" w:rsidRPr="00981405">
        <w:t xml:space="preserve"> </w:t>
      </w:r>
      <w:r w:rsidRPr="00981405">
        <w:t>focused,</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on</w:t>
      </w:r>
      <w:r w:rsidR="00190923" w:rsidRPr="00981405">
        <w:t xml:space="preserve"> </w:t>
      </w:r>
      <w:r w:rsidRPr="00981405">
        <w:t>four</w:t>
      </w:r>
      <w:r w:rsidR="00190923" w:rsidRPr="00981405">
        <w:t xml:space="preserve"> </w:t>
      </w:r>
      <w:r w:rsidRPr="00981405">
        <w:t>topics</w:t>
      </w:r>
      <w:r w:rsidR="00190923" w:rsidRPr="00981405">
        <w:t xml:space="preserve"> </w:t>
      </w:r>
      <w:r w:rsidRPr="00981405">
        <w:t>on</w:t>
      </w:r>
      <w:r w:rsidR="00190923" w:rsidRPr="00981405">
        <w:t xml:space="preserve"> </w:t>
      </w:r>
      <w:r w:rsidRPr="00981405">
        <w:t>the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namely</w:t>
      </w:r>
      <w:r w:rsidR="00190923" w:rsidRPr="00981405">
        <w:t xml:space="preserve"> </w:t>
      </w:r>
      <w:r w:rsidR="00B92E2C" w:rsidRPr="00981405">
        <w:t>“</w:t>
      </w:r>
      <w:r w:rsidRPr="00981405">
        <w:t>Identification</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B92E2C" w:rsidRPr="00981405">
        <w:t>”</w:t>
      </w:r>
      <w:r w:rsidRPr="00981405">
        <w:t>;</w:t>
      </w:r>
      <w:r w:rsidR="00190923" w:rsidRPr="00981405">
        <w:t xml:space="preserve"> </w:t>
      </w:r>
      <w:r w:rsidR="00B92E2C" w:rsidRPr="00981405">
        <w:t>“</w:t>
      </w:r>
      <w:r w:rsidRPr="00981405">
        <w:t>Expulsion</w:t>
      </w:r>
      <w:r w:rsidR="00190923" w:rsidRPr="00981405">
        <w:t xml:space="preserve"> </w:t>
      </w:r>
      <w:r w:rsidRPr="00981405">
        <w:t>of</w:t>
      </w:r>
      <w:r w:rsidR="00190923" w:rsidRPr="00981405">
        <w:t xml:space="preserve"> </w:t>
      </w:r>
      <w:r w:rsidRPr="00981405">
        <w:t>aliens</w:t>
      </w:r>
      <w:r w:rsidR="00B92E2C" w:rsidRPr="00981405">
        <w:t>”</w:t>
      </w:r>
      <w:r w:rsidRPr="00981405">
        <w:t>;</w:t>
      </w:r>
      <w:r w:rsidR="00B92E2C"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Atmosphere</w:t>
      </w:r>
      <w:r w:rsidR="00B92E2C" w:rsidRPr="00981405">
        <w:t>”</w:t>
      </w:r>
      <w:r w:rsidRPr="00981405">
        <w:t>;</w:t>
      </w:r>
      <w:r w:rsidR="00190923" w:rsidRPr="00981405">
        <w:t xml:space="preserve"> </w:t>
      </w:r>
      <w:r w:rsidRPr="00981405">
        <w:t>and</w:t>
      </w:r>
      <w:r w:rsidR="00B92E2C" w:rsidRPr="00981405">
        <w:t xml:space="preserve"> “</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B92E2C" w:rsidRPr="00981405">
        <w:t>”</w:t>
      </w:r>
      <w:r w:rsidRPr="00981405">
        <w:t>.</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followed.</w:t>
      </w:r>
    </w:p>
    <w:p w:rsidR="00397032" w:rsidRPr="00981405" w:rsidRDefault="00397032" w:rsidP="00D97463">
      <w:pPr>
        <w:pStyle w:val="SingleTxt"/>
      </w:pPr>
      <w:r w:rsidRPr="00981405">
        <w:t>313.</w:t>
      </w:r>
      <w:r w:rsidRPr="00981405">
        <w:tab/>
        <w:t>The</w:t>
      </w:r>
      <w:r w:rsidR="00190923" w:rsidRPr="00981405">
        <w:t xml:space="preserve"> </w:t>
      </w:r>
      <w:r w:rsidRPr="00981405">
        <w:t>Inter-American</w:t>
      </w:r>
      <w:r w:rsidR="00190923" w:rsidRPr="00981405">
        <w:t xml:space="preserve"> </w:t>
      </w:r>
      <w:r w:rsidRPr="00981405">
        <w:t>Juridical</w:t>
      </w:r>
      <w:r w:rsidR="00190923" w:rsidRPr="00981405">
        <w:t xml:space="preserve"> </w:t>
      </w:r>
      <w:r w:rsidRPr="00981405">
        <w:t>Committee</w:t>
      </w:r>
      <w:r w:rsidR="00190923" w:rsidRPr="00981405">
        <w:t xml:space="preserve"> </w:t>
      </w:r>
      <w:r w:rsidRPr="00981405">
        <w:t>was</w:t>
      </w:r>
      <w:r w:rsidR="00190923" w:rsidRPr="00981405">
        <w:t xml:space="preserve"> </w:t>
      </w:r>
      <w:r w:rsidRPr="00981405">
        <w:t>represented</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by</w:t>
      </w:r>
      <w:r w:rsidR="00190923" w:rsidRPr="00981405">
        <w:t xml:space="preserve"> </w:t>
      </w:r>
      <w:r w:rsidRPr="00981405">
        <w:t>Vice-President</w:t>
      </w:r>
      <w:r w:rsidR="00190923" w:rsidRPr="00981405">
        <w:t xml:space="preserve"> </w:t>
      </w:r>
      <w:r w:rsidRPr="00981405">
        <w:t>of</w:t>
      </w:r>
      <w:r w:rsidR="00190923" w:rsidRPr="00981405">
        <w:t xml:space="preserve"> </w:t>
      </w:r>
      <w:r w:rsidRPr="00981405">
        <w:t>the</w:t>
      </w:r>
      <w:r w:rsidR="00190923" w:rsidRPr="00981405">
        <w:t xml:space="preserve"> </w:t>
      </w:r>
      <w:r w:rsidRPr="00981405">
        <w:t>Inter-American</w:t>
      </w:r>
      <w:r w:rsidR="00190923" w:rsidRPr="00981405">
        <w:t xml:space="preserve"> </w:t>
      </w:r>
      <w:r w:rsidRPr="00981405">
        <w:t>Juridical</w:t>
      </w:r>
      <w:r w:rsidR="00190923" w:rsidRPr="00981405">
        <w:t xml:space="preserve"> </w:t>
      </w:r>
      <w:r w:rsidRPr="00981405">
        <w:t>Committee,</w:t>
      </w:r>
      <w:r w:rsidR="00190923" w:rsidRPr="00981405">
        <w:t xml:space="preserve"> </w:t>
      </w:r>
      <w:r w:rsidRPr="00981405">
        <w:t>Mr.</w:t>
      </w:r>
      <w:r w:rsidR="00190923" w:rsidRPr="00981405">
        <w:t xml:space="preserve"> </w:t>
      </w:r>
      <w:r w:rsidRPr="00981405">
        <w:t>Carlos</w:t>
      </w:r>
      <w:r w:rsidR="00190923" w:rsidRPr="00981405">
        <w:t xml:space="preserve"> </w:t>
      </w:r>
      <w:r w:rsidRPr="00981405">
        <w:t>Mata</w:t>
      </w:r>
      <w:r w:rsidR="00190923" w:rsidRPr="00981405">
        <w:t xml:space="preserve"> </w:t>
      </w:r>
      <w:r w:rsidRPr="00981405">
        <w:t>Prates,</w:t>
      </w:r>
      <w:r w:rsidR="00190923" w:rsidRPr="00981405">
        <w:t xml:space="preserve"> </w:t>
      </w:r>
      <w:r w:rsidRPr="00981405">
        <w:t>who</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the</w:t>
      </w:r>
      <w:r w:rsidR="00190923" w:rsidRPr="00981405">
        <w:t xml:space="preserve"> </w:t>
      </w:r>
      <w:r w:rsidRPr="00981405">
        <w:t>3265th</w:t>
      </w:r>
      <w:r w:rsidR="00190923" w:rsidRPr="00981405">
        <w:t xml:space="preserve"> </w:t>
      </w:r>
      <w:r w:rsidRPr="00981405">
        <w:t>meeting,</w:t>
      </w:r>
      <w:r w:rsidR="00190923" w:rsidRPr="00981405">
        <w:t xml:space="preserve"> </w:t>
      </w:r>
      <w:r w:rsidRPr="00981405">
        <w:t>on</w:t>
      </w:r>
      <w:r w:rsidR="00190923" w:rsidRPr="00981405">
        <w:t xml:space="preserve"> </w:t>
      </w:r>
      <w:r w:rsidRPr="00981405">
        <w:t>7</w:t>
      </w:r>
      <w:r w:rsidR="00190923" w:rsidRPr="00981405">
        <w:t xml:space="preserve"> </w:t>
      </w:r>
      <w:r w:rsidRPr="00981405">
        <w:t>July</w:t>
      </w:r>
      <w:r w:rsidR="00190923" w:rsidRPr="00981405">
        <w:t xml:space="preserve"> </w:t>
      </w:r>
      <w:r w:rsidRPr="00981405">
        <w:t>2015.</w:t>
      </w:r>
      <w:r w:rsidRPr="00981405">
        <w:rPr>
          <w:rStyle w:val="FootnoteReference"/>
        </w:rPr>
        <w:footnoteReference w:id="407"/>
      </w:r>
      <w:r w:rsidR="00190923" w:rsidRPr="00981405">
        <w:t xml:space="preserve"> </w:t>
      </w:r>
      <w:r w:rsidRPr="00981405">
        <w:t>He</w:t>
      </w:r>
      <w:r w:rsidR="00190923" w:rsidRPr="00981405">
        <w:t xml:space="preserve"> </w:t>
      </w:r>
      <w:r w:rsidRPr="00981405">
        <w:t>gave</w:t>
      </w:r>
      <w:r w:rsidR="00190923" w:rsidRPr="00981405">
        <w:t xml:space="preserve"> </w:t>
      </w:r>
      <w:r w:rsidRPr="00981405">
        <w:t>an</w:t>
      </w:r>
      <w:r w:rsidR="00190923" w:rsidRPr="00981405">
        <w:t xml:space="preserve"> </w:t>
      </w:r>
      <w:r w:rsidRPr="00981405">
        <w:t>overview</w:t>
      </w:r>
      <w:r w:rsidR="00190923" w:rsidRPr="00981405">
        <w:t xml:space="preserve"> </w:t>
      </w:r>
      <w:r w:rsidRPr="00981405">
        <w:t>of</w:t>
      </w:r>
      <w:r w:rsidR="00190923" w:rsidRPr="00981405">
        <w:t xml:space="preserve"> </w:t>
      </w:r>
      <w:r w:rsidRPr="00981405">
        <w:t>the</w:t>
      </w:r>
      <w:r w:rsidR="00190923" w:rsidRPr="00981405">
        <w:t xml:space="preserve"> </w:t>
      </w:r>
      <w:r w:rsidRPr="00981405">
        <w:t>activities</w:t>
      </w:r>
      <w:r w:rsidR="00190923" w:rsidRPr="00981405">
        <w:t xml:space="preserve"> </w:t>
      </w:r>
      <w:r w:rsidRPr="00981405">
        <w:t>of</w:t>
      </w:r>
      <w:r w:rsidR="00190923" w:rsidRPr="00981405">
        <w:t xml:space="preserve"> </w:t>
      </w:r>
      <w:r w:rsidRPr="00981405">
        <w:t>the</w:t>
      </w:r>
      <w:r w:rsidR="00190923" w:rsidRPr="00981405">
        <w:t xml:space="preserve"> </w:t>
      </w:r>
      <w:r w:rsidRPr="00981405">
        <w:t>Committee</w:t>
      </w:r>
      <w:r w:rsidR="00190923" w:rsidRPr="00981405">
        <w:t xml:space="preserve"> </w:t>
      </w:r>
      <w:r w:rsidRPr="00981405">
        <w:t>in</w:t>
      </w:r>
      <w:r w:rsidR="00190923" w:rsidRPr="00981405">
        <w:t xml:space="preserve"> </w:t>
      </w:r>
      <w:r w:rsidRPr="00981405">
        <w:t>2014/2015</w:t>
      </w:r>
      <w:r w:rsidR="00190923" w:rsidRPr="00981405">
        <w:t xml:space="preserve"> </w:t>
      </w:r>
      <w:r w:rsidRPr="00981405">
        <w:t>on</w:t>
      </w:r>
      <w:r w:rsidR="00190923" w:rsidRPr="00981405">
        <w:t xml:space="preserve"> </w:t>
      </w:r>
      <w:r w:rsidRPr="00981405">
        <w:t>various</w:t>
      </w:r>
      <w:r w:rsidR="00190923" w:rsidRPr="00981405">
        <w:t xml:space="preserve"> </w:t>
      </w:r>
      <w:r w:rsidRPr="00981405">
        <w:t>legal</w:t>
      </w:r>
      <w:r w:rsidR="00190923" w:rsidRPr="00981405">
        <w:t xml:space="preserve"> </w:t>
      </w:r>
      <w:r w:rsidRPr="00981405">
        <w:t>issues</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Committee</w:t>
      </w:r>
      <w:r w:rsidR="00190923" w:rsidRPr="00981405">
        <w:t xml:space="preserve"> </w:t>
      </w:r>
      <w:r w:rsidRPr="00981405">
        <w:t>was</w:t>
      </w:r>
      <w:r w:rsidR="00190923" w:rsidRPr="00981405">
        <w:t xml:space="preserve"> </w:t>
      </w:r>
      <w:r w:rsidRPr="00981405">
        <w:t>engaged.</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followed.</w:t>
      </w:r>
    </w:p>
    <w:p w:rsidR="00397032" w:rsidRPr="00981405" w:rsidRDefault="00397032" w:rsidP="00D97463">
      <w:pPr>
        <w:pStyle w:val="SingleTxt"/>
      </w:pPr>
      <w:r w:rsidRPr="00981405">
        <w:t>314.</w:t>
      </w:r>
      <w:r w:rsidRPr="00981405">
        <w:tab/>
        <w:t>The</w:t>
      </w:r>
      <w:r w:rsidR="00190923" w:rsidRPr="00981405">
        <w:t xml:space="preserve"> </w:t>
      </w:r>
      <w:r w:rsidRPr="00981405">
        <w:t>Committee</w:t>
      </w:r>
      <w:r w:rsidR="00190923" w:rsidRPr="00981405">
        <w:t xml:space="preserve"> </w:t>
      </w:r>
      <w:r w:rsidRPr="00981405">
        <w:t>of</w:t>
      </w:r>
      <w:r w:rsidR="00190923" w:rsidRPr="00981405">
        <w:t xml:space="preserve"> </w:t>
      </w:r>
      <w:r w:rsidRPr="00981405">
        <w:t>Legal</w:t>
      </w:r>
      <w:r w:rsidR="00190923" w:rsidRPr="00981405">
        <w:t xml:space="preserve"> </w:t>
      </w:r>
      <w:r w:rsidRPr="00981405">
        <w:t>Advisers</w:t>
      </w:r>
      <w:r w:rsidR="00190923" w:rsidRPr="00981405">
        <w:t xml:space="preserve"> </w:t>
      </w:r>
      <w:r w:rsidRPr="00981405">
        <w:t>on</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(CAHDI)</w:t>
      </w:r>
      <w:r w:rsidR="00190923" w:rsidRPr="00981405">
        <w:t xml:space="preserve"> </w:t>
      </w:r>
      <w:r w:rsidRPr="00981405">
        <w:t>of</w:t>
      </w:r>
      <w:r w:rsidR="00190923" w:rsidRPr="00981405">
        <w:t xml:space="preserve"> </w:t>
      </w:r>
      <w:r w:rsidRPr="00981405">
        <w:t>the</w:t>
      </w:r>
      <w:r w:rsidR="00190923" w:rsidRPr="00981405">
        <w:t xml:space="preserve"> </w:t>
      </w:r>
      <w:r w:rsidRPr="00981405">
        <w:t>Council</w:t>
      </w:r>
      <w:r w:rsidR="00190923" w:rsidRPr="00981405">
        <w:t xml:space="preserve"> </w:t>
      </w:r>
      <w:r w:rsidRPr="00981405">
        <w:t>of</w:t>
      </w:r>
      <w:r w:rsidR="00190923" w:rsidRPr="00981405">
        <w:t xml:space="preserve"> </w:t>
      </w:r>
      <w:r w:rsidRPr="00981405">
        <w:t>Europe</w:t>
      </w:r>
      <w:r w:rsidR="00190923" w:rsidRPr="00981405">
        <w:t xml:space="preserve"> </w:t>
      </w:r>
      <w:r w:rsidRPr="00981405">
        <w:t>was</w:t>
      </w:r>
      <w:r w:rsidR="00190923" w:rsidRPr="00981405">
        <w:t xml:space="preserve"> </w:t>
      </w:r>
      <w:r w:rsidRPr="00981405">
        <w:t>represented</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by</w:t>
      </w:r>
      <w:r w:rsidR="00190923" w:rsidRPr="00981405">
        <w:t xml:space="preserve"> </w:t>
      </w:r>
      <w:r w:rsidRPr="00981405">
        <w:t>the</w:t>
      </w:r>
      <w:r w:rsidR="00190923" w:rsidRPr="00981405">
        <w:t xml:space="preserve"> </w:t>
      </w:r>
      <w:r w:rsidRPr="00981405">
        <w:t>Chair</w:t>
      </w:r>
      <w:r w:rsidR="00190923" w:rsidRPr="00981405">
        <w:t xml:space="preserve"> </w:t>
      </w:r>
      <w:r w:rsidRPr="00981405">
        <w:t>of</w:t>
      </w:r>
      <w:r w:rsidR="00190923" w:rsidRPr="00981405">
        <w:t xml:space="preserve"> </w:t>
      </w:r>
      <w:r w:rsidRPr="00981405">
        <w:t>the</w:t>
      </w:r>
      <w:r w:rsidR="00190923" w:rsidRPr="00981405">
        <w:t xml:space="preserve"> </w:t>
      </w:r>
      <w:r w:rsidRPr="00981405">
        <w:t>Committee</w:t>
      </w:r>
      <w:r w:rsidR="00190923" w:rsidRPr="00981405">
        <w:t xml:space="preserve"> </w:t>
      </w:r>
      <w:r w:rsidRPr="00981405">
        <w:t>of</w:t>
      </w:r>
      <w:r w:rsidR="00190923" w:rsidRPr="00981405">
        <w:t xml:space="preserve"> </w:t>
      </w:r>
      <w:r w:rsidRPr="00981405">
        <w:t>Legal</w:t>
      </w:r>
      <w:r w:rsidR="00190923" w:rsidRPr="00981405">
        <w:t xml:space="preserve"> </w:t>
      </w:r>
      <w:r w:rsidRPr="00981405">
        <w:t>Advisers</w:t>
      </w:r>
      <w:r w:rsidR="00190923" w:rsidRPr="00981405">
        <w:t xml:space="preserve"> </w:t>
      </w:r>
      <w:r w:rsidRPr="00981405">
        <w:t>on</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Mr</w:t>
      </w:r>
      <w:r w:rsidR="00190923" w:rsidRPr="00981405">
        <w:t xml:space="preserve"> </w:t>
      </w:r>
      <w:r w:rsidRPr="00981405">
        <w:t>Paul</w:t>
      </w:r>
      <w:r w:rsidR="00190923" w:rsidRPr="00981405">
        <w:t xml:space="preserve"> </w:t>
      </w:r>
      <w:r w:rsidRPr="00981405">
        <w:lastRenderedPageBreak/>
        <w:t>Rietjens,</w:t>
      </w:r>
      <w:r w:rsidR="00190923" w:rsidRPr="00981405">
        <w:t xml:space="preserve"> </w:t>
      </w:r>
      <w:r w:rsidRPr="00981405">
        <w:t>and</w:t>
      </w:r>
      <w:r w:rsidR="00190923" w:rsidRPr="00981405">
        <w:t xml:space="preserve"> </w:t>
      </w:r>
      <w:r w:rsidRPr="00981405">
        <w:t>the</w:t>
      </w:r>
      <w:r w:rsidR="00190923" w:rsidRPr="00981405">
        <w:t xml:space="preserve"> </w:t>
      </w:r>
      <w:r w:rsidRPr="00981405">
        <w:t>Head</w:t>
      </w:r>
      <w:r w:rsidR="00190923" w:rsidRPr="00981405">
        <w:t xml:space="preserve"> </w:t>
      </w:r>
      <w:r w:rsidRPr="00981405">
        <w:t>of</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Division</w:t>
      </w:r>
      <w:r w:rsidR="00190923" w:rsidRPr="00981405">
        <w:t xml:space="preserve"> </w:t>
      </w:r>
      <w:r w:rsidRPr="00981405">
        <w:t>and</w:t>
      </w:r>
      <w:r w:rsidR="00190923" w:rsidRPr="00981405">
        <w:t xml:space="preserve"> </w:t>
      </w:r>
      <w:r w:rsidRPr="00981405">
        <w:t>Treaty</w:t>
      </w:r>
      <w:r w:rsidR="00190923" w:rsidRPr="00981405">
        <w:t xml:space="preserve"> </w:t>
      </w:r>
      <w:r w:rsidRPr="00981405">
        <w:t>Office</w:t>
      </w:r>
      <w:r w:rsidR="00190923" w:rsidRPr="00981405">
        <w:t xml:space="preserve"> </w:t>
      </w:r>
      <w:r w:rsidRPr="00981405">
        <w:t>of</w:t>
      </w:r>
      <w:r w:rsidR="00190923" w:rsidRPr="00981405">
        <w:t xml:space="preserve"> </w:t>
      </w:r>
      <w:r w:rsidRPr="00981405">
        <w:t>the</w:t>
      </w:r>
      <w:r w:rsidR="00190923" w:rsidRPr="00981405">
        <w:t xml:space="preserve"> </w:t>
      </w:r>
      <w:r w:rsidRPr="00981405">
        <w:t>Directorate</w:t>
      </w:r>
      <w:r w:rsidR="00190923" w:rsidRPr="00981405">
        <w:t xml:space="preserve"> </w:t>
      </w:r>
      <w:r w:rsidRPr="00981405">
        <w:t>of</w:t>
      </w:r>
      <w:r w:rsidR="00190923" w:rsidRPr="00981405">
        <w:t xml:space="preserve"> </w:t>
      </w:r>
      <w:r w:rsidRPr="00981405">
        <w:t>Legal</w:t>
      </w:r>
      <w:r w:rsidR="00190923" w:rsidRPr="00981405">
        <w:t xml:space="preserve"> </w:t>
      </w:r>
      <w:r w:rsidRPr="00981405">
        <w:t>Advice</w:t>
      </w:r>
      <w:r w:rsidR="00190923" w:rsidRPr="00981405">
        <w:t xml:space="preserve"> </w:t>
      </w:r>
      <w:r w:rsidRPr="00981405">
        <w:t>and</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Ms.</w:t>
      </w:r>
      <w:r w:rsidR="00190923" w:rsidRPr="00981405">
        <w:t xml:space="preserve"> </w:t>
      </w:r>
      <w:r w:rsidRPr="00981405">
        <w:t>Marta</w:t>
      </w:r>
      <w:r w:rsidR="00190923" w:rsidRPr="00981405">
        <w:t xml:space="preserve"> </w:t>
      </w:r>
      <w:r w:rsidRPr="00981405">
        <w:t>Requena,</w:t>
      </w:r>
      <w:r w:rsidR="00190923" w:rsidRPr="00981405">
        <w:t xml:space="preserve"> </w:t>
      </w:r>
      <w:r w:rsidRPr="00981405">
        <w:t>both</w:t>
      </w:r>
      <w:r w:rsidR="00190923" w:rsidRPr="00981405">
        <w:t xml:space="preserve"> </w:t>
      </w:r>
      <w:r w:rsidRPr="00981405">
        <w:t>of</w:t>
      </w:r>
      <w:r w:rsidR="00190923" w:rsidRPr="00981405">
        <w:t xml:space="preserve"> </w:t>
      </w:r>
      <w:r w:rsidRPr="00981405">
        <w:t>whom</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the</w:t>
      </w:r>
      <w:r w:rsidR="00190923" w:rsidRPr="00981405">
        <w:t xml:space="preserve"> </w:t>
      </w:r>
      <w:r w:rsidRPr="00981405">
        <w:t>3268th</w:t>
      </w:r>
      <w:r w:rsidR="00190923" w:rsidRPr="00981405">
        <w:t xml:space="preserve"> </w:t>
      </w:r>
      <w:r w:rsidRPr="00981405">
        <w:t>meeting,</w:t>
      </w:r>
      <w:r w:rsidR="00190923" w:rsidRPr="00981405">
        <w:t xml:space="preserve"> </w:t>
      </w:r>
      <w:r w:rsidRPr="00981405">
        <w:t>on</w:t>
      </w:r>
      <w:r w:rsidR="00190923" w:rsidRPr="00981405">
        <w:t xml:space="preserve"> </w:t>
      </w:r>
      <w:r w:rsidRPr="00981405">
        <w:t>10</w:t>
      </w:r>
      <w:r w:rsidR="00190923" w:rsidRPr="00981405">
        <w:t xml:space="preserve"> </w:t>
      </w:r>
      <w:r w:rsidRPr="00981405">
        <w:t>July</w:t>
      </w:r>
      <w:r w:rsidR="00190923" w:rsidRPr="00981405">
        <w:t xml:space="preserve"> </w:t>
      </w:r>
      <w:r w:rsidRPr="00981405">
        <w:t>2015.</w:t>
      </w:r>
      <w:r w:rsidRPr="00981405">
        <w:rPr>
          <w:rStyle w:val="FootnoteReference"/>
        </w:rPr>
        <w:footnoteReference w:id="408"/>
      </w:r>
      <w:r w:rsidR="00190923" w:rsidRPr="00981405">
        <w:t xml:space="preserve"> </w:t>
      </w:r>
      <w:r w:rsidRPr="00981405">
        <w:t>They</w:t>
      </w:r>
      <w:r w:rsidR="00190923" w:rsidRPr="00981405">
        <w:t xml:space="preserve"> </w:t>
      </w:r>
      <w:r w:rsidRPr="00981405">
        <w:t>focused</w:t>
      </w:r>
      <w:r w:rsidR="00190923" w:rsidRPr="00981405">
        <w:t xml:space="preserve"> </w:t>
      </w:r>
      <w:r w:rsidRPr="00981405">
        <w:t>on</w:t>
      </w:r>
      <w:r w:rsidR="00190923" w:rsidRPr="00981405">
        <w:t xml:space="preserve"> </w:t>
      </w:r>
      <w:r w:rsidRPr="00981405">
        <w:t>the</w:t>
      </w:r>
      <w:r w:rsidR="00190923" w:rsidRPr="00981405">
        <w:t xml:space="preserve"> </w:t>
      </w:r>
      <w:r w:rsidRPr="00981405">
        <w:t>current</w:t>
      </w:r>
      <w:r w:rsidR="00190923" w:rsidRPr="00981405">
        <w:t xml:space="preserve"> </w:t>
      </w:r>
      <w:r w:rsidRPr="00981405">
        <w:t>activities</w:t>
      </w:r>
      <w:r w:rsidR="00190923" w:rsidRPr="00981405">
        <w:t xml:space="preserve"> </w:t>
      </w:r>
      <w:r w:rsidRPr="00981405">
        <w:t>of</w:t>
      </w:r>
      <w:r w:rsidR="00190923" w:rsidRPr="00981405">
        <w:t xml:space="preserve"> </w:t>
      </w:r>
      <w:r w:rsidRPr="00981405">
        <w:t>CAHDI</w:t>
      </w:r>
      <w:r w:rsidR="00190923" w:rsidRPr="00981405">
        <w:t xml:space="preserve"> </w:t>
      </w:r>
      <w:r w:rsidRPr="00981405">
        <w:t>in</w:t>
      </w:r>
      <w:r w:rsidR="00190923" w:rsidRPr="00981405">
        <w:t xml:space="preserve"> </w:t>
      </w:r>
      <w:r w:rsidRPr="00981405">
        <w:t>the</w:t>
      </w:r>
      <w:r w:rsidR="00190923" w:rsidRPr="00981405">
        <w:t xml:space="preserve"> </w:t>
      </w:r>
      <w:r w:rsidRPr="00981405">
        <w:t>field</w:t>
      </w:r>
      <w:r w:rsidR="00190923" w:rsidRPr="00981405">
        <w:t xml:space="preserve"> </w:t>
      </w:r>
      <w:r w:rsidRPr="00981405">
        <w:t>of</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as</w:t>
      </w:r>
      <w:r w:rsidR="00190923" w:rsidRPr="00981405">
        <w:t xml:space="preserve"> </w:t>
      </w:r>
      <w:r w:rsidRPr="00981405">
        <w:t>well</w:t>
      </w:r>
      <w:r w:rsidR="00190923" w:rsidRPr="00981405">
        <w:t xml:space="preserve"> </w:t>
      </w:r>
      <w:r w:rsidRPr="00981405">
        <w:t>of</w:t>
      </w:r>
      <w:r w:rsidR="00190923" w:rsidRPr="00981405">
        <w:t xml:space="preserve"> </w:t>
      </w:r>
      <w:r w:rsidRPr="00981405">
        <w:t>the</w:t>
      </w:r>
      <w:r w:rsidR="00190923" w:rsidRPr="00981405">
        <w:t xml:space="preserve"> </w:t>
      </w:r>
      <w:r w:rsidRPr="00981405">
        <w:t>Council</w:t>
      </w:r>
      <w:r w:rsidR="00190923" w:rsidRPr="00981405">
        <w:t xml:space="preserve"> </w:t>
      </w:r>
      <w:r w:rsidRPr="00981405">
        <w:t>of</w:t>
      </w:r>
      <w:r w:rsidR="00190923" w:rsidRPr="00981405">
        <w:t xml:space="preserve"> </w:t>
      </w:r>
      <w:r w:rsidRPr="00981405">
        <w:t>Europe.</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followed.</w:t>
      </w:r>
    </w:p>
    <w:p w:rsidR="00397032" w:rsidRPr="00981405" w:rsidRDefault="00397032" w:rsidP="00D97463">
      <w:pPr>
        <w:pStyle w:val="SingleTxt"/>
      </w:pPr>
      <w:r w:rsidRPr="00981405">
        <w:t>315.</w:t>
      </w:r>
      <w:r w:rsidRPr="00981405">
        <w:tab/>
        <w:t>The</w:t>
      </w:r>
      <w:r w:rsidR="00190923" w:rsidRPr="00981405">
        <w:t xml:space="preserve"> </w:t>
      </w:r>
      <w:r w:rsidRPr="00981405">
        <w:t>African</w:t>
      </w:r>
      <w:r w:rsidR="00190923" w:rsidRPr="00981405">
        <w:t xml:space="preserve"> </w:t>
      </w:r>
      <w:r w:rsidRPr="00981405">
        <w:t>Union</w:t>
      </w:r>
      <w:r w:rsidR="00190923" w:rsidRPr="00981405">
        <w:t xml:space="preserve"> </w:t>
      </w:r>
      <w:r w:rsidRPr="00981405">
        <w:t>Commission</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(AUCIL)</w:t>
      </w:r>
      <w:r w:rsidR="00190923" w:rsidRPr="00981405">
        <w:t xml:space="preserve"> </w:t>
      </w:r>
      <w:r w:rsidRPr="00981405">
        <w:t>was</w:t>
      </w:r>
      <w:r w:rsidR="00190923" w:rsidRPr="00981405">
        <w:t xml:space="preserve"> </w:t>
      </w:r>
      <w:r w:rsidRPr="00981405">
        <w:t>represented</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by</w:t>
      </w:r>
      <w:r w:rsidR="00190923" w:rsidRPr="00981405">
        <w:t xml:space="preserve"> </w:t>
      </w:r>
      <w:r w:rsidRPr="00981405">
        <w:t>Justice</w:t>
      </w:r>
      <w:r w:rsidR="00190923" w:rsidRPr="00981405">
        <w:t xml:space="preserve"> </w:t>
      </w:r>
      <w:r w:rsidRPr="00981405">
        <w:t>Solo</w:t>
      </w:r>
      <w:r w:rsidR="00190923" w:rsidRPr="00981405">
        <w:t xml:space="preserve"> </w:t>
      </w:r>
      <w:r w:rsidRPr="00981405">
        <w:t>Kholisani</w:t>
      </w:r>
      <w:r w:rsidR="00190923" w:rsidRPr="00981405">
        <w:t xml:space="preserve"> </w:t>
      </w:r>
      <w:r w:rsidRPr="00981405">
        <w:t>and</w:t>
      </w:r>
      <w:r w:rsidR="00190923" w:rsidRPr="00981405">
        <w:t xml:space="preserve"> </w:t>
      </w:r>
      <w:r w:rsidRPr="00981405">
        <w:t>Mr.</w:t>
      </w:r>
      <w:r w:rsidR="00190923" w:rsidRPr="00981405">
        <w:t xml:space="preserve"> </w:t>
      </w:r>
      <w:r w:rsidRPr="00981405">
        <w:t>Ebenezer</w:t>
      </w:r>
      <w:r w:rsidR="00190923" w:rsidRPr="00981405">
        <w:t xml:space="preserve"> </w:t>
      </w:r>
      <w:r w:rsidRPr="00981405">
        <w:t>Appreku,</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African</w:t>
      </w:r>
      <w:r w:rsidR="00190923" w:rsidRPr="00981405">
        <w:t xml:space="preserve"> </w:t>
      </w:r>
      <w:r w:rsidRPr="00981405">
        <w:t>Union</w:t>
      </w:r>
      <w:r w:rsidR="00190923" w:rsidRPr="00981405">
        <w:t xml:space="preserve"> </w:t>
      </w:r>
      <w:r w:rsidRPr="00981405">
        <w:t>Commission</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B92E2C" w:rsidRPr="00981405">
        <w:t xml:space="preserve"> </w:t>
      </w:r>
      <w:r w:rsidRPr="00981405">
        <w:t>Mr.</w:t>
      </w:r>
      <w:r w:rsidR="00190923" w:rsidRPr="00981405">
        <w:t xml:space="preserve"> </w:t>
      </w:r>
      <w:r w:rsidRPr="00981405">
        <w:t>Mourad</w:t>
      </w:r>
      <w:r w:rsidR="00190923" w:rsidRPr="00981405">
        <w:t xml:space="preserve"> </w:t>
      </w:r>
      <w:r w:rsidRPr="00981405">
        <w:t>Ben-Dhiab,</w:t>
      </w:r>
      <w:r w:rsidR="00190923" w:rsidRPr="00981405">
        <w:t xml:space="preserve"> </w:t>
      </w:r>
      <w:r w:rsidRPr="00981405">
        <w:t>Secretary</w:t>
      </w:r>
      <w:r w:rsidR="00190923" w:rsidRPr="00981405">
        <w:t xml:space="preserve"> </w:t>
      </w:r>
      <w:r w:rsidRPr="00981405">
        <w:t>of</w:t>
      </w:r>
      <w:r w:rsidR="00190923" w:rsidRPr="00981405">
        <w:t xml:space="preserve"> </w:t>
      </w:r>
      <w:r w:rsidRPr="00981405">
        <w:t>the</w:t>
      </w:r>
      <w:r w:rsidR="00190923" w:rsidRPr="00981405">
        <w:t xml:space="preserve"> </w:t>
      </w:r>
      <w:r w:rsidRPr="00981405">
        <w:t>AUCIL.</w:t>
      </w:r>
      <w:r w:rsidR="00B92E2C" w:rsidRPr="00981405">
        <w:t xml:space="preserve"> </w:t>
      </w:r>
      <w:r w:rsidRPr="00981405">
        <w:t>Justice</w:t>
      </w:r>
      <w:r w:rsidR="00190923" w:rsidRPr="00981405">
        <w:t xml:space="preserve"> </w:t>
      </w:r>
      <w:r w:rsidRPr="00981405">
        <w:t>Solo</w:t>
      </w:r>
      <w:r w:rsidR="00190923" w:rsidRPr="00981405">
        <w:t xml:space="preserve"> </w:t>
      </w:r>
      <w:r w:rsidRPr="00981405">
        <w:t>Kholisani</w:t>
      </w:r>
      <w:r w:rsidR="00190923" w:rsidRPr="00981405">
        <w:t xml:space="preserve"> </w:t>
      </w:r>
      <w:r w:rsidRPr="00981405">
        <w:t>and</w:t>
      </w:r>
      <w:r w:rsidR="00190923" w:rsidRPr="00981405">
        <w:t xml:space="preserve"> </w:t>
      </w:r>
      <w:r w:rsidRPr="00981405">
        <w:t>Mr.</w:t>
      </w:r>
      <w:r w:rsidR="00190923" w:rsidRPr="00981405">
        <w:t xml:space="preserve"> </w:t>
      </w:r>
      <w:r w:rsidRPr="00981405">
        <w:t>Ebenezer</w:t>
      </w:r>
      <w:r w:rsidR="00190923" w:rsidRPr="00981405">
        <w:t xml:space="preserve"> </w:t>
      </w:r>
      <w:r w:rsidRPr="00981405">
        <w:t>Appreku</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the</w:t>
      </w:r>
      <w:r w:rsidR="00190923" w:rsidRPr="00981405">
        <w:t xml:space="preserve"> </w:t>
      </w:r>
      <w:r w:rsidRPr="00981405">
        <w:t>3276th</w:t>
      </w:r>
      <w:r w:rsidR="00190923" w:rsidRPr="00981405">
        <w:t xml:space="preserve"> </w:t>
      </w:r>
      <w:r w:rsidRPr="00981405">
        <w:t>meeting,</w:t>
      </w:r>
      <w:r w:rsidR="00190923" w:rsidRPr="00981405">
        <w:t xml:space="preserve"> </w:t>
      </w:r>
      <w:r w:rsidRPr="00981405">
        <w:t>on</w:t>
      </w:r>
      <w:r w:rsidR="00190923" w:rsidRPr="00981405">
        <w:t xml:space="preserve"> </w:t>
      </w:r>
      <w:r w:rsidRPr="00981405">
        <w:t>23</w:t>
      </w:r>
      <w:r w:rsidR="00190923" w:rsidRPr="00981405">
        <w:t xml:space="preserve"> </w:t>
      </w:r>
      <w:r w:rsidRPr="00981405">
        <w:t>July</w:t>
      </w:r>
      <w:r w:rsidR="00190923" w:rsidRPr="00981405">
        <w:t xml:space="preserve"> </w:t>
      </w:r>
      <w:r w:rsidRPr="00981405">
        <w:t>2015.</w:t>
      </w:r>
      <w:r w:rsidRPr="00981405">
        <w:rPr>
          <w:rStyle w:val="FootnoteReference"/>
        </w:rPr>
        <w:footnoteReference w:id="409"/>
      </w:r>
      <w:r w:rsidR="00190923" w:rsidRPr="00981405">
        <w:t xml:space="preserve"> </w:t>
      </w:r>
      <w:r w:rsidRPr="00981405">
        <w:t>They</w:t>
      </w:r>
      <w:r w:rsidR="00190923" w:rsidRPr="00981405">
        <w:t xml:space="preserve"> </w:t>
      </w:r>
      <w:r w:rsidRPr="00981405">
        <w:t>gave</w:t>
      </w:r>
      <w:r w:rsidR="00190923" w:rsidRPr="00981405">
        <w:t xml:space="preserve"> </w:t>
      </w:r>
      <w:r w:rsidRPr="00981405">
        <w:t>an</w:t>
      </w:r>
      <w:r w:rsidR="00190923" w:rsidRPr="00981405">
        <w:t xml:space="preserve"> </w:t>
      </w:r>
      <w:r w:rsidRPr="00981405">
        <w:t>overview</w:t>
      </w:r>
      <w:r w:rsidR="00190923" w:rsidRPr="00981405">
        <w:t xml:space="preserve"> </w:t>
      </w:r>
      <w:r w:rsidRPr="00981405">
        <w:t>of</w:t>
      </w:r>
      <w:r w:rsidR="00190923" w:rsidRPr="00981405">
        <w:t xml:space="preserve"> </w:t>
      </w:r>
      <w:r w:rsidRPr="00981405">
        <w:t>the</w:t>
      </w:r>
      <w:r w:rsidR="00190923" w:rsidRPr="00981405">
        <w:t xml:space="preserve"> </w:t>
      </w:r>
      <w:r w:rsidRPr="00981405">
        <w:t>activities</w:t>
      </w:r>
      <w:r w:rsidR="00190923" w:rsidRPr="00981405">
        <w:t xml:space="preserve"> </w:t>
      </w:r>
      <w:r w:rsidRPr="00981405">
        <w:t>of</w:t>
      </w:r>
      <w:r w:rsidR="00190923" w:rsidRPr="00981405">
        <w:t xml:space="preserve"> </w:t>
      </w:r>
      <w:r w:rsidRPr="00981405">
        <w:t>the</w:t>
      </w:r>
      <w:r w:rsidR="00190923" w:rsidRPr="00981405">
        <w:t xml:space="preserve"> </w:t>
      </w:r>
      <w:r w:rsidRPr="00981405">
        <w:t>African</w:t>
      </w:r>
      <w:r w:rsidR="00190923" w:rsidRPr="00981405">
        <w:t xml:space="preserve"> </w:t>
      </w:r>
      <w:r w:rsidRPr="00981405">
        <w:t>Union</w:t>
      </w:r>
      <w:r w:rsidR="00190923" w:rsidRPr="00981405">
        <w:t xml:space="preserve"> </w:t>
      </w:r>
      <w:r w:rsidRPr="00981405">
        <w:t>Commission</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followed.</w:t>
      </w:r>
    </w:p>
    <w:p w:rsidR="00397032" w:rsidRPr="00981405" w:rsidRDefault="00397032" w:rsidP="00D97463">
      <w:pPr>
        <w:pStyle w:val="SingleTxt"/>
      </w:pPr>
      <w:r w:rsidRPr="00981405">
        <w:t>316.</w:t>
      </w:r>
      <w:r w:rsidRPr="00981405">
        <w:tab/>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High</w:t>
      </w:r>
      <w:r w:rsidR="00190923" w:rsidRPr="00981405">
        <w:t xml:space="preserve"> </w:t>
      </w:r>
      <w:r w:rsidRPr="00981405">
        <w:t>Commissioner</w:t>
      </w:r>
      <w:r w:rsidR="00190923" w:rsidRPr="00981405">
        <w:t xml:space="preserve"> </w:t>
      </w:r>
      <w:r w:rsidRPr="00981405">
        <w:t>for</w:t>
      </w:r>
      <w:r w:rsidR="00190923" w:rsidRPr="00981405">
        <w:t xml:space="preserve"> </w:t>
      </w:r>
      <w:r w:rsidRPr="00981405">
        <w:t>Human</w:t>
      </w:r>
      <w:r w:rsidR="00190923" w:rsidRPr="00981405">
        <w:t xml:space="preserve"> </w:t>
      </w:r>
      <w:r w:rsidRPr="00981405">
        <w:t>Rights,</w:t>
      </w:r>
      <w:r w:rsidR="00190923" w:rsidRPr="00981405">
        <w:t xml:space="preserve"> </w:t>
      </w:r>
      <w:r w:rsidRPr="00981405">
        <w:t>Mr.</w:t>
      </w:r>
      <w:r w:rsidR="00190923" w:rsidRPr="00981405">
        <w:t xml:space="preserve"> </w:t>
      </w:r>
      <w:r w:rsidRPr="00981405">
        <w:t>Zeid</w:t>
      </w:r>
      <w:r w:rsidR="00190923" w:rsidRPr="00981405">
        <w:t xml:space="preserve"> </w:t>
      </w:r>
      <w:r w:rsidRPr="00981405">
        <w:t>Ra</w:t>
      </w:r>
      <w:r w:rsidR="00B92E2C" w:rsidRPr="00981405">
        <w:t>’</w:t>
      </w:r>
      <w:r w:rsidRPr="00981405">
        <w:t>ad</w:t>
      </w:r>
      <w:r w:rsidR="00190923" w:rsidRPr="00981405">
        <w:t xml:space="preserve"> </w:t>
      </w:r>
      <w:r w:rsidRPr="00981405">
        <w:t>Al</w:t>
      </w:r>
      <w:r w:rsidR="00190923" w:rsidRPr="00981405">
        <w:t xml:space="preserve"> </w:t>
      </w:r>
      <w:r w:rsidRPr="00981405">
        <w:t>Hussein</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the</w:t>
      </w:r>
      <w:r w:rsidR="00190923" w:rsidRPr="00981405">
        <w:t xml:space="preserve"> </w:t>
      </w:r>
      <w:r w:rsidRPr="00981405">
        <w:t>3272nd</w:t>
      </w:r>
      <w:r w:rsidR="00190923" w:rsidRPr="00981405">
        <w:t xml:space="preserve"> </w:t>
      </w:r>
      <w:r w:rsidRPr="00981405">
        <w:t>meeting,</w:t>
      </w:r>
      <w:r w:rsidR="00190923" w:rsidRPr="00981405">
        <w:t xml:space="preserve"> </w:t>
      </w:r>
      <w:r w:rsidRPr="00981405">
        <w:t>on</w:t>
      </w:r>
      <w:r w:rsidR="00190923" w:rsidRPr="00981405">
        <w:t xml:space="preserve"> </w:t>
      </w:r>
      <w:r w:rsidRPr="00981405">
        <w:t>21</w:t>
      </w:r>
      <w:r w:rsidR="00190923" w:rsidRPr="00981405">
        <w:t xml:space="preserve"> </w:t>
      </w:r>
      <w:r w:rsidRPr="00981405">
        <w:t>July</w:t>
      </w:r>
      <w:r w:rsidR="00190923" w:rsidRPr="00981405">
        <w:t xml:space="preserve"> </w:t>
      </w:r>
      <w:r w:rsidRPr="00981405">
        <w:t>2015.</w:t>
      </w:r>
      <w:r w:rsidRPr="00981405">
        <w:rPr>
          <w:rStyle w:val="FootnoteReference"/>
        </w:rPr>
        <w:footnoteReference w:id="410"/>
      </w:r>
      <w:r w:rsidR="00190923" w:rsidRPr="00981405">
        <w:t xml:space="preserve"> </w:t>
      </w:r>
      <w:r w:rsidRPr="00981405">
        <w:t>He</w:t>
      </w:r>
      <w:r w:rsidR="00190923" w:rsidRPr="00981405">
        <w:t xml:space="preserve"> </w:t>
      </w:r>
      <w:r w:rsidRPr="00981405">
        <w:t>gave</w:t>
      </w:r>
      <w:r w:rsidR="00190923" w:rsidRPr="00981405">
        <w:t xml:space="preserve"> </w:t>
      </w:r>
      <w:r w:rsidRPr="00981405">
        <w:t>an</w:t>
      </w:r>
      <w:r w:rsidR="00190923" w:rsidRPr="00981405">
        <w:t xml:space="preserve"> </w:t>
      </w:r>
      <w:r w:rsidRPr="00981405">
        <w:t>overview</w:t>
      </w:r>
      <w:r w:rsidR="00190923" w:rsidRPr="00981405">
        <w:t xml:space="preserve"> </w:t>
      </w:r>
      <w:r w:rsidRPr="00981405">
        <w:t>of</w:t>
      </w:r>
      <w:r w:rsidR="00190923" w:rsidRPr="00981405">
        <w:t xml:space="preserve"> </w:t>
      </w:r>
      <w:r w:rsidRPr="00981405">
        <w:t>the</w:t>
      </w:r>
      <w:r w:rsidR="00190923" w:rsidRPr="00981405">
        <w:t xml:space="preserve"> </w:t>
      </w:r>
      <w:r w:rsidRPr="00981405">
        <w:t>activities</w:t>
      </w:r>
      <w:r w:rsidR="00190923" w:rsidRPr="00981405">
        <w:t xml:space="preserve"> </w:t>
      </w:r>
      <w:r w:rsidRPr="00981405">
        <w:t>of</w:t>
      </w:r>
      <w:r w:rsidR="00190923" w:rsidRPr="00981405">
        <w:t xml:space="preserve"> </w:t>
      </w:r>
      <w:r w:rsidRPr="00981405">
        <w:t>his</w:t>
      </w:r>
      <w:r w:rsidR="00190923" w:rsidRPr="00981405">
        <w:t xml:space="preserve"> </w:t>
      </w:r>
      <w:r w:rsidRPr="00981405">
        <w:t>Office</w:t>
      </w:r>
      <w:r w:rsidR="00190923" w:rsidRPr="00981405">
        <w:t xml:space="preserve"> </w:t>
      </w:r>
      <w:r w:rsidRPr="00981405">
        <w:t>and</w:t>
      </w:r>
      <w:r w:rsidR="00190923" w:rsidRPr="00981405">
        <w:t xml:space="preserve"> </w:t>
      </w:r>
      <w:r w:rsidRPr="00981405">
        <w:t>some</w:t>
      </w:r>
      <w:r w:rsidR="00190923" w:rsidRPr="00981405">
        <w:t xml:space="preserve"> </w:t>
      </w:r>
      <w:r w:rsidRPr="00981405">
        <w:t>of</w:t>
      </w:r>
      <w:r w:rsidR="00190923" w:rsidRPr="00981405">
        <w:t xml:space="preserve"> </w:t>
      </w:r>
      <w:r w:rsidRPr="00981405">
        <w:t>its</w:t>
      </w:r>
      <w:r w:rsidR="00190923" w:rsidRPr="00981405">
        <w:t xml:space="preserve"> </w:t>
      </w:r>
      <w:r w:rsidRPr="00981405">
        <w:t>concerns</w:t>
      </w:r>
      <w:r w:rsidR="00190923" w:rsidRPr="00981405">
        <w:t xml:space="preserve"> </w:t>
      </w:r>
      <w:r w:rsidRPr="00981405">
        <w:t>in</w:t>
      </w:r>
      <w:r w:rsidR="00190923" w:rsidRPr="00981405">
        <w:t xml:space="preserve"> </w:t>
      </w:r>
      <w:r w:rsidRPr="00981405">
        <w:t>the</w:t>
      </w:r>
      <w:r w:rsidR="00190923" w:rsidRPr="00981405">
        <w:t xml:space="preserve"> </w:t>
      </w:r>
      <w:r w:rsidRPr="00981405">
        <w:t>area</w:t>
      </w:r>
      <w:r w:rsidR="00190923" w:rsidRPr="00981405">
        <w:t xml:space="preserve"> </w:t>
      </w:r>
      <w:r w:rsidRPr="00981405">
        <w:t>of</w:t>
      </w:r>
      <w:r w:rsidR="00190923" w:rsidRPr="00981405">
        <w:t xml:space="preserve"> </w:t>
      </w:r>
      <w:r w:rsidRPr="00981405">
        <w:t>human</w:t>
      </w:r>
      <w:r w:rsidR="00190923" w:rsidRPr="00981405">
        <w:t xml:space="preserve"> </w:t>
      </w:r>
      <w:r w:rsidRPr="00981405">
        <w:t>rights</w:t>
      </w:r>
      <w:r w:rsidR="00190923" w:rsidRPr="00981405">
        <w:t xml:space="preserve"> </w:t>
      </w:r>
      <w:r w:rsidRPr="00981405">
        <w:t>and</w:t>
      </w:r>
      <w:r w:rsidR="00190923" w:rsidRPr="00981405">
        <w:t xml:space="preserve"> </w:t>
      </w:r>
      <w:r w:rsidRPr="00981405">
        <w:t>commented</w:t>
      </w:r>
      <w:r w:rsidR="00190923" w:rsidRPr="00981405">
        <w:t xml:space="preserve"> </w:t>
      </w:r>
      <w:r w:rsidRPr="00981405">
        <w:t>on</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topics</w:t>
      </w:r>
      <w:r w:rsidR="00190923" w:rsidRPr="00981405">
        <w:t xml:space="preserve"> </w:t>
      </w:r>
      <w:r w:rsidRPr="00981405">
        <w:t>on</w:t>
      </w:r>
      <w:r w:rsidR="00190923" w:rsidRPr="00981405">
        <w:t xml:space="preserve"> </w:t>
      </w:r>
      <w:r w:rsidRPr="00981405">
        <w:t>the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namely</w:t>
      </w:r>
      <w:r w:rsidR="00B92E2C" w:rsidRPr="00981405">
        <w:t xml:space="preserve"> “</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Pr="00981405">
        <w:t>;</w:t>
      </w:r>
      <w:r w:rsidR="00190923" w:rsidRPr="00981405">
        <w:t xml:space="preserve"> </w:t>
      </w:r>
      <w:r w:rsidRPr="00981405">
        <w:t>and</w:t>
      </w:r>
      <w:r w:rsidR="00190923" w:rsidRPr="00981405">
        <w:t xml:space="preserve"> </w:t>
      </w:r>
      <w:r w:rsidR="00B92E2C" w:rsidRPr="00981405">
        <w:t>“</w:t>
      </w:r>
      <w:r w:rsidRPr="00981405">
        <w:t>Immunity</w:t>
      </w:r>
      <w:r w:rsidR="00190923" w:rsidRPr="00981405">
        <w:t xml:space="preserve"> </w:t>
      </w:r>
      <w:r w:rsidRPr="00981405">
        <w:t>of</w:t>
      </w:r>
      <w:r w:rsidR="00190923" w:rsidRPr="00981405">
        <w:t xml:space="preserve"> </w:t>
      </w:r>
      <w:r w:rsidRPr="00981405">
        <w:t>State</w:t>
      </w:r>
      <w:r w:rsidR="00190923" w:rsidRPr="00981405">
        <w:t xml:space="preserve"> </w:t>
      </w:r>
      <w:r w:rsidRPr="00981405">
        <w:t>officials</w:t>
      </w:r>
      <w:r w:rsidR="00190923" w:rsidRPr="00981405">
        <w:t xml:space="preserve"> </w:t>
      </w:r>
      <w:r w:rsidRPr="00981405">
        <w:t>from</w:t>
      </w:r>
      <w:r w:rsidR="00190923" w:rsidRPr="00981405">
        <w:t xml:space="preserve"> </w:t>
      </w:r>
      <w:r w:rsidRPr="00981405">
        <w:t>foreign</w:t>
      </w:r>
      <w:r w:rsidR="00190923" w:rsidRPr="00981405">
        <w:t xml:space="preserve"> </w:t>
      </w:r>
      <w:r w:rsidRPr="00981405">
        <w:t>criminal</w:t>
      </w:r>
      <w:r w:rsidR="00190923" w:rsidRPr="00981405">
        <w:t xml:space="preserve"> </w:t>
      </w:r>
      <w:r w:rsidRPr="00981405">
        <w:t>jurisdiction</w:t>
      </w:r>
      <w:r w:rsidR="00B92E2C" w:rsidRPr="00981405">
        <w:t>”</w:t>
      </w:r>
      <w:r w:rsidRPr="00981405">
        <w:t>.</w:t>
      </w:r>
      <w:r w:rsidR="00190923" w:rsidRPr="00981405">
        <w:t xml:space="preserve"> </w:t>
      </w:r>
      <w:r w:rsidRPr="00981405">
        <w:t>An</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followed.</w:t>
      </w:r>
    </w:p>
    <w:p w:rsidR="00397032" w:rsidRPr="00981405" w:rsidRDefault="00397032" w:rsidP="00D97463">
      <w:pPr>
        <w:pStyle w:val="SingleTxt"/>
      </w:pPr>
      <w:r w:rsidRPr="00981405">
        <w:t>317.</w:t>
      </w:r>
      <w:r w:rsidR="0054347D" w:rsidRPr="00981405">
        <w:tab/>
      </w:r>
      <w:r w:rsidRPr="00981405">
        <w:t>On</w:t>
      </w:r>
      <w:r w:rsidR="00190923" w:rsidRPr="00981405">
        <w:t xml:space="preserve"> </w:t>
      </w:r>
      <w:r w:rsidRPr="00981405">
        <w:t>9</w:t>
      </w:r>
      <w:r w:rsidR="00190923" w:rsidRPr="00981405">
        <w:t xml:space="preserve"> </w:t>
      </w:r>
      <w:r w:rsidRPr="00981405">
        <w:t>July</w:t>
      </w:r>
      <w:r w:rsidR="00190923" w:rsidRPr="00981405">
        <w:t xml:space="preserve"> </w:t>
      </w:r>
      <w:r w:rsidRPr="00981405">
        <w:t>2015,</w:t>
      </w:r>
      <w:r w:rsidR="00190923" w:rsidRPr="00981405">
        <w:t xml:space="preserve"> </w:t>
      </w:r>
      <w:r w:rsidRPr="00981405">
        <w:t>an</w:t>
      </w:r>
      <w:r w:rsidR="00190923" w:rsidRPr="00981405">
        <w:t xml:space="preserve"> </w:t>
      </w:r>
      <w:r w:rsidRPr="00981405">
        <w:t>informal</w:t>
      </w:r>
      <w:r w:rsidR="00190923" w:rsidRPr="00981405">
        <w:t xml:space="preserve"> </w:t>
      </w:r>
      <w:r w:rsidRPr="00981405">
        <w:t>exchange</w:t>
      </w:r>
      <w:r w:rsidR="00190923" w:rsidRPr="00981405">
        <w:t xml:space="preserve"> </w:t>
      </w:r>
      <w:r w:rsidRPr="00981405">
        <w:t>of</w:t>
      </w:r>
      <w:r w:rsidR="00190923" w:rsidRPr="00981405">
        <w:t xml:space="preserve"> </w:t>
      </w:r>
      <w:r w:rsidRPr="00981405">
        <w:t>views</w:t>
      </w:r>
      <w:r w:rsidR="00190923" w:rsidRPr="00981405">
        <w:t xml:space="preserve"> </w:t>
      </w:r>
      <w:r w:rsidRPr="00981405">
        <w:t>was</w:t>
      </w:r>
      <w:r w:rsidR="00190923" w:rsidRPr="00981405">
        <w:t xml:space="preserve"> </w:t>
      </w:r>
      <w:r w:rsidRPr="00981405">
        <w:t>held</w:t>
      </w:r>
      <w:r w:rsidR="00190923" w:rsidRPr="00981405">
        <w:t xml:space="preserve"> </w:t>
      </w:r>
      <w:r w:rsidRPr="00981405">
        <w:t>between</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Committee</w:t>
      </w:r>
      <w:r w:rsidR="00190923" w:rsidRPr="00981405">
        <w:t xml:space="preserve"> </w:t>
      </w:r>
      <w:r w:rsidRPr="00981405">
        <w:t>of</w:t>
      </w:r>
      <w:r w:rsidR="00190923" w:rsidRPr="00981405">
        <w:t xml:space="preserve"> </w:t>
      </w:r>
      <w:r w:rsidRPr="00981405">
        <w:t>the</w:t>
      </w:r>
      <w:r w:rsidR="00190923" w:rsidRPr="00981405">
        <w:t xml:space="preserve"> </w:t>
      </w:r>
      <w:r w:rsidRPr="00981405">
        <w:t>Red</w:t>
      </w:r>
      <w:r w:rsidR="00190923" w:rsidRPr="00981405">
        <w:t xml:space="preserve"> </w:t>
      </w:r>
      <w:r w:rsidRPr="00981405">
        <w:t>Cross</w:t>
      </w:r>
      <w:r w:rsidR="00190923" w:rsidRPr="00981405">
        <w:t xml:space="preserve"> </w:t>
      </w:r>
      <w:r w:rsidRPr="00981405">
        <w:t>(ICRC)</w:t>
      </w:r>
      <w:r w:rsidR="00190923" w:rsidRPr="00981405">
        <w:t xml:space="preserve"> </w:t>
      </w:r>
      <w:r w:rsidRPr="00981405">
        <w:t>on</w:t>
      </w:r>
      <w:r w:rsidR="00190923" w:rsidRPr="00981405">
        <w:t xml:space="preserve"> </w:t>
      </w:r>
      <w:r w:rsidRPr="00981405">
        <w:t>topics</w:t>
      </w:r>
      <w:r w:rsidR="00190923" w:rsidRPr="00981405">
        <w:t xml:space="preserve"> </w:t>
      </w:r>
      <w:r w:rsidRPr="00981405">
        <w:t>of</w:t>
      </w:r>
      <w:r w:rsidR="00190923" w:rsidRPr="00981405">
        <w:t xml:space="preserve"> </w:t>
      </w:r>
      <w:r w:rsidRPr="00981405">
        <w:t>mutual</w:t>
      </w:r>
      <w:r w:rsidR="00190923" w:rsidRPr="00981405">
        <w:t xml:space="preserve"> </w:t>
      </w:r>
      <w:r w:rsidRPr="00981405">
        <w:t>interest.</w:t>
      </w:r>
      <w:r w:rsidR="00190923" w:rsidRPr="00981405">
        <w:t xml:space="preserve"> </w:t>
      </w:r>
      <w:r w:rsidRPr="00981405">
        <w:t>Presentations</w:t>
      </w:r>
      <w:r w:rsidR="00190923" w:rsidRPr="00981405">
        <w:t xml:space="preserve"> </w:t>
      </w:r>
      <w:r w:rsidRPr="00981405">
        <w:t>were</w:t>
      </w:r>
      <w:r w:rsidR="00190923" w:rsidRPr="00981405">
        <w:t xml:space="preserve"> </w:t>
      </w:r>
      <w:r w:rsidRPr="00981405">
        <w:t>given</w:t>
      </w:r>
      <w:r w:rsidR="00190923" w:rsidRPr="00981405">
        <w:t xml:space="preserve"> </w:t>
      </w:r>
      <w:r w:rsidRPr="00981405">
        <w:t>on</w:t>
      </w:r>
      <w:r w:rsidR="00190923" w:rsidRPr="00981405">
        <w:t xml:space="preserve"> </w:t>
      </w:r>
      <w:r w:rsidRPr="00981405">
        <w:t>the</w:t>
      </w:r>
      <w:r w:rsidR="00B92E2C" w:rsidRPr="00981405">
        <w:t xml:space="preserve"> </w:t>
      </w:r>
      <w:r w:rsidRPr="00981405">
        <w:t>preparations</w:t>
      </w:r>
      <w:r w:rsidR="00190923" w:rsidRPr="00981405">
        <w:t xml:space="preserve"> </w:t>
      </w:r>
      <w:r w:rsidRPr="00981405">
        <w:t>for</w:t>
      </w:r>
      <w:r w:rsidR="00190923" w:rsidRPr="00981405">
        <w:t xml:space="preserve"> </w:t>
      </w:r>
      <w:r w:rsidRPr="00981405">
        <w:t>the</w:t>
      </w:r>
      <w:r w:rsidR="00190923" w:rsidRPr="00981405">
        <w:t xml:space="preserve"> </w:t>
      </w:r>
      <w:r w:rsidRPr="00981405">
        <w:t>32nd</w:t>
      </w:r>
      <w:r w:rsidR="00190923" w:rsidRPr="00981405">
        <w:t xml:space="preserve"> </w:t>
      </w:r>
      <w:r w:rsidRPr="00981405">
        <w:t>International</w:t>
      </w:r>
      <w:r w:rsidR="00190923" w:rsidRPr="00981405">
        <w:t xml:space="preserve"> </w:t>
      </w:r>
      <w:r w:rsidRPr="00981405">
        <w:t>Conference</w:t>
      </w:r>
      <w:r w:rsidR="00190923" w:rsidRPr="00981405">
        <w:t xml:space="preserve"> </w:t>
      </w:r>
      <w:r w:rsidRPr="00981405">
        <w:t>of</w:t>
      </w:r>
      <w:r w:rsidR="00190923" w:rsidRPr="00981405">
        <w:t xml:space="preserve"> </w:t>
      </w:r>
      <w:r w:rsidRPr="00981405">
        <w:t>the</w:t>
      </w:r>
      <w:r w:rsidR="00190923" w:rsidRPr="00981405">
        <w:t xml:space="preserve"> </w:t>
      </w:r>
      <w:r w:rsidRPr="00981405">
        <w:t>Red</w:t>
      </w:r>
      <w:r w:rsidR="00190923" w:rsidRPr="00981405">
        <w:t xml:space="preserve"> </w:t>
      </w:r>
      <w:r w:rsidRPr="00981405">
        <w:t>Cross</w:t>
      </w:r>
      <w:r w:rsidR="00190923" w:rsidRPr="00981405">
        <w:t xml:space="preserve"> </w:t>
      </w:r>
      <w:r w:rsidRPr="00981405">
        <w:t>and</w:t>
      </w:r>
      <w:r w:rsidR="00190923" w:rsidRPr="00981405">
        <w:t xml:space="preserve"> </w:t>
      </w:r>
      <w:r w:rsidRPr="00981405">
        <w:t>Red</w:t>
      </w:r>
      <w:r w:rsidR="00190923" w:rsidRPr="00981405">
        <w:t xml:space="preserve"> </w:t>
      </w:r>
      <w:r w:rsidRPr="00981405">
        <w:t>Crescent</w:t>
      </w:r>
      <w:r w:rsidR="00190923" w:rsidRPr="00981405">
        <w:t xml:space="preserve"> </w:t>
      </w:r>
      <w:r w:rsidRPr="00981405">
        <w:t>Movement,</w:t>
      </w:r>
      <w:r w:rsidR="00190923" w:rsidRPr="00981405">
        <w:t xml:space="preserve"> </w:t>
      </w:r>
      <w:r w:rsidRPr="00981405">
        <w:t>and</w:t>
      </w:r>
      <w:r w:rsidR="00190923" w:rsidRPr="00981405">
        <w:t xml:space="preserve"> </w:t>
      </w:r>
      <w:r w:rsidRPr="00981405">
        <w:t>updating</w:t>
      </w:r>
      <w:r w:rsidR="00190923" w:rsidRPr="00981405">
        <w:t xml:space="preserve"> </w:t>
      </w:r>
      <w:r w:rsidRPr="00981405">
        <w:t>of</w:t>
      </w:r>
      <w:r w:rsidR="00190923" w:rsidRPr="00981405">
        <w:t xml:space="preserve"> </w:t>
      </w:r>
      <w:r w:rsidRPr="00981405">
        <w:t>the</w:t>
      </w:r>
      <w:r w:rsidR="00190923" w:rsidRPr="00981405">
        <w:t xml:space="preserve"> </w:t>
      </w:r>
      <w:r w:rsidRPr="00981405">
        <w:t>ICRC</w:t>
      </w:r>
      <w:r w:rsidR="00190923" w:rsidRPr="00981405">
        <w:t xml:space="preserve"> </w:t>
      </w:r>
      <w:r w:rsidRPr="00981405">
        <w:t>Commentaries</w:t>
      </w:r>
      <w:r w:rsidR="00190923" w:rsidRPr="00981405">
        <w:t xml:space="preserve"> </w:t>
      </w:r>
      <w:r w:rsidRPr="00981405">
        <w:t>on</w:t>
      </w:r>
      <w:r w:rsidR="00190923" w:rsidRPr="00981405">
        <w:t xml:space="preserve"> </w:t>
      </w:r>
      <w:r w:rsidRPr="00981405">
        <w:t>the</w:t>
      </w:r>
      <w:r w:rsidR="00190923" w:rsidRPr="00981405">
        <w:t xml:space="preserve"> </w:t>
      </w:r>
      <w:r w:rsidRPr="00981405">
        <w:t>Geneva</w:t>
      </w:r>
      <w:r w:rsidR="00190923" w:rsidRPr="00981405">
        <w:t xml:space="preserve"> </w:t>
      </w:r>
      <w:r w:rsidRPr="00981405">
        <w:t>Conventions</w:t>
      </w:r>
      <w:r w:rsidR="00190923" w:rsidRPr="00981405">
        <w:t xml:space="preserve"> </w:t>
      </w:r>
      <w:r w:rsidRPr="00981405">
        <w:t>and</w:t>
      </w:r>
      <w:r w:rsidR="00190923" w:rsidRPr="00981405">
        <w:t xml:space="preserve"> </w:t>
      </w:r>
      <w:r w:rsidRPr="00981405">
        <w:t>Additional</w:t>
      </w:r>
      <w:r w:rsidR="00190923" w:rsidRPr="00981405">
        <w:t xml:space="preserve"> </w:t>
      </w:r>
      <w:r w:rsidRPr="00981405">
        <w:t>Protocols.</w:t>
      </w:r>
      <w:r w:rsidR="00190923" w:rsidRPr="00981405">
        <w:t xml:space="preserve"> </w:t>
      </w:r>
      <w:r w:rsidRPr="00981405">
        <w:t>Presentations</w:t>
      </w:r>
      <w:r w:rsidR="00190923" w:rsidRPr="00981405">
        <w:t xml:space="preserve"> </w:t>
      </w:r>
      <w:r w:rsidRPr="00981405">
        <w:t>were</w:t>
      </w:r>
      <w:r w:rsidR="00190923" w:rsidRPr="00981405">
        <w:t xml:space="preserve"> </w:t>
      </w:r>
      <w:r w:rsidRPr="00981405">
        <w:t>also</w:t>
      </w:r>
      <w:r w:rsidR="00190923" w:rsidRPr="00981405">
        <w:t xml:space="preserve"> </w:t>
      </w:r>
      <w:r w:rsidRPr="00981405">
        <w:t>made</w:t>
      </w:r>
      <w:r w:rsidR="00190923" w:rsidRPr="00981405">
        <w:t xml:space="preserve"> </w:t>
      </w:r>
      <w:r w:rsidRPr="00981405">
        <w:t>on</w:t>
      </w:r>
      <w:r w:rsidR="00190923" w:rsidRPr="00981405">
        <w:t xml:space="preserve"> </w:t>
      </w:r>
      <w:r w:rsidRPr="00981405">
        <w:t>topics</w:t>
      </w:r>
      <w:r w:rsidR="00190923" w:rsidRPr="00981405">
        <w:t xml:space="preserve"> </w:t>
      </w:r>
      <w:r w:rsidRPr="00981405">
        <w:t>on</w:t>
      </w:r>
      <w:r w:rsidR="00190923" w:rsidRPr="00981405">
        <w:t xml:space="preserve"> </w:t>
      </w:r>
      <w:r w:rsidRPr="00981405">
        <w:t>the</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including</w:t>
      </w:r>
      <w:r w:rsidR="00190923" w:rsidRPr="00981405">
        <w:t xml:space="preserve"> </w:t>
      </w:r>
      <w:r w:rsidRPr="00981405">
        <w:t>the</w:t>
      </w:r>
      <w:r w:rsidR="00190923" w:rsidRPr="00981405">
        <w:t xml:space="preserve"> </w:t>
      </w:r>
      <w:r w:rsidR="00B92E2C" w:rsidRPr="00981405">
        <w:t>“</w:t>
      </w:r>
      <w:r w:rsidRPr="00981405">
        <w:t>Subsequent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treaties</w:t>
      </w:r>
      <w:r w:rsidR="00B92E2C" w:rsidRPr="00981405">
        <w:t>”</w:t>
      </w:r>
      <w:r w:rsidR="00190923" w:rsidRPr="00981405">
        <w:t xml:space="preserve"> </w:t>
      </w:r>
      <w:r w:rsidRPr="00981405">
        <w:t>and</w:t>
      </w:r>
      <w:r w:rsidR="00190923" w:rsidRPr="00981405">
        <w:t xml:space="preserve"> </w:t>
      </w:r>
      <w:r w:rsidR="00B92E2C" w:rsidRPr="00981405">
        <w:t>“</w:t>
      </w:r>
      <w:r w:rsidRPr="00981405">
        <w:t>Crimes</w:t>
      </w:r>
      <w:r w:rsidR="00190923" w:rsidRPr="00981405">
        <w:t xml:space="preserve"> </w:t>
      </w:r>
      <w:r w:rsidRPr="00981405">
        <w:t>against</w:t>
      </w:r>
      <w:r w:rsidR="00190923" w:rsidRPr="00981405">
        <w:t xml:space="preserve"> </w:t>
      </w:r>
      <w:r w:rsidRPr="00981405">
        <w:t>humanity</w:t>
      </w:r>
      <w:r w:rsidR="00B92E2C" w:rsidRPr="00981405">
        <w:t>”</w:t>
      </w:r>
      <w:r w:rsidRPr="00981405">
        <w:t>.</w:t>
      </w:r>
      <w:r w:rsidRPr="00981405">
        <w:rPr>
          <w:rStyle w:val="FootnoteReference"/>
        </w:rPr>
        <w:footnoteReference w:id="411"/>
      </w:r>
      <w:r w:rsidR="00190923" w:rsidRPr="00981405">
        <w:t xml:space="preserve"> </w:t>
      </w:r>
    </w:p>
    <w:p w:rsidR="0054347D" w:rsidRPr="00D97463" w:rsidRDefault="0054347D"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D97463" w:rsidRDefault="0054347D" w:rsidP="00D97463">
      <w:pPr>
        <w:pStyle w:val="H1"/>
        <w:ind w:right="1260"/>
      </w:pPr>
      <w:r w:rsidRPr="00D97463">
        <w:tab/>
      </w:r>
      <w:r w:rsidR="00397032" w:rsidRPr="00D97463">
        <w:t>E.</w:t>
      </w:r>
      <w:r w:rsidRPr="00D97463">
        <w:tab/>
      </w:r>
      <w:r w:rsidR="00397032" w:rsidRPr="00D97463">
        <w:t>Representation</w:t>
      </w:r>
      <w:r w:rsidR="00190923" w:rsidRPr="00D97463">
        <w:t xml:space="preserve"> </w:t>
      </w:r>
      <w:r w:rsidR="00397032" w:rsidRPr="00D97463">
        <w:t>at</w:t>
      </w:r>
      <w:r w:rsidR="00190923" w:rsidRPr="00D97463">
        <w:t xml:space="preserve"> </w:t>
      </w:r>
      <w:r w:rsidR="00397032" w:rsidRPr="00D97463">
        <w:t>the</w:t>
      </w:r>
      <w:r w:rsidR="00190923" w:rsidRPr="00D97463">
        <w:t xml:space="preserve"> </w:t>
      </w:r>
      <w:r w:rsidR="00397032" w:rsidRPr="00D97463">
        <w:t>seventieth</w:t>
      </w:r>
      <w:r w:rsidR="00190923" w:rsidRPr="00D97463">
        <w:t xml:space="preserve"> </w:t>
      </w:r>
      <w:r w:rsidR="00397032" w:rsidRPr="00D97463">
        <w:t>session</w:t>
      </w:r>
      <w:r w:rsidR="00190923" w:rsidRPr="00D97463">
        <w:t xml:space="preserve"> </w:t>
      </w:r>
      <w:r w:rsidR="00397032" w:rsidRPr="00D97463">
        <w:t>of</w:t>
      </w:r>
      <w:r w:rsidR="00190923" w:rsidRPr="00D97463">
        <w:t xml:space="preserve"> </w:t>
      </w:r>
      <w:r w:rsidR="00397032" w:rsidRPr="00D97463">
        <w:t>the</w:t>
      </w:r>
      <w:r w:rsidR="00190923" w:rsidRPr="00D97463">
        <w:t xml:space="preserve"> </w:t>
      </w:r>
      <w:r w:rsidR="00397032" w:rsidRPr="00D97463">
        <w:t>General</w:t>
      </w:r>
      <w:r w:rsidR="00190923" w:rsidRPr="00D97463">
        <w:t xml:space="preserve"> </w:t>
      </w:r>
      <w:r w:rsidR="00397032" w:rsidRPr="00D97463">
        <w:t>Assembly</w:t>
      </w:r>
    </w:p>
    <w:p w:rsidR="0054347D" w:rsidRPr="00D97463" w:rsidRDefault="0054347D"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981405" w:rsidRDefault="00397032" w:rsidP="00D97463">
      <w:pPr>
        <w:pStyle w:val="SingleTxt"/>
      </w:pPr>
      <w:r w:rsidRPr="00981405">
        <w:t>318.</w:t>
      </w:r>
      <w:r w:rsidR="00A00224">
        <w:tab/>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that</w:t>
      </w:r>
      <w:r w:rsidR="00190923" w:rsidRPr="00981405">
        <w:t xml:space="preserve"> </w:t>
      </w:r>
      <w:r w:rsidRPr="00981405">
        <w:t>it</w:t>
      </w:r>
      <w:r w:rsidR="00190923" w:rsidRPr="00981405">
        <w:t xml:space="preserve"> </w:t>
      </w:r>
      <w:r w:rsidRPr="00981405">
        <w:t>should</w:t>
      </w:r>
      <w:r w:rsidR="00190923" w:rsidRPr="00981405">
        <w:t xml:space="preserve"> </w:t>
      </w:r>
      <w:r w:rsidRPr="00981405">
        <w:t>be</w:t>
      </w:r>
      <w:r w:rsidR="00190923" w:rsidRPr="00981405">
        <w:t xml:space="preserve"> </w:t>
      </w:r>
      <w:r w:rsidRPr="00981405">
        <w:t>represented</w:t>
      </w:r>
      <w:r w:rsidR="00190923" w:rsidRPr="00981405">
        <w:t xml:space="preserve"> </w:t>
      </w:r>
      <w:r w:rsidRPr="00981405">
        <w:t>at</w:t>
      </w:r>
      <w:r w:rsidR="00190923" w:rsidRPr="00981405">
        <w:t xml:space="preserve"> </w:t>
      </w:r>
      <w:r w:rsidRPr="00981405">
        <w:t>the</w:t>
      </w:r>
      <w:r w:rsidR="00190923" w:rsidRPr="00981405">
        <w:t xml:space="preserve"> </w:t>
      </w:r>
      <w:r w:rsidRPr="00981405">
        <w:t>seventieth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by</w:t>
      </w:r>
      <w:r w:rsidR="00190923" w:rsidRPr="00981405">
        <w:t xml:space="preserve"> </w:t>
      </w:r>
      <w:r w:rsidRPr="00981405">
        <w:t>its</w:t>
      </w:r>
      <w:r w:rsidR="00190923" w:rsidRPr="00981405">
        <w:t xml:space="preserve"> </w:t>
      </w:r>
      <w:r w:rsidRPr="00981405">
        <w:t>Chairman,</w:t>
      </w:r>
      <w:r w:rsidR="00190923" w:rsidRPr="00981405">
        <w:t xml:space="preserve"> </w:t>
      </w:r>
      <w:r w:rsidRPr="00981405">
        <w:t>Mr.</w:t>
      </w:r>
      <w:r w:rsidR="00190923" w:rsidRPr="00981405">
        <w:t xml:space="preserve"> </w:t>
      </w:r>
      <w:r w:rsidRPr="00981405">
        <w:t>Narinder</w:t>
      </w:r>
      <w:r w:rsidR="00190923" w:rsidRPr="00981405">
        <w:t xml:space="preserve"> </w:t>
      </w:r>
      <w:r w:rsidRPr="00981405">
        <w:t>Singh.</w:t>
      </w:r>
    </w:p>
    <w:p w:rsidR="00397032" w:rsidRPr="00D97463" w:rsidRDefault="00397032"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D97463" w:rsidRDefault="0054347D" w:rsidP="00D97463">
      <w:pPr>
        <w:pStyle w:val="H1"/>
        <w:ind w:right="1260"/>
      </w:pPr>
      <w:r w:rsidRPr="00D97463">
        <w:tab/>
      </w:r>
      <w:r w:rsidR="00397032" w:rsidRPr="00D97463">
        <w:t>F.</w:t>
      </w:r>
      <w:r w:rsidRPr="00D97463">
        <w:tab/>
      </w:r>
      <w:r w:rsidR="00397032" w:rsidRPr="00D97463">
        <w:t>International</w:t>
      </w:r>
      <w:r w:rsidR="00190923" w:rsidRPr="00D97463">
        <w:t xml:space="preserve"> </w:t>
      </w:r>
      <w:r w:rsidR="00397032" w:rsidRPr="00D97463">
        <w:t>Law</w:t>
      </w:r>
      <w:r w:rsidR="00190923" w:rsidRPr="00D97463">
        <w:t xml:space="preserve"> </w:t>
      </w:r>
      <w:r w:rsidR="00397032" w:rsidRPr="00D97463">
        <w:t>Seminar</w:t>
      </w:r>
    </w:p>
    <w:p w:rsidR="0054347D" w:rsidRPr="00D97463" w:rsidRDefault="0054347D" w:rsidP="00D97463">
      <w:pPr>
        <w:pStyle w:val="SingleTxt"/>
        <w:spacing w:after="0" w:line="120" w:lineRule="exact"/>
        <w:rPr>
          <w:sz w:val="10"/>
        </w:rPr>
      </w:pPr>
    </w:p>
    <w:p w:rsidR="0054347D" w:rsidRPr="00D97463" w:rsidRDefault="0054347D" w:rsidP="00D97463">
      <w:pPr>
        <w:pStyle w:val="SingleTxt"/>
        <w:spacing w:after="0" w:line="120" w:lineRule="exact"/>
        <w:rPr>
          <w:sz w:val="10"/>
        </w:rPr>
      </w:pPr>
    </w:p>
    <w:p w:rsidR="00397032" w:rsidRPr="00981405" w:rsidRDefault="00397032" w:rsidP="00D97463">
      <w:pPr>
        <w:pStyle w:val="SingleTxt"/>
      </w:pPr>
      <w:r w:rsidRPr="00981405">
        <w:t>319.</w:t>
      </w:r>
      <w:r w:rsidR="0054347D" w:rsidRPr="00981405">
        <w:tab/>
      </w:r>
      <w:r w:rsidRPr="00981405">
        <w:t>Pursuant</w:t>
      </w:r>
      <w:r w:rsidR="00190923" w:rsidRPr="00981405">
        <w:t xml:space="preserve"> </w:t>
      </w:r>
      <w:r w:rsidRPr="00981405">
        <w:t>to</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resolution</w:t>
      </w:r>
      <w:r w:rsidR="00190923" w:rsidRPr="00981405">
        <w:t xml:space="preserve"> </w:t>
      </w:r>
      <w:r w:rsidRPr="00981405">
        <w:t>69/118,</w:t>
      </w:r>
      <w:r w:rsidR="00190923" w:rsidRPr="00981405">
        <w:t xml:space="preserve"> </w:t>
      </w:r>
      <w:r w:rsidRPr="00981405">
        <w:t>the</w:t>
      </w:r>
      <w:r w:rsidR="00190923" w:rsidRPr="00981405">
        <w:t xml:space="preserve"> </w:t>
      </w:r>
      <w:r w:rsidRPr="00981405">
        <w:t>fifty-first</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Seminar</w:t>
      </w:r>
      <w:r w:rsidR="00190923" w:rsidRPr="00981405">
        <w:t xml:space="preserve"> </w:t>
      </w:r>
      <w:r w:rsidRPr="00981405">
        <w:t>was</w:t>
      </w:r>
      <w:r w:rsidR="00190923" w:rsidRPr="00981405">
        <w:t xml:space="preserve"> </w:t>
      </w:r>
      <w:r w:rsidRPr="00981405">
        <w:t>held</w:t>
      </w:r>
      <w:r w:rsidR="00190923" w:rsidRPr="00981405">
        <w:t xml:space="preserve"> </w:t>
      </w:r>
      <w:r w:rsidRPr="00981405">
        <w:t>at</w:t>
      </w:r>
      <w:r w:rsidR="00190923" w:rsidRPr="00981405">
        <w:t xml:space="preserve"> </w:t>
      </w:r>
      <w:r w:rsidRPr="00981405">
        <w:t>the</w:t>
      </w:r>
      <w:r w:rsidR="00190923" w:rsidRPr="00981405">
        <w:t xml:space="preserve"> </w:t>
      </w:r>
      <w:r w:rsidRPr="00981405">
        <w:t>Palais</w:t>
      </w:r>
      <w:r w:rsidR="00190923" w:rsidRPr="00981405">
        <w:t xml:space="preserve"> </w:t>
      </w:r>
      <w:r w:rsidRPr="00981405">
        <w:t>des</w:t>
      </w:r>
      <w:r w:rsidR="00190923" w:rsidRPr="00981405">
        <w:t xml:space="preserve"> </w:t>
      </w:r>
      <w:r w:rsidRPr="00981405">
        <w:t>Nations</w:t>
      </w:r>
      <w:r w:rsidR="00190923" w:rsidRPr="00981405">
        <w:t xml:space="preserve"> </w:t>
      </w:r>
      <w:r w:rsidRPr="00981405">
        <w:t>from</w:t>
      </w:r>
      <w:r w:rsidR="00190923" w:rsidRPr="00981405">
        <w:t xml:space="preserve"> </w:t>
      </w:r>
      <w:r w:rsidRPr="00981405">
        <w:t>6</w:t>
      </w:r>
      <w:r w:rsidR="00190923" w:rsidRPr="00981405">
        <w:t xml:space="preserve"> </w:t>
      </w:r>
      <w:r w:rsidRPr="00981405">
        <w:t>to</w:t>
      </w:r>
      <w:r w:rsidR="00190923" w:rsidRPr="00981405">
        <w:t xml:space="preserve"> </w:t>
      </w:r>
      <w:r w:rsidRPr="00981405">
        <w:t>24</w:t>
      </w:r>
      <w:r w:rsidR="00190923" w:rsidRPr="00981405">
        <w:t xml:space="preserve"> </w:t>
      </w:r>
      <w:r w:rsidRPr="00981405">
        <w:t>July</w:t>
      </w:r>
      <w:r w:rsidR="00190923" w:rsidRPr="00981405">
        <w:t xml:space="preserve"> </w:t>
      </w:r>
      <w:r w:rsidRPr="00981405">
        <w:t>2015,</w:t>
      </w:r>
      <w:r w:rsidR="00190923" w:rsidRPr="00981405">
        <w:t xml:space="preserve"> </w:t>
      </w:r>
      <w:r w:rsidRPr="00981405">
        <w:t>during</w:t>
      </w:r>
      <w:r w:rsidR="00190923" w:rsidRPr="00981405">
        <w:t xml:space="preserve"> </w:t>
      </w:r>
      <w:r w:rsidRPr="00981405">
        <w:t>the</w:t>
      </w:r>
      <w:r w:rsidR="00190923" w:rsidRPr="00981405">
        <w:t xml:space="preserve"> </w:t>
      </w:r>
      <w:r w:rsidRPr="00981405">
        <w:t>present</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w:t>
      </w:r>
      <w:r w:rsidR="00190923" w:rsidRPr="00981405">
        <w:t xml:space="preserve"> </w:t>
      </w:r>
      <w:r w:rsidRPr="00981405">
        <w:t>Seminar</w:t>
      </w:r>
      <w:r w:rsidR="00190923" w:rsidRPr="00981405">
        <w:t xml:space="preserve"> </w:t>
      </w:r>
      <w:r w:rsidRPr="00981405">
        <w:t>is</w:t>
      </w:r>
      <w:r w:rsidR="00190923" w:rsidRPr="00981405">
        <w:t xml:space="preserve"> </w:t>
      </w:r>
      <w:r w:rsidRPr="00981405">
        <w:t>intended</w:t>
      </w:r>
      <w:r w:rsidR="00190923" w:rsidRPr="00981405">
        <w:t xml:space="preserve"> </w:t>
      </w:r>
      <w:r w:rsidRPr="00981405">
        <w:t>for</w:t>
      </w:r>
      <w:r w:rsidR="00190923" w:rsidRPr="00981405">
        <w:t xml:space="preserve"> </w:t>
      </w:r>
      <w:r w:rsidRPr="00981405">
        <w:t>young</w:t>
      </w:r>
      <w:r w:rsidR="00190923" w:rsidRPr="00981405">
        <w:t xml:space="preserve"> </w:t>
      </w:r>
      <w:r w:rsidRPr="00981405">
        <w:t>jurists</w:t>
      </w:r>
      <w:r w:rsidR="00190923" w:rsidRPr="00981405">
        <w:t xml:space="preserve"> </w:t>
      </w:r>
      <w:r w:rsidRPr="00981405">
        <w:t>specializing</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young</w:t>
      </w:r>
      <w:r w:rsidR="00190923" w:rsidRPr="00981405">
        <w:t xml:space="preserve"> </w:t>
      </w:r>
      <w:r w:rsidRPr="00981405">
        <w:t>professors</w:t>
      </w:r>
      <w:r w:rsidR="00190923" w:rsidRPr="00981405">
        <w:t xml:space="preserve"> </w:t>
      </w:r>
      <w:r w:rsidRPr="00981405">
        <w:t>or</w:t>
      </w:r>
      <w:r w:rsidR="00190923" w:rsidRPr="00981405">
        <w:t xml:space="preserve"> </w:t>
      </w:r>
      <w:r w:rsidRPr="00981405">
        <w:t>government</w:t>
      </w:r>
      <w:r w:rsidR="00190923" w:rsidRPr="00981405">
        <w:t xml:space="preserve"> </w:t>
      </w:r>
      <w:r w:rsidRPr="00981405">
        <w:t>officials</w:t>
      </w:r>
      <w:r w:rsidR="00190923" w:rsidRPr="00981405">
        <w:t xml:space="preserve"> </w:t>
      </w:r>
      <w:r w:rsidRPr="00981405">
        <w:t>pursuing</w:t>
      </w:r>
      <w:r w:rsidR="00190923" w:rsidRPr="00981405">
        <w:t xml:space="preserve"> </w:t>
      </w:r>
      <w:r w:rsidRPr="00981405">
        <w:t>an</w:t>
      </w:r>
      <w:r w:rsidR="00190923" w:rsidRPr="00981405">
        <w:t xml:space="preserve"> </w:t>
      </w:r>
      <w:r w:rsidRPr="00981405">
        <w:t>academic</w:t>
      </w:r>
      <w:r w:rsidR="00190923" w:rsidRPr="00981405">
        <w:t xml:space="preserve"> </w:t>
      </w:r>
      <w:r w:rsidRPr="00981405">
        <w:t>or</w:t>
      </w:r>
      <w:r w:rsidR="00190923" w:rsidRPr="00981405">
        <w:t xml:space="preserve"> </w:t>
      </w:r>
      <w:r w:rsidRPr="00981405">
        <w:t>diplomatic</w:t>
      </w:r>
      <w:r w:rsidR="00190923" w:rsidRPr="00981405">
        <w:t xml:space="preserve"> </w:t>
      </w:r>
      <w:r w:rsidRPr="00981405">
        <w:t>career</w:t>
      </w:r>
      <w:r w:rsidR="00190923" w:rsidRPr="00981405">
        <w:t xml:space="preserve"> </w:t>
      </w:r>
      <w:r w:rsidRPr="00981405">
        <w:t>in</w:t>
      </w:r>
      <w:r w:rsidR="00190923" w:rsidRPr="00981405">
        <w:t xml:space="preserve"> </w:t>
      </w:r>
      <w:r w:rsidRPr="00981405">
        <w:t>posts</w:t>
      </w:r>
      <w:r w:rsidR="00190923" w:rsidRPr="00981405">
        <w:t xml:space="preserve"> </w:t>
      </w:r>
      <w:r w:rsidRPr="00981405">
        <w:t>in</w:t>
      </w:r>
      <w:r w:rsidR="00190923" w:rsidRPr="00981405">
        <w:t xml:space="preserve"> </w:t>
      </w:r>
      <w:r w:rsidRPr="00981405">
        <w:t>the</w:t>
      </w:r>
      <w:r w:rsidR="00190923" w:rsidRPr="00981405">
        <w:t xml:space="preserve"> </w:t>
      </w:r>
      <w:r w:rsidRPr="00981405">
        <w:t>civil</w:t>
      </w:r>
      <w:r w:rsidR="00190923" w:rsidRPr="00981405">
        <w:t xml:space="preserve"> </w:t>
      </w:r>
      <w:r w:rsidRPr="00981405">
        <w:t>service</w:t>
      </w:r>
      <w:r w:rsidR="00190923" w:rsidRPr="00981405">
        <w:t xml:space="preserve"> </w:t>
      </w:r>
      <w:r w:rsidRPr="00981405">
        <w:t>of</w:t>
      </w:r>
      <w:r w:rsidR="00190923" w:rsidRPr="00981405">
        <w:t xml:space="preserve"> </w:t>
      </w:r>
      <w:r w:rsidRPr="00981405">
        <w:t>their</w:t>
      </w:r>
      <w:r w:rsidR="00190923" w:rsidRPr="00981405">
        <w:t xml:space="preserve"> </w:t>
      </w:r>
      <w:r w:rsidRPr="00981405">
        <w:t>country.</w:t>
      </w:r>
    </w:p>
    <w:p w:rsidR="00397032" w:rsidRPr="00981405" w:rsidRDefault="00397032" w:rsidP="00D97463">
      <w:pPr>
        <w:pStyle w:val="SingleTxt"/>
      </w:pPr>
      <w:r w:rsidRPr="00981405">
        <w:lastRenderedPageBreak/>
        <w:t>320.</w:t>
      </w:r>
      <w:r w:rsidRPr="00981405">
        <w:tab/>
        <w:t>Twenty</w:t>
      </w:r>
      <w:r w:rsidRPr="00981405">
        <w:noBreakHyphen/>
        <w:t>four</w:t>
      </w:r>
      <w:r w:rsidR="00190923" w:rsidRPr="00981405">
        <w:t xml:space="preserve"> </w:t>
      </w:r>
      <w:r w:rsidRPr="00981405">
        <w:t>participants</w:t>
      </w:r>
      <w:r w:rsidR="00190923" w:rsidRPr="00981405">
        <w:t xml:space="preserve"> </w:t>
      </w:r>
      <w:r w:rsidRPr="00981405">
        <w:t>of</w:t>
      </w:r>
      <w:r w:rsidR="00190923" w:rsidRPr="00981405">
        <w:t xml:space="preserve"> </w:t>
      </w:r>
      <w:r w:rsidRPr="00981405">
        <w:t>different</w:t>
      </w:r>
      <w:r w:rsidR="00190923" w:rsidRPr="00981405">
        <w:t xml:space="preserve"> </w:t>
      </w:r>
      <w:r w:rsidRPr="00981405">
        <w:t>nationalities,</w:t>
      </w:r>
      <w:r w:rsidR="00190923" w:rsidRPr="00981405">
        <w:t xml:space="preserve"> </w:t>
      </w:r>
      <w:r w:rsidRPr="00981405">
        <w:t>from</w:t>
      </w:r>
      <w:r w:rsidR="00190923" w:rsidRPr="00981405">
        <w:t xml:space="preserve"> </w:t>
      </w:r>
      <w:r w:rsidRPr="00981405">
        <w:t>all</w:t>
      </w:r>
      <w:r w:rsidR="00190923" w:rsidRPr="00981405">
        <w:t xml:space="preserve"> </w:t>
      </w:r>
      <w:r w:rsidRPr="00981405">
        <w:t>regional</w:t>
      </w:r>
      <w:r w:rsidR="00190923" w:rsidRPr="00981405">
        <w:t xml:space="preserve"> </w:t>
      </w:r>
      <w:r w:rsidRPr="00981405">
        <w:t>groups</w:t>
      </w:r>
      <w:r w:rsidR="00190923" w:rsidRPr="00981405">
        <w:t xml:space="preserve"> </w:t>
      </w:r>
      <w:r w:rsidRPr="00981405">
        <w:t>took</w:t>
      </w:r>
      <w:r w:rsidR="00190923" w:rsidRPr="00981405">
        <w:t xml:space="preserve"> </w:t>
      </w:r>
      <w:r w:rsidRPr="00981405">
        <w:t>part</w:t>
      </w:r>
      <w:r w:rsidR="00190923" w:rsidRPr="00981405">
        <w:t xml:space="preserve"> </w:t>
      </w:r>
      <w:r w:rsidRPr="00981405">
        <w:t>in</w:t>
      </w:r>
      <w:r w:rsidR="00190923" w:rsidRPr="00981405">
        <w:t xml:space="preserve"> </w:t>
      </w:r>
      <w:r w:rsidRPr="00981405">
        <w:t>the</w:t>
      </w:r>
      <w:r w:rsidR="00190923" w:rsidRPr="00981405">
        <w:t xml:space="preserve"> </w:t>
      </w:r>
      <w:r w:rsidRPr="00981405">
        <w:t>session</w:t>
      </w:r>
      <w:r w:rsidRPr="00981405">
        <w:rPr>
          <w:rStyle w:val="FootnoteReference"/>
        </w:rPr>
        <w:footnoteReference w:id="412"/>
      </w:r>
      <w:r w:rsidRPr="00981405">
        <w:t>.</w:t>
      </w:r>
      <w:r w:rsidR="00190923" w:rsidRPr="00981405">
        <w:t xml:space="preserve"> </w:t>
      </w:r>
      <w:r w:rsidRPr="00981405">
        <w:t>The</w:t>
      </w:r>
      <w:r w:rsidR="00190923" w:rsidRPr="00981405">
        <w:t xml:space="preserve"> </w:t>
      </w:r>
      <w:r w:rsidRPr="00981405">
        <w:t>participants</w:t>
      </w:r>
      <w:r w:rsidR="00190923" w:rsidRPr="00981405">
        <w:t xml:space="preserve"> </w:t>
      </w:r>
      <w:r w:rsidRPr="00981405">
        <w:t>attended</w:t>
      </w:r>
      <w:r w:rsidR="00190923" w:rsidRPr="00981405">
        <w:t xml:space="preserve"> </w:t>
      </w:r>
      <w:r w:rsidRPr="00981405">
        <w:t>plenary</w:t>
      </w:r>
      <w:r w:rsidR="00190923" w:rsidRPr="00981405">
        <w:t xml:space="preserve"> </w:t>
      </w:r>
      <w:r w:rsidRPr="00981405">
        <w:t>meetings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specially</w:t>
      </w:r>
      <w:r w:rsidR="00190923" w:rsidRPr="00981405">
        <w:t xml:space="preserve"> </w:t>
      </w:r>
      <w:r w:rsidRPr="00981405">
        <w:t>arranged</w:t>
      </w:r>
      <w:r w:rsidR="00190923" w:rsidRPr="00981405">
        <w:t xml:space="preserve"> </w:t>
      </w:r>
      <w:r w:rsidRPr="00981405">
        <w:t>lectures,</w:t>
      </w:r>
      <w:r w:rsidR="00190923" w:rsidRPr="00981405">
        <w:t xml:space="preserve"> </w:t>
      </w:r>
      <w:r w:rsidRPr="00981405">
        <w:t>and</w:t>
      </w:r>
      <w:r w:rsidR="00190923" w:rsidRPr="00981405">
        <w:t xml:space="preserve"> </w:t>
      </w:r>
      <w:r w:rsidRPr="00981405">
        <w:t>participated</w:t>
      </w:r>
      <w:r w:rsidR="00190923" w:rsidRPr="00981405">
        <w:t xml:space="preserve"> </w:t>
      </w:r>
      <w:r w:rsidRPr="00981405">
        <w:t>in</w:t>
      </w:r>
      <w:r w:rsidR="00190923" w:rsidRPr="00981405">
        <w:t xml:space="preserve"> </w:t>
      </w:r>
      <w:r w:rsidRPr="00981405">
        <w:t>working</w:t>
      </w:r>
      <w:r w:rsidR="00190923" w:rsidRPr="00981405">
        <w:t xml:space="preserve"> </w:t>
      </w:r>
      <w:r w:rsidRPr="00981405">
        <w:t>groups</w:t>
      </w:r>
      <w:r w:rsidR="00190923" w:rsidRPr="00981405">
        <w:t xml:space="preserve"> </w:t>
      </w:r>
      <w:r w:rsidRPr="00981405">
        <w:t>on</w:t>
      </w:r>
      <w:r w:rsidR="00190923" w:rsidRPr="00981405">
        <w:t xml:space="preserve"> </w:t>
      </w:r>
      <w:r w:rsidRPr="00981405">
        <w:t>specific</w:t>
      </w:r>
      <w:r w:rsidR="00190923" w:rsidRPr="00981405">
        <w:t xml:space="preserve"> </w:t>
      </w:r>
      <w:r w:rsidRPr="00981405">
        <w:t>topics.</w:t>
      </w:r>
    </w:p>
    <w:p w:rsidR="00397032" w:rsidRPr="00981405" w:rsidRDefault="00397032" w:rsidP="00D97463">
      <w:pPr>
        <w:pStyle w:val="SingleTxt"/>
      </w:pPr>
      <w:r w:rsidRPr="00981405">
        <w:t>321.</w:t>
      </w:r>
      <w:r w:rsidR="0054347D" w:rsidRPr="00981405">
        <w:tab/>
      </w:r>
      <w:r w:rsidRPr="00981405">
        <w:t>Mr.</w:t>
      </w:r>
      <w:r w:rsidR="00190923" w:rsidRPr="00981405">
        <w:t xml:space="preserve"> </w:t>
      </w:r>
      <w:r w:rsidRPr="00981405">
        <w:t>Narinder</w:t>
      </w:r>
      <w:r w:rsidR="00190923" w:rsidRPr="00981405">
        <w:t xml:space="preserve"> </w:t>
      </w:r>
      <w:r w:rsidRPr="00981405">
        <w:t>Singh,</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opened</w:t>
      </w:r>
      <w:r w:rsidR="00190923" w:rsidRPr="00981405">
        <w:t xml:space="preserve"> </w:t>
      </w:r>
      <w:r w:rsidRPr="00981405">
        <w:t>the</w:t>
      </w:r>
      <w:r w:rsidR="00190923" w:rsidRPr="00981405">
        <w:t xml:space="preserve"> </w:t>
      </w:r>
      <w:r w:rsidRPr="00981405">
        <w:t>Seminar.</w:t>
      </w:r>
      <w:r w:rsidR="00190923" w:rsidRPr="00981405">
        <w:t xml:space="preserve"> </w:t>
      </w:r>
      <w:r w:rsidRPr="00981405">
        <w:t>Mr.</w:t>
      </w:r>
      <w:r w:rsidR="00190923" w:rsidRPr="00981405">
        <w:t xml:space="preserve"> </w:t>
      </w:r>
      <w:r w:rsidRPr="00981405">
        <w:t>Markus</w:t>
      </w:r>
      <w:r w:rsidR="00190923" w:rsidRPr="00981405">
        <w:t xml:space="preserve"> </w:t>
      </w:r>
      <w:r w:rsidRPr="00981405">
        <w:t>Schmidt,</w:t>
      </w:r>
      <w:r w:rsidR="00190923" w:rsidRPr="00981405">
        <w:t xml:space="preserve"> </w:t>
      </w:r>
      <w:r w:rsidRPr="00981405">
        <w:t>Senior</w:t>
      </w:r>
      <w:r w:rsidR="00190923" w:rsidRPr="00981405">
        <w:t xml:space="preserve"> </w:t>
      </w:r>
      <w:r w:rsidRPr="00981405">
        <w:t>Legal</w:t>
      </w:r>
      <w:r w:rsidR="00190923" w:rsidRPr="00981405">
        <w:t xml:space="preserve"> </w:t>
      </w:r>
      <w:r w:rsidRPr="00981405">
        <w:t>Adviser</w:t>
      </w:r>
      <w:r w:rsidR="00190923" w:rsidRPr="00981405">
        <w:t xml:space="preserve"> </w:t>
      </w:r>
      <w:r w:rsidRPr="00981405">
        <w:t>to</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Office</w:t>
      </w:r>
      <w:r w:rsidR="00190923" w:rsidRPr="00981405">
        <w:t xml:space="preserve"> </w:t>
      </w:r>
      <w:r w:rsidRPr="00981405">
        <w:t>at</w:t>
      </w:r>
      <w:r w:rsidR="00190923" w:rsidRPr="00981405">
        <w:t xml:space="preserve"> </w:t>
      </w:r>
      <w:r w:rsidRPr="00981405">
        <w:t>Geneva</w:t>
      </w:r>
      <w:r w:rsidR="00190923" w:rsidRPr="00981405">
        <w:t xml:space="preserve"> </w:t>
      </w:r>
      <w:r w:rsidRPr="00981405">
        <w:t>(UNOG),</w:t>
      </w:r>
      <w:r w:rsidR="00190923" w:rsidRPr="00981405">
        <w:t xml:space="preserve"> </w:t>
      </w:r>
      <w:r w:rsidRPr="00981405">
        <w:t>was</w:t>
      </w:r>
      <w:r w:rsidR="00190923" w:rsidRPr="00981405">
        <w:t xml:space="preserve"> </w:t>
      </w:r>
      <w:r w:rsidRPr="00981405">
        <w:t>responsible</w:t>
      </w:r>
      <w:r w:rsidR="00190923" w:rsidRPr="00981405">
        <w:t xml:space="preserve"> </w:t>
      </w:r>
      <w:r w:rsidRPr="00981405">
        <w:t>for</w:t>
      </w:r>
      <w:r w:rsidR="00190923" w:rsidRPr="00981405">
        <w:t xml:space="preserve"> </w:t>
      </w:r>
      <w:r w:rsidRPr="00981405">
        <w:t>the</w:t>
      </w:r>
      <w:r w:rsidR="00190923" w:rsidRPr="00981405">
        <w:t xml:space="preserve"> </w:t>
      </w:r>
      <w:r w:rsidRPr="00981405">
        <w:t>administration,</w:t>
      </w:r>
      <w:r w:rsidR="00190923" w:rsidRPr="00981405">
        <w:t xml:space="preserve"> </w:t>
      </w:r>
      <w:r w:rsidRPr="00981405">
        <w:t>organization</w:t>
      </w:r>
      <w:r w:rsidR="00190923" w:rsidRPr="00981405">
        <w:t xml:space="preserve"> </w:t>
      </w:r>
      <w:r w:rsidRPr="00981405">
        <w:t>and</w:t>
      </w:r>
      <w:r w:rsidR="00190923" w:rsidRPr="00981405">
        <w:t xml:space="preserve"> </w:t>
      </w:r>
      <w:r w:rsidRPr="00981405">
        <w:t>conduct</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The</w:t>
      </w:r>
      <w:r w:rsidR="00190923" w:rsidRPr="00981405">
        <w:t xml:space="preserve"> </w:t>
      </w:r>
      <w:r w:rsidRPr="00981405">
        <w:t>University</w:t>
      </w:r>
      <w:r w:rsidR="00190923" w:rsidRPr="00981405">
        <w:t xml:space="preserve"> </w:t>
      </w:r>
      <w:r w:rsidRPr="00981405">
        <w:t>of</w:t>
      </w:r>
      <w:r w:rsidR="00190923" w:rsidRPr="00981405">
        <w:t xml:space="preserve"> </w:t>
      </w:r>
      <w:r w:rsidRPr="00981405">
        <w:t>Geneva</w:t>
      </w:r>
      <w:r w:rsidR="00190923" w:rsidRPr="00981405">
        <w:t xml:space="preserve"> </w:t>
      </w:r>
      <w:r w:rsidRPr="00981405">
        <w:t>ensured</w:t>
      </w:r>
      <w:r w:rsidR="00190923" w:rsidRPr="00981405">
        <w:t xml:space="preserve"> </w:t>
      </w:r>
      <w:r w:rsidRPr="00981405">
        <w:t>the</w:t>
      </w:r>
      <w:r w:rsidR="00190923" w:rsidRPr="00981405">
        <w:t xml:space="preserve"> </w:t>
      </w:r>
      <w:r w:rsidRPr="00981405">
        <w:t>scientific</w:t>
      </w:r>
      <w:r w:rsidR="00190923" w:rsidRPr="00981405">
        <w:t xml:space="preserve"> </w:t>
      </w:r>
      <w:r w:rsidRPr="00981405">
        <w:t>coordination</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Mr.</w:t>
      </w:r>
      <w:r w:rsidR="00190923" w:rsidRPr="00981405">
        <w:t xml:space="preserve"> </w:t>
      </w:r>
      <w:r w:rsidRPr="00981405">
        <w:t>Vittorio</w:t>
      </w:r>
      <w:r w:rsidR="00190923" w:rsidRPr="00981405">
        <w:t xml:space="preserve"> </w:t>
      </w:r>
      <w:r w:rsidRPr="00981405">
        <w:t>Mainetti,</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expert</w:t>
      </w:r>
      <w:r w:rsidR="00190923" w:rsidRPr="00981405">
        <w:t xml:space="preserve"> </w:t>
      </w:r>
      <w:r w:rsidRPr="00981405">
        <w:t>from</w:t>
      </w:r>
      <w:r w:rsidR="00190923" w:rsidRPr="00981405">
        <w:t xml:space="preserve"> </w:t>
      </w:r>
      <w:r w:rsidRPr="00981405">
        <w:t>the</w:t>
      </w:r>
      <w:r w:rsidR="00190923" w:rsidRPr="00981405">
        <w:t xml:space="preserve"> </w:t>
      </w:r>
      <w:r w:rsidRPr="00981405">
        <w:t>University</w:t>
      </w:r>
      <w:r w:rsidR="00190923" w:rsidRPr="00981405">
        <w:t xml:space="preserve"> </w:t>
      </w:r>
      <w:r w:rsidRPr="00981405">
        <w:t>of</w:t>
      </w:r>
      <w:r w:rsidR="00190923" w:rsidRPr="00981405">
        <w:t xml:space="preserve"> </w:t>
      </w:r>
      <w:r w:rsidRPr="00981405">
        <w:t>Geneva,</w:t>
      </w:r>
      <w:r w:rsidR="00190923" w:rsidRPr="00981405">
        <w:t xml:space="preserve"> </w:t>
      </w:r>
      <w:r w:rsidRPr="00981405">
        <w:t>acted</w:t>
      </w:r>
      <w:r w:rsidR="00190923" w:rsidRPr="00981405">
        <w:t xml:space="preserve"> </w:t>
      </w:r>
      <w:r w:rsidRPr="00981405">
        <w:t>as</w:t>
      </w:r>
      <w:r w:rsidR="00190923" w:rsidRPr="00981405">
        <w:t xml:space="preserve"> </w:t>
      </w:r>
      <w:r w:rsidRPr="00981405">
        <w:t>coordinator,</w:t>
      </w:r>
      <w:r w:rsidR="00190923" w:rsidRPr="00981405">
        <w:t xml:space="preserve"> </w:t>
      </w:r>
      <w:r w:rsidRPr="00981405">
        <w:t>assisted</w:t>
      </w:r>
      <w:r w:rsidR="00190923" w:rsidRPr="00981405">
        <w:t xml:space="preserve"> </w:t>
      </w:r>
      <w:r w:rsidRPr="00981405">
        <w:t>by</w:t>
      </w:r>
      <w:r w:rsidR="00190923" w:rsidRPr="00981405">
        <w:t xml:space="preserve"> </w:t>
      </w:r>
      <w:r w:rsidRPr="00981405">
        <w:t>Mr.</w:t>
      </w:r>
      <w:r w:rsidR="00190923" w:rsidRPr="00981405">
        <w:t xml:space="preserve"> </w:t>
      </w:r>
      <w:r w:rsidRPr="00981405">
        <w:t>Cédric</w:t>
      </w:r>
      <w:r w:rsidR="00190923" w:rsidRPr="00981405">
        <w:t xml:space="preserve"> </w:t>
      </w:r>
      <w:r w:rsidRPr="00981405">
        <w:t>Apercé,</w:t>
      </w:r>
      <w:r w:rsidR="00190923" w:rsidRPr="00981405">
        <w:t xml:space="preserve"> </w:t>
      </w:r>
      <w:r w:rsidRPr="00981405">
        <w:t>Ms.</w:t>
      </w:r>
      <w:r w:rsidR="00190923" w:rsidRPr="00981405">
        <w:t xml:space="preserve"> </w:t>
      </w:r>
      <w:r w:rsidRPr="00981405">
        <w:t>Yusra</w:t>
      </w:r>
      <w:r w:rsidR="00190923" w:rsidRPr="00981405">
        <w:t xml:space="preserve"> </w:t>
      </w:r>
      <w:r w:rsidRPr="00981405">
        <w:t>Suedi,</w:t>
      </w:r>
      <w:r w:rsidR="00190923" w:rsidRPr="00981405">
        <w:t xml:space="preserve"> </w:t>
      </w:r>
      <w:r w:rsidRPr="00981405">
        <w:t>legal</w:t>
      </w:r>
      <w:r w:rsidR="00190923" w:rsidRPr="00981405">
        <w:t xml:space="preserve"> </w:t>
      </w:r>
      <w:r w:rsidRPr="00981405">
        <w:t>assistants,</w:t>
      </w:r>
      <w:r w:rsidR="00190923" w:rsidRPr="00981405">
        <w:t xml:space="preserve"> </w:t>
      </w:r>
      <w:r w:rsidRPr="00981405">
        <w:t>and</w:t>
      </w:r>
      <w:r w:rsidR="00190923" w:rsidRPr="00981405">
        <w:t xml:space="preserve"> </w:t>
      </w:r>
      <w:r w:rsidRPr="00981405">
        <w:t>Ms.</w:t>
      </w:r>
      <w:r w:rsidR="00190923" w:rsidRPr="00981405">
        <w:t xml:space="preserve"> </w:t>
      </w:r>
      <w:r w:rsidRPr="00981405">
        <w:t>Cami</w:t>
      </w:r>
      <w:r w:rsidR="00190923" w:rsidRPr="00981405">
        <w:t xml:space="preserve"> </w:t>
      </w:r>
      <w:r w:rsidRPr="00981405">
        <w:t>Schwab,</w:t>
      </w:r>
      <w:r w:rsidR="00190923" w:rsidRPr="00981405">
        <w:t xml:space="preserve"> </w:t>
      </w:r>
      <w:r w:rsidRPr="00981405">
        <w:t>intern</w:t>
      </w:r>
      <w:r w:rsidR="00190923" w:rsidRPr="00981405">
        <w:t xml:space="preserve"> </w:t>
      </w:r>
      <w:r w:rsidRPr="00981405">
        <w:t>in</w:t>
      </w:r>
      <w:r w:rsidR="00190923" w:rsidRPr="00981405">
        <w:t xml:space="preserve"> </w:t>
      </w:r>
      <w:r w:rsidRPr="00981405">
        <w:t>the</w:t>
      </w:r>
      <w:r w:rsidR="00190923" w:rsidRPr="00981405">
        <w:t xml:space="preserve"> </w:t>
      </w:r>
      <w:r w:rsidRPr="00981405">
        <w:t>Legal</w:t>
      </w:r>
      <w:r w:rsidR="00190923" w:rsidRPr="00981405">
        <w:t xml:space="preserve"> </w:t>
      </w:r>
      <w:r w:rsidRPr="00981405">
        <w:t>Liaison</w:t>
      </w:r>
      <w:r w:rsidR="00190923" w:rsidRPr="00981405">
        <w:t xml:space="preserve"> </w:t>
      </w:r>
      <w:r w:rsidRPr="00981405">
        <w:t>Office</w:t>
      </w:r>
      <w:r w:rsidR="00190923" w:rsidRPr="00981405">
        <w:t xml:space="preserve"> </w:t>
      </w:r>
      <w:r w:rsidRPr="00981405">
        <w:t>of</w:t>
      </w:r>
      <w:r w:rsidR="00190923" w:rsidRPr="00981405">
        <w:t xml:space="preserve"> </w:t>
      </w:r>
      <w:r w:rsidRPr="00981405">
        <w:t>UNOG.</w:t>
      </w:r>
    </w:p>
    <w:p w:rsidR="00397032" w:rsidRPr="00981405" w:rsidRDefault="0054347D" w:rsidP="00D97463">
      <w:pPr>
        <w:pStyle w:val="SingleTxt"/>
      </w:pPr>
      <w:r w:rsidRPr="00981405">
        <w:t>322.</w:t>
      </w:r>
      <w:r w:rsidRPr="00981405">
        <w:tab/>
      </w:r>
      <w:r w:rsidR="00397032" w:rsidRPr="00981405">
        <w:t>The</w:t>
      </w:r>
      <w:r w:rsidR="00190923" w:rsidRPr="00981405">
        <w:t xml:space="preserve"> </w:t>
      </w:r>
      <w:r w:rsidR="00397032" w:rsidRPr="00981405">
        <w:t>following</w:t>
      </w:r>
      <w:r w:rsidR="00190923" w:rsidRPr="00981405">
        <w:t xml:space="preserve"> </w:t>
      </w:r>
      <w:r w:rsidR="00397032" w:rsidRPr="00981405">
        <w:t>members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Commission</w:t>
      </w:r>
      <w:r w:rsidR="00190923" w:rsidRPr="00981405">
        <w:t xml:space="preserve"> </w:t>
      </w:r>
      <w:r w:rsidR="00397032" w:rsidRPr="00981405">
        <w:t>gave</w:t>
      </w:r>
      <w:r w:rsidR="00190923" w:rsidRPr="00981405">
        <w:t xml:space="preserve"> </w:t>
      </w:r>
      <w:r w:rsidR="00397032" w:rsidRPr="00981405">
        <w:t>lectures:</w:t>
      </w:r>
      <w:r w:rsidR="00190923" w:rsidRPr="00981405">
        <w:t xml:space="preserve"> </w:t>
      </w:r>
      <w:r w:rsidR="00397032" w:rsidRPr="00981405">
        <w:t>Mr.</w:t>
      </w:r>
      <w:r w:rsidR="00190923" w:rsidRPr="00981405">
        <w:t xml:space="preserve"> </w:t>
      </w:r>
      <w:r w:rsidR="00397032" w:rsidRPr="00981405">
        <w:t>Ernest</w:t>
      </w:r>
      <w:r w:rsidR="00190923" w:rsidRPr="00981405">
        <w:t xml:space="preserve"> </w:t>
      </w:r>
      <w:r w:rsidR="00397032" w:rsidRPr="00981405">
        <w:t>Petrič:</w:t>
      </w:r>
      <w:r w:rsidR="00190923" w:rsidRPr="00981405">
        <w:t xml:space="preserve"> </w:t>
      </w:r>
      <w:r w:rsidR="00B92E2C" w:rsidRPr="00981405">
        <w:t>“</w:t>
      </w:r>
      <w:r w:rsidR="00397032" w:rsidRPr="00D97463">
        <w:rPr>
          <w:i/>
          <w:iCs/>
        </w:rPr>
        <w:t>The</w:t>
      </w:r>
      <w:r w:rsidR="00190923" w:rsidRPr="00D97463">
        <w:rPr>
          <w:i/>
          <w:iCs/>
        </w:rPr>
        <w:t xml:space="preserve"> </w:t>
      </w:r>
      <w:r w:rsidR="00397032" w:rsidRPr="00D97463">
        <w:rPr>
          <w:i/>
          <w:iCs/>
        </w:rPr>
        <w:t>Work</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the</w:t>
      </w:r>
      <w:r w:rsidR="00190923" w:rsidRPr="00D97463">
        <w:rPr>
          <w:i/>
          <w:iCs/>
        </w:rPr>
        <w:t xml:space="preserve"> </w:t>
      </w:r>
      <w:r w:rsidR="00397032" w:rsidRPr="00D97463">
        <w:rPr>
          <w:i/>
          <w:iCs/>
        </w:rPr>
        <w:t>International</w:t>
      </w:r>
      <w:r w:rsidR="00190923" w:rsidRPr="00D97463">
        <w:rPr>
          <w:i/>
          <w:iCs/>
        </w:rPr>
        <w:t xml:space="preserve"> </w:t>
      </w:r>
      <w:r w:rsidR="00397032" w:rsidRPr="00D97463">
        <w:rPr>
          <w:i/>
          <w:iCs/>
        </w:rPr>
        <w:t>Law</w:t>
      </w:r>
      <w:r w:rsidR="00190923" w:rsidRPr="00D97463">
        <w:rPr>
          <w:i/>
          <w:iCs/>
        </w:rPr>
        <w:t xml:space="preserve"> </w:t>
      </w:r>
      <w:r w:rsidR="00397032" w:rsidRPr="00D97463">
        <w:rPr>
          <w:i/>
          <w:iCs/>
        </w:rPr>
        <w:t>Commission</w:t>
      </w:r>
      <w:r w:rsidR="00B92E2C" w:rsidRPr="00981405">
        <w:t>”</w:t>
      </w:r>
      <w:r w:rsidR="00397032" w:rsidRPr="00981405">
        <w:t>;</w:t>
      </w:r>
      <w:r w:rsidR="00190923" w:rsidRPr="00981405">
        <w:t xml:space="preserve"> </w:t>
      </w:r>
      <w:r w:rsidR="00397032" w:rsidRPr="00981405">
        <w:t>Mr.</w:t>
      </w:r>
      <w:r w:rsidR="00190923" w:rsidRPr="00981405">
        <w:t xml:space="preserve"> </w:t>
      </w:r>
      <w:r w:rsidR="00397032" w:rsidRPr="00981405">
        <w:t>Dire</w:t>
      </w:r>
      <w:r w:rsidR="00190923" w:rsidRPr="00981405">
        <w:t xml:space="preserve"> </w:t>
      </w:r>
      <w:r w:rsidR="00397032" w:rsidRPr="00981405">
        <w:t>Tladi:</w:t>
      </w:r>
      <w:r w:rsidR="00190923" w:rsidRPr="00981405">
        <w:t xml:space="preserve"> </w:t>
      </w:r>
      <w:r w:rsidR="00B92E2C" w:rsidRPr="00981405">
        <w:t>“</w:t>
      </w:r>
      <w:r w:rsidR="00397032" w:rsidRPr="00D97463">
        <w:rPr>
          <w:i/>
          <w:iCs/>
        </w:rPr>
        <w:t>Jus</w:t>
      </w:r>
      <w:r w:rsidR="00190923" w:rsidRPr="00981405">
        <w:rPr>
          <w:i/>
          <w:iCs/>
        </w:rPr>
        <w:t xml:space="preserve"> </w:t>
      </w:r>
      <w:r w:rsidR="00397032" w:rsidRPr="00D97463">
        <w:rPr>
          <w:i/>
          <w:iCs/>
        </w:rPr>
        <w:t>cogens</w:t>
      </w:r>
      <w:r w:rsidR="00B92E2C" w:rsidRPr="00981405">
        <w:t>”</w:t>
      </w:r>
      <w:r w:rsidR="00397032" w:rsidRPr="00981405">
        <w:t>;</w:t>
      </w:r>
      <w:r w:rsidR="00190923" w:rsidRPr="00981405">
        <w:t xml:space="preserve"> </w:t>
      </w:r>
      <w:r w:rsidR="00397032" w:rsidRPr="00981405">
        <w:t>Mr.</w:t>
      </w:r>
      <w:r w:rsidR="00190923" w:rsidRPr="00981405">
        <w:t xml:space="preserve"> </w:t>
      </w:r>
      <w:r w:rsidR="00397032" w:rsidRPr="00981405">
        <w:t>Pavel</w:t>
      </w:r>
      <w:r w:rsidR="00190923" w:rsidRPr="00981405">
        <w:t xml:space="preserve"> </w:t>
      </w:r>
      <w:r w:rsidR="00397032" w:rsidRPr="00981405">
        <w:t>Šturma:</w:t>
      </w:r>
      <w:r w:rsidR="00190923" w:rsidRPr="00981405">
        <w:t xml:space="preserve"> </w:t>
      </w:r>
      <w:r w:rsidR="00B92E2C" w:rsidRPr="00981405">
        <w:t>“</w:t>
      </w:r>
      <w:r w:rsidR="00397032" w:rsidRPr="00D97463">
        <w:rPr>
          <w:i/>
          <w:iCs/>
        </w:rPr>
        <w:t>State</w:t>
      </w:r>
      <w:r w:rsidR="00190923" w:rsidRPr="00D97463">
        <w:rPr>
          <w:i/>
          <w:iCs/>
        </w:rPr>
        <w:t xml:space="preserve"> </w:t>
      </w:r>
      <w:r w:rsidR="00397032" w:rsidRPr="00D97463">
        <w:rPr>
          <w:i/>
          <w:iCs/>
        </w:rPr>
        <w:t>succession</w:t>
      </w:r>
      <w:r w:rsidR="00190923" w:rsidRPr="00D97463">
        <w:rPr>
          <w:i/>
          <w:iCs/>
        </w:rPr>
        <w:t xml:space="preserve"> </w:t>
      </w:r>
      <w:r w:rsidR="00397032" w:rsidRPr="00D97463">
        <w:rPr>
          <w:i/>
          <w:iCs/>
        </w:rPr>
        <w:t>in</w:t>
      </w:r>
      <w:r w:rsidR="00190923" w:rsidRPr="00D97463">
        <w:rPr>
          <w:i/>
          <w:iCs/>
        </w:rPr>
        <w:t xml:space="preserve"> </w:t>
      </w:r>
      <w:r w:rsidR="00397032" w:rsidRPr="00D97463">
        <w:rPr>
          <w:i/>
          <w:iCs/>
        </w:rPr>
        <w:t>relation</w:t>
      </w:r>
      <w:r w:rsidR="00190923" w:rsidRPr="00D97463">
        <w:rPr>
          <w:i/>
          <w:iCs/>
        </w:rPr>
        <w:t xml:space="preserve"> </w:t>
      </w:r>
      <w:r w:rsidR="00397032" w:rsidRPr="00D97463">
        <w:rPr>
          <w:i/>
          <w:iCs/>
        </w:rPr>
        <w:t>to</w:t>
      </w:r>
      <w:r w:rsidR="00190923" w:rsidRPr="00D97463">
        <w:rPr>
          <w:i/>
          <w:iCs/>
        </w:rPr>
        <w:t xml:space="preserve"> </w:t>
      </w:r>
      <w:r w:rsidR="00397032" w:rsidRPr="00D97463">
        <w:rPr>
          <w:i/>
          <w:iCs/>
        </w:rPr>
        <w:t>State</w:t>
      </w:r>
      <w:r w:rsidR="00190923" w:rsidRPr="00D97463">
        <w:rPr>
          <w:i/>
          <w:iCs/>
        </w:rPr>
        <w:t xml:space="preserve"> </w:t>
      </w:r>
      <w:r w:rsidR="00397032" w:rsidRPr="00D97463">
        <w:rPr>
          <w:i/>
          <w:iCs/>
        </w:rPr>
        <w:t>responsibility</w:t>
      </w:r>
      <w:r w:rsidR="00B92E2C" w:rsidRPr="00981405">
        <w:t>”</w:t>
      </w:r>
      <w:r w:rsidR="00397032" w:rsidRPr="00981405">
        <w:t>;</w:t>
      </w:r>
      <w:r w:rsidR="00190923" w:rsidRPr="00981405">
        <w:t xml:space="preserve"> </w:t>
      </w:r>
      <w:r w:rsidR="00397032" w:rsidRPr="00981405">
        <w:t>Ms.</w:t>
      </w:r>
      <w:r w:rsidR="00190923" w:rsidRPr="00981405">
        <w:t xml:space="preserve"> </w:t>
      </w:r>
      <w:r w:rsidR="00397032" w:rsidRPr="00981405">
        <w:t>Concepción</w:t>
      </w:r>
      <w:r w:rsidR="00190923" w:rsidRPr="00981405">
        <w:t xml:space="preserve"> </w:t>
      </w:r>
      <w:r w:rsidR="00397032" w:rsidRPr="00981405">
        <w:t>Escobar</w:t>
      </w:r>
      <w:r w:rsidR="00190923" w:rsidRPr="00981405">
        <w:t xml:space="preserve"> </w:t>
      </w:r>
      <w:r w:rsidR="00397032" w:rsidRPr="00981405">
        <w:t>Hernández:</w:t>
      </w:r>
      <w:r w:rsidR="00190923" w:rsidRPr="00981405">
        <w:t xml:space="preserve"> </w:t>
      </w:r>
      <w:r w:rsidR="00B92E2C" w:rsidRPr="00981405">
        <w:t>“</w:t>
      </w:r>
      <w:r w:rsidR="00397032" w:rsidRPr="00D97463">
        <w:rPr>
          <w:i/>
          <w:iCs/>
        </w:rPr>
        <w:t>Immunity</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State</w:t>
      </w:r>
      <w:r w:rsidR="00190923" w:rsidRPr="00D97463">
        <w:rPr>
          <w:i/>
          <w:iCs/>
        </w:rPr>
        <w:t xml:space="preserve"> </w:t>
      </w:r>
      <w:r w:rsidR="00397032" w:rsidRPr="00D97463">
        <w:rPr>
          <w:i/>
          <w:iCs/>
        </w:rPr>
        <w:t>officials</w:t>
      </w:r>
      <w:r w:rsidR="00190923" w:rsidRPr="00D97463">
        <w:rPr>
          <w:i/>
          <w:iCs/>
        </w:rPr>
        <w:t xml:space="preserve"> </w:t>
      </w:r>
      <w:r w:rsidR="00397032" w:rsidRPr="00D97463">
        <w:rPr>
          <w:i/>
          <w:iCs/>
        </w:rPr>
        <w:t>from</w:t>
      </w:r>
      <w:r w:rsidR="00190923" w:rsidRPr="00D97463">
        <w:rPr>
          <w:i/>
          <w:iCs/>
        </w:rPr>
        <w:t xml:space="preserve"> </w:t>
      </w:r>
      <w:r w:rsidR="00397032" w:rsidRPr="00D97463">
        <w:rPr>
          <w:i/>
          <w:iCs/>
        </w:rPr>
        <w:t>foreign</w:t>
      </w:r>
      <w:r w:rsidR="00190923" w:rsidRPr="00D97463">
        <w:rPr>
          <w:i/>
          <w:iCs/>
        </w:rPr>
        <w:t xml:space="preserve"> </w:t>
      </w:r>
      <w:r w:rsidR="00397032" w:rsidRPr="00D97463">
        <w:rPr>
          <w:i/>
          <w:iCs/>
        </w:rPr>
        <w:t>criminal</w:t>
      </w:r>
      <w:r w:rsidR="00190923" w:rsidRPr="00D97463">
        <w:rPr>
          <w:i/>
          <w:iCs/>
        </w:rPr>
        <w:t xml:space="preserve"> </w:t>
      </w:r>
      <w:r w:rsidR="00397032" w:rsidRPr="00D97463">
        <w:rPr>
          <w:i/>
          <w:iCs/>
        </w:rPr>
        <w:t>jurisdiction</w:t>
      </w:r>
      <w:r w:rsidR="00B92E2C" w:rsidRPr="00981405">
        <w:t>”</w:t>
      </w:r>
      <w:r w:rsidR="00397032" w:rsidRPr="00981405">
        <w:t>;</w:t>
      </w:r>
      <w:r w:rsidR="00190923" w:rsidRPr="00981405">
        <w:t xml:space="preserve"> </w:t>
      </w:r>
      <w:r w:rsidR="00397032" w:rsidRPr="00981405">
        <w:t>Mr.</w:t>
      </w:r>
      <w:r w:rsidR="00190923" w:rsidRPr="00981405">
        <w:t xml:space="preserve"> </w:t>
      </w:r>
      <w:r w:rsidR="00397032" w:rsidRPr="00981405">
        <w:t>Shinya</w:t>
      </w:r>
      <w:r w:rsidR="00190923" w:rsidRPr="00981405">
        <w:t xml:space="preserve"> </w:t>
      </w:r>
      <w:r w:rsidR="00397032" w:rsidRPr="00981405">
        <w:t>Murase:</w:t>
      </w:r>
      <w:r w:rsidR="00190923" w:rsidRPr="00981405">
        <w:t xml:space="preserve"> </w:t>
      </w:r>
      <w:r w:rsidR="00B92E2C" w:rsidRPr="00981405">
        <w:t>“</w:t>
      </w:r>
      <w:r w:rsidR="00397032" w:rsidRPr="00D97463">
        <w:rPr>
          <w:i/>
          <w:iCs/>
        </w:rPr>
        <w:t>Protection</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the</w:t>
      </w:r>
      <w:r w:rsidR="00190923" w:rsidRPr="00D97463">
        <w:rPr>
          <w:i/>
          <w:iCs/>
        </w:rPr>
        <w:t xml:space="preserve"> </w:t>
      </w:r>
      <w:r w:rsidR="00397032" w:rsidRPr="00D97463">
        <w:rPr>
          <w:i/>
          <w:iCs/>
        </w:rPr>
        <w:t>atmosphere</w:t>
      </w:r>
      <w:r w:rsidR="00B92E2C" w:rsidRPr="00981405">
        <w:t>”</w:t>
      </w:r>
      <w:r w:rsidR="00397032" w:rsidRPr="00981405">
        <w:t>;</w:t>
      </w:r>
      <w:r w:rsidR="00190923" w:rsidRPr="00981405">
        <w:t xml:space="preserve"> </w:t>
      </w:r>
      <w:r w:rsidR="00397032" w:rsidRPr="00981405">
        <w:t>Mr.</w:t>
      </w:r>
      <w:r w:rsidR="00190923" w:rsidRPr="00981405">
        <w:t xml:space="preserve"> </w:t>
      </w:r>
      <w:r w:rsidR="00397032" w:rsidRPr="00981405">
        <w:t>Georg</w:t>
      </w:r>
      <w:r w:rsidR="00190923" w:rsidRPr="00981405">
        <w:t xml:space="preserve"> </w:t>
      </w:r>
      <w:r w:rsidR="00397032" w:rsidRPr="00981405">
        <w:t>Nolte:</w:t>
      </w:r>
      <w:r w:rsidR="00190923" w:rsidRPr="00981405">
        <w:t xml:space="preserve"> </w:t>
      </w:r>
      <w:r w:rsidR="00B92E2C" w:rsidRPr="00981405">
        <w:t>“</w:t>
      </w:r>
      <w:r w:rsidR="00397032" w:rsidRPr="00D97463">
        <w:rPr>
          <w:i/>
          <w:iCs/>
        </w:rPr>
        <w:t>Subsequent</w:t>
      </w:r>
      <w:r w:rsidR="00190923" w:rsidRPr="00D97463">
        <w:rPr>
          <w:i/>
          <w:iCs/>
        </w:rPr>
        <w:t xml:space="preserve"> </w:t>
      </w:r>
      <w:r w:rsidR="00397032" w:rsidRPr="00D97463">
        <w:rPr>
          <w:i/>
          <w:iCs/>
        </w:rPr>
        <w:t>agreements</w:t>
      </w:r>
      <w:r w:rsidR="00190923" w:rsidRPr="00D97463">
        <w:rPr>
          <w:i/>
          <w:iCs/>
        </w:rPr>
        <w:t xml:space="preserve"> </w:t>
      </w:r>
      <w:r w:rsidR="00397032" w:rsidRPr="00D97463">
        <w:rPr>
          <w:i/>
          <w:iCs/>
        </w:rPr>
        <w:t>and</w:t>
      </w:r>
      <w:r w:rsidR="00190923" w:rsidRPr="00D97463">
        <w:rPr>
          <w:i/>
          <w:iCs/>
        </w:rPr>
        <w:t xml:space="preserve"> </w:t>
      </w:r>
      <w:r w:rsidR="00397032" w:rsidRPr="00D97463">
        <w:rPr>
          <w:i/>
          <w:iCs/>
        </w:rPr>
        <w:t>subsequent</w:t>
      </w:r>
      <w:r w:rsidR="00190923" w:rsidRPr="00D97463">
        <w:rPr>
          <w:i/>
          <w:iCs/>
        </w:rPr>
        <w:t xml:space="preserve"> </w:t>
      </w:r>
      <w:r w:rsidR="00397032" w:rsidRPr="00D97463">
        <w:rPr>
          <w:i/>
          <w:iCs/>
        </w:rPr>
        <w:t>practice</w:t>
      </w:r>
      <w:r w:rsidR="00190923" w:rsidRPr="00D97463">
        <w:rPr>
          <w:i/>
          <w:iCs/>
        </w:rPr>
        <w:t xml:space="preserve"> </w:t>
      </w:r>
      <w:r w:rsidR="00397032" w:rsidRPr="00D97463">
        <w:rPr>
          <w:i/>
          <w:iCs/>
        </w:rPr>
        <w:t>in</w:t>
      </w:r>
      <w:r w:rsidR="00190923" w:rsidRPr="00D97463">
        <w:rPr>
          <w:i/>
          <w:iCs/>
        </w:rPr>
        <w:t xml:space="preserve"> </w:t>
      </w:r>
      <w:r w:rsidR="00397032" w:rsidRPr="00D97463">
        <w:rPr>
          <w:i/>
          <w:iCs/>
        </w:rPr>
        <w:t>relation</w:t>
      </w:r>
      <w:r w:rsidR="00190923" w:rsidRPr="00D97463">
        <w:rPr>
          <w:i/>
          <w:iCs/>
        </w:rPr>
        <w:t xml:space="preserve"> </w:t>
      </w:r>
      <w:r w:rsidR="00397032" w:rsidRPr="00D97463">
        <w:rPr>
          <w:i/>
          <w:iCs/>
        </w:rPr>
        <w:t>to</w:t>
      </w:r>
      <w:r w:rsidR="00190923" w:rsidRPr="00D97463">
        <w:rPr>
          <w:i/>
          <w:iCs/>
        </w:rPr>
        <w:t xml:space="preserve"> </w:t>
      </w:r>
      <w:r w:rsidR="00397032" w:rsidRPr="00D97463">
        <w:rPr>
          <w:i/>
          <w:iCs/>
        </w:rPr>
        <w:t>the</w:t>
      </w:r>
      <w:r w:rsidR="00190923" w:rsidRPr="00D97463">
        <w:rPr>
          <w:i/>
          <w:iCs/>
        </w:rPr>
        <w:t xml:space="preserve"> </w:t>
      </w:r>
      <w:r w:rsidR="00397032" w:rsidRPr="00D97463">
        <w:rPr>
          <w:i/>
          <w:iCs/>
        </w:rPr>
        <w:t>interpretation</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treaties</w:t>
      </w:r>
      <w:r w:rsidR="00B92E2C" w:rsidRPr="00981405">
        <w:t>”</w:t>
      </w:r>
      <w:r w:rsidR="00397032" w:rsidRPr="00981405">
        <w:t>;</w:t>
      </w:r>
      <w:r w:rsidR="00190923" w:rsidRPr="00981405">
        <w:t xml:space="preserve"> </w:t>
      </w:r>
      <w:r w:rsidR="00397032" w:rsidRPr="00981405">
        <w:t>Mr.</w:t>
      </w:r>
      <w:r w:rsidR="00190923" w:rsidRPr="00981405">
        <w:t xml:space="preserve"> </w:t>
      </w:r>
      <w:r w:rsidR="00397032" w:rsidRPr="00981405">
        <w:t>Michael</w:t>
      </w:r>
      <w:r w:rsidR="00190923" w:rsidRPr="00981405">
        <w:t xml:space="preserve"> </w:t>
      </w:r>
      <w:r w:rsidR="00397032" w:rsidRPr="00981405">
        <w:t>Wood:</w:t>
      </w:r>
      <w:r w:rsidR="00190923" w:rsidRPr="00981405">
        <w:t xml:space="preserve"> </w:t>
      </w:r>
      <w:r w:rsidR="00B92E2C" w:rsidRPr="00981405">
        <w:t>“</w:t>
      </w:r>
      <w:r w:rsidR="00397032" w:rsidRPr="00D97463">
        <w:rPr>
          <w:i/>
          <w:iCs/>
        </w:rPr>
        <w:t>Identification</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customary</w:t>
      </w:r>
      <w:r w:rsidR="00190923" w:rsidRPr="00D97463">
        <w:rPr>
          <w:i/>
          <w:iCs/>
        </w:rPr>
        <w:t xml:space="preserve"> </w:t>
      </w:r>
      <w:r w:rsidR="00397032" w:rsidRPr="00D97463">
        <w:rPr>
          <w:i/>
          <w:iCs/>
        </w:rPr>
        <w:t>international</w:t>
      </w:r>
      <w:r w:rsidR="00190923" w:rsidRPr="00D97463">
        <w:rPr>
          <w:i/>
          <w:iCs/>
        </w:rPr>
        <w:t xml:space="preserve"> </w:t>
      </w:r>
      <w:r w:rsidR="00397032" w:rsidRPr="00D97463">
        <w:rPr>
          <w:i/>
          <w:iCs/>
        </w:rPr>
        <w:t>law</w:t>
      </w:r>
      <w:r w:rsidR="00B92E2C" w:rsidRPr="00981405">
        <w:t>”</w:t>
      </w:r>
      <w:r w:rsidR="00397032" w:rsidRPr="00981405">
        <w:t>;</w:t>
      </w:r>
      <w:r w:rsidR="00190923" w:rsidRPr="00981405">
        <w:t xml:space="preserve"> </w:t>
      </w:r>
      <w:r w:rsidR="00397032" w:rsidRPr="00981405">
        <w:t>Ms.</w:t>
      </w:r>
      <w:r w:rsidR="00190923" w:rsidRPr="00981405">
        <w:t xml:space="preserve"> </w:t>
      </w:r>
      <w:r w:rsidR="00397032" w:rsidRPr="00981405">
        <w:t>Marie</w:t>
      </w:r>
      <w:r w:rsidR="00190923" w:rsidRPr="00981405">
        <w:t xml:space="preserve"> </w:t>
      </w:r>
      <w:r w:rsidR="00397032" w:rsidRPr="00981405">
        <w:t>Jacobsson:</w:t>
      </w:r>
      <w:r w:rsidR="00190923" w:rsidRPr="00981405">
        <w:t xml:space="preserve"> </w:t>
      </w:r>
      <w:r w:rsidR="00B92E2C" w:rsidRPr="00981405">
        <w:t>“</w:t>
      </w:r>
      <w:r w:rsidR="00397032" w:rsidRPr="00D97463">
        <w:rPr>
          <w:i/>
          <w:iCs/>
        </w:rPr>
        <w:t>Protection</w:t>
      </w:r>
      <w:r w:rsidR="00190923" w:rsidRPr="00D97463">
        <w:rPr>
          <w:i/>
          <w:iCs/>
        </w:rPr>
        <w:t xml:space="preserve"> </w:t>
      </w:r>
      <w:r w:rsidR="00397032" w:rsidRPr="00D97463">
        <w:rPr>
          <w:i/>
          <w:iCs/>
        </w:rPr>
        <w:t>of</w:t>
      </w:r>
      <w:r w:rsidR="00190923" w:rsidRPr="00D97463">
        <w:rPr>
          <w:i/>
          <w:iCs/>
        </w:rPr>
        <w:t xml:space="preserve"> </w:t>
      </w:r>
      <w:r w:rsidR="00397032" w:rsidRPr="00D97463">
        <w:rPr>
          <w:i/>
          <w:iCs/>
        </w:rPr>
        <w:t>the</w:t>
      </w:r>
      <w:r w:rsidR="00190923" w:rsidRPr="00D97463">
        <w:rPr>
          <w:i/>
          <w:iCs/>
        </w:rPr>
        <w:t xml:space="preserve"> </w:t>
      </w:r>
      <w:r w:rsidR="00397032" w:rsidRPr="00D97463">
        <w:rPr>
          <w:i/>
          <w:iCs/>
        </w:rPr>
        <w:t>environment</w:t>
      </w:r>
      <w:r w:rsidR="00190923" w:rsidRPr="00D97463">
        <w:rPr>
          <w:i/>
          <w:iCs/>
        </w:rPr>
        <w:t xml:space="preserve"> </w:t>
      </w:r>
      <w:r w:rsidR="00397032" w:rsidRPr="00D97463">
        <w:rPr>
          <w:i/>
          <w:iCs/>
        </w:rPr>
        <w:t>in</w:t>
      </w:r>
      <w:r w:rsidR="00190923" w:rsidRPr="00D97463">
        <w:rPr>
          <w:i/>
          <w:iCs/>
        </w:rPr>
        <w:t xml:space="preserve"> </w:t>
      </w:r>
      <w:r w:rsidR="00397032" w:rsidRPr="00D97463">
        <w:rPr>
          <w:i/>
          <w:iCs/>
        </w:rPr>
        <w:t>relation</w:t>
      </w:r>
      <w:r w:rsidR="00190923" w:rsidRPr="00D97463">
        <w:rPr>
          <w:i/>
          <w:iCs/>
        </w:rPr>
        <w:t xml:space="preserve"> </w:t>
      </w:r>
      <w:r w:rsidR="00397032" w:rsidRPr="00D97463">
        <w:rPr>
          <w:i/>
          <w:iCs/>
        </w:rPr>
        <w:t>to</w:t>
      </w:r>
      <w:r w:rsidR="00190923" w:rsidRPr="00D97463">
        <w:rPr>
          <w:i/>
          <w:iCs/>
        </w:rPr>
        <w:t xml:space="preserve"> </w:t>
      </w:r>
      <w:r w:rsidR="00397032" w:rsidRPr="00D97463">
        <w:rPr>
          <w:i/>
          <w:iCs/>
        </w:rPr>
        <w:t>armed</w:t>
      </w:r>
      <w:r w:rsidR="00190923" w:rsidRPr="00D97463">
        <w:rPr>
          <w:i/>
          <w:iCs/>
        </w:rPr>
        <w:t xml:space="preserve"> </w:t>
      </w:r>
      <w:r w:rsidR="00397032" w:rsidRPr="00D97463">
        <w:rPr>
          <w:i/>
          <w:iCs/>
        </w:rPr>
        <w:t>conflicts</w:t>
      </w:r>
      <w:r w:rsidR="00B92E2C" w:rsidRPr="00981405">
        <w:t>”</w:t>
      </w:r>
      <w:r w:rsidR="00397032" w:rsidRPr="00981405">
        <w:t>;</w:t>
      </w:r>
      <w:r w:rsidR="00190923" w:rsidRPr="00981405">
        <w:t xml:space="preserve"> </w:t>
      </w:r>
      <w:r w:rsidR="00397032" w:rsidRPr="00981405">
        <w:t>and</w:t>
      </w:r>
      <w:r w:rsidR="00190923" w:rsidRPr="00981405">
        <w:t xml:space="preserve"> </w:t>
      </w:r>
      <w:r w:rsidR="00397032" w:rsidRPr="00981405">
        <w:t>Mr.</w:t>
      </w:r>
      <w:r w:rsidR="00190923" w:rsidRPr="00981405">
        <w:t xml:space="preserve"> </w:t>
      </w:r>
      <w:r w:rsidR="00397032" w:rsidRPr="00981405">
        <w:t>Sean</w:t>
      </w:r>
      <w:r w:rsidR="00190923" w:rsidRPr="00981405">
        <w:t xml:space="preserve"> </w:t>
      </w:r>
      <w:r w:rsidR="00397032" w:rsidRPr="00981405">
        <w:t>D.</w:t>
      </w:r>
      <w:r w:rsidR="00190923" w:rsidRPr="00981405">
        <w:t xml:space="preserve"> </w:t>
      </w:r>
      <w:r w:rsidR="00397032" w:rsidRPr="00981405">
        <w:t>Murphy:</w:t>
      </w:r>
      <w:r w:rsidR="00190923" w:rsidRPr="00981405">
        <w:t xml:space="preserve"> </w:t>
      </w:r>
      <w:r w:rsidR="00B92E2C" w:rsidRPr="00981405">
        <w:t>“</w:t>
      </w:r>
      <w:r w:rsidR="00397032" w:rsidRPr="00D97463">
        <w:rPr>
          <w:i/>
          <w:iCs/>
        </w:rPr>
        <w:t>Crimes</w:t>
      </w:r>
      <w:r w:rsidR="00190923" w:rsidRPr="00D97463">
        <w:rPr>
          <w:i/>
          <w:iCs/>
        </w:rPr>
        <w:t xml:space="preserve"> </w:t>
      </w:r>
      <w:r w:rsidR="00397032" w:rsidRPr="00D97463">
        <w:rPr>
          <w:i/>
          <w:iCs/>
        </w:rPr>
        <w:t>against</w:t>
      </w:r>
      <w:r w:rsidR="00190923" w:rsidRPr="00D97463">
        <w:rPr>
          <w:i/>
          <w:iCs/>
        </w:rPr>
        <w:t xml:space="preserve"> </w:t>
      </w:r>
      <w:r w:rsidR="00397032" w:rsidRPr="00D97463">
        <w:rPr>
          <w:i/>
          <w:iCs/>
        </w:rPr>
        <w:t>humanity</w:t>
      </w:r>
      <w:r w:rsidR="00B92E2C" w:rsidRPr="00981405">
        <w:t>”</w:t>
      </w:r>
      <w:r w:rsidR="00397032" w:rsidRPr="00981405">
        <w:t>.</w:t>
      </w:r>
    </w:p>
    <w:p w:rsidR="00397032" w:rsidRPr="00981405" w:rsidRDefault="00397032" w:rsidP="00D97463">
      <w:pPr>
        <w:pStyle w:val="SingleTxt"/>
      </w:pPr>
      <w:r w:rsidRPr="00981405">
        <w:t>323.</w:t>
      </w:r>
      <w:r w:rsidRPr="00981405">
        <w:tab/>
        <w:t>Seminar</w:t>
      </w:r>
      <w:r w:rsidR="00190923" w:rsidRPr="00981405">
        <w:t xml:space="preserve"> </w:t>
      </w:r>
      <w:r w:rsidRPr="00981405">
        <w:t>participants</w:t>
      </w:r>
      <w:r w:rsidR="00190923" w:rsidRPr="00981405">
        <w:t xml:space="preserve"> </w:t>
      </w:r>
      <w:r w:rsidRPr="00981405">
        <w:t>attended</w:t>
      </w:r>
      <w:r w:rsidR="00190923" w:rsidRPr="00981405">
        <w:t xml:space="preserve"> </w:t>
      </w:r>
      <w:r w:rsidRPr="00981405">
        <w:t>six</w:t>
      </w:r>
      <w:r w:rsidR="00190923" w:rsidRPr="00981405">
        <w:t xml:space="preserve"> </w:t>
      </w:r>
      <w:r w:rsidRPr="00981405">
        <w:t>external</w:t>
      </w:r>
      <w:r w:rsidR="00190923" w:rsidRPr="00981405">
        <w:t xml:space="preserve"> </w:t>
      </w:r>
      <w:r w:rsidRPr="00981405">
        <w:t>sessions.</w:t>
      </w:r>
      <w:r w:rsidR="00190923" w:rsidRPr="00981405">
        <w:t xml:space="preserve"> </w:t>
      </w:r>
      <w:r w:rsidRPr="00981405">
        <w:t>They</w:t>
      </w:r>
      <w:r w:rsidR="00190923" w:rsidRPr="00981405">
        <w:t xml:space="preserve"> </w:t>
      </w:r>
      <w:r w:rsidRPr="00981405">
        <w:t>attended</w:t>
      </w:r>
      <w:r w:rsidR="00190923" w:rsidRPr="00981405">
        <w:t xml:space="preserve"> </w:t>
      </w:r>
      <w:r w:rsidRPr="00981405">
        <w:t>a</w:t>
      </w:r>
      <w:r w:rsidR="00190923" w:rsidRPr="00981405">
        <w:t xml:space="preserve"> </w:t>
      </w:r>
      <w:r w:rsidRPr="00981405">
        <w:t>workshop</w:t>
      </w:r>
      <w:r w:rsidR="00190923" w:rsidRPr="00981405">
        <w:t xml:space="preserve"> </w:t>
      </w:r>
      <w:r w:rsidRPr="00981405">
        <w:t>organised</w:t>
      </w:r>
      <w:r w:rsidR="00190923" w:rsidRPr="00981405">
        <w:t xml:space="preserve"> </w:t>
      </w:r>
      <w:r w:rsidRPr="00981405">
        <w:t>by</w:t>
      </w:r>
      <w:r w:rsidR="00190923" w:rsidRPr="00981405">
        <w:t xml:space="preserve"> </w:t>
      </w:r>
      <w:r w:rsidRPr="00981405">
        <w:t>the</w:t>
      </w:r>
      <w:r w:rsidR="00190923" w:rsidRPr="00981405">
        <w:t xml:space="preserve"> </w:t>
      </w:r>
      <w:r w:rsidRPr="00981405">
        <w:t>University</w:t>
      </w:r>
      <w:r w:rsidR="00190923" w:rsidRPr="00981405">
        <w:t xml:space="preserve"> </w:t>
      </w:r>
      <w:r w:rsidRPr="00981405">
        <w:t>of</w:t>
      </w:r>
      <w:r w:rsidR="00190923" w:rsidRPr="00981405">
        <w:t xml:space="preserve"> </w:t>
      </w:r>
      <w:r w:rsidRPr="00981405">
        <w:t>Geneva</w:t>
      </w:r>
      <w:r w:rsidR="00190923" w:rsidRPr="00981405">
        <w:t xml:space="preserve"> </w:t>
      </w:r>
      <w:r w:rsidRPr="00981405">
        <w:t>in</w:t>
      </w:r>
      <w:r w:rsidR="00190923" w:rsidRPr="00981405">
        <w:t xml:space="preserve"> </w:t>
      </w:r>
      <w:r w:rsidRPr="00981405">
        <w:t>collaboration</w:t>
      </w:r>
      <w:r w:rsidR="00190923" w:rsidRPr="00981405">
        <w:t xml:space="preserve"> </w:t>
      </w:r>
      <w:r w:rsidRPr="00981405">
        <w:t>with</w:t>
      </w:r>
      <w:r w:rsidR="00190923" w:rsidRPr="00981405">
        <w:t xml:space="preserve"> </w:t>
      </w:r>
      <w:r w:rsidRPr="00981405">
        <w:t>the</w:t>
      </w:r>
      <w:r w:rsidR="00190923" w:rsidRPr="00981405">
        <w:t xml:space="preserve"> </w:t>
      </w:r>
      <w:r w:rsidRPr="00981405">
        <w:t>Geneva</w:t>
      </w:r>
      <w:r w:rsidR="00190923" w:rsidRPr="00981405">
        <w:t xml:space="preserve"> </w:t>
      </w:r>
      <w:r w:rsidRPr="00981405">
        <w:t>Water</w:t>
      </w:r>
      <w:r w:rsidR="00190923" w:rsidRPr="00981405">
        <w:t xml:space="preserve"> </w:t>
      </w:r>
      <w:r w:rsidRPr="00981405">
        <w:t>Hub,</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00B92E2C" w:rsidRPr="00981405">
        <w:t>“</w:t>
      </w:r>
      <w:r w:rsidRPr="00D97463">
        <w:rPr>
          <w:i/>
          <w:iCs/>
        </w:rPr>
        <w:t>International</w:t>
      </w:r>
      <w:r w:rsidR="00190923" w:rsidRPr="00D97463">
        <w:rPr>
          <w:i/>
          <w:iCs/>
        </w:rPr>
        <w:t xml:space="preserve"> </w:t>
      </w:r>
      <w:r w:rsidRPr="00D97463">
        <w:rPr>
          <w:i/>
          <w:iCs/>
        </w:rPr>
        <w:t>Water</w:t>
      </w:r>
      <w:r w:rsidR="00190923" w:rsidRPr="00D97463">
        <w:rPr>
          <w:i/>
          <w:iCs/>
        </w:rPr>
        <w:t xml:space="preserve"> </w:t>
      </w:r>
      <w:r w:rsidRPr="00D97463">
        <w:rPr>
          <w:i/>
          <w:iCs/>
        </w:rPr>
        <w:t>Law:</w:t>
      </w:r>
      <w:r w:rsidR="00190923" w:rsidRPr="00D97463">
        <w:rPr>
          <w:i/>
          <w:iCs/>
        </w:rPr>
        <w:t xml:space="preserve"> </w:t>
      </w:r>
      <w:r w:rsidRPr="00D97463">
        <w:rPr>
          <w:i/>
          <w:iCs/>
        </w:rPr>
        <w:t>Issues</w:t>
      </w:r>
      <w:r w:rsidR="00190923" w:rsidRPr="00D97463">
        <w:rPr>
          <w:i/>
          <w:iCs/>
        </w:rPr>
        <w:t xml:space="preserve"> </w:t>
      </w:r>
      <w:r w:rsidRPr="00D97463">
        <w:rPr>
          <w:i/>
          <w:iCs/>
        </w:rPr>
        <w:t>of</w:t>
      </w:r>
      <w:r w:rsidR="00190923" w:rsidRPr="00D97463">
        <w:rPr>
          <w:i/>
          <w:iCs/>
        </w:rPr>
        <w:t xml:space="preserve"> </w:t>
      </w:r>
      <w:r w:rsidRPr="00D97463">
        <w:rPr>
          <w:i/>
          <w:iCs/>
        </w:rPr>
        <w:t>Implementations</w:t>
      </w:r>
      <w:r w:rsidR="00B92E2C" w:rsidRPr="00981405">
        <w:t>”</w:t>
      </w:r>
      <w:r w:rsidRPr="00981405">
        <w:t>.</w:t>
      </w:r>
      <w:r w:rsidR="00190923" w:rsidRPr="00981405">
        <w:t xml:space="preserve"> </w:t>
      </w:r>
      <w:r w:rsidRPr="00981405">
        <w:t>The</w:t>
      </w:r>
      <w:r w:rsidR="00190923" w:rsidRPr="00981405">
        <w:t xml:space="preserve"> </w:t>
      </w:r>
      <w:r w:rsidRPr="00981405">
        <w:t>following</w:t>
      </w:r>
      <w:r w:rsidR="00190923" w:rsidRPr="00981405">
        <w:t xml:space="preserve"> </w:t>
      </w:r>
      <w:r w:rsidRPr="00981405">
        <w:t>speakers</w:t>
      </w:r>
      <w:r w:rsidR="00190923" w:rsidRPr="00981405">
        <w:t xml:space="preserve"> </w:t>
      </w:r>
      <w:r w:rsidRPr="00981405">
        <w:t>made</w:t>
      </w:r>
      <w:r w:rsidR="00190923" w:rsidRPr="00981405">
        <w:t xml:space="preserve"> </w:t>
      </w:r>
      <w:r w:rsidRPr="00981405">
        <w:t>statements:</w:t>
      </w:r>
      <w:r w:rsidR="00190923" w:rsidRPr="00981405">
        <w:t xml:space="preserve"> </w:t>
      </w:r>
      <w:r w:rsidRPr="00981405">
        <w:t>Ms.</w:t>
      </w:r>
      <w:r w:rsidR="00190923" w:rsidRPr="00981405">
        <w:t xml:space="preserve"> </w:t>
      </w:r>
      <w:r w:rsidRPr="00981405">
        <w:t>Danae</w:t>
      </w:r>
      <w:r w:rsidR="00190923" w:rsidRPr="00981405">
        <w:t xml:space="preserve"> </w:t>
      </w:r>
      <w:r w:rsidRPr="00981405">
        <w:t>Azaria</w:t>
      </w:r>
      <w:r w:rsidR="00190923" w:rsidRPr="00981405">
        <w:t xml:space="preserve"> </w:t>
      </w:r>
      <w:r w:rsidRPr="00981405">
        <w:t>(Lecturer,</w:t>
      </w:r>
      <w:r w:rsidR="00190923" w:rsidRPr="00981405">
        <w:t xml:space="preserve"> </w:t>
      </w:r>
      <w:r w:rsidRPr="00981405">
        <w:t>University</w:t>
      </w:r>
      <w:r w:rsidR="00190923" w:rsidRPr="00981405">
        <w:t xml:space="preserve"> </w:t>
      </w:r>
      <w:r w:rsidRPr="00981405">
        <w:t>College</w:t>
      </w:r>
      <w:r w:rsidR="00190923" w:rsidRPr="00981405">
        <w:t xml:space="preserve"> </w:t>
      </w:r>
      <w:r w:rsidRPr="00981405">
        <w:t>of</w:t>
      </w:r>
      <w:r w:rsidR="00190923" w:rsidRPr="00981405">
        <w:t xml:space="preserve"> </w:t>
      </w:r>
      <w:r w:rsidRPr="00981405">
        <w:t>London),</w:t>
      </w:r>
      <w:r w:rsidR="00190923" w:rsidRPr="00981405">
        <w:t xml:space="preserve"> </w:t>
      </w:r>
      <w:r w:rsidRPr="00981405">
        <w:t>Prof.</w:t>
      </w:r>
      <w:r w:rsidR="00190923" w:rsidRPr="00981405">
        <w:t xml:space="preserve"> </w:t>
      </w:r>
      <w:r w:rsidRPr="00981405">
        <w:t>Laurence</w:t>
      </w:r>
      <w:r w:rsidR="00190923" w:rsidRPr="00981405">
        <w:t xml:space="preserve"> </w:t>
      </w:r>
      <w:r w:rsidRPr="00981405">
        <w:t>Boisson</w:t>
      </w:r>
      <w:r w:rsidR="00190923" w:rsidRPr="00981405">
        <w:t xml:space="preserve"> </w:t>
      </w:r>
      <w:r w:rsidRPr="00981405">
        <w:t>de</w:t>
      </w:r>
      <w:r w:rsidR="00190923" w:rsidRPr="00981405">
        <w:t xml:space="preserve"> </w:t>
      </w:r>
      <w:r w:rsidRPr="00981405">
        <w:t>Chazournes</w:t>
      </w:r>
      <w:r w:rsidR="00190923" w:rsidRPr="00981405">
        <w:t xml:space="preserve"> </w:t>
      </w:r>
      <w:r w:rsidRPr="00981405">
        <w:t>(University</w:t>
      </w:r>
      <w:r w:rsidR="00190923" w:rsidRPr="00981405">
        <w:t xml:space="preserve"> </w:t>
      </w:r>
      <w:r w:rsidRPr="00981405">
        <w:t>of</w:t>
      </w:r>
      <w:r w:rsidR="00190923" w:rsidRPr="00981405">
        <w:t xml:space="preserve"> </w:t>
      </w:r>
      <w:r w:rsidRPr="00981405">
        <w:t>Geneva),</w:t>
      </w:r>
      <w:r w:rsidR="00190923" w:rsidRPr="00981405">
        <w:t xml:space="preserve"> </w:t>
      </w:r>
      <w:r w:rsidRPr="00981405">
        <w:t>Mr.</w:t>
      </w:r>
      <w:r w:rsidR="00190923" w:rsidRPr="00981405">
        <w:t xml:space="preserve"> </w:t>
      </w:r>
      <w:r w:rsidRPr="00981405">
        <w:t>Lucius</w:t>
      </w:r>
      <w:r w:rsidR="00190923" w:rsidRPr="00981405">
        <w:t xml:space="preserve"> </w:t>
      </w:r>
      <w:r w:rsidRPr="00981405">
        <w:t>Caflisch</w:t>
      </w:r>
      <w:r w:rsidR="00190923" w:rsidRPr="00981405">
        <w:t xml:space="preserve"> </w:t>
      </w:r>
      <w:r w:rsidRPr="00981405">
        <w:t>(member</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Mr.</w:t>
      </w:r>
      <w:r w:rsidR="00190923" w:rsidRPr="00981405">
        <w:t xml:space="preserve"> </w:t>
      </w:r>
      <w:r w:rsidRPr="00981405">
        <w:t>Maurice</w:t>
      </w:r>
      <w:r w:rsidR="00190923" w:rsidRPr="00981405">
        <w:t xml:space="preserve"> </w:t>
      </w:r>
      <w:r w:rsidRPr="00981405">
        <w:t>Kamto</w:t>
      </w:r>
      <w:r w:rsidR="00190923" w:rsidRPr="00981405">
        <w:t xml:space="preserve"> </w:t>
      </w:r>
      <w:r w:rsidRPr="00981405">
        <w:t>(member</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Prof.</w:t>
      </w:r>
      <w:r w:rsidR="00190923" w:rsidRPr="00981405">
        <w:t xml:space="preserve"> </w:t>
      </w:r>
      <w:r w:rsidRPr="00981405">
        <w:t>Attila</w:t>
      </w:r>
      <w:r w:rsidR="00190923" w:rsidRPr="00981405">
        <w:t xml:space="preserve"> </w:t>
      </w:r>
      <w:r w:rsidRPr="00981405">
        <w:t>Tanzi</w:t>
      </w:r>
      <w:r w:rsidR="00190923" w:rsidRPr="00981405">
        <w:t xml:space="preserve"> </w:t>
      </w:r>
      <w:r w:rsidRPr="00981405">
        <w:t>(University</w:t>
      </w:r>
      <w:r w:rsidR="00190923" w:rsidRPr="00981405">
        <w:t xml:space="preserve"> </w:t>
      </w:r>
      <w:r w:rsidRPr="00981405">
        <w:t>of</w:t>
      </w:r>
      <w:r w:rsidR="00190923" w:rsidRPr="00981405">
        <w:t xml:space="preserve"> </w:t>
      </w:r>
      <w:r w:rsidRPr="00981405">
        <w:t>Bologna,</w:t>
      </w:r>
      <w:r w:rsidR="00190923" w:rsidRPr="00981405">
        <w:t xml:space="preserve"> </w:t>
      </w:r>
      <w:r w:rsidRPr="00981405">
        <w:t>Italy),</w:t>
      </w:r>
      <w:r w:rsidR="00190923" w:rsidRPr="00981405">
        <w:t xml:space="preserve"> </w:t>
      </w:r>
      <w:r w:rsidRPr="00981405">
        <w:t>Ms.</w:t>
      </w:r>
      <w:r w:rsidR="00190923" w:rsidRPr="00981405">
        <w:t xml:space="preserve"> </w:t>
      </w:r>
      <w:r w:rsidRPr="00981405">
        <w:t>Christina</w:t>
      </w:r>
      <w:r w:rsidR="00190923" w:rsidRPr="00981405">
        <w:t xml:space="preserve"> </w:t>
      </w:r>
      <w:r w:rsidRPr="00981405">
        <w:t>Leb</w:t>
      </w:r>
      <w:r w:rsidR="00190923" w:rsidRPr="00981405">
        <w:t xml:space="preserve"> </w:t>
      </w:r>
      <w:r w:rsidRPr="00981405">
        <w:t>(World</w:t>
      </w:r>
      <w:r w:rsidR="00190923" w:rsidRPr="00981405">
        <w:t xml:space="preserve"> </w:t>
      </w:r>
      <w:r w:rsidRPr="00981405">
        <w:t>Bank),</w:t>
      </w:r>
      <w:r w:rsidR="00190923" w:rsidRPr="00981405">
        <w:t xml:space="preserve"> </w:t>
      </w:r>
      <w:r w:rsidRPr="00981405">
        <w:t>Prof.</w:t>
      </w:r>
      <w:r w:rsidR="00190923" w:rsidRPr="00981405">
        <w:t xml:space="preserve"> </w:t>
      </w:r>
      <w:r w:rsidRPr="00981405">
        <w:t>Marco</w:t>
      </w:r>
      <w:r w:rsidR="00190923" w:rsidRPr="00981405">
        <w:t xml:space="preserve"> </w:t>
      </w:r>
      <w:r w:rsidRPr="00981405">
        <w:t>Sassòli</w:t>
      </w:r>
      <w:r w:rsidR="00190923" w:rsidRPr="00981405">
        <w:t xml:space="preserve"> </w:t>
      </w:r>
      <w:r w:rsidRPr="00981405">
        <w:t>(University</w:t>
      </w:r>
      <w:r w:rsidR="00190923" w:rsidRPr="00981405">
        <w:t xml:space="preserve"> </w:t>
      </w:r>
      <w:r w:rsidRPr="00981405">
        <w:t>of</w:t>
      </w:r>
      <w:r w:rsidR="00190923" w:rsidRPr="00981405">
        <w:t xml:space="preserve"> </w:t>
      </w:r>
      <w:r w:rsidRPr="00981405">
        <w:t>Geneva)</w:t>
      </w:r>
      <w:r w:rsidR="00190923" w:rsidRPr="00981405">
        <w:t xml:space="preserve"> </w:t>
      </w:r>
      <w:r w:rsidRPr="00981405">
        <w:t>and</w:t>
      </w:r>
      <w:r w:rsidR="00190923" w:rsidRPr="00981405">
        <w:t xml:space="preserve"> </w:t>
      </w:r>
      <w:r w:rsidRPr="00981405">
        <w:t>Ms.</w:t>
      </w:r>
      <w:r w:rsidR="00190923" w:rsidRPr="00981405">
        <w:t xml:space="preserve"> </w:t>
      </w:r>
      <w:r w:rsidRPr="00981405">
        <w:t>Mara</w:t>
      </w:r>
      <w:r w:rsidR="00190923" w:rsidRPr="00981405">
        <w:t xml:space="preserve"> </w:t>
      </w:r>
      <w:r w:rsidRPr="00981405">
        <w:t>Tignino</w:t>
      </w:r>
      <w:r w:rsidR="00190923" w:rsidRPr="00981405">
        <w:t xml:space="preserve"> </w:t>
      </w:r>
      <w:r w:rsidRPr="00981405">
        <w:t>(University</w:t>
      </w:r>
      <w:r w:rsidR="00190923" w:rsidRPr="00981405">
        <w:t xml:space="preserve"> </w:t>
      </w:r>
      <w:r w:rsidRPr="00981405">
        <w:t>of</w:t>
      </w:r>
      <w:r w:rsidR="00190923" w:rsidRPr="00981405">
        <w:t xml:space="preserve"> </w:t>
      </w:r>
      <w:r w:rsidRPr="00981405">
        <w:t>Geneva).</w:t>
      </w:r>
      <w:r w:rsidR="00190923" w:rsidRPr="00981405">
        <w:t xml:space="preserve"> </w:t>
      </w:r>
      <w:r w:rsidRPr="00981405">
        <w:t>The</w:t>
      </w:r>
      <w:r w:rsidR="00190923" w:rsidRPr="00981405">
        <w:t xml:space="preserve"> </w:t>
      </w:r>
      <w:r w:rsidRPr="00981405">
        <w:t>workshop</w:t>
      </w:r>
      <w:r w:rsidR="00190923" w:rsidRPr="00981405">
        <w:t xml:space="preserve"> </w:t>
      </w:r>
      <w:r w:rsidRPr="00981405">
        <w:t>was</w:t>
      </w:r>
      <w:r w:rsidR="00190923" w:rsidRPr="00981405">
        <w:t xml:space="preserve"> </w:t>
      </w:r>
      <w:r w:rsidRPr="00981405">
        <w:t>followed</w:t>
      </w:r>
      <w:r w:rsidR="00190923" w:rsidRPr="00981405">
        <w:t xml:space="preserve"> </w:t>
      </w:r>
      <w:r w:rsidRPr="00981405">
        <w:t>by</w:t>
      </w:r>
      <w:r w:rsidR="00190923" w:rsidRPr="00981405">
        <w:t xml:space="preserve"> </w:t>
      </w:r>
      <w:r w:rsidRPr="00981405">
        <w:t>a</w:t>
      </w:r>
      <w:r w:rsidR="00190923" w:rsidRPr="00981405">
        <w:t xml:space="preserve"> </w:t>
      </w:r>
      <w:r w:rsidRPr="00981405">
        <w:t>reception</w:t>
      </w:r>
      <w:r w:rsidR="00190923" w:rsidRPr="00981405">
        <w:t xml:space="preserve"> </w:t>
      </w:r>
      <w:r w:rsidRPr="00981405">
        <w:t>offered</w:t>
      </w:r>
      <w:r w:rsidR="00190923" w:rsidRPr="00981405">
        <w:t xml:space="preserve"> </w:t>
      </w:r>
      <w:r w:rsidRPr="00981405">
        <w:t>by</w:t>
      </w:r>
      <w:r w:rsidR="00190923" w:rsidRPr="00981405">
        <w:t xml:space="preserve"> </w:t>
      </w:r>
      <w:r w:rsidRPr="00981405">
        <w:t>the</w:t>
      </w:r>
      <w:r w:rsidR="00190923" w:rsidRPr="00981405">
        <w:t xml:space="preserve"> </w:t>
      </w:r>
      <w:r w:rsidRPr="00981405">
        <w:t>Geneva</w:t>
      </w:r>
      <w:r w:rsidR="00190923" w:rsidRPr="00981405">
        <w:t xml:space="preserve"> </w:t>
      </w:r>
      <w:r w:rsidRPr="00981405">
        <w:t>Water</w:t>
      </w:r>
      <w:r w:rsidR="00190923" w:rsidRPr="00981405">
        <w:t xml:space="preserve"> </w:t>
      </w:r>
      <w:r w:rsidRPr="00981405">
        <w:t>Hub.</w:t>
      </w:r>
      <w:r w:rsidR="00190923" w:rsidRPr="00981405">
        <w:t xml:space="preserve"> </w:t>
      </w:r>
      <w:r w:rsidRPr="00981405">
        <w:t>A</w:t>
      </w:r>
      <w:r w:rsidR="00190923" w:rsidRPr="00981405">
        <w:t xml:space="preserve"> </w:t>
      </w:r>
      <w:r w:rsidRPr="00981405">
        <w:t>special</w:t>
      </w:r>
      <w:r w:rsidR="00190923" w:rsidRPr="00981405">
        <w:t xml:space="preserve"> </w:t>
      </w:r>
      <w:r w:rsidRPr="00981405">
        <w:t>session</w:t>
      </w:r>
      <w:r w:rsidR="00190923" w:rsidRPr="00981405">
        <w:t xml:space="preserve"> </w:t>
      </w:r>
      <w:r w:rsidRPr="00981405">
        <w:t>on</w:t>
      </w:r>
      <w:r w:rsidR="00190923" w:rsidRPr="00981405">
        <w:t xml:space="preserve"> </w:t>
      </w:r>
      <w:r w:rsidR="00B92E2C" w:rsidRPr="00981405">
        <w:t>“</w:t>
      </w:r>
      <w:r w:rsidRPr="00D97463">
        <w:rPr>
          <w:i/>
          <w:iCs/>
        </w:rPr>
        <w:t>International</w:t>
      </w:r>
      <w:r w:rsidR="00190923" w:rsidRPr="00D97463">
        <w:rPr>
          <w:i/>
          <w:iCs/>
        </w:rPr>
        <w:t xml:space="preserve"> </w:t>
      </w:r>
      <w:r w:rsidRPr="00D97463">
        <w:rPr>
          <w:i/>
          <w:iCs/>
        </w:rPr>
        <w:t>Administrative</w:t>
      </w:r>
      <w:r w:rsidR="00190923" w:rsidRPr="00D97463">
        <w:rPr>
          <w:i/>
          <w:iCs/>
        </w:rPr>
        <w:t xml:space="preserve"> </w:t>
      </w:r>
      <w:r w:rsidRPr="00D97463">
        <w:rPr>
          <w:i/>
          <w:iCs/>
        </w:rPr>
        <w:t>Tribunals</w:t>
      </w:r>
      <w:r w:rsidR="00B92E2C" w:rsidRPr="00981405">
        <w:t>”</w:t>
      </w:r>
      <w:r w:rsidR="00190923" w:rsidRPr="00981405">
        <w:t xml:space="preserve"> </w:t>
      </w:r>
      <w:r w:rsidRPr="00981405">
        <w:t>was</w:t>
      </w:r>
      <w:r w:rsidR="00190923" w:rsidRPr="00981405">
        <w:t xml:space="preserve"> </w:t>
      </w:r>
      <w:r w:rsidRPr="00981405">
        <w:t>held</w:t>
      </w:r>
      <w:r w:rsidR="00190923" w:rsidRPr="00981405">
        <w:t xml:space="preserve"> </w:t>
      </w:r>
      <w:r w:rsidRPr="00981405">
        <w:t>at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Labour</w:t>
      </w:r>
      <w:r w:rsidR="00190923" w:rsidRPr="00981405">
        <w:t xml:space="preserve"> </w:t>
      </w:r>
      <w:r w:rsidRPr="00981405">
        <w:t>Organization</w:t>
      </w:r>
      <w:r w:rsidR="00190923" w:rsidRPr="00981405">
        <w:t xml:space="preserve"> </w:t>
      </w:r>
      <w:r w:rsidRPr="00981405">
        <w:t>(ILO),</w:t>
      </w:r>
      <w:r w:rsidR="00190923" w:rsidRPr="00981405">
        <w:t xml:space="preserve"> </w:t>
      </w:r>
      <w:r w:rsidRPr="00981405">
        <w:t>led</w:t>
      </w:r>
      <w:r w:rsidR="00190923" w:rsidRPr="00981405">
        <w:t xml:space="preserve"> </w:t>
      </w:r>
      <w:r w:rsidRPr="00981405">
        <w:t>by</w:t>
      </w:r>
      <w:r w:rsidR="00190923" w:rsidRPr="00981405">
        <w:t xml:space="preserve"> </w:t>
      </w:r>
      <w:r w:rsidRPr="00981405">
        <w:t>Mr.</w:t>
      </w:r>
      <w:r w:rsidR="00190923" w:rsidRPr="00981405">
        <w:t xml:space="preserve"> </w:t>
      </w:r>
      <w:r w:rsidRPr="00981405">
        <w:t>Drazen</w:t>
      </w:r>
      <w:r w:rsidR="00190923" w:rsidRPr="00981405">
        <w:t xml:space="preserve"> </w:t>
      </w:r>
      <w:r w:rsidRPr="00981405">
        <w:t>Petrovic,</w:t>
      </w:r>
      <w:r w:rsidR="00190923" w:rsidRPr="00981405">
        <w:t xml:space="preserve"> </w:t>
      </w:r>
      <w:r w:rsidRPr="00981405">
        <w:t>Registrar</w:t>
      </w:r>
      <w:r w:rsidR="00190923" w:rsidRPr="00981405">
        <w:t xml:space="preserve"> </w:t>
      </w:r>
      <w:r w:rsidRPr="00981405">
        <w:t>of</w:t>
      </w:r>
      <w:r w:rsidR="00190923" w:rsidRPr="00981405">
        <w:t xml:space="preserve"> </w:t>
      </w:r>
      <w:r w:rsidRPr="00981405">
        <w:t>the</w:t>
      </w:r>
      <w:r w:rsidR="00190923" w:rsidRPr="00981405">
        <w:t xml:space="preserve"> </w:t>
      </w:r>
      <w:r w:rsidRPr="00981405">
        <w:t>ILO</w:t>
      </w:r>
      <w:r w:rsidR="00190923" w:rsidRPr="00981405">
        <w:t xml:space="preserve"> </w:t>
      </w:r>
      <w:r w:rsidRPr="00981405">
        <w:t>Administrative</w:t>
      </w:r>
      <w:r w:rsidR="00190923" w:rsidRPr="00981405">
        <w:t xml:space="preserve"> </w:t>
      </w:r>
      <w:r w:rsidRPr="00981405">
        <w:t>Tribunal.</w:t>
      </w:r>
      <w:r w:rsidR="00190923" w:rsidRPr="00981405">
        <w:t xml:space="preserve"> </w:t>
      </w:r>
      <w:r w:rsidRPr="00981405">
        <w:t>Seminar</w:t>
      </w:r>
      <w:r w:rsidR="00190923" w:rsidRPr="00981405">
        <w:t xml:space="preserve"> </w:t>
      </w:r>
      <w:r w:rsidRPr="00981405">
        <w:t>participants</w:t>
      </w:r>
      <w:r w:rsidR="00190923" w:rsidRPr="00981405">
        <w:t xml:space="preserve"> </w:t>
      </w:r>
      <w:r w:rsidRPr="00981405">
        <w:t>also</w:t>
      </w:r>
      <w:r w:rsidR="00190923" w:rsidRPr="00981405">
        <w:t xml:space="preserve"> </w:t>
      </w:r>
      <w:r w:rsidRPr="00981405">
        <w:t>took</w:t>
      </w:r>
      <w:r w:rsidR="00190923" w:rsidRPr="00981405">
        <w:t xml:space="preserve"> </w:t>
      </w:r>
      <w:r w:rsidRPr="00981405">
        <w:t>part</w:t>
      </w:r>
      <w:r w:rsidR="00190923" w:rsidRPr="00981405">
        <w:t xml:space="preserve"> </w:t>
      </w:r>
      <w:r w:rsidRPr="00981405">
        <w:t>in</w:t>
      </w:r>
      <w:r w:rsidR="00190923" w:rsidRPr="00981405">
        <w:t xml:space="preserve"> </w:t>
      </w:r>
      <w:r w:rsidRPr="00981405">
        <w:t>a</w:t>
      </w:r>
      <w:r w:rsidR="00190923" w:rsidRPr="00981405">
        <w:t xml:space="preserve"> </w:t>
      </w:r>
      <w:r w:rsidRPr="00981405">
        <w:t>presentation</w:t>
      </w:r>
      <w:r w:rsidR="00190923" w:rsidRPr="00981405">
        <w:t xml:space="preserve"> </w:t>
      </w:r>
      <w:r w:rsidRPr="00981405">
        <w:t>on</w:t>
      </w:r>
      <w:r w:rsidR="00190923" w:rsidRPr="00981405">
        <w:t xml:space="preserve"> </w:t>
      </w:r>
      <w:r w:rsidR="00B92E2C" w:rsidRPr="00981405">
        <w:t>“</w:t>
      </w:r>
      <w:r w:rsidRPr="00D97463">
        <w:rPr>
          <w:i/>
          <w:iCs/>
        </w:rPr>
        <w:t>International</w:t>
      </w:r>
      <w:r w:rsidR="00190923" w:rsidRPr="00D97463">
        <w:rPr>
          <w:i/>
          <w:iCs/>
        </w:rPr>
        <w:t xml:space="preserve"> </w:t>
      </w:r>
      <w:r w:rsidRPr="00D97463">
        <w:rPr>
          <w:i/>
          <w:iCs/>
        </w:rPr>
        <w:t>Refugee</w:t>
      </w:r>
      <w:r w:rsidR="00190923" w:rsidRPr="00D97463">
        <w:rPr>
          <w:i/>
          <w:iCs/>
        </w:rPr>
        <w:t xml:space="preserve"> </w:t>
      </w:r>
      <w:r w:rsidRPr="00D97463">
        <w:rPr>
          <w:i/>
          <w:iCs/>
        </w:rPr>
        <w:t>Law</w:t>
      </w:r>
      <w:r w:rsidR="00B92E2C" w:rsidRPr="00981405">
        <w:t>”</w:t>
      </w:r>
      <w:r w:rsidR="00190923" w:rsidRPr="00981405">
        <w:t xml:space="preserve"> </w:t>
      </w:r>
      <w:r w:rsidRPr="00981405">
        <w:t>given</w:t>
      </w:r>
      <w:r w:rsidR="00190923" w:rsidRPr="00981405">
        <w:t xml:space="preserve"> </w:t>
      </w:r>
      <w:r w:rsidRPr="00981405">
        <w:t>by</w:t>
      </w:r>
      <w:r w:rsidR="00190923" w:rsidRPr="00981405">
        <w:t xml:space="preserve"> </w:t>
      </w:r>
      <w:r w:rsidRPr="00981405">
        <w:t>Mr.</w:t>
      </w:r>
      <w:r w:rsidR="00190923" w:rsidRPr="00981405">
        <w:t xml:space="preserve"> </w:t>
      </w:r>
      <w:r w:rsidRPr="00981405">
        <w:t>Cornelis</w:t>
      </w:r>
      <w:r w:rsidR="00190923" w:rsidRPr="00981405">
        <w:t xml:space="preserve"> </w:t>
      </w:r>
      <w:r w:rsidRPr="00981405">
        <w:t>Wouters,</w:t>
      </w:r>
      <w:r w:rsidR="00190923" w:rsidRPr="00981405">
        <w:t xml:space="preserve"> </w:t>
      </w:r>
      <w:r w:rsidRPr="00981405">
        <w:t>Senior</w:t>
      </w:r>
      <w:r w:rsidR="00190923" w:rsidRPr="00981405">
        <w:t xml:space="preserve"> </w:t>
      </w:r>
      <w:r w:rsidRPr="00981405">
        <w:t>Legal</w:t>
      </w:r>
      <w:r w:rsidR="00190923" w:rsidRPr="00981405">
        <w:t xml:space="preserve"> </w:t>
      </w:r>
      <w:r w:rsidRPr="00981405">
        <w:t>Adviser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High</w:t>
      </w:r>
      <w:r w:rsidR="00190923" w:rsidRPr="00981405">
        <w:t xml:space="preserve"> </w:t>
      </w:r>
      <w:r w:rsidRPr="00981405">
        <w:t>Commissioner</w:t>
      </w:r>
      <w:r w:rsidR="00190923" w:rsidRPr="00981405">
        <w:t xml:space="preserve"> </w:t>
      </w:r>
      <w:r w:rsidRPr="00981405">
        <w:t>for</w:t>
      </w:r>
      <w:r w:rsidR="00190923" w:rsidRPr="00981405">
        <w:t xml:space="preserve"> </w:t>
      </w:r>
      <w:r w:rsidRPr="00981405">
        <w:t>Refugees.</w:t>
      </w:r>
      <w:r w:rsidR="00190923" w:rsidRPr="00981405">
        <w:t xml:space="preserve"> </w:t>
      </w:r>
      <w:r w:rsidRPr="00981405">
        <w:t>They</w:t>
      </w:r>
      <w:r w:rsidR="00190923" w:rsidRPr="00981405">
        <w:t xml:space="preserve"> </w:t>
      </w:r>
      <w:r w:rsidRPr="00981405">
        <w:t>also</w:t>
      </w:r>
      <w:r w:rsidR="00190923" w:rsidRPr="00981405">
        <w:t xml:space="preserve"> </w:t>
      </w:r>
      <w:r w:rsidRPr="00981405">
        <w:t>attended</w:t>
      </w:r>
      <w:r w:rsidR="00190923" w:rsidRPr="00981405">
        <w:t xml:space="preserve"> </w:t>
      </w:r>
      <w:r w:rsidRPr="00981405">
        <w:t>the</w:t>
      </w:r>
      <w:r w:rsidR="00190923" w:rsidRPr="00981405">
        <w:t xml:space="preserve"> </w:t>
      </w:r>
      <w:r w:rsidRPr="00981405">
        <w:t>annual</w:t>
      </w:r>
      <w:r w:rsidR="00190923" w:rsidRPr="00981405">
        <w:t xml:space="preserve"> </w:t>
      </w:r>
      <w:r w:rsidRPr="00981405">
        <w:t>Lalive</w:t>
      </w:r>
      <w:r w:rsidR="00190923" w:rsidRPr="00981405">
        <w:t xml:space="preserve"> </w:t>
      </w:r>
      <w:r w:rsidRPr="00981405">
        <w:t>Lecture</w:t>
      </w:r>
      <w:r w:rsidR="00190923" w:rsidRPr="00981405">
        <w:t xml:space="preserve"> </w:t>
      </w:r>
      <w:r w:rsidRPr="00981405">
        <w:t>at</w:t>
      </w:r>
      <w:r w:rsidR="00190923" w:rsidRPr="00981405">
        <w:t xml:space="preserve"> </w:t>
      </w:r>
      <w:r w:rsidRPr="00981405">
        <w:t>the</w:t>
      </w:r>
      <w:r w:rsidR="00190923" w:rsidRPr="00981405">
        <w:t xml:space="preserve"> </w:t>
      </w:r>
      <w:r w:rsidRPr="00981405">
        <w:t>invitation</w:t>
      </w:r>
      <w:r w:rsidR="00190923" w:rsidRPr="00981405">
        <w:t xml:space="preserve"> </w:t>
      </w:r>
      <w:r w:rsidRPr="00981405">
        <w:t>of</w:t>
      </w:r>
      <w:r w:rsidR="00190923" w:rsidRPr="00981405">
        <w:t xml:space="preserve"> </w:t>
      </w:r>
      <w:r w:rsidRPr="00981405">
        <w:t>the</w:t>
      </w:r>
      <w:r w:rsidR="00190923" w:rsidRPr="00981405">
        <w:t xml:space="preserve"> </w:t>
      </w:r>
      <w:r w:rsidRPr="00981405">
        <w:t>Graduate</w:t>
      </w:r>
      <w:r w:rsidR="00190923" w:rsidRPr="00981405">
        <w:t xml:space="preserve"> </w:t>
      </w:r>
      <w:r w:rsidRPr="00981405">
        <w:t>Institute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Development</w:t>
      </w:r>
      <w:r w:rsidR="00190923" w:rsidRPr="00981405">
        <w:t xml:space="preserve"> </w:t>
      </w:r>
      <w:r w:rsidRPr="00981405">
        <w:t>Studies.</w:t>
      </w:r>
      <w:r w:rsidR="00190923" w:rsidRPr="00981405">
        <w:t xml:space="preserve"> </w:t>
      </w:r>
      <w:r w:rsidRPr="00981405">
        <w:t>The</w:t>
      </w:r>
      <w:r w:rsidR="00190923" w:rsidRPr="00981405">
        <w:t xml:space="preserve"> </w:t>
      </w:r>
      <w:r w:rsidRPr="00981405">
        <w:t>lecture</w:t>
      </w:r>
      <w:r w:rsidR="00190923" w:rsidRPr="00981405">
        <w:t xml:space="preserve"> </w:t>
      </w:r>
      <w:r w:rsidRPr="00981405">
        <w:t>was</w:t>
      </w:r>
      <w:r w:rsidR="00190923" w:rsidRPr="00981405">
        <w:t xml:space="preserve"> </w:t>
      </w:r>
      <w:r w:rsidRPr="00981405">
        <w:t>given</w:t>
      </w:r>
      <w:r w:rsidR="00190923" w:rsidRPr="00981405">
        <w:t xml:space="preserve"> </w:t>
      </w:r>
      <w:r w:rsidRPr="00981405">
        <w:t>by</w:t>
      </w:r>
      <w:r w:rsidR="00190923" w:rsidRPr="00981405">
        <w:t xml:space="preserve"> </w:t>
      </w:r>
      <w:r w:rsidRPr="00981405">
        <w:t>Mr.</w:t>
      </w:r>
      <w:r w:rsidR="00190923" w:rsidRPr="00981405">
        <w:t xml:space="preserve"> </w:t>
      </w:r>
      <w:r w:rsidRPr="00981405">
        <w:t>Sean</w:t>
      </w:r>
      <w:r w:rsidR="00190923" w:rsidRPr="00981405">
        <w:t xml:space="preserve"> </w:t>
      </w:r>
      <w:r w:rsidRPr="00981405">
        <w:t>D.</w:t>
      </w:r>
      <w:r w:rsidR="00190923" w:rsidRPr="00981405">
        <w:t xml:space="preserve"> </w:t>
      </w:r>
      <w:r w:rsidRPr="00981405">
        <w:t>Murphy,</w:t>
      </w:r>
      <w:r w:rsidR="00190923" w:rsidRPr="00981405">
        <w:t xml:space="preserve"> </w:t>
      </w:r>
      <w:r w:rsidRPr="00981405">
        <w:t>on</w:t>
      </w:r>
      <w:r w:rsidR="00190923" w:rsidRPr="00981405">
        <w:t xml:space="preserve"> </w:t>
      </w:r>
      <w:r w:rsidR="00B92E2C" w:rsidRPr="00981405">
        <w:t>“</w:t>
      </w:r>
      <w:r w:rsidRPr="00D97463">
        <w:rPr>
          <w:i/>
          <w:iCs/>
        </w:rPr>
        <w:t>A</w:t>
      </w:r>
      <w:r w:rsidR="00190923" w:rsidRPr="00D97463">
        <w:rPr>
          <w:i/>
          <w:iCs/>
        </w:rPr>
        <w:t xml:space="preserve"> </w:t>
      </w:r>
      <w:r w:rsidRPr="00D97463">
        <w:rPr>
          <w:i/>
          <w:iCs/>
        </w:rPr>
        <w:t>Rising</w:t>
      </w:r>
      <w:r w:rsidR="00190923" w:rsidRPr="00D97463">
        <w:rPr>
          <w:i/>
          <w:iCs/>
        </w:rPr>
        <w:t xml:space="preserve"> </w:t>
      </w:r>
      <w:r w:rsidRPr="00D97463">
        <w:rPr>
          <w:i/>
          <w:iCs/>
        </w:rPr>
        <w:t>Tide:</w:t>
      </w:r>
      <w:r w:rsidR="00190923" w:rsidRPr="00D97463">
        <w:rPr>
          <w:i/>
          <w:iCs/>
        </w:rPr>
        <w:t xml:space="preserve"> </w:t>
      </w:r>
      <w:r w:rsidRPr="00D97463">
        <w:rPr>
          <w:i/>
          <w:iCs/>
        </w:rPr>
        <w:t>Dispute</w:t>
      </w:r>
      <w:r w:rsidR="00190923" w:rsidRPr="00D97463">
        <w:rPr>
          <w:i/>
          <w:iCs/>
        </w:rPr>
        <w:t xml:space="preserve"> </w:t>
      </w:r>
      <w:r w:rsidRPr="00D97463">
        <w:rPr>
          <w:i/>
          <w:iCs/>
        </w:rPr>
        <w:t>Settlement</w:t>
      </w:r>
      <w:r w:rsidR="00190923" w:rsidRPr="00D97463">
        <w:rPr>
          <w:i/>
          <w:iCs/>
        </w:rPr>
        <w:t xml:space="preserve"> </w:t>
      </w:r>
      <w:r w:rsidRPr="00D97463">
        <w:rPr>
          <w:i/>
          <w:iCs/>
        </w:rPr>
        <w:t>under</w:t>
      </w:r>
      <w:r w:rsidR="00190923" w:rsidRPr="00D97463">
        <w:rPr>
          <w:i/>
          <w:iCs/>
        </w:rPr>
        <w:t xml:space="preserve"> </w:t>
      </w:r>
      <w:r w:rsidRPr="00D97463">
        <w:rPr>
          <w:i/>
          <w:iCs/>
        </w:rPr>
        <w:t>the</w:t>
      </w:r>
      <w:r w:rsidR="00190923" w:rsidRPr="00D97463">
        <w:rPr>
          <w:i/>
          <w:iCs/>
        </w:rPr>
        <w:t xml:space="preserve"> </w:t>
      </w:r>
      <w:r w:rsidRPr="00D97463">
        <w:rPr>
          <w:i/>
          <w:iCs/>
        </w:rPr>
        <w:t>Law</w:t>
      </w:r>
      <w:r w:rsidR="00190923" w:rsidRPr="00D97463">
        <w:rPr>
          <w:i/>
          <w:iCs/>
        </w:rPr>
        <w:t xml:space="preserve"> </w:t>
      </w:r>
      <w:r w:rsidRPr="00D97463">
        <w:rPr>
          <w:i/>
          <w:iCs/>
        </w:rPr>
        <w:t>of</w:t>
      </w:r>
      <w:r w:rsidR="00190923" w:rsidRPr="00D97463">
        <w:rPr>
          <w:i/>
          <w:iCs/>
        </w:rPr>
        <w:t xml:space="preserve"> </w:t>
      </w:r>
      <w:r w:rsidRPr="00D97463">
        <w:rPr>
          <w:i/>
          <w:iCs/>
        </w:rPr>
        <w:t>the</w:t>
      </w:r>
      <w:r w:rsidR="00190923" w:rsidRPr="00D97463">
        <w:rPr>
          <w:i/>
          <w:iCs/>
        </w:rPr>
        <w:t xml:space="preserve"> </w:t>
      </w:r>
      <w:r w:rsidRPr="00D97463">
        <w:rPr>
          <w:i/>
          <w:iCs/>
        </w:rPr>
        <w:t>Sea</w:t>
      </w:r>
      <w:r w:rsidR="00B92E2C" w:rsidRPr="00981405">
        <w:t>”</w:t>
      </w:r>
      <w:r w:rsidRPr="00981405">
        <w:t>.</w:t>
      </w:r>
      <w:r w:rsidR="00190923" w:rsidRPr="00981405">
        <w:t xml:space="preserve"> </w:t>
      </w:r>
      <w:r w:rsidRPr="00981405">
        <w:t>A</w:t>
      </w:r>
      <w:r w:rsidR="00190923" w:rsidRPr="00981405">
        <w:t xml:space="preserve"> </w:t>
      </w:r>
      <w:r w:rsidRPr="00981405">
        <w:t>briefing</w:t>
      </w:r>
      <w:r w:rsidR="00190923" w:rsidRPr="00981405">
        <w:t xml:space="preserve"> </w:t>
      </w:r>
      <w:r w:rsidRPr="00981405">
        <w:t>at</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Telecommunications</w:t>
      </w:r>
      <w:r w:rsidR="00190923" w:rsidRPr="00981405">
        <w:t xml:space="preserve"> </w:t>
      </w:r>
      <w:r w:rsidRPr="00981405">
        <w:t>Union</w:t>
      </w:r>
      <w:r w:rsidR="00190923" w:rsidRPr="00981405">
        <w:t xml:space="preserve"> </w:t>
      </w:r>
      <w:r w:rsidRPr="00981405">
        <w:t>(ITU)</w:t>
      </w:r>
      <w:r w:rsidR="00190923" w:rsidRPr="00981405">
        <w:t xml:space="preserve"> </w:t>
      </w:r>
      <w:r w:rsidRPr="00981405">
        <w:t>was</w:t>
      </w:r>
      <w:r w:rsidR="00190923" w:rsidRPr="00981405">
        <w:t xml:space="preserve"> </w:t>
      </w:r>
      <w:r w:rsidRPr="00981405">
        <w:t>also</w:t>
      </w:r>
      <w:r w:rsidR="00190923" w:rsidRPr="00981405">
        <w:t xml:space="preserve"> </w:t>
      </w:r>
      <w:r w:rsidRPr="00981405">
        <w:t>given</w:t>
      </w:r>
      <w:r w:rsidR="00190923" w:rsidRPr="00981405">
        <w:t xml:space="preserve"> </w:t>
      </w:r>
      <w:r w:rsidRPr="00981405">
        <w:t>by</w:t>
      </w:r>
      <w:r w:rsidR="00190923" w:rsidRPr="00981405">
        <w:t xml:space="preserve"> </w:t>
      </w:r>
      <w:r w:rsidRPr="00981405">
        <w:t>Mr.</w:t>
      </w:r>
      <w:r w:rsidR="00190923" w:rsidRPr="00981405">
        <w:t xml:space="preserve"> </w:t>
      </w:r>
      <w:r w:rsidRPr="00981405">
        <w:t>Nikos</w:t>
      </w:r>
      <w:r w:rsidR="00190923" w:rsidRPr="00981405">
        <w:t xml:space="preserve"> </w:t>
      </w:r>
      <w:r w:rsidRPr="00981405">
        <w:t>Volanis,</w:t>
      </w:r>
      <w:r w:rsidR="00190923" w:rsidRPr="00981405">
        <w:t xml:space="preserve"> </w:t>
      </w:r>
      <w:r w:rsidRPr="00981405">
        <w:t>Legal</w:t>
      </w:r>
      <w:r w:rsidR="00190923" w:rsidRPr="00981405">
        <w:t xml:space="preserve"> </w:t>
      </w:r>
      <w:r w:rsidRPr="00981405">
        <w:t>Officer</w:t>
      </w:r>
      <w:r w:rsidR="00190923" w:rsidRPr="00981405">
        <w:t xml:space="preserve"> </w:t>
      </w:r>
      <w:r w:rsidRPr="00981405">
        <w:t>of</w:t>
      </w:r>
      <w:r w:rsidR="00190923" w:rsidRPr="00981405">
        <w:t xml:space="preserve"> </w:t>
      </w:r>
      <w:r w:rsidRPr="00981405">
        <w:t>the</w:t>
      </w:r>
      <w:r w:rsidR="00190923" w:rsidRPr="00981405">
        <w:t xml:space="preserve"> </w:t>
      </w:r>
      <w:r w:rsidRPr="00981405">
        <w:t>ITU,</w:t>
      </w:r>
      <w:r w:rsidR="00190923" w:rsidRPr="00981405">
        <w:t xml:space="preserve"> </w:t>
      </w:r>
      <w:r w:rsidRPr="00981405">
        <w:t>followed</w:t>
      </w:r>
      <w:r w:rsidR="00190923" w:rsidRPr="00981405">
        <w:t xml:space="preserve"> </w:t>
      </w:r>
      <w:r w:rsidRPr="00981405">
        <w:t>by</w:t>
      </w:r>
      <w:r w:rsidR="00190923" w:rsidRPr="00981405">
        <w:t xml:space="preserve"> </w:t>
      </w:r>
      <w:r w:rsidRPr="00981405">
        <w:t>a</w:t>
      </w:r>
      <w:r w:rsidR="00190923" w:rsidRPr="00981405">
        <w:t xml:space="preserve"> </w:t>
      </w:r>
      <w:r w:rsidRPr="00981405">
        <w:t>visit</w:t>
      </w:r>
      <w:r w:rsidR="00190923" w:rsidRPr="00981405">
        <w:t xml:space="preserve"> </w:t>
      </w:r>
      <w:r w:rsidRPr="00981405">
        <w:t>of</w:t>
      </w:r>
      <w:r w:rsidR="00190923" w:rsidRPr="00981405">
        <w:t xml:space="preserve"> </w:t>
      </w:r>
      <w:r w:rsidRPr="00981405">
        <w:t>the</w:t>
      </w:r>
      <w:r w:rsidR="00190923" w:rsidRPr="00981405">
        <w:t xml:space="preserve"> </w:t>
      </w:r>
      <w:r w:rsidRPr="00981405">
        <w:t>ITU</w:t>
      </w:r>
      <w:r w:rsidR="00190923" w:rsidRPr="00981405">
        <w:t xml:space="preserve"> </w:t>
      </w:r>
      <w:r w:rsidRPr="00981405">
        <w:t>Museum.</w:t>
      </w:r>
      <w:r w:rsidR="00190923" w:rsidRPr="00981405">
        <w:t xml:space="preserve"> </w:t>
      </w:r>
      <w:r w:rsidRPr="00981405">
        <w:t>Finally,</w:t>
      </w:r>
      <w:r w:rsidR="00190923" w:rsidRPr="00981405">
        <w:t xml:space="preserve"> </w:t>
      </w:r>
      <w:r w:rsidRPr="00981405">
        <w:t>a</w:t>
      </w:r>
      <w:r w:rsidR="00190923" w:rsidRPr="00981405">
        <w:t xml:space="preserve"> </w:t>
      </w:r>
      <w:r w:rsidRPr="00981405">
        <w:t>special</w:t>
      </w:r>
      <w:r w:rsidR="00190923" w:rsidRPr="00981405">
        <w:t xml:space="preserve"> </w:t>
      </w:r>
      <w:r w:rsidRPr="00981405">
        <w:t>session</w:t>
      </w:r>
      <w:r w:rsidR="00190923" w:rsidRPr="00981405">
        <w:t xml:space="preserve"> </w:t>
      </w:r>
      <w:r w:rsidRPr="00981405">
        <w:t>was</w:t>
      </w:r>
      <w:r w:rsidR="00190923" w:rsidRPr="00981405">
        <w:t xml:space="preserve"> </w:t>
      </w:r>
      <w:r w:rsidRPr="00981405">
        <w:t>organised</w:t>
      </w:r>
      <w:r w:rsidR="00190923" w:rsidRPr="00981405">
        <w:t xml:space="preserve"> </w:t>
      </w:r>
      <w:r w:rsidRPr="00981405">
        <w:t>at</w:t>
      </w:r>
      <w:r w:rsidR="00190923" w:rsidRPr="00981405">
        <w:t xml:space="preserve"> </w:t>
      </w:r>
      <w:r w:rsidRPr="00981405">
        <w:t>the</w:t>
      </w:r>
      <w:r w:rsidR="00190923" w:rsidRPr="00981405">
        <w:t xml:space="preserve"> </w:t>
      </w:r>
      <w:r w:rsidRPr="00981405">
        <w:t>World</w:t>
      </w:r>
      <w:r w:rsidR="00190923" w:rsidRPr="00981405">
        <w:t xml:space="preserve"> </w:t>
      </w:r>
      <w:r w:rsidRPr="00981405">
        <w:t>Health</w:t>
      </w:r>
      <w:r w:rsidR="00190923" w:rsidRPr="00981405">
        <w:t xml:space="preserve"> </w:t>
      </w:r>
      <w:r w:rsidRPr="00981405">
        <w:t>Organization,</w:t>
      </w:r>
      <w:r w:rsidR="00190923" w:rsidRPr="00981405">
        <w:t xml:space="preserve"> </w:t>
      </w:r>
      <w:r w:rsidRPr="00981405">
        <w:t>where</w:t>
      </w:r>
      <w:r w:rsidR="00190923" w:rsidRPr="00981405">
        <w:t xml:space="preserve"> </w:t>
      </w:r>
      <w:r w:rsidRPr="00981405">
        <w:t>presentations</w:t>
      </w:r>
      <w:r w:rsidR="00190923" w:rsidRPr="00981405">
        <w:t xml:space="preserve"> </w:t>
      </w:r>
      <w:r w:rsidRPr="00981405">
        <w:t>on</w:t>
      </w:r>
      <w:r w:rsidR="00190923" w:rsidRPr="00981405">
        <w:t xml:space="preserve"> </w:t>
      </w:r>
      <w:r w:rsidR="00B92E2C" w:rsidRPr="00981405">
        <w:t>“</w:t>
      </w:r>
      <w:r w:rsidRPr="00D97463">
        <w:rPr>
          <w:i/>
          <w:iCs/>
        </w:rPr>
        <w:t>International</w:t>
      </w:r>
      <w:r w:rsidR="00190923" w:rsidRPr="00D97463">
        <w:rPr>
          <w:i/>
          <w:iCs/>
        </w:rPr>
        <w:t xml:space="preserve"> </w:t>
      </w:r>
      <w:r w:rsidRPr="00D97463">
        <w:rPr>
          <w:i/>
          <w:iCs/>
        </w:rPr>
        <w:t>Law</w:t>
      </w:r>
      <w:r w:rsidR="00190923" w:rsidRPr="00D97463">
        <w:rPr>
          <w:i/>
          <w:iCs/>
        </w:rPr>
        <w:t xml:space="preserve"> </w:t>
      </w:r>
      <w:r w:rsidRPr="00D97463">
        <w:rPr>
          <w:i/>
          <w:iCs/>
        </w:rPr>
        <w:t>and</w:t>
      </w:r>
      <w:r w:rsidR="00190923" w:rsidRPr="00D97463">
        <w:rPr>
          <w:i/>
          <w:iCs/>
        </w:rPr>
        <w:t xml:space="preserve"> </w:t>
      </w:r>
      <w:r w:rsidRPr="00D97463">
        <w:rPr>
          <w:i/>
          <w:iCs/>
        </w:rPr>
        <w:t>Health</w:t>
      </w:r>
      <w:r w:rsidR="00B92E2C" w:rsidRPr="00981405">
        <w:t>”</w:t>
      </w:r>
      <w:r w:rsidR="00190923" w:rsidRPr="00981405">
        <w:t xml:space="preserve"> </w:t>
      </w:r>
      <w:r w:rsidRPr="00981405">
        <w:t>were</w:t>
      </w:r>
      <w:r w:rsidR="00190923" w:rsidRPr="00981405">
        <w:t xml:space="preserve"> </w:t>
      </w:r>
      <w:r w:rsidRPr="00981405">
        <w:t>given</w:t>
      </w:r>
      <w:r w:rsidR="00190923" w:rsidRPr="00981405">
        <w:t xml:space="preserve"> </w:t>
      </w:r>
      <w:r w:rsidRPr="00981405">
        <w:t>by</w:t>
      </w:r>
      <w:r w:rsidR="00190923" w:rsidRPr="00981405">
        <w:t xml:space="preserve"> </w:t>
      </w:r>
      <w:r w:rsidRPr="00981405">
        <w:lastRenderedPageBreak/>
        <w:t>Steven</w:t>
      </w:r>
      <w:r w:rsidR="00190923" w:rsidRPr="00981405">
        <w:t xml:space="preserve"> </w:t>
      </w:r>
      <w:r w:rsidRPr="00981405">
        <w:t>A.</w:t>
      </w:r>
      <w:r w:rsidR="00190923" w:rsidRPr="00981405">
        <w:t xml:space="preserve"> </w:t>
      </w:r>
      <w:r w:rsidRPr="00981405">
        <w:t>Solomon,</w:t>
      </w:r>
      <w:r w:rsidR="00190923" w:rsidRPr="00981405">
        <w:t xml:space="preserve"> </w:t>
      </w:r>
      <w:r w:rsidRPr="00981405">
        <w:t>Principal</w:t>
      </w:r>
      <w:r w:rsidR="00190923" w:rsidRPr="00981405">
        <w:t xml:space="preserve"> </w:t>
      </w:r>
      <w:r w:rsidRPr="00981405">
        <w:t>Legal</w:t>
      </w:r>
      <w:r w:rsidR="00190923" w:rsidRPr="00981405">
        <w:t xml:space="preserve"> </w:t>
      </w:r>
      <w:r w:rsidRPr="00981405">
        <w:t>Officer,</w:t>
      </w:r>
      <w:r w:rsidR="00190923" w:rsidRPr="00981405">
        <w:t xml:space="preserve"> </w:t>
      </w:r>
      <w:r w:rsidRPr="00981405">
        <w:t>and</w:t>
      </w:r>
      <w:r w:rsidR="00190923" w:rsidRPr="00981405">
        <w:t xml:space="preserve"> </w:t>
      </w:r>
      <w:r w:rsidRPr="00981405">
        <w:t>Mr.</w:t>
      </w:r>
      <w:r w:rsidR="00190923" w:rsidRPr="00981405">
        <w:t xml:space="preserve"> </w:t>
      </w:r>
      <w:r w:rsidRPr="00981405">
        <w:t>Jakob</w:t>
      </w:r>
      <w:r w:rsidR="00190923" w:rsidRPr="00981405">
        <w:t xml:space="preserve"> </w:t>
      </w:r>
      <w:r w:rsidRPr="00981405">
        <w:t>Quirin,</w:t>
      </w:r>
      <w:r w:rsidR="00190923" w:rsidRPr="00981405">
        <w:t xml:space="preserve"> </w:t>
      </w:r>
      <w:r w:rsidRPr="00981405">
        <w:t>Associate</w:t>
      </w:r>
      <w:r w:rsidR="00190923" w:rsidRPr="00981405">
        <w:t xml:space="preserve"> </w:t>
      </w:r>
      <w:r w:rsidRPr="00981405">
        <w:t>Legal</w:t>
      </w:r>
      <w:r w:rsidR="00190923" w:rsidRPr="00981405">
        <w:t xml:space="preserve"> </w:t>
      </w:r>
      <w:r w:rsidRPr="00981405">
        <w:t>Officer.</w:t>
      </w:r>
    </w:p>
    <w:p w:rsidR="00397032" w:rsidRPr="00981405" w:rsidRDefault="00397032" w:rsidP="00D97463">
      <w:pPr>
        <w:pStyle w:val="SingleTxt"/>
      </w:pPr>
      <w:r w:rsidRPr="00981405">
        <w:t>324.</w:t>
      </w:r>
      <w:r w:rsidRPr="00981405">
        <w:tab/>
        <w:t>Two</w:t>
      </w:r>
      <w:r w:rsidR="00190923" w:rsidRPr="00981405">
        <w:t xml:space="preserve"> </w:t>
      </w:r>
      <w:r w:rsidRPr="00981405">
        <w:t>Seminar</w:t>
      </w:r>
      <w:r w:rsidR="00190923" w:rsidRPr="00981405">
        <w:t xml:space="preserve"> </w:t>
      </w:r>
      <w:r w:rsidRPr="00981405">
        <w:t>working</w:t>
      </w:r>
      <w:r w:rsidR="00190923" w:rsidRPr="00981405">
        <w:t xml:space="preserve"> </w:t>
      </w:r>
      <w:r w:rsidRPr="00981405">
        <w:t>groups</w:t>
      </w:r>
      <w:r w:rsidR="00190923" w:rsidRPr="00981405">
        <w:t xml:space="preserve"> </w:t>
      </w:r>
      <w:r w:rsidRPr="00981405">
        <w:t>on</w:t>
      </w:r>
      <w:r w:rsidR="00190923" w:rsidRPr="00981405">
        <w:t xml:space="preserve"> </w:t>
      </w:r>
      <w:r w:rsidR="00B92E2C" w:rsidRPr="00981405">
        <w:t>“</w:t>
      </w:r>
      <w:r w:rsidRPr="00D97463">
        <w:rPr>
          <w:i/>
          <w:iCs/>
        </w:rPr>
        <w:t>Jus</w:t>
      </w:r>
      <w:r w:rsidR="00190923" w:rsidRPr="00981405">
        <w:rPr>
          <w:i/>
          <w:iCs/>
        </w:rPr>
        <w:t xml:space="preserve"> </w:t>
      </w:r>
      <w:r w:rsidRPr="00D97463">
        <w:rPr>
          <w:i/>
          <w:iCs/>
        </w:rPr>
        <w:t>cogens</w:t>
      </w:r>
      <w:r w:rsidR="00B92E2C" w:rsidRPr="00981405">
        <w:t>”</w:t>
      </w:r>
      <w:r w:rsidR="00190923" w:rsidRPr="00981405">
        <w:t xml:space="preserve"> </w:t>
      </w:r>
      <w:r w:rsidRPr="00981405">
        <w:t>and</w:t>
      </w:r>
      <w:r w:rsidR="00190923" w:rsidRPr="00981405">
        <w:t xml:space="preserve"> </w:t>
      </w:r>
      <w:r w:rsidR="00B92E2C" w:rsidRPr="00981405">
        <w:t>“</w:t>
      </w:r>
      <w:r w:rsidRPr="00D97463">
        <w:rPr>
          <w:i/>
          <w:iCs/>
        </w:rPr>
        <w:t>State</w:t>
      </w:r>
      <w:r w:rsidR="00190923" w:rsidRPr="00D97463">
        <w:rPr>
          <w:i/>
          <w:iCs/>
        </w:rPr>
        <w:t xml:space="preserve"> </w:t>
      </w:r>
      <w:r w:rsidRPr="00D97463">
        <w:rPr>
          <w:i/>
          <w:iCs/>
        </w:rPr>
        <w:t>succession</w:t>
      </w:r>
      <w:r w:rsidR="00190923" w:rsidRPr="00D97463">
        <w:rPr>
          <w:i/>
          <w:iCs/>
        </w:rPr>
        <w:t xml:space="preserve"> </w:t>
      </w:r>
      <w:r w:rsidRPr="00D97463">
        <w:rPr>
          <w:i/>
          <w:iCs/>
        </w:rPr>
        <w:t>in</w:t>
      </w:r>
      <w:r w:rsidR="00190923" w:rsidRPr="00D97463">
        <w:rPr>
          <w:i/>
          <w:iCs/>
        </w:rPr>
        <w:t xml:space="preserve"> </w:t>
      </w:r>
      <w:r w:rsidRPr="00D97463">
        <w:rPr>
          <w:i/>
          <w:iCs/>
        </w:rPr>
        <w:t>relation</w:t>
      </w:r>
      <w:r w:rsidR="00190923" w:rsidRPr="00D97463">
        <w:rPr>
          <w:i/>
          <w:iCs/>
        </w:rPr>
        <w:t xml:space="preserve"> </w:t>
      </w:r>
      <w:r w:rsidRPr="00D97463">
        <w:rPr>
          <w:i/>
          <w:iCs/>
        </w:rPr>
        <w:t>to</w:t>
      </w:r>
      <w:r w:rsidR="00190923" w:rsidRPr="00D97463">
        <w:rPr>
          <w:i/>
          <w:iCs/>
        </w:rPr>
        <w:t xml:space="preserve"> </w:t>
      </w:r>
      <w:r w:rsidRPr="00D97463">
        <w:rPr>
          <w:i/>
          <w:iCs/>
        </w:rPr>
        <w:t>State</w:t>
      </w:r>
      <w:r w:rsidR="00190923" w:rsidRPr="00D97463">
        <w:rPr>
          <w:i/>
          <w:iCs/>
        </w:rPr>
        <w:t xml:space="preserve"> </w:t>
      </w:r>
      <w:r w:rsidRPr="00D97463">
        <w:rPr>
          <w:i/>
          <w:iCs/>
        </w:rPr>
        <w:t>responsibility</w:t>
      </w:r>
      <w:r w:rsidR="00B92E2C" w:rsidRPr="00981405">
        <w:t>”</w:t>
      </w:r>
      <w:r w:rsidR="00190923" w:rsidRPr="00981405">
        <w:t xml:space="preserve"> </w:t>
      </w:r>
      <w:r w:rsidRPr="00981405">
        <w:t>were</w:t>
      </w:r>
      <w:r w:rsidR="00190923" w:rsidRPr="00981405">
        <w:t xml:space="preserve"> </w:t>
      </w:r>
      <w:r w:rsidRPr="00981405">
        <w:t>organised.</w:t>
      </w:r>
      <w:r w:rsidR="00190923" w:rsidRPr="00981405">
        <w:t xml:space="preserve"> </w:t>
      </w:r>
      <w:r w:rsidRPr="00981405">
        <w:t>Each</w:t>
      </w:r>
      <w:r w:rsidR="00190923" w:rsidRPr="00981405">
        <w:t xml:space="preserve"> </w:t>
      </w:r>
      <w:r w:rsidRPr="00981405">
        <w:t>Seminar</w:t>
      </w:r>
      <w:r w:rsidR="00190923" w:rsidRPr="00981405">
        <w:t xml:space="preserve"> </w:t>
      </w:r>
      <w:r w:rsidRPr="00981405">
        <w:t>participant</w:t>
      </w:r>
      <w:r w:rsidR="00190923" w:rsidRPr="00981405">
        <w:t xml:space="preserve"> </w:t>
      </w:r>
      <w:r w:rsidRPr="00981405">
        <w:t>was</w:t>
      </w:r>
      <w:r w:rsidR="00190923" w:rsidRPr="00981405">
        <w:t xml:space="preserve"> </w:t>
      </w:r>
      <w:r w:rsidRPr="00981405">
        <w:t>assigned</w:t>
      </w:r>
      <w:r w:rsidR="00190923" w:rsidRPr="00981405">
        <w:t xml:space="preserve"> </w:t>
      </w:r>
      <w:r w:rsidRPr="00981405">
        <w:t>to</w:t>
      </w:r>
      <w:r w:rsidR="00190923" w:rsidRPr="00981405">
        <w:t xml:space="preserve"> </w:t>
      </w:r>
      <w:r w:rsidRPr="00981405">
        <w:t>one</w:t>
      </w:r>
      <w:r w:rsidR="00190923" w:rsidRPr="00981405">
        <w:t xml:space="preserve"> </w:t>
      </w:r>
      <w:r w:rsidRPr="00981405">
        <w:t>of</w:t>
      </w:r>
      <w:r w:rsidR="00190923" w:rsidRPr="00981405">
        <w:t xml:space="preserve"> </w:t>
      </w:r>
      <w:r w:rsidRPr="00981405">
        <w:t>them.</w:t>
      </w:r>
      <w:r w:rsidR="00190923" w:rsidRPr="00981405">
        <w:t xml:space="preserve"> </w:t>
      </w:r>
      <w:r w:rsidRPr="00981405">
        <w:t>Two</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Mr.</w:t>
      </w:r>
      <w:r w:rsidR="00190923" w:rsidRPr="00981405">
        <w:t xml:space="preserve"> </w:t>
      </w:r>
      <w:r w:rsidRPr="00981405">
        <w:t>Dire</w:t>
      </w:r>
      <w:r w:rsidR="00190923" w:rsidRPr="00981405">
        <w:t xml:space="preserve"> </w:t>
      </w:r>
      <w:r w:rsidRPr="00981405">
        <w:t>Tladi</w:t>
      </w:r>
      <w:r w:rsidR="00190923" w:rsidRPr="00981405">
        <w:t xml:space="preserve"> </w:t>
      </w:r>
      <w:r w:rsidRPr="00981405">
        <w:t>and</w:t>
      </w:r>
      <w:r w:rsidR="00190923" w:rsidRPr="00981405">
        <w:t xml:space="preserve"> </w:t>
      </w:r>
      <w:r w:rsidRPr="00981405">
        <w:t>Mr.</w:t>
      </w:r>
      <w:r w:rsidR="00190923" w:rsidRPr="00981405">
        <w:t xml:space="preserve"> </w:t>
      </w:r>
      <w:r w:rsidRPr="00981405">
        <w:t>Pavel</w:t>
      </w:r>
      <w:r w:rsidR="00190923" w:rsidRPr="00981405">
        <w:t xml:space="preserve"> </w:t>
      </w:r>
      <w:r w:rsidRPr="00981405">
        <w:t>Šturma,</w:t>
      </w:r>
      <w:r w:rsidR="00190923" w:rsidRPr="00981405">
        <w:t xml:space="preserve"> </w:t>
      </w:r>
      <w:r w:rsidRPr="00981405">
        <w:t>supervised</w:t>
      </w:r>
      <w:r w:rsidR="00190923" w:rsidRPr="00981405">
        <w:t xml:space="preserve"> </w:t>
      </w:r>
      <w:r w:rsidRPr="00981405">
        <w:t>and</w:t>
      </w:r>
      <w:r w:rsidR="00190923" w:rsidRPr="00981405">
        <w:t xml:space="preserve"> </w:t>
      </w:r>
      <w:r w:rsidRPr="00981405">
        <w:t>provided</w:t>
      </w:r>
      <w:r w:rsidR="00190923" w:rsidRPr="00981405">
        <w:t xml:space="preserve"> </w:t>
      </w:r>
      <w:r w:rsidRPr="00981405">
        <w:t>guidance</w:t>
      </w:r>
      <w:r w:rsidR="00190923" w:rsidRPr="00981405">
        <w:t xml:space="preserve"> </w:t>
      </w:r>
      <w:r w:rsidRPr="00981405">
        <w:t>to</w:t>
      </w:r>
      <w:r w:rsidR="00190923" w:rsidRPr="00981405">
        <w:t xml:space="preserve"> </w:t>
      </w:r>
      <w:r w:rsidRPr="00981405">
        <w:t>the</w:t>
      </w:r>
      <w:r w:rsidR="00190923" w:rsidRPr="00981405">
        <w:t xml:space="preserve"> </w:t>
      </w:r>
      <w:r w:rsidRPr="00981405">
        <w:t>working</w:t>
      </w:r>
      <w:r w:rsidR="00190923" w:rsidRPr="00981405">
        <w:t xml:space="preserve"> </w:t>
      </w:r>
      <w:r w:rsidRPr="00981405">
        <w:t>groups.</w:t>
      </w:r>
      <w:r w:rsidR="00190923" w:rsidRPr="00981405">
        <w:t xml:space="preserve"> </w:t>
      </w:r>
      <w:r w:rsidRPr="00981405">
        <w:t>Each</w:t>
      </w:r>
      <w:r w:rsidR="00190923" w:rsidRPr="00981405">
        <w:t xml:space="preserve"> </w:t>
      </w:r>
      <w:r w:rsidRPr="00981405">
        <w:t>group</w:t>
      </w:r>
      <w:r w:rsidR="00190923" w:rsidRPr="00981405">
        <w:t xml:space="preserve"> </w:t>
      </w:r>
      <w:r w:rsidRPr="00981405">
        <w:t>prepared</w:t>
      </w:r>
      <w:r w:rsidR="00190923" w:rsidRPr="00981405">
        <w:t xml:space="preserve"> </w:t>
      </w:r>
      <w:r w:rsidRPr="00981405">
        <w:t>a</w:t>
      </w:r>
      <w:r w:rsidR="00190923" w:rsidRPr="00981405">
        <w:t xml:space="preserve"> </w:t>
      </w:r>
      <w:r w:rsidRPr="00981405">
        <w:t>report</w:t>
      </w:r>
      <w:r w:rsidR="00190923" w:rsidRPr="00981405">
        <w:t xml:space="preserve"> </w:t>
      </w:r>
      <w:r w:rsidRPr="00981405">
        <w:t>and</w:t>
      </w:r>
      <w:r w:rsidR="00190923" w:rsidRPr="00981405">
        <w:t xml:space="preserve"> </w:t>
      </w:r>
      <w:r w:rsidRPr="00981405">
        <w:t>presented</w:t>
      </w:r>
      <w:r w:rsidR="00190923" w:rsidRPr="00981405">
        <w:t xml:space="preserve"> </w:t>
      </w:r>
      <w:r w:rsidRPr="00981405">
        <w:t>its</w:t>
      </w:r>
      <w:r w:rsidR="00190923" w:rsidRPr="00981405">
        <w:t xml:space="preserve"> </w:t>
      </w:r>
      <w:r w:rsidRPr="00981405">
        <w:t>findings</w:t>
      </w:r>
      <w:r w:rsidR="00190923" w:rsidRPr="00981405">
        <w:t xml:space="preserve"> </w:t>
      </w:r>
      <w:r w:rsidRPr="00981405">
        <w:t>during</w:t>
      </w:r>
      <w:r w:rsidR="00190923" w:rsidRPr="00981405">
        <w:t xml:space="preserve"> </w:t>
      </w:r>
      <w:r w:rsidRPr="00981405">
        <w:t>the</w:t>
      </w:r>
      <w:r w:rsidR="00190923" w:rsidRPr="00981405">
        <w:t xml:space="preserve"> </w:t>
      </w:r>
      <w:r w:rsidRPr="00981405">
        <w:t>last</w:t>
      </w:r>
      <w:r w:rsidR="00190923" w:rsidRPr="00981405">
        <w:t xml:space="preserve"> </w:t>
      </w:r>
      <w:r w:rsidRPr="00981405">
        <w:t>working</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The</w:t>
      </w:r>
      <w:r w:rsidR="00190923" w:rsidRPr="00981405">
        <w:t xml:space="preserve"> </w:t>
      </w:r>
      <w:r w:rsidRPr="00981405">
        <w:t>reports</w:t>
      </w:r>
      <w:r w:rsidR="00190923" w:rsidRPr="00981405">
        <w:t xml:space="preserve"> </w:t>
      </w:r>
      <w:r w:rsidRPr="00981405">
        <w:t>were</w:t>
      </w:r>
      <w:r w:rsidR="00190923" w:rsidRPr="00981405">
        <w:t xml:space="preserve"> </w:t>
      </w:r>
      <w:r w:rsidRPr="00981405">
        <w:t>compiled</w:t>
      </w:r>
      <w:r w:rsidR="00190923" w:rsidRPr="00981405">
        <w:t xml:space="preserve"> </w:t>
      </w:r>
      <w:r w:rsidRPr="00981405">
        <w:t>and</w:t>
      </w:r>
      <w:r w:rsidR="00190923" w:rsidRPr="00981405">
        <w:t xml:space="preserve"> </w:t>
      </w:r>
      <w:r w:rsidRPr="00981405">
        <w:t>distributed</w:t>
      </w:r>
      <w:r w:rsidR="00190923" w:rsidRPr="00981405">
        <w:t xml:space="preserve"> </w:t>
      </w:r>
      <w:r w:rsidRPr="00981405">
        <w:t>to</w:t>
      </w:r>
      <w:r w:rsidR="00190923" w:rsidRPr="00981405">
        <w:t xml:space="preserve"> </w:t>
      </w:r>
      <w:r w:rsidRPr="00981405">
        <w:t>all</w:t>
      </w:r>
      <w:r w:rsidR="00190923" w:rsidRPr="00981405">
        <w:t xml:space="preserve"> </w:t>
      </w:r>
      <w:r w:rsidRPr="00981405">
        <w:t>participants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to</w:t>
      </w:r>
      <w:r w:rsidR="00190923" w:rsidRPr="00981405">
        <w:t xml:space="preserve"> </w:t>
      </w:r>
      <w:r w:rsidRPr="00981405">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p>
    <w:p w:rsidR="00397032" w:rsidRPr="00981405" w:rsidRDefault="00397032" w:rsidP="00D97463">
      <w:pPr>
        <w:pStyle w:val="SingleTxt"/>
      </w:pPr>
      <w:r w:rsidRPr="00981405">
        <w:t>325.</w:t>
      </w:r>
      <w:r w:rsidRPr="00981405">
        <w:tab/>
        <w:t>The</w:t>
      </w:r>
      <w:r w:rsidR="00190923" w:rsidRPr="00981405">
        <w:t xml:space="preserve"> </w:t>
      </w:r>
      <w:r w:rsidRPr="00981405">
        <w:t>Republic</w:t>
      </w:r>
      <w:r w:rsidR="00190923" w:rsidRPr="00981405">
        <w:t xml:space="preserve"> </w:t>
      </w:r>
      <w:r w:rsidRPr="00981405">
        <w:t>and</w:t>
      </w:r>
      <w:r w:rsidR="00190923" w:rsidRPr="00981405">
        <w:t xml:space="preserve"> </w:t>
      </w:r>
      <w:r w:rsidRPr="00981405">
        <w:t>Canton</w:t>
      </w:r>
      <w:r w:rsidR="00190923" w:rsidRPr="00981405">
        <w:t xml:space="preserve"> </w:t>
      </w:r>
      <w:r w:rsidRPr="00981405">
        <w:t>of</w:t>
      </w:r>
      <w:r w:rsidR="00190923" w:rsidRPr="00981405">
        <w:t xml:space="preserve"> </w:t>
      </w:r>
      <w:r w:rsidRPr="00981405">
        <w:t>Geneva</w:t>
      </w:r>
      <w:r w:rsidR="00190923" w:rsidRPr="00981405">
        <w:t xml:space="preserve"> </w:t>
      </w:r>
      <w:r w:rsidRPr="00981405">
        <w:t>offered</w:t>
      </w:r>
      <w:r w:rsidR="00190923" w:rsidRPr="00981405">
        <w:t xml:space="preserve"> </w:t>
      </w:r>
      <w:r w:rsidRPr="00981405">
        <w:t>its</w:t>
      </w:r>
      <w:r w:rsidR="00190923" w:rsidRPr="00981405">
        <w:t xml:space="preserve"> </w:t>
      </w:r>
      <w:r w:rsidRPr="00981405">
        <w:t>traditional</w:t>
      </w:r>
      <w:r w:rsidR="00190923" w:rsidRPr="00981405">
        <w:t xml:space="preserve"> </w:t>
      </w:r>
      <w:r w:rsidRPr="00981405">
        <w:t>hospitality</w:t>
      </w:r>
      <w:r w:rsidR="00190923" w:rsidRPr="00981405">
        <w:t xml:space="preserve"> </w:t>
      </w:r>
      <w:r w:rsidRPr="00981405">
        <w:t>at</w:t>
      </w:r>
      <w:r w:rsidR="00190923" w:rsidRPr="00981405">
        <w:t xml:space="preserve"> </w:t>
      </w:r>
      <w:r w:rsidRPr="00981405">
        <w:t>the</w:t>
      </w:r>
      <w:r w:rsidR="00190923" w:rsidRPr="00981405">
        <w:t xml:space="preserve"> </w:t>
      </w:r>
      <w:r w:rsidRPr="00981405">
        <w:t>Geneva</w:t>
      </w:r>
      <w:r w:rsidR="00190923" w:rsidRPr="00981405">
        <w:t xml:space="preserve"> </w:t>
      </w:r>
      <w:r w:rsidRPr="00981405">
        <w:t>Town</w:t>
      </w:r>
      <w:r w:rsidR="00190923" w:rsidRPr="00981405">
        <w:t xml:space="preserve"> </w:t>
      </w:r>
      <w:r w:rsidRPr="00981405">
        <w:t>Hall</w:t>
      </w:r>
      <w:r w:rsidR="00190923" w:rsidRPr="00981405">
        <w:t xml:space="preserve"> </w:t>
      </w:r>
      <w:r w:rsidRPr="00981405">
        <w:t>where</w:t>
      </w:r>
      <w:r w:rsidR="00190923" w:rsidRPr="00981405">
        <w:t xml:space="preserve"> </w:t>
      </w:r>
      <w:r w:rsidRPr="00981405">
        <w:t>the</w:t>
      </w:r>
      <w:r w:rsidR="00190923" w:rsidRPr="00981405">
        <w:t xml:space="preserve"> </w:t>
      </w:r>
      <w:r w:rsidRPr="00981405">
        <w:t>Seminar</w:t>
      </w:r>
      <w:r w:rsidR="00190923" w:rsidRPr="00981405">
        <w:t xml:space="preserve"> </w:t>
      </w:r>
      <w:r w:rsidRPr="00981405">
        <w:t>participants</w:t>
      </w:r>
      <w:r w:rsidR="00190923" w:rsidRPr="00981405">
        <w:t xml:space="preserve"> </w:t>
      </w:r>
      <w:r w:rsidRPr="00981405">
        <w:t>visited</w:t>
      </w:r>
      <w:r w:rsidR="00190923" w:rsidRPr="00981405">
        <w:t xml:space="preserve"> </w:t>
      </w:r>
      <w:r w:rsidRPr="00981405">
        <w:t>the</w:t>
      </w:r>
      <w:r w:rsidR="00190923" w:rsidRPr="00981405">
        <w:t xml:space="preserve"> </w:t>
      </w:r>
      <w:r w:rsidRPr="00981405">
        <w:t>Alabama</w:t>
      </w:r>
      <w:r w:rsidR="00190923" w:rsidRPr="00981405">
        <w:t xml:space="preserve"> </w:t>
      </w:r>
      <w:r w:rsidRPr="00981405">
        <w:t>room</w:t>
      </w:r>
      <w:r w:rsidR="00190923" w:rsidRPr="00981405">
        <w:t xml:space="preserve"> </w:t>
      </w:r>
      <w:r w:rsidRPr="00981405">
        <w:t>and</w:t>
      </w:r>
      <w:r w:rsidR="00190923" w:rsidRPr="00981405">
        <w:t xml:space="preserve"> </w:t>
      </w:r>
      <w:r w:rsidRPr="00981405">
        <w:t>attended</w:t>
      </w:r>
      <w:r w:rsidR="00190923" w:rsidRPr="00981405">
        <w:t xml:space="preserve"> </w:t>
      </w:r>
      <w:r w:rsidRPr="00981405">
        <w:t>a</w:t>
      </w:r>
      <w:r w:rsidR="00190923" w:rsidRPr="00981405">
        <w:t xml:space="preserve"> </w:t>
      </w:r>
      <w:r w:rsidRPr="00981405">
        <w:t>cocktail</w:t>
      </w:r>
      <w:r w:rsidR="00190923" w:rsidRPr="00981405">
        <w:t xml:space="preserve"> </w:t>
      </w:r>
      <w:r w:rsidRPr="00981405">
        <w:t>reception.</w:t>
      </w:r>
    </w:p>
    <w:p w:rsidR="00397032" w:rsidRPr="00981405" w:rsidRDefault="00397032" w:rsidP="00D97463">
      <w:pPr>
        <w:pStyle w:val="SingleTxt"/>
      </w:pPr>
      <w:r w:rsidRPr="00981405">
        <w:t>326.</w:t>
      </w:r>
      <w:r w:rsidRPr="00981405">
        <w:tab/>
        <w:t>The</w:t>
      </w:r>
      <w:r w:rsidR="00190923" w:rsidRPr="00981405">
        <w:t xml:space="preserve"> </w:t>
      </w:r>
      <w:r w:rsidRPr="00981405">
        <w:t>Permanent</w:t>
      </w:r>
      <w:r w:rsidR="00190923" w:rsidRPr="00981405">
        <w:t xml:space="preserve"> </w:t>
      </w:r>
      <w:r w:rsidRPr="00981405">
        <w:t>Representative</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Kingdom</w:t>
      </w:r>
      <w:r w:rsidR="00190923" w:rsidRPr="00981405">
        <w:t xml:space="preserve"> </w:t>
      </w:r>
      <w:r w:rsidRPr="00981405">
        <w:t>to</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B92E2C" w:rsidRPr="00981405">
        <w:t xml:space="preserve"> </w:t>
      </w:r>
      <w:r w:rsidRPr="00981405">
        <w:t>and</w:t>
      </w:r>
      <w:r w:rsidR="00190923" w:rsidRPr="00981405">
        <w:t xml:space="preserve"> </w:t>
      </w:r>
      <w:r w:rsidRPr="00981405">
        <w:t>other</w:t>
      </w:r>
      <w:r w:rsidR="00190923" w:rsidRPr="00981405">
        <w:t xml:space="preserve"> </w:t>
      </w:r>
      <w:r w:rsidRPr="00981405">
        <w:t>International</w:t>
      </w:r>
      <w:r w:rsidR="00190923" w:rsidRPr="00981405">
        <w:t xml:space="preserve"> </w:t>
      </w:r>
      <w:r w:rsidRPr="00981405">
        <w:t>Organisations</w:t>
      </w:r>
      <w:r w:rsidR="00190923" w:rsidRPr="00981405">
        <w:t xml:space="preserve"> </w:t>
      </w:r>
      <w:r w:rsidRPr="00981405">
        <w:t>in</w:t>
      </w:r>
      <w:r w:rsidR="00190923" w:rsidRPr="00981405">
        <w:t xml:space="preserve"> </w:t>
      </w:r>
      <w:r w:rsidRPr="00981405">
        <w:t>Geneva</w:t>
      </w:r>
      <w:r w:rsidR="00190923" w:rsidRPr="00981405">
        <w:t xml:space="preserve"> </w:t>
      </w:r>
      <w:r w:rsidRPr="00981405">
        <w:t>invited</w:t>
      </w:r>
      <w:r w:rsidR="00190923" w:rsidRPr="00981405">
        <w:t xml:space="preserve"> </w:t>
      </w:r>
      <w:r w:rsidRPr="00981405">
        <w:t>the</w:t>
      </w:r>
      <w:r w:rsidR="00190923" w:rsidRPr="00981405">
        <w:t xml:space="preserve"> </w:t>
      </w:r>
      <w:r w:rsidRPr="00981405">
        <w:t>Seminar</w:t>
      </w:r>
      <w:r w:rsidR="00190923" w:rsidRPr="00981405">
        <w:t xml:space="preserve"> </w:t>
      </w:r>
      <w:r w:rsidRPr="00981405">
        <w:t>participants</w:t>
      </w:r>
      <w:r w:rsidR="00190923" w:rsidRPr="00981405">
        <w:t xml:space="preserve"> </w:t>
      </w:r>
      <w:r w:rsidRPr="00981405">
        <w:t>for</w:t>
      </w:r>
      <w:r w:rsidR="00190923" w:rsidRPr="00981405">
        <w:t xml:space="preserve"> </w:t>
      </w:r>
      <w:r w:rsidRPr="00981405">
        <w:t>a</w:t>
      </w:r>
      <w:r w:rsidR="00190923" w:rsidRPr="00981405">
        <w:t xml:space="preserve"> </w:t>
      </w:r>
      <w:r w:rsidRPr="00981405">
        <w:t>reception</w:t>
      </w:r>
      <w:r w:rsidR="00190923" w:rsidRPr="00981405">
        <w:t xml:space="preserve"> </w:t>
      </w:r>
      <w:r w:rsidRPr="00981405">
        <w:t>at</w:t>
      </w:r>
      <w:r w:rsidR="00190923" w:rsidRPr="00981405">
        <w:t xml:space="preserve"> </w:t>
      </w:r>
      <w:r w:rsidRPr="00981405">
        <w:t>the</w:t>
      </w:r>
      <w:r w:rsidR="00B92E2C" w:rsidRPr="00981405">
        <w:t xml:space="preserve"> </w:t>
      </w:r>
      <w:r w:rsidRPr="00981405">
        <w:t>residence.</w:t>
      </w:r>
    </w:p>
    <w:p w:rsidR="00397032" w:rsidRPr="00981405" w:rsidRDefault="00397032" w:rsidP="00D97463">
      <w:pPr>
        <w:pStyle w:val="SingleTxt"/>
      </w:pPr>
      <w:r w:rsidRPr="00981405">
        <w:t>327.</w:t>
      </w:r>
      <w:r w:rsidRPr="00981405">
        <w:tab/>
        <w:t>Mr.</w:t>
      </w:r>
      <w:r w:rsidR="00190923" w:rsidRPr="00981405">
        <w:t xml:space="preserve"> </w:t>
      </w:r>
      <w:r w:rsidRPr="00981405">
        <w:t>Narinder</w:t>
      </w:r>
      <w:r w:rsidR="00190923" w:rsidRPr="00981405">
        <w:t xml:space="preserve"> </w:t>
      </w:r>
      <w:r w:rsidRPr="00981405">
        <w:t>Singh,</w:t>
      </w:r>
      <w:r w:rsidR="00190923" w:rsidRPr="00981405">
        <w:t xml:space="preserve"> </w:t>
      </w:r>
      <w:r w:rsidRPr="00981405">
        <w:t>Chairman</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Commission,</w:t>
      </w:r>
      <w:r w:rsidR="00190923" w:rsidRPr="00981405">
        <w:t xml:space="preserve"> </w:t>
      </w:r>
      <w:r w:rsidRPr="00981405">
        <w:t>Mr.</w:t>
      </w:r>
      <w:r w:rsidR="00190923" w:rsidRPr="00981405">
        <w:t xml:space="preserve"> </w:t>
      </w:r>
      <w:r w:rsidRPr="00981405">
        <w:t>Markus</w:t>
      </w:r>
      <w:r w:rsidR="00190923" w:rsidRPr="00981405">
        <w:t xml:space="preserve"> </w:t>
      </w:r>
      <w:r w:rsidRPr="00981405">
        <w:t>Schmidt,</w:t>
      </w:r>
      <w:r w:rsidR="00190923" w:rsidRPr="00981405">
        <w:t xml:space="preserve"> </w:t>
      </w:r>
      <w:r w:rsidRPr="00981405">
        <w:t>Director</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Seminar,</w:t>
      </w:r>
      <w:r w:rsidR="00190923" w:rsidRPr="00981405">
        <w:t xml:space="preserve"> </w:t>
      </w:r>
      <w:r w:rsidRPr="00981405">
        <w:t>and</w:t>
      </w:r>
      <w:r w:rsidR="00190923" w:rsidRPr="00981405">
        <w:t xml:space="preserve"> </w:t>
      </w:r>
      <w:r w:rsidRPr="00981405">
        <w:t>Mr.</w:t>
      </w:r>
      <w:r w:rsidR="00190923" w:rsidRPr="00981405">
        <w:t xml:space="preserve"> </w:t>
      </w:r>
      <w:r w:rsidRPr="00981405">
        <w:t>Momchil</w:t>
      </w:r>
      <w:r w:rsidR="00190923" w:rsidRPr="00981405">
        <w:t xml:space="preserve"> </w:t>
      </w:r>
      <w:r w:rsidRPr="00981405">
        <w:t>Milanov,</w:t>
      </w:r>
      <w:r w:rsidR="00190923" w:rsidRPr="00981405">
        <w:t xml:space="preserve"> </w:t>
      </w:r>
      <w:r w:rsidRPr="00981405">
        <w:t>on</w:t>
      </w:r>
      <w:r w:rsidR="00190923" w:rsidRPr="00981405">
        <w:t xml:space="preserve"> </w:t>
      </w:r>
      <w:r w:rsidRPr="00981405">
        <w:t>behalf</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participants,</w:t>
      </w:r>
      <w:r w:rsidR="00190923" w:rsidRPr="00981405">
        <w:t xml:space="preserve"> </w:t>
      </w:r>
      <w:r w:rsidRPr="00981405">
        <w:t>addressed</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during</w:t>
      </w:r>
      <w:r w:rsidR="00190923" w:rsidRPr="00981405">
        <w:t xml:space="preserve"> </w:t>
      </w:r>
      <w:r w:rsidRPr="00981405">
        <w:t>the</w:t>
      </w:r>
      <w:r w:rsidR="00190923" w:rsidRPr="00981405">
        <w:t xml:space="preserve"> </w:t>
      </w:r>
      <w:r w:rsidRPr="00981405">
        <w:t>closing</w:t>
      </w:r>
      <w:r w:rsidR="00190923" w:rsidRPr="00981405">
        <w:t xml:space="preserve"> </w:t>
      </w:r>
      <w:r w:rsidRPr="00981405">
        <w:t>ceremony</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Each</w:t>
      </w:r>
      <w:r w:rsidR="00190923" w:rsidRPr="00981405">
        <w:t xml:space="preserve"> </w:t>
      </w:r>
      <w:r w:rsidRPr="00981405">
        <w:t>participant</w:t>
      </w:r>
      <w:r w:rsidR="00190923" w:rsidRPr="00981405">
        <w:t xml:space="preserve"> </w:t>
      </w:r>
      <w:r w:rsidRPr="00981405">
        <w:t>was</w:t>
      </w:r>
      <w:r w:rsidR="00190923" w:rsidRPr="00981405">
        <w:t xml:space="preserve"> </w:t>
      </w:r>
      <w:r w:rsidRPr="00981405">
        <w:t>presented</w:t>
      </w:r>
      <w:r w:rsidR="00190923" w:rsidRPr="00981405">
        <w:t xml:space="preserve"> </w:t>
      </w:r>
      <w:r w:rsidRPr="00981405">
        <w:t>with</w:t>
      </w:r>
      <w:r w:rsidR="00190923" w:rsidRPr="00981405">
        <w:t xml:space="preserve"> </w:t>
      </w:r>
      <w:r w:rsidRPr="00981405">
        <w:t>a</w:t>
      </w:r>
      <w:r w:rsidR="00190923" w:rsidRPr="00981405">
        <w:t xml:space="preserve"> </w:t>
      </w:r>
      <w:r w:rsidRPr="00981405">
        <w:t>certificate</w:t>
      </w:r>
      <w:r w:rsidR="00190923" w:rsidRPr="00981405">
        <w:t xml:space="preserve"> </w:t>
      </w:r>
      <w:r w:rsidRPr="00981405">
        <w:t>of</w:t>
      </w:r>
      <w:r w:rsidR="00190923" w:rsidRPr="00981405">
        <w:t xml:space="preserve"> </w:t>
      </w:r>
      <w:r w:rsidRPr="00981405">
        <w:t>attendance.</w:t>
      </w:r>
    </w:p>
    <w:p w:rsidR="00397032" w:rsidRPr="00981405" w:rsidRDefault="00397032" w:rsidP="00D97463">
      <w:pPr>
        <w:pStyle w:val="SingleTxt"/>
      </w:pPr>
      <w:r w:rsidRPr="00981405">
        <w:t>328.</w:t>
      </w:r>
      <w:r w:rsidRPr="00981405">
        <w:tab/>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with</w:t>
      </w:r>
      <w:r w:rsidR="00190923" w:rsidRPr="00981405">
        <w:t xml:space="preserve"> </w:t>
      </w:r>
      <w:r w:rsidRPr="00981405">
        <w:t>particular</w:t>
      </w:r>
      <w:r w:rsidR="00190923" w:rsidRPr="00981405">
        <w:t xml:space="preserve"> </w:t>
      </w:r>
      <w:r w:rsidRPr="00981405">
        <w:t>appreciation</w:t>
      </w:r>
      <w:r w:rsidR="00190923" w:rsidRPr="00981405">
        <w:t xml:space="preserve"> </w:t>
      </w:r>
      <w:r w:rsidRPr="00981405">
        <w:t>that</w:t>
      </w:r>
      <w:r w:rsidR="00190923" w:rsidRPr="00981405">
        <w:t xml:space="preserve"> </w:t>
      </w:r>
      <w:r w:rsidRPr="00981405">
        <w:t>since</w:t>
      </w:r>
      <w:r w:rsidR="00190923" w:rsidRPr="00981405">
        <w:t xml:space="preserve"> </w:t>
      </w:r>
      <w:r w:rsidRPr="00981405">
        <w:t>2013</w:t>
      </w:r>
      <w:r w:rsidR="00190923" w:rsidRPr="00981405">
        <w:t xml:space="preserve"> </w:t>
      </w:r>
      <w:r w:rsidRPr="00981405">
        <w:t>the</w:t>
      </w:r>
      <w:r w:rsidR="00190923" w:rsidRPr="00981405">
        <w:t xml:space="preserve"> </w:t>
      </w:r>
      <w:r w:rsidRPr="00981405">
        <w:t>Governments</w:t>
      </w:r>
      <w:r w:rsidR="00190923" w:rsidRPr="00981405">
        <w:t xml:space="preserve"> </w:t>
      </w:r>
      <w:r w:rsidRPr="00981405">
        <w:t>of</w:t>
      </w:r>
      <w:r w:rsidR="00190923" w:rsidRPr="00981405">
        <w:t xml:space="preserve"> </w:t>
      </w:r>
      <w:r w:rsidRPr="00981405">
        <w:t>Argentina,</w:t>
      </w:r>
      <w:r w:rsidR="00190923" w:rsidRPr="00981405">
        <w:t xml:space="preserve"> </w:t>
      </w:r>
      <w:r w:rsidRPr="00981405">
        <w:t>Austria,</w:t>
      </w:r>
      <w:r w:rsidR="00190923" w:rsidRPr="00981405">
        <w:t xml:space="preserve"> </w:t>
      </w:r>
      <w:r w:rsidRPr="00981405">
        <w:t>China,</w:t>
      </w:r>
      <w:r w:rsidR="00190923" w:rsidRPr="00981405">
        <w:t xml:space="preserve"> </w:t>
      </w:r>
      <w:r w:rsidRPr="00981405">
        <w:t>Finland,</w:t>
      </w:r>
      <w:r w:rsidR="00190923" w:rsidRPr="00981405">
        <w:t xml:space="preserve"> </w:t>
      </w:r>
      <w:r w:rsidRPr="00981405">
        <w:t>India,</w:t>
      </w:r>
      <w:r w:rsidR="00190923" w:rsidRPr="00981405">
        <w:t xml:space="preserve"> </w:t>
      </w:r>
      <w:r w:rsidRPr="00981405">
        <w:t>Ireland,</w:t>
      </w:r>
      <w:r w:rsidR="00190923" w:rsidRPr="00981405">
        <w:t xml:space="preserve"> </w:t>
      </w:r>
      <w:r w:rsidRPr="00981405">
        <w:t>Mexico,</w:t>
      </w:r>
      <w:r w:rsidR="00190923" w:rsidRPr="00981405">
        <w:t xml:space="preserve"> </w:t>
      </w:r>
      <w:r w:rsidRPr="00981405">
        <w:t>Sweden,</w:t>
      </w:r>
      <w:r w:rsidR="00190923" w:rsidRPr="00981405">
        <w:t xml:space="preserve"> </w:t>
      </w:r>
      <w:r w:rsidRPr="00981405">
        <w:t>Switzerland,</w:t>
      </w:r>
      <w:r w:rsidR="00190923" w:rsidRPr="00981405">
        <w:t xml:space="preserve"> </w:t>
      </w:r>
      <w:r w:rsidRPr="00981405">
        <w:t>and</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Kingdom</w:t>
      </w:r>
      <w:r w:rsidR="00190923" w:rsidRPr="00981405">
        <w:t xml:space="preserve"> </w:t>
      </w:r>
      <w:r w:rsidRPr="00981405">
        <w:t>had</w:t>
      </w:r>
      <w:r w:rsidR="00190923" w:rsidRPr="00981405">
        <w:t xml:space="preserve"> </w:t>
      </w:r>
      <w:r w:rsidRPr="00981405">
        <w:t>made</w:t>
      </w:r>
      <w:r w:rsidR="00190923" w:rsidRPr="00981405">
        <w:t xml:space="preserve"> </w:t>
      </w:r>
      <w:r w:rsidRPr="00981405">
        <w:t>voluntary</w:t>
      </w:r>
      <w:r w:rsidR="00190923" w:rsidRPr="00981405">
        <w:t xml:space="preserve"> </w:t>
      </w:r>
      <w:r w:rsidRPr="00981405">
        <w:t>contributions</w:t>
      </w:r>
      <w:r w:rsidR="00190923" w:rsidRPr="00981405">
        <w:t xml:space="preserve"> </w:t>
      </w:r>
      <w:r w:rsidRPr="00981405">
        <w:t>to</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Trust</w:t>
      </w:r>
      <w:r w:rsidR="00190923" w:rsidRPr="00981405">
        <w:t xml:space="preserve"> </w:t>
      </w:r>
      <w:r w:rsidRPr="00981405">
        <w:t>Fund</w:t>
      </w:r>
      <w:r w:rsidR="00190923" w:rsidRPr="00981405">
        <w:t xml:space="preserve"> </w:t>
      </w:r>
      <w:r w:rsidRPr="00981405">
        <w:t>for</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Seminar.</w:t>
      </w:r>
      <w:r w:rsidR="00190923" w:rsidRPr="00981405">
        <w:t xml:space="preserve"> </w:t>
      </w:r>
      <w:r w:rsidRPr="00981405">
        <w:t>The</w:t>
      </w:r>
      <w:r w:rsidR="00190923" w:rsidRPr="00981405">
        <w:t xml:space="preserve"> </w:t>
      </w:r>
      <w:r w:rsidRPr="00D97463">
        <w:rPr>
          <w:i/>
          <w:iCs/>
        </w:rPr>
        <w:t>Circolo</w:t>
      </w:r>
      <w:r w:rsidR="00190923" w:rsidRPr="00D97463">
        <w:rPr>
          <w:i/>
          <w:iCs/>
        </w:rPr>
        <w:t xml:space="preserve"> </w:t>
      </w:r>
      <w:r w:rsidRPr="00D97463">
        <w:rPr>
          <w:i/>
          <w:iCs/>
        </w:rPr>
        <w:t>di</w:t>
      </w:r>
      <w:r w:rsidR="00190923" w:rsidRPr="00D97463">
        <w:rPr>
          <w:i/>
          <w:iCs/>
        </w:rPr>
        <w:t xml:space="preserve"> </w:t>
      </w:r>
      <w:r w:rsidRPr="00D97463">
        <w:rPr>
          <w:i/>
          <w:iCs/>
        </w:rPr>
        <w:t>diritto</w:t>
      </w:r>
      <w:r w:rsidR="00190923" w:rsidRPr="00D97463">
        <w:rPr>
          <w:i/>
          <w:iCs/>
        </w:rPr>
        <w:t xml:space="preserve"> </w:t>
      </w:r>
      <w:r w:rsidRPr="00D97463">
        <w:rPr>
          <w:i/>
          <w:iCs/>
        </w:rPr>
        <w:t>internazionale</w:t>
      </w:r>
      <w:r w:rsidR="00190923" w:rsidRPr="00981405">
        <w:t xml:space="preserve"> </w:t>
      </w:r>
      <w:r w:rsidRPr="00981405">
        <w:t>(CIDIR),</w:t>
      </w:r>
      <w:r w:rsidR="00190923" w:rsidRPr="00981405">
        <w:t xml:space="preserve"> </w:t>
      </w:r>
      <w:r w:rsidRPr="00981405">
        <w:t>a</w:t>
      </w:r>
      <w:r w:rsidR="00190923" w:rsidRPr="00981405">
        <w:t xml:space="preserve"> </w:t>
      </w:r>
      <w:r w:rsidRPr="00981405">
        <w:t>private</w:t>
      </w:r>
      <w:r w:rsidR="00190923" w:rsidRPr="00981405">
        <w:t xml:space="preserve"> </w:t>
      </w:r>
      <w:r w:rsidRPr="00981405">
        <w:t>association</w:t>
      </w:r>
      <w:r w:rsidR="00190923" w:rsidRPr="00981405">
        <w:t xml:space="preserve"> </w:t>
      </w:r>
      <w:r w:rsidRPr="00981405">
        <w:t>for</w:t>
      </w:r>
      <w:r w:rsidR="00190923" w:rsidRPr="00981405">
        <w:t xml:space="preserve"> </w:t>
      </w:r>
      <w:r w:rsidRPr="00981405">
        <w:t>the</w:t>
      </w:r>
      <w:r w:rsidR="00190923" w:rsidRPr="00981405">
        <w:t xml:space="preserve"> </w:t>
      </w:r>
      <w:r w:rsidRPr="00981405">
        <w:t>promotion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based</w:t>
      </w:r>
      <w:r w:rsidR="00190923" w:rsidRPr="00981405">
        <w:t xml:space="preserve"> </w:t>
      </w:r>
      <w:r w:rsidRPr="00981405">
        <w:t>in</w:t>
      </w:r>
      <w:r w:rsidR="00190923" w:rsidRPr="00981405">
        <w:t xml:space="preserve"> </w:t>
      </w:r>
      <w:r w:rsidRPr="00981405">
        <w:t>Rome</w:t>
      </w:r>
      <w:r w:rsidR="00190923" w:rsidRPr="00981405">
        <w:t xml:space="preserve"> </w:t>
      </w:r>
      <w:r w:rsidRPr="00981405">
        <w:t>(Italy),</w:t>
      </w:r>
      <w:r w:rsidR="00190923" w:rsidRPr="00981405">
        <w:t xml:space="preserve"> </w:t>
      </w:r>
      <w:r w:rsidRPr="00981405">
        <w:t>also</w:t>
      </w:r>
      <w:r w:rsidR="00190923" w:rsidRPr="00981405">
        <w:t xml:space="preserve"> </w:t>
      </w:r>
      <w:r w:rsidRPr="00981405">
        <w:t>contributed</w:t>
      </w:r>
      <w:r w:rsidR="00190923" w:rsidRPr="00981405">
        <w:t xml:space="preserve"> </w:t>
      </w:r>
      <w:r w:rsidRPr="00981405">
        <w:t>to</w:t>
      </w:r>
      <w:r w:rsidR="00190923" w:rsidRPr="00981405">
        <w:t xml:space="preserve"> </w:t>
      </w:r>
      <w:r w:rsidRPr="00981405">
        <w:t>the</w:t>
      </w:r>
      <w:r w:rsidR="00190923" w:rsidRPr="00981405">
        <w:t xml:space="preserve"> </w:t>
      </w:r>
      <w:r w:rsidRPr="00981405">
        <w:t>Seminar.</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w:t>
      </w:r>
      <w:r w:rsidR="00190923" w:rsidRPr="00981405">
        <w:t xml:space="preserve"> </w:t>
      </w:r>
      <w:r w:rsidRPr="00981405">
        <w:t>financial</w:t>
      </w:r>
      <w:r w:rsidR="00190923" w:rsidRPr="00981405">
        <w:t xml:space="preserve"> </w:t>
      </w:r>
      <w:r w:rsidRPr="00981405">
        <w:t>crisis</w:t>
      </w:r>
      <w:r w:rsidR="00190923" w:rsidRPr="00981405">
        <w:t xml:space="preserve"> </w:t>
      </w:r>
      <w:r w:rsidRPr="00981405">
        <w:t>of</w:t>
      </w:r>
      <w:r w:rsidR="00190923" w:rsidRPr="00981405">
        <w:t xml:space="preserve"> </w:t>
      </w:r>
      <w:r w:rsidRPr="00981405">
        <w:t>recent</w:t>
      </w:r>
      <w:r w:rsidR="00190923" w:rsidRPr="00981405">
        <w:t xml:space="preserve"> </w:t>
      </w:r>
      <w:r w:rsidRPr="00981405">
        <w:t>years</w:t>
      </w:r>
      <w:r w:rsidR="00190923" w:rsidRPr="00981405">
        <w:t xml:space="preserve"> </w:t>
      </w:r>
      <w:r w:rsidRPr="00981405">
        <w:t>had</w:t>
      </w:r>
      <w:r w:rsidR="00190923" w:rsidRPr="00981405">
        <w:t xml:space="preserve"> </w:t>
      </w:r>
      <w:r w:rsidRPr="00981405">
        <w:t>seriously</w:t>
      </w:r>
      <w:r w:rsidR="00190923" w:rsidRPr="00981405">
        <w:t xml:space="preserve"> </w:t>
      </w:r>
      <w:r w:rsidRPr="00981405">
        <w:t>affected</w:t>
      </w:r>
      <w:r w:rsidR="00190923" w:rsidRPr="00981405">
        <w:t xml:space="preserve"> </w:t>
      </w:r>
      <w:r w:rsidRPr="00981405">
        <w:t>the</w:t>
      </w:r>
      <w:r w:rsidR="00190923" w:rsidRPr="00981405">
        <w:t xml:space="preserve"> </w:t>
      </w:r>
      <w:r w:rsidRPr="00981405">
        <w:t>finances</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a</w:t>
      </w:r>
      <w:r w:rsidR="00190923" w:rsidRPr="00981405">
        <w:t xml:space="preserve"> </w:t>
      </w:r>
      <w:r w:rsidRPr="00981405">
        <w:t>sufficient</w:t>
      </w:r>
      <w:r w:rsidR="00190923" w:rsidRPr="00981405">
        <w:t xml:space="preserve"> </w:t>
      </w:r>
      <w:r w:rsidRPr="00981405">
        <w:t>number</w:t>
      </w:r>
      <w:r w:rsidR="00190923" w:rsidRPr="00981405">
        <w:t xml:space="preserve"> </w:t>
      </w:r>
      <w:r w:rsidRPr="00981405">
        <w:t>of</w:t>
      </w:r>
      <w:r w:rsidR="00190923" w:rsidRPr="00981405">
        <w:t xml:space="preserve"> </w:t>
      </w:r>
      <w:r w:rsidRPr="00981405">
        <w:t>fellowships</w:t>
      </w:r>
      <w:r w:rsidR="00190923" w:rsidRPr="00981405">
        <w:t xml:space="preserve"> </w:t>
      </w:r>
      <w:r w:rsidRPr="00981405">
        <w:t>to</w:t>
      </w:r>
      <w:r w:rsidR="00190923" w:rsidRPr="00981405">
        <w:t xml:space="preserve"> </w:t>
      </w:r>
      <w:r w:rsidRPr="00981405">
        <w:t>deserving</w:t>
      </w:r>
      <w:r w:rsidR="00190923" w:rsidRPr="00981405">
        <w:t xml:space="preserve"> </w:t>
      </w:r>
      <w:r w:rsidRPr="00981405">
        <w:t>candidates</w:t>
      </w:r>
      <w:r w:rsidR="00190923" w:rsidRPr="00981405">
        <w:t xml:space="preserve"> </w:t>
      </w:r>
      <w:r w:rsidRPr="00981405">
        <w:t>especially</w:t>
      </w:r>
      <w:r w:rsidR="00190923" w:rsidRPr="00981405">
        <w:t xml:space="preserve"> </w:t>
      </w:r>
      <w:r w:rsidRPr="00981405">
        <w:t>from</w:t>
      </w:r>
      <w:r w:rsidR="00190923" w:rsidRPr="00981405">
        <w:t xml:space="preserve"> </w:t>
      </w:r>
      <w:r w:rsidRPr="00981405">
        <w:t>developing</w:t>
      </w:r>
      <w:r w:rsidR="00190923" w:rsidRPr="00981405">
        <w:t xml:space="preserve"> </w:t>
      </w:r>
      <w:r w:rsidRPr="00981405">
        <w:t>countries</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achieve</w:t>
      </w:r>
      <w:r w:rsidR="00190923" w:rsidRPr="00981405">
        <w:t xml:space="preserve"> </w:t>
      </w:r>
      <w:r w:rsidRPr="00981405">
        <w:t>adequate</w:t>
      </w:r>
      <w:r w:rsidR="00190923" w:rsidRPr="00981405">
        <w:t xml:space="preserve"> </w:t>
      </w:r>
      <w:r w:rsidRPr="00981405">
        <w:t>geographical</w:t>
      </w:r>
      <w:r w:rsidR="00190923" w:rsidRPr="00981405">
        <w:t xml:space="preserve"> </w:t>
      </w:r>
      <w:r w:rsidRPr="00981405">
        <w:t>distribution</w:t>
      </w:r>
      <w:r w:rsidR="00190923" w:rsidRPr="00981405">
        <w:t xml:space="preserve"> </w:t>
      </w:r>
      <w:r w:rsidRPr="00981405">
        <w:t>of</w:t>
      </w:r>
      <w:r w:rsidR="00190923" w:rsidRPr="00981405">
        <w:t xml:space="preserve"> </w:t>
      </w:r>
      <w:r w:rsidRPr="00981405">
        <w:t>participants</w:t>
      </w:r>
      <w:r w:rsidR="00190923" w:rsidRPr="00981405">
        <w:t xml:space="preserve"> </w:t>
      </w:r>
      <w:r w:rsidRPr="00981405">
        <w:t>were</w:t>
      </w:r>
      <w:r w:rsidR="00190923" w:rsidRPr="00981405">
        <w:t xml:space="preserve"> </w:t>
      </w:r>
      <w:r w:rsidRPr="00981405">
        <w:t>awarded</w:t>
      </w:r>
      <w:r w:rsidR="00190923" w:rsidRPr="00981405">
        <w:t xml:space="preserve"> </w:t>
      </w:r>
      <w:r w:rsidRPr="00981405">
        <w:t>from</w:t>
      </w:r>
      <w:r w:rsidR="00190923" w:rsidRPr="00981405">
        <w:t xml:space="preserve"> </w:t>
      </w:r>
      <w:r w:rsidRPr="00981405">
        <w:t>the</w:t>
      </w:r>
      <w:r w:rsidR="00190923" w:rsidRPr="00981405">
        <w:t xml:space="preserve"> </w:t>
      </w:r>
      <w:r w:rsidRPr="00981405">
        <w:t>trust</w:t>
      </w:r>
      <w:r w:rsidR="00190923" w:rsidRPr="00981405">
        <w:t xml:space="preserve"> </w:t>
      </w:r>
      <w:r w:rsidRPr="00981405">
        <w:t>fund.</w:t>
      </w:r>
      <w:r w:rsidR="00190923" w:rsidRPr="00981405">
        <w:t xml:space="preserve"> </w:t>
      </w:r>
      <w:r w:rsidRPr="00981405">
        <w:t>This</w:t>
      </w:r>
      <w:r w:rsidR="00190923" w:rsidRPr="00981405">
        <w:t xml:space="preserve"> </w:t>
      </w:r>
      <w:r w:rsidRPr="00981405">
        <w:t>year,</w:t>
      </w:r>
      <w:r w:rsidR="00190923" w:rsidRPr="00981405">
        <w:t xml:space="preserve"> </w:t>
      </w:r>
      <w:r w:rsidRPr="00981405">
        <w:t>fourteen</w:t>
      </w:r>
      <w:r w:rsidR="00190923" w:rsidRPr="00981405">
        <w:t xml:space="preserve"> </w:t>
      </w:r>
      <w:r w:rsidRPr="00981405">
        <w:t>fellowships</w:t>
      </w:r>
      <w:r w:rsidR="00190923" w:rsidRPr="00981405">
        <w:t xml:space="preserve"> </w:t>
      </w:r>
      <w:r w:rsidRPr="00981405">
        <w:t>(nine</w:t>
      </w:r>
      <w:r w:rsidR="00190923" w:rsidRPr="00981405">
        <w:t xml:space="preserve"> </w:t>
      </w:r>
      <w:r w:rsidRPr="00981405">
        <w:t>for</w:t>
      </w:r>
      <w:r w:rsidR="00190923" w:rsidRPr="00981405">
        <w:t xml:space="preserve"> </w:t>
      </w:r>
      <w:r w:rsidRPr="00981405">
        <w:t>travel</w:t>
      </w:r>
      <w:r w:rsidR="00190923" w:rsidRPr="00981405">
        <w:t xml:space="preserve"> </w:t>
      </w:r>
      <w:r w:rsidRPr="00981405">
        <w:t>and</w:t>
      </w:r>
      <w:r w:rsidR="00190923" w:rsidRPr="00981405">
        <w:t xml:space="preserve"> </w:t>
      </w:r>
      <w:r w:rsidRPr="00981405">
        <w:t>living</w:t>
      </w:r>
      <w:r w:rsidR="00190923" w:rsidRPr="00981405">
        <w:t xml:space="preserve"> </w:t>
      </w:r>
      <w:r w:rsidRPr="00981405">
        <w:t>expenses,</w:t>
      </w:r>
      <w:r w:rsidR="00190923" w:rsidRPr="00981405">
        <w:t xml:space="preserve"> </w:t>
      </w:r>
      <w:r w:rsidRPr="00981405">
        <w:t>three</w:t>
      </w:r>
      <w:r w:rsidR="00190923" w:rsidRPr="00981405">
        <w:t xml:space="preserve"> </w:t>
      </w:r>
      <w:r w:rsidRPr="00981405">
        <w:t>for</w:t>
      </w:r>
      <w:r w:rsidR="00190923" w:rsidRPr="00981405">
        <w:t xml:space="preserve"> </w:t>
      </w:r>
      <w:r w:rsidRPr="00981405">
        <w:t>living</w:t>
      </w:r>
      <w:r w:rsidR="00190923" w:rsidRPr="00981405">
        <w:t xml:space="preserve"> </w:t>
      </w:r>
      <w:r w:rsidRPr="00981405">
        <w:t>expenses</w:t>
      </w:r>
      <w:r w:rsidR="00190923" w:rsidRPr="00981405">
        <w:t xml:space="preserve"> </w:t>
      </w:r>
      <w:r w:rsidRPr="00981405">
        <w:t>only</w:t>
      </w:r>
      <w:r w:rsidR="00190923" w:rsidRPr="00981405">
        <w:t xml:space="preserve"> </w:t>
      </w:r>
      <w:r w:rsidRPr="00981405">
        <w:t>and</w:t>
      </w:r>
      <w:r w:rsidR="00190923" w:rsidRPr="00981405">
        <w:t xml:space="preserve"> </w:t>
      </w:r>
      <w:r w:rsidRPr="00981405">
        <w:t>two</w:t>
      </w:r>
      <w:r w:rsidR="00190923" w:rsidRPr="00981405">
        <w:t xml:space="preserve"> </w:t>
      </w:r>
      <w:r w:rsidRPr="00981405">
        <w:t>for</w:t>
      </w:r>
      <w:r w:rsidR="00190923" w:rsidRPr="00981405">
        <w:t xml:space="preserve"> </w:t>
      </w:r>
      <w:r w:rsidRPr="00981405">
        <w:t>travel</w:t>
      </w:r>
      <w:r w:rsidR="00190923" w:rsidRPr="00981405">
        <w:t xml:space="preserve"> </w:t>
      </w:r>
      <w:r w:rsidRPr="00981405">
        <w:t>expenses</w:t>
      </w:r>
      <w:r w:rsidR="00190923" w:rsidRPr="00981405">
        <w:t xml:space="preserve"> </w:t>
      </w:r>
      <w:r w:rsidRPr="00981405">
        <w:t>only)</w:t>
      </w:r>
      <w:r w:rsidR="00190923" w:rsidRPr="00981405">
        <w:t xml:space="preserve"> </w:t>
      </w:r>
      <w:r w:rsidRPr="00981405">
        <w:t>were</w:t>
      </w:r>
      <w:r w:rsidR="00190923" w:rsidRPr="00981405">
        <w:t xml:space="preserve"> </w:t>
      </w:r>
      <w:r w:rsidRPr="00981405">
        <w:t>granted.</w:t>
      </w:r>
      <w:r w:rsidR="00190923" w:rsidRPr="00981405">
        <w:t xml:space="preserve"> </w:t>
      </w:r>
    </w:p>
    <w:p w:rsidR="00397032" w:rsidRPr="00981405" w:rsidRDefault="00397032" w:rsidP="00D97463">
      <w:pPr>
        <w:pStyle w:val="SingleTxt"/>
      </w:pPr>
      <w:r w:rsidRPr="00981405">
        <w:t>329.</w:t>
      </w:r>
      <w:r w:rsidRPr="00981405">
        <w:tab/>
        <w:t>Since</w:t>
      </w:r>
      <w:r w:rsidR="00190923" w:rsidRPr="00981405">
        <w:t xml:space="preserve"> </w:t>
      </w:r>
      <w:r w:rsidRPr="00981405">
        <w:t>1965,</w:t>
      </w:r>
      <w:r w:rsidR="00190923" w:rsidRPr="00981405">
        <w:t xml:space="preserve"> </w:t>
      </w:r>
      <w:r w:rsidRPr="00981405">
        <w:t>year</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inception,</w:t>
      </w:r>
      <w:r w:rsidR="00190923" w:rsidRPr="00981405">
        <w:t xml:space="preserve"> </w:t>
      </w:r>
      <w:r w:rsidRPr="00981405">
        <w:t>1163</w:t>
      </w:r>
      <w:r w:rsidR="00190923" w:rsidRPr="00981405">
        <w:t xml:space="preserve"> </w:t>
      </w:r>
      <w:r w:rsidRPr="00981405">
        <w:t>participants,</w:t>
      </w:r>
      <w:r w:rsidR="00190923" w:rsidRPr="00981405">
        <w:t xml:space="preserve"> </w:t>
      </w:r>
      <w:r w:rsidRPr="00981405">
        <w:t>representing</w:t>
      </w:r>
      <w:r w:rsidR="00190923" w:rsidRPr="00981405">
        <w:t xml:space="preserve"> </w:t>
      </w:r>
      <w:r w:rsidRPr="00981405">
        <w:t>171</w:t>
      </w:r>
      <w:r w:rsidR="00190923" w:rsidRPr="00981405">
        <w:t xml:space="preserve"> </w:t>
      </w:r>
      <w:r w:rsidRPr="00981405">
        <w:t>nationalities,</w:t>
      </w:r>
      <w:r w:rsidR="00190923" w:rsidRPr="00981405">
        <w:t xml:space="preserve"> </w:t>
      </w:r>
      <w:r w:rsidRPr="00981405">
        <w:t>have</w:t>
      </w:r>
      <w:r w:rsidR="00190923" w:rsidRPr="00981405">
        <w:t xml:space="preserve"> </w:t>
      </w:r>
      <w:r w:rsidRPr="00981405">
        <w:t>taken</w:t>
      </w:r>
      <w:r w:rsidR="00190923" w:rsidRPr="00981405">
        <w:t xml:space="preserve"> </w:t>
      </w:r>
      <w:r w:rsidRPr="00981405">
        <w:t>part</w:t>
      </w:r>
      <w:r w:rsidR="00190923" w:rsidRPr="00981405">
        <w:t xml:space="preserve"> </w:t>
      </w:r>
      <w:r w:rsidRPr="00981405">
        <w:t>in</w:t>
      </w:r>
      <w:r w:rsidR="00190923" w:rsidRPr="00981405">
        <w:t xml:space="preserve"> </w:t>
      </w:r>
      <w:r w:rsidRPr="00981405">
        <w:t>the</w:t>
      </w:r>
      <w:r w:rsidR="00190923" w:rsidRPr="00981405">
        <w:t xml:space="preserve"> </w:t>
      </w:r>
      <w:r w:rsidRPr="00981405">
        <w:t>Seminar.</w:t>
      </w:r>
      <w:r w:rsidR="00190923" w:rsidRPr="00981405">
        <w:t xml:space="preserve"> </w:t>
      </w:r>
      <w:r w:rsidRPr="00981405">
        <w:t>713</w:t>
      </w:r>
      <w:r w:rsidR="00190923" w:rsidRPr="00981405">
        <w:t xml:space="preserve"> </w:t>
      </w:r>
      <w:r w:rsidRPr="00981405">
        <w:t>have</w:t>
      </w:r>
      <w:r w:rsidR="00190923" w:rsidRPr="00981405">
        <w:t xml:space="preserve"> </w:t>
      </w:r>
      <w:r w:rsidRPr="00981405">
        <w:t>received</w:t>
      </w:r>
      <w:r w:rsidR="00190923" w:rsidRPr="00981405">
        <w:t xml:space="preserve"> </w:t>
      </w:r>
      <w:r w:rsidRPr="00981405">
        <w:t>a</w:t>
      </w:r>
      <w:r w:rsidR="00190923" w:rsidRPr="00981405">
        <w:t xml:space="preserve"> </w:t>
      </w:r>
      <w:r w:rsidRPr="00981405">
        <w:t>fellowship.</w:t>
      </w:r>
      <w:r w:rsidR="00190923" w:rsidRPr="00981405">
        <w:t xml:space="preserve"> </w:t>
      </w:r>
    </w:p>
    <w:p w:rsidR="00397032" w:rsidRPr="00981405" w:rsidRDefault="00397032" w:rsidP="00D97463">
      <w:pPr>
        <w:pStyle w:val="SingleTxt"/>
      </w:pPr>
      <w:r w:rsidRPr="00981405">
        <w:t>330.</w:t>
      </w:r>
      <w:r w:rsidR="00EB02E2" w:rsidRPr="00981405">
        <w:tab/>
      </w:r>
      <w:r w:rsidRPr="00981405">
        <w:t>The</w:t>
      </w:r>
      <w:r w:rsidR="00190923" w:rsidRPr="00981405">
        <w:t xml:space="preserve"> </w:t>
      </w:r>
      <w:r w:rsidRPr="00981405">
        <w:t>Commission</w:t>
      </w:r>
      <w:r w:rsidR="00190923" w:rsidRPr="00981405">
        <w:t xml:space="preserve"> </w:t>
      </w:r>
      <w:r w:rsidRPr="00981405">
        <w:t>stresses</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it</w:t>
      </w:r>
      <w:r w:rsidR="00190923" w:rsidRPr="00981405">
        <w:t xml:space="preserve"> </w:t>
      </w:r>
      <w:r w:rsidRPr="00981405">
        <w:t>attaches</w:t>
      </w:r>
      <w:r w:rsidR="00190923" w:rsidRPr="00981405">
        <w:t xml:space="preserve"> </w:t>
      </w:r>
      <w:r w:rsidRPr="00981405">
        <w:t>to</w:t>
      </w:r>
      <w:r w:rsidR="00190923" w:rsidRPr="00981405">
        <w:t xml:space="preserve"> </w:t>
      </w:r>
      <w:r w:rsidRPr="00981405">
        <w:t>the</w:t>
      </w:r>
      <w:r w:rsidR="00190923" w:rsidRPr="00981405">
        <w:t xml:space="preserve"> </w:t>
      </w:r>
      <w:r w:rsidRPr="00981405">
        <w:t>Seminar,</w:t>
      </w:r>
      <w:r w:rsidR="00190923" w:rsidRPr="00981405">
        <w:t xml:space="preserve"> </w:t>
      </w:r>
      <w:r w:rsidRPr="00981405">
        <w:t>which</w:t>
      </w:r>
      <w:r w:rsidR="00190923" w:rsidRPr="00981405">
        <w:t xml:space="preserve"> </w:t>
      </w:r>
      <w:r w:rsidRPr="00981405">
        <w:t>enables</w:t>
      </w:r>
      <w:r w:rsidR="00190923" w:rsidRPr="00981405">
        <w:t xml:space="preserve"> </w:t>
      </w:r>
      <w:r w:rsidRPr="00981405">
        <w:t>young</w:t>
      </w:r>
      <w:r w:rsidR="00190923" w:rsidRPr="00981405">
        <w:t xml:space="preserve"> </w:t>
      </w:r>
      <w:r w:rsidRPr="00981405">
        <w:t>lawyers,</w:t>
      </w:r>
      <w:r w:rsidR="00190923" w:rsidRPr="00981405">
        <w:t xml:space="preserve"> </w:t>
      </w:r>
      <w:r w:rsidRPr="00981405">
        <w:t>especially</w:t>
      </w:r>
      <w:r w:rsidR="00190923" w:rsidRPr="00981405">
        <w:t xml:space="preserve"> </w:t>
      </w:r>
      <w:r w:rsidRPr="00981405">
        <w:t>from</w:t>
      </w:r>
      <w:r w:rsidR="00190923" w:rsidRPr="00981405">
        <w:t xml:space="preserve"> </w:t>
      </w:r>
      <w:r w:rsidRPr="00981405">
        <w:t>developing</w:t>
      </w:r>
      <w:r w:rsidR="00190923" w:rsidRPr="00981405">
        <w:t xml:space="preserve"> </w:t>
      </w:r>
      <w:r w:rsidRPr="00981405">
        <w:t>countries,</w:t>
      </w:r>
      <w:r w:rsidR="00190923" w:rsidRPr="00981405">
        <w:t xml:space="preserve"> </w:t>
      </w:r>
      <w:r w:rsidRPr="00981405">
        <w:t>to</w:t>
      </w:r>
      <w:r w:rsidR="00190923" w:rsidRPr="00981405">
        <w:t xml:space="preserve"> </w:t>
      </w:r>
      <w:r w:rsidRPr="00981405">
        <w:t>familiarize</w:t>
      </w:r>
      <w:r w:rsidR="00190923" w:rsidRPr="00981405">
        <w:t xml:space="preserve"> </w:t>
      </w:r>
      <w:r w:rsidRPr="00981405">
        <w:t>themselves</w:t>
      </w:r>
      <w:r w:rsidR="00190923" w:rsidRPr="00981405">
        <w:t xml:space="preserve"> </w:t>
      </w:r>
      <w:r w:rsidRPr="00981405">
        <w:t>with</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and</w:t>
      </w:r>
      <w:r w:rsidR="00190923" w:rsidRPr="00981405">
        <w:t xml:space="preserve"> </w:t>
      </w:r>
      <w:r w:rsidRPr="00981405">
        <w:t>the</w:t>
      </w:r>
      <w:r w:rsidR="00190923" w:rsidRPr="00981405">
        <w:t xml:space="preserve"> </w:t>
      </w:r>
      <w:r w:rsidRPr="00981405">
        <w:t>activities</w:t>
      </w:r>
      <w:r w:rsidR="00190923" w:rsidRPr="00981405">
        <w:t xml:space="preserve"> </w:t>
      </w:r>
      <w:r w:rsidRPr="00981405">
        <w:t>of</w:t>
      </w:r>
      <w:r w:rsidR="00190923" w:rsidRPr="00981405">
        <w:t xml:space="preserve"> </w:t>
      </w:r>
      <w:r w:rsidRPr="00981405">
        <w:t>the</w:t>
      </w:r>
      <w:r w:rsidR="00190923" w:rsidRPr="00981405">
        <w:t xml:space="preserve"> </w:t>
      </w:r>
      <w:r w:rsidRPr="00981405">
        <w:t>many</w:t>
      </w:r>
      <w:r w:rsidR="00190923" w:rsidRPr="00981405">
        <w:t xml:space="preserve"> </w:t>
      </w:r>
      <w:r w:rsidRPr="00981405">
        <w:t>International</w:t>
      </w:r>
      <w:r w:rsidR="00190923" w:rsidRPr="00981405">
        <w:t xml:space="preserve"> </w:t>
      </w:r>
      <w:r w:rsidRPr="00981405">
        <w:t>Organizations</w:t>
      </w:r>
      <w:r w:rsidR="00190923" w:rsidRPr="00981405">
        <w:t xml:space="preserve"> </w:t>
      </w:r>
      <w:r w:rsidRPr="00981405">
        <w:t>based</w:t>
      </w:r>
      <w:r w:rsidR="00190923" w:rsidRPr="00981405">
        <w:t xml:space="preserve"> </w:t>
      </w:r>
      <w:r w:rsidRPr="00981405">
        <w:t>in</w:t>
      </w:r>
      <w:r w:rsidR="00190923" w:rsidRPr="00981405">
        <w:t xml:space="preserve"> </w:t>
      </w:r>
      <w:r w:rsidRPr="00981405">
        <w:t>Geneva.</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recommends</w:t>
      </w:r>
      <w:r w:rsidR="00190923" w:rsidRPr="00981405">
        <w:t xml:space="preserve"> </w:t>
      </w:r>
      <w:r w:rsidRPr="00981405">
        <w:t>that</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should</w:t>
      </w:r>
      <w:r w:rsidR="00190923" w:rsidRPr="00981405">
        <w:t xml:space="preserve"> </w:t>
      </w:r>
      <w:r w:rsidRPr="00981405">
        <w:t>again</w:t>
      </w:r>
      <w:r w:rsidR="00190923" w:rsidRPr="00981405">
        <w:t xml:space="preserve"> </w:t>
      </w:r>
      <w:r w:rsidRPr="00981405">
        <w:t>appeal</w:t>
      </w:r>
      <w:r w:rsidR="00190923" w:rsidRPr="00981405">
        <w:t xml:space="preserve"> </w:t>
      </w:r>
      <w:r w:rsidRPr="00981405">
        <w:t>to</w:t>
      </w:r>
      <w:r w:rsidR="00190923" w:rsidRPr="00981405">
        <w:t xml:space="preserve"> </w:t>
      </w:r>
      <w:r w:rsidRPr="00981405">
        <w:t>States</w:t>
      </w:r>
      <w:r w:rsidR="00190923" w:rsidRPr="00981405">
        <w:t xml:space="preserve"> </w:t>
      </w:r>
      <w:r w:rsidRPr="00981405">
        <w:t>to</w:t>
      </w:r>
      <w:r w:rsidR="00190923" w:rsidRPr="00981405">
        <w:t xml:space="preserve"> </w:t>
      </w:r>
      <w:r w:rsidRPr="00981405">
        <w:t>make</w:t>
      </w:r>
      <w:r w:rsidR="00190923" w:rsidRPr="00981405">
        <w:t xml:space="preserve"> </w:t>
      </w:r>
      <w:r w:rsidRPr="00981405">
        <w:t>voluntary</w:t>
      </w:r>
      <w:r w:rsidR="00190923" w:rsidRPr="00981405">
        <w:t xml:space="preserve"> </w:t>
      </w:r>
      <w:r w:rsidRPr="00981405">
        <w:t>contributions</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secure</w:t>
      </w:r>
      <w:r w:rsidR="00190923" w:rsidRPr="00981405">
        <w:t xml:space="preserve"> </w:t>
      </w:r>
      <w:r w:rsidRPr="00981405">
        <w:t>the</w:t>
      </w:r>
      <w:r w:rsidR="00190923" w:rsidRPr="00981405">
        <w:t xml:space="preserve"> </w:t>
      </w:r>
      <w:r w:rsidRPr="00981405">
        <w:t>organization</w:t>
      </w:r>
      <w:r w:rsidR="00190923" w:rsidRPr="00981405">
        <w:t xml:space="preserve"> </w:t>
      </w:r>
      <w:r w:rsidRPr="00981405">
        <w:t>of</w:t>
      </w:r>
      <w:r w:rsidR="00190923" w:rsidRPr="00981405">
        <w:t xml:space="preserve"> </w:t>
      </w:r>
      <w:r w:rsidRPr="00981405">
        <w:t>the</w:t>
      </w:r>
      <w:r w:rsidR="00190923" w:rsidRPr="00981405">
        <w:t xml:space="preserve"> </w:t>
      </w:r>
      <w:r w:rsidRPr="00981405">
        <w:t>Seminar</w:t>
      </w:r>
      <w:r w:rsidR="00190923" w:rsidRPr="00981405">
        <w:t xml:space="preserve"> </w:t>
      </w:r>
      <w:r w:rsidRPr="00981405">
        <w:t>in</w:t>
      </w:r>
      <w:r w:rsidR="00190923" w:rsidRPr="00981405">
        <w:t xml:space="preserve"> </w:t>
      </w:r>
      <w:r w:rsidRPr="00981405">
        <w:t>2016</w:t>
      </w:r>
      <w:r w:rsidR="00190923" w:rsidRPr="00981405">
        <w:t xml:space="preserve"> </w:t>
      </w:r>
      <w:r w:rsidRPr="00981405">
        <w:t>with</w:t>
      </w:r>
      <w:r w:rsidR="00190923" w:rsidRPr="00981405">
        <w:t xml:space="preserve"> </w:t>
      </w:r>
      <w:r w:rsidRPr="00981405">
        <w:t>as</w:t>
      </w:r>
      <w:r w:rsidR="00190923" w:rsidRPr="00981405">
        <w:t xml:space="preserve"> </w:t>
      </w:r>
      <w:r w:rsidRPr="00981405">
        <w:t>broad</w:t>
      </w:r>
      <w:r w:rsidR="00190923" w:rsidRPr="00981405">
        <w:t xml:space="preserve"> </w:t>
      </w:r>
      <w:r w:rsidRPr="00981405">
        <w:t>participation</w:t>
      </w:r>
      <w:r w:rsidR="00190923" w:rsidRPr="00981405">
        <w:t xml:space="preserve"> </w:t>
      </w:r>
      <w:r w:rsidRPr="00981405">
        <w:t>as</w:t>
      </w:r>
      <w:r w:rsidR="00190923" w:rsidRPr="00981405">
        <w:t xml:space="preserve"> </w:t>
      </w:r>
      <w:r w:rsidRPr="00981405">
        <w:t>possible.</w:t>
      </w:r>
    </w:p>
    <w:p w:rsidR="00F56C07" w:rsidRDefault="00F56C07">
      <w:pPr>
        <w:pStyle w:val="SingleTxt"/>
        <w:sectPr w:rsidR="00F56C07" w:rsidSect="004E5608">
          <w:endnotePr>
            <w:numFmt w:val="decimal"/>
          </w:endnotePr>
          <w:type w:val="continuous"/>
          <w:pgSz w:w="11909" w:h="16834" w:code="1"/>
          <w:pgMar w:top="1742" w:right="936" w:bottom="1898" w:left="936" w:header="576" w:footer="1030" w:gutter="0"/>
          <w:cols w:space="720"/>
          <w:noEndnote/>
          <w:docGrid w:linePitch="278"/>
        </w:sectPr>
      </w:pPr>
    </w:p>
    <w:p w:rsidR="00BE376C" w:rsidRPr="00D97463" w:rsidRDefault="00BE376C" w:rsidP="00D97463">
      <w:pPr>
        <w:pStyle w:val="SingleTxt"/>
        <w:spacing w:after="0" w:line="120" w:lineRule="exact"/>
        <w:rPr>
          <w:sz w:val="10"/>
        </w:rPr>
      </w:pPr>
    </w:p>
    <w:p w:rsidR="00BE376C" w:rsidRPr="00D97463" w:rsidRDefault="00BE376C" w:rsidP="00D97463">
      <w:pPr>
        <w:pStyle w:val="SingleTxt"/>
        <w:spacing w:after="0" w:line="120" w:lineRule="exact"/>
        <w:rPr>
          <w:sz w:val="10"/>
        </w:rPr>
      </w:pPr>
    </w:p>
    <w:p w:rsidR="00397032" w:rsidRPr="00D97463" w:rsidRDefault="00397032" w:rsidP="00D97463">
      <w:pPr>
        <w:pStyle w:val="HCh"/>
        <w:ind w:left="1267" w:right="1260" w:hanging="1267"/>
      </w:pPr>
      <w:r w:rsidRPr="00D97463">
        <w:t>Annex</w:t>
      </w:r>
    </w:p>
    <w:p w:rsidR="00BE376C" w:rsidRPr="00D97463" w:rsidRDefault="00BE376C" w:rsidP="00D97463">
      <w:pPr>
        <w:pStyle w:val="SingleTxt"/>
        <w:spacing w:after="0" w:line="120" w:lineRule="exact"/>
        <w:rPr>
          <w:sz w:val="10"/>
        </w:rPr>
      </w:pPr>
    </w:p>
    <w:p w:rsidR="00BE376C" w:rsidRPr="00D97463" w:rsidRDefault="00BE376C" w:rsidP="00D97463">
      <w:pPr>
        <w:pStyle w:val="SingleTxt"/>
        <w:spacing w:after="0" w:line="120" w:lineRule="exact"/>
        <w:rPr>
          <w:sz w:val="10"/>
        </w:rPr>
      </w:pPr>
    </w:p>
    <w:p w:rsidR="00397032" w:rsidRPr="00D97463" w:rsidRDefault="00BE376C" w:rsidP="00D97463">
      <w:pPr>
        <w:pStyle w:val="HCh"/>
        <w:ind w:left="1267" w:right="1260" w:hanging="1267"/>
      </w:pPr>
      <w:r w:rsidRPr="00D97463">
        <w:tab/>
      </w:r>
      <w:r w:rsidRPr="00D97463">
        <w:tab/>
      </w:r>
      <w:r w:rsidR="00397032" w:rsidRPr="00D97463">
        <w:t>Final</w:t>
      </w:r>
      <w:r w:rsidR="00190923" w:rsidRPr="00D97463">
        <w:t xml:space="preserve"> </w:t>
      </w:r>
      <w:r w:rsidR="00397032" w:rsidRPr="00D97463">
        <w:t>report</w:t>
      </w:r>
    </w:p>
    <w:p w:rsidR="00BE376C" w:rsidRPr="00D97463" w:rsidRDefault="00BE376C" w:rsidP="00D97463">
      <w:pPr>
        <w:pStyle w:val="SingleTxt"/>
        <w:spacing w:after="0" w:line="120" w:lineRule="exact"/>
        <w:rPr>
          <w:sz w:val="10"/>
        </w:rPr>
      </w:pPr>
    </w:p>
    <w:p w:rsidR="00BE376C" w:rsidRPr="00D97463" w:rsidRDefault="00BE376C" w:rsidP="00D97463">
      <w:pPr>
        <w:pStyle w:val="SingleTxt"/>
        <w:spacing w:after="0" w:line="120" w:lineRule="exact"/>
        <w:rPr>
          <w:sz w:val="10"/>
        </w:rPr>
      </w:pPr>
    </w:p>
    <w:p w:rsidR="00397032" w:rsidRPr="00D97463" w:rsidRDefault="00BE376C" w:rsidP="00D97463">
      <w:pPr>
        <w:pStyle w:val="HCh"/>
        <w:ind w:left="1267" w:right="1260" w:hanging="1267"/>
      </w:pPr>
      <w:r w:rsidRPr="00D97463">
        <w:tab/>
      </w:r>
      <w:r w:rsidRPr="00D97463">
        <w:tab/>
      </w:r>
      <w:r w:rsidR="00397032" w:rsidRPr="00D97463">
        <w:t>Study</w:t>
      </w:r>
      <w:r w:rsidR="00190923" w:rsidRPr="00D97463">
        <w:t xml:space="preserve"> </w:t>
      </w:r>
      <w:r w:rsidR="00397032" w:rsidRPr="00D97463">
        <w:t>Group</w:t>
      </w:r>
      <w:r w:rsidR="00190923" w:rsidRPr="00D97463">
        <w:t xml:space="preserve"> </w:t>
      </w:r>
      <w:r w:rsidR="00397032" w:rsidRPr="00D97463">
        <w:t>on</w:t>
      </w:r>
      <w:r w:rsidR="00190923" w:rsidRPr="00D97463">
        <w:t xml:space="preserve"> </w:t>
      </w:r>
      <w:r w:rsidR="00397032" w:rsidRPr="00D97463">
        <w:t>the</w:t>
      </w:r>
      <w:r w:rsidR="00190923" w:rsidRPr="00D97463">
        <w:t xml:space="preserve"> </w:t>
      </w:r>
      <w:r w:rsidR="00397032" w:rsidRPr="00D97463">
        <w:t>Most-Favoured-Nation</w:t>
      </w:r>
      <w:r w:rsidR="00190923" w:rsidRPr="00D97463">
        <w:t xml:space="preserve"> </w:t>
      </w:r>
      <w:r w:rsidR="00397032" w:rsidRPr="00D97463">
        <w:t>clause</w:t>
      </w:r>
    </w:p>
    <w:p w:rsidR="00397032" w:rsidRPr="00D97463" w:rsidRDefault="00397032" w:rsidP="00D97463">
      <w:pPr>
        <w:pStyle w:val="SingleTxt"/>
        <w:spacing w:after="0" w:line="120" w:lineRule="exact"/>
        <w:rPr>
          <w:sz w:val="10"/>
        </w:rPr>
      </w:pPr>
    </w:p>
    <w:p w:rsidR="00BE376C" w:rsidRPr="00907FB7" w:rsidRDefault="00BE376C" w:rsidP="00907FB7">
      <w:pPr>
        <w:pStyle w:val="SingleTxt"/>
        <w:spacing w:after="0" w:line="120" w:lineRule="exact"/>
        <w:rPr>
          <w:sz w:val="10"/>
        </w:rPr>
      </w:pPr>
    </w:p>
    <w:p w:rsidR="00907FB7" w:rsidRPr="00D97463" w:rsidRDefault="00907FB7" w:rsidP="00D97463">
      <w:pPr>
        <w:pStyle w:val="SingleTxt"/>
        <w:spacing w:after="0" w:line="120" w:lineRule="exact"/>
        <w:rPr>
          <w:sz w:val="10"/>
        </w:rPr>
      </w:pPr>
    </w:p>
    <w:tbl>
      <w:tblPr>
        <w:tblW w:w="9900" w:type="dxa"/>
        <w:tblLayout w:type="fixed"/>
        <w:tblCellMar>
          <w:left w:w="0" w:type="dxa"/>
          <w:right w:w="0" w:type="dxa"/>
        </w:tblCellMar>
        <w:tblLook w:val="0000" w:firstRow="0" w:lastRow="0" w:firstColumn="0" w:lastColumn="0" w:noHBand="0" w:noVBand="0"/>
      </w:tblPr>
      <w:tblGrid>
        <w:gridCol w:w="1060"/>
        <w:gridCol w:w="7850"/>
        <w:gridCol w:w="990"/>
      </w:tblGrid>
      <w:tr w:rsidR="00BE376C" w:rsidRPr="00981405" w:rsidTr="00D97463">
        <w:tc>
          <w:tcPr>
            <w:tcW w:w="1060" w:type="dxa"/>
            <w:shd w:val="clear" w:color="auto" w:fill="auto"/>
          </w:tcPr>
          <w:p w:rsidR="00BE376C" w:rsidRPr="00D97463" w:rsidRDefault="00BE376C" w:rsidP="00D97463">
            <w:pPr>
              <w:spacing w:after="120" w:line="240" w:lineRule="auto"/>
              <w:jc w:val="right"/>
              <w:rPr>
                <w:b/>
                <w:i/>
                <w:sz w:val="14"/>
              </w:rPr>
            </w:pPr>
            <w:r w:rsidRPr="00D97463">
              <w:rPr>
                <w:i/>
                <w:sz w:val="14"/>
              </w:rPr>
              <w:t>Chapter</w:t>
            </w:r>
          </w:p>
        </w:tc>
        <w:tc>
          <w:tcPr>
            <w:tcW w:w="7850" w:type="dxa"/>
            <w:shd w:val="clear" w:color="auto" w:fill="auto"/>
          </w:tcPr>
          <w:p w:rsidR="00BE376C" w:rsidRPr="00D97463" w:rsidRDefault="00BE376C" w:rsidP="00D97463">
            <w:pPr>
              <w:spacing w:after="120" w:line="240" w:lineRule="auto"/>
              <w:rPr>
                <w:b/>
                <w:i/>
                <w:sz w:val="14"/>
              </w:rPr>
            </w:pPr>
          </w:p>
        </w:tc>
        <w:tc>
          <w:tcPr>
            <w:tcW w:w="990" w:type="dxa"/>
            <w:shd w:val="clear" w:color="auto" w:fill="auto"/>
          </w:tcPr>
          <w:p w:rsidR="00BE376C" w:rsidRPr="00D97463" w:rsidRDefault="00BE376C" w:rsidP="00D97463">
            <w:pPr>
              <w:spacing w:after="120" w:line="240" w:lineRule="auto"/>
              <w:jc w:val="right"/>
              <w:rPr>
                <w:b/>
                <w:i/>
                <w:sz w:val="14"/>
              </w:rPr>
            </w:pPr>
            <w:r w:rsidRPr="00D97463">
              <w:rPr>
                <w:i/>
                <w:sz w:val="14"/>
              </w:rPr>
              <w:t>Paragraphs</w:t>
            </w:r>
          </w:p>
        </w:tc>
      </w:tr>
      <w:tr w:rsidR="00BE376C" w:rsidRPr="00981405" w:rsidTr="00D97463">
        <w:tc>
          <w:tcPr>
            <w:tcW w:w="8910" w:type="dxa"/>
            <w:gridSpan w:val="2"/>
            <w:shd w:val="clear" w:color="auto" w:fill="auto"/>
          </w:tcPr>
          <w:p w:rsidR="00BE376C" w:rsidRPr="00D97463" w:rsidRDefault="00BE376C" w:rsidP="00D97463">
            <w:pPr>
              <w:pStyle w:val="ListParagraph"/>
              <w:tabs>
                <w:tab w:val="right" w:pos="1080"/>
                <w:tab w:val="left" w:pos="1296"/>
                <w:tab w:val="left" w:pos="1728"/>
                <w:tab w:val="right" w:leader="dot" w:pos="9360"/>
              </w:tabs>
              <w:spacing w:after="120"/>
              <w:ind w:left="1080"/>
              <w:rPr>
                <w:spacing w:val="60"/>
                <w:sz w:val="17"/>
              </w:rPr>
            </w:pPr>
            <w:r w:rsidRPr="00981405">
              <w:t>Introduction</w:t>
            </w:r>
            <w:r w:rsidR="00ED6A59" w:rsidRPr="00981405">
              <w:rPr>
                <w:spacing w:val="60"/>
                <w:sz w:val="17"/>
              </w:rPr>
              <w:tab/>
            </w:r>
          </w:p>
        </w:tc>
        <w:tc>
          <w:tcPr>
            <w:tcW w:w="990" w:type="dxa"/>
            <w:shd w:val="clear" w:color="auto" w:fill="auto"/>
            <w:vAlign w:val="bottom"/>
          </w:tcPr>
          <w:p w:rsidR="00BE376C" w:rsidRPr="00981405" w:rsidRDefault="00BE376C" w:rsidP="00D97463">
            <w:pPr>
              <w:spacing w:after="120"/>
              <w:jc w:val="right"/>
            </w:pPr>
            <w:r w:rsidRPr="00981405">
              <w:t>1-2</w:t>
            </w:r>
          </w:p>
        </w:tc>
      </w:tr>
      <w:tr w:rsidR="00DD1B2C" w:rsidRPr="00981405" w:rsidTr="00BE376C">
        <w:tc>
          <w:tcPr>
            <w:tcW w:w="8910" w:type="dxa"/>
            <w:gridSpan w:val="2"/>
            <w:shd w:val="clear" w:color="auto" w:fill="auto"/>
          </w:tcPr>
          <w:p w:rsidR="00DD1B2C" w:rsidRPr="00D97463" w:rsidRDefault="00DD1B2C" w:rsidP="00D97463">
            <w:pPr>
              <w:pStyle w:val="ListParagraph"/>
              <w:tabs>
                <w:tab w:val="right" w:pos="900"/>
                <w:tab w:val="left" w:pos="1728"/>
                <w:tab w:val="left" w:pos="2160"/>
                <w:tab w:val="right" w:leader="dot" w:pos="9360"/>
              </w:tabs>
              <w:spacing w:after="120"/>
              <w:ind w:left="1080"/>
              <w:rPr>
                <w:spacing w:val="60"/>
                <w:sz w:val="17"/>
              </w:rPr>
            </w:pPr>
            <w:r w:rsidRPr="00981405">
              <w:t xml:space="preserve">Part I </w:t>
            </w:r>
            <w:r w:rsidR="00B92E2C" w:rsidRPr="00981405">
              <w:t>—</w:t>
            </w:r>
            <w:r w:rsidRPr="00981405">
              <w:t xml:space="preserve"> Background</w:t>
            </w:r>
            <w:r w:rsidRPr="00981405">
              <w:rPr>
                <w:spacing w:val="60"/>
                <w:sz w:val="17"/>
              </w:rPr>
              <w:tab/>
            </w:r>
          </w:p>
        </w:tc>
        <w:tc>
          <w:tcPr>
            <w:tcW w:w="990" w:type="dxa"/>
            <w:shd w:val="clear" w:color="auto" w:fill="auto"/>
            <w:vAlign w:val="bottom"/>
          </w:tcPr>
          <w:p w:rsidR="00DD1B2C" w:rsidRPr="00981405" w:rsidRDefault="00DD1B2C" w:rsidP="00BE376C">
            <w:pPr>
              <w:spacing w:after="120"/>
              <w:jc w:val="right"/>
            </w:pPr>
            <w:r w:rsidRPr="00981405">
              <w:t>3-33</w:t>
            </w:r>
          </w:p>
        </w:tc>
      </w:tr>
      <w:tr w:rsidR="00BE376C" w:rsidRPr="00981405" w:rsidTr="00BE376C">
        <w:tc>
          <w:tcPr>
            <w:tcW w:w="8910" w:type="dxa"/>
            <w:gridSpan w:val="2"/>
            <w:shd w:val="clear" w:color="auto" w:fill="auto"/>
          </w:tcPr>
          <w:p w:rsidR="00BE376C" w:rsidRPr="00981405" w:rsidRDefault="00BE376C" w:rsidP="00D97463">
            <w:pPr>
              <w:pStyle w:val="ListParagraph"/>
              <w:numPr>
                <w:ilvl w:val="1"/>
                <w:numId w:val="1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D97463">
              <w:rPr>
                <w:noProof/>
              </w:rPr>
              <w:t>Genesis and purpose of the Study Group</w:t>
            </w:r>
            <w:r w:rsidR="00B92E2C" w:rsidRPr="00D97463">
              <w:rPr>
                <w:noProof/>
              </w:rPr>
              <w:t>’</w:t>
            </w:r>
            <w:r w:rsidRPr="00D97463">
              <w:rPr>
                <w:noProof/>
              </w:rPr>
              <w:t>s work</w:t>
            </w:r>
            <w:r w:rsidRPr="00D97463">
              <w:rPr>
                <w:noProof/>
                <w:spacing w:val="60"/>
                <w:sz w:val="17"/>
              </w:rPr>
              <w:tab/>
            </w:r>
          </w:p>
        </w:tc>
        <w:tc>
          <w:tcPr>
            <w:tcW w:w="990" w:type="dxa"/>
            <w:shd w:val="clear" w:color="auto" w:fill="auto"/>
            <w:vAlign w:val="bottom"/>
          </w:tcPr>
          <w:p w:rsidR="00BE376C" w:rsidRPr="00981405" w:rsidRDefault="00DD1B2C" w:rsidP="00BE376C">
            <w:pPr>
              <w:spacing w:after="120"/>
              <w:jc w:val="right"/>
            </w:pPr>
            <w:r w:rsidRPr="00981405">
              <w:t>4-9</w:t>
            </w:r>
          </w:p>
        </w:tc>
      </w:tr>
      <w:tr w:rsidR="00BE376C" w:rsidRPr="00981405" w:rsidTr="00BE376C">
        <w:tc>
          <w:tcPr>
            <w:tcW w:w="8910" w:type="dxa"/>
            <w:gridSpan w:val="2"/>
            <w:shd w:val="clear" w:color="auto" w:fill="auto"/>
          </w:tcPr>
          <w:p w:rsidR="00BE376C" w:rsidRPr="00981405" w:rsidRDefault="00DD1B2C" w:rsidP="00D97463">
            <w:pPr>
              <w:pStyle w:val="ListParagraph"/>
              <w:numPr>
                <w:ilvl w:val="1"/>
                <w:numId w:val="15"/>
              </w:numPr>
              <w:tabs>
                <w:tab w:val="right" w:pos="1080"/>
                <w:tab w:val="left" w:pos="1296"/>
                <w:tab w:val="left" w:pos="1728"/>
                <w:tab w:val="left" w:pos="2160"/>
                <w:tab w:val="left" w:pos="2592"/>
                <w:tab w:val="left" w:pos="3024"/>
                <w:tab w:val="left" w:pos="3456"/>
                <w:tab w:val="right" w:leader="dot" w:pos="9360"/>
              </w:tabs>
              <w:spacing w:after="120"/>
            </w:pPr>
            <w:r w:rsidRPr="00D97463">
              <w:rPr>
                <w:noProof/>
              </w:rPr>
              <w:t>The 1978 draft articles</w:t>
            </w:r>
            <w:r w:rsidRPr="00D97463">
              <w:rPr>
                <w:noProof/>
                <w:spacing w:val="60"/>
                <w:sz w:val="17"/>
              </w:rPr>
              <w:tab/>
            </w:r>
          </w:p>
        </w:tc>
        <w:tc>
          <w:tcPr>
            <w:tcW w:w="990" w:type="dxa"/>
            <w:shd w:val="clear" w:color="auto" w:fill="auto"/>
            <w:vAlign w:val="bottom"/>
          </w:tcPr>
          <w:p w:rsidR="00BE376C" w:rsidRPr="00981405" w:rsidRDefault="00DD1B2C" w:rsidP="00BE376C">
            <w:pPr>
              <w:spacing w:after="120"/>
              <w:jc w:val="right"/>
            </w:pPr>
            <w:r w:rsidRPr="00981405">
              <w:t>10-19</w:t>
            </w:r>
          </w:p>
        </w:tc>
      </w:tr>
      <w:tr w:rsidR="00BE376C" w:rsidRPr="00981405" w:rsidTr="00BE376C">
        <w:tc>
          <w:tcPr>
            <w:tcW w:w="8910" w:type="dxa"/>
            <w:gridSpan w:val="2"/>
            <w:shd w:val="clear" w:color="auto" w:fill="auto"/>
          </w:tcPr>
          <w:p w:rsidR="00BE376C" w:rsidRPr="00981405" w:rsidRDefault="00DD1B2C" w:rsidP="00D97463">
            <w:pPr>
              <w:pStyle w:val="ListParagraph"/>
              <w:numPr>
                <w:ilvl w:val="2"/>
                <w:numId w:val="15"/>
              </w:numPr>
              <w:tabs>
                <w:tab w:val="right" w:pos="1080"/>
                <w:tab w:val="left" w:pos="1296"/>
                <w:tab w:val="left" w:pos="1728"/>
                <w:tab w:val="left" w:pos="2160"/>
                <w:tab w:val="left" w:pos="2592"/>
                <w:tab w:val="right" w:leader="dot" w:pos="9360"/>
              </w:tabs>
              <w:spacing w:after="120"/>
            </w:pPr>
            <w:r w:rsidRPr="00D97463">
              <w:rPr>
                <w:noProof/>
              </w:rPr>
              <w:t>Origins</w:t>
            </w:r>
            <w:r w:rsidRPr="00D97463">
              <w:rPr>
                <w:noProof/>
                <w:spacing w:val="60"/>
                <w:sz w:val="17"/>
              </w:rPr>
              <w:tab/>
            </w:r>
          </w:p>
        </w:tc>
        <w:tc>
          <w:tcPr>
            <w:tcW w:w="990" w:type="dxa"/>
            <w:shd w:val="clear" w:color="auto" w:fill="auto"/>
            <w:vAlign w:val="bottom"/>
          </w:tcPr>
          <w:p w:rsidR="00BE376C" w:rsidRPr="00981405" w:rsidRDefault="00DD1B2C">
            <w:pPr>
              <w:spacing w:after="120"/>
              <w:jc w:val="right"/>
            </w:pPr>
            <w:r w:rsidRPr="00981405">
              <w:t>10-12</w:t>
            </w:r>
          </w:p>
        </w:tc>
      </w:tr>
      <w:tr w:rsidR="00BE376C" w:rsidRPr="00981405" w:rsidTr="00BE376C">
        <w:tc>
          <w:tcPr>
            <w:tcW w:w="8910" w:type="dxa"/>
            <w:gridSpan w:val="2"/>
            <w:shd w:val="clear" w:color="auto" w:fill="auto"/>
          </w:tcPr>
          <w:p w:rsidR="00BE376C" w:rsidRPr="00981405" w:rsidRDefault="00DD1B2C" w:rsidP="00D97463">
            <w:pPr>
              <w:pStyle w:val="ListParagraph"/>
              <w:numPr>
                <w:ilvl w:val="2"/>
                <w:numId w:val="15"/>
              </w:numPr>
              <w:tabs>
                <w:tab w:val="right" w:pos="1080"/>
                <w:tab w:val="left" w:pos="1296"/>
                <w:tab w:val="left" w:pos="1728"/>
                <w:tab w:val="left" w:pos="2160"/>
                <w:tab w:val="left" w:pos="2592"/>
                <w:tab w:val="left" w:pos="3024"/>
                <w:tab w:val="right" w:leader="dot" w:pos="9360"/>
              </w:tabs>
              <w:spacing w:after="120"/>
            </w:pPr>
            <w:r w:rsidRPr="00D97463">
              <w:rPr>
                <w:noProof/>
              </w:rPr>
              <w:t>Key provisions</w:t>
            </w:r>
            <w:r w:rsidRPr="00D97463">
              <w:rPr>
                <w:noProof/>
                <w:spacing w:val="60"/>
                <w:sz w:val="17"/>
              </w:rPr>
              <w:tab/>
            </w:r>
          </w:p>
        </w:tc>
        <w:tc>
          <w:tcPr>
            <w:tcW w:w="990" w:type="dxa"/>
            <w:shd w:val="clear" w:color="auto" w:fill="auto"/>
            <w:vAlign w:val="bottom"/>
          </w:tcPr>
          <w:p w:rsidR="00BE376C" w:rsidRPr="00981405" w:rsidRDefault="00DD1B2C" w:rsidP="00BE376C">
            <w:pPr>
              <w:spacing w:after="120"/>
              <w:jc w:val="right"/>
            </w:pPr>
            <w:r w:rsidRPr="00981405">
              <w:t>13-18</w:t>
            </w:r>
          </w:p>
        </w:tc>
      </w:tr>
      <w:tr w:rsidR="00BE376C" w:rsidRPr="00981405" w:rsidTr="00BE376C">
        <w:tc>
          <w:tcPr>
            <w:tcW w:w="8910" w:type="dxa"/>
            <w:gridSpan w:val="2"/>
            <w:shd w:val="clear" w:color="auto" w:fill="auto"/>
          </w:tcPr>
          <w:p w:rsidR="00BE376C" w:rsidRPr="00981405" w:rsidRDefault="00DD1B2C" w:rsidP="00D97463">
            <w:pPr>
              <w:pStyle w:val="ListParagraph"/>
              <w:numPr>
                <w:ilvl w:val="2"/>
                <w:numId w:val="1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pPr>
            <w:r w:rsidRPr="00D97463">
              <w:rPr>
                <w:noProof/>
              </w:rPr>
              <w:t>The decision of the General Assembly on the 1978 draft articles</w:t>
            </w:r>
            <w:r w:rsidRPr="00D97463">
              <w:rPr>
                <w:noProof/>
                <w:spacing w:val="60"/>
                <w:sz w:val="17"/>
              </w:rPr>
              <w:tab/>
            </w:r>
          </w:p>
        </w:tc>
        <w:tc>
          <w:tcPr>
            <w:tcW w:w="990" w:type="dxa"/>
            <w:shd w:val="clear" w:color="auto" w:fill="auto"/>
            <w:vAlign w:val="bottom"/>
          </w:tcPr>
          <w:p w:rsidR="00BE376C" w:rsidRPr="00981405" w:rsidRDefault="00DD1B2C" w:rsidP="00BE376C">
            <w:pPr>
              <w:spacing w:after="120"/>
              <w:jc w:val="right"/>
            </w:pPr>
            <w:r w:rsidRPr="00981405">
              <w:t>19</w:t>
            </w:r>
          </w:p>
        </w:tc>
      </w:tr>
      <w:tr w:rsidR="00BE376C" w:rsidRPr="00981405" w:rsidTr="00BE376C">
        <w:tc>
          <w:tcPr>
            <w:tcW w:w="8910" w:type="dxa"/>
            <w:gridSpan w:val="2"/>
            <w:shd w:val="clear" w:color="auto" w:fill="auto"/>
          </w:tcPr>
          <w:p w:rsidR="00BE376C" w:rsidRPr="00981405" w:rsidRDefault="00DD1B2C" w:rsidP="00D97463">
            <w:pPr>
              <w:pStyle w:val="ListParagraph"/>
              <w:numPr>
                <w:ilvl w:val="1"/>
                <w:numId w:val="15"/>
              </w:numPr>
              <w:tabs>
                <w:tab w:val="right" w:pos="1080"/>
                <w:tab w:val="left" w:pos="1296"/>
                <w:tab w:val="left" w:pos="1728"/>
                <w:tab w:val="left" w:pos="2160"/>
                <w:tab w:val="left" w:pos="2592"/>
                <w:tab w:val="left" w:pos="3024"/>
                <w:tab w:val="left" w:pos="3456"/>
                <w:tab w:val="left" w:pos="3888"/>
                <w:tab w:val="right" w:leader="dot" w:pos="9360"/>
              </w:tabs>
              <w:spacing w:after="120"/>
            </w:pPr>
            <w:r w:rsidRPr="00D97463">
              <w:rPr>
                <w:rFonts w:eastAsia="SimSun"/>
                <w:noProof/>
                <w:lang w:eastAsia="ja-JP"/>
              </w:rPr>
              <w:t>Subsequent developments</w:t>
            </w:r>
            <w:r w:rsidRPr="00D97463">
              <w:rPr>
                <w:rFonts w:eastAsia="SimSun"/>
                <w:noProof/>
                <w:spacing w:val="60"/>
                <w:sz w:val="17"/>
                <w:lang w:eastAsia="ja-JP"/>
              </w:rPr>
              <w:tab/>
            </w:r>
          </w:p>
        </w:tc>
        <w:tc>
          <w:tcPr>
            <w:tcW w:w="990" w:type="dxa"/>
            <w:shd w:val="clear" w:color="auto" w:fill="auto"/>
            <w:vAlign w:val="bottom"/>
          </w:tcPr>
          <w:p w:rsidR="00BE376C" w:rsidRPr="00981405" w:rsidRDefault="00DD1B2C" w:rsidP="00BE376C">
            <w:pPr>
              <w:spacing w:after="120"/>
              <w:jc w:val="right"/>
            </w:pPr>
            <w:r w:rsidRPr="00981405">
              <w:t>20-23</w:t>
            </w:r>
          </w:p>
        </w:tc>
      </w:tr>
      <w:tr w:rsidR="00BE376C" w:rsidRPr="00981405" w:rsidTr="00BE376C">
        <w:tc>
          <w:tcPr>
            <w:tcW w:w="8910" w:type="dxa"/>
            <w:gridSpan w:val="2"/>
            <w:shd w:val="clear" w:color="auto" w:fill="auto"/>
          </w:tcPr>
          <w:p w:rsidR="00BE376C" w:rsidRPr="00981405" w:rsidRDefault="00DD1B2C" w:rsidP="00D97463">
            <w:pPr>
              <w:pStyle w:val="ListParagraph"/>
              <w:numPr>
                <w:ilvl w:val="1"/>
                <w:numId w:val="15"/>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D97463">
              <w:rPr>
                <w:rFonts w:eastAsia="SimSun"/>
                <w:noProof/>
                <w:lang w:eastAsia="ja-JP"/>
              </w:rPr>
              <w:t>The analysis of MFN provisions by other bodies</w:t>
            </w:r>
            <w:r w:rsidRPr="00D97463">
              <w:rPr>
                <w:rFonts w:eastAsia="SimSun"/>
                <w:noProof/>
                <w:spacing w:val="60"/>
                <w:sz w:val="17"/>
                <w:lang w:eastAsia="ja-JP"/>
              </w:rPr>
              <w:tab/>
            </w:r>
          </w:p>
        </w:tc>
        <w:tc>
          <w:tcPr>
            <w:tcW w:w="990" w:type="dxa"/>
            <w:shd w:val="clear" w:color="auto" w:fill="auto"/>
            <w:vAlign w:val="bottom"/>
          </w:tcPr>
          <w:p w:rsidR="00BE376C" w:rsidRPr="00981405" w:rsidRDefault="00DD1B2C" w:rsidP="00BE376C">
            <w:pPr>
              <w:spacing w:after="120"/>
              <w:jc w:val="right"/>
            </w:pPr>
            <w:r w:rsidRPr="00981405">
              <w:t>24-33</w:t>
            </w:r>
          </w:p>
        </w:tc>
      </w:tr>
      <w:tr w:rsidR="00BE376C" w:rsidRPr="00981405" w:rsidTr="00BE376C">
        <w:tc>
          <w:tcPr>
            <w:tcW w:w="8910" w:type="dxa"/>
            <w:gridSpan w:val="2"/>
            <w:shd w:val="clear" w:color="auto" w:fill="auto"/>
          </w:tcPr>
          <w:p w:rsidR="00BE376C" w:rsidRPr="00981405" w:rsidRDefault="00DD1B2C" w:rsidP="00D97463">
            <w:pPr>
              <w:pStyle w:val="ListParagraph"/>
              <w:numPr>
                <w:ilvl w:val="2"/>
                <w:numId w:val="15"/>
              </w:numPr>
              <w:tabs>
                <w:tab w:val="right" w:pos="1080"/>
                <w:tab w:val="left" w:pos="1296"/>
                <w:tab w:val="left" w:pos="1728"/>
                <w:tab w:val="left" w:pos="2160"/>
                <w:tab w:val="left" w:pos="2592"/>
                <w:tab w:val="right" w:leader="dot" w:pos="9360"/>
              </w:tabs>
              <w:spacing w:after="120"/>
            </w:pPr>
            <w:r w:rsidRPr="00D97463">
              <w:rPr>
                <w:noProof/>
              </w:rPr>
              <w:t>UNCTAD</w:t>
            </w:r>
            <w:r w:rsidRPr="00D97463">
              <w:rPr>
                <w:noProof/>
                <w:spacing w:val="60"/>
                <w:sz w:val="17"/>
              </w:rPr>
              <w:tab/>
            </w:r>
          </w:p>
        </w:tc>
        <w:tc>
          <w:tcPr>
            <w:tcW w:w="990" w:type="dxa"/>
            <w:shd w:val="clear" w:color="auto" w:fill="auto"/>
            <w:vAlign w:val="bottom"/>
          </w:tcPr>
          <w:p w:rsidR="00BE376C" w:rsidRPr="00981405" w:rsidRDefault="00DD1B2C" w:rsidP="00BE376C">
            <w:pPr>
              <w:spacing w:after="120"/>
              <w:jc w:val="right"/>
            </w:pPr>
            <w:r w:rsidRPr="00981405">
              <w:t>25-27</w:t>
            </w:r>
          </w:p>
        </w:tc>
      </w:tr>
      <w:tr w:rsidR="00BE376C" w:rsidRPr="00981405" w:rsidTr="00BE376C">
        <w:tc>
          <w:tcPr>
            <w:tcW w:w="8910" w:type="dxa"/>
            <w:gridSpan w:val="2"/>
            <w:shd w:val="clear" w:color="auto" w:fill="auto"/>
          </w:tcPr>
          <w:p w:rsidR="00BE376C" w:rsidRPr="00981405" w:rsidRDefault="00DD1B2C" w:rsidP="00D97463">
            <w:pPr>
              <w:pStyle w:val="ListParagraph"/>
              <w:numPr>
                <w:ilvl w:val="2"/>
                <w:numId w:val="15"/>
              </w:numPr>
              <w:tabs>
                <w:tab w:val="right" w:pos="1080"/>
                <w:tab w:val="left" w:pos="1296"/>
                <w:tab w:val="left" w:pos="1728"/>
                <w:tab w:val="left" w:pos="2160"/>
                <w:tab w:val="left" w:pos="2592"/>
                <w:tab w:val="right" w:leader="dot" w:pos="9360"/>
              </w:tabs>
              <w:spacing w:after="120"/>
            </w:pPr>
            <w:r w:rsidRPr="00D97463">
              <w:rPr>
                <w:noProof/>
              </w:rPr>
              <w:t>OECD</w:t>
            </w:r>
            <w:r w:rsidRPr="00D97463">
              <w:rPr>
                <w:noProof/>
                <w:spacing w:val="60"/>
                <w:sz w:val="17"/>
              </w:rPr>
              <w:tab/>
            </w:r>
          </w:p>
        </w:tc>
        <w:tc>
          <w:tcPr>
            <w:tcW w:w="990" w:type="dxa"/>
            <w:shd w:val="clear" w:color="auto" w:fill="auto"/>
            <w:vAlign w:val="bottom"/>
          </w:tcPr>
          <w:p w:rsidR="00BE376C" w:rsidRPr="00981405" w:rsidRDefault="00DD1B2C" w:rsidP="00BE376C">
            <w:pPr>
              <w:spacing w:after="120"/>
              <w:jc w:val="right"/>
            </w:pPr>
            <w:r w:rsidRPr="00981405">
              <w:t>28-33</w:t>
            </w:r>
          </w:p>
        </w:tc>
      </w:tr>
      <w:tr w:rsidR="00BE376C" w:rsidRPr="00981405" w:rsidTr="00BE376C">
        <w:tc>
          <w:tcPr>
            <w:tcW w:w="8910" w:type="dxa"/>
            <w:gridSpan w:val="2"/>
            <w:shd w:val="clear" w:color="auto" w:fill="auto"/>
          </w:tcPr>
          <w:p w:rsidR="00BE376C" w:rsidRPr="00D97463" w:rsidRDefault="00ED6A59" w:rsidP="00D97463">
            <w:pPr>
              <w:pStyle w:val="ListParagraph"/>
              <w:tabs>
                <w:tab w:val="left" w:pos="1296"/>
                <w:tab w:val="left" w:pos="1728"/>
                <w:tab w:val="left" w:pos="2160"/>
                <w:tab w:val="right" w:leader="dot" w:pos="9360"/>
              </w:tabs>
              <w:spacing w:after="120"/>
              <w:ind w:left="1890" w:hanging="810"/>
              <w:rPr>
                <w:spacing w:val="60"/>
                <w:sz w:val="17"/>
              </w:rPr>
            </w:pPr>
            <w:r w:rsidRPr="00981405">
              <w:t xml:space="preserve">Part II </w:t>
            </w:r>
            <w:r w:rsidR="00B92E2C" w:rsidRPr="00981405">
              <w:t>—</w:t>
            </w:r>
            <w:r w:rsidRPr="00981405">
              <w:t xml:space="preserve"> </w:t>
            </w:r>
            <w:r w:rsidRPr="00D97463">
              <w:rPr>
                <w:noProof/>
              </w:rPr>
              <w:t>Contemporary relevance of MFN clauses and issues relating to their interpretation</w:t>
            </w:r>
            <w:r w:rsidR="00380425"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34-140</w:t>
            </w:r>
          </w:p>
        </w:tc>
      </w:tr>
      <w:tr w:rsidR="00BE376C" w:rsidRPr="00981405" w:rsidTr="00BE376C">
        <w:tc>
          <w:tcPr>
            <w:tcW w:w="8910" w:type="dxa"/>
            <w:gridSpan w:val="2"/>
            <w:shd w:val="clear" w:color="auto" w:fill="auto"/>
          </w:tcPr>
          <w:p w:rsidR="00BE376C" w:rsidRPr="00981405" w:rsidRDefault="00380425" w:rsidP="00D97463">
            <w:pPr>
              <w:pStyle w:val="ListParagraph"/>
              <w:numPr>
                <w:ilvl w:val="1"/>
                <w:numId w:val="16"/>
              </w:numPr>
              <w:tabs>
                <w:tab w:val="right" w:pos="1080"/>
                <w:tab w:val="left" w:pos="1296"/>
                <w:tab w:val="left" w:pos="1728"/>
                <w:tab w:val="left" w:pos="2160"/>
                <w:tab w:val="left" w:pos="2592"/>
                <w:tab w:val="left" w:pos="3024"/>
                <w:tab w:val="left" w:pos="3456"/>
                <w:tab w:val="right" w:leader="dot" w:pos="9360"/>
              </w:tabs>
              <w:spacing w:after="120"/>
            </w:pPr>
            <w:r w:rsidRPr="00D97463">
              <w:rPr>
                <w:rFonts w:eastAsia="SimSun"/>
                <w:noProof/>
                <w:lang w:eastAsia="ja-JP"/>
              </w:rPr>
              <w:t>Key Elements of MFN</w:t>
            </w:r>
            <w:r w:rsidRPr="00D97463">
              <w:rPr>
                <w:rFonts w:eastAsia="SimSun"/>
                <w:noProof/>
                <w:spacing w:val="60"/>
                <w:sz w:val="17"/>
                <w:lang w:eastAsia="ja-JP"/>
              </w:rPr>
              <w:tab/>
            </w:r>
          </w:p>
        </w:tc>
        <w:tc>
          <w:tcPr>
            <w:tcW w:w="990" w:type="dxa"/>
            <w:shd w:val="clear" w:color="auto" w:fill="auto"/>
            <w:vAlign w:val="bottom"/>
          </w:tcPr>
          <w:p w:rsidR="00BE376C" w:rsidRPr="00981405" w:rsidRDefault="00380425" w:rsidP="00BE376C">
            <w:pPr>
              <w:spacing w:after="120"/>
              <w:jc w:val="right"/>
            </w:pPr>
            <w:r w:rsidRPr="00981405">
              <w:t>35-40</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noProof/>
              </w:rPr>
              <w:t>The rationale for MFN treatment</w:t>
            </w:r>
            <w:r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37-40</w:t>
            </w:r>
          </w:p>
        </w:tc>
      </w:tr>
      <w:tr w:rsidR="00BE376C" w:rsidRPr="00981405" w:rsidTr="00BE376C">
        <w:tc>
          <w:tcPr>
            <w:tcW w:w="8910" w:type="dxa"/>
            <w:gridSpan w:val="2"/>
            <w:shd w:val="clear" w:color="auto" w:fill="auto"/>
          </w:tcPr>
          <w:p w:rsidR="00BE376C" w:rsidRPr="00981405" w:rsidRDefault="00380425" w:rsidP="00D97463">
            <w:pPr>
              <w:pStyle w:val="ListParagraph"/>
              <w:numPr>
                <w:ilvl w:val="1"/>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D97463">
              <w:rPr>
                <w:noProof/>
              </w:rPr>
              <w:t>Contemporary practice regarding MFN clauses</w:t>
            </w:r>
            <w:r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41-66</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D97463">
              <w:rPr>
                <w:noProof/>
              </w:rPr>
              <w:t>MFN clauses in GATT and the WTO</w:t>
            </w:r>
            <w:r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41-52</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noProof/>
              </w:rPr>
              <w:t>MFN in other trade agreements</w:t>
            </w:r>
            <w:r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53-54</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D97463">
              <w:rPr>
                <w:noProof/>
              </w:rPr>
              <w:t>MFN in investment treaties</w:t>
            </w:r>
            <w:r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55-66</w:t>
            </w:r>
          </w:p>
        </w:tc>
      </w:tr>
      <w:tr w:rsidR="00BE376C" w:rsidRPr="00981405" w:rsidTr="00BE376C">
        <w:tc>
          <w:tcPr>
            <w:tcW w:w="8910" w:type="dxa"/>
            <w:gridSpan w:val="2"/>
            <w:shd w:val="clear" w:color="auto" w:fill="auto"/>
          </w:tcPr>
          <w:p w:rsidR="00BE376C" w:rsidRPr="00981405" w:rsidRDefault="00380425" w:rsidP="00D97463">
            <w:pPr>
              <w:pStyle w:val="ListParagraph"/>
              <w:numPr>
                <w:ilvl w:val="1"/>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rsidRPr="00D97463">
              <w:rPr>
                <w:noProof/>
              </w:rPr>
              <w:t>Interpretative issues relating to MFN provisions in investment agreements</w:t>
            </w:r>
            <w:r w:rsidRPr="00D97463">
              <w:rPr>
                <w:noProof/>
                <w:spacing w:val="60"/>
                <w:sz w:val="17"/>
              </w:rPr>
              <w:tab/>
            </w:r>
          </w:p>
        </w:tc>
        <w:tc>
          <w:tcPr>
            <w:tcW w:w="990" w:type="dxa"/>
            <w:shd w:val="clear" w:color="auto" w:fill="auto"/>
            <w:vAlign w:val="bottom"/>
          </w:tcPr>
          <w:p w:rsidR="00BE376C" w:rsidRPr="00981405" w:rsidRDefault="00380425" w:rsidP="00BE376C">
            <w:pPr>
              <w:spacing w:after="120"/>
              <w:jc w:val="right"/>
            </w:pPr>
            <w:r w:rsidRPr="00981405">
              <w:t>67-140</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D97463">
              <w:rPr>
                <w:noProof/>
              </w:rPr>
              <w:t>Who is entitled to the benefit of an MFN provision?</w:t>
            </w:r>
            <w:r w:rsidR="007666F4" w:rsidRPr="00D97463">
              <w:rPr>
                <w:noProof/>
                <w:spacing w:val="60"/>
                <w:sz w:val="17"/>
              </w:rPr>
              <w:tab/>
            </w:r>
          </w:p>
        </w:tc>
        <w:tc>
          <w:tcPr>
            <w:tcW w:w="990" w:type="dxa"/>
            <w:shd w:val="clear" w:color="auto" w:fill="auto"/>
            <w:vAlign w:val="bottom"/>
          </w:tcPr>
          <w:p w:rsidR="00BE376C" w:rsidRPr="00981405" w:rsidRDefault="007666F4" w:rsidP="00BE376C">
            <w:pPr>
              <w:spacing w:after="120"/>
              <w:jc w:val="right"/>
            </w:pPr>
            <w:r w:rsidRPr="00981405">
              <w:t>69-73</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D97463">
              <w:rPr>
                <w:noProof/>
              </w:rPr>
              <w:t xml:space="preserve">What constitutes treatment that is </w:t>
            </w:r>
            <w:r w:rsidR="00B92E2C" w:rsidRPr="00D97463">
              <w:rPr>
                <w:noProof/>
              </w:rPr>
              <w:t>“</w:t>
            </w:r>
            <w:r w:rsidRPr="00D97463">
              <w:rPr>
                <w:noProof/>
              </w:rPr>
              <w:t>no less favourable</w:t>
            </w:r>
            <w:r w:rsidR="00B92E2C" w:rsidRPr="00D97463">
              <w:rPr>
                <w:noProof/>
              </w:rPr>
              <w:t>”</w:t>
            </w:r>
            <w:r w:rsidRPr="00D97463">
              <w:rPr>
                <w:noProof/>
              </w:rPr>
              <w:t>?</w:t>
            </w:r>
            <w:r w:rsidR="007666F4" w:rsidRPr="00D97463">
              <w:rPr>
                <w:noProof/>
                <w:spacing w:val="60"/>
                <w:sz w:val="17"/>
              </w:rPr>
              <w:tab/>
            </w:r>
          </w:p>
        </w:tc>
        <w:tc>
          <w:tcPr>
            <w:tcW w:w="990" w:type="dxa"/>
            <w:shd w:val="clear" w:color="auto" w:fill="auto"/>
            <w:vAlign w:val="bottom"/>
          </w:tcPr>
          <w:p w:rsidR="00BE376C" w:rsidRPr="00981405" w:rsidRDefault="007666F4" w:rsidP="00BE376C">
            <w:pPr>
              <w:spacing w:after="120"/>
              <w:jc w:val="right"/>
            </w:pPr>
            <w:r w:rsidRPr="00981405">
              <w:t>74-78</w:t>
            </w:r>
          </w:p>
        </w:tc>
      </w:tr>
      <w:tr w:rsidR="00BE376C" w:rsidRPr="00981405" w:rsidTr="00BE376C">
        <w:tc>
          <w:tcPr>
            <w:tcW w:w="8910" w:type="dxa"/>
            <w:gridSpan w:val="2"/>
            <w:shd w:val="clear" w:color="auto" w:fill="auto"/>
          </w:tcPr>
          <w:p w:rsidR="00BE376C" w:rsidRPr="00981405" w:rsidRDefault="00380425" w:rsidP="00D97463">
            <w:pPr>
              <w:pStyle w:val="ListParagraph"/>
              <w:numPr>
                <w:ilvl w:val="2"/>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pPr>
            <w:r w:rsidRPr="00D97463">
              <w:rPr>
                <w:noProof/>
              </w:rPr>
              <w:t>What is the scope of the treatment to be provided under an MFN clause?</w:t>
            </w:r>
            <w:r w:rsidR="007666F4" w:rsidRPr="00D97463">
              <w:rPr>
                <w:noProof/>
                <w:spacing w:val="60"/>
                <w:sz w:val="17"/>
              </w:rPr>
              <w:tab/>
            </w:r>
          </w:p>
        </w:tc>
        <w:tc>
          <w:tcPr>
            <w:tcW w:w="990" w:type="dxa"/>
            <w:shd w:val="clear" w:color="auto" w:fill="auto"/>
            <w:vAlign w:val="bottom"/>
          </w:tcPr>
          <w:p w:rsidR="00BE376C" w:rsidRPr="00981405" w:rsidRDefault="007666F4" w:rsidP="00BE376C">
            <w:pPr>
              <w:spacing w:after="120"/>
              <w:jc w:val="right"/>
            </w:pPr>
            <w:r w:rsidRPr="00981405">
              <w:t>79-140</w:t>
            </w:r>
          </w:p>
        </w:tc>
      </w:tr>
      <w:tr w:rsidR="00BE376C" w:rsidRPr="00981405" w:rsidTr="00BE376C">
        <w:tc>
          <w:tcPr>
            <w:tcW w:w="8910" w:type="dxa"/>
            <w:gridSpan w:val="2"/>
            <w:shd w:val="clear" w:color="auto" w:fill="auto"/>
          </w:tcPr>
          <w:p w:rsidR="00BE376C" w:rsidRPr="00981405" w:rsidRDefault="00380425" w:rsidP="00D97463">
            <w:pPr>
              <w:pStyle w:val="ListParagraph"/>
              <w:numPr>
                <w:ilvl w:val="3"/>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D97463">
              <w:rPr>
                <w:i/>
                <w:iCs/>
                <w:noProof/>
              </w:rPr>
              <w:t>MFN and procedural matters: origins of the issue</w:t>
            </w:r>
            <w:r w:rsidR="007666F4" w:rsidRPr="00D97463">
              <w:rPr>
                <w:i/>
                <w:iCs/>
                <w:noProof/>
                <w:spacing w:val="60"/>
                <w:sz w:val="17"/>
              </w:rPr>
              <w:tab/>
            </w:r>
          </w:p>
        </w:tc>
        <w:tc>
          <w:tcPr>
            <w:tcW w:w="990" w:type="dxa"/>
            <w:shd w:val="clear" w:color="auto" w:fill="auto"/>
            <w:vAlign w:val="bottom"/>
          </w:tcPr>
          <w:p w:rsidR="00BE376C" w:rsidRPr="00981405" w:rsidRDefault="007666F4" w:rsidP="00BE376C">
            <w:pPr>
              <w:spacing w:after="120"/>
              <w:jc w:val="right"/>
            </w:pPr>
            <w:r w:rsidRPr="00981405">
              <w:t>82-90</w:t>
            </w:r>
          </w:p>
        </w:tc>
      </w:tr>
      <w:tr w:rsidR="00BE376C" w:rsidRPr="00981405" w:rsidTr="00BE376C">
        <w:tc>
          <w:tcPr>
            <w:tcW w:w="8910" w:type="dxa"/>
            <w:gridSpan w:val="2"/>
            <w:shd w:val="clear" w:color="auto" w:fill="auto"/>
          </w:tcPr>
          <w:p w:rsidR="00BE376C" w:rsidRPr="00981405" w:rsidRDefault="00380425" w:rsidP="00D97463">
            <w:pPr>
              <w:pStyle w:val="ListParagraph"/>
              <w:numPr>
                <w:ilvl w:val="3"/>
                <w:numId w:val="1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i/>
                <w:iCs/>
                <w:noProof/>
              </w:rPr>
              <w:t>The subsequent interpretation by investment tribunals of MFN clauses in relation to procedural matters</w:t>
            </w:r>
            <w:r w:rsidR="007666F4" w:rsidRPr="00D97463">
              <w:rPr>
                <w:i/>
                <w:iCs/>
                <w:noProof/>
                <w:spacing w:val="60"/>
                <w:sz w:val="17"/>
              </w:rPr>
              <w:tab/>
            </w:r>
          </w:p>
        </w:tc>
        <w:tc>
          <w:tcPr>
            <w:tcW w:w="990" w:type="dxa"/>
            <w:shd w:val="clear" w:color="auto" w:fill="auto"/>
            <w:vAlign w:val="bottom"/>
          </w:tcPr>
          <w:p w:rsidR="00BE376C" w:rsidRPr="00981405" w:rsidRDefault="007666F4" w:rsidP="00BE376C">
            <w:pPr>
              <w:spacing w:after="120"/>
              <w:jc w:val="right"/>
            </w:pPr>
            <w:r w:rsidRPr="00981405">
              <w:t>91-140</w:t>
            </w:r>
          </w:p>
        </w:tc>
      </w:tr>
      <w:tr w:rsidR="00BE376C" w:rsidRPr="00981405" w:rsidTr="00BE376C">
        <w:tc>
          <w:tcPr>
            <w:tcW w:w="8910" w:type="dxa"/>
            <w:gridSpan w:val="2"/>
            <w:shd w:val="clear" w:color="auto" w:fill="auto"/>
          </w:tcPr>
          <w:p w:rsidR="00BE376C" w:rsidRPr="00981405" w:rsidRDefault="007666F4" w:rsidP="00D97463">
            <w:pPr>
              <w:pStyle w:val="ListParagraph"/>
              <w:numPr>
                <w:ilvl w:val="4"/>
                <w:numId w:val="16"/>
              </w:numPr>
              <w:tabs>
                <w:tab w:val="clear" w:pos="3024"/>
                <w:tab w:val="right" w:pos="1080"/>
                <w:tab w:val="left" w:pos="1296"/>
                <w:tab w:val="left" w:pos="1728"/>
                <w:tab w:val="left" w:pos="2160"/>
                <w:tab w:val="left" w:pos="2592"/>
                <w:tab w:val="left" w:pos="315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ind w:left="3150" w:hanging="558"/>
            </w:pPr>
            <w:r w:rsidRPr="00D97463">
              <w:rPr>
                <w:i/>
                <w:iCs/>
                <w:noProof/>
              </w:rPr>
              <w:t>The distinction between substantive and procedural obligations</w:t>
            </w:r>
            <w:r w:rsidR="00AC2D77" w:rsidRPr="00D97463">
              <w:rPr>
                <w:i/>
                <w:iCs/>
                <w:noProof/>
                <w:spacing w:val="60"/>
                <w:sz w:val="17"/>
              </w:rPr>
              <w:tab/>
            </w:r>
          </w:p>
        </w:tc>
        <w:tc>
          <w:tcPr>
            <w:tcW w:w="990" w:type="dxa"/>
            <w:shd w:val="clear" w:color="auto" w:fill="auto"/>
            <w:vAlign w:val="bottom"/>
          </w:tcPr>
          <w:p w:rsidR="00BE376C" w:rsidRPr="00981405" w:rsidRDefault="00AC2D77" w:rsidP="00BE376C">
            <w:pPr>
              <w:spacing w:after="120"/>
              <w:jc w:val="right"/>
            </w:pPr>
            <w:r w:rsidRPr="00981405">
              <w:t>93-99</w:t>
            </w:r>
          </w:p>
        </w:tc>
      </w:tr>
      <w:tr w:rsidR="00BE376C" w:rsidRPr="00981405" w:rsidTr="00BE376C">
        <w:tc>
          <w:tcPr>
            <w:tcW w:w="8910" w:type="dxa"/>
            <w:gridSpan w:val="2"/>
            <w:shd w:val="clear" w:color="auto" w:fill="auto"/>
          </w:tcPr>
          <w:p w:rsidR="00BE376C" w:rsidRPr="00981405" w:rsidRDefault="007666F4" w:rsidP="00D97463">
            <w:pPr>
              <w:pStyle w:val="ListParagraph"/>
              <w:numPr>
                <w:ilvl w:val="4"/>
                <w:numId w:val="16"/>
              </w:numPr>
              <w:tabs>
                <w:tab w:val="clear" w:pos="3024"/>
                <w:tab w:val="right" w:pos="1080"/>
                <w:tab w:val="left" w:pos="1296"/>
                <w:tab w:val="left" w:pos="1728"/>
                <w:tab w:val="left" w:pos="2160"/>
                <w:tab w:val="left" w:pos="2592"/>
                <w:tab w:val="left" w:pos="315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ind w:left="3150" w:hanging="558"/>
            </w:pPr>
            <w:r w:rsidRPr="00D97463">
              <w:rPr>
                <w:i/>
                <w:iCs/>
                <w:noProof/>
              </w:rPr>
              <w:t>The interpretation of MFN provisions as a jurisdictional matter</w:t>
            </w:r>
            <w:r w:rsidR="00AC2D77" w:rsidRPr="00D97463">
              <w:rPr>
                <w:i/>
                <w:iCs/>
                <w:noProof/>
                <w:spacing w:val="60"/>
                <w:sz w:val="17"/>
              </w:rPr>
              <w:tab/>
            </w:r>
          </w:p>
        </w:tc>
        <w:tc>
          <w:tcPr>
            <w:tcW w:w="990" w:type="dxa"/>
            <w:shd w:val="clear" w:color="auto" w:fill="auto"/>
            <w:vAlign w:val="bottom"/>
          </w:tcPr>
          <w:p w:rsidR="00BE376C" w:rsidRPr="00981405" w:rsidRDefault="00AC2D77" w:rsidP="00BE376C">
            <w:pPr>
              <w:spacing w:after="120"/>
              <w:jc w:val="right"/>
            </w:pPr>
            <w:r w:rsidRPr="00981405">
              <w:t>100-114</w:t>
            </w:r>
          </w:p>
        </w:tc>
      </w:tr>
      <w:tr w:rsidR="00BE376C" w:rsidRPr="00981405" w:rsidTr="00BE376C">
        <w:tc>
          <w:tcPr>
            <w:tcW w:w="8910" w:type="dxa"/>
            <w:gridSpan w:val="2"/>
            <w:shd w:val="clear" w:color="auto" w:fill="auto"/>
          </w:tcPr>
          <w:p w:rsidR="00BE376C" w:rsidRPr="00981405" w:rsidRDefault="007666F4" w:rsidP="00D97463">
            <w:pPr>
              <w:pStyle w:val="ListParagraph"/>
              <w:numPr>
                <w:ilvl w:val="5"/>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pPr>
            <w:r w:rsidRPr="00D97463">
              <w:rPr>
                <w:noProof/>
              </w:rPr>
              <w:t>Standard for interpreting jurisdictional matters</w:t>
            </w:r>
            <w:r w:rsidR="00AC2D77" w:rsidRPr="00D97463">
              <w:rPr>
                <w:noProof/>
                <w:spacing w:val="60"/>
                <w:sz w:val="17"/>
              </w:rPr>
              <w:tab/>
            </w:r>
          </w:p>
        </w:tc>
        <w:tc>
          <w:tcPr>
            <w:tcW w:w="990" w:type="dxa"/>
            <w:shd w:val="clear" w:color="auto" w:fill="auto"/>
            <w:vAlign w:val="bottom"/>
          </w:tcPr>
          <w:p w:rsidR="00BE376C" w:rsidRPr="00981405" w:rsidRDefault="00AC2D77" w:rsidP="00BE376C">
            <w:pPr>
              <w:spacing w:after="120"/>
              <w:jc w:val="right"/>
            </w:pPr>
            <w:r w:rsidRPr="00981405">
              <w:t>101-103</w:t>
            </w:r>
          </w:p>
        </w:tc>
      </w:tr>
      <w:tr w:rsidR="00BE376C" w:rsidRPr="00981405" w:rsidTr="00BE376C">
        <w:tc>
          <w:tcPr>
            <w:tcW w:w="8910" w:type="dxa"/>
            <w:gridSpan w:val="2"/>
            <w:shd w:val="clear" w:color="auto" w:fill="auto"/>
          </w:tcPr>
          <w:p w:rsidR="00BE376C" w:rsidRPr="00981405" w:rsidRDefault="007666F4" w:rsidP="00D97463">
            <w:pPr>
              <w:pStyle w:val="ListParagraph"/>
              <w:numPr>
                <w:ilvl w:val="5"/>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D97463">
              <w:rPr>
                <w:noProof/>
              </w:rPr>
              <w:t>Dispute settlement and jurisdiction</w:t>
            </w:r>
            <w:r w:rsidR="00AC2D77" w:rsidRPr="00D97463">
              <w:rPr>
                <w:noProof/>
                <w:spacing w:val="60"/>
                <w:sz w:val="17"/>
              </w:rPr>
              <w:tab/>
            </w:r>
          </w:p>
        </w:tc>
        <w:tc>
          <w:tcPr>
            <w:tcW w:w="990" w:type="dxa"/>
            <w:shd w:val="clear" w:color="auto" w:fill="auto"/>
            <w:vAlign w:val="bottom"/>
          </w:tcPr>
          <w:p w:rsidR="00BE376C" w:rsidRPr="00981405" w:rsidRDefault="00AC2D77" w:rsidP="00BE376C">
            <w:pPr>
              <w:spacing w:after="120"/>
              <w:jc w:val="right"/>
            </w:pPr>
            <w:r w:rsidRPr="00981405">
              <w:t>104-114</w:t>
            </w:r>
          </w:p>
        </w:tc>
      </w:tr>
      <w:tr w:rsidR="00BE376C" w:rsidRPr="00981405" w:rsidTr="00BE376C">
        <w:tc>
          <w:tcPr>
            <w:tcW w:w="8910" w:type="dxa"/>
            <w:gridSpan w:val="2"/>
            <w:shd w:val="clear" w:color="auto" w:fill="auto"/>
          </w:tcPr>
          <w:p w:rsidR="00BE376C" w:rsidRPr="00981405" w:rsidRDefault="00AC2D77" w:rsidP="00D97463">
            <w:pPr>
              <w:pStyle w:val="ListParagraph"/>
              <w:numPr>
                <w:ilvl w:val="4"/>
                <w:numId w:val="16"/>
              </w:numPr>
              <w:tabs>
                <w:tab w:val="clear" w:pos="3024"/>
                <w:tab w:val="right" w:pos="1080"/>
                <w:tab w:val="left" w:pos="1296"/>
                <w:tab w:val="left" w:pos="1728"/>
                <w:tab w:val="left" w:pos="2160"/>
                <w:tab w:val="left" w:pos="2592"/>
                <w:tab w:val="left" w:pos="3150"/>
                <w:tab w:val="left" w:pos="3456"/>
                <w:tab w:val="left" w:pos="3888"/>
                <w:tab w:val="left" w:pos="4320"/>
                <w:tab w:val="left" w:pos="4752"/>
                <w:tab w:val="left" w:pos="5184"/>
                <w:tab w:val="left" w:pos="5616"/>
                <w:tab w:val="left" w:pos="6048"/>
                <w:tab w:val="left" w:pos="6480"/>
                <w:tab w:val="right" w:leader="dot" w:pos="9360"/>
              </w:tabs>
              <w:spacing w:after="120"/>
              <w:ind w:left="3150" w:hanging="558"/>
            </w:pPr>
            <w:r w:rsidRPr="00D97463">
              <w:rPr>
                <w:i/>
                <w:iCs/>
                <w:noProof/>
              </w:rPr>
              <w:t>The specific intent of other treaty provisions</w:t>
            </w:r>
            <w:r w:rsidRPr="00D97463">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115-118</w:t>
            </w:r>
          </w:p>
        </w:tc>
      </w:tr>
      <w:tr w:rsidR="00BE376C" w:rsidRPr="00981405" w:rsidTr="00BE376C">
        <w:tc>
          <w:tcPr>
            <w:tcW w:w="8910" w:type="dxa"/>
            <w:gridSpan w:val="2"/>
            <w:shd w:val="clear" w:color="auto" w:fill="auto"/>
          </w:tcPr>
          <w:p w:rsidR="00BE376C" w:rsidRPr="00981405" w:rsidRDefault="00AC2D77" w:rsidP="00D97463">
            <w:pPr>
              <w:pStyle w:val="ListParagraph"/>
              <w:numPr>
                <w:ilvl w:val="4"/>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ind w:left="3150" w:hanging="558"/>
            </w:pPr>
            <w:r w:rsidRPr="00D97463">
              <w:rPr>
                <w:i/>
                <w:iCs/>
                <w:noProof/>
              </w:rPr>
              <w:lastRenderedPageBreak/>
              <w:t>The practice of the parties</w:t>
            </w:r>
            <w:r w:rsidR="00FE7CB2">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119-122</w:t>
            </w:r>
          </w:p>
        </w:tc>
      </w:tr>
      <w:tr w:rsidR="00BE376C" w:rsidRPr="00981405" w:rsidTr="00BE376C">
        <w:tc>
          <w:tcPr>
            <w:tcW w:w="8910" w:type="dxa"/>
            <w:gridSpan w:val="2"/>
            <w:shd w:val="clear" w:color="auto" w:fill="auto"/>
          </w:tcPr>
          <w:p w:rsidR="00BE376C" w:rsidRPr="00D97463" w:rsidRDefault="00AC2D77" w:rsidP="00D97463">
            <w:pPr>
              <w:pStyle w:val="ListParagraph"/>
              <w:numPr>
                <w:ilvl w:val="4"/>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ind w:left="3150" w:hanging="558"/>
              <w:rPr>
                <w:i/>
                <w:iCs/>
                <w:noProof/>
              </w:rPr>
            </w:pPr>
            <w:r w:rsidRPr="00D97463">
              <w:rPr>
                <w:i/>
                <w:iCs/>
                <w:noProof/>
              </w:rPr>
              <w:t>The relevant time for determining the intention of the partie</w:t>
            </w:r>
            <w:r w:rsidR="00FE7CB2">
              <w:rPr>
                <w:i/>
                <w:iCs/>
                <w:noProof/>
              </w:rPr>
              <w:t>s</w:t>
            </w:r>
            <w:r w:rsidR="00FE7CB2">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123</w:t>
            </w:r>
          </w:p>
        </w:tc>
      </w:tr>
      <w:tr w:rsidR="00BE376C" w:rsidRPr="00981405" w:rsidTr="00BE376C">
        <w:tc>
          <w:tcPr>
            <w:tcW w:w="8910" w:type="dxa"/>
            <w:gridSpan w:val="2"/>
            <w:shd w:val="clear" w:color="auto" w:fill="auto"/>
          </w:tcPr>
          <w:p w:rsidR="00BE376C" w:rsidRPr="00D97463" w:rsidRDefault="00AC2D77" w:rsidP="00D97463">
            <w:pPr>
              <w:pStyle w:val="ListParagraph"/>
              <w:numPr>
                <w:ilvl w:val="4"/>
                <w:numId w:val="16"/>
              </w:numPr>
              <w:tabs>
                <w:tab w:val="right" w:pos="1080"/>
                <w:tab w:val="left" w:pos="1296"/>
                <w:tab w:val="left" w:pos="1728"/>
                <w:tab w:val="left" w:pos="2160"/>
                <w:tab w:val="left" w:pos="2592"/>
                <w:tab w:val="left" w:pos="3024"/>
                <w:tab w:val="left" w:pos="3456"/>
                <w:tab w:val="left" w:pos="3888"/>
                <w:tab w:val="right" w:leader="dot" w:pos="9360"/>
              </w:tabs>
              <w:spacing w:after="120"/>
              <w:ind w:left="3150" w:hanging="558"/>
              <w:rPr>
                <w:i/>
                <w:iCs/>
                <w:noProof/>
              </w:rPr>
            </w:pPr>
            <w:r w:rsidRPr="00D97463">
              <w:rPr>
                <w:i/>
                <w:iCs/>
                <w:noProof/>
              </w:rPr>
              <w:t>The content of the provision to be changed by invoking by an MFN provision</w:t>
            </w:r>
            <w:r w:rsidR="00FE7CB2">
              <w:rPr>
                <w:i/>
                <w:iCs/>
                <w:noProof/>
                <w:spacing w:val="60"/>
                <w:sz w:val="17"/>
              </w:rPr>
              <w:tab/>
            </w:r>
            <w:r w:rsidR="00FE7CB2">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124-134</w:t>
            </w:r>
          </w:p>
        </w:tc>
      </w:tr>
      <w:tr w:rsidR="00BE376C" w:rsidRPr="00981405" w:rsidTr="00BE376C">
        <w:tc>
          <w:tcPr>
            <w:tcW w:w="8910" w:type="dxa"/>
            <w:gridSpan w:val="2"/>
            <w:shd w:val="clear" w:color="auto" w:fill="auto"/>
          </w:tcPr>
          <w:p w:rsidR="00BE376C" w:rsidRPr="00D97463" w:rsidRDefault="00AC2D77" w:rsidP="00D97463">
            <w:pPr>
              <w:pStyle w:val="ListParagraph"/>
              <w:numPr>
                <w:ilvl w:val="4"/>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3150" w:hanging="558"/>
              <w:rPr>
                <w:i/>
                <w:iCs/>
                <w:noProof/>
              </w:rPr>
            </w:pPr>
            <w:r w:rsidRPr="00D97463">
              <w:rPr>
                <w:i/>
                <w:iCs/>
                <w:noProof/>
              </w:rPr>
              <w:t>Consistency in decision-making</w:t>
            </w:r>
            <w:r w:rsidR="00FE7CB2">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135-136</w:t>
            </w:r>
          </w:p>
        </w:tc>
      </w:tr>
      <w:tr w:rsidR="00BE376C" w:rsidRPr="00981405" w:rsidTr="00BE376C">
        <w:tc>
          <w:tcPr>
            <w:tcW w:w="8910" w:type="dxa"/>
            <w:gridSpan w:val="2"/>
            <w:shd w:val="clear" w:color="auto" w:fill="auto"/>
          </w:tcPr>
          <w:p w:rsidR="00BE376C" w:rsidRPr="00981405" w:rsidRDefault="00EA4033" w:rsidP="00D97463">
            <w:pPr>
              <w:pStyle w:val="ListParagraph"/>
              <w:numPr>
                <w:ilvl w:val="4"/>
                <w:numId w:val="16"/>
              </w:numPr>
              <w:tabs>
                <w:tab w:val="right" w:pos="1080"/>
                <w:tab w:val="left" w:pos="1296"/>
                <w:tab w:val="left" w:pos="1728"/>
                <w:tab w:val="left" w:pos="2160"/>
                <w:tab w:val="left" w:pos="2592"/>
                <w:tab w:val="left" w:pos="3024"/>
                <w:tab w:val="left" w:pos="3150"/>
                <w:tab w:val="left" w:pos="3456"/>
                <w:tab w:val="left" w:pos="3888"/>
                <w:tab w:val="left" w:pos="4320"/>
                <w:tab w:val="left" w:pos="4752"/>
                <w:tab w:val="left" w:pos="5184"/>
                <w:tab w:val="left" w:pos="5616"/>
                <w:tab w:val="left" w:pos="6048"/>
                <w:tab w:val="left" w:pos="6480"/>
                <w:tab w:val="left" w:pos="6912"/>
                <w:tab w:val="right" w:leader="dot" w:pos="9360"/>
              </w:tabs>
              <w:spacing w:after="120"/>
              <w:ind w:left="3150" w:hanging="558"/>
            </w:pPr>
            <w:r w:rsidRPr="00D97463">
              <w:rPr>
                <w:i/>
                <w:iCs/>
                <w:noProof/>
              </w:rPr>
              <w:tab/>
            </w:r>
            <w:r w:rsidR="00AC2D77" w:rsidRPr="00D97463">
              <w:rPr>
                <w:i/>
                <w:iCs/>
                <w:noProof/>
              </w:rPr>
              <w:t xml:space="preserve">The definition of treatment </w:t>
            </w:r>
            <w:r w:rsidR="00B92E2C" w:rsidRPr="00D97463">
              <w:rPr>
                <w:i/>
                <w:iCs/>
                <w:noProof/>
              </w:rPr>
              <w:t>“</w:t>
            </w:r>
            <w:r w:rsidR="00AC2D77" w:rsidRPr="00D97463">
              <w:rPr>
                <w:i/>
                <w:iCs/>
                <w:noProof/>
              </w:rPr>
              <w:t>no less favourable</w:t>
            </w:r>
            <w:r w:rsidR="00B92E2C" w:rsidRPr="00D97463">
              <w:rPr>
                <w:i/>
                <w:iCs/>
                <w:noProof/>
              </w:rPr>
              <w:t>”</w:t>
            </w:r>
            <w:r w:rsidRPr="00D97463">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137-139</w:t>
            </w:r>
          </w:p>
        </w:tc>
      </w:tr>
      <w:tr w:rsidR="00BE376C" w:rsidRPr="00981405" w:rsidTr="00BE376C">
        <w:tc>
          <w:tcPr>
            <w:tcW w:w="8910" w:type="dxa"/>
            <w:gridSpan w:val="2"/>
            <w:shd w:val="clear" w:color="auto" w:fill="auto"/>
          </w:tcPr>
          <w:p w:rsidR="00BE376C" w:rsidRPr="00981405" w:rsidRDefault="00A00224" w:rsidP="00D97463">
            <w:pPr>
              <w:pStyle w:val="ListParagraph"/>
              <w:numPr>
                <w:ilvl w:val="4"/>
                <w:numId w:val="1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3240" w:hanging="648"/>
            </w:pPr>
            <w:r>
              <w:rPr>
                <w:i/>
                <w:iCs/>
                <w:noProof/>
              </w:rPr>
              <w:t xml:space="preserve">  </w:t>
            </w:r>
            <w:r w:rsidR="00AC2D77" w:rsidRPr="00D97463">
              <w:rPr>
                <w:i/>
                <w:iCs/>
                <w:noProof/>
              </w:rPr>
              <w:t>The existence of policy exceptions</w:t>
            </w:r>
            <w:r>
              <w:rPr>
                <w:i/>
                <w:iCs/>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140</w:t>
            </w:r>
          </w:p>
        </w:tc>
      </w:tr>
      <w:tr w:rsidR="00BE376C" w:rsidRPr="00981405" w:rsidTr="00BE376C">
        <w:tc>
          <w:tcPr>
            <w:tcW w:w="8910" w:type="dxa"/>
            <w:gridSpan w:val="2"/>
            <w:shd w:val="clear" w:color="auto" w:fill="auto"/>
          </w:tcPr>
          <w:p w:rsidR="00BE376C" w:rsidRPr="00D97463" w:rsidRDefault="00AC2D77" w:rsidP="00D97463">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1890" w:hanging="810"/>
              <w:rPr>
                <w:spacing w:val="60"/>
                <w:sz w:val="17"/>
              </w:rPr>
            </w:pPr>
            <w:r w:rsidRPr="00981405">
              <w:t xml:space="preserve">Part III </w:t>
            </w:r>
            <w:r w:rsidR="00B92E2C" w:rsidRPr="00981405">
              <w:t>—</w:t>
            </w:r>
            <w:r w:rsidRPr="00981405">
              <w:t xml:space="preserve"> </w:t>
            </w:r>
            <w:r w:rsidR="00EA4033" w:rsidRPr="00D97463">
              <w:rPr>
                <w:noProof/>
              </w:rPr>
              <w:t>Considerations in interpreting MFN clauses</w:t>
            </w:r>
            <w:r w:rsidR="00EA4033" w:rsidRPr="00D97463">
              <w:rPr>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141-160</w:t>
            </w:r>
          </w:p>
        </w:tc>
      </w:tr>
      <w:tr w:rsidR="00BE376C" w:rsidRPr="00981405" w:rsidTr="00BE376C">
        <w:tc>
          <w:tcPr>
            <w:tcW w:w="8910" w:type="dxa"/>
            <w:gridSpan w:val="2"/>
            <w:shd w:val="clear" w:color="auto" w:fill="auto"/>
          </w:tcPr>
          <w:p w:rsidR="00BE376C" w:rsidRPr="00981405" w:rsidRDefault="00EA4033" w:rsidP="00D97463">
            <w:pPr>
              <w:pStyle w:val="ListParagraph"/>
              <w:numPr>
                <w:ilvl w:val="1"/>
                <w:numId w:val="1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pPr>
            <w:r w:rsidRPr="00D97463">
              <w:rPr>
                <w:noProof/>
              </w:rPr>
              <w:t>Policy considerations relating to the interpretation of investment agreements</w:t>
            </w:r>
            <w:r w:rsidRPr="00D97463">
              <w:rPr>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141-149</w:t>
            </w:r>
          </w:p>
        </w:tc>
      </w:tr>
      <w:tr w:rsidR="00BE376C" w:rsidRPr="00981405" w:rsidTr="00BE376C">
        <w:tc>
          <w:tcPr>
            <w:tcW w:w="8910" w:type="dxa"/>
            <w:gridSpan w:val="2"/>
            <w:shd w:val="clear" w:color="auto" w:fill="auto"/>
          </w:tcPr>
          <w:p w:rsidR="00BE376C" w:rsidRPr="00981405" w:rsidRDefault="00EA4033" w:rsidP="00D97463">
            <w:pPr>
              <w:pStyle w:val="ListParagraph"/>
              <w:numPr>
                <w:ilvl w:val="2"/>
                <w:numId w:val="17"/>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noProof/>
              </w:rPr>
              <w:t>Asymmetry in BIT negotiations</w:t>
            </w:r>
            <w:r w:rsidRPr="00D97463">
              <w:rPr>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141-144</w:t>
            </w:r>
          </w:p>
        </w:tc>
      </w:tr>
      <w:tr w:rsidR="00BE376C" w:rsidRPr="00981405" w:rsidTr="00BE376C">
        <w:tc>
          <w:tcPr>
            <w:tcW w:w="8910" w:type="dxa"/>
            <w:gridSpan w:val="2"/>
            <w:shd w:val="clear" w:color="auto" w:fill="auto"/>
          </w:tcPr>
          <w:p w:rsidR="00BE376C" w:rsidRPr="00981405" w:rsidRDefault="00EA4033" w:rsidP="00D97463">
            <w:pPr>
              <w:pStyle w:val="ListParagraph"/>
              <w:numPr>
                <w:ilvl w:val="2"/>
                <w:numId w:val="17"/>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D97463">
              <w:rPr>
                <w:noProof/>
              </w:rPr>
              <w:t>The specificity of each treaty</w:t>
            </w:r>
            <w:r w:rsidRPr="00D97463">
              <w:rPr>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145-149</w:t>
            </w:r>
          </w:p>
        </w:tc>
      </w:tr>
      <w:tr w:rsidR="00BE376C" w:rsidRPr="00981405" w:rsidTr="00BE376C">
        <w:tc>
          <w:tcPr>
            <w:tcW w:w="8910" w:type="dxa"/>
            <w:gridSpan w:val="2"/>
            <w:shd w:val="clear" w:color="auto" w:fill="auto"/>
          </w:tcPr>
          <w:p w:rsidR="00BE376C" w:rsidRPr="00981405" w:rsidRDefault="00EA4033" w:rsidP="00D97463">
            <w:pPr>
              <w:pStyle w:val="ListParagraph"/>
              <w:numPr>
                <w:ilvl w:val="1"/>
                <w:numId w:val="1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D97463">
              <w:rPr>
                <w:noProof/>
              </w:rPr>
              <w:t xml:space="preserve">Investment dispute settlement arbitration as </w:t>
            </w:r>
            <w:r w:rsidR="00B92E2C" w:rsidRPr="00D97463">
              <w:rPr>
                <w:noProof/>
              </w:rPr>
              <w:t>“</w:t>
            </w:r>
            <w:r w:rsidRPr="00D97463">
              <w:rPr>
                <w:noProof/>
              </w:rPr>
              <w:t>mixed arbitration</w:t>
            </w:r>
            <w:r w:rsidR="00B92E2C" w:rsidRPr="00D97463">
              <w:rPr>
                <w:noProof/>
              </w:rPr>
              <w:t>”</w:t>
            </w:r>
            <w:r w:rsidRPr="00D97463">
              <w:rPr>
                <w:noProof/>
                <w:spacing w:val="60"/>
                <w:sz w:val="17"/>
              </w:rPr>
              <w:tab/>
            </w:r>
          </w:p>
        </w:tc>
        <w:tc>
          <w:tcPr>
            <w:tcW w:w="990" w:type="dxa"/>
            <w:shd w:val="clear" w:color="auto" w:fill="auto"/>
            <w:vAlign w:val="bottom"/>
          </w:tcPr>
          <w:p w:rsidR="00BE376C" w:rsidRPr="00981405" w:rsidRDefault="00EA4033" w:rsidP="00BE376C">
            <w:pPr>
              <w:spacing w:after="120"/>
              <w:jc w:val="right"/>
            </w:pPr>
            <w:r w:rsidRPr="00981405">
              <w:t>150-157</w:t>
            </w:r>
          </w:p>
        </w:tc>
      </w:tr>
      <w:tr w:rsidR="00BE376C" w:rsidRPr="00981405" w:rsidTr="00BE376C">
        <w:tc>
          <w:tcPr>
            <w:tcW w:w="8910" w:type="dxa"/>
            <w:gridSpan w:val="2"/>
            <w:shd w:val="clear" w:color="auto" w:fill="auto"/>
          </w:tcPr>
          <w:p w:rsidR="00BE376C" w:rsidRPr="00981405" w:rsidRDefault="00EA4033" w:rsidP="00D97463">
            <w:pPr>
              <w:pStyle w:val="ListParagraph"/>
              <w:numPr>
                <w:ilvl w:val="1"/>
                <w:numId w:val="17"/>
              </w:numPr>
              <w:tabs>
                <w:tab w:val="right" w:pos="1080"/>
                <w:tab w:val="left" w:pos="1296"/>
                <w:tab w:val="left" w:pos="1728"/>
                <w:tab w:val="left" w:pos="2160"/>
                <w:tab w:val="left" w:pos="2592"/>
                <w:tab w:val="right" w:leader="dot" w:pos="9360"/>
              </w:tabs>
              <w:spacing w:after="120"/>
            </w:pPr>
            <w:r w:rsidRPr="00D97463">
              <w:rPr>
                <w:noProof/>
              </w:rPr>
              <w:t>The contemporary relevance of the 1978 draft articles to the interpretation of MFN provisions</w:t>
            </w:r>
            <w:r w:rsidR="00313364" w:rsidRPr="00981405">
              <w:rPr>
                <w:noProof/>
                <w:spacing w:val="60"/>
                <w:sz w:val="17"/>
              </w:rPr>
              <w:tab/>
            </w:r>
          </w:p>
        </w:tc>
        <w:tc>
          <w:tcPr>
            <w:tcW w:w="990" w:type="dxa"/>
            <w:shd w:val="clear" w:color="auto" w:fill="auto"/>
            <w:vAlign w:val="bottom"/>
          </w:tcPr>
          <w:p w:rsidR="00BE376C" w:rsidRPr="00981405" w:rsidRDefault="00313364" w:rsidP="00BE376C">
            <w:pPr>
              <w:spacing w:after="120"/>
              <w:jc w:val="right"/>
            </w:pPr>
            <w:r w:rsidRPr="00981405">
              <w:t>158-160</w:t>
            </w:r>
          </w:p>
        </w:tc>
      </w:tr>
      <w:tr w:rsidR="00BE376C" w:rsidRPr="00981405" w:rsidTr="00BE376C">
        <w:tc>
          <w:tcPr>
            <w:tcW w:w="8910" w:type="dxa"/>
            <w:gridSpan w:val="2"/>
            <w:shd w:val="clear" w:color="auto" w:fill="auto"/>
          </w:tcPr>
          <w:p w:rsidR="00BE376C" w:rsidRPr="00D97463" w:rsidRDefault="00313364" w:rsidP="00D97463">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1890" w:hanging="810"/>
              <w:rPr>
                <w:spacing w:val="60"/>
                <w:sz w:val="17"/>
              </w:rPr>
            </w:pPr>
            <w:r w:rsidRPr="00981405">
              <w:t xml:space="preserve">Part IV </w:t>
            </w:r>
            <w:r w:rsidR="00B92E2C" w:rsidRPr="00981405">
              <w:t>—</w:t>
            </w:r>
            <w:r w:rsidRPr="00981405">
              <w:t xml:space="preserve"> </w:t>
            </w:r>
            <w:r w:rsidRPr="00D97463">
              <w:rPr>
                <w:noProof/>
              </w:rPr>
              <w:t>Guidance on the interpretation of MFN clauses</w:t>
            </w:r>
            <w:r w:rsidRPr="00D97463">
              <w:rPr>
                <w:noProof/>
                <w:spacing w:val="60"/>
                <w:sz w:val="17"/>
              </w:rPr>
              <w:tab/>
            </w:r>
          </w:p>
        </w:tc>
        <w:tc>
          <w:tcPr>
            <w:tcW w:w="990" w:type="dxa"/>
            <w:shd w:val="clear" w:color="auto" w:fill="auto"/>
            <w:vAlign w:val="bottom"/>
          </w:tcPr>
          <w:p w:rsidR="00BE376C" w:rsidRPr="00981405" w:rsidRDefault="00313364" w:rsidP="00BE376C">
            <w:pPr>
              <w:spacing w:after="120"/>
              <w:jc w:val="right"/>
            </w:pPr>
            <w:r w:rsidRPr="00981405">
              <w:t>161-211</w:t>
            </w:r>
          </w:p>
        </w:tc>
      </w:tr>
      <w:tr w:rsidR="00BE376C" w:rsidRPr="00981405" w:rsidTr="00BE376C">
        <w:tc>
          <w:tcPr>
            <w:tcW w:w="8910" w:type="dxa"/>
            <w:gridSpan w:val="2"/>
            <w:shd w:val="clear" w:color="auto" w:fill="auto"/>
          </w:tcPr>
          <w:p w:rsidR="00BE376C" w:rsidRPr="00981405" w:rsidRDefault="00313364" w:rsidP="00D97463">
            <w:pPr>
              <w:pStyle w:val="ListParagraph"/>
              <w:numPr>
                <w:ilvl w:val="1"/>
                <w:numId w:val="19"/>
              </w:numPr>
              <w:tabs>
                <w:tab w:val="right" w:pos="1080"/>
                <w:tab w:val="left" w:pos="1296"/>
                <w:tab w:val="left" w:pos="1728"/>
                <w:tab w:val="left" w:pos="2160"/>
                <w:tab w:val="left" w:pos="2592"/>
                <w:tab w:val="left" w:pos="3024"/>
                <w:tab w:val="right" w:leader="dot" w:pos="9360"/>
              </w:tabs>
              <w:spacing w:after="120"/>
            </w:pPr>
            <w:r w:rsidRPr="00D97463">
              <w:rPr>
                <w:noProof/>
              </w:rPr>
              <w:t>MFN provisions are capable in principle of applying to the dispute settlement provisions of BITs</w:t>
            </w:r>
            <w:r w:rsidRPr="00D97463">
              <w:rPr>
                <w:noProof/>
                <w:spacing w:val="60"/>
                <w:sz w:val="17"/>
              </w:rPr>
              <w:tab/>
            </w:r>
          </w:p>
        </w:tc>
        <w:tc>
          <w:tcPr>
            <w:tcW w:w="990" w:type="dxa"/>
            <w:shd w:val="clear" w:color="auto" w:fill="auto"/>
            <w:vAlign w:val="bottom"/>
          </w:tcPr>
          <w:p w:rsidR="00BE376C" w:rsidRPr="00981405" w:rsidRDefault="00313364" w:rsidP="00BE376C">
            <w:pPr>
              <w:spacing w:after="120"/>
              <w:jc w:val="right"/>
            </w:pPr>
            <w:r w:rsidRPr="00981405">
              <w:t>162-163</w:t>
            </w:r>
          </w:p>
        </w:tc>
      </w:tr>
      <w:tr w:rsidR="00313364" w:rsidRPr="00981405" w:rsidTr="00BE376C">
        <w:tc>
          <w:tcPr>
            <w:tcW w:w="8910" w:type="dxa"/>
            <w:gridSpan w:val="2"/>
            <w:shd w:val="clear" w:color="auto" w:fill="auto"/>
          </w:tcPr>
          <w:p w:rsidR="00313364" w:rsidRPr="00981405" w:rsidRDefault="00313364" w:rsidP="00D97463">
            <w:pPr>
              <w:pStyle w:val="ListParagraph"/>
              <w:numPr>
                <w:ilvl w:val="1"/>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pPr>
            <w:r w:rsidRPr="00D97463">
              <w:rPr>
                <w:noProof/>
              </w:rPr>
              <w:t>Conditions relating to dispute settlement and a tribunal</w:t>
            </w:r>
            <w:r w:rsidR="00B92E2C" w:rsidRPr="00D97463">
              <w:rPr>
                <w:noProof/>
              </w:rPr>
              <w:t>’</w:t>
            </w:r>
            <w:r w:rsidRPr="00D97463">
              <w:rPr>
                <w:noProof/>
              </w:rPr>
              <w:t>s jurisdiction</w:t>
            </w:r>
            <w:r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164-173</w:t>
            </w:r>
          </w:p>
        </w:tc>
      </w:tr>
      <w:tr w:rsidR="00313364" w:rsidRPr="00981405" w:rsidTr="00BE376C">
        <w:tc>
          <w:tcPr>
            <w:tcW w:w="8910" w:type="dxa"/>
            <w:gridSpan w:val="2"/>
            <w:shd w:val="clear" w:color="auto" w:fill="auto"/>
          </w:tcPr>
          <w:p w:rsidR="00313364" w:rsidRPr="00981405" w:rsidRDefault="00313364" w:rsidP="00D97463">
            <w:pPr>
              <w:pStyle w:val="ListParagraph"/>
              <w:numPr>
                <w:ilvl w:val="1"/>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D97463">
              <w:rPr>
                <w:noProof/>
                <w:lang w:bidi="en-US"/>
              </w:rPr>
              <w:t>Relevant factors</w:t>
            </w:r>
            <w:r w:rsidRPr="00D97463">
              <w:rPr>
                <w:noProof/>
              </w:rPr>
              <w:t xml:space="preserve"> in determining whether an MFN provision applies to the conditions for invoking dispute settlement</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174-193</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noProof/>
              </w:rPr>
              <w:t>The principle of contemporaneity</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176-178</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noProof/>
              </w:rPr>
              <w:t>The relevance of preparatory work</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179</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noProof/>
              </w:rPr>
              <w:t>The treaty practice of the parties</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180-183</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right" w:leader="dot" w:pos="9360"/>
              </w:tabs>
              <w:spacing w:after="120"/>
            </w:pPr>
            <w:r w:rsidRPr="00D97463">
              <w:rPr>
                <w:noProof/>
              </w:rPr>
              <w:t>The meaning of context</w:t>
            </w:r>
            <w:r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D97463">
              <w:t>184-188</w:t>
            </w:r>
          </w:p>
        </w:tc>
      </w:tr>
      <w:tr w:rsidR="00313364" w:rsidRPr="00981405" w:rsidTr="00BE376C">
        <w:tc>
          <w:tcPr>
            <w:tcW w:w="8910" w:type="dxa"/>
            <w:gridSpan w:val="2"/>
            <w:shd w:val="clear" w:color="auto" w:fill="auto"/>
          </w:tcPr>
          <w:p w:rsidR="00313364" w:rsidRPr="00981405" w:rsidRDefault="00313364" w:rsidP="00D97463">
            <w:pPr>
              <w:pStyle w:val="ListParagraph"/>
              <w:numPr>
                <w:ilvl w:val="3"/>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D97463">
              <w:rPr>
                <w:i/>
                <w:iCs/>
                <w:noProof/>
              </w:rPr>
              <w:t>The balance between specific and general provisions</w:t>
            </w:r>
            <w:r w:rsidR="007F258C" w:rsidRPr="00D97463">
              <w:rPr>
                <w:i/>
                <w:iCs/>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186-187</w:t>
            </w:r>
          </w:p>
        </w:tc>
      </w:tr>
      <w:tr w:rsidR="00313364" w:rsidRPr="00981405" w:rsidTr="00BE376C">
        <w:tc>
          <w:tcPr>
            <w:tcW w:w="8910" w:type="dxa"/>
            <w:gridSpan w:val="2"/>
            <w:shd w:val="clear" w:color="auto" w:fill="auto"/>
          </w:tcPr>
          <w:p w:rsidR="00313364" w:rsidRPr="00981405" w:rsidRDefault="00313364" w:rsidP="00D97463">
            <w:pPr>
              <w:pStyle w:val="ListParagraph"/>
              <w:numPr>
                <w:ilvl w:val="3"/>
                <w:numId w:val="19"/>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D97463">
              <w:rPr>
                <w:i/>
                <w:iCs/>
                <w:noProof/>
              </w:rPr>
              <w:t>The expressio unius principle</w:t>
            </w:r>
            <w:r w:rsidR="007F258C" w:rsidRPr="00D97463">
              <w:rPr>
                <w:i/>
                <w:iCs/>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188</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rsidRPr="00D97463">
              <w:rPr>
                <w:noProof/>
              </w:rPr>
              <w:t>The relevance of the content of the provision sought to be replaced</w:t>
            </w:r>
            <w:r w:rsidR="00A8663A">
              <w:rPr>
                <w:noProof/>
                <w:spacing w:val="60"/>
                <w:sz w:val="17"/>
              </w:rPr>
              <w:tab/>
            </w:r>
          </w:p>
        </w:tc>
        <w:tc>
          <w:tcPr>
            <w:tcW w:w="990" w:type="dxa"/>
            <w:shd w:val="clear" w:color="auto" w:fill="auto"/>
            <w:vAlign w:val="bottom"/>
          </w:tcPr>
          <w:p w:rsidR="00313364" w:rsidRPr="00981405" w:rsidRDefault="00A8663A" w:rsidP="00BE376C">
            <w:pPr>
              <w:spacing w:after="120"/>
              <w:jc w:val="right"/>
            </w:pPr>
            <w:r w:rsidRPr="00981405">
              <w:t>189-190</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D97463">
              <w:rPr>
                <w:noProof/>
              </w:rPr>
              <w:t>The interpretation of the provision sought to be included</w:t>
            </w:r>
            <w:r w:rsidR="007F258C" w:rsidRPr="00D97463">
              <w:rPr>
                <w:noProof/>
                <w:spacing w:val="60"/>
                <w:sz w:val="17"/>
              </w:rPr>
              <w:tab/>
            </w:r>
          </w:p>
        </w:tc>
        <w:tc>
          <w:tcPr>
            <w:tcW w:w="990" w:type="dxa"/>
            <w:shd w:val="clear" w:color="auto" w:fill="auto"/>
            <w:vAlign w:val="bottom"/>
          </w:tcPr>
          <w:p w:rsidR="00313364" w:rsidRPr="00981405" w:rsidRDefault="00A8663A" w:rsidP="00BE376C">
            <w:pPr>
              <w:spacing w:after="120"/>
              <w:jc w:val="right"/>
            </w:pPr>
            <w:r>
              <w:t>191-193</w:t>
            </w:r>
          </w:p>
        </w:tc>
      </w:tr>
      <w:tr w:rsidR="00313364" w:rsidRPr="00981405" w:rsidTr="00BE376C">
        <w:tc>
          <w:tcPr>
            <w:tcW w:w="8910" w:type="dxa"/>
            <w:gridSpan w:val="2"/>
            <w:shd w:val="clear" w:color="auto" w:fill="auto"/>
          </w:tcPr>
          <w:p w:rsidR="00313364" w:rsidRPr="00981405" w:rsidRDefault="00313364" w:rsidP="00D97463">
            <w:pPr>
              <w:pStyle w:val="ListParagraph"/>
              <w:numPr>
                <w:ilvl w:val="1"/>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D97463">
              <w:rPr>
                <w:noProof/>
              </w:rPr>
              <w:t>Consequences of various model MFN clauses</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194-211</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rsidRPr="00D97463">
              <w:rPr>
                <w:noProof/>
              </w:rPr>
              <w:t xml:space="preserve">Clauses in agreements existing at the time of the </w:t>
            </w:r>
            <w:r w:rsidRPr="00D97463">
              <w:rPr>
                <w:i/>
                <w:noProof/>
              </w:rPr>
              <w:t>Maffezini</w:t>
            </w:r>
            <w:r w:rsidRPr="00D97463">
              <w:rPr>
                <w:noProof/>
              </w:rPr>
              <w:t xml:space="preserve"> decision</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195-202</w:t>
            </w:r>
          </w:p>
        </w:tc>
      </w:tr>
      <w:tr w:rsidR="00313364" w:rsidRPr="00981405" w:rsidTr="00BE376C">
        <w:tc>
          <w:tcPr>
            <w:tcW w:w="8910" w:type="dxa"/>
            <w:gridSpan w:val="2"/>
            <w:shd w:val="clear" w:color="auto" w:fill="auto"/>
          </w:tcPr>
          <w:p w:rsidR="00313364" w:rsidRPr="00981405" w:rsidRDefault="00313364" w:rsidP="00D97463">
            <w:pPr>
              <w:pStyle w:val="ListParagraph"/>
              <w:numPr>
                <w:ilvl w:val="2"/>
                <w:numId w:val="1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pacing w:after="120"/>
            </w:pPr>
            <w:r w:rsidRPr="00D97463">
              <w:rPr>
                <w:noProof/>
              </w:rPr>
              <w:t xml:space="preserve">Clauses in agreements entered into since the </w:t>
            </w:r>
            <w:r w:rsidRPr="00D97463">
              <w:rPr>
                <w:i/>
                <w:noProof/>
              </w:rPr>
              <w:t>Maffezini</w:t>
            </w:r>
            <w:r w:rsidRPr="00D97463">
              <w:rPr>
                <w:noProof/>
              </w:rPr>
              <w:t xml:space="preserve"> decision</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203-211</w:t>
            </w:r>
          </w:p>
        </w:tc>
      </w:tr>
      <w:tr w:rsidR="00313364" w:rsidRPr="00981405" w:rsidTr="00BE376C">
        <w:tc>
          <w:tcPr>
            <w:tcW w:w="8910" w:type="dxa"/>
            <w:gridSpan w:val="2"/>
            <w:shd w:val="clear" w:color="auto" w:fill="auto"/>
          </w:tcPr>
          <w:p w:rsidR="00313364" w:rsidRPr="00D97463" w:rsidRDefault="00313364" w:rsidP="00D97463">
            <w:pPr>
              <w:pStyle w:val="ListParagraph"/>
              <w:tabs>
                <w:tab w:val="right" w:pos="1080"/>
                <w:tab w:val="left" w:pos="1296"/>
                <w:tab w:val="left" w:pos="1728"/>
                <w:tab w:val="left" w:pos="2160"/>
                <w:tab w:val="left" w:pos="2592"/>
                <w:tab w:val="left" w:pos="3024"/>
                <w:tab w:val="left" w:pos="3456"/>
                <w:tab w:val="left" w:pos="3888"/>
                <w:tab w:val="right" w:leader="dot" w:pos="9360"/>
              </w:tabs>
              <w:spacing w:after="120"/>
              <w:ind w:left="1890" w:hanging="810"/>
              <w:rPr>
                <w:spacing w:val="60"/>
                <w:sz w:val="17"/>
              </w:rPr>
            </w:pPr>
            <w:r w:rsidRPr="00981405">
              <w:t xml:space="preserve">Part V </w:t>
            </w:r>
            <w:r w:rsidR="00B92E2C" w:rsidRPr="00981405">
              <w:t>—</w:t>
            </w:r>
            <w:r w:rsidRPr="00981405">
              <w:t xml:space="preserve"> </w:t>
            </w:r>
            <w:r w:rsidRPr="00D97463">
              <w:rPr>
                <w:noProof/>
              </w:rPr>
              <w:t>Summary of Conclusions</w:t>
            </w:r>
            <w:r w:rsidR="007F258C" w:rsidRPr="00D97463">
              <w:rPr>
                <w:noProof/>
                <w:spacing w:val="60"/>
                <w:sz w:val="17"/>
              </w:rPr>
              <w:tab/>
            </w:r>
          </w:p>
        </w:tc>
        <w:tc>
          <w:tcPr>
            <w:tcW w:w="990" w:type="dxa"/>
            <w:shd w:val="clear" w:color="auto" w:fill="auto"/>
            <w:vAlign w:val="bottom"/>
          </w:tcPr>
          <w:p w:rsidR="00313364" w:rsidRPr="00981405" w:rsidRDefault="007F258C" w:rsidP="00BE376C">
            <w:pPr>
              <w:spacing w:after="120"/>
              <w:jc w:val="right"/>
            </w:pPr>
            <w:r w:rsidRPr="00981405">
              <w:t>212-217</w:t>
            </w:r>
          </w:p>
        </w:tc>
      </w:tr>
    </w:tbl>
    <w:p w:rsidR="00397032" w:rsidRPr="00981405" w:rsidRDefault="00397032" w:rsidP="00D97463">
      <w:pPr>
        <w:pStyle w:val="SingleTxt"/>
      </w:pPr>
      <w:bookmarkStart w:id="180" w:name="_Toc293434138"/>
      <w:r w:rsidRPr="00981405">
        <w:br w:type="page"/>
      </w:r>
    </w:p>
    <w:p w:rsidR="00FC3B5B" w:rsidRPr="00D97463" w:rsidRDefault="00FC3B5B" w:rsidP="00D97463">
      <w:pPr>
        <w:pStyle w:val="SingleTxt"/>
        <w:spacing w:after="0" w:line="120" w:lineRule="exact"/>
        <w:rPr>
          <w:sz w:val="10"/>
        </w:rPr>
      </w:pPr>
      <w:bookmarkStart w:id="181" w:name="_Toc294353654"/>
    </w:p>
    <w:p w:rsidR="00FC3B5B" w:rsidRPr="00D97463" w:rsidRDefault="00FC3B5B" w:rsidP="00D97463">
      <w:pPr>
        <w:pStyle w:val="SingleTxt"/>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182" w:name="_Toc427938163"/>
      <w:r w:rsidRPr="00D97463">
        <w:t>Introduction</w:t>
      </w:r>
      <w:bookmarkEnd w:id="180"/>
      <w:bookmarkEnd w:id="181"/>
      <w:bookmarkEnd w:id="182"/>
    </w:p>
    <w:p w:rsidR="00397032" w:rsidRPr="00D97463" w:rsidRDefault="00397032" w:rsidP="00D97463">
      <w:pPr>
        <w:pStyle w:val="SingleTxt"/>
        <w:spacing w:after="0" w:line="120" w:lineRule="exact"/>
        <w:rPr>
          <w:sz w:val="10"/>
        </w:rPr>
      </w:pPr>
    </w:p>
    <w:p w:rsidR="00FC3B5B" w:rsidRPr="00D97463" w:rsidRDefault="00FC3B5B" w:rsidP="00D97463">
      <w:pPr>
        <w:pStyle w:val="SingleTxt"/>
        <w:spacing w:after="0" w:line="120" w:lineRule="exact"/>
        <w:rPr>
          <w:sz w:val="10"/>
        </w:rPr>
      </w:pPr>
    </w:p>
    <w:p w:rsidR="00397032" w:rsidRPr="00981405" w:rsidRDefault="00397032" w:rsidP="00D97463">
      <w:pPr>
        <w:pStyle w:val="SingleTxt"/>
      </w:pPr>
      <w:r w:rsidRPr="00981405">
        <w:t>1.</w:t>
      </w:r>
      <w:r w:rsidRPr="00981405">
        <w:tab/>
        <w:t>This</w:t>
      </w:r>
      <w:r w:rsidR="00190923" w:rsidRPr="00981405">
        <w:t xml:space="preserve"> </w:t>
      </w:r>
      <w:r w:rsidRPr="00981405">
        <w:t>report</w:t>
      </w:r>
      <w:r w:rsidR="00190923" w:rsidRPr="00981405">
        <w:t xml:space="preserve"> </w:t>
      </w:r>
      <w:r w:rsidRPr="00981405">
        <w:t>reflects</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a</w:t>
      </w:r>
      <w:r w:rsidR="00190923" w:rsidRPr="00981405">
        <w:t xml:space="preserve"> </w:t>
      </w:r>
      <w:r w:rsidRPr="00981405">
        <w:t>Study</w:t>
      </w:r>
      <w:r w:rsidR="00190923" w:rsidRPr="00981405">
        <w:t xml:space="preserve"> </w:t>
      </w:r>
      <w:r w:rsidRPr="00981405">
        <w:t>Group</w:t>
      </w:r>
      <w:r w:rsidR="00190923" w:rsidRPr="00981405">
        <w:t xml:space="preserve"> </w:t>
      </w:r>
      <w:r w:rsidRPr="00981405">
        <w:t>established</w:t>
      </w:r>
      <w:r w:rsidR="00190923" w:rsidRPr="00981405">
        <w:t xml:space="preserve"> </w:t>
      </w:r>
      <w:r w:rsidRPr="00981405">
        <w:t>by</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consider</w:t>
      </w:r>
      <w:r w:rsidR="00190923" w:rsidRPr="00981405">
        <w:t xml:space="preserve"> </w:t>
      </w:r>
      <w:r w:rsidRPr="00981405">
        <w:t>contemporary</w:t>
      </w:r>
      <w:r w:rsidR="00190923" w:rsidRPr="00981405">
        <w:t xml:space="preserve"> </w:t>
      </w:r>
      <w:r w:rsidRPr="00981405">
        <w:t>issues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most-favoured</w:t>
      </w:r>
      <w:r w:rsidR="00190923" w:rsidRPr="00981405">
        <w:t xml:space="preserve"> </w:t>
      </w:r>
      <w:r w:rsidRPr="00981405">
        <w:t>nation</w:t>
      </w:r>
      <w:r w:rsidR="00190923" w:rsidRPr="00981405">
        <w:t xml:space="preserve"> </w:t>
      </w:r>
      <w:r w:rsidRPr="00981405">
        <w:t>(MFN)</w:t>
      </w:r>
      <w:r w:rsidR="00190923" w:rsidRPr="00981405">
        <w:t xml:space="preserve"> </w:t>
      </w:r>
      <w:r w:rsidRPr="00981405">
        <w:t>clause.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studied</w:t>
      </w:r>
      <w:r w:rsidR="00190923" w:rsidRPr="00981405">
        <w:t xml:space="preserve"> </w:t>
      </w:r>
      <w:r w:rsidRPr="00981405">
        <w:t>the</w:t>
      </w:r>
      <w:r w:rsidR="00190923" w:rsidRPr="00981405">
        <w:t xml:space="preserve"> </w:t>
      </w:r>
      <w:r w:rsidRPr="00981405">
        <w:t>topic</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from</w:t>
      </w:r>
      <w:r w:rsidR="00190923" w:rsidRPr="00981405">
        <w:t xml:space="preserve"> </w:t>
      </w:r>
      <w:r w:rsidRPr="00981405">
        <w:t>1967</w:t>
      </w:r>
      <w:r w:rsidR="00190923" w:rsidRPr="00981405">
        <w:t xml:space="preserve"> </w:t>
      </w:r>
      <w:r w:rsidRPr="00981405">
        <w:t>until</w:t>
      </w:r>
      <w:r w:rsidR="00190923" w:rsidRPr="00981405">
        <w:t xml:space="preserve"> </w:t>
      </w:r>
      <w:r w:rsidRPr="00981405">
        <w:t>1978,</w:t>
      </w:r>
      <w:r w:rsidR="00190923" w:rsidRPr="00981405">
        <w:t xml:space="preserve"> </w:t>
      </w:r>
      <w:r w:rsidRPr="00981405">
        <w:t>although</w:t>
      </w:r>
      <w:r w:rsidR="00190923" w:rsidRPr="00981405">
        <w:t xml:space="preserve"> </w:t>
      </w:r>
      <w:r w:rsidRPr="00981405">
        <w:t>no</w:t>
      </w:r>
      <w:r w:rsidR="00190923" w:rsidRPr="00981405">
        <w:t xml:space="preserve"> </w:t>
      </w:r>
      <w:r w:rsidRPr="00981405">
        <w:t>multilateral</w:t>
      </w:r>
      <w:r w:rsidR="00190923" w:rsidRPr="00981405">
        <w:t xml:space="preserve"> </w:t>
      </w:r>
      <w:r w:rsidRPr="00981405">
        <w:t>treaty</w:t>
      </w:r>
      <w:r w:rsidR="00190923" w:rsidRPr="00981405">
        <w:t xml:space="preserve"> </w:t>
      </w:r>
      <w:r w:rsidRPr="00981405">
        <w:t>was</w:t>
      </w:r>
      <w:r w:rsidR="00190923" w:rsidRPr="00981405">
        <w:t xml:space="preserve"> </w:t>
      </w:r>
      <w:r w:rsidRPr="00981405">
        <w:t>concluded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it</w:t>
      </w:r>
      <w:r w:rsidR="00190923" w:rsidRPr="00981405">
        <w:t xml:space="preserve"> </w:t>
      </w:r>
      <w:r w:rsidRPr="00981405">
        <w:t>had</w:t>
      </w:r>
      <w:r w:rsidR="00190923" w:rsidRPr="00981405">
        <w:t xml:space="preserve"> </w:t>
      </w:r>
      <w:r w:rsidRPr="00981405">
        <w:t>elaborated.</w:t>
      </w:r>
      <w:r w:rsidR="00190923" w:rsidRPr="00981405">
        <w:t xml:space="preserve"> </w:t>
      </w:r>
      <w:r w:rsidRPr="00981405">
        <w:t>Since</w:t>
      </w:r>
      <w:r w:rsidR="00190923" w:rsidRPr="00981405">
        <w:t xml:space="preserve"> </w:t>
      </w:r>
      <w:r w:rsidRPr="00981405">
        <w:t>then</w:t>
      </w:r>
      <w:r w:rsidR="00190923" w:rsidRPr="00981405">
        <w:t xml:space="preserve"> </w:t>
      </w:r>
      <w:r w:rsidRPr="00981405">
        <w:t>MFN</w:t>
      </w:r>
      <w:r w:rsidR="00190923" w:rsidRPr="00981405">
        <w:t xml:space="preserve"> </w:t>
      </w:r>
      <w:r w:rsidRPr="00981405">
        <w:t>had</w:t>
      </w:r>
      <w:r w:rsidR="00190923" w:rsidRPr="00981405">
        <w:t xml:space="preserve"> </w:t>
      </w:r>
      <w:r w:rsidRPr="00981405">
        <w:t>become</w:t>
      </w:r>
      <w:r w:rsidR="00190923" w:rsidRPr="00981405">
        <w:t xml:space="preserve"> </w:t>
      </w:r>
      <w:r w:rsidRPr="00981405">
        <w:t>the</w:t>
      </w:r>
      <w:r w:rsidR="00190923" w:rsidRPr="00981405">
        <w:t xml:space="preserve"> </w:t>
      </w:r>
      <w:r w:rsidRPr="00981405">
        <w:t>cornerstone</w:t>
      </w:r>
      <w:r w:rsidR="00190923" w:rsidRPr="00981405">
        <w:t xml:space="preserve"> </w:t>
      </w:r>
      <w:r w:rsidRPr="00981405">
        <w:t>of</w:t>
      </w:r>
      <w:r w:rsidR="00190923" w:rsidRPr="00981405">
        <w:t xml:space="preserve"> </w:t>
      </w:r>
      <w:r w:rsidRPr="00981405">
        <w:t>the</w:t>
      </w:r>
      <w:r w:rsidR="00190923" w:rsidRPr="00981405">
        <w:t xml:space="preserve"> </w:t>
      </w:r>
      <w:r w:rsidRPr="00981405">
        <w:t>WTO</w:t>
      </w:r>
      <w:r w:rsidR="00190923" w:rsidRPr="00981405">
        <w:t xml:space="preserve"> </w:t>
      </w:r>
      <w:r w:rsidRPr="00981405">
        <w:t>and</w:t>
      </w:r>
      <w:r w:rsidR="00190923" w:rsidRPr="00981405">
        <w:t xml:space="preserve"> </w:t>
      </w:r>
      <w:r w:rsidRPr="00981405">
        <w:t>had</w:t>
      </w:r>
      <w:r w:rsidR="00190923" w:rsidRPr="00981405">
        <w:t xml:space="preserve"> </w:t>
      </w:r>
      <w:r w:rsidRPr="00981405">
        <w:t>been</w:t>
      </w:r>
      <w:r w:rsidR="00190923" w:rsidRPr="00981405">
        <w:t xml:space="preserve"> </w:t>
      </w:r>
      <w:r w:rsidRPr="00981405">
        <w:t>included</w:t>
      </w:r>
      <w:r w:rsidR="00190923" w:rsidRPr="00981405">
        <w:t xml:space="preserve"> </w:t>
      </w:r>
      <w:r w:rsidRPr="00981405">
        <w:t>in</w:t>
      </w:r>
      <w:r w:rsidR="00190923" w:rsidRPr="00981405">
        <w:t xml:space="preserve"> </w:t>
      </w:r>
      <w:r w:rsidRPr="00981405">
        <w:t>countless</w:t>
      </w:r>
      <w:r w:rsidR="00190923" w:rsidRPr="00981405">
        <w:t xml:space="preserve"> </w:t>
      </w:r>
      <w:r w:rsidRPr="00981405">
        <w:t>bilateral</w:t>
      </w:r>
      <w:r w:rsidR="00190923" w:rsidRPr="00981405">
        <w:t xml:space="preserve"> </w:t>
      </w:r>
      <w:r w:rsidRPr="00981405">
        <w:t>and</w:t>
      </w:r>
      <w:r w:rsidR="00190923" w:rsidRPr="00981405">
        <w:t xml:space="preserve"> </w:t>
      </w:r>
      <w:r w:rsidRPr="00981405">
        <w:t>regional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controversies</w:t>
      </w:r>
      <w:r w:rsidR="00190923" w:rsidRPr="00981405">
        <w:t xml:space="preserve"> </w:t>
      </w:r>
      <w:r w:rsidRPr="00981405">
        <w:t>had</w:t>
      </w:r>
      <w:r w:rsidR="00190923" w:rsidRPr="00981405">
        <w:t xml:space="preserve"> </w:t>
      </w:r>
      <w:r w:rsidRPr="00981405">
        <w:t>arisen</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over</w:t>
      </w:r>
      <w:r w:rsidR="00190923" w:rsidRPr="00981405">
        <w:t xml:space="preserve"> </w:t>
      </w:r>
      <w:r w:rsidRPr="00981405">
        <w:t>the</w:t>
      </w:r>
      <w:r w:rsidR="00190923" w:rsidRPr="00981405">
        <w:t xml:space="preserve"> </w:t>
      </w:r>
      <w:r w:rsidRPr="00981405">
        <w:t>extension</w:t>
      </w:r>
      <w:r w:rsidR="00190923" w:rsidRPr="00981405">
        <w:t xml:space="preserve"> </w:t>
      </w:r>
      <w:r w:rsidRPr="00981405">
        <w:t>of</w:t>
      </w:r>
      <w:r w:rsidR="00190923" w:rsidRPr="00981405">
        <w:t xml:space="preserve"> </w:t>
      </w:r>
      <w:r w:rsidRPr="00981405">
        <w:t>MFN</w:t>
      </w:r>
      <w:r w:rsidR="00190923" w:rsidRPr="00981405">
        <w:t xml:space="preserve"> </w:t>
      </w:r>
      <w:r w:rsidRPr="00981405">
        <w:t>from</w:t>
      </w:r>
      <w:r w:rsidR="00190923" w:rsidRPr="00981405">
        <w:t xml:space="preserve"> </w:t>
      </w:r>
      <w:r w:rsidRPr="00981405">
        <w:t>substantive</w:t>
      </w:r>
      <w:r w:rsidR="00190923" w:rsidRPr="00981405">
        <w:t xml:space="preserve"> </w:t>
      </w:r>
      <w:r w:rsidRPr="00981405">
        <w:t>obligations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The</w:t>
      </w:r>
      <w:r w:rsidR="00190923" w:rsidRPr="00981405">
        <w:t xml:space="preserve"> </w:t>
      </w:r>
      <w:r w:rsidRPr="00981405">
        <w:t>report</w:t>
      </w:r>
      <w:r w:rsidR="00190923" w:rsidRPr="00981405">
        <w:t xml:space="preserve"> </w:t>
      </w:r>
      <w:r w:rsidRPr="00981405">
        <w:t>surveys</w:t>
      </w:r>
      <w:r w:rsidR="00190923" w:rsidRPr="00981405">
        <w:t xml:space="preserve"> </w:t>
      </w:r>
      <w:r w:rsidRPr="00981405">
        <w:t>those</w:t>
      </w:r>
      <w:r w:rsidR="00190923" w:rsidRPr="00981405">
        <w:t xml:space="preserve"> </w:t>
      </w:r>
      <w:r w:rsidRPr="00981405">
        <w:t>developments</w:t>
      </w:r>
      <w:r w:rsidR="00190923" w:rsidRPr="00981405">
        <w:t xml:space="preserve"> </w:t>
      </w:r>
      <w:r w:rsidRPr="00981405">
        <w:t>and</w:t>
      </w:r>
      <w:r w:rsidR="00190923" w:rsidRPr="00981405">
        <w:t xml:space="preserve"> </w:t>
      </w:r>
      <w:r w:rsidRPr="00981405">
        <w:t>provides</w:t>
      </w:r>
      <w:r w:rsidR="00190923" w:rsidRPr="00981405">
        <w:t xml:space="preserve"> </w:t>
      </w:r>
      <w:r w:rsidRPr="00981405">
        <w:t>some</w:t>
      </w:r>
      <w:r w:rsidR="00190923" w:rsidRPr="00981405">
        <w:t xml:space="preserve"> </w:t>
      </w:r>
      <w:r w:rsidRPr="00981405">
        <w:t>commentary</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Pr="00981405">
        <w:rPr>
          <w:rStyle w:val="FootnoteReference"/>
        </w:rPr>
        <w:footnoteReference w:id="413"/>
      </w:r>
    </w:p>
    <w:p w:rsidR="00397032" w:rsidRPr="00981405" w:rsidRDefault="00397032" w:rsidP="00D97463">
      <w:pPr>
        <w:pStyle w:val="SingleTxt"/>
      </w:pPr>
      <w:r w:rsidRPr="00981405">
        <w:t>2.</w:t>
      </w:r>
      <w:r w:rsidR="00190923" w:rsidRPr="00981405">
        <w:t xml:space="preserve"> </w:t>
      </w:r>
      <w:r w:rsidR="00FC3B5B" w:rsidRPr="00981405">
        <w:tab/>
      </w:r>
      <w:r w:rsidRPr="00981405">
        <w:t>In</w:t>
      </w:r>
      <w:r w:rsidR="00190923" w:rsidRPr="00981405">
        <w:t xml:space="preserve"> </w:t>
      </w:r>
      <w:r w:rsidRPr="00981405">
        <w:t>considering</w:t>
      </w:r>
      <w:r w:rsidR="00190923" w:rsidRPr="00981405">
        <w:t xml:space="preserve"> </w:t>
      </w:r>
      <w:r w:rsidRPr="00981405">
        <w:t>this</w:t>
      </w:r>
      <w:r w:rsidR="00190923" w:rsidRPr="00981405">
        <w:t xml:space="preserve"> </w:t>
      </w:r>
      <w:r w:rsidRPr="00981405">
        <w:t>topic,</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sought</w:t>
      </w:r>
      <w:r w:rsidR="00190923" w:rsidRPr="00981405">
        <w:t xml:space="preserve"> </w:t>
      </w:r>
      <w:r w:rsidRPr="00981405">
        <w:t>to</w:t>
      </w:r>
      <w:r w:rsidR="00190923" w:rsidRPr="00981405">
        <w:t xml:space="preserve"> </w:t>
      </w:r>
      <w:r w:rsidRPr="00981405">
        <w:t>determine</w:t>
      </w:r>
      <w:r w:rsidR="00190923" w:rsidRPr="00981405">
        <w:t xml:space="preserve"> </w:t>
      </w:r>
      <w:r w:rsidRPr="00981405">
        <w:t>whether</w:t>
      </w:r>
      <w:r w:rsidR="00190923" w:rsidRPr="00981405">
        <w:t xml:space="preserve"> </w:t>
      </w:r>
      <w:r w:rsidRPr="00981405">
        <w:t>it</w:t>
      </w:r>
      <w:r w:rsidR="00190923" w:rsidRPr="00981405">
        <w:t xml:space="preserve"> </w:t>
      </w:r>
      <w:r w:rsidRPr="00981405">
        <w:t>could</w:t>
      </w:r>
      <w:r w:rsidR="00190923" w:rsidRPr="00981405">
        <w:t xml:space="preserve"> </w:t>
      </w:r>
      <w:r w:rsidRPr="00981405">
        <w:t>produce</w:t>
      </w:r>
      <w:r w:rsidR="00190923" w:rsidRPr="00981405">
        <w:t xml:space="preserve"> </w:t>
      </w:r>
      <w:r w:rsidRPr="00981405">
        <w:t>an</w:t>
      </w:r>
      <w:r w:rsidR="00190923" w:rsidRPr="00981405">
        <w:t xml:space="preserve"> </w:t>
      </w:r>
      <w:r w:rsidRPr="00981405">
        <w:t>outcome</w:t>
      </w:r>
      <w:r w:rsidR="00190923" w:rsidRPr="00981405">
        <w:t xml:space="preserve"> </w:t>
      </w:r>
      <w:r w:rsidRPr="00981405">
        <w:t>that</w:t>
      </w:r>
      <w:r w:rsidR="00190923" w:rsidRPr="00981405">
        <w:t xml:space="preserve"> </w:t>
      </w:r>
      <w:r w:rsidRPr="00981405">
        <w:t>would</w:t>
      </w:r>
      <w:r w:rsidR="00190923" w:rsidRPr="00981405">
        <w:t xml:space="preserve"> </w:t>
      </w:r>
      <w:r w:rsidRPr="00981405">
        <w:t>be</w:t>
      </w:r>
      <w:r w:rsidR="00190923" w:rsidRPr="00981405">
        <w:t xml:space="preserve"> </w:t>
      </w:r>
      <w:r w:rsidRPr="00981405">
        <w:t>useful</w:t>
      </w:r>
      <w:r w:rsidR="00190923" w:rsidRPr="00981405">
        <w:t xml:space="preserve"> </w:t>
      </w:r>
      <w:r w:rsidRPr="00981405">
        <w:t>in</w:t>
      </w:r>
      <w:r w:rsidR="00190923" w:rsidRPr="00981405">
        <w:t xml:space="preserve"> </w:t>
      </w:r>
      <w:r w:rsidRPr="00981405">
        <w:t>practice</w:t>
      </w:r>
      <w:r w:rsidR="00190923" w:rsidRPr="00981405">
        <w:t xml:space="preserve"> </w:t>
      </w:r>
      <w:r w:rsidRPr="00981405">
        <w:t>both</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treaties</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tribunals</w:t>
      </w:r>
      <w:r w:rsidR="00190923" w:rsidRPr="00981405">
        <w:t xml:space="preserve"> </w:t>
      </w:r>
      <w:r w:rsidRPr="00981405">
        <w:t>and</w:t>
      </w:r>
      <w:r w:rsidR="00190923" w:rsidRPr="00981405">
        <w:t xml:space="preserve"> </w:t>
      </w:r>
      <w:r w:rsidRPr="00981405">
        <w:t>elsewhere.</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considered</w:t>
      </w:r>
      <w:r w:rsidR="00190923" w:rsidRPr="00981405">
        <w:t xml:space="preserve"> </w:t>
      </w:r>
      <w:r w:rsidRPr="00981405">
        <w:t>whether</w:t>
      </w:r>
      <w:r w:rsidR="00190923" w:rsidRPr="00981405">
        <w:t xml:space="preserve"> </w:t>
      </w:r>
      <w:r w:rsidRPr="00981405">
        <w:t>there</w:t>
      </w:r>
      <w:r w:rsidR="00190923" w:rsidRPr="00981405">
        <w:t xml:space="preserve"> </w:t>
      </w:r>
      <w:r w:rsidRPr="00981405">
        <w:t>was</w:t>
      </w:r>
      <w:r w:rsidR="00190923" w:rsidRPr="00981405">
        <w:t xml:space="preserve"> </w:t>
      </w:r>
      <w:r w:rsidRPr="00981405">
        <w:t>any</w:t>
      </w:r>
      <w:r w:rsidR="00190923" w:rsidRPr="00981405">
        <w:t xml:space="preserve"> </w:t>
      </w:r>
      <w:r w:rsidRPr="00981405">
        <w:t>utility</w:t>
      </w:r>
      <w:r w:rsidR="00190923" w:rsidRPr="00981405">
        <w:t xml:space="preserve"> </w:t>
      </w:r>
      <w:r w:rsidRPr="00981405">
        <w:t>in</w:t>
      </w:r>
      <w:r w:rsidR="00190923" w:rsidRPr="00981405">
        <w:t xml:space="preserve"> </w:t>
      </w:r>
      <w:r w:rsidRPr="00981405">
        <w:t>revising</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or</w:t>
      </w:r>
      <w:r w:rsidR="00190923" w:rsidRPr="00981405">
        <w:t xml:space="preserve"> </w:t>
      </w:r>
      <w:r w:rsidRPr="00981405">
        <w:t>in</w:t>
      </w:r>
      <w:r w:rsidR="00190923" w:rsidRPr="00981405">
        <w:t xml:space="preserve"> </w:t>
      </w:r>
      <w:r w:rsidRPr="00981405">
        <w:t>preparing</w:t>
      </w:r>
      <w:r w:rsidR="00190923" w:rsidRPr="00981405">
        <w:t xml:space="preserve"> </w:t>
      </w:r>
      <w:r w:rsidRPr="00981405">
        <w:t>a</w:t>
      </w:r>
      <w:r w:rsidR="00190923" w:rsidRPr="00981405">
        <w:t xml:space="preserve"> </w:t>
      </w:r>
      <w:r w:rsidRPr="00981405">
        <w:t>set</w:t>
      </w:r>
      <w:r w:rsidR="00190923" w:rsidRPr="00981405">
        <w:t xml:space="preserve"> </w:t>
      </w:r>
      <w:r w:rsidRPr="00981405">
        <w:t>of</w:t>
      </w:r>
      <w:r w:rsidR="00190923" w:rsidRPr="00981405">
        <w:t xml:space="preserve"> </w:t>
      </w:r>
      <w:r w:rsidRPr="00981405">
        <w:t>new</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and</w:t>
      </w:r>
      <w:r w:rsidR="00190923" w:rsidRPr="00981405">
        <w:t xml:space="preserve"> </w:t>
      </w:r>
      <w:r w:rsidRPr="00981405">
        <w:t>came</w:t>
      </w:r>
      <w:r w:rsidR="00190923" w:rsidRPr="00981405">
        <w:t xml:space="preserve"> </w:t>
      </w:r>
      <w:r w:rsidRPr="00981405">
        <w:t>to</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not.</w:t>
      </w:r>
      <w:r w:rsidRPr="00981405">
        <w:rPr>
          <w:rStyle w:val="FootnoteReference"/>
        </w:rPr>
        <w:footnoteReference w:id="414"/>
      </w:r>
      <w:r w:rsidR="00190923" w:rsidRPr="00981405">
        <w:t xml:space="preserve"> </w:t>
      </w:r>
      <w:r w:rsidRPr="00981405">
        <w:t>While</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focused</w:t>
      </w:r>
      <w:r w:rsidR="00190923" w:rsidRPr="00981405">
        <w:t xml:space="preserve"> </w:t>
      </w:r>
      <w:r w:rsidRPr="00981405">
        <w:t>its</w:t>
      </w:r>
      <w:r w:rsidR="00190923" w:rsidRPr="00981405">
        <w:t xml:space="preserve"> </w:t>
      </w:r>
      <w:r w:rsidRPr="00981405">
        <w:t>particular</w:t>
      </w:r>
      <w:r w:rsidR="00190923" w:rsidRPr="00981405">
        <w:t xml:space="preserve"> </w:t>
      </w:r>
      <w:r w:rsidRPr="00981405">
        <w:t>attention</w:t>
      </w:r>
      <w:r w:rsidR="00190923" w:rsidRPr="00981405">
        <w:t xml:space="preserve"> </w:t>
      </w:r>
      <w:r w:rsidRPr="00981405">
        <w:t>on</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it</w:t>
      </w:r>
      <w:r w:rsidR="00190923" w:rsidRPr="00981405">
        <w:t xml:space="preserve"> </w:t>
      </w:r>
      <w:r w:rsidRPr="00981405">
        <w:t>also</w:t>
      </w:r>
      <w:r w:rsidR="00190923" w:rsidRPr="00981405">
        <w:t xml:space="preserve"> </w:t>
      </w:r>
      <w:r w:rsidRPr="00981405">
        <w:t>sought</w:t>
      </w:r>
      <w:r w:rsidR="00190923" w:rsidRPr="00981405">
        <w:t xml:space="preserve"> </w:t>
      </w:r>
      <w:r w:rsidRPr="00981405">
        <w:t>to</w:t>
      </w:r>
      <w:r w:rsidR="00190923" w:rsidRPr="00981405">
        <w:t xml:space="preserve"> </w:t>
      </w:r>
      <w:r w:rsidRPr="00981405">
        <w:t>consider</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a</w:t>
      </w:r>
      <w:r w:rsidR="00190923" w:rsidRPr="00981405">
        <w:t xml:space="preserve"> </w:t>
      </w:r>
      <w:r w:rsidRPr="00981405">
        <w:t>broader</w:t>
      </w:r>
      <w:r w:rsidR="00190923" w:rsidRPr="00981405">
        <w:t xml:space="preserve"> </w:t>
      </w:r>
      <w:r w:rsidRPr="00981405">
        <w:t>context.</w:t>
      </w:r>
      <w:r w:rsidR="00190923" w:rsidRPr="00981405">
        <w:t xml:space="preserve"> </w:t>
      </w:r>
      <w:r w:rsidRPr="00981405">
        <w:t>The</w:t>
      </w:r>
      <w:r w:rsidR="00190923" w:rsidRPr="00981405">
        <w:t xml:space="preserve"> </w:t>
      </w:r>
      <w:r w:rsidRPr="00981405">
        <w:t>conclusions</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are</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paragraphs</w:t>
      </w:r>
      <w:r w:rsidR="00190923" w:rsidRPr="00981405">
        <w:t xml:space="preserve"> </w:t>
      </w:r>
      <w:r w:rsidRPr="00981405">
        <w:t>212-217</w:t>
      </w:r>
      <w:r w:rsidR="00190923" w:rsidRPr="00981405">
        <w:t xml:space="preserve"> </w:t>
      </w:r>
      <w:r w:rsidRPr="00981405">
        <w:t>below.</w:t>
      </w:r>
    </w:p>
    <w:p w:rsidR="00397032" w:rsidRPr="00D97463" w:rsidRDefault="00397032" w:rsidP="00D97463">
      <w:pPr>
        <w:pStyle w:val="SingleTxt"/>
        <w:spacing w:after="0" w:line="120" w:lineRule="exact"/>
        <w:rPr>
          <w:sz w:val="10"/>
        </w:rPr>
      </w:pPr>
      <w:bookmarkStart w:id="183" w:name="_Toc293434139"/>
    </w:p>
    <w:p w:rsidR="00FC3B5B" w:rsidRPr="00D97463" w:rsidRDefault="00FC3B5B" w:rsidP="00D97463">
      <w:pPr>
        <w:pStyle w:val="SingleTxt"/>
        <w:spacing w:after="0" w:line="120" w:lineRule="exact"/>
        <w:rPr>
          <w:sz w:val="10"/>
        </w:rPr>
      </w:pPr>
    </w:p>
    <w:p w:rsidR="00397032" w:rsidRPr="00D97463" w:rsidRDefault="00FC3B5B" w:rsidP="00D97463">
      <w:pPr>
        <w:pStyle w:val="HCh"/>
        <w:ind w:left="1267" w:right="1260" w:hanging="1267"/>
      </w:pPr>
      <w:bookmarkStart w:id="184" w:name="_Toc294353655"/>
      <w:bookmarkStart w:id="185" w:name="_Toc427938164"/>
      <w:r w:rsidRPr="00D97463">
        <w:tab/>
      </w:r>
      <w:r w:rsidRPr="00D97463">
        <w:tab/>
      </w:r>
      <w:r w:rsidR="00397032" w:rsidRPr="00D97463">
        <w:t>Part</w:t>
      </w:r>
      <w:r w:rsidR="00190923" w:rsidRPr="00D97463">
        <w:t xml:space="preserve"> </w:t>
      </w:r>
      <w:r w:rsidR="00397032" w:rsidRPr="00D97463">
        <w:t>I</w:t>
      </w:r>
      <w:r w:rsidRPr="00D97463">
        <w:br/>
      </w:r>
      <w:r w:rsidR="00397032" w:rsidRPr="00D97463">
        <w:t>Background</w:t>
      </w:r>
      <w:bookmarkEnd w:id="183"/>
      <w:bookmarkEnd w:id="184"/>
      <w:bookmarkEnd w:id="185"/>
    </w:p>
    <w:p w:rsidR="00397032" w:rsidRPr="00D97463" w:rsidRDefault="00397032" w:rsidP="00D97463">
      <w:pPr>
        <w:pStyle w:val="SingleTxt"/>
        <w:spacing w:after="0" w:line="120" w:lineRule="exact"/>
        <w:rPr>
          <w:sz w:val="10"/>
        </w:rPr>
      </w:pPr>
    </w:p>
    <w:p w:rsidR="00FC3B5B" w:rsidRPr="00D97463" w:rsidRDefault="00FC3B5B" w:rsidP="00D97463">
      <w:pPr>
        <w:pStyle w:val="SingleTxt"/>
        <w:spacing w:after="0" w:line="120" w:lineRule="exact"/>
        <w:rPr>
          <w:sz w:val="10"/>
        </w:rPr>
      </w:pPr>
    </w:p>
    <w:p w:rsidR="00397032" w:rsidRPr="00981405" w:rsidRDefault="00397032" w:rsidP="00D97463">
      <w:pPr>
        <w:pStyle w:val="SingleTxt"/>
      </w:pPr>
      <w:bookmarkStart w:id="186" w:name="_Toc413066802"/>
      <w:r w:rsidRPr="00981405">
        <w:t>3.</w:t>
      </w:r>
      <w:r w:rsidRPr="00981405">
        <w:tab/>
      </w:r>
      <w:bookmarkEnd w:id="186"/>
      <w:r w:rsidRPr="00981405">
        <w:t>This</w:t>
      </w:r>
      <w:r w:rsidR="00190923" w:rsidRPr="00981405">
        <w:t xml:space="preserve"> </w:t>
      </w:r>
      <w:r w:rsidRPr="00981405">
        <w:t>Part</w:t>
      </w:r>
      <w:r w:rsidR="00190923" w:rsidRPr="00981405">
        <w:t xml:space="preserve"> </w:t>
      </w:r>
      <w:r w:rsidRPr="00981405">
        <w:t>sets</w:t>
      </w:r>
      <w:r w:rsidR="00190923" w:rsidRPr="00981405">
        <w:t xml:space="preserve"> </w:t>
      </w:r>
      <w:r w:rsidRPr="00981405">
        <w:t>out</w:t>
      </w:r>
      <w:r w:rsidR="00190923" w:rsidRPr="00981405">
        <w:t xml:space="preserve"> </w:t>
      </w:r>
      <w:r w:rsidRPr="00981405">
        <w:t>the</w:t>
      </w:r>
      <w:r w:rsidR="00190923" w:rsidRPr="00981405">
        <w:t xml:space="preserve"> </w:t>
      </w:r>
      <w:r w:rsidRPr="00981405">
        <w:t>background</w:t>
      </w:r>
      <w:r w:rsidR="00190923" w:rsidRPr="00981405">
        <w:t xml:space="preserve"> </w:t>
      </w:r>
      <w:r w:rsidRPr="00981405">
        <w:t>to</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B92E2C" w:rsidRPr="00981405">
        <w:t>’</w:t>
      </w:r>
      <w:r w:rsidRPr="00981405">
        <w:t>s</w:t>
      </w:r>
      <w:r w:rsidR="00190923" w:rsidRPr="00981405">
        <w:t xml:space="preserve"> </w:t>
      </w:r>
      <w:r w:rsidRPr="00981405">
        <w:t>work</w:t>
      </w:r>
      <w:r w:rsidR="00190923" w:rsidRPr="00981405">
        <w:t xml:space="preserve"> </w:t>
      </w:r>
      <w:r w:rsidRPr="00981405">
        <w:t>and</w:t>
      </w:r>
      <w:r w:rsidR="00190923" w:rsidRPr="00981405">
        <w:t xml:space="preserve"> </w:t>
      </w:r>
      <w:r w:rsidRPr="00981405">
        <w:t>describes</w:t>
      </w:r>
      <w:r w:rsidR="00190923" w:rsidRPr="00981405">
        <w:t xml:space="preserve"> </w:t>
      </w:r>
      <w:r w:rsidRPr="00981405">
        <w:t>the</w:t>
      </w:r>
      <w:r w:rsidR="00190923" w:rsidRPr="00981405">
        <w:t xml:space="preserve"> </w:t>
      </w:r>
      <w:r w:rsidRPr="00981405">
        <w:t>previous</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on</w:t>
      </w:r>
      <w:r w:rsidR="00190923" w:rsidRPr="00981405">
        <w:t xml:space="preserve"> </w:t>
      </w:r>
      <w:r w:rsidRPr="00981405">
        <w:t>MFN</w:t>
      </w:r>
      <w:r w:rsidR="00190923" w:rsidRPr="00981405">
        <w:t xml:space="preserve"> </w:t>
      </w:r>
      <w:r w:rsidRPr="00981405">
        <w:t>clauses.</w:t>
      </w:r>
      <w:r w:rsidR="00190923" w:rsidRPr="00981405">
        <w:t xml:space="preserve"> </w:t>
      </w:r>
      <w:r w:rsidRPr="00981405">
        <w:t>It</w:t>
      </w:r>
      <w:r w:rsidR="00190923" w:rsidRPr="00981405">
        <w:t xml:space="preserve"> </w:t>
      </w:r>
      <w:r w:rsidRPr="00981405">
        <w:t>then</w:t>
      </w:r>
      <w:r w:rsidR="00190923" w:rsidRPr="00981405">
        <w:t xml:space="preserve"> </w:t>
      </w:r>
      <w:r w:rsidRPr="00981405">
        <w:t>considers</w:t>
      </w:r>
      <w:r w:rsidR="00190923" w:rsidRPr="00981405">
        <w:t xml:space="preserve"> </w:t>
      </w:r>
      <w:r w:rsidRPr="00981405">
        <w:t>developments</w:t>
      </w:r>
      <w:r w:rsidR="00190923" w:rsidRPr="00981405">
        <w:t xml:space="preserve"> </w:t>
      </w:r>
      <w:r w:rsidRPr="00981405">
        <w:t>in</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since</w:t>
      </w:r>
      <w:r w:rsidR="00190923" w:rsidRPr="00981405">
        <w:t xml:space="preserve"> </w:t>
      </w:r>
      <w:r w:rsidRPr="00981405">
        <w:t>1978.</w:t>
      </w:r>
    </w:p>
    <w:p w:rsidR="00397032" w:rsidRPr="00D97463" w:rsidRDefault="00397032" w:rsidP="00D97463">
      <w:pPr>
        <w:pStyle w:val="SingleTxt"/>
        <w:spacing w:after="0" w:line="120" w:lineRule="exact"/>
        <w:rPr>
          <w:sz w:val="10"/>
        </w:rPr>
      </w:pPr>
    </w:p>
    <w:p w:rsidR="00FC3B5B" w:rsidRPr="00D97463" w:rsidRDefault="00FC3B5B" w:rsidP="00D97463">
      <w:pPr>
        <w:pStyle w:val="SingleTxt"/>
        <w:spacing w:after="0" w:line="120" w:lineRule="exact"/>
        <w:rPr>
          <w:sz w:val="10"/>
        </w:rPr>
      </w:pPr>
    </w:p>
    <w:p w:rsidR="00397032" w:rsidRPr="00D97463" w:rsidRDefault="00397032" w:rsidP="00D97463">
      <w:pPr>
        <w:pStyle w:val="H1"/>
        <w:ind w:right="1260"/>
      </w:pPr>
      <w:bookmarkStart w:id="187" w:name="_Toc293434140"/>
      <w:bookmarkStart w:id="188" w:name="_Toc294353656"/>
      <w:r w:rsidRPr="00D97463">
        <w:tab/>
        <w:t>A.</w:t>
      </w:r>
      <w:r w:rsidRPr="00D97463">
        <w:tab/>
        <w:t>Genesis</w:t>
      </w:r>
      <w:r w:rsidR="00190923" w:rsidRPr="00D97463">
        <w:t xml:space="preserve"> </w:t>
      </w:r>
      <w:r w:rsidRPr="00D97463">
        <w:t>and</w:t>
      </w:r>
      <w:r w:rsidR="00190923" w:rsidRPr="00D97463">
        <w:t xml:space="preserve"> </w:t>
      </w:r>
      <w:r w:rsidRPr="00D97463">
        <w:t>purpose</w:t>
      </w:r>
      <w:r w:rsidR="00190923" w:rsidRPr="00D97463">
        <w:t xml:space="preserve"> </w:t>
      </w:r>
      <w:r w:rsidRPr="00D97463">
        <w:t>of</w:t>
      </w:r>
      <w:r w:rsidR="00190923" w:rsidRPr="00D97463">
        <w:t xml:space="preserve"> </w:t>
      </w:r>
      <w:r w:rsidRPr="00D97463">
        <w:t>the</w:t>
      </w:r>
      <w:r w:rsidR="00190923" w:rsidRPr="00D97463">
        <w:t xml:space="preserve"> </w:t>
      </w:r>
      <w:r w:rsidRPr="00D97463">
        <w:t>Study</w:t>
      </w:r>
      <w:r w:rsidR="00190923" w:rsidRPr="00D97463">
        <w:t xml:space="preserve"> </w:t>
      </w:r>
      <w:r w:rsidRPr="00D97463">
        <w:t>Group</w:t>
      </w:r>
      <w:r w:rsidR="00B92E2C" w:rsidRPr="00D97463">
        <w:t>’</w:t>
      </w:r>
      <w:r w:rsidRPr="00D97463">
        <w:t>s</w:t>
      </w:r>
      <w:r w:rsidR="00190923" w:rsidRPr="00D97463">
        <w:t xml:space="preserve"> </w:t>
      </w:r>
      <w:r w:rsidRPr="00D97463">
        <w:t>work</w:t>
      </w:r>
      <w:bookmarkEnd w:id="187"/>
      <w:bookmarkEnd w:id="188"/>
    </w:p>
    <w:p w:rsidR="00FC3B5B" w:rsidRPr="00D97463" w:rsidRDefault="00FC3B5B" w:rsidP="00D97463">
      <w:pPr>
        <w:pStyle w:val="SingleTxt"/>
        <w:spacing w:after="0" w:line="120" w:lineRule="exact"/>
        <w:rPr>
          <w:sz w:val="10"/>
        </w:rPr>
      </w:pPr>
    </w:p>
    <w:p w:rsidR="00FC3B5B" w:rsidRPr="00D97463" w:rsidRDefault="00FC3B5B" w:rsidP="00D97463">
      <w:pPr>
        <w:pStyle w:val="SingleTxt"/>
        <w:spacing w:after="0" w:line="120" w:lineRule="exact"/>
        <w:rPr>
          <w:sz w:val="10"/>
        </w:rPr>
      </w:pPr>
    </w:p>
    <w:p w:rsidR="00397032" w:rsidRPr="00981405" w:rsidRDefault="00397032" w:rsidP="00D97463">
      <w:pPr>
        <w:pStyle w:val="SingleTxt"/>
      </w:pPr>
      <w:r w:rsidRPr="00981405">
        <w:t>4.</w:t>
      </w:r>
      <w:r w:rsidRPr="00981405">
        <w:tab/>
        <w:t>In</w:t>
      </w:r>
      <w:r w:rsidR="00190923" w:rsidRPr="00981405">
        <w:t xml:space="preserve"> </w:t>
      </w:r>
      <w:r w:rsidRPr="00981405">
        <w:t>1978,</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adopted</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on</w:t>
      </w:r>
      <w:r w:rsidR="00190923" w:rsidRPr="00981405">
        <w:t xml:space="preserve"> </w:t>
      </w:r>
      <w:r w:rsidRPr="00981405">
        <w:t>the</w:t>
      </w:r>
      <w:r w:rsidR="00190923" w:rsidRPr="00981405">
        <w:t xml:space="preserve"> </w:t>
      </w:r>
      <w:r w:rsidRPr="00981405">
        <w:t>topic</w:t>
      </w:r>
      <w:r w:rsidR="00190923" w:rsidRPr="00981405">
        <w:t xml:space="preserve"> </w:t>
      </w:r>
      <w:r w:rsidRPr="00981405">
        <w:t>of</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(MFN)</w:t>
      </w:r>
      <w:r w:rsidR="00190923" w:rsidRPr="00981405">
        <w:t xml:space="preserve"> </w:t>
      </w:r>
      <w:r w:rsidRPr="00981405">
        <w:t>clause.</w:t>
      </w:r>
      <w:r w:rsidRPr="00981405">
        <w:rPr>
          <w:rStyle w:val="FootnoteReference"/>
        </w:rPr>
        <w:footnoteReference w:id="415"/>
      </w:r>
      <w:r w:rsidR="00190923" w:rsidRPr="00981405">
        <w:t xml:space="preserve"> </w:t>
      </w:r>
      <w:r w:rsidRPr="00981405">
        <w:t>No</w:t>
      </w:r>
      <w:r w:rsidR="00190923" w:rsidRPr="00981405">
        <w:t xml:space="preserve"> </w:t>
      </w:r>
      <w:r w:rsidRPr="00981405">
        <w:t>action</w:t>
      </w:r>
      <w:r w:rsidR="00190923" w:rsidRPr="00981405">
        <w:t xml:space="preserve"> </w:t>
      </w:r>
      <w:r w:rsidRPr="00981405">
        <w:t>was</w:t>
      </w:r>
      <w:r w:rsidR="00190923" w:rsidRPr="00981405">
        <w:t xml:space="preserve"> </w:t>
      </w:r>
      <w:r w:rsidRPr="00981405">
        <w:t>taken</w:t>
      </w:r>
      <w:r w:rsidR="00190923" w:rsidRPr="00981405">
        <w:t xml:space="preserve"> </w:t>
      </w:r>
      <w:r w:rsidRPr="00981405">
        <w:t>by</w:t>
      </w:r>
      <w:r w:rsidR="00190923" w:rsidRPr="00981405">
        <w:t xml:space="preserve"> </w:t>
      </w:r>
      <w:r w:rsidRPr="00981405">
        <w:t>the</w:t>
      </w:r>
      <w:r w:rsidR="00190923" w:rsidRPr="00981405">
        <w:t xml:space="preserve"> </w:t>
      </w:r>
      <w:r w:rsidRPr="00981405">
        <w:t>General</w:t>
      </w:r>
      <w:r w:rsidR="00190923" w:rsidRPr="00981405">
        <w:t xml:space="preserve"> </w:t>
      </w:r>
      <w:r w:rsidRPr="00981405">
        <w:t>Assembly</w:t>
      </w:r>
      <w:r w:rsidR="00190923" w:rsidRPr="00981405">
        <w:t xml:space="preserve"> </w:t>
      </w:r>
      <w:r w:rsidRPr="00981405">
        <w:t>to</w:t>
      </w:r>
      <w:r w:rsidR="00190923" w:rsidRPr="00981405">
        <w:t xml:space="preserve"> </w:t>
      </w:r>
      <w:r w:rsidRPr="00981405">
        <w:t>convene</w:t>
      </w:r>
      <w:r w:rsidR="00190923" w:rsidRPr="00981405">
        <w:t xml:space="preserve"> </w:t>
      </w:r>
      <w:r w:rsidRPr="00981405">
        <w:t>a</w:t>
      </w:r>
      <w:r w:rsidR="00190923" w:rsidRPr="00981405">
        <w:t xml:space="preserve"> </w:t>
      </w:r>
      <w:r w:rsidRPr="00981405">
        <w:t>conference</w:t>
      </w:r>
      <w:r w:rsidR="00190923" w:rsidRPr="00981405">
        <w:t xml:space="preserve"> </w:t>
      </w:r>
      <w:r w:rsidRPr="00981405">
        <w:t>to</w:t>
      </w:r>
      <w:r w:rsidR="00190923" w:rsidRPr="00981405">
        <w:t xml:space="preserve"> </w:t>
      </w:r>
      <w:r w:rsidRPr="00981405">
        <w:t>turn</w:t>
      </w:r>
      <w:r w:rsidR="00190923" w:rsidRPr="00981405">
        <w:t xml:space="preserve"> </w:t>
      </w:r>
      <w:r w:rsidRPr="00981405">
        <w:t>these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into</w:t>
      </w:r>
      <w:r w:rsidR="00190923" w:rsidRPr="00981405">
        <w:t xml:space="preserve"> </w:t>
      </w:r>
      <w:r w:rsidRPr="00981405">
        <w:t>a</w:t>
      </w:r>
      <w:r w:rsidR="00190923" w:rsidRPr="00981405">
        <w:t xml:space="preserve"> </w:t>
      </w:r>
      <w:r w:rsidRPr="00981405">
        <w:t>convention.</w:t>
      </w:r>
      <w:r w:rsidR="00190923" w:rsidRPr="00981405">
        <w:t xml:space="preserve"> </w:t>
      </w:r>
      <w:r w:rsidRPr="00981405">
        <w:t>In</w:t>
      </w:r>
      <w:r w:rsidR="00190923" w:rsidRPr="00981405">
        <w:t xml:space="preserve"> </w:t>
      </w:r>
      <w:r w:rsidRPr="00981405">
        <w:t>2006,</w:t>
      </w:r>
      <w:r w:rsidR="00190923" w:rsidRPr="00981405">
        <w:t xml:space="preserve"> </w:t>
      </w:r>
      <w:r w:rsidRPr="00981405">
        <w:t>at</w:t>
      </w:r>
      <w:r w:rsidR="00190923" w:rsidRPr="00981405">
        <w:t xml:space="preserve"> </w:t>
      </w:r>
      <w:r w:rsidRPr="00981405">
        <w:t>the</w:t>
      </w:r>
      <w:r w:rsidR="00190923" w:rsidRPr="00981405">
        <w:t xml:space="preserve"> </w:t>
      </w:r>
      <w:r w:rsidRPr="00981405">
        <w:t>fifty-eighth</w:t>
      </w:r>
      <w:r w:rsidR="00190923" w:rsidRPr="00981405">
        <w:t xml:space="preserve"> </w:t>
      </w:r>
      <w:r w:rsidRPr="00981405">
        <w:t>session</w:t>
      </w:r>
      <w:r w:rsidR="00190923" w:rsidRPr="00981405">
        <w:t xml:space="preserve"> </w:t>
      </w:r>
      <w:r w:rsidRPr="00981405">
        <w:t>of</w:t>
      </w:r>
      <w:r w:rsidR="00190923" w:rsidRPr="00981405">
        <w:t xml:space="preserve"> </w:t>
      </w:r>
      <w:r w:rsidRPr="00981405">
        <w:t>the</w:t>
      </w:r>
      <w:r w:rsidR="00190923" w:rsidRPr="00981405">
        <w:t xml:space="preserve"> </w:t>
      </w:r>
      <w:r w:rsidRPr="00981405">
        <w:t>ILC,</w:t>
      </w:r>
      <w:r w:rsidR="00190923" w:rsidRPr="00981405">
        <w:t xml:space="preserve"> </w:t>
      </w:r>
      <w:r w:rsidRPr="00981405">
        <w:t>the</w:t>
      </w:r>
      <w:r w:rsidR="00190923" w:rsidRPr="00981405">
        <w:t xml:space="preserve"> </w:t>
      </w:r>
      <w:r w:rsidRPr="00981405">
        <w:t>Working</w:t>
      </w:r>
      <w:r w:rsidR="00190923" w:rsidRPr="00981405">
        <w:t xml:space="preserve"> </w:t>
      </w:r>
      <w:r w:rsidRPr="00981405">
        <w:t>Group</w:t>
      </w:r>
      <w:r w:rsidR="00190923" w:rsidRPr="00981405">
        <w:t xml:space="preserve"> </w:t>
      </w:r>
      <w:r w:rsidRPr="00981405">
        <w:t>on</w:t>
      </w:r>
      <w:r w:rsidR="00190923" w:rsidRPr="00981405">
        <w:t xml:space="preserve"> </w:t>
      </w:r>
      <w:r w:rsidRPr="00981405">
        <w:t>the</w:t>
      </w:r>
      <w:r w:rsidR="00190923" w:rsidRPr="00981405">
        <w:t xml:space="preserve"> </w:t>
      </w:r>
      <w:r w:rsidRPr="00981405">
        <w:t>Long-Term</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discussed</w:t>
      </w:r>
      <w:r w:rsidR="00190923" w:rsidRPr="00981405">
        <w:t xml:space="preserve"> </w:t>
      </w:r>
      <w:r w:rsidRPr="00981405">
        <w:t>whether</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should</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again.</w:t>
      </w:r>
      <w:r w:rsidR="00190923" w:rsidRPr="00981405">
        <w:t xml:space="preserve"> </w:t>
      </w:r>
      <w:r w:rsidRPr="00981405">
        <w:t>The</w:t>
      </w:r>
      <w:r w:rsidR="00190923" w:rsidRPr="00981405">
        <w:t xml:space="preserve"> </w:t>
      </w:r>
      <w:r w:rsidRPr="00981405">
        <w:t>matter</w:t>
      </w:r>
      <w:r w:rsidR="00190923" w:rsidRPr="00981405">
        <w:t xml:space="preserve"> </w:t>
      </w:r>
      <w:r w:rsidRPr="00981405">
        <w:t>was</w:t>
      </w:r>
      <w:r w:rsidR="00190923" w:rsidRPr="00981405">
        <w:t xml:space="preserve"> </w:t>
      </w:r>
      <w:r w:rsidRPr="00981405">
        <w:t>considered</w:t>
      </w:r>
      <w:r w:rsidR="00190923" w:rsidRPr="00981405">
        <w:t xml:space="preserve"> </w:t>
      </w:r>
      <w:r w:rsidRPr="00981405">
        <w:t>by</w:t>
      </w:r>
      <w:r w:rsidR="00190923" w:rsidRPr="00981405">
        <w:t xml:space="preserve"> </w:t>
      </w:r>
      <w:r w:rsidRPr="00981405">
        <w:t>an</w:t>
      </w:r>
      <w:r w:rsidR="00190923" w:rsidRPr="00981405">
        <w:t xml:space="preserve"> </w:t>
      </w:r>
      <w:r w:rsidRPr="00981405">
        <w:t>informal</w:t>
      </w:r>
      <w:r w:rsidR="00190923" w:rsidRPr="00981405">
        <w:t xml:space="preserve"> </w:t>
      </w:r>
      <w:r w:rsidRPr="00981405">
        <w:t>working</w:t>
      </w:r>
      <w:r w:rsidR="00190923" w:rsidRPr="00981405">
        <w:t xml:space="preserve"> </w:t>
      </w:r>
      <w:r w:rsidRPr="00981405">
        <w:t>group</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its</w:t>
      </w:r>
      <w:r w:rsidR="00190923" w:rsidRPr="00981405">
        <w:t xml:space="preserve"> </w:t>
      </w:r>
      <w:r w:rsidRPr="00981405">
        <w:t>fifty-ninth</w:t>
      </w:r>
      <w:r w:rsidR="00190923" w:rsidRPr="00981405">
        <w:t xml:space="preserve"> </w:t>
      </w:r>
      <w:r w:rsidRPr="00981405">
        <w:t>session</w:t>
      </w:r>
      <w:r w:rsidR="00190923" w:rsidRPr="00981405">
        <w:t xml:space="preserve"> </w:t>
      </w:r>
      <w:r w:rsidRPr="00981405">
        <w:t>(2007),</w:t>
      </w:r>
      <w:r w:rsidR="00190923" w:rsidRPr="00981405">
        <w:t xml:space="preserve"> </w:t>
      </w:r>
      <w:r w:rsidRPr="00981405">
        <w:t>and</w:t>
      </w:r>
      <w:r w:rsidR="00190923" w:rsidRPr="00981405">
        <w:t xml:space="preserve"> </w:t>
      </w:r>
      <w:r w:rsidRPr="00981405">
        <w:t>at</w:t>
      </w:r>
      <w:r w:rsidR="00190923" w:rsidRPr="00981405">
        <w:t xml:space="preserve"> </w:t>
      </w:r>
      <w:r w:rsidRPr="00981405">
        <w:t>its</w:t>
      </w:r>
      <w:r w:rsidR="00190923" w:rsidRPr="00981405">
        <w:t xml:space="preserve"> </w:t>
      </w:r>
      <w:r w:rsidRPr="00981405">
        <w:t>sixtieth</w:t>
      </w:r>
      <w:r w:rsidR="00190923" w:rsidRPr="00981405">
        <w:t xml:space="preserve"> </w:t>
      </w:r>
      <w:r w:rsidRPr="00981405">
        <w:t>session</w:t>
      </w:r>
      <w:r w:rsidR="00190923" w:rsidRPr="00981405">
        <w:t xml:space="preserve"> </w:t>
      </w:r>
      <w:r w:rsidRPr="00981405">
        <w:t>(2008)</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Pr="00981405">
        <w:t>of</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clause</w:t>
      </w:r>
      <w:r w:rsidR="00190923" w:rsidRPr="00981405">
        <w:t xml:space="preserve"> </w:t>
      </w:r>
      <w:r w:rsidRPr="00981405">
        <w:t>on</w:t>
      </w:r>
      <w:r w:rsidR="00190923" w:rsidRPr="00981405">
        <w:t xml:space="preserve"> </w:t>
      </w:r>
      <w:r w:rsidRPr="00981405">
        <w:t>the</w:t>
      </w:r>
      <w:r w:rsidR="00190923" w:rsidRPr="00981405">
        <w:t xml:space="preserve"> </w:t>
      </w:r>
      <w:r w:rsidRPr="00981405">
        <w:t>long-term</w:t>
      </w:r>
      <w:r w:rsidR="00190923" w:rsidRPr="00981405">
        <w:t xml:space="preserve"> </w:t>
      </w:r>
      <w:r w:rsidRPr="00981405">
        <w:t>work</w:t>
      </w:r>
      <w:r w:rsidR="00190923" w:rsidRPr="00981405">
        <w:t xml:space="preserve"> </w:t>
      </w:r>
      <w:r w:rsidRPr="00981405">
        <w:t>programme.</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session,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its</w:t>
      </w:r>
      <w:r w:rsidR="00190923" w:rsidRPr="00981405">
        <w:t xml:space="preserve"> </w:t>
      </w:r>
      <w:r w:rsidRPr="00981405">
        <w:t>current</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and</w:t>
      </w:r>
      <w:r w:rsidR="00190923" w:rsidRPr="00981405">
        <w:t xml:space="preserve"> </w:t>
      </w:r>
      <w:r w:rsidRPr="00981405">
        <w:t>to</w:t>
      </w:r>
      <w:r w:rsidR="00190923" w:rsidRPr="00981405">
        <w:t xml:space="preserve"> </w:t>
      </w:r>
      <w:r w:rsidRPr="00981405">
        <w:t>establish</w:t>
      </w:r>
      <w:r w:rsidR="00190923" w:rsidRPr="00981405">
        <w:t xml:space="preserve"> </w:t>
      </w:r>
      <w:r w:rsidRPr="00981405">
        <w:t>a</w:t>
      </w:r>
      <w:r w:rsidR="00190923" w:rsidRPr="00981405">
        <w:t xml:space="preserve"> </w:t>
      </w:r>
      <w:r w:rsidRPr="00981405">
        <w:t>study</w:t>
      </w:r>
      <w:r w:rsidR="00190923" w:rsidRPr="00981405">
        <w:t xml:space="preserve"> </w:t>
      </w:r>
      <w:r w:rsidRPr="00981405">
        <w:t>group</w:t>
      </w:r>
      <w:r w:rsidR="00190923" w:rsidRPr="00981405">
        <w:t xml:space="preserve"> </w:t>
      </w:r>
      <w:r w:rsidRPr="00981405">
        <w:t>at</w:t>
      </w:r>
      <w:r w:rsidR="00190923" w:rsidRPr="00981405">
        <w:t xml:space="preserve"> </w:t>
      </w:r>
      <w:r w:rsidRPr="00981405">
        <w:t>its</w:t>
      </w:r>
      <w:r w:rsidR="00190923" w:rsidRPr="00981405">
        <w:t xml:space="preserve"> </w:t>
      </w:r>
      <w:r w:rsidRPr="00981405">
        <w:t>sixty-first</w:t>
      </w:r>
      <w:r w:rsidR="00190923" w:rsidRPr="00981405">
        <w:t xml:space="preserve"> </w:t>
      </w:r>
      <w:r w:rsidRPr="00981405">
        <w:t>session,</w:t>
      </w:r>
      <w:r w:rsidR="00190923" w:rsidRPr="00981405">
        <w:t xml:space="preserve"> </w:t>
      </w:r>
      <w:r w:rsidRPr="00981405">
        <w:t>which</w:t>
      </w:r>
      <w:r w:rsidR="00190923" w:rsidRPr="00981405">
        <w:t xml:space="preserve"> </w:t>
      </w:r>
      <w:r w:rsidRPr="00981405">
        <w:t>was</w:t>
      </w:r>
      <w:r w:rsidR="00190923" w:rsidRPr="00981405">
        <w:t xml:space="preserve"> </w:t>
      </w:r>
      <w:r w:rsidRPr="00981405">
        <w:t>co-chaired</w:t>
      </w:r>
      <w:r w:rsidR="00190923" w:rsidRPr="00981405">
        <w:t xml:space="preserve"> </w:t>
      </w:r>
      <w:r w:rsidRPr="00981405">
        <w:t>by</w:t>
      </w:r>
      <w:r w:rsidR="00190923" w:rsidRPr="00981405">
        <w:t xml:space="preserve"> </w:t>
      </w:r>
      <w:r w:rsidRPr="00981405">
        <w:t>Mr.</w:t>
      </w:r>
      <w:r w:rsidR="00190923" w:rsidRPr="00981405">
        <w:t xml:space="preserve"> </w:t>
      </w:r>
      <w:r w:rsidRPr="00981405">
        <w:t>Donald</w:t>
      </w:r>
      <w:r w:rsidR="00190923" w:rsidRPr="00981405">
        <w:t xml:space="preserve"> </w:t>
      </w:r>
      <w:r w:rsidRPr="00981405">
        <w:t>McRae</w:t>
      </w:r>
      <w:r w:rsidR="00190923" w:rsidRPr="00981405">
        <w:t xml:space="preserve"> </w:t>
      </w:r>
      <w:r w:rsidRPr="00981405">
        <w:t>and</w:t>
      </w:r>
      <w:r w:rsidR="00190923" w:rsidRPr="00981405">
        <w:t xml:space="preserve"> </w:t>
      </w:r>
      <w:r w:rsidRPr="00981405">
        <w:t>Mr.</w:t>
      </w:r>
      <w:r w:rsidR="00190923" w:rsidRPr="00981405">
        <w:t xml:space="preserve"> </w:t>
      </w:r>
      <w:r w:rsidRPr="00981405">
        <w:t>Rohan</w:t>
      </w:r>
      <w:r w:rsidR="00190923" w:rsidRPr="00981405">
        <w:t xml:space="preserve"> </w:t>
      </w:r>
      <w:r w:rsidRPr="00981405">
        <w:t>Perera.</w:t>
      </w:r>
      <w:r w:rsidRPr="00981405">
        <w:rPr>
          <w:rStyle w:val="FootnoteReference"/>
        </w:rPr>
        <w:footnoteReference w:id="416"/>
      </w:r>
      <w:r w:rsidR="00190923" w:rsidRPr="00981405">
        <w:t xml:space="preserve"> </w:t>
      </w:r>
      <w:r w:rsidRPr="00981405">
        <w:t>Since</w:t>
      </w:r>
      <w:r w:rsidR="00190923" w:rsidRPr="00981405">
        <w:t xml:space="preserve"> </w:t>
      </w:r>
      <w:r w:rsidRPr="00981405">
        <w:t>2012,</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has</w:t>
      </w:r>
      <w:r w:rsidR="00190923" w:rsidRPr="00981405">
        <w:t xml:space="preserve"> </w:t>
      </w:r>
      <w:r w:rsidRPr="00981405">
        <w:t>been</w:t>
      </w:r>
      <w:r w:rsidR="00190923" w:rsidRPr="00981405">
        <w:t xml:space="preserve"> </w:t>
      </w:r>
      <w:r w:rsidRPr="00981405">
        <w:t>chaired</w:t>
      </w:r>
      <w:r w:rsidR="00190923" w:rsidRPr="00981405">
        <w:t xml:space="preserve"> </w:t>
      </w:r>
      <w:r w:rsidRPr="00981405">
        <w:t>by</w:t>
      </w:r>
      <w:r w:rsidR="00190923" w:rsidRPr="00981405">
        <w:t xml:space="preserve"> </w:t>
      </w:r>
      <w:r w:rsidRPr="00981405">
        <w:t>Mr.</w:t>
      </w:r>
      <w:r w:rsidR="00190923" w:rsidRPr="00981405">
        <w:t xml:space="preserve"> </w:t>
      </w:r>
      <w:r w:rsidRPr="00981405">
        <w:t>McRae</w:t>
      </w:r>
      <w:r w:rsidR="00190923" w:rsidRPr="00981405">
        <w:t xml:space="preserve"> </w:t>
      </w:r>
      <w:r w:rsidRPr="00981405">
        <w:t>and,</w:t>
      </w:r>
      <w:r w:rsidR="00190923" w:rsidRPr="00981405">
        <w:t xml:space="preserve"> </w:t>
      </w:r>
      <w:r w:rsidRPr="00981405">
        <w:t>in</w:t>
      </w:r>
      <w:r w:rsidR="00190923" w:rsidRPr="00981405">
        <w:t xml:space="preserve"> </w:t>
      </w:r>
      <w:r w:rsidRPr="00981405">
        <w:t>his</w:t>
      </w:r>
      <w:r w:rsidR="00190923" w:rsidRPr="00981405">
        <w:t xml:space="preserve"> </w:t>
      </w:r>
      <w:r w:rsidRPr="00981405">
        <w:t>absence,</w:t>
      </w:r>
      <w:r w:rsidR="00190923" w:rsidRPr="00981405">
        <w:t xml:space="preserve"> </w:t>
      </w:r>
      <w:r w:rsidRPr="00981405">
        <w:t>by</w:t>
      </w:r>
      <w:r w:rsidR="00190923" w:rsidRPr="00981405">
        <w:t xml:space="preserve"> </w:t>
      </w:r>
      <w:r w:rsidRPr="00981405">
        <w:t>Mr.</w:t>
      </w:r>
      <w:r w:rsidR="00190923" w:rsidRPr="00981405">
        <w:t xml:space="preserve"> </w:t>
      </w:r>
      <w:r w:rsidRPr="00981405">
        <w:t>Mathias</w:t>
      </w:r>
      <w:r w:rsidR="00190923" w:rsidRPr="00981405">
        <w:t xml:space="preserve"> </w:t>
      </w:r>
      <w:r w:rsidRPr="00981405">
        <w:t>Forteau.</w:t>
      </w:r>
    </w:p>
    <w:p w:rsidR="00397032" w:rsidRPr="00981405" w:rsidRDefault="00397032" w:rsidP="00D97463">
      <w:pPr>
        <w:pStyle w:val="SingleTxt"/>
      </w:pPr>
      <w:r w:rsidRPr="00981405">
        <w:lastRenderedPageBreak/>
        <w:t>5.</w:t>
      </w:r>
      <w:r w:rsidRPr="00981405">
        <w:tab/>
        <w:t>In</w:t>
      </w:r>
      <w:r w:rsidR="00190923" w:rsidRPr="00981405">
        <w:t xml:space="preserve"> </w:t>
      </w:r>
      <w:r w:rsidRPr="00981405">
        <w:t>deciding</w:t>
      </w:r>
      <w:r w:rsidR="00190923" w:rsidRPr="00981405">
        <w:t xml:space="preserve"> </w:t>
      </w:r>
      <w:r w:rsidRPr="00981405">
        <w:t>to</w:t>
      </w:r>
      <w:r w:rsidR="00190923" w:rsidRPr="00981405">
        <w:t xml:space="preserve"> </w:t>
      </w:r>
      <w:r w:rsidRPr="00981405">
        <w:t>look</w:t>
      </w:r>
      <w:r w:rsidR="00190923" w:rsidRPr="00981405">
        <w:t xml:space="preserve"> </w:t>
      </w:r>
      <w:r w:rsidRPr="00981405">
        <w:t>again</w:t>
      </w:r>
      <w:r w:rsidR="00190923" w:rsidRPr="00981405">
        <w:t xml:space="preserve"> </w:t>
      </w:r>
      <w:r w:rsidRPr="00981405">
        <w:t>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most-favoured-nation</w:t>
      </w:r>
      <w:r w:rsidR="00190923" w:rsidRPr="00981405">
        <w:t xml:space="preserve"> </w:t>
      </w:r>
      <w:r w:rsidRPr="00981405">
        <w:t>clause,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was</w:t>
      </w:r>
      <w:r w:rsidR="00190923" w:rsidRPr="00981405">
        <w:t xml:space="preserve"> </w:t>
      </w:r>
      <w:r w:rsidRPr="00981405">
        <w:t>influenced</w:t>
      </w:r>
      <w:r w:rsidR="00190923" w:rsidRPr="00981405">
        <w:t xml:space="preserve"> </w:t>
      </w:r>
      <w:r w:rsidRPr="00981405">
        <w:t>by</w:t>
      </w:r>
      <w:r w:rsidR="00190923" w:rsidRPr="00981405">
        <w:t xml:space="preserve"> </w:t>
      </w:r>
      <w:r w:rsidRPr="00981405">
        <w:t>the</w:t>
      </w:r>
      <w:r w:rsidR="00190923" w:rsidRPr="00981405">
        <w:t xml:space="preserve"> </w:t>
      </w:r>
      <w:r w:rsidRPr="00981405">
        <w:t>developments</w:t>
      </w:r>
      <w:r w:rsidR="00190923" w:rsidRPr="00981405">
        <w:t xml:space="preserve"> </w:t>
      </w:r>
      <w:r w:rsidRPr="00981405">
        <w:t>that</w:t>
      </w:r>
      <w:r w:rsidR="00190923" w:rsidRPr="00981405">
        <w:t xml:space="preserve"> </w:t>
      </w:r>
      <w:r w:rsidRPr="00981405">
        <w:t>had</w:t>
      </w:r>
      <w:r w:rsidR="00190923" w:rsidRPr="00981405">
        <w:t xml:space="preserve"> </w:t>
      </w:r>
      <w:r w:rsidRPr="00981405">
        <w:t>taken</w:t>
      </w:r>
      <w:r w:rsidR="00190923" w:rsidRPr="00981405">
        <w:t xml:space="preserve"> </w:t>
      </w:r>
      <w:r w:rsidRPr="00981405">
        <w:t>place</w:t>
      </w:r>
      <w:r w:rsidR="00190923" w:rsidRPr="00981405">
        <w:t xml:space="preserve"> </w:t>
      </w:r>
      <w:r w:rsidRPr="00981405">
        <w:t>since</w:t>
      </w:r>
      <w:r w:rsidR="00190923" w:rsidRPr="00981405">
        <w:t xml:space="preserve"> </w:t>
      </w:r>
      <w:r w:rsidRPr="00981405">
        <w:t>1978,</w:t>
      </w:r>
      <w:r w:rsidR="00190923" w:rsidRPr="00981405">
        <w:t xml:space="preserve"> </w:t>
      </w:r>
      <w:r w:rsidRPr="00981405">
        <w:t>including</w:t>
      </w:r>
      <w:r w:rsidR="00190923" w:rsidRPr="00981405">
        <w:t xml:space="preserve"> </w:t>
      </w:r>
      <w:r w:rsidRPr="00981405">
        <w:t>the</w:t>
      </w:r>
      <w:r w:rsidR="00190923" w:rsidRPr="00981405">
        <w:t xml:space="preserve"> </w:t>
      </w:r>
      <w:r w:rsidRPr="00981405">
        <w:t>expansion</w:t>
      </w:r>
      <w:r w:rsidR="00190923" w:rsidRPr="00981405">
        <w:t xml:space="preserve"> </w:t>
      </w:r>
      <w:r w:rsidRPr="00981405">
        <w:t>of</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WTO,</w:t>
      </w:r>
      <w:r w:rsidR="00190923" w:rsidRPr="00981405">
        <w:t xml:space="preserve"> </w:t>
      </w:r>
      <w:r w:rsidRPr="00981405">
        <w:t>the</w:t>
      </w:r>
      <w:r w:rsidR="00190923" w:rsidRPr="00981405">
        <w:t xml:space="preserve"> </w:t>
      </w:r>
      <w:r w:rsidRPr="00981405">
        <w:t>pervasive</w:t>
      </w:r>
      <w:r w:rsidR="00190923" w:rsidRPr="00981405">
        <w:t xml:space="preserve"> </w:t>
      </w:r>
      <w:r w:rsidRPr="00981405">
        <w:t>inclusion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and</w:t>
      </w:r>
      <w:r w:rsidR="00190923" w:rsidRPr="00981405">
        <w:t xml:space="preserve"> </w:t>
      </w:r>
      <w:r w:rsidRPr="00981405">
        <w:t>investment</w:t>
      </w:r>
      <w:r w:rsidR="00190923" w:rsidRPr="00981405">
        <w:t xml:space="preserve"> </w:t>
      </w:r>
      <w:r w:rsidRPr="00981405">
        <w:t>provisions</w:t>
      </w:r>
      <w:r w:rsidR="00190923" w:rsidRPr="00981405">
        <w:t xml:space="preserve"> </w:t>
      </w:r>
      <w:r w:rsidRPr="00981405">
        <w:t>in</w:t>
      </w:r>
      <w:r w:rsidR="00190923" w:rsidRPr="00981405">
        <w:t xml:space="preserve"> </w:t>
      </w:r>
      <w:r w:rsidRPr="00981405">
        <w:t>regional</w:t>
      </w:r>
      <w:r w:rsidR="00190923" w:rsidRPr="00981405">
        <w:t xml:space="preserve"> </w:t>
      </w:r>
      <w:r w:rsidRPr="00981405">
        <w:t>economic</w:t>
      </w:r>
      <w:r w:rsidR="00190923" w:rsidRPr="00981405">
        <w:t xml:space="preserve"> </w:t>
      </w:r>
      <w:r w:rsidRPr="00981405">
        <w:t>integration</w:t>
      </w:r>
      <w:r w:rsidR="00190923" w:rsidRPr="00981405">
        <w:t xml:space="preserve"> </w:t>
      </w:r>
      <w:r w:rsidRPr="00981405">
        <w:t>arrangements,</w:t>
      </w:r>
      <w:r w:rsidR="00190923" w:rsidRPr="00981405">
        <w:t xml:space="preserve"> </w:t>
      </w:r>
      <w:r w:rsidRPr="00981405">
        <w:t>and</w:t>
      </w:r>
      <w:r w:rsidR="00190923" w:rsidRPr="00981405">
        <w:t xml:space="preserve"> </w:t>
      </w:r>
      <w:r w:rsidRPr="00981405">
        <w:t>the</w:t>
      </w:r>
      <w:r w:rsidR="00190923" w:rsidRPr="00981405">
        <w:t xml:space="preserve"> </w:t>
      </w:r>
      <w:r w:rsidRPr="00981405">
        <w:t>specific</w:t>
      </w:r>
      <w:r w:rsidR="00190923" w:rsidRPr="00981405">
        <w:t xml:space="preserve"> </w:t>
      </w:r>
      <w:r w:rsidRPr="00981405">
        <w:t>difficulties</w:t>
      </w:r>
      <w:r w:rsidR="00190923" w:rsidRPr="00981405">
        <w:t xml:space="preserve"> </w:t>
      </w:r>
      <w:r w:rsidRPr="00981405">
        <w:t>that</w:t>
      </w:r>
      <w:r w:rsidR="00190923" w:rsidRPr="00981405">
        <w:t xml:space="preserve"> </w:t>
      </w:r>
      <w:r w:rsidRPr="00981405">
        <w:t>had</w:t>
      </w:r>
      <w:r w:rsidR="00190923" w:rsidRPr="00981405">
        <w:t xml:space="preserve"> </w:t>
      </w:r>
      <w:r w:rsidRPr="00981405">
        <w:t>arisen</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investment</w:t>
      </w:r>
      <w:r w:rsidR="00190923" w:rsidRPr="00981405">
        <w:t xml:space="preserve"> </w:t>
      </w:r>
      <w:r w:rsidRPr="00981405">
        <w:t>treaties.</w:t>
      </w:r>
    </w:p>
    <w:p w:rsidR="00397032" w:rsidRPr="00981405" w:rsidRDefault="00397032" w:rsidP="00D97463">
      <w:pPr>
        <w:pStyle w:val="SingleTxt"/>
      </w:pPr>
      <w:r w:rsidRPr="00981405">
        <w:t>6.</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held</w:t>
      </w:r>
      <w:r w:rsidR="00190923" w:rsidRPr="00981405">
        <w:t xml:space="preserve"> </w:t>
      </w:r>
      <w:r w:rsidRPr="00981405">
        <w:t>24</w:t>
      </w:r>
      <w:r w:rsidR="00190923" w:rsidRPr="00981405">
        <w:t xml:space="preserve"> </w:t>
      </w:r>
      <w:r w:rsidRPr="00981405">
        <w:t>meetings</w:t>
      </w:r>
      <w:r w:rsidR="00190923" w:rsidRPr="00981405">
        <w:t xml:space="preserve"> </w:t>
      </w:r>
      <w:r w:rsidRPr="00981405">
        <w:t>between</w:t>
      </w:r>
      <w:r w:rsidR="00190923" w:rsidRPr="00981405">
        <w:t xml:space="preserve"> </w:t>
      </w:r>
      <w:r w:rsidRPr="00981405">
        <w:t>2009</w:t>
      </w:r>
      <w:r w:rsidR="00190923" w:rsidRPr="00981405">
        <w:t xml:space="preserve"> </w:t>
      </w:r>
      <w:r w:rsidRPr="00981405">
        <w:t>and</w:t>
      </w:r>
      <w:r w:rsidR="00190923" w:rsidRPr="00981405">
        <w:t xml:space="preserve"> </w:t>
      </w:r>
      <w:r w:rsidRPr="00981405">
        <w:t>2015.</w:t>
      </w:r>
      <w:r w:rsidR="00190923" w:rsidRPr="00981405">
        <w:t xml:space="preserve"> </w:t>
      </w:r>
      <w:r w:rsidRPr="00981405">
        <w:rPr>
          <w:rFonts w:eastAsia="SimSun"/>
        </w:rPr>
        <w:t>The</w:t>
      </w:r>
      <w:r w:rsidR="00190923" w:rsidRPr="00981405">
        <w:rPr>
          <w:rFonts w:eastAsia="SimSun"/>
        </w:rPr>
        <w:t xml:space="preserve"> </w:t>
      </w:r>
      <w:r w:rsidRPr="00981405">
        <w:rPr>
          <w:rFonts w:eastAsia="SimSun"/>
        </w:rPr>
        <w:t>Study</w:t>
      </w:r>
      <w:r w:rsidR="00190923" w:rsidRPr="00981405">
        <w:rPr>
          <w:rFonts w:eastAsia="SimSun"/>
        </w:rPr>
        <w:t xml:space="preserve"> </w:t>
      </w:r>
      <w:r w:rsidRPr="00981405">
        <w:rPr>
          <w:rFonts w:eastAsia="SimSun"/>
        </w:rPr>
        <w:t>Group</w:t>
      </w:r>
      <w:r w:rsidR="00190923" w:rsidRPr="00981405">
        <w:rPr>
          <w:rFonts w:eastAsia="SimSun"/>
        </w:rPr>
        <w:t xml:space="preserve"> </w:t>
      </w:r>
      <w:r w:rsidRPr="00981405">
        <w:rPr>
          <w:rFonts w:eastAsia="SimSun"/>
        </w:rPr>
        <w:t>agreed</w:t>
      </w:r>
      <w:r w:rsidR="00190923" w:rsidRPr="00981405">
        <w:rPr>
          <w:rFonts w:eastAsia="SimSun"/>
        </w:rPr>
        <w:t xml:space="preserve"> </w:t>
      </w:r>
      <w:r w:rsidRPr="00981405">
        <w:rPr>
          <w:rFonts w:eastAsia="SimSun"/>
        </w:rPr>
        <w:t>upon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framework</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would</w:t>
      </w:r>
      <w:r w:rsidR="00190923" w:rsidRPr="00981405">
        <w:rPr>
          <w:rFonts w:eastAsia="SimSun"/>
        </w:rPr>
        <w:t xml:space="preserve"> </w:t>
      </w:r>
      <w:r w:rsidRPr="00981405">
        <w:rPr>
          <w:rFonts w:eastAsia="SimSun"/>
        </w:rPr>
        <w:t>serve</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road</w:t>
      </w:r>
      <w:r w:rsidR="00190923" w:rsidRPr="00981405">
        <w:rPr>
          <w:rFonts w:eastAsia="SimSun"/>
        </w:rPr>
        <w:t xml:space="preserve"> </w:t>
      </w:r>
      <w:r w:rsidRPr="00981405">
        <w:rPr>
          <w:rFonts w:eastAsia="SimSun"/>
        </w:rPr>
        <w:t>map</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work,</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light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issues</w:t>
      </w:r>
      <w:r w:rsidR="00190923" w:rsidRPr="00981405">
        <w:rPr>
          <w:rFonts w:eastAsia="SimSun"/>
        </w:rPr>
        <w:t xml:space="preserve"> </w:t>
      </w:r>
      <w:r w:rsidRPr="00981405">
        <w:t>highlighted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syllabus</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topic.</w:t>
      </w:r>
      <w:r w:rsidRPr="00981405">
        <w:rPr>
          <w:rStyle w:val="FootnoteReference"/>
        </w:rPr>
        <w:footnoteReference w:id="417"/>
      </w:r>
      <w:r w:rsidR="00190923" w:rsidRPr="00981405">
        <w:rPr>
          <w:rFonts w:eastAsia="SimSun"/>
        </w:rPr>
        <w:t xml:space="preserve"> </w:t>
      </w:r>
      <w:r w:rsidRPr="00981405">
        <w:rPr>
          <w:rFonts w:eastAsia="SimSun"/>
        </w:rPr>
        <w:t>Its</w:t>
      </w:r>
      <w:r w:rsidR="00190923" w:rsidRPr="00981405">
        <w:t xml:space="preserve"> </w:t>
      </w:r>
      <w:r w:rsidRPr="00981405">
        <w:t>work</w:t>
      </w:r>
      <w:r w:rsidR="00190923" w:rsidRPr="00981405">
        <w:t xml:space="preserve"> </w:t>
      </w:r>
      <w:r w:rsidRPr="00981405">
        <w:t>proceeded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informal</w:t>
      </w:r>
      <w:r w:rsidR="00190923" w:rsidRPr="00981405">
        <w:t xml:space="preserve"> </w:t>
      </w:r>
      <w:r w:rsidRPr="00981405">
        <w:t>working</w:t>
      </w:r>
      <w:r w:rsidR="00190923" w:rsidRPr="00981405">
        <w:t xml:space="preserve"> </w:t>
      </w:r>
      <w:r w:rsidRPr="00981405">
        <w:t>papers</w:t>
      </w:r>
      <w:r w:rsidR="00190923" w:rsidRPr="00981405">
        <w:t xml:space="preserve"> </w:t>
      </w:r>
      <w:r w:rsidRPr="00981405">
        <w:t>and</w:t>
      </w:r>
      <w:r w:rsidR="00190923" w:rsidRPr="00981405">
        <w:t xml:space="preserve"> </w:t>
      </w:r>
      <w:r w:rsidRPr="00981405">
        <w:t>other</w:t>
      </w:r>
      <w:r w:rsidR="00190923" w:rsidRPr="00981405">
        <w:t xml:space="preserve"> </w:t>
      </w:r>
      <w:r w:rsidRPr="00981405">
        <w:t>informal</w:t>
      </w:r>
      <w:r w:rsidR="00190923" w:rsidRPr="00981405">
        <w:t xml:space="preserve"> </w:t>
      </w:r>
      <w:r w:rsidRPr="00981405">
        <w:t>documents</w:t>
      </w:r>
      <w:r w:rsidR="00190923" w:rsidRPr="00981405">
        <w:t xml:space="preserve"> </w:t>
      </w:r>
      <w:r w:rsidRPr="00981405">
        <w:t>were</w:t>
      </w:r>
      <w:r w:rsidR="00190923" w:rsidRPr="00981405">
        <w:t xml:space="preserve"> </w:t>
      </w:r>
      <w:r w:rsidRPr="00981405">
        <w:t>prepared</w:t>
      </w:r>
      <w:r w:rsidR="00190923" w:rsidRPr="00981405">
        <w:t xml:space="preserve"> </w:t>
      </w:r>
      <w:r w:rsidRPr="00981405">
        <w:t>by</w:t>
      </w:r>
      <w:r w:rsidR="00190923" w:rsidRPr="00981405">
        <w:t xml:space="preserve"> </w:t>
      </w:r>
      <w:r w:rsidRPr="00981405">
        <w:t>members</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assist</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in</w:t>
      </w:r>
      <w:r w:rsidR="00190923" w:rsidRPr="00981405">
        <w:t xml:space="preserve"> </w:t>
      </w:r>
      <w:r w:rsidRPr="00981405">
        <w:t>its</w:t>
      </w:r>
      <w:r w:rsidR="00190923" w:rsidRPr="00981405">
        <w:t xml:space="preserve"> </w:t>
      </w:r>
      <w:r w:rsidRPr="00981405">
        <w:t>work.</w:t>
      </w:r>
      <w:r w:rsidRPr="00981405">
        <w:rPr>
          <w:rStyle w:val="FootnoteReference"/>
        </w:rPr>
        <w:footnoteReference w:id="418"/>
      </w:r>
    </w:p>
    <w:p w:rsidR="00397032" w:rsidRPr="00981405" w:rsidRDefault="00397032" w:rsidP="00D97463">
      <w:pPr>
        <w:pStyle w:val="SingleTxt"/>
      </w:pPr>
      <w:r w:rsidRPr="00981405">
        <w:t>7.</w:t>
      </w:r>
      <w:r w:rsidR="00190923" w:rsidRPr="00981405">
        <w:t xml:space="preserve"> </w:t>
      </w:r>
      <w:r w:rsidR="00FC3B5B" w:rsidRPr="00981405">
        <w:tab/>
      </w:r>
      <w:r w:rsidRPr="00981405">
        <w:t>Throughout</w:t>
      </w:r>
      <w:r w:rsidR="00190923" w:rsidRPr="00981405">
        <w:t xml:space="preserve"> </w:t>
      </w:r>
      <w:r w:rsidRPr="00981405">
        <w:t>its</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received</w:t>
      </w:r>
      <w:r w:rsidR="00190923" w:rsidRPr="00981405">
        <w:t xml:space="preserve"> </w:t>
      </w:r>
      <w:r w:rsidRPr="00981405">
        <w:t>comments</w:t>
      </w:r>
      <w:r w:rsidR="00190923" w:rsidRPr="00981405">
        <w:t xml:space="preserve"> </w:t>
      </w:r>
      <w:r w:rsidRPr="00981405">
        <w:t>from</w:t>
      </w:r>
      <w:r w:rsidR="00190923" w:rsidRPr="00981405">
        <w:t xml:space="preserve"> </w:t>
      </w:r>
      <w:r w:rsidRPr="00981405">
        <w:t>States</w:t>
      </w:r>
      <w:r w:rsidR="00190923" w:rsidRPr="00981405">
        <w:t xml:space="preserve"> </w:t>
      </w:r>
      <w:r w:rsidRPr="00981405">
        <w:t>in</w:t>
      </w:r>
      <w:r w:rsidR="00190923" w:rsidRPr="00981405">
        <w:t xml:space="preserve"> </w:t>
      </w:r>
      <w:r w:rsidRPr="00981405">
        <w:t>the</w:t>
      </w:r>
      <w:r w:rsidR="00190923" w:rsidRPr="00981405">
        <w:t xml:space="preserve"> </w:t>
      </w:r>
      <w:r w:rsidRPr="00981405">
        <w:t>Sixth</w:t>
      </w:r>
      <w:r w:rsidR="00190923" w:rsidRPr="00981405">
        <w:t xml:space="preserve"> </w:t>
      </w:r>
      <w:r w:rsidRPr="00981405">
        <w:t>Committee</w:t>
      </w:r>
      <w:r w:rsidR="00190923" w:rsidRPr="00981405">
        <w:t xml:space="preserve"> </w:t>
      </w:r>
      <w:r w:rsidRPr="00981405">
        <w:t>on</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Although</w:t>
      </w:r>
      <w:r w:rsidR="00190923" w:rsidRPr="00981405">
        <w:t xml:space="preserve"> </w:t>
      </w:r>
      <w:r w:rsidRPr="00981405">
        <w:t>some</w:t>
      </w:r>
      <w:r w:rsidR="00190923" w:rsidRPr="00981405">
        <w:t xml:space="preserve"> </w:t>
      </w:r>
      <w:r w:rsidRPr="00981405">
        <w:t>States</w:t>
      </w:r>
      <w:r w:rsidR="00190923" w:rsidRPr="00981405">
        <w:t xml:space="preserve"> </w:t>
      </w:r>
      <w:r w:rsidRPr="00981405">
        <w:t>showed</w:t>
      </w:r>
      <w:r w:rsidR="00190923" w:rsidRPr="00981405">
        <w:t xml:space="preserve"> </w:t>
      </w:r>
      <w:r w:rsidRPr="00981405">
        <w:t>reluctance</w:t>
      </w:r>
      <w:r w:rsidR="00190923" w:rsidRPr="00981405">
        <w:t xml:space="preserve"> </w:t>
      </w:r>
      <w:r w:rsidRPr="00981405">
        <w:t>over</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Pr="00981405">
        <w:rPr>
          <w:rStyle w:val="FootnoteReference"/>
        </w:rPr>
        <w:footnoteReference w:id="419"/>
      </w:r>
      <w:r w:rsidR="00190923" w:rsidRPr="00981405">
        <w:t xml:space="preserve"> </w:t>
      </w:r>
      <w:r w:rsidRPr="00981405">
        <w:t>the</w:t>
      </w:r>
      <w:r w:rsidR="00190923" w:rsidRPr="00981405">
        <w:t xml:space="preserve"> </w:t>
      </w:r>
      <w:r w:rsidRPr="00981405">
        <w:t>general</w:t>
      </w:r>
      <w:r w:rsidR="00190923" w:rsidRPr="00981405">
        <w:t xml:space="preserve"> </w:t>
      </w:r>
      <w:r w:rsidRPr="00981405">
        <w:t>view</w:t>
      </w:r>
      <w:r w:rsidR="00190923" w:rsidRPr="00981405">
        <w:t xml:space="preserve"> </w:t>
      </w:r>
      <w:r w:rsidRPr="00981405">
        <w:t>was</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could</w:t>
      </w:r>
      <w:r w:rsidR="00190923" w:rsidRPr="00981405">
        <w:t xml:space="preserve"> </w:t>
      </w:r>
      <w:r w:rsidRPr="00981405">
        <w:t>make</w:t>
      </w:r>
      <w:r w:rsidR="00190923" w:rsidRPr="00981405">
        <w:t xml:space="preserve"> </w:t>
      </w:r>
      <w:r w:rsidRPr="00981405">
        <w:t>a</w:t>
      </w:r>
      <w:r w:rsidR="00190923" w:rsidRPr="00981405">
        <w:t xml:space="preserve"> </w:t>
      </w:r>
      <w:r w:rsidRPr="00981405">
        <w:t>contribution</w:t>
      </w:r>
      <w:r w:rsidR="00190923" w:rsidRPr="00981405">
        <w:t xml:space="preserve"> </w:t>
      </w:r>
      <w:r w:rsidRPr="00981405">
        <w:t>in</w:t>
      </w:r>
      <w:r w:rsidR="00190923" w:rsidRPr="00981405">
        <w:t xml:space="preserve"> </w:t>
      </w:r>
      <w:r w:rsidRPr="00981405">
        <w:t>this</w:t>
      </w:r>
      <w:r w:rsidR="00190923" w:rsidRPr="00981405">
        <w:t xml:space="preserve"> </w:t>
      </w:r>
      <w:r w:rsidRPr="00981405">
        <w:t>area.</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had</w:t>
      </w:r>
      <w:r w:rsidR="00190923" w:rsidRPr="00981405">
        <w:t xml:space="preserve"> </w:t>
      </w:r>
      <w:r w:rsidRPr="00981405">
        <w:t>to</w:t>
      </w:r>
      <w:r w:rsidR="00190923" w:rsidRPr="00981405">
        <w:t xml:space="preserve"> </w:t>
      </w:r>
      <w:r w:rsidRPr="00981405">
        <w:t>respect</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come</w:t>
      </w:r>
      <w:r w:rsidR="00190923" w:rsidRPr="00981405">
        <w:t xml:space="preserve"> </w:t>
      </w:r>
      <w:r w:rsidRPr="00981405">
        <w:t>in</w:t>
      </w:r>
      <w:r w:rsidR="00190923" w:rsidRPr="00981405">
        <w:t xml:space="preserve"> </w:t>
      </w:r>
      <w:r w:rsidRPr="00981405">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forms</w:t>
      </w:r>
      <w:r w:rsidR="00190923" w:rsidRPr="00981405">
        <w:t xml:space="preserve"> </w:t>
      </w:r>
      <w:r w:rsidRPr="00981405">
        <w:t>and</w:t>
      </w:r>
      <w:r w:rsidR="00190923" w:rsidRPr="00981405">
        <w:t xml:space="preserve"> </w:t>
      </w:r>
      <w:r w:rsidRPr="00981405">
        <w:t>uniformity</w:t>
      </w:r>
      <w:r w:rsidR="00190923" w:rsidRPr="00981405">
        <w:t xml:space="preserve"> </w:t>
      </w:r>
      <w:r w:rsidRPr="00981405">
        <w:t>in</w:t>
      </w:r>
      <w:r w:rsidR="00190923" w:rsidRPr="00981405">
        <w:t xml:space="preserve"> </w:t>
      </w:r>
      <w:r w:rsidRPr="00981405">
        <w:t>interpretation</w:t>
      </w:r>
      <w:r w:rsidR="00190923" w:rsidRPr="00981405">
        <w:t xml:space="preserve"> </w:t>
      </w:r>
      <w:r w:rsidRPr="00981405">
        <w:t>or</w:t>
      </w:r>
      <w:r w:rsidR="00190923" w:rsidRPr="00981405">
        <w:t xml:space="preserve"> </w:t>
      </w:r>
      <w:r w:rsidRPr="00981405">
        <w:t>application</w:t>
      </w:r>
      <w:r w:rsidR="00190923" w:rsidRPr="00981405">
        <w:t xml:space="preserve"> </w:t>
      </w:r>
      <w:r w:rsidRPr="00981405">
        <w:t>could</w:t>
      </w:r>
      <w:r w:rsidR="00190923" w:rsidRPr="00981405">
        <w:t xml:space="preserve"> </w:t>
      </w:r>
      <w:r w:rsidRPr="00981405">
        <w:t>not</w:t>
      </w:r>
      <w:r w:rsidR="00190923" w:rsidRPr="00981405">
        <w:t xml:space="preserve"> </w:t>
      </w:r>
      <w:r w:rsidRPr="00981405">
        <w:t>necessarily</w:t>
      </w:r>
      <w:r w:rsidR="00190923" w:rsidRPr="00981405">
        <w:t xml:space="preserve"> </w:t>
      </w:r>
      <w:r w:rsidRPr="00981405">
        <w:t>be</w:t>
      </w:r>
      <w:r w:rsidR="00190923" w:rsidRPr="00981405">
        <w:t xml:space="preserve"> </w:t>
      </w:r>
      <w:r w:rsidRPr="00981405">
        <w:t>expected.</w:t>
      </w:r>
      <w:r w:rsidRPr="00981405">
        <w:rPr>
          <w:rStyle w:val="FootnoteReference"/>
        </w:rPr>
        <w:footnoteReference w:id="420"/>
      </w:r>
      <w:r w:rsidR="00B92E2C" w:rsidRPr="00981405">
        <w:t xml:space="preserve"> </w:t>
      </w:r>
      <w:r w:rsidRPr="00981405">
        <w:t>In</w:t>
      </w:r>
      <w:r w:rsidR="00190923" w:rsidRPr="00981405">
        <w:t xml:space="preserve"> </w:t>
      </w:r>
      <w:r w:rsidRPr="00981405">
        <w:t>line</w:t>
      </w:r>
      <w:r w:rsidR="00190923" w:rsidRPr="00981405">
        <w:t xml:space="preserve"> </w:t>
      </w:r>
      <w:r w:rsidRPr="00981405">
        <w:t>with</w:t>
      </w:r>
      <w:r w:rsidR="00190923" w:rsidRPr="00981405">
        <w:t xml:space="preserve"> </w:t>
      </w:r>
      <w:r w:rsidRPr="00981405">
        <w:t>the</w:t>
      </w:r>
      <w:r w:rsidR="00190923" w:rsidRPr="00981405">
        <w:t xml:space="preserve"> </w:t>
      </w:r>
      <w:r w:rsidRPr="00981405">
        <w:t>general</w:t>
      </w:r>
      <w:r w:rsidR="00190923" w:rsidRPr="00981405">
        <w:t xml:space="preserve"> </w:t>
      </w:r>
      <w:r w:rsidRPr="00981405">
        <w:t>orientation</w:t>
      </w:r>
      <w:r w:rsidR="00190923" w:rsidRPr="00981405">
        <w:t xml:space="preserve"> </w:t>
      </w:r>
      <w:r w:rsidRPr="00981405">
        <w:t>of</w:t>
      </w:r>
      <w:r w:rsidR="00190923" w:rsidRPr="00981405">
        <w:t xml:space="preserve"> </w:t>
      </w:r>
      <w:r w:rsidRPr="00981405">
        <w:t>the</w:t>
      </w:r>
      <w:r w:rsidR="00190923" w:rsidRPr="00981405">
        <w:t xml:space="preserve"> </w:t>
      </w:r>
      <w:r w:rsidRPr="00981405">
        <w:t>Study-Group,</w:t>
      </w:r>
      <w:r w:rsidR="00190923" w:rsidRPr="00981405">
        <w:t xml:space="preserve"> </w:t>
      </w:r>
      <w:r w:rsidRPr="00981405">
        <w:t>the</w:t>
      </w:r>
      <w:r w:rsidR="00190923" w:rsidRPr="00981405">
        <w:t xml:space="preserve"> </w:t>
      </w:r>
      <w:r w:rsidRPr="00981405">
        <w:t>view</w:t>
      </w:r>
      <w:r w:rsidR="00190923" w:rsidRPr="00981405">
        <w:t xml:space="preserve"> </w:t>
      </w:r>
      <w:r w:rsidRPr="00981405">
        <w:t>was</w:t>
      </w:r>
      <w:r w:rsidR="00190923" w:rsidRPr="00981405">
        <w:t xml:space="preserve"> </w:t>
      </w:r>
      <w:r w:rsidRPr="00981405">
        <w:t>frequently</w:t>
      </w:r>
      <w:r w:rsidR="00190923" w:rsidRPr="00981405">
        <w:t xml:space="preserve"> </w:t>
      </w:r>
      <w:r w:rsidRPr="00981405">
        <w:t>expressed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should</w:t>
      </w:r>
      <w:r w:rsidR="00190923" w:rsidRPr="00981405">
        <w:t xml:space="preserve"> </w:t>
      </w:r>
      <w:r w:rsidRPr="00981405">
        <w:t>not</w:t>
      </w:r>
      <w:r w:rsidR="00190923" w:rsidRPr="00981405">
        <w:t xml:space="preserve"> </w:t>
      </w:r>
      <w:r w:rsidRPr="00981405">
        <w:t>produce</w:t>
      </w:r>
      <w:r w:rsidR="00190923" w:rsidRPr="00981405">
        <w:t xml:space="preserve"> </w:t>
      </w:r>
      <w:r w:rsidRPr="00981405">
        <w:t>new</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nor</w:t>
      </w:r>
      <w:r w:rsidR="00190923" w:rsidRPr="00981405">
        <w:t xml:space="preserve"> </w:t>
      </w:r>
      <w:r w:rsidRPr="00981405">
        <w:t>attempt</w:t>
      </w:r>
      <w:r w:rsidR="00190923" w:rsidRPr="00981405">
        <w:t xml:space="preserve"> </w:t>
      </w:r>
      <w:r w:rsidRPr="00981405">
        <w:t>to</w:t>
      </w:r>
      <w:r w:rsidR="00190923" w:rsidRPr="00981405">
        <w:t xml:space="preserve"> </w:t>
      </w:r>
      <w:r w:rsidRPr="00981405">
        <w:t>revise</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Pr="00981405">
        <w:rPr>
          <w:rStyle w:val="FootnoteReference"/>
        </w:rPr>
        <w:footnoteReference w:id="421"/>
      </w:r>
      <w:r w:rsidR="00190923" w:rsidRPr="00981405">
        <w:t xml:space="preserve"> </w:t>
      </w:r>
      <w:r w:rsidRPr="00981405">
        <w:t>Generally,</w:t>
      </w:r>
      <w:r w:rsidR="00190923" w:rsidRPr="00981405">
        <w:t xml:space="preserve"> </w:t>
      </w:r>
      <w:r w:rsidRPr="00981405">
        <w:t>it</w:t>
      </w:r>
      <w:r w:rsidR="00190923" w:rsidRPr="00981405">
        <w:t xml:space="preserve"> </w:t>
      </w:r>
      <w:r w:rsidRPr="00981405">
        <w:t>was</w:t>
      </w:r>
      <w:r w:rsidR="00190923" w:rsidRPr="00981405">
        <w:t xml:space="preserve"> </w:t>
      </w:r>
      <w:r w:rsidRPr="00981405">
        <w:t>felt</w:t>
      </w:r>
      <w:r w:rsidR="00190923" w:rsidRPr="00981405">
        <w:t xml:space="preserve"> </w:t>
      </w:r>
      <w:r w:rsidRPr="00981405">
        <w:t>that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should</w:t>
      </w:r>
      <w:r w:rsidR="00190923" w:rsidRPr="00981405">
        <w:t xml:space="preserve"> </w:t>
      </w:r>
      <w:r w:rsidRPr="00981405">
        <w:lastRenderedPageBreak/>
        <w:t>identify</w:t>
      </w:r>
      <w:r w:rsidR="00190923" w:rsidRPr="00981405">
        <w:t xml:space="preserve"> </w:t>
      </w:r>
      <w:r w:rsidRPr="00981405">
        <w:t>trends</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and</w:t>
      </w:r>
      <w:r w:rsidR="00190923" w:rsidRPr="00981405">
        <w:t xml:space="preserve"> </w:t>
      </w:r>
      <w:r w:rsidRPr="00981405">
        <w:t>provide</w:t>
      </w:r>
      <w:r w:rsidR="00190923" w:rsidRPr="00981405">
        <w:t xml:space="preserve"> </w:t>
      </w:r>
      <w:r w:rsidRPr="00981405">
        <w:t>guidance</w:t>
      </w:r>
      <w:r w:rsidR="00190923" w:rsidRPr="00981405">
        <w:t xml:space="preserve"> </w:t>
      </w:r>
      <w:r w:rsidRPr="00981405">
        <w:t>for</w:t>
      </w:r>
      <w:r w:rsidR="00190923" w:rsidRPr="00981405">
        <w:t xml:space="preserve"> </w:t>
      </w:r>
      <w:r w:rsidRPr="00981405">
        <w:t>treaty</w:t>
      </w:r>
      <w:r w:rsidR="00190923" w:rsidRPr="00981405">
        <w:t xml:space="preserve"> </w:t>
      </w:r>
      <w:r w:rsidRPr="00981405">
        <w:t>negotiators,</w:t>
      </w:r>
      <w:r w:rsidR="00190923" w:rsidRPr="00981405">
        <w:t xml:space="preserve"> </w:t>
      </w:r>
      <w:r w:rsidRPr="00981405">
        <w:t>policy</w:t>
      </w:r>
      <w:r w:rsidR="00190923" w:rsidRPr="00981405">
        <w:t xml:space="preserve"> </w:t>
      </w:r>
      <w:r w:rsidRPr="00981405">
        <w:t>makers</w:t>
      </w:r>
      <w:r w:rsidR="00190923" w:rsidRPr="00981405">
        <w:t xml:space="preserve"> </w:t>
      </w:r>
      <w:r w:rsidRPr="00981405">
        <w:t>and</w:t>
      </w:r>
      <w:r w:rsidR="00190923" w:rsidRPr="00981405">
        <w:t xml:space="preserve"> </w:t>
      </w:r>
      <w:r w:rsidRPr="00981405">
        <w:t>practitioners</w:t>
      </w:r>
      <w:r w:rsidR="00190923" w:rsidRPr="00981405">
        <w:t xml:space="preserve"> </w:t>
      </w:r>
      <w:r w:rsidRPr="00981405">
        <w:t>in</w:t>
      </w:r>
      <w:r w:rsidR="00190923" w:rsidRPr="00981405">
        <w:t xml:space="preserve"> </w:t>
      </w:r>
      <w:r w:rsidRPr="00981405">
        <w:t>the</w:t>
      </w:r>
      <w:r w:rsidR="00190923" w:rsidRPr="00981405">
        <w:t xml:space="preserve"> </w:t>
      </w:r>
      <w:r w:rsidRPr="00981405">
        <w:t>investment</w:t>
      </w:r>
      <w:r w:rsidR="00190923" w:rsidRPr="00981405">
        <w:t xml:space="preserve"> </w:t>
      </w:r>
      <w:r w:rsidRPr="00981405">
        <w:t>area.</w:t>
      </w:r>
      <w:r w:rsidRPr="00981405">
        <w:rPr>
          <w:rStyle w:val="FootnoteReference"/>
        </w:rPr>
        <w:footnoteReference w:id="422"/>
      </w:r>
      <w:r w:rsidR="00190923" w:rsidRPr="00981405">
        <w:t xml:space="preserve"> </w:t>
      </w:r>
    </w:p>
    <w:p w:rsidR="00397032" w:rsidRPr="00981405" w:rsidRDefault="00397032" w:rsidP="00D97463">
      <w:pPr>
        <w:pStyle w:val="SingleTxt"/>
      </w:pPr>
      <w:r w:rsidRPr="00981405">
        <w:t>8.</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decided</w:t>
      </w:r>
      <w:r w:rsidR="00190923" w:rsidRPr="00981405">
        <w:t xml:space="preserve"> </w:t>
      </w:r>
      <w:r w:rsidRPr="00981405">
        <w:t>not</w:t>
      </w:r>
      <w:r w:rsidR="00190923" w:rsidRPr="00981405">
        <w:t xml:space="preserve"> </w:t>
      </w:r>
      <w:r w:rsidRPr="00981405">
        <w:t>to</w:t>
      </w:r>
      <w:r w:rsidR="00190923" w:rsidRPr="00981405">
        <w:t xml:space="preserve"> </w:t>
      </w:r>
      <w:r w:rsidRPr="00981405">
        <w:t>attempt</w:t>
      </w:r>
      <w:r w:rsidR="00190923" w:rsidRPr="00981405">
        <w:t xml:space="preserve"> </w:t>
      </w:r>
      <w:r w:rsidRPr="00981405">
        <w:t>to</w:t>
      </w:r>
      <w:r w:rsidR="00190923" w:rsidRPr="00981405">
        <w:t xml:space="preserve"> </w:t>
      </w:r>
      <w:r w:rsidRPr="00981405">
        <w:t>decide</w:t>
      </w:r>
      <w:r w:rsidR="00190923" w:rsidRPr="00981405">
        <w:t xml:space="preserve"> </w:t>
      </w:r>
      <w:r w:rsidRPr="00981405">
        <w:t>between</w:t>
      </w:r>
      <w:r w:rsidR="00190923" w:rsidRPr="00981405">
        <w:t xml:space="preserve"> </w:t>
      </w:r>
      <w:r w:rsidRPr="00981405">
        <w:t>the</w:t>
      </w:r>
      <w:r w:rsidR="00190923" w:rsidRPr="00981405">
        <w:t xml:space="preserve"> </w:t>
      </w:r>
      <w:r w:rsidRPr="00981405">
        <w:t>conflicting</w:t>
      </w:r>
      <w:r w:rsidR="00190923" w:rsidRPr="00981405">
        <w:t xml:space="preserve"> </w:t>
      </w:r>
      <w:r w:rsidRPr="00981405">
        <w:t>views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over</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does</w:t>
      </w:r>
      <w:r w:rsidR="00190923" w:rsidRPr="00981405">
        <w:t xml:space="preserve"> </w:t>
      </w:r>
      <w:r w:rsidRPr="00981405">
        <w:t>not</w:t>
      </w:r>
      <w:r w:rsidR="00190923" w:rsidRPr="00981405">
        <w:t xml:space="preserve"> </w:t>
      </w:r>
      <w:r w:rsidRPr="00981405">
        <w:t>have</w:t>
      </w:r>
      <w:r w:rsidR="00190923" w:rsidRPr="00981405">
        <w:t xml:space="preserve"> </w:t>
      </w:r>
      <w:r w:rsidRPr="00981405">
        <w:t>an</w:t>
      </w:r>
      <w:r w:rsidR="00190923" w:rsidRPr="00981405">
        <w:t xml:space="preserve"> </w:t>
      </w:r>
      <w:r w:rsidRPr="00981405">
        <w:t>authoritative</w:t>
      </w:r>
      <w:r w:rsidR="00190923" w:rsidRPr="00981405">
        <w:t xml:space="preserve"> </w:t>
      </w:r>
      <w:r w:rsidRPr="00981405">
        <w:t>role</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and</w:t>
      </w:r>
      <w:r w:rsidR="00190923" w:rsidRPr="00981405">
        <w:t xml:space="preserve"> </w:t>
      </w:r>
      <w:r w:rsidRPr="00981405">
        <w:t>to</w:t>
      </w:r>
      <w:r w:rsidR="00190923" w:rsidRPr="00981405">
        <w:t xml:space="preserve"> </w:t>
      </w:r>
      <w:r w:rsidRPr="00981405">
        <w:t>conclude</w:t>
      </w:r>
      <w:r w:rsidR="00190923" w:rsidRPr="00981405">
        <w:t xml:space="preserve"> </w:t>
      </w:r>
      <w:r w:rsidRPr="00981405">
        <w:t>that</w:t>
      </w:r>
      <w:r w:rsidR="00190923" w:rsidRPr="00981405">
        <w:t xml:space="preserve"> </w:t>
      </w:r>
      <w:r w:rsidRPr="00981405">
        <w:t>one</w:t>
      </w:r>
      <w:r w:rsidR="00190923" w:rsidRPr="00981405">
        <w:t xml:space="preserve"> </w:t>
      </w:r>
      <w:r w:rsidRPr="00981405">
        <w:t>tribunal</w:t>
      </w:r>
      <w:r w:rsidR="00190923" w:rsidRPr="00981405">
        <w:t xml:space="preserve"> </w:t>
      </w:r>
      <w:r w:rsidRPr="00981405">
        <w:t>was</w:t>
      </w:r>
      <w:r w:rsidR="00190923" w:rsidRPr="00981405">
        <w:t xml:space="preserve"> </w:t>
      </w:r>
      <w:r w:rsidRPr="00981405">
        <w:t>right</w:t>
      </w:r>
      <w:r w:rsidR="00190923" w:rsidRPr="00981405">
        <w:t xml:space="preserve"> </w:t>
      </w:r>
      <w:r w:rsidRPr="00981405">
        <w:t>and</w:t>
      </w:r>
      <w:r w:rsidR="00190923" w:rsidRPr="00981405">
        <w:t xml:space="preserve"> </w:t>
      </w:r>
      <w:r w:rsidRPr="00981405">
        <w:t>another</w:t>
      </w:r>
      <w:r w:rsidR="00190923" w:rsidRPr="00981405">
        <w:t xml:space="preserve"> </w:t>
      </w:r>
      <w:r w:rsidRPr="00981405">
        <w:t>wrong</w:t>
      </w:r>
      <w:r w:rsidR="00190923" w:rsidRPr="00981405">
        <w:t xml:space="preserve"> </w:t>
      </w:r>
      <w:r w:rsidRPr="00981405">
        <w:t>would</w:t>
      </w:r>
      <w:r w:rsidR="00190923" w:rsidRPr="00981405">
        <w:t xml:space="preserve"> </w:t>
      </w:r>
      <w:r w:rsidRPr="00981405">
        <w:t>simply</w:t>
      </w:r>
      <w:r w:rsidR="00190923" w:rsidRPr="00981405">
        <w:t xml:space="preserve"> </w:t>
      </w:r>
      <w:r w:rsidRPr="00981405">
        <w:t>insert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as</w:t>
      </w:r>
      <w:r w:rsidR="00190923" w:rsidRPr="00981405">
        <w:t xml:space="preserve"> </w:t>
      </w:r>
      <w:r w:rsidRPr="00981405">
        <w:t>just</w:t>
      </w:r>
      <w:r w:rsidR="00190923" w:rsidRPr="00981405">
        <w:t xml:space="preserve"> </w:t>
      </w:r>
      <w:r w:rsidRPr="00981405">
        <w:t>another</w:t>
      </w:r>
      <w:r w:rsidR="00190923" w:rsidRPr="00981405">
        <w:t xml:space="preserve"> </w:t>
      </w:r>
      <w:r w:rsidRPr="00981405">
        <w:t>voice</w:t>
      </w:r>
      <w:r w:rsidR="00190923" w:rsidRPr="00981405">
        <w:t xml:space="preserve"> </w:t>
      </w:r>
      <w:r w:rsidRPr="00981405">
        <w:t>in</w:t>
      </w:r>
      <w:r w:rsidR="00190923" w:rsidRPr="00981405">
        <w:t xml:space="preserve"> </w:t>
      </w:r>
      <w:r w:rsidRPr="00981405">
        <w:t>an</w:t>
      </w:r>
      <w:r w:rsidR="00190923" w:rsidRPr="00981405">
        <w:t xml:space="preserve"> </w:t>
      </w:r>
      <w:r w:rsidRPr="00981405">
        <w:t>ongoing</w:t>
      </w:r>
      <w:r w:rsidR="00190923" w:rsidRPr="00981405">
        <w:t xml:space="preserve"> </w:t>
      </w:r>
      <w:r w:rsidRPr="00981405">
        <w:t>debate.</w:t>
      </w:r>
      <w:r w:rsidR="00190923" w:rsidRPr="00981405">
        <w:t xml:space="preserve"> </w:t>
      </w:r>
    </w:p>
    <w:p w:rsidR="00397032" w:rsidRPr="00981405" w:rsidRDefault="00397032" w:rsidP="00D97463">
      <w:pPr>
        <w:pStyle w:val="SingleTxt"/>
      </w:pPr>
      <w:r w:rsidRPr="00981405">
        <w:t>9.</w:t>
      </w:r>
      <w:r w:rsidR="00190923" w:rsidRPr="00981405">
        <w:t xml:space="preserve"> </w:t>
      </w:r>
      <w:r w:rsidRPr="00981405">
        <w:tab/>
        <w:t>Instead,</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some</w:t>
      </w:r>
      <w:r w:rsidR="00190923" w:rsidRPr="00981405">
        <w:t xml:space="preserve"> </w:t>
      </w:r>
      <w:r w:rsidRPr="00981405">
        <w:t>explanation</w:t>
      </w:r>
      <w:r w:rsidR="00190923" w:rsidRPr="00981405">
        <w:t xml:space="preserve"> </w:t>
      </w:r>
      <w:r w:rsidRPr="00981405">
        <w:t>or</w:t>
      </w:r>
      <w:r w:rsidR="00190923" w:rsidRPr="00981405">
        <w:t xml:space="preserve"> </w:t>
      </w:r>
      <w:r w:rsidRPr="00981405">
        <w:t>elaboration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B92E2C" w:rsidRPr="00981405">
        <w:t>’</w:t>
      </w:r>
      <w:r w:rsidRPr="00981405">
        <w:t>s</w:t>
      </w:r>
      <w:r w:rsidR="00190923" w:rsidRPr="00981405">
        <w:t xml:space="preserve"> </w:t>
      </w:r>
      <w:r w:rsidRPr="00981405">
        <w:t>approach</w:t>
      </w:r>
      <w:r w:rsidR="00190923" w:rsidRPr="00981405">
        <w:t xml:space="preserve"> </w:t>
      </w:r>
      <w:r w:rsidRPr="00981405">
        <w:t>in</w:t>
      </w:r>
      <w:r w:rsidR="00190923" w:rsidRPr="00981405">
        <w:t xml:space="preserve"> </w:t>
      </w:r>
      <w:r w:rsidRPr="00981405">
        <w:t>1978</w:t>
      </w:r>
      <w:r w:rsidR="00190923" w:rsidRPr="00981405">
        <w:t xml:space="preserve"> </w:t>
      </w:r>
      <w:r w:rsidRPr="00981405">
        <w:t>would</w:t>
      </w:r>
      <w:r w:rsidR="00190923" w:rsidRPr="00981405">
        <w:t xml:space="preserve"> </w:t>
      </w:r>
      <w:r w:rsidRPr="00981405">
        <w:t>be</w:t>
      </w:r>
      <w:r w:rsidR="00190923" w:rsidRPr="00981405">
        <w:t xml:space="preserve"> </w:t>
      </w:r>
      <w:r w:rsidRPr="00981405">
        <w:t>useful,</w:t>
      </w:r>
      <w:r w:rsidR="00190923" w:rsidRPr="00981405">
        <w:t xml:space="preserve"> </w:t>
      </w:r>
      <w:r w:rsidRPr="00981405">
        <w:t>particularly</w:t>
      </w:r>
      <w:r w:rsidR="00190923" w:rsidRPr="00981405">
        <w:t xml:space="preserve"> </w:t>
      </w:r>
      <w:r w:rsidRPr="00981405">
        <w:t>in</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uncertainty</w:t>
      </w:r>
      <w:r w:rsidR="00190923" w:rsidRPr="00981405">
        <w:t xml:space="preserve"> </w:t>
      </w:r>
      <w:r w:rsidRPr="00981405">
        <w:t>about</w:t>
      </w:r>
      <w:r w:rsidR="00190923" w:rsidRPr="00981405">
        <w:t xml:space="preserve"> </w:t>
      </w:r>
      <w:r w:rsidRPr="00981405">
        <w:t>how</w:t>
      </w:r>
      <w:r w:rsidR="00190923" w:rsidRPr="00981405">
        <w:t xml:space="preserve"> </w:t>
      </w:r>
      <w:r w:rsidRPr="00981405">
        <w:t>MFN</w:t>
      </w:r>
      <w:r w:rsidR="00190923" w:rsidRPr="00981405">
        <w:t xml:space="preserve"> </w:t>
      </w:r>
      <w:r w:rsidRPr="00981405">
        <w:t>clauses</w:t>
      </w:r>
      <w:r w:rsidR="00190923" w:rsidRPr="00981405">
        <w:t xml:space="preserve"> </w:t>
      </w:r>
      <w:r w:rsidRPr="00981405">
        <w:t>are</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also</w:t>
      </w:r>
      <w:r w:rsidR="00190923" w:rsidRPr="00981405">
        <w:t xml:space="preserve"> </w:t>
      </w:r>
      <w:r w:rsidRPr="00981405">
        <w:t>felt</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useful</w:t>
      </w:r>
      <w:r w:rsidR="00190923" w:rsidRPr="00981405">
        <w:t xml:space="preserve"> </w:t>
      </w:r>
      <w:r w:rsidRPr="00981405">
        <w:t>to</w:t>
      </w:r>
      <w:r w:rsidR="00190923" w:rsidRPr="00981405">
        <w:t xml:space="preserve"> </w:t>
      </w:r>
      <w:r w:rsidRPr="00981405">
        <w:t>elaborate</w:t>
      </w:r>
      <w:r w:rsidR="00190923" w:rsidRPr="00981405">
        <w:t xml:space="preserve"> </w:t>
      </w:r>
      <w:r w:rsidRPr="00981405">
        <w:t>on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p>
    <w:p w:rsidR="009E7736" w:rsidRPr="00D97463" w:rsidRDefault="009E7736" w:rsidP="00D97463">
      <w:pPr>
        <w:pStyle w:val="SingleTxt"/>
        <w:spacing w:after="0" w:line="120" w:lineRule="exact"/>
        <w:rPr>
          <w:sz w:val="10"/>
        </w:rPr>
      </w:pPr>
    </w:p>
    <w:p w:rsidR="009E7736" w:rsidRPr="00D97463" w:rsidRDefault="009E7736" w:rsidP="00D97463">
      <w:pPr>
        <w:pStyle w:val="SingleTxt"/>
        <w:spacing w:after="0" w:line="120" w:lineRule="exact"/>
        <w:rPr>
          <w:sz w:val="10"/>
        </w:rPr>
      </w:pPr>
    </w:p>
    <w:p w:rsidR="00397032" w:rsidRPr="00D97463" w:rsidRDefault="00397032" w:rsidP="00D97463">
      <w:pPr>
        <w:pStyle w:val="H1"/>
        <w:ind w:right="1260"/>
      </w:pPr>
      <w:bookmarkStart w:id="189" w:name="_Toc293434141"/>
      <w:bookmarkStart w:id="190" w:name="_Toc294353657"/>
      <w:r w:rsidRPr="00D97463">
        <w:tab/>
        <w:t>B.</w:t>
      </w:r>
      <w:r w:rsidRPr="00D97463">
        <w:tab/>
        <w:t>The</w:t>
      </w:r>
      <w:r w:rsidR="00190923" w:rsidRPr="00D97463">
        <w:t xml:space="preserve"> </w:t>
      </w:r>
      <w:r w:rsidRPr="00D97463">
        <w:t>1978</w:t>
      </w:r>
      <w:r w:rsidR="00190923" w:rsidRPr="00D97463">
        <w:t xml:space="preserve"> </w:t>
      </w:r>
      <w:r w:rsidRPr="00D97463">
        <w:t>draft</w:t>
      </w:r>
      <w:r w:rsidR="00190923" w:rsidRPr="00D97463">
        <w:t xml:space="preserve"> </w:t>
      </w:r>
      <w:r w:rsidRPr="00D97463">
        <w:t>articles</w:t>
      </w:r>
      <w:bookmarkEnd w:id="189"/>
      <w:bookmarkEnd w:id="190"/>
    </w:p>
    <w:p w:rsidR="009E7736" w:rsidRPr="00D97463" w:rsidRDefault="009E7736" w:rsidP="00D97463">
      <w:pPr>
        <w:pStyle w:val="SingleTxt"/>
        <w:spacing w:after="0" w:line="120" w:lineRule="exact"/>
        <w:rPr>
          <w:sz w:val="10"/>
        </w:rPr>
      </w:pPr>
    </w:p>
    <w:p w:rsidR="009E7736" w:rsidRPr="00D97463" w:rsidRDefault="009E7736" w:rsidP="00D97463">
      <w:pPr>
        <w:pStyle w:val="SingleTxt"/>
        <w:spacing w:after="0" w:line="120" w:lineRule="exact"/>
        <w:rPr>
          <w:sz w:val="10"/>
        </w:rPr>
      </w:pPr>
    </w:p>
    <w:p w:rsidR="00397032" w:rsidRPr="00D97463" w:rsidRDefault="00397032" w:rsidP="00D97463">
      <w:pPr>
        <w:pStyle w:val="H23"/>
        <w:ind w:right="1260"/>
      </w:pPr>
      <w:bookmarkStart w:id="191" w:name="_Toc293434142"/>
      <w:bookmarkStart w:id="192" w:name="_Toc294353658"/>
      <w:r w:rsidRPr="00D97463">
        <w:tab/>
      </w:r>
      <w:bookmarkStart w:id="193" w:name="_Toc427938165"/>
      <w:r w:rsidRPr="00D97463">
        <w:t>1.</w:t>
      </w:r>
      <w:r w:rsidRPr="00D97463">
        <w:tab/>
        <w:t>Origins</w:t>
      </w:r>
      <w:bookmarkEnd w:id="191"/>
      <w:bookmarkEnd w:id="192"/>
      <w:bookmarkEnd w:id="193"/>
    </w:p>
    <w:p w:rsidR="009E7736" w:rsidRPr="00D97463" w:rsidRDefault="009E7736" w:rsidP="00D97463">
      <w:pPr>
        <w:pStyle w:val="SingleTxt"/>
        <w:spacing w:after="0" w:line="120" w:lineRule="exact"/>
        <w:rPr>
          <w:sz w:val="10"/>
        </w:rPr>
      </w:pPr>
    </w:p>
    <w:p w:rsidR="00397032" w:rsidRPr="00981405" w:rsidRDefault="00397032" w:rsidP="00D97463">
      <w:pPr>
        <w:pStyle w:val="SingleTxt"/>
      </w:pPr>
      <w:r w:rsidRPr="00981405">
        <w:rPr>
          <w:rFonts w:eastAsia="MS Mincho"/>
        </w:rPr>
        <w:t>10.</w:t>
      </w:r>
      <w:r w:rsidRPr="00981405">
        <w:rPr>
          <w:rFonts w:eastAsia="MS Mincho"/>
        </w:rPr>
        <w:tab/>
        <w:t>When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topic</w:t>
      </w:r>
      <w:r w:rsidR="00190923" w:rsidRPr="00981405">
        <w:rPr>
          <w:rFonts w:eastAsia="MS Mincho"/>
        </w:rPr>
        <w:t xml:space="preserve"> </w:t>
      </w:r>
      <w:r w:rsidRPr="00981405">
        <w:t>of</w:t>
      </w:r>
      <w:r w:rsidR="00190923" w:rsidRPr="00981405">
        <w:t xml:space="preserve"> </w:t>
      </w:r>
      <w:r w:rsidRPr="00981405">
        <w:t>MFN</w:t>
      </w:r>
      <w:r w:rsidR="00190923" w:rsidRPr="00981405">
        <w:t xml:space="preserve"> </w:t>
      </w:r>
      <w:r w:rsidRPr="00981405">
        <w:t>was</w:t>
      </w:r>
      <w:r w:rsidR="00190923" w:rsidRPr="00981405">
        <w:t xml:space="preserve"> </w:t>
      </w:r>
      <w:r w:rsidRPr="00981405">
        <w:t>first</w:t>
      </w:r>
      <w:r w:rsidR="00190923" w:rsidRPr="00981405">
        <w:t xml:space="preserve"> </w:t>
      </w:r>
      <w:r w:rsidRPr="00981405">
        <w:t>proposed</w:t>
      </w:r>
      <w:r w:rsidR="00190923" w:rsidRPr="00981405">
        <w:t xml:space="preserve"> </w:t>
      </w:r>
      <w:r w:rsidRPr="00981405">
        <w:t>in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in</w:t>
      </w:r>
      <w:r w:rsidR="00190923" w:rsidRPr="00981405">
        <w:t xml:space="preserve"> </w:t>
      </w:r>
      <w:r w:rsidRPr="00981405">
        <w:t>1964,</w:t>
      </w:r>
      <w:r w:rsidR="00190923" w:rsidRPr="00981405">
        <w:t xml:space="preserve"> </w:t>
      </w:r>
      <w:r w:rsidRPr="00981405">
        <w:t>it</w:t>
      </w:r>
      <w:r w:rsidR="00190923" w:rsidRPr="00981405">
        <w:t xml:space="preserve"> </w:t>
      </w:r>
      <w:r w:rsidRPr="00981405">
        <w:t>was</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discussion</w:t>
      </w:r>
      <w:r w:rsidR="00190923" w:rsidRPr="00981405">
        <w:t xml:space="preserve"> </w:t>
      </w:r>
      <w:r w:rsidRPr="00981405">
        <w:t>of</w:t>
      </w:r>
      <w:r w:rsidR="00190923" w:rsidRPr="00981405">
        <w:t xml:space="preserve"> </w:t>
      </w:r>
      <w:r w:rsidR="00B92E2C" w:rsidRPr="00981405">
        <w:rPr>
          <w:rFonts w:eastAsia="MS Mincho"/>
        </w:rPr>
        <w:t>“</w:t>
      </w:r>
      <w:r w:rsidRPr="00981405">
        <w:t>treaties</w:t>
      </w:r>
      <w:r w:rsidR="00190923" w:rsidRPr="00981405">
        <w:t xml:space="preserve"> </w:t>
      </w:r>
      <w:r w:rsidRPr="00981405">
        <w:t>and</w:t>
      </w:r>
      <w:r w:rsidR="00190923" w:rsidRPr="00981405">
        <w:t xml:space="preserve"> </w:t>
      </w:r>
      <w:r w:rsidRPr="00981405">
        <w:t>third</w:t>
      </w:r>
      <w:r w:rsidR="00190923" w:rsidRPr="00981405">
        <w:t xml:space="preserve"> </w:t>
      </w:r>
      <w:r w:rsidRPr="00981405">
        <w:t>States</w:t>
      </w:r>
      <w:r w:rsidRPr="00981405">
        <w:rPr>
          <w:rFonts w:eastAsia="MS Mincho"/>
        </w:rPr>
        <w:t>.</w:t>
      </w:r>
      <w:r w:rsidR="00B92E2C" w:rsidRPr="00981405">
        <w:rPr>
          <w:rFonts w:eastAsia="MS Mincho"/>
        </w:rPr>
        <w:t>”</w:t>
      </w:r>
      <w:r w:rsidRPr="00981405">
        <w:rPr>
          <w:rStyle w:val="FootnoteReference"/>
        </w:rPr>
        <w:footnoteReference w:id="423"/>
      </w:r>
      <w:r w:rsidR="00190923" w:rsidRPr="00981405">
        <w:t xml:space="preserve"> </w:t>
      </w:r>
      <w:r w:rsidRPr="00981405">
        <w:t>And</w:t>
      </w:r>
      <w:r w:rsidR="00190923" w:rsidRPr="00981405">
        <w:t xml:space="preserve"> </w:t>
      </w:r>
      <w:r w:rsidRPr="00981405">
        <w:t>when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decided</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topic</w:t>
      </w:r>
      <w:r w:rsidR="00190923" w:rsidRPr="00981405">
        <w:t xml:space="preserve"> </w:t>
      </w:r>
      <w:r w:rsidRPr="00981405">
        <w:t>in</w:t>
      </w:r>
      <w:r w:rsidR="00190923" w:rsidRPr="00981405">
        <w:t xml:space="preserve"> </w:t>
      </w:r>
      <w:r w:rsidRPr="00981405">
        <w:t>its</w:t>
      </w:r>
      <w:r w:rsidR="00190923" w:rsidRPr="00981405">
        <w:t xml:space="preserve"> </w:t>
      </w:r>
      <w:r w:rsidRPr="00981405">
        <w:t>programme</w:t>
      </w:r>
      <w:r w:rsidR="00190923" w:rsidRPr="00981405">
        <w:t xml:space="preserve"> </w:t>
      </w:r>
      <w:r w:rsidRPr="00981405">
        <w:t>of</w:t>
      </w:r>
      <w:r w:rsidR="00190923" w:rsidRPr="00981405">
        <w:t xml:space="preserve"> </w:t>
      </w:r>
      <w:r w:rsidRPr="00981405">
        <w:t>work</w:t>
      </w:r>
      <w:r w:rsidR="00190923" w:rsidRPr="00981405">
        <w:t xml:space="preserve"> </w:t>
      </w:r>
      <w:r w:rsidRPr="00981405">
        <w:t>in</w:t>
      </w:r>
      <w:r w:rsidR="00190923" w:rsidRPr="00981405">
        <w:t xml:space="preserve"> </w:t>
      </w:r>
      <w:r w:rsidRPr="00981405">
        <w:t>1967,</w:t>
      </w:r>
      <w:r w:rsidR="00190923" w:rsidRPr="00981405">
        <w:t xml:space="preserve"> </w:t>
      </w:r>
      <w:r w:rsidRPr="00981405">
        <w:t>the</w:t>
      </w:r>
      <w:r w:rsidR="00190923" w:rsidRPr="00981405">
        <w:t xml:space="preserve"> </w:t>
      </w:r>
      <w:r w:rsidRPr="00981405">
        <w:t>title</w:t>
      </w:r>
      <w:r w:rsidR="00190923" w:rsidRPr="00981405">
        <w:t xml:space="preserve"> </w:t>
      </w:r>
      <w:r w:rsidRPr="00981405">
        <w:t>of</w:t>
      </w:r>
      <w:r w:rsidR="00190923" w:rsidRPr="00981405">
        <w:t xml:space="preserve"> </w:t>
      </w:r>
      <w:r w:rsidRPr="00981405">
        <w:t>the</w:t>
      </w:r>
      <w:r w:rsidR="00190923" w:rsidRPr="00981405">
        <w:t xml:space="preserve"> </w:t>
      </w:r>
      <w:r w:rsidRPr="00981405">
        <w:t>topic</w:t>
      </w:r>
      <w:r w:rsidR="00190923" w:rsidRPr="00981405">
        <w:t xml:space="preserve"> </w:t>
      </w:r>
      <w:r w:rsidRPr="00981405">
        <w:t>was</w:t>
      </w:r>
      <w:r w:rsidR="00190923" w:rsidRPr="00981405">
        <w:t xml:space="preserve"> </w:t>
      </w:r>
      <w:r w:rsidR="00B92E2C" w:rsidRPr="00981405">
        <w:t>“</w:t>
      </w:r>
      <w:r w:rsidRPr="00981405">
        <w:t>the</w:t>
      </w:r>
      <w:r w:rsidR="00190923" w:rsidRPr="00981405">
        <w:rPr>
          <w:rFonts w:eastAsia="MS Mincho"/>
        </w:rPr>
        <w:t xml:space="preserve"> </w:t>
      </w:r>
      <w:r w:rsidRPr="00981405">
        <w:t>most</w:t>
      </w:r>
      <w:r w:rsidRPr="00981405">
        <w:rPr>
          <w:rFonts w:eastAsia="MS Mincho"/>
        </w:rPr>
        <w:t>-</w:t>
      </w:r>
      <w:r w:rsidRPr="00981405">
        <w:t>favoured</w:t>
      </w:r>
      <w:r w:rsidRPr="00981405">
        <w:rPr>
          <w:rFonts w:eastAsia="MS Mincho"/>
        </w:rPr>
        <w:t>-</w:t>
      </w:r>
      <w:r w:rsidRPr="00981405">
        <w:t>nation</w:t>
      </w:r>
      <w:r w:rsidR="00190923" w:rsidRPr="00981405">
        <w:t xml:space="preserve"> </w:t>
      </w:r>
      <w:r w:rsidRPr="00981405">
        <w:t>clause</w:t>
      </w:r>
      <w:r w:rsidR="00190923" w:rsidRPr="00981405">
        <w:t xml:space="preserve"> </w:t>
      </w:r>
      <w:r w:rsidRPr="00981405">
        <w:t>in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B92E2C" w:rsidRPr="00981405">
        <w:t>”</w:t>
      </w:r>
      <w:r w:rsidRPr="00981405">
        <w:rPr>
          <w:rStyle w:val="FootnoteReference"/>
        </w:rPr>
        <w:footnoteReference w:id="424"/>
      </w:r>
      <w:r w:rsidR="00190923" w:rsidRPr="00981405">
        <w:t xml:space="preserve"> </w:t>
      </w:r>
      <w:r w:rsidRPr="00981405">
        <w:t>It</w:t>
      </w:r>
      <w:r w:rsidR="00190923" w:rsidRPr="00981405">
        <w:t xml:space="preserve"> </w:t>
      </w:r>
      <w:r w:rsidRPr="00981405">
        <w:t>was</w:t>
      </w:r>
      <w:r w:rsidR="00190923" w:rsidRPr="00981405">
        <w:t xml:space="preserve"> </w:t>
      </w:r>
      <w:r w:rsidRPr="00981405">
        <w:t>a</w:t>
      </w:r>
      <w:r w:rsidR="00190923" w:rsidRPr="00981405">
        <w:t xml:space="preserve"> </w:t>
      </w:r>
      <w:r w:rsidRPr="00981405">
        <w:t>topic,</w:t>
      </w:r>
      <w:r w:rsidR="00190923" w:rsidRPr="00981405">
        <w:t xml:space="preserve"> </w:t>
      </w:r>
      <w:r w:rsidRPr="00981405">
        <w:t>therefore,</w:t>
      </w:r>
      <w:r w:rsidR="00190923" w:rsidRPr="00981405">
        <w:t xml:space="preserve"> </w:t>
      </w:r>
      <w:r w:rsidRPr="00981405">
        <w:t>on</w:t>
      </w:r>
      <w:r w:rsidR="00190923" w:rsidRPr="00981405">
        <w:t xml:space="preserve"> </w:t>
      </w:r>
      <w:r w:rsidRPr="00981405">
        <w:t>treaty</w:t>
      </w:r>
      <w:r w:rsidR="00190923" w:rsidRPr="00981405">
        <w:t xml:space="preserve"> </w:t>
      </w:r>
      <w:r w:rsidRPr="00981405">
        <w:t>law.</w:t>
      </w:r>
      <w:r w:rsidR="00190923" w:rsidRPr="00981405">
        <w:t xml:space="preserve"> </w:t>
      </w:r>
    </w:p>
    <w:p w:rsidR="00397032" w:rsidRPr="00981405" w:rsidRDefault="00397032" w:rsidP="00D97463">
      <w:pPr>
        <w:pStyle w:val="SingleTxt"/>
        <w:rPr>
          <w:rFonts w:eastAsia="MS Mincho"/>
        </w:rPr>
      </w:pPr>
      <w:r w:rsidRPr="00981405">
        <w:rPr>
          <w:rFonts w:eastAsia="MS Mincho"/>
        </w:rPr>
        <w:t>11.</w:t>
      </w:r>
      <w:r w:rsidRPr="00981405">
        <w:rPr>
          <w:rFonts w:eastAsia="MS Mincho"/>
        </w:rPr>
        <w:tab/>
        <w:t>Historically,</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clauses</w:t>
      </w:r>
      <w:r w:rsidR="00190923" w:rsidRPr="00981405">
        <w:rPr>
          <w:rFonts w:eastAsia="MS Mincho"/>
        </w:rPr>
        <w:t xml:space="preserve"> </w:t>
      </w:r>
      <w:r w:rsidRPr="00981405">
        <w:rPr>
          <w:rFonts w:eastAsia="MS Mincho"/>
        </w:rPr>
        <w:t>were</w:t>
      </w:r>
      <w:r w:rsidR="00190923" w:rsidRPr="00981405">
        <w:rPr>
          <w:rFonts w:eastAsia="MS Mincho"/>
        </w:rPr>
        <w:t xml:space="preserve"> </w:t>
      </w:r>
      <w:r w:rsidRPr="00981405">
        <w:rPr>
          <w:rFonts w:eastAsia="MS Mincho"/>
        </w:rPr>
        <w:t>contained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bilateral</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friendship,</w:t>
      </w:r>
      <w:r w:rsidR="00190923" w:rsidRPr="00981405">
        <w:rPr>
          <w:rFonts w:eastAsia="MS Mincho"/>
        </w:rPr>
        <w:t xml:space="preserve"> </w:t>
      </w:r>
      <w:r w:rsidRPr="00981405">
        <w:rPr>
          <w:rFonts w:eastAsia="MS Mincho"/>
        </w:rPr>
        <w:t>commerce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navigation</w:t>
      </w:r>
      <w:r w:rsidR="00190923" w:rsidRPr="00981405">
        <w:rPr>
          <w:rFonts w:eastAsia="MS Mincho"/>
        </w:rPr>
        <w:t xml:space="preserve"> </w:t>
      </w:r>
      <w:r w:rsidRPr="00981405">
        <w:rPr>
          <w:rFonts w:eastAsia="MS Mincho"/>
        </w:rPr>
        <w:t>whose</w:t>
      </w:r>
      <w:r w:rsidR="00190923" w:rsidRPr="00981405">
        <w:rPr>
          <w:rFonts w:eastAsia="MS Mincho"/>
        </w:rPr>
        <w:t xml:space="preserve"> </w:t>
      </w:r>
      <w:r w:rsidRPr="00981405">
        <w:rPr>
          <w:rFonts w:eastAsia="MS Mincho"/>
        </w:rPr>
        <w:t>main</w:t>
      </w:r>
      <w:r w:rsidR="00190923" w:rsidRPr="00981405">
        <w:rPr>
          <w:rFonts w:eastAsia="MS Mincho"/>
        </w:rPr>
        <w:t xml:space="preserve"> </w:t>
      </w:r>
      <w:r w:rsidRPr="00981405">
        <w:rPr>
          <w:rFonts w:eastAsia="MS Mincho"/>
        </w:rPr>
        <w:t>function</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regulate</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variety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matters</w:t>
      </w:r>
      <w:r w:rsidR="00190923" w:rsidRPr="00981405">
        <w:rPr>
          <w:rFonts w:eastAsia="MS Mincho"/>
        </w:rPr>
        <w:t xml:space="preserve"> </w:t>
      </w:r>
      <w:r w:rsidRPr="00981405">
        <w:rPr>
          <w:rFonts w:eastAsia="MS Mincho"/>
        </w:rPr>
        <w:t>between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parties,</w:t>
      </w:r>
      <w:r w:rsidR="00190923" w:rsidRPr="00981405">
        <w:rPr>
          <w:rFonts w:eastAsia="MS Mincho"/>
        </w:rPr>
        <w:t xml:space="preserve"> </w:t>
      </w:r>
      <w:r w:rsidRPr="00981405">
        <w:rPr>
          <w:rFonts w:eastAsia="MS Mincho"/>
        </w:rPr>
        <w:t>usually</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commercial</w:t>
      </w:r>
      <w:r w:rsidR="00190923" w:rsidRPr="00981405">
        <w:rPr>
          <w:rFonts w:eastAsia="MS Mincho"/>
        </w:rPr>
        <w:t xml:space="preserve"> </w:t>
      </w:r>
      <w:r w:rsidRPr="00981405">
        <w:rPr>
          <w:rFonts w:eastAsia="MS Mincho"/>
        </w:rPr>
        <w:t>nature.</w:t>
      </w:r>
      <w:r w:rsidRPr="00981405">
        <w:rPr>
          <w:rStyle w:val="FootnoteReference"/>
        </w:rPr>
        <w:footnoteReference w:id="425"/>
      </w:r>
      <w:r w:rsidR="00190923" w:rsidRPr="00981405">
        <w:rPr>
          <w:rFonts w:eastAsia="MS Mincho"/>
        </w:rPr>
        <w:t xml:space="preserve"> </w:t>
      </w:r>
      <w:r w:rsidRPr="00981405">
        <w:rPr>
          <w:rFonts w:eastAsia="MS Mincho"/>
        </w:rPr>
        <w:t>Although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Special</w:t>
      </w:r>
      <w:r w:rsidR="00190923" w:rsidRPr="00981405">
        <w:rPr>
          <w:rFonts w:eastAsia="MS Mincho"/>
        </w:rPr>
        <w:t xml:space="preserve"> </w:t>
      </w:r>
      <w:r w:rsidRPr="00981405">
        <w:rPr>
          <w:rFonts w:eastAsia="MS Mincho"/>
        </w:rPr>
        <w:t>Rapporteurs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1978</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articles</w:t>
      </w:r>
      <w:r w:rsidR="00190923" w:rsidRPr="00981405">
        <w:rPr>
          <w:rFonts w:eastAsia="MS Mincho"/>
        </w:rPr>
        <w:t xml:space="preserve"> </w:t>
      </w:r>
      <w:r w:rsidRPr="00981405">
        <w:rPr>
          <w:rFonts w:eastAsia="MS Mincho"/>
        </w:rPr>
        <w:t>looked</w:t>
      </w:r>
      <w:r w:rsidR="00190923" w:rsidRPr="00981405">
        <w:rPr>
          <w:rFonts w:eastAsia="MS Mincho"/>
        </w:rPr>
        <w:t xml:space="preserve"> </w:t>
      </w:r>
      <w:r w:rsidRPr="00981405">
        <w:rPr>
          <w:rFonts w:eastAsia="MS Mincho"/>
        </w:rPr>
        <w:t>broadly</w:t>
      </w:r>
      <w:r w:rsidR="00190923" w:rsidRPr="00981405">
        <w:rPr>
          <w:rFonts w:eastAsia="MS Mincho"/>
        </w:rPr>
        <w:t xml:space="preserve"> </w:t>
      </w:r>
      <w:r w:rsidRPr="00981405">
        <w:rPr>
          <w:rFonts w:eastAsia="MS Mincho"/>
        </w:rPr>
        <w:t>at</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way</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clauses</w:t>
      </w:r>
      <w:r w:rsidR="00190923" w:rsidRPr="00981405">
        <w:rPr>
          <w:rFonts w:eastAsia="MS Mincho"/>
        </w:rPr>
        <w:t xml:space="preserve"> </w:t>
      </w:r>
      <w:r w:rsidRPr="00981405">
        <w:rPr>
          <w:rFonts w:eastAsia="MS Mincho"/>
        </w:rPr>
        <w:t>had</w:t>
      </w:r>
      <w:r w:rsidR="00190923" w:rsidRPr="00981405">
        <w:rPr>
          <w:rFonts w:eastAsia="MS Mincho"/>
        </w:rPr>
        <w:t xml:space="preserve"> </w:t>
      </w:r>
      <w:r w:rsidRPr="00981405">
        <w:rPr>
          <w:rFonts w:eastAsia="MS Mincho"/>
        </w:rPr>
        <w:t>been</w:t>
      </w:r>
      <w:r w:rsidR="00190923" w:rsidRPr="00981405">
        <w:rPr>
          <w:rFonts w:eastAsia="MS Mincho"/>
        </w:rPr>
        <w:t xml:space="preserve"> </w:t>
      </w:r>
      <w:r w:rsidRPr="00981405">
        <w:rPr>
          <w:rFonts w:eastAsia="MS Mincho"/>
        </w:rPr>
        <w:t>applied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domestic</w:t>
      </w:r>
      <w:r w:rsidR="00190923" w:rsidRPr="00981405">
        <w:rPr>
          <w:rFonts w:eastAsia="MS Mincho"/>
        </w:rPr>
        <w:t xml:space="preserve"> </w:t>
      </w:r>
      <w:r w:rsidRPr="00981405">
        <w:rPr>
          <w:rFonts w:eastAsia="MS Mincho"/>
        </w:rPr>
        <w:t>courts,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decisions</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tribunals,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1978</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articles</w:t>
      </w:r>
      <w:r w:rsidR="00190923" w:rsidRPr="00981405">
        <w:rPr>
          <w:rFonts w:eastAsia="MS Mincho"/>
        </w:rPr>
        <w:t xml:space="preserve"> </w:t>
      </w:r>
      <w:r w:rsidRPr="00981405">
        <w:rPr>
          <w:rFonts w:eastAsia="MS Mincho"/>
        </w:rPr>
        <w:t>focused</w:t>
      </w:r>
      <w:r w:rsidR="00190923" w:rsidRPr="00981405">
        <w:rPr>
          <w:rFonts w:eastAsia="MS Mincho"/>
        </w:rPr>
        <w:t xml:space="preserve"> </w:t>
      </w:r>
      <w:r w:rsidRPr="00981405">
        <w:rPr>
          <w:rFonts w:eastAsia="MS Mincho"/>
        </w:rPr>
        <w:t>generally</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traditional</w:t>
      </w:r>
      <w:r w:rsidR="00190923" w:rsidRPr="00981405">
        <w:rPr>
          <w:rFonts w:eastAsia="MS Mincho"/>
        </w:rPr>
        <w:t xml:space="preserve"> </w:t>
      </w:r>
      <w:r w:rsidRPr="00981405">
        <w:rPr>
          <w:rFonts w:eastAsia="MS Mincho"/>
        </w:rPr>
        <w:t>function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clauses</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bilateral</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trade.</w:t>
      </w:r>
      <w:r w:rsidR="00190923" w:rsidRPr="00981405">
        <w:rPr>
          <w:rFonts w:eastAsia="MS Mincho"/>
        </w:rPr>
        <w:t xml:space="preserve"> </w:t>
      </w:r>
    </w:p>
    <w:p w:rsidR="00397032" w:rsidRPr="00981405" w:rsidRDefault="00397032" w:rsidP="00D97463">
      <w:pPr>
        <w:pStyle w:val="SingleTxt"/>
        <w:rPr>
          <w:rFonts w:eastAsia="MS Mincho"/>
        </w:rPr>
      </w:pPr>
      <w:r w:rsidRPr="00981405">
        <w:rPr>
          <w:rFonts w:eastAsia="MS Mincho"/>
        </w:rPr>
        <w:t>12.</w:t>
      </w:r>
      <w:r w:rsidRPr="00981405">
        <w:rPr>
          <w:rFonts w:eastAsia="MS Mincho"/>
        </w:rPr>
        <w:tab/>
        <w:t>Thus,</w:t>
      </w:r>
      <w:r w:rsidR="00190923" w:rsidRPr="00981405">
        <w:rPr>
          <w:rFonts w:eastAsia="MS Mincho"/>
        </w:rPr>
        <w:t xml:space="preserve"> </w:t>
      </w:r>
      <w:r w:rsidRPr="00981405">
        <w:rPr>
          <w:rFonts w:eastAsia="MS Mincho"/>
        </w:rPr>
        <w:t>while</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core</w:t>
      </w:r>
      <w:r w:rsidR="00190923" w:rsidRPr="00981405">
        <w:rPr>
          <w:rFonts w:eastAsia="MS Mincho"/>
        </w:rPr>
        <w:t xml:space="preserve"> </w:t>
      </w:r>
      <w:r w:rsidRPr="00981405">
        <w:rPr>
          <w:rFonts w:eastAsia="MS Mincho"/>
        </w:rPr>
        <w:t>function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an</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clause</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often</w:t>
      </w:r>
      <w:r w:rsidR="00190923" w:rsidRPr="00981405">
        <w:rPr>
          <w:rFonts w:eastAsia="MS Mincho"/>
        </w:rPr>
        <w:t xml:space="preserve"> </w:t>
      </w:r>
      <w:r w:rsidRPr="00981405">
        <w:rPr>
          <w:rFonts w:eastAsia="MS Mincho"/>
        </w:rPr>
        <w:t>seen</w:t>
      </w:r>
      <w:r w:rsidR="00190923" w:rsidRPr="00981405">
        <w:rPr>
          <w:rFonts w:eastAsia="MS Mincho"/>
        </w:rPr>
        <w:t xml:space="preserve"> </w:t>
      </w:r>
      <w:r w:rsidRPr="00981405">
        <w:rPr>
          <w:rFonts w:eastAsia="MS Mincho"/>
        </w:rPr>
        <w:t>today</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be</w:t>
      </w:r>
      <w:r w:rsidR="00190923" w:rsidRPr="00981405">
        <w:rPr>
          <w:rFonts w:eastAsia="MS Mincho"/>
        </w:rPr>
        <w:t xml:space="preserve"> </w:t>
      </w:r>
      <w:r w:rsidRPr="00981405">
        <w:rPr>
          <w:rFonts w:eastAsia="MS Mincho"/>
        </w:rPr>
        <w:t>its</w:t>
      </w:r>
      <w:r w:rsidR="00190923" w:rsidRPr="00981405">
        <w:rPr>
          <w:rFonts w:eastAsia="MS Mincho"/>
        </w:rPr>
        <w:t xml:space="preserve"> </w:t>
      </w:r>
      <w:r w:rsidRPr="00981405">
        <w:rPr>
          <w:rFonts w:eastAsia="MS Mincho"/>
        </w:rPr>
        <w:t>automatic</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unconditional</w:t>
      </w:r>
      <w:r w:rsidR="00190923" w:rsidRPr="00981405">
        <w:rPr>
          <w:rFonts w:eastAsia="MS Mincho"/>
        </w:rPr>
        <w:t xml:space="preserve"> </w:t>
      </w:r>
      <w:r w:rsidRPr="00981405">
        <w:rPr>
          <w:rFonts w:eastAsia="MS Mincho"/>
        </w:rPr>
        <w:t>extension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benefits,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1978</w:t>
      </w:r>
      <w:r w:rsidR="00190923" w:rsidRPr="00981405">
        <w:rPr>
          <w:rFonts w:eastAsia="MS Mincho"/>
        </w:rPr>
        <w:t xml:space="preserve"> </w:t>
      </w:r>
      <w:r w:rsidRPr="00981405">
        <w:rPr>
          <w:rFonts w:eastAsia="MS Mincho"/>
        </w:rPr>
        <w:t>draft</w:t>
      </w:r>
      <w:r w:rsidR="00190923" w:rsidRPr="00981405">
        <w:rPr>
          <w:rFonts w:eastAsia="MS Mincho"/>
        </w:rPr>
        <w:t xml:space="preserve"> </w:t>
      </w:r>
      <w:r w:rsidRPr="00981405">
        <w:rPr>
          <w:rFonts w:eastAsia="MS Mincho"/>
        </w:rPr>
        <w:t>articles</w:t>
      </w:r>
      <w:r w:rsidR="00190923" w:rsidRPr="00981405">
        <w:rPr>
          <w:rFonts w:eastAsia="MS Mincho"/>
        </w:rPr>
        <w:t xml:space="preserve"> </w:t>
      </w:r>
      <w:r w:rsidRPr="00981405">
        <w:rPr>
          <w:rFonts w:eastAsia="MS Mincho"/>
        </w:rPr>
        <w:t>contain</w:t>
      </w:r>
      <w:r w:rsidR="00190923" w:rsidRPr="00981405">
        <w:rPr>
          <w:rFonts w:eastAsia="MS Mincho"/>
        </w:rPr>
        <w:t xml:space="preserve"> </w:t>
      </w:r>
      <w:r w:rsidRPr="00981405">
        <w:rPr>
          <w:rFonts w:eastAsia="MS Mincho"/>
        </w:rPr>
        <w:t>detailed</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lengthy</w:t>
      </w:r>
      <w:r w:rsidR="00190923" w:rsidRPr="00981405">
        <w:rPr>
          <w:rFonts w:eastAsia="MS Mincho"/>
        </w:rPr>
        <w:t xml:space="preserve"> </w:t>
      </w:r>
      <w:r w:rsidRPr="00981405">
        <w:rPr>
          <w:rFonts w:eastAsia="MS Mincho"/>
        </w:rPr>
        <w:t>provisions</w:t>
      </w:r>
      <w:r w:rsidR="00190923" w:rsidRPr="00981405">
        <w:rPr>
          <w:rFonts w:eastAsia="MS Mincho"/>
        </w:rPr>
        <w:t xml:space="preserve"> </w:t>
      </w:r>
      <w:r w:rsidRPr="00981405">
        <w:rPr>
          <w:rFonts w:eastAsia="MS Mincho"/>
        </w:rPr>
        <w:t>on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00B92E2C" w:rsidRPr="00981405">
        <w:rPr>
          <w:rFonts w:eastAsia="MS Mincho"/>
        </w:rPr>
        <w:t>“</w:t>
      </w:r>
      <w:r w:rsidRPr="00981405">
        <w:rPr>
          <w:rFonts w:eastAsia="MS Mincho"/>
        </w:rPr>
        <w:t>condition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compensation</w:t>
      </w:r>
      <w:r w:rsidR="00B92E2C" w:rsidRPr="00981405">
        <w:rPr>
          <w:rFonts w:eastAsia="MS Mincho"/>
        </w:rPr>
        <w:t>”</w:t>
      </w:r>
      <w:r w:rsidR="00190923" w:rsidRPr="00981405">
        <w:rPr>
          <w:rFonts w:eastAsia="MS Mincho"/>
        </w:rPr>
        <w:t xml:space="preserve"> </w:t>
      </w:r>
      <w:r w:rsidRPr="00981405">
        <w:rPr>
          <w:rFonts w:eastAsia="MS Mincho"/>
        </w:rPr>
        <w:t>and</w:t>
      </w:r>
      <w:r w:rsidR="00190923" w:rsidRPr="00981405">
        <w:rPr>
          <w:rFonts w:eastAsia="MS Mincho"/>
        </w:rPr>
        <w:t xml:space="preserve"> </w:t>
      </w:r>
      <w:r w:rsidR="00B92E2C" w:rsidRPr="00981405">
        <w:rPr>
          <w:rFonts w:eastAsia="MS Mincho"/>
        </w:rPr>
        <w:t>“</w:t>
      </w:r>
      <w:r w:rsidRPr="00981405">
        <w:rPr>
          <w:rFonts w:eastAsia="MS Mincho"/>
        </w:rPr>
        <w:t>condition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reciprocal</w:t>
      </w:r>
      <w:r w:rsidR="00190923" w:rsidRPr="00981405">
        <w:rPr>
          <w:rFonts w:eastAsia="MS Mincho"/>
        </w:rPr>
        <w:t xml:space="preserve"> </w:t>
      </w:r>
      <w:r w:rsidRPr="00981405">
        <w:rPr>
          <w:rFonts w:eastAsia="MS Mincho"/>
        </w:rPr>
        <w:t>treatment,</w:t>
      </w:r>
      <w:r w:rsidR="00B92E2C" w:rsidRPr="00981405">
        <w:rPr>
          <w:rFonts w:eastAsia="MS Mincho"/>
        </w:rPr>
        <w:t>”</w:t>
      </w:r>
      <w:r w:rsidR="00190923" w:rsidRPr="00981405">
        <w:rPr>
          <w:rFonts w:eastAsia="MS Mincho"/>
        </w:rPr>
        <w:t xml:space="preserve"> </w:t>
      </w:r>
      <w:r w:rsidRPr="00981405">
        <w:rPr>
          <w:rFonts w:eastAsia="MS Mincho"/>
        </w:rPr>
        <w:t>reflecting</w:t>
      </w:r>
      <w:r w:rsidR="00190923" w:rsidRPr="00981405">
        <w:rPr>
          <w:rFonts w:eastAsia="MS Mincho"/>
        </w:rPr>
        <w:t xml:space="preserve"> </w:t>
      </w:r>
      <w:r w:rsidRPr="00981405">
        <w:rPr>
          <w:rFonts w:eastAsia="MS Mincho"/>
        </w:rPr>
        <w:t>perhaps</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preoccupation</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part</w:t>
      </w:r>
      <w:r w:rsidR="00190923" w:rsidRPr="00981405">
        <w:rPr>
          <w:rFonts w:eastAsia="MS Mincho"/>
        </w:rPr>
        <w:t xml:space="preserve"> </w:t>
      </w:r>
      <w:r w:rsidRPr="00981405">
        <w:rPr>
          <w:rFonts w:eastAsia="MS Mincho"/>
        </w:rPr>
        <w:t>with</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situation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trading</w:t>
      </w:r>
      <w:r w:rsidR="00190923" w:rsidRPr="00981405">
        <w:rPr>
          <w:rFonts w:eastAsia="MS Mincho"/>
        </w:rPr>
        <w:t xml:space="preserve"> </w:t>
      </w:r>
      <w:r w:rsidRPr="00981405">
        <w:rPr>
          <w:rFonts w:eastAsia="MS Mincho"/>
        </w:rPr>
        <w:t>countries</w:t>
      </w:r>
      <w:r w:rsidR="00190923" w:rsidRPr="00981405">
        <w:rPr>
          <w:rFonts w:eastAsia="MS Mincho"/>
        </w:rPr>
        <w:t xml:space="preserve"> </w:t>
      </w:r>
      <w:r w:rsidRPr="00981405">
        <w:rPr>
          <w:rFonts w:eastAsia="MS Mincho"/>
        </w:rPr>
        <w:t>which</w:t>
      </w:r>
      <w:r w:rsidR="00190923" w:rsidRPr="00981405">
        <w:rPr>
          <w:rFonts w:eastAsia="MS Mincho"/>
        </w:rPr>
        <w:t xml:space="preserve"> </w:t>
      </w:r>
      <w:r w:rsidRPr="00981405">
        <w:rPr>
          <w:rFonts w:eastAsia="MS Mincho"/>
        </w:rPr>
        <w:t>did</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favour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completely</w:t>
      </w:r>
      <w:r w:rsidR="00190923" w:rsidRPr="00981405">
        <w:rPr>
          <w:rFonts w:eastAsia="MS Mincho"/>
        </w:rPr>
        <w:t xml:space="preserve"> </w:t>
      </w:r>
      <w:r w:rsidRPr="00981405">
        <w:rPr>
          <w:rFonts w:eastAsia="MS Mincho"/>
        </w:rPr>
        <w:t>automatic</w:t>
      </w:r>
      <w:r w:rsidR="00190923" w:rsidRPr="00981405">
        <w:rPr>
          <w:rFonts w:eastAsia="MS Mincho"/>
        </w:rPr>
        <w:t xml:space="preserve"> </w:t>
      </w:r>
      <w:r w:rsidRPr="00981405">
        <w:rPr>
          <w:rFonts w:eastAsia="MS Mincho"/>
        </w:rPr>
        <w:t>operation</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clauses.</w:t>
      </w:r>
      <w:r w:rsidR="00190923" w:rsidRPr="00981405">
        <w:rPr>
          <w:rFonts w:eastAsia="MS Mincho"/>
        </w:rPr>
        <w:t xml:space="preserve"> </w:t>
      </w:r>
      <w:r w:rsidRPr="00981405">
        <w:rPr>
          <w:rFonts w:eastAsia="MS Mincho"/>
        </w:rPr>
        <w:t>Furthermore,</w:t>
      </w:r>
      <w:r w:rsidR="00190923" w:rsidRPr="00981405">
        <w:rPr>
          <w:rFonts w:eastAsia="MS Mincho"/>
        </w:rPr>
        <w:t xml:space="preserve"> </w:t>
      </w:r>
      <w:r w:rsidRPr="00981405">
        <w:rPr>
          <w:rFonts w:eastAsia="MS Mincho"/>
        </w:rPr>
        <w:t>controversy</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develop</w:t>
      </w:r>
      <w:r w:rsidR="00190923" w:rsidRPr="00981405">
        <w:rPr>
          <w:rFonts w:eastAsia="MS Mincho"/>
        </w:rPr>
        <w:t xml:space="preserve"> </w:t>
      </w:r>
      <w:r w:rsidRPr="00981405">
        <w:rPr>
          <w:rFonts w:eastAsia="MS Mincho"/>
        </w:rPr>
        <w:t>over</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treatment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matters</w:t>
      </w:r>
      <w:r w:rsidR="00190923" w:rsidRPr="00981405">
        <w:rPr>
          <w:rFonts w:eastAsia="MS Mincho"/>
        </w:rPr>
        <w:t xml:space="preserve"> </w:t>
      </w:r>
      <w:r w:rsidRPr="00981405">
        <w:rPr>
          <w:rFonts w:eastAsia="MS Mincho"/>
        </w:rPr>
        <w:t>such</w:t>
      </w:r>
      <w:r w:rsidR="00190923" w:rsidRPr="00981405">
        <w:rPr>
          <w:rFonts w:eastAsia="MS Mincho"/>
        </w:rPr>
        <w:t xml:space="preserve"> </w:t>
      </w:r>
      <w:r w:rsidRPr="00981405">
        <w:rPr>
          <w:rFonts w:eastAsia="MS Mincho"/>
        </w:rPr>
        <w:t>as</w:t>
      </w:r>
      <w:r w:rsidR="00190923" w:rsidRPr="00981405">
        <w:rPr>
          <w:rFonts w:eastAsia="MS Mincho"/>
        </w:rPr>
        <w:t xml:space="preserve"> </w:t>
      </w:r>
      <w:r w:rsidRPr="00981405">
        <w:rPr>
          <w:rFonts w:eastAsia="MS Mincho"/>
        </w:rPr>
        <w:t>customs</w:t>
      </w:r>
      <w:r w:rsidR="00190923" w:rsidRPr="00981405">
        <w:rPr>
          <w:rFonts w:eastAsia="MS Mincho"/>
        </w:rPr>
        <w:t xml:space="preserve"> </w:t>
      </w:r>
      <w:r w:rsidRPr="00981405">
        <w:rPr>
          <w:rFonts w:eastAsia="MS Mincho"/>
        </w:rPr>
        <w:t>unions</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preferences</w:t>
      </w:r>
      <w:r w:rsidR="00190923" w:rsidRPr="00981405">
        <w:rPr>
          <w:rFonts w:eastAsia="MS Mincho"/>
        </w:rPr>
        <w:t xml:space="preserve"> </w:t>
      </w:r>
      <w:r w:rsidRPr="00981405">
        <w:rPr>
          <w:rFonts w:eastAsia="MS Mincho"/>
        </w:rPr>
        <w:t>for</w:t>
      </w:r>
      <w:r w:rsidR="00190923" w:rsidRPr="00981405">
        <w:rPr>
          <w:rFonts w:eastAsia="MS Mincho"/>
        </w:rPr>
        <w:t xml:space="preserve"> </w:t>
      </w:r>
      <w:r w:rsidRPr="00981405">
        <w:rPr>
          <w:rFonts w:eastAsia="MS Mincho"/>
        </w:rPr>
        <w:t>developing</w:t>
      </w:r>
      <w:r w:rsidR="00190923" w:rsidRPr="00981405">
        <w:rPr>
          <w:rFonts w:eastAsia="MS Mincho"/>
        </w:rPr>
        <w:t xml:space="preserve"> </w:t>
      </w:r>
      <w:r w:rsidRPr="00981405">
        <w:rPr>
          <w:rFonts w:eastAsia="MS Mincho"/>
        </w:rPr>
        <w:t>countries.</w:t>
      </w:r>
    </w:p>
    <w:p w:rsidR="009E7736" w:rsidRPr="00D97463" w:rsidRDefault="009E7736" w:rsidP="00D97463">
      <w:pPr>
        <w:pStyle w:val="SingleTxt"/>
        <w:keepNext/>
        <w:keepLines/>
        <w:spacing w:after="0" w:line="120" w:lineRule="exact"/>
        <w:rPr>
          <w:sz w:val="10"/>
        </w:rPr>
      </w:pPr>
      <w:bookmarkStart w:id="194" w:name="_Toc293434143"/>
      <w:bookmarkStart w:id="195" w:name="_Toc294353659"/>
    </w:p>
    <w:p w:rsidR="00397032" w:rsidRPr="00D97463" w:rsidRDefault="00397032" w:rsidP="00D97463">
      <w:pPr>
        <w:pStyle w:val="H23"/>
        <w:ind w:right="1260"/>
      </w:pPr>
      <w:r w:rsidRPr="00D97463">
        <w:tab/>
      </w:r>
      <w:bookmarkStart w:id="196" w:name="_Toc427938166"/>
      <w:r w:rsidRPr="00D97463">
        <w:t>2.</w:t>
      </w:r>
      <w:r w:rsidRPr="00D97463">
        <w:tab/>
        <w:t>Key</w:t>
      </w:r>
      <w:r w:rsidR="00190923" w:rsidRPr="00D97463">
        <w:t xml:space="preserve"> </w:t>
      </w:r>
      <w:r w:rsidRPr="00D97463">
        <w:t>provisions</w:t>
      </w:r>
      <w:bookmarkEnd w:id="194"/>
      <w:bookmarkEnd w:id="195"/>
      <w:bookmarkEnd w:id="196"/>
    </w:p>
    <w:p w:rsidR="009E7736" w:rsidRPr="00D97463" w:rsidRDefault="009E7736" w:rsidP="00D97463">
      <w:pPr>
        <w:pStyle w:val="SingleTxt"/>
        <w:keepNext/>
        <w:keepLines/>
        <w:spacing w:after="0" w:line="120" w:lineRule="exact"/>
        <w:rPr>
          <w:sz w:val="10"/>
        </w:rPr>
      </w:pPr>
    </w:p>
    <w:p w:rsidR="00397032" w:rsidRPr="00981405" w:rsidRDefault="00397032" w:rsidP="00D97463">
      <w:pPr>
        <w:pStyle w:val="SingleTxt"/>
        <w:keepNext/>
        <w:keepLines/>
        <w:rPr>
          <w:rFonts w:eastAsia="SimSun"/>
        </w:rPr>
      </w:pPr>
      <w:r w:rsidRPr="00981405">
        <w:rPr>
          <w:rFonts w:eastAsia="SimSun"/>
        </w:rPr>
        <w:t>13.</w:t>
      </w:r>
      <w:r w:rsidRPr="00981405">
        <w:rPr>
          <w:rFonts w:eastAsia="SimSun"/>
        </w:rPr>
        <w:tab/>
        <w:t>Although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dealt</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variety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matters,</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appear</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have</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supplanted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subsequent</w:t>
      </w:r>
      <w:r w:rsidR="00190923" w:rsidRPr="00981405">
        <w:rPr>
          <w:rFonts w:eastAsia="SimSun"/>
        </w:rPr>
        <w:t xml:space="preserve"> </w:t>
      </w:r>
      <w:r w:rsidRPr="00981405">
        <w:rPr>
          <w:rFonts w:eastAsia="SimSun"/>
        </w:rPr>
        <w:t>developments,</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laid</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core</w:t>
      </w:r>
      <w:r w:rsidR="00190923" w:rsidRPr="00981405">
        <w:rPr>
          <w:rFonts w:eastAsia="SimSun"/>
        </w:rPr>
        <w:t xml:space="preserve"> </w:t>
      </w:r>
      <w:r w:rsidRPr="00981405">
        <w:rPr>
          <w:rFonts w:eastAsia="SimSun"/>
        </w:rPr>
        <w:t>elements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directions</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their</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key</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functioning</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today.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definition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follows:</w:t>
      </w:r>
      <w:r w:rsidR="00190923" w:rsidRPr="00981405">
        <w:rPr>
          <w:rFonts w:eastAsia="SimSun"/>
        </w:rPr>
        <w:t xml:space="preserve"> </w:t>
      </w:r>
    </w:p>
    <w:p w:rsidR="00397032" w:rsidRPr="00981405" w:rsidRDefault="00B92E2C" w:rsidP="00D97463">
      <w:pPr>
        <w:pStyle w:val="SingleTxt"/>
        <w:ind w:left="1742"/>
      </w:pPr>
      <w:r w:rsidRPr="00981405">
        <w:t>“</w:t>
      </w:r>
      <w:r w:rsidR="00397032" w:rsidRPr="00981405">
        <w:t>treatment</w:t>
      </w:r>
      <w:r w:rsidR="00190923" w:rsidRPr="00981405">
        <w:t xml:space="preserve"> </w:t>
      </w:r>
      <w:r w:rsidR="00397032" w:rsidRPr="00981405">
        <w:t>accorded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granting</w:t>
      </w:r>
      <w:r w:rsidR="00190923" w:rsidRPr="00981405">
        <w:t xml:space="preserve"> </w:t>
      </w:r>
      <w:r w:rsidR="00397032" w:rsidRPr="00981405">
        <w:t>State</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beneficiary</w:t>
      </w:r>
      <w:r w:rsidR="00190923" w:rsidRPr="00981405">
        <w:t xml:space="preserve"> </w:t>
      </w:r>
      <w:r w:rsidR="00397032" w:rsidRPr="00981405">
        <w:t>State,</w:t>
      </w:r>
      <w:r w:rsidR="00190923" w:rsidRPr="00981405">
        <w:t xml:space="preserve"> </w:t>
      </w:r>
      <w:r w:rsidR="00397032" w:rsidRPr="00981405">
        <w:t>or</w:t>
      </w:r>
      <w:r w:rsidR="00190923" w:rsidRPr="00981405">
        <w:t xml:space="preserve"> </w:t>
      </w:r>
      <w:r w:rsidR="00397032" w:rsidRPr="00981405">
        <w:t>to</w:t>
      </w:r>
      <w:r w:rsidR="00190923" w:rsidRPr="00981405">
        <w:t xml:space="preserve"> </w:t>
      </w:r>
      <w:r w:rsidR="00397032" w:rsidRPr="00981405">
        <w:t>persons</w:t>
      </w:r>
      <w:r w:rsidR="00190923" w:rsidRPr="00981405">
        <w:t xml:space="preserve"> </w:t>
      </w:r>
      <w:r w:rsidR="00397032" w:rsidRPr="00981405">
        <w:t>or</w:t>
      </w:r>
      <w:r w:rsidR="00190923" w:rsidRPr="00981405">
        <w:t xml:space="preserve"> </w:t>
      </w:r>
      <w:r w:rsidR="00397032" w:rsidRPr="00981405">
        <w:t>things</w:t>
      </w:r>
      <w:r w:rsidR="00190923" w:rsidRPr="00981405">
        <w:t xml:space="preserve"> </w:t>
      </w:r>
      <w:r w:rsidR="00397032" w:rsidRPr="00981405">
        <w:t>in</w:t>
      </w:r>
      <w:r w:rsidR="00190923" w:rsidRPr="00981405">
        <w:t xml:space="preserve"> </w:t>
      </w:r>
      <w:r w:rsidR="00397032" w:rsidRPr="00981405">
        <w:t>a</w:t>
      </w:r>
      <w:r w:rsidR="00190923" w:rsidRPr="00981405">
        <w:t xml:space="preserve"> </w:t>
      </w:r>
      <w:r w:rsidR="00397032" w:rsidRPr="00981405">
        <w:t>determined</w:t>
      </w:r>
      <w:r w:rsidR="00190923" w:rsidRPr="00981405">
        <w:t xml:space="preserve"> </w:t>
      </w:r>
      <w:r w:rsidR="00397032" w:rsidRPr="00981405">
        <w:t>relationship</w:t>
      </w:r>
      <w:r w:rsidR="00190923" w:rsidRPr="00981405">
        <w:t xml:space="preserve"> </w:t>
      </w:r>
      <w:r w:rsidR="00397032" w:rsidRPr="00981405">
        <w:t>with</w:t>
      </w:r>
      <w:r w:rsidR="00190923" w:rsidRPr="00981405">
        <w:t xml:space="preserve"> </w:t>
      </w:r>
      <w:r w:rsidR="00397032" w:rsidRPr="00981405">
        <w:t>that</w:t>
      </w:r>
      <w:r w:rsidR="00190923" w:rsidRPr="00981405">
        <w:t xml:space="preserve"> </w:t>
      </w:r>
      <w:r w:rsidR="00397032" w:rsidRPr="00981405">
        <w:t>State,</w:t>
      </w:r>
      <w:r w:rsidR="00190923" w:rsidRPr="00981405">
        <w:t xml:space="preserve"> </w:t>
      </w:r>
      <w:r w:rsidR="00397032" w:rsidRPr="00981405">
        <w:t>not</w:t>
      </w:r>
      <w:r w:rsidR="00190923" w:rsidRPr="00981405">
        <w:t xml:space="preserve"> </w:t>
      </w:r>
      <w:r w:rsidR="00397032" w:rsidRPr="00981405">
        <w:t>less</w:t>
      </w:r>
      <w:r w:rsidR="00190923" w:rsidRPr="00981405">
        <w:t xml:space="preserve"> </w:t>
      </w:r>
      <w:r w:rsidR="00397032" w:rsidRPr="00981405">
        <w:t>favourable</w:t>
      </w:r>
      <w:r w:rsidR="00190923" w:rsidRPr="00981405">
        <w:t xml:space="preserve"> </w:t>
      </w:r>
      <w:r w:rsidR="00397032" w:rsidRPr="00981405">
        <w:t>than</w:t>
      </w:r>
      <w:r w:rsidR="00190923" w:rsidRPr="00981405">
        <w:t xml:space="preserve"> </w:t>
      </w:r>
      <w:r w:rsidR="00397032" w:rsidRPr="00981405">
        <w:t>treatment</w:t>
      </w:r>
      <w:r w:rsidR="00190923" w:rsidRPr="00981405">
        <w:t xml:space="preserve"> </w:t>
      </w:r>
      <w:r w:rsidR="00397032" w:rsidRPr="00981405">
        <w:t>extended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granting</w:t>
      </w:r>
      <w:r w:rsidR="00190923" w:rsidRPr="00981405">
        <w:t xml:space="preserve"> </w:t>
      </w:r>
      <w:r w:rsidR="00397032" w:rsidRPr="00981405">
        <w:t>State</w:t>
      </w:r>
      <w:r w:rsidR="00190923" w:rsidRPr="00981405">
        <w:t xml:space="preserve"> </w:t>
      </w:r>
      <w:r w:rsidR="00397032" w:rsidRPr="00981405">
        <w:t>to</w:t>
      </w:r>
      <w:r w:rsidR="00190923" w:rsidRPr="00981405">
        <w:t xml:space="preserve"> </w:t>
      </w:r>
      <w:r w:rsidR="00397032" w:rsidRPr="00981405">
        <w:t>a</w:t>
      </w:r>
      <w:r w:rsidR="00190923" w:rsidRPr="00981405">
        <w:t xml:space="preserve"> </w:t>
      </w:r>
      <w:r w:rsidR="00397032" w:rsidRPr="00981405">
        <w:t>third</w:t>
      </w:r>
      <w:r w:rsidR="00190923" w:rsidRPr="00981405">
        <w:t xml:space="preserve"> </w:t>
      </w:r>
      <w:r w:rsidR="00397032" w:rsidRPr="00981405">
        <w:t>State</w:t>
      </w:r>
      <w:r w:rsidR="00190923" w:rsidRPr="00981405">
        <w:t xml:space="preserve"> </w:t>
      </w:r>
      <w:r w:rsidR="00397032" w:rsidRPr="00981405">
        <w:t>or</w:t>
      </w:r>
      <w:r w:rsidR="00190923" w:rsidRPr="00981405">
        <w:t xml:space="preserve"> </w:t>
      </w:r>
      <w:r w:rsidR="00397032" w:rsidRPr="00981405">
        <w:t>to</w:t>
      </w:r>
      <w:r w:rsidR="00190923" w:rsidRPr="00981405">
        <w:t xml:space="preserve"> </w:t>
      </w:r>
      <w:r w:rsidR="00397032" w:rsidRPr="00981405">
        <w:t>persons</w:t>
      </w:r>
      <w:r w:rsidR="00190923" w:rsidRPr="00981405">
        <w:t xml:space="preserve"> </w:t>
      </w:r>
      <w:r w:rsidR="00397032" w:rsidRPr="00981405">
        <w:t>or</w:t>
      </w:r>
      <w:r w:rsidR="00190923" w:rsidRPr="00981405">
        <w:t xml:space="preserve"> </w:t>
      </w:r>
      <w:r w:rsidR="00397032" w:rsidRPr="00981405">
        <w:t>things</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same</w:t>
      </w:r>
      <w:r w:rsidR="00190923" w:rsidRPr="00981405">
        <w:t xml:space="preserve"> </w:t>
      </w:r>
      <w:r w:rsidR="00397032" w:rsidRPr="00981405">
        <w:t>relationship</w:t>
      </w:r>
      <w:r w:rsidR="00190923" w:rsidRPr="00981405">
        <w:t xml:space="preserve"> </w:t>
      </w:r>
      <w:r w:rsidR="00397032" w:rsidRPr="00981405">
        <w:t>with</w:t>
      </w:r>
      <w:r w:rsidR="00190923" w:rsidRPr="00981405">
        <w:t xml:space="preserve"> </w:t>
      </w:r>
      <w:r w:rsidR="00397032" w:rsidRPr="00981405">
        <w:t>that</w:t>
      </w:r>
      <w:r w:rsidR="00190923" w:rsidRPr="00981405">
        <w:t xml:space="preserve"> </w:t>
      </w:r>
      <w:r w:rsidR="00397032" w:rsidRPr="00981405">
        <w:t>third</w:t>
      </w:r>
      <w:r w:rsidR="00190923" w:rsidRPr="00981405">
        <w:t xml:space="preserve"> </w:t>
      </w:r>
      <w:r w:rsidR="00397032" w:rsidRPr="00981405">
        <w:t>State.</w:t>
      </w:r>
      <w:r w:rsidRPr="00981405">
        <w:t>”</w:t>
      </w:r>
      <w:r w:rsidR="00397032" w:rsidRPr="00981405">
        <w:rPr>
          <w:rStyle w:val="FootnoteReference"/>
        </w:rPr>
        <w:footnoteReference w:id="426"/>
      </w:r>
    </w:p>
    <w:p w:rsidR="00397032" w:rsidRPr="00981405" w:rsidRDefault="00397032" w:rsidP="00D97463">
      <w:pPr>
        <w:pStyle w:val="SingleTxt"/>
        <w:rPr>
          <w:rFonts w:eastAsia="SimSun"/>
        </w:rPr>
      </w:pPr>
      <w:r w:rsidRPr="00981405">
        <w:rPr>
          <w:rFonts w:eastAsia="SimSun"/>
        </w:rPr>
        <w:t>Although</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definition</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criticized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being</w:t>
      </w:r>
      <w:r w:rsidR="00190923" w:rsidRPr="00981405">
        <w:rPr>
          <w:rFonts w:eastAsia="SimSun"/>
        </w:rPr>
        <w:t xml:space="preserve"> </w:t>
      </w:r>
      <w:r w:rsidRPr="00981405">
        <w:rPr>
          <w:rFonts w:eastAsia="SimSun"/>
        </w:rPr>
        <w:t>obscure</w:t>
      </w:r>
      <w:r w:rsidRPr="00981405">
        <w:rPr>
          <w:rStyle w:val="FootnoteReference"/>
        </w:rPr>
        <w:footnoteReference w:id="427"/>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does</w:t>
      </w:r>
      <w:r w:rsidR="00190923" w:rsidRPr="00981405">
        <w:rPr>
          <w:rFonts w:eastAsia="SimSun"/>
        </w:rPr>
        <w:t xml:space="preserve"> </w:t>
      </w:r>
      <w:r w:rsidRPr="00981405">
        <w:rPr>
          <w:rFonts w:eastAsia="SimSun"/>
        </w:rPr>
        <w:t>contain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key</w:t>
      </w:r>
      <w:r w:rsidR="00190923" w:rsidRPr="00981405">
        <w:rPr>
          <w:rFonts w:eastAsia="SimSun"/>
        </w:rPr>
        <w:t xml:space="preserve"> </w:t>
      </w:r>
      <w:r w:rsidRPr="00981405">
        <w:rPr>
          <w:rFonts w:eastAsia="SimSun"/>
        </w:rPr>
        <w:t>elements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subsequent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elaborate</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this.</w:t>
      </w:r>
    </w:p>
    <w:p w:rsidR="00397032" w:rsidRPr="00981405" w:rsidRDefault="00397032" w:rsidP="00D97463">
      <w:pPr>
        <w:pStyle w:val="SingleTxt"/>
        <w:rPr>
          <w:rFonts w:eastAsia="SimSun"/>
        </w:rPr>
      </w:pPr>
      <w:r w:rsidRPr="00981405">
        <w:rPr>
          <w:rFonts w:eastAsia="SimSun"/>
        </w:rPr>
        <w:t>14.</w:t>
      </w:r>
      <w:r w:rsidRPr="00981405">
        <w:rPr>
          <w:rFonts w:eastAsia="SimSun"/>
        </w:rPr>
        <w:tab/>
        <w:t>In</w:t>
      </w:r>
      <w:r w:rsidR="00190923" w:rsidRPr="00981405">
        <w:rPr>
          <w:rFonts w:eastAsia="SimSun"/>
        </w:rPr>
        <w:t xml:space="preserve"> </w:t>
      </w:r>
      <w:r w:rsidRPr="00981405">
        <w:rPr>
          <w:rFonts w:eastAsia="SimSun"/>
        </w:rPr>
        <w:t>particular,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make</w:t>
      </w:r>
      <w:r w:rsidR="00190923" w:rsidRPr="00981405">
        <w:rPr>
          <w:rFonts w:eastAsia="SimSun"/>
        </w:rPr>
        <w:t xml:space="preserve"> </w:t>
      </w:r>
      <w:r w:rsidRPr="00981405">
        <w:rPr>
          <w:rFonts w:eastAsia="SimSun"/>
        </w:rPr>
        <w:t>clear</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MS Mincho"/>
        </w:rPr>
        <w:t>an</w:t>
      </w:r>
      <w:r w:rsidR="00190923" w:rsidRPr="00981405">
        <w:rPr>
          <w:rFonts w:eastAsia="MS Mincho"/>
        </w:rPr>
        <w:t xml:space="preserve"> </w:t>
      </w:r>
      <w:r w:rsidRPr="00981405">
        <w:rPr>
          <w:rFonts w:eastAsia="MS Mincho"/>
        </w:rPr>
        <w:t>exception</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general</w:t>
      </w:r>
      <w:r w:rsidR="00190923" w:rsidRPr="00981405">
        <w:rPr>
          <w:rFonts w:eastAsia="MS Mincho"/>
        </w:rPr>
        <w:t xml:space="preserve"> </w:t>
      </w:r>
      <w:r w:rsidRPr="00981405">
        <w:rPr>
          <w:rFonts w:eastAsia="MS Mincho"/>
        </w:rPr>
        <w:t>rule</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effect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treaties</w:t>
      </w:r>
      <w:r w:rsidR="00190923" w:rsidRPr="00981405">
        <w:rPr>
          <w:rFonts w:eastAsia="MS Mincho"/>
        </w:rPr>
        <w:t xml:space="preserve"> </w:t>
      </w:r>
      <w:r w:rsidR="003342A7" w:rsidRPr="003342A7">
        <w:rPr>
          <w:rFonts w:eastAsia="MS Mincho"/>
          <w:i/>
          <w:iCs/>
        </w:rPr>
        <w:t>vis-à-vis</w:t>
      </w:r>
      <w:r w:rsidR="00190923" w:rsidRPr="00981405">
        <w:rPr>
          <w:rFonts w:eastAsia="MS Mincho"/>
        </w:rPr>
        <w:t xml:space="preserve"> </w:t>
      </w:r>
      <w:r w:rsidRPr="00981405">
        <w:rPr>
          <w:rFonts w:eastAsia="MS Mincho"/>
        </w:rPr>
        <w:t>third</w:t>
      </w:r>
      <w:r w:rsidR="00190923" w:rsidRPr="00981405">
        <w:rPr>
          <w:rFonts w:eastAsia="MS Mincho"/>
        </w:rPr>
        <w:t xml:space="preserve"> </w:t>
      </w:r>
      <w:r w:rsidRPr="00981405">
        <w:rPr>
          <w:rFonts w:eastAsia="MS Mincho"/>
        </w:rPr>
        <w:t>States.</w:t>
      </w:r>
      <w:r w:rsidRPr="00981405">
        <w:rPr>
          <w:rStyle w:val="FootnoteReference"/>
        </w:rPr>
        <w:footnoteReference w:id="428"/>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right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t>MFN</w:t>
      </w:r>
      <w:r w:rsidR="00190923" w:rsidRPr="00981405">
        <w:t xml:space="preserve"> </w:t>
      </w:r>
      <w:r w:rsidRPr="00981405">
        <w:t>treatment</w:t>
      </w:r>
      <w:r w:rsidR="00190923" w:rsidRPr="00981405">
        <w:t xml:space="preserve"> </w:t>
      </w:r>
      <w:r w:rsidRPr="00981405">
        <w:t>is</w:t>
      </w:r>
      <w:r w:rsidR="00190923" w:rsidRPr="00981405">
        <w:t xml:space="preserve"> </w:t>
      </w:r>
      <w:r w:rsidRPr="00981405">
        <w:t>premised</w:t>
      </w:r>
      <w:r w:rsidR="00190923" w:rsidRPr="00981405">
        <w:t xml:space="preserve"> </w:t>
      </w:r>
      <w:r w:rsidRPr="00981405">
        <w:t>on</w:t>
      </w:r>
      <w:r w:rsidR="00190923" w:rsidRPr="00981405">
        <w:t xml:space="preserve"> </w:t>
      </w:r>
      <w:r w:rsidRPr="00981405">
        <w:t>the</w:t>
      </w:r>
      <w:r w:rsidR="00190923" w:rsidRPr="00981405">
        <w:t xml:space="preserve"> </w:t>
      </w:r>
      <w:r w:rsidRPr="00981405">
        <w:t>treaty</w:t>
      </w:r>
      <w:r w:rsidR="00190923" w:rsidRPr="00981405">
        <w:t xml:space="preserve"> </w:t>
      </w:r>
      <w:r w:rsidRPr="00981405">
        <w:t>containing</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being</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establishing</w:t>
      </w:r>
      <w:r w:rsidR="00190923" w:rsidRPr="00981405">
        <w:t xml:space="preserve"> </w:t>
      </w:r>
      <w:r w:rsidRPr="00981405">
        <w:t>the</w:t>
      </w:r>
      <w:r w:rsidR="00190923" w:rsidRPr="00981405">
        <w:t xml:space="preserve"> </w:t>
      </w:r>
      <w:r w:rsidRPr="00981405">
        <w:t>juridical</w:t>
      </w:r>
      <w:r w:rsidR="00190923" w:rsidRPr="00981405">
        <w:t xml:space="preserve"> </w:t>
      </w:r>
      <w:r w:rsidRPr="00981405">
        <w:t>link</w:t>
      </w:r>
      <w:r w:rsidR="00190923" w:rsidRPr="00981405">
        <w:t xml:space="preserve"> </w:t>
      </w:r>
      <w:r w:rsidRPr="00981405">
        <w:t>between</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190923" w:rsidRPr="00981405">
        <w:t xml:space="preserve"> </w:t>
      </w:r>
      <w:r w:rsidRPr="00981405">
        <w:t>and</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State</w:t>
      </w:r>
      <w:r w:rsidRPr="00981405">
        <w:rPr>
          <w:rFonts w:eastAsia="MS Mincho"/>
        </w:rPr>
        <w:t>.</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other</w:t>
      </w:r>
      <w:r w:rsidR="00190923" w:rsidRPr="00981405">
        <w:rPr>
          <w:rFonts w:eastAsia="MS Mincho"/>
        </w:rPr>
        <w:t xml:space="preserve"> </w:t>
      </w:r>
      <w:r w:rsidRPr="00981405">
        <w:rPr>
          <w:rFonts w:eastAsia="MS Mincho"/>
        </w:rPr>
        <w:t>words,</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right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beneficiary</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treatment</w:t>
      </w:r>
      <w:r w:rsidR="00190923" w:rsidRPr="00981405">
        <w:rPr>
          <w:rFonts w:eastAsia="MS Mincho"/>
        </w:rPr>
        <w:t xml:space="preserve"> </w:t>
      </w:r>
      <w:r w:rsidRPr="00981405">
        <w:rPr>
          <w:rFonts w:eastAsia="MS Mincho"/>
        </w:rPr>
        <w:t>arises</w:t>
      </w:r>
      <w:r w:rsidR="00190923" w:rsidRPr="00981405">
        <w:rPr>
          <w:rFonts w:eastAsia="MS Mincho"/>
        </w:rPr>
        <w:t xml:space="preserve"> </w:t>
      </w:r>
      <w:r w:rsidRPr="00981405">
        <w:rPr>
          <w:rFonts w:eastAsia="MS Mincho"/>
        </w:rPr>
        <w:t>only</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MFN</w:t>
      </w:r>
      <w:r w:rsidR="00190923" w:rsidRPr="00981405">
        <w:rPr>
          <w:rFonts w:eastAsia="MS Mincho"/>
        </w:rPr>
        <w:t xml:space="preserve"> </w:t>
      </w:r>
      <w:r w:rsidRPr="00981405">
        <w:rPr>
          <w:rFonts w:eastAsia="MS Mincho"/>
        </w:rPr>
        <w:t>clause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treaty</w:t>
      </w:r>
      <w:r w:rsidR="00190923" w:rsidRPr="00981405">
        <w:rPr>
          <w:rFonts w:eastAsia="MS Mincho"/>
        </w:rPr>
        <w:t xml:space="preserve"> </w:t>
      </w:r>
      <w:r w:rsidRPr="00981405">
        <w:rPr>
          <w:rFonts w:eastAsia="MS Mincho"/>
        </w:rPr>
        <w:t>between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granting</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beneficiary</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not</w:t>
      </w:r>
      <w:r w:rsidR="00190923" w:rsidRPr="00981405">
        <w:rPr>
          <w:rFonts w:eastAsia="MS Mincho"/>
        </w:rPr>
        <w:t xml:space="preserve"> </w:t>
      </w:r>
      <w:r w:rsidRPr="00981405">
        <w:rPr>
          <w:rFonts w:eastAsia="MS Mincho"/>
        </w:rPr>
        <w:t>from</w:t>
      </w:r>
      <w:r w:rsidR="00190923" w:rsidRPr="00981405">
        <w:rPr>
          <w:rFonts w:eastAsia="MS Mincho"/>
        </w:rPr>
        <w:t xml:space="preserve"> </w:t>
      </w:r>
      <w:r w:rsidRPr="00981405">
        <w:rPr>
          <w:rFonts w:eastAsia="MS Mincho"/>
        </w:rPr>
        <w:t>a</w:t>
      </w:r>
      <w:r w:rsidR="00190923" w:rsidRPr="00981405">
        <w:rPr>
          <w:rFonts w:eastAsia="MS Mincho"/>
        </w:rPr>
        <w:t xml:space="preserve"> </w:t>
      </w:r>
      <w:r w:rsidRPr="00981405">
        <w:rPr>
          <w:rFonts w:eastAsia="MS Mincho"/>
        </w:rPr>
        <w:t>treaty</w:t>
      </w:r>
      <w:r w:rsidR="00190923" w:rsidRPr="00981405">
        <w:rPr>
          <w:rFonts w:eastAsia="MS Mincho"/>
        </w:rPr>
        <w:t xml:space="preserve"> </w:t>
      </w:r>
      <w:r w:rsidRPr="00981405">
        <w:rPr>
          <w:rFonts w:eastAsia="MS Mincho"/>
        </w:rPr>
        <w:t>between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granting</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and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third</w:t>
      </w:r>
      <w:r w:rsidR="00190923" w:rsidRPr="00981405">
        <w:rPr>
          <w:rFonts w:eastAsia="MS Mincho"/>
        </w:rPr>
        <w:t xml:space="preserve"> </w:t>
      </w:r>
      <w:r w:rsidRPr="00981405">
        <w:rPr>
          <w:rFonts w:eastAsia="MS Mincho"/>
        </w:rPr>
        <w:t>State.</w:t>
      </w:r>
      <w:r w:rsidR="00190923" w:rsidRPr="00981405">
        <w:rPr>
          <w:rFonts w:eastAsia="MS Mincho"/>
        </w:rPr>
        <w:t xml:space="preserve"> </w:t>
      </w:r>
      <w:r w:rsidRPr="00981405">
        <w:rPr>
          <w:rFonts w:eastAsia="MS Mincho"/>
        </w:rPr>
        <w:t>Thus,</w:t>
      </w:r>
      <w:r w:rsidR="00190923" w:rsidRPr="00981405">
        <w:rPr>
          <w:rFonts w:eastAsia="MS Mincho"/>
        </w:rPr>
        <w:t xml:space="preserve"> </w:t>
      </w:r>
      <w:r w:rsidRPr="00981405">
        <w:rPr>
          <w:rFonts w:eastAsia="MS Mincho"/>
        </w:rPr>
        <w:t>no</w:t>
      </w:r>
      <w:r w:rsidR="00190923" w:rsidRPr="00981405">
        <w:rPr>
          <w:rFonts w:eastAsia="MS Mincho"/>
        </w:rPr>
        <w:t xml:space="preserve"> </w:t>
      </w:r>
      <w:r w:rsidRPr="00D97463">
        <w:rPr>
          <w:rFonts w:eastAsia="MS Mincho"/>
          <w:i/>
          <w:iCs/>
        </w:rPr>
        <w:t>jus</w:t>
      </w:r>
      <w:r w:rsidR="00190923" w:rsidRPr="00D97463">
        <w:rPr>
          <w:rFonts w:eastAsia="MS Mincho"/>
          <w:i/>
          <w:iCs/>
        </w:rPr>
        <w:t xml:space="preserve"> </w:t>
      </w:r>
      <w:r w:rsidRPr="00D97463">
        <w:rPr>
          <w:rFonts w:eastAsia="MS Mincho"/>
          <w:i/>
          <w:iCs/>
        </w:rPr>
        <w:t>tertii</w:t>
      </w:r>
      <w:r w:rsidR="00190923" w:rsidRPr="00981405">
        <w:rPr>
          <w:rFonts w:eastAsia="MS Mincho"/>
        </w:rPr>
        <w:t xml:space="preserve"> </w:t>
      </w:r>
      <w:r w:rsidRPr="00981405">
        <w:rPr>
          <w:rFonts w:eastAsia="MS Mincho"/>
        </w:rPr>
        <w:t>is</w:t>
      </w:r>
      <w:r w:rsidR="00190923" w:rsidRPr="00981405">
        <w:rPr>
          <w:rFonts w:eastAsia="MS Mincho"/>
        </w:rPr>
        <w:t xml:space="preserve"> </w:t>
      </w:r>
      <w:r w:rsidRPr="00981405">
        <w:rPr>
          <w:rFonts w:eastAsia="MS Mincho"/>
        </w:rPr>
        <w:t>created.</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this</w:t>
      </w:r>
      <w:r w:rsidR="00190923" w:rsidRPr="00981405">
        <w:rPr>
          <w:rFonts w:eastAsia="MS Mincho"/>
        </w:rPr>
        <w:t xml:space="preserve"> </w:t>
      </w:r>
      <w:r w:rsidRPr="00981405">
        <w:rPr>
          <w:rFonts w:eastAsia="MS Mincho"/>
        </w:rPr>
        <w:t>regard,</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Commission</w:t>
      </w:r>
      <w:r w:rsidR="00190923" w:rsidRPr="00981405">
        <w:rPr>
          <w:rFonts w:eastAsia="MS Mincho"/>
        </w:rPr>
        <w:t xml:space="preserve"> </w:t>
      </w:r>
      <w:r w:rsidRPr="00981405">
        <w:rPr>
          <w:rFonts w:eastAsia="MS Mincho"/>
        </w:rPr>
        <w:t>was</w:t>
      </w:r>
      <w:r w:rsidR="00190923" w:rsidRPr="00981405">
        <w:rPr>
          <w:rFonts w:eastAsia="MS Mincho"/>
        </w:rPr>
        <w:t xml:space="preserve"> </w:t>
      </w:r>
      <w:r w:rsidRPr="00981405">
        <w:rPr>
          <w:rFonts w:eastAsia="MS Mincho"/>
        </w:rPr>
        <w:t>giving</w:t>
      </w:r>
      <w:r w:rsidR="00190923" w:rsidRPr="00981405">
        <w:rPr>
          <w:rFonts w:eastAsia="MS Mincho"/>
        </w:rPr>
        <w:t xml:space="preserve"> </w:t>
      </w:r>
      <w:r w:rsidRPr="00981405">
        <w:rPr>
          <w:rFonts w:eastAsia="MS Mincho"/>
        </w:rPr>
        <w:t>effect</w:t>
      </w:r>
      <w:r w:rsidR="00190923" w:rsidRPr="00981405">
        <w:rPr>
          <w:rFonts w:eastAsia="MS Mincho"/>
        </w:rPr>
        <w:t xml:space="preserve"> </w:t>
      </w:r>
      <w:r w:rsidRPr="00981405">
        <w:rPr>
          <w:rFonts w:eastAsia="MS Mincho"/>
        </w:rPr>
        <w:t>to</w:t>
      </w:r>
      <w:r w:rsidR="00190923" w:rsidRPr="00981405">
        <w:rPr>
          <w:rFonts w:eastAsia="MS Mincho"/>
        </w:rPr>
        <w:t xml:space="preserve"> </w:t>
      </w:r>
      <w:r w:rsidRPr="00981405">
        <w:rPr>
          <w:rFonts w:eastAsia="MS Mincho"/>
        </w:rPr>
        <w:t>what</w:t>
      </w:r>
      <w:r w:rsidR="00190923" w:rsidRPr="00981405">
        <w:rPr>
          <w:rFonts w:eastAsia="MS Mincho"/>
        </w:rPr>
        <w:t xml:space="preserve"> </w:t>
      </w:r>
      <w:r w:rsidRPr="00981405">
        <w:rPr>
          <w:rFonts w:eastAsia="MS Mincho"/>
        </w:rPr>
        <w:t>had</w:t>
      </w:r>
      <w:r w:rsidR="00190923" w:rsidRPr="00981405">
        <w:rPr>
          <w:rFonts w:eastAsia="MS Mincho"/>
        </w:rPr>
        <w:t xml:space="preserve"> </w:t>
      </w:r>
      <w:r w:rsidRPr="00981405">
        <w:rPr>
          <w:rFonts w:eastAsia="MS Mincho"/>
        </w:rPr>
        <w:t>already</w:t>
      </w:r>
      <w:r w:rsidR="00190923" w:rsidRPr="00981405">
        <w:rPr>
          <w:rFonts w:eastAsia="MS Mincho"/>
        </w:rPr>
        <w:t xml:space="preserve"> </w:t>
      </w:r>
      <w:r w:rsidRPr="00981405">
        <w:rPr>
          <w:rFonts w:eastAsia="MS Mincho"/>
        </w:rPr>
        <w:t>been</w:t>
      </w:r>
      <w:r w:rsidR="00190923" w:rsidRPr="00981405">
        <w:rPr>
          <w:rFonts w:eastAsia="MS Mincho"/>
        </w:rPr>
        <w:t xml:space="preserve"> </w:t>
      </w:r>
      <w:r w:rsidRPr="00981405">
        <w:rPr>
          <w:rFonts w:eastAsia="MS Mincho"/>
        </w:rPr>
        <w:t>decided</w:t>
      </w:r>
      <w:r w:rsidR="00190923" w:rsidRPr="00981405">
        <w:rPr>
          <w:rFonts w:eastAsia="MS Mincho"/>
        </w:rPr>
        <w:t xml:space="preserve"> </w:t>
      </w:r>
      <w:r w:rsidRPr="00981405">
        <w:rPr>
          <w:rFonts w:eastAsia="MS Mincho"/>
        </w:rPr>
        <w:t>by</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981405">
        <w:rPr>
          <w:rFonts w:eastAsia="MS Mincho"/>
        </w:rPr>
        <w:t>International</w:t>
      </w:r>
      <w:r w:rsidR="00190923" w:rsidRPr="00981405">
        <w:rPr>
          <w:rFonts w:eastAsia="MS Mincho"/>
        </w:rPr>
        <w:t xml:space="preserve"> </w:t>
      </w:r>
      <w:r w:rsidRPr="00981405">
        <w:rPr>
          <w:rFonts w:eastAsia="MS Mincho"/>
        </w:rPr>
        <w:t>Court</w:t>
      </w:r>
      <w:r w:rsidR="00190923" w:rsidRPr="00981405">
        <w:rPr>
          <w:rFonts w:eastAsia="MS Mincho"/>
        </w:rPr>
        <w:t xml:space="preserve"> </w:t>
      </w:r>
      <w:r w:rsidRPr="00981405">
        <w:rPr>
          <w:rFonts w:eastAsia="MS Mincho"/>
        </w:rPr>
        <w:t>of</w:t>
      </w:r>
      <w:r w:rsidR="00190923" w:rsidRPr="00981405">
        <w:rPr>
          <w:rFonts w:eastAsia="MS Mincho"/>
        </w:rPr>
        <w:t xml:space="preserve"> </w:t>
      </w:r>
      <w:r w:rsidRPr="00981405">
        <w:rPr>
          <w:rFonts w:eastAsia="MS Mincho"/>
        </w:rPr>
        <w:t>Justice</w:t>
      </w:r>
      <w:r w:rsidR="00190923" w:rsidRPr="00981405">
        <w:rPr>
          <w:rFonts w:eastAsia="MS Mincho"/>
        </w:rPr>
        <w:t xml:space="preserve"> </w:t>
      </w:r>
      <w:r w:rsidRPr="00981405">
        <w:rPr>
          <w:rFonts w:eastAsia="MS Mincho"/>
        </w:rPr>
        <w:t>in</w:t>
      </w:r>
      <w:r w:rsidR="00190923" w:rsidRPr="00981405">
        <w:rPr>
          <w:rFonts w:eastAsia="MS Mincho"/>
        </w:rPr>
        <w:t xml:space="preserve"> </w:t>
      </w:r>
      <w:r w:rsidRPr="00981405">
        <w:rPr>
          <w:rFonts w:eastAsia="MS Mincho"/>
        </w:rPr>
        <w:t>the</w:t>
      </w:r>
      <w:r w:rsidR="00190923" w:rsidRPr="00981405">
        <w:rPr>
          <w:rFonts w:eastAsia="MS Mincho"/>
        </w:rPr>
        <w:t xml:space="preserve"> </w:t>
      </w:r>
      <w:r w:rsidRPr="00D97463">
        <w:rPr>
          <w:rFonts w:eastAsia="MS Mincho"/>
          <w:i/>
          <w:iCs/>
        </w:rPr>
        <w:t>Anglo-Iranian</w:t>
      </w:r>
      <w:r w:rsidR="00190923" w:rsidRPr="00D97463">
        <w:rPr>
          <w:rFonts w:eastAsia="MS Mincho"/>
          <w:i/>
          <w:iCs/>
        </w:rPr>
        <w:t xml:space="preserve"> </w:t>
      </w:r>
      <w:r w:rsidRPr="00D97463">
        <w:rPr>
          <w:rFonts w:eastAsia="MS Mincho"/>
          <w:i/>
          <w:iCs/>
        </w:rPr>
        <w:t>Oil</w:t>
      </w:r>
      <w:r w:rsidR="00190923" w:rsidRPr="00D97463">
        <w:rPr>
          <w:rFonts w:eastAsia="MS Mincho"/>
          <w:i/>
          <w:iCs/>
        </w:rPr>
        <w:t xml:space="preserve"> </w:t>
      </w:r>
      <w:r w:rsidRPr="00D97463">
        <w:rPr>
          <w:rFonts w:eastAsia="MS Mincho"/>
          <w:i/>
          <w:iCs/>
        </w:rPr>
        <w:t>Co</w:t>
      </w:r>
      <w:r w:rsidR="00190923" w:rsidRPr="00981405">
        <w:rPr>
          <w:rFonts w:eastAsia="SimSun"/>
        </w:rPr>
        <w:t xml:space="preserve"> </w:t>
      </w:r>
      <w:r w:rsidRPr="00981405">
        <w:t>case.</w:t>
      </w:r>
      <w:r w:rsidRPr="00981405">
        <w:rPr>
          <w:rStyle w:val="FootnoteReference"/>
        </w:rPr>
        <w:footnoteReference w:id="429"/>
      </w:r>
    </w:p>
    <w:p w:rsidR="00397032" w:rsidRPr="00981405" w:rsidRDefault="00397032" w:rsidP="00D97463">
      <w:pPr>
        <w:pStyle w:val="SingleTxt"/>
        <w:rPr>
          <w:rFonts w:eastAsia="SimSun"/>
        </w:rPr>
      </w:pPr>
      <w:r w:rsidRPr="00981405">
        <w:rPr>
          <w:rFonts w:eastAsia="SimSun"/>
        </w:rPr>
        <w:t>15.</w:t>
      </w:r>
      <w:r w:rsidRPr="00981405">
        <w:rPr>
          <w:rFonts w:eastAsia="SimSun"/>
        </w:rPr>
        <w:tab/>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include</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important</w:t>
      </w:r>
      <w:r w:rsidR="00190923" w:rsidRPr="00981405">
        <w:rPr>
          <w:rFonts w:eastAsia="SimSun"/>
        </w:rPr>
        <w:t xml:space="preserve"> </w:t>
      </w:r>
      <w:r w:rsidRPr="00981405">
        <w:rPr>
          <w:rFonts w:eastAsia="SimSun"/>
        </w:rPr>
        <w:t>statement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D97463">
        <w:rPr>
          <w:rFonts w:eastAsia="SimSun"/>
          <w:i/>
          <w:iCs/>
        </w:rPr>
        <w:t>ejusdem</w:t>
      </w:r>
      <w:r w:rsidR="00190923" w:rsidRPr="00D97463">
        <w:rPr>
          <w:rFonts w:eastAsia="SimSun"/>
          <w:i/>
          <w:iCs/>
        </w:rPr>
        <w:t xml:space="preserve"> </w:t>
      </w:r>
      <w:r w:rsidRPr="00D97463">
        <w:rPr>
          <w:rFonts w:eastAsia="SimSun"/>
          <w:i/>
          <w:iCs/>
        </w:rPr>
        <w:t>generis</w:t>
      </w:r>
      <w:r w:rsidR="00190923" w:rsidRPr="00981405">
        <w:rPr>
          <w:rFonts w:eastAsia="SimSun"/>
        </w:rPr>
        <w:t xml:space="preserve"> </w:t>
      </w:r>
      <w:r w:rsidRPr="00981405">
        <w:rPr>
          <w:rFonts w:eastAsia="SimSun"/>
        </w:rPr>
        <w:t>principle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doing</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relied</w:t>
      </w:r>
      <w:r w:rsidR="00190923" w:rsidRPr="00981405">
        <w:rPr>
          <w:rFonts w:eastAsia="SimSun"/>
        </w:rPr>
        <w:t xml:space="preserve"> </w:t>
      </w:r>
      <w:r w:rsidRPr="00981405">
        <w:rPr>
          <w:rFonts w:eastAsia="SimSun"/>
        </w:rPr>
        <w:t>extensively</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practice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jurisprudence</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notion</w:t>
      </w:r>
      <w:r w:rsidR="00190923" w:rsidRPr="00981405">
        <w:rPr>
          <w:rFonts w:eastAsia="SimSun"/>
        </w:rPr>
        <w:t xml:space="preserve"> </w:t>
      </w:r>
      <w:r w:rsidRPr="00981405">
        <w:rPr>
          <w:rFonts w:eastAsia="SimSun"/>
        </w:rPr>
        <w:t>of</w:t>
      </w:r>
      <w:r w:rsidR="00190923" w:rsidRPr="00981405">
        <w:rPr>
          <w:rFonts w:eastAsia="SimSun"/>
        </w:rPr>
        <w:t xml:space="preserve"> </w:t>
      </w:r>
      <w:r w:rsidR="00B92E2C" w:rsidRPr="00981405">
        <w:rPr>
          <w:rFonts w:eastAsia="SimSun"/>
        </w:rPr>
        <w:t>“</w:t>
      </w:r>
      <w:r w:rsidRPr="00981405">
        <w:rPr>
          <w:rFonts w:eastAsia="SimSun"/>
        </w:rPr>
        <w:t>like</w:t>
      </w:r>
      <w:r w:rsidR="00190923" w:rsidRPr="00981405">
        <w:rPr>
          <w:rFonts w:eastAsia="SimSun"/>
        </w:rPr>
        <w:t xml:space="preserve"> </w:t>
      </w:r>
      <w:r w:rsidRPr="00981405">
        <w:rPr>
          <w:rFonts w:eastAsia="SimSun"/>
        </w:rPr>
        <w:t>products.</w:t>
      </w:r>
      <w:r w:rsidR="00B92E2C" w:rsidRPr="00981405">
        <w:rPr>
          <w:rFonts w:eastAsia="SimSun"/>
        </w:rPr>
        <w: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B92E2C" w:rsidRPr="00981405">
        <w:rPr>
          <w:rFonts w:eastAsia="SimSun"/>
        </w:rPr>
        <w:t>’</w:t>
      </w:r>
      <w:r w:rsidRPr="00981405">
        <w:rPr>
          <w:rFonts w:eastAsia="SimSun"/>
        </w:rPr>
        <w:t>s</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D97463">
        <w:rPr>
          <w:rFonts w:eastAsia="SimSun"/>
          <w:i/>
          <w:iCs/>
        </w:rPr>
        <w:t>ejusdem</w:t>
      </w:r>
      <w:r w:rsidR="00190923" w:rsidRPr="00D97463">
        <w:rPr>
          <w:rFonts w:eastAsia="SimSun"/>
          <w:i/>
          <w:iCs/>
        </w:rPr>
        <w:t xml:space="preserve"> </w:t>
      </w:r>
      <w:r w:rsidRPr="00D97463">
        <w:rPr>
          <w:rFonts w:eastAsia="SimSun"/>
          <w:i/>
          <w:iCs/>
        </w:rPr>
        <w:t>generis</w:t>
      </w:r>
      <w:r w:rsidR="00190923" w:rsidRPr="00981405">
        <w:rPr>
          <w:rFonts w:eastAsia="SimSun"/>
        </w:rPr>
        <w:t xml:space="preserve"> </w:t>
      </w:r>
      <w:r w:rsidRPr="00981405">
        <w:rPr>
          <w:rFonts w:eastAsia="SimSun"/>
        </w:rPr>
        <w:t>principle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two</w:t>
      </w:r>
      <w:r w:rsidR="00190923" w:rsidRPr="00981405">
        <w:rPr>
          <w:rFonts w:eastAsia="SimSun"/>
        </w:rPr>
        <w:t xml:space="preserve"> </w:t>
      </w:r>
      <w:r w:rsidRPr="00981405">
        <w:rPr>
          <w:rFonts w:eastAsia="SimSun"/>
        </w:rPr>
        <w:t>parts.</w:t>
      </w:r>
      <w:r w:rsidR="00190923" w:rsidRPr="00981405">
        <w:rPr>
          <w:rFonts w:eastAsia="SimSun"/>
        </w:rPr>
        <w:t xml:space="preserve"> </w:t>
      </w:r>
      <w:r w:rsidRPr="00981405">
        <w:rPr>
          <w:rFonts w:eastAsia="SimSun"/>
        </w:rPr>
        <w:t>First,</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9(1)</w:t>
      </w:r>
      <w:r w:rsidR="00190923" w:rsidRPr="00981405">
        <w:rPr>
          <w:rFonts w:eastAsia="SimSun"/>
        </w:rPr>
        <w:t xml:space="preserve"> </w:t>
      </w:r>
      <w:r w:rsidRPr="00981405">
        <w:rPr>
          <w:rFonts w:eastAsia="SimSun"/>
        </w:rPr>
        <w:t>provides:</w:t>
      </w:r>
    </w:p>
    <w:p w:rsidR="00397032" w:rsidRPr="00981405" w:rsidRDefault="00B92E2C" w:rsidP="00D97463">
      <w:pPr>
        <w:pStyle w:val="SingleTxt"/>
        <w:ind w:left="1742"/>
        <w:rPr>
          <w:rFonts w:eastAsia="SimSun"/>
        </w:rPr>
      </w:pPr>
      <w:r w:rsidRPr="00981405">
        <w:rPr>
          <w:rFonts w:eastAsia="SimSun"/>
        </w:rPr>
        <w:t>“</w:t>
      </w:r>
      <w:r w:rsidR="00397032" w:rsidRPr="00981405">
        <w:rPr>
          <w:rFonts w:eastAsia="SimSun"/>
        </w:rPr>
        <w:t>Under</w:t>
      </w:r>
      <w:r w:rsidR="00190923" w:rsidRPr="00981405">
        <w:rPr>
          <w:rFonts w:eastAsia="SimSun"/>
        </w:rPr>
        <w:t xml:space="preserve"> </w:t>
      </w:r>
      <w:r w:rsidR="00397032" w:rsidRPr="00981405">
        <w:rPr>
          <w:rFonts w:eastAsia="SimSun"/>
        </w:rPr>
        <w:t>a</w:t>
      </w:r>
      <w:r w:rsidR="00190923" w:rsidRPr="00981405">
        <w:rPr>
          <w:rFonts w:eastAsia="SimSun"/>
        </w:rPr>
        <w:t xml:space="preserve"> </w:t>
      </w:r>
      <w:r w:rsidR="00397032" w:rsidRPr="00981405">
        <w:rPr>
          <w:rFonts w:eastAsia="SimSun"/>
        </w:rPr>
        <w:t>most-favoured-nation</w:t>
      </w:r>
      <w:r w:rsidR="00190923" w:rsidRPr="00981405">
        <w:rPr>
          <w:rFonts w:eastAsia="SimSun"/>
        </w:rPr>
        <w:t xml:space="preserve"> </w:t>
      </w:r>
      <w:r w:rsidR="00397032" w:rsidRPr="00981405">
        <w:rPr>
          <w:rFonts w:eastAsia="SimSun"/>
        </w:rPr>
        <w:t>clause,</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beneficiary</w:t>
      </w:r>
      <w:r w:rsidR="00190923" w:rsidRPr="00981405">
        <w:rPr>
          <w:rFonts w:eastAsia="SimSun"/>
        </w:rPr>
        <w:t xml:space="preserve"> </w:t>
      </w:r>
      <w:r w:rsidR="00397032" w:rsidRPr="00981405">
        <w:rPr>
          <w:rFonts w:eastAsia="SimSun"/>
        </w:rPr>
        <w:t>State</w:t>
      </w:r>
      <w:r w:rsidR="00190923" w:rsidRPr="00981405">
        <w:rPr>
          <w:rFonts w:eastAsia="SimSun"/>
        </w:rPr>
        <w:t xml:space="preserve"> </w:t>
      </w:r>
      <w:r w:rsidR="00397032" w:rsidRPr="00981405">
        <w:rPr>
          <w:rFonts w:eastAsia="SimSun"/>
        </w:rPr>
        <w:t>acquires,</w:t>
      </w:r>
      <w:r w:rsidR="00190923" w:rsidRPr="00981405">
        <w:rPr>
          <w:rFonts w:eastAsia="SimSun"/>
        </w:rPr>
        <w:t xml:space="preserve"> </w:t>
      </w:r>
      <w:r w:rsidR="00397032" w:rsidRPr="00981405">
        <w:rPr>
          <w:rFonts w:eastAsia="SimSun"/>
        </w:rPr>
        <w:t>for</w:t>
      </w:r>
      <w:r w:rsidR="00190923" w:rsidRPr="00981405">
        <w:rPr>
          <w:rFonts w:eastAsia="SimSun"/>
        </w:rPr>
        <w:t xml:space="preserve"> </w:t>
      </w:r>
      <w:r w:rsidR="00397032" w:rsidRPr="00981405">
        <w:rPr>
          <w:rFonts w:eastAsia="SimSun"/>
        </w:rPr>
        <w:t>itself</w:t>
      </w:r>
      <w:r w:rsidR="00190923" w:rsidRPr="00981405">
        <w:rPr>
          <w:rFonts w:eastAsia="SimSun"/>
        </w:rPr>
        <w:t xml:space="preserve"> </w:t>
      </w:r>
      <w:r w:rsidR="00397032" w:rsidRPr="00981405">
        <w:rPr>
          <w:rFonts w:eastAsia="SimSun"/>
        </w:rPr>
        <w:t>or</w:t>
      </w:r>
      <w:r w:rsidR="00190923" w:rsidRPr="00981405">
        <w:rPr>
          <w:rFonts w:eastAsia="SimSun"/>
        </w:rPr>
        <w:t xml:space="preserve"> </w:t>
      </w:r>
      <w:r w:rsidR="00397032" w:rsidRPr="00981405">
        <w:rPr>
          <w:rFonts w:eastAsia="SimSun"/>
        </w:rPr>
        <w:t>for</w:t>
      </w:r>
      <w:r w:rsidR="00190923" w:rsidRPr="00981405">
        <w:rPr>
          <w:rFonts w:eastAsia="SimSun"/>
        </w:rPr>
        <w:t xml:space="preserve"> </w:t>
      </w:r>
      <w:r w:rsidR="00397032" w:rsidRPr="00981405">
        <w:rPr>
          <w:rFonts w:eastAsia="SimSun"/>
        </w:rPr>
        <w:t>those</w:t>
      </w:r>
      <w:r w:rsidR="00190923" w:rsidRPr="00981405">
        <w:rPr>
          <w:rFonts w:eastAsia="SimSun"/>
        </w:rPr>
        <w:t xml:space="preserve"> </w:t>
      </w:r>
      <w:r w:rsidR="00397032" w:rsidRPr="00981405">
        <w:rPr>
          <w:rFonts w:eastAsia="SimSun"/>
        </w:rPr>
        <w:t>persons</w:t>
      </w:r>
      <w:r w:rsidR="00190923" w:rsidRPr="00981405">
        <w:rPr>
          <w:rFonts w:eastAsia="SimSun"/>
        </w:rPr>
        <w:t xml:space="preserve"> </w:t>
      </w:r>
      <w:r w:rsidR="00397032" w:rsidRPr="00981405">
        <w:rPr>
          <w:rFonts w:eastAsia="SimSun"/>
        </w:rPr>
        <w:t>or</w:t>
      </w:r>
      <w:r w:rsidR="00190923" w:rsidRPr="00981405">
        <w:rPr>
          <w:rFonts w:eastAsia="SimSun"/>
        </w:rPr>
        <w:t xml:space="preserve"> </w:t>
      </w:r>
      <w:r w:rsidR="00397032" w:rsidRPr="00981405">
        <w:rPr>
          <w:rFonts w:eastAsia="SimSun"/>
        </w:rPr>
        <w:t>things</w:t>
      </w:r>
      <w:r w:rsidR="00190923" w:rsidRPr="00981405">
        <w:rPr>
          <w:rFonts w:eastAsia="SimSun"/>
        </w:rPr>
        <w:t xml:space="preserve"> </w:t>
      </w:r>
      <w:r w:rsidR="00397032" w:rsidRPr="00981405">
        <w:rPr>
          <w:rFonts w:eastAsia="SimSun"/>
        </w:rPr>
        <w:t>in</w:t>
      </w:r>
      <w:r w:rsidR="00190923" w:rsidRPr="00981405">
        <w:rPr>
          <w:rFonts w:eastAsia="SimSun"/>
        </w:rPr>
        <w:t xml:space="preserve"> </w:t>
      </w:r>
      <w:r w:rsidR="00397032" w:rsidRPr="00981405">
        <w:rPr>
          <w:rFonts w:eastAsia="SimSun"/>
        </w:rPr>
        <w:t>a</w:t>
      </w:r>
      <w:r w:rsidR="00190923" w:rsidRPr="00981405">
        <w:rPr>
          <w:rFonts w:eastAsia="SimSun"/>
        </w:rPr>
        <w:t xml:space="preserve"> </w:t>
      </w:r>
      <w:r w:rsidR="00397032" w:rsidRPr="00981405">
        <w:rPr>
          <w:rFonts w:eastAsia="SimSun"/>
        </w:rPr>
        <w:t>determined</w:t>
      </w:r>
      <w:r w:rsidR="00190923" w:rsidRPr="00981405">
        <w:rPr>
          <w:rFonts w:eastAsia="SimSun"/>
        </w:rPr>
        <w:t xml:space="preserve"> </w:t>
      </w:r>
      <w:r w:rsidR="00397032" w:rsidRPr="00981405">
        <w:rPr>
          <w:rFonts w:eastAsia="SimSun"/>
        </w:rPr>
        <w:t>relationship</w:t>
      </w:r>
      <w:r w:rsidR="00190923" w:rsidRPr="00981405">
        <w:rPr>
          <w:rFonts w:eastAsia="SimSun"/>
        </w:rPr>
        <w:t xml:space="preserve"> </w:t>
      </w:r>
      <w:r w:rsidR="00397032" w:rsidRPr="00981405">
        <w:rPr>
          <w:rFonts w:eastAsia="SimSun"/>
        </w:rPr>
        <w:t>with</w:t>
      </w:r>
      <w:r w:rsidR="00190923" w:rsidRPr="00981405">
        <w:rPr>
          <w:rFonts w:eastAsia="SimSun"/>
        </w:rPr>
        <w:t xml:space="preserve"> </w:t>
      </w:r>
      <w:r w:rsidR="00397032" w:rsidRPr="00981405">
        <w:rPr>
          <w:rFonts w:eastAsia="SimSun"/>
        </w:rPr>
        <w:t>it,</w:t>
      </w:r>
      <w:r w:rsidR="00190923" w:rsidRPr="00981405">
        <w:rPr>
          <w:rFonts w:eastAsia="SimSun"/>
        </w:rPr>
        <w:t xml:space="preserve"> </w:t>
      </w:r>
      <w:r w:rsidR="00397032" w:rsidRPr="00981405">
        <w:rPr>
          <w:rFonts w:eastAsia="SimSun"/>
        </w:rPr>
        <w:t>only</w:t>
      </w:r>
      <w:r w:rsidR="00190923" w:rsidRPr="00981405">
        <w:rPr>
          <w:rFonts w:eastAsia="SimSun"/>
        </w:rPr>
        <w:t xml:space="preserve"> </w:t>
      </w:r>
      <w:r w:rsidR="00397032" w:rsidRPr="00981405">
        <w:rPr>
          <w:rFonts w:eastAsia="SimSun"/>
        </w:rPr>
        <w:t>those</w:t>
      </w:r>
      <w:r w:rsidR="00190923" w:rsidRPr="00981405">
        <w:rPr>
          <w:rFonts w:eastAsia="SimSun"/>
        </w:rPr>
        <w:t xml:space="preserve"> </w:t>
      </w:r>
      <w:r w:rsidR="00397032" w:rsidRPr="00981405">
        <w:rPr>
          <w:rFonts w:eastAsia="SimSun"/>
        </w:rPr>
        <w:t>rights</w:t>
      </w:r>
      <w:r w:rsidR="00190923" w:rsidRPr="00981405">
        <w:rPr>
          <w:rFonts w:eastAsia="SimSun"/>
        </w:rPr>
        <w:t xml:space="preserve"> </w:t>
      </w:r>
      <w:r w:rsidR="00397032" w:rsidRPr="00981405">
        <w:rPr>
          <w:rFonts w:eastAsia="SimSun"/>
        </w:rPr>
        <w:t>that</w:t>
      </w:r>
      <w:r w:rsidR="00190923" w:rsidRPr="00981405">
        <w:rPr>
          <w:rFonts w:eastAsia="SimSun"/>
        </w:rPr>
        <w:t xml:space="preserve"> </w:t>
      </w:r>
      <w:r w:rsidR="00397032" w:rsidRPr="00981405">
        <w:rPr>
          <w:rFonts w:eastAsia="SimSun"/>
        </w:rPr>
        <w:t>fall</w:t>
      </w:r>
      <w:r w:rsidR="00190923" w:rsidRPr="00981405">
        <w:rPr>
          <w:rFonts w:eastAsia="SimSun"/>
        </w:rPr>
        <w:t xml:space="preserve"> </w:t>
      </w:r>
      <w:r w:rsidR="00397032" w:rsidRPr="00981405">
        <w:rPr>
          <w:rFonts w:eastAsia="SimSun"/>
        </w:rPr>
        <w:t>within</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limits</w:t>
      </w:r>
      <w:r w:rsidR="00190923" w:rsidRPr="00981405">
        <w:rPr>
          <w:rFonts w:eastAsia="SimSun"/>
        </w:rPr>
        <w:t xml:space="preserve"> </w:t>
      </w:r>
      <w:r w:rsidR="00397032" w:rsidRPr="00981405">
        <w:rPr>
          <w:rFonts w:eastAsia="SimSun"/>
        </w:rPr>
        <w:t>of</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subject-matter</w:t>
      </w:r>
      <w:r w:rsidR="00190923" w:rsidRPr="00981405">
        <w:rPr>
          <w:rFonts w:eastAsia="SimSun"/>
        </w:rPr>
        <w:t xml:space="preserve"> </w:t>
      </w:r>
      <w:r w:rsidR="00397032" w:rsidRPr="00981405">
        <w:rPr>
          <w:rFonts w:eastAsia="SimSun"/>
        </w:rPr>
        <w:t>of</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clause.</w:t>
      </w:r>
      <w:r w:rsidRPr="00981405">
        <w:rPr>
          <w:rFonts w:eastAsia="SimSun"/>
        </w:rPr>
        <w:t>”</w:t>
      </w:r>
    </w:p>
    <w:p w:rsidR="00397032" w:rsidRPr="00981405" w:rsidRDefault="00397032" w:rsidP="00D97463">
      <w:pPr>
        <w:pStyle w:val="SingleTxt"/>
        <w:rPr>
          <w:rFonts w:eastAsia="SimSun"/>
        </w:rPr>
      </w:pPr>
      <w:r w:rsidRPr="00981405">
        <w:rPr>
          <w:rFonts w:eastAsia="SimSun"/>
        </w:rPr>
        <w:t>Second,</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10(1)</w:t>
      </w:r>
      <w:r w:rsidR="00190923" w:rsidRPr="00981405">
        <w:rPr>
          <w:rFonts w:eastAsia="SimSun"/>
        </w:rPr>
        <w:t xml:space="preserve"> </w:t>
      </w:r>
      <w:r w:rsidRPr="00981405">
        <w:rPr>
          <w:rFonts w:eastAsia="SimSun"/>
        </w:rPr>
        <w:t>provides:</w:t>
      </w:r>
    </w:p>
    <w:p w:rsidR="00397032" w:rsidRPr="00981405" w:rsidRDefault="00B92E2C" w:rsidP="00D97463">
      <w:pPr>
        <w:pStyle w:val="SingleTxt"/>
        <w:ind w:left="1742"/>
        <w:rPr>
          <w:rFonts w:eastAsia="SimSun"/>
        </w:rPr>
      </w:pPr>
      <w:r w:rsidRPr="00981405">
        <w:rPr>
          <w:rFonts w:eastAsia="SimSun"/>
        </w:rPr>
        <w:t>“</w:t>
      </w:r>
      <w:r w:rsidR="00397032" w:rsidRPr="00981405">
        <w:rPr>
          <w:rFonts w:eastAsia="SimSun"/>
        </w:rPr>
        <w:t>Under</w:t>
      </w:r>
      <w:r w:rsidR="00190923" w:rsidRPr="00981405">
        <w:rPr>
          <w:rFonts w:eastAsia="SimSun"/>
        </w:rPr>
        <w:t xml:space="preserve"> </w:t>
      </w:r>
      <w:r w:rsidR="00397032" w:rsidRPr="00981405">
        <w:rPr>
          <w:rFonts w:eastAsia="SimSun"/>
        </w:rPr>
        <w:t>a</w:t>
      </w:r>
      <w:r w:rsidR="00190923" w:rsidRPr="00981405">
        <w:rPr>
          <w:rFonts w:eastAsia="SimSun"/>
        </w:rPr>
        <w:t xml:space="preserve"> </w:t>
      </w:r>
      <w:r w:rsidR="00397032" w:rsidRPr="00981405">
        <w:rPr>
          <w:rFonts w:eastAsia="SimSun"/>
        </w:rPr>
        <w:t>most-favoured-nation</w:t>
      </w:r>
      <w:r w:rsidR="00190923" w:rsidRPr="00981405">
        <w:rPr>
          <w:rFonts w:eastAsia="SimSun"/>
        </w:rPr>
        <w:t xml:space="preserve"> </w:t>
      </w:r>
      <w:r w:rsidR="00397032" w:rsidRPr="00981405">
        <w:rPr>
          <w:rFonts w:eastAsia="SimSun"/>
        </w:rPr>
        <w:t>clause</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beneficiary</w:t>
      </w:r>
      <w:r w:rsidR="00190923" w:rsidRPr="00981405">
        <w:rPr>
          <w:rFonts w:eastAsia="SimSun"/>
        </w:rPr>
        <w:t xml:space="preserve"> </w:t>
      </w:r>
      <w:r w:rsidR="00397032" w:rsidRPr="00981405">
        <w:rPr>
          <w:rFonts w:eastAsia="SimSun"/>
        </w:rPr>
        <w:t>State</w:t>
      </w:r>
      <w:r w:rsidR="00190923" w:rsidRPr="00981405">
        <w:rPr>
          <w:rFonts w:eastAsia="SimSun"/>
        </w:rPr>
        <w:t xml:space="preserve"> </w:t>
      </w:r>
      <w:r w:rsidR="00397032" w:rsidRPr="00981405">
        <w:rPr>
          <w:rFonts w:eastAsia="SimSun"/>
        </w:rPr>
        <w:t>acquires</w:t>
      </w:r>
      <w:r w:rsidR="00190923" w:rsidRPr="00981405">
        <w:rPr>
          <w:rFonts w:eastAsia="SimSun"/>
        </w:rPr>
        <w:t xml:space="preserve"> </w:t>
      </w:r>
      <w:r w:rsidR="00397032" w:rsidRPr="00981405">
        <w:rPr>
          <w:rFonts w:eastAsia="SimSun"/>
        </w:rPr>
        <w:t>a</w:t>
      </w:r>
      <w:r w:rsidR="00190923" w:rsidRPr="00981405">
        <w:rPr>
          <w:rFonts w:eastAsia="SimSun"/>
        </w:rPr>
        <w:t xml:space="preserve"> </w:t>
      </w:r>
      <w:r w:rsidR="00397032" w:rsidRPr="00981405">
        <w:rPr>
          <w:rFonts w:eastAsia="SimSun"/>
        </w:rPr>
        <w:t>right</w:t>
      </w:r>
      <w:r w:rsidR="00190923" w:rsidRPr="00981405">
        <w:rPr>
          <w:rFonts w:eastAsia="SimSun"/>
        </w:rPr>
        <w:t xml:space="preserve"> </w:t>
      </w:r>
      <w:r w:rsidR="00397032" w:rsidRPr="00981405">
        <w:rPr>
          <w:rFonts w:eastAsia="SimSun"/>
        </w:rPr>
        <w:t>to</w:t>
      </w:r>
      <w:r w:rsidR="00190923" w:rsidRPr="00981405">
        <w:rPr>
          <w:rFonts w:eastAsia="SimSun"/>
        </w:rPr>
        <w:t xml:space="preserve"> </w:t>
      </w:r>
      <w:r w:rsidR="00397032" w:rsidRPr="00981405">
        <w:rPr>
          <w:rFonts w:eastAsia="SimSun"/>
        </w:rPr>
        <w:t>most-favoured-nation</w:t>
      </w:r>
      <w:r w:rsidR="00190923" w:rsidRPr="00981405">
        <w:rPr>
          <w:rFonts w:eastAsia="SimSun"/>
        </w:rPr>
        <w:t xml:space="preserve"> </w:t>
      </w:r>
      <w:r w:rsidR="00397032" w:rsidRPr="00981405">
        <w:rPr>
          <w:rFonts w:eastAsia="SimSun"/>
        </w:rPr>
        <w:t>treatment</w:t>
      </w:r>
      <w:r w:rsidR="00190923" w:rsidRPr="00981405">
        <w:rPr>
          <w:rFonts w:eastAsia="SimSun"/>
        </w:rPr>
        <w:t xml:space="preserve"> </w:t>
      </w:r>
      <w:r w:rsidR="00397032" w:rsidRPr="00981405">
        <w:rPr>
          <w:rFonts w:eastAsia="SimSun"/>
        </w:rPr>
        <w:t>only</w:t>
      </w:r>
      <w:r w:rsidR="00190923" w:rsidRPr="00981405">
        <w:rPr>
          <w:rFonts w:eastAsia="SimSun"/>
        </w:rPr>
        <w:t xml:space="preserve"> </w:t>
      </w:r>
      <w:r w:rsidR="00397032" w:rsidRPr="00981405">
        <w:rPr>
          <w:rFonts w:eastAsia="SimSun"/>
        </w:rPr>
        <w:t>if</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granting</w:t>
      </w:r>
      <w:r w:rsidR="00190923" w:rsidRPr="00981405">
        <w:rPr>
          <w:rFonts w:eastAsia="SimSun"/>
        </w:rPr>
        <w:t xml:space="preserve"> </w:t>
      </w:r>
      <w:r w:rsidR="00397032" w:rsidRPr="00981405">
        <w:rPr>
          <w:rFonts w:eastAsia="SimSun"/>
        </w:rPr>
        <w:t>State</w:t>
      </w:r>
      <w:r w:rsidR="00190923" w:rsidRPr="00981405">
        <w:rPr>
          <w:rFonts w:eastAsia="SimSun"/>
        </w:rPr>
        <w:t xml:space="preserve"> </w:t>
      </w:r>
      <w:r w:rsidR="00397032" w:rsidRPr="00981405">
        <w:rPr>
          <w:rFonts w:eastAsia="SimSun"/>
        </w:rPr>
        <w:t>extends</w:t>
      </w:r>
      <w:r w:rsidR="00190923" w:rsidRPr="00981405">
        <w:rPr>
          <w:rFonts w:eastAsia="SimSun"/>
        </w:rPr>
        <w:t xml:space="preserve"> </w:t>
      </w:r>
      <w:r w:rsidR="00397032" w:rsidRPr="00981405">
        <w:rPr>
          <w:rFonts w:eastAsia="SimSun"/>
        </w:rPr>
        <w:t>to</w:t>
      </w:r>
      <w:r w:rsidR="00190923" w:rsidRPr="00981405">
        <w:rPr>
          <w:rFonts w:eastAsia="SimSun"/>
        </w:rPr>
        <w:t xml:space="preserve"> </w:t>
      </w:r>
      <w:r w:rsidR="00397032" w:rsidRPr="00981405">
        <w:rPr>
          <w:rFonts w:eastAsia="SimSun"/>
        </w:rPr>
        <w:t>a</w:t>
      </w:r>
      <w:r w:rsidR="00190923" w:rsidRPr="00981405">
        <w:rPr>
          <w:rFonts w:eastAsia="SimSun"/>
        </w:rPr>
        <w:t xml:space="preserve"> </w:t>
      </w:r>
      <w:r w:rsidR="00397032" w:rsidRPr="00981405">
        <w:rPr>
          <w:rFonts w:eastAsia="SimSun"/>
        </w:rPr>
        <w:t>third</w:t>
      </w:r>
      <w:r w:rsidR="00190923" w:rsidRPr="00981405">
        <w:rPr>
          <w:rFonts w:eastAsia="SimSun"/>
        </w:rPr>
        <w:t xml:space="preserve"> </w:t>
      </w:r>
      <w:r w:rsidR="00397032" w:rsidRPr="00981405">
        <w:rPr>
          <w:rFonts w:eastAsia="SimSun"/>
        </w:rPr>
        <w:t>State</w:t>
      </w:r>
      <w:r w:rsidR="00190923" w:rsidRPr="00981405">
        <w:rPr>
          <w:rFonts w:eastAsia="SimSun"/>
        </w:rPr>
        <w:t xml:space="preserve"> </w:t>
      </w:r>
      <w:r w:rsidR="00397032" w:rsidRPr="00981405">
        <w:rPr>
          <w:rFonts w:eastAsia="SimSun"/>
        </w:rPr>
        <w:t>benefits</w:t>
      </w:r>
      <w:r w:rsidR="00190923" w:rsidRPr="00981405">
        <w:rPr>
          <w:rFonts w:eastAsia="SimSun"/>
        </w:rPr>
        <w:t xml:space="preserve"> </w:t>
      </w:r>
      <w:r w:rsidR="00397032" w:rsidRPr="00981405">
        <w:rPr>
          <w:rFonts w:eastAsia="SimSun"/>
        </w:rPr>
        <w:t>within</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subject</w:t>
      </w:r>
      <w:r w:rsidR="00190923" w:rsidRPr="00981405">
        <w:rPr>
          <w:rFonts w:eastAsia="SimSun"/>
        </w:rPr>
        <w:t xml:space="preserve"> </w:t>
      </w:r>
      <w:r w:rsidR="00397032" w:rsidRPr="00981405">
        <w:rPr>
          <w:rFonts w:eastAsia="SimSun"/>
        </w:rPr>
        <w:t>matter</w:t>
      </w:r>
      <w:r w:rsidR="00190923" w:rsidRPr="00981405">
        <w:rPr>
          <w:rFonts w:eastAsia="SimSun"/>
        </w:rPr>
        <w:t xml:space="preserve"> </w:t>
      </w:r>
      <w:r w:rsidR="00397032" w:rsidRPr="00981405">
        <w:rPr>
          <w:rFonts w:eastAsia="SimSun"/>
        </w:rPr>
        <w:t>of</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clause.</w:t>
      </w:r>
      <w:r w:rsidRPr="00981405">
        <w:rPr>
          <w:rFonts w:eastAsia="SimSun"/>
        </w:rPr>
        <w:t>”</w:t>
      </w:r>
    </w:p>
    <w:p w:rsidR="00397032" w:rsidRPr="00981405" w:rsidRDefault="00397032" w:rsidP="00D97463">
      <w:pPr>
        <w:pStyle w:val="SingleTxt"/>
        <w:rPr>
          <w:rFonts w:eastAsia="SimSun"/>
        </w:rPr>
      </w:pPr>
      <w:r w:rsidRPr="00981405">
        <w:rPr>
          <w:rFonts w:eastAsia="SimSun"/>
        </w:rPr>
        <w:t>16.</w:t>
      </w:r>
      <w:r w:rsidRPr="00981405">
        <w:rPr>
          <w:rFonts w:eastAsia="SimSun"/>
        </w:rPr>
        <w:tab/>
        <w:t>Articles</w:t>
      </w:r>
      <w:r w:rsidR="00190923" w:rsidRPr="00981405">
        <w:rPr>
          <w:rFonts w:eastAsia="SimSun"/>
        </w:rPr>
        <w:t xml:space="preserve"> </w:t>
      </w:r>
      <w:r w:rsidRPr="00981405">
        <w:rPr>
          <w:rFonts w:eastAsia="SimSun"/>
        </w:rPr>
        <w:t>9</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10</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make</w:t>
      </w:r>
      <w:r w:rsidR="00190923" w:rsidRPr="00981405">
        <w:rPr>
          <w:rFonts w:eastAsia="SimSun"/>
        </w:rPr>
        <w:t xml:space="preserve"> </w:t>
      </w:r>
      <w:r w:rsidRPr="00981405">
        <w:rPr>
          <w:rFonts w:eastAsia="SimSun"/>
        </w:rPr>
        <w:t>clear</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persons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things</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determined</w:t>
      </w:r>
      <w:r w:rsidR="00190923" w:rsidRPr="00981405">
        <w:rPr>
          <w:rFonts w:eastAsia="SimSun"/>
        </w:rPr>
        <w:t xml:space="preserve"> </w:t>
      </w:r>
      <w:r w:rsidRPr="00981405">
        <w:rPr>
          <w:rFonts w:eastAsia="SimSun"/>
        </w:rPr>
        <w:t>relationship</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beneficiary</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must</w:t>
      </w:r>
      <w:r w:rsidR="00190923" w:rsidRPr="00981405">
        <w:rPr>
          <w:rFonts w:eastAsia="SimSun"/>
        </w:rPr>
        <w:t xml:space="preserve"> </w:t>
      </w:r>
      <w:r w:rsidRPr="00981405">
        <w:rPr>
          <w:rFonts w:eastAsia="SimSun"/>
        </w:rPr>
        <w:t>belong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lastRenderedPageBreak/>
        <w:t>same</w:t>
      </w:r>
      <w:r w:rsidR="00190923" w:rsidRPr="00981405">
        <w:rPr>
          <w:rFonts w:eastAsia="SimSun"/>
        </w:rPr>
        <w:t xml:space="preserve"> </w:t>
      </w:r>
      <w:r w:rsidRPr="00981405">
        <w:rPr>
          <w:rFonts w:eastAsia="SimSun"/>
        </w:rPr>
        <w:t>category</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have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same</w:t>
      </w:r>
      <w:r w:rsidR="00190923" w:rsidRPr="00981405">
        <w:rPr>
          <w:rFonts w:eastAsia="SimSun"/>
        </w:rPr>
        <w:t xml:space="preserve"> </w:t>
      </w:r>
      <w:r w:rsidRPr="00981405">
        <w:rPr>
          <w:rFonts w:eastAsia="SimSun"/>
        </w:rPr>
        <w:t>relationship</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beneficiary</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persons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things</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determined</w:t>
      </w:r>
      <w:r w:rsidR="00190923" w:rsidRPr="00981405">
        <w:rPr>
          <w:rFonts w:eastAsia="SimSun"/>
        </w:rPr>
        <w:t xml:space="preserve"> </w:t>
      </w:r>
      <w:r w:rsidRPr="00981405">
        <w:rPr>
          <w:rFonts w:eastAsia="SimSun"/>
        </w:rPr>
        <w:t>relationship</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State.</w:t>
      </w:r>
      <w:r w:rsidRPr="00981405">
        <w:rPr>
          <w:rStyle w:val="FootnoteReference"/>
        </w:rPr>
        <w:footnoteReference w:id="430"/>
      </w:r>
    </w:p>
    <w:p w:rsidR="00397032" w:rsidRPr="00981405" w:rsidRDefault="00397032" w:rsidP="00D97463">
      <w:pPr>
        <w:pStyle w:val="SingleTxt"/>
        <w:rPr>
          <w:rFonts w:eastAsia="SimSun"/>
        </w:rPr>
      </w:pPr>
      <w:r w:rsidRPr="00981405">
        <w:rPr>
          <w:rFonts w:eastAsia="SimSun"/>
        </w:rPr>
        <w:t>17.</w:t>
      </w:r>
      <w:r w:rsidRPr="00981405">
        <w:rPr>
          <w:rFonts w:eastAsia="SimSun"/>
        </w:rPr>
        <w:tab/>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dealt</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operation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conditional</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receipt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compensation</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reciprocal</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addition,</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specific</w:t>
      </w:r>
      <w:r w:rsidR="00190923" w:rsidRPr="00981405">
        <w:rPr>
          <w:rFonts w:eastAsia="SimSun"/>
        </w:rPr>
        <w:t xml:space="preserve"> </w:t>
      </w:r>
      <w:r w:rsidRPr="00981405">
        <w:rPr>
          <w:rFonts w:eastAsia="SimSun"/>
        </w:rPr>
        <w:t>rules</w:t>
      </w:r>
      <w:r w:rsidR="00190923" w:rsidRPr="00981405">
        <w:rPr>
          <w:rFonts w:eastAsia="SimSun"/>
        </w:rPr>
        <w:t xml:space="preserve"> </w:t>
      </w:r>
      <w:r w:rsidRPr="00981405">
        <w:rPr>
          <w:rFonts w:eastAsia="SimSun"/>
        </w:rPr>
        <w:t>relating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developing</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frontier</w:t>
      </w:r>
      <w:r w:rsidR="00190923" w:rsidRPr="00981405">
        <w:rPr>
          <w:rFonts w:eastAsia="SimSun"/>
        </w:rPr>
        <w:t xml:space="preserve"> </w:t>
      </w:r>
      <w:r w:rsidRPr="00981405">
        <w:rPr>
          <w:rFonts w:eastAsia="SimSun"/>
        </w:rPr>
        <w:t>traffic,</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landlocked</w:t>
      </w:r>
      <w:r w:rsidR="00190923" w:rsidRPr="00981405">
        <w:rPr>
          <w:rFonts w:eastAsia="SimSun"/>
        </w:rPr>
        <w:t xml:space="preserve"> </w:t>
      </w:r>
      <w:r w:rsidRPr="00981405">
        <w:rPr>
          <w:rFonts w:eastAsia="SimSun"/>
        </w:rPr>
        <w:t>States.</w:t>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18.</w:t>
      </w:r>
      <w:r w:rsidRPr="00981405">
        <w:rPr>
          <w:rFonts w:eastAsia="SimSun"/>
        </w:rPr>
        <w:tab/>
        <w:t>The</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relating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developing</w:t>
      </w:r>
      <w:r w:rsidR="00190923" w:rsidRPr="00981405">
        <w:rPr>
          <w:rFonts w:eastAsia="SimSun"/>
        </w:rPr>
        <w:t xml:space="preserve"> </w:t>
      </w:r>
      <w:r w:rsidRPr="00981405">
        <w:rPr>
          <w:rFonts w:eastAsia="SimSun"/>
        </w:rPr>
        <w:t>countries</w:t>
      </w:r>
      <w:r w:rsidR="00190923" w:rsidRPr="00981405">
        <w:rPr>
          <w:rFonts w:eastAsia="SimSun"/>
        </w:rPr>
        <w:t xml:space="preserve"> </w:t>
      </w:r>
      <w:r w:rsidRPr="00981405">
        <w:rPr>
          <w:rFonts w:eastAsia="SimSun"/>
        </w:rPr>
        <w:t>turned</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reasons</w:t>
      </w:r>
      <w:r w:rsidR="00190923" w:rsidRPr="00981405">
        <w:rPr>
          <w:rFonts w:eastAsia="SimSun"/>
        </w:rPr>
        <w:t xml:space="preserve"> </w:t>
      </w:r>
      <w:r w:rsidRPr="00981405">
        <w:rPr>
          <w:rFonts w:eastAsia="SimSun"/>
        </w:rPr>
        <w:t>why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work</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190923" w:rsidRPr="00981405">
        <w:rPr>
          <w:rFonts w:eastAsia="SimSun"/>
        </w:rPr>
        <w:t xml:space="preserve"> </w:t>
      </w:r>
      <w:r w:rsidRPr="00981405">
        <w:rPr>
          <w:rFonts w:eastAsia="SimSun"/>
        </w:rPr>
        <w:t>remained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seen</w:t>
      </w:r>
      <w:r w:rsidR="00190923" w:rsidRPr="00981405">
        <w:rPr>
          <w:rFonts w:eastAsia="SimSun"/>
        </w:rPr>
        <w:t xml:space="preserve"> </w:t>
      </w:r>
      <w:r w:rsidRPr="00981405">
        <w:rPr>
          <w:rFonts w:eastAsia="SimSun"/>
        </w:rPr>
        <w:t>either</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going</w:t>
      </w:r>
      <w:r w:rsidR="00190923" w:rsidRPr="00981405">
        <w:rPr>
          <w:rFonts w:eastAsia="SimSun"/>
        </w:rPr>
        <w:t xml:space="preserve"> </w:t>
      </w:r>
      <w:r w:rsidRPr="00981405">
        <w:rPr>
          <w:rFonts w:eastAsia="SimSun"/>
        </w:rPr>
        <w:t>beyond</w:t>
      </w:r>
      <w:r w:rsidR="00190923" w:rsidRPr="00981405">
        <w:rPr>
          <w:rFonts w:eastAsia="SimSun"/>
        </w:rPr>
        <w:t xml:space="preserve"> </w:t>
      </w:r>
      <w:r w:rsidRPr="00981405">
        <w:rPr>
          <w:rFonts w:eastAsia="SimSun"/>
        </w:rPr>
        <w:t>what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accepted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customary</w:t>
      </w:r>
      <w:r w:rsidR="00190923" w:rsidRPr="00981405">
        <w:rPr>
          <w:rFonts w:eastAsia="SimSun"/>
        </w:rPr>
        <w:t xml:space="preserve"> </w:t>
      </w:r>
      <w:r w:rsidRPr="00981405">
        <w:rPr>
          <w:rFonts w:eastAsia="SimSun"/>
        </w:rPr>
        <w:t>international</w:t>
      </w:r>
      <w:r w:rsidR="00190923" w:rsidRPr="00981405">
        <w:rPr>
          <w:rFonts w:eastAsia="SimSun"/>
        </w:rPr>
        <w:t xml:space="preserve"> </w:t>
      </w:r>
      <w:r w:rsidRPr="00981405">
        <w:rPr>
          <w:rFonts w:eastAsia="SimSun"/>
        </w:rPr>
        <w:t>law</w:t>
      </w:r>
      <w:r w:rsidRPr="00981405">
        <w:rPr>
          <w:rStyle w:val="FootnoteReference"/>
        </w:rPr>
        <w:footnoteReference w:id="431"/>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being</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touch</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developments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occurring</w:t>
      </w:r>
      <w:r w:rsidR="00190923" w:rsidRPr="00981405">
        <w:rPr>
          <w:rFonts w:eastAsia="SimSun"/>
        </w:rPr>
        <w:t xml:space="preserve"> </w:t>
      </w:r>
      <w:r w:rsidRPr="00981405">
        <w:rPr>
          <w:rFonts w:eastAsia="SimSun"/>
        </w:rPr>
        <w:t>elsewhere,</w:t>
      </w:r>
      <w:r w:rsidR="00190923" w:rsidRPr="00981405">
        <w:rPr>
          <w:rFonts w:eastAsia="SimSun"/>
        </w:rPr>
        <w:t xml:space="preserve"> </w:t>
      </w:r>
      <w:r w:rsidRPr="00981405">
        <w:rPr>
          <w:rFonts w:eastAsia="SimSun"/>
        </w:rPr>
        <w:t>particularly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context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GATT.</w:t>
      </w:r>
      <w:r w:rsidRPr="00981405">
        <w:rPr>
          <w:rStyle w:val="FootnoteReference"/>
        </w:rPr>
        <w:footnoteReference w:id="432"/>
      </w:r>
      <w:r w:rsidR="00190923" w:rsidRPr="00981405">
        <w:rPr>
          <w:rFonts w:eastAsia="SimSun"/>
        </w:rPr>
        <w:t xml:space="preserve"> </w:t>
      </w:r>
      <w:r w:rsidRPr="00981405">
        <w:rPr>
          <w:rFonts w:eastAsia="SimSun"/>
        </w:rPr>
        <w:t>Several</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thought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did</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do</w:t>
      </w:r>
      <w:r w:rsidR="00190923" w:rsidRPr="00981405">
        <w:rPr>
          <w:rFonts w:eastAsia="SimSun"/>
        </w:rPr>
        <w:t xml:space="preserve"> </w:t>
      </w:r>
      <w:r w:rsidRPr="00981405">
        <w:rPr>
          <w:rFonts w:eastAsia="SimSun"/>
        </w:rPr>
        <w:t>enough</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protect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interests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developing</w:t>
      </w:r>
      <w:r w:rsidR="00190923" w:rsidRPr="00981405">
        <w:rPr>
          <w:rFonts w:eastAsia="SimSun"/>
        </w:rPr>
        <w:t xml:space="preserve"> </w:t>
      </w:r>
      <w:r w:rsidRPr="00981405">
        <w:rPr>
          <w:rFonts w:eastAsia="SimSun"/>
        </w:rPr>
        <w:t>countries.</w:t>
      </w:r>
      <w:r w:rsidRPr="00981405">
        <w:rPr>
          <w:rStyle w:val="FootnoteReference"/>
        </w:rPr>
        <w:footnoteReference w:id="433"/>
      </w:r>
      <w:r w:rsidR="00190923" w:rsidRPr="00981405">
        <w:rPr>
          <w:rFonts w:eastAsia="SimSun"/>
        </w:rPr>
        <w:t xml:space="preserve"> </w:t>
      </w:r>
      <w:r w:rsidRPr="00981405">
        <w:rPr>
          <w:rFonts w:eastAsia="SimSun"/>
        </w:rPr>
        <w:t>Others</w:t>
      </w:r>
      <w:r w:rsidR="00190923" w:rsidRPr="00981405">
        <w:rPr>
          <w:rFonts w:eastAsia="SimSun"/>
        </w:rPr>
        <w:t xml:space="preserve"> </w:t>
      </w:r>
      <w:r w:rsidRPr="00981405">
        <w:rPr>
          <w:rFonts w:eastAsia="SimSun"/>
        </w:rPr>
        <w:t>thought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24,</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arrangements</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developing</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too</w:t>
      </w:r>
      <w:r w:rsidR="00190923" w:rsidRPr="00981405">
        <w:rPr>
          <w:rFonts w:eastAsia="SimSun"/>
        </w:rPr>
        <w:t xml:space="preserve"> </w:t>
      </w:r>
      <w:r w:rsidRPr="00981405">
        <w:rPr>
          <w:rFonts w:eastAsia="SimSun"/>
        </w:rPr>
        <w:t>restrictive</w:t>
      </w:r>
      <w:r w:rsidRPr="00981405">
        <w:rPr>
          <w:rStyle w:val="FootnoteReference"/>
        </w:rPr>
        <w:footnoteReference w:id="434"/>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needed</w:t>
      </w:r>
      <w:r w:rsidR="00190923" w:rsidRPr="00981405">
        <w:rPr>
          <w:rFonts w:eastAsia="SimSun"/>
        </w:rPr>
        <w:t xml:space="preserve"> </w:t>
      </w:r>
      <w:r w:rsidRPr="00981405">
        <w:rPr>
          <w:rFonts w:eastAsia="SimSun"/>
        </w:rPr>
        <w:t>more</w:t>
      </w:r>
      <w:r w:rsidR="00190923" w:rsidRPr="00981405">
        <w:rPr>
          <w:rFonts w:eastAsia="SimSun"/>
        </w:rPr>
        <w:t xml:space="preserve"> </w:t>
      </w:r>
      <w:r w:rsidRPr="00981405">
        <w:rPr>
          <w:rFonts w:eastAsia="SimSun"/>
        </w:rPr>
        <w:t>clarification.</w:t>
      </w:r>
      <w:r w:rsidRPr="00981405">
        <w:rPr>
          <w:rStyle w:val="FootnoteReference"/>
        </w:rPr>
        <w:footnoteReference w:id="435"/>
      </w:r>
      <w:r w:rsidR="00190923" w:rsidRPr="00981405">
        <w:rPr>
          <w:rFonts w:eastAsia="SimSun"/>
        </w:rPr>
        <w:t xml:space="preserve"> </w:t>
      </w:r>
      <w:r w:rsidRPr="00981405">
        <w:rPr>
          <w:rFonts w:eastAsia="SimSun"/>
        </w:rPr>
        <w:t>Equally,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failure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take</w:t>
      </w:r>
      <w:r w:rsidR="00190923" w:rsidRPr="00981405">
        <w:rPr>
          <w:rFonts w:eastAsia="SimSun"/>
        </w:rPr>
        <w:t xml:space="preserve"> </w:t>
      </w:r>
      <w:r w:rsidRPr="00981405">
        <w:rPr>
          <w:rFonts w:eastAsia="SimSun"/>
        </w:rPr>
        <w:t>account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complexities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relationship</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multilateral</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led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discontent</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Pr="00981405">
        <w:rPr>
          <w:rStyle w:val="FootnoteReference"/>
        </w:rPr>
        <w:footnoteReference w:id="436"/>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particular,</w:t>
      </w:r>
      <w:r w:rsidR="00190923" w:rsidRPr="00981405">
        <w:rPr>
          <w:rFonts w:eastAsia="SimSun"/>
        </w:rPr>
        <w:t xml:space="preserve"> </w:t>
      </w:r>
      <w:r w:rsidRPr="00981405">
        <w:rPr>
          <w:rFonts w:eastAsia="SimSun"/>
        </w:rPr>
        <w:t>many</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reluctant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see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developed</w:t>
      </w:r>
      <w:r w:rsidR="00190923" w:rsidRPr="00981405">
        <w:rPr>
          <w:rFonts w:eastAsia="SimSun"/>
        </w:rPr>
        <w:t xml:space="preserve"> </w:t>
      </w:r>
      <w:r w:rsidRPr="00981405">
        <w:rPr>
          <w:rFonts w:eastAsia="SimSun"/>
        </w:rPr>
        <w:t>into</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binding</w:t>
      </w:r>
      <w:r w:rsidR="00190923" w:rsidRPr="00981405">
        <w:rPr>
          <w:rFonts w:eastAsia="SimSun"/>
        </w:rPr>
        <w:t xml:space="preserve"> </w:t>
      </w:r>
      <w:r w:rsidRPr="00981405">
        <w:rPr>
          <w:rFonts w:eastAsia="SimSun"/>
        </w:rPr>
        <w:t>convention</w:t>
      </w:r>
      <w:r w:rsidR="00190923" w:rsidRPr="00981405">
        <w:rPr>
          <w:rFonts w:eastAsia="SimSun"/>
        </w:rPr>
        <w:t xml:space="preserve"> </w:t>
      </w:r>
      <w:r w:rsidRPr="00981405">
        <w:rPr>
          <w:rFonts w:eastAsia="SimSun"/>
        </w:rPr>
        <w:t>without</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specific</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exempting</w:t>
      </w:r>
      <w:r w:rsidR="00190923" w:rsidRPr="00981405">
        <w:rPr>
          <w:rFonts w:eastAsia="SimSun"/>
        </w:rPr>
        <w:t xml:space="preserve"> </w:t>
      </w:r>
      <w:r w:rsidRPr="00981405">
        <w:rPr>
          <w:rFonts w:eastAsia="SimSun"/>
        </w:rPr>
        <w:t>custom</w:t>
      </w:r>
      <w:r w:rsidR="00190923" w:rsidRPr="00981405">
        <w:rPr>
          <w:rFonts w:eastAsia="SimSun"/>
        </w:rPr>
        <w:t xml:space="preserve"> </w:t>
      </w:r>
      <w:r w:rsidRPr="00981405">
        <w:rPr>
          <w:rFonts w:eastAsia="SimSun"/>
        </w:rPr>
        <w:t>unions.</w:t>
      </w:r>
      <w:r w:rsidRPr="00981405">
        <w:rPr>
          <w:rStyle w:val="FootnoteReference"/>
        </w:rPr>
        <w:footnoteReference w:id="437"/>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voiced</w:t>
      </w:r>
      <w:r w:rsidR="00190923" w:rsidRPr="00981405">
        <w:rPr>
          <w:rFonts w:eastAsia="SimSun"/>
        </w:rPr>
        <w:t xml:space="preserve"> </w:t>
      </w:r>
      <w:r w:rsidRPr="00981405">
        <w:rPr>
          <w:rFonts w:eastAsia="SimSun"/>
        </w:rPr>
        <w:t>concerns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would</w:t>
      </w:r>
      <w:r w:rsidR="00190923" w:rsidRPr="00981405">
        <w:rPr>
          <w:rFonts w:eastAsia="SimSun"/>
        </w:rPr>
        <w:t xml:space="preserve"> </w:t>
      </w:r>
      <w:r w:rsidRPr="00981405">
        <w:rPr>
          <w:rFonts w:eastAsia="SimSun"/>
        </w:rPr>
        <w:t>prevent</w:t>
      </w:r>
      <w:r w:rsidR="00190923" w:rsidRPr="00981405">
        <w:rPr>
          <w:rFonts w:eastAsia="SimSun"/>
        </w:rPr>
        <w:t xml:space="preserve"> </w:t>
      </w:r>
      <w:r w:rsidRPr="00981405">
        <w:rPr>
          <w:rFonts w:eastAsia="SimSun"/>
        </w:rPr>
        <w:t>States</w:t>
      </w:r>
      <w:r w:rsidR="00190923" w:rsidRPr="00981405">
        <w:rPr>
          <w:rFonts w:eastAsia="SimSun"/>
        </w:rPr>
        <w:t xml:space="preserve"> </w:t>
      </w:r>
      <w:r w:rsidR="00B92E2C" w:rsidRPr="00981405">
        <w:rPr>
          <w:rFonts w:eastAsia="SimSun"/>
        </w:rPr>
        <w:t>“</w:t>
      </w:r>
      <w:r w:rsidRPr="00981405">
        <w:rPr>
          <w:rFonts w:eastAsia="SimSun"/>
        </w:rPr>
        <w:t>from</w:t>
      </w:r>
      <w:r w:rsidR="00190923" w:rsidRPr="00981405">
        <w:rPr>
          <w:rFonts w:eastAsia="SimSun"/>
        </w:rPr>
        <w:t xml:space="preserve"> </w:t>
      </w:r>
      <w:r w:rsidRPr="00981405">
        <w:rPr>
          <w:rFonts w:eastAsia="SimSun"/>
        </w:rPr>
        <w:t>embarking</w:t>
      </w:r>
      <w:r w:rsidR="00190923" w:rsidRPr="00981405">
        <w:rPr>
          <w:rFonts w:eastAsia="SimSun"/>
        </w:rPr>
        <w:t xml:space="preserve"> </w:t>
      </w:r>
      <w:r w:rsidRPr="00981405">
        <w:rPr>
          <w:rFonts w:eastAsia="SimSun"/>
        </w:rPr>
        <w:t>upon</w:t>
      </w:r>
      <w:r w:rsidR="00190923" w:rsidRPr="00981405">
        <w:rPr>
          <w:rFonts w:eastAsia="SimSun"/>
        </w:rPr>
        <w:t xml:space="preserve"> </w:t>
      </w:r>
      <w:r w:rsidRPr="00981405">
        <w:rPr>
          <w:rFonts w:eastAsia="SimSun"/>
        </w:rPr>
        <w:t>any</w:t>
      </w:r>
      <w:r w:rsidR="00190923" w:rsidRPr="00981405">
        <w:rPr>
          <w:rFonts w:eastAsia="SimSun"/>
        </w:rPr>
        <w:t xml:space="preserve"> </w:t>
      </w:r>
      <w:r w:rsidRPr="00981405">
        <w:rPr>
          <w:rFonts w:eastAsia="SimSun"/>
        </w:rPr>
        <w:t>process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regional</w:t>
      </w:r>
      <w:r w:rsidR="00190923" w:rsidRPr="00981405">
        <w:rPr>
          <w:rFonts w:eastAsia="SimSun"/>
        </w:rPr>
        <w:t xml:space="preserve"> </w:t>
      </w:r>
      <w:r w:rsidRPr="00981405">
        <w:rPr>
          <w:rFonts w:eastAsia="SimSun"/>
        </w:rPr>
        <w:t>integration.</w:t>
      </w:r>
      <w:r w:rsidR="00B92E2C" w:rsidRPr="00981405">
        <w:rPr>
          <w:rFonts w:eastAsia="SimSun"/>
        </w:rPr>
        <w:t>”</w:t>
      </w:r>
      <w:r w:rsidRPr="00981405">
        <w:rPr>
          <w:rStyle w:val="FootnoteReference"/>
        </w:rPr>
        <w:footnoteReference w:id="438"/>
      </w:r>
      <w:r w:rsidR="00190923" w:rsidRPr="00981405">
        <w:rPr>
          <w:rFonts w:eastAsia="SimSun"/>
        </w:rPr>
        <w:t xml:space="preserve"> </w:t>
      </w:r>
    </w:p>
    <w:p w:rsidR="000614A2" w:rsidRPr="00D97463" w:rsidRDefault="000614A2" w:rsidP="00D97463">
      <w:pPr>
        <w:pStyle w:val="SingleTxt"/>
        <w:spacing w:after="0" w:line="120" w:lineRule="exact"/>
        <w:rPr>
          <w:rFonts w:eastAsia="SimSun"/>
          <w:sz w:val="10"/>
        </w:rPr>
      </w:pPr>
    </w:p>
    <w:p w:rsidR="00397032" w:rsidRPr="00D97463" w:rsidRDefault="00397032" w:rsidP="00D97463">
      <w:pPr>
        <w:pStyle w:val="H23"/>
        <w:ind w:right="1260"/>
      </w:pPr>
      <w:bookmarkStart w:id="197" w:name="_Toc293434144"/>
      <w:bookmarkStart w:id="198" w:name="_Toc294353660"/>
      <w:r w:rsidRPr="00D97463">
        <w:tab/>
      </w:r>
      <w:bookmarkStart w:id="199" w:name="_Toc427938167"/>
      <w:r w:rsidRPr="00D97463">
        <w:t>3.</w:t>
      </w:r>
      <w:r w:rsidRPr="00D97463">
        <w:tab/>
        <w:t>The</w:t>
      </w:r>
      <w:r w:rsidR="00190923" w:rsidRPr="00D97463">
        <w:t xml:space="preserve"> </w:t>
      </w:r>
      <w:r w:rsidRPr="00D97463">
        <w:t>decision</w:t>
      </w:r>
      <w:r w:rsidR="00190923" w:rsidRPr="00D97463">
        <w:t xml:space="preserve"> </w:t>
      </w:r>
      <w:r w:rsidRPr="00D97463">
        <w:t>of</w:t>
      </w:r>
      <w:r w:rsidR="00190923" w:rsidRPr="00D97463">
        <w:t xml:space="preserve"> </w:t>
      </w:r>
      <w:r w:rsidRPr="00D97463">
        <w:t>the</w:t>
      </w:r>
      <w:r w:rsidR="00190923" w:rsidRPr="00D97463">
        <w:t xml:space="preserve"> </w:t>
      </w:r>
      <w:r w:rsidRPr="00D97463">
        <w:t>General</w:t>
      </w:r>
      <w:r w:rsidR="00190923" w:rsidRPr="00D97463">
        <w:t xml:space="preserve"> </w:t>
      </w:r>
      <w:r w:rsidRPr="00D97463">
        <w:t>Assembly</w:t>
      </w:r>
      <w:r w:rsidR="00190923" w:rsidRPr="00D97463">
        <w:t xml:space="preserve"> </w:t>
      </w:r>
      <w:r w:rsidRPr="00D97463">
        <w:t>on</w:t>
      </w:r>
      <w:r w:rsidR="00190923" w:rsidRPr="00D97463">
        <w:t xml:space="preserve"> </w:t>
      </w:r>
      <w:r w:rsidRPr="00D97463">
        <w:t>the</w:t>
      </w:r>
      <w:r w:rsidR="00190923" w:rsidRPr="00D97463">
        <w:t xml:space="preserve"> </w:t>
      </w:r>
      <w:r w:rsidRPr="00D97463">
        <w:t>1978</w:t>
      </w:r>
      <w:r w:rsidR="00190923" w:rsidRPr="00D97463">
        <w:t xml:space="preserve"> </w:t>
      </w:r>
      <w:r w:rsidRPr="00D97463">
        <w:t>draft</w:t>
      </w:r>
      <w:r w:rsidR="00190923" w:rsidRPr="00D97463">
        <w:t xml:space="preserve"> </w:t>
      </w:r>
      <w:r w:rsidRPr="00D97463">
        <w:t>articles</w:t>
      </w:r>
      <w:bookmarkEnd w:id="197"/>
      <w:bookmarkEnd w:id="198"/>
      <w:bookmarkEnd w:id="199"/>
    </w:p>
    <w:p w:rsidR="000614A2" w:rsidRPr="00D97463" w:rsidRDefault="000614A2" w:rsidP="00D97463">
      <w:pPr>
        <w:pStyle w:val="SingleTxt"/>
        <w:spacing w:after="0" w:line="120" w:lineRule="exact"/>
        <w:rPr>
          <w:sz w:val="10"/>
        </w:rPr>
      </w:pPr>
    </w:p>
    <w:p w:rsidR="00397032" w:rsidRPr="00981405" w:rsidRDefault="00397032" w:rsidP="00D97463">
      <w:pPr>
        <w:pStyle w:val="SingleTxt"/>
        <w:rPr>
          <w:rFonts w:eastAsia="SimSun"/>
        </w:rPr>
      </w:pPr>
      <w:r w:rsidRPr="00981405">
        <w:rPr>
          <w:rFonts w:eastAsia="SimSun"/>
        </w:rPr>
        <w:t>19.</w:t>
      </w:r>
      <w:r w:rsidRPr="00981405">
        <w:rPr>
          <w:rFonts w:eastAsia="SimSun"/>
        </w:rPr>
        <w:tab/>
        <w:t>After</w:t>
      </w:r>
      <w:r w:rsidR="00190923" w:rsidRPr="00981405">
        <w:rPr>
          <w:rFonts w:eastAsia="SimSun"/>
        </w:rPr>
        <w:t xml:space="preserve"> </w:t>
      </w:r>
      <w:r w:rsidRPr="00981405">
        <w:rPr>
          <w:rFonts w:eastAsia="SimSun"/>
        </w:rPr>
        <w:t>inviting</w:t>
      </w:r>
      <w:r w:rsidR="00190923" w:rsidRPr="00981405">
        <w:rPr>
          <w:rFonts w:eastAsia="SimSun"/>
        </w:rPr>
        <w:t xml:space="preserve"> </w:t>
      </w:r>
      <w:r w:rsidRPr="00981405">
        <w:rPr>
          <w:rFonts w:eastAsia="SimSun"/>
        </w:rPr>
        <w:t>governments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comment</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from</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1988,</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General</w:t>
      </w:r>
      <w:r w:rsidR="00190923" w:rsidRPr="00981405">
        <w:rPr>
          <w:rFonts w:eastAsia="SimSun"/>
        </w:rPr>
        <w:t xml:space="preserve"> </w:t>
      </w:r>
      <w:r w:rsidRPr="00981405">
        <w:rPr>
          <w:rFonts w:eastAsia="SimSun"/>
        </w:rPr>
        <w:t>Assembly</w:t>
      </w:r>
      <w:r w:rsidR="00190923" w:rsidRPr="00981405">
        <w:rPr>
          <w:rFonts w:eastAsia="SimSun"/>
        </w:rPr>
        <w:t xml:space="preserve"> </w:t>
      </w:r>
      <w:r w:rsidRPr="00981405">
        <w:rPr>
          <w:rFonts w:eastAsia="SimSun"/>
        </w:rPr>
        <w:t>concluded</w:t>
      </w:r>
      <w:r w:rsidR="00190923" w:rsidRPr="00981405">
        <w:rPr>
          <w:rFonts w:eastAsia="SimSun"/>
        </w:rPr>
        <w:t xml:space="preserve"> </w:t>
      </w:r>
      <w:r w:rsidRPr="00981405">
        <w:rPr>
          <w:rFonts w:eastAsia="SimSun"/>
        </w:rPr>
        <w:t>consideration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subject</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deciding,</w:t>
      </w:r>
    </w:p>
    <w:p w:rsidR="00397032" w:rsidRPr="00981405" w:rsidRDefault="00B92E2C" w:rsidP="00D97463">
      <w:pPr>
        <w:pStyle w:val="SingleTxt"/>
        <w:ind w:left="1742"/>
        <w:rPr>
          <w:rFonts w:eastAsia="SimSun"/>
        </w:rPr>
      </w:pPr>
      <w:r w:rsidRPr="00981405">
        <w:rPr>
          <w:rFonts w:eastAsia="SimSun"/>
        </w:rPr>
        <w:t>“</w:t>
      </w:r>
      <w:r w:rsidR="00397032" w:rsidRPr="00981405">
        <w:rPr>
          <w:rFonts w:eastAsia="SimSun"/>
        </w:rPr>
        <w:t>to</w:t>
      </w:r>
      <w:r w:rsidR="00190923" w:rsidRPr="00981405">
        <w:rPr>
          <w:rFonts w:eastAsia="SimSun"/>
        </w:rPr>
        <w:t xml:space="preserve"> </w:t>
      </w:r>
      <w:r w:rsidR="00397032" w:rsidRPr="00981405">
        <w:rPr>
          <w:rFonts w:eastAsia="SimSun"/>
        </w:rPr>
        <w:t>bring</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draft</w:t>
      </w:r>
      <w:r w:rsidR="00190923" w:rsidRPr="00981405">
        <w:rPr>
          <w:rFonts w:eastAsia="SimSun"/>
        </w:rPr>
        <w:t xml:space="preserve"> </w:t>
      </w:r>
      <w:r w:rsidR="00397032" w:rsidRPr="00981405">
        <w:rPr>
          <w:rFonts w:eastAsia="SimSun"/>
        </w:rPr>
        <w:t>articles</w:t>
      </w:r>
      <w:r w:rsidR="00190923" w:rsidRPr="00981405">
        <w:rPr>
          <w:rFonts w:eastAsia="SimSun"/>
        </w:rPr>
        <w:t xml:space="preserve"> </w:t>
      </w:r>
      <w:r w:rsidR="00397032" w:rsidRPr="00981405">
        <w:rPr>
          <w:rFonts w:eastAsia="SimSun"/>
        </w:rPr>
        <w:t>on</w:t>
      </w:r>
      <w:r w:rsidR="00190923" w:rsidRPr="00981405">
        <w:rPr>
          <w:rFonts w:eastAsia="SimSun"/>
        </w:rPr>
        <w:t xml:space="preserve"> </w:t>
      </w:r>
      <w:r w:rsidR="00397032" w:rsidRPr="00981405">
        <w:rPr>
          <w:rFonts w:eastAsia="SimSun"/>
        </w:rPr>
        <w:t>most-favoured-nation</w:t>
      </w:r>
      <w:r w:rsidR="00190923" w:rsidRPr="00981405">
        <w:rPr>
          <w:rFonts w:eastAsia="SimSun"/>
        </w:rPr>
        <w:t xml:space="preserve"> </w:t>
      </w:r>
      <w:r w:rsidR="00397032" w:rsidRPr="00981405">
        <w:rPr>
          <w:rFonts w:eastAsia="SimSun"/>
        </w:rPr>
        <w:t>clauses,</w:t>
      </w:r>
      <w:r w:rsidR="00190923" w:rsidRPr="00981405">
        <w:rPr>
          <w:rFonts w:eastAsia="SimSun"/>
        </w:rPr>
        <w:t xml:space="preserve"> </w:t>
      </w:r>
      <w:r w:rsidR="00397032" w:rsidRPr="00981405">
        <w:rPr>
          <w:rFonts w:eastAsia="SimSun"/>
        </w:rPr>
        <w:t>as</w:t>
      </w:r>
      <w:r w:rsidR="00190923" w:rsidRPr="00981405">
        <w:rPr>
          <w:rFonts w:eastAsia="SimSun"/>
        </w:rPr>
        <w:t xml:space="preserve"> </w:t>
      </w:r>
      <w:r w:rsidR="00397032" w:rsidRPr="00981405">
        <w:rPr>
          <w:rFonts w:eastAsia="SimSun"/>
        </w:rPr>
        <w:t>contained</w:t>
      </w:r>
      <w:r w:rsidR="00190923" w:rsidRPr="00981405">
        <w:rPr>
          <w:rFonts w:eastAsia="SimSun"/>
        </w:rPr>
        <w:t xml:space="preserve"> </w:t>
      </w:r>
      <w:r w:rsidR="00397032" w:rsidRPr="00981405">
        <w:rPr>
          <w:rFonts w:eastAsia="SimSun"/>
        </w:rPr>
        <w:t>in</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Report</w:t>
      </w:r>
      <w:r w:rsidR="00190923" w:rsidRPr="00981405">
        <w:rPr>
          <w:rFonts w:eastAsia="SimSun"/>
        </w:rPr>
        <w:t xml:space="preserve"> </w:t>
      </w:r>
      <w:r w:rsidR="00397032" w:rsidRPr="00981405">
        <w:rPr>
          <w:rFonts w:eastAsia="SimSun"/>
        </w:rPr>
        <w:t>of</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Commission</w:t>
      </w:r>
      <w:r w:rsidR="00190923" w:rsidRPr="00981405">
        <w:rPr>
          <w:rFonts w:eastAsia="SimSun"/>
        </w:rPr>
        <w:t xml:space="preserve"> </w:t>
      </w:r>
      <w:r w:rsidR="00397032" w:rsidRPr="00981405">
        <w:rPr>
          <w:rFonts w:eastAsia="SimSun"/>
        </w:rPr>
        <w:t>on</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work</w:t>
      </w:r>
      <w:r w:rsidR="00190923" w:rsidRPr="00981405">
        <w:rPr>
          <w:rFonts w:eastAsia="SimSun"/>
        </w:rPr>
        <w:t xml:space="preserve"> </w:t>
      </w:r>
      <w:r w:rsidR="00397032" w:rsidRPr="00981405">
        <w:rPr>
          <w:rFonts w:eastAsia="SimSun"/>
        </w:rPr>
        <w:t>of</w:t>
      </w:r>
      <w:r w:rsidR="00190923" w:rsidRPr="00981405">
        <w:rPr>
          <w:rFonts w:eastAsia="SimSun"/>
        </w:rPr>
        <w:t xml:space="preserve"> </w:t>
      </w:r>
      <w:r w:rsidR="00397032" w:rsidRPr="00981405">
        <w:rPr>
          <w:rFonts w:eastAsia="SimSun"/>
        </w:rPr>
        <w:t>its</w:t>
      </w:r>
      <w:r w:rsidR="00190923" w:rsidRPr="00981405">
        <w:rPr>
          <w:rFonts w:eastAsia="SimSun"/>
        </w:rPr>
        <w:t xml:space="preserve"> </w:t>
      </w:r>
      <w:r w:rsidR="00397032" w:rsidRPr="00981405">
        <w:rPr>
          <w:rFonts w:eastAsia="SimSun"/>
        </w:rPr>
        <w:t>thirtieth</w:t>
      </w:r>
      <w:r w:rsidR="00190923" w:rsidRPr="00981405">
        <w:rPr>
          <w:rFonts w:eastAsia="SimSun"/>
        </w:rPr>
        <w:t xml:space="preserve"> </w:t>
      </w:r>
      <w:r w:rsidR="00397032" w:rsidRPr="00981405">
        <w:rPr>
          <w:rFonts w:eastAsia="SimSun"/>
        </w:rPr>
        <w:t>session,</w:t>
      </w:r>
      <w:r w:rsidR="00190923" w:rsidRPr="00981405">
        <w:rPr>
          <w:rFonts w:eastAsia="SimSun"/>
        </w:rPr>
        <w:t xml:space="preserve"> </w:t>
      </w:r>
      <w:r w:rsidR="00397032" w:rsidRPr="00981405">
        <w:rPr>
          <w:rFonts w:eastAsia="SimSun"/>
        </w:rPr>
        <w:t>to</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attention</w:t>
      </w:r>
      <w:r w:rsidR="00190923" w:rsidRPr="00981405">
        <w:rPr>
          <w:rFonts w:eastAsia="SimSun"/>
        </w:rPr>
        <w:t xml:space="preserve"> </w:t>
      </w:r>
      <w:r w:rsidR="00397032" w:rsidRPr="00981405">
        <w:rPr>
          <w:rFonts w:eastAsia="SimSun"/>
        </w:rPr>
        <w:t>of</w:t>
      </w:r>
      <w:r w:rsidR="00190923" w:rsidRPr="00981405">
        <w:rPr>
          <w:rFonts w:eastAsia="SimSun"/>
        </w:rPr>
        <w:t xml:space="preserve"> </w:t>
      </w:r>
      <w:r w:rsidR="00397032" w:rsidRPr="00981405">
        <w:rPr>
          <w:rFonts w:eastAsia="SimSun"/>
        </w:rPr>
        <w:lastRenderedPageBreak/>
        <w:t>Member</w:t>
      </w:r>
      <w:r w:rsidR="00190923" w:rsidRPr="00981405">
        <w:rPr>
          <w:rFonts w:eastAsia="SimSun"/>
        </w:rPr>
        <w:t xml:space="preserve"> </w:t>
      </w:r>
      <w:r w:rsidR="00397032" w:rsidRPr="00981405">
        <w:rPr>
          <w:rFonts w:eastAsia="SimSun"/>
        </w:rPr>
        <w:t>States</w:t>
      </w:r>
      <w:r w:rsidR="00190923" w:rsidRPr="00981405">
        <w:rPr>
          <w:rFonts w:eastAsia="SimSun"/>
        </w:rPr>
        <w:t xml:space="preserve"> </w:t>
      </w:r>
      <w:r w:rsidR="00397032" w:rsidRPr="00981405">
        <w:rPr>
          <w:rFonts w:eastAsia="SimSun"/>
        </w:rPr>
        <w:t>and</w:t>
      </w:r>
      <w:r w:rsidR="00190923" w:rsidRPr="00981405">
        <w:rPr>
          <w:rFonts w:eastAsia="SimSun"/>
        </w:rPr>
        <w:t xml:space="preserve"> </w:t>
      </w:r>
      <w:r w:rsidR="00397032" w:rsidRPr="00981405">
        <w:rPr>
          <w:rFonts w:eastAsia="SimSun"/>
        </w:rPr>
        <w:t>interested</w:t>
      </w:r>
      <w:r w:rsidR="00190923" w:rsidRPr="00981405">
        <w:rPr>
          <w:rFonts w:eastAsia="SimSun"/>
        </w:rPr>
        <w:t xml:space="preserve"> </w:t>
      </w:r>
      <w:r w:rsidR="00397032" w:rsidRPr="00981405">
        <w:rPr>
          <w:rFonts w:eastAsia="SimSun"/>
        </w:rPr>
        <w:t>intergovernmental</w:t>
      </w:r>
      <w:r w:rsidR="00190923" w:rsidRPr="00981405">
        <w:rPr>
          <w:rFonts w:eastAsia="SimSun"/>
        </w:rPr>
        <w:t xml:space="preserve"> </w:t>
      </w:r>
      <w:r w:rsidR="00397032" w:rsidRPr="00981405">
        <w:rPr>
          <w:rFonts w:eastAsia="SimSun"/>
        </w:rPr>
        <w:t>organizations</w:t>
      </w:r>
      <w:r w:rsidR="00190923" w:rsidRPr="00981405">
        <w:rPr>
          <w:rFonts w:eastAsia="SimSun"/>
        </w:rPr>
        <w:t xml:space="preserve"> </w:t>
      </w:r>
      <w:r w:rsidR="00397032" w:rsidRPr="00981405">
        <w:rPr>
          <w:rFonts w:eastAsia="SimSun"/>
        </w:rPr>
        <w:t>for</w:t>
      </w:r>
      <w:r w:rsidR="00190923" w:rsidRPr="00981405">
        <w:rPr>
          <w:rFonts w:eastAsia="SimSun"/>
        </w:rPr>
        <w:t xml:space="preserve"> </w:t>
      </w:r>
      <w:r w:rsidR="00397032" w:rsidRPr="00981405">
        <w:rPr>
          <w:rFonts w:eastAsia="SimSun"/>
        </w:rPr>
        <w:t>their</w:t>
      </w:r>
      <w:r w:rsidR="00190923" w:rsidRPr="00981405">
        <w:rPr>
          <w:rFonts w:eastAsia="SimSun"/>
        </w:rPr>
        <w:t xml:space="preserve"> </w:t>
      </w:r>
      <w:r w:rsidR="00397032" w:rsidRPr="00981405">
        <w:rPr>
          <w:rFonts w:eastAsia="SimSun"/>
        </w:rPr>
        <w:t>consideration</w:t>
      </w:r>
      <w:r w:rsidR="00190923" w:rsidRPr="00981405">
        <w:rPr>
          <w:rFonts w:eastAsia="SimSun"/>
        </w:rPr>
        <w:t xml:space="preserve"> </w:t>
      </w:r>
      <w:r w:rsidR="00397032" w:rsidRPr="00981405">
        <w:rPr>
          <w:rFonts w:eastAsia="SimSun"/>
        </w:rPr>
        <w:t>in</w:t>
      </w:r>
      <w:r w:rsidR="00190923" w:rsidRPr="00981405">
        <w:rPr>
          <w:rFonts w:eastAsia="SimSun"/>
        </w:rPr>
        <w:t xml:space="preserve"> </w:t>
      </w:r>
      <w:r w:rsidR="00397032" w:rsidRPr="00981405">
        <w:rPr>
          <w:rFonts w:eastAsia="SimSun"/>
        </w:rPr>
        <w:t>such</w:t>
      </w:r>
      <w:r w:rsidR="00190923" w:rsidRPr="00981405">
        <w:rPr>
          <w:rFonts w:eastAsia="SimSun"/>
        </w:rPr>
        <w:t xml:space="preserve"> </w:t>
      </w:r>
      <w:r w:rsidR="00397032" w:rsidRPr="00981405">
        <w:rPr>
          <w:rFonts w:eastAsia="SimSun"/>
        </w:rPr>
        <w:t>cases</w:t>
      </w:r>
      <w:r w:rsidR="00190923" w:rsidRPr="00981405">
        <w:rPr>
          <w:rFonts w:eastAsia="SimSun"/>
        </w:rPr>
        <w:t xml:space="preserve"> </w:t>
      </w:r>
      <w:r w:rsidR="00397032" w:rsidRPr="00981405">
        <w:rPr>
          <w:rFonts w:eastAsia="SimSun"/>
        </w:rPr>
        <w:t>and</w:t>
      </w:r>
      <w:r w:rsidR="00190923" w:rsidRPr="00981405">
        <w:rPr>
          <w:rFonts w:eastAsia="SimSun"/>
        </w:rPr>
        <w:t xml:space="preserve"> </w:t>
      </w:r>
      <w:r w:rsidR="00397032" w:rsidRPr="00981405">
        <w:rPr>
          <w:rFonts w:eastAsia="SimSun"/>
        </w:rPr>
        <w:t>to</w:t>
      </w:r>
      <w:r w:rsidR="00190923" w:rsidRPr="00981405">
        <w:rPr>
          <w:rFonts w:eastAsia="SimSun"/>
        </w:rPr>
        <w:t xml:space="preserve"> </w:t>
      </w:r>
      <w:r w:rsidR="00397032" w:rsidRPr="00981405">
        <w:rPr>
          <w:rFonts w:eastAsia="SimSun"/>
        </w:rPr>
        <w:t>the</w:t>
      </w:r>
      <w:r w:rsidR="00190923" w:rsidRPr="00981405">
        <w:rPr>
          <w:rFonts w:eastAsia="SimSun"/>
        </w:rPr>
        <w:t xml:space="preserve"> </w:t>
      </w:r>
      <w:r w:rsidR="00397032" w:rsidRPr="00981405">
        <w:rPr>
          <w:rFonts w:eastAsia="SimSun"/>
        </w:rPr>
        <w:t>extent</w:t>
      </w:r>
      <w:r w:rsidR="00190923" w:rsidRPr="00981405">
        <w:rPr>
          <w:rFonts w:eastAsia="SimSun"/>
        </w:rPr>
        <w:t xml:space="preserve"> </w:t>
      </w:r>
      <w:r w:rsidR="00397032" w:rsidRPr="00981405">
        <w:rPr>
          <w:rFonts w:eastAsia="SimSun"/>
        </w:rPr>
        <w:t>as</w:t>
      </w:r>
      <w:r w:rsidR="00190923" w:rsidRPr="00981405">
        <w:rPr>
          <w:rFonts w:eastAsia="SimSun"/>
        </w:rPr>
        <w:t xml:space="preserve"> </w:t>
      </w:r>
      <w:r w:rsidR="00397032" w:rsidRPr="00981405">
        <w:rPr>
          <w:rFonts w:eastAsia="SimSun"/>
        </w:rPr>
        <w:t>they</w:t>
      </w:r>
      <w:r w:rsidR="00190923" w:rsidRPr="00981405">
        <w:rPr>
          <w:rFonts w:eastAsia="SimSun"/>
        </w:rPr>
        <w:t xml:space="preserve"> </w:t>
      </w:r>
      <w:r w:rsidR="00397032" w:rsidRPr="00981405">
        <w:rPr>
          <w:rFonts w:eastAsia="SimSun"/>
        </w:rPr>
        <w:t>deemed</w:t>
      </w:r>
      <w:r w:rsidR="00190923" w:rsidRPr="00981405">
        <w:rPr>
          <w:rFonts w:eastAsia="SimSun"/>
        </w:rPr>
        <w:t xml:space="preserve"> </w:t>
      </w:r>
      <w:r w:rsidR="00397032" w:rsidRPr="00981405">
        <w:rPr>
          <w:rFonts w:eastAsia="SimSun"/>
        </w:rPr>
        <w:t>appropriate.</w:t>
      </w:r>
      <w:r w:rsidRPr="00981405">
        <w:rPr>
          <w:rFonts w:eastAsia="SimSun"/>
        </w:rPr>
        <w:t>”</w:t>
      </w:r>
      <w:r w:rsidR="00397032" w:rsidRPr="00981405">
        <w:rPr>
          <w:rStyle w:val="FootnoteReference"/>
        </w:rPr>
        <w:footnoteReference w:id="439"/>
      </w:r>
    </w:p>
    <w:p w:rsidR="000614A2" w:rsidRPr="00D97463" w:rsidRDefault="000614A2" w:rsidP="00D97463">
      <w:pPr>
        <w:pStyle w:val="SingleTxt"/>
        <w:spacing w:after="0" w:line="120" w:lineRule="exact"/>
        <w:ind w:left="1742"/>
        <w:rPr>
          <w:rFonts w:eastAsia="SimSun"/>
          <w:sz w:val="10"/>
        </w:rPr>
      </w:pPr>
    </w:p>
    <w:p w:rsidR="000614A2" w:rsidRPr="00D97463" w:rsidRDefault="000614A2" w:rsidP="00D97463">
      <w:pPr>
        <w:pStyle w:val="SingleTxt"/>
        <w:spacing w:after="0" w:line="120" w:lineRule="exact"/>
        <w:ind w:left="1742"/>
        <w:rPr>
          <w:rFonts w:eastAsia="SimSun"/>
          <w:sz w:val="10"/>
        </w:rPr>
      </w:pPr>
    </w:p>
    <w:p w:rsidR="00397032" w:rsidRPr="00D97463" w:rsidRDefault="00397032" w:rsidP="00D97463">
      <w:pPr>
        <w:pStyle w:val="H1"/>
        <w:ind w:right="1260"/>
      </w:pPr>
      <w:bookmarkStart w:id="200" w:name="_Toc293434145"/>
      <w:bookmarkStart w:id="201" w:name="_Toc294353661"/>
      <w:r w:rsidRPr="00D97463">
        <w:tab/>
        <w:t>C.</w:t>
      </w:r>
      <w:r w:rsidRPr="00D97463">
        <w:tab/>
        <w:t>Subsequent</w:t>
      </w:r>
      <w:r w:rsidR="00190923" w:rsidRPr="00D97463">
        <w:t xml:space="preserve"> </w:t>
      </w:r>
      <w:r w:rsidRPr="00D97463">
        <w:t>developments</w:t>
      </w:r>
      <w:bookmarkEnd w:id="200"/>
      <w:bookmarkEnd w:id="201"/>
    </w:p>
    <w:p w:rsidR="000614A2" w:rsidRPr="00D97463" w:rsidRDefault="000614A2" w:rsidP="00D97463">
      <w:pPr>
        <w:pStyle w:val="SingleTxt"/>
        <w:spacing w:after="0" w:line="120" w:lineRule="exact"/>
        <w:rPr>
          <w:sz w:val="10"/>
        </w:rPr>
      </w:pPr>
    </w:p>
    <w:p w:rsidR="000614A2" w:rsidRPr="00D97463" w:rsidRDefault="000614A2" w:rsidP="00D97463">
      <w:pPr>
        <w:pStyle w:val="SingleTxt"/>
        <w:spacing w:after="0" w:line="120" w:lineRule="exact"/>
        <w:rPr>
          <w:sz w:val="10"/>
        </w:rPr>
      </w:pPr>
    </w:p>
    <w:p w:rsidR="00397032" w:rsidRPr="00981405" w:rsidRDefault="00397032" w:rsidP="00D97463">
      <w:pPr>
        <w:pStyle w:val="SingleTxt"/>
      </w:pPr>
      <w:r w:rsidRPr="00981405">
        <w:t>20.</w:t>
      </w:r>
      <w:r w:rsidRPr="00981405">
        <w:tab/>
        <w:t>The</w:t>
      </w:r>
      <w:r w:rsidR="00190923" w:rsidRPr="00981405">
        <w:t xml:space="preserve"> </w:t>
      </w:r>
      <w:r w:rsidRPr="00981405">
        <w:t>circumstances</w:t>
      </w:r>
      <w:r w:rsidR="00190923" w:rsidRPr="00981405">
        <w:t xml:space="preserve"> </w:t>
      </w:r>
      <w:r w:rsidRPr="00981405">
        <w:t>that</w:t>
      </w:r>
      <w:r w:rsidR="00190923" w:rsidRPr="00981405">
        <w:t xml:space="preserve"> </w:t>
      </w:r>
      <w:r w:rsidRPr="00981405">
        <w:t>existed</w:t>
      </w:r>
      <w:r w:rsidR="00190923" w:rsidRPr="00981405">
        <w:t xml:space="preserve"> </w:t>
      </w:r>
      <w:r w:rsidRPr="00981405">
        <w:t>when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dealt</w:t>
      </w:r>
      <w:r w:rsidR="00190923" w:rsidRPr="00981405">
        <w:t xml:space="preserve"> </w:t>
      </w:r>
      <w:r w:rsidRPr="00981405">
        <w:t>with</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in</w:t>
      </w:r>
      <w:r w:rsidR="00190923" w:rsidRPr="00981405">
        <w:t xml:space="preserve"> </w:t>
      </w:r>
      <w:r w:rsidRPr="00981405">
        <w:t>its</w:t>
      </w:r>
      <w:r w:rsidR="00190923" w:rsidRPr="00981405">
        <w:t xml:space="preserve"> </w:t>
      </w:r>
      <w:r w:rsidRPr="00981405">
        <w:t>reports</w:t>
      </w:r>
      <w:r w:rsidR="00190923" w:rsidRPr="00981405">
        <w:t xml:space="preserve"> </w:t>
      </w:r>
      <w:r w:rsidRPr="00981405">
        <w:t>and</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have</w:t>
      </w:r>
      <w:r w:rsidR="00190923" w:rsidRPr="00981405">
        <w:t xml:space="preserve"> </w:t>
      </w:r>
      <w:r w:rsidRPr="00981405">
        <w:t>changed</w:t>
      </w:r>
      <w:r w:rsidR="00190923" w:rsidRPr="00981405">
        <w:t xml:space="preserve"> </w:t>
      </w:r>
      <w:r w:rsidRPr="00981405">
        <w:t>significantly.</w:t>
      </w:r>
      <w:r w:rsidR="00190923" w:rsidRPr="00981405">
        <w:t xml:space="preserve"> </w:t>
      </w:r>
      <w:r w:rsidRPr="00981405">
        <w:t>There</w:t>
      </w:r>
      <w:r w:rsidR="00190923" w:rsidRPr="00981405">
        <w:t xml:space="preserve"> </w:t>
      </w:r>
      <w:r w:rsidRPr="00981405">
        <w:t>has</w:t>
      </w:r>
      <w:r w:rsidR="00190923" w:rsidRPr="00981405">
        <w:t xml:space="preserve"> </w:t>
      </w:r>
      <w:r w:rsidRPr="00981405">
        <w:t>been</w:t>
      </w:r>
      <w:r w:rsidR="00190923" w:rsidRPr="00981405">
        <w:t xml:space="preserve"> </w:t>
      </w:r>
      <w:r w:rsidRPr="00981405">
        <w:t>a</w:t>
      </w:r>
      <w:r w:rsidR="00190923" w:rsidRPr="00981405">
        <w:t xml:space="preserve"> </w:t>
      </w:r>
      <w:r w:rsidRPr="00981405">
        <w:t>narrowing</w:t>
      </w:r>
      <w:r w:rsidR="00190923" w:rsidRPr="00981405">
        <w:t xml:space="preserve"> </w:t>
      </w:r>
      <w:r w:rsidRPr="00981405">
        <w:t>of</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r w:rsidR="00190923" w:rsidRPr="00981405">
        <w:t xml:space="preserve"> </w:t>
      </w:r>
      <w:r w:rsidRPr="00981405">
        <w:t>to</w:t>
      </w:r>
      <w:r w:rsidR="00190923" w:rsidRPr="00981405">
        <w:t xml:space="preserve"> </w:t>
      </w:r>
      <w:r w:rsidRPr="00981405">
        <w:t>the</w:t>
      </w:r>
      <w:r w:rsidR="00190923" w:rsidRPr="00981405">
        <w:t xml:space="preserve"> </w:t>
      </w:r>
      <w:r w:rsidRPr="00981405">
        <w:t>economic</w:t>
      </w:r>
      <w:r w:rsidR="00190923" w:rsidRPr="00981405">
        <w:t xml:space="preserve"> </w:t>
      </w:r>
      <w:r w:rsidRPr="00981405">
        <w:t>field,</w:t>
      </w:r>
      <w:r w:rsidR="00190923" w:rsidRPr="00981405">
        <w:t xml:space="preserve"> </w:t>
      </w:r>
      <w:r w:rsidRPr="00981405">
        <w:t>but</w:t>
      </w:r>
      <w:r w:rsidR="00190923" w:rsidRPr="00981405">
        <w:t xml:space="preserve"> </w:t>
      </w:r>
      <w:r w:rsidRPr="00981405">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a</w:t>
      </w:r>
      <w:r w:rsidR="00190923" w:rsidRPr="00981405">
        <w:t xml:space="preserve"> </w:t>
      </w:r>
      <w:r w:rsidRPr="00981405">
        <w:t>broadening</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r w:rsidR="00190923" w:rsidRPr="00981405">
        <w:t xml:space="preserve"> </w:t>
      </w:r>
      <w:r w:rsidRPr="00981405">
        <w:t>within</w:t>
      </w:r>
      <w:r w:rsidR="00190923" w:rsidRPr="00981405">
        <w:t xml:space="preserve"> </w:t>
      </w:r>
      <w:r w:rsidRPr="00981405">
        <w:t>that</w:t>
      </w:r>
      <w:r w:rsidR="00190923" w:rsidRPr="00981405">
        <w:t xml:space="preserve"> </w:t>
      </w:r>
      <w:r w:rsidRPr="00981405">
        <w:t>field.</w:t>
      </w:r>
      <w:r w:rsidR="00190923" w:rsidRPr="00981405">
        <w:t xml:space="preserve"> </w:t>
      </w:r>
      <w:r w:rsidRPr="00981405">
        <w:t>The</w:t>
      </w:r>
      <w:r w:rsidR="00190923" w:rsidRPr="00981405">
        <w:t xml:space="preserve"> </w:t>
      </w:r>
      <w:r w:rsidRPr="00981405">
        <w:t>Special</w:t>
      </w:r>
      <w:r w:rsidR="00190923" w:rsidRPr="00981405">
        <w:t xml:space="preserve"> </w:t>
      </w:r>
      <w:r w:rsidRPr="00981405">
        <w:t>Rapporteurs</w:t>
      </w:r>
      <w:r w:rsidR="00190923" w:rsidRPr="00981405">
        <w:t xml:space="preserve"> </w:t>
      </w:r>
      <w:r w:rsidRPr="00981405">
        <w:t>for</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had</w:t>
      </w:r>
      <w:r w:rsidR="00190923" w:rsidRPr="00981405">
        <w:t xml:space="preserve"> </w:t>
      </w:r>
      <w:r w:rsidRPr="00981405">
        <w:t>dealt</w:t>
      </w:r>
      <w:r w:rsidR="00190923" w:rsidRPr="00981405">
        <w:t xml:space="preserve"> </w:t>
      </w:r>
      <w:r w:rsidRPr="00981405">
        <w:t>with</w:t>
      </w:r>
      <w:r w:rsidR="00190923" w:rsidRPr="00981405">
        <w:t xml:space="preserve"> </w:t>
      </w:r>
      <w:r w:rsidRPr="00981405">
        <w:t>a</w:t>
      </w:r>
      <w:r w:rsidR="00190923" w:rsidRPr="00981405">
        <w:t xml:space="preserve"> </w:t>
      </w:r>
      <w:r w:rsidRPr="00981405">
        <w:t>wide</w:t>
      </w:r>
      <w:r w:rsidR="00190923" w:rsidRPr="00981405">
        <w:t xml:space="preserve"> </w:t>
      </w:r>
      <w:r w:rsidRPr="00981405">
        <w:t>range</w:t>
      </w:r>
      <w:r w:rsidR="00190923" w:rsidRPr="00981405">
        <w:t xml:space="preserve"> </w:t>
      </w:r>
      <w:r w:rsidRPr="00981405">
        <w:t>of</w:t>
      </w:r>
      <w:r w:rsidR="00190923" w:rsidRPr="00981405">
        <w:t xml:space="preserve"> </w:t>
      </w:r>
      <w:r w:rsidRPr="00981405">
        <w:t>areas</w:t>
      </w:r>
      <w:r w:rsidR="00190923" w:rsidRPr="00981405">
        <w:t xml:space="preserve"> </w:t>
      </w:r>
      <w:r w:rsidRPr="00981405">
        <w:t>where</w:t>
      </w:r>
      <w:r w:rsidR="00190923" w:rsidRPr="00981405">
        <w:t xml:space="preserve"> </w:t>
      </w:r>
      <w:r w:rsidRPr="00981405">
        <w:t>MFN</w:t>
      </w:r>
      <w:r w:rsidR="00190923" w:rsidRPr="00981405">
        <w:t xml:space="preserve"> </w:t>
      </w:r>
      <w:r w:rsidRPr="00981405">
        <w:t>clauses</w:t>
      </w:r>
      <w:r w:rsidR="00190923" w:rsidRPr="00981405">
        <w:t xml:space="preserve"> </w:t>
      </w:r>
      <w:r w:rsidRPr="00981405">
        <w:t>operated,</w:t>
      </w:r>
      <w:r w:rsidR="00190923" w:rsidRPr="00981405">
        <w:t xml:space="preserve"> </w:t>
      </w:r>
      <w:r w:rsidRPr="00981405">
        <w:t>including</w:t>
      </w:r>
      <w:r w:rsidR="00190923" w:rsidRPr="00981405">
        <w:t xml:space="preserve"> </w:t>
      </w:r>
      <w:r w:rsidRPr="00981405">
        <w:t>navigation</w:t>
      </w:r>
      <w:r w:rsidR="00190923" w:rsidRPr="00981405">
        <w:t xml:space="preserve"> </w:t>
      </w:r>
      <w:r w:rsidRPr="00981405">
        <w:t>rights</w:t>
      </w:r>
      <w:r w:rsidR="00190923" w:rsidRPr="00981405">
        <w:t xml:space="preserve"> </w:t>
      </w:r>
      <w:r w:rsidRPr="00981405">
        <w:t>and</w:t>
      </w:r>
      <w:r w:rsidR="00190923" w:rsidRPr="00981405">
        <w:t xml:space="preserve"> </w:t>
      </w:r>
      <w:r w:rsidRPr="00981405">
        <w:t>diplomatic</w:t>
      </w:r>
      <w:r w:rsidR="00190923" w:rsidRPr="00981405">
        <w:t xml:space="preserve"> </w:t>
      </w:r>
      <w:r w:rsidRPr="00981405">
        <w:t>immunities.</w:t>
      </w:r>
      <w:r w:rsidR="00190923" w:rsidRPr="00981405">
        <w:t xml:space="preserve"> </w:t>
      </w:r>
      <w:r w:rsidRPr="00981405">
        <w:t>Today,</w:t>
      </w:r>
      <w:r w:rsidR="00190923" w:rsidRPr="00981405">
        <w:t xml:space="preserve"> </w:t>
      </w:r>
      <w:r w:rsidRPr="00981405">
        <w:t>the</w:t>
      </w:r>
      <w:r w:rsidR="00190923" w:rsidRPr="00981405">
        <w:t xml:space="preserve"> </w:t>
      </w:r>
      <w:r w:rsidRPr="00981405">
        <w:t>MFN</w:t>
      </w:r>
      <w:r w:rsidR="00190923" w:rsidRPr="00981405">
        <w:t xml:space="preserve"> </w:t>
      </w:r>
      <w:r w:rsidRPr="00981405">
        <w:t>principle</w:t>
      </w:r>
      <w:r w:rsidR="00190923" w:rsidRPr="00981405">
        <w:t xml:space="preserve"> </w:t>
      </w:r>
      <w:r w:rsidRPr="00981405">
        <w:t>operates</w:t>
      </w:r>
      <w:r w:rsidR="00190923" w:rsidRPr="00981405">
        <w:t xml:space="preserve"> </w:t>
      </w:r>
      <w:r w:rsidRPr="00981405">
        <w:t>primarily</w:t>
      </w:r>
      <w:r w:rsidR="00190923" w:rsidRPr="00981405">
        <w:t xml:space="preserve"> </w:t>
      </w:r>
      <w:r w:rsidRPr="00981405">
        <w:t>in</w:t>
      </w:r>
      <w:r w:rsidR="00190923" w:rsidRPr="00981405">
        <w:t xml:space="preserve"> </w:t>
      </w:r>
      <w:r w:rsidRPr="00981405">
        <w:t>the</w:t>
      </w:r>
      <w:r w:rsidR="00190923" w:rsidRPr="00981405">
        <w:t xml:space="preserve"> </w:t>
      </w:r>
      <w:r w:rsidRPr="00981405">
        <w:t>realm</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economic</w:t>
      </w:r>
      <w:r w:rsidR="00190923" w:rsidRPr="00981405">
        <w:t xml:space="preserve"> </w:t>
      </w:r>
      <w:r w:rsidRPr="00981405">
        <w:t>law,</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trade</w:t>
      </w:r>
      <w:r w:rsidR="00190923" w:rsidRPr="00981405">
        <w:t xml:space="preserve"> </w:t>
      </w:r>
      <w:r w:rsidRPr="00981405">
        <w:t>and</w:t>
      </w:r>
      <w:r w:rsidR="00190923" w:rsidRPr="00981405">
        <w:t xml:space="preserve"> </w:t>
      </w:r>
      <w:r w:rsidRPr="00981405">
        <w:t>investment.</w:t>
      </w:r>
      <w:r w:rsidR="00190923" w:rsidRPr="00981405">
        <w:t xml:space="preserve"> </w:t>
      </w:r>
      <w:r w:rsidRPr="00981405">
        <w:t>In</w:t>
      </w:r>
      <w:r w:rsidR="00190923" w:rsidRPr="00981405">
        <w:t xml:space="preserve"> </w:t>
      </w:r>
      <w:r w:rsidRPr="00981405">
        <w:t>certain</w:t>
      </w:r>
      <w:r w:rsidR="00190923" w:rsidRPr="00981405">
        <w:t xml:space="preserve"> </w:t>
      </w:r>
      <w:r w:rsidRPr="00981405">
        <w:t>cases</w:t>
      </w:r>
      <w:r w:rsidR="00190923" w:rsidRPr="00981405">
        <w:t xml:space="preserve"> </w:t>
      </w:r>
      <w:r w:rsidRPr="00981405">
        <w:t>MFN</w:t>
      </w:r>
      <w:r w:rsidR="00190923" w:rsidRPr="00981405">
        <w:t xml:space="preserve"> </w:t>
      </w:r>
      <w:r w:rsidRPr="00981405">
        <w:t>treatment</w:t>
      </w:r>
      <w:r w:rsidR="00190923" w:rsidRPr="00981405">
        <w:t xml:space="preserve"> </w:t>
      </w:r>
      <w:r w:rsidRPr="00981405">
        <w:t>provided</w:t>
      </w:r>
      <w:r w:rsidR="00190923" w:rsidRPr="00981405">
        <w:t xml:space="preserve"> </w:t>
      </w:r>
      <w:r w:rsidRPr="00981405">
        <w:t>for</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bilateral</w:t>
      </w:r>
      <w:r w:rsidR="00190923" w:rsidRPr="00981405">
        <w:t xml:space="preserve"> </w:t>
      </w:r>
      <w:r w:rsidRPr="00981405">
        <w:t>treaties</w:t>
      </w:r>
      <w:r w:rsidR="00190923" w:rsidRPr="00981405">
        <w:t xml:space="preserve"> </w:t>
      </w:r>
      <w:r w:rsidRPr="00981405">
        <w:t>has</w:t>
      </w:r>
      <w:r w:rsidR="00190923" w:rsidRPr="00981405">
        <w:t xml:space="preserve"> </w:t>
      </w:r>
      <w:r w:rsidRPr="00981405">
        <w:t>been</w:t>
      </w:r>
      <w:r w:rsidR="00190923" w:rsidRPr="00981405">
        <w:t xml:space="preserve"> </w:t>
      </w:r>
      <w:r w:rsidRPr="00981405">
        <w:t>superseded</w:t>
      </w:r>
      <w:r w:rsidR="00190923" w:rsidRPr="00981405">
        <w:t xml:space="preserve"> </w:t>
      </w:r>
      <w:r w:rsidRPr="00981405">
        <w:t>by</w:t>
      </w:r>
      <w:r w:rsidR="00190923" w:rsidRPr="00981405">
        <w:t xml:space="preserve"> </w:t>
      </w:r>
      <w:r w:rsidRPr="00981405">
        <w:t>multilateral</w:t>
      </w:r>
      <w:r w:rsidR="00190923" w:rsidRPr="00981405">
        <w:t xml:space="preserve"> </w:t>
      </w:r>
      <w:r w:rsidRPr="00981405">
        <w:t>conventions</w:t>
      </w:r>
      <w:r w:rsidR="00190923" w:rsidRPr="00981405">
        <w:t xml:space="preserve"> </w:t>
      </w:r>
      <w:r w:rsidRPr="00981405">
        <w:t>providing</w:t>
      </w:r>
      <w:r w:rsidR="00190923" w:rsidRPr="00981405">
        <w:t xml:space="preserve"> </w:t>
      </w:r>
      <w:r w:rsidRPr="00981405">
        <w:t>obligations</w:t>
      </w:r>
      <w:r w:rsidR="00190923" w:rsidRPr="00981405">
        <w:t xml:space="preserve"> </w:t>
      </w:r>
      <w:r w:rsidRPr="00981405">
        <w:t>of</w:t>
      </w:r>
      <w:r w:rsidR="00190923" w:rsidRPr="00981405">
        <w:t xml:space="preserve"> </w:t>
      </w:r>
      <w:r w:rsidRPr="00981405">
        <w:t>non-discrimination</w:t>
      </w:r>
      <w:r w:rsidR="00190923" w:rsidRPr="00981405">
        <w:t xml:space="preserve"> </w:t>
      </w:r>
      <w:r w:rsidRPr="00981405">
        <w:t>more</w:t>
      </w:r>
      <w:r w:rsidR="00190923" w:rsidRPr="00981405">
        <w:t xml:space="preserve"> </w:t>
      </w:r>
      <w:r w:rsidRPr="00981405">
        <w:t>broadly.</w:t>
      </w:r>
      <w:r w:rsidRPr="00981405">
        <w:rPr>
          <w:rStyle w:val="FootnoteReference"/>
        </w:rPr>
        <w:footnoteReference w:id="440"/>
      </w:r>
      <w:r w:rsidR="00190923" w:rsidRPr="00981405">
        <w:t xml:space="preserve"> </w:t>
      </w:r>
    </w:p>
    <w:p w:rsidR="00397032" w:rsidRPr="00981405" w:rsidRDefault="00397032" w:rsidP="00D97463">
      <w:pPr>
        <w:pStyle w:val="SingleTxt"/>
      </w:pPr>
      <w:r w:rsidRPr="00981405">
        <w:t>21.</w:t>
      </w:r>
      <w:r w:rsidRPr="00981405">
        <w:tab/>
        <w:t>There</w:t>
      </w:r>
      <w:r w:rsidR="00190923" w:rsidRPr="00981405">
        <w:t xml:space="preserve"> </w:t>
      </w:r>
      <w:r w:rsidRPr="00981405">
        <w:t>are</w:t>
      </w:r>
      <w:r w:rsidR="00190923" w:rsidRPr="00981405">
        <w:t xml:space="preserve"> </w:t>
      </w:r>
      <w:r w:rsidRPr="00981405">
        <w:t>other</w:t>
      </w:r>
      <w:r w:rsidR="00190923" w:rsidRPr="00981405">
        <w:t xml:space="preserve"> </w:t>
      </w:r>
      <w:r w:rsidRPr="00981405">
        <w:t>areas</w:t>
      </w:r>
      <w:r w:rsidR="00190923" w:rsidRPr="00981405">
        <w:t xml:space="preserve"> </w:t>
      </w:r>
      <w:r w:rsidRPr="00981405">
        <w:t>in</w:t>
      </w:r>
      <w:r w:rsidR="00190923" w:rsidRPr="00981405">
        <w:t xml:space="preserve"> </w:t>
      </w:r>
      <w:r w:rsidRPr="00981405">
        <w:t>which</w:t>
      </w:r>
      <w:r w:rsidR="00190923" w:rsidRPr="00981405">
        <w:t xml:space="preserve"> </w:t>
      </w:r>
      <w:r w:rsidRPr="00981405">
        <w:t>non-discrimination</w:t>
      </w:r>
      <w:r w:rsidR="00190923" w:rsidRPr="00981405">
        <w:t xml:space="preserve"> </w:t>
      </w:r>
      <w:r w:rsidRPr="00981405">
        <w:t>clauses</w:t>
      </w:r>
      <w:r w:rsidR="00190923" w:rsidRPr="00981405">
        <w:t xml:space="preserve"> </w:t>
      </w:r>
      <w:r w:rsidRPr="00981405">
        <w:t>that</w:t>
      </w:r>
      <w:r w:rsidR="00190923" w:rsidRPr="00981405">
        <w:t xml:space="preserve"> </w:t>
      </w:r>
      <w:r w:rsidRPr="00981405">
        <w:t>resemble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found,</w:t>
      </w:r>
      <w:r w:rsidR="00190923" w:rsidRPr="00981405">
        <w:t xml:space="preserve"> </w:t>
      </w:r>
      <w:r w:rsidRPr="00981405">
        <w:t>including</w:t>
      </w:r>
      <w:r w:rsidR="00190923" w:rsidRPr="00981405">
        <w:t xml:space="preserve"> </w:t>
      </w:r>
      <w:r w:rsidRPr="00981405">
        <w:t>headquarters</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tax</w:t>
      </w:r>
      <w:r w:rsidR="00190923" w:rsidRPr="00981405">
        <w:t xml:space="preserve"> </w:t>
      </w:r>
      <w:r w:rsidRPr="00981405">
        <w:t>treaties,</w:t>
      </w:r>
      <w:r w:rsidR="00190923" w:rsidRPr="00981405">
        <w:t xml:space="preserve"> </w:t>
      </w:r>
      <w:r w:rsidRPr="00981405">
        <w:t>but</w:t>
      </w:r>
      <w:r w:rsidR="00190923" w:rsidRPr="00981405">
        <w:t xml:space="preserve"> </w:t>
      </w:r>
      <w:r w:rsidRPr="00981405">
        <w:t>their</w:t>
      </w:r>
      <w:r w:rsidR="00190923" w:rsidRPr="00981405">
        <w:t xml:space="preserve"> </w:t>
      </w:r>
      <w:r w:rsidRPr="00981405">
        <w:t>use</w:t>
      </w:r>
      <w:r w:rsidR="00190923" w:rsidRPr="00981405">
        <w:t xml:space="preserve"> </w:t>
      </w:r>
      <w:r w:rsidRPr="00981405">
        <w:t>appears</w:t>
      </w:r>
      <w:r w:rsidR="00190923" w:rsidRPr="00981405">
        <w:t xml:space="preserve"> </w:t>
      </w:r>
      <w:r w:rsidRPr="00981405">
        <w:t>to</w:t>
      </w:r>
      <w:r w:rsidR="00190923" w:rsidRPr="00981405">
        <w:t xml:space="preserve"> </w:t>
      </w:r>
      <w:r w:rsidRPr="00981405">
        <w:t>be</w:t>
      </w:r>
      <w:r w:rsidR="00190923" w:rsidRPr="00981405">
        <w:t xml:space="preserve"> </w:t>
      </w:r>
      <w:r w:rsidRPr="00981405">
        <w:t>infrequent</w:t>
      </w:r>
      <w:r w:rsidR="00190923" w:rsidRPr="00981405">
        <w:t xml:space="preserve"> </w:t>
      </w:r>
      <w:r w:rsidRPr="00981405">
        <w:t>and</w:t>
      </w:r>
      <w:r w:rsidR="00190923" w:rsidRPr="00981405">
        <w:t xml:space="preserve"> </w:t>
      </w:r>
      <w:r w:rsidRPr="00981405">
        <w:t>has</w:t>
      </w:r>
      <w:r w:rsidR="00190923" w:rsidRPr="00981405">
        <w:t xml:space="preserve"> </w:t>
      </w:r>
      <w:r w:rsidRPr="00981405">
        <w:t>not</w:t>
      </w:r>
      <w:r w:rsidR="00190923" w:rsidRPr="00981405">
        <w:t xml:space="preserve"> </w:t>
      </w:r>
      <w:r w:rsidRPr="00981405">
        <w:t>given</w:t>
      </w:r>
      <w:r w:rsidR="00190923" w:rsidRPr="00981405">
        <w:t xml:space="preserve"> </w:t>
      </w:r>
      <w:r w:rsidRPr="00981405">
        <w:t>rise</w:t>
      </w:r>
      <w:r w:rsidR="00190923" w:rsidRPr="00981405">
        <w:t xml:space="preserve"> </w:t>
      </w:r>
      <w:r w:rsidRPr="00981405">
        <w:t>to</w:t>
      </w:r>
      <w:r w:rsidR="00190923" w:rsidRPr="00981405">
        <w:t xml:space="preserve"> </w:t>
      </w:r>
      <w:r w:rsidRPr="00981405">
        <w:t>controversy.</w:t>
      </w:r>
      <w:r w:rsidRPr="00981405">
        <w:rPr>
          <w:rStyle w:val="FootnoteReference"/>
        </w:rPr>
        <w:footnoteReference w:id="441"/>
      </w:r>
      <w:r w:rsidR="00190923" w:rsidRPr="00981405">
        <w:t xml:space="preserve"> </w:t>
      </w:r>
      <w:r w:rsidRPr="00981405">
        <w:t>By</w:t>
      </w:r>
      <w:r w:rsidR="00190923" w:rsidRPr="00981405">
        <w:t xml:space="preserve"> </w:t>
      </w:r>
      <w:r w:rsidRPr="00981405">
        <w:t>contrast,</w:t>
      </w:r>
      <w:r w:rsidR="00190923" w:rsidRPr="00981405">
        <w:t xml:space="preserve"> </w:t>
      </w:r>
      <w:r w:rsidRPr="00981405">
        <w:t>in</w:t>
      </w:r>
      <w:r w:rsidR="00190923" w:rsidRPr="00981405">
        <w:t xml:space="preserve"> </w:t>
      </w:r>
      <w:r w:rsidRPr="00981405">
        <w:t>the</w:t>
      </w:r>
      <w:r w:rsidR="00190923" w:rsidRPr="00981405">
        <w:t xml:space="preserve"> </w:t>
      </w:r>
      <w:r w:rsidRPr="00981405">
        <w:t>economic</w:t>
      </w:r>
      <w:r w:rsidR="00190923" w:rsidRPr="00981405">
        <w:t xml:space="preserve"> </w:t>
      </w:r>
      <w:r w:rsidRPr="00981405">
        <w:t>field,</w:t>
      </w:r>
      <w:r w:rsidR="00190923" w:rsidRPr="00981405">
        <w:t xml:space="preserve"> </w:t>
      </w:r>
      <w:r w:rsidRPr="00981405">
        <w:t>MFN</w:t>
      </w:r>
      <w:r w:rsidR="00190923" w:rsidRPr="00981405">
        <w:t xml:space="preserve"> </w:t>
      </w:r>
      <w:r w:rsidRPr="00981405">
        <w:t>treatment</w:t>
      </w:r>
      <w:r w:rsidR="00190923" w:rsidRPr="00981405">
        <w:t xml:space="preserve"> </w:t>
      </w:r>
      <w:r w:rsidRPr="00981405">
        <w:t>has</w:t>
      </w:r>
      <w:r w:rsidR="00190923" w:rsidRPr="00981405">
        <w:t xml:space="preserve"> </w:t>
      </w:r>
      <w:r w:rsidRPr="00981405">
        <w:t>expanded</w:t>
      </w:r>
      <w:r w:rsidR="00190923" w:rsidRPr="00981405">
        <w:t xml:space="preserve"> </w:t>
      </w:r>
      <w:r w:rsidRPr="00981405">
        <w:t>in</w:t>
      </w:r>
      <w:r w:rsidR="00190923" w:rsidRPr="00981405">
        <w:t xml:space="preserve"> </w:t>
      </w:r>
      <w:r w:rsidRPr="00981405">
        <w:t>range</w:t>
      </w:r>
      <w:r w:rsidR="00190923" w:rsidRPr="00981405">
        <w:t xml:space="preserve"> </w:t>
      </w:r>
      <w:r w:rsidRPr="00981405">
        <w:t>and</w:t>
      </w:r>
      <w:r w:rsidR="00190923" w:rsidRPr="00981405">
        <w:t xml:space="preserve"> </w:t>
      </w:r>
      <w:r w:rsidRPr="00981405">
        <w:t>in</w:t>
      </w:r>
      <w:r w:rsidR="00190923" w:rsidRPr="00981405">
        <w:t xml:space="preserve"> </w:t>
      </w:r>
      <w:r w:rsidRPr="00981405">
        <w:t>its</w:t>
      </w:r>
      <w:r w:rsidR="00190923" w:rsidRPr="00981405">
        <w:t xml:space="preserve"> </w:t>
      </w:r>
      <w:r w:rsidRPr="00981405">
        <w:t>frequency</w:t>
      </w:r>
      <w:r w:rsidR="00190923" w:rsidRPr="00981405">
        <w:t xml:space="preserve"> </w:t>
      </w:r>
      <w:r w:rsidRPr="00981405">
        <w:t>of</w:t>
      </w:r>
      <w:r w:rsidR="00190923" w:rsidRPr="00981405">
        <w:t xml:space="preserve"> </w:t>
      </w:r>
      <w:r w:rsidRPr="00981405">
        <w:t>use.</w:t>
      </w:r>
      <w:r w:rsidR="00190923" w:rsidRPr="00981405">
        <w:t xml:space="preserve"> </w:t>
      </w:r>
      <w:r w:rsidRPr="00981405">
        <w:t>The</w:t>
      </w:r>
      <w:r w:rsidR="00190923" w:rsidRPr="00981405">
        <w:t xml:space="preserve"> </w:t>
      </w:r>
      <w:r w:rsidRPr="00981405">
        <w:t>GATT,</w:t>
      </w:r>
      <w:r w:rsidR="00190923" w:rsidRPr="00981405">
        <w:t xml:space="preserve"> </w:t>
      </w:r>
      <w:r w:rsidRPr="00981405">
        <w:t>which</w:t>
      </w:r>
      <w:r w:rsidR="00190923" w:rsidRPr="00981405">
        <w:t xml:space="preserve"> </w:t>
      </w:r>
      <w:r w:rsidRPr="00981405">
        <w:t>enshrined</w:t>
      </w:r>
      <w:r w:rsidR="00190923" w:rsidRPr="00981405">
        <w:t xml:space="preserve"> </w:t>
      </w:r>
      <w:r w:rsidRPr="00981405">
        <w:t>MFN</w:t>
      </w:r>
      <w:r w:rsidR="00190923" w:rsidRPr="00981405">
        <w:t xml:space="preserve"> </w:t>
      </w:r>
      <w:r w:rsidRPr="00981405">
        <w:t>treatment</w:t>
      </w:r>
      <w:r w:rsidR="00190923" w:rsidRPr="00981405">
        <w:t xml:space="preserve"> </w:t>
      </w:r>
      <w:r w:rsidRPr="00981405">
        <w:t>as</w:t>
      </w:r>
      <w:r w:rsidR="00190923" w:rsidRPr="00981405">
        <w:t xml:space="preserve"> </w:t>
      </w:r>
      <w:r w:rsidRPr="00981405">
        <w:t>a</w:t>
      </w:r>
      <w:r w:rsidR="00190923" w:rsidRPr="00981405">
        <w:t xml:space="preserve"> </w:t>
      </w:r>
      <w:r w:rsidRPr="00981405">
        <w:t>core</w:t>
      </w:r>
      <w:r w:rsidR="00190923" w:rsidRPr="00981405">
        <w:t xml:space="preserve"> </w:t>
      </w:r>
      <w:r w:rsidRPr="00981405">
        <w:t>principle</w:t>
      </w:r>
      <w:r w:rsidR="00190923" w:rsidRPr="00981405">
        <w:t xml:space="preserve"> </w:t>
      </w:r>
      <w:r w:rsidRPr="00981405">
        <w:t>of</w:t>
      </w:r>
      <w:r w:rsidR="00190923" w:rsidRPr="00981405">
        <w:t xml:space="preserve"> </w:t>
      </w:r>
      <w:r w:rsidRPr="00981405">
        <w:t>the</w:t>
      </w:r>
      <w:r w:rsidR="00190923" w:rsidRPr="00981405">
        <w:t xml:space="preserve"> </w:t>
      </w:r>
      <w:r w:rsidRPr="00981405">
        <w:t>multilateral</w:t>
      </w:r>
      <w:r w:rsidR="00190923" w:rsidRPr="00981405">
        <w:t xml:space="preserve"> </w:t>
      </w:r>
      <w:r w:rsidRPr="00981405">
        <w:t>trading</w:t>
      </w:r>
      <w:r w:rsidR="00190923" w:rsidRPr="00981405">
        <w:t xml:space="preserve"> </w:t>
      </w:r>
      <w:r w:rsidRPr="00981405">
        <w:t>system,</w:t>
      </w:r>
      <w:r w:rsidR="00190923" w:rsidRPr="00981405">
        <w:t xml:space="preserve"> </w:t>
      </w:r>
      <w:r w:rsidRPr="00981405">
        <w:t>has</w:t>
      </w:r>
      <w:r w:rsidR="00190923" w:rsidRPr="00981405">
        <w:t xml:space="preserve"> </w:t>
      </w:r>
      <w:r w:rsidRPr="00981405">
        <w:t>now</w:t>
      </w:r>
      <w:r w:rsidR="00190923" w:rsidRPr="00981405">
        <w:t xml:space="preserve"> </w:t>
      </w:r>
      <w:r w:rsidRPr="00981405">
        <w:t>been</w:t>
      </w:r>
      <w:r w:rsidR="00190923" w:rsidRPr="00981405">
        <w:t xml:space="preserve"> </w:t>
      </w:r>
      <w:r w:rsidRPr="00981405">
        <w:t>subsumed</w:t>
      </w:r>
      <w:r w:rsidR="00190923" w:rsidRPr="00981405">
        <w:t xml:space="preserve"> </w:t>
      </w:r>
      <w:r w:rsidRPr="00981405">
        <w:t>into</w:t>
      </w:r>
      <w:r w:rsidR="00190923" w:rsidRPr="00981405">
        <w:t xml:space="preserve"> </w:t>
      </w:r>
      <w:r w:rsidRPr="00981405">
        <w:t>the</w:t>
      </w:r>
      <w:r w:rsidR="00190923" w:rsidRPr="00981405">
        <w:t xml:space="preserve"> </w:t>
      </w:r>
      <w:r w:rsidRPr="00981405">
        <w:t>WTO</w:t>
      </w:r>
      <w:r w:rsidR="00190923" w:rsidRPr="00981405">
        <w:t xml:space="preserve"> </w:t>
      </w:r>
      <w:r w:rsidRPr="00981405">
        <w:t>where</w:t>
      </w:r>
      <w:r w:rsidR="00190923" w:rsidRPr="00981405">
        <w:t xml:space="preserve"> </w:t>
      </w:r>
      <w:r w:rsidRPr="00981405">
        <w:t>MFN</w:t>
      </w:r>
      <w:r w:rsidR="00190923" w:rsidRPr="00981405">
        <w:t xml:space="preserve"> </w:t>
      </w:r>
      <w:r w:rsidRPr="00981405">
        <w:t>treatment</w:t>
      </w:r>
      <w:r w:rsidR="00190923" w:rsidRPr="00981405">
        <w:t xml:space="preserve"> </w:t>
      </w:r>
      <w:r w:rsidRPr="00981405">
        <w:t>has</w:t>
      </w:r>
      <w:r w:rsidR="00190923" w:rsidRPr="00981405">
        <w:t xml:space="preserve"> </w:t>
      </w:r>
      <w:r w:rsidRPr="00981405">
        <w:t>been</w:t>
      </w:r>
      <w:r w:rsidR="00190923" w:rsidRPr="00981405">
        <w:t xml:space="preserve"> </w:t>
      </w:r>
      <w:r w:rsidRPr="00981405">
        <w:t>applied</w:t>
      </w:r>
      <w:r w:rsidR="00190923" w:rsidRPr="00981405">
        <w:t xml:space="preserve"> </w:t>
      </w:r>
      <w:r w:rsidRPr="00981405">
        <w:t>to</w:t>
      </w:r>
      <w:r w:rsidR="00190923" w:rsidRPr="00981405">
        <w:t xml:space="preserve"> </w:t>
      </w:r>
      <w:r w:rsidRPr="00981405">
        <w:t>both</w:t>
      </w:r>
      <w:r w:rsidR="00190923" w:rsidRPr="00981405">
        <w:t xml:space="preserve"> </w:t>
      </w:r>
      <w:r w:rsidRPr="00981405">
        <w:t>trade</w:t>
      </w:r>
      <w:r w:rsidR="00190923" w:rsidRPr="00981405">
        <w:t xml:space="preserve"> </w:t>
      </w:r>
      <w:r w:rsidRPr="00981405">
        <w:t>in</w:t>
      </w:r>
      <w:r w:rsidR="00190923" w:rsidRPr="00981405">
        <w:t xml:space="preserve"> </w:t>
      </w:r>
      <w:r w:rsidRPr="00981405">
        <w:t>services</w:t>
      </w:r>
      <w:r w:rsidR="00190923" w:rsidRPr="00981405">
        <w:t xml:space="preserve"> </w:t>
      </w:r>
      <w:r w:rsidRPr="00981405">
        <w:t>and</w:t>
      </w:r>
      <w:r w:rsidR="00190923" w:rsidRPr="00981405">
        <w:t xml:space="preserve"> </w:t>
      </w:r>
      <w:r w:rsidRPr="00981405">
        <w:t>trade-related</w:t>
      </w:r>
      <w:r w:rsidR="00190923" w:rsidRPr="00981405">
        <w:t xml:space="preserve"> </w:t>
      </w:r>
      <w:r w:rsidRPr="00981405">
        <w:t>aspects</w:t>
      </w:r>
      <w:r w:rsidR="00190923" w:rsidRPr="00981405">
        <w:t xml:space="preserve"> </w:t>
      </w:r>
      <w:r w:rsidRPr="00981405">
        <w:t>of</w:t>
      </w:r>
      <w:r w:rsidR="00190923" w:rsidRPr="00981405">
        <w:t xml:space="preserve"> </w:t>
      </w:r>
      <w:r w:rsidRPr="00981405">
        <w:t>intellectual</w:t>
      </w:r>
      <w:r w:rsidR="00190923" w:rsidRPr="00981405">
        <w:t xml:space="preserve"> </w:t>
      </w:r>
      <w:r w:rsidRPr="00981405">
        <w:t>property.</w:t>
      </w:r>
      <w:r w:rsidR="00190923" w:rsidRPr="00981405">
        <w:t xml:space="preserve"> </w:t>
      </w:r>
      <w:r w:rsidRPr="00981405">
        <w:t>Moreover,</w:t>
      </w:r>
      <w:r w:rsidR="00190923" w:rsidRPr="00981405">
        <w:t xml:space="preserve"> </w:t>
      </w:r>
      <w:r w:rsidRPr="00981405">
        <w:t>MFN</w:t>
      </w:r>
      <w:r w:rsidR="00190923" w:rsidRPr="00981405">
        <w:t xml:space="preserve"> </w:t>
      </w:r>
      <w:r w:rsidRPr="00981405">
        <w:t>treatment</w:t>
      </w:r>
      <w:r w:rsidR="00190923" w:rsidRPr="00981405">
        <w:t xml:space="preserve"> </w:t>
      </w:r>
      <w:r w:rsidRPr="00981405">
        <w:t>has</w:t>
      </w:r>
      <w:r w:rsidR="00190923" w:rsidRPr="00981405">
        <w:t xml:space="preserve"> </w:t>
      </w:r>
      <w:r w:rsidRPr="00981405">
        <w:t>become</w:t>
      </w:r>
      <w:r w:rsidR="00190923" w:rsidRPr="00981405">
        <w:t xml:space="preserve"> </w:t>
      </w:r>
      <w:r w:rsidRPr="00981405">
        <w:t>a</w:t>
      </w:r>
      <w:r w:rsidR="00190923" w:rsidRPr="00981405">
        <w:t xml:space="preserve"> </w:t>
      </w:r>
      <w:r w:rsidRPr="00981405">
        <w:t>core</w:t>
      </w:r>
      <w:r w:rsidR="00190923" w:rsidRPr="00981405">
        <w:t xml:space="preserve"> </w:t>
      </w:r>
      <w:r w:rsidRPr="00981405">
        <w:t>principle</w:t>
      </w:r>
      <w:r w:rsidR="00190923" w:rsidRPr="00981405">
        <w:t xml:space="preserve"> </w:t>
      </w:r>
      <w:r w:rsidRPr="00981405">
        <w:t>of</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a</w:t>
      </w:r>
      <w:r w:rsidR="00190923" w:rsidRPr="00981405">
        <w:t xml:space="preserve"> </w:t>
      </w:r>
      <w:r w:rsidRPr="00981405">
        <w:t>form</w:t>
      </w:r>
      <w:r w:rsidR="00190923" w:rsidRPr="00981405">
        <w:t xml:space="preserve"> </w:t>
      </w:r>
      <w:r w:rsidRPr="00981405">
        <w:t>of</w:t>
      </w:r>
      <w:r w:rsidR="00190923" w:rsidRPr="00981405">
        <w:t xml:space="preserve"> </w:t>
      </w:r>
      <w:r w:rsidRPr="00981405">
        <w:t>treaty</w:t>
      </w:r>
      <w:r w:rsidR="00190923" w:rsidRPr="00981405">
        <w:t xml:space="preserve"> </w:t>
      </w:r>
      <w:r w:rsidRPr="00981405">
        <w:t>that</w:t>
      </w:r>
      <w:r w:rsidR="00190923" w:rsidRPr="00981405">
        <w:t xml:space="preserve"> </w:t>
      </w:r>
      <w:r w:rsidRPr="00981405">
        <w:t>had</w:t>
      </w:r>
      <w:r w:rsidR="00190923" w:rsidRPr="00981405">
        <w:t xml:space="preserve"> </w:t>
      </w:r>
      <w:r w:rsidRPr="00981405">
        <w:t>little</w:t>
      </w:r>
      <w:r w:rsidR="00190923" w:rsidRPr="00981405">
        <w:t xml:space="preserve"> </w:t>
      </w:r>
      <w:r w:rsidRPr="00981405">
        <w:t>practical</w:t>
      </w:r>
      <w:r w:rsidR="00190923" w:rsidRPr="00981405">
        <w:t xml:space="preserve"> </w:t>
      </w:r>
      <w:r w:rsidRPr="00981405">
        <w:t>existence</w:t>
      </w:r>
      <w:r w:rsidR="00190923" w:rsidRPr="00981405">
        <w:t xml:space="preserve"> </w:t>
      </w:r>
      <w:r w:rsidRPr="00981405">
        <w:t>in</w:t>
      </w:r>
      <w:r w:rsidR="00190923" w:rsidRPr="00981405">
        <w:t xml:space="preserve"> </w:t>
      </w:r>
      <w:r w:rsidRPr="00981405">
        <w:t>the</w:t>
      </w:r>
      <w:r w:rsidR="00190923" w:rsidRPr="00981405">
        <w:t xml:space="preserve"> </w:t>
      </w:r>
      <w:r w:rsidRPr="00981405">
        <w:t>days</w:t>
      </w:r>
      <w:r w:rsidR="00190923" w:rsidRPr="00981405">
        <w:t xml:space="preserve"> </w:t>
      </w:r>
      <w:r w:rsidRPr="00981405">
        <w:t>when</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were</w:t>
      </w:r>
      <w:r w:rsidR="00190923" w:rsidRPr="00981405">
        <w:t xml:space="preserve"> </w:t>
      </w:r>
      <w:r w:rsidRPr="00981405">
        <w:t>being</w:t>
      </w:r>
      <w:r w:rsidR="00190923" w:rsidRPr="00981405">
        <w:t xml:space="preserve"> </w:t>
      </w:r>
      <w:r w:rsidRPr="00981405">
        <w:t>prepared.</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w:t>
      </w:r>
      <w:r w:rsidR="00190923" w:rsidRPr="00981405">
        <w:t xml:space="preserve"> </w:t>
      </w:r>
      <w:r w:rsidRPr="00981405">
        <w:t>first</w:t>
      </w:r>
      <w:r w:rsidR="00190923" w:rsidRPr="00981405">
        <w:t xml:space="preserve"> </w:t>
      </w:r>
      <w:r w:rsidRPr="00981405">
        <w:t>BIT</w:t>
      </w:r>
      <w:r w:rsidR="00190923" w:rsidRPr="00981405">
        <w:t xml:space="preserve"> </w:t>
      </w:r>
      <w:r w:rsidRPr="00981405">
        <w:t>was</w:t>
      </w:r>
      <w:r w:rsidR="00190923" w:rsidRPr="00981405">
        <w:t xml:space="preserve"> </w:t>
      </w:r>
      <w:r w:rsidRPr="00981405">
        <w:t>concluded</w:t>
      </w:r>
      <w:r w:rsidR="00190923" w:rsidRPr="00981405">
        <w:t xml:space="preserve"> </w:t>
      </w:r>
      <w:r w:rsidRPr="00981405">
        <w:t>in</w:t>
      </w:r>
      <w:r w:rsidR="00190923" w:rsidRPr="00981405">
        <w:t xml:space="preserve"> </w:t>
      </w:r>
      <w:r w:rsidRPr="00981405">
        <w:t>the</w:t>
      </w:r>
      <w:r w:rsidR="00190923" w:rsidRPr="00981405">
        <w:t xml:space="preserve"> </w:t>
      </w:r>
      <w:r w:rsidRPr="00981405">
        <w:t>late</w:t>
      </w:r>
      <w:r w:rsidR="00190923" w:rsidRPr="00981405">
        <w:t xml:space="preserve"> </w:t>
      </w:r>
      <w:r w:rsidRPr="00981405">
        <w:t>1950s,</w:t>
      </w:r>
      <w:r w:rsidR="00190923" w:rsidRPr="00981405">
        <w:t xml:space="preserve"> </w:t>
      </w:r>
      <w:r w:rsidRPr="00981405">
        <w:t>the</w:t>
      </w:r>
      <w:r w:rsidR="00190923" w:rsidRPr="00981405">
        <w:t xml:space="preserve"> </w:t>
      </w:r>
      <w:r w:rsidRPr="00981405">
        <w:t>end</w:t>
      </w:r>
      <w:r w:rsidR="00190923" w:rsidRPr="00981405">
        <w:t xml:space="preserve"> </w:t>
      </w:r>
      <w:r w:rsidRPr="00981405">
        <w:t>of</w:t>
      </w:r>
      <w:r w:rsidR="00190923" w:rsidRPr="00981405">
        <w:t xml:space="preserve"> </w:t>
      </w:r>
      <w:r w:rsidRPr="00981405">
        <w:t>the</w:t>
      </w:r>
      <w:r w:rsidR="00190923" w:rsidRPr="00981405">
        <w:t xml:space="preserve"> </w:t>
      </w:r>
      <w:r w:rsidRPr="00981405">
        <w:t>Cold</w:t>
      </w:r>
      <w:r w:rsidR="00190923" w:rsidRPr="00981405">
        <w:t xml:space="preserve"> </w:t>
      </w:r>
      <w:r w:rsidRPr="00981405">
        <w:t>War</w:t>
      </w:r>
      <w:r w:rsidR="00190923" w:rsidRPr="00981405">
        <w:t xml:space="preserve"> </w:t>
      </w:r>
      <w:r w:rsidRPr="00981405">
        <w:t>witnessed</w:t>
      </w:r>
      <w:r w:rsidR="00190923" w:rsidRPr="00981405">
        <w:t xml:space="preserve"> </w:t>
      </w:r>
      <w:r w:rsidRPr="00981405">
        <w:t>a</w:t>
      </w:r>
      <w:r w:rsidR="00190923" w:rsidRPr="00981405">
        <w:t xml:space="preserve"> </w:t>
      </w:r>
      <w:r w:rsidRPr="00981405">
        <w:t>proliferation</w:t>
      </w:r>
      <w:r w:rsidR="00190923" w:rsidRPr="00981405">
        <w:t xml:space="preserve"> </w:t>
      </w:r>
      <w:r w:rsidRPr="00981405">
        <w:t>of</w:t>
      </w:r>
      <w:r w:rsidR="00190923" w:rsidRPr="00981405">
        <w:t xml:space="preserve"> </w:t>
      </w:r>
      <w:r w:rsidRPr="00981405">
        <w:t>such</w:t>
      </w:r>
      <w:r w:rsidR="00190923" w:rsidRPr="00981405">
        <w:t xml:space="preserve"> </w:t>
      </w:r>
      <w:r w:rsidRPr="00981405">
        <w:t>agreements,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frequent</w:t>
      </w:r>
      <w:r w:rsidR="00190923" w:rsidRPr="00981405">
        <w:t xml:space="preserve"> </w:t>
      </w:r>
      <w:r w:rsidRPr="00981405">
        <w:t>recourse</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contained</w:t>
      </w:r>
      <w:r w:rsidR="00190923" w:rsidRPr="00981405">
        <w:t xml:space="preserve"> </w:t>
      </w:r>
      <w:r w:rsidRPr="00981405">
        <w:t>therein.</w:t>
      </w:r>
      <w:r w:rsidRPr="00981405">
        <w:rPr>
          <w:rStyle w:val="FootnoteReference"/>
        </w:rPr>
        <w:footnoteReference w:id="442"/>
      </w:r>
    </w:p>
    <w:p w:rsidR="00397032" w:rsidRPr="00981405" w:rsidRDefault="00397032" w:rsidP="00D97463">
      <w:pPr>
        <w:pStyle w:val="SingleTxt"/>
      </w:pPr>
      <w:r w:rsidRPr="00981405">
        <w:t>22.</w:t>
      </w:r>
      <w:r w:rsidRPr="00981405">
        <w:tab/>
        <w:t>Indeed,</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processes</w:t>
      </w:r>
      <w:r w:rsidR="00190923" w:rsidRPr="00981405">
        <w:t xml:space="preserve"> </w:t>
      </w:r>
      <w:r w:rsidRPr="00981405">
        <w:t>of</w:t>
      </w:r>
      <w:r w:rsidR="00190923" w:rsidRPr="00981405">
        <w:t xml:space="preserve"> </w:t>
      </w:r>
      <w:r w:rsidRPr="00981405">
        <w:t>the</w:t>
      </w:r>
      <w:r w:rsidR="00190923" w:rsidRPr="00981405">
        <w:t xml:space="preserve"> </w:t>
      </w:r>
      <w:r w:rsidRPr="00981405">
        <w:t>WTO,</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those</w:t>
      </w:r>
      <w:r w:rsidR="00190923" w:rsidRPr="00981405">
        <w:t xml:space="preserve"> </w:t>
      </w:r>
      <w:r w:rsidRPr="00981405">
        <w:t>that</w:t>
      </w:r>
      <w:r w:rsidR="00190923" w:rsidRPr="00981405">
        <w:t xml:space="preserve"> </w:t>
      </w:r>
      <w:r w:rsidRPr="00981405">
        <w:t>exist</w:t>
      </w:r>
      <w:r w:rsidR="00190923" w:rsidRPr="00981405">
        <w:t xml:space="preserve"> </w:t>
      </w:r>
      <w:r w:rsidRPr="00981405">
        <w:t>for</w:t>
      </w:r>
      <w:r w:rsidR="00190923" w:rsidRPr="00981405">
        <w:t xml:space="preserve"> </w:t>
      </w:r>
      <w:r w:rsidRPr="00981405">
        <w:t>the</w:t>
      </w:r>
      <w:r w:rsidR="00190923" w:rsidRPr="00981405">
        <w:t xml:space="preserve"> </w:t>
      </w:r>
      <w:r w:rsidRPr="00981405">
        <w:t>resolution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disputes</w:t>
      </w:r>
      <w:r w:rsidR="00190923" w:rsidRPr="00981405">
        <w:t xml:space="preserve"> </w:t>
      </w:r>
      <w:r w:rsidRPr="00981405">
        <w:t>have</w:t>
      </w:r>
      <w:r w:rsidR="00190923" w:rsidRPr="00981405">
        <w:t xml:space="preserve"> </w:t>
      </w:r>
      <w:r w:rsidRPr="00981405">
        <w:t>led</w:t>
      </w:r>
      <w:r w:rsidR="00190923" w:rsidRPr="00981405">
        <w:t xml:space="preserve"> </w:t>
      </w:r>
      <w:r w:rsidRPr="00981405">
        <w:t>to</w:t>
      </w:r>
      <w:r w:rsidR="00190923" w:rsidRPr="00981405">
        <w:t xml:space="preserve"> </w:t>
      </w:r>
      <w:r w:rsidRPr="00981405">
        <w:t>a</w:t>
      </w:r>
      <w:r w:rsidR="00190923" w:rsidRPr="00981405">
        <w:t xml:space="preserve"> </w:t>
      </w:r>
      <w:r w:rsidRPr="00981405">
        <w:t>body</w:t>
      </w:r>
      <w:r w:rsidR="00190923" w:rsidRPr="00981405">
        <w:t xml:space="preserve"> </w:t>
      </w:r>
      <w:r w:rsidRPr="00981405">
        <w:t>of</w:t>
      </w:r>
      <w:r w:rsidR="00190923" w:rsidRPr="00981405">
        <w:t xml:space="preserve"> </w:t>
      </w:r>
      <w:r w:rsidRPr="00981405">
        <w:t>law</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particularly</w:t>
      </w:r>
      <w:r w:rsidR="00190923" w:rsidRPr="00981405">
        <w:t xml:space="preserve"> </w:t>
      </w:r>
      <w:r w:rsidRPr="00981405">
        <w:t>in</w:t>
      </w:r>
      <w:r w:rsidR="00190923" w:rsidRPr="00981405">
        <w:t xml:space="preserve"> </w:t>
      </w:r>
      <w:r w:rsidRPr="00981405">
        <w:t>the</w:t>
      </w:r>
      <w:r w:rsidR="00190923" w:rsidRPr="00981405">
        <w:t xml:space="preserve"> </w:t>
      </w:r>
      <w:r w:rsidRPr="00981405">
        <w:t>trade</w:t>
      </w:r>
      <w:r w:rsidR="00190923" w:rsidRPr="00981405">
        <w:t xml:space="preserve"> </w:t>
      </w:r>
      <w:r w:rsidRPr="00981405">
        <w:t>and</w:t>
      </w:r>
      <w:r w:rsidR="00190923" w:rsidRPr="00981405">
        <w:t xml:space="preserve"> </w:t>
      </w:r>
      <w:r w:rsidRPr="00981405">
        <w:t>investment</w:t>
      </w:r>
      <w:r w:rsidR="00190923" w:rsidRPr="00981405">
        <w:t xml:space="preserve"> </w:t>
      </w:r>
      <w:r w:rsidRPr="00981405">
        <w:t>contexts.</w:t>
      </w:r>
      <w:r w:rsidR="00190923" w:rsidRPr="00981405">
        <w:t xml:space="preserve"> </w:t>
      </w:r>
      <w:r w:rsidRPr="00981405">
        <w:t>GATT</w:t>
      </w:r>
      <w:r w:rsidR="00190923" w:rsidRPr="00981405">
        <w:t xml:space="preserve"> </w:t>
      </w:r>
      <w:r w:rsidRPr="00981405">
        <w:t>article</w:t>
      </w:r>
      <w:r w:rsidR="00190923" w:rsidRPr="00981405">
        <w:t xml:space="preserve"> </w:t>
      </w:r>
      <w:r w:rsidRPr="00981405">
        <w:t>I,</w:t>
      </w:r>
      <w:r w:rsidR="00190923" w:rsidRPr="00981405">
        <w:t xml:space="preserve"> </w:t>
      </w:r>
      <w:r w:rsidRPr="00981405">
        <w:t>which</w:t>
      </w:r>
      <w:r w:rsidR="00190923" w:rsidRPr="00981405">
        <w:t xml:space="preserve"> </w:t>
      </w:r>
      <w:r w:rsidRPr="00981405">
        <w:t>embodies</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has</w:t>
      </w:r>
      <w:r w:rsidR="00190923" w:rsidRPr="00981405">
        <w:t xml:space="preserve"> </w:t>
      </w:r>
      <w:r w:rsidRPr="00981405">
        <w:t>been</w:t>
      </w:r>
      <w:r w:rsidR="00190923" w:rsidRPr="00981405">
        <w:t xml:space="preserve"> </w:t>
      </w:r>
      <w:r w:rsidRPr="00981405">
        <w:t>invoked</w:t>
      </w:r>
      <w:r w:rsidR="00190923" w:rsidRPr="00981405">
        <w:t xml:space="preserve"> </w:t>
      </w:r>
      <w:r w:rsidRPr="00981405">
        <w:t>in</w:t>
      </w:r>
      <w:r w:rsidR="00190923" w:rsidRPr="00981405">
        <w:t xml:space="preserve"> </w:t>
      </w:r>
      <w:r w:rsidRPr="00981405">
        <w:t>WTO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and</w:t>
      </w:r>
      <w:r w:rsidR="00190923" w:rsidRPr="00981405">
        <w:t xml:space="preserve"> </w:t>
      </w:r>
      <w:r w:rsidRPr="00981405">
        <w:t>interpreted</w:t>
      </w:r>
      <w:r w:rsidR="00190923" w:rsidRPr="00981405">
        <w:t xml:space="preserve"> </w:t>
      </w:r>
      <w:r w:rsidRPr="00981405">
        <w:t>by</w:t>
      </w:r>
      <w:r w:rsidR="00190923" w:rsidRPr="00981405">
        <w:t xml:space="preserve"> </w:t>
      </w:r>
      <w:r w:rsidRPr="00981405">
        <w:t>the</w:t>
      </w:r>
      <w:r w:rsidR="00190923" w:rsidRPr="00981405">
        <w:t xml:space="preserve"> </w:t>
      </w:r>
      <w:r w:rsidRPr="00981405">
        <w:t>WTO</w:t>
      </w:r>
      <w:r w:rsidR="00190923" w:rsidRPr="00981405">
        <w:t xml:space="preserve"> </w:t>
      </w:r>
      <w:r w:rsidRPr="00981405">
        <w:t>Appellate</w:t>
      </w:r>
      <w:r w:rsidR="00190923" w:rsidRPr="00981405">
        <w:t xml:space="preserve"> </w:t>
      </w:r>
      <w:r w:rsidRPr="00981405">
        <w:t>Body.</w:t>
      </w:r>
      <w:r w:rsidR="00190923" w:rsidRPr="00981405">
        <w:t xml:space="preserve"> </w:t>
      </w:r>
      <w:r w:rsidRPr="00981405">
        <w:t>MFN</w:t>
      </w:r>
      <w:r w:rsidR="00190923" w:rsidRPr="00981405">
        <w:t xml:space="preserve"> </w:t>
      </w:r>
      <w:r w:rsidRPr="00981405">
        <w:t>in</w:t>
      </w:r>
      <w:r w:rsidR="00190923" w:rsidRPr="00981405">
        <w:t xml:space="preserve"> </w:t>
      </w:r>
      <w:r w:rsidRPr="00981405">
        <w:t>the</w:t>
      </w:r>
      <w:r w:rsidR="00190923" w:rsidRPr="00981405">
        <w:t xml:space="preserve"> </w:t>
      </w:r>
      <w:r w:rsidRPr="00981405">
        <w:t>field</w:t>
      </w:r>
      <w:r w:rsidR="00190923" w:rsidRPr="00981405">
        <w:t xml:space="preserve"> </w:t>
      </w:r>
      <w:r w:rsidRPr="00981405">
        <w:t>of</w:t>
      </w:r>
      <w:r w:rsidR="00190923" w:rsidRPr="00981405">
        <w:t xml:space="preserve"> </w:t>
      </w:r>
      <w:r w:rsidRPr="00981405">
        <w:t>trade</w:t>
      </w:r>
      <w:r w:rsidR="00190923" w:rsidRPr="00981405">
        <w:t xml:space="preserve"> </w:t>
      </w:r>
      <w:r w:rsidRPr="00981405">
        <w:t>in</w:t>
      </w:r>
      <w:r w:rsidR="00190923" w:rsidRPr="00981405">
        <w:t xml:space="preserve"> </w:t>
      </w:r>
      <w:r w:rsidRPr="00981405">
        <w:t>services</w:t>
      </w:r>
      <w:r w:rsidR="00190923" w:rsidRPr="00981405">
        <w:t xml:space="preserve"> </w:t>
      </w:r>
      <w:r w:rsidRPr="00981405">
        <w:t>has</w:t>
      </w:r>
      <w:r w:rsidR="00190923" w:rsidRPr="00981405">
        <w:t xml:space="preserve"> </w:t>
      </w:r>
      <w:r w:rsidRPr="00981405">
        <w:t>also</w:t>
      </w:r>
      <w:r w:rsidR="00190923" w:rsidRPr="00981405">
        <w:t xml:space="preserve"> </w:t>
      </w:r>
      <w:r w:rsidRPr="00981405">
        <w:t>been</w:t>
      </w:r>
      <w:r w:rsidR="00190923" w:rsidRPr="00981405">
        <w:t xml:space="preserve"> </w:t>
      </w:r>
      <w:r w:rsidRPr="00981405">
        <w:t>the</w:t>
      </w:r>
      <w:r w:rsidR="00190923" w:rsidRPr="00981405">
        <w:t xml:space="preserve"> </w:t>
      </w:r>
      <w:r w:rsidRPr="00981405">
        <w:t>subject</w:t>
      </w:r>
      <w:r w:rsidR="00190923" w:rsidRPr="00981405">
        <w:t xml:space="preserve"> </w:t>
      </w:r>
      <w:r w:rsidRPr="00981405">
        <w:t>of</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In</w:t>
      </w:r>
      <w:r w:rsidR="00190923" w:rsidRPr="00981405">
        <w:t xml:space="preserve"> </w:t>
      </w:r>
      <w:r w:rsidRPr="00981405">
        <w:t>addition,</w:t>
      </w:r>
      <w:r w:rsidR="00190923" w:rsidRPr="00981405">
        <w:t xml:space="preserve"> </w:t>
      </w:r>
      <w:r w:rsidRPr="00981405">
        <w:t>there</w:t>
      </w:r>
      <w:r w:rsidR="00190923" w:rsidRPr="00981405">
        <w:t xml:space="preserve"> </w:t>
      </w:r>
      <w:r w:rsidRPr="00981405">
        <w:t>is</w:t>
      </w:r>
      <w:r w:rsidR="00190923" w:rsidRPr="00981405">
        <w:t xml:space="preserve"> </w:t>
      </w:r>
      <w:r w:rsidRPr="00981405">
        <w:t>a</w:t>
      </w:r>
      <w:r w:rsidR="00190923" w:rsidRPr="00981405">
        <w:t xml:space="preserve"> </w:t>
      </w:r>
      <w:r w:rsidRPr="00981405">
        <w:t>significant</w:t>
      </w:r>
      <w:r w:rsidR="00190923" w:rsidRPr="00981405">
        <w:t xml:space="preserve"> </w:t>
      </w:r>
      <w:r w:rsidRPr="00981405">
        <w:t>body</w:t>
      </w:r>
      <w:r w:rsidR="00190923" w:rsidRPr="00981405">
        <w:t xml:space="preserve"> </w:t>
      </w:r>
      <w:r w:rsidRPr="00981405">
        <w:t>of</w:t>
      </w:r>
      <w:r w:rsidR="00190923" w:rsidRPr="00981405">
        <w:t xml:space="preserve"> </w:t>
      </w:r>
      <w:r w:rsidRPr="00981405">
        <w:t>cases</w:t>
      </w:r>
      <w:r w:rsidR="00190923" w:rsidRPr="00981405">
        <w:t xml:space="preserve"> </w:t>
      </w:r>
      <w:r w:rsidRPr="00981405">
        <w:t>where</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sought</w:t>
      </w:r>
      <w:r w:rsidR="00190923" w:rsidRPr="00981405">
        <w:t xml:space="preserve"> </w:t>
      </w:r>
      <w:r w:rsidRPr="00981405">
        <w:t>to</w:t>
      </w:r>
      <w:r w:rsidR="00190923" w:rsidRPr="00981405">
        <w:t xml:space="preserve"> </w:t>
      </w:r>
      <w:r w:rsidRPr="00981405">
        <w:t>interpret</w:t>
      </w:r>
      <w:r w:rsidR="00190923" w:rsidRPr="00981405">
        <w:t xml:space="preserve"> </w:t>
      </w:r>
      <w:r w:rsidRPr="00981405">
        <w:t>the</w:t>
      </w:r>
      <w:r w:rsidR="00190923" w:rsidRPr="00981405">
        <w:t xml:space="preserve"> </w:t>
      </w:r>
      <w:r w:rsidRPr="00981405">
        <w:t>scope</w:t>
      </w:r>
      <w:r w:rsidR="00190923" w:rsidRPr="00981405">
        <w:t xml:space="preserve"> </w:t>
      </w:r>
      <w:r w:rsidRPr="00981405">
        <w:t>and</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with</w:t>
      </w:r>
      <w:r w:rsidR="00190923" w:rsidRPr="00981405">
        <w:t xml:space="preserve"> </w:t>
      </w:r>
      <w:r w:rsidRPr="00981405">
        <w:t>conflicting</w:t>
      </w:r>
      <w:r w:rsidR="00190923" w:rsidRPr="00981405">
        <w:t xml:space="preserve"> </w:t>
      </w:r>
      <w:r w:rsidRPr="00981405">
        <w:t>and</w:t>
      </w:r>
      <w:r w:rsidR="00190923" w:rsidRPr="00981405">
        <w:t xml:space="preserve"> </w:t>
      </w:r>
      <w:r w:rsidRPr="00981405">
        <w:t>contradictory</w:t>
      </w:r>
      <w:r w:rsidR="00190923" w:rsidRPr="00981405">
        <w:t xml:space="preserve"> </w:t>
      </w:r>
      <w:r w:rsidRPr="00981405">
        <w:t>outcomes.</w:t>
      </w:r>
    </w:p>
    <w:p w:rsidR="00397032" w:rsidRPr="00981405" w:rsidRDefault="00397032" w:rsidP="00D97463">
      <w:pPr>
        <w:pStyle w:val="SingleTxt"/>
      </w:pPr>
      <w:r w:rsidRPr="00981405">
        <w:t>23.</w:t>
      </w:r>
      <w:r w:rsidRPr="00981405">
        <w:tab/>
        <w:t>In</w:t>
      </w:r>
      <w:r w:rsidR="00190923" w:rsidRPr="00981405">
        <w:t xml:space="preserve"> </w:t>
      </w:r>
      <w:r w:rsidRPr="00981405">
        <w:t>short,</w:t>
      </w:r>
      <w:r w:rsidR="00190923" w:rsidRPr="00981405">
        <w:t xml:space="preserve"> </w:t>
      </w:r>
      <w:r w:rsidRPr="00981405">
        <w:t>the</w:t>
      </w:r>
      <w:r w:rsidR="00190923" w:rsidRPr="00981405">
        <w:t xml:space="preserve"> </w:t>
      </w:r>
      <w:r w:rsidRPr="00981405">
        <w:t>context</w:t>
      </w:r>
      <w:r w:rsidR="00190923" w:rsidRPr="00981405">
        <w:t xml:space="preserve"> </w:t>
      </w:r>
      <w:r w:rsidRPr="00981405">
        <w:t>in</w:t>
      </w:r>
      <w:r w:rsidR="00190923" w:rsidRPr="00981405">
        <w:t xml:space="preserve"> </w:t>
      </w:r>
      <w:r w:rsidRPr="00981405">
        <w:t>which</w:t>
      </w:r>
      <w:r w:rsidR="00190923" w:rsidRPr="00981405">
        <w:t xml:space="preserve"> </w:t>
      </w:r>
      <w:r w:rsidRPr="00981405">
        <w:t>MFN</w:t>
      </w:r>
      <w:r w:rsidR="00190923" w:rsidRPr="00981405">
        <w:t xml:space="preserve"> </w:t>
      </w:r>
      <w:r w:rsidRPr="00981405">
        <w:t>operates</w:t>
      </w:r>
      <w:r w:rsidR="00190923" w:rsidRPr="00981405">
        <w:t xml:space="preserve"> </w:t>
      </w:r>
      <w:r w:rsidRPr="00981405">
        <w:t>today</w:t>
      </w:r>
      <w:r w:rsidR="00190923" w:rsidRPr="00981405">
        <w:t xml:space="preserve"> </w:t>
      </w:r>
      <w:r w:rsidRPr="00981405">
        <w:t>is</w:t>
      </w:r>
      <w:r w:rsidR="00190923" w:rsidRPr="00981405">
        <w:t xml:space="preserve"> </w:t>
      </w:r>
      <w:r w:rsidRPr="00981405">
        <w:t>quite</w:t>
      </w:r>
      <w:r w:rsidR="00190923" w:rsidRPr="00981405">
        <w:t xml:space="preserve"> </w:t>
      </w:r>
      <w:r w:rsidRPr="00981405">
        <w:t>different</w:t>
      </w:r>
      <w:r w:rsidR="00190923" w:rsidRPr="00981405">
        <w:t xml:space="preserve"> </w:t>
      </w:r>
      <w:r w:rsidRPr="00981405">
        <w:t>from</w:t>
      </w:r>
      <w:r w:rsidR="00190923" w:rsidRPr="00981405">
        <w:t xml:space="preserve"> </w:t>
      </w:r>
      <w:r w:rsidRPr="00981405">
        <w:t>that</w:t>
      </w:r>
      <w:r w:rsidR="00190923" w:rsidRPr="00981405">
        <w:t xml:space="preserve"> </w:t>
      </w:r>
      <w:r w:rsidRPr="00981405">
        <w:t>in</w:t>
      </w:r>
      <w:r w:rsidR="00190923" w:rsidRPr="00981405">
        <w:t xml:space="preserve"> </w:t>
      </w:r>
      <w:r w:rsidRPr="00981405">
        <w:t>which</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operated</w:t>
      </w:r>
      <w:r w:rsidR="00190923" w:rsidRPr="00981405">
        <w:t xml:space="preserve"> </w:t>
      </w:r>
      <w:r w:rsidRPr="00981405">
        <w:t>when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earlier</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topic.</w:t>
      </w:r>
      <w:r w:rsidR="00190923" w:rsidRPr="00981405">
        <w:t xml:space="preserve"> </w:t>
      </w:r>
      <w:r w:rsidRPr="00981405">
        <w:t>On</w:t>
      </w:r>
      <w:r w:rsidR="00190923" w:rsidRPr="00981405">
        <w:t xml:space="preserve"> </w:t>
      </w:r>
      <w:r w:rsidRPr="00981405">
        <w:t>this</w:t>
      </w:r>
      <w:r w:rsidR="00190923" w:rsidRPr="00981405">
        <w:t xml:space="preserve"> </w:t>
      </w:r>
      <w:r w:rsidRPr="00981405">
        <w:t>basis,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some</w:t>
      </w:r>
      <w:r w:rsidR="00190923" w:rsidRPr="00981405">
        <w:t xml:space="preserve"> </w:t>
      </w:r>
      <w:r w:rsidRPr="00981405">
        <w:t>value</w:t>
      </w:r>
      <w:r w:rsidR="00190923" w:rsidRPr="00981405">
        <w:t xml:space="preserve"> </w:t>
      </w:r>
      <w:r w:rsidRPr="00981405">
        <w:t>in</w:t>
      </w:r>
      <w:r w:rsidR="00190923" w:rsidRPr="00981405">
        <w:t xml:space="preserve"> </w:t>
      </w:r>
      <w:r w:rsidRPr="00981405">
        <w:t>revisiting</w:t>
      </w:r>
      <w:r w:rsidR="00190923" w:rsidRPr="00981405">
        <w:t xml:space="preserve"> </w:t>
      </w:r>
      <w:r w:rsidRPr="00981405">
        <w:t>the</w:t>
      </w:r>
      <w:r w:rsidR="00190923" w:rsidRPr="00981405">
        <w:t xml:space="preserve"> </w:t>
      </w:r>
      <w:r w:rsidRPr="00981405">
        <w:t>topic.</w:t>
      </w:r>
      <w:r w:rsidR="00190923" w:rsidRPr="00981405">
        <w:t xml:space="preserve"> </w:t>
      </w:r>
    </w:p>
    <w:p w:rsidR="000614A2" w:rsidRPr="00D97463" w:rsidRDefault="000614A2" w:rsidP="00D97463">
      <w:pPr>
        <w:pStyle w:val="SingleTxt"/>
        <w:spacing w:after="0" w:line="120" w:lineRule="exact"/>
        <w:rPr>
          <w:rFonts w:eastAsia="SimSun"/>
          <w:sz w:val="10"/>
        </w:rPr>
      </w:pPr>
      <w:bookmarkStart w:id="202" w:name="_Toc293434156"/>
      <w:bookmarkStart w:id="203" w:name="_Toc294353662"/>
      <w:bookmarkStart w:id="204" w:name="_Toc293434146"/>
    </w:p>
    <w:p w:rsidR="000614A2" w:rsidRPr="00D97463" w:rsidRDefault="000614A2" w:rsidP="00D97463">
      <w:pPr>
        <w:pStyle w:val="SingleTxt"/>
        <w:spacing w:after="0" w:line="120" w:lineRule="exact"/>
        <w:rPr>
          <w:rFonts w:eastAsia="SimSun"/>
          <w:sz w:val="10"/>
        </w:rPr>
      </w:pPr>
    </w:p>
    <w:p w:rsidR="00397032" w:rsidRPr="00D97463" w:rsidRDefault="00397032" w:rsidP="00D97463">
      <w:pPr>
        <w:pStyle w:val="H1"/>
        <w:ind w:right="1260"/>
      </w:pPr>
      <w:r w:rsidRPr="00D97463">
        <w:tab/>
        <w:t>D.</w:t>
      </w:r>
      <w:r w:rsidRPr="00D97463">
        <w:tab/>
        <w:t>The</w:t>
      </w:r>
      <w:r w:rsidR="00190923" w:rsidRPr="00D97463">
        <w:t xml:space="preserve"> </w:t>
      </w:r>
      <w:r w:rsidRPr="00D97463">
        <w:t>analysis</w:t>
      </w:r>
      <w:r w:rsidR="00190923" w:rsidRPr="00D97463">
        <w:t xml:space="preserve"> </w:t>
      </w:r>
      <w:r w:rsidRPr="00D97463">
        <w:t>of</w:t>
      </w:r>
      <w:r w:rsidR="00190923" w:rsidRPr="00D97463">
        <w:t xml:space="preserve"> </w:t>
      </w:r>
      <w:r w:rsidRPr="00D97463">
        <w:t>MFN</w:t>
      </w:r>
      <w:r w:rsidR="00190923" w:rsidRPr="00D97463">
        <w:t xml:space="preserve"> </w:t>
      </w:r>
      <w:r w:rsidRPr="00D97463">
        <w:t>provisions</w:t>
      </w:r>
      <w:r w:rsidR="00190923" w:rsidRPr="00D97463">
        <w:t xml:space="preserve"> </w:t>
      </w:r>
      <w:r w:rsidRPr="00D97463">
        <w:t>by</w:t>
      </w:r>
      <w:r w:rsidR="00190923" w:rsidRPr="00D97463">
        <w:t xml:space="preserve"> </w:t>
      </w:r>
      <w:r w:rsidRPr="00D97463">
        <w:t>other</w:t>
      </w:r>
      <w:r w:rsidR="00190923" w:rsidRPr="00D97463">
        <w:t xml:space="preserve"> </w:t>
      </w:r>
      <w:r w:rsidRPr="00D97463">
        <w:t>bodies</w:t>
      </w:r>
      <w:bookmarkEnd w:id="202"/>
      <w:bookmarkEnd w:id="203"/>
    </w:p>
    <w:p w:rsidR="000614A2" w:rsidRPr="00D97463" w:rsidRDefault="000614A2" w:rsidP="00D97463">
      <w:pPr>
        <w:pStyle w:val="SingleTxt"/>
        <w:spacing w:after="0" w:line="120" w:lineRule="exact"/>
        <w:rPr>
          <w:sz w:val="10"/>
        </w:rPr>
      </w:pPr>
    </w:p>
    <w:p w:rsidR="000614A2" w:rsidRPr="00D97463" w:rsidRDefault="000614A2" w:rsidP="00D97463">
      <w:pPr>
        <w:pStyle w:val="SingleTxt"/>
        <w:spacing w:after="0" w:line="120" w:lineRule="exact"/>
        <w:rPr>
          <w:sz w:val="10"/>
        </w:rPr>
      </w:pPr>
    </w:p>
    <w:p w:rsidR="00397032" w:rsidRPr="00981405" w:rsidRDefault="00397032" w:rsidP="00D97463">
      <w:pPr>
        <w:pStyle w:val="SingleTxt"/>
        <w:rPr>
          <w:rFonts w:eastAsia="SimSun"/>
        </w:rPr>
      </w:pPr>
      <w:r w:rsidRPr="00981405">
        <w:rPr>
          <w:rFonts w:eastAsia="SimSun"/>
        </w:rPr>
        <w:t>24.</w:t>
      </w:r>
      <w:r w:rsidRPr="00981405">
        <w:rPr>
          <w:rFonts w:eastAsia="SimSun"/>
        </w:rPr>
        <w:tab/>
        <w:t>The</w:t>
      </w:r>
      <w:r w:rsidR="00190923" w:rsidRPr="00981405">
        <w:rPr>
          <w:rFonts w:eastAsia="SimSun"/>
        </w:rPr>
        <w:t xml:space="preserve"> </w:t>
      </w:r>
      <w:r w:rsidRPr="00981405">
        <w:rPr>
          <w:rFonts w:eastAsia="SimSun"/>
        </w:rPr>
        <w:t>Study</w:t>
      </w:r>
      <w:r w:rsidR="00190923" w:rsidRPr="00981405">
        <w:rPr>
          <w:rFonts w:eastAsia="SimSun"/>
        </w:rPr>
        <w:t xml:space="preserve"> </w:t>
      </w:r>
      <w:r w:rsidRPr="00981405">
        <w:rPr>
          <w:rFonts w:eastAsia="SimSun"/>
        </w:rPr>
        <w:t>Group</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aware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United</w:t>
      </w:r>
      <w:r w:rsidR="00190923" w:rsidRPr="00981405">
        <w:rPr>
          <w:rFonts w:eastAsia="SimSun"/>
        </w:rPr>
        <w:t xml:space="preserve"> </w:t>
      </w:r>
      <w:r w:rsidRPr="00981405">
        <w:rPr>
          <w:rFonts w:eastAsia="SimSun"/>
        </w:rPr>
        <w:t>Nations</w:t>
      </w:r>
      <w:r w:rsidR="00190923" w:rsidRPr="00981405">
        <w:rPr>
          <w:rFonts w:eastAsia="SimSun"/>
        </w:rPr>
        <w:t xml:space="preserve"> </w:t>
      </w:r>
      <w:r w:rsidRPr="00981405">
        <w:rPr>
          <w:rFonts w:eastAsia="SimSun"/>
        </w:rPr>
        <w:t>Conference</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Development</w:t>
      </w:r>
      <w:r w:rsidR="00190923" w:rsidRPr="00981405">
        <w:rPr>
          <w:rFonts w:eastAsia="SimSun"/>
        </w:rPr>
        <w:t xml:space="preserve"> </w:t>
      </w:r>
      <w:r w:rsidRPr="00981405">
        <w:rPr>
          <w:rFonts w:eastAsia="SimSun"/>
        </w:rPr>
        <w:t>(UNCTAD)</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Organization</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Cooperation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Development</w:t>
      </w:r>
      <w:r w:rsidR="00190923" w:rsidRPr="00981405">
        <w:rPr>
          <w:rFonts w:eastAsia="SimSun"/>
        </w:rPr>
        <w:t xml:space="preserve"> </w:t>
      </w:r>
      <w:r w:rsidRPr="00981405">
        <w:rPr>
          <w:rFonts w:eastAsia="SimSun"/>
        </w:rPr>
        <w:t>(OECD)</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produced</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significant</w:t>
      </w:r>
      <w:r w:rsidR="00190923" w:rsidRPr="00981405">
        <w:rPr>
          <w:rFonts w:eastAsia="SimSun"/>
        </w:rPr>
        <w:t xml:space="preserve"> </w:t>
      </w:r>
      <w:r w:rsidRPr="00981405">
        <w:rPr>
          <w:rFonts w:eastAsia="SimSun"/>
        </w:rPr>
        <w:t>amount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work</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p>
    <w:p w:rsidR="006644A9" w:rsidRPr="00D97463" w:rsidRDefault="006644A9" w:rsidP="00D97463">
      <w:pPr>
        <w:pStyle w:val="SingleTxt"/>
        <w:spacing w:after="0" w:line="120" w:lineRule="exact"/>
        <w:rPr>
          <w:sz w:val="10"/>
        </w:rPr>
      </w:pPr>
      <w:bookmarkStart w:id="205" w:name="_Toc294353663"/>
      <w:bookmarkStart w:id="206" w:name="_Toc293434157"/>
    </w:p>
    <w:p w:rsidR="00397032" w:rsidRPr="00D97463" w:rsidRDefault="00397032" w:rsidP="00D97463">
      <w:pPr>
        <w:pStyle w:val="H23"/>
        <w:ind w:right="1260"/>
      </w:pPr>
      <w:r w:rsidRPr="00D97463">
        <w:tab/>
      </w:r>
      <w:bookmarkStart w:id="207" w:name="_Toc427938168"/>
      <w:r w:rsidRPr="00D97463">
        <w:t>1.</w:t>
      </w:r>
      <w:r w:rsidRPr="00D97463">
        <w:tab/>
        <w:t>UNCTAD</w:t>
      </w:r>
      <w:bookmarkEnd w:id="205"/>
      <w:bookmarkEnd w:id="207"/>
    </w:p>
    <w:p w:rsidR="006644A9" w:rsidRPr="00D97463" w:rsidRDefault="006644A9" w:rsidP="00D97463">
      <w:pPr>
        <w:pStyle w:val="SingleTxt"/>
        <w:spacing w:after="0" w:line="120" w:lineRule="exact"/>
        <w:rPr>
          <w:sz w:val="10"/>
        </w:rPr>
      </w:pPr>
    </w:p>
    <w:p w:rsidR="00397032" w:rsidRPr="00981405" w:rsidRDefault="00397032" w:rsidP="00D97463">
      <w:pPr>
        <w:pStyle w:val="SingleTxt"/>
      </w:pPr>
      <w:r w:rsidRPr="00981405">
        <w:t>25.</w:t>
      </w:r>
      <w:r w:rsidRPr="00981405">
        <w:tab/>
        <w:t>UNCTAD</w:t>
      </w:r>
      <w:r w:rsidR="00B92E2C" w:rsidRPr="00981405">
        <w:t>’</w:t>
      </w:r>
      <w:r w:rsidRPr="00981405">
        <w:t>s</w:t>
      </w:r>
      <w:r w:rsidR="00190923" w:rsidRPr="00981405">
        <w:t xml:space="preserve"> </w:t>
      </w:r>
      <w:r w:rsidRPr="00981405">
        <w:t>involvement</w:t>
      </w:r>
      <w:r w:rsidR="00190923" w:rsidRPr="00981405">
        <w:t xml:space="preserve"> </w:t>
      </w:r>
      <w:r w:rsidRPr="00981405">
        <w:t>in</w:t>
      </w:r>
      <w:r w:rsidR="00190923" w:rsidRPr="00981405">
        <w:t xml:space="preserve"> </w:t>
      </w:r>
      <w:r w:rsidRPr="00981405">
        <w:t>the</w:t>
      </w:r>
      <w:r w:rsidR="00190923" w:rsidRPr="00981405">
        <w:t xml:space="preserve"> </w:t>
      </w:r>
      <w:r w:rsidRPr="00981405">
        <w:t>policy</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development</w:t>
      </w:r>
      <w:r w:rsidR="00190923" w:rsidRPr="00981405">
        <w:t xml:space="preserve"> </w:t>
      </w:r>
      <w:r w:rsidRPr="00981405">
        <w:t>is</w:t>
      </w:r>
      <w:r w:rsidR="00190923" w:rsidRPr="00981405">
        <w:t xml:space="preserve"> </w:t>
      </w:r>
      <w:r w:rsidRPr="00981405">
        <w:t>longstanding,</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through</w:t>
      </w:r>
      <w:r w:rsidR="00190923" w:rsidRPr="00981405">
        <w:t xml:space="preserve"> </w:t>
      </w:r>
      <w:r w:rsidRPr="00981405">
        <w:t>the</w:t>
      </w:r>
      <w:r w:rsidR="00190923" w:rsidRPr="00981405">
        <w:t xml:space="preserve"> </w:t>
      </w:r>
      <w:r w:rsidRPr="00981405">
        <w:t>dissemination</w:t>
      </w:r>
      <w:r w:rsidR="00190923" w:rsidRPr="00981405">
        <w:t xml:space="preserve"> </w:t>
      </w:r>
      <w:r w:rsidRPr="00981405">
        <w:t>of</w:t>
      </w:r>
      <w:r w:rsidR="00190923" w:rsidRPr="00981405">
        <w:t xml:space="preserve"> </w:t>
      </w:r>
      <w:r w:rsidRPr="00981405">
        <w:t>technical</w:t>
      </w:r>
      <w:r w:rsidR="00190923" w:rsidRPr="00981405">
        <w:t xml:space="preserve"> </w:t>
      </w:r>
      <w:r w:rsidRPr="00981405">
        <w:t>information</w:t>
      </w:r>
      <w:r w:rsidR="00190923" w:rsidRPr="00981405">
        <w:t xml:space="preserve"> </w:t>
      </w:r>
      <w:r w:rsidRPr="00981405">
        <w:t>on</w:t>
      </w:r>
      <w:r w:rsidR="00190923" w:rsidRPr="00981405">
        <w:t xml:space="preserve"> </w:t>
      </w:r>
      <w:r w:rsidRPr="00981405">
        <w:t>investment</w:t>
      </w:r>
      <w:r w:rsidR="00190923" w:rsidRPr="00981405">
        <w:t xml:space="preserve"> </w:t>
      </w:r>
      <w:r w:rsidRPr="00981405">
        <w:t>matters.</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responsible</w:t>
      </w:r>
      <w:r w:rsidR="00190923" w:rsidRPr="00981405">
        <w:t xml:space="preserve"> </w:t>
      </w:r>
      <w:r w:rsidRPr="00981405">
        <w:t>for</w:t>
      </w:r>
      <w:r w:rsidR="00190923" w:rsidRPr="00981405">
        <w:t xml:space="preserve"> </w:t>
      </w:r>
      <w:r w:rsidRPr="00981405">
        <w:t>the</w:t>
      </w:r>
      <w:r w:rsidR="00190923" w:rsidRPr="00981405">
        <w:t xml:space="preserve"> </w:t>
      </w:r>
      <w:r w:rsidRPr="00981405">
        <w:t>development</w:t>
      </w:r>
      <w:r w:rsidR="00190923" w:rsidRPr="00981405">
        <w:t xml:space="preserve"> </w:t>
      </w:r>
      <w:r w:rsidRPr="00981405">
        <w:t>of</w:t>
      </w:r>
      <w:r w:rsidR="00190923" w:rsidRPr="00981405">
        <w:t xml:space="preserve"> </w:t>
      </w:r>
      <w:r w:rsidRPr="00981405">
        <w:t>two</w:t>
      </w:r>
      <w:r w:rsidR="00190923" w:rsidRPr="00981405">
        <w:t xml:space="preserve"> </w:t>
      </w:r>
      <w:r w:rsidRPr="00981405">
        <w:t>series</w:t>
      </w:r>
      <w:r w:rsidR="00190923" w:rsidRPr="00981405">
        <w:t xml:space="preserve"> </w:t>
      </w:r>
      <w:r w:rsidRPr="00981405">
        <w:t>of</w:t>
      </w:r>
      <w:r w:rsidR="00190923" w:rsidRPr="00981405">
        <w:t xml:space="preserve"> </w:t>
      </w:r>
      <w:r w:rsidRPr="00981405">
        <w:t>publications:</w:t>
      </w:r>
      <w:r w:rsidR="00190923" w:rsidRPr="00981405">
        <w:t xml:space="preserve"> </w:t>
      </w:r>
      <w:r w:rsidRPr="00981405">
        <w:t>one</w:t>
      </w:r>
      <w:r w:rsidR="00190923" w:rsidRPr="00981405">
        <w:t xml:space="preserve"> </w:t>
      </w:r>
      <w:r w:rsidRPr="00981405">
        <w:t>on</w:t>
      </w:r>
      <w:r w:rsidR="00190923" w:rsidRPr="00981405">
        <w:t xml:space="preserve"> </w:t>
      </w:r>
      <w:r w:rsidR="00B92E2C" w:rsidRPr="00981405">
        <w:t>“</w:t>
      </w:r>
      <w:r w:rsidRPr="00981405">
        <w:t>Issues</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Agreements</w:t>
      </w:r>
      <w:r w:rsidR="00B92E2C" w:rsidRPr="00981405">
        <w:t>”</w:t>
      </w:r>
      <w:r w:rsidR="00190923" w:rsidRPr="00981405">
        <w:t xml:space="preserve"> </w:t>
      </w:r>
      <w:r w:rsidRPr="00981405">
        <w:t>and</w:t>
      </w:r>
      <w:r w:rsidR="00190923" w:rsidRPr="00981405">
        <w:t xml:space="preserve"> </w:t>
      </w:r>
      <w:r w:rsidRPr="00981405">
        <w:t>the</w:t>
      </w:r>
      <w:r w:rsidR="00190923" w:rsidRPr="00981405">
        <w:t xml:space="preserve"> </w:t>
      </w:r>
      <w:r w:rsidRPr="00981405">
        <w:t>other</w:t>
      </w:r>
      <w:r w:rsidR="00190923" w:rsidRPr="00981405">
        <w:t xml:space="preserve"> </w:t>
      </w:r>
      <w:r w:rsidRPr="00981405">
        <w:t>entitled</w:t>
      </w:r>
      <w:r w:rsidR="00190923" w:rsidRPr="00981405">
        <w:t xml:space="preserve"> </w:t>
      </w:r>
      <w:r w:rsidR="00B92E2C" w:rsidRPr="00981405">
        <w:t>“</w:t>
      </w:r>
      <w:r w:rsidRPr="00981405">
        <w:t>Series</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Policies</w:t>
      </w:r>
      <w:r w:rsidR="00190923" w:rsidRPr="00981405">
        <w:t xml:space="preserve"> </w:t>
      </w:r>
      <w:r w:rsidRPr="00981405">
        <w:t>for</w:t>
      </w:r>
      <w:r w:rsidR="00190923" w:rsidRPr="00981405">
        <w:t xml:space="preserve"> </w:t>
      </w:r>
      <w:r w:rsidRPr="00981405">
        <w:t>Development.</w:t>
      </w:r>
      <w:r w:rsidR="00B92E2C" w:rsidRPr="00981405">
        <w:t>”</w:t>
      </w:r>
      <w:r w:rsidR="00190923" w:rsidRPr="00981405">
        <w:t xml:space="preserve"> </w:t>
      </w:r>
      <w:r w:rsidRPr="00981405">
        <w:t>More</w:t>
      </w:r>
      <w:r w:rsidR="00190923" w:rsidRPr="00981405">
        <w:t xml:space="preserve"> </w:t>
      </w:r>
      <w:r w:rsidRPr="00981405">
        <w:t>recently</w:t>
      </w:r>
      <w:r w:rsidR="00190923" w:rsidRPr="00981405">
        <w:t xml:space="preserve"> </w:t>
      </w:r>
      <w:r w:rsidRPr="00981405">
        <w:t>it</w:t>
      </w:r>
      <w:r w:rsidR="00190923" w:rsidRPr="00981405">
        <w:t xml:space="preserve"> </w:t>
      </w:r>
      <w:r w:rsidRPr="00981405">
        <w:t>has</w:t>
      </w:r>
      <w:r w:rsidR="00190923" w:rsidRPr="00981405">
        <w:t xml:space="preserve"> </w:t>
      </w:r>
      <w:r w:rsidRPr="00981405">
        <w:t>published</w:t>
      </w:r>
      <w:r w:rsidR="00190923" w:rsidRPr="00981405">
        <w:t xml:space="preserve"> </w:t>
      </w:r>
      <w:r w:rsidRPr="00981405">
        <w:t>a</w:t>
      </w:r>
      <w:r w:rsidR="00190923" w:rsidRPr="00981405">
        <w:t xml:space="preserve"> </w:t>
      </w:r>
      <w:r w:rsidRPr="00981405">
        <w:t>series</w:t>
      </w:r>
      <w:r w:rsidR="00190923" w:rsidRPr="00981405">
        <w:t xml:space="preserve"> </w:t>
      </w:r>
      <w:r w:rsidRPr="00981405">
        <w:t>entitled</w:t>
      </w:r>
      <w:r w:rsidR="00190923" w:rsidRPr="00981405">
        <w:t xml:space="preserve"> </w:t>
      </w:r>
      <w:r w:rsidR="00B92E2C" w:rsidRPr="00981405">
        <w:t>“</w:t>
      </w:r>
      <w:r w:rsidRPr="00981405">
        <w:t>International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Issues</w:t>
      </w:r>
      <w:r w:rsidR="00190923" w:rsidRPr="00981405">
        <w:t xml:space="preserve"> </w:t>
      </w:r>
      <w:r w:rsidRPr="00981405">
        <w:t>Notes,</w:t>
      </w:r>
      <w:r w:rsidR="00B92E2C" w:rsidRPr="00981405">
        <w:t>”</w:t>
      </w:r>
      <w:r w:rsidR="00190923" w:rsidRPr="00981405">
        <w:t xml:space="preserve"> </w:t>
      </w:r>
      <w:r w:rsidRPr="00981405">
        <w:t>which</w:t>
      </w:r>
      <w:r w:rsidR="00190923" w:rsidRPr="00981405">
        <w:t xml:space="preserve"> </w:t>
      </w:r>
      <w:r w:rsidRPr="00981405">
        <w:t>includes</w:t>
      </w:r>
      <w:r w:rsidR="00190923" w:rsidRPr="00981405">
        <w:t xml:space="preserve"> </w:t>
      </w:r>
      <w:r w:rsidRPr="00981405">
        <w:t>an</w:t>
      </w:r>
      <w:r w:rsidR="00190923" w:rsidRPr="00981405">
        <w:t xml:space="preserve"> </w:t>
      </w:r>
      <w:r w:rsidRPr="00981405">
        <w:t>annual</w:t>
      </w:r>
      <w:r w:rsidR="00190923" w:rsidRPr="00981405">
        <w:t xml:space="preserve"> </w:t>
      </w:r>
      <w:r w:rsidRPr="00981405">
        <w:t>publication</w:t>
      </w:r>
      <w:r w:rsidR="00190923" w:rsidRPr="00981405">
        <w:t xml:space="preserve"> </w:t>
      </w:r>
      <w:r w:rsidRPr="00981405">
        <w:t>on</w:t>
      </w:r>
      <w:r w:rsidR="00190923" w:rsidRPr="00981405">
        <w:t xml:space="preserve"> </w:t>
      </w:r>
      <w:r w:rsidR="00B92E2C" w:rsidRPr="00981405">
        <w:t>“</w:t>
      </w:r>
      <w:r w:rsidRPr="00981405">
        <w:t>Recent</w:t>
      </w:r>
      <w:r w:rsidR="00190923" w:rsidRPr="00981405">
        <w:t xml:space="preserve"> </w:t>
      </w:r>
      <w:r w:rsidRPr="00981405">
        <w:t>Developments</w:t>
      </w:r>
      <w:r w:rsidR="00190923" w:rsidRPr="00981405">
        <w:t xml:space="preserve"> </w:t>
      </w:r>
      <w:r w:rsidRPr="00981405">
        <w:t>in</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(ISDS).</w:t>
      </w:r>
      <w:r w:rsidR="00B92E2C" w:rsidRPr="00981405">
        <w:t>”</w:t>
      </w:r>
      <w:r w:rsidR="00190923" w:rsidRPr="00981405">
        <w:t xml:space="preserve"> </w:t>
      </w:r>
      <w:r w:rsidRPr="00981405">
        <w:t>UNCTAD</w:t>
      </w:r>
      <w:r w:rsidR="00B92E2C" w:rsidRPr="00981405">
        <w:t>’</w:t>
      </w:r>
      <w:r w:rsidRPr="00981405">
        <w:t>s</w:t>
      </w:r>
      <w:r w:rsidR="00190923" w:rsidRPr="00981405">
        <w:t xml:space="preserve"> </w:t>
      </w:r>
      <w:r w:rsidRPr="00981405">
        <w:t>compendia</w:t>
      </w:r>
      <w:r w:rsidR="00190923" w:rsidRPr="00981405">
        <w:t xml:space="preserve"> </w:t>
      </w:r>
      <w:r w:rsidRPr="00981405">
        <w:t>on</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agreements</w:t>
      </w:r>
      <w:r w:rsidR="00190923" w:rsidRPr="00981405">
        <w:t xml:space="preserve"> </w:t>
      </w:r>
      <w:r w:rsidR="006644A9" w:rsidRPr="00981405">
        <w:t>—</w:t>
      </w:r>
      <w:r w:rsidR="00190923" w:rsidRPr="00981405">
        <w:t xml:space="preserve"> </w:t>
      </w:r>
      <w:r w:rsidRPr="00D97463">
        <w:rPr>
          <w:i/>
          <w:iCs/>
        </w:rPr>
        <w:t>International</w:t>
      </w:r>
      <w:r w:rsidR="00190923" w:rsidRPr="00D97463">
        <w:rPr>
          <w:i/>
          <w:iCs/>
        </w:rPr>
        <w:t xml:space="preserve"> </w:t>
      </w:r>
      <w:r w:rsidRPr="00D97463">
        <w:rPr>
          <w:i/>
          <w:iCs/>
        </w:rPr>
        <w:t>Investment</w:t>
      </w:r>
      <w:r w:rsidR="00190923" w:rsidRPr="00D97463">
        <w:rPr>
          <w:i/>
          <w:iCs/>
        </w:rPr>
        <w:t xml:space="preserve"> </w:t>
      </w:r>
      <w:r w:rsidRPr="00D97463">
        <w:rPr>
          <w:i/>
          <w:iCs/>
        </w:rPr>
        <w:t>Instruments:</w:t>
      </w:r>
      <w:r w:rsidR="00190923" w:rsidRPr="00D97463">
        <w:rPr>
          <w:i/>
          <w:iCs/>
        </w:rPr>
        <w:t xml:space="preserve"> </w:t>
      </w:r>
      <w:r w:rsidRPr="00D97463">
        <w:rPr>
          <w:i/>
          <w:iCs/>
        </w:rPr>
        <w:t>A</w:t>
      </w:r>
      <w:r w:rsidR="00190923" w:rsidRPr="00D97463">
        <w:rPr>
          <w:i/>
          <w:iCs/>
        </w:rPr>
        <w:t xml:space="preserve"> </w:t>
      </w:r>
      <w:r w:rsidRPr="00D97463">
        <w:rPr>
          <w:i/>
          <w:iCs/>
        </w:rPr>
        <w:t>Compendium,</w:t>
      </w:r>
      <w:r w:rsidRPr="00981405">
        <w:rPr>
          <w:rStyle w:val="FootnoteReference"/>
        </w:rPr>
        <w:footnoteReference w:id="443"/>
      </w:r>
      <w:r w:rsidR="00190923" w:rsidRPr="00D97463">
        <w:rPr>
          <w:i/>
          <w:iCs/>
        </w:rPr>
        <w:t xml:space="preserve"> </w:t>
      </w:r>
      <w:r w:rsidRPr="00981405">
        <w:t>and</w:t>
      </w:r>
      <w:r w:rsidR="00190923" w:rsidRPr="00D97463">
        <w:rPr>
          <w:i/>
          <w:iCs/>
        </w:rPr>
        <w:t xml:space="preserve"> </w:t>
      </w:r>
      <w:r w:rsidRPr="00D97463">
        <w:rPr>
          <w:i/>
          <w:iCs/>
        </w:rPr>
        <w:t>Investment</w:t>
      </w:r>
      <w:r w:rsidR="00190923" w:rsidRPr="00D97463">
        <w:rPr>
          <w:i/>
          <w:iCs/>
        </w:rPr>
        <w:t xml:space="preserve"> </w:t>
      </w:r>
      <w:r w:rsidRPr="00D97463">
        <w:rPr>
          <w:i/>
          <w:iCs/>
        </w:rPr>
        <w:t>Policy</w:t>
      </w:r>
      <w:r w:rsidR="00190923" w:rsidRPr="00D97463">
        <w:rPr>
          <w:i/>
          <w:iCs/>
        </w:rPr>
        <w:t xml:space="preserve"> </w:t>
      </w:r>
      <w:r w:rsidRPr="00D97463">
        <w:rPr>
          <w:i/>
          <w:iCs/>
        </w:rPr>
        <w:t>Hub</w:t>
      </w:r>
      <w:r w:rsidRPr="00981405">
        <w:rPr>
          <w:rStyle w:val="FootnoteReference"/>
        </w:rPr>
        <w:footnoteReference w:id="444"/>
      </w:r>
      <w:r w:rsidR="00190923" w:rsidRPr="00981405">
        <w:t xml:space="preserve"> </w:t>
      </w:r>
      <w:r w:rsidR="006644A9" w:rsidRPr="00981405">
        <w:t>—</w:t>
      </w:r>
      <w:r w:rsidR="00190923" w:rsidRPr="00981405">
        <w:t xml:space="preserve"> </w:t>
      </w:r>
      <w:r w:rsidRPr="00981405">
        <w:t>are</w:t>
      </w:r>
      <w:r w:rsidR="00190923" w:rsidRPr="00981405">
        <w:t xml:space="preserve"> </w:t>
      </w:r>
      <w:r w:rsidRPr="00981405">
        <w:t>invaluable</w:t>
      </w:r>
      <w:r w:rsidR="00190923" w:rsidRPr="00981405">
        <w:t xml:space="preserve"> </w:t>
      </w:r>
      <w:r w:rsidRPr="00981405">
        <w:t>sources</w:t>
      </w:r>
      <w:r w:rsidR="00190923" w:rsidRPr="00981405">
        <w:t xml:space="preserve"> </w:t>
      </w:r>
      <w:r w:rsidRPr="00981405">
        <w:t>for</w:t>
      </w:r>
      <w:r w:rsidR="00190923" w:rsidRPr="00981405">
        <w:t xml:space="preserve"> </w:t>
      </w:r>
      <w:r w:rsidRPr="00981405">
        <w:t>locating</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agreements.</w:t>
      </w:r>
    </w:p>
    <w:p w:rsidR="00397032" w:rsidRPr="00981405" w:rsidRDefault="00397032" w:rsidP="00D97463">
      <w:pPr>
        <w:pStyle w:val="SingleTxt"/>
      </w:pPr>
      <w:r w:rsidRPr="00981405">
        <w:t>26.</w:t>
      </w:r>
      <w:r w:rsidRPr="00981405">
        <w:tab/>
        <w:t>MFN</w:t>
      </w:r>
      <w:r w:rsidR="00190923" w:rsidRPr="00981405">
        <w:t xml:space="preserve"> </w:t>
      </w:r>
      <w:r w:rsidRPr="00981405">
        <w:t>issues</w:t>
      </w:r>
      <w:r w:rsidR="00190923" w:rsidRPr="00981405">
        <w:t xml:space="preserve"> </w:t>
      </w:r>
      <w:r w:rsidRPr="00981405">
        <w:t>are</w:t>
      </w:r>
      <w:r w:rsidR="00190923" w:rsidRPr="00981405">
        <w:t xml:space="preserve"> </w:t>
      </w:r>
      <w:r w:rsidRPr="00981405">
        <w:t>dealt</w:t>
      </w:r>
      <w:r w:rsidR="00190923" w:rsidRPr="00981405">
        <w:t xml:space="preserve"> </w:t>
      </w:r>
      <w:r w:rsidRPr="00981405">
        <w:t>with</w:t>
      </w:r>
      <w:r w:rsidR="00190923" w:rsidRPr="00981405">
        <w:t xml:space="preserve"> </w:t>
      </w:r>
      <w:r w:rsidRPr="00981405">
        <w:t>as</w:t>
      </w:r>
      <w:r w:rsidR="00190923" w:rsidRPr="00981405">
        <w:t xml:space="preserve"> </w:t>
      </w:r>
      <w:r w:rsidRPr="00981405">
        <w:t>part</w:t>
      </w:r>
      <w:r w:rsidR="00190923" w:rsidRPr="00981405">
        <w:t xml:space="preserve"> </w:t>
      </w:r>
      <w:r w:rsidRPr="00981405">
        <w:t>of</w:t>
      </w:r>
      <w:r w:rsidR="00190923" w:rsidRPr="00981405">
        <w:t xml:space="preserve"> </w:t>
      </w:r>
      <w:r w:rsidRPr="00981405">
        <w:t>a</w:t>
      </w:r>
      <w:r w:rsidR="00190923" w:rsidRPr="00981405">
        <w:t xml:space="preserve"> </w:t>
      </w:r>
      <w:r w:rsidRPr="00981405">
        <w:t>broader</w:t>
      </w:r>
      <w:r w:rsidR="00190923" w:rsidRPr="00981405">
        <w:t xml:space="preserve"> </w:t>
      </w:r>
      <w:r w:rsidRPr="00981405">
        <w:t>discussion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in</w:t>
      </w:r>
      <w:r w:rsidR="00190923" w:rsidRPr="00981405">
        <w:t xml:space="preserve"> </w:t>
      </w:r>
      <w:r w:rsidRPr="00981405">
        <w:t>a</w:t>
      </w:r>
      <w:r w:rsidR="00190923" w:rsidRPr="00981405">
        <w:t xml:space="preserve"> </w:t>
      </w:r>
      <w:r w:rsidRPr="00981405">
        <w:t>variety</w:t>
      </w:r>
      <w:r w:rsidR="00190923" w:rsidRPr="00981405">
        <w:t xml:space="preserve"> </w:t>
      </w:r>
      <w:r w:rsidRPr="00981405">
        <w:t>of</w:t>
      </w:r>
      <w:r w:rsidR="00190923" w:rsidRPr="00981405">
        <w:t xml:space="preserve"> </w:t>
      </w:r>
      <w:r w:rsidRPr="00981405">
        <w:t>other</w:t>
      </w:r>
      <w:r w:rsidR="00190923" w:rsidRPr="00981405">
        <w:t xml:space="preserve"> </w:t>
      </w:r>
      <w:r w:rsidRPr="00981405">
        <w:t>UNCTAD</w:t>
      </w:r>
      <w:r w:rsidR="00190923" w:rsidRPr="00981405">
        <w:t xml:space="preserve"> </w:t>
      </w:r>
      <w:r w:rsidRPr="00981405">
        <w:t>publications.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the</w:t>
      </w:r>
      <w:r w:rsidR="00190923" w:rsidRPr="00981405">
        <w:t xml:space="preserve"> </w:t>
      </w:r>
      <w:r w:rsidRPr="00981405">
        <w:t>annual</w:t>
      </w:r>
      <w:r w:rsidR="00190923" w:rsidRPr="00981405">
        <w:t xml:space="preserve"> </w:t>
      </w:r>
      <w:r w:rsidRPr="00981405">
        <w:t>review</w:t>
      </w:r>
      <w:r w:rsidR="00190923" w:rsidRPr="00981405">
        <w:t xml:space="preserve"> </w:t>
      </w:r>
      <w:r w:rsidRPr="00981405">
        <w:t>of</w:t>
      </w:r>
      <w:r w:rsidR="00190923" w:rsidRPr="00981405">
        <w:t xml:space="preserve"> </w:t>
      </w:r>
      <w:r w:rsidRPr="00981405">
        <w:t>ISDS</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by</w:t>
      </w:r>
      <w:r w:rsidR="00190923" w:rsidRPr="00981405">
        <w:t xml:space="preserve"> </w:t>
      </w:r>
      <w:r w:rsidRPr="00981405">
        <w:t>UNCTAD</w:t>
      </w:r>
      <w:r w:rsidR="00190923" w:rsidRPr="00981405">
        <w:t xml:space="preserve"> </w:t>
      </w:r>
      <w:r w:rsidRPr="00981405">
        <w:t>in</w:t>
      </w:r>
      <w:r w:rsidR="00190923" w:rsidRPr="00981405">
        <w:t xml:space="preserve"> </w:t>
      </w:r>
      <w:r w:rsidRPr="00981405">
        <w:t>its</w:t>
      </w:r>
      <w:r w:rsidR="00190923" w:rsidRPr="00981405">
        <w:t xml:space="preserve"> </w:t>
      </w:r>
      <w:r w:rsidRPr="00981405">
        <w:t>Issues</w:t>
      </w:r>
      <w:r w:rsidR="00190923" w:rsidRPr="00981405">
        <w:t xml:space="preserve"> </w:t>
      </w:r>
      <w:r w:rsidRPr="00981405">
        <w:t>Notes</w:t>
      </w:r>
      <w:r w:rsidR="00190923" w:rsidRPr="00981405">
        <w:t xml:space="preserve"> </w:t>
      </w:r>
      <w:r w:rsidRPr="00981405">
        <w:t>series</w:t>
      </w:r>
      <w:r w:rsidR="00190923" w:rsidRPr="00981405">
        <w:t xml:space="preserve"> </w:t>
      </w:r>
      <w:r w:rsidRPr="00981405">
        <w:t>provides</w:t>
      </w:r>
      <w:r w:rsidR="00190923" w:rsidRPr="00981405">
        <w:t xml:space="preserve"> </w:t>
      </w:r>
      <w:r w:rsidRPr="00981405">
        <w:t>a</w:t>
      </w:r>
      <w:r w:rsidR="00190923" w:rsidRPr="00981405">
        <w:t xml:space="preserve"> </w:t>
      </w:r>
      <w:r w:rsidRPr="00981405">
        <w:t>summary</w:t>
      </w:r>
      <w:r w:rsidR="00190923" w:rsidRPr="00981405">
        <w:t xml:space="preserve"> </w:t>
      </w:r>
      <w:r w:rsidRPr="00981405">
        <w:t>of</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for</w:t>
      </w:r>
      <w:r w:rsidR="00190923" w:rsidRPr="00981405">
        <w:t xml:space="preserve"> </w:t>
      </w:r>
      <w:r w:rsidRPr="00981405">
        <w:t>the</w:t>
      </w:r>
      <w:r w:rsidR="00190923" w:rsidRPr="00981405">
        <w:t xml:space="preserve"> </w:t>
      </w:r>
      <w:r w:rsidRPr="00981405">
        <w:t>past</w:t>
      </w:r>
      <w:r w:rsidR="00190923" w:rsidRPr="00981405">
        <w:t xml:space="preserve"> </w:t>
      </w:r>
      <w:r w:rsidRPr="00981405">
        <w:t>year.</w:t>
      </w:r>
      <w:r w:rsidR="00190923" w:rsidRPr="00981405">
        <w:t xml:space="preserve"> </w:t>
      </w:r>
      <w:r w:rsidRPr="00981405">
        <w:t>Included</w:t>
      </w:r>
      <w:r w:rsidR="00190923" w:rsidRPr="00981405">
        <w:t xml:space="preserve"> </w:t>
      </w:r>
      <w:r w:rsidRPr="00981405">
        <w:t>in</w:t>
      </w:r>
      <w:r w:rsidR="00190923" w:rsidRPr="00981405">
        <w:t xml:space="preserve"> </w:t>
      </w:r>
      <w:r w:rsidRPr="00981405">
        <w:t>those</w:t>
      </w:r>
      <w:r w:rsidR="00190923" w:rsidRPr="00981405">
        <w:t xml:space="preserve"> </w:t>
      </w:r>
      <w:r w:rsidRPr="00981405">
        <w:t>summaries</w:t>
      </w:r>
      <w:r w:rsidR="00190923" w:rsidRPr="00981405">
        <w:t xml:space="preserve"> </w:t>
      </w:r>
      <w:r w:rsidRPr="00981405">
        <w:t>are</w:t>
      </w:r>
      <w:r w:rsidR="00190923" w:rsidRPr="00981405">
        <w:t xml:space="preserve"> </w:t>
      </w:r>
      <w:r w:rsidRPr="00981405">
        <w:t>decisions</w:t>
      </w:r>
      <w:r w:rsidR="00190923" w:rsidRPr="00981405">
        <w:t xml:space="preserve"> </w:t>
      </w:r>
      <w:r w:rsidRPr="00981405">
        <w:t>dealing</w:t>
      </w:r>
      <w:r w:rsidR="00190923" w:rsidRPr="00981405">
        <w:t xml:space="preserve"> </w:t>
      </w:r>
      <w:r w:rsidRPr="00981405">
        <w:t>with</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Decisions</w:t>
      </w:r>
      <w:r w:rsidR="00190923" w:rsidRPr="00981405">
        <w:t xml:space="preserve"> </w:t>
      </w:r>
      <w:r w:rsidRPr="00981405">
        <w:t>are</w:t>
      </w:r>
      <w:r w:rsidR="00190923" w:rsidRPr="00981405">
        <w:t xml:space="preserve"> </w:t>
      </w:r>
      <w:r w:rsidRPr="00981405">
        <w:t>summarized</w:t>
      </w:r>
      <w:r w:rsidR="00190923" w:rsidRPr="00981405">
        <w:t xml:space="preserve"> </w:t>
      </w:r>
      <w:r w:rsidRPr="00981405">
        <w:t>and</w:t>
      </w:r>
      <w:r w:rsidR="00190923" w:rsidRPr="00981405">
        <w:t xml:space="preserve"> </w:t>
      </w:r>
      <w:r w:rsidRPr="00981405">
        <w:t>differences</w:t>
      </w:r>
      <w:r w:rsidR="00190923" w:rsidRPr="00981405">
        <w:t xml:space="preserve"> </w:t>
      </w:r>
      <w:r w:rsidRPr="00981405">
        <w:t>between</w:t>
      </w:r>
      <w:r w:rsidR="00190923" w:rsidRPr="00981405">
        <w:t xml:space="preserve"> </w:t>
      </w:r>
      <w:r w:rsidRPr="00981405">
        <w:t>them</w:t>
      </w:r>
      <w:r w:rsidR="00190923" w:rsidRPr="00981405">
        <w:t xml:space="preserve"> </w:t>
      </w:r>
      <w:r w:rsidRPr="00981405">
        <w:t>and</w:t>
      </w:r>
      <w:r w:rsidR="00190923" w:rsidRPr="00981405">
        <w:t xml:space="preserve"> </w:t>
      </w:r>
      <w:r w:rsidRPr="00981405">
        <w:t>those</w:t>
      </w:r>
      <w:r w:rsidR="00190923" w:rsidRPr="00981405">
        <w:t xml:space="preserve"> </w:t>
      </w:r>
      <w:r w:rsidRPr="00981405">
        <w:t>of</w:t>
      </w:r>
      <w:r w:rsidR="00190923" w:rsidRPr="00981405">
        <w:t xml:space="preserve"> </w:t>
      </w:r>
      <w:r w:rsidRPr="00981405">
        <w:t>previous</w:t>
      </w:r>
      <w:r w:rsidR="00190923" w:rsidRPr="00981405">
        <w:t xml:space="preserve"> </w:t>
      </w:r>
      <w:r w:rsidRPr="00981405">
        <w:t>years</w:t>
      </w:r>
      <w:r w:rsidR="00190923" w:rsidRPr="00981405">
        <w:t xml:space="preserve"> </w:t>
      </w:r>
      <w:r w:rsidRPr="00981405">
        <w:t>noted,</w:t>
      </w:r>
      <w:r w:rsidR="00190923" w:rsidRPr="00981405">
        <w:t xml:space="preserve"> </w:t>
      </w:r>
      <w:r w:rsidRPr="00981405">
        <w:t>but</w:t>
      </w:r>
      <w:r w:rsidR="00190923" w:rsidRPr="00981405">
        <w:t xml:space="preserve"> </w:t>
      </w:r>
      <w:r w:rsidRPr="00981405">
        <w:t>the</w:t>
      </w:r>
      <w:r w:rsidR="00190923" w:rsidRPr="00981405">
        <w:t xml:space="preserve"> </w:t>
      </w:r>
      <w:r w:rsidRPr="00981405">
        <w:t>report</w:t>
      </w:r>
      <w:r w:rsidR="00190923" w:rsidRPr="00981405">
        <w:t xml:space="preserve"> </w:t>
      </w:r>
      <w:r w:rsidRPr="00981405">
        <w:t>does</w:t>
      </w:r>
      <w:r w:rsidR="00190923" w:rsidRPr="00981405">
        <w:t xml:space="preserve"> </w:t>
      </w:r>
      <w:r w:rsidRPr="00981405">
        <w:t>not</w:t>
      </w:r>
      <w:r w:rsidR="00190923" w:rsidRPr="00981405">
        <w:t xml:space="preserve"> </w:t>
      </w:r>
      <w:r w:rsidRPr="00981405">
        <w:t>analyze</w:t>
      </w:r>
      <w:r w:rsidR="00190923" w:rsidRPr="00981405">
        <w:t xml:space="preserve"> </w:t>
      </w:r>
      <w:r w:rsidRPr="00981405">
        <w:t>the</w:t>
      </w:r>
      <w:r w:rsidR="00190923" w:rsidRPr="00981405">
        <w:t xml:space="preserve"> </w:t>
      </w:r>
      <w:r w:rsidRPr="00981405">
        <w:t>interpretative</w:t>
      </w:r>
      <w:r w:rsidR="00190923" w:rsidRPr="00981405">
        <w:t xml:space="preserve"> </w:t>
      </w:r>
      <w:r w:rsidRPr="00981405">
        <w:t>approaches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p>
    <w:p w:rsidR="00397032" w:rsidRPr="00981405" w:rsidRDefault="00397032" w:rsidP="00D97463">
      <w:pPr>
        <w:pStyle w:val="SingleTxt"/>
      </w:pPr>
      <w:r w:rsidRPr="00981405">
        <w:t>27.</w:t>
      </w:r>
      <w:r w:rsidRPr="00981405">
        <w:tab/>
        <w:t>UNCTAD</w:t>
      </w:r>
      <w:r w:rsidR="00B92E2C" w:rsidRPr="00981405">
        <w:t>’</w:t>
      </w:r>
      <w:r w:rsidRPr="00981405">
        <w:t>s</w:t>
      </w:r>
      <w:r w:rsidR="00190923" w:rsidRPr="00981405">
        <w:t xml:space="preserve"> </w:t>
      </w:r>
      <w:r w:rsidRPr="00981405">
        <w:t>work</w:t>
      </w:r>
      <w:r w:rsidR="00190923" w:rsidRPr="00981405">
        <w:t xml:space="preserve"> </w:t>
      </w:r>
      <w:r w:rsidRPr="00981405">
        <w:t>on</w:t>
      </w:r>
      <w:r w:rsidR="00190923" w:rsidRPr="00981405">
        <w:t xml:space="preserve"> </w:t>
      </w:r>
      <w:r w:rsidRPr="00981405">
        <w:t>MFN</w:t>
      </w:r>
      <w:r w:rsidR="00190923" w:rsidRPr="00981405">
        <w:t xml:space="preserve"> </w:t>
      </w:r>
      <w:r w:rsidRPr="00981405">
        <w:t>provides</w:t>
      </w:r>
      <w:r w:rsidR="00190923" w:rsidRPr="00981405">
        <w:t xml:space="preserve"> </w:t>
      </w:r>
      <w:r w:rsidRPr="00981405">
        <w:t>important</w:t>
      </w:r>
      <w:r w:rsidR="00190923" w:rsidRPr="00981405">
        <w:t xml:space="preserve"> </w:t>
      </w:r>
      <w:r w:rsidRPr="00981405">
        <w:t>background</w:t>
      </w:r>
      <w:r w:rsidR="00190923" w:rsidRPr="00981405">
        <w:t xml:space="preserve"> </w:t>
      </w:r>
      <w:r w:rsidRPr="00981405">
        <w:t>and</w:t>
      </w:r>
      <w:r w:rsidR="00190923" w:rsidRPr="00981405">
        <w:t xml:space="preserve"> </w:t>
      </w:r>
      <w:r w:rsidRPr="00981405">
        <w:t>context</w:t>
      </w:r>
      <w:r w:rsidR="00190923" w:rsidRPr="00981405">
        <w:t xml:space="preserve"> </w:t>
      </w:r>
      <w:r w:rsidRPr="00981405">
        <w:t>for</w:t>
      </w:r>
      <w:r w:rsidR="00190923" w:rsidRPr="00981405">
        <w:t xml:space="preserve"> </w:t>
      </w:r>
      <w:r w:rsidRPr="00981405">
        <w:t>a</w:t>
      </w:r>
      <w:r w:rsidR="00190923" w:rsidRPr="00981405">
        <w:t xml:space="preserve"> </w:t>
      </w:r>
      <w:r w:rsidRPr="00981405">
        <w:t>consideration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It</w:t>
      </w:r>
      <w:r w:rsidR="00190923" w:rsidRPr="00981405">
        <w:t xml:space="preserve"> </w:t>
      </w:r>
      <w:r w:rsidRPr="00981405">
        <w:t>has</w:t>
      </w:r>
      <w:r w:rsidR="00190923" w:rsidRPr="00981405">
        <w:t xml:space="preserve"> </w:t>
      </w:r>
      <w:r w:rsidRPr="00981405">
        <w:t>tended</w:t>
      </w:r>
      <w:r w:rsidR="00190923" w:rsidRPr="00981405">
        <w:t xml:space="preserve"> </w:t>
      </w:r>
      <w:r w:rsidRPr="00981405">
        <w:t>to</w:t>
      </w:r>
      <w:r w:rsidR="00190923" w:rsidRPr="00981405">
        <w:t xml:space="preserve"> </w:t>
      </w:r>
      <w:r w:rsidRPr="00981405">
        <w:t>concentrate</w:t>
      </w:r>
      <w:r w:rsidR="00190923" w:rsidRPr="00981405">
        <w:t xml:space="preserve"> </w:t>
      </w:r>
      <w:r w:rsidRPr="00981405">
        <w:t>on</w:t>
      </w:r>
      <w:r w:rsidR="00190923" w:rsidRPr="00981405">
        <w:t xml:space="preserve"> </w:t>
      </w:r>
      <w:r w:rsidRPr="00981405">
        <w:t>the</w:t>
      </w:r>
      <w:r w:rsidR="00190923" w:rsidRPr="00981405">
        <w:t xml:space="preserve"> </w:t>
      </w:r>
      <w:r w:rsidRPr="00981405">
        <w:t>broad</w:t>
      </w:r>
      <w:r w:rsidR="00190923" w:rsidRPr="00981405">
        <w:t xml:space="preserve"> </w:t>
      </w:r>
      <w:r w:rsidRPr="00981405">
        <w:t>policy</w:t>
      </w:r>
      <w:r w:rsidR="00190923" w:rsidRPr="00981405">
        <w:t xml:space="preserve"> </w:t>
      </w:r>
      <w:r w:rsidRPr="00981405">
        <w:t>issues</w:t>
      </w:r>
      <w:r w:rsidR="00190923" w:rsidRPr="00981405">
        <w:t xml:space="preserve"> </w:t>
      </w:r>
      <w:r w:rsidRPr="00981405">
        <w:t>applicable</w:t>
      </w:r>
      <w:r w:rsidR="00190923" w:rsidRPr="00981405">
        <w:t xml:space="preserve"> </w:t>
      </w:r>
      <w:r w:rsidRPr="00981405">
        <w:t>to</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rather</w:t>
      </w:r>
      <w:r w:rsidR="00190923" w:rsidRPr="00981405">
        <w:t xml:space="preserve"> </w:t>
      </w:r>
      <w:r w:rsidRPr="00981405">
        <w:t>than</w:t>
      </w:r>
      <w:r w:rsidR="00190923" w:rsidRPr="00981405">
        <w:t xml:space="preserve"> </w:t>
      </w:r>
      <w:r w:rsidRPr="00981405">
        <w:t>on</w:t>
      </w:r>
      <w:r w:rsidR="00190923" w:rsidRPr="00981405">
        <w:t xml:space="preserve"> </w:t>
      </w:r>
      <w:r w:rsidRPr="00981405">
        <w:t>questions</w:t>
      </w:r>
      <w:r w:rsidR="00190923" w:rsidRPr="00981405">
        <w:t xml:space="preserve"> </w:t>
      </w:r>
      <w:r w:rsidRPr="00981405">
        <w:t>of</w:t>
      </w:r>
      <w:r w:rsidR="00190923" w:rsidRPr="00981405">
        <w:t xml:space="preserve"> </w:t>
      </w:r>
      <w:r w:rsidRPr="00981405">
        <w:t>customary</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that</w:t>
      </w:r>
      <w:r w:rsidR="00190923" w:rsidRPr="00981405">
        <w:t xml:space="preserve"> </w:t>
      </w:r>
      <w:r w:rsidRPr="00981405">
        <w:t>are</w:t>
      </w:r>
      <w:r w:rsidR="00190923" w:rsidRPr="00981405">
        <w:t xml:space="preserve"> </w:t>
      </w:r>
      <w:r w:rsidRPr="00981405">
        <w:t>the</w:t>
      </w:r>
      <w:r w:rsidR="00190923" w:rsidRPr="00981405">
        <w:t xml:space="preserve"> </w:t>
      </w:r>
      <w:r w:rsidRPr="00981405">
        <w:t>focus</w:t>
      </w:r>
      <w:r w:rsidR="00190923" w:rsidRPr="00981405">
        <w:t xml:space="preserve"> </w:t>
      </w:r>
      <w:r w:rsidRPr="00981405">
        <w:t>of</w:t>
      </w:r>
      <w:r w:rsidR="00190923" w:rsidRPr="00981405">
        <w:t xml:space="preserve"> </w:t>
      </w:r>
      <w:r w:rsidRPr="00981405">
        <w:t>the</w:t>
      </w:r>
      <w:r w:rsidR="00190923" w:rsidRPr="00981405">
        <w:t xml:space="preserve"> </w:t>
      </w:r>
      <w:r w:rsidRPr="00981405">
        <w:t>work</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p>
    <w:p w:rsidR="006644A9" w:rsidRPr="00D97463" w:rsidRDefault="006644A9" w:rsidP="00D97463">
      <w:pPr>
        <w:pStyle w:val="SingleTxt"/>
        <w:spacing w:after="0" w:line="120" w:lineRule="exact"/>
        <w:rPr>
          <w:sz w:val="10"/>
        </w:rPr>
      </w:pPr>
    </w:p>
    <w:p w:rsidR="00397032" w:rsidRPr="00D97463" w:rsidRDefault="00397032" w:rsidP="00D97463">
      <w:pPr>
        <w:pStyle w:val="H23"/>
        <w:ind w:right="1260"/>
      </w:pPr>
      <w:bookmarkStart w:id="208" w:name="_Toc294353664"/>
      <w:r w:rsidRPr="00D97463">
        <w:tab/>
      </w:r>
      <w:bookmarkStart w:id="209" w:name="_Toc427938169"/>
      <w:r w:rsidRPr="00D97463">
        <w:t>2.</w:t>
      </w:r>
      <w:r w:rsidRPr="00D97463">
        <w:tab/>
        <w:t>OECD</w:t>
      </w:r>
      <w:bookmarkEnd w:id="206"/>
      <w:bookmarkEnd w:id="208"/>
      <w:bookmarkEnd w:id="209"/>
    </w:p>
    <w:p w:rsidR="006644A9" w:rsidRPr="00D97463" w:rsidRDefault="006644A9" w:rsidP="00D97463">
      <w:pPr>
        <w:pStyle w:val="SingleTxt"/>
        <w:spacing w:after="0" w:line="120" w:lineRule="exact"/>
        <w:rPr>
          <w:sz w:val="10"/>
        </w:rPr>
      </w:pPr>
    </w:p>
    <w:p w:rsidR="00397032" w:rsidRPr="00981405" w:rsidRDefault="00397032" w:rsidP="00D97463">
      <w:pPr>
        <w:pStyle w:val="SingleTxt"/>
        <w:rPr>
          <w:rFonts w:eastAsia="SimSun"/>
        </w:rPr>
      </w:pPr>
      <w:r w:rsidRPr="00981405">
        <w:rPr>
          <w:rFonts w:eastAsia="SimSun"/>
        </w:rPr>
        <w:t>28.</w:t>
      </w:r>
      <w:r w:rsidRPr="00981405">
        <w:rPr>
          <w:rFonts w:eastAsia="SimSun"/>
        </w:rPr>
        <w:tab/>
        <w:t>The</w:t>
      </w:r>
      <w:r w:rsidR="00190923" w:rsidRPr="00981405">
        <w:rPr>
          <w:rFonts w:eastAsia="SimSun"/>
        </w:rPr>
        <w:t xml:space="preserve"> </w:t>
      </w:r>
      <w:r w:rsidRPr="00981405">
        <w:rPr>
          <w:rFonts w:eastAsia="SimSun"/>
        </w:rPr>
        <w:t>primary</w:t>
      </w:r>
      <w:r w:rsidR="00190923" w:rsidRPr="00981405">
        <w:rPr>
          <w:rFonts w:eastAsia="SimSun"/>
        </w:rPr>
        <w:t xml:space="preserve"> </w:t>
      </w:r>
      <w:r w:rsidRPr="00981405">
        <w:rPr>
          <w:rFonts w:eastAsia="SimSun"/>
        </w:rPr>
        <w:t>role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OECD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drafting</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instruments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facilitate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members</w:t>
      </w:r>
      <w:r w:rsidR="00190923" w:rsidRPr="00981405">
        <w:rPr>
          <w:rFonts w:eastAsia="SimSun"/>
        </w:rPr>
        <w:t xml:space="preserve"> </w:t>
      </w:r>
      <w:r w:rsidRPr="00981405">
        <w:rPr>
          <w:rFonts w:eastAsia="SimSun"/>
        </w:rPr>
        <w:t>may</w:t>
      </w:r>
      <w:r w:rsidR="00190923" w:rsidRPr="00981405">
        <w:rPr>
          <w:rFonts w:eastAsia="SimSun"/>
        </w:rPr>
        <w:t xml:space="preserve"> </w:t>
      </w:r>
      <w:r w:rsidRPr="00981405">
        <w:rPr>
          <w:rFonts w:eastAsia="SimSun"/>
        </w:rPr>
        <w:t>become</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instruments</w:t>
      </w:r>
      <w:r w:rsidR="00190923" w:rsidRPr="00981405">
        <w:rPr>
          <w:rFonts w:eastAsia="SimSun"/>
        </w:rPr>
        <w:t xml:space="preserve"> </w:t>
      </w:r>
      <w:r w:rsidRPr="00981405">
        <w:rPr>
          <w:rFonts w:eastAsia="SimSun"/>
        </w:rPr>
        <w:t>contain</w:t>
      </w:r>
      <w:r w:rsidR="00190923" w:rsidRPr="00981405">
        <w:rPr>
          <w:rFonts w:eastAsia="SimSun"/>
        </w:rPr>
        <w:t xml:space="preserve"> </w:t>
      </w:r>
      <w:r w:rsidRPr="00981405">
        <w:rPr>
          <w:rFonts w:eastAsia="SimSun"/>
        </w:rPr>
        <w:t>obligations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non-discrimination,</w:t>
      </w:r>
      <w:r w:rsidR="00190923" w:rsidRPr="00981405">
        <w:rPr>
          <w:rFonts w:eastAsia="SimSun"/>
        </w:rPr>
        <w:t xml:space="preserve"> </w:t>
      </w:r>
      <w:r w:rsidRPr="00981405">
        <w:rPr>
          <w:rFonts w:eastAsia="SimSun"/>
        </w:rPr>
        <w:t>including</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expressed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form</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p>
    <w:p w:rsidR="00397032" w:rsidRPr="00981405" w:rsidRDefault="00397032" w:rsidP="00D97463">
      <w:pPr>
        <w:pStyle w:val="SingleTxt"/>
      </w:pPr>
      <w:r w:rsidRPr="00981405">
        <w:rPr>
          <w:rFonts w:eastAsia="SimSun"/>
        </w:rPr>
        <w:t>29.</w:t>
      </w:r>
      <w:r w:rsidRPr="00981405">
        <w:rPr>
          <w:rFonts w:eastAsia="SimSun"/>
        </w:rPr>
        <w:tab/>
        <w:t>The</w:t>
      </w:r>
      <w:r w:rsidR="00190923" w:rsidRPr="00981405">
        <w:rPr>
          <w:rFonts w:eastAsia="SimSun"/>
        </w:rPr>
        <w:t xml:space="preserve"> </w:t>
      </w:r>
      <w:r w:rsidRPr="00981405">
        <w:t>OECD</w:t>
      </w:r>
      <w:r w:rsidR="00190923" w:rsidRPr="00981405">
        <w:t xml:space="preserve"> </w:t>
      </w:r>
      <w:r w:rsidRPr="00981405">
        <w:t>Code</w:t>
      </w:r>
      <w:r w:rsidR="00190923" w:rsidRPr="00981405">
        <w:t xml:space="preserve"> </w:t>
      </w:r>
      <w:r w:rsidRPr="00981405">
        <w:t>of</w:t>
      </w:r>
      <w:r w:rsidR="00190923" w:rsidRPr="00981405">
        <w:t xml:space="preserve"> </w:t>
      </w:r>
      <w:r w:rsidRPr="00981405">
        <w:t>Liberalisation</w:t>
      </w:r>
      <w:r w:rsidR="00190923" w:rsidRPr="00981405">
        <w:t xml:space="preserve"> </w:t>
      </w:r>
      <w:r w:rsidRPr="00981405">
        <w:t>of</w:t>
      </w:r>
      <w:r w:rsidR="00190923" w:rsidRPr="00981405">
        <w:t xml:space="preserve"> </w:t>
      </w:r>
      <w:r w:rsidRPr="00981405">
        <w:t>Capital</w:t>
      </w:r>
      <w:r w:rsidR="00190923" w:rsidRPr="00981405">
        <w:t xml:space="preserve"> </w:t>
      </w:r>
      <w:r w:rsidRPr="00981405">
        <w:t>Movements,</w:t>
      </w:r>
      <w:r w:rsidR="00190923" w:rsidRPr="00981405">
        <w:t xml:space="preserve"> </w:t>
      </w:r>
      <w:r w:rsidRPr="00981405">
        <w:t>which</w:t>
      </w:r>
      <w:r w:rsidR="00190923" w:rsidRPr="00981405">
        <w:t xml:space="preserve"> </w:t>
      </w:r>
      <w:r w:rsidRPr="00981405">
        <w:t>covers</w:t>
      </w:r>
      <w:r w:rsidR="00190923" w:rsidRPr="00981405">
        <w:t xml:space="preserve"> </w:t>
      </w:r>
      <w:r w:rsidRPr="00981405">
        <w:t>direct</w:t>
      </w:r>
      <w:r w:rsidR="00190923" w:rsidRPr="00981405">
        <w:t xml:space="preserve"> </w:t>
      </w:r>
      <w:r w:rsidRPr="00981405">
        <w:t>investment</w:t>
      </w:r>
      <w:r w:rsidR="00190923" w:rsidRPr="00981405">
        <w:t xml:space="preserve"> </w:t>
      </w:r>
      <w:r w:rsidRPr="00981405">
        <w:t>and</w:t>
      </w:r>
      <w:r w:rsidR="00190923" w:rsidRPr="00981405">
        <w:t xml:space="preserve"> </w:t>
      </w:r>
      <w:r w:rsidRPr="00981405">
        <w:t>establishment,</w:t>
      </w:r>
      <w:r w:rsidR="00190923" w:rsidRPr="00981405">
        <w:t xml:space="preserve"> </w:t>
      </w:r>
      <w:r w:rsidRPr="00981405">
        <w:t>and</w:t>
      </w:r>
      <w:r w:rsidR="00190923" w:rsidRPr="00981405">
        <w:t xml:space="preserve"> </w:t>
      </w:r>
      <w:r w:rsidRPr="00981405">
        <w:t>the</w:t>
      </w:r>
      <w:r w:rsidR="00190923" w:rsidRPr="00981405">
        <w:t xml:space="preserve"> </w:t>
      </w:r>
      <w:r w:rsidRPr="00981405">
        <w:t>OECD</w:t>
      </w:r>
      <w:r w:rsidR="00190923" w:rsidRPr="00981405">
        <w:t xml:space="preserve"> </w:t>
      </w:r>
      <w:r w:rsidRPr="00981405">
        <w:t>Code</w:t>
      </w:r>
      <w:r w:rsidR="00190923" w:rsidRPr="00981405">
        <w:t xml:space="preserve"> </w:t>
      </w:r>
      <w:r w:rsidRPr="00981405">
        <w:t>of</w:t>
      </w:r>
      <w:r w:rsidR="00190923" w:rsidRPr="00981405">
        <w:t xml:space="preserve"> </w:t>
      </w:r>
      <w:r w:rsidRPr="00981405">
        <w:t>Liberalisation</w:t>
      </w:r>
      <w:r w:rsidR="00190923" w:rsidRPr="00981405">
        <w:t xml:space="preserve"> </w:t>
      </w:r>
      <w:r w:rsidRPr="00981405">
        <w:t>of</w:t>
      </w:r>
      <w:r w:rsidR="00190923" w:rsidRPr="00981405">
        <w:t xml:space="preserve"> </w:t>
      </w:r>
      <w:r w:rsidRPr="00981405">
        <w:t>Invisible</w:t>
      </w:r>
      <w:r w:rsidR="00190923" w:rsidRPr="00981405">
        <w:t xml:space="preserve"> </w:t>
      </w:r>
      <w:r w:rsidRPr="00981405">
        <w:t>Operations,</w:t>
      </w:r>
      <w:r w:rsidR="00190923" w:rsidRPr="00981405">
        <w:t xml:space="preserve"> </w:t>
      </w:r>
      <w:r w:rsidRPr="00981405">
        <w:t>which</w:t>
      </w:r>
      <w:r w:rsidR="00190923" w:rsidRPr="00981405">
        <w:t xml:space="preserve"> </w:t>
      </w:r>
      <w:r w:rsidRPr="00981405">
        <w:t>covers</w:t>
      </w:r>
      <w:r w:rsidR="00190923" w:rsidRPr="00981405">
        <w:t xml:space="preserve"> </w:t>
      </w:r>
      <w:r w:rsidRPr="00981405">
        <w:t>services,</w:t>
      </w:r>
      <w:r w:rsidR="00190923" w:rsidRPr="00981405">
        <w:t xml:space="preserve"> </w:t>
      </w:r>
      <w:r w:rsidRPr="00981405">
        <w:t>both</w:t>
      </w:r>
      <w:r w:rsidR="00190923" w:rsidRPr="00981405">
        <w:t xml:space="preserve"> </w:t>
      </w:r>
      <w:r w:rsidRPr="00981405">
        <w:t>contain</w:t>
      </w:r>
      <w:r w:rsidR="00190923" w:rsidRPr="00981405">
        <w:t xml:space="preserve"> </w:t>
      </w:r>
      <w:r w:rsidRPr="00981405">
        <w:t>an</w:t>
      </w:r>
      <w:r w:rsidR="00190923" w:rsidRPr="00981405">
        <w:t xml:space="preserve"> </w:t>
      </w:r>
      <w:r w:rsidRPr="00981405">
        <w:t>obligation</w:t>
      </w:r>
      <w:r w:rsidR="00190923" w:rsidRPr="00981405">
        <w:t xml:space="preserve"> </w:t>
      </w:r>
      <w:r w:rsidRPr="00981405">
        <w:t>of</w:t>
      </w:r>
      <w:r w:rsidR="00190923" w:rsidRPr="00981405">
        <w:t xml:space="preserve"> </w:t>
      </w:r>
      <w:r w:rsidRPr="00981405">
        <w:t>non-discrimination.</w:t>
      </w:r>
      <w:r w:rsidR="00190923" w:rsidRPr="00981405">
        <w:t xml:space="preserve"> </w:t>
      </w:r>
      <w:r w:rsidRPr="00981405">
        <w:t>Although</w:t>
      </w:r>
      <w:r w:rsidR="00190923" w:rsidRPr="00981405">
        <w:t xml:space="preserve"> </w:t>
      </w:r>
      <w:r w:rsidRPr="00981405">
        <w:t>not</w:t>
      </w:r>
      <w:r w:rsidR="00190923" w:rsidRPr="00981405">
        <w:t xml:space="preserve"> </w:t>
      </w:r>
      <w:r w:rsidRPr="00981405">
        <w:t>worded</w:t>
      </w:r>
      <w:r w:rsidR="00190923" w:rsidRPr="00981405">
        <w:t xml:space="preserve"> </w:t>
      </w:r>
      <w:r w:rsidRPr="00981405">
        <w:t>in</w:t>
      </w:r>
      <w:r w:rsidR="00190923" w:rsidRPr="00981405">
        <w:t xml:space="preserve"> </w:t>
      </w:r>
      <w:r w:rsidRPr="00981405">
        <w:t>traditional</w:t>
      </w:r>
      <w:r w:rsidR="00190923" w:rsidRPr="00981405">
        <w:t xml:space="preserve"> </w:t>
      </w:r>
      <w:r w:rsidRPr="00981405">
        <w:t>MFN</w:t>
      </w:r>
      <w:r w:rsidR="00190923" w:rsidRPr="00981405">
        <w:t xml:space="preserve"> </w:t>
      </w:r>
      <w:r w:rsidRPr="00981405">
        <w:t>language,</w:t>
      </w:r>
      <w:r w:rsidR="00190923" w:rsidRPr="00981405">
        <w:t xml:space="preserve"> </w:t>
      </w:r>
      <w:r w:rsidRPr="00981405">
        <w:t>this</w:t>
      </w:r>
      <w:r w:rsidR="00190923" w:rsidRPr="00981405">
        <w:t xml:space="preserve"> </w:t>
      </w:r>
      <w:r w:rsidRPr="00981405">
        <w:t>obligation</w:t>
      </w:r>
      <w:r w:rsidR="00190923" w:rsidRPr="00981405">
        <w:t xml:space="preserve"> </w:t>
      </w:r>
      <w:r w:rsidRPr="00981405">
        <w:t>is</w:t>
      </w:r>
      <w:r w:rsidR="00190923" w:rsidRPr="00981405">
        <w:t xml:space="preserve"> </w:t>
      </w:r>
      <w:r w:rsidRPr="00981405">
        <w:t>regarded</w:t>
      </w:r>
      <w:r w:rsidR="00190923" w:rsidRPr="00981405">
        <w:t xml:space="preserve"> </w:t>
      </w:r>
      <w:r w:rsidRPr="00981405">
        <w:t>by</w:t>
      </w:r>
      <w:r w:rsidR="00190923" w:rsidRPr="00981405">
        <w:t xml:space="preserve"> </w:t>
      </w:r>
      <w:r w:rsidRPr="00981405">
        <w:t>OECD</w:t>
      </w:r>
      <w:r w:rsidR="00190923" w:rsidRPr="00981405">
        <w:t xml:space="preserve"> </w:t>
      </w:r>
      <w:r w:rsidRPr="00981405">
        <w:t>as</w:t>
      </w:r>
      <w:r w:rsidR="00190923" w:rsidRPr="00981405">
        <w:t xml:space="preserve"> </w:t>
      </w:r>
      <w:r w:rsidRPr="00981405">
        <w:t>a</w:t>
      </w:r>
      <w:r w:rsidR="00190923" w:rsidRPr="00981405">
        <w:t xml:space="preserve"> </w:t>
      </w:r>
      <w:r w:rsidRPr="00981405">
        <w:t>functional</w:t>
      </w:r>
      <w:r w:rsidR="00190923" w:rsidRPr="00981405">
        <w:t xml:space="preserve"> </w:t>
      </w:r>
      <w:r w:rsidRPr="00981405">
        <w:t>equivalent</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Common</w:t>
      </w:r>
      <w:r w:rsidR="00190923" w:rsidRPr="00981405">
        <w:t xml:space="preserve"> </w:t>
      </w:r>
      <w:r w:rsidRPr="00981405">
        <w:t>article</w:t>
      </w:r>
      <w:r w:rsidR="00190923" w:rsidRPr="00981405">
        <w:t xml:space="preserve"> </w:t>
      </w:r>
      <w:r w:rsidRPr="00981405">
        <w:t>9</w:t>
      </w:r>
      <w:r w:rsidR="00190923" w:rsidRPr="00981405">
        <w:t xml:space="preserve"> </w:t>
      </w:r>
      <w:r w:rsidRPr="00981405">
        <w:t>of</w:t>
      </w:r>
      <w:r w:rsidR="00190923" w:rsidRPr="00981405">
        <w:t xml:space="preserve"> </w:t>
      </w:r>
      <w:r w:rsidRPr="00981405">
        <w:t>the</w:t>
      </w:r>
      <w:r w:rsidR="00190923" w:rsidRPr="00981405">
        <w:t xml:space="preserve"> </w:t>
      </w:r>
      <w:r w:rsidRPr="00981405">
        <w:t>Codes</w:t>
      </w:r>
      <w:r w:rsidR="00190923" w:rsidRPr="00981405">
        <w:t xml:space="preserve"> </w:t>
      </w:r>
      <w:r w:rsidRPr="00981405">
        <w:t>provides:</w:t>
      </w:r>
      <w:r w:rsidR="00190923" w:rsidRPr="00981405">
        <w:t xml:space="preserve"> </w:t>
      </w:r>
    </w:p>
    <w:p w:rsidR="00397032" w:rsidRPr="00981405" w:rsidRDefault="00B92E2C" w:rsidP="00D97463">
      <w:pPr>
        <w:pStyle w:val="SingleTxt"/>
        <w:ind w:left="1742"/>
        <w:rPr>
          <w:rFonts w:eastAsia="SimSun"/>
        </w:rPr>
      </w:pPr>
      <w:r w:rsidRPr="00981405">
        <w:lastRenderedPageBreak/>
        <w:t>“</w:t>
      </w:r>
      <w:r w:rsidR="00397032" w:rsidRPr="00981405">
        <w:t>A</w:t>
      </w:r>
      <w:r w:rsidR="00190923" w:rsidRPr="00981405">
        <w:t xml:space="preserve"> </w:t>
      </w:r>
      <w:r w:rsidR="00397032" w:rsidRPr="00981405">
        <w:t>Member</w:t>
      </w:r>
      <w:r w:rsidR="00190923" w:rsidRPr="00981405">
        <w:t xml:space="preserve"> </w:t>
      </w:r>
      <w:r w:rsidR="00397032" w:rsidRPr="00981405">
        <w:t>shall</w:t>
      </w:r>
      <w:r w:rsidR="00190923" w:rsidRPr="00981405">
        <w:t xml:space="preserve"> </w:t>
      </w:r>
      <w:r w:rsidR="00397032" w:rsidRPr="00981405">
        <w:t>not</w:t>
      </w:r>
      <w:r w:rsidR="00190923" w:rsidRPr="00981405">
        <w:t xml:space="preserve"> </w:t>
      </w:r>
      <w:r w:rsidR="00397032" w:rsidRPr="00981405">
        <w:t>discriminate</w:t>
      </w:r>
      <w:r w:rsidR="00190923" w:rsidRPr="00981405">
        <w:t xml:space="preserve"> </w:t>
      </w:r>
      <w:r w:rsidR="00397032" w:rsidRPr="00981405">
        <w:t>between</w:t>
      </w:r>
      <w:r w:rsidR="00190923" w:rsidRPr="00981405">
        <w:t xml:space="preserve"> </w:t>
      </w:r>
      <w:r w:rsidR="00397032" w:rsidRPr="00981405">
        <w:t>other</w:t>
      </w:r>
      <w:r w:rsidR="00190923" w:rsidRPr="00981405">
        <w:t xml:space="preserve"> </w:t>
      </w:r>
      <w:r w:rsidR="00397032" w:rsidRPr="00981405">
        <w:t>Members</w:t>
      </w:r>
      <w:r w:rsidR="00190923" w:rsidRPr="00981405">
        <w:t xml:space="preserve"> </w:t>
      </w:r>
      <w:r w:rsidR="00397032" w:rsidRPr="00981405">
        <w:t>in</w:t>
      </w:r>
      <w:r w:rsidR="00190923" w:rsidRPr="00981405">
        <w:t xml:space="preserve"> </w:t>
      </w:r>
      <w:r w:rsidR="00397032" w:rsidRPr="00981405">
        <w:t>authorising</w:t>
      </w:r>
      <w:r w:rsidR="00190923" w:rsidRPr="00981405">
        <w:t xml:space="preserve"> </w:t>
      </w:r>
      <w:r w:rsidR="00397032" w:rsidRPr="00981405">
        <w:t>the</w:t>
      </w:r>
      <w:r w:rsidR="00190923" w:rsidRPr="00981405">
        <w:t xml:space="preserve"> </w:t>
      </w:r>
      <w:r w:rsidR="00397032" w:rsidRPr="00981405">
        <w:t>conclusion</w:t>
      </w:r>
      <w:r w:rsidR="00190923" w:rsidRPr="00981405">
        <w:t xml:space="preserve"> </w:t>
      </w:r>
      <w:r w:rsidR="00397032" w:rsidRPr="00981405">
        <w:t>and</w:t>
      </w:r>
      <w:r w:rsidR="00190923" w:rsidRPr="00981405">
        <w:t xml:space="preserve"> </w:t>
      </w:r>
      <w:r w:rsidR="00397032" w:rsidRPr="00981405">
        <w:t>execution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transactions</w:t>
      </w:r>
      <w:r w:rsidR="00190923" w:rsidRPr="00981405">
        <w:t xml:space="preserve"> </w:t>
      </w:r>
      <w:r w:rsidR="00397032" w:rsidRPr="00981405">
        <w:t>and</w:t>
      </w:r>
      <w:r w:rsidR="00190923" w:rsidRPr="00981405">
        <w:t xml:space="preserve"> </w:t>
      </w:r>
      <w:r w:rsidR="00397032" w:rsidRPr="00981405">
        <w:t>transfers</w:t>
      </w:r>
      <w:r w:rsidR="00190923" w:rsidRPr="00981405">
        <w:t xml:space="preserve"> </w:t>
      </w:r>
      <w:r w:rsidR="00397032" w:rsidRPr="00981405">
        <w:t>which</w:t>
      </w:r>
      <w:r w:rsidR="00190923" w:rsidRPr="00981405">
        <w:t xml:space="preserve"> </w:t>
      </w:r>
      <w:r w:rsidR="00397032" w:rsidRPr="00981405">
        <w:t>are</w:t>
      </w:r>
      <w:r w:rsidR="00190923" w:rsidRPr="00981405">
        <w:t xml:space="preserve"> </w:t>
      </w:r>
      <w:r w:rsidR="00397032" w:rsidRPr="00981405">
        <w:t>listed</w:t>
      </w:r>
      <w:r w:rsidR="00190923" w:rsidRPr="00981405">
        <w:t xml:space="preserve"> </w:t>
      </w:r>
      <w:r w:rsidR="00397032" w:rsidRPr="00981405">
        <w:t>in</w:t>
      </w:r>
      <w:r w:rsidR="00190923" w:rsidRPr="00981405">
        <w:t xml:space="preserve"> </w:t>
      </w:r>
      <w:r w:rsidR="00397032" w:rsidRPr="00981405">
        <w:rPr>
          <w:rFonts w:eastAsia="SimSun"/>
        </w:rPr>
        <w:t>Annex</w:t>
      </w:r>
      <w:r w:rsidR="00190923" w:rsidRPr="00981405">
        <w:t xml:space="preserve"> </w:t>
      </w:r>
      <w:r w:rsidR="00397032" w:rsidRPr="00981405">
        <w:t>A</w:t>
      </w:r>
      <w:r w:rsidR="00190923" w:rsidRPr="00981405">
        <w:t xml:space="preserve"> </w:t>
      </w:r>
      <w:r w:rsidR="00397032" w:rsidRPr="00981405">
        <w:t>and</w:t>
      </w:r>
      <w:r w:rsidR="00190923" w:rsidRPr="00981405">
        <w:t xml:space="preserve"> </w:t>
      </w:r>
      <w:r w:rsidR="00397032" w:rsidRPr="00981405">
        <w:t>which</w:t>
      </w:r>
      <w:r w:rsidR="00190923" w:rsidRPr="00981405">
        <w:t xml:space="preserve"> </w:t>
      </w:r>
      <w:r w:rsidR="00397032" w:rsidRPr="00981405">
        <w:t>are</w:t>
      </w:r>
      <w:r w:rsidR="00190923" w:rsidRPr="00981405">
        <w:t xml:space="preserve"> </w:t>
      </w:r>
      <w:r w:rsidR="00397032" w:rsidRPr="00981405">
        <w:t>subject</w:t>
      </w:r>
      <w:r w:rsidR="00190923" w:rsidRPr="00981405">
        <w:t xml:space="preserve"> </w:t>
      </w:r>
      <w:r w:rsidR="00397032" w:rsidRPr="00981405">
        <w:t>to</w:t>
      </w:r>
      <w:r w:rsidR="00190923" w:rsidRPr="00981405">
        <w:t xml:space="preserve"> </w:t>
      </w:r>
      <w:r w:rsidR="00397032" w:rsidRPr="00981405">
        <w:t>any</w:t>
      </w:r>
      <w:r w:rsidR="00190923" w:rsidRPr="00981405">
        <w:t xml:space="preserve"> </w:t>
      </w:r>
      <w:r w:rsidR="00397032" w:rsidRPr="00981405">
        <w:t>degree</w:t>
      </w:r>
      <w:r w:rsidR="00190923" w:rsidRPr="00981405">
        <w:t xml:space="preserve"> </w:t>
      </w:r>
      <w:r w:rsidR="00397032" w:rsidRPr="00981405">
        <w:t>of</w:t>
      </w:r>
      <w:r w:rsidR="00190923" w:rsidRPr="00981405">
        <w:t xml:space="preserve"> </w:t>
      </w:r>
      <w:r w:rsidR="00397032" w:rsidRPr="00981405">
        <w:t>liberalisation.</w:t>
      </w:r>
      <w:r w:rsidRPr="00981405">
        <w:t>”</w:t>
      </w:r>
    </w:p>
    <w:p w:rsidR="00397032" w:rsidRPr="00981405" w:rsidRDefault="00397032" w:rsidP="00D97463">
      <w:pPr>
        <w:pStyle w:val="SingleTxt"/>
        <w:rPr>
          <w:rFonts w:eastAsia="SimSun"/>
        </w:rPr>
      </w:pPr>
      <w:r w:rsidRPr="00981405">
        <w:rPr>
          <w:rFonts w:eastAsia="SimSun"/>
        </w:rPr>
        <w:t>30.</w:t>
      </w:r>
      <w:r w:rsidRPr="00981405">
        <w:rPr>
          <w:rFonts w:eastAsia="SimSun"/>
        </w:rPr>
        <w:tab/>
        <w:t>In</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guide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Codes,</w:t>
      </w:r>
      <w:r w:rsidR="00190923" w:rsidRPr="00981405">
        <w:rPr>
          <w:rFonts w:eastAsia="SimSun"/>
        </w:rPr>
        <w:t xml:space="preserve"> </w:t>
      </w:r>
      <w:r w:rsidRPr="00981405">
        <w:rPr>
          <w:rFonts w:eastAsia="SimSun"/>
        </w:rPr>
        <w:t>OECD</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written:</w:t>
      </w:r>
      <w:r w:rsidRPr="00981405">
        <w:rPr>
          <w:rStyle w:val="FootnoteReference"/>
        </w:rPr>
        <w:footnoteReference w:id="445"/>
      </w:r>
    </w:p>
    <w:p w:rsidR="00397032" w:rsidRPr="00981405" w:rsidRDefault="006644A9" w:rsidP="00D97463">
      <w:pPr>
        <w:pStyle w:val="SingleTxt"/>
        <w:ind w:left="1742"/>
        <w:rPr>
          <w:rFonts w:eastAsia="SimSun"/>
        </w:rPr>
      </w:pPr>
      <w:r w:rsidRPr="00981405">
        <w:t xml:space="preserve"> </w:t>
      </w:r>
      <w:r w:rsidR="00B92E2C" w:rsidRPr="00981405">
        <w:t>“</w:t>
      </w:r>
      <w:r w:rsidR="00397032" w:rsidRPr="00981405">
        <w:t>OECD</w:t>
      </w:r>
      <w:r w:rsidR="00190923" w:rsidRPr="00981405">
        <w:t xml:space="preserve"> </w:t>
      </w:r>
      <w:r w:rsidR="00397032" w:rsidRPr="00981405">
        <w:t>members</w:t>
      </w:r>
      <w:r w:rsidR="00190923" w:rsidRPr="00981405">
        <w:t xml:space="preserve"> </w:t>
      </w:r>
      <w:r w:rsidR="00397032" w:rsidRPr="00981405">
        <w:t>are</w:t>
      </w:r>
      <w:r w:rsidR="00190923" w:rsidRPr="00981405">
        <w:t xml:space="preserve"> </w:t>
      </w:r>
      <w:r w:rsidR="00397032" w:rsidRPr="00981405">
        <w:t>expected</w:t>
      </w:r>
      <w:r w:rsidR="00190923" w:rsidRPr="00981405">
        <w:t xml:space="preserve"> </w:t>
      </w:r>
      <w:r w:rsidR="00397032" w:rsidRPr="00981405">
        <w:t>to</w:t>
      </w:r>
      <w:r w:rsidR="00190923" w:rsidRPr="00981405">
        <w:t xml:space="preserve"> </w:t>
      </w:r>
      <w:r w:rsidR="00397032" w:rsidRPr="00981405">
        <w:t>grant</w:t>
      </w:r>
      <w:r w:rsidR="00190923" w:rsidRPr="00981405">
        <w:t xml:space="preserve"> </w:t>
      </w:r>
      <w:r w:rsidR="00397032" w:rsidRPr="00981405">
        <w:t>the</w:t>
      </w:r>
      <w:r w:rsidR="00190923" w:rsidRPr="00981405">
        <w:t xml:space="preserve"> </w:t>
      </w:r>
      <w:r w:rsidR="00397032" w:rsidRPr="00981405">
        <w:t>benefit</w:t>
      </w:r>
      <w:r w:rsidR="00190923" w:rsidRPr="00981405">
        <w:t xml:space="preserve"> </w:t>
      </w:r>
      <w:r w:rsidR="00397032" w:rsidRPr="00981405">
        <w:t>of</w:t>
      </w:r>
      <w:r w:rsidR="00190923" w:rsidRPr="00981405">
        <w:t xml:space="preserve"> </w:t>
      </w:r>
      <w:r w:rsidR="00397032" w:rsidRPr="00981405">
        <w:t>open</w:t>
      </w:r>
      <w:r w:rsidR="00190923" w:rsidRPr="00981405">
        <w:t xml:space="preserve"> </w:t>
      </w:r>
      <w:r w:rsidR="00397032" w:rsidRPr="00981405">
        <w:t>markets</w:t>
      </w:r>
      <w:r w:rsidR="00190923" w:rsidRPr="00981405">
        <w:t xml:space="preserve"> </w:t>
      </w:r>
      <w:r w:rsidR="00397032" w:rsidRPr="00981405">
        <w:t>to</w:t>
      </w:r>
      <w:r w:rsidR="00190923" w:rsidRPr="00981405">
        <w:t xml:space="preserve"> </w:t>
      </w:r>
      <w:r w:rsidR="00397032" w:rsidRPr="00981405">
        <w:t>residents</w:t>
      </w:r>
      <w:r w:rsidR="00190923" w:rsidRPr="00981405">
        <w:t xml:space="preserve"> </w:t>
      </w:r>
      <w:r w:rsidR="00397032" w:rsidRPr="00981405">
        <w:t>of</w:t>
      </w:r>
      <w:r w:rsidR="00190923" w:rsidRPr="00981405">
        <w:t xml:space="preserve"> </w:t>
      </w:r>
      <w:r w:rsidR="00397032" w:rsidRPr="00981405">
        <w:t>all</w:t>
      </w:r>
      <w:r w:rsidR="00190923" w:rsidRPr="00981405">
        <w:t xml:space="preserve"> </w:t>
      </w:r>
      <w:r w:rsidR="00397032" w:rsidRPr="00981405">
        <w:t>other</w:t>
      </w:r>
      <w:r w:rsidR="00190923" w:rsidRPr="00981405">
        <w:t xml:space="preserve"> </w:t>
      </w:r>
      <w:r w:rsidR="00397032" w:rsidRPr="00981405">
        <w:t>member</w:t>
      </w:r>
      <w:r w:rsidR="00190923" w:rsidRPr="00981405">
        <w:t xml:space="preserve"> </w:t>
      </w:r>
      <w:r w:rsidR="00397032" w:rsidRPr="00981405">
        <w:t>countries</w:t>
      </w:r>
      <w:r w:rsidR="00190923" w:rsidRPr="00981405">
        <w:t xml:space="preserve"> </w:t>
      </w:r>
      <w:r w:rsidR="00397032" w:rsidRPr="00981405">
        <w:t>alike,</w:t>
      </w:r>
      <w:r w:rsidR="00190923" w:rsidRPr="00981405">
        <w:t xml:space="preserve"> </w:t>
      </w:r>
      <w:r w:rsidR="00397032" w:rsidRPr="00981405">
        <w:t>without</w:t>
      </w:r>
      <w:r w:rsidR="00190923" w:rsidRPr="00981405">
        <w:t xml:space="preserve"> </w:t>
      </w:r>
      <w:r w:rsidR="00397032" w:rsidRPr="00981405">
        <w:t>discrimination.</w:t>
      </w:r>
      <w:r w:rsidR="00190923" w:rsidRPr="00981405">
        <w:t xml:space="preserve"> </w:t>
      </w:r>
      <w:r w:rsidR="00397032" w:rsidRPr="00981405">
        <w:t>When</w:t>
      </w:r>
      <w:r w:rsidR="00190923" w:rsidRPr="00981405">
        <w:t xml:space="preserve"> </w:t>
      </w:r>
      <w:r w:rsidR="00397032" w:rsidRPr="00981405">
        <w:t>restrictions</w:t>
      </w:r>
      <w:r w:rsidR="00190923" w:rsidRPr="00981405">
        <w:t xml:space="preserve"> </w:t>
      </w:r>
      <w:r w:rsidR="00397032" w:rsidRPr="00981405">
        <w:t>exist,</w:t>
      </w:r>
      <w:r w:rsidR="00190923" w:rsidRPr="00981405">
        <w:t xml:space="preserve"> </w:t>
      </w:r>
      <w:r w:rsidR="00397032" w:rsidRPr="00981405">
        <w:t>they</w:t>
      </w:r>
      <w:r w:rsidR="00190923" w:rsidRPr="00981405">
        <w:t xml:space="preserve"> </w:t>
      </w:r>
      <w:r w:rsidR="00397032" w:rsidRPr="00981405">
        <w:t>must</w:t>
      </w:r>
      <w:r w:rsidR="00190923" w:rsidRPr="00981405">
        <w:t xml:space="preserve"> </w:t>
      </w:r>
      <w:r w:rsidR="00397032" w:rsidRPr="00981405">
        <w:t>be</w:t>
      </w:r>
      <w:r w:rsidR="00190923" w:rsidRPr="00981405">
        <w:t xml:space="preserve"> </w:t>
      </w:r>
      <w:r w:rsidR="00397032" w:rsidRPr="00981405">
        <w:t>applied</w:t>
      </w:r>
      <w:r w:rsidR="00190923" w:rsidRPr="00981405">
        <w:t xml:space="preserve"> </w:t>
      </w:r>
      <w:r w:rsidR="00397032" w:rsidRPr="00981405">
        <w:t>to</w:t>
      </w:r>
      <w:r w:rsidR="00190923" w:rsidRPr="00981405">
        <w:t xml:space="preserve"> </w:t>
      </w:r>
      <w:r w:rsidR="00397032" w:rsidRPr="00981405">
        <w:t>everybody</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same</w:t>
      </w:r>
      <w:r w:rsidR="00190923" w:rsidRPr="00981405">
        <w:t xml:space="preserve"> </w:t>
      </w:r>
      <w:r w:rsidR="00397032" w:rsidRPr="00981405">
        <w:t>way.</w:t>
      </w:r>
      <w:r w:rsidR="00190923" w:rsidRPr="00981405">
        <w:t xml:space="preserve"> </w:t>
      </w:r>
      <w:r w:rsidR="00397032" w:rsidRPr="00981405">
        <w:t>….</w:t>
      </w:r>
      <w:r w:rsidR="00190923" w:rsidRPr="00981405">
        <w:t xml:space="preserve"> </w:t>
      </w:r>
      <w:r w:rsidR="00397032" w:rsidRPr="00981405">
        <w:t>The</w:t>
      </w:r>
      <w:r w:rsidR="00190923" w:rsidRPr="00981405">
        <w:t xml:space="preserve"> </w:t>
      </w:r>
      <w:r w:rsidR="00397032" w:rsidRPr="00981405">
        <w:t>Codes</w:t>
      </w:r>
      <w:r w:rsidR="00190923" w:rsidRPr="00981405">
        <w:t xml:space="preserve"> </w:t>
      </w:r>
      <w:r w:rsidR="00397032" w:rsidRPr="00981405">
        <w:t>do</w:t>
      </w:r>
      <w:r w:rsidR="00190923" w:rsidRPr="00981405">
        <w:t xml:space="preserve"> </w:t>
      </w:r>
      <w:r w:rsidR="00397032" w:rsidRPr="00981405">
        <w:t>not</w:t>
      </w:r>
      <w:r w:rsidR="00190923" w:rsidRPr="00981405">
        <w:t xml:space="preserve"> </w:t>
      </w:r>
      <w:r w:rsidR="00397032" w:rsidRPr="00981405">
        <w:t>permit</w:t>
      </w:r>
      <w:r w:rsidR="00190923" w:rsidRPr="00981405">
        <w:t xml:space="preserve"> </w:t>
      </w:r>
      <w:r w:rsidR="00397032" w:rsidRPr="00981405">
        <w:t>the</w:t>
      </w:r>
      <w:r w:rsidR="00190923" w:rsidRPr="00981405">
        <w:t xml:space="preserve"> </w:t>
      </w:r>
      <w:r w:rsidR="00397032" w:rsidRPr="00981405">
        <w:t>listing</w:t>
      </w:r>
      <w:r w:rsidR="00190923" w:rsidRPr="00981405">
        <w:t xml:space="preserve"> </w:t>
      </w:r>
      <w:r w:rsidR="00397032" w:rsidRPr="00981405">
        <w:t>of</w:t>
      </w:r>
      <w:r w:rsidR="00190923" w:rsidRPr="00981405">
        <w:t xml:space="preserve"> </w:t>
      </w:r>
      <w:r w:rsidR="00397032" w:rsidRPr="00981405">
        <w:t>reservations</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non-discrimination,</w:t>
      </w:r>
      <w:r w:rsidR="00190923" w:rsidRPr="00981405">
        <w:t xml:space="preserve"> </w:t>
      </w:r>
      <w:r w:rsidR="00397032" w:rsidRPr="00981405">
        <w:t>or</w:t>
      </w:r>
      <w:r w:rsidR="00190923" w:rsidRPr="00981405">
        <w:t xml:space="preserve"> </w:t>
      </w:r>
      <w:r w:rsidR="00397032" w:rsidRPr="00981405">
        <w:t>MFN,</w:t>
      </w:r>
      <w:r w:rsidR="00190923" w:rsidRPr="00981405">
        <w:t xml:space="preserve"> </w:t>
      </w:r>
      <w:r w:rsidR="00397032" w:rsidRPr="00981405">
        <w:t>principle.</w:t>
      </w:r>
      <w:r w:rsidR="00B92E2C" w:rsidRPr="00981405">
        <w:t>”</w:t>
      </w:r>
    </w:p>
    <w:p w:rsidR="00397032" w:rsidRPr="00981405" w:rsidRDefault="00397032" w:rsidP="00D97463">
      <w:pPr>
        <w:pStyle w:val="SingleTxt"/>
        <w:rPr>
          <w:rFonts w:eastAsia="SimSun"/>
        </w:rPr>
      </w:pPr>
      <w:r w:rsidRPr="00981405">
        <w:rPr>
          <w:rFonts w:eastAsia="SimSun"/>
        </w:rPr>
        <w:t>31.</w:t>
      </w:r>
      <w:r w:rsidRPr="00981405">
        <w:rPr>
          <w:rFonts w:eastAsia="SimSun"/>
        </w:rPr>
        <w:tab/>
        <w:t>The</w:t>
      </w:r>
      <w:r w:rsidR="00190923" w:rsidRPr="00981405">
        <w:rPr>
          <w:rFonts w:eastAsia="SimSun"/>
        </w:rPr>
        <w:t xml:space="preserve"> </w:t>
      </w:r>
      <w:r w:rsidRPr="00981405">
        <w:rPr>
          <w:rFonts w:eastAsia="SimSun"/>
        </w:rPr>
        <w:t>Codes</w:t>
      </w:r>
      <w:r w:rsidR="00190923" w:rsidRPr="00981405">
        <w:rPr>
          <w:rFonts w:eastAsia="SimSun"/>
        </w:rPr>
        <w:t xml:space="preserve"> </w:t>
      </w:r>
      <w:r w:rsidRPr="00981405">
        <w:rPr>
          <w:rFonts w:eastAsia="SimSun"/>
        </w:rPr>
        <w:t>contain</w:t>
      </w:r>
      <w:r w:rsidR="00190923" w:rsidRPr="00981405">
        <w:rPr>
          <w:rFonts w:eastAsia="SimSun"/>
        </w:rPr>
        <w:t xml:space="preserve"> </w:t>
      </w:r>
      <w:r w:rsidRPr="00981405">
        <w:rPr>
          <w:rFonts w:eastAsia="SimSun"/>
        </w:rPr>
        <w:t>significant</w:t>
      </w:r>
      <w:r w:rsidR="00190923" w:rsidRPr="00981405">
        <w:rPr>
          <w:rFonts w:eastAsia="SimSun"/>
        </w:rPr>
        <w:t xml:space="preserve"> </w:t>
      </w:r>
      <w:r w:rsidRPr="00981405">
        <w:rPr>
          <w:rFonts w:eastAsia="SimSun"/>
        </w:rPr>
        <w:t>exceptions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including</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members</w:t>
      </w:r>
      <w:r w:rsidR="00190923" w:rsidRPr="00981405">
        <w:rPr>
          <w:rFonts w:eastAsia="SimSun"/>
        </w:rPr>
        <w:t xml:space="preserve"> </w:t>
      </w:r>
      <w:r w:rsidRPr="00981405">
        <w:rPr>
          <w:rFonts w:eastAsia="SimSun"/>
        </w:rPr>
        <w:t>who</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part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customs</w:t>
      </w:r>
      <w:r w:rsidR="00190923" w:rsidRPr="00981405">
        <w:rPr>
          <w:rFonts w:eastAsia="SimSun"/>
        </w:rPr>
        <w:t xml:space="preserve"> </w:t>
      </w:r>
      <w:r w:rsidRPr="00981405">
        <w:rPr>
          <w:rFonts w:eastAsia="SimSun"/>
        </w:rPr>
        <w:t>union</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special</w:t>
      </w:r>
      <w:r w:rsidR="00190923" w:rsidRPr="00981405">
        <w:rPr>
          <w:rFonts w:eastAsia="SimSun"/>
        </w:rPr>
        <w:t xml:space="preserve"> </w:t>
      </w:r>
      <w:r w:rsidRPr="00981405">
        <w:rPr>
          <w:rFonts w:eastAsia="SimSun"/>
        </w:rPr>
        <w:t>monetary</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more</w:t>
      </w:r>
      <w:r w:rsidR="00190923" w:rsidRPr="00981405">
        <w:rPr>
          <w:rFonts w:eastAsia="SimSun"/>
        </w:rPr>
        <w:t xml:space="preserve"> </w:t>
      </w:r>
      <w:r w:rsidRPr="00981405">
        <w:rPr>
          <w:rFonts w:eastAsia="SimSun"/>
        </w:rPr>
        <w:t>generally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t>maintenance</w:t>
      </w:r>
      <w:r w:rsidR="00190923" w:rsidRPr="00981405">
        <w:t xml:space="preserve"> </w:t>
      </w:r>
      <w:r w:rsidRPr="00981405">
        <w:t>of</w:t>
      </w:r>
      <w:r w:rsidR="00190923" w:rsidRPr="00981405">
        <w:t xml:space="preserve"> </w:t>
      </w:r>
      <w:r w:rsidRPr="00981405">
        <w:t>public</w:t>
      </w:r>
      <w:r w:rsidR="00190923" w:rsidRPr="00981405">
        <w:t xml:space="preserve"> </w:t>
      </w:r>
      <w:r w:rsidRPr="00981405">
        <w:t>order</w:t>
      </w:r>
      <w:r w:rsidR="00190923" w:rsidRPr="00981405">
        <w:t xml:space="preserve"> </w:t>
      </w:r>
      <w:r w:rsidRPr="00981405">
        <w:t>or</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by</w:t>
      </w:r>
      <w:r w:rsidR="00190923" w:rsidRPr="00981405">
        <w:t xml:space="preserve"> </w:t>
      </w:r>
      <w:r w:rsidRPr="00981405">
        <w:t>the</w:t>
      </w:r>
      <w:r w:rsidR="00190923" w:rsidRPr="00981405">
        <w:t xml:space="preserve"> </w:t>
      </w:r>
      <w:r w:rsidRPr="00981405">
        <w:t>member</w:t>
      </w:r>
      <w:r w:rsidR="00190923" w:rsidRPr="00981405">
        <w:t xml:space="preserve"> </w:t>
      </w:r>
      <w:r w:rsidRPr="00981405">
        <w:t>of</w:t>
      </w:r>
      <w:r w:rsidR="00190923" w:rsidRPr="00981405">
        <w:t xml:space="preserve"> </w:t>
      </w:r>
      <w:r w:rsidRPr="00981405">
        <w:t>public</w:t>
      </w:r>
      <w:r w:rsidR="00190923" w:rsidRPr="00981405">
        <w:t xml:space="preserve"> </w:t>
      </w:r>
      <w:r w:rsidRPr="00981405">
        <w:t>health,</w:t>
      </w:r>
      <w:r w:rsidR="00190923" w:rsidRPr="00981405">
        <w:t xml:space="preserve"> </w:t>
      </w:r>
      <w:r w:rsidRPr="00981405">
        <w:t>morals</w:t>
      </w:r>
      <w:r w:rsidR="00190923" w:rsidRPr="00981405">
        <w:t xml:space="preserve"> </w:t>
      </w:r>
      <w:r w:rsidRPr="00981405">
        <w:t>and</w:t>
      </w:r>
      <w:r w:rsidR="00190923" w:rsidRPr="00981405">
        <w:t xml:space="preserve"> </w:t>
      </w:r>
      <w:r w:rsidRPr="00981405">
        <w:t>safety,</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the</w:t>
      </w:r>
      <w:r w:rsidR="00190923" w:rsidRPr="00981405">
        <w:t xml:space="preserve"> </w:t>
      </w:r>
      <w:r w:rsidRPr="00981405">
        <w:t>member</w:t>
      </w:r>
      <w:r w:rsidR="00B92E2C" w:rsidRPr="00981405">
        <w:t>’</w:t>
      </w:r>
      <w:r w:rsidRPr="00981405">
        <w:t>s</w:t>
      </w:r>
      <w:r w:rsidR="00190923" w:rsidRPr="00981405">
        <w:t xml:space="preserve"> </w:t>
      </w:r>
      <w:r w:rsidRPr="00981405">
        <w:t>essential</w:t>
      </w:r>
      <w:r w:rsidR="00190923" w:rsidRPr="00981405">
        <w:t xml:space="preserve"> </w:t>
      </w:r>
      <w:r w:rsidRPr="00981405">
        <w:t>security</w:t>
      </w:r>
      <w:r w:rsidR="00190923" w:rsidRPr="00981405">
        <w:t xml:space="preserve"> </w:t>
      </w:r>
      <w:r w:rsidRPr="00981405">
        <w:t>interests,</w:t>
      </w:r>
      <w:r w:rsidR="00190923" w:rsidRPr="00981405">
        <w:t xml:space="preserve"> </w:t>
      </w:r>
      <w:r w:rsidRPr="00981405">
        <w:t>or</w:t>
      </w:r>
      <w:r w:rsidR="00190923" w:rsidRPr="00981405">
        <w:t xml:space="preserve"> </w:t>
      </w:r>
      <w:r w:rsidRPr="00981405">
        <w:t>the</w:t>
      </w:r>
      <w:r w:rsidR="00190923" w:rsidRPr="00981405">
        <w:t xml:space="preserve"> </w:t>
      </w:r>
      <w:r w:rsidRPr="00981405">
        <w:t>fulfillment</w:t>
      </w:r>
      <w:r w:rsidR="00190923" w:rsidRPr="00981405">
        <w:t xml:space="preserve"> </w:t>
      </w:r>
      <w:r w:rsidRPr="00981405">
        <w:t>of</w:t>
      </w:r>
      <w:r w:rsidR="00190923" w:rsidRPr="00981405">
        <w:t xml:space="preserve"> </w:t>
      </w:r>
      <w:r w:rsidRPr="00981405">
        <w:t>its</w:t>
      </w:r>
      <w:r w:rsidR="00190923" w:rsidRPr="00981405">
        <w:t xml:space="preserve"> </w:t>
      </w:r>
      <w:r w:rsidRPr="00981405">
        <w:t>obligations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peace</w:t>
      </w:r>
      <w:r w:rsidR="00190923" w:rsidRPr="00981405">
        <w:t xml:space="preserve"> </w:t>
      </w:r>
      <w:r w:rsidRPr="00981405">
        <w:t>and</w:t>
      </w:r>
      <w:r w:rsidR="00190923" w:rsidRPr="00981405">
        <w:t xml:space="preserve"> </w:t>
      </w:r>
      <w:r w:rsidRPr="00981405">
        <w:t>security.</w:t>
      </w:r>
      <w:r w:rsidRPr="00981405">
        <w:rPr>
          <w:rStyle w:val="FootnoteReference"/>
        </w:rPr>
        <w:footnoteReference w:id="446"/>
      </w:r>
    </w:p>
    <w:p w:rsidR="00397032" w:rsidRPr="00981405" w:rsidRDefault="00397032" w:rsidP="00D97463">
      <w:pPr>
        <w:pStyle w:val="SingleTxt"/>
      </w:pPr>
      <w:r w:rsidRPr="00981405">
        <w:rPr>
          <w:rFonts w:eastAsia="SimSun"/>
        </w:rPr>
        <w:t>32.</w:t>
      </w:r>
      <w:r w:rsidRPr="00981405">
        <w:rPr>
          <w:rFonts w:eastAsia="SimSun"/>
        </w:rPr>
        <w:tab/>
        <w:t>OECD</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responsible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launching</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negotiations</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Multilateral</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(MAI).</w:t>
      </w:r>
      <w:r w:rsidR="00190923" w:rsidRPr="00981405">
        <w:rPr>
          <w:rFonts w:eastAsia="SimSun"/>
        </w:rPr>
        <w:t xml:space="preserve"> </w:t>
      </w:r>
      <w:r w:rsidRPr="00981405">
        <w:rPr>
          <w:rFonts w:eastAsia="SimSun"/>
        </w:rPr>
        <w:t>Included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referred</w:t>
      </w:r>
      <w:r w:rsidR="00190923" w:rsidRPr="00981405">
        <w:rPr>
          <w:rFonts w:eastAsia="SimSun"/>
        </w:rPr>
        <w:t xml:space="preserve"> </w:t>
      </w:r>
      <w:r w:rsidRPr="00981405">
        <w:rPr>
          <w:rFonts w:eastAsia="SimSun"/>
        </w:rPr>
        <w:t>to</w:t>
      </w:r>
      <w:r w:rsidR="00190923" w:rsidRPr="00981405">
        <w:rPr>
          <w:rFonts w:eastAsia="SimSun"/>
        </w:rPr>
        <w:t xml:space="preserve"> </w:t>
      </w:r>
      <w:r w:rsidR="00B92E2C" w:rsidRPr="00981405">
        <w:rPr>
          <w:rFonts w:eastAsia="SimSun"/>
        </w:rPr>
        <w:t>“</w:t>
      </w:r>
      <w:r w:rsidRPr="00981405">
        <w:rPr>
          <w:rFonts w:eastAsia="SimSun"/>
        </w:rPr>
        <w:t>treatment</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applied</w:t>
      </w:r>
      <w:r w:rsidR="00190923" w:rsidRPr="00981405">
        <w:rPr>
          <w:rFonts w:eastAsia="SimSun"/>
        </w:rPr>
        <w:t xml:space="preserve"> </w:t>
      </w:r>
      <w:r w:rsidRPr="00981405">
        <w:rPr>
          <w:rFonts w:eastAsia="SimSun"/>
        </w:rPr>
        <w:t>to</w:t>
      </w:r>
      <w:r w:rsidR="00190923" w:rsidRPr="00981405">
        <w:rPr>
          <w:rFonts w:eastAsia="SimSun"/>
        </w:rPr>
        <w:t xml:space="preserve"> </w:t>
      </w:r>
      <w:r w:rsidR="00B92E2C" w:rsidRPr="00981405">
        <w:rPr>
          <w:rFonts w:eastAsia="SimSun"/>
        </w:rPr>
        <w:t>“</w:t>
      </w:r>
      <w:r w:rsidRPr="00981405">
        <w:t>the</w:t>
      </w:r>
      <w:r w:rsidR="00190923" w:rsidRPr="00981405">
        <w:t xml:space="preserve"> </w:t>
      </w:r>
      <w:r w:rsidRPr="00981405">
        <w:t>establishment,</w:t>
      </w:r>
      <w:r w:rsidR="00190923" w:rsidRPr="00981405">
        <w:t xml:space="preserve"> </w:t>
      </w:r>
      <w:r w:rsidRPr="00981405">
        <w:t>acquisition,</w:t>
      </w:r>
      <w:r w:rsidR="00190923" w:rsidRPr="00981405">
        <w:t xml:space="preserve"> </w:t>
      </w:r>
      <w:r w:rsidRPr="00981405">
        <w:t>expansion,</w:t>
      </w:r>
      <w:r w:rsidR="00190923" w:rsidRPr="00981405">
        <w:t xml:space="preserve"> </w:t>
      </w:r>
      <w:r w:rsidRPr="00981405">
        <w:t>operation,</w:t>
      </w:r>
      <w:r w:rsidR="00190923" w:rsidRPr="00981405">
        <w:t xml:space="preserve"> </w:t>
      </w:r>
      <w:r w:rsidRPr="00981405">
        <w:t>management,</w:t>
      </w:r>
      <w:r w:rsidR="00190923" w:rsidRPr="00981405">
        <w:t xml:space="preserve"> </w:t>
      </w:r>
      <w:r w:rsidRPr="00981405">
        <w:t>maintenance,</w:t>
      </w:r>
      <w:r w:rsidR="00190923" w:rsidRPr="00981405">
        <w:t xml:space="preserve"> </w:t>
      </w:r>
      <w:r w:rsidRPr="00981405">
        <w:t>use,</w:t>
      </w:r>
      <w:r w:rsidR="00190923" w:rsidRPr="00981405">
        <w:t xml:space="preserve"> </w:t>
      </w:r>
      <w:r w:rsidRPr="00981405">
        <w:t>enjoyment,</w:t>
      </w:r>
      <w:r w:rsidR="00190923" w:rsidRPr="00981405">
        <w:t xml:space="preserve"> </w:t>
      </w:r>
      <w:r w:rsidRPr="00981405">
        <w:t>sale</w:t>
      </w:r>
      <w:r w:rsidR="00190923" w:rsidRPr="00981405">
        <w:t xml:space="preserve"> </w:t>
      </w:r>
      <w:r w:rsidRPr="00981405">
        <w:t>or</w:t>
      </w:r>
      <w:r w:rsidR="00190923" w:rsidRPr="00981405">
        <w:t xml:space="preserve"> </w:t>
      </w:r>
      <w:r w:rsidRPr="00981405">
        <w:t>other</w:t>
      </w:r>
      <w:r w:rsidR="00190923" w:rsidRPr="00981405">
        <w:t xml:space="preserve"> </w:t>
      </w:r>
      <w:r w:rsidRPr="00981405">
        <w:t>disposition</w:t>
      </w:r>
      <w:r w:rsidR="00190923" w:rsidRPr="00981405">
        <w:t xml:space="preserve"> </w:t>
      </w:r>
      <w:r w:rsidRPr="00981405">
        <w:t>of</w:t>
      </w:r>
      <w:r w:rsidR="00190923" w:rsidRPr="00981405">
        <w:t xml:space="preserve"> </w:t>
      </w:r>
      <w:r w:rsidRPr="00981405">
        <w:t>investments.</w:t>
      </w:r>
      <w:r w:rsidR="00B92E2C" w:rsidRPr="00981405">
        <w:t>”</w:t>
      </w:r>
      <w:r w:rsidRPr="00981405">
        <w:rPr>
          <w:rStyle w:val="FootnoteReference"/>
        </w:rPr>
        <w:footnoteReference w:id="447"/>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negotiations</w:t>
      </w:r>
      <w:r w:rsidR="00190923" w:rsidRPr="00981405">
        <w:t xml:space="preserve"> </w:t>
      </w:r>
      <w:r w:rsidRPr="00981405">
        <w:t>were</w:t>
      </w:r>
      <w:r w:rsidR="00190923" w:rsidRPr="00981405">
        <w:t xml:space="preserve"> </w:t>
      </w:r>
      <w:r w:rsidRPr="00981405">
        <w:t>abandoned,</w:t>
      </w:r>
      <w:r w:rsidR="00190923" w:rsidRPr="00981405">
        <w:t xml:space="preserve"> </w:t>
      </w:r>
      <w:r w:rsidRPr="00981405">
        <w:t>there</w:t>
      </w:r>
      <w:r w:rsidR="00190923" w:rsidRPr="00981405">
        <w:t xml:space="preserve"> </w:t>
      </w:r>
      <w:r w:rsidRPr="00981405">
        <w:t>was</w:t>
      </w:r>
      <w:r w:rsidR="00190923" w:rsidRPr="00981405">
        <w:t xml:space="preserve"> </w:t>
      </w:r>
      <w:r w:rsidRPr="00981405">
        <w:t>disagreement</w:t>
      </w:r>
      <w:r w:rsidR="00190923" w:rsidRPr="00981405">
        <w:t xml:space="preserve"> </w:t>
      </w:r>
      <w:r w:rsidRPr="00981405">
        <w:t>over</w:t>
      </w:r>
      <w:r w:rsidR="00190923" w:rsidRPr="00981405">
        <w:t xml:space="preserve"> </w:t>
      </w:r>
      <w:r w:rsidRPr="00981405">
        <w:t>whether</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should</w:t>
      </w:r>
      <w:r w:rsidR="00190923" w:rsidRPr="00981405">
        <w:t xml:space="preserve"> </w:t>
      </w:r>
      <w:r w:rsidRPr="00981405">
        <w:t>apply</w:t>
      </w:r>
      <w:r w:rsidR="00190923" w:rsidRPr="00981405">
        <w:t xml:space="preserve"> </w:t>
      </w:r>
      <w:r w:rsidRPr="00981405">
        <w:t>to</w:t>
      </w:r>
      <w:r w:rsidR="00190923" w:rsidRPr="00981405">
        <w:t xml:space="preserve"> </w:t>
      </w:r>
      <w:r w:rsidRPr="00981405">
        <w:t>investments</w:t>
      </w:r>
      <w:r w:rsidR="00190923" w:rsidRPr="00981405">
        <w:t xml:space="preserve"> </w:t>
      </w:r>
      <w:r w:rsidRPr="00981405">
        <w:t>within</w:t>
      </w:r>
      <w:r w:rsidR="00190923" w:rsidRPr="00981405">
        <w:t xml:space="preserve"> </w:t>
      </w:r>
      <w:r w:rsidRPr="00981405">
        <w:t>the</w:t>
      </w:r>
      <w:r w:rsidR="00190923" w:rsidRPr="00981405">
        <w:t xml:space="preserve"> </w:t>
      </w:r>
      <w:r w:rsidRPr="00981405">
        <w:t>territory</w:t>
      </w:r>
      <w:r w:rsidR="00190923" w:rsidRPr="00981405">
        <w:t xml:space="preserve"> </w:t>
      </w:r>
      <w:r w:rsidRPr="00981405">
        <w:t>of</w:t>
      </w:r>
      <w:r w:rsidR="00190923" w:rsidRPr="00981405">
        <w:t xml:space="preserve"> </w:t>
      </w:r>
      <w:r w:rsidRPr="00981405">
        <w:t>the</w:t>
      </w:r>
      <w:r w:rsidR="00190923" w:rsidRPr="00981405">
        <w:t xml:space="preserve"> </w:t>
      </w:r>
      <w:r w:rsidRPr="00981405">
        <w:t>State</w:t>
      </w:r>
      <w:r w:rsidR="00190923" w:rsidRPr="00981405">
        <w:t xml:space="preserve"> </w:t>
      </w:r>
      <w:r w:rsidRPr="00981405">
        <w:t>granting</w:t>
      </w:r>
      <w:r w:rsidR="00190923" w:rsidRPr="00981405">
        <w:t xml:space="preserve"> </w:t>
      </w:r>
      <w:r w:rsidRPr="00981405">
        <w:t>MFN</w:t>
      </w:r>
      <w:r w:rsidR="00190923" w:rsidRPr="00981405">
        <w:t xml:space="preserve"> </w:t>
      </w:r>
      <w:r w:rsidRPr="00981405">
        <w:t>treatment</w:t>
      </w:r>
      <w:r w:rsidR="00190923" w:rsidRPr="00981405">
        <w:t xml:space="preserve"> </w:t>
      </w:r>
      <w:r w:rsidRPr="00981405">
        <w:t>and</w:t>
      </w:r>
      <w:r w:rsidR="00190923" w:rsidRPr="00981405">
        <w:t xml:space="preserve"> </w:t>
      </w:r>
      <w:r w:rsidRPr="00981405">
        <w:t>whether</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in</w:t>
      </w:r>
      <w:r w:rsidR="00190923" w:rsidRPr="00981405">
        <w:t xml:space="preserve"> </w:t>
      </w:r>
      <w:r w:rsidRPr="00981405">
        <w:t>like</w:t>
      </w:r>
      <w:r w:rsidR="00190923" w:rsidRPr="00981405">
        <w:t xml:space="preserve"> </w:t>
      </w:r>
      <w:r w:rsidRPr="00981405">
        <w:t>circumstances</w:t>
      </w:r>
      <w:r w:rsidR="00B92E2C" w:rsidRPr="00981405">
        <w:t>”</w:t>
      </w:r>
      <w:r w:rsidR="00190923" w:rsidRPr="00981405">
        <w:t xml:space="preserve"> </w:t>
      </w:r>
      <w:r w:rsidRPr="00981405">
        <w:t>should</w:t>
      </w:r>
      <w:r w:rsidR="00190923" w:rsidRPr="00981405">
        <w:t xml:space="preserve"> </w:t>
      </w:r>
      <w:r w:rsidRPr="00981405">
        <w:t>qualify</w:t>
      </w:r>
      <w:r w:rsidR="00190923" w:rsidRPr="00981405">
        <w:t xml:space="preserve"> </w:t>
      </w:r>
      <w:r w:rsidRPr="00981405">
        <w:t>the</w:t>
      </w:r>
      <w:r w:rsidR="00190923" w:rsidRPr="00981405">
        <w:t xml:space="preserve"> </w:t>
      </w:r>
      <w:r w:rsidRPr="00981405">
        <w:t>beneficiaries</w:t>
      </w:r>
      <w:r w:rsidR="00190923" w:rsidRPr="00981405">
        <w:t xml:space="preserve"> </w:t>
      </w:r>
      <w:r w:rsidRPr="00981405">
        <w:t>entitled</w:t>
      </w:r>
      <w:r w:rsidR="00190923" w:rsidRPr="00981405">
        <w:t xml:space="preserve"> </w:t>
      </w:r>
      <w:r w:rsidRPr="00981405">
        <w:t>to</w:t>
      </w:r>
      <w:r w:rsidR="00190923" w:rsidRPr="00981405">
        <w:t xml:space="preserve"> </w:t>
      </w:r>
      <w:r w:rsidRPr="00981405">
        <w:t>receive</w:t>
      </w:r>
      <w:r w:rsidR="00190923" w:rsidRPr="00981405">
        <w:t xml:space="preserve"> </w:t>
      </w:r>
      <w:r w:rsidRPr="00981405">
        <w:t>MFN</w:t>
      </w:r>
      <w:r w:rsidR="00190923" w:rsidRPr="00981405">
        <w:t xml:space="preserve"> </w:t>
      </w:r>
      <w:r w:rsidRPr="00981405">
        <w:t>treatment.</w:t>
      </w:r>
    </w:p>
    <w:p w:rsidR="00397032" w:rsidRPr="00981405" w:rsidRDefault="00397032" w:rsidP="00D97463">
      <w:pPr>
        <w:pStyle w:val="SingleTxt"/>
      </w:pPr>
      <w:r w:rsidRPr="00981405">
        <w:t>33.</w:t>
      </w:r>
      <w:r w:rsidRPr="00981405">
        <w:tab/>
        <w:t>The</w:t>
      </w:r>
      <w:r w:rsidR="00190923" w:rsidRPr="00981405">
        <w:t xml:space="preserve"> </w:t>
      </w:r>
      <w:r w:rsidRPr="00981405">
        <w:t>MAI</w:t>
      </w:r>
      <w:r w:rsidR="00190923" w:rsidRPr="00981405">
        <w:t xml:space="preserve"> </w:t>
      </w:r>
      <w:r w:rsidRPr="00981405">
        <w:t>draft</w:t>
      </w:r>
      <w:r w:rsidR="00190923" w:rsidRPr="00981405">
        <w:t xml:space="preserve"> </w:t>
      </w:r>
      <w:r w:rsidRPr="00981405">
        <w:t>also</w:t>
      </w:r>
      <w:r w:rsidR="00190923" w:rsidRPr="00981405">
        <w:t xml:space="preserve"> </w:t>
      </w:r>
      <w:r w:rsidRPr="00981405">
        <w:t>contained</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exceptions</w:t>
      </w:r>
      <w:r w:rsidR="00190923" w:rsidRPr="00981405">
        <w:t xml:space="preserve"> </w:t>
      </w:r>
      <w:r w:rsidRPr="00981405">
        <w:t>to</w:t>
      </w:r>
      <w:r w:rsidR="00190923" w:rsidRPr="00981405">
        <w:t xml:space="preserve"> </w:t>
      </w:r>
      <w:r w:rsidRPr="00981405">
        <w:t>the</w:t>
      </w:r>
      <w:r w:rsidR="00190923" w:rsidRPr="00981405">
        <w:t xml:space="preserve"> </w:t>
      </w:r>
      <w:r w:rsidRPr="00981405">
        <w:t>granting</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r w:rsidR="00190923" w:rsidRPr="00981405">
        <w:t xml:space="preserve"> </w:t>
      </w:r>
      <w:r w:rsidRPr="00981405">
        <w:t>including</w:t>
      </w:r>
      <w:r w:rsidR="00190923" w:rsidRPr="00981405">
        <w:t xml:space="preserve"> </w:t>
      </w:r>
      <w:r w:rsidRPr="00981405">
        <w:t>security</w:t>
      </w:r>
      <w:r w:rsidR="00190923" w:rsidRPr="00981405">
        <w:t xml:space="preserve"> </w:t>
      </w:r>
      <w:r w:rsidRPr="00981405">
        <w:t>interests,</w:t>
      </w:r>
      <w:r w:rsidR="00190923" w:rsidRPr="00981405">
        <w:t xml:space="preserve"> </w:t>
      </w:r>
      <w:r w:rsidRPr="00981405">
        <w:t>obligations</w:t>
      </w:r>
      <w:r w:rsidR="00190923" w:rsidRPr="00981405">
        <w:t xml:space="preserve"> </w:t>
      </w:r>
      <w:r w:rsidRPr="00981405">
        <w:t>under</w:t>
      </w:r>
      <w:r w:rsidR="00190923" w:rsidRPr="00981405">
        <w:t xml:space="preserve"> </w:t>
      </w:r>
      <w:r w:rsidRPr="00981405">
        <w:t>the</w:t>
      </w:r>
      <w:r w:rsidR="00190923" w:rsidRPr="00981405">
        <w:t xml:space="preserve"> </w:t>
      </w:r>
      <w:r w:rsidRPr="00981405">
        <w:t>Charter</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Nations,</w:t>
      </w:r>
      <w:r w:rsidR="00190923" w:rsidRPr="00981405">
        <w:t xml:space="preserve"> </w:t>
      </w:r>
      <w:r w:rsidRPr="00981405">
        <w:t>and</w:t>
      </w:r>
      <w:r w:rsidR="00190923" w:rsidRPr="00981405">
        <w:t xml:space="preserve"> </w:t>
      </w:r>
      <w:r w:rsidRPr="00981405">
        <w:t>taxation.</w:t>
      </w:r>
      <w:r w:rsidR="00190923" w:rsidRPr="00981405">
        <w:t xml:space="preserve"> </w:t>
      </w:r>
      <w:r w:rsidRPr="00981405">
        <w:t>There</w:t>
      </w:r>
      <w:r w:rsidR="00190923" w:rsidRPr="00981405">
        <w:t xml:space="preserve"> </w:t>
      </w:r>
      <w:r w:rsidRPr="00981405">
        <w:t>were</w:t>
      </w:r>
      <w:r w:rsidR="00190923" w:rsidRPr="00981405">
        <w:t xml:space="preserve"> </w:t>
      </w:r>
      <w:r w:rsidRPr="00981405">
        <w:t>also</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controversial</w:t>
      </w:r>
      <w:r w:rsidR="00190923" w:rsidRPr="00981405">
        <w:t xml:space="preserve"> </w:t>
      </w:r>
      <w:r w:rsidRPr="00981405">
        <w:t>exceptions</w:t>
      </w:r>
      <w:r w:rsidR="00190923" w:rsidRPr="00981405">
        <w:t xml:space="preserve"> </w:t>
      </w:r>
      <w:r w:rsidRPr="00981405">
        <w:t>that</w:t>
      </w:r>
      <w:r w:rsidR="00190923" w:rsidRPr="00981405">
        <w:t xml:space="preserve"> </w:t>
      </w:r>
      <w:r w:rsidRPr="00981405">
        <w:t>were</w:t>
      </w:r>
      <w:r w:rsidR="00190923" w:rsidRPr="00981405">
        <w:t xml:space="preserve"> </w:t>
      </w:r>
      <w:r w:rsidRPr="00981405">
        <w:t>never</w:t>
      </w:r>
      <w:r w:rsidR="00190923" w:rsidRPr="00981405">
        <w:t xml:space="preserve"> </w:t>
      </w:r>
      <w:r w:rsidRPr="00981405">
        <w:t>resolved,</w:t>
      </w:r>
      <w:r w:rsidR="00190923" w:rsidRPr="00981405">
        <w:t xml:space="preserve"> </w:t>
      </w:r>
      <w:r w:rsidRPr="00981405">
        <w:t>including</w:t>
      </w:r>
      <w:r w:rsidR="00190923" w:rsidRPr="00981405">
        <w:t xml:space="preserve"> </w:t>
      </w:r>
      <w:r w:rsidRPr="00981405">
        <w:t>public</w:t>
      </w:r>
      <w:r w:rsidR="00190923" w:rsidRPr="00981405">
        <w:t xml:space="preserve"> </w:t>
      </w:r>
      <w:r w:rsidRPr="00981405">
        <w:t>debt</w:t>
      </w:r>
      <w:r w:rsidR="00190923" w:rsidRPr="00981405">
        <w:t xml:space="preserve"> </w:t>
      </w:r>
      <w:r w:rsidRPr="00981405">
        <w:t>rescheduling,</w:t>
      </w:r>
      <w:r w:rsidR="00190923" w:rsidRPr="00981405">
        <w:t xml:space="preserve"> </w:t>
      </w:r>
      <w:r w:rsidRPr="00981405">
        <w:t>transactions</w:t>
      </w:r>
      <w:r w:rsidR="00190923" w:rsidRPr="00981405">
        <w:t xml:space="preserve"> </w:t>
      </w:r>
      <w:r w:rsidRPr="00981405">
        <w:t>in</w:t>
      </w:r>
      <w:r w:rsidR="00190923" w:rsidRPr="00981405">
        <w:t xml:space="preserve"> </w:t>
      </w:r>
      <w:r w:rsidRPr="00981405">
        <w:t>pursuit</w:t>
      </w:r>
      <w:r w:rsidR="00190923" w:rsidRPr="00981405">
        <w:t xml:space="preserve"> </w:t>
      </w:r>
      <w:r w:rsidRPr="00981405">
        <w:t>of</w:t>
      </w:r>
      <w:r w:rsidR="00190923" w:rsidRPr="00981405">
        <w:t xml:space="preserve"> </w:t>
      </w:r>
      <w:r w:rsidRPr="00981405">
        <w:t>monetary</w:t>
      </w:r>
      <w:r w:rsidR="00190923" w:rsidRPr="00981405">
        <w:t xml:space="preserve"> </w:t>
      </w:r>
      <w:r w:rsidRPr="00981405">
        <w:t>and</w:t>
      </w:r>
      <w:r w:rsidR="00190923" w:rsidRPr="00981405">
        <w:t xml:space="preserve"> </w:t>
      </w:r>
      <w:r w:rsidRPr="00981405">
        <w:t>economic</w:t>
      </w:r>
      <w:r w:rsidR="00190923" w:rsidRPr="00981405">
        <w:t xml:space="preserve"> </w:t>
      </w:r>
      <w:r w:rsidRPr="00981405">
        <w:t>policies,</w:t>
      </w:r>
      <w:r w:rsidR="00190923" w:rsidRPr="00981405">
        <w:t xml:space="preserve"> </w:t>
      </w:r>
      <w:r w:rsidRPr="00981405">
        <w:t>and</w:t>
      </w:r>
      <w:r w:rsidR="00190923" w:rsidRPr="00981405">
        <w:t xml:space="preserve"> </w:t>
      </w:r>
      <w:r w:rsidRPr="00981405">
        <w:t>regional</w:t>
      </w:r>
      <w:r w:rsidR="00190923" w:rsidRPr="00981405">
        <w:t xml:space="preserve"> </w:t>
      </w:r>
      <w:r w:rsidRPr="00981405">
        <w:t>economic</w:t>
      </w:r>
      <w:r w:rsidR="00190923" w:rsidRPr="00981405">
        <w:t xml:space="preserve"> </w:t>
      </w:r>
      <w:r w:rsidRPr="00981405">
        <w:t>integration</w:t>
      </w:r>
      <w:r w:rsidR="00190923" w:rsidRPr="00981405">
        <w:t xml:space="preserve"> </w:t>
      </w:r>
      <w:r w:rsidRPr="00981405">
        <w:t>agreements.</w:t>
      </w:r>
      <w:r w:rsidRPr="00981405">
        <w:rPr>
          <w:rStyle w:val="FootnoteReference"/>
        </w:rPr>
        <w:footnoteReference w:id="448"/>
      </w:r>
    </w:p>
    <w:p w:rsidR="006644A9" w:rsidRPr="00D97463" w:rsidRDefault="006644A9" w:rsidP="00D97463">
      <w:pPr>
        <w:pStyle w:val="SingleTxt"/>
        <w:spacing w:after="0" w:line="120" w:lineRule="exact"/>
        <w:rPr>
          <w:sz w:val="10"/>
        </w:rPr>
      </w:pPr>
    </w:p>
    <w:p w:rsidR="006644A9" w:rsidRPr="00D97463" w:rsidRDefault="006644A9" w:rsidP="00D97463">
      <w:pPr>
        <w:pStyle w:val="SingleTxt"/>
        <w:spacing w:after="0" w:line="120" w:lineRule="exact"/>
        <w:rPr>
          <w:sz w:val="10"/>
        </w:rPr>
      </w:pPr>
    </w:p>
    <w:p w:rsidR="00397032" w:rsidRPr="00D97463" w:rsidRDefault="00397032" w:rsidP="00D97463">
      <w:pPr>
        <w:pStyle w:val="HCh"/>
        <w:ind w:left="1267" w:right="1260" w:hanging="1267"/>
      </w:pPr>
      <w:bookmarkStart w:id="210" w:name="_Toc294353665"/>
      <w:r w:rsidRPr="00D97463">
        <w:tab/>
      </w:r>
      <w:r w:rsidRPr="00D97463">
        <w:tab/>
      </w:r>
      <w:bookmarkStart w:id="211" w:name="_Toc427938170"/>
      <w:r w:rsidRPr="00D97463">
        <w:t>Part</w:t>
      </w:r>
      <w:r w:rsidR="00190923" w:rsidRPr="00D97463">
        <w:t xml:space="preserve"> </w:t>
      </w:r>
      <w:r w:rsidRPr="00D97463">
        <w:t>II</w:t>
      </w:r>
      <w:r w:rsidR="006644A9" w:rsidRPr="00D97463">
        <w:br/>
      </w:r>
      <w:r w:rsidRPr="00D97463">
        <w:t>Contemporary</w:t>
      </w:r>
      <w:r w:rsidR="00190923" w:rsidRPr="00D97463">
        <w:t xml:space="preserve"> </w:t>
      </w:r>
      <w:r w:rsidRPr="00D97463">
        <w:t>relevance</w:t>
      </w:r>
      <w:r w:rsidR="00190923" w:rsidRPr="00D97463">
        <w:t xml:space="preserve"> </w:t>
      </w:r>
      <w:r w:rsidRPr="00D97463">
        <w:t>of</w:t>
      </w:r>
      <w:r w:rsidR="00190923" w:rsidRPr="00D97463">
        <w:t xml:space="preserve"> </w:t>
      </w:r>
      <w:r w:rsidRPr="00D97463">
        <w:t>MFN</w:t>
      </w:r>
      <w:bookmarkEnd w:id="204"/>
      <w:r w:rsidR="00190923" w:rsidRPr="00D97463">
        <w:t xml:space="preserve"> </w:t>
      </w:r>
      <w:r w:rsidRPr="00D97463">
        <w:t>clauses</w:t>
      </w:r>
      <w:r w:rsidR="00190923" w:rsidRPr="00D97463">
        <w:t xml:space="preserve"> </w:t>
      </w:r>
      <w:r w:rsidRPr="00D97463">
        <w:t>and</w:t>
      </w:r>
      <w:r w:rsidR="00190923" w:rsidRPr="00D97463">
        <w:t xml:space="preserve"> </w:t>
      </w:r>
      <w:r w:rsidRPr="00D97463">
        <w:t>issues</w:t>
      </w:r>
      <w:r w:rsidR="00190923" w:rsidRPr="00D97463">
        <w:t xml:space="preserve"> </w:t>
      </w:r>
      <w:r w:rsidRPr="00D97463">
        <w:t>relating</w:t>
      </w:r>
      <w:r w:rsidR="00190923" w:rsidRPr="00D97463">
        <w:t xml:space="preserve"> </w:t>
      </w:r>
      <w:r w:rsidRPr="00D97463">
        <w:t>to</w:t>
      </w:r>
      <w:r w:rsidR="00190923" w:rsidRPr="00D97463">
        <w:t xml:space="preserve"> </w:t>
      </w:r>
      <w:r w:rsidRPr="00D97463">
        <w:t>their</w:t>
      </w:r>
      <w:r w:rsidR="00190923" w:rsidRPr="00D97463">
        <w:t xml:space="preserve"> </w:t>
      </w:r>
      <w:r w:rsidRPr="00D97463">
        <w:t>interpretation</w:t>
      </w:r>
      <w:bookmarkEnd w:id="210"/>
      <w:bookmarkEnd w:id="211"/>
    </w:p>
    <w:p w:rsidR="00397032" w:rsidRPr="00D97463" w:rsidRDefault="00397032" w:rsidP="00D97463">
      <w:pPr>
        <w:pStyle w:val="SingleTxt"/>
        <w:spacing w:after="0" w:line="120" w:lineRule="exact"/>
        <w:rPr>
          <w:rFonts w:eastAsia="SimSun"/>
          <w:sz w:val="10"/>
        </w:rPr>
      </w:pPr>
    </w:p>
    <w:p w:rsidR="006644A9" w:rsidRPr="00D97463" w:rsidRDefault="006644A9" w:rsidP="00D97463">
      <w:pPr>
        <w:pStyle w:val="SingleTxt"/>
        <w:spacing w:after="0" w:line="120" w:lineRule="exact"/>
        <w:rPr>
          <w:rFonts w:eastAsia="SimSun"/>
          <w:sz w:val="10"/>
        </w:rPr>
      </w:pPr>
    </w:p>
    <w:p w:rsidR="00397032" w:rsidRPr="00981405" w:rsidRDefault="00397032" w:rsidP="00D97463">
      <w:pPr>
        <w:pStyle w:val="SingleTxt"/>
        <w:rPr>
          <w:rFonts w:eastAsia="SimSun"/>
        </w:rPr>
      </w:pPr>
      <w:r w:rsidRPr="00981405">
        <w:rPr>
          <w:rFonts w:eastAsia="SimSun"/>
        </w:rPr>
        <w:t>34.</w:t>
      </w:r>
      <w:r w:rsidRPr="00981405">
        <w:rPr>
          <w:rFonts w:eastAsia="SimSun"/>
        </w:rPr>
        <w:tab/>
        <w:t>This</w:t>
      </w:r>
      <w:r w:rsidR="00190923" w:rsidRPr="00981405">
        <w:rPr>
          <w:rFonts w:eastAsia="SimSun"/>
        </w:rPr>
        <w:t xml:space="preserve"> </w:t>
      </w:r>
      <w:r w:rsidRPr="00981405">
        <w:rPr>
          <w:rFonts w:eastAsia="SimSun"/>
        </w:rPr>
        <w:t>Part</w:t>
      </w:r>
      <w:r w:rsidR="00190923" w:rsidRPr="00981405">
        <w:rPr>
          <w:rFonts w:eastAsia="SimSun"/>
        </w:rPr>
        <w:t xml:space="preserve"> </w:t>
      </w:r>
      <w:r w:rsidRPr="00981405">
        <w:rPr>
          <w:rFonts w:eastAsia="SimSun"/>
        </w:rPr>
        <w:t>deals</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nature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how</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currently</w:t>
      </w:r>
      <w:r w:rsidR="00190923" w:rsidRPr="00981405">
        <w:rPr>
          <w:rFonts w:eastAsia="SimSun"/>
        </w:rPr>
        <w:t xml:space="preserve"> </w:t>
      </w:r>
      <w:r w:rsidRPr="00981405">
        <w:rPr>
          <w:rFonts w:eastAsia="SimSun"/>
        </w:rPr>
        <w:t>being</w:t>
      </w:r>
      <w:r w:rsidR="00190923" w:rsidRPr="00981405">
        <w:rPr>
          <w:rFonts w:eastAsia="SimSun"/>
        </w:rPr>
        <w:t xml:space="preserve"> </w:t>
      </w:r>
      <w:r w:rsidRPr="00981405">
        <w:rPr>
          <w:rFonts w:eastAsia="SimSun"/>
        </w:rPr>
        <w:t>utilized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applied.</w:t>
      </w:r>
      <w:r w:rsidR="00190923" w:rsidRPr="00981405">
        <w:rPr>
          <w:rFonts w:eastAsia="SimSun"/>
        </w:rPr>
        <w:t xml:space="preserve"> </w:t>
      </w:r>
      <w:r w:rsidRPr="00981405">
        <w:t>It</w:t>
      </w:r>
      <w:r w:rsidR="00190923" w:rsidRPr="00981405">
        <w:t xml:space="preserve"> </w:t>
      </w:r>
      <w:r w:rsidRPr="00981405">
        <w:t>also</w:t>
      </w:r>
      <w:r w:rsidR="00190923" w:rsidRPr="00981405">
        <w:t xml:space="preserve"> </w:t>
      </w:r>
      <w:r w:rsidRPr="00981405">
        <w:t>examines</w:t>
      </w:r>
      <w:r w:rsidR="00190923" w:rsidRPr="00981405">
        <w:t xml:space="preserve"> </w:t>
      </w:r>
      <w:r w:rsidRPr="00981405">
        <w:t>interpretative</w:t>
      </w:r>
      <w:r w:rsidR="00190923" w:rsidRPr="00981405">
        <w:t xml:space="preserve"> </w:t>
      </w:r>
      <w:r w:rsidRPr="00981405">
        <w:t>questions</w:t>
      </w:r>
      <w:r w:rsidR="00190923" w:rsidRPr="00981405">
        <w:t xml:space="preserve"> </w:t>
      </w:r>
      <w:r w:rsidRPr="00981405">
        <w:t>that</w:t>
      </w:r>
      <w:r w:rsidR="00190923" w:rsidRPr="00981405">
        <w:t xml:space="preserve"> </w:t>
      </w:r>
      <w:r w:rsidRPr="00981405">
        <w:t>have</w:t>
      </w:r>
      <w:r w:rsidR="00190923" w:rsidRPr="00981405">
        <w:t xml:space="preserve"> </w:t>
      </w:r>
      <w:r w:rsidRPr="00981405">
        <w:t>arisen</w:t>
      </w:r>
      <w:r w:rsidR="00190923" w:rsidRPr="00981405">
        <w:t xml:space="preserve"> </w:t>
      </w:r>
      <w:r w:rsidRPr="00981405">
        <w:t>regarding</w:t>
      </w:r>
      <w:r w:rsidR="00190923" w:rsidRPr="00981405">
        <w:t xml:space="preserve"> </w:t>
      </w:r>
      <w:r w:rsidRPr="00981405">
        <w:t>MFN</w:t>
      </w:r>
      <w:r w:rsidR="00190923" w:rsidRPr="00981405">
        <w:t xml:space="preserve"> </w:t>
      </w:r>
      <w:r w:rsidRPr="00981405">
        <w:t>clauses,</w:t>
      </w:r>
      <w:r w:rsidR="00190923" w:rsidRPr="00981405">
        <w:t xml:space="preserve"> </w:t>
      </w:r>
      <w:r w:rsidRPr="00981405">
        <w:t>particularly</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agreements.</w:t>
      </w:r>
    </w:p>
    <w:p w:rsidR="00397032" w:rsidRPr="00D97463" w:rsidRDefault="00397032" w:rsidP="00D97463">
      <w:pPr>
        <w:pStyle w:val="SingleTxt"/>
        <w:keepNext/>
        <w:keepLines/>
        <w:spacing w:after="0" w:line="120" w:lineRule="exact"/>
        <w:rPr>
          <w:rFonts w:eastAsia="SimSun"/>
          <w:sz w:val="10"/>
        </w:rPr>
      </w:pPr>
    </w:p>
    <w:p w:rsidR="006644A9" w:rsidRPr="00D97463" w:rsidRDefault="006644A9" w:rsidP="00D97463">
      <w:pPr>
        <w:pStyle w:val="SingleTxt"/>
        <w:keepNext/>
        <w:keepLines/>
        <w:spacing w:after="0" w:line="120" w:lineRule="exact"/>
        <w:rPr>
          <w:rFonts w:eastAsia="SimSun"/>
          <w:sz w:val="10"/>
        </w:rPr>
      </w:pPr>
    </w:p>
    <w:p w:rsidR="00397032" w:rsidRPr="00D97463" w:rsidRDefault="00397032" w:rsidP="00D97463">
      <w:pPr>
        <w:pStyle w:val="H1"/>
        <w:ind w:right="1260"/>
      </w:pPr>
      <w:bookmarkStart w:id="212" w:name="_Toc293434147"/>
      <w:bookmarkStart w:id="213" w:name="_Toc294353666"/>
      <w:r w:rsidRPr="00D97463">
        <w:tab/>
      </w:r>
      <w:bookmarkStart w:id="214" w:name="_Toc427938171"/>
      <w:r w:rsidRPr="00D97463">
        <w:t>A.</w:t>
      </w:r>
      <w:r w:rsidRPr="00D97463">
        <w:tab/>
      </w:r>
      <w:bookmarkEnd w:id="212"/>
      <w:r w:rsidRPr="00D97463">
        <w:t>Key</w:t>
      </w:r>
      <w:r w:rsidR="00190923" w:rsidRPr="00D97463">
        <w:t xml:space="preserve"> </w:t>
      </w:r>
      <w:r w:rsidRPr="00D97463">
        <w:t>Elements</w:t>
      </w:r>
      <w:r w:rsidR="00190923" w:rsidRPr="00D97463">
        <w:t xml:space="preserve"> </w:t>
      </w:r>
      <w:r w:rsidRPr="00D97463">
        <w:t>of</w:t>
      </w:r>
      <w:r w:rsidR="00190923" w:rsidRPr="00D97463">
        <w:t xml:space="preserve"> </w:t>
      </w:r>
      <w:r w:rsidRPr="00D97463">
        <w:t>MFN</w:t>
      </w:r>
      <w:bookmarkEnd w:id="213"/>
      <w:bookmarkEnd w:id="214"/>
      <w:r w:rsidR="00190923" w:rsidRPr="00D97463">
        <w:t xml:space="preserve"> </w:t>
      </w:r>
    </w:p>
    <w:p w:rsidR="00397032" w:rsidRPr="00D97463" w:rsidRDefault="00397032" w:rsidP="00D97463">
      <w:pPr>
        <w:pStyle w:val="SingleTxt"/>
        <w:keepNext/>
        <w:keepLines/>
        <w:spacing w:after="0" w:line="120" w:lineRule="exact"/>
        <w:rPr>
          <w:sz w:val="10"/>
        </w:rPr>
      </w:pPr>
      <w:bookmarkStart w:id="215" w:name="_Toc293434148"/>
    </w:p>
    <w:p w:rsidR="006644A9" w:rsidRPr="00D97463" w:rsidRDefault="006644A9"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35.</w:t>
      </w:r>
      <w:r w:rsidRPr="00981405">
        <w:tab/>
      </w:r>
      <w:r w:rsidRPr="00981405">
        <w:rPr>
          <w:rFonts w:eastAsia="SimSun"/>
        </w:rPr>
        <w:t>As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evident</w:t>
      </w:r>
      <w:r w:rsidR="00190923" w:rsidRPr="00981405">
        <w:rPr>
          <w:rFonts w:eastAsia="SimSun"/>
        </w:rPr>
        <w:t xml:space="preserve"> </w:t>
      </w:r>
      <w:r w:rsidRPr="00981405">
        <w:rPr>
          <w:rFonts w:eastAsia="SimSun"/>
        </w:rPr>
        <w:t>from</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t>provisions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multilateral</w:t>
      </w:r>
      <w:r w:rsidR="00190923" w:rsidRPr="00981405">
        <w:rPr>
          <w:rFonts w:eastAsia="SimSun"/>
        </w:rPr>
        <w:t xml:space="preserve"> </w:t>
      </w:r>
      <w:r w:rsidRPr="00981405">
        <w:rPr>
          <w:rFonts w:eastAsia="SimSun"/>
        </w:rPr>
        <w:t>treaties</w:t>
      </w:r>
      <w:r w:rsidRPr="00981405">
        <w:rPr>
          <w:rStyle w:val="FootnoteReference"/>
        </w:rPr>
        <w:footnoteReference w:id="449"/>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composed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following</w:t>
      </w:r>
      <w:r w:rsidR="00190923" w:rsidRPr="00981405">
        <w:rPr>
          <w:rFonts w:eastAsia="SimSun"/>
        </w:rPr>
        <w:t xml:space="preserve"> </w:t>
      </w:r>
      <w:r w:rsidRPr="00981405">
        <w:rPr>
          <w:rFonts w:eastAsia="SimSun"/>
        </w:rPr>
        <w:t>key</w:t>
      </w:r>
      <w:r w:rsidR="00190923" w:rsidRPr="00981405">
        <w:rPr>
          <w:rFonts w:eastAsia="SimSun"/>
        </w:rPr>
        <w:t xml:space="preserve"> </w:t>
      </w:r>
      <w:r w:rsidRPr="00981405">
        <w:rPr>
          <w:rFonts w:eastAsia="SimSun"/>
        </w:rPr>
        <w:t>elements:</w:t>
      </w:r>
      <w:bookmarkEnd w:id="215"/>
      <w:r w:rsidR="00B92E2C" w:rsidRPr="00981405">
        <w:rPr>
          <w:rFonts w:eastAsia="SimSun"/>
        </w:rPr>
        <w:t xml:space="preserve"> </w:t>
      </w:r>
    </w:p>
    <w:p w:rsidR="00397032" w:rsidRPr="00981405" w:rsidRDefault="003F4261" w:rsidP="00D97463">
      <w:pPr>
        <w:pStyle w:val="SingleTxt"/>
        <w:tabs>
          <w:tab w:val="right" w:pos="1685"/>
        </w:tabs>
        <w:ind w:left="1742" w:hanging="475"/>
      </w:pPr>
      <w:r w:rsidRPr="00981405">
        <w:tab/>
        <w:t>•</w:t>
      </w:r>
      <w:r w:rsidRPr="00981405">
        <w:tab/>
      </w:r>
      <w:r w:rsidR="00397032" w:rsidRPr="00981405">
        <w:t>First,</w:t>
      </w:r>
      <w:r w:rsidR="00190923" w:rsidRPr="00981405">
        <w:t xml:space="preserve"> </w:t>
      </w:r>
      <w:r w:rsidR="00397032" w:rsidRPr="00981405">
        <w:t>under</w:t>
      </w:r>
      <w:r w:rsidR="00190923" w:rsidRPr="00981405">
        <w:t xml:space="preserve"> </w:t>
      </w:r>
      <w:r w:rsidR="00397032" w:rsidRPr="00981405">
        <w:t>such</w:t>
      </w:r>
      <w:r w:rsidR="00190923" w:rsidRPr="00981405">
        <w:t xml:space="preserve"> </w:t>
      </w:r>
      <w:r w:rsidR="00397032" w:rsidRPr="00981405">
        <w:t>a</w:t>
      </w:r>
      <w:r w:rsidR="00190923" w:rsidRPr="00981405">
        <w:t xml:space="preserve"> </w:t>
      </w:r>
      <w:r w:rsidR="00397032" w:rsidRPr="00981405">
        <w:t>provision</w:t>
      </w:r>
      <w:r w:rsidR="00190923" w:rsidRPr="00981405">
        <w:t xml:space="preserve"> </w:t>
      </w:r>
      <w:r w:rsidR="00397032" w:rsidRPr="00981405">
        <w:t>each</w:t>
      </w:r>
      <w:r w:rsidR="00190923" w:rsidRPr="00981405">
        <w:t xml:space="preserve"> </w:t>
      </w:r>
      <w:r w:rsidR="00397032" w:rsidRPr="00981405">
        <w:t>State</w:t>
      </w:r>
      <w:r w:rsidR="00190923" w:rsidRPr="00981405">
        <w:t xml:space="preserve"> </w:t>
      </w:r>
      <w:r w:rsidR="00397032" w:rsidRPr="00981405">
        <w:t>agrees</w:t>
      </w:r>
      <w:r w:rsidR="00190923" w:rsidRPr="00981405">
        <w:t xml:space="preserve"> </w:t>
      </w:r>
      <w:r w:rsidR="00397032" w:rsidRPr="00981405">
        <w:t>to</w:t>
      </w:r>
      <w:r w:rsidR="00190923" w:rsidRPr="00981405">
        <w:t xml:space="preserve"> </w:t>
      </w:r>
      <w:r w:rsidR="00397032" w:rsidRPr="00981405">
        <w:t>grant</w:t>
      </w:r>
      <w:r w:rsidR="00190923" w:rsidRPr="00981405">
        <w:t xml:space="preserve"> </w:t>
      </w:r>
      <w:r w:rsidR="00397032" w:rsidRPr="00981405">
        <w:t>a</w:t>
      </w:r>
      <w:r w:rsidR="00190923" w:rsidRPr="00981405">
        <w:t xml:space="preserve"> </w:t>
      </w:r>
      <w:r w:rsidR="00397032" w:rsidRPr="00981405">
        <w:t>particular</w:t>
      </w:r>
      <w:r w:rsidR="00190923" w:rsidRPr="00981405">
        <w:t xml:space="preserve"> </w:t>
      </w:r>
      <w:r w:rsidR="00397032" w:rsidRPr="00981405">
        <w:t>level</w:t>
      </w:r>
      <w:r w:rsidR="00190923" w:rsidRPr="00981405">
        <w:t xml:space="preserve"> </w:t>
      </w:r>
      <w:r w:rsidR="00397032" w:rsidRPr="00981405">
        <w:t>of</w:t>
      </w:r>
      <w:r w:rsidR="00190923" w:rsidRPr="00981405">
        <w:t xml:space="preserve"> </w:t>
      </w:r>
      <w:r w:rsidR="00397032" w:rsidRPr="00981405">
        <w:t>treatment</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other</w:t>
      </w:r>
      <w:r w:rsidR="00190923" w:rsidRPr="00981405">
        <w:t xml:space="preserve"> </w:t>
      </w:r>
      <w:r w:rsidR="00397032" w:rsidRPr="00981405">
        <w:t>State</w:t>
      </w:r>
      <w:r w:rsidR="00190923" w:rsidRPr="00981405">
        <w:t xml:space="preserve"> </w:t>
      </w:r>
      <w:r w:rsidR="00397032" w:rsidRPr="00981405">
        <w:t>or</w:t>
      </w:r>
      <w:r w:rsidR="00190923" w:rsidRPr="00981405">
        <w:t xml:space="preserve"> </w:t>
      </w:r>
      <w:r w:rsidR="00397032" w:rsidRPr="00981405">
        <w:t>States,</w:t>
      </w:r>
      <w:r w:rsidR="00190923" w:rsidRPr="00981405">
        <w:t xml:space="preserve"> </w:t>
      </w:r>
      <w:r w:rsidR="00397032" w:rsidRPr="00981405">
        <w:t>and</w:t>
      </w:r>
      <w:r w:rsidR="00190923" w:rsidRPr="00981405">
        <w:t xml:space="preserve"> </w:t>
      </w:r>
      <w:r w:rsidR="00397032" w:rsidRPr="00981405">
        <w:t>to</w:t>
      </w:r>
      <w:r w:rsidR="00190923" w:rsidRPr="00981405">
        <w:t xml:space="preserve"> </w:t>
      </w:r>
      <w:r w:rsidR="00397032" w:rsidRPr="00981405">
        <w:t>persons</w:t>
      </w:r>
      <w:r w:rsidR="00190923" w:rsidRPr="00981405">
        <w:t xml:space="preserve"> </w:t>
      </w:r>
      <w:r w:rsidR="00397032" w:rsidRPr="00981405">
        <w:t>and</w:t>
      </w:r>
      <w:r w:rsidR="00190923" w:rsidRPr="00981405">
        <w:t xml:space="preserve"> </w:t>
      </w:r>
      <w:r w:rsidR="00397032" w:rsidRPr="00981405">
        <w:t>entities</w:t>
      </w:r>
      <w:r w:rsidR="00190923" w:rsidRPr="00981405">
        <w:t xml:space="preserve"> </w:t>
      </w:r>
      <w:r w:rsidR="00397032" w:rsidRPr="00981405">
        <w:t>in</w:t>
      </w:r>
      <w:r w:rsidR="00190923" w:rsidRPr="00981405">
        <w:t xml:space="preserve"> </w:t>
      </w:r>
      <w:r w:rsidR="00397032" w:rsidRPr="00981405">
        <w:t>a</w:t>
      </w:r>
      <w:r w:rsidR="00190923" w:rsidRPr="00981405">
        <w:t xml:space="preserve"> </w:t>
      </w:r>
      <w:r w:rsidR="00397032" w:rsidRPr="00981405">
        <w:t>defined</w:t>
      </w:r>
      <w:r w:rsidR="00190923" w:rsidRPr="00981405">
        <w:t xml:space="preserve"> </w:t>
      </w:r>
      <w:r w:rsidR="00397032" w:rsidRPr="00981405">
        <w:t>relationship</w:t>
      </w:r>
      <w:r w:rsidR="00190923" w:rsidRPr="00981405">
        <w:t xml:space="preserve"> </w:t>
      </w:r>
      <w:r w:rsidR="00397032" w:rsidRPr="00981405">
        <w:t>with</w:t>
      </w:r>
      <w:r w:rsidR="00190923" w:rsidRPr="00981405">
        <w:t xml:space="preserve"> </w:t>
      </w:r>
      <w:r w:rsidR="00397032" w:rsidRPr="00981405">
        <w:t>that</w:t>
      </w:r>
      <w:r w:rsidR="00190923" w:rsidRPr="00981405">
        <w:t xml:space="preserve"> </w:t>
      </w:r>
      <w:r w:rsidR="00397032" w:rsidRPr="00981405">
        <w:t>State</w:t>
      </w:r>
      <w:r w:rsidR="00190923" w:rsidRPr="00981405">
        <w:t xml:space="preserve"> </w:t>
      </w:r>
      <w:r w:rsidR="00397032" w:rsidRPr="00981405">
        <w:t>or</w:t>
      </w:r>
      <w:r w:rsidR="00190923" w:rsidRPr="00981405">
        <w:t xml:space="preserve"> </w:t>
      </w:r>
      <w:r w:rsidR="00397032" w:rsidRPr="00981405">
        <w:t>those</w:t>
      </w:r>
      <w:r w:rsidR="00190923" w:rsidRPr="00981405">
        <w:t xml:space="preserve"> </w:t>
      </w:r>
      <w:r w:rsidR="00397032" w:rsidRPr="00981405">
        <w:t>States.</w:t>
      </w:r>
      <w:r w:rsidR="00397032" w:rsidRPr="00981405">
        <w:rPr>
          <w:rStyle w:val="FootnoteReference"/>
        </w:rPr>
        <w:footnoteReference w:id="450"/>
      </w:r>
      <w:r w:rsidR="00190923" w:rsidRPr="00981405">
        <w:t xml:space="preserve"> </w:t>
      </w:r>
    </w:p>
    <w:p w:rsidR="00397032" w:rsidRPr="00981405" w:rsidRDefault="003F4261" w:rsidP="00D97463">
      <w:pPr>
        <w:pStyle w:val="SingleTxt"/>
        <w:tabs>
          <w:tab w:val="right" w:pos="1685"/>
        </w:tabs>
        <w:ind w:left="1742" w:hanging="475"/>
      </w:pPr>
      <w:r w:rsidRPr="00981405">
        <w:tab/>
        <w:t>•</w:t>
      </w:r>
      <w:r w:rsidRPr="00981405">
        <w:tab/>
      </w:r>
      <w:r w:rsidR="00397032" w:rsidRPr="00981405">
        <w:t>Second,</w:t>
      </w:r>
      <w:r w:rsidR="00190923" w:rsidRPr="00981405">
        <w:t xml:space="preserve"> </w:t>
      </w:r>
      <w:r w:rsidR="00397032" w:rsidRPr="00981405">
        <w:t>the</w:t>
      </w:r>
      <w:r w:rsidR="00190923" w:rsidRPr="00981405">
        <w:t xml:space="preserve"> </w:t>
      </w:r>
      <w:r w:rsidR="00397032" w:rsidRPr="00981405">
        <w:t>level</w:t>
      </w:r>
      <w:r w:rsidR="00190923" w:rsidRPr="00981405">
        <w:t xml:space="preserve"> </w:t>
      </w:r>
      <w:r w:rsidR="00397032" w:rsidRPr="00981405">
        <w:t>of</w:t>
      </w:r>
      <w:r w:rsidR="00190923" w:rsidRPr="00981405">
        <w:t xml:space="preserve"> </w:t>
      </w:r>
      <w:r w:rsidR="00397032" w:rsidRPr="00981405">
        <w:t>treatment</w:t>
      </w:r>
      <w:r w:rsidR="00190923" w:rsidRPr="00981405">
        <w:t xml:space="preserve"> </w:t>
      </w:r>
      <w:r w:rsidR="00397032" w:rsidRPr="00981405">
        <w:t>provided</w:t>
      </w:r>
      <w:r w:rsidR="00190923" w:rsidRPr="00981405">
        <w:t xml:space="preserve"> </w:t>
      </w:r>
      <w:r w:rsidR="00397032" w:rsidRPr="00981405">
        <w:t>by</w:t>
      </w:r>
      <w:r w:rsidR="00190923" w:rsidRPr="00981405">
        <w:t xml:space="preserve"> </w:t>
      </w:r>
      <w:r w:rsidR="00397032" w:rsidRPr="00981405">
        <w:t>an</w:t>
      </w:r>
      <w:r w:rsidR="00190923" w:rsidRPr="00981405">
        <w:t xml:space="preserve"> </w:t>
      </w:r>
      <w:r w:rsidR="00397032" w:rsidRPr="00981405">
        <w:t>MFN</w:t>
      </w:r>
      <w:r w:rsidR="00190923" w:rsidRPr="00981405">
        <w:t xml:space="preserve"> </w:t>
      </w:r>
      <w:r w:rsidR="00397032" w:rsidRPr="00981405">
        <w:t>provision</w:t>
      </w:r>
      <w:r w:rsidR="00190923" w:rsidRPr="00981405">
        <w:t xml:space="preserve"> </w:t>
      </w:r>
      <w:r w:rsidR="00397032" w:rsidRPr="00981405">
        <w:t>is</w:t>
      </w:r>
      <w:r w:rsidR="00190923" w:rsidRPr="00981405">
        <w:t xml:space="preserve"> </w:t>
      </w:r>
      <w:r w:rsidR="00397032" w:rsidRPr="00981405">
        <w:t>determined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treatment</w:t>
      </w:r>
      <w:r w:rsidR="00190923" w:rsidRPr="00981405">
        <w:t xml:space="preserve"> </w:t>
      </w:r>
      <w:r w:rsidR="00397032" w:rsidRPr="00981405">
        <w:t>given</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State</w:t>
      </w:r>
      <w:r w:rsidR="00190923" w:rsidRPr="00981405">
        <w:t xml:space="preserve"> </w:t>
      </w:r>
      <w:r w:rsidR="00397032" w:rsidRPr="00981405">
        <w:t>granting</w:t>
      </w:r>
      <w:r w:rsidR="00190923" w:rsidRPr="00981405">
        <w:t xml:space="preserve"> </w:t>
      </w:r>
      <w:r w:rsidR="00397032" w:rsidRPr="00981405">
        <w:t>MFN</w:t>
      </w:r>
      <w:r w:rsidR="00190923" w:rsidRPr="00981405">
        <w:t xml:space="preserve"> </w:t>
      </w:r>
      <w:r w:rsidR="00397032" w:rsidRPr="00981405">
        <w:t>to</w:t>
      </w:r>
      <w:r w:rsidR="00190923" w:rsidRPr="00981405">
        <w:t xml:space="preserve"> </w:t>
      </w:r>
      <w:r w:rsidR="00397032" w:rsidRPr="00981405">
        <w:t>third</w:t>
      </w:r>
      <w:r w:rsidR="00190923" w:rsidRPr="00981405">
        <w:t xml:space="preserve"> </w:t>
      </w:r>
      <w:r w:rsidR="00397032" w:rsidRPr="00981405">
        <w:t>States</w:t>
      </w:r>
      <w:r w:rsidR="00190923" w:rsidRPr="00981405">
        <w:t xml:space="preserve"> </w:t>
      </w:r>
      <w:r w:rsidR="00397032" w:rsidRPr="00981405">
        <w:t>(</w:t>
      </w:r>
      <w:r w:rsidR="00B92E2C" w:rsidRPr="00981405">
        <w:t>“</w:t>
      </w:r>
      <w:r w:rsidR="00397032" w:rsidRPr="00981405">
        <w:t>no</w:t>
      </w:r>
      <w:r w:rsidR="00190923" w:rsidRPr="00981405">
        <w:t xml:space="preserve"> </w:t>
      </w:r>
      <w:r w:rsidR="00397032" w:rsidRPr="00981405">
        <w:t>less</w:t>
      </w:r>
      <w:r w:rsidR="00190923" w:rsidRPr="00981405">
        <w:t xml:space="preserve"> </w:t>
      </w:r>
      <w:r w:rsidR="00397032" w:rsidRPr="00981405">
        <w:t>favourable</w:t>
      </w:r>
      <w:r w:rsidR="00B92E2C" w:rsidRPr="00981405">
        <w:t>”</w:t>
      </w:r>
      <w:r w:rsidR="00397032" w:rsidRPr="00981405">
        <w:t>).</w:t>
      </w:r>
      <w:r w:rsidR="00397032" w:rsidRPr="00981405">
        <w:rPr>
          <w:rStyle w:val="FootnoteReference"/>
        </w:rPr>
        <w:footnoteReference w:id="451"/>
      </w:r>
      <w:r w:rsidR="00190923" w:rsidRPr="00981405">
        <w:t xml:space="preserve"> </w:t>
      </w:r>
    </w:p>
    <w:p w:rsidR="00397032" w:rsidRPr="00981405" w:rsidRDefault="003F4261" w:rsidP="00D97463">
      <w:pPr>
        <w:pStyle w:val="SingleTxt"/>
        <w:tabs>
          <w:tab w:val="right" w:pos="1685"/>
        </w:tabs>
        <w:ind w:left="1742" w:hanging="475"/>
      </w:pPr>
      <w:r w:rsidRPr="00981405">
        <w:tab/>
        <w:t>•</w:t>
      </w:r>
      <w:r w:rsidRPr="00981405">
        <w:tab/>
      </w:r>
      <w:r w:rsidR="00397032" w:rsidRPr="00981405">
        <w:t>Third,</w:t>
      </w:r>
      <w:r w:rsidR="00190923" w:rsidRPr="00981405">
        <w:t xml:space="preserve"> </w:t>
      </w:r>
      <w:r w:rsidR="00397032" w:rsidRPr="00981405">
        <w:t>an</w:t>
      </w:r>
      <w:r w:rsidR="00190923" w:rsidRPr="00981405">
        <w:t xml:space="preserve"> </w:t>
      </w:r>
      <w:r w:rsidR="00397032" w:rsidRPr="00981405">
        <w:t>MFN</w:t>
      </w:r>
      <w:r w:rsidR="00190923" w:rsidRPr="00981405">
        <w:t xml:space="preserve"> </w:t>
      </w:r>
      <w:r w:rsidR="00397032" w:rsidRPr="00981405">
        <w:t>commitment</w:t>
      </w:r>
      <w:r w:rsidR="00190923" w:rsidRPr="00981405">
        <w:t xml:space="preserve"> </w:t>
      </w:r>
      <w:r w:rsidR="00397032" w:rsidRPr="00981405">
        <w:t>applies</w:t>
      </w:r>
      <w:r w:rsidR="00190923" w:rsidRPr="00981405">
        <w:t xml:space="preserve"> </w:t>
      </w:r>
      <w:r w:rsidR="00397032" w:rsidRPr="00981405">
        <w:t>only</w:t>
      </w:r>
      <w:r w:rsidR="00190923" w:rsidRPr="00981405">
        <w:t xml:space="preserve"> </w:t>
      </w:r>
      <w:r w:rsidR="00397032" w:rsidRPr="00981405">
        <w:t>to</w:t>
      </w:r>
      <w:r w:rsidR="00190923" w:rsidRPr="00981405">
        <w:t xml:space="preserve"> </w:t>
      </w:r>
      <w:r w:rsidR="00397032" w:rsidRPr="00981405">
        <w:t>treatment</w:t>
      </w:r>
      <w:r w:rsidR="00190923" w:rsidRPr="00981405">
        <w:t xml:space="preserve"> </w:t>
      </w:r>
      <w:r w:rsidR="00397032" w:rsidRPr="00981405">
        <w:t>that</w:t>
      </w:r>
      <w:r w:rsidR="00190923" w:rsidRPr="00981405">
        <w:t xml:space="preserve"> </w:t>
      </w:r>
      <w:r w:rsidR="00397032" w:rsidRPr="00981405">
        <w:t>is</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same</w:t>
      </w:r>
      <w:r w:rsidR="00190923" w:rsidRPr="00981405">
        <w:t xml:space="preserve"> </w:t>
      </w:r>
      <w:r w:rsidR="00397032" w:rsidRPr="00981405">
        <w:t>category</w:t>
      </w:r>
      <w:r w:rsidR="00190923" w:rsidRPr="00981405">
        <w:t xml:space="preserve"> </w:t>
      </w:r>
      <w:r w:rsidR="00397032" w:rsidRPr="00981405">
        <w:t>as</w:t>
      </w:r>
      <w:r w:rsidR="00190923" w:rsidRPr="00981405">
        <w:t xml:space="preserve"> </w:t>
      </w:r>
      <w:r w:rsidR="00397032" w:rsidRPr="00981405">
        <w:t>the</w:t>
      </w:r>
      <w:r w:rsidR="00190923" w:rsidRPr="00981405">
        <w:t xml:space="preserve"> </w:t>
      </w:r>
      <w:r w:rsidR="00397032" w:rsidRPr="00981405">
        <w:t>treatment</w:t>
      </w:r>
      <w:r w:rsidR="00190923" w:rsidRPr="00981405">
        <w:t xml:space="preserve"> </w:t>
      </w:r>
      <w:r w:rsidR="00397032" w:rsidRPr="00981405">
        <w:t>granted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third</w:t>
      </w:r>
      <w:r w:rsidR="00190923" w:rsidRPr="00981405">
        <w:t xml:space="preserve"> </w:t>
      </w:r>
      <w:r w:rsidR="00397032" w:rsidRPr="00981405">
        <w:t>State</w:t>
      </w:r>
      <w:r w:rsidR="00190923" w:rsidRPr="00981405">
        <w:t xml:space="preserve"> </w:t>
      </w:r>
      <w:r w:rsidR="00397032" w:rsidRPr="00981405">
        <w:t>(</w:t>
      </w:r>
      <w:r w:rsidR="00B92E2C" w:rsidRPr="00981405">
        <w:t>“</w:t>
      </w:r>
      <w:r w:rsidR="00397032" w:rsidRPr="00D97463">
        <w:rPr>
          <w:i/>
          <w:iCs/>
        </w:rPr>
        <w:t>ejusdem</w:t>
      </w:r>
      <w:r w:rsidR="00190923" w:rsidRPr="00D97463">
        <w:rPr>
          <w:i/>
          <w:iCs/>
        </w:rPr>
        <w:t xml:space="preserve"> </w:t>
      </w:r>
      <w:r w:rsidR="00397032" w:rsidRPr="00D97463">
        <w:rPr>
          <w:i/>
          <w:iCs/>
        </w:rPr>
        <w:t>generis</w:t>
      </w:r>
      <w:r w:rsidR="00B92E2C" w:rsidRPr="00981405">
        <w:t>”</w:t>
      </w:r>
      <w:r w:rsidR="00397032" w:rsidRPr="00981405">
        <w:t>).</w:t>
      </w:r>
      <w:r w:rsidR="00397032" w:rsidRPr="00981405">
        <w:rPr>
          <w:rStyle w:val="FootnoteReference"/>
        </w:rPr>
        <w:footnoteReference w:id="452"/>
      </w:r>
      <w:r w:rsidR="00190923" w:rsidRPr="00981405">
        <w:t xml:space="preserve"> </w:t>
      </w:r>
    </w:p>
    <w:p w:rsidR="00397032" w:rsidRPr="00981405" w:rsidRDefault="003F4261" w:rsidP="00D97463">
      <w:pPr>
        <w:pStyle w:val="SingleTxt"/>
        <w:tabs>
          <w:tab w:val="right" w:pos="1685"/>
        </w:tabs>
        <w:ind w:left="1742" w:hanging="475"/>
      </w:pPr>
      <w:r w:rsidRPr="00981405">
        <w:tab/>
        <w:t>•</w:t>
      </w:r>
      <w:r w:rsidRPr="00981405">
        <w:tab/>
      </w:r>
      <w:r w:rsidR="00397032" w:rsidRPr="00981405">
        <w:t>Fourth,</w:t>
      </w:r>
      <w:r w:rsidR="00190923" w:rsidRPr="00981405">
        <w:t xml:space="preserve"> </w:t>
      </w:r>
      <w:r w:rsidR="00397032" w:rsidRPr="00981405">
        <w:t>the</w:t>
      </w:r>
      <w:r w:rsidR="00190923" w:rsidRPr="00981405">
        <w:t xml:space="preserve"> </w:t>
      </w:r>
      <w:r w:rsidR="00397032" w:rsidRPr="00981405">
        <w:t>persons</w:t>
      </w:r>
      <w:r w:rsidR="00190923" w:rsidRPr="00981405">
        <w:t xml:space="preserve"> </w:t>
      </w:r>
      <w:r w:rsidR="00397032" w:rsidRPr="00981405">
        <w:t>or</w:t>
      </w:r>
      <w:r w:rsidR="00190923" w:rsidRPr="00981405">
        <w:t xml:space="preserve"> </w:t>
      </w:r>
      <w:r w:rsidR="00397032" w:rsidRPr="00981405">
        <w:t>entities</w:t>
      </w:r>
      <w:r w:rsidR="00190923" w:rsidRPr="00981405">
        <w:t xml:space="preserve"> </w:t>
      </w:r>
      <w:r w:rsidR="00397032" w:rsidRPr="00981405">
        <w:t>entitled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benefit</w:t>
      </w:r>
      <w:r w:rsidR="00190923" w:rsidRPr="00981405">
        <w:t xml:space="preserve"> </w:t>
      </w:r>
      <w:r w:rsidR="00397032" w:rsidRPr="00981405">
        <w:t>of</w:t>
      </w:r>
      <w:r w:rsidR="00190923" w:rsidRPr="00981405">
        <w:t xml:space="preserve"> </w:t>
      </w:r>
      <w:r w:rsidR="00397032" w:rsidRPr="00981405">
        <w:t>MFN</w:t>
      </w:r>
      <w:r w:rsidR="00190923" w:rsidRPr="00981405">
        <w:t xml:space="preserve"> </w:t>
      </w:r>
      <w:r w:rsidR="00397032" w:rsidRPr="00981405">
        <w:t>treatment</w:t>
      </w:r>
      <w:r w:rsidR="00190923" w:rsidRPr="00981405">
        <w:t xml:space="preserve"> </w:t>
      </w:r>
      <w:r w:rsidR="00397032" w:rsidRPr="00981405">
        <w:t>are</w:t>
      </w:r>
      <w:r w:rsidR="00190923" w:rsidRPr="00981405">
        <w:t xml:space="preserve"> </w:t>
      </w:r>
      <w:r w:rsidR="00397032" w:rsidRPr="00981405">
        <w:t>limited</w:t>
      </w:r>
      <w:r w:rsidR="00190923" w:rsidRPr="00981405">
        <w:t xml:space="preserve"> </w:t>
      </w:r>
      <w:r w:rsidR="00397032" w:rsidRPr="00981405">
        <w:t>to</w:t>
      </w:r>
      <w:r w:rsidR="00190923" w:rsidRPr="00981405">
        <w:t xml:space="preserve"> </w:t>
      </w:r>
      <w:r w:rsidR="00397032" w:rsidRPr="00981405">
        <w:t>those</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same</w:t>
      </w:r>
      <w:r w:rsidR="00190923" w:rsidRPr="00981405">
        <w:t xml:space="preserve"> </w:t>
      </w:r>
      <w:r w:rsidR="00397032" w:rsidRPr="00981405">
        <w:t>category</w:t>
      </w:r>
      <w:r w:rsidR="00190923" w:rsidRPr="00981405">
        <w:t xml:space="preserve"> </w:t>
      </w:r>
      <w:r w:rsidR="00397032" w:rsidRPr="00981405">
        <w:t>as</w:t>
      </w:r>
      <w:r w:rsidR="00190923" w:rsidRPr="00981405">
        <w:t xml:space="preserve"> </w:t>
      </w:r>
      <w:r w:rsidR="00397032" w:rsidRPr="00981405">
        <w:t>the</w:t>
      </w:r>
      <w:r w:rsidR="00190923" w:rsidRPr="00981405">
        <w:t xml:space="preserve"> </w:t>
      </w:r>
      <w:r w:rsidR="00397032" w:rsidRPr="00981405">
        <w:t>persons</w:t>
      </w:r>
      <w:r w:rsidR="00190923" w:rsidRPr="00981405">
        <w:t xml:space="preserve"> </w:t>
      </w:r>
      <w:r w:rsidR="00397032" w:rsidRPr="00981405">
        <w:t>or</w:t>
      </w:r>
      <w:r w:rsidR="00190923" w:rsidRPr="00981405">
        <w:t xml:space="preserve"> </w:t>
      </w:r>
      <w:r w:rsidR="00397032" w:rsidRPr="00981405">
        <w:t>entities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third</w:t>
      </w:r>
      <w:r w:rsidR="00190923" w:rsidRPr="00981405">
        <w:t xml:space="preserve"> </w:t>
      </w:r>
      <w:r w:rsidR="00397032" w:rsidRPr="00981405">
        <w:t>State</w:t>
      </w:r>
      <w:r w:rsidR="00190923" w:rsidRPr="00981405">
        <w:t xml:space="preserve"> </w:t>
      </w:r>
      <w:r w:rsidR="00397032" w:rsidRPr="00981405">
        <w:t>that</w:t>
      </w:r>
      <w:r w:rsidR="00190923" w:rsidRPr="00981405">
        <w:t xml:space="preserve"> </w:t>
      </w:r>
      <w:r w:rsidR="00397032" w:rsidRPr="00981405">
        <w:t>are</w:t>
      </w:r>
      <w:r w:rsidR="00190923" w:rsidRPr="00981405">
        <w:t xml:space="preserve"> </w:t>
      </w:r>
      <w:r w:rsidR="00397032" w:rsidRPr="00981405">
        <w:t>entitled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treatment</w:t>
      </w:r>
      <w:r w:rsidR="00190923" w:rsidRPr="00981405">
        <w:t xml:space="preserve"> </w:t>
      </w:r>
      <w:r w:rsidR="00397032" w:rsidRPr="00981405">
        <w:t>being</w:t>
      </w:r>
      <w:r w:rsidR="00190923" w:rsidRPr="00981405">
        <w:t xml:space="preserve"> </w:t>
      </w:r>
      <w:r w:rsidR="00397032" w:rsidRPr="00981405">
        <w:t>claimed.</w:t>
      </w:r>
      <w:r w:rsidR="00397032" w:rsidRPr="00981405">
        <w:rPr>
          <w:rStyle w:val="FootnoteReference"/>
        </w:rPr>
        <w:footnoteReference w:id="453"/>
      </w:r>
    </w:p>
    <w:p w:rsidR="00397032" w:rsidRPr="00981405" w:rsidRDefault="00397032" w:rsidP="00D97463">
      <w:pPr>
        <w:pStyle w:val="SingleTxt"/>
        <w:rPr>
          <w:rFonts w:eastAsia="SimSun"/>
        </w:rPr>
      </w:pPr>
      <w:r w:rsidRPr="00981405">
        <w:rPr>
          <w:rFonts w:eastAsia="SimSun"/>
        </w:rPr>
        <w:t>36.</w:t>
      </w:r>
      <w:r w:rsidRPr="00981405">
        <w:rPr>
          <w:rFonts w:eastAsia="SimSun"/>
        </w:rPr>
        <w:tab/>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second</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elements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create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greatest</w:t>
      </w:r>
      <w:r w:rsidR="00190923" w:rsidRPr="00981405">
        <w:rPr>
          <w:rFonts w:eastAsia="SimSun"/>
        </w:rPr>
        <w:t xml:space="preserve"> </w:t>
      </w:r>
      <w:r w:rsidRPr="00981405">
        <w:rPr>
          <w:rFonts w:eastAsia="SimSun"/>
        </w:rPr>
        <w:t>difficulty.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what</w:t>
      </w:r>
      <w:r w:rsidR="00190923" w:rsidRPr="00981405">
        <w:rPr>
          <w:rFonts w:eastAsia="SimSun"/>
        </w:rPr>
        <w:t xml:space="preserve"> </w:t>
      </w:r>
      <w:r w:rsidRPr="00981405">
        <w:rPr>
          <w:rFonts w:eastAsia="SimSun"/>
        </w:rPr>
        <w:t>constitutes</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whether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claimed</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same</w:t>
      </w:r>
      <w:r w:rsidR="00190923" w:rsidRPr="00981405">
        <w:rPr>
          <w:rFonts w:eastAsia="SimSun"/>
        </w:rPr>
        <w:t xml:space="preserve"> </w:t>
      </w:r>
      <w:r w:rsidRPr="00981405">
        <w:rPr>
          <w:rFonts w:eastAsia="SimSun"/>
        </w:rPr>
        <w:t>category</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have</w:t>
      </w:r>
      <w:r w:rsidR="00190923" w:rsidRPr="00981405">
        <w:rPr>
          <w:rFonts w:eastAsia="SimSun"/>
        </w:rPr>
        <w:t xml:space="preserve"> </w:t>
      </w:r>
      <w:r w:rsidRPr="00981405">
        <w:rPr>
          <w:rFonts w:eastAsia="SimSun"/>
        </w:rPr>
        <w:t>given</w:t>
      </w:r>
      <w:r w:rsidR="00190923" w:rsidRPr="00981405">
        <w:rPr>
          <w:rFonts w:eastAsia="SimSun"/>
        </w:rPr>
        <w:t xml:space="preserve"> </w:t>
      </w:r>
      <w:r w:rsidRPr="00981405">
        <w:rPr>
          <w:rFonts w:eastAsia="SimSun"/>
        </w:rPr>
        <w:t>rise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disputes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will</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seen,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whether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claimed</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same</w:t>
      </w:r>
      <w:r w:rsidR="00190923" w:rsidRPr="00981405">
        <w:rPr>
          <w:rFonts w:eastAsia="SimSun"/>
        </w:rPr>
        <w:t xml:space="preserve"> </w:t>
      </w:r>
      <w:r w:rsidRPr="00981405">
        <w:rPr>
          <w:rFonts w:eastAsia="SimSun"/>
        </w:rPr>
        <w:t>category</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heart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current</w:t>
      </w:r>
      <w:r w:rsidR="00190923" w:rsidRPr="00981405">
        <w:rPr>
          <w:rFonts w:eastAsia="SimSun"/>
        </w:rPr>
        <w:t xml:space="preserve"> </w:t>
      </w:r>
      <w:r w:rsidRPr="00981405">
        <w:rPr>
          <w:rFonts w:eastAsia="SimSun"/>
        </w:rPr>
        <w:t>controversies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field.</w:t>
      </w:r>
    </w:p>
    <w:p w:rsidR="00397032" w:rsidRPr="00D97463" w:rsidRDefault="00397032" w:rsidP="00D97463">
      <w:pPr>
        <w:pStyle w:val="SingleTxt"/>
        <w:spacing w:after="0" w:line="120" w:lineRule="exact"/>
        <w:rPr>
          <w:rFonts w:eastAsia="SimSun"/>
          <w:sz w:val="10"/>
        </w:rPr>
      </w:pPr>
    </w:p>
    <w:p w:rsidR="00397032" w:rsidRPr="00D97463" w:rsidRDefault="00397032" w:rsidP="00D97463">
      <w:pPr>
        <w:pStyle w:val="H23"/>
        <w:ind w:right="1260"/>
      </w:pPr>
      <w:bookmarkStart w:id="216" w:name="_Toc293434149"/>
      <w:bookmarkStart w:id="217" w:name="_Toc294353667"/>
      <w:r w:rsidRPr="00D97463">
        <w:tab/>
      </w:r>
      <w:bookmarkStart w:id="218" w:name="_Toc427938172"/>
      <w:r w:rsidRPr="00D97463">
        <w:t>1.</w:t>
      </w:r>
      <w:r w:rsidRPr="00D97463">
        <w:tab/>
        <w:t>The</w:t>
      </w:r>
      <w:r w:rsidR="00190923" w:rsidRPr="00D97463">
        <w:t xml:space="preserve"> </w:t>
      </w:r>
      <w:r w:rsidRPr="00D97463">
        <w:t>rationale</w:t>
      </w:r>
      <w:r w:rsidR="00190923" w:rsidRPr="00D97463">
        <w:t xml:space="preserve"> </w:t>
      </w:r>
      <w:r w:rsidRPr="00D97463">
        <w:t>for</w:t>
      </w:r>
      <w:r w:rsidR="00190923" w:rsidRPr="00D97463">
        <w:t xml:space="preserve"> </w:t>
      </w:r>
      <w:r w:rsidRPr="00D97463">
        <w:t>MFN</w:t>
      </w:r>
      <w:r w:rsidR="00190923" w:rsidRPr="00D97463">
        <w:t xml:space="preserve"> </w:t>
      </w:r>
      <w:r w:rsidRPr="00D97463">
        <w:t>treatment</w:t>
      </w:r>
      <w:bookmarkEnd w:id="216"/>
      <w:bookmarkEnd w:id="217"/>
      <w:bookmarkEnd w:id="218"/>
      <w:r w:rsidR="00190923" w:rsidRPr="00D97463">
        <w:t xml:space="preserve"> </w:t>
      </w:r>
    </w:p>
    <w:p w:rsidR="00397032" w:rsidRPr="00D97463" w:rsidRDefault="00397032" w:rsidP="00D97463">
      <w:pPr>
        <w:pStyle w:val="SingleTxt"/>
        <w:spacing w:after="0" w:line="120" w:lineRule="exact"/>
        <w:rPr>
          <w:rFonts w:eastAsia="SimSun"/>
          <w:sz w:val="10"/>
        </w:rPr>
      </w:pPr>
    </w:p>
    <w:p w:rsidR="00397032" w:rsidRPr="00981405" w:rsidRDefault="00397032" w:rsidP="00D97463">
      <w:pPr>
        <w:pStyle w:val="SingleTxt"/>
        <w:rPr>
          <w:rFonts w:eastAsia="SimSun"/>
        </w:rPr>
      </w:pPr>
      <w:r w:rsidRPr="00981405">
        <w:rPr>
          <w:rFonts w:eastAsia="SimSun"/>
        </w:rPr>
        <w:t>37.</w:t>
      </w:r>
      <w:r w:rsidRPr="00981405">
        <w:rPr>
          <w:rFonts w:eastAsia="SimSun"/>
        </w:rPr>
        <w:tab/>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essentially</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means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providing</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non-discrimination</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therefore</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seen</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reflection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principle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sovereign</w:t>
      </w:r>
      <w:r w:rsidR="00190923" w:rsidRPr="00981405">
        <w:rPr>
          <w:rFonts w:eastAsia="SimSun"/>
        </w:rPr>
        <w:t xml:space="preserve"> </w:t>
      </w:r>
      <w:r w:rsidRPr="00981405">
        <w:rPr>
          <w:rFonts w:eastAsia="SimSun"/>
        </w:rPr>
        <w:t>equality.</w:t>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origins</w:t>
      </w:r>
      <w:r w:rsidR="00190923" w:rsidRPr="00981405">
        <w:rPr>
          <w:rFonts w:eastAsia="SimSun"/>
        </w:rPr>
        <w:t xml:space="preserve"> </w:t>
      </w:r>
      <w:r w:rsidRPr="00981405">
        <w:rPr>
          <w:rFonts w:eastAsia="SimSun"/>
        </w:rPr>
        <w:t>suggest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founded</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more</w:t>
      </w:r>
      <w:r w:rsidR="00190923" w:rsidRPr="00981405">
        <w:rPr>
          <w:rFonts w:eastAsia="SimSun"/>
        </w:rPr>
        <w:t xml:space="preserve"> </w:t>
      </w:r>
      <w:r w:rsidRPr="00981405">
        <w:rPr>
          <w:rFonts w:eastAsia="SimSun"/>
        </w:rPr>
        <w:t>pragmatic</w:t>
      </w:r>
      <w:r w:rsidR="00190923" w:rsidRPr="00981405">
        <w:rPr>
          <w:rFonts w:eastAsia="SimSun"/>
        </w:rPr>
        <w:t xml:space="preserve"> </w:t>
      </w:r>
      <w:r w:rsidRPr="00981405">
        <w:rPr>
          <w:rFonts w:eastAsia="SimSun"/>
        </w:rPr>
        <w:t>desire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prevent</w:t>
      </w:r>
      <w:r w:rsidR="00190923" w:rsidRPr="00981405">
        <w:rPr>
          <w:rFonts w:eastAsia="SimSun"/>
        </w:rPr>
        <w:t xml:space="preserve"> </w:t>
      </w:r>
      <w:r w:rsidRPr="00981405">
        <w:rPr>
          <w:rFonts w:eastAsia="SimSun"/>
        </w:rPr>
        <w:t>competitive</w:t>
      </w:r>
      <w:r w:rsidR="00190923" w:rsidRPr="00981405">
        <w:rPr>
          <w:rFonts w:eastAsia="SimSun"/>
        </w:rPr>
        <w:t xml:space="preserve"> </w:t>
      </w:r>
      <w:r w:rsidRPr="00981405">
        <w:rPr>
          <w:rFonts w:eastAsia="SimSun"/>
        </w:rPr>
        <w:t>advantage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economic</w:t>
      </w:r>
      <w:r w:rsidR="00190923" w:rsidRPr="00981405">
        <w:rPr>
          <w:rFonts w:eastAsia="SimSun"/>
        </w:rPr>
        <w:t xml:space="preserve"> </w:t>
      </w:r>
      <w:r w:rsidRPr="00981405">
        <w:rPr>
          <w:rFonts w:eastAsia="SimSun"/>
        </w:rPr>
        <w:t>sphere.</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Special</w:t>
      </w:r>
      <w:r w:rsidR="00190923" w:rsidRPr="00981405">
        <w:rPr>
          <w:rFonts w:eastAsia="SimSun"/>
        </w:rPr>
        <w:t xml:space="preserve"> </w:t>
      </w:r>
      <w:r w:rsidRPr="00981405">
        <w:rPr>
          <w:rFonts w:eastAsia="SimSun"/>
        </w:rPr>
        <w:t>Rapporteur</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pointed</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his</w:t>
      </w:r>
      <w:r w:rsidR="00190923" w:rsidRPr="00981405">
        <w:rPr>
          <w:rFonts w:eastAsia="SimSun"/>
        </w:rPr>
        <w:t xml:space="preserve"> </w:t>
      </w:r>
      <w:r w:rsidRPr="00981405">
        <w:rPr>
          <w:rFonts w:eastAsia="SimSun"/>
        </w:rPr>
        <w:t>first</w:t>
      </w:r>
      <w:r w:rsidR="00190923" w:rsidRPr="00981405">
        <w:rPr>
          <w:rFonts w:eastAsia="SimSun"/>
        </w:rPr>
        <w:t xml:space="preserve"> </w:t>
      </w:r>
      <w:r w:rsidRPr="00981405">
        <w:rPr>
          <w:rFonts w:eastAsia="SimSun"/>
        </w:rPr>
        <w:t>report,</w:t>
      </w:r>
      <w:r w:rsidRPr="00981405">
        <w:rPr>
          <w:rStyle w:val="FootnoteReference"/>
        </w:rPr>
        <w:footnoteReference w:id="454"/>
      </w:r>
      <w:r w:rsidR="00190923" w:rsidRPr="00981405">
        <w:rPr>
          <w:rFonts w:eastAsia="SimSun"/>
        </w:rPr>
        <w:t xml:space="preserve"> </w:t>
      </w:r>
      <w:r w:rsidRPr="00981405">
        <w:rPr>
          <w:rFonts w:eastAsia="SimSun"/>
        </w:rPr>
        <w:t>traders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medieval</w:t>
      </w:r>
      <w:r w:rsidR="00190923" w:rsidRPr="00981405">
        <w:rPr>
          <w:rFonts w:eastAsia="SimSun"/>
        </w:rPr>
        <w:t xml:space="preserve"> </w:t>
      </w:r>
      <w:r w:rsidRPr="00981405">
        <w:rPr>
          <w:rFonts w:eastAsia="SimSun"/>
        </w:rPr>
        <w:t>times</w:t>
      </w:r>
      <w:r w:rsidR="00190923" w:rsidRPr="00981405">
        <w:rPr>
          <w:rFonts w:eastAsia="SimSun"/>
        </w:rPr>
        <w:t xml:space="preserve"> </w:t>
      </w:r>
      <w:r w:rsidRPr="00981405">
        <w:rPr>
          <w:rFonts w:eastAsia="SimSun"/>
        </w:rPr>
        <w:t>who</w:t>
      </w:r>
      <w:r w:rsidR="00190923" w:rsidRPr="00981405">
        <w:rPr>
          <w:rFonts w:eastAsia="SimSun"/>
        </w:rPr>
        <w:t xml:space="preserve"> </w:t>
      </w:r>
      <w:r w:rsidRPr="00981405">
        <w:rPr>
          <w:rFonts w:eastAsia="SimSun"/>
        </w:rPr>
        <w:t>could</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gain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monopoly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foreign</w:t>
      </w:r>
      <w:r w:rsidR="00190923" w:rsidRPr="00981405">
        <w:rPr>
          <w:rFonts w:eastAsia="SimSun"/>
        </w:rPr>
        <w:t xml:space="preserve"> </w:t>
      </w:r>
      <w:r w:rsidRPr="00981405">
        <w:rPr>
          <w:rFonts w:eastAsia="SimSun"/>
        </w:rPr>
        <w:t>markets</w:t>
      </w:r>
      <w:r w:rsidR="00190923" w:rsidRPr="00981405">
        <w:rPr>
          <w:rFonts w:eastAsia="SimSun"/>
        </w:rPr>
        <w:t xml:space="preserve"> </w:t>
      </w:r>
      <w:r w:rsidRPr="00981405">
        <w:rPr>
          <w:rFonts w:eastAsia="SimSun"/>
        </w:rPr>
        <w:t>sought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treated</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worse</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their</w:t>
      </w:r>
      <w:r w:rsidR="00190923" w:rsidRPr="00981405">
        <w:rPr>
          <w:rFonts w:eastAsia="SimSun"/>
        </w:rPr>
        <w:t xml:space="preserve"> </w:t>
      </w:r>
      <w:r w:rsidRPr="00981405">
        <w:rPr>
          <w:rFonts w:eastAsia="SimSun"/>
        </w:rPr>
        <w:t>competitors.</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then</w:t>
      </w:r>
      <w:r w:rsidR="00190923" w:rsidRPr="00981405">
        <w:rPr>
          <w:rFonts w:eastAsia="SimSun"/>
        </w:rPr>
        <w:t xml:space="preserve"> </w:t>
      </w:r>
      <w:r w:rsidRPr="00981405">
        <w:rPr>
          <w:rFonts w:eastAsia="SimSun"/>
        </w:rPr>
        <w:t>embodied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sovereign</w:t>
      </w:r>
      <w:r w:rsidR="00190923" w:rsidRPr="00981405">
        <w:rPr>
          <w:rFonts w:eastAsia="SimSun"/>
        </w:rPr>
        <w:t xml:space="preserve"> </w:t>
      </w:r>
      <w:r w:rsidRPr="00981405">
        <w:rPr>
          <w:rFonts w:eastAsia="SimSun"/>
        </w:rPr>
        <w:t>powers</w:t>
      </w:r>
      <w:r w:rsidR="00190923" w:rsidRPr="00981405">
        <w:rPr>
          <w:rFonts w:eastAsia="SimSun"/>
        </w:rPr>
        <w:t xml:space="preserve"> </w:t>
      </w:r>
      <w:r w:rsidR="00DB5DB6" w:rsidRPr="00981405">
        <w:rPr>
          <w:rFonts w:eastAsia="SimSun"/>
        </w:rPr>
        <w:t>—</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friendship,</w:t>
      </w:r>
      <w:r w:rsidR="00190923" w:rsidRPr="00981405">
        <w:rPr>
          <w:rFonts w:eastAsia="SimSun"/>
        </w:rPr>
        <w:t xml:space="preserve"> </w:t>
      </w:r>
      <w:r w:rsidRPr="00981405">
        <w:rPr>
          <w:rFonts w:eastAsia="SimSun"/>
        </w:rPr>
        <w:t>commerce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navigation</w:t>
      </w:r>
      <w:r w:rsidR="00190923" w:rsidRPr="00981405">
        <w:rPr>
          <w:rFonts w:eastAsia="SimSun"/>
        </w:rPr>
        <w:t xml:space="preserve"> </w:t>
      </w:r>
      <w:r w:rsidR="00DB5DB6" w:rsidRPr="00981405">
        <w:rPr>
          <w:rFonts w:eastAsia="SimSun"/>
        </w:rPr>
        <w: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went</w:t>
      </w:r>
      <w:r w:rsidR="00190923" w:rsidRPr="00981405">
        <w:rPr>
          <w:rFonts w:eastAsia="SimSun"/>
        </w:rPr>
        <w:t xml:space="preserve"> </w:t>
      </w:r>
      <w:r w:rsidRPr="00981405">
        <w:rPr>
          <w:rFonts w:eastAsia="SimSun"/>
        </w:rPr>
        <w:t>beyond</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ensure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sovereign</w:t>
      </w:r>
      <w:r w:rsidR="00B92E2C" w:rsidRPr="00981405">
        <w:rPr>
          <w:rFonts w:eastAsia="SimSun"/>
        </w:rPr>
        <w:t>’</w:t>
      </w:r>
      <w:r w:rsidRPr="00981405">
        <w:rPr>
          <w:rFonts w:eastAsia="SimSun"/>
        </w:rPr>
        <w:t>s</w:t>
      </w:r>
      <w:r w:rsidR="00190923" w:rsidRPr="00981405">
        <w:rPr>
          <w:rFonts w:eastAsia="SimSun"/>
        </w:rPr>
        <w:t xml:space="preserve"> </w:t>
      </w:r>
      <w:r w:rsidRPr="00981405">
        <w:rPr>
          <w:rFonts w:eastAsia="SimSun"/>
        </w:rPr>
        <w:t>subjects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foreign</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treated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well</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subjects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sovereigns.</w:t>
      </w:r>
    </w:p>
    <w:p w:rsidR="00397032" w:rsidRPr="00981405" w:rsidRDefault="00397032" w:rsidP="00D97463">
      <w:pPr>
        <w:pStyle w:val="SingleTxt"/>
        <w:rPr>
          <w:rFonts w:eastAsia="SimSun"/>
        </w:rPr>
      </w:pPr>
      <w:r w:rsidRPr="00981405">
        <w:rPr>
          <w:rFonts w:eastAsia="SimSun"/>
        </w:rPr>
        <w:t>38.</w:t>
      </w:r>
      <w:r w:rsidRPr="00981405">
        <w:rPr>
          <w:rFonts w:eastAsia="SimSun"/>
        </w:rPr>
        <w:tab/>
        <w:t>The</w:t>
      </w:r>
      <w:r w:rsidR="00190923" w:rsidRPr="00981405">
        <w:rPr>
          <w:rFonts w:eastAsia="SimSun"/>
        </w:rPr>
        <w:t xml:space="preserve"> </w:t>
      </w:r>
      <w:r w:rsidRPr="00981405">
        <w:rPr>
          <w:rFonts w:eastAsia="SimSun"/>
        </w:rPr>
        <w:t>prevention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discrimination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linked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economic</w:t>
      </w:r>
      <w:r w:rsidR="00190923" w:rsidRPr="00981405">
        <w:rPr>
          <w:rFonts w:eastAsia="SimSun"/>
        </w:rPr>
        <w:t xml:space="preserve"> </w:t>
      </w:r>
      <w:r w:rsidRPr="00981405">
        <w:rPr>
          <w:rFonts w:eastAsia="SimSun"/>
        </w:rPr>
        <w:t>concept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comparative</w:t>
      </w:r>
      <w:r w:rsidR="00190923" w:rsidRPr="00981405">
        <w:rPr>
          <w:rFonts w:eastAsia="SimSun"/>
        </w:rPr>
        <w:t xml:space="preserve"> </w:t>
      </w:r>
      <w:r w:rsidRPr="00981405">
        <w:rPr>
          <w:rFonts w:eastAsia="SimSun"/>
        </w:rPr>
        <w:t>advantage,</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lies</w:t>
      </w:r>
      <w:r w:rsidR="00190923" w:rsidRPr="00981405">
        <w:rPr>
          <w:rFonts w:eastAsia="SimSun"/>
        </w:rPr>
        <w:t xml:space="preserve"> </w:t>
      </w:r>
      <w:r w:rsidRPr="00981405">
        <w:rPr>
          <w:rFonts w:eastAsia="SimSun"/>
        </w:rPr>
        <w:t>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foundation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notions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free</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economic</w:t>
      </w:r>
      <w:r w:rsidR="00190923" w:rsidRPr="00981405">
        <w:rPr>
          <w:rFonts w:eastAsia="SimSun"/>
        </w:rPr>
        <w:t xml:space="preserve"> </w:t>
      </w:r>
      <w:r w:rsidRPr="00981405">
        <w:rPr>
          <w:rFonts w:eastAsia="SimSun"/>
        </w:rPr>
        <w:t>liberalism.</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theory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comparative</w:t>
      </w:r>
      <w:r w:rsidR="00190923" w:rsidRPr="00981405">
        <w:rPr>
          <w:rFonts w:eastAsia="SimSun"/>
        </w:rPr>
        <w:t xml:space="preserve"> </w:t>
      </w:r>
      <w:r w:rsidRPr="00981405">
        <w:rPr>
          <w:rFonts w:eastAsia="SimSun"/>
        </w:rPr>
        <w:t>advantage,</w:t>
      </w:r>
      <w:r w:rsidR="00190923" w:rsidRPr="00981405">
        <w:rPr>
          <w:rFonts w:eastAsia="SimSun"/>
        </w:rPr>
        <w:t xml:space="preserve"> </w:t>
      </w:r>
      <w:r w:rsidRPr="00981405">
        <w:rPr>
          <w:rFonts w:eastAsia="SimSun"/>
        </w:rPr>
        <w:t>countries</w:t>
      </w:r>
      <w:r w:rsidR="00190923" w:rsidRPr="00981405">
        <w:rPr>
          <w:rFonts w:eastAsia="SimSun"/>
        </w:rPr>
        <w:t xml:space="preserve"> </w:t>
      </w:r>
      <w:r w:rsidRPr="00981405">
        <w:rPr>
          <w:rFonts w:eastAsia="SimSun"/>
        </w:rPr>
        <w:t>should</w:t>
      </w:r>
      <w:r w:rsidR="00190923" w:rsidRPr="00981405">
        <w:rPr>
          <w:rFonts w:eastAsia="SimSun"/>
        </w:rPr>
        <w:t xml:space="preserve"> </w:t>
      </w:r>
      <w:r w:rsidRPr="00981405">
        <w:rPr>
          <w:rFonts w:eastAsia="SimSun"/>
        </w:rPr>
        <w:t>produce</w:t>
      </w:r>
      <w:r w:rsidR="00190923" w:rsidRPr="00981405">
        <w:rPr>
          <w:rFonts w:eastAsia="SimSun"/>
        </w:rPr>
        <w:t xml:space="preserve"> </w:t>
      </w:r>
      <w:r w:rsidRPr="00981405">
        <w:rPr>
          <w:rFonts w:eastAsia="SimSun"/>
        </w:rPr>
        <w:t>what</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most</w:t>
      </w:r>
      <w:r w:rsidR="00190923" w:rsidRPr="00981405">
        <w:rPr>
          <w:rFonts w:eastAsia="SimSun"/>
        </w:rPr>
        <w:t xml:space="preserve"> </w:t>
      </w:r>
      <w:r w:rsidRPr="00981405">
        <w:rPr>
          <w:rFonts w:eastAsia="SimSun"/>
        </w:rPr>
        <w:t>efficient</w:t>
      </w:r>
      <w:r w:rsidR="00190923" w:rsidRPr="00981405">
        <w:rPr>
          <w:rFonts w:eastAsia="SimSun"/>
        </w:rPr>
        <w:t xml:space="preserve"> </w:t>
      </w:r>
      <w:r w:rsidRPr="00981405">
        <w:rPr>
          <w:rFonts w:eastAsia="SimSun"/>
        </w:rPr>
        <w:t>at</w:t>
      </w:r>
      <w:r w:rsidR="00190923" w:rsidRPr="00981405">
        <w:rPr>
          <w:rFonts w:eastAsia="SimSun"/>
        </w:rPr>
        <w:t xml:space="preserve"> </w:t>
      </w:r>
      <w:r w:rsidRPr="00981405">
        <w:rPr>
          <w:rFonts w:eastAsia="SimSun"/>
        </w:rPr>
        <w:t>producing.</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efficiently</w:t>
      </w:r>
      <w:r w:rsidR="00190923" w:rsidRPr="00981405">
        <w:rPr>
          <w:rFonts w:eastAsia="SimSun"/>
        </w:rPr>
        <w:t xml:space="preserve"> </w:t>
      </w:r>
      <w:r w:rsidRPr="00981405">
        <w:rPr>
          <w:rFonts w:eastAsia="SimSun"/>
        </w:rPr>
        <w:t>produced</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so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theory</w:t>
      </w:r>
      <w:r w:rsidR="00190923" w:rsidRPr="00981405">
        <w:rPr>
          <w:rFonts w:eastAsia="SimSun"/>
        </w:rPr>
        <w:t xml:space="preserve"> </w:t>
      </w:r>
      <w:r w:rsidRPr="00981405">
        <w:rPr>
          <w:rFonts w:eastAsia="SimSun"/>
        </w:rPr>
        <w:t>goes,</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consumers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maximizes</w:t>
      </w:r>
      <w:r w:rsidR="00190923" w:rsidRPr="00981405">
        <w:rPr>
          <w:rFonts w:eastAsia="SimSun"/>
        </w:rPr>
        <w:t xml:space="preserve"> </w:t>
      </w:r>
      <w:r w:rsidRPr="00981405">
        <w:rPr>
          <w:rFonts w:eastAsia="SimSun"/>
        </w:rPr>
        <w:t>welfare.</w:t>
      </w:r>
      <w:r w:rsidRPr="00981405">
        <w:rPr>
          <w:rStyle w:val="FootnoteReference"/>
        </w:rPr>
        <w:footnoteReference w:id="455"/>
      </w:r>
      <w:r w:rsidR="00190923" w:rsidRPr="00981405">
        <w:rPr>
          <w:rFonts w:eastAsia="SimSun"/>
        </w:rPr>
        <w:t xml:space="preserve"> </w:t>
      </w:r>
      <w:r w:rsidRPr="00981405">
        <w:rPr>
          <w:rFonts w:eastAsia="SimSun"/>
        </w:rPr>
        <w:t>Efficiency</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lost,</w:t>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when</w:t>
      </w:r>
      <w:r w:rsidR="00190923" w:rsidRPr="00981405">
        <w:rPr>
          <w:rFonts w:eastAsia="SimSun"/>
        </w:rPr>
        <w:t xml:space="preserve"> </w:t>
      </w:r>
      <w:r w:rsidRPr="00981405">
        <w:rPr>
          <w:rFonts w:eastAsia="SimSun"/>
        </w:rPr>
        <w:t>country</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discriminates</w:t>
      </w:r>
      <w:r w:rsidR="00190923" w:rsidRPr="00981405">
        <w:rPr>
          <w:rFonts w:eastAsia="SimSun"/>
        </w:rPr>
        <w:t xml:space="preserve"> </w:t>
      </w:r>
      <w:r w:rsidRPr="00981405">
        <w:rPr>
          <w:rFonts w:eastAsia="SimSun"/>
        </w:rPr>
        <w:t>against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country</w:t>
      </w:r>
      <w:r w:rsidR="00190923" w:rsidRPr="00981405">
        <w:rPr>
          <w:rFonts w:eastAsia="SimSun"/>
        </w:rPr>
        <w:t xml:space="preserve"> </w:t>
      </w:r>
      <w:r w:rsidRPr="00981405">
        <w:rPr>
          <w:rFonts w:eastAsia="SimSun"/>
        </w:rPr>
        <w:t>B</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favour</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similar</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country</w:t>
      </w:r>
      <w:r w:rsidR="00190923" w:rsidRPr="00981405">
        <w:rPr>
          <w:rFonts w:eastAsia="SimSun"/>
        </w:rPr>
        <w:t xml:space="preserve"> </w:t>
      </w:r>
      <w:r w:rsidRPr="00981405">
        <w:rPr>
          <w:rFonts w:eastAsia="SimSun"/>
        </w:rPr>
        <w:t>C.</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prevents</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discrimination</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ensuring</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lastRenderedPageBreak/>
        <w:t>country</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country</w:t>
      </w:r>
      <w:r w:rsidR="00190923" w:rsidRPr="00981405">
        <w:rPr>
          <w:rFonts w:eastAsia="SimSun"/>
        </w:rPr>
        <w:t xml:space="preserve"> </w:t>
      </w:r>
      <w:r w:rsidRPr="00981405">
        <w:rPr>
          <w:rFonts w:eastAsia="SimSun"/>
        </w:rPr>
        <w:t>B</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country</w:t>
      </w:r>
      <w:r w:rsidR="00190923" w:rsidRPr="00981405">
        <w:rPr>
          <w:rFonts w:eastAsia="SimSun"/>
        </w:rPr>
        <w:t xml:space="preserve"> </w:t>
      </w:r>
      <w:r w:rsidRPr="00981405">
        <w:rPr>
          <w:rFonts w:eastAsia="SimSun"/>
        </w:rPr>
        <w:t>C.</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reason,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seen</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cornerstone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Pr="00981405">
        <w:rPr>
          <w:rStyle w:val="FootnoteReference"/>
        </w:rPr>
        <w:footnoteReference w:id="456"/>
      </w:r>
    </w:p>
    <w:p w:rsidR="00397032" w:rsidRPr="00981405" w:rsidRDefault="00397032" w:rsidP="00D97463">
      <w:pPr>
        <w:pStyle w:val="SingleTxt"/>
        <w:rPr>
          <w:rFonts w:eastAsia="SimSun"/>
        </w:rPr>
      </w:pPr>
      <w:r w:rsidRPr="00981405">
        <w:rPr>
          <w:rFonts w:eastAsia="SimSun"/>
        </w:rPr>
        <w:t>39.</w:t>
      </w:r>
      <w:r w:rsidRPr="00981405">
        <w:rPr>
          <w:rFonts w:eastAsia="SimSun"/>
        </w:rPr>
        <w:tab/>
        <w:t>The</w:t>
      </w:r>
      <w:r w:rsidR="00190923" w:rsidRPr="00981405">
        <w:rPr>
          <w:rFonts w:eastAsia="SimSun"/>
        </w:rPr>
        <w:t xml:space="preserve"> </w:t>
      </w:r>
      <w:r w:rsidRPr="00981405">
        <w:rPr>
          <w:rFonts w:eastAsia="SimSun"/>
        </w:rPr>
        <w:t>debate</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non-discrimination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preference,</w:t>
      </w:r>
      <w:r w:rsidR="00190923" w:rsidRPr="00981405">
        <w:rPr>
          <w:rFonts w:eastAsia="SimSun"/>
        </w:rPr>
        <w:t xml:space="preserve"> </w:t>
      </w:r>
      <w:r w:rsidRPr="00981405">
        <w:rPr>
          <w:rFonts w:eastAsia="SimSun"/>
        </w:rPr>
        <w:t>particularly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relation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developing</w:t>
      </w:r>
      <w:r w:rsidR="00190923" w:rsidRPr="00981405">
        <w:rPr>
          <w:rFonts w:eastAsia="SimSun"/>
        </w:rPr>
        <w:t xml:space="preserve"> </w:t>
      </w:r>
      <w:r w:rsidRPr="00981405">
        <w:rPr>
          <w:rFonts w:eastAsia="SimSun"/>
        </w:rPr>
        <w:t>countries,</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long</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many</w:t>
      </w:r>
      <w:r w:rsidR="00190923" w:rsidRPr="00981405">
        <w:rPr>
          <w:rFonts w:eastAsia="SimSun"/>
        </w:rPr>
        <w:t xml:space="preserve"> </w:t>
      </w:r>
      <w:r w:rsidRPr="00981405">
        <w:rPr>
          <w:rFonts w:eastAsia="SimSun"/>
        </w:rPr>
        <w:t>respects</w:t>
      </w:r>
      <w:r w:rsidR="00190923" w:rsidRPr="00981405">
        <w:rPr>
          <w:rFonts w:eastAsia="SimSun"/>
        </w:rPr>
        <w:t xml:space="preserve"> </w:t>
      </w:r>
      <w:r w:rsidRPr="00981405">
        <w:rPr>
          <w:rFonts w:eastAsia="SimSun"/>
        </w:rPr>
        <w:t>still</w:t>
      </w:r>
      <w:r w:rsidR="00190923" w:rsidRPr="00981405">
        <w:rPr>
          <w:rFonts w:eastAsia="SimSun"/>
        </w:rPr>
        <w:t xml:space="preserve"> </w:t>
      </w:r>
      <w:r w:rsidRPr="00981405">
        <w:rPr>
          <w:rFonts w:eastAsia="SimSun"/>
        </w:rPr>
        <w:t>remains</w:t>
      </w:r>
      <w:r w:rsidR="00190923" w:rsidRPr="00981405">
        <w:rPr>
          <w:rFonts w:eastAsia="SimSun"/>
        </w:rPr>
        <w:t xml:space="preserve"> </w:t>
      </w:r>
      <w:r w:rsidRPr="00981405">
        <w:rPr>
          <w:rFonts w:eastAsia="SimSun"/>
        </w:rPr>
        <w:t>unresolved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Pr="00981405">
        <w:rPr>
          <w:rStyle w:val="FootnoteReference"/>
        </w:rPr>
        <w:footnoteReference w:id="457"/>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40.</w:t>
      </w:r>
      <w:r w:rsidRPr="00981405">
        <w:rPr>
          <w:rFonts w:eastAsia="SimSun"/>
        </w:rPr>
        <w:tab/>
        <w:t>The</w:t>
      </w:r>
      <w:r w:rsidR="00190923" w:rsidRPr="00981405">
        <w:rPr>
          <w:rFonts w:eastAsia="SimSun"/>
        </w:rPr>
        <w:t xml:space="preserve"> </w:t>
      </w:r>
      <w:r w:rsidRPr="00981405">
        <w:rPr>
          <w:rFonts w:eastAsia="SimSun"/>
        </w:rPr>
        <w:t>relevance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economic</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beyond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services,</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areas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controversy.</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argued</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whereas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non-discrimination</w:t>
      </w:r>
      <w:r w:rsidR="00190923" w:rsidRPr="00981405">
        <w:rPr>
          <w:rFonts w:eastAsia="SimSun"/>
        </w:rPr>
        <w:t xml:space="preserve"> </w:t>
      </w:r>
      <w:r w:rsidRPr="00981405">
        <w:rPr>
          <w:rFonts w:eastAsia="SimSun"/>
        </w:rPr>
        <w:t>protects</w:t>
      </w:r>
      <w:r w:rsidR="00190923" w:rsidRPr="00981405">
        <w:rPr>
          <w:rFonts w:eastAsia="SimSun"/>
        </w:rPr>
        <w:t xml:space="preserve"> </w:t>
      </w:r>
      <w:r w:rsidRPr="00981405">
        <w:rPr>
          <w:rFonts w:eastAsia="SimSun"/>
        </w:rPr>
        <w:t>competitive</w:t>
      </w:r>
      <w:r w:rsidR="00190923" w:rsidRPr="00981405">
        <w:rPr>
          <w:rFonts w:eastAsia="SimSun"/>
        </w:rPr>
        <w:t xml:space="preserve"> </w:t>
      </w:r>
      <w:r w:rsidRPr="00981405">
        <w:rPr>
          <w:rFonts w:eastAsia="SimSun"/>
        </w:rPr>
        <w:t>opportunities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comparative</w:t>
      </w:r>
      <w:r w:rsidR="00190923" w:rsidRPr="00981405">
        <w:rPr>
          <w:rFonts w:eastAsia="SimSun"/>
        </w:rPr>
        <w:t xml:space="preserve"> </w:t>
      </w:r>
      <w:r w:rsidRPr="00981405">
        <w:rPr>
          <w:rFonts w:eastAsia="SimSun"/>
        </w:rPr>
        <w:t>advantage</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purpose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non-discrimination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protect</w:t>
      </w:r>
      <w:r w:rsidR="00190923" w:rsidRPr="00981405">
        <w:rPr>
          <w:rFonts w:eastAsia="SimSun"/>
        </w:rPr>
        <w:t xml:space="preserve"> </w:t>
      </w:r>
      <w:r w:rsidRPr="00981405">
        <w:rPr>
          <w:rFonts w:eastAsia="SimSun"/>
        </w:rPr>
        <w:t>investors</w:t>
      </w:r>
      <w:r w:rsidR="00B92E2C" w:rsidRPr="00981405">
        <w:rPr>
          <w:rFonts w:eastAsia="SimSun"/>
        </w:rPr>
        <w:t>’</w:t>
      </w:r>
      <w:r w:rsidR="00190923" w:rsidRPr="00981405">
        <w:rPr>
          <w:rFonts w:eastAsia="SimSun"/>
        </w:rPr>
        <w:t xml:space="preserve"> </w:t>
      </w:r>
      <w:r w:rsidRPr="00981405">
        <w:rPr>
          <w:rFonts w:eastAsia="SimSun"/>
        </w:rPr>
        <w:t>rights.</w:t>
      </w:r>
      <w:r w:rsidRPr="00981405">
        <w:rPr>
          <w:rStyle w:val="FootnoteReference"/>
        </w:rPr>
        <w:footnoteReference w:id="458"/>
      </w:r>
      <w:r w:rsidR="00190923" w:rsidRPr="00981405">
        <w:rPr>
          <w:rFonts w:eastAsia="SimSun"/>
        </w:rPr>
        <w:t xml:space="preserve"> </w:t>
      </w:r>
      <w:r w:rsidRPr="00981405">
        <w:rPr>
          <w:rFonts w:eastAsia="SimSun"/>
        </w:rPr>
        <w:t>Nonetheless,</w:t>
      </w:r>
      <w:r w:rsidR="00190923" w:rsidRPr="00981405">
        <w:rPr>
          <w:rFonts w:eastAsia="SimSun"/>
        </w:rPr>
        <w:t xml:space="preserve"> </w:t>
      </w:r>
      <w:r w:rsidRPr="00981405">
        <w:rPr>
          <w:rFonts w:eastAsia="SimSun"/>
        </w:rPr>
        <w:t>regardless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specific</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non-discrimination</w:t>
      </w:r>
      <w:r w:rsidR="00190923" w:rsidRPr="00981405">
        <w:rPr>
          <w:rFonts w:eastAsia="SimSun"/>
        </w:rPr>
        <w:t xml:space="preserve"> </w:t>
      </w:r>
      <w:r w:rsidRPr="00981405">
        <w:rPr>
          <w:rFonts w:eastAsia="SimSun"/>
        </w:rPr>
        <w:t>outside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relating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services</w:t>
      </w:r>
      <w:r w:rsidR="00190923" w:rsidRPr="00981405">
        <w:rPr>
          <w:rFonts w:eastAsia="SimSun"/>
        </w:rPr>
        <w:t xml:space="preserve"> </w:t>
      </w:r>
      <w:r w:rsidRPr="00981405">
        <w:rPr>
          <w:rFonts w:eastAsia="SimSun"/>
        </w:rPr>
        <w:t>continue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include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Having</w:t>
      </w:r>
      <w:r w:rsidR="00190923" w:rsidRPr="00981405">
        <w:rPr>
          <w:rFonts w:eastAsia="SimSun"/>
        </w:rPr>
        <w:t xml:space="preserve"> </w:t>
      </w:r>
      <w:r w:rsidRPr="00981405">
        <w:rPr>
          <w:rFonts w:eastAsia="SimSun"/>
        </w:rPr>
        <w:t>noted</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differences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view,</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Study</w:t>
      </w:r>
      <w:r w:rsidR="00190923" w:rsidRPr="00981405">
        <w:rPr>
          <w:rFonts w:eastAsia="SimSun"/>
        </w:rPr>
        <w:t xml:space="preserve"> </w:t>
      </w:r>
      <w:r w:rsidRPr="00981405">
        <w:rPr>
          <w:rFonts w:eastAsia="SimSun"/>
        </w:rPr>
        <w:t>Group</w:t>
      </w:r>
      <w:r w:rsidR="00190923" w:rsidRPr="00981405">
        <w:rPr>
          <w:rFonts w:eastAsia="SimSun"/>
        </w:rPr>
        <w:t xml:space="preserve"> </w:t>
      </w:r>
      <w:r w:rsidRPr="00981405">
        <w:rPr>
          <w:rFonts w:eastAsia="SimSun"/>
        </w:rPr>
        <w:t>did</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see</w:t>
      </w:r>
      <w:r w:rsidR="00190923" w:rsidRPr="00981405">
        <w:rPr>
          <w:rFonts w:eastAsia="SimSun"/>
        </w:rPr>
        <w:t xml:space="preserve"> </w:t>
      </w:r>
      <w:r w:rsidRPr="00981405">
        <w:rPr>
          <w:rFonts w:eastAsia="SimSun"/>
        </w:rPr>
        <w:t>any</w:t>
      </w:r>
      <w:r w:rsidR="00190923" w:rsidRPr="00981405">
        <w:rPr>
          <w:rFonts w:eastAsia="SimSun"/>
        </w:rPr>
        <w:t xml:space="preserve"> </w:t>
      </w:r>
      <w:r w:rsidRPr="00981405">
        <w:rPr>
          <w:rFonts w:eastAsia="SimSun"/>
        </w:rPr>
        <w:t>need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further</w:t>
      </w:r>
      <w:r w:rsidR="00190923" w:rsidRPr="00981405">
        <w:rPr>
          <w:rFonts w:eastAsia="SimSun"/>
        </w:rPr>
        <w:t xml:space="preserve"> </w:t>
      </w:r>
      <w:r w:rsidRPr="00981405">
        <w:rPr>
          <w:rFonts w:eastAsia="SimSun"/>
        </w:rPr>
        <w:t>consider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economic</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p>
    <w:p w:rsidR="00DB5DB6" w:rsidRPr="00D97463" w:rsidRDefault="00DB5DB6" w:rsidP="00D97463">
      <w:pPr>
        <w:pStyle w:val="SingleTxt"/>
        <w:spacing w:after="0" w:line="120" w:lineRule="exact"/>
        <w:rPr>
          <w:rFonts w:eastAsia="SimSun"/>
          <w:sz w:val="10"/>
        </w:rPr>
      </w:pPr>
    </w:p>
    <w:p w:rsidR="00DB5DB6" w:rsidRPr="00D97463" w:rsidRDefault="00DB5DB6" w:rsidP="00D97463">
      <w:pPr>
        <w:pStyle w:val="SingleTxt"/>
        <w:spacing w:after="0" w:line="120" w:lineRule="exact"/>
        <w:rPr>
          <w:sz w:val="10"/>
        </w:rPr>
      </w:pPr>
      <w:bookmarkStart w:id="219" w:name="_Toc293434150"/>
      <w:bookmarkStart w:id="220" w:name="_Toc294353668"/>
    </w:p>
    <w:p w:rsidR="00397032" w:rsidRPr="00D97463" w:rsidRDefault="00397032" w:rsidP="00D97463">
      <w:pPr>
        <w:pStyle w:val="H1"/>
        <w:ind w:right="1260"/>
      </w:pPr>
      <w:r w:rsidRPr="00D97463">
        <w:tab/>
        <w:t>B.</w:t>
      </w:r>
      <w:r w:rsidRPr="00D97463">
        <w:tab/>
        <w:t>Contemporary</w:t>
      </w:r>
      <w:r w:rsidR="00190923" w:rsidRPr="00D97463">
        <w:t xml:space="preserve"> </w:t>
      </w:r>
      <w:r w:rsidRPr="00D97463">
        <w:t>practice</w:t>
      </w:r>
      <w:r w:rsidR="00190923" w:rsidRPr="00D97463">
        <w:t xml:space="preserve"> </w:t>
      </w:r>
      <w:r w:rsidRPr="00D97463">
        <w:t>regarding</w:t>
      </w:r>
      <w:r w:rsidR="00190923" w:rsidRPr="00D97463">
        <w:t xml:space="preserve"> </w:t>
      </w:r>
      <w:r w:rsidRPr="00D97463">
        <w:t>MFN</w:t>
      </w:r>
      <w:bookmarkEnd w:id="219"/>
      <w:r w:rsidR="00190923" w:rsidRPr="00D97463">
        <w:t xml:space="preserve"> </w:t>
      </w:r>
      <w:r w:rsidRPr="00D97463">
        <w:t>clauses</w:t>
      </w:r>
      <w:bookmarkEnd w:id="220"/>
    </w:p>
    <w:p w:rsidR="00DB5DB6" w:rsidRPr="00D97463" w:rsidRDefault="00DB5DB6" w:rsidP="00D97463">
      <w:pPr>
        <w:pStyle w:val="SingleTxt"/>
        <w:spacing w:after="0" w:line="120" w:lineRule="exact"/>
        <w:rPr>
          <w:sz w:val="10"/>
        </w:rPr>
      </w:pPr>
    </w:p>
    <w:p w:rsidR="00DB5DB6" w:rsidRPr="00D97463" w:rsidRDefault="00DB5DB6" w:rsidP="00D97463">
      <w:pPr>
        <w:pStyle w:val="SingleTxt"/>
        <w:spacing w:after="0" w:line="120" w:lineRule="exact"/>
        <w:rPr>
          <w:sz w:val="10"/>
        </w:rPr>
      </w:pPr>
    </w:p>
    <w:p w:rsidR="00397032" w:rsidRPr="00D97463" w:rsidRDefault="00397032" w:rsidP="00D97463">
      <w:pPr>
        <w:pStyle w:val="H23"/>
        <w:ind w:right="1260"/>
      </w:pPr>
      <w:bookmarkStart w:id="221" w:name="_Toc293434151"/>
      <w:bookmarkStart w:id="222" w:name="_Toc294353669"/>
      <w:r w:rsidRPr="00D97463">
        <w:tab/>
        <w:t>1.</w:t>
      </w:r>
      <w:r w:rsidRPr="00D97463">
        <w:tab/>
        <w:t>MFN</w:t>
      </w:r>
      <w:r w:rsidR="00190923" w:rsidRPr="00D97463">
        <w:t xml:space="preserve"> </w:t>
      </w:r>
      <w:r w:rsidRPr="00D97463">
        <w:t>clauses</w:t>
      </w:r>
      <w:r w:rsidR="00190923" w:rsidRPr="00D97463">
        <w:t xml:space="preserve"> </w:t>
      </w:r>
      <w:r w:rsidRPr="00D97463">
        <w:t>in</w:t>
      </w:r>
      <w:r w:rsidR="00190923" w:rsidRPr="00D97463">
        <w:t xml:space="preserve"> </w:t>
      </w:r>
      <w:r w:rsidRPr="00D97463">
        <w:t>GATT</w:t>
      </w:r>
      <w:r w:rsidR="00190923" w:rsidRPr="00D97463">
        <w:t xml:space="preserve"> </w:t>
      </w:r>
      <w:r w:rsidRPr="00D97463">
        <w:t>and</w:t>
      </w:r>
      <w:r w:rsidR="00190923" w:rsidRPr="00D97463">
        <w:t xml:space="preserve"> </w:t>
      </w:r>
      <w:r w:rsidRPr="00D97463">
        <w:t>the</w:t>
      </w:r>
      <w:r w:rsidR="00190923" w:rsidRPr="00D97463">
        <w:t xml:space="preserve"> </w:t>
      </w:r>
      <w:r w:rsidRPr="00D97463">
        <w:t>WTO</w:t>
      </w:r>
      <w:bookmarkEnd w:id="221"/>
      <w:bookmarkEnd w:id="222"/>
    </w:p>
    <w:p w:rsidR="00DB5DB6" w:rsidRPr="00D97463" w:rsidRDefault="00DB5DB6" w:rsidP="00D97463">
      <w:pPr>
        <w:pStyle w:val="SingleTxt"/>
        <w:spacing w:after="0" w:line="120" w:lineRule="exact"/>
        <w:rPr>
          <w:sz w:val="10"/>
        </w:rPr>
      </w:pPr>
    </w:p>
    <w:p w:rsidR="00397032" w:rsidRPr="00981405" w:rsidRDefault="00397032" w:rsidP="00D97463">
      <w:pPr>
        <w:pStyle w:val="SingleTxt"/>
        <w:rPr>
          <w:rFonts w:eastAsia="SimSun"/>
        </w:rPr>
      </w:pPr>
      <w:r w:rsidRPr="00981405">
        <w:rPr>
          <w:rFonts w:eastAsia="SimSun"/>
        </w:rPr>
        <w:t>41.</w:t>
      </w:r>
      <w:r w:rsidRPr="00981405">
        <w:rPr>
          <w:rFonts w:eastAsia="SimSun"/>
        </w:rPr>
        <w:tab/>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always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regarded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central</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multilateral</w:t>
      </w:r>
      <w:r w:rsidR="00190923" w:rsidRPr="00981405">
        <w:rPr>
          <w:rFonts w:eastAsia="SimSun"/>
        </w:rPr>
        <w:t xml:space="preserve"> </w:t>
      </w:r>
      <w:r w:rsidRPr="00981405">
        <w:rPr>
          <w:rFonts w:eastAsia="SimSun"/>
        </w:rPr>
        <w:t>trading</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Set</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most</w:t>
      </w:r>
      <w:r w:rsidR="00190923" w:rsidRPr="00981405">
        <w:rPr>
          <w:rFonts w:eastAsia="SimSun"/>
        </w:rPr>
        <w:t xml:space="preserve"> </w:t>
      </w:r>
      <w:r w:rsidRPr="00981405">
        <w:rPr>
          <w:rFonts w:eastAsia="SimSun"/>
        </w:rPr>
        <w:t>comprehensive</w:t>
      </w:r>
      <w:r w:rsidR="00190923" w:rsidRPr="00981405">
        <w:rPr>
          <w:rFonts w:eastAsia="SimSun"/>
        </w:rPr>
        <w:t xml:space="preserve"> </w:t>
      </w:r>
      <w:r w:rsidRPr="00981405">
        <w:rPr>
          <w:rFonts w:eastAsia="SimSun"/>
        </w:rPr>
        <w:t>form</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1.1,</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found</w:t>
      </w:r>
      <w:r w:rsidR="00190923" w:rsidRPr="00981405">
        <w:rPr>
          <w:rFonts w:eastAsia="SimSun"/>
        </w:rPr>
        <w:t xml:space="preserve"> </w:t>
      </w:r>
      <w:r w:rsidRPr="00981405">
        <w:rPr>
          <w:rFonts w:eastAsia="SimSun"/>
        </w:rPr>
        <w:t>directly</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indirectly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GATT.</w:t>
      </w:r>
      <w:r w:rsidRPr="00981405">
        <w:rPr>
          <w:rStyle w:val="FootnoteReference"/>
        </w:rPr>
        <w:footnoteReference w:id="459"/>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two</w:t>
      </w:r>
      <w:r w:rsidR="00190923" w:rsidRPr="00981405">
        <w:rPr>
          <w:rFonts w:eastAsia="SimSun"/>
        </w:rPr>
        <w:t xml:space="preserve"> </w:t>
      </w:r>
      <w:r w:rsidRPr="00981405">
        <w:rPr>
          <w:rFonts w:eastAsia="SimSun"/>
        </w:rPr>
        <w:t>key</w:t>
      </w:r>
      <w:r w:rsidR="00190923" w:rsidRPr="00981405">
        <w:rPr>
          <w:rFonts w:eastAsia="SimSun"/>
        </w:rPr>
        <w:t xml:space="preserve"> </w:t>
      </w:r>
      <w:r w:rsidRPr="00981405">
        <w:rPr>
          <w:rFonts w:eastAsia="SimSun"/>
        </w:rPr>
        <w:t>aspects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incorporated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First,</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operated</w:t>
      </w:r>
      <w:r w:rsidR="00190923" w:rsidRPr="00981405">
        <w:rPr>
          <w:rFonts w:eastAsia="SimSun"/>
        </w:rPr>
        <w:t xml:space="preserve"> </w:t>
      </w:r>
      <w:r w:rsidRPr="00981405">
        <w:rPr>
          <w:rFonts w:eastAsia="SimSun"/>
        </w:rPr>
        <w:t>multilaterally</w:t>
      </w:r>
      <w:r w:rsidR="00190923" w:rsidRPr="00981405">
        <w:rPr>
          <w:rFonts w:eastAsia="SimSun"/>
        </w:rPr>
        <w:t xml:space="preserve"> </w:t>
      </w:r>
      <w:r w:rsidRPr="00981405">
        <w:rPr>
          <w:rFonts w:eastAsia="SimSun"/>
        </w:rPr>
        <w:t>and</w:t>
      </w:r>
      <w:r w:rsidR="00190923" w:rsidRPr="00981405">
        <w:rPr>
          <w:rFonts w:eastAsia="SimSun"/>
        </w:rPr>
        <w:t xml:space="preserve"> </w:t>
      </w:r>
      <w:r w:rsidR="00B92E2C" w:rsidRPr="00981405">
        <w:rPr>
          <w:rFonts w:eastAsia="SimSun"/>
        </w:rPr>
        <w:t>“</w:t>
      </w:r>
      <w:r w:rsidRPr="00981405">
        <w:rPr>
          <w:rFonts w:eastAsia="SimSun"/>
        </w:rPr>
        <w:t>advantages,</w:t>
      </w:r>
      <w:r w:rsidR="00190923" w:rsidRPr="00981405">
        <w:rPr>
          <w:rFonts w:eastAsia="SimSun"/>
        </w:rPr>
        <w:t xml:space="preserve"> </w:t>
      </w:r>
      <w:r w:rsidRPr="00981405">
        <w:rPr>
          <w:rFonts w:eastAsia="SimSun"/>
        </w:rPr>
        <w:t>favours,</w:t>
      </w:r>
      <w:r w:rsidR="00190923" w:rsidRPr="00981405">
        <w:rPr>
          <w:rFonts w:eastAsia="SimSun"/>
        </w:rPr>
        <w:t xml:space="preserve"> </w:t>
      </w:r>
      <w:r w:rsidRPr="00981405">
        <w:rPr>
          <w:rFonts w:eastAsia="SimSun"/>
        </w:rPr>
        <w:t>privileges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immunities</w:t>
      </w:r>
      <w:r w:rsidR="00B92E2C" w:rsidRPr="00981405">
        <w:rPr>
          <w:rFonts w:eastAsia="SimSun"/>
        </w:rPr>
        <w:t>”</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contracting</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contracting</w:t>
      </w:r>
      <w:r w:rsidR="00190923" w:rsidRPr="00981405">
        <w:rPr>
          <w:rFonts w:eastAsia="SimSun"/>
        </w:rPr>
        <w:t xml:space="preserve"> </w:t>
      </w:r>
      <w:r w:rsidRPr="00981405">
        <w:rPr>
          <w:rFonts w:eastAsia="SimSun"/>
        </w:rPr>
        <w:t>parties.</w:t>
      </w:r>
      <w:r w:rsidR="00190923" w:rsidRPr="00981405">
        <w:rPr>
          <w:rFonts w:eastAsia="SimSun"/>
        </w:rPr>
        <w:t xml:space="preserve"> </w:t>
      </w:r>
      <w:r w:rsidRPr="00981405">
        <w:rPr>
          <w:rFonts w:eastAsia="SimSun"/>
        </w:rPr>
        <w:t>Second,</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unconditionally.</w:t>
      </w:r>
    </w:p>
    <w:p w:rsidR="00397032" w:rsidRPr="00981405" w:rsidRDefault="00397032" w:rsidP="00D97463">
      <w:pPr>
        <w:pStyle w:val="SingleTxt"/>
        <w:rPr>
          <w:rFonts w:eastAsia="SimSun"/>
        </w:rPr>
      </w:pPr>
      <w:r w:rsidRPr="00981405">
        <w:rPr>
          <w:rFonts w:eastAsia="SimSun"/>
        </w:rPr>
        <w:t>42.</w:t>
      </w:r>
      <w:r w:rsidRPr="00981405">
        <w:rPr>
          <w:rFonts w:eastAsia="SimSun"/>
        </w:rPr>
        <w:tab/>
        <w:t>The</w:t>
      </w:r>
      <w:r w:rsidR="00190923" w:rsidRPr="00981405">
        <w:rPr>
          <w:rFonts w:eastAsia="SimSun"/>
        </w:rPr>
        <w:t xml:space="preserve"> </w:t>
      </w:r>
      <w:r w:rsidRPr="00981405">
        <w:rPr>
          <w:rFonts w:eastAsia="SimSun"/>
        </w:rPr>
        <w:t>centrality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lay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fact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avoided</w:t>
      </w:r>
      <w:r w:rsidR="00190923" w:rsidRPr="00981405">
        <w:rPr>
          <w:rFonts w:eastAsia="SimSun"/>
        </w:rPr>
        <w:t xml:space="preserve"> </w:t>
      </w:r>
      <w:r w:rsidRPr="00981405">
        <w:rPr>
          <w:rFonts w:eastAsia="SimSun"/>
        </w:rPr>
        <w:t>discrimination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tariffs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accorded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crossed</w:t>
      </w:r>
      <w:r w:rsidR="00190923" w:rsidRPr="00981405">
        <w:rPr>
          <w:rFonts w:eastAsia="SimSun"/>
        </w:rPr>
        <w:t xml:space="preserve"> </w:t>
      </w:r>
      <w:r w:rsidRPr="00981405">
        <w:rPr>
          <w:rFonts w:eastAsia="SimSun"/>
        </w:rPr>
        <w:t>borders.</w:t>
      </w:r>
      <w:r w:rsidR="00190923" w:rsidRPr="00981405">
        <w:rPr>
          <w:rFonts w:eastAsia="SimSun"/>
        </w:rPr>
        <w:t xml:space="preserve"> </w:t>
      </w:r>
      <w:r w:rsidRPr="00981405">
        <w:rPr>
          <w:rFonts w:eastAsia="SimSun"/>
        </w:rPr>
        <w:t>Historically</w:t>
      </w:r>
      <w:r w:rsidR="00190923" w:rsidRPr="00981405">
        <w:rPr>
          <w:rFonts w:eastAsia="SimSun"/>
        </w:rPr>
        <w:t xml:space="preserve"> </w:t>
      </w:r>
      <w:r w:rsidRPr="00981405">
        <w:rPr>
          <w:rFonts w:eastAsia="SimSun"/>
        </w:rPr>
        <w:t>tariffs</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negotiated</w:t>
      </w:r>
      <w:r w:rsidR="00190923" w:rsidRPr="00981405">
        <w:rPr>
          <w:rFonts w:eastAsia="SimSun"/>
        </w:rPr>
        <w:t xml:space="preserve"> </w:t>
      </w:r>
      <w:r w:rsidRPr="00981405">
        <w:rPr>
          <w:rFonts w:eastAsia="SimSun"/>
        </w:rPr>
        <w:t>bilaterally</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among</w:t>
      </w:r>
      <w:r w:rsidR="00190923" w:rsidRPr="00981405">
        <w:rPr>
          <w:rFonts w:eastAsia="SimSun"/>
        </w:rPr>
        <w:t xml:space="preserve"> </w:t>
      </w:r>
      <w:r w:rsidRPr="00981405">
        <w:rPr>
          <w:rFonts w:eastAsia="SimSun"/>
        </w:rPr>
        <w:t>groups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countries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then</w:t>
      </w:r>
      <w:r w:rsidR="00190923" w:rsidRPr="00981405">
        <w:rPr>
          <w:rFonts w:eastAsia="SimSun"/>
        </w:rPr>
        <w:t xml:space="preserve"> </w:t>
      </w:r>
      <w:r w:rsidRPr="00981405">
        <w:rPr>
          <w:rFonts w:eastAsia="SimSun"/>
        </w:rPr>
        <w:t>applied</w:t>
      </w:r>
      <w:r w:rsidR="00190923" w:rsidRPr="00981405">
        <w:rPr>
          <w:rFonts w:eastAsia="SimSun"/>
        </w:rPr>
        <w:t xml:space="preserve"> </w:t>
      </w:r>
      <w:r w:rsidRPr="00981405">
        <w:rPr>
          <w:rFonts w:eastAsia="SimSun"/>
        </w:rPr>
        <w:t>across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board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contracting</w:t>
      </w:r>
      <w:r w:rsidR="00190923" w:rsidRPr="00981405">
        <w:rPr>
          <w:rFonts w:eastAsia="SimSun"/>
        </w:rPr>
        <w:t xml:space="preserve"> </w:t>
      </w:r>
      <w:r w:rsidRPr="00981405">
        <w:rPr>
          <w:rFonts w:eastAsia="SimSun"/>
        </w:rPr>
        <w:t>parties</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virtue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way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equality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competitive</w:t>
      </w:r>
      <w:r w:rsidR="00190923" w:rsidRPr="00981405">
        <w:rPr>
          <w:rFonts w:eastAsia="SimSun"/>
        </w:rPr>
        <w:t xml:space="preserve"> </w:t>
      </w:r>
      <w:r w:rsidRPr="00981405">
        <w:rPr>
          <w:rFonts w:eastAsia="SimSun"/>
        </w:rPr>
        <w:t>opportunities</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traders</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preserved.</w:t>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43.</w:t>
      </w:r>
      <w:r w:rsidRPr="00981405">
        <w:rPr>
          <w:rFonts w:eastAsia="SimSun"/>
        </w:rPr>
        <w:tab/>
        <w:t>However,</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expanded</w:t>
      </w:r>
      <w:r w:rsidR="00190923" w:rsidRPr="00981405">
        <w:rPr>
          <w:rFonts w:eastAsia="SimSun"/>
        </w:rPr>
        <w:t xml:space="preserve"> </w:t>
      </w:r>
      <w:r w:rsidRPr="00981405">
        <w:rPr>
          <w:rFonts w:eastAsia="SimSun"/>
        </w:rPr>
        <w:t>from</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new</w:t>
      </w:r>
      <w:r w:rsidR="00190923" w:rsidRPr="00981405">
        <w:rPr>
          <w:rFonts w:eastAsia="SimSun"/>
        </w:rPr>
        <w:t xml:space="preserve"> </w:t>
      </w:r>
      <w:r w:rsidRPr="00981405">
        <w:rPr>
          <w:rFonts w:eastAsia="SimSun"/>
        </w:rPr>
        <w:t>regime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services.</w:t>
      </w:r>
      <w:r w:rsidRPr="00981405">
        <w:rPr>
          <w:rStyle w:val="FootnoteReference"/>
        </w:rPr>
        <w:footnoteReference w:id="460"/>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included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new</w:t>
      </w:r>
      <w:r w:rsidR="00190923" w:rsidRPr="00981405">
        <w:rPr>
          <w:rFonts w:eastAsia="SimSun"/>
        </w:rPr>
        <w:t xml:space="preserve"> </w:t>
      </w:r>
      <w:r w:rsidRPr="00981405">
        <w:rPr>
          <w:rFonts w:eastAsia="SimSun"/>
        </w:rPr>
        <w:t>obligations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concerning</w:t>
      </w:r>
      <w:r w:rsidR="00190923" w:rsidRPr="00981405">
        <w:rPr>
          <w:rFonts w:eastAsia="SimSun"/>
        </w:rPr>
        <w:t xml:space="preserve"> </w:t>
      </w:r>
      <w:r w:rsidRPr="00981405">
        <w:rPr>
          <w:rFonts w:eastAsia="SimSun"/>
        </w:rPr>
        <w:t>trade-related</w:t>
      </w:r>
      <w:r w:rsidR="00190923" w:rsidRPr="00981405">
        <w:rPr>
          <w:rFonts w:eastAsia="SimSun"/>
        </w:rPr>
        <w:t xml:space="preserve"> </w:t>
      </w:r>
      <w:r w:rsidRPr="00981405">
        <w:rPr>
          <w:rFonts w:eastAsia="SimSun"/>
        </w:rPr>
        <w:t>aspects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intellectual</w:t>
      </w:r>
      <w:r w:rsidR="00190923" w:rsidRPr="00981405">
        <w:rPr>
          <w:rFonts w:eastAsia="SimSun"/>
        </w:rPr>
        <w:t xml:space="preserve"> </w:t>
      </w:r>
      <w:r w:rsidRPr="00981405">
        <w:rPr>
          <w:rFonts w:eastAsia="SimSun"/>
        </w:rPr>
        <w:t>property</w:t>
      </w:r>
      <w:r w:rsidR="00190923" w:rsidRPr="00981405">
        <w:rPr>
          <w:rFonts w:eastAsia="SimSun"/>
        </w:rPr>
        <w:t xml:space="preserve"> </w:t>
      </w:r>
      <w:r w:rsidRPr="00981405">
        <w:rPr>
          <w:rFonts w:eastAsia="SimSun"/>
        </w:rPr>
        <w:t>(TRIPS).</w:t>
      </w:r>
      <w:r w:rsidR="00190923" w:rsidRPr="00981405">
        <w:rPr>
          <w:rFonts w:eastAsia="SimSun"/>
        </w:rPr>
        <w:t xml:space="preserve"> </w:t>
      </w:r>
      <w:r w:rsidRPr="00981405">
        <w:rPr>
          <w:rFonts w:eastAsia="SimSun"/>
        </w:rPr>
        <w:t>Thus,</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pervasive</w:t>
      </w:r>
      <w:r w:rsidR="00190923" w:rsidRPr="00981405">
        <w:rPr>
          <w:rFonts w:eastAsia="SimSun"/>
        </w:rPr>
        <w:t xml:space="preserve"> </w:t>
      </w:r>
      <w:r w:rsidRPr="00981405">
        <w:rPr>
          <w:rFonts w:eastAsia="SimSun"/>
        </w:rPr>
        <w:t>throughout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whole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system.</w:t>
      </w:r>
    </w:p>
    <w:p w:rsidR="00397032" w:rsidRPr="00981405" w:rsidRDefault="00397032" w:rsidP="00D97463">
      <w:pPr>
        <w:pStyle w:val="SingleTxt"/>
        <w:rPr>
          <w:rFonts w:eastAsia="SimSun"/>
        </w:rPr>
      </w:pPr>
      <w:r w:rsidRPr="00981405">
        <w:rPr>
          <w:rFonts w:eastAsia="SimSun"/>
        </w:rPr>
        <w:lastRenderedPageBreak/>
        <w:t>44.</w:t>
      </w:r>
      <w:r w:rsidRPr="00981405">
        <w:rPr>
          <w:rFonts w:eastAsia="SimSun"/>
        </w:rPr>
        <w:tab/>
        <w:t>The</w:t>
      </w:r>
      <w:r w:rsidR="00190923" w:rsidRPr="00981405">
        <w:rPr>
          <w:rFonts w:eastAsia="SimSun"/>
        </w:rPr>
        <w:t xml:space="preserve"> </w:t>
      </w:r>
      <w:r w:rsidRPr="00981405">
        <w:rPr>
          <w:rFonts w:eastAsia="SimSun"/>
        </w:rPr>
        <w:t>Study</w:t>
      </w:r>
      <w:r w:rsidR="00190923" w:rsidRPr="00981405">
        <w:rPr>
          <w:rFonts w:eastAsia="SimSun"/>
        </w:rPr>
        <w:t xml:space="preserve"> </w:t>
      </w:r>
      <w:r w:rsidRPr="00981405">
        <w:rPr>
          <w:rFonts w:eastAsia="SimSun"/>
        </w:rPr>
        <w:t>Group</w:t>
      </w:r>
      <w:r w:rsidR="00190923" w:rsidRPr="00981405">
        <w:rPr>
          <w:rFonts w:eastAsia="SimSun"/>
        </w:rPr>
        <w:t xml:space="preserve"> </w:t>
      </w:r>
      <w:r w:rsidRPr="00981405">
        <w:rPr>
          <w:rFonts w:eastAsia="SimSun"/>
        </w:rPr>
        <w:t>reviewed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way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applied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From</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review</w:t>
      </w:r>
      <w:r w:rsidR="00190923" w:rsidRPr="00981405">
        <w:rPr>
          <w:rFonts w:eastAsia="SimSun"/>
        </w:rPr>
        <w:t xml:space="preserve"> </w:t>
      </w:r>
      <w:r w:rsidRPr="00981405">
        <w:rPr>
          <w:rFonts w:eastAsia="SimSun"/>
        </w:rPr>
        <w:t>certain</w:t>
      </w:r>
      <w:r w:rsidR="00190923" w:rsidRPr="00981405">
        <w:rPr>
          <w:rFonts w:eastAsia="SimSun"/>
        </w:rPr>
        <w:t xml:space="preserve"> </w:t>
      </w:r>
      <w:r w:rsidRPr="00981405">
        <w:rPr>
          <w:rFonts w:eastAsia="SimSun"/>
        </w:rPr>
        <w:t>general</w:t>
      </w:r>
      <w:r w:rsidR="00190923" w:rsidRPr="00981405">
        <w:rPr>
          <w:rFonts w:eastAsia="SimSun"/>
        </w:rPr>
        <w:t xml:space="preserve"> </w:t>
      </w:r>
      <w:r w:rsidRPr="00981405">
        <w:rPr>
          <w:rFonts w:eastAsia="SimSun"/>
        </w:rPr>
        <w:t>conclusions</w:t>
      </w:r>
      <w:r w:rsidR="00190923" w:rsidRPr="00981405">
        <w:rPr>
          <w:rFonts w:eastAsia="SimSun"/>
        </w:rPr>
        <w:t xml:space="preserve"> </w:t>
      </w:r>
      <w:r w:rsidRPr="00981405">
        <w:rPr>
          <w:rFonts w:eastAsia="SimSun"/>
        </w:rPr>
        <w:t>could</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drawn</w:t>
      </w:r>
      <w:r w:rsidR="00190923" w:rsidRPr="00981405">
        <w:rPr>
          <w:rFonts w:eastAsia="SimSun"/>
        </w:rPr>
        <w:t xml:space="preserve"> </w:t>
      </w:r>
      <w:r w:rsidRPr="00981405">
        <w:rPr>
          <w:rFonts w:eastAsia="SimSun"/>
        </w:rPr>
        <w:t>about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system.</w:t>
      </w:r>
    </w:p>
    <w:p w:rsidR="00397032" w:rsidRPr="00981405" w:rsidRDefault="00397032" w:rsidP="00D97463">
      <w:pPr>
        <w:pStyle w:val="SingleTxt"/>
        <w:rPr>
          <w:rFonts w:eastAsia="SimSun"/>
        </w:rPr>
      </w:pPr>
      <w:r w:rsidRPr="00981405">
        <w:rPr>
          <w:rFonts w:eastAsia="SimSun"/>
        </w:rPr>
        <w:t>45.</w:t>
      </w:r>
      <w:r w:rsidRPr="00981405">
        <w:rPr>
          <w:rFonts w:eastAsia="SimSun"/>
        </w:rPr>
        <w:tab/>
        <w:t>First,</w:t>
      </w:r>
      <w:r w:rsidR="00190923" w:rsidRPr="00981405">
        <w:rPr>
          <w:rFonts w:eastAsia="SimSun"/>
        </w:rPr>
        <w:t xml:space="preserve"> </w:t>
      </w:r>
      <w:r w:rsidRPr="00981405">
        <w:rPr>
          <w:rFonts w:eastAsia="SimSun"/>
        </w:rPr>
        <w:t>notwithstanding</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fact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worded</w:t>
      </w:r>
      <w:r w:rsidR="00190923" w:rsidRPr="00981405">
        <w:rPr>
          <w:rFonts w:eastAsia="SimSun"/>
        </w:rPr>
        <w:t xml:space="preserve"> </w:t>
      </w:r>
      <w:r w:rsidRPr="00981405">
        <w:rPr>
          <w:rFonts w:eastAsia="SimSun"/>
        </w:rPr>
        <w:t>differently,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approach</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Appellate</w:t>
      </w:r>
      <w:r w:rsidR="00190923" w:rsidRPr="00981405">
        <w:rPr>
          <w:rFonts w:eastAsia="SimSun"/>
        </w:rPr>
        <w:t xml:space="preserve"> </w:t>
      </w:r>
      <w:r w:rsidRPr="00981405">
        <w:rPr>
          <w:rFonts w:eastAsia="SimSun"/>
        </w:rPr>
        <w:t>Body</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treat</w:t>
      </w:r>
      <w:r w:rsidR="00190923" w:rsidRPr="00981405">
        <w:rPr>
          <w:rFonts w:eastAsia="SimSun"/>
        </w:rPr>
        <w:t xml:space="preserve"> </w:t>
      </w:r>
      <w:r w:rsidRPr="00981405">
        <w:rPr>
          <w:rFonts w:eastAsia="SimSun"/>
        </w:rPr>
        <w:t>them</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having</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same</w:t>
      </w:r>
      <w:r w:rsidR="00190923" w:rsidRPr="00981405">
        <w:rPr>
          <w:rFonts w:eastAsia="SimSun"/>
        </w:rPr>
        <w:t xml:space="preserve"> </w:t>
      </w:r>
      <w:r w:rsidRPr="00981405">
        <w:rPr>
          <w:rFonts w:eastAsia="SimSun"/>
        </w:rPr>
        <w:t>meaning.</w:t>
      </w:r>
      <w:r w:rsidRPr="00981405">
        <w:rPr>
          <w:rStyle w:val="FootnoteReference"/>
        </w:rPr>
        <w:footnoteReference w:id="461"/>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textual</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words</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importance</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underlying</w:t>
      </w:r>
      <w:r w:rsidR="00190923" w:rsidRPr="00981405">
        <w:rPr>
          <w:rFonts w:eastAsia="SimSun"/>
        </w:rPr>
        <w:t xml:space="preserve"> </w:t>
      </w:r>
      <w:r w:rsidRPr="00981405">
        <w:rPr>
          <w:rFonts w:eastAsia="SimSun"/>
        </w:rPr>
        <w:t>concept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p>
    <w:p w:rsidR="00397032" w:rsidRPr="00981405" w:rsidRDefault="00397032" w:rsidP="00D97463">
      <w:pPr>
        <w:pStyle w:val="SingleTxt"/>
        <w:rPr>
          <w:rFonts w:eastAsia="SimSun"/>
        </w:rPr>
      </w:pPr>
      <w:r w:rsidRPr="00981405">
        <w:rPr>
          <w:rFonts w:eastAsia="SimSun"/>
        </w:rPr>
        <w:t>46.</w:t>
      </w:r>
      <w:r w:rsidR="00190923" w:rsidRPr="00981405">
        <w:rPr>
          <w:rFonts w:eastAsia="SimSun"/>
        </w:rPr>
        <w:t xml:space="preserve"> </w:t>
      </w:r>
      <w:r w:rsidRPr="00981405">
        <w:rPr>
          <w:rFonts w:eastAsia="SimSun"/>
        </w:rPr>
        <w:tab/>
        <w:t>Second,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Appellate</w:t>
      </w:r>
      <w:r w:rsidR="00190923" w:rsidRPr="00981405">
        <w:rPr>
          <w:rFonts w:eastAsia="SimSun"/>
        </w:rPr>
        <w:t xml:space="preserve"> </w:t>
      </w:r>
      <w:r w:rsidRPr="00981405">
        <w:rPr>
          <w:rFonts w:eastAsia="SimSun"/>
        </w:rPr>
        <w:t>Body</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interpreted</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I</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having</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broadest</w:t>
      </w:r>
      <w:r w:rsidR="00190923" w:rsidRPr="00981405">
        <w:rPr>
          <w:rFonts w:eastAsia="SimSun"/>
        </w:rPr>
        <w:t xml:space="preserve"> </w:t>
      </w:r>
      <w:r w:rsidRPr="00981405">
        <w:rPr>
          <w:rFonts w:eastAsia="SimSun"/>
        </w:rPr>
        <w:t>possible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Appellate</w:t>
      </w:r>
      <w:r w:rsidR="00190923" w:rsidRPr="00981405">
        <w:rPr>
          <w:rFonts w:eastAsia="SimSun"/>
        </w:rPr>
        <w:t xml:space="preserve"> </w:t>
      </w:r>
      <w:r w:rsidRPr="00981405">
        <w:rPr>
          <w:rFonts w:eastAsia="SimSun"/>
        </w:rPr>
        <w:t>Body</w:t>
      </w:r>
      <w:r w:rsidR="00190923" w:rsidRPr="00981405">
        <w:rPr>
          <w:rFonts w:eastAsia="SimSun"/>
        </w:rPr>
        <w:t xml:space="preserve"> </w:t>
      </w:r>
      <w:r w:rsidRPr="00981405">
        <w:rPr>
          <w:rFonts w:eastAsia="SimSun"/>
        </w:rPr>
        <w:t>said,</w:t>
      </w:r>
      <w:r w:rsidR="00190923" w:rsidRPr="00981405">
        <w:rPr>
          <w:rFonts w:eastAsia="SimSun"/>
        </w:rPr>
        <w:t xml:space="preserve"> </w:t>
      </w:r>
      <w:r w:rsidR="00B92E2C" w:rsidRPr="00981405">
        <w:rPr>
          <w:rFonts w:eastAsia="SimSun"/>
        </w:rPr>
        <w:t>“</w:t>
      </w:r>
      <w:r w:rsidRPr="00981405">
        <w:rPr>
          <w:rFonts w:eastAsia="SimSun"/>
        </w:rPr>
        <w:t>all</w:t>
      </w:r>
      <w:r w:rsidR="00B92E2C" w:rsidRPr="00981405">
        <w:rPr>
          <w:rFonts w:eastAsia="SimSun"/>
        </w:rPr>
        <w:t>”</w:t>
      </w:r>
      <w:r w:rsidR="00190923" w:rsidRPr="00981405">
        <w:rPr>
          <w:rFonts w:eastAsia="SimSun"/>
        </w:rPr>
        <w:t xml:space="preserve"> </w:t>
      </w:r>
      <w:r w:rsidRPr="00981405">
        <w:rPr>
          <w:rFonts w:eastAsia="SimSun"/>
        </w:rPr>
        <w:t>advantages,</w:t>
      </w:r>
      <w:r w:rsidR="00190923" w:rsidRPr="00981405">
        <w:rPr>
          <w:rFonts w:eastAsia="SimSun"/>
        </w:rPr>
        <w:t xml:space="preserve"> </w:t>
      </w:r>
      <w:r w:rsidRPr="00981405">
        <w:rPr>
          <w:rFonts w:eastAsia="SimSun"/>
        </w:rPr>
        <w:t>favours,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privileges</w:t>
      </w:r>
      <w:r w:rsidR="00190923" w:rsidRPr="00981405">
        <w:rPr>
          <w:rFonts w:eastAsia="SimSun"/>
        </w:rPr>
        <w:t xml:space="preserve"> </w:t>
      </w:r>
      <w:r w:rsidRPr="00981405">
        <w:rPr>
          <w:rFonts w:eastAsia="SimSun"/>
        </w:rPr>
        <w:t>really</w:t>
      </w:r>
      <w:r w:rsidR="00190923" w:rsidRPr="00981405">
        <w:rPr>
          <w:rFonts w:eastAsia="SimSun"/>
        </w:rPr>
        <w:t xml:space="preserve"> </w:t>
      </w:r>
      <w:r w:rsidRPr="00981405">
        <w:rPr>
          <w:rFonts w:eastAsia="SimSun"/>
        </w:rPr>
        <w:t>means</w:t>
      </w:r>
      <w:r w:rsidR="00190923" w:rsidRPr="00981405">
        <w:rPr>
          <w:rFonts w:eastAsia="SimSun"/>
        </w:rPr>
        <w:t xml:space="preserve"> </w:t>
      </w:r>
      <w:r w:rsidR="00B92E2C" w:rsidRPr="00981405">
        <w:rPr>
          <w:rFonts w:eastAsia="SimSun"/>
        </w:rPr>
        <w:t>“</w:t>
      </w:r>
      <w:r w:rsidRPr="00981405">
        <w:rPr>
          <w:rFonts w:eastAsia="SimSun"/>
        </w:rPr>
        <w:t>all.</w:t>
      </w:r>
      <w:r w:rsidR="00B92E2C" w:rsidRPr="00981405">
        <w:rPr>
          <w:rFonts w:eastAsia="SimSun"/>
        </w:rPr>
        <w:t>”</w:t>
      </w:r>
      <w:r w:rsidRPr="00981405">
        <w:rPr>
          <w:rStyle w:val="FootnoteReference"/>
        </w:rPr>
        <w:footnoteReference w:id="462"/>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specific</w:t>
      </w:r>
      <w:r w:rsidR="00190923" w:rsidRPr="00981405">
        <w:rPr>
          <w:rFonts w:eastAsia="SimSun"/>
        </w:rPr>
        <w:t xml:space="preserve"> </w:t>
      </w:r>
      <w:r w:rsidRPr="00981405">
        <w:rPr>
          <w:rFonts w:eastAsia="SimSun"/>
        </w:rPr>
        <w:t>issue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whether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applies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substantive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procedural</w:t>
      </w:r>
      <w:r w:rsidR="00190923" w:rsidRPr="00981405">
        <w:rPr>
          <w:rFonts w:eastAsia="SimSun"/>
        </w:rPr>
        <w:t xml:space="preserve"> </w:t>
      </w:r>
      <w:r w:rsidRPr="00981405">
        <w:rPr>
          <w:rFonts w:eastAsia="SimSun"/>
        </w:rPr>
        <w:t>rights</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addressed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Appellate</w:t>
      </w:r>
      <w:r w:rsidR="00190923" w:rsidRPr="00981405">
        <w:rPr>
          <w:rFonts w:eastAsia="SimSun"/>
        </w:rPr>
        <w:t xml:space="preserve"> </w:t>
      </w:r>
      <w:r w:rsidRPr="00981405">
        <w:rPr>
          <w:rFonts w:eastAsia="SimSun"/>
        </w:rPr>
        <w:t>Body.</w:t>
      </w:r>
    </w:p>
    <w:p w:rsidR="00397032" w:rsidRPr="00981405" w:rsidRDefault="00397032" w:rsidP="00D97463">
      <w:pPr>
        <w:pStyle w:val="SingleTxt"/>
        <w:rPr>
          <w:rFonts w:eastAsia="SimSun"/>
        </w:rPr>
      </w:pPr>
      <w:r w:rsidRPr="00981405">
        <w:rPr>
          <w:rFonts w:eastAsia="SimSun"/>
        </w:rPr>
        <w:t>47.</w:t>
      </w:r>
      <w:r w:rsidRPr="00981405">
        <w:rPr>
          <w:rFonts w:eastAsia="SimSun"/>
        </w:rPr>
        <w:tab/>
        <w:t>Third,</w:t>
      </w:r>
      <w:r w:rsidR="00190923" w:rsidRPr="00981405">
        <w:rPr>
          <w:rFonts w:eastAsia="SimSun"/>
        </w:rPr>
        <w:t xml:space="preserve"> </w:t>
      </w:r>
      <w:r w:rsidRPr="00981405">
        <w:rPr>
          <w:rFonts w:eastAsia="SimSun"/>
        </w:rPr>
        <w:t>although</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meant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unconditional,</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contain</w:t>
      </w:r>
      <w:r w:rsidR="00190923" w:rsidRPr="00981405">
        <w:rPr>
          <w:rFonts w:eastAsia="SimSun"/>
        </w:rPr>
        <w:t xml:space="preserve"> </w:t>
      </w:r>
      <w:r w:rsidRPr="00981405">
        <w:rPr>
          <w:rFonts w:eastAsia="SimSun"/>
        </w:rPr>
        <w:t>exceptions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so</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practice</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more</w:t>
      </w:r>
      <w:r w:rsidR="00190923" w:rsidRPr="00981405">
        <w:rPr>
          <w:rFonts w:eastAsia="SimSun"/>
        </w:rPr>
        <w:t xml:space="preserve"> </w:t>
      </w:r>
      <w:r w:rsidRPr="00981405">
        <w:rPr>
          <w:rFonts w:eastAsia="SimSun"/>
        </w:rPr>
        <w:t>restricted</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appears.</w:t>
      </w:r>
      <w:r w:rsidR="00190923" w:rsidRPr="00981405">
        <w:rPr>
          <w:rFonts w:eastAsia="SimSun"/>
        </w:rPr>
        <w:t xml:space="preserve"> </w:t>
      </w:r>
      <w:r w:rsidRPr="00981405">
        <w:rPr>
          <w:rFonts w:eastAsia="SimSun"/>
        </w:rPr>
        <w:t>Exceptions</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customs</w:t>
      </w:r>
      <w:r w:rsidR="00190923" w:rsidRPr="00981405">
        <w:rPr>
          <w:rFonts w:eastAsia="SimSun"/>
        </w:rPr>
        <w:t xml:space="preserve"> </w:t>
      </w:r>
      <w:r w:rsidRPr="00981405">
        <w:rPr>
          <w:rFonts w:eastAsia="SimSun"/>
        </w:rPr>
        <w:t>unions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free</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areas,</w:t>
      </w:r>
      <w:r w:rsidRPr="00981405">
        <w:rPr>
          <w:rStyle w:val="FootnoteReference"/>
        </w:rPr>
        <w:footnoteReference w:id="463"/>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safeguards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remedies,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well</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general</w:t>
      </w:r>
      <w:r w:rsidR="00190923" w:rsidRPr="00981405">
        <w:rPr>
          <w:rFonts w:eastAsia="SimSun"/>
        </w:rPr>
        <w:t xml:space="preserve"> </w:t>
      </w:r>
      <w:r w:rsidRPr="00981405">
        <w:rPr>
          <w:rFonts w:eastAsia="SimSun"/>
        </w:rPr>
        <w:t>exceptions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for</w:t>
      </w:r>
      <w:r w:rsidR="00190923" w:rsidRPr="00981405">
        <w:rPr>
          <w:rFonts w:eastAsia="SimSun"/>
        </w:rPr>
        <w:t xml:space="preserve"> </w:t>
      </w:r>
      <w:r w:rsidR="00B92E2C" w:rsidRPr="00981405">
        <w:rPr>
          <w:rFonts w:eastAsia="SimSun"/>
        </w:rPr>
        <w:t>“</w:t>
      </w:r>
      <w:r w:rsidRPr="00981405">
        <w:rPr>
          <w:rFonts w:eastAsia="SimSun"/>
        </w:rPr>
        <w:t>special</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differential</w:t>
      </w:r>
      <w:r w:rsidR="00190923" w:rsidRPr="00981405">
        <w:rPr>
          <w:rFonts w:eastAsia="SimSun"/>
        </w:rPr>
        <w:t xml:space="preserve"> </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limit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actual</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Even</w:t>
      </w:r>
      <w:r w:rsidR="00190923" w:rsidRPr="00981405">
        <w:rPr>
          <w:rFonts w:eastAsia="SimSun"/>
        </w:rPr>
        <w:t xml:space="preserve"> </w:t>
      </w:r>
      <w:r w:rsidRPr="00981405">
        <w:rPr>
          <w:rFonts w:eastAsia="SimSun"/>
        </w:rPr>
        <w:t>though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Appellate</w:t>
      </w:r>
      <w:r w:rsidR="00190923" w:rsidRPr="00981405">
        <w:rPr>
          <w:rFonts w:eastAsia="SimSun"/>
        </w:rPr>
        <w:t xml:space="preserve"> </w:t>
      </w:r>
      <w:r w:rsidRPr="00981405">
        <w:rPr>
          <w:rFonts w:eastAsia="SimSun"/>
        </w:rPr>
        <w:t>Body</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often</w:t>
      </w:r>
      <w:r w:rsidR="00190923" w:rsidRPr="00981405">
        <w:rPr>
          <w:rFonts w:eastAsia="SimSun"/>
        </w:rPr>
        <w:t xml:space="preserve"> </w:t>
      </w:r>
      <w:r w:rsidRPr="00981405">
        <w:rPr>
          <w:rFonts w:eastAsia="SimSun"/>
        </w:rPr>
        <w:t>taken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restrictive</w:t>
      </w:r>
      <w:r w:rsidR="00190923" w:rsidRPr="00981405">
        <w:rPr>
          <w:rFonts w:eastAsia="SimSun"/>
        </w:rPr>
        <w:t xml:space="preserve"> </w:t>
      </w:r>
      <w:r w:rsidRPr="00981405">
        <w:rPr>
          <w:rFonts w:eastAsia="SimSun"/>
        </w:rPr>
        <w:t>approach</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exceptions,</w:t>
      </w:r>
      <w:r w:rsidRPr="00981405">
        <w:rPr>
          <w:rStyle w:val="FootnoteReference"/>
        </w:rPr>
        <w:footnoteReference w:id="464"/>
      </w:r>
      <w:r w:rsidR="00190923" w:rsidRPr="00981405">
        <w:rPr>
          <w:rFonts w:eastAsia="SimSun"/>
        </w:rPr>
        <w:t xml:space="preserve"> </w:t>
      </w:r>
      <w:r w:rsidRPr="00981405">
        <w:rPr>
          <w:rFonts w:eastAsia="SimSun"/>
        </w:rPr>
        <w:t>their</w:t>
      </w:r>
      <w:r w:rsidR="00190923" w:rsidRPr="00981405">
        <w:rPr>
          <w:rFonts w:eastAsia="SimSun"/>
        </w:rPr>
        <w:t xml:space="preserve"> </w:t>
      </w:r>
      <w:r w:rsidRPr="00981405">
        <w:rPr>
          <w:rFonts w:eastAsia="SimSun"/>
        </w:rPr>
        <w:t>range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coverage</w:t>
      </w:r>
      <w:r w:rsidR="00190923" w:rsidRPr="00981405">
        <w:rPr>
          <w:rFonts w:eastAsia="SimSun"/>
        </w:rPr>
        <w:t xml:space="preserve"> </w:t>
      </w:r>
      <w:r w:rsidRPr="00981405">
        <w:rPr>
          <w:rFonts w:eastAsia="SimSun"/>
        </w:rPr>
        <w:t>nonetheless</w:t>
      </w:r>
      <w:r w:rsidR="00190923" w:rsidRPr="00981405">
        <w:rPr>
          <w:rFonts w:eastAsia="SimSun"/>
        </w:rPr>
        <w:t xml:space="preserve"> </w:t>
      </w:r>
      <w:r w:rsidRPr="00981405">
        <w:rPr>
          <w:rFonts w:eastAsia="SimSun"/>
        </w:rPr>
        <w:t>frequently</w:t>
      </w:r>
      <w:r w:rsidR="00190923" w:rsidRPr="00981405">
        <w:rPr>
          <w:rFonts w:eastAsia="SimSun"/>
        </w:rPr>
        <w:t xml:space="preserve"> </w:t>
      </w:r>
      <w:r w:rsidRPr="00981405">
        <w:rPr>
          <w:rFonts w:eastAsia="SimSun"/>
        </w:rPr>
        <w:t>limits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range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agreements.</w:t>
      </w:r>
    </w:p>
    <w:p w:rsidR="00397032" w:rsidRPr="00981405" w:rsidRDefault="00397032" w:rsidP="00D97463">
      <w:pPr>
        <w:pStyle w:val="SingleTxt"/>
        <w:rPr>
          <w:rFonts w:eastAsia="SimSun"/>
        </w:rPr>
      </w:pPr>
      <w:r w:rsidRPr="00981405">
        <w:rPr>
          <w:rFonts w:eastAsia="SimSun"/>
        </w:rPr>
        <w:t>48.</w:t>
      </w:r>
      <w:r w:rsidRPr="00981405">
        <w:rPr>
          <w:rFonts w:eastAsia="SimSun"/>
        </w:rPr>
        <w:tab/>
        <w:t>The</w:t>
      </w:r>
      <w:r w:rsidR="00190923" w:rsidRPr="00981405">
        <w:rPr>
          <w:rFonts w:eastAsia="SimSun"/>
        </w:rPr>
        <w:t xml:space="preserve"> </w:t>
      </w:r>
      <w:r w:rsidRPr="00981405">
        <w:rPr>
          <w:rFonts w:eastAsia="SimSun"/>
        </w:rPr>
        <w:t>particular</w:t>
      </w:r>
      <w:r w:rsidR="00190923" w:rsidRPr="00981405">
        <w:rPr>
          <w:rFonts w:eastAsia="SimSun"/>
        </w:rPr>
        <w:t xml:space="preserve"> </w:t>
      </w:r>
      <w:r w:rsidRPr="00981405">
        <w:rPr>
          <w:rFonts w:eastAsia="SimSun"/>
        </w:rPr>
        <w:t>nature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own</w:t>
      </w:r>
      <w:r w:rsidR="00190923" w:rsidRPr="00981405">
        <w:rPr>
          <w:rFonts w:eastAsia="SimSun"/>
        </w:rPr>
        <w:t xml:space="preserve"> </w:t>
      </w:r>
      <w:r w:rsidRPr="00981405">
        <w:rPr>
          <w:rFonts w:eastAsia="SimSun"/>
        </w:rPr>
        <w:t>set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settlement</w:t>
      </w:r>
      <w:r w:rsidR="00190923" w:rsidRPr="00981405">
        <w:rPr>
          <w:rFonts w:eastAsia="SimSun"/>
        </w:rPr>
        <w:t xml:space="preserve"> </w:t>
      </w:r>
      <w:r w:rsidRPr="00981405">
        <w:rPr>
          <w:rFonts w:eastAsia="SimSun"/>
        </w:rPr>
        <w:t>process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interpret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apply</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means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limited</w:t>
      </w:r>
      <w:r w:rsidR="00190923" w:rsidRPr="00981405">
        <w:rPr>
          <w:rFonts w:eastAsia="SimSun"/>
        </w:rPr>
        <w:t xml:space="preserve"> </w:t>
      </w:r>
      <w:r w:rsidRPr="00981405">
        <w:rPr>
          <w:rFonts w:eastAsia="SimSun"/>
        </w:rPr>
        <w:t>direct</w:t>
      </w:r>
      <w:r w:rsidR="00190923" w:rsidRPr="00981405">
        <w:rPr>
          <w:rFonts w:eastAsia="SimSun"/>
        </w:rPr>
        <w:t xml:space="preserve"> </w:t>
      </w:r>
      <w:r w:rsidRPr="00981405">
        <w:rPr>
          <w:rFonts w:eastAsia="SimSun"/>
        </w:rPr>
        <w:t>relevance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continue</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regardless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how</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treated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contexts.</w:t>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49.</w:t>
      </w:r>
      <w:r w:rsidRPr="00981405">
        <w:rPr>
          <w:rFonts w:eastAsia="SimSun"/>
        </w:rPr>
        <w:tab/>
        <w:t>Nonetheless,</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completely</w:t>
      </w:r>
      <w:r w:rsidR="00190923" w:rsidRPr="00981405">
        <w:rPr>
          <w:rFonts w:eastAsia="SimSun"/>
        </w:rPr>
        <w:t xml:space="preserve"> </w:t>
      </w:r>
      <w:r w:rsidRPr="00981405">
        <w:rPr>
          <w:rFonts w:eastAsia="SimSun"/>
        </w:rPr>
        <w:t>contained</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system.</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may</w:t>
      </w:r>
      <w:r w:rsidR="00190923" w:rsidRPr="00981405">
        <w:rPr>
          <w:rFonts w:eastAsia="SimSun"/>
        </w:rPr>
        <w:t xml:space="preserve"> </w:t>
      </w:r>
      <w:r w:rsidRPr="00981405">
        <w:rPr>
          <w:rFonts w:eastAsia="SimSun"/>
        </w:rPr>
        <w:t>apply</w:t>
      </w:r>
      <w:r w:rsidR="00190923" w:rsidRPr="00981405">
        <w:rPr>
          <w:rFonts w:eastAsia="SimSun"/>
        </w:rPr>
        <w:t xml:space="preserve"> </w:t>
      </w:r>
      <w:r w:rsidRPr="00981405">
        <w:rPr>
          <w:rFonts w:eastAsia="SimSun"/>
        </w:rPr>
        <w:t>beyond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Prior</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arisen</w:t>
      </w:r>
      <w:r w:rsidR="00190923" w:rsidRPr="00981405">
        <w:rPr>
          <w:rFonts w:eastAsia="SimSun"/>
        </w:rPr>
        <w:t xml:space="preserve"> </w:t>
      </w:r>
      <w:r w:rsidRPr="00981405">
        <w:rPr>
          <w:rFonts w:eastAsia="SimSun"/>
        </w:rPr>
        <w:t>whether</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Contracting</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could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virtue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claim</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Tokyo</w:t>
      </w:r>
      <w:r w:rsidR="00190923" w:rsidRPr="00981405">
        <w:rPr>
          <w:rFonts w:eastAsia="SimSun"/>
        </w:rPr>
        <w:t xml:space="preserve"> </w:t>
      </w:r>
      <w:r w:rsidRPr="00981405">
        <w:rPr>
          <w:rFonts w:eastAsia="SimSun"/>
        </w:rPr>
        <w:t>Round</w:t>
      </w:r>
      <w:r w:rsidR="00190923" w:rsidRPr="00981405">
        <w:rPr>
          <w:rFonts w:eastAsia="SimSun"/>
        </w:rPr>
        <w:t xml:space="preserve"> </w:t>
      </w:r>
      <w:r w:rsidR="00B92E2C" w:rsidRPr="00981405">
        <w:rPr>
          <w:rFonts w:eastAsia="SimSun"/>
        </w:rPr>
        <w:t>“</w:t>
      </w:r>
      <w:r w:rsidRPr="00981405">
        <w:rPr>
          <w:rFonts w:eastAsia="SimSun"/>
        </w:rPr>
        <w:t>Code</w:t>
      </w:r>
      <w:r w:rsidR="00B92E2C" w:rsidRPr="00981405">
        <w:rPr>
          <w:rFonts w:eastAsia="SimSun"/>
        </w:rPr>
        <w: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never</w:t>
      </w:r>
      <w:r w:rsidR="00190923" w:rsidRPr="00981405">
        <w:rPr>
          <w:rFonts w:eastAsia="SimSun"/>
        </w:rPr>
        <w:t xml:space="preserve"> </w:t>
      </w:r>
      <w:r w:rsidRPr="00981405">
        <w:rPr>
          <w:rFonts w:eastAsia="SimSun"/>
        </w:rPr>
        <w:t>resolved.</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contemporary</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relates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whether</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Member</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00B92E2C" w:rsidRPr="00981405">
        <w:rPr>
          <w:rFonts w:eastAsia="SimSun"/>
        </w:rPr>
        <w:t>“</w:t>
      </w:r>
      <w:r w:rsidRPr="00981405">
        <w:rPr>
          <w:rFonts w:eastAsia="SimSun"/>
        </w:rPr>
        <w:t>Plurilateral</w:t>
      </w:r>
      <w:r w:rsidR="00190923" w:rsidRPr="00981405">
        <w:rPr>
          <w:rFonts w:eastAsia="SimSun"/>
        </w:rPr>
        <w:t xml:space="preserve"> </w:t>
      </w:r>
      <w:r w:rsidRPr="00981405">
        <w:rPr>
          <w:rFonts w:eastAsia="SimSun"/>
        </w:rPr>
        <w:t>Agreements</w:t>
      </w:r>
      <w:r w:rsidR="00B92E2C" w:rsidRPr="00981405">
        <w:rPr>
          <w:rFonts w:eastAsia="SimSun"/>
        </w:rPr>
        <w:t>”</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related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but</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part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use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claim</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Plurilateral</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even</w:t>
      </w:r>
      <w:r w:rsidR="00190923" w:rsidRPr="00981405">
        <w:rPr>
          <w:rFonts w:eastAsia="SimSun"/>
        </w:rPr>
        <w:t xml:space="preserve"> </w:t>
      </w:r>
      <w:r w:rsidRPr="00981405">
        <w:rPr>
          <w:rFonts w:eastAsia="SimSun"/>
        </w:rPr>
        <w:t>though</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Again,</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yet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resolved.</w:t>
      </w:r>
    </w:p>
    <w:p w:rsidR="00397032" w:rsidRPr="00981405" w:rsidRDefault="00397032" w:rsidP="00D97463">
      <w:pPr>
        <w:pStyle w:val="SingleTxt"/>
        <w:rPr>
          <w:rFonts w:eastAsia="SimSun"/>
        </w:rPr>
      </w:pPr>
      <w:r w:rsidRPr="00981405">
        <w:rPr>
          <w:rFonts w:eastAsia="SimSun"/>
        </w:rPr>
        <w:t>50.</w:t>
      </w:r>
      <w:r w:rsidRPr="00981405">
        <w:rPr>
          <w:rFonts w:eastAsia="SimSun"/>
        </w:rPr>
        <w:tab/>
        <w:t>A</w:t>
      </w:r>
      <w:r w:rsidR="00190923" w:rsidRPr="00981405">
        <w:rPr>
          <w:rFonts w:eastAsia="SimSun"/>
        </w:rPr>
        <w:t xml:space="preserve"> </w:t>
      </w:r>
      <w:r w:rsidRPr="00981405">
        <w:rPr>
          <w:rFonts w:eastAsia="SimSun"/>
        </w:rPr>
        <w:t>related</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arises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GATS.</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services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GATS</w:t>
      </w:r>
      <w:r w:rsidR="00190923" w:rsidRPr="00981405">
        <w:rPr>
          <w:rFonts w:eastAsia="SimSun"/>
        </w:rPr>
        <w:t xml:space="preserve"> </w:t>
      </w:r>
      <w:r w:rsidRPr="00981405">
        <w:rPr>
          <w:rFonts w:eastAsia="SimSun"/>
        </w:rPr>
        <w:t>includes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service</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supplier</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Member</w:t>
      </w:r>
      <w:r w:rsidR="00190923" w:rsidRPr="00981405">
        <w:rPr>
          <w:rFonts w:eastAsia="SimSun"/>
        </w:rPr>
        <w:t xml:space="preserve"> </w:t>
      </w:r>
      <w:r w:rsidRPr="00981405">
        <w:rPr>
          <w:rFonts w:eastAsia="SimSun"/>
        </w:rPr>
        <w:t>through</w:t>
      </w:r>
      <w:r w:rsidR="00190923" w:rsidRPr="00981405">
        <w:rPr>
          <w:rFonts w:eastAsia="SimSun"/>
        </w:rPr>
        <w:t xml:space="preserve"> </w:t>
      </w:r>
      <w:r w:rsidRPr="00981405">
        <w:rPr>
          <w:rFonts w:eastAsia="SimSun"/>
        </w:rPr>
        <w:t>commercial</w:t>
      </w:r>
      <w:r w:rsidR="00190923" w:rsidRPr="00981405">
        <w:rPr>
          <w:rFonts w:eastAsia="SimSun"/>
        </w:rPr>
        <w:t xml:space="preserve"> </w:t>
      </w:r>
      <w:r w:rsidRPr="00981405">
        <w:rPr>
          <w:rFonts w:eastAsia="SimSun"/>
        </w:rPr>
        <w:t>presence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natural</w:t>
      </w:r>
      <w:r w:rsidR="00190923" w:rsidRPr="00981405">
        <w:rPr>
          <w:rFonts w:eastAsia="SimSun"/>
        </w:rPr>
        <w:t xml:space="preserve"> </w:t>
      </w:r>
      <w:r w:rsidRPr="00981405">
        <w:rPr>
          <w:rFonts w:eastAsia="SimSun"/>
        </w:rPr>
        <w:t>persons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territory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another</w:t>
      </w:r>
      <w:r w:rsidR="00190923" w:rsidRPr="00981405">
        <w:rPr>
          <w:rFonts w:eastAsia="SimSun"/>
        </w:rPr>
        <w:t xml:space="preserve"> </w:t>
      </w:r>
      <w:r w:rsidRPr="00981405">
        <w:rPr>
          <w:rFonts w:eastAsia="SimSun"/>
        </w:rPr>
        <w:t>Member.</w:t>
      </w:r>
      <w:r w:rsidRPr="00981405">
        <w:rPr>
          <w:rStyle w:val="FootnoteReference"/>
        </w:rPr>
        <w:footnoteReference w:id="465"/>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II</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GATS</w:t>
      </w:r>
      <w:r w:rsidR="00190923" w:rsidRPr="00981405">
        <w:rPr>
          <w:rFonts w:eastAsia="SimSun"/>
        </w:rPr>
        <w:t xml:space="preserve"> </w:t>
      </w:r>
      <w:r w:rsidRPr="00981405">
        <w:rPr>
          <w:rFonts w:eastAsia="SimSun"/>
        </w:rPr>
        <w:t>provides:</w:t>
      </w:r>
    </w:p>
    <w:p w:rsidR="00397032" w:rsidRPr="00981405" w:rsidRDefault="00B92E2C" w:rsidP="00D97463">
      <w:pPr>
        <w:pStyle w:val="SingleTxt"/>
        <w:ind w:left="1742"/>
      </w:pPr>
      <w:r w:rsidRPr="00981405">
        <w:t>“</w:t>
      </w:r>
      <w:r w:rsidR="00397032" w:rsidRPr="00981405">
        <w:t>With</w:t>
      </w:r>
      <w:r w:rsidR="00190923" w:rsidRPr="00981405">
        <w:t xml:space="preserve"> </w:t>
      </w:r>
      <w:r w:rsidR="00397032" w:rsidRPr="00981405">
        <w:t>respect</w:t>
      </w:r>
      <w:r w:rsidR="00190923" w:rsidRPr="00981405">
        <w:t xml:space="preserve"> </w:t>
      </w:r>
      <w:r w:rsidR="00397032" w:rsidRPr="00981405">
        <w:t>to</w:t>
      </w:r>
      <w:r w:rsidR="00190923" w:rsidRPr="00981405">
        <w:t xml:space="preserve"> </w:t>
      </w:r>
      <w:r w:rsidR="00397032" w:rsidRPr="00981405">
        <w:t>any</w:t>
      </w:r>
      <w:r w:rsidR="00190923" w:rsidRPr="00981405">
        <w:t xml:space="preserve"> </w:t>
      </w:r>
      <w:r w:rsidR="00397032" w:rsidRPr="00981405">
        <w:t>measure</w:t>
      </w:r>
      <w:r w:rsidR="00190923" w:rsidRPr="00981405">
        <w:t xml:space="preserve"> </w:t>
      </w:r>
      <w:r w:rsidR="00397032" w:rsidRPr="00981405">
        <w:t>covered</w:t>
      </w:r>
      <w:r w:rsidR="00190923" w:rsidRPr="00981405">
        <w:t xml:space="preserve"> </w:t>
      </w:r>
      <w:r w:rsidR="00397032" w:rsidRPr="00981405">
        <w:t>by</w:t>
      </w:r>
      <w:r w:rsidR="00190923" w:rsidRPr="00981405">
        <w:t xml:space="preserve"> </w:t>
      </w:r>
      <w:r w:rsidR="00397032" w:rsidRPr="00981405">
        <w:t>this</w:t>
      </w:r>
      <w:r w:rsidR="00190923" w:rsidRPr="00981405">
        <w:t xml:space="preserve"> </w:t>
      </w:r>
      <w:r w:rsidR="00397032" w:rsidRPr="00981405">
        <w:t>Agreement,</w:t>
      </w:r>
      <w:r w:rsidR="00190923" w:rsidRPr="00981405">
        <w:t xml:space="preserve"> </w:t>
      </w:r>
      <w:r w:rsidR="00397032" w:rsidRPr="00981405">
        <w:t>each</w:t>
      </w:r>
      <w:r w:rsidR="00190923" w:rsidRPr="00981405">
        <w:t xml:space="preserve"> </w:t>
      </w:r>
      <w:r w:rsidR="00397032" w:rsidRPr="00981405">
        <w:t>Member</w:t>
      </w:r>
      <w:r w:rsidR="00190923" w:rsidRPr="00981405">
        <w:t xml:space="preserve"> </w:t>
      </w:r>
      <w:r w:rsidR="00397032" w:rsidRPr="00981405">
        <w:t>shall</w:t>
      </w:r>
      <w:r w:rsidR="00190923" w:rsidRPr="00981405">
        <w:t xml:space="preserve"> </w:t>
      </w:r>
      <w:r w:rsidR="00397032" w:rsidRPr="00981405">
        <w:t>accord</w:t>
      </w:r>
      <w:r w:rsidR="00190923" w:rsidRPr="00981405">
        <w:t xml:space="preserve"> </w:t>
      </w:r>
      <w:r w:rsidR="00397032" w:rsidRPr="00981405">
        <w:t>immediately</w:t>
      </w:r>
      <w:r w:rsidR="00190923" w:rsidRPr="00981405">
        <w:t xml:space="preserve"> </w:t>
      </w:r>
      <w:r w:rsidR="00397032" w:rsidRPr="00981405">
        <w:t>and</w:t>
      </w:r>
      <w:r w:rsidR="00190923" w:rsidRPr="00981405">
        <w:t xml:space="preserve"> </w:t>
      </w:r>
      <w:r w:rsidR="00397032" w:rsidRPr="00981405">
        <w:t>unconditionally</w:t>
      </w:r>
      <w:r w:rsidR="00190923" w:rsidRPr="00981405">
        <w:t xml:space="preserve"> </w:t>
      </w:r>
      <w:r w:rsidR="00397032" w:rsidRPr="00981405">
        <w:t>to</w:t>
      </w:r>
      <w:r w:rsidR="00190923" w:rsidRPr="00981405">
        <w:t xml:space="preserve"> </w:t>
      </w:r>
      <w:r w:rsidR="00397032" w:rsidRPr="00981405">
        <w:t>services</w:t>
      </w:r>
      <w:r w:rsidR="00190923" w:rsidRPr="00981405">
        <w:t xml:space="preserve"> </w:t>
      </w:r>
      <w:r w:rsidR="00397032" w:rsidRPr="00981405">
        <w:t>and</w:t>
      </w:r>
      <w:r w:rsidR="00190923" w:rsidRPr="00981405">
        <w:t xml:space="preserve"> </w:t>
      </w:r>
      <w:r w:rsidR="00397032" w:rsidRPr="00981405">
        <w:t>service</w:t>
      </w:r>
      <w:r w:rsidR="00190923" w:rsidRPr="00981405">
        <w:t xml:space="preserve"> </w:t>
      </w:r>
      <w:r w:rsidR="00397032" w:rsidRPr="00981405">
        <w:t>suppliers</w:t>
      </w:r>
      <w:r w:rsidR="00190923" w:rsidRPr="00981405">
        <w:t xml:space="preserve"> </w:t>
      </w:r>
      <w:r w:rsidR="00397032" w:rsidRPr="00981405">
        <w:t>of</w:t>
      </w:r>
      <w:r w:rsidR="00190923" w:rsidRPr="00981405">
        <w:t xml:space="preserve"> </w:t>
      </w:r>
      <w:r w:rsidR="00397032" w:rsidRPr="00981405">
        <w:t>any</w:t>
      </w:r>
      <w:r w:rsidR="00190923" w:rsidRPr="00981405">
        <w:t xml:space="preserve"> </w:t>
      </w:r>
      <w:r w:rsidR="00397032" w:rsidRPr="00981405">
        <w:lastRenderedPageBreak/>
        <w:t>other</w:t>
      </w:r>
      <w:r w:rsidR="00190923" w:rsidRPr="00981405">
        <w:t xml:space="preserve"> </w:t>
      </w:r>
      <w:r w:rsidR="00397032" w:rsidRPr="00981405">
        <w:t>Member</w:t>
      </w:r>
      <w:r w:rsidR="00190923" w:rsidRPr="00981405">
        <w:t xml:space="preserve"> </w:t>
      </w:r>
      <w:r w:rsidR="00397032" w:rsidRPr="00981405">
        <w:t>treatment</w:t>
      </w:r>
      <w:r w:rsidR="00190923" w:rsidRPr="00981405">
        <w:t xml:space="preserve"> </w:t>
      </w:r>
      <w:r w:rsidR="00397032" w:rsidRPr="00981405">
        <w:t>no</w:t>
      </w:r>
      <w:r w:rsidR="00190923" w:rsidRPr="00981405">
        <w:t xml:space="preserve"> </w:t>
      </w:r>
      <w:r w:rsidR="00397032" w:rsidRPr="00981405">
        <w:t>less</w:t>
      </w:r>
      <w:r w:rsidR="00190923" w:rsidRPr="00981405">
        <w:t xml:space="preserve"> </w:t>
      </w:r>
      <w:r w:rsidR="00397032" w:rsidRPr="00981405">
        <w:t>favourable</w:t>
      </w:r>
      <w:r w:rsidR="00190923" w:rsidRPr="00981405">
        <w:t xml:space="preserve"> </w:t>
      </w:r>
      <w:r w:rsidR="00397032" w:rsidRPr="00981405">
        <w:t>than</w:t>
      </w:r>
      <w:r w:rsidR="00190923" w:rsidRPr="00981405">
        <w:t xml:space="preserve"> </w:t>
      </w:r>
      <w:r w:rsidR="00397032" w:rsidRPr="00981405">
        <w:t>that</w:t>
      </w:r>
      <w:r w:rsidR="00190923" w:rsidRPr="00981405">
        <w:t xml:space="preserve"> </w:t>
      </w:r>
      <w:r w:rsidR="00397032" w:rsidRPr="00981405">
        <w:t>it</w:t>
      </w:r>
      <w:r w:rsidR="00190923" w:rsidRPr="00981405">
        <w:t xml:space="preserve"> </w:t>
      </w:r>
      <w:r w:rsidR="00397032" w:rsidRPr="00981405">
        <w:t>accords</w:t>
      </w:r>
      <w:r w:rsidR="00190923" w:rsidRPr="00981405">
        <w:t xml:space="preserve"> </w:t>
      </w:r>
      <w:r w:rsidR="00397032" w:rsidRPr="00981405">
        <w:t>to</w:t>
      </w:r>
      <w:r w:rsidR="00190923" w:rsidRPr="00981405">
        <w:t xml:space="preserve"> </w:t>
      </w:r>
      <w:r w:rsidR="00397032" w:rsidRPr="00981405">
        <w:t>like</w:t>
      </w:r>
      <w:r w:rsidR="00190923" w:rsidRPr="00981405">
        <w:t xml:space="preserve"> </w:t>
      </w:r>
      <w:r w:rsidR="00397032" w:rsidRPr="00981405">
        <w:t>services</w:t>
      </w:r>
      <w:r w:rsidR="00190923" w:rsidRPr="00981405">
        <w:t xml:space="preserve"> </w:t>
      </w:r>
      <w:r w:rsidR="00397032" w:rsidRPr="00981405">
        <w:t>and</w:t>
      </w:r>
      <w:r w:rsidR="00190923" w:rsidRPr="00981405">
        <w:t xml:space="preserve"> </w:t>
      </w:r>
      <w:r w:rsidR="00397032" w:rsidRPr="00981405">
        <w:t>service</w:t>
      </w:r>
      <w:r w:rsidR="00190923" w:rsidRPr="00981405">
        <w:t xml:space="preserve"> </w:t>
      </w:r>
      <w:r w:rsidR="00397032" w:rsidRPr="00981405">
        <w:t>suppliers</w:t>
      </w:r>
      <w:r w:rsidR="00190923" w:rsidRPr="00981405">
        <w:t xml:space="preserve"> </w:t>
      </w:r>
      <w:r w:rsidR="00397032" w:rsidRPr="00981405">
        <w:t>of</w:t>
      </w:r>
      <w:r w:rsidR="00190923" w:rsidRPr="00981405">
        <w:t xml:space="preserve"> </w:t>
      </w:r>
      <w:r w:rsidR="00397032" w:rsidRPr="00981405">
        <w:t>any</w:t>
      </w:r>
      <w:r w:rsidR="00190923" w:rsidRPr="00981405">
        <w:t xml:space="preserve"> </w:t>
      </w:r>
      <w:r w:rsidR="00397032" w:rsidRPr="00981405">
        <w:t>other</w:t>
      </w:r>
      <w:r w:rsidR="00190923" w:rsidRPr="00981405">
        <w:t xml:space="preserve"> </w:t>
      </w:r>
      <w:r w:rsidR="00397032" w:rsidRPr="00981405">
        <w:t>country.</w:t>
      </w:r>
      <w:r w:rsidRPr="00981405">
        <w:t>”</w:t>
      </w:r>
    </w:p>
    <w:p w:rsidR="00397032" w:rsidRPr="00981405" w:rsidRDefault="00397032" w:rsidP="00D97463">
      <w:pPr>
        <w:pStyle w:val="SingleTxt"/>
      </w:pPr>
      <w:r w:rsidRPr="00981405">
        <w:t>51.</w:t>
      </w:r>
      <w:r w:rsidRPr="00981405">
        <w:tab/>
        <w:t>Measures</w:t>
      </w:r>
      <w:r w:rsidR="00190923" w:rsidRPr="00981405">
        <w:t xml:space="preserve"> </w:t>
      </w:r>
      <w:r w:rsidRPr="00981405">
        <w:t>affecting</w:t>
      </w:r>
      <w:r w:rsidR="00190923" w:rsidRPr="00981405">
        <w:t xml:space="preserve"> </w:t>
      </w:r>
      <w:r w:rsidRPr="00981405">
        <w:t>service</w:t>
      </w:r>
      <w:r w:rsidR="00190923" w:rsidRPr="00981405">
        <w:t xml:space="preserve"> </w:t>
      </w:r>
      <w:r w:rsidRPr="00981405">
        <w:t>suppliers</w:t>
      </w:r>
      <w:r w:rsidR="00190923" w:rsidRPr="00981405">
        <w:t xml:space="preserve"> </w:t>
      </w:r>
      <w:r w:rsidRPr="00981405">
        <w:t>that</w:t>
      </w:r>
      <w:r w:rsidR="00190923" w:rsidRPr="00981405">
        <w:t xml:space="preserve"> </w:t>
      </w:r>
      <w:r w:rsidRPr="00981405">
        <w:t>arise</w:t>
      </w:r>
      <w:r w:rsidR="00190923" w:rsidRPr="00981405">
        <w:t xml:space="preserve"> </w:t>
      </w:r>
      <w:r w:rsidRPr="00981405">
        <w:t>under</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with</w:t>
      </w:r>
      <w:r w:rsidR="00190923" w:rsidRPr="00981405">
        <w:t xml:space="preserve"> </w:t>
      </w:r>
      <w:r w:rsidRPr="00981405">
        <w:t>third</w:t>
      </w:r>
      <w:r w:rsidR="00190923" w:rsidRPr="00981405">
        <w:t xml:space="preserve"> </w:t>
      </w:r>
      <w:r w:rsidRPr="00981405">
        <w:t>States</w:t>
      </w:r>
      <w:r w:rsidR="00190923" w:rsidRPr="00981405">
        <w:t xml:space="preserve"> </w:t>
      </w:r>
      <w:r w:rsidRPr="00981405">
        <w:t>potentially</w:t>
      </w:r>
      <w:r w:rsidR="00190923" w:rsidRPr="00981405">
        <w:t xml:space="preserve"> </w:t>
      </w:r>
      <w:r w:rsidRPr="00981405">
        <w:t>fall</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article</w:t>
      </w:r>
      <w:r w:rsidR="00190923" w:rsidRPr="00981405">
        <w:t xml:space="preserve"> </w:t>
      </w:r>
      <w:r w:rsidRPr="00981405">
        <w:t>II.</w:t>
      </w:r>
      <w:r w:rsidR="00190923" w:rsidRPr="00981405">
        <w:t xml:space="preserve"> </w:t>
      </w:r>
      <w:r w:rsidRPr="00981405">
        <w:t>In</w:t>
      </w:r>
      <w:r w:rsidR="00190923" w:rsidRPr="00981405">
        <w:t xml:space="preserve"> </w:t>
      </w:r>
      <w:r w:rsidRPr="00981405">
        <w:t>other</w:t>
      </w:r>
      <w:r w:rsidR="00190923" w:rsidRPr="00981405">
        <w:t xml:space="preserve"> </w:t>
      </w:r>
      <w:r w:rsidRPr="00981405">
        <w:t>words,</w:t>
      </w:r>
      <w:r w:rsidR="00190923" w:rsidRPr="00981405">
        <w:t xml:space="preserve"> </w:t>
      </w:r>
      <w:r w:rsidRPr="00981405">
        <w:t>the</w:t>
      </w:r>
      <w:r w:rsidR="00190923" w:rsidRPr="00981405">
        <w:t xml:space="preserve"> </w:t>
      </w:r>
      <w:r w:rsidRPr="00981405">
        <w:t>question</w:t>
      </w:r>
      <w:r w:rsidR="00190923" w:rsidRPr="00981405">
        <w:t xml:space="preserve"> </w:t>
      </w:r>
      <w:r w:rsidRPr="00981405">
        <w:t>is</w:t>
      </w:r>
      <w:r w:rsidR="00190923" w:rsidRPr="00981405">
        <w:t xml:space="preserve"> </w:t>
      </w:r>
      <w:r w:rsidRPr="00981405">
        <w:t>whether</w:t>
      </w:r>
      <w:r w:rsidR="00190923" w:rsidRPr="00981405">
        <w:t xml:space="preserve"> </w:t>
      </w:r>
      <w:r w:rsidRPr="00981405">
        <w:t>a</w:t>
      </w:r>
      <w:r w:rsidR="00190923" w:rsidRPr="00981405">
        <w:t xml:space="preserve"> </w:t>
      </w:r>
      <w:r w:rsidRPr="00981405">
        <w:t>WTO</w:t>
      </w:r>
      <w:r w:rsidR="00190923" w:rsidRPr="00981405">
        <w:t xml:space="preserve"> </w:t>
      </w:r>
      <w:r w:rsidRPr="00981405">
        <w:t>Member</w:t>
      </w:r>
      <w:r w:rsidR="00190923" w:rsidRPr="00981405">
        <w:t xml:space="preserve"> </w:t>
      </w:r>
      <w:r w:rsidRPr="00981405">
        <w:t>could,</w:t>
      </w:r>
      <w:r w:rsidR="00190923" w:rsidRPr="00981405">
        <w:t xml:space="preserve"> </w:t>
      </w:r>
      <w:r w:rsidRPr="00981405">
        <w:t>by</w:t>
      </w:r>
      <w:r w:rsidR="00190923" w:rsidRPr="00981405">
        <w:t xml:space="preserve"> </w:t>
      </w:r>
      <w:r w:rsidRPr="00981405">
        <w:t>virtue</w:t>
      </w:r>
      <w:r w:rsidR="00190923" w:rsidRPr="00981405">
        <w:t xml:space="preserve"> </w:t>
      </w:r>
      <w:r w:rsidRPr="00981405">
        <w:t>of</w:t>
      </w:r>
      <w:r w:rsidR="00190923" w:rsidRPr="00981405">
        <w:t xml:space="preserve"> </w:t>
      </w:r>
      <w:r w:rsidRPr="00981405">
        <w:t>GATS</w:t>
      </w:r>
      <w:r w:rsidR="00190923" w:rsidRPr="00981405">
        <w:t xml:space="preserve"> </w:t>
      </w:r>
      <w:r w:rsidRPr="00981405">
        <w:t>article</w:t>
      </w:r>
      <w:r w:rsidR="00190923" w:rsidRPr="00981405">
        <w:t xml:space="preserve"> </w:t>
      </w:r>
      <w:r w:rsidRPr="00981405">
        <w:t>II,</w:t>
      </w:r>
      <w:r w:rsidR="00190923" w:rsidRPr="00981405">
        <w:t xml:space="preserve"> </w:t>
      </w:r>
      <w:r w:rsidRPr="00981405">
        <w:t>claim</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treaty</w:t>
      </w:r>
      <w:r w:rsidR="00190923" w:rsidRPr="00981405">
        <w:t xml:space="preserve"> </w:t>
      </w:r>
      <w:r w:rsidRPr="00981405">
        <w:t>between</w:t>
      </w:r>
      <w:r w:rsidR="00190923" w:rsidRPr="00981405">
        <w:t xml:space="preserve"> </w:t>
      </w:r>
      <w:r w:rsidRPr="00981405">
        <w:t>another</w:t>
      </w:r>
      <w:r w:rsidR="00190923" w:rsidRPr="00981405">
        <w:t xml:space="preserve"> </w:t>
      </w:r>
      <w:r w:rsidRPr="00981405">
        <w:t>WTO</w:t>
      </w:r>
      <w:r w:rsidR="00190923" w:rsidRPr="00981405">
        <w:t xml:space="preserve"> </w:t>
      </w:r>
      <w:r w:rsidRPr="00981405">
        <w:t>Member</w:t>
      </w:r>
      <w:r w:rsidR="00190923" w:rsidRPr="00981405">
        <w:t xml:space="preserve"> </w:t>
      </w:r>
      <w:r w:rsidRPr="00981405">
        <w:t>and</w:t>
      </w:r>
      <w:r w:rsidR="00190923" w:rsidRPr="00981405">
        <w:t xml:space="preserve"> </w:t>
      </w:r>
      <w:r w:rsidRPr="00981405">
        <w:t>a</w:t>
      </w:r>
      <w:r w:rsidR="00190923" w:rsidRPr="00981405">
        <w:t xml:space="preserve"> </w:t>
      </w:r>
      <w:r w:rsidRPr="00981405">
        <w:t>third</w:t>
      </w:r>
      <w:r w:rsidR="00190923" w:rsidRPr="00981405">
        <w:t xml:space="preserve"> </w:t>
      </w:r>
      <w:r w:rsidRPr="00981405">
        <w:t>State</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the</w:t>
      </w:r>
      <w:r w:rsidR="00190923" w:rsidRPr="00981405">
        <w:t xml:space="preserve"> </w:t>
      </w:r>
      <w:r w:rsidRPr="00981405">
        <w:t>measures</w:t>
      </w:r>
      <w:r w:rsidR="00190923" w:rsidRPr="00981405">
        <w:t xml:space="preserve"> </w:t>
      </w:r>
      <w:r w:rsidRPr="00981405">
        <w:t>under</w:t>
      </w:r>
      <w:r w:rsidR="00190923" w:rsidRPr="00981405">
        <w:t xml:space="preserve"> </w:t>
      </w:r>
      <w:r w:rsidRPr="00981405">
        <w:t>that</w:t>
      </w:r>
      <w:r w:rsidR="00190923" w:rsidRPr="00981405">
        <w:t xml:space="preserve"> </w:t>
      </w:r>
      <w:r w:rsidRPr="00981405">
        <w:t>treaty</w:t>
      </w:r>
      <w:r w:rsidR="00190923" w:rsidRPr="00981405">
        <w:t xml:space="preserve"> </w:t>
      </w:r>
      <w:r w:rsidRPr="00981405">
        <w:t>provide</w:t>
      </w:r>
      <w:r w:rsidR="00190923" w:rsidRPr="00981405">
        <w:t xml:space="preserve"> </w:t>
      </w:r>
      <w:r w:rsidRPr="00981405">
        <w:t>more</w:t>
      </w:r>
      <w:r w:rsidR="00190923" w:rsidRPr="00981405">
        <w:t xml:space="preserve"> </w:t>
      </w:r>
      <w:r w:rsidRPr="00981405">
        <w:t>favourable</w:t>
      </w:r>
      <w:r w:rsidR="00190923" w:rsidRPr="00981405">
        <w:t xml:space="preserve"> </w:t>
      </w:r>
      <w:r w:rsidRPr="00981405">
        <w:t>treatment</w:t>
      </w:r>
      <w:r w:rsidR="00190923" w:rsidRPr="00981405">
        <w:t xml:space="preserve"> </w:t>
      </w:r>
      <w:r w:rsidRPr="00981405">
        <w:t>to</w:t>
      </w:r>
      <w:r w:rsidR="00190923" w:rsidRPr="00981405">
        <w:t xml:space="preserve"> </w:t>
      </w:r>
      <w:r w:rsidRPr="00981405">
        <w:t>service</w:t>
      </w:r>
      <w:r w:rsidR="00190923" w:rsidRPr="00981405">
        <w:t xml:space="preserve"> </w:t>
      </w:r>
      <w:r w:rsidRPr="00981405">
        <w:t>suppliers</w:t>
      </w:r>
      <w:r w:rsidR="00190923" w:rsidRPr="00981405">
        <w:t xml:space="preserve"> </w:t>
      </w:r>
      <w:r w:rsidRPr="00981405">
        <w:t>of</w:t>
      </w:r>
      <w:r w:rsidR="00190923" w:rsidRPr="00981405">
        <w:t xml:space="preserve"> </w:t>
      </w:r>
      <w:r w:rsidRPr="00981405">
        <w:t>that</w:t>
      </w:r>
      <w:r w:rsidR="00190923" w:rsidRPr="00981405">
        <w:t xml:space="preserve"> </w:t>
      </w:r>
      <w:r w:rsidRPr="00981405">
        <w:t>third</w:t>
      </w:r>
      <w:r w:rsidR="00190923" w:rsidRPr="00981405">
        <w:t xml:space="preserve"> </w:t>
      </w:r>
      <w:r w:rsidRPr="00981405">
        <w:t>State.</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has</w:t>
      </w:r>
      <w:r w:rsidR="00190923" w:rsidRPr="00981405">
        <w:t xml:space="preserve"> </w:t>
      </w:r>
      <w:r w:rsidRPr="00981405">
        <w:t>found</w:t>
      </w:r>
      <w:r w:rsidR="00190923" w:rsidRPr="00981405">
        <w:t xml:space="preserve"> </w:t>
      </w:r>
      <w:r w:rsidRPr="00981405">
        <w:t>no</w:t>
      </w:r>
      <w:r w:rsidR="00190923" w:rsidRPr="00981405">
        <w:t xml:space="preserve"> </w:t>
      </w:r>
      <w:r w:rsidRPr="00981405">
        <w:t>practice</w:t>
      </w:r>
      <w:r w:rsidR="00190923" w:rsidRPr="00981405">
        <w:t xml:space="preserve"> </w:t>
      </w:r>
      <w:r w:rsidRPr="00981405">
        <w:t>or</w:t>
      </w:r>
      <w:r w:rsidR="00190923" w:rsidRPr="00981405">
        <w:t xml:space="preserve"> </w:t>
      </w:r>
      <w:r w:rsidRPr="00981405">
        <w:t>jurisprudence</w:t>
      </w:r>
      <w:r w:rsidR="00190923" w:rsidRPr="00981405">
        <w:t xml:space="preserve"> </w:t>
      </w:r>
      <w:r w:rsidRPr="00981405">
        <w:t>on</w:t>
      </w:r>
      <w:r w:rsidR="00190923" w:rsidRPr="00981405">
        <w:t xml:space="preserve"> </w:t>
      </w:r>
      <w:r w:rsidRPr="00981405">
        <w:t>this.</w:t>
      </w:r>
    </w:p>
    <w:p w:rsidR="00397032" w:rsidRPr="00981405" w:rsidRDefault="00397032" w:rsidP="00D97463">
      <w:pPr>
        <w:pStyle w:val="SingleTxt"/>
      </w:pPr>
      <w:r w:rsidRPr="00981405">
        <w:t>52.</w:t>
      </w:r>
      <w:r w:rsidRPr="00981405">
        <w:tab/>
        <w:t>Notwithstanding</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there</w:t>
      </w:r>
      <w:r w:rsidR="00190923" w:rsidRPr="00981405">
        <w:t xml:space="preserve"> </w:t>
      </w:r>
      <w:r w:rsidRPr="00981405">
        <w:t>are</w:t>
      </w:r>
      <w:r w:rsidR="00190923" w:rsidRPr="00981405">
        <w:t xml:space="preserve"> </w:t>
      </w:r>
      <w:r w:rsidRPr="00981405">
        <w:t>outstanding</w:t>
      </w:r>
      <w:r w:rsidR="00190923" w:rsidRPr="00981405">
        <w:t xml:space="preserve"> </w:t>
      </w:r>
      <w:r w:rsidRPr="00981405">
        <w:t>issues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MFN</w:t>
      </w:r>
      <w:r w:rsidR="00190923" w:rsidRPr="00981405">
        <w:t xml:space="preserve"> </w:t>
      </w:r>
      <w:r w:rsidRPr="00981405">
        <w:t>treatment</w:t>
      </w:r>
      <w:r w:rsidR="00190923" w:rsidRPr="00981405">
        <w:t xml:space="preserve"> </w:t>
      </w:r>
      <w:r w:rsidRPr="00981405">
        <w:t>under</w:t>
      </w:r>
      <w:r w:rsidR="00190923" w:rsidRPr="00981405">
        <w:t xml:space="preserve"> </w:t>
      </w:r>
      <w:r w:rsidRPr="00981405">
        <w:t>the</w:t>
      </w:r>
      <w:r w:rsidR="00190923" w:rsidRPr="00981405">
        <w:t xml:space="preserve"> </w:t>
      </w:r>
      <w:r w:rsidRPr="00981405">
        <w:t>WTO</w:t>
      </w:r>
      <w:r w:rsidR="00190923" w:rsidRPr="00981405">
        <w:t xml:space="preserve"> </w:t>
      </w:r>
      <w:r w:rsidRPr="00981405">
        <w:t>that</w:t>
      </w:r>
      <w:r w:rsidR="00190923" w:rsidRPr="00981405">
        <w:t xml:space="preserve"> </w:t>
      </w:r>
      <w:r w:rsidRPr="00981405">
        <w:t>may</w:t>
      </w:r>
      <w:r w:rsidR="00190923" w:rsidRPr="00981405">
        <w:t xml:space="preserve"> </w:t>
      </w:r>
      <w:r w:rsidRPr="00981405">
        <w:t>become</w:t>
      </w:r>
      <w:r w:rsidR="00190923" w:rsidRPr="00981405">
        <w:t xml:space="preserve"> </w:t>
      </w:r>
      <w:r w:rsidRPr="00981405">
        <w:t>contentious</w:t>
      </w:r>
      <w:r w:rsidR="00190923" w:rsidRPr="00981405">
        <w:t xml:space="preserve"> </w:t>
      </w:r>
      <w:r w:rsidRPr="00981405">
        <w:t>in</w:t>
      </w:r>
      <w:r w:rsidR="00190923" w:rsidRPr="00981405">
        <w:t xml:space="preserve"> </w:t>
      </w:r>
      <w:r w:rsidRPr="00981405">
        <w:t>the</w:t>
      </w:r>
      <w:r w:rsidR="00190923" w:rsidRPr="00981405">
        <w:t xml:space="preserve"> </w:t>
      </w:r>
      <w:r w:rsidRPr="00981405">
        <w:t>future,</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did</w:t>
      </w:r>
      <w:r w:rsidR="00190923" w:rsidRPr="00981405">
        <w:t xml:space="preserve"> </w:t>
      </w:r>
      <w:r w:rsidRPr="00981405">
        <w:t>not</w:t>
      </w:r>
      <w:r w:rsidR="00190923" w:rsidRPr="00981405">
        <w:t xml:space="preserve"> </w:t>
      </w:r>
      <w:r w:rsidRPr="00981405">
        <w:t>consider</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add</w:t>
      </w:r>
      <w:r w:rsidR="00190923" w:rsidRPr="00981405">
        <w:t xml:space="preserve"> </w:t>
      </w:r>
      <w:r w:rsidRPr="00981405">
        <w:t>anything</w:t>
      </w:r>
      <w:r w:rsidR="00190923" w:rsidRPr="00981405">
        <w:t xml:space="preserve"> </w:t>
      </w:r>
      <w:r w:rsidRPr="00981405">
        <w:t>by</w:t>
      </w:r>
      <w:r w:rsidR="00190923" w:rsidRPr="00981405">
        <w:t xml:space="preserve"> </w:t>
      </w:r>
      <w:r w:rsidRPr="00981405">
        <w:t>pursuing</w:t>
      </w:r>
      <w:r w:rsidR="00190923" w:rsidRPr="00981405">
        <w:t xml:space="preserve"> </w:t>
      </w:r>
      <w:r w:rsidRPr="00981405">
        <w:t>those</w:t>
      </w:r>
      <w:r w:rsidR="00190923" w:rsidRPr="00981405">
        <w:t xml:space="preserve"> </w:t>
      </w:r>
      <w:r w:rsidRPr="00981405">
        <w:t>issues</w:t>
      </w:r>
      <w:r w:rsidR="00190923" w:rsidRPr="00981405">
        <w:t xml:space="preserve"> </w:t>
      </w:r>
      <w:r w:rsidRPr="00981405">
        <w:t>at</w:t>
      </w:r>
      <w:r w:rsidR="00190923" w:rsidRPr="00981405">
        <w:t xml:space="preserve"> </w:t>
      </w:r>
      <w:r w:rsidRPr="00981405">
        <w:t>the</w:t>
      </w:r>
      <w:r w:rsidR="00190923" w:rsidRPr="00981405">
        <w:t xml:space="preserve"> </w:t>
      </w:r>
      <w:r w:rsidRPr="00981405">
        <w:t>present</w:t>
      </w:r>
      <w:r w:rsidR="00190923" w:rsidRPr="00981405">
        <w:t xml:space="preserve"> </w:t>
      </w:r>
      <w:r w:rsidRPr="00981405">
        <w:t>time.</w:t>
      </w:r>
      <w:r w:rsidR="00190923" w:rsidRPr="00981405">
        <w:t xml:space="preserve"> </w:t>
      </w:r>
      <w:r w:rsidRPr="00981405">
        <w:t>The</w:t>
      </w:r>
      <w:r w:rsidR="00190923" w:rsidRPr="00981405">
        <w:t xml:space="preserve"> </w:t>
      </w:r>
      <w:r w:rsidRPr="00981405">
        <w:t>WTO</w:t>
      </w:r>
      <w:r w:rsidR="00190923" w:rsidRPr="00981405">
        <w:t xml:space="preserve"> </w:t>
      </w:r>
      <w:r w:rsidRPr="00981405">
        <w:t>has</w:t>
      </w:r>
      <w:r w:rsidR="00190923" w:rsidRPr="00981405">
        <w:t xml:space="preserve"> </w:t>
      </w:r>
      <w:r w:rsidRPr="00981405">
        <w:t>its</w:t>
      </w:r>
      <w:r w:rsidR="00190923" w:rsidRPr="00981405">
        <w:t xml:space="preserve"> </w:t>
      </w:r>
      <w:r w:rsidRPr="00981405">
        <w:t>own</w:t>
      </w:r>
      <w:r w:rsidR="00190923" w:rsidRPr="00981405">
        <w:t xml:space="preserve"> </w:t>
      </w:r>
      <w:r w:rsidRPr="00981405">
        <w:t>mechanism</w:t>
      </w:r>
      <w:r w:rsidR="00190923" w:rsidRPr="00981405">
        <w:t xml:space="preserve"> </w:t>
      </w:r>
      <w:r w:rsidRPr="00981405">
        <w:t>for</w:t>
      </w:r>
      <w:r w:rsidR="00190923" w:rsidRPr="00981405">
        <w:t xml:space="preserve"> </w:t>
      </w:r>
      <w:r w:rsidRPr="00981405">
        <w:t>resolving</w:t>
      </w:r>
      <w:r w:rsidR="00190923" w:rsidRPr="00981405">
        <w:t xml:space="preserve"> </w:t>
      </w:r>
      <w:r w:rsidRPr="00981405">
        <w:t>disputes</w:t>
      </w:r>
      <w:r w:rsidR="00190923" w:rsidRPr="00981405">
        <w:t xml:space="preserve"> </w:t>
      </w:r>
      <w:r w:rsidRPr="00981405">
        <w:t>and</w:t>
      </w:r>
      <w:r w:rsidR="00190923" w:rsidRPr="00981405">
        <w:t xml:space="preserve"> </w:t>
      </w:r>
      <w:r w:rsidRPr="00981405">
        <w:t>the</w:t>
      </w:r>
      <w:r w:rsidR="00190923" w:rsidRPr="00981405">
        <w:t xml:space="preserve"> </w:t>
      </w:r>
      <w:r w:rsidRPr="00981405">
        <w:t>WTO</w:t>
      </w:r>
      <w:r w:rsidR="00190923" w:rsidRPr="00981405">
        <w:t xml:space="preserve"> </w:t>
      </w:r>
      <w:r w:rsidRPr="00981405">
        <w:t>agreements</w:t>
      </w:r>
      <w:r w:rsidR="00190923" w:rsidRPr="00981405">
        <w:t xml:space="preserve"> </w:t>
      </w:r>
      <w:r w:rsidRPr="00981405">
        <w:t>are</w:t>
      </w:r>
      <w:r w:rsidR="00190923" w:rsidRPr="00981405">
        <w:t xml:space="preserve"> </w:t>
      </w:r>
      <w:r w:rsidRPr="00981405">
        <w:t>interpreted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on</w:t>
      </w:r>
      <w:r w:rsidR="00190923" w:rsidRPr="00981405">
        <w:t xml:space="preserve"> </w:t>
      </w:r>
      <w:r w:rsidRPr="00981405">
        <w:t>the</w:t>
      </w:r>
      <w:r w:rsidR="00190923" w:rsidRPr="00981405">
        <w:t xml:space="preserve"> </w:t>
      </w:r>
      <w:r w:rsidRPr="00981405">
        <w:t>Law</w:t>
      </w:r>
      <w:r w:rsidR="00190923" w:rsidRPr="00981405">
        <w:t xml:space="preserve"> </w:t>
      </w:r>
      <w:r w:rsidRPr="00981405">
        <w:t>of</w:t>
      </w:r>
      <w:r w:rsidR="00190923" w:rsidRPr="00981405">
        <w:t xml:space="preserve"> </w:t>
      </w:r>
      <w:r w:rsidRPr="00981405">
        <w:t>Treaties</w:t>
      </w:r>
      <w:r w:rsidR="00190923" w:rsidRPr="00981405">
        <w:t xml:space="preserve"> </w:t>
      </w:r>
      <w:r w:rsidRPr="00981405">
        <w:t>(VCLT).</w:t>
      </w:r>
      <w:r w:rsidRPr="00981405">
        <w:rPr>
          <w:rStyle w:val="FootnoteReference"/>
        </w:rPr>
        <w:footnoteReference w:id="466"/>
      </w:r>
      <w:r w:rsidR="00190923" w:rsidRPr="00981405">
        <w:t xml:space="preserve"> </w:t>
      </w:r>
      <w:r w:rsidRPr="00981405">
        <w:t>The</w:t>
      </w:r>
      <w:r w:rsidR="00190923" w:rsidRPr="00981405">
        <w:t xml:space="preserve"> </w:t>
      </w:r>
      <w:r w:rsidRPr="00981405">
        <w:t>existence</w:t>
      </w:r>
      <w:r w:rsidR="00190923" w:rsidRPr="00981405">
        <w:t xml:space="preserve"> </w:t>
      </w:r>
      <w:r w:rsidRPr="00981405">
        <w:t>of</w:t>
      </w:r>
      <w:r w:rsidR="00190923" w:rsidRPr="00981405">
        <w:t xml:space="preserve"> </w:t>
      </w:r>
      <w:r w:rsidRPr="00981405">
        <w:t>an</w:t>
      </w:r>
      <w:r w:rsidR="00190923" w:rsidRPr="00981405">
        <w:t xml:space="preserve"> </w:t>
      </w:r>
      <w:r w:rsidRPr="00981405">
        <w:t>appellate</w:t>
      </w:r>
      <w:r w:rsidR="00190923" w:rsidRPr="00981405">
        <w:t xml:space="preserve"> </w:t>
      </w:r>
      <w:r w:rsidRPr="00981405">
        <w:t>structure</w:t>
      </w:r>
      <w:r w:rsidR="00190923" w:rsidRPr="00981405">
        <w:t xml:space="preserve"> </w:t>
      </w:r>
      <w:r w:rsidRPr="00981405">
        <w:t>ensures</w:t>
      </w:r>
      <w:r w:rsidR="00190923" w:rsidRPr="00981405">
        <w:t xml:space="preserve"> </w:t>
      </w:r>
      <w:r w:rsidRPr="00981405">
        <w:t>that</w:t>
      </w:r>
      <w:r w:rsidR="00190923" w:rsidRPr="00981405">
        <w:t xml:space="preserve"> </w:t>
      </w:r>
      <w:r w:rsidRPr="00981405">
        <w:t>panel</w:t>
      </w:r>
      <w:r w:rsidR="00190923" w:rsidRPr="00981405">
        <w:t xml:space="preserve"> </w:t>
      </w:r>
      <w:r w:rsidRPr="00981405">
        <w:t>interpretations</w:t>
      </w:r>
      <w:r w:rsidR="00190923" w:rsidRPr="00981405">
        <w:t xml:space="preserve"> </w:t>
      </w:r>
      <w:r w:rsidRPr="00981405">
        <w:t>of</w:t>
      </w:r>
      <w:r w:rsidR="00190923" w:rsidRPr="00981405">
        <w:t xml:space="preserve"> </w:t>
      </w:r>
      <w:r w:rsidRPr="00981405">
        <w:t>the</w:t>
      </w:r>
      <w:r w:rsidR="00190923" w:rsidRPr="00981405">
        <w:t xml:space="preserve"> </w:t>
      </w:r>
      <w:r w:rsidRPr="00981405">
        <w:t>variety</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the</w:t>
      </w:r>
      <w:r w:rsidR="00190923" w:rsidRPr="00981405">
        <w:t xml:space="preserve"> </w:t>
      </w:r>
      <w:r w:rsidRPr="00981405">
        <w:t>agreements</w:t>
      </w:r>
      <w:r w:rsidR="00190923" w:rsidRPr="00981405">
        <w:t xml:space="preserve"> </w:t>
      </w:r>
      <w:r w:rsidRPr="00981405">
        <w:t>can</w:t>
      </w:r>
      <w:r w:rsidR="00190923" w:rsidRPr="00981405">
        <w:t xml:space="preserve"> </w:t>
      </w:r>
      <w:r w:rsidRPr="00981405">
        <w:t>be</w:t>
      </w:r>
      <w:r w:rsidR="00190923" w:rsidRPr="00981405">
        <w:t xml:space="preserve"> </w:t>
      </w:r>
      <w:r w:rsidRPr="00981405">
        <w:t>rethought</w:t>
      </w:r>
      <w:r w:rsidR="00190923" w:rsidRPr="00981405">
        <w:t xml:space="preserve"> </w:t>
      </w:r>
      <w:r w:rsidRPr="00981405">
        <w:t>and</w:t>
      </w:r>
      <w:r w:rsidR="00190923" w:rsidRPr="00981405">
        <w:t xml:space="preserve"> </w:t>
      </w:r>
      <w:r w:rsidRPr="00981405">
        <w:t>if</w:t>
      </w:r>
      <w:r w:rsidR="00190923" w:rsidRPr="00981405">
        <w:t xml:space="preserve"> </w:t>
      </w:r>
      <w:r w:rsidRPr="00981405">
        <w:t>necessary</w:t>
      </w:r>
      <w:r w:rsidR="00190923" w:rsidRPr="00981405">
        <w:t xml:space="preserve"> </w:t>
      </w:r>
      <w:r w:rsidRPr="00981405">
        <w:t>overturned.</w:t>
      </w:r>
      <w:r w:rsidR="00190923" w:rsidRPr="00981405">
        <w:t xml:space="preserve"> </w:t>
      </w:r>
    </w:p>
    <w:p w:rsidR="00DB5DB6" w:rsidRPr="00D97463" w:rsidRDefault="00DB5DB6" w:rsidP="00D97463">
      <w:pPr>
        <w:pStyle w:val="SingleTxt"/>
        <w:spacing w:after="0" w:line="120" w:lineRule="exact"/>
        <w:rPr>
          <w:sz w:val="10"/>
        </w:rPr>
      </w:pPr>
    </w:p>
    <w:p w:rsidR="00397032" w:rsidRDefault="00397032" w:rsidP="00D97463">
      <w:pPr>
        <w:pStyle w:val="H23"/>
        <w:ind w:right="1260"/>
      </w:pPr>
      <w:bookmarkStart w:id="223" w:name="_Toc293434152"/>
      <w:bookmarkStart w:id="224" w:name="_Toc294353670"/>
      <w:r w:rsidRPr="00D97463">
        <w:tab/>
      </w:r>
      <w:bookmarkStart w:id="225" w:name="_Toc427938173"/>
      <w:r w:rsidRPr="00D97463">
        <w:t>2.</w:t>
      </w:r>
      <w:r w:rsidRPr="00D97463">
        <w:tab/>
        <w:t>MFN</w:t>
      </w:r>
      <w:r w:rsidR="00190923" w:rsidRPr="00D97463">
        <w:t xml:space="preserve"> </w:t>
      </w:r>
      <w:r w:rsidRPr="00D97463">
        <w:t>in</w:t>
      </w:r>
      <w:r w:rsidR="00190923" w:rsidRPr="00D97463">
        <w:t xml:space="preserve"> </w:t>
      </w:r>
      <w:r w:rsidRPr="00D97463">
        <w:t>other</w:t>
      </w:r>
      <w:r w:rsidR="00190923" w:rsidRPr="00D97463">
        <w:t xml:space="preserve"> </w:t>
      </w:r>
      <w:r w:rsidRPr="00D97463">
        <w:t>trade</w:t>
      </w:r>
      <w:r w:rsidR="00190923" w:rsidRPr="00D97463">
        <w:t xml:space="preserve"> </w:t>
      </w:r>
      <w:r w:rsidRPr="00D97463">
        <w:t>agreements</w:t>
      </w:r>
      <w:bookmarkEnd w:id="223"/>
      <w:bookmarkEnd w:id="224"/>
      <w:bookmarkEnd w:id="225"/>
    </w:p>
    <w:p w:rsidR="007868C4" w:rsidRPr="00D97463" w:rsidRDefault="007868C4" w:rsidP="00D97463">
      <w:pPr>
        <w:pStyle w:val="SingleTxt"/>
        <w:spacing w:after="0" w:line="120" w:lineRule="exact"/>
        <w:rPr>
          <w:sz w:val="10"/>
        </w:rPr>
      </w:pPr>
    </w:p>
    <w:p w:rsidR="00397032" w:rsidRPr="00981405" w:rsidRDefault="00397032" w:rsidP="00D97463">
      <w:pPr>
        <w:pStyle w:val="SingleTxt"/>
        <w:rPr>
          <w:rFonts w:eastAsia="SimSun"/>
        </w:rPr>
      </w:pPr>
      <w:r w:rsidRPr="00981405">
        <w:rPr>
          <w:rFonts w:eastAsia="SimSun"/>
        </w:rPr>
        <w:t>53.</w:t>
      </w:r>
      <w:r w:rsidRPr="00981405">
        <w:rPr>
          <w:rFonts w:eastAsia="SimSun"/>
        </w:rPr>
        <w:tab/>
        <w:t>Regional</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agreements</w:t>
      </w:r>
      <w:r w:rsidRPr="00981405">
        <w:rPr>
          <w:rStyle w:val="FootnoteReference"/>
        </w:rPr>
        <w:footnoteReference w:id="467"/>
      </w:r>
      <w:r w:rsidR="00190923" w:rsidRPr="00981405">
        <w:rPr>
          <w:rFonts w:eastAsia="SimSun"/>
        </w:rPr>
        <w:t xml:space="preserve"> </w:t>
      </w:r>
      <w:r w:rsidRPr="00981405">
        <w:rPr>
          <w:rFonts w:eastAsia="SimSun"/>
        </w:rPr>
        <w:t>generally</w:t>
      </w:r>
      <w:r w:rsidR="00190923" w:rsidRPr="00981405">
        <w:rPr>
          <w:rFonts w:eastAsia="SimSun"/>
        </w:rPr>
        <w:t xml:space="preserve"> </w:t>
      </w:r>
      <w:r w:rsidRPr="00981405">
        <w:rPr>
          <w:rFonts w:eastAsia="SimSun"/>
        </w:rPr>
        <w:t>do</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include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relation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already</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preferential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parties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tariff</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so</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little</w:t>
      </w:r>
      <w:r w:rsidR="00190923" w:rsidRPr="00981405">
        <w:rPr>
          <w:rFonts w:eastAsia="SimSun"/>
        </w:rPr>
        <w:t xml:space="preserve"> </w:t>
      </w:r>
      <w:r w:rsidRPr="00981405">
        <w:rPr>
          <w:rFonts w:eastAsia="SimSun"/>
        </w:rPr>
        <w:t>relevance.</w:t>
      </w:r>
      <w:r w:rsidR="00190923" w:rsidRPr="00981405">
        <w:rPr>
          <w:rFonts w:eastAsia="SimSun"/>
        </w:rPr>
        <w:t xml:space="preserve"> </w:t>
      </w:r>
      <w:r w:rsidRPr="00981405">
        <w:rPr>
          <w:rFonts w:eastAsia="SimSun"/>
        </w:rPr>
        <w:t>Instead,</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important.</w:t>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regional</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contain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form</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customs</w:t>
      </w:r>
      <w:r w:rsidR="00190923" w:rsidRPr="00981405">
        <w:rPr>
          <w:rFonts w:eastAsia="SimSun"/>
        </w:rPr>
        <w:t xml:space="preserve"> </w:t>
      </w:r>
      <w:r w:rsidRPr="00981405">
        <w:rPr>
          <w:rFonts w:eastAsia="SimSun"/>
        </w:rPr>
        <w:t>duty</w:t>
      </w:r>
      <w:r w:rsidR="00190923" w:rsidRPr="00981405">
        <w:rPr>
          <w:rFonts w:eastAsia="SimSun"/>
        </w:rPr>
        <w:t xml:space="preserve"> </w:t>
      </w:r>
      <w:r w:rsidRPr="00981405">
        <w:rPr>
          <w:rFonts w:eastAsia="SimSun"/>
        </w:rPr>
        <w:t>rate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lowered</w:t>
      </w:r>
      <w:r w:rsidR="00190923" w:rsidRPr="00981405">
        <w:rPr>
          <w:rFonts w:eastAsia="SimSun"/>
        </w:rPr>
        <w:t xml:space="preserve"> </w:t>
      </w:r>
      <w:r w:rsidRPr="00981405">
        <w:rPr>
          <w:rFonts w:eastAsia="SimSun"/>
        </w:rPr>
        <w:t>then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rate</w:t>
      </w:r>
      <w:r w:rsidR="00190923" w:rsidRPr="00981405">
        <w:rPr>
          <w:rFonts w:eastAsia="SimSun"/>
        </w:rPr>
        <w:t xml:space="preserve"> </w:t>
      </w:r>
      <w:r w:rsidRPr="00981405">
        <w:rPr>
          <w:rFonts w:eastAsia="SimSun"/>
        </w:rPr>
        <w:t>should</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once</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falls</w:t>
      </w:r>
      <w:r w:rsidR="00190923" w:rsidRPr="00981405">
        <w:rPr>
          <w:rFonts w:eastAsia="SimSun"/>
        </w:rPr>
        <w:t xml:space="preserve"> </w:t>
      </w:r>
      <w:r w:rsidRPr="00981405">
        <w:rPr>
          <w:rFonts w:eastAsia="SimSun"/>
        </w:rPr>
        <w:t>below</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regional</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agreed</w:t>
      </w:r>
      <w:r w:rsidR="00190923" w:rsidRPr="00981405">
        <w:rPr>
          <w:rFonts w:eastAsia="SimSun"/>
        </w:rPr>
        <w:t xml:space="preserve"> </w:t>
      </w:r>
      <w:r w:rsidRPr="00981405">
        <w:rPr>
          <w:rFonts w:eastAsia="SimSun"/>
        </w:rPr>
        <w:t>rate.</w:t>
      </w:r>
      <w:r w:rsidRPr="00981405">
        <w:rPr>
          <w:rStyle w:val="FootnoteReference"/>
        </w:rPr>
        <w:footnoteReference w:id="468"/>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54.</w:t>
      </w:r>
      <w:r w:rsidRPr="00981405">
        <w:rPr>
          <w:rFonts w:eastAsia="SimSun"/>
        </w:rPr>
        <w:tab/>
        <w:t>By</w:t>
      </w:r>
      <w:r w:rsidR="00190923" w:rsidRPr="00981405">
        <w:rPr>
          <w:rFonts w:eastAsia="SimSun"/>
        </w:rPr>
        <w:t xml:space="preserve"> </w:t>
      </w:r>
      <w:r w:rsidRPr="00981405">
        <w:rPr>
          <w:rFonts w:eastAsia="SimSun"/>
        </w:rPr>
        <w:t>contrast,</w:t>
      </w:r>
      <w:r w:rsidR="00190923" w:rsidRPr="00981405">
        <w:rPr>
          <w:rFonts w:eastAsia="SimSun"/>
        </w:rPr>
        <w:t xml:space="preserve"> </w:t>
      </w:r>
      <w:r w:rsidRPr="00981405">
        <w:rPr>
          <w:rFonts w:eastAsia="SimSun"/>
        </w:rPr>
        <w:t>regional</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economic</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go</w:t>
      </w:r>
      <w:r w:rsidR="00190923" w:rsidRPr="00981405">
        <w:rPr>
          <w:rFonts w:eastAsia="SimSun"/>
        </w:rPr>
        <w:t xml:space="preserve"> </w:t>
      </w:r>
      <w:r w:rsidRPr="00981405">
        <w:rPr>
          <w:rFonts w:eastAsia="SimSun"/>
        </w:rPr>
        <w:t>beyond</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services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investment.</w:t>
      </w:r>
      <w:r w:rsidRPr="00981405">
        <w:rPr>
          <w:rStyle w:val="FootnoteReference"/>
        </w:rPr>
        <w:footnoteReference w:id="469"/>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different</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services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case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approach</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would</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different</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applicable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so</w:t>
      </w:r>
      <w:r w:rsidR="00190923" w:rsidRPr="00981405">
        <w:rPr>
          <w:rFonts w:eastAsia="SimSun"/>
        </w:rPr>
        <w:t xml:space="preserve"> </w:t>
      </w:r>
      <w:r w:rsidRPr="00981405">
        <w:rPr>
          <w:rFonts w:eastAsia="SimSun"/>
        </w:rPr>
        <w:t>far</w:t>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seems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judicial</w:t>
      </w:r>
      <w:r w:rsidR="00190923" w:rsidRPr="00981405">
        <w:rPr>
          <w:rFonts w:eastAsia="SimSun"/>
        </w:rPr>
        <w:t xml:space="preserve"> </w:t>
      </w:r>
      <w:r w:rsidRPr="00981405">
        <w:rPr>
          <w:rFonts w:eastAsia="SimSun"/>
        </w:rPr>
        <w:t>commentary</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have</w:t>
      </w:r>
      <w:r w:rsidR="00190923" w:rsidRPr="00981405">
        <w:rPr>
          <w:rFonts w:eastAsia="SimSun"/>
        </w:rPr>
        <w:t xml:space="preserve"> </w:t>
      </w:r>
      <w:r w:rsidRPr="00981405">
        <w:rPr>
          <w:rFonts w:eastAsia="SimSun"/>
        </w:rPr>
        <w:t>generally</w:t>
      </w:r>
      <w:r w:rsidR="00190923" w:rsidRPr="00981405">
        <w:rPr>
          <w:rFonts w:eastAsia="SimSun"/>
        </w:rPr>
        <w:t xml:space="preserve"> </w:t>
      </w:r>
      <w:r w:rsidRPr="00981405">
        <w:rPr>
          <w:rFonts w:eastAsia="SimSun"/>
        </w:rPr>
        <w:t>escaped</w:t>
      </w:r>
      <w:r w:rsidR="00190923" w:rsidRPr="00981405">
        <w:rPr>
          <w:rFonts w:eastAsia="SimSun"/>
        </w:rPr>
        <w:t xml:space="preserve"> </w:t>
      </w:r>
      <w:r w:rsidRPr="00981405">
        <w:rPr>
          <w:rFonts w:eastAsia="SimSun"/>
        </w:rPr>
        <w:t>academic</w:t>
      </w:r>
      <w:r w:rsidR="00190923" w:rsidRPr="00981405">
        <w:rPr>
          <w:rFonts w:eastAsia="SimSun"/>
        </w:rPr>
        <w:t xml:space="preserve"> </w:t>
      </w:r>
      <w:r w:rsidRPr="00981405">
        <w:rPr>
          <w:rFonts w:eastAsia="SimSun"/>
        </w:rPr>
        <w:t>analysis.</w:t>
      </w:r>
    </w:p>
    <w:p w:rsidR="00DB5DB6" w:rsidRPr="00D97463" w:rsidRDefault="00DB5DB6" w:rsidP="00D97463">
      <w:pPr>
        <w:pStyle w:val="SingleTxt"/>
        <w:spacing w:after="0" w:line="120" w:lineRule="exact"/>
        <w:rPr>
          <w:rFonts w:eastAsia="SimSun"/>
          <w:sz w:val="10"/>
        </w:rPr>
      </w:pPr>
    </w:p>
    <w:p w:rsidR="00397032" w:rsidRPr="00D97463" w:rsidRDefault="00DB5DB6" w:rsidP="00D97463">
      <w:pPr>
        <w:pStyle w:val="H23"/>
        <w:ind w:right="1260"/>
      </w:pPr>
      <w:bookmarkStart w:id="226" w:name="_Toc293434153"/>
      <w:bookmarkStart w:id="227" w:name="_Toc294353671"/>
      <w:bookmarkStart w:id="228" w:name="_Toc427938174"/>
      <w:r w:rsidRPr="00D97463">
        <w:tab/>
      </w:r>
      <w:r w:rsidR="00397032" w:rsidRPr="00D97463">
        <w:t>3.</w:t>
      </w:r>
      <w:r w:rsidR="00397032" w:rsidRPr="00D97463">
        <w:tab/>
        <w:t>MFN</w:t>
      </w:r>
      <w:r w:rsidR="00190923" w:rsidRPr="00D97463">
        <w:t xml:space="preserve"> </w:t>
      </w:r>
      <w:r w:rsidR="00397032" w:rsidRPr="00D97463">
        <w:t>in</w:t>
      </w:r>
      <w:r w:rsidR="00190923" w:rsidRPr="00D97463">
        <w:t xml:space="preserve"> </w:t>
      </w:r>
      <w:r w:rsidR="00397032" w:rsidRPr="00D97463">
        <w:t>investment</w:t>
      </w:r>
      <w:r w:rsidR="00190923" w:rsidRPr="00D97463">
        <w:t xml:space="preserve"> </w:t>
      </w:r>
      <w:r w:rsidR="00397032" w:rsidRPr="00D97463">
        <w:t>treaties</w:t>
      </w:r>
      <w:bookmarkEnd w:id="226"/>
      <w:bookmarkEnd w:id="227"/>
      <w:bookmarkEnd w:id="228"/>
    </w:p>
    <w:p w:rsidR="00397032" w:rsidRPr="00D97463" w:rsidRDefault="00397032" w:rsidP="00D97463">
      <w:pPr>
        <w:pStyle w:val="SingleTxt"/>
        <w:spacing w:after="0" w:line="120" w:lineRule="exact"/>
        <w:rPr>
          <w:sz w:val="10"/>
        </w:rPr>
      </w:pPr>
    </w:p>
    <w:p w:rsidR="00397032" w:rsidRPr="00981405" w:rsidRDefault="00397032" w:rsidP="00D97463">
      <w:pPr>
        <w:pStyle w:val="SingleTxt"/>
        <w:rPr>
          <w:rFonts w:eastAsia="SimSun"/>
        </w:rPr>
      </w:pPr>
      <w:r w:rsidRPr="00981405">
        <w:rPr>
          <w:rFonts w:eastAsia="SimSun"/>
        </w:rPr>
        <w:t>55.</w:t>
      </w:r>
      <w:r w:rsidRPr="00981405">
        <w:rPr>
          <w:rFonts w:eastAsia="SimSun"/>
        </w:rPr>
        <w:tab/>
        <w:t>Obligations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longstanding.</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found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earlier</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friendship,</w:t>
      </w:r>
      <w:r w:rsidR="00190923" w:rsidRPr="00981405">
        <w:rPr>
          <w:rFonts w:eastAsia="SimSun"/>
        </w:rPr>
        <w:t xml:space="preserve"> </w:t>
      </w:r>
      <w:r w:rsidRPr="00981405">
        <w:rPr>
          <w:rFonts w:eastAsia="SimSun"/>
        </w:rPr>
        <w:t>commerce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navigation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have</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continued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modern</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regional</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include</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thus</w:t>
      </w:r>
      <w:r w:rsidR="00190923" w:rsidRPr="00981405">
        <w:rPr>
          <w:rFonts w:eastAsia="SimSun"/>
        </w:rPr>
        <w:t xml:space="preserve"> </w:t>
      </w:r>
      <w:r w:rsidRPr="00981405">
        <w:rPr>
          <w:rFonts w:eastAsia="SimSun"/>
        </w:rPr>
        <w:t>included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if,</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cornerstone</w:t>
      </w:r>
      <w:r w:rsidR="00190923" w:rsidRPr="00981405">
        <w:rPr>
          <w:rFonts w:eastAsia="SimSun"/>
        </w:rPr>
        <w:t xml:space="preserve"> </w:t>
      </w:r>
      <w:r w:rsidRPr="00981405">
        <w:rPr>
          <w:rFonts w:eastAsia="SimSun"/>
        </w:rPr>
        <w:t>obligations.</w:t>
      </w:r>
    </w:p>
    <w:p w:rsidR="00397032" w:rsidRPr="00981405" w:rsidRDefault="00397032" w:rsidP="00D97463">
      <w:pPr>
        <w:pStyle w:val="SingleTxt"/>
        <w:rPr>
          <w:rFonts w:eastAsia="SimSun"/>
        </w:rPr>
      </w:pPr>
      <w:r w:rsidRPr="00981405">
        <w:rPr>
          <w:rFonts w:eastAsia="SimSun"/>
        </w:rPr>
        <w:lastRenderedPageBreak/>
        <w:t>56.</w:t>
      </w:r>
      <w:r w:rsidRPr="00981405">
        <w:rPr>
          <w:rFonts w:eastAsia="SimSun"/>
        </w:rPr>
        <w:tab/>
        <w:t>While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worded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variety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ways,</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generally</w:t>
      </w:r>
      <w:r w:rsidR="00190923" w:rsidRPr="00981405">
        <w:rPr>
          <w:rFonts w:eastAsia="SimSun"/>
        </w:rPr>
        <w:t xml:space="preserve"> </w:t>
      </w:r>
      <w:r w:rsidRPr="00981405">
        <w:rPr>
          <w:rFonts w:eastAsia="SimSun"/>
        </w:rPr>
        <w:t>mirror</w:t>
      </w:r>
      <w:r w:rsidR="00190923" w:rsidRPr="00981405">
        <w:rPr>
          <w:rFonts w:eastAsia="SimSun"/>
        </w:rPr>
        <w:t xml:space="preserve"> </w:t>
      </w:r>
      <w:r w:rsidRPr="00981405">
        <w:rPr>
          <w:rFonts w:eastAsia="SimSun"/>
        </w:rPr>
        <w:t>the</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190923" w:rsidRPr="00981405">
        <w:rPr>
          <w:rFonts w:eastAsia="SimSun"/>
        </w:rPr>
        <w:t xml:space="preserve"> </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language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II.</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example,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Austria</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Czech</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Slovak</w:t>
      </w:r>
      <w:r w:rsidR="00190923" w:rsidRPr="00981405">
        <w:rPr>
          <w:rFonts w:eastAsia="SimSun"/>
        </w:rPr>
        <w:t xml:space="preserve"> </w:t>
      </w:r>
      <w:r w:rsidRPr="00981405">
        <w:rPr>
          <w:rFonts w:eastAsia="SimSun"/>
        </w:rPr>
        <w:t>Republics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15</w:t>
      </w:r>
      <w:r w:rsidR="00190923" w:rsidRPr="00981405">
        <w:rPr>
          <w:rFonts w:eastAsia="SimSun"/>
        </w:rPr>
        <w:t xml:space="preserve"> </w:t>
      </w:r>
      <w:r w:rsidRPr="00981405">
        <w:rPr>
          <w:rFonts w:eastAsia="SimSun"/>
        </w:rPr>
        <w:t>October</w:t>
      </w:r>
      <w:r w:rsidR="00190923" w:rsidRPr="00981405">
        <w:rPr>
          <w:rFonts w:eastAsia="SimSun"/>
        </w:rPr>
        <w:t xml:space="preserve"> </w:t>
      </w:r>
      <w:r w:rsidRPr="00981405">
        <w:rPr>
          <w:rFonts w:eastAsia="SimSun"/>
        </w:rPr>
        <w:t>1990</w:t>
      </w:r>
      <w:r w:rsidR="00190923" w:rsidRPr="00981405">
        <w:rPr>
          <w:rFonts w:eastAsia="SimSun"/>
        </w:rPr>
        <w:t xml:space="preserve"> </w:t>
      </w:r>
      <w:r w:rsidRPr="00981405">
        <w:rPr>
          <w:rFonts w:eastAsia="SimSun"/>
        </w:rPr>
        <w:t>provides:</w:t>
      </w:r>
    </w:p>
    <w:p w:rsidR="00397032" w:rsidRPr="00981405" w:rsidRDefault="0073504D" w:rsidP="00D97463">
      <w:pPr>
        <w:pStyle w:val="SingleTxt"/>
        <w:ind w:left="1742"/>
      </w:pPr>
      <w:r w:rsidRPr="00981405">
        <w:t xml:space="preserve"> </w:t>
      </w:r>
      <w:r w:rsidR="00B92E2C" w:rsidRPr="00981405">
        <w:t>“</w:t>
      </w:r>
      <w:r w:rsidR="00397032" w:rsidRPr="00981405">
        <w:t>Each</w:t>
      </w:r>
      <w:r w:rsidR="00190923" w:rsidRPr="00981405">
        <w:t xml:space="preserve"> </w:t>
      </w:r>
      <w:r w:rsidR="00397032" w:rsidRPr="00981405">
        <w:t>Contracting</w:t>
      </w:r>
      <w:r w:rsidR="00190923" w:rsidRPr="00981405">
        <w:t xml:space="preserve"> </w:t>
      </w:r>
      <w:r w:rsidR="00397032" w:rsidRPr="00981405">
        <w:t>Party</w:t>
      </w:r>
      <w:r w:rsidR="00190923" w:rsidRPr="00981405">
        <w:t xml:space="preserve"> </w:t>
      </w:r>
      <w:r w:rsidR="00397032" w:rsidRPr="00981405">
        <w:t>shall</w:t>
      </w:r>
      <w:r w:rsidR="00190923" w:rsidRPr="00981405">
        <w:t xml:space="preserve"> </w:t>
      </w:r>
      <w:r w:rsidR="00397032" w:rsidRPr="00981405">
        <w:t>accord</w:t>
      </w:r>
      <w:r w:rsidR="00190923" w:rsidRPr="00981405">
        <w:t xml:space="preserve"> </w:t>
      </w:r>
      <w:r w:rsidR="00397032" w:rsidRPr="00981405">
        <w:t>investors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other</w:t>
      </w:r>
      <w:r w:rsidR="00190923" w:rsidRPr="00981405">
        <w:t xml:space="preserve"> </w:t>
      </w:r>
      <w:r w:rsidR="00397032" w:rsidRPr="00981405">
        <w:t>Contracting</w:t>
      </w:r>
      <w:r w:rsidR="00190923" w:rsidRPr="00981405">
        <w:t xml:space="preserve"> </w:t>
      </w:r>
      <w:r w:rsidR="00397032" w:rsidRPr="00981405">
        <w:t>Party</w:t>
      </w:r>
      <w:r w:rsidR="00190923" w:rsidRPr="00981405">
        <w:t xml:space="preserve"> </w:t>
      </w:r>
      <w:r w:rsidR="00397032" w:rsidRPr="00981405">
        <w:t>treatment</w:t>
      </w:r>
      <w:r w:rsidR="00190923" w:rsidRPr="00981405">
        <w:t xml:space="preserve"> </w:t>
      </w:r>
      <w:r w:rsidR="00397032" w:rsidRPr="00981405">
        <w:t>no</w:t>
      </w:r>
      <w:r w:rsidR="00190923" w:rsidRPr="00981405">
        <w:t xml:space="preserve"> </w:t>
      </w:r>
      <w:r w:rsidR="00397032" w:rsidRPr="00981405">
        <w:t>less</w:t>
      </w:r>
      <w:r w:rsidR="00190923" w:rsidRPr="00981405">
        <w:t xml:space="preserve"> </w:t>
      </w:r>
      <w:r w:rsidR="00397032" w:rsidRPr="00981405">
        <w:t>favourable</w:t>
      </w:r>
      <w:r w:rsidR="00190923" w:rsidRPr="00981405">
        <w:t xml:space="preserve"> </w:t>
      </w:r>
      <w:r w:rsidR="00397032" w:rsidRPr="00981405">
        <w:t>than</w:t>
      </w:r>
      <w:r w:rsidR="00190923" w:rsidRPr="00981405">
        <w:t xml:space="preserve"> </w:t>
      </w:r>
      <w:r w:rsidR="00397032" w:rsidRPr="00981405">
        <w:t>that</w:t>
      </w:r>
      <w:r w:rsidR="00190923" w:rsidRPr="00981405">
        <w:t xml:space="preserve"> </w:t>
      </w:r>
      <w:r w:rsidR="00397032" w:rsidRPr="00981405">
        <w:t>accorded</w:t>
      </w:r>
      <w:r w:rsidR="00190923" w:rsidRPr="00981405">
        <w:t xml:space="preserve"> </w:t>
      </w:r>
      <w:r w:rsidR="00397032" w:rsidRPr="00981405">
        <w:t>to</w:t>
      </w:r>
      <w:r w:rsidR="00190923" w:rsidRPr="00981405">
        <w:t xml:space="preserve"> </w:t>
      </w:r>
      <w:r w:rsidR="00397032" w:rsidRPr="00981405">
        <w:t>its</w:t>
      </w:r>
      <w:r w:rsidR="00190923" w:rsidRPr="00981405">
        <w:t xml:space="preserve"> </w:t>
      </w:r>
      <w:r w:rsidR="00397032" w:rsidRPr="00981405">
        <w:t>own</w:t>
      </w:r>
      <w:r w:rsidR="00190923" w:rsidRPr="00981405">
        <w:t xml:space="preserve"> </w:t>
      </w:r>
      <w:r w:rsidR="00397032" w:rsidRPr="00981405">
        <w:t>investors</w:t>
      </w:r>
      <w:r w:rsidR="00190923" w:rsidRPr="00981405">
        <w:t xml:space="preserve"> </w:t>
      </w:r>
      <w:r w:rsidR="00397032" w:rsidRPr="00981405">
        <w:t>or</w:t>
      </w:r>
      <w:r w:rsidR="00190923" w:rsidRPr="00981405">
        <w:t xml:space="preserve"> </w:t>
      </w:r>
      <w:r w:rsidR="00397032" w:rsidRPr="00981405">
        <w:t>investors</w:t>
      </w:r>
      <w:r w:rsidR="00190923" w:rsidRPr="00981405">
        <w:t xml:space="preserve"> </w:t>
      </w:r>
      <w:r w:rsidR="00397032" w:rsidRPr="00981405">
        <w:t>of</w:t>
      </w:r>
      <w:r w:rsidR="00190923" w:rsidRPr="00981405">
        <w:t xml:space="preserve"> </w:t>
      </w:r>
      <w:r w:rsidR="00397032" w:rsidRPr="00981405">
        <w:t>a</w:t>
      </w:r>
      <w:r w:rsidR="00190923" w:rsidRPr="00981405">
        <w:t xml:space="preserve"> </w:t>
      </w:r>
      <w:r w:rsidR="00397032" w:rsidRPr="00981405">
        <w:t>third</w:t>
      </w:r>
      <w:r w:rsidR="00190923" w:rsidRPr="00981405">
        <w:t xml:space="preserve"> </w:t>
      </w:r>
      <w:r w:rsidR="00397032" w:rsidRPr="00981405">
        <w:t>State</w:t>
      </w:r>
      <w:r w:rsidR="00190923" w:rsidRPr="00981405">
        <w:t xml:space="preserve"> </w:t>
      </w:r>
      <w:r w:rsidR="00397032" w:rsidRPr="00981405">
        <w:t>and</w:t>
      </w:r>
      <w:r w:rsidR="00190923" w:rsidRPr="00981405">
        <w:t xml:space="preserve"> </w:t>
      </w:r>
      <w:r w:rsidR="00397032" w:rsidRPr="00981405">
        <w:t>their</w:t>
      </w:r>
      <w:r w:rsidR="00190923" w:rsidRPr="00981405">
        <w:t xml:space="preserve"> </w:t>
      </w:r>
      <w:r w:rsidR="00397032" w:rsidRPr="00981405">
        <w:t>investments.</w:t>
      </w:r>
      <w:r w:rsidR="00B92E2C" w:rsidRPr="00981405">
        <w:rPr>
          <w:rFonts w:eastAsia="SimSun"/>
        </w:rPr>
        <w:t>”</w:t>
      </w:r>
      <w:r w:rsidR="00397032" w:rsidRPr="00981405">
        <w:rPr>
          <w:rStyle w:val="FootnoteReference"/>
        </w:rPr>
        <w:footnoteReference w:id="470"/>
      </w:r>
    </w:p>
    <w:p w:rsidR="00397032" w:rsidRPr="00981405" w:rsidRDefault="00397032" w:rsidP="00D97463">
      <w:pPr>
        <w:pStyle w:val="SingleTxt"/>
        <w:rPr>
          <w:rFonts w:eastAsia="SimSun"/>
        </w:rPr>
      </w:pPr>
      <w:r w:rsidRPr="00981405">
        <w:rPr>
          <w:rFonts w:eastAsia="SimSun"/>
        </w:rPr>
        <w:t>57.</w:t>
      </w:r>
      <w:r w:rsidRPr="00981405">
        <w:rPr>
          <w:rFonts w:eastAsia="SimSun"/>
        </w:rPr>
        <w:tab/>
        <w:t>In</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includes</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example,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Argentina-United</w:t>
      </w:r>
      <w:r w:rsidR="00190923" w:rsidRPr="00981405">
        <w:rPr>
          <w:rFonts w:eastAsia="SimSun"/>
        </w:rPr>
        <w:t xml:space="preserve"> </w:t>
      </w:r>
      <w:r w:rsidRPr="00981405">
        <w:rPr>
          <w:rFonts w:eastAsia="SimSun"/>
        </w:rPr>
        <w:t>Kingdom</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11</w:t>
      </w:r>
      <w:r w:rsidR="00190923" w:rsidRPr="00981405">
        <w:rPr>
          <w:rFonts w:eastAsia="SimSun"/>
        </w:rPr>
        <w:t xml:space="preserve"> </w:t>
      </w:r>
      <w:r w:rsidRPr="00981405">
        <w:rPr>
          <w:rFonts w:eastAsia="SimSun"/>
        </w:rPr>
        <w:t>December</w:t>
      </w:r>
      <w:r w:rsidR="00190923" w:rsidRPr="00981405">
        <w:rPr>
          <w:rFonts w:eastAsia="SimSun"/>
        </w:rPr>
        <w:t xml:space="preserve"> </w:t>
      </w:r>
      <w:r w:rsidRPr="00981405">
        <w:rPr>
          <w:rFonts w:eastAsia="SimSun"/>
        </w:rPr>
        <w:t>1990</w:t>
      </w:r>
      <w:r w:rsidR="00190923" w:rsidRPr="00981405">
        <w:rPr>
          <w:rFonts w:eastAsia="SimSun"/>
        </w:rPr>
        <w:t xml:space="preserve"> </w:t>
      </w:r>
      <w:r w:rsidRPr="00981405">
        <w:rPr>
          <w:rFonts w:eastAsia="SimSun"/>
        </w:rPr>
        <w:t>provides:</w:t>
      </w:r>
    </w:p>
    <w:p w:rsidR="00397032" w:rsidRPr="00981405" w:rsidRDefault="00B92E2C" w:rsidP="00D97463">
      <w:pPr>
        <w:pStyle w:val="SingleTxt"/>
        <w:ind w:left="1742"/>
      </w:pPr>
      <w:r w:rsidRPr="00981405">
        <w:t>“</w:t>
      </w:r>
      <w:r w:rsidR="00397032" w:rsidRPr="00981405">
        <w:t>Neither</w:t>
      </w:r>
      <w:r w:rsidR="00190923" w:rsidRPr="00981405">
        <w:t xml:space="preserve"> </w:t>
      </w:r>
      <w:r w:rsidR="00397032" w:rsidRPr="00981405">
        <w:t>Contracting</w:t>
      </w:r>
      <w:r w:rsidR="00190923" w:rsidRPr="00981405">
        <w:t xml:space="preserve"> </w:t>
      </w:r>
      <w:r w:rsidR="00397032" w:rsidRPr="00981405">
        <w:t>Party</w:t>
      </w:r>
      <w:r w:rsidR="00190923" w:rsidRPr="00981405">
        <w:t xml:space="preserve"> </w:t>
      </w:r>
      <w:r w:rsidR="00397032" w:rsidRPr="00981405">
        <w:t>shall</w:t>
      </w:r>
      <w:r w:rsidR="00190923" w:rsidRPr="00981405">
        <w:t xml:space="preserve"> </w:t>
      </w:r>
      <w:r w:rsidR="00397032" w:rsidRPr="00981405">
        <w:t>in</w:t>
      </w:r>
      <w:r w:rsidR="00190923" w:rsidRPr="00981405">
        <w:t xml:space="preserve"> </w:t>
      </w:r>
      <w:r w:rsidR="00397032" w:rsidRPr="00981405">
        <w:t>its</w:t>
      </w:r>
      <w:r w:rsidR="00190923" w:rsidRPr="00981405">
        <w:t xml:space="preserve"> </w:t>
      </w:r>
      <w:r w:rsidR="00397032" w:rsidRPr="00981405">
        <w:t>territory</w:t>
      </w:r>
      <w:r w:rsidR="00190923" w:rsidRPr="00981405">
        <w:t xml:space="preserve"> </w:t>
      </w:r>
      <w:r w:rsidR="00397032" w:rsidRPr="00981405">
        <w:t>subject</w:t>
      </w:r>
      <w:r w:rsidR="00190923" w:rsidRPr="00981405">
        <w:t xml:space="preserve"> </w:t>
      </w:r>
      <w:r w:rsidR="00397032" w:rsidRPr="00981405">
        <w:t>investments</w:t>
      </w:r>
      <w:r w:rsidR="00190923" w:rsidRPr="00981405">
        <w:t xml:space="preserve"> </w:t>
      </w:r>
      <w:r w:rsidR="00397032" w:rsidRPr="00981405">
        <w:t>or</w:t>
      </w:r>
      <w:r w:rsidR="00190923" w:rsidRPr="00981405">
        <w:t xml:space="preserve"> </w:t>
      </w:r>
      <w:r w:rsidR="00397032" w:rsidRPr="00981405">
        <w:t>returns</w:t>
      </w:r>
      <w:r w:rsidR="00190923" w:rsidRPr="00981405">
        <w:t xml:space="preserve"> </w:t>
      </w:r>
      <w:r w:rsidR="00397032" w:rsidRPr="00981405">
        <w:t>of</w:t>
      </w:r>
      <w:r w:rsidR="00190923" w:rsidRPr="00981405">
        <w:t xml:space="preserve"> </w:t>
      </w:r>
      <w:r w:rsidR="00397032" w:rsidRPr="00981405">
        <w:t>investors</w:t>
      </w:r>
      <w:r w:rsidR="00190923" w:rsidRPr="00981405">
        <w:t xml:space="preserve"> </w:t>
      </w:r>
      <w:r w:rsidR="00397032" w:rsidRPr="00981405">
        <w:t>or</w:t>
      </w:r>
      <w:r w:rsidR="00190923" w:rsidRPr="00981405">
        <w:t xml:space="preserve"> </w:t>
      </w:r>
      <w:r w:rsidR="00397032" w:rsidRPr="00981405">
        <w:t>companies</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other</w:t>
      </w:r>
      <w:r w:rsidR="00190923" w:rsidRPr="00981405">
        <w:t xml:space="preserve"> </w:t>
      </w:r>
      <w:r w:rsidR="00397032" w:rsidRPr="00981405">
        <w:t>Contracting</w:t>
      </w:r>
      <w:r w:rsidR="00190923" w:rsidRPr="00981405">
        <w:t xml:space="preserve"> </w:t>
      </w:r>
      <w:r w:rsidR="00397032" w:rsidRPr="00981405">
        <w:t>Party</w:t>
      </w:r>
      <w:r w:rsidR="00190923" w:rsidRPr="00981405">
        <w:t xml:space="preserve"> </w:t>
      </w:r>
      <w:r w:rsidR="00397032" w:rsidRPr="00981405">
        <w:t>to</w:t>
      </w:r>
      <w:r w:rsidR="00190923" w:rsidRPr="00981405">
        <w:t xml:space="preserve"> </w:t>
      </w:r>
      <w:r w:rsidR="00397032" w:rsidRPr="00981405">
        <w:t>treatment</w:t>
      </w:r>
      <w:r w:rsidR="00190923" w:rsidRPr="00981405">
        <w:t xml:space="preserve"> </w:t>
      </w:r>
      <w:r w:rsidR="00397032" w:rsidRPr="00981405">
        <w:t>less</w:t>
      </w:r>
      <w:r w:rsidR="00190923" w:rsidRPr="00981405">
        <w:t xml:space="preserve"> </w:t>
      </w:r>
      <w:r w:rsidR="00397032" w:rsidRPr="00981405">
        <w:t>favourable</w:t>
      </w:r>
      <w:r w:rsidR="00190923" w:rsidRPr="00981405">
        <w:t xml:space="preserve"> </w:t>
      </w:r>
      <w:r w:rsidR="00397032" w:rsidRPr="00981405">
        <w:t>than</w:t>
      </w:r>
      <w:r w:rsidR="00190923" w:rsidRPr="00981405">
        <w:t xml:space="preserve"> </w:t>
      </w:r>
      <w:r w:rsidR="00397032" w:rsidRPr="00981405">
        <w:t>that</w:t>
      </w:r>
      <w:r w:rsidR="00190923" w:rsidRPr="00981405">
        <w:t xml:space="preserve"> </w:t>
      </w:r>
      <w:r w:rsidR="00397032" w:rsidRPr="00981405">
        <w:t>which</w:t>
      </w:r>
      <w:r w:rsidR="00190923" w:rsidRPr="00981405">
        <w:t xml:space="preserve"> </w:t>
      </w:r>
      <w:r w:rsidR="00397032" w:rsidRPr="00981405">
        <w:t>it</w:t>
      </w:r>
      <w:r w:rsidR="00190923" w:rsidRPr="00981405">
        <w:t xml:space="preserve"> </w:t>
      </w:r>
      <w:r w:rsidR="00397032" w:rsidRPr="00981405">
        <w:t>accords</w:t>
      </w:r>
      <w:r w:rsidR="00190923" w:rsidRPr="00981405">
        <w:t xml:space="preserve"> </w:t>
      </w:r>
      <w:r w:rsidR="00397032" w:rsidRPr="00981405">
        <w:t>to</w:t>
      </w:r>
      <w:r w:rsidR="00190923" w:rsidRPr="00981405">
        <w:t xml:space="preserve"> </w:t>
      </w:r>
      <w:r w:rsidR="00397032" w:rsidRPr="00981405">
        <w:t>investments</w:t>
      </w:r>
      <w:r w:rsidR="00190923" w:rsidRPr="00981405">
        <w:t xml:space="preserve"> </w:t>
      </w:r>
      <w:r w:rsidR="00397032" w:rsidRPr="00981405">
        <w:t>or</w:t>
      </w:r>
      <w:r w:rsidR="00190923" w:rsidRPr="00981405">
        <w:t xml:space="preserve"> </w:t>
      </w:r>
      <w:r w:rsidR="00397032" w:rsidRPr="00981405">
        <w:t>returns</w:t>
      </w:r>
      <w:r w:rsidR="00190923" w:rsidRPr="00981405">
        <w:t xml:space="preserve"> </w:t>
      </w:r>
      <w:r w:rsidR="00397032" w:rsidRPr="00981405">
        <w:t>of</w:t>
      </w:r>
      <w:r w:rsidR="00190923" w:rsidRPr="00981405">
        <w:t xml:space="preserve"> </w:t>
      </w:r>
      <w:r w:rsidR="00397032" w:rsidRPr="00981405">
        <w:t>its</w:t>
      </w:r>
      <w:r w:rsidR="00190923" w:rsidRPr="00981405">
        <w:t xml:space="preserve"> </w:t>
      </w:r>
      <w:r w:rsidR="00397032" w:rsidRPr="00981405">
        <w:t>own</w:t>
      </w:r>
      <w:r w:rsidR="00190923" w:rsidRPr="00981405">
        <w:t xml:space="preserve"> </w:t>
      </w:r>
      <w:r w:rsidR="00397032" w:rsidRPr="00981405">
        <w:t>investors</w:t>
      </w:r>
      <w:r w:rsidR="00190923" w:rsidRPr="00981405">
        <w:t xml:space="preserve"> </w:t>
      </w:r>
      <w:r w:rsidR="00397032" w:rsidRPr="00981405">
        <w:t>or</w:t>
      </w:r>
      <w:r w:rsidR="00190923" w:rsidRPr="00981405">
        <w:t xml:space="preserve"> </w:t>
      </w:r>
      <w:r w:rsidR="00397032" w:rsidRPr="00981405">
        <w:t>companies</w:t>
      </w:r>
      <w:r w:rsidR="00190923" w:rsidRPr="00981405">
        <w:t xml:space="preserve"> </w:t>
      </w:r>
      <w:r w:rsidR="00397032" w:rsidRPr="00981405">
        <w:t>or</w:t>
      </w:r>
      <w:r w:rsidR="00190923" w:rsidRPr="00981405">
        <w:t xml:space="preserve"> </w:t>
      </w:r>
      <w:r w:rsidR="00397032" w:rsidRPr="00981405">
        <w:t>to</w:t>
      </w:r>
      <w:r w:rsidR="00190923" w:rsidRPr="00981405">
        <w:t xml:space="preserve"> </w:t>
      </w:r>
      <w:r w:rsidR="00397032" w:rsidRPr="00981405">
        <w:t>investments</w:t>
      </w:r>
      <w:r w:rsidR="00190923" w:rsidRPr="00981405">
        <w:t xml:space="preserve"> </w:t>
      </w:r>
      <w:r w:rsidR="00397032" w:rsidRPr="00981405">
        <w:t>or</w:t>
      </w:r>
      <w:r w:rsidR="00190923" w:rsidRPr="00981405">
        <w:t xml:space="preserve"> </w:t>
      </w:r>
      <w:r w:rsidR="00397032" w:rsidRPr="00981405">
        <w:t>returns</w:t>
      </w:r>
      <w:r w:rsidR="00190923" w:rsidRPr="00981405">
        <w:t xml:space="preserve"> </w:t>
      </w:r>
      <w:r w:rsidR="00397032" w:rsidRPr="00981405">
        <w:t>of</w:t>
      </w:r>
      <w:r w:rsidR="00190923" w:rsidRPr="00981405">
        <w:t xml:space="preserve"> </w:t>
      </w:r>
      <w:r w:rsidR="00397032" w:rsidRPr="00981405">
        <w:t>nationals</w:t>
      </w:r>
      <w:r w:rsidR="00190923" w:rsidRPr="00981405">
        <w:t xml:space="preserve"> </w:t>
      </w:r>
      <w:r w:rsidR="00397032" w:rsidRPr="00981405">
        <w:t>or</w:t>
      </w:r>
      <w:r w:rsidR="00190923" w:rsidRPr="00981405">
        <w:t xml:space="preserve"> </w:t>
      </w:r>
      <w:r w:rsidR="00397032" w:rsidRPr="00981405">
        <w:t>companies</w:t>
      </w:r>
      <w:r w:rsidR="00190923" w:rsidRPr="00981405">
        <w:t xml:space="preserve"> </w:t>
      </w:r>
      <w:r w:rsidR="00397032" w:rsidRPr="00981405">
        <w:t>of</w:t>
      </w:r>
      <w:r w:rsidR="00190923" w:rsidRPr="00981405">
        <w:t xml:space="preserve"> </w:t>
      </w:r>
      <w:r w:rsidR="00397032" w:rsidRPr="00981405">
        <w:t>any</w:t>
      </w:r>
      <w:r w:rsidR="00190923" w:rsidRPr="00981405">
        <w:t xml:space="preserve"> </w:t>
      </w:r>
      <w:r w:rsidR="00397032" w:rsidRPr="00981405">
        <w:t>third</w:t>
      </w:r>
      <w:r w:rsidR="00190923" w:rsidRPr="00981405">
        <w:t xml:space="preserve"> </w:t>
      </w:r>
      <w:r w:rsidR="00397032" w:rsidRPr="00981405">
        <w:t>State.</w:t>
      </w:r>
      <w:r w:rsidRPr="00981405">
        <w:t>”</w:t>
      </w:r>
      <w:r w:rsidR="00397032" w:rsidRPr="00981405">
        <w:rPr>
          <w:rStyle w:val="FootnoteReference"/>
        </w:rPr>
        <w:footnoteReference w:id="471"/>
      </w:r>
    </w:p>
    <w:p w:rsidR="00397032" w:rsidRPr="00981405" w:rsidRDefault="00397032" w:rsidP="00D97463">
      <w:pPr>
        <w:pStyle w:val="SingleTxt"/>
        <w:rPr>
          <w:rFonts w:eastAsia="SimSun"/>
        </w:rPr>
      </w:pPr>
      <w:r w:rsidRPr="00981405">
        <w:rPr>
          <w:rFonts w:eastAsia="SimSun"/>
        </w:rPr>
        <w:t>58.</w:t>
      </w:r>
      <w:r w:rsidRPr="00981405">
        <w:rPr>
          <w:rFonts w:eastAsia="SimSun"/>
        </w:rPr>
        <w:tab/>
        <w:t>In</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instances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linked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fair</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equitable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example,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China-Peru</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9</w:t>
      </w:r>
      <w:r w:rsidR="00190923" w:rsidRPr="00981405">
        <w:rPr>
          <w:rFonts w:eastAsia="SimSun"/>
        </w:rPr>
        <w:t xml:space="preserve"> </w:t>
      </w:r>
      <w:r w:rsidRPr="00981405">
        <w:rPr>
          <w:rFonts w:eastAsia="SimSun"/>
        </w:rPr>
        <w:t>June</w:t>
      </w:r>
      <w:r w:rsidR="00190923" w:rsidRPr="00981405">
        <w:rPr>
          <w:rFonts w:eastAsia="SimSun"/>
        </w:rPr>
        <w:t xml:space="preserve"> </w:t>
      </w:r>
      <w:r w:rsidRPr="00981405">
        <w:rPr>
          <w:rFonts w:eastAsia="SimSun"/>
        </w:rPr>
        <w:t>1994</w:t>
      </w:r>
      <w:r w:rsidR="00190923" w:rsidRPr="00981405">
        <w:rPr>
          <w:rFonts w:eastAsia="SimSun"/>
        </w:rPr>
        <w:t xml:space="preserve"> </w:t>
      </w:r>
      <w:r w:rsidRPr="00981405">
        <w:rPr>
          <w:rFonts w:eastAsia="SimSun"/>
        </w:rPr>
        <w:t>provides:</w:t>
      </w:r>
    </w:p>
    <w:p w:rsidR="00397032" w:rsidRPr="00981405" w:rsidRDefault="00B92E2C" w:rsidP="00D97463">
      <w:pPr>
        <w:pStyle w:val="SingleTxt"/>
        <w:ind w:left="1742"/>
      </w:pPr>
      <w:r w:rsidRPr="00981405">
        <w:t>“</w:t>
      </w:r>
      <w:r w:rsidR="00397032" w:rsidRPr="00981405">
        <w:t>Investments</w:t>
      </w:r>
      <w:r w:rsidR="00190923" w:rsidRPr="00981405">
        <w:t xml:space="preserve"> </w:t>
      </w:r>
      <w:r w:rsidR="00397032" w:rsidRPr="00981405">
        <w:t>and</w:t>
      </w:r>
      <w:r w:rsidR="00190923" w:rsidRPr="00981405">
        <w:t xml:space="preserve"> </w:t>
      </w:r>
      <w:r w:rsidR="00397032" w:rsidRPr="00981405">
        <w:t>activities</w:t>
      </w:r>
      <w:r w:rsidR="00190923" w:rsidRPr="00981405">
        <w:t xml:space="preserve"> </w:t>
      </w:r>
      <w:r w:rsidR="00397032" w:rsidRPr="00981405">
        <w:t>associated</w:t>
      </w:r>
      <w:r w:rsidR="00190923" w:rsidRPr="00981405">
        <w:t xml:space="preserve"> </w:t>
      </w:r>
      <w:r w:rsidR="00397032" w:rsidRPr="00981405">
        <w:t>with</w:t>
      </w:r>
      <w:r w:rsidR="00190923" w:rsidRPr="00981405">
        <w:t xml:space="preserve"> </w:t>
      </w:r>
      <w:r w:rsidR="00397032" w:rsidRPr="00981405">
        <w:t>investments</w:t>
      </w:r>
      <w:r w:rsidR="00190923" w:rsidRPr="00981405">
        <w:t xml:space="preserve"> </w:t>
      </w:r>
      <w:r w:rsidR="00397032" w:rsidRPr="00981405">
        <w:t>of</w:t>
      </w:r>
      <w:r w:rsidR="00190923" w:rsidRPr="00981405">
        <w:t xml:space="preserve"> </w:t>
      </w:r>
      <w:r w:rsidR="00397032" w:rsidRPr="00981405">
        <w:t>investors</w:t>
      </w:r>
      <w:r w:rsidR="00190923" w:rsidRPr="00981405">
        <w:t xml:space="preserve"> </w:t>
      </w:r>
      <w:r w:rsidR="00397032" w:rsidRPr="00981405">
        <w:t>of</w:t>
      </w:r>
      <w:r w:rsidR="00190923" w:rsidRPr="00981405">
        <w:t xml:space="preserve"> </w:t>
      </w:r>
      <w:r w:rsidR="00397032" w:rsidRPr="00981405">
        <w:t>either</w:t>
      </w:r>
      <w:r w:rsidR="00190923" w:rsidRPr="00981405">
        <w:t xml:space="preserve"> </w:t>
      </w:r>
      <w:r w:rsidR="00397032" w:rsidRPr="00981405">
        <w:t>Contracting</w:t>
      </w:r>
      <w:r w:rsidR="00190923" w:rsidRPr="00981405">
        <w:t xml:space="preserve"> </w:t>
      </w:r>
      <w:r w:rsidR="00397032" w:rsidRPr="00981405">
        <w:t>Party</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00397032" w:rsidRPr="00981405">
        <w:t>accorded</w:t>
      </w:r>
      <w:r w:rsidR="00190923" w:rsidRPr="00981405">
        <w:t xml:space="preserve"> </w:t>
      </w:r>
      <w:r w:rsidR="00397032" w:rsidRPr="00981405">
        <w:t>fair</w:t>
      </w:r>
      <w:r w:rsidR="00190923" w:rsidRPr="00981405">
        <w:t xml:space="preserve"> </w:t>
      </w:r>
      <w:r w:rsidR="00397032" w:rsidRPr="00981405">
        <w:t>and</w:t>
      </w:r>
      <w:r w:rsidR="00190923" w:rsidRPr="00981405">
        <w:t xml:space="preserve"> </w:t>
      </w:r>
      <w:r w:rsidR="00397032" w:rsidRPr="00981405">
        <w:t>equitable</w:t>
      </w:r>
      <w:r w:rsidR="00190923" w:rsidRPr="00981405">
        <w:t xml:space="preserve"> </w:t>
      </w:r>
      <w:r w:rsidR="00397032" w:rsidRPr="00981405">
        <w:t>treatment</w:t>
      </w:r>
      <w:r w:rsidR="00190923" w:rsidRPr="00981405">
        <w:t xml:space="preserve"> </w:t>
      </w:r>
      <w:r w:rsidR="00397032" w:rsidRPr="00981405">
        <w:t>and</w:t>
      </w:r>
      <w:r w:rsidR="00190923" w:rsidRPr="00981405">
        <w:t xml:space="preserve"> </w:t>
      </w:r>
      <w:r w:rsidR="00397032" w:rsidRPr="00981405">
        <w:t>shall</w:t>
      </w:r>
      <w:r w:rsidR="00190923" w:rsidRPr="00981405">
        <w:t xml:space="preserve"> </w:t>
      </w:r>
      <w:r w:rsidR="00397032" w:rsidRPr="00981405">
        <w:t>enjoy</w:t>
      </w:r>
      <w:r w:rsidR="00190923" w:rsidRPr="00981405">
        <w:t xml:space="preserve"> </w:t>
      </w:r>
      <w:r w:rsidR="00397032" w:rsidRPr="00981405">
        <w:t>protection</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territory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other</w:t>
      </w:r>
      <w:r w:rsidR="00190923" w:rsidRPr="00981405">
        <w:t xml:space="preserve"> </w:t>
      </w:r>
      <w:r w:rsidR="00397032" w:rsidRPr="00981405">
        <w:t>Contracting</w:t>
      </w:r>
      <w:r w:rsidR="00190923" w:rsidRPr="00981405">
        <w:t xml:space="preserve"> </w:t>
      </w:r>
      <w:r w:rsidR="00397032" w:rsidRPr="00981405">
        <w:t>Party.</w:t>
      </w:r>
    </w:p>
    <w:p w:rsidR="00397032" w:rsidRPr="00981405" w:rsidRDefault="00397032" w:rsidP="00D97463">
      <w:pPr>
        <w:pStyle w:val="SingleTxt"/>
        <w:ind w:left="1742"/>
      </w:pPr>
      <w:r w:rsidRPr="00981405">
        <w:t>The</w:t>
      </w:r>
      <w:r w:rsidR="00190923" w:rsidRPr="00981405">
        <w:t xml:space="preserve"> </w:t>
      </w:r>
      <w:r w:rsidRPr="00981405">
        <w:t>treatment</w:t>
      </w:r>
      <w:r w:rsidR="00190923" w:rsidRPr="00981405">
        <w:t xml:space="preserve"> </w:t>
      </w:r>
      <w:r w:rsidRPr="00981405">
        <w:t>and</w:t>
      </w:r>
      <w:r w:rsidR="00190923" w:rsidRPr="00981405">
        <w:t xml:space="preserve"> </w:t>
      </w:r>
      <w:r w:rsidRPr="00981405">
        <w:t>protection</w:t>
      </w:r>
      <w:r w:rsidR="00190923" w:rsidRPr="00981405">
        <w:t xml:space="preserve"> </w:t>
      </w:r>
      <w:r w:rsidRPr="00981405">
        <w:t>referred</w:t>
      </w:r>
      <w:r w:rsidR="00190923" w:rsidRPr="00981405">
        <w:t xml:space="preserve"> </w:t>
      </w:r>
      <w:r w:rsidRPr="00981405">
        <w:t>to</w:t>
      </w:r>
      <w:r w:rsidR="00190923" w:rsidRPr="00981405">
        <w:t xml:space="preserve"> </w:t>
      </w:r>
      <w:r w:rsidRPr="00981405">
        <w:t>in</w:t>
      </w:r>
      <w:r w:rsidR="00190923" w:rsidRPr="00981405">
        <w:t xml:space="preserve"> </w:t>
      </w:r>
      <w:r w:rsidRPr="00981405">
        <w:t>Paragraph</w:t>
      </w:r>
      <w:r w:rsidR="00190923" w:rsidRPr="00981405">
        <w:t xml:space="preserve"> </w:t>
      </w:r>
      <w:r w:rsidRPr="00981405">
        <w:t>1</w:t>
      </w:r>
      <w:r w:rsidR="00190923" w:rsidRPr="00981405">
        <w:t xml:space="preserve"> </w:t>
      </w:r>
      <w:r w:rsidRPr="00981405">
        <w:t>of</w:t>
      </w:r>
      <w:r w:rsidR="00190923" w:rsidRPr="00981405">
        <w:t xml:space="preserve"> </w:t>
      </w:r>
      <w:r w:rsidRPr="00981405">
        <w:t>this</w:t>
      </w:r>
      <w:r w:rsidR="00190923" w:rsidRPr="00981405">
        <w:t xml:space="preserve"> </w:t>
      </w:r>
      <w:r w:rsidRPr="00981405">
        <w:t>Article</w:t>
      </w:r>
      <w:r w:rsidR="00190923" w:rsidRPr="00981405">
        <w:t xml:space="preserve"> </w:t>
      </w:r>
      <w:r w:rsidRPr="00981405">
        <w:t>shall</w:t>
      </w:r>
      <w:r w:rsidR="00190923" w:rsidRPr="00981405">
        <w:t xml:space="preserve"> </w:t>
      </w:r>
      <w:r w:rsidRPr="00981405">
        <w:t>not</w:t>
      </w:r>
      <w:r w:rsidR="00190923" w:rsidRPr="00981405">
        <w:t xml:space="preserve"> </w:t>
      </w:r>
      <w:r w:rsidRPr="00981405">
        <w:t>be</w:t>
      </w:r>
      <w:r w:rsidR="00190923" w:rsidRPr="00981405">
        <w:t xml:space="preserve"> </w:t>
      </w:r>
      <w:r w:rsidRPr="00981405">
        <w:t>less</w:t>
      </w:r>
      <w:r w:rsidR="00190923" w:rsidRPr="00981405">
        <w:t xml:space="preserve"> </w:t>
      </w:r>
      <w:r w:rsidRPr="00981405">
        <w:t>favourable</w:t>
      </w:r>
      <w:r w:rsidR="00190923" w:rsidRPr="00981405">
        <w:t xml:space="preserve"> </w:t>
      </w:r>
      <w:r w:rsidRPr="00981405">
        <w:t>than</w:t>
      </w:r>
      <w:r w:rsidR="00190923" w:rsidRPr="00981405">
        <w:t xml:space="preserve"> </w:t>
      </w:r>
      <w:r w:rsidRPr="00981405">
        <w:t>that</w:t>
      </w:r>
      <w:r w:rsidR="00190923" w:rsidRPr="00981405">
        <w:t xml:space="preserve"> </w:t>
      </w:r>
      <w:r w:rsidRPr="00981405">
        <w:t>accorded</w:t>
      </w:r>
      <w:r w:rsidR="00190923" w:rsidRPr="00981405">
        <w:t xml:space="preserve"> </w:t>
      </w:r>
      <w:r w:rsidRPr="00981405">
        <w:t>to</w:t>
      </w:r>
      <w:r w:rsidR="00190923" w:rsidRPr="00981405">
        <w:t xml:space="preserve"> </w:t>
      </w:r>
      <w:r w:rsidRPr="00981405">
        <w:t>investments</w:t>
      </w:r>
      <w:r w:rsidR="00190923" w:rsidRPr="00981405">
        <w:t xml:space="preserve"> </w:t>
      </w:r>
      <w:r w:rsidRPr="00981405">
        <w:t>and</w:t>
      </w:r>
      <w:r w:rsidR="00190923" w:rsidRPr="00981405">
        <w:t xml:space="preserve"> </w:t>
      </w:r>
      <w:r w:rsidRPr="00981405">
        <w:t>activities</w:t>
      </w:r>
      <w:r w:rsidR="00190923" w:rsidRPr="00981405">
        <w:t xml:space="preserve"> </w:t>
      </w:r>
      <w:r w:rsidRPr="00981405">
        <w:t>associated</w:t>
      </w:r>
      <w:r w:rsidR="00190923" w:rsidRPr="00981405">
        <w:t xml:space="preserve"> </w:t>
      </w:r>
      <w:r w:rsidRPr="00981405">
        <w:t>with</w:t>
      </w:r>
      <w:r w:rsidR="00190923" w:rsidRPr="00981405">
        <w:t xml:space="preserve"> </w:t>
      </w:r>
      <w:r w:rsidRPr="00981405">
        <w:t>such</w:t>
      </w:r>
      <w:r w:rsidR="00190923" w:rsidRPr="00981405">
        <w:t xml:space="preserve"> </w:t>
      </w:r>
      <w:r w:rsidRPr="00981405">
        <w:t>investments</w:t>
      </w:r>
      <w:r w:rsidR="00190923" w:rsidRPr="00981405">
        <w:t xml:space="preserve"> </w:t>
      </w:r>
      <w:r w:rsidRPr="00981405">
        <w:t>of</w:t>
      </w:r>
      <w:r w:rsidR="00190923" w:rsidRPr="00981405">
        <w:t xml:space="preserve"> </w:t>
      </w:r>
      <w:r w:rsidRPr="00981405">
        <w:t>investors</w:t>
      </w:r>
      <w:r w:rsidR="00190923" w:rsidRPr="00981405">
        <w:t xml:space="preserve"> </w:t>
      </w:r>
      <w:r w:rsidRPr="00981405">
        <w:t>of</w:t>
      </w:r>
      <w:r w:rsidR="00190923" w:rsidRPr="00981405">
        <w:t xml:space="preserve"> </w:t>
      </w:r>
      <w:r w:rsidRPr="00981405">
        <w:t>a</w:t>
      </w:r>
      <w:r w:rsidR="00190923" w:rsidRPr="00981405">
        <w:t xml:space="preserve"> </w:t>
      </w:r>
      <w:r w:rsidRPr="00981405">
        <w:t>third</w:t>
      </w:r>
      <w:r w:rsidR="00190923" w:rsidRPr="00981405">
        <w:t xml:space="preserve"> </w:t>
      </w:r>
      <w:r w:rsidRPr="00981405">
        <w:t>State.</w:t>
      </w:r>
      <w:r w:rsidR="00B92E2C" w:rsidRPr="00981405">
        <w:rPr>
          <w:rFonts w:eastAsia="SimSun"/>
        </w:rPr>
        <w:t>”</w:t>
      </w:r>
      <w:r w:rsidRPr="00981405">
        <w:rPr>
          <w:rStyle w:val="FootnoteReference"/>
        </w:rPr>
        <w:footnoteReference w:id="472"/>
      </w:r>
    </w:p>
    <w:p w:rsidR="00397032" w:rsidRPr="00981405" w:rsidRDefault="00397032" w:rsidP="00D97463">
      <w:pPr>
        <w:pStyle w:val="SingleTxt"/>
        <w:rPr>
          <w:rFonts w:eastAsia="SimSun"/>
        </w:rPr>
      </w:pPr>
      <w:r w:rsidRPr="00981405">
        <w:rPr>
          <w:rFonts w:eastAsia="SimSun"/>
        </w:rPr>
        <w:t>59.</w:t>
      </w:r>
      <w:r w:rsidRPr="00981405">
        <w:rPr>
          <w:rFonts w:eastAsia="SimSun"/>
        </w:rPr>
        <w:tab/>
        <w:t>Notwithstanding</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common</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bilateral</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way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expressed</w:t>
      </w:r>
      <w:r w:rsidR="00190923" w:rsidRPr="00981405">
        <w:rPr>
          <w:rFonts w:eastAsia="SimSun"/>
        </w:rPr>
        <w:t xml:space="preserve"> </w:t>
      </w:r>
      <w:r w:rsidRPr="00981405">
        <w:rPr>
          <w:rFonts w:eastAsia="SimSun"/>
        </w:rPr>
        <w:t>varies.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regard,</w:t>
      </w:r>
      <w:r w:rsidR="00190923" w:rsidRPr="00981405">
        <w:rPr>
          <w:rFonts w:eastAsia="SimSun"/>
        </w:rPr>
        <w:t xml:space="preserve"> </w:t>
      </w:r>
      <w:r w:rsidRPr="00981405">
        <w:rPr>
          <w:rFonts w:eastAsia="SimSun"/>
        </w:rPr>
        <w:t>six</w:t>
      </w:r>
      <w:r w:rsidR="00190923" w:rsidRPr="00981405">
        <w:rPr>
          <w:rFonts w:eastAsia="SimSun"/>
        </w:rPr>
        <w:t xml:space="preserve"> </w:t>
      </w:r>
      <w:r w:rsidRPr="00981405">
        <w:rPr>
          <w:rFonts w:eastAsia="SimSun"/>
        </w:rPr>
        <w:t>types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identified</w:t>
      </w:r>
      <w:r w:rsidR="00190923" w:rsidRPr="00981405">
        <w:rPr>
          <w:rFonts w:eastAsia="SimSun"/>
        </w:rPr>
        <w:t xml:space="preserve"> </w:t>
      </w:r>
      <w:r w:rsidRPr="00981405">
        <w:rPr>
          <w:rFonts w:eastAsia="SimSun"/>
        </w:rPr>
        <w:t>although</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may</w:t>
      </w:r>
      <w:r w:rsidR="00190923" w:rsidRPr="00981405">
        <w:rPr>
          <w:rFonts w:eastAsia="SimSun"/>
        </w:rPr>
        <w:t xml:space="preserve"> </w:t>
      </w:r>
      <w:r w:rsidRPr="00981405">
        <w:rPr>
          <w:rFonts w:eastAsia="SimSun"/>
        </w:rPr>
        <w:t>mix</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different</w:t>
      </w:r>
      <w:r w:rsidR="00190923" w:rsidRPr="00981405">
        <w:rPr>
          <w:rFonts w:eastAsia="SimSun"/>
        </w:rPr>
        <w:t xml:space="preserve"> </w:t>
      </w:r>
      <w:r w:rsidRPr="00981405">
        <w:rPr>
          <w:rFonts w:eastAsia="SimSun"/>
        </w:rPr>
        <w:t>types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single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60.</w:t>
      </w:r>
      <w:r w:rsidRPr="00981405">
        <w:rPr>
          <w:rFonts w:eastAsia="SimSun"/>
        </w:rPr>
        <w:tab/>
        <w:t>The</w:t>
      </w:r>
      <w:r w:rsidR="00190923" w:rsidRPr="00981405">
        <w:rPr>
          <w:rFonts w:eastAsia="SimSun"/>
        </w:rPr>
        <w:t xml:space="preserve"> </w:t>
      </w:r>
      <w:r w:rsidRPr="00981405">
        <w:rPr>
          <w:rFonts w:eastAsia="SimSun"/>
        </w:rPr>
        <w:t>first</w:t>
      </w:r>
      <w:r w:rsidR="00190923" w:rsidRPr="00981405">
        <w:rPr>
          <w:rFonts w:eastAsia="SimSun"/>
        </w:rPr>
        <w:t xml:space="preserve"> </w:t>
      </w:r>
      <w:r w:rsidRPr="00981405">
        <w:rPr>
          <w:rFonts w:eastAsia="SimSun"/>
        </w:rPr>
        <w:t>type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relates</w:t>
      </w:r>
      <w:r w:rsidR="00190923" w:rsidRPr="00981405">
        <w:rPr>
          <w:rFonts w:eastAsia="SimSun"/>
        </w:rPr>
        <w:t xml:space="preserve"> </w:t>
      </w:r>
      <w:r w:rsidRPr="00981405">
        <w:rPr>
          <w:rFonts w:eastAsia="SimSun"/>
        </w:rPr>
        <w:t>simply</w:t>
      </w:r>
      <w:r w:rsidR="00190923" w:rsidRPr="00981405">
        <w:rPr>
          <w:rFonts w:eastAsia="SimSun"/>
        </w:rPr>
        <w:t xml:space="preserve"> </w:t>
      </w:r>
      <w:r w:rsidRPr="00981405">
        <w:rPr>
          <w:rFonts w:eastAsia="SimSun"/>
        </w:rPr>
        <w:t>to</w:t>
      </w:r>
      <w:r w:rsidR="00190923" w:rsidRPr="00981405">
        <w:rPr>
          <w:rFonts w:eastAsia="SimSun"/>
        </w:rPr>
        <w:t xml:space="preserve"> </w:t>
      </w:r>
      <w:r w:rsidR="00B92E2C" w:rsidRPr="00981405">
        <w:rPr>
          <w:rFonts w:eastAsia="SimSun"/>
        </w:rPr>
        <w:t>“</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accorded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investor</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investments.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Austria</w:t>
      </w:r>
      <w:r w:rsidR="00B92E2C" w:rsidRPr="00981405">
        <w:rPr>
          <w:rFonts w:eastAsia="SimSun"/>
        </w:rPr>
        <w:t>-</w:t>
      </w:r>
      <w:r w:rsidRPr="00981405">
        <w:rPr>
          <w:rFonts w:eastAsia="SimSun"/>
        </w:rPr>
        <w:t>Czech</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Slovak</w:t>
      </w:r>
      <w:r w:rsidR="00190923" w:rsidRPr="00981405">
        <w:rPr>
          <w:rFonts w:eastAsia="SimSun"/>
        </w:rPr>
        <w:t xml:space="preserve"> </w:t>
      </w:r>
      <w:r w:rsidRPr="00981405">
        <w:rPr>
          <w:rFonts w:eastAsia="SimSun"/>
        </w:rPr>
        <w:t>Republics</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example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this.</w:t>
      </w:r>
    </w:p>
    <w:p w:rsidR="00397032" w:rsidRPr="00981405" w:rsidRDefault="00397032" w:rsidP="00D97463">
      <w:pPr>
        <w:pStyle w:val="SingleTxt"/>
        <w:rPr>
          <w:rFonts w:eastAsia="SimSun"/>
        </w:rPr>
      </w:pPr>
      <w:r w:rsidRPr="00981405">
        <w:rPr>
          <w:rFonts w:eastAsia="SimSun"/>
        </w:rPr>
        <w:t>61.</w:t>
      </w:r>
      <w:r w:rsidRPr="00981405">
        <w:rPr>
          <w:rFonts w:eastAsia="SimSun"/>
        </w:rPr>
        <w:tab/>
        <w:t>The</w:t>
      </w:r>
      <w:r w:rsidR="00190923" w:rsidRPr="00981405">
        <w:rPr>
          <w:rFonts w:eastAsia="SimSun"/>
        </w:rPr>
        <w:t xml:space="preserve"> </w:t>
      </w:r>
      <w:r w:rsidRPr="00981405">
        <w:rPr>
          <w:rFonts w:eastAsia="SimSun"/>
        </w:rPr>
        <w:t>second</w:t>
      </w:r>
      <w:r w:rsidR="00190923" w:rsidRPr="00981405">
        <w:rPr>
          <w:rFonts w:eastAsia="SimSun"/>
        </w:rPr>
        <w:t xml:space="preserve"> </w:t>
      </w:r>
      <w:r w:rsidRPr="00981405">
        <w:rPr>
          <w:rFonts w:eastAsia="SimSun"/>
        </w:rPr>
        <w:t>type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broadened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referring</w:t>
      </w:r>
      <w:r w:rsidR="00190923" w:rsidRPr="00981405">
        <w:rPr>
          <w:rFonts w:eastAsia="SimSun"/>
        </w:rPr>
        <w:t xml:space="preserve"> </w:t>
      </w:r>
      <w:r w:rsidRPr="00981405">
        <w:rPr>
          <w:rFonts w:eastAsia="SimSun"/>
        </w:rPr>
        <w:t>to</w:t>
      </w:r>
      <w:r w:rsidR="00190923" w:rsidRPr="00981405">
        <w:rPr>
          <w:rFonts w:eastAsia="SimSun"/>
        </w:rPr>
        <w:t xml:space="preserve"> </w:t>
      </w:r>
      <w:r w:rsidR="00B92E2C" w:rsidRPr="00981405">
        <w:rPr>
          <w:rFonts w:eastAsia="SimSun"/>
        </w:rPr>
        <w:t>“</w:t>
      </w:r>
      <w:r w:rsidRPr="00981405">
        <w:rPr>
          <w:rFonts w:eastAsia="SimSun"/>
        </w:rPr>
        <w:t>all</w:t>
      </w:r>
      <w:r w:rsidR="00B92E2C" w:rsidRPr="00981405">
        <w:rPr>
          <w:rFonts w:eastAsia="SimSun"/>
        </w:rPr>
        <w:t>”</w:t>
      </w:r>
      <w:r w:rsidR="00190923" w:rsidRPr="00981405">
        <w:rPr>
          <w:rFonts w:eastAsia="SimSun"/>
        </w:rPr>
        <w:t xml:space="preserve"> </w:t>
      </w:r>
      <w:r w:rsidRPr="00981405">
        <w:rPr>
          <w:rFonts w:eastAsia="SimSun"/>
        </w:rPr>
        <w:t>treatment.</w:t>
      </w:r>
      <w:r w:rsidR="00B92E2C"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example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Argentina-Spain</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specifies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applies</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matters</w:t>
      </w:r>
      <w:r w:rsidR="00190923" w:rsidRPr="00981405">
        <w:rPr>
          <w:rFonts w:eastAsia="SimSun"/>
        </w:rPr>
        <w:t xml:space="preserve"> </w:t>
      </w:r>
      <w:r w:rsidRPr="00981405">
        <w:rPr>
          <w:rFonts w:eastAsia="SimSun"/>
        </w:rPr>
        <w:t>governed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Agreement.</w:t>
      </w:r>
      <w:r w:rsidR="00B92E2C" w:rsidRPr="00981405">
        <w:rPr>
          <w:rFonts w:eastAsia="SimSun"/>
        </w:rPr>
        <w:t>”</w:t>
      </w:r>
      <w:r w:rsidRPr="00981405">
        <w:rPr>
          <w:rStyle w:val="FootnoteReference"/>
        </w:rPr>
        <w:footnoteReference w:id="473"/>
      </w:r>
      <w:r w:rsidR="00190923" w:rsidRPr="00981405">
        <w:rPr>
          <w:rFonts w:eastAsia="SimSun"/>
        </w:rPr>
        <w:t xml:space="preserve"> </w:t>
      </w:r>
    </w:p>
    <w:p w:rsidR="00397032" w:rsidRPr="00981405" w:rsidRDefault="00397032" w:rsidP="00D97463">
      <w:pPr>
        <w:pStyle w:val="SingleTxt"/>
        <w:rPr>
          <w:rFonts w:eastAsia="SimSun"/>
        </w:rPr>
      </w:pPr>
      <w:r w:rsidRPr="00981405">
        <w:rPr>
          <w:rFonts w:eastAsia="SimSun"/>
        </w:rPr>
        <w:t>62.</w:t>
      </w:r>
      <w:r w:rsidRPr="00981405">
        <w:rPr>
          <w:rFonts w:eastAsia="SimSun"/>
        </w:rPr>
        <w:tab/>
        <w:t>The</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type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term</w:t>
      </w:r>
      <w:r w:rsidR="00190923" w:rsidRPr="00981405">
        <w:rPr>
          <w:rFonts w:eastAsia="SimSun"/>
        </w:rPr>
        <w:t xml:space="preserve"> </w:t>
      </w:r>
      <w:r w:rsidR="00B92E2C" w:rsidRPr="00981405">
        <w:rPr>
          <w:rFonts w:eastAsia="SimSun"/>
        </w:rPr>
        <w:t>“</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related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specific</w:t>
      </w:r>
      <w:r w:rsidR="00190923" w:rsidRPr="00981405">
        <w:rPr>
          <w:rFonts w:eastAsia="SimSun"/>
        </w:rPr>
        <w:t xml:space="preserve"> </w:t>
      </w:r>
      <w:r w:rsidRPr="00981405">
        <w:rPr>
          <w:rFonts w:eastAsia="SimSun"/>
        </w:rPr>
        <w:t>aspects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process,</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as</w:t>
      </w:r>
      <w:r w:rsidR="00190923" w:rsidRPr="00981405">
        <w:rPr>
          <w:rFonts w:eastAsia="SimSun"/>
        </w:rPr>
        <w:t xml:space="preserve"> </w:t>
      </w:r>
      <w:r w:rsidR="00B92E2C" w:rsidRPr="00981405">
        <w:rPr>
          <w:rFonts w:eastAsia="SimSun"/>
        </w:rPr>
        <w:t>“</w:t>
      </w:r>
      <w:r w:rsidRPr="00981405">
        <w:rPr>
          <w:rFonts w:eastAsia="SimSun"/>
        </w:rPr>
        <w:t>management,</w:t>
      </w:r>
      <w:r w:rsidR="00B92E2C" w:rsidRPr="00981405">
        <w:rPr>
          <w:rFonts w:eastAsia="SimSun"/>
        </w:rPr>
        <w:t>”</w:t>
      </w:r>
      <w:r w:rsidR="00190923" w:rsidRPr="00981405">
        <w:rPr>
          <w:rFonts w:eastAsia="SimSun"/>
        </w:rPr>
        <w:t xml:space="preserve"> </w:t>
      </w:r>
      <w:r w:rsidR="00B92E2C" w:rsidRPr="00981405">
        <w:rPr>
          <w:rFonts w:eastAsia="SimSun"/>
        </w:rPr>
        <w:t>“</w:t>
      </w:r>
      <w:r w:rsidRPr="00981405">
        <w:rPr>
          <w:rFonts w:eastAsia="SimSun"/>
        </w:rPr>
        <w:t>maintenance,</w:t>
      </w:r>
      <w:r w:rsidR="00B92E2C" w:rsidRPr="00981405">
        <w:rPr>
          <w:rFonts w:eastAsia="SimSun"/>
        </w:rPr>
        <w:t>”</w:t>
      </w:r>
      <w:r w:rsidR="00190923" w:rsidRPr="00981405">
        <w:rPr>
          <w:rFonts w:eastAsia="SimSun"/>
        </w:rPr>
        <w:t xml:space="preserve"> </w:t>
      </w:r>
      <w:r w:rsidR="00B92E2C" w:rsidRPr="00981405">
        <w:rPr>
          <w:rFonts w:eastAsia="SimSun"/>
        </w:rPr>
        <w:t>“</w:t>
      </w:r>
      <w:r w:rsidRPr="00981405">
        <w:rPr>
          <w:rFonts w:eastAsia="SimSun"/>
        </w:rPr>
        <w:t>use,</w:t>
      </w:r>
      <w:r w:rsidR="00B92E2C" w:rsidRPr="00981405">
        <w:rPr>
          <w:rFonts w:eastAsia="SimSun"/>
        </w:rPr>
        <w:t>”</w:t>
      </w:r>
      <w:r w:rsidR="00190923" w:rsidRPr="00981405">
        <w:rPr>
          <w:rFonts w:eastAsia="SimSun"/>
        </w:rPr>
        <w:t xml:space="preserve"> </w:t>
      </w:r>
      <w:r w:rsidRPr="00981405">
        <w:rPr>
          <w:rFonts w:eastAsia="SimSun"/>
        </w:rPr>
        <w:t>and</w:t>
      </w:r>
      <w:r w:rsidR="00190923" w:rsidRPr="00981405">
        <w:rPr>
          <w:rFonts w:eastAsia="SimSun"/>
        </w:rPr>
        <w:t xml:space="preserve"> </w:t>
      </w:r>
      <w:r w:rsidR="00B92E2C" w:rsidRPr="00981405">
        <w:rPr>
          <w:rFonts w:eastAsia="SimSun"/>
        </w:rPr>
        <w:lastRenderedPageBreak/>
        <w:t>“</w:t>
      </w:r>
      <w:r w:rsidRPr="00981405">
        <w:rPr>
          <w:rFonts w:eastAsia="SimSun"/>
        </w:rPr>
        <w:t>disposal</w:t>
      </w:r>
      <w:r w:rsidR="00B92E2C" w:rsidRPr="00981405">
        <w:rPr>
          <w:rFonts w:eastAsia="SimSun"/>
        </w:rPr>
        <w: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applies.</w:t>
      </w:r>
      <w:r w:rsidRPr="00981405">
        <w:rPr>
          <w:rStyle w:val="FootnoteReference"/>
        </w:rPr>
        <w:footnoteReference w:id="474"/>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instances</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00B92E2C" w:rsidRPr="00981405">
        <w:rPr>
          <w:rFonts w:eastAsia="SimSun"/>
        </w:rPr>
        <w:t>“</w:t>
      </w:r>
      <w:r w:rsidRPr="00981405">
        <w:rPr>
          <w:rFonts w:eastAsia="SimSun"/>
        </w:rPr>
        <w:t>establishment</w:t>
      </w:r>
      <w:r w:rsidR="00B92E2C" w:rsidRPr="00981405">
        <w:rPr>
          <w:rFonts w:eastAsia="SimSun"/>
        </w:rPr>
        <w: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thus</w:t>
      </w:r>
      <w:r w:rsidR="00190923" w:rsidRPr="00981405">
        <w:rPr>
          <w:rFonts w:eastAsia="SimSun"/>
        </w:rPr>
        <w:t xml:space="preserve"> </w:t>
      </w:r>
      <w:r w:rsidRPr="00981405">
        <w:rPr>
          <w:rFonts w:eastAsia="SimSun"/>
        </w:rPr>
        <w:t>providing</w:t>
      </w:r>
      <w:r w:rsidR="00190923" w:rsidRPr="00981405">
        <w:rPr>
          <w:rFonts w:eastAsia="SimSun"/>
        </w:rPr>
        <w:t xml:space="preserve"> </w:t>
      </w:r>
      <w:r w:rsidRPr="00981405">
        <w:rPr>
          <w:rFonts w:eastAsia="SimSun"/>
        </w:rPr>
        <w:t>protection</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pre-investment</w:t>
      </w:r>
      <w:r w:rsidR="00190923" w:rsidRPr="00981405">
        <w:rPr>
          <w:rFonts w:eastAsia="SimSun"/>
        </w:rPr>
        <w:t xml:space="preserve"> </w:t>
      </w:r>
      <w:r w:rsidRPr="00981405">
        <w:rPr>
          <w:rFonts w:eastAsia="SimSun"/>
        </w:rPr>
        <w:t>period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well</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post-investment</w:t>
      </w:r>
      <w:r w:rsidR="00190923" w:rsidRPr="00981405">
        <w:rPr>
          <w:rFonts w:eastAsia="SimSun"/>
        </w:rPr>
        <w:t xml:space="preserve"> </w:t>
      </w:r>
      <w:r w:rsidRPr="00981405">
        <w:rPr>
          <w:rFonts w:eastAsia="SimSun"/>
        </w:rPr>
        <w:t>period.</w:t>
      </w:r>
      <w:r w:rsidRPr="00981405">
        <w:rPr>
          <w:rStyle w:val="FootnoteReference"/>
        </w:rPr>
        <w:footnoteReference w:id="475"/>
      </w:r>
    </w:p>
    <w:p w:rsidR="00397032" w:rsidRPr="00981405" w:rsidRDefault="00397032" w:rsidP="00D97463">
      <w:pPr>
        <w:pStyle w:val="SingleTxt"/>
        <w:rPr>
          <w:rFonts w:eastAsia="SimSun"/>
        </w:rPr>
      </w:pPr>
      <w:r w:rsidRPr="00981405">
        <w:rPr>
          <w:rFonts w:eastAsia="SimSun"/>
        </w:rPr>
        <w:t>63.</w:t>
      </w:r>
      <w:r w:rsidRPr="00981405">
        <w:rPr>
          <w:rFonts w:eastAsia="SimSun"/>
        </w:rPr>
        <w:tab/>
        <w:t>The</w:t>
      </w:r>
      <w:r w:rsidR="00190923" w:rsidRPr="00981405">
        <w:rPr>
          <w:rFonts w:eastAsia="SimSun"/>
        </w:rPr>
        <w:t xml:space="preserve"> </w:t>
      </w:r>
      <w:r w:rsidRPr="00981405">
        <w:rPr>
          <w:rFonts w:eastAsia="SimSun"/>
        </w:rPr>
        <w:t>fourth</w:t>
      </w:r>
      <w:r w:rsidR="00190923" w:rsidRPr="00981405">
        <w:rPr>
          <w:rFonts w:eastAsia="SimSun"/>
        </w:rPr>
        <w:t xml:space="preserve"> </w:t>
      </w:r>
      <w:r w:rsidRPr="00981405">
        <w:rPr>
          <w:rFonts w:eastAsia="SimSun"/>
        </w:rPr>
        <w:t>type</w:t>
      </w:r>
      <w:r w:rsidR="00190923" w:rsidRPr="00981405">
        <w:rPr>
          <w:rFonts w:eastAsia="SimSun"/>
        </w:rPr>
        <w:t xml:space="preserve"> </w:t>
      </w:r>
      <w:r w:rsidRPr="00981405">
        <w:rPr>
          <w:rFonts w:eastAsia="SimSun"/>
        </w:rPr>
        <w:t>consists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related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specific</w:t>
      </w:r>
      <w:r w:rsidR="00190923" w:rsidRPr="00981405">
        <w:rPr>
          <w:rFonts w:eastAsia="SimSun"/>
        </w:rPr>
        <w:t xml:space="preserve"> </w:t>
      </w:r>
      <w:r w:rsidRPr="00981405">
        <w:rPr>
          <w:rFonts w:eastAsia="SimSun"/>
        </w:rPr>
        <w:t>obligations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treaty,</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fair</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equitable</w:t>
      </w:r>
      <w:r w:rsidR="00190923" w:rsidRPr="00981405">
        <w:rPr>
          <w:rFonts w:eastAsia="SimSun"/>
        </w:rPr>
        <w:t xml:space="preserve"> </w:t>
      </w:r>
      <w:r w:rsidRPr="00981405">
        <w:rPr>
          <w:rFonts w:eastAsia="SimSun"/>
        </w:rPr>
        <w:t>treatment.</w:t>
      </w:r>
    </w:p>
    <w:p w:rsidR="00397032" w:rsidRPr="00981405" w:rsidRDefault="00397032" w:rsidP="00D97463">
      <w:pPr>
        <w:pStyle w:val="SingleTxt"/>
        <w:rPr>
          <w:rFonts w:eastAsia="SimSun"/>
        </w:rPr>
      </w:pPr>
      <w:r w:rsidRPr="00981405">
        <w:rPr>
          <w:rFonts w:eastAsia="SimSun"/>
        </w:rPr>
        <w:t>64.</w:t>
      </w:r>
      <w:r w:rsidRPr="00981405">
        <w:rPr>
          <w:rFonts w:eastAsia="SimSun"/>
        </w:rPr>
        <w:tab/>
        <w:t>The</w:t>
      </w:r>
      <w:r w:rsidR="00190923" w:rsidRPr="00981405">
        <w:rPr>
          <w:rFonts w:eastAsia="SimSun"/>
        </w:rPr>
        <w:t xml:space="preserve"> </w:t>
      </w:r>
      <w:r w:rsidRPr="00981405">
        <w:rPr>
          <w:rFonts w:eastAsia="SimSun"/>
        </w:rPr>
        <w:t>fifth</w:t>
      </w:r>
      <w:r w:rsidR="00190923" w:rsidRPr="00981405">
        <w:rPr>
          <w:rFonts w:eastAsia="SimSun"/>
        </w:rPr>
        <w:t xml:space="preserve"> </w:t>
      </w:r>
      <w:r w:rsidRPr="00981405">
        <w:rPr>
          <w:rFonts w:eastAsia="SimSun"/>
        </w:rPr>
        <w:t>type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only</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investors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investments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are</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like</w:t>
      </w:r>
      <w:r w:rsidR="00190923" w:rsidRPr="00981405">
        <w:rPr>
          <w:rFonts w:eastAsia="SimSun"/>
        </w:rPr>
        <w:t xml:space="preserve"> </w:t>
      </w:r>
      <w:r w:rsidRPr="00981405">
        <w:rPr>
          <w:rFonts w:eastAsia="SimSun"/>
        </w:rPr>
        <w:t>circumstances</w:t>
      </w:r>
      <w:r w:rsidR="00B92E2C" w:rsidRPr="00981405">
        <w:rPr>
          <w:rFonts w:eastAsia="SimSun"/>
        </w:rPr>
        <w:t>”</w:t>
      </w:r>
      <w:r w:rsidRPr="00981405">
        <w:rPr>
          <w:rStyle w:val="FootnoteReference"/>
        </w:rPr>
        <w:footnoteReference w:id="476"/>
      </w:r>
      <w:r w:rsidR="00190923" w:rsidRPr="00981405">
        <w:rPr>
          <w:rFonts w:eastAsia="SimSun"/>
        </w:rPr>
        <w:t xml:space="preserve"> </w:t>
      </w:r>
      <w:r w:rsidRPr="00981405">
        <w:rPr>
          <w:rFonts w:eastAsia="SimSun"/>
        </w:rPr>
        <w:t>or</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similar</w:t>
      </w:r>
      <w:r w:rsidR="00190923" w:rsidRPr="00981405">
        <w:rPr>
          <w:rFonts w:eastAsia="SimSun"/>
        </w:rPr>
        <w:t xml:space="preserve"> </w:t>
      </w:r>
      <w:r w:rsidRPr="00981405">
        <w:rPr>
          <w:rFonts w:eastAsia="SimSun"/>
        </w:rPr>
        <w:t>situations</w:t>
      </w:r>
      <w:r w:rsidR="00B92E2C" w:rsidRPr="00981405">
        <w:rPr>
          <w:rFonts w:eastAsia="SimSun"/>
        </w:rPr>
        <w:t>”</w:t>
      </w:r>
      <w:r w:rsidRPr="00981405">
        <w:rPr>
          <w:rStyle w:val="FootnoteReference"/>
        </w:rPr>
        <w:footnoteReference w:id="477"/>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investors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investments</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comparison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being</w:t>
      </w:r>
      <w:r w:rsidR="00190923" w:rsidRPr="00981405">
        <w:rPr>
          <w:rFonts w:eastAsia="SimSun"/>
        </w:rPr>
        <w:t xml:space="preserve"> </w:t>
      </w:r>
      <w:r w:rsidRPr="00981405">
        <w:rPr>
          <w:rFonts w:eastAsia="SimSun"/>
        </w:rPr>
        <w:t>made.</w:t>
      </w:r>
    </w:p>
    <w:p w:rsidR="00397032" w:rsidRPr="00981405" w:rsidRDefault="00397032" w:rsidP="00D97463">
      <w:pPr>
        <w:pStyle w:val="SingleTxt"/>
        <w:rPr>
          <w:rFonts w:eastAsia="SimSun"/>
        </w:rPr>
      </w:pPr>
      <w:r w:rsidRPr="00981405">
        <w:rPr>
          <w:rFonts w:eastAsia="SimSun"/>
        </w:rPr>
        <w:t>65.</w:t>
      </w:r>
      <w:r w:rsidRPr="00981405">
        <w:rPr>
          <w:rFonts w:eastAsia="SimSun"/>
        </w:rPr>
        <w:tab/>
        <w:t>A</w:t>
      </w:r>
      <w:r w:rsidR="00190923" w:rsidRPr="00981405">
        <w:rPr>
          <w:rFonts w:eastAsia="SimSun"/>
        </w:rPr>
        <w:t xml:space="preserve"> </w:t>
      </w:r>
      <w:r w:rsidRPr="00981405">
        <w:rPr>
          <w:rFonts w:eastAsia="SimSun"/>
        </w:rPr>
        <w:t>sixth</w:t>
      </w:r>
      <w:r w:rsidR="00190923" w:rsidRPr="00981405">
        <w:rPr>
          <w:rFonts w:eastAsia="SimSun"/>
        </w:rPr>
        <w:t xml:space="preserve"> </w:t>
      </w:r>
      <w:r w:rsidRPr="00981405">
        <w:rPr>
          <w:rFonts w:eastAsia="SimSun"/>
        </w:rPr>
        <w:t>type</w:t>
      </w:r>
      <w:r w:rsidR="00190923" w:rsidRPr="00981405">
        <w:rPr>
          <w:rFonts w:eastAsia="SimSun"/>
        </w:rPr>
        <w:t xml:space="preserve"> </w:t>
      </w:r>
      <w:r w:rsidRPr="00981405">
        <w:rPr>
          <w:rFonts w:eastAsia="SimSun"/>
        </w:rPr>
        <w:t>consists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territorial</w:t>
      </w:r>
      <w:r w:rsidR="00190923" w:rsidRPr="00981405">
        <w:rPr>
          <w:rFonts w:eastAsia="SimSun"/>
        </w:rPr>
        <w:t xml:space="preserve"> </w:t>
      </w:r>
      <w:r w:rsidRPr="00981405">
        <w:rPr>
          <w:rFonts w:eastAsia="SimSun"/>
        </w:rPr>
        <w:t>limitation</w:t>
      </w:r>
      <w:r w:rsidR="00190923" w:rsidRPr="00981405">
        <w:rPr>
          <w:rFonts w:eastAsia="SimSun"/>
        </w:rPr>
        <w:t xml:space="preserve"> </w:t>
      </w:r>
      <w:r w:rsidRPr="00981405">
        <w:rPr>
          <w:rFonts w:eastAsia="SimSun"/>
        </w:rPr>
        <w:t>appears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have</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introduced.</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example,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Italy-Jordan</w:t>
      </w:r>
      <w:r w:rsidR="00190923" w:rsidRPr="00981405">
        <w:rPr>
          <w:rFonts w:eastAsia="SimSun"/>
        </w:rPr>
        <w:t xml:space="preserve"> </w:t>
      </w:r>
      <w:r w:rsidRPr="00981405">
        <w:rPr>
          <w:rFonts w:eastAsia="SimSun"/>
        </w:rPr>
        <w:t>agreement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21</w:t>
      </w:r>
      <w:r w:rsidR="00190923" w:rsidRPr="00981405">
        <w:rPr>
          <w:rFonts w:eastAsia="SimSun"/>
        </w:rPr>
        <w:t xml:space="preserve"> </w:t>
      </w:r>
      <w:r w:rsidRPr="00981405">
        <w:rPr>
          <w:rFonts w:eastAsia="SimSun"/>
        </w:rPr>
        <w:t>July</w:t>
      </w:r>
      <w:r w:rsidR="00190923" w:rsidRPr="00981405">
        <w:rPr>
          <w:rFonts w:eastAsia="SimSun"/>
        </w:rPr>
        <w:t xml:space="preserve"> </w:t>
      </w:r>
      <w:r w:rsidRPr="00981405">
        <w:rPr>
          <w:rFonts w:eastAsia="SimSun"/>
        </w:rPr>
        <w:t>1996</w:t>
      </w:r>
      <w:r w:rsidR="00190923" w:rsidRPr="00981405">
        <w:rPr>
          <w:rFonts w:eastAsia="SimSun"/>
        </w:rPr>
        <w:t xml:space="preserve"> </w:t>
      </w:r>
      <w:r w:rsidRPr="00981405">
        <w:rPr>
          <w:rFonts w:eastAsia="SimSun"/>
        </w:rPr>
        <w:t>provides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contracting</w:t>
      </w:r>
      <w:r w:rsidR="00190923" w:rsidRPr="00981405">
        <w:rPr>
          <w:rFonts w:eastAsia="SimSun"/>
        </w:rPr>
        <w:t xml:space="preserve"> </w:t>
      </w:r>
      <w:r w:rsidRPr="00981405">
        <w:rPr>
          <w:rFonts w:eastAsia="SimSun"/>
        </w:rPr>
        <w:t>parties</w:t>
      </w:r>
      <w:r w:rsidR="00190923" w:rsidRPr="00981405">
        <w:rPr>
          <w:rFonts w:eastAsia="SimSun"/>
        </w:rPr>
        <w:t xml:space="preserve"> </w:t>
      </w:r>
      <w:r w:rsidRPr="00981405">
        <w:rPr>
          <w:rFonts w:eastAsia="SimSun"/>
        </w:rPr>
        <w:t>agree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00B92E2C" w:rsidRPr="00981405">
        <w:rPr>
          <w:rFonts w:eastAsia="SimSun"/>
        </w:rPr>
        <w:t>“</w:t>
      </w:r>
      <w:r w:rsidRPr="00981405">
        <w:rPr>
          <w:rFonts w:eastAsia="SimSun"/>
        </w:rPr>
        <w:t>within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bounds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their</w:t>
      </w:r>
      <w:r w:rsidR="00190923" w:rsidRPr="00981405">
        <w:rPr>
          <w:rFonts w:eastAsia="SimSun"/>
        </w:rPr>
        <w:t xml:space="preserve"> </w:t>
      </w:r>
      <w:r w:rsidRPr="00981405">
        <w:rPr>
          <w:rFonts w:eastAsia="SimSun"/>
        </w:rPr>
        <w:t>own</w:t>
      </w:r>
      <w:r w:rsidR="00190923" w:rsidRPr="00981405">
        <w:rPr>
          <w:rFonts w:eastAsia="SimSun"/>
        </w:rPr>
        <w:t xml:space="preserve"> </w:t>
      </w:r>
      <w:r w:rsidRPr="00981405">
        <w:rPr>
          <w:rFonts w:eastAsia="SimSun"/>
        </w:rPr>
        <w:t>territory.</w:t>
      </w:r>
      <w:r w:rsidR="00B92E2C" w:rsidRPr="00981405">
        <w:rPr>
          <w:rFonts w:eastAsia="SimSun"/>
        </w:rPr>
        <w:t>”</w:t>
      </w:r>
      <w:r w:rsidRPr="00981405">
        <w:rPr>
          <w:rStyle w:val="FootnoteReference"/>
        </w:rPr>
        <w:footnoteReference w:id="478"/>
      </w:r>
    </w:p>
    <w:p w:rsidR="00397032" w:rsidRPr="00981405" w:rsidRDefault="00397032" w:rsidP="00D97463">
      <w:pPr>
        <w:pStyle w:val="SingleTxt"/>
        <w:rPr>
          <w:rFonts w:eastAsia="SimSun"/>
        </w:rPr>
      </w:pPr>
      <w:r w:rsidRPr="00981405">
        <w:rPr>
          <w:rFonts w:eastAsia="SimSun"/>
        </w:rPr>
        <w:t>66.</w:t>
      </w:r>
      <w:r w:rsidRPr="00981405">
        <w:rPr>
          <w:rFonts w:eastAsia="SimSun"/>
        </w:rPr>
        <w:tab/>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usually</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well</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exceptions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does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apply.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most</w:t>
      </w:r>
      <w:r w:rsidR="00190923" w:rsidRPr="00981405">
        <w:rPr>
          <w:rFonts w:eastAsia="SimSun"/>
        </w:rPr>
        <w:t xml:space="preserve"> </w:t>
      </w:r>
      <w:r w:rsidRPr="00981405">
        <w:rPr>
          <w:rFonts w:eastAsia="SimSun"/>
        </w:rPr>
        <w:t>common</w:t>
      </w:r>
      <w:r w:rsidR="00190923" w:rsidRPr="00981405">
        <w:rPr>
          <w:rFonts w:eastAsia="SimSun"/>
        </w:rPr>
        <w:t xml:space="preserve"> </w:t>
      </w:r>
      <w:r w:rsidRPr="00981405">
        <w:rPr>
          <w:rFonts w:eastAsia="SimSun"/>
        </w:rPr>
        <w:t>exceptions</w:t>
      </w:r>
      <w:r w:rsidR="00190923" w:rsidRPr="00981405">
        <w:rPr>
          <w:rFonts w:eastAsia="SimSun"/>
        </w:rPr>
        <w:t xml:space="preserve"> </w:t>
      </w:r>
      <w:r w:rsidRPr="00981405">
        <w:rPr>
          <w:rFonts w:eastAsia="SimSun"/>
        </w:rPr>
        <w:t>relate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taxation,</w:t>
      </w:r>
      <w:r w:rsidR="00190923" w:rsidRPr="00981405">
        <w:rPr>
          <w:rFonts w:eastAsia="SimSun"/>
        </w:rPr>
        <w:t xml:space="preserve"> </w:t>
      </w:r>
      <w:r w:rsidRPr="00981405">
        <w:rPr>
          <w:rFonts w:eastAsia="SimSun"/>
        </w:rPr>
        <w:t>government</w:t>
      </w:r>
      <w:r w:rsidR="00190923" w:rsidRPr="00981405">
        <w:rPr>
          <w:rFonts w:eastAsia="SimSun"/>
        </w:rPr>
        <w:t xml:space="preserve"> </w:t>
      </w:r>
      <w:r w:rsidRPr="00981405">
        <w:rPr>
          <w:rFonts w:eastAsia="SimSun"/>
        </w:rPr>
        <w:t>procurement,</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benefits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obtains</w:t>
      </w:r>
      <w:r w:rsidR="00190923" w:rsidRPr="00981405">
        <w:rPr>
          <w:rFonts w:eastAsia="SimSun"/>
        </w:rPr>
        <w:t xml:space="preserve"> </w:t>
      </w:r>
      <w:r w:rsidRPr="00981405">
        <w:rPr>
          <w:rFonts w:eastAsia="SimSun"/>
        </w:rPr>
        <w:t>through</w:t>
      </w:r>
      <w:r w:rsidR="00190923" w:rsidRPr="00981405">
        <w:rPr>
          <w:rFonts w:eastAsia="SimSun"/>
        </w:rPr>
        <w:t xml:space="preserve"> </w:t>
      </w:r>
      <w:r w:rsidRPr="00981405">
        <w:rPr>
          <w:rFonts w:eastAsia="SimSun"/>
        </w:rPr>
        <w:t>being</w:t>
      </w:r>
      <w:r w:rsidR="00190923" w:rsidRPr="00981405">
        <w:rPr>
          <w:rFonts w:eastAsia="SimSun"/>
        </w:rPr>
        <w:t xml:space="preserve"> </w:t>
      </w:r>
      <w:r w:rsidRPr="00981405">
        <w:rPr>
          <w:rFonts w:eastAsia="SimSun"/>
        </w:rPr>
        <w:t>party</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customs</w:t>
      </w:r>
      <w:r w:rsidR="00190923" w:rsidRPr="00981405">
        <w:rPr>
          <w:rFonts w:eastAsia="SimSun"/>
        </w:rPr>
        <w:t xml:space="preserve"> </w:t>
      </w:r>
      <w:r w:rsidRPr="00981405">
        <w:rPr>
          <w:rFonts w:eastAsia="SimSun"/>
        </w:rPr>
        <w:t>union.</w:t>
      </w:r>
      <w:r w:rsidRPr="00981405">
        <w:rPr>
          <w:rStyle w:val="FootnoteReference"/>
        </w:rPr>
        <w:footnoteReference w:id="479"/>
      </w:r>
      <w:r w:rsidR="00190923" w:rsidRPr="00981405">
        <w:rPr>
          <w:rFonts w:eastAsia="SimSun"/>
        </w:rPr>
        <w:t xml:space="preserve"> </w:t>
      </w:r>
    </w:p>
    <w:p w:rsidR="00397032" w:rsidRPr="00981405" w:rsidRDefault="00397032">
      <w:pPr>
        <w:pStyle w:val="SingleTxt"/>
        <w:spacing w:after="0" w:line="120" w:lineRule="exact"/>
        <w:rPr>
          <w:sz w:val="10"/>
        </w:rPr>
      </w:pPr>
      <w:bookmarkStart w:id="229" w:name="_Toc293434159"/>
    </w:p>
    <w:p w:rsidR="0073504D" w:rsidRPr="00D97463" w:rsidRDefault="0073504D" w:rsidP="00D97463">
      <w:pPr>
        <w:pStyle w:val="SingleTxt"/>
        <w:spacing w:after="0" w:line="120" w:lineRule="exact"/>
        <w:rPr>
          <w:sz w:val="10"/>
        </w:rPr>
      </w:pPr>
    </w:p>
    <w:p w:rsidR="00397032" w:rsidRPr="00D97463" w:rsidRDefault="00397032" w:rsidP="00D97463">
      <w:pPr>
        <w:pStyle w:val="H1"/>
        <w:ind w:right="1260"/>
      </w:pPr>
      <w:bookmarkStart w:id="230" w:name="_Toc294353673"/>
      <w:r w:rsidRPr="00D97463">
        <w:tab/>
        <w:t>C.</w:t>
      </w:r>
      <w:r w:rsidRPr="00D97463">
        <w:tab/>
        <w:t>Interpretative</w:t>
      </w:r>
      <w:r w:rsidR="00190923" w:rsidRPr="00D97463">
        <w:t xml:space="preserve"> </w:t>
      </w:r>
      <w:r w:rsidRPr="00D97463">
        <w:t>issues</w:t>
      </w:r>
      <w:r w:rsidR="00190923" w:rsidRPr="00D97463">
        <w:t xml:space="preserve"> </w:t>
      </w:r>
      <w:r w:rsidRPr="00D97463">
        <w:t>relating</w:t>
      </w:r>
      <w:r w:rsidR="00190923" w:rsidRPr="00D97463">
        <w:t xml:space="preserve"> </w:t>
      </w:r>
      <w:r w:rsidRPr="00D97463">
        <w:t>to</w:t>
      </w:r>
      <w:r w:rsidR="00190923" w:rsidRPr="00D97463">
        <w:t xml:space="preserve"> </w:t>
      </w:r>
      <w:r w:rsidRPr="00D97463">
        <w:t>MFN</w:t>
      </w:r>
      <w:r w:rsidR="00190923" w:rsidRPr="00D97463">
        <w:t xml:space="preserve"> </w:t>
      </w:r>
      <w:r w:rsidRPr="00D97463">
        <w:t>provisions</w:t>
      </w:r>
      <w:r w:rsidR="00190923" w:rsidRPr="00D97463">
        <w:t xml:space="preserve"> </w:t>
      </w:r>
      <w:r w:rsidRPr="00D97463">
        <w:t>in</w:t>
      </w:r>
      <w:r w:rsidR="00190923" w:rsidRPr="00D97463">
        <w:t xml:space="preserve"> </w:t>
      </w:r>
      <w:r w:rsidRPr="00D97463">
        <w:t>investment</w:t>
      </w:r>
      <w:r w:rsidR="00190923" w:rsidRPr="00D97463">
        <w:t xml:space="preserve"> </w:t>
      </w:r>
      <w:r w:rsidRPr="00D97463">
        <w:t>agreements</w:t>
      </w:r>
      <w:bookmarkEnd w:id="229"/>
      <w:bookmarkEnd w:id="230"/>
    </w:p>
    <w:p w:rsidR="0073504D" w:rsidRPr="00D97463" w:rsidRDefault="0073504D" w:rsidP="00D97463">
      <w:pPr>
        <w:pStyle w:val="SingleTxt"/>
        <w:spacing w:after="0" w:line="120" w:lineRule="exact"/>
        <w:rPr>
          <w:sz w:val="10"/>
        </w:rPr>
      </w:pPr>
    </w:p>
    <w:p w:rsidR="0073504D" w:rsidRPr="00D97463" w:rsidRDefault="0073504D" w:rsidP="00D97463">
      <w:pPr>
        <w:pStyle w:val="SingleTxt"/>
        <w:spacing w:after="0" w:line="120" w:lineRule="exact"/>
        <w:rPr>
          <w:sz w:val="10"/>
        </w:rPr>
      </w:pPr>
    </w:p>
    <w:p w:rsidR="00397032" w:rsidRPr="00981405" w:rsidRDefault="00397032" w:rsidP="00D97463">
      <w:pPr>
        <w:pStyle w:val="SingleTxt"/>
      </w:pPr>
      <w:r w:rsidRPr="00981405">
        <w:t>67.</w:t>
      </w:r>
      <w:r w:rsidRPr="00981405">
        <w:tab/>
        <w:t>It</w:t>
      </w:r>
      <w:r w:rsidR="00190923" w:rsidRPr="00981405">
        <w:t xml:space="preserve"> </w:t>
      </w:r>
      <w:r w:rsidRPr="00981405">
        <w:t>is</w:t>
      </w:r>
      <w:r w:rsidR="00190923" w:rsidRPr="00981405">
        <w:t xml:space="preserve"> </w:t>
      </w:r>
      <w:r w:rsidRPr="00981405">
        <w:t>widely</w:t>
      </w:r>
      <w:r w:rsidR="00190923" w:rsidRPr="00981405">
        <w:t xml:space="preserve"> </w:t>
      </w:r>
      <w:r w:rsidRPr="00981405">
        <w:t>accepted</w:t>
      </w:r>
      <w:r w:rsidR="00190923" w:rsidRPr="00981405">
        <w:t xml:space="preserve"> </w:t>
      </w:r>
      <w:r w:rsidRPr="00981405">
        <w:t>by</w:t>
      </w:r>
      <w:r w:rsidR="00190923" w:rsidRPr="00981405">
        <w:t xml:space="preserve"> </w:t>
      </w:r>
      <w:r w:rsidRPr="00981405">
        <w:t>investment</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tribunals</w:t>
      </w:r>
      <w:r w:rsidR="00190923" w:rsidRPr="00981405">
        <w:t xml:space="preserve"> </w:t>
      </w:r>
      <w:r w:rsidRPr="00981405">
        <w:t>that</w:t>
      </w:r>
      <w:r w:rsidR="00190923" w:rsidRPr="00981405">
        <w:t xml:space="preserve"> </w:t>
      </w:r>
      <w:r w:rsidRPr="00981405">
        <w:t>MFN</w:t>
      </w:r>
      <w:r w:rsidR="00190923" w:rsidRPr="00981405">
        <w:t xml:space="preserve"> </w:t>
      </w:r>
      <w:r w:rsidRPr="00981405">
        <w:t>clauses,</w:t>
      </w:r>
      <w:r w:rsidR="00190923" w:rsidRPr="00981405">
        <w:t xml:space="preserve"> </w:t>
      </w:r>
      <w:r w:rsidRPr="00981405">
        <w:t>as</w:t>
      </w:r>
      <w:r w:rsidR="00190923" w:rsidRPr="00981405">
        <w:t xml:space="preserve"> </w:t>
      </w:r>
      <w:r w:rsidRPr="00981405">
        <w:t>treaty</w:t>
      </w:r>
      <w:r w:rsidR="00190923" w:rsidRPr="00981405">
        <w:t xml:space="preserve"> </w:t>
      </w:r>
      <w:r w:rsidRPr="00981405">
        <w:t>provisions,</w:t>
      </w:r>
      <w:r w:rsidR="00190923" w:rsidRPr="00981405">
        <w:t xml:space="preserve"> </w:t>
      </w:r>
      <w:r w:rsidRPr="00981405">
        <w:t>must</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embodied</w:t>
      </w:r>
      <w:r w:rsidR="00190923" w:rsidRPr="00981405">
        <w:t xml:space="preserve"> </w:t>
      </w:r>
      <w:r w:rsidRPr="00981405">
        <w:t>in</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However,</w:t>
      </w:r>
      <w:r w:rsidR="00190923" w:rsidRPr="00981405">
        <w:t xml:space="preserve"> </w:t>
      </w:r>
      <w:r w:rsidRPr="00981405">
        <w:t>controversies</w:t>
      </w:r>
      <w:r w:rsidR="00190923" w:rsidRPr="00981405">
        <w:t xml:space="preserve"> </w:t>
      </w:r>
      <w:r w:rsidRPr="00981405">
        <w:t>over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sometimes</w:t>
      </w:r>
      <w:r w:rsidR="00190923" w:rsidRPr="00981405">
        <w:t xml:space="preserve"> </w:t>
      </w:r>
      <w:r w:rsidRPr="00981405">
        <w:t>reflect</w:t>
      </w:r>
      <w:r w:rsidR="00190923" w:rsidRPr="00981405">
        <w:t xml:space="preserve"> </w:t>
      </w:r>
      <w:r w:rsidRPr="00981405">
        <w:t>an</w:t>
      </w:r>
      <w:r w:rsidR="00190923" w:rsidRPr="00981405">
        <w:t xml:space="preserve"> </w:t>
      </w:r>
      <w:r w:rsidRPr="00981405">
        <w:t>underlying</w:t>
      </w:r>
      <w:r w:rsidR="00190923" w:rsidRPr="00981405">
        <w:t xml:space="preserve"> </w:t>
      </w:r>
      <w:r w:rsidRPr="00981405">
        <w:t>difference</w:t>
      </w:r>
      <w:r w:rsidR="00190923" w:rsidRPr="00981405">
        <w:t xml:space="preserve"> </w:t>
      </w:r>
      <w:r w:rsidRPr="00981405">
        <w:t>in</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provisions.</w:t>
      </w:r>
      <w:r w:rsidRPr="00981405">
        <w:rPr>
          <w:rStyle w:val="FootnoteReference"/>
        </w:rPr>
        <w:footnoteReference w:id="480"/>
      </w:r>
      <w:r w:rsidR="00190923" w:rsidRPr="00981405">
        <w:t xml:space="preserve"> </w:t>
      </w:r>
    </w:p>
    <w:p w:rsidR="00397032" w:rsidRPr="00981405" w:rsidRDefault="00397032" w:rsidP="00D97463">
      <w:pPr>
        <w:pStyle w:val="SingleTxt"/>
        <w:rPr>
          <w:rFonts w:eastAsia="SimSun"/>
        </w:rPr>
      </w:pPr>
      <w:r w:rsidRPr="00981405">
        <w:t>68.</w:t>
      </w:r>
      <w:r w:rsidRPr="00981405">
        <w:tab/>
      </w:r>
      <w:r w:rsidRPr="00981405">
        <w:rPr>
          <w:rFonts w:eastAsia="SimSun"/>
        </w:rPr>
        <w:t>Notwithstanding</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variations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wording</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issues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common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whether</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field</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services.</w:t>
      </w:r>
      <w:r w:rsidR="00190923" w:rsidRPr="00981405">
        <w:rPr>
          <w:rFonts w:eastAsia="SimSun"/>
        </w:rPr>
        <w:t xml:space="preserve"> </w:t>
      </w:r>
      <w:r w:rsidRPr="00981405">
        <w:t>There</w:t>
      </w:r>
      <w:r w:rsidR="00190923" w:rsidRPr="00981405">
        <w:t xml:space="preserve"> </w:t>
      </w:r>
      <w:r w:rsidRPr="00981405">
        <w:t>are</w:t>
      </w:r>
      <w:r w:rsidR="00190923" w:rsidRPr="00981405">
        <w:t xml:space="preserve"> </w:t>
      </w:r>
      <w:r w:rsidRPr="00981405">
        <w:t>three</w:t>
      </w:r>
      <w:r w:rsidR="00190923" w:rsidRPr="00981405">
        <w:t xml:space="preserve"> </w:t>
      </w:r>
      <w:r w:rsidRPr="00981405">
        <w:t>aspects</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that</w:t>
      </w:r>
      <w:r w:rsidR="00190923" w:rsidRPr="00981405">
        <w:t xml:space="preserve"> </w:t>
      </w:r>
      <w:r w:rsidRPr="00981405">
        <w:t>have</w:t>
      </w:r>
      <w:r w:rsidR="00190923" w:rsidRPr="00981405">
        <w:t xml:space="preserve"> </w:t>
      </w:r>
      <w:r w:rsidRPr="00981405">
        <w:t>given</w:t>
      </w:r>
      <w:r w:rsidR="00190923" w:rsidRPr="00981405">
        <w:t xml:space="preserve"> </w:t>
      </w:r>
      <w:r w:rsidRPr="00981405">
        <w:t>rise</w:t>
      </w:r>
      <w:r w:rsidR="00190923" w:rsidRPr="00981405">
        <w:t xml:space="preserve"> </w:t>
      </w:r>
      <w:r w:rsidRPr="00981405">
        <w:t>to</w:t>
      </w:r>
      <w:r w:rsidR="00190923" w:rsidRPr="00981405">
        <w:t xml:space="preserve"> </w:t>
      </w:r>
      <w:r w:rsidRPr="00981405">
        <w:t>interpretative</w:t>
      </w:r>
      <w:r w:rsidR="00190923" w:rsidRPr="00981405">
        <w:t xml:space="preserve"> </w:t>
      </w:r>
      <w:r w:rsidRPr="00981405">
        <w:t>issues,</w:t>
      </w:r>
      <w:r w:rsidR="00190923" w:rsidRPr="00981405">
        <w:t xml:space="preserve"> </w:t>
      </w:r>
      <w:r w:rsidRPr="00981405">
        <w:t>which</w:t>
      </w:r>
      <w:r w:rsidR="00190923" w:rsidRPr="00981405">
        <w:t xml:space="preserve"> </w:t>
      </w:r>
      <w:r w:rsidRPr="00981405">
        <w:t>will</w:t>
      </w:r>
      <w:r w:rsidR="00190923" w:rsidRPr="00981405">
        <w:t xml:space="preserve"> </w:t>
      </w:r>
      <w:r w:rsidRPr="00981405">
        <w:t>be</w:t>
      </w:r>
      <w:r w:rsidR="00190923" w:rsidRPr="00981405">
        <w:t xml:space="preserve"> </w:t>
      </w:r>
      <w:r w:rsidRPr="00981405">
        <w:t>dealt</w:t>
      </w:r>
      <w:r w:rsidR="00190923" w:rsidRPr="00981405">
        <w:t xml:space="preserve"> </w:t>
      </w:r>
      <w:r w:rsidRPr="00981405">
        <w:t>with</w:t>
      </w:r>
      <w:r w:rsidR="00190923" w:rsidRPr="00981405">
        <w:t xml:space="preserve"> </w:t>
      </w:r>
      <w:r w:rsidRPr="00981405">
        <w:t>below</w:t>
      </w:r>
      <w:r w:rsidR="00190923" w:rsidRPr="00981405">
        <w:t xml:space="preserve"> </w:t>
      </w:r>
      <w:r w:rsidRPr="00981405">
        <w:t>in</w:t>
      </w:r>
      <w:r w:rsidR="00190923" w:rsidRPr="00981405">
        <w:t xml:space="preserve"> </w:t>
      </w:r>
      <w:r w:rsidRPr="00981405">
        <w:t>turn:</w:t>
      </w:r>
      <w:r w:rsidR="00190923" w:rsidRPr="00981405">
        <w:t xml:space="preserve"> </w:t>
      </w:r>
      <w:r w:rsidRPr="00981405">
        <w:t>defining</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defining</w:t>
      </w:r>
      <w:r w:rsidR="00190923" w:rsidRPr="00981405">
        <w:t xml:space="preserve"> </w:t>
      </w:r>
      <w:r w:rsidRPr="00981405">
        <w:t>the</w:t>
      </w:r>
      <w:r w:rsidR="00190923" w:rsidRPr="00981405">
        <w:t xml:space="preserve"> </w:t>
      </w:r>
      <w:r w:rsidRPr="00981405">
        <w:t>necessary</w:t>
      </w:r>
      <w:r w:rsidR="00190923" w:rsidRPr="00981405">
        <w:t xml:space="preserve"> </w:t>
      </w:r>
      <w:r w:rsidRPr="00981405">
        <w:t>treatment,</w:t>
      </w:r>
      <w:r w:rsidR="00190923" w:rsidRPr="00981405">
        <w:t xml:space="preserve"> </w:t>
      </w:r>
      <w:r w:rsidRPr="00981405">
        <w:t>and</w:t>
      </w:r>
      <w:r w:rsidR="00190923" w:rsidRPr="00981405">
        <w:t xml:space="preserve"> </w:t>
      </w:r>
      <w:r w:rsidRPr="00981405">
        <w:t>defining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clause.</w:t>
      </w:r>
      <w:r w:rsidR="00190923" w:rsidRPr="00981405">
        <w:t xml:space="preserve"> </w:t>
      </w:r>
      <w:r w:rsidRPr="00981405">
        <w:rPr>
          <w:rFonts w:eastAsia="SimSun"/>
        </w:rPr>
        <w:t>Of</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three</w:t>
      </w:r>
      <w:r w:rsidR="00190923" w:rsidRPr="00981405">
        <w:rPr>
          <w:rFonts w:eastAsia="SimSun"/>
        </w:rPr>
        <w:t xml:space="preserve"> </w:t>
      </w:r>
      <w:r w:rsidRPr="00981405">
        <w:rPr>
          <w:rFonts w:eastAsia="SimSun"/>
        </w:rPr>
        <w:t>major</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questions,</w:t>
      </w:r>
      <w:r w:rsidR="00190923" w:rsidRPr="00981405">
        <w:rPr>
          <w:rFonts w:eastAsia="SimSun"/>
        </w:rPr>
        <w:t xml:space="preserve"> </w:t>
      </w:r>
      <w:r w:rsidRPr="00981405">
        <w:rPr>
          <w:rFonts w:eastAsia="SimSun"/>
        </w:rPr>
        <w:t>only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00B92E2C" w:rsidRPr="00981405">
        <w:rPr>
          <w:rFonts w:eastAsia="SimSun"/>
        </w:rPr>
        <w:t>“</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subject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significant</w:t>
      </w:r>
      <w:r w:rsidR="00190923" w:rsidRPr="00981405">
        <w:rPr>
          <w:rFonts w:eastAsia="SimSun"/>
        </w:rPr>
        <w:t xml:space="preserve"> </w:t>
      </w:r>
      <w:r w:rsidRPr="00981405">
        <w:rPr>
          <w:rFonts w:eastAsia="SimSun"/>
        </w:rPr>
        <w:t>discussion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before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tribunals.</w:t>
      </w:r>
      <w:r w:rsidR="00B92E2C" w:rsidRPr="00981405">
        <w:rPr>
          <w:rFonts w:eastAsia="SimSun"/>
        </w:rPr>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bookmarkStart w:id="231" w:name="_Toc293434160"/>
      <w:bookmarkStart w:id="232" w:name="_Toc294353674"/>
      <w:r w:rsidRPr="00D97463">
        <w:tab/>
      </w:r>
      <w:bookmarkStart w:id="233" w:name="_Toc427938175"/>
      <w:r w:rsidRPr="00D97463">
        <w:t>1.</w:t>
      </w:r>
      <w:r w:rsidRPr="00D97463">
        <w:tab/>
        <w:t>Who</w:t>
      </w:r>
      <w:r w:rsidR="00190923" w:rsidRPr="00D97463">
        <w:t xml:space="preserve"> </w:t>
      </w:r>
      <w:r w:rsidRPr="00D97463">
        <w:t>is</w:t>
      </w:r>
      <w:r w:rsidR="00190923" w:rsidRPr="00D97463">
        <w:t xml:space="preserve"> </w:t>
      </w:r>
      <w:r w:rsidRPr="00D97463">
        <w:t>entitled</w:t>
      </w:r>
      <w:r w:rsidR="00190923" w:rsidRPr="00D97463">
        <w:t xml:space="preserve"> </w:t>
      </w:r>
      <w:r w:rsidRPr="00D97463">
        <w:t>to</w:t>
      </w:r>
      <w:r w:rsidR="00190923" w:rsidRPr="00D97463">
        <w:t xml:space="preserve"> </w:t>
      </w:r>
      <w:r w:rsidRPr="00D97463">
        <w:t>the</w:t>
      </w:r>
      <w:r w:rsidR="00190923" w:rsidRPr="00D97463">
        <w:t xml:space="preserve"> </w:t>
      </w:r>
      <w:r w:rsidRPr="00D97463">
        <w:t>benefit</w:t>
      </w:r>
      <w:r w:rsidR="00190923" w:rsidRPr="00D97463">
        <w:t xml:space="preserve"> </w:t>
      </w:r>
      <w:r w:rsidRPr="00D97463">
        <w:t>of</w:t>
      </w:r>
      <w:r w:rsidR="00190923" w:rsidRPr="00D97463">
        <w:t xml:space="preserve"> </w:t>
      </w:r>
      <w:r w:rsidRPr="00D97463">
        <w:t>an</w:t>
      </w:r>
      <w:r w:rsidR="00190923" w:rsidRPr="00D97463">
        <w:t xml:space="preserve"> </w:t>
      </w:r>
      <w:r w:rsidRPr="00D97463">
        <w:t>MFN</w:t>
      </w:r>
      <w:r w:rsidR="00190923" w:rsidRPr="00D97463">
        <w:t xml:space="preserve"> </w:t>
      </w:r>
      <w:r w:rsidRPr="00D97463">
        <w:t>provision</w:t>
      </w:r>
      <w:bookmarkEnd w:id="231"/>
      <w:r w:rsidRPr="00D97463">
        <w:t>?</w:t>
      </w:r>
      <w:bookmarkEnd w:id="232"/>
      <w:bookmarkEnd w:id="233"/>
    </w:p>
    <w:p w:rsidR="00397032" w:rsidRPr="00D97463" w:rsidRDefault="00397032" w:rsidP="00D97463">
      <w:pPr>
        <w:pStyle w:val="SingleTxt"/>
        <w:spacing w:after="0" w:line="120" w:lineRule="exact"/>
        <w:rPr>
          <w:sz w:val="10"/>
        </w:rPr>
      </w:pPr>
    </w:p>
    <w:p w:rsidR="00397032" w:rsidRPr="00981405" w:rsidRDefault="00397032" w:rsidP="00D97463">
      <w:pPr>
        <w:pStyle w:val="SingleTxt"/>
        <w:rPr>
          <w:rFonts w:eastAsia="SimSun"/>
        </w:rPr>
      </w:pPr>
      <w:r w:rsidRPr="00981405">
        <w:t>69.</w:t>
      </w:r>
      <w:r w:rsidRPr="00981405">
        <w:tab/>
        <w:t>The</w:t>
      </w:r>
      <w:r w:rsidR="00190923" w:rsidRPr="00981405">
        <w:t xml:space="preserve"> </w:t>
      </w:r>
      <w:r w:rsidRPr="00981405">
        <w:t>first</w:t>
      </w:r>
      <w:r w:rsidR="00190923" w:rsidRPr="00981405">
        <w:t xml:space="preserve"> </w:t>
      </w:r>
      <w:r w:rsidRPr="00981405">
        <w:t>interpretative</w:t>
      </w:r>
      <w:r w:rsidR="00190923" w:rsidRPr="00981405">
        <w:t xml:space="preserve"> </w:t>
      </w:r>
      <w:r w:rsidRPr="00981405">
        <w:t>issue</w:t>
      </w:r>
      <w:r w:rsidR="00190923" w:rsidRPr="00981405">
        <w:t xml:space="preserve"> </w:t>
      </w:r>
      <w:r w:rsidRPr="00981405">
        <w:t>is</w:t>
      </w:r>
      <w:r w:rsidR="00190923" w:rsidRPr="00981405">
        <w:t xml:space="preserve"> </w:t>
      </w:r>
      <w:r w:rsidRPr="00981405">
        <w:t>that</w:t>
      </w:r>
      <w:r w:rsidR="00190923" w:rsidRPr="00981405">
        <w:t xml:space="preserve"> </w:t>
      </w:r>
      <w:r w:rsidRPr="00981405">
        <w:t>of</w:t>
      </w:r>
      <w:r w:rsidR="00190923" w:rsidRPr="00981405">
        <w:t xml:space="preserve"> </w:t>
      </w:r>
      <w:r w:rsidRPr="00981405">
        <w:t>defining</w:t>
      </w:r>
      <w:r w:rsidR="00190923" w:rsidRPr="00981405">
        <w:t xml:space="preserve"> </w:t>
      </w:r>
      <w:r w:rsidRPr="00981405">
        <w:t>the</w:t>
      </w:r>
      <w:r w:rsidR="00190923" w:rsidRPr="00981405">
        <w:t xml:space="preserve"> </w:t>
      </w:r>
      <w:r w:rsidRPr="00981405">
        <w:t>beneficiaries</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Pr="00981405">
        <w:rPr>
          <w:rFonts w:eastAsia="SimSun"/>
        </w:rPr>
        <w: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190923" w:rsidRPr="00981405">
        <w:rPr>
          <w:rFonts w:eastAsia="SimSun"/>
        </w:rPr>
        <w:t xml:space="preserve"> </w:t>
      </w:r>
      <w:r w:rsidRPr="00981405">
        <w:rPr>
          <w:rFonts w:eastAsia="SimSun"/>
        </w:rPr>
        <w:t>described</w:t>
      </w:r>
      <w:r w:rsidR="00190923" w:rsidRPr="00981405">
        <w:rPr>
          <w:rFonts w:eastAsia="SimSun"/>
        </w:rPr>
        <w:t xml:space="preserve"> </w:t>
      </w:r>
      <w:r w:rsidRPr="00981405">
        <w:rPr>
          <w:rFonts w:eastAsia="SimSun"/>
        </w:rPr>
        <w:t>entitlement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accruing</w:t>
      </w:r>
      <w:r w:rsidR="00190923" w:rsidRPr="00981405">
        <w:rPr>
          <w:rFonts w:eastAsia="SimSun"/>
        </w:rPr>
        <w:t xml:space="preserve"> </w:t>
      </w:r>
      <w:r w:rsidR="00B92E2C" w:rsidRPr="00981405">
        <w:rPr>
          <w:rFonts w:eastAsia="SimSun"/>
        </w:rPr>
        <w:t>“</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beneficiary</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persons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things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determined</w:t>
      </w:r>
      <w:r w:rsidR="00190923" w:rsidRPr="00981405">
        <w:rPr>
          <w:rFonts w:eastAsia="SimSun"/>
        </w:rPr>
        <w:t xml:space="preserve"> </w:t>
      </w:r>
      <w:r w:rsidRPr="00981405">
        <w:rPr>
          <w:rFonts w:eastAsia="SimSun"/>
        </w:rPr>
        <w:t>relationship</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State.</w:t>
      </w:r>
      <w:r w:rsidR="00B92E2C" w:rsidRPr="00981405">
        <w:rPr>
          <w:rFonts w:eastAsia="SimSun"/>
        </w:rPr>
        <w: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obligation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generally</w:t>
      </w:r>
      <w:r w:rsidR="00190923" w:rsidRPr="00981405">
        <w:rPr>
          <w:rFonts w:eastAsia="SimSun"/>
        </w:rPr>
        <w:t xml:space="preserve"> </w:t>
      </w:r>
      <w:r w:rsidRPr="00981405">
        <w:rPr>
          <w:rFonts w:eastAsia="SimSun"/>
        </w:rPr>
        <w:t>specified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providing</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00B92E2C" w:rsidRPr="00981405">
        <w:rPr>
          <w:rFonts w:eastAsia="SimSun"/>
        </w:rPr>
        <w:t>“</w:t>
      </w:r>
      <w:r w:rsidRPr="00981405">
        <w:rPr>
          <w:rFonts w:eastAsia="SimSun"/>
        </w:rPr>
        <w:t>investor</w:t>
      </w:r>
      <w:r w:rsidR="00B92E2C" w:rsidRPr="00981405">
        <w:rPr>
          <w:rFonts w:eastAsia="SimSun"/>
        </w:rPr>
        <w:t>”</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its</w:t>
      </w:r>
      <w:r w:rsidR="00190923" w:rsidRPr="00981405">
        <w:rPr>
          <w:rFonts w:eastAsia="SimSun"/>
        </w:rPr>
        <w:t xml:space="preserve"> </w:t>
      </w:r>
      <w:r w:rsidR="00B92E2C" w:rsidRPr="00981405">
        <w:rPr>
          <w:rFonts w:eastAsia="SimSun"/>
        </w:rPr>
        <w:t>“</w:t>
      </w:r>
      <w:r w:rsidRPr="00981405">
        <w:rPr>
          <w:rFonts w:eastAsia="SimSun"/>
        </w:rPr>
        <w:t>investment.</w:t>
      </w:r>
      <w:r w:rsidR="00B92E2C" w:rsidRPr="00981405">
        <w:rPr>
          <w:rFonts w:eastAsia="SimSun"/>
        </w:rPr>
        <w:t>”</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limit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investment.</w:t>
      </w:r>
      <w:r w:rsidRPr="00981405">
        <w:rPr>
          <w:rStyle w:val="FootnoteReference"/>
        </w:rPr>
        <w:footnoteReference w:id="481"/>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while</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say</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more</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others</w:t>
      </w:r>
      <w:r w:rsidR="00190923" w:rsidRPr="00981405">
        <w:rPr>
          <w:rFonts w:eastAsia="SimSun"/>
        </w:rPr>
        <w:t xml:space="preserve"> </w:t>
      </w:r>
      <w:r w:rsidRPr="00981405">
        <w:rPr>
          <w:rFonts w:eastAsia="SimSun"/>
        </w:rPr>
        <w:t>qualify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beneficiary</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having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investor</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is</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like</w:t>
      </w:r>
      <w:r w:rsidR="00190923" w:rsidRPr="00981405">
        <w:rPr>
          <w:rFonts w:eastAsia="SimSun"/>
        </w:rPr>
        <w:t xml:space="preserve"> </w:t>
      </w:r>
      <w:r w:rsidRPr="00981405">
        <w:rPr>
          <w:rFonts w:eastAsia="SimSun"/>
        </w:rPr>
        <w:t>circumstances</w:t>
      </w:r>
      <w:r w:rsidR="00B92E2C" w:rsidRPr="00981405">
        <w:rPr>
          <w:rFonts w:eastAsia="SimSun"/>
        </w:rPr>
        <w:t>”</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w:t>
      </w:r>
      <w:r w:rsidR="00190923" w:rsidRPr="00981405">
        <w:rPr>
          <w:rFonts w:eastAsia="SimSun"/>
        </w:rPr>
        <w:t xml:space="preserve"> </w:t>
      </w:r>
      <w:r w:rsidR="00B92E2C" w:rsidRPr="00981405">
        <w:rPr>
          <w:rFonts w:eastAsia="SimSun"/>
        </w:rPr>
        <w:t>“</w:t>
      </w:r>
      <w:r w:rsidRPr="00981405">
        <w:rPr>
          <w:rFonts w:eastAsia="SimSun"/>
        </w:rPr>
        <w:t>similar</w:t>
      </w:r>
      <w:r w:rsidR="00190923" w:rsidRPr="00981405">
        <w:rPr>
          <w:rFonts w:eastAsia="SimSun"/>
        </w:rPr>
        <w:t xml:space="preserve"> </w:t>
      </w:r>
      <w:r w:rsidRPr="00981405">
        <w:rPr>
          <w:rFonts w:eastAsia="SimSun"/>
        </w:rPr>
        <w:t>situation</w:t>
      </w:r>
      <w:r w:rsidR="00B92E2C" w:rsidRPr="00981405">
        <w:rPr>
          <w:rFonts w:eastAsia="SimSun"/>
        </w:rPr>
        <w: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comparator.</w:t>
      </w:r>
      <w:r w:rsidR="00190923" w:rsidRPr="00981405">
        <w:rPr>
          <w:rFonts w:eastAsia="SimSun"/>
        </w:rPr>
        <w:t xml:space="preserve"> </w:t>
      </w:r>
    </w:p>
    <w:p w:rsidR="00397032" w:rsidRPr="00981405" w:rsidRDefault="00397032" w:rsidP="00D97463">
      <w:pPr>
        <w:pStyle w:val="SingleTxt"/>
      </w:pPr>
      <w:r w:rsidRPr="00981405">
        <w:rPr>
          <w:rFonts w:eastAsia="SimSun"/>
        </w:rPr>
        <w:t>70.</w:t>
      </w:r>
      <w:r w:rsidRPr="00981405">
        <w:rPr>
          <w:rFonts w:eastAsia="SimSun"/>
        </w:rPr>
        <w:tab/>
      </w:r>
      <w:r w:rsidRPr="00981405">
        <w:t>This</w:t>
      </w:r>
      <w:r w:rsidR="00190923" w:rsidRPr="00981405">
        <w:t xml:space="preserve"> </w:t>
      </w:r>
      <w:r w:rsidRPr="00981405">
        <w:t>has</w:t>
      </w:r>
      <w:r w:rsidR="00190923" w:rsidRPr="00981405">
        <w:t xml:space="preserve"> </w:t>
      </w:r>
      <w:r w:rsidRPr="00981405">
        <w:t>led</w:t>
      </w:r>
      <w:r w:rsidR="00190923" w:rsidRPr="00981405">
        <w:t xml:space="preserve"> </w:t>
      </w:r>
      <w:r w:rsidRPr="00981405">
        <w:t>to</w:t>
      </w:r>
      <w:r w:rsidR="00190923" w:rsidRPr="00981405">
        <w:t xml:space="preserve"> </w:t>
      </w:r>
      <w:r w:rsidRPr="00981405">
        <w:t>considerable</w:t>
      </w:r>
      <w:r w:rsidR="00190923" w:rsidRPr="00981405">
        <w:t xml:space="preserve"> </w:t>
      </w:r>
      <w:r w:rsidRPr="00981405">
        <w:t>controversy</w:t>
      </w:r>
      <w:r w:rsidR="00190923" w:rsidRPr="00981405">
        <w:t xml:space="preserve"> </w:t>
      </w:r>
      <w:r w:rsidRPr="00981405">
        <w:t>over</w:t>
      </w:r>
      <w:r w:rsidR="00190923" w:rsidRPr="00981405">
        <w:t xml:space="preserve"> </w:t>
      </w:r>
      <w:r w:rsidRPr="00981405">
        <w:t>what</w:t>
      </w:r>
      <w:r w:rsidR="00190923" w:rsidRPr="00981405">
        <w:t xml:space="preserve"> </w:t>
      </w:r>
      <w:r w:rsidRPr="00981405">
        <w:t>constitutes</w:t>
      </w:r>
      <w:r w:rsidR="00190923" w:rsidRPr="00981405">
        <w:t xml:space="preserve"> </w:t>
      </w:r>
      <w:r w:rsidRPr="00981405">
        <w:t>an</w:t>
      </w:r>
      <w:r w:rsidR="00190923" w:rsidRPr="00981405">
        <w:t xml:space="preserve"> </w:t>
      </w:r>
      <w:r w:rsidR="00B92E2C" w:rsidRPr="00981405">
        <w:t>“</w:t>
      </w:r>
      <w:r w:rsidRPr="00981405">
        <w:t>investment,</w:t>
      </w:r>
      <w:r w:rsidR="00B92E2C" w:rsidRPr="00981405">
        <w:t>”</w:t>
      </w:r>
      <w:r w:rsidR="00190923" w:rsidRPr="00981405">
        <w:t xml:space="preserve"> </w:t>
      </w:r>
      <w:r w:rsidRPr="00981405">
        <w:t>in</w:t>
      </w:r>
      <w:r w:rsidR="00190923" w:rsidRPr="00981405">
        <w:t xml:space="preserve"> </w:t>
      </w:r>
      <w:r w:rsidRPr="00981405">
        <w:t>particular</w:t>
      </w:r>
      <w:r w:rsidR="00190923" w:rsidRPr="00981405">
        <w:t xml:space="preserve"> </w:t>
      </w:r>
      <w:r w:rsidRPr="00981405">
        <w:t>whether</w:t>
      </w:r>
      <w:r w:rsidR="00190923" w:rsidRPr="00981405">
        <w:t xml:space="preserve"> </w:t>
      </w:r>
      <w:r w:rsidRPr="00981405">
        <w:t>an</w:t>
      </w:r>
      <w:r w:rsidR="00190923" w:rsidRPr="00981405">
        <w:t xml:space="preserve"> </w:t>
      </w:r>
      <w:r w:rsidRPr="00981405">
        <w:t>investment</w:t>
      </w:r>
      <w:r w:rsidR="00190923" w:rsidRPr="00981405">
        <w:t xml:space="preserve"> </w:t>
      </w:r>
      <w:r w:rsidRPr="00981405">
        <w:t>must</w:t>
      </w:r>
      <w:r w:rsidR="00190923" w:rsidRPr="00981405">
        <w:t xml:space="preserve"> </w:t>
      </w:r>
      <w:r w:rsidRPr="00981405">
        <w:t>make</w:t>
      </w:r>
      <w:r w:rsidR="00190923" w:rsidRPr="00981405">
        <w:t xml:space="preserve"> </w:t>
      </w:r>
      <w:r w:rsidRPr="00981405">
        <w:t>a</w:t>
      </w:r>
      <w:r w:rsidR="00190923" w:rsidRPr="00981405">
        <w:t xml:space="preserve"> </w:t>
      </w:r>
      <w:r w:rsidRPr="00981405">
        <w:t>contribution</w:t>
      </w:r>
      <w:r w:rsidR="00190923" w:rsidRPr="00981405">
        <w:t xml:space="preserve"> </w:t>
      </w:r>
      <w:r w:rsidRPr="00981405">
        <w:t>to</w:t>
      </w:r>
      <w:r w:rsidR="00190923" w:rsidRPr="00981405">
        <w:t xml:space="preserve"> </w:t>
      </w:r>
      <w:r w:rsidRPr="00981405">
        <w:t>the</w:t>
      </w:r>
      <w:r w:rsidR="00190923" w:rsidRPr="00981405">
        <w:t xml:space="preserve"> </w:t>
      </w:r>
      <w:r w:rsidRPr="00981405">
        <w:t>host</w:t>
      </w:r>
      <w:r w:rsidR="00190923" w:rsidRPr="00981405">
        <w:t xml:space="preserve"> </w:t>
      </w:r>
      <w:r w:rsidRPr="00981405">
        <w:t>State</w:t>
      </w:r>
      <w:r w:rsidR="00B92E2C" w:rsidRPr="00981405">
        <w:t>’</w:t>
      </w:r>
      <w:r w:rsidRPr="00981405">
        <w:t>s</w:t>
      </w:r>
      <w:r w:rsidR="00190923" w:rsidRPr="00981405">
        <w:t xml:space="preserve"> </w:t>
      </w:r>
      <w:r w:rsidRPr="00981405">
        <w:t>economic</w:t>
      </w:r>
      <w:r w:rsidR="00190923" w:rsidRPr="00981405">
        <w:t xml:space="preserve"> </w:t>
      </w:r>
      <w:r w:rsidRPr="00981405">
        <w:t>development.</w:t>
      </w:r>
      <w:r w:rsidRPr="00981405">
        <w:rPr>
          <w:rStyle w:val="FootnoteReference"/>
        </w:rPr>
        <w:footnoteReference w:id="482"/>
      </w:r>
      <w:r w:rsidR="00190923" w:rsidRPr="00981405">
        <w:t xml:space="preserve"> </w:t>
      </w:r>
      <w:r w:rsidRPr="00981405">
        <w:t>However,</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is</w:t>
      </w:r>
      <w:r w:rsidR="00190923" w:rsidRPr="00981405">
        <w:t xml:space="preserve"> </w:t>
      </w:r>
      <w:r w:rsidRPr="00981405">
        <w:t>a</w:t>
      </w:r>
      <w:r w:rsidR="00190923" w:rsidRPr="00981405">
        <w:t xml:space="preserve"> </w:t>
      </w:r>
      <w:r w:rsidRPr="00981405">
        <w:t>matter</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as</w:t>
      </w:r>
      <w:r w:rsidR="00190923" w:rsidRPr="00981405">
        <w:t xml:space="preserve"> </w:t>
      </w:r>
      <w:r w:rsidRPr="00981405">
        <w:t>a</w:t>
      </w:r>
      <w:r w:rsidR="00190923" w:rsidRPr="00981405">
        <w:t xml:space="preserve"> </w:t>
      </w:r>
      <w:r w:rsidRPr="00981405">
        <w:t>whole</w:t>
      </w:r>
      <w:r w:rsidR="00190923" w:rsidRPr="00981405">
        <w:t xml:space="preserve"> </w:t>
      </w:r>
      <w:r w:rsidRPr="00981405">
        <w:t>and</w:t>
      </w:r>
      <w:r w:rsidR="00190923" w:rsidRPr="00981405">
        <w:t xml:space="preserve"> </w:t>
      </w:r>
      <w:r w:rsidRPr="00981405">
        <w:t>does</w:t>
      </w:r>
      <w:r w:rsidR="00190923" w:rsidRPr="00981405">
        <w:t xml:space="preserve"> </w:t>
      </w:r>
      <w:r w:rsidRPr="00981405">
        <w:t>not</w:t>
      </w:r>
      <w:r w:rsidR="00190923" w:rsidRPr="00981405">
        <w:t xml:space="preserve"> </w:t>
      </w:r>
      <w:r w:rsidRPr="00981405">
        <w:t>raise</w:t>
      </w:r>
      <w:r w:rsidR="00190923" w:rsidRPr="00981405">
        <w:t xml:space="preserve"> </w:t>
      </w:r>
      <w:r w:rsidRPr="00981405">
        <w:t>any</w:t>
      </w:r>
      <w:r w:rsidR="00190923" w:rsidRPr="00981405">
        <w:t xml:space="preserve"> </w:t>
      </w:r>
      <w:r w:rsidRPr="00981405">
        <w:t>systemic</w:t>
      </w:r>
      <w:r w:rsidR="00190923" w:rsidRPr="00981405">
        <w:t xml:space="preserve"> </w:t>
      </w:r>
      <w:r w:rsidRPr="00981405">
        <w:t>issues</w:t>
      </w:r>
      <w:r w:rsidR="00190923" w:rsidRPr="00981405">
        <w:t xml:space="preserve"> </w:t>
      </w:r>
      <w:r w:rsidRPr="00981405">
        <w:t>about</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or</w:t>
      </w:r>
      <w:r w:rsidR="00190923" w:rsidRPr="00981405">
        <w:t xml:space="preserve"> </w:t>
      </w:r>
      <w:r w:rsidRPr="00981405">
        <w:t>about</w:t>
      </w:r>
      <w:r w:rsidR="00190923" w:rsidRPr="00981405">
        <w:t xml:space="preserve"> </w:t>
      </w:r>
      <w:r w:rsidRPr="00981405">
        <w:t>their</w:t>
      </w:r>
      <w:r w:rsidR="00190923" w:rsidRPr="00981405">
        <w:t xml:space="preserve"> </w:t>
      </w:r>
      <w:r w:rsidRPr="00981405">
        <w:t>interpretation.</w:t>
      </w:r>
      <w:r w:rsidR="00190923" w:rsidRPr="00981405">
        <w:t xml:space="preserve"> </w:t>
      </w:r>
      <w:r w:rsidRPr="00981405">
        <w:t>Accordingly,</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did</w:t>
      </w:r>
      <w:r w:rsidR="00190923" w:rsidRPr="00981405">
        <w:t xml:space="preserve"> </w:t>
      </w:r>
      <w:r w:rsidRPr="00981405">
        <w:t>not</w:t>
      </w:r>
      <w:r w:rsidR="00190923" w:rsidRPr="00981405">
        <w:t xml:space="preserve"> </w:t>
      </w:r>
      <w:r w:rsidRPr="00981405">
        <w:t>see</w:t>
      </w:r>
      <w:r w:rsidR="00190923" w:rsidRPr="00981405">
        <w:t xml:space="preserve"> </w:t>
      </w:r>
      <w:r w:rsidRPr="00981405">
        <w:t>any</w:t>
      </w:r>
      <w:r w:rsidR="00190923" w:rsidRPr="00981405">
        <w:t xml:space="preserve"> </w:t>
      </w:r>
      <w:r w:rsidRPr="00981405">
        <w:t>need</w:t>
      </w:r>
      <w:r w:rsidR="00190923" w:rsidRPr="00981405">
        <w:t xml:space="preserve"> </w:t>
      </w:r>
      <w:r w:rsidRPr="00981405">
        <w:t>to</w:t>
      </w:r>
      <w:r w:rsidR="00190923" w:rsidRPr="00981405">
        <w:t xml:space="preserve"> </w:t>
      </w:r>
      <w:r w:rsidRPr="00981405">
        <w:t>consider</w:t>
      </w:r>
      <w:r w:rsidR="00190923" w:rsidRPr="00981405">
        <w:t xml:space="preserve"> </w:t>
      </w:r>
      <w:r w:rsidRPr="00981405">
        <w:t>this</w:t>
      </w:r>
      <w:r w:rsidR="00190923" w:rsidRPr="00981405">
        <w:t xml:space="preserve"> </w:t>
      </w:r>
      <w:r w:rsidRPr="00981405">
        <w:t>matter</w:t>
      </w:r>
      <w:r w:rsidR="00190923" w:rsidRPr="00981405">
        <w:t xml:space="preserve"> </w:t>
      </w:r>
      <w:r w:rsidRPr="00981405">
        <w:t>further.</w:t>
      </w:r>
    </w:p>
    <w:p w:rsidR="00397032" w:rsidRPr="00981405" w:rsidRDefault="00397032" w:rsidP="00D97463">
      <w:pPr>
        <w:pStyle w:val="SingleTxt"/>
      </w:pPr>
      <w:r w:rsidRPr="00981405">
        <w:t>71.</w:t>
      </w:r>
      <w:r w:rsidRPr="00981405">
        <w:tab/>
        <w:t>The</w:t>
      </w:r>
      <w:r w:rsidR="00190923" w:rsidRPr="00981405">
        <w:t xml:space="preserve"> </w:t>
      </w:r>
      <w:r w:rsidRPr="00981405">
        <w:t>term</w:t>
      </w:r>
      <w:r w:rsidR="00190923" w:rsidRPr="00981405">
        <w:t xml:space="preserve"> </w:t>
      </w:r>
      <w:r w:rsidR="00B92E2C" w:rsidRPr="00981405">
        <w:t>“</w:t>
      </w:r>
      <w:r w:rsidRPr="00981405">
        <w:t>in</w:t>
      </w:r>
      <w:r w:rsidR="00190923" w:rsidRPr="00981405">
        <w:t xml:space="preserve"> </w:t>
      </w:r>
      <w:r w:rsidRPr="00981405">
        <w:t>like</w:t>
      </w:r>
      <w:r w:rsidR="00190923" w:rsidRPr="00981405">
        <w:t xml:space="preserve"> </w:t>
      </w:r>
      <w:r w:rsidRPr="00981405">
        <w:t>circumstances</w:t>
      </w:r>
      <w:r w:rsidR="00B92E2C" w:rsidRPr="00981405">
        <w:t>”</w:t>
      </w:r>
      <w:r w:rsidR="00190923" w:rsidRPr="00981405">
        <w:t xml:space="preserve"> </w:t>
      </w:r>
      <w:r w:rsidRPr="00981405">
        <w:t>is</w:t>
      </w:r>
      <w:r w:rsidR="00190923" w:rsidRPr="00981405">
        <w:t xml:space="preserve"> </w:t>
      </w:r>
      <w:r w:rsidRPr="00981405">
        <w:t>found</w:t>
      </w:r>
      <w:r w:rsidR="00190923" w:rsidRPr="00981405">
        <w:t xml:space="preserve"> </w:t>
      </w:r>
      <w:r w:rsidRPr="00981405">
        <w:t>in</w:t>
      </w:r>
      <w:r w:rsidR="00190923" w:rsidRPr="00981405">
        <w:t xml:space="preserve"> </w:t>
      </w:r>
      <w:r w:rsidRPr="00981405">
        <w:t>the</w:t>
      </w:r>
      <w:r w:rsidR="00190923" w:rsidRPr="00981405">
        <w:t xml:space="preserve"> </w:t>
      </w:r>
      <w:r w:rsidRPr="00981405">
        <w:t>investment</w:t>
      </w:r>
      <w:r w:rsidR="00190923" w:rsidRPr="00981405">
        <w:t xml:space="preserve"> </w:t>
      </w:r>
      <w:r w:rsidRPr="00981405">
        <w:t>chapter</w:t>
      </w:r>
      <w:r w:rsidR="00190923" w:rsidRPr="00981405">
        <w:t xml:space="preserve"> </w:t>
      </w:r>
      <w:r w:rsidRPr="00981405">
        <w:t>of</w:t>
      </w:r>
      <w:r w:rsidR="00190923" w:rsidRPr="00981405">
        <w:t xml:space="preserve"> </w:t>
      </w:r>
      <w:r w:rsidRPr="00981405">
        <w:t>the</w:t>
      </w:r>
      <w:r w:rsidR="00190923" w:rsidRPr="00981405">
        <w:t xml:space="preserve"> </w:t>
      </w:r>
      <w:r w:rsidRPr="00981405">
        <w:t>North</w:t>
      </w:r>
      <w:r w:rsidR="00190923" w:rsidRPr="00981405">
        <w:t xml:space="preserve"> </w:t>
      </w:r>
      <w:r w:rsidRPr="00981405">
        <w:t>American</w:t>
      </w:r>
      <w:r w:rsidR="00190923" w:rsidRPr="00981405">
        <w:t xml:space="preserve"> </w:t>
      </w:r>
      <w:r w:rsidRPr="00981405">
        <w:t>Free</w:t>
      </w:r>
      <w:r w:rsidR="00190923" w:rsidRPr="00981405">
        <w:t xml:space="preserve"> </w:t>
      </w:r>
      <w:r w:rsidRPr="00981405">
        <w:t>Trade</w:t>
      </w:r>
      <w:r w:rsidR="00190923" w:rsidRPr="00981405">
        <w:t xml:space="preserve"> </w:t>
      </w:r>
      <w:r w:rsidRPr="00981405">
        <w:t>Agreement</w:t>
      </w:r>
      <w:r w:rsidR="00190923" w:rsidRPr="00981405">
        <w:t xml:space="preserve"> </w:t>
      </w:r>
      <w:r w:rsidRPr="00981405">
        <w:t>(NAFTA),</w:t>
      </w:r>
      <w:r w:rsidR="00190923" w:rsidRPr="00981405">
        <w:t xml:space="preserve"> </w:t>
      </w:r>
      <w:r w:rsidRPr="00981405">
        <w:t>but</w:t>
      </w:r>
      <w:r w:rsidR="00190923" w:rsidRPr="00981405">
        <w:t xml:space="preserve"> </w:t>
      </w:r>
      <w:r w:rsidRPr="00981405">
        <w:t>is</w:t>
      </w:r>
      <w:r w:rsidR="00190923" w:rsidRPr="00981405">
        <w:t xml:space="preserve"> </w:t>
      </w:r>
      <w:r w:rsidRPr="00981405">
        <w:t>not</w:t>
      </w:r>
      <w:r w:rsidR="00190923" w:rsidRPr="00981405">
        <w:t xml:space="preserve"> </w:t>
      </w:r>
      <w:r w:rsidRPr="00981405">
        <w:t>included</w:t>
      </w:r>
      <w:r w:rsidR="00190923" w:rsidRPr="00981405">
        <w:t xml:space="preserve"> </w:t>
      </w:r>
      <w:r w:rsidRPr="00981405">
        <w:t>in</w:t>
      </w:r>
      <w:r w:rsidR="00190923" w:rsidRPr="00981405">
        <w:t xml:space="preserve"> </w:t>
      </w:r>
      <w:r w:rsidRPr="00981405">
        <w:t>many</w:t>
      </w:r>
      <w:r w:rsidR="00190923" w:rsidRPr="00981405">
        <w:t xml:space="preserve"> </w:t>
      </w:r>
      <w:r w:rsidRPr="00981405">
        <w:t>other</w:t>
      </w:r>
      <w:r w:rsidR="00190923" w:rsidRPr="00981405">
        <w:t xml:space="preserve"> </w:t>
      </w:r>
      <w:r w:rsidRPr="00981405">
        <w:t>agreements.</w:t>
      </w:r>
      <w:r w:rsidR="00190923" w:rsidRPr="00981405">
        <w:t xml:space="preserve"> </w:t>
      </w:r>
      <w:r w:rsidRPr="00981405">
        <w:t>The</w:t>
      </w:r>
      <w:r w:rsidR="00190923" w:rsidRPr="00981405">
        <w:t xml:space="preserve"> </w:t>
      </w:r>
      <w:r w:rsidRPr="00981405">
        <w:t>words</w:t>
      </w:r>
      <w:r w:rsidR="00190923" w:rsidRPr="00981405">
        <w:t xml:space="preserve"> </w:t>
      </w:r>
      <w:r w:rsidRPr="00981405">
        <w:t>seem</w:t>
      </w:r>
      <w:r w:rsidR="00190923" w:rsidRPr="00981405">
        <w:t xml:space="preserve"> </w:t>
      </w:r>
      <w:r w:rsidRPr="00981405">
        <w:t>to</w:t>
      </w:r>
      <w:r w:rsidR="00190923" w:rsidRPr="00981405">
        <w:t xml:space="preserve"> </w:t>
      </w:r>
      <w:r w:rsidRPr="00981405">
        <w:t>place</w:t>
      </w:r>
      <w:r w:rsidR="00190923" w:rsidRPr="00981405">
        <w:t xml:space="preserve"> </w:t>
      </w:r>
      <w:r w:rsidRPr="00981405">
        <w:t>some</w:t>
      </w:r>
      <w:r w:rsidR="00190923" w:rsidRPr="00981405">
        <w:t xml:space="preserve"> </w:t>
      </w:r>
      <w:r w:rsidRPr="00981405">
        <w:t>limitation</w:t>
      </w:r>
      <w:r w:rsidR="00190923" w:rsidRPr="00981405">
        <w:t xml:space="preserve"> </w:t>
      </w:r>
      <w:r w:rsidRPr="00981405">
        <w:t>upon</w:t>
      </w:r>
      <w:r w:rsidR="00190923" w:rsidRPr="00981405">
        <w:t xml:space="preserve"> </w:t>
      </w:r>
      <w:r w:rsidRPr="00981405">
        <w:t>which</w:t>
      </w:r>
      <w:r w:rsidR="00190923" w:rsidRPr="00981405">
        <w:t xml:space="preserve"> </w:t>
      </w:r>
      <w:r w:rsidRPr="00981405">
        <w:t>investors</w:t>
      </w:r>
      <w:r w:rsidR="00190923" w:rsidRPr="00981405">
        <w:t xml:space="preserve"> </w:t>
      </w:r>
      <w:r w:rsidRPr="00981405">
        <w:t>or</w:t>
      </w:r>
      <w:r w:rsidR="00190923" w:rsidRPr="00981405">
        <w:t xml:space="preserve"> </w:t>
      </w:r>
      <w:r w:rsidRPr="00981405">
        <w:t>investments</w:t>
      </w:r>
      <w:r w:rsidR="00190923" w:rsidRPr="00981405">
        <w:t xml:space="preserve"> </w:t>
      </w:r>
      <w:r w:rsidRPr="00981405">
        <w:t>can</w:t>
      </w:r>
      <w:r w:rsidR="00190923" w:rsidRPr="00981405">
        <w:t xml:space="preserve"> </w:t>
      </w:r>
      <w:r w:rsidRPr="00981405">
        <w:t>claim</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00B92E2C" w:rsidRPr="00981405">
        <w:t>—</w:t>
      </w:r>
      <w:r w:rsidR="00190923" w:rsidRPr="00981405">
        <w:t xml:space="preserve"> </w:t>
      </w:r>
      <w:r w:rsidRPr="00981405">
        <w:t>suggesting</w:t>
      </w:r>
      <w:r w:rsidR="00190923" w:rsidRPr="00981405">
        <w:t xml:space="preserve"> </w:t>
      </w:r>
      <w:r w:rsidRPr="00981405">
        <w:t>perhaps</w:t>
      </w:r>
      <w:r w:rsidR="00190923" w:rsidRPr="00981405">
        <w:t xml:space="preserve"> </w:t>
      </w:r>
      <w:r w:rsidRPr="00981405">
        <w:t>that</w:t>
      </w:r>
      <w:r w:rsidR="00190923" w:rsidRPr="00981405">
        <w:t xml:space="preserve"> </w:t>
      </w:r>
      <w:r w:rsidRPr="00981405">
        <w:t>only</w:t>
      </w:r>
      <w:r w:rsidR="00190923" w:rsidRPr="00981405">
        <w:t xml:space="preserve"> </w:t>
      </w:r>
      <w:r w:rsidRPr="00981405">
        <w:t>those</w:t>
      </w:r>
      <w:r w:rsidR="00190923" w:rsidRPr="00981405">
        <w:t xml:space="preserve"> </w:t>
      </w:r>
      <w:r w:rsidRPr="00981405">
        <w:t>investors</w:t>
      </w:r>
      <w:r w:rsidR="00190923" w:rsidRPr="00981405">
        <w:t xml:space="preserve"> </w:t>
      </w:r>
      <w:r w:rsidRPr="00981405">
        <w:t>or</w:t>
      </w:r>
      <w:r w:rsidR="00190923" w:rsidRPr="00981405">
        <w:t xml:space="preserve"> </w:t>
      </w:r>
      <w:r w:rsidRPr="00981405">
        <w:t>investments</w:t>
      </w:r>
      <w:r w:rsidR="00190923" w:rsidRPr="00981405">
        <w:t xml:space="preserve"> </w:t>
      </w:r>
      <w:r w:rsidRPr="00981405">
        <w:t>that</w:t>
      </w:r>
      <w:r w:rsidR="00190923" w:rsidRPr="00981405">
        <w:t xml:space="preserve"> </w:t>
      </w:r>
      <w:r w:rsidRPr="00981405">
        <w:t>are</w:t>
      </w:r>
      <w:r w:rsidR="00190923" w:rsidRPr="00981405">
        <w:t xml:space="preserve"> </w:t>
      </w:r>
      <w:r w:rsidRPr="00981405">
        <w:t>in</w:t>
      </w:r>
      <w:r w:rsidR="00190923" w:rsidRPr="00981405">
        <w:t xml:space="preserve"> </w:t>
      </w:r>
      <w:r w:rsidR="00B92E2C" w:rsidRPr="00981405">
        <w:t>“</w:t>
      </w:r>
      <w:r w:rsidRPr="00981405">
        <w:t>like</w:t>
      </w:r>
      <w:r w:rsidR="00190923" w:rsidRPr="00981405">
        <w:t xml:space="preserve"> </w:t>
      </w:r>
      <w:r w:rsidRPr="00981405">
        <w:t>circumstances</w:t>
      </w:r>
      <w:r w:rsidR="00B92E2C" w:rsidRPr="00981405">
        <w:t>”</w:t>
      </w:r>
      <w:r w:rsidR="00190923" w:rsidRPr="00981405">
        <w:t xml:space="preserve"> </w:t>
      </w:r>
      <w:r w:rsidRPr="00981405">
        <w:t>with</w:t>
      </w:r>
      <w:r w:rsidR="00190923" w:rsidRPr="00981405">
        <w:t xml:space="preserve"> </w:t>
      </w:r>
      <w:r w:rsidRPr="00981405">
        <w:t>those</w:t>
      </w:r>
      <w:r w:rsidR="00190923" w:rsidRPr="00981405">
        <w:t xml:space="preserve"> </w:t>
      </w:r>
      <w:r w:rsidRPr="00981405">
        <w:t>of</w:t>
      </w:r>
      <w:r w:rsidR="00190923" w:rsidRPr="00981405">
        <w:t xml:space="preserve"> </w:t>
      </w:r>
      <w:r w:rsidRPr="00981405">
        <w:t>the</w:t>
      </w:r>
      <w:r w:rsidR="00190923" w:rsidRPr="00981405">
        <w:t xml:space="preserve"> </w:t>
      </w:r>
      <w:r w:rsidRPr="00981405">
        <w:t>comparator</w:t>
      </w:r>
      <w:r w:rsidR="00190923" w:rsidRPr="00981405">
        <w:t xml:space="preserve"> </w:t>
      </w:r>
      <w:r w:rsidRPr="00981405">
        <w:t>treaty</w:t>
      </w:r>
      <w:r w:rsidR="00190923" w:rsidRPr="00981405">
        <w:t xml:space="preserve"> </w:t>
      </w:r>
      <w:r w:rsidRPr="00981405">
        <w:t>can</w:t>
      </w:r>
      <w:r w:rsidR="00190923" w:rsidRPr="00981405">
        <w:t xml:space="preserve"> </w:t>
      </w:r>
      <w:r w:rsidRPr="00981405">
        <w:t>do</w:t>
      </w:r>
      <w:r w:rsidR="00190923" w:rsidRPr="00981405">
        <w:t xml:space="preserve"> </w:t>
      </w:r>
      <w:r w:rsidRPr="00981405">
        <w:t>so.</w:t>
      </w:r>
    </w:p>
    <w:p w:rsidR="00397032" w:rsidRPr="00981405" w:rsidRDefault="00397032" w:rsidP="00D97463">
      <w:pPr>
        <w:pStyle w:val="SingleTxt"/>
      </w:pPr>
      <w:r w:rsidRPr="00981405">
        <w:t>72.</w:t>
      </w:r>
      <w:r w:rsidRPr="00981405">
        <w:tab/>
        <w:t>The</w:t>
      </w:r>
      <w:r w:rsidR="00190923" w:rsidRPr="00981405">
        <w:t xml:space="preserve"> </w:t>
      </w:r>
      <w:r w:rsidRPr="00981405">
        <w:t>question</w:t>
      </w:r>
      <w:r w:rsidR="00190923" w:rsidRPr="00981405">
        <w:t xml:space="preserve"> </w:t>
      </w:r>
      <w:r w:rsidRPr="00981405">
        <w:t>arises</w:t>
      </w:r>
      <w:r w:rsidR="00190923" w:rsidRPr="00981405">
        <w:t xml:space="preserve"> </w:t>
      </w:r>
      <w:r w:rsidRPr="00981405">
        <w:t>whether</w:t>
      </w:r>
      <w:r w:rsidR="00190923" w:rsidRPr="00981405">
        <w:t xml:space="preserve"> </w:t>
      </w:r>
      <w:r w:rsidRPr="00981405">
        <w:t>in</w:t>
      </w:r>
      <w:r w:rsidR="00190923" w:rsidRPr="00981405">
        <w:t xml:space="preserve"> </w:t>
      </w:r>
      <w:r w:rsidRPr="00981405">
        <w:t>fact</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qualification</w:t>
      </w:r>
      <w:r w:rsidR="00190923" w:rsidRPr="00981405">
        <w:t xml:space="preserve"> </w:t>
      </w:r>
      <w:r w:rsidRPr="00981405">
        <w:t>of</w:t>
      </w:r>
      <w:r w:rsidR="00190923" w:rsidRPr="00981405">
        <w:t xml:space="preserve"> </w:t>
      </w:r>
      <w:r w:rsidR="00B92E2C" w:rsidRPr="00981405">
        <w:t>“</w:t>
      </w:r>
      <w:r w:rsidRPr="00981405">
        <w:t>in</w:t>
      </w:r>
      <w:r w:rsidR="00190923" w:rsidRPr="00981405">
        <w:t xml:space="preserve"> </w:t>
      </w:r>
      <w:r w:rsidRPr="00981405">
        <w:t>like</w:t>
      </w:r>
      <w:r w:rsidR="00190923" w:rsidRPr="00981405">
        <w:t xml:space="preserve"> </w:t>
      </w:r>
      <w:r w:rsidRPr="00981405">
        <w:t>circumstances</w:t>
      </w:r>
      <w:r w:rsidR="00B92E2C" w:rsidRPr="00981405">
        <w:t>”</w:t>
      </w:r>
      <w:r w:rsidR="00190923" w:rsidRPr="00981405">
        <w:t xml:space="preserve"> </w:t>
      </w:r>
      <w:r w:rsidRPr="00981405">
        <w:t>adds</w:t>
      </w:r>
      <w:r w:rsidR="00190923" w:rsidRPr="00981405">
        <w:t xml:space="preserve"> </w:t>
      </w:r>
      <w:r w:rsidRPr="00981405">
        <w:t>anything</w:t>
      </w:r>
      <w:r w:rsidR="00190923" w:rsidRPr="00981405">
        <w:t xml:space="preserve"> </w:t>
      </w:r>
      <w:r w:rsidRPr="00981405">
        <w:t>to</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Under</w:t>
      </w:r>
      <w:r w:rsidR="00190923" w:rsidRPr="00981405">
        <w:t xml:space="preserve"> </w:t>
      </w:r>
      <w:r w:rsidRPr="00981405">
        <w:t>the</w:t>
      </w:r>
      <w:r w:rsidR="00190923" w:rsidRPr="00981405">
        <w:t xml:space="preserve"> </w:t>
      </w:r>
      <w:r w:rsidRPr="00D97463">
        <w:rPr>
          <w:i/>
          <w:iCs/>
        </w:rPr>
        <w:t>ejusdem</w:t>
      </w:r>
      <w:r w:rsidR="00190923" w:rsidRPr="00D97463">
        <w:rPr>
          <w:i/>
          <w:iCs/>
        </w:rPr>
        <w:t xml:space="preserve"> </w:t>
      </w:r>
      <w:r w:rsidRPr="00D97463">
        <w:rPr>
          <w:i/>
          <w:iCs/>
        </w:rPr>
        <w:t>generis</w:t>
      </w:r>
      <w:r w:rsidR="00190923" w:rsidRPr="00981405">
        <w:t xml:space="preserve"> </w:t>
      </w:r>
      <w:r w:rsidRPr="00981405">
        <w:t>principle</w:t>
      </w:r>
      <w:r w:rsidR="00190923" w:rsidRPr="00981405">
        <w:t xml:space="preserve"> </w:t>
      </w:r>
      <w:r w:rsidRPr="00981405">
        <w:t>a</w:t>
      </w:r>
      <w:r w:rsidR="00190923" w:rsidRPr="00981405">
        <w:t xml:space="preserve"> </w:t>
      </w:r>
      <w:r w:rsidRPr="00981405">
        <w:t>claim</w:t>
      </w:r>
      <w:r w:rsidR="00190923" w:rsidRPr="00981405">
        <w:t xml:space="preserve"> </w:t>
      </w:r>
      <w:r w:rsidRPr="00981405">
        <w:t>to</w:t>
      </w:r>
      <w:r w:rsidR="00190923" w:rsidRPr="00981405">
        <w:t xml:space="preserve"> </w:t>
      </w:r>
      <w:r w:rsidRPr="00981405">
        <w:t>MFN</w:t>
      </w:r>
      <w:r w:rsidR="00190923" w:rsidRPr="00981405">
        <w:t xml:space="preserve"> </w:t>
      </w:r>
      <w:r w:rsidRPr="00981405">
        <w:t>can</w:t>
      </w:r>
      <w:r w:rsidR="00190923" w:rsidRPr="00981405">
        <w:t xml:space="preserve"> </w:t>
      </w:r>
      <w:r w:rsidRPr="00981405">
        <w:t>in</w:t>
      </w:r>
      <w:r w:rsidR="00190923" w:rsidRPr="00981405">
        <w:t xml:space="preserve"> </w:t>
      </w:r>
      <w:r w:rsidRPr="00981405">
        <w:t>any</w:t>
      </w:r>
      <w:r w:rsidR="00190923" w:rsidRPr="00981405">
        <w:t xml:space="preserve"> </w:t>
      </w:r>
      <w:r w:rsidRPr="00981405">
        <w:t>event</w:t>
      </w:r>
      <w:r w:rsidR="00190923" w:rsidRPr="00981405">
        <w:t xml:space="preserve"> </w:t>
      </w:r>
      <w:r w:rsidRPr="00981405">
        <w:t>only</w:t>
      </w:r>
      <w:r w:rsidR="00190923" w:rsidRPr="00981405">
        <w:t xml:space="preserve"> </w:t>
      </w:r>
      <w:r w:rsidRPr="00981405">
        <w:t>be</w:t>
      </w:r>
      <w:r w:rsidR="00190923" w:rsidRPr="00981405">
        <w:t xml:space="preserve"> </w:t>
      </w:r>
      <w:r w:rsidRPr="00981405">
        <w:t>applied</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the</w:t>
      </w:r>
      <w:r w:rsidR="00190923" w:rsidRPr="00981405">
        <w:t xml:space="preserve"> </w:t>
      </w:r>
      <w:r w:rsidRPr="00981405">
        <w:t>same</w:t>
      </w:r>
      <w:r w:rsidR="00190923" w:rsidRPr="00981405">
        <w:t xml:space="preserve"> </w:t>
      </w:r>
      <w:r w:rsidRPr="00981405">
        <w:t>subject</w:t>
      </w:r>
      <w:r w:rsidR="00190923" w:rsidRPr="00981405">
        <w:t xml:space="preserve"> </w:t>
      </w:r>
      <w:r w:rsidRPr="00981405">
        <w:t>matter</w:t>
      </w:r>
      <w:r w:rsidR="00190923" w:rsidRPr="00981405">
        <w:t xml:space="preserve"> </w:t>
      </w:r>
      <w:r w:rsidRPr="00981405">
        <w:t>and</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those</w:t>
      </w:r>
      <w:r w:rsidR="00190923" w:rsidRPr="00981405">
        <w:t xml:space="preserve"> </w:t>
      </w:r>
      <w:r w:rsidRPr="00981405">
        <w:t>in</w:t>
      </w:r>
      <w:r w:rsidR="00190923" w:rsidRPr="00981405">
        <w:t xml:space="preserve"> </w:t>
      </w:r>
      <w:r w:rsidRPr="00981405">
        <w:t>the</w:t>
      </w:r>
      <w:r w:rsidR="00190923" w:rsidRPr="00981405">
        <w:t xml:space="preserve"> </w:t>
      </w:r>
      <w:r w:rsidRPr="00981405">
        <w:t>same</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the</w:t>
      </w:r>
      <w:r w:rsidR="00190923" w:rsidRPr="00981405">
        <w:t xml:space="preserve"> </w:t>
      </w:r>
      <w:r w:rsidRPr="00981405">
        <w:t>comparator.</w:t>
      </w:r>
      <w:r w:rsidR="00190923" w:rsidRPr="00981405">
        <w:t xml:space="preserve"> </w:t>
      </w:r>
      <w:r w:rsidRPr="00981405">
        <w:t>This</w:t>
      </w:r>
      <w:r w:rsidR="00190923" w:rsidRPr="00981405">
        <w:t xml:space="preserve"> </w:t>
      </w:r>
      <w:r w:rsidRPr="00981405">
        <w:t>is</w:t>
      </w:r>
      <w:r w:rsidR="00190923" w:rsidRPr="00981405">
        <w:t xml:space="preserve"> </w:t>
      </w:r>
      <w:r w:rsidRPr="00981405">
        <w:t>the</w:t>
      </w:r>
      <w:r w:rsidR="00190923" w:rsidRPr="00981405">
        <w:t xml:space="preserve"> </w:t>
      </w:r>
      <w:r w:rsidRPr="00981405">
        <w:t>effect</w:t>
      </w:r>
      <w:r w:rsidR="00190923" w:rsidRPr="00981405">
        <w:t xml:space="preserve"> </w:t>
      </w:r>
      <w:r w:rsidRPr="00981405">
        <w:t>of</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9</w:t>
      </w:r>
      <w:r w:rsidR="00190923" w:rsidRPr="00981405">
        <w:t xml:space="preserve"> </w:t>
      </w:r>
      <w:r w:rsidRPr="00981405">
        <w:t>and</w:t>
      </w:r>
      <w:r w:rsidR="00190923" w:rsidRPr="00981405">
        <w:t xml:space="preserve"> </w:t>
      </w:r>
      <w:r w:rsidRPr="00981405">
        <w:t>10.</w:t>
      </w:r>
    </w:p>
    <w:p w:rsidR="00397032" w:rsidRPr="00981405" w:rsidRDefault="00397032" w:rsidP="00D97463">
      <w:pPr>
        <w:pStyle w:val="SingleTxt"/>
      </w:pPr>
      <w:r w:rsidRPr="00981405">
        <w:t>73.</w:t>
      </w:r>
      <w:r w:rsidRPr="00981405">
        <w:tab/>
        <w:t>In</w:t>
      </w:r>
      <w:r w:rsidR="00190923" w:rsidRPr="00981405">
        <w:t xml:space="preserve"> </w:t>
      </w:r>
      <w:r w:rsidRPr="00981405">
        <w:t>the</w:t>
      </w:r>
      <w:r w:rsidR="00190923" w:rsidRPr="00981405">
        <w:t xml:space="preserve"> </w:t>
      </w:r>
      <w:r w:rsidRPr="00981405">
        <w:t>MAI</w:t>
      </w:r>
      <w:r w:rsidR="00190923" w:rsidRPr="00981405">
        <w:t xml:space="preserve"> </w:t>
      </w:r>
      <w:r w:rsidRPr="00981405">
        <w:t>negotiations,</w:t>
      </w:r>
      <w:r w:rsidR="00190923" w:rsidRPr="00981405">
        <w:t xml:space="preserve"> </w:t>
      </w:r>
      <w:r w:rsidRPr="00981405">
        <w:t>the</w:t>
      </w:r>
      <w:r w:rsidR="00190923" w:rsidRPr="00981405">
        <w:t xml:space="preserve"> </w:t>
      </w:r>
      <w:r w:rsidRPr="00981405">
        <w:t>parties</w:t>
      </w:r>
      <w:r w:rsidR="00190923" w:rsidRPr="00981405">
        <w:t xml:space="preserve"> </w:t>
      </w:r>
      <w:r w:rsidRPr="00981405">
        <w:t>were</w:t>
      </w:r>
      <w:r w:rsidR="00190923" w:rsidRPr="00981405">
        <w:t xml:space="preserve"> </w:t>
      </w:r>
      <w:r w:rsidRPr="00981405">
        <w:t>divided</w:t>
      </w:r>
      <w:r w:rsidR="00190923" w:rsidRPr="00981405">
        <w:t xml:space="preserve"> </w:t>
      </w:r>
      <w:r w:rsidRPr="00981405">
        <w:t>precisely</w:t>
      </w:r>
      <w:r w:rsidR="00190923" w:rsidRPr="00981405">
        <w:t xml:space="preserve"> </w:t>
      </w:r>
      <w:r w:rsidRPr="00981405">
        <w:t>on</w:t>
      </w:r>
      <w:r w:rsidR="00190923" w:rsidRPr="00981405">
        <w:t xml:space="preserve"> </w:t>
      </w:r>
      <w:r w:rsidRPr="00981405">
        <w:t>this</w:t>
      </w:r>
      <w:r w:rsidR="00190923" w:rsidRPr="00981405">
        <w:t xml:space="preserve"> </w:t>
      </w:r>
      <w:r w:rsidRPr="00981405">
        <w:t>point,</w:t>
      </w:r>
      <w:r w:rsidR="00190923" w:rsidRPr="00981405">
        <w:t xml:space="preserve"> </w:t>
      </w:r>
      <w:r w:rsidRPr="00981405">
        <w:t>and</w:t>
      </w:r>
      <w:r w:rsidR="00190923" w:rsidRPr="00981405">
        <w:t xml:space="preserve"> </w:t>
      </w:r>
      <w:r w:rsidRPr="00981405">
        <w:t>thus</w:t>
      </w:r>
      <w:r w:rsidR="00190923" w:rsidRPr="00981405">
        <w:t xml:space="preserve"> </w:t>
      </w:r>
      <w:r w:rsidRPr="00981405">
        <w:t>there</w:t>
      </w:r>
      <w:r w:rsidR="00190923" w:rsidRPr="00981405">
        <w:t xml:space="preserve"> </w:t>
      </w:r>
      <w:r w:rsidRPr="00981405">
        <w:t>was</w:t>
      </w:r>
      <w:r w:rsidR="00190923" w:rsidRPr="00981405">
        <w:t xml:space="preserve"> </w:t>
      </w:r>
      <w:r w:rsidRPr="00981405">
        <w:t>never</w:t>
      </w:r>
      <w:r w:rsidR="00190923" w:rsidRPr="00981405">
        <w:t xml:space="preserve"> </w:t>
      </w:r>
      <w:r w:rsidRPr="00981405">
        <w:t>agreement</w:t>
      </w:r>
      <w:r w:rsidR="00190923" w:rsidRPr="00981405">
        <w:t xml:space="preserve"> </w:t>
      </w:r>
      <w:r w:rsidRPr="00981405">
        <w:t>on</w:t>
      </w:r>
      <w:r w:rsidR="00190923" w:rsidRPr="00981405">
        <w:t xml:space="preserve"> </w:t>
      </w:r>
      <w:r w:rsidRPr="00981405">
        <w:t>whether</w:t>
      </w:r>
      <w:r w:rsidR="00190923" w:rsidRPr="00981405">
        <w:t xml:space="preserve"> </w:t>
      </w:r>
      <w:r w:rsidRPr="00981405">
        <w:t>to</w:t>
      </w:r>
      <w:r w:rsidR="00190923" w:rsidRPr="00981405">
        <w:t xml:space="preserve"> </w:t>
      </w:r>
      <w:r w:rsidRPr="00981405">
        <w:t>include</w:t>
      </w:r>
      <w:r w:rsidR="00190923" w:rsidRPr="00981405">
        <w:t xml:space="preserve"> </w:t>
      </w:r>
      <w:r w:rsidRPr="00981405">
        <w:t>the</w:t>
      </w:r>
      <w:r w:rsidR="00190923" w:rsidRPr="00981405">
        <w:t xml:space="preserve"> </w:t>
      </w:r>
      <w:r w:rsidRPr="00981405">
        <w:t>words</w:t>
      </w:r>
      <w:r w:rsidR="00190923" w:rsidRPr="00981405">
        <w:t xml:space="preserve"> </w:t>
      </w:r>
      <w:r w:rsidR="00B92E2C" w:rsidRPr="00981405">
        <w:t>“</w:t>
      </w:r>
      <w:r w:rsidRPr="00981405">
        <w:t>in</w:t>
      </w:r>
      <w:r w:rsidR="00190923" w:rsidRPr="00981405">
        <w:t xml:space="preserve"> </w:t>
      </w:r>
      <w:r w:rsidRPr="00981405">
        <w:t>like</w:t>
      </w:r>
      <w:r w:rsidR="00190923" w:rsidRPr="00981405">
        <w:t xml:space="preserve"> </w:t>
      </w:r>
      <w:r w:rsidRPr="00981405">
        <w:t>circumstances</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negotiating</w:t>
      </w:r>
      <w:r w:rsidR="00190923" w:rsidRPr="00981405">
        <w:t xml:space="preserve"> </w:t>
      </w:r>
      <w:r w:rsidRPr="00981405">
        <w:t>text.</w:t>
      </w:r>
      <w:r w:rsidR="00190923" w:rsidRPr="00981405">
        <w:t xml:space="preserve"> </w:t>
      </w:r>
      <w:r w:rsidRPr="00981405">
        <w:t>The</w:t>
      </w:r>
      <w:r w:rsidR="00190923" w:rsidRPr="00981405">
        <w:t xml:space="preserve"> </w:t>
      </w:r>
      <w:r w:rsidRPr="00981405">
        <w:t>practical</w:t>
      </w:r>
      <w:r w:rsidR="00190923" w:rsidRPr="00981405">
        <w:t xml:space="preserve"> </w:t>
      </w:r>
      <w:r w:rsidRPr="00981405">
        <w:t>importance</w:t>
      </w:r>
      <w:r w:rsidR="00190923" w:rsidRPr="00981405">
        <w:t xml:space="preserve"> </w:t>
      </w:r>
      <w:r w:rsidRPr="00981405">
        <w:t>of</w:t>
      </w:r>
      <w:r w:rsidR="00190923" w:rsidRPr="00981405">
        <w:t xml:space="preserve"> </w:t>
      </w:r>
      <w:r w:rsidRPr="00981405">
        <w:t>this</w:t>
      </w:r>
      <w:r w:rsidR="00190923" w:rsidRPr="00981405">
        <w:t xml:space="preserve"> </w:t>
      </w:r>
      <w:r w:rsidRPr="00981405">
        <w:t>issue</w:t>
      </w:r>
      <w:r w:rsidR="00190923" w:rsidRPr="00981405">
        <w:t xml:space="preserve"> </w:t>
      </w:r>
      <w:r w:rsidRPr="00981405">
        <w:t>is</w:t>
      </w:r>
      <w:r w:rsidR="00190923" w:rsidRPr="00981405">
        <w:t xml:space="preserve"> </w:t>
      </w:r>
      <w:r w:rsidRPr="00981405">
        <w:t>whether</w:t>
      </w:r>
      <w:r w:rsidR="00190923" w:rsidRPr="00981405">
        <w:t xml:space="preserve"> </w:t>
      </w:r>
      <w:r w:rsidRPr="00981405">
        <w:t>interpretations</w:t>
      </w:r>
      <w:r w:rsidR="00190923" w:rsidRPr="00981405">
        <w:t xml:space="preserve"> </w:t>
      </w:r>
      <w:r w:rsidRPr="00981405">
        <w:t>of</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contain</w:t>
      </w:r>
      <w:r w:rsidR="00190923" w:rsidRPr="00981405">
        <w:t xml:space="preserve"> </w:t>
      </w:r>
      <w:r w:rsidRPr="00981405">
        <w:t>the</w:t>
      </w:r>
      <w:r w:rsidR="00190923" w:rsidRPr="00981405">
        <w:t xml:space="preserve"> </w:t>
      </w:r>
      <w:r w:rsidRPr="00981405">
        <w:t>words</w:t>
      </w:r>
      <w:r w:rsidR="00190923" w:rsidRPr="00981405">
        <w:t xml:space="preserve"> </w:t>
      </w:r>
      <w:r w:rsidR="00B92E2C" w:rsidRPr="00981405">
        <w:t>“</w:t>
      </w:r>
      <w:r w:rsidRPr="00981405">
        <w:t>in</w:t>
      </w:r>
      <w:r w:rsidR="00190923" w:rsidRPr="00981405">
        <w:t xml:space="preserve"> </w:t>
      </w:r>
      <w:r w:rsidRPr="00981405">
        <w:t>like</w:t>
      </w:r>
      <w:r w:rsidR="00190923" w:rsidRPr="00981405">
        <w:t xml:space="preserve"> </w:t>
      </w:r>
      <w:r w:rsidRPr="00981405">
        <w:t>circumstances</w:t>
      </w:r>
      <w:r w:rsidR="00B92E2C" w:rsidRPr="00981405">
        <w:t>”</w:t>
      </w:r>
      <w:r w:rsidR="00190923" w:rsidRPr="00981405">
        <w:t xml:space="preserve"> </w:t>
      </w:r>
      <w:r w:rsidRPr="00981405">
        <w:t>are</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do</w:t>
      </w:r>
      <w:r w:rsidR="00190923" w:rsidRPr="00981405">
        <w:t xml:space="preserve"> </w:t>
      </w:r>
      <w:r w:rsidRPr="00981405">
        <w:t>not</w:t>
      </w:r>
      <w:r w:rsidR="00190923" w:rsidRPr="00981405">
        <w:t xml:space="preserve"> </w:t>
      </w:r>
      <w:r w:rsidRPr="00981405">
        <w:t>contain</w:t>
      </w:r>
      <w:r w:rsidR="00190923" w:rsidRPr="00981405">
        <w:t xml:space="preserve"> </w:t>
      </w:r>
      <w:r w:rsidRPr="00981405">
        <w:t>such</w:t>
      </w:r>
      <w:r w:rsidR="00190923" w:rsidRPr="00981405">
        <w:t xml:space="preserve"> </w:t>
      </w:r>
      <w:r w:rsidRPr="00981405">
        <w:t>terminology.</w:t>
      </w:r>
      <w:r w:rsidR="00190923" w:rsidRPr="00981405">
        <w:t xml:space="preserve"> </w:t>
      </w:r>
      <w:r w:rsidRPr="00981405">
        <w:t>As</w:t>
      </w:r>
      <w:r w:rsidR="00190923" w:rsidRPr="00981405">
        <w:t xml:space="preserve"> </w:t>
      </w:r>
      <w:r w:rsidRPr="00981405">
        <w:t>noted</w:t>
      </w:r>
      <w:r w:rsidR="00190923" w:rsidRPr="00981405">
        <w:t xml:space="preserve"> </w:t>
      </w:r>
      <w:r w:rsidRPr="00981405">
        <w:t>below,</w:t>
      </w:r>
      <w:r w:rsidR="00190923" w:rsidRPr="00981405">
        <w:t xml:space="preserve"> </w:t>
      </w:r>
      <w:r w:rsidRPr="00981405">
        <w:t>there</w:t>
      </w:r>
      <w:r w:rsidR="00190923" w:rsidRPr="00981405">
        <w:t xml:space="preserve"> </w:t>
      </w:r>
      <w:r w:rsidRPr="00981405">
        <w:t>are</w:t>
      </w:r>
      <w:r w:rsidR="00190923" w:rsidRPr="00981405">
        <w:t xml:space="preserve"> </w:t>
      </w:r>
      <w:r w:rsidRPr="00981405">
        <w:t>dangers</w:t>
      </w:r>
      <w:r w:rsidR="00190923" w:rsidRPr="00981405">
        <w:t xml:space="preserve"> </w:t>
      </w:r>
      <w:r w:rsidRPr="00981405">
        <w:t>in</w:t>
      </w:r>
      <w:r w:rsidR="00190923" w:rsidRPr="00981405">
        <w:t xml:space="preserve"> </w:t>
      </w:r>
      <w:r w:rsidRPr="00981405">
        <w:t>adopting</w:t>
      </w:r>
      <w:r w:rsidR="00190923" w:rsidRPr="00981405">
        <w:t xml:space="preserve"> </w:t>
      </w:r>
      <w:r w:rsidRPr="00981405">
        <w:t>interpretations</w:t>
      </w:r>
      <w:r w:rsidR="00190923" w:rsidRPr="00981405">
        <w:t xml:space="preserve"> </w:t>
      </w:r>
      <w:r w:rsidRPr="00981405">
        <w:t>of</w:t>
      </w:r>
      <w:r w:rsidR="00190923" w:rsidRPr="00981405">
        <w:t xml:space="preserve"> </w:t>
      </w:r>
      <w:r w:rsidRPr="00981405">
        <w:t>one</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as</w:t>
      </w:r>
      <w:r w:rsidR="00190923" w:rsidRPr="00981405">
        <w:t xml:space="preserve"> </w:t>
      </w:r>
      <w:r w:rsidRPr="00981405">
        <w:t>applicable</w:t>
      </w:r>
      <w:r w:rsidR="00190923" w:rsidRPr="00981405">
        <w:t xml:space="preserve"> </w:t>
      </w:r>
      <w:r w:rsidRPr="00981405">
        <w:t>automatically</w:t>
      </w:r>
      <w:r w:rsidR="00190923" w:rsidRPr="00981405">
        <w:t xml:space="preserve"> </w:t>
      </w:r>
      <w:r w:rsidRPr="00981405">
        <w:t>to</w:t>
      </w:r>
      <w:r w:rsidR="00190923" w:rsidRPr="00981405">
        <w:t xml:space="preserve"> </w:t>
      </w:r>
      <w:r w:rsidRPr="00981405">
        <w:t>other</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this</w:t>
      </w:r>
      <w:r w:rsidR="00190923" w:rsidRPr="00981405">
        <w:t xml:space="preserve"> </w:t>
      </w:r>
      <w:r w:rsidRPr="00981405">
        <w:t>is</w:t>
      </w:r>
      <w:r w:rsidR="00190923" w:rsidRPr="00981405">
        <w:t xml:space="preserve"> </w:t>
      </w:r>
      <w:r w:rsidRPr="00981405">
        <w:t>even</w:t>
      </w:r>
      <w:r w:rsidR="00190923" w:rsidRPr="00981405">
        <w:t xml:space="preserve"> </w:t>
      </w:r>
      <w:r w:rsidRPr="00981405">
        <w:t>more</w:t>
      </w:r>
      <w:r w:rsidR="00190923" w:rsidRPr="00981405">
        <w:t xml:space="preserve"> </w:t>
      </w:r>
      <w:r w:rsidRPr="00981405">
        <w:t>so</w:t>
      </w:r>
      <w:r w:rsidR="00190923" w:rsidRPr="00981405">
        <w:t xml:space="preserve"> </w:t>
      </w:r>
      <w:r w:rsidRPr="00981405">
        <w:t>where</w:t>
      </w:r>
      <w:r w:rsidR="00190923" w:rsidRPr="00981405">
        <w:t xml:space="preserve"> </w:t>
      </w:r>
      <w:r w:rsidRPr="00981405">
        <w:t>the</w:t>
      </w:r>
      <w:r w:rsidR="00190923" w:rsidRPr="00981405">
        <w:t xml:space="preserve"> </w:t>
      </w:r>
      <w:r w:rsidRPr="00981405">
        <w:t>wording</w:t>
      </w:r>
      <w:r w:rsidR="00190923" w:rsidRPr="00981405">
        <w:t xml:space="preserve"> </w:t>
      </w:r>
      <w:r w:rsidRPr="00981405">
        <w:t>of</w:t>
      </w:r>
      <w:r w:rsidR="00190923" w:rsidRPr="00981405">
        <w:t xml:space="preserve"> </w:t>
      </w:r>
      <w:r w:rsidRPr="00981405">
        <w:t>the</w:t>
      </w:r>
      <w:r w:rsidR="00190923" w:rsidRPr="00981405">
        <w:t xml:space="preserve"> </w:t>
      </w:r>
      <w:r w:rsidRPr="00981405">
        <w:t>two</w:t>
      </w:r>
      <w:r w:rsidR="00190923" w:rsidRPr="00981405">
        <w:t xml:space="preserve"> </w:t>
      </w:r>
      <w:r w:rsidRPr="00981405">
        <w:t>agreements</w:t>
      </w:r>
      <w:r w:rsidR="00190923" w:rsidRPr="00981405">
        <w:t xml:space="preserve"> </w:t>
      </w:r>
      <w:r w:rsidRPr="00981405">
        <w:t>is</w:t>
      </w:r>
      <w:r w:rsidR="00190923" w:rsidRPr="00981405">
        <w:t xml:space="preserve"> </w:t>
      </w:r>
      <w:r w:rsidRPr="00981405">
        <w:t>different.</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bookmarkStart w:id="234" w:name="_Toc293434161"/>
      <w:bookmarkStart w:id="235" w:name="_Toc294353675"/>
      <w:r w:rsidRPr="00D97463">
        <w:tab/>
      </w:r>
      <w:bookmarkStart w:id="236" w:name="_Toc427938176"/>
      <w:r w:rsidRPr="00D97463">
        <w:t>2.</w:t>
      </w:r>
      <w:r w:rsidRPr="00D97463">
        <w:tab/>
        <w:t>What</w:t>
      </w:r>
      <w:r w:rsidR="00190923" w:rsidRPr="00D97463">
        <w:t xml:space="preserve"> </w:t>
      </w:r>
      <w:r w:rsidRPr="00D97463">
        <w:t>constitutes</w:t>
      </w:r>
      <w:r w:rsidR="00190923" w:rsidRPr="00D97463">
        <w:t xml:space="preserve"> </w:t>
      </w:r>
      <w:r w:rsidRPr="00D97463">
        <w:t>treatment</w:t>
      </w:r>
      <w:r w:rsidR="00190923" w:rsidRPr="00D97463">
        <w:t xml:space="preserve"> </w:t>
      </w:r>
      <w:r w:rsidRPr="00D97463">
        <w:t>that</w:t>
      </w:r>
      <w:r w:rsidR="00190923" w:rsidRPr="00D97463">
        <w:t xml:space="preserve"> </w:t>
      </w:r>
      <w:r w:rsidRPr="00D97463">
        <w:t>is</w:t>
      </w:r>
      <w:r w:rsidR="00190923" w:rsidRPr="00D97463">
        <w:t xml:space="preserve"> </w:t>
      </w:r>
      <w:r w:rsidR="00B92E2C" w:rsidRPr="00D97463">
        <w:t>“</w:t>
      </w:r>
      <w:r w:rsidRPr="00D97463">
        <w:t>no</w:t>
      </w:r>
      <w:r w:rsidR="00190923" w:rsidRPr="00D97463">
        <w:t xml:space="preserve"> </w:t>
      </w:r>
      <w:r w:rsidRPr="00D97463">
        <w:t>less</w:t>
      </w:r>
      <w:r w:rsidR="00190923" w:rsidRPr="00D97463">
        <w:t xml:space="preserve"> </w:t>
      </w:r>
      <w:r w:rsidRPr="00D97463">
        <w:t>favourable</w:t>
      </w:r>
      <w:r w:rsidR="00B92E2C" w:rsidRPr="00D97463">
        <w:t>”</w:t>
      </w:r>
      <w:r w:rsidRPr="00D97463">
        <w:t>?</w:t>
      </w:r>
      <w:bookmarkEnd w:id="234"/>
      <w:bookmarkEnd w:id="235"/>
      <w:bookmarkEnd w:id="236"/>
    </w:p>
    <w:p w:rsidR="00397032" w:rsidRPr="00D97463" w:rsidRDefault="00397032" w:rsidP="00D97463">
      <w:pPr>
        <w:pStyle w:val="SingleTxt"/>
        <w:spacing w:after="0" w:line="120" w:lineRule="exact"/>
        <w:rPr>
          <w:rFonts w:eastAsia="SimSun"/>
          <w:sz w:val="10"/>
        </w:rPr>
      </w:pPr>
    </w:p>
    <w:p w:rsidR="00397032" w:rsidRPr="00981405" w:rsidRDefault="00397032" w:rsidP="00D97463">
      <w:pPr>
        <w:pStyle w:val="SingleTxt"/>
        <w:rPr>
          <w:rFonts w:eastAsia="SimSun"/>
        </w:rPr>
      </w:pPr>
      <w:r w:rsidRPr="00981405">
        <w:rPr>
          <w:rFonts w:eastAsia="SimSun"/>
        </w:rPr>
        <w:t>74.</w:t>
      </w:r>
      <w:r w:rsidRPr="00981405">
        <w:rPr>
          <w:rFonts w:eastAsia="SimSun"/>
        </w:rPr>
        <w:tab/>
        <w:t>The</w:t>
      </w:r>
      <w:r w:rsidR="00190923" w:rsidRPr="00981405">
        <w:rPr>
          <w:rFonts w:eastAsia="SimSun"/>
        </w:rPr>
        <w:t xml:space="preserve"> </w:t>
      </w:r>
      <w:r w:rsidRPr="00981405">
        <w:rPr>
          <w:rFonts w:eastAsia="SimSun"/>
        </w:rPr>
        <w:t>second</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issue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determining</w:t>
      </w:r>
      <w:r w:rsidR="00190923" w:rsidRPr="00981405">
        <w:rPr>
          <w:rFonts w:eastAsia="SimSun"/>
        </w:rPr>
        <w:t xml:space="preserve"> </w:t>
      </w:r>
      <w:r w:rsidRPr="00981405">
        <w:rPr>
          <w:rFonts w:eastAsia="SimSun"/>
        </w:rPr>
        <w:t>what</w:t>
      </w:r>
      <w:r w:rsidR="00190923" w:rsidRPr="00981405">
        <w:rPr>
          <w:rFonts w:eastAsia="SimSun"/>
        </w:rPr>
        <w:t xml:space="preserve"> </w:t>
      </w:r>
      <w:r w:rsidRPr="00981405">
        <w:rPr>
          <w:rFonts w:eastAsia="SimSun"/>
        </w:rPr>
        <w:t>constitutes</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is</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little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say</w:t>
      </w:r>
      <w:r w:rsidR="00190923" w:rsidRPr="00981405">
        <w:rPr>
          <w:rFonts w:eastAsia="SimSun"/>
        </w:rPr>
        <w:t xml:space="preserve"> </w:t>
      </w:r>
      <w:r w:rsidRPr="00981405">
        <w:rPr>
          <w:rFonts w:eastAsia="SimSun"/>
        </w:rPr>
        <w:t>about</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apart</w:t>
      </w:r>
      <w:r w:rsidR="00190923" w:rsidRPr="00981405">
        <w:rPr>
          <w:rFonts w:eastAsia="SimSun"/>
        </w:rPr>
        <w:t xml:space="preserve"> </w:t>
      </w:r>
      <w:r w:rsidRPr="00981405">
        <w:rPr>
          <w:rFonts w:eastAsia="SimSun"/>
        </w:rPr>
        <w:t>from</w:t>
      </w:r>
      <w:r w:rsidR="00190923" w:rsidRPr="00981405">
        <w:rPr>
          <w:rFonts w:eastAsia="SimSun"/>
        </w:rPr>
        <w:t xml:space="preserve"> </w:t>
      </w:r>
      <w:r w:rsidRPr="00981405">
        <w:rPr>
          <w:rFonts w:eastAsia="SimSun"/>
        </w:rPr>
        <w:t>explaining</w:t>
      </w:r>
      <w:r w:rsidR="00190923" w:rsidRPr="00981405">
        <w:rPr>
          <w:rFonts w:eastAsia="SimSun"/>
        </w:rPr>
        <w:t xml:space="preserve"> </w:t>
      </w:r>
      <w:r w:rsidRPr="00981405">
        <w:rPr>
          <w:rFonts w:eastAsia="SimSun"/>
        </w:rPr>
        <w:t>why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term</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used</w:t>
      </w:r>
      <w:r w:rsidR="00190923" w:rsidRPr="00981405">
        <w:rPr>
          <w:rFonts w:eastAsia="SimSun"/>
        </w:rPr>
        <w:t xml:space="preserve"> </w:t>
      </w:r>
      <w:r w:rsidRPr="00981405">
        <w:rPr>
          <w:rFonts w:eastAsia="SimSun"/>
        </w:rPr>
        <w:t>rather</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term</w:t>
      </w:r>
      <w:r w:rsidR="00190923" w:rsidRPr="00981405">
        <w:rPr>
          <w:rFonts w:eastAsia="SimSun"/>
        </w:rPr>
        <w:t xml:space="preserve"> </w:t>
      </w:r>
      <w:r w:rsidR="00B92E2C" w:rsidRPr="00981405">
        <w:rPr>
          <w:rFonts w:eastAsia="SimSun"/>
        </w:rPr>
        <w:t>“</w:t>
      </w:r>
      <w:r w:rsidRPr="00981405">
        <w:rPr>
          <w:rFonts w:eastAsia="SimSun"/>
        </w:rPr>
        <w:t>equal</w:t>
      </w:r>
      <w:r w:rsidR="00B92E2C" w:rsidRPr="00981405">
        <w:rPr>
          <w:rFonts w:eastAsia="SimSun"/>
        </w:rPr>
        <w: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could</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190923" w:rsidRPr="00981405">
        <w:rPr>
          <w:rFonts w:eastAsia="SimSun"/>
        </w:rPr>
        <w:t xml:space="preserve"> </w:t>
      </w:r>
      <w:r w:rsidRPr="00981405">
        <w:rPr>
          <w:rFonts w:eastAsia="SimSun"/>
        </w:rPr>
        <w:t>if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comparator</w:t>
      </w:r>
      <w:r w:rsidR="00190923" w:rsidRPr="00981405">
        <w:rPr>
          <w:rFonts w:eastAsia="SimSun"/>
        </w:rPr>
        <w:t xml:space="preserve"> </w:t>
      </w:r>
      <w:r w:rsidRPr="00981405">
        <w:rPr>
          <w:rFonts w:eastAsia="SimSun"/>
        </w:rPr>
        <w:t>does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actually</w:t>
      </w:r>
      <w:r w:rsidR="00190923" w:rsidRPr="00981405">
        <w:rPr>
          <w:rFonts w:eastAsia="SimSun"/>
        </w:rPr>
        <w:t xml:space="preserve"> </w:t>
      </w:r>
      <w:r w:rsidRPr="00981405">
        <w:rPr>
          <w:rFonts w:eastAsia="SimSun"/>
        </w:rPr>
        <w:t>receive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but</w:t>
      </w:r>
      <w:r w:rsidR="00190923" w:rsidRPr="00981405">
        <w:rPr>
          <w:rFonts w:eastAsia="SimSun"/>
        </w:rPr>
        <w:t xml:space="preserve"> </w:t>
      </w:r>
      <w:r w:rsidRPr="00981405">
        <w:rPr>
          <w:rFonts w:eastAsia="SimSun"/>
        </w:rPr>
        <w:t>nonetheless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entitled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receive</w:t>
      </w:r>
      <w:r w:rsidR="00190923" w:rsidRPr="00981405">
        <w:rPr>
          <w:rFonts w:eastAsia="SimSun"/>
        </w:rPr>
        <w:t xml:space="preserve"> </w:t>
      </w:r>
      <w:r w:rsidRPr="00981405">
        <w:rPr>
          <w:rFonts w:eastAsia="SimSun"/>
        </w:rPr>
        <w:t>it.</w:t>
      </w:r>
      <w:r w:rsidRPr="00981405">
        <w:rPr>
          <w:rStyle w:val="FootnoteReference"/>
        </w:rPr>
        <w:footnoteReference w:id="483"/>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extent,</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related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issue,</w:t>
      </w:r>
      <w:r w:rsidR="00190923" w:rsidRPr="00981405">
        <w:rPr>
          <w:rFonts w:eastAsia="SimSun"/>
        </w:rPr>
        <w:t xml:space="preserve"> </w:t>
      </w:r>
      <w:r w:rsidRPr="00981405">
        <w:rPr>
          <w:rFonts w:eastAsia="SimSun"/>
        </w:rPr>
        <w:t>determining</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treatment.</w:t>
      </w:r>
    </w:p>
    <w:p w:rsidR="00397032" w:rsidRPr="00981405" w:rsidRDefault="00397032" w:rsidP="00D97463">
      <w:pPr>
        <w:pStyle w:val="SingleTxt"/>
        <w:rPr>
          <w:rFonts w:eastAsia="SimSun"/>
        </w:rPr>
      </w:pPr>
      <w:r w:rsidRPr="00981405">
        <w:rPr>
          <w:rFonts w:eastAsia="SimSun"/>
        </w:rPr>
        <w:lastRenderedPageBreak/>
        <w:t>75.</w:t>
      </w:r>
      <w:r w:rsidRPr="00981405">
        <w:rPr>
          <w:rFonts w:eastAsia="SimSun"/>
        </w:rPr>
        <w:tab/>
        <w:t>One</w:t>
      </w:r>
      <w:r w:rsidR="00190923" w:rsidRPr="00981405">
        <w:rPr>
          <w:rFonts w:eastAsia="SimSun"/>
        </w:rPr>
        <w:t xml:space="preserve"> </w:t>
      </w:r>
      <w:r w:rsidRPr="00981405">
        <w:rPr>
          <w:rFonts w:eastAsia="SimSun"/>
        </w:rPr>
        <w:t>view</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granting</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desire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beneficiary</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ensure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equality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competitive</w:t>
      </w:r>
      <w:r w:rsidR="00190923" w:rsidRPr="00981405">
        <w:rPr>
          <w:rFonts w:eastAsia="SimSun"/>
        </w:rPr>
        <w:t xml:space="preserve"> </w:t>
      </w:r>
      <w:r w:rsidRPr="00981405">
        <w:rPr>
          <w:rFonts w:eastAsia="SimSun"/>
        </w:rPr>
        <w:t>opportunities</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own</w:t>
      </w:r>
      <w:r w:rsidR="00190923" w:rsidRPr="00981405">
        <w:rPr>
          <w:rFonts w:eastAsia="SimSun"/>
        </w:rPr>
        <w:t xml:space="preserve"> </w:t>
      </w:r>
      <w:r w:rsidRPr="00981405">
        <w:rPr>
          <w:rFonts w:eastAsia="SimSun"/>
        </w:rPr>
        <w:t>nationals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States.</w:t>
      </w:r>
      <w:r w:rsidRPr="00981405">
        <w:rPr>
          <w:rStyle w:val="FootnoteReference"/>
        </w:rPr>
        <w:footnoteReference w:id="484"/>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providing</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trade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goods</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GATT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WTO,</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same</w:t>
      </w:r>
      <w:r w:rsidR="00190923" w:rsidRPr="00981405">
        <w:rPr>
          <w:rFonts w:eastAsia="SimSun"/>
        </w:rPr>
        <w:t xml:space="preserve"> </w:t>
      </w:r>
      <w:r w:rsidRPr="00981405">
        <w:rPr>
          <w:rFonts w:eastAsia="SimSun"/>
        </w:rPr>
        <w:t>rationale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fundamental</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investors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their</w:t>
      </w:r>
      <w:r w:rsidR="00190923" w:rsidRPr="00981405">
        <w:rPr>
          <w:rFonts w:eastAsia="SimSun"/>
        </w:rPr>
        <w:t xml:space="preserve"> </w:t>
      </w:r>
      <w:r w:rsidRPr="00981405">
        <w:rPr>
          <w:rFonts w:eastAsia="SimSun"/>
        </w:rPr>
        <w:t>investments.</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alternative</w:t>
      </w:r>
      <w:r w:rsidR="00190923" w:rsidRPr="00981405">
        <w:rPr>
          <w:rFonts w:eastAsia="SimSun"/>
        </w:rPr>
        <w:t xml:space="preserve"> </w:t>
      </w:r>
      <w:r w:rsidRPr="00981405">
        <w:rPr>
          <w:rFonts w:eastAsia="SimSun"/>
        </w:rPr>
        <w:t>view</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objective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recognize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give</w:t>
      </w:r>
      <w:r w:rsidR="00190923" w:rsidRPr="00981405">
        <w:rPr>
          <w:rFonts w:eastAsia="SimSun"/>
        </w:rPr>
        <w:t xml:space="preserve"> </w:t>
      </w:r>
      <w:r w:rsidRPr="00981405">
        <w:rPr>
          <w:rFonts w:eastAsia="SimSun"/>
        </w:rPr>
        <w:t>effect</w:t>
      </w:r>
      <w:r w:rsidR="00190923" w:rsidRPr="00981405">
        <w:rPr>
          <w:rFonts w:eastAsia="SimSun"/>
        </w:rPr>
        <w:t xml:space="preserve"> </w:t>
      </w:r>
      <w:r w:rsidRPr="00981405">
        <w:rPr>
          <w:rFonts w:eastAsia="SimSun"/>
        </w:rPr>
        <w:t>to</w:t>
      </w:r>
      <w:r w:rsidR="00190923" w:rsidRPr="00981405">
        <w:rPr>
          <w:rFonts w:eastAsia="SimSun"/>
        </w:rPr>
        <w:t xml:space="preserve"> </w:t>
      </w:r>
      <w:r w:rsidR="00B92E2C" w:rsidRPr="00981405">
        <w:rPr>
          <w:rFonts w:eastAsia="SimSun"/>
        </w:rPr>
        <w:t>“</w:t>
      </w:r>
      <w:r w:rsidRPr="00981405">
        <w:rPr>
          <w:rFonts w:eastAsia="SimSun"/>
        </w:rPr>
        <w:t>rights</w:t>
      </w:r>
      <w:r w:rsidR="00B92E2C" w:rsidRPr="00981405">
        <w:rPr>
          <w:rFonts w:eastAsia="SimSun"/>
        </w:rPr>
        <w: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investors.</w:t>
      </w:r>
      <w:r w:rsidR="00B92E2C" w:rsidRPr="00981405">
        <w:rPr>
          <w:rFonts w:eastAsia="SimSun"/>
        </w:rPr>
        <w:t>”</w:t>
      </w:r>
      <w:r w:rsidRPr="00981405">
        <w:rPr>
          <w:rStyle w:val="FootnoteReference"/>
        </w:rPr>
        <w:footnoteReference w:id="485"/>
      </w:r>
      <w:r w:rsidR="00190923" w:rsidRPr="00981405">
        <w:rPr>
          <w:rFonts w:eastAsia="SimSun"/>
        </w:rPr>
        <w:t xml:space="preserve"> </w:t>
      </w:r>
      <w:r w:rsidRPr="00981405">
        <w:rPr>
          <w:rFonts w:eastAsia="SimSun"/>
        </w:rPr>
        <w:t>Even</w:t>
      </w:r>
      <w:r w:rsidR="00190923" w:rsidRPr="00981405">
        <w:rPr>
          <w:rFonts w:eastAsia="SimSun"/>
        </w:rPr>
        <w:t xml:space="preserve"> </w:t>
      </w:r>
      <w:r w:rsidRPr="00981405">
        <w:rPr>
          <w:rFonts w:eastAsia="SimSun"/>
        </w:rPr>
        <w:t>so,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purpose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w:t>
      </w:r>
      <w:r w:rsidR="00190923" w:rsidRPr="00981405">
        <w:rPr>
          <w:rFonts w:eastAsia="SimSun"/>
        </w:rPr>
        <w:t xml:space="preserve"> </w:t>
      </w:r>
      <w:r w:rsidR="00B92E2C" w:rsidRPr="00981405">
        <w:rPr>
          <w:rFonts w:eastAsia="SimSun"/>
        </w:rPr>
        <w:t>“</w:t>
      </w:r>
      <w:r w:rsidRPr="00981405">
        <w:rPr>
          <w:rFonts w:eastAsia="SimSun"/>
        </w:rPr>
        <w:t>right</w:t>
      </w:r>
      <w:r w:rsidR="00B92E2C" w:rsidRPr="00981405">
        <w:rPr>
          <w:rFonts w:eastAsia="SimSun"/>
        </w:rPr>
        <w: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context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ensure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investor</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equality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competitive</w:t>
      </w:r>
      <w:r w:rsidR="00190923" w:rsidRPr="00981405">
        <w:rPr>
          <w:rFonts w:eastAsia="SimSun"/>
        </w:rPr>
        <w:t xml:space="preserve"> </w:t>
      </w:r>
      <w:r w:rsidRPr="00981405">
        <w:rPr>
          <w:rFonts w:eastAsia="SimSun"/>
        </w:rPr>
        <w:t>opportunities</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foreign</w:t>
      </w:r>
      <w:r w:rsidR="00190923" w:rsidRPr="00981405">
        <w:rPr>
          <w:rFonts w:eastAsia="SimSun"/>
        </w:rPr>
        <w:t xml:space="preserve"> </w:t>
      </w:r>
      <w:r w:rsidRPr="00981405">
        <w:rPr>
          <w:rFonts w:eastAsia="SimSun"/>
        </w:rPr>
        <w:t>investors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nationals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case</w:t>
      </w:r>
      <w:r w:rsidR="00190923" w:rsidRPr="00981405">
        <w:rPr>
          <w:rFonts w:eastAsia="SimSun"/>
        </w:rPr>
        <w:t xml:space="preserve"> </w:t>
      </w:r>
      <w:r w:rsidRPr="00981405">
        <w:rPr>
          <w:rFonts w:eastAsia="SimSun"/>
        </w:rPr>
        <w:t>may</w:t>
      </w:r>
      <w:r w:rsidR="00190923" w:rsidRPr="00981405">
        <w:rPr>
          <w:rFonts w:eastAsia="SimSun"/>
        </w:rPr>
        <w:t xml:space="preserve"> </w:t>
      </w:r>
      <w:r w:rsidRPr="00981405">
        <w:rPr>
          <w:rFonts w:eastAsia="SimSun"/>
        </w:rPr>
        <w:t>be.</w:t>
      </w:r>
    </w:p>
    <w:p w:rsidR="00397032" w:rsidRPr="00981405" w:rsidRDefault="00397032" w:rsidP="00D97463">
      <w:pPr>
        <w:pStyle w:val="SingleTxt"/>
        <w:rPr>
          <w:rFonts w:eastAsia="SimSun"/>
        </w:rPr>
      </w:pPr>
      <w:r w:rsidRPr="00981405">
        <w:rPr>
          <w:rFonts w:eastAsia="SimSun"/>
        </w:rPr>
        <w:t>76.</w:t>
      </w:r>
      <w:r w:rsidRPr="00981405">
        <w:rPr>
          <w:rFonts w:eastAsia="SimSun"/>
        </w:rPr>
        <w:tab/>
        <w:t>Where</w:t>
      </w:r>
      <w:r w:rsidR="00190923" w:rsidRPr="00981405">
        <w:rPr>
          <w:rFonts w:eastAsia="SimSun"/>
        </w:rPr>
        <w:t xml:space="preserve"> </w:t>
      </w:r>
      <w:r w:rsidRPr="00981405">
        <w:rPr>
          <w:rFonts w:eastAsia="SimSun"/>
        </w:rPr>
        <w:t>the</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provides</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link</w:t>
      </w:r>
      <w:r w:rsidR="00190923" w:rsidRPr="00981405">
        <w:rPr>
          <w:rFonts w:eastAsia="SimSun"/>
        </w:rPr>
        <w:t xml:space="preserve"> </w:t>
      </w:r>
      <w:r w:rsidRPr="00981405">
        <w:rPr>
          <w:rFonts w:eastAsia="SimSun"/>
        </w:rPr>
        <w:t>with</w:t>
      </w:r>
      <w:r w:rsidR="00190923" w:rsidRPr="00981405">
        <w:rPr>
          <w:rFonts w:eastAsia="SimSun"/>
        </w:rPr>
        <w:t xml:space="preserve"> </w:t>
      </w:r>
      <w:r w:rsidR="00B92E2C" w:rsidRPr="00981405">
        <w:rPr>
          <w:rFonts w:eastAsia="SimSun"/>
        </w:rPr>
        <w:t>“</w:t>
      </w:r>
      <w:r w:rsidRPr="00981405">
        <w:rPr>
          <w:rFonts w:eastAsia="SimSun"/>
        </w:rPr>
        <w:t>national</w:t>
      </w:r>
      <w:r w:rsidR="00190923" w:rsidRPr="00981405">
        <w:rPr>
          <w:rFonts w:eastAsia="SimSun"/>
        </w:rPr>
        <w:t xml:space="preserve"> </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granting</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agrees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treatment</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provides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own</w:t>
      </w:r>
      <w:r w:rsidR="00190923" w:rsidRPr="00981405">
        <w:rPr>
          <w:rFonts w:eastAsia="SimSun"/>
        </w:rPr>
        <w:t xml:space="preserve"> </w:t>
      </w:r>
      <w:r w:rsidRPr="00981405">
        <w:rPr>
          <w:rFonts w:eastAsia="SimSun"/>
        </w:rPr>
        <w:t>nationals.</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same</w:t>
      </w:r>
      <w:r w:rsidR="00190923" w:rsidRPr="00981405">
        <w:rPr>
          <w:rFonts w:eastAsia="SimSun"/>
        </w:rPr>
        <w:t xml:space="preserve"> </w:t>
      </w:r>
      <w:r w:rsidRPr="00D97463">
        <w:rPr>
          <w:rFonts w:eastAsia="SimSun"/>
          <w:i/>
          <w:iCs/>
        </w:rPr>
        <w:t>ejusdem</w:t>
      </w:r>
      <w:r w:rsidR="00190923" w:rsidRPr="00D97463">
        <w:rPr>
          <w:rFonts w:eastAsia="SimSun"/>
          <w:i/>
          <w:iCs/>
        </w:rPr>
        <w:t xml:space="preserve"> </w:t>
      </w:r>
      <w:r w:rsidRPr="00D97463">
        <w:rPr>
          <w:rFonts w:eastAsia="SimSun"/>
          <w:i/>
          <w:iCs/>
        </w:rPr>
        <w:t>generis</w:t>
      </w:r>
      <w:r w:rsidR="00190923" w:rsidRPr="00981405">
        <w:rPr>
          <w:rFonts w:eastAsia="SimSun"/>
        </w:rPr>
        <w:t xml:space="preserve"> </w:t>
      </w:r>
      <w:r w:rsidRPr="00981405">
        <w:rPr>
          <w:rFonts w:eastAsia="SimSun"/>
        </w:rPr>
        <w:t>problem</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determining</w:t>
      </w:r>
      <w:r w:rsidR="00190923" w:rsidRPr="00981405">
        <w:rPr>
          <w:rFonts w:eastAsia="SimSun"/>
        </w:rPr>
        <w:t xml:space="preserve"> </w:t>
      </w:r>
      <w:r w:rsidRPr="00981405">
        <w:rPr>
          <w:rFonts w:eastAsia="SimSun"/>
        </w:rPr>
        <w:t>sufficient</w:t>
      </w:r>
      <w:r w:rsidR="00190923" w:rsidRPr="00981405">
        <w:rPr>
          <w:rFonts w:eastAsia="SimSun"/>
        </w:rPr>
        <w:t xml:space="preserve"> </w:t>
      </w:r>
      <w:r w:rsidRPr="00981405">
        <w:rPr>
          <w:rFonts w:eastAsia="SimSun"/>
        </w:rPr>
        <w:t>similarity</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subject</w:t>
      </w:r>
      <w:r w:rsidR="00190923" w:rsidRPr="00981405">
        <w:rPr>
          <w:rFonts w:eastAsia="SimSun"/>
        </w:rPr>
        <w:t xml:space="preserve"> </w:t>
      </w:r>
      <w:r w:rsidRPr="00981405">
        <w:rPr>
          <w:rFonts w:eastAsia="SimSun"/>
        </w:rPr>
        <w:t>matters.</w:t>
      </w:r>
      <w:r w:rsidR="00190923" w:rsidRPr="00981405">
        <w:rPr>
          <w:rFonts w:eastAsia="SimSun"/>
        </w:rPr>
        <w:t xml:space="preserve"> </w:t>
      </w:r>
      <w:r w:rsidRPr="00981405">
        <w:rPr>
          <w:rFonts w:eastAsia="SimSun"/>
        </w:rPr>
        <w:t>Equally,</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like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often</w:t>
      </w:r>
      <w:r w:rsidR="00190923" w:rsidRPr="00981405">
        <w:rPr>
          <w:rFonts w:eastAsia="SimSun"/>
        </w:rPr>
        <w:t xml:space="preserve"> </w:t>
      </w:r>
      <w:r w:rsidRPr="00981405">
        <w:rPr>
          <w:rFonts w:eastAsia="SimSun"/>
        </w:rPr>
        <w:t>use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term</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like</w:t>
      </w:r>
      <w:r w:rsidR="00190923" w:rsidRPr="00981405">
        <w:rPr>
          <w:rFonts w:eastAsia="SimSun"/>
        </w:rPr>
        <w:t xml:space="preserve"> </w:t>
      </w:r>
      <w:r w:rsidRPr="00981405">
        <w:rPr>
          <w:rFonts w:eastAsia="SimSun"/>
        </w:rPr>
        <w:t>circumstances</w:t>
      </w:r>
      <w:r w:rsidR="00B92E2C" w:rsidRPr="00981405">
        <w:rPr>
          <w:rFonts w:eastAsia="SimSun"/>
        </w:rPr>
        <w:t>”</w:t>
      </w:r>
      <w:r w:rsidR="00190923" w:rsidRPr="00981405">
        <w:rPr>
          <w:rFonts w:eastAsia="SimSun"/>
        </w:rPr>
        <w:t xml:space="preserve"> </w:t>
      </w:r>
      <w:r w:rsidRPr="00981405">
        <w:rPr>
          <w:rFonts w:eastAsia="SimSun"/>
        </w:rPr>
        <w:t>or</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similar</w:t>
      </w:r>
      <w:r w:rsidR="00190923" w:rsidRPr="00981405">
        <w:rPr>
          <w:rFonts w:eastAsia="SimSun"/>
        </w:rPr>
        <w:t xml:space="preserve"> </w:t>
      </w:r>
      <w:r w:rsidRPr="00981405">
        <w:rPr>
          <w:rFonts w:eastAsia="SimSun"/>
        </w:rPr>
        <w:t>situations</w:t>
      </w:r>
      <w:r w:rsidR="00B92E2C" w:rsidRPr="00981405">
        <w:rPr>
          <w:rFonts w:eastAsia="SimSun"/>
        </w:rPr>
        <w: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define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entitlement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beneficiary</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Thus,</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give</w:t>
      </w:r>
      <w:r w:rsidR="00190923" w:rsidRPr="00981405">
        <w:rPr>
          <w:rFonts w:eastAsia="SimSun"/>
        </w:rPr>
        <w:t xml:space="preserve"> </w:t>
      </w:r>
      <w:r w:rsidRPr="00981405">
        <w:rPr>
          <w:rFonts w:eastAsia="SimSun"/>
        </w:rPr>
        <w:t>rise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similar</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questions.</w:t>
      </w:r>
    </w:p>
    <w:p w:rsidR="00397032" w:rsidRPr="00981405" w:rsidRDefault="00397032" w:rsidP="00D97463">
      <w:pPr>
        <w:pStyle w:val="SingleTxt"/>
        <w:rPr>
          <w:rFonts w:eastAsia="SimSun"/>
        </w:rPr>
      </w:pPr>
      <w:r w:rsidRPr="00981405">
        <w:rPr>
          <w:rFonts w:eastAsia="SimSun"/>
        </w:rPr>
        <w:t>77.</w:t>
      </w:r>
      <w:r w:rsidRPr="00981405">
        <w:rPr>
          <w:rFonts w:eastAsia="SimSun"/>
        </w:rPr>
        <w:tab/>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little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say</w:t>
      </w:r>
      <w:r w:rsidR="00190923" w:rsidRPr="00981405">
        <w:rPr>
          <w:rFonts w:eastAsia="SimSun"/>
        </w:rPr>
        <w:t xml:space="preserve"> </w:t>
      </w:r>
      <w:r w:rsidRPr="00981405">
        <w:rPr>
          <w:rFonts w:eastAsia="SimSun"/>
        </w:rPr>
        <w:t>about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link</w:t>
      </w:r>
      <w:r w:rsidR="00190923" w:rsidRPr="00981405">
        <w:rPr>
          <w:rFonts w:eastAsia="SimSun"/>
        </w:rPr>
        <w:t xml:space="preserve"> </w:t>
      </w:r>
      <w:r w:rsidRPr="00981405">
        <w:rPr>
          <w:rFonts w:eastAsia="SimSun"/>
        </w:rPr>
        <w:t>between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two</w:t>
      </w:r>
      <w:r w:rsidR="00190923" w:rsidRPr="00981405">
        <w:rPr>
          <w:rFonts w:eastAsia="SimSun"/>
        </w:rPr>
        <w:t xml:space="preserve"> </w:t>
      </w:r>
      <w:r w:rsidRPr="00981405">
        <w:rPr>
          <w:rFonts w:eastAsia="SimSun"/>
        </w:rPr>
        <w:t>could</w:t>
      </w:r>
      <w:r w:rsidR="00190923" w:rsidRPr="00981405">
        <w:rPr>
          <w:rFonts w:eastAsia="SimSun"/>
        </w:rPr>
        <w:t xml:space="preserve"> </w:t>
      </w:r>
      <w:r w:rsidRPr="00981405">
        <w:rPr>
          <w:rFonts w:eastAsia="SimSun"/>
        </w:rPr>
        <w:t>stand</w:t>
      </w:r>
      <w:r w:rsidR="00190923" w:rsidRPr="00981405">
        <w:rPr>
          <w:rFonts w:eastAsia="SimSun"/>
        </w:rPr>
        <w:t xml:space="preserve"> </w:t>
      </w:r>
      <w:r w:rsidRPr="00981405">
        <w:rPr>
          <w:rFonts w:eastAsia="SimSun"/>
        </w:rPr>
        <w:t>together</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instrument</w:t>
      </w:r>
      <w:r w:rsidR="00190923" w:rsidRPr="00981405">
        <w:rPr>
          <w:rFonts w:eastAsia="SimSun"/>
        </w:rPr>
        <w:t xml:space="preserve"> </w:t>
      </w:r>
      <w:r w:rsidRPr="00981405">
        <w:rPr>
          <w:rFonts w:eastAsia="SimSun"/>
        </w:rPr>
        <w:t>without</w:t>
      </w:r>
      <w:r w:rsidR="00190923" w:rsidRPr="00981405">
        <w:rPr>
          <w:rFonts w:eastAsia="SimSun"/>
        </w:rPr>
        <w:t xml:space="preserve"> </w:t>
      </w:r>
      <w:r w:rsidRPr="00981405">
        <w:rPr>
          <w:rFonts w:eastAsia="SimSun"/>
        </w:rPr>
        <w:t>affecting</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Pr="00981405">
        <w:rPr>
          <w:rStyle w:val="FootnoteReference"/>
        </w:rPr>
        <w:footnoteReference w:id="486"/>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applied</w:t>
      </w:r>
      <w:r w:rsidR="00190923" w:rsidRPr="00981405">
        <w:rPr>
          <w:rFonts w:eastAsia="SimSun"/>
        </w:rPr>
        <w:t xml:space="preserve"> </w:t>
      </w:r>
      <w:r w:rsidRPr="00981405">
        <w:rPr>
          <w:rFonts w:eastAsia="SimSun"/>
        </w:rPr>
        <w:t>even</w:t>
      </w:r>
      <w:r w:rsidR="00190923" w:rsidRPr="00981405">
        <w:rPr>
          <w:rFonts w:eastAsia="SimSun"/>
        </w:rPr>
        <w:t xml:space="preserve"> </w:t>
      </w:r>
      <w:r w:rsidRPr="00981405">
        <w:rPr>
          <w:rFonts w:eastAsia="SimSun"/>
        </w:rPr>
        <w:t>if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third</w:t>
      </w:r>
      <w:r w:rsidR="00190923" w:rsidRPr="00981405">
        <w:rPr>
          <w:rFonts w:eastAsia="SimSun"/>
        </w:rPr>
        <w:t xml:space="preserve"> </w:t>
      </w:r>
      <w:r w:rsidRPr="00981405">
        <w:rPr>
          <w:rFonts w:eastAsia="SimSun"/>
        </w:rPr>
        <w:t>State</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granted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view</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Study</w:t>
      </w:r>
      <w:r w:rsidR="00190923" w:rsidRPr="00981405">
        <w:rPr>
          <w:rFonts w:eastAsia="SimSun"/>
        </w:rPr>
        <w:t xml:space="preserve"> </w:t>
      </w:r>
      <w:r w:rsidRPr="00981405">
        <w:rPr>
          <w:rFonts w:eastAsia="SimSun"/>
        </w:rPr>
        <w:t>Group,</w:t>
      </w:r>
      <w:r w:rsidR="00190923" w:rsidRPr="00981405">
        <w:rPr>
          <w:rFonts w:eastAsia="SimSun"/>
        </w:rPr>
        <w:t xml:space="preserve"> </w:t>
      </w:r>
      <w:r w:rsidRPr="00981405">
        <w:rPr>
          <w:rFonts w:eastAsia="SimSun"/>
        </w:rPr>
        <w:t>interpretations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phrases</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as</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like</w:t>
      </w:r>
      <w:r w:rsidR="00190923" w:rsidRPr="00981405">
        <w:rPr>
          <w:rFonts w:eastAsia="SimSun"/>
        </w:rPr>
        <w:t xml:space="preserve"> </w:t>
      </w:r>
      <w:r w:rsidRPr="00981405">
        <w:rPr>
          <w:rFonts w:eastAsia="SimSun"/>
        </w:rPr>
        <w:t>circumstances</w:t>
      </w:r>
      <w:r w:rsidR="00B92E2C" w:rsidRPr="00981405">
        <w:rPr>
          <w:rFonts w:eastAsia="SimSun"/>
        </w:rPr>
        <w:t>”</w:t>
      </w:r>
      <w:r w:rsidR="00190923" w:rsidRPr="00981405">
        <w:rPr>
          <w:rFonts w:eastAsia="SimSun"/>
        </w:rPr>
        <w:t xml:space="preserve"> </w:t>
      </w:r>
      <w:r w:rsidRPr="00981405">
        <w:rPr>
          <w:rFonts w:eastAsia="SimSun"/>
        </w:rPr>
        <w:t>or</w:t>
      </w:r>
      <w:r w:rsidR="00190923" w:rsidRPr="00981405">
        <w:rPr>
          <w:rFonts w:eastAsia="SimSun"/>
        </w:rPr>
        <w:t xml:space="preserve"> </w:t>
      </w:r>
      <w:r w:rsidR="00B92E2C" w:rsidRPr="00981405">
        <w:rPr>
          <w:rFonts w:eastAsia="SimSun"/>
        </w:rPr>
        <w:t>“</w:t>
      </w:r>
      <w:r w:rsidRPr="00981405">
        <w:rPr>
          <w:rFonts w:eastAsia="SimSun"/>
        </w:rPr>
        <w:t>in</w:t>
      </w:r>
      <w:r w:rsidR="00190923" w:rsidRPr="00981405">
        <w:rPr>
          <w:rFonts w:eastAsia="SimSun"/>
        </w:rPr>
        <w:t xml:space="preserve"> </w:t>
      </w:r>
      <w:r w:rsidRPr="00981405">
        <w:rPr>
          <w:rFonts w:eastAsia="SimSun"/>
        </w:rPr>
        <w:t>similar</w:t>
      </w:r>
      <w:r w:rsidR="00190923" w:rsidRPr="00981405">
        <w:rPr>
          <w:rFonts w:eastAsia="SimSun"/>
        </w:rPr>
        <w:t xml:space="preserve"> </w:t>
      </w:r>
      <w:r w:rsidRPr="00981405">
        <w:rPr>
          <w:rFonts w:eastAsia="SimSun"/>
        </w:rPr>
        <w:t>situations</w:t>
      </w:r>
      <w:r w:rsidR="00B92E2C" w:rsidRPr="00981405">
        <w:rPr>
          <w:rFonts w:eastAsia="SimSun"/>
        </w:rPr>
        <w: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context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national</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important</w:t>
      </w:r>
      <w:r w:rsidR="00190923" w:rsidRPr="00981405">
        <w:rPr>
          <w:rFonts w:eastAsia="SimSun"/>
        </w:rPr>
        <w:t xml:space="preserve"> </w:t>
      </w:r>
      <w:r w:rsidRPr="00981405">
        <w:rPr>
          <w:rFonts w:eastAsia="SimSun"/>
        </w:rPr>
        <w:t>guidance</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terms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context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p>
    <w:p w:rsidR="00397032" w:rsidRPr="00981405" w:rsidRDefault="00397032" w:rsidP="00D97463">
      <w:pPr>
        <w:pStyle w:val="SingleTxt"/>
      </w:pPr>
      <w:r w:rsidRPr="00981405">
        <w:rPr>
          <w:rFonts w:eastAsia="SimSun"/>
        </w:rPr>
        <w:t>78.</w:t>
      </w:r>
      <w:r w:rsidRPr="00981405">
        <w:rPr>
          <w:rFonts w:eastAsia="SimSun"/>
        </w:rPr>
        <w:tab/>
        <w:t>The</w:t>
      </w:r>
      <w:r w:rsidR="00190923" w:rsidRPr="00981405">
        <w:rPr>
          <w:rFonts w:eastAsia="SimSun"/>
        </w:rPr>
        <w:t xml:space="preserve"> </w:t>
      </w:r>
      <w:r w:rsidRPr="00981405">
        <w:rPr>
          <w:rFonts w:eastAsia="SimSun"/>
        </w:rPr>
        <w:t>meaning</w:t>
      </w:r>
      <w:r w:rsidR="00190923" w:rsidRPr="00981405">
        <w:rPr>
          <w:rFonts w:eastAsia="SimSun"/>
        </w:rPr>
        <w:t xml:space="preserve"> </w:t>
      </w:r>
      <w:r w:rsidRPr="00981405">
        <w:rPr>
          <w:rFonts w:eastAsia="SimSun"/>
        </w:rPr>
        <w:t>of</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has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subject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much</w:t>
      </w:r>
      <w:r w:rsidR="00190923" w:rsidRPr="00981405">
        <w:rPr>
          <w:rFonts w:eastAsia="SimSun"/>
        </w:rPr>
        <w:t xml:space="preserve"> </w:t>
      </w:r>
      <w:r w:rsidRPr="00981405">
        <w:rPr>
          <w:rFonts w:eastAsia="SimSun"/>
        </w:rPr>
        <w:t>controversy</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disputes</w:t>
      </w:r>
      <w:r w:rsidR="00190923" w:rsidRPr="00981405">
        <w:rPr>
          <w:rFonts w:eastAsia="SimSun"/>
        </w:rPr>
        <w:t xml:space="preserve"> </w:t>
      </w:r>
      <w:r w:rsidRPr="00981405">
        <w:rPr>
          <w:rFonts w:eastAsia="SimSun"/>
        </w:rPr>
        <w:t>involving</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MAI</w:t>
      </w:r>
      <w:r w:rsidR="00190923" w:rsidRPr="00981405">
        <w:rPr>
          <w:rFonts w:eastAsia="SimSun"/>
        </w:rPr>
        <w:t xml:space="preserve"> </w:t>
      </w:r>
      <w:r w:rsidRPr="00981405">
        <w:rPr>
          <w:rFonts w:eastAsia="SimSun"/>
        </w:rPr>
        <w:t>negotiations</w:t>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some</w:t>
      </w:r>
      <w:r w:rsidR="00190923" w:rsidRPr="00981405">
        <w:rPr>
          <w:rFonts w:eastAsia="SimSun"/>
        </w:rPr>
        <w:t xml:space="preserve"> </w:t>
      </w:r>
      <w:r w:rsidRPr="00981405">
        <w:rPr>
          <w:rFonts w:eastAsia="SimSun"/>
        </w:rPr>
        <w:t>suggestion</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term</w:t>
      </w:r>
      <w:r w:rsidR="00190923" w:rsidRPr="00981405">
        <w:rPr>
          <w:rFonts w:eastAsia="SimSun"/>
        </w:rPr>
        <w:t xml:space="preserve"> </w:t>
      </w:r>
      <w:r w:rsidR="00B92E2C" w:rsidRPr="00981405">
        <w:rPr>
          <w:rFonts w:eastAsia="SimSun"/>
        </w:rPr>
        <w:t>“</w:t>
      </w:r>
      <w:r w:rsidRPr="00981405">
        <w:rPr>
          <w:rFonts w:eastAsia="SimSun"/>
        </w:rPr>
        <w:t>equal</w:t>
      </w:r>
      <w:r w:rsidR="00190923" w:rsidRPr="00981405">
        <w:rPr>
          <w:rFonts w:eastAsia="SimSun"/>
        </w:rPr>
        <w:t xml:space="preserve"> </w:t>
      </w:r>
      <w:r w:rsidRPr="00981405">
        <w:rPr>
          <w:rFonts w:eastAsia="SimSun"/>
        </w:rPr>
        <w:t>to</w:t>
      </w:r>
      <w:r w:rsidR="00B92E2C" w:rsidRPr="00981405">
        <w:rPr>
          <w:rFonts w:eastAsia="SimSun"/>
        </w:rPr>
        <w:t>”</w:t>
      </w:r>
      <w:r w:rsidR="00190923" w:rsidRPr="00981405">
        <w:rPr>
          <w:rFonts w:eastAsia="SimSun"/>
        </w:rPr>
        <w:t xml:space="preserve"> </w:t>
      </w:r>
      <w:r w:rsidRPr="00981405">
        <w:rPr>
          <w:rFonts w:eastAsia="SimSun"/>
        </w:rPr>
        <w:t>should</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used</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standard</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instead</w:t>
      </w:r>
      <w:r w:rsidR="00190923" w:rsidRPr="00981405">
        <w:rPr>
          <w:rFonts w:eastAsia="SimSun"/>
        </w:rPr>
        <w:t xml:space="preserve"> </w:t>
      </w:r>
      <w:r w:rsidRPr="00981405">
        <w:rPr>
          <w:rFonts w:eastAsia="SimSun"/>
        </w:rPr>
        <w:t>of</w:t>
      </w:r>
      <w:r w:rsidR="00190923" w:rsidRPr="00981405">
        <w:rPr>
          <w:rFonts w:eastAsia="SimSun"/>
        </w:rPr>
        <w:t xml:space="preserve"> </w:t>
      </w:r>
      <w:r w:rsidR="00B92E2C" w:rsidRPr="00981405">
        <w:rPr>
          <w:rFonts w:eastAsia="SimSun"/>
        </w:rPr>
        <w:t>“</w:t>
      </w:r>
      <w:r w:rsidRPr="00981405">
        <w:rPr>
          <w:rFonts w:eastAsia="SimSun"/>
        </w:rPr>
        <w:t>no</w:t>
      </w:r>
      <w:r w:rsidR="00190923" w:rsidRPr="00981405">
        <w:rPr>
          <w:rFonts w:eastAsia="SimSun"/>
        </w:rPr>
        <w:t xml:space="preserve"> </w:t>
      </w:r>
      <w:r w:rsidRPr="00981405">
        <w:rPr>
          <w:rFonts w:eastAsia="SimSun"/>
        </w:rPr>
        <w:t>less</w:t>
      </w:r>
      <w:r w:rsidR="00190923" w:rsidRPr="00981405">
        <w:rPr>
          <w:rFonts w:eastAsia="SimSun"/>
        </w:rPr>
        <w:t xml:space="preserve"> </w:t>
      </w:r>
      <w:r w:rsidRPr="00981405">
        <w:rPr>
          <w:rFonts w:eastAsia="SimSun"/>
        </w:rPr>
        <w:t>favourable</w:t>
      </w:r>
      <w:r w:rsidR="00B92E2C" w:rsidRPr="00981405">
        <w:rPr>
          <w:rFonts w:eastAsia="SimSun"/>
        </w:rPr>
        <w:t>”</w:t>
      </w:r>
      <w:r w:rsidR="00190923" w:rsidRPr="00981405">
        <w:rPr>
          <w:rFonts w:eastAsia="SimSun"/>
        </w:rPr>
        <w:t xml:space="preserve"> </w:t>
      </w:r>
      <w:r w:rsidRPr="00981405">
        <w:rPr>
          <w:rFonts w:eastAsia="SimSun"/>
        </w:rPr>
        <w:t>treatment.</w:t>
      </w:r>
      <w:r w:rsidR="00190923" w:rsidRPr="00981405">
        <w:rPr>
          <w:rFonts w:eastAsia="SimSun"/>
        </w:rPr>
        <w:t xml:space="preserve"> </w:t>
      </w:r>
      <w:r w:rsidRPr="00981405">
        <w:rPr>
          <w:rFonts w:eastAsia="SimSun"/>
        </w:rPr>
        <w:t>Although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never</w:t>
      </w:r>
      <w:r w:rsidR="00190923" w:rsidRPr="00981405">
        <w:rPr>
          <w:rFonts w:eastAsia="SimSun"/>
        </w:rPr>
        <w:t xml:space="preserve"> </w:t>
      </w:r>
      <w:r w:rsidRPr="00981405">
        <w:rPr>
          <w:rFonts w:eastAsia="SimSun"/>
        </w:rPr>
        <w:t>finally</w:t>
      </w:r>
      <w:r w:rsidR="00190923" w:rsidRPr="00981405">
        <w:rPr>
          <w:rFonts w:eastAsia="SimSun"/>
        </w:rPr>
        <w:t xml:space="preserve"> </w:t>
      </w:r>
      <w:r w:rsidRPr="00981405">
        <w:rPr>
          <w:rFonts w:eastAsia="SimSun"/>
        </w:rPr>
        <w:t>resolved,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counterargument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intended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limit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gran</w:t>
      </w:r>
      <w:r w:rsidRPr="00981405">
        <w:t>ting</w:t>
      </w:r>
      <w:r w:rsidR="00190923" w:rsidRPr="00981405">
        <w:t xml:space="preserve"> </w:t>
      </w:r>
      <w:r w:rsidRPr="00981405">
        <w:t>State</w:t>
      </w:r>
      <w:r w:rsidR="00190923" w:rsidRPr="00981405">
        <w:t xml:space="preserve"> </w:t>
      </w:r>
      <w:r w:rsidRPr="00981405">
        <w:t>in</w:t>
      </w:r>
      <w:r w:rsidR="00190923" w:rsidRPr="00981405">
        <w:t xml:space="preserve"> </w:t>
      </w:r>
      <w:r w:rsidRPr="00981405">
        <w:t>what</w:t>
      </w:r>
      <w:r w:rsidR="00190923" w:rsidRPr="00981405">
        <w:t xml:space="preserve"> </w:t>
      </w:r>
      <w:r w:rsidRPr="00981405">
        <w:t>it</w:t>
      </w:r>
      <w:r w:rsidR="00190923" w:rsidRPr="00981405">
        <w:t xml:space="preserve"> </w:t>
      </w:r>
      <w:r w:rsidRPr="00981405">
        <w:t>can</w:t>
      </w:r>
      <w:r w:rsidR="00190923" w:rsidRPr="00981405">
        <w:t xml:space="preserve"> </w:t>
      </w:r>
      <w:r w:rsidRPr="00981405">
        <w:t>provide.</w:t>
      </w:r>
      <w:r w:rsidR="00190923" w:rsidRPr="00981405">
        <w:t xml:space="preserve"> </w:t>
      </w:r>
      <w:r w:rsidRPr="00981405">
        <w:t>It</w:t>
      </w:r>
      <w:r w:rsidR="00190923" w:rsidRPr="00981405">
        <w:t xml:space="preserve"> </w:t>
      </w:r>
      <w:r w:rsidRPr="00981405">
        <w:t>may</w:t>
      </w:r>
      <w:r w:rsidR="00190923" w:rsidRPr="00981405">
        <w:t xml:space="preserve"> </w:t>
      </w:r>
      <w:r w:rsidRPr="00981405">
        <w:t>provide</w:t>
      </w:r>
      <w:r w:rsidR="00190923" w:rsidRPr="00981405">
        <w:t xml:space="preserve"> </w:t>
      </w:r>
      <w:r w:rsidRPr="00981405">
        <w:t>better</w:t>
      </w:r>
      <w:r w:rsidR="00190923" w:rsidRPr="00981405">
        <w:t xml:space="preserve"> </w:t>
      </w:r>
      <w:r w:rsidRPr="00981405">
        <w:t>than</w:t>
      </w:r>
      <w:r w:rsidR="00190923" w:rsidRPr="00981405">
        <w:t xml:space="preserve"> </w:t>
      </w:r>
      <w:r w:rsidR="00B92E2C" w:rsidRPr="00981405">
        <w:t>“</w:t>
      </w:r>
      <w:r w:rsidRPr="00981405">
        <w:t>equal</w:t>
      </w:r>
      <w:r w:rsidR="00B92E2C" w:rsidRPr="00981405">
        <w:t>”</w:t>
      </w:r>
      <w:r w:rsidR="00190923" w:rsidRPr="00981405">
        <w:t xml:space="preserve"> </w:t>
      </w:r>
      <w:r w:rsidRPr="00981405">
        <w:t>treatment</w:t>
      </w:r>
      <w:r w:rsidR="00190923" w:rsidRPr="00981405">
        <w:t xml:space="preserve"> </w:t>
      </w:r>
      <w:r w:rsidRPr="00981405">
        <w:t>if</w:t>
      </w:r>
      <w:r w:rsidR="00190923" w:rsidRPr="00981405">
        <w:t xml:space="preserve"> </w:t>
      </w:r>
      <w:r w:rsidRPr="00981405">
        <w:t>it</w:t>
      </w:r>
      <w:r w:rsidR="00190923" w:rsidRPr="00981405">
        <w:t xml:space="preserve"> </w:t>
      </w:r>
      <w:r w:rsidRPr="00981405">
        <w:t>wishes,</w:t>
      </w:r>
      <w:r w:rsidR="00190923" w:rsidRPr="00981405">
        <w:t xml:space="preserve"> </w:t>
      </w:r>
      <w:r w:rsidRPr="00981405">
        <w:t>although</w:t>
      </w:r>
      <w:r w:rsidR="00190923" w:rsidRPr="00981405">
        <w:t xml:space="preserve"> </w:t>
      </w:r>
      <w:r w:rsidRPr="00981405">
        <w:t>that</w:t>
      </w:r>
      <w:r w:rsidR="00190923" w:rsidRPr="00981405">
        <w:t xml:space="preserve"> </w:t>
      </w:r>
      <w:r w:rsidRPr="00981405">
        <w:t>may</w:t>
      </w:r>
      <w:r w:rsidR="00190923" w:rsidRPr="00981405">
        <w:t xml:space="preserve"> </w:t>
      </w:r>
      <w:r w:rsidRPr="00981405">
        <w:t>have</w:t>
      </w:r>
      <w:r w:rsidR="00190923" w:rsidRPr="00981405">
        <w:t xml:space="preserve"> </w:t>
      </w:r>
      <w:r w:rsidRPr="00981405">
        <w:t>implications</w:t>
      </w:r>
      <w:r w:rsidR="00190923" w:rsidRPr="00981405">
        <w:t xml:space="preserve"> </w:t>
      </w:r>
      <w:r w:rsidRPr="00981405">
        <w:t>for</w:t>
      </w:r>
      <w:r w:rsidR="00190923" w:rsidRPr="00981405">
        <w:t xml:space="preserve"> </w:t>
      </w:r>
      <w:r w:rsidRPr="00981405">
        <w:t>its</w:t>
      </w:r>
      <w:r w:rsidR="00190923" w:rsidRPr="00981405">
        <w:t xml:space="preserve"> </w:t>
      </w:r>
      <w:r w:rsidRPr="00981405">
        <w:t>other</w:t>
      </w:r>
      <w:r w:rsidR="00190923" w:rsidRPr="00981405">
        <w:t xml:space="preserve"> </w:t>
      </w:r>
      <w:r w:rsidRPr="00981405">
        <w:t>MFN</w:t>
      </w:r>
      <w:r w:rsidR="00190923" w:rsidRPr="00981405">
        <w:t xml:space="preserve"> </w:t>
      </w:r>
      <w:r w:rsidRPr="00981405">
        <w:t>agreements.</w:t>
      </w:r>
      <w:r w:rsidR="00190923" w:rsidRPr="00981405">
        <w:t xml:space="preserve"> </w:t>
      </w:r>
      <w:r w:rsidR="00B92E2C" w:rsidRPr="00981405">
        <w:t>“</w:t>
      </w:r>
      <w:r w:rsidRPr="00981405">
        <w:t>No</w:t>
      </w:r>
      <w:r w:rsidR="00190923" w:rsidRPr="00981405">
        <w:t xml:space="preserve"> </w:t>
      </w:r>
      <w:r w:rsidRPr="00981405">
        <w:t>less</w:t>
      </w:r>
      <w:r w:rsidR="00190923" w:rsidRPr="00981405">
        <w:t xml:space="preserve"> </w:t>
      </w:r>
      <w:r w:rsidRPr="00981405">
        <w:t>favourable</w:t>
      </w:r>
      <w:r w:rsidR="00B92E2C" w:rsidRPr="00981405">
        <w:t>”</w:t>
      </w:r>
      <w:r w:rsidR="00190923" w:rsidRPr="00981405">
        <w:t xml:space="preserve"> </w:t>
      </w:r>
      <w:r w:rsidRPr="00981405">
        <w:t>provides</w:t>
      </w:r>
      <w:r w:rsidR="00190923" w:rsidRPr="00981405">
        <w:t xml:space="preserve"> </w:t>
      </w:r>
      <w:r w:rsidRPr="00981405">
        <w:t>a</w:t>
      </w:r>
      <w:r w:rsidR="00190923" w:rsidRPr="00981405">
        <w:t xml:space="preserve"> </w:t>
      </w:r>
      <w:r w:rsidRPr="00981405">
        <w:t>floor</w:t>
      </w:r>
      <w:r w:rsidR="00190923" w:rsidRPr="00981405">
        <w:t xml:space="preserve"> </w:t>
      </w:r>
      <w:r w:rsidRPr="00981405">
        <w:t>for</w:t>
      </w:r>
      <w:r w:rsidR="00190923" w:rsidRPr="00981405">
        <w:t xml:space="preserve"> </w:t>
      </w:r>
      <w:r w:rsidRPr="00981405">
        <w:t>the</w:t>
      </w:r>
      <w:r w:rsidR="00190923" w:rsidRPr="00981405">
        <w:t xml:space="preserve"> </w:t>
      </w:r>
      <w:r w:rsidRPr="00981405">
        <w:t>treatment</w:t>
      </w:r>
      <w:r w:rsidR="00190923" w:rsidRPr="00981405">
        <w:t xml:space="preserve"> </w:t>
      </w:r>
      <w:r w:rsidRPr="00981405">
        <w:t>to</w:t>
      </w:r>
      <w:r w:rsidR="00190923" w:rsidRPr="00981405">
        <w:t xml:space="preserve"> </w:t>
      </w:r>
      <w:r w:rsidRPr="00981405">
        <w:t>be</w:t>
      </w:r>
      <w:r w:rsidR="00190923" w:rsidRPr="00981405">
        <w:t xml:space="preserve"> </w:t>
      </w:r>
      <w:r w:rsidRPr="00981405">
        <w:t>provided.</w:t>
      </w:r>
    </w:p>
    <w:p w:rsidR="0073504D" w:rsidRPr="00D97463" w:rsidRDefault="0073504D" w:rsidP="00D97463">
      <w:pPr>
        <w:pStyle w:val="SingleTxt"/>
        <w:spacing w:after="0" w:line="120" w:lineRule="exact"/>
        <w:rPr>
          <w:sz w:val="10"/>
        </w:rPr>
      </w:pPr>
    </w:p>
    <w:p w:rsidR="00397032" w:rsidRPr="00D97463" w:rsidRDefault="00397032" w:rsidP="00D97463">
      <w:pPr>
        <w:pStyle w:val="H23"/>
        <w:ind w:right="1260"/>
      </w:pPr>
      <w:bookmarkStart w:id="237" w:name="_Toc293434162"/>
      <w:bookmarkStart w:id="238" w:name="_Toc294353676"/>
      <w:r w:rsidRPr="00D97463">
        <w:tab/>
      </w:r>
      <w:bookmarkStart w:id="239" w:name="_Toc427938177"/>
      <w:r w:rsidRPr="00D97463">
        <w:t>3.</w:t>
      </w:r>
      <w:r w:rsidRPr="00D97463">
        <w:tab/>
        <w:t>What</w:t>
      </w:r>
      <w:r w:rsidR="00190923" w:rsidRPr="00D97463">
        <w:t xml:space="preserve"> </w:t>
      </w:r>
      <w:r w:rsidRPr="00D97463">
        <w:t>is</w:t>
      </w:r>
      <w:r w:rsidR="00190923" w:rsidRPr="00D97463">
        <w:t xml:space="preserve"> </w:t>
      </w:r>
      <w:r w:rsidRPr="00D97463">
        <w:t>the</w:t>
      </w:r>
      <w:r w:rsidR="00190923" w:rsidRPr="00D97463">
        <w:t xml:space="preserve"> </w:t>
      </w:r>
      <w:r w:rsidRPr="00D97463">
        <w:t>scope</w:t>
      </w:r>
      <w:r w:rsidR="00190923" w:rsidRPr="00D97463">
        <w:t xml:space="preserve"> </w:t>
      </w:r>
      <w:r w:rsidRPr="00D97463">
        <w:t>of</w:t>
      </w:r>
      <w:r w:rsidR="00190923" w:rsidRPr="00D97463">
        <w:t xml:space="preserve"> </w:t>
      </w:r>
      <w:r w:rsidRPr="00D97463">
        <w:t>the</w:t>
      </w:r>
      <w:r w:rsidR="00190923" w:rsidRPr="00D97463">
        <w:t xml:space="preserve"> </w:t>
      </w:r>
      <w:r w:rsidRPr="00D97463">
        <w:t>treatment</w:t>
      </w:r>
      <w:r w:rsidR="00190923" w:rsidRPr="00D97463">
        <w:t xml:space="preserve"> </w:t>
      </w:r>
      <w:r w:rsidRPr="00D97463">
        <w:t>to</w:t>
      </w:r>
      <w:r w:rsidR="00190923" w:rsidRPr="00D97463">
        <w:t xml:space="preserve"> </w:t>
      </w:r>
      <w:r w:rsidRPr="00D97463">
        <w:t>be</w:t>
      </w:r>
      <w:r w:rsidR="00190923" w:rsidRPr="00D97463">
        <w:t xml:space="preserve"> </w:t>
      </w:r>
      <w:r w:rsidRPr="00D97463">
        <w:t>provided</w:t>
      </w:r>
      <w:r w:rsidR="00190923" w:rsidRPr="00D97463">
        <w:t xml:space="preserve"> </w:t>
      </w:r>
      <w:r w:rsidRPr="00D97463">
        <w:t>under</w:t>
      </w:r>
      <w:r w:rsidR="00190923" w:rsidRPr="00D97463">
        <w:t xml:space="preserve"> </w:t>
      </w:r>
      <w:r w:rsidRPr="00D97463">
        <w:t>an</w:t>
      </w:r>
      <w:r w:rsidR="00190923" w:rsidRPr="00D97463">
        <w:t xml:space="preserve"> </w:t>
      </w:r>
      <w:r w:rsidRPr="00D97463">
        <w:t>MFN</w:t>
      </w:r>
      <w:bookmarkEnd w:id="237"/>
      <w:r w:rsidR="00190923" w:rsidRPr="00D97463">
        <w:t xml:space="preserve"> </w:t>
      </w:r>
      <w:r w:rsidRPr="00D97463">
        <w:t>clause?</w:t>
      </w:r>
      <w:bookmarkEnd w:id="238"/>
      <w:bookmarkEnd w:id="239"/>
    </w:p>
    <w:p w:rsidR="00397032" w:rsidRPr="00D97463" w:rsidRDefault="00397032" w:rsidP="00D97463">
      <w:pPr>
        <w:pStyle w:val="SingleTxt"/>
        <w:spacing w:after="0" w:line="120" w:lineRule="exact"/>
        <w:rPr>
          <w:sz w:val="10"/>
        </w:rPr>
      </w:pPr>
    </w:p>
    <w:p w:rsidR="00397032" w:rsidRPr="00981405" w:rsidRDefault="00397032" w:rsidP="00D97463">
      <w:pPr>
        <w:pStyle w:val="SingleTxt"/>
        <w:rPr>
          <w:rFonts w:eastAsia="SimSun"/>
        </w:rPr>
      </w:pPr>
      <w:r w:rsidRPr="00981405">
        <w:t>79.</w:t>
      </w:r>
      <w:r w:rsidRPr="00981405">
        <w:tab/>
        <w:t>The</w:t>
      </w:r>
      <w:r w:rsidR="00190923" w:rsidRPr="00981405">
        <w:t xml:space="preserve"> </w:t>
      </w:r>
      <w:r w:rsidRPr="00981405">
        <w:t>final</w:t>
      </w:r>
      <w:r w:rsidR="00190923" w:rsidRPr="00981405">
        <w:t xml:space="preserve"> </w:t>
      </w:r>
      <w:r w:rsidRPr="00981405">
        <w:t>interpretative</w:t>
      </w:r>
      <w:r w:rsidR="00190923" w:rsidRPr="00981405">
        <w:t xml:space="preserve"> </w:t>
      </w:r>
      <w:r w:rsidRPr="00981405">
        <w:t>issue</w:t>
      </w:r>
      <w:r w:rsidR="00190923" w:rsidRPr="00981405">
        <w:t xml:space="preserve"> </w:t>
      </w:r>
      <w:r w:rsidRPr="00981405">
        <w:rPr>
          <w:rFonts w:eastAsia="SimSun"/>
        </w:rPr>
        <w:t>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right</w:t>
      </w:r>
      <w:r w:rsidR="00190923" w:rsidRPr="00981405">
        <w:rPr>
          <w:rFonts w:eastAsia="SimSun"/>
        </w:rPr>
        <w:t xml:space="preserve"> </w:t>
      </w:r>
      <w:r w:rsidRPr="00981405">
        <w:rPr>
          <w:rFonts w:eastAsia="SimSun"/>
        </w:rPr>
        <w:t>being</w:t>
      </w:r>
      <w:r w:rsidR="00190923" w:rsidRPr="00981405">
        <w:rPr>
          <w:rFonts w:eastAsia="SimSun"/>
        </w:rPr>
        <w:t xml:space="preserve"> </w:t>
      </w:r>
      <w:r w:rsidRPr="00981405">
        <w:rPr>
          <w:rFonts w:eastAsia="SimSun"/>
        </w:rPr>
        <w:t>accorded</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words,</w:t>
      </w:r>
      <w:r w:rsidR="00190923" w:rsidRPr="00981405">
        <w:rPr>
          <w:rFonts w:eastAsia="SimSun"/>
        </w:rPr>
        <w:t xml:space="preserve"> </w:t>
      </w:r>
      <w:r w:rsidRPr="00981405">
        <w:rPr>
          <w:rFonts w:eastAsia="SimSun"/>
        </w:rPr>
        <w:t>what</w:t>
      </w:r>
      <w:r w:rsidR="00190923" w:rsidRPr="00981405">
        <w:rPr>
          <w:rFonts w:eastAsia="SimSun"/>
        </w:rPr>
        <w:t xml:space="preserve"> </w:t>
      </w:r>
      <w:r w:rsidRPr="00981405">
        <w:rPr>
          <w:rFonts w:eastAsia="SimSun"/>
        </w:rPr>
        <w:t>does</w:t>
      </w:r>
      <w:r w:rsidR="00190923" w:rsidRPr="00981405">
        <w:rPr>
          <w:rFonts w:eastAsia="SimSun"/>
        </w:rPr>
        <w:t xml:space="preserve"> </w:t>
      </w:r>
      <w:r w:rsidR="00B92E2C" w:rsidRPr="00981405">
        <w:rPr>
          <w:rFonts w:eastAsia="SimSun"/>
        </w:rPr>
        <w:t>“</w:t>
      </w:r>
      <w:r w:rsidRPr="00981405">
        <w:rPr>
          <w:rFonts w:eastAsia="SimSun"/>
        </w:rPr>
        <w:t>treatment</w:t>
      </w:r>
      <w:r w:rsidR="00B92E2C" w:rsidRPr="00981405">
        <w:rPr>
          <w:rFonts w:eastAsia="SimSun"/>
        </w:rPr>
        <w:t>”</w:t>
      </w:r>
      <w:r w:rsidR="00190923" w:rsidRPr="00981405">
        <w:rPr>
          <w:rFonts w:eastAsia="SimSun"/>
        </w:rPr>
        <w:t xml:space="preserve"> </w:t>
      </w:r>
      <w:r w:rsidRPr="00981405">
        <w:rPr>
          <w:rFonts w:eastAsia="SimSun"/>
        </w:rPr>
        <w:t>encompass?</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question</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identified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article</w:t>
      </w:r>
      <w:r w:rsidR="00190923" w:rsidRPr="00981405">
        <w:rPr>
          <w:rFonts w:eastAsia="SimSun"/>
        </w:rPr>
        <w:t xml:space="preserve"> </w:t>
      </w:r>
      <w:r w:rsidRPr="00981405">
        <w:rPr>
          <w:rFonts w:eastAsia="SimSun"/>
        </w:rPr>
        <w:t>9</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when</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provided</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applies</w:t>
      </w:r>
      <w:r w:rsidR="00190923" w:rsidRPr="00981405">
        <w:rPr>
          <w:rFonts w:eastAsia="SimSun"/>
        </w:rPr>
        <w:t xml:space="preserve"> </w:t>
      </w:r>
      <w:r w:rsidRPr="00981405">
        <w:rPr>
          <w:rFonts w:eastAsia="SimSun"/>
        </w:rPr>
        <w:t>to</w:t>
      </w:r>
      <w:r w:rsidR="00190923" w:rsidRPr="00981405">
        <w:rPr>
          <w:rFonts w:eastAsia="SimSun"/>
        </w:rPr>
        <w:t xml:space="preserve"> </w:t>
      </w:r>
      <w:r w:rsidR="00B92E2C" w:rsidRPr="00981405">
        <w:rPr>
          <w:rFonts w:eastAsia="SimSun"/>
        </w:rPr>
        <w:t>“</w:t>
      </w:r>
      <w:r w:rsidRPr="00981405">
        <w:rPr>
          <w:rFonts w:eastAsia="SimSun"/>
        </w:rPr>
        <w:t>only</w:t>
      </w:r>
      <w:r w:rsidR="00190923" w:rsidRPr="00981405">
        <w:rPr>
          <w:rFonts w:eastAsia="SimSun"/>
        </w:rPr>
        <w:t xml:space="preserve"> </w:t>
      </w:r>
      <w:r w:rsidRPr="00981405">
        <w:rPr>
          <w:rFonts w:eastAsia="SimSun"/>
        </w:rPr>
        <w:t>those</w:t>
      </w:r>
      <w:r w:rsidR="00190923" w:rsidRPr="00981405">
        <w:rPr>
          <w:rFonts w:eastAsia="SimSun"/>
        </w:rPr>
        <w:t xml:space="preserve"> </w:t>
      </w:r>
      <w:r w:rsidRPr="00981405">
        <w:rPr>
          <w:rFonts w:eastAsia="SimSun"/>
        </w:rPr>
        <w:t>rights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fall</w:t>
      </w:r>
      <w:r w:rsidR="00190923" w:rsidRPr="00981405">
        <w:rPr>
          <w:rFonts w:eastAsia="SimSun"/>
        </w:rPr>
        <w:t xml:space="preserve"> </w:t>
      </w:r>
      <w:r w:rsidRPr="00981405">
        <w:rPr>
          <w:rFonts w:eastAsia="SimSun"/>
        </w:rPr>
        <w:t>within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subject</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clause.</w:t>
      </w:r>
      <w:r w:rsidR="00B92E2C" w:rsidRPr="00981405">
        <w:rPr>
          <w:rFonts w:eastAsia="SimSun"/>
        </w:rPr>
        <w:t>”</w:t>
      </w:r>
      <w:r w:rsidRPr="00981405">
        <w:rPr>
          <w:rStyle w:val="FootnoteReference"/>
        </w:rPr>
        <w:footnoteReference w:id="487"/>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Commission</w:t>
      </w:r>
      <w:r w:rsidR="00190923" w:rsidRPr="00981405">
        <w:rPr>
          <w:rFonts w:eastAsia="SimSun"/>
        </w:rPr>
        <w:t xml:space="preserve"> </w:t>
      </w:r>
      <w:r w:rsidRPr="00981405">
        <w:rPr>
          <w:rFonts w:eastAsia="SimSun"/>
        </w:rPr>
        <w:t>pointed</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its</w:t>
      </w:r>
      <w:r w:rsidR="00190923" w:rsidRPr="00981405">
        <w:rPr>
          <w:rFonts w:eastAsia="SimSun"/>
        </w:rPr>
        <w:t xml:space="preserve"> </w:t>
      </w:r>
      <w:r w:rsidRPr="00981405">
        <w:rPr>
          <w:rFonts w:eastAsia="SimSun"/>
        </w:rPr>
        <w:t>commentary,</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known</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the</w:t>
      </w:r>
      <w:r w:rsidR="00190923" w:rsidRPr="00981405">
        <w:rPr>
          <w:rFonts w:eastAsia="SimSun"/>
        </w:rPr>
        <w:t xml:space="preserve"> </w:t>
      </w:r>
      <w:r w:rsidRPr="00D97463">
        <w:rPr>
          <w:rFonts w:eastAsia="SimSun"/>
          <w:i/>
          <w:iCs/>
        </w:rPr>
        <w:t>ejusdem</w:t>
      </w:r>
      <w:r w:rsidR="00190923" w:rsidRPr="00D97463">
        <w:rPr>
          <w:rFonts w:eastAsia="SimSun"/>
          <w:i/>
          <w:iCs/>
        </w:rPr>
        <w:t xml:space="preserve"> </w:t>
      </w:r>
      <w:r w:rsidRPr="00D97463">
        <w:rPr>
          <w:rFonts w:eastAsia="SimSun"/>
          <w:i/>
          <w:iCs/>
        </w:rPr>
        <w:t>generis</w:t>
      </w:r>
      <w:r w:rsidR="00190923" w:rsidRPr="00981405">
        <w:rPr>
          <w:rFonts w:eastAsia="SimSun"/>
        </w:rPr>
        <w:t xml:space="preserve"> </w:t>
      </w:r>
      <w:r w:rsidRPr="00981405">
        <w:rPr>
          <w:rFonts w:eastAsia="SimSun"/>
        </w:rPr>
        <w:t>rule.</w:t>
      </w:r>
      <w:r w:rsidRPr="00981405">
        <w:rPr>
          <w:rStyle w:val="FootnoteReference"/>
        </w:rPr>
        <w:footnoteReference w:id="488"/>
      </w:r>
    </w:p>
    <w:p w:rsidR="00397032" w:rsidRPr="00981405" w:rsidRDefault="00397032" w:rsidP="00D97463">
      <w:pPr>
        <w:pStyle w:val="SingleTxt"/>
      </w:pPr>
      <w:r w:rsidRPr="00981405">
        <w:rPr>
          <w:rFonts w:eastAsia="SimSun"/>
        </w:rPr>
        <w:t>80.</w:t>
      </w:r>
      <w:r w:rsidRPr="00981405">
        <w:rPr>
          <w:rFonts w:eastAsia="SimSun"/>
        </w:rPr>
        <w:tab/>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treatment</w:t>
      </w:r>
      <w:r w:rsidR="00190923" w:rsidRPr="00981405">
        <w:t xml:space="preserve"> </w:t>
      </w:r>
      <w:r w:rsidRPr="00981405">
        <w:t>to</w:t>
      </w:r>
      <w:r w:rsidR="00190923" w:rsidRPr="00981405">
        <w:t xml:space="preserve"> </w:t>
      </w:r>
      <w:r w:rsidRPr="00981405">
        <w:t>be</w:t>
      </w:r>
      <w:r w:rsidR="00190923" w:rsidRPr="00981405">
        <w:t xml:space="preserve"> </w:t>
      </w:r>
      <w:r w:rsidRPr="00981405">
        <w:t>provided</w:t>
      </w:r>
      <w:r w:rsidR="00190923" w:rsidRPr="00981405">
        <w:t xml:space="preserve"> </w:t>
      </w:r>
      <w:r w:rsidRPr="00981405">
        <w:t>under</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has</w:t>
      </w:r>
      <w:r w:rsidR="00190923" w:rsidRPr="00981405">
        <w:t xml:space="preserve"> </w:t>
      </w:r>
      <w:r w:rsidRPr="00981405">
        <w:t>become</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most</w:t>
      </w:r>
      <w:r w:rsidR="00190923" w:rsidRPr="00981405">
        <w:t xml:space="preserve"> </w:t>
      </w:r>
      <w:r w:rsidRPr="00981405">
        <w:t>vexed</w:t>
      </w:r>
      <w:r w:rsidR="00190923" w:rsidRPr="00981405">
        <w:t xml:space="preserve"> </w:t>
      </w:r>
      <w:r w:rsidRPr="00981405">
        <w:t>interpretative</w:t>
      </w:r>
      <w:r w:rsidR="00190923" w:rsidRPr="00981405">
        <w:t xml:space="preserve"> </w:t>
      </w:r>
      <w:r w:rsidRPr="00981405">
        <w:t>issues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The</w:t>
      </w:r>
      <w:r w:rsidR="00190923" w:rsidRPr="00981405">
        <w:t xml:space="preserve"> </w:t>
      </w:r>
      <w:r w:rsidRPr="00981405">
        <w:t>problem</w:t>
      </w:r>
      <w:r w:rsidR="00190923" w:rsidRPr="00981405">
        <w:t xml:space="preserve"> </w:t>
      </w:r>
      <w:r w:rsidRPr="00981405">
        <w:t>concerns</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to</w:t>
      </w:r>
      <w:r w:rsidR="00190923" w:rsidRPr="00981405">
        <w:t xml:space="preserve"> </w:t>
      </w:r>
      <w:r w:rsidRPr="00981405">
        <w:lastRenderedPageBreak/>
        <w:t>procedural</w:t>
      </w:r>
      <w:r w:rsidR="00190923" w:rsidRPr="00981405">
        <w:t xml:space="preserve"> </w:t>
      </w:r>
      <w:r w:rsidRPr="00981405">
        <w:t>provisions,</w:t>
      </w:r>
      <w:r w:rsidR="00190923" w:rsidRPr="00981405">
        <w:t xml:space="preserve"> </w:t>
      </w:r>
      <w:r w:rsidRPr="00981405">
        <w:t>as</w:t>
      </w:r>
      <w:r w:rsidR="00190923" w:rsidRPr="00981405">
        <w:t xml:space="preserve"> </w:t>
      </w:r>
      <w:r w:rsidRPr="00981405">
        <w:t>distinct</w:t>
      </w:r>
      <w:r w:rsidR="00190923" w:rsidRPr="00981405">
        <w:t xml:space="preserve"> </w:t>
      </w:r>
      <w:r w:rsidRPr="00981405">
        <w:t>from</w:t>
      </w:r>
      <w:r w:rsidR="00190923" w:rsidRPr="00981405">
        <w:t xml:space="preserve"> </w:t>
      </w:r>
      <w:r w:rsidRPr="00981405">
        <w:t>the</w:t>
      </w:r>
      <w:r w:rsidR="00190923" w:rsidRPr="00981405">
        <w:t xml:space="preserve"> </w:t>
      </w:r>
      <w:r w:rsidRPr="00981405">
        <w:t>substantive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It</w:t>
      </w:r>
      <w:r w:rsidR="00190923" w:rsidRPr="00981405">
        <w:t xml:space="preserve"> </w:t>
      </w:r>
      <w:r w:rsidRPr="00981405">
        <w:t>also</w:t>
      </w:r>
      <w:r w:rsidR="00190923" w:rsidRPr="00981405">
        <w:t xml:space="preserve"> </w:t>
      </w:r>
      <w:r w:rsidRPr="00981405">
        <w:t>involves</w:t>
      </w:r>
      <w:r w:rsidR="00190923" w:rsidRPr="00981405">
        <w:t xml:space="preserve"> </w:t>
      </w:r>
      <w:r w:rsidRPr="00981405">
        <w:t>the</w:t>
      </w:r>
      <w:r w:rsidR="00190923" w:rsidRPr="00981405">
        <w:t xml:space="preserve"> </w:t>
      </w:r>
      <w:r w:rsidRPr="00981405">
        <w:t>larger</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any</w:t>
      </w:r>
      <w:r w:rsidR="00190923" w:rsidRPr="00981405">
        <w:t xml:space="preserve"> </w:t>
      </w:r>
      <w:r w:rsidRPr="00981405">
        <w:t>rights</w:t>
      </w:r>
      <w:r w:rsidR="00190923" w:rsidRPr="00981405">
        <w:t xml:space="preserve"> </w:t>
      </w:r>
      <w:r w:rsidRPr="00981405">
        <w:t>contained</w:t>
      </w:r>
      <w:r w:rsidR="00190923" w:rsidRPr="00981405">
        <w:t xml:space="preserve"> </w:t>
      </w:r>
      <w:r w:rsidRPr="00981405">
        <w:t>in</w:t>
      </w:r>
      <w:r w:rsidR="00190923" w:rsidRPr="00981405">
        <w:t xml:space="preserve"> </w:t>
      </w:r>
      <w:r w:rsidRPr="00981405">
        <w:t>a</w:t>
      </w:r>
      <w:r w:rsidR="00190923" w:rsidRPr="00981405">
        <w:t xml:space="preserve"> </w:t>
      </w:r>
      <w:r w:rsidRPr="00981405">
        <w:t>treaty</w:t>
      </w:r>
      <w:r w:rsidR="00190923" w:rsidRPr="00981405">
        <w:t xml:space="preserve"> </w:t>
      </w:r>
      <w:r w:rsidRPr="00981405">
        <w:t>with</w:t>
      </w:r>
      <w:r w:rsidR="00190923" w:rsidRPr="00981405">
        <w:t xml:space="preserve"> </w:t>
      </w:r>
      <w:r w:rsidRPr="00981405">
        <w:t>a</w:t>
      </w:r>
      <w:r w:rsidR="00190923" w:rsidRPr="00981405">
        <w:t xml:space="preserve"> </w:t>
      </w:r>
      <w:r w:rsidRPr="00981405">
        <w:t>third</w:t>
      </w:r>
      <w:r w:rsidR="00190923" w:rsidRPr="00981405">
        <w:t xml:space="preserve"> </w:t>
      </w:r>
      <w:r w:rsidRPr="00981405">
        <w:t>State,</w:t>
      </w:r>
      <w:r w:rsidR="00190923" w:rsidRPr="00981405">
        <w:t xml:space="preserve"> </w:t>
      </w:r>
      <w:r w:rsidRPr="00981405">
        <w:t>which</w:t>
      </w:r>
      <w:r w:rsidR="00190923" w:rsidRPr="00981405">
        <w:t xml:space="preserve"> </w:t>
      </w:r>
      <w:r w:rsidRPr="00981405">
        <w:t>are</w:t>
      </w:r>
      <w:r w:rsidR="00190923" w:rsidRPr="00981405">
        <w:t xml:space="preserve"> </w:t>
      </w:r>
      <w:r w:rsidRPr="00981405">
        <w:t>more</w:t>
      </w:r>
      <w:r w:rsidR="00190923" w:rsidRPr="00981405">
        <w:t xml:space="preserve"> </w:t>
      </w:r>
      <w:r w:rsidRPr="00981405">
        <w:t>beneficial</w:t>
      </w:r>
      <w:r w:rsidR="00190923" w:rsidRPr="00981405">
        <w:t xml:space="preserve"> </w:t>
      </w:r>
      <w:r w:rsidRPr="00981405">
        <w:t>to</w:t>
      </w:r>
      <w:r w:rsidR="00190923" w:rsidRPr="00981405">
        <w:t xml:space="preserve"> </w:t>
      </w:r>
      <w:r w:rsidRPr="00981405">
        <w:t>an</w:t>
      </w:r>
      <w:r w:rsidR="00190923" w:rsidRPr="00981405">
        <w:t xml:space="preserve"> </w:t>
      </w:r>
      <w:r w:rsidRPr="00981405">
        <w:t>investor,</w:t>
      </w:r>
      <w:r w:rsidR="00190923" w:rsidRPr="00981405">
        <w:t xml:space="preserve"> </w:t>
      </w:r>
      <w:r w:rsidRPr="00981405">
        <w:t>could</w:t>
      </w:r>
      <w:r w:rsidR="00190923" w:rsidRPr="00981405">
        <w:t xml:space="preserve"> </w:t>
      </w:r>
      <w:r w:rsidRPr="00981405">
        <w:t>be</w:t>
      </w:r>
      <w:r w:rsidR="00190923" w:rsidRPr="00981405">
        <w:t xml:space="preserve"> </w:t>
      </w:r>
      <w:r w:rsidRPr="00981405">
        <w:t>relied</w:t>
      </w:r>
      <w:r w:rsidR="00190923" w:rsidRPr="00981405">
        <w:t xml:space="preserve"> </w:t>
      </w:r>
      <w:r w:rsidRPr="00981405">
        <w:t>upon</w:t>
      </w:r>
      <w:r w:rsidR="00190923" w:rsidRPr="00981405">
        <w:t xml:space="preserve"> </w:t>
      </w:r>
      <w:r w:rsidRPr="00981405">
        <w:t>by</w:t>
      </w:r>
      <w:r w:rsidR="00190923" w:rsidRPr="00981405">
        <w:t xml:space="preserve"> </w:t>
      </w:r>
      <w:r w:rsidRPr="00981405">
        <w:t>such</w:t>
      </w:r>
      <w:r w:rsidR="00190923" w:rsidRPr="00981405">
        <w:t xml:space="preserve"> </w:t>
      </w:r>
      <w:r w:rsidRPr="00981405">
        <w:t>an</w:t>
      </w:r>
      <w:r w:rsidR="00190923" w:rsidRPr="00981405">
        <w:t xml:space="preserve"> </w:t>
      </w:r>
      <w:r w:rsidRPr="00981405">
        <w:t>investor</w:t>
      </w:r>
      <w:r w:rsidR="00190923" w:rsidRPr="00981405">
        <w:t xml:space="preserve"> </w:t>
      </w:r>
      <w:r w:rsidRPr="00981405">
        <w:t>by</w:t>
      </w:r>
      <w:r w:rsidR="00190923" w:rsidRPr="00981405">
        <w:t xml:space="preserve"> </w:t>
      </w:r>
      <w:r w:rsidRPr="00981405">
        <w:t>virtue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p>
    <w:p w:rsidR="00397032" w:rsidRPr="00981405" w:rsidRDefault="00397032" w:rsidP="00D97463">
      <w:pPr>
        <w:pStyle w:val="SingleTxt"/>
      </w:pPr>
      <w:r w:rsidRPr="00981405">
        <w:t>81.</w:t>
      </w:r>
      <w:r w:rsidRPr="00981405">
        <w:tab/>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a</w:t>
      </w:r>
      <w:r w:rsidR="00190923" w:rsidRPr="00981405">
        <w:t xml:space="preserve"> </w:t>
      </w:r>
      <w:r w:rsidRPr="00981405">
        <w:t>basic</w:t>
      </w:r>
      <w:r w:rsidR="00190923" w:rsidRPr="00981405">
        <w:t xml:space="preserve"> </w:t>
      </w:r>
      <w:r w:rsidRPr="00981405">
        <w:t>treaty</w:t>
      </w:r>
      <w:r w:rsidR="00190923" w:rsidRPr="00981405">
        <w:t xml:space="preserve"> </w:t>
      </w:r>
      <w:r w:rsidRPr="00981405">
        <w:t>have</w:t>
      </w:r>
      <w:r w:rsidR="00190923" w:rsidRPr="00981405">
        <w:t xml:space="preserve"> </w:t>
      </w:r>
      <w:r w:rsidRPr="00981405">
        <w:t>been</w:t>
      </w:r>
      <w:r w:rsidR="00190923" w:rsidRPr="00981405">
        <w:t xml:space="preserve"> </w:t>
      </w:r>
      <w:r w:rsidRPr="00981405">
        <w:t>invoked</w:t>
      </w:r>
      <w:r w:rsidR="00190923" w:rsidRPr="00981405">
        <w:t xml:space="preserve"> </w:t>
      </w:r>
      <w:r w:rsidRPr="00981405">
        <w:t>to</w:t>
      </w:r>
      <w:r w:rsidR="00190923" w:rsidRPr="00981405">
        <w:t xml:space="preserve"> </w:t>
      </w:r>
      <w:r w:rsidRPr="00981405">
        <w:t>expand</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B92E2C" w:rsidRPr="00981405">
        <w:t>’</w:t>
      </w:r>
      <w:r w:rsidRPr="00981405">
        <w:t>s</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in</w:t>
      </w:r>
      <w:r w:rsidR="00190923" w:rsidRPr="00981405">
        <w:t xml:space="preserve"> </w:t>
      </w:r>
      <w:r w:rsidRPr="00981405">
        <w:t>several</w:t>
      </w:r>
      <w:r w:rsidR="00190923" w:rsidRPr="00981405">
        <w:t xml:space="preserve"> </w:t>
      </w:r>
      <w:r w:rsidRPr="00981405">
        <w:t>ways.</w:t>
      </w:r>
      <w:r w:rsidR="00190923" w:rsidRPr="00981405">
        <w:t xml:space="preserve"> </w:t>
      </w:r>
      <w:r w:rsidRPr="00981405">
        <w:t>These</w:t>
      </w:r>
      <w:r w:rsidR="00190923" w:rsidRPr="00981405">
        <w:t xml:space="preserve"> </w:t>
      </w:r>
      <w:r w:rsidRPr="00981405">
        <w:t>include:</w:t>
      </w:r>
      <w:r w:rsidR="00190923" w:rsidRPr="00981405">
        <w:t xml:space="preserve"> </w:t>
      </w:r>
      <w:r w:rsidRPr="00981405">
        <w:t>(a)</w:t>
      </w:r>
      <w:r w:rsidR="00190923" w:rsidRPr="00981405">
        <w:t xml:space="preserve"> </w:t>
      </w:r>
      <w:r w:rsidRPr="00981405">
        <w:t>to</w:t>
      </w:r>
      <w:r w:rsidR="00190923" w:rsidRPr="00981405">
        <w:t xml:space="preserve"> </w:t>
      </w:r>
      <w:r w:rsidRPr="00981405">
        <w:t>invoke</w:t>
      </w:r>
      <w:r w:rsidR="00190923" w:rsidRPr="00981405">
        <w:t xml:space="preserve"> </w:t>
      </w:r>
      <w:r w:rsidRPr="00981405">
        <w:t>a</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process</w:t>
      </w:r>
      <w:r w:rsidR="00190923" w:rsidRPr="00981405">
        <w:t xml:space="preserve"> </w:t>
      </w:r>
      <w:r w:rsidRPr="00981405">
        <w:t>not</w:t>
      </w:r>
      <w:r w:rsidR="00190923" w:rsidRPr="00981405">
        <w:t xml:space="preserve"> </w:t>
      </w:r>
      <w:r w:rsidRPr="00981405">
        <w:t>available</w:t>
      </w:r>
      <w:r w:rsidR="00190923" w:rsidRPr="00981405">
        <w:t xml:space="preserve"> </w:t>
      </w:r>
      <w:r w:rsidRPr="00981405">
        <w:t>under</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(b)</w:t>
      </w:r>
      <w:r w:rsidR="00190923" w:rsidRPr="00981405">
        <w:t xml:space="preserve"> </w:t>
      </w:r>
      <w:r w:rsidRPr="00981405">
        <w:t>to</w:t>
      </w:r>
      <w:r w:rsidR="00190923" w:rsidRPr="00981405">
        <w:t xml:space="preserve"> </w:t>
      </w:r>
      <w:r w:rsidRPr="00981405">
        <w:t>broaden</w:t>
      </w:r>
      <w:r w:rsidR="00190923" w:rsidRPr="00981405">
        <w:t xml:space="preserve"> </w:t>
      </w:r>
      <w:r w:rsidRPr="00981405">
        <w:t>the</w:t>
      </w:r>
      <w:r w:rsidR="00190923" w:rsidRPr="00981405">
        <w:t xml:space="preserve"> </w:t>
      </w:r>
      <w:r w:rsidRPr="00981405">
        <w:t>jurisdictional</w:t>
      </w:r>
      <w:r w:rsidR="00190923" w:rsidRPr="00981405">
        <w:t xml:space="preserve"> </w:t>
      </w:r>
      <w:r w:rsidRPr="00981405">
        <w:t>scope</w:t>
      </w:r>
      <w:r w:rsidR="00190923" w:rsidRPr="00981405">
        <w:t xml:space="preserve"> </w:t>
      </w:r>
      <w:r w:rsidRPr="00981405">
        <w:t>where</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restricted</w:t>
      </w:r>
      <w:r w:rsidR="00190923" w:rsidRPr="00981405">
        <w:t xml:space="preserve"> </w:t>
      </w:r>
      <w:r w:rsidRPr="00981405">
        <w:t>the</w:t>
      </w:r>
      <w:r w:rsidR="00190923" w:rsidRPr="00981405">
        <w:t xml:space="preserve"> </w:t>
      </w:r>
      <w:r w:rsidRPr="00981405">
        <w:t>ambit</w:t>
      </w:r>
      <w:r w:rsidR="00190923" w:rsidRPr="00981405">
        <w:t xml:space="preserve"> </w:t>
      </w:r>
      <w:r w:rsidRPr="00981405">
        <w:t>of</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clause</w:t>
      </w:r>
      <w:r w:rsidR="00190923" w:rsidRPr="00981405">
        <w:t xml:space="preserve"> </w:t>
      </w:r>
      <w:r w:rsidRPr="00981405">
        <w:t>to</w:t>
      </w:r>
      <w:r w:rsidR="00190923" w:rsidRPr="00981405">
        <w:t xml:space="preserve"> </w:t>
      </w:r>
      <w:r w:rsidRPr="00981405">
        <w:t>a</w:t>
      </w:r>
      <w:r w:rsidR="00190923" w:rsidRPr="00981405">
        <w:t xml:space="preserve"> </w:t>
      </w:r>
      <w:r w:rsidRPr="00981405">
        <w:t>specific</w:t>
      </w:r>
      <w:r w:rsidR="00190923" w:rsidRPr="00981405">
        <w:t xml:space="preserve"> </w:t>
      </w:r>
      <w:r w:rsidRPr="00981405">
        <w:t>category</w:t>
      </w:r>
      <w:r w:rsidR="00190923" w:rsidRPr="00981405">
        <w:t xml:space="preserve"> </w:t>
      </w:r>
      <w:r w:rsidRPr="00981405">
        <w:t>of</w:t>
      </w:r>
      <w:r w:rsidR="00190923" w:rsidRPr="00981405">
        <w:t xml:space="preserve"> </w:t>
      </w:r>
      <w:r w:rsidRPr="00981405">
        <w:t>disputes,</w:t>
      </w:r>
      <w:r w:rsidR="00190923" w:rsidRPr="00981405">
        <w:t xml:space="preserve"> </w:t>
      </w:r>
      <w:r w:rsidRPr="00981405">
        <w:t>such</w:t>
      </w:r>
      <w:r w:rsidR="00190923" w:rsidRPr="00981405">
        <w:t xml:space="preserve"> </w:t>
      </w:r>
      <w:r w:rsidRPr="00981405">
        <w:t>as</w:t>
      </w:r>
      <w:r w:rsidR="00190923" w:rsidRPr="00981405">
        <w:t xml:space="preserve"> </w:t>
      </w:r>
      <w:r w:rsidRPr="00981405">
        <w:t>disputes</w:t>
      </w:r>
      <w:r w:rsidR="00190923" w:rsidRPr="00981405">
        <w:t xml:space="preserve"> </w:t>
      </w:r>
      <w:r w:rsidRPr="00981405">
        <w:t>relating</w:t>
      </w:r>
      <w:r w:rsidR="00190923" w:rsidRPr="00981405">
        <w:t xml:space="preserve"> </w:t>
      </w:r>
      <w:r w:rsidRPr="00981405">
        <w:t>to</w:t>
      </w:r>
      <w:r w:rsidR="00190923" w:rsidRPr="00981405">
        <w:t xml:space="preserve"> </w:t>
      </w:r>
      <w:r w:rsidRPr="00981405">
        <w:t>compensation</w:t>
      </w:r>
      <w:r w:rsidR="00190923" w:rsidRPr="00981405">
        <w:t xml:space="preserve"> </w:t>
      </w:r>
      <w:r w:rsidRPr="00981405">
        <w:t>for</w:t>
      </w:r>
      <w:r w:rsidR="00190923" w:rsidRPr="00981405">
        <w:t xml:space="preserve"> </w:t>
      </w:r>
      <w:r w:rsidRPr="00981405">
        <w:t>expropriation;</w:t>
      </w:r>
      <w:r w:rsidR="00190923" w:rsidRPr="00981405">
        <w:t xml:space="preserve"> </w:t>
      </w:r>
      <w:r w:rsidRPr="00981405">
        <w:t>and</w:t>
      </w:r>
      <w:r w:rsidR="00190923" w:rsidRPr="00981405">
        <w:t xml:space="preserve"> </w:t>
      </w:r>
      <w:r w:rsidRPr="00981405">
        <w:t>(c)</w:t>
      </w:r>
      <w:r w:rsidR="00190923" w:rsidRPr="00981405">
        <w:t xml:space="preserve"> </w:t>
      </w:r>
      <w:r w:rsidRPr="00981405">
        <w:t>to</w:t>
      </w:r>
      <w:r w:rsidR="00190923" w:rsidRPr="00981405">
        <w:t xml:space="preserve"> </w:t>
      </w:r>
      <w:r w:rsidRPr="00981405">
        <w:t>override</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a</w:t>
      </w:r>
      <w:r w:rsidR="00190923" w:rsidRPr="00981405">
        <w:t xml:space="preserve"> </w:t>
      </w:r>
      <w:r w:rsidRPr="00981405">
        <w:t>provision</w:t>
      </w:r>
      <w:r w:rsidR="00190923" w:rsidRPr="00981405">
        <w:t xml:space="preserve"> </w:t>
      </w:r>
      <w:r w:rsidRPr="00981405">
        <w:t>requiring</w:t>
      </w:r>
      <w:r w:rsidR="00190923" w:rsidRPr="00981405">
        <w:t xml:space="preserve"> </w:t>
      </w:r>
      <w:r w:rsidRPr="00981405">
        <w:t>the</w:t>
      </w:r>
      <w:r w:rsidR="00190923" w:rsidRPr="00981405">
        <w:t xml:space="preserve"> </w:t>
      </w:r>
      <w:r w:rsidRPr="00981405">
        <w:t>submission</w:t>
      </w:r>
      <w:r w:rsidR="00190923" w:rsidRPr="00981405">
        <w:t xml:space="preserve"> </w:t>
      </w:r>
      <w:r w:rsidRPr="00981405">
        <w:t>of</w:t>
      </w:r>
      <w:r w:rsidR="00190923" w:rsidRPr="00981405">
        <w:t xml:space="preserve"> </w:t>
      </w:r>
      <w:r w:rsidRPr="00981405">
        <w:t>a</w:t>
      </w:r>
      <w:r w:rsidR="00190923" w:rsidRPr="00981405">
        <w:t xml:space="preserve"> </w:t>
      </w:r>
      <w:r w:rsidRPr="00981405">
        <w:t>dispute</w:t>
      </w:r>
      <w:r w:rsidR="00190923" w:rsidRPr="00981405">
        <w:t xml:space="preserve"> </w:t>
      </w:r>
      <w:r w:rsidRPr="00981405">
        <w:t>to</w:t>
      </w:r>
      <w:r w:rsidR="00190923" w:rsidRPr="00981405">
        <w:t xml:space="preserve"> </w:t>
      </w:r>
      <w:r w:rsidRPr="00981405">
        <w:t>a</w:t>
      </w:r>
      <w:r w:rsidR="00190923" w:rsidRPr="00981405">
        <w:t xml:space="preserve"> </w:t>
      </w:r>
      <w:r w:rsidRPr="00981405">
        <w:t>domestic</w:t>
      </w:r>
      <w:r w:rsidR="00190923" w:rsidRPr="00981405">
        <w:t xml:space="preserve"> </w:t>
      </w:r>
      <w:r w:rsidRPr="00981405">
        <w:t>court</w:t>
      </w:r>
      <w:r w:rsidR="00190923" w:rsidRPr="00981405">
        <w:t xml:space="preserve"> </w:t>
      </w:r>
      <w:r w:rsidRPr="00981405">
        <w:t>for</w:t>
      </w:r>
      <w:r w:rsidR="00190923" w:rsidRPr="00981405">
        <w:t xml:space="preserve"> </w:t>
      </w:r>
      <w:r w:rsidRPr="00981405">
        <w:t>a</w:t>
      </w:r>
      <w:r w:rsidR="00190923" w:rsidRPr="00981405">
        <w:t xml:space="preserve"> </w:t>
      </w:r>
      <w:r w:rsidR="00B92E2C" w:rsidRPr="00981405">
        <w:t>“</w:t>
      </w:r>
      <w:r w:rsidRPr="00981405">
        <w:t>waiting</w:t>
      </w:r>
      <w:r w:rsidR="00190923" w:rsidRPr="00981405">
        <w:t xml:space="preserve"> </w:t>
      </w:r>
      <w:r w:rsidRPr="00981405">
        <w:t>period</w:t>
      </w:r>
      <w:r w:rsidR="00B92E2C" w:rsidRPr="00981405">
        <w:t>”</w:t>
      </w:r>
      <w:r w:rsidR="00190923" w:rsidRPr="00981405">
        <w:t xml:space="preserve"> </w:t>
      </w:r>
      <w:r w:rsidRPr="00981405">
        <w:t>of</w:t>
      </w:r>
      <w:r w:rsidR="00190923" w:rsidRPr="00981405">
        <w:t xml:space="preserve"> </w:t>
      </w:r>
      <w:r w:rsidRPr="00981405">
        <w:t>18</w:t>
      </w:r>
      <w:r w:rsidR="00190923" w:rsidRPr="00981405">
        <w:t xml:space="preserve"> </w:t>
      </w:r>
      <w:r w:rsidRPr="00981405">
        <w:t>months,</w:t>
      </w:r>
      <w:r w:rsidR="00190923" w:rsidRPr="00981405">
        <w:t xml:space="preserve"> </w:t>
      </w:r>
      <w:r w:rsidRPr="00981405">
        <w:t>prior</w:t>
      </w:r>
      <w:r w:rsidR="00190923" w:rsidRPr="00981405">
        <w:t xml:space="preserve"> </w:t>
      </w:r>
      <w:r w:rsidRPr="00981405">
        <w:t>to</w:t>
      </w:r>
      <w:r w:rsidR="00190923" w:rsidRPr="00981405">
        <w:t xml:space="preserve"> </w:t>
      </w:r>
      <w:r w:rsidRPr="00981405">
        <w:t>submission</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arbitration.</w:t>
      </w:r>
      <w:r w:rsidR="00190923" w:rsidRPr="00981405">
        <w:t xml:space="preserve"> </w:t>
      </w:r>
      <w:r w:rsidRPr="00981405">
        <w:t>It</w:t>
      </w:r>
      <w:r w:rsidR="00190923" w:rsidRPr="00981405">
        <w:t xml:space="preserve"> </w:t>
      </w:r>
      <w:r w:rsidRPr="00981405">
        <w:t>is</w:t>
      </w:r>
      <w:r w:rsidR="00190923" w:rsidRPr="00981405">
        <w:t xml:space="preserve"> </w:t>
      </w:r>
      <w:r w:rsidRPr="00981405">
        <w:t>in</w:t>
      </w:r>
      <w:r w:rsidR="00190923" w:rsidRPr="00981405">
        <w:t xml:space="preserve"> </w:t>
      </w:r>
      <w:r w:rsidRPr="00981405">
        <w:t>this</w:t>
      </w:r>
      <w:r w:rsidR="00190923" w:rsidRPr="00981405">
        <w:t xml:space="preserve"> </w:t>
      </w:r>
      <w:r w:rsidRPr="00981405">
        <w:t>third</w:t>
      </w:r>
      <w:r w:rsidR="00190923" w:rsidRPr="00981405">
        <w:t xml:space="preserve"> </w:t>
      </w:r>
      <w:r w:rsidRPr="00981405">
        <w:t>circumstance</w:t>
      </w:r>
      <w:r w:rsidR="00190923" w:rsidRPr="00981405">
        <w:t xml:space="preserve"> </w:t>
      </w:r>
      <w:r w:rsidRPr="00981405">
        <w:t>that</w:t>
      </w:r>
      <w:r w:rsidR="00190923" w:rsidRPr="00981405">
        <w:t xml:space="preserve"> </w:t>
      </w:r>
      <w:r w:rsidRPr="00981405">
        <w:t>MFN</w:t>
      </w:r>
      <w:r w:rsidR="00190923" w:rsidRPr="00981405">
        <w:t xml:space="preserve"> </w:t>
      </w:r>
      <w:r w:rsidRPr="00981405">
        <w:t>has</w:t>
      </w:r>
      <w:r w:rsidR="00190923" w:rsidRPr="00981405">
        <w:t xml:space="preserve"> </w:t>
      </w:r>
      <w:r w:rsidRPr="00981405">
        <w:t>been</w:t>
      </w:r>
      <w:r w:rsidR="00190923" w:rsidRPr="00981405">
        <w:t xml:space="preserve"> </w:t>
      </w:r>
      <w:r w:rsidRPr="00981405">
        <w:t>most</w:t>
      </w:r>
      <w:r w:rsidR="00190923" w:rsidRPr="00981405">
        <w:t xml:space="preserve"> </w:t>
      </w:r>
      <w:r w:rsidRPr="00981405">
        <w:t>commonly</w:t>
      </w:r>
      <w:r w:rsidR="00190923" w:rsidRPr="00981405">
        <w:t xml:space="preserve"> </w:t>
      </w:r>
      <w:r w:rsidRPr="00981405">
        <w:t>invoked,</w:t>
      </w:r>
      <w:r w:rsidR="00190923" w:rsidRPr="00981405">
        <w:t xml:space="preserve"> </w:t>
      </w:r>
      <w:r w:rsidRPr="00981405">
        <w:t>thus,</w:t>
      </w:r>
      <w:r w:rsidR="00190923" w:rsidRPr="00981405">
        <w:t xml:space="preserve"> </w:t>
      </w:r>
      <w:r w:rsidRPr="00981405">
        <w:t>particular</w:t>
      </w:r>
      <w:r w:rsidR="00190923" w:rsidRPr="00981405">
        <w:t xml:space="preserve"> </w:t>
      </w:r>
      <w:r w:rsidRPr="00981405">
        <w:t>attention</w:t>
      </w:r>
      <w:r w:rsidR="00190923" w:rsidRPr="00981405">
        <w:t xml:space="preserve"> </w:t>
      </w:r>
      <w:r w:rsidRPr="00981405">
        <w:t>will</w:t>
      </w:r>
      <w:r w:rsidR="00190923" w:rsidRPr="00981405">
        <w:t xml:space="preserve"> </w:t>
      </w:r>
      <w:r w:rsidRPr="00981405">
        <w:t>be</w:t>
      </w:r>
      <w:r w:rsidR="00190923" w:rsidRPr="00981405">
        <w:t xml:space="preserve"> </w:t>
      </w:r>
      <w:r w:rsidRPr="00981405">
        <w:t>given</w:t>
      </w:r>
      <w:r w:rsidR="00190923" w:rsidRPr="00981405">
        <w:t xml:space="preserve"> </w:t>
      </w:r>
      <w:r w:rsidRPr="00981405">
        <w:t>to</w:t>
      </w:r>
      <w:r w:rsidR="00190923" w:rsidRPr="00981405">
        <w:t xml:space="preserve"> </w:t>
      </w:r>
      <w:r w:rsidRPr="00981405">
        <w:t>it.</w:t>
      </w:r>
    </w:p>
    <w:p w:rsidR="0073504D" w:rsidRPr="00D97463" w:rsidRDefault="0073504D" w:rsidP="00D97463">
      <w:pPr>
        <w:pStyle w:val="SingleTxt"/>
        <w:spacing w:after="0" w:line="120" w:lineRule="exact"/>
        <w:rPr>
          <w:sz w:val="10"/>
        </w:rPr>
      </w:pPr>
    </w:p>
    <w:p w:rsidR="00397032" w:rsidRPr="00D97463" w:rsidRDefault="00397032" w:rsidP="00D97463">
      <w:pPr>
        <w:pStyle w:val="H4"/>
        <w:ind w:right="1260"/>
      </w:pPr>
      <w:bookmarkStart w:id="240" w:name="_Toc293434163"/>
      <w:bookmarkStart w:id="241" w:name="_Toc294353677"/>
      <w:r w:rsidRPr="00D97463">
        <w:tab/>
      </w:r>
      <w:bookmarkStart w:id="242" w:name="_Toc427938178"/>
      <w:r w:rsidRPr="00D97463">
        <w:t>(a)</w:t>
      </w:r>
      <w:r w:rsidRPr="00D97463">
        <w:tab/>
      </w:r>
      <w:bookmarkEnd w:id="240"/>
      <w:r w:rsidRPr="00D97463">
        <w:t>MFN</w:t>
      </w:r>
      <w:r w:rsidR="00190923" w:rsidRPr="00D97463">
        <w:t xml:space="preserve"> </w:t>
      </w:r>
      <w:r w:rsidRPr="00D97463">
        <w:t>and</w:t>
      </w:r>
      <w:r w:rsidR="00190923" w:rsidRPr="00D97463">
        <w:t xml:space="preserve"> </w:t>
      </w:r>
      <w:r w:rsidRPr="00D97463">
        <w:t>procedural</w:t>
      </w:r>
      <w:r w:rsidR="00190923" w:rsidRPr="00D97463">
        <w:t xml:space="preserve"> </w:t>
      </w:r>
      <w:r w:rsidRPr="00D97463">
        <w:t>matters:</w:t>
      </w:r>
      <w:r w:rsidR="00190923" w:rsidRPr="00D97463">
        <w:t xml:space="preserve"> </w:t>
      </w:r>
      <w:r w:rsidRPr="00D97463">
        <w:t>origins</w:t>
      </w:r>
      <w:r w:rsidR="00190923" w:rsidRPr="00D97463">
        <w:t xml:space="preserve"> </w:t>
      </w:r>
      <w:r w:rsidRPr="00D97463">
        <w:t>of</w:t>
      </w:r>
      <w:r w:rsidR="00190923" w:rsidRPr="00D97463">
        <w:t xml:space="preserve"> </w:t>
      </w:r>
      <w:r w:rsidRPr="00D97463">
        <w:t>the</w:t>
      </w:r>
      <w:r w:rsidR="00190923" w:rsidRPr="00D97463">
        <w:t xml:space="preserve"> </w:t>
      </w:r>
      <w:r w:rsidRPr="00D97463">
        <w:t>issue</w:t>
      </w:r>
      <w:bookmarkEnd w:id="241"/>
      <w:bookmarkEnd w:id="242"/>
      <w:r w:rsidR="00190923" w:rsidRPr="00D97463">
        <w:t xml:space="preserve"> </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82.</w:t>
      </w:r>
      <w:r w:rsidRPr="00981405">
        <w:tab/>
        <w:t>The</w:t>
      </w:r>
      <w:r w:rsidR="00190923" w:rsidRPr="00981405">
        <w:t xml:space="preserve"> </w:t>
      </w:r>
      <w:r w:rsidRPr="00981405">
        <w:t>origins</w:t>
      </w:r>
      <w:r w:rsidR="00190923" w:rsidRPr="00981405">
        <w:t xml:space="preserve"> </w:t>
      </w:r>
      <w:r w:rsidRPr="00981405">
        <w:t>of</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MFN</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access</w:t>
      </w:r>
      <w:r w:rsidR="00190923" w:rsidRPr="00981405">
        <w:t xml:space="preserve"> </w:t>
      </w:r>
      <w:r w:rsidRPr="00981405">
        <w:t>to</w:t>
      </w:r>
      <w:r w:rsidR="00190923" w:rsidRPr="00981405">
        <w:t xml:space="preserve"> </w:t>
      </w:r>
      <w:r w:rsidRPr="00981405">
        <w:t>procedural</w:t>
      </w:r>
      <w:r w:rsidR="00190923" w:rsidRPr="00981405">
        <w:t xml:space="preserve"> </w:t>
      </w:r>
      <w:r w:rsidRPr="00981405">
        <w:t>matters</w:t>
      </w:r>
      <w:r w:rsidR="00190923" w:rsidRPr="00981405">
        <w:t xml:space="preserve"> </w:t>
      </w:r>
      <w:r w:rsidRPr="00981405">
        <w:t>is</w:t>
      </w:r>
      <w:r w:rsidR="00190923" w:rsidRPr="00981405">
        <w:t xml:space="preserve"> </w:t>
      </w:r>
      <w:r w:rsidRPr="00981405">
        <w:t>often</w:t>
      </w:r>
      <w:r w:rsidR="00190923" w:rsidRPr="00981405">
        <w:t xml:space="preserve"> </w:t>
      </w:r>
      <w:r w:rsidRPr="00981405">
        <w:t>traced</w:t>
      </w:r>
      <w:r w:rsidR="00190923" w:rsidRPr="00981405">
        <w:t xml:space="preserve"> </w:t>
      </w:r>
      <w:r w:rsidRPr="00981405">
        <w:t>back</w:t>
      </w:r>
      <w:r w:rsidR="00190923" w:rsidRPr="00981405">
        <w:t xml:space="preserve"> </w:t>
      </w:r>
      <w:r w:rsidRPr="00981405">
        <w:t>to</w:t>
      </w:r>
      <w:r w:rsidR="00190923" w:rsidRPr="00981405">
        <w:t xml:space="preserve"> </w:t>
      </w:r>
      <w:r w:rsidRPr="00981405">
        <w:t>the</w:t>
      </w:r>
      <w:r w:rsidR="00190923" w:rsidRPr="00981405">
        <w:t xml:space="preserve"> </w:t>
      </w:r>
      <w:r w:rsidRPr="00981405">
        <w:t>1956</w:t>
      </w:r>
      <w:r w:rsidR="00190923" w:rsidRPr="00981405">
        <w:t xml:space="preserve"> </w:t>
      </w:r>
      <w:r w:rsidRPr="00981405">
        <w:t>arbitral</w:t>
      </w:r>
      <w:r w:rsidR="00190923" w:rsidRPr="00981405">
        <w:t xml:space="preserve"> </w:t>
      </w:r>
      <w:r w:rsidRPr="00981405">
        <w:t>award</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Ambatielos</w:t>
      </w:r>
      <w:r w:rsidR="00190923" w:rsidRPr="00981405">
        <w:t xml:space="preserve"> </w:t>
      </w:r>
      <w:r w:rsidRPr="00981405">
        <w:t>claim</w:t>
      </w:r>
      <w:r w:rsidRPr="00981405">
        <w:rPr>
          <w:rStyle w:val="FootnoteReference"/>
        </w:rPr>
        <w:footnoteReference w:id="489"/>
      </w:r>
      <w:r w:rsidR="00190923" w:rsidRPr="00981405">
        <w:t xml:space="preserve"> </w:t>
      </w:r>
      <w:r w:rsidRPr="00981405">
        <w:t>where</w:t>
      </w:r>
      <w:r w:rsidR="00190923" w:rsidRPr="00981405">
        <w:t xml:space="preserve"> </w:t>
      </w:r>
      <w:r w:rsidRPr="00981405">
        <w:t>it</w:t>
      </w:r>
      <w:r w:rsidR="00190923" w:rsidRPr="00981405">
        <w:t xml:space="preserve"> </w:t>
      </w:r>
      <w:r w:rsidRPr="00981405">
        <w:t>was</w:t>
      </w:r>
      <w:r w:rsidR="00190923" w:rsidRPr="00981405">
        <w:t xml:space="preserve"> </w:t>
      </w:r>
      <w:r w:rsidRPr="00981405">
        <w:t>held</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administration</w:t>
      </w:r>
      <w:r w:rsidR="00190923" w:rsidRPr="00981405">
        <w:t xml:space="preserve"> </w:t>
      </w:r>
      <w:r w:rsidRPr="00981405">
        <w:t>of</w:t>
      </w:r>
      <w:r w:rsidR="00190923" w:rsidRPr="00981405">
        <w:t xml:space="preserve"> </w:t>
      </w:r>
      <w:r w:rsidRPr="00981405">
        <w:t>justice</w:t>
      </w:r>
      <w:r w:rsidR="00B92E2C" w:rsidRPr="00981405">
        <w:t>”</w:t>
      </w:r>
      <w:r w:rsidR="00190923" w:rsidRPr="00981405">
        <w:t xml:space="preserve"> </w:t>
      </w:r>
      <w:r w:rsidRPr="00981405">
        <w:t>was</w:t>
      </w:r>
      <w:r w:rsidR="00190923" w:rsidRPr="00981405">
        <w:t xml:space="preserve"> </w:t>
      </w:r>
      <w:r w:rsidRPr="00981405">
        <w:t>an</w:t>
      </w:r>
      <w:r w:rsidR="00190923" w:rsidRPr="00981405">
        <w:t xml:space="preserve"> </w:t>
      </w:r>
      <w:r w:rsidRPr="00981405">
        <w:t>important</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rights</w:t>
      </w:r>
      <w:r w:rsidR="00190923" w:rsidRPr="00981405">
        <w:t xml:space="preserve"> </w:t>
      </w:r>
      <w:r w:rsidRPr="00981405">
        <w:t>of</w:t>
      </w:r>
      <w:r w:rsidR="00190923" w:rsidRPr="00981405">
        <w:t xml:space="preserve"> </w:t>
      </w:r>
      <w:r w:rsidRPr="00981405">
        <w:t>traders</w:t>
      </w:r>
      <w:r w:rsidR="00190923" w:rsidRPr="00981405">
        <w:t xml:space="preserve"> </w:t>
      </w:r>
      <w:r w:rsidRPr="00981405">
        <w:t>and</w:t>
      </w:r>
      <w:r w:rsidR="00190923" w:rsidRPr="00981405">
        <w:t xml:space="preserve"> </w:t>
      </w:r>
      <w:r w:rsidRPr="00981405">
        <w:t>thus</w:t>
      </w:r>
      <w:r w:rsidR="00190923" w:rsidRPr="00981405">
        <w:t xml:space="preserve"> </w:t>
      </w:r>
      <w:r w:rsidRPr="00981405">
        <w:t>by</w:t>
      </w:r>
      <w:r w:rsidR="00190923" w:rsidRPr="00981405">
        <w:t xml:space="preserve"> </w:t>
      </w:r>
      <w:r w:rsidRPr="00981405">
        <w:t>virtue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should</w:t>
      </w:r>
      <w:r w:rsidR="00190923" w:rsidRPr="00981405">
        <w:t xml:space="preserve"> </w:t>
      </w:r>
      <w:r w:rsidRPr="00981405">
        <w:t>be</w:t>
      </w:r>
      <w:r w:rsidR="00190923" w:rsidRPr="00981405">
        <w:t xml:space="preserve"> </w:t>
      </w:r>
      <w:r w:rsidRPr="00981405">
        <w:t>treated</w:t>
      </w:r>
      <w:r w:rsidR="00190923" w:rsidRPr="00981405">
        <w:t xml:space="preserve"> </w:t>
      </w:r>
      <w:r w:rsidRPr="00981405">
        <w:t>as</w:t>
      </w:r>
      <w:r w:rsidR="00190923" w:rsidRPr="00981405">
        <w:t xml:space="preserve"> </w:t>
      </w:r>
      <w:r w:rsidRPr="00981405">
        <w:t>included</w:t>
      </w:r>
      <w:r w:rsidR="00190923" w:rsidRPr="00981405">
        <w:t xml:space="preserve"> </w:t>
      </w:r>
      <w:r w:rsidRPr="00981405">
        <w:t>within</w:t>
      </w:r>
      <w:r w:rsidR="00190923" w:rsidRPr="00981405">
        <w:t xml:space="preserve"> </w:t>
      </w:r>
      <w:r w:rsidRPr="00981405">
        <w:t>the</w:t>
      </w:r>
      <w:r w:rsidR="00190923" w:rsidRPr="00981405">
        <w:t xml:space="preserve"> </w:t>
      </w:r>
      <w:r w:rsidRPr="00981405">
        <w:t>phrase</w:t>
      </w:r>
      <w:r w:rsidR="00190923" w:rsidRPr="00981405">
        <w:t xml:space="preserve"> </w:t>
      </w:r>
      <w:r w:rsidR="00B92E2C" w:rsidRPr="00981405">
        <w:t>“</w:t>
      </w:r>
      <w:r w:rsidRPr="00981405">
        <w:t>all</w:t>
      </w:r>
      <w:r w:rsidR="00190923" w:rsidRPr="00981405">
        <w:t xml:space="preserve"> </w:t>
      </w:r>
      <w:r w:rsidRPr="00981405">
        <w:t>matters</w:t>
      </w:r>
      <w:r w:rsidR="00190923" w:rsidRPr="00981405">
        <w:t xml:space="preserve"> </w:t>
      </w:r>
      <w:r w:rsidRPr="00981405">
        <w:t>relating</w:t>
      </w:r>
      <w:r w:rsidR="00190923" w:rsidRPr="00981405">
        <w:t xml:space="preserve"> </w:t>
      </w:r>
      <w:r w:rsidRPr="00981405">
        <w:t>to</w:t>
      </w:r>
      <w:r w:rsidR="00190923" w:rsidRPr="00981405">
        <w:t xml:space="preserve"> </w:t>
      </w:r>
      <w:r w:rsidRPr="00981405">
        <w:t>commerce</w:t>
      </w:r>
      <w:r w:rsidR="00190923" w:rsidRPr="00981405">
        <w:t xml:space="preserve"> </w:t>
      </w:r>
      <w:r w:rsidRPr="00981405">
        <w:t>and</w:t>
      </w:r>
      <w:r w:rsidR="00190923" w:rsidRPr="00981405">
        <w:t xml:space="preserve"> </w:t>
      </w:r>
      <w:r w:rsidRPr="00981405">
        <w:t>navigation.</w:t>
      </w:r>
      <w:r w:rsidR="00B92E2C" w:rsidRPr="00981405">
        <w:t>”</w:t>
      </w:r>
      <w:r w:rsidRPr="00981405">
        <w:rPr>
          <w:rStyle w:val="FootnoteReference"/>
        </w:rPr>
        <w:footnoteReference w:id="490"/>
      </w:r>
      <w:r w:rsidR="00190923" w:rsidRPr="00981405">
        <w:t xml:space="preserve"> </w:t>
      </w:r>
    </w:p>
    <w:p w:rsidR="00397032" w:rsidRPr="00981405" w:rsidRDefault="00397032" w:rsidP="00D97463">
      <w:pPr>
        <w:pStyle w:val="SingleTxt"/>
      </w:pPr>
      <w:r w:rsidRPr="00981405">
        <w:t>83.</w:t>
      </w:r>
      <w:r w:rsidRPr="00981405">
        <w:tab/>
        <w:t>Almost</w:t>
      </w:r>
      <w:r w:rsidR="00190923" w:rsidRPr="00981405">
        <w:t xml:space="preserve"> </w:t>
      </w:r>
      <w:r w:rsidRPr="00981405">
        <w:t>45</w:t>
      </w:r>
      <w:r w:rsidR="00190923" w:rsidRPr="00981405">
        <w:t xml:space="preserve"> </w:t>
      </w:r>
      <w:r w:rsidRPr="00981405">
        <w:t>years</w:t>
      </w:r>
      <w:r w:rsidR="00190923" w:rsidRPr="00981405">
        <w:t xml:space="preserve"> </w:t>
      </w:r>
      <w:r w:rsidRPr="00981405">
        <w:t>later</w:t>
      </w:r>
      <w:r w:rsidR="00190923" w:rsidRPr="00981405">
        <w:t xml:space="preserve"> </w:t>
      </w:r>
      <w:r w:rsidRPr="00981405">
        <w:t>the</w:t>
      </w:r>
      <w:r w:rsidR="00190923" w:rsidRPr="00981405">
        <w:t xml:space="preserve"> </w:t>
      </w:r>
      <w:r w:rsidRPr="00981405">
        <w:t>matter</w:t>
      </w:r>
      <w:r w:rsidR="00190923" w:rsidRPr="00981405">
        <w:t xml:space="preserve"> </w:t>
      </w:r>
      <w:r w:rsidRPr="00981405">
        <w:t>came</w:t>
      </w:r>
      <w:r w:rsidR="00190923" w:rsidRPr="00981405">
        <w:t xml:space="preserve"> </w:t>
      </w:r>
      <w:r w:rsidRPr="00981405">
        <w:t>to</w:t>
      </w:r>
      <w:r w:rsidR="00190923" w:rsidRPr="00981405">
        <w:t xml:space="preserve"> </w:t>
      </w:r>
      <w:r w:rsidRPr="00981405">
        <w:t>the</w:t>
      </w:r>
      <w:r w:rsidR="00190923" w:rsidRPr="00981405">
        <w:t xml:space="preserve"> </w:t>
      </w:r>
      <w:r w:rsidRPr="00981405">
        <w:t>fore</w:t>
      </w:r>
      <w:r w:rsidR="00190923" w:rsidRPr="00981405">
        <w:t xml:space="preserve"> </w:t>
      </w:r>
      <w:r w:rsidRPr="00981405">
        <w:t>again</w:t>
      </w:r>
      <w:r w:rsidR="00190923" w:rsidRPr="00981405">
        <w:t xml:space="preserve"> </w:t>
      </w:r>
      <w:r w:rsidRPr="00981405">
        <w:t>in</w:t>
      </w:r>
      <w:r w:rsidR="00190923" w:rsidRPr="00981405">
        <w:t xml:space="preserve"> </w:t>
      </w:r>
      <w:r w:rsidRPr="00D97463">
        <w:rPr>
          <w:i/>
          <w:iCs/>
        </w:rPr>
        <w:t>Maffezini</w:t>
      </w:r>
      <w:r w:rsidR="00190923" w:rsidRPr="00D97463">
        <w:rPr>
          <w:i/>
          <w:iCs/>
        </w:rPr>
        <w:t xml:space="preserve"> </w:t>
      </w:r>
      <w:r w:rsidRPr="00D97463">
        <w:rPr>
          <w:i/>
          <w:iCs/>
        </w:rPr>
        <w:t>v.</w:t>
      </w:r>
      <w:r w:rsidR="00190923" w:rsidRPr="00D97463">
        <w:rPr>
          <w:i/>
          <w:iCs/>
        </w:rPr>
        <w:t xml:space="preserve"> </w:t>
      </w:r>
      <w:r w:rsidRPr="00D97463">
        <w:rPr>
          <w:i/>
          <w:iCs/>
        </w:rPr>
        <w:t>The</w:t>
      </w:r>
      <w:r w:rsidR="00190923" w:rsidRPr="00D97463">
        <w:rPr>
          <w:i/>
          <w:iCs/>
        </w:rPr>
        <w:t xml:space="preserve"> </w:t>
      </w:r>
      <w:r w:rsidRPr="00D97463">
        <w:rPr>
          <w:i/>
          <w:iCs/>
        </w:rPr>
        <w:t>Kingdom</w:t>
      </w:r>
      <w:r w:rsidR="00190923" w:rsidRPr="00D97463">
        <w:rPr>
          <w:i/>
          <w:iCs/>
        </w:rPr>
        <w:t xml:space="preserve"> </w:t>
      </w:r>
      <w:r w:rsidRPr="00D97463">
        <w:rPr>
          <w:i/>
          <w:iCs/>
        </w:rPr>
        <w:t>of</w:t>
      </w:r>
      <w:r w:rsidR="00190923" w:rsidRPr="00D97463">
        <w:rPr>
          <w:i/>
          <w:iCs/>
        </w:rPr>
        <w:t xml:space="preserve"> </w:t>
      </w:r>
      <w:r w:rsidRPr="00D97463">
        <w:rPr>
          <w:i/>
          <w:iCs/>
        </w:rPr>
        <w:t>Spain</w:t>
      </w:r>
      <w:r w:rsidRPr="00981405">
        <w:rPr>
          <w:rStyle w:val="FootnoteReference"/>
        </w:rPr>
        <w:footnoteReference w:id="491"/>
      </w:r>
      <w:r w:rsidR="00190923" w:rsidRPr="00981405">
        <w:t xml:space="preserve"> </w:t>
      </w:r>
      <w:r w:rsidRPr="00981405">
        <w:t>where</w:t>
      </w:r>
      <w:r w:rsidR="00190923" w:rsidRPr="00981405">
        <w:t xml:space="preserve"> </w:t>
      </w:r>
      <w:r w:rsidRPr="00981405">
        <w:t>the</w:t>
      </w:r>
      <w:r w:rsidR="00190923" w:rsidRPr="00981405">
        <w:t xml:space="preserve"> </w:t>
      </w:r>
      <w:r w:rsidRPr="00981405">
        <w:t>tribunal</w:t>
      </w:r>
      <w:r w:rsidR="00190923" w:rsidRPr="00981405">
        <w:t xml:space="preserve"> </w:t>
      </w:r>
      <w:r w:rsidRPr="00981405">
        <w:t>accepted</w:t>
      </w:r>
      <w:r w:rsidR="00190923" w:rsidRPr="00981405">
        <w:t xml:space="preserve"> </w:t>
      </w:r>
      <w:r w:rsidRPr="00981405">
        <w:t>the</w:t>
      </w:r>
      <w:r w:rsidR="00190923" w:rsidRPr="00981405">
        <w:t xml:space="preserve"> </w:t>
      </w:r>
      <w:r w:rsidRPr="00981405">
        <w:t>claimant</w:t>
      </w:r>
      <w:r w:rsidR="00B92E2C" w:rsidRPr="00981405">
        <w:t>’</w:t>
      </w:r>
      <w:r w:rsidRPr="00981405">
        <w:t>s</w:t>
      </w:r>
      <w:r w:rsidR="00190923" w:rsidRPr="00981405">
        <w:t xml:space="preserve"> </w:t>
      </w:r>
      <w:r w:rsidRPr="00981405">
        <w:t>argument</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invoke</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in</w:t>
      </w:r>
      <w:r w:rsidR="00190923" w:rsidRPr="00981405">
        <w:t xml:space="preserve"> </w:t>
      </w:r>
      <w:r w:rsidRPr="00981405">
        <w:t>the</w:t>
      </w:r>
      <w:r w:rsidR="00190923" w:rsidRPr="00981405">
        <w:t xml:space="preserve"> </w:t>
      </w:r>
      <w:r w:rsidRPr="00981405">
        <w:t>1991</w:t>
      </w:r>
      <w:r w:rsidR="00190923" w:rsidRPr="00981405">
        <w:t xml:space="preserve"> </w:t>
      </w:r>
      <w:r w:rsidRPr="00981405">
        <w:t>Argentina-Spain</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Treaty</w:t>
      </w:r>
      <w:r w:rsidR="00190923" w:rsidRPr="00981405">
        <w:t xml:space="preserve"> </w:t>
      </w:r>
      <w:r w:rsidRPr="00981405">
        <w:t>(BIT),</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ignore</w:t>
      </w:r>
      <w:r w:rsidR="00190923" w:rsidRPr="00981405">
        <w:t xml:space="preserve"> </w:t>
      </w:r>
      <w:r w:rsidRPr="00981405">
        <w:t>the</w:t>
      </w:r>
      <w:r w:rsidR="00190923" w:rsidRPr="00981405">
        <w:t xml:space="preserve"> </w:t>
      </w:r>
      <w:r w:rsidRPr="00981405">
        <w:t>requirement</w:t>
      </w:r>
      <w:r w:rsidR="00190923" w:rsidRPr="00981405">
        <w:t xml:space="preserve"> </w:t>
      </w:r>
      <w:r w:rsidRPr="00981405">
        <w:t>of</w:t>
      </w:r>
      <w:r w:rsidR="00190923" w:rsidRPr="00981405">
        <w:t xml:space="preserve"> </w:t>
      </w:r>
      <w:r w:rsidRPr="00981405">
        <w:t>an</w:t>
      </w:r>
      <w:r w:rsidR="00190923" w:rsidRPr="00981405">
        <w:t xml:space="preserve"> </w:t>
      </w:r>
      <w:r w:rsidRPr="00981405">
        <w:t>18-month</w:t>
      </w:r>
      <w:r w:rsidR="00190923" w:rsidRPr="00981405">
        <w:t xml:space="preserve"> </w:t>
      </w:r>
      <w:r w:rsidRPr="00981405">
        <w:t>waiting</w:t>
      </w:r>
      <w:r w:rsidR="00190923" w:rsidRPr="00981405">
        <w:t xml:space="preserve"> </w:t>
      </w:r>
      <w:r w:rsidRPr="00981405">
        <w:t>period</w:t>
      </w:r>
      <w:r w:rsidR="00190923" w:rsidRPr="00981405">
        <w:t xml:space="preserve"> </w:t>
      </w:r>
      <w:r w:rsidRPr="00981405">
        <w:t>before</w:t>
      </w:r>
      <w:r w:rsidR="00190923" w:rsidRPr="00981405">
        <w:t xml:space="preserve"> </w:t>
      </w:r>
      <w:r w:rsidRPr="00981405">
        <w:t>bringing</w:t>
      </w:r>
      <w:r w:rsidR="00190923" w:rsidRPr="00981405">
        <w:t xml:space="preserve"> </w:t>
      </w:r>
      <w:r w:rsidRPr="00981405">
        <w:t>a</w:t>
      </w:r>
      <w:r w:rsidR="00190923" w:rsidRPr="00981405">
        <w:t xml:space="preserve"> </w:t>
      </w:r>
      <w:r w:rsidRPr="00981405">
        <w:t>claim</w:t>
      </w:r>
      <w:r w:rsidR="00190923" w:rsidRPr="00981405">
        <w:t xml:space="preserve"> </w:t>
      </w:r>
      <w:r w:rsidRPr="00981405">
        <w:t>under</w:t>
      </w:r>
      <w:r w:rsidR="00190923" w:rsidRPr="00981405">
        <w:t xml:space="preserve"> </w:t>
      </w:r>
      <w:r w:rsidRPr="00981405">
        <w:t>the</w:t>
      </w:r>
      <w:r w:rsidR="00190923" w:rsidRPr="00981405">
        <w:t xml:space="preserve"> </w:t>
      </w:r>
      <w:r w:rsidRPr="00981405">
        <w:t>BIT.</w:t>
      </w:r>
      <w:r w:rsidR="00190923" w:rsidRPr="00981405">
        <w:t xml:space="preserve"> </w:t>
      </w:r>
      <w:r w:rsidRPr="00981405">
        <w:t>The</w:t>
      </w:r>
      <w:r w:rsidR="00190923" w:rsidRPr="00981405">
        <w:t xml:space="preserve"> </w:t>
      </w:r>
      <w:r w:rsidRPr="00981405">
        <w:t>claimant</w:t>
      </w:r>
      <w:r w:rsidR="00190923" w:rsidRPr="00981405">
        <w:t xml:space="preserve"> </w:t>
      </w:r>
      <w:r w:rsidRPr="00981405">
        <w:t>relied</w:t>
      </w:r>
      <w:r w:rsidR="00190923" w:rsidRPr="00981405">
        <w:t xml:space="preserve"> </w:t>
      </w:r>
      <w:r w:rsidRPr="00981405">
        <w:t>instead</w:t>
      </w:r>
      <w:r w:rsidR="00190923" w:rsidRPr="00981405">
        <w:t xml:space="preserve"> </w:t>
      </w:r>
      <w:r w:rsidRPr="00981405">
        <w:t>on</w:t>
      </w:r>
      <w:r w:rsidR="00190923" w:rsidRPr="00981405">
        <w:t xml:space="preserve"> </w:t>
      </w:r>
      <w:r w:rsidRPr="00981405">
        <w:t>the</w:t>
      </w:r>
      <w:r w:rsidR="00190923" w:rsidRPr="00981405">
        <w:t xml:space="preserve"> </w:t>
      </w:r>
      <w:r w:rsidRPr="00981405">
        <w:t>1991</w:t>
      </w:r>
      <w:r w:rsidR="00190923" w:rsidRPr="00981405">
        <w:t xml:space="preserve"> </w:t>
      </w:r>
      <w:r w:rsidRPr="00981405">
        <w:t>Spain-Chile</w:t>
      </w:r>
      <w:r w:rsidR="00190923" w:rsidRPr="00981405">
        <w:t xml:space="preserve"> </w:t>
      </w:r>
      <w:r w:rsidRPr="00981405">
        <w:t>BIT,</w:t>
      </w:r>
      <w:r w:rsidR="00190923" w:rsidRPr="00981405">
        <w:t xml:space="preserve"> </w:t>
      </w:r>
      <w:r w:rsidRPr="00981405">
        <w:t>which</w:t>
      </w:r>
      <w:r w:rsidR="00190923" w:rsidRPr="00981405">
        <w:t xml:space="preserve"> </w:t>
      </w:r>
      <w:r w:rsidRPr="00981405">
        <w:t>did</w:t>
      </w:r>
      <w:r w:rsidR="00190923" w:rsidRPr="00981405">
        <w:t xml:space="preserve"> </w:t>
      </w:r>
      <w:r w:rsidRPr="00981405">
        <w:t>not</w:t>
      </w:r>
      <w:r w:rsidR="00190923" w:rsidRPr="00981405">
        <w:t xml:space="preserve"> </w:t>
      </w:r>
      <w:r w:rsidRPr="00981405">
        <w:t>include</w:t>
      </w:r>
      <w:r w:rsidR="00190923" w:rsidRPr="00981405">
        <w:t xml:space="preserve"> </w:t>
      </w:r>
      <w:r w:rsidRPr="00981405">
        <w:t>such</w:t>
      </w:r>
      <w:r w:rsidR="00190923" w:rsidRPr="00981405">
        <w:t xml:space="preserve"> </w:t>
      </w:r>
      <w:r w:rsidRPr="00981405">
        <w:t>a</w:t>
      </w:r>
      <w:r w:rsidR="00190923" w:rsidRPr="00981405">
        <w:t xml:space="preserve"> </w:t>
      </w:r>
      <w:r w:rsidRPr="00981405">
        <w:t>requirement</w:t>
      </w:r>
      <w:r w:rsidR="00190923" w:rsidRPr="00981405">
        <w:t xml:space="preserve"> </w:t>
      </w:r>
      <w:r w:rsidRPr="00981405">
        <w:t>and</w:t>
      </w:r>
      <w:r w:rsidR="00190923" w:rsidRPr="00981405">
        <w:t xml:space="preserve"> </w:t>
      </w:r>
      <w:r w:rsidRPr="00981405">
        <w:t>allowed</w:t>
      </w:r>
      <w:r w:rsidR="00190923" w:rsidRPr="00981405">
        <w:t xml:space="preserve"> </w:t>
      </w:r>
      <w:r w:rsidRPr="00981405">
        <w:t>an</w:t>
      </w:r>
      <w:r w:rsidR="00190923" w:rsidRPr="00981405">
        <w:t xml:space="preserve"> </w:t>
      </w:r>
      <w:r w:rsidRPr="00981405">
        <w:t>investor</w:t>
      </w:r>
      <w:r w:rsidR="00190923" w:rsidRPr="00981405">
        <w:t xml:space="preserve"> </w:t>
      </w:r>
      <w:r w:rsidRPr="00981405">
        <w:t>to</w:t>
      </w:r>
      <w:r w:rsidR="00190923" w:rsidRPr="00981405">
        <w:t xml:space="preserve"> </w:t>
      </w:r>
      <w:r w:rsidRPr="00981405">
        <w:t>opt</w:t>
      </w:r>
      <w:r w:rsidR="00190923" w:rsidRPr="00981405">
        <w:t xml:space="preserve"> </w:t>
      </w:r>
      <w:r w:rsidRPr="00981405">
        <w:t>for</w:t>
      </w:r>
      <w:r w:rsidR="00190923" w:rsidRPr="00981405">
        <w:t xml:space="preserve"> </w:t>
      </w:r>
      <w:r w:rsidRPr="00981405">
        <w:t>international</w:t>
      </w:r>
      <w:r w:rsidR="00190923" w:rsidRPr="00981405">
        <w:t xml:space="preserve"> </w:t>
      </w:r>
      <w:r w:rsidRPr="00981405">
        <w:t>arbitration</w:t>
      </w:r>
      <w:r w:rsidR="00190923" w:rsidRPr="00981405">
        <w:t xml:space="preserve"> </w:t>
      </w:r>
      <w:r w:rsidRPr="00981405">
        <w:t>after</w:t>
      </w:r>
      <w:r w:rsidR="00190923" w:rsidRPr="00981405">
        <w:t xml:space="preserve"> </w:t>
      </w:r>
      <w:r w:rsidRPr="00981405">
        <w:t>six</w:t>
      </w:r>
      <w:r w:rsidR="00190923" w:rsidRPr="00981405">
        <w:t xml:space="preserve"> </w:t>
      </w:r>
      <w:r w:rsidRPr="00981405">
        <w:t>months.</w:t>
      </w:r>
      <w:r w:rsidRPr="00981405">
        <w:rPr>
          <w:rStyle w:val="FootnoteReference"/>
        </w:rPr>
        <w:footnoteReference w:id="492"/>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in</w:t>
      </w:r>
      <w:r w:rsidR="00190923" w:rsidRPr="00981405">
        <w:t xml:space="preserve"> </w:t>
      </w:r>
      <w:r w:rsidRPr="00981405">
        <w:t>the</w:t>
      </w:r>
      <w:r w:rsidR="00190923" w:rsidRPr="00981405">
        <w:t xml:space="preserve"> </w:t>
      </w:r>
      <w:r w:rsidRPr="00981405">
        <w:t>Argentina-Spain</w:t>
      </w:r>
      <w:r w:rsidR="00190923" w:rsidRPr="00981405">
        <w:t xml:space="preserve"> </w:t>
      </w:r>
      <w:r w:rsidRPr="00981405">
        <w:t>BIT</w:t>
      </w:r>
      <w:r w:rsidR="00190923" w:rsidRPr="00981405">
        <w:t xml:space="preserve"> </w:t>
      </w:r>
      <w:r w:rsidRPr="00981405">
        <w:t>provided:</w:t>
      </w:r>
    </w:p>
    <w:p w:rsidR="00397032" w:rsidRPr="00981405" w:rsidRDefault="00B92E2C" w:rsidP="00D97463">
      <w:pPr>
        <w:pStyle w:val="SingleTxt"/>
        <w:ind w:left="1742"/>
      </w:pPr>
      <w:r w:rsidRPr="00981405">
        <w:t>“</w:t>
      </w:r>
      <w:r w:rsidR="00397032" w:rsidRPr="00981405">
        <w:t>In</w:t>
      </w:r>
      <w:r w:rsidR="00190923" w:rsidRPr="00981405">
        <w:t xml:space="preserve"> </w:t>
      </w:r>
      <w:r w:rsidR="00397032" w:rsidRPr="00981405">
        <w:t>all</w:t>
      </w:r>
      <w:r w:rsidR="00190923" w:rsidRPr="00981405">
        <w:t xml:space="preserve"> </w:t>
      </w:r>
      <w:r w:rsidR="00397032" w:rsidRPr="00981405">
        <w:t>matters</w:t>
      </w:r>
      <w:r w:rsidR="00190923" w:rsidRPr="00981405">
        <w:t xml:space="preserve"> </w:t>
      </w:r>
      <w:r w:rsidR="00397032" w:rsidRPr="00981405">
        <w:t>governed</w:t>
      </w:r>
      <w:r w:rsidR="00190923" w:rsidRPr="00981405">
        <w:t xml:space="preserve"> </w:t>
      </w:r>
      <w:r w:rsidR="00397032" w:rsidRPr="00981405">
        <w:t>by</w:t>
      </w:r>
      <w:r w:rsidR="00190923" w:rsidRPr="00981405">
        <w:t xml:space="preserve"> </w:t>
      </w:r>
      <w:r w:rsidR="00397032" w:rsidRPr="00981405">
        <w:t>this</w:t>
      </w:r>
      <w:r w:rsidR="00190923" w:rsidRPr="00981405">
        <w:t xml:space="preserve"> </w:t>
      </w:r>
      <w:r w:rsidR="00397032" w:rsidRPr="00981405">
        <w:t>Agreement,</w:t>
      </w:r>
      <w:r w:rsidR="00190923" w:rsidRPr="00981405">
        <w:t xml:space="preserve"> </w:t>
      </w:r>
      <w:r w:rsidR="00397032" w:rsidRPr="00981405">
        <w:t>this</w:t>
      </w:r>
      <w:r w:rsidR="00190923" w:rsidRPr="00981405">
        <w:t xml:space="preserve"> </w:t>
      </w:r>
      <w:r w:rsidR="00397032" w:rsidRPr="00981405">
        <w:t>treatment</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00397032" w:rsidRPr="00981405">
        <w:t>not</w:t>
      </w:r>
      <w:r w:rsidR="00190923" w:rsidRPr="00981405">
        <w:t xml:space="preserve"> </w:t>
      </w:r>
      <w:r w:rsidR="00397032" w:rsidRPr="00981405">
        <w:t>less</w:t>
      </w:r>
      <w:r w:rsidR="00190923" w:rsidRPr="00981405">
        <w:t xml:space="preserve"> </w:t>
      </w:r>
      <w:r w:rsidR="00397032" w:rsidRPr="00981405">
        <w:t>favourable</w:t>
      </w:r>
      <w:r w:rsidR="00190923" w:rsidRPr="00981405">
        <w:t xml:space="preserve"> </w:t>
      </w:r>
      <w:r w:rsidR="00397032" w:rsidRPr="00981405">
        <w:t>than</w:t>
      </w:r>
      <w:r w:rsidR="00190923" w:rsidRPr="00981405">
        <w:t xml:space="preserve"> </w:t>
      </w:r>
      <w:r w:rsidR="00397032" w:rsidRPr="00981405">
        <w:t>that</w:t>
      </w:r>
      <w:r w:rsidR="00190923" w:rsidRPr="00981405">
        <w:t xml:space="preserve"> </w:t>
      </w:r>
      <w:r w:rsidR="00397032" w:rsidRPr="00981405">
        <w:t>extended</w:t>
      </w:r>
      <w:r w:rsidR="00190923" w:rsidRPr="00981405">
        <w:t xml:space="preserve"> </w:t>
      </w:r>
      <w:r w:rsidR="00397032" w:rsidRPr="00981405">
        <w:t>by</w:t>
      </w:r>
      <w:r w:rsidR="00190923" w:rsidRPr="00981405">
        <w:t xml:space="preserve"> </w:t>
      </w:r>
      <w:r w:rsidR="00397032" w:rsidRPr="00981405">
        <w:t>each</w:t>
      </w:r>
      <w:r w:rsidR="00190923" w:rsidRPr="00981405">
        <w:t xml:space="preserve"> </w:t>
      </w:r>
      <w:r w:rsidR="00397032" w:rsidRPr="00981405">
        <w:t>Party</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investments</w:t>
      </w:r>
      <w:r w:rsidR="00190923" w:rsidRPr="00981405">
        <w:t xml:space="preserve"> </w:t>
      </w:r>
      <w:r w:rsidR="00397032" w:rsidRPr="00981405">
        <w:t>made</w:t>
      </w:r>
      <w:r w:rsidR="00190923" w:rsidRPr="00981405">
        <w:t xml:space="preserve"> </w:t>
      </w:r>
      <w:r w:rsidR="00397032" w:rsidRPr="00981405">
        <w:t>in</w:t>
      </w:r>
      <w:r w:rsidR="00190923" w:rsidRPr="00981405">
        <w:t xml:space="preserve"> </w:t>
      </w:r>
      <w:r w:rsidR="00397032" w:rsidRPr="00981405">
        <w:t>its</w:t>
      </w:r>
      <w:r w:rsidR="00190923" w:rsidRPr="00981405">
        <w:t xml:space="preserve"> </w:t>
      </w:r>
      <w:r w:rsidR="00397032" w:rsidRPr="00981405">
        <w:t>territory</w:t>
      </w:r>
      <w:r w:rsidR="00190923" w:rsidRPr="00981405">
        <w:t xml:space="preserve"> </w:t>
      </w:r>
      <w:r w:rsidR="00397032" w:rsidRPr="00981405">
        <w:t>by</w:t>
      </w:r>
      <w:r w:rsidR="00190923" w:rsidRPr="00981405">
        <w:t xml:space="preserve"> </w:t>
      </w:r>
      <w:r w:rsidR="00397032" w:rsidRPr="00981405">
        <w:t>investors</w:t>
      </w:r>
      <w:r w:rsidR="00190923" w:rsidRPr="00981405">
        <w:t xml:space="preserve"> </w:t>
      </w:r>
      <w:r w:rsidR="00397032" w:rsidRPr="00981405">
        <w:t>of</w:t>
      </w:r>
      <w:r w:rsidR="00190923" w:rsidRPr="00981405">
        <w:t xml:space="preserve"> </w:t>
      </w:r>
      <w:r w:rsidR="00397032" w:rsidRPr="00981405">
        <w:t>a</w:t>
      </w:r>
      <w:r w:rsidR="00190923" w:rsidRPr="00981405">
        <w:t xml:space="preserve"> </w:t>
      </w:r>
      <w:r w:rsidR="00397032" w:rsidRPr="00981405">
        <w:t>third</w:t>
      </w:r>
      <w:r w:rsidR="00190923" w:rsidRPr="00981405">
        <w:t xml:space="preserve"> </w:t>
      </w:r>
      <w:r w:rsidR="00397032" w:rsidRPr="00981405">
        <w:t>country.</w:t>
      </w:r>
      <w:r w:rsidRPr="00981405">
        <w:t>”</w:t>
      </w:r>
      <w:r w:rsidR="00397032" w:rsidRPr="00981405">
        <w:rPr>
          <w:rStyle w:val="FootnoteReference"/>
        </w:rPr>
        <w:footnoteReference w:id="493"/>
      </w:r>
      <w:r w:rsidR="00190923" w:rsidRPr="00981405">
        <w:t xml:space="preserve"> </w:t>
      </w:r>
    </w:p>
    <w:p w:rsidR="00397032" w:rsidRPr="00981405" w:rsidRDefault="00397032" w:rsidP="00D97463">
      <w:pPr>
        <w:pStyle w:val="SingleTxt"/>
      </w:pPr>
      <w:r w:rsidRPr="00981405">
        <w:t>84.</w:t>
      </w:r>
      <w:r w:rsidRPr="00981405">
        <w:tab/>
        <w:t>In</w:t>
      </w:r>
      <w:r w:rsidR="00190923" w:rsidRPr="00981405">
        <w:t xml:space="preserve"> </w:t>
      </w:r>
      <w:r w:rsidRPr="00981405">
        <w:t>upholding</w:t>
      </w:r>
      <w:r w:rsidR="00190923" w:rsidRPr="00981405">
        <w:t xml:space="preserve"> </w:t>
      </w:r>
      <w:r w:rsidRPr="00981405">
        <w:t>the</w:t>
      </w:r>
      <w:r w:rsidR="00190923" w:rsidRPr="00981405">
        <w:t xml:space="preserve"> </w:t>
      </w:r>
      <w:r w:rsidRPr="00981405">
        <w:t>claimant</w:t>
      </w:r>
      <w:r w:rsidR="00B92E2C" w:rsidRPr="00981405">
        <w:t>’</w:t>
      </w:r>
      <w:r w:rsidRPr="00981405">
        <w:t>s</w:t>
      </w:r>
      <w:r w:rsidR="00190923" w:rsidRPr="00981405">
        <w:t xml:space="preserve"> </w:t>
      </w:r>
      <w:r w:rsidRPr="00981405">
        <w:t>argument,</w:t>
      </w:r>
      <w:r w:rsidR="00190923" w:rsidRPr="00981405">
        <w:t xml:space="preserve"> </w:t>
      </w:r>
      <w:r w:rsidRPr="00981405">
        <w:t>the</w:t>
      </w:r>
      <w:r w:rsidR="00190923" w:rsidRPr="00981405">
        <w:t xml:space="preserve"> </w:t>
      </w:r>
      <w:r w:rsidRPr="00981405">
        <w:t>tribunal</w:t>
      </w:r>
      <w:r w:rsidR="00190923" w:rsidRPr="00981405">
        <w:t xml:space="preserve"> </w:t>
      </w:r>
      <w:r w:rsidRPr="00981405">
        <w:t>took</w:t>
      </w:r>
      <w:r w:rsidR="00190923" w:rsidRPr="00981405">
        <w:t xml:space="preserve"> </w:t>
      </w:r>
      <w:r w:rsidRPr="00981405">
        <w:t>into</w:t>
      </w:r>
      <w:r w:rsidR="00190923" w:rsidRPr="00981405">
        <w:t xml:space="preserve"> </w:t>
      </w:r>
      <w:r w:rsidRPr="00981405">
        <w:t>account</w:t>
      </w:r>
      <w:r w:rsidR="00190923" w:rsidRPr="00981405">
        <w:t xml:space="preserve"> </w:t>
      </w:r>
      <w:r w:rsidRPr="00981405">
        <w:t>the</w:t>
      </w:r>
      <w:r w:rsidR="00190923" w:rsidRPr="00981405">
        <w:t xml:space="preserve"> </w:t>
      </w:r>
      <w:r w:rsidRPr="00981405">
        <w:t>broad</w:t>
      </w:r>
      <w:r w:rsidR="00190923" w:rsidRPr="00981405">
        <w:t xml:space="preserve"> </w:t>
      </w:r>
      <w:r w:rsidRPr="00981405">
        <w:t>terms</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which</w:t>
      </w:r>
      <w:r w:rsidR="00190923" w:rsidRPr="00981405">
        <w:t xml:space="preserve"> </w:t>
      </w:r>
      <w:r w:rsidRPr="00981405">
        <w:t>applied</w:t>
      </w:r>
      <w:r w:rsidR="00190923" w:rsidRPr="00981405">
        <w:t xml:space="preserve"> </w:t>
      </w:r>
      <w:r w:rsidR="00B92E2C" w:rsidRPr="00981405">
        <w:t>“</w:t>
      </w:r>
      <w:r w:rsidRPr="00981405">
        <w:t>in</w:t>
      </w:r>
      <w:r w:rsidR="00190923" w:rsidRPr="00981405">
        <w:t xml:space="preserve"> </w:t>
      </w:r>
      <w:r w:rsidRPr="00981405">
        <w:t>all</w:t>
      </w:r>
      <w:r w:rsidR="00190923" w:rsidRPr="00981405">
        <w:t xml:space="preserve"> </w:t>
      </w:r>
      <w:r w:rsidRPr="00981405">
        <w:t>matters</w:t>
      </w:r>
      <w:r w:rsidR="00190923" w:rsidRPr="00981405">
        <w:t xml:space="preserve"> </w:t>
      </w:r>
      <w:r w:rsidRPr="00981405">
        <w:t>governed</w:t>
      </w:r>
      <w:r w:rsidR="00190923" w:rsidRPr="00981405">
        <w:t xml:space="preserve"> </w:t>
      </w:r>
      <w:r w:rsidRPr="00981405">
        <w:t>by</w:t>
      </w:r>
      <w:r w:rsidR="00190923" w:rsidRPr="00981405">
        <w:t xml:space="preserve"> </w:t>
      </w:r>
      <w:r w:rsidRPr="00981405">
        <w:t>this</w:t>
      </w:r>
      <w:r w:rsidR="00190923" w:rsidRPr="00981405">
        <w:t xml:space="preserve"> </w:t>
      </w:r>
      <w:r w:rsidRPr="00981405">
        <w:t>Agreement.</w:t>
      </w:r>
      <w:r w:rsidR="00B92E2C" w:rsidRPr="00981405">
        <w:t>”</w:t>
      </w:r>
      <w:r w:rsidR="00190923" w:rsidRPr="00981405">
        <w:t xml:space="preserve"> </w:t>
      </w:r>
      <w:r w:rsidRPr="00981405">
        <w:t>It</w:t>
      </w:r>
      <w:r w:rsidR="00190923" w:rsidRPr="00981405">
        <w:t xml:space="preserve"> </w:t>
      </w:r>
      <w:r w:rsidRPr="00981405">
        <w:t>placed</w:t>
      </w:r>
      <w:r w:rsidR="00190923" w:rsidRPr="00981405">
        <w:t xml:space="preserve"> </w:t>
      </w:r>
      <w:r w:rsidRPr="00981405">
        <w:t>emphasis</w:t>
      </w:r>
      <w:r w:rsidR="00190923" w:rsidRPr="00981405">
        <w:t xml:space="preserve"> </w:t>
      </w:r>
      <w:r w:rsidRPr="00981405">
        <w:t>on</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identify</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contracting</w:t>
      </w:r>
      <w:r w:rsidR="00190923" w:rsidRPr="00981405">
        <w:t xml:space="preserve"> </w:t>
      </w:r>
      <w:r w:rsidRPr="00981405">
        <w:t>parties,</w:t>
      </w:r>
      <w:r w:rsidR="00190923" w:rsidRPr="00981405">
        <w:t xml:space="preserve"> </w:t>
      </w:r>
      <w:r w:rsidRPr="00981405">
        <w:t>the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assessing</w:t>
      </w:r>
      <w:r w:rsidR="00190923" w:rsidRPr="00981405">
        <w:t xml:space="preserve"> </w:t>
      </w:r>
      <w:r w:rsidRPr="00981405">
        <w:t>the</w:t>
      </w:r>
      <w:r w:rsidR="00190923" w:rsidRPr="00981405">
        <w:t xml:space="preserve"> </w:t>
      </w:r>
      <w:r w:rsidRPr="00981405">
        <w:t>past</w:t>
      </w:r>
      <w:r w:rsidR="00190923" w:rsidRPr="00981405">
        <w:t xml:space="preserve"> </w:t>
      </w:r>
      <w:r w:rsidRPr="00981405">
        <w:t>practice</w:t>
      </w:r>
      <w:r w:rsidR="00190923" w:rsidRPr="00981405">
        <w:t xml:space="preserve"> </w:t>
      </w:r>
      <w:r w:rsidRPr="00981405">
        <w:t>of</w:t>
      </w:r>
      <w:r w:rsidR="00190923" w:rsidRPr="00981405">
        <w:t xml:space="preserve"> </w:t>
      </w:r>
      <w:r w:rsidRPr="00981405">
        <w:t>States</w:t>
      </w:r>
      <w:r w:rsidR="00190923" w:rsidRPr="00981405">
        <w:t xml:space="preserve"> </w:t>
      </w:r>
      <w:r w:rsidRPr="00981405">
        <w:t>concerning</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in</w:t>
      </w:r>
      <w:r w:rsidR="00190923" w:rsidRPr="00981405">
        <w:t xml:space="preserve"> </w:t>
      </w:r>
      <w:r w:rsidRPr="00981405">
        <w:t>other</w:t>
      </w:r>
      <w:r w:rsidR="00190923" w:rsidRPr="00981405">
        <w:t xml:space="preserve"> </w:t>
      </w:r>
      <w:r w:rsidRPr="00981405">
        <w:t>BITs</w:t>
      </w:r>
      <w:r w:rsidR="00190923" w:rsidRPr="00981405">
        <w:t xml:space="preserve"> </w:t>
      </w:r>
      <w:r w:rsidRPr="00981405">
        <w:t>(the</w:t>
      </w:r>
      <w:r w:rsidR="00190923" w:rsidRPr="00981405">
        <w:t xml:space="preserve"> </w:t>
      </w:r>
      <w:r w:rsidRPr="00981405">
        <w:t>assessment</w:t>
      </w:r>
      <w:r w:rsidR="00190923" w:rsidRPr="00981405">
        <w:t xml:space="preserve"> </w:t>
      </w:r>
      <w:r w:rsidRPr="00981405">
        <w:t>of</w:t>
      </w:r>
      <w:r w:rsidR="00190923" w:rsidRPr="00981405">
        <w:t xml:space="preserve"> </w:t>
      </w:r>
      <w:r w:rsidRPr="00981405">
        <w:t>which</w:t>
      </w:r>
      <w:r w:rsidR="00190923" w:rsidRPr="00981405">
        <w:t xml:space="preserve"> </w:t>
      </w:r>
      <w:r w:rsidRPr="00981405">
        <w:t>favoured</w:t>
      </w:r>
      <w:r w:rsidR="00190923" w:rsidRPr="00981405">
        <w:t xml:space="preserve"> </w:t>
      </w:r>
      <w:r w:rsidRPr="00981405">
        <w:t>the</w:t>
      </w:r>
      <w:r w:rsidR="00190923" w:rsidRPr="00981405">
        <w:t xml:space="preserve"> </w:t>
      </w:r>
      <w:r w:rsidRPr="00981405">
        <w:t>claimant</w:t>
      </w:r>
      <w:r w:rsidR="00B92E2C" w:rsidRPr="00981405">
        <w:t>’</w:t>
      </w:r>
      <w:r w:rsidRPr="00981405">
        <w:t>s</w:t>
      </w:r>
      <w:r w:rsidR="00190923" w:rsidRPr="00981405">
        <w:t xml:space="preserve"> </w:t>
      </w:r>
      <w:r w:rsidRPr="00981405">
        <w:t>argument),</w:t>
      </w:r>
      <w:r w:rsidR="00190923" w:rsidRPr="00981405">
        <w:t xml:space="preserve"> </w:t>
      </w:r>
      <w:r w:rsidRPr="00981405">
        <w:t>and</w:t>
      </w:r>
      <w:r w:rsidR="00190923" w:rsidRPr="00981405">
        <w:t xml:space="preserve"> </w:t>
      </w:r>
      <w:r w:rsidRPr="00981405">
        <w:t>the</w:t>
      </w:r>
      <w:r w:rsidR="00190923" w:rsidRPr="00981405">
        <w:t xml:space="preserve"> </w:t>
      </w:r>
      <w:r w:rsidRPr="00981405">
        <w:t>significance</w:t>
      </w:r>
      <w:r w:rsidR="00190923" w:rsidRPr="00981405">
        <w:t xml:space="preserve"> </w:t>
      </w:r>
      <w:r w:rsidRPr="00981405">
        <w:t>of</w:t>
      </w:r>
      <w:r w:rsidR="00190923" w:rsidRPr="00981405">
        <w:t xml:space="preserve"> </w:t>
      </w:r>
      <w:r w:rsidRPr="00981405">
        <w:t>taking</w:t>
      </w:r>
      <w:r w:rsidR="00190923" w:rsidRPr="00981405">
        <w:t xml:space="preserve"> </w:t>
      </w:r>
      <w:r w:rsidRPr="00981405">
        <w:t>into</w:t>
      </w:r>
      <w:r w:rsidR="00190923" w:rsidRPr="00981405">
        <w:t xml:space="preserve"> </w:t>
      </w:r>
      <w:r w:rsidRPr="00981405">
        <w:t>account</w:t>
      </w:r>
      <w:r w:rsidR="00190923" w:rsidRPr="00981405">
        <w:t xml:space="preserve"> </w:t>
      </w:r>
      <w:r w:rsidRPr="00981405">
        <w:t>public</w:t>
      </w:r>
      <w:r w:rsidR="00190923" w:rsidRPr="00981405">
        <w:t xml:space="preserve"> </w:t>
      </w:r>
      <w:r w:rsidRPr="00981405">
        <w:t>policy</w:t>
      </w:r>
      <w:r w:rsidR="00190923" w:rsidRPr="00981405">
        <w:t xml:space="preserve"> </w:t>
      </w:r>
      <w:r w:rsidRPr="00981405">
        <w:t>considerations.</w:t>
      </w:r>
    </w:p>
    <w:p w:rsidR="00397032" w:rsidRPr="00981405" w:rsidRDefault="00397032" w:rsidP="00D97463">
      <w:pPr>
        <w:pStyle w:val="SingleTxt"/>
      </w:pPr>
      <w:r w:rsidRPr="00981405">
        <w:t>85.</w:t>
      </w:r>
      <w:r w:rsidRPr="00981405">
        <w:tab/>
      </w:r>
      <w:r w:rsidR="00190923" w:rsidRPr="00981405">
        <w:t xml:space="preserve"> </w:t>
      </w:r>
      <w:r w:rsidRPr="00981405">
        <w:t>The</w:t>
      </w:r>
      <w:r w:rsidR="00190923" w:rsidRPr="00981405">
        <w:t xml:space="preserve"> </w:t>
      </w:r>
      <w:r w:rsidRPr="00981405">
        <w:t>tribunal</w:t>
      </w:r>
      <w:r w:rsidR="00190923" w:rsidRPr="00981405">
        <w:t xml:space="preserve"> </w:t>
      </w:r>
      <w:r w:rsidRPr="00981405">
        <w:t>relied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on</w:t>
      </w:r>
      <w:r w:rsidR="00190923" w:rsidRPr="00981405">
        <w:t xml:space="preserve"> </w:t>
      </w:r>
      <w:r w:rsidRPr="00981405">
        <w:t>the</w:t>
      </w:r>
      <w:r w:rsidR="00190923" w:rsidRPr="00981405">
        <w:t xml:space="preserve"> </w:t>
      </w:r>
      <w:r w:rsidRPr="00D97463">
        <w:rPr>
          <w:i/>
          <w:iCs/>
        </w:rPr>
        <w:t>Ambatielos</w:t>
      </w:r>
      <w:r w:rsidR="00190923" w:rsidRPr="00981405">
        <w:t xml:space="preserve"> </w:t>
      </w:r>
      <w:r w:rsidRPr="00981405">
        <w:t>claim</w:t>
      </w:r>
      <w:r w:rsidRPr="00981405">
        <w:rPr>
          <w:rStyle w:val="FootnoteReference"/>
        </w:rPr>
        <w:footnoteReference w:id="494"/>
      </w:r>
      <w:r w:rsidR="00190923" w:rsidRPr="00981405">
        <w:t xml:space="preserve"> </w:t>
      </w:r>
      <w:r w:rsidRPr="00981405">
        <w:t>where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Arbitration</w:t>
      </w:r>
      <w:r w:rsidR="00190923" w:rsidRPr="00981405">
        <w:t xml:space="preserve"> </w:t>
      </w:r>
      <w:r w:rsidRPr="00981405">
        <w:t>had</w:t>
      </w:r>
      <w:r w:rsidR="00190923" w:rsidRPr="00981405">
        <w:t xml:space="preserve"> </w:t>
      </w:r>
      <w:r w:rsidRPr="00981405">
        <w:t>confirmed</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ejusdem</w:t>
      </w:r>
      <w:r w:rsidR="00190923" w:rsidRPr="00D97463">
        <w:rPr>
          <w:i/>
          <w:iCs/>
        </w:rPr>
        <w:t xml:space="preserve"> </w:t>
      </w:r>
      <w:r w:rsidRPr="00D97463">
        <w:rPr>
          <w:i/>
          <w:iCs/>
        </w:rPr>
        <w:t>generis</w:t>
      </w:r>
      <w:r w:rsidR="00190923" w:rsidRPr="00981405">
        <w:t xml:space="preserve"> </w:t>
      </w:r>
      <w:r w:rsidRPr="00981405">
        <w:t>principle.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stated</w:t>
      </w:r>
      <w:r w:rsidR="00190923" w:rsidRPr="00981405">
        <w:t xml:space="preserve"> </w:t>
      </w:r>
      <w:r w:rsidRPr="00981405">
        <w:t>that</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can</w:t>
      </w:r>
      <w:r w:rsidR="00190923" w:rsidRPr="00981405">
        <w:t xml:space="preserve"> </w:t>
      </w:r>
      <w:r w:rsidRPr="00981405">
        <w:t>only</w:t>
      </w:r>
      <w:r w:rsidR="00190923" w:rsidRPr="00981405">
        <w:t xml:space="preserve"> </w:t>
      </w:r>
      <w:r w:rsidRPr="00981405">
        <w:t>attract</w:t>
      </w:r>
      <w:r w:rsidR="00190923" w:rsidRPr="00981405">
        <w:t xml:space="preserve"> </w:t>
      </w:r>
      <w:r w:rsidRPr="00981405">
        <w:t>matters</w:t>
      </w:r>
      <w:r w:rsidR="00190923" w:rsidRPr="00981405">
        <w:t xml:space="preserve"> </w:t>
      </w:r>
      <w:r w:rsidRPr="00981405">
        <w:t>belonging</w:t>
      </w:r>
      <w:r w:rsidR="00190923" w:rsidRPr="00981405">
        <w:t xml:space="preserve"> </w:t>
      </w:r>
      <w:r w:rsidRPr="00981405">
        <w:t>to</w:t>
      </w:r>
      <w:r w:rsidR="00190923" w:rsidRPr="00981405">
        <w:t xml:space="preserve"> </w:t>
      </w:r>
      <w:r w:rsidRPr="00981405">
        <w:t>the</w:t>
      </w:r>
      <w:r w:rsidR="00190923" w:rsidRPr="00981405">
        <w:t xml:space="preserve"> </w:t>
      </w:r>
      <w:r w:rsidRPr="00981405">
        <w:t>same</w:t>
      </w:r>
      <w:r w:rsidR="00190923" w:rsidRPr="00981405">
        <w:t xml:space="preserve"> </w:t>
      </w:r>
      <w:r w:rsidRPr="00981405">
        <w:t>category</w:t>
      </w:r>
      <w:r w:rsidR="00190923" w:rsidRPr="00981405">
        <w:t xml:space="preserve"> </w:t>
      </w:r>
      <w:r w:rsidRPr="00981405">
        <w:t>of</w:t>
      </w:r>
      <w:r w:rsidR="00190923" w:rsidRPr="00981405">
        <w:t xml:space="preserve"> </w:t>
      </w:r>
      <w:r w:rsidRPr="00981405">
        <w:t>subject</w:t>
      </w:r>
      <w:r w:rsidR="00190923" w:rsidRPr="00981405">
        <w:t xml:space="preserve"> </w:t>
      </w:r>
      <w:r w:rsidRPr="00981405">
        <w:t>matter</w:t>
      </w:r>
      <w:r w:rsidR="00190923" w:rsidRPr="00981405">
        <w:t xml:space="preserve"> </w:t>
      </w:r>
      <w:r w:rsidRPr="00981405">
        <w:t>and</w:t>
      </w:r>
      <w:r w:rsidR="00190923" w:rsidRPr="00981405">
        <w:t xml:space="preserve"> </w:t>
      </w:r>
      <w:r w:rsidRPr="00981405">
        <w:t>that</w:t>
      </w:r>
      <w:r w:rsidR="00190923" w:rsidRPr="00981405">
        <w:t xml:space="preserve"> </w:t>
      </w:r>
      <w:r w:rsidR="00B92E2C" w:rsidRPr="00981405">
        <w:t>“</w:t>
      </w:r>
      <w:r w:rsidRPr="00981405">
        <w:t>the</w:t>
      </w:r>
      <w:r w:rsidR="00190923" w:rsidRPr="00981405">
        <w:t xml:space="preserve"> </w:t>
      </w:r>
      <w:r w:rsidRPr="00981405">
        <w:t>question</w:t>
      </w:r>
      <w:r w:rsidR="00190923" w:rsidRPr="00981405">
        <w:t xml:space="preserve"> </w:t>
      </w:r>
      <w:r w:rsidRPr="00981405">
        <w:t>can</w:t>
      </w:r>
      <w:r w:rsidR="00190923" w:rsidRPr="00981405">
        <w:t xml:space="preserve"> </w:t>
      </w:r>
      <w:r w:rsidRPr="00981405">
        <w:t>only</w:t>
      </w:r>
      <w:r w:rsidR="00190923" w:rsidRPr="00981405">
        <w:t xml:space="preserve"> </w:t>
      </w:r>
      <w:r w:rsidRPr="00981405">
        <w:t>be</w:t>
      </w:r>
      <w:r w:rsidR="00190923" w:rsidRPr="00981405">
        <w:t xml:space="preserve"> </w:t>
      </w:r>
      <w:r w:rsidRPr="00981405">
        <w:lastRenderedPageBreak/>
        <w:t>determined</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Contracting</w:t>
      </w:r>
      <w:r w:rsidR="00190923" w:rsidRPr="00981405">
        <w:t xml:space="preserve"> </w:t>
      </w:r>
      <w:r w:rsidRPr="00981405">
        <w:t>Parties</w:t>
      </w:r>
      <w:r w:rsidR="00190923" w:rsidRPr="00981405">
        <w:t xml:space="preserve"> </w:t>
      </w:r>
      <w:r w:rsidRPr="00981405">
        <w:t>as</w:t>
      </w:r>
      <w:r w:rsidR="00190923" w:rsidRPr="00981405">
        <w:t xml:space="preserve"> </w:t>
      </w:r>
      <w:r w:rsidRPr="00981405">
        <w:t>deduced</w:t>
      </w:r>
      <w:r w:rsidR="00190923" w:rsidRPr="00981405">
        <w:t xml:space="preserve"> </w:t>
      </w:r>
      <w:r w:rsidRPr="00981405">
        <w:t>from</w:t>
      </w:r>
      <w:r w:rsidR="00190923" w:rsidRPr="00981405">
        <w:t xml:space="preserve"> </w:t>
      </w:r>
      <w:r w:rsidRPr="00981405">
        <w:t>a</w:t>
      </w:r>
      <w:r w:rsidR="00190923" w:rsidRPr="00981405">
        <w:t xml:space="preserve"> </w:t>
      </w:r>
      <w:r w:rsidRPr="00981405">
        <w:t>reasonable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B92E2C" w:rsidRPr="00981405">
        <w:t>”</w:t>
      </w:r>
      <w:r w:rsidRPr="00981405">
        <w:rPr>
          <w:rStyle w:val="FootnoteReference"/>
        </w:rPr>
        <w:footnoteReference w:id="495"/>
      </w:r>
    </w:p>
    <w:p w:rsidR="00397032" w:rsidRPr="00981405" w:rsidRDefault="00397032" w:rsidP="00D97463">
      <w:pPr>
        <w:pStyle w:val="SingleTxt"/>
      </w:pPr>
      <w:r w:rsidRPr="00981405">
        <w:t>86.</w:t>
      </w:r>
      <w:r w:rsidRPr="00981405">
        <w:tab/>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the</w:t>
      </w:r>
      <w:r w:rsidR="00190923" w:rsidRPr="00981405">
        <w:t xml:space="preserve"> </w:t>
      </w:r>
      <w:r w:rsidRPr="00D97463">
        <w:rPr>
          <w:i/>
          <w:iCs/>
        </w:rPr>
        <w:t>ejusdem</w:t>
      </w:r>
      <w:r w:rsidR="00190923" w:rsidRPr="00D97463">
        <w:rPr>
          <w:i/>
          <w:iCs/>
        </w:rPr>
        <w:t xml:space="preserve"> </w:t>
      </w:r>
      <w:r w:rsidRPr="00D97463">
        <w:rPr>
          <w:i/>
          <w:iCs/>
        </w:rPr>
        <w:t>generis</w:t>
      </w:r>
      <w:r w:rsidR="00190923" w:rsidRPr="00D97463">
        <w:rPr>
          <w:i/>
          <w:iCs/>
        </w:rPr>
        <w:t xml:space="preserve"> </w:t>
      </w:r>
      <w:r w:rsidRPr="00981405">
        <w:t>principle,</w:t>
      </w:r>
      <w:r w:rsidR="00190923" w:rsidRPr="00981405">
        <w:t xml:space="preserve"> </w:t>
      </w:r>
      <w:r w:rsidRPr="00981405">
        <w:t>the</w:t>
      </w:r>
      <w:r w:rsidR="00190923" w:rsidRPr="00981405">
        <w:t xml:space="preserve"> </w:t>
      </w:r>
      <w:r w:rsidRPr="00D97463">
        <w:rPr>
          <w:i/>
          <w:iCs/>
        </w:rPr>
        <w:t>Maffezini</w:t>
      </w:r>
      <w:r w:rsidR="00190923" w:rsidRPr="00981405">
        <w:t xml:space="preserve"> </w:t>
      </w:r>
      <w:r w:rsidRPr="00981405">
        <w:t>tribunal</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arrangements,</w:t>
      </w:r>
      <w:r w:rsidR="00190923" w:rsidRPr="00981405">
        <w:t xml:space="preserve"> </w:t>
      </w:r>
      <w:r w:rsidRPr="00981405">
        <w:t>in</w:t>
      </w:r>
      <w:r w:rsidR="00190923" w:rsidRPr="00981405">
        <w:t xml:space="preserve"> </w:t>
      </w:r>
      <w:r w:rsidRPr="00981405">
        <w:t>the</w:t>
      </w:r>
      <w:r w:rsidR="00190923" w:rsidRPr="00981405">
        <w:t xml:space="preserve"> </w:t>
      </w:r>
      <w:r w:rsidRPr="00981405">
        <w:t>current</w:t>
      </w:r>
      <w:r w:rsidR="00190923" w:rsidRPr="00981405">
        <w:t xml:space="preserve"> </w:t>
      </w:r>
      <w:r w:rsidRPr="00981405">
        <w:t>economic</w:t>
      </w:r>
      <w:r w:rsidR="00190923" w:rsidRPr="00981405">
        <w:t xml:space="preserve"> </w:t>
      </w:r>
      <w:r w:rsidRPr="00981405">
        <w:t>context,</w:t>
      </w:r>
      <w:r w:rsidR="00190923" w:rsidRPr="00981405">
        <w:t xml:space="preserve"> </w:t>
      </w:r>
      <w:r w:rsidRPr="00981405">
        <w:t>are</w:t>
      </w:r>
      <w:r w:rsidR="00190923" w:rsidRPr="00981405">
        <w:t xml:space="preserve"> </w:t>
      </w:r>
      <w:r w:rsidRPr="00981405">
        <w:t>inextricably</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foreign</w:t>
      </w:r>
      <w:r w:rsidR="00190923" w:rsidRPr="00981405">
        <w:t xml:space="preserve"> </w:t>
      </w:r>
      <w:r w:rsidRPr="00981405">
        <w:t>investors,</w:t>
      </w:r>
      <w:r w:rsidR="00190923" w:rsidRPr="00981405">
        <w:t xml:space="preserve"> </w:t>
      </w:r>
      <w:r w:rsidRPr="00981405">
        <w:t>and</w:t>
      </w:r>
      <w:r w:rsidR="00190923" w:rsidRPr="00981405">
        <w:t xml:space="preserve"> </w:t>
      </w:r>
      <w:r w:rsidRPr="00981405">
        <w:t>that</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is</w:t>
      </w:r>
      <w:r w:rsidR="00190923" w:rsidRPr="00981405">
        <w:t xml:space="preserve"> </w:t>
      </w:r>
      <w:r w:rsidRPr="00981405">
        <w:t>an</w:t>
      </w:r>
      <w:r w:rsidR="00190923" w:rsidRPr="00981405">
        <w:t xml:space="preserve"> </w:t>
      </w:r>
      <w:r w:rsidRPr="00981405">
        <w:t>extremely</w:t>
      </w:r>
      <w:r w:rsidR="00190923" w:rsidRPr="00981405">
        <w:t xml:space="preserve"> </w:t>
      </w:r>
      <w:r w:rsidRPr="00981405">
        <w:t>important</w:t>
      </w:r>
      <w:r w:rsidR="00190923" w:rsidRPr="00981405">
        <w:t xml:space="preserve"> </w:t>
      </w:r>
      <w:r w:rsidRPr="00981405">
        <w:t>device</w:t>
      </w:r>
      <w:r w:rsidR="00190923" w:rsidRPr="00981405">
        <w:t xml:space="preserve"> </w:t>
      </w:r>
      <w:r w:rsidRPr="00981405">
        <w:t>which</w:t>
      </w:r>
      <w:r w:rsidR="00190923" w:rsidRPr="00981405">
        <w:t xml:space="preserve"> </w:t>
      </w:r>
      <w:r w:rsidRPr="00981405">
        <w:t>protects</w:t>
      </w:r>
      <w:r w:rsidR="00190923" w:rsidRPr="00981405">
        <w:t xml:space="preserve"> </w:t>
      </w:r>
      <w:r w:rsidRPr="00981405">
        <w:t>investors.</w:t>
      </w:r>
      <w:r w:rsidR="00190923" w:rsidRPr="00981405">
        <w:t xml:space="preserve"> </w:t>
      </w:r>
      <w:r w:rsidRPr="00981405">
        <w:t>Therefore,</w:t>
      </w:r>
      <w:r w:rsidR="00190923" w:rsidRPr="00981405">
        <w:t xml:space="preserve"> </w:t>
      </w:r>
      <w:r w:rsidRPr="00981405">
        <w:t>such</w:t>
      </w:r>
      <w:r w:rsidR="00190923" w:rsidRPr="00981405">
        <w:t xml:space="preserve"> </w:t>
      </w:r>
      <w:r w:rsidRPr="00981405">
        <w:t>arrangements</w:t>
      </w:r>
      <w:r w:rsidR="00190923" w:rsidRPr="00981405">
        <w:t xml:space="preserve"> </w:t>
      </w:r>
      <w:r w:rsidRPr="00981405">
        <w:t>were</w:t>
      </w:r>
      <w:r w:rsidR="00190923" w:rsidRPr="00981405">
        <w:t xml:space="preserve"> </w:t>
      </w:r>
      <w:r w:rsidRPr="00981405">
        <w:t>not</w:t>
      </w:r>
      <w:r w:rsidR="00190923" w:rsidRPr="00981405">
        <w:t xml:space="preserve"> </w:t>
      </w:r>
      <w:r w:rsidRPr="00981405">
        <w:t>to</w:t>
      </w:r>
      <w:r w:rsidR="00190923" w:rsidRPr="00981405">
        <w:t xml:space="preserve"> </w:t>
      </w:r>
      <w:r w:rsidRPr="00981405">
        <w:t>be</w:t>
      </w:r>
      <w:r w:rsidR="00190923" w:rsidRPr="00981405">
        <w:t xml:space="preserve"> </w:t>
      </w:r>
      <w:r w:rsidRPr="00981405">
        <w:t>considered</w:t>
      </w:r>
      <w:r w:rsidR="00190923" w:rsidRPr="00981405">
        <w:t xml:space="preserve"> </w:t>
      </w:r>
      <w:r w:rsidRPr="00981405">
        <w:t>as</w:t>
      </w:r>
      <w:r w:rsidR="00190923" w:rsidRPr="00981405">
        <w:t xml:space="preserve"> </w:t>
      </w:r>
      <w:r w:rsidRPr="00981405">
        <w:t>mere</w:t>
      </w:r>
      <w:r w:rsidR="00190923" w:rsidRPr="00981405">
        <w:t xml:space="preserve"> </w:t>
      </w:r>
      <w:r w:rsidRPr="00981405">
        <w:t>procedural</w:t>
      </w:r>
      <w:r w:rsidR="00190923" w:rsidRPr="00981405">
        <w:t xml:space="preserve"> </w:t>
      </w:r>
      <w:r w:rsidRPr="00981405">
        <w:t>devices</w:t>
      </w:r>
      <w:r w:rsidR="00190923" w:rsidRPr="00981405">
        <w:t xml:space="preserve"> </w:t>
      </w:r>
      <w:r w:rsidRPr="00981405">
        <w:t>but</w:t>
      </w:r>
      <w:r w:rsidR="00190923" w:rsidRPr="00981405">
        <w:t xml:space="preserve"> </w:t>
      </w:r>
      <w:r w:rsidRPr="00981405">
        <w:t>arrangements</w:t>
      </w:r>
      <w:r w:rsidR="00190923" w:rsidRPr="00981405">
        <w:t xml:space="preserve"> </w:t>
      </w:r>
      <w:r w:rsidRPr="00981405">
        <w:t>designed</w:t>
      </w:r>
      <w:r w:rsidR="00190923" w:rsidRPr="00981405">
        <w:t xml:space="preserve"> </w:t>
      </w:r>
      <w:r w:rsidRPr="00981405">
        <w:t>to</w:t>
      </w:r>
      <w:r w:rsidR="00190923" w:rsidRPr="00981405">
        <w:t xml:space="preserve"> </w:t>
      </w:r>
      <w:r w:rsidRPr="00981405">
        <w:t>better</w:t>
      </w:r>
      <w:r w:rsidR="00190923" w:rsidRPr="00981405">
        <w:t xml:space="preserve"> </w:t>
      </w:r>
      <w:r w:rsidRPr="00981405">
        <w:t>protect</w:t>
      </w:r>
      <w:r w:rsidR="00190923" w:rsidRPr="00981405">
        <w:t xml:space="preserve"> </w:t>
      </w:r>
      <w:r w:rsidRPr="00981405">
        <w:t>the</w:t>
      </w:r>
      <w:r w:rsidR="00190923" w:rsidRPr="00981405">
        <w:t xml:space="preserve"> </w:t>
      </w:r>
      <w:r w:rsidRPr="00981405">
        <w:t>rights</w:t>
      </w:r>
      <w:r w:rsidR="00190923" w:rsidRPr="00981405">
        <w:t xml:space="preserve"> </w:t>
      </w:r>
      <w:r w:rsidRPr="00981405">
        <w:t>of</w:t>
      </w:r>
      <w:r w:rsidR="00190923" w:rsidRPr="00981405">
        <w:t xml:space="preserve"> </w:t>
      </w:r>
      <w:r w:rsidRPr="00981405">
        <w:t>investors</w:t>
      </w:r>
      <w:r w:rsidR="00190923" w:rsidRPr="00981405">
        <w:t xml:space="preserve"> </w:t>
      </w:r>
      <w:r w:rsidRPr="00981405">
        <w:t>by</w:t>
      </w:r>
      <w:r w:rsidR="00190923" w:rsidRPr="00981405">
        <w:t xml:space="preserve"> </w:t>
      </w:r>
      <w:r w:rsidRPr="00981405">
        <w:t>recourse</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arbitration.</w:t>
      </w:r>
    </w:p>
    <w:p w:rsidR="00397032" w:rsidRPr="00981405" w:rsidRDefault="00397032" w:rsidP="00D97463">
      <w:pPr>
        <w:pStyle w:val="SingleTxt"/>
      </w:pPr>
      <w:r w:rsidRPr="00981405">
        <w:t>87.</w:t>
      </w:r>
      <w:r w:rsidRPr="00981405">
        <w:tab/>
        <w:t>From</w:t>
      </w:r>
      <w:r w:rsidR="00190923" w:rsidRPr="00981405">
        <w:t xml:space="preserve"> </w:t>
      </w:r>
      <w:r w:rsidRPr="00981405">
        <w:t>this,</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p>
    <w:p w:rsidR="00397032" w:rsidRPr="00981405" w:rsidRDefault="00B92E2C" w:rsidP="00D97463">
      <w:pPr>
        <w:pStyle w:val="SingleTxt"/>
        <w:ind w:left="1742"/>
      </w:pPr>
      <w:r w:rsidRPr="00981405">
        <w:t>“</w:t>
      </w:r>
      <w:r w:rsidR="00397032" w:rsidRPr="00981405">
        <w:t>…</w:t>
      </w:r>
      <w:r w:rsidR="00190923" w:rsidRPr="00981405">
        <w:t xml:space="preserve"> </w:t>
      </w:r>
      <w:r w:rsidR="00397032" w:rsidRPr="00981405">
        <w:t>if</w:t>
      </w:r>
      <w:r w:rsidR="00190923" w:rsidRPr="00981405">
        <w:t xml:space="preserve"> </w:t>
      </w:r>
      <w:r w:rsidR="00397032" w:rsidRPr="00981405">
        <w:t>a</w:t>
      </w:r>
      <w:r w:rsidR="00190923" w:rsidRPr="00981405">
        <w:t xml:space="preserve"> </w:t>
      </w:r>
      <w:r w:rsidR="00397032" w:rsidRPr="00981405">
        <w:t>third</w:t>
      </w:r>
      <w:r w:rsidR="00190923" w:rsidRPr="00981405">
        <w:t xml:space="preserve"> </w:t>
      </w:r>
      <w:r w:rsidR="00397032" w:rsidRPr="00981405">
        <w:t>party</w:t>
      </w:r>
      <w:r w:rsidR="00190923" w:rsidRPr="00981405">
        <w:t xml:space="preserve"> </w:t>
      </w:r>
      <w:r w:rsidR="00397032" w:rsidRPr="00981405">
        <w:t>treaty</w:t>
      </w:r>
      <w:r w:rsidR="00190923" w:rsidRPr="00981405">
        <w:t xml:space="preserve"> </w:t>
      </w:r>
      <w:r w:rsidR="00397032" w:rsidRPr="00981405">
        <w:t>contains</w:t>
      </w:r>
      <w:r w:rsidR="00190923" w:rsidRPr="00981405">
        <w:t xml:space="preserve"> </w:t>
      </w:r>
      <w:r w:rsidR="00397032" w:rsidRPr="00981405">
        <w:t>provisions</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settlement</w:t>
      </w:r>
      <w:r w:rsidR="00190923" w:rsidRPr="00981405">
        <w:t xml:space="preserve"> </w:t>
      </w:r>
      <w:r w:rsidR="00397032" w:rsidRPr="00981405">
        <w:t>of</w:t>
      </w:r>
      <w:r w:rsidR="00190923" w:rsidRPr="00981405">
        <w:t xml:space="preserve"> </w:t>
      </w:r>
      <w:r w:rsidR="00397032" w:rsidRPr="00981405">
        <w:t>disputes</w:t>
      </w:r>
      <w:r w:rsidR="00190923" w:rsidRPr="00981405">
        <w:t xml:space="preserve"> </w:t>
      </w:r>
      <w:r w:rsidR="00397032" w:rsidRPr="00981405">
        <w:t>that</w:t>
      </w:r>
      <w:r w:rsidR="00190923" w:rsidRPr="00981405">
        <w:t xml:space="preserve"> </w:t>
      </w:r>
      <w:r w:rsidR="00397032" w:rsidRPr="00981405">
        <w:t>are</w:t>
      </w:r>
      <w:r w:rsidR="00190923" w:rsidRPr="00981405">
        <w:t xml:space="preserve"> </w:t>
      </w:r>
      <w:r w:rsidR="00397032" w:rsidRPr="00981405">
        <w:t>more</w:t>
      </w:r>
      <w:r w:rsidR="00190923" w:rsidRPr="00981405">
        <w:t xml:space="preserve"> </w:t>
      </w:r>
      <w:r w:rsidR="00397032" w:rsidRPr="00981405">
        <w:t>favourable</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protection</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investor</w:t>
      </w:r>
      <w:r w:rsidRPr="00981405">
        <w:t>’</w:t>
      </w:r>
      <w:r w:rsidR="00397032" w:rsidRPr="00981405">
        <w:t>s</w:t>
      </w:r>
      <w:r w:rsidR="00190923" w:rsidRPr="00981405">
        <w:t xml:space="preserve"> </w:t>
      </w:r>
      <w:r w:rsidR="00397032" w:rsidRPr="00981405">
        <w:t>rights</w:t>
      </w:r>
      <w:r w:rsidR="00190923" w:rsidRPr="00981405">
        <w:t xml:space="preserve"> </w:t>
      </w:r>
      <w:r w:rsidR="00397032" w:rsidRPr="00981405">
        <w:t>and</w:t>
      </w:r>
      <w:r w:rsidR="00190923" w:rsidRPr="00981405">
        <w:t xml:space="preserve"> </w:t>
      </w:r>
      <w:r w:rsidR="00397032" w:rsidRPr="00981405">
        <w:t>interests</w:t>
      </w:r>
      <w:r w:rsidR="00190923" w:rsidRPr="00981405">
        <w:t xml:space="preserve"> </w:t>
      </w:r>
      <w:r w:rsidR="00397032" w:rsidRPr="00981405">
        <w:t>than</w:t>
      </w:r>
      <w:r w:rsidR="00190923" w:rsidRPr="00981405">
        <w:t xml:space="preserve"> </w:t>
      </w:r>
      <w:r w:rsidR="00397032" w:rsidRPr="00981405">
        <w:t>those</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basic</w:t>
      </w:r>
      <w:r w:rsidR="00190923" w:rsidRPr="00981405">
        <w:t xml:space="preserve"> </w:t>
      </w:r>
      <w:r w:rsidR="00397032" w:rsidRPr="00981405">
        <w:t>treaty,</w:t>
      </w:r>
      <w:r w:rsidR="00190923" w:rsidRPr="00981405">
        <w:t xml:space="preserve"> </w:t>
      </w:r>
      <w:r w:rsidR="00397032" w:rsidRPr="00981405">
        <w:t>such</w:t>
      </w:r>
      <w:r w:rsidR="00190923" w:rsidRPr="00981405">
        <w:t xml:space="preserve"> </w:t>
      </w:r>
      <w:r w:rsidR="00397032" w:rsidRPr="00981405">
        <w:t>provisions</w:t>
      </w:r>
      <w:r w:rsidR="00190923" w:rsidRPr="00981405">
        <w:t xml:space="preserve"> </w:t>
      </w:r>
      <w:r w:rsidR="00397032" w:rsidRPr="00981405">
        <w:t>may</w:t>
      </w:r>
      <w:r w:rsidR="00190923" w:rsidRPr="00981405">
        <w:t xml:space="preserve"> </w:t>
      </w:r>
      <w:r w:rsidR="00397032" w:rsidRPr="00981405">
        <w:t>be</w:t>
      </w:r>
      <w:r w:rsidR="00190923" w:rsidRPr="00981405">
        <w:t xml:space="preserve"> </w:t>
      </w:r>
      <w:r w:rsidR="00397032" w:rsidRPr="00981405">
        <w:t>extended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beneficiary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most</w:t>
      </w:r>
      <w:r w:rsidR="00190923" w:rsidRPr="00981405">
        <w:t xml:space="preserve"> </w:t>
      </w:r>
      <w:r w:rsidR="00397032" w:rsidRPr="00981405">
        <w:t>favoured</w:t>
      </w:r>
      <w:r w:rsidR="00190923" w:rsidRPr="00981405">
        <w:t xml:space="preserve"> </w:t>
      </w:r>
      <w:r w:rsidR="00397032" w:rsidRPr="00981405">
        <w:t>nation</w:t>
      </w:r>
      <w:r w:rsidR="00190923" w:rsidRPr="00981405">
        <w:t xml:space="preserve"> </w:t>
      </w:r>
      <w:r w:rsidR="00397032" w:rsidRPr="00981405">
        <w:t>clause</w:t>
      </w:r>
      <w:r w:rsidR="00190923" w:rsidRPr="00981405">
        <w:t xml:space="preserve"> </w:t>
      </w:r>
      <w:r w:rsidR="00397032" w:rsidRPr="00981405">
        <w:t>as</w:t>
      </w:r>
      <w:r w:rsidR="00190923" w:rsidRPr="00981405">
        <w:t xml:space="preserve"> </w:t>
      </w:r>
      <w:r w:rsidR="00397032" w:rsidRPr="00981405">
        <w:t>they</w:t>
      </w:r>
      <w:r w:rsidR="00190923" w:rsidRPr="00981405">
        <w:t xml:space="preserve"> </w:t>
      </w:r>
      <w:r w:rsidR="00397032" w:rsidRPr="00981405">
        <w:t>are</w:t>
      </w:r>
      <w:r w:rsidR="00190923" w:rsidRPr="00981405">
        <w:t xml:space="preserve"> </w:t>
      </w:r>
      <w:r w:rsidR="00397032" w:rsidRPr="00981405">
        <w:t>fully</w:t>
      </w:r>
      <w:r w:rsidR="00190923" w:rsidRPr="00981405">
        <w:t xml:space="preserve"> </w:t>
      </w:r>
      <w:r w:rsidR="00397032" w:rsidRPr="00981405">
        <w:t>compatible</w:t>
      </w:r>
      <w:r w:rsidR="00190923" w:rsidRPr="00981405">
        <w:t xml:space="preserve"> </w:t>
      </w:r>
      <w:r w:rsidR="00397032" w:rsidRPr="00981405">
        <w:t>with</w:t>
      </w:r>
      <w:r w:rsidR="00190923" w:rsidRPr="00981405">
        <w:t xml:space="preserve"> </w:t>
      </w:r>
      <w:r w:rsidR="00397032" w:rsidRPr="00981405">
        <w:t>the</w:t>
      </w:r>
      <w:r w:rsidR="00190923" w:rsidRPr="00981405">
        <w:t xml:space="preserve"> </w:t>
      </w:r>
      <w:r w:rsidR="00397032" w:rsidRPr="00D97463">
        <w:rPr>
          <w:i/>
          <w:iCs/>
        </w:rPr>
        <w:t>ejusdem</w:t>
      </w:r>
      <w:r w:rsidR="00190923" w:rsidRPr="00D97463">
        <w:rPr>
          <w:i/>
          <w:iCs/>
        </w:rPr>
        <w:t xml:space="preserve"> </w:t>
      </w:r>
      <w:r w:rsidR="00397032" w:rsidRPr="00D97463">
        <w:rPr>
          <w:i/>
          <w:iCs/>
        </w:rPr>
        <w:t>generis</w:t>
      </w:r>
      <w:r w:rsidR="00190923" w:rsidRPr="00981405">
        <w:t xml:space="preserve"> </w:t>
      </w:r>
      <w:r w:rsidR="00397032" w:rsidRPr="00981405">
        <w:t>principle</w:t>
      </w:r>
      <w:r w:rsidRPr="00981405">
        <w:t>”</w:t>
      </w:r>
      <w:r w:rsidR="00A00224">
        <w:t>.</w:t>
      </w:r>
      <w:r w:rsidR="00397032" w:rsidRPr="00981405">
        <w:rPr>
          <w:rStyle w:val="FootnoteReference"/>
        </w:rPr>
        <w:footnoteReference w:id="496"/>
      </w:r>
      <w:r w:rsidR="00190923" w:rsidRPr="00981405">
        <w:t xml:space="preserve"> </w:t>
      </w:r>
    </w:p>
    <w:p w:rsidR="00397032" w:rsidRPr="00981405" w:rsidRDefault="00397032" w:rsidP="00D97463">
      <w:pPr>
        <w:pStyle w:val="SingleTxt"/>
      </w:pPr>
      <w:r w:rsidRPr="00981405">
        <w:t>88.</w:t>
      </w:r>
      <w:r w:rsidRPr="00981405">
        <w:tab/>
        <w:t>This</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arrangements</w:t>
      </w:r>
      <w:r w:rsidR="00190923" w:rsidRPr="00981405">
        <w:t xml:space="preserve"> </w:t>
      </w:r>
      <w:r w:rsidRPr="00981405">
        <w:t>would,</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result</w:t>
      </w:r>
      <w:r w:rsidR="00190923" w:rsidRPr="00981405">
        <w:t xml:space="preserve"> </w:t>
      </w:r>
      <w:r w:rsidRPr="00981405">
        <w:t>in</w:t>
      </w:r>
      <w:r w:rsidR="00190923" w:rsidRPr="00981405">
        <w:t xml:space="preserve"> </w:t>
      </w:r>
      <w:r w:rsidRPr="00981405">
        <w:t>the</w:t>
      </w:r>
      <w:r w:rsidR="00190923" w:rsidRPr="00981405">
        <w:t xml:space="preserve"> </w:t>
      </w:r>
      <w:r w:rsidR="00B92E2C" w:rsidRPr="00981405">
        <w:t>“</w:t>
      </w:r>
      <w:r w:rsidRPr="00981405">
        <w:t>harmonization</w:t>
      </w:r>
      <w:r w:rsidR="00190923" w:rsidRPr="00981405">
        <w:t xml:space="preserve"> </w:t>
      </w:r>
      <w:r w:rsidRPr="00981405">
        <w:t>and</w:t>
      </w:r>
      <w:r w:rsidR="00190923" w:rsidRPr="00981405">
        <w:t xml:space="preserve"> </w:t>
      </w:r>
      <w:r w:rsidRPr="00981405">
        <w:t>enlargement</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such</w:t>
      </w:r>
      <w:r w:rsidR="00190923" w:rsidRPr="00981405">
        <w:t xml:space="preserve"> </w:t>
      </w:r>
      <w:r w:rsidRPr="00981405">
        <w:t>arrangements.</w:t>
      </w:r>
      <w:r w:rsidR="00B92E2C" w:rsidRPr="00981405">
        <w:t>”</w:t>
      </w:r>
      <w:r w:rsidRPr="00981405">
        <w:rPr>
          <w:rStyle w:val="FootnoteReference"/>
        </w:rPr>
        <w:footnoteReference w:id="497"/>
      </w:r>
      <w:r w:rsidRPr="00981405">
        <w:t>However,</w:t>
      </w:r>
      <w:r w:rsidR="00190923" w:rsidRPr="00981405">
        <w:t xml:space="preserve"> </w:t>
      </w:r>
      <w:r w:rsidRPr="00981405">
        <w:t>the</w:t>
      </w:r>
      <w:r w:rsidR="00190923" w:rsidRPr="00981405">
        <w:t xml:space="preserve"> </w:t>
      </w:r>
      <w:r w:rsidRPr="00981405">
        <w:t>tribunal</w:t>
      </w:r>
      <w:r w:rsidR="00190923" w:rsidRPr="00981405">
        <w:t xml:space="preserve"> </w:t>
      </w:r>
      <w:r w:rsidRPr="00981405">
        <w:t>was</w:t>
      </w:r>
      <w:r w:rsidR="00190923" w:rsidRPr="00981405">
        <w:t xml:space="preserve"> </w:t>
      </w:r>
      <w:r w:rsidRPr="00981405">
        <w:t>conscious</w:t>
      </w:r>
      <w:r w:rsidR="00190923" w:rsidRPr="00981405">
        <w:t xml:space="preserve"> </w:t>
      </w:r>
      <w:r w:rsidRPr="00981405">
        <w:t>of</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its</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was</w:t>
      </w:r>
      <w:r w:rsidR="00190923" w:rsidRPr="00981405">
        <w:t xml:space="preserve"> </w:t>
      </w:r>
      <w:r w:rsidRPr="00981405">
        <w:t>a</w:t>
      </w:r>
      <w:r w:rsidR="00190923" w:rsidRPr="00981405">
        <w:t xml:space="preserve"> </w:t>
      </w:r>
      <w:r w:rsidRPr="00981405">
        <w:t>broad</w:t>
      </w:r>
      <w:r w:rsidR="00190923" w:rsidRPr="00981405">
        <w:t xml:space="preserve"> </w:t>
      </w:r>
      <w:r w:rsidRPr="00981405">
        <w:t>one,</w:t>
      </w:r>
      <w:r w:rsidR="00190923" w:rsidRPr="00981405">
        <w:t xml:space="preserve"> </w:t>
      </w:r>
      <w:r w:rsidRPr="00981405">
        <w:t>and</w:t>
      </w:r>
      <w:r w:rsidR="00190923" w:rsidRPr="00981405">
        <w:t xml:space="preserve"> </w:t>
      </w:r>
      <w:r w:rsidRPr="00981405">
        <w:t>could</w:t>
      </w:r>
      <w:r w:rsidR="00190923" w:rsidRPr="00981405">
        <w:t xml:space="preserve"> </w:t>
      </w:r>
      <w:r w:rsidRPr="00981405">
        <w:t>give</w:t>
      </w:r>
      <w:r w:rsidR="00190923" w:rsidRPr="00981405">
        <w:t xml:space="preserve"> </w:t>
      </w:r>
      <w:r w:rsidRPr="00981405">
        <w:t>rise,</w:t>
      </w:r>
      <w:r w:rsidR="00190923" w:rsidRPr="00981405">
        <w:t xml:space="preserve"> </w:t>
      </w:r>
      <w:r w:rsidRPr="00981405">
        <w:rPr>
          <w:i/>
          <w:iCs/>
        </w:rPr>
        <w:t>inter</w:t>
      </w:r>
      <w:r w:rsidR="00190923" w:rsidRPr="00981405">
        <w:rPr>
          <w:i/>
          <w:iCs/>
        </w:rPr>
        <w:t xml:space="preserve"> </w:t>
      </w:r>
      <w:r w:rsidRPr="00981405">
        <w:rPr>
          <w:i/>
          <w:iCs/>
        </w:rPr>
        <w:t>alia</w:t>
      </w:r>
      <w:r w:rsidRPr="00981405">
        <w:t>,</w:t>
      </w:r>
      <w:r w:rsidR="00190923" w:rsidRPr="00981405">
        <w:t xml:space="preserve"> </w:t>
      </w:r>
      <w:r w:rsidRPr="00981405">
        <w:t>to</w:t>
      </w:r>
      <w:r w:rsidR="00190923" w:rsidRPr="00981405">
        <w:t xml:space="preserve"> </w:t>
      </w:r>
      <w:r w:rsidR="00B92E2C" w:rsidRPr="00981405">
        <w:t>“</w:t>
      </w:r>
      <w:r w:rsidRPr="00981405">
        <w:t>disruptive</w:t>
      </w:r>
      <w:r w:rsidR="00190923" w:rsidRPr="00981405">
        <w:t xml:space="preserve"> </w:t>
      </w:r>
      <w:r w:rsidRPr="00981405">
        <w:t>treaty</w:t>
      </w:r>
      <w:r w:rsidR="00190923" w:rsidRPr="00981405">
        <w:t xml:space="preserve"> </w:t>
      </w:r>
      <w:r w:rsidR="00A00224">
        <w:t>shopping</w:t>
      </w:r>
      <w:r w:rsidR="00B92E2C" w:rsidRPr="00981405">
        <w:t>”</w:t>
      </w:r>
      <w:r w:rsidR="00A00224">
        <w:t>.</w:t>
      </w:r>
      <w:r w:rsidRPr="00981405">
        <w:rPr>
          <w:rStyle w:val="FootnoteReference"/>
        </w:rPr>
        <w:footnoteReference w:id="498"/>
      </w:r>
      <w:r w:rsidR="00190923" w:rsidRPr="00981405">
        <w:t xml:space="preserve"> </w:t>
      </w:r>
      <w:r w:rsidRPr="00981405">
        <w:t>It</w:t>
      </w:r>
      <w:r w:rsidR="00190923" w:rsidRPr="00981405">
        <w:t xml:space="preserve"> </w:t>
      </w:r>
      <w:r w:rsidRPr="00981405">
        <w:t>noted</w:t>
      </w:r>
      <w:r w:rsidR="00190923" w:rsidRPr="00981405">
        <w:t xml:space="preserve"> </w:t>
      </w:r>
      <w:r w:rsidRPr="00981405">
        <w:t>that,</w:t>
      </w:r>
    </w:p>
    <w:p w:rsidR="00397032" w:rsidRPr="00981405" w:rsidRDefault="00B92E2C" w:rsidP="00D97463">
      <w:pPr>
        <w:pStyle w:val="SingleTxt"/>
        <w:ind w:left="1742"/>
      </w:pPr>
      <w:r w:rsidRPr="00981405">
        <w:t>“</w:t>
      </w:r>
      <w:r w:rsidR="00397032" w:rsidRPr="00981405">
        <w:t>As</w:t>
      </w:r>
      <w:r w:rsidR="00190923" w:rsidRPr="00981405">
        <w:t xml:space="preserve"> </w:t>
      </w:r>
      <w:r w:rsidR="00397032" w:rsidRPr="00981405">
        <w:t>a</w:t>
      </w:r>
      <w:r w:rsidR="00190923" w:rsidRPr="00981405">
        <w:t xml:space="preserve"> </w:t>
      </w:r>
      <w:r w:rsidR="00397032" w:rsidRPr="00981405">
        <w:t>matter</w:t>
      </w:r>
      <w:r w:rsidR="00190923" w:rsidRPr="00981405">
        <w:t xml:space="preserve"> </w:t>
      </w:r>
      <w:r w:rsidR="00397032" w:rsidRPr="00981405">
        <w:t>of</w:t>
      </w:r>
      <w:r w:rsidR="00190923" w:rsidRPr="00981405">
        <w:t xml:space="preserve"> </w:t>
      </w:r>
      <w:r w:rsidR="00397032" w:rsidRPr="00981405">
        <w:t>principle,</w:t>
      </w:r>
      <w:r w:rsidR="00190923" w:rsidRPr="00981405">
        <w:t xml:space="preserve"> </w:t>
      </w:r>
      <w:r w:rsidR="00397032" w:rsidRPr="00981405">
        <w:t>the</w:t>
      </w:r>
      <w:r w:rsidR="00190923" w:rsidRPr="00981405">
        <w:t xml:space="preserve"> </w:t>
      </w:r>
      <w:r w:rsidR="00397032" w:rsidRPr="00981405">
        <w:t>beneficiary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clause</w:t>
      </w:r>
      <w:r w:rsidR="00190923" w:rsidRPr="00981405">
        <w:t xml:space="preserve"> </w:t>
      </w:r>
      <w:r w:rsidR="00397032" w:rsidRPr="00981405">
        <w:t>should</w:t>
      </w:r>
      <w:r w:rsidR="00190923" w:rsidRPr="00981405">
        <w:t xml:space="preserve"> </w:t>
      </w:r>
      <w:r w:rsidR="00397032" w:rsidRPr="00981405">
        <w:t>not</w:t>
      </w:r>
      <w:r w:rsidR="00190923" w:rsidRPr="00981405">
        <w:t xml:space="preserve"> </w:t>
      </w:r>
      <w:r w:rsidR="00397032" w:rsidRPr="00981405">
        <w:t>be</w:t>
      </w:r>
      <w:r w:rsidR="00190923" w:rsidRPr="00981405">
        <w:t xml:space="preserve"> </w:t>
      </w:r>
      <w:r w:rsidR="00397032" w:rsidRPr="00981405">
        <w:t>able</w:t>
      </w:r>
      <w:r w:rsidR="00190923" w:rsidRPr="00981405">
        <w:t xml:space="preserve"> </w:t>
      </w:r>
      <w:r w:rsidR="00397032" w:rsidRPr="00981405">
        <w:t>to</w:t>
      </w:r>
      <w:r w:rsidR="00190923" w:rsidRPr="00981405">
        <w:t xml:space="preserve"> </w:t>
      </w:r>
      <w:r w:rsidR="00397032" w:rsidRPr="00981405">
        <w:t>override</w:t>
      </w:r>
      <w:r w:rsidR="00190923" w:rsidRPr="00981405">
        <w:t xml:space="preserve"> </w:t>
      </w:r>
      <w:r w:rsidR="00397032" w:rsidRPr="00981405">
        <w:t>public</w:t>
      </w:r>
      <w:r w:rsidR="00190923" w:rsidRPr="00981405">
        <w:t xml:space="preserve"> </w:t>
      </w:r>
      <w:r w:rsidR="00397032" w:rsidRPr="00981405">
        <w:t>policy</w:t>
      </w:r>
      <w:r w:rsidR="00190923" w:rsidRPr="00981405">
        <w:t xml:space="preserve"> </w:t>
      </w:r>
      <w:r w:rsidR="00397032" w:rsidRPr="00981405">
        <w:t>considerations</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contracting</w:t>
      </w:r>
      <w:r w:rsidR="00190923" w:rsidRPr="00981405">
        <w:t xml:space="preserve"> </w:t>
      </w:r>
      <w:r w:rsidR="00397032" w:rsidRPr="00981405">
        <w:t>parties</w:t>
      </w:r>
      <w:r w:rsidR="00190923" w:rsidRPr="00981405">
        <w:t xml:space="preserve"> </w:t>
      </w:r>
      <w:r w:rsidR="00397032" w:rsidRPr="00981405">
        <w:t>might</w:t>
      </w:r>
      <w:r w:rsidR="00190923" w:rsidRPr="00981405">
        <w:t xml:space="preserve"> </w:t>
      </w:r>
      <w:r w:rsidR="00397032" w:rsidRPr="00981405">
        <w:t>have</w:t>
      </w:r>
      <w:r w:rsidR="00190923" w:rsidRPr="00981405">
        <w:t xml:space="preserve"> </w:t>
      </w:r>
      <w:r w:rsidR="00397032" w:rsidRPr="00981405">
        <w:t>envisaged</w:t>
      </w:r>
      <w:r w:rsidR="00190923" w:rsidRPr="00981405">
        <w:t xml:space="preserve"> </w:t>
      </w:r>
      <w:r w:rsidR="00397032" w:rsidRPr="00981405">
        <w:t>as</w:t>
      </w:r>
      <w:r w:rsidR="00190923" w:rsidRPr="00981405">
        <w:t xml:space="preserve"> </w:t>
      </w:r>
      <w:r w:rsidR="00397032" w:rsidRPr="00981405">
        <w:t>fundamental</w:t>
      </w:r>
      <w:r w:rsidR="00190923" w:rsidRPr="00981405">
        <w:t xml:space="preserve"> </w:t>
      </w:r>
      <w:r w:rsidR="00397032" w:rsidRPr="00981405">
        <w:t>conditions</w:t>
      </w:r>
      <w:r w:rsidR="00190923" w:rsidRPr="00981405">
        <w:t xml:space="preserve"> </w:t>
      </w:r>
      <w:r w:rsidR="00397032" w:rsidRPr="00981405">
        <w:t>for</w:t>
      </w:r>
      <w:r w:rsidR="00190923" w:rsidRPr="00981405">
        <w:t xml:space="preserve"> </w:t>
      </w:r>
      <w:r w:rsidR="00397032" w:rsidRPr="00981405">
        <w:t>their</w:t>
      </w:r>
      <w:r w:rsidR="00190923" w:rsidRPr="00981405">
        <w:t xml:space="preserve"> </w:t>
      </w:r>
      <w:r w:rsidR="00397032" w:rsidRPr="00981405">
        <w:t>acceptance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agreement</w:t>
      </w:r>
      <w:r w:rsidR="00190923" w:rsidRPr="00981405">
        <w:t xml:space="preserve"> </w:t>
      </w:r>
      <w:r w:rsidR="00397032" w:rsidRPr="00981405">
        <w:t>in</w:t>
      </w:r>
      <w:r w:rsidR="00190923" w:rsidRPr="00981405">
        <w:t xml:space="preserve"> </w:t>
      </w:r>
      <w:r w:rsidR="00397032" w:rsidRPr="00981405">
        <w:t>question,</w:t>
      </w:r>
      <w:r w:rsidR="00190923" w:rsidRPr="00981405">
        <w:t xml:space="preserve"> </w:t>
      </w:r>
      <w:r w:rsidR="00397032" w:rsidRPr="00981405">
        <w:t>particularly</w:t>
      </w:r>
      <w:r w:rsidR="00190923" w:rsidRPr="00981405">
        <w:t xml:space="preserve"> </w:t>
      </w:r>
      <w:r w:rsidR="00397032" w:rsidRPr="00981405">
        <w:t>if</w:t>
      </w:r>
      <w:r w:rsidR="00190923" w:rsidRPr="00981405">
        <w:t xml:space="preserve"> </w:t>
      </w:r>
      <w:r w:rsidR="00397032" w:rsidRPr="00981405">
        <w:t>the</w:t>
      </w:r>
      <w:r w:rsidR="00190923" w:rsidRPr="00981405">
        <w:t xml:space="preserve"> </w:t>
      </w:r>
      <w:r w:rsidR="00397032" w:rsidRPr="00981405">
        <w:t>beneficiary</w:t>
      </w:r>
      <w:r w:rsidR="00190923" w:rsidRPr="00981405">
        <w:t xml:space="preserve"> </w:t>
      </w:r>
      <w:r w:rsidR="00397032" w:rsidRPr="00981405">
        <w:t>is</w:t>
      </w:r>
      <w:r w:rsidR="00190923" w:rsidRPr="00981405">
        <w:t xml:space="preserve"> </w:t>
      </w:r>
      <w:r w:rsidR="00397032" w:rsidRPr="00981405">
        <w:t>a</w:t>
      </w:r>
      <w:r w:rsidR="00190923" w:rsidRPr="00981405">
        <w:t xml:space="preserve"> </w:t>
      </w:r>
      <w:r w:rsidR="00397032" w:rsidRPr="00981405">
        <w:t>private</w:t>
      </w:r>
      <w:r w:rsidR="00190923" w:rsidRPr="00981405">
        <w:t xml:space="preserve"> </w:t>
      </w:r>
      <w:r w:rsidR="00397032" w:rsidRPr="00981405">
        <w:t>investor,</w:t>
      </w:r>
      <w:r w:rsidR="00190923" w:rsidRPr="00981405">
        <w:t xml:space="preserve"> </w:t>
      </w:r>
      <w:r w:rsidR="00397032" w:rsidRPr="00981405">
        <w:t>as</w:t>
      </w:r>
      <w:r w:rsidR="00190923" w:rsidRPr="00981405">
        <w:t xml:space="preserve"> </w:t>
      </w:r>
      <w:r w:rsidR="00397032" w:rsidRPr="00981405">
        <w:t>will</w:t>
      </w:r>
      <w:r w:rsidR="00190923" w:rsidRPr="00981405">
        <w:t xml:space="preserve"> </w:t>
      </w:r>
      <w:r w:rsidR="00397032" w:rsidRPr="00981405">
        <w:t>often</w:t>
      </w:r>
      <w:r w:rsidR="00190923" w:rsidRPr="00981405">
        <w:t xml:space="preserve"> </w:t>
      </w:r>
      <w:r w:rsidR="00397032" w:rsidRPr="00981405">
        <w:t>be</w:t>
      </w:r>
      <w:r w:rsidR="00190923" w:rsidRPr="00981405">
        <w:t xml:space="preserve"> </w:t>
      </w:r>
      <w:r w:rsidR="00397032" w:rsidRPr="00981405">
        <w:t>the</w:t>
      </w:r>
      <w:r w:rsidR="00190923" w:rsidRPr="00981405">
        <w:t xml:space="preserve"> </w:t>
      </w:r>
      <w:r w:rsidR="00397032" w:rsidRPr="00981405">
        <w:t>case.</w:t>
      </w:r>
      <w:r w:rsidR="00190923" w:rsidRPr="00981405">
        <w:t xml:space="preserve"> </w:t>
      </w:r>
      <w:r w:rsidR="00397032" w:rsidRPr="00981405">
        <w:t>The</w:t>
      </w:r>
      <w:r w:rsidR="00190923" w:rsidRPr="00981405">
        <w:t xml:space="preserve"> </w:t>
      </w:r>
      <w:r w:rsidR="00397032" w:rsidRPr="00981405">
        <w:t>scope</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clause</w:t>
      </w:r>
      <w:r w:rsidR="00190923" w:rsidRPr="00981405">
        <w:t xml:space="preserve"> </w:t>
      </w:r>
      <w:r w:rsidR="00397032" w:rsidRPr="00981405">
        <w:t>might</w:t>
      </w:r>
      <w:r w:rsidR="00190923" w:rsidRPr="00981405">
        <w:t xml:space="preserve"> </w:t>
      </w:r>
      <w:r w:rsidR="00397032" w:rsidRPr="00981405">
        <w:t>thus</w:t>
      </w:r>
      <w:r w:rsidR="00190923" w:rsidRPr="00981405">
        <w:t xml:space="preserve"> </w:t>
      </w:r>
      <w:r w:rsidR="00397032" w:rsidRPr="00981405">
        <w:t>be</w:t>
      </w:r>
      <w:r w:rsidR="00190923" w:rsidRPr="00981405">
        <w:t xml:space="preserve"> </w:t>
      </w:r>
      <w:r w:rsidR="00397032" w:rsidRPr="00981405">
        <w:t>narrower</w:t>
      </w:r>
      <w:r w:rsidR="00190923" w:rsidRPr="00981405">
        <w:t xml:space="preserve"> </w:t>
      </w:r>
      <w:r w:rsidR="00397032" w:rsidRPr="00981405">
        <w:t>than</w:t>
      </w:r>
      <w:r w:rsidR="00190923" w:rsidRPr="00981405">
        <w:t xml:space="preserve"> </w:t>
      </w:r>
      <w:r w:rsidR="00397032" w:rsidRPr="00981405">
        <w:t>it</w:t>
      </w:r>
      <w:r w:rsidR="00190923" w:rsidRPr="00981405">
        <w:t xml:space="preserve"> </w:t>
      </w:r>
      <w:r w:rsidR="00397032" w:rsidRPr="00981405">
        <w:t>appears</w:t>
      </w:r>
      <w:r w:rsidR="00190923" w:rsidRPr="00981405">
        <w:t xml:space="preserve"> </w:t>
      </w:r>
      <w:r w:rsidR="00397032" w:rsidRPr="00981405">
        <w:t>at</w:t>
      </w:r>
      <w:r w:rsidR="00190923" w:rsidRPr="00981405">
        <w:t xml:space="preserve"> </w:t>
      </w:r>
      <w:r w:rsidR="00397032" w:rsidRPr="00981405">
        <w:t>first</w:t>
      </w:r>
      <w:r w:rsidR="00190923" w:rsidRPr="00981405">
        <w:t xml:space="preserve"> </w:t>
      </w:r>
      <w:r w:rsidR="00397032" w:rsidRPr="00981405">
        <w:t>sight.</w:t>
      </w:r>
      <w:r w:rsidRPr="00981405">
        <w:t>”</w:t>
      </w:r>
      <w:r w:rsidR="00397032" w:rsidRPr="00981405">
        <w:rPr>
          <w:rStyle w:val="FootnoteReference"/>
        </w:rPr>
        <w:footnoteReference w:id="499"/>
      </w:r>
      <w:r w:rsidR="00190923" w:rsidRPr="00981405">
        <w:t xml:space="preserve"> </w:t>
      </w:r>
    </w:p>
    <w:p w:rsidR="00397032" w:rsidRPr="00981405" w:rsidRDefault="00397032" w:rsidP="00D97463">
      <w:pPr>
        <w:pStyle w:val="SingleTxt"/>
      </w:pPr>
      <w:r w:rsidRPr="00981405">
        <w:t>89.</w:t>
      </w:r>
      <w:r w:rsidRPr="00981405">
        <w:tab/>
        <w:t>Thereafter,</w:t>
      </w:r>
      <w:r w:rsidR="00190923" w:rsidRPr="00981405">
        <w:t xml:space="preserve"> </w:t>
      </w:r>
      <w:r w:rsidRPr="00981405">
        <w:t>the</w:t>
      </w:r>
      <w:r w:rsidR="00190923" w:rsidRPr="00981405">
        <w:t xml:space="preserve"> </w:t>
      </w:r>
      <w:r w:rsidRPr="00981405">
        <w:t>tribunal</w:t>
      </w:r>
      <w:r w:rsidR="00190923" w:rsidRPr="00981405">
        <w:t xml:space="preserve"> </w:t>
      </w:r>
      <w:r w:rsidRPr="00981405">
        <w:t>went</w:t>
      </w:r>
      <w:r w:rsidR="00190923" w:rsidRPr="00981405">
        <w:t xml:space="preserve"> </w:t>
      </w:r>
      <w:r w:rsidRPr="00981405">
        <w:t>on</w:t>
      </w:r>
      <w:r w:rsidR="00190923" w:rsidRPr="00981405">
        <w:t xml:space="preserve"> </w:t>
      </w:r>
      <w:r w:rsidRPr="00981405">
        <w:t>to</w:t>
      </w:r>
      <w:r w:rsidR="00190923" w:rsidRPr="00981405">
        <w:t xml:space="preserve"> </w:t>
      </w:r>
      <w:r w:rsidRPr="00981405">
        <w:t>set</w:t>
      </w:r>
      <w:r w:rsidR="00190923" w:rsidRPr="00981405">
        <w:t xml:space="preserve"> </w:t>
      </w:r>
      <w:r w:rsidRPr="00981405">
        <w:t>out</w:t>
      </w:r>
      <w:r w:rsidR="00190923" w:rsidRPr="00981405">
        <w:t xml:space="preserve"> </w:t>
      </w:r>
      <w:r w:rsidRPr="00981405">
        <w:t>four</w:t>
      </w:r>
      <w:r w:rsidR="00190923" w:rsidRPr="00981405">
        <w:t xml:space="preserve"> </w:t>
      </w:r>
      <w:r w:rsidRPr="00981405">
        <w:t>situations</w:t>
      </w:r>
      <w:r w:rsidR="00190923" w:rsidRPr="00981405">
        <w:t xml:space="preserve"> </w:t>
      </w:r>
      <w:r w:rsidRPr="00981405">
        <w:t>in</w:t>
      </w:r>
      <w:r w:rsidR="00190923" w:rsidRPr="00981405">
        <w:t xml:space="preserve"> </w:t>
      </w:r>
      <w:r w:rsidRPr="00981405">
        <w:t>which,</w:t>
      </w:r>
      <w:r w:rsidR="00190923" w:rsidRPr="00981405">
        <w:t xml:space="preserve"> </w:t>
      </w:r>
      <w:r w:rsidRPr="00981405">
        <w:t>in</w:t>
      </w:r>
      <w:r w:rsidR="00190923" w:rsidRPr="00981405">
        <w:t xml:space="preserve"> </w:t>
      </w:r>
      <w:r w:rsidRPr="00981405">
        <w:t>its</w:t>
      </w:r>
      <w:r w:rsidR="00190923" w:rsidRPr="00981405">
        <w:t xml:space="preserve"> </w:t>
      </w:r>
      <w:r w:rsidRPr="00981405">
        <w:t>view,</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invoked:</w:t>
      </w:r>
      <w:r w:rsidR="00190923" w:rsidRPr="00981405">
        <w:t xml:space="preserve"> </w:t>
      </w:r>
    </w:p>
    <w:p w:rsidR="00397032" w:rsidRPr="00981405" w:rsidRDefault="00293013" w:rsidP="00D97463">
      <w:pPr>
        <w:pStyle w:val="SingleTxt"/>
        <w:tabs>
          <w:tab w:val="right" w:pos="1685"/>
        </w:tabs>
        <w:ind w:left="1742" w:hanging="475"/>
      </w:pPr>
      <w:r w:rsidRPr="00981405">
        <w:tab/>
        <w:t>•</w:t>
      </w:r>
      <w:r w:rsidRPr="00981405">
        <w:tab/>
      </w:r>
      <w:r w:rsidR="00397032" w:rsidRPr="00981405">
        <w:t>where</w:t>
      </w:r>
      <w:r w:rsidR="00190923" w:rsidRPr="00981405">
        <w:t xml:space="preserve"> </w:t>
      </w:r>
      <w:r w:rsidR="00397032" w:rsidRPr="00981405">
        <w:t>one</w:t>
      </w:r>
      <w:r w:rsidR="00190923" w:rsidRPr="00981405">
        <w:t xml:space="preserve"> </w:t>
      </w:r>
      <w:r w:rsidR="00397032" w:rsidRPr="00981405">
        <w:t>Contracting</w:t>
      </w:r>
      <w:r w:rsidR="00190923" w:rsidRPr="00981405">
        <w:t xml:space="preserve"> </w:t>
      </w:r>
      <w:r w:rsidR="00397032" w:rsidRPr="00981405">
        <w:t>Party</w:t>
      </w:r>
      <w:r w:rsidR="00190923" w:rsidRPr="00981405">
        <w:t xml:space="preserve"> </w:t>
      </w:r>
      <w:r w:rsidR="00397032" w:rsidRPr="00981405">
        <w:t>had</w:t>
      </w:r>
      <w:r w:rsidR="00190923" w:rsidRPr="00981405">
        <w:t xml:space="preserve"> </w:t>
      </w:r>
      <w:r w:rsidR="00397032" w:rsidRPr="00981405">
        <w:t>conditioned</w:t>
      </w:r>
      <w:r w:rsidR="00190923" w:rsidRPr="00981405">
        <w:t xml:space="preserve"> </w:t>
      </w:r>
      <w:r w:rsidR="00397032" w:rsidRPr="00981405">
        <w:t>its</w:t>
      </w:r>
      <w:r w:rsidR="00190923" w:rsidRPr="00981405">
        <w:t xml:space="preserve"> </w:t>
      </w:r>
      <w:r w:rsidR="00397032" w:rsidRPr="00981405">
        <w:t>consent</w:t>
      </w:r>
      <w:r w:rsidR="00190923" w:rsidRPr="00981405">
        <w:t xml:space="preserve"> </w:t>
      </w:r>
      <w:r w:rsidR="00397032" w:rsidRPr="00981405">
        <w:t>to</w:t>
      </w:r>
      <w:r w:rsidR="00190923" w:rsidRPr="00981405">
        <w:t xml:space="preserve"> </w:t>
      </w:r>
      <w:r w:rsidR="00397032" w:rsidRPr="00981405">
        <w:t>arbitration</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exhaustion</w:t>
      </w:r>
      <w:r w:rsidR="00190923" w:rsidRPr="00981405">
        <w:t xml:space="preserve"> </w:t>
      </w:r>
      <w:r w:rsidR="00397032" w:rsidRPr="00981405">
        <w:t>of</w:t>
      </w:r>
      <w:r w:rsidR="00190923" w:rsidRPr="00981405">
        <w:t xml:space="preserve"> </w:t>
      </w:r>
      <w:r w:rsidR="00397032" w:rsidRPr="00981405">
        <w:t>local</w:t>
      </w:r>
      <w:r w:rsidR="00190923" w:rsidRPr="00981405">
        <w:t xml:space="preserve"> </w:t>
      </w:r>
      <w:r w:rsidR="00397032" w:rsidRPr="00981405">
        <w:t>remedies,</w:t>
      </w:r>
      <w:r w:rsidR="00190923" w:rsidRPr="00981405">
        <w:t xml:space="preserve"> </w:t>
      </w:r>
      <w:r w:rsidR="00397032" w:rsidRPr="00981405">
        <w:t>because</w:t>
      </w:r>
      <w:r w:rsidR="00190923" w:rsidRPr="00981405">
        <w:t xml:space="preserve"> </w:t>
      </w:r>
      <w:r w:rsidR="00397032" w:rsidRPr="00981405">
        <w:t>such</w:t>
      </w:r>
      <w:r w:rsidR="00190923" w:rsidRPr="00981405">
        <w:t xml:space="preserve"> </w:t>
      </w:r>
      <w:r w:rsidR="00397032" w:rsidRPr="00981405">
        <w:t>a</w:t>
      </w:r>
      <w:r w:rsidR="00190923" w:rsidRPr="00981405">
        <w:t xml:space="preserve"> </w:t>
      </w:r>
      <w:r w:rsidR="00397032" w:rsidRPr="00981405">
        <w:t>condition</w:t>
      </w:r>
      <w:r w:rsidR="00190923" w:rsidRPr="00981405">
        <w:t xml:space="preserve"> </w:t>
      </w:r>
      <w:r w:rsidR="00397032" w:rsidRPr="00981405">
        <w:t>reflects</w:t>
      </w:r>
      <w:r w:rsidR="00190923" w:rsidRPr="00981405">
        <w:t xml:space="preserve"> </w:t>
      </w:r>
      <w:r w:rsidR="00397032" w:rsidRPr="00981405">
        <w:t>a</w:t>
      </w:r>
      <w:r w:rsidR="00190923" w:rsidRPr="00981405">
        <w:t xml:space="preserve"> </w:t>
      </w:r>
      <w:r w:rsidR="00B92E2C" w:rsidRPr="00981405">
        <w:t>“</w:t>
      </w:r>
      <w:r w:rsidR="00397032" w:rsidRPr="00981405">
        <w:t>fundamental</w:t>
      </w:r>
      <w:r w:rsidR="00190923" w:rsidRPr="00981405">
        <w:t xml:space="preserve"> </w:t>
      </w:r>
      <w:r w:rsidR="00397032" w:rsidRPr="00981405">
        <w:t>rule</w:t>
      </w:r>
      <w:r w:rsidR="00190923" w:rsidRPr="00981405">
        <w:t xml:space="preserve"> </w:t>
      </w:r>
      <w:r w:rsidR="00397032" w:rsidRPr="00981405">
        <w:t>of</w:t>
      </w:r>
      <w:r w:rsidR="00190923" w:rsidRPr="00981405">
        <w:t xml:space="preserve"> </w:t>
      </w:r>
      <w:r w:rsidR="00397032" w:rsidRPr="00981405">
        <w:t>international</w:t>
      </w:r>
      <w:r w:rsidR="00190923" w:rsidRPr="00981405">
        <w:t xml:space="preserve"> </w:t>
      </w:r>
      <w:r w:rsidR="00397032" w:rsidRPr="00981405">
        <w:t>law</w:t>
      </w:r>
      <w:r w:rsidR="00B92E2C" w:rsidRPr="00981405">
        <w:t>”</w:t>
      </w:r>
      <w:r w:rsidR="00397032" w:rsidRPr="00981405">
        <w:t>;</w:t>
      </w:r>
    </w:p>
    <w:p w:rsidR="00397032" w:rsidRPr="00981405" w:rsidRDefault="00293013" w:rsidP="00D97463">
      <w:pPr>
        <w:pStyle w:val="SingleTxt"/>
        <w:tabs>
          <w:tab w:val="right" w:pos="1685"/>
        </w:tabs>
        <w:ind w:left="1742" w:hanging="475"/>
      </w:pPr>
      <w:r w:rsidRPr="00981405">
        <w:tab/>
        <w:t>•</w:t>
      </w:r>
      <w:r w:rsidRPr="00981405">
        <w:tab/>
      </w:r>
      <w:r w:rsidR="00397032" w:rsidRPr="00981405">
        <w:t>where</w:t>
      </w:r>
      <w:r w:rsidR="00190923" w:rsidRPr="00981405">
        <w:t xml:space="preserve"> </w:t>
      </w:r>
      <w:r w:rsidR="00397032" w:rsidRPr="00981405">
        <w:t>the</w:t>
      </w:r>
      <w:r w:rsidR="00190923" w:rsidRPr="00981405">
        <w:t xml:space="preserve"> </w:t>
      </w:r>
      <w:r w:rsidR="00397032" w:rsidRPr="00981405">
        <w:t>parties</w:t>
      </w:r>
      <w:r w:rsidR="00190923" w:rsidRPr="00981405">
        <w:t xml:space="preserve"> </w:t>
      </w:r>
      <w:r w:rsidR="00397032" w:rsidRPr="00981405">
        <w:t>had</w:t>
      </w:r>
      <w:r w:rsidR="00190923" w:rsidRPr="00981405">
        <w:t xml:space="preserve"> </w:t>
      </w:r>
      <w:r w:rsidR="00397032" w:rsidRPr="00981405">
        <w:t>agreed</w:t>
      </w:r>
      <w:r w:rsidR="00190923" w:rsidRPr="00981405">
        <w:t xml:space="preserve"> </w:t>
      </w:r>
      <w:r w:rsidR="00397032" w:rsidRPr="00981405">
        <w:t>to</w:t>
      </w:r>
      <w:r w:rsidR="00190923" w:rsidRPr="00981405">
        <w:t xml:space="preserve"> </w:t>
      </w:r>
      <w:r w:rsidR="00397032" w:rsidRPr="00981405">
        <w:t>a</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arrangement</w:t>
      </w:r>
      <w:r w:rsidR="00190923" w:rsidRPr="00981405">
        <w:t xml:space="preserve"> </w:t>
      </w:r>
      <w:r w:rsidR="00397032" w:rsidRPr="00981405">
        <w:t>which</w:t>
      </w:r>
      <w:r w:rsidR="00190923" w:rsidRPr="00981405">
        <w:t xml:space="preserve"> </w:t>
      </w:r>
      <w:r w:rsidR="00397032" w:rsidRPr="00981405">
        <w:t>includes</w:t>
      </w:r>
      <w:r w:rsidR="00190923" w:rsidRPr="00981405">
        <w:t xml:space="preserve"> </w:t>
      </w:r>
      <w:r w:rsidR="00397032" w:rsidRPr="00981405">
        <w:t>a</w:t>
      </w:r>
      <w:r w:rsidR="00190923" w:rsidRPr="00981405">
        <w:t xml:space="preserve"> </w:t>
      </w:r>
      <w:r w:rsidR="00397032" w:rsidRPr="00981405">
        <w:t>so-called</w:t>
      </w:r>
      <w:r w:rsidR="00190923" w:rsidRPr="00981405">
        <w:t xml:space="preserve"> </w:t>
      </w:r>
      <w:r w:rsidR="00B92E2C" w:rsidRPr="00981405">
        <w:t>“</w:t>
      </w:r>
      <w:r w:rsidR="00397032" w:rsidRPr="00981405">
        <w:t>fork</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road</w:t>
      </w:r>
      <w:r w:rsidR="00B92E2C" w:rsidRPr="00981405">
        <w:t>”</w:t>
      </w:r>
      <w:r w:rsidR="00190923" w:rsidRPr="00981405">
        <w:t xml:space="preserve"> </w:t>
      </w:r>
      <w:r w:rsidR="00397032" w:rsidRPr="00981405">
        <w:t>provision,</w:t>
      </w:r>
      <w:r w:rsidR="00190923" w:rsidRPr="00981405">
        <w:t xml:space="preserve"> </w:t>
      </w:r>
      <w:r w:rsidR="00397032" w:rsidRPr="00981405">
        <w:t>because</w:t>
      </w:r>
      <w:r w:rsidR="00190923" w:rsidRPr="00981405">
        <w:t xml:space="preserve"> </w:t>
      </w:r>
      <w:r w:rsidR="00397032" w:rsidRPr="00981405">
        <w:t>to</w:t>
      </w:r>
      <w:r w:rsidR="00190923" w:rsidRPr="00981405">
        <w:t xml:space="preserve"> </w:t>
      </w:r>
      <w:r w:rsidR="00397032" w:rsidRPr="00981405">
        <w:t>replace</w:t>
      </w:r>
      <w:r w:rsidR="00190923" w:rsidRPr="00981405">
        <w:t xml:space="preserve"> </w:t>
      </w:r>
      <w:r w:rsidR="00397032" w:rsidRPr="00981405">
        <w:t>such</w:t>
      </w:r>
      <w:r w:rsidR="00190923" w:rsidRPr="00981405">
        <w:t xml:space="preserve"> </w:t>
      </w:r>
      <w:r w:rsidR="00397032" w:rsidRPr="00981405">
        <w:t>a</w:t>
      </w:r>
      <w:r w:rsidR="00190923" w:rsidRPr="00981405">
        <w:t xml:space="preserve"> </w:t>
      </w:r>
      <w:r w:rsidR="00397032" w:rsidRPr="00981405">
        <w:t>provision</w:t>
      </w:r>
      <w:r w:rsidR="00190923" w:rsidRPr="00981405">
        <w:t xml:space="preserve"> </w:t>
      </w:r>
      <w:r w:rsidR="00397032" w:rsidRPr="00981405">
        <w:t>would</w:t>
      </w:r>
      <w:r w:rsidR="00190923" w:rsidRPr="00981405">
        <w:t xml:space="preserve"> </w:t>
      </w:r>
      <w:r w:rsidR="00397032" w:rsidRPr="00981405">
        <w:t>upset</w:t>
      </w:r>
      <w:r w:rsidR="00190923" w:rsidRPr="00981405">
        <w:t xml:space="preserve"> </w:t>
      </w:r>
      <w:r w:rsidR="00397032" w:rsidRPr="00981405">
        <w:t>the</w:t>
      </w:r>
      <w:r w:rsidR="00190923" w:rsidRPr="00981405">
        <w:t xml:space="preserve"> </w:t>
      </w:r>
      <w:r w:rsidR="00B92E2C" w:rsidRPr="00981405">
        <w:t>“</w:t>
      </w:r>
      <w:r w:rsidR="00397032" w:rsidRPr="00981405">
        <w:t>finality</w:t>
      </w:r>
      <w:r w:rsidR="00190923" w:rsidRPr="00981405">
        <w:t xml:space="preserve"> </w:t>
      </w:r>
      <w:r w:rsidR="00397032" w:rsidRPr="00981405">
        <w:t>of</w:t>
      </w:r>
      <w:r w:rsidR="00190923" w:rsidRPr="00981405">
        <w:t xml:space="preserve"> </w:t>
      </w:r>
      <w:r w:rsidR="00397032" w:rsidRPr="00981405">
        <w:t>arrangements</w:t>
      </w:r>
      <w:r w:rsidR="00B92E2C" w:rsidRPr="00981405">
        <w:t>”</w:t>
      </w:r>
      <w:r w:rsidR="00190923" w:rsidRPr="00981405">
        <w:t xml:space="preserve"> </w:t>
      </w:r>
      <w:r w:rsidR="00397032" w:rsidRPr="00981405">
        <w:t>that</w:t>
      </w:r>
      <w:r w:rsidR="00190923" w:rsidRPr="00981405">
        <w:t xml:space="preserve"> </w:t>
      </w:r>
      <w:r w:rsidR="00397032" w:rsidRPr="00981405">
        <w:t>countries</w:t>
      </w:r>
      <w:r w:rsidR="00190923" w:rsidRPr="00981405">
        <w:t xml:space="preserve"> </w:t>
      </w:r>
      <w:r w:rsidR="00397032" w:rsidRPr="00981405">
        <w:t>consider</w:t>
      </w:r>
      <w:r w:rsidR="00190923" w:rsidRPr="00981405">
        <w:t xml:space="preserve"> </w:t>
      </w:r>
      <w:r w:rsidR="00397032" w:rsidRPr="00981405">
        <w:t>important</w:t>
      </w:r>
      <w:r w:rsidR="00190923" w:rsidRPr="00981405">
        <w:t xml:space="preserve"> </w:t>
      </w:r>
      <w:r w:rsidR="00397032" w:rsidRPr="00981405">
        <w:t>as</w:t>
      </w:r>
      <w:r w:rsidR="00190923" w:rsidRPr="00981405">
        <w:t xml:space="preserve"> </w:t>
      </w:r>
      <w:r w:rsidR="00397032" w:rsidRPr="00981405">
        <w:t>matters</w:t>
      </w:r>
      <w:r w:rsidR="00190923" w:rsidRPr="00981405">
        <w:t xml:space="preserve"> </w:t>
      </w:r>
      <w:r w:rsidR="00397032" w:rsidRPr="00981405">
        <w:t>of</w:t>
      </w:r>
      <w:r w:rsidR="00190923" w:rsidRPr="00981405">
        <w:t xml:space="preserve"> </w:t>
      </w:r>
      <w:r w:rsidR="00397032" w:rsidRPr="00981405">
        <w:t>public</w:t>
      </w:r>
      <w:r w:rsidR="00190923" w:rsidRPr="00981405">
        <w:t xml:space="preserve"> </w:t>
      </w:r>
      <w:r w:rsidR="00397032" w:rsidRPr="00981405">
        <w:t>policy;</w:t>
      </w:r>
    </w:p>
    <w:p w:rsidR="00397032" w:rsidRPr="00981405" w:rsidRDefault="00293013" w:rsidP="00D97463">
      <w:pPr>
        <w:pStyle w:val="SingleTxt"/>
        <w:tabs>
          <w:tab w:val="right" w:pos="1685"/>
        </w:tabs>
        <w:ind w:left="1742" w:hanging="475"/>
      </w:pPr>
      <w:r w:rsidRPr="00981405">
        <w:tab/>
        <w:t>•</w:t>
      </w:r>
      <w:r w:rsidRPr="00981405">
        <w:tab/>
      </w:r>
      <w:r w:rsidR="00397032" w:rsidRPr="00981405">
        <w:t>where</w:t>
      </w:r>
      <w:r w:rsidR="00190923" w:rsidRPr="00981405">
        <w:t xml:space="preserve"> </w:t>
      </w:r>
      <w:r w:rsidR="00397032" w:rsidRPr="00981405">
        <w:t>the</w:t>
      </w:r>
      <w:r w:rsidR="00190923" w:rsidRPr="00981405">
        <w:t xml:space="preserve"> </w:t>
      </w:r>
      <w:r w:rsidR="00397032" w:rsidRPr="00981405">
        <w:t>agreement</w:t>
      </w:r>
      <w:r w:rsidR="00190923" w:rsidRPr="00981405">
        <w:t xml:space="preserve"> </w:t>
      </w:r>
      <w:r w:rsidR="00397032" w:rsidRPr="00981405">
        <w:t>provides</w:t>
      </w:r>
      <w:r w:rsidR="00190923" w:rsidRPr="00981405">
        <w:t xml:space="preserve"> </w:t>
      </w:r>
      <w:r w:rsidR="00397032" w:rsidRPr="00981405">
        <w:t>for</w:t>
      </w:r>
      <w:r w:rsidR="00190923" w:rsidRPr="00981405">
        <w:t xml:space="preserve"> </w:t>
      </w:r>
      <w:r w:rsidR="00397032" w:rsidRPr="00981405">
        <w:t>a</w:t>
      </w:r>
      <w:r w:rsidR="00190923" w:rsidRPr="00981405">
        <w:t xml:space="preserve"> </w:t>
      </w:r>
      <w:r w:rsidR="00397032" w:rsidRPr="00981405">
        <w:t>particular</w:t>
      </w:r>
      <w:r w:rsidR="00190923" w:rsidRPr="00981405">
        <w:t xml:space="preserve"> </w:t>
      </w:r>
      <w:r w:rsidR="00397032" w:rsidRPr="00981405">
        <w:t>arbitration</w:t>
      </w:r>
      <w:r w:rsidR="00190923" w:rsidRPr="00981405">
        <w:t xml:space="preserve"> </w:t>
      </w:r>
      <w:r w:rsidR="00397032" w:rsidRPr="00981405">
        <w:t>forum,</w:t>
      </w:r>
      <w:r w:rsidR="00190923" w:rsidRPr="00981405">
        <w:t xml:space="preserve"> </w:t>
      </w:r>
      <w:r w:rsidR="00397032" w:rsidRPr="00981405">
        <w:t>such</w:t>
      </w:r>
      <w:r w:rsidR="00190923" w:rsidRPr="00981405">
        <w:t xml:space="preserve"> </w:t>
      </w:r>
      <w:r w:rsidR="00397032" w:rsidRPr="00981405">
        <w:t>as</w:t>
      </w:r>
      <w:r w:rsidR="00190923" w:rsidRPr="00981405">
        <w:t xml:space="preserve"> </w:t>
      </w:r>
      <w:r w:rsidR="00397032" w:rsidRPr="00981405">
        <w:t>the</w:t>
      </w:r>
      <w:r w:rsidR="00190923" w:rsidRPr="00981405">
        <w:t xml:space="preserve"> </w:t>
      </w:r>
      <w:r w:rsidR="00397032" w:rsidRPr="00981405">
        <w:t>International</w:t>
      </w:r>
      <w:r w:rsidR="00190923" w:rsidRPr="00981405">
        <w:t xml:space="preserve"> </w:t>
      </w:r>
      <w:r w:rsidR="00397032" w:rsidRPr="00981405">
        <w:t>Centre</w:t>
      </w:r>
      <w:r w:rsidR="00190923" w:rsidRPr="00981405">
        <w:t xml:space="preserve"> </w:t>
      </w:r>
      <w:r w:rsidR="00397032" w:rsidRPr="00981405">
        <w:t>for</w:t>
      </w:r>
      <w:r w:rsidR="00190923" w:rsidRPr="00981405">
        <w:t xml:space="preserve"> </w:t>
      </w:r>
      <w:r w:rsidR="00397032" w:rsidRPr="00981405">
        <w:t>Settlement</w:t>
      </w:r>
      <w:r w:rsidR="00190923" w:rsidRPr="00981405">
        <w:t xml:space="preserve"> </w:t>
      </w:r>
      <w:r w:rsidR="00397032" w:rsidRPr="00981405">
        <w:t>of</w:t>
      </w:r>
      <w:r w:rsidR="00190923" w:rsidRPr="00981405">
        <w:t xml:space="preserve"> </w:t>
      </w:r>
      <w:r w:rsidR="00397032" w:rsidRPr="00981405">
        <w:t>Investment</w:t>
      </w:r>
      <w:r w:rsidR="00190923" w:rsidRPr="00981405">
        <w:t xml:space="preserve"> </w:t>
      </w:r>
      <w:r w:rsidR="00397032" w:rsidRPr="00981405">
        <w:t>Disputes</w:t>
      </w:r>
      <w:r w:rsidR="00190923" w:rsidRPr="00981405">
        <w:t xml:space="preserve"> </w:t>
      </w:r>
      <w:r w:rsidR="00397032" w:rsidRPr="00981405">
        <w:t>(ICSID),</w:t>
      </w:r>
      <w:r w:rsidR="00190923" w:rsidRPr="00981405">
        <w:t xml:space="preserve"> </w:t>
      </w:r>
      <w:r w:rsidR="00397032" w:rsidRPr="00981405">
        <w:t>and</w:t>
      </w:r>
      <w:r w:rsidR="00190923" w:rsidRPr="00981405">
        <w:t xml:space="preserve"> </w:t>
      </w:r>
      <w:r w:rsidR="00397032" w:rsidRPr="00981405">
        <w:t>a</w:t>
      </w:r>
      <w:r w:rsidR="00190923" w:rsidRPr="00981405">
        <w:t xml:space="preserve"> </w:t>
      </w:r>
      <w:r w:rsidR="00397032" w:rsidRPr="00981405">
        <w:t>party</w:t>
      </w:r>
      <w:r w:rsidR="00190923" w:rsidRPr="00981405">
        <w:t xml:space="preserve"> </w:t>
      </w:r>
      <w:r w:rsidR="00397032" w:rsidRPr="00981405">
        <w:t>wishes</w:t>
      </w:r>
      <w:r w:rsidR="00190923" w:rsidRPr="00981405">
        <w:t xml:space="preserve"> </w:t>
      </w:r>
      <w:r w:rsidR="00397032" w:rsidRPr="00981405">
        <w:t>to</w:t>
      </w:r>
      <w:r w:rsidR="00190923" w:rsidRPr="00981405">
        <w:t xml:space="preserve"> </w:t>
      </w:r>
      <w:r w:rsidR="00397032" w:rsidRPr="00981405">
        <w:t>change</w:t>
      </w:r>
      <w:r w:rsidR="00190923" w:rsidRPr="00981405">
        <w:t xml:space="preserve"> </w:t>
      </w:r>
      <w:r w:rsidR="00397032" w:rsidRPr="00981405">
        <w:t>to</w:t>
      </w:r>
      <w:r w:rsidR="00190923" w:rsidRPr="00981405">
        <w:t xml:space="preserve"> </w:t>
      </w:r>
      <w:r w:rsidR="00397032" w:rsidRPr="00981405">
        <w:t>a</w:t>
      </w:r>
      <w:r w:rsidR="00190923" w:rsidRPr="00981405">
        <w:t xml:space="preserve"> </w:t>
      </w:r>
      <w:r w:rsidR="00397032" w:rsidRPr="00981405">
        <w:t>different</w:t>
      </w:r>
      <w:r w:rsidR="00190923" w:rsidRPr="00981405">
        <w:t xml:space="preserve"> </w:t>
      </w:r>
      <w:r w:rsidR="00397032" w:rsidRPr="00981405">
        <w:t>arbitration</w:t>
      </w:r>
      <w:r w:rsidR="00190923" w:rsidRPr="00981405">
        <w:t xml:space="preserve"> </w:t>
      </w:r>
      <w:r w:rsidR="00397032" w:rsidRPr="00981405">
        <w:t>forum;</w:t>
      </w:r>
      <w:r w:rsidR="00190923" w:rsidRPr="00981405">
        <w:t xml:space="preserve"> </w:t>
      </w:r>
      <w:r w:rsidR="00397032" w:rsidRPr="00981405">
        <w:t>and</w:t>
      </w:r>
    </w:p>
    <w:p w:rsidR="00397032" w:rsidRPr="00981405" w:rsidRDefault="00293013" w:rsidP="00D97463">
      <w:pPr>
        <w:pStyle w:val="SingleTxt"/>
        <w:tabs>
          <w:tab w:val="right" w:pos="1685"/>
        </w:tabs>
        <w:ind w:left="1742" w:hanging="475"/>
      </w:pPr>
      <w:r w:rsidRPr="00981405">
        <w:tab/>
        <w:t>•</w:t>
      </w:r>
      <w:r w:rsidRPr="00981405">
        <w:tab/>
      </w:r>
      <w:r w:rsidR="00397032" w:rsidRPr="00981405">
        <w:t>where</w:t>
      </w:r>
      <w:r w:rsidR="00190923" w:rsidRPr="00981405">
        <w:t xml:space="preserve"> </w:t>
      </w:r>
      <w:r w:rsidR="00397032" w:rsidRPr="00981405">
        <w:t>the</w:t>
      </w:r>
      <w:r w:rsidR="00190923" w:rsidRPr="00981405">
        <w:t xml:space="preserve"> </w:t>
      </w:r>
      <w:r w:rsidR="00397032" w:rsidRPr="00981405">
        <w:t>parties</w:t>
      </w:r>
      <w:r w:rsidR="00190923" w:rsidRPr="00981405">
        <w:t xml:space="preserve"> </w:t>
      </w:r>
      <w:r w:rsidR="00397032" w:rsidRPr="00981405">
        <w:t>have</w:t>
      </w:r>
      <w:r w:rsidR="00190923" w:rsidRPr="00981405">
        <w:t xml:space="preserve"> </w:t>
      </w:r>
      <w:r w:rsidR="00397032" w:rsidRPr="00981405">
        <w:t>agreed</w:t>
      </w:r>
      <w:r w:rsidR="00190923" w:rsidRPr="00981405">
        <w:t xml:space="preserve"> </w:t>
      </w:r>
      <w:r w:rsidR="00397032" w:rsidRPr="00981405">
        <w:t>to</w:t>
      </w:r>
      <w:r w:rsidR="00190923" w:rsidRPr="00981405">
        <w:t xml:space="preserve"> </w:t>
      </w:r>
      <w:r w:rsidR="00397032" w:rsidRPr="00981405">
        <w:t>a</w:t>
      </w:r>
      <w:r w:rsidR="00190923" w:rsidRPr="00981405">
        <w:t xml:space="preserve"> </w:t>
      </w:r>
      <w:r w:rsidR="00397032" w:rsidRPr="00981405">
        <w:t>highly</w:t>
      </w:r>
      <w:r w:rsidR="00190923" w:rsidRPr="00981405">
        <w:t xml:space="preserve"> </w:t>
      </w:r>
      <w:r w:rsidR="00397032" w:rsidRPr="00981405">
        <w:t>institutionalized</w:t>
      </w:r>
      <w:r w:rsidR="00190923" w:rsidRPr="00981405">
        <w:t xml:space="preserve"> </w:t>
      </w:r>
      <w:r w:rsidR="00397032" w:rsidRPr="00981405">
        <w:t>system</w:t>
      </w:r>
      <w:r w:rsidR="00190923" w:rsidRPr="00981405">
        <w:t xml:space="preserve"> </w:t>
      </w:r>
      <w:r w:rsidR="00397032" w:rsidRPr="00981405">
        <w:t>of</w:t>
      </w:r>
      <w:r w:rsidR="00190923" w:rsidRPr="00981405">
        <w:t xml:space="preserve"> </w:t>
      </w:r>
      <w:r w:rsidR="00397032" w:rsidRPr="00981405">
        <w:t>arbitration</w:t>
      </w:r>
      <w:r w:rsidR="00190923" w:rsidRPr="00981405">
        <w:t xml:space="preserve"> </w:t>
      </w:r>
      <w:r w:rsidR="00397032" w:rsidRPr="00981405">
        <w:t>that</w:t>
      </w:r>
      <w:r w:rsidR="00190923" w:rsidRPr="00981405">
        <w:t xml:space="preserve"> </w:t>
      </w:r>
      <w:r w:rsidR="00397032" w:rsidRPr="00981405">
        <w:t>incorporates</w:t>
      </w:r>
      <w:r w:rsidR="00190923" w:rsidRPr="00981405">
        <w:t xml:space="preserve"> </w:t>
      </w:r>
      <w:r w:rsidR="00397032" w:rsidRPr="00981405">
        <w:t>precise</w:t>
      </w:r>
      <w:r w:rsidR="00190923" w:rsidRPr="00981405">
        <w:t xml:space="preserve"> </w:t>
      </w:r>
      <w:r w:rsidR="00397032" w:rsidRPr="00981405">
        <w:t>rules</w:t>
      </w:r>
      <w:r w:rsidR="00190923" w:rsidRPr="00981405">
        <w:t xml:space="preserve"> </w:t>
      </w:r>
      <w:r w:rsidR="00397032" w:rsidRPr="00981405">
        <w:t>of</w:t>
      </w:r>
      <w:r w:rsidR="00190923" w:rsidRPr="00981405">
        <w:t xml:space="preserve"> </w:t>
      </w:r>
      <w:r w:rsidR="00397032" w:rsidRPr="00981405">
        <w:t>procedure</w:t>
      </w:r>
      <w:r w:rsidR="00190923" w:rsidRPr="00981405">
        <w:t xml:space="preserve"> </w:t>
      </w:r>
      <w:r w:rsidR="00397032" w:rsidRPr="00981405">
        <w:t>(e.g.</w:t>
      </w:r>
      <w:r w:rsidR="00190923" w:rsidRPr="00981405">
        <w:t xml:space="preserve"> </w:t>
      </w:r>
      <w:r w:rsidR="00397032" w:rsidRPr="00981405">
        <w:t>NAFTA),</w:t>
      </w:r>
      <w:r w:rsidR="00190923" w:rsidRPr="00981405">
        <w:t xml:space="preserve"> </w:t>
      </w:r>
      <w:r w:rsidR="00397032" w:rsidRPr="00981405">
        <w:t>because</w:t>
      </w:r>
      <w:r w:rsidR="00190923" w:rsidRPr="00981405">
        <w:t xml:space="preserve"> </w:t>
      </w:r>
      <w:r w:rsidR="00397032" w:rsidRPr="00981405">
        <w:t>these</w:t>
      </w:r>
      <w:r w:rsidR="00190923" w:rsidRPr="00981405">
        <w:t xml:space="preserve"> </w:t>
      </w:r>
      <w:r w:rsidR="00397032" w:rsidRPr="00981405">
        <w:t>very</w:t>
      </w:r>
      <w:r w:rsidR="00190923" w:rsidRPr="00981405">
        <w:t xml:space="preserve"> </w:t>
      </w:r>
      <w:r w:rsidR="00397032" w:rsidRPr="00981405">
        <w:t>specific</w:t>
      </w:r>
      <w:r w:rsidR="00190923" w:rsidRPr="00981405">
        <w:t xml:space="preserve"> </w:t>
      </w:r>
      <w:r w:rsidR="00397032" w:rsidRPr="00981405">
        <w:t>provisions</w:t>
      </w:r>
      <w:r w:rsidR="00190923" w:rsidRPr="00981405">
        <w:t xml:space="preserve"> </w:t>
      </w:r>
      <w:r w:rsidR="00397032" w:rsidRPr="00981405">
        <w:t>reflect</w:t>
      </w:r>
      <w:r w:rsidR="00190923" w:rsidRPr="00981405">
        <w:t xml:space="preserve"> </w:t>
      </w:r>
      <w:r w:rsidR="00397032" w:rsidRPr="00981405">
        <w:t>the</w:t>
      </w:r>
      <w:r w:rsidR="00190923" w:rsidRPr="00981405">
        <w:t xml:space="preserve"> </w:t>
      </w:r>
      <w:r w:rsidR="00397032" w:rsidRPr="00981405">
        <w:t>precise</w:t>
      </w:r>
      <w:r w:rsidR="00190923" w:rsidRPr="00981405">
        <w:t xml:space="preserve"> </w:t>
      </w:r>
      <w:r w:rsidR="00397032" w:rsidRPr="00981405">
        <w:t>will</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contracting</w:t>
      </w:r>
      <w:r w:rsidR="00190923" w:rsidRPr="00981405">
        <w:t xml:space="preserve"> </w:t>
      </w:r>
      <w:r w:rsidR="00397032" w:rsidRPr="00981405">
        <w:t>parties.</w:t>
      </w:r>
      <w:r w:rsidR="00397032" w:rsidRPr="00981405">
        <w:rPr>
          <w:rStyle w:val="FootnoteReference"/>
        </w:rPr>
        <w:footnoteReference w:id="500"/>
      </w:r>
    </w:p>
    <w:p w:rsidR="00397032" w:rsidRPr="00981405" w:rsidRDefault="00397032" w:rsidP="00D97463">
      <w:pPr>
        <w:pStyle w:val="SingleTxt"/>
      </w:pPr>
      <w:r w:rsidRPr="00981405">
        <w:lastRenderedPageBreak/>
        <w:t>90.</w:t>
      </w:r>
      <w:r w:rsidRPr="00981405">
        <w:tab/>
        <w:t>The</w:t>
      </w:r>
      <w:r w:rsidR="00190923" w:rsidRPr="00981405">
        <w:t xml:space="preserve"> </w:t>
      </w:r>
      <w:r w:rsidRPr="00981405">
        <w:t>tribunal</w:t>
      </w:r>
      <w:r w:rsidR="00190923" w:rsidRPr="00981405">
        <w:t xml:space="preserve"> </w:t>
      </w:r>
      <w:r w:rsidRPr="00981405">
        <w:t>also</w:t>
      </w:r>
      <w:r w:rsidR="00190923" w:rsidRPr="00981405">
        <w:t xml:space="preserve"> </w:t>
      </w:r>
      <w:r w:rsidRPr="00981405">
        <w:t>left</w:t>
      </w:r>
      <w:r w:rsidR="00190923" w:rsidRPr="00981405">
        <w:t xml:space="preserve"> </w:t>
      </w:r>
      <w:r w:rsidRPr="00981405">
        <w:t>open</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that</w:t>
      </w:r>
      <w:r w:rsidR="00190923" w:rsidRPr="00981405">
        <w:t xml:space="preserve"> </w:t>
      </w:r>
      <w:r w:rsidR="00B92E2C" w:rsidRPr="00981405">
        <w:t>“</w:t>
      </w:r>
      <w:r w:rsidRPr="00981405">
        <w:t>other</w:t>
      </w:r>
      <w:r w:rsidR="00190923" w:rsidRPr="00981405">
        <w:t xml:space="preserve"> </w:t>
      </w:r>
      <w:r w:rsidRPr="00981405">
        <w:t>elements</w:t>
      </w:r>
      <w:r w:rsidR="00190923" w:rsidRPr="00981405">
        <w:t xml:space="preserve"> </w:t>
      </w:r>
      <w:r w:rsidRPr="00981405">
        <w:t>of</w:t>
      </w:r>
      <w:r w:rsidR="00190923" w:rsidRPr="00981405">
        <w:t xml:space="preserve"> </w:t>
      </w:r>
      <w:r w:rsidRPr="00981405">
        <w:t>public</w:t>
      </w:r>
      <w:r w:rsidR="00190923" w:rsidRPr="00981405">
        <w:t xml:space="preserve"> </w:t>
      </w:r>
      <w:r w:rsidRPr="00981405">
        <w:t>policy</w:t>
      </w:r>
      <w:r w:rsidR="00190923" w:rsidRPr="00981405">
        <w:t xml:space="preserve"> </w:t>
      </w:r>
      <w:r w:rsidRPr="00981405">
        <w:t>limiting</w:t>
      </w:r>
      <w:r w:rsidR="00190923" w:rsidRPr="00981405">
        <w:t xml:space="preserve"> </w:t>
      </w:r>
      <w:r w:rsidRPr="00981405">
        <w:t>the</w:t>
      </w:r>
      <w:r w:rsidR="00190923" w:rsidRPr="00981405">
        <w:t xml:space="preserve"> </w:t>
      </w:r>
      <w:r w:rsidRPr="00981405">
        <w:t>operation</w:t>
      </w:r>
      <w:r w:rsidR="00190923" w:rsidRPr="00981405">
        <w:t xml:space="preserve"> </w:t>
      </w:r>
      <w:r w:rsidRPr="00981405">
        <w:t>of</w:t>
      </w:r>
      <w:r w:rsidR="00190923" w:rsidRPr="00981405">
        <w:t xml:space="preserve"> </w:t>
      </w:r>
      <w:r w:rsidRPr="00981405">
        <w:t>the</w:t>
      </w:r>
      <w:r w:rsidR="00190923" w:rsidRPr="00981405">
        <w:t xml:space="preserve"> </w:t>
      </w:r>
      <w:r w:rsidRPr="00981405">
        <w:t>clause</w:t>
      </w:r>
      <w:r w:rsidR="00190923" w:rsidRPr="00981405">
        <w:t xml:space="preserve"> </w:t>
      </w:r>
      <w:r w:rsidRPr="00981405">
        <w:t>will</w:t>
      </w:r>
      <w:r w:rsidR="00190923" w:rsidRPr="00981405">
        <w:t xml:space="preserve"> </w:t>
      </w:r>
      <w:r w:rsidRPr="00981405">
        <w:t>no</w:t>
      </w:r>
      <w:r w:rsidR="00190923" w:rsidRPr="00981405">
        <w:t xml:space="preserve"> </w:t>
      </w:r>
      <w:r w:rsidRPr="00981405">
        <w:t>doubt</w:t>
      </w:r>
      <w:r w:rsidR="00190923" w:rsidRPr="00981405">
        <w:t xml:space="preserve"> </w:t>
      </w:r>
      <w:r w:rsidRPr="00981405">
        <w:t>be</w:t>
      </w:r>
      <w:r w:rsidR="00190923" w:rsidRPr="00981405">
        <w:t xml:space="preserve"> </w:t>
      </w:r>
      <w:r w:rsidRPr="00981405">
        <w:t>identified</w:t>
      </w:r>
      <w:r w:rsidR="00190923" w:rsidRPr="00981405">
        <w:t xml:space="preserve"> </w:t>
      </w:r>
      <w:r w:rsidRPr="00981405">
        <w:t>by</w:t>
      </w:r>
      <w:r w:rsidR="00190923" w:rsidRPr="00981405">
        <w:t xml:space="preserve"> </w:t>
      </w:r>
      <w:r w:rsidRPr="00981405">
        <w:t>the</w:t>
      </w:r>
      <w:r w:rsidR="00190923" w:rsidRPr="00981405">
        <w:t xml:space="preserve"> </w:t>
      </w:r>
      <w:r w:rsidRPr="00981405">
        <w:t>parties</w:t>
      </w:r>
      <w:r w:rsidR="00190923" w:rsidRPr="00981405">
        <w:t xml:space="preserve"> </w:t>
      </w:r>
      <w:r w:rsidRPr="00981405">
        <w:t>or</w:t>
      </w:r>
      <w:r w:rsidR="00190923" w:rsidRPr="00981405">
        <w:t xml:space="preserve"> </w:t>
      </w:r>
      <w:r w:rsidRPr="00981405">
        <w:t>tribunals.</w:t>
      </w:r>
      <w:r w:rsidR="00B92E2C" w:rsidRPr="00981405">
        <w:t>”</w:t>
      </w:r>
      <w:r w:rsidRPr="00981405">
        <w:rPr>
          <w:rStyle w:val="FootnoteReference"/>
        </w:rPr>
        <w:footnoteReference w:id="501"/>
      </w:r>
      <w:r w:rsidR="00190923" w:rsidRPr="00981405">
        <w:t xml:space="preserve"> </w:t>
      </w:r>
    </w:p>
    <w:p w:rsidR="00FB6821" w:rsidRPr="00D97463" w:rsidRDefault="00FB6821" w:rsidP="00D97463">
      <w:pPr>
        <w:pStyle w:val="SingleTxt"/>
        <w:spacing w:after="0" w:line="120" w:lineRule="exact"/>
        <w:rPr>
          <w:sz w:val="10"/>
        </w:rPr>
      </w:pPr>
    </w:p>
    <w:p w:rsidR="00397032" w:rsidRPr="00D97463" w:rsidRDefault="00397032" w:rsidP="00D97463">
      <w:pPr>
        <w:pStyle w:val="H4"/>
        <w:ind w:right="1260"/>
      </w:pPr>
      <w:bookmarkStart w:id="243" w:name="_Toc294353678"/>
      <w:bookmarkStart w:id="244" w:name="_Toc293434164"/>
      <w:r w:rsidRPr="00D97463">
        <w:tab/>
      </w:r>
      <w:bookmarkStart w:id="245" w:name="_Toc427938179"/>
      <w:r w:rsidRPr="00D97463">
        <w:t>(b)</w:t>
      </w:r>
      <w:r w:rsidRPr="00D97463">
        <w:tab/>
        <w:t>The</w:t>
      </w:r>
      <w:r w:rsidR="00190923" w:rsidRPr="00D97463">
        <w:t xml:space="preserve"> </w:t>
      </w:r>
      <w:r w:rsidRPr="00D97463">
        <w:t>subsequent</w:t>
      </w:r>
      <w:r w:rsidR="00190923" w:rsidRPr="00D97463">
        <w:t xml:space="preserve"> </w:t>
      </w:r>
      <w:r w:rsidRPr="00D97463">
        <w:t>interpretation</w:t>
      </w:r>
      <w:r w:rsidR="00190923" w:rsidRPr="00D97463">
        <w:t xml:space="preserve"> </w:t>
      </w:r>
      <w:r w:rsidRPr="00D97463">
        <w:t>by</w:t>
      </w:r>
      <w:r w:rsidR="00190923" w:rsidRPr="00D97463">
        <w:t xml:space="preserve"> </w:t>
      </w:r>
      <w:r w:rsidRPr="00D97463">
        <w:t>investment</w:t>
      </w:r>
      <w:r w:rsidR="00190923" w:rsidRPr="00D97463">
        <w:t xml:space="preserve"> </w:t>
      </w:r>
      <w:r w:rsidRPr="00D97463">
        <w:t>tribunals</w:t>
      </w:r>
      <w:r w:rsidR="00190923" w:rsidRPr="00D97463">
        <w:t xml:space="preserve"> </w:t>
      </w:r>
      <w:r w:rsidRPr="00D97463">
        <w:t>of</w:t>
      </w:r>
      <w:r w:rsidR="00190923" w:rsidRPr="00D97463">
        <w:t xml:space="preserve"> </w:t>
      </w:r>
      <w:r w:rsidRPr="00D97463">
        <w:t>MFN</w:t>
      </w:r>
      <w:r w:rsidR="00190923" w:rsidRPr="00D97463">
        <w:t xml:space="preserve"> </w:t>
      </w:r>
      <w:r w:rsidRPr="00D97463">
        <w:t>clauses</w:t>
      </w:r>
      <w:r w:rsidR="00190923" w:rsidRPr="00D97463">
        <w:t xml:space="preserve"> </w:t>
      </w:r>
      <w:r w:rsidRPr="00D97463">
        <w:t>in</w:t>
      </w:r>
      <w:r w:rsidR="00190923" w:rsidRPr="00D97463">
        <w:t xml:space="preserve"> </w:t>
      </w:r>
      <w:r w:rsidRPr="00D97463">
        <w:t>relation</w:t>
      </w:r>
      <w:r w:rsidR="00190923" w:rsidRPr="00D97463">
        <w:t xml:space="preserve"> </w:t>
      </w:r>
      <w:r w:rsidRPr="00D97463">
        <w:t>to</w:t>
      </w:r>
      <w:r w:rsidR="00190923" w:rsidRPr="00D97463">
        <w:t xml:space="preserve"> </w:t>
      </w:r>
      <w:r w:rsidRPr="00D97463">
        <w:t>procedural</w:t>
      </w:r>
      <w:r w:rsidR="00190923" w:rsidRPr="00D97463">
        <w:t xml:space="preserve"> </w:t>
      </w:r>
      <w:r w:rsidRPr="00D97463">
        <w:t>matters</w:t>
      </w:r>
      <w:bookmarkEnd w:id="243"/>
      <w:bookmarkEnd w:id="245"/>
      <w:bookmarkEnd w:id="244"/>
      <w:r w:rsidR="00190923" w:rsidRPr="00D97463">
        <w:t xml:space="preserve"> </w:t>
      </w:r>
    </w:p>
    <w:p w:rsidR="00FB6821" w:rsidRPr="00D97463" w:rsidRDefault="00FB6821" w:rsidP="00D97463">
      <w:pPr>
        <w:pStyle w:val="SingleTxt"/>
        <w:spacing w:after="0" w:line="120" w:lineRule="exact"/>
        <w:rPr>
          <w:sz w:val="10"/>
        </w:rPr>
      </w:pPr>
    </w:p>
    <w:p w:rsidR="00397032" w:rsidRPr="00981405" w:rsidRDefault="00397032" w:rsidP="00D97463">
      <w:pPr>
        <w:pStyle w:val="SingleTxt"/>
      </w:pPr>
      <w:r w:rsidRPr="00981405">
        <w:t>91.</w:t>
      </w:r>
      <w:r w:rsidRPr="00981405">
        <w:tab/>
        <w:t>Subsequent</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been</w:t>
      </w:r>
      <w:r w:rsidR="00190923" w:rsidRPr="00981405">
        <w:t xml:space="preserve"> </w:t>
      </w:r>
      <w:r w:rsidRPr="00981405">
        <w:t>divided</w:t>
      </w:r>
      <w:r w:rsidR="00190923" w:rsidRPr="00981405">
        <w:t xml:space="preserve"> </w:t>
      </w:r>
      <w:r w:rsidRPr="00981405">
        <w:t>on</w:t>
      </w:r>
      <w:r w:rsidR="00190923" w:rsidRPr="00981405">
        <w:t xml:space="preserve"> </w:t>
      </w:r>
      <w:r w:rsidRPr="00981405">
        <w:t>whether</w:t>
      </w:r>
      <w:r w:rsidR="00190923" w:rsidRPr="00981405">
        <w:t xml:space="preserve"> </w:t>
      </w:r>
      <w:r w:rsidRPr="00981405">
        <w:t>to</w:t>
      </w:r>
      <w:r w:rsidR="00190923" w:rsidRPr="00981405">
        <w:t xml:space="preserve"> </w:t>
      </w:r>
      <w:r w:rsidRPr="00981405">
        <w:t>follow</w:t>
      </w:r>
      <w:r w:rsidR="00190923" w:rsidRPr="00981405">
        <w:t xml:space="preserve"> </w:t>
      </w:r>
      <w:r w:rsidRPr="00D97463">
        <w:rPr>
          <w:i/>
          <w:iCs/>
        </w:rPr>
        <w:t>Maffezini</w:t>
      </w:r>
      <w:r w:rsidRPr="00981405">
        <w:t>.</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widely</w:t>
      </w:r>
      <w:r w:rsidR="00190923" w:rsidRPr="00981405">
        <w:t xml:space="preserve"> </w:t>
      </w:r>
      <w:r w:rsidRPr="00981405">
        <w:t>recognized</w:t>
      </w:r>
      <w:r w:rsidR="00190923" w:rsidRPr="00981405">
        <w:t xml:space="preserve"> </w:t>
      </w:r>
      <w:r w:rsidRPr="00981405">
        <w:t>by</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both</w:t>
      </w:r>
      <w:r w:rsidR="00190923" w:rsidRPr="00981405">
        <w:t xml:space="preserve"> </w:t>
      </w:r>
      <w:r w:rsidRPr="00981405">
        <w:t>explicitly</w:t>
      </w:r>
      <w:r w:rsidR="00190923" w:rsidRPr="00981405">
        <w:t xml:space="preserve"> </w:t>
      </w:r>
      <w:r w:rsidRPr="00981405">
        <w:t>and</w:t>
      </w:r>
      <w:r w:rsidR="00190923" w:rsidRPr="00981405">
        <w:t xml:space="preserve"> </w:t>
      </w:r>
      <w:r w:rsidRPr="00981405">
        <w:t>implicitly,</w:t>
      </w:r>
      <w:r w:rsidR="00190923" w:rsidRPr="00981405">
        <w:t xml:space="preserve"> </w:t>
      </w:r>
      <w:r w:rsidRPr="00981405">
        <w:t>that</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any</w:t>
      </w:r>
      <w:r w:rsidR="00190923" w:rsidRPr="00981405">
        <w:t xml:space="preserve"> </w:t>
      </w:r>
      <w:r w:rsidRPr="00981405">
        <w:t>given</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treaty</w:t>
      </w:r>
      <w:r w:rsidR="00190923" w:rsidRPr="00981405">
        <w:t xml:space="preserve"> </w:t>
      </w:r>
      <w:r w:rsidRPr="00981405">
        <w:t>is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that</w:t>
      </w:r>
      <w:r w:rsidR="00190923" w:rsidRPr="00981405">
        <w:t xml:space="preserve"> </w:t>
      </w:r>
      <w:r w:rsidRPr="00981405">
        <w:t>particular</w:t>
      </w:r>
      <w:r w:rsidR="00190923" w:rsidRPr="00981405">
        <w:t xml:space="preserve"> </w:t>
      </w:r>
      <w:r w:rsidRPr="00981405">
        <w:t>treaty.</w:t>
      </w:r>
      <w:r w:rsidRPr="00981405">
        <w:rPr>
          <w:rStyle w:val="FootnoteReference"/>
        </w:rPr>
        <w:footnoteReference w:id="502"/>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frequent</w:t>
      </w:r>
      <w:r w:rsidR="00190923" w:rsidRPr="00981405">
        <w:t xml:space="preserve"> </w:t>
      </w:r>
      <w:r w:rsidRPr="00981405">
        <w:t>cite</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and</w:t>
      </w:r>
      <w:r w:rsidR="00190923" w:rsidRPr="00981405">
        <w:t xml:space="preserve"> </w:t>
      </w:r>
      <w:r w:rsidRPr="00981405">
        <w:t>principles</w:t>
      </w:r>
      <w:r w:rsidR="00190923" w:rsidRPr="00981405">
        <w:t xml:space="preserve"> </w:t>
      </w:r>
      <w:r w:rsidRPr="00981405">
        <w:t>such</w:t>
      </w:r>
      <w:r w:rsidR="00190923" w:rsidRPr="00981405">
        <w:t xml:space="preserve"> </w:t>
      </w:r>
      <w:r w:rsidRPr="00981405">
        <w:t>as</w:t>
      </w:r>
      <w:r w:rsidR="00190923" w:rsidRPr="00981405">
        <w:t xml:space="preserve"> </w:t>
      </w:r>
      <w:r w:rsidRPr="00D97463">
        <w:rPr>
          <w:i/>
          <w:iCs/>
        </w:rPr>
        <w:t>expressio</w:t>
      </w:r>
      <w:r w:rsidR="00190923" w:rsidRPr="00D97463">
        <w:rPr>
          <w:i/>
          <w:iCs/>
        </w:rPr>
        <w:t xml:space="preserve"> </w:t>
      </w:r>
      <w:r w:rsidRPr="00D97463">
        <w:rPr>
          <w:i/>
          <w:iCs/>
        </w:rPr>
        <w:t>unius</w:t>
      </w:r>
      <w:r w:rsidR="00190923" w:rsidRPr="00D97463">
        <w:rPr>
          <w:i/>
          <w:iCs/>
        </w:rPr>
        <w:t xml:space="preserve"> </w:t>
      </w:r>
      <w:r w:rsidRPr="00D97463">
        <w:rPr>
          <w:i/>
          <w:iCs/>
        </w:rPr>
        <w:t>exclusio</w:t>
      </w:r>
      <w:r w:rsidR="00190923" w:rsidRPr="00D97463">
        <w:rPr>
          <w:i/>
          <w:iCs/>
        </w:rPr>
        <w:t xml:space="preserve"> </w:t>
      </w:r>
      <w:r w:rsidRPr="00D97463">
        <w:rPr>
          <w:i/>
          <w:iCs/>
        </w:rPr>
        <w:t>alterius</w:t>
      </w:r>
      <w:r w:rsidRPr="00981405">
        <w:t>.</w:t>
      </w:r>
      <w:r w:rsidR="00190923" w:rsidRPr="00981405">
        <w:t xml:space="preserve"> </w:t>
      </w:r>
      <w:r w:rsidRPr="00981405">
        <w:t>Tribunals</w:t>
      </w:r>
      <w:r w:rsidR="00190923" w:rsidRPr="00981405">
        <w:t xml:space="preserve"> </w:t>
      </w:r>
      <w:r w:rsidRPr="00981405">
        <w:t>assert</w:t>
      </w:r>
      <w:r w:rsidR="00190923" w:rsidRPr="00981405">
        <w:t xml:space="preserve"> </w:t>
      </w:r>
      <w:r w:rsidRPr="00981405">
        <w:t>that</w:t>
      </w:r>
      <w:r w:rsidR="00190923" w:rsidRPr="00981405">
        <w:t xml:space="preserve"> </w:t>
      </w:r>
      <w:r w:rsidRPr="00981405">
        <w:t>they</w:t>
      </w:r>
      <w:r w:rsidR="00190923" w:rsidRPr="00981405">
        <w:t xml:space="preserve"> </w:t>
      </w:r>
      <w:r w:rsidRPr="00981405">
        <w:t>are</w:t>
      </w:r>
      <w:r w:rsidR="00190923" w:rsidRPr="00981405">
        <w:t xml:space="preserve"> </w:t>
      </w:r>
      <w:r w:rsidRPr="00981405">
        <w:t>seeking</w:t>
      </w:r>
      <w:r w:rsidR="00190923" w:rsidRPr="00981405">
        <w:t xml:space="preserve"> </w:t>
      </w:r>
      <w:r w:rsidRPr="00981405">
        <w:t>to</w:t>
      </w:r>
      <w:r w:rsidR="00190923" w:rsidRPr="00981405">
        <w:t xml:space="preserve"> </w:t>
      </w:r>
      <w:r w:rsidRPr="00981405">
        <w:t>ascertain</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Yet</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systematic</w:t>
      </w:r>
      <w:r w:rsidR="00190923" w:rsidRPr="00981405">
        <w:t xml:space="preserve"> </w:t>
      </w:r>
      <w:r w:rsidRPr="00981405">
        <w:t>approach</w:t>
      </w:r>
      <w:r w:rsidR="00190923" w:rsidRPr="00981405">
        <w:t xml:space="preserve"> </w:t>
      </w:r>
      <w:r w:rsidRPr="00981405">
        <w:t>to</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different</w:t>
      </w:r>
      <w:r w:rsidR="00190923" w:rsidRPr="00981405">
        <w:t xml:space="preserve"> </w:t>
      </w:r>
      <w:r w:rsidRPr="00981405">
        <w:t>factors,</w:t>
      </w:r>
      <w:r w:rsidR="00190923" w:rsidRPr="00981405">
        <w:t xml:space="preserve"> </w:t>
      </w:r>
      <w:r w:rsidRPr="00981405">
        <w:t>sometimes</w:t>
      </w:r>
      <w:r w:rsidR="00190923" w:rsidRPr="00981405">
        <w:t xml:space="preserve"> </w:t>
      </w:r>
      <w:r w:rsidRPr="00981405">
        <w:t>unrelated</w:t>
      </w:r>
      <w:r w:rsidR="00190923" w:rsidRPr="00981405">
        <w:t xml:space="preserve"> </w:t>
      </w:r>
      <w:r w:rsidRPr="00981405">
        <w:t>to</w:t>
      </w:r>
      <w:r w:rsidR="00190923" w:rsidRPr="00981405">
        <w:t xml:space="preserve"> </w:t>
      </w:r>
      <w:r w:rsidRPr="00981405">
        <w:t>the</w:t>
      </w:r>
      <w:r w:rsidR="00190923" w:rsidRPr="00981405">
        <w:t xml:space="preserve"> </w:t>
      </w:r>
      <w:r w:rsidRPr="00981405">
        <w:t>words</w:t>
      </w:r>
      <w:r w:rsidR="00190923" w:rsidRPr="00981405">
        <w:t xml:space="preserve"> </w:t>
      </w:r>
      <w:r w:rsidRPr="00981405">
        <w:t>used</w:t>
      </w:r>
      <w:r w:rsidR="00190923" w:rsidRPr="00981405">
        <w:t xml:space="preserve"> </w:t>
      </w:r>
      <w:r w:rsidRPr="00981405">
        <w:t>in</w:t>
      </w:r>
      <w:r w:rsidR="00190923" w:rsidRPr="00981405">
        <w:t xml:space="preserve"> </w:t>
      </w:r>
      <w:r w:rsidRPr="00981405">
        <w:t>the</w:t>
      </w:r>
      <w:r w:rsidR="00190923" w:rsidRPr="00981405">
        <w:t xml:space="preserve"> </w:t>
      </w:r>
      <w:r w:rsidRPr="00981405">
        <w:t>treaties</w:t>
      </w:r>
      <w:r w:rsidR="00190923" w:rsidRPr="00981405">
        <w:t xml:space="preserve"> </w:t>
      </w:r>
      <w:r w:rsidRPr="00981405">
        <w:t>before</w:t>
      </w:r>
      <w:r w:rsidR="00190923" w:rsidRPr="00981405">
        <w:t xml:space="preserve"> </w:t>
      </w:r>
      <w:r w:rsidRPr="00981405">
        <w:t>them,</w:t>
      </w:r>
      <w:r w:rsidR="00190923" w:rsidRPr="00981405">
        <w:t xml:space="preserve"> </w:t>
      </w:r>
      <w:r w:rsidRPr="00981405">
        <w:t>appear</w:t>
      </w:r>
      <w:r w:rsidR="00190923" w:rsidRPr="00981405">
        <w:t xml:space="preserve"> </w:t>
      </w:r>
      <w:r w:rsidRPr="00981405">
        <w:t>to</w:t>
      </w:r>
      <w:r w:rsidR="00190923" w:rsidRPr="00981405">
        <w:t xml:space="preserve"> </w:t>
      </w:r>
      <w:r w:rsidRPr="00981405">
        <w:t>have</w:t>
      </w:r>
      <w:r w:rsidR="00190923" w:rsidRPr="00981405">
        <w:t xml:space="preserve"> </w:t>
      </w:r>
      <w:r w:rsidRPr="00981405">
        <w:t>been</w:t>
      </w:r>
      <w:r w:rsidR="00190923" w:rsidRPr="00981405">
        <w:t xml:space="preserve"> </w:t>
      </w:r>
      <w:r w:rsidRPr="00981405">
        <w:t>given</w:t>
      </w:r>
      <w:r w:rsidR="00190923" w:rsidRPr="00981405">
        <w:t xml:space="preserve"> </w:t>
      </w:r>
      <w:r w:rsidRPr="00981405">
        <w:t>weight.</w:t>
      </w:r>
      <w:r w:rsidR="00190923" w:rsidRPr="00981405">
        <w:t xml:space="preserve"> </w:t>
      </w:r>
    </w:p>
    <w:p w:rsidR="00397032" w:rsidRPr="00981405" w:rsidRDefault="00397032" w:rsidP="00D97463">
      <w:pPr>
        <w:pStyle w:val="SingleTxt"/>
      </w:pPr>
      <w:r w:rsidRPr="00981405">
        <w:t>92.</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sought</w:t>
      </w:r>
      <w:r w:rsidR="00190923" w:rsidRPr="00981405">
        <w:t xml:space="preserve"> </w:t>
      </w:r>
      <w:r w:rsidRPr="00981405">
        <w:t>to</w:t>
      </w:r>
      <w:r w:rsidR="00190923" w:rsidRPr="00981405">
        <w:t xml:space="preserve"> </w:t>
      </w:r>
      <w:r w:rsidRPr="00981405">
        <w:t>identify</w:t>
      </w:r>
      <w:r w:rsidR="00190923" w:rsidRPr="00981405">
        <w:t xml:space="preserve"> </w:t>
      </w:r>
      <w:r w:rsidRPr="00981405">
        <w:t>factors</w:t>
      </w:r>
      <w:r w:rsidR="00190923" w:rsidRPr="00981405">
        <w:t xml:space="preserve"> </w:t>
      </w:r>
      <w:r w:rsidRPr="00981405">
        <w:t>that</w:t>
      </w:r>
      <w:r w:rsidR="00190923" w:rsidRPr="00981405">
        <w:t xml:space="preserve"> </w:t>
      </w:r>
      <w:r w:rsidRPr="00981405">
        <w:t>have</w:t>
      </w:r>
      <w:r w:rsidR="00190923" w:rsidRPr="00981405">
        <w:t xml:space="preserve"> </w:t>
      </w:r>
      <w:r w:rsidRPr="00981405">
        <w:t>appeared</w:t>
      </w:r>
      <w:r w:rsidR="00190923" w:rsidRPr="00981405">
        <w:t xml:space="preserve"> </w:t>
      </w:r>
      <w:r w:rsidRPr="00981405">
        <w:t>to</w:t>
      </w:r>
      <w:r w:rsidR="00190923" w:rsidRPr="00981405">
        <w:t xml:space="preserve"> </w:t>
      </w:r>
      <w:r w:rsidRPr="00981405">
        <w:t>influence</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in</w:t>
      </w:r>
      <w:r w:rsidR="00190923" w:rsidRPr="00981405">
        <w:t xml:space="preserve"> </w:t>
      </w:r>
      <w:r w:rsidRPr="00981405">
        <w:t>interpreting</w:t>
      </w:r>
      <w:r w:rsidR="00190923" w:rsidRPr="00981405">
        <w:t xml:space="preserve"> </w:t>
      </w:r>
      <w:r w:rsidRPr="00981405">
        <w:t>MFN</w:t>
      </w:r>
      <w:r w:rsidR="00190923" w:rsidRPr="00981405">
        <w:t xml:space="preserve"> </w:t>
      </w:r>
      <w:r w:rsidRPr="00981405">
        <w:t>clauses</w:t>
      </w:r>
      <w:r w:rsidR="00190923" w:rsidRPr="00981405">
        <w:t xml:space="preserve"> </w:t>
      </w:r>
      <w:r w:rsidRPr="00981405">
        <w:t>and</w:t>
      </w:r>
      <w:r w:rsidR="00190923" w:rsidRPr="00981405">
        <w:t xml:space="preserve"> </w:t>
      </w:r>
      <w:r w:rsidRPr="00981405">
        <w:t>to</w:t>
      </w:r>
      <w:r w:rsidR="00190923" w:rsidRPr="00981405">
        <w:t xml:space="preserve"> </w:t>
      </w:r>
      <w:r w:rsidRPr="00981405">
        <w:t>determine</w:t>
      </w:r>
      <w:r w:rsidR="00190923" w:rsidRPr="00981405">
        <w:t xml:space="preserve"> </w:t>
      </w:r>
      <w:r w:rsidRPr="00981405">
        <w:t>whether</w:t>
      </w:r>
      <w:r w:rsidR="00190923" w:rsidRPr="00981405">
        <w:t xml:space="preserve"> </w:t>
      </w:r>
      <w:r w:rsidRPr="00981405">
        <w:t>there</w:t>
      </w:r>
      <w:r w:rsidR="00190923" w:rsidRPr="00981405">
        <w:t xml:space="preserve"> </w:t>
      </w:r>
      <w:r w:rsidRPr="00981405">
        <w:t>were</w:t>
      </w:r>
      <w:r w:rsidR="00190923" w:rsidRPr="00981405">
        <w:t xml:space="preserve"> </w:t>
      </w:r>
      <w:r w:rsidRPr="00981405">
        <w:t>particular</w:t>
      </w:r>
      <w:r w:rsidR="00190923" w:rsidRPr="00981405">
        <w:t xml:space="preserve"> </w:t>
      </w:r>
      <w:r w:rsidRPr="00981405">
        <w:t>trends.</w:t>
      </w:r>
      <w:r w:rsidR="00190923" w:rsidRPr="00981405">
        <w:t xml:space="preserve"> </w:t>
      </w:r>
      <w:r w:rsidRPr="00981405">
        <w:t>In</w:t>
      </w:r>
      <w:r w:rsidR="00190923" w:rsidRPr="00981405">
        <w:t xml:space="preserve"> </w:t>
      </w:r>
      <w:r w:rsidRPr="00981405">
        <w:t>doing</w:t>
      </w:r>
      <w:r w:rsidR="00190923" w:rsidRPr="00981405">
        <w:t xml:space="preserve"> </w:t>
      </w:r>
      <w:r w:rsidRPr="00981405">
        <w:t>so,</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was</w:t>
      </w:r>
      <w:r w:rsidR="00190923" w:rsidRPr="00981405">
        <w:t xml:space="preserve"> </w:t>
      </w:r>
      <w:r w:rsidRPr="00981405">
        <w:t>conscious</w:t>
      </w:r>
      <w:r w:rsidR="00190923" w:rsidRPr="00981405">
        <w:t xml:space="preserve"> </w:t>
      </w:r>
      <w:r w:rsidRPr="00981405">
        <w:t>of</w:t>
      </w:r>
      <w:r w:rsidR="00190923" w:rsidRPr="00981405">
        <w:t xml:space="preserve"> </w:t>
      </w:r>
      <w:r w:rsidRPr="00981405">
        <w:t>the</w:t>
      </w:r>
      <w:r w:rsidR="00190923" w:rsidRPr="00981405">
        <w:t xml:space="preserve"> </w:t>
      </w:r>
      <w:r w:rsidRPr="00981405">
        <w:t>need</w:t>
      </w:r>
      <w:r w:rsidR="00190923" w:rsidRPr="00981405">
        <w:t xml:space="preserve"> </w:t>
      </w:r>
      <w:r w:rsidRPr="00981405">
        <w:t>to</w:t>
      </w:r>
      <w:r w:rsidR="00190923" w:rsidRPr="00981405">
        <w:t xml:space="preserve"> </w:t>
      </w:r>
      <w:r w:rsidRPr="00981405">
        <w:t>reinforce</w:t>
      </w:r>
      <w:r w:rsidR="00190923" w:rsidRPr="00981405">
        <w:t xml:space="preserve"> </w:t>
      </w:r>
      <w:r w:rsidRPr="00981405">
        <w:t>respect</w:t>
      </w:r>
      <w:r w:rsidR="00190923" w:rsidRPr="00981405">
        <w:t xml:space="preserve"> </w:t>
      </w:r>
      <w:r w:rsidRPr="00981405">
        <w:t>for</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the</w:t>
      </w:r>
      <w:r w:rsidR="00190923" w:rsidRPr="00981405">
        <w:t xml:space="preserve"> </w:t>
      </w:r>
      <w:r w:rsidRPr="00981405">
        <w:t>VCLT,</w:t>
      </w:r>
      <w:r w:rsidR="00190923" w:rsidRPr="00981405">
        <w:t xml:space="preserve"> </w:t>
      </w:r>
      <w:r w:rsidRPr="00981405">
        <w:t>which</w:t>
      </w:r>
      <w:r w:rsidR="00190923" w:rsidRPr="00981405">
        <w:t xml:space="preserve"> </w:t>
      </w:r>
      <w:r w:rsidRPr="00981405">
        <w:t>are</w:t>
      </w:r>
      <w:r w:rsidR="00190923" w:rsidRPr="00981405">
        <w:t xml:space="preserve"> </w:t>
      </w:r>
      <w:r w:rsidRPr="00981405">
        <w:t>applicable</w:t>
      </w:r>
      <w:r w:rsidR="00190923" w:rsidRPr="00981405">
        <w:t xml:space="preserve"> </w:t>
      </w:r>
      <w:r w:rsidRPr="00981405">
        <w:t>to</w:t>
      </w:r>
      <w:r w:rsidR="00190923" w:rsidRPr="00981405">
        <w:t xml:space="preserve"> </w:t>
      </w:r>
      <w:r w:rsidRPr="00981405">
        <w:t>all</w:t>
      </w:r>
      <w:r w:rsidR="00190923" w:rsidRPr="00981405">
        <w:t xml:space="preserve"> </w:t>
      </w:r>
      <w:r w:rsidRPr="00981405">
        <w:t>treaties.</w:t>
      </w:r>
      <w:r w:rsidR="00190923" w:rsidRPr="00981405">
        <w:t xml:space="preserve"> </w:t>
      </w:r>
      <w:r w:rsidRPr="00981405">
        <w:t>The</w:t>
      </w:r>
      <w:r w:rsidR="00190923" w:rsidRPr="00981405">
        <w:t xml:space="preserve"> </w:t>
      </w:r>
      <w:r w:rsidRPr="00981405">
        <w:t>most</w:t>
      </w:r>
      <w:r w:rsidR="00190923" w:rsidRPr="00981405">
        <w:t xml:space="preserve"> </w:t>
      </w:r>
      <w:r w:rsidRPr="00981405">
        <w:t>prominent</w:t>
      </w:r>
      <w:r w:rsidR="00190923" w:rsidRPr="00981405">
        <w:t xml:space="preserve"> </w:t>
      </w:r>
      <w:r w:rsidRPr="00981405">
        <w:t>factors</w:t>
      </w:r>
      <w:r w:rsidR="00190923" w:rsidRPr="00981405">
        <w:t xml:space="preserve"> </w:t>
      </w:r>
      <w:r w:rsidRPr="00981405">
        <w:t>that</w:t>
      </w:r>
      <w:r w:rsidR="00190923" w:rsidRPr="00981405">
        <w:t xml:space="preserve"> </w:t>
      </w:r>
      <w:r w:rsidRPr="00981405">
        <w:t>have</w:t>
      </w:r>
      <w:r w:rsidR="00190923" w:rsidRPr="00981405">
        <w:t xml:space="preserve"> </w:t>
      </w:r>
      <w:r w:rsidRPr="00981405">
        <w:t>influenced</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in</w:t>
      </w:r>
      <w:r w:rsidR="00190923" w:rsidRPr="00981405">
        <w:t xml:space="preserve"> </w:t>
      </w:r>
      <w:r w:rsidRPr="00981405">
        <w:t>their</w:t>
      </w:r>
      <w:r w:rsidR="00190923" w:rsidRPr="00981405">
        <w:t xml:space="preserve"> </w:t>
      </w:r>
      <w:r w:rsidRPr="00981405">
        <w:t>decisions</w:t>
      </w:r>
      <w:r w:rsidR="00190923" w:rsidRPr="00981405">
        <w:t xml:space="preserve"> </w:t>
      </w:r>
      <w:r w:rsidRPr="00981405">
        <w:t>regarding</w:t>
      </w:r>
      <w:r w:rsidR="00190923" w:rsidRPr="00981405">
        <w:t xml:space="preserve"> </w:t>
      </w:r>
      <w:r w:rsidRPr="00981405">
        <w:t>MFN</w:t>
      </w:r>
      <w:r w:rsidR="00190923" w:rsidRPr="00981405">
        <w:t xml:space="preserve"> </w:t>
      </w:r>
      <w:r w:rsidRPr="00981405">
        <w:t>application</w:t>
      </w:r>
      <w:r w:rsidR="00190923" w:rsidRPr="00981405">
        <w:t xml:space="preserve"> </w:t>
      </w:r>
      <w:r w:rsidRPr="00981405">
        <w:t>to</w:t>
      </w:r>
      <w:r w:rsidR="00190923" w:rsidRPr="00981405">
        <w:t xml:space="preserve"> </w:t>
      </w:r>
      <w:r w:rsidRPr="00981405">
        <w:t>procedural</w:t>
      </w:r>
      <w:r w:rsidR="00190923" w:rsidRPr="00981405">
        <w:t xml:space="preserve"> </w:t>
      </w:r>
      <w:r w:rsidRPr="00981405">
        <w:t>matters</w:t>
      </w:r>
      <w:r w:rsidR="00190923" w:rsidRPr="00981405">
        <w:t xml:space="preserve"> </w:t>
      </w:r>
      <w:r w:rsidRPr="00981405">
        <w:t>are</w:t>
      </w:r>
      <w:r w:rsidR="00190923" w:rsidRPr="00981405">
        <w:t xml:space="preserve"> </w:t>
      </w:r>
      <w:r w:rsidRPr="00981405">
        <w:t>set</w:t>
      </w:r>
      <w:r w:rsidR="00190923" w:rsidRPr="00981405">
        <w:t xml:space="preserve"> </w:t>
      </w:r>
      <w:r w:rsidRPr="00981405">
        <w:t>out</w:t>
      </w:r>
      <w:r w:rsidR="00190923" w:rsidRPr="00981405">
        <w:t xml:space="preserve"> </w:t>
      </w:r>
      <w:r w:rsidRPr="00981405">
        <w:t>below.</w:t>
      </w:r>
      <w:r w:rsidR="00190923" w:rsidRPr="00981405">
        <w:t xml:space="preserve"> </w:t>
      </w:r>
    </w:p>
    <w:p w:rsidR="00FB6821" w:rsidRPr="00D97463" w:rsidRDefault="00FB6821" w:rsidP="00D97463">
      <w:pPr>
        <w:pStyle w:val="SingleTxt"/>
        <w:spacing w:after="0" w:line="120" w:lineRule="exact"/>
        <w:rPr>
          <w:sz w:val="10"/>
        </w:rPr>
      </w:pPr>
    </w:p>
    <w:p w:rsidR="00397032" w:rsidRPr="00981405" w:rsidRDefault="00397032" w:rsidP="00FB6821">
      <w:pPr>
        <w:pStyle w:val="H4"/>
        <w:ind w:right="1260"/>
      </w:pPr>
      <w:bookmarkStart w:id="246" w:name="_Toc293434165"/>
      <w:bookmarkStart w:id="247" w:name="_Toc294353679"/>
      <w:r w:rsidRPr="00981405">
        <w:tab/>
      </w:r>
      <w:bookmarkStart w:id="248" w:name="_Toc427938180"/>
      <w:r w:rsidRPr="00981405">
        <w:t>(i)</w:t>
      </w:r>
      <w:r w:rsidRPr="00981405">
        <w:tab/>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substantive</w:t>
      </w:r>
      <w:r w:rsidR="00190923" w:rsidRPr="00981405">
        <w:t xml:space="preserve"> </w:t>
      </w:r>
      <w:r w:rsidRPr="00981405">
        <w:t>and</w:t>
      </w:r>
      <w:r w:rsidR="00190923" w:rsidRPr="00981405">
        <w:t xml:space="preserve"> </w:t>
      </w:r>
      <w:r w:rsidRPr="00981405">
        <w:t>procedural</w:t>
      </w:r>
      <w:r w:rsidR="00190923" w:rsidRPr="00981405">
        <w:t xml:space="preserve"> </w:t>
      </w:r>
      <w:r w:rsidRPr="00981405">
        <w:t>obligations</w:t>
      </w:r>
      <w:bookmarkEnd w:id="246"/>
      <w:bookmarkEnd w:id="247"/>
      <w:bookmarkEnd w:id="248"/>
    </w:p>
    <w:p w:rsidR="004176F2" w:rsidRPr="00D97463" w:rsidRDefault="004176F2" w:rsidP="00D97463">
      <w:pPr>
        <w:pStyle w:val="SingleTxt"/>
        <w:spacing w:after="0" w:line="120" w:lineRule="exact"/>
        <w:rPr>
          <w:sz w:val="10"/>
        </w:rPr>
      </w:pPr>
    </w:p>
    <w:p w:rsidR="00397032" w:rsidRPr="00981405" w:rsidRDefault="00397032" w:rsidP="00D97463">
      <w:pPr>
        <w:pStyle w:val="SingleTxt"/>
      </w:pPr>
      <w:r w:rsidRPr="00981405">
        <w:t>93.</w:t>
      </w:r>
      <w:r w:rsidRPr="00981405">
        <w:tab/>
        <w:t>A</w:t>
      </w:r>
      <w:r w:rsidR="00190923" w:rsidRPr="00981405">
        <w:t xml:space="preserve"> </w:t>
      </w:r>
      <w:r w:rsidRPr="00981405">
        <w:t>frequent</w:t>
      </w:r>
      <w:r w:rsidR="00190923" w:rsidRPr="00981405">
        <w:t xml:space="preserve"> </w:t>
      </w:r>
      <w:r w:rsidRPr="00981405">
        <w:t>starting</w:t>
      </w:r>
      <w:r w:rsidR="00190923" w:rsidRPr="00981405">
        <w:t xml:space="preserve"> </w:t>
      </w:r>
      <w:r w:rsidRPr="00981405">
        <w:t>point</w:t>
      </w:r>
      <w:r w:rsidR="00190923" w:rsidRPr="00981405">
        <w:t xml:space="preserve"> </w:t>
      </w:r>
      <w:r w:rsidRPr="00981405">
        <w:t>is</w:t>
      </w:r>
      <w:r w:rsidR="00190923" w:rsidRPr="00981405">
        <w:t xml:space="preserve"> </w:t>
      </w:r>
      <w:r w:rsidRPr="00981405">
        <w:t>for</w:t>
      </w:r>
      <w:r w:rsidR="00190923" w:rsidRPr="00981405">
        <w:t xml:space="preserve"> </w:t>
      </w:r>
      <w:r w:rsidRPr="00981405">
        <w:t>tribunals</w:t>
      </w:r>
      <w:r w:rsidR="00190923" w:rsidRPr="00981405">
        <w:t xml:space="preserve"> </w:t>
      </w:r>
      <w:r w:rsidRPr="00981405">
        <w:t>to</w:t>
      </w:r>
      <w:r w:rsidR="00190923" w:rsidRPr="00981405">
        <w:t xml:space="preserve"> </w:t>
      </w:r>
      <w:r w:rsidRPr="00981405">
        <w:t>determine</w:t>
      </w:r>
      <w:r w:rsidR="00190923" w:rsidRPr="00981405">
        <w:t xml:space="preserve"> </w:t>
      </w:r>
      <w:r w:rsidRPr="00981405">
        <w:t>whether,</w:t>
      </w:r>
      <w:r w:rsidR="00190923" w:rsidRPr="00981405">
        <w:t xml:space="preserve"> </w:t>
      </w:r>
      <w:r w:rsidRPr="00981405">
        <w:t>in</w:t>
      </w:r>
      <w:r w:rsidR="00190923" w:rsidRPr="00981405">
        <w:t xml:space="preserve"> </w:t>
      </w:r>
      <w:r w:rsidRPr="00981405">
        <w:t>principle,</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could</w:t>
      </w:r>
      <w:r w:rsidR="00190923" w:rsidRPr="00981405">
        <w:t xml:space="preserve"> </w:t>
      </w:r>
      <w:r w:rsidRPr="00981405">
        <w:t>relate</w:t>
      </w:r>
      <w:r w:rsidR="00190923" w:rsidRPr="00981405">
        <w:t xml:space="preserve"> </w:t>
      </w:r>
      <w:r w:rsidRPr="00981405">
        <w:t>to</w:t>
      </w:r>
      <w:r w:rsidR="00190923" w:rsidRPr="00981405">
        <w:t xml:space="preserve"> </w:t>
      </w:r>
      <w:r w:rsidRPr="00981405">
        <w:t>both</w:t>
      </w:r>
      <w:r w:rsidR="00190923" w:rsidRPr="00981405">
        <w:t xml:space="preserve"> </w:t>
      </w:r>
      <w:r w:rsidRPr="00981405">
        <w:t>procedural</w:t>
      </w:r>
      <w:r w:rsidR="00190923" w:rsidRPr="00981405">
        <w:t xml:space="preserve"> </w:t>
      </w:r>
      <w:r w:rsidRPr="00981405">
        <w:t>and</w:t>
      </w:r>
      <w:r w:rsidR="00190923" w:rsidRPr="00981405">
        <w:t xml:space="preserve"> </w:t>
      </w:r>
      <w:r w:rsidRPr="00981405">
        <w:t>substantive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D97463">
        <w:rPr>
          <w:i/>
          <w:iCs/>
        </w:rPr>
        <w:t>Maffezini</w:t>
      </w:r>
      <w:r w:rsidR="00190923" w:rsidRPr="00981405">
        <w:t xml:space="preserve"> </w:t>
      </w:r>
      <w:r w:rsidRPr="00981405">
        <w:t>the</w:t>
      </w:r>
      <w:r w:rsidR="00190923" w:rsidRPr="00981405">
        <w:t xml:space="preserve"> </w:t>
      </w:r>
      <w:r w:rsidRPr="00981405">
        <w:t>question</w:t>
      </w:r>
      <w:r w:rsidR="00190923" w:rsidRPr="00981405">
        <w:t xml:space="preserve"> </w:t>
      </w:r>
      <w:r w:rsidRPr="00981405">
        <w:t>posed</w:t>
      </w:r>
      <w:r w:rsidR="00190923" w:rsidRPr="00981405">
        <w:t xml:space="preserve"> </w:t>
      </w:r>
      <w:r w:rsidRPr="00981405">
        <w:t>was:</w:t>
      </w:r>
    </w:p>
    <w:p w:rsidR="00397032" w:rsidRPr="00981405" w:rsidRDefault="00B92E2C" w:rsidP="00D97463">
      <w:pPr>
        <w:pStyle w:val="SingleTxt"/>
        <w:ind w:left="1742"/>
      </w:pPr>
      <w:r w:rsidRPr="00981405">
        <w:t>“</w:t>
      </w:r>
      <w:r w:rsidR="00397032" w:rsidRPr="00981405">
        <w:t>whether</w:t>
      </w:r>
      <w:r w:rsidR="00190923" w:rsidRPr="00981405">
        <w:t xml:space="preserve"> </w:t>
      </w:r>
      <w:r w:rsidR="00397032" w:rsidRPr="00981405">
        <w:t>the</w:t>
      </w:r>
      <w:r w:rsidR="00190923" w:rsidRPr="00981405">
        <w:t xml:space="preserve"> </w:t>
      </w:r>
      <w:r w:rsidR="00397032" w:rsidRPr="00981405">
        <w:t>provisions</w:t>
      </w:r>
      <w:r w:rsidR="00190923" w:rsidRPr="00981405">
        <w:t xml:space="preserve"> </w:t>
      </w:r>
      <w:r w:rsidR="00397032" w:rsidRPr="00981405">
        <w:t>on</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contained</w:t>
      </w:r>
      <w:r w:rsidR="00190923" w:rsidRPr="00981405">
        <w:t xml:space="preserve"> </w:t>
      </w:r>
      <w:r w:rsidR="00397032" w:rsidRPr="00981405">
        <w:t>in</w:t>
      </w:r>
      <w:r w:rsidR="00190923" w:rsidRPr="00981405">
        <w:t xml:space="preserve"> </w:t>
      </w:r>
      <w:r w:rsidR="00397032" w:rsidRPr="00981405">
        <w:t>a</w:t>
      </w:r>
      <w:r w:rsidR="00190923" w:rsidRPr="00981405">
        <w:t xml:space="preserve"> </w:t>
      </w:r>
      <w:r w:rsidR="00397032" w:rsidRPr="00981405">
        <w:t>third-party</w:t>
      </w:r>
      <w:r w:rsidR="00190923" w:rsidRPr="00981405">
        <w:t xml:space="preserve"> </w:t>
      </w:r>
      <w:r w:rsidR="00397032" w:rsidRPr="00981405">
        <w:t>treaty</w:t>
      </w:r>
      <w:r w:rsidR="00190923" w:rsidRPr="00981405">
        <w:t xml:space="preserve"> </w:t>
      </w:r>
      <w:r w:rsidR="00397032" w:rsidRPr="00981405">
        <w:t>can</w:t>
      </w:r>
      <w:r w:rsidR="00190923" w:rsidRPr="00981405">
        <w:t xml:space="preserve"> </w:t>
      </w:r>
      <w:r w:rsidR="00397032" w:rsidRPr="00981405">
        <w:t>be</w:t>
      </w:r>
      <w:r w:rsidR="00190923" w:rsidRPr="00981405">
        <w:t xml:space="preserve"> </w:t>
      </w:r>
      <w:r w:rsidR="00397032" w:rsidRPr="00981405">
        <w:t>considered</w:t>
      </w:r>
      <w:r w:rsidR="00190923" w:rsidRPr="00981405">
        <w:t xml:space="preserve"> </w:t>
      </w:r>
      <w:r w:rsidR="00397032" w:rsidRPr="00981405">
        <w:t>to</w:t>
      </w:r>
      <w:r w:rsidR="00190923" w:rsidRPr="00981405">
        <w:t xml:space="preserve"> </w:t>
      </w:r>
      <w:r w:rsidR="00397032" w:rsidRPr="00981405">
        <w:t>be</w:t>
      </w:r>
      <w:r w:rsidR="00190923" w:rsidRPr="00981405">
        <w:t xml:space="preserve"> </w:t>
      </w:r>
      <w:r w:rsidR="00397032" w:rsidRPr="00981405">
        <w:t>reasonably</w:t>
      </w:r>
      <w:r w:rsidR="00190923" w:rsidRPr="00981405">
        <w:t xml:space="preserve"> </w:t>
      </w:r>
      <w:r w:rsidR="00397032" w:rsidRPr="00981405">
        <w:t>related</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fair</w:t>
      </w:r>
      <w:r w:rsidR="00190923" w:rsidRPr="00981405">
        <w:t xml:space="preserve"> </w:t>
      </w:r>
      <w:r w:rsidR="00397032" w:rsidRPr="00981405">
        <w:t>and</w:t>
      </w:r>
      <w:r w:rsidR="00190923" w:rsidRPr="00981405">
        <w:t xml:space="preserve"> </w:t>
      </w:r>
      <w:r w:rsidR="00397032" w:rsidRPr="00981405">
        <w:t>equitable</w:t>
      </w:r>
      <w:r w:rsidR="00190923" w:rsidRPr="00981405">
        <w:t xml:space="preserve"> </w:t>
      </w:r>
      <w:r w:rsidR="00397032" w:rsidRPr="00981405">
        <w:t>treatment</w:t>
      </w:r>
      <w:r w:rsidR="00190923" w:rsidRPr="00981405">
        <w:t xml:space="preserve"> </w:t>
      </w:r>
      <w:r w:rsidR="00397032" w:rsidRPr="00981405">
        <w:t>to</w:t>
      </w:r>
      <w:r w:rsidR="00190923" w:rsidRPr="00981405">
        <w:t xml:space="preserve"> </w:t>
      </w:r>
      <w:r w:rsidR="00397032" w:rsidRPr="00981405">
        <w:t>which</w:t>
      </w:r>
      <w:r w:rsidR="00190923" w:rsidRPr="00981405">
        <w:t xml:space="preserve"> </w:t>
      </w:r>
      <w:r w:rsidR="00397032" w:rsidRPr="00981405">
        <w:t>the</w:t>
      </w:r>
      <w:r w:rsidR="00190923" w:rsidRPr="00981405">
        <w:t xml:space="preserve"> </w:t>
      </w:r>
      <w:r w:rsidR="00397032" w:rsidRPr="00981405">
        <w:t>most</w:t>
      </w:r>
      <w:r w:rsidR="00190923" w:rsidRPr="00981405">
        <w:t xml:space="preserve"> </w:t>
      </w:r>
      <w:r w:rsidR="00397032" w:rsidRPr="00981405">
        <w:t>favored</w:t>
      </w:r>
      <w:r w:rsidR="00190923" w:rsidRPr="00981405">
        <w:t xml:space="preserve"> </w:t>
      </w:r>
      <w:r w:rsidR="00397032" w:rsidRPr="00981405">
        <w:t>nation</w:t>
      </w:r>
      <w:r w:rsidR="00190923" w:rsidRPr="00981405">
        <w:t xml:space="preserve"> </w:t>
      </w:r>
      <w:r w:rsidR="00397032" w:rsidRPr="00981405">
        <w:t>clause</w:t>
      </w:r>
      <w:r w:rsidR="00190923" w:rsidRPr="00981405">
        <w:t xml:space="preserve"> </w:t>
      </w:r>
      <w:r w:rsidR="00397032" w:rsidRPr="00981405">
        <w:t>applies</w:t>
      </w:r>
      <w:r w:rsidR="00190923" w:rsidRPr="00981405">
        <w:t xml:space="preserve"> </w:t>
      </w:r>
      <w:r w:rsidR="00397032" w:rsidRPr="00981405">
        <w:t>under</w:t>
      </w:r>
      <w:r w:rsidR="00190923" w:rsidRPr="00981405">
        <w:t xml:space="preserve"> </w:t>
      </w:r>
      <w:r w:rsidR="00397032" w:rsidRPr="00981405">
        <w:t>basic</w:t>
      </w:r>
      <w:r w:rsidR="00190923" w:rsidRPr="00981405">
        <w:t xml:space="preserve"> </w:t>
      </w:r>
      <w:r w:rsidR="00397032" w:rsidRPr="00981405">
        <w:t>treaties</w:t>
      </w:r>
      <w:r w:rsidR="00190923" w:rsidRPr="00981405">
        <w:t xml:space="preserve"> </w:t>
      </w:r>
      <w:r w:rsidR="00397032" w:rsidRPr="00981405">
        <w:t>on</w:t>
      </w:r>
      <w:r w:rsidR="00190923" w:rsidRPr="00981405">
        <w:t xml:space="preserve"> </w:t>
      </w:r>
      <w:r w:rsidR="00397032" w:rsidRPr="00981405">
        <w:t>commerce,</w:t>
      </w:r>
      <w:r w:rsidR="00190923" w:rsidRPr="00981405">
        <w:t xml:space="preserve"> </w:t>
      </w:r>
      <w:r w:rsidR="00397032" w:rsidRPr="00981405">
        <w:t>navigation</w:t>
      </w:r>
      <w:r w:rsidR="00190923" w:rsidRPr="00981405">
        <w:t xml:space="preserve"> </w:t>
      </w:r>
      <w:r w:rsidR="00397032" w:rsidRPr="00981405">
        <w:t>or</w:t>
      </w:r>
      <w:r w:rsidR="00190923" w:rsidRPr="00981405">
        <w:t xml:space="preserve"> </w:t>
      </w:r>
      <w:r w:rsidR="00397032" w:rsidRPr="00981405">
        <w:t>investments</w:t>
      </w:r>
      <w:r w:rsidR="00190923" w:rsidRPr="00981405">
        <w:t xml:space="preserve"> </w:t>
      </w:r>
      <w:r w:rsidR="00397032" w:rsidRPr="00981405">
        <w:t>and,</w:t>
      </w:r>
      <w:r w:rsidR="00190923" w:rsidRPr="00981405">
        <w:t xml:space="preserve"> </w:t>
      </w:r>
      <w:r w:rsidR="00397032" w:rsidRPr="00981405">
        <w:t>hence,</w:t>
      </w:r>
      <w:r w:rsidR="00190923" w:rsidRPr="00981405">
        <w:t xml:space="preserve"> </w:t>
      </w:r>
      <w:r w:rsidR="00397032" w:rsidRPr="00981405">
        <w:t>whether</w:t>
      </w:r>
      <w:r w:rsidR="00190923" w:rsidRPr="00981405">
        <w:t xml:space="preserve"> </w:t>
      </w:r>
      <w:r w:rsidR="00397032" w:rsidRPr="00981405">
        <w:t>they</w:t>
      </w:r>
      <w:r w:rsidR="00190923" w:rsidRPr="00981405">
        <w:t xml:space="preserve"> </w:t>
      </w:r>
      <w:r w:rsidR="00397032" w:rsidRPr="00981405">
        <w:t>can</w:t>
      </w:r>
      <w:r w:rsidR="00190923" w:rsidRPr="00981405">
        <w:t xml:space="preserve"> </w:t>
      </w:r>
      <w:r w:rsidR="00397032" w:rsidRPr="00981405">
        <w:t>be</w:t>
      </w:r>
      <w:r w:rsidR="00190923" w:rsidRPr="00981405">
        <w:t xml:space="preserve"> </w:t>
      </w:r>
      <w:r w:rsidR="00397032" w:rsidRPr="00981405">
        <w:t>regarded</w:t>
      </w:r>
      <w:r w:rsidR="00190923" w:rsidRPr="00981405">
        <w:t xml:space="preserve"> </w:t>
      </w:r>
      <w:r w:rsidR="00397032" w:rsidRPr="00981405">
        <w:t>as</w:t>
      </w:r>
      <w:r w:rsidR="00190923" w:rsidRPr="00981405">
        <w:t xml:space="preserve"> </w:t>
      </w:r>
      <w:r w:rsidR="00397032" w:rsidRPr="00981405">
        <w:t>a</w:t>
      </w:r>
      <w:r w:rsidR="00190923" w:rsidRPr="00981405">
        <w:t xml:space="preserve"> </w:t>
      </w:r>
      <w:r w:rsidR="00397032" w:rsidRPr="00981405">
        <w:t>subject</w:t>
      </w:r>
      <w:r w:rsidR="00190923" w:rsidRPr="00981405">
        <w:t xml:space="preserve"> </w:t>
      </w:r>
      <w:r w:rsidR="00397032" w:rsidRPr="00981405">
        <w:t>matter</w:t>
      </w:r>
      <w:r w:rsidR="00190923" w:rsidRPr="00981405">
        <w:t xml:space="preserve"> </w:t>
      </w:r>
      <w:r w:rsidR="00397032" w:rsidRPr="00981405">
        <w:t>covered</w:t>
      </w:r>
      <w:r w:rsidR="00190923" w:rsidRPr="00981405">
        <w:t xml:space="preserve"> </w:t>
      </w:r>
      <w:r w:rsidR="00397032" w:rsidRPr="00981405">
        <w:t>by</w:t>
      </w:r>
      <w:r w:rsidR="00190923" w:rsidRPr="00981405">
        <w:t xml:space="preserve"> </w:t>
      </w:r>
      <w:r w:rsidR="00397032" w:rsidRPr="00981405">
        <w:t>the</w:t>
      </w:r>
      <w:r w:rsidR="00190923" w:rsidRPr="00981405">
        <w:t xml:space="preserve"> </w:t>
      </w:r>
      <w:r w:rsidR="00397032" w:rsidRPr="00981405">
        <w:t>clause.</w:t>
      </w:r>
      <w:r w:rsidRPr="00981405">
        <w:t>”</w:t>
      </w:r>
      <w:r w:rsidR="00397032" w:rsidRPr="00981405">
        <w:rPr>
          <w:rStyle w:val="FootnoteReference"/>
        </w:rPr>
        <w:footnoteReference w:id="503"/>
      </w:r>
    </w:p>
    <w:p w:rsidR="00397032" w:rsidRPr="00981405" w:rsidRDefault="00397032" w:rsidP="00D97463">
      <w:pPr>
        <w:pStyle w:val="SingleTxt"/>
      </w:pPr>
      <w:r w:rsidRPr="00981405">
        <w:t>94.</w:t>
      </w:r>
      <w:r w:rsidRPr="00981405">
        <w:tab/>
        <w:t>As</w:t>
      </w:r>
      <w:r w:rsidR="00190923" w:rsidRPr="00981405">
        <w:t xml:space="preserve"> </w:t>
      </w:r>
      <w:r w:rsidRPr="00981405">
        <w:t>noted</w:t>
      </w:r>
      <w:r w:rsidR="00190923" w:rsidRPr="00981405">
        <w:t xml:space="preserve"> </w:t>
      </w:r>
      <w:r w:rsidRPr="00981405">
        <w:t>above,</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MFN</w:t>
      </w:r>
      <w:r w:rsidR="00190923" w:rsidRPr="00981405">
        <w:t xml:space="preserve"> </w:t>
      </w:r>
      <w:r w:rsidRPr="00981405">
        <w:t>treatment</w:t>
      </w:r>
      <w:r w:rsidR="00190923" w:rsidRPr="00981405">
        <w:t xml:space="preserve"> </w:t>
      </w:r>
      <w:r w:rsidRPr="00981405">
        <w:t>could</w:t>
      </w:r>
      <w:r w:rsidR="00190923" w:rsidRPr="00981405">
        <w:t xml:space="preserve"> </w:t>
      </w:r>
      <w:r w:rsidRPr="00981405">
        <w:t>be</w:t>
      </w:r>
      <w:r w:rsidR="00190923" w:rsidRPr="00981405">
        <w:t xml:space="preserve"> </w:t>
      </w:r>
      <w:r w:rsidRPr="00981405">
        <w:t>extended</w:t>
      </w:r>
      <w:r w:rsidR="00190923" w:rsidRPr="00981405">
        <w:t xml:space="preserve"> </w:t>
      </w:r>
      <w:r w:rsidRPr="00981405">
        <w:t>to</w:t>
      </w:r>
      <w:r w:rsidR="00190923" w:rsidRPr="00981405">
        <w:t xml:space="preserve"> </w:t>
      </w:r>
      <w:r w:rsidRPr="00981405">
        <w:t>procedural</w:t>
      </w:r>
      <w:r w:rsidR="00190923" w:rsidRPr="00981405">
        <w:t xml:space="preserve"> </w:t>
      </w:r>
      <w:r w:rsidRPr="00981405">
        <w:t>provisions</w:t>
      </w:r>
      <w:r w:rsidR="00190923" w:rsidRPr="00981405">
        <w:t xml:space="preserve"> </w:t>
      </w:r>
      <w:r w:rsidRPr="00981405">
        <w:t>subject</w:t>
      </w:r>
      <w:r w:rsidR="00190923" w:rsidRPr="00981405">
        <w:t xml:space="preserve"> </w:t>
      </w:r>
      <w:r w:rsidRPr="00981405">
        <w:t>to</w:t>
      </w:r>
      <w:r w:rsidR="00190923" w:rsidRPr="00981405">
        <w:t xml:space="preserve"> </w:t>
      </w:r>
      <w:r w:rsidRPr="00981405">
        <w:t>certain</w:t>
      </w:r>
      <w:r w:rsidR="00190923" w:rsidRPr="00981405">
        <w:t xml:space="preserve"> </w:t>
      </w:r>
      <w:r w:rsidR="00B92E2C" w:rsidRPr="00981405">
        <w:t>“</w:t>
      </w:r>
      <w:r w:rsidRPr="00981405">
        <w:t>public</w:t>
      </w:r>
      <w:r w:rsidR="00190923" w:rsidRPr="00981405">
        <w:t xml:space="preserve"> </w:t>
      </w:r>
      <w:r w:rsidRPr="00981405">
        <w:t>policy</w:t>
      </w:r>
      <w:r w:rsidR="00B92E2C" w:rsidRPr="00981405">
        <w:t>”</w:t>
      </w:r>
      <w:r w:rsidR="00190923" w:rsidRPr="00981405">
        <w:t xml:space="preserve"> </w:t>
      </w:r>
      <w:r w:rsidRPr="00981405">
        <w:t>considerations.</w:t>
      </w:r>
      <w:r w:rsidRPr="00981405">
        <w:rPr>
          <w:rStyle w:val="FootnoteReference"/>
        </w:rPr>
        <w:footnoteReference w:id="504"/>
      </w:r>
      <w:r w:rsidR="00190923" w:rsidRPr="00981405">
        <w:t xml:space="preserve"> </w:t>
      </w:r>
      <w:r w:rsidRPr="00981405">
        <w:t>In</w:t>
      </w:r>
      <w:r w:rsidR="00190923" w:rsidRPr="00981405">
        <w:t xml:space="preserve"> </w:t>
      </w:r>
      <w:r w:rsidRPr="00981405">
        <w:t>reaching</w:t>
      </w:r>
      <w:r w:rsidR="00190923" w:rsidRPr="00981405">
        <w:t xml:space="preserve"> </w:t>
      </w:r>
      <w:r w:rsidRPr="00981405">
        <w:t>that</w:t>
      </w:r>
      <w:r w:rsidR="00190923" w:rsidRPr="00981405">
        <w:t xml:space="preserve"> </w:t>
      </w:r>
      <w:r w:rsidRPr="00981405">
        <w:t>decision,</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invoked</w:t>
      </w:r>
      <w:r w:rsidR="00190923" w:rsidRPr="00981405">
        <w:t xml:space="preserve"> </w:t>
      </w:r>
      <w:r w:rsidRPr="00981405">
        <w:t>the</w:t>
      </w:r>
      <w:r w:rsidR="00190923" w:rsidRPr="00981405">
        <w:t xml:space="preserve"> </w:t>
      </w:r>
      <w:r w:rsidRPr="00981405">
        <w:t>decision</w:t>
      </w:r>
      <w:r w:rsidR="00190923" w:rsidRPr="00981405">
        <w:t xml:space="preserve"> </w:t>
      </w:r>
      <w:r w:rsidRPr="00981405">
        <w:t>of</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Arbitration</w:t>
      </w:r>
      <w:r w:rsidR="00190923" w:rsidRPr="00981405">
        <w:t xml:space="preserve"> </w:t>
      </w:r>
      <w:r w:rsidRPr="00981405">
        <w:t>in</w:t>
      </w:r>
      <w:r w:rsidR="00190923" w:rsidRPr="00981405">
        <w:t xml:space="preserve"> </w:t>
      </w:r>
      <w:r w:rsidRPr="00D97463">
        <w:rPr>
          <w:i/>
          <w:iCs/>
        </w:rPr>
        <w:t>Ambatielos</w:t>
      </w:r>
      <w:r w:rsidR="00190923" w:rsidRPr="00981405">
        <w:t xml:space="preserve"> </w:t>
      </w:r>
      <w:r w:rsidRPr="00981405">
        <w:t>and</w:t>
      </w:r>
      <w:r w:rsidR="00190923" w:rsidRPr="00981405">
        <w:t xml:space="preserve"> </w:t>
      </w:r>
      <w:r w:rsidRPr="00981405">
        <w:t>said,</w:t>
      </w:r>
      <w:r w:rsidR="00190923" w:rsidRPr="00981405">
        <w:t xml:space="preserve"> </w:t>
      </w:r>
      <w:r w:rsidR="00B92E2C" w:rsidRPr="00981405">
        <w:t>“</w:t>
      </w:r>
      <w:r w:rsidRPr="00981405">
        <w:t>there</w:t>
      </w:r>
      <w:r w:rsidR="00190923" w:rsidRPr="00981405">
        <w:t xml:space="preserve"> </w:t>
      </w:r>
      <w:r w:rsidRPr="00981405">
        <w:t>are</w:t>
      </w:r>
      <w:r w:rsidR="00190923" w:rsidRPr="00981405">
        <w:t xml:space="preserve"> </w:t>
      </w:r>
      <w:r w:rsidRPr="00981405">
        <w:t>good</w:t>
      </w:r>
      <w:r w:rsidR="00190923" w:rsidRPr="00981405">
        <w:t xml:space="preserve"> </w:t>
      </w:r>
      <w:r w:rsidRPr="00981405">
        <w:t>reasons</w:t>
      </w:r>
      <w:r w:rsidR="00190923" w:rsidRPr="00981405">
        <w:t xml:space="preserve"> </w:t>
      </w:r>
      <w:r w:rsidRPr="00981405">
        <w:t>to</w:t>
      </w:r>
      <w:r w:rsidR="00190923" w:rsidRPr="00981405">
        <w:t xml:space="preserve"> </w:t>
      </w:r>
      <w:r w:rsidRPr="00981405">
        <w:t>conclude</w:t>
      </w:r>
      <w:r w:rsidR="00190923" w:rsidRPr="00981405">
        <w:t xml:space="preserve"> </w:t>
      </w:r>
      <w:r w:rsidRPr="00981405">
        <w:t>that</w:t>
      </w:r>
      <w:r w:rsidR="00190923" w:rsidRPr="00981405">
        <w:t xml:space="preserve"> </w:t>
      </w:r>
      <w:r w:rsidRPr="00981405">
        <w:t>today</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arrangements</w:t>
      </w:r>
      <w:r w:rsidR="00190923" w:rsidRPr="00981405">
        <w:t xml:space="preserve"> </w:t>
      </w:r>
      <w:r w:rsidRPr="00981405">
        <w:t>are</w:t>
      </w:r>
      <w:r w:rsidR="00190923" w:rsidRPr="00981405">
        <w:t xml:space="preserve"> </w:t>
      </w:r>
      <w:r w:rsidRPr="00981405">
        <w:t>inextricably</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foreign</w:t>
      </w:r>
      <w:r w:rsidR="00190923" w:rsidRPr="00981405">
        <w:t xml:space="preserve"> </w:t>
      </w:r>
      <w:r w:rsidRPr="00981405">
        <w:t>investors,</w:t>
      </w:r>
      <w:r w:rsidR="00190923" w:rsidRPr="00981405">
        <w:t xml:space="preserve"> </w:t>
      </w:r>
      <w:r w:rsidRPr="00981405">
        <w:t>as</w:t>
      </w:r>
      <w:r w:rsidR="00190923" w:rsidRPr="00981405">
        <w:t xml:space="preserve"> </w:t>
      </w:r>
      <w:r w:rsidRPr="00981405">
        <w:t>they</w:t>
      </w:r>
      <w:r w:rsidR="00190923" w:rsidRPr="00981405">
        <w:t xml:space="preserve"> </w:t>
      </w:r>
      <w:r w:rsidRPr="00981405">
        <w:t>are</w:t>
      </w:r>
      <w:r w:rsidR="00190923" w:rsidRPr="00981405">
        <w:t xml:space="preserve"> </w:t>
      </w:r>
      <w:r w:rsidRPr="00981405">
        <w:t>also</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w:t>
      </w:r>
      <w:r w:rsidR="00190923" w:rsidRPr="00981405">
        <w:t xml:space="preserve"> </w:t>
      </w:r>
      <w:r w:rsidRPr="00981405">
        <w:t>rights</w:t>
      </w:r>
      <w:r w:rsidR="00190923" w:rsidRPr="00981405">
        <w:t xml:space="preserve"> </w:t>
      </w:r>
      <w:r w:rsidRPr="00981405">
        <w:t>of</w:t>
      </w:r>
      <w:r w:rsidR="00190923" w:rsidRPr="00981405">
        <w:t xml:space="preserve"> </w:t>
      </w:r>
      <w:r w:rsidRPr="00981405">
        <w:t>traders</w:t>
      </w:r>
      <w:r w:rsidR="00190923" w:rsidRPr="00981405">
        <w:t xml:space="preserve"> </w:t>
      </w:r>
      <w:r w:rsidRPr="00981405">
        <w:t>under</w:t>
      </w:r>
      <w:r w:rsidR="00190923" w:rsidRPr="00981405">
        <w:t xml:space="preserve"> </w:t>
      </w:r>
      <w:r w:rsidRPr="00981405">
        <w:t>treaties</w:t>
      </w:r>
      <w:r w:rsidR="00190923" w:rsidRPr="00981405">
        <w:t xml:space="preserve"> </w:t>
      </w:r>
      <w:r w:rsidRPr="00981405">
        <w:t>of</w:t>
      </w:r>
      <w:r w:rsidR="00190923" w:rsidRPr="00981405">
        <w:t xml:space="preserve"> </w:t>
      </w:r>
      <w:r w:rsidRPr="00981405">
        <w:t>commerce</w:t>
      </w:r>
      <w:r w:rsidR="00B92E2C" w:rsidRPr="00981405">
        <w:t>”</w:t>
      </w:r>
      <w:r w:rsidR="00A00224">
        <w:t>.</w:t>
      </w:r>
      <w:r w:rsidRPr="00981405">
        <w:rPr>
          <w:rStyle w:val="FootnoteReference"/>
        </w:rPr>
        <w:footnoteReference w:id="505"/>
      </w:r>
    </w:p>
    <w:p w:rsidR="00397032" w:rsidRPr="00981405" w:rsidRDefault="00397032" w:rsidP="00D97463">
      <w:pPr>
        <w:pStyle w:val="SingleTxt"/>
      </w:pPr>
      <w:r w:rsidRPr="00981405">
        <w:t>95.</w:t>
      </w:r>
      <w:r w:rsidRPr="00981405">
        <w:tab/>
        <w:t>Key</w:t>
      </w:r>
      <w:r w:rsidR="00190923" w:rsidRPr="00981405">
        <w:t xml:space="preserve"> </w:t>
      </w:r>
      <w:r w:rsidRPr="00981405">
        <w:t>to</w:t>
      </w:r>
      <w:r w:rsidR="00190923" w:rsidRPr="00981405">
        <w:t xml:space="preserve"> </w:t>
      </w:r>
      <w:r w:rsidRPr="00981405">
        <w:t>the</w:t>
      </w:r>
      <w:r w:rsidR="00190923" w:rsidRPr="00981405">
        <w:t xml:space="preserve"> </w:t>
      </w:r>
      <w:r w:rsidRPr="00981405">
        <w:t>decision</w:t>
      </w:r>
      <w:r w:rsidR="00190923" w:rsidRPr="00981405">
        <w:t xml:space="preserve"> </w:t>
      </w:r>
      <w:r w:rsidRPr="00981405">
        <w:t>in</w:t>
      </w:r>
      <w:r w:rsidR="00190923" w:rsidRPr="00981405">
        <w:t xml:space="preserve"> </w:t>
      </w:r>
      <w:r w:rsidRPr="00D97463">
        <w:rPr>
          <w:i/>
          <w:iCs/>
        </w:rPr>
        <w:t>Maffezini</w:t>
      </w:r>
      <w:r w:rsidR="00190923" w:rsidRPr="00981405">
        <w:t xml:space="preserve"> </w:t>
      </w:r>
      <w:r w:rsidRPr="00981405">
        <w:t>is</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in</w:t>
      </w:r>
      <w:r w:rsidR="00190923" w:rsidRPr="00981405">
        <w:t xml:space="preserve"> </w:t>
      </w:r>
      <w:r w:rsidRPr="00981405">
        <w:t>principle,</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for</w:t>
      </w:r>
      <w:r w:rsidR="00190923" w:rsidRPr="00981405">
        <w:t xml:space="preserve"> </w:t>
      </w:r>
      <w:r w:rsidRPr="00981405">
        <w:t>investors</w:t>
      </w:r>
      <w:r w:rsidR="00190923" w:rsidRPr="00981405">
        <w:t xml:space="preserve"> </w:t>
      </w:r>
      <w:r w:rsidRPr="00981405">
        <w:t>and</w:t>
      </w:r>
      <w:r w:rsidR="00190923" w:rsidRPr="00981405">
        <w:t xml:space="preserve"> </w:t>
      </w:r>
      <w:r w:rsidRPr="00981405">
        <w:t>investments</w:t>
      </w:r>
      <w:r w:rsidR="00190923" w:rsidRPr="00981405">
        <w:t xml:space="preserve"> </w:t>
      </w:r>
      <w:r w:rsidRPr="00981405">
        <w:t>provided</w:t>
      </w:r>
      <w:r w:rsidR="00190923" w:rsidRPr="00981405">
        <w:t xml:space="preserve"> </w:t>
      </w:r>
      <w:r w:rsidRPr="00981405">
        <w:t>under</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Hence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by</w:t>
      </w:r>
      <w:r w:rsidR="00190923" w:rsidRPr="00981405">
        <w:t xml:space="preserve"> </w:t>
      </w:r>
      <w:r w:rsidRPr="00981405">
        <w:t>definition</w:t>
      </w:r>
      <w:r w:rsidR="00190923" w:rsidRPr="00981405">
        <w:t xml:space="preserve"> </w:t>
      </w:r>
      <w:r w:rsidRPr="00981405">
        <w:t>are</w:t>
      </w:r>
      <w:r w:rsidR="00190923" w:rsidRPr="00981405">
        <w:t xml:space="preserve"> </w:t>
      </w:r>
      <w:r w:rsidRPr="00981405">
        <w:t>almost</w:t>
      </w:r>
      <w:r w:rsidR="00190923" w:rsidRPr="00981405">
        <w:t xml:space="preserve"> </w:t>
      </w:r>
      <w:r w:rsidRPr="00981405">
        <w:t>always</w:t>
      </w:r>
      <w:r w:rsidR="00190923" w:rsidRPr="00981405">
        <w:t xml:space="preserve"> </w:t>
      </w:r>
      <w:r w:rsidRPr="00981405">
        <w:t>capable</w:t>
      </w:r>
      <w:r w:rsidR="00190923" w:rsidRPr="00981405">
        <w:t xml:space="preserve"> </w:t>
      </w:r>
      <w:r w:rsidRPr="00981405">
        <w:t>of</w:t>
      </w:r>
      <w:r w:rsidR="00190923" w:rsidRPr="00981405">
        <w:t xml:space="preserve"> </w:t>
      </w:r>
      <w:r w:rsidRPr="00981405">
        <w:t>being</w:t>
      </w:r>
      <w:r w:rsidR="00190923" w:rsidRPr="00981405">
        <w:t xml:space="preserve"> </w:t>
      </w:r>
      <w:r w:rsidRPr="00981405">
        <w:t>incorporated</w:t>
      </w:r>
      <w:r w:rsidR="00190923" w:rsidRPr="00981405">
        <w:t xml:space="preserve"> </w:t>
      </w:r>
      <w:r w:rsidRPr="00981405">
        <w:t>into</w:t>
      </w:r>
      <w:r w:rsidR="00190923" w:rsidRPr="00981405">
        <w:t xml:space="preserve"> </w:t>
      </w:r>
      <w:r w:rsidRPr="00981405">
        <w:t>an</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by</w:t>
      </w:r>
      <w:r w:rsidR="00190923" w:rsidRPr="00981405">
        <w:t xml:space="preserve"> </w:t>
      </w:r>
      <w:r w:rsidRPr="00981405">
        <w:t>virtue</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Under</w:t>
      </w:r>
      <w:r w:rsidR="00190923" w:rsidRPr="00981405">
        <w:t xml:space="preserve"> </w:t>
      </w:r>
      <w:r w:rsidRPr="00981405">
        <w:t>an</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to</w:t>
      </w:r>
      <w:r w:rsidR="00190923" w:rsidRPr="00981405">
        <w:t xml:space="preserve"> </w:t>
      </w:r>
      <w:r w:rsidRPr="00981405">
        <w:t>use</w:t>
      </w:r>
      <w:r w:rsidR="00190923" w:rsidRPr="00981405">
        <w:t xml:space="preserve"> </w:t>
      </w:r>
      <w:r w:rsidRPr="00981405">
        <w:t>the</w:t>
      </w:r>
      <w:r w:rsidR="00190923" w:rsidRPr="00981405">
        <w:t xml:space="preserve"> </w:t>
      </w:r>
      <w:r w:rsidRPr="00981405">
        <w:t>language</w:t>
      </w:r>
      <w:r w:rsidR="00190923" w:rsidRPr="00981405">
        <w:t xml:space="preserve"> </w:t>
      </w:r>
      <w:r w:rsidRPr="00981405">
        <w:t>of</w:t>
      </w:r>
      <w:r w:rsidR="00190923" w:rsidRPr="00981405">
        <w:t xml:space="preserve"> </w:t>
      </w:r>
      <w:r w:rsidRPr="00981405">
        <w:t>article</w:t>
      </w:r>
      <w:r w:rsidR="00190923" w:rsidRPr="00981405">
        <w:t xml:space="preserve"> </w:t>
      </w:r>
      <w:r w:rsidRPr="00981405">
        <w:t>9</w:t>
      </w:r>
      <w:r w:rsidR="00190923" w:rsidRPr="00981405">
        <w:t xml:space="preserve"> </w:t>
      </w:r>
      <w:r w:rsidRPr="00981405">
        <w:t>of</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falls</w:t>
      </w:r>
      <w:r w:rsidR="00190923" w:rsidRPr="00981405">
        <w:t xml:space="preserve"> </w:t>
      </w:r>
      <w:r w:rsidR="00B92E2C" w:rsidRPr="00981405">
        <w:t>“</w:t>
      </w:r>
      <w:r w:rsidRPr="00981405">
        <w:t>within</w:t>
      </w:r>
      <w:r w:rsidR="00190923" w:rsidRPr="00981405">
        <w:t xml:space="preserve"> </w:t>
      </w:r>
      <w:r w:rsidRPr="00981405">
        <w:t>the</w:t>
      </w:r>
      <w:r w:rsidR="00190923" w:rsidRPr="00981405">
        <w:t xml:space="preserve"> </w:t>
      </w:r>
      <w:r w:rsidRPr="00981405">
        <w:t>limits</w:t>
      </w:r>
      <w:r w:rsidR="00190923" w:rsidRPr="00981405">
        <w:t xml:space="preserve"> </w:t>
      </w:r>
      <w:r w:rsidRPr="00981405">
        <w:t>of</w:t>
      </w:r>
      <w:r w:rsidR="00190923" w:rsidRPr="00981405">
        <w:t xml:space="preserve"> </w:t>
      </w:r>
      <w:r w:rsidRPr="00981405">
        <w:t>the</w:t>
      </w:r>
      <w:r w:rsidR="00190923" w:rsidRPr="00981405">
        <w:t xml:space="preserve"> </w:t>
      </w:r>
      <w:r w:rsidRPr="00981405">
        <w:t>subject</w:t>
      </w:r>
      <w:r w:rsidR="00190923" w:rsidRPr="00981405">
        <w:t xml:space="preserve"> </w:t>
      </w:r>
      <w:r w:rsidRPr="00981405">
        <w:t>matter</w:t>
      </w:r>
      <w:r w:rsidR="00B92E2C" w:rsidRPr="00981405">
        <w:t>”</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p>
    <w:p w:rsidR="00397032" w:rsidRPr="00981405" w:rsidRDefault="00397032" w:rsidP="00D97463">
      <w:pPr>
        <w:pStyle w:val="SingleTxt"/>
      </w:pPr>
      <w:r w:rsidRPr="00981405">
        <w:lastRenderedPageBreak/>
        <w:t>96.</w:t>
      </w:r>
      <w:r w:rsidR="00190923" w:rsidRPr="00981405">
        <w:t xml:space="preserve"> </w:t>
      </w:r>
      <w:r w:rsidRPr="00981405">
        <w:tab/>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procedural</w:t>
      </w:r>
      <w:r w:rsidR="00190923" w:rsidRPr="00981405">
        <w:t xml:space="preserve"> </w:t>
      </w:r>
      <w:r w:rsidRPr="00981405">
        <w:t>matters,</w:t>
      </w:r>
      <w:r w:rsidR="00190923" w:rsidRPr="00981405">
        <w:t xml:space="preserve"> </w:t>
      </w:r>
      <w:r w:rsidRPr="00981405">
        <w:t>specifically</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by</w:t>
      </w:r>
      <w:r w:rsidR="00190923" w:rsidRPr="00981405">
        <w:t xml:space="preserve"> </w:t>
      </w:r>
      <w:r w:rsidRPr="00981405">
        <w:t>their</w:t>
      </w:r>
      <w:r w:rsidR="00190923" w:rsidRPr="00981405">
        <w:t xml:space="preserve"> </w:t>
      </w:r>
      <w:r w:rsidRPr="00981405">
        <w:t>very</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same</w:t>
      </w:r>
      <w:r w:rsidR="00190923" w:rsidRPr="00981405">
        <w:t xml:space="preserve"> </w:t>
      </w:r>
      <w:r w:rsidRPr="00981405">
        <w:t>category</w:t>
      </w:r>
      <w:r w:rsidR="00190923" w:rsidRPr="00981405">
        <w:t xml:space="preserve"> </w:t>
      </w:r>
      <w:r w:rsidRPr="00981405">
        <w:t>as</w:t>
      </w:r>
      <w:r w:rsidR="00190923" w:rsidRPr="00981405">
        <w:t xml:space="preserve"> </w:t>
      </w:r>
      <w:r w:rsidRPr="00981405">
        <w:t>substantive</w:t>
      </w:r>
      <w:r w:rsidR="00190923" w:rsidRPr="00981405">
        <w:t xml:space="preserve"> </w:t>
      </w:r>
      <w:r w:rsidRPr="00981405">
        <w:t>protections</w:t>
      </w:r>
      <w:r w:rsidR="00190923" w:rsidRPr="00981405">
        <w:t xml:space="preserve"> </w:t>
      </w:r>
      <w:r w:rsidRPr="00981405">
        <w:t>for</w:t>
      </w:r>
      <w:r w:rsidR="00190923" w:rsidRPr="00981405">
        <w:t xml:space="preserve"> </w:t>
      </w:r>
      <w:r w:rsidRPr="00981405">
        <w:t>foreign</w:t>
      </w:r>
      <w:r w:rsidR="00190923" w:rsidRPr="00981405">
        <w:t xml:space="preserve"> </w:t>
      </w:r>
      <w:r w:rsidRPr="00981405">
        <w:t>investors</w:t>
      </w:r>
      <w:r w:rsidR="00190923" w:rsidRPr="00981405">
        <w:t xml:space="preserve"> </w:t>
      </w:r>
      <w:r w:rsidRPr="00981405">
        <w:t>has</w:t>
      </w:r>
      <w:r w:rsidR="00190923" w:rsidRPr="00981405">
        <w:t xml:space="preserve"> </w:t>
      </w:r>
      <w:r w:rsidRPr="00981405">
        <w:t>been</w:t>
      </w:r>
      <w:r w:rsidR="00190923" w:rsidRPr="00981405">
        <w:t xml:space="preserve"> </w:t>
      </w:r>
      <w:r w:rsidRPr="00981405">
        <w:t>an</w:t>
      </w:r>
      <w:r w:rsidR="00190923" w:rsidRPr="00981405">
        <w:t xml:space="preserve"> </w:t>
      </w:r>
      <w:r w:rsidRPr="00981405">
        <w:t>important</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reasoning</w:t>
      </w:r>
      <w:r w:rsidR="00190923" w:rsidRPr="00981405">
        <w:t xml:space="preserve"> </w:t>
      </w:r>
      <w:r w:rsidRPr="00981405">
        <w:t>in</w:t>
      </w:r>
      <w:r w:rsidR="00190923" w:rsidRPr="00981405">
        <w:t xml:space="preserve"> </w:t>
      </w:r>
      <w:r w:rsidRPr="00981405">
        <w:t>some</w:t>
      </w:r>
      <w:r w:rsidR="00190923" w:rsidRPr="00981405">
        <w:t xml:space="preserve"> </w:t>
      </w:r>
      <w:r w:rsidRPr="00981405">
        <w:t>subsequent</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In</w:t>
      </w:r>
      <w:r w:rsidR="00190923" w:rsidRPr="00981405">
        <w:t xml:space="preserve"> </w:t>
      </w:r>
      <w:r w:rsidRPr="00D97463">
        <w:rPr>
          <w:i/>
          <w:iCs/>
        </w:rPr>
        <w:t>Siemens</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stated</w:t>
      </w:r>
      <w:r w:rsidR="00190923" w:rsidRPr="00981405">
        <w:t xml:space="preserve"> </w:t>
      </w:r>
      <w:r w:rsidRPr="00981405">
        <w:t>that</w:t>
      </w:r>
      <w:r w:rsidR="00190923" w:rsidRPr="00981405">
        <w:t xml:space="preserve"> </w:t>
      </w:r>
      <w:r w:rsidRPr="00981405">
        <w:t>dispute</w:t>
      </w:r>
      <w:r w:rsidR="00190923" w:rsidRPr="00981405">
        <w:t xml:space="preserve"> </w:t>
      </w:r>
      <w:r w:rsidRPr="00981405">
        <w:t>settlement</w:t>
      </w:r>
      <w:r w:rsidR="00190923" w:rsidRPr="00981405">
        <w:t xml:space="preserve"> </w:t>
      </w:r>
      <w:r w:rsidR="00B92E2C" w:rsidRPr="00981405">
        <w:t>“</w:t>
      </w:r>
      <w:r w:rsidRPr="00981405">
        <w:t>is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offered</w:t>
      </w:r>
      <w:r w:rsidR="00190923" w:rsidRPr="00981405">
        <w:t xml:space="preserve"> </w:t>
      </w:r>
      <w:r w:rsidRPr="00981405">
        <w:t>under</w:t>
      </w:r>
      <w:r w:rsidR="00190923" w:rsidRPr="00981405">
        <w:t xml:space="preserve"> </w:t>
      </w:r>
      <w:r w:rsidRPr="00981405">
        <w:t>the</w:t>
      </w:r>
      <w:r w:rsidR="00190923" w:rsidRPr="00981405">
        <w:t xml:space="preserve"> </w:t>
      </w:r>
      <w:r w:rsidRPr="00981405">
        <w:t>Treaty.</w:t>
      </w:r>
      <w:r w:rsidR="00190923" w:rsidRPr="00981405">
        <w:t xml:space="preserve"> </w:t>
      </w:r>
      <w:r w:rsidRPr="00981405">
        <w:t>It</w:t>
      </w:r>
      <w:r w:rsidR="00190923" w:rsidRPr="00981405">
        <w:t xml:space="preserve"> </w:t>
      </w:r>
      <w:r w:rsidRPr="00981405">
        <w:t>is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treatment</w:t>
      </w:r>
      <w:r w:rsidR="00190923" w:rsidRPr="00981405">
        <w:t xml:space="preserve"> </w:t>
      </w:r>
      <w:r w:rsidRPr="00981405">
        <w:t>of</w:t>
      </w:r>
      <w:r w:rsidR="00190923" w:rsidRPr="00981405">
        <w:t xml:space="preserve"> </w:t>
      </w:r>
      <w:r w:rsidRPr="00981405">
        <w:t>foreign</w:t>
      </w:r>
      <w:r w:rsidR="00190923" w:rsidRPr="00981405">
        <w:t xml:space="preserve"> </w:t>
      </w:r>
      <w:r w:rsidRPr="00981405">
        <w:t>investors</w:t>
      </w:r>
      <w:r w:rsidR="00190923" w:rsidRPr="00981405">
        <w:t xml:space="preserve"> </w:t>
      </w:r>
      <w:r w:rsidRPr="00981405">
        <w:t>and</w:t>
      </w:r>
      <w:r w:rsidR="00190923" w:rsidRPr="00981405">
        <w:t xml:space="preserve"> </w:t>
      </w:r>
      <w:r w:rsidRPr="00981405">
        <w:t>investments</w:t>
      </w:r>
      <w:r w:rsidR="00190923" w:rsidRPr="00981405">
        <w:t xml:space="preserve"> </w:t>
      </w:r>
      <w:r w:rsidRPr="00981405">
        <w:t>and</w:t>
      </w:r>
      <w:r w:rsidR="00190923" w:rsidRPr="00981405">
        <w:t xml:space="preserve"> </w:t>
      </w:r>
      <w:r w:rsidRPr="00981405">
        <w:t>of</w:t>
      </w:r>
      <w:r w:rsidR="00190923" w:rsidRPr="00981405">
        <w:t xml:space="preserve"> </w:t>
      </w:r>
      <w:r w:rsidRPr="00981405">
        <w:t>the</w:t>
      </w:r>
      <w:r w:rsidR="00190923" w:rsidRPr="00981405">
        <w:t xml:space="preserve"> </w:t>
      </w:r>
      <w:r w:rsidRPr="00981405">
        <w:t>advantages</w:t>
      </w:r>
      <w:r w:rsidR="00190923" w:rsidRPr="00981405">
        <w:t xml:space="preserve"> </w:t>
      </w:r>
      <w:r w:rsidRPr="00981405">
        <w:t>accessible</w:t>
      </w:r>
      <w:r w:rsidR="00190923" w:rsidRPr="00981405">
        <w:t xml:space="preserve"> </w:t>
      </w:r>
      <w:r w:rsidRPr="00981405">
        <w:t>through</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B92E2C" w:rsidRPr="00981405">
        <w:t>”</w:t>
      </w:r>
      <w:r w:rsidRPr="00981405">
        <w:rPr>
          <w:rStyle w:val="FootnoteReference"/>
        </w:rPr>
        <w:footnoteReference w:id="506"/>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Pr="00D97463">
        <w:rPr>
          <w:i/>
          <w:iCs/>
        </w:rPr>
        <w:t>AWG</w:t>
      </w:r>
      <w:r w:rsidR="00190923" w:rsidRPr="00981405">
        <w:t xml:space="preserve"> </w:t>
      </w:r>
      <w:r w:rsidRPr="00981405">
        <w:t>said</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find</w:t>
      </w:r>
      <w:r w:rsidR="00190923" w:rsidRPr="00981405">
        <w:t xml:space="preserve"> </w:t>
      </w:r>
      <w:r w:rsidR="00B92E2C" w:rsidRPr="00981405">
        <w:t>“</w:t>
      </w:r>
      <w:r w:rsidRPr="00981405">
        <w:t>no</w:t>
      </w:r>
      <w:r w:rsidR="00190923" w:rsidRPr="00981405">
        <w:t xml:space="preserve"> </w:t>
      </w:r>
      <w:r w:rsidRPr="00981405">
        <w:t>basis</w:t>
      </w:r>
      <w:r w:rsidR="00190923" w:rsidRPr="00981405">
        <w:t xml:space="preserve"> </w:t>
      </w:r>
      <w:r w:rsidRPr="00981405">
        <w:t>for</w:t>
      </w:r>
      <w:r w:rsidR="00190923" w:rsidRPr="00981405">
        <w:t xml:space="preserve"> </w:t>
      </w:r>
      <w:r w:rsidRPr="00981405">
        <w:t>distinguishing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matters</w:t>
      </w:r>
      <w:r w:rsidR="00190923" w:rsidRPr="00981405">
        <w:t xml:space="preserve"> </w:t>
      </w:r>
      <w:r w:rsidRPr="00981405">
        <w:t>from</w:t>
      </w:r>
      <w:r w:rsidR="00190923" w:rsidRPr="00981405">
        <w:t xml:space="preserve"> </w:t>
      </w:r>
      <w:r w:rsidRPr="00981405">
        <w:t>any</w:t>
      </w:r>
      <w:r w:rsidR="00190923" w:rsidRPr="00981405">
        <w:t xml:space="preserve"> </w:t>
      </w:r>
      <w:r w:rsidRPr="00981405">
        <w:t>other</w:t>
      </w:r>
      <w:r w:rsidR="00190923" w:rsidRPr="00981405">
        <w:t xml:space="preserve"> </w:t>
      </w:r>
      <w:r w:rsidRPr="00981405">
        <w:t>matters</w:t>
      </w:r>
      <w:r w:rsidR="00190923" w:rsidRPr="00981405">
        <w:t xml:space="preserve"> </w:t>
      </w:r>
      <w:r w:rsidRPr="00981405">
        <w:t>covered</w:t>
      </w:r>
      <w:r w:rsidR="00190923" w:rsidRPr="00981405">
        <w:t xml:space="preserve"> </w:t>
      </w:r>
      <w:r w:rsidRPr="00981405">
        <w:t>by</w:t>
      </w:r>
      <w:r w:rsidR="00190923" w:rsidRPr="00981405">
        <w:t xml:space="preserve"> </w:t>
      </w:r>
      <w:r w:rsidRPr="00981405">
        <w:t>a</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treaty.</w:t>
      </w:r>
      <w:r w:rsidR="00B92E2C" w:rsidRPr="00981405">
        <w:t>”</w:t>
      </w:r>
      <w:r w:rsidRPr="00981405">
        <w:rPr>
          <w:rStyle w:val="FootnoteReference"/>
        </w:rPr>
        <w:footnoteReference w:id="507"/>
      </w:r>
    </w:p>
    <w:p w:rsidR="00397032" w:rsidRPr="00981405" w:rsidRDefault="00397032" w:rsidP="00D97463">
      <w:pPr>
        <w:pStyle w:val="SingleTxt"/>
      </w:pPr>
      <w:r w:rsidRPr="00981405">
        <w:t>97.</w:t>
      </w:r>
      <w:r w:rsidRPr="00981405">
        <w:tab/>
        <w:t>Nevertheless,</w:t>
      </w:r>
      <w:r w:rsidR="00190923" w:rsidRPr="00981405">
        <w:t xml:space="preserve"> </w:t>
      </w:r>
      <w:r w:rsidRPr="00981405">
        <w:t>some</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queried</w:t>
      </w:r>
      <w:r w:rsidR="00190923" w:rsidRPr="00981405">
        <w:t xml:space="preserve"> </w:t>
      </w:r>
      <w:r w:rsidRPr="00981405">
        <w:t>whether</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inherently</w:t>
      </w:r>
      <w:r w:rsidR="00190923" w:rsidRPr="00981405">
        <w:t xml:space="preserve"> </w:t>
      </w:r>
      <w:r w:rsidRPr="00981405">
        <w:t>covered</w:t>
      </w:r>
      <w:r w:rsidR="00190923" w:rsidRPr="00981405">
        <w:t xml:space="preserve"> </w:t>
      </w:r>
      <w:r w:rsidRPr="00981405">
        <w:t>by</w:t>
      </w:r>
      <w:r w:rsidR="00190923" w:rsidRPr="00981405">
        <w:t xml:space="preserve"> </w:t>
      </w:r>
      <w:r w:rsidRPr="00981405">
        <w:t>MFN</w:t>
      </w:r>
      <w:r w:rsidR="00190923" w:rsidRPr="00981405">
        <w:t xml:space="preserve"> </w:t>
      </w:r>
      <w:r w:rsidRPr="00981405">
        <w:t>clauses.</w:t>
      </w:r>
      <w:r w:rsidR="00190923" w:rsidRPr="00981405">
        <w:t xml:space="preserve"> </w:t>
      </w:r>
      <w:r w:rsidRPr="00981405">
        <w:t>The</w:t>
      </w:r>
      <w:r w:rsidR="00190923" w:rsidRPr="00981405">
        <w:t xml:space="preserve"> </w:t>
      </w:r>
      <w:r w:rsidRPr="00D97463">
        <w:rPr>
          <w:i/>
          <w:iCs/>
        </w:rPr>
        <w:t>Salini</w:t>
      </w:r>
      <w:r w:rsidR="00190923" w:rsidRPr="00981405">
        <w:t xml:space="preserve"> </w:t>
      </w:r>
      <w:r w:rsidRPr="00981405">
        <w:t>tribunal</w:t>
      </w:r>
      <w:r w:rsidR="00190923" w:rsidRPr="00981405">
        <w:t xml:space="preserve"> </w:t>
      </w:r>
      <w:r w:rsidRPr="00981405">
        <w:t>doubted</w:t>
      </w:r>
      <w:r w:rsidR="00190923" w:rsidRPr="00981405">
        <w:t xml:space="preserve"> </w:t>
      </w:r>
      <w:r w:rsidRPr="00981405">
        <w:t>that</w:t>
      </w:r>
      <w:r w:rsidR="00190923" w:rsidRPr="00981405">
        <w:t xml:space="preserve"> </w:t>
      </w:r>
      <w:r w:rsidRPr="00981405">
        <w:t>the</w:t>
      </w:r>
      <w:r w:rsidR="00190923" w:rsidRPr="00981405">
        <w:t xml:space="preserve"> </w:t>
      </w:r>
      <w:r w:rsidRPr="00D97463">
        <w:rPr>
          <w:i/>
          <w:iCs/>
        </w:rPr>
        <w:t>Ambatielos</w:t>
      </w:r>
      <w:r w:rsidR="00190923" w:rsidRPr="00981405">
        <w:t xml:space="preserve"> </w:t>
      </w:r>
      <w:r w:rsidRPr="00981405">
        <w:t>decision</w:t>
      </w:r>
      <w:r w:rsidR="00190923" w:rsidRPr="00981405">
        <w:t xml:space="preserve"> </w:t>
      </w:r>
      <w:r w:rsidRPr="00981405">
        <w:t>was</w:t>
      </w:r>
      <w:r w:rsidR="00190923" w:rsidRPr="00981405">
        <w:t xml:space="preserve"> </w:t>
      </w:r>
      <w:r w:rsidRPr="00981405">
        <w:t>an</w:t>
      </w:r>
      <w:r w:rsidR="00190923" w:rsidRPr="00981405">
        <w:t xml:space="preserve"> </w:t>
      </w:r>
      <w:r w:rsidRPr="00981405">
        <w:t>authority</w:t>
      </w:r>
      <w:r w:rsidR="00190923" w:rsidRPr="00981405">
        <w:t xml:space="preserve"> </w:t>
      </w:r>
      <w:r w:rsidRPr="00981405">
        <w:t>for</w:t>
      </w:r>
      <w:r w:rsidR="00190923" w:rsidRPr="00981405">
        <w:t xml:space="preserve"> </w:t>
      </w:r>
      <w:r w:rsidRPr="00981405">
        <w:t>such</w:t>
      </w:r>
      <w:r w:rsidR="00190923" w:rsidRPr="00981405">
        <w:t xml:space="preserve"> </w:t>
      </w:r>
      <w:r w:rsidRPr="00981405">
        <w:t>a</w:t>
      </w:r>
      <w:r w:rsidR="00190923" w:rsidRPr="00981405">
        <w:t xml:space="preserve"> </w:t>
      </w:r>
      <w:r w:rsidRPr="00981405">
        <w:t>proposition,</w:t>
      </w:r>
      <w:r w:rsidRPr="00981405">
        <w:rPr>
          <w:rStyle w:val="FootnoteReference"/>
        </w:rPr>
        <w:footnoteReference w:id="508"/>
      </w:r>
      <w:r w:rsidR="00190923" w:rsidRPr="00981405">
        <w:t xml:space="preserve"> </w:t>
      </w:r>
      <w:r w:rsidRPr="00981405">
        <w:t>citing</w:t>
      </w:r>
      <w:r w:rsidR="00190923" w:rsidRPr="00981405">
        <w:t xml:space="preserve"> </w:t>
      </w:r>
      <w:r w:rsidRPr="00981405">
        <w:t>the</w:t>
      </w:r>
      <w:r w:rsidR="00190923" w:rsidRPr="00981405">
        <w:t xml:space="preserve"> </w:t>
      </w:r>
      <w:r w:rsidRPr="00981405">
        <w:t>views</w:t>
      </w:r>
      <w:r w:rsidR="00190923" w:rsidRPr="00981405">
        <w:t xml:space="preserve"> </w:t>
      </w:r>
      <w:r w:rsidRPr="00981405">
        <w:t>of</w:t>
      </w:r>
      <w:r w:rsidR="00190923" w:rsidRPr="00981405">
        <w:t xml:space="preserve"> </w:t>
      </w:r>
      <w:r w:rsidRPr="00981405">
        <w:t>the</w:t>
      </w:r>
      <w:r w:rsidR="00190923" w:rsidRPr="00981405">
        <w:t xml:space="preserve"> </w:t>
      </w:r>
      <w:r w:rsidRPr="00981405">
        <w:t>dissenting</w:t>
      </w:r>
      <w:r w:rsidR="00190923" w:rsidRPr="00981405">
        <w:t xml:space="preserve"> </w:t>
      </w:r>
      <w:r w:rsidRPr="00981405">
        <w:t>judges</w:t>
      </w:r>
      <w:r w:rsidR="00190923" w:rsidRPr="00981405">
        <w:t xml:space="preserve"> </w:t>
      </w:r>
      <w:r w:rsidRPr="00981405">
        <w:t>in</w:t>
      </w:r>
      <w:r w:rsidR="00190923" w:rsidRPr="00981405">
        <w:t xml:space="preserve"> </w:t>
      </w:r>
      <w:r w:rsidRPr="00981405">
        <w:t>the</w:t>
      </w:r>
      <w:r w:rsidR="00190923" w:rsidRPr="00981405">
        <w:t xml:space="preserve"> </w:t>
      </w:r>
      <w:r w:rsidRPr="00981405">
        <w:t>prior</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decision</w:t>
      </w:r>
      <w:r w:rsidR="00190923" w:rsidRPr="00981405">
        <w:t xml:space="preserve"> </w:t>
      </w:r>
      <w:r w:rsidRPr="00981405">
        <w:t>to</w:t>
      </w:r>
      <w:r w:rsidR="00190923" w:rsidRPr="00981405">
        <w:t xml:space="preserve"> </w:t>
      </w:r>
      <w:r w:rsidRPr="00981405">
        <w:t>the</w:t>
      </w:r>
      <w:r w:rsidR="00190923" w:rsidRPr="00981405">
        <w:t xml:space="preserve"> </w:t>
      </w:r>
      <w:r w:rsidRPr="00981405">
        <w:t>effect</w:t>
      </w:r>
      <w:r w:rsidR="00190923" w:rsidRPr="00981405">
        <w:t xml:space="preserve"> </w:t>
      </w:r>
      <w:r w:rsidRPr="00981405">
        <w:t>that</w:t>
      </w:r>
      <w:r w:rsidR="00190923" w:rsidRPr="00981405">
        <w:t xml:space="preserve"> </w:t>
      </w:r>
      <w:r w:rsidR="00B92E2C" w:rsidRPr="00981405">
        <w:t>“</w:t>
      </w:r>
      <w:r w:rsidRPr="00981405">
        <w:t>commerce</w:t>
      </w:r>
      <w:r w:rsidR="00190923" w:rsidRPr="00981405">
        <w:t xml:space="preserve"> </w:t>
      </w:r>
      <w:r w:rsidRPr="00981405">
        <w:t>and</w:t>
      </w:r>
      <w:r w:rsidR="00190923" w:rsidRPr="00981405">
        <w:t xml:space="preserve"> </w:t>
      </w:r>
      <w:r w:rsidRPr="00981405">
        <w:t>navigation</w:t>
      </w:r>
      <w:r w:rsidR="00B92E2C" w:rsidRPr="00981405">
        <w:t>”</w:t>
      </w:r>
      <w:r w:rsidR="00190923" w:rsidRPr="00981405">
        <w:t xml:space="preserve"> </w:t>
      </w:r>
      <w:r w:rsidRPr="00981405">
        <w:t>did</w:t>
      </w:r>
      <w:r w:rsidR="00190923" w:rsidRPr="00981405">
        <w:t xml:space="preserve"> </w:t>
      </w:r>
      <w:r w:rsidRPr="00981405">
        <w:t>not</w:t>
      </w:r>
      <w:r w:rsidR="00190923" w:rsidRPr="00981405">
        <w:t xml:space="preserve"> </w:t>
      </w:r>
      <w:r w:rsidRPr="00981405">
        <w:t>include</w:t>
      </w:r>
      <w:r w:rsidR="00190923" w:rsidRPr="00981405">
        <w:t xml:space="preserve"> </w:t>
      </w:r>
      <w:r w:rsidRPr="00981405">
        <w:t>the</w:t>
      </w:r>
      <w:r w:rsidR="00190923" w:rsidRPr="00981405">
        <w:t xml:space="preserve"> </w:t>
      </w:r>
      <w:r w:rsidR="00B92E2C" w:rsidRPr="00981405">
        <w:t>“</w:t>
      </w:r>
      <w:r w:rsidRPr="00981405">
        <w:t>administration</w:t>
      </w:r>
      <w:r w:rsidR="00190923" w:rsidRPr="00981405">
        <w:t xml:space="preserve"> </w:t>
      </w:r>
      <w:r w:rsidRPr="00981405">
        <w:t>of</w:t>
      </w:r>
      <w:r w:rsidR="00190923" w:rsidRPr="00981405">
        <w:t xml:space="preserve"> </w:t>
      </w:r>
      <w:r w:rsidRPr="00981405">
        <w:t>justice.</w:t>
      </w:r>
      <w:r w:rsidR="00B92E2C" w:rsidRPr="00981405">
        <w:t>”</w:t>
      </w:r>
      <w:r w:rsidRPr="00981405">
        <w:rPr>
          <w:rStyle w:val="FootnoteReference"/>
        </w:rPr>
        <w:footnoteReference w:id="509"/>
      </w:r>
      <w:r w:rsidR="00190923" w:rsidRPr="00981405">
        <w:t xml:space="preserve"> </w:t>
      </w:r>
      <w:r w:rsidRPr="00981405">
        <w:t>The</w:t>
      </w:r>
      <w:r w:rsidR="00190923" w:rsidRPr="00981405">
        <w:t xml:space="preserve"> </w:t>
      </w:r>
      <w:r w:rsidRPr="00D97463">
        <w:rPr>
          <w:i/>
          <w:iCs/>
        </w:rPr>
        <w:t>Salini</w:t>
      </w:r>
      <w:r w:rsidR="00190923" w:rsidRPr="00981405">
        <w:t xml:space="preserve"> </w:t>
      </w:r>
      <w:r w:rsidRPr="00981405">
        <w:t>tribunal</w:t>
      </w:r>
      <w:r w:rsidR="00190923" w:rsidRPr="00981405">
        <w:t xml:space="preserve"> </w:t>
      </w:r>
      <w:r w:rsidRPr="00981405">
        <w:t>further</w:t>
      </w:r>
      <w:r w:rsidR="00190923" w:rsidRPr="00981405">
        <w:t xml:space="preserve"> </w:t>
      </w:r>
      <w:r w:rsidRPr="00981405">
        <w:t>pointed</w:t>
      </w:r>
      <w:r w:rsidR="00190923" w:rsidRPr="00981405">
        <w:t xml:space="preserve"> </w:t>
      </w:r>
      <w:r w:rsidRPr="00981405">
        <w:t>out</w:t>
      </w:r>
      <w:r w:rsidR="00190923" w:rsidRPr="00981405">
        <w:t xml:space="preserve"> </w:t>
      </w:r>
      <w:r w:rsidRPr="00981405">
        <w:t>that,</w:t>
      </w:r>
      <w:r w:rsidR="00190923" w:rsidRPr="00981405">
        <w:t xml:space="preserve"> </w:t>
      </w:r>
      <w:r w:rsidRPr="00981405">
        <w:t>in</w:t>
      </w:r>
      <w:r w:rsidR="00190923" w:rsidRPr="00981405">
        <w:t xml:space="preserve"> </w:t>
      </w:r>
      <w:r w:rsidRPr="00981405">
        <w:t>any</w:t>
      </w:r>
      <w:r w:rsidR="00190923" w:rsidRPr="00981405">
        <w:t xml:space="preserve"> </w:t>
      </w:r>
      <w:r w:rsidRPr="00981405">
        <w:t>event,</w:t>
      </w:r>
      <w:r w:rsidR="00190923" w:rsidRPr="00981405">
        <w:t xml:space="preserve"> </w:t>
      </w:r>
      <w:r w:rsidRPr="00981405">
        <w:t>when</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Arbitration</w:t>
      </w:r>
      <w:r w:rsidR="00190923" w:rsidRPr="00981405">
        <w:t xml:space="preserve"> </w:t>
      </w:r>
      <w:r w:rsidRPr="00981405">
        <w:t>in</w:t>
      </w:r>
      <w:r w:rsidR="00190923" w:rsidRPr="00981405">
        <w:t xml:space="preserve"> </w:t>
      </w:r>
      <w:r w:rsidRPr="00D97463">
        <w:rPr>
          <w:i/>
          <w:iCs/>
        </w:rPr>
        <w:t>Ambatielos</w:t>
      </w:r>
      <w:r w:rsidR="00190923" w:rsidRPr="00981405">
        <w:t xml:space="preserve"> </w:t>
      </w:r>
      <w:r w:rsidRPr="00981405">
        <w:t>referred</w:t>
      </w:r>
      <w:r w:rsidR="00190923" w:rsidRPr="00981405">
        <w:t xml:space="preserve"> </w:t>
      </w:r>
      <w:r w:rsidRPr="00981405">
        <w:t>to</w:t>
      </w:r>
      <w:r w:rsidR="00190923" w:rsidRPr="00981405">
        <w:t xml:space="preserve"> </w:t>
      </w:r>
      <w:r w:rsidRPr="00981405">
        <w:t>the</w:t>
      </w:r>
      <w:r w:rsidR="00190923" w:rsidRPr="00981405">
        <w:t xml:space="preserve"> </w:t>
      </w:r>
      <w:r w:rsidR="00B92E2C" w:rsidRPr="00981405">
        <w:t>“</w:t>
      </w:r>
      <w:r w:rsidRPr="00981405">
        <w:t>administration</w:t>
      </w:r>
      <w:r w:rsidR="00190923" w:rsidRPr="00981405">
        <w:t xml:space="preserve"> </w:t>
      </w:r>
      <w:r w:rsidRPr="00981405">
        <w:t>of</w:t>
      </w:r>
      <w:r w:rsidR="00190923" w:rsidRPr="00981405">
        <w:t xml:space="preserve"> </w:t>
      </w:r>
      <w:r w:rsidRPr="00981405">
        <w:t>justice,</w:t>
      </w:r>
      <w:r w:rsidR="00B92E2C" w:rsidRPr="00981405">
        <w:t>”</w:t>
      </w:r>
      <w:r w:rsidR="00190923" w:rsidRPr="00981405">
        <w:t xml:space="preserve"> </w:t>
      </w:r>
      <w:r w:rsidRPr="00981405">
        <w:t>it</w:t>
      </w:r>
      <w:r w:rsidR="00190923" w:rsidRPr="00981405">
        <w:t xml:space="preserve"> </w:t>
      </w:r>
      <w:r w:rsidRPr="00981405">
        <w:t>was</w:t>
      </w:r>
      <w:r w:rsidR="00190923" w:rsidRPr="00981405">
        <w:t xml:space="preserve"> </w:t>
      </w:r>
      <w:r w:rsidRPr="00981405">
        <w:t>referring</w:t>
      </w:r>
      <w:r w:rsidR="00190923" w:rsidRPr="00981405">
        <w:t xml:space="preserve"> </w:t>
      </w:r>
      <w:r w:rsidRPr="00981405">
        <w:t>not</w:t>
      </w:r>
      <w:r w:rsidR="00190923" w:rsidRPr="00981405">
        <w:t xml:space="preserve"> </w:t>
      </w:r>
      <w:r w:rsidRPr="00981405">
        <w:t>to</w:t>
      </w:r>
      <w:r w:rsidR="00190923" w:rsidRPr="00981405">
        <w:t xml:space="preserve"> </w:t>
      </w:r>
      <w:r w:rsidRPr="00981405">
        <w:t>procedural</w:t>
      </w:r>
      <w:r w:rsidR="00190923" w:rsidRPr="00981405">
        <w:t xml:space="preserve"> </w:t>
      </w:r>
      <w:r w:rsidRPr="00981405">
        <w:t>provisions</w:t>
      </w:r>
      <w:r w:rsidR="00190923" w:rsidRPr="00981405">
        <w:t xml:space="preserve"> </w:t>
      </w:r>
      <w:r w:rsidRPr="00981405">
        <w:t>or</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but</w:t>
      </w:r>
      <w:r w:rsidR="00190923" w:rsidRPr="00981405">
        <w:t xml:space="preserve"> </w:t>
      </w:r>
      <w:r w:rsidRPr="00981405">
        <w:t>rather</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provisions</w:t>
      </w:r>
      <w:r w:rsidR="00190923" w:rsidRPr="00981405">
        <w:t xml:space="preserve"> </w:t>
      </w:r>
      <w:r w:rsidRPr="00981405">
        <w:t>under</w:t>
      </w:r>
      <w:r w:rsidR="00190923" w:rsidRPr="00981405">
        <w:t xml:space="preserve"> </w:t>
      </w:r>
      <w:r w:rsidRPr="00981405">
        <w:t>other</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treatment</w:t>
      </w:r>
      <w:r w:rsidR="00190923" w:rsidRPr="00981405">
        <w:t xml:space="preserve"> </w:t>
      </w:r>
      <w:r w:rsidRPr="00981405">
        <w:t>of</w:t>
      </w:r>
      <w:r w:rsidR="00190923" w:rsidRPr="00981405">
        <w:t xml:space="preserve"> </w:t>
      </w:r>
      <w:r w:rsidRPr="00981405">
        <w:t>nationals</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justice</w:t>
      </w:r>
      <w:r w:rsidR="00190923" w:rsidRPr="00981405">
        <w:t xml:space="preserve"> </w:t>
      </w:r>
      <w:r w:rsidRPr="00981405">
        <w:t>and</w:t>
      </w:r>
      <w:r w:rsidR="00190923" w:rsidRPr="00981405">
        <w:t xml:space="preserve"> </w:t>
      </w:r>
      <w:r w:rsidRPr="00981405">
        <w:t>equity.</w:t>
      </w:r>
      <w:r w:rsidRPr="00981405">
        <w:rPr>
          <w:rStyle w:val="FootnoteReference"/>
        </w:rPr>
        <w:footnoteReference w:id="510"/>
      </w:r>
      <w:r w:rsidR="00190923" w:rsidRPr="00981405">
        <w:t xml:space="preserve"> </w:t>
      </w:r>
    </w:p>
    <w:p w:rsidR="00397032" w:rsidRPr="00981405" w:rsidRDefault="00397032" w:rsidP="00D97463">
      <w:pPr>
        <w:pStyle w:val="SingleTxt"/>
      </w:pPr>
      <w:r w:rsidRPr="00981405">
        <w:t>98.</w:t>
      </w:r>
      <w:r w:rsidRPr="00981405">
        <w:tab/>
        <w:t>The</w:t>
      </w:r>
      <w:r w:rsidR="00190923" w:rsidRPr="00981405">
        <w:t xml:space="preserve"> </w:t>
      </w:r>
      <w:r w:rsidRPr="00D97463">
        <w:rPr>
          <w:i/>
          <w:iCs/>
        </w:rPr>
        <w:t>Telenor</w:t>
      </w:r>
      <w:r w:rsidR="00190923" w:rsidRPr="00981405">
        <w:t xml:space="preserve"> </w:t>
      </w:r>
      <w:r w:rsidRPr="00981405">
        <w:t>tribunal</w:t>
      </w:r>
      <w:r w:rsidR="00190923" w:rsidRPr="00981405">
        <w:t xml:space="preserve"> </w:t>
      </w:r>
      <w:r w:rsidRPr="00981405">
        <w:t>was</w:t>
      </w:r>
      <w:r w:rsidR="00190923" w:rsidRPr="00981405">
        <w:t xml:space="preserve"> </w:t>
      </w:r>
      <w:r w:rsidRPr="00981405">
        <w:t>more</w:t>
      </w:r>
      <w:r w:rsidR="00190923" w:rsidRPr="00981405">
        <w:t xml:space="preserve"> </w:t>
      </w:r>
      <w:r w:rsidRPr="00981405">
        <w:t>emphatic</w:t>
      </w:r>
      <w:r w:rsidR="00190923" w:rsidRPr="00981405">
        <w:t xml:space="preserve"> </w:t>
      </w:r>
      <w:r w:rsidRPr="00981405">
        <w:t>about</w:t>
      </w:r>
      <w:r w:rsidR="00190923" w:rsidRPr="00981405">
        <w:t xml:space="preserve"> </w:t>
      </w:r>
      <w:r w:rsidRPr="00981405">
        <w:t>the</w:t>
      </w:r>
      <w:r w:rsidR="00190923" w:rsidRPr="00981405">
        <w:t xml:space="preserve"> </w:t>
      </w:r>
      <w:r w:rsidRPr="00981405">
        <w:t>exclusion</w:t>
      </w:r>
      <w:r w:rsidR="00190923" w:rsidRPr="00981405">
        <w:t xml:space="preserve"> </w:t>
      </w:r>
      <w:r w:rsidRPr="00981405">
        <w:t>of</w:t>
      </w:r>
      <w:r w:rsidR="00190923" w:rsidRPr="00981405">
        <w:t xml:space="preserve"> </w:t>
      </w:r>
      <w:r w:rsidRPr="00981405">
        <w:t>procedural</w:t>
      </w:r>
      <w:r w:rsidR="00190923" w:rsidRPr="00981405">
        <w:t xml:space="preserve"> </w:t>
      </w:r>
      <w:r w:rsidRPr="00981405">
        <w:t>provisions</w:t>
      </w:r>
      <w:r w:rsidR="00190923" w:rsidRPr="00981405">
        <w:t xml:space="preserve"> </w:t>
      </w:r>
      <w:r w:rsidRPr="00981405">
        <w:t>from</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stating:</w:t>
      </w:r>
    </w:p>
    <w:p w:rsidR="00397032" w:rsidRPr="00981405" w:rsidRDefault="00B92E2C" w:rsidP="00D97463">
      <w:pPr>
        <w:pStyle w:val="SingleTxt"/>
        <w:ind w:left="1742"/>
      </w:pPr>
      <w:r w:rsidRPr="00981405">
        <w:t>“</w:t>
      </w:r>
      <w:r w:rsidR="00397032" w:rsidRPr="00981405">
        <w:t>In</w:t>
      </w:r>
      <w:r w:rsidR="00190923" w:rsidRPr="00981405">
        <w:t xml:space="preserve"> </w:t>
      </w:r>
      <w:r w:rsidR="00397032" w:rsidRPr="00981405">
        <w:t>the</w:t>
      </w:r>
      <w:r w:rsidR="00190923" w:rsidRPr="00981405">
        <w:t xml:space="preserve"> </w:t>
      </w:r>
      <w:r w:rsidR="00397032" w:rsidRPr="00981405">
        <w:t>absence</w:t>
      </w:r>
      <w:r w:rsidR="00190923" w:rsidRPr="00981405">
        <w:t xml:space="preserve"> </w:t>
      </w:r>
      <w:r w:rsidR="00397032" w:rsidRPr="00981405">
        <w:t>of</w:t>
      </w:r>
      <w:r w:rsidR="00190923" w:rsidRPr="00981405">
        <w:t xml:space="preserve"> </w:t>
      </w:r>
      <w:r w:rsidR="00397032" w:rsidRPr="00981405">
        <w:t>language</w:t>
      </w:r>
      <w:r w:rsidR="00190923" w:rsidRPr="00981405">
        <w:t xml:space="preserve"> </w:t>
      </w:r>
      <w:r w:rsidR="00397032" w:rsidRPr="00981405">
        <w:t>or</w:t>
      </w:r>
      <w:r w:rsidR="00190923" w:rsidRPr="00981405">
        <w:t xml:space="preserve"> </w:t>
      </w:r>
      <w:r w:rsidR="00397032" w:rsidRPr="00981405">
        <w:t>context</w:t>
      </w:r>
      <w:r w:rsidR="00190923" w:rsidRPr="00981405">
        <w:t xml:space="preserve"> </w:t>
      </w:r>
      <w:r w:rsidR="00397032" w:rsidRPr="00981405">
        <w:t>to</w:t>
      </w:r>
      <w:r w:rsidR="00190923" w:rsidRPr="00981405">
        <w:t xml:space="preserve"> </w:t>
      </w:r>
      <w:r w:rsidR="00397032" w:rsidRPr="00981405">
        <w:t>express</w:t>
      </w:r>
      <w:r w:rsidR="00190923" w:rsidRPr="00981405">
        <w:t xml:space="preserve"> </w:t>
      </w:r>
      <w:r w:rsidR="00397032" w:rsidRPr="00981405">
        <w:t>the</w:t>
      </w:r>
      <w:r w:rsidR="00190923" w:rsidRPr="00981405">
        <w:t xml:space="preserve"> </w:t>
      </w:r>
      <w:r w:rsidR="00397032" w:rsidRPr="00981405">
        <w:t>contrary,</w:t>
      </w:r>
      <w:r w:rsidR="00190923" w:rsidRPr="00981405">
        <w:t xml:space="preserve"> </w:t>
      </w:r>
      <w:r w:rsidR="00397032" w:rsidRPr="00981405">
        <w:t>the</w:t>
      </w:r>
      <w:r w:rsidR="00190923" w:rsidRPr="00981405">
        <w:t xml:space="preserve"> </w:t>
      </w:r>
      <w:r w:rsidR="00397032" w:rsidRPr="00981405">
        <w:t>ordinary</w:t>
      </w:r>
      <w:r w:rsidR="00190923" w:rsidRPr="00981405">
        <w:t xml:space="preserve"> </w:t>
      </w:r>
      <w:r w:rsidR="00397032" w:rsidRPr="00981405">
        <w:t>meaning</w:t>
      </w:r>
      <w:r w:rsidR="00190923" w:rsidRPr="00981405">
        <w:t xml:space="preserve"> </w:t>
      </w:r>
      <w:r w:rsidR="00397032" w:rsidRPr="00981405">
        <w:t>of</w:t>
      </w:r>
      <w:r w:rsidR="00190923" w:rsidRPr="00981405">
        <w:t xml:space="preserve"> </w:t>
      </w:r>
      <w:r w:rsidRPr="00981405">
        <w:t>‘</w:t>
      </w:r>
      <w:r w:rsidR="00397032" w:rsidRPr="00981405">
        <w:t>investments</w:t>
      </w:r>
      <w:r w:rsidR="00190923" w:rsidRPr="00981405">
        <w:t xml:space="preserve"> </w:t>
      </w:r>
      <w:r w:rsidR="00397032" w:rsidRPr="00981405">
        <w:t>shall</w:t>
      </w:r>
      <w:r w:rsidR="00190923" w:rsidRPr="00981405">
        <w:t xml:space="preserve"> </w:t>
      </w:r>
      <w:r w:rsidR="00397032" w:rsidRPr="00981405">
        <w:t>be</w:t>
      </w:r>
      <w:r w:rsidR="00190923" w:rsidRPr="00981405">
        <w:t xml:space="preserve"> </w:t>
      </w:r>
      <w:r w:rsidR="00397032" w:rsidRPr="00981405">
        <w:t>accorded</w:t>
      </w:r>
      <w:r w:rsidR="00190923" w:rsidRPr="00981405">
        <w:t xml:space="preserve"> </w:t>
      </w:r>
      <w:r w:rsidR="00397032" w:rsidRPr="00981405">
        <w:t>treatment</w:t>
      </w:r>
      <w:r w:rsidR="00190923" w:rsidRPr="00981405">
        <w:t xml:space="preserve"> </w:t>
      </w:r>
      <w:r w:rsidR="00397032" w:rsidRPr="00981405">
        <w:t>no</w:t>
      </w:r>
      <w:r w:rsidR="00190923" w:rsidRPr="00981405">
        <w:t xml:space="preserve"> </w:t>
      </w:r>
      <w:r w:rsidR="00397032" w:rsidRPr="00981405">
        <w:t>less</w:t>
      </w:r>
      <w:r w:rsidR="00190923" w:rsidRPr="00981405">
        <w:t xml:space="preserve"> </w:t>
      </w:r>
      <w:r w:rsidR="00397032" w:rsidRPr="00981405">
        <w:t>favourable</w:t>
      </w:r>
      <w:r w:rsidR="00190923" w:rsidRPr="00981405">
        <w:t xml:space="preserve"> </w:t>
      </w:r>
      <w:r w:rsidR="00397032" w:rsidRPr="00981405">
        <w:t>that</w:t>
      </w:r>
      <w:r w:rsidR="00190923" w:rsidRPr="00981405">
        <w:t xml:space="preserve"> </w:t>
      </w:r>
      <w:r w:rsidR="00397032" w:rsidRPr="00981405">
        <w:t>that</w:t>
      </w:r>
      <w:r w:rsidR="00190923" w:rsidRPr="00981405">
        <w:t xml:space="preserve"> </w:t>
      </w:r>
      <w:r w:rsidR="00397032" w:rsidRPr="00981405">
        <w:t>accorded</w:t>
      </w:r>
      <w:r w:rsidR="00190923" w:rsidRPr="00981405">
        <w:t xml:space="preserve"> </w:t>
      </w:r>
      <w:r w:rsidR="00397032" w:rsidRPr="00981405">
        <w:t>to</w:t>
      </w:r>
      <w:r w:rsidR="00190923" w:rsidRPr="00981405">
        <w:t xml:space="preserve"> </w:t>
      </w:r>
      <w:r w:rsidR="00397032" w:rsidRPr="00981405">
        <w:t>investments</w:t>
      </w:r>
      <w:r w:rsidR="00190923" w:rsidRPr="00981405">
        <w:t xml:space="preserve"> </w:t>
      </w:r>
      <w:r w:rsidR="00397032" w:rsidRPr="00981405">
        <w:t>made</w:t>
      </w:r>
      <w:r w:rsidR="00190923" w:rsidRPr="00981405">
        <w:t xml:space="preserve"> </w:t>
      </w:r>
      <w:r w:rsidR="00397032" w:rsidRPr="00981405">
        <w:t>by</w:t>
      </w:r>
      <w:r w:rsidR="00190923" w:rsidRPr="00981405">
        <w:t xml:space="preserve"> </w:t>
      </w:r>
      <w:r w:rsidR="00397032" w:rsidRPr="00981405">
        <w:t>investors</w:t>
      </w:r>
      <w:r w:rsidR="00190923" w:rsidRPr="00981405">
        <w:t xml:space="preserve"> </w:t>
      </w:r>
      <w:r w:rsidR="00397032" w:rsidRPr="00981405">
        <w:t>of</w:t>
      </w:r>
      <w:r w:rsidR="00190923" w:rsidRPr="00981405">
        <w:t xml:space="preserve"> </w:t>
      </w:r>
      <w:r w:rsidR="00397032" w:rsidRPr="00981405">
        <w:t>any</w:t>
      </w:r>
      <w:r w:rsidR="00190923" w:rsidRPr="00981405">
        <w:t xml:space="preserve"> </w:t>
      </w:r>
      <w:r w:rsidR="00397032" w:rsidRPr="00981405">
        <w:t>third</w:t>
      </w:r>
      <w:r w:rsidR="00190923" w:rsidRPr="00981405">
        <w:t xml:space="preserve"> </w:t>
      </w:r>
      <w:r w:rsidR="00397032" w:rsidRPr="00981405">
        <w:t>state</w:t>
      </w:r>
      <w:r w:rsidRPr="00981405">
        <w:t>’</w:t>
      </w:r>
      <w:r w:rsidR="00190923" w:rsidRPr="00981405">
        <w:t xml:space="preserve"> </w:t>
      </w:r>
      <w:r w:rsidR="00397032" w:rsidRPr="00981405">
        <w:t>is</w:t>
      </w:r>
      <w:r w:rsidR="00190923" w:rsidRPr="00981405">
        <w:t xml:space="preserve"> </w:t>
      </w:r>
      <w:r w:rsidR="00397032" w:rsidRPr="00981405">
        <w:t>that</w:t>
      </w:r>
      <w:r w:rsidR="00190923" w:rsidRPr="00981405">
        <w:t xml:space="preserve"> </w:t>
      </w:r>
      <w:r w:rsidR="00397032" w:rsidRPr="00981405">
        <w:t>investor</w:t>
      </w:r>
      <w:r w:rsidRPr="00981405">
        <w:t>’</w:t>
      </w:r>
      <w:r w:rsidR="00397032" w:rsidRPr="00981405">
        <w:t>s</w:t>
      </w:r>
      <w:r w:rsidR="00190923" w:rsidRPr="00981405">
        <w:t xml:space="preserve"> </w:t>
      </w:r>
      <w:r w:rsidR="00397032" w:rsidRPr="00D97463">
        <w:rPr>
          <w:i/>
          <w:iCs/>
        </w:rPr>
        <w:t>substantive</w:t>
      </w:r>
      <w:r w:rsidR="00190923" w:rsidRPr="00981405">
        <w:t xml:space="preserve"> </w:t>
      </w:r>
      <w:r w:rsidR="00397032" w:rsidRPr="00981405">
        <w:t>rights</w:t>
      </w:r>
      <w:r w:rsidR="00190923" w:rsidRPr="00981405">
        <w:t xml:space="preserve"> </w:t>
      </w:r>
      <w:r w:rsidR="00397032" w:rsidRPr="00981405">
        <w:t>in</w:t>
      </w:r>
      <w:r w:rsidR="00190923" w:rsidRPr="00981405">
        <w:t xml:space="preserve"> </w:t>
      </w:r>
      <w:r w:rsidR="00397032" w:rsidRPr="00981405">
        <w:t>respect</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investment</w:t>
      </w:r>
      <w:r w:rsidR="00190923" w:rsidRPr="00981405">
        <w:t xml:space="preserve"> </w:t>
      </w:r>
      <w:r w:rsidR="00397032" w:rsidRPr="00981405">
        <w:t>are</w:t>
      </w:r>
      <w:r w:rsidR="00190923" w:rsidRPr="00981405">
        <w:t xml:space="preserve"> </w:t>
      </w:r>
      <w:r w:rsidR="00397032" w:rsidRPr="00981405">
        <w:t>to</w:t>
      </w:r>
      <w:r w:rsidR="00190923" w:rsidRPr="00981405">
        <w:t xml:space="preserve"> </w:t>
      </w:r>
      <w:r w:rsidR="00397032" w:rsidRPr="00981405">
        <w:t>be</w:t>
      </w:r>
      <w:r w:rsidR="00190923" w:rsidRPr="00981405">
        <w:t xml:space="preserve"> </w:t>
      </w:r>
      <w:r w:rsidR="00397032" w:rsidRPr="00981405">
        <w:t>treated</w:t>
      </w:r>
      <w:r w:rsidR="00190923" w:rsidRPr="00981405">
        <w:t xml:space="preserve"> </w:t>
      </w:r>
      <w:r w:rsidR="00397032" w:rsidRPr="00981405">
        <w:t>no</w:t>
      </w:r>
      <w:r w:rsidR="00190923" w:rsidRPr="00981405">
        <w:t xml:space="preserve"> </w:t>
      </w:r>
      <w:r w:rsidR="00397032" w:rsidRPr="00981405">
        <w:t>less</w:t>
      </w:r>
      <w:r w:rsidR="00190923" w:rsidRPr="00981405">
        <w:t xml:space="preserve"> </w:t>
      </w:r>
      <w:r w:rsidR="00397032" w:rsidRPr="00981405">
        <w:t>favourably</w:t>
      </w:r>
      <w:r w:rsidR="00190923" w:rsidRPr="00981405">
        <w:t xml:space="preserve"> </w:t>
      </w:r>
      <w:r w:rsidR="00397032" w:rsidRPr="00981405">
        <w:t>under</w:t>
      </w:r>
      <w:r w:rsidR="00190923" w:rsidRPr="00981405">
        <w:t xml:space="preserve"> </w:t>
      </w:r>
      <w:r w:rsidR="00397032" w:rsidRPr="00981405">
        <w:t>a</w:t>
      </w:r>
      <w:r w:rsidR="00190923" w:rsidRPr="00981405">
        <w:t xml:space="preserve"> </w:t>
      </w:r>
      <w:r w:rsidR="00397032" w:rsidRPr="00981405">
        <w:t>BIT</w:t>
      </w:r>
      <w:r w:rsidR="00190923" w:rsidRPr="00981405">
        <w:t xml:space="preserve"> </w:t>
      </w:r>
      <w:r w:rsidR="00397032" w:rsidRPr="00981405">
        <w:t>between</w:t>
      </w:r>
      <w:r w:rsidR="00190923" w:rsidRPr="00981405">
        <w:t xml:space="preserve"> </w:t>
      </w:r>
      <w:r w:rsidR="00397032" w:rsidRPr="00981405">
        <w:t>the</w:t>
      </w:r>
      <w:r w:rsidR="00190923" w:rsidRPr="00981405">
        <w:t xml:space="preserve"> </w:t>
      </w:r>
      <w:r w:rsidR="00397032" w:rsidRPr="00981405">
        <w:t>host</w:t>
      </w:r>
      <w:r w:rsidR="00190923" w:rsidRPr="00981405">
        <w:t xml:space="preserve"> </w:t>
      </w:r>
      <w:r w:rsidR="00397032" w:rsidRPr="00981405">
        <w:t>state</w:t>
      </w:r>
      <w:r w:rsidR="00190923" w:rsidRPr="00981405">
        <w:t xml:space="preserve"> </w:t>
      </w:r>
      <w:r w:rsidR="00397032" w:rsidRPr="00981405">
        <w:t>and</w:t>
      </w:r>
      <w:r w:rsidR="00190923" w:rsidRPr="00981405">
        <w:t xml:space="preserve"> </w:t>
      </w:r>
      <w:r w:rsidR="00397032" w:rsidRPr="00981405">
        <w:t>a</w:t>
      </w:r>
      <w:r w:rsidR="00190923" w:rsidRPr="00981405">
        <w:t xml:space="preserve"> </w:t>
      </w:r>
      <w:r w:rsidR="00397032" w:rsidRPr="00981405">
        <w:t>third</w:t>
      </w:r>
      <w:r w:rsidR="00190923" w:rsidRPr="00981405">
        <w:t xml:space="preserve"> </w:t>
      </w:r>
      <w:r w:rsidR="00397032" w:rsidRPr="00981405">
        <w:t>state,</w:t>
      </w:r>
      <w:r w:rsidR="00190923" w:rsidRPr="00981405">
        <w:t xml:space="preserve"> </w:t>
      </w:r>
      <w:r w:rsidR="00397032" w:rsidRPr="00981405">
        <w:t>and</w:t>
      </w:r>
      <w:r w:rsidR="00190923" w:rsidRPr="00981405">
        <w:t xml:space="preserve"> </w:t>
      </w:r>
      <w:r w:rsidR="00397032" w:rsidRPr="00981405">
        <w:t>there</w:t>
      </w:r>
      <w:r w:rsidR="00190923" w:rsidRPr="00981405">
        <w:t xml:space="preserve"> </w:t>
      </w:r>
      <w:r w:rsidR="00397032" w:rsidRPr="00981405">
        <w:t>is</w:t>
      </w:r>
      <w:r w:rsidR="00190923" w:rsidRPr="00981405">
        <w:t xml:space="preserve"> </w:t>
      </w:r>
      <w:r w:rsidR="00397032" w:rsidRPr="00981405">
        <w:t>no</w:t>
      </w:r>
      <w:r w:rsidR="00190923" w:rsidRPr="00981405">
        <w:t xml:space="preserve"> </w:t>
      </w:r>
      <w:r w:rsidR="00397032" w:rsidRPr="00981405">
        <w:t>warrant</w:t>
      </w:r>
      <w:r w:rsidR="00190923" w:rsidRPr="00981405">
        <w:t xml:space="preserve"> </w:t>
      </w:r>
      <w:r w:rsidR="00397032" w:rsidRPr="00981405">
        <w:t>for</w:t>
      </w:r>
      <w:r w:rsidR="00190923" w:rsidRPr="00981405">
        <w:t xml:space="preserve"> </w:t>
      </w:r>
      <w:r w:rsidR="00397032" w:rsidRPr="00981405">
        <w:t>interpreting</w:t>
      </w:r>
      <w:r w:rsidR="00190923" w:rsidRPr="00981405">
        <w:t xml:space="preserve"> </w:t>
      </w:r>
      <w:r w:rsidR="00397032" w:rsidRPr="00981405">
        <w:t>the</w:t>
      </w:r>
      <w:r w:rsidR="00190923" w:rsidRPr="00981405">
        <w:t xml:space="preserve"> </w:t>
      </w:r>
      <w:r w:rsidR="00397032" w:rsidRPr="00981405">
        <w:t>above</w:t>
      </w:r>
      <w:r w:rsidR="00190923" w:rsidRPr="00981405">
        <w:t xml:space="preserve"> </w:t>
      </w:r>
      <w:r w:rsidR="00397032" w:rsidRPr="00981405">
        <w:t>phrase</w:t>
      </w:r>
      <w:r w:rsidR="00190923" w:rsidRPr="00981405">
        <w:t xml:space="preserve"> </w:t>
      </w:r>
      <w:r w:rsidR="00397032" w:rsidRPr="00981405">
        <w:t>to</w:t>
      </w:r>
      <w:r w:rsidR="00190923" w:rsidRPr="00981405">
        <w:t xml:space="preserve"> </w:t>
      </w:r>
      <w:r w:rsidR="00397032" w:rsidRPr="00981405">
        <w:t>include</w:t>
      </w:r>
      <w:r w:rsidR="00190923" w:rsidRPr="00981405">
        <w:t xml:space="preserve"> </w:t>
      </w:r>
      <w:r w:rsidR="00397032" w:rsidRPr="00981405">
        <w:t>procedural</w:t>
      </w:r>
      <w:r w:rsidR="00190923" w:rsidRPr="00981405">
        <w:t xml:space="preserve"> </w:t>
      </w:r>
      <w:r w:rsidR="00397032" w:rsidRPr="00981405">
        <w:t>rights</w:t>
      </w:r>
      <w:r w:rsidR="00190923" w:rsidRPr="00981405">
        <w:t xml:space="preserve"> </w:t>
      </w:r>
      <w:r w:rsidR="00397032" w:rsidRPr="00981405">
        <w:t>as</w:t>
      </w:r>
      <w:r w:rsidR="00190923" w:rsidRPr="00981405">
        <w:t xml:space="preserve"> </w:t>
      </w:r>
      <w:r w:rsidR="00397032" w:rsidRPr="00981405">
        <w:t>well.</w:t>
      </w:r>
      <w:r w:rsidRPr="00981405">
        <w:t>”</w:t>
      </w:r>
      <w:r w:rsidR="00397032" w:rsidRPr="00981405">
        <w:rPr>
          <w:rStyle w:val="FootnoteReference"/>
        </w:rPr>
        <w:footnoteReference w:id="511"/>
      </w:r>
    </w:p>
    <w:p w:rsidR="00397032" w:rsidRPr="00981405" w:rsidRDefault="00397032" w:rsidP="00D97463">
      <w:pPr>
        <w:pStyle w:val="SingleTxt"/>
      </w:pPr>
      <w:r w:rsidRPr="00981405">
        <w:t>99.</w:t>
      </w:r>
      <w:r w:rsidRPr="00981405">
        <w:tab/>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investment</w:t>
      </w:r>
      <w:r w:rsidR="00190923" w:rsidRPr="00981405">
        <w:t xml:space="preserve"> </w:t>
      </w:r>
      <w:r w:rsidRPr="00981405">
        <w:t>treaties</w:t>
      </w:r>
      <w:r w:rsidR="00190923" w:rsidRPr="00981405">
        <w:t xml:space="preserve"> </w:t>
      </w:r>
      <w:r w:rsidRPr="00981405">
        <w:t>can,</w:t>
      </w:r>
      <w:r w:rsidR="00190923" w:rsidRPr="00981405">
        <w:t xml:space="preserve"> </w:t>
      </w:r>
      <w:r w:rsidRPr="00981405">
        <w:t>in</w:t>
      </w:r>
      <w:r w:rsidR="00190923" w:rsidRPr="00981405">
        <w:t xml:space="preserve"> </w:t>
      </w:r>
      <w:r w:rsidRPr="00981405">
        <w:t>theory,</w:t>
      </w:r>
      <w:r w:rsidR="00190923" w:rsidRPr="00981405">
        <w:t xml:space="preserve"> </w:t>
      </w:r>
      <w:r w:rsidRPr="00981405">
        <w:t>apply</w:t>
      </w:r>
      <w:r w:rsidR="00190923" w:rsidRPr="00981405">
        <w:t xml:space="preserve"> </w:t>
      </w:r>
      <w:r w:rsidRPr="00981405">
        <w:t>to</w:t>
      </w:r>
      <w:r w:rsidR="00190923" w:rsidRPr="00981405">
        <w:t xml:space="preserve"> </w:t>
      </w:r>
      <w:r w:rsidRPr="00981405">
        <w:t>both</w:t>
      </w:r>
      <w:r w:rsidR="00190923" w:rsidRPr="00981405">
        <w:t xml:space="preserve"> </w:t>
      </w:r>
      <w:r w:rsidRPr="00981405">
        <w:t>procedural</w:t>
      </w:r>
      <w:r w:rsidR="00190923" w:rsidRPr="00981405">
        <w:t xml:space="preserve"> </w:t>
      </w:r>
      <w:r w:rsidRPr="00981405">
        <w:t>and</w:t>
      </w:r>
      <w:r w:rsidR="00190923" w:rsidRPr="00981405">
        <w:t xml:space="preserve"> </w:t>
      </w:r>
      <w:r w:rsidRPr="00981405">
        <w:t>substantive</w:t>
      </w:r>
      <w:r w:rsidR="00190923" w:rsidRPr="00981405">
        <w:t xml:space="preserve"> </w:t>
      </w:r>
      <w:r w:rsidRPr="00981405">
        <w:t>matters</w:t>
      </w:r>
      <w:r w:rsidR="00190923" w:rsidRPr="00981405">
        <w:t xml:space="preserve"> </w:t>
      </w:r>
      <w:r w:rsidRPr="00981405">
        <w:t>does</w:t>
      </w:r>
      <w:r w:rsidR="00190923" w:rsidRPr="00981405">
        <w:t xml:space="preserve"> </w:t>
      </w:r>
      <w:r w:rsidRPr="00981405">
        <w:t>not</w:t>
      </w:r>
      <w:r w:rsidR="00190923" w:rsidRPr="00981405">
        <w:t xml:space="preserve"> </w:t>
      </w:r>
      <w:r w:rsidRPr="00981405">
        <w:t>mean</w:t>
      </w:r>
      <w:r w:rsidR="00190923" w:rsidRPr="00981405">
        <w:t xml:space="preserve"> </w:t>
      </w:r>
      <w:r w:rsidRPr="00981405">
        <w:t>that</w:t>
      </w:r>
      <w:r w:rsidR="00190923" w:rsidRPr="00981405">
        <w:t xml:space="preserve"> </w:t>
      </w:r>
      <w:r w:rsidRPr="00981405">
        <w:t>they</w:t>
      </w:r>
      <w:r w:rsidR="00190923" w:rsidRPr="00981405">
        <w:t xml:space="preserve"> </w:t>
      </w:r>
      <w:r w:rsidRPr="00981405">
        <w:t>will</w:t>
      </w:r>
      <w:r w:rsidR="00190923" w:rsidRPr="00981405">
        <w:t xml:space="preserve"> </w:t>
      </w:r>
      <w:r w:rsidRPr="00981405">
        <w:t>always</w:t>
      </w:r>
      <w:r w:rsidR="00190923" w:rsidRPr="00981405">
        <w:t xml:space="preserve"> </w:t>
      </w:r>
      <w:r w:rsidRPr="00981405">
        <w:t>be</w:t>
      </w:r>
      <w:r w:rsidR="00190923" w:rsidRPr="00981405">
        <w:t xml:space="preserve"> </w:t>
      </w:r>
      <w:r w:rsidRPr="00981405">
        <w:t>so</w:t>
      </w:r>
      <w:r w:rsidR="00190923" w:rsidRPr="00981405">
        <w:t xml:space="preserve"> </w:t>
      </w:r>
      <w:r w:rsidRPr="00981405">
        <w:lastRenderedPageBreak/>
        <w:t>applied.</w:t>
      </w:r>
      <w:r w:rsidRPr="00981405">
        <w:rPr>
          <w:rStyle w:val="FootnoteReference"/>
        </w:rPr>
        <w:footnoteReference w:id="512"/>
      </w:r>
      <w:r w:rsidR="00190923" w:rsidRPr="00981405">
        <w:t xml:space="preserve"> </w:t>
      </w:r>
      <w:r w:rsidRPr="00981405">
        <w:t>However,</w:t>
      </w:r>
      <w:r w:rsidR="00190923" w:rsidRPr="00981405">
        <w:t xml:space="preserve"> </w:t>
      </w:r>
      <w:r w:rsidRPr="00981405">
        <w:t>in</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cases</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interpreted</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to</w:t>
      </w:r>
      <w:r w:rsidR="00190923" w:rsidRPr="00981405">
        <w:t xml:space="preserve"> </w:t>
      </w:r>
      <w:r w:rsidRPr="00981405">
        <w:t>encompass</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procedures</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that</w:t>
      </w:r>
      <w:r w:rsidR="00190923" w:rsidRPr="00981405">
        <w:t xml:space="preserve"> </w:t>
      </w:r>
      <w:r w:rsidRPr="00981405">
        <w:t>in</w:t>
      </w:r>
      <w:r w:rsidR="00190923" w:rsidRPr="00981405">
        <w:t xml:space="preserve"> </w:t>
      </w:r>
      <w:r w:rsidRPr="00981405">
        <w:t>principle</w:t>
      </w:r>
      <w:r w:rsidR="00190923" w:rsidRPr="00981405">
        <w:t xml:space="preserve"> </w:t>
      </w:r>
      <w:r w:rsidRPr="00981405">
        <w:t>MFN</w:t>
      </w:r>
      <w:r w:rsidR="00190923" w:rsidRPr="00981405">
        <w:t xml:space="preserve"> </w:t>
      </w:r>
      <w:r w:rsidRPr="00981405">
        <w:t>clauses</w:t>
      </w:r>
      <w:r w:rsidR="00190923" w:rsidRPr="00981405">
        <w:t xml:space="preserve"> </w:t>
      </w:r>
      <w:r w:rsidRPr="00981405">
        <w:t>do</w:t>
      </w:r>
      <w:r w:rsidR="00190923" w:rsidRPr="00981405">
        <w:t xml:space="preserve"> </w:t>
      </w:r>
      <w:r w:rsidRPr="00981405">
        <w:t>apply</w:t>
      </w:r>
      <w:r w:rsidR="00190923" w:rsidRPr="00981405">
        <w:t xml:space="preserve"> </w:t>
      </w:r>
      <w:r w:rsidRPr="00981405">
        <w:t>to</w:t>
      </w:r>
      <w:r w:rsidR="00190923" w:rsidRPr="00981405">
        <w:t xml:space="preserve"> </w:t>
      </w:r>
      <w:r w:rsidRPr="00981405">
        <w:t>both.</w:t>
      </w:r>
      <w:r w:rsidR="00190923" w:rsidRPr="00981405">
        <w:t xml:space="preserve"> </w:t>
      </w:r>
    </w:p>
    <w:p w:rsidR="00FB6821" w:rsidRPr="00D97463" w:rsidRDefault="00FB6821" w:rsidP="00D97463">
      <w:pPr>
        <w:pStyle w:val="SingleTxt"/>
        <w:spacing w:after="0" w:line="120" w:lineRule="exact"/>
        <w:rPr>
          <w:sz w:val="10"/>
        </w:rPr>
      </w:pPr>
    </w:p>
    <w:p w:rsidR="00397032" w:rsidRPr="00D97463" w:rsidRDefault="00397032" w:rsidP="00D97463">
      <w:pPr>
        <w:pStyle w:val="H4"/>
        <w:ind w:right="1260"/>
      </w:pPr>
      <w:bookmarkStart w:id="249" w:name="_Toc293434166"/>
      <w:bookmarkStart w:id="250" w:name="_Toc294353680"/>
      <w:r w:rsidRPr="00D97463">
        <w:tab/>
      </w:r>
      <w:bookmarkStart w:id="251" w:name="_Toc427938181"/>
      <w:r w:rsidRPr="00D97463">
        <w:t>(ii)</w:t>
      </w:r>
      <w:r w:rsidRPr="00D97463">
        <w:tab/>
        <w:t>The</w:t>
      </w:r>
      <w:r w:rsidR="00190923" w:rsidRPr="00D97463">
        <w:t xml:space="preserve"> </w:t>
      </w:r>
      <w:r w:rsidRPr="00D97463">
        <w:t>interpretation</w:t>
      </w:r>
      <w:r w:rsidR="00190923" w:rsidRPr="00D97463">
        <w:t xml:space="preserve"> </w:t>
      </w:r>
      <w:r w:rsidRPr="00D97463">
        <w:t>of</w:t>
      </w:r>
      <w:r w:rsidR="00190923" w:rsidRPr="00D97463">
        <w:t xml:space="preserve"> </w:t>
      </w:r>
      <w:r w:rsidRPr="00D97463">
        <w:t>MFN</w:t>
      </w:r>
      <w:r w:rsidR="00190923" w:rsidRPr="00D97463">
        <w:t xml:space="preserve"> </w:t>
      </w:r>
      <w:r w:rsidRPr="00D97463">
        <w:t>provisions</w:t>
      </w:r>
      <w:r w:rsidR="00190923" w:rsidRPr="00D97463">
        <w:t xml:space="preserve"> </w:t>
      </w:r>
      <w:r w:rsidRPr="00D97463">
        <w:t>as</w:t>
      </w:r>
      <w:r w:rsidR="00190923" w:rsidRPr="00D97463">
        <w:t xml:space="preserve"> </w:t>
      </w:r>
      <w:r w:rsidRPr="00D97463">
        <w:t>a</w:t>
      </w:r>
      <w:r w:rsidR="00190923" w:rsidRPr="00D97463">
        <w:t xml:space="preserve"> </w:t>
      </w:r>
      <w:r w:rsidRPr="00D97463">
        <w:t>jurisdictional</w:t>
      </w:r>
      <w:r w:rsidR="00190923" w:rsidRPr="00D97463">
        <w:t xml:space="preserve"> </w:t>
      </w:r>
      <w:r w:rsidRPr="00D97463">
        <w:t>matter</w:t>
      </w:r>
      <w:bookmarkEnd w:id="249"/>
      <w:bookmarkEnd w:id="250"/>
      <w:bookmarkEnd w:id="251"/>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100.</w:t>
      </w:r>
      <w:r w:rsidRPr="00981405">
        <w:tab/>
        <w:t>A</w:t>
      </w:r>
      <w:r w:rsidR="00190923" w:rsidRPr="00981405">
        <w:t xml:space="preserve"> </w:t>
      </w:r>
      <w:r w:rsidRPr="00981405">
        <w:t>number</w:t>
      </w:r>
      <w:r w:rsidR="00190923" w:rsidRPr="00981405">
        <w:t xml:space="preserve"> </w:t>
      </w:r>
      <w:r w:rsidRPr="00981405">
        <w:t>of</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been</w:t>
      </w:r>
      <w:r w:rsidR="00190923" w:rsidRPr="00981405">
        <w:t xml:space="preserve"> </w:t>
      </w:r>
      <w:r w:rsidRPr="00981405">
        <w:t>influenced</w:t>
      </w:r>
      <w:r w:rsidR="00190923" w:rsidRPr="00981405">
        <w:t xml:space="preserve"> </w:t>
      </w:r>
      <w:r w:rsidRPr="00981405">
        <w:t>by</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cannot</w:t>
      </w:r>
      <w:r w:rsidR="00190923" w:rsidRPr="00981405">
        <w:t xml:space="preserve"> </w:t>
      </w:r>
      <w:r w:rsidRPr="00981405">
        <w:t>be</w:t>
      </w:r>
      <w:r w:rsidR="00190923" w:rsidRPr="00981405">
        <w:t xml:space="preserve"> </w:t>
      </w:r>
      <w:r w:rsidRPr="00981405">
        <w:t>applied</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if</w:t>
      </w:r>
      <w:r w:rsidR="00190923" w:rsidRPr="00981405">
        <w:t xml:space="preserve"> </w:t>
      </w:r>
      <w:r w:rsidRPr="00981405">
        <w:t>they</w:t>
      </w:r>
      <w:r w:rsidR="00190923" w:rsidRPr="00981405">
        <w:t xml:space="preserve"> </w:t>
      </w:r>
      <w:r w:rsidRPr="00981405">
        <w:t>relate</w:t>
      </w:r>
      <w:r w:rsidR="00190923" w:rsidRPr="00981405">
        <w:t xml:space="preserve"> </w:t>
      </w:r>
      <w:r w:rsidRPr="00981405">
        <w:t>to</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This</w:t>
      </w:r>
      <w:r w:rsidR="00190923" w:rsidRPr="00981405">
        <w:t xml:space="preserve"> </w:t>
      </w:r>
      <w:r w:rsidRPr="00981405">
        <w:t>has</w:t>
      </w:r>
      <w:r w:rsidR="00190923" w:rsidRPr="00981405">
        <w:t xml:space="preserve"> </w:t>
      </w:r>
      <w:r w:rsidRPr="00981405">
        <w:t>led</w:t>
      </w:r>
      <w:r w:rsidR="00190923" w:rsidRPr="00981405">
        <w:t xml:space="preserve"> </w:t>
      </w:r>
      <w:r w:rsidRPr="00981405">
        <w:t>to</w:t>
      </w:r>
      <w:r w:rsidR="00190923" w:rsidRPr="00981405">
        <w:t xml:space="preserve"> </w:t>
      </w:r>
      <w:r w:rsidRPr="00981405">
        <w:t>a</w:t>
      </w:r>
      <w:r w:rsidR="00190923" w:rsidRPr="00981405">
        <w:t xml:space="preserve"> </w:t>
      </w:r>
      <w:r w:rsidRPr="00981405">
        <w:t>divergence</w:t>
      </w:r>
      <w:r w:rsidR="00190923" w:rsidRPr="00981405">
        <w:t xml:space="preserve"> </w:t>
      </w:r>
      <w:r w:rsidRPr="00981405">
        <w:t>of</w:t>
      </w:r>
      <w:r w:rsidR="00190923" w:rsidRPr="00981405">
        <w:t xml:space="preserve"> </w:t>
      </w:r>
      <w:r w:rsidRPr="00981405">
        <w:t>views</w:t>
      </w:r>
      <w:r w:rsidR="00190923" w:rsidRPr="00981405">
        <w:t xml:space="preserve"> </w:t>
      </w:r>
      <w:r w:rsidRPr="00981405">
        <w:t>amongst</w:t>
      </w:r>
      <w:r w:rsidR="00190923" w:rsidRPr="00981405">
        <w:t xml:space="preserve"> </w:t>
      </w:r>
      <w:r w:rsidRPr="00981405">
        <w:t>tribunals</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two</w:t>
      </w:r>
      <w:r w:rsidR="00190923" w:rsidRPr="00981405">
        <w:t xml:space="preserve"> </w:t>
      </w:r>
      <w:r w:rsidRPr="00981405">
        <w:t>different</w:t>
      </w:r>
      <w:r w:rsidR="00190923" w:rsidRPr="00981405">
        <w:t xml:space="preserve"> </w:t>
      </w:r>
      <w:r w:rsidRPr="00981405">
        <w:t>issues.</w:t>
      </w:r>
      <w:r w:rsidR="00190923" w:rsidRPr="00981405">
        <w:t xml:space="preserve"> </w:t>
      </w:r>
      <w:r w:rsidRPr="00981405">
        <w:t>The</w:t>
      </w:r>
      <w:r w:rsidR="00190923" w:rsidRPr="00981405">
        <w:t xml:space="preserve"> </w:t>
      </w:r>
      <w:r w:rsidRPr="00981405">
        <w:t>first</w:t>
      </w:r>
      <w:r w:rsidR="00190923" w:rsidRPr="00981405">
        <w:t xml:space="preserve"> </w:t>
      </w:r>
      <w:r w:rsidRPr="00981405">
        <w:t>issue</w:t>
      </w:r>
      <w:r w:rsidR="00190923" w:rsidRPr="00981405">
        <w:t xml:space="preserve"> </w:t>
      </w:r>
      <w:r w:rsidRPr="00981405">
        <w:t>is</w:t>
      </w:r>
      <w:r w:rsidR="00190923" w:rsidRPr="00981405">
        <w:t xml:space="preserve"> </w:t>
      </w:r>
      <w:r w:rsidRPr="00981405">
        <w:t>whether</w:t>
      </w:r>
      <w:r w:rsidR="00190923" w:rsidRPr="00981405">
        <w:t xml:space="preserve"> </w:t>
      </w:r>
      <w:r w:rsidRPr="00981405">
        <w:t>jurisdictional</w:t>
      </w:r>
      <w:r w:rsidR="00190923" w:rsidRPr="00981405">
        <w:t xml:space="preserve"> </w:t>
      </w:r>
      <w:r w:rsidRPr="00981405">
        <w:t>matters</w:t>
      </w:r>
      <w:r w:rsidR="00190923" w:rsidRPr="00981405">
        <w:t xml:space="preserve"> </w:t>
      </w:r>
      <w:r w:rsidRPr="00981405">
        <w:t>require</w:t>
      </w:r>
      <w:r w:rsidR="00190923" w:rsidRPr="00981405">
        <w:t xml:space="preserve"> </w:t>
      </w:r>
      <w:r w:rsidRPr="00981405">
        <w:t>a</w:t>
      </w:r>
      <w:r w:rsidR="00190923" w:rsidRPr="00981405">
        <w:t xml:space="preserve"> </w:t>
      </w:r>
      <w:r w:rsidRPr="00981405">
        <w:t>stricter</w:t>
      </w:r>
      <w:r w:rsidR="00190923" w:rsidRPr="00981405">
        <w:t xml:space="preserve"> </w:t>
      </w:r>
      <w:r w:rsidRPr="00981405">
        <w:t>approach</w:t>
      </w:r>
      <w:r w:rsidR="00190923" w:rsidRPr="00981405">
        <w:t xml:space="preserve"> </w:t>
      </w:r>
      <w:r w:rsidRPr="00981405">
        <w:t>to</w:t>
      </w:r>
      <w:r w:rsidR="00190923" w:rsidRPr="00981405">
        <w:t xml:space="preserve"> </w:t>
      </w:r>
      <w:r w:rsidRPr="00981405">
        <w:t>interpretation.</w:t>
      </w:r>
      <w:r w:rsidR="00190923" w:rsidRPr="00981405">
        <w:t xml:space="preserve"> </w:t>
      </w:r>
      <w:r w:rsidRPr="00981405">
        <w:t>The</w:t>
      </w:r>
      <w:r w:rsidR="00190923" w:rsidRPr="00981405">
        <w:t xml:space="preserve"> </w:t>
      </w:r>
      <w:r w:rsidRPr="00981405">
        <w:t>second</w:t>
      </w:r>
      <w:r w:rsidR="00190923" w:rsidRPr="00981405">
        <w:t xml:space="preserve"> </w:t>
      </w:r>
      <w:r w:rsidRPr="00981405">
        <w:t>issue</w:t>
      </w:r>
      <w:r w:rsidR="00190923" w:rsidRPr="00981405">
        <w:t xml:space="preserve"> </w:t>
      </w:r>
      <w:r w:rsidRPr="00981405">
        <w:t>is</w:t>
      </w:r>
      <w:r w:rsidR="00190923" w:rsidRPr="00981405">
        <w:t xml:space="preserve"> </w:t>
      </w:r>
      <w:r w:rsidRPr="00981405">
        <w:t>whether</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MFN</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concerns</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tribunal.</w:t>
      </w:r>
      <w:r w:rsidR="00190923" w:rsidRPr="00981405">
        <w:t xml:space="preserve"> </w:t>
      </w:r>
    </w:p>
    <w:p w:rsidR="00FB6821" w:rsidRPr="00D97463" w:rsidRDefault="00FB6821" w:rsidP="00D97463">
      <w:pPr>
        <w:pStyle w:val="SingleTxt"/>
        <w:spacing w:after="0" w:line="120" w:lineRule="exact"/>
        <w:rPr>
          <w:sz w:val="10"/>
        </w:rPr>
      </w:pPr>
    </w:p>
    <w:p w:rsidR="00397032" w:rsidRPr="00D97463" w:rsidRDefault="00397032" w:rsidP="00D97463">
      <w:pPr>
        <w:pStyle w:val="H23"/>
        <w:ind w:right="1260"/>
      </w:pPr>
      <w:bookmarkStart w:id="252" w:name="_Toc293434167"/>
      <w:bookmarkStart w:id="253" w:name="_Toc294353681"/>
      <w:r w:rsidRPr="00D97463">
        <w:tab/>
      </w:r>
      <w:bookmarkStart w:id="254" w:name="_Toc427938182"/>
      <w:r w:rsidRPr="00D97463">
        <w:t>1.</w:t>
      </w:r>
      <w:r w:rsidR="00190923" w:rsidRPr="00D97463">
        <w:t xml:space="preserve"> </w:t>
      </w:r>
      <w:r w:rsidRPr="00D97463">
        <w:tab/>
        <w:t>Standard</w:t>
      </w:r>
      <w:r w:rsidR="00190923" w:rsidRPr="00D97463">
        <w:t xml:space="preserve"> </w:t>
      </w:r>
      <w:r w:rsidRPr="00D97463">
        <w:t>for</w:t>
      </w:r>
      <w:r w:rsidR="00190923" w:rsidRPr="00D97463">
        <w:t xml:space="preserve"> </w:t>
      </w:r>
      <w:r w:rsidRPr="00D97463">
        <w:t>interpreting</w:t>
      </w:r>
      <w:r w:rsidR="00190923" w:rsidRPr="00D97463">
        <w:t xml:space="preserve"> </w:t>
      </w:r>
      <w:r w:rsidRPr="00D97463">
        <w:t>jurisdictional</w:t>
      </w:r>
      <w:r w:rsidR="00190923" w:rsidRPr="00D97463">
        <w:t xml:space="preserve"> </w:t>
      </w:r>
      <w:r w:rsidRPr="00D97463">
        <w:t>matters</w:t>
      </w:r>
      <w:bookmarkEnd w:id="252"/>
      <w:bookmarkEnd w:id="253"/>
      <w:bookmarkEnd w:id="25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101.</w:t>
      </w:r>
      <w:r w:rsidRPr="00981405">
        <w:tab/>
        <w:t>In</w:t>
      </w:r>
      <w:r w:rsidR="00190923" w:rsidRPr="00981405">
        <w:t xml:space="preserve"> </w:t>
      </w:r>
      <w:r w:rsidRPr="00D97463">
        <w:rPr>
          <w:i/>
          <w:iCs/>
        </w:rPr>
        <w:t>Plama</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treated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as</w:t>
      </w:r>
      <w:r w:rsidR="00190923" w:rsidRPr="00981405">
        <w:t xml:space="preserve"> </w:t>
      </w:r>
      <w:r w:rsidRPr="00981405">
        <w:t>one</w:t>
      </w:r>
      <w:r w:rsidR="00190923" w:rsidRPr="00981405">
        <w:t xml:space="preserve"> </w:t>
      </w:r>
      <w:r w:rsidRPr="00981405">
        <w:t>of</w:t>
      </w:r>
      <w:r w:rsidR="00190923" w:rsidRPr="00981405">
        <w:t xml:space="preserve"> </w:t>
      </w:r>
      <w:r w:rsidRPr="00981405">
        <w:t>agreement</w:t>
      </w:r>
      <w:r w:rsidR="00190923" w:rsidRPr="00981405">
        <w:t xml:space="preserve"> </w:t>
      </w:r>
      <w:r w:rsidRPr="00981405">
        <w:t>to</w:t>
      </w:r>
      <w:r w:rsidR="00190923" w:rsidRPr="00981405">
        <w:t xml:space="preserve"> </w:t>
      </w:r>
      <w:r w:rsidRPr="00981405">
        <w:t>arbitrate,</w:t>
      </w:r>
      <w:r w:rsidR="00190923" w:rsidRPr="00981405">
        <w:t xml:space="preserve"> </w:t>
      </w:r>
      <w:r w:rsidRPr="00981405">
        <w:t>stating</w:t>
      </w:r>
      <w:r w:rsidR="00190923" w:rsidRPr="00981405">
        <w:t xml:space="preserve"> </w:t>
      </w:r>
      <w:r w:rsidRPr="00981405">
        <w:t>that</w:t>
      </w:r>
      <w:r w:rsidR="00190923" w:rsidRPr="00981405">
        <w:t xml:space="preserve"> </w:t>
      </w:r>
      <w:r w:rsidR="00B92E2C" w:rsidRPr="00981405">
        <w:t>“</w:t>
      </w:r>
      <w:r w:rsidRPr="00981405">
        <w:t>[i]t</w:t>
      </w:r>
      <w:r w:rsidR="00190923" w:rsidRPr="00981405">
        <w:t xml:space="preserve"> </w:t>
      </w:r>
      <w:r w:rsidRPr="00981405">
        <w:t>is</w:t>
      </w:r>
      <w:r w:rsidR="00190923" w:rsidRPr="00981405">
        <w:t xml:space="preserve"> </w:t>
      </w:r>
      <w:r w:rsidRPr="00981405">
        <w:t>a</w:t>
      </w:r>
      <w:r w:rsidR="00190923" w:rsidRPr="00981405">
        <w:t xml:space="preserve"> </w:t>
      </w:r>
      <w:r w:rsidRPr="00981405">
        <w:t>well</w:t>
      </w:r>
      <w:r w:rsidR="00190923" w:rsidRPr="00981405">
        <w:t xml:space="preserve"> </w:t>
      </w:r>
      <w:r w:rsidRPr="00981405">
        <w:t>established</w:t>
      </w:r>
      <w:r w:rsidR="00190923" w:rsidRPr="00981405">
        <w:t xml:space="preserve"> </w:t>
      </w:r>
      <w:r w:rsidRPr="00981405">
        <w:t>principle,</w:t>
      </w:r>
      <w:r w:rsidR="00190923" w:rsidRPr="00981405">
        <w:t xml:space="preserve"> </w:t>
      </w:r>
      <w:r w:rsidRPr="00981405">
        <w:t>both</w:t>
      </w:r>
      <w:r w:rsidR="00190923" w:rsidRPr="00981405">
        <w:t xml:space="preserve"> </w:t>
      </w:r>
      <w:r w:rsidRPr="00981405">
        <w:t>in</w:t>
      </w:r>
      <w:r w:rsidR="00190923" w:rsidRPr="00981405">
        <w:t xml:space="preserve"> </w:t>
      </w:r>
      <w:r w:rsidRPr="00981405">
        <w:t>domestic</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that</w:t>
      </w:r>
      <w:r w:rsidR="00190923" w:rsidRPr="00981405">
        <w:t xml:space="preserve"> </w:t>
      </w:r>
      <w:r w:rsidRPr="00981405">
        <w:t>such</w:t>
      </w:r>
      <w:r w:rsidR="00190923" w:rsidRPr="00981405">
        <w:t xml:space="preserve"> </w:t>
      </w:r>
      <w:r w:rsidRPr="00981405">
        <w:t>an</w:t>
      </w:r>
      <w:r w:rsidR="00190923" w:rsidRPr="00981405">
        <w:t xml:space="preserve"> </w:t>
      </w:r>
      <w:r w:rsidRPr="00981405">
        <w:t>agreement</w:t>
      </w:r>
      <w:r w:rsidR="00190923" w:rsidRPr="00981405">
        <w:t xml:space="preserve"> </w:t>
      </w:r>
      <w:r w:rsidRPr="00981405">
        <w:t>should</w:t>
      </w:r>
      <w:r w:rsidR="00190923" w:rsidRPr="00981405">
        <w:t xml:space="preserve"> </w:t>
      </w:r>
      <w:r w:rsidRPr="00981405">
        <w:t>be</w:t>
      </w:r>
      <w:r w:rsidR="00190923" w:rsidRPr="00981405">
        <w:t xml:space="preserve"> </w:t>
      </w:r>
      <w:r w:rsidRPr="00981405">
        <w:t>clear</w:t>
      </w:r>
      <w:r w:rsidR="00190923" w:rsidRPr="00981405">
        <w:t xml:space="preserve"> </w:t>
      </w:r>
      <w:r w:rsidRPr="00981405">
        <w:t>and</w:t>
      </w:r>
      <w:r w:rsidR="00190923" w:rsidRPr="00981405">
        <w:t xml:space="preserve"> </w:t>
      </w:r>
      <w:r w:rsidRPr="00981405">
        <w:t>unambiguous.</w:t>
      </w:r>
      <w:r w:rsidR="00B92E2C" w:rsidRPr="00981405">
        <w:t>”</w:t>
      </w:r>
      <w:r w:rsidRPr="00981405">
        <w:rPr>
          <w:rStyle w:val="FootnoteReference"/>
        </w:rPr>
        <w:footnoteReference w:id="513"/>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00B92E2C" w:rsidRPr="00981405">
        <w:t>“</w:t>
      </w:r>
      <w:r w:rsidRPr="00981405">
        <w:t>the</w:t>
      </w:r>
      <w:r w:rsidR="00190923" w:rsidRPr="00981405">
        <w:t xml:space="preserve"> </w:t>
      </w:r>
      <w:r w:rsidRPr="00981405">
        <w:t>intention</w:t>
      </w:r>
      <w:r w:rsidR="00190923" w:rsidRPr="00981405">
        <w:t xml:space="preserve"> </w:t>
      </w:r>
      <w:r w:rsidRPr="00981405">
        <w:t>to</w:t>
      </w:r>
      <w:r w:rsidR="00190923" w:rsidRPr="00981405">
        <w:t xml:space="preserve"> </w:t>
      </w:r>
      <w:r w:rsidRPr="00981405">
        <w:t>incorporate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must</w:t>
      </w:r>
      <w:r w:rsidR="00190923" w:rsidRPr="00981405">
        <w:t xml:space="preserve"> </w:t>
      </w:r>
      <w:r w:rsidRPr="00981405">
        <w:t>be</w:t>
      </w:r>
      <w:r w:rsidR="00190923" w:rsidRPr="00981405">
        <w:t xml:space="preserve"> </w:t>
      </w:r>
      <w:r w:rsidRPr="00981405">
        <w:t>clearly</w:t>
      </w:r>
      <w:r w:rsidR="00190923" w:rsidRPr="00981405">
        <w:t xml:space="preserve"> </w:t>
      </w:r>
      <w:r w:rsidRPr="00981405">
        <w:t>and</w:t>
      </w:r>
      <w:r w:rsidR="00190923" w:rsidRPr="00981405">
        <w:t xml:space="preserve"> </w:t>
      </w:r>
      <w:r w:rsidRPr="00981405">
        <w:t>unambiguously</w:t>
      </w:r>
      <w:r w:rsidR="00190923" w:rsidRPr="00981405">
        <w:t xml:space="preserve"> </w:t>
      </w:r>
      <w:r w:rsidRPr="00981405">
        <w:t>expressed.</w:t>
      </w:r>
      <w:r w:rsidR="00B92E2C" w:rsidRPr="00981405">
        <w:t>”</w:t>
      </w:r>
      <w:r w:rsidRPr="00981405">
        <w:rPr>
          <w:rStyle w:val="FootnoteReference"/>
        </w:rPr>
        <w:footnoteReference w:id="514"/>
      </w:r>
      <w:r w:rsidR="00190923" w:rsidRPr="00981405">
        <w:t xml:space="preserve"> </w:t>
      </w:r>
      <w:r w:rsidRPr="00981405">
        <w:t>Therefore,</w:t>
      </w:r>
      <w:r w:rsidR="00190923" w:rsidRPr="00981405">
        <w:t xml:space="preserve"> </w:t>
      </w:r>
      <w:r w:rsidRPr="00981405">
        <w:t>the</w:t>
      </w:r>
      <w:r w:rsidR="00190923" w:rsidRPr="00981405">
        <w:t xml:space="preserve"> </w:t>
      </w:r>
      <w:r w:rsidRPr="00981405">
        <w:t>party</w:t>
      </w:r>
      <w:r w:rsidR="00190923" w:rsidRPr="00981405">
        <w:t xml:space="preserve"> </w:t>
      </w:r>
      <w:r w:rsidRPr="00981405">
        <w:t>seeking</w:t>
      </w:r>
      <w:r w:rsidR="00190923" w:rsidRPr="00981405">
        <w:t xml:space="preserve"> </w:t>
      </w:r>
      <w:r w:rsidRPr="00981405">
        <w:t>to</w:t>
      </w:r>
      <w:r w:rsidR="00190923" w:rsidRPr="00981405">
        <w:t xml:space="preserve"> </w:t>
      </w:r>
      <w:r w:rsidRPr="00981405">
        <w:t>apply</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to</w:t>
      </w:r>
      <w:r w:rsidR="00190923" w:rsidRPr="00981405">
        <w:t xml:space="preserve"> </w:t>
      </w:r>
      <w:r w:rsidRPr="00981405">
        <w:t>a</w:t>
      </w:r>
      <w:r w:rsidR="00190923" w:rsidRPr="00981405">
        <w:t xml:space="preserve"> </w:t>
      </w:r>
      <w:r w:rsidRPr="00981405">
        <w:t>question</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bears</w:t>
      </w:r>
      <w:r w:rsidR="00190923" w:rsidRPr="00981405">
        <w:t xml:space="preserve"> </w:t>
      </w:r>
      <w:r w:rsidRPr="00981405">
        <w:t>the</w:t>
      </w:r>
      <w:r w:rsidR="00190923" w:rsidRPr="00981405">
        <w:t xml:space="preserve"> </w:t>
      </w:r>
      <w:r w:rsidRPr="00981405">
        <w:t>burden</w:t>
      </w:r>
      <w:r w:rsidR="00190923" w:rsidRPr="00981405">
        <w:t xml:space="preserve"> </w:t>
      </w:r>
      <w:r w:rsidRPr="00981405">
        <w:t>of</w:t>
      </w:r>
      <w:r w:rsidR="00190923" w:rsidRPr="00981405">
        <w:t xml:space="preserve"> </w:t>
      </w:r>
      <w:r w:rsidRPr="00981405">
        <w:t>proving</w:t>
      </w:r>
      <w:r w:rsidR="00190923" w:rsidRPr="00981405">
        <w:t xml:space="preserve"> </w:t>
      </w:r>
      <w:r w:rsidRPr="00981405">
        <w:t>such</w:t>
      </w:r>
      <w:r w:rsidR="00190923" w:rsidRPr="00981405">
        <w:t xml:space="preserve"> </w:t>
      </w:r>
      <w:r w:rsidRPr="00981405">
        <w:t>application</w:t>
      </w:r>
      <w:r w:rsidR="00190923" w:rsidRPr="00981405">
        <w:t xml:space="preserve"> </w:t>
      </w:r>
      <w:r w:rsidRPr="00981405">
        <w:t>was</w:t>
      </w:r>
      <w:r w:rsidR="00190923" w:rsidRPr="00981405">
        <w:t xml:space="preserve"> </w:t>
      </w:r>
      <w:r w:rsidRPr="00981405">
        <w:t>clearly</w:t>
      </w:r>
      <w:r w:rsidR="00190923" w:rsidRPr="00981405">
        <w:t xml:space="preserve"> </w:t>
      </w:r>
      <w:r w:rsidRPr="00981405">
        <w:t>intended</w:t>
      </w:r>
      <w:r w:rsidR="00190923" w:rsidRPr="00981405">
        <w:t xml:space="preserve"> </w:t>
      </w:r>
      <w:r w:rsidR="00B92E2C" w:rsidRPr="00981405">
        <w:t>—</w:t>
      </w:r>
      <w:r w:rsidR="00190923" w:rsidRPr="00981405">
        <w:t xml:space="preserve"> </w:t>
      </w:r>
      <w:r w:rsidRPr="00981405">
        <w:t>a</w:t>
      </w:r>
      <w:r w:rsidR="00190923" w:rsidRPr="00981405">
        <w:t xml:space="preserve"> </w:t>
      </w:r>
      <w:r w:rsidRPr="00981405">
        <w:t>high</w:t>
      </w:r>
      <w:r w:rsidR="00190923" w:rsidRPr="00981405">
        <w:t xml:space="preserve"> </w:t>
      </w:r>
      <w:r w:rsidRPr="00981405">
        <w:t>threshold</w:t>
      </w:r>
      <w:r w:rsidR="00190923" w:rsidRPr="00981405">
        <w:t xml:space="preserve"> </w:t>
      </w:r>
      <w:r w:rsidRPr="00981405">
        <w:t>to</w:t>
      </w:r>
      <w:r w:rsidR="00190923" w:rsidRPr="00981405">
        <w:t xml:space="preserve"> </w:t>
      </w:r>
      <w:r w:rsidRPr="00981405">
        <w:t>meet.</w:t>
      </w:r>
      <w:r w:rsidR="00190923" w:rsidRPr="00981405">
        <w:t xml:space="preserve"> </w:t>
      </w:r>
      <w:r w:rsidRPr="00981405">
        <w:t>This</w:t>
      </w:r>
      <w:r w:rsidR="00190923" w:rsidRPr="00981405">
        <w:t xml:space="preserve"> </w:t>
      </w:r>
      <w:r w:rsidRPr="00981405">
        <w:t>view</w:t>
      </w:r>
      <w:r w:rsidR="00190923" w:rsidRPr="00981405">
        <w:t xml:space="preserve"> </w:t>
      </w:r>
      <w:r w:rsidRPr="00981405">
        <w:t>was</w:t>
      </w:r>
      <w:r w:rsidR="00190923" w:rsidRPr="00981405">
        <w:t xml:space="preserve"> </w:t>
      </w:r>
      <w:r w:rsidRPr="00981405">
        <w:t>endorsed</w:t>
      </w:r>
      <w:r w:rsidR="00190923" w:rsidRPr="00981405">
        <w:t xml:space="preserve"> </w:t>
      </w:r>
      <w:r w:rsidRPr="00981405">
        <w:t>fully</w:t>
      </w:r>
      <w:r w:rsidR="00190923" w:rsidRPr="00981405">
        <w:t xml:space="preserve"> </w:t>
      </w:r>
      <w:r w:rsidRPr="00981405">
        <w:t>by</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Pr="00D97463">
        <w:rPr>
          <w:i/>
          <w:iCs/>
        </w:rPr>
        <w:t>Telenor</w:t>
      </w:r>
      <w:r w:rsidRPr="00981405">
        <w:rPr>
          <w:rStyle w:val="FootnoteReference"/>
        </w:rPr>
        <w:footnoteReference w:id="515"/>
      </w:r>
      <w:r w:rsidR="00190923" w:rsidRPr="00981405">
        <w:t xml:space="preserve"> </w:t>
      </w:r>
      <w:r w:rsidRPr="00981405">
        <w:t>and</w:t>
      </w:r>
      <w:r w:rsidR="00190923" w:rsidRPr="00981405">
        <w:t xml:space="preserve"> </w:t>
      </w:r>
      <w:r w:rsidRPr="00981405">
        <w:t>is</w:t>
      </w:r>
      <w:r w:rsidR="00190923" w:rsidRPr="00981405">
        <w:t xml:space="preserve"> </w:t>
      </w:r>
      <w:r w:rsidRPr="00981405">
        <w:t>echoed</w:t>
      </w:r>
      <w:r w:rsidR="00190923" w:rsidRPr="00981405">
        <w:t xml:space="preserve"> </w:t>
      </w:r>
      <w:r w:rsidRPr="00981405">
        <w:t>in</w:t>
      </w:r>
      <w:r w:rsidR="00190923" w:rsidRPr="00981405">
        <w:t xml:space="preserve"> </w:t>
      </w:r>
      <w:r w:rsidRPr="00D97463">
        <w:rPr>
          <w:i/>
          <w:iCs/>
        </w:rPr>
        <w:t>Wintershall</w:t>
      </w:r>
      <w:r w:rsidRPr="00981405">
        <w:t>.</w:t>
      </w:r>
      <w:r w:rsidRPr="00981405">
        <w:rPr>
          <w:rStyle w:val="FootnoteReference"/>
        </w:rPr>
        <w:footnoteReference w:id="516"/>
      </w:r>
      <w:r w:rsidR="00190923" w:rsidRPr="00981405">
        <w:t xml:space="preserve"> </w:t>
      </w:r>
    </w:p>
    <w:p w:rsidR="00397032" w:rsidRPr="00981405" w:rsidRDefault="00397032" w:rsidP="00D97463">
      <w:pPr>
        <w:pStyle w:val="SingleTxt"/>
      </w:pPr>
      <w:r w:rsidRPr="00981405">
        <w:t>102.</w:t>
      </w:r>
      <w:r w:rsidRPr="00981405">
        <w:tab/>
        <w:t>However,</w:t>
      </w:r>
      <w:r w:rsidR="00190923" w:rsidRPr="00981405">
        <w:t xml:space="preserve"> </w:t>
      </w:r>
      <w:r w:rsidRPr="00981405">
        <w:t>this</w:t>
      </w:r>
      <w:r w:rsidR="00190923" w:rsidRPr="00981405">
        <w:t xml:space="preserve"> </w:t>
      </w:r>
      <w:r w:rsidRPr="00981405">
        <w:t>approach</w:t>
      </w:r>
      <w:r w:rsidR="00190923" w:rsidRPr="00981405">
        <w:t xml:space="preserve"> </w:t>
      </w:r>
      <w:r w:rsidRPr="00981405">
        <w:t>has</w:t>
      </w:r>
      <w:r w:rsidR="00190923" w:rsidRPr="00981405">
        <w:t xml:space="preserve"> </w:t>
      </w:r>
      <w:r w:rsidRPr="00981405">
        <w:t>been</w:t>
      </w:r>
      <w:r w:rsidR="00190923" w:rsidRPr="00981405">
        <w:t xml:space="preserve"> </w:t>
      </w:r>
      <w:r w:rsidRPr="00981405">
        <w:t>met</w:t>
      </w:r>
      <w:r w:rsidR="00190923" w:rsidRPr="00981405">
        <w:t xml:space="preserve"> </w:t>
      </w:r>
      <w:r w:rsidRPr="00981405">
        <w:t>with</w:t>
      </w:r>
      <w:r w:rsidR="00190923" w:rsidRPr="00981405">
        <w:t xml:space="preserve"> </w:t>
      </w:r>
      <w:r w:rsidRPr="00981405">
        <w:t>considerable</w:t>
      </w:r>
      <w:r w:rsidR="00190923" w:rsidRPr="00981405">
        <w:t xml:space="preserve"> </w:t>
      </w:r>
      <w:r w:rsidRPr="00981405">
        <w:t>opposition.</w:t>
      </w:r>
      <w:r w:rsidR="00190923" w:rsidRPr="00981405">
        <w:t xml:space="preserve"> </w:t>
      </w:r>
      <w:r w:rsidRPr="00981405">
        <w:t>It</w:t>
      </w:r>
      <w:r w:rsidR="00190923" w:rsidRPr="00981405">
        <w:t xml:space="preserve"> </w:t>
      </w:r>
      <w:r w:rsidRPr="00981405">
        <w:t>was</w:t>
      </w:r>
      <w:r w:rsidR="00190923" w:rsidRPr="00981405">
        <w:t xml:space="preserve"> </w:t>
      </w:r>
      <w:r w:rsidRPr="00981405">
        <w:t>rejected</w:t>
      </w:r>
      <w:r w:rsidR="00190923" w:rsidRPr="00981405">
        <w:t xml:space="preserve"> </w:t>
      </w:r>
      <w:r w:rsidRPr="00981405">
        <w:t>in</w:t>
      </w:r>
      <w:r w:rsidR="00190923" w:rsidRPr="00981405">
        <w:t xml:space="preserve"> </w:t>
      </w:r>
      <w:r w:rsidRPr="00D97463">
        <w:rPr>
          <w:i/>
          <w:iCs/>
        </w:rPr>
        <w:t>Austrian</w:t>
      </w:r>
      <w:r w:rsidR="00190923" w:rsidRPr="00D97463">
        <w:rPr>
          <w:i/>
          <w:iCs/>
        </w:rPr>
        <w:t xml:space="preserve"> </w:t>
      </w:r>
      <w:r w:rsidRPr="00D97463">
        <w:rPr>
          <w:i/>
          <w:iCs/>
        </w:rPr>
        <w:t>Airlines</w:t>
      </w:r>
      <w:r w:rsidRPr="00981405">
        <w:t>,</w:t>
      </w:r>
      <w:r w:rsidR="00190923" w:rsidRPr="00981405">
        <w:t xml:space="preserve"> </w:t>
      </w:r>
      <w:r w:rsidRPr="00981405">
        <w:t>and</w:t>
      </w:r>
      <w:r w:rsidR="00190923" w:rsidRPr="00981405">
        <w:t xml:space="preserve"> </w:t>
      </w:r>
      <w:r w:rsidRPr="00981405">
        <w:t>in</w:t>
      </w:r>
      <w:r w:rsidR="00190923" w:rsidRPr="00981405">
        <w:t xml:space="preserve"> </w:t>
      </w:r>
      <w:r w:rsidRPr="00D97463">
        <w:rPr>
          <w:i/>
          <w:iCs/>
        </w:rPr>
        <w:t>Suez</w:t>
      </w:r>
      <w:r w:rsidRPr="00981405">
        <w:t>,</w:t>
      </w:r>
      <w:r w:rsidR="00190923" w:rsidRPr="00981405">
        <w:t xml:space="preserve"> </w:t>
      </w:r>
      <w:r w:rsidRPr="00981405">
        <w:t>where</w:t>
      </w:r>
      <w:r w:rsidR="00190923" w:rsidRPr="00981405">
        <w:t xml:space="preserve"> </w:t>
      </w:r>
      <w:r w:rsidRPr="00981405">
        <w:t>the</w:t>
      </w:r>
      <w:r w:rsidR="00190923" w:rsidRPr="00981405">
        <w:t xml:space="preserve"> </w:t>
      </w:r>
      <w:r w:rsidRPr="00981405">
        <w:t>tribunal</w:t>
      </w:r>
      <w:r w:rsidR="00190923" w:rsidRPr="00981405">
        <w:t xml:space="preserve"> </w:t>
      </w:r>
      <w:r w:rsidRPr="00981405">
        <w:t>said</w:t>
      </w:r>
      <w:r w:rsidR="00190923" w:rsidRPr="00981405">
        <w:t xml:space="preserve"> </w:t>
      </w:r>
      <w:r w:rsidR="00B92E2C" w:rsidRPr="00981405">
        <w:t>“</w:t>
      </w:r>
      <w:r w:rsidRPr="00981405">
        <w:t>dispute</w:t>
      </w:r>
      <w:r w:rsidR="00190923" w:rsidRPr="00981405">
        <w:t xml:space="preserve"> </w:t>
      </w:r>
      <w:r w:rsidRPr="00981405">
        <w:t>resolution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subject</w:t>
      </w:r>
      <w:r w:rsidR="00190923" w:rsidRPr="00981405">
        <w:t xml:space="preserve"> </w:t>
      </w:r>
      <w:r w:rsidRPr="00981405">
        <w:t>to</w:t>
      </w:r>
      <w:r w:rsidR="00190923" w:rsidRPr="00981405">
        <w:t xml:space="preserve"> </w:t>
      </w:r>
      <w:r w:rsidRPr="00981405">
        <w:t>interpretation</w:t>
      </w:r>
      <w:r w:rsidR="00190923" w:rsidRPr="00981405">
        <w:t xml:space="preserve"> </w:t>
      </w:r>
      <w:r w:rsidRPr="00981405">
        <w:t>like</w:t>
      </w:r>
      <w:r w:rsidR="00190923" w:rsidRPr="00981405">
        <w:t xml:space="preserve"> </w:t>
      </w:r>
      <w:r w:rsidRPr="00981405">
        <w:t>any</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neither</w:t>
      </w:r>
      <w:r w:rsidR="00190923" w:rsidRPr="00981405">
        <w:t xml:space="preserve"> </w:t>
      </w:r>
      <w:r w:rsidRPr="00981405">
        <w:t>more</w:t>
      </w:r>
      <w:r w:rsidR="00190923" w:rsidRPr="00981405">
        <w:t xml:space="preserve"> </w:t>
      </w:r>
      <w:r w:rsidRPr="00981405">
        <w:t>restrictive</w:t>
      </w:r>
      <w:r w:rsidR="00190923" w:rsidRPr="00981405">
        <w:t xml:space="preserve"> </w:t>
      </w:r>
      <w:r w:rsidRPr="00981405">
        <w:t>nor</w:t>
      </w:r>
      <w:r w:rsidR="00190923" w:rsidRPr="00981405">
        <w:t xml:space="preserve"> </w:t>
      </w:r>
      <w:r w:rsidRPr="00981405">
        <w:t>more</w:t>
      </w:r>
      <w:r w:rsidR="00190923" w:rsidRPr="00981405">
        <w:t xml:space="preserve"> </w:t>
      </w:r>
      <w:r w:rsidRPr="00981405">
        <w:t>liberal.</w:t>
      </w:r>
      <w:r w:rsidR="00B92E2C" w:rsidRPr="00981405">
        <w:t>”</w:t>
      </w:r>
      <w:r w:rsidRPr="00981405">
        <w:rPr>
          <w:rStyle w:val="FootnoteReference"/>
        </w:rPr>
        <w:footnoteReference w:id="517"/>
      </w:r>
      <w:r w:rsidR="00190923" w:rsidRPr="00981405">
        <w:t xml:space="preserve"> </w:t>
      </w:r>
      <w:r w:rsidRPr="00981405">
        <w:t>Jurisdictional</w:t>
      </w:r>
      <w:r w:rsidR="00190923" w:rsidRPr="00981405">
        <w:t xml:space="preserve"> </w:t>
      </w:r>
      <w:r w:rsidRPr="00981405">
        <w:t>clauses,</w:t>
      </w:r>
      <w:r w:rsidR="00190923" w:rsidRPr="00981405">
        <w:t xml:space="preserve"> </w:t>
      </w:r>
      <w:r w:rsidRPr="00981405">
        <w:t>the</w:t>
      </w:r>
      <w:r w:rsidR="00190923" w:rsidRPr="00981405">
        <w:t xml:space="preserve"> </w:t>
      </w:r>
      <w:r w:rsidRPr="00981405">
        <w:t>tribunal</w:t>
      </w:r>
      <w:r w:rsidR="00190923" w:rsidRPr="00981405">
        <w:t xml:space="preserve"> </w:t>
      </w:r>
      <w:r w:rsidRPr="00981405">
        <w:t>said,</w:t>
      </w:r>
      <w:r w:rsidR="00190923" w:rsidRPr="00981405">
        <w:t xml:space="preserve"> </w:t>
      </w:r>
      <w:r w:rsidRPr="00981405">
        <w:t>must</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as</w:t>
      </w:r>
      <w:r w:rsidR="00190923" w:rsidRPr="00981405">
        <w:t xml:space="preserve"> </w:t>
      </w:r>
      <w:r w:rsidRPr="00981405">
        <w:t>any</w:t>
      </w:r>
      <w:r w:rsidR="00190923" w:rsidRPr="00981405">
        <w:t xml:space="preserve"> </w:t>
      </w:r>
      <w:r w:rsidRPr="00981405">
        <w:t>other</w:t>
      </w:r>
      <w:r w:rsidR="00190923" w:rsidRPr="00981405">
        <w:t xml:space="preserve"> </w:t>
      </w:r>
      <w:r w:rsidRPr="00981405">
        <w:t>provision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articles</w:t>
      </w:r>
      <w:r w:rsidR="00190923" w:rsidRPr="00981405">
        <w:t xml:space="preserve"> </w:t>
      </w:r>
      <w:r w:rsidRPr="00981405">
        <w:t>31</w:t>
      </w:r>
      <w:r w:rsidR="00190923" w:rsidRPr="00981405">
        <w:t xml:space="preserve"> </w:t>
      </w:r>
      <w:r w:rsidRPr="00981405">
        <w:t>and</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Pr="00981405">
        <w:rPr>
          <w:rStyle w:val="FootnoteReference"/>
        </w:rPr>
        <w:footnoteReference w:id="518"/>
      </w:r>
      <w:r w:rsidR="00190923" w:rsidRPr="00981405">
        <w:t xml:space="preserve"> </w:t>
      </w:r>
    </w:p>
    <w:p w:rsidR="00397032" w:rsidRPr="00981405" w:rsidRDefault="00397032" w:rsidP="00D97463">
      <w:pPr>
        <w:pStyle w:val="SingleTxt"/>
      </w:pPr>
      <w:r w:rsidRPr="00981405">
        <w:t>103.</w:t>
      </w:r>
      <w:r w:rsidRPr="00981405">
        <w:tab/>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because</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matters</w:t>
      </w:r>
      <w:r w:rsidR="00190923" w:rsidRPr="00981405">
        <w:t xml:space="preserve"> </w:t>
      </w:r>
      <w:r w:rsidRPr="00981405">
        <w:t>is</w:t>
      </w:r>
      <w:r w:rsidR="00190923" w:rsidRPr="00981405">
        <w:t xml:space="preserve"> </w:t>
      </w:r>
      <w:r w:rsidRPr="00981405">
        <w:t>a</w:t>
      </w:r>
      <w:r w:rsidR="00190923" w:rsidRPr="00981405">
        <w:t xml:space="preserve"> </w:t>
      </w:r>
      <w:r w:rsidRPr="00981405">
        <w:t>question</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there</w:t>
      </w:r>
      <w:r w:rsidR="00190923" w:rsidRPr="00981405">
        <w:t xml:space="preserve"> </w:t>
      </w:r>
      <w:r w:rsidRPr="00981405">
        <w:t>is</w:t>
      </w:r>
      <w:r w:rsidR="00190923" w:rsidRPr="00981405">
        <w:t xml:space="preserve"> </w:t>
      </w:r>
      <w:r w:rsidRPr="00981405">
        <w:t>a</w:t>
      </w:r>
      <w:r w:rsidR="00190923" w:rsidRPr="00981405">
        <w:t xml:space="preserve"> </w:t>
      </w:r>
      <w:r w:rsidRPr="00981405">
        <w:t>higher</w:t>
      </w:r>
      <w:r w:rsidR="00190923" w:rsidRPr="00981405">
        <w:t xml:space="preserve"> </w:t>
      </w:r>
      <w:r w:rsidRPr="00981405">
        <w:t>burden</w:t>
      </w:r>
      <w:r w:rsidR="00190923" w:rsidRPr="00981405">
        <w:t xml:space="preserve"> </w:t>
      </w:r>
      <w:r w:rsidRPr="00981405">
        <w:t>on</w:t>
      </w:r>
      <w:r w:rsidR="00190923" w:rsidRPr="00981405">
        <w:t xml:space="preserve"> </w:t>
      </w:r>
      <w:r w:rsidRPr="00981405">
        <w:t>a</w:t>
      </w:r>
      <w:r w:rsidR="00190923" w:rsidRPr="00981405">
        <w:t xml:space="preserve"> </w:t>
      </w:r>
      <w:r w:rsidRPr="00981405">
        <w:t>party</w:t>
      </w:r>
      <w:r w:rsidR="00190923" w:rsidRPr="00981405">
        <w:t xml:space="preserve"> </w:t>
      </w:r>
      <w:r w:rsidRPr="00981405">
        <w:t>seeking</w:t>
      </w:r>
      <w:r w:rsidR="00190923" w:rsidRPr="00981405">
        <w:t xml:space="preserve"> </w:t>
      </w:r>
      <w:r w:rsidRPr="00981405">
        <w:t>to</w:t>
      </w:r>
      <w:r w:rsidR="00190923" w:rsidRPr="00981405">
        <w:t xml:space="preserve"> </w:t>
      </w:r>
      <w:r w:rsidRPr="00981405">
        <w:t>invoke</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has</w:t>
      </w:r>
      <w:r w:rsidR="00190923" w:rsidRPr="00981405">
        <w:t xml:space="preserve"> </w:t>
      </w:r>
      <w:r w:rsidRPr="00981405">
        <w:t>found</w:t>
      </w:r>
      <w:r w:rsidR="00190923" w:rsidRPr="00981405">
        <w:t xml:space="preserve"> </w:t>
      </w:r>
      <w:r w:rsidRPr="00981405">
        <w:t>little</w:t>
      </w:r>
      <w:r w:rsidR="00190923" w:rsidRPr="00981405">
        <w:t xml:space="preserve"> </w:t>
      </w:r>
      <w:r w:rsidRPr="00981405">
        <w:t>support</w:t>
      </w:r>
      <w:r w:rsidR="00190923" w:rsidRPr="00981405">
        <w:t xml:space="preserve"> </w:t>
      </w:r>
      <w:r w:rsidRPr="00981405">
        <w:t>in</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more</w:t>
      </w:r>
      <w:r w:rsidR="00190923" w:rsidRPr="00981405">
        <w:t xml:space="preserve"> </w:t>
      </w:r>
      <w:r w:rsidRPr="00981405">
        <w:t>recent</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lastRenderedPageBreak/>
        <w:t>although</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endorsed</w:t>
      </w:r>
      <w:r w:rsidR="00190923" w:rsidRPr="00981405">
        <w:t xml:space="preserve"> </w:t>
      </w:r>
      <w:r w:rsidRPr="00981405">
        <w:t>by</w:t>
      </w:r>
      <w:r w:rsidR="00190923" w:rsidRPr="00981405">
        <w:t xml:space="preserve"> </w:t>
      </w:r>
      <w:r w:rsidRPr="00981405">
        <w:t>at</w:t>
      </w:r>
      <w:r w:rsidR="00190923" w:rsidRPr="00981405">
        <w:t xml:space="preserve"> </w:t>
      </w:r>
      <w:r w:rsidRPr="00981405">
        <w:t>least</w:t>
      </w:r>
      <w:r w:rsidR="00190923" w:rsidRPr="00981405">
        <w:t xml:space="preserve"> </w:t>
      </w:r>
      <w:r w:rsidRPr="00981405">
        <w:t>some</w:t>
      </w:r>
      <w:r w:rsidR="00190923" w:rsidRPr="00981405">
        <w:t xml:space="preserve"> </w:t>
      </w:r>
      <w:r w:rsidRPr="00981405">
        <w:t>commentators.</w:t>
      </w:r>
      <w:r w:rsidRPr="00981405">
        <w:rPr>
          <w:rStyle w:val="FootnoteReference"/>
        </w:rPr>
        <w:footnoteReference w:id="519"/>
      </w:r>
      <w:r w:rsidR="00190923" w:rsidRPr="00981405">
        <w:t xml:space="preserve"> </w:t>
      </w:r>
      <w:r w:rsidRPr="00981405">
        <w:t>Those</w:t>
      </w:r>
      <w:r w:rsidR="00190923" w:rsidRPr="00981405">
        <w:t xml:space="preserve"> </w:t>
      </w:r>
      <w:r w:rsidRPr="00981405">
        <w:t>opposing</w:t>
      </w:r>
      <w:r w:rsidR="00190923" w:rsidRPr="00981405">
        <w:t xml:space="preserve"> </w:t>
      </w:r>
      <w:r w:rsidRPr="00981405">
        <w:t>the</w:t>
      </w:r>
      <w:r w:rsidR="00190923" w:rsidRPr="00981405">
        <w:t xml:space="preserve"> </w:t>
      </w:r>
      <w:r w:rsidRPr="00981405">
        <w:t>approach</w:t>
      </w:r>
      <w:r w:rsidR="00190923" w:rsidRPr="00981405">
        <w:t xml:space="preserve"> </w:t>
      </w:r>
      <w:r w:rsidRPr="00981405">
        <w:t>have</w:t>
      </w:r>
      <w:r w:rsidR="00190923" w:rsidRPr="00981405">
        <w:t xml:space="preserve"> </w:t>
      </w:r>
      <w:r w:rsidRPr="00981405">
        <w:t>also</w:t>
      </w:r>
      <w:r w:rsidR="00190923" w:rsidRPr="00981405">
        <w:t xml:space="preserve"> </w:t>
      </w:r>
      <w:r w:rsidRPr="00981405">
        <w:t>claimed</w:t>
      </w:r>
      <w:r w:rsidR="00190923" w:rsidRPr="00981405">
        <w:t xml:space="preserve"> </w:t>
      </w:r>
      <w:r w:rsidRPr="00981405">
        <w:t>that</w:t>
      </w:r>
      <w:r w:rsidR="00190923" w:rsidRPr="00981405">
        <w:t xml:space="preserve"> </w:t>
      </w:r>
      <w:r w:rsidRPr="00981405">
        <w:t>it</w:t>
      </w:r>
      <w:r w:rsidR="00190923" w:rsidRPr="00981405">
        <w:t xml:space="preserve"> </w:t>
      </w:r>
      <w:r w:rsidRPr="00981405">
        <w:t>is</w:t>
      </w:r>
      <w:r w:rsidR="00190923" w:rsidRPr="00981405">
        <w:t xml:space="preserve"> </w:t>
      </w:r>
      <w:r w:rsidRPr="00981405">
        <w:t>inconsistent</w:t>
      </w:r>
      <w:r w:rsidR="00190923" w:rsidRPr="00981405">
        <w:t xml:space="preserve"> </w:t>
      </w:r>
      <w:r w:rsidRPr="00981405">
        <w:t>with</w:t>
      </w:r>
      <w:r w:rsidR="00190923" w:rsidRPr="00981405">
        <w:t xml:space="preserve"> </w:t>
      </w:r>
      <w:r w:rsidRPr="00981405">
        <w:t>general</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jurisdictional</w:t>
      </w:r>
      <w:r w:rsidR="00190923" w:rsidRPr="00981405">
        <w:t xml:space="preserve"> </w:t>
      </w:r>
      <w:r w:rsidRPr="00981405">
        <w:t>provisions.</w:t>
      </w:r>
      <w:r w:rsidR="00190923" w:rsidRPr="00981405">
        <w:t xml:space="preserve"> </w:t>
      </w:r>
      <w:r w:rsidRPr="00981405">
        <w:t>However,</w:t>
      </w:r>
      <w:r w:rsidR="00190923" w:rsidRPr="00981405">
        <w:t xml:space="preserve"> </w:t>
      </w:r>
      <w:r w:rsidRPr="00981405">
        <w:t>the</w:t>
      </w:r>
      <w:r w:rsidR="00190923" w:rsidRPr="00981405">
        <w:t xml:space="preserve"> </w:t>
      </w:r>
      <w:r w:rsidRPr="00D97463">
        <w:rPr>
          <w:i/>
          <w:iCs/>
        </w:rPr>
        <w:t>ICS</w:t>
      </w:r>
      <w:r w:rsidR="00190923" w:rsidRPr="00981405">
        <w:t xml:space="preserve"> </w:t>
      </w:r>
      <w:r w:rsidRPr="00981405">
        <w:t>tribunal</w:t>
      </w:r>
      <w:r w:rsidR="00190923" w:rsidRPr="00981405">
        <w:t xml:space="preserve"> </w:t>
      </w:r>
      <w:r w:rsidRPr="00981405">
        <w:t>has</w:t>
      </w:r>
      <w:r w:rsidR="00190923" w:rsidRPr="00981405">
        <w:t xml:space="preserve"> </w:t>
      </w:r>
      <w:r w:rsidRPr="00981405">
        <w:t>suggested</w:t>
      </w:r>
      <w:r w:rsidR="00190923" w:rsidRPr="00981405">
        <w:t xml:space="preserve"> </w:t>
      </w:r>
      <w:r w:rsidRPr="00981405">
        <w:t>that</w:t>
      </w:r>
      <w:r w:rsidR="00190923" w:rsidRPr="00981405">
        <w:t xml:space="preserve"> </w:t>
      </w:r>
      <w:r w:rsidRPr="00981405">
        <w:t>the</w:t>
      </w:r>
      <w:r w:rsidR="00190923" w:rsidRPr="00981405">
        <w:t xml:space="preserve"> </w:t>
      </w:r>
      <w:r w:rsidRPr="00D97463">
        <w:rPr>
          <w:i/>
          <w:iCs/>
        </w:rPr>
        <w:t>Plama</w:t>
      </w:r>
      <w:r w:rsidR="00190923" w:rsidRPr="00981405">
        <w:t xml:space="preserve"> </w:t>
      </w:r>
      <w:r w:rsidRPr="00981405">
        <w:t>tribunal</w:t>
      </w:r>
      <w:r w:rsidR="00190923" w:rsidRPr="00981405">
        <w:t xml:space="preserve"> </w:t>
      </w:r>
      <w:r w:rsidRPr="00981405">
        <w:t>was</w:t>
      </w:r>
      <w:r w:rsidR="00190923" w:rsidRPr="00981405">
        <w:t xml:space="preserve"> </w:t>
      </w:r>
      <w:r w:rsidRPr="00981405">
        <w:t>not</w:t>
      </w:r>
      <w:r w:rsidR="00190923" w:rsidRPr="00981405">
        <w:t xml:space="preserve"> </w:t>
      </w:r>
      <w:r w:rsidRPr="00981405">
        <w:t>establishing</w:t>
      </w:r>
      <w:r w:rsidR="00190923" w:rsidRPr="00981405">
        <w:t xml:space="preserve"> </w:t>
      </w:r>
      <w:r w:rsidRPr="00981405">
        <w:t>a</w:t>
      </w:r>
      <w:r w:rsidR="00190923" w:rsidRPr="00981405">
        <w:t xml:space="preserve"> </w:t>
      </w:r>
      <w:r w:rsidRPr="00981405">
        <w:t>jurisdictional</w:t>
      </w:r>
      <w:r w:rsidR="00190923" w:rsidRPr="00981405">
        <w:t xml:space="preserve"> </w:t>
      </w:r>
      <w:r w:rsidRPr="00981405">
        <w:t>rule;</w:t>
      </w:r>
      <w:r w:rsidR="00190923" w:rsidRPr="00981405">
        <w:t xml:space="preserve"> </w:t>
      </w:r>
      <w:r w:rsidRPr="00981405">
        <w:t>it</w:t>
      </w:r>
      <w:r w:rsidR="00190923" w:rsidRPr="00981405">
        <w:t xml:space="preserve"> </w:t>
      </w:r>
      <w:r w:rsidRPr="00981405">
        <w:t>was</w:t>
      </w:r>
      <w:r w:rsidR="00190923" w:rsidRPr="00981405">
        <w:t xml:space="preserve"> </w:t>
      </w:r>
      <w:r w:rsidRPr="00981405">
        <w:t>simply</w:t>
      </w:r>
      <w:r w:rsidR="00190923" w:rsidRPr="00981405">
        <w:t xml:space="preserve"> </w:t>
      </w:r>
      <w:r w:rsidRPr="00981405">
        <w:t>pointing</w:t>
      </w:r>
      <w:r w:rsidR="00190923" w:rsidRPr="00981405">
        <w:t xml:space="preserve"> </w:t>
      </w:r>
      <w:r w:rsidRPr="00981405">
        <w:t>out</w:t>
      </w:r>
      <w:r w:rsidR="00190923" w:rsidRPr="00981405">
        <w:t xml:space="preserve"> </w:t>
      </w:r>
      <w:r w:rsidRPr="00981405">
        <w:t>that</w:t>
      </w:r>
      <w:r w:rsidR="00190923" w:rsidRPr="00981405">
        <w:t xml:space="preserve"> </w:t>
      </w:r>
      <w:r w:rsidRPr="00981405">
        <w:t>consent</w:t>
      </w:r>
      <w:r w:rsidR="00190923" w:rsidRPr="00981405">
        <w:t xml:space="preserve"> </w:t>
      </w:r>
      <w:r w:rsidRPr="00981405">
        <w:t>to</w:t>
      </w:r>
      <w:r w:rsidR="00190923" w:rsidRPr="00981405">
        <w:t xml:space="preserve"> </w:t>
      </w:r>
      <w:r w:rsidRPr="00981405">
        <w:t>jurisdiction</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assumed.</w:t>
      </w:r>
      <w:r w:rsidRPr="00981405">
        <w:rPr>
          <w:rStyle w:val="FootnoteReference"/>
        </w:rPr>
        <w:footnoteReference w:id="520"/>
      </w:r>
    </w:p>
    <w:p w:rsidR="001C3185" w:rsidRPr="00D97463" w:rsidRDefault="001C3185" w:rsidP="00D97463">
      <w:pPr>
        <w:pStyle w:val="SingleTxt"/>
        <w:spacing w:after="0" w:line="120" w:lineRule="exact"/>
        <w:rPr>
          <w:sz w:val="10"/>
        </w:rPr>
      </w:pPr>
    </w:p>
    <w:p w:rsidR="00397032" w:rsidRPr="00D97463" w:rsidRDefault="00397032" w:rsidP="00D97463">
      <w:pPr>
        <w:pStyle w:val="H23"/>
        <w:ind w:right="1260"/>
      </w:pPr>
      <w:bookmarkStart w:id="255" w:name="_Toc293434168"/>
      <w:bookmarkStart w:id="256" w:name="_Toc294353682"/>
      <w:r w:rsidRPr="00D97463">
        <w:tab/>
      </w:r>
      <w:bookmarkStart w:id="257" w:name="_Toc427938183"/>
      <w:r w:rsidRPr="00D97463">
        <w:t>2.</w:t>
      </w:r>
      <w:r w:rsidRPr="00D97463">
        <w:tab/>
        <w:t>Dispute</w:t>
      </w:r>
      <w:r w:rsidR="00190923" w:rsidRPr="00D97463">
        <w:t xml:space="preserve"> </w:t>
      </w:r>
      <w:r w:rsidRPr="00D97463">
        <w:t>settlement</w:t>
      </w:r>
      <w:r w:rsidR="00190923" w:rsidRPr="00D97463">
        <w:t xml:space="preserve"> </w:t>
      </w:r>
      <w:r w:rsidRPr="00D97463">
        <w:t>and</w:t>
      </w:r>
      <w:r w:rsidR="00190923" w:rsidRPr="00D97463">
        <w:t xml:space="preserve"> </w:t>
      </w:r>
      <w:r w:rsidRPr="00D97463">
        <w:t>jurisdiction</w:t>
      </w:r>
      <w:bookmarkEnd w:id="255"/>
      <w:bookmarkEnd w:id="256"/>
      <w:bookmarkEnd w:id="257"/>
      <w:r w:rsidR="00190923" w:rsidRPr="00D97463">
        <w:t xml:space="preserve"> </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104.</w:t>
      </w:r>
      <w:r w:rsidRPr="00981405">
        <w:tab/>
        <w:t>Tribunals</w:t>
      </w:r>
      <w:r w:rsidR="00190923" w:rsidRPr="00981405">
        <w:t xml:space="preserve"> </w:t>
      </w:r>
      <w:r w:rsidRPr="00981405">
        <w:t>more</w:t>
      </w:r>
      <w:r w:rsidR="00190923" w:rsidRPr="00981405">
        <w:t xml:space="preserve"> </w:t>
      </w:r>
      <w:r w:rsidRPr="00981405">
        <w:t>recently</w:t>
      </w:r>
      <w:r w:rsidR="00190923" w:rsidRPr="00981405">
        <w:t xml:space="preserve"> </w:t>
      </w:r>
      <w:r w:rsidRPr="00981405">
        <w:t>have</w:t>
      </w:r>
      <w:r w:rsidR="00190923" w:rsidRPr="00981405">
        <w:t xml:space="preserve"> </w:t>
      </w:r>
      <w:r w:rsidRPr="00981405">
        <w:t>given</w:t>
      </w:r>
      <w:r w:rsidR="00190923" w:rsidRPr="00981405">
        <w:t xml:space="preserve"> </w:t>
      </w:r>
      <w:r w:rsidRPr="00981405">
        <w:t>renewed</w:t>
      </w:r>
      <w:r w:rsidR="00190923" w:rsidRPr="00981405">
        <w:t xml:space="preserve"> </w:t>
      </w:r>
      <w:r w:rsidRPr="00981405">
        <w:t>attention</w:t>
      </w:r>
      <w:r w:rsidR="00190923" w:rsidRPr="00981405">
        <w:t xml:space="preserve"> </w:t>
      </w:r>
      <w:r w:rsidRPr="00981405">
        <w:t>to</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affects</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tribunal.</w:t>
      </w:r>
      <w:r w:rsidR="00190923" w:rsidRPr="00981405">
        <w:t xml:space="preserve"> </w:t>
      </w:r>
      <w:r w:rsidRPr="00981405">
        <w:t>Substantive</w:t>
      </w:r>
      <w:r w:rsidR="00190923" w:rsidRPr="00981405">
        <w:t xml:space="preserve"> </w:t>
      </w:r>
      <w:r w:rsidRPr="00981405">
        <w:t>rights</w:t>
      </w:r>
      <w:r w:rsidR="00190923" w:rsidRPr="00981405">
        <w:t xml:space="preserve"> </w:t>
      </w:r>
      <w:r w:rsidRPr="00981405">
        <w:t>and</w:t>
      </w:r>
      <w:r w:rsidR="00190923" w:rsidRPr="00981405">
        <w:t xml:space="preserve"> </w:t>
      </w:r>
      <w:r w:rsidRPr="00981405">
        <w:t>procedural</w:t>
      </w:r>
      <w:r w:rsidR="00190923" w:rsidRPr="00981405">
        <w:t xml:space="preserve"> </w:t>
      </w:r>
      <w:r w:rsidRPr="00981405">
        <w:t>rights</w:t>
      </w:r>
      <w:r w:rsidR="00190923" w:rsidRPr="00981405">
        <w:t xml:space="preserve"> </w:t>
      </w:r>
      <w:r w:rsidRPr="00981405">
        <w:t>are</w:t>
      </w:r>
      <w:r w:rsidR="00190923" w:rsidRPr="00981405">
        <w:t xml:space="preserve"> </w:t>
      </w:r>
      <w:r w:rsidRPr="00981405">
        <w:t>different</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it</w:t>
      </w:r>
      <w:r w:rsidR="00190923" w:rsidRPr="00981405">
        <w:t xml:space="preserve"> </w:t>
      </w:r>
      <w:r w:rsidRPr="00981405">
        <w:t>is</w:t>
      </w:r>
      <w:r w:rsidR="00190923" w:rsidRPr="00981405">
        <w:t xml:space="preserve"> </w:t>
      </w:r>
      <w:r w:rsidRPr="00981405">
        <w:t>argued,</w:t>
      </w:r>
      <w:r w:rsidR="00190923" w:rsidRPr="00981405">
        <w:t xml:space="preserve"> </w:t>
      </w:r>
      <w:r w:rsidRPr="00981405">
        <w:t>because</w:t>
      </w:r>
      <w:r w:rsidR="00190923" w:rsidRPr="00981405">
        <w:t xml:space="preserve"> </w:t>
      </w:r>
      <w:r w:rsidRPr="00981405">
        <w:t>unlike</w:t>
      </w:r>
      <w:r w:rsidR="00190923" w:rsidRPr="00981405">
        <w:t xml:space="preserve"> </w:t>
      </w:r>
      <w:r w:rsidRPr="00981405">
        <w:t>domestic</w:t>
      </w:r>
      <w:r w:rsidR="00190923" w:rsidRPr="00981405">
        <w:t xml:space="preserve"> </w:t>
      </w:r>
      <w:r w:rsidRPr="00981405">
        <w:t>law</w:t>
      </w:r>
      <w:r w:rsidR="00190923" w:rsidRPr="00981405">
        <w:t xml:space="preserve"> </w:t>
      </w:r>
      <w:r w:rsidRPr="00981405">
        <w:t>a</w:t>
      </w:r>
      <w:r w:rsidR="00190923" w:rsidRPr="00981405">
        <w:t xml:space="preserve"> </w:t>
      </w:r>
      <w:r w:rsidRPr="00981405">
        <w:t>substantive</w:t>
      </w:r>
      <w:r w:rsidR="00190923" w:rsidRPr="00981405">
        <w:t xml:space="preserve"> </w:t>
      </w:r>
      <w:r w:rsidRPr="00981405">
        <w:t>right</w:t>
      </w:r>
      <w:r w:rsidR="00190923" w:rsidRPr="00981405">
        <w:t xml:space="preserve"> </w:t>
      </w:r>
      <w:r w:rsidRPr="00981405">
        <w:t>does</w:t>
      </w:r>
      <w:r w:rsidR="00190923" w:rsidRPr="00981405">
        <w:t xml:space="preserve"> </w:t>
      </w:r>
      <w:r w:rsidRPr="00981405">
        <w:t>not</w:t>
      </w:r>
      <w:r w:rsidR="00190923" w:rsidRPr="00981405">
        <w:t xml:space="preserve"> </w:t>
      </w:r>
      <w:r w:rsidRPr="00981405">
        <w:t>automatically</w:t>
      </w:r>
      <w:r w:rsidR="00190923" w:rsidRPr="00981405">
        <w:t xml:space="preserve"> </w:t>
      </w:r>
      <w:r w:rsidRPr="00981405">
        <w:t>carry</w:t>
      </w:r>
      <w:r w:rsidR="00190923" w:rsidRPr="00981405">
        <w:t xml:space="preserve"> </w:t>
      </w:r>
      <w:r w:rsidRPr="00981405">
        <w:t>with</w:t>
      </w:r>
      <w:r w:rsidR="00190923" w:rsidRPr="00981405">
        <w:t xml:space="preserve"> </w:t>
      </w:r>
      <w:r w:rsidRPr="00981405">
        <w:t>it</w:t>
      </w:r>
      <w:r w:rsidR="00190923" w:rsidRPr="00981405">
        <w:t xml:space="preserve"> </w:t>
      </w:r>
      <w:r w:rsidRPr="00981405">
        <w:t>a</w:t>
      </w:r>
      <w:r w:rsidR="00190923" w:rsidRPr="00981405">
        <w:t xml:space="preserve"> </w:t>
      </w:r>
      <w:r w:rsidRPr="00981405">
        <w:t>procedural</w:t>
      </w:r>
      <w:r w:rsidR="00190923" w:rsidRPr="00981405">
        <w:t xml:space="preserve"> </w:t>
      </w:r>
      <w:r w:rsidRPr="00981405">
        <w:t>right</w:t>
      </w:r>
      <w:r w:rsidR="00190923" w:rsidRPr="00981405">
        <w:t xml:space="preserve"> </w:t>
      </w:r>
      <w:r w:rsidRPr="00981405">
        <w:t>to</w:t>
      </w:r>
      <w:r w:rsidR="00190923" w:rsidRPr="00981405">
        <w:t xml:space="preserve"> </w:t>
      </w:r>
      <w:r w:rsidRPr="00981405">
        <w:t>compel</w:t>
      </w:r>
      <w:r w:rsidR="00190923" w:rsidRPr="00981405">
        <w:t xml:space="preserve"> </w:t>
      </w:r>
      <w:r w:rsidRPr="00981405">
        <w:t>enforcement.</w:t>
      </w:r>
      <w:r w:rsidRPr="00981405">
        <w:rPr>
          <w:rStyle w:val="FootnoteReference"/>
        </w:rPr>
        <w:footnoteReference w:id="521"/>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a</w:t>
      </w:r>
      <w:r w:rsidR="00190923" w:rsidRPr="00981405">
        <w:t xml:space="preserve"> </w:t>
      </w:r>
      <w:r w:rsidRPr="00981405">
        <w:t>State</w:t>
      </w:r>
      <w:r w:rsidR="00190923" w:rsidRPr="00981405">
        <w:t xml:space="preserve"> </w:t>
      </w:r>
      <w:r w:rsidRPr="00981405">
        <w:t>is</w:t>
      </w:r>
      <w:r w:rsidR="00190923" w:rsidRPr="00981405">
        <w:t xml:space="preserve"> </w:t>
      </w:r>
      <w:r w:rsidRPr="00981405">
        <w:t>bound</w:t>
      </w:r>
      <w:r w:rsidR="00190923" w:rsidRPr="00981405">
        <w:t xml:space="preserve"> </w:t>
      </w:r>
      <w:r w:rsidRPr="00981405">
        <w:t>by</w:t>
      </w:r>
      <w:r w:rsidR="00190923" w:rsidRPr="00981405">
        <w:t xml:space="preserve"> </w:t>
      </w:r>
      <w:r w:rsidRPr="00981405">
        <w:t>a</w:t>
      </w:r>
      <w:r w:rsidR="00190923" w:rsidRPr="00981405">
        <w:t xml:space="preserve"> </w:t>
      </w:r>
      <w:r w:rsidRPr="00981405">
        <w:t>substantive</w:t>
      </w:r>
      <w:r w:rsidR="00190923" w:rsidRPr="00981405">
        <w:t xml:space="preserve"> </w:t>
      </w:r>
      <w:r w:rsidRPr="00981405">
        <w:t>obligation</w:t>
      </w:r>
      <w:r w:rsidR="00190923" w:rsidRPr="00981405">
        <w:t xml:space="preserve"> </w:t>
      </w:r>
      <w:r w:rsidRPr="00981405">
        <w:t>does</w:t>
      </w:r>
      <w:r w:rsidR="00190923" w:rsidRPr="00981405">
        <w:t xml:space="preserve"> </w:t>
      </w:r>
      <w:r w:rsidRPr="00981405">
        <w:t>not</w:t>
      </w:r>
      <w:r w:rsidR="00190923" w:rsidRPr="00981405">
        <w:t xml:space="preserve"> </w:t>
      </w:r>
      <w:r w:rsidRPr="00981405">
        <w:t>mean</w:t>
      </w:r>
      <w:r w:rsidR="00190923" w:rsidRPr="00981405">
        <w:t xml:space="preserve"> </w:t>
      </w:r>
      <w:r w:rsidRPr="00981405">
        <w:t>that</w:t>
      </w:r>
      <w:r w:rsidR="00190923" w:rsidRPr="00981405">
        <w:t xml:space="preserve"> </w:t>
      </w:r>
      <w:r w:rsidRPr="00981405">
        <w:t>it</w:t>
      </w:r>
      <w:r w:rsidR="00190923" w:rsidRPr="00981405">
        <w:t xml:space="preserve"> </w:t>
      </w:r>
      <w:r w:rsidRPr="00981405">
        <w:t>can</w:t>
      </w:r>
      <w:r w:rsidR="00190923" w:rsidRPr="00981405">
        <w:t xml:space="preserve"> </w:t>
      </w:r>
      <w:r w:rsidRPr="00981405">
        <w:t>be</w:t>
      </w:r>
      <w:r w:rsidR="00190923" w:rsidRPr="00981405">
        <w:t xml:space="preserve"> </w:t>
      </w:r>
      <w:r w:rsidRPr="00981405">
        <w:t>compelled</w:t>
      </w:r>
      <w:r w:rsidR="00190923" w:rsidRPr="00981405">
        <w:t xml:space="preserve"> </w:t>
      </w:r>
      <w:r w:rsidRPr="00981405">
        <w:t>to</w:t>
      </w:r>
      <w:r w:rsidR="00190923" w:rsidRPr="00981405">
        <w:t xml:space="preserve"> </w:t>
      </w:r>
      <w:r w:rsidRPr="00981405">
        <w:t>have</w:t>
      </w:r>
      <w:r w:rsidR="00190923" w:rsidRPr="00981405">
        <w:t xml:space="preserve"> </w:t>
      </w:r>
      <w:r w:rsidRPr="00981405">
        <w:t>that</w:t>
      </w:r>
      <w:r w:rsidR="00190923" w:rsidRPr="00981405">
        <w:t xml:space="preserve"> </w:t>
      </w:r>
      <w:r w:rsidRPr="00981405">
        <w:t>obligation</w:t>
      </w:r>
      <w:r w:rsidR="00190923" w:rsidRPr="00981405">
        <w:t xml:space="preserve"> </w:t>
      </w:r>
      <w:r w:rsidRPr="00981405">
        <w:t>adjudicated.</w:t>
      </w:r>
      <w:r w:rsidR="00190923" w:rsidRPr="00981405">
        <w:t xml:space="preserve"> </w:t>
      </w:r>
      <w:r w:rsidRPr="00981405">
        <w:t>The</w:t>
      </w:r>
      <w:r w:rsidR="00190923" w:rsidRPr="00981405">
        <w:t xml:space="preserve"> </w:t>
      </w:r>
      <w:r w:rsidRPr="00981405">
        <w:t>right</w:t>
      </w:r>
      <w:r w:rsidR="00190923" w:rsidRPr="00981405">
        <w:t xml:space="preserve"> </w:t>
      </w:r>
      <w:r w:rsidRPr="00981405">
        <w:t>to</w:t>
      </w:r>
      <w:r w:rsidR="00190923" w:rsidRPr="00981405">
        <w:t xml:space="preserve"> </w:t>
      </w:r>
      <w:r w:rsidRPr="00981405">
        <w:t>compel</w:t>
      </w:r>
      <w:r w:rsidR="00190923" w:rsidRPr="00981405">
        <w:t xml:space="preserve"> </w:t>
      </w:r>
      <w:r w:rsidRPr="00981405">
        <w:t>adjudication</w:t>
      </w:r>
      <w:r w:rsidR="00190923" w:rsidRPr="00981405">
        <w:t xml:space="preserve"> </w:t>
      </w:r>
      <w:r w:rsidRPr="00981405">
        <w:t>requires</w:t>
      </w:r>
      <w:r w:rsidR="00190923" w:rsidRPr="00981405">
        <w:t xml:space="preserve"> </w:t>
      </w:r>
      <w:r w:rsidRPr="00981405">
        <w:t>an</w:t>
      </w:r>
      <w:r w:rsidR="00190923" w:rsidRPr="00981405">
        <w:t xml:space="preserve"> </w:t>
      </w:r>
      <w:r w:rsidRPr="00981405">
        <w:t>additional</w:t>
      </w:r>
      <w:r w:rsidR="00190923" w:rsidRPr="00981405">
        <w:t xml:space="preserve"> </w:t>
      </w:r>
      <w:r w:rsidRPr="00981405">
        <w:t>acceptance</w:t>
      </w:r>
      <w:r w:rsidR="00190923" w:rsidRPr="00981405">
        <w:t xml:space="preserve"> </w:t>
      </w:r>
      <w:r w:rsidRPr="00981405">
        <w:t>of</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adjudicating</w:t>
      </w:r>
      <w:r w:rsidR="00190923" w:rsidRPr="00981405">
        <w:t xml:space="preserve"> </w:t>
      </w:r>
      <w:r w:rsidRPr="00981405">
        <w:t>tribunal.</w:t>
      </w:r>
      <w:r w:rsidRPr="00981405">
        <w:rPr>
          <w:rStyle w:val="FootnoteReference"/>
        </w:rPr>
        <w:footnoteReference w:id="522"/>
      </w:r>
      <w:r w:rsidR="00190923" w:rsidRPr="00981405">
        <w:t xml:space="preserve"> </w:t>
      </w:r>
    </w:p>
    <w:p w:rsidR="00397032" w:rsidRPr="00981405" w:rsidRDefault="00397032" w:rsidP="00D97463">
      <w:pPr>
        <w:pStyle w:val="SingleTxt"/>
      </w:pPr>
      <w:r w:rsidRPr="00981405">
        <w:t>105.</w:t>
      </w:r>
      <w:r w:rsidRPr="00981405">
        <w:tab/>
        <w:t>Under</w:t>
      </w:r>
      <w:r w:rsidR="00190923" w:rsidRPr="00981405">
        <w:t xml:space="preserve"> </w:t>
      </w:r>
      <w:r w:rsidRPr="00981405">
        <w:t>this</w:t>
      </w:r>
      <w:r w:rsidR="00190923" w:rsidRPr="00981405">
        <w:t xml:space="preserve"> </w:t>
      </w:r>
      <w:r w:rsidRPr="00981405">
        <w:t>view,</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enforce</w:t>
      </w:r>
      <w:r w:rsidR="00190923" w:rsidRPr="00981405">
        <w:t xml:space="preserve"> </w:t>
      </w:r>
      <w:r w:rsidRPr="00981405">
        <w:t>substantive</w:t>
      </w:r>
      <w:r w:rsidR="00190923" w:rsidRPr="00981405">
        <w:t xml:space="preserve"> </w:t>
      </w:r>
      <w:r w:rsidRPr="00981405">
        <w:t>rights</w:t>
      </w:r>
      <w:r w:rsidR="00190923" w:rsidRPr="00981405">
        <w:t xml:space="preserve"> </w:t>
      </w:r>
      <w:r w:rsidRPr="00981405">
        <w:t>under</w:t>
      </w:r>
      <w:r w:rsidR="00190923" w:rsidRPr="00981405">
        <w:t xml:space="preserve"> </w:t>
      </w:r>
      <w:r w:rsidRPr="00981405">
        <w:t>the</w:t>
      </w:r>
      <w:r w:rsidR="00190923" w:rsidRPr="00981405">
        <w:t xml:space="preserve"> </w:t>
      </w:r>
      <w:r w:rsidRPr="00981405">
        <w:t>BIT,</w:t>
      </w:r>
      <w:r w:rsidR="00190923" w:rsidRPr="00981405">
        <w:t xml:space="preserve"> </w:t>
      </w:r>
      <w:r w:rsidRPr="00981405">
        <w:t>a</w:t>
      </w:r>
      <w:r w:rsidR="00190923" w:rsidRPr="00981405">
        <w:t xml:space="preserve"> </w:t>
      </w:r>
      <w:r w:rsidRPr="00981405">
        <w:t>claimant</w:t>
      </w:r>
      <w:r w:rsidR="00190923" w:rsidRPr="00981405">
        <w:t xml:space="preserve"> </w:t>
      </w:r>
      <w:r w:rsidRPr="00981405">
        <w:t>has</w:t>
      </w:r>
      <w:r w:rsidR="00190923" w:rsidRPr="00981405">
        <w:t xml:space="preserve"> </w:t>
      </w:r>
      <w:r w:rsidRPr="00981405">
        <w:t>to</w:t>
      </w:r>
      <w:r w:rsidR="00190923" w:rsidRPr="00981405">
        <w:t xml:space="preserve"> </w:t>
      </w:r>
      <w:r w:rsidRPr="00981405">
        <w:t>meet</w:t>
      </w:r>
      <w:r w:rsidR="00190923" w:rsidRPr="00981405">
        <w:t xml:space="preserve"> </w:t>
      </w:r>
      <w:r w:rsidRPr="00981405">
        <w:t>the</w:t>
      </w:r>
      <w:r w:rsidR="00190923" w:rsidRPr="00981405">
        <w:t xml:space="preserve"> </w:t>
      </w:r>
      <w:r w:rsidRPr="00981405">
        <w:t>requirements</w:t>
      </w:r>
      <w:r w:rsidR="00190923" w:rsidRPr="00981405">
        <w:t xml:space="preserve"> </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00B247C2" w:rsidRPr="00981405">
        <w:rPr>
          <w:i/>
          <w:iCs/>
        </w:rPr>
        <w:t>ratione</w:t>
      </w:r>
      <w:r w:rsidR="00190923" w:rsidRPr="00981405">
        <w:rPr>
          <w:i/>
          <w:iCs/>
        </w:rPr>
        <w:t xml:space="preserve"> </w:t>
      </w:r>
      <w:r w:rsidR="00B247C2" w:rsidRPr="00981405">
        <w:rPr>
          <w:i/>
          <w:iCs/>
        </w:rPr>
        <w:t>personae</w:t>
      </w:r>
      <w:r w:rsidR="00190923" w:rsidRPr="00981405">
        <w:rPr>
          <w:i/>
          <w:iCs/>
        </w:rPr>
        <w:t xml:space="preserve"> </w:t>
      </w:r>
      <w:r w:rsidRPr="00981405">
        <w:t>and</w:t>
      </w:r>
      <w:r w:rsidR="00190923" w:rsidRPr="00981405">
        <w:t xml:space="preserve"> </w:t>
      </w:r>
      <w:r w:rsidR="001C3185" w:rsidRPr="00981405">
        <w:rPr>
          <w:i/>
          <w:iCs/>
        </w:rPr>
        <w:t xml:space="preserve">ratione temporis </w:t>
      </w:r>
      <w:r w:rsidRPr="00981405">
        <w:t>for</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by</w:t>
      </w:r>
      <w:r w:rsidR="00190923" w:rsidRPr="00981405">
        <w:t xml:space="preserve"> </w:t>
      </w:r>
      <w:r w:rsidRPr="00981405">
        <w:t>a</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tribunal.</w:t>
      </w:r>
      <w:r w:rsidR="00190923" w:rsidRPr="00981405">
        <w:t xml:space="preserve"> </w:t>
      </w:r>
      <w:r w:rsidRPr="00981405">
        <w:t>For,</w:t>
      </w:r>
      <w:r w:rsidR="00190923" w:rsidRPr="00981405">
        <w:t xml:space="preserve"> </w:t>
      </w:r>
      <w:r w:rsidRPr="00981405">
        <w:t>example,</w:t>
      </w:r>
      <w:r w:rsidR="00190923" w:rsidRPr="00981405">
        <w:t xml:space="preserve"> </w:t>
      </w:r>
      <w:r w:rsidRPr="00981405">
        <w:t>an</w:t>
      </w:r>
      <w:r w:rsidR="00190923" w:rsidRPr="00981405">
        <w:t xml:space="preserve"> </w:t>
      </w:r>
      <w:r w:rsidRPr="00981405">
        <w:t>individual</w:t>
      </w:r>
      <w:r w:rsidR="00190923" w:rsidRPr="00981405">
        <w:t xml:space="preserve"> </w:t>
      </w:r>
      <w:r w:rsidRPr="00981405">
        <w:t>that</w:t>
      </w:r>
      <w:r w:rsidR="00190923" w:rsidRPr="00981405">
        <w:t xml:space="preserve"> </w:t>
      </w:r>
      <w:r w:rsidRPr="00981405">
        <w:t>does</w:t>
      </w:r>
      <w:r w:rsidR="00190923" w:rsidRPr="00981405">
        <w:t xml:space="preserve"> </w:t>
      </w:r>
      <w:r w:rsidRPr="00981405">
        <w:t>not</w:t>
      </w:r>
      <w:r w:rsidR="00190923" w:rsidRPr="00981405">
        <w:t xml:space="preserve"> </w:t>
      </w:r>
      <w:r w:rsidRPr="00981405">
        <w:t>meet</w:t>
      </w:r>
      <w:r w:rsidR="00190923" w:rsidRPr="00981405">
        <w:t xml:space="preserve"> </w:t>
      </w:r>
      <w:r w:rsidRPr="00981405">
        <w:t>the</w:t>
      </w:r>
      <w:r w:rsidR="00190923" w:rsidRPr="00981405">
        <w:t xml:space="preserve"> </w:t>
      </w:r>
      <w:r w:rsidRPr="00981405">
        <w:t>criteria</w:t>
      </w:r>
      <w:r w:rsidR="00190923" w:rsidRPr="00981405">
        <w:t xml:space="preserve"> </w:t>
      </w:r>
      <w:r w:rsidRPr="00981405">
        <w:t>under</w:t>
      </w:r>
      <w:r w:rsidR="00190923" w:rsidRPr="00981405">
        <w:t xml:space="preserve"> </w:t>
      </w:r>
      <w:r w:rsidRPr="00981405">
        <w:t>a</w:t>
      </w:r>
      <w:r w:rsidR="00190923" w:rsidRPr="00981405">
        <w:t xml:space="preserve"> </w:t>
      </w:r>
      <w:r w:rsidRPr="00981405">
        <w:t>BIT</w:t>
      </w:r>
      <w:r w:rsidR="00190923" w:rsidRPr="00981405">
        <w:t xml:space="preserve"> </w:t>
      </w:r>
      <w:r w:rsidRPr="00981405">
        <w:t>to</w:t>
      </w:r>
      <w:r w:rsidR="00190923" w:rsidRPr="00981405">
        <w:t xml:space="preserve"> </w:t>
      </w:r>
      <w:r w:rsidRPr="00981405">
        <w:t>be</w:t>
      </w:r>
      <w:r w:rsidR="00190923" w:rsidRPr="00981405">
        <w:t xml:space="preserve"> </w:t>
      </w:r>
      <w:r w:rsidRPr="00981405">
        <w:t>an</w:t>
      </w:r>
      <w:r w:rsidR="00190923" w:rsidRPr="00981405">
        <w:t xml:space="preserve"> </w:t>
      </w:r>
      <w:r w:rsidRPr="00981405">
        <w:t>investor</w:t>
      </w:r>
      <w:r w:rsidR="00190923" w:rsidRPr="00981405">
        <w:t xml:space="preserve"> </w:t>
      </w:r>
      <w:r w:rsidRPr="00981405">
        <w:t>cannot</w:t>
      </w:r>
      <w:r w:rsidR="00190923" w:rsidRPr="00981405">
        <w:t xml:space="preserve"> </w:t>
      </w:r>
      <w:r w:rsidRPr="00981405">
        <w:t>become</w:t>
      </w:r>
      <w:r w:rsidR="00190923" w:rsidRPr="00981405">
        <w:t xml:space="preserve"> </w:t>
      </w:r>
      <w:r w:rsidRPr="00981405">
        <w:t>an</w:t>
      </w:r>
      <w:r w:rsidR="00190923" w:rsidRPr="00981405">
        <w:t xml:space="preserve"> </w:t>
      </w:r>
      <w:r w:rsidRPr="00981405">
        <w:t>investor</w:t>
      </w:r>
      <w:r w:rsidR="00190923" w:rsidRPr="00981405">
        <w:t xml:space="preserve"> </w:t>
      </w:r>
      <w:r w:rsidRPr="00981405">
        <w:t>by</w:t>
      </w:r>
      <w:r w:rsidR="00190923" w:rsidRPr="00981405">
        <w:t xml:space="preserve"> </w:t>
      </w:r>
      <w:r w:rsidRPr="00981405">
        <w:t>invoking</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Pr="00981405">
        <w:rPr>
          <w:rStyle w:val="FootnoteReference"/>
        </w:rPr>
        <w:footnoteReference w:id="523"/>
      </w:r>
      <w:r w:rsidR="00190923" w:rsidRPr="00981405">
        <w:t xml:space="preserve"> </w:t>
      </w:r>
      <w:r w:rsidRPr="00981405">
        <w:t>Just</w:t>
      </w:r>
      <w:r w:rsidR="00190923" w:rsidRPr="00981405">
        <w:t xml:space="preserve"> </w:t>
      </w:r>
      <w:r w:rsidRPr="00981405">
        <w:t>as</w:t>
      </w:r>
      <w:r w:rsidR="00190923" w:rsidRPr="00981405">
        <w:t xml:space="preserve"> </w:t>
      </w:r>
      <w:r w:rsidRPr="00981405">
        <w:t>MFN</w:t>
      </w:r>
      <w:r w:rsidR="00190923" w:rsidRPr="00981405">
        <w:t xml:space="preserve"> </w:t>
      </w:r>
      <w:r w:rsidRPr="00981405">
        <w:t>cannot</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substantive</w:t>
      </w:r>
      <w:r w:rsidR="00190923" w:rsidRPr="00981405">
        <w:t xml:space="preserve"> </w:t>
      </w:r>
      <w:r w:rsidRPr="00981405">
        <w:t>rights,</w:t>
      </w:r>
      <w:r w:rsidR="00190923" w:rsidRPr="00981405">
        <w:t xml:space="preserve"> </w:t>
      </w:r>
      <w:r w:rsidRPr="00981405">
        <w:t>MFN</w:t>
      </w:r>
      <w:r w:rsidR="00190923" w:rsidRPr="00981405">
        <w:t xml:space="preserve"> </w:t>
      </w:r>
      <w:r w:rsidRPr="00981405">
        <w:t>cannot</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procedural</w:t>
      </w:r>
      <w:r w:rsidR="00190923" w:rsidRPr="00981405">
        <w:t xml:space="preserve"> </w:t>
      </w:r>
      <w:r w:rsidRPr="00981405">
        <w:t>or</w:t>
      </w:r>
      <w:r w:rsidR="00190923" w:rsidRPr="00981405">
        <w:t xml:space="preserve"> </w:t>
      </w:r>
      <w:r w:rsidRPr="00981405">
        <w:t>jurisdictional</w:t>
      </w:r>
      <w:r w:rsidR="00190923" w:rsidRPr="00981405">
        <w:t xml:space="preserve"> </w:t>
      </w:r>
      <w:r w:rsidRPr="00981405">
        <w:t>rights.</w:t>
      </w:r>
      <w:r w:rsidR="00190923" w:rsidRPr="00981405">
        <w:t xml:space="preserve"> </w:t>
      </w:r>
      <w:r w:rsidRPr="00981405">
        <w:t>An</w:t>
      </w:r>
      <w:r w:rsidR="00190923" w:rsidRPr="00981405">
        <w:t xml:space="preserve"> </w:t>
      </w:r>
      <w:r w:rsidRPr="00981405">
        <w:t>investor</w:t>
      </w:r>
      <w:r w:rsidR="00190923" w:rsidRPr="00981405">
        <w:t xml:space="preserve"> </w:t>
      </w:r>
      <w:r w:rsidRPr="00981405">
        <w:t>who</w:t>
      </w:r>
      <w:r w:rsidR="00190923" w:rsidRPr="00981405">
        <w:t xml:space="preserve"> </w:t>
      </w:r>
      <w:r w:rsidRPr="00981405">
        <w:t>has</w:t>
      </w:r>
      <w:r w:rsidR="00190923" w:rsidRPr="00981405">
        <w:t xml:space="preserve"> </w:t>
      </w:r>
      <w:r w:rsidRPr="00981405">
        <w:t>not</w:t>
      </w:r>
      <w:r w:rsidR="00190923" w:rsidRPr="00981405">
        <w:t xml:space="preserve"> </w:t>
      </w:r>
      <w:r w:rsidRPr="00981405">
        <w:t>met</w:t>
      </w:r>
      <w:r w:rsidR="00190923" w:rsidRPr="00981405">
        <w:t xml:space="preserve"> </w:t>
      </w:r>
      <w:r w:rsidRPr="00981405">
        <w:t>the</w:t>
      </w:r>
      <w:r w:rsidR="00190923" w:rsidRPr="00981405">
        <w:t xml:space="preserve"> </w:t>
      </w:r>
      <w:r w:rsidRPr="00981405">
        <w:t>requirements</w:t>
      </w:r>
      <w:r w:rsidR="00190923" w:rsidRPr="00981405">
        <w:t xml:space="preserve"> </w:t>
      </w:r>
      <w:r w:rsidRPr="00981405">
        <w:t>for</w:t>
      </w:r>
      <w:r w:rsidR="00190923" w:rsidRPr="00981405">
        <w:t xml:space="preserve"> </w:t>
      </w:r>
      <w:r w:rsidRPr="00981405">
        <w:t>commencing</w:t>
      </w:r>
      <w:r w:rsidR="00190923" w:rsidRPr="00981405">
        <w:t xml:space="preserve"> </w:t>
      </w:r>
      <w:r w:rsidRPr="00981405">
        <w:t>a</w:t>
      </w:r>
      <w:r w:rsidR="00190923" w:rsidRPr="00981405">
        <w:t xml:space="preserve"> </w:t>
      </w:r>
      <w:r w:rsidRPr="00981405">
        <w:t>claim</w:t>
      </w:r>
      <w:r w:rsidR="00190923" w:rsidRPr="00981405">
        <w:t xml:space="preserve"> </w:t>
      </w:r>
      <w:r w:rsidRPr="00981405">
        <w:t>against</w:t>
      </w:r>
      <w:r w:rsidR="00190923" w:rsidRPr="00981405">
        <w:t xml:space="preserve"> </w:t>
      </w:r>
      <w:r w:rsidRPr="00981405">
        <w:t>the</w:t>
      </w:r>
      <w:r w:rsidR="00190923" w:rsidRPr="00981405">
        <w:t xml:space="preserve"> </w:t>
      </w:r>
      <w:r w:rsidRPr="00981405">
        <w:t>respondent</w:t>
      </w:r>
      <w:r w:rsidR="00190923" w:rsidRPr="00981405">
        <w:t xml:space="preserve"> </w:t>
      </w:r>
      <w:r w:rsidRPr="00981405">
        <w:t>State</w:t>
      </w:r>
      <w:r w:rsidR="00190923" w:rsidRPr="00981405">
        <w:t xml:space="preserve"> </w:t>
      </w:r>
      <w:r w:rsidRPr="00981405">
        <w:t>cannot</w:t>
      </w:r>
      <w:r w:rsidR="00190923" w:rsidRPr="00981405">
        <w:t xml:space="preserve"> </w:t>
      </w:r>
      <w:r w:rsidRPr="00981405">
        <w:t>avoid</w:t>
      </w:r>
      <w:r w:rsidR="00190923" w:rsidRPr="00981405">
        <w:t xml:space="preserve"> </w:t>
      </w:r>
      <w:r w:rsidRPr="00981405">
        <w:t>those</w:t>
      </w:r>
      <w:r w:rsidR="00190923" w:rsidRPr="00981405">
        <w:t xml:space="preserve"> </w:t>
      </w:r>
      <w:r w:rsidRPr="00981405">
        <w:t>requirements</w:t>
      </w:r>
      <w:r w:rsidR="00190923" w:rsidRPr="00981405">
        <w:t xml:space="preserve"> </w:t>
      </w:r>
      <w:r w:rsidRPr="00981405">
        <w:t>by</w:t>
      </w:r>
      <w:r w:rsidR="00190923" w:rsidRPr="00981405">
        <w:t xml:space="preserve"> </w:t>
      </w:r>
      <w:r w:rsidRPr="00981405">
        <w:t>invoking</w:t>
      </w:r>
      <w:r w:rsidR="00190923" w:rsidRPr="00981405">
        <w:t xml:space="preserve"> </w:t>
      </w:r>
      <w:r w:rsidRPr="00981405">
        <w:t>the</w:t>
      </w:r>
      <w:r w:rsidR="00190923" w:rsidRPr="00981405">
        <w:t xml:space="preserve"> </w:t>
      </w:r>
      <w:r w:rsidRPr="00981405">
        <w:t>procedural</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another</w:t>
      </w:r>
      <w:r w:rsidR="00190923" w:rsidRPr="00981405">
        <w:t xml:space="preserve"> </w:t>
      </w:r>
      <w:r w:rsidRPr="00981405">
        <w:t>BIT.</w:t>
      </w:r>
      <w:r w:rsidR="00190923" w:rsidRPr="00981405">
        <w:t xml:space="preserve"> </w:t>
      </w:r>
    </w:p>
    <w:p w:rsidR="00397032" w:rsidRPr="00981405" w:rsidRDefault="00397032" w:rsidP="00D97463">
      <w:pPr>
        <w:pStyle w:val="SingleTxt"/>
      </w:pPr>
      <w:r w:rsidRPr="00981405">
        <w:t>106.</w:t>
      </w:r>
      <w:r w:rsidRPr="00981405">
        <w:tab/>
        <w:t>The</w:t>
      </w:r>
      <w:r w:rsidR="00190923" w:rsidRPr="00981405">
        <w:t xml:space="preserve"> </w:t>
      </w:r>
      <w:r w:rsidRPr="00981405">
        <w:t>matter</w:t>
      </w:r>
      <w:r w:rsidR="00190923" w:rsidRPr="00981405">
        <w:t xml:space="preserve"> </w:t>
      </w:r>
      <w:r w:rsidRPr="00981405">
        <w:t>has</w:t>
      </w:r>
      <w:r w:rsidR="00190923" w:rsidRPr="00981405">
        <w:t xml:space="preserve"> </w:t>
      </w:r>
      <w:r w:rsidRPr="00981405">
        <w:t>also</w:t>
      </w:r>
      <w:r w:rsidR="00190923" w:rsidRPr="00981405">
        <w:t xml:space="preserve"> </w:t>
      </w:r>
      <w:r w:rsidRPr="00981405">
        <w:t>been</w:t>
      </w:r>
      <w:r w:rsidR="00190923" w:rsidRPr="00981405">
        <w:t xml:space="preserve"> </w:t>
      </w:r>
      <w:r w:rsidRPr="00981405">
        <w:t>put</w:t>
      </w:r>
      <w:r w:rsidR="00190923" w:rsidRPr="00981405">
        <w:t xml:space="preserve"> </w:t>
      </w:r>
      <w:r w:rsidRPr="00981405">
        <w:t>in</w:t>
      </w:r>
      <w:r w:rsidR="00190923" w:rsidRPr="00981405">
        <w:t xml:space="preserve"> </w:t>
      </w:r>
      <w:r w:rsidRPr="00981405">
        <w:t>terms</w:t>
      </w:r>
      <w:r w:rsidR="00190923" w:rsidRPr="00981405">
        <w:t xml:space="preserve"> </w:t>
      </w:r>
      <w:r w:rsidRPr="00981405">
        <w:t>of</w:t>
      </w:r>
      <w:r w:rsidR="00190923" w:rsidRPr="00981405">
        <w:t xml:space="preserve"> </w:t>
      </w:r>
      <w:r w:rsidRPr="00981405">
        <w:t>consent</w:t>
      </w:r>
      <w:r w:rsidR="00190923" w:rsidRPr="00981405">
        <w:t xml:space="preserve"> </w:t>
      </w:r>
      <w:r w:rsidRPr="00981405">
        <w:t>to</w:t>
      </w:r>
      <w:r w:rsidR="00190923" w:rsidRPr="00981405">
        <w:t xml:space="preserve"> </w:t>
      </w:r>
      <w:r w:rsidRPr="00981405">
        <w:t>arbitration.</w:t>
      </w:r>
      <w:r w:rsidRPr="00981405">
        <w:rPr>
          <w:rStyle w:val="FootnoteReference"/>
        </w:rPr>
        <w:footnoteReference w:id="524"/>
      </w:r>
      <w:r w:rsidR="00190923" w:rsidRPr="00981405">
        <w:t xml:space="preserve"> </w:t>
      </w:r>
      <w:r w:rsidRPr="00981405">
        <w:t>A</w:t>
      </w:r>
      <w:r w:rsidR="00190923" w:rsidRPr="00981405">
        <w:t xml:space="preserve"> </w:t>
      </w:r>
      <w:r w:rsidRPr="00981405">
        <w:t>tribunal</w:t>
      </w:r>
      <w:r w:rsidR="00B92E2C" w:rsidRPr="00981405">
        <w:t>’</w:t>
      </w:r>
      <w:r w:rsidRPr="00981405">
        <w:t>s</w:t>
      </w:r>
      <w:r w:rsidR="00190923" w:rsidRPr="00981405">
        <w:t xml:space="preserve"> </w:t>
      </w:r>
      <w:r w:rsidRPr="00981405">
        <w:t>jurisdiction</w:t>
      </w:r>
      <w:r w:rsidR="00190923" w:rsidRPr="00981405">
        <w:t xml:space="preserve"> </w:t>
      </w:r>
      <w:r w:rsidRPr="00981405">
        <w:t>is</w:t>
      </w:r>
      <w:r w:rsidR="00190923" w:rsidRPr="00981405">
        <w:t xml:space="preserve"> </w:t>
      </w:r>
      <w:r w:rsidRPr="00981405">
        <w:t>formed</w:t>
      </w:r>
      <w:r w:rsidR="00190923" w:rsidRPr="00981405">
        <w:t xml:space="preserve"> </w:t>
      </w:r>
      <w:r w:rsidRPr="00981405">
        <w:t>by</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the</w:t>
      </w:r>
      <w:r w:rsidR="00190923" w:rsidRPr="00981405">
        <w:t xml:space="preserve"> </w:t>
      </w:r>
      <w:r w:rsidRPr="00981405">
        <w:t>relevant</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stipulating</w:t>
      </w:r>
      <w:r w:rsidR="00190923" w:rsidRPr="00981405">
        <w:t xml:space="preserve"> </w:t>
      </w:r>
      <w:r w:rsidRPr="00981405">
        <w:t>the</w:t>
      </w:r>
      <w:r w:rsidR="00190923" w:rsidRPr="00981405">
        <w:t xml:space="preserve"> </w:t>
      </w:r>
      <w:r w:rsidRPr="00981405">
        <w:t>basis</w:t>
      </w:r>
      <w:r w:rsidR="00190923" w:rsidRPr="00981405">
        <w:t xml:space="preserve"> </w:t>
      </w:r>
      <w:r w:rsidRPr="00981405">
        <w:t>on</w:t>
      </w:r>
      <w:r w:rsidR="00190923" w:rsidRPr="00981405">
        <w:t xml:space="preserve"> </w:t>
      </w:r>
      <w:r w:rsidRPr="00981405">
        <w:t>which</w:t>
      </w:r>
      <w:r w:rsidR="00190923" w:rsidRPr="00981405">
        <w:t xml:space="preserve"> </w:t>
      </w:r>
      <w:r w:rsidRPr="00981405">
        <w:t>the</w:t>
      </w:r>
      <w:r w:rsidR="00190923" w:rsidRPr="00981405">
        <w:t xml:space="preserve"> </w:t>
      </w:r>
      <w:r w:rsidRPr="00981405">
        <w:t>respondent</w:t>
      </w:r>
      <w:r w:rsidR="00190923" w:rsidRPr="00981405">
        <w:t xml:space="preserve"> </w:t>
      </w:r>
      <w:r w:rsidRPr="00981405">
        <w:t>State</w:t>
      </w:r>
      <w:r w:rsidR="00190923" w:rsidRPr="00981405">
        <w:t xml:space="preserve"> </w:t>
      </w:r>
      <w:r w:rsidRPr="00981405">
        <w:t>has</w:t>
      </w:r>
      <w:r w:rsidR="00190923" w:rsidRPr="00981405">
        <w:t xml:space="preserve"> </w:t>
      </w:r>
      <w:r w:rsidRPr="00981405">
        <w:t>consented</w:t>
      </w:r>
      <w:r w:rsidR="00190923" w:rsidRPr="00981405">
        <w:t xml:space="preserve"> </w:t>
      </w:r>
      <w:r w:rsidRPr="00981405">
        <w:t>to</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by</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Compliance</w:t>
      </w:r>
      <w:r w:rsidR="00190923" w:rsidRPr="00981405">
        <w:t xml:space="preserve"> </w:t>
      </w:r>
      <w:r w:rsidRPr="00981405">
        <w:t>by</w:t>
      </w:r>
      <w:r w:rsidR="00190923" w:rsidRPr="00981405">
        <w:t xml:space="preserve"> </w:t>
      </w:r>
      <w:r w:rsidRPr="00981405">
        <w:t>the</w:t>
      </w:r>
      <w:r w:rsidR="00190923" w:rsidRPr="00981405">
        <w:t xml:space="preserve"> </w:t>
      </w:r>
      <w:r w:rsidRPr="00981405">
        <w:t>claimant</w:t>
      </w:r>
      <w:r w:rsidR="00190923" w:rsidRPr="00981405">
        <w:t xml:space="preserve"> </w:t>
      </w:r>
      <w:r w:rsidRPr="00981405">
        <w:t>investor</w:t>
      </w:r>
      <w:r w:rsidR="00190923" w:rsidRPr="00981405">
        <w:t xml:space="preserve"> </w:t>
      </w:r>
      <w:r w:rsidRPr="00981405">
        <w:t>with</w:t>
      </w:r>
      <w:r w:rsidR="00190923" w:rsidRPr="00981405">
        <w:t xml:space="preserve"> </w:t>
      </w:r>
      <w:r w:rsidRPr="00981405">
        <w:t>those</w:t>
      </w:r>
      <w:r w:rsidR="00190923" w:rsidRPr="00981405">
        <w:t xml:space="preserve"> </w:t>
      </w:r>
      <w:r w:rsidRPr="00981405">
        <w:t>conditions</w:t>
      </w:r>
      <w:r w:rsidR="00190923" w:rsidRPr="00981405">
        <w:t xml:space="preserve"> </w:t>
      </w:r>
      <w:r w:rsidRPr="00981405">
        <w:t>is</w:t>
      </w:r>
      <w:r w:rsidR="00190923" w:rsidRPr="00981405">
        <w:t xml:space="preserve"> </w:t>
      </w:r>
      <w:r w:rsidRPr="00981405">
        <w:t>essential</w:t>
      </w:r>
      <w:r w:rsidR="00190923" w:rsidRPr="00981405">
        <w:t xml:space="preserve"> </w:t>
      </w:r>
      <w:r w:rsidRPr="00981405">
        <w:t>for</w:t>
      </w:r>
      <w:r w:rsidR="00190923" w:rsidRPr="00981405">
        <w:t xml:space="preserve"> </w:t>
      </w:r>
      <w:r w:rsidRPr="00981405">
        <w:t>a</w:t>
      </w:r>
      <w:r w:rsidR="00190923" w:rsidRPr="00981405">
        <w:t xml:space="preserve"> </w:t>
      </w:r>
      <w:r w:rsidRPr="00981405">
        <w:t>tribunal</w:t>
      </w:r>
      <w:r w:rsidR="00190923" w:rsidRPr="00981405">
        <w:t xml:space="preserve"> </w:t>
      </w:r>
      <w:r w:rsidRPr="00981405">
        <w:t>to</w:t>
      </w:r>
      <w:r w:rsidR="00190923" w:rsidRPr="00981405">
        <w:t xml:space="preserve"> </w:t>
      </w:r>
      <w:r w:rsidRPr="00981405">
        <w:t>exercise</w:t>
      </w:r>
      <w:r w:rsidR="00190923" w:rsidRPr="00981405">
        <w:t xml:space="preserve"> </w:t>
      </w:r>
      <w:r w:rsidRPr="00981405">
        <w:t>jurisdiction</w:t>
      </w:r>
      <w:r w:rsidR="00190923" w:rsidRPr="00981405">
        <w:t xml:space="preserve"> </w:t>
      </w:r>
      <w:r w:rsidRPr="00981405">
        <w:t>over</w:t>
      </w:r>
      <w:r w:rsidR="00190923" w:rsidRPr="00981405">
        <w:t xml:space="preserve"> </w:t>
      </w:r>
      <w:r w:rsidRPr="00981405">
        <w:t>the</w:t>
      </w:r>
      <w:r w:rsidR="00190923" w:rsidRPr="00981405">
        <w:t xml:space="preserve"> </w:t>
      </w:r>
      <w:r w:rsidRPr="00981405">
        <w:t>dispute.</w:t>
      </w:r>
      <w:r w:rsidR="00190923" w:rsidRPr="00981405">
        <w:t xml:space="preserve"> </w:t>
      </w:r>
      <w:r w:rsidRPr="00981405">
        <w:t>Unless</w:t>
      </w:r>
      <w:r w:rsidR="00190923" w:rsidRPr="00981405">
        <w:t xml:space="preserve"> </w:t>
      </w:r>
      <w:r w:rsidRPr="00981405">
        <w:t>a</w:t>
      </w:r>
      <w:r w:rsidR="00190923" w:rsidRPr="00981405">
        <w:t xml:space="preserve"> </w:t>
      </w:r>
      <w:r w:rsidRPr="00981405">
        <w:t>respondent</w:t>
      </w:r>
      <w:r w:rsidR="00190923" w:rsidRPr="00981405">
        <w:t xml:space="preserve"> </w:t>
      </w:r>
      <w:r w:rsidRPr="00981405">
        <w:t>State</w:t>
      </w:r>
      <w:r w:rsidR="00190923" w:rsidRPr="00981405">
        <w:t xml:space="preserve"> </w:t>
      </w:r>
      <w:r w:rsidRPr="00981405">
        <w:t>waives</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of</w:t>
      </w:r>
      <w:r w:rsidR="00190923" w:rsidRPr="00981405">
        <w:t xml:space="preserve"> </w:t>
      </w:r>
      <w:r w:rsidRPr="00981405">
        <w:t>its</w:t>
      </w:r>
      <w:r w:rsidR="00190923" w:rsidRPr="00981405">
        <w:t xml:space="preserve"> </w:t>
      </w:r>
      <w:r w:rsidRPr="00981405">
        <w:t>consent</w:t>
      </w:r>
      <w:r w:rsidR="00190923" w:rsidRPr="00981405">
        <w:t xml:space="preserve"> </w:t>
      </w:r>
      <w:r w:rsidRPr="00981405">
        <w:t>to</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a</w:t>
      </w:r>
      <w:r w:rsidR="00190923" w:rsidRPr="00981405">
        <w:t xml:space="preserve"> </w:t>
      </w:r>
      <w:r w:rsidRPr="00981405">
        <w:t>tribunal</w:t>
      </w:r>
      <w:r w:rsidR="00190923" w:rsidRPr="00981405">
        <w:t xml:space="preserve"> </w:t>
      </w:r>
      <w:r w:rsidRPr="00981405">
        <w:t>has</w:t>
      </w:r>
      <w:r w:rsidR="00190923" w:rsidRPr="00981405">
        <w:t xml:space="preserve"> </w:t>
      </w:r>
      <w:r w:rsidRPr="00981405">
        <w:t>no</w:t>
      </w:r>
      <w:r w:rsidR="00190923" w:rsidRPr="00981405">
        <w:t xml:space="preserve"> </w:t>
      </w:r>
      <w:r w:rsidRPr="00981405">
        <w:t>jurisdiction</w:t>
      </w:r>
      <w:r w:rsidR="00190923" w:rsidRPr="00981405">
        <w:t xml:space="preserve"> </w:t>
      </w:r>
      <w:r w:rsidRPr="00981405">
        <w:t>to</w:t>
      </w:r>
      <w:r w:rsidR="00190923" w:rsidRPr="00981405">
        <w:t xml:space="preserve"> </w:t>
      </w:r>
      <w:r w:rsidRPr="00981405">
        <w:t>hear</w:t>
      </w:r>
      <w:r w:rsidR="00190923" w:rsidRPr="00981405">
        <w:t xml:space="preserve"> </w:t>
      </w:r>
      <w:r w:rsidRPr="00981405">
        <w:t>a</w:t>
      </w:r>
      <w:r w:rsidR="00190923" w:rsidRPr="00981405">
        <w:t xml:space="preserve"> </w:t>
      </w:r>
      <w:r w:rsidRPr="00981405">
        <w:t>claim</w:t>
      </w:r>
      <w:r w:rsidR="00190923" w:rsidRPr="00981405">
        <w:t xml:space="preserve"> </w:t>
      </w:r>
      <w:r w:rsidRPr="00981405">
        <w:t>even</w:t>
      </w:r>
      <w:r w:rsidR="00190923" w:rsidRPr="00981405">
        <w:t xml:space="preserve"> </w:t>
      </w:r>
      <w:r w:rsidRPr="00981405">
        <w:t>though</w:t>
      </w:r>
      <w:r w:rsidR="00190923" w:rsidRPr="00981405">
        <w:t xml:space="preserve"> </w:t>
      </w:r>
      <w:r w:rsidRPr="00981405">
        <w:t>the</w:t>
      </w:r>
      <w:r w:rsidR="00190923" w:rsidRPr="00981405">
        <w:t xml:space="preserve"> </w:t>
      </w:r>
      <w:r w:rsidRPr="00981405">
        <w:t>claimant</w:t>
      </w:r>
      <w:r w:rsidR="00190923" w:rsidRPr="00981405">
        <w:t xml:space="preserve"> </w:t>
      </w:r>
      <w:r w:rsidRPr="00981405">
        <w:t>is</w:t>
      </w:r>
      <w:r w:rsidR="00190923" w:rsidRPr="00981405">
        <w:t xml:space="preserve"> </w:t>
      </w:r>
      <w:r w:rsidRPr="00981405">
        <w:t>an</w:t>
      </w:r>
      <w:r w:rsidR="00190923" w:rsidRPr="00981405">
        <w:t xml:space="preserve"> </w:t>
      </w:r>
      <w:r w:rsidRPr="00981405">
        <w:t>investor</w:t>
      </w:r>
      <w:r w:rsidR="00190923" w:rsidRPr="00981405">
        <w:t xml:space="preserve"> </w:t>
      </w:r>
      <w:r w:rsidRPr="00981405">
        <w:t>within</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the</w:t>
      </w:r>
      <w:r w:rsidR="00190923" w:rsidRPr="00981405">
        <w:t xml:space="preserve"> </w:t>
      </w:r>
      <w:r w:rsidRPr="00981405">
        <w:t>BIT</w:t>
      </w:r>
      <w:r w:rsidR="00190923" w:rsidRPr="00981405">
        <w:t xml:space="preserve"> </w:t>
      </w:r>
      <w:r w:rsidRPr="00981405">
        <w:t>in</w:t>
      </w:r>
      <w:r w:rsidR="00190923" w:rsidRPr="00981405">
        <w:t xml:space="preserve"> </w:t>
      </w:r>
      <w:r w:rsidRPr="00981405">
        <w:t>question.</w:t>
      </w:r>
      <w:r w:rsidR="00190923" w:rsidRPr="00981405">
        <w:t xml:space="preserve"> </w:t>
      </w:r>
      <w:r w:rsidRPr="00981405">
        <w:t>On</w:t>
      </w:r>
      <w:r w:rsidR="00190923" w:rsidRPr="00981405">
        <w:t xml:space="preserve"> </w:t>
      </w:r>
      <w:r w:rsidRPr="00981405">
        <w:t>that</w:t>
      </w:r>
      <w:r w:rsidR="00190923" w:rsidRPr="00981405">
        <w:t xml:space="preserve"> </w:t>
      </w:r>
      <w:r w:rsidRPr="00981405">
        <w:t>basis</w:t>
      </w:r>
      <w:r w:rsidR="00190923" w:rsidRPr="00981405">
        <w:t xml:space="preserve"> </w:t>
      </w:r>
      <w:r w:rsidRPr="00981405">
        <w:t>MFN</w:t>
      </w:r>
      <w:r w:rsidR="00190923" w:rsidRPr="00981405">
        <w:t xml:space="preserve"> </w:t>
      </w:r>
      <w:r w:rsidRPr="00981405">
        <w:t>cannot</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basis</w:t>
      </w:r>
      <w:r w:rsidR="00190923" w:rsidRPr="00981405">
        <w:t xml:space="preserve"> </w:t>
      </w:r>
      <w:r w:rsidRPr="00981405">
        <w:t>for</w:t>
      </w:r>
      <w:r w:rsidR="00190923" w:rsidRPr="00981405">
        <w:t xml:space="preserve"> </w:t>
      </w:r>
      <w:r w:rsidRPr="00981405">
        <w:t>exercising</w:t>
      </w:r>
      <w:r w:rsidR="00190923" w:rsidRPr="00981405">
        <w:t xml:space="preserve"> </w:t>
      </w:r>
      <w:r w:rsidRPr="00981405">
        <w:t>jurisdiction.</w:t>
      </w:r>
    </w:p>
    <w:p w:rsidR="00397032" w:rsidRPr="00981405" w:rsidRDefault="00397032" w:rsidP="00D97463">
      <w:pPr>
        <w:pStyle w:val="SingleTxt"/>
      </w:pPr>
      <w:r w:rsidRPr="00981405">
        <w:t>107.</w:t>
      </w:r>
      <w:r w:rsidRPr="00981405">
        <w:tab/>
        <w:t>Support</w:t>
      </w:r>
      <w:r w:rsidR="00190923" w:rsidRPr="00981405">
        <w:t xml:space="preserve"> </w:t>
      </w:r>
      <w:r w:rsidRPr="00981405">
        <w:t>for</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matter</w:t>
      </w:r>
      <w:r w:rsidR="00190923" w:rsidRPr="00981405">
        <w:t xml:space="preserve"> </w:t>
      </w:r>
      <w:r w:rsidRPr="00981405">
        <w:t>is</w:t>
      </w:r>
      <w:r w:rsidR="00190923" w:rsidRPr="00981405">
        <w:t xml:space="preserve"> </w:t>
      </w:r>
      <w:r w:rsidRPr="00981405">
        <w:t>one</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has</w:t>
      </w:r>
      <w:r w:rsidR="00190923" w:rsidRPr="00981405">
        <w:t xml:space="preserve"> </w:t>
      </w:r>
      <w:r w:rsidRPr="00981405">
        <w:t>come</w:t>
      </w:r>
      <w:r w:rsidR="00190923" w:rsidRPr="00981405">
        <w:t xml:space="preserve"> </w:t>
      </w:r>
      <w:r w:rsidRPr="00981405">
        <w:t>from</w:t>
      </w:r>
      <w:r w:rsidR="00190923" w:rsidRPr="00981405">
        <w:t xml:space="preserve"> </w:t>
      </w:r>
      <w:r w:rsidRPr="00981405">
        <w:t>the</w:t>
      </w:r>
      <w:r w:rsidR="00190923" w:rsidRPr="00981405">
        <w:t xml:space="preserve"> </w:t>
      </w:r>
      <w:r w:rsidRPr="00981405">
        <w:t>decision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Pr="00D97463">
        <w:rPr>
          <w:i/>
          <w:iCs/>
        </w:rPr>
        <w:t>ICS</w:t>
      </w:r>
      <w:r w:rsidR="00190923" w:rsidRPr="00D97463">
        <w:rPr>
          <w:i/>
          <w:iCs/>
        </w:rPr>
        <w:t xml:space="preserve"> </w:t>
      </w:r>
      <w:r w:rsidRPr="00D97463">
        <w:rPr>
          <w:i/>
          <w:iCs/>
        </w:rPr>
        <w:t>v.</w:t>
      </w:r>
      <w:r w:rsidR="00190923" w:rsidRPr="00D97463">
        <w:rPr>
          <w:i/>
          <w:iCs/>
        </w:rPr>
        <w:t xml:space="preserve"> </w:t>
      </w:r>
      <w:r w:rsidRPr="00D97463">
        <w:rPr>
          <w:i/>
          <w:iCs/>
        </w:rPr>
        <w:t>Argentina</w:t>
      </w:r>
      <w:r w:rsidRPr="00981405">
        <w:t>,</w:t>
      </w:r>
      <w:r w:rsidR="00190923" w:rsidRPr="00981405">
        <w:t xml:space="preserve"> </w:t>
      </w:r>
      <w:r w:rsidRPr="00981405">
        <w:t>which</w:t>
      </w:r>
      <w:r w:rsidR="00190923" w:rsidRPr="00981405">
        <w:t xml:space="preserve"> </w:t>
      </w:r>
      <w:r w:rsidRPr="00981405">
        <w:t>relies</w:t>
      </w:r>
      <w:r w:rsidR="00190923" w:rsidRPr="00981405">
        <w:t xml:space="preserve"> </w:t>
      </w:r>
      <w:r w:rsidRPr="00981405">
        <w:t>in</w:t>
      </w:r>
      <w:r w:rsidR="00190923" w:rsidRPr="00981405">
        <w:t xml:space="preserve"> </w:t>
      </w:r>
      <w:r w:rsidRPr="00981405">
        <w:t>part</w:t>
      </w:r>
      <w:r w:rsidR="00190923" w:rsidRPr="00981405">
        <w:t xml:space="preserve"> </w:t>
      </w:r>
      <w:r w:rsidRPr="00981405">
        <w:t>on</w:t>
      </w:r>
      <w:r w:rsidR="00190923" w:rsidRPr="00981405">
        <w:t xml:space="preserve"> </w:t>
      </w:r>
      <w:r w:rsidRPr="00981405">
        <w:t>the</w:t>
      </w:r>
      <w:r w:rsidR="00190923" w:rsidRPr="00981405">
        <w:t xml:space="preserve"> </w:t>
      </w:r>
      <w:r w:rsidRPr="00981405">
        <w:t>statement</w:t>
      </w:r>
      <w:r w:rsidR="00190923" w:rsidRPr="00981405">
        <w:t xml:space="preserve"> </w:t>
      </w:r>
      <w:r w:rsidRPr="00981405">
        <w:t>of</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in</w:t>
      </w:r>
      <w:r w:rsidR="00190923" w:rsidRPr="00981405">
        <w:t xml:space="preserve"> </w:t>
      </w:r>
      <w:r w:rsidRPr="00D97463">
        <w:rPr>
          <w:i/>
          <w:iCs/>
        </w:rPr>
        <w:t>Democratic</w:t>
      </w:r>
      <w:r w:rsidR="00190923" w:rsidRPr="00D97463">
        <w:rPr>
          <w:i/>
          <w:iCs/>
        </w:rPr>
        <w:t xml:space="preserve"> </w:t>
      </w:r>
      <w:r w:rsidRPr="00D97463">
        <w:rPr>
          <w:i/>
          <w:iCs/>
        </w:rPr>
        <w:t>Republic</w:t>
      </w:r>
      <w:r w:rsidR="00190923" w:rsidRPr="00D97463">
        <w:rPr>
          <w:i/>
          <w:iCs/>
        </w:rPr>
        <w:t xml:space="preserve"> </w:t>
      </w:r>
      <w:r w:rsidRPr="00D97463">
        <w:rPr>
          <w:i/>
          <w:iCs/>
        </w:rPr>
        <w:t>of</w:t>
      </w:r>
      <w:r w:rsidR="00190923" w:rsidRPr="00D97463">
        <w:rPr>
          <w:i/>
          <w:iCs/>
        </w:rPr>
        <w:t xml:space="preserve"> </w:t>
      </w:r>
      <w:r w:rsidRPr="00D97463">
        <w:rPr>
          <w:i/>
          <w:iCs/>
        </w:rPr>
        <w:t>Congo</w:t>
      </w:r>
      <w:r w:rsidR="00190923" w:rsidRPr="00D97463">
        <w:rPr>
          <w:i/>
          <w:iCs/>
        </w:rPr>
        <w:t xml:space="preserve"> </w:t>
      </w:r>
      <w:r w:rsidRPr="00D97463">
        <w:rPr>
          <w:i/>
          <w:iCs/>
        </w:rPr>
        <w:t>v.</w:t>
      </w:r>
      <w:r w:rsidR="00190923" w:rsidRPr="00D97463">
        <w:rPr>
          <w:i/>
          <w:iCs/>
        </w:rPr>
        <w:t xml:space="preserve"> </w:t>
      </w:r>
      <w:r w:rsidRPr="00D97463">
        <w:rPr>
          <w:i/>
          <w:iCs/>
        </w:rPr>
        <w:t>Rwanda</w:t>
      </w:r>
      <w:r w:rsidRPr="00981405">
        <w:t>,</w:t>
      </w:r>
      <w:r w:rsidRPr="00981405">
        <w:rPr>
          <w:rStyle w:val="FootnoteReference"/>
        </w:rPr>
        <w:footnoteReference w:id="525"/>
      </w:r>
      <w:r w:rsidR="00190923" w:rsidRPr="00981405">
        <w:t xml:space="preserve"> </w:t>
      </w:r>
      <w:r w:rsidRPr="00981405">
        <w:t>that</w:t>
      </w:r>
      <w:r w:rsidR="00190923" w:rsidRPr="00981405">
        <w:t xml:space="preserve"> </w:t>
      </w:r>
      <w:r w:rsidRPr="00981405">
        <w:t>when</w:t>
      </w:r>
    </w:p>
    <w:p w:rsidR="00397032" w:rsidRPr="00981405" w:rsidRDefault="001C3185" w:rsidP="00D97463">
      <w:pPr>
        <w:pStyle w:val="SingleTxt"/>
        <w:ind w:left="1742"/>
      </w:pPr>
      <w:r w:rsidRPr="00981405">
        <w:lastRenderedPageBreak/>
        <w:t xml:space="preserve"> </w:t>
      </w:r>
      <w:r w:rsidR="00B92E2C" w:rsidRPr="00981405">
        <w:t>“</w:t>
      </w:r>
      <w:r w:rsidR="00397032" w:rsidRPr="00981405">
        <w:t>consent</w:t>
      </w:r>
      <w:r w:rsidR="00190923" w:rsidRPr="00981405">
        <w:t xml:space="preserve"> </w:t>
      </w:r>
      <w:r w:rsidR="00397032" w:rsidRPr="00981405">
        <w:t>is</w:t>
      </w:r>
      <w:r w:rsidR="00190923" w:rsidRPr="00981405">
        <w:t xml:space="preserve"> </w:t>
      </w:r>
      <w:r w:rsidR="00397032" w:rsidRPr="00981405">
        <w:t>expressed</w:t>
      </w:r>
      <w:r w:rsidR="00190923" w:rsidRPr="00981405">
        <w:t xml:space="preserve"> </w:t>
      </w:r>
      <w:r w:rsidR="00397032" w:rsidRPr="00981405">
        <w:t>in</w:t>
      </w:r>
      <w:r w:rsidR="00190923" w:rsidRPr="00981405">
        <w:t xml:space="preserve"> </w:t>
      </w:r>
      <w:r w:rsidR="00397032" w:rsidRPr="00981405">
        <w:t>a</w:t>
      </w:r>
      <w:r w:rsidR="00190923" w:rsidRPr="00981405">
        <w:t xml:space="preserve"> </w:t>
      </w:r>
      <w:r w:rsidR="00397032" w:rsidRPr="00981405">
        <w:t>compromissory</w:t>
      </w:r>
      <w:r w:rsidR="00190923" w:rsidRPr="00981405">
        <w:t xml:space="preserve"> </w:t>
      </w:r>
      <w:r w:rsidR="00397032" w:rsidRPr="00981405">
        <w:t>clause</w:t>
      </w:r>
      <w:r w:rsidR="00190923" w:rsidRPr="00981405">
        <w:t xml:space="preserve"> </w:t>
      </w:r>
      <w:r w:rsidR="00397032" w:rsidRPr="00981405">
        <w:t>in</w:t>
      </w:r>
      <w:r w:rsidR="00190923" w:rsidRPr="00981405">
        <w:t xml:space="preserve"> </w:t>
      </w:r>
      <w:r w:rsidR="00397032" w:rsidRPr="00981405">
        <w:t>an</w:t>
      </w:r>
      <w:r w:rsidR="00190923" w:rsidRPr="00981405">
        <w:t xml:space="preserve"> </w:t>
      </w:r>
      <w:r w:rsidR="00397032" w:rsidRPr="00981405">
        <w:t>international</w:t>
      </w:r>
      <w:r w:rsidR="00190923" w:rsidRPr="00981405">
        <w:t xml:space="preserve"> </w:t>
      </w:r>
      <w:r w:rsidR="00397032" w:rsidRPr="00981405">
        <w:t>agreement,</w:t>
      </w:r>
      <w:r w:rsidR="00190923" w:rsidRPr="00981405">
        <w:t xml:space="preserve"> </w:t>
      </w:r>
      <w:r w:rsidR="00397032" w:rsidRPr="00981405">
        <w:t>any</w:t>
      </w:r>
      <w:r w:rsidR="00190923" w:rsidRPr="00981405">
        <w:t xml:space="preserve"> </w:t>
      </w:r>
      <w:r w:rsidR="00397032" w:rsidRPr="00981405">
        <w:t>conditions</w:t>
      </w:r>
      <w:r w:rsidR="00190923" w:rsidRPr="00981405">
        <w:t xml:space="preserve"> </w:t>
      </w:r>
      <w:r w:rsidR="00397032" w:rsidRPr="00981405">
        <w:t>to</w:t>
      </w:r>
      <w:r w:rsidR="00190923" w:rsidRPr="00981405">
        <w:t xml:space="preserve"> </w:t>
      </w:r>
      <w:r w:rsidR="00397032" w:rsidRPr="00981405">
        <w:t>which</w:t>
      </w:r>
      <w:r w:rsidR="00190923" w:rsidRPr="00981405">
        <w:t xml:space="preserve"> </w:t>
      </w:r>
      <w:r w:rsidR="00397032" w:rsidRPr="00981405">
        <w:t>such</w:t>
      </w:r>
      <w:r w:rsidR="00190923" w:rsidRPr="00981405">
        <w:t xml:space="preserve"> </w:t>
      </w:r>
      <w:r w:rsidR="00397032" w:rsidRPr="00981405">
        <w:t>consent</w:t>
      </w:r>
      <w:r w:rsidR="00190923" w:rsidRPr="00981405">
        <w:t xml:space="preserve"> </w:t>
      </w:r>
      <w:r w:rsidR="00397032" w:rsidRPr="00981405">
        <w:t>is</w:t>
      </w:r>
      <w:r w:rsidR="00190923" w:rsidRPr="00981405">
        <w:t xml:space="preserve"> </w:t>
      </w:r>
      <w:r w:rsidR="00397032" w:rsidRPr="00981405">
        <w:t>subject</w:t>
      </w:r>
      <w:r w:rsidR="00190923" w:rsidRPr="00981405">
        <w:t xml:space="preserve"> </w:t>
      </w:r>
      <w:r w:rsidR="00397032" w:rsidRPr="00981405">
        <w:t>must</w:t>
      </w:r>
      <w:r w:rsidR="00190923" w:rsidRPr="00981405">
        <w:t xml:space="preserve"> </w:t>
      </w:r>
      <w:r w:rsidR="00397032" w:rsidRPr="00981405">
        <w:t>be</w:t>
      </w:r>
      <w:r w:rsidR="00190923" w:rsidRPr="00981405">
        <w:t xml:space="preserve"> </w:t>
      </w:r>
      <w:r w:rsidR="00397032" w:rsidRPr="00981405">
        <w:t>regarded</w:t>
      </w:r>
      <w:r w:rsidR="00190923" w:rsidRPr="00981405">
        <w:t xml:space="preserve"> </w:t>
      </w:r>
      <w:r w:rsidR="00397032" w:rsidRPr="00981405">
        <w:t>as</w:t>
      </w:r>
      <w:r w:rsidR="00190923" w:rsidRPr="00981405">
        <w:t xml:space="preserve"> </w:t>
      </w:r>
      <w:r w:rsidR="00397032" w:rsidRPr="00981405">
        <w:t>constituting</w:t>
      </w:r>
      <w:r w:rsidR="00190923" w:rsidRPr="00981405">
        <w:t xml:space="preserve"> </w:t>
      </w:r>
      <w:r w:rsidR="00397032" w:rsidRPr="00981405">
        <w:t>the</w:t>
      </w:r>
      <w:r w:rsidR="00190923" w:rsidRPr="00981405">
        <w:t xml:space="preserve"> </w:t>
      </w:r>
      <w:r w:rsidR="00397032" w:rsidRPr="00981405">
        <w:t>limits</w:t>
      </w:r>
      <w:r w:rsidR="00190923" w:rsidRPr="00981405">
        <w:t xml:space="preserve"> </w:t>
      </w:r>
      <w:r w:rsidR="00397032" w:rsidRPr="00981405">
        <w:t>thereon.</w:t>
      </w:r>
      <w:r w:rsidR="00190923" w:rsidRPr="00981405">
        <w:t xml:space="preserve"> </w:t>
      </w:r>
      <w:r w:rsidR="00397032" w:rsidRPr="00981405">
        <w:t>The</w:t>
      </w:r>
      <w:r w:rsidR="00190923" w:rsidRPr="00981405">
        <w:t xml:space="preserve"> </w:t>
      </w:r>
      <w:r w:rsidR="00397032" w:rsidRPr="00981405">
        <w:t>Court</w:t>
      </w:r>
      <w:r w:rsidR="00190923" w:rsidRPr="00981405">
        <w:t xml:space="preserve"> </w:t>
      </w:r>
      <w:r w:rsidR="00397032" w:rsidRPr="00981405">
        <w:t>accordingly</w:t>
      </w:r>
      <w:r w:rsidR="00190923" w:rsidRPr="00981405">
        <w:t xml:space="preserve"> </w:t>
      </w:r>
      <w:r w:rsidR="00397032" w:rsidRPr="00981405">
        <w:t>considers</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examination</w:t>
      </w:r>
      <w:r w:rsidR="00190923" w:rsidRPr="00981405">
        <w:t xml:space="preserve"> </w:t>
      </w:r>
      <w:r w:rsidR="00397032" w:rsidRPr="00981405">
        <w:t>of</w:t>
      </w:r>
      <w:r w:rsidR="00190923" w:rsidRPr="00981405">
        <w:t xml:space="preserve"> </w:t>
      </w:r>
      <w:r w:rsidR="00397032" w:rsidRPr="00981405">
        <w:t>such</w:t>
      </w:r>
      <w:r w:rsidR="00190923" w:rsidRPr="00981405">
        <w:t xml:space="preserve"> </w:t>
      </w:r>
      <w:r w:rsidR="00397032" w:rsidRPr="00981405">
        <w:t>conditions</w:t>
      </w:r>
      <w:r w:rsidR="00190923" w:rsidRPr="00981405">
        <w:t xml:space="preserve"> </w:t>
      </w:r>
      <w:r w:rsidR="00397032" w:rsidRPr="00981405">
        <w:t>relates</w:t>
      </w:r>
      <w:r w:rsidR="00190923" w:rsidRPr="00981405">
        <w:t xml:space="preserve"> </w:t>
      </w:r>
      <w:r w:rsidR="00397032" w:rsidRPr="00981405">
        <w:t>to</w:t>
      </w:r>
      <w:r w:rsidR="00190923" w:rsidRPr="00981405">
        <w:t xml:space="preserve"> </w:t>
      </w:r>
      <w:r w:rsidR="00397032" w:rsidRPr="00981405">
        <w:t>its</w:t>
      </w:r>
      <w:r w:rsidR="00190923" w:rsidRPr="00981405">
        <w:t xml:space="preserve"> </w:t>
      </w:r>
      <w:r w:rsidR="00397032" w:rsidRPr="00981405">
        <w:t>jurisdiction</w:t>
      </w:r>
      <w:r w:rsidR="00190923" w:rsidRPr="00981405">
        <w:t xml:space="preserve"> </w:t>
      </w:r>
      <w:r w:rsidR="00397032" w:rsidRPr="00981405">
        <w:t>and</w:t>
      </w:r>
      <w:r w:rsidR="00190923" w:rsidRPr="00981405">
        <w:t xml:space="preserve"> </w:t>
      </w:r>
      <w:r w:rsidR="00397032" w:rsidRPr="00981405">
        <w:t>not</w:t>
      </w:r>
      <w:r w:rsidR="00190923" w:rsidRPr="00981405">
        <w:t xml:space="preserve"> </w:t>
      </w:r>
      <w:r w:rsidR="00397032" w:rsidRPr="00981405">
        <w:t>to</w:t>
      </w:r>
      <w:r w:rsidR="00190923" w:rsidRPr="00981405">
        <w:t xml:space="preserve"> </w:t>
      </w:r>
      <w:r w:rsidR="00397032" w:rsidRPr="00981405">
        <w:t>the</w:t>
      </w:r>
      <w:r w:rsidR="00190923" w:rsidRPr="00981405">
        <w:t xml:space="preserve"> </w:t>
      </w:r>
      <w:r w:rsidR="00397032" w:rsidRPr="00981405">
        <w:t>admissibility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application.</w:t>
      </w:r>
      <w:r w:rsidR="00B92E2C" w:rsidRPr="00981405">
        <w:t>”</w:t>
      </w:r>
      <w:r w:rsidR="00397032" w:rsidRPr="00981405">
        <w:rPr>
          <w:rStyle w:val="FootnoteReference"/>
        </w:rPr>
        <w:footnoteReference w:id="526"/>
      </w:r>
    </w:p>
    <w:p w:rsidR="00397032" w:rsidRPr="00981405" w:rsidRDefault="00397032" w:rsidP="00D97463">
      <w:pPr>
        <w:pStyle w:val="SingleTxt"/>
      </w:pPr>
      <w:r w:rsidRPr="00981405">
        <w:t>108.</w:t>
      </w:r>
      <w:r w:rsidRPr="00981405">
        <w:tab/>
        <w:t>The</w:t>
      </w:r>
      <w:r w:rsidR="00190923" w:rsidRPr="00981405">
        <w:t xml:space="preserve"> </w:t>
      </w:r>
      <w:r w:rsidRPr="00D97463">
        <w:rPr>
          <w:i/>
          <w:iCs/>
        </w:rPr>
        <w:t>ICS</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in</w:t>
      </w:r>
      <w:r w:rsidR="00190923" w:rsidRPr="00981405">
        <w:t xml:space="preserve"> </w:t>
      </w:r>
      <w:r w:rsidRPr="00981405">
        <w:t>the</w:t>
      </w:r>
      <w:r w:rsidR="00190923" w:rsidRPr="00981405">
        <w:t xml:space="preserve"> </w:t>
      </w:r>
      <w:r w:rsidRPr="00981405">
        <w:t>BIT</w:t>
      </w:r>
      <w:r w:rsidR="00190923" w:rsidRPr="00981405">
        <w:t xml:space="preserve"> </w:t>
      </w:r>
      <w:r w:rsidRPr="00981405">
        <w:t>was</w:t>
      </w:r>
      <w:r w:rsidR="00190923" w:rsidRPr="00981405">
        <w:t xml:space="preserve"> </w:t>
      </w:r>
      <w:r w:rsidRPr="00981405">
        <w:t>a</w:t>
      </w:r>
      <w:r w:rsidR="00190923" w:rsidRPr="00981405">
        <w:t xml:space="preserve"> </w:t>
      </w:r>
      <w:r w:rsidRPr="00981405">
        <w:t>prerequisite</w:t>
      </w:r>
      <w:r w:rsidR="00190923" w:rsidRPr="00981405">
        <w:t xml:space="preserve"> </w:t>
      </w:r>
      <w:r w:rsidRPr="00981405">
        <w:t>to</w:t>
      </w:r>
      <w:r w:rsidR="00190923" w:rsidRPr="00981405">
        <w:t xml:space="preserve"> </w:t>
      </w:r>
      <w:r w:rsidRPr="00981405">
        <w:t>Argentina</w:t>
      </w:r>
      <w:r w:rsidR="00B92E2C" w:rsidRPr="00981405">
        <w:t>’</w:t>
      </w:r>
      <w:r w:rsidRPr="00981405">
        <w:t>s</w:t>
      </w:r>
      <w:r w:rsidR="00190923" w:rsidRPr="00981405">
        <w:t xml:space="preserve"> </w:t>
      </w:r>
      <w:r w:rsidRPr="00981405">
        <w:t>acceptance</w:t>
      </w:r>
      <w:r w:rsidR="00190923" w:rsidRPr="00981405">
        <w:t xml:space="preserve"> </w:t>
      </w:r>
      <w:r w:rsidRPr="00981405">
        <w:t>of</w:t>
      </w:r>
      <w:r w:rsidR="00190923" w:rsidRPr="00981405">
        <w:t xml:space="preserve"> </w:t>
      </w:r>
      <w:r w:rsidRPr="00981405">
        <w:t>a</w:t>
      </w:r>
      <w:r w:rsidR="00190923" w:rsidRPr="00981405">
        <w:t xml:space="preserve"> </w:t>
      </w:r>
      <w:r w:rsidRPr="00981405">
        <w:t>claim</w:t>
      </w:r>
      <w:r w:rsidR="00190923" w:rsidRPr="00981405">
        <w:t xml:space="preserve"> </w:t>
      </w:r>
      <w:r w:rsidRPr="00981405">
        <w:t>being</w:t>
      </w:r>
      <w:r w:rsidR="00190923" w:rsidRPr="00981405">
        <w:t xml:space="preserve"> </w:t>
      </w:r>
      <w:r w:rsidRPr="00981405">
        <w:t>brought</w:t>
      </w:r>
      <w:r w:rsidR="00190923" w:rsidRPr="00981405">
        <w:t xml:space="preserve"> </w:t>
      </w:r>
      <w:r w:rsidRPr="00981405">
        <w:t>before</w:t>
      </w:r>
      <w:r w:rsidR="00190923" w:rsidRPr="00981405">
        <w:t xml:space="preserve"> </w:t>
      </w:r>
      <w:r w:rsidRPr="00981405">
        <w:t>the</w:t>
      </w:r>
      <w:r w:rsidR="00190923" w:rsidRPr="00981405">
        <w:t xml:space="preserve"> </w:t>
      </w:r>
      <w:r w:rsidRPr="00981405">
        <w:t>tribunal</w:t>
      </w:r>
      <w:r w:rsidR="00190923" w:rsidRPr="00981405">
        <w:t xml:space="preserve"> </w:t>
      </w:r>
      <w:r w:rsidRPr="00981405">
        <w:t>and</w:t>
      </w:r>
      <w:r w:rsidR="00190923" w:rsidRPr="00981405">
        <w:t xml:space="preserve"> </w:t>
      </w:r>
      <w:r w:rsidRPr="00981405">
        <w:t>that</w:t>
      </w:r>
      <w:r w:rsidR="00190923" w:rsidRPr="00981405">
        <w:t xml:space="preserve"> </w:t>
      </w:r>
      <w:r w:rsidR="00B92E2C" w:rsidRPr="00981405">
        <w:t>“</w:t>
      </w:r>
      <w:r w:rsidRPr="00981405">
        <w:t>failure</w:t>
      </w:r>
      <w:r w:rsidR="00190923" w:rsidRPr="00981405">
        <w:t xml:space="preserve"> </w:t>
      </w:r>
      <w:r w:rsidRPr="00981405">
        <w:t>to</w:t>
      </w:r>
      <w:r w:rsidR="00190923" w:rsidRPr="00981405">
        <w:t xml:space="preserve"> </w:t>
      </w:r>
      <w:r w:rsidRPr="00981405">
        <w:t>respect</w:t>
      </w:r>
      <w:r w:rsidR="00190923" w:rsidRPr="00981405">
        <w:t xml:space="preserve"> </w:t>
      </w:r>
      <w:r w:rsidRPr="00981405">
        <w:t>the</w:t>
      </w:r>
      <w:r w:rsidR="00190923" w:rsidRPr="00981405">
        <w:t xml:space="preserve"> </w:t>
      </w:r>
      <w:r w:rsidRPr="00981405">
        <w:t>pre-condition</w:t>
      </w:r>
      <w:r w:rsidR="00190923" w:rsidRPr="00981405">
        <w:t xml:space="preserve"> </w:t>
      </w:r>
      <w:r w:rsidRPr="00981405">
        <w:t>to</w:t>
      </w:r>
      <w:r w:rsidR="00190923" w:rsidRPr="00981405">
        <w:t xml:space="preserve"> </w:t>
      </w:r>
      <w:r w:rsidRPr="00981405">
        <w:t>the</w:t>
      </w:r>
      <w:r w:rsidR="00190923" w:rsidRPr="00981405">
        <w:t xml:space="preserve"> </w:t>
      </w:r>
      <w:r w:rsidRPr="00981405">
        <w:t>Respondent</w:t>
      </w:r>
      <w:r w:rsidR="00B92E2C" w:rsidRPr="00981405">
        <w:t>’</w:t>
      </w:r>
      <w:r w:rsidRPr="00981405">
        <w:t>s</w:t>
      </w:r>
      <w:r w:rsidR="00190923" w:rsidRPr="00981405">
        <w:t xml:space="preserve"> </w:t>
      </w:r>
      <w:r w:rsidRPr="00981405">
        <w:t>consent</w:t>
      </w:r>
      <w:r w:rsidR="00190923" w:rsidRPr="00981405">
        <w:t xml:space="preserve"> </w:t>
      </w:r>
      <w:r w:rsidRPr="00981405">
        <w:t>to</w:t>
      </w:r>
      <w:r w:rsidR="00190923" w:rsidRPr="00981405">
        <w:t xml:space="preserve"> </w:t>
      </w:r>
      <w:r w:rsidRPr="00981405">
        <w:t>arbitrate</w:t>
      </w:r>
      <w:r w:rsidR="00190923" w:rsidRPr="00981405">
        <w:t xml:space="preserve"> </w:t>
      </w:r>
      <w:r w:rsidRPr="00981405">
        <w:t>cannot</w:t>
      </w:r>
      <w:r w:rsidR="00190923" w:rsidRPr="00981405">
        <w:t xml:space="preserve"> </w:t>
      </w:r>
      <w:r w:rsidRPr="00981405">
        <w:t>but</w:t>
      </w:r>
      <w:r w:rsidR="00190923" w:rsidRPr="00981405">
        <w:t xml:space="preserve"> </w:t>
      </w:r>
      <w:r w:rsidRPr="00981405">
        <w:t>lead</w:t>
      </w:r>
      <w:r w:rsidR="00190923" w:rsidRPr="00981405">
        <w:t xml:space="preserve"> </w:t>
      </w:r>
      <w:r w:rsidRPr="00981405">
        <w:t>to</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the</w:t>
      </w:r>
      <w:r w:rsidR="00190923" w:rsidRPr="00981405">
        <w:t xml:space="preserve"> </w:t>
      </w:r>
      <w:r w:rsidRPr="00981405">
        <w:t>Tribunal</w:t>
      </w:r>
      <w:r w:rsidR="00190923" w:rsidRPr="00981405">
        <w:t xml:space="preserve"> </w:t>
      </w:r>
      <w:r w:rsidRPr="00981405">
        <w:t>lacks</w:t>
      </w:r>
      <w:r w:rsidR="00190923" w:rsidRPr="00981405">
        <w:t xml:space="preserve"> </w:t>
      </w:r>
      <w:r w:rsidRPr="00981405">
        <w:t>jurisdiction</w:t>
      </w:r>
      <w:r w:rsidR="00190923" w:rsidRPr="00981405">
        <w:t xml:space="preserve"> </w:t>
      </w:r>
      <w:r w:rsidRPr="00981405">
        <w:t>over</w:t>
      </w:r>
      <w:r w:rsidR="00190923" w:rsidRPr="00981405">
        <w:t xml:space="preserve"> </w:t>
      </w:r>
      <w:r w:rsidRPr="00981405">
        <w:t>the</w:t>
      </w:r>
      <w:r w:rsidR="00190923" w:rsidRPr="00981405">
        <w:t xml:space="preserve"> </w:t>
      </w:r>
      <w:r w:rsidRPr="00981405">
        <w:t>present</w:t>
      </w:r>
      <w:r w:rsidR="00190923" w:rsidRPr="00981405">
        <w:t xml:space="preserve"> </w:t>
      </w:r>
      <w:r w:rsidRPr="00981405">
        <w:t>dispute.</w:t>
      </w:r>
      <w:r w:rsidR="00B92E2C" w:rsidRPr="00981405">
        <w:t>”</w:t>
      </w:r>
      <w:r w:rsidRPr="00981405">
        <w:rPr>
          <w:rStyle w:val="FootnoteReference"/>
        </w:rPr>
        <w:footnoteReference w:id="527"/>
      </w:r>
      <w:r w:rsidR="00190923" w:rsidRPr="00981405">
        <w:t xml:space="preserve"> </w:t>
      </w:r>
    </w:p>
    <w:p w:rsidR="00397032" w:rsidRPr="00981405" w:rsidRDefault="00397032" w:rsidP="00D97463">
      <w:pPr>
        <w:pStyle w:val="SingleTxt"/>
      </w:pPr>
      <w:r w:rsidRPr="00981405">
        <w:t>109.</w:t>
      </w:r>
      <w:r w:rsidRPr="00981405">
        <w:tab/>
        <w:t>In</w:t>
      </w:r>
      <w:r w:rsidR="00190923" w:rsidRPr="00981405">
        <w:t xml:space="preserve"> </w:t>
      </w:r>
      <w:r w:rsidRPr="00981405">
        <w:t>deciding</w:t>
      </w:r>
      <w:r w:rsidR="00190923" w:rsidRPr="00981405">
        <w:t xml:space="preserve"> </w:t>
      </w:r>
      <w:r w:rsidRPr="00981405">
        <w:t>whether</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was</w:t>
      </w:r>
      <w:r w:rsidR="00190923" w:rsidRPr="00981405">
        <w:t xml:space="preserve"> </w:t>
      </w:r>
      <w:r w:rsidRPr="00981405">
        <w:t>a</w:t>
      </w:r>
      <w:r w:rsidR="00190923" w:rsidRPr="00981405">
        <w:t xml:space="preserve"> </w:t>
      </w:r>
      <w:r w:rsidRPr="00981405">
        <w:t>matter</w:t>
      </w:r>
      <w:r w:rsidR="00190923" w:rsidRPr="00981405">
        <w:t xml:space="preserve"> </w:t>
      </w:r>
      <w:r w:rsidRPr="00981405">
        <w:t>relating</w:t>
      </w:r>
      <w:r w:rsidR="00190923" w:rsidRPr="00981405">
        <w:t xml:space="preserve"> </w:t>
      </w:r>
      <w:r w:rsidRPr="00981405">
        <w:t>to</w:t>
      </w:r>
      <w:r w:rsidR="00190923" w:rsidRPr="00981405">
        <w:t xml:space="preserve"> </w:t>
      </w:r>
      <w:r w:rsidRPr="00981405">
        <w:t>jurisdiction,</w:t>
      </w:r>
      <w:r w:rsidR="00190923" w:rsidRPr="00981405">
        <w:t xml:space="preserve"> </w:t>
      </w:r>
      <w:r w:rsidRPr="00981405">
        <w:t>the</w:t>
      </w:r>
      <w:r w:rsidR="00190923" w:rsidRPr="00981405">
        <w:t xml:space="preserve"> </w:t>
      </w:r>
      <w:r w:rsidRPr="00D97463">
        <w:rPr>
          <w:i/>
          <w:iCs/>
        </w:rPr>
        <w:t>ICS</w:t>
      </w:r>
      <w:r w:rsidR="00190923" w:rsidRPr="00981405">
        <w:t xml:space="preserve"> </w:t>
      </w:r>
      <w:r w:rsidRPr="00981405">
        <w:t>tribunal</w:t>
      </w:r>
      <w:r w:rsidR="00190923" w:rsidRPr="00981405">
        <w:t xml:space="preserve"> </w:t>
      </w:r>
      <w:r w:rsidRPr="00981405">
        <w:t>looked</w:t>
      </w:r>
      <w:r w:rsidR="00190923" w:rsidRPr="00981405">
        <w:t xml:space="preserve"> </w:t>
      </w:r>
      <w:r w:rsidRPr="00981405">
        <w:t>at</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the</w:t>
      </w:r>
      <w:r w:rsidR="00190923" w:rsidRPr="00981405">
        <w:t xml:space="preserve"> </w:t>
      </w:r>
      <w:r w:rsidRPr="00981405">
        <w:t>word</w:t>
      </w:r>
      <w:r w:rsidR="00190923" w:rsidRPr="00981405">
        <w:t xml:space="preserve"> </w:t>
      </w:r>
      <w:r w:rsidR="00B92E2C" w:rsidRPr="00981405">
        <w:t>“</w:t>
      </w:r>
      <w:r w:rsidRPr="00981405">
        <w:t>treatment</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UK-Argentine</w:t>
      </w:r>
      <w:r w:rsidR="00190923" w:rsidRPr="00981405">
        <w:t xml:space="preserve"> </w:t>
      </w:r>
      <w:r w:rsidRPr="00981405">
        <w:t>BIT.</w:t>
      </w:r>
      <w:r w:rsidR="00190923" w:rsidRPr="00981405">
        <w:t xml:space="preserve"> </w:t>
      </w:r>
      <w:r w:rsidRPr="00981405">
        <w:t>It</w:t>
      </w:r>
      <w:r w:rsidR="00190923" w:rsidRPr="00981405">
        <w:t xml:space="preserve"> </w:t>
      </w:r>
      <w:r w:rsidRPr="00981405">
        <w:t>accepted</w:t>
      </w:r>
      <w:r w:rsidR="00190923" w:rsidRPr="00981405">
        <w:t xml:space="preserve"> </w:t>
      </w:r>
      <w:r w:rsidRPr="00981405">
        <w:t>that</w:t>
      </w:r>
      <w:r w:rsidR="00190923" w:rsidRPr="00981405">
        <w:t xml:space="preserve"> </w:t>
      </w:r>
      <w:r w:rsidR="00B92E2C" w:rsidRPr="00981405">
        <w:t>“</w:t>
      </w:r>
      <w:r w:rsidRPr="00981405">
        <w:t>treatment</w:t>
      </w:r>
      <w:r w:rsidR="00B92E2C" w:rsidRPr="00981405">
        <w:t>”</w:t>
      </w:r>
      <w:r w:rsidR="00190923" w:rsidRPr="00981405">
        <w:t xml:space="preserve"> </w:t>
      </w:r>
      <w:r w:rsidRPr="00981405">
        <w:t>can</w:t>
      </w:r>
      <w:r w:rsidR="00190923" w:rsidRPr="00981405">
        <w:t xml:space="preserve"> </w:t>
      </w:r>
      <w:r w:rsidRPr="00981405">
        <w:t>have</w:t>
      </w:r>
      <w:r w:rsidR="00190923" w:rsidRPr="00981405">
        <w:t xml:space="preserve"> </w:t>
      </w:r>
      <w:r w:rsidRPr="00981405">
        <w:t>a</w:t>
      </w:r>
      <w:r w:rsidR="00190923" w:rsidRPr="00981405">
        <w:t xml:space="preserve"> </w:t>
      </w:r>
      <w:r w:rsidRPr="00981405">
        <w:t>broad</w:t>
      </w:r>
      <w:r w:rsidR="00190923" w:rsidRPr="00981405">
        <w:t xml:space="preserve"> </w:t>
      </w:r>
      <w:r w:rsidRPr="00981405">
        <w:t>meaning</w:t>
      </w:r>
      <w:r w:rsidR="00190923" w:rsidRPr="00981405">
        <w:t xml:space="preserve"> </w:t>
      </w:r>
      <w:r w:rsidRPr="00981405">
        <w:t>and</w:t>
      </w:r>
      <w:r w:rsidR="00190923" w:rsidRPr="00981405">
        <w:t xml:space="preserve"> </w:t>
      </w:r>
      <w:r w:rsidRPr="00981405">
        <w:t>that</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inherent</w:t>
      </w:r>
      <w:r w:rsidR="00190923" w:rsidRPr="00981405">
        <w:t xml:space="preserve"> </w:t>
      </w:r>
      <w:r w:rsidRPr="00981405">
        <w:t>limitation</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matters.</w:t>
      </w:r>
      <w:r w:rsidR="00190923" w:rsidRPr="00981405">
        <w:t xml:space="preserve"> </w:t>
      </w:r>
      <w:r w:rsidRPr="00981405">
        <w:t>However,</w:t>
      </w:r>
      <w:r w:rsidR="00190923" w:rsidRPr="00981405">
        <w:t xml:space="preserve"> </w:t>
      </w:r>
      <w:r w:rsidRPr="00981405">
        <w:t>applying</w:t>
      </w:r>
      <w:r w:rsidR="00190923" w:rsidRPr="00981405">
        <w:t xml:space="preserve"> </w:t>
      </w:r>
      <w:r w:rsidRPr="00981405">
        <w:t>what</w:t>
      </w:r>
      <w:r w:rsidR="00190923" w:rsidRPr="00981405">
        <w:t xml:space="preserve"> </w:t>
      </w:r>
      <w:r w:rsidRPr="00981405">
        <w:t>it</w:t>
      </w:r>
      <w:r w:rsidR="00190923" w:rsidRPr="00981405">
        <w:t xml:space="preserve"> </w:t>
      </w:r>
      <w:r w:rsidRPr="00981405">
        <w:t>referred</w:t>
      </w:r>
      <w:r w:rsidR="00190923" w:rsidRPr="00981405">
        <w:t xml:space="preserve"> </w:t>
      </w:r>
      <w:r w:rsidRPr="00981405">
        <w:t>to</w:t>
      </w:r>
      <w:r w:rsidR="00190923" w:rsidRPr="00981405">
        <w:t xml:space="preserve"> </w:t>
      </w:r>
      <w:r w:rsidRPr="00981405">
        <w:t>as</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00B92E2C" w:rsidRPr="00981405">
        <w:t>“</w:t>
      </w:r>
      <w:r w:rsidRPr="00981405">
        <w:t>contemporaneity</w:t>
      </w:r>
      <w:r w:rsidR="00190923" w:rsidRPr="00981405">
        <w:t xml:space="preserve"> </w:t>
      </w:r>
      <w:r w:rsidRPr="00981405">
        <w:t>in</w:t>
      </w:r>
      <w:r w:rsidR="00190923" w:rsidRPr="00981405">
        <w:t xml:space="preserve"> </w:t>
      </w:r>
      <w:r w:rsidRPr="00981405">
        <w:t>treaty</w:t>
      </w:r>
      <w:r w:rsidR="00190923" w:rsidRPr="00981405">
        <w:t xml:space="preserve"> </w:t>
      </w:r>
      <w:r w:rsidRPr="00981405">
        <w:t>interpretation,</w:t>
      </w:r>
      <w:r w:rsidR="00B92E2C" w:rsidRPr="00981405">
        <w:t>”</w:t>
      </w:r>
      <w:r w:rsidRPr="00981405">
        <w:rPr>
          <w:rStyle w:val="FootnoteReference"/>
        </w:rPr>
        <w:footnoteReference w:id="528"/>
      </w:r>
      <w:r w:rsidR="00190923" w:rsidRPr="00981405">
        <w:t xml:space="preserve"> </w:t>
      </w:r>
      <w:r w:rsidRPr="00981405">
        <w:t>the</w:t>
      </w:r>
      <w:r w:rsidR="00190923" w:rsidRPr="00981405">
        <w:t xml:space="preserve"> </w:t>
      </w:r>
      <w:r w:rsidRPr="00981405">
        <w:t>tribunal</w:t>
      </w:r>
      <w:r w:rsidR="00190923" w:rsidRPr="00981405">
        <w:t xml:space="preserve"> </w:t>
      </w:r>
      <w:r w:rsidRPr="00981405">
        <w:t>considered</w:t>
      </w:r>
      <w:r w:rsidR="00190923" w:rsidRPr="00981405">
        <w:t xml:space="preserve"> </w:t>
      </w:r>
      <w:r w:rsidRPr="00981405">
        <w:t>what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would</w:t>
      </w:r>
      <w:r w:rsidR="00190923" w:rsidRPr="00981405">
        <w:t xml:space="preserve"> </w:t>
      </w:r>
      <w:r w:rsidRPr="00981405">
        <w:t>have</w:t>
      </w:r>
      <w:r w:rsidR="00190923" w:rsidRPr="00981405">
        <w:t xml:space="preserve"> </w:t>
      </w:r>
      <w:r w:rsidRPr="00981405">
        <w:t>understood</w:t>
      </w:r>
      <w:r w:rsidR="00190923" w:rsidRPr="00981405">
        <w:t xml:space="preserve"> </w:t>
      </w:r>
      <w:r w:rsidRPr="00981405">
        <w:t>by</w:t>
      </w:r>
      <w:r w:rsidR="00190923" w:rsidRPr="00981405">
        <w:t xml:space="preserve"> </w:t>
      </w:r>
      <w:r w:rsidRPr="00981405">
        <w:t>the</w:t>
      </w:r>
      <w:r w:rsidR="00190923" w:rsidRPr="00981405">
        <w:t xml:space="preserve"> </w:t>
      </w:r>
      <w:r w:rsidRPr="00981405">
        <w:t>term</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of</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BIT.</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jurisprudence</w:t>
      </w:r>
      <w:r w:rsidR="00190923" w:rsidRPr="00981405">
        <w:t xml:space="preserve"> </w:t>
      </w:r>
      <w:r w:rsidRPr="00981405">
        <w:t>of</w:t>
      </w:r>
      <w:r w:rsidR="00190923" w:rsidRPr="00981405">
        <w:t xml:space="preserve"> </w:t>
      </w:r>
      <w:r w:rsidRPr="00981405">
        <w:t>the</w:t>
      </w:r>
      <w:r w:rsidR="00190923" w:rsidRPr="00981405">
        <w:t xml:space="preserve"> </w:t>
      </w:r>
      <w:r w:rsidRPr="00981405">
        <w:t>time,</w:t>
      </w:r>
      <w:r w:rsidR="00190923" w:rsidRPr="00981405">
        <w:t xml:space="preserve"> </w:t>
      </w:r>
      <w:r w:rsidRPr="00981405">
        <w:t>and</w:t>
      </w:r>
      <w:r w:rsidR="00190923" w:rsidRPr="00981405">
        <w:t xml:space="preserve"> </w:t>
      </w:r>
      <w:r w:rsidRPr="00981405">
        <w:t>the</w:t>
      </w:r>
      <w:r w:rsidR="00190923" w:rsidRPr="00981405">
        <w:t xml:space="preserve"> </w:t>
      </w:r>
      <w:r w:rsidRPr="00981405">
        <w:t>World</w:t>
      </w:r>
      <w:r w:rsidR="00190923" w:rsidRPr="00981405">
        <w:t xml:space="preserve"> </w:t>
      </w:r>
      <w:r w:rsidRPr="00981405">
        <w:t>Bank</w:t>
      </w:r>
      <w:r w:rsidR="00190923" w:rsidRPr="00981405">
        <w:t xml:space="preserve"> </w:t>
      </w:r>
      <w:r w:rsidRPr="00981405">
        <w:t>draft</w:t>
      </w:r>
      <w:r w:rsidR="00190923" w:rsidRPr="00981405">
        <w:t xml:space="preserve"> </w:t>
      </w:r>
      <w:r w:rsidRPr="00981405">
        <w:t>guidelines</w:t>
      </w:r>
      <w:r w:rsidR="00190923" w:rsidRPr="00981405">
        <w:t xml:space="preserve"> </w:t>
      </w:r>
      <w:r w:rsidRPr="00981405">
        <w:t>on</w:t>
      </w:r>
      <w:r w:rsidR="00190923" w:rsidRPr="00981405">
        <w:t xml:space="preserve"> </w:t>
      </w:r>
      <w:r w:rsidRPr="00981405">
        <w:t>the</w:t>
      </w:r>
      <w:r w:rsidR="00190923" w:rsidRPr="00981405">
        <w:t xml:space="preserve"> </w:t>
      </w:r>
      <w:r w:rsidRPr="00981405">
        <w:t>treatment</w:t>
      </w:r>
      <w:r w:rsidR="00190923" w:rsidRPr="00981405">
        <w:t xml:space="preserve"> </w:t>
      </w:r>
      <w:r w:rsidRPr="00981405">
        <w:t>of</w:t>
      </w:r>
      <w:r w:rsidR="00190923" w:rsidRPr="00981405">
        <w:t xml:space="preserve"> </w:t>
      </w:r>
      <w:r w:rsidRPr="00981405">
        <w:t>foreign</w:t>
      </w:r>
      <w:r w:rsidR="00190923" w:rsidRPr="00981405">
        <w:t xml:space="preserve"> </w:t>
      </w:r>
      <w:r w:rsidRPr="00981405">
        <w:t>direct</w:t>
      </w:r>
      <w:r w:rsidR="00190923" w:rsidRPr="00981405">
        <w:t xml:space="preserve"> </w:t>
      </w:r>
      <w:r w:rsidRPr="00981405">
        <w:t>investment,</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were</w:t>
      </w:r>
      <w:r w:rsidR="00190923" w:rsidRPr="00981405">
        <w:t xml:space="preserve"> </w:t>
      </w:r>
      <w:r w:rsidRPr="00981405">
        <w:t>most</w:t>
      </w:r>
      <w:r w:rsidR="00190923" w:rsidRPr="00981405">
        <w:t xml:space="preserve"> </w:t>
      </w:r>
      <w:r w:rsidRPr="00981405">
        <w:t>likely</w:t>
      </w:r>
      <w:r w:rsidR="00190923" w:rsidRPr="00981405">
        <w:t xml:space="preserve"> </w:t>
      </w:r>
      <w:r w:rsidRPr="00981405">
        <w:t>to</w:t>
      </w:r>
      <w:r w:rsidR="00190923" w:rsidRPr="00981405">
        <w:t xml:space="preserve"> </w:t>
      </w:r>
      <w:r w:rsidRPr="00981405">
        <w:t>have</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treatment</w:t>
      </w:r>
      <w:r w:rsidR="00B92E2C" w:rsidRPr="00981405">
        <w:t>”</w:t>
      </w:r>
      <w:r w:rsidR="00190923" w:rsidRPr="00981405">
        <w:t xml:space="preserve"> </w:t>
      </w:r>
      <w:r w:rsidRPr="00981405">
        <w:t>related</w:t>
      </w:r>
      <w:r w:rsidR="00190923" w:rsidRPr="00981405">
        <w:t xml:space="preserve"> </w:t>
      </w:r>
      <w:r w:rsidRPr="00981405">
        <w:t>only</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obligations.</w:t>
      </w:r>
    </w:p>
    <w:p w:rsidR="00397032" w:rsidRPr="00981405" w:rsidRDefault="00397032" w:rsidP="00D97463">
      <w:pPr>
        <w:pStyle w:val="SingleTxt"/>
      </w:pPr>
      <w:r w:rsidRPr="00981405">
        <w:t>110.</w:t>
      </w:r>
      <w:r w:rsidRPr="00981405">
        <w:tab/>
        <w:t>The</w:t>
      </w:r>
      <w:r w:rsidR="00190923" w:rsidRPr="00981405">
        <w:t xml:space="preserve"> </w:t>
      </w:r>
      <w:r w:rsidRPr="00D97463">
        <w:rPr>
          <w:i/>
          <w:iCs/>
        </w:rPr>
        <w:t>ICS</w:t>
      </w:r>
      <w:r w:rsidR="00190923" w:rsidRPr="00981405">
        <w:t xml:space="preserve"> </w:t>
      </w:r>
      <w:r w:rsidRPr="00981405">
        <w:t>tribunal</w:t>
      </w:r>
      <w:r w:rsidR="00190923" w:rsidRPr="00981405">
        <w:t xml:space="preserve"> </w:t>
      </w:r>
      <w:r w:rsidRPr="00981405">
        <w:t>also</w:t>
      </w:r>
      <w:r w:rsidR="00190923" w:rsidRPr="00981405">
        <w:t xml:space="preserve"> </w:t>
      </w:r>
      <w:r w:rsidRPr="00981405">
        <w:t>pointed</w:t>
      </w:r>
      <w:r w:rsidR="00190923" w:rsidRPr="00981405">
        <w:t xml:space="preserve"> </w:t>
      </w:r>
      <w:r w:rsidRPr="00981405">
        <w:t>to:</w:t>
      </w:r>
      <w:r w:rsidR="00190923" w:rsidRPr="00981405">
        <w:t xml:space="preserve"> </w:t>
      </w:r>
      <w:r w:rsidRPr="00981405">
        <w:t>(a)</w:t>
      </w:r>
      <w:r w:rsidR="00190923" w:rsidRPr="00981405">
        <w:t xml:space="preserve"> </w:t>
      </w:r>
      <w:r w:rsidRPr="00981405">
        <w:t>the</w:t>
      </w:r>
      <w:r w:rsidR="00190923" w:rsidRPr="00981405">
        <w:t xml:space="preserve"> </w:t>
      </w:r>
      <w:r w:rsidRPr="00981405">
        <w:t>limitation</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r w:rsidR="00190923" w:rsidRPr="00981405">
        <w:t xml:space="preserve"> </w:t>
      </w:r>
      <w:r w:rsidRPr="00981405">
        <w:t>under</w:t>
      </w:r>
      <w:r w:rsidR="00190923" w:rsidRPr="00981405">
        <w:t xml:space="preserve"> </w:t>
      </w:r>
      <w:r w:rsidRPr="00981405">
        <w:t>the</w:t>
      </w:r>
      <w:r w:rsidR="00190923" w:rsidRPr="00981405">
        <w:t xml:space="preserve"> </w:t>
      </w:r>
      <w:r w:rsidRPr="00981405">
        <w:t>BIT</w:t>
      </w:r>
      <w:r w:rsidR="00190923" w:rsidRPr="00981405">
        <w:t xml:space="preserve"> </w:t>
      </w:r>
      <w:r w:rsidRPr="00981405">
        <w:t>to</w:t>
      </w:r>
      <w:r w:rsidR="00190923" w:rsidRPr="00981405">
        <w:t xml:space="preserve"> </w:t>
      </w:r>
      <w:r w:rsidRPr="00981405">
        <w:t>the</w:t>
      </w:r>
      <w:r w:rsidR="00190923" w:rsidRPr="00981405">
        <w:t xml:space="preserve"> </w:t>
      </w:r>
      <w:r w:rsidR="00B92E2C" w:rsidRPr="00981405">
        <w:t>“</w:t>
      </w:r>
      <w:r w:rsidRPr="00981405">
        <w:t>management,</w:t>
      </w:r>
      <w:r w:rsidR="00190923" w:rsidRPr="00981405">
        <w:t xml:space="preserve"> </w:t>
      </w:r>
      <w:r w:rsidRPr="00981405">
        <w:t>maintenance,</w:t>
      </w:r>
      <w:r w:rsidR="00190923" w:rsidRPr="00981405">
        <w:t xml:space="preserve"> </w:t>
      </w:r>
      <w:r w:rsidRPr="00981405">
        <w:t>use,</w:t>
      </w:r>
      <w:r w:rsidR="00190923" w:rsidRPr="00981405">
        <w:t xml:space="preserve"> </w:t>
      </w:r>
      <w:r w:rsidRPr="00981405">
        <w:t>enjoyment</w:t>
      </w:r>
      <w:r w:rsidR="00190923" w:rsidRPr="00981405">
        <w:t xml:space="preserve"> </w:t>
      </w:r>
      <w:r w:rsidRPr="00981405">
        <w:t>or</w:t>
      </w:r>
      <w:r w:rsidR="00190923" w:rsidRPr="00981405">
        <w:t xml:space="preserve"> </w:t>
      </w:r>
      <w:r w:rsidRPr="00981405">
        <w:t>disposal</w:t>
      </w:r>
      <w:r w:rsidR="00B92E2C" w:rsidRPr="00981405">
        <w:t>”</w:t>
      </w:r>
      <w:r w:rsidR="00190923" w:rsidRPr="00981405">
        <w:t xml:space="preserve"> </w:t>
      </w:r>
      <w:r w:rsidRPr="00981405">
        <w:t>of</w:t>
      </w:r>
      <w:r w:rsidR="00190923" w:rsidRPr="00981405">
        <w:t xml:space="preserve"> </w:t>
      </w:r>
      <w:r w:rsidRPr="00981405">
        <w:t>investments;</w:t>
      </w:r>
      <w:r w:rsidR="00190923" w:rsidRPr="00981405">
        <w:t xml:space="preserve"> </w:t>
      </w:r>
      <w:r w:rsidRPr="00981405">
        <w:t>(b)</w:t>
      </w:r>
      <w:r w:rsidR="00190923" w:rsidRPr="00981405">
        <w:t xml:space="preserve"> </w:t>
      </w:r>
      <w:r w:rsidRPr="00981405">
        <w:t>the</w:t>
      </w:r>
      <w:r w:rsidR="00190923" w:rsidRPr="00981405">
        <w:t xml:space="preserve"> </w:t>
      </w:r>
      <w:r w:rsidRPr="00981405">
        <w:t>limitation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to</w:t>
      </w:r>
      <w:r w:rsidR="00190923" w:rsidRPr="00981405">
        <w:t xml:space="preserve"> </w:t>
      </w:r>
      <w:r w:rsidRPr="00981405">
        <w:t>treatment</w:t>
      </w:r>
      <w:r w:rsidR="00190923" w:rsidRPr="00981405">
        <w:t xml:space="preserve"> </w:t>
      </w:r>
      <w:r w:rsidRPr="00981405">
        <w:t>by</w:t>
      </w:r>
      <w:r w:rsidR="00190923" w:rsidRPr="00981405">
        <w:t xml:space="preserve"> </w:t>
      </w:r>
      <w:r w:rsidRPr="00981405">
        <w:t>the</w:t>
      </w:r>
      <w:r w:rsidR="00190923" w:rsidRPr="00981405">
        <w:t xml:space="preserve"> </w:t>
      </w:r>
      <w:r w:rsidRPr="00981405">
        <w:t>host</w:t>
      </w:r>
      <w:r w:rsidR="00190923" w:rsidRPr="00981405">
        <w:t xml:space="preserve"> </w:t>
      </w:r>
      <w:r w:rsidRPr="00981405">
        <w:t>State</w:t>
      </w:r>
      <w:r w:rsidR="00190923" w:rsidRPr="00981405">
        <w:t xml:space="preserve"> </w:t>
      </w:r>
      <w:r w:rsidR="00B92E2C" w:rsidRPr="00981405">
        <w:t>“</w:t>
      </w:r>
      <w:r w:rsidRPr="00981405">
        <w:t>within</w:t>
      </w:r>
      <w:r w:rsidR="00190923" w:rsidRPr="00981405">
        <w:t xml:space="preserve"> </w:t>
      </w:r>
      <w:r w:rsidRPr="00981405">
        <w:t>its</w:t>
      </w:r>
      <w:r w:rsidR="00190923" w:rsidRPr="00981405">
        <w:t xml:space="preserve"> </w:t>
      </w:r>
      <w:r w:rsidRPr="00981405">
        <w:t>territory</w:t>
      </w:r>
      <w:r w:rsidR="00B92E2C" w:rsidRPr="00981405">
        <w:t>”</w:t>
      </w:r>
      <w:r w:rsidRPr="00981405">
        <w:t>;</w:t>
      </w:r>
      <w:r w:rsidR="00190923" w:rsidRPr="00981405">
        <w:t xml:space="preserve"> </w:t>
      </w:r>
      <w:r w:rsidRPr="00981405">
        <w:t>(c)</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exceptions</w:t>
      </w:r>
      <w:r w:rsidR="00190923" w:rsidRPr="00981405">
        <w:t xml:space="preserve"> </w:t>
      </w:r>
      <w:r w:rsidRPr="00981405">
        <w:t>to</w:t>
      </w:r>
      <w:r w:rsidR="00190923" w:rsidRPr="00981405">
        <w:t xml:space="preserve"> </w:t>
      </w:r>
      <w:r w:rsidRPr="00981405">
        <w:t>MFN</w:t>
      </w:r>
      <w:r w:rsidR="00190923" w:rsidRPr="00981405">
        <w:t xml:space="preserve"> </w:t>
      </w:r>
      <w:r w:rsidRPr="00981405">
        <w:t>treatment</w:t>
      </w:r>
      <w:r w:rsidR="00190923" w:rsidRPr="00981405">
        <w:t xml:space="preserve"> </w:t>
      </w:r>
      <w:r w:rsidRPr="00981405">
        <w:t>under</w:t>
      </w:r>
      <w:r w:rsidR="00190923" w:rsidRPr="00981405">
        <w:t xml:space="preserve"> </w:t>
      </w:r>
      <w:r w:rsidRPr="00981405">
        <w:t>the</w:t>
      </w:r>
      <w:r w:rsidR="00190923" w:rsidRPr="00981405">
        <w:t xml:space="preserve"> </w:t>
      </w:r>
      <w:r w:rsidRPr="00981405">
        <w:t>BIT</w:t>
      </w:r>
      <w:r w:rsidR="00190923" w:rsidRPr="00981405">
        <w:t xml:space="preserve"> </w:t>
      </w:r>
      <w:r w:rsidRPr="00981405">
        <w:t>relate</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matters</w:t>
      </w:r>
      <w:r w:rsidR="00190923" w:rsidRPr="00981405">
        <w:t xml:space="preserve"> </w:t>
      </w:r>
      <w:r w:rsidRPr="00981405">
        <w:t>only;</w:t>
      </w:r>
      <w:r w:rsidR="00190923" w:rsidRPr="00981405">
        <w:t xml:space="preserve"> </w:t>
      </w:r>
      <w:r w:rsidRPr="00981405">
        <w:t>and</w:t>
      </w:r>
      <w:r w:rsidR="00190923" w:rsidRPr="00981405">
        <w:t xml:space="preserve"> </w:t>
      </w:r>
      <w:r w:rsidRPr="00981405">
        <w:t>(d)</w:t>
      </w:r>
      <w:r w:rsidR="00190923" w:rsidRPr="00981405">
        <w:t xml:space="preserve"> </w:t>
      </w:r>
      <w:r w:rsidRPr="00981405">
        <w:t>the</w:t>
      </w:r>
      <w:r w:rsidR="00190923" w:rsidRPr="00981405">
        <w:t xml:space="preserve"> </w:t>
      </w:r>
      <w:r w:rsidRPr="00981405">
        <w:t>potential</w:t>
      </w:r>
      <w:r w:rsidR="00190923" w:rsidRPr="00981405">
        <w:t xml:space="preserve"> </w:t>
      </w:r>
      <w:r w:rsidRPr="00981405">
        <w:t>pointlessness</w:t>
      </w:r>
      <w:r w:rsidR="00190923" w:rsidRPr="00981405">
        <w:t xml:space="preserve"> </w:t>
      </w:r>
      <w:r w:rsidRPr="00981405">
        <w:t>(lack</w:t>
      </w:r>
      <w:r w:rsidR="00190923" w:rsidRPr="00981405">
        <w:t xml:space="preserve"> </w:t>
      </w:r>
      <w:r w:rsidRPr="00981405">
        <w:t>of</w:t>
      </w:r>
      <w:r w:rsidR="00190923" w:rsidRPr="00981405">
        <w:t xml:space="preserve"> </w:t>
      </w:r>
      <w:r w:rsidRPr="00D97463">
        <w:rPr>
          <w:i/>
          <w:iCs/>
        </w:rPr>
        <w:t>effet</w:t>
      </w:r>
      <w:r w:rsidR="00190923" w:rsidRPr="00D97463">
        <w:rPr>
          <w:i/>
          <w:iCs/>
        </w:rPr>
        <w:t xml:space="preserve"> </w:t>
      </w:r>
      <w:r w:rsidRPr="00D97463">
        <w:rPr>
          <w:i/>
          <w:iCs/>
        </w:rPr>
        <w:t>utile</w:t>
      </w:r>
      <w:r w:rsidRPr="00981405">
        <w:t>)</w:t>
      </w:r>
      <w:r w:rsidR="00190923" w:rsidRPr="00981405">
        <w:t xml:space="preserve"> </w:t>
      </w:r>
      <w:r w:rsidRPr="00981405">
        <w:t>of</w:t>
      </w:r>
      <w:r w:rsidR="00190923" w:rsidRPr="00981405">
        <w:t xml:space="preserve"> </w:t>
      </w:r>
      <w:r w:rsidRPr="00981405">
        <w:t>including</w:t>
      </w:r>
      <w:r w:rsidR="00190923" w:rsidRPr="00981405">
        <w:t xml:space="preserve"> </w:t>
      </w:r>
      <w:r w:rsidRPr="00981405">
        <w:t>an</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in</w:t>
      </w:r>
      <w:r w:rsidR="00190923" w:rsidRPr="00981405">
        <w:t xml:space="preserve"> </w:t>
      </w:r>
      <w:r w:rsidRPr="00981405">
        <w:t>a</w:t>
      </w:r>
      <w:r w:rsidR="00190923" w:rsidRPr="00981405">
        <w:t xml:space="preserve"> </w:t>
      </w:r>
      <w:r w:rsidRPr="00981405">
        <w:t>treaty</w:t>
      </w:r>
      <w:r w:rsidR="00190923" w:rsidRPr="00981405">
        <w:t xml:space="preserve"> </w:t>
      </w:r>
      <w:r w:rsidRPr="00981405">
        <w:t>when</w:t>
      </w:r>
      <w:r w:rsidR="00190923" w:rsidRPr="00981405">
        <w:t xml:space="preserve"> </w:t>
      </w:r>
      <w:r w:rsidRPr="00981405">
        <w:t>the</w:t>
      </w:r>
      <w:r w:rsidR="00190923" w:rsidRPr="00981405">
        <w:t xml:space="preserve"> </w:t>
      </w:r>
      <w:r w:rsidRPr="00981405">
        <w:t>contracting</w:t>
      </w:r>
      <w:r w:rsidR="00190923" w:rsidRPr="00981405">
        <w:t xml:space="preserve"> </w:t>
      </w:r>
      <w:r w:rsidRPr="00981405">
        <w:t>party</w:t>
      </w:r>
      <w:r w:rsidR="00190923" w:rsidRPr="00981405">
        <w:t xml:space="preserve"> </w:t>
      </w:r>
      <w:r w:rsidRPr="00981405">
        <w:t>had</w:t>
      </w:r>
      <w:r w:rsidR="00190923" w:rsidRPr="00981405">
        <w:t xml:space="preserve"> </w:t>
      </w:r>
      <w:r w:rsidRPr="00981405">
        <w:t>already</w:t>
      </w:r>
      <w:r w:rsidR="00190923" w:rsidRPr="00981405">
        <w:t xml:space="preserve"> </w:t>
      </w:r>
      <w:r w:rsidRPr="00981405">
        <w:t>concluded</w:t>
      </w:r>
      <w:r w:rsidR="00190923" w:rsidRPr="00981405">
        <w:t xml:space="preserve"> </w:t>
      </w:r>
      <w:r w:rsidRPr="00981405">
        <w:t>treaties</w:t>
      </w:r>
      <w:r w:rsidR="00190923" w:rsidRPr="00981405">
        <w:t xml:space="preserve"> </w:t>
      </w:r>
      <w:r w:rsidRPr="00981405">
        <w:t>with</w:t>
      </w:r>
      <w:r w:rsidR="00190923" w:rsidRPr="00981405">
        <w:t xml:space="preserve"> </w:t>
      </w:r>
      <w:r w:rsidRPr="00981405">
        <w:t>no</w:t>
      </w:r>
      <w:r w:rsidR="00190923" w:rsidRPr="00981405">
        <w:t xml:space="preserve"> </w:t>
      </w:r>
      <w:r w:rsidRPr="00981405">
        <w:t>such</w:t>
      </w:r>
      <w:r w:rsidR="00190923" w:rsidRPr="00981405">
        <w:t xml:space="preserve"> </w:t>
      </w:r>
      <w:r w:rsidRPr="00981405">
        <w:t>requirement</w:t>
      </w:r>
      <w:r w:rsidR="00190923" w:rsidRPr="00981405">
        <w:t xml:space="preserve"> </w:t>
      </w:r>
      <w:r w:rsidRPr="00981405">
        <w:t>and</w:t>
      </w:r>
      <w:r w:rsidR="00190923" w:rsidRPr="00981405">
        <w:t xml:space="preserve"> </w:t>
      </w:r>
      <w:r w:rsidRPr="00981405">
        <w:t>thus</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would</w:t>
      </w:r>
      <w:r w:rsidR="00190923" w:rsidRPr="00981405">
        <w:t xml:space="preserve"> </w:t>
      </w:r>
      <w:r w:rsidRPr="00981405">
        <w:t>have</w:t>
      </w:r>
      <w:r w:rsidR="00190923" w:rsidRPr="00981405">
        <w:t xml:space="preserve"> </w:t>
      </w:r>
      <w:r w:rsidRPr="00981405">
        <w:t>been</w:t>
      </w:r>
      <w:r w:rsidR="00190923" w:rsidRPr="00981405">
        <w:t xml:space="preserve"> </w:t>
      </w:r>
      <w:r w:rsidRPr="00981405">
        <w:t>rendered</w:t>
      </w:r>
      <w:r w:rsidR="00190923" w:rsidRPr="00981405">
        <w:t xml:space="preserve"> </w:t>
      </w:r>
      <w:r w:rsidRPr="00981405">
        <w:t>nugatory</w:t>
      </w:r>
      <w:r w:rsidR="00190923" w:rsidRPr="00981405">
        <w:t xml:space="preserve"> </w:t>
      </w:r>
      <w:r w:rsidRPr="00981405">
        <w:t>from</w:t>
      </w:r>
      <w:r w:rsidR="00190923" w:rsidRPr="00981405">
        <w:t xml:space="preserve"> </w:t>
      </w:r>
      <w:r w:rsidRPr="00981405">
        <w:t>the</w:t>
      </w:r>
      <w:r w:rsidR="00190923" w:rsidRPr="00981405">
        <w:t xml:space="preserve"> </w:t>
      </w:r>
      <w:r w:rsidRPr="00981405">
        <w:t>outset</w:t>
      </w:r>
      <w:r w:rsidR="00190923" w:rsidRPr="00981405">
        <w:t xml:space="preserve"> </w:t>
      </w:r>
      <w:r w:rsidRPr="00981405">
        <w:t>by</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All</w:t>
      </w:r>
      <w:r w:rsidR="00190923" w:rsidRPr="00981405">
        <w:t xml:space="preserve"> </w:t>
      </w:r>
      <w:r w:rsidRPr="00981405">
        <w:t>of</w:t>
      </w:r>
      <w:r w:rsidR="00190923" w:rsidRPr="00981405">
        <w:t xml:space="preserve"> </w:t>
      </w:r>
      <w:r w:rsidRPr="00981405">
        <w:t>these</w:t>
      </w:r>
      <w:r w:rsidR="00190923" w:rsidRPr="00981405">
        <w:t xml:space="preserve"> </w:t>
      </w:r>
      <w:r w:rsidRPr="00981405">
        <w:t>factors,</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indicated</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could</w:t>
      </w:r>
      <w:r w:rsidR="00190923" w:rsidRPr="00981405">
        <w:t xml:space="preserve"> </w:t>
      </w:r>
      <w:r w:rsidRPr="00981405">
        <w:t>not</w:t>
      </w:r>
      <w:r w:rsidR="00190923" w:rsidRPr="00981405">
        <w:t xml:space="preserve"> </w:t>
      </w:r>
      <w:r w:rsidRPr="00981405">
        <w:t>have</w:t>
      </w:r>
      <w:r w:rsidR="00190923" w:rsidRPr="00981405">
        <w:t xml:space="preserve"> </w:t>
      </w:r>
      <w:r w:rsidRPr="00981405">
        <w:t>had</w:t>
      </w:r>
      <w:r w:rsidR="00190923" w:rsidRPr="00981405">
        <w:t xml:space="preserve"> </w:t>
      </w:r>
      <w:r w:rsidRPr="00981405">
        <w:t>the</w:t>
      </w:r>
      <w:r w:rsidR="00190923" w:rsidRPr="00981405">
        <w:t xml:space="preserve"> </w:t>
      </w:r>
      <w:r w:rsidRPr="00981405">
        <w:t>intention</w:t>
      </w:r>
      <w:r w:rsidR="00190923" w:rsidRPr="00981405">
        <w:t xml:space="preserve"> </w:t>
      </w:r>
      <w:r w:rsidRPr="00981405">
        <w:t>when</w:t>
      </w:r>
      <w:r w:rsidR="00190923" w:rsidRPr="00981405">
        <w:t xml:space="preserve"> </w:t>
      </w:r>
      <w:r w:rsidRPr="00981405">
        <w:t>concluding</w:t>
      </w:r>
      <w:r w:rsidR="00190923" w:rsidRPr="00981405">
        <w:t xml:space="preserve"> </w:t>
      </w:r>
      <w:r w:rsidRPr="00981405">
        <w:t>the</w:t>
      </w:r>
      <w:r w:rsidR="00190923" w:rsidRPr="00981405">
        <w:t xml:space="preserve"> </w:t>
      </w:r>
      <w:r w:rsidRPr="00981405">
        <w:t>UK-Argentina</w:t>
      </w:r>
      <w:r w:rsidR="00190923" w:rsidRPr="00981405">
        <w:t xml:space="preserve"> </w:t>
      </w:r>
      <w:r w:rsidRPr="00981405">
        <w:t>BIT</w:t>
      </w:r>
      <w:r w:rsidR="00190923" w:rsidRPr="00981405">
        <w:t xml:space="preserve"> </w:t>
      </w:r>
      <w:r w:rsidRPr="00981405">
        <w:t>to</w:t>
      </w:r>
      <w:r w:rsidR="00190923" w:rsidRPr="00981405">
        <w:t xml:space="preserve"> </w:t>
      </w:r>
      <w:r w:rsidRPr="00981405">
        <w:t>include</w:t>
      </w:r>
      <w:r w:rsidR="00190923" w:rsidRPr="00981405">
        <w:t xml:space="preserve"> </w:t>
      </w:r>
      <w:r w:rsidRPr="00981405">
        <w:t>international</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within</w:t>
      </w:r>
      <w:r w:rsidR="00190923" w:rsidRPr="00981405">
        <w:t xml:space="preserve"> </w:t>
      </w:r>
      <w:r w:rsidRPr="00981405">
        <w:t>the</w:t>
      </w:r>
      <w:r w:rsidR="00190923" w:rsidRPr="00981405">
        <w:t xml:space="preserve"> </w:t>
      </w:r>
      <w:r w:rsidRPr="00981405">
        <w:t>realm</w:t>
      </w:r>
      <w:r w:rsidR="00190923" w:rsidRPr="00981405">
        <w:t xml:space="preserve"> </w:t>
      </w:r>
      <w:r w:rsidRPr="00981405">
        <w:t>of</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Pr="00981405">
        <w:rPr>
          <w:rStyle w:val="FootnoteReference"/>
        </w:rPr>
        <w:footnoteReference w:id="529"/>
      </w:r>
    </w:p>
    <w:p w:rsidR="00397032" w:rsidRPr="00981405" w:rsidRDefault="00397032" w:rsidP="00D97463">
      <w:pPr>
        <w:pStyle w:val="SingleTxt"/>
      </w:pPr>
      <w:r w:rsidRPr="00981405">
        <w:t>111.</w:t>
      </w:r>
      <w:r w:rsidRPr="00981405">
        <w:tab/>
        <w:t>The</w:t>
      </w:r>
      <w:r w:rsidR="00190923" w:rsidRPr="00981405">
        <w:t xml:space="preserve"> </w:t>
      </w:r>
      <w:r w:rsidRPr="00981405">
        <w:t>approach</w:t>
      </w:r>
      <w:r w:rsidR="00190923" w:rsidRPr="00981405">
        <w:t xml:space="preserve"> </w:t>
      </w:r>
      <w:r w:rsidRPr="00981405">
        <w:t>taken</w:t>
      </w:r>
      <w:r w:rsidR="00190923" w:rsidRPr="00981405">
        <w:t xml:space="preserve"> </w:t>
      </w:r>
      <w:r w:rsidRPr="00981405">
        <w:t>in</w:t>
      </w:r>
      <w:r w:rsidR="00190923" w:rsidRPr="00981405">
        <w:t xml:space="preserve"> </w:t>
      </w:r>
      <w:r w:rsidR="001C3185" w:rsidRPr="00981405">
        <w:rPr>
          <w:i/>
          <w:iCs/>
        </w:rPr>
        <w:t>ICS</w:t>
      </w:r>
      <w:r w:rsidR="00190923" w:rsidRPr="00981405">
        <w:t xml:space="preserve"> </w:t>
      </w:r>
      <w:r w:rsidRPr="00981405">
        <w:t>was</w:t>
      </w:r>
      <w:r w:rsidR="00190923" w:rsidRPr="00981405">
        <w:t xml:space="preserve"> </w:t>
      </w:r>
      <w:r w:rsidRPr="00981405">
        <w:t>reiterated</w:t>
      </w:r>
      <w:r w:rsidR="00190923" w:rsidRPr="00981405">
        <w:t xml:space="preserve"> </w:t>
      </w:r>
      <w:r w:rsidRPr="00981405">
        <w:t>in</w:t>
      </w:r>
      <w:r w:rsidR="00190923" w:rsidRPr="00981405">
        <w:t xml:space="preserve"> </w:t>
      </w:r>
      <w:r w:rsidRPr="00D97463">
        <w:rPr>
          <w:i/>
          <w:iCs/>
        </w:rPr>
        <w:t>Daimler</w:t>
      </w:r>
      <w:r w:rsidR="00190923" w:rsidRPr="00D97463">
        <w:rPr>
          <w:i/>
          <w:iCs/>
        </w:rPr>
        <w:t xml:space="preserve"> </w:t>
      </w:r>
      <w:r w:rsidRPr="00D97463">
        <w:rPr>
          <w:i/>
          <w:iCs/>
        </w:rPr>
        <w:t>Financial</w:t>
      </w:r>
      <w:r w:rsidR="00190923" w:rsidRPr="00D97463">
        <w:rPr>
          <w:i/>
          <w:iCs/>
        </w:rPr>
        <w:t xml:space="preserve"> </w:t>
      </w:r>
      <w:r w:rsidRPr="00D97463">
        <w:rPr>
          <w:i/>
          <w:iCs/>
        </w:rPr>
        <w:t>Services</w:t>
      </w:r>
      <w:r w:rsidR="00190923" w:rsidRPr="00D97463">
        <w:rPr>
          <w:i/>
          <w:iCs/>
        </w:rPr>
        <w:t xml:space="preserve"> </w:t>
      </w:r>
      <w:r w:rsidRPr="00D97463">
        <w:rPr>
          <w:i/>
          <w:iCs/>
        </w:rPr>
        <w:t>AG</w:t>
      </w:r>
      <w:r w:rsidR="00190923" w:rsidRPr="00D97463">
        <w:rPr>
          <w:i/>
          <w:iCs/>
        </w:rPr>
        <w:t xml:space="preserve"> </w:t>
      </w:r>
      <w:r w:rsidRPr="00D97463">
        <w:rPr>
          <w:i/>
          <w:iCs/>
        </w:rPr>
        <w:t>v.</w:t>
      </w:r>
      <w:r w:rsidR="00190923" w:rsidRPr="00D97463">
        <w:rPr>
          <w:i/>
          <w:iCs/>
        </w:rPr>
        <w:t xml:space="preserve"> </w:t>
      </w:r>
      <w:r w:rsidRPr="00D97463">
        <w:rPr>
          <w:i/>
          <w:iCs/>
        </w:rPr>
        <w:t>Argentine</w:t>
      </w:r>
      <w:r w:rsidR="00190923" w:rsidRPr="00D97463">
        <w:rPr>
          <w:i/>
          <w:iCs/>
        </w:rPr>
        <w:t xml:space="preserve"> </w:t>
      </w:r>
      <w:r w:rsidRPr="00D97463">
        <w:rPr>
          <w:i/>
          <w:iCs/>
        </w:rPr>
        <w:t>Republic</w:t>
      </w:r>
      <w:r w:rsidRPr="00981405">
        <w:rPr>
          <w:rStyle w:val="FootnoteReference"/>
        </w:rPr>
        <w:footnoteReference w:id="530"/>
      </w:r>
      <w:r w:rsidR="00190923" w:rsidRPr="00981405">
        <w:t xml:space="preserve"> </w:t>
      </w:r>
      <w:r w:rsidRPr="00981405">
        <w:t>where</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18-month</w:t>
      </w:r>
      <w:r w:rsidR="00190923" w:rsidRPr="00981405">
        <w:t xml:space="preserve"> </w:t>
      </w:r>
      <w:r w:rsidRPr="00981405">
        <w:t>delay</w:t>
      </w:r>
      <w:r w:rsidR="00190923" w:rsidRPr="00981405">
        <w:t xml:space="preserve"> </w:t>
      </w:r>
      <w:r w:rsidRPr="00981405">
        <w:t>requirement</w:t>
      </w:r>
      <w:r w:rsidR="00190923" w:rsidRPr="00981405">
        <w:t xml:space="preserve"> </w:t>
      </w:r>
      <w:r w:rsidRPr="00981405">
        <w:t>was</w:t>
      </w:r>
      <w:r w:rsidR="00190923" w:rsidRPr="00981405">
        <w:t xml:space="preserve"> </w:t>
      </w:r>
      <w:r w:rsidRPr="00981405">
        <w:t>a</w:t>
      </w:r>
      <w:r w:rsidR="00190923" w:rsidRPr="00981405">
        <w:t xml:space="preserve"> </w:t>
      </w:r>
      <w:r w:rsidRPr="00981405">
        <w:t>condition</w:t>
      </w:r>
      <w:r w:rsidR="00190923" w:rsidRPr="00981405">
        <w:t xml:space="preserve"> </w:t>
      </w:r>
      <w:r w:rsidRPr="00981405">
        <w:t>precedent</w:t>
      </w:r>
      <w:r w:rsidR="00190923" w:rsidRPr="00981405">
        <w:t xml:space="preserve"> </w:t>
      </w:r>
      <w:r w:rsidRPr="00981405">
        <w:t>to</w:t>
      </w:r>
      <w:r w:rsidR="00190923" w:rsidRPr="00981405">
        <w:t xml:space="preserve"> </w:t>
      </w:r>
      <w:r w:rsidRPr="00981405">
        <w:t>the</w:t>
      </w:r>
      <w:r w:rsidR="00190923" w:rsidRPr="00981405">
        <w:t xml:space="preserve"> </w:t>
      </w:r>
      <w:r w:rsidRPr="00981405">
        <w:t>exercise</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Accordingly,</w:t>
      </w:r>
      <w:r w:rsidR="00190923" w:rsidRPr="00981405">
        <w:t xml:space="preserve"> </w:t>
      </w:r>
      <w:r w:rsidRPr="00981405">
        <w:t>it</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modified</w:t>
      </w:r>
      <w:r w:rsidR="00190923" w:rsidRPr="00981405">
        <w:t xml:space="preserve"> </w:t>
      </w:r>
      <w:r w:rsidRPr="00981405">
        <w:t>by</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A</w:t>
      </w:r>
      <w:r w:rsidR="00190923" w:rsidRPr="00981405">
        <w:t xml:space="preserve"> </w:t>
      </w:r>
      <w:r w:rsidRPr="00981405">
        <w:t>similar</w:t>
      </w:r>
      <w:r w:rsidR="00190923" w:rsidRPr="00981405">
        <w:t xml:space="preserve"> </w:t>
      </w:r>
      <w:r w:rsidRPr="00981405">
        <w:t>result</w:t>
      </w:r>
      <w:r w:rsidR="00190923" w:rsidRPr="00981405">
        <w:t xml:space="preserve"> </w:t>
      </w:r>
      <w:r w:rsidRPr="00981405">
        <w:t>was</w:t>
      </w:r>
      <w:r w:rsidR="00190923" w:rsidRPr="00981405">
        <w:t xml:space="preserve"> </w:t>
      </w:r>
      <w:r w:rsidRPr="00981405">
        <w:t>reached</w:t>
      </w:r>
      <w:r w:rsidR="00190923" w:rsidRPr="00981405">
        <w:t xml:space="preserve"> </w:t>
      </w:r>
      <w:r w:rsidRPr="00981405">
        <w:t>in</w:t>
      </w:r>
      <w:r w:rsidR="00190923" w:rsidRPr="00981405">
        <w:t xml:space="preserve"> </w:t>
      </w:r>
      <w:r w:rsidRPr="00D97463">
        <w:rPr>
          <w:rFonts w:eastAsia="SimSun"/>
          <w:i/>
          <w:iCs/>
        </w:rPr>
        <w:t>Kılıç</w:t>
      </w:r>
      <w:r w:rsidR="00190923" w:rsidRPr="00D97463">
        <w:rPr>
          <w:rFonts w:eastAsia="SimSun"/>
          <w:i/>
          <w:iCs/>
        </w:rPr>
        <w:t xml:space="preserve"> </w:t>
      </w:r>
      <w:r w:rsidRPr="00D97463">
        <w:rPr>
          <w:rFonts w:eastAsia="SimSun"/>
          <w:i/>
          <w:iCs/>
        </w:rPr>
        <w:t>İnşaat</w:t>
      </w:r>
      <w:r w:rsidR="00190923" w:rsidRPr="00D97463">
        <w:rPr>
          <w:rFonts w:eastAsia="SimSun"/>
          <w:i/>
          <w:iCs/>
        </w:rPr>
        <w:t xml:space="preserve"> </w:t>
      </w:r>
      <w:r w:rsidRPr="00D97463">
        <w:rPr>
          <w:rFonts w:eastAsia="SimSun"/>
          <w:i/>
          <w:iCs/>
        </w:rPr>
        <w:t>İthalat</w:t>
      </w:r>
      <w:r w:rsidR="00190923" w:rsidRPr="00D97463">
        <w:rPr>
          <w:rFonts w:eastAsia="SimSun"/>
          <w:i/>
          <w:iCs/>
        </w:rPr>
        <w:t xml:space="preserve"> </w:t>
      </w:r>
      <w:r w:rsidRPr="00D97463">
        <w:rPr>
          <w:rFonts w:eastAsia="SimSun"/>
          <w:i/>
          <w:iCs/>
        </w:rPr>
        <w:t>İhracat</w:t>
      </w:r>
      <w:r w:rsidR="00190923" w:rsidRPr="00D97463">
        <w:rPr>
          <w:rFonts w:eastAsia="SimSun"/>
          <w:i/>
          <w:iCs/>
        </w:rPr>
        <w:t xml:space="preserve"> </w:t>
      </w:r>
      <w:r w:rsidRPr="00D97463">
        <w:rPr>
          <w:rFonts w:eastAsia="SimSun"/>
          <w:i/>
          <w:iCs/>
        </w:rPr>
        <w:t>Sanayi</w:t>
      </w:r>
      <w:r w:rsidR="00190923" w:rsidRPr="00D97463">
        <w:rPr>
          <w:rFonts w:eastAsia="SimSun"/>
          <w:i/>
          <w:iCs/>
        </w:rPr>
        <w:t xml:space="preserve"> </w:t>
      </w:r>
      <w:r w:rsidRPr="00D97463">
        <w:rPr>
          <w:rFonts w:eastAsia="SimSun"/>
          <w:i/>
          <w:iCs/>
        </w:rPr>
        <w:t>ve</w:t>
      </w:r>
      <w:r w:rsidR="00190923" w:rsidRPr="00D97463">
        <w:rPr>
          <w:rFonts w:eastAsia="SimSun"/>
          <w:i/>
          <w:iCs/>
        </w:rPr>
        <w:t xml:space="preserve"> </w:t>
      </w:r>
      <w:r w:rsidRPr="00D97463">
        <w:rPr>
          <w:rFonts w:eastAsia="SimSun"/>
          <w:i/>
          <w:iCs/>
        </w:rPr>
        <w:t>Ticaret</w:t>
      </w:r>
      <w:r w:rsidR="00190923" w:rsidRPr="00D97463">
        <w:rPr>
          <w:rFonts w:eastAsia="SimSun"/>
          <w:i/>
          <w:iCs/>
        </w:rPr>
        <w:t xml:space="preserve"> </w:t>
      </w:r>
      <w:r w:rsidRPr="00D97463">
        <w:rPr>
          <w:rFonts w:eastAsia="SimSun"/>
          <w:i/>
          <w:iCs/>
        </w:rPr>
        <w:t>Anonim</w:t>
      </w:r>
      <w:r w:rsidR="00190923" w:rsidRPr="00D97463">
        <w:rPr>
          <w:rFonts w:eastAsia="SimSun"/>
          <w:i/>
          <w:iCs/>
        </w:rPr>
        <w:t xml:space="preserve"> </w:t>
      </w:r>
      <w:r w:rsidRPr="00D97463">
        <w:rPr>
          <w:rFonts w:eastAsia="SimSun"/>
          <w:i/>
          <w:iCs/>
        </w:rPr>
        <w:t>Şirketi</w:t>
      </w:r>
      <w:r w:rsidR="00190923" w:rsidRPr="00D97463">
        <w:rPr>
          <w:rFonts w:eastAsia="SimSun"/>
          <w:i/>
          <w:iCs/>
        </w:rPr>
        <w:t xml:space="preserve"> </w:t>
      </w:r>
      <w:r w:rsidRPr="00D97463">
        <w:rPr>
          <w:rFonts w:eastAsia="SimSun"/>
          <w:i/>
          <w:iCs/>
        </w:rPr>
        <w:t>v.</w:t>
      </w:r>
      <w:r w:rsidR="00190923" w:rsidRPr="00D97463">
        <w:rPr>
          <w:rFonts w:eastAsia="SimSun"/>
          <w:i/>
          <w:iCs/>
        </w:rPr>
        <w:t xml:space="preserve"> </w:t>
      </w:r>
      <w:r w:rsidRPr="00D97463">
        <w:rPr>
          <w:rFonts w:eastAsia="SimSun"/>
          <w:i/>
          <w:iCs/>
        </w:rPr>
        <w:t>Turkmenistan</w:t>
      </w:r>
      <w:r w:rsidRPr="00981405">
        <w:rPr>
          <w:rFonts w:eastAsia="SimSun"/>
        </w:rPr>
        <w:t>,</w:t>
      </w:r>
      <w:r w:rsidRPr="00981405">
        <w:rPr>
          <w:rStyle w:val="FootnoteReference"/>
        </w:rPr>
        <w:footnoteReference w:id="531"/>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tribunal</w:t>
      </w:r>
      <w:r w:rsidR="00190923" w:rsidRPr="00981405">
        <w:rPr>
          <w:rFonts w:eastAsia="SimSun"/>
        </w:rPr>
        <w:t xml:space="preserve"> </w:t>
      </w:r>
      <w:r w:rsidRPr="00981405">
        <w:rPr>
          <w:rFonts w:eastAsia="SimSun"/>
        </w:rPr>
        <w:t>took</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view</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respondent</w:t>
      </w:r>
      <w:r w:rsidR="00190923" w:rsidRPr="00981405">
        <w:rPr>
          <w:rFonts w:eastAsia="SimSun"/>
        </w:rPr>
        <w:t xml:space="preserve"> </w:t>
      </w:r>
      <w:r w:rsidRPr="00981405">
        <w:rPr>
          <w:rFonts w:eastAsia="SimSun"/>
        </w:rPr>
        <w:t>State</w:t>
      </w:r>
      <w:r w:rsidR="00B92E2C" w:rsidRPr="00981405">
        <w:rPr>
          <w:rFonts w:eastAsia="SimSun"/>
        </w:rPr>
        <w:t>’</w:t>
      </w:r>
      <w:r w:rsidRPr="00981405">
        <w:rPr>
          <w:rFonts w:eastAsia="SimSun"/>
        </w:rPr>
        <w:t>s</w:t>
      </w:r>
      <w:r w:rsidR="00190923" w:rsidRPr="00981405">
        <w:rPr>
          <w:rFonts w:eastAsia="SimSun"/>
        </w:rPr>
        <w:t xml:space="preserve"> </w:t>
      </w:r>
      <w:r w:rsidRPr="00981405">
        <w:rPr>
          <w:rFonts w:eastAsia="SimSun"/>
        </w:rPr>
        <w:t>consent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arbitration</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conditioned</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fulfillment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conditions</w:t>
      </w:r>
      <w:r w:rsidR="00190923" w:rsidRPr="00981405">
        <w:rPr>
          <w:rFonts w:eastAsia="SimSun"/>
        </w:rPr>
        <w:t xml:space="preserve"> </w:t>
      </w:r>
      <w:r w:rsidRPr="00981405">
        <w:rPr>
          <w:rFonts w:eastAsia="SimSun"/>
        </w:rPr>
        <w:t>stated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BIT,</w:t>
      </w:r>
      <w:r w:rsidR="00190923" w:rsidRPr="00981405">
        <w:rPr>
          <w:rFonts w:eastAsia="SimSun"/>
        </w:rPr>
        <w:t xml:space="preserve"> </w:t>
      </w:r>
      <w:r w:rsidRPr="00981405">
        <w:rPr>
          <w:rFonts w:eastAsia="SimSun"/>
        </w:rPr>
        <w:t>including</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18-month</w:t>
      </w:r>
      <w:r w:rsidR="00190923" w:rsidRPr="00981405">
        <w:rPr>
          <w:rFonts w:eastAsia="SimSun"/>
        </w:rPr>
        <w:t xml:space="preserve"> </w:t>
      </w:r>
      <w:r w:rsidRPr="00981405">
        <w:rPr>
          <w:rFonts w:eastAsia="SimSun"/>
        </w:rPr>
        <w:t>delay</w:t>
      </w:r>
      <w:r w:rsidR="00190923" w:rsidRPr="00981405">
        <w:rPr>
          <w:rFonts w:eastAsia="SimSun"/>
        </w:rPr>
        <w:t xml:space="preserve"> </w:t>
      </w:r>
      <w:r w:rsidRPr="00981405">
        <w:rPr>
          <w:rFonts w:eastAsia="SimSun"/>
        </w:rPr>
        <w:t>requirement.</w:t>
      </w:r>
      <w:r w:rsidR="00190923" w:rsidRPr="00981405">
        <w:rPr>
          <w:rFonts w:eastAsia="SimSun"/>
        </w:rPr>
        <w:t xml:space="preserve"> </w:t>
      </w:r>
      <w:r w:rsidRPr="00981405">
        <w:rPr>
          <w:rFonts w:eastAsia="SimSun"/>
        </w:rPr>
        <w:t>Since</w:t>
      </w:r>
      <w:r w:rsidR="00190923" w:rsidRPr="00981405">
        <w:rPr>
          <w:rFonts w:eastAsia="SimSun"/>
        </w:rPr>
        <w:t xml:space="preserve"> </w:t>
      </w:r>
      <w:r w:rsidRPr="00981405">
        <w:rPr>
          <w:rFonts w:eastAsia="SimSun"/>
        </w:rPr>
        <w:t>failure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comply</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effect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denying</w:t>
      </w:r>
      <w:r w:rsidR="00190923" w:rsidRPr="00981405">
        <w:rPr>
          <w:rFonts w:eastAsia="SimSun"/>
        </w:rPr>
        <w:t xml:space="preserve"> </w:t>
      </w:r>
      <w:r w:rsidRPr="00981405">
        <w:rPr>
          <w:rFonts w:eastAsia="SimSun"/>
        </w:rPr>
        <w:t>jurisdiction,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could</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cured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lastRenderedPageBreak/>
        <w:t>provision.</w:t>
      </w:r>
      <w:r w:rsidR="00190923" w:rsidRPr="00981405">
        <w:rPr>
          <w:rFonts w:eastAsia="SimSun"/>
        </w:rPr>
        <w:t xml:space="preserve"> </w:t>
      </w:r>
      <w:r w:rsidRPr="00981405">
        <w:rPr>
          <w:rFonts w:eastAsia="SimSun"/>
        </w:rPr>
        <w:t>Similarly,</w:t>
      </w:r>
      <w:r w:rsidR="00190923" w:rsidRPr="00981405">
        <w:rPr>
          <w:rFonts w:eastAsia="SimSun"/>
        </w:rPr>
        <w:t xml:space="preserve"> </w:t>
      </w:r>
      <w:r w:rsidRPr="00981405">
        <w:rPr>
          <w:rFonts w:eastAsia="SimSun"/>
        </w:rPr>
        <w:t>in</w:t>
      </w:r>
      <w:r w:rsidR="00190923" w:rsidRPr="00981405">
        <w:rPr>
          <w:rFonts w:eastAsia="SimSun"/>
        </w:rPr>
        <w:t xml:space="preserve"> </w:t>
      </w:r>
      <w:r w:rsidRPr="00D97463">
        <w:rPr>
          <w:rFonts w:eastAsia="SimSun"/>
          <w:i/>
          <w:iCs/>
        </w:rPr>
        <w:t>ST-AB</w:t>
      </w:r>
      <w:r w:rsidR="00190923" w:rsidRPr="00D97463">
        <w:rPr>
          <w:rFonts w:eastAsia="SimSun"/>
          <w:i/>
          <w:iCs/>
        </w:rPr>
        <w:t xml:space="preserve"> </w:t>
      </w:r>
      <w:r w:rsidRPr="00D97463">
        <w:rPr>
          <w:rFonts w:eastAsia="SimSun"/>
          <w:i/>
          <w:iCs/>
        </w:rPr>
        <w:t>GmbH</w:t>
      </w:r>
      <w:r w:rsidR="00190923" w:rsidRPr="00D97463">
        <w:rPr>
          <w:rFonts w:eastAsia="SimSun"/>
          <w:i/>
          <w:iCs/>
        </w:rPr>
        <w:t xml:space="preserve"> </w:t>
      </w:r>
      <w:r w:rsidRPr="00D97463">
        <w:rPr>
          <w:rFonts w:eastAsia="SimSun"/>
          <w:i/>
          <w:iCs/>
        </w:rPr>
        <w:t>(Germany)</w:t>
      </w:r>
      <w:r w:rsidR="00190923" w:rsidRPr="00D97463">
        <w:rPr>
          <w:rFonts w:eastAsia="SimSun"/>
          <w:i/>
          <w:iCs/>
        </w:rPr>
        <w:t xml:space="preserve"> </w:t>
      </w:r>
      <w:r w:rsidRPr="00D97463">
        <w:rPr>
          <w:rFonts w:eastAsia="SimSun"/>
          <w:i/>
          <w:iCs/>
        </w:rPr>
        <w:t>v.</w:t>
      </w:r>
      <w:r w:rsidR="00190923" w:rsidRPr="00D97463">
        <w:rPr>
          <w:rFonts w:eastAsia="SimSun"/>
          <w:i/>
          <w:iCs/>
        </w:rPr>
        <w:t xml:space="preserve"> </w:t>
      </w:r>
      <w:r w:rsidRPr="00D97463">
        <w:rPr>
          <w:rFonts w:eastAsia="SimSun"/>
          <w:i/>
          <w:iCs/>
        </w:rPr>
        <w:t>Republic</w:t>
      </w:r>
      <w:r w:rsidR="00190923" w:rsidRPr="00D97463">
        <w:rPr>
          <w:rFonts w:eastAsia="SimSun"/>
          <w:i/>
          <w:iCs/>
        </w:rPr>
        <w:t xml:space="preserve"> </w:t>
      </w:r>
      <w:r w:rsidRPr="00D97463">
        <w:rPr>
          <w:rFonts w:eastAsia="SimSun"/>
          <w:i/>
          <w:iCs/>
        </w:rPr>
        <w:t>of</w:t>
      </w:r>
      <w:r w:rsidR="00190923" w:rsidRPr="00D97463">
        <w:rPr>
          <w:rFonts w:eastAsia="SimSun"/>
          <w:i/>
          <w:iCs/>
        </w:rPr>
        <w:t xml:space="preserve"> </w:t>
      </w:r>
      <w:r w:rsidRPr="00D97463">
        <w:rPr>
          <w:rFonts w:eastAsia="SimSun"/>
          <w:i/>
          <w:iCs/>
        </w:rPr>
        <w:t>Bulgaria</w:t>
      </w:r>
      <w:r w:rsidRPr="00981405">
        <w:rPr>
          <w:rFonts w:eastAsia="SimSun"/>
        </w:rPr>
        <w:t>,</w:t>
      </w:r>
      <w:r w:rsidRPr="00981405">
        <w:rPr>
          <w:rStyle w:val="FootnoteReference"/>
        </w:rPr>
        <w:footnoteReference w:id="532"/>
      </w:r>
      <w:r w:rsidR="00190923" w:rsidRPr="00981405">
        <w:rPr>
          <w:rFonts w:eastAsia="SimSun"/>
        </w:rPr>
        <w:t xml:space="preserve"> </w:t>
      </w:r>
      <w:r w:rsidRPr="00981405">
        <w:rPr>
          <w:rFonts w:eastAsia="SimSun"/>
        </w:rPr>
        <w:t>non-compliance</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18-month</w:t>
      </w:r>
      <w:r w:rsidR="00190923" w:rsidRPr="00981405">
        <w:rPr>
          <w:rFonts w:eastAsia="SimSun"/>
        </w:rPr>
        <w:t xml:space="preserve"> </w:t>
      </w:r>
      <w:r w:rsidRPr="00981405">
        <w:rPr>
          <w:rFonts w:eastAsia="SimSun"/>
        </w:rPr>
        <w:t>delay</w:t>
      </w:r>
      <w:r w:rsidR="00190923" w:rsidRPr="00981405">
        <w:rPr>
          <w:rFonts w:eastAsia="SimSun"/>
        </w:rPr>
        <w:t xml:space="preserve"> </w:t>
      </w:r>
      <w:r w:rsidRPr="00981405">
        <w:rPr>
          <w:rFonts w:eastAsia="SimSun"/>
        </w:rPr>
        <w:t>requirement</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also</w:t>
      </w:r>
      <w:r w:rsidR="00190923" w:rsidRPr="00981405">
        <w:rPr>
          <w:rFonts w:eastAsia="SimSun"/>
        </w:rPr>
        <w:t xml:space="preserve"> </w:t>
      </w:r>
      <w:r w:rsidRPr="00981405">
        <w:rPr>
          <w:rFonts w:eastAsia="SimSun"/>
        </w:rPr>
        <w:t>found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deprive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tribunal</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jurisdiction.</w:t>
      </w:r>
    </w:p>
    <w:p w:rsidR="00397032" w:rsidRPr="00981405" w:rsidRDefault="00397032" w:rsidP="00D97463">
      <w:pPr>
        <w:pStyle w:val="SingleTxt"/>
      </w:pPr>
      <w:r w:rsidRPr="00981405">
        <w:t>112.</w:t>
      </w:r>
      <w:r w:rsidRPr="00981405">
        <w:tab/>
        <w:t>However,</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Pr="00D97463">
        <w:rPr>
          <w:i/>
          <w:iCs/>
        </w:rPr>
        <w:t>Hochtief</w:t>
      </w:r>
      <w:r w:rsidR="00190923" w:rsidRPr="00D97463">
        <w:rPr>
          <w:i/>
          <w:iCs/>
        </w:rPr>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an</w:t>
      </w:r>
      <w:r w:rsidR="00190923" w:rsidRPr="00981405">
        <w:t xml:space="preserve"> </w:t>
      </w:r>
      <w:r w:rsidRPr="00981405">
        <w:t>18-month</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is</w:t>
      </w:r>
      <w:r w:rsidR="00190923" w:rsidRPr="00981405">
        <w:t xml:space="preserve"> </w:t>
      </w:r>
      <w:r w:rsidRPr="00981405">
        <w:t>not</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jurisdiction.</w:t>
      </w:r>
      <w:r w:rsidRPr="00981405">
        <w:rPr>
          <w:rStyle w:val="FootnoteReference"/>
        </w:rPr>
        <w:footnoteReference w:id="533"/>
      </w:r>
      <w:r w:rsidR="00190923" w:rsidRPr="00981405">
        <w:t xml:space="preserve"> </w:t>
      </w:r>
      <w:r w:rsidRPr="00981405">
        <w:t>Rather,</w:t>
      </w:r>
      <w:r w:rsidR="00190923" w:rsidRPr="00981405">
        <w:t xml:space="preserve"> </w:t>
      </w:r>
      <w:r w:rsidRPr="00981405">
        <w:t>it</w:t>
      </w:r>
      <w:r w:rsidR="00190923" w:rsidRPr="00981405">
        <w:t xml:space="preserve"> </w:t>
      </w:r>
      <w:r w:rsidRPr="00981405">
        <w:t>is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admissibility</w:t>
      </w:r>
      <w:r w:rsidR="00190923" w:rsidRPr="00981405">
        <w:t xml:space="preserve"> </w:t>
      </w:r>
      <w:r w:rsidR="00B92E2C" w:rsidRPr="00981405">
        <w:t>—</w:t>
      </w:r>
      <w:r w:rsidR="00190923" w:rsidRPr="00981405">
        <w:t xml:space="preserve"> </w:t>
      </w:r>
      <w:r w:rsidRPr="00981405">
        <w:t>something</w:t>
      </w:r>
      <w:r w:rsidR="00190923" w:rsidRPr="00981405">
        <w:t xml:space="preserve"> </w:t>
      </w:r>
      <w:r w:rsidRPr="00981405">
        <w:t>that</w:t>
      </w:r>
      <w:r w:rsidR="00190923" w:rsidRPr="00981405">
        <w:t xml:space="preserve"> </w:t>
      </w:r>
      <w:r w:rsidRPr="00981405">
        <w:t>could</w:t>
      </w:r>
      <w:r w:rsidR="00190923" w:rsidRPr="00981405">
        <w:t xml:space="preserve"> </w:t>
      </w:r>
      <w:r w:rsidRPr="00981405">
        <w:t>be</w:t>
      </w:r>
      <w:r w:rsidR="00190923" w:rsidRPr="00981405">
        <w:t xml:space="preserve"> </w:t>
      </w:r>
      <w:r w:rsidRPr="00981405">
        <w:t>raised</w:t>
      </w:r>
      <w:r w:rsidR="00190923" w:rsidRPr="00981405">
        <w:t xml:space="preserve"> </w:t>
      </w:r>
      <w:r w:rsidRPr="00981405">
        <w:t>as</w:t>
      </w:r>
      <w:r w:rsidR="00190923" w:rsidRPr="00981405">
        <w:t xml:space="preserve"> </w:t>
      </w:r>
      <w:r w:rsidRPr="00981405">
        <w:t>an</w:t>
      </w:r>
      <w:r w:rsidR="00190923" w:rsidRPr="00981405">
        <w:t xml:space="preserve"> </w:t>
      </w:r>
      <w:r w:rsidRPr="00981405">
        <w:t>objection</w:t>
      </w:r>
      <w:r w:rsidR="00190923" w:rsidRPr="00981405">
        <w:t xml:space="preserve"> </w:t>
      </w:r>
      <w:r w:rsidRPr="00981405">
        <w:t>by</w:t>
      </w:r>
      <w:r w:rsidR="00190923" w:rsidRPr="00981405">
        <w:t xml:space="preserve"> </w:t>
      </w:r>
      <w:r w:rsidRPr="00981405">
        <w:t>a</w:t>
      </w:r>
      <w:r w:rsidR="00190923" w:rsidRPr="00981405">
        <w:t xml:space="preserve"> </w:t>
      </w:r>
      <w:r w:rsidRPr="00981405">
        <w:t>party</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but</w:t>
      </w:r>
      <w:r w:rsidR="00190923" w:rsidRPr="00981405">
        <w:t xml:space="preserve"> </w:t>
      </w:r>
      <w:r w:rsidRPr="00981405">
        <w:t>need</w:t>
      </w:r>
      <w:r w:rsidR="00190923" w:rsidRPr="00981405">
        <w:t xml:space="preserve"> </w:t>
      </w:r>
      <w:r w:rsidRPr="00981405">
        <w:t>not</w:t>
      </w:r>
      <w:r w:rsidR="00190923" w:rsidRPr="00981405">
        <w:t xml:space="preserve"> </w:t>
      </w:r>
      <w:r w:rsidRPr="00981405">
        <w:t>be.</w:t>
      </w:r>
      <w:r w:rsidR="00190923" w:rsidRPr="00981405">
        <w:t xml:space="preserve"> </w:t>
      </w:r>
      <w:r w:rsidRPr="00981405">
        <w:t>The</w:t>
      </w:r>
      <w:r w:rsidR="00190923" w:rsidRPr="00981405">
        <w:t xml:space="preserve"> </w:t>
      </w:r>
      <w:r w:rsidRPr="00981405">
        <w:t>tribunal</w:t>
      </w:r>
      <w:r w:rsidR="00190923" w:rsidRPr="00981405">
        <w:t xml:space="preserve"> </w:t>
      </w:r>
      <w:r w:rsidRPr="00981405">
        <w:t>distinguished</w:t>
      </w:r>
      <w:r w:rsidR="00190923" w:rsidRPr="00981405">
        <w:t xml:space="preserve"> </w:t>
      </w:r>
      <w:r w:rsidRPr="00981405">
        <w:t>between</w:t>
      </w:r>
      <w:r w:rsidR="00190923" w:rsidRPr="00981405">
        <w:t xml:space="preserve"> </w:t>
      </w:r>
      <w:r w:rsidRPr="00981405">
        <w:t>a</w:t>
      </w:r>
      <w:r w:rsidR="00190923" w:rsidRPr="00981405">
        <w:t xml:space="preserve"> </w:t>
      </w:r>
      <w:r w:rsidRPr="00981405">
        <w:t>provision</w:t>
      </w:r>
      <w:r w:rsidR="00190923" w:rsidRPr="00981405">
        <w:t xml:space="preserve"> </w:t>
      </w:r>
      <w:r w:rsidRPr="00981405">
        <w:t>affecting</w:t>
      </w:r>
      <w:r w:rsidR="00190923" w:rsidRPr="00981405">
        <w:t xml:space="preserve"> </w:t>
      </w:r>
      <w:r w:rsidRPr="00981405">
        <w:t>a</w:t>
      </w:r>
      <w:r w:rsidR="00190923" w:rsidRPr="00981405">
        <w:t xml:space="preserve"> </w:t>
      </w:r>
      <w:r w:rsidRPr="00981405">
        <w:t>right</w:t>
      </w:r>
      <w:r w:rsidR="00190923" w:rsidRPr="00981405">
        <w:t xml:space="preserve"> </w:t>
      </w:r>
      <w:r w:rsidRPr="00981405">
        <w:t>to</w:t>
      </w:r>
      <w:r w:rsidR="00190923" w:rsidRPr="00981405">
        <w:t xml:space="preserve"> </w:t>
      </w:r>
      <w:r w:rsidRPr="00981405">
        <w:t>bring</w:t>
      </w:r>
      <w:r w:rsidR="00190923" w:rsidRPr="00981405">
        <w:t xml:space="preserve"> </w:t>
      </w:r>
      <w:r w:rsidRPr="00981405">
        <w:t>a</w:t>
      </w:r>
      <w:r w:rsidR="00190923" w:rsidRPr="00981405">
        <w:t xml:space="preserve"> </w:t>
      </w:r>
      <w:r w:rsidRPr="00981405">
        <w:t>claim</w:t>
      </w:r>
      <w:r w:rsidR="00190923" w:rsidRPr="00981405">
        <w:t xml:space="preserve"> </w:t>
      </w:r>
      <w:r w:rsidRPr="00981405">
        <w:t>(jurisdiction)</w:t>
      </w:r>
      <w:r w:rsidR="00190923" w:rsidRPr="00981405">
        <w:t xml:space="preserve"> </w:t>
      </w:r>
      <w:r w:rsidRPr="00981405">
        <w:t>and</w:t>
      </w:r>
      <w:r w:rsidR="00190923" w:rsidRPr="00981405">
        <w:t xml:space="preserve"> </w:t>
      </w:r>
      <w:r w:rsidRPr="00981405">
        <w:t>a</w:t>
      </w:r>
      <w:r w:rsidR="00190923" w:rsidRPr="00981405">
        <w:t xml:space="preserve"> </w:t>
      </w:r>
      <w:r w:rsidRPr="00981405">
        <w:t>provision</w:t>
      </w:r>
      <w:r w:rsidR="00190923" w:rsidRPr="00981405">
        <w:t xml:space="preserve"> </w:t>
      </w:r>
      <w:r w:rsidRPr="00981405">
        <w:t>affecting</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a</w:t>
      </w:r>
      <w:r w:rsidR="00190923" w:rsidRPr="00981405">
        <w:t xml:space="preserve"> </w:t>
      </w:r>
      <w:r w:rsidRPr="00981405">
        <w:t>claim</w:t>
      </w:r>
      <w:r w:rsidR="00190923" w:rsidRPr="00981405">
        <w:t xml:space="preserve"> </w:t>
      </w:r>
      <w:r w:rsidRPr="00981405">
        <w:t>has</w:t>
      </w:r>
      <w:r w:rsidR="00190923" w:rsidRPr="00981405">
        <w:t xml:space="preserve"> </w:t>
      </w:r>
      <w:r w:rsidRPr="00981405">
        <w:t>to</w:t>
      </w:r>
      <w:r w:rsidR="00190923" w:rsidRPr="00981405">
        <w:t xml:space="preserve"> </w:t>
      </w:r>
      <w:r w:rsidRPr="00981405">
        <w:t>be</w:t>
      </w:r>
      <w:r w:rsidR="00190923" w:rsidRPr="00981405">
        <w:t xml:space="preserve"> </w:t>
      </w:r>
      <w:r w:rsidRPr="00981405">
        <w:t>brought</w:t>
      </w:r>
      <w:r w:rsidR="00190923" w:rsidRPr="00981405">
        <w:t xml:space="preserve"> </w:t>
      </w:r>
      <w:r w:rsidRPr="00981405">
        <w:t>(admissibility).</w:t>
      </w:r>
      <w:r w:rsidR="00190923" w:rsidRPr="00981405">
        <w:t xml:space="preserve"> </w:t>
      </w:r>
      <w:r w:rsidRPr="00981405">
        <w:t>Thus,</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claimant</w:t>
      </w:r>
      <w:r w:rsidR="00190923" w:rsidRPr="00981405">
        <w:t xml:space="preserve"> </w:t>
      </w:r>
      <w:r w:rsidRPr="00981405">
        <w:t>had</w:t>
      </w:r>
      <w:r w:rsidR="00190923" w:rsidRPr="00981405">
        <w:t xml:space="preserve"> </w:t>
      </w:r>
      <w:r w:rsidRPr="00981405">
        <w:t>ignored</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under</w:t>
      </w:r>
      <w:r w:rsidR="00190923" w:rsidRPr="00981405">
        <w:t xml:space="preserve"> </w:t>
      </w:r>
      <w:r w:rsidRPr="00981405">
        <w:t>the</w:t>
      </w:r>
      <w:r w:rsidR="00190923" w:rsidRPr="00981405">
        <w:t xml:space="preserve"> </w:t>
      </w:r>
      <w:r w:rsidRPr="00981405">
        <w:t>Germany-Argentina</w:t>
      </w:r>
      <w:r w:rsidR="00190923" w:rsidRPr="00981405">
        <w:t xml:space="preserve"> </w:t>
      </w:r>
      <w:r w:rsidRPr="00981405">
        <w:t>BIT</w:t>
      </w:r>
      <w:r w:rsidR="00190923" w:rsidRPr="00981405">
        <w:t xml:space="preserve"> </w:t>
      </w:r>
      <w:r w:rsidRPr="00981405">
        <w:t>and</w:t>
      </w:r>
      <w:r w:rsidR="00190923" w:rsidRPr="00981405">
        <w:t xml:space="preserve"> </w:t>
      </w:r>
      <w:r w:rsidRPr="00981405">
        <w:t>relied</w:t>
      </w:r>
      <w:r w:rsidR="00190923" w:rsidRPr="00981405">
        <w:t xml:space="preserve"> </w:t>
      </w:r>
      <w:r w:rsidRPr="00981405">
        <w:t>instead</w:t>
      </w:r>
      <w:r w:rsidR="00190923" w:rsidRPr="00981405">
        <w:t xml:space="preserve"> </w:t>
      </w:r>
      <w:r w:rsidRPr="00981405">
        <w:t>on</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Argentina-Chile</w:t>
      </w:r>
      <w:r w:rsidR="00190923" w:rsidRPr="00981405">
        <w:t xml:space="preserve"> </w:t>
      </w:r>
      <w:r w:rsidRPr="00981405">
        <w:t>BIT</w:t>
      </w:r>
      <w:r w:rsidR="00190923" w:rsidRPr="00981405">
        <w:t xml:space="preserve"> </w:t>
      </w:r>
      <w:r w:rsidRPr="00981405">
        <w:t>did</w:t>
      </w:r>
      <w:r w:rsidR="00190923" w:rsidRPr="00981405">
        <w:t xml:space="preserve"> </w:t>
      </w:r>
      <w:r w:rsidRPr="00981405">
        <w:t>not</w:t>
      </w:r>
      <w:r w:rsidR="00190923" w:rsidRPr="00981405">
        <w:t xml:space="preserve"> </w:t>
      </w:r>
      <w:r w:rsidRPr="00981405">
        <w:t>affect</w:t>
      </w:r>
      <w:r w:rsidR="00190923" w:rsidRPr="00981405">
        <w:t xml:space="preserve"> </w:t>
      </w:r>
      <w:r w:rsidRPr="00981405">
        <w:t>its</w:t>
      </w:r>
      <w:r w:rsidR="00190923" w:rsidRPr="00981405">
        <w:t xml:space="preserve"> </w:t>
      </w:r>
      <w:r w:rsidRPr="00981405">
        <w:t>jurisdiction.</w:t>
      </w:r>
      <w:r w:rsidRPr="00981405">
        <w:rPr>
          <w:rStyle w:val="FootnoteReference"/>
        </w:rPr>
        <w:footnoteReference w:id="534"/>
      </w:r>
      <w:r w:rsidR="00190923" w:rsidRPr="00981405">
        <w:t xml:space="preserve"> </w:t>
      </w:r>
    </w:p>
    <w:p w:rsidR="00397032" w:rsidRPr="00981405" w:rsidRDefault="00397032" w:rsidP="00D97463">
      <w:pPr>
        <w:pStyle w:val="SingleTxt"/>
      </w:pPr>
      <w:r w:rsidRPr="00981405">
        <w:rPr>
          <w:rFonts w:eastAsia="SimSun"/>
        </w:rPr>
        <w:t>113.</w:t>
      </w:r>
      <w:r w:rsidRPr="00981405">
        <w:rPr>
          <w:rFonts w:eastAsia="SimSun"/>
        </w:rPr>
        <w:tab/>
        <w:t>In</w:t>
      </w:r>
      <w:r w:rsidR="00190923" w:rsidRPr="00981405">
        <w:rPr>
          <w:rFonts w:eastAsia="SimSun"/>
        </w:rPr>
        <w:t xml:space="preserve"> </w:t>
      </w:r>
      <w:r w:rsidRPr="00D97463">
        <w:rPr>
          <w:rFonts w:eastAsia="SimSun"/>
          <w:i/>
          <w:iCs/>
        </w:rPr>
        <w:t>Teinver</w:t>
      </w:r>
      <w:r w:rsidRPr="00981405">
        <w:rPr>
          <w:rStyle w:val="FootnoteReference"/>
        </w:rPr>
        <w:footnoteReference w:id="535"/>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tribunal</w:t>
      </w:r>
      <w:r w:rsidR="00190923" w:rsidRPr="00981405">
        <w:rPr>
          <w:rFonts w:eastAsia="SimSun"/>
        </w:rPr>
        <w:t xml:space="preserve"> </w:t>
      </w:r>
      <w:r w:rsidRPr="00981405">
        <w:rPr>
          <w:rFonts w:eastAsia="SimSun"/>
        </w:rPr>
        <w:t>upheld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both</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18-month</w:t>
      </w:r>
      <w:r w:rsidR="00190923" w:rsidRPr="00981405">
        <w:rPr>
          <w:rFonts w:eastAsia="SimSun"/>
        </w:rPr>
        <w:t xml:space="preserve"> </w:t>
      </w:r>
      <w:r w:rsidRPr="00981405">
        <w:rPr>
          <w:rFonts w:eastAsia="SimSun"/>
        </w:rPr>
        <w:t>delay</w:t>
      </w:r>
      <w:r w:rsidR="00190923" w:rsidRPr="00981405">
        <w:rPr>
          <w:rFonts w:eastAsia="SimSun"/>
        </w:rPr>
        <w:t xml:space="preserve"> </w:t>
      </w:r>
      <w:r w:rsidRPr="00981405">
        <w:rPr>
          <w:rFonts w:eastAsia="SimSun"/>
        </w:rPr>
        <w:t>requirement</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6-month</w:t>
      </w:r>
      <w:r w:rsidR="00190923" w:rsidRPr="00981405">
        <w:rPr>
          <w:rFonts w:eastAsia="SimSun"/>
        </w:rPr>
        <w:t xml:space="preserve"> </w:t>
      </w:r>
      <w:r w:rsidRPr="00981405">
        <w:rPr>
          <w:rFonts w:eastAsia="SimSun"/>
        </w:rPr>
        <w:t>negotiating</w:t>
      </w:r>
      <w:r w:rsidR="00190923" w:rsidRPr="00981405">
        <w:rPr>
          <w:rFonts w:eastAsia="SimSun"/>
        </w:rPr>
        <w:t xml:space="preserve"> </w:t>
      </w:r>
      <w:r w:rsidRPr="00981405">
        <w:rPr>
          <w:rFonts w:eastAsia="SimSun"/>
        </w:rPr>
        <w:t>period.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tribunal</w:t>
      </w:r>
      <w:r w:rsidR="00190923" w:rsidRPr="00981405">
        <w:rPr>
          <w:rFonts w:eastAsia="SimSun"/>
        </w:rPr>
        <w:t xml:space="preserve"> </w:t>
      </w:r>
      <w:r w:rsidRPr="00981405">
        <w:rPr>
          <w:rFonts w:eastAsia="SimSun"/>
        </w:rPr>
        <w:t>considered</w:t>
      </w:r>
      <w:r w:rsidR="00190923" w:rsidRPr="00981405">
        <w:rPr>
          <w:rFonts w:eastAsia="SimSun"/>
        </w:rPr>
        <w:t xml:space="preserve"> </w:t>
      </w:r>
      <w:r w:rsidRPr="00981405">
        <w:rPr>
          <w:rFonts w:eastAsia="SimSun"/>
        </w:rPr>
        <w:t>these</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relevant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admissibility</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jurisdiction.</w:t>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appeared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done</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basis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UNCTAD</w:t>
      </w:r>
      <w:r w:rsidR="00190923" w:rsidRPr="00981405">
        <w:rPr>
          <w:rFonts w:eastAsia="SimSun"/>
        </w:rPr>
        <w:t xml:space="preserve"> </w:t>
      </w:r>
      <w:r w:rsidRPr="00981405">
        <w:rPr>
          <w:rFonts w:eastAsia="SimSun"/>
        </w:rPr>
        <w:t>report</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Pr="00981405">
        <w:rPr>
          <w:rStyle w:val="FootnoteReference"/>
        </w:rPr>
        <w:footnoteReference w:id="536"/>
      </w:r>
      <w:r w:rsidR="00190923" w:rsidRPr="00981405">
        <w:rPr>
          <w:rFonts w:eastAsia="SimSun"/>
        </w:rPr>
        <w:t xml:space="preserve"> </w:t>
      </w:r>
      <w:r w:rsidRPr="00981405">
        <w:rPr>
          <w:rFonts w:eastAsia="SimSun"/>
        </w:rPr>
        <w:t>which</w:t>
      </w:r>
      <w:r w:rsidR="00190923" w:rsidRPr="00981405">
        <w:rPr>
          <w:rFonts w:eastAsia="SimSun"/>
        </w:rPr>
        <w:t xml:space="preserve"> </w:t>
      </w:r>
      <w:r w:rsidRPr="00981405">
        <w:rPr>
          <w:rFonts w:eastAsia="SimSun"/>
        </w:rPr>
        <w:t>called</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relating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18-month</w:t>
      </w:r>
      <w:r w:rsidR="00190923" w:rsidRPr="00981405">
        <w:rPr>
          <w:rFonts w:eastAsia="SimSun"/>
        </w:rPr>
        <w:t xml:space="preserve"> </w:t>
      </w:r>
      <w:r w:rsidRPr="00981405">
        <w:rPr>
          <w:rFonts w:eastAsia="SimSun"/>
        </w:rPr>
        <w:t>litigation</w:t>
      </w:r>
      <w:r w:rsidR="00190923" w:rsidRPr="00981405">
        <w:rPr>
          <w:rFonts w:eastAsia="SimSun"/>
        </w:rPr>
        <w:t xml:space="preserve"> </w:t>
      </w:r>
      <w:r w:rsidRPr="00981405">
        <w:rPr>
          <w:rFonts w:eastAsia="SimSun"/>
        </w:rPr>
        <w:t>requirement</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admissibility</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other</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where</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was</w:t>
      </w:r>
      <w:r w:rsidR="00190923" w:rsidRPr="00981405">
        <w:rPr>
          <w:rFonts w:eastAsia="SimSun"/>
        </w:rPr>
        <w:t xml:space="preserve"> </w:t>
      </w:r>
      <w:r w:rsidRPr="00981405">
        <w:rPr>
          <w:rFonts w:eastAsia="SimSun"/>
        </w:rPr>
        <w:t>invoked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relation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settlement</w:t>
      </w:r>
      <w:r w:rsidR="00190923" w:rsidRPr="00981405">
        <w:rPr>
          <w:rFonts w:eastAsia="SimSun"/>
        </w:rPr>
        <w:t xml:space="preserve"> </w:t>
      </w:r>
      <w:r w:rsidRPr="00981405">
        <w:rPr>
          <w:rFonts w:eastAsia="SimSun"/>
        </w:rPr>
        <w:t>as</w:t>
      </w:r>
      <w:r w:rsidR="00190923" w:rsidRPr="00981405">
        <w:rPr>
          <w:rFonts w:eastAsia="SimSun"/>
        </w:rPr>
        <w:t xml:space="preserve"> </w:t>
      </w:r>
      <w:r w:rsidR="00B92E2C" w:rsidRPr="00981405">
        <w:rPr>
          <w:rFonts w:eastAsia="SimSun"/>
        </w:rPr>
        <w:t>“</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jurisdiction</w:t>
      </w:r>
      <w:r w:rsidR="00B92E2C" w:rsidRPr="00981405">
        <w:rPr>
          <w:rFonts w:eastAsia="SimSun"/>
        </w:rPr>
        <w:t>”</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But</w:t>
      </w:r>
      <w:r w:rsidR="00190923" w:rsidRPr="00981405">
        <w:rPr>
          <w:rFonts w:eastAsia="SimSun"/>
        </w:rPr>
        <w:t xml:space="preserve"> </w:t>
      </w:r>
      <w:r w:rsidRPr="00981405">
        <w:rPr>
          <w:rFonts w:eastAsia="SimSun"/>
        </w:rPr>
        <w:t>there</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no</w:t>
      </w:r>
      <w:r w:rsidR="00190923" w:rsidRPr="00981405">
        <w:rPr>
          <w:rFonts w:eastAsia="SimSun"/>
        </w:rPr>
        <w:t xml:space="preserve"> </w:t>
      </w:r>
      <w:r w:rsidRPr="00981405">
        <w:rPr>
          <w:rFonts w:eastAsia="SimSun"/>
        </w:rPr>
        <w:t>explanation</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UNCTAD</w:t>
      </w:r>
      <w:r w:rsidR="00190923" w:rsidRPr="00981405">
        <w:rPr>
          <w:rFonts w:eastAsia="SimSun"/>
        </w:rPr>
        <w:t xml:space="preserve"> </w:t>
      </w:r>
      <w:r w:rsidRPr="00981405">
        <w:rPr>
          <w:rFonts w:eastAsia="SimSun"/>
        </w:rPr>
        <w:t>report</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why</w:t>
      </w:r>
      <w:r w:rsidR="00190923" w:rsidRPr="00981405">
        <w:rPr>
          <w:rFonts w:eastAsia="SimSun"/>
        </w:rPr>
        <w:t xml:space="preserve"> </w:t>
      </w:r>
      <w:r w:rsidRPr="00981405">
        <w:rPr>
          <w:rFonts w:eastAsia="SimSun"/>
        </w:rPr>
        <w:t>it</w:t>
      </w:r>
      <w:r w:rsidR="00190923" w:rsidRPr="00981405">
        <w:rPr>
          <w:rFonts w:eastAsia="SimSun"/>
        </w:rPr>
        <w:t xml:space="preserve"> </w:t>
      </w:r>
      <w:r w:rsidRPr="00981405">
        <w:rPr>
          <w:rFonts w:eastAsia="SimSun"/>
        </w:rPr>
        <w:t>treats</w:t>
      </w:r>
      <w:r w:rsidR="00190923" w:rsidRPr="00981405">
        <w:rPr>
          <w:rFonts w:eastAsia="SimSun"/>
        </w:rPr>
        <w:t xml:space="preserve"> </w:t>
      </w:r>
      <w:r w:rsidRPr="00981405">
        <w:rPr>
          <w:rFonts w:eastAsia="SimSun"/>
        </w:rPr>
        <w:t>cases</w:t>
      </w:r>
      <w:r w:rsidR="00190923" w:rsidRPr="00981405">
        <w:rPr>
          <w:rFonts w:eastAsia="SimSun"/>
        </w:rPr>
        <w:t xml:space="preserve"> </w:t>
      </w:r>
      <w:r w:rsidRPr="00981405">
        <w:rPr>
          <w:rFonts w:eastAsia="SimSun"/>
        </w:rPr>
        <w:t>relating</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18-month</w:t>
      </w:r>
      <w:r w:rsidR="00190923" w:rsidRPr="00981405">
        <w:rPr>
          <w:rFonts w:eastAsia="SimSun"/>
        </w:rPr>
        <w:t xml:space="preserve"> </w:t>
      </w:r>
      <w:r w:rsidRPr="00981405">
        <w:rPr>
          <w:rFonts w:eastAsia="SimSun"/>
        </w:rPr>
        <w:t>litigation</w:t>
      </w:r>
      <w:r w:rsidR="00190923" w:rsidRPr="00981405">
        <w:rPr>
          <w:rFonts w:eastAsia="SimSun"/>
        </w:rPr>
        <w:t xml:space="preserve"> </w:t>
      </w:r>
      <w:r w:rsidRPr="00981405">
        <w:rPr>
          <w:rFonts w:eastAsia="SimSun"/>
        </w:rPr>
        <w:t>requirement</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concerning</w:t>
      </w:r>
      <w:r w:rsidR="00190923" w:rsidRPr="00981405">
        <w:rPr>
          <w:rFonts w:eastAsia="SimSun"/>
        </w:rPr>
        <w:t xml:space="preserve"> </w:t>
      </w:r>
      <w:r w:rsidRPr="00981405">
        <w:rPr>
          <w:rFonts w:eastAsia="SimSun"/>
        </w:rPr>
        <w:t>admissibility</w:t>
      </w:r>
      <w:r w:rsidR="00190923" w:rsidRPr="00981405">
        <w:rPr>
          <w:rFonts w:eastAsia="SimSun"/>
        </w:rPr>
        <w:t xml:space="preserve"> </w:t>
      </w:r>
      <w:r w:rsidRPr="00981405">
        <w:rPr>
          <w:rFonts w:eastAsia="SimSun"/>
        </w:rPr>
        <w:t>rather</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concerning</w:t>
      </w:r>
      <w:r w:rsidR="00190923" w:rsidRPr="00981405">
        <w:rPr>
          <w:rFonts w:eastAsia="SimSun"/>
        </w:rPr>
        <w:t xml:space="preserve"> </w:t>
      </w:r>
      <w:r w:rsidRPr="00981405">
        <w:rPr>
          <w:rFonts w:eastAsia="SimSun"/>
        </w:rPr>
        <w:t>jurisdiction.</w:t>
      </w:r>
    </w:p>
    <w:p w:rsidR="00397032" w:rsidRPr="00981405" w:rsidRDefault="00397032" w:rsidP="00D97463">
      <w:pPr>
        <w:pStyle w:val="SingleTxt"/>
      </w:pPr>
      <w:r w:rsidRPr="00981405">
        <w:t>114.</w:t>
      </w:r>
      <w:r w:rsidRPr="00981405">
        <w:tab/>
        <w:t>The</w:t>
      </w:r>
      <w:r w:rsidR="00190923" w:rsidRPr="00981405">
        <w:t xml:space="preserve"> </w:t>
      </w:r>
      <w:r w:rsidRPr="00981405">
        <w:t>cases</w:t>
      </w:r>
      <w:r w:rsidR="00190923" w:rsidRPr="00981405">
        <w:t xml:space="preserve"> </w:t>
      </w:r>
      <w:r w:rsidRPr="00981405">
        <w:t>that</w:t>
      </w:r>
      <w:r w:rsidR="00190923" w:rsidRPr="00981405">
        <w:t xml:space="preserve"> </w:t>
      </w:r>
      <w:r w:rsidRPr="00981405">
        <w:t>have</w:t>
      </w:r>
      <w:r w:rsidR="00190923" w:rsidRPr="00981405">
        <w:t xml:space="preserve"> </w:t>
      </w:r>
      <w:r w:rsidRPr="00981405">
        <w:t>not</w:t>
      </w:r>
      <w:r w:rsidR="00190923" w:rsidRPr="00981405">
        <w:t xml:space="preserve"> </w:t>
      </w:r>
      <w:r w:rsidRPr="00981405">
        <w:t>allowed</w:t>
      </w:r>
      <w:r w:rsidR="00190923" w:rsidRPr="00981405">
        <w:t xml:space="preserve"> </w:t>
      </w:r>
      <w:r w:rsidRPr="00981405">
        <w:t>the</w:t>
      </w:r>
      <w:r w:rsidR="00190923" w:rsidRPr="00981405">
        <w:t xml:space="preserve"> </w:t>
      </w:r>
      <w:r w:rsidRPr="00981405">
        <w:t>18-month</w:t>
      </w:r>
      <w:r w:rsidR="00190923" w:rsidRPr="00981405">
        <w:t xml:space="preserve"> </w:t>
      </w:r>
      <w:r w:rsidRPr="00981405">
        <w:t>requirement</w:t>
      </w:r>
      <w:r w:rsidR="00190923" w:rsidRPr="00981405">
        <w:t xml:space="preserve"> </w:t>
      </w:r>
      <w:r w:rsidRPr="00981405">
        <w:t>to</w:t>
      </w:r>
      <w:r w:rsidR="00190923" w:rsidRPr="00981405">
        <w:t xml:space="preserve"> </w:t>
      </w:r>
      <w:r w:rsidRPr="00981405">
        <w:t>be</w:t>
      </w:r>
      <w:r w:rsidR="00190923" w:rsidRPr="00981405">
        <w:t xml:space="preserve"> </w:t>
      </w:r>
      <w:r w:rsidRPr="00981405">
        <w:t>set</w:t>
      </w:r>
      <w:r w:rsidR="00190923" w:rsidRPr="00981405">
        <w:t xml:space="preserve"> </w:t>
      </w:r>
      <w:r w:rsidRPr="00981405">
        <w:t>aside</w:t>
      </w:r>
      <w:r w:rsidR="00190923" w:rsidRPr="00981405">
        <w:t xml:space="preserve"> </w:t>
      </w:r>
      <w:r w:rsidRPr="00981405">
        <w:t>share</w:t>
      </w:r>
      <w:r w:rsidR="00190923" w:rsidRPr="00981405">
        <w:t xml:space="preserve"> </w:t>
      </w:r>
      <w:r w:rsidRPr="00981405">
        <w:t>a</w:t>
      </w:r>
      <w:r w:rsidR="00190923" w:rsidRPr="00981405">
        <w:t xml:space="preserve"> </w:t>
      </w:r>
      <w:r w:rsidRPr="00981405">
        <w:t>common</w:t>
      </w:r>
      <w:r w:rsidR="00190923" w:rsidRPr="00981405">
        <w:t xml:space="preserve"> </w:t>
      </w:r>
      <w:r w:rsidRPr="00981405">
        <w:t>approach.</w:t>
      </w:r>
      <w:r w:rsidR="00190923" w:rsidRPr="00981405">
        <w:t xml:space="preserve"> </w:t>
      </w:r>
      <w:r w:rsidRPr="00981405">
        <w:t>There</w:t>
      </w:r>
      <w:r w:rsidR="00190923" w:rsidRPr="00981405">
        <w:t xml:space="preserve"> </w:t>
      </w:r>
      <w:r w:rsidRPr="00981405">
        <w:t>has</w:t>
      </w:r>
      <w:r w:rsidR="00190923" w:rsidRPr="00981405">
        <w:t xml:space="preserve"> </w:t>
      </w:r>
      <w:r w:rsidRPr="00981405">
        <w:t>to</w:t>
      </w:r>
      <w:r w:rsidR="00190923" w:rsidRPr="00981405">
        <w:t xml:space="preserve"> </w:t>
      </w:r>
      <w:r w:rsidRPr="00981405">
        <w:t>be</w:t>
      </w:r>
      <w:r w:rsidR="00190923" w:rsidRPr="00981405">
        <w:t xml:space="preserve"> </w:t>
      </w:r>
      <w:r w:rsidRPr="00981405">
        <w:t>evidence</w:t>
      </w:r>
      <w:r w:rsidR="00190923" w:rsidRPr="00981405">
        <w:t xml:space="preserve"> </w:t>
      </w:r>
      <w:r w:rsidRPr="00981405">
        <w:t>that</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was</w:t>
      </w:r>
      <w:r w:rsidR="00190923" w:rsidRPr="00981405">
        <w:t xml:space="preserve"> </w:t>
      </w:r>
      <w:r w:rsidRPr="00981405">
        <w:t>designed</w:t>
      </w:r>
      <w:r w:rsidR="00190923" w:rsidRPr="00981405">
        <w:t xml:space="preserve"> </w:t>
      </w:r>
      <w:r w:rsidRPr="00981405">
        <w:t>to</w:t>
      </w:r>
      <w:r w:rsidR="00190923" w:rsidRPr="00981405">
        <w:t xml:space="preserve"> </w:t>
      </w:r>
      <w:r w:rsidRPr="00981405">
        <w:t>apply</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jurisdictional</w:t>
      </w:r>
      <w:r w:rsidR="00190923" w:rsidRPr="00981405">
        <w:t xml:space="preserve"> </w:t>
      </w:r>
      <w:r w:rsidRPr="00981405">
        <w:t>limitations</w:t>
      </w:r>
      <w:r w:rsidR="00190923" w:rsidRPr="00981405">
        <w:t xml:space="preserve"> </w:t>
      </w:r>
      <w:r w:rsidRPr="00981405">
        <w:t>on</w:t>
      </w:r>
      <w:r w:rsidR="00190923" w:rsidRPr="00981405">
        <w:t xml:space="preserve"> </w:t>
      </w:r>
      <w:r w:rsidRPr="00981405">
        <w:t>the</w:t>
      </w:r>
      <w:r w:rsidR="00190923" w:rsidRPr="00981405">
        <w:t xml:space="preserve"> </w:t>
      </w:r>
      <w:r w:rsidRPr="00981405">
        <w:t>tribunal</w:t>
      </w:r>
      <w:r w:rsidR="00190923" w:rsidRPr="00981405">
        <w:t xml:space="preserve"> </w:t>
      </w:r>
      <w:r w:rsidRPr="00981405">
        <w:t>because</w:t>
      </w:r>
      <w:r w:rsidR="00190923" w:rsidRPr="00981405">
        <w:t xml:space="preserve"> </w:t>
      </w:r>
      <w:r w:rsidRPr="00981405">
        <w:t>the</w:t>
      </w:r>
      <w:r w:rsidR="00190923" w:rsidRPr="00981405">
        <w:t xml:space="preserve"> </w:t>
      </w:r>
      <w:r w:rsidRPr="00981405">
        <w:t>host</w:t>
      </w:r>
      <w:r w:rsidR="00190923" w:rsidRPr="00981405">
        <w:t xml:space="preserve"> </w:t>
      </w:r>
      <w:r w:rsidRPr="00981405">
        <w:t>State</w:t>
      </w:r>
      <w:r w:rsidR="00B92E2C" w:rsidRPr="00981405">
        <w:t>’</w:t>
      </w:r>
      <w:r w:rsidRPr="00981405">
        <w:t>s</w:t>
      </w:r>
      <w:r w:rsidR="00190923" w:rsidRPr="00981405">
        <w:t xml:space="preserve"> </w:t>
      </w:r>
      <w:r w:rsidRPr="00981405">
        <w:t>consent</w:t>
      </w:r>
      <w:r w:rsidR="00190923" w:rsidRPr="00981405">
        <w:t xml:space="preserve"> </w:t>
      </w:r>
      <w:r w:rsidRPr="00981405">
        <w:t>was</w:t>
      </w:r>
      <w:r w:rsidR="00190923" w:rsidRPr="00981405">
        <w:t xml:space="preserve"> </w:t>
      </w:r>
      <w:r w:rsidRPr="00981405">
        <w:t>predicated</w:t>
      </w:r>
      <w:r w:rsidR="00190923" w:rsidRPr="00981405">
        <w:t xml:space="preserve"> </w:t>
      </w:r>
      <w:r w:rsidRPr="00981405">
        <w:t>on</w:t>
      </w:r>
      <w:r w:rsidR="00190923" w:rsidRPr="00981405">
        <w:t xml:space="preserve"> </w:t>
      </w:r>
      <w:r w:rsidRPr="00981405">
        <w:t>compliance</w:t>
      </w:r>
      <w:r w:rsidR="00190923" w:rsidRPr="00981405">
        <w:t xml:space="preserve"> </w:t>
      </w:r>
      <w:r w:rsidRPr="00981405">
        <w:t>with</w:t>
      </w:r>
      <w:r w:rsidR="00190923" w:rsidRPr="00981405">
        <w:t xml:space="preserve"> </w:t>
      </w:r>
      <w:r w:rsidRPr="00981405">
        <w:t>those</w:t>
      </w:r>
      <w:r w:rsidR="00190923" w:rsidRPr="00981405">
        <w:t xml:space="preserve"> </w:t>
      </w:r>
      <w:r w:rsidRPr="00981405">
        <w:t>limitations.</w:t>
      </w:r>
      <w:r w:rsidR="00190923" w:rsidRPr="00981405">
        <w:t xml:space="preserve"> </w:t>
      </w:r>
      <w:r w:rsidRPr="00981405">
        <w:t>Indeed,</w:t>
      </w:r>
      <w:r w:rsidR="00190923" w:rsidRPr="00981405">
        <w:t xml:space="preserve"> </w:t>
      </w:r>
      <w:r w:rsidRPr="00981405">
        <w:t>the</w:t>
      </w:r>
      <w:r w:rsidR="00190923" w:rsidRPr="00981405">
        <w:t xml:space="preserve"> </w:t>
      </w:r>
      <w:r w:rsidRPr="00981405">
        <w:t>implicit</w:t>
      </w:r>
      <w:r w:rsidR="00190923" w:rsidRPr="00981405">
        <w:t xml:space="preserve"> </w:t>
      </w:r>
      <w:r w:rsidRPr="00981405">
        <w:t>effect</w:t>
      </w:r>
      <w:r w:rsidR="00190923" w:rsidRPr="00981405">
        <w:t xml:space="preserve"> </w:t>
      </w:r>
      <w:r w:rsidRPr="00981405">
        <w:t>is</w:t>
      </w:r>
      <w:r w:rsidR="00190923" w:rsidRPr="00981405">
        <w:t xml:space="preserve"> </w:t>
      </w:r>
      <w:r w:rsidRPr="00981405">
        <w:t>to</w:t>
      </w:r>
      <w:r w:rsidR="00190923" w:rsidRPr="00981405">
        <w:t xml:space="preserve"> </w:t>
      </w:r>
      <w:r w:rsidRPr="00981405">
        <w:t>require</w:t>
      </w:r>
      <w:r w:rsidR="00190923" w:rsidRPr="00981405">
        <w:t xml:space="preserve"> </w:t>
      </w:r>
      <w:r w:rsidR="00B92E2C" w:rsidRPr="00981405">
        <w:t>“</w:t>
      </w:r>
      <w:r w:rsidRPr="00981405">
        <w:t>clear</w:t>
      </w:r>
      <w:r w:rsidR="00190923" w:rsidRPr="00981405">
        <w:t xml:space="preserve"> </w:t>
      </w:r>
      <w:r w:rsidRPr="00981405">
        <w:t>and</w:t>
      </w:r>
      <w:r w:rsidR="00190923" w:rsidRPr="00981405">
        <w:t xml:space="preserve"> </w:t>
      </w:r>
      <w:r w:rsidRPr="00981405">
        <w:t>unambiguous</w:t>
      </w:r>
      <w:r w:rsidR="00B92E2C" w:rsidRPr="00981405">
        <w:t>”</w:t>
      </w:r>
      <w:r w:rsidR="00190923" w:rsidRPr="00981405">
        <w:t xml:space="preserve"> </w:t>
      </w:r>
      <w:r w:rsidRPr="00981405">
        <w:t>evidence</w:t>
      </w:r>
      <w:r w:rsidR="00190923" w:rsidRPr="00981405">
        <w:t xml:space="preserve"> </w:t>
      </w:r>
      <w:r w:rsidRPr="00981405">
        <w:t>of</w:t>
      </w:r>
      <w:r w:rsidR="00190923" w:rsidRPr="00981405">
        <w:t xml:space="preserve"> </w:t>
      </w:r>
      <w:r w:rsidRPr="00981405">
        <w:t>intent</w:t>
      </w:r>
      <w:r w:rsidR="00190923" w:rsidRPr="00981405">
        <w:t xml:space="preserve"> </w:t>
      </w:r>
      <w:r w:rsidRPr="00981405">
        <w:t>to</w:t>
      </w:r>
      <w:r w:rsidR="00190923" w:rsidRPr="00981405">
        <w:t xml:space="preserve"> </w:t>
      </w:r>
      <w:r w:rsidRPr="00981405">
        <w:t>alter</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tribunal,</w:t>
      </w:r>
      <w:r w:rsidR="00190923" w:rsidRPr="00981405">
        <w:t xml:space="preserve"> </w:t>
      </w:r>
      <w:r w:rsidRPr="00981405">
        <w:t>reinstating</w:t>
      </w:r>
      <w:r w:rsidR="00190923" w:rsidRPr="00981405">
        <w:t xml:space="preserve"> </w:t>
      </w:r>
      <w:r w:rsidRPr="00981405">
        <w:t>the</w:t>
      </w:r>
      <w:r w:rsidR="00190923" w:rsidRPr="00981405">
        <w:t xml:space="preserve"> </w:t>
      </w:r>
      <w:r w:rsidRPr="00D97463">
        <w:rPr>
          <w:i/>
          <w:iCs/>
        </w:rPr>
        <w:t>Plama</w:t>
      </w:r>
      <w:r w:rsidR="00190923" w:rsidRPr="00981405">
        <w:t xml:space="preserve"> </w:t>
      </w:r>
      <w:r w:rsidRPr="00981405">
        <w:t>approach,</w:t>
      </w:r>
      <w:r w:rsidR="00190923" w:rsidRPr="00981405">
        <w:t xml:space="preserve"> </w:t>
      </w:r>
      <w:r w:rsidRPr="00981405">
        <w:t>although</w:t>
      </w:r>
      <w:r w:rsidR="00190923" w:rsidRPr="00981405">
        <w:t xml:space="preserve"> </w:t>
      </w:r>
      <w:r w:rsidRPr="00981405">
        <w:t>for</w:t>
      </w:r>
      <w:r w:rsidR="00190923" w:rsidRPr="00981405">
        <w:t xml:space="preserve"> </w:t>
      </w:r>
      <w:r w:rsidRPr="00981405">
        <w:t>different</w:t>
      </w:r>
      <w:r w:rsidR="00190923" w:rsidRPr="00981405">
        <w:t xml:space="preserve"> </w:t>
      </w:r>
      <w:r w:rsidRPr="00981405">
        <w:t>reasons.</w:t>
      </w:r>
    </w:p>
    <w:p w:rsidR="00397032" w:rsidRPr="00D97463" w:rsidRDefault="00397032" w:rsidP="00D97463">
      <w:pPr>
        <w:pStyle w:val="SingleTxt"/>
        <w:spacing w:after="0" w:line="120" w:lineRule="exact"/>
        <w:rPr>
          <w:sz w:val="10"/>
        </w:rPr>
      </w:pPr>
    </w:p>
    <w:p w:rsidR="00397032" w:rsidRPr="00D97463" w:rsidRDefault="00397032" w:rsidP="00D97463">
      <w:pPr>
        <w:pStyle w:val="H4"/>
        <w:ind w:right="1260"/>
      </w:pPr>
      <w:bookmarkStart w:id="258" w:name="_Toc293434169"/>
      <w:bookmarkStart w:id="259" w:name="_Toc294353683"/>
      <w:r w:rsidRPr="00D97463">
        <w:tab/>
      </w:r>
      <w:bookmarkStart w:id="260" w:name="_Toc427938184"/>
      <w:r w:rsidRPr="00D97463">
        <w:t>(iii)</w:t>
      </w:r>
      <w:r w:rsidRPr="00D97463">
        <w:tab/>
        <w:t>The</w:t>
      </w:r>
      <w:r w:rsidR="00190923" w:rsidRPr="00D97463">
        <w:t xml:space="preserve"> </w:t>
      </w:r>
      <w:r w:rsidRPr="00D97463">
        <w:t>specific</w:t>
      </w:r>
      <w:r w:rsidR="00190923" w:rsidRPr="00D97463">
        <w:t xml:space="preserve"> </w:t>
      </w:r>
      <w:r w:rsidRPr="00D97463">
        <w:t>intent</w:t>
      </w:r>
      <w:r w:rsidR="00190923" w:rsidRPr="00D97463">
        <w:t xml:space="preserve"> </w:t>
      </w:r>
      <w:r w:rsidRPr="00D97463">
        <w:t>of</w:t>
      </w:r>
      <w:r w:rsidR="00190923" w:rsidRPr="00D97463">
        <w:t xml:space="preserve"> </w:t>
      </w:r>
      <w:r w:rsidRPr="00D97463">
        <w:t>other</w:t>
      </w:r>
      <w:r w:rsidR="00190923" w:rsidRPr="00D97463">
        <w:t xml:space="preserve"> </w:t>
      </w:r>
      <w:r w:rsidRPr="00D97463">
        <w:t>treaty</w:t>
      </w:r>
      <w:r w:rsidR="00190923" w:rsidRPr="00D97463">
        <w:t xml:space="preserve"> </w:t>
      </w:r>
      <w:r w:rsidRPr="00D97463">
        <w:t>provisions</w:t>
      </w:r>
      <w:bookmarkEnd w:id="258"/>
      <w:bookmarkEnd w:id="259"/>
      <w:bookmarkEnd w:id="260"/>
      <w:r w:rsidR="00190923" w:rsidRPr="00D97463">
        <w:t xml:space="preserve"> </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115.</w:t>
      </w:r>
      <w:r w:rsidRPr="00981405">
        <w:tab/>
        <w:t>In</w:t>
      </w:r>
      <w:r w:rsidR="00190923" w:rsidRPr="00981405">
        <w:t xml:space="preserve"> </w:t>
      </w:r>
      <w:r w:rsidRPr="00981405">
        <w:t>some</w:t>
      </w:r>
      <w:r w:rsidR="00190923" w:rsidRPr="00981405">
        <w:t xml:space="preserve"> </w:t>
      </w:r>
      <w:r w:rsidRPr="00981405">
        <w:t>cases,</w:t>
      </w:r>
      <w:r w:rsidR="00190923" w:rsidRPr="00981405">
        <w:t xml:space="preserve"> </w:t>
      </w:r>
      <w:r w:rsidRPr="00981405">
        <w:t>when</w:t>
      </w:r>
      <w:r w:rsidR="00190923" w:rsidRPr="00981405">
        <w:t xml:space="preserve"> </w:t>
      </w:r>
      <w:r w:rsidRPr="00981405">
        <w:t>interpreting</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benefit</w:t>
      </w:r>
      <w:r w:rsidR="00190923" w:rsidRPr="00981405">
        <w:t xml:space="preserve"> </w:t>
      </w:r>
      <w:r w:rsidRPr="00981405">
        <w:t>sought</w:t>
      </w:r>
      <w:r w:rsidR="00190923" w:rsidRPr="00981405">
        <w:t xml:space="preserve"> </w:t>
      </w:r>
      <w:r w:rsidRPr="00981405">
        <w:t>to</w:t>
      </w:r>
      <w:r w:rsidR="00190923" w:rsidRPr="00981405">
        <w:t xml:space="preserve"> </w:t>
      </w:r>
      <w:r w:rsidRPr="00981405">
        <w:t>be</w:t>
      </w:r>
      <w:r w:rsidR="00190923" w:rsidRPr="00981405">
        <w:t xml:space="preserve"> </w:t>
      </w:r>
      <w:r w:rsidRPr="00981405">
        <w:t>obtained</w:t>
      </w:r>
      <w:r w:rsidR="00190923" w:rsidRPr="00981405">
        <w:t xml:space="preserve"> </w:t>
      </w:r>
      <w:r w:rsidRPr="00981405">
        <w:t>from</w:t>
      </w:r>
      <w:r w:rsidR="00190923" w:rsidRPr="00981405">
        <w:t xml:space="preserve"> </w:t>
      </w:r>
      <w:r w:rsidRPr="00981405">
        <w:t>the</w:t>
      </w:r>
      <w:r w:rsidR="00190923" w:rsidRPr="00981405">
        <w:t xml:space="preserve"> </w:t>
      </w:r>
      <w:r w:rsidRPr="00981405">
        <w:t>other</w:t>
      </w:r>
      <w:r w:rsidR="00190923" w:rsidRPr="00981405">
        <w:t xml:space="preserve"> </w:t>
      </w:r>
      <w:r w:rsidRPr="00981405">
        <w:t>treaty</w:t>
      </w:r>
      <w:r w:rsidR="00190923" w:rsidRPr="00981405">
        <w:t xml:space="preserve"> </w:t>
      </w:r>
      <w:r w:rsidRPr="00981405">
        <w:t>has</w:t>
      </w:r>
      <w:r w:rsidR="00190923" w:rsidRPr="00981405">
        <w:t xml:space="preserve"> </w:t>
      </w:r>
      <w:r w:rsidRPr="00981405">
        <w:t>already</w:t>
      </w:r>
      <w:r w:rsidR="00190923" w:rsidRPr="00981405">
        <w:t xml:space="preserve"> </w:t>
      </w:r>
      <w:r w:rsidRPr="00981405">
        <w:t>been</w:t>
      </w:r>
      <w:r w:rsidR="00190923" w:rsidRPr="00981405">
        <w:t xml:space="preserve"> </w:t>
      </w:r>
      <w:r w:rsidRPr="00981405">
        <w:t>covered,</w:t>
      </w:r>
      <w:r w:rsidR="00190923" w:rsidRPr="00981405">
        <w:t xml:space="preserve"> </w:t>
      </w:r>
      <w:r w:rsidRPr="00981405">
        <w:t>in</w:t>
      </w:r>
      <w:r w:rsidR="00190923" w:rsidRPr="00981405">
        <w:t xml:space="preserve"> </w:t>
      </w:r>
      <w:r w:rsidRPr="00981405">
        <w:t>a</w:t>
      </w:r>
      <w:r w:rsidR="00190923" w:rsidRPr="00981405">
        <w:t xml:space="preserve"> </w:t>
      </w:r>
      <w:r w:rsidRPr="00981405">
        <w:t>different</w:t>
      </w:r>
      <w:r w:rsidR="00190923" w:rsidRPr="00981405">
        <w:t xml:space="preserve"> </w:t>
      </w:r>
      <w:r w:rsidRPr="00981405">
        <w:t>and</w:t>
      </w:r>
      <w:r w:rsidR="00190923" w:rsidRPr="00981405">
        <w:t xml:space="preserve"> </w:t>
      </w:r>
      <w:r w:rsidRPr="00981405">
        <w:t>more</w:t>
      </w:r>
      <w:r w:rsidR="00190923" w:rsidRPr="00981405">
        <w:t xml:space="preserve"> </w:t>
      </w:r>
      <w:r w:rsidRPr="00981405">
        <w:t>specific</w:t>
      </w:r>
      <w:r w:rsidR="00190923" w:rsidRPr="00981405">
        <w:t xml:space="preserve"> </w:t>
      </w:r>
      <w:r w:rsidRPr="00981405">
        <w:t>way,</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itself.</w:t>
      </w:r>
      <w:r w:rsidR="00190923" w:rsidRPr="00981405">
        <w:t xml:space="preserve"> </w:t>
      </w:r>
      <w:r w:rsidRPr="00981405">
        <w:t>In</w:t>
      </w:r>
      <w:r w:rsidR="00190923" w:rsidRPr="00981405">
        <w:t xml:space="preserve"> </w:t>
      </w:r>
      <w:r w:rsidRPr="00981405">
        <w:t>a</w:t>
      </w:r>
      <w:r w:rsidR="00190923" w:rsidRPr="00981405">
        <w:t xml:space="preserve"> </w:t>
      </w:r>
      <w:r w:rsidRPr="00981405">
        <w:t>sense,</w:t>
      </w:r>
      <w:r w:rsidR="00190923" w:rsidRPr="00981405">
        <w:t xml:space="preserve"> </w:t>
      </w:r>
      <w:r w:rsidRPr="00981405">
        <w:t>this</w:t>
      </w:r>
      <w:r w:rsidR="00190923" w:rsidRPr="00981405">
        <w:t xml:space="preserve"> </w:t>
      </w:r>
      <w:r w:rsidRPr="00981405">
        <w:t>is</w:t>
      </w:r>
      <w:r w:rsidR="00190923" w:rsidRPr="00981405">
        <w:t xml:space="preserve"> </w:t>
      </w:r>
      <w:r w:rsidRPr="00981405">
        <w:t>at</w:t>
      </w:r>
      <w:r w:rsidR="00190923" w:rsidRPr="00981405">
        <w:t xml:space="preserve"> </w:t>
      </w:r>
      <w:r w:rsidRPr="00981405">
        <w:t>the</w:t>
      </w:r>
      <w:r w:rsidR="00190923" w:rsidRPr="00981405">
        <w:t xml:space="preserve"> </w:t>
      </w:r>
      <w:r w:rsidRPr="00981405">
        <w:t>very</w:t>
      </w:r>
      <w:r w:rsidR="00190923" w:rsidRPr="00981405">
        <w:t xml:space="preserve"> </w:t>
      </w:r>
      <w:r w:rsidRPr="00981405">
        <w:t>core</w:t>
      </w:r>
      <w:r w:rsidR="00190923" w:rsidRPr="00981405">
        <w:t xml:space="preserve"> </w:t>
      </w:r>
      <w:r w:rsidRPr="00981405">
        <w:t>of</w:t>
      </w:r>
      <w:r w:rsidR="00190923" w:rsidRPr="00981405">
        <w:t xml:space="preserve"> </w:t>
      </w:r>
      <w:r w:rsidRPr="00981405">
        <w:t>what</w:t>
      </w:r>
      <w:r w:rsidR="00190923" w:rsidRPr="00981405">
        <w:t xml:space="preserve"> </w:t>
      </w:r>
      <w:r w:rsidRPr="00981405">
        <w:t>MFN</w:t>
      </w:r>
      <w:r w:rsidR="00190923" w:rsidRPr="00981405">
        <w:t xml:space="preserve"> </w:t>
      </w:r>
      <w:r w:rsidRPr="00981405">
        <w:t>is</w:t>
      </w:r>
      <w:r w:rsidR="00190923" w:rsidRPr="00981405">
        <w:t xml:space="preserve"> </w:t>
      </w:r>
      <w:r w:rsidRPr="00981405">
        <w:t>about:</w:t>
      </w:r>
      <w:r w:rsidR="00190923" w:rsidRPr="00981405">
        <w:t xml:space="preserve"> </w:t>
      </w:r>
      <w:r w:rsidRPr="00981405">
        <w:t>it</w:t>
      </w:r>
      <w:r w:rsidR="00190923" w:rsidRPr="00981405">
        <w:t xml:space="preserve"> </w:t>
      </w:r>
      <w:r w:rsidRPr="00981405">
        <w:t>seeks</w:t>
      </w:r>
      <w:r w:rsidR="00190923" w:rsidRPr="00981405">
        <w:t xml:space="preserve"> </w:t>
      </w:r>
      <w:r w:rsidRPr="00981405">
        <w:t>to</w:t>
      </w:r>
      <w:r w:rsidR="00190923" w:rsidRPr="00981405">
        <w:t xml:space="preserve"> </w:t>
      </w:r>
      <w:r w:rsidRPr="00981405">
        <w:t>provide</w:t>
      </w:r>
      <w:r w:rsidR="00190923" w:rsidRPr="00981405">
        <w:t xml:space="preserve"> </w:t>
      </w:r>
      <w:r w:rsidRPr="00981405">
        <w:t>something</w:t>
      </w:r>
      <w:r w:rsidR="00190923" w:rsidRPr="00981405">
        <w:t xml:space="preserve"> </w:t>
      </w:r>
      <w:r w:rsidRPr="00981405">
        <w:t>better</w:t>
      </w:r>
      <w:r w:rsidR="00190923" w:rsidRPr="00981405">
        <w:t xml:space="preserve"> </w:t>
      </w:r>
      <w:r w:rsidRPr="00981405">
        <w:t>than</w:t>
      </w:r>
      <w:r w:rsidR="00190923" w:rsidRPr="00981405">
        <w:t xml:space="preserve"> </w:t>
      </w:r>
      <w:r w:rsidRPr="00981405">
        <w:t>what</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would</w:t>
      </w:r>
      <w:r w:rsidR="00190923" w:rsidRPr="00981405">
        <w:t xml:space="preserve"> </w:t>
      </w:r>
      <w:r w:rsidRPr="00981405">
        <w:t>otherwise</w:t>
      </w:r>
      <w:r w:rsidR="00190923" w:rsidRPr="00981405">
        <w:t xml:space="preserve"> </w:t>
      </w:r>
      <w:r w:rsidRPr="00981405">
        <w:t>receive</w:t>
      </w:r>
      <w:r w:rsidR="00190923" w:rsidRPr="00981405">
        <w:t xml:space="preserve"> </w:t>
      </w:r>
      <w:r w:rsidRPr="00981405">
        <w:t>under</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On</w:t>
      </w:r>
      <w:r w:rsidR="00190923" w:rsidRPr="00981405">
        <w:t xml:space="preserve"> </w:t>
      </w:r>
      <w:r w:rsidRPr="00981405">
        <w:t>that</w:t>
      </w:r>
      <w:r w:rsidR="00190923" w:rsidRPr="00981405">
        <w:t xml:space="preserve"> </w:t>
      </w:r>
      <w:r w:rsidRPr="00981405">
        <w:t>basis,</w:t>
      </w:r>
      <w:r w:rsidR="00190923" w:rsidRPr="00981405">
        <w:t xml:space="preserve"> </w:t>
      </w:r>
      <w:r w:rsidRPr="00981405">
        <w:t>it</w:t>
      </w:r>
      <w:r w:rsidR="00190923" w:rsidRPr="00981405">
        <w:t xml:space="preserve"> </w:t>
      </w:r>
      <w:r w:rsidRPr="00981405">
        <w:t>would</w:t>
      </w:r>
      <w:r w:rsidR="00190923" w:rsidRPr="00981405">
        <w:t xml:space="preserve"> </w:t>
      </w:r>
      <w:r w:rsidRPr="00981405">
        <w:t>seem</w:t>
      </w:r>
      <w:r w:rsidR="00190923" w:rsidRPr="00981405">
        <w:t xml:space="preserve"> </w:t>
      </w:r>
      <w:r w:rsidRPr="00981405">
        <w:t>inevitable</w:t>
      </w:r>
      <w:r w:rsidR="00190923" w:rsidRPr="00981405">
        <w:t xml:space="preserve"> </w:t>
      </w:r>
      <w:r w:rsidRPr="00981405">
        <w:t>that</w:t>
      </w:r>
      <w:r w:rsidR="00190923" w:rsidRPr="00981405">
        <w:t xml:space="preserve"> </w:t>
      </w:r>
      <w:r w:rsidRPr="00981405">
        <w:t>if</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provides</w:t>
      </w:r>
      <w:r w:rsidR="00190923" w:rsidRPr="00981405">
        <w:t xml:space="preserve"> </w:t>
      </w:r>
      <w:r w:rsidRPr="00981405">
        <w:t>for</w:t>
      </w:r>
      <w:r w:rsidR="00190923" w:rsidRPr="00981405">
        <w:t xml:space="preserve"> </w:t>
      </w:r>
      <w:r w:rsidRPr="00981405">
        <w:t>a</w:t>
      </w:r>
      <w:r w:rsidR="00190923" w:rsidRPr="00981405">
        <w:t xml:space="preserve"> </w:t>
      </w:r>
      <w:r w:rsidRPr="00981405">
        <w:t>certain</w:t>
      </w:r>
      <w:r w:rsidR="00190923" w:rsidRPr="00981405">
        <w:t xml:space="preserve"> </w:t>
      </w:r>
      <w:r w:rsidRPr="00981405">
        <w:t>kind</w:t>
      </w:r>
      <w:r w:rsidR="00190923" w:rsidRPr="00981405">
        <w:t xml:space="preserve"> </w:t>
      </w:r>
      <w:r w:rsidRPr="00981405">
        <w:t>of</w:t>
      </w:r>
      <w:r w:rsidR="00190923" w:rsidRPr="00981405">
        <w:t xml:space="preserve"> </w:t>
      </w:r>
      <w:r w:rsidRPr="00981405">
        <w:t>treatment,</w:t>
      </w:r>
      <w:r w:rsidR="00190923" w:rsidRPr="00981405">
        <w:t xml:space="preserve"> </w:t>
      </w:r>
      <w:r w:rsidRPr="00981405">
        <w:t>the</w:t>
      </w:r>
      <w:r w:rsidR="00190923" w:rsidRPr="00981405">
        <w:t xml:space="preserve"> </w:t>
      </w:r>
      <w:r w:rsidRPr="00981405">
        <w:t>consequence</w:t>
      </w:r>
      <w:r w:rsidR="00190923" w:rsidRPr="00981405">
        <w:t xml:space="preserve"> </w:t>
      </w:r>
      <w:r w:rsidRPr="00981405">
        <w:t>of</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is</w:t>
      </w:r>
      <w:r w:rsidR="00190923" w:rsidRPr="00981405">
        <w:t xml:space="preserve"> </w:t>
      </w:r>
      <w:r w:rsidRPr="00981405">
        <w:t>that</w:t>
      </w:r>
      <w:r w:rsidR="00190923" w:rsidRPr="00981405">
        <w:t xml:space="preserve"> </w:t>
      </w:r>
      <w:r w:rsidRPr="00981405">
        <w:t>the</w:t>
      </w:r>
      <w:r w:rsidR="00190923" w:rsidRPr="00981405">
        <w:t xml:space="preserve"> </w:t>
      </w:r>
      <w:r w:rsidRPr="00981405">
        <w:t>treaty</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would</w:t>
      </w:r>
      <w:r w:rsidR="00190923" w:rsidRPr="00981405">
        <w:t xml:space="preserve"> </w:t>
      </w:r>
      <w:r w:rsidRPr="00981405">
        <w:t>be</w:t>
      </w:r>
      <w:r w:rsidR="00190923" w:rsidRPr="00981405">
        <w:t xml:space="preserve"> </w:t>
      </w:r>
      <w:r w:rsidRPr="00981405">
        <w:t>overridden.</w:t>
      </w:r>
      <w:r w:rsidR="00190923" w:rsidRPr="00981405">
        <w:t xml:space="preserve"> </w:t>
      </w:r>
    </w:p>
    <w:p w:rsidR="00397032" w:rsidRPr="00981405" w:rsidRDefault="00397032" w:rsidP="00D97463">
      <w:pPr>
        <w:pStyle w:val="SingleTxt"/>
      </w:pPr>
      <w:r w:rsidRPr="00981405">
        <w:t>116.</w:t>
      </w:r>
      <w:r w:rsidRPr="00981405">
        <w:tab/>
        <w:t>In</w:t>
      </w:r>
      <w:r w:rsidR="00190923" w:rsidRPr="00981405">
        <w:t xml:space="preserve"> </w:t>
      </w:r>
      <w:r w:rsidRPr="00D97463">
        <w:rPr>
          <w:i/>
          <w:iCs/>
        </w:rPr>
        <w:t>RosInvest</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operation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would</w:t>
      </w:r>
      <w:r w:rsidR="00190923" w:rsidRPr="00981405">
        <w:t xml:space="preserve"> </w:t>
      </w:r>
      <w:r w:rsidRPr="00981405">
        <w:t>broaden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was</w:t>
      </w:r>
      <w:r w:rsidR="00190923" w:rsidRPr="00981405">
        <w:t xml:space="preserve"> </w:t>
      </w:r>
      <w:r w:rsidR="00B92E2C" w:rsidRPr="00981405">
        <w:t>“</w:t>
      </w:r>
      <w:r w:rsidRPr="00981405">
        <w:t>a</w:t>
      </w:r>
      <w:r w:rsidR="00190923" w:rsidRPr="00981405">
        <w:t xml:space="preserve"> </w:t>
      </w:r>
      <w:r w:rsidRPr="00981405">
        <w:t>normal</w:t>
      </w:r>
      <w:r w:rsidR="00190923" w:rsidRPr="00981405">
        <w:t xml:space="preserve"> </w:t>
      </w:r>
      <w:r w:rsidRPr="00981405">
        <w:t>result</w:t>
      </w:r>
      <w:r w:rsidR="00190923" w:rsidRPr="00981405">
        <w:t xml:space="preserve"> </w:t>
      </w:r>
      <w:r w:rsidRPr="00981405">
        <w:t>of</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the</w:t>
      </w:r>
      <w:r w:rsidR="00190923" w:rsidRPr="00981405">
        <w:t xml:space="preserve"> </w:t>
      </w:r>
      <w:r w:rsidRPr="00981405">
        <w:t>very</w:t>
      </w:r>
      <w:r w:rsidR="00190923" w:rsidRPr="00981405">
        <w:t xml:space="preserve"> </w:t>
      </w:r>
      <w:r w:rsidRPr="00981405">
        <w:t>character</w:t>
      </w:r>
      <w:r w:rsidR="00190923" w:rsidRPr="00981405">
        <w:t xml:space="preserve"> </w:t>
      </w:r>
      <w:r w:rsidRPr="00981405">
        <w:t>and</w:t>
      </w:r>
      <w:r w:rsidR="00190923" w:rsidRPr="00981405">
        <w:t xml:space="preserve"> </w:t>
      </w:r>
      <w:r w:rsidRPr="00981405">
        <w:t>intention</w:t>
      </w:r>
      <w:r w:rsidR="00190923" w:rsidRPr="00981405">
        <w:t xml:space="preserve"> </w:t>
      </w:r>
      <w:r w:rsidRPr="00981405">
        <w:t>of</w:t>
      </w:r>
      <w:r w:rsidR="00190923" w:rsidRPr="00981405">
        <w:t xml:space="preserve"> </w:t>
      </w:r>
      <w:r w:rsidRPr="00981405">
        <w:lastRenderedPageBreak/>
        <w:t>which</w:t>
      </w:r>
      <w:r w:rsidR="00190923" w:rsidRPr="00981405">
        <w:t xml:space="preserve"> </w:t>
      </w:r>
      <w:r w:rsidRPr="00981405">
        <w:t>is</w:t>
      </w:r>
      <w:r w:rsidR="00190923" w:rsidRPr="00981405">
        <w:t xml:space="preserve"> </w:t>
      </w:r>
      <w:r w:rsidRPr="00981405">
        <w:t>that</w:t>
      </w:r>
      <w:r w:rsidR="00190923" w:rsidRPr="00981405">
        <w:t xml:space="preserve"> </w:t>
      </w:r>
      <w:r w:rsidRPr="00981405">
        <w:t>protection</w:t>
      </w:r>
      <w:r w:rsidR="00190923" w:rsidRPr="00981405">
        <w:t xml:space="preserve"> </w:t>
      </w:r>
      <w:r w:rsidRPr="00981405">
        <w:t>not</w:t>
      </w:r>
      <w:r w:rsidR="00190923" w:rsidRPr="00981405">
        <w:t xml:space="preserve"> </w:t>
      </w:r>
      <w:r w:rsidRPr="00981405">
        <w:t>accepted</w:t>
      </w:r>
      <w:r w:rsidR="00190923" w:rsidRPr="00981405">
        <w:t xml:space="preserve"> </w:t>
      </w:r>
      <w:r w:rsidRPr="00981405">
        <w:t>in</w:t>
      </w:r>
      <w:r w:rsidR="00190923" w:rsidRPr="00981405">
        <w:t xml:space="preserve"> </w:t>
      </w:r>
      <w:r w:rsidRPr="00981405">
        <w:t>one</w:t>
      </w:r>
      <w:r w:rsidR="00190923" w:rsidRPr="00981405">
        <w:t xml:space="preserve"> </w:t>
      </w:r>
      <w:r w:rsidRPr="00981405">
        <w:t>treaty</w:t>
      </w:r>
      <w:r w:rsidR="00190923" w:rsidRPr="00981405">
        <w:t xml:space="preserve"> </w:t>
      </w:r>
      <w:r w:rsidRPr="00981405">
        <w:t>is</w:t>
      </w:r>
      <w:r w:rsidR="00190923" w:rsidRPr="00981405">
        <w:t xml:space="preserve"> </w:t>
      </w:r>
      <w:r w:rsidRPr="00981405">
        <w:t>widened</w:t>
      </w:r>
      <w:r w:rsidR="00190923" w:rsidRPr="00981405">
        <w:t xml:space="preserve"> </w:t>
      </w:r>
      <w:r w:rsidRPr="00981405">
        <w:t>by</w:t>
      </w:r>
      <w:r w:rsidR="00190923" w:rsidRPr="00981405">
        <w:t xml:space="preserve"> </w:t>
      </w:r>
      <w:r w:rsidRPr="00981405">
        <w:t>transferring</w:t>
      </w:r>
      <w:r w:rsidR="00190923" w:rsidRPr="00981405">
        <w:t xml:space="preserve"> </w:t>
      </w:r>
      <w:r w:rsidRPr="00981405">
        <w:t>the</w:t>
      </w:r>
      <w:r w:rsidR="00190923" w:rsidRPr="00981405">
        <w:t xml:space="preserve"> </w:t>
      </w:r>
      <w:r w:rsidRPr="00981405">
        <w:t>protection</w:t>
      </w:r>
      <w:r w:rsidR="00190923" w:rsidRPr="00981405">
        <w:t xml:space="preserve"> </w:t>
      </w:r>
      <w:r w:rsidRPr="00981405">
        <w:t>accorded</w:t>
      </w:r>
      <w:r w:rsidR="00190923" w:rsidRPr="00981405">
        <w:t xml:space="preserve"> </w:t>
      </w:r>
      <w:r w:rsidRPr="00981405">
        <w:t>in</w:t>
      </w:r>
      <w:r w:rsidR="00190923" w:rsidRPr="00981405">
        <w:t xml:space="preserve"> </w:t>
      </w:r>
      <w:r w:rsidRPr="00981405">
        <w:t>another</w:t>
      </w:r>
      <w:r w:rsidR="00190923" w:rsidRPr="00981405">
        <w:t xml:space="preserve"> </w:t>
      </w:r>
      <w:r w:rsidRPr="00981405">
        <w:t>treaty.</w:t>
      </w:r>
      <w:r w:rsidR="00B92E2C" w:rsidRPr="00981405">
        <w:t>”</w:t>
      </w:r>
      <w:r w:rsidRPr="00981405">
        <w:rPr>
          <w:rStyle w:val="FootnoteReference"/>
        </w:rPr>
        <w:footnoteReference w:id="537"/>
      </w:r>
      <w:r w:rsidR="00190923" w:rsidRPr="00981405">
        <w:t xml:space="preserve"> </w:t>
      </w:r>
    </w:p>
    <w:p w:rsidR="00397032" w:rsidRPr="00981405" w:rsidRDefault="00397032" w:rsidP="00D97463">
      <w:pPr>
        <w:pStyle w:val="SingleTxt"/>
      </w:pPr>
      <w:r w:rsidRPr="00981405">
        <w:t>117.</w:t>
      </w:r>
      <w:r w:rsidRPr="00981405">
        <w:tab/>
      </w:r>
      <w:r w:rsidR="00190923" w:rsidRPr="00981405">
        <w:t xml:space="preserve"> </w:t>
      </w:r>
      <w:r w:rsidRPr="00981405">
        <w:t>However,</w:t>
      </w:r>
      <w:r w:rsidR="00190923" w:rsidRPr="00981405">
        <w:t xml:space="preserve"> </w:t>
      </w:r>
      <w:r w:rsidRPr="00981405">
        <w:t>the</w:t>
      </w:r>
      <w:r w:rsidR="00190923" w:rsidRPr="00981405">
        <w:t xml:space="preserve"> </w:t>
      </w:r>
      <w:r w:rsidRPr="00981405">
        <w:t>contrary</w:t>
      </w:r>
      <w:r w:rsidR="00190923" w:rsidRPr="00981405">
        <w:t xml:space="preserve"> </w:t>
      </w:r>
      <w:r w:rsidRPr="00981405">
        <w:t>view</w:t>
      </w:r>
      <w:r w:rsidR="00190923" w:rsidRPr="00981405">
        <w:t xml:space="preserve"> </w:t>
      </w:r>
      <w:r w:rsidRPr="00981405">
        <w:t>has</w:t>
      </w:r>
      <w:r w:rsidR="00190923" w:rsidRPr="00981405">
        <w:t xml:space="preserve"> </w:t>
      </w:r>
      <w:r w:rsidRPr="00981405">
        <w:t>also</w:t>
      </w:r>
      <w:r w:rsidR="00190923" w:rsidRPr="00981405">
        <w:t xml:space="preserve"> </w:t>
      </w:r>
      <w:r w:rsidRPr="00981405">
        <w:t>been</w:t>
      </w:r>
      <w:r w:rsidR="00190923" w:rsidRPr="00981405">
        <w:t xml:space="preserve"> </w:t>
      </w:r>
      <w:r w:rsidRPr="00981405">
        <w:t>taken.</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CME</w:t>
      </w:r>
      <w:r w:rsidR="00190923" w:rsidRPr="00981405">
        <w:t xml:space="preserve"> </w:t>
      </w:r>
      <w:r w:rsidRPr="00981405">
        <w:t>case,</w:t>
      </w:r>
      <w:r w:rsidR="00190923" w:rsidRPr="00981405">
        <w:t xml:space="preserve"> </w:t>
      </w:r>
      <w:r w:rsidRPr="00981405">
        <w:t>the</w:t>
      </w:r>
      <w:r w:rsidR="00190923" w:rsidRPr="00981405">
        <w:t xml:space="preserve"> </w:t>
      </w:r>
      <w:r w:rsidRPr="00981405">
        <w:t>dissenting</w:t>
      </w:r>
      <w:r w:rsidR="00190923" w:rsidRPr="00981405">
        <w:t xml:space="preserve"> </w:t>
      </w:r>
      <w:r w:rsidRPr="00981405">
        <w:t>arbitrator,</w:t>
      </w:r>
      <w:r w:rsidR="00190923" w:rsidRPr="00981405">
        <w:t xml:space="preserve"> </w:t>
      </w:r>
      <w:r w:rsidRPr="00981405">
        <w:t>Ian</w:t>
      </w:r>
      <w:r w:rsidR="00190923" w:rsidRPr="00981405">
        <w:t xml:space="preserve"> </w:t>
      </w:r>
      <w:r w:rsidRPr="00981405">
        <w:t>Brownlie,</w:t>
      </w:r>
      <w:r w:rsidR="00190923" w:rsidRPr="00981405">
        <w:t xml:space="preserve"> </w:t>
      </w:r>
      <w:r w:rsidRPr="00981405">
        <w:t>was</w:t>
      </w:r>
      <w:r w:rsidR="00190923" w:rsidRPr="00981405">
        <w:t xml:space="preserve"> </w:t>
      </w:r>
      <w:r w:rsidRPr="00981405">
        <w:t>not</w:t>
      </w:r>
      <w:r w:rsidR="00190923" w:rsidRPr="00981405">
        <w:t xml:space="preserve"> </w:t>
      </w:r>
      <w:r w:rsidRPr="00981405">
        <w:t>prepared</w:t>
      </w:r>
      <w:r w:rsidR="00190923" w:rsidRPr="00981405">
        <w:t xml:space="preserve"> </w:t>
      </w:r>
      <w:r w:rsidRPr="00981405">
        <w:t>to</w:t>
      </w:r>
      <w:r w:rsidR="00190923" w:rsidRPr="00981405">
        <w:t xml:space="preserve"> </w:t>
      </w:r>
      <w:r w:rsidRPr="00981405">
        <w:t>use</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to</w:t>
      </w:r>
      <w:r w:rsidR="00190923" w:rsidRPr="00981405">
        <w:t xml:space="preserve"> </w:t>
      </w:r>
      <w:r w:rsidRPr="00981405">
        <w:t>import</w:t>
      </w:r>
      <w:r w:rsidR="00190923" w:rsidRPr="00981405">
        <w:t xml:space="preserve"> </w:t>
      </w:r>
      <w:r w:rsidRPr="00981405">
        <w:t>into</w:t>
      </w:r>
      <w:r w:rsidR="00190923" w:rsidRPr="00981405">
        <w:t xml:space="preserve"> </w:t>
      </w:r>
      <w:r w:rsidRPr="00981405">
        <w:t>the</w:t>
      </w:r>
      <w:r w:rsidR="00190923" w:rsidRPr="00981405">
        <w:t xml:space="preserve"> </w:t>
      </w:r>
      <w:r w:rsidRPr="00981405">
        <w:t>treaty</w:t>
      </w:r>
      <w:r w:rsidR="00190923" w:rsidRPr="00981405">
        <w:t xml:space="preserve"> </w:t>
      </w:r>
      <w:r w:rsidRPr="00981405">
        <w:t>an</w:t>
      </w:r>
      <w:r w:rsidR="00190923" w:rsidRPr="00981405">
        <w:t xml:space="preserve"> </w:t>
      </w:r>
      <w:r w:rsidRPr="00981405">
        <w:t>alternative</w:t>
      </w:r>
      <w:r w:rsidR="00190923" w:rsidRPr="00981405">
        <w:t xml:space="preserve"> </w:t>
      </w:r>
      <w:r w:rsidRPr="00981405">
        <w:t>formula</w:t>
      </w:r>
      <w:r w:rsidR="00190923" w:rsidRPr="00981405">
        <w:t xml:space="preserve"> </w:t>
      </w:r>
      <w:r w:rsidRPr="00981405">
        <w:t>for</w:t>
      </w:r>
      <w:r w:rsidR="00190923" w:rsidRPr="00981405">
        <w:t xml:space="preserve"> </w:t>
      </w:r>
      <w:r w:rsidRPr="00981405">
        <w:t>compensation,</w:t>
      </w:r>
      <w:r w:rsidR="00190923" w:rsidRPr="00981405">
        <w:t xml:space="preserve"> </w:t>
      </w:r>
      <w:r w:rsidRPr="00981405">
        <w:t>for</w:t>
      </w:r>
      <w:r w:rsidR="00190923" w:rsidRPr="00981405">
        <w:t xml:space="preserve"> </w:t>
      </w:r>
      <w:r w:rsidRPr="00981405">
        <w:t>this</w:t>
      </w:r>
      <w:r w:rsidR="00190923" w:rsidRPr="00981405">
        <w:t xml:space="preserve"> </w:t>
      </w:r>
      <w:r w:rsidRPr="00981405">
        <w:t>would</w:t>
      </w:r>
      <w:r w:rsidR="00190923" w:rsidRPr="00981405">
        <w:t xml:space="preserve"> </w:t>
      </w:r>
      <w:r w:rsidRPr="00981405">
        <w:t>render</w:t>
      </w:r>
      <w:r w:rsidR="00190923" w:rsidRPr="00981405">
        <w:t xml:space="preserve"> </w:t>
      </w:r>
      <w:r w:rsidRPr="00981405">
        <w:t>nugatory</w:t>
      </w:r>
      <w:r w:rsidR="00190923" w:rsidRPr="00981405">
        <w:t xml:space="preserve"> </w:t>
      </w:r>
      <w:r w:rsidRPr="00981405">
        <w:t>the</w:t>
      </w:r>
      <w:r w:rsidR="00190923" w:rsidRPr="00981405">
        <w:t xml:space="preserve"> </w:t>
      </w:r>
      <w:r w:rsidRPr="00981405">
        <w:t>express</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r w:rsidR="00190923" w:rsidRPr="00981405">
        <w:t xml:space="preserve"> </w:t>
      </w:r>
      <w:r w:rsidRPr="00981405">
        <w:t>for</w:t>
      </w:r>
      <w:r w:rsidR="00190923" w:rsidRPr="00981405">
        <w:t xml:space="preserve"> </w:t>
      </w:r>
      <w:r w:rsidRPr="00981405">
        <w:t>compensation.</w:t>
      </w:r>
      <w:r w:rsidRPr="00981405">
        <w:rPr>
          <w:rStyle w:val="FootnoteReference"/>
        </w:rPr>
        <w:footnoteReference w:id="538"/>
      </w:r>
      <w:r w:rsidR="00190923" w:rsidRPr="00981405">
        <w:t xml:space="preserve"> </w:t>
      </w:r>
      <w:r w:rsidRPr="00981405">
        <w:t>In</w:t>
      </w:r>
      <w:r w:rsidR="00190923" w:rsidRPr="00981405">
        <w:t xml:space="preserve"> </w:t>
      </w:r>
      <w:r w:rsidRPr="00D97463">
        <w:rPr>
          <w:i/>
          <w:iCs/>
        </w:rPr>
        <w:t>Austrian</w:t>
      </w:r>
      <w:r w:rsidR="00190923" w:rsidRPr="00D97463">
        <w:rPr>
          <w:i/>
          <w:iCs/>
        </w:rPr>
        <w:t xml:space="preserve"> </w:t>
      </w:r>
      <w:r w:rsidRPr="00D97463">
        <w:rPr>
          <w:i/>
          <w:iCs/>
        </w:rPr>
        <w:t>Airlines</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relating</w:t>
      </w:r>
      <w:r w:rsidR="00190923" w:rsidRPr="00981405">
        <w:t xml:space="preserve"> </w:t>
      </w:r>
      <w:r w:rsidRPr="00981405">
        <w:t>to</w:t>
      </w:r>
      <w:r w:rsidR="00190923" w:rsidRPr="00981405">
        <w:t xml:space="preserve"> </w:t>
      </w:r>
      <w:r w:rsidRPr="00981405">
        <w:t>jurisdiction</w:t>
      </w:r>
      <w:r w:rsidR="00190923" w:rsidRPr="00981405">
        <w:t xml:space="preserve"> </w:t>
      </w:r>
      <w:r w:rsidRPr="00981405">
        <w:t>were</w:t>
      </w:r>
      <w:r w:rsidR="00190923" w:rsidRPr="00981405">
        <w:t xml:space="preserve"> </w:t>
      </w:r>
      <w:r w:rsidRPr="00981405">
        <w:t>themselves</w:t>
      </w:r>
      <w:r w:rsidR="00190923" w:rsidRPr="00981405">
        <w:t xml:space="preserve"> </w:t>
      </w:r>
      <w:r w:rsidRPr="00981405">
        <w:t>a</w:t>
      </w:r>
      <w:r w:rsidR="00190923" w:rsidRPr="00981405">
        <w:t xml:space="preserve"> </w:t>
      </w:r>
      <w:r w:rsidRPr="00981405">
        <w:t>clear</w:t>
      </w:r>
      <w:r w:rsidR="00190923" w:rsidRPr="00981405">
        <w:t xml:space="preserve"> </w:t>
      </w:r>
      <w:r w:rsidRPr="00981405">
        <w:t>indication</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did</w:t>
      </w:r>
      <w:r w:rsidR="00190923" w:rsidRPr="00981405">
        <w:t xml:space="preserve"> </w:t>
      </w:r>
      <w:r w:rsidRPr="00981405">
        <w:t>not</w:t>
      </w:r>
      <w:r w:rsidR="00190923" w:rsidRPr="00981405">
        <w:t xml:space="preserve"> </w:t>
      </w:r>
      <w:r w:rsidRPr="00981405">
        <w:t>intend</w:t>
      </w:r>
      <w:r w:rsidR="00190923" w:rsidRPr="00981405">
        <w:t xml:space="preserve"> </w:t>
      </w:r>
      <w:r w:rsidRPr="00981405">
        <w:t>to</w:t>
      </w:r>
      <w:r w:rsidR="00190923" w:rsidRPr="00981405">
        <w:t xml:space="preserve"> </w:t>
      </w:r>
      <w:r w:rsidRPr="00981405">
        <w:t>allow</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to</w:t>
      </w:r>
      <w:r w:rsidR="00190923" w:rsidRPr="00981405">
        <w:t xml:space="preserve"> </w:t>
      </w:r>
      <w:r w:rsidRPr="00981405">
        <w:t>be</w:t>
      </w:r>
      <w:r w:rsidR="00190923" w:rsidRPr="00981405">
        <w:t xml:space="preserve"> </w:t>
      </w:r>
      <w:r w:rsidRPr="00981405">
        <w:t>expanded</w:t>
      </w:r>
      <w:r w:rsidR="00190923" w:rsidRPr="00981405">
        <w:t xml:space="preserve"> </w:t>
      </w:r>
      <w:r w:rsidRPr="00981405">
        <w:t>by</w:t>
      </w:r>
      <w:r w:rsidR="00190923" w:rsidRPr="00981405">
        <w:t xml:space="preserve"> </w:t>
      </w:r>
      <w:r w:rsidRPr="00981405">
        <w:t>means</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the</w:t>
      </w:r>
      <w:r w:rsidR="00190923" w:rsidRPr="00981405">
        <w:t xml:space="preserve"> </w:t>
      </w:r>
      <w:r w:rsidRPr="00981405">
        <w:t>specific</w:t>
      </w:r>
      <w:r w:rsidR="00190923" w:rsidRPr="00981405">
        <w:t xml:space="preserve"> </w:t>
      </w:r>
      <w:r w:rsidRPr="00981405">
        <w:t>intent</w:t>
      </w:r>
      <w:r w:rsidR="00190923" w:rsidRPr="00981405">
        <w:t xml:space="preserve"> </w:t>
      </w:r>
      <w:r w:rsidRPr="00981405">
        <w:t>of</w:t>
      </w:r>
      <w:r w:rsidR="00190923" w:rsidRPr="00981405">
        <w:t xml:space="preserve"> </w:t>
      </w:r>
      <w:r w:rsidRPr="00981405">
        <w:t>those</w:t>
      </w:r>
      <w:r w:rsidR="00190923" w:rsidRPr="00981405">
        <w:t xml:space="preserve"> </w:t>
      </w:r>
      <w:r w:rsidRPr="00981405">
        <w:t>provisions</w:t>
      </w:r>
      <w:r w:rsidR="00190923" w:rsidRPr="00981405">
        <w:t xml:space="preserve"> </w:t>
      </w:r>
      <w:r w:rsidRPr="00981405">
        <w:t>was</w:t>
      </w:r>
      <w:r w:rsidR="00190923" w:rsidRPr="00981405">
        <w:t xml:space="preserve"> </w:t>
      </w:r>
      <w:r w:rsidRPr="00981405">
        <w:t>not</w:t>
      </w:r>
      <w:r w:rsidR="00190923" w:rsidRPr="00981405">
        <w:t xml:space="preserve"> </w:t>
      </w:r>
      <w:r w:rsidRPr="00981405">
        <w:t>to</w:t>
      </w:r>
      <w:r w:rsidR="00190923" w:rsidRPr="00981405">
        <w:t xml:space="preserve"> </w:t>
      </w:r>
      <w:r w:rsidRPr="00981405">
        <w:t>be</w:t>
      </w:r>
      <w:r w:rsidR="00190923" w:rsidRPr="00981405">
        <w:t xml:space="preserve"> </w:t>
      </w:r>
      <w:r w:rsidRPr="00981405">
        <w:t>overridden</w:t>
      </w:r>
      <w:r w:rsidR="00190923" w:rsidRPr="00981405">
        <w:t xml:space="preserve"> </w:t>
      </w:r>
      <w:r w:rsidRPr="00981405">
        <w:t>by</w:t>
      </w:r>
      <w:r w:rsidR="00190923" w:rsidRPr="00981405">
        <w:t xml:space="preserve"> </w:t>
      </w:r>
      <w:r w:rsidRPr="00981405">
        <w:t>the</w:t>
      </w:r>
      <w:r w:rsidR="00190923" w:rsidRPr="00981405">
        <w:t xml:space="preserve"> </w:t>
      </w:r>
      <w:r w:rsidRPr="00981405">
        <w:t>general</w:t>
      </w:r>
      <w:r w:rsidR="00190923" w:rsidRPr="00981405">
        <w:t xml:space="preserve"> </w:t>
      </w:r>
      <w:r w:rsidRPr="00981405">
        <w:t>intent</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Pr="00981405">
        <w:rPr>
          <w:rStyle w:val="FootnoteReference"/>
        </w:rPr>
        <w:footnoteReference w:id="539"/>
      </w:r>
      <w:r w:rsidR="00190923" w:rsidRPr="00981405">
        <w:t xml:space="preserve"> </w:t>
      </w:r>
      <w:r w:rsidRPr="00981405">
        <w:t>The</w:t>
      </w:r>
      <w:r w:rsidR="00190923" w:rsidRPr="00981405">
        <w:t xml:space="preserve"> </w:t>
      </w:r>
      <w:r w:rsidRPr="00981405">
        <w:t>tribunal</w:t>
      </w:r>
      <w:r w:rsidR="00190923" w:rsidRPr="00981405">
        <w:t xml:space="preserve"> </w:t>
      </w:r>
      <w:r w:rsidRPr="00981405">
        <w:t>reinforced</w:t>
      </w:r>
      <w:r w:rsidR="00190923" w:rsidRPr="00981405">
        <w:t xml:space="preserve"> </w:t>
      </w:r>
      <w:r w:rsidRPr="00981405">
        <w:t>this</w:t>
      </w:r>
      <w:r w:rsidR="00190923" w:rsidRPr="00981405">
        <w:t xml:space="preserve"> </w:t>
      </w:r>
      <w:r w:rsidRPr="00981405">
        <w:t>conclusion</w:t>
      </w:r>
      <w:r w:rsidR="00190923" w:rsidRPr="00981405">
        <w:t xml:space="preserve"> </w:t>
      </w:r>
      <w:r w:rsidRPr="00981405">
        <w:t>by</w:t>
      </w:r>
      <w:r w:rsidR="00190923" w:rsidRPr="00981405">
        <w:t xml:space="preserve"> </w:t>
      </w:r>
      <w:r w:rsidRPr="00981405">
        <w:t>looking</w:t>
      </w:r>
      <w:r w:rsidR="00190923" w:rsidRPr="00981405">
        <w:t xml:space="preserve"> </w:t>
      </w:r>
      <w:r w:rsidRPr="00981405">
        <w:t>at</w:t>
      </w:r>
      <w:r w:rsidR="00190923" w:rsidRPr="00981405">
        <w:t xml:space="preserve"> </w:t>
      </w:r>
      <w:r w:rsidRPr="00981405">
        <w:t>the</w:t>
      </w:r>
      <w:r w:rsidR="00190923" w:rsidRPr="00981405">
        <w:t xml:space="preserve"> </w:t>
      </w:r>
      <w:r w:rsidRPr="00981405">
        <w:t>negotiating</w:t>
      </w:r>
      <w:r w:rsidR="00190923" w:rsidRPr="00981405">
        <w:t xml:space="preserve"> </w:t>
      </w:r>
      <w:r w:rsidRPr="00981405">
        <w:t>history</w:t>
      </w:r>
      <w:r w:rsidR="00190923" w:rsidRPr="00981405">
        <w:t xml:space="preserve"> </w:t>
      </w:r>
      <w:r w:rsidRPr="00981405">
        <w:t>of</w:t>
      </w:r>
      <w:r w:rsidR="00190923" w:rsidRPr="00981405">
        <w:t xml:space="preserve"> </w:t>
      </w:r>
      <w:r w:rsidRPr="00981405">
        <w:t>the</w:t>
      </w:r>
      <w:r w:rsidR="00190923" w:rsidRPr="00981405">
        <w:t xml:space="preserve"> </w:t>
      </w:r>
      <w:r w:rsidRPr="00981405">
        <w:t>Austria-Slovakia</w:t>
      </w:r>
      <w:r w:rsidR="00190923" w:rsidRPr="00981405">
        <w:t xml:space="preserve"> </w:t>
      </w:r>
      <w:r w:rsidRPr="00981405">
        <w:t>BIT</w:t>
      </w:r>
      <w:r w:rsidR="00190923" w:rsidRPr="00981405">
        <w:t xml:space="preserve"> </w:t>
      </w:r>
      <w:r w:rsidRPr="00981405">
        <w:t>where</w:t>
      </w:r>
      <w:r w:rsidR="00190923" w:rsidRPr="00981405">
        <w:t xml:space="preserve"> </w:t>
      </w:r>
      <w:r w:rsidRPr="00981405">
        <w:t>a</w:t>
      </w:r>
      <w:r w:rsidR="00190923" w:rsidRPr="00981405">
        <w:t xml:space="preserve"> </w:t>
      </w:r>
      <w:r w:rsidRPr="00981405">
        <w:t>wider</w:t>
      </w:r>
      <w:r w:rsidR="00190923" w:rsidRPr="00981405">
        <w:t xml:space="preserve"> </w:t>
      </w:r>
      <w:r w:rsidRPr="00981405">
        <w:t>formulation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B92E2C" w:rsidRPr="00981405">
        <w:t>’</w:t>
      </w:r>
      <w:r w:rsidRPr="00981405">
        <w:t>s</w:t>
      </w:r>
      <w:r w:rsidR="00190923" w:rsidRPr="00981405">
        <w:t xml:space="preserve"> </w:t>
      </w:r>
      <w:r w:rsidRPr="00981405">
        <w:t>jurisdiction</w:t>
      </w:r>
      <w:r w:rsidR="00190923" w:rsidRPr="00981405">
        <w:t xml:space="preserve"> </w:t>
      </w:r>
      <w:r w:rsidRPr="00981405">
        <w:t>had</w:t>
      </w:r>
      <w:r w:rsidR="00190923" w:rsidRPr="00981405">
        <w:t xml:space="preserve"> </w:t>
      </w:r>
      <w:r w:rsidRPr="00981405">
        <w:t>been</w:t>
      </w:r>
      <w:r w:rsidR="00190923" w:rsidRPr="00981405">
        <w:t xml:space="preserve"> </w:t>
      </w:r>
      <w:r w:rsidRPr="00981405">
        <w:t>rejected.</w:t>
      </w:r>
      <w:r w:rsidR="00190923" w:rsidRPr="00981405">
        <w:t xml:space="preserve"> </w:t>
      </w:r>
      <w:r w:rsidRPr="00981405">
        <w:t>In</w:t>
      </w:r>
      <w:r w:rsidR="00190923" w:rsidRPr="00981405">
        <w:t xml:space="preserve"> </w:t>
      </w:r>
      <w:r w:rsidRPr="00D97463">
        <w:rPr>
          <w:i/>
          <w:iCs/>
        </w:rPr>
        <w:t>Berschader</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looked</w:t>
      </w:r>
      <w:r w:rsidR="00190923" w:rsidRPr="00981405">
        <w:t xml:space="preserve"> </w:t>
      </w:r>
      <w:r w:rsidRPr="00981405">
        <w:t>at</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show</w:t>
      </w:r>
      <w:r w:rsidR="00190923" w:rsidRPr="00981405">
        <w:t xml:space="preserve"> </w:t>
      </w:r>
      <w:r w:rsidRPr="00981405">
        <w:t>that</w:t>
      </w:r>
      <w:r w:rsidR="00190923" w:rsidRPr="00981405">
        <w:t xml:space="preserve"> </w:t>
      </w:r>
      <w:r w:rsidRPr="00981405">
        <w:t>there</w:t>
      </w:r>
      <w:r w:rsidR="00190923" w:rsidRPr="00981405">
        <w:t xml:space="preserve"> </w:t>
      </w:r>
      <w:r w:rsidRPr="00981405">
        <w:t>were</w:t>
      </w:r>
      <w:r w:rsidR="00190923" w:rsidRPr="00981405">
        <w:t xml:space="preserve"> </w:t>
      </w:r>
      <w:r w:rsidRPr="00981405">
        <w:t>some</w:t>
      </w:r>
      <w:r w:rsidR="00190923" w:rsidRPr="00981405">
        <w:t xml:space="preserve"> </w:t>
      </w:r>
      <w:r w:rsidRPr="00981405">
        <w:t>provisions</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could</w:t>
      </w:r>
      <w:r w:rsidR="00190923" w:rsidRPr="00981405">
        <w:t xml:space="preserve"> </w:t>
      </w:r>
      <w:r w:rsidRPr="00981405">
        <w:t>not</w:t>
      </w:r>
      <w:r w:rsidR="00190923" w:rsidRPr="00981405">
        <w:t xml:space="preserve"> </w:t>
      </w:r>
      <w:r w:rsidRPr="00981405">
        <w:t>apply,</w:t>
      </w:r>
      <w:r w:rsidR="00190923" w:rsidRPr="00981405">
        <w:t xml:space="preserve"> </w:t>
      </w:r>
      <w:r w:rsidRPr="00981405">
        <w:t>and</w:t>
      </w:r>
      <w:r w:rsidR="00190923" w:rsidRPr="00981405">
        <w:t xml:space="preserve"> </w:t>
      </w:r>
      <w:r w:rsidRPr="00981405">
        <w:t>thus</w:t>
      </w:r>
      <w:r w:rsidR="00190923" w:rsidRPr="00981405">
        <w:t xml:space="preserve"> </w:t>
      </w:r>
      <w:r w:rsidRPr="00981405">
        <w:t>the</w:t>
      </w:r>
      <w:r w:rsidR="00190923" w:rsidRPr="00981405">
        <w:t xml:space="preserve"> </w:t>
      </w:r>
      <w:r w:rsidRPr="00981405">
        <w:t>expression</w:t>
      </w:r>
      <w:r w:rsidR="00190923" w:rsidRPr="00981405">
        <w:t xml:space="preserve"> </w:t>
      </w:r>
      <w:r w:rsidR="00B92E2C" w:rsidRPr="00981405">
        <w:t>“</w:t>
      </w:r>
      <w:r w:rsidRPr="00981405">
        <w:t>all</w:t>
      </w:r>
      <w:r w:rsidR="00190923" w:rsidRPr="00981405">
        <w:t xml:space="preserve"> </w:t>
      </w:r>
      <w:r w:rsidRPr="00981405">
        <w:t>matters</w:t>
      </w:r>
      <w:r w:rsidR="00190923" w:rsidRPr="00981405">
        <w:t xml:space="preserve"> </w:t>
      </w:r>
      <w:r w:rsidRPr="00981405">
        <w:t>covered</w:t>
      </w:r>
      <w:r w:rsidR="00190923" w:rsidRPr="00981405">
        <w:t xml:space="preserve"> </w:t>
      </w:r>
      <w:r w:rsidRPr="00981405">
        <w:t>by</w:t>
      </w:r>
      <w:r w:rsidR="00190923" w:rsidRPr="00981405">
        <w:t xml:space="preserve"> </w:t>
      </w:r>
      <w:r w:rsidRPr="00981405">
        <w:t>the</w:t>
      </w:r>
      <w:r w:rsidR="00190923" w:rsidRPr="00981405">
        <w:t xml:space="preserve"> </w:t>
      </w:r>
      <w:r w:rsidRPr="00981405">
        <w:t>present</w:t>
      </w:r>
      <w:r w:rsidR="00190923" w:rsidRPr="00981405">
        <w:t xml:space="preserve"> </w:t>
      </w:r>
      <w:r w:rsidRPr="00981405">
        <w:t>Treaty</w:t>
      </w:r>
      <w:r w:rsidR="00B92E2C" w:rsidRPr="00981405">
        <w:t>”</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taken</w:t>
      </w:r>
      <w:r w:rsidR="00190923" w:rsidRPr="00981405">
        <w:t xml:space="preserve"> </w:t>
      </w:r>
      <w:r w:rsidRPr="00981405">
        <w:t>literally.</w:t>
      </w:r>
      <w:r w:rsidRPr="00981405">
        <w:rPr>
          <w:rStyle w:val="FootnoteReference"/>
        </w:rPr>
        <w:footnoteReference w:id="540"/>
      </w:r>
    </w:p>
    <w:p w:rsidR="00397032" w:rsidRPr="00981405" w:rsidRDefault="00397032" w:rsidP="00D97463">
      <w:pPr>
        <w:pStyle w:val="SingleTxt"/>
      </w:pPr>
      <w:r w:rsidRPr="00981405">
        <w:t>118.</w:t>
      </w:r>
      <w:r w:rsidRPr="00981405">
        <w:tab/>
        <w:t>In</w:t>
      </w:r>
      <w:r w:rsidR="00190923" w:rsidRPr="00981405">
        <w:t xml:space="preserve"> </w:t>
      </w:r>
      <w:r w:rsidRPr="00D97463">
        <w:rPr>
          <w:i/>
          <w:iCs/>
        </w:rPr>
        <w:t>Austrian</w:t>
      </w:r>
      <w:r w:rsidR="00190923" w:rsidRPr="00D97463">
        <w:rPr>
          <w:i/>
          <w:iCs/>
        </w:rPr>
        <w:t xml:space="preserve"> </w:t>
      </w:r>
      <w:r w:rsidRPr="00D97463">
        <w:rPr>
          <w:i/>
          <w:iCs/>
        </w:rPr>
        <w:t>Airlines</w:t>
      </w:r>
      <w:r w:rsidR="00190923" w:rsidRPr="00981405">
        <w:t xml:space="preserve"> </w:t>
      </w:r>
      <w:r w:rsidRPr="00981405">
        <w:t>the</w:t>
      </w:r>
      <w:r w:rsidR="00190923" w:rsidRPr="00981405">
        <w:t xml:space="preserve"> </w:t>
      </w:r>
      <w:r w:rsidRPr="00981405">
        <w:t>tribunal</w:t>
      </w:r>
      <w:r w:rsidR="00190923" w:rsidRPr="00981405">
        <w:t xml:space="preserve"> </w:t>
      </w:r>
      <w:r w:rsidRPr="00981405">
        <w:t>also</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other</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placing</w:t>
      </w:r>
      <w:r w:rsidR="00190923" w:rsidRPr="00981405">
        <w:t xml:space="preserve"> </w:t>
      </w:r>
      <w:r w:rsidRPr="00981405">
        <w:t>emphasis</w:t>
      </w:r>
      <w:r w:rsidR="00190923" w:rsidRPr="00981405">
        <w:t xml:space="preserve"> </w:t>
      </w:r>
      <w:r w:rsidRPr="00981405">
        <w:t>on</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treaty</w:t>
      </w:r>
      <w:r w:rsidR="00190923" w:rsidRPr="00981405">
        <w:t xml:space="preserve"> </w:t>
      </w:r>
      <w:r w:rsidRPr="00981405">
        <w:t>itself</w:t>
      </w:r>
      <w:r w:rsidR="00190923" w:rsidRPr="00981405">
        <w:t xml:space="preserve"> </w:t>
      </w:r>
      <w:r w:rsidRPr="00981405">
        <w:t>provided</w:t>
      </w:r>
      <w:r w:rsidR="00190923" w:rsidRPr="00981405">
        <w:t xml:space="preserve"> </w:t>
      </w:r>
      <w:r w:rsidRPr="00981405">
        <w:t>specifically</w:t>
      </w:r>
      <w:r w:rsidR="00190923" w:rsidRPr="00981405">
        <w:t xml:space="preserve"> </w:t>
      </w:r>
      <w:r w:rsidRPr="00981405">
        <w:t>for</w:t>
      </w:r>
      <w:r w:rsidR="00190923" w:rsidRPr="00981405">
        <w:t xml:space="preserve"> </w:t>
      </w:r>
      <w:r w:rsidRPr="00981405">
        <w:t>a</w:t>
      </w:r>
      <w:r w:rsidR="00190923" w:rsidRPr="00981405">
        <w:t xml:space="preserve"> </w:t>
      </w:r>
      <w:r w:rsidRPr="00981405">
        <w:t>limited</w:t>
      </w:r>
      <w:r w:rsidR="00190923" w:rsidRPr="00981405">
        <w:t xml:space="preserve"> </w:t>
      </w:r>
      <w:r w:rsidRPr="00981405">
        <w:t>scope</w:t>
      </w:r>
      <w:r w:rsidR="00190923" w:rsidRPr="00981405">
        <w:t xml:space="preserve"> </w:t>
      </w:r>
      <w:r w:rsidRPr="00981405">
        <w:t>to</w:t>
      </w:r>
      <w:r w:rsidR="00190923" w:rsidRPr="00981405">
        <w:t xml:space="preserve"> </w:t>
      </w:r>
      <w:r w:rsidRPr="00981405">
        <w:t>arbitration.</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given</w:t>
      </w:r>
      <w:r w:rsidR="00190923" w:rsidRPr="00981405">
        <w:t xml:space="preserve"> </w:t>
      </w:r>
      <w:r w:rsidRPr="00981405">
        <w:t>that</w:t>
      </w:r>
      <w:r w:rsidR="00190923" w:rsidRPr="00981405">
        <w:t xml:space="preserve"> </w:t>
      </w:r>
      <w:r w:rsidRPr="00981405">
        <w:t>there</w:t>
      </w:r>
      <w:r w:rsidR="00190923" w:rsidRPr="00981405">
        <w:t xml:space="preserve"> </w:t>
      </w:r>
      <w:r w:rsidRPr="00981405">
        <w:t>was</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r w:rsidR="00190923" w:rsidRPr="00981405">
        <w:t xml:space="preserve"> </w:t>
      </w:r>
      <w:r w:rsidRPr="00981405">
        <w:t>a</w:t>
      </w:r>
      <w:r w:rsidR="00190923" w:rsidRPr="00981405">
        <w:t xml:space="preserve"> </w:t>
      </w:r>
      <w:r w:rsidR="00B92E2C" w:rsidRPr="00981405">
        <w:t>“</w:t>
      </w:r>
      <w:r w:rsidRPr="00981405">
        <w:t>manifest</w:t>
      </w:r>
      <w:r w:rsidR="00190923" w:rsidRPr="00981405">
        <w:t xml:space="preserve"> </w:t>
      </w:r>
      <w:r w:rsidRPr="00981405">
        <w:t>and</w:t>
      </w:r>
      <w:r w:rsidR="00190923" w:rsidRPr="00981405">
        <w:t xml:space="preserve"> </w:t>
      </w:r>
      <w:r w:rsidRPr="00981405">
        <w:t>specific</w:t>
      </w:r>
      <w:r w:rsidR="00190923" w:rsidRPr="00981405">
        <w:t xml:space="preserve"> </w:t>
      </w:r>
      <w:r w:rsidRPr="00981405">
        <w:t>intent</w:t>
      </w:r>
      <w:r w:rsidR="00B92E2C" w:rsidRPr="00981405">
        <w:t>”</w:t>
      </w:r>
      <w:r w:rsidR="00190923" w:rsidRPr="00981405">
        <w:t xml:space="preserve"> </w:t>
      </w:r>
      <w:r w:rsidRPr="00981405">
        <w:t>to</w:t>
      </w:r>
      <w:r w:rsidR="00190923" w:rsidRPr="00981405">
        <w:t xml:space="preserve"> </w:t>
      </w:r>
      <w:r w:rsidRPr="00981405">
        <w:t>limit</w:t>
      </w:r>
      <w:r w:rsidR="00190923" w:rsidRPr="00981405">
        <w:t xml:space="preserve"> </w:t>
      </w:r>
      <w:r w:rsidRPr="00981405">
        <w:t>arbitration</w:t>
      </w:r>
      <w:r w:rsidR="00190923" w:rsidRPr="00981405">
        <w:t xml:space="preserve"> </w:t>
      </w:r>
      <w:r w:rsidRPr="00981405">
        <w:t>to</w:t>
      </w:r>
      <w:r w:rsidR="00190923" w:rsidRPr="00981405">
        <w:t xml:space="preserve"> </w:t>
      </w:r>
      <w:r w:rsidRPr="00981405">
        <w:t>disputes</w:t>
      </w:r>
      <w:r w:rsidR="00190923" w:rsidRPr="00981405">
        <w:t xml:space="preserve"> </w:t>
      </w:r>
      <w:r w:rsidRPr="00981405">
        <w:t>over</w:t>
      </w:r>
      <w:r w:rsidR="00190923" w:rsidRPr="00981405">
        <w:t xml:space="preserve"> </w:t>
      </w:r>
      <w:r w:rsidRPr="00981405">
        <w:t>the</w:t>
      </w:r>
      <w:r w:rsidR="00190923" w:rsidRPr="00981405">
        <w:t xml:space="preserve"> </w:t>
      </w:r>
      <w:r w:rsidRPr="00981405">
        <w:t>amount</w:t>
      </w:r>
      <w:r w:rsidR="00190923" w:rsidRPr="00981405">
        <w:t xml:space="preserve"> </w:t>
      </w:r>
      <w:r w:rsidRPr="00981405">
        <w:t>of</w:t>
      </w:r>
      <w:r w:rsidR="00190923" w:rsidRPr="00981405">
        <w:t xml:space="preserve"> </w:t>
      </w:r>
      <w:r w:rsidRPr="00981405">
        <w:t>compensation</w:t>
      </w:r>
      <w:r w:rsidR="00190923" w:rsidRPr="00981405">
        <w:t xml:space="preserve"> </w:t>
      </w:r>
      <w:r w:rsidRPr="00981405">
        <w:t>as</w:t>
      </w:r>
      <w:r w:rsidR="00190923" w:rsidRPr="00981405">
        <w:t xml:space="preserve"> </w:t>
      </w:r>
      <w:r w:rsidRPr="00981405">
        <w:t>opposed</w:t>
      </w:r>
      <w:r w:rsidR="00190923" w:rsidRPr="00981405">
        <w:t xml:space="preserve"> </w:t>
      </w:r>
      <w:r w:rsidRPr="00981405">
        <w:t>to</w:t>
      </w:r>
      <w:r w:rsidR="00190923" w:rsidRPr="00981405">
        <w:t xml:space="preserve"> </w:t>
      </w:r>
      <w:r w:rsidRPr="00981405">
        <w:t>disputes</w:t>
      </w:r>
      <w:r w:rsidR="00190923" w:rsidRPr="00981405">
        <w:t xml:space="preserve"> </w:t>
      </w:r>
      <w:r w:rsidRPr="00981405">
        <w:t>over</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compensation,</w:t>
      </w:r>
      <w:r w:rsidR="00190923" w:rsidRPr="00981405">
        <w:t xml:space="preserve"> </w:t>
      </w:r>
      <w:r w:rsidR="00B92E2C" w:rsidRPr="00981405">
        <w:t>“</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paradoxical</w:t>
      </w:r>
      <w:r w:rsidR="00190923" w:rsidRPr="00981405">
        <w:t xml:space="preserve"> </w:t>
      </w:r>
      <w:r w:rsidRPr="00981405">
        <w:t>to</w:t>
      </w:r>
      <w:r w:rsidR="00190923" w:rsidRPr="00981405">
        <w:t xml:space="preserve"> </w:t>
      </w:r>
      <w:r w:rsidRPr="00981405">
        <w:t>invalidate</w:t>
      </w:r>
      <w:r w:rsidR="00190923" w:rsidRPr="00981405">
        <w:t xml:space="preserve"> </w:t>
      </w:r>
      <w:r w:rsidRPr="00981405">
        <w:t>that</w:t>
      </w:r>
      <w:r w:rsidR="00190923" w:rsidRPr="00981405">
        <w:t xml:space="preserve"> </w:t>
      </w:r>
      <w:r w:rsidRPr="00981405">
        <w:t>specific</w:t>
      </w:r>
      <w:r w:rsidR="00190923" w:rsidRPr="00981405">
        <w:t xml:space="preserve"> </w:t>
      </w:r>
      <w:r w:rsidRPr="00981405">
        <w:t>intent</w:t>
      </w:r>
      <w:r w:rsidR="00190923" w:rsidRPr="00981405">
        <w:t xml:space="preserve"> </w:t>
      </w:r>
      <w:r w:rsidRPr="00981405">
        <w:t>by</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general,</w:t>
      </w:r>
      <w:r w:rsidR="00190923" w:rsidRPr="00981405">
        <w:t xml:space="preserve"> </w:t>
      </w:r>
      <w:r w:rsidRPr="00981405">
        <w:t>unspecific</w:t>
      </w:r>
      <w:r w:rsidR="00190923" w:rsidRPr="00981405">
        <w:t xml:space="preserve"> </w:t>
      </w:r>
      <w:r w:rsidRPr="00981405">
        <w:t>intent</w:t>
      </w:r>
      <w:r w:rsidR="00190923" w:rsidRPr="00981405">
        <w:t xml:space="preserve"> </w:t>
      </w:r>
      <w:r w:rsidRPr="00981405">
        <w:t>expressed</w:t>
      </w:r>
      <w:r w:rsidR="00190923" w:rsidRPr="00981405">
        <w:t xml:space="preserve"> </w:t>
      </w:r>
      <w:r w:rsidRPr="00981405">
        <w:t>in</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B92E2C" w:rsidRPr="00981405">
        <w:t>”</w:t>
      </w:r>
      <w:r w:rsidRPr="00981405">
        <w:rPr>
          <w:rStyle w:val="FootnoteReference"/>
        </w:rPr>
        <w:footnoteReference w:id="541"/>
      </w:r>
      <w:r w:rsidR="00190923" w:rsidRPr="00981405">
        <w:t xml:space="preserve"> </w:t>
      </w:r>
      <w:r w:rsidRPr="00981405">
        <w:t>The</w:t>
      </w:r>
      <w:r w:rsidR="00190923" w:rsidRPr="00981405">
        <w:t xml:space="preserve"> </w:t>
      </w:r>
      <w:r w:rsidRPr="00D97463">
        <w:rPr>
          <w:i/>
          <w:iCs/>
        </w:rPr>
        <w:t>Tza</w:t>
      </w:r>
      <w:r w:rsidR="00190923" w:rsidRPr="00D97463">
        <w:rPr>
          <w:i/>
          <w:iCs/>
        </w:rPr>
        <w:t xml:space="preserve"> </w:t>
      </w:r>
      <w:r w:rsidRPr="00D97463">
        <w:rPr>
          <w:i/>
          <w:iCs/>
        </w:rPr>
        <w:t>Yap</w:t>
      </w:r>
      <w:r w:rsidR="00190923" w:rsidRPr="00D97463">
        <w:rPr>
          <w:i/>
          <w:iCs/>
        </w:rPr>
        <w:t xml:space="preserve"> </w:t>
      </w:r>
      <w:r w:rsidRPr="00D97463">
        <w:rPr>
          <w:i/>
          <w:iCs/>
        </w:rPr>
        <w:t>Shum</w:t>
      </w:r>
      <w:r w:rsidR="00190923" w:rsidRPr="00981405">
        <w:t xml:space="preserve"> </w:t>
      </w:r>
      <w:r w:rsidRPr="00981405">
        <w:t>tribunal</w:t>
      </w:r>
      <w:r w:rsidR="00190923" w:rsidRPr="00981405">
        <w:t xml:space="preserve"> </w:t>
      </w:r>
      <w:r w:rsidRPr="00981405">
        <w:t>also</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general</w:t>
      </w:r>
      <w:r w:rsidR="00190923" w:rsidRPr="00981405">
        <w:t xml:space="preserve"> </w:t>
      </w:r>
      <w:r w:rsidRPr="00981405">
        <w:t>intent</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must</w:t>
      </w:r>
      <w:r w:rsidR="00190923" w:rsidRPr="00981405">
        <w:t xml:space="preserve"> </w:t>
      </w:r>
      <w:r w:rsidRPr="00981405">
        <w:t>give</w:t>
      </w:r>
      <w:r w:rsidR="00190923" w:rsidRPr="00981405">
        <w:t xml:space="preserve"> </w:t>
      </w:r>
      <w:r w:rsidRPr="00981405">
        <w:t>way</w:t>
      </w:r>
      <w:r w:rsidR="00190923" w:rsidRPr="00981405">
        <w:t xml:space="preserve"> </w:t>
      </w:r>
      <w:r w:rsidRPr="00981405">
        <w:t>to</w:t>
      </w:r>
      <w:r w:rsidR="00190923" w:rsidRPr="00981405">
        <w:t xml:space="preserve"> </w:t>
      </w:r>
      <w:r w:rsidRPr="00981405">
        <w:t>the</w:t>
      </w:r>
      <w:r w:rsidR="00190923" w:rsidRPr="00981405">
        <w:t xml:space="preserve"> </w:t>
      </w:r>
      <w:r w:rsidRPr="00981405">
        <w:t>specific</w:t>
      </w:r>
      <w:r w:rsidR="00190923" w:rsidRPr="00981405">
        <w:t xml:space="preserve"> </w:t>
      </w:r>
      <w:r w:rsidRPr="00981405">
        <w:t>intent</w:t>
      </w:r>
      <w:r w:rsidR="00190923" w:rsidRPr="00981405">
        <w:t xml:space="preserve"> </w:t>
      </w:r>
      <w:r w:rsidRPr="00981405">
        <w:t>as</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w:t>
      </w:r>
      <w:r w:rsidR="00190923" w:rsidRPr="00981405">
        <w:t xml:space="preserve"> </w:t>
      </w:r>
      <w:r w:rsidRPr="00981405">
        <w:t>particular</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Pr="00981405">
        <w:rPr>
          <w:rStyle w:val="FootnoteReference"/>
        </w:rPr>
        <w:footnoteReference w:id="542"/>
      </w:r>
    </w:p>
    <w:p w:rsidR="00397032" w:rsidRPr="00D97463" w:rsidRDefault="00397032" w:rsidP="00D97463">
      <w:pPr>
        <w:pStyle w:val="SingleTxt"/>
        <w:spacing w:after="0" w:line="120" w:lineRule="exact"/>
        <w:rPr>
          <w:sz w:val="10"/>
        </w:rPr>
      </w:pPr>
    </w:p>
    <w:p w:rsidR="00397032" w:rsidRPr="00D97463" w:rsidRDefault="00397032" w:rsidP="00D97463">
      <w:pPr>
        <w:pStyle w:val="H4"/>
        <w:ind w:right="1260"/>
      </w:pPr>
      <w:bookmarkStart w:id="261" w:name="_Toc293434170"/>
      <w:bookmarkStart w:id="262" w:name="_Toc294353684"/>
      <w:r w:rsidRPr="00D97463">
        <w:tab/>
      </w:r>
      <w:bookmarkStart w:id="263" w:name="_Toc427938185"/>
      <w:r w:rsidRPr="00D97463">
        <w:t>(iv)</w:t>
      </w:r>
      <w:r w:rsidRPr="00D97463">
        <w:tab/>
        <w:t>The</w:t>
      </w:r>
      <w:r w:rsidR="00190923" w:rsidRPr="00D97463">
        <w:t xml:space="preserve"> </w:t>
      </w:r>
      <w:r w:rsidRPr="00D97463">
        <w:t>practice</w:t>
      </w:r>
      <w:r w:rsidR="00190923" w:rsidRPr="00D97463">
        <w:t xml:space="preserve"> </w:t>
      </w:r>
      <w:r w:rsidRPr="00D97463">
        <w:t>of</w:t>
      </w:r>
      <w:r w:rsidR="00190923" w:rsidRPr="00D97463">
        <w:t xml:space="preserve"> </w:t>
      </w:r>
      <w:r w:rsidRPr="00D97463">
        <w:t>the</w:t>
      </w:r>
      <w:r w:rsidR="00190923" w:rsidRPr="00D97463">
        <w:t xml:space="preserve"> </w:t>
      </w:r>
      <w:r w:rsidRPr="00D97463">
        <w:t>parties</w:t>
      </w:r>
      <w:bookmarkEnd w:id="261"/>
      <w:bookmarkEnd w:id="262"/>
      <w:bookmarkEnd w:id="263"/>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119.</w:t>
      </w:r>
      <w:r w:rsidRPr="00981405">
        <w:tab/>
        <w:t>The</w:t>
      </w:r>
      <w:r w:rsidR="00190923" w:rsidRPr="00981405">
        <w:t xml:space="preserve"> </w:t>
      </w:r>
      <w:r w:rsidRPr="00981405">
        <w:t>other</w:t>
      </w:r>
      <w:r w:rsidR="00190923" w:rsidRPr="00981405">
        <w:t xml:space="preserve"> </w:t>
      </w:r>
      <w:r w:rsidRPr="00981405">
        <w:t>treaty-making</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BIT,</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which</w:t>
      </w:r>
      <w:r w:rsidR="00190923" w:rsidRPr="00981405">
        <w:t xml:space="preserve"> </w:t>
      </w:r>
      <w:r w:rsidRPr="00981405">
        <w:t>an</w:t>
      </w:r>
      <w:r w:rsidR="00190923" w:rsidRPr="00981405">
        <w:t xml:space="preserve"> </w:t>
      </w:r>
      <w:r w:rsidRPr="00981405">
        <w:t>MFN</w:t>
      </w:r>
      <w:r w:rsidR="00190923" w:rsidRPr="00981405">
        <w:t xml:space="preserve"> </w:t>
      </w:r>
      <w:r w:rsidRPr="00981405">
        <w:t>claim</w:t>
      </w:r>
      <w:r w:rsidR="00190923" w:rsidRPr="00981405">
        <w:t xml:space="preserve"> </w:t>
      </w:r>
      <w:r w:rsidRPr="00981405">
        <w:t>has</w:t>
      </w:r>
      <w:r w:rsidR="00190923" w:rsidRPr="00981405">
        <w:t xml:space="preserve"> </w:t>
      </w:r>
      <w:r w:rsidRPr="00981405">
        <w:t>been</w:t>
      </w:r>
      <w:r w:rsidR="00190923" w:rsidRPr="00981405">
        <w:t xml:space="preserve"> </w:t>
      </w:r>
      <w:r w:rsidRPr="00981405">
        <w:t>made,</w:t>
      </w:r>
      <w:r w:rsidR="00190923" w:rsidRPr="00981405">
        <w:t xml:space="preserve"> </w:t>
      </w:r>
      <w:r w:rsidRPr="00981405">
        <w:t>has</w:t>
      </w:r>
      <w:r w:rsidR="00190923" w:rsidRPr="00981405">
        <w:t xml:space="preserve"> </w:t>
      </w:r>
      <w:r w:rsidRPr="00981405">
        <w:t>been</w:t>
      </w:r>
      <w:r w:rsidR="00190923" w:rsidRPr="00981405">
        <w:t xml:space="preserve"> </w:t>
      </w:r>
      <w:r w:rsidRPr="00981405">
        <w:t>referred</w:t>
      </w:r>
      <w:r w:rsidR="00190923" w:rsidRPr="00981405">
        <w:t xml:space="preserve"> </w:t>
      </w:r>
      <w:r w:rsidRPr="00981405">
        <w:t>to</w:t>
      </w:r>
      <w:r w:rsidR="00190923" w:rsidRPr="00981405">
        <w:t xml:space="preserve"> </w:t>
      </w:r>
      <w:r w:rsidRPr="00981405">
        <w:t>by</w:t>
      </w:r>
      <w:r w:rsidR="00190923" w:rsidRPr="00981405">
        <w:t xml:space="preserve"> </w:t>
      </w:r>
      <w:r w:rsidRPr="00981405">
        <w:t>some</w:t>
      </w:r>
      <w:r w:rsidR="00190923" w:rsidRPr="00981405">
        <w:t xml:space="preserve"> </w:t>
      </w:r>
      <w:r w:rsidRPr="00981405">
        <w:t>tribunals</w:t>
      </w:r>
      <w:r w:rsidR="00190923" w:rsidRPr="00981405">
        <w:t xml:space="preserve"> </w:t>
      </w:r>
      <w:r w:rsidRPr="00981405">
        <w:t>as</w:t>
      </w:r>
      <w:r w:rsidR="00190923" w:rsidRPr="00981405">
        <w:t xml:space="preserve"> </w:t>
      </w:r>
      <w:r w:rsidRPr="00981405">
        <w:t>a</w:t>
      </w:r>
      <w:r w:rsidR="00190923" w:rsidRPr="00981405">
        <w:t xml:space="preserve"> </w:t>
      </w:r>
      <w:r w:rsidRPr="00981405">
        <w:t>means</w:t>
      </w:r>
      <w:r w:rsidR="00190923" w:rsidRPr="00981405">
        <w:t xml:space="preserve"> </w:t>
      </w:r>
      <w:r w:rsidRPr="00981405">
        <w:t>to</w:t>
      </w:r>
      <w:r w:rsidR="00190923" w:rsidRPr="00981405">
        <w:t xml:space="preserve"> </w:t>
      </w:r>
      <w:r w:rsidRPr="00981405">
        <w:t>ascertain</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In</w:t>
      </w:r>
      <w:r w:rsidR="00190923" w:rsidRPr="00981405">
        <w:t xml:space="preserve"> </w:t>
      </w:r>
      <w:r w:rsidRPr="00D97463">
        <w:rPr>
          <w:i/>
          <w:iCs/>
        </w:rPr>
        <w:t>Maffezini</w:t>
      </w:r>
      <w:r w:rsidR="00190923" w:rsidRPr="00981405">
        <w:t xml:space="preserve"> </w:t>
      </w:r>
      <w:r w:rsidRPr="00981405">
        <w:t>the</w:t>
      </w:r>
      <w:r w:rsidR="00190923" w:rsidRPr="00981405">
        <w:t xml:space="preserve"> </w:t>
      </w:r>
      <w:r w:rsidRPr="00981405">
        <w:t>tribunal</w:t>
      </w:r>
      <w:r w:rsidR="00190923" w:rsidRPr="00981405">
        <w:t xml:space="preserve"> </w:t>
      </w:r>
      <w:r w:rsidRPr="00981405">
        <w:t>reviewed</w:t>
      </w:r>
      <w:r w:rsidR="00190923" w:rsidRPr="00981405">
        <w:t xml:space="preserve"> </w:t>
      </w:r>
      <w:r w:rsidRPr="00981405">
        <w:t>the</w:t>
      </w:r>
      <w:r w:rsidR="00190923" w:rsidRPr="00981405">
        <w:t xml:space="preserve"> </w:t>
      </w:r>
      <w:r w:rsidRPr="00981405">
        <w:t>BIT</w:t>
      </w:r>
      <w:r w:rsidR="00190923" w:rsidRPr="00981405">
        <w:t xml:space="preserve"> </w:t>
      </w:r>
      <w:r w:rsidRPr="00981405">
        <w:t>treaty-making</w:t>
      </w:r>
      <w:r w:rsidR="00190923" w:rsidRPr="00981405">
        <w:t xml:space="preserve"> </w:t>
      </w:r>
      <w:r w:rsidRPr="00981405">
        <w:t>practice</w:t>
      </w:r>
      <w:r w:rsidR="00190923" w:rsidRPr="00981405">
        <w:t xml:space="preserve"> </w:t>
      </w:r>
      <w:r w:rsidRPr="00981405">
        <w:t>of</w:t>
      </w:r>
      <w:r w:rsidR="00190923" w:rsidRPr="00981405">
        <w:t xml:space="preserve"> </w:t>
      </w:r>
      <w:r w:rsidRPr="00981405">
        <w:t>Spain,</w:t>
      </w:r>
      <w:r w:rsidR="00190923" w:rsidRPr="00981405">
        <w:t xml:space="preserve"> </w:t>
      </w:r>
      <w:r w:rsidRPr="00981405">
        <w:t>noting</w:t>
      </w:r>
      <w:r w:rsidR="00190923" w:rsidRPr="00981405">
        <w:t xml:space="preserve"> </w:t>
      </w:r>
      <w:r w:rsidRPr="00981405">
        <w:t>that</w:t>
      </w:r>
      <w:r w:rsidR="00190923" w:rsidRPr="00981405">
        <w:t xml:space="preserve"> </w:t>
      </w:r>
      <w:r w:rsidRPr="00981405">
        <w:t>Spanish</w:t>
      </w:r>
      <w:r w:rsidR="00190923" w:rsidRPr="00981405">
        <w:t xml:space="preserve"> </w:t>
      </w:r>
      <w:r w:rsidRPr="00981405">
        <w:t>practice</w:t>
      </w:r>
      <w:r w:rsidR="00190923" w:rsidRPr="00981405">
        <w:t xml:space="preserve"> </w:t>
      </w:r>
      <w:r w:rsidRPr="00981405">
        <w:t>was</w:t>
      </w:r>
      <w:r w:rsidR="00190923" w:rsidRPr="00981405">
        <w:t xml:space="preserve"> </w:t>
      </w:r>
      <w:r w:rsidRPr="00981405">
        <w:t>to</w:t>
      </w:r>
      <w:r w:rsidR="00190923" w:rsidRPr="00981405">
        <w:t xml:space="preserve"> </w:t>
      </w:r>
      <w:r w:rsidRPr="00981405">
        <w:t>allow</w:t>
      </w:r>
      <w:r w:rsidR="00190923" w:rsidRPr="00981405">
        <w:t xml:space="preserve"> </w:t>
      </w:r>
      <w:r w:rsidRPr="00981405">
        <w:t>disputes</w:t>
      </w:r>
      <w:r w:rsidR="00190923" w:rsidRPr="00981405">
        <w:t xml:space="preserve"> </w:t>
      </w:r>
      <w:r w:rsidRPr="00981405">
        <w:t>to</w:t>
      </w:r>
      <w:r w:rsidR="00190923" w:rsidRPr="00981405">
        <w:t xml:space="preserve"> </w:t>
      </w:r>
      <w:r w:rsidRPr="00981405">
        <w:t>be</w:t>
      </w:r>
      <w:r w:rsidR="00190923" w:rsidRPr="00981405">
        <w:t xml:space="preserve"> </w:t>
      </w:r>
      <w:r w:rsidRPr="00981405">
        <w:t>brought</w:t>
      </w:r>
      <w:r w:rsidR="00190923" w:rsidRPr="00981405">
        <w:t xml:space="preserve"> </w:t>
      </w:r>
      <w:r w:rsidRPr="00981405">
        <w:t>without</w:t>
      </w:r>
      <w:r w:rsidR="00190923" w:rsidRPr="00981405">
        <w:t xml:space="preserve"> </w:t>
      </w:r>
      <w:r w:rsidRPr="00981405">
        <w:t>the</w:t>
      </w:r>
      <w:r w:rsidR="00190923" w:rsidRPr="00981405">
        <w:t xml:space="preserve"> </w:t>
      </w:r>
      <w:r w:rsidRPr="00981405">
        <w:t>18-month</w:t>
      </w:r>
      <w:r w:rsidR="00190923" w:rsidRPr="00981405">
        <w:t xml:space="preserve"> </w:t>
      </w:r>
      <w:r w:rsidRPr="00981405">
        <w:t>requirement</w:t>
      </w:r>
      <w:r w:rsidR="00190923" w:rsidRPr="00981405">
        <w:t xml:space="preserve"> </w:t>
      </w:r>
      <w:r w:rsidRPr="00981405">
        <w:t>imposed</w:t>
      </w:r>
      <w:r w:rsidR="00190923" w:rsidRPr="00981405">
        <w:t xml:space="preserve"> </w:t>
      </w:r>
      <w:r w:rsidRPr="00981405">
        <w:t>in</w:t>
      </w:r>
      <w:r w:rsidR="00190923" w:rsidRPr="00981405">
        <w:t xml:space="preserve"> </w:t>
      </w:r>
      <w:r w:rsidRPr="00981405">
        <w:t>the</w:t>
      </w:r>
      <w:r w:rsidR="00190923" w:rsidRPr="00981405">
        <w:t xml:space="preserve"> </w:t>
      </w:r>
      <w:r w:rsidRPr="00981405">
        <w:t>Argentina-Spain</w:t>
      </w:r>
      <w:r w:rsidR="00190923" w:rsidRPr="00981405">
        <w:t xml:space="preserve"> </w:t>
      </w:r>
      <w:r w:rsidRPr="00981405">
        <w:t>BIT.</w:t>
      </w:r>
      <w:r w:rsidR="00190923" w:rsidRPr="00981405">
        <w:t xml:space="preserve"> </w:t>
      </w:r>
      <w:r w:rsidRPr="00981405">
        <w:t>The</w:t>
      </w:r>
      <w:r w:rsidR="00190923" w:rsidRPr="00981405">
        <w:t xml:space="preserve"> </w:t>
      </w:r>
      <w:r w:rsidRPr="00981405">
        <w:t>tribunal</w:t>
      </w:r>
      <w:r w:rsidR="00190923" w:rsidRPr="00981405">
        <w:t xml:space="preserve"> </w:t>
      </w:r>
      <w:r w:rsidRPr="00981405">
        <w:t>also</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Argentina-Spain</w:t>
      </w:r>
      <w:r w:rsidR="00190923" w:rsidRPr="00981405">
        <w:t xml:space="preserve"> </w:t>
      </w:r>
      <w:r w:rsidRPr="00981405">
        <w:t>BIT</w:t>
      </w:r>
      <w:r w:rsidR="00190923" w:rsidRPr="00981405">
        <w:t xml:space="preserve"> </w:t>
      </w:r>
      <w:r w:rsidRPr="00981405">
        <w:t>was</w:t>
      </w:r>
      <w:r w:rsidR="00190923" w:rsidRPr="00981405">
        <w:t xml:space="preserve"> </w:t>
      </w:r>
      <w:r w:rsidRPr="00981405">
        <w:t>the</w:t>
      </w:r>
      <w:r w:rsidR="00190923" w:rsidRPr="00981405">
        <w:t xml:space="preserve"> </w:t>
      </w:r>
      <w:r w:rsidRPr="00981405">
        <w:t>only</w:t>
      </w:r>
      <w:r w:rsidR="00190923" w:rsidRPr="00981405">
        <w:t xml:space="preserve"> </w:t>
      </w:r>
      <w:r w:rsidRPr="00981405">
        <w:t>Spanish</w:t>
      </w:r>
      <w:r w:rsidR="00190923" w:rsidRPr="00981405">
        <w:t xml:space="preserve"> </w:t>
      </w:r>
      <w:r w:rsidRPr="00981405">
        <w:t>BIT</w:t>
      </w:r>
      <w:r w:rsidR="00190923" w:rsidRPr="00981405">
        <w:t xml:space="preserve"> </w:t>
      </w:r>
      <w:r w:rsidRPr="00981405">
        <w:t>that</w:t>
      </w:r>
      <w:r w:rsidR="00190923" w:rsidRPr="00981405">
        <w:t xml:space="preserve"> </w:t>
      </w:r>
      <w:r w:rsidRPr="00981405">
        <w:t>used</w:t>
      </w:r>
      <w:r w:rsidR="00190923" w:rsidRPr="00981405">
        <w:t xml:space="preserve"> </w:t>
      </w:r>
      <w:r w:rsidRPr="00981405">
        <w:t>the</w:t>
      </w:r>
      <w:r w:rsidR="00190923" w:rsidRPr="00981405">
        <w:t xml:space="preserve"> </w:t>
      </w:r>
      <w:r w:rsidRPr="00981405">
        <w:t>broad</w:t>
      </w:r>
      <w:r w:rsidR="00190923" w:rsidRPr="00981405">
        <w:t xml:space="preserve"> </w:t>
      </w:r>
      <w:r w:rsidRPr="00981405">
        <w:t>language</w:t>
      </w:r>
      <w:r w:rsidR="00190923" w:rsidRPr="00981405">
        <w:t xml:space="preserve"> </w:t>
      </w:r>
      <w:r w:rsidR="00B92E2C" w:rsidRPr="00981405">
        <w:t>“</w:t>
      </w:r>
      <w:r w:rsidRPr="00981405">
        <w:t>in</w:t>
      </w:r>
      <w:r w:rsidR="00190923" w:rsidRPr="00981405">
        <w:t xml:space="preserve"> </w:t>
      </w:r>
      <w:r w:rsidRPr="00981405">
        <w:t>all</w:t>
      </w:r>
      <w:r w:rsidR="00190923" w:rsidRPr="00981405">
        <w:t xml:space="preserve"> </w:t>
      </w:r>
      <w:r w:rsidRPr="00981405">
        <w:t>matters</w:t>
      </w:r>
      <w:r w:rsidR="00190923" w:rsidRPr="00981405">
        <w:t xml:space="preserve"> </w:t>
      </w:r>
      <w:r w:rsidRPr="00981405">
        <w:t>governed</w:t>
      </w:r>
      <w:r w:rsidR="00190923" w:rsidRPr="00981405">
        <w:t xml:space="preserve"> </w:t>
      </w:r>
      <w:r w:rsidRPr="00981405">
        <w:t>by</w:t>
      </w:r>
      <w:r w:rsidR="00190923" w:rsidRPr="00981405">
        <w:t xml:space="preserve"> </w:t>
      </w:r>
      <w:r w:rsidRPr="00981405">
        <w:t>this</w:t>
      </w:r>
      <w:r w:rsidR="00190923" w:rsidRPr="00981405">
        <w:t xml:space="preserve"> </w:t>
      </w:r>
      <w:r w:rsidRPr="00981405">
        <w:t>Agreement</w:t>
      </w:r>
      <w:r w:rsidR="00B92E2C" w:rsidRPr="00981405">
        <w:t>”</w:t>
      </w:r>
      <w:r w:rsidR="00190923" w:rsidRPr="00981405">
        <w:t xml:space="preserve"> </w:t>
      </w:r>
      <w:r w:rsidRPr="00981405">
        <w:t>in</w:t>
      </w:r>
      <w:r w:rsidR="00190923" w:rsidRPr="00981405">
        <w:t xml:space="preserve"> </w:t>
      </w:r>
      <w:r w:rsidRPr="00981405">
        <w:t>its</w:t>
      </w:r>
      <w:r w:rsidR="00190923" w:rsidRPr="00981405">
        <w:t xml:space="preserve"> </w:t>
      </w:r>
      <w:r w:rsidRPr="00981405">
        <w:t>MFN</w:t>
      </w:r>
      <w:r w:rsidR="00190923" w:rsidRPr="00981405">
        <w:t xml:space="preserve"> </w:t>
      </w:r>
      <w:r w:rsidRPr="00981405">
        <w:t>clause.</w:t>
      </w:r>
      <w:r w:rsidRPr="00981405">
        <w:rPr>
          <w:rStyle w:val="FootnoteReference"/>
        </w:rPr>
        <w:footnoteReference w:id="543"/>
      </w:r>
      <w:r w:rsidR="00190923" w:rsidRPr="00981405">
        <w:t xml:space="preserve"> </w:t>
      </w:r>
      <w:r w:rsidRPr="00981405">
        <w:t>However,</w:t>
      </w:r>
      <w:r w:rsidR="00190923" w:rsidRPr="00981405">
        <w:t xml:space="preserve"> </w:t>
      </w:r>
      <w:r w:rsidRPr="00981405">
        <w:t>the</w:t>
      </w:r>
      <w:r w:rsidR="00190923" w:rsidRPr="00981405">
        <w:t xml:space="preserve"> </w:t>
      </w:r>
      <w:r w:rsidRPr="00981405">
        <w:t>tribunal</w:t>
      </w:r>
      <w:r w:rsidR="00190923" w:rsidRPr="00981405">
        <w:t xml:space="preserve"> </w:t>
      </w:r>
      <w:r w:rsidRPr="00981405">
        <w:t>did</w:t>
      </w:r>
      <w:r w:rsidR="00190923" w:rsidRPr="00981405">
        <w:t xml:space="preserve"> </w:t>
      </w:r>
      <w:r w:rsidRPr="00981405">
        <w:t>not</w:t>
      </w:r>
      <w:r w:rsidR="00190923" w:rsidRPr="00981405">
        <w:t xml:space="preserve"> </w:t>
      </w:r>
      <w:r w:rsidRPr="00981405">
        <w:t>make</w:t>
      </w:r>
      <w:r w:rsidR="00190923" w:rsidRPr="00981405">
        <w:t xml:space="preserve"> </w:t>
      </w:r>
      <w:r w:rsidRPr="00981405">
        <w:t>clear</w:t>
      </w:r>
      <w:r w:rsidR="00190923" w:rsidRPr="00981405">
        <w:t xml:space="preserve"> </w:t>
      </w:r>
      <w:r w:rsidRPr="00981405">
        <w:t>either</w:t>
      </w:r>
      <w:r w:rsidR="00190923" w:rsidRPr="00981405">
        <w:t xml:space="preserve"> </w:t>
      </w:r>
      <w:r w:rsidRPr="00981405">
        <w:t>the</w:t>
      </w:r>
      <w:r w:rsidR="00190923" w:rsidRPr="00981405">
        <w:t xml:space="preserve"> </w:t>
      </w:r>
      <w:r w:rsidRPr="00981405">
        <w:t>legal</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this</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or</w:t>
      </w:r>
      <w:r w:rsidR="00190923" w:rsidRPr="00981405">
        <w:t xml:space="preserve"> </w:t>
      </w:r>
      <w:r w:rsidRPr="00981405">
        <w:t>the</w:t>
      </w:r>
      <w:r w:rsidR="00190923" w:rsidRPr="00981405">
        <w:t xml:space="preserve"> </w:t>
      </w:r>
      <w:r w:rsidRPr="00981405">
        <w:t>interpretational</w:t>
      </w:r>
      <w:r w:rsidR="00190923" w:rsidRPr="00981405">
        <w:t xml:space="preserve"> </w:t>
      </w:r>
      <w:r w:rsidRPr="00981405">
        <w:t>justification</w:t>
      </w:r>
      <w:r w:rsidR="00190923" w:rsidRPr="00981405">
        <w:t xml:space="preserve"> </w:t>
      </w:r>
      <w:r w:rsidRPr="00981405">
        <w:t>for</w:t>
      </w:r>
      <w:r w:rsidR="00190923" w:rsidRPr="00981405">
        <w:t xml:space="preserve"> </w:t>
      </w:r>
      <w:r w:rsidRPr="00981405">
        <w:t>referring</w:t>
      </w:r>
      <w:r w:rsidR="00190923" w:rsidRPr="00981405">
        <w:t xml:space="preserve"> </w:t>
      </w:r>
      <w:r w:rsidRPr="00981405">
        <w:t>to</w:t>
      </w:r>
      <w:r w:rsidR="00190923" w:rsidRPr="00981405">
        <w:t xml:space="preserve"> </w:t>
      </w:r>
      <w:r w:rsidRPr="00981405">
        <w:t>it.</w:t>
      </w:r>
    </w:p>
    <w:p w:rsidR="00397032" w:rsidRPr="00981405" w:rsidRDefault="00397032" w:rsidP="00D97463">
      <w:pPr>
        <w:pStyle w:val="SingleTxt"/>
      </w:pPr>
      <w:r w:rsidRPr="00981405">
        <w:t>120.</w:t>
      </w:r>
      <w:r w:rsidRPr="00981405">
        <w:tab/>
        <w:t>In</w:t>
      </w:r>
      <w:r w:rsidR="00190923" w:rsidRPr="00981405">
        <w:t xml:space="preserve"> </w:t>
      </w:r>
      <w:r w:rsidRPr="00D97463">
        <w:rPr>
          <w:i/>
          <w:iCs/>
        </w:rPr>
        <w:t>Telenor</w:t>
      </w:r>
      <w:r w:rsidRPr="00981405">
        <w:t>,</w:t>
      </w:r>
      <w:r w:rsidRPr="00981405">
        <w:rPr>
          <w:rStyle w:val="FootnoteReference"/>
        </w:rPr>
        <w:footnoteReference w:id="544"/>
      </w:r>
      <w:r w:rsidR="00190923" w:rsidRPr="00981405">
        <w:t xml:space="preserve"> </w:t>
      </w:r>
      <w:r w:rsidRPr="00981405">
        <w:t>the</w:t>
      </w:r>
      <w:r w:rsidR="00190923" w:rsidRPr="00981405">
        <w:t xml:space="preserve"> </w:t>
      </w:r>
      <w:r w:rsidRPr="00981405">
        <w:t>tribunal</w:t>
      </w:r>
      <w:r w:rsidR="00190923" w:rsidRPr="00981405">
        <w:t xml:space="preserve"> </w:t>
      </w:r>
      <w:r w:rsidRPr="00981405">
        <w:t>regarded</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as</w:t>
      </w:r>
      <w:r w:rsidR="00190923" w:rsidRPr="00981405">
        <w:t xml:space="preserve"> </w:t>
      </w:r>
      <w:r w:rsidRPr="00981405">
        <w:t>relevant</w:t>
      </w:r>
      <w:r w:rsidR="00190923" w:rsidRPr="00981405">
        <w:t xml:space="preserve"> </w:t>
      </w:r>
      <w:r w:rsidRPr="00981405">
        <w:t>in</w:t>
      </w:r>
      <w:r w:rsidR="00190923" w:rsidRPr="00981405">
        <w:t xml:space="preserve"> </w:t>
      </w:r>
      <w:r w:rsidRPr="00981405">
        <w:t>a</w:t>
      </w:r>
      <w:r w:rsidR="00190923" w:rsidRPr="00981405">
        <w:t xml:space="preserve"> </w:t>
      </w:r>
      <w:r w:rsidRPr="00981405">
        <w:t>somewhat</w:t>
      </w:r>
      <w:r w:rsidR="00190923" w:rsidRPr="00981405">
        <w:t xml:space="preserve"> </w:t>
      </w:r>
      <w:r w:rsidRPr="00981405">
        <w:t>different</w:t>
      </w:r>
      <w:r w:rsidR="00190923" w:rsidRPr="00981405">
        <w:t xml:space="preserve"> </w:t>
      </w:r>
      <w:r w:rsidRPr="00981405">
        <w:t>way.</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Hungary</w:t>
      </w:r>
      <w:r w:rsidR="00190923" w:rsidRPr="00981405">
        <w:t xml:space="preserve"> </w:t>
      </w:r>
      <w:r w:rsidRPr="00981405">
        <w:t>had</w:t>
      </w:r>
      <w:r w:rsidR="00190923" w:rsidRPr="00981405">
        <w:t xml:space="preserve"> </w:t>
      </w:r>
      <w:r w:rsidRPr="00981405">
        <w:t>concluded</w:t>
      </w:r>
      <w:r w:rsidR="00190923" w:rsidRPr="00981405">
        <w:t xml:space="preserve"> </w:t>
      </w:r>
      <w:r w:rsidRPr="00981405">
        <w:t>other</w:t>
      </w:r>
      <w:r w:rsidR="00190923" w:rsidRPr="00981405">
        <w:t xml:space="preserve"> </w:t>
      </w:r>
      <w:r w:rsidRPr="00981405">
        <w:t>BITs</w:t>
      </w:r>
      <w:r w:rsidR="00190923" w:rsidRPr="00981405">
        <w:t xml:space="preserve"> </w:t>
      </w:r>
      <w:r w:rsidRPr="00981405">
        <w:t>that</w:t>
      </w:r>
      <w:r w:rsidR="00190923" w:rsidRPr="00981405">
        <w:t xml:space="preserve"> </w:t>
      </w:r>
      <w:r w:rsidRPr="00981405">
        <w:t>did</w:t>
      </w:r>
      <w:r w:rsidR="00190923" w:rsidRPr="00981405">
        <w:t xml:space="preserve"> </w:t>
      </w:r>
      <w:r w:rsidRPr="00981405">
        <w:t>not</w:t>
      </w:r>
      <w:r w:rsidR="00190923" w:rsidRPr="00981405">
        <w:t xml:space="preserve"> </w:t>
      </w:r>
      <w:r w:rsidRPr="00981405">
        <w:t>limit</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arbitration</w:t>
      </w:r>
      <w:r w:rsidR="00190923" w:rsidRPr="00981405">
        <w:t xml:space="preserve"> </w:t>
      </w:r>
      <w:r w:rsidRPr="00981405">
        <w:t>led</w:t>
      </w:r>
      <w:r w:rsidR="00190923" w:rsidRPr="00981405">
        <w:t xml:space="preserve"> </w:t>
      </w:r>
      <w:r w:rsidRPr="00981405">
        <w:t>the</w:t>
      </w:r>
      <w:r w:rsidR="00190923" w:rsidRPr="00981405">
        <w:t xml:space="preserve"> </w:t>
      </w:r>
      <w:r w:rsidRPr="00981405">
        <w:t>tribunal</w:t>
      </w:r>
      <w:r w:rsidR="00190923" w:rsidRPr="00981405">
        <w:t xml:space="preserve"> </w:t>
      </w:r>
      <w:r w:rsidRPr="00981405">
        <w:t>to</w:t>
      </w:r>
      <w:r w:rsidR="00190923" w:rsidRPr="00981405">
        <w:t xml:space="preserve"> </w:t>
      </w:r>
      <w:r w:rsidRPr="00981405">
        <w:t>conclude</w:t>
      </w:r>
      <w:r w:rsidR="00190923" w:rsidRPr="00981405">
        <w:t xml:space="preserve"> </w:t>
      </w:r>
      <w:r w:rsidRPr="00981405">
        <w:t>that</w:t>
      </w:r>
      <w:r w:rsidR="00190923" w:rsidRPr="00981405">
        <w:t xml:space="preserve"> </w:t>
      </w:r>
      <w:r w:rsidRPr="00981405">
        <w:t>a</w:t>
      </w:r>
      <w:r w:rsidR="00190923" w:rsidRPr="00981405">
        <w:t xml:space="preserve"> </w:t>
      </w:r>
      <w:r w:rsidRPr="00981405">
        <w:t>limited</w:t>
      </w:r>
      <w:r w:rsidR="00190923" w:rsidRPr="00981405">
        <w:t xml:space="preserve"> </w:t>
      </w:r>
      <w:r w:rsidRPr="00981405">
        <w:t>scope</w:t>
      </w:r>
      <w:r w:rsidR="00190923" w:rsidRPr="00981405">
        <w:t xml:space="preserve"> </w:t>
      </w:r>
      <w:r w:rsidRPr="00981405">
        <w:t>for</w:t>
      </w:r>
      <w:r w:rsidR="00190923" w:rsidRPr="00981405">
        <w:t xml:space="preserve"> </w:t>
      </w:r>
      <w:r w:rsidRPr="00981405">
        <w:lastRenderedPageBreak/>
        <w:t>arbitration</w:t>
      </w:r>
      <w:r w:rsidR="00190923" w:rsidRPr="00981405">
        <w:t xml:space="preserve"> </w:t>
      </w:r>
      <w:r w:rsidRPr="00981405">
        <w:t>in</w:t>
      </w:r>
      <w:r w:rsidR="00190923" w:rsidRPr="00981405">
        <w:t xml:space="preserve"> </w:t>
      </w:r>
      <w:r w:rsidRPr="00981405">
        <w:t>the</w:t>
      </w:r>
      <w:r w:rsidR="00190923" w:rsidRPr="00981405">
        <w:t xml:space="preserve"> </w:t>
      </w:r>
      <w:r w:rsidRPr="00981405">
        <w:t>BIT</w:t>
      </w:r>
      <w:r w:rsidR="00190923" w:rsidRPr="00981405">
        <w:t xml:space="preserve"> </w:t>
      </w:r>
      <w:r w:rsidRPr="00981405">
        <w:t>between</w:t>
      </w:r>
      <w:r w:rsidR="00190923" w:rsidRPr="00981405">
        <w:t xml:space="preserve"> </w:t>
      </w:r>
      <w:r w:rsidRPr="00981405">
        <w:t>Hungary</w:t>
      </w:r>
      <w:r w:rsidR="00190923" w:rsidRPr="00981405">
        <w:t xml:space="preserve"> </w:t>
      </w:r>
      <w:r w:rsidRPr="00981405">
        <w:t>and</w:t>
      </w:r>
      <w:r w:rsidR="00190923" w:rsidRPr="00981405">
        <w:t xml:space="preserve"> </w:t>
      </w:r>
      <w:r w:rsidRPr="00981405">
        <w:t>Norway</w:t>
      </w:r>
      <w:r w:rsidR="00190923" w:rsidRPr="00981405">
        <w:t xml:space="preserve"> </w:t>
      </w:r>
      <w:r w:rsidRPr="00981405">
        <w:t>was</w:t>
      </w:r>
      <w:r w:rsidR="00190923" w:rsidRPr="00981405">
        <w:t xml:space="preserve"> </w:t>
      </w:r>
      <w:r w:rsidRPr="00981405">
        <w:t>indeed</w:t>
      </w:r>
      <w:r w:rsidR="00190923" w:rsidRPr="00981405">
        <w:t xml:space="preserve"> </w:t>
      </w:r>
      <w:r w:rsidRPr="00981405">
        <w:t>intended.</w:t>
      </w:r>
      <w:r w:rsidR="00190923" w:rsidRPr="00981405">
        <w:t xml:space="preserve"> </w:t>
      </w:r>
      <w:r w:rsidRPr="00981405">
        <w:t>Thus</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expand</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arbitration.</w:t>
      </w:r>
    </w:p>
    <w:p w:rsidR="00397032" w:rsidRPr="00981405" w:rsidRDefault="00397032" w:rsidP="00D97463">
      <w:pPr>
        <w:pStyle w:val="SingleTxt"/>
      </w:pPr>
      <w:r w:rsidRPr="00981405">
        <w:t>121.</w:t>
      </w:r>
      <w:r w:rsidRPr="00981405">
        <w:tab/>
        <w:t>In</w:t>
      </w:r>
      <w:r w:rsidR="00190923" w:rsidRPr="00981405">
        <w:t xml:space="preserve"> </w:t>
      </w:r>
      <w:r w:rsidRPr="00D97463">
        <w:rPr>
          <w:i/>
          <w:iCs/>
        </w:rPr>
        <w:t>Austrian</w:t>
      </w:r>
      <w:r w:rsidR="00190923" w:rsidRPr="00D97463">
        <w:rPr>
          <w:i/>
          <w:iCs/>
        </w:rPr>
        <w:t xml:space="preserve"> </w:t>
      </w:r>
      <w:r w:rsidRPr="00D97463">
        <w:rPr>
          <w:i/>
          <w:iCs/>
        </w:rPr>
        <w:t>Airlines</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relied</w:t>
      </w:r>
      <w:r w:rsidR="00190923" w:rsidRPr="00981405">
        <w:t xml:space="preserve"> </w:t>
      </w:r>
      <w:r w:rsidRPr="00981405">
        <w:t>on</w:t>
      </w:r>
      <w:r w:rsidR="00190923" w:rsidRPr="00981405">
        <w:t xml:space="preserve"> </w:t>
      </w:r>
      <w:r w:rsidRPr="00981405">
        <w:t>the</w:t>
      </w:r>
      <w:r w:rsidR="00190923" w:rsidRPr="00981405">
        <w:t xml:space="preserve"> </w:t>
      </w:r>
      <w:r w:rsidRPr="00981405">
        <w:t>other</w:t>
      </w:r>
      <w:r w:rsidR="00190923" w:rsidRPr="00981405">
        <w:t xml:space="preserve"> </w:t>
      </w:r>
      <w:r w:rsidRPr="00981405">
        <w:t>treaty</w:t>
      </w:r>
      <w:r w:rsidR="00190923" w:rsidRPr="00981405">
        <w:t xml:space="preserve"> </w:t>
      </w:r>
      <w:r w:rsidRPr="00981405">
        <w:t>practice</w:t>
      </w:r>
      <w:r w:rsidR="00190923" w:rsidRPr="00981405">
        <w:t xml:space="preserve"> </w:t>
      </w:r>
      <w:r w:rsidRPr="00981405">
        <w:t>of</w:t>
      </w:r>
      <w:r w:rsidR="00190923" w:rsidRPr="00981405">
        <w:t xml:space="preserve"> </w:t>
      </w:r>
      <w:r w:rsidRPr="00981405">
        <w:t>Slovakia</w:t>
      </w:r>
      <w:r w:rsidR="00190923" w:rsidRPr="00981405">
        <w:t xml:space="preserve"> </w:t>
      </w:r>
      <w:r w:rsidRPr="00981405">
        <w:t>to</w:t>
      </w:r>
      <w:r w:rsidR="00190923" w:rsidRPr="00981405">
        <w:t xml:space="preserve"> </w:t>
      </w:r>
      <w:r w:rsidRPr="00981405">
        <w:t>confirm</w:t>
      </w:r>
      <w:r w:rsidR="00190923" w:rsidRPr="00981405">
        <w:t xml:space="preserve"> </w:t>
      </w:r>
      <w:r w:rsidRPr="00981405">
        <w:t>its</w:t>
      </w:r>
      <w:r w:rsidR="00190923" w:rsidRPr="00981405">
        <w:t xml:space="preserve"> </w:t>
      </w:r>
      <w:r w:rsidRPr="00981405">
        <w:t>conclusion.</w:t>
      </w:r>
      <w:r w:rsidRPr="00981405">
        <w:rPr>
          <w:rStyle w:val="FootnoteReference"/>
        </w:rPr>
        <w:footnoteReference w:id="545"/>
      </w:r>
      <w:r w:rsidR="00190923" w:rsidRPr="00981405">
        <w:t xml:space="preserve"> </w:t>
      </w:r>
      <w:r w:rsidRPr="00981405">
        <w:t>In</w:t>
      </w:r>
      <w:r w:rsidR="00190923" w:rsidRPr="00981405">
        <w:t xml:space="preserve"> </w:t>
      </w:r>
      <w:r w:rsidRPr="00981405">
        <w:t>contrast,</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Pr="00D97463">
        <w:rPr>
          <w:i/>
          <w:iCs/>
        </w:rPr>
        <w:t>Renta</w:t>
      </w:r>
      <w:r w:rsidR="00190923" w:rsidRPr="00981405">
        <w:t xml:space="preserve"> </w:t>
      </w:r>
      <w:r w:rsidRPr="00981405">
        <w:t>declined</w:t>
      </w:r>
      <w:r w:rsidR="00190923" w:rsidRPr="00981405">
        <w:t xml:space="preserve"> </w:t>
      </w:r>
      <w:r w:rsidRPr="00981405">
        <w:t>to</w:t>
      </w:r>
      <w:r w:rsidR="00190923" w:rsidRPr="00981405">
        <w:t xml:space="preserve"> </w:t>
      </w:r>
      <w:r w:rsidRPr="00981405">
        <w:t>consider</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Russia</w:t>
      </w:r>
      <w:r w:rsidR="00190923" w:rsidRPr="00981405">
        <w:t xml:space="preserve"> </w:t>
      </w:r>
      <w:r w:rsidRPr="00981405">
        <w:t>in</w:t>
      </w:r>
      <w:r w:rsidR="00190923" w:rsidRPr="00981405">
        <w:t xml:space="preserve"> </w:t>
      </w:r>
      <w:r w:rsidRPr="00981405">
        <w:t>its</w:t>
      </w:r>
      <w:r w:rsidR="00190923" w:rsidRPr="00981405">
        <w:t xml:space="preserve"> </w:t>
      </w:r>
      <w:r w:rsidRPr="00981405">
        <w:t>other</w:t>
      </w:r>
      <w:r w:rsidR="00190923" w:rsidRPr="00981405">
        <w:t xml:space="preserve"> </w:t>
      </w:r>
      <w:r w:rsidRPr="00981405">
        <w:t>BITs,</w:t>
      </w:r>
      <w:r w:rsidR="00190923" w:rsidRPr="00981405">
        <w:t xml:space="preserve"> </w:t>
      </w:r>
      <w:r w:rsidRPr="00981405">
        <w:t>noting</w:t>
      </w:r>
      <w:r w:rsidR="00190923" w:rsidRPr="00981405">
        <w:t xml:space="preserve"> </w:t>
      </w:r>
      <w:r w:rsidRPr="00981405">
        <w:t>that</w:t>
      </w:r>
      <w:r w:rsidR="00190923" w:rsidRPr="00981405">
        <w:t xml:space="preserve"> </w:t>
      </w:r>
      <w:r w:rsidRPr="00981405">
        <w:t>since</w:t>
      </w:r>
      <w:r w:rsidR="00190923" w:rsidRPr="00981405">
        <w:t xml:space="preserve"> </w:t>
      </w:r>
      <w:r w:rsidRPr="00981405">
        <w:t>its</w:t>
      </w:r>
      <w:r w:rsidR="00190923" w:rsidRPr="00981405">
        <w:t xml:space="preserve"> </w:t>
      </w:r>
      <w:r w:rsidRPr="00981405">
        <w:t>decision</w:t>
      </w:r>
      <w:r w:rsidR="00190923" w:rsidRPr="00981405">
        <w:t xml:space="preserve"> </w:t>
      </w:r>
      <w:r w:rsidRPr="00981405">
        <w:t>was</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BIT</w:t>
      </w:r>
      <w:r w:rsidR="00190923" w:rsidRPr="00981405">
        <w:t xml:space="preserve"> </w:t>
      </w:r>
      <w:r w:rsidRPr="00981405">
        <w:t>before</w:t>
      </w:r>
      <w:r w:rsidR="00190923" w:rsidRPr="00981405">
        <w:t xml:space="preserve"> </w:t>
      </w:r>
      <w:r w:rsidRPr="00981405">
        <w:t>it,</w:t>
      </w:r>
      <w:r w:rsidR="00190923" w:rsidRPr="00981405">
        <w:t xml:space="preserve"> </w:t>
      </w:r>
      <w:r w:rsidRPr="00981405">
        <w:t>practice</w:t>
      </w:r>
      <w:r w:rsidR="00190923" w:rsidRPr="00981405">
        <w:t xml:space="preserve"> </w:t>
      </w:r>
      <w:r w:rsidRPr="00981405">
        <w:t>under</w:t>
      </w:r>
      <w:r w:rsidR="00190923" w:rsidRPr="00981405">
        <w:t xml:space="preserve"> </w:t>
      </w:r>
      <w:r w:rsidRPr="00981405">
        <w:t>other</w:t>
      </w:r>
      <w:r w:rsidR="00190923" w:rsidRPr="00981405">
        <w:t xml:space="preserve"> </w:t>
      </w:r>
      <w:r w:rsidRPr="00981405">
        <w:t>BITs</w:t>
      </w:r>
      <w:r w:rsidR="00190923" w:rsidRPr="00981405">
        <w:t xml:space="preserve"> </w:t>
      </w:r>
      <w:r w:rsidRPr="00981405">
        <w:t>could</w:t>
      </w:r>
      <w:r w:rsidR="00190923" w:rsidRPr="00981405">
        <w:t xml:space="preserve"> </w:t>
      </w:r>
      <w:r w:rsidRPr="00981405">
        <w:t>not</w:t>
      </w:r>
      <w:r w:rsidR="00190923" w:rsidRPr="00981405">
        <w:t xml:space="preserve"> </w:t>
      </w:r>
      <w:r w:rsidRPr="00981405">
        <w:t>supplant</w:t>
      </w:r>
      <w:r w:rsidR="00190923" w:rsidRPr="00981405">
        <w:t xml:space="preserve"> </w:t>
      </w:r>
      <w:r w:rsidRPr="00981405">
        <w:t>that</w:t>
      </w:r>
      <w:r w:rsidR="00190923" w:rsidRPr="00981405">
        <w:t xml:space="preserve"> </w:t>
      </w:r>
      <w:r w:rsidRPr="00981405">
        <w:t>text.</w:t>
      </w:r>
      <w:r w:rsidRPr="00981405">
        <w:rPr>
          <w:rStyle w:val="FootnoteReference"/>
        </w:rPr>
        <w:footnoteReference w:id="546"/>
      </w:r>
    </w:p>
    <w:p w:rsidR="00397032" w:rsidRPr="00981405" w:rsidRDefault="00397032" w:rsidP="00D97463">
      <w:pPr>
        <w:pStyle w:val="SingleTxt"/>
      </w:pPr>
      <w:r w:rsidRPr="00981405">
        <w:t>122.</w:t>
      </w:r>
      <w:r w:rsidRPr="00981405">
        <w:tab/>
        <w:t>It</w:t>
      </w:r>
      <w:r w:rsidR="00190923" w:rsidRPr="00981405">
        <w:t xml:space="preserve"> </w:t>
      </w:r>
      <w:r w:rsidRPr="00981405">
        <w:t>is</w:t>
      </w:r>
      <w:r w:rsidR="00190923" w:rsidRPr="00981405">
        <w:t xml:space="preserve"> </w:t>
      </w:r>
      <w:r w:rsidRPr="00981405">
        <w:t>not</w:t>
      </w:r>
      <w:r w:rsidR="00190923" w:rsidRPr="00981405">
        <w:t xml:space="preserve"> </w:t>
      </w:r>
      <w:r w:rsidRPr="00981405">
        <w:t>clear</w:t>
      </w:r>
      <w:r w:rsidR="00190923" w:rsidRPr="00981405">
        <w:t xml:space="preserve"> </w:t>
      </w:r>
      <w:r w:rsidRPr="00981405">
        <w:t>on</w:t>
      </w:r>
      <w:r w:rsidR="00190923" w:rsidRPr="00981405">
        <w:t xml:space="preserve"> </w:t>
      </w:r>
      <w:r w:rsidRPr="00981405">
        <w:t>what</w:t>
      </w:r>
      <w:r w:rsidR="00190923" w:rsidRPr="00981405">
        <w:t xml:space="preserve"> </w:t>
      </w:r>
      <w:r w:rsidRPr="00981405">
        <w:t>legal</w:t>
      </w:r>
      <w:r w:rsidR="00190923" w:rsidRPr="00981405">
        <w:t xml:space="preserve"> </w:t>
      </w:r>
      <w:r w:rsidRPr="00981405">
        <w:t>basis</w:t>
      </w:r>
      <w:r w:rsidR="00190923" w:rsidRPr="00981405">
        <w:t xml:space="preserve"> </w:t>
      </w:r>
      <w:r w:rsidRPr="00981405">
        <w:t>tribunals</w:t>
      </w:r>
      <w:r w:rsidR="00190923" w:rsidRPr="00981405">
        <w:t xml:space="preserve"> </w:t>
      </w:r>
      <w:r w:rsidRPr="00981405">
        <w:t>justify</w:t>
      </w:r>
      <w:r w:rsidR="00190923" w:rsidRPr="00981405">
        <w:t xml:space="preserve"> </w:t>
      </w:r>
      <w:r w:rsidRPr="00981405">
        <w:t>making</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one</w:t>
      </w:r>
      <w:r w:rsidR="00190923" w:rsidRPr="00981405">
        <w:t xml:space="preserve"> </w:t>
      </w:r>
      <w:r w:rsidRPr="00981405">
        <w:t>State</w:t>
      </w:r>
      <w:r w:rsidR="00190923" w:rsidRPr="00981405">
        <w:t xml:space="preserve"> </w:t>
      </w:r>
      <w:r w:rsidRPr="00981405">
        <w:t>alone.</w:t>
      </w:r>
      <w:r w:rsidR="00190923" w:rsidRPr="00981405">
        <w:t xml:space="preserve"> </w:t>
      </w:r>
      <w:r w:rsidRPr="00981405">
        <w:t>Is</w:t>
      </w:r>
      <w:r w:rsidR="00190923" w:rsidRPr="00981405">
        <w:t xml:space="preserve"> </w:t>
      </w:r>
      <w:r w:rsidRPr="00981405">
        <w:t>it</w:t>
      </w:r>
      <w:r w:rsidR="00190923" w:rsidRPr="00981405">
        <w:t xml:space="preserve"> </w:t>
      </w:r>
      <w:r w:rsidRPr="00981405">
        <w:t>a</w:t>
      </w:r>
      <w:r w:rsidR="00190923" w:rsidRPr="00981405">
        <w:t xml:space="preserve"> </w:t>
      </w:r>
      <w:r w:rsidRPr="00981405">
        <w:t>Vienna</w:t>
      </w:r>
      <w:r w:rsidR="00190923" w:rsidRPr="00981405">
        <w:t xml:space="preserve"> </w:t>
      </w:r>
      <w:r w:rsidRPr="00981405">
        <w:t>Convention-based</w:t>
      </w:r>
      <w:r w:rsidR="00190923" w:rsidRPr="00981405">
        <w:t xml:space="preserve"> </w:t>
      </w:r>
      <w:r w:rsidRPr="00981405">
        <w:t>aid</w:t>
      </w:r>
      <w:r w:rsidR="00190923" w:rsidRPr="00981405">
        <w:t xml:space="preserve"> </w:t>
      </w:r>
      <w:r w:rsidRPr="00981405">
        <w:t>to</w:t>
      </w:r>
      <w:r w:rsidR="00190923" w:rsidRPr="00981405">
        <w:t xml:space="preserve"> </w:t>
      </w:r>
      <w:r w:rsidRPr="00981405">
        <w:t>interpretation</w:t>
      </w:r>
      <w:r w:rsidR="00190923" w:rsidRPr="00981405">
        <w:t xml:space="preserve"> </w:t>
      </w:r>
      <w:r w:rsidRPr="00981405">
        <w:t>or</w:t>
      </w:r>
      <w:r w:rsidR="00190923" w:rsidRPr="00981405">
        <w:t xml:space="preserve"> </w:t>
      </w:r>
      <w:r w:rsidRPr="00981405">
        <w:t>is</w:t>
      </w:r>
      <w:r w:rsidR="00190923" w:rsidRPr="00981405">
        <w:t xml:space="preserve"> </w:t>
      </w:r>
      <w:r w:rsidRPr="00981405">
        <w:t>it</w:t>
      </w:r>
      <w:r w:rsidR="00190923" w:rsidRPr="00981405">
        <w:t xml:space="preserve"> </w:t>
      </w:r>
      <w:r w:rsidRPr="00981405">
        <w:t>an</w:t>
      </w:r>
      <w:r w:rsidR="00190923" w:rsidRPr="00981405">
        <w:t xml:space="preserve"> </w:t>
      </w:r>
      <w:r w:rsidRPr="00981405">
        <w:t>independent</w:t>
      </w:r>
      <w:r w:rsidR="00190923" w:rsidRPr="00981405">
        <w:t xml:space="preserve"> </w:t>
      </w:r>
      <w:r w:rsidRPr="00981405">
        <w:t>form</w:t>
      </w:r>
      <w:r w:rsidR="00190923" w:rsidRPr="00981405">
        <w:t xml:space="preserve"> </w:t>
      </w:r>
      <w:r w:rsidRPr="00981405">
        <w:t>of</w:t>
      </w:r>
      <w:r w:rsidR="00190923" w:rsidRPr="00981405">
        <w:t xml:space="preserve"> </w:t>
      </w:r>
      <w:r w:rsidRPr="00981405">
        <w:t>verification</w:t>
      </w:r>
      <w:r w:rsidR="00190923" w:rsidRPr="00981405">
        <w:t xml:space="preserve"> </w:t>
      </w:r>
      <w:r w:rsidRPr="00981405">
        <w:t>of</w:t>
      </w:r>
      <w:r w:rsidR="00190923" w:rsidRPr="00981405">
        <w:t xml:space="preserve"> </w:t>
      </w:r>
      <w:r w:rsidRPr="00981405">
        <w:t>some</w:t>
      </w:r>
      <w:r w:rsidR="00190923" w:rsidRPr="00981405">
        <w:t xml:space="preserve"> </w:t>
      </w:r>
      <w:r w:rsidRPr="00981405">
        <w:t>implicit</w:t>
      </w:r>
      <w:r w:rsidR="00190923" w:rsidRPr="00981405">
        <w:t xml:space="preserve"> </w:t>
      </w:r>
      <w:r w:rsidRPr="00981405">
        <w:t>intent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or</w:t>
      </w:r>
      <w:r w:rsidR="00190923" w:rsidRPr="00981405">
        <w:t xml:space="preserve"> </w:t>
      </w:r>
      <w:r w:rsidRPr="00981405">
        <w:t>at</w:t>
      </w:r>
      <w:r w:rsidR="00190923" w:rsidRPr="00981405">
        <w:t xml:space="preserve"> </w:t>
      </w:r>
      <w:r w:rsidRPr="00981405">
        <w:t>least</w:t>
      </w:r>
      <w:r w:rsidR="00190923" w:rsidRPr="00981405">
        <w:t xml:space="preserve"> </w:t>
      </w:r>
      <w:r w:rsidRPr="00981405">
        <w:t>of</w:t>
      </w:r>
      <w:r w:rsidR="00190923" w:rsidRPr="00981405">
        <w:t xml:space="preserve"> </w:t>
      </w:r>
      <w:r w:rsidRPr="00981405">
        <w:t>the</w:t>
      </w:r>
      <w:r w:rsidR="00190923" w:rsidRPr="00981405">
        <w:t xml:space="preserve"> </w:t>
      </w:r>
      <w:r w:rsidRPr="00981405">
        <w:t>party</w:t>
      </w:r>
      <w:r w:rsidR="00190923" w:rsidRPr="00981405">
        <w:t xml:space="preserve"> </w:t>
      </w:r>
      <w:r w:rsidRPr="00981405">
        <w:t>against</w:t>
      </w:r>
      <w:r w:rsidR="00190923" w:rsidRPr="00981405">
        <w:t xml:space="preserve"> </w:t>
      </w:r>
      <w:r w:rsidRPr="00981405">
        <w:t>which</w:t>
      </w:r>
      <w:r w:rsidR="00190923" w:rsidRPr="00981405">
        <w:t xml:space="preserve"> </w:t>
      </w:r>
      <w:r w:rsidRPr="00981405">
        <w:t>the</w:t>
      </w:r>
      <w:r w:rsidR="00190923" w:rsidRPr="00981405">
        <w:t xml:space="preserve"> </w:t>
      </w:r>
      <w:r w:rsidRPr="00981405">
        <w:t>claim</w:t>
      </w:r>
      <w:r w:rsidR="00190923" w:rsidRPr="00981405">
        <w:t xml:space="preserve"> </w:t>
      </w:r>
      <w:r w:rsidRPr="00981405">
        <w:t>is</w:t>
      </w:r>
      <w:r w:rsidR="00190923" w:rsidRPr="00981405">
        <w:t xml:space="preserve"> </w:t>
      </w:r>
      <w:r w:rsidRPr="00981405">
        <w:t>being</w:t>
      </w:r>
      <w:r w:rsidR="00190923" w:rsidRPr="00981405">
        <w:t xml:space="preserve"> </w:t>
      </w:r>
      <w:r w:rsidRPr="00981405">
        <w:t>made?</w:t>
      </w:r>
      <w:r w:rsidR="00190923" w:rsidRPr="00981405">
        <w:t xml:space="preserve"> </w:t>
      </w:r>
      <w:r w:rsidRPr="00981405">
        <w:t>In</w:t>
      </w:r>
      <w:r w:rsidR="00190923" w:rsidRPr="00981405">
        <w:t xml:space="preserve"> </w:t>
      </w:r>
      <w:r w:rsidRPr="00D97463">
        <w:rPr>
          <w:i/>
          <w:iCs/>
        </w:rPr>
        <w:t>Plama</w:t>
      </w:r>
      <w:r w:rsidR="00190923" w:rsidRPr="00981405">
        <w:t xml:space="preserve"> </w:t>
      </w:r>
      <w:r w:rsidRPr="00981405">
        <w:t>the</w:t>
      </w:r>
      <w:r w:rsidR="00190923" w:rsidRPr="00981405">
        <w:t xml:space="preserve"> </w:t>
      </w:r>
      <w:r w:rsidRPr="00981405">
        <w:t>tribunal</w:t>
      </w:r>
      <w:r w:rsidR="00190923" w:rsidRPr="00981405">
        <w:t xml:space="preserve"> </w:t>
      </w:r>
      <w:r w:rsidRPr="00981405">
        <w:t>stated:</w:t>
      </w:r>
      <w:r w:rsidR="00190923" w:rsidRPr="00981405">
        <w:t xml:space="preserve"> </w:t>
      </w:r>
      <w:r w:rsidR="00B92E2C" w:rsidRPr="00981405">
        <w:t>“</w:t>
      </w:r>
      <w:r w:rsidRPr="00981405">
        <w:t>It</w:t>
      </w:r>
      <w:r w:rsidR="00190923" w:rsidRPr="00981405">
        <w:t xml:space="preserve"> </w:t>
      </w:r>
      <w:r w:rsidRPr="00981405">
        <w:t>is</w:t>
      </w:r>
      <w:r w:rsidR="00190923" w:rsidRPr="00981405">
        <w:t xml:space="preserve"> </w:t>
      </w:r>
      <w:r w:rsidRPr="00981405">
        <w:t>true</w:t>
      </w:r>
      <w:r w:rsidR="00190923" w:rsidRPr="00981405">
        <w:t xml:space="preserve"> </w:t>
      </w:r>
      <w:r w:rsidRPr="00981405">
        <w:t>that</w:t>
      </w:r>
      <w:r w:rsidR="00190923" w:rsidRPr="00981405">
        <w:t xml:space="preserve"> </w:t>
      </w:r>
      <w:r w:rsidRPr="00981405">
        <w:t>treaties</w:t>
      </w:r>
      <w:r w:rsidR="00190923" w:rsidRPr="00981405">
        <w:t xml:space="preserve"> </w:t>
      </w:r>
      <w:r w:rsidRPr="00981405">
        <w:t>between</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Contracting</w:t>
      </w:r>
      <w:r w:rsidR="00190923" w:rsidRPr="00981405">
        <w:t xml:space="preserve"> </w:t>
      </w:r>
      <w:r w:rsidRPr="00981405">
        <w:t>Parties</w:t>
      </w:r>
      <w:r w:rsidR="00190923" w:rsidRPr="00981405">
        <w:t xml:space="preserve"> </w:t>
      </w:r>
      <w:r w:rsidRPr="00981405">
        <w:t>and</w:t>
      </w:r>
      <w:r w:rsidR="00190923" w:rsidRPr="00981405">
        <w:t xml:space="preserve"> </w:t>
      </w:r>
      <w:r w:rsidRPr="00981405">
        <w:t>third</w:t>
      </w:r>
      <w:r w:rsidR="00190923" w:rsidRPr="00981405">
        <w:t xml:space="preserve"> </w:t>
      </w:r>
      <w:r w:rsidRPr="00981405">
        <w:t>States</w:t>
      </w:r>
      <w:r w:rsidR="00190923" w:rsidRPr="00981405">
        <w:t xml:space="preserve"> </w:t>
      </w:r>
      <w:r w:rsidRPr="00981405">
        <w:t>may</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clarifying</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B92E2C" w:rsidRPr="00981405">
        <w:t>’</w:t>
      </w:r>
      <w:r w:rsidRPr="00981405">
        <w:t>s</w:t>
      </w:r>
      <w:r w:rsidR="00190923" w:rsidRPr="00981405">
        <w:t xml:space="preserve"> </w:t>
      </w:r>
      <w:r w:rsidRPr="00981405">
        <w:t>text</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it</w:t>
      </w:r>
      <w:r w:rsidR="00190923" w:rsidRPr="00981405">
        <w:t xml:space="preserve"> </w:t>
      </w:r>
      <w:r w:rsidRPr="00981405">
        <w:t>was</w:t>
      </w:r>
      <w:r w:rsidR="00190923" w:rsidRPr="00981405">
        <w:t xml:space="preserve"> </w:t>
      </w:r>
      <w:r w:rsidRPr="00981405">
        <w:t>entered</w:t>
      </w:r>
      <w:r w:rsidR="00190923" w:rsidRPr="00981405">
        <w:t xml:space="preserve"> </w:t>
      </w:r>
      <w:r w:rsidRPr="00981405">
        <w:t>into.</w:t>
      </w:r>
      <w:r w:rsidR="00B92E2C" w:rsidRPr="00981405">
        <w:t>”</w:t>
      </w:r>
      <w:r w:rsidRPr="00981405">
        <w:rPr>
          <w:rStyle w:val="FootnoteReference"/>
        </w:rPr>
        <w:footnoteReference w:id="547"/>
      </w:r>
      <w:r w:rsidR="00190923" w:rsidRPr="00981405">
        <w:t xml:space="preserve"> </w:t>
      </w:r>
      <w:r w:rsidRPr="00981405">
        <w:t>However,</w:t>
      </w:r>
      <w:r w:rsidR="00190923" w:rsidRPr="00981405">
        <w:t xml:space="preserve"> </w:t>
      </w:r>
      <w:r w:rsidRPr="00981405">
        <w:t>the</w:t>
      </w:r>
      <w:r w:rsidR="00190923" w:rsidRPr="00981405">
        <w:t xml:space="preserve"> </w:t>
      </w:r>
      <w:r w:rsidRPr="00981405">
        <w:t>tribunal</w:t>
      </w:r>
      <w:r w:rsidR="00190923" w:rsidRPr="00981405">
        <w:t xml:space="preserve"> </w:t>
      </w:r>
      <w:r w:rsidRPr="00981405">
        <w:t>does</w:t>
      </w:r>
      <w:r w:rsidR="00190923" w:rsidRPr="00981405">
        <w:t xml:space="preserve"> </w:t>
      </w:r>
      <w:r w:rsidRPr="00981405">
        <w:t>not</w:t>
      </w:r>
      <w:r w:rsidR="00190923" w:rsidRPr="00981405">
        <w:t xml:space="preserve"> </w:t>
      </w:r>
      <w:r w:rsidRPr="00981405">
        <w:t>indicate</w:t>
      </w:r>
      <w:r w:rsidR="00190923" w:rsidRPr="00981405">
        <w:t xml:space="preserve"> </w:t>
      </w:r>
      <w:r w:rsidRPr="00981405">
        <w:t>the</w:t>
      </w:r>
      <w:r w:rsidR="00190923" w:rsidRPr="00981405">
        <w:t xml:space="preserve"> </w:t>
      </w:r>
      <w:r w:rsidRPr="00981405">
        <w:t>basis</w:t>
      </w:r>
      <w:r w:rsidR="00190923" w:rsidRPr="00981405">
        <w:t xml:space="preserve"> </w:t>
      </w:r>
      <w:r w:rsidRPr="00981405">
        <w:t>on</w:t>
      </w:r>
      <w:r w:rsidR="00190923" w:rsidRPr="00981405">
        <w:t xml:space="preserve"> </w:t>
      </w:r>
      <w:r w:rsidRPr="00981405">
        <w:t>which</w:t>
      </w:r>
      <w:r w:rsidR="00190923" w:rsidRPr="00981405">
        <w:t xml:space="preserve"> </w:t>
      </w:r>
      <w:r w:rsidRPr="00981405">
        <w:t>it</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treaties</w:t>
      </w:r>
      <w:r w:rsidR="00190923" w:rsidRPr="00981405">
        <w:t xml:space="preserve"> </w:t>
      </w:r>
      <w:r w:rsidRPr="00981405">
        <w:t>concluded</w:t>
      </w:r>
      <w:r w:rsidR="00190923" w:rsidRPr="00981405">
        <w:t xml:space="preserve"> </w:t>
      </w:r>
      <w:r w:rsidRPr="00981405">
        <w:t>by</w:t>
      </w:r>
      <w:r w:rsidR="00190923" w:rsidRPr="00981405">
        <w:t xml:space="preserve"> </w:t>
      </w:r>
      <w:r w:rsidRPr="00981405">
        <w:t>a</w:t>
      </w:r>
      <w:r w:rsidR="00190923" w:rsidRPr="00981405">
        <w:t xml:space="preserve"> </w:t>
      </w:r>
      <w:r w:rsidRPr="00981405">
        <w:t>State</w:t>
      </w:r>
      <w:r w:rsidR="00190923" w:rsidRPr="00981405">
        <w:t xml:space="preserve"> </w:t>
      </w:r>
      <w:r w:rsidRPr="00981405">
        <w:t>with</w:t>
      </w:r>
      <w:r w:rsidR="00190923" w:rsidRPr="00981405">
        <w:t xml:space="preserve"> </w:t>
      </w:r>
      <w:r w:rsidRPr="00981405">
        <w:t>a</w:t>
      </w:r>
      <w:r w:rsidR="00190923" w:rsidRPr="00981405">
        <w:t xml:space="preserve"> </w:t>
      </w:r>
      <w:r w:rsidRPr="00981405">
        <w:t>third</w:t>
      </w:r>
      <w:r w:rsidR="00190923" w:rsidRPr="00981405">
        <w:t xml:space="preserve"> </w:t>
      </w:r>
      <w:r w:rsidRPr="00981405">
        <w:t>party</w:t>
      </w:r>
      <w:r w:rsidR="00190923" w:rsidRPr="00981405">
        <w:t xml:space="preserve"> </w:t>
      </w:r>
      <w:r w:rsidRPr="00981405">
        <w:t>are</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between</w:t>
      </w:r>
      <w:r w:rsidR="00190923" w:rsidRPr="00981405">
        <w:t xml:space="preserve"> </w:t>
      </w:r>
      <w:r w:rsidRPr="00981405">
        <w:t>that</w:t>
      </w:r>
      <w:r w:rsidR="00190923" w:rsidRPr="00981405">
        <w:t xml:space="preserve"> </w:t>
      </w:r>
      <w:r w:rsidRPr="00981405">
        <w:t>State</w:t>
      </w:r>
      <w:r w:rsidR="00190923" w:rsidRPr="00981405">
        <w:t xml:space="preserve"> </w:t>
      </w:r>
      <w:r w:rsidRPr="00981405">
        <w:t>and</w:t>
      </w:r>
      <w:r w:rsidR="00190923" w:rsidRPr="00981405">
        <w:t xml:space="preserve"> </w:t>
      </w:r>
      <w:r w:rsidRPr="00981405">
        <w:t>another</w:t>
      </w:r>
      <w:r w:rsidR="00190923" w:rsidRPr="00981405">
        <w:t xml:space="preserve"> </w:t>
      </w:r>
      <w:r w:rsidRPr="00981405">
        <w:t>State,</w:t>
      </w:r>
      <w:r w:rsidR="00190923" w:rsidRPr="00981405">
        <w:t xml:space="preserve"> </w:t>
      </w:r>
      <w:r w:rsidRPr="00981405">
        <w:t>although</w:t>
      </w:r>
      <w:r w:rsidR="00190923" w:rsidRPr="00981405">
        <w:t xml:space="preserve"> </w:t>
      </w:r>
      <w:r w:rsidRPr="00981405">
        <w:t>it</w:t>
      </w:r>
      <w:r w:rsidR="00190923" w:rsidRPr="00981405">
        <w:t xml:space="preserve"> </w:t>
      </w:r>
      <w:r w:rsidRPr="00981405">
        <w:t>may</w:t>
      </w:r>
      <w:r w:rsidR="00190923" w:rsidRPr="00981405">
        <w:t xml:space="preserve"> </w:t>
      </w:r>
      <w:r w:rsidRPr="00981405">
        <w:t>have</w:t>
      </w:r>
      <w:r w:rsidR="00190923" w:rsidRPr="00981405">
        <w:t xml:space="preserve"> </w:t>
      </w:r>
      <w:r w:rsidRPr="00981405">
        <w:t>been</w:t>
      </w:r>
      <w:r w:rsidR="00190923" w:rsidRPr="00981405">
        <w:t xml:space="preserve"> </w:t>
      </w:r>
      <w:r w:rsidRPr="00981405">
        <w:t>relying</w:t>
      </w:r>
      <w:r w:rsidR="00190923" w:rsidRPr="00981405">
        <w:t xml:space="preserve"> </w:t>
      </w:r>
      <w:r w:rsidRPr="00981405">
        <w:t>implicitly</w:t>
      </w:r>
      <w:r w:rsidR="00190923" w:rsidRPr="00981405">
        <w:t xml:space="preserve"> </w:t>
      </w:r>
      <w:r w:rsidRPr="00981405">
        <w:t>on</w:t>
      </w:r>
      <w:r w:rsidR="00190923" w:rsidRPr="00981405">
        <w:t xml:space="preserve"> </w:t>
      </w:r>
      <w:r w:rsidRPr="00981405">
        <w:t>article</w:t>
      </w:r>
      <w:r w:rsidR="00190923" w:rsidRPr="00981405">
        <w:t xml:space="preserve"> </w:t>
      </w:r>
      <w:r w:rsidRPr="00981405">
        <w:t>32</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p>
    <w:p w:rsidR="002D20B7" w:rsidRPr="00D97463" w:rsidRDefault="002D20B7" w:rsidP="00D97463">
      <w:pPr>
        <w:pStyle w:val="SingleTxt"/>
        <w:spacing w:after="0" w:line="120" w:lineRule="exact"/>
        <w:rPr>
          <w:sz w:val="10"/>
        </w:rPr>
      </w:pPr>
    </w:p>
    <w:p w:rsidR="00397032" w:rsidRPr="00D97463" w:rsidRDefault="00397032" w:rsidP="00D97463">
      <w:pPr>
        <w:pStyle w:val="H4"/>
        <w:ind w:right="1260"/>
      </w:pPr>
      <w:bookmarkStart w:id="264" w:name="_Toc293434171"/>
      <w:bookmarkStart w:id="265" w:name="_Toc294353685"/>
      <w:r w:rsidRPr="00D97463">
        <w:tab/>
      </w:r>
      <w:bookmarkStart w:id="266" w:name="_Toc427938186"/>
      <w:r w:rsidRPr="00D97463">
        <w:t>(v)</w:t>
      </w:r>
      <w:r w:rsidRPr="00D97463">
        <w:tab/>
        <w:t>The</w:t>
      </w:r>
      <w:r w:rsidR="00190923" w:rsidRPr="00D97463">
        <w:t xml:space="preserve"> </w:t>
      </w:r>
      <w:r w:rsidRPr="00D97463">
        <w:t>relevant</w:t>
      </w:r>
      <w:r w:rsidR="00190923" w:rsidRPr="00D97463">
        <w:t xml:space="preserve"> </w:t>
      </w:r>
      <w:r w:rsidRPr="00D97463">
        <w:t>time</w:t>
      </w:r>
      <w:r w:rsidR="00190923" w:rsidRPr="00D97463">
        <w:t xml:space="preserve"> </w:t>
      </w:r>
      <w:r w:rsidRPr="00D97463">
        <w:t>for</w:t>
      </w:r>
      <w:r w:rsidR="00190923" w:rsidRPr="00D97463">
        <w:t xml:space="preserve"> </w:t>
      </w:r>
      <w:r w:rsidRPr="00D97463">
        <w:t>determining</w:t>
      </w:r>
      <w:r w:rsidR="00190923" w:rsidRPr="00D97463">
        <w:t xml:space="preserve"> </w:t>
      </w:r>
      <w:r w:rsidRPr="00D97463">
        <w:t>the</w:t>
      </w:r>
      <w:r w:rsidR="00190923" w:rsidRPr="00D97463">
        <w:t xml:space="preserve"> </w:t>
      </w:r>
      <w:r w:rsidRPr="00D97463">
        <w:t>intention</w:t>
      </w:r>
      <w:r w:rsidR="00190923" w:rsidRPr="00D97463">
        <w:t xml:space="preserve"> </w:t>
      </w:r>
      <w:r w:rsidRPr="00D97463">
        <w:t>of</w:t>
      </w:r>
      <w:r w:rsidR="00190923" w:rsidRPr="00D97463">
        <w:t xml:space="preserve"> </w:t>
      </w:r>
      <w:r w:rsidRPr="00D97463">
        <w:t>the</w:t>
      </w:r>
      <w:r w:rsidR="00190923" w:rsidRPr="00D97463">
        <w:t xml:space="preserve"> </w:t>
      </w:r>
      <w:r w:rsidRPr="00D97463">
        <w:t>parties</w:t>
      </w:r>
      <w:bookmarkEnd w:id="264"/>
      <w:bookmarkEnd w:id="265"/>
      <w:bookmarkEnd w:id="266"/>
      <w:r w:rsidR="00190923" w:rsidRPr="00D97463">
        <w:t xml:space="preserve"> </w:t>
      </w:r>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123.</w:t>
      </w:r>
      <w:r w:rsidRPr="00981405">
        <w:tab/>
        <w:t>Most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not</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time</w:t>
      </w:r>
      <w:r w:rsidR="00190923" w:rsidRPr="00981405">
        <w:t xml:space="preserve"> </w:t>
      </w:r>
      <w:r w:rsidRPr="00981405">
        <w:t>at</w:t>
      </w:r>
      <w:r w:rsidR="00190923" w:rsidRPr="00981405">
        <w:t xml:space="preserve"> </w:t>
      </w:r>
      <w:r w:rsidRPr="00981405">
        <w:t>which</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BIT</w:t>
      </w:r>
      <w:r w:rsidR="00190923" w:rsidRPr="00981405">
        <w:t xml:space="preserve"> </w:t>
      </w:r>
      <w:r w:rsidRPr="00981405">
        <w:t>should</w:t>
      </w:r>
      <w:r w:rsidR="00190923" w:rsidRPr="00981405">
        <w:t xml:space="preserve"> </w:t>
      </w:r>
      <w:r w:rsidRPr="00981405">
        <w:t>be</w:t>
      </w:r>
      <w:r w:rsidR="00190923" w:rsidRPr="00981405">
        <w:t xml:space="preserve"> </w:t>
      </w:r>
      <w:r w:rsidRPr="00981405">
        <w:t>ascertained.</w:t>
      </w:r>
      <w:r w:rsidR="00190923" w:rsidRPr="00981405">
        <w:t xml:space="preserve"> </w:t>
      </w:r>
      <w:r w:rsidRPr="00981405">
        <w:t>However,</w:t>
      </w:r>
      <w:r w:rsidR="00190923" w:rsidRPr="00981405">
        <w:t xml:space="preserve"> </w:t>
      </w:r>
      <w:r w:rsidRPr="00981405">
        <w:t>in</w:t>
      </w:r>
      <w:r w:rsidR="00190923" w:rsidRPr="00981405">
        <w:t xml:space="preserve"> </w:t>
      </w:r>
      <w:r w:rsidR="001C3185" w:rsidRPr="00981405">
        <w:rPr>
          <w:i/>
          <w:iCs/>
        </w:rPr>
        <w:t>ICS</w:t>
      </w:r>
      <w:r w:rsidR="00190923" w:rsidRPr="00981405">
        <w:t xml:space="preserve"> </w:t>
      </w:r>
      <w:r w:rsidRPr="00981405">
        <w:t>the</w:t>
      </w:r>
      <w:r w:rsidR="00190923" w:rsidRPr="00981405">
        <w:t xml:space="preserve"> </w:t>
      </w:r>
      <w:r w:rsidRPr="00981405">
        <w:t>tribunal</w:t>
      </w:r>
      <w:r w:rsidR="00190923" w:rsidRPr="00981405">
        <w:t xml:space="preserve"> </w:t>
      </w:r>
      <w:r w:rsidRPr="00981405">
        <w:t>addressed</w:t>
      </w:r>
      <w:r w:rsidR="00190923" w:rsidRPr="00981405">
        <w:t xml:space="preserve"> </w:t>
      </w:r>
      <w:r w:rsidRPr="00981405">
        <w:t>the</w:t>
      </w:r>
      <w:r w:rsidR="00190923" w:rsidRPr="00981405">
        <w:t xml:space="preserve"> </w:t>
      </w:r>
      <w:r w:rsidRPr="00981405">
        <w:t>issue</w:t>
      </w:r>
      <w:r w:rsidR="00190923" w:rsidRPr="00981405">
        <w:t xml:space="preserve"> </w:t>
      </w:r>
      <w:r w:rsidRPr="00981405">
        <w:t>specifically,</w:t>
      </w:r>
      <w:r w:rsidR="00190923" w:rsidRPr="00981405">
        <w:t xml:space="preserve"> </w:t>
      </w:r>
      <w:r w:rsidRPr="00981405">
        <w:t>indicating</w:t>
      </w:r>
      <w:r w:rsidR="00190923" w:rsidRPr="00981405">
        <w:t xml:space="preserve"> </w:t>
      </w:r>
      <w:r w:rsidRPr="00981405">
        <w:t>that</w:t>
      </w:r>
      <w:r w:rsidR="00190923" w:rsidRPr="00981405">
        <w:t xml:space="preserve"> </w:t>
      </w:r>
      <w:r w:rsidRPr="00981405">
        <w:t>the</w:t>
      </w:r>
      <w:r w:rsidR="00190923" w:rsidRPr="00981405">
        <w:t xml:space="preserve"> </w:t>
      </w:r>
      <w:r w:rsidRPr="00981405">
        <w:t>relevant</w:t>
      </w:r>
      <w:r w:rsidR="00190923" w:rsidRPr="00981405">
        <w:t xml:space="preserve"> </w:t>
      </w:r>
      <w:r w:rsidRPr="00981405">
        <w:t>time</w:t>
      </w:r>
      <w:r w:rsidR="00190923" w:rsidRPr="00981405">
        <w:t xml:space="preserve"> </w:t>
      </w:r>
      <w:r w:rsidRPr="00981405">
        <w:t>was</w:t>
      </w:r>
      <w:r w:rsidR="00190923" w:rsidRPr="00981405">
        <w:t xml:space="preserve"> </w:t>
      </w:r>
      <w:r w:rsidRPr="00981405">
        <w:t>at</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and</w:t>
      </w:r>
      <w:r w:rsidR="00190923" w:rsidRPr="00981405">
        <w:t xml:space="preserve"> </w:t>
      </w:r>
      <w:r w:rsidRPr="00981405">
        <w:t>interpreted</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treatment</w:t>
      </w:r>
      <w:r w:rsidR="00B92E2C" w:rsidRPr="00981405">
        <w:t>”</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its</w:t>
      </w:r>
      <w:r w:rsidR="00190923" w:rsidRPr="00981405">
        <w:t xml:space="preserve"> </w:t>
      </w:r>
      <w:r w:rsidRPr="00981405">
        <w:t>meaning</w:t>
      </w:r>
      <w:r w:rsidR="00190923" w:rsidRPr="00981405">
        <w:t xml:space="preserve"> </w:t>
      </w:r>
      <w:r w:rsidRPr="00981405">
        <w:t>at</w:t>
      </w:r>
      <w:r w:rsidR="00190923" w:rsidRPr="00981405">
        <w:t xml:space="preserve"> </w:t>
      </w:r>
      <w:r w:rsidRPr="00981405">
        <w:t>that</w:t>
      </w:r>
      <w:r w:rsidR="00190923" w:rsidRPr="00981405">
        <w:t xml:space="preserve"> </w:t>
      </w:r>
      <w:r w:rsidRPr="00981405">
        <w:t>time.</w:t>
      </w:r>
      <w:r w:rsidRPr="00981405">
        <w:rPr>
          <w:rStyle w:val="FootnoteReference"/>
        </w:rPr>
        <w:footnoteReference w:id="548"/>
      </w:r>
      <w:r w:rsidR="00190923" w:rsidRPr="00981405">
        <w:t xml:space="preserve"> </w:t>
      </w:r>
      <w:r w:rsidRPr="00981405">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tribunal,</w:t>
      </w:r>
      <w:r w:rsidR="00190923" w:rsidRPr="00981405">
        <w:t xml:space="preserve"> </w:t>
      </w:r>
      <w:r w:rsidRPr="00981405">
        <w:t>the</w:t>
      </w:r>
      <w:r w:rsidR="00190923" w:rsidRPr="00981405">
        <w:t xml:space="preserve"> </w:t>
      </w:r>
      <w:r w:rsidRPr="00981405">
        <w:t>principle</w:t>
      </w:r>
      <w:r w:rsidR="00190923" w:rsidRPr="00981405">
        <w:t xml:space="preserve"> </w:t>
      </w:r>
      <w:r w:rsidRPr="00981405">
        <w:t>of</w:t>
      </w:r>
      <w:r w:rsidR="00190923" w:rsidRPr="00981405">
        <w:t xml:space="preserve"> </w:t>
      </w:r>
      <w:r w:rsidR="00B92E2C" w:rsidRPr="00981405">
        <w:t>“</w:t>
      </w:r>
      <w:r w:rsidRPr="00981405">
        <w:t>contemporaneity</w:t>
      </w:r>
      <w:r w:rsidR="00B92E2C" w:rsidRPr="00981405">
        <w:t>”</w:t>
      </w:r>
      <w:r w:rsidR="00190923" w:rsidRPr="00981405">
        <w:t xml:space="preserve"> </w:t>
      </w:r>
      <w:r w:rsidRPr="00981405">
        <w:t>in</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must</w:t>
      </w:r>
      <w:r w:rsidR="00190923" w:rsidRPr="00981405">
        <w:t xml:space="preserve"> </w:t>
      </w:r>
      <w:r w:rsidRPr="00981405">
        <w:t>be</w:t>
      </w:r>
      <w:r w:rsidR="00190923" w:rsidRPr="00981405">
        <w:t xml:space="preserve"> </w:t>
      </w:r>
      <w:r w:rsidRPr="00981405">
        <w:t>applied.</w:t>
      </w:r>
      <w:r w:rsidR="00190923" w:rsidRPr="00981405">
        <w:t xml:space="preserve"> </w:t>
      </w:r>
      <w:r w:rsidRPr="00981405">
        <w:t>Although</w:t>
      </w:r>
      <w:r w:rsidR="00190923" w:rsidRPr="00981405">
        <w:t xml:space="preserve"> </w:t>
      </w:r>
      <w:r w:rsidRPr="00981405">
        <w:t>no</w:t>
      </w:r>
      <w:r w:rsidR="00190923" w:rsidRPr="00981405">
        <w:t xml:space="preserve"> </w:t>
      </w:r>
      <w:r w:rsidRPr="00981405">
        <w:t>tribunal</w:t>
      </w:r>
      <w:r w:rsidR="00190923" w:rsidRPr="00981405">
        <w:t xml:space="preserve"> </w:t>
      </w:r>
      <w:r w:rsidRPr="00981405">
        <w:t>has</w:t>
      </w:r>
      <w:r w:rsidR="00190923" w:rsidRPr="00981405">
        <w:t xml:space="preserve"> </w:t>
      </w:r>
      <w:r w:rsidRPr="00981405">
        <w:t>explicitly</w:t>
      </w:r>
      <w:r w:rsidR="00190923" w:rsidRPr="00981405">
        <w:t xml:space="preserve"> </w:t>
      </w:r>
      <w:r w:rsidRPr="00981405">
        <w:t>disagreed</w:t>
      </w:r>
      <w:r w:rsidR="00190923" w:rsidRPr="00981405">
        <w:t xml:space="preserve"> </w:t>
      </w:r>
      <w:r w:rsidRPr="00981405">
        <w:t>with</w:t>
      </w:r>
      <w:r w:rsidR="00190923" w:rsidRPr="00981405">
        <w:t xml:space="preserve"> </w:t>
      </w:r>
      <w:r w:rsidRPr="00981405">
        <w:t>this</w:t>
      </w:r>
      <w:r w:rsidR="00190923" w:rsidRPr="00981405">
        <w:t xml:space="preserve"> </w:t>
      </w:r>
      <w:r w:rsidRPr="00981405">
        <w:t>position,</w:t>
      </w:r>
      <w:r w:rsidR="00190923" w:rsidRPr="00981405">
        <w:t xml:space="preserve"> </w:t>
      </w:r>
      <w:r w:rsidRPr="00981405">
        <w:t>tribunals</w:t>
      </w:r>
      <w:r w:rsidR="00190923" w:rsidRPr="00981405">
        <w:t xml:space="preserve"> </w:t>
      </w:r>
      <w:r w:rsidRPr="00981405">
        <w:t>prior</w:t>
      </w:r>
      <w:r w:rsidR="00190923" w:rsidRPr="00981405">
        <w:t xml:space="preserve"> </w:t>
      </w:r>
      <w:r w:rsidRPr="00981405">
        <w:t>to</w:t>
      </w:r>
      <w:r w:rsidR="00190923" w:rsidRPr="00981405">
        <w:t xml:space="preserve"> </w:t>
      </w:r>
      <w:r w:rsidR="001C3185" w:rsidRPr="00981405">
        <w:rPr>
          <w:i/>
          <w:iCs/>
        </w:rPr>
        <w:t>ICS</w:t>
      </w:r>
      <w:r w:rsidR="00190923" w:rsidRPr="00981405">
        <w:t xml:space="preserve"> </w:t>
      </w:r>
      <w:r w:rsidRPr="00981405">
        <w:t>had</w:t>
      </w:r>
      <w:r w:rsidR="00190923" w:rsidRPr="00981405">
        <w:t xml:space="preserve"> </w:t>
      </w:r>
      <w:r w:rsidRPr="00981405">
        <w:t>not</w:t>
      </w:r>
      <w:r w:rsidR="00190923" w:rsidRPr="00981405">
        <w:t xml:space="preserve"> </w:t>
      </w:r>
      <w:r w:rsidRPr="00981405">
        <w:t>looked</w:t>
      </w:r>
      <w:r w:rsidR="00190923" w:rsidRPr="00981405">
        <w:t xml:space="preserve"> </w:t>
      </w:r>
      <w:r w:rsidRPr="00981405">
        <w:t>explicitly</w:t>
      </w:r>
      <w:r w:rsidR="00190923" w:rsidRPr="00981405">
        <w:t xml:space="preserve"> </w:t>
      </w:r>
      <w:r w:rsidRPr="00981405">
        <w:t>at</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at</w:t>
      </w:r>
      <w:r w:rsidR="00190923" w:rsidRPr="00981405">
        <w:t xml:space="preserve"> </w:t>
      </w:r>
      <w:r w:rsidRPr="00981405">
        <w:t>the</w:t>
      </w:r>
      <w:r w:rsidR="00190923" w:rsidRPr="00981405">
        <w:t xml:space="preserve"> </w:t>
      </w:r>
      <w:r w:rsidRPr="00981405">
        <w:t>date</w:t>
      </w:r>
      <w:r w:rsidR="00190923" w:rsidRPr="00981405">
        <w:t xml:space="preserve"> </w:t>
      </w:r>
      <w:r w:rsidRPr="00981405">
        <w:t>the</w:t>
      </w:r>
      <w:r w:rsidR="00190923" w:rsidRPr="00981405">
        <w:t xml:space="preserve"> </w:t>
      </w:r>
      <w:r w:rsidRPr="00981405">
        <w:t>treaty</w:t>
      </w:r>
      <w:r w:rsidR="00190923" w:rsidRPr="00981405">
        <w:t xml:space="preserve"> </w:t>
      </w:r>
      <w:r w:rsidRPr="00981405">
        <w:t>was</w:t>
      </w:r>
      <w:r w:rsidR="00190923" w:rsidRPr="00981405">
        <w:t xml:space="preserve"> </w:t>
      </w:r>
      <w:r w:rsidRPr="00981405">
        <w:t>concluded.</w:t>
      </w:r>
      <w:r w:rsidR="00190923" w:rsidRPr="00981405">
        <w:t xml:space="preserve"> </w:t>
      </w:r>
      <w:r w:rsidRPr="00981405">
        <w:t>They</w:t>
      </w:r>
      <w:r w:rsidR="00190923" w:rsidRPr="00981405">
        <w:t xml:space="preserve"> </w:t>
      </w:r>
      <w:r w:rsidRPr="00981405">
        <w:t>had</w:t>
      </w:r>
      <w:r w:rsidR="00190923" w:rsidRPr="00981405">
        <w:t xml:space="preserve"> </w:t>
      </w:r>
      <w:r w:rsidRPr="00981405">
        <w:t>looked</w:t>
      </w:r>
      <w:r w:rsidR="00190923" w:rsidRPr="00981405">
        <w:t xml:space="preserve"> </w:t>
      </w:r>
      <w:r w:rsidRPr="00981405">
        <w:t>at</w:t>
      </w:r>
      <w:r w:rsidR="00190923" w:rsidRPr="00981405">
        <w:t xml:space="preserve"> </w:t>
      </w:r>
      <w:r w:rsidRPr="00981405">
        <w:t>preparatory</w:t>
      </w:r>
      <w:r w:rsidR="00190923" w:rsidRPr="00981405">
        <w:t xml:space="preserve"> </w:t>
      </w:r>
      <w:r w:rsidRPr="00981405">
        <w:t>work</w:t>
      </w:r>
      <w:r w:rsidR="00190923" w:rsidRPr="00981405">
        <w:t xml:space="preserve"> </w:t>
      </w:r>
      <w:r w:rsidRPr="00981405">
        <w:t>but</w:t>
      </w:r>
      <w:r w:rsidR="00190923" w:rsidRPr="00981405">
        <w:t xml:space="preserve"> </w:t>
      </w:r>
      <w:r w:rsidRPr="00981405">
        <w:t>in</w:t>
      </w:r>
      <w:r w:rsidR="00190923" w:rsidRPr="00981405">
        <w:t xml:space="preserve"> </w:t>
      </w:r>
      <w:r w:rsidRPr="00981405">
        <w:t>the</w:t>
      </w:r>
      <w:r w:rsidR="00190923" w:rsidRPr="00981405">
        <w:t xml:space="preserve"> </w:t>
      </w:r>
      <w:r w:rsidRPr="00981405">
        <w:t>absence</w:t>
      </w:r>
      <w:r w:rsidR="00190923" w:rsidRPr="00981405">
        <w:t xml:space="preserve"> </w:t>
      </w:r>
      <w:r w:rsidRPr="00981405">
        <w:t>of</w:t>
      </w:r>
      <w:r w:rsidR="00190923" w:rsidRPr="00981405">
        <w:t xml:space="preserve"> </w:t>
      </w:r>
      <w:r w:rsidRPr="00981405">
        <w:t>any</w:t>
      </w:r>
      <w:r w:rsidR="00190923" w:rsidRPr="00981405">
        <w:t xml:space="preserve"> </w:t>
      </w:r>
      <w:r w:rsidRPr="00981405">
        <w:t>indication</w:t>
      </w:r>
      <w:r w:rsidR="00190923" w:rsidRPr="00981405">
        <w:t xml:space="preserve"> </w:t>
      </w:r>
      <w:r w:rsidRPr="00981405">
        <w:t>in</w:t>
      </w:r>
      <w:r w:rsidR="00190923" w:rsidRPr="00981405">
        <w:t xml:space="preserve"> </w:t>
      </w:r>
      <w:r w:rsidRPr="00981405">
        <w:t>the</w:t>
      </w:r>
      <w:r w:rsidR="00190923" w:rsidRPr="00981405">
        <w:t xml:space="preserve"> </w:t>
      </w:r>
      <w:r w:rsidR="002D20B7" w:rsidRPr="00981405">
        <w:rPr>
          <w:i/>
          <w:iCs/>
        </w:rPr>
        <w:t xml:space="preserve">travaux préparatoires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was</w:t>
      </w:r>
      <w:r w:rsidR="00190923" w:rsidRPr="00981405">
        <w:t xml:space="preserve"> </w:t>
      </w:r>
      <w:r w:rsidRPr="00981405">
        <w:t>interpreted</w:t>
      </w:r>
      <w:r w:rsidR="00190923" w:rsidRPr="00981405">
        <w:t xml:space="preserve"> </w:t>
      </w:r>
      <w:r w:rsidRPr="00981405">
        <w:t>without</w:t>
      </w:r>
      <w:r w:rsidR="00190923" w:rsidRPr="00981405">
        <w:t xml:space="preserve"> </w:t>
      </w:r>
      <w:r w:rsidRPr="00981405">
        <w:t>any</w:t>
      </w:r>
      <w:r w:rsidR="00190923" w:rsidRPr="00981405">
        <w:t xml:space="preserve"> </w:t>
      </w:r>
      <w:r w:rsidRPr="00981405">
        <w:t>reference</w:t>
      </w:r>
      <w:r w:rsidR="00190923" w:rsidRPr="00981405">
        <w:t xml:space="preserve"> </w:t>
      </w:r>
      <w:r w:rsidRPr="00981405">
        <w:t>to</w:t>
      </w:r>
      <w:r w:rsidR="00190923" w:rsidRPr="00981405">
        <w:t xml:space="preserve"> </w:t>
      </w:r>
      <w:r w:rsidRPr="00981405">
        <w:t>whether</w:t>
      </w:r>
      <w:r w:rsidR="00190923" w:rsidRPr="00981405">
        <w:t xml:space="preserve"> </w:t>
      </w:r>
      <w:r w:rsidRPr="00981405">
        <w:t>it</w:t>
      </w:r>
      <w:r w:rsidR="00190923" w:rsidRPr="00981405">
        <w:t xml:space="preserve"> </w:t>
      </w:r>
      <w:r w:rsidRPr="00981405">
        <w:t>was</w:t>
      </w:r>
      <w:r w:rsidR="00190923" w:rsidRPr="00981405">
        <w:t xml:space="preserve"> </w:t>
      </w:r>
      <w:r w:rsidRPr="00981405">
        <w:t>being</w:t>
      </w:r>
      <w:r w:rsidR="00190923" w:rsidRPr="00981405">
        <w:t xml:space="preserve"> </w:t>
      </w:r>
      <w:r w:rsidRPr="00981405">
        <w:t>given</w:t>
      </w:r>
      <w:r w:rsidR="00190923" w:rsidRPr="00981405">
        <w:t xml:space="preserve"> </w:t>
      </w:r>
      <w:r w:rsidRPr="00981405">
        <w:t>a</w:t>
      </w:r>
      <w:r w:rsidR="00190923" w:rsidRPr="00981405">
        <w:t xml:space="preserve"> </w:t>
      </w:r>
      <w:r w:rsidRPr="00981405">
        <w:t>contemporaneous</w:t>
      </w:r>
      <w:r w:rsidR="00190923" w:rsidRPr="00981405">
        <w:t xml:space="preserve"> </w:t>
      </w:r>
      <w:r w:rsidRPr="00981405">
        <w:t>or</w:t>
      </w:r>
      <w:r w:rsidR="00190923" w:rsidRPr="00981405">
        <w:t xml:space="preserve"> </w:t>
      </w:r>
      <w:r w:rsidRPr="00981405">
        <w:t>a</w:t>
      </w:r>
      <w:r w:rsidR="00190923" w:rsidRPr="00981405">
        <w:t xml:space="preserve"> </w:t>
      </w:r>
      <w:r w:rsidRPr="00981405">
        <w:t>present-day</w:t>
      </w:r>
      <w:r w:rsidR="00190923" w:rsidRPr="00981405">
        <w:t xml:space="preserve"> </w:t>
      </w:r>
      <w:r w:rsidRPr="00981405">
        <w:t>meaning.</w:t>
      </w:r>
      <w:r w:rsidR="00190923" w:rsidRPr="00981405">
        <w:t xml:space="preserve"> </w:t>
      </w:r>
    </w:p>
    <w:p w:rsidR="002D20B7" w:rsidRPr="00D97463" w:rsidRDefault="002D20B7" w:rsidP="00D97463">
      <w:pPr>
        <w:pStyle w:val="SingleTxt"/>
        <w:spacing w:after="0" w:line="120" w:lineRule="exact"/>
        <w:rPr>
          <w:sz w:val="10"/>
        </w:rPr>
      </w:pPr>
    </w:p>
    <w:p w:rsidR="00397032" w:rsidRPr="00D97463" w:rsidRDefault="00397032" w:rsidP="00D97463">
      <w:pPr>
        <w:pStyle w:val="H4"/>
        <w:ind w:right="1260"/>
      </w:pPr>
      <w:bookmarkStart w:id="267" w:name="_Toc293434172"/>
      <w:bookmarkStart w:id="268" w:name="_Toc294353686"/>
      <w:r w:rsidRPr="00D97463">
        <w:tab/>
      </w:r>
      <w:bookmarkStart w:id="269" w:name="_Toc427938187"/>
      <w:r w:rsidRPr="00D97463">
        <w:t>(vi)</w:t>
      </w:r>
      <w:r w:rsidRPr="00D97463">
        <w:tab/>
        <w:t>The</w:t>
      </w:r>
      <w:r w:rsidR="00190923" w:rsidRPr="00D97463">
        <w:t xml:space="preserve"> </w:t>
      </w:r>
      <w:r w:rsidRPr="00D97463">
        <w:t>content</w:t>
      </w:r>
      <w:r w:rsidR="00190923" w:rsidRPr="00D97463">
        <w:t xml:space="preserve"> </w:t>
      </w:r>
      <w:r w:rsidRPr="00D97463">
        <w:t>of</w:t>
      </w:r>
      <w:r w:rsidR="00190923" w:rsidRPr="00D97463">
        <w:t xml:space="preserve"> </w:t>
      </w:r>
      <w:r w:rsidRPr="00D97463">
        <w:t>the</w:t>
      </w:r>
      <w:r w:rsidR="00190923" w:rsidRPr="00D97463">
        <w:t xml:space="preserve"> </w:t>
      </w:r>
      <w:r w:rsidRPr="00D97463">
        <w:t>provision</w:t>
      </w:r>
      <w:r w:rsidR="00190923" w:rsidRPr="00D97463">
        <w:t xml:space="preserve"> </w:t>
      </w:r>
      <w:r w:rsidRPr="00D97463">
        <w:t>to</w:t>
      </w:r>
      <w:r w:rsidR="00190923" w:rsidRPr="00D97463">
        <w:t xml:space="preserve"> </w:t>
      </w:r>
      <w:r w:rsidRPr="00D97463">
        <w:t>be</w:t>
      </w:r>
      <w:r w:rsidR="00190923" w:rsidRPr="00D97463">
        <w:t xml:space="preserve"> </w:t>
      </w:r>
      <w:r w:rsidRPr="00D97463">
        <w:t>changed</w:t>
      </w:r>
      <w:r w:rsidR="00190923" w:rsidRPr="00D97463">
        <w:t xml:space="preserve"> </w:t>
      </w:r>
      <w:r w:rsidRPr="00D97463">
        <w:t>by</w:t>
      </w:r>
      <w:r w:rsidR="00190923" w:rsidRPr="00D97463">
        <w:t xml:space="preserve"> </w:t>
      </w:r>
      <w:r w:rsidRPr="00D97463">
        <w:t>invoking</w:t>
      </w:r>
      <w:r w:rsidR="00190923" w:rsidRPr="00D97463">
        <w:t xml:space="preserve"> </w:t>
      </w:r>
      <w:r w:rsidRPr="00D97463">
        <w:t>by</w:t>
      </w:r>
      <w:r w:rsidR="00190923" w:rsidRPr="00D97463">
        <w:t xml:space="preserve"> </w:t>
      </w:r>
      <w:r w:rsidRPr="00D97463">
        <w:t>an</w:t>
      </w:r>
      <w:r w:rsidR="00190923" w:rsidRPr="00D97463">
        <w:t xml:space="preserve"> </w:t>
      </w:r>
      <w:r w:rsidRPr="00D97463">
        <w:t>MFN</w:t>
      </w:r>
      <w:r w:rsidR="00190923" w:rsidRPr="00D97463">
        <w:t xml:space="preserve"> </w:t>
      </w:r>
      <w:r w:rsidRPr="00D97463">
        <w:t>provision</w:t>
      </w:r>
      <w:bookmarkEnd w:id="267"/>
      <w:bookmarkEnd w:id="268"/>
      <w:bookmarkEnd w:id="269"/>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124.</w:t>
      </w:r>
      <w:r w:rsidRPr="00981405">
        <w:tab/>
        <w:t>The</w:t>
      </w:r>
      <w:r w:rsidR="00190923" w:rsidRPr="00981405">
        <w:t xml:space="preserve"> </w:t>
      </w:r>
      <w:r w:rsidRPr="00981405">
        <w:t>question</w:t>
      </w:r>
      <w:r w:rsidR="00190923" w:rsidRPr="00981405">
        <w:t xml:space="preserve"> </w:t>
      </w:r>
      <w:r w:rsidRPr="00981405">
        <w:t>arises</w:t>
      </w:r>
      <w:r w:rsidR="00190923" w:rsidRPr="00981405">
        <w:t xml:space="preserve"> </w:t>
      </w:r>
      <w:r w:rsidRPr="00981405">
        <w:t>whether</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that</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affected</w:t>
      </w:r>
      <w:r w:rsidR="00190923" w:rsidRPr="00981405">
        <w:t xml:space="preserve"> </w:t>
      </w:r>
      <w:r w:rsidRPr="00981405">
        <w:t>has</w:t>
      </w:r>
      <w:r w:rsidR="00190923" w:rsidRPr="00981405">
        <w:t xml:space="preserve"> </w:t>
      </w:r>
      <w:r w:rsidRPr="00981405">
        <w:t>had</w:t>
      </w:r>
      <w:r w:rsidR="00190923" w:rsidRPr="00981405">
        <w:t xml:space="preserve"> </w:t>
      </w:r>
      <w:r w:rsidRPr="00981405">
        <w:t>an</w:t>
      </w:r>
      <w:r w:rsidR="00190923" w:rsidRPr="00981405">
        <w:t xml:space="preserve"> </w:t>
      </w:r>
      <w:r w:rsidRPr="00981405">
        <w:t>influence</w:t>
      </w:r>
      <w:r w:rsidR="00190923" w:rsidRPr="00981405">
        <w:t xml:space="preserve"> </w:t>
      </w:r>
      <w:r w:rsidRPr="00981405">
        <w:t>on</w:t>
      </w:r>
      <w:r w:rsidR="00190923" w:rsidRPr="00981405">
        <w:t xml:space="preserve"> </w:t>
      </w:r>
      <w:r w:rsidRPr="00981405">
        <w:t>the</w:t>
      </w:r>
      <w:r w:rsidR="00190923" w:rsidRPr="00981405">
        <w:t xml:space="preserve"> </w:t>
      </w:r>
      <w:r w:rsidRPr="00981405">
        <w:t>willingness</w:t>
      </w:r>
      <w:r w:rsidR="00190923" w:rsidRPr="00981405">
        <w:t xml:space="preserve"> </w:t>
      </w:r>
      <w:r w:rsidRPr="00981405">
        <w:t>of</w:t>
      </w:r>
      <w:r w:rsidR="00190923" w:rsidRPr="00981405">
        <w:t xml:space="preserve"> </w:t>
      </w:r>
      <w:r w:rsidRPr="00981405">
        <w:t>tribunals</w:t>
      </w:r>
      <w:r w:rsidR="00190923" w:rsidRPr="00981405">
        <w:t xml:space="preserve"> </w:t>
      </w:r>
      <w:r w:rsidRPr="00981405">
        <w:t>to</w:t>
      </w:r>
      <w:r w:rsidR="00190923" w:rsidRPr="00981405">
        <w:t xml:space="preserve"> </w:t>
      </w:r>
      <w:r w:rsidRPr="00981405">
        <w:t>allow</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to</w:t>
      </w:r>
      <w:r w:rsidR="00190923" w:rsidRPr="00981405">
        <w:t xml:space="preserve"> </w:t>
      </w:r>
      <w:r w:rsidRPr="00981405">
        <w:t>be</w:t>
      </w:r>
      <w:r w:rsidR="00190923" w:rsidRPr="00981405">
        <w:t xml:space="preserve"> </w:t>
      </w:r>
      <w:r w:rsidRPr="00981405">
        <w:t>invoked.</w:t>
      </w:r>
      <w:r w:rsidR="00190923" w:rsidRPr="00981405">
        <w:t xml:space="preserve"> </w:t>
      </w:r>
      <w:r w:rsidRPr="00981405">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it</w:t>
      </w:r>
      <w:r w:rsidR="00190923" w:rsidRPr="00981405">
        <w:t xml:space="preserve"> </w:t>
      </w:r>
      <w:r w:rsidRPr="00981405">
        <w:t>is</w:t>
      </w:r>
      <w:r w:rsidR="00190923" w:rsidRPr="00981405">
        <w:t xml:space="preserve"> </w:t>
      </w:r>
      <w:r w:rsidRPr="00981405">
        <w:t>noteworthy</w:t>
      </w:r>
      <w:r w:rsidR="00190923" w:rsidRPr="00981405">
        <w:t xml:space="preserve"> </w:t>
      </w:r>
      <w:r w:rsidRPr="00981405">
        <w:t>that</w:t>
      </w:r>
      <w:r w:rsidR="00190923" w:rsidRPr="00981405">
        <w:t xml:space="preserve"> </w:t>
      </w:r>
      <w:r w:rsidRPr="00981405">
        <w:t>of</w:t>
      </w:r>
      <w:r w:rsidR="00190923" w:rsidRPr="00981405">
        <w:t xml:space="preserve"> </w:t>
      </w:r>
      <w:r w:rsidRPr="00981405">
        <w:t>the</w:t>
      </w:r>
      <w:r w:rsidR="00190923" w:rsidRPr="00981405">
        <w:t xml:space="preserve"> </w:t>
      </w:r>
      <w:r w:rsidRPr="00981405">
        <w:t>18</w:t>
      </w:r>
      <w:r w:rsidR="00190923" w:rsidRPr="00981405">
        <w:t xml:space="preserve"> </w:t>
      </w:r>
      <w:r w:rsidRPr="00981405">
        <w:t>cases</w:t>
      </w:r>
      <w:r w:rsidR="00190923" w:rsidRPr="00981405">
        <w:t xml:space="preserve"> </w:t>
      </w:r>
      <w:r w:rsidRPr="00981405">
        <w:t>so</w:t>
      </w:r>
      <w:r w:rsidR="00190923" w:rsidRPr="00981405">
        <w:t xml:space="preserve"> </w:t>
      </w:r>
      <w:r w:rsidRPr="00981405">
        <w:t>far</w:t>
      </w:r>
      <w:r w:rsidR="00190923" w:rsidRPr="00981405">
        <w:t xml:space="preserve"> </w:t>
      </w:r>
      <w:r w:rsidRPr="00981405">
        <w:t>where</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has</w:t>
      </w:r>
      <w:r w:rsidR="00190923" w:rsidRPr="00981405">
        <w:t xml:space="preserve"> </w:t>
      </w:r>
      <w:r w:rsidRPr="00981405">
        <w:t>been</w:t>
      </w:r>
      <w:r w:rsidR="00190923" w:rsidRPr="00981405">
        <w:t xml:space="preserve"> </w:t>
      </w:r>
      <w:r w:rsidRPr="00981405">
        <w:t>invoked</w:t>
      </w:r>
      <w:r w:rsidR="00190923" w:rsidRPr="00981405">
        <w:t xml:space="preserve"> </w:t>
      </w:r>
      <w:r w:rsidRPr="00981405">
        <w:t>successfully,</w:t>
      </w:r>
      <w:r w:rsidR="00190923" w:rsidRPr="00981405">
        <w:t xml:space="preserve"> </w:t>
      </w:r>
      <w:r w:rsidRPr="00981405">
        <w:t>12</w:t>
      </w:r>
      <w:r w:rsidR="00190923" w:rsidRPr="00981405">
        <w:t xml:space="preserve"> </w:t>
      </w:r>
      <w:r w:rsidRPr="00981405">
        <w:t>have</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same</w:t>
      </w:r>
      <w:r w:rsidR="00190923" w:rsidRPr="00981405">
        <w:t xml:space="preserve"> </w:t>
      </w:r>
      <w:r w:rsidRPr="00981405">
        <w:t>provision,</w:t>
      </w:r>
      <w:r w:rsidR="00190923" w:rsidRPr="00981405">
        <w:t xml:space="preserve"> </w:t>
      </w:r>
      <w:r w:rsidRPr="00981405">
        <w:t>an</w:t>
      </w:r>
      <w:r w:rsidR="00190923" w:rsidRPr="00981405">
        <w:t xml:space="preserve"> </w:t>
      </w:r>
      <w:r w:rsidRPr="00981405">
        <w:t>obligation</w:t>
      </w:r>
      <w:r w:rsidR="00190923" w:rsidRPr="00981405">
        <w:t xml:space="preserve"> </w:t>
      </w:r>
      <w:r w:rsidRPr="00981405">
        <w:t>to</w:t>
      </w:r>
      <w:r w:rsidR="00190923" w:rsidRPr="00981405">
        <w:t xml:space="preserve"> </w:t>
      </w:r>
      <w:r w:rsidRPr="00981405">
        <w:t>submit</w:t>
      </w:r>
      <w:r w:rsidR="00190923" w:rsidRPr="00981405">
        <w:t xml:space="preserve"> </w:t>
      </w:r>
      <w:r w:rsidRPr="00981405">
        <w:t>a</w:t>
      </w:r>
      <w:r w:rsidR="00190923" w:rsidRPr="00981405">
        <w:t xml:space="preserve"> </w:t>
      </w:r>
      <w:r w:rsidRPr="00981405">
        <w:t>claim</w:t>
      </w:r>
      <w:r w:rsidR="00190923" w:rsidRPr="00981405">
        <w:t xml:space="preserve"> </w:t>
      </w:r>
      <w:r w:rsidRPr="00981405">
        <w:t>to</w:t>
      </w:r>
      <w:r w:rsidR="00190923" w:rsidRPr="00981405">
        <w:t xml:space="preserve"> </w:t>
      </w:r>
      <w:r w:rsidRPr="00981405">
        <w:t>the</w:t>
      </w:r>
      <w:r w:rsidR="00190923" w:rsidRPr="00981405">
        <w:t xml:space="preserve"> </w:t>
      </w:r>
      <w:r w:rsidRPr="00981405">
        <w:t>domestic</w:t>
      </w:r>
      <w:r w:rsidR="00190923" w:rsidRPr="00981405">
        <w:t xml:space="preserve"> </w:t>
      </w:r>
      <w:r w:rsidRPr="00981405">
        <w:t>courts</w:t>
      </w:r>
      <w:r w:rsidR="00190923" w:rsidRPr="00981405">
        <w:t xml:space="preserve"> </w:t>
      </w:r>
      <w:r w:rsidRPr="00981405">
        <w:t>and</w:t>
      </w:r>
      <w:r w:rsidR="00190923" w:rsidRPr="00981405">
        <w:t xml:space="preserve"> </w:t>
      </w:r>
      <w:r w:rsidRPr="00981405">
        <w:t>to</w:t>
      </w:r>
      <w:r w:rsidR="00190923" w:rsidRPr="00981405">
        <w:t xml:space="preserve"> </w:t>
      </w:r>
      <w:r w:rsidRPr="00981405">
        <w:t>litigate</w:t>
      </w:r>
      <w:r w:rsidR="00190923" w:rsidRPr="00981405">
        <w:t xml:space="preserve"> </w:t>
      </w:r>
      <w:r w:rsidRPr="00981405">
        <w:t>for</w:t>
      </w:r>
      <w:r w:rsidR="00190923" w:rsidRPr="00981405">
        <w:t xml:space="preserve"> </w:t>
      </w:r>
      <w:r w:rsidRPr="00981405">
        <w:t>18</w:t>
      </w:r>
      <w:r w:rsidR="00190923" w:rsidRPr="00981405">
        <w:t xml:space="preserve"> </w:t>
      </w:r>
      <w:r w:rsidRPr="00981405">
        <w:t>months</w:t>
      </w:r>
      <w:r w:rsidR="00190923" w:rsidRPr="00981405">
        <w:t xml:space="preserve"> </w:t>
      </w:r>
      <w:r w:rsidRPr="00981405">
        <w:t>before</w:t>
      </w:r>
      <w:r w:rsidR="00190923" w:rsidRPr="00981405">
        <w:t xml:space="preserve"> </w:t>
      </w:r>
      <w:r w:rsidRPr="00981405">
        <w:t>invoking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under</w:t>
      </w:r>
      <w:r w:rsidR="00190923" w:rsidRPr="00981405">
        <w:t xml:space="preserve"> </w:t>
      </w:r>
      <w:r w:rsidRPr="00981405">
        <w:t>the</w:t>
      </w:r>
      <w:r w:rsidR="00190923" w:rsidRPr="00981405">
        <w:t xml:space="preserve"> </w:t>
      </w:r>
      <w:r w:rsidRPr="00981405">
        <w:t>BIT.</w:t>
      </w:r>
      <w:r w:rsidR="00190923" w:rsidRPr="00981405">
        <w:t xml:space="preserve"> </w:t>
      </w:r>
      <w:r w:rsidRPr="00981405">
        <w:t>In</w:t>
      </w:r>
      <w:r w:rsidR="00190923" w:rsidRPr="00981405">
        <w:t xml:space="preserve"> </w:t>
      </w:r>
      <w:r w:rsidRPr="00981405">
        <w:t>each</w:t>
      </w:r>
      <w:r w:rsidR="00190923" w:rsidRPr="00981405">
        <w:t xml:space="preserve"> </w:t>
      </w:r>
      <w:r w:rsidRPr="00981405">
        <w:t>case,</w:t>
      </w:r>
      <w:r w:rsidR="00190923" w:rsidRPr="00981405">
        <w:t xml:space="preserve"> </w:t>
      </w:r>
      <w:r w:rsidRPr="00981405">
        <w:t>the</w:t>
      </w:r>
      <w:r w:rsidR="00190923" w:rsidRPr="00981405">
        <w:t xml:space="preserve"> </w:t>
      </w:r>
      <w:r w:rsidRPr="00981405">
        <w:t>effect</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was</w:t>
      </w:r>
      <w:r w:rsidR="00190923" w:rsidRPr="00981405">
        <w:t xml:space="preserve"> </w:t>
      </w:r>
      <w:r w:rsidRPr="00981405">
        <w:t>to</w:t>
      </w:r>
      <w:r w:rsidR="00190923" w:rsidRPr="00981405">
        <w:t xml:space="preserve"> </w:t>
      </w:r>
      <w:r w:rsidRPr="00981405">
        <w:t>relieve</w:t>
      </w:r>
      <w:r w:rsidR="00190923" w:rsidRPr="00981405">
        <w:t xml:space="preserve"> </w:t>
      </w:r>
      <w:r w:rsidRPr="00981405">
        <w:t>the</w:t>
      </w:r>
      <w:r w:rsidR="00190923" w:rsidRPr="00981405">
        <w:t xml:space="preserve"> </w:t>
      </w:r>
      <w:r w:rsidRPr="00981405">
        <w:t>claimant</w:t>
      </w:r>
      <w:r w:rsidR="00190923" w:rsidRPr="00981405">
        <w:t xml:space="preserve"> </w:t>
      </w:r>
      <w:r w:rsidRPr="00981405">
        <w:t>from</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litigate</w:t>
      </w:r>
      <w:r w:rsidR="00190923" w:rsidRPr="00981405">
        <w:t xml:space="preserve"> </w:t>
      </w:r>
      <w:r w:rsidRPr="00981405">
        <w:t>domestically</w:t>
      </w:r>
      <w:r w:rsidR="00190923" w:rsidRPr="00981405">
        <w:t xml:space="preserve"> </w:t>
      </w:r>
      <w:r w:rsidRPr="00981405">
        <w:t>for</w:t>
      </w:r>
      <w:r w:rsidR="00190923" w:rsidRPr="00981405">
        <w:t xml:space="preserve"> </w:t>
      </w:r>
      <w:r w:rsidRPr="00981405">
        <w:t>that</w:t>
      </w:r>
      <w:r w:rsidR="00190923" w:rsidRPr="00981405">
        <w:t xml:space="preserve"> </w:t>
      </w:r>
      <w:r w:rsidRPr="00981405">
        <w:t>18-month</w:t>
      </w:r>
      <w:r w:rsidR="00190923" w:rsidRPr="00981405">
        <w:t xml:space="preserve"> </w:t>
      </w:r>
      <w:r w:rsidRPr="00981405">
        <w:t>period.</w:t>
      </w:r>
      <w:r w:rsidR="00190923" w:rsidRPr="00981405">
        <w:t xml:space="preserve"> </w:t>
      </w:r>
      <w:r w:rsidRPr="00981405">
        <w:t>These</w:t>
      </w:r>
      <w:r w:rsidR="00190923" w:rsidRPr="00981405">
        <w:t xml:space="preserve"> </w:t>
      </w:r>
      <w:r w:rsidRPr="00981405">
        <w:t>cases</w:t>
      </w:r>
      <w:r w:rsidR="00190923" w:rsidRPr="00981405">
        <w:t xml:space="preserve"> </w:t>
      </w:r>
      <w:r w:rsidRPr="00981405">
        <w:t>involved</w:t>
      </w:r>
      <w:r w:rsidR="00190923" w:rsidRPr="00981405">
        <w:t xml:space="preserve"> </w:t>
      </w:r>
      <w:r w:rsidRPr="00981405">
        <w:t>BITs</w:t>
      </w:r>
      <w:r w:rsidR="00190923" w:rsidRPr="00981405">
        <w:t xml:space="preserve"> </w:t>
      </w:r>
      <w:r w:rsidRPr="00981405">
        <w:t>entered</w:t>
      </w:r>
      <w:r w:rsidR="00190923" w:rsidRPr="00981405">
        <w:t xml:space="preserve"> </w:t>
      </w:r>
      <w:r w:rsidRPr="00981405">
        <w:t>into</w:t>
      </w:r>
      <w:r w:rsidR="00190923" w:rsidRPr="00981405">
        <w:t xml:space="preserve"> </w:t>
      </w:r>
      <w:r w:rsidRPr="00981405">
        <w:t>by</w:t>
      </w:r>
      <w:r w:rsidR="00190923" w:rsidRPr="00981405">
        <w:t xml:space="preserve"> </w:t>
      </w:r>
      <w:r w:rsidRPr="00981405">
        <w:t>Argentina</w:t>
      </w:r>
      <w:r w:rsidR="00190923" w:rsidRPr="00981405">
        <w:t xml:space="preserve"> </w:t>
      </w:r>
      <w:r w:rsidRPr="00981405">
        <w:t>with</w:t>
      </w:r>
      <w:r w:rsidR="00190923" w:rsidRPr="00981405">
        <w:t xml:space="preserve"> </w:t>
      </w:r>
      <w:r w:rsidRPr="00981405">
        <w:t>Germany,</w:t>
      </w:r>
      <w:r w:rsidR="00190923" w:rsidRPr="00981405">
        <w:t xml:space="preserve"> </w:t>
      </w:r>
      <w:r w:rsidRPr="00981405">
        <w:t>Spain,</w:t>
      </w:r>
      <w:r w:rsidR="00190923" w:rsidRPr="00981405">
        <w:t xml:space="preserve"> </w:t>
      </w:r>
      <w:r w:rsidRPr="00981405">
        <w:t>and</w:t>
      </w:r>
      <w:r w:rsidR="00190923" w:rsidRPr="00981405">
        <w:t xml:space="preserve"> </w:t>
      </w:r>
      <w:r w:rsidRPr="00981405">
        <w:t>the</w:t>
      </w:r>
      <w:r w:rsidR="00190923" w:rsidRPr="00981405">
        <w:t xml:space="preserve"> </w:t>
      </w:r>
      <w:r w:rsidRPr="00981405">
        <w:t>United</w:t>
      </w:r>
      <w:r w:rsidR="00190923" w:rsidRPr="00981405">
        <w:t xml:space="preserve"> </w:t>
      </w:r>
      <w:r w:rsidRPr="00981405">
        <w:t>Kingdom.</w:t>
      </w:r>
      <w:r w:rsidR="00190923" w:rsidRPr="00981405">
        <w:t xml:space="preserve"> </w:t>
      </w:r>
      <w:r w:rsidRPr="00981405">
        <w:t>Although</w:t>
      </w:r>
      <w:r w:rsidR="00190923" w:rsidRPr="00981405">
        <w:t xml:space="preserve"> </w:t>
      </w:r>
      <w:r w:rsidRPr="00981405">
        <w:t>the</w:t>
      </w:r>
      <w:r w:rsidR="00190923" w:rsidRPr="00981405">
        <w:t xml:space="preserve"> </w:t>
      </w:r>
      <w:r w:rsidRPr="00981405">
        <w:t>substantive</w:t>
      </w:r>
      <w:r w:rsidR="00190923" w:rsidRPr="00981405">
        <w:t xml:space="preserve"> </w:t>
      </w:r>
      <w:r w:rsidRPr="00981405">
        <w:t>effect</w:t>
      </w:r>
      <w:r w:rsidR="00190923" w:rsidRPr="00981405">
        <w:t xml:space="preserve"> </w:t>
      </w:r>
      <w:r w:rsidRPr="00981405">
        <w:t>of</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was</w:t>
      </w:r>
      <w:r w:rsidR="00190923" w:rsidRPr="00981405">
        <w:t xml:space="preserve"> </w:t>
      </w:r>
      <w:r w:rsidRPr="00981405">
        <w:t>the</w:t>
      </w:r>
      <w:r w:rsidR="00190923" w:rsidRPr="00981405">
        <w:t xml:space="preserve"> </w:t>
      </w:r>
      <w:r w:rsidRPr="00981405">
        <w:t>same,</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invoked</w:t>
      </w:r>
      <w:r w:rsidR="00190923" w:rsidRPr="00981405">
        <w:t xml:space="preserve"> </w:t>
      </w:r>
      <w:r w:rsidRPr="00981405">
        <w:t>were</w:t>
      </w:r>
      <w:r w:rsidR="00190923" w:rsidRPr="00981405">
        <w:t xml:space="preserve"> </w:t>
      </w:r>
      <w:r w:rsidRPr="00981405">
        <w:t>not</w:t>
      </w:r>
      <w:r w:rsidR="00190923" w:rsidRPr="00981405">
        <w:t xml:space="preserve"> </w:t>
      </w:r>
      <w:r w:rsidRPr="00981405">
        <w:t>worded</w:t>
      </w:r>
      <w:r w:rsidR="00190923" w:rsidRPr="00981405">
        <w:t xml:space="preserve"> </w:t>
      </w:r>
      <w:r w:rsidRPr="00981405">
        <w:t>in</w:t>
      </w:r>
      <w:r w:rsidR="00190923" w:rsidRPr="00981405">
        <w:t xml:space="preserve"> </w:t>
      </w:r>
      <w:r w:rsidRPr="00981405">
        <w:t>the</w:t>
      </w:r>
      <w:r w:rsidR="00190923" w:rsidRPr="00981405">
        <w:t xml:space="preserve"> </w:t>
      </w:r>
      <w:r w:rsidRPr="00981405">
        <w:t>same</w:t>
      </w:r>
      <w:r w:rsidR="00190923" w:rsidRPr="00981405">
        <w:t xml:space="preserve"> </w:t>
      </w:r>
      <w:r w:rsidRPr="00981405">
        <w:t>way.</w:t>
      </w:r>
    </w:p>
    <w:p w:rsidR="00397032" w:rsidRPr="00981405" w:rsidRDefault="00397032" w:rsidP="00D97463">
      <w:pPr>
        <w:pStyle w:val="SingleTxt"/>
      </w:pPr>
      <w:r w:rsidRPr="00981405">
        <w:t>125.</w:t>
      </w:r>
      <w:r w:rsidRPr="00981405">
        <w:tab/>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might</w:t>
      </w:r>
      <w:r w:rsidR="00190923" w:rsidRPr="00981405">
        <w:t xml:space="preserve"> </w:t>
      </w:r>
      <w:r w:rsidRPr="00981405">
        <w:t>have</w:t>
      </w:r>
      <w:r w:rsidR="00190923" w:rsidRPr="00981405">
        <w:t xml:space="preserve"> </w:t>
      </w:r>
      <w:r w:rsidRPr="00981405">
        <w:t>influenced</w:t>
      </w:r>
      <w:r w:rsidR="00190923" w:rsidRPr="00981405">
        <w:t xml:space="preserve"> </w:t>
      </w:r>
      <w:r w:rsidRPr="00981405">
        <w:t>the</w:t>
      </w:r>
      <w:r w:rsidR="00190923" w:rsidRPr="00981405">
        <w:t xml:space="preserve"> </w:t>
      </w:r>
      <w:r w:rsidRPr="00981405">
        <w:t>outcome</w:t>
      </w:r>
      <w:r w:rsidR="00190923" w:rsidRPr="00981405">
        <w:t xml:space="preserve"> </w:t>
      </w:r>
      <w:r w:rsidRPr="00981405">
        <w:t>was</w:t>
      </w:r>
      <w:r w:rsidR="00190923" w:rsidRPr="00981405">
        <w:t xml:space="preserve"> </w:t>
      </w:r>
      <w:r w:rsidRPr="00981405">
        <w:t>hinted</w:t>
      </w:r>
      <w:r w:rsidR="00190923" w:rsidRPr="00981405">
        <w:t xml:space="preserve"> </w:t>
      </w:r>
      <w:r w:rsidRPr="00981405">
        <w:t>at</w:t>
      </w:r>
      <w:r w:rsidR="00190923" w:rsidRPr="00981405">
        <w:t xml:space="preserve"> </w:t>
      </w:r>
      <w:r w:rsidRPr="00981405">
        <w:t>in</w:t>
      </w:r>
      <w:r w:rsidR="00190923" w:rsidRPr="00981405">
        <w:t xml:space="preserve"> </w:t>
      </w:r>
      <w:r w:rsidRPr="00D97463">
        <w:rPr>
          <w:i/>
          <w:iCs/>
        </w:rPr>
        <w:t>Plama</w:t>
      </w:r>
      <w:r w:rsidRPr="00981405">
        <w:t>,</w:t>
      </w:r>
      <w:r w:rsidR="00190923" w:rsidRPr="00981405">
        <w:t xml:space="preserve"> </w:t>
      </w:r>
      <w:r w:rsidRPr="00981405">
        <w:t>where</w:t>
      </w:r>
      <w:r w:rsidR="00190923" w:rsidRPr="00981405">
        <w:t xml:space="preserve"> </w:t>
      </w:r>
      <w:r w:rsidRPr="00981405">
        <w:t>the</w:t>
      </w:r>
      <w:r w:rsidR="00190923" w:rsidRPr="00981405">
        <w:t xml:space="preserve"> </w:t>
      </w:r>
      <w:r w:rsidRPr="00981405">
        <w:t>tribunal</w:t>
      </w:r>
      <w:r w:rsidR="00190923" w:rsidRPr="00981405">
        <w:t xml:space="preserve"> </w:t>
      </w:r>
      <w:r w:rsidRPr="00981405">
        <w:t>(not</w:t>
      </w:r>
      <w:r w:rsidR="00190923" w:rsidRPr="00981405">
        <w:t xml:space="preserve"> </w:t>
      </w:r>
      <w:r w:rsidRPr="00981405">
        <w:t>dealing</w:t>
      </w:r>
      <w:r w:rsidR="00190923" w:rsidRPr="00981405">
        <w:t xml:space="preserve"> </w:t>
      </w:r>
      <w:r w:rsidRPr="00981405">
        <w:t>with</w:t>
      </w:r>
      <w:r w:rsidR="00190923" w:rsidRPr="00981405">
        <w:t xml:space="preserve"> </w:t>
      </w:r>
      <w:r w:rsidRPr="00981405">
        <w:t>an</w:t>
      </w:r>
      <w:r w:rsidR="00190923" w:rsidRPr="00981405">
        <w:t xml:space="preserve"> </w:t>
      </w:r>
      <w:r w:rsidRPr="00981405">
        <w:t>18-month</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said</w:t>
      </w:r>
      <w:r w:rsidR="00190923" w:rsidRPr="00981405">
        <w:t xml:space="preserve"> </w:t>
      </w:r>
      <w:r w:rsidRPr="00981405">
        <w:t>that</w:t>
      </w:r>
      <w:r w:rsidR="00190923" w:rsidRPr="00981405">
        <w:t xml:space="preserve"> </w:t>
      </w:r>
      <w:r w:rsidRPr="00981405">
        <w:t>the</w:t>
      </w:r>
      <w:r w:rsidR="00190923" w:rsidRPr="00981405">
        <w:t xml:space="preserve"> </w:t>
      </w:r>
      <w:r w:rsidRPr="00981405">
        <w:t>decision</w:t>
      </w:r>
      <w:r w:rsidR="00190923" w:rsidRPr="00981405">
        <w:t xml:space="preserve"> </w:t>
      </w:r>
      <w:r w:rsidRPr="00981405">
        <w:t>in</w:t>
      </w:r>
      <w:r w:rsidR="00190923" w:rsidRPr="00981405">
        <w:t xml:space="preserve"> </w:t>
      </w:r>
      <w:r w:rsidRPr="00D97463">
        <w:rPr>
          <w:i/>
          <w:iCs/>
        </w:rPr>
        <w:t>Maffezini</w:t>
      </w:r>
      <w:r w:rsidR="00190923" w:rsidRPr="00981405">
        <w:t xml:space="preserve"> </w:t>
      </w:r>
      <w:r w:rsidRPr="00981405">
        <w:t>was</w:t>
      </w:r>
      <w:r w:rsidR="00190923" w:rsidRPr="00981405">
        <w:t xml:space="preserve"> </w:t>
      </w:r>
      <w:r w:rsidR="00B92E2C" w:rsidRPr="00981405">
        <w:lastRenderedPageBreak/>
        <w:t>“</w:t>
      </w:r>
      <w:r w:rsidRPr="00981405">
        <w:t>understandable</w:t>
      </w:r>
      <w:r w:rsidR="00B92E2C" w:rsidRPr="00981405">
        <w:t>”</w:t>
      </w:r>
      <w:r w:rsidR="00190923" w:rsidRPr="00981405">
        <w:t xml:space="preserve"> </w:t>
      </w:r>
      <w:r w:rsidRPr="00981405">
        <w:t>since</w:t>
      </w:r>
      <w:r w:rsidR="00190923" w:rsidRPr="00981405">
        <w:t xml:space="preserve"> </w:t>
      </w:r>
      <w:r w:rsidRPr="00981405">
        <w:t>it</w:t>
      </w:r>
      <w:r w:rsidR="00190923" w:rsidRPr="00981405">
        <w:t xml:space="preserve"> </w:t>
      </w:r>
      <w:r w:rsidRPr="00981405">
        <w:t>was</w:t>
      </w:r>
      <w:r w:rsidR="00190923" w:rsidRPr="00981405">
        <w:t xml:space="preserve"> </w:t>
      </w:r>
      <w:r w:rsidRPr="00981405">
        <w:t>attempting</w:t>
      </w:r>
      <w:r w:rsidR="00190923" w:rsidRPr="00981405">
        <w:t xml:space="preserve"> </w:t>
      </w:r>
      <w:r w:rsidRPr="00981405">
        <w:t>to</w:t>
      </w:r>
      <w:r w:rsidR="00190923" w:rsidRPr="00981405">
        <w:t xml:space="preserve"> </w:t>
      </w:r>
      <w:r w:rsidRPr="00981405">
        <w:t>neutralize</w:t>
      </w:r>
      <w:r w:rsidR="00190923" w:rsidRPr="00981405">
        <w:t xml:space="preserve"> </w:t>
      </w:r>
      <w:r w:rsidRPr="00981405">
        <w:t>a</w:t>
      </w:r>
      <w:r w:rsidR="00190923" w:rsidRPr="00981405">
        <w:t xml:space="preserve"> </w:t>
      </w:r>
      <w:r w:rsidRPr="00981405">
        <w:t>provision</w:t>
      </w:r>
      <w:r w:rsidR="00190923" w:rsidRPr="00981405">
        <w:t xml:space="preserve"> </w:t>
      </w:r>
      <w:r w:rsidRPr="00981405">
        <w:t>that</w:t>
      </w:r>
      <w:r w:rsidR="00190923" w:rsidRPr="00981405">
        <w:t xml:space="preserve"> </w:t>
      </w:r>
      <w:r w:rsidRPr="00981405">
        <w:t>was</w:t>
      </w:r>
      <w:r w:rsidR="00190923" w:rsidRPr="00981405">
        <w:t xml:space="preserve"> </w:t>
      </w:r>
      <w:r w:rsidR="00B92E2C" w:rsidRPr="00981405">
        <w:t>“</w:t>
      </w:r>
      <w:r w:rsidRPr="00981405">
        <w:t>nonsensical</w:t>
      </w:r>
      <w:r w:rsidR="00190923" w:rsidRPr="00981405">
        <w:t xml:space="preserve"> </w:t>
      </w:r>
      <w:r w:rsidRPr="00981405">
        <w:t>from</w:t>
      </w:r>
      <w:r w:rsidR="00190923" w:rsidRPr="00981405">
        <w:t xml:space="preserve"> </w:t>
      </w:r>
      <w:r w:rsidRPr="00981405">
        <w:t>a</w:t>
      </w:r>
      <w:r w:rsidR="00190923" w:rsidRPr="00981405">
        <w:t xml:space="preserve"> </w:t>
      </w:r>
      <w:r w:rsidRPr="00981405">
        <w:t>practical</w:t>
      </w:r>
      <w:r w:rsidR="00190923" w:rsidRPr="00981405">
        <w:t xml:space="preserve"> </w:t>
      </w:r>
      <w:r w:rsidRPr="00981405">
        <w:t>point</w:t>
      </w:r>
      <w:r w:rsidR="00190923" w:rsidRPr="00981405">
        <w:t xml:space="preserve"> </w:t>
      </w:r>
      <w:r w:rsidRPr="00981405">
        <w:t>of</w:t>
      </w:r>
      <w:r w:rsidR="00190923" w:rsidRPr="00981405">
        <w:t xml:space="preserve"> </w:t>
      </w:r>
      <w:r w:rsidRPr="00981405">
        <w:t>view.</w:t>
      </w:r>
      <w:r w:rsidR="00B92E2C" w:rsidRPr="00981405">
        <w:t>”</w:t>
      </w:r>
      <w:r w:rsidRPr="00981405">
        <w:rPr>
          <w:rStyle w:val="FootnoteReference"/>
        </w:rPr>
        <w:footnoteReference w:id="549"/>
      </w:r>
      <w:r w:rsidR="00190923" w:rsidRPr="00981405">
        <w:t xml:space="preserve"> </w:t>
      </w:r>
    </w:p>
    <w:p w:rsidR="00397032" w:rsidRPr="00981405" w:rsidRDefault="00397032" w:rsidP="00D97463">
      <w:pPr>
        <w:pStyle w:val="SingleTxt"/>
      </w:pPr>
      <w:r w:rsidRPr="00981405">
        <w:t>126.</w:t>
      </w:r>
      <w:r w:rsidRPr="00981405">
        <w:tab/>
        <w:t>In</w:t>
      </w:r>
      <w:r w:rsidR="00190923" w:rsidRPr="00981405">
        <w:t xml:space="preserve"> </w:t>
      </w:r>
      <w:r w:rsidRPr="00D97463">
        <w:rPr>
          <w:i/>
          <w:iCs/>
        </w:rPr>
        <w:t>Abaclat</w:t>
      </w:r>
      <w:r w:rsidR="00190923" w:rsidRPr="00D97463">
        <w:rPr>
          <w:i/>
          <w:iCs/>
        </w:rPr>
        <w:t xml:space="preserve"> </w:t>
      </w:r>
      <w:r w:rsidRPr="00D97463">
        <w:rPr>
          <w:i/>
          <w:iCs/>
        </w:rPr>
        <w:t>v.</w:t>
      </w:r>
      <w:r w:rsidR="00190923" w:rsidRPr="00D97463">
        <w:rPr>
          <w:i/>
          <w:iCs/>
        </w:rPr>
        <w:t xml:space="preserve"> </w:t>
      </w:r>
      <w:r w:rsidRPr="00D97463">
        <w:rPr>
          <w:i/>
          <w:iCs/>
        </w:rPr>
        <w:t>Argentina</w:t>
      </w:r>
      <w:r w:rsidRPr="00981405">
        <w:t>,</w:t>
      </w:r>
      <w:r w:rsidRPr="00981405">
        <w:rPr>
          <w:rStyle w:val="FootnoteReference"/>
        </w:rPr>
        <w:footnoteReference w:id="550"/>
      </w:r>
      <w:r w:rsidR="00190923" w:rsidRPr="00981405">
        <w:t xml:space="preserve"> </w:t>
      </w:r>
      <w:r w:rsidRPr="00981405">
        <w:t>the</w:t>
      </w:r>
      <w:r w:rsidR="00190923" w:rsidRPr="00981405">
        <w:t xml:space="preserve"> </w:t>
      </w:r>
      <w:r w:rsidRPr="00981405">
        <w:t>tribunal</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delaying</w:t>
      </w:r>
      <w:r w:rsidR="00190923" w:rsidRPr="00981405">
        <w:t xml:space="preserve"> </w:t>
      </w:r>
      <w:r w:rsidRPr="00981405">
        <w:t>the</w:t>
      </w:r>
      <w:r w:rsidR="00190923" w:rsidRPr="00981405">
        <w:t xml:space="preserve"> </w:t>
      </w:r>
      <w:r w:rsidRPr="00981405">
        <w:t>right</w:t>
      </w:r>
      <w:r w:rsidR="00190923" w:rsidRPr="00981405">
        <w:t xml:space="preserve"> </w:t>
      </w:r>
      <w:r w:rsidRPr="00981405">
        <w:t>of</w:t>
      </w:r>
      <w:r w:rsidR="00190923" w:rsidRPr="00981405">
        <w:t xml:space="preserve"> </w:t>
      </w:r>
      <w:r w:rsidRPr="00981405">
        <w:t>an</w:t>
      </w:r>
      <w:r w:rsidR="00190923" w:rsidRPr="00981405">
        <w:t xml:space="preserve"> </w:t>
      </w:r>
      <w:r w:rsidRPr="00981405">
        <w:t>investor</w:t>
      </w:r>
      <w:r w:rsidR="00190923" w:rsidRPr="00981405">
        <w:t xml:space="preserve"> </w:t>
      </w:r>
      <w:r w:rsidRPr="00981405">
        <w:t>to</w:t>
      </w:r>
      <w:r w:rsidR="00190923" w:rsidRPr="00981405">
        <w:t xml:space="preserve"> </w:t>
      </w:r>
      <w:r w:rsidRPr="00981405">
        <w:t>bring</w:t>
      </w:r>
      <w:r w:rsidR="00190923" w:rsidRPr="00981405">
        <w:t xml:space="preserve"> </w:t>
      </w:r>
      <w:r w:rsidRPr="00981405">
        <w:t>a</w:t>
      </w:r>
      <w:r w:rsidR="00190923" w:rsidRPr="00981405">
        <w:t xml:space="preserve"> </w:t>
      </w:r>
      <w:r w:rsidRPr="00981405">
        <w:t>claim</w:t>
      </w:r>
      <w:r w:rsidR="00190923" w:rsidRPr="00981405">
        <w:t xml:space="preserve"> </w:t>
      </w:r>
      <w:r w:rsidRPr="00981405">
        <w:t>for</w:t>
      </w:r>
      <w:r w:rsidR="00190923" w:rsidRPr="00981405">
        <w:t xml:space="preserve"> </w:t>
      </w:r>
      <w:r w:rsidRPr="00981405">
        <w:t>18</w:t>
      </w:r>
      <w:r w:rsidR="00190923" w:rsidRPr="00981405">
        <w:t xml:space="preserve"> </w:t>
      </w:r>
      <w:r w:rsidRPr="00981405">
        <w:t>months</w:t>
      </w:r>
      <w:r w:rsidR="00190923" w:rsidRPr="00981405">
        <w:t xml:space="preserve"> </w:t>
      </w:r>
      <w:r w:rsidRPr="00981405">
        <w:t>was</w:t>
      </w:r>
      <w:r w:rsidR="00190923" w:rsidRPr="00981405">
        <w:t xml:space="preserve"> </w:t>
      </w:r>
      <w:r w:rsidRPr="00981405">
        <w:t>inconsistent</w:t>
      </w:r>
      <w:r w:rsidR="00190923" w:rsidRPr="00981405">
        <w:t xml:space="preserve"> </w:t>
      </w:r>
      <w:r w:rsidRPr="00981405">
        <w:t>with</w:t>
      </w:r>
      <w:r w:rsidR="00190923" w:rsidRPr="00981405">
        <w:t xml:space="preserve"> </w:t>
      </w:r>
      <w:r w:rsidRPr="00981405">
        <w:t>the</w:t>
      </w:r>
      <w:r w:rsidR="00190923" w:rsidRPr="00981405">
        <w:t xml:space="preserve"> </w:t>
      </w:r>
      <w:r w:rsidRPr="00981405">
        <w:t>express</w:t>
      </w:r>
      <w:r w:rsidR="00190923" w:rsidRPr="00981405">
        <w:t xml:space="preserve"> </w:t>
      </w:r>
      <w:r w:rsidRPr="00981405">
        <w:t>objective</w:t>
      </w:r>
      <w:r w:rsidR="00190923" w:rsidRPr="00981405">
        <w:t xml:space="preserve"> </w:t>
      </w:r>
      <w:r w:rsidRPr="00981405">
        <w:t>of</w:t>
      </w:r>
      <w:r w:rsidR="00190923" w:rsidRPr="00981405">
        <w:t xml:space="preserve"> </w:t>
      </w:r>
      <w:r w:rsidRPr="00981405">
        <w:t>the</w:t>
      </w:r>
      <w:r w:rsidR="00190923" w:rsidRPr="00981405">
        <w:t xml:space="preserve"> </w:t>
      </w:r>
      <w:r w:rsidRPr="00981405">
        <w:t>BIT</w:t>
      </w:r>
      <w:r w:rsidR="00190923" w:rsidRPr="00981405">
        <w:t xml:space="preserve"> </w:t>
      </w:r>
      <w:r w:rsidRPr="00981405">
        <w:t>of</w:t>
      </w:r>
      <w:r w:rsidR="00190923" w:rsidRPr="00981405">
        <w:t xml:space="preserve"> </w:t>
      </w:r>
      <w:r w:rsidRPr="00981405">
        <w:t>providing</w:t>
      </w:r>
      <w:r w:rsidR="00190923" w:rsidRPr="00981405">
        <w:t xml:space="preserve"> </w:t>
      </w:r>
      <w:r w:rsidRPr="00981405">
        <w:t>expeditious</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and</w:t>
      </w:r>
      <w:r w:rsidR="00190923" w:rsidRPr="00981405">
        <w:t xml:space="preserve"> </w:t>
      </w:r>
      <w:r w:rsidRPr="00981405">
        <w:t>therefore</w:t>
      </w:r>
      <w:r w:rsidR="00190923" w:rsidRPr="00981405">
        <w:t xml:space="preserve"> </w:t>
      </w:r>
      <w:r w:rsidRPr="00981405">
        <w:t>could</w:t>
      </w:r>
      <w:r w:rsidR="00190923" w:rsidRPr="00981405">
        <w:t xml:space="preserve"> </w:t>
      </w:r>
      <w:r w:rsidRPr="00981405">
        <w:t>be</w:t>
      </w:r>
      <w:r w:rsidR="00190923" w:rsidRPr="00981405">
        <w:t xml:space="preserve"> </w:t>
      </w:r>
      <w:r w:rsidRPr="00981405">
        <w:t>ignored</w:t>
      </w:r>
      <w:r w:rsidR="00190923" w:rsidRPr="00981405">
        <w:t xml:space="preserve"> </w:t>
      </w:r>
      <w:r w:rsidRPr="00981405">
        <w:t>by</w:t>
      </w:r>
      <w:r w:rsidR="00190923" w:rsidRPr="00981405">
        <w:t xml:space="preserve"> </w:t>
      </w:r>
      <w:r w:rsidRPr="00981405">
        <w:t>the</w:t>
      </w:r>
      <w:r w:rsidR="00190923" w:rsidRPr="00981405">
        <w:t xml:space="preserve"> </w:t>
      </w:r>
      <w:r w:rsidRPr="00981405">
        <w:t>claimant.</w:t>
      </w:r>
      <w:r w:rsidR="00B92E2C" w:rsidRPr="00981405">
        <w:t xml:space="preserve"> </w:t>
      </w:r>
      <w:r w:rsidRPr="00981405">
        <w:t>This</w:t>
      </w:r>
      <w:r w:rsidR="00190923" w:rsidRPr="00981405">
        <w:t xml:space="preserve"> </w:t>
      </w:r>
      <w:r w:rsidRPr="00981405">
        <w:t>view</w:t>
      </w:r>
      <w:r w:rsidR="00190923" w:rsidRPr="00981405">
        <w:t xml:space="preserve"> </w:t>
      </w:r>
      <w:r w:rsidRPr="00981405">
        <w:t>was</w:t>
      </w:r>
      <w:r w:rsidR="00190923" w:rsidRPr="00981405">
        <w:t xml:space="preserve"> </w:t>
      </w:r>
      <w:r w:rsidRPr="00981405">
        <w:t>rejected,</w:t>
      </w:r>
      <w:r w:rsidR="00190923" w:rsidRPr="00981405">
        <w:t xml:space="preserve"> </w:t>
      </w:r>
      <w:r w:rsidRPr="00981405">
        <w:t>however,</w:t>
      </w:r>
      <w:r w:rsidR="00190923" w:rsidRPr="00981405">
        <w:t xml:space="preserve"> </w:t>
      </w:r>
      <w:r w:rsidRPr="00981405">
        <w:t>by</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001C3185" w:rsidRPr="00981405">
        <w:rPr>
          <w:i/>
          <w:iCs/>
        </w:rPr>
        <w:t>ICS</w:t>
      </w:r>
      <w:r w:rsidR="00190923" w:rsidRPr="00981405">
        <w:t xml:space="preserve"> </w:t>
      </w:r>
      <w:r w:rsidRPr="00D97463">
        <w:rPr>
          <w:i/>
          <w:iCs/>
        </w:rPr>
        <w:t>v.</w:t>
      </w:r>
      <w:r w:rsidR="00190923" w:rsidRPr="00D97463">
        <w:rPr>
          <w:i/>
          <w:iCs/>
        </w:rPr>
        <w:t xml:space="preserve"> </w:t>
      </w:r>
      <w:r w:rsidRPr="00D97463">
        <w:rPr>
          <w:i/>
          <w:iCs/>
        </w:rPr>
        <w:t>Argentina</w:t>
      </w:r>
      <w:r w:rsidRPr="00981405">
        <w:t>.</w:t>
      </w:r>
      <w:r w:rsidR="00190923" w:rsidRPr="00981405">
        <w:t xml:space="preserve"> </w:t>
      </w:r>
      <w:r w:rsidRPr="00981405">
        <w:t>A</w:t>
      </w:r>
      <w:r w:rsidR="00190923" w:rsidRPr="00981405">
        <w:t xml:space="preserve"> </w:t>
      </w:r>
      <w:r w:rsidRPr="00981405">
        <w:t>tribunal,</w:t>
      </w:r>
      <w:r w:rsidR="00190923" w:rsidRPr="00981405">
        <w:t xml:space="preserve"> </w:t>
      </w:r>
      <w:r w:rsidRPr="00981405">
        <w:t>the</w:t>
      </w:r>
      <w:r w:rsidR="00190923" w:rsidRPr="00981405">
        <w:t xml:space="preserve"> </w:t>
      </w:r>
      <w:r w:rsidR="001C3185" w:rsidRPr="00981405">
        <w:rPr>
          <w:i/>
          <w:iCs/>
        </w:rPr>
        <w:t>ICS</w:t>
      </w:r>
      <w:r w:rsidR="00190923" w:rsidRPr="00981405">
        <w:t xml:space="preserve"> </w:t>
      </w:r>
      <w:r w:rsidRPr="00981405">
        <w:t>tribunal</w:t>
      </w:r>
      <w:r w:rsidR="00190923" w:rsidRPr="00981405">
        <w:t xml:space="preserve"> </w:t>
      </w:r>
      <w:r w:rsidRPr="00981405">
        <w:t>said,</w:t>
      </w:r>
      <w:r w:rsidR="00190923" w:rsidRPr="00981405">
        <w:t xml:space="preserve"> </w:t>
      </w:r>
      <w:r w:rsidRPr="00981405">
        <w:t>cannot</w:t>
      </w:r>
      <w:r w:rsidR="00190923" w:rsidRPr="00981405">
        <w:t xml:space="preserve"> </w:t>
      </w:r>
      <w:r w:rsidR="00B92E2C" w:rsidRPr="00981405">
        <w:t>“</w:t>
      </w:r>
      <w:r w:rsidRPr="00981405">
        <w:t>create</w:t>
      </w:r>
      <w:r w:rsidR="00190923" w:rsidRPr="00981405">
        <w:t xml:space="preserve"> </w:t>
      </w:r>
      <w:r w:rsidRPr="00981405">
        <w:t>exceptions</w:t>
      </w:r>
      <w:r w:rsidR="00190923" w:rsidRPr="00981405">
        <w:t xml:space="preserve"> </w:t>
      </w:r>
      <w:r w:rsidRPr="00981405">
        <w:t>to</w:t>
      </w:r>
      <w:r w:rsidR="00190923" w:rsidRPr="00981405">
        <w:t xml:space="preserve"> </w:t>
      </w:r>
      <w:r w:rsidRPr="00981405">
        <w:t>treaty</w:t>
      </w:r>
      <w:r w:rsidR="00190923" w:rsidRPr="00981405">
        <w:t xml:space="preserve"> </w:t>
      </w:r>
      <w:r w:rsidRPr="00981405">
        <w:t>rules</w:t>
      </w:r>
      <w:r w:rsidR="00190923" w:rsidRPr="00981405">
        <w:t xml:space="preserve"> </w:t>
      </w:r>
      <w:r w:rsidRPr="00981405">
        <w:t>where</w:t>
      </w:r>
      <w:r w:rsidR="00190923" w:rsidRPr="00981405">
        <w:t xml:space="preserve"> </w:t>
      </w:r>
      <w:r w:rsidRPr="00981405">
        <w:t>these</w:t>
      </w:r>
      <w:r w:rsidR="00190923" w:rsidRPr="00981405">
        <w:t xml:space="preserve"> </w:t>
      </w:r>
      <w:r w:rsidRPr="00981405">
        <w:t>are</w:t>
      </w:r>
      <w:r w:rsidR="00190923" w:rsidRPr="00981405">
        <w:t xml:space="preserve"> </w:t>
      </w:r>
      <w:r w:rsidRPr="00981405">
        <w:t>merely</w:t>
      </w:r>
      <w:r w:rsidR="00190923" w:rsidRPr="00981405">
        <w:t xml:space="preserve"> </w:t>
      </w:r>
      <w:r w:rsidRPr="00981405">
        <w:t>based</w:t>
      </w:r>
      <w:r w:rsidR="00190923" w:rsidRPr="00981405">
        <w:t xml:space="preserve"> </w:t>
      </w:r>
      <w:r w:rsidRPr="00981405">
        <w:t>upon</w:t>
      </w:r>
      <w:r w:rsidR="00190923" w:rsidRPr="00981405">
        <w:t xml:space="preserve"> </w:t>
      </w:r>
      <w:r w:rsidRPr="00981405">
        <w:t>an</w:t>
      </w:r>
      <w:r w:rsidR="00190923" w:rsidRPr="00981405">
        <w:t xml:space="preserve"> </w:t>
      </w:r>
      <w:r w:rsidRPr="00981405">
        <w:t>assessment</w:t>
      </w:r>
      <w:r w:rsidR="00190923" w:rsidRPr="00981405">
        <w:t xml:space="preserve"> </w:t>
      </w:r>
      <w:r w:rsidRPr="00981405">
        <w:t>of</w:t>
      </w:r>
      <w:r w:rsidR="00190923" w:rsidRPr="00981405">
        <w:t xml:space="preserve"> </w:t>
      </w:r>
      <w:r w:rsidRPr="00981405">
        <w:t>the</w:t>
      </w:r>
      <w:r w:rsidR="00190923" w:rsidRPr="00981405">
        <w:t xml:space="preserve"> </w:t>
      </w:r>
      <w:r w:rsidRPr="00981405">
        <w:t>wisdom</w:t>
      </w:r>
      <w:r w:rsidR="00190923" w:rsidRPr="00981405">
        <w:t xml:space="preserve"> </w:t>
      </w:r>
      <w:r w:rsidRPr="00981405">
        <w:t>of</w:t>
      </w:r>
      <w:r w:rsidR="00190923" w:rsidRPr="00981405">
        <w:t xml:space="preserve"> </w:t>
      </w:r>
      <w:r w:rsidRPr="00981405">
        <w:t>the</w:t>
      </w:r>
      <w:r w:rsidR="00190923" w:rsidRPr="00981405">
        <w:t xml:space="preserve"> </w:t>
      </w:r>
      <w:r w:rsidRPr="00981405">
        <w:t>policy</w:t>
      </w:r>
      <w:r w:rsidR="00190923" w:rsidRPr="00981405">
        <w:t xml:space="preserve"> </w:t>
      </w:r>
      <w:r w:rsidRPr="00981405">
        <w:t>in</w:t>
      </w:r>
      <w:r w:rsidR="00190923" w:rsidRPr="00981405">
        <w:t xml:space="preserve"> </w:t>
      </w:r>
      <w:r w:rsidRPr="00981405">
        <w:t>question.</w:t>
      </w:r>
      <w:r w:rsidR="00B92E2C" w:rsidRPr="00981405">
        <w:t>”</w:t>
      </w:r>
      <w:r w:rsidRPr="00981405">
        <w:rPr>
          <w:rStyle w:val="FootnoteReference"/>
        </w:rPr>
        <w:footnoteReference w:id="551"/>
      </w:r>
      <w:r w:rsidR="00190923" w:rsidRPr="00981405">
        <w:t xml:space="preserve"> </w:t>
      </w:r>
    </w:p>
    <w:p w:rsidR="00397032" w:rsidRPr="00981405" w:rsidRDefault="00397032" w:rsidP="00D97463">
      <w:pPr>
        <w:pStyle w:val="SingleTxt"/>
      </w:pPr>
      <w:r w:rsidRPr="00981405">
        <w:t>127.</w:t>
      </w:r>
      <w:r w:rsidRPr="00981405">
        <w:tab/>
        <w:t>Attempts</w:t>
      </w:r>
      <w:r w:rsidR="00190923" w:rsidRPr="00981405">
        <w:t xml:space="preserve"> </w:t>
      </w:r>
      <w:r w:rsidRPr="00981405">
        <w:t>to</w:t>
      </w:r>
      <w:r w:rsidR="00190923" w:rsidRPr="00981405">
        <w:t xml:space="preserve"> </w:t>
      </w:r>
      <w:r w:rsidRPr="00981405">
        <w:t>use</w:t>
      </w:r>
      <w:r w:rsidR="00190923" w:rsidRPr="00981405">
        <w:t xml:space="preserve"> </w:t>
      </w:r>
      <w:r w:rsidRPr="00981405">
        <w:t>MFN</w:t>
      </w:r>
      <w:r w:rsidR="00190923" w:rsidRPr="00981405">
        <w:t xml:space="preserve"> </w:t>
      </w:r>
      <w:r w:rsidRPr="00981405">
        <w:t>to</w:t>
      </w:r>
      <w:r w:rsidR="00190923" w:rsidRPr="00981405">
        <w:t xml:space="preserve"> </w:t>
      </w:r>
      <w:r w:rsidRPr="00981405">
        <w:t>add</w:t>
      </w:r>
      <w:r w:rsidR="00190923" w:rsidRPr="00981405">
        <w:t xml:space="preserve"> </w:t>
      </w:r>
      <w:r w:rsidRPr="00981405">
        <w:t>other</w:t>
      </w:r>
      <w:r w:rsidR="00190923" w:rsidRPr="00981405">
        <w:t xml:space="preserve"> </w:t>
      </w:r>
      <w:r w:rsidRPr="00981405">
        <w:t>kinds</w:t>
      </w:r>
      <w:r w:rsidR="00190923" w:rsidRPr="00981405">
        <w:t xml:space="preserve"> </w:t>
      </w:r>
      <w:r w:rsidRPr="00981405">
        <w:t>of</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going</w:t>
      </w:r>
      <w:r w:rsidR="00190923" w:rsidRPr="00981405">
        <w:t xml:space="preserve"> </w:t>
      </w:r>
      <w:r w:rsidRPr="00981405">
        <w:t>beyond</w:t>
      </w:r>
      <w:r w:rsidR="00190923" w:rsidRPr="00981405">
        <w:t xml:space="preserve"> </w:t>
      </w:r>
      <w:r w:rsidRPr="00981405">
        <w:t>an</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delay,</w:t>
      </w:r>
      <w:r w:rsidR="00190923" w:rsidRPr="00981405">
        <w:t xml:space="preserve"> </w:t>
      </w:r>
      <w:r w:rsidRPr="00981405">
        <w:t>have</w:t>
      </w:r>
      <w:r w:rsidR="00190923" w:rsidRPr="00981405">
        <w:t xml:space="preserve"> </w:t>
      </w:r>
      <w:r w:rsidRPr="00981405">
        <w:t>generally</w:t>
      </w:r>
      <w:r w:rsidR="00190923" w:rsidRPr="00981405">
        <w:t xml:space="preserve"> </w:t>
      </w:r>
      <w:r w:rsidRPr="00981405">
        <w:t>been</w:t>
      </w:r>
      <w:r w:rsidR="00190923" w:rsidRPr="00981405">
        <w:t xml:space="preserve"> </w:t>
      </w:r>
      <w:r w:rsidRPr="00981405">
        <w:t>unsuccessful.</w:t>
      </w:r>
      <w:r w:rsidR="00190923" w:rsidRPr="00981405">
        <w:t xml:space="preserve"> </w:t>
      </w:r>
      <w:r w:rsidRPr="00981405">
        <w:t>In</w:t>
      </w:r>
      <w:r w:rsidR="00190923" w:rsidRPr="00981405">
        <w:t xml:space="preserve"> </w:t>
      </w:r>
      <w:r w:rsidRPr="00D97463">
        <w:rPr>
          <w:i/>
          <w:iCs/>
        </w:rPr>
        <w:t>Salini</w:t>
      </w:r>
      <w:r w:rsidRPr="00981405">
        <w:t>,</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was</w:t>
      </w:r>
      <w:r w:rsidR="00190923" w:rsidRPr="00981405">
        <w:t xml:space="preserve"> </w:t>
      </w:r>
      <w:r w:rsidRPr="00981405">
        <w:t>invoked</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procedure</w:t>
      </w:r>
      <w:r w:rsidR="00190923" w:rsidRPr="00981405">
        <w:t xml:space="preserve"> </w:t>
      </w:r>
      <w:r w:rsidRPr="00981405">
        <w:t>for</w:t>
      </w:r>
      <w:r w:rsidR="00190923" w:rsidRPr="00981405">
        <w:t xml:space="preserve"> </w:t>
      </w:r>
      <w:r w:rsidRPr="00981405">
        <w:t>contract</w:t>
      </w:r>
      <w:r w:rsidR="00190923" w:rsidRPr="00981405">
        <w:t xml:space="preserve"> </w:t>
      </w:r>
      <w:r w:rsidRPr="00981405">
        <w:t>disputes.</w:t>
      </w:r>
      <w:r w:rsidR="00190923" w:rsidRPr="00981405">
        <w:t xml:space="preserve"> </w:t>
      </w:r>
      <w:r w:rsidRPr="00981405">
        <w:t>In</w:t>
      </w:r>
      <w:r w:rsidR="00190923" w:rsidRPr="00981405">
        <w:t xml:space="preserve"> </w:t>
      </w:r>
      <w:r w:rsidRPr="00D97463">
        <w:rPr>
          <w:i/>
          <w:iCs/>
        </w:rPr>
        <w:t>Plama</w:t>
      </w:r>
      <w:r w:rsidRPr="00981405">
        <w:t>,</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was</w:t>
      </w:r>
      <w:r w:rsidR="00190923" w:rsidRPr="00981405">
        <w:t xml:space="preserve"> </w:t>
      </w:r>
      <w:r w:rsidRPr="00981405">
        <w:t>invoked</w:t>
      </w:r>
      <w:r w:rsidR="00190923" w:rsidRPr="00981405">
        <w:t xml:space="preserve"> </w:t>
      </w:r>
      <w:r w:rsidRPr="00981405">
        <w:t>to</w:t>
      </w:r>
      <w:r w:rsidR="00190923" w:rsidRPr="00981405">
        <w:t xml:space="preserve"> </w:t>
      </w:r>
      <w:r w:rsidRPr="00981405">
        <w:t>change</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process</w:t>
      </w:r>
      <w:r w:rsidR="00190923" w:rsidRPr="00981405">
        <w:t xml:space="preserve"> </w:t>
      </w:r>
      <w:r w:rsidRPr="00981405">
        <w:t>from</w:t>
      </w:r>
      <w:r w:rsidR="00190923" w:rsidRPr="00981405">
        <w:t xml:space="preserve"> </w:t>
      </w:r>
      <w:r w:rsidR="00B41600" w:rsidRPr="00981405">
        <w:rPr>
          <w:i/>
          <w:iCs/>
        </w:rPr>
        <w:t>ad</w:t>
      </w:r>
      <w:r w:rsidR="00190923" w:rsidRPr="00981405">
        <w:rPr>
          <w:i/>
          <w:iCs/>
        </w:rPr>
        <w:t xml:space="preserve"> </w:t>
      </w:r>
      <w:r w:rsidR="00B41600" w:rsidRPr="00981405">
        <w:rPr>
          <w:i/>
          <w:iCs/>
        </w:rPr>
        <w:t>hoc</w:t>
      </w:r>
      <w:r w:rsidR="00190923" w:rsidRPr="00981405">
        <w:rPr>
          <w:i/>
          <w:iCs/>
        </w:rPr>
        <w:t xml:space="preserve"> </w:t>
      </w:r>
      <w:r w:rsidRPr="00981405">
        <w:t>arbitration</w:t>
      </w:r>
      <w:r w:rsidR="00190923" w:rsidRPr="00981405">
        <w:t xml:space="preserve"> </w:t>
      </w:r>
      <w:r w:rsidRPr="00981405">
        <w:t>to</w:t>
      </w:r>
      <w:r w:rsidR="00190923" w:rsidRPr="00981405">
        <w:t xml:space="preserve"> </w:t>
      </w:r>
      <w:r w:rsidRPr="00981405">
        <w:t>ICSID</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These,</w:t>
      </w:r>
      <w:r w:rsidR="00190923" w:rsidRPr="00981405">
        <w:t xml:space="preserve"> </w:t>
      </w:r>
      <w:r w:rsidRPr="00981405">
        <w:t>then,</w:t>
      </w:r>
      <w:r w:rsidR="00190923" w:rsidRPr="00981405">
        <w:t xml:space="preserve"> </w:t>
      </w:r>
      <w:r w:rsidRPr="00981405">
        <w:t>were</w:t>
      </w:r>
      <w:r w:rsidR="00190923" w:rsidRPr="00981405">
        <w:t xml:space="preserve"> </w:t>
      </w:r>
      <w:r w:rsidRPr="00981405">
        <w:t>efforts</w:t>
      </w:r>
      <w:r w:rsidR="00190923" w:rsidRPr="00981405">
        <w:t xml:space="preserve"> </w:t>
      </w:r>
      <w:r w:rsidRPr="00981405">
        <w:t>to</w:t>
      </w:r>
      <w:r w:rsidR="00190923" w:rsidRPr="00981405">
        <w:t xml:space="preserve"> </w:t>
      </w:r>
      <w:r w:rsidRPr="00981405">
        <w:t>change</w:t>
      </w:r>
      <w:r w:rsidR="00190923" w:rsidRPr="00981405">
        <w:t xml:space="preserve"> </w:t>
      </w:r>
      <w:r w:rsidRPr="00981405">
        <w:t>one</w:t>
      </w:r>
      <w:r w:rsidR="00190923" w:rsidRPr="00981405">
        <w:t xml:space="preserve"> </w:t>
      </w:r>
      <w:r w:rsidRPr="00981405">
        <w:t>form</w:t>
      </w:r>
      <w:r w:rsidR="00190923" w:rsidRPr="00981405">
        <w:t xml:space="preserve"> </w:t>
      </w:r>
      <w:r w:rsidRPr="00981405">
        <w:t>of</w:t>
      </w:r>
      <w:r w:rsidR="00190923" w:rsidRPr="00981405">
        <w:t xml:space="preserve"> </w:t>
      </w:r>
      <w:r w:rsidRPr="00981405">
        <w:t>arbitration</w:t>
      </w:r>
      <w:r w:rsidR="00190923" w:rsidRPr="00981405">
        <w:t xml:space="preserve"> </w:t>
      </w:r>
      <w:r w:rsidRPr="00981405">
        <w:t>for</w:t>
      </w:r>
      <w:r w:rsidR="00190923" w:rsidRPr="00981405">
        <w:t xml:space="preserve"> </w:t>
      </w:r>
      <w:r w:rsidRPr="00981405">
        <w:t>another,</w:t>
      </w:r>
      <w:r w:rsidR="00190923" w:rsidRPr="00981405">
        <w:t xml:space="preserve"> </w:t>
      </w:r>
      <w:r w:rsidRPr="00981405">
        <w:t>yet</w:t>
      </w:r>
      <w:r w:rsidR="00190923" w:rsidRPr="00981405">
        <w:t xml:space="preserve"> </w:t>
      </w:r>
      <w:r w:rsidRPr="00981405">
        <w:t>both</w:t>
      </w:r>
      <w:r w:rsidR="00190923" w:rsidRPr="00981405">
        <w:t xml:space="preserve"> </w:t>
      </w:r>
      <w:r w:rsidRPr="00981405">
        <w:t>tribunals</w:t>
      </w:r>
      <w:r w:rsidR="00190923" w:rsidRPr="00981405">
        <w:t xml:space="preserve"> </w:t>
      </w:r>
      <w:r w:rsidRPr="00981405">
        <w:t>rejected</w:t>
      </w:r>
      <w:r w:rsidR="00190923" w:rsidRPr="00981405">
        <w:t xml:space="preserve"> </w:t>
      </w:r>
      <w:r w:rsidRPr="00981405">
        <w:t>them.</w:t>
      </w:r>
      <w:r w:rsidR="00190923" w:rsidRPr="00981405">
        <w:t xml:space="preserve"> </w:t>
      </w:r>
    </w:p>
    <w:p w:rsidR="00397032" w:rsidRPr="00981405" w:rsidRDefault="00397032" w:rsidP="00D97463">
      <w:pPr>
        <w:pStyle w:val="SingleTxt"/>
      </w:pPr>
      <w:r w:rsidRPr="00981405">
        <w:t>128.</w:t>
      </w:r>
      <w:r w:rsidRPr="00981405">
        <w:tab/>
        <w:t>Conversely,</w:t>
      </w:r>
      <w:r w:rsidR="00190923" w:rsidRPr="00981405">
        <w:t xml:space="preserve"> </w:t>
      </w:r>
      <w:r w:rsidRPr="00981405">
        <w:t>one</w:t>
      </w:r>
      <w:r w:rsidR="00190923" w:rsidRPr="00981405">
        <w:t xml:space="preserve"> </w:t>
      </w:r>
      <w:r w:rsidRPr="00981405">
        <w:t>tribunal</w:t>
      </w:r>
      <w:r w:rsidR="00190923" w:rsidRPr="00981405">
        <w:t xml:space="preserve"> </w:t>
      </w:r>
      <w:r w:rsidRPr="00981405">
        <w:t>has</w:t>
      </w:r>
      <w:r w:rsidR="00190923" w:rsidRPr="00981405">
        <w:t xml:space="preserve"> </w:t>
      </w:r>
      <w:r w:rsidRPr="00981405">
        <w:t>allowed</w:t>
      </w:r>
      <w:r w:rsidR="00190923" w:rsidRPr="00981405">
        <w:t xml:space="preserve"> </w:t>
      </w:r>
      <w:r w:rsidRPr="00981405">
        <w:t>a</w:t>
      </w:r>
      <w:r w:rsidR="00190923" w:rsidRPr="00981405">
        <w:t xml:space="preserve"> </w:t>
      </w:r>
      <w:r w:rsidRPr="00981405">
        <w:t>claimant</w:t>
      </w:r>
      <w:r w:rsidR="00190923" w:rsidRPr="00981405">
        <w:t xml:space="preserve"> </w:t>
      </w:r>
      <w:r w:rsidRPr="00981405">
        <w:t>to</w:t>
      </w:r>
      <w:r w:rsidR="00190923" w:rsidRPr="00981405">
        <w:t xml:space="preserve"> </w:t>
      </w:r>
      <w:r w:rsidRPr="00981405">
        <w:t>invoke</w:t>
      </w:r>
      <w:r w:rsidR="00190923" w:rsidRPr="00981405">
        <w:t xml:space="preserve"> </w:t>
      </w:r>
      <w:r w:rsidRPr="00981405">
        <w:t>MFN</w:t>
      </w:r>
      <w:r w:rsidR="00190923" w:rsidRPr="00981405">
        <w:t xml:space="preserve"> </w:t>
      </w:r>
      <w:r w:rsidRPr="00981405">
        <w:t>to</w:t>
      </w:r>
      <w:r w:rsidR="00190923" w:rsidRPr="00981405">
        <w:t xml:space="preserve"> </w:t>
      </w:r>
      <w:r w:rsidRPr="00981405">
        <w:t>substitute</w:t>
      </w:r>
      <w:r w:rsidR="00190923" w:rsidRPr="00981405">
        <w:t xml:space="preserve"> </w:t>
      </w:r>
      <w:r w:rsidRPr="00981405">
        <w:t>one</w:t>
      </w:r>
      <w:r w:rsidR="00190923" w:rsidRPr="00981405">
        <w:t xml:space="preserve"> </w:t>
      </w:r>
      <w:r w:rsidRPr="00981405">
        <w:t>form</w:t>
      </w:r>
      <w:r w:rsidR="00190923" w:rsidRPr="00981405">
        <w:t xml:space="preserve"> </w:t>
      </w:r>
      <w:r w:rsidRPr="00981405">
        <w:t>of</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for</w:t>
      </w:r>
      <w:r w:rsidR="00190923" w:rsidRPr="00981405">
        <w:t xml:space="preserve"> </w:t>
      </w:r>
      <w:r w:rsidRPr="00981405">
        <w:t>another.</w:t>
      </w:r>
      <w:r w:rsidR="00190923" w:rsidRPr="00981405">
        <w:t xml:space="preserve"> </w:t>
      </w:r>
      <w:r w:rsidRPr="00981405">
        <w:t>In</w:t>
      </w:r>
      <w:r w:rsidR="00190923" w:rsidRPr="00981405">
        <w:t xml:space="preserve"> </w:t>
      </w:r>
      <w:r w:rsidRPr="00D97463">
        <w:rPr>
          <w:i/>
          <w:iCs/>
        </w:rPr>
        <w:t>Garanti</w:t>
      </w:r>
      <w:r w:rsidR="00190923" w:rsidRPr="00D97463">
        <w:rPr>
          <w:i/>
          <w:iCs/>
        </w:rPr>
        <w:t xml:space="preserve"> </w:t>
      </w:r>
      <w:r w:rsidRPr="00D97463">
        <w:rPr>
          <w:i/>
          <w:iCs/>
        </w:rPr>
        <w:t>Kos</w:t>
      </w:r>
      <w:r w:rsidR="00190923" w:rsidRPr="00D97463">
        <w:rPr>
          <w:i/>
          <w:iCs/>
        </w:rPr>
        <w:t xml:space="preserve"> </w:t>
      </w:r>
      <w:r w:rsidRPr="00D97463">
        <w:rPr>
          <w:i/>
          <w:iCs/>
        </w:rPr>
        <w:t>LLP</w:t>
      </w:r>
      <w:r w:rsidR="00190923" w:rsidRPr="00D97463">
        <w:rPr>
          <w:i/>
          <w:iCs/>
        </w:rPr>
        <w:t xml:space="preserve"> </w:t>
      </w:r>
      <w:r w:rsidRPr="00D97463">
        <w:rPr>
          <w:i/>
          <w:iCs/>
        </w:rPr>
        <w:t>v.</w:t>
      </w:r>
      <w:r w:rsidR="00190923" w:rsidRPr="00D97463">
        <w:rPr>
          <w:i/>
          <w:iCs/>
        </w:rPr>
        <w:t xml:space="preserve"> </w:t>
      </w:r>
      <w:r w:rsidRPr="00D97463">
        <w:rPr>
          <w:i/>
          <w:iCs/>
        </w:rPr>
        <w:t>Turkmenistan</w:t>
      </w:r>
      <w:r w:rsidRPr="00981405">
        <w:t>,</w:t>
      </w:r>
      <w:r w:rsidRPr="00981405">
        <w:rPr>
          <w:rStyle w:val="FootnoteReference"/>
        </w:rPr>
        <w:footnoteReference w:id="552"/>
      </w:r>
      <w:r w:rsidR="00190923" w:rsidRPr="00981405">
        <w:t xml:space="preserve"> </w:t>
      </w:r>
      <w:r w:rsidRPr="00981405">
        <w:t>the</w:t>
      </w:r>
      <w:r w:rsidR="00190923" w:rsidRPr="00981405">
        <w:t xml:space="preserve"> </w:t>
      </w:r>
      <w:r w:rsidRPr="00981405">
        <w:t>tribunal</w:t>
      </w:r>
      <w:r w:rsidR="00190923" w:rsidRPr="00981405">
        <w:t xml:space="preserve"> </w:t>
      </w:r>
      <w:r w:rsidRPr="00981405">
        <w:t>decided</w:t>
      </w:r>
      <w:r w:rsidR="00190923" w:rsidRPr="00981405">
        <w:t xml:space="preserve"> </w:t>
      </w:r>
      <w:r w:rsidRPr="00981405">
        <w:t>that</w:t>
      </w:r>
      <w:r w:rsidR="00190923" w:rsidRPr="00981405">
        <w:t xml:space="preserve"> </w:t>
      </w:r>
      <w:r w:rsidRPr="00981405">
        <w:t>where</w:t>
      </w:r>
      <w:r w:rsidR="00190923" w:rsidRPr="00981405">
        <w:t xml:space="preserve"> </w:t>
      </w:r>
      <w:r w:rsidRPr="00981405">
        <w:t>resort</w:t>
      </w:r>
      <w:r w:rsidR="00190923" w:rsidRPr="00981405">
        <w:t xml:space="preserve"> </w:t>
      </w:r>
      <w:r w:rsidRPr="00981405">
        <w:t>to</w:t>
      </w:r>
      <w:r w:rsidR="00190923" w:rsidRPr="00981405">
        <w:t xml:space="preserve"> </w:t>
      </w:r>
      <w:r w:rsidRPr="00981405">
        <w:t>ICSID</w:t>
      </w:r>
      <w:r w:rsidR="00190923" w:rsidRPr="00981405">
        <w:t xml:space="preserve"> </w:t>
      </w:r>
      <w:r w:rsidRPr="00981405">
        <w:t>arbitration</w:t>
      </w:r>
      <w:r w:rsidR="00190923" w:rsidRPr="00981405">
        <w:t xml:space="preserve"> </w:t>
      </w:r>
      <w:r w:rsidRPr="00981405">
        <w:t>under</w:t>
      </w:r>
      <w:r w:rsidR="00190923" w:rsidRPr="00981405">
        <w:t xml:space="preserve"> </w:t>
      </w:r>
      <w:r w:rsidRPr="00981405">
        <w:t>the</w:t>
      </w:r>
      <w:r w:rsidR="00190923" w:rsidRPr="00981405">
        <w:t xml:space="preserve"> </w:t>
      </w:r>
      <w:r w:rsidRPr="00981405">
        <w:t>UK-Turkmenistan</w:t>
      </w:r>
      <w:r w:rsidR="00190923" w:rsidRPr="00981405">
        <w:t xml:space="preserve"> </w:t>
      </w:r>
      <w:r w:rsidRPr="00981405">
        <w:t>BIT</w:t>
      </w:r>
      <w:r w:rsidR="00190923" w:rsidRPr="00981405">
        <w:t xml:space="preserve"> </w:t>
      </w:r>
      <w:r w:rsidRPr="00981405">
        <w:t>was</w:t>
      </w:r>
      <w:r w:rsidR="00190923" w:rsidRPr="00981405">
        <w:t xml:space="preserve"> </w:t>
      </w:r>
      <w:r w:rsidRPr="00981405">
        <w:t>available</w:t>
      </w:r>
      <w:r w:rsidR="00190923" w:rsidRPr="00981405">
        <w:t xml:space="preserve"> </w:t>
      </w:r>
      <w:r w:rsidRPr="00981405">
        <w:t>only</w:t>
      </w:r>
      <w:r w:rsidR="00190923" w:rsidRPr="00981405">
        <w:t xml:space="preserve"> </w:t>
      </w:r>
      <w:r w:rsidRPr="00981405">
        <w:t>with</w:t>
      </w:r>
      <w:r w:rsidR="00190923" w:rsidRPr="00981405">
        <w:t xml:space="preserve"> </w:t>
      </w:r>
      <w:r w:rsidRPr="00981405">
        <w:t>the</w:t>
      </w:r>
      <w:r w:rsidR="00190923" w:rsidRPr="00981405">
        <w:t xml:space="preserve"> </w:t>
      </w:r>
      <w:r w:rsidRPr="00981405">
        <w:t>consent</w:t>
      </w:r>
      <w:r w:rsidR="00190923" w:rsidRPr="00981405">
        <w:t xml:space="preserve"> </w:t>
      </w:r>
      <w:r w:rsidRPr="00981405">
        <w:t>of</w:t>
      </w:r>
      <w:r w:rsidR="00190923" w:rsidRPr="00981405">
        <w:t xml:space="preserve"> </w:t>
      </w:r>
      <w:r w:rsidRPr="00981405">
        <w:t>the</w:t>
      </w:r>
      <w:r w:rsidR="00190923" w:rsidRPr="00981405">
        <w:t xml:space="preserve"> </w:t>
      </w:r>
      <w:r w:rsidRPr="00981405">
        <w:t>Respondent,</w:t>
      </w:r>
      <w:r w:rsidR="00190923" w:rsidRPr="00981405">
        <w:t xml:space="preserve"> </w:t>
      </w:r>
      <w:r w:rsidRPr="00981405">
        <w:t>which</w:t>
      </w:r>
      <w:r w:rsidR="00190923" w:rsidRPr="00981405">
        <w:t xml:space="preserve"> </w:t>
      </w:r>
      <w:r w:rsidRPr="00981405">
        <w:t>it</w:t>
      </w:r>
      <w:r w:rsidR="00190923" w:rsidRPr="00981405">
        <w:t xml:space="preserve"> </w:t>
      </w:r>
      <w:r w:rsidRPr="00981405">
        <w:t>had</w:t>
      </w:r>
      <w:r w:rsidR="00190923" w:rsidRPr="00981405">
        <w:t xml:space="preserve"> </w:t>
      </w:r>
      <w:r w:rsidRPr="00981405">
        <w:t>not</w:t>
      </w:r>
      <w:r w:rsidR="00190923" w:rsidRPr="00981405">
        <w:t xml:space="preserve"> </w:t>
      </w:r>
      <w:r w:rsidRPr="00981405">
        <w:t>given,</w:t>
      </w:r>
      <w:r w:rsidR="00190923" w:rsidRPr="00981405">
        <w:t xml:space="preserve"> </w:t>
      </w:r>
      <w:r w:rsidRPr="00981405">
        <w:t>consent</w:t>
      </w:r>
      <w:r w:rsidR="00190923" w:rsidRPr="00981405">
        <w:t xml:space="preserve"> </w:t>
      </w:r>
      <w:r w:rsidRPr="00981405">
        <w:t>to</w:t>
      </w:r>
      <w:r w:rsidR="00190923" w:rsidRPr="00981405">
        <w:t xml:space="preserve"> </w:t>
      </w:r>
      <w:r w:rsidRPr="00981405">
        <w:t>ICSID</w:t>
      </w:r>
      <w:r w:rsidR="00190923" w:rsidRPr="00981405">
        <w:t xml:space="preserve"> </w:t>
      </w:r>
      <w:r w:rsidRPr="00981405">
        <w:t>arbitration</w:t>
      </w:r>
      <w:r w:rsidR="00190923" w:rsidRPr="00981405">
        <w:t xml:space="preserve"> </w:t>
      </w:r>
      <w:r w:rsidRPr="00981405">
        <w:t>could</w:t>
      </w:r>
      <w:r w:rsidR="00190923" w:rsidRPr="00981405">
        <w:t xml:space="preserve"> </w:t>
      </w:r>
      <w:r w:rsidRPr="00981405">
        <w:t>be</w:t>
      </w:r>
      <w:r w:rsidR="00190923" w:rsidRPr="00981405">
        <w:t xml:space="preserve"> </w:t>
      </w:r>
      <w:r w:rsidRPr="00981405">
        <w:t>found</w:t>
      </w:r>
      <w:r w:rsidR="00190923" w:rsidRPr="00981405">
        <w:t xml:space="preserve"> </w:t>
      </w:r>
      <w:r w:rsidRPr="00981405">
        <w:t>under</w:t>
      </w:r>
      <w:r w:rsidR="00190923" w:rsidRPr="00981405">
        <w:t xml:space="preserve"> </w:t>
      </w:r>
      <w:r w:rsidRPr="00981405">
        <w:t>other</w:t>
      </w:r>
      <w:r w:rsidR="00190923" w:rsidRPr="00981405">
        <w:t xml:space="preserve"> </w:t>
      </w:r>
      <w:r w:rsidRPr="00981405">
        <w:t>BITs</w:t>
      </w:r>
      <w:r w:rsidR="00190923" w:rsidRPr="00981405">
        <w:t xml:space="preserve"> </w:t>
      </w:r>
      <w:r w:rsidRPr="00981405">
        <w:t>entered</w:t>
      </w:r>
      <w:r w:rsidR="00190923" w:rsidRPr="00981405">
        <w:t xml:space="preserve"> </w:t>
      </w:r>
      <w:r w:rsidRPr="00981405">
        <w:t>into</w:t>
      </w:r>
      <w:r w:rsidR="00190923" w:rsidRPr="00981405">
        <w:t xml:space="preserve"> </w:t>
      </w:r>
      <w:r w:rsidRPr="00981405">
        <w:t>by</w:t>
      </w:r>
      <w:r w:rsidR="00190923" w:rsidRPr="00981405">
        <w:t xml:space="preserve"> </w:t>
      </w:r>
      <w:r w:rsidRPr="00981405">
        <w:t>Turkmenistan</w:t>
      </w:r>
      <w:r w:rsidR="00190923" w:rsidRPr="00981405">
        <w:t xml:space="preserve"> </w:t>
      </w:r>
      <w:r w:rsidRPr="00981405">
        <w:t>and</w:t>
      </w:r>
      <w:r w:rsidR="00190923" w:rsidRPr="00981405">
        <w:t xml:space="preserve"> </w:t>
      </w:r>
      <w:r w:rsidRPr="00981405">
        <w:t>imported</w:t>
      </w:r>
      <w:r w:rsidR="00190923" w:rsidRPr="00981405">
        <w:t xml:space="preserve"> </w:t>
      </w:r>
      <w:r w:rsidRPr="00981405">
        <w:t>into</w:t>
      </w:r>
      <w:r w:rsidR="00190923" w:rsidRPr="00981405">
        <w:t xml:space="preserve"> </w:t>
      </w:r>
      <w:r w:rsidRPr="00981405">
        <w:t>the</w:t>
      </w:r>
      <w:r w:rsidR="00190923" w:rsidRPr="00981405">
        <w:t xml:space="preserve"> </w:t>
      </w:r>
      <w:r w:rsidRPr="00981405">
        <w:t>UK-Turkmenistan</w:t>
      </w:r>
      <w:r w:rsidR="00190923" w:rsidRPr="00981405">
        <w:t xml:space="preserve"> </w:t>
      </w:r>
      <w:r w:rsidRPr="00981405">
        <w:t>BIT</w:t>
      </w:r>
      <w:r w:rsidR="00190923" w:rsidRPr="00981405">
        <w:t xml:space="preserve"> </w:t>
      </w:r>
      <w:r w:rsidRPr="00981405">
        <w:t>through</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Pr="00981405">
        <w:t>arbitration</w:t>
      </w:r>
      <w:r w:rsidR="00190923" w:rsidRPr="00981405">
        <w:t xml:space="preserve"> </w:t>
      </w:r>
      <w:r w:rsidRPr="00981405">
        <w:t>under</w:t>
      </w:r>
      <w:r w:rsidR="00190923" w:rsidRPr="00981405">
        <w:t xml:space="preserve"> </w:t>
      </w:r>
      <w:r w:rsidRPr="00981405">
        <w:t>the</w:t>
      </w:r>
      <w:r w:rsidR="00190923" w:rsidRPr="00981405">
        <w:t xml:space="preserve"> </w:t>
      </w:r>
      <w:r w:rsidRPr="00981405">
        <w:t>UNCITRAL</w:t>
      </w:r>
      <w:r w:rsidR="00190923" w:rsidRPr="00981405">
        <w:t xml:space="preserve"> </w:t>
      </w:r>
      <w:r w:rsidRPr="00981405">
        <w:t>rules,</w:t>
      </w:r>
      <w:r w:rsidR="00190923" w:rsidRPr="00981405">
        <w:t xml:space="preserve"> </w:t>
      </w:r>
      <w:r w:rsidRPr="00981405">
        <w:t>which</w:t>
      </w:r>
      <w:r w:rsidR="00190923" w:rsidRPr="00981405">
        <w:t xml:space="preserve"> </w:t>
      </w:r>
      <w:r w:rsidRPr="00981405">
        <w:t>was</w:t>
      </w:r>
      <w:r w:rsidR="00190923" w:rsidRPr="00981405">
        <w:t xml:space="preserve"> </w:t>
      </w:r>
      <w:r w:rsidRPr="00981405">
        <w:t>the</w:t>
      </w:r>
      <w:r w:rsidR="00190923" w:rsidRPr="00981405">
        <w:t xml:space="preserve"> </w:t>
      </w:r>
      <w:r w:rsidRPr="00981405">
        <w:t>fall-back</w:t>
      </w:r>
      <w:r w:rsidR="00190923" w:rsidRPr="00981405">
        <w:t xml:space="preserve"> </w:t>
      </w:r>
      <w:r w:rsidRPr="00981405">
        <w:t>position</w:t>
      </w:r>
      <w:r w:rsidR="00190923" w:rsidRPr="00981405">
        <w:t xml:space="preserve"> </w:t>
      </w:r>
      <w:r w:rsidRPr="00981405">
        <w:t>under</w:t>
      </w:r>
      <w:r w:rsidR="00190923" w:rsidRPr="00981405">
        <w:t xml:space="preserve"> </w:t>
      </w:r>
      <w:r w:rsidRPr="00981405">
        <w:t>UK-Turkmenistan</w:t>
      </w:r>
      <w:r w:rsidR="00190923" w:rsidRPr="00981405">
        <w:t xml:space="preserve"> </w:t>
      </w:r>
      <w:r w:rsidRPr="00981405">
        <w:t>BIT</w:t>
      </w:r>
      <w:r w:rsidR="00190923" w:rsidRPr="00981405">
        <w:t xml:space="preserve"> </w:t>
      </w:r>
      <w:r w:rsidRPr="00981405">
        <w:t>in</w:t>
      </w:r>
      <w:r w:rsidR="00190923" w:rsidRPr="00981405">
        <w:t xml:space="preserve"> </w:t>
      </w:r>
      <w:r w:rsidRPr="00981405">
        <w:t>the</w:t>
      </w:r>
      <w:r w:rsidR="00190923" w:rsidRPr="00981405">
        <w:t xml:space="preserve"> </w:t>
      </w:r>
      <w:r w:rsidRPr="00981405">
        <w:t>absence</w:t>
      </w:r>
      <w:r w:rsidR="00190923" w:rsidRPr="00981405">
        <w:t xml:space="preserve"> </w:t>
      </w:r>
      <w:r w:rsidRPr="00981405">
        <w:t>of</w:t>
      </w:r>
      <w:r w:rsidR="00190923" w:rsidRPr="00981405">
        <w:t xml:space="preserve"> </w:t>
      </w:r>
      <w:r w:rsidRPr="00981405">
        <w:t>agreement</w:t>
      </w:r>
      <w:r w:rsidR="00190923" w:rsidRPr="00981405">
        <w:t xml:space="preserve"> </w:t>
      </w:r>
      <w:r w:rsidRPr="00981405">
        <w:t>on</w:t>
      </w:r>
      <w:r w:rsidR="00190923" w:rsidRPr="00981405">
        <w:t xml:space="preserve"> </w:t>
      </w:r>
      <w:r w:rsidRPr="00981405">
        <w:t>another</w:t>
      </w:r>
      <w:r w:rsidR="00190923" w:rsidRPr="00981405">
        <w:t xml:space="preserve"> </w:t>
      </w:r>
      <w:r w:rsidRPr="00981405">
        <w:t>form</w:t>
      </w:r>
      <w:r w:rsidR="00190923" w:rsidRPr="00981405">
        <w:t xml:space="preserve"> </w:t>
      </w:r>
      <w:r w:rsidRPr="00981405">
        <w:t>of</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was,</w:t>
      </w:r>
      <w:r w:rsidR="00190923" w:rsidRPr="00981405">
        <w:t xml:space="preserve"> </w:t>
      </w:r>
      <w:r w:rsidRPr="00981405">
        <w:t>by</w:t>
      </w:r>
      <w:r w:rsidR="00190923" w:rsidRPr="00981405">
        <w:t xml:space="preserve"> </w:t>
      </w:r>
      <w:r w:rsidRPr="00981405">
        <w:t>way</w:t>
      </w:r>
      <w:r w:rsidR="00190923" w:rsidRPr="00981405">
        <w:t xml:space="preserve"> </w:t>
      </w:r>
      <w:r w:rsidRPr="00981405">
        <w:t>of</w:t>
      </w:r>
      <w:r w:rsidR="00190923" w:rsidRPr="00981405">
        <w:t xml:space="preserve"> </w:t>
      </w:r>
      <w:r w:rsidRPr="00981405">
        <w:t>MFN,</w:t>
      </w:r>
      <w:r w:rsidR="00190923" w:rsidRPr="00981405">
        <w:t xml:space="preserve"> </w:t>
      </w:r>
      <w:r w:rsidRPr="00981405">
        <w:t>supplanted</w:t>
      </w:r>
      <w:r w:rsidR="00190923" w:rsidRPr="00981405">
        <w:t xml:space="preserve"> </w:t>
      </w:r>
      <w:r w:rsidRPr="00981405">
        <w:t>by</w:t>
      </w:r>
      <w:r w:rsidR="00190923" w:rsidRPr="00981405">
        <w:t xml:space="preserve"> </w:t>
      </w:r>
      <w:r w:rsidRPr="00981405">
        <w:t>ICSID</w:t>
      </w:r>
      <w:r w:rsidR="00190923" w:rsidRPr="00981405">
        <w:t xml:space="preserve"> </w:t>
      </w:r>
      <w:r w:rsidRPr="00981405">
        <w:t>arbitration.</w:t>
      </w:r>
      <w:r w:rsidR="00190923" w:rsidRPr="00981405">
        <w:t xml:space="preserve"> </w:t>
      </w:r>
    </w:p>
    <w:p w:rsidR="00397032" w:rsidRPr="00981405" w:rsidRDefault="00397032" w:rsidP="00D97463">
      <w:pPr>
        <w:pStyle w:val="SingleTxt"/>
      </w:pPr>
      <w:r w:rsidRPr="00981405">
        <w:t>129.</w:t>
      </w:r>
      <w:r w:rsidRPr="00981405">
        <w:tab/>
        <w:t>However,</w:t>
      </w:r>
      <w:r w:rsidR="00190923" w:rsidRPr="00981405">
        <w:t xml:space="preserve"> </w:t>
      </w:r>
      <w:r w:rsidRPr="00981405">
        <w:t>even</w:t>
      </w:r>
      <w:r w:rsidR="00190923" w:rsidRPr="00981405">
        <w:t xml:space="preserve"> </w:t>
      </w:r>
      <w:r w:rsidRPr="00981405">
        <w:t>if</w:t>
      </w:r>
      <w:r w:rsidR="00190923" w:rsidRPr="00981405">
        <w:t xml:space="preserve"> </w:t>
      </w:r>
      <w:r w:rsidRPr="00981405">
        <w:t>the</w:t>
      </w:r>
      <w:r w:rsidR="00190923" w:rsidRPr="00981405">
        <w:t xml:space="preserve"> </w:t>
      </w:r>
      <w:r w:rsidRPr="00981405">
        <w:t>cases</w:t>
      </w:r>
      <w:r w:rsidR="00190923" w:rsidRPr="00981405">
        <w:t xml:space="preserve"> </w:t>
      </w:r>
      <w:r w:rsidRPr="00981405">
        <w:t>involving</w:t>
      </w:r>
      <w:r w:rsidR="00190923" w:rsidRPr="00981405">
        <w:t xml:space="preserve"> </w:t>
      </w:r>
      <w:r w:rsidRPr="00981405">
        <w:t>the</w:t>
      </w:r>
      <w:r w:rsidR="00190923" w:rsidRPr="00981405">
        <w:t xml:space="preserve"> </w:t>
      </w:r>
      <w:r w:rsidRPr="00981405">
        <w:t>18-month</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can</w:t>
      </w:r>
      <w:r w:rsidR="00190923" w:rsidRPr="00981405">
        <w:t xml:space="preserve"> </w:t>
      </w:r>
      <w:r w:rsidRPr="00981405">
        <w:t>be</w:t>
      </w:r>
      <w:r w:rsidR="00190923" w:rsidRPr="00981405">
        <w:t xml:space="preserve"> </w:t>
      </w:r>
      <w:r w:rsidRPr="00981405">
        <w:t>explained</w:t>
      </w:r>
      <w:r w:rsidR="00190923" w:rsidRPr="00981405">
        <w:t xml:space="preserve"> </w:t>
      </w:r>
      <w:r w:rsidRPr="00981405">
        <w:t>in</w:t>
      </w:r>
      <w:r w:rsidR="00190923" w:rsidRPr="00981405">
        <w:t xml:space="preserve"> </w:t>
      </w:r>
      <w:r w:rsidRPr="00981405">
        <w:t>part</w:t>
      </w:r>
      <w:r w:rsidR="00190923" w:rsidRPr="00981405">
        <w:t xml:space="preserve"> </w:t>
      </w:r>
      <w:r w:rsidRPr="00981405">
        <w:t>by</w:t>
      </w:r>
      <w:r w:rsidR="00190923" w:rsidRPr="00981405">
        <w:t xml:space="preserve"> </w:t>
      </w:r>
      <w:r w:rsidRPr="00981405">
        <w:t>a</w:t>
      </w:r>
      <w:r w:rsidR="00190923" w:rsidRPr="00981405">
        <w:t xml:space="preserve"> </w:t>
      </w:r>
      <w:r w:rsidRPr="00981405">
        <w:t>view</w:t>
      </w:r>
      <w:r w:rsidR="00190923" w:rsidRPr="00981405">
        <w:t xml:space="preserve"> </w:t>
      </w:r>
      <w:r w:rsidRPr="00981405">
        <w:t>that</w:t>
      </w:r>
      <w:r w:rsidR="00190923" w:rsidRPr="00981405">
        <w:t xml:space="preserve"> </w:t>
      </w:r>
      <w:r w:rsidRPr="00981405">
        <w:t>that</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requirement</w:t>
      </w:r>
      <w:r w:rsidR="00190923" w:rsidRPr="00981405">
        <w:t xml:space="preserve"> </w:t>
      </w:r>
      <w:r w:rsidRPr="00981405">
        <w:t>was</w:t>
      </w:r>
      <w:r w:rsidR="00190923" w:rsidRPr="00981405">
        <w:t xml:space="preserve"> </w:t>
      </w:r>
      <w:r w:rsidRPr="00981405">
        <w:t>somewhat</w:t>
      </w:r>
      <w:r w:rsidR="00190923" w:rsidRPr="00981405">
        <w:t xml:space="preserve"> </w:t>
      </w:r>
      <w:r w:rsidRPr="00981405">
        <w:t>trivial,</w:t>
      </w:r>
      <w:r w:rsidR="00190923" w:rsidRPr="00981405">
        <w:t xml:space="preserve"> </w:t>
      </w:r>
      <w:r w:rsidRPr="00981405">
        <w:t>in</w:t>
      </w:r>
      <w:r w:rsidR="00190923" w:rsidRPr="00981405">
        <w:t xml:space="preserve"> </w:t>
      </w:r>
      <w:r w:rsidRPr="00981405">
        <w:t>fact</w:t>
      </w:r>
      <w:r w:rsidR="00190923" w:rsidRPr="00981405">
        <w:t xml:space="preserve"> </w:t>
      </w:r>
      <w:r w:rsidRPr="00981405">
        <w:t>the</w:t>
      </w:r>
      <w:r w:rsidR="00190923" w:rsidRPr="00981405">
        <w:t xml:space="preserve"> </w:t>
      </w:r>
      <w:r w:rsidRPr="00981405">
        <w:t>reasoning</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tribunals</w:t>
      </w:r>
      <w:r w:rsidR="00190923" w:rsidRPr="00981405">
        <w:t xml:space="preserve"> </w:t>
      </w:r>
      <w:r w:rsidRPr="00981405">
        <w:t>is</w:t>
      </w:r>
      <w:r w:rsidR="00190923" w:rsidRPr="00981405">
        <w:t xml:space="preserve"> </w:t>
      </w:r>
      <w:r w:rsidRPr="00981405">
        <w:t>not</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relative</w:t>
      </w:r>
      <w:r w:rsidR="00190923" w:rsidRPr="00981405">
        <w:t xml:space="preserve"> </w:t>
      </w:r>
      <w:r w:rsidRPr="00981405">
        <w:t>importance</w:t>
      </w:r>
      <w:r w:rsidR="00190923" w:rsidRPr="00981405">
        <w:t xml:space="preserve"> </w:t>
      </w:r>
      <w:r w:rsidRPr="00981405">
        <w:t>of</w:t>
      </w:r>
      <w:r w:rsidR="00190923" w:rsidRPr="00981405">
        <w:t xml:space="preserve"> </w:t>
      </w:r>
      <w:r w:rsidRPr="00981405">
        <w:t>a</w:t>
      </w:r>
      <w:r w:rsidR="00190923" w:rsidRPr="00981405">
        <w:t xml:space="preserve"> </w:t>
      </w:r>
      <w:r w:rsidRPr="00981405">
        <w:t>provision</w:t>
      </w:r>
      <w:r w:rsidR="00190923" w:rsidRPr="00981405">
        <w:t xml:space="preserve"> </w:t>
      </w:r>
      <w:r w:rsidRPr="00981405">
        <w:t>with</w:t>
      </w:r>
      <w:r w:rsidR="00190923" w:rsidRPr="00981405">
        <w:t xml:space="preserve"> </w:t>
      </w:r>
      <w:r w:rsidRPr="00981405">
        <w:t>an</w:t>
      </w:r>
      <w:r w:rsidR="00190923" w:rsidRPr="00981405">
        <w:t xml:space="preserve"> </w:t>
      </w:r>
      <w:r w:rsidRPr="00981405">
        <w:t>18-month</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As</w:t>
      </w:r>
      <w:r w:rsidR="00190923" w:rsidRPr="00981405">
        <w:t xml:space="preserve"> </w:t>
      </w:r>
      <w:r w:rsidRPr="00981405">
        <w:t>pointed</w:t>
      </w:r>
      <w:r w:rsidR="00190923" w:rsidRPr="00981405">
        <w:t xml:space="preserve"> </w:t>
      </w:r>
      <w:r w:rsidRPr="00981405">
        <w:t>out</w:t>
      </w:r>
      <w:r w:rsidR="00190923" w:rsidRPr="00981405">
        <w:t xml:space="preserve"> </w:t>
      </w:r>
      <w:r w:rsidRPr="00981405">
        <w:t>above,</w:t>
      </w:r>
      <w:r w:rsidR="00190923" w:rsidRPr="00981405">
        <w:t xml:space="preserve"> </w:t>
      </w:r>
      <w:r w:rsidRPr="00981405">
        <w:t>in</w:t>
      </w:r>
      <w:r w:rsidR="00190923" w:rsidRPr="00981405">
        <w:t xml:space="preserve"> </w:t>
      </w:r>
      <w:r w:rsidRPr="00981405">
        <w:t>many</w:t>
      </w:r>
      <w:r w:rsidR="00190923" w:rsidRPr="00981405">
        <w:t xml:space="preserve"> </w:t>
      </w:r>
      <w:r w:rsidRPr="00981405">
        <w:t>instances</w:t>
      </w:r>
      <w:r w:rsidR="00190923" w:rsidRPr="00981405">
        <w:t xml:space="preserve"> </w:t>
      </w:r>
      <w:r w:rsidRPr="00981405">
        <w:t>the</w:t>
      </w:r>
      <w:r w:rsidR="00190923" w:rsidRPr="00981405">
        <w:t xml:space="preserve"> </w:t>
      </w:r>
      <w:r w:rsidRPr="00981405">
        <w:t>reasoning</w:t>
      </w:r>
      <w:r w:rsidR="00190923" w:rsidRPr="00981405">
        <w:t xml:space="preserve"> </w:t>
      </w:r>
      <w:r w:rsidRPr="00981405">
        <w:t>was</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assumption</w:t>
      </w:r>
      <w:r w:rsidR="00190923" w:rsidRPr="00981405">
        <w:t xml:space="preserve"> </w:t>
      </w:r>
      <w:r w:rsidRPr="00981405">
        <w:t>that</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BITs</w:t>
      </w:r>
      <w:r w:rsidR="00190923" w:rsidRPr="00981405">
        <w:t xml:space="preserve"> </w:t>
      </w:r>
      <w:r w:rsidRPr="00981405">
        <w:t>by</w:t>
      </w:r>
      <w:r w:rsidR="00190923" w:rsidRPr="00981405">
        <w:t xml:space="preserve"> </w:t>
      </w:r>
      <w:r w:rsidRPr="00981405">
        <w:t>their</w:t>
      </w:r>
      <w:r w:rsidR="00190923" w:rsidRPr="00981405">
        <w:t xml:space="preserve"> </w:t>
      </w:r>
      <w:r w:rsidRPr="00981405">
        <w:t>very</w:t>
      </w:r>
      <w:r w:rsidR="00190923" w:rsidRPr="00981405">
        <w:t xml:space="preserve"> </w:t>
      </w:r>
      <w:r w:rsidRPr="00981405">
        <w:t>nature</w:t>
      </w:r>
      <w:r w:rsidR="00190923" w:rsidRPr="00981405">
        <w:t xml:space="preserve"> </w:t>
      </w:r>
      <w:r w:rsidRPr="00981405">
        <w:t>cover</w:t>
      </w:r>
      <w:r w:rsidR="00190923" w:rsidRPr="00981405">
        <w:t xml:space="preserve"> </w:t>
      </w:r>
      <w:r w:rsidRPr="00981405">
        <w:t>dispute</w:t>
      </w:r>
      <w:r w:rsidR="00190923" w:rsidRPr="00981405">
        <w:t xml:space="preserve"> </w:t>
      </w:r>
      <w:r w:rsidRPr="00981405">
        <w:t>settlement.</w:t>
      </w:r>
      <w:r w:rsidR="00190923" w:rsidRPr="00981405">
        <w:t xml:space="preserve"> </w:t>
      </w:r>
    </w:p>
    <w:p w:rsidR="00397032" w:rsidRPr="00981405" w:rsidRDefault="00397032" w:rsidP="00D97463">
      <w:pPr>
        <w:pStyle w:val="SingleTxt"/>
      </w:pPr>
      <w:r w:rsidRPr="00981405">
        <w:t>130.</w:t>
      </w:r>
      <w:r w:rsidRPr="00981405">
        <w:tab/>
        <w:t>Other</w:t>
      </w:r>
      <w:r w:rsidR="00190923" w:rsidRPr="00981405">
        <w:t xml:space="preserve"> </w:t>
      </w:r>
      <w:r w:rsidRPr="00981405">
        <w:t>cases</w:t>
      </w:r>
      <w:r w:rsidR="00190923" w:rsidRPr="00981405">
        <w:t xml:space="preserve"> </w:t>
      </w:r>
      <w:r w:rsidRPr="00981405">
        <w:t>that</w:t>
      </w:r>
      <w:r w:rsidR="00190923" w:rsidRPr="00981405">
        <w:t xml:space="preserve"> </w:t>
      </w:r>
      <w:r w:rsidRPr="00981405">
        <w:t>have</w:t>
      </w:r>
      <w:r w:rsidR="00190923" w:rsidRPr="00981405">
        <w:t xml:space="preserve"> </w:t>
      </w:r>
      <w:r w:rsidRPr="00981405">
        <w:t>allowed</w:t>
      </w:r>
      <w:r w:rsidR="00190923" w:rsidRPr="00981405">
        <w:t xml:space="preserve"> </w:t>
      </w:r>
      <w:r w:rsidRPr="00981405">
        <w:t>MFN</w:t>
      </w:r>
      <w:r w:rsidR="00190923" w:rsidRPr="00981405">
        <w:t xml:space="preserve"> </w:t>
      </w:r>
      <w:r w:rsidRPr="00981405">
        <w:t>to</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obtain</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treaties</w:t>
      </w:r>
      <w:r w:rsidR="00190923" w:rsidRPr="00981405">
        <w:t xml:space="preserve"> </w:t>
      </w:r>
      <w:r w:rsidRPr="00981405">
        <w:t>relate</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rather</w:t>
      </w:r>
      <w:r w:rsidR="00190923" w:rsidRPr="00981405">
        <w:t xml:space="preserve"> </w:t>
      </w:r>
      <w:r w:rsidRPr="00981405">
        <w:t>than</w:t>
      </w:r>
      <w:r w:rsidR="00190923" w:rsidRPr="00981405">
        <w:t xml:space="preserve"> </w:t>
      </w:r>
      <w:r w:rsidRPr="00981405">
        <w:t>procedural</w:t>
      </w:r>
      <w:r w:rsidR="00190923" w:rsidRPr="00981405">
        <w:t xml:space="preserve"> </w:t>
      </w:r>
      <w:r w:rsidRPr="00981405">
        <w:t>issues.</w:t>
      </w:r>
      <w:r w:rsidR="00190923" w:rsidRPr="00981405">
        <w:t xml:space="preserve"> </w:t>
      </w:r>
      <w:r w:rsidRPr="00981405">
        <w:t>In</w:t>
      </w:r>
      <w:r w:rsidR="00190923" w:rsidRPr="00981405">
        <w:t xml:space="preserve"> </w:t>
      </w:r>
      <w:r w:rsidRPr="00D97463">
        <w:rPr>
          <w:i/>
          <w:iCs/>
        </w:rPr>
        <w:t>RosInvest</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in</w:t>
      </w:r>
      <w:r w:rsidR="00190923" w:rsidRPr="00981405">
        <w:t xml:space="preserve"> </w:t>
      </w:r>
      <w:r w:rsidRPr="00981405">
        <w:t>the</w:t>
      </w:r>
      <w:r w:rsidR="00190923" w:rsidRPr="00981405">
        <w:t xml:space="preserve"> </w:t>
      </w:r>
      <w:r w:rsidRPr="00981405">
        <w:t>UK-USSR</w:t>
      </w:r>
      <w:r w:rsidR="00190923" w:rsidRPr="00981405">
        <w:t xml:space="preserve"> </w:t>
      </w:r>
      <w:r w:rsidRPr="00981405">
        <w:t>BIT</w:t>
      </w:r>
      <w:r w:rsidR="00190923" w:rsidRPr="00981405">
        <w:t xml:space="preserve"> </w:t>
      </w:r>
      <w:r w:rsidRPr="00981405">
        <w:t>it</w:t>
      </w:r>
      <w:r w:rsidR="00190923" w:rsidRPr="00981405">
        <w:t xml:space="preserve"> </w:t>
      </w:r>
      <w:r w:rsidRPr="00981405">
        <w:t>had</w:t>
      </w:r>
      <w:r w:rsidR="00190923" w:rsidRPr="00981405">
        <w:t xml:space="preserve"> </w:t>
      </w:r>
      <w:r w:rsidRPr="00981405">
        <w:t>jurisdiction</w:t>
      </w:r>
      <w:r w:rsidR="00190923" w:rsidRPr="00981405">
        <w:t xml:space="preserve"> </w:t>
      </w:r>
      <w:r w:rsidRPr="00981405">
        <w:t>over</w:t>
      </w:r>
      <w:r w:rsidR="00190923" w:rsidRPr="00981405">
        <w:t xml:space="preserve"> </w:t>
      </w:r>
      <w:r w:rsidRPr="00981405">
        <w:t>the</w:t>
      </w:r>
      <w:r w:rsidR="00190923" w:rsidRPr="00981405">
        <w:t xml:space="preserve"> </w:t>
      </w:r>
      <w:r w:rsidRPr="00981405">
        <w:t>legality</w:t>
      </w:r>
      <w:r w:rsidR="00190923" w:rsidRPr="00981405">
        <w:t xml:space="preserve"> </w:t>
      </w:r>
      <w:r w:rsidRPr="00981405">
        <w:t>of</w:t>
      </w:r>
      <w:r w:rsidR="00190923" w:rsidRPr="00981405">
        <w:t xml:space="preserve"> </w:t>
      </w:r>
      <w:r w:rsidRPr="00981405">
        <w:t>an</w:t>
      </w:r>
      <w:r w:rsidR="00190923" w:rsidRPr="00981405">
        <w:t xml:space="preserve"> </w:t>
      </w:r>
      <w:r w:rsidRPr="00981405">
        <w:t>alleged</w:t>
      </w:r>
      <w:r w:rsidR="00190923" w:rsidRPr="00981405">
        <w:t xml:space="preserve"> </w:t>
      </w:r>
      <w:r w:rsidRPr="00981405">
        <w:t>expropriation</w:t>
      </w:r>
      <w:r w:rsidR="00190923" w:rsidRPr="00981405">
        <w:t xml:space="preserve"> </w:t>
      </w:r>
      <w:r w:rsidRPr="00981405">
        <w:t>and</w:t>
      </w:r>
      <w:r w:rsidR="00190923" w:rsidRPr="00981405">
        <w:t xml:space="preserve"> </w:t>
      </w:r>
      <w:r w:rsidRPr="00981405">
        <w:t>not</w:t>
      </w:r>
      <w:r w:rsidR="00190923" w:rsidRPr="00981405">
        <w:t xml:space="preserve"> </w:t>
      </w:r>
      <w:r w:rsidRPr="00981405">
        <w:t>just</w:t>
      </w:r>
      <w:r w:rsidR="00190923" w:rsidRPr="00981405">
        <w:t xml:space="preserve"> </w:t>
      </w:r>
      <w:r w:rsidRPr="00981405">
        <w:t>over</w:t>
      </w:r>
      <w:r w:rsidR="00190923" w:rsidRPr="00981405">
        <w:t xml:space="preserve"> </w:t>
      </w:r>
      <w:r w:rsidRPr="00981405">
        <w:t>the</w:t>
      </w:r>
      <w:r w:rsidR="00190923" w:rsidRPr="00981405">
        <w:t xml:space="preserve"> </w:t>
      </w:r>
      <w:r w:rsidRPr="00981405">
        <w:t>narrower</w:t>
      </w:r>
      <w:r w:rsidR="00190923" w:rsidRPr="00981405">
        <w:t xml:space="preserve"> </w:t>
      </w:r>
      <w:r w:rsidRPr="00981405">
        <w:t>question</w:t>
      </w:r>
      <w:r w:rsidR="00190923" w:rsidRPr="00981405">
        <w:t xml:space="preserve"> </w:t>
      </w:r>
      <w:r w:rsidRPr="00981405">
        <w:t>of</w:t>
      </w:r>
      <w:r w:rsidR="00190923" w:rsidRPr="00981405">
        <w:t xml:space="preserve"> </w:t>
      </w:r>
      <w:r w:rsidRPr="00981405">
        <w:t>matters</w:t>
      </w:r>
      <w:r w:rsidR="00190923" w:rsidRPr="00981405">
        <w:t xml:space="preserve"> </w:t>
      </w:r>
      <w:r w:rsidRPr="00981405">
        <w:t>relating</w:t>
      </w:r>
      <w:r w:rsidR="00190923" w:rsidRPr="00981405">
        <w:t xml:space="preserve"> </w:t>
      </w:r>
      <w:r w:rsidRPr="00981405">
        <w:t>to</w:t>
      </w:r>
      <w:r w:rsidR="00190923" w:rsidRPr="00981405">
        <w:t xml:space="preserve"> </w:t>
      </w:r>
      <w:r w:rsidRPr="00981405">
        <w:t>compensation,</w:t>
      </w:r>
      <w:r w:rsidR="00190923" w:rsidRPr="00981405">
        <w:t xml:space="preserve"> </w:t>
      </w:r>
      <w:r w:rsidRPr="00981405">
        <w:t>which</w:t>
      </w:r>
      <w:r w:rsidR="00190923" w:rsidRPr="00981405">
        <w:t xml:space="preserve"> </w:t>
      </w:r>
      <w:r w:rsidRPr="00981405">
        <w:t>is</w:t>
      </w:r>
      <w:r w:rsidR="00190923" w:rsidRPr="00981405">
        <w:t xml:space="preserve"> </w:t>
      </w:r>
      <w:r w:rsidRPr="00981405">
        <w:t>what</w:t>
      </w:r>
      <w:r w:rsidR="00190923" w:rsidRPr="00981405">
        <w:t xml:space="preserve"> </w:t>
      </w:r>
      <w:r w:rsidRPr="00981405">
        <w:t>the</w:t>
      </w:r>
      <w:r w:rsidR="00190923" w:rsidRPr="00981405">
        <w:t xml:space="preserve"> </w:t>
      </w:r>
      <w:r w:rsidRPr="00981405">
        <w:t>UK-USSR</w:t>
      </w:r>
      <w:r w:rsidR="00190923" w:rsidRPr="00981405">
        <w:t xml:space="preserve"> </w:t>
      </w:r>
      <w:r w:rsidRPr="00981405">
        <w:t>BIT</w:t>
      </w:r>
      <w:r w:rsidR="00190923" w:rsidRPr="00981405">
        <w:t xml:space="preserve"> </w:t>
      </w:r>
      <w:r w:rsidRPr="00981405">
        <w:t>had</w:t>
      </w:r>
      <w:r w:rsidR="00190923" w:rsidRPr="00981405">
        <w:t xml:space="preserve"> </w:t>
      </w:r>
      <w:r w:rsidRPr="00981405">
        <w:t>provided</w:t>
      </w:r>
      <w:r w:rsidR="00190923" w:rsidRPr="00981405">
        <w:t xml:space="preserve"> </w:t>
      </w:r>
      <w:r w:rsidRPr="00981405">
        <w:t>for.</w:t>
      </w:r>
      <w:r w:rsidR="00190923" w:rsidRPr="00981405">
        <w:t xml:space="preserve"> </w:t>
      </w:r>
    </w:p>
    <w:p w:rsidR="00397032" w:rsidRPr="00981405" w:rsidRDefault="00397032" w:rsidP="00D97463">
      <w:pPr>
        <w:pStyle w:val="SingleTxt"/>
      </w:pPr>
      <w:r w:rsidRPr="00981405">
        <w:lastRenderedPageBreak/>
        <w:t>131.</w:t>
      </w:r>
      <w:r w:rsidRPr="00981405">
        <w:tab/>
        <w:t>However,</w:t>
      </w:r>
      <w:r w:rsidR="00190923" w:rsidRPr="00981405">
        <w:t xml:space="preserve"> </w:t>
      </w:r>
      <w:r w:rsidRPr="00981405">
        <w:t>two</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rejected</w:t>
      </w:r>
      <w:r w:rsidR="00190923" w:rsidRPr="00981405">
        <w:t xml:space="preserve"> </w:t>
      </w:r>
      <w:r w:rsidRPr="00981405">
        <w:t>such</w:t>
      </w:r>
      <w:r w:rsidR="00190923" w:rsidRPr="00981405">
        <w:t xml:space="preserve"> </w:t>
      </w:r>
      <w:r w:rsidRPr="00981405">
        <w:t>a</w:t>
      </w:r>
      <w:r w:rsidR="00190923" w:rsidRPr="00981405">
        <w:t xml:space="preserve"> </w:t>
      </w:r>
      <w:r w:rsidRPr="00981405">
        <w:t>use</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D97463">
        <w:rPr>
          <w:i/>
          <w:iCs/>
        </w:rPr>
        <w:t>Renta</w:t>
      </w:r>
      <w:r w:rsidR="00190923" w:rsidRPr="00981405">
        <w:t xml:space="preserve"> </w:t>
      </w:r>
      <w:r w:rsidRPr="00981405">
        <w:t>the</w:t>
      </w:r>
      <w:r w:rsidR="00190923" w:rsidRPr="00981405">
        <w:t xml:space="preserve"> </w:t>
      </w:r>
      <w:r w:rsidRPr="00981405">
        <w:t>majority</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was</w:t>
      </w:r>
      <w:r w:rsidR="00190923" w:rsidRPr="00981405">
        <w:t xml:space="preserve"> </w:t>
      </w:r>
      <w:r w:rsidRPr="00981405">
        <w:t>not</w:t>
      </w:r>
      <w:r w:rsidR="00190923" w:rsidRPr="00981405">
        <w:t xml:space="preserve"> </w:t>
      </w:r>
      <w:r w:rsidRPr="00981405">
        <w:t>prepared</w:t>
      </w:r>
      <w:r w:rsidR="00190923" w:rsidRPr="00981405">
        <w:t xml:space="preserve"> </w:t>
      </w:r>
      <w:r w:rsidRPr="00981405">
        <w:t>to</w:t>
      </w:r>
      <w:r w:rsidR="00190923" w:rsidRPr="00981405">
        <w:t xml:space="preserve"> </w:t>
      </w:r>
      <w:r w:rsidRPr="00981405">
        <w:t>interpret</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Spain-Russia</w:t>
      </w:r>
      <w:r w:rsidR="00190923" w:rsidRPr="00981405">
        <w:t xml:space="preserve"> </w:t>
      </w:r>
      <w:r w:rsidRPr="00981405">
        <w:t>agreement</w:t>
      </w:r>
      <w:r w:rsidR="00190923" w:rsidRPr="00981405">
        <w:t xml:space="preserve"> </w:t>
      </w:r>
      <w:r w:rsidRPr="00981405">
        <w:t>to</w:t>
      </w:r>
      <w:r w:rsidR="00190923" w:rsidRPr="00981405">
        <w:t xml:space="preserve"> </w:t>
      </w:r>
      <w:r w:rsidRPr="00981405">
        <w:t>allow</w:t>
      </w:r>
      <w:r w:rsidR="00190923" w:rsidRPr="00981405">
        <w:t xml:space="preserve"> </w:t>
      </w:r>
      <w:r w:rsidRPr="00981405">
        <w:t>claims</w:t>
      </w:r>
      <w:r w:rsidR="00190923" w:rsidRPr="00981405">
        <w:t xml:space="preserve"> </w:t>
      </w:r>
      <w:r w:rsidRPr="00981405">
        <w:t>beyond</w:t>
      </w:r>
      <w:r w:rsidR="00190923" w:rsidRPr="00981405">
        <w:t xml:space="preserve"> </w:t>
      </w:r>
      <w:r w:rsidRPr="00981405">
        <w:t>compensation</w:t>
      </w:r>
      <w:r w:rsidR="00190923" w:rsidRPr="00981405">
        <w:t xml:space="preserve"> </w:t>
      </w:r>
      <w:r w:rsidRPr="00981405">
        <w:t>for</w:t>
      </w:r>
      <w:r w:rsidR="00190923" w:rsidRPr="00981405">
        <w:t xml:space="preserve"> </w:t>
      </w:r>
      <w:r w:rsidRPr="00981405">
        <w:t>expropriation</w:t>
      </w:r>
      <w:r w:rsidR="00190923" w:rsidRPr="00981405">
        <w:t xml:space="preserve"> </w:t>
      </w:r>
      <w:r w:rsidRPr="00981405">
        <w:t>because</w:t>
      </w:r>
      <w:r w:rsidR="00190923" w:rsidRPr="00981405">
        <w:t xml:space="preserve"> </w:t>
      </w:r>
      <w:r w:rsidRPr="00981405">
        <w:t>in</w:t>
      </w:r>
      <w:r w:rsidR="00190923" w:rsidRPr="00981405">
        <w:t xml:space="preserve"> </w:t>
      </w:r>
      <w:r w:rsidRPr="00981405">
        <w:t>its</w:t>
      </w:r>
      <w:r w:rsidR="00190923" w:rsidRPr="00981405">
        <w:t xml:space="preserve"> </w:t>
      </w:r>
      <w:r w:rsidRPr="00981405">
        <w:t>view</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question</w:t>
      </w:r>
      <w:r w:rsidR="00190923" w:rsidRPr="00981405">
        <w:t xml:space="preserve"> </w:t>
      </w:r>
      <w:r w:rsidRPr="00981405">
        <w:t>applied</w:t>
      </w:r>
      <w:r w:rsidR="00190923" w:rsidRPr="00981405">
        <w:t xml:space="preserve"> </w:t>
      </w:r>
      <w:r w:rsidRPr="00981405">
        <w:t>only</w:t>
      </w:r>
      <w:r w:rsidR="00190923" w:rsidRPr="00981405">
        <w:t xml:space="preserve"> </w:t>
      </w:r>
      <w:r w:rsidRPr="00981405">
        <w:t>to</w:t>
      </w:r>
      <w:r w:rsidR="00190923" w:rsidRPr="00981405">
        <w:t xml:space="preserve"> </w:t>
      </w:r>
      <w:r w:rsidRPr="00981405">
        <w:t>the</w:t>
      </w:r>
      <w:r w:rsidR="00190923" w:rsidRPr="00981405">
        <w:t xml:space="preserve"> </w:t>
      </w:r>
      <w:r w:rsidRPr="00981405">
        <w:t>granting</w:t>
      </w:r>
      <w:r w:rsidR="00190923" w:rsidRPr="00981405">
        <w:t xml:space="preserve"> </w:t>
      </w:r>
      <w:r w:rsidRPr="00981405">
        <w:t>of</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Pr="00981405">
        <w:rPr>
          <w:rStyle w:val="FootnoteReference"/>
        </w:rPr>
        <w:footnoteReference w:id="553"/>
      </w:r>
      <w:r w:rsidR="00190923" w:rsidRPr="00981405">
        <w:t xml:space="preserve"> </w:t>
      </w:r>
      <w:r w:rsidRPr="00981405">
        <w:t>The</w:t>
      </w:r>
      <w:r w:rsidR="00190923" w:rsidRPr="00981405">
        <w:t xml:space="preserve"> </w:t>
      </w:r>
      <w:r w:rsidRPr="00D97463">
        <w:rPr>
          <w:i/>
          <w:iCs/>
        </w:rPr>
        <w:t>Austrian</w:t>
      </w:r>
      <w:r w:rsidR="00190923" w:rsidRPr="00D97463">
        <w:rPr>
          <w:i/>
          <w:iCs/>
        </w:rPr>
        <w:t xml:space="preserve"> </w:t>
      </w:r>
      <w:r w:rsidRPr="00D97463">
        <w:rPr>
          <w:i/>
          <w:iCs/>
        </w:rPr>
        <w:t>Airlines</w:t>
      </w:r>
      <w:r w:rsidR="00190923" w:rsidRPr="00981405">
        <w:t xml:space="preserve"> </w:t>
      </w:r>
      <w:r w:rsidRPr="00981405">
        <w:t>tribunal</w:t>
      </w:r>
      <w:r w:rsidR="00190923" w:rsidRPr="00981405">
        <w:t xml:space="preserve"> </w:t>
      </w:r>
      <w:r w:rsidRPr="00981405">
        <w:t>equally</w:t>
      </w:r>
      <w:r w:rsidR="00190923" w:rsidRPr="00981405">
        <w:t xml:space="preserve"> </w:t>
      </w:r>
      <w:r w:rsidRPr="00981405">
        <w:t>found,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that</w:t>
      </w:r>
      <w:r w:rsidR="00190923" w:rsidRPr="00981405">
        <w:t xml:space="preserve"> </w:t>
      </w:r>
      <w:r w:rsidRPr="00981405">
        <w:t>it</w:t>
      </w:r>
      <w:r w:rsidR="00190923" w:rsidRPr="00981405">
        <w:t xml:space="preserve"> </w:t>
      </w:r>
      <w:r w:rsidRPr="00981405">
        <w:t>could</w:t>
      </w:r>
      <w:r w:rsidR="00190923" w:rsidRPr="00981405">
        <w:t xml:space="preserve"> </w:t>
      </w:r>
      <w:r w:rsidRPr="00981405">
        <w:t>not</w:t>
      </w:r>
      <w:r w:rsidR="00190923" w:rsidRPr="00981405">
        <w:t xml:space="preserve"> </w:t>
      </w:r>
      <w:r w:rsidRPr="00981405">
        <w:t>be</w:t>
      </w:r>
      <w:r w:rsidR="00190923" w:rsidRPr="00981405">
        <w:t xml:space="preserve"> </w:t>
      </w:r>
      <w:r w:rsidRPr="00981405">
        <w:t>expanded</w:t>
      </w:r>
      <w:r w:rsidR="00190923" w:rsidRPr="00981405">
        <w:t xml:space="preserve"> </w:t>
      </w:r>
      <w:r w:rsidRPr="00981405">
        <w:t>beyond</w:t>
      </w:r>
      <w:r w:rsidR="00190923" w:rsidRPr="00981405">
        <w:t xml:space="preserve"> </w:t>
      </w:r>
      <w:r w:rsidRPr="00981405">
        <w:t>the</w:t>
      </w:r>
      <w:r w:rsidR="00190923" w:rsidRPr="00981405">
        <w:t xml:space="preserve"> </w:t>
      </w:r>
      <w:r w:rsidRPr="00981405">
        <w:t>express</w:t>
      </w:r>
      <w:r w:rsidR="00190923" w:rsidRPr="00981405">
        <w:t xml:space="preserve"> </w:t>
      </w:r>
      <w:r w:rsidRPr="00981405">
        <w:t>grant</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to</w:t>
      </w:r>
      <w:r w:rsidR="00190923" w:rsidRPr="00981405">
        <w:t xml:space="preserve"> </w:t>
      </w:r>
      <w:r w:rsidRPr="00981405">
        <w:t>deal</w:t>
      </w:r>
      <w:r w:rsidR="00190923" w:rsidRPr="00981405">
        <w:t xml:space="preserve"> </w:t>
      </w:r>
      <w:r w:rsidRPr="00981405">
        <w:t>with</w:t>
      </w:r>
      <w:r w:rsidR="00190923" w:rsidRPr="00981405">
        <w:t xml:space="preserve"> </w:t>
      </w:r>
      <w:r w:rsidRPr="00981405">
        <w:t>matters</w:t>
      </w:r>
      <w:r w:rsidR="00190923" w:rsidRPr="00981405">
        <w:t xml:space="preserve"> </w:t>
      </w:r>
      <w:r w:rsidRPr="00981405">
        <w:t>relating</w:t>
      </w:r>
      <w:r w:rsidR="00190923" w:rsidRPr="00981405">
        <w:t xml:space="preserve"> </w:t>
      </w:r>
      <w:r w:rsidRPr="00981405">
        <w:t>to</w:t>
      </w:r>
      <w:r w:rsidR="00190923" w:rsidRPr="00981405">
        <w:t xml:space="preserve"> </w:t>
      </w:r>
      <w:r w:rsidRPr="00981405">
        <w:t>compensation</w:t>
      </w:r>
      <w:r w:rsidR="00190923" w:rsidRPr="00981405">
        <w:t xml:space="preserve"> </w:t>
      </w:r>
      <w:r w:rsidRPr="00981405">
        <w:t>in</w:t>
      </w:r>
      <w:r w:rsidR="00190923" w:rsidRPr="00981405">
        <w:t xml:space="preserve"> </w:t>
      </w:r>
      <w:r w:rsidRPr="00981405">
        <w:t>the</w:t>
      </w:r>
      <w:r w:rsidR="00190923" w:rsidRPr="00981405">
        <w:t xml:space="preserve"> </w:t>
      </w:r>
      <w:r w:rsidRPr="00981405">
        <w:t>event</w:t>
      </w:r>
      <w:r w:rsidR="00190923" w:rsidRPr="00981405">
        <w:t xml:space="preserve"> </w:t>
      </w:r>
      <w:r w:rsidRPr="00981405">
        <w:t>of</w:t>
      </w:r>
      <w:r w:rsidR="00190923" w:rsidRPr="00981405">
        <w:t xml:space="preserve"> </w:t>
      </w:r>
      <w:r w:rsidRPr="00981405">
        <w:t>expropriation.</w:t>
      </w:r>
      <w:r w:rsidRPr="00981405">
        <w:rPr>
          <w:rStyle w:val="FootnoteReference"/>
        </w:rPr>
        <w:footnoteReference w:id="554"/>
      </w:r>
    </w:p>
    <w:p w:rsidR="00397032" w:rsidRPr="00981405" w:rsidRDefault="00397032" w:rsidP="00D97463">
      <w:pPr>
        <w:pStyle w:val="SingleTxt"/>
      </w:pPr>
      <w:r w:rsidRPr="00981405">
        <w:t>132.</w:t>
      </w:r>
      <w:r w:rsidRPr="00981405">
        <w:tab/>
        <w:t>In</w:t>
      </w:r>
      <w:r w:rsidR="00190923" w:rsidRPr="00981405">
        <w:t xml:space="preserve"> </w:t>
      </w:r>
      <w:r w:rsidRPr="00D97463">
        <w:rPr>
          <w:i/>
          <w:iCs/>
        </w:rPr>
        <w:t>MTD</w:t>
      </w:r>
      <w:r w:rsidR="00190923" w:rsidRPr="00981405">
        <w:t xml:space="preserve"> </w:t>
      </w:r>
      <w:r w:rsidRPr="00981405">
        <w:t>the</w:t>
      </w:r>
      <w:r w:rsidR="00190923" w:rsidRPr="00981405">
        <w:t xml:space="preserve"> </w:t>
      </w:r>
      <w:r w:rsidRPr="00981405">
        <w:t>tribunal</w:t>
      </w:r>
      <w:r w:rsidR="00190923" w:rsidRPr="00981405">
        <w:t xml:space="preserve"> </w:t>
      </w:r>
      <w:r w:rsidRPr="00981405">
        <w:t>was</w:t>
      </w:r>
      <w:r w:rsidR="00190923" w:rsidRPr="00981405">
        <w:t xml:space="preserve"> </w:t>
      </w:r>
      <w:r w:rsidRPr="00981405">
        <w:t>prepared</w:t>
      </w:r>
      <w:r w:rsidR="00190923" w:rsidRPr="00981405">
        <w:t xml:space="preserve"> </w:t>
      </w:r>
      <w:r w:rsidRPr="00981405">
        <w:t>to</w:t>
      </w:r>
      <w:r w:rsidR="00190923" w:rsidRPr="00981405">
        <w:t xml:space="preserve"> </w:t>
      </w:r>
      <w:r w:rsidRPr="00981405">
        <w:t>broaden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under</w:t>
      </w:r>
      <w:r w:rsidR="00190923" w:rsidRPr="00981405">
        <w:t xml:space="preserve"> </w:t>
      </w:r>
      <w:r w:rsidRPr="00981405">
        <w:t>the</w:t>
      </w:r>
      <w:r w:rsidR="00190923" w:rsidRPr="00981405">
        <w:t xml:space="preserve"> </w:t>
      </w:r>
      <w:r w:rsidRPr="00981405">
        <w:t>Chile-Malaysia</w:t>
      </w:r>
      <w:r w:rsidR="00190923" w:rsidRPr="00981405">
        <w:t xml:space="preserve"> </w:t>
      </w:r>
      <w:r w:rsidRPr="00981405">
        <w:t>BIT</w:t>
      </w:r>
      <w:r w:rsidR="00190923" w:rsidRPr="00981405">
        <w:t xml:space="preserve"> </w:t>
      </w:r>
      <w:r w:rsidRPr="00981405">
        <w:t>by</w:t>
      </w:r>
      <w:r w:rsidR="00190923" w:rsidRPr="00981405">
        <w:t xml:space="preserve"> </w:t>
      </w:r>
      <w:r w:rsidRPr="00981405">
        <w:t>reference</w:t>
      </w:r>
      <w:r w:rsidR="00190923" w:rsidRPr="00981405">
        <w:t xml:space="preserve"> </w:t>
      </w:r>
      <w:r w:rsidRPr="00981405">
        <w:t>to</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in</w:t>
      </w:r>
      <w:r w:rsidR="00190923" w:rsidRPr="00981405">
        <w:t xml:space="preserve"> </w:t>
      </w:r>
      <w:r w:rsidRPr="00981405">
        <w:t>the</w:t>
      </w:r>
      <w:r w:rsidR="00190923" w:rsidRPr="00981405">
        <w:t xml:space="preserve"> </w:t>
      </w:r>
      <w:r w:rsidRPr="00981405">
        <w:t>Chile-Denmark</w:t>
      </w:r>
      <w:r w:rsidR="00190923" w:rsidRPr="00981405">
        <w:t xml:space="preserve"> </w:t>
      </w:r>
      <w:r w:rsidRPr="00981405">
        <w:t>and</w:t>
      </w:r>
      <w:r w:rsidR="00190923" w:rsidRPr="00981405">
        <w:t xml:space="preserve"> </w:t>
      </w:r>
      <w:r w:rsidRPr="00981405">
        <w:t>Chile-Croatia</w:t>
      </w:r>
      <w:r w:rsidR="00190923" w:rsidRPr="00981405">
        <w:t xml:space="preserve"> </w:t>
      </w:r>
      <w:r w:rsidRPr="00981405">
        <w:t>BITs.</w:t>
      </w:r>
      <w:r w:rsidR="00190923" w:rsidRPr="00981405">
        <w:t xml:space="preserve"> </w:t>
      </w:r>
      <w:r w:rsidRPr="00981405">
        <w:t>However,</w:t>
      </w:r>
      <w:r w:rsidR="00190923" w:rsidRPr="00981405">
        <w:t xml:space="preserve"> </w:t>
      </w:r>
      <w:r w:rsidRPr="00981405">
        <w:t>it</w:t>
      </w:r>
      <w:r w:rsidR="00190923" w:rsidRPr="00981405">
        <w:t xml:space="preserve"> </w:t>
      </w:r>
      <w:r w:rsidRPr="00981405">
        <w:t>appeared</w:t>
      </w:r>
      <w:r w:rsidR="00190923" w:rsidRPr="00981405">
        <w:t xml:space="preserve"> </w:t>
      </w:r>
      <w:r w:rsidRPr="00981405">
        <w:t>that</w:t>
      </w:r>
      <w:r w:rsidR="00190923" w:rsidRPr="00981405">
        <w:t xml:space="preserve"> </w:t>
      </w:r>
      <w:r w:rsidRPr="00981405">
        <w:t>neither</w:t>
      </w:r>
      <w:r w:rsidR="00190923" w:rsidRPr="00981405">
        <w:t xml:space="preserve"> </w:t>
      </w:r>
      <w:r w:rsidRPr="00981405">
        <w:t>party</w:t>
      </w:r>
      <w:r w:rsidR="00190923" w:rsidRPr="00981405">
        <w:t xml:space="preserve"> </w:t>
      </w:r>
      <w:r w:rsidRPr="00981405">
        <w:t>challenged</w:t>
      </w:r>
      <w:r w:rsidR="00190923" w:rsidRPr="00981405">
        <w:t xml:space="preserve"> </w:t>
      </w:r>
      <w:r w:rsidRPr="00981405">
        <w:t>the</w:t>
      </w:r>
      <w:r w:rsidR="00190923" w:rsidRPr="00981405">
        <w:t xml:space="preserve"> </w:t>
      </w:r>
      <w:r w:rsidRPr="00981405">
        <w:t>ability</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to</w:t>
      </w:r>
      <w:r w:rsidR="00190923" w:rsidRPr="00981405">
        <w:t xml:space="preserve"> </w:t>
      </w:r>
      <w:r w:rsidRPr="00981405">
        <w:t>do</w:t>
      </w:r>
      <w:r w:rsidR="00190923" w:rsidRPr="00981405">
        <w:t xml:space="preserve"> </w:t>
      </w:r>
      <w:r w:rsidRPr="00981405">
        <w:t>this,</w:t>
      </w:r>
      <w:r w:rsidR="00190923" w:rsidRPr="00981405">
        <w:t xml:space="preserve"> </w:t>
      </w:r>
      <w:r w:rsidRPr="00981405">
        <w:t>although</w:t>
      </w:r>
      <w:r w:rsidR="00190923" w:rsidRPr="00981405">
        <w:t xml:space="preserve"> </w:t>
      </w:r>
      <w:r w:rsidRPr="00981405">
        <w:t>they</w:t>
      </w:r>
      <w:r w:rsidR="00190923" w:rsidRPr="00981405">
        <w:t xml:space="preserve"> </w:t>
      </w:r>
      <w:r w:rsidRPr="00981405">
        <w:t>did</w:t>
      </w:r>
      <w:r w:rsidR="00190923" w:rsidRPr="00981405">
        <w:t xml:space="preserve"> </w:t>
      </w:r>
      <w:r w:rsidRPr="00981405">
        <w:t>not</w:t>
      </w:r>
      <w:r w:rsidR="00190923" w:rsidRPr="00981405">
        <w:t xml:space="preserve"> </w:t>
      </w:r>
      <w:r w:rsidRPr="00981405">
        <w:t>agree</w:t>
      </w:r>
      <w:r w:rsidR="00190923" w:rsidRPr="00981405">
        <w:t xml:space="preserve"> </w:t>
      </w:r>
      <w:r w:rsidRPr="00981405">
        <w:t>on</w:t>
      </w:r>
      <w:r w:rsidR="00190923" w:rsidRPr="00981405">
        <w:t xml:space="preserve"> </w:t>
      </w:r>
      <w:r w:rsidRPr="00981405">
        <w:t>all</w:t>
      </w:r>
      <w:r w:rsidR="00190923" w:rsidRPr="00981405">
        <w:t xml:space="preserve"> </w:t>
      </w:r>
      <w:r w:rsidRPr="00981405">
        <w:t>of</w:t>
      </w:r>
      <w:r w:rsidR="00190923" w:rsidRPr="00981405">
        <w:t xml:space="preserve"> </w:t>
      </w:r>
      <w:r w:rsidRPr="00981405">
        <w:t>the</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its</w:t>
      </w:r>
      <w:r w:rsidR="00190923" w:rsidRPr="00981405">
        <w:t xml:space="preserve"> </w:t>
      </w:r>
      <w:r w:rsidRPr="00981405">
        <w:t>having</w:t>
      </w:r>
      <w:r w:rsidR="00190923" w:rsidRPr="00981405">
        <w:t xml:space="preserve"> </w:t>
      </w:r>
      <w:r w:rsidRPr="00981405">
        <w:t>done</w:t>
      </w:r>
      <w:r w:rsidR="00190923" w:rsidRPr="00981405">
        <w:t xml:space="preserve"> </w:t>
      </w:r>
      <w:r w:rsidRPr="00981405">
        <w:t>so.</w:t>
      </w:r>
      <w:r w:rsidRPr="00981405">
        <w:rPr>
          <w:rStyle w:val="FootnoteReference"/>
        </w:rPr>
        <w:footnoteReference w:id="555"/>
      </w:r>
    </w:p>
    <w:p w:rsidR="00397032" w:rsidRPr="00981405" w:rsidRDefault="00397032" w:rsidP="00D97463">
      <w:pPr>
        <w:pStyle w:val="SingleTxt"/>
      </w:pPr>
      <w:r w:rsidRPr="00981405">
        <w:t>133.</w:t>
      </w:r>
      <w:r w:rsidRPr="00981405">
        <w:tab/>
        <w:t>Equally</w:t>
      </w:r>
      <w:r w:rsidR="00190923" w:rsidRPr="00981405">
        <w:t xml:space="preserve"> </w:t>
      </w:r>
      <w:r w:rsidRPr="00981405">
        <w:t>in</w:t>
      </w:r>
      <w:r w:rsidR="00190923" w:rsidRPr="00981405">
        <w:t xml:space="preserve"> </w:t>
      </w:r>
      <w:r w:rsidRPr="00D97463">
        <w:rPr>
          <w:i/>
          <w:iCs/>
        </w:rPr>
        <w:t>Telsim</w:t>
      </w:r>
      <w:r w:rsidRPr="00981405">
        <w:t>,</w:t>
      </w:r>
      <w:r w:rsidRPr="00981405">
        <w:rPr>
          <w:rStyle w:val="FootnoteReference"/>
        </w:rPr>
        <w:footnoteReference w:id="556"/>
      </w:r>
      <w:r w:rsidR="00190923" w:rsidRPr="00981405">
        <w:t xml:space="preserve"> </w:t>
      </w:r>
      <w:r w:rsidRPr="00981405">
        <w:t>the</w:t>
      </w:r>
      <w:r w:rsidR="00190923" w:rsidRPr="00981405">
        <w:t xml:space="preserve"> </w:t>
      </w:r>
      <w:r w:rsidRPr="00981405">
        <w:t>parties</w:t>
      </w:r>
      <w:r w:rsidR="00190923" w:rsidRPr="00981405">
        <w:t xml:space="preserve"> </w:t>
      </w:r>
      <w:r w:rsidRPr="00981405">
        <w:t>appeared</w:t>
      </w:r>
      <w:r w:rsidR="00190923" w:rsidRPr="00981405">
        <w:t xml:space="preserve"> </w:t>
      </w:r>
      <w:r w:rsidRPr="00981405">
        <w:t>to</w:t>
      </w:r>
      <w:r w:rsidR="00190923" w:rsidRPr="00981405">
        <w:t xml:space="preserve"> </w:t>
      </w:r>
      <w:r w:rsidRPr="00981405">
        <w:t>be</w:t>
      </w:r>
      <w:r w:rsidR="00190923" w:rsidRPr="00981405">
        <w:t xml:space="preserve"> </w:t>
      </w:r>
      <w:r w:rsidRPr="00981405">
        <w:t>in</w:t>
      </w:r>
      <w:r w:rsidR="00190923" w:rsidRPr="00981405">
        <w:t xml:space="preserve"> </w:t>
      </w:r>
      <w:r w:rsidRPr="00981405">
        <w:t>agreement</w:t>
      </w:r>
      <w:r w:rsidR="00190923" w:rsidRPr="00981405">
        <w:t xml:space="preserve"> </w:t>
      </w:r>
      <w:r w:rsidRPr="00981405">
        <w:t>that,</w:t>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under</w:t>
      </w:r>
      <w:r w:rsidR="00190923" w:rsidRPr="00981405">
        <w:t xml:space="preserve"> </w:t>
      </w:r>
      <w:r w:rsidRPr="00981405">
        <w:t>the</w:t>
      </w:r>
      <w:r w:rsidR="00190923" w:rsidRPr="00981405">
        <w:t xml:space="preserve"> </w:t>
      </w:r>
      <w:r w:rsidRPr="00981405">
        <w:t>Turkey-Kazakhstan</w:t>
      </w:r>
      <w:r w:rsidR="00190923" w:rsidRPr="00981405">
        <w:t xml:space="preserve"> </w:t>
      </w:r>
      <w:r w:rsidRPr="00981405">
        <w:t>BIT</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found</w:t>
      </w:r>
      <w:r w:rsidR="00190923" w:rsidRPr="00981405">
        <w:t xml:space="preserve"> </w:t>
      </w:r>
      <w:r w:rsidRPr="00981405">
        <w:t>in</w:t>
      </w:r>
      <w:r w:rsidR="00190923" w:rsidRPr="00981405">
        <w:t xml:space="preserve"> </w:t>
      </w:r>
      <w:r w:rsidRPr="00981405">
        <w:t>other</w:t>
      </w:r>
      <w:r w:rsidR="00190923" w:rsidRPr="00981405">
        <w:t xml:space="preserve"> </w:t>
      </w:r>
      <w:r w:rsidRPr="00981405">
        <w:t>BITs</w:t>
      </w:r>
      <w:r w:rsidR="00190923" w:rsidRPr="00981405">
        <w:t xml:space="preserve"> </w:t>
      </w:r>
      <w:r w:rsidRPr="00981405">
        <w:t>to</w:t>
      </w:r>
      <w:r w:rsidR="00190923" w:rsidRPr="00981405">
        <w:t xml:space="preserve"> </w:t>
      </w:r>
      <w:r w:rsidRPr="00981405">
        <w:t>which</w:t>
      </w:r>
      <w:r w:rsidR="00190923" w:rsidRPr="00981405">
        <w:t xml:space="preserve"> </w:t>
      </w:r>
      <w:r w:rsidRPr="00981405">
        <w:t>Kazakhstan</w:t>
      </w:r>
      <w:r w:rsidR="00190923" w:rsidRPr="00981405">
        <w:t xml:space="preserve"> </w:t>
      </w:r>
      <w:r w:rsidRPr="00981405">
        <w:t>was</w:t>
      </w:r>
      <w:r w:rsidR="00190923" w:rsidRPr="00981405">
        <w:t xml:space="preserve"> </w:t>
      </w:r>
      <w:r w:rsidRPr="00981405">
        <w:t>a</w:t>
      </w:r>
      <w:r w:rsidR="00190923" w:rsidRPr="00981405">
        <w:t xml:space="preserve"> </w:t>
      </w:r>
      <w:r w:rsidRPr="00981405">
        <w:t>party.</w:t>
      </w:r>
      <w:r w:rsidR="00190923" w:rsidRPr="00981405">
        <w:t xml:space="preserve"> </w:t>
      </w:r>
      <w:r w:rsidRPr="00981405">
        <w:t>Further,</w:t>
      </w:r>
      <w:r w:rsidR="00190923" w:rsidRPr="00981405">
        <w:t xml:space="preserve"> </w:t>
      </w:r>
      <w:r w:rsidRPr="00981405">
        <w:t>in</w:t>
      </w:r>
      <w:r w:rsidR="00190923" w:rsidRPr="00981405">
        <w:t xml:space="preserve"> </w:t>
      </w:r>
      <w:r w:rsidRPr="00D97463">
        <w:rPr>
          <w:i/>
          <w:iCs/>
        </w:rPr>
        <w:t>Bayindir</w:t>
      </w:r>
      <w:r w:rsidRPr="00981405">
        <w:t>,</w:t>
      </w:r>
      <w:r w:rsidRPr="00981405">
        <w:rPr>
          <w:rStyle w:val="FootnoteReference"/>
        </w:rPr>
        <w:footnoteReference w:id="557"/>
      </w:r>
      <w:r w:rsidR="00190923" w:rsidRPr="00981405">
        <w:t xml:space="preserve"> </w:t>
      </w:r>
      <w:r w:rsidRPr="00981405">
        <w:t>there</w:t>
      </w:r>
      <w:r w:rsidR="00190923" w:rsidRPr="00981405">
        <w:t xml:space="preserve"> </w:t>
      </w:r>
      <w:r w:rsidRPr="00981405">
        <w:t>was</w:t>
      </w:r>
      <w:r w:rsidR="00190923" w:rsidRPr="00981405">
        <w:t xml:space="preserve"> </w:t>
      </w:r>
      <w:r w:rsidRPr="00981405">
        <w:t>no</w:t>
      </w:r>
      <w:r w:rsidR="00190923" w:rsidRPr="00981405">
        <w:t xml:space="preserve"> </w:t>
      </w:r>
      <w:r w:rsidRPr="00981405">
        <w:t>objection</w:t>
      </w:r>
      <w:r w:rsidR="00190923" w:rsidRPr="00981405">
        <w:t xml:space="preserve"> </w:t>
      </w:r>
      <w:r w:rsidRPr="00981405">
        <w:t>to</w:t>
      </w:r>
      <w:r w:rsidR="00190923" w:rsidRPr="00981405">
        <w:t xml:space="preserve"> </w:t>
      </w:r>
      <w:r w:rsidRPr="00981405">
        <w:t>the</w:t>
      </w:r>
      <w:r w:rsidR="00190923" w:rsidRPr="00981405">
        <w:t xml:space="preserve"> </w:t>
      </w:r>
      <w:r w:rsidRPr="00981405">
        <w:t>general</w:t>
      </w:r>
      <w:r w:rsidR="00190923" w:rsidRPr="00981405">
        <w:t xml:space="preserve"> </w:t>
      </w:r>
      <w:r w:rsidRPr="00981405">
        <w:t>principle</w:t>
      </w:r>
      <w:r w:rsidR="00190923" w:rsidRPr="00981405">
        <w:t xml:space="preserve"> </w:t>
      </w:r>
      <w:r w:rsidRPr="00981405">
        <w:t>that,</w:t>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00B92E2C" w:rsidRPr="00981405">
        <w:t>“</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Turkey-Pakistan</w:t>
      </w:r>
      <w:r w:rsidR="00190923" w:rsidRPr="00981405">
        <w:t xml:space="preserve"> </w:t>
      </w:r>
      <w:r w:rsidRPr="00981405">
        <w:t>BIT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determined</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other</w:t>
      </w:r>
      <w:r w:rsidR="00190923" w:rsidRPr="00981405">
        <w:t xml:space="preserve"> </w:t>
      </w:r>
      <w:r w:rsidRPr="00981405">
        <w:t>BITs</w:t>
      </w:r>
      <w:r w:rsidR="00190923" w:rsidRPr="00981405">
        <w:t xml:space="preserve"> </w:t>
      </w:r>
      <w:r w:rsidRPr="00981405">
        <w:t>entered</w:t>
      </w:r>
      <w:r w:rsidR="00190923" w:rsidRPr="00981405">
        <w:t xml:space="preserve"> </w:t>
      </w:r>
      <w:r w:rsidRPr="00981405">
        <w:t>into</w:t>
      </w:r>
      <w:r w:rsidR="00190923" w:rsidRPr="00981405">
        <w:t xml:space="preserve"> </w:t>
      </w:r>
      <w:r w:rsidRPr="00981405">
        <w:t>by</w:t>
      </w:r>
      <w:r w:rsidR="00190923" w:rsidRPr="00981405">
        <w:t xml:space="preserve"> </w:t>
      </w:r>
      <w:r w:rsidRPr="00981405">
        <w:t>Pakistan.</w:t>
      </w:r>
    </w:p>
    <w:p w:rsidR="00397032" w:rsidRPr="00981405" w:rsidRDefault="00397032" w:rsidP="00D97463">
      <w:pPr>
        <w:pStyle w:val="SingleTxt"/>
      </w:pPr>
      <w:r w:rsidRPr="00981405">
        <w:t>134.</w:t>
      </w:r>
      <w:r w:rsidRPr="00981405">
        <w:tab/>
        <w:t>Only</w:t>
      </w:r>
      <w:r w:rsidR="00190923" w:rsidRPr="00981405">
        <w:t xml:space="preserve"> </w:t>
      </w:r>
      <w:r w:rsidRPr="00981405">
        <w:t>in</w:t>
      </w:r>
      <w:r w:rsidR="00190923" w:rsidRPr="00981405">
        <w:t xml:space="preserve"> </w:t>
      </w:r>
      <w:r w:rsidRPr="00981405">
        <w:t>one</w:t>
      </w:r>
      <w:r w:rsidR="00190923" w:rsidRPr="00981405">
        <w:t xml:space="preserve"> </w:t>
      </w:r>
      <w:r w:rsidRPr="00981405">
        <w:t>case</w:t>
      </w:r>
      <w:r w:rsidR="00190923" w:rsidRPr="00981405">
        <w:t xml:space="preserve"> </w:t>
      </w:r>
      <w:r w:rsidRPr="00981405">
        <w:t>did</w:t>
      </w:r>
      <w:r w:rsidR="00190923" w:rsidRPr="00981405">
        <w:t xml:space="preserve"> </w:t>
      </w:r>
      <w:r w:rsidRPr="00981405">
        <w:t>a</w:t>
      </w:r>
      <w:r w:rsidR="00190923" w:rsidRPr="00981405">
        <w:t xml:space="preserve"> </w:t>
      </w:r>
      <w:r w:rsidRPr="00981405">
        <w:t>tribunal</w:t>
      </w:r>
      <w:r w:rsidR="00190923" w:rsidRPr="00981405">
        <w:t xml:space="preserve"> </w:t>
      </w:r>
      <w:r w:rsidRPr="00981405">
        <w:t>make</w:t>
      </w:r>
      <w:r w:rsidR="00190923" w:rsidRPr="00981405">
        <w:t xml:space="preserve"> </w:t>
      </w:r>
      <w:r w:rsidRPr="00981405">
        <w:t>a</w:t>
      </w:r>
      <w:r w:rsidR="00190923" w:rsidRPr="00981405">
        <w:t xml:space="preserve"> </w:t>
      </w:r>
      <w:r w:rsidRPr="00981405">
        <w:t>substantive</w:t>
      </w:r>
      <w:r w:rsidR="00190923" w:rsidRPr="00981405">
        <w:t xml:space="preserve"> </w:t>
      </w:r>
      <w:r w:rsidRPr="00981405">
        <w:t>addition</w:t>
      </w:r>
      <w:r w:rsidR="00190923" w:rsidRPr="00981405">
        <w:t xml:space="preserve"> </w:t>
      </w:r>
      <w:r w:rsidRPr="00981405">
        <w:t>to</w:t>
      </w:r>
      <w:r w:rsidR="00190923" w:rsidRPr="00981405">
        <w:t xml:space="preserve"> </w:t>
      </w:r>
      <w:r w:rsidRPr="00981405">
        <w:t>the</w:t>
      </w:r>
      <w:r w:rsidR="00190923" w:rsidRPr="00981405">
        <w:t xml:space="preserve"> </w:t>
      </w:r>
      <w:r w:rsidRPr="00981405">
        <w:t>obligations</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face</w:t>
      </w:r>
      <w:r w:rsidR="00190923" w:rsidRPr="00981405">
        <w:t xml:space="preserve"> </w:t>
      </w:r>
      <w:r w:rsidRPr="00981405">
        <w:t>of</w:t>
      </w:r>
      <w:r w:rsidR="00190923" w:rsidRPr="00981405">
        <w:t xml:space="preserve"> </w:t>
      </w:r>
      <w:r w:rsidRPr="00981405">
        <w:t>an</w:t>
      </w:r>
      <w:r w:rsidR="00190923" w:rsidRPr="00981405">
        <w:t xml:space="preserve"> </w:t>
      </w:r>
      <w:r w:rsidRPr="00981405">
        <w:t>objection</w:t>
      </w:r>
      <w:r w:rsidR="00190923" w:rsidRPr="00981405">
        <w:t xml:space="preserve"> </w:t>
      </w:r>
      <w:r w:rsidRPr="00981405">
        <w:t>by</w:t>
      </w:r>
      <w:r w:rsidR="00190923" w:rsidRPr="00981405">
        <w:t xml:space="preserve"> </w:t>
      </w:r>
      <w:r w:rsidRPr="00981405">
        <w:t>one</w:t>
      </w:r>
      <w:r w:rsidR="00190923" w:rsidRPr="00981405">
        <w:t xml:space="preserve"> </w:t>
      </w:r>
      <w:r w:rsidRPr="00981405">
        <w:t>party.</w:t>
      </w:r>
      <w:r w:rsidR="00190923" w:rsidRPr="00981405">
        <w:t xml:space="preserve"> </w:t>
      </w:r>
      <w:r w:rsidRPr="00981405">
        <w:t>In</w:t>
      </w:r>
      <w:r w:rsidR="00190923" w:rsidRPr="00981405">
        <w:t xml:space="preserve"> </w:t>
      </w:r>
      <w:r w:rsidRPr="00D97463">
        <w:rPr>
          <w:i/>
          <w:iCs/>
        </w:rPr>
        <w:t>CME</w:t>
      </w:r>
      <w:r w:rsidRPr="00981405">
        <w:t>,</w:t>
      </w:r>
      <w:r w:rsidR="00190923" w:rsidRPr="00981405">
        <w:t xml:space="preserve"> </w:t>
      </w:r>
      <w:r w:rsidRPr="00981405">
        <w:t>a</w:t>
      </w:r>
      <w:r w:rsidR="00190923" w:rsidRPr="00981405">
        <w:t xml:space="preserve"> </w:t>
      </w:r>
      <w:r w:rsidRPr="00981405">
        <w:t>majority</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just</w:t>
      </w:r>
      <w:r w:rsidR="00190923" w:rsidRPr="00981405">
        <w:t xml:space="preserve"> </w:t>
      </w:r>
      <w:r w:rsidRPr="00981405">
        <w:t>compensation</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Netherlands-Czech</w:t>
      </w:r>
      <w:r w:rsidR="00190923" w:rsidRPr="00981405">
        <w:t xml:space="preserve"> </w:t>
      </w:r>
      <w:r w:rsidRPr="00981405">
        <w:t>Republic</w:t>
      </w:r>
      <w:r w:rsidR="00190923" w:rsidRPr="00981405">
        <w:t xml:space="preserve"> </w:t>
      </w:r>
      <w:r w:rsidRPr="00981405">
        <w:t>BIT</w:t>
      </w:r>
      <w:r w:rsidR="00190923" w:rsidRPr="00981405">
        <w:t xml:space="preserve"> </w:t>
      </w:r>
      <w:r w:rsidRPr="00981405">
        <w:t>should</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to</w:t>
      </w:r>
      <w:r w:rsidR="00190923" w:rsidRPr="00981405">
        <w:t xml:space="preserve"> </w:t>
      </w:r>
      <w:r w:rsidRPr="00981405">
        <w:t>mean</w:t>
      </w:r>
      <w:r w:rsidR="00190923" w:rsidRPr="00981405">
        <w:t xml:space="preserve"> </w:t>
      </w:r>
      <w:r w:rsidR="00B92E2C" w:rsidRPr="00981405">
        <w:t>“</w:t>
      </w:r>
      <w:r w:rsidRPr="00981405">
        <w:t>fair</w:t>
      </w:r>
      <w:r w:rsidR="00190923" w:rsidRPr="00981405">
        <w:t xml:space="preserve"> </w:t>
      </w:r>
      <w:r w:rsidRPr="00981405">
        <w:t>market</w:t>
      </w:r>
      <w:r w:rsidR="00190923" w:rsidRPr="00981405">
        <w:t xml:space="preserve"> </w:t>
      </w:r>
      <w:r w:rsidRPr="00981405">
        <w:t>value</w:t>
      </w:r>
      <w:r w:rsidR="00B92E2C" w:rsidRPr="00981405">
        <w:t>”</w:t>
      </w:r>
      <w:r w:rsidRPr="00981405">
        <w:t>,</w:t>
      </w:r>
      <w:r w:rsidR="00190923" w:rsidRPr="00981405">
        <w:t xml:space="preserve"> </w:t>
      </w:r>
      <w:r w:rsidRPr="00981405">
        <w:t>in</w:t>
      </w:r>
      <w:r w:rsidR="00190923" w:rsidRPr="00981405">
        <w:t xml:space="preserve"> </w:t>
      </w:r>
      <w:r w:rsidRPr="00981405">
        <w:t>part</w:t>
      </w:r>
      <w:r w:rsidR="00190923" w:rsidRPr="00981405">
        <w:t xml:space="preserve"> </w:t>
      </w:r>
      <w:r w:rsidRPr="00981405">
        <w:t>because</w:t>
      </w:r>
      <w:r w:rsidR="00190923" w:rsidRPr="00981405">
        <w:t xml:space="preserve"> </w:t>
      </w:r>
      <w:r w:rsidRPr="00981405">
        <w:t>it</w:t>
      </w:r>
      <w:r w:rsidR="00190923" w:rsidRPr="00981405">
        <w:t xml:space="preserve"> </w:t>
      </w:r>
      <w:r w:rsidRPr="00981405">
        <w:t>was</w:t>
      </w:r>
      <w:r w:rsidR="00190923" w:rsidRPr="00981405">
        <w:t xml:space="preserve"> </w:t>
      </w:r>
      <w:r w:rsidRPr="00981405">
        <w:t>prepared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to</w:t>
      </w:r>
      <w:r w:rsidR="00190923" w:rsidRPr="00981405">
        <w:t xml:space="preserve"> </w:t>
      </w:r>
      <w:r w:rsidRPr="00981405">
        <w:t>incorporate</w:t>
      </w:r>
      <w:r w:rsidR="00190923" w:rsidRPr="00981405">
        <w:t xml:space="preserve"> </w:t>
      </w:r>
      <w:r w:rsidRPr="00981405">
        <w:t>the</w:t>
      </w:r>
      <w:r w:rsidR="00190923" w:rsidRPr="00981405">
        <w:t xml:space="preserve"> </w:t>
      </w:r>
      <w:r w:rsidRPr="00981405">
        <w:t>concept</w:t>
      </w:r>
      <w:r w:rsidR="00190923" w:rsidRPr="00981405">
        <w:t xml:space="preserve"> </w:t>
      </w:r>
      <w:r w:rsidRPr="00981405">
        <w:t>of</w:t>
      </w:r>
      <w:r w:rsidR="00190923" w:rsidRPr="00981405">
        <w:t xml:space="preserve"> </w:t>
      </w:r>
      <w:r w:rsidR="00B92E2C" w:rsidRPr="00981405">
        <w:t>“</w:t>
      </w:r>
      <w:r w:rsidRPr="00981405">
        <w:t>fair</w:t>
      </w:r>
      <w:r w:rsidR="00190923" w:rsidRPr="00981405">
        <w:t xml:space="preserve"> </w:t>
      </w:r>
      <w:r w:rsidRPr="00981405">
        <w:t>market</w:t>
      </w:r>
      <w:r w:rsidR="00190923" w:rsidRPr="00981405">
        <w:t xml:space="preserve"> </w:t>
      </w:r>
      <w:r w:rsidRPr="00981405">
        <w:t>value</w:t>
      </w:r>
      <w:r w:rsidR="00B92E2C" w:rsidRPr="00981405">
        <w:t>”</w:t>
      </w:r>
      <w:r w:rsidR="00190923" w:rsidRPr="00981405">
        <w:t xml:space="preserve"> </w:t>
      </w:r>
      <w:r w:rsidRPr="00981405">
        <w:t>from</w:t>
      </w:r>
      <w:r w:rsidR="00190923" w:rsidRPr="00981405">
        <w:t xml:space="preserve"> </w:t>
      </w:r>
      <w:r w:rsidRPr="00981405">
        <w:t>the</w:t>
      </w:r>
      <w:r w:rsidR="00190923" w:rsidRPr="00981405">
        <w:t xml:space="preserve"> </w:t>
      </w:r>
      <w:r w:rsidRPr="00981405">
        <w:t>US-Czech</w:t>
      </w:r>
      <w:r w:rsidR="00190923" w:rsidRPr="00981405">
        <w:t xml:space="preserve"> </w:t>
      </w:r>
      <w:r w:rsidRPr="00981405">
        <w:t>Republic</w:t>
      </w:r>
      <w:r w:rsidR="00190923" w:rsidRPr="00981405">
        <w:t xml:space="preserve"> </w:t>
      </w:r>
      <w:r w:rsidRPr="00981405">
        <w:t>BIT.</w:t>
      </w:r>
      <w:r w:rsidRPr="00981405">
        <w:rPr>
          <w:rStyle w:val="FootnoteReference"/>
        </w:rPr>
        <w:footnoteReference w:id="558"/>
      </w:r>
    </w:p>
    <w:p w:rsidR="002D20B7" w:rsidRPr="00D97463" w:rsidRDefault="002D20B7" w:rsidP="00D97463">
      <w:pPr>
        <w:pStyle w:val="SingleTxt"/>
        <w:spacing w:after="0" w:line="120" w:lineRule="exact"/>
        <w:rPr>
          <w:sz w:val="10"/>
        </w:rPr>
      </w:pPr>
    </w:p>
    <w:p w:rsidR="00397032" w:rsidRPr="00D97463" w:rsidRDefault="002D20B7" w:rsidP="00D97463">
      <w:pPr>
        <w:pStyle w:val="H4"/>
        <w:ind w:right="1260"/>
      </w:pPr>
      <w:bookmarkStart w:id="270" w:name="_Toc293434173"/>
      <w:bookmarkStart w:id="271" w:name="_Toc294353687"/>
      <w:bookmarkStart w:id="272" w:name="_Toc427938188"/>
      <w:r w:rsidRPr="00D97463">
        <w:tab/>
      </w:r>
      <w:r w:rsidR="00397032" w:rsidRPr="00D97463">
        <w:t>(vii)</w:t>
      </w:r>
      <w:r w:rsidR="00397032" w:rsidRPr="00D97463">
        <w:tab/>
      </w:r>
      <w:r w:rsidR="00190923" w:rsidRPr="00D97463">
        <w:t xml:space="preserve"> </w:t>
      </w:r>
      <w:r w:rsidR="00397032" w:rsidRPr="00D97463">
        <w:t>Consistency</w:t>
      </w:r>
      <w:bookmarkEnd w:id="270"/>
      <w:r w:rsidR="00190923" w:rsidRPr="00D97463">
        <w:t xml:space="preserve"> </w:t>
      </w:r>
      <w:r w:rsidR="00397032" w:rsidRPr="00D97463">
        <w:t>in</w:t>
      </w:r>
      <w:r w:rsidR="00190923" w:rsidRPr="00D97463">
        <w:t xml:space="preserve"> </w:t>
      </w:r>
      <w:r w:rsidR="00397032" w:rsidRPr="00D97463">
        <w:t>decision-making</w:t>
      </w:r>
      <w:bookmarkEnd w:id="271"/>
      <w:bookmarkEnd w:id="272"/>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135.</w:t>
      </w:r>
      <w:r w:rsidRPr="00981405">
        <w:tab/>
        <w:t>While</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noted</w:t>
      </w:r>
      <w:r w:rsidR="00190923" w:rsidRPr="00981405">
        <w:t xml:space="preserve"> </w:t>
      </w:r>
      <w:r w:rsidRPr="00981405">
        <w:t>that</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formal</w:t>
      </w:r>
      <w:r w:rsidR="00190923" w:rsidRPr="00981405">
        <w:t xml:space="preserve"> </w:t>
      </w:r>
      <w:r w:rsidRPr="00981405">
        <w:t>precedential</w:t>
      </w:r>
      <w:r w:rsidR="00190923" w:rsidRPr="00981405">
        <w:t xml:space="preserve"> </w:t>
      </w:r>
      <w:r w:rsidRPr="00981405">
        <w:t>value</w:t>
      </w:r>
      <w:r w:rsidR="00190923" w:rsidRPr="00981405">
        <w:t xml:space="preserve"> </w:t>
      </w:r>
      <w:r w:rsidRPr="00981405">
        <w:t>in</w:t>
      </w:r>
      <w:r w:rsidR="00190923" w:rsidRPr="00981405">
        <w:t xml:space="preserve"> </w:t>
      </w:r>
      <w:r w:rsidRPr="00981405">
        <w:t>decisions</w:t>
      </w:r>
      <w:r w:rsidR="00190923" w:rsidRPr="00981405">
        <w:t xml:space="preserve"> </w:t>
      </w:r>
      <w:r w:rsidRPr="00981405">
        <w:t>of</w:t>
      </w:r>
      <w:r w:rsidR="00190923" w:rsidRPr="00981405">
        <w:t xml:space="preserve"> </w:t>
      </w:r>
      <w:r w:rsidRPr="00981405">
        <w:t>other</w:t>
      </w:r>
      <w:r w:rsidR="00190923" w:rsidRPr="00981405">
        <w:t xml:space="preserve"> </w:t>
      </w:r>
      <w:r w:rsidRPr="00981405">
        <w:t>tribunals,</w:t>
      </w:r>
      <w:r w:rsidR="00190923" w:rsidRPr="00981405">
        <w:t xml:space="preserve"> </w:t>
      </w:r>
      <w:r w:rsidRPr="00981405">
        <w:t>the</w:t>
      </w:r>
      <w:r w:rsidR="00190923" w:rsidRPr="00981405">
        <w:t xml:space="preserve"> </w:t>
      </w:r>
      <w:r w:rsidRPr="00981405">
        <w:t>desire</w:t>
      </w:r>
      <w:r w:rsidR="00190923" w:rsidRPr="00981405">
        <w:t xml:space="preserve"> </w:t>
      </w:r>
      <w:r w:rsidRPr="00981405">
        <w:t>for</w:t>
      </w:r>
      <w:r w:rsidR="00190923" w:rsidRPr="00981405">
        <w:t xml:space="preserve"> </w:t>
      </w:r>
      <w:r w:rsidRPr="00981405">
        <w:t>consistency</w:t>
      </w:r>
      <w:r w:rsidR="00190923" w:rsidRPr="00981405">
        <w:t xml:space="preserve"> </w:t>
      </w:r>
      <w:r w:rsidRPr="00981405">
        <w:t>clearly</w:t>
      </w:r>
      <w:r w:rsidR="00190923" w:rsidRPr="00981405">
        <w:t xml:space="preserve"> </w:t>
      </w:r>
      <w:r w:rsidRPr="00981405">
        <w:t>has</w:t>
      </w:r>
      <w:r w:rsidR="00190923" w:rsidRPr="00981405">
        <w:t xml:space="preserve"> </w:t>
      </w:r>
      <w:r w:rsidRPr="00981405">
        <w:t>had</w:t>
      </w:r>
      <w:r w:rsidR="00190923" w:rsidRPr="00981405">
        <w:t xml:space="preserve"> </w:t>
      </w:r>
      <w:r w:rsidRPr="00981405">
        <w:t>an</w:t>
      </w:r>
      <w:r w:rsidR="00190923" w:rsidRPr="00981405">
        <w:t xml:space="preserve"> </w:t>
      </w:r>
      <w:r w:rsidRPr="00981405">
        <w:t>influence</w:t>
      </w:r>
      <w:r w:rsidR="00190923" w:rsidRPr="00981405">
        <w:t xml:space="preserve"> </w:t>
      </w:r>
      <w:r w:rsidRPr="00981405">
        <w:t>on</w:t>
      </w:r>
      <w:r w:rsidR="00190923" w:rsidRPr="00981405">
        <w:t xml:space="preserve"> </w:t>
      </w:r>
      <w:r w:rsidRPr="00981405">
        <w:t>decision-making.</w:t>
      </w:r>
      <w:r w:rsidR="00190923" w:rsidRPr="00981405">
        <w:t xml:space="preserve"> </w:t>
      </w:r>
      <w:r w:rsidRPr="00981405">
        <w:t>Few</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stated</w:t>
      </w:r>
      <w:r w:rsidR="00190923" w:rsidRPr="00981405">
        <w:t xml:space="preserve"> </w:t>
      </w:r>
      <w:r w:rsidRPr="00981405">
        <w:t>this</w:t>
      </w:r>
      <w:r w:rsidR="00190923" w:rsidRPr="00981405">
        <w:t xml:space="preserve"> </w:t>
      </w:r>
      <w:r w:rsidRPr="00981405">
        <w:t>as</w:t>
      </w:r>
      <w:r w:rsidR="00190923" w:rsidRPr="00981405">
        <w:t xml:space="preserve"> </w:t>
      </w:r>
      <w:r w:rsidRPr="00981405">
        <w:t>explicitly</w:t>
      </w:r>
      <w:r w:rsidR="00190923" w:rsidRPr="00981405">
        <w:t xml:space="preserve"> </w:t>
      </w:r>
      <w:r w:rsidRPr="00981405">
        <w:t>as</w:t>
      </w:r>
      <w:r w:rsidR="00190923" w:rsidRPr="00981405">
        <w:t xml:space="preserve"> </w:t>
      </w:r>
      <w:r w:rsidRPr="00981405">
        <w:t>the</w:t>
      </w:r>
      <w:r w:rsidR="00190923" w:rsidRPr="00981405">
        <w:t xml:space="preserve"> </w:t>
      </w:r>
      <w:r w:rsidRPr="00981405">
        <w:t>majority</w:t>
      </w:r>
      <w:r w:rsidR="00190923" w:rsidRPr="00981405">
        <w:t xml:space="preserve"> </w:t>
      </w:r>
      <w:r w:rsidRPr="00981405">
        <w:t>in</w:t>
      </w:r>
      <w:r w:rsidR="00190923" w:rsidRPr="00981405">
        <w:t xml:space="preserve"> </w:t>
      </w:r>
      <w:r w:rsidRPr="00D97463">
        <w:rPr>
          <w:i/>
          <w:iCs/>
        </w:rPr>
        <w:t>Impregilo</w:t>
      </w:r>
      <w:r w:rsidRPr="00981405">
        <w:t>:</w:t>
      </w:r>
    </w:p>
    <w:p w:rsidR="00397032" w:rsidRPr="00981405" w:rsidRDefault="00B92E2C" w:rsidP="00D97463">
      <w:pPr>
        <w:pStyle w:val="SingleTxt"/>
        <w:ind w:left="1742"/>
      </w:pPr>
      <w:r w:rsidRPr="00981405">
        <w:t>“</w:t>
      </w:r>
      <w:r w:rsidR="00397032" w:rsidRPr="00981405">
        <w:t>Nevertheless,</w:t>
      </w:r>
      <w:r w:rsidR="00190923" w:rsidRPr="00981405">
        <w:t xml:space="preserve"> </w:t>
      </w:r>
      <w:r w:rsidR="00397032" w:rsidRPr="00981405">
        <w:t>in</w:t>
      </w:r>
      <w:r w:rsidR="00190923" w:rsidRPr="00981405">
        <w:t xml:space="preserve"> </w:t>
      </w:r>
      <w:r w:rsidR="00397032" w:rsidRPr="00981405">
        <w:t>cases</w:t>
      </w:r>
      <w:r w:rsidR="00190923" w:rsidRPr="00981405">
        <w:t xml:space="preserve"> </w:t>
      </w:r>
      <w:r w:rsidR="00397032" w:rsidRPr="00981405">
        <w:t>where</w:t>
      </w:r>
      <w:r w:rsidR="00190923" w:rsidRPr="00981405">
        <w:t xml:space="preserve"> </w:t>
      </w:r>
      <w:r w:rsidR="00397032" w:rsidRPr="00981405">
        <w:t>the</w:t>
      </w:r>
      <w:r w:rsidR="00190923" w:rsidRPr="00981405">
        <w:t xml:space="preserve"> </w:t>
      </w:r>
      <w:r w:rsidR="00397032" w:rsidRPr="00981405">
        <w:t>MFN</w:t>
      </w:r>
      <w:r w:rsidR="00190923" w:rsidRPr="00981405">
        <w:t xml:space="preserve"> </w:t>
      </w:r>
      <w:r w:rsidR="00397032" w:rsidRPr="00981405">
        <w:t>clause</w:t>
      </w:r>
      <w:r w:rsidR="00190923" w:rsidRPr="00981405">
        <w:t xml:space="preserve"> </w:t>
      </w:r>
      <w:r w:rsidR="00397032" w:rsidRPr="00981405">
        <w:t>has</w:t>
      </w:r>
      <w:r w:rsidR="00190923" w:rsidRPr="00981405">
        <w:t xml:space="preserve"> </w:t>
      </w:r>
      <w:r w:rsidR="00397032" w:rsidRPr="00981405">
        <w:t>referred</w:t>
      </w:r>
      <w:r w:rsidR="00190923" w:rsidRPr="00981405">
        <w:t xml:space="preserve"> </w:t>
      </w:r>
      <w:r w:rsidR="00397032" w:rsidRPr="00981405">
        <w:t>to</w:t>
      </w:r>
      <w:r w:rsidR="00190923" w:rsidRPr="00981405">
        <w:t xml:space="preserve"> </w:t>
      </w:r>
      <w:r w:rsidRPr="00981405">
        <w:t>‘</w:t>
      </w:r>
      <w:r w:rsidR="00397032" w:rsidRPr="00981405">
        <w:t>all</w:t>
      </w:r>
      <w:r w:rsidR="00190923" w:rsidRPr="00981405">
        <w:t xml:space="preserve"> </w:t>
      </w:r>
      <w:r w:rsidR="00397032" w:rsidRPr="00981405">
        <w:t>matters</w:t>
      </w:r>
      <w:r w:rsidRPr="00981405">
        <w:t>’</w:t>
      </w:r>
      <w:r w:rsidR="00190923" w:rsidRPr="00981405">
        <w:t xml:space="preserve"> </w:t>
      </w:r>
      <w:r w:rsidR="00397032" w:rsidRPr="00981405">
        <w:t>or</w:t>
      </w:r>
      <w:r w:rsidR="00190923" w:rsidRPr="00981405">
        <w:t xml:space="preserve"> </w:t>
      </w:r>
      <w:r w:rsidRPr="00981405">
        <w:t>‘</w:t>
      </w:r>
      <w:r w:rsidR="00397032" w:rsidRPr="00981405">
        <w:t>any</w:t>
      </w:r>
      <w:r w:rsidR="00190923" w:rsidRPr="00981405">
        <w:t xml:space="preserve"> </w:t>
      </w:r>
      <w:r w:rsidR="00397032" w:rsidRPr="00981405">
        <w:t>matter</w:t>
      </w:r>
      <w:r w:rsidRPr="00981405">
        <w:t>’</w:t>
      </w:r>
      <w:r w:rsidR="00190923" w:rsidRPr="00981405">
        <w:t xml:space="preserve"> </w:t>
      </w:r>
      <w:r w:rsidR="00397032" w:rsidRPr="00981405">
        <w:t>regulated</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BIT,</w:t>
      </w:r>
      <w:r w:rsidR="00190923" w:rsidRPr="00981405">
        <w:t xml:space="preserve"> </w:t>
      </w:r>
      <w:r w:rsidR="00397032" w:rsidRPr="00981405">
        <w:t>there</w:t>
      </w:r>
      <w:r w:rsidR="00190923" w:rsidRPr="00981405">
        <w:t xml:space="preserve"> </w:t>
      </w:r>
      <w:r w:rsidR="00397032" w:rsidRPr="00981405">
        <w:t>has</w:t>
      </w:r>
      <w:r w:rsidR="00190923" w:rsidRPr="00981405">
        <w:t xml:space="preserve"> </w:t>
      </w:r>
      <w:r w:rsidR="00397032" w:rsidRPr="00981405">
        <w:t>been</w:t>
      </w:r>
      <w:r w:rsidR="00190923" w:rsidRPr="00981405">
        <w:t xml:space="preserve"> </w:t>
      </w:r>
      <w:r w:rsidR="00397032" w:rsidRPr="00981405">
        <w:t>near-unanimity</w:t>
      </w:r>
      <w:r w:rsidR="00190923" w:rsidRPr="00981405">
        <w:t xml:space="preserve"> </w:t>
      </w:r>
      <w:r w:rsidR="00397032" w:rsidRPr="00981405">
        <w:t>in</w:t>
      </w:r>
      <w:r w:rsidR="00190923" w:rsidRPr="00981405">
        <w:t xml:space="preserve"> </w:t>
      </w:r>
      <w:r w:rsidR="00397032" w:rsidRPr="00981405">
        <w:t>finding</w:t>
      </w:r>
      <w:r w:rsidR="00190923" w:rsidRPr="00981405">
        <w:t xml:space="preserve"> </w:t>
      </w:r>
      <w:r w:rsidR="00397032" w:rsidRPr="00981405">
        <w:t>that</w:t>
      </w:r>
      <w:r w:rsidR="00190923" w:rsidRPr="00981405">
        <w:t xml:space="preserve"> </w:t>
      </w:r>
      <w:r w:rsidR="00397032" w:rsidRPr="00981405">
        <w:t>the</w:t>
      </w:r>
      <w:r w:rsidR="00190923" w:rsidRPr="00981405">
        <w:t xml:space="preserve"> </w:t>
      </w:r>
      <w:r w:rsidR="00397032" w:rsidRPr="00981405">
        <w:t>clause</w:t>
      </w:r>
      <w:r w:rsidR="00190923" w:rsidRPr="00981405">
        <w:t xml:space="preserve"> </w:t>
      </w:r>
      <w:r w:rsidR="00397032" w:rsidRPr="00981405">
        <w:t>covered</w:t>
      </w:r>
      <w:r w:rsidR="00190923" w:rsidRPr="00981405">
        <w:t xml:space="preserve"> </w:t>
      </w:r>
      <w:r w:rsidR="00397032" w:rsidRPr="00981405">
        <w:t>the</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rules.</w:t>
      </w:r>
      <w:r w:rsidR="00190923" w:rsidRPr="00981405">
        <w:t xml:space="preserve"> </w:t>
      </w:r>
      <w:r w:rsidR="00397032" w:rsidRPr="00981405">
        <w:t>On</w:t>
      </w:r>
      <w:r w:rsidR="00190923" w:rsidRPr="00981405">
        <w:t xml:space="preserve"> </w:t>
      </w:r>
      <w:r w:rsidR="00397032" w:rsidRPr="00981405">
        <w:t>this</w:t>
      </w:r>
      <w:r w:rsidR="00190923" w:rsidRPr="00981405">
        <w:t xml:space="preserve"> </w:t>
      </w:r>
      <w:r w:rsidR="00397032" w:rsidRPr="00981405">
        <w:t>basis,</w:t>
      </w:r>
      <w:r w:rsidR="00190923" w:rsidRPr="00981405">
        <w:t xml:space="preserve"> </w:t>
      </w:r>
      <w:r w:rsidR="00397032" w:rsidRPr="00981405">
        <w:t>the</w:t>
      </w:r>
      <w:r w:rsidR="00190923" w:rsidRPr="00981405">
        <w:t xml:space="preserve"> </w:t>
      </w:r>
      <w:r w:rsidR="00397032" w:rsidRPr="00981405">
        <w:t>majority</w:t>
      </w:r>
      <w:r w:rsidR="00190923" w:rsidRPr="00981405">
        <w:t xml:space="preserve"> </w:t>
      </w:r>
      <w:r w:rsidR="00397032" w:rsidRPr="00981405">
        <w:t>of</w:t>
      </w:r>
      <w:r w:rsidR="00190923" w:rsidRPr="00981405">
        <w:t xml:space="preserve"> </w:t>
      </w:r>
      <w:r w:rsidR="00397032" w:rsidRPr="00981405">
        <w:t>the</w:t>
      </w:r>
      <w:r w:rsidR="00190923" w:rsidRPr="00981405">
        <w:t xml:space="preserve"> </w:t>
      </w:r>
      <w:r w:rsidR="00397032" w:rsidRPr="00981405">
        <w:t>Tribunal</w:t>
      </w:r>
      <w:r w:rsidR="00190923" w:rsidRPr="00981405">
        <w:t xml:space="preserve"> </w:t>
      </w:r>
      <w:r w:rsidR="00397032" w:rsidRPr="00981405">
        <w:t>reaches</w:t>
      </w:r>
      <w:r w:rsidR="00190923" w:rsidRPr="00981405">
        <w:t xml:space="preserve"> </w:t>
      </w:r>
      <w:r w:rsidR="00397032" w:rsidRPr="00981405">
        <w:t>the</w:t>
      </w:r>
      <w:r w:rsidR="00190923" w:rsidRPr="00981405">
        <w:t xml:space="preserve"> </w:t>
      </w:r>
      <w:r w:rsidR="00397032" w:rsidRPr="00981405">
        <w:t>conclusion</w:t>
      </w:r>
      <w:r w:rsidR="00190923" w:rsidRPr="00981405">
        <w:t xml:space="preserve"> </w:t>
      </w:r>
      <w:r w:rsidR="00397032" w:rsidRPr="00981405">
        <w:t>that</w:t>
      </w:r>
      <w:r w:rsidR="00190923" w:rsidRPr="00981405">
        <w:t xml:space="preserve"> </w:t>
      </w:r>
      <w:r w:rsidR="00397032" w:rsidRPr="00D97463">
        <w:rPr>
          <w:i/>
          <w:iCs/>
        </w:rPr>
        <w:t>Impregilo</w:t>
      </w:r>
      <w:r w:rsidR="00190923" w:rsidRPr="00981405">
        <w:t xml:space="preserve"> </w:t>
      </w:r>
      <w:r w:rsidR="00397032" w:rsidRPr="00981405">
        <w:t>is</w:t>
      </w:r>
      <w:r w:rsidR="00190923" w:rsidRPr="00981405">
        <w:t xml:space="preserve"> </w:t>
      </w:r>
      <w:r w:rsidR="00397032" w:rsidRPr="00981405">
        <w:t>entitled</w:t>
      </w:r>
      <w:r w:rsidR="00190923" w:rsidRPr="00981405">
        <w:t xml:space="preserve"> </w:t>
      </w:r>
      <w:r w:rsidR="00397032" w:rsidRPr="00981405">
        <w:t>to</w:t>
      </w:r>
      <w:r w:rsidR="00190923" w:rsidRPr="00981405">
        <w:t xml:space="preserve"> </w:t>
      </w:r>
      <w:r w:rsidR="00397032" w:rsidRPr="00981405">
        <w:t>rely,</w:t>
      </w:r>
      <w:r w:rsidR="00190923" w:rsidRPr="00981405">
        <w:t xml:space="preserve"> </w:t>
      </w:r>
      <w:r w:rsidR="00397032" w:rsidRPr="00981405">
        <w:t>in</w:t>
      </w:r>
      <w:r w:rsidR="00190923" w:rsidRPr="00981405">
        <w:t xml:space="preserve"> </w:t>
      </w:r>
      <w:r w:rsidR="00397032" w:rsidRPr="00981405">
        <w:t>this</w:t>
      </w:r>
      <w:r w:rsidR="00190923" w:rsidRPr="00981405">
        <w:t xml:space="preserve"> </w:t>
      </w:r>
      <w:r w:rsidR="00397032" w:rsidRPr="00981405">
        <w:t>respect,</w:t>
      </w:r>
      <w:r w:rsidR="00190923" w:rsidRPr="00981405">
        <w:t xml:space="preserve"> </w:t>
      </w:r>
      <w:r w:rsidR="00397032" w:rsidRPr="00981405">
        <w:t>on</w:t>
      </w:r>
      <w:r w:rsidR="00190923" w:rsidRPr="00981405">
        <w:t xml:space="preserve"> </w:t>
      </w:r>
      <w:r w:rsidR="00397032" w:rsidRPr="00981405">
        <w:t>the</w:t>
      </w:r>
      <w:r w:rsidR="00190923" w:rsidRPr="00981405">
        <w:t xml:space="preserve"> </w:t>
      </w:r>
      <w:r w:rsidR="00397032" w:rsidRPr="00981405">
        <w:t>dispute</w:t>
      </w:r>
      <w:r w:rsidR="00190923" w:rsidRPr="00981405">
        <w:t xml:space="preserve"> </w:t>
      </w:r>
      <w:r w:rsidR="00397032" w:rsidRPr="00981405">
        <w:t>settlement</w:t>
      </w:r>
      <w:r w:rsidR="00190923" w:rsidRPr="00981405">
        <w:t xml:space="preserve"> </w:t>
      </w:r>
      <w:r w:rsidR="00397032" w:rsidRPr="00981405">
        <w:t>rules</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Argentina-US</w:t>
      </w:r>
      <w:r w:rsidR="00190923" w:rsidRPr="00981405">
        <w:t xml:space="preserve"> </w:t>
      </w:r>
      <w:r w:rsidR="00397032" w:rsidRPr="00981405">
        <w:t>BIT.</w:t>
      </w:r>
      <w:r w:rsidRPr="00981405">
        <w:t>”</w:t>
      </w:r>
      <w:r w:rsidR="00397032" w:rsidRPr="00981405">
        <w:rPr>
          <w:rStyle w:val="FootnoteReference"/>
        </w:rPr>
        <w:footnoteReference w:id="559"/>
      </w:r>
    </w:p>
    <w:p w:rsidR="00397032" w:rsidRPr="00981405" w:rsidRDefault="00397032" w:rsidP="00D97463">
      <w:pPr>
        <w:pStyle w:val="SingleTxt"/>
      </w:pPr>
      <w:r w:rsidRPr="00981405">
        <w:t>136.</w:t>
      </w:r>
      <w:r w:rsidRPr="00981405">
        <w:tab/>
        <w:t>In</w:t>
      </w:r>
      <w:r w:rsidR="00190923" w:rsidRPr="00981405">
        <w:t xml:space="preserve"> </w:t>
      </w:r>
      <w:r w:rsidRPr="00981405">
        <w:t>effect,</w:t>
      </w:r>
      <w:r w:rsidR="00190923" w:rsidRPr="00981405">
        <w:t xml:space="preserve"> </w:t>
      </w:r>
      <w:r w:rsidRPr="00981405">
        <w:t>the</w:t>
      </w:r>
      <w:r w:rsidR="00190923" w:rsidRPr="00981405">
        <w:t xml:space="preserve"> </w:t>
      </w:r>
      <w:r w:rsidRPr="00981405">
        <w:t>majority</w:t>
      </w:r>
      <w:r w:rsidR="00190923" w:rsidRPr="00981405">
        <w:t xml:space="preserve"> </w:t>
      </w:r>
      <w:r w:rsidRPr="00981405">
        <w:t>was</w:t>
      </w:r>
      <w:r w:rsidR="00190923" w:rsidRPr="00981405">
        <w:t xml:space="preserve"> </w:t>
      </w:r>
      <w:r w:rsidRPr="00981405">
        <w:t>of</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at</w:t>
      </w:r>
      <w:r w:rsidR="00190923" w:rsidRPr="00981405">
        <w:t xml:space="preserve"> </w:t>
      </w:r>
      <w:r w:rsidRPr="00981405">
        <w:t>least</w:t>
      </w:r>
      <w:r w:rsidR="00190923" w:rsidRPr="00981405">
        <w:t xml:space="preserve"> </w:t>
      </w:r>
      <w:r w:rsidRPr="00981405">
        <w:t>with</w:t>
      </w:r>
      <w:r w:rsidR="00190923" w:rsidRPr="00981405">
        <w:t xml:space="preserve"> </w:t>
      </w:r>
      <w:r w:rsidRPr="00981405">
        <w:t>respect</w:t>
      </w:r>
      <w:r w:rsidR="00190923" w:rsidRPr="00981405">
        <w:t xml:space="preserve"> </w:t>
      </w:r>
      <w:r w:rsidRPr="00981405">
        <w:t>to</w:t>
      </w:r>
      <w:r w:rsidR="00190923" w:rsidRPr="00981405">
        <w:t xml:space="preserve"> </w:t>
      </w:r>
      <w:r w:rsidRPr="00981405">
        <w:t>broadly</w:t>
      </w:r>
      <w:r w:rsidR="00190923" w:rsidRPr="00981405">
        <w:t xml:space="preserve"> </w:t>
      </w:r>
      <w:r w:rsidRPr="00981405">
        <w:t>worded</w:t>
      </w:r>
      <w:r w:rsidR="00190923" w:rsidRPr="00981405">
        <w:t xml:space="preserve"> </w:t>
      </w:r>
      <w:r w:rsidRPr="00981405">
        <w:t>MFN</w:t>
      </w:r>
      <w:r w:rsidR="00190923" w:rsidRPr="00981405">
        <w:t xml:space="preserve"> </w:t>
      </w:r>
      <w:r w:rsidRPr="00981405">
        <w:t>clauses</w:t>
      </w:r>
      <w:r w:rsidR="00190923" w:rsidRPr="00981405">
        <w:t xml:space="preserve"> </w:t>
      </w:r>
      <w:r w:rsidRPr="00981405">
        <w:t>and</w:t>
      </w:r>
      <w:r w:rsidR="00190923" w:rsidRPr="00981405">
        <w:t xml:space="preserve"> </w:t>
      </w:r>
      <w:r w:rsidRPr="00981405">
        <w:t>a</w:t>
      </w:r>
      <w:r w:rsidR="00190923" w:rsidRPr="00981405">
        <w:t xml:space="preserve"> </w:t>
      </w:r>
      <w:r w:rsidRPr="00981405">
        <w:t>requirement</w:t>
      </w:r>
      <w:r w:rsidR="00190923" w:rsidRPr="00981405">
        <w:t xml:space="preserve"> </w:t>
      </w:r>
      <w:r w:rsidRPr="00981405">
        <w:t>of</w:t>
      </w:r>
      <w:r w:rsidR="00190923" w:rsidRPr="00981405">
        <w:t xml:space="preserve"> </w:t>
      </w:r>
      <w:r w:rsidRPr="00981405">
        <w:t>commencing</w:t>
      </w:r>
      <w:r w:rsidR="00190923" w:rsidRPr="00981405">
        <w:t xml:space="preserve"> </w:t>
      </w:r>
      <w:r w:rsidRPr="00981405">
        <w:t>an</w:t>
      </w:r>
      <w:r w:rsidR="00190923" w:rsidRPr="00981405">
        <w:t xml:space="preserve"> </w:t>
      </w:r>
      <w:r w:rsidRPr="00981405">
        <w:t>action</w:t>
      </w:r>
      <w:r w:rsidR="00190923" w:rsidRPr="00981405">
        <w:t xml:space="preserve"> </w:t>
      </w:r>
      <w:r w:rsidRPr="00981405">
        <w:t>and</w:t>
      </w:r>
      <w:r w:rsidR="00190923" w:rsidRPr="00981405">
        <w:t xml:space="preserve"> </w:t>
      </w:r>
      <w:r w:rsidRPr="00981405">
        <w:t>litigating</w:t>
      </w:r>
      <w:r w:rsidR="00190923" w:rsidRPr="00981405">
        <w:t xml:space="preserve"> </w:t>
      </w:r>
      <w:r w:rsidRPr="00981405">
        <w:t>for</w:t>
      </w:r>
      <w:r w:rsidR="00190923" w:rsidRPr="00981405">
        <w:t xml:space="preserve"> </w:t>
      </w:r>
      <w:r w:rsidRPr="00981405">
        <w:t>18</w:t>
      </w:r>
      <w:r w:rsidR="00190923" w:rsidRPr="00981405">
        <w:t xml:space="preserve"> </w:t>
      </w:r>
      <w:r w:rsidRPr="00981405">
        <w:t>months,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had</w:t>
      </w:r>
      <w:r w:rsidR="00190923" w:rsidRPr="00981405">
        <w:t xml:space="preserve"> </w:t>
      </w:r>
      <w:r w:rsidRPr="00981405">
        <w:t>been</w:t>
      </w:r>
      <w:r w:rsidR="00190923" w:rsidRPr="00981405">
        <w:t xml:space="preserve"> </w:t>
      </w:r>
      <w:r w:rsidRPr="00981405">
        <w:t>resolved.</w:t>
      </w:r>
    </w:p>
    <w:p w:rsidR="002D20B7" w:rsidRPr="00D97463" w:rsidRDefault="002D20B7" w:rsidP="00D97463">
      <w:pPr>
        <w:pStyle w:val="SingleTxt"/>
        <w:keepNext/>
        <w:keepLines/>
        <w:spacing w:after="0" w:line="120" w:lineRule="exact"/>
        <w:rPr>
          <w:sz w:val="10"/>
        </w:rPr>
      </w:pPr>
      <w:bookmarkStart w:id="273" w:name="_Toc293434174"/>
      <w:bookmarkStart w:id="274" w:name="_Toc294353688"/>
    </w:p>
    <w:p w:rsidR="00397032" w:rsidRPr="00D97463" w:rsidRDefault="00397032" w:rsidP="00D97463">
      <w:pPr>
        <w:pStyle w:val="H4"/>
        <w:ind w:right="1260"/>
      </w:pPr>
      <w:r w:rsidRPr="00D97463">
        <w:tab/>
        <w:t>(viii)</w:t>
      </w:r>
      <w:r w:rsidRPr="00D97463">
        <w:tab/>
        <w:t>The</w:t>
      </w:r>
      <w:r w:rsidR="00190923" w:rsidRPr="00D97463">
        <w:t xml:space="preserve"> </w:t>
      </w:r>
      <w:r w:rsidRPr="00D97463">
        <w:t>definition</w:t>
      </w:r>
      <w:r w:rsidR="00190923" w:rsidRPr="00D97463">
        <w:t xml:space="preserve"> </w:t>
      </w:r>
      <w:r w:rsidRPr="00D97463">
        <w:t>of</w:t>
      </w:r>
      <w:r w:rsidR="00190923" w:rsidRPr="00D97463">
        <w:t xml:space="preserve"> </w:t>
      </w:r>
      <w:r w:rsidRPr="00D97463">
        <w:t>treatment</w:t>
      </w:r>
      <w:r w:rsidR="00190923" w:rsidRPr="00D97463">
        <w:t xml:space="preserve"> </w:t>
      </w:r>
      <w:r w:rsidR="00B92E2C" w:rsidRPr="00D97463">
        <w:t>“</w:t>
      </w:r>
      <w:r w:rsidRPr="00D97463">
        <w:t>no</w:t>
      </w:r>
      <w:r w:rsidR="00190923" w:rsidRPr="00D97463">
        <w:t xml:space="preserve"> </w:t>
      </w:r>
      <w:r w:rsidRPr="00D97463">
        <w:t>less</w:t>
      </w:r>
      <w:r w:rsidR="00190923" w:rsidRPr="00D97463">
        <w:t xml:space="preserve"> </w:t>
      </w:r>
      <w:r w:rsidRPr="00D97463">
        <w:t>favourable</w:t>
      </w:r>
      <w:bookmarkEnd w:id="273"/>
      <w:bookmarkEnd w:id="274"/>
      <w:r w:rsidR="00B92E2C" w:rsidRPr="00D97463">
        <w:t>”</w:t>
      </w:r>
    </w:p>
    <w:p w:rsidR="002D20B7" w:rsidRPr="00D97463" w:rsidRDefault="002D20B7"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137.</w:t>
      </w:r>
      <w:r w:rsidRPr="00981405">
        <w:tab/>
        <w:t>The</w:t>
      </w:r>
      <w:r w:rsidR="00190923" w:rsidRPr="00981405">
        <w:t xml:space="preserve"> </w:t>
      </w:r>
      <w:r w:rsidRPr="00981405">
        <w:t>difficulty</w:t>
      </w:r>
      <w:r w:rsidR="00190923" w:rsidRPr="00981405">
        <w:t xml:space="preserve"> </w:t>
      </w:r>
      <w:r w:rsidRPr="00981405">
        <w:t>of</w:t>
      </w:r>
      <w:r w:rsidR="00190923" w:rsidRPr="00981405">
        <w:t xml:space="preserve"> </w:t>
      </w:r>
      <w:r w:rsidRPr="00981405">
        <w:t>determining</w:t>
      </w:r>
      <w:r w:rsidR="00190923" w:rsidRPr="00981405">
        <w:t xml:space="preserve"> </w:t>
      </w:r>
      <w:r w:rsidRPr="00981405">
        <w:t>which</w:t>
      </w:r>
      <w:r w:rsidR="00190923" w:rsidRPr="00981405">
        <w:t xml:space="preserve"> </w:t>
      </w:r>
      <w:r w:rsidRPr="00981405">
        <w:t>treatment</w:t>
      </w:r>
      <w:r w:rsidR="00190923" w:rsidRPr="00981405">
        <w:t xml:space="preserve"> </w:t>
      </w:r>
      <w:r w:rsidRPr="00981405">
        <w:t>is</w:t>
      </w:r>
      <w:r w:rsidR="00190923" w:rsidRPr="00981405">
        <w:t xml:space="preserve"> </w:t>
      </w:r>
      <w:r w:rsidRPr="00981405">
        <w:t>less</w:t>
      </w:r>
      <w:r w:rsidR="00190923" w:rsidRPr="00981405">
        <w:t xml:space="preserve"> </w:t>
      </w:r>
      <w:r w:rsidRPr="00981405">
        <w:t>favourable</w:t>
      </w:r>
      <w:r w:rsidR="00190923" w:rsidRPr="00981405">
        <w:t xml:space="preserve"> </w:t>
      </w:r>
      <w:r w:rsidRPr="00981405">
        <w:t>is</w:t>
      </w:r>
      <w:r w:rsidR="00190923" w:rsidRPr="00981405">
        <w:t xml:space="preserve"> </w:t>
      </w:r>
      <w:r w:rsidRPr="00981405">
        <w:t>illustrated</w:t>
      </w:r>
      <w:r w:rsidR="00190923" w:rsidRPr="00981405">
        <w:t xml:space="preserve"> </w:t>
      </w:r>
      <w:r w:rsidRPr="00981405">
        <w:t>where</w:t>
      </w:r>
      <w:r w:rsidR="00190923" w:rsidRPr="00981405">
        <w:t xml:space="preserve"> </w:t>
      </w:r>
      <w:r w:rsidRPr="00981405">
        <w:t>MFN</w:t>
      </w:r>
      <w:r w:rsidR="00190923" w:rsidRPr="00981405">
        <w:t xml:space="preserve"> </w:t>
      </w:r>
      <w:r w:rsidRPr="00981405">
        <w:t>is</w:t>
      </w:r>
      <w:r w:rsidR="00190923" w:rsidRPr="00981405">
        <w:t xml:space="preserve"> </w:t>
      </w:r>
      <w:r w:rsidRPr="00981405">
        <w:t>used</w:t>
      </w:r>
      <w:r w:rsidR="00190923" w:rsidRPr="00981405">
        <w:t xml:space="preserve"> </w:t>
      </w:r>
      <w:r w:rsidRPr="00981405">
        <w:t>to</w:t>
      </w:r>
      <w:r w:rsidR="00190923" w:rsidRPr="00981405">
        <w:t xml:space="preserve"> </w:t>
      </w:r>
      <w:r w:rsidRPr="00981405">
        <w:t>replace</w:t>
      </w:r>
      <w:r w:rsidR="00190923" w:rsidRPr="00981405">
        <w:t xml:space="preserve"> </w:t>
      </w:r>
      <w:r w:rsidRPr="00981405">
        <w:t>one</w:t>
      </w:r>
      <w:r w:rsidR="00190923" w:rsidRPr="00981405">
        <w:t xml:space="preserve"> </w:t>
      </w:r>
      <w:r w:rsidRPr="00981405">
        <w:t>form</w:t>
      </w:r>
      <w:r w:rsidR="00190923" w:rsidRPr="00981405">
        <w:t xml:space="preserve"> </w:t>
      </w:r>
      <w:r w:rsidRPr="00981405">
        <w:t>of</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with</w:t>
      </w:r>
      <w:r w:rsidR="00190923" w:rsidRPr="00981405">
        <w:t xml:space="preserve"> </w:t>
      </w:r>
      <w:r w:rsidRPr="00981405">
        <w:t>another.</w:t>
      </w:r>
      <w:r w:rsidR="00190923" w:rsidRPr="00981405">
        <w:t xml:space="preserve"> </w:t>
      </w:r>
      <w:r w:rsidRPr="00981405">
        <w:t>Some</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questioned</w:t>
      </w:r>
      <w:r w:rsidR="00190923" w:rsidRPr="00981405">
        <w:t xml:space="preserve"> </w:t>
      </w:r>
      <w:r w:rsidRPr="00981405">
        <w:t>whether</w:t>
      </w:r>
      <w:r w:rsidR="00190923" w:rsidRPr="00981405">
        <w:t xml:space="preserve"> </w:t>
      </w:r>
      <w:r w:rsidRPr="00981405">
        <w:t>the</w:t>
      </w:r>
      <w:r w:rsidR="00190923" w:rsidRPr="00981405">
        <w:t xml:space="preserve"> </w:t>
      </w:r>
      <w:r w:rsidRPr="00981405">
        <w:t>correct</w:t>
      </w:r>
      <w:r w:rsidR="00190923" w:rsidRPr="00981405">
        <w:t xml:space="preserve"> </w:t>
      </w:r>
      <w:r w:rsidRPr="00981405">
        <w:t>comparison</w:t>
      </w:r>
      <w:r w:rsidR="00190923" w:rsidRPr="00981405">
        <w:t xml:space="preserve"> </w:t>
      </w:r>
      <w:r w:rsidRPr="00981405">
        <w:t>is</w:t>
      </w:r>
      <w:r w:rsidR="00190923" w:rsidRPr="00981405">
        <w:t xml:space="preserve"> </w:t>
      </w:r>
      <w:r w:rsidRPr="00981405">
        <w:t>being</w:t>
      </w:r>
      <w:r w:rsidR="00190923" w:rsidRPr="00981405">
        <w:t xml:space="preserve"> </w:t>
      </w:r>
      <w:r w:rsidRPr="00981405">
        <w:t>made</w:t>
      </w:r>
      <w:r w:rsidR="00190923" w:rsidRPr="00981405">
        <w:t xml:space="preserve"> </w:t>
      </w:r>
      <w:r w:rsidRPr="00981405">
        <w:t>when</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being</w:t>
      </w:r>
      <w:r w:rsidR="00190923" w:rsidRPr="00981405">
        <w:t xml:space="preserve"> </w:t>
      </w:r>
      <w:r w:rsidRPr="00981405">
        <w:t>compared</w:t>
      </w:r>
      <w:r w:rsidR="00190923" w:rsidRPr="00981405">
        <w:t xml:space="preserve"> </w:t>
      </w:r>
      <w:r w:rsidRPr="00981405">
        <w:t>with</w:t>
      </w:r>
      <w:r w:rsidR="00190923" w:rsidRPr="00981405">
        <w:t xml:space="preserve"> </w:t>
      </w:r>
      <w:r w:rsidRPr="00981405">
        <w:t>basic</w:t>
      </w:r>
      <w:r w:rsidR="00190923" w:rsidRPr="00981405">
        <w:t xml:space="preserve"> </w:t>
      </w:r>
      <w:r w:rsidRPr="00981405">
        <w:t>treaty</w:t>
      </w:r>
      <w:r w:rsidR="00190923" w:rsidRPr="00981405">
        <w:t xml:space="preserve"> </w:t>
      </w:r>
      <w:r w:rsidRPr="00981405">
        <w:t>provisions.</w:t>
      </w:r>
      <w:r w:rsidRPr="00981405">
        <w:rPr>
          <w:rStyle w:val="FootnoteReference"/>
        </w:rPr>
        <w:footnoteReference w:id="560"/>
      </w:r>
      <w:r w:rsidR="00190923" w:rsidRPr="00981405">
        <w:t xml:space="preserve"> </w:t>
      </w:r>
      <w:r w:rsidRPr="00981405">
        <w:t>If</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contains</w:t>
      </w:r>
      <w:r w:rsidR="00190923" w:rsidRPr="00981405">
        <w:t xml:space="preserve"> </w:t>
      </w:r>
      <w:r w:rsidRPr="00981405">
        <w:t>an</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while</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has</w:t>
      </w:r>
      <w:r w:rsidR="00190923" w:rsidRPr="00981405">
        <w:t xml:space="preserve"> </w:t>
      </w:r>
      <w:r w:rsidRPr="00981405">
        <w:t>no</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but</w:t>
      </w:r>
      <w:r w:rsidR="00190923" w:rsidRPr="00981405">
        <w:t xml:space="preserve"> </w:t>
      </w:r>
      <w:r w:rsidRPr="00981405">
        <w:t>includes</w:t>
      </w:r>
      <w:r w:rsidR="00190923" w:rsidRPr="00981405">
        <w:t xml:space="preserve"> </w:t>
      </w:r>
      <w:r w:rsidRPr="00981405">
        <w:t>a</w:t>
      </w:r>
      <w:r w:rsidR="00190923" w:rsidRPr="00981405">
        <w:t xml:space="preserve"> </w:t>
      </w:r>
      <w:r w:rsidRPr="00981405">
        <w:t>fork</w:t>
      </w:r>
      <w:r w:rsidR="00190923" w:rsidRPr="00981405">
        <w:t xml:space="preserve"> </w:t>
      </w:r>
      <w:r w:rsidRPr="00981405">
        <w:t>in</w:t>
      </w:r>
      <w:r w:rsidR="00190923" w:rsidRPr="00981405">
        <w:t xml:space="preserve"> </w:t>
      </w:r>
      <w:r w:rsidRPr="00981405">
        <w:t>the</w:t>
      </w:r>
      <w:r w:rsidR="00190923" w:rsidRPr="00981405">
        <w:t xml:space="preserve"> </w:t>
      </w:r>
      <w:r w:rsidRPr="00981405">
        <w:t>road</w:t>
      </w:r>
      <w:r w:rsidR="00190923" w:rsidRPr="00981405">
        <w:t xml:space="preserve"> </w:t>
      </w:r>
      <w:r w:rsidRPr="00981405">
        <w:t>provision,</w:t>
      </w:r>
      <w:r w:rsidR="00190923" w:rsidRPr="00981405">
        <w:t xml:space="preserve"> </w:t>
      </w:r>
      <w:r w:rsidRPr="00981405">
        <w:t>is</w:t>
      </w:r>
      <w:r w:rsidR="00190923" w:rsidRPr="00981405">
        <w:t xml:space="preserve"> </w:t>
      </w:r>
      <w:r w:rsidRPr="00981405">
        <w:t>it</w:t>
      </w:r>
      <w:r w:rsidR="00190923" w:rsidRPr="00981405">
        <w:t xml:space="preserve"> </w:t>
      </w:r>
      <w:r w:rsidRPr="00981405">
        <w:t>correct</w:t>
      </w:r>
      <w:r w:rsidR="00190923" w:rsidRPr="00981405">
        <w:t xml:space="preserve"> </w:t>
      </w:r>
      <w:r w:rsidRPr="00981405">
        <w:t>that</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provides</w:t>
      </w:r>
      <w:r w:rsidR="00190923" w:rsidRPr="00981405">
        <w:t xml:space="preserve"> </w:t>
      </w:r>
      <w:r w:rsidRPr="00981405">
        <w:t>more</w:t>
      </w:r>
      <w:r w:rsidR="00190923" w:rsidRPr="00981405">
        <w:t xml:space="preserve"> </w:t>
      </w:r>
      <w:r w:rsidRPr="00981405">
        <w:t>favourable</w:t>
      </w:r>
      <w:r w:rsidR="00190923" w:rsidRPr="00981405">
        <w:t xml:space="preserve"> </w:t>
      </w:r>
      <w:r w:rsidRPr="00981405">
        <w:t>treatment?</w:t>
      </w:r>
      <w:r w:rsidR="00190923" w:rsidRPr="00981405">
        <w:t xml:space="preserve"> </w:t>
      </w:r>
      <w:r w:rsidRPr="00981405">
        <w:t>On</w:t>
      </w:r>
      <w:r w:rsidR="00190923" w:rsidRPr="00981405">
        <w:t xml:space="preserve"> </w:t>
      </w:r>
      <w:r w:rsidRPr="00981405">
        <w:t>the</w:t>
      </w:r>
      <w:r w:rsidR="00190923" w:rsidRPr="00981405">
        <w:t xml:space="preserve"> </w:t>
      </w:r>
      <w:r w:rsidRPr="00981405">
        <w:t>one</w:t>
      </w:r>
      <w:r w:rsidR="00190923" w:rsidRPr="00981405">
        <w:t xml:space="preserve"> </w:t>
      </w:r>
      <w:r w:rsidRPr="00981405">
        <w:t>hand,</w:t>
      </w:r>
      <w:r w:rsidR="00190923" w:rsidRPr="00981405">
        <w:t xml:space="preserve"> </w:t>
      </w:r>
      <w:r w:rsidRPr="00981405">
        <w:t>there</w:t>
      </w:r>
      <w:r w:rsidR="00190923" w:rsidRPr="00981405">
        <w:t xml:space="preserve"> </w:t>
      </w:r>
      <w:r w:rsidRPr="00981405">
        <w:t>is</w:t>
      </w:r>
      <w:r w:rsidR="00190923" w:rsidRPr="00981405">
        <w:t xml:space="preserve"> </w:t>
      </w:r>
      <w:r w:rsidRPr="00981405">
        <w:t>an</w:t>
      </w:r>
      <w:r w:rsidR="00190923" w:rsidRPr="00981405">
        <w:t xml:space="preserve"> </w:t>
      </w:r>
      <w:r w:rsidRPr="00981405">
        <w:t>18-month</w:t>
      </w:r>
      <w:r w:rsidR="00190923" w:rsidRPr="00981405">
        <w:t xml:space="preserve"> </w:t>
      </w:r>
      <w:r w:rsidRPr="00981405">
        <w:t>delay</w:t>
      </w:r>
      <w:r w:rsidR="00190923" w:rsidRPr="00981405">
        <w:t xml:space="preserve"> </w:t>
      </w:r>
      <w:r w:rsidRPr="00981405">
        <w:t>before</w:t>
      </w:r>
      <w:r w:rsidR="00190923" w:rsidRPr="00981405">
        <w:t xml:space="preserve"> </w:t>
      </w:r>
      <w:r w:rsidRPr="00981405">
        <w:t>invoking</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BIT</w:t>
      </w:r>
      <w:r w:rsidR="00190923" w:rsidRPr="00981405">
        <w:t xml:space="preserve"> </w:t>
      </w:r>
      <w:r w:rsidRPr="00981405">
        <w:t>under</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but</w:t>
      </w:r>
      <w:r w:rsidR="00190923" w:rsidRPr="00981405">
        <w:t xml:space="preserve"> </w:t>
      </w:r>
      <w:r w:rsidRPr="00981405">
        <w:t>the</w:t>
      </w:r>
      <w:r w:rsidR="00190923" w:rsidRPr="00981405">
        <w:t xml:space="preserve"> </w:t>
      </w:r>
      <w:r w:rsidRPr="00981405">
        <w:t>investor</w:t>
      </w:r>
      <w:r w:rsidR="00190923" w:rsidRPr="00981405">
        <w:t xml:space="preserve"> </w:t>
      </w:r>
      <w:r w:rsidRPr="00981405">
        <w:t>gets</w:t>
      </w:r>
      <w:r w:rsidR="00190923" w:rsidRPr="00981405">
        <w:t xml:space="preserve"> </w:t>
      </w:r>
      <w:r w:rsidRPr="00981405">
        <w:t>access</w:t>
      </w:r>
      <w:r w:rsidR="00190923" w:rsidRPr="00981405">
        <w:t xml:space="preserve"> </w:t>
      </w:r>
      <w:r w:rsidRPr="00981405">
        <w:t>to</w:t>
      </w:r>
      <w:r w:rsidR="00190923" w:rsidRPr="00981405">
        <w:t xml:space="preserve"> </w:t>
      </w:r>
      <w:r w:rsidRPr="00981405">
        <w:t>both</w:t>
      </w:r>
      <w:r w:rsidR="00190923" w:rsidRPr="00981405">
        <w:t xml:space="preserve"> </w:t>
      </w:r>
      <w:r w:rsidRPr="00981405">
        <w:t>domestic</w:t>
      </w:r>
      <w:r w:rsidR="00190923" w:rsidRPr="00981405">
        <w:t xml:space="preserve"> </w:t>
      </w:r>
      <w:r w:rsidRPr="00981405">
        <w:t>and</w:t>
      </w:r>
      <w:r w:rsidR="00190923" w:rsidRPr="00981405">
        <w:t xml:space="preserve"> </w:t>
      </w:r>
      <w:r w:rsidRPr="00981405">
        <w:t>international</w:t>
      </w:r>
      <w:r w:rsidR="00190923" w:rsidRPr="00981405">
        <w:t xml:space="preserve"> </w:t>
      </w:r>
      <w:r w:rsidRPr="00981405">
        <w:t>processes.</w:t>
      </w:r>
      <w:r w:rsidR="00190923" w:rsidRPr="00981405">
        <w:t xml:space="preserve"> </w:t>
      </w:r>
      <w:r w:rsidRPr="00981405">
        <w:t>On</w:t>
      </w:r>
      <w:r w:rsidR="00190923" w:rsidRPr="00981405">
        <w:t xml:space="preserve"> </w:t>
      </w:r>
      <w:r w:rsidRPr="00981405">
        <w:t>the</w:t>
      </w:r>
      <w:r w:rsidR="00190923" w:rsidRPr="00981405">
        <w:t xml:space="preserve"> </w:t>
      </w:r>
      <w:r w:rsidRPr="00981405">
        <w:t>other</w:t>
      </w:r>
      <w:r w:rsidR="00190923" w:rsidRPr="00981405">
        <w:t xml:space="preserve"> </w:t>
      </w:r>
      <w:r w:rsidRPr="00981405">
        <w:t>hand,</w:t>
      </w:r>
      <w:r w:rsidR="00190923" w:rsidRPr="00981405">
        <w:t xml:space="preserve"> </w:t>
      </w:r>
      <w:r w:rsidRPr="00981405">
        <w:t>the</w:t>
      </w:r>
      <w:r w:rsidR="00190923" w:rsidRPr="00981405">
        <w:t xml:space="preserve"> </w:t>
      </w:r>
      <w:r w:rsidRPr="00981405">
        <w:t>investor</w:t>
      </w:r>
      <w:r w:rsidR="00190923" w:rsidRPr="00981405">
        <w:t xml:space="preserve"> </w:t>
      </w:r>
      <w:r w:rsidRPr="00981405">
        <w:t>under</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gets</w:t>
      </w:r>
      <w:r w:rsidR="00190923" w:rsidRPr="00981405">
        <w:t xml:space="preserve"> </w:t>
      </w:r>
      <w:r w:rsidRPr="00981405">
        <w:t>access</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earlier</w:t>
      </w:r>
      <w:r w:rsidR="00190923" w:rsidRPr="00981405">
        <w:t xml:space="preserve"> </w:t>
      </w:r>
      <w:r w:rsidRPr="00981405">
        <w:t>but</w:t>
      </w:r>
      <w:r w:rsidR="00190923" w:rsidRPr="00981405">
        <w:t xml:space="preserve"> </w:t>
      </w:r>
      <w:r w:rsidRPr="00981405">
        <w:t>loses</w:t>
      </w:r>
      <w:r w:rsidR="00190923" w:rsidRPr="00981405">
        <w:t xml:space="preserve"> </w:t>
      </w:r>
      <w:r w:rsidRPr="00981405">
        <w:t>having</w:t>
      </w:r>
      <w:r w:rsidR="00190923" w:rsidRPr="00981405">
        <w:t xml:space="preserve"> </w:t>
      </w:r>
      <w:r w:rsidRPr="00981405">
        <w:t>both</w:t>
      </w:r>
      <w:r w:rsidR="00190923" w:rsidRPr="00981405">
        <w:t xml:space="preserve"> </w:t>
      </w:r>
      <w:r w:rsidRPr="00981405">
        <w:t>international</w:t>
      </w:r>
      <w:r w:rsidR="00190923" w:rsidRPr="00981405">
        <w:t xml:space="preserve"> </w:t>
      </w:r>
      <w:r w:rsidRPr="00981405">
        <w:t>and</w:t>
      </w:r>
      <w:r w:rsidR="00190923" w:rsidRPr="00981405">
        <w:t xml:space="preserve"> </w:t>
      </w:r>
      <w:r w:rsidRPr="00981405">
        <w:t>domestic</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available.</w:t>
      </w:r>
      <w:r w:rsidR="00190923" w:rsidRPr="00981405">
        <w:t xml:space="preserve"> </w:t>
      </w:r>
      <w:r w:rsidRPr="00981405">
        <w:t>Which</w:t>
      </w:r>
      <w:r w:rsidR="00190923" w:rsidRPr="00981405">
        <w:t xml:space="preserve"> </w:t>
      </w:r>
      <w:r w:rsidRPr="00981405">
        <w:t>treatment</w:t>
      </w:r>
      <w:r w:rsidR="00190923" w:rsidRPr="00981405">
        <w:t xml:space="preserve"> </w:t>
      </w:r>
      <w:r w:rsidRPr="00981405">
        <w:t>is</w:t>
      </w:r>
      <w:r w:rsidR="00190923" w:rsidRPr="00981405">
        <w:t xml:space="preserve"> </w:t>
      </w:r>
      <w:r w:rsidRPr="00981405">
        <w:t>the</w:t>
      </w:r>
      <w:r w:rsidR="00190923" w:rsidRPr="00981405">
        <w:t xml:space="preserve"> </w:t>
      </w:r>
      <w:r w:rsidRPr="00981405">
        <w:t>more</w:t>
      </w:r>
      <w:r w:rsidR="00190923" w:rsidRPr="00981405">
        <w:t xml:space="preserve"> </w:t>
      </w:r>
      <w:r w:rsidRPr="00981405">
        <w:t>favourable?</w:t>
      </w:r>
      <w:r w:rsidR="00190923" w:rsidRPr="00981405">
        <w:t xml:space="preserve"> </w:t>
      </w:r>
    </w:p>
    <w:p w:rsidR="00397032" w:rsidRPr="00981405" w:rsidRDefault="00397032" w:rsidP="00D97463">
      <w:pPr>
        <w:pStyle w:val="SingleTxt"/>
      </w:pPr>
      <w:r w:rsidRPr="00981405">
        <w:t>138.</w:t>
      </w:r>
      <w:r w:rsidRPr="00981405">
        <w:tab/>
        <w:t>The</w:t>
      </w:r>
      <w:r w:rsidR="00190923" w:rsidRPr="00981405">
        <w:t xml:space="preserve"> </w:t>
      </w:r>
      <w:r w:rsidR="001C3185" w:rsidRPr="00981405">
        <w:rPr>
          <w:i/>
          <w:iCs/>
        </w:rPr>
        <w:t>ICS</w:t>
      </w:r>
      <w:r w:rsidR="00190923" w:rsidRPr="00981405">
        <w:t xml:space="preserve"> </w:t>
      </w:r>
      <w:r w:rsidRPr="00981405">
        <w:t>tribunal</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an</w:t>
      </w:r>
      <w:r w:rsidR="00190923" w:rsidRPr="00981405">
        <w:t xml:space="preserve"> </w:t>
      </w:r>
      <w:r w:rsidRPr="00981405">
        <w:t>investor</w:t>
      </w:r>
      <w:r w:rsidR="00190923" w:rsidRPr="00981405">
        <w:t xml:space="preserve"> </w:t>
      </w:r>
      <w:r w:rsidRPr="00981405">
        <w:t>relying</w:t>
      </w:r>
      <w:r w:rsidR="00190923" w:rsidRPr="00981405">
        <w:t xml:space="preserve"> </w:t>
      </w:r>
      <w:r w:rsidRPr="00981405">
        <w:t>on</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to</w:t>
      </w:r>
      <w:r w:rsidR="00190923" w:rsidRPr="00981405">
        <w:t xml:space="preserve"> </w:t>
      </w:r>
      <w:r w:rsidRPr="00981405">
        <w:t>avoid</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would</w:t>
      </w:r>
      <w:r w:rsidR="00190923" w:rsidRPr="00981405">
        <w:t xml:space="preserve"> </w:t>
      </w:r>
      <w:r w:rsidRPr="00981405">
        <w:t>be</w:t>
      </w:r>
      <w:r w:rsidR="00190923" w:rsidRPr="00981405">
        <w:t xml:space="preserve"> </w:t>
      </w:r>
      <w:r w:rsidRPr="00981405">
        <w:t>subject</w:t>
      </w:r>
      <w:r w:rsidR="00190923" w:rsidRPr="00981405">
        <w:t xml:space="preserve"> </w:t>
      </w:r>
      <w:r w:rsidRPr="00981405">
        <w:t>to</w:t>
      </w:r>
      <w:r w:rsidR="00190923" w:rsidRPr="00981405">
        <w:t xml:space="preserve"> </w:t>
      </w:r>
      <w:r w:rsidRPr="00981405">
        <w:t>the</w:t>
      </w:r>
      <w:r w:rsidR="00190923" w:rsidRPr="00981405">
        <w:t xml:space="preserve"> </w:t>
      </w:r>
      <w:r w:rsidRPr="00981405">
        <w:t>fork</w:t>
      </w:r>
      <w:r w:rsidR="00190923" w:rsidRPr="00981405">
        <w:t xml:space="preserve"> </w:t>
      </w:r>
      <w:r w:rsidRPr="00981405">
        <w:t>in</w:t>
      </w:r>
      <w:r w:rsidR="00190923" w:rsidRPr="00981405">
        <w:t xml:space="preserve"> </w:t>
      </w:r>
      <w:r w:rsidRPr="00981405">
        <w:t>the</w:t>
      </w:r>
      <w:r w:rsidR="00190923" w:rsidRPr="00981405">
        <w:t xml:space="preserve"> </w:t>
      </w:r>
      <w:r w:rsidRPr="00981405">
        <w:t>road</w:t>
      </w:r>
      <w:r w:rsidR="00190923" w:rsidRPr="00981405">
        <w:t xml:space="preserve"> </w:t>
      </w:r>
      <w:r w:rsidRPr="00981405">
        <w:t>provision</w:t>
      </w:r>
      <w:r w:rsidR="00190923" w:rsidRPr="00981405">
        <w:t xml:space="preserve"> </w:t>
      </w:r>
      <w:r w:rsidRPr="00981405">
        <w:t>of</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Pr="00981405">
        <w:rPr>
          <w:rStyle w:val="FootnoteReference"/>
        </w:rPr>
        <w:footnoteReference w:id="561"/>
      </w:r>
      <w:r w:rsidR="00190923" w:rsidRPr="00981405">
        <w:t xml:space="preserve"> </w:t>
      </w:r>
      <w:r w:rsidRPr="00981405">
        <w:t>The</w:t>
      </w:r>
      <w:r w:rsidR="00190923" w:rsidRPr="00981405">
        <w:t xml:space="preserve"> </w:t>
      </w:r>
      <w:r w:rsidRPr="00D97463">
        <w:rPr>
          <w:i/>
          <w:iCs/>
        </w:rPr>
        <w:t>Garanti</w:t>
      </w:r>
      <w:r w:rsidR="00190923" w:rsidRPr="00D97463">
        <w:rPr>
          <w:i/>
          <w:iCs/>
        </w:rPr>
        <w:t xml:space="preserve"> </w:t>
      </w:r>
      <w:r w:rsidRPr="00D97463">
        <w:rPr>
          <w:i/>
          <w:iCs/>
        </w:rPr>
        <w:t>Kos</w:t>
      </w:r>
      <w:r w:rsidR="00190923" w:rsidRPr="00981405">
        <w:t xml:space="preserve"> </w:t>
      </w:r>
      <w:r w:rsidRPr="00981405">
        <w:t>tribunal</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it</w:t>
      </w:r>
      <w:r w:rsidR="00190923" w:rsidRPr="00981405">
        <w:t xml:space="preserve"> </w:t>
      </w:r>
      <w:r w:rsidRPr="00981405">
        <w:t>was</w:t>
      </w:r>
      <w:r w:rsidR="00190923" w:rsidRPr="00981405">
        <w:t xml:space="preserve"> </w:t>
      </w:r>
      <w:r w:rsidRPr="00981405">
        <w:t>difficult</w:t>
      </w:r>
      <w:r w:rsidR="00190923" w:rsidRPr="00981405">
        <w:t xml:space="preserve"> </w:t>
      </w:r>
      <w:r w:rsidRPr="00981405">
        <w:t>to</w:t>
      </w:r>
      <w:r w:rsidR="00190923" w:rsidRPr="00981405">
        <w:t xml:space="preserve"> </w:t>
      </w:r>
      <w:r w:rsidRPr="00981405">
        <w:t>say</w:t>
      </w:r>
      <w:r w:rsidR="00190923" w:rsidRPr="00981405">
        <w:t xml:space="preserve"> </w:t>
      </w:r>
      <w:r w:rsidRPr="00981405">
        <w:t>that</w:t>
      </w:r>
      <w:r w:rsidR="00190923" w:rsidRPr="00981405">
        <w:t xml:space="preserve"> </w:t>
      </w:r>
      <w:r w:rsidRPr="00981405">
        <w:t>ICSID</w:t>
      </w:r>
      <w:r w:rsidR="00190923" w:rsidRPr="00981405">
        <w:t xml:space="preserve"> </w:t>
      </w:r>
      <w:r w:rsidRPr="00981405">
        <w:t>arbitration</w:t>
      </w:r>
      <w:r w:rsidR="00190923" w:rsidRPr="00981405">
        <w:t xml:space="preserve"> </w:t>
      </w:r>
      <w:r w:rsidRPr="00981405">
        <w:t>was</w:t>
      </w:r>
      <w:r w:rsidR="00190923" w:rsidRPr="00981405">
        <w:t xml:space="preserve"> </w:t>
      </w:r>
      <w:r w:rsidRPr="00981405">
        <w:t>objectively</w:t>
      </w:r>
      <w:r w:rsidR="00190923" w:rsidRPr="00981405">
        <w:t xml:space="preserve"> </w:t>
      </w:r>
      <w:r w:rsidRPr="00981405">
        <w:t>more</w:t>
      </w:r>
      <w:r w:rsidR="00190923" w:rsidRPr="00981405">
        <w:t xml:space="preserve"> </w:t>
      </w:r>
      <w:r w:rsidRPr="00981405">
        <w:t>favourable</w:t>
      </w:r>
      <w:r w:rsidR="00190923" w:rsidRPr="00981405">
        <w:t xml:space="preserve"> </w:t>
      </w:r>
      <w:r w:rsidRPr="00981405">
        <w:t>than</w:t>
      </w:r>
      <w:r w:rsidR="00190923" w:rsidRPr="00981405">
        <w:t xml:space="preserve"> </w:t>
      </w:r>
      <w:r w:rsidRPr="00981405">
        <w:t>UNCITRAL</w:t>
      </w:r>
      <w:r w:rsidR="00190923" w:rsidRPr="00981405">
        <w:t xml:space="preserve"> </w:t>
      </w:r>
      <w:r w:rsidRPr="00981405">
        <w:t>arbitration,</w:t>
      </w:r>
      <w:r w:rsidR="00190923" w:rsidRPr="00981405">
        <w:t xml:space="preserve"> </w:t>
      </w:r>
      <w:r w:rsidRPr="00981405">
        <w:t>but</w:t>
      </w:r>
      <w:r w:rsidR="00190923" w:rsidRPr="00981405">
        <w:t xml:space="preserve"> </w:t>
      </w:r>
      <w:r w:rsidRPr="00981405">
        <w:t>that</w:t>
      </w:r>
      <w:r w:rsidR="00190923" w:rsidRPr="00981405">
        <w:t xml:space="preserve"> </w:t>
      </w:r>
      <w:r w:rsidRPr="00981405">
        <w:t>they</w:t>
      </w:r>
      <w:r w:rsidR="00190923" w:rsidRPr="00981405">
        <w:t xml:space="preserve"> </w:t>
      </w:r>
      <w:r w:rsidRPr="00981405">
        <w:t>were</w:t>
      </w:r>
      <w:r w:rsidR="00190923" w:rsidRPr="00981405">
        <w:t xml:space="preserve"> </w:t>
      </w:r>
      <w:r w:rsidR="00B92E2C" w:rsidRPr="00981405">
        <w:t>“</w:t>
      </w:r>
      <w:r w:rsidRPr="00981405">
        <w:t>indisputably</w:t>
      </w:r>
      <w:r w:rsidR="00190923" w:rsidRPr="00981405">
        <w:t xml:space="preserve"> </w:t>
      </w:r>
      <w:r w:rsidRPr="00981405">
        <w:t>different.</w:t>
      </w:r>
      <w:r w:rsidR="00B92E2C" w:rsidRPr="00981405">
        <w:t>”</w:t>
      </w:r>
      <w:r w:rsidRPr="00981405">
        <w:rPr>
          <w:rStyle w:val="FootnoteReference"/>
        </w:rPr>
        <w:footnoteReference w:id="562"/>
      </w:r>
      <w:r w:rsidR="00190923" w:rsidRPr="00981405">
        <w:t xml:space="preserve"> </w:t>
      </w:r>
      <w:r w:rsidRPr="00981405">
        <w:t>In</w:t>
      </w:r>
      <w:r w:rsidR="00190923" w:rsidRPr="00981405">
        <w:t xml:space="preserve"> </w:t>
      </w:r>
      <w:r w:rsidRPr="00981405">
        <w:t>the</w:t>
      </w:r>
      <w:r w:rsidR="00190923" w:rsidRPr="00981405">
        <w:t xml:space="preserve"> </w:t>
      </w:r>
      <w:r w:rsidRPr="00981405">
        <w:t>end</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choice</w:t>
      </w:r>
      <w:r w:rsidR="00190923" w:rsidRPr="00981405">
        <w:t xml:space="preserve"> </w:t>
      </w:r>
      <w:r w:rsidRPr="00981405">
        <w:t>was</w:t>
      </w:r>
      <w:r w:rsidR="00190923" w:rsidRPr="00981405">
        <w:t xml:space="preserve"> </w:t>
      </w:r>
      <w:r w:rsidRPr="00981405">
        <w:t>better</w:t>
      </w:r>
      <w:r w:rsidR="00190923" w:rsidRPr="00981405">
        <w:t xml:space="preserve"> </w:t>
      </w:r>
      <w:r w:rsidRPr="00981405">
        <w:t>than</w:t>
      </w:r>
      <w:r w:rsidR="00190923" w:rsidRPr="00981405">
        <w:t xml:space="preserve"> </w:t>
      </w:r>
      <w:r w:rsidRPr="00981405">
        <w:t>no</w:t>
      </w:r>
      <w:r w:rsidR="00190923" w:rsidRPr="00981405">
        <w:t xml:space="preserve"> </w:t>
      </w:r>
      <w:r w:rsidRPr="00981405">
        <w:t>choice</w:t>
      </w:r>
      <w:r w:rsidR="00190923" w:rsidRPr="00981405">
        <w:t xml:space="preserve"> </w:t>
      </w:r>
      <w:r w:rsidRPr="00981405">
        <w:t>and</w:t>
      </w:r>
      <w:r w:rsidR="00190923" w:rsidRPr="00981405">
        <w:t xml:space="preserve"> </w:t>
      </w:r>
      <w:r w:rsidRPr="00981405">
        <w:t>allowed</w:t>
      </w:r>
      <w:r w:rsidR="00190923" w:rsidRPr="00981405">
        <w:t xml:space="preserve"> </w:t>
      </w:r>
      <w:r w:rsidRPr="00981405">
        <w:t>the</w:t>
      </w:r>
      <w:r w:rsidR="00190923" w:rsidRPr="00981405">
        <w:t xml:space="preserve"> </w:t>
      </w:r>
      <w:r w:rsidRPr="00981405">
        <w:t>claimant</w:t>
      </w:r>
      <w:r w:rsidR="00190923" w:rsidRPr="00981405">
        <w:t xml:space="preserve"> </w:t>
      </w:r>
      <w:r w:rsidRPr="00981405">
        <w:t>to</w:t>
      </w:r>
      <w:r w:rsidR="00190923" w:rsidRPr="00981405">
        <w:t xml:space="preserve"> </w:t>
      </w:r>
      <w:r w:rsidRPr="00981405">
        <w:t>import</w:t>
      </w:r>
      <w:r w:rsidR="00190923" w:rsidRPr="00981405">
        <w:t xml:space="preserve"> </w:t>
      </w:r>
      <w:r w:rsidRPr="00981405">
        <w:t>ICSID</w:t>
      </w:r>
      <w:r w:rsidR="00190923" w:rsidRPr="00981405">
        <w:t xml:space="preserve"> </w:t>
      </w:r>
      <w:r w:rsidRPr="00981405">
        <w:t>arbitration</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Pr="00981405">
        <w:rPr>
          <w:rStyle w:val="FootnoteReference"/>
        </w:rPr>
        <w:footnoteReference w:id="563"/>
      </w:r>
    </w:p>
    <w:p w:rsidR="00397032" w:rsidRPr="00981405" w:rsidRDefault="00397032" w:rsidP="00D97463">
      <w:pPr>
        <w:pStyle w:val="SingleTxt"/>
      </w:pPr>
      <w:r w:rsidRPr="00981405">
        <w:t>139.</w:t>
      </w:r>
      <w:r w:rsidRPr="00981405">
        <w:tab/>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the</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sought</w:t>
      </w:r>
      <w:r w:rsidR="00190923" w:rsidRPr="00981405">
        <w:t xml:space="preserve"> </w:t>
      </w:r>
      <w:r w:rsidRPr="00981405">
        <w:t>to</w:t>
      </w:r>
      <w:r w:rsidR="00190923" w:rsidRPr="00981405">
        <w:t xml:space="preserve"> </w:t>
      </w:r>
      <w:r w:rsidRPr="00981405">
        <w:t>be</w:t>
      </w:r>
      <w:r w:rsidR="00190923" w:rsidRPr="00981405">
        <w:t xml:space="preserve"> </w:t>
      </w:r>
      <w:r w:rsidRPr="00981405">
        <w:t>relied</w:t>
      </w:r>
      <w:r w:rsidR="00190923" w:rsidRPr="00981405">
        <w:t xml:space="preserve"> </w:t>
      </w:r>
      <w:r w:rsidRPr="00981405">
        <w:t>on</w:t>
      </w:r>
      <w:r w:rsidR="00190923" w:rsidRPr="00981405">
        <w:t xml:space="preserve"> </w:t>
      </w:r>
      <w:r w:rsidRPr="00981405">
        <w:t>is</w:t>
      </w:r>
      <w:r w:rsidR="00190923" w:rsidRPr="00981405">
        <w:t xml:space="preserve"> </w:t>
      </w:r>
      <w:r w:rsidRPr="00981405">
        <w:t>in</w:t>
      </w:r>
      <w:r w:rsidR="00190923" w:rsidRPr="00981405">
        <w:t xml:space="preserve"> </w:t>
      </w:r>
      <w:r w:rsidRPr="00981405">
        <w:t>fact</w:t>
      </w:r>
      <w:r w:rsidR="00190923" w:rsidRPr="00981405">
        <w:t xml:space="preserve"> </w:t>
      </w:r>
      <w:r w:rsidRPr="00981405">
        <w:t>more</w:t>
      </w:r>
      <w:r w:rsidR="00190923" w:rsidRPr="00981405">
        <w:t xml:space="preserve"> </w:t>
      </w:r>
      <w:r w:rsidRPr="00981405">
        <w:t>favourable</w:t>
      </w:r>
      <w:r w:rsidR="00190923" w:rsidRPr="00981405">
        <w:t xml:space="preserve"> </w:t>
      </w:r>
      <w:r w:rsidRPr="00981405">
        <w:t>than</w:t>
      </w:r>
      <w:r w:rsidR="00190923" w:rsidRPr="00981405">
        <w:t xml:space="preserve"> </w:t>
      </w:r>
      <w:r w:rsidRPr="00981405">
        <w:t>the</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that</w:t>
      </w:r>
      <w:r w:rsidR="00190923" w:rsidRPr="00981405">
        <w:t xml:space="preserve"> </w:t>
      </w:r>
      <w:r w:rsidRPr="00981405">
        <w:t>is</w:t>
      </w:r>
      <w:r w:rsidR="00190923" w:rsidRPr="00981405">
        <w:t xml:space="preserve"> </w:t>
      </w:r>
      <w:r w:rsidRPr="00981405">
        <w:t>sought</w:t>
      </w:r>
      <w:r w:rsidR="00190923" w:rsidRPr="00981405">
        <w:t xml:space="preserve"> </w:t>
      </w:r>
      <w:r w:rsidRPr="00981405">
        <w:t>to</w:t>
      </w:r>
      <w:r w:rsidR="00190923" w:rsidRPr="00981405">
        <w:t xml:space="preserve"> </w:t>
      </w:r>
      <w:r w:rsidRPr="00981405">
        <w:t>be</w:t>
      </w:r>
      <w:r w:rsidR="00190923" w:rsidRPr="00981405">
        <w:t xml:space="preserve"> </w:t>
      </w:r>
      <w:r w:rsidRPr="00981405">
        <w:t>avoided</w:t>
      </w:r>
      <w:r w:rsidR="00190923" w:rsidRPr="00981405">
        <w:t xml:space="preserve"> </w:t>
      </w:r>
      <w:r w:rsidRPr="00981405">
        <w:t>was</w:t>
      </w:r>
      <w:r w:rsidR="00190923" w:rsidRPr="00981405">
        <w:t xml:space="preserve"> </w:t>
      </w:r>
      <w:r w:rsidRPr="00981405">
        <w:t>not</w:t>
      </w:r>
      <w:r w:rsidR="00190923" w:rsidRPr="00981405">
        <w:t xml:space="preserve"> </w:t>
      </w:r>
      <w:r w:rsidRPr="00981405">
        <w:t>considered</w:t>
      </w:r>
      <w:r w:rsidR="00190923" w:rsidRPr="00981405">
        <w:t xml:space="preserve"> </w:t>
      </w:r>
      <w:r w:rsidRPr="00981405">
        <w:t>in</w:t>
      </w:r>
      <w:r w:rsidR="00190923" w:rsidRPr="00981405">
        <w:t xml:space="preserve"> </w:t>
      </w:r>
      <w:r w:rsidRPr="00981405">
        <w:t>any</w:t>
      </w:r>
      <w:r w:rsidR="00190923" w:rsidRPr="00981405">
        <w:t xml:space="preserve"> </w:t>
      </w:r>
      <w:r w:rsidRPr="00981405">
        <w:t>detail</w:t>
      </w:r>
      <w:r w:rsidR="00190923" w:rsidRPr="00981405">
        <w:t xml:space="preserve"> </w:t>
      </w:r>
      <w:r w:rsidRPr="00981405">
        <w:t>in</w:t>
      </w:r>
      <w:r w:rsidR="00190923" w:rsidRPr="00981405">
        <w:t xml:space="preserve"> </w:t>
      </w:r>
      <w:r w:rsidRPr="00981405">
        <w:t>the</w:t>
      </w:r>
      <w:r w:rsidR="00190923" w:rsidRPr="00981405">
        <w:t xml:space="preserve"> </w:t>
      </w:r>
      <w:r w:rsidRPr="00981405">
        <w:t>earlier</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Generally</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assumed</w:t>
      </w:r>
      <w:r w:rsidR="00190923" w:rsidRPr="00981405">
        <w:t xml:space="preserve"> </w:t>
      </w:r>
      <w:r w:rsidRPr="00981405">
        <w:t>that</w:t>
      </w:r>
      <w:r w:rsidR="00190923" w:rsidRPr="00981405">
        <w:t xml:space="preserve"> </w:t>
      </w:r>
      <w:r w:rsidRPr="00981405">
        <w:t>not</w:t>
      </w:r>
      <w:r w:rsidR="00190923" w:rsidRPr="00981405">
        <w:t xml:space="preserve"> </w:t>
      </w:r>
      <w:r w:rsidRPr="00981405">
        <w:t>having</w:t>
      </w:r>
      <w:r w:rsidR="00190923" w:rsidRPr="00981405">
        <w:t xml:space="preserve"> </w:t>
      </w:r>
      <w:r w:rsidRPr="00981405">
        <w:t>to</w:t>
      </w:r>
      <w:r w:rsidR="00190923" w:rsidRPr="00981405">
        <w:t xml:space="preserve"> </w:t>
      </w:r>
      <w:r w:rsidRPr="00981405">
        <w:t>litigate</w:t>
      </w:r>
      <w:r w:rsidR="00190923" w:rsidRPr="00981405">
        <w:t xml:space="preserve"> </w:t>
      </w:r>
      <w:r w:rsidRPr="00981405">
        <w:t>in</w:t>
      </w:r>
      <w:r w:rsidR="00190923" w:rsidRPr="00981405">
        <w:t xml:space="preserve"> </w:t>
      </w:r>
      <w:r w:rsidRPr="00981405">
        <w:t>domestic</w:t>
      </w:r>
      <w:r w:rsidR="00190923" w:rsidRPr="00981405">
        <w:t xml:space="preserve"> </w:t>
      </w:r>
      <w:r w:rsidRPr="00981405">
        <w:t>courts</w:t>
      </w:r>
      <w:r w:rsidR="00190923" w:rsidRPr="00981405">
        <w:t xml:space="preserve"> </w:t>
      </w:r>
      <w:r w:rsidRPr="00981405">
        <w:t>for</w:t>
      </w:r>
      <w:r w:rsidR="00190923" w:rsidRPr="00981405">
        <w:t xml:space="preserve"> </w:t>
      </w:r>
      <w:r w:rsidRPr="00981405">
        <w:t>18</w:t>
      </w:r>
      <w:r w:rsidR="00190923" w:rsidRPr="00981405">
        <w:t xml:space="preserve"> </w:t>
      </w:r>
      <w:r w:rsidRPr="00981405">
        <w:t>months</w:t>
      </w:r>
      <w:r w:rsidR="00190923" w:rsidRPr="00981405">
        <w:t xml:space="preserve"> </w:t>
      </w:r>
      <w:r w:rsidRPr="00981405">
        <w:t>is</w:t>
      </w:r>
      <w:r w:rsidR="00190923" w:rsidRPr="00981405">
        <w:t xml:space="preserve"> </w:t>
      </w:r>
      <w:r w:rsidRPr="00981405">
        <w:t>more</w:t>
      </w:r>
      <w:r w:rsidR="00190923" w:rsidRPr="00981405">
        <w:t xml:space="preserve"> </w:t>
      </w:r>
      <w:r w:rsidRPr="00981405">
        <w:t>favourable</w:t>
      </w:r>
      <w:r w:rsidR="00190923" w:rsidRPr="00981405">
        <w:t xml:space="preserve"> </w:t>
      </w:r>
      <w:r w:rsidRPr="00981405">
        <w:t>than</w:t>
      </w:r>
      <w:r w:rsidR="00190923" w:rsidRPr="00981405">
        <w:t xml:space="preserve"> </w:t>
      </w:r>
      <w:r w:rsidRPr="00981405">
        <w:t>having</w:t>
      </w:r>
      <w:r w:rsidR="00190923" w:rsidRPr="00981405">
        <w:t xml:space="preserve"> </w:t>
      </w:r>
      <w:r w:rsidRPr="00981405">
        <w:t>to</w:t>
      </w:r>
      <w:r w:rsidR="00190923" w:rsidRPr="00981405">
        <w:t xml:space="preserve"> </w:t>
      </w:r>
      <w:r w:rsidRPr="00981405">
        <w:t>wait</w:t>
      </w:r>
      <w:r w:rsidR="00190923" w:rsidRPr="00981405">
        <w:t xml:space="preserve"> </w:t>
      </w:r>
      <w:r w:rsidRPr="00981405">
        <w:t>and</w:t>
      </w:r>
      <w:r w:rsidR="00190923" w:rsidRPr="00981405">
        <w:t xml:space="preserve"> </w:t>
      </w:r>
      <w:r w:rsidRPr="00981405">
        <w:t>litigate.</w:t>
      </w:r>
      <w:r w:rsidR="00190923" w:rsidRPr="00981405">
        <w:t xml:space="preserve"> </w:t>
      </w:r>
      <w:r w:rsidRPr="00981405">
        <w:t>However,</w:t>
      </w:r>
      <w:r w:rsidR="00190923" w:rsidRPr="00981405">
        <w:t xml:space="preserve"> </w:t>
      </w:r>
      <w:r w:rsidRPr="00981405">
        <w:t>this</w:t>
      </w:r>
      <w:r w:rsidR="00190923" w:rsidRPr="00981405">
        <w:t xml:space="preserve"> </w:t>
      </w:r>
      <w:r w:rsidRPr="00981405">
        <w:t>might</w:t>
      </w:r>
      <w:r w:rsidR="00190923" w:rsidRPr="00981405">
        <w:t xml:space="preserve"> </w:t>
      </w:r>
      <w:r w:rsidRPr="00981405">
        <w:t>be</w:t>
      </w:r>
      <w:r w:rsidR="00190923" w:rsidRPr="00981405">
        <w:t xml:space="preserve"> </w:t>
      </w:r>
      <w:r w:rsidRPr="00981405">
        <w:t>questioned</w:t>
      </w:r>
      <w:r w:rsidR="00190923" w:rsidRPr="00981405">
        <w:t xml:space="preserve"> </w:t>
      </w:r>
      <w:r w:rsidRPr="00981405">
        <w:t>unless</w:t>
      </w:r>
      <w:r w:rsidR="00190923" w:rsidRPr="00981405">
        <w:t xml:space="preserve"> </w:t>
      </w:r>
      <w:r w:rsidRPr="00981405">
        <w:t>negative</w:t>
      </w:r>
      <w:r w:rsidR="00190923" w:rsidRPr="00981405">
        <w:t xml:space="preserve"> </w:t>
      </w:r>
      <w:r w:rsidRPr="00981405">
        <w:t>assumptions</w:t>
      </w:r>
      <w:r w:rsidR="00190923" w:rsidRPr="00981405">
        <w:t xml:space="preserve"> </w:t>
      </w:r>
      <w:r w:rsidRPr="00981405">
        <w:t>are</w:t>
      </w:r>
      <w:r w:rsidR="00190923" w:rsidRPr="00981405">
        <w:t xml:space="preserve"> </w:t>
      </w:r>
      <w:r w:rsidRPr="00981405">
        <w:t>made</w:t>
      </w:r>
      <w:r w:rsidR="00190923" w:rsidRPr="00981405">
        <w:t xml:space="preserve"> </w:t>
      </w:r>
      <w:r w:rsidRPr="00981405">
        <w:t>about</w:t>
      </w:r>
      <w:r w:rsidR="00190923" w:rsidRPr="00981405">
        <w:t xml:space="preserve"> </w:t>
      </w:r>
      <w:r w:rsidRPr="00981405">
        <w:t>the</w:t>
      </w:r>
      <w:r w:rsidR="00190923" w:rsidRPr="00981405">
        <w:t xml:space="preserve"> </w:t>
      </w:r>
      <w:r w:rsidRPr="00981405">
        <w:t>domestic</w:t>
      </w:r>
      <w:r w:rsidR="00190923" w:rsidRPr="00981405">
        <w:t xml:space="preserve"> </w:t>
      </w:r>
      <w:r w:rsidRPr="00981405">
        <w:t>courts</w:t>
      </w:r>
      <w:r w:rsidR="00190923" w:rsidRPr="00981405">
        <w:t xml:space="preserve"> </w:t>
      </w:r>
      <w:r w:rsidRPr="00981405">
        <w:t>in</w:t>
      </w:r>
      <w:r w:rsidR="00190923" w:rsidRPr="00981405">
        <w:t xml:space="preserve"> </w:t>
      </w:r>
      <w:r w:rsidRPr="00981405">
        <w:t>question.</w:t>
      </w:r>
    </w:p>
    <w:p w:rsidR="00BF6F4D" w:rsidRPr="00D97463" w:rsidRDefault="00BF6F4D" w:rsidP="00D97463">
      <w:pPr>
        <w:pStyle w:val="SingleTxt"/>
        <w:spacing w:after="0" w:line="120" w:lineRule="exact"/>
        <w:rPr>
          <w:sz w:val="10"/>
        </w:rPr>
      </w:pPr>
    </w:p>
    <w:p w:rsidR="00397032" w:rsidRPr="00D97463" w:rsidRDefault="00BF6F4D" w:rsidP="00D97463">
      <w:pPr>
        <w:pStyle w:val="H4"/>
        <w:ind w:right="1260"/>
      </w:pPr>
      <w:bookmarkStart w:id="275" w:name="_Toc293434175"/>
      <w:bookmarkStart w:id="276" w:name="_Toc294353689"/>
      <w:bookmarkStart w:id="277" w:name="_Toc427938189"/>
      <w:r w:rsidRPr="00D97463">
        <w:tab/>
      </w:r>
      <w:r w:rsidR="00397032" w:rsidRPr="00D97463">
        <w:t>(ix)</w:t>
      </w:r>
      <w:r w:rsidR="00397032" w:rsidRPr="00D97463">
        <w:tab/>
        <w:t>The</w:t>
      </w:r>
      <w:r w:rsidR="00190923" w:rsidRPr="00D97463">
        <w:t xml:space="preserve"> </w:t>
      </w:r>
      <w:r w:rsidR="00397032" w:rsidRPr="00D97463">
        <w:t>existence</w:t>
      </w:r>
      <w:r w:rsidR="00190923" w:rsidRPr="00D97463">
        <w:t xml:space="preserve"> </w:t>
      </w:r>
      <w:r w:rsidR="00397032" w:rsidRPr="00D97463">
        <w:t>of</w:t>
      </w:r>
      <w:r w:rsidR="00190923" w:rsidRPr="00D97463">
        <w:t xml:space="preserve"> </w:t>
      </w:r>
      <w:r w:rsidR="00397032" w:rsidRPr="00D97463">
        <w:t>policy</w:t>
      </w:r>
      <w:r w:rsidR="00190923" w:rsidRPr="00D97463">
        <w:t xml:space="preserve"> </w:t>
      </w:r>
      <w:r w:rsidR="00397032" w:rsidRPr="00D97463">
        <w:t>exceptions</w:t>
      </w:r>
      <w:bookmarkEnd w:id="275"/>
      <w:bookmarkEnd w:id="276"/>
      <w:bookmarkEnd w:id="27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140.</w:t>
      </w:r>
      <w:r w:rsidRPr="00981405">
        <w:tab/>
        <w:t>The</w:t>
      </w:r>
      <w:r w:rsidR="00190923" w:rsidRPr="00981405">
        <w:t xml:space="preserve"> </w:t>
      </w:r>
      <w:r w:rsidRPr="00D97463">
        <w:rPr>
          <w:i/>
          <w:iCs/>
        </w:rPr>
        <w:t>Maffezini</w:t>
      </w:r>
      <w:r w:rsidR="00190923" w:rsidRPr="00981405">
        <w:t xml:space="preserve"> </w:t>
      </w:r>
      <w:r w:rsidRPr="00981405">
        <w:t>tribunal,</w:t>
      </w:r>
      <w:r w:rsidR="00190923" w:rsidRPr="00981405">
        <w:t xml:space="preserve"> </w:t>
      </w:r>
      <w:r w:rsidRPr="00981405">
        <w:t>seemingly</w:t>
      </w:r>
      <w:r w:rsidR="00190923" w:rsidRPr="00981405">
        <w:t xml:space="preserve"> </w:t>
      </w:r>
      <w:r w:rsidRPr="00981405">
        <w:t>concerned</w:t>
      </w:r>
      <w:r w:rsidR="00190923" w:rsidRPr="00981405">
        <w:t xml:space="preserve"> </w:t>
      </w:r>
      <w:r w:rsidRPr="00981405">
        <w:t>about</w:t>
      </w:r>
      <w:r w:rsidR="00190923" w:rsidRPr="00981405">
        <w:t xml:space="preserve"> </w:t>
      </w:r>
      <w:r w:rsidRPr="00981405">
        <w:t>the</w:t>
      </w:r>
      <w:r w:rsidR="00190923" w:rsidRPr="00981405">
        <w:t xml:space="preserve"> </w:t>
      </w:r>
      <w:r w:rsidRPr="00981405">
        <w:t>far-reaching</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its</w:t>
      </w:r>
      <w:r w:rsidR="00190923" w:rsidRPr="00981405">
        <w:t xml:space="preserve"> </w:t>
      </w:r>
      <w:r w:rsidRPr="00981405">
        <w:t>decision,</w:t>
      </w:r>
      <w:r w:rsidR="00190923" w:rsidRPr="00981405">
        <w:t xml:space="preserve"> </w:t>
      </w:r>
      <w:r w:rsidRPr="00981405">
        <w:t>set</w:t>
      </w:r>
      <w:r w:rsidR="00190923" w:rsidRPr="00981405">
        <w:t xml:space="preserve"> </w:t>
      </w:r>
      <w:r w:rsidRPr="00981405">
        <w:t>out</w:t>
      </w:r>
      <w:r w:rsidR="00190923" w:rsidRPr="00981405">
        <w:t xml:space="preserve"> </w:t>
      </w:r>
      <w:r w:rsidRPr="00981405">
        <w:t>certain</w:t>
      </w:r>
      <w:r w:rsidR="00190923" w:rsidRPr="00981405">
        <w:t xml:space="preserve"> </w:t>
      </w:r>
      <w:r w:rsidR="00B92E2C" w:rsidRPr="00981405">
        <w:t>“</w:t>
      </w:r>
      <w:r w:rsidRPr="00981405">
        <w:t>public</w:t>
      </w:r>
      <w:r w:rsidR="00190923" w:rsidRPr="00981405">
        <w:t xml:space="preserve"> </w:t>
      </w:r>
      <w:r w:rsidRPr="00981405">
        <w:t>policy</w:t>
      </w:r>
      <w:r w:rsidR="00B92E2C" w:rsidRPr="00981405">
        <w:t>”</w:t>
      </w:r>
      <w:r w:rsidR="00190923" w:rsidRPr="00981405">
        <w:t xml:space="preserve"> </w:t>
      </w:r>
      <w:r w:rsidRPr="00981405">
        <w:t>exceptions</w:t>
      </w:r>
      <w:r w:rsidR="00190923" w:rsidRPr="00981405">
        <w:t xml:space="preserve"> </w:t>
      </w:r>
      <w:r w:rsidRPr="00981405">
        <w:t>where</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could</w:t>
      </w:r>
      <w:r w:rsidR="00190923" w:rsidRPr="00981405">
        <w:t xml:space="preserve"> </w:t>
      </w:r>
      <w:r w:rsidRPr="00981405">
        <w:t>not</w:t>
      </w:r>
      <w:r w:rsidR="00190923" w:rsidRPr="00981405">
        <w:t xml:space="preserve"> </w:t>
      </w:r>
      <w:r w:rsidRPr="00981405">
        <w:t>apply</w:t>
      </w:r>
      <w:r w:rsidR="00190923" w:rsidRPr="00981405">
        <w:t xml:space="preserve"> </w:t>
      </w:r>
      <w:r w:rsidRPr="00981405">
        <w:t>to</w:t>
      </w:r>
      <w:r w:rsidR="00190923" w:rsidRPr="00981405">
        <w:t xml:space="preserve"> </w:t>
      </w:r>
      <w:r w:rsidRPr="00981405">
        <w:t>procedural</w:t>
      </w:r>
      <w:r w:rsidR="00190923" w:rsidRPr="00981405">
        <w:t xml:space="preserve"> </w:t>
      </w:r>
      <w:r w:rsidRPr="00981405">
        <w:t>matters.</w:t>
      </w:r>
      <w:r w:rsidRPr="00981405">
        <w:rPr>
          <w:rStyle w:val="FootnoteReference"/>
        </w:rPr>
        <w:footnoteReference w:id="564"/>
      </w:r>
      <w:r w:rsidR="00190923" w:rsidRPr="00981405">
        <w:t xml:space="preserve"> </w:t>
      </w:r>
      <w:r w:rsidRPr="00981405">
        <w:t>While</w:t>
      </w:r>
      <w:r w:rsidR="00190923" w:rsidRPr="00981405">
        <w:t xml:space="preserve"> </w:t>
      </w:r>
      <w:r w:rsidRPr="00981405">
        <w:t>subsequent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endorsed</w:t>
      </w:r>
      <w:r w:rsidR="00190923" w:rsidRPr="00981405">
        <w:t xml:space="preserve"> </w:t>
      </w:r>
      <w:r w:rsidRPr="00981405">
        <w:t>the</w:t>
      </w:r>
      <w:r w:rsidR="00190923" w:rsidRPr="00981405">
        <w:t xml:space="preserve"> </w:t>
      </w:r>
      <w:r w:rsidRPr="00981405">
        <w:t>idea</w:t>
      </w:r>
      <w:r w:rsidR="00190923" w:rsidRPr="00981405">
        <w:t xml:space="preserve"> </w:t>
      </w:r>
      <w:r w:rsidRPr="00981405">
        <w:t>that</w:t>
      </w:r>
      <w:r w:rsidR="00190923" w:rsidRPr="00981405">
        <w:t xml:space="preserve"> </w:t>
      </w:r>
      <w:r w:rsidRPr="00981405">
        <w:t>some</w:t>
      </w:r>
      <w:r w:rsidR="00190923" w:rsidRPr="00981405">
        <w:t xml:space="preserve"> </w:t>
      </w:r>
      <w:r w:rsidRPr="00981405">
        <w:t>public</w:t>
      </w:r>
      <w:r w:rsidR="00190923" w:rsidRPr="00981405">
        <w:t xml:space="preserve"> </w:t>
      </w:r>
      <w:r w:rsidRPr="00981405">
        <w:t>policy</w:t>
      </w:r>
      <w:r w:rsidR="00190923" w:rsidRPr="00981405">
        <w:t xml:space="preserve"> </w:t>
      </w:r>
      <w:r w:rsidRPr="00981405">
        <w:t>exceptions</w:t>
      </w:r>
      <w:r w:rsidR="00190923" w:rsidRPr="00981405">
        <w:t xml:space="preserve"> </w:t>
      </w:r>
      <w:r w:rsidRPr="00981405">
        <w:t>are</w:t>
      </w:r>
      <w:r w:rsidR="00190923" w:rsidRPr="00981405">
        <w:t xml:space="preserve"> </w:t>
      </w:r>
      <w:r w:rsidRPr="00981405">
        <w:t>necessary,</w:t>
      </w:r>
      <w:r w:rsidR="00190923" w:rsidRPr="00981405">
        <w:t xml:space="preserve"> </w:t>
      </w:r>
      <w:r w:rsidRPr="00981405">
        <w:t>they</w:t>
      </w:r>
      <w:r w:rsidR="00190923" w:rsidRPr="00981405">
        <w:t xml:space="preserve"> </w:t>
      </w:r>
      <w:r w:rsidRPr="00981405">
        <w:t>have</w:t>
      </w:r>
      <w:r w:rsidR="00190923" w:rsidRPr="00981405">
        <w:t xml:space="preserve"> </w:t>
      </w:r>
      <w:r w:rsidRPr="00981405">
        <w:t>not</w:t>
      </w:r>
      <w:r w:rsidR="00190923" w:rsidRPr="00981405">
        <w:t xml:space="preserve"> </w:t>
      </w:r>
      <w:r w:rsidRPr="00981405">
        <w:t>invoked</w:t>
      </w:r>
      <w:r w:rsidR="00190923" w:rsidRPr="00981405">
        <w:t xml:space="preserve"> </w:t>
      </w:r>
      <w:r w:rsidRPr="00981405">
        <w:t>these</w:t>
      </w:r>
      <w:r w:rsidR="00190923" w:rsidRPr="00981405">
        <w:t xml:space="preserve"> </w:t>
      </w:r>
      <w:r w:rsidRPr="00981405">
        <w:t>exceptions</w:t>
      </w:r>
      <w:r w:rsidR="00190923" w:rsidRPr="00981405">
        <w:t xml:space="preserve"> </w:t>
      </w:r>
      <w:r w:rsidRPr="00981405">
        <w:t>as</w:t>
      </w:r>
      <w:r w:rsidR="00190923" w:rsidRPr="00981405">
        <w:t xml:space="preserve"> </w:t>
      </w:r>
      <w:r w:rsidRPr="00981405">
        <w:t>a</w:t>
      </w:r>
      <w:r w:rsidR="00190923" w:rsidRPr="00981405">
        <w:t xml:space="preserve"> </w:t>
      </w:r>
      <w:r w:rsidRPr="00981405">
        <w:t>justification</w:t>
      </w:r>
      <w:r w:rsidR="00190923" w:rsidRPr="00981405">
        <w:t xml:space="preserve"> </w:t>
      </w:r>
      <w:r w:rsidRPr="00981405">
        <w:t>for</w:t>
      </w:r>
      <w:r w:rsidR="00190923" w:rsidRPr="00981405">
        <w:t xml:space="preserve"> </w:t>
      </w:r>
      <w:r w:rsidRPr="00981405">
        <w:t>their</w:t>
      </w:r>
      <w:r w:rsidR="00190923" w:rsidRPr="00981405">
        <w:t xml:space="preserve"> </w:t>
      </w:r>
      <w:r w:rsidRPr="00981405">
        <w:t>decision,</w:t>
      </w:r>
      <w:r w:rsidR="00190923" w:rsidRPr="00981405">
        <w:t xml:space="preserve"> </w:t>
      </w:r>
      <w:r w:rsidRPr="00981405">
        <w:t>even</w:t>
      </w:r>
      <w:r w:rsidR="00190923" w:rsidRPr="00981405">
        <w:t xml:space="preserve"> </w:t>
      </w:r>
      <w:r w:rsidRPr="00981405">
        <w:t>though</w:t>
      </w:r>
      <w:r w:rsidR="00190923" w:rsidRPr="00981405">
        <w:t xml:space="preserve"> </w:t>
      </w:r>
      <w:r w:rsidRPr="00981405">
        <w:t>in</w:t>
      </w:r>
      <w:r w:rsidR="00190923" w:rsidRPr="00981405">
        <w:t xml:space="preserve"> </w:t>
      </w:r>
      <w:r w:rsidRPr="00981405">
        <w:t>some</w:t>
      </w:r>
      <w:r w:rsidR="00190923" w:rsidRPr="00981405">
        <w:t xml:space="preserve"> </w:t>
      </w:r>
      <w:r w:rsidRPr="00981405">
        <w:t>instances</w:t>
      </w:r>
      <w:r w:rsidR="00190923" w:rsidRPr="00981405">
        <w:t xml:space="preserve"> </w:t>
      </w:r>
      <w:r w:rsidRPr="00981405">
        <w:t>they</w:t>
      </w:r>
      <w:r w:rsidR="00190923" w:rsidRPr="00981405">
        <w:t xml:space="preserve"> </w:t>
      </w:r>
      <w:r w:rsidRPr="00981405">
        <w:t>might</w:t>
      </w:r>
      <w:r w:rsidR="00190923" w:rsidRPr="00981405">
        <w:t xml:space="preserve"> </w:t>
      </w:r>
      <w:r w:rsidRPr="00981405">
        <w:t>have</w:t>
      </w:r>
      <w:r w:rsidR="00190923" w:rsidRPr="00981405">
        <w:t xml:space="preserve"> </w:t>
      </w:r>
      <w:r w:rsidRPr="00981405">
        <w:t>been</w:t>
      </w:r>
      <w:r w:rsidR="00190923" w:rsidRPr="00981405">
        <w:t xml:space="preserve"> </w:t>
      </w:r>
      <w:r w:rsidRPr="00981405">
        <w:t>applicable.</w:t>
      </w:r>
      <w:r w:rsidR="00190923" w:rsidRPr="00981405">
        <w:t xml:space="preserve"> </w:t>
      </w:r>
      <w:r w:rsidRPr="00981405">
        <w:t>For</w:t>
      </w:r>
      <w:r w:rsidR="00190923" w:rsidRPr="00981405">
        <w:t xml:space="preserve"> </w:t>
      </w:r>
      <w:r w:rsidRPr="00981405">
        <w:t>example,</w:t>
      </w:r>
      <w:r w:rsidR="00190923" w:rsidRPr="00981405">
        <w:t xml:space="preserve"> </w:t>
      </w:r>
      <w:r w:rsidRPr="00981405">
        <w:t>in</w:t>
      </w:r>
      <w:r w:rsidR="00190923" w:rsidRPr="00981405">
        <w:t xml:space="preserve"> </w:t>
      </w:r>
      <w:r w:rsidRPr="00981405">
        <w:t>the</w:t>
      </w:r>
      <w:r w:rsidR="00190923" w:rsidRPr="00981405">
        <w:t xml:space="preserve"> </w:t>
      </w:r>
      <w:r w:rsidRPr="00D97463">
        <w:rPr>
          <w:i/>
          <w:iCs/>
        </w:rPr>
        <w:t>Garanti</w:t>
      </w:r>
      <w:r w:rsidR="00190923" w:rsidRPr="00981405">
        <w:t xml:space="preserve"> </w:t>
      </w:r>
      <w:r w:rsidRPr="00D97463">
        <w:rPr>
          <w:i/>
          <w:iCs/>
        </w:rPr>
        <w:t>Kos</w:t>
      </w:r>
      <w:r w:rsidR="00190923" w:rsidRPr="00981405">
        <w:t xml:space="preserve"> </w:t>
      </w:r>
      <w:r w:rsidRPr="00981405">
        <w:t>case</w:t>
      </w:r>
      <w:r w:rsidR="00190923" w:rsidRPr="00981405">
        <w:t xml:space="preserve"> </w:t>
      </w:r>
      <w:r w:rsidRPr="00981405">
        <w:t>the</w:t>
      </w:r>
      <w:r w:rsidR="00190923" w:rsidRPr="00981405">
        <w:t xml:space="preserve"> </w:t>
      </w:r>
      <w:r w:rsidRPr="00981405">
        <w:t>tribunal</w:t>
      </w:r>
      <w:r w:rsidR="00190923" w:rsidRPr="00981405">
        <w:t xml:space="preserve"> </w:t>
      </w:r>
      <w:r w:rsidRPr="00981405">
        <w:t>substituted</w:t>
      </w:r>
      <w:r w:rsidR="00190923" w:rsidRPr="00981405">
        <w:t xml:space="preserve"> </w:t>
      </w:r>
      <w:r w:rsidRPr="00981405">
        <w:t>ICSID</w:t>
      </w:r>
      <w:r w:rsidR="00190923" w:rsidRPr="00981405">
        <w:t xml:space="preserve"> </w:t>
      </w:r>
      <w:r w:rsidRPr="00981405">
        <w:t>arbitration</w:t>
      </w:r>
      <w:r w:rsidR="00190923" w:rsidRPr="00981405">
        <w:t xml:space="preserve"> </w:t>
      </w:r>
      <w:r w:rsidRPr="00981405">
        <w:t>for</w:t>
      </w:r>
      <w:r w:rsidR="00190923" w:rsidRPr="00981405">
        <w:t xml:space="preserve"> </w:t>
      </w:r>
      <w:r w:rsidRPr="00981405">
        <w:t>UNCITRAL</w:t>
      </w:r>
      <w:r w:rsidR="00190923" w:rsidRPr="00981405">
        <w:t xml:space="preserve"> </w:t>
      </w:r>
      <w:r w:rsidRPr="00981405">
        <w:t>arbitration,</w:t>
      </w:r>
      <w:r w:rsidR="00190923" w:rsidRPr="00981405">
        <w:t xml:space="preserve"> </w:t>
      </w:r>
      <w:r w:rsidRPr="00981405">
        <w:t>something</w:t>
      </w:r>
      <w:r w:rsidR="00190923" w:rsidRPr="00981405">
        <w:t xml:space="preserve"> </w:t>
      </w:r>
      <w:r w:rsidRPr="00981405">
        <w:t>that</w:t>
      </w:r>
      <w:r w:rsidR="00190923" w:rsidRPr="00981405">
        <w:t xml:space="preserve"> </w:t>
      </w:r>
      <w:r w:rsidRPr="00981405">
        <w:t>the</w:t>
      </w:r>
      <w:r w:rsidR="00190923" w:rsidRPr="00981405">
        <w:t xml:space="preserve"> </w:t>
      </w:r>
      <w:r w:rsidRPr="00D97463">
        <w:rPr>
          <w:i/>
          <w:iCs/>
        </w:rPr>
        <w:t>Maffezini</w:t>
      </w:r>
      <w:r w:rsidR="00190923" w:rsidRPr="00981405">
        <w:t xml:space="preserve"> </w:t>
      </w:r>
      <w:r w:rsidRPr="00981405">
        <w:t>policy</w:t>
      </w:r>
      <w:r w:rsidR="00190923" w:rsidRPr="00981405">
        <w:t xml:space="preserve"> </w:t>
      </w:r>
      <w:r w:rsidRPr="00981405">
        <w:t>exceptions</w:t>
      </w:r>
      <w:r w:rsidR="00190923" w:rsidRPr="00981405">
        <w:t xml:space="preserve"> </w:t>
      </w:r>
      <w:r w:rsidRPr="00981405">
        <w:t>prohibited.</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noted</w:t>
      </w:r>
      <w:r w:rsidR="00190923" w:rsidRPr="00981405">
        <w:t xml:space="preserve"> </w:t>
      </w:r>
      <w:r w:rsidRPr="00981405">
        <w:t>the</w:t>
      </w:r>
      <w:r w:rsidR="00190923" w:rsidRPr="00981405">
        <w:t xml:space="preserve"> </w:t>
      </w:r>
      <w:r w:rsidRPr="00981405">
        <w:t>divergence</w:t>
      </w:r>
      <w:r w:rsidR="00190923" w:rsidRPr="00981405">
        <w:t xml:space="preserve"> </w:t>
      </w:r>
      <w:r w:rsidRPr="00981405">
        <w:t>in</w:t>
      </w:r>
      <w:r w:rsidR="00190923" w:rsidRPr="00981405">
        <w:t xml:space="preserve"> </w:t>
      </w:r>
      <w:r w:rsidRPr="00981405">
        <w:t>the</w:t>
      </w:r>
      <w:r w:rsidR="00190923" w:rsidRPr="00981405">
        <w:t xml:space="preserve"> </w:t>
      </w:r>
      <w:r w:rsidRPr="00981405">
        <w:t>reasons</w:t>
      </w:r>
      <w:r w:rsidR="00190923" w:rsidRPr="00981405">
        <w:t xml:space="preserve"> </w:t>
      </w:r>
      <w:r w:rsidRPr="00981405">
        <w:t>given</w:t>
      </w:r>
      <w:r w:rsidR="00190923" w:rsidRPr="00981405">
        <w:t xml:space="preserve"> </w:t>
      </w:r>
      <w:r w:rsidRPr="00981405">
        <w:t>for</w:t>
      </w:r>
      <w:r w:rsidR="00190923" w:rsidRPr="00981405">
        <w:t xml:space="preserve"> </w:t>
      </w:r>
      <w:r w:rsidRPr="00981405">
        <w:t>allowing</w:t>
      </w:r>
      <w:r w:rsidR="00190923" w:rsidRPr="00981405">
        <w:t xml:space="preserve"> </w:t>
      </w:r>
      <w:r w:rsidRPr="00981405">
        <w:t>or</w:t>
      </w:r>
      <w:r w:rsidR="00190923" w:rsidRPr="00981405">
        <w:t xml:space="preserve"> </w:t>
      </w:r>
      <w:r w:rsidRPr="00981405">
        <w:t>rejecting</w:t>
      </w:r>
      <w:r w:rsidR="00190923" w:rsidRPr="00981405">
        <w:t xml:space="preserve"> </w:t>
      </w:r>
      <w:r w:rsidRPr="00981405">
        <w:t>the</w:t>
      </w:r>
      <w:r w:rsidR="00190923" w:rsidRPr="00981405">
        <w:t xml:space="preserve"> </w:t>
      </w:r>
      <w:r w:rsidRPr="00981405">
        <w:t>use</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as</w:t>
      </w:r>
      <w:r w:rsidR="00190923" w:rsidRPr="00981405">
        <w:t xml:space="preserve"> </w:t>
      </w:r>
      <w:r w:rsidRPr="00981405">
        <w:t>a</w:t>
      </w:r>
      <w:r w:rsidR="00190923" w:rsidRPr="00981405">
        <w:t xml:space="preserve"> </w:t>
      </w:r>
      <w:r w:rsidRPr="00981405">
        <w:t>basis</w:t>
      </w:r>
      <w:r w:rsidR="00190923" w:rsidRPr="00981405">
        <w:t xml:space="preserve"> </w:t>
      </w:r>
      <w:r w:rsidRPr="00981405">
        <w:t>for</w:t>
      </w:r>
      <w:r w:rsidR="00190923" w:rsidRPr="00981405">
        <w:t xml:space="preserve"> </w:t>
      </w:r>
      <w:r w:rsidRPr="00981405">
        <w:t>varying</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observed</w:t>
      </w:r>
      <w:r w:rsidR="00190923" w:rsidRPr="00981405">
        <w:t xml:space="preserve"> </w:t>
      </w:r>
      <w:r w:rsidRPr="00981405">
        <w:t>that</w:t>
      </w:r>
      <w:r w:rsidR="00190923" w:rsidRPr="00981405">
        <w:t xml:space="preserve"> </w:t>
      </w:r>
      <w:r w:rsidRPr="00981405">
        <w:t>different</w:t>
      </w:r>
      <w:r w:rsidR="00190923" w:rsidRPr="00981405">
        <w:t xml:space="preserve"> </w:t>
      </w:r>
      <w:r w:rsidRPr="00981405">
        <w:t>approaches</w:t>
      </w:r>
      <w:r w:rsidR="00190923" w:rsidRPr="00981405">
        <w:t xml:space="preserve"> </w:t>
      </w:r>
      <w:r w:rsidRPr="00981405">
        <w:t>were</w:t>
      </w:r>
      <w:r w:rsidR="00190923" w:rsidRPr="00981405">
        <w:t xml:space="preserve"> </w:t>
      </w:r>
      <w:r w:rsidRPr="00981405">
        <w:t>sometimes</w:t>
      </w:r>
      <w:r w:rsidR="00190923" w:rsidRPr="00981405">
        <w:t xml:space="preserve"> </w:t>
      </w:r>
      <w:r w:rsidRPr="00981405">
        <w:t>based</w:t>
      </w:r>
      <w:r w:rsidR="00190923" w:rsidRPr="00981405">
        <w:t xml:space="preserve"> </w:t>
      </w:r>
      <w:r w:rsidRPr="00981405">
        <w:t>on</w:t>
      </w:r>
      <w:r w:rsidR="00190923" w:rsidRPr="00981405">
        <w:t xml:space="preserve"> </w:t>
      </w:r>
      <w:r w:rsidRPr="00981405">
        <w:t>differences</w:t>
      </w:r>
      <w:r w:rsidR="00190923" w:rsidRPr="00981405">
        <w:t xml:space="preserve"> </w:t>
      </w:r>
      <w:r w:rsidRPr="00981405">
        <w:t>in</w:t>
      </w:r>
      <w:r w:rsidR="00190923" w:rsidRPr="00981405">
        <w:t xml:space="preserve"> </w:t>
      </w:r>
      <w:r w:rsidRPr="00981405">
        <w:t>assumptions</w:t>
      </w:r>
      <w:r w:rsidR="00190923" w:rsidRPr="00981405">
        <w:t xml:space="preserve"> </w:t>
      </w:r>
      <w:r w:rsidRPr="00981405">
        <w:t>rather</w:t>
      </w:r>
      <w:r w:rsidR="00190923" w:rsidRPr="00981405">
        <w:t xml:space="preserve"> </w:t>
      </w:r>
      <w:r w:rsidRPr="00981405">
        <w:t>then</w:t>
      </w:r>
      <w:r w:rsidR="00190923" w:rsidRPr="00981405">
        <w:t xml:space="preserve"> </w:t>
      </w:r>
      <w:r w:rsidRPr="00981405">
        <w:t>on</w:t>
      </w:r>
      <w:r w:rsidR="00190923" w:rsidRPr="00981405">
        <w:t xml:space="preserve"> </w:t>
      </w:r>
      <w:r w:rsidRPr="00981405">
        <w:t>a</w:t>
      </w:r>
      <w:r w:rsidR="00190923" w:rsidRPr="00981405">
        <w:t xml:space="preserve"> </w:t>
      </w:r>
      <w:r w:rsidRPr="00981405">
        <w:t>direct</w:t>
      </w:r>
      <w:r w:rsidR="00190923" w:rsidRPr="00981405">
        <w:t xml:space="preserve"> </w:t>
      </w:r>
      <w:r w:rsidRPr="00981405">
        <w:t>contradiction</w:t>
      </w:r>
      <w:r w:rsidR="00190923" w:rsidRPr="00981405">
        <w:t xml:space="preserve"> </w:t>
      </w:r>
      <w:r w:rsidRPr="00981405">
        <w:t>in</w:t>
      </w:r>
      <w:r w:rsidR="00190923" w:rsidRPr="00981405">
        <w:t xml:space="preserve"> </w:t>
      </w:r>
      <w:r w:rsidRPr="00981405">
        <w:t>reasoning.</w:t>
      </w:r>
      <w:r w:rsidR="00190923" w:rsidRPr="00981405">
        <w:t xml:space="preserve"> </w:t>
      </w:r>
    </w:p>
    <w:p w:rsidR="00BF6F4D" w:rsidRPr="00D97463" w:rsidRDefault="00BF6F4D" w:rsidP="00D97463">
      <w:pPr>
        <w:pStyle w:val="SingleTxt"/>
        <w:keepNext/>
        <w:keepLines/>
        <w:spacing w:after="0" w:line="120" w:lineRule="exact"/>
        <w:rPr>
          <w:sz w:val="10"/>
        </w:rPr>
      </w:pPr>
      <w:bookmarkStart w:id="278" w:name="_Toc293434176"/>
      <w:bookmarkStart w:id="279" w:name="_Toc294353690"/>
    </w:p>
    <w:p w:rsidR="00BF6F4D" w:rsidRPr="00D97463" w:rsidRDefault="00BF6F4D" w:rsidP="00D97463">
      <w:pPr>
        <w:pStyle w:val="SingleTxt"/>
        <w:keepNext/>
        <w:keepLines/>
        <w:spacing w:after="0" w:line="120" w:lineRule="exact"/>
        <w:rPr>
          <w:sz w:val="10"/>
        </w:rPr>
      </w:pPr>
    </w:p>
    <w:p w:rsidR="00397032" w:rsidRPr="00D97463" w:rsidRDefault="00397032" w:rsidP="00D97463">
      <w:pPr>
        <w:pStyle w:val="HCh"/>
        <w:ind w:left="1267" w:right="1260" w:hanging="1267"/>
      </w:pPr>
      <w:r w:rsidRPr="00D97463">
        <w:tab/>
      </w:r>
      <w:r w:rsidRPr="00D97463">
        <w:tab/>
      </w:r>
      <w:bookmarkStart w:id="280" w:name="_Toc427938190"/>
      <w:r w:rsidRPr="00D97463">
        <w:t>Part</w:t>
      </w:r>
      <w:r w:rsidR="00190923" w:rsidRPr="00D97463">
        <w:t xml:space="preserve"> </w:t>
      </w:r>
      <w:r w:rsidRPr="00D97463">
        <w:t>III</w:t>
      </w:r>
      <w:r w:rsidR="00BF6F4D" w:rsidRPr="00D97463">
        <w:br/>
      </w:r>
      <w:r w:rsidRPr="00D97463">
        <w:t>Considerations</w:t>
      </w:r>
      <w:bookmarkEnd w:id="278"/>
      <w:r w:rsidR="00190923" w:rsidRPr="00D97463">
        <w:t xml:space="preserve"> </w:t>
      </w:r>
      <w:r w:rsidRPr="00D97463">
        <w:t>in</w:t>
      </w:r>
      <w:r w:rsidR="00190923" w:rsidRPr="00D97463">
        <w:t xml:space="preserve"> </w:t>
      </w:r>
      <w:r w:rsidRPr="00D97463">
        <w:t>interpreting</w:t>
      </w:r>
      <w:r w:rsidR="00190923" w:rsidRPr="00D97463">
        <w:t xml:space="preserve"> </w:t>
      </w:r>
      <w:r w:rsidRPr="00D97463">
        <w:t>MFN</w:t>
      </w:r>
      <w:r w:rsidR="00190923" w:rsidRPr="00D97463">
        <w:t xml:space="preserve"> </w:t>
      </w:r>
      <w:r w:rsidRPr="00D97463">
        <w:t>clauses</w:t>
      </w:r>
      <w:bookmarkEnd w:id="279"/>
      <w:bookmarkEnd w:id="280"/>
    </w:p>
    <w:p w:rsidR="00397032" w:rsidRPr="00D97463" w:rsidRDefault="00397032" w:rsidP="00D97463">
      <w:pPr>
        <w:pStyle w:val="SingleTxt"/>
        <w:keepNext/>
        <w:keepLines/>
        <w:spacing w:after="0" w:line="120" w:lineRule="exact"/>
        <w:rPr>
          <w:sz w:val="10"/>
        </w:rPr>
      </w:pPr>
    </w:p>
    <w:p w:rsidR="00BF6F4D" w:rsidRPr="00D97463" w:rsidRDefault="00BF6F4D" w:rsidP="00D97463">
      <w:pPr>
        <w:pStyle w:val="SingleTxt"/>
        <w:keepNext/>
        <w:keepLines/>
        <w:spacing w:after="0" w:line="120" w:lineRule="exact"/>
        <w:rPr>
          <w:sz w:val="10"/>
        </w:rPr>
      </w:pPr>
    </w:p>
    <w:p w:rsidR="00397032" w:rsidRPr="00D97463" w:rsidRDefault="00BF6F4D" w:rsidP="00D97463">
      <w:pPr>
        <w:pStyle w:val="H1"/>
        <w:ind w:right="1260"/>
      </w:pPr>
      <w:bookmarkStart w:id="281" w:name="_Toc294353691"/>
      <w:bookmarkStart w:id="282" w:name="_Toc427938191"/>
      <w:r w:rsidRPr="00D97463">
        <w:tab/>
      </w:r>
      <w:r w:rsidR="00397032" w:rsidRPr="00D97463">
        <w:t>A.</w:t>
      </w:r>
      <w:r w:rsidRPr="00D97463">
        <w:tab/>
      </w:r>
      <w:r w:rsidR="00397032" w:rsidRPr="00D97463">
        <w:t>Policy</w:t>
      </w:r>
      <w:r w:rsidR="00190923" w:rsidRPr="00D97463">
        <w:t xml:space="preserve"> </w:t>
      </w:r>
      <w:r w:rsidR="00397032" w:rsidRPr="00D97463">
        <w:t>considerations</w:t>
      </w:r>
      <w:r w:rsidR="00190923" w:rsidRPr="00D97463">
        <w:t xml:space="preserve"> </w:t>
      </w:r>
      <w:r w:rsidR="00397032" w:rsidRPr="00D97463">
        <w:t>relating</w:t>
      </w:r>
      <w:r w:rsidR="00190923" w:rsidRPr="00D97463">
        <w:t xml:space="preserve"> </w:t>
      </w:r>
      <w:r w:rsidR="00397032" w:rsidRPr="00D97463">
        <w:t>to</w:t>
      </w:r>
      <w:r w:rsidR="00190923" w:rsidRPr="00D97463">
        <w:t xml:space="preserve"> </w:t>
      </w:r>
      <w:r w:rsidR="00397032" w:rsidRPr="00D97463">
        <w:t>the</w:t>
      </w:r>
      <w:r w:rsidR="00190923" w:rsidRPr="00D97463">
        <w:t xml:space="preserve"> </w:t>
      </w:r>
      <w:r w:rsidR="00397032" w:rsidRPr="00D97463">
        <w:t>interpretation</w:t>
      </w:r>
      <w:r w:rsidR="00190923" w:rsidRPr="00D97463">
        <w:t xml:space="preserve"> </w:t>
      </w:r>
      <w:r w:rsidR="00397032" w:rsidRPr="00D97463">
        <w:t>of</w:t>
      </w:r>
      <w:r w:rsidR="00190923" w:rsidRPr="00D97463">
        <w:t xml:space="preserve"> </w:t>
      </w:r>
      <w:r w:rsidR="00397032" w:rsidRPr="00D97463">
        <w:t>investment</w:t>
      </w:r>
      <w:r w:rsidR="00190923" w:rsidRPr="00D97463">
        <w:t xml:space="preserve"> </w:t>
      </w:r>
      <w:r w:rsidR="00397032" w:rsidRPr="00D97463">
        <w:t>agreements</w:t>
      </w:r>
      <w:bookmarkEnd w:id="281"/>
      <w:bookmarkEnd w:id="282"/>
    </w:p>
    <w:p w:rsidR="00397032" w:rsidRPr="00D97463" w:rsidRDefault="00397032" w:rsidP="00D97463">
      <w:pPr>
        <w:pStyle w:val="SingleTxt"/>
        <w:spacing w:after="0" w:line="120" w:lineRule="exact"/>
        <w:rPr>
          <w:sz w:val="10"/>
        </w:rPr>
      </w:pPr>
    </w:p>
    <w:p w:rsidR="00BF6F4D" w:rsidRPr="00D97463" w:rsidRDefault="00BF6F4D" w:rsidP="00D97463">
      <w:pPr>
        <w:pStyle w:val="SingleTxt"/>
        <w:spacing w:after="0" w:line="120" w:lineRule="exact"/>
        <w:rPr>
          <w:sz w:val="10"/>
        </w:rPr>
      </w:pPr>
    </w:p>
    <w:p w:rsidR="00397032" w:rsidRPr="00D97463" w:rsidRDefault="00397032" w:rsidP="00D97463">
      <w:pPr>
        <w:pStyle w:val="H23"/>
        <w:ind w:right="1260"/>
      </w:pPr>
      <w:r w:rsidRPr="00D97463">
        <w:tab/>
      </w:r>
      <w:bookmarkStart w:id="283" w:name="_Toc293434179"/>
      <w:bookmarkStart w:id="284" w:name="_Toc294353692"/>
      <w:bookmarkStart w:id="285" w:name="_Toc427938192"/>
      <w:r w:rsidRPr="00D97463">
        <w:t>1.</w:t>
      </w:r>
      <w:r w:rsidRPr="00D97463">
        <w:tab/>
        <w:t>Asymmetry</w:t>
      </w:r>
      <w:r w:rsidR="00190923" w:rsidRPr="00D97463">
        <w:t xml:space="preserve"> </w:t>
      </w:r>
      <w:r w:rsidRPr="00D97463">
        <w:t>in</w:t>
      </w:r>
      <w:r w:rsidR="00190923" w:rsidRPr="00D97463">
        <w:t xml:space="preserve"> </w:t>
      </w:r>
      <w:r w:rsidRPr="00D97463">
        <w:t>BIT</w:t>
      </w:r>
      <w:r w:rsidR="00190923" w:rsidRPr="00D97463">
        <w:t xml:space="preserve"> </w:t>
      </w:r>
      <w:r w:rsidRPr="00D97463">
        <w:t>negotiations</w:t>
      </w:r>
      <w:bookmarkEnd w:id="283"/>
      <w:bookmarkEnd w:id="284"/>
      <w:bookmarkEnd w:id="285"/>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141.</w:t>
      </w:r>
      <w:r w:rsidRPr="00981405">
        <w:tab/>
        <w:t>In</w:t>
      </w:r>
      <w:r w:rsidR="00190923" w:rsidRPr="00981405">
        <w:t xml:space="preserve"> </w:t>
      </w:r>
      <w:r w:rsidRPr="00981405">
        <w:t>the</w:t>
      </w:r>
      <w:r w:rsidR="00190923" w:rsidRPr="00981405">
        <w:t xml:space="preserve"> </w:t>
      </w:r>
      <w:r w:rsidRPr="00981405">
        <w:t>past,</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were</w:t>
      </w:r>
      <w:r w:rsidR="00190923" w:rsidRPr="00981405">
        <w:t xml:space="preserve"> </w:t>
      </w:r>
      <w:r w:rsidRPr="00981405">
        <w:t>largely</w:t>
      </w:r>
      <w:r w:rsidR="00190923" w:rsidRPr="00981405">
        <w:t xml:space="preserve"> </w:t>
      </w:r>
      <w:r w:rsidRPr="00981405">
        <w:t>between</w:t>
      </w:r>
      <w:r w:rsidR="00190923" w:rsidRPr="00981405">
        <w:t xml:space="preserve"> </w:t>
      </w:r>
      <w:r w:rsidRPr="00981405">
        <w:t>developed</w:t>
      </w:r>
      <w:r w:rsidR="00190923" w:rsidRPr="00981405">
        <w:t xml:space="preserve"> </w:t>
      </w:r>
      <w:r w:rsidRPr="00981405">
        <w:t>and</w:t>
      </w:r>
      <w:r w:rsidR="00190923" w:rsidRPr="00981405">
        <w:t xml:space="preserve"> </w:t>
      </w:r>
      <w:r w:rsidRPr="00981405">
        <w:t>developing</w:t>
      </w:r>
      <w:r w:rsidR="00190923" w:rsidRPr="00981405">
        <w:t xml:space="preserve"> </w:t>
      </w:r>
      <w:r w:rsidRPr="00981405">
        <w:t>countries</w:t>
      </w:r>
      <w:r w:rsidR="00190923" w:rsidRPr="00981405">
        <w:t xml:space="preserve"> </w:t>
      </w:r>
      <w:r w:rsidRPr="00981405">
        <w:t>with</w:t>
      </w:r>
      <w:r w:rsidR="00190923" w:rsidRPr="00981405">
        <w:t xml:space="preserve"> </w:t>
      </w:r>
      <w:r w:rsidRPr="00981405">
        <w:t>an</w:t>
      </w:r>
      <w:r w:rsidR="00190923" w:rsidRPr="00981405">
        <w:t xml:space="preserve"> </w:t>
      </w:r>
      <w:r w:rsidRPr="00981405">
        <w:t>assumption</w:t>
      </w:r>
      <w:r w:rsidR="00190923" w:rsidRPr="00981405">
        <w:t xml:space="preserve"> </w:t>
      </w:r>
      <w:r w:rsidRPr="00981405">
        <w:t>of</w:t>
      </w:r>
      <w:r w:rsidR="00190923" w:rsidRPr="00981405">
        <w:t xml:space="preserve"> </w:t>
      </w:r>
      <w:r w:rsidRPr="00981405">
        <w:t>asymmetry</w:t>
      </w:r>
      <w:r w:rsidR="00190923" w:rsidRPr="00981405">
        <w:t xml:space="preserve"> </w:t>
      </w:r>
      <w:r w:rsidRPr="00981405">
        <w:t>and</w:t>
      </w:r>
      <w:r w:rsidR="00190923" w:rsidRPr="00981405">
        <w:t xml:space="preserve"> </w:t>
      </w:r>
      <w:r w:rsidRPr="00981405">
        <w:t>inequality</w:t>
      </w:r>
      <w:r w:rsidR="00190923" w:rsidRPr="00981405">
        <w:t xml:space="preserve"> </w:t>
      </w:r>
      <w:r w:rsidRPr="00981405">
        <w:t>of</w:t>
      </w:r>
      <w:r w:rsidR="00190923" w:rsidRPr="00981405">
        <w:t xml:space="preserve"> </w:t>
      </w:r>
      <w:r w:rsidRPr="00981405">
        <w:t>bargaining</w:t>
      </w:r>
      <w:r w:rsidR="00190923" w:rsidRPr="00981405">
        <w:t xml:space="preserve"> </w:t>
      </w:r>
      <w:r w:rsidRPr="00981405">
        <w:t>power.</w:t>
      </w:r>
      <w:r w:rsidRPr="00981405">
        <w:rPr>
          <w:rStyle w:val="FootnoteReference"/>
        </w:rPr>
        <w:footnoteReference w:id="565"/>
      </w:r>
      <w:r w:rsidR="00190923" w:rsidRPr="00981405">
        <w:t xml:space="preserve"> </w:t>
      </w:r>
      <w:r w:rsidRPr="00981405">
        <w:t>Today,</w:t>
      </w:r>
      <w:r w:rsidR="00190923" w:rsidRPr="00981405">
        <w:t xml:space="preserve"> </w:t>
      </w:r>
      <w:r w:rsidRPr="00981405">
        <w:t>many</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are</w:t>
      </w:r>
      <w:r w:rsidR="00190923" w:rsidRPr="00981405">
        <w:t xml:space="preserve"> </w:t>
      </w:r>
      <w:r w:rsidRPr="00981405">
        <w:t>between</w:t>
      </w:r>
      <w:r w:rsidR="00190923" w:rsidRPr="00981405">
        <w:t xml:space="preserve"> </w:t>
      </w:r>
      <w:r w:rsidRPr="00981405">
        <w:t>developed</w:t>
      </w:r>
      <w:r w:rsidR="00190923" w:rsidRPr="00981405">
        <w:t xml:space="preserve"> </w:t>
      </w:r>
      <w:r w:rsidRPr="00981405">
        <w:t>countries</w:t>
      </w:r>
      <w:r w:rsidR="00190923" w:rsidRPr="00981405">
        <w:t xml:space="preserve"> </w:t>
      </w:r>
      <w:r w:rsidRPr="00981405">
        <w:t>or</w:t>
      </w:r>
      <w:r w:rsidR="00190923" w:rsidRPr="00981405">
        <w:t xml:space="preserve"> </w:t>
      </w:r>
      <w:r w:rsidRPr="00981405">
        <w:t>developing</w:t>
      </w:r>
      <w:r w:rsidR="00190923" w:rsidRPr="00981405">
        <w:t xml:space="preserve"> </w:t>
      </w:r>
      <w:r w:rsidRPr="00981405">
        <w:t>countries</w:t>
      </w:r>
      <w:r w:rsidR="00190923" w:rsidRPr="00981405">
        <w:t xml:space="preserve"> </w:t>
      </w:r>
      <w:r w:rsidRPr="00981405">
        <w:t>themselves</w:t>
      </w:r>
      <w:r w:rsidR="00190923" w:rsidRPr="00981405">
        <w:t xml:space="preserve"> </w:t>
      </w:r>
      <w:r w:rsidRPr="00981405">
        <w:t>where</w:t>
      </w:r>
      <w:r w:rsidR="00190923" w:rsidRPr="00981405">
        <w:t xml:space="preserve"> </w:t>
      </w:r>
      <w:r w:rsidRPr="00981405">
        <w:t>the</w:t>
      </w:r>
      <w:r w:rsidR="00190923" w:rsidRPr="00981405">
        <w:t xml:space="preserve"> </w:t>
      </w:r>
      <w:r w:rsidRPr="00981405">
        <w:t>same</w:t>
      </w:r>
      <w:r w:rsidR="00190923" w:rsidRPr="00981405">
        <w:t xml:space="preserve"> </w:t>
      </w:r>
      <w:r w:rsidRPr="00981405">
        <w:t>point</w:t>
      </w:r>
      <w:r w:rsidR="00190923" w:rsidRPr="00981405">
        <w:t xml:space="preserve"> </w:t>
      </w:r>
      <w:r w:rsidRPr="00981405">
        <w:t>cannot</w:t>
      </w:r>
      <w:r w:rsidR="00190923" w:rsidRPr="00981405">
        <w:t xml:space="preserve"> </w:t>
      </w:r>
      <w:r w:rsidRPr="00981405">
        <w:t>be</w:t>
      </w:r>
      <w:r w:rsidR="00190923" w:rsidRPr="00981405">
        <w:t xml:space="preserve"> </w:t>
      </w:r>
      <w:r w:rsidRPr="00981405">
        <w:t>made.</w:t>
      </w:r>
    </w:p>
    <w:p w:rsidR="00397032" w:rsidRPr="00981405" w:rsidRDefault="00397032" w:rsidP="00D97463">
      <w:pPr>
        <w:pStyle w:val="SingleTxt"/>
      </w:pPr>
      <w:r w:rsidRPr="00981405">
        <w:t>142.</w:t>
      </w:r>
      <w:r w:rsidRPr="00981405">
        <w:tab/>
        <w:t>A</w:t>
      </w:r>
      <w:r w:rsidR="00190923" w:rsidRPr="00981405">
        <w:t xml:space="preserve"> </w:t>
      </w:r>
      <w:r w:rsidRPr="00981405">
        <w:t>more</w:t>
      </w:r>
      <w:r w:rsidR="00190923" w:rsidRPr="00981405">
        <w:t xml:space="preserve"> </w:t>
      </w:r>
      <w:r w:rsidRPr="00981405">
        <w:t>substantive</w:t>
      </w:r>
      <w:r w:rsidR="00190923" w:rsidRPr="00981405">
        <w:t xml:space="preserve"> </w:t>
      </w:r>
      <w:r w:rsidRPr="00981405">
        <w:t>comment</w:t>
      </w:r>
      <w:r w:rsidR="00190923" w:rsidRPr="00981405">
        <w:t xml:space="preserve"> </w:t>
      </w:r>
      <w:r w:rsidRPr="00981405">
        <w:t>can</w:t>
      </w:r>
      <w:r w:rsidR="00190923" w:rsidRPr="00981405">
        <w:t xml:space="preserve"> </w:t>
      </w:r>
      <w:r w:rsidRPr="00981405">
        <w:t>be</w:t>
      </w:r>
      <w:r w:rsidR="00190923" w:rsidRPr="00981405">
        <w:t xml:space="preserve"> </w:t>
      </w:r>
      <w:r w:rsidRPr="00981405">
        <w:t>made</w:t>
      </w:r>
      <w:r w:rsidR="00190923" w:rsidRPr="00981405">
        <w:t xml:space="preserve"> </w:t>
      </w:r>
      <w:r w:rsidRPr="00981405">
        <w:t>about</w:t>
      </w:r>
      <w:r w:rsidR="00190923" w:rsidRPr="00981405">
        <w:t xml:space="preserve"> </w:t>
      </w:r>
      <w:r w:rsidRPr="00981405">
        <w:t>the</w:t>
      </w:r>
      <w:r w:rsidR="00190923" w:rsidRPr="00981405">
        <w:t xml:space="preserve"> </w:t>
      </w:r>
      <w:r w:rsidRPr="00981405">
        <w:t>process</w:t>
      </w:r>
      <w:r w:rsidR="00190923" w:rsidRPr="00981405">
        <w:t xml:space="preserve"> </w:t>
      </w:r>
      <w:r w:rsidRPr="00981405">
        <w:t>of</w:t>
      </w:r>
      <w:r w:rsidR="00190923" w:rsidRPr="00981405">
        <w:t xml:space="preserve"> </w:t>
      </w:r>
      <w:r w:rsidRPr="00981405">
        <w:t>negotiation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Some</w:t>
      </w:r>
      <w:r w:rsidR="00190923" w:rsidRPr="00981405">
        <w:t xml:space="preserve"> </w:t>
      </w:r>
      <w:r w:rsidRPr="00981405">
        <w:t>countries</w:t>
      </w:r>
      <w:r w:rsidR="00190923" w:rsidRPr="00981405">
        <w:t xml:space="preserve"> </w:t>
      </w:r>
      <w:r w:rsidRPr="00981405">
        <w:t>have</w:t>
      </w:r>
      <w:r w:rsidR="00190923" w:rsidRPr="00981405">
        <w:t xml:space="preserve"> </w:t>
      </w:r>
      <w:r w:rsidRPr="00981405">
        <w:t>their</w:t>
      </w:r>
      <w:r w:rsidR="00190923" w:rsidRPr="00981405">
        <w:t xml:space="preserve"> </w:t>
      </w:r>
      <w:r w:rsidRPr="00981405">
        <w:t>own</w:t>
      </w:r>
      <w:r w:rsidR="00190923" w:rsidRPr="00981405">
        <w:t xml:space="preserve"> </w:t>
      </w:r>
      <w:r w:rsidRPr="00981405">
        <w:t>model</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and</w:t>
      </w:r>
      <w:r w:rsidR="00190923" w:rsidRPr="00981405">
        <w:t xml:space="preserve"> </w:t>
      </w:r>
      <w:r w:rsidRPr="00981405">
        <w:t>negotiations</w:t>
      </w:r>
      <w:r w:rsidR="00190923" w:rsidRPr="00981405">
        <w:t xml:space="preserve"> </w:t>
      </w:r>
      <w:r w:rsidRPr="00981405">
        <w:t>with</w:t>
      </w:r>
      <w:r w:rsidR="00190923" w:rsidRPr="00981405">
        <w:t xml:space="preserve"> </w:t>
      </w:r>
      <w:r w:rsidRPr="00981405">
        <w:t>other</w:t>
      </w:r>
      <w:r w:rsidR="00190923" w:rsidRPr="00981405">
        <w:t xml:space="preserve"> </w:t>
      </w:r>
      <w:r w:rsidRPr="00981405">
        <w:t>countries</w:t>
      </w:r>
      <w:r w:rsidR="00190923" w:rsidRPr="00981405">
        <w:t xml:space="preserve"> </w:t>
      </w:r>
      <w:r w:rsidRPr="00981405">
        <w:t>are</w:t>
      </w:r>
      <w:r w:rsidR="00190923" w:rsidRPr="00981405">
        <w:t xml:space="preserve"> </w:t>
      </w:r>
      <w:r w:rsidRPr="00981405">
        <w:t>generally</w:t>
      </w:r>
      <w:r w:rsidR="00190923" w:rsidRPr="00981405">
        <w:t xml:space="preserve"> </w:t>
      </w:r>
      <w:r w:rsidRPr="00981405">
        <w:t>based</w:t>
      </w:r>
      <w:r w:rsidR="00190923" w:rsidRPr="00981405">
        <w:t xml:space="preserve"> </w:t>
      </w:r>
      <w:r w:rsidRPr="00981405">
        <w:t>on</w:t>
      </w:r>
      <w:r w:rsidR="00190923" w:rsidRPr="00981405">
        <w:t xml:space="preserve"> </w:t>
      </w:r>
      <w:r w:rsidRPr="00981405">
        <w:t>that</w:t>
      </w:r>
      <w:r w:rsidR="00190923" w:rsidRPr="00981405">
        <w:t xml:space="preserve"> </w:t>
      </w:r>
      <w:r w:rsidRPr="00981405">
        <w:t>model</w:t>
      </w:r>
      <w:r w:rsidR="00190923" w:rsidRPr="00981405">
        <w:t xml:space="preserve"> </w:t>
      </w:r>
      <w:r w:rsidRPr="00981405">
        <w:t>agreement.</w:t>
      </w:r>
      <w:r w:rsidR="00190923" w:rsidRPr="00981405">
        <w:t xml:space="preserve"> </w:t>
      </w:r>
      <w:r w:rsidRPr="00981405">
        <w:t>Thus,</w:t>
      </w:r>
      <w:r w:rsidR="00190923" w:rsidRPr="00981405">
        <w:t xml:space="preserve"> </w:t>
      </w:r>
      <w:r w:rsidRPr="00981405">
        <w:t>instead</w:t>
      </w:r>
      <w:r w:rsidR="00190923" w:rsidRPr="00981405">
        <w:t xml:space="preserve"> </w:t>
      </w:r>
      <w:r w:rsidRPr="00981405">
        <w:t>of</w:t>
      </w:r>
      <w:r w:rsidR="00190923" w:rsidRPr="00981405">
        <w:t xml:space="preserve"> </w:t>
      </w:r>
      <w:r w:rsidRPr="00981405">
        <w:t>negotiations</w:t>
      </w:r>
      <w:r w:rsidR="00190923" w:rsidRPr="00981405">
        <w:t xml:space="preserve"> </w:t>
      </w:r>
      <w:r w:rsidRPr="00981405">
        <w:t>starting</w:t>
      </w:r>
      <w:r w:rsidR="00190923" w:rsidRPr="00981405">
        <w:t xml:space="preserve"> </w:t>
      </w:r>
      <w:r w:rsidRPr="00981405">
        <w:t>with</w:t>
      </w:r>
      <w:r w:rsidR="00190923" w:rsidRPr="00981405">
        <w:t xml:space="preserve"> </w:t>
      </w:r>
      <w:r w:rsidRPr="00981405">
        <w:t>a</w:t>
      </w:r>
      <w:r w:rsidR="00190923" w:rsidRPr="00981405">
        <w:t xml:space="preserve"> </w:t>
      </w:r>
      <w:r w:rsidRPr="00981405">
        <w:t>clean</w:t>
      </w:r>
      <w:r w:rsidR="00190923" w:rsidRPr="00981405">
        <w:t xml:space="preserve"> </w:t>
      </w:r>
      <w:r w:rsidRPr="00981405">
        <w:t>slate,</w:t>
      </w:r>
      <w:r w:rsidR="00190923" w:rsidRPr="00981405">
        <w:t xml:space="preserve"> </w:t>
      </w:r>
      <w:r w:rsidRPr="00981405">
        <w:t>negotiations</w:t>
      </w:r>
      <w:r w:rsidR="00190923" w:rsidRPr="00981405">
        <w:t xml:space="preserve"> </w:t>
      </w:r>
      <w:r w:rsidRPr="00981405">
        <w:t>entail</w:t>
      </w:r>
      <w:r w:rsidR="00190923" w:rsidRPr="00981405">
        <w:t xml:space="preserve"> </w:t>
      </w:r>
      <w:r w:rsidRPr="00981405">
        <w:t>accepting</w:t>
      </w:r>
      <w:r w:rsidR="00190923" w:rsidRPr="00981405">
        <w:t xml:space="preserve"> </w:t>
      </w:r>
      <w:r w:rsidRPr="00981405">
        <w:t>or</w:t>
      </w:r>
      <w:r w:rsidR="00190923" w:rsidRPr="00981405">
        <w:t xml:space="preserve"> </w:t>
      </w:r>
      <w:r w:rsidRPr="00981405">
        <w:t>modifying</w:t>
      </w:r>
      <w:r w:rsidR="00190923" w:rsidRPr="00981405">
        <w:t xml:space="preserve"> </w:t>
      </w:r>
      <w:r w:rsidRPr="00981405">
        <w:t>the</w:t>
      </w:r>
      <w:r w:rsidR="00190923" w:rsidRPr="00981405">
        <w:t xml:space="preserve"> </w:t>
      </w:r>
      <w:r w:rsidRPr="00981405">
        <w:t>model</w:t>
      </w:r>
      <w:r w:rsidR="00190923" w:rsidRPr="00981405">
        <w:t xml:space="preserve"> </w:t>
      </w:r>
      <w:r w:rsidRPr="00981405">
        <w:t>form</w:t>
      </w:r>
      <w:r w:rsidR="00190923" w:rsidRPr="00981405">
        <w:t xml:space="preserve"> </w:t>
      </w:r>
      <w:r w:rsidRPr="00981405">
        <w:t>of</w:t>
      </w:r>
      <w:r w:rsidR="00190923" w:rsidRPr="00981405">
        <w:t xml:space="preserve"> </w:t>
      </w:r>
      <w:r w:rsidRPr="00981405">
        <w:t>agreement</w:t>
      </w:r>
      <w:r w:rsidR="00190923" w:rsidRPr="00981405">
        <w:t xml:space="preserve"> </w:t>
      </w:r>
      <w:r w:rsidRPr="00981405">
        <w:t>already</w:t>
      </w:r>
      <w:r w:rsidR="00190923" w:rsidRPr="00981405">
        <w:t xml:space="preserve"> </w:t>
      </w:r>
      <w:r w:rsidRPr="00981405">
        <w:t>prepared</w:t>
      </w:r>
      <w:r w:rsidR="00190923" w:rsidRPr="00981405">
        <w:t xml:space="preserve"> </w:t>
      </w:r>
      <w:r w:rsidRPr="00981405">
        <w:t>by</w:t>
      </w:r>
      <w:r w:rsidR="00190923" w:rsidRPr="00981405">
        <w:t xml:space="preserve"> </w:t>
      </w:r>
      <w:r w:rsidRPr="00981405">
        <w:t>one</w:t>
      </w:r>
      <w:r w:rsidR="00190923" w:rsidRPr="00981405">
        <w:t xml:space="preserve"> </w:t>
      </w:r>
      <w:r w:rsidRPr="00981405">
        <w:t>party.</w:t>
      </w:r>
      <w:r w:rsidR="00190923" w:rsidRPr="00981405">
        <w:t xml:space="preserve"> </w:t>
      </w:r>
      <w:r w:rsidRPr="00981405">
        <w:t>Thus,</w:t>
      </w:r>
      <w:r w:rsidR="00190923" w:rsidRPr="00981405">
        <w:t xml:space="preserve"> </w:t>
      </w:r>
      <w:r w:rsidRPr="00981405">
        <w:t>the</w:t>
      </w:r>
      <w:r w:rsidR="00190923" w:rsidRPr="00981405">
        <w:t xml:space="preserve"> </w:t>
      </w:r>
      <w:r w:rsidRPr="00981405">
        <w:t>most</w:t>
      </w:r>
      <w:r w:rsidR="00190923" w:rsidRPr="00981405">
        <w:t xml:space="preserve"> </w:t>
      </w:r>
      <w:r w:rsidRPr="00981405">
        <w:t>that</w:t>
      </w:r>
      <w:r w:rsidR="00190923" w:rsidRPr="00981405">
        <w:t xml:space="preserve"> </w:t>
      </w:r>
      <w:r w:rsidRPr="00981405">
        <w:t>can</w:t>
      </w:r>
      <w:r w:rsidR="00190923" w:rsidRPr="00981405">
        <w:t xml:space="preserve"> </w:t>
      </w:r>
      <w:r w:rsidRPr="00981405">
        <w:t>result</w:t>
      </w:r>
      <w:r w:rsidR="00190923" w:rsidRPr="00981405">
        <w:t xml:space="preserve"> </w:t>
      </w:r>
      <w:r w:rsidRPr="00981405">
        <w:t>from</w:t>
      </w:r>
      <w:r w:rsidR="00190923" w:rsidRPr="00981405">
        <w:t xml:space="preserve"> </w:t>
      </w:r>
      <w:r w:rsidRPr="00981405">
        <w:t>these</w:t>
      </w:r>
      <w:r w:rsidR="00190923" w:rsidRPr="00981405">
        <w:t xml:space="preserve"> </w:t>
      </w:r>
      <w:r w:rsidRPr="00981405">
        <w:t>negotiations</w:t>
      </w:r>
      <w:r w:rsidR="00190923" w:rsidRPr="00981405">
        <w:t xml:space="preserve"> </w:t>
      </w:r>
      <w:r w:rsidRPr="00981405">
        <w:t>are</w:t>
      </w:r>
      <w:r w:rsidR="00190923" w:rsidRPr="00981405">
        <w:t xml:space="preserve"> </w:t>
      </w:r>
      <w:r w:rsidRPr="00981405">
        <w:t>modifications</w:t>
      </w:r>
      <w:r w:rsidR="00190923" w:rsidRPr="00981405">
        <w:t xml:space="preserve"> </w:t>
      </w:r>
      <w:r w:rsidRPr="00981405">
        <w:t>in</w:t>
      </w:r>
      <w:r w:rsidR="00190923" w:rsidRPr="00981405">
        <w:t xml:space="preserve"> </w:t>
      </w:r>
      <w:r w:rsidRPr="00981405">
        <w:t>the</w:t>
      </w:r>
      <w:r w:rsidR="00190923" w:rsidRPr="00981405">
        <w:t xml:space="preserve"> </w:t>
      </w:r>
      <w:r w:rsidRPr="00981405">
        <w:t>wording</w:t>
      </w:r>
      <w:r w:rsidR="00190923" w:rsidRPr="00981405">
        <w:t xml:space="preserve"> </w:t>
      </w:r>
      <w:r w:rsidRPr="00981405">
        <w:t>of</w:t>
      </w:r>
      <w:r w:rsidR="00190923" w:rsidRPr="00981405">
        <w:t xml:space="preserve"> </w:t>
      </w:r>
      <w:r w:rsidRPr="00981405">
        <w:t>particular</w:t>
      </w:r>
      <w:r w:rsidR="00190923" w:rsidRPr="00981405">
        <w:t xml:space="preserve"> </w:t>
      </w:r>
      <w:r w:rsidRPr="00981405">
        <w:t>provisions,</w:t>
      </w:r>
      <w:r w:rsidR="00190923" w:rsidRPr="00981405">
        <w:t xml:space="preserve"> </w:t>
      </w:r>
      <w:r w:rsidRPr="00981405">
        <w:t>rather</w:t>
      </w:r>
      <w:r w:rsidR="00190923" w:rsidRPr="00981405">
        <w:t xml:space="preserve"> </w:t>
      </w:r>
      <w:r w:rsidRPr="00981405">
        <w:t>than</w:t>
      </w:r>
      <w:r w:rsidR="00190923" w:rsidRPr="00981405">
        <w:t xml:space="preserve"> </w:t>
      </w:r>
      <w:r w:rsidRPr="00981405">
        <w:t>a</w:t>
      </w:r>
      <w:r w:rsidR="00190923" w:rsidRPr="00981405">
        <w:t xml:space="preserve"> </w:t>
      </w:r>
      <w:r w:rsidRPr="00981405">
        <w:t>completely</w:t>
      </w:r>
      <w:r w:rsidR="00190923" w:rsidRPr="00981405">
        <w:t xml:space="preserve"> </w:t>
      </w:r>
      <w:r w:rsidRPr="00981405">
        <w:t>new</w:t>
      </w:r>
      <w:r w:rsidR="00190923" w:rsidRPr="00981405">
        <w:t xml:space="preserve"> </w:t>
      </w:r>
      <w:r w:rsidRPr="00981405">
        <w:t>agreement.</w:t>
      </w:r>
      <w:r w:rsidR="00190923" w:rsidRPr="00981405">
        <w:t xml:space="preserve"> </w:t>
      </w:r>
    </w:p>
    <w:p w:rsidR="00397032" w:rsidRPr="00981405" w:rsidRDefault="00397032" w:rsidP="00D97463">
      <w:pPr>
        <w:pStyle w:val="SingleTxt"/>
      </w:pPr>
      <w:r w:rsidRPr="00981405">
        <w:t>143.</w:t>
      </w:r>
      <w:r w:rsidRPr="00981405">
        <w:tab/>
        <w:t>This</w:t>
      </w:r>
      <w:r w:rsidR="00190923" w:rsidRPr="00981405">
        <w:t xml:space="preserve"> </w:t>
      </w:r>
      <w:r w:rsidRPr="00981405">
        <w:t>notwithstanding,</w:t>
      </w:r>
      <w:r w:rsidR="00190923" w:rsidRPr="00981405">
        <w:t xml:space="preserve"> </w:t>
      </w:r>
      <w:r w:rsidRPr="00981405">
        <w:t>in</w:t>
      </w:r>
      <w:r w:rsidR="00190923" w:rsidRPr="00981405">
        <w:t xml:space="preserve"> </w:t>
      </w:r>
      <w:r w:rsidRPr="00981405">
        <w:t>fact</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resemble</w:t>
      </w:r>
      <w:r w:rsidR="00190923" w:rsidRPr="00981405">
        <w:t xml:space="preserve"> </w:t>
      </w:r>
      <w:r w:rsidRPr="00981405">
        <w:t>each</w:t>
      </w:r>
      <w:r w:rsidR="00190923" w:rsidRPr="00981405">
        <w:t xml:space="preserve"> </w:t>
      </w:r>
      <w:r w:rsidRPr="00981405">
        <w:t>other</w:t>
      </w:r>
      <w:r w:rsidR="00190923" w:rsidRPr="00981405">
        <w:t xml:space="preserve"> </w:t>
      </w:r>
      <w:r w:rsidRPr="00981405">
        <w:t>in</w:t>
      </w:r>
      <w:r w:rsidR="00190923" w:rsidRPr="00981405">
        <w:t xml:space="preserve"> </w:t>
      </w:r>
      <w:r w:rsidRPr="00981405">
        <w:t>many</w:t>
      </w:r>
      <w:r w:rsidR="00190923" w:rsidRPr="00981405">
        <w:t xml:space="preserve"> </w:t>
      </w:r>
      <w:r w:rsidRPr="00981405">
        <w:t>key</w:t>
      </w:r>
      <w:r w:rsidR="00190923" w:rsidRPr="00981405">
        <w:t xml:space="preserve"> </w:t>
      </w:r>
      <w:r w:rsidRPr="00981405">
        <w:t>respects,</w:t>
      </w:r>
      <w:r w:rsidR="00190923" w:rsidRPr="00981405">
        <w:t xml:space="preserve"> </w:t>
      </w:r>
      <w:r w:rsidRPr="00981405">
        <w:t>regardless</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and</w:t>
      </w:r>
      <w:r w:rsidR="00190923" w:rsidRPr="00981405">
        <w:t xml:space="preserve"> </w:t>
      </w:r>
      <w:r w:rsidRPr="00981405">
        <w:t>regardless</w:t>
      </w:r>
      <w:r w:rsidR="00190923" w:rsidRPr="00981405">
        <w:t xml:space="preserve"> </w:t>
      </w:r>
      <w:r w:rsidRPr="00981405">
        <w:t>of</w:t>
      </w:r>
      <w:r w:rsidR="00190923" w:rsidRPr="00981405">
        <w:t xml:space="preserve"> </w:t>
      </w:r>
      <w:r w:rsidRPr="00981405">
        <w:t>the</w:t>
      </w:r>
      <w:r w:rsidR="00190923" w:rsidRPr="00981405">
        <w:t xml:space="preserve"> </w:t>
      </w:r>
      <w:r w:rsidRPr="00981405">
        <w:t>model</w:t>
      </w:r>
      <w:r w:rsidR="00190923" w:rsidRPr="00981405">
        <w:t xml:space="preserve"> </w:t>
      </w:r>
      <w:r w:rsidRPr="00981405">
        <w:t>agreement</w:t>
      </w:r>
      <w:r w:rsidR="00190923" w:rsidRPr="00981405">
        <w:t xml:space="preserve"> </w:t>
      </w:r>
      <w:r w:rsidRPr="00981405">
        <w:t>that</w:t>
      </w:r>
      <w:r w:rsidR="00190923" w:rsidRPr="00981405">
        <w:t xml:space="preserve"> </w:t>
      </w:r>
      <w:r w:rsidRPr="00981405">
        <w:t>is</w:t>
      </w:r>
      <w:r w:rsidR="00190923" w:rsidRPr="00981405">
        <w:t xml:space="preserve"> </w:t>
      </w:r>
      <w:r w:rsidRPr="00981405">
        <w:t>being</w:t>
      </w:r>
      <w:r w:rsidR="00190923" w:rsidRPr="00981405">
        <w:t xml:space="preserve"> </w:t>
      </w:r>
      <w:r w:rsidRPr="00981405">
        <w:t>followed.</w:t>
      </w:r>
      <w:r w:rsidR="00190923" w:rsidRPr="00981405">
        <w:t xml:space="preserve"> </w:t>
      </w:r>
      <w:r w:rsidRPr="00981405">
        <w:t>And</w:t>
      </w:r>
      <w:r w:rsidR="00190923" w:rsidRPr="00981405">
        <w:t xml:space="preserve"> </w:t>
      </w:r>
      <w:r w:rsidRPr="00981405">
        <w:t>this</w:t>
      </w:r>
      <w:r w:rsidR="00190923" w:rsidRPr="00981405">
        <w:t xml:space="preserve"> </w:t>
      </w:r>
      <w:r w:rsidRPr="00981405">
        <w:t>is</w:t>
      </w:r>
      <w:r w:rsidR="00190923" w:rsidRPr="00981405">
        <w:t xml:space="preserve"> </w:t>
      </w:r>
      <w:r w:rsidRPr="00981405">
        <w:t>not</w:t>
      </w:r>
      <w:r w:rsidR="00190923" w:rsidRPr="00981405">
        <w:t xml:space="preserve"> </w:t>
      </w:r>
      <w:r w:rsidRPr="00981405">
        <w:t>surprising.</w:t>
      </w:r>
      <w:r w:rsidR="00190923" w:rsidRPr="00981405">
        <w:t xml:space="preserve"> </w:t>
      </w:r>
      <w:r w:rsidRPr="00981405">
        <w:t>Modern</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are</w:t>
      </w:r>
      <w:r w:rsidR="00190923" w:rsidRPr="00981405">
        <w:t xml:space="preserve"> </w:t>
      </w:r>
      <w:r w:rsidRPr="00981405">
        <w:t>founded</w:t>
      </w:r>
      <w:r w:rsidR="00190923" w:rsidRPr="00981405">
        <w:t xml:space="preserve"> </w:t>
      </w:r>
      <w:r w:rsidRPr="00981405">
        <w:t>on</w:t>
      </w:r>
      <w:r w:rsidR="00190923" w:rsidRPr="00981405">
        <w:t xml:space="preserve"> </w:t>
      </w:r>
      <w:r w:rsidRPr="00981405">
        <w:t>certain</w:t>
      </w:r>
      <w:r w:rsidR="00190923" w:rsidRPr="00981405">
        <w:t xml:space="preserve"> </w:t>
      </w:r>
      <w:r w:rsidRPr="00981405">
        <w:t>core</w:t>
      </w:r>
      <w:r w:rsidR="00190923" w:rsidRPr="00981405">
        <w:t xml:space="preserve"> </w:t>
      </w:r>
      <w:r w:rsidRPr="00981405">
        <w:t>provisions:</w:t>
      </w:r>
      <w:r w:rsidR="00190923" w:rsidRPr="00981405">
        <w:t xml:space="preserve"> </w:t>
      </w:r>
      <w:r w:rsidRPr="00981405">
        <w:t>MFN,</w:t>
      </w:r>
      <w:r w:rsidR="00190923" w:rsidRPr="00981405">
        <w:t xml:space="preserve"> </w:t>
      </w:r>
      <w:r w:rsidRPr="00981405">
        <w:t>National</w:t>
      </w:r>
      <w:r w:rsidR="00190923" w:rsidRPr="00981405">
        <w:t xml:space="preserve"> </w:t>
      </w:r>
      <w:r w:rsidRPr="00981405">
        <w:t>Treatment,</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prohibition</w:t>
      </w:r>
      <w:r w:rsidR="00190923" w:rsidRPr="00981405">
        <w:t xml:space="preserve"> </w:t>
      </w:r>
      <w:r w:rsidRPr="00981405">
        <w:t>of</w:t>
      </w:r>
      <w:r w:rsidR="00190923" w:rsidRPr="00981405">
        <w:t xml:space="preserve"> </w:t>
      </w:r>
      <w:r w:rsidRPr="00981405">
        <w:t>expropriation</w:t>
      </w:r>
      <w:r w:rsidR="00190923" w:rsidRPr="00981405">
        <w:t xml:space="preserve"> </w:t>
      </w:r>
      <w:r w:rsidRPr="00981405">
        <w:t>unless</w:t>
      </w:r>
      <w:r w:rsidR="00190923" w:rsidRPr="00981405">
        <w:t xml:space="preserve"> </w:t>
      </w:r>
      <w:r w:rsidRPr="00981405">
        <w:t>certain</w:t>
      </w:r>
      <w:r w:rsidR="00190923" w:rsidRPr="00981405">
        <w:t xml:space="preserve"> </w:t>
      </w:r>
      <w:r w:rsidRPr="00981405">
        <w:t>conditions</w:t>
      </w:r>
      <w:r w:rsidR="00190923" w:rsidRPr="00981405">
        <w:t xml:space="preserve"> </w:t>
      </w:r>
      <w:r w:rsidRPr="00981405">
        <w:t>are</w:t>
      </w:r>
      <w:r w:rsidR="00190923" w:rsidRPr="00981405">
        <w:t xml:space="preserve"> </w:t>
      </w:r>
      <w:r w:rsidRPr="00981405">
        <w:t>fulfilled</w:t>
      </w:r>
      <w:r w:rsidR="00190923" w:rsidRPr="00981405">
        <w:t xml:space="preserve"> </w:t>
      </w:r>
      <w:r w:rsidRPr="00981405">
        <w:t>and</w:t>
      </w:r>
      <w:r w:rsidR="00190923" w:rsidRPr="00981405">
        <w:t xml:space="preserve"> </w:t>
      </w:r>
      <w:r w:rsidRPr="00981405">
        <w:t>provisions</w:t>
      </w:r>
      <w:r w:rsidR="00190923" w:rsidRPr="00981405">
        <w:t xml:space="preserve"> </w:t>
      </w:r>
      <w:r w:rsidRPr="00981405">
        <w:t>for</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generally</w:t>
      </w:r>
      <w:r w:rsidR="00190923" w:rsidRPr="00981405">
        <w:t xml:space="preserve"> </w:t>
      </w:r>
      <w:r w:rsidRPr="00981405">
        <w:t>including</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Whether</w:t>
      </w:r>
      <w:r w:rsidR="00190923" w:rsidRPr="00981405">
        <w:t xml:space="preserve"> </w:t>
      </w:r>
      <w:r w:rsidRPr="00981405">
        <w:t>there</w:t>
      </w:r>
      <w:r w:rsidR="00190923" w:rsidRPr="00981405">
        <w:t xml:space="preserve"> </w:t>
      </w:r>
      <w:r w:rsidRPr="00981405">
        <w:t>has</w:t>
      </w:r>
      <w:r w:rsidR="00190923" w:rsidRPr="00981405">
        <w:t xml:space="preserve"> </w:t>
      </w:r>
      <w:r w:rsidRPr="00981405">
        <w:t>been</w:t>
      </w:r>
      <w:r w:rsidR="00190923" w:rsidRPr="00981405">
        <w:t xml:space="preserve"> </w:t>
      </w:r>
      <w:r w:rsidRPr="00981405">
        <w:t>asymmetry</w:t>
      </w:r>
      <w:r w:rsidR="00190923" w:rsidRPr="00981405">
        <w:t xml:space="preserve"> </w:t>
      </w:r>
      <w:r w:rsidRPr="00981405">
        <w:t>in</w:t>
      </w:r>
      <w:r w:rsidR="00190923" w:rsidRPr="00981405">
        <w:t xml:space="preserve"> </w:t>
      </w:r>
      <w:r w:rsidRPr="00981405">
        <w:t>the</w:t>
      </w:r>
      <w:r w:rsidR="00190923" w:rsidRPr="00981405">
        <w:t xml:space="preserve"> </w:t>
      </w:r>
      <w:r w:rsidRPr="00981405">
        <w:t>negotiations</w:t>
      </w:r>
      <w:r w:rsidR="00190923" w:rsidRPr="00981405">
        <w:t xml:space="preserve"> </w:t>
      </w:r>
      <w:r w:rsidRPr="00981405">
        <w:t>or</w:t>
      </w:r>
      <w:r w:rsidR="00190923" w:rsidRPr="00981405">
        <w:t xml:space="preserve"> </w:t>
      </w:r>
      <w:r w:rsidRPr="00981405">
        <w:t>not,</w:t>
      </w:r>
      <w:r w:rsidR="00190923" w:rsidRPr="00981405">
        <w:t xml:space="preserve"> </w:t>
      </w:r>
      <w:r w:rsidRPr="00981405">
        <w:t>a</w:t>
      </w:r>
      <w:r w:rsidR="00190923" w:rsidRPr="00981405">
        <w:t xml:space="preserve"> </w:t>
      </w:r>
      <w:r w:rsidRPr="00981405">
        <w:t>similar</w:t>
      </w:r>
      <w:r w:rsidR="00190923" w:rsidRPr="00981405">
        <w:t xml:space="preserve"> </w:t>
      </w:r>
      <w:r w:rsidRPr="00981405">
        <w:t>result</w:t>
      </w:r>
      <w:r w:rsidR="00190923" w:rsidRPr="00981405">
        <w:t xml:space="preserve"> </w:t>
      </w:r>
      <w:r w:rsidRPr="00981405">
        <w:t>seems</w:t>
      </w:r>
      <w:r w:rsidR="00190923" w:rsidRPr="00981405">
        <w:t xml:space="preserve"> </w:t>
      </w:r>
      <w:r w:rsidRPr="00981405">
        <w:t>to</w:t>
      </w:r>
      <w:r w:rsidR="00190923" w:rsidRPr="00981405">
        <w:t xml:space="preserve"> </w:t>
      </w:r>
      <w:r w:rsidRPr="00981405">
        <w:t>be</w:t>
      </w:r>
      <w:r w:rsidR="00190923" w:rsidRPr="00981405">
        <w:t xml:space="preserve"> </w:t>
      </w:r>
      <w:r w:rsidRPr="00981405">
        <w:t>reached.</w:t>
      </w:r>
    </w:p>
    <w:p w:rsidR="00397032" w:rsidRPr="00981405" w:rsidRDefault="00397032" w:rsidP="00D97463">
      <w:pPr>
        <w:pStyle w:val="SingleTxt"/>
      </w:pPr>
      <w:r w:rsidRPr="00981405">
        <w:t>144.</w:t>
      </w:r>
      <w:r w:rsidRPr="00981405">
        <w:tab/>
        <w:t>After</w:t>
      </w:r>
      <w:r w:rsidR="00190923" w:rsidRPr="00981405">
        <w:t xml:space="preserve"> </w:t>
      </w:r>
      <w:r w:rsidRPr="00981405">
        <w:t>considering</w:t>
      </w:r>
      <w:r w:rsidR="00190923" w:rsidRPr="00981405">
        <w:t xml:space="preserve"> </w:t>
      </w:r>
      <w:r w:rsidRPr="00981405">
        <w:t>this</w:t>
      </w:r>
      <w:r w:rsidR="00190923" w:rsidRPr="00981405">
        <w:t xml:space="preserve"> </w:t>
      </w:r>
      <w:r w:rsidRPr="00981405">
        <w:t>question</w:t>
      </w:r>
      <w:r w:rsidR="00190923" w:rsidRPr="00981405">
        <w:t xml:space="preserve"> </w:t>
      </w:r>
      <w:r w:rsidRPr="00981405">
        <w:t>of</w:t>
      </w:r>
      <w:r w:rsidR="00190923" w:rsidRPr="00981405">
        <w:t xml:space="preserve"> </w:t>
      </w:r>
      <w:r w:rsidRPr="00981405">
        <w:t>asymmetry,</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while</w:t>
      </w:r>
      <w:r w:rsidR="00190923" w:rsidRPr="00981405">
        <w:t xml:space="preserve"> </w:t>
      </w:r>
      <w:r w:rsidRPr="00981405">
        <w:t>this</w:t>
      </w:r>
      <w:r w:rsidR="00190923" w:rsidRPr="00981405">
        <w:t xml:space="preserve"> </w:t>
      </w:r>
      <w:r w:rsidRPr="00981405">
        <w:t>was</w:t>
      </w:r>
      <w:r w:rsidR="00190923" w:rsidRPr="00981405">
        <w:t xml:space="preserve"> </w:t>
      </w:r>
      <w:r w:rsidRPr="00981405">
        <w:t>a</w:t>
      </w:r>
      <w:r w:rsidR="00190923" w:rsidRPr="00981405">
        <w:t xml:space="preserve"> </w:t>
      </w:r>
      <w:r w:rsidRPr="00981405">
        <w:t>factor</w:t>
      </w:r>
      <w:r w:rsidR="00190923" w:rsidRPr="00981405">
        <w:t xml:space="preserve"> </w:t>
      </w:r>
      <w:r w:rsidRPr="00981405">
        <w:t>that</w:t>
      </w:r>
      <w:r w:rsidR="00190923" w:rsidRPr="00981405">
        <w:t xml:space="preserve"> </w:t>
      </w:r>
      <w:r w:rsidRPr="00981405">
        <w:t>contributed</w:t>
      </w:r>
      <w:r w:rsidR="00190923" w:rsidRPr="00981405">
        <w:t xml:space="preserve"> </w:t>
      </w:r>
      <w:r w:rsidRPr="00981405">
        <w:t>to</w:t>
      </w:r>
      <w:r w:rsidR="00190923" w:rsidRPr="00981405">
        <w:t xml:space="preserve"> </w:t>
      </w:r>
      <w:r w:rsidRPr="00981405">
        <w:t>a</w:t>
      </w:r>
      <w:r w:rsidR="00190923" w:rsidRPr="00981405">
        <w:t xml:space="preserve"> </w:t>
      </w:r>
      <w:r w:rsidRPr="00981405">
        <w:t>broader</w:t>
      </w:r>
      <w:r w:rsidR="00190923" w:rsidRPr="00981405">
        <w:t xml:space="preserve"> </w:t>
      </w:r>
      <w:r w:rsidRPr="00981405">
        <w:t>understanding</w:t>
      </w:r>
      <w:r w:rsidR="00190923" w:rsidRPr="00981405">
        <w:t xml:space="preserve"> </w:t>
      </w:r>
      <w:r w:rsidRPr="00981405">
        <w:t>of</w:t>
      </w:r>
      <w:r w:rsidR="00190923" w:rsidRPr="00981405">
        <w:t xml:space="preserve"> </w:t>
      </w:r>
      <w:r w:rsidRPr="00981405">
        <w:t>the</w:t>
      </w:r>
      <w:r w:rsidR="00190923" w:rsidRPr="00981405">
        <w:t xml:space="preserve"> </w:t>
      </w:r>
      <w:r w:rsidRPr="00981405">
        <w:t>field</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investment</w:t>
      </w:r>
      <w:r w:rsidR="00190923" w:rsidRPr="00981405">
        <w:t xml:space="preserve"> </w:t>
      </w:r>
      <w:r w:rsidRPr="00981405">
        <w:t>law,</w:t>
      </w:r>
      <w:r w:rsidR="00190923" w:rsidRPr="00981405">
        <w:t xml:space="preserve"> </w:t>
      </w:r>
      <w:r w:rsidRPr="00981405">
        <w:t>it</w:t>
      </w:r>
      <w:r w:rsidR="00190923" w:rsidRPr="00981405">
        <w:t xml:space="preserve"> </w:t>
      </w:r>
      <w:r w:rsidRPr="00981405">
        <w:t>was</w:t>
      </w:r>
      <w:r w:rsidR="00190923" w:rsidRPr="00981405">
        <w:t xml:space="preserve"> </w:t>
      </w:r>
      <w:r w:rsidRPr="00981405">
        <w:t>not</w:t>
      </w:r>
      <w:r w:rsidR="00190923" w:rsidRPr="00981405">
        <w:t xml:space="preserve"> </w:t>
      </w:r>
      <w:r w:rsidRPr="00981405">
        <w:t>a</w:t>
      </w:r>
      <w:r w:rsidR="00190923" w:rsidRPr="00981405">
        <w:t xml:space="preserve"> </w:t>
      </w:r>
      <w:r w:rsidRPr="00981405">
        <w:t>factor</w:t>
      </w:r>
      <w:r w:rsidR="00190923" w:rsidRPr="00981405">
        <w:t xml:space="preserve"> </w:t>
      </w:r>
      <w:r w:rsidRPr="00981405">
        <w:t>that</w:t>
      </w:r>
      <w:r w:rsidR="00190923" w:rsidRPr="00981405">
        <w:t xml:space="preserve"> </w:t>
      </w:r>
      <w:r w:rsidRPr="00981405">
        <w:t>was</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individual</w:t>
      </w:r>
      <w:r w:rsidR="00190923" w:rsidRPr="00981405">
        <w:t xml:space="preserve"> </w:t>
      </w:r>
      <w:r w:rsidRPr="00981405">
        <w:t>investment</w:t>
      </w:r>
      <w:r w:rsidR="00190923" w:rsidRPr="00981405">
        <w:t xml:space="preserve"> </w:t>
      </w:r>
      <w:r w:rsidRPr="00981405">
        <w:t>agreements.</w:t>
      </w:r>
    </w:p>
    <w:p w:rsidR="00BF6F4D" w:rsidRPr="00D97463" w:rsidRDefault="00BF6F4D" w:rsidP="00D97463">
      <w:pPr>
        <w:pStyle w:val="SingleTxt"/>
        <w:spacing w:after="0" w:line="120" w:lineRule="exact"/>
        <w:rPr>
          <w:sz w:val="10"/>
        </w:rPr>
      </w:pPr>
    </w:p>
    <w:p w:rsidR="00397032" w:rsidRPr="00D97463" w:rsidRDefault="00397032" w:rsidP="00D97463">
      <w:pPr>
        <w:pStyle w:val="H23"/>
        <w:ind w:right="1260"/>
      </w:pPr>
      <w:r w:rsidRPr="00D97463">
        <w:tab/>
      </w:r>
      <w:bookmarkStart w:id="286" w:name="_Toc293434180"/>
      <w:bookmarkStart w:id="287" w:name="_Toc294353693"/>
      <w:bookmarkStart w:id="288" w:name="_Toc427938193"/>
      <w:r w:rsidRPr="00D97463">
        <w:t>2.</w:t>
      </w:r>
      <w:r w:rsidRPr="00D97463">
        <w:tab/>
        <w:t>The</w:t>
      </w:r>
      <w:r w:rsidR="00190923" w:rsidRPr="00D97463">
        <w:t xml:space="preserve"> </w:t>
      </w:r>
      <w:r w:rsidRPr="00D97463">
        <w:t>specificity</w:t>
      </w:r>
      <w:r w:rsidR="00190923" w:rsidRPr="00D97463">
        <w:t xml:space="preserve"> </w:t>
      </w:r>
      <w:r w:rsidRPr="00D97463">
        <w:t>of</w:t>
      </w:r>
      <w:r w:rsidR="00190923" w:rsidRPr="00D97463">
        <w:t xml:space="preserve"> </w:t>
      </w:r>
      <w:r w:rsidRPr="00D97463">
        <w:t>each</w:t>
      </w:r>
      <w:r w:rsidR="00190923" w:rsidRPr="00D97463">
        <w:t xml:space="preserve"> </w:t>
      </w:r>
      <w:r w:rsidRPr="00D97463">
        <w:t>treaty</w:t>
      </w:r>
      <w:bookmarkEnd w:id="286"/>
      <w:bookmarkEnd w:id="287"/>
      <w:bookmarkEnd w:id="288"/>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145.</w:t>
      </w:r>
      <w:r w:rsidRPr="00981405">
        <w:tab/>
        <w:t>Several</w:t>
      </w:r>
      <w:r w:rsidR="00190923" w:rsidRPr="00981405">
        <w:t xml:space="preserve"> </w:t>
      </w:r>
      <w:r w:rsidRPr="00981405">
        <w:t>States</w:t>
      </w:r>
      <w:r w:rsidR="00190923" w:rsidRPr="00981405">
        <w:t xml:space="preserve"> </w:t>
      </w:r>
      <w:r w:rsidRPr="00981405">
        <w:t>have</w:t>
      </w:r>
      <w:r w:rsidR="00190923" w:rsidRPr="00981405">
        <w:t xml:space="preserve"> </w:t>
      </w:r>
      <w:r w:rsidRPr="00981405">
        <w:t>stated</w:t>
      </w:r>
      <w:r w:rsidR="00190923" w:rsidRPr="00981405">
        <w:t xml:space="preserve"> </w:t>
      </w:r>
      <w:r w:rsidRPr="00981405">
        <w:t>that</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specific</w:t>
      </w:r>
      <w:r w:rsidR="00190923" w:rsidRPr="00981405">
        <w:t xml:space="preserve"> </w:t>
      </w:r>
      <w:r w:rsidRPr="00981405">
        <w:t>to</w:t>
      </w:r>
      <w:r w:rsidR="00190923" w:rsidRPr="00981405">
        <w:t xml:space="preserve"> </w:t>
      </w:r>
      <w:r w:rsidRPr="00981405">
        <w:t>each</w:t>
      </w:r>
      <w:r w:rsidR="00190923" w:rsidRPr="00981405">
        <w:t xml:space="preserve"> </w:t>
      </w:r>
      <w:r w:rsidRPr="00981405">
        <w:t>treaty</w:t>
      </w:r>
      <w:r w:rsidRPr="00981405">
        <w:rPr>
          <w:rStyle w:val="FootnoteReference"/>
        </w:rPr>
        <w:footnoteReference w:id="566"/>
      </w:r>
      <w:r w:rsidR="00190923" w:rsidRPr="00981405">
        <w:t xml:space="preserve"> </w:t>
      </w:r>
      <w:r w:rsidRPr="00981405">
        <w:t>and</w:t>
      </w:r>
      <w:r w:rsidR="00190923" w:rsidRPr="00981405">
        <w:t xml:space="preserve"> </w:t>
      </w:r>
      <w:r w:rsidRPr="00981405">
        <w:t>therefore</w:t>
      </w:r>
      <w:r w:rsidR="00190923" w:rsidRPr="00981405">
        <w:t xml:space="preserve"> </w:t>
      </w:r>
      <w:r w:rsidRPr="00981405">
        <w:t>that</w:t>
      </w:r>
      <w:r w:rsidR="00190923" w:rsidRPr="00981405">
        <w:t xml:space="preserve"> </w:t>
      </w:r>
      <w:r w:rsidRPr="00981405">
        <w:t>such</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ill</w:t>
      </w:r>
      <w:r w:rsidR="00190923" w:rsidRPr="00981405">
        <w:t xml:space="preserve"> </w:t>
      </w:r>
      <w:r w:rsidRPr="00981405">
        <w:t>suited</w:t>
      </w:r>
      <w:r w:rsidR="00190923" w:rsidRPr="00981405">
        <w:t xml:space="preserve"> </w:t>
      </w:r>
      <w:r w:rsidRPr="00981405">
        <w:t>to</w:t>
      </w:r>
      <w:r w:rsidR="00190923" w:rsidRPr="00981405">
        <w:t xml:space="preserve"> </w:t>
      </w:r>
      <w:r w:rsidRPr="00981405">
        <w:t>the</w:t>
      </w:r>
      <w:r w:rsidR="00190923" w:rsidRPr="00981405">
        <w:t xml:space="preserve"> </w:t>
      </w:r>
      <w:r w:rsidRPr="00981405">
        <w:t>adoption</w:t>
      </w:r>
      <w:r w:rsidR="00190923" w:rsidRPr="00981405">
        <w:t xml:space="preserve"> </w:t>
      </w:r>
      <w:r w:rsidRPr="00981405">
        <w:t>of</w:t>
      </w:r>
      <w:r w:rsidR="00190923" w:rsidRPr="00981405">
        <w:t xml:space="preserve"> </w:t>
      </w:r>
      <w:r w:rsidRPr="00981405">
        <w:t>a</w:t>
      </w:r>
      <w:r w:rsidR="00190923" w:rsidRPr="00981405">
        <w:t xml:space="preserve"> </w:t>
      </w:r>
      <w:r w:rsidRPr="00981405">
        <w:t>uniform</w:t>
      </w:r>
      <w:r w:rsidR="00190923" w:rsidRPr="00981405">
        <w:t xml:space="preserve"> </w:t>
      </w:r>
      <w:r w:rsidRPr="00981405">
        <w:t>approach.</w:t>
      </w:r>
      <w:r w:rsidRPr="00981405">
        <w:rPr>
          <w:rStyle w:val="FootnoteReference"/>
        </w:rPr>
        <w:footnoteReference w:id="567"/>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doubt</w:t>
      </w:r>
      <w:r w:rsidR="00190923" w:rsidRPr="00981405">
        <w:t xml:space="preserve"> </w:t>
      </w:r>
      <w:r w:rsidRPr="00981405">
        <w:t>that</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investment</w:t>
      </w:r>
      <w:r w:rsidR="00190923" w:rsidRPr="00981405">
        <w:t xml:space="preserve"> </w:t>
      </w:r>
      <w:r w:rsidRPr="00981405">
        <w:t>are</w:t>
      </w:r>
      <w:r w:rsidR="00190923" w:rsidRPr="00981405">
        <w:t xml:space="preserve"> </w:t>
      </w:r>
      <w:r w:rsidRPr="00981405">
        <w:t>largely</w:t>
      </w:r>
      <w:r w:rsidR="00190923" w:rsidRPr="00981405">
        <w:t xml:space="preserve"> </w:t>
      </w:r>
      <w:r w:rsidRPr="00981405">
        <w:t>contained</w:t>
      </w:r>
      <w:r w:rsidR="00190923" w:rsidRPr="00981405">
        <w:t xml:space="preserve"> </w:t>
      </w:r>
      <w:r w:rsidRPr="00981405">
        <w:t>in</w:t>
      </w:r>
      <w:r w:rsidR="00190923" w:rsidRPr="00981405">
        <w:t xml:space="preserve"> </w:t>
      </w:r>
      <w:r w:rsidRPr="00981405">
        <w:t>separate</w:t>
      </w:r>
      <w:r w:rsidR="00190923" w:rsidRPr="00981405">
        <w:t xml:space="preserve"> </w:t>
      </w:r>
      <w:r w:rsidRPr="00981405">
        <w:t>bilateral</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that</w:t>
      </w:r>
      <w:r w:rsidR="00190923" w:rsidRPr="00981405">
        <w:t xml:space="preserve"> </w:t>
      </w:r>
      <w:r w:rsidRPr="00981405">
        <w:t>each</w:t>
      </w:r>
      <w:r w:rsidR="00190923" w:rsidRPr="00981405">
        <w:t xml:space="preserve"> </w:t>
      </w:r>
      <w:r w:rsidRPr="00981405">
        <w:t>agreement</w:t>
      </w:r>
      <w:r w:rsidR="00190923" w:rsidRPr="00981405">
        <w:t xml:space="preserve"> </w:t>
      </w:r>
      <w:r w:rsidRPr="00981405">
        <w:t>has</w:t>
      </w:r>
      <w:r w:rsidR="00190923" w:rsidRPr="00981405">
        <w:t xml:space="preserve"> </w:t>
      </w:r>
      <w:r w:rsidRPr="00981405">
        <w:t>worded</w:t>
      </w:r>
      <w:r w:rsidR="00190923" w:rsidRPr="00981405">
        <w:t xml:space="preserve"> </w:t>
      </w:r>
      <w:r w:rsidRPr="00981405">
        <w:t>its</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a</w:t>
      </w:r>
      <w:r w:rsidR="00190923" w:rsidRPr="00981405">
        <w:t xml:space="preserve"> </w:t>
      </w:r>
      <w:r w:rsidRPr="00981405">
        <w:t>particular</w:t>
      </w:r>
      <w:r w:rsidR="00190923" w:rsidRPr="00981405">
        <w:t xml:space="preserve"> </w:t>
      </w:r>
      <w:r w:rsidRPr="00981405">
        <w:t>way.</w:t>
      </w:r>
      <w:r w:rsidR="00190923" w:rsidRPr="00981405">
        <w:t xml:space="preserve"> </w:t>
      </w:r>
    </w:p>
    <w:p w:rsidR="00397032" w:rsidRPr="00981405" w:rsidRDefault="00397032" w:rsidP="00D97463">
      <w:pPr>
        <w:pStyle w:val="SingleTxt"/>
      </w:pPr>
      <w:r w:rsidRPr="00981405">
        <w:t>146.</w:t>
      </w:r>
      <w:r w:rsidRPr="00981405">
        <w:tab/>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regardless</w:t>
      </w:r>
      <w:r w:rsidR="00190923" w:rsidRPr="00981405">
        <w:t xml:space="preserve"> </w:t>
      </w:r>
      <w:r w:rsidRPr="00981405">
        <w:t>of</w:t>
      </w:r>
      <w:r w:rsidR="00190923" w:rsidRPr="00981405">
        <w:t xml:space="preserve"> </w:t>
      </w:r>
      <w:r w:rsidRPr="00981405">
        <w:t>their</w:t>
      </w:r>
      <w:r w:rsidR="00190923" w:rsidRPr="00981405">
        <w:t xml:space="preserve"> </w:t>
      </w:r>
      <w:r w:rsidRPr="00981405">
        <w:t>negotiating</w:t>
      </w:r>
      <w:r w:rsidR="00190923" w:rsidRPr="00981405">
        <w:t xml:space="preserve"> </w:t>
      </w:r>
      <w:r w:rsidRPr="00981405">
        <w:t>history,</w:t>
      </w:r>
      <w:r w:rsidR="00190923" w:rsidRPr="00981405">
        <w:t xml:space="preserve"> </w:t>
      </w:r>
      <w:r w:rsidRPr="00981405">
        <w:t>or</w:t>
      </w:r>
      <w:r w:rsidR="00190923" w:rsidRPr="00981405">
        <w:t xml:space="preserve"> </w:t>
      </w:r>
      <w:r w:rsidRPr="00981405">
        <w:t>the</w:t>
      </w:r>
      <w:r w:rsidR="00190923" w:rsidRPr="00981405">
        <w:t xml:space="preserve"> </w:t>
      </w:r>
      <w:r w:rsidRPr="00981405">
        <w:t>agreement</w:t>
      </w:r>
      <w:r w:rsidR="00190923" w:rsidRPr="00981405">
        <w:t xml:space="preserve"> </w:t>
      </w:r>
      <w:r w:rsidRPr="00981405">
        <w:t>in</w:t>
      </w:r>
      <w:r w:rsidR="00190923" w:rsidRPr="00981405">
        <w:t xml:space="preserve"> </w:t>
      </w:r>
      <w:r w:rsidRPr="00981405">
        <w:t>which</w:t>
      </w:r>
      <w:r w:rsidR="00190923" w:rsidRPr="00981405">
        <w:t xml:space="preserve"> </w:t>
      </w:r>
      <w:r w:rsidRPr="00981405">
        <w:t>they</w:t>
      </w:r>
      <w:r w:rsidR="00190923" w:rsidRPr="00981405">
        <w:t xml:space="preserve"> </w:t>
      </w:r>
      <w:r w:rsidRPr="00981405">
        <w:t>are</w:t>
      </w:r>
      <w:r w:rsidR="00190923" w:rsidRPr="00981405">
        <w:t xml:space="preserve"> </w:t>
      </w:r>
      <w:r w:rsidRPr="00981405">
        <w:t>contained,</w:t>
      </w:r>
      <w:r w:rsidR="00190923" w:rsidRPr="00981405">
        <w:t xml:space="preserve"> </w:t>
      </w:r>
      <w:r w:rsidRPr="00981405">
        <w:t>have</w:t>
      </w:r>
      <w:r w:rsidR="00190923" w:rsidRPr="00981405">
        <w:t xml:space="preserve"> </w:t>
      </w:r>
      <w:r w:rsidRPr="00981405">
        <w:t>a</w:t>
      </w:r>
      <w:r w:rsidR="00190923" w:rsidRPr="00981405">
        <w:t xml:space="preserve"> </w:t>
      </w:r>
      <w:r w:rsidRPr="00981405">
        <w:t>common</w:t>
      </w:r>
      <w:r w:rsidR="00190923" w:rsidRPr="00981405">
        <w:t xml:space="preserve"> </w:t>
      </w:r>
      <w:r w:rsidRPr="00981405">
        <w:t>objective.</w:t>
      </w:r>
      <w:r w:rsidR="00190923" w:rsidRPr="00981405">
        <w:t xml:space="preserve"> </w:t>
      </w:r>
      <w:r w:rsidRPr="00981405">
        <w:t>In</w:t>
      </w:r>
      <w:r w:rsidR="00190923" w:rsidRPr="00981405">
        <w:t xml:space="preserve"> </w:t>
      </w:r>
      <w:r w:rsidRPr="00981405">
        <w:t>1978,</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4</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defined</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as</w:t>
      </w:r>
      <w:r w:rsidR="00190923" w:rsidRPr="00981405">
        <w:t xml:space="preserve"> </w:t>
      </w:r>
      <w:r w:rsidR="00B92E2C" w:rsidRPr="00981405">
        <w:t>“</w:t>
      </w:r>
      <w:r w:rsidRPr="00981405">
        <w:t>a</w:t>
      </w:r>
      <w:r w:rsidR="00190923" w:rsidRPr="00981405">
        <w:t xml:space="preserve"> </w:t>
      </w:r>
      <w:r w:rsidRPr="00981405">
        <w:t>treaty</w:t>
      </w:r>
      <w:r w:rsidR="00190923" w:rsidRPr="00981405">
        <w:t xml:space="preserve"> </w:t>
      </w:r>
      <w:r w:rsidRPr="00981405">
        <w:t>provision</w:t>
      </w:r>
      <w:r w:rsidR="00190923" w:rsidRPr="00981405">
        <w:t xml:space="preserve"> </w:t>
      </w:r>
      <w:r w:rsidRPr="00981405">
        <w:t>whereby</w:t>
      </w:r>
      <w:r w:rsidR="00190923" w:rsidRPr="00981405">
        <w:t xml:space="preserve"> </w:t>
      </w:r>
      <w:r w:rsidRPr="00981405">
        <w:t>a</w:t>
      </w:r>
      <w:r w:rsidR="00190923" w:rsidRPr="00981405">
        <w:t xml:space="preserve"> </w:t>
      </w:r>
      <w:r w:rsidRPr="00981405">
        <w:t>State</w:t>
      </w:r>
      <w:r w:rsidR="00190923" w:rsidRPr="00981405">
        <w:t xml:space="preserve"> </w:t>
      </w:r>
      <w:r w:rsidRPr="00981405">
        <w:t>undertakes</w:t>
      </w:r>
      <w:r w:rsidR="00190923" w:rsidRPr="00981405">
        <w:t xml:space="preserve"> </w:t>
      </w:r>
      <w:r w:rsidRPr="00981405">
        <w:t>an</w:t>
      </w:r>
      <w:r w:rsidR="00190923" w:rsidRPr="00981405">
        <w:t xml:space="preserve"> </w:t>
      </w:r>
      <w:r w:rsidRPr="00981405">
        <w:t>obligation</w:t>
      </w:r>
      <w:r w:rsidR="00190923" w:rsidRPr="00981405">
        <w:t xml:space="preserve"> </w:t>
      </w:r>
      <w:r w:rsidRPr="00981405">
        <w:t>to</w:t>
      </w:r>
      <w:r w:rsidR="00190923" w:rsidRPr="00981405">
        <w:t xml:space="preserve"> </w:t>
      </w:r>
      <w:r w:rsidRPr="00981405">
        <w:t>another</w:t>
      </w:r>
      <w:r w:rsidR="00190923" w:rsidRPr="00981405">
        <w:t xml:space="preserve"> </w:t>
      </w:r>
      <w:r w:rsidRPr="00981405">
        <w:t>State</w:t>
      </w:r>
      <w:r w:rsidR="00190923" w:rsidRPr="00981405">
        <w:t xml:space="preserve"> </w:t>
      </w:r>
      <w:r w:rsidRPr="00981405">
        <w:t>to</w:t>
      </w:r>
      <w:r w:rsidR="00190923" w:rsidRPr="00981405">
        <w:t xml:space="preserve"> </w:t>
      </w:r>
      <w:r w:rsidRPr="00981405">
        <w:t>afford</w:t>
      </w:r>
      <w:r w:rsidR="00190923" w:rsidRPr="00981405">
        <w:t xml:space="preserve"> </w:t>
      </w:r>
      <w:r w:rsidRPr="00981405">
        <w:t>most</w:t>
      </w:r>
      <w:r w:rsidR="00190923" w:rsidRPr="00981405">
        <w:t xml:space="preserve"> </w:t>
      </w:r>
      <w:r w:rsidRPr="00981405">
        <w:t>favoured</w:t>
      </w:r>
      <w:r w:rsidR="00190923" w:rsidRPr="00981405">
        <w:t xml:space="preserve"> </w:t>
      </w:r>
      <w:r w:rsidRPr="00981405">
        <w:t>nation</w:t>
      </w:r>
      <w:r w:rsidR="00190923" w:rsidRPr="00981405">
        <w:t xml:space="preserve"> </w:t>
      </w:r>
      <w:r w:rsidRPr="00981405">
        <w:lastRenderedPageBreak/>
        <w:t>treatment</w:t>
      </w:r>
      <w:r w:rsidR="00190923" w:rsidRPr="00981405">
        <w:t xml:space="preserve"> </w:t>
      </w:r>
      <w:r w:rsidRPr="00981405">
        <w:t>in</w:t>
      </w:r>
      <w:r w:rsidR="00190923" w:rsidRPr="00981405">
        <w:t xml:space="preserve"> </w:t>
      </w:r>
      <w:r w:rsidRPr="00981405">
        <w:t>an</w:t>
      </w:r>
      <w:r w:rsidR="00190923" w:rsidRPr="00981405">
        <w:t xml:space="preserve"> </w:t>
      </w:r>
      <w:r w:rsidRPr="00981405">
        <w:t>agreed</w:t>
      </w:r>
      <w:r w:rsidR="00190923" w:rsidRPr="00981405">
        <w:t xml:space="preserve"> </w:t>
      </w:r>
      <w:r w:rsidRPr="00981405">
        <w:t>sphere</w:t>
      </w:r>
      <w:r w:rsidR="00190923" w:rsidRPr="00981405">
        <w:t xml:space="preserve"> </w:t>
      </w:r>
      <w:r w:rsidRPr="00981405">
        <w:t>of</w:t>
      </w:r>
      <w:r w:rsidR="00190923" w:rsidRPr="00981405">
        <w:t xml:space="preserve"> </w:t>
      </w:r>
      <w:r w:rsidRPr="00981405">
        <w:t>relations.</w:t>
      </w:r>
      <w:r w:rsidR="00B92E2C" w:rsidRPr="00981405">
        <w:t>”</w:t>
      </w:r>
      <w:r w:rsidR="00190923" w:rsidRPr="00981405">
        <w:t xml:space="preserve"> </w:t>
      </w:r>
      <w:r w:rsidRPr="00981405">
        <w:t>In</w:t>
      </w:r>
      <w:r w:rsidR="00190923" w:rsidRPr="00981405">
        <w:t xml:space="preserve"> </w:t>
      </w:r>
      <w:r w:rsidRPr="00981405">
        <w:t>draft</w:t>
      </w:r>
      <w:r w:rsidR="00190923" w:rsidRPr="00981405">
        <w:t xml:space="preserve"> </w:t>
      </w:r>
      <w:r w:rsidRPr="00981405">
        <w:t>article</w:t>
      </w:r>
      <w:r w:rsidR="00190923" w:rsidRPr="00981405">
        <w:t xml:space="preserve"> </w:t>
      </w:r>
      <w:r w:rsidRPr="00981405">
        <w:t>5,</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defined</w:t>
      </w:r>
      <w:r w:rsidR="00190923" w:rsidRPr="00981405">
        <w:t xml:space="preserve"> </w:t>
      </w:r>
      <w:r w:rsidRPr="00981405">
        <w:t>MFN</w:t>
      </w:r>
      <w:r w:rsidR="00190923" w:rsidRPr="00981405">
        <w:t xml:space="preserve"> </w:t>
      </w:r>
      <w:r w:rsidRPr="00981405">
        <w:t>treatment</w:t>
      </w:r>
      <w:r w:rsidR="00190923" w:rsidRPr="00981405">
        <w:t xml:space="preserve"> </w:t>
      </w:r>
      <w:r w:rsidRPr="00981405">
        <w:t>as</w:t>
      </w:r>
      <w:r w:rsidR="00190923" w:rsidRPr="00981405">
        <w:t xml:space="preserve"> </w:t>
      </w:r>
      <w:r w:rsidR="00B92E2C" w:rsidRPr="00981405">
        <w:t>“</w:t>
      </w:r>
      <w:r w:rsidRPr="00981405">
        <w:t>treatment</w:t>
      </w:r>
      <w:r w:rsidR="00190923" w:rsidRPr="00981405">
        <w:t xml:space="preserve"> </w:t>
      </w:r>
      <w:r w:rsidRPr="00981405">
        <w:t>accorded</w:t>
      </w:r>
      <w:r w:rsidR="00190923" w:rsidRPr="00981405">
        <w:t xml:space="preserve"> </w:t>
      </w:r>
      <w:r w:rsidRPr="00981405">
        <w:t>by</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190923" w:rsidRPr="00981405">
        <w:t xml:space="preserve"> </w:t>
      </w:r>
      <w:r w:rsidRPr="00981405">
        <w:t>to</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State</w:t>
      </w:r>
      <w:r w:rsidR="00BF6F4D" w:rsidRPr="00981405">
        <w:t xml:space="preserve"> </w:t>
      </w:r>
      <w:r w:rsidRPr="00981405">
        <w:t>…</w:t>
      </w:r>
      <w:r w:rsidR="00BF6F4D" w:rsidRPr="00981405">
        <w:t xml:space="preserve"> </w:t>
      </w:r>
      <w:r w:rsidRPr="00981405">
        <w:t>not</w:t>
      </w:r>
      <w:r w:rsidR="00190923" w:rsidRPr="00981405">
        <w:t xml:space="preserve"> </w:t>
      </w:r>
      <w:r w:rsidRPr="00981405">
        <w:t>less</w:t>
      </w:r>
      <w:r w:rsidR="00190923" w:rsidRPr="00981405">
        <w:t xml:space="preserve"> </w:t>
      </w:r>
      <w:r w:rsidRPr="00981405">
        <w:t>favourable</w:t>
      </w:r>
      <w:r w:rsidR="00190923" w:rsidRPr="00981405">
        <w:t xml:space="preserve"> </w:t>
      </w:r>
      <w:r w:rsidRPr="00981405">
        <w:t>than</w:t>
      </w:r>
      <w:r w:rsidR="00190923" w:rsidRPr="00981405">
        <w:t xml:space="preserve"> </w:t>
      </w:r>
      <w:r w:rsidRPr="00981405">
        <w:t>treatment</w:t>
      </w:r>
      <w:r w:rsidR="00190923" w:rsidRPr="00981405">
        <w:t xml:space="preserve"> </w:t>
      </w:r>
      <w:r w:rsidRPr="00981405">
        <w:t>extended</w:t>
      </w:r>
      <w:r w:rsidR="00190923" w:rsidRPr="00981405">
        <w:t xml:space="preserve"> </w:t>
      </w:r>
      <w:r w:rsidRPr="00981405">
        <w:t>by</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190923" w:rsidRPr="00981405">
        <w:t xml:space="preserve"> </w:t>
      </w:r>
      <w:r w:rsidRPr="00981405">
        <w:t>to</w:t>
      </w:r>
      <w:r w:rsidR="00190923" w:rsidRPr="00981405">
        <w:t xml:space="preserve"> </w:t>
      </w:r>
      <w:r w:rsidRPr="00981405">
        <w:t>a</w:t>
      </w:r>
      <w:r w:rsidR="00190923" w:rsidRPr="00981405">
        <w:t xml:space="preserve"> </w:t>
      </w:r>
      <w:r w:rsidRPr="00981405">
        <w:t>third</w:t>
      </w:r>
      <w:r w:rsidR="00190923" w:rsidRPr="00981405">
        <w:t xml:space="preserve"> </w:t>
      </w:r>
      <w:r w:rsidRPr="00981405">
        <w:t>State.</w:t>
      </w:r>
      <w:r w:rsidR="00B92E2C" w:rsidRPr="00981405">
        <w:t>”</w:t>
      </w:r>
      <w:r w:rsidR="00190923" w:rsidRPr="00981405">
        <w:t xml:space="preserve"> </w:t>
      </w:r>
      <w:r w:rsidRPr="00981405">
        <w:t>In</w:t>
      </w:r>
      <w:r w:rsidR="00190923" w:rsidRPr="00981405">
        <w:t xml:space="preserve"> </w:t>
      </w:r>
      <w:r w:rsidRPr="00981405">
        <w:t>other</w:t>
      </w:r>
      <w:r w:rsidR="00190923" w:rsidRPr="00981405">
        <w:t xml:space="preserve"> </w:t>
      </w:r>
      <w:r w:rsidRPr="00981405">
        <w:t>words,</w:t>
      </w:r>
      <w:r w:rsidR="00190923" w:rsidRPr="00981405">
        <w:t xml:space="preserve"> </w:t>
      </w:r>
      <w:r w:rsidRPr="00981405">
        <w:t>regardless</w:t>
      </w:r>
      <w:r w:rsidR="00190923" w:rsidRPr="00981405">
        <w:t xml:space="preserve"> </w:t>
      </w:r>
      <w:r w:rsidRPr="00981405">
        <w:t>of</w:t>
      </w:r>
      <w:r w:rsidR="00190923" w:rsidRPr="00981405">
        <w:t xml:space="preserve"> </w:t>
      </w:r>
      <w:r w:rsidRPr="00981405">
        <w:t>the</w:t>
      </w:r>
      <w:r w:rsidR="00190923" w:rsidRPr="00981405">
        <w:t xml:space="preserve"> </w:t>
      </w:r>
      <w:r w:rsidRPr="00981405">
        <w:t>specific</w:t>
      </w:r>
      <w:r w:rsidR="00190923" w:rsidRPr="00981405">
        <w:t xml:space="preserve"> </w:t>
      </w:r>
      <w:r w:rsidRPr="00981405">
        <w:t>wording,</w:t>
      </w:r>
      <w:r w:rsidR="00190923" w:rsidRPr="00981405">
        <w:t xml:space="preserve"> </w:t>
      </w:r>
      <w:r w:rsidRPr="00981405">
        <w:t>if</w:t>
      </w:r>
      <w:r w:rsidR="00190923" w:rsidRPr="00981405">
        <w:t xml:space="preserve"> </w:t>
      </w:r>
      <w:r w:rsidRPr="00981405">
        <w:t>a</w:t>
      </w:r>
      <w:r w:rsidR="00190923" w:rsidRPr="00981405">
        <w:t xml:space="preserve"> </w:t>
      </w:r>
      <w:r w:rsidRPr="00981405">
        <w:t>clause</w:t>
      </w:r>
      <w:r w:rsidR="00190923" w:rsidRPr="00981405">
        <w:t xml:space="preserve"> </w:t>
      </w:r>
      <w:r w:rsidRPr="00981405">
        <w:t>in</w:t>
      </w:r>
      <w:r w:rsidR="00190923" w:rsidRPr="00981405">
        <w:t xml:space="preserve"> </w:t>
      </w:r>
      <w:r w:rsidRPr="00981405">
        <w:t>a</w:t>
      </w:r>
      <w:r w:rsidR="00190923" w:rsidRPr="00981405">
        <w:t xml:space="preserve"> </w:t>
      </w:r>
      <w:r w:rsidRPr="00981405">
        <w:t>treaty</w:t>
      </w:r>
      <w:r w:rsidR="00190923" w:rsidRPr="00981405">
        <w:t xml:space="preserve"> </w:t>
      </w:r>
      <w:r w:rsidRPr="00981405">
        <w:t>accords</w:t>
      </w:r>
      <w:r w:rsidR="00190923" w:rsidRPr="00981405">
        <w:t xml:space="preserve"> </w:t>
      </w:r>
      <w:r w:rsidRPr="00981405">
        <w:t>no</w:t>
      </w:r>
      <w:r w:rsidR="00190923" w:rsidRPr="00981405">
        <w:t xml:space="preserve"> </w:t>
      </w:r>
      <w:r w:rsidRPr="00981405">
        <w:t>less</w:t>
      </w:r>
      <w:r w:rsidR="00190923" w:rsidRPr="00981405">
        <w:t xml:space="preserve"> </w:t>
      </w:r>
      <w:r w:rsidRPr="00981405">
        <w:t>favourable</w:t>
      </w:r>
      <w:r w:rsidR="00190923" w:rsidRPr="00981405">
        <w:t xml:space="preserve"> </w:t>
      </w:r>
      <w:r w:rsidRPr="00981405">
        <w:t>treatment</w:t>
      </w:r>
      <w:r w:rsidR="00190923" w:rsidRPr="00981405">
        <w:t xml:space="preserve"> </w:t>
      </w:r>
      <w:r w:rsidRPr="00981405">
        <w:t>than</w:t>
      </w:r>
      <w:r w:rsidR="00190923" w:rsidRPr="00981405">
        <w:t xml:space="preserve"> </w:t>
      </w:r>
      <w:r w:rsidRPr="00981405">
        <w:t>that</w:t>
      </w:r>
      <w:r w:rsidR="00190923" w:rsidRPr="00981405">
        <w:t xml:space="preserve"> </w:t>
      </w:r>
      <w:r w:rsidRPr="00981405">
        <w:t>granted</w:t>
      </w:r>
      <w:r w:rsidR="00190923" w:rsidRPr="00981405">
        <w:t xml:space="preserve"> </w:t>
      </w:r>
      <w:r w:rsidRPr="00981405">
        <w:t>to</w:t>
      </w:r>
      <w:r w:rsidR="00190923" w:rsidRPr="00981405">
        <w:t xml:space="preserve"> </w:t>
      </w:r>
      <w:r w:rsidRPr="00981405">
        <w:t>third</w:t>
      </w:r>
      <w:r w:rsidR="00190923" w:rsidRPr="00981405">
        <w:t xml:space="preserve"> </w:t>
      </w:r>
      <w:r w:rsidRPr="00981405">
        <w:t>States,</w:t>
      </w:r>
      <w:r w:rsidR="00190923" w:rsidRPr="00981405">
        <w:t xml:space="preserve"> </w:t>
      </w:r>
      <w:r w:rsidRPr="00981405">
        <w:t>it</w:t>
      </w:r>
      <w:r w:rsidR="00190923" w:rsidRPr="00981405">
        <w:t xml:space="preserve"> </w:t>
      </w:r>
      <w:r w:rsidRPr="00981405">
        <w:t>is</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It</w:t>
      </w:r>
      <w:r w:rsidR="00190923" w:rsidRPr="00981405">
        <w:t xml:space="preserve"> </w:t>
      </w:r>
      <w:r w:rsidRPr="00981405">
        <w:t>has</w:t>
      </w:r>
      <w:r w:rsidR="00190923" w:rsidRPr="00981405">
        <w:t xml:space="preserve"> </w:t>
      </w:r>
      <w:r w:rsidRPr="00981405">
        <w:t>the</w:t>
      </w:r>
      <w:r w:rsidR="00190923" w:rsidRPr="00981405">
        <w:t xml:space="preserve"> </w:t>
      </w:r>
      <w:r w:rsidRPr="00981405">
        <w:t>same</w:t>
      </w:r>
      <w:r w:rsidR="00190923" w:rsidRPr="00981405">
        <w:t xml:space="preserve"> </w:t>
      </w:r>
      <w:r w:rsidRPr="00981405">
        <w:t>character</w:t>
      </w:r>
      <w:r w:rsidR="00190923" w:rsidRPr="00981405">
        <w:t xml:space="preserve"> </w:t>
      </w:r>
      <w:r w:rsidRPr="00981405">
        <w:t>as</w:t>
      </w:r>
      <w:r w:rsidR="00190923" w:rsidRPr="00981405">
        <w:t xml:space="preserve"> </w:t>
      </w:r>
      <w:r w:rsidRPr="00981405">
        <w:t>any</w:t>
      </w:r>
      <w:r w:rsidR="00190923" w:rsidRPr="00981405">
        <w:t xml:space="preserve"> </w:t>
      </w:r>
      <w:r w:rsidRPr="00981405">
        <w:t>other</w:t>
      </w:r>
      <w:r w:rsidR="00190923" w:rsidRPr="00981405">
        <w:t xml:space="preserve"> </w:t>
      </w:r>
      <w:r w:rsidRPr="00981405">
        <w:t>MFN</w:t>
      </w:r>
      <w:r w:rsidR="00190923" w:rsidRPr="00981405">
        <w:t xml:space="preserve"> </w:t>
      </w:r>
      <w:r w:rsidRPr="00981405">
        <w:t>clause</w:t>
      </w:r>
      <w:r w:rsidR="00190923" w:rsidRPr="00981405">
        <w:t xml:space="preserve"> </w:t>
      </w:r>
      <w:r w:rsidRPr="00981405">
        <w:t>and</w:t>
      </w:r>
      <w:r w:rsidR="00190923" w:rsidRPr="00981405">
        <w:t xml:space="preserve"> </w:t>
      </w:r>
      <w:r w:rsidRPr="00981405">
        <w:t>shares</w:t>
      </w:r>
      <w:r w:rsidR="00190923" w:rsidRPr="00981405">
        <w:t xml:space="preserve"> </w:t>
      </w:r>
      <w:r w:rsidRPr="00981405">
        <w:t>the</w:t>
      </w:r>
      <w:r w:rsidR="00190923" w:rsidRPr="00981405">
        <w:t xml:space="preserve"> </w:t>
      </w:r>
      <w:r w:rsidRPr="00981405">
        <w:t>same</w:t>
      </w:r>
      <w:r w:rsidR="00190923" w:rsidRPr="00981405">
        <w:t xml:space="preserve"> </w:t>
      </w:r>
      <w:r w:rsidRPr="00981405">
        <w:t>overall</w:t>
      </w:r>
      <w:r w:rsidR="00190923" w:rsidRPr="00981405">
        <w:t xml:space="preserve"> </w:t>
      </w:r>
      <w:r w:rsidRPr="00981405">
        <w:t>objective.</w:t>
      </w:r>
      <w:r w:rsidR="00190923" w:rsidRPr="00981405">
        <w:t xml:space="preserve"> </w:t>
      </w:r>
    </w:p>
    <w:p w:rsidR="00397032" w:rsidRPr="00981405" w:rsidRDefault="00397032" w:rsidP="00D97463">
      <w:pPr>
        <w:pStyle w:val="SingleTxt"/>
      </w:pPr>
      <w:r w:rsidRPr="00981405">
        <w:t>147.</w:t>
      </w:r>
      <w:r w:rsidRPr="00981405">
        <w:tab/>
        <w:t>However,</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that</w:t>
      </w:r>
      <w:r w:rsidR="00190923" w:rsidRPr="00981405">
        <w:t xml:space="preserve"> </w:t>
      </w:r>
      <w:r w:rsidRPr="00981405">
        <w:t>overall</w:t>
      </w:r>
      <w:r w:rsidR="00190923" w:rsidRPr="00981405">
        <w:t xml:space="preserve"> </w:t>
      </w:r>
      <w:r w:rsidRPr="00981405">
        <w:t>objective</w:t>
      </w:r>
      <w:r w:rsidR="00190923" w:rsidRPr="00981405">
        <w:t xml:space="preserve"> </w:t>
      </w:r>
      <w:r w:rsidRPr="00981405">
        <w:t>is</w:t>
      </w:r>
      <w:r w:rsidR="00190923" w:rsidRPr="00981405">
        <w:t xml:space="preserve"> </w:t>
      </w:r>
      <w:r w:rsidRPr="00981405">
        <w:t>achieved</w:t>
      </w:r>
      <w:r w:rsidR="00190923" w:rsidRPr="00981405">
        <w:t xml:space="preserve"> </w:t>
      </w:r>
      <w:r w:rsidRPr="00981405">
        <w:t>lies</w:t>
      </w:r>
      <w:r w:rsidR="00190923" w:rsidRPr="00981405">
        <w:t xml:space="preserve"> </w:t>
      </w:r>
      <w:r w:rsidRPr="00981405">
        <w:t>in</w:t>
      </w:r>
      <w:r w:rsidR="00190923" w:rsidRPr="00981405">
        <w:t xml:space="preserve"> </w:t>
      </w:r>
      <w:r w:rsidRPr="00981405">
        <w:t>the</w:t>
      </w:r>
      <w:r w:rsidR="00190923" w:rsidRPr="00981405">
        <w:t xml:space="preserve"> </w:t>
      </w:r>
      <w:r w:rsidRPr="00981405">
        <w:t>actual</w:t>
      </w:r>
      <w:r w:rsidR="00190923" w:rsidRPr="00981405">
        <w:t xml:space="preserve"> </w:t>
      </w:r>
      <w:r w:rsidRPr="00981405">
        <w:t>wording</w:t>
      </w:r>
      <w:r w:rsidR="00190923" w:rsidRPr="00981405">
        <w:t xml:space="preserve"> </w:t>
      </w:r>
      <w:r w:rsidRPr="00981405">
        <w:t>that</w:t>
      </w:r>
      <w:r w:rsidR="00190923" w:rsidRPr="00981405">
        <w:t xml:space="preserve"> </w:t>
      </w:r>
      <w:r w:rsidRPr="00981405">
        <w:t>is</w:t>
      </w:r>
      <w:r w:rsidR="00190923" w:rsidRPr="00981405">
        <w:t xml:space="preserve"> </w:t>
      </w:r>
      <w:r w:rsidRPr="00981405">
        <w:t>used</w:t>
      </w:r>
      <w:r w:rsidR="00190923" w:rsidRPr="00981405">
        <w:t xml:space="preserve"> </w:t>
      </w:r>
      <w:r w:rsidRPr="00981405">
        <w:t>to</w:t>
      </w:r>
      <w:r w:rsidR="00190923" w:rsidRPr="00981405">
        <w:t xml:space="preserve"> </w:t>
      </w:r>
      <w:r w:rsidRPr="00981405">
        <w:t>express</w:t>
      </w:r>
      <w:r w:rsidR="00190923" w:rsidRPr="00981405">
        <w:t xml:space="preserve"> </w:t>
      </w:r>
      <w:r w:rsidRPr="00981405">
        <w:t>the</w:t>
      </w:r>
      <w:r w:rsidR="00190923" w:rsidRPr="00981405">
        <w:t xml:space="preserve"> </w:t>
      </w:r>
      <w:r w:rsidRPr="00981405">
        <w:t>MFN</w:t>
      </w:r>
      <w:r w:rsidR="00190923" w:rsidRPr="00981405">
        <w:t xml:space="preserve"> </w:t>
      </w:r>
      <w:r w:rsidRPr="00981405">
        <w:t>obligation,</w:t>
      </w:r>
      <w:r w:rsidR="00190923" w:rsidRPr="00981405">
        <w:t xml:space="preserve"> </w:t>
      </w:r>
      <w:r w:rsidRPr="00981405">
        <w:t>its</w:t>
      </w:r>
      <w:r w:rsidR="00190923" w:rsidRPr="00981405">
        <w:t xml:space="preserve"> </w:t>
      </w:r>
      <w:r w:rsidRPr="00981405">
        <w:t>scope,</w:t>
      </w:r>
      <w:r w:rsidR="00190923" w:rsidRPr="00981405">
        <w:t xml:space="preserve"> </w:t>
      </w:r>
      <w:r w:rsidRPr="00981405">
        <w:t>its</w:t>
      </w:r>
      <w:r w:rsidR="00190923" w:rsidRPr="00981405">
        <w:t xml:space="preserve"> </w:t>
      </w:r>
      <w:r w:rsidRPr="00981405">
        <w:t>coverage,</w:t>
      </w:r>
      <w:r w:rsidR="00190923" w:rsidRPr="00981405">
        <w:t xml:space="preserve"> </w:t>
      </w:r>
      <w:r w:rsidRPr="00981405">
        <w:t>and</w:t>
      </w:r>
      <w:r w:rsidR="00190923" w:rsidRPr="00981405">
        <w:t xml:space="preserve"> </w:t>
      </w:r>
      <w:r w:rsidRPr="00981405">
        <w:t>its</w:t>
      </w:r>
      <w:r w:rsidR="00190923" w:rsidRPr="00981405">
        <w:t xml:space="preserve"> </w:t>
      </w:r>
      <w:r w:rsidRPr="00981405">
        <w:t>beneficiaries.</w:t>
      </w:r>
      <w:r w:rsidR="00190923" w:rsidRPr="00981405">
        <w:t xml:space="preserve"> </w:t>
      </w:r>
      <w:r w:rsidRPr="00981405">
        <w:t>Thus,</w:t>
      </w:r>
      <w:r w:rsidR="00190923" w:rsidRPr="00981405">
        <w:t xml:space="preserve"> </w:t>
      </w:r>
      <w:r w:rsidRPr="00981405">
        <w:t>the</w:t>
      </w:r>
      <w:r w:rsidR="00190923" w:rsidRPr="00981405">
        <w:t xml:space="preserve"> </w:t>
      </w:r>
      <w:r w:rsidRPr="00981405">
        <w:t>key</w:t>
      </w:r>
      <w:r w:rsidR="00190923" w:rsidRPr="00981405">
        <w:t xml:space="preserve"> </w:t>
      </w:r>
      <w:r w:rsidRPr="00981405">
        <w:t>question</w:t>
      </w:r>
      <w:r w:rsidR="00190923" w:rsidRPr="00981405">
        <w:t xml:space="preserve"> </w:t>
      </w:r>
      <w:r w:rsidRPr="00981405">
        <w:t>of</w:t>
      </w:r>
      <w:r w:rsidR="00190923" w:rsidRPr="00981405">
        <w:t xml:space="preserve"> </w:t>
      </w:r>
      <w:r w:rsidRPr="00D97463">
        <w:rPr>
          <w:i/>
          <w:iCs/>
        </w:rPr>
        <w:t>ejusdem</w:t>
      </w:r>
      <w:r w:rsidR="00190923" w:rsidRPr="00D97463">
        <w:rPr>
          <w:i/>
          <w:iCs/>
        </w:rPr>
        <w:t xml:space="preserve"> </w:t>
      </w:r>
      <w:r w:rsidRPr="00D97463">
        <w:rPr>
          <w:i/>
          <w:iCs/>
        </w:rPr>
        <w:t>generis</w:t>
      </w:r>
      <w:r w:rsidR="00190923" w:rsidRPr="00981405">
        <w:t xml:space="preserve"> </w:t>
      </w:r>
      <w:r w:rsidR="00BF6F4D" w:rsidRPr="00981405">
        <w:t>—</w:t>
      </w:r>
      <w:r w:rsidR="00190923" w:rsidRPr="00981405">
        <w:t xml:space="preserve"> </w:t>
      </w:r>
      <w:r w:rsidRPr="00981405">
        <w:t>what</w:t>
      </w:r>
      <w:r w:rsidR="00190923" w:rsidRPr="00981405">
        <w:t xml:space="preserve"> </w:t>
      </w:r>
      <w:r w:rsidRPr="00981405">
        <w:t>is</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treatment</w:t>
      </w:r>
      <w:r w:rsidR="00190923" w:rsidRPr="00981405">
        <w:t xml:space="preserve"> </w:t>
      </w:r>
      <w:r w:rsidRPr="00981405">
        <w:t>that</w:t>
      </w:r>
      <w:r w:rsidR="00190923" w:rsidRPr="00981405">
        <w:t xml:space="preserve"> </w:t>
      </w:r>
      <w:r w:rsidRPr="00981405">
        <w:t>can</w:t>
      </w:r>
      <w:r w:rsidR="00190923" w:rsidRPr="00981405">
        <w:t xml:space="preserve"> </w:t>
      </w:r>
      <w:r w:rsidRPr="00981405">
        <w:t>be</w:t>
      </w:r>
      <w:r w:rsidR="00190923" w:rsidRPr="00981405">
        <w:t xml:space="preserve"> </w:t>
      </w:r>
      <w:r w:rsidRPr="00981405">
        <w:t>claimed</w:t>
      </w:r>
      <w:r w:rsidR="00190923" w:rsidRPr="00981405">
        <w:t xml:space="preserve"> </w:t>
      </w:r>
      <w:r w:rsidR="00BF6F4D" w:rsidRPr="00981405">
        <w:t>—</w:t>
      </w:r>
      <w:r w:rsidR="00190923" w:rsidRPr="00981405">
        <w:t xml:space="preserve"> </w:t>
      </w:r>
      <w:r w:rsidRPr="00981405">
        <w:t>has</w:t>
      </w:r>
      <w:r w:rsidR="00190923" w:rsidRPr="00981405">
        <w:t xml:space="preserve"> </w:t>
      </w:r>
      <w:r w:rsidRPr="00981405">
        <w:t>to</w:t>
      </w:r>
      <w:r w:rsidR="00190923" w:rsidRPr="00981405">
        <w:t xml:space="preserve"> </w:t>
      </w:r>
      <w:r w:rsidRPr="00981405">
        <w:t>be</w:t>
      </w:r>
      <w:r w:rsidR="00190923" w:rsidRPr="00981405">
        <w:t xml:space="preserve"> </w:t>
      </w:r>
      <w:r w:rsidRPr="00981405">
        <w:t>determined</w:t>
      </w:r>
      <w:r w:rsidR="00190923" w:rsidRPr="00981405">
        <w:t xml:space="preserve"> </w:t>
      </w:r>
      <w:r w:rsidRPr="00981405">
        <w:t>on</w:t>
      </w:r>
      <w:r w:rsidR="00190923" w:rsidRPr="00981405">
        <w:t xml:space="preserve"> </w:t>
      </w:r>
      <w:r w:rsidRPr="00981405">
        <w:t>a</w:t>
      </w:r>
      <w:r w:rsidR="00190923" w:rsidRPr="00981405">
        <w:t xml:space="preserve"> </w:t>
      </w:r>
      <w:r w:rsidRPr="00981405">
        <w:t>case-by-case</w:t>
      </w:r>
      <w:r w:rsidR="00190923" w:rsidRPr="00981405">
        <w:t xml:space="preserve"> </w:t>
      </w:r>
      <w:r w:rsidRPr="00981405">
        <w:t>basis.</w:t>
      </w:r>
      <w:r w:rsidR="00190923" w:rsidRPr="00981405">
        <w:t xml:space="preserve"> </w:t>
      </w:r>
    </w:p>
    <w:p w:rsidR="00397032" w:rsidRPr="00981405" w:rsidRDefault="00397032" w:rsidP="00D97463">
      <w:pPr>
        <w:pStyle w:val="SingleTxt"/>
      </w:pPr>
      <w:r w:rsidRPr="00981405">
        <w:t>148.</w:t>
      </w:r>
      <w:r w:rsidRPr="00981405">
        <w:tab/>
        <w:t>Nonetheless,</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common</w:t>
      </w:r>
      <w:r w:rsidR="00190923" w:rsidRPr="00981405">
        <w:t xml:space="preserve"> </w:t>
      </w:r>
      <w:r w:rsidRPr="00981405">
        <w:t>objective</w:t>
      </w:r>
      <w:r w:rsidR="00190923" w:rsidRPr="00981405">
        <w:t xml:space="preserve"> </w:t>
      </w:r>
      <w:r w:rsidRPr="00981405">
        <w:t>of</w:t>
      </w:r>
      <w:r w:rsidR="00190923" w:rsidRPr="00981405">
        <w:t xml:space="preserve"> </w:t>
      </w:r>
      <w:r w:rsidRPr="00981405">
        <w:t>all</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the</w:t>
      </w:r>
      <w:r w:rsidR="00190923" w:rsidRPr="00981405">
        <w:t xml:space="preserve"> </w:t>
      </w:r>
      <w:r w:rsidRPr="00981405">
        <w:t>similarity</w:t>
      </w:r>
      <w:r w:rsidR="00190923" w:rsidRPr="00981405">
        <w:t xml:space="preserve"> </w:t>
      </w:r>
      <w:r w:rsidRPr="00981405">
        <w:t>in</w:t>
      </w:r>
      <w:r w:rsidR="00190923" w:rsidRPr="00981405">
        <w:t xml:space="preserve"> </w:t>
      </w:r>
      <w:r w:rsidRPr="00981405">
        <w:t>the</w:t>
      </w:r>
      <w:r w:rsidR="00190923" w:rsidRPr="00981405">
        <w:t xml:space="preserve"> </w:t>
      </w:r>
      <w:r w:rsidRPr="00981405">
        <w:t>language</w:t>
      </w:r>
      <w:r w:rsidR="00190923" w:rsidRPr="00981405">
        <w:t xml:space="preserve"> </w:t>
      </w:r>
      <w:r w:rsidRPr="00981405">
        <w:t>used</w:t>
      </w:r>
      <w:r w:rsidR="00190923" w:rsidRPr="00981405">
        <w:t xml:space="preserve"> </w:t>
      </w:r>
      <w:r w:rsidRPr="00981405">
        <w:t>across</w:t>
      </w:r>
      <w:r w:rsidR="00190923" w:rsidRPr="00981405">
        <w:t xml:space="preserve"> </w:t>
      </w:r>
      <w:r w:rsidRPr="00981405">
        <w:t>many</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means</w:t>
      </w:r>
      <w:r w:rsidR="00190923" w:rsidRPr="00981405">
        <w:t xml:space="preserve"> </w:t>
      </w:r>
      <w:r w:rsidRPr="00981405">
        <w:t>that</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one</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may</w:t>
      </w:r>
      <w:r w:rsidR="00190923" w:rsidRPr="00981405">
        <w:t xml:space="preserve"> </w:t>
      </w:r>
      <w:r w:rsidRPr="00981405">
        <w:t>well</w:t>
      </w:r>
      <w:r w:rsidR="00190923" w:rsidRPr="00981405">
        <w:t xml:space="preserve"> </w:t>
      </w:r>
      <w:r w:rsidRPr="00981405">
        <w:t>provide</w:t>
      </w:r>
      <w:r w:rsidR="00190923" w:rsidRPr="00981405">
        <w:t xml:space="preserve"> </w:t>
      </w:r>
      <w:r w:rsidRPr="00981405">
        <w:t>guidance</w:t>
      </w:r>
      <w:r w:rsidR="00190923" w:rsidRPr="00981405">
        <w:t xml:space="preserve"> </w:t>
      </w:r>
      <w:r w:rsidRPr="00981405">
        <w:t>for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another</w:t>
      </w:r>
      <w:r w:rsidR="00190923" w:rsidRPr="00981405">
        <w:t xml:space="preserve"> </w:t>
      </w:r>
      <w:r w:rsidRPr="00981405">
        <w:t>agreement.</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indeed</w:t>
      </w:r>
      <w:r w:rsidR="00190923" w:rsidRPr="00981405">
        <w:t xml:space="preserve"> </w:t>
      </w:r>
      <w:r w:rsidRPr="00981405">
        <w:t>considered</w:t>
      </w:r>
      <w:r w:rsidR="00190923" w:rsidRPr="00981405">
        <w:t xml:space="preserve"> </w:t>
      </w:r>
      <w:r w:rsidRPr="00981405">
        <w:t>provisions</w:t>
      </w:r>
      <w:r w:rsidR="00190923" w:rsidRPr="00981405">
        <w:t xml:space="preserve"> </w:t>
      </w:r>
      <w:r w:rsidRPr="00981405">
        <w:t>under</w:t>
      </w:r>
      <w:r w:rsidR="00190923" w:rsidRPr="00981405">
        <w:t xml:space="preserve"> </w:t>
      </w:r>
      <w:r w:rsidRPr="00981405">
        <w:t>agreements</w:t>
      </w:r>
      <w:r w:rsidR="00190923" w:rsidRPr="00981405">
        <w:t xml:space="preserve"> </w:t>
      </w:r>
      <w:r w:rsidRPr="00981405">
        <w:t>other</w:t>
      </w:r>
      <w:r w:rsidR="00190923" w:rsidRPr="00981405">
        <w:t xml:space="preserve"> </w:t>
      </w:r>
      <w:r w:rsidRPr="00981405">
        <w:t>than</w:t>
      </w:r>
      <w:r w:rsidR="00190923" w:rsidRPr="00981405">
        <w:t xml:space="preserve"> </w:t>
      </w:r>
      <w:r w:rsidRPr="00981405">
        <w:t>the</w:t>
      </w:r>
      <w:r w:rsidR="00190923" w:rsidRPr="00981405">
        <w:t xml:space="preserve"> </w:t>
      </w:r>
      <w:r w:rsidRPr="00981405">
        <w:t>agreement</w:t>
      </w:r>
      <w:r w:rsidR="00190923" w:rsidRPr="00981405">
        <w:t xml:space="preserve"> </w:t>
      </w:r>
      <w:r w:rsidRPr="00981405">
        <w:t>before</w:t>
      </w:r>
      <w:r w:rsidR="00190923" w:rsidRPr="00981405">
        <w:t xml:space="preserve"> </w:t>
      </w:r>
      <w:r w:rsidRPr="00981405">
        <w:t>them</w:t>
      </w:r>
      <w:r w:rsidR="00190923" w:rsidRPr="00981405">
        <w:t xml:space="preserve"> </w:t>
      </w:r>
      <w:r w:rsidRPr="00981405">
        <w:t>in</w:t>
      </w:r>
      <w:r w:rsidR="00190923" w:rsidRPr="00981405">
        <w:t xml:space="preserve"> </w:t>
      </w:r>
      <w:r w:rsidRPr="00981405">
        <w:t>seeking</w:t>
      </w:r>
      <w:r w:rsidR="00190923" w:rsidRPr="00981405">
        <w:t xml:space="preserve"> </w:t>
      </w:r>
      <w:r w:rsidRPr="00981405">
        <w:t>to</w:t>
      </w:r>
      <w:r w:rsidR="00190923" w:rsidRPr="00981405">
        <w:t xml:space="preserve"> </w:t>
      </w:r>
      <w:r w:rsidRPr="00981405">
        <w:t>interpret</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p>
    <w:p w:rsidR="00397032" w:rsidRPr="00981405" w:rsidRDefault="00397032" w:rsidP="00D97463">
      <w:pPr>
        <w:pStyle w:val="SingleTxt"/>
      </w:pPr>
      <w:r w:rsidRPr="00981405">
        <w:t>149.</w:t>
      </w:r>
      <w:r w:rsidRPr="00981405">
        <w:tab/>
        <w:t>However,</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any</w:t>
      </w:r>
      <w:r w:rsidR="00190923" w:rsidRPr="00981405">
        <w:t xml:space="preserve"> </w:t>
      </w:r>
      <w:r w:rsidRPr="00981405">
        <w:t>particular</w:t>
      </w:r>
      <w:r w:rsidR="00190923" w:rsidRPr="00981405">
        <w:t xml:space="preserve"> </w:t>
      </w:r>
      <w:r w:rsidRPr="00981405">
        <w:t>MFN</w:t>
      </w:r>
      <w:r w:rsidR="00190923" w:rsidRPr="00981405">
        <w:t xml:space="preserve"> </w:t>
      </w:r>
      <w:r w:rsidRPr="00981405">
        <w:t>provision</w:t>
      </w:r>
      <w:r w:rsidR="00190923" w:rsidRPr="00981405">
        <w:t xml:space="preserve"> </w:t>
      </w:r>
      <w:r w:rsidRPr="00981405">
        <w:t>must</w:t>
      </w:r>
      <w:r w:rsidR="00190923" w:rsidRPr="00981405">
        <w:t xml:space="preserve"> </w:t>
      </w:r>
      <w:r w:rsidRPr="00981405">
        <w:t>be</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articles</w:t>
      </w:r>
      <w:r w:rsidR="00190923" w:rsidRPr="00981405">
        <w:t xml:space="preserve"> </w:t>
      </w:r>
      <w:r w:rsidRPr="00981405">
        <w:t>31-32</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Thus,</w:t>
      </w:r>
      <w:r w:rsidR="00190923" w:rsidRPr="00981405">
        <w:t xml:space="preserve"> </w:t>
      </w:r>
      <w:r w:rsidRPr="00981405">
        <w:t>while</w:t>
      </w:r>
      <w:r w:rsidR="00190923" w:rsidRPr="00981405">
        <w:t xml:space="preserve"> </w:t>
      </w:r>
      <w:r w:rsidRPr="00981405">
        <w:t>guidance</w:t>
      </w:r>
      <w:r w:rsidR="00190923" w:rsidRPr="00981405">
        <w:t xml:space="preserve"> </w:t>
      </w:r>
      <w:r w:rsidRPr="00981405">
        <w:t>can</w:t>
      </w:r>
      <w:r w:rsidR="00190923" w:rsidRPr="00981405">
        <w:t xml:space="preserve"> </w:t>
      </w:r>
      <w:r w:rsidRPr="00981405">
        <w:t>be</w:t>
      </w:r>
      <w:r w:rsidR="00190923" w:rsidRPr="00981405">
        <w:t xml:space="preserve"> </w:t>
      </w:r>
      <w:r w:rsidRPr="00981405">
        <w:t>sought</w:t>
      </w:r>
      <w:r w:rsidR="00190923" w:rsidRPr="00981405">
        <w:t xml:space="preserve"> </w:t>
      </w:r>
      <w:r w:rsidRPr="00981405">
        <w:t>from</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r w:rsidR="00190923" w:rsidRPr="00981405">
        <w:t xml:space="preserve"> </w:t>
      </w:r>
      <w:r w:rsidRPr="00981405">
        <w:t>in</w:t>
      </w:r>
      <w:r w:rsidR="00190923" w:rsidRPr="00981405">
        <w:t xml:space="preserve"> </w:t>
      </w:r>
      <w:r w:rsidRPr="00981405">
        <w:t>other</w:t>
      </w:r>
      <w:r w:rsidR="00190923" w:rsidRPr="00981405">
        <w:t xml:space="preserve"> </w:t>
      </w:r>
      <w:r w:rsidRPr="00981405">
        <w:t>agreements</w:t>
      </w:r>
      <w:r w:rsidR="00190923" w:rsidRPr="00981405">
        <w:t xml:space="preserve"> </w:t>
      </w:r>
      <w:r w:rsidRPr="00981405">
        <w:t>each</w:t>
      </w:r>
      <w:r w:rsidR="00190923" w:rsidRPr="00981405">
        <w:t xml:space="preserve"> </w:t>
      </w:r>
      <w:r w:rsidRPr="00981405">
        <w:t>MFN</w:t>
      </w:r>
      <w:r w:rsidR="00190923" w:rsidRPr="00981405">
        <w:t xml:space="preserve"> </w:t>
      </w:r>
      <w:r w:rsidRPr="00981405">
        <w:t>provision</w:t>
      </w:r>
      <w:r w:rsidR="00190923" w:rsidRPr="00981405">
        <w:t xml:space="preserve"> </w:t>
      </w:r>
      <w:r w:rsidRPr="00981405">
        <w:t>must</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its</w:t>
      </w:r>
      <w:r w:rsidR="00190923" w:rsidRPr="00981405">
        <w:t xml:space="preserve"> </w:t>
      </w:r>
      <w:r w:rsidRPr="00981405">
        <w:t>own</w:t>
      </w:r>
      <w:r w:rsidR="00190923" w:rsidRPr="00981405">
        <w:t xml:space="preserve"> </w:t>
      </w:r>
      <w:r w:rsidRPr="00981405">
        <w:t>wording</w:t>
      </w:r>
      <w:r w:rsidR="00190923" w:rsidRPr="00981405">
        <w:t xml:space="preserve"> </w:t>
      </w:r>
      <w:r w:rsidRPr="00981405">
        <w:t>and</w:t>
      </w:r>
      <w:r w:rsidR="00190923" w:rsidRPr="00981405">
        <w:t xml:space="preserve"> </w:t>
      </w:r>
      <w:r w:rsidRPr="00981405">
        <w:t>the</w:t>
      </w:r>
      <w:r w:rsidR="00190923" w:rsidRPr="00981405">
        <w:t xml:space="preserve"> </w:t>
      </w:r>
      <w:r w:rsidRPr="00981405">
        <w:t>surrounding</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agreement</w:t>
      </w:r>
      <w:r w:rsidR="00190923" w:rsidRPr="00981405">
        <w:t xml:space="preserve"> </w:t>
      </w:r>
      <w:r w:rsidRPr="00981405">
        <w:t>it</w:t>
      </w:r>
      <w:r w:rsidR="00190923" w:rsidRPr="00981405">
        <w:t xml:space="preserve"> </w:t>
      </w:r>
      <w:r w:rsidRPr="00981405">
        <w:t>is</w:t>
      </w:r>
      <w:r w:rsidR="00190923" w:rsidRPr="00981405">
        <w:t xml:space="preserve"> </w:t>
      </w:r>
      <w:r w:rsidRPr="00981405">
        <w:t>found</w:t>
      </w:r>
      <w:r w:rsidR="00190923" w:rsidRPr="00981405">
        <w:t xml:space="preserve"> </w:t>
      </w:r>
      <w:r w:rsidRPr="00981405">
        <w:t>in.</w:t>
      </w:r>
      <w:r w:rsidR="00190923" w:rsidRPr="00981405">
        <w:t xml:space="preserve"> </w:t>
      </w:r>
      <w:r w:rsidRPr="00981405">
        <w:t>As</w:t>
      </w:r>
      <w:r w:rsidR="00190923" w:rsidRPr="00981405">
        <w:t xml:space="preserve"> </w:t>
      </w:r>
      <w:r w:rsidRPr="00981405">
        <w:t>a</w:t>
      </w:r>
      <w:r w:rsidR="00190923" w:rsidRPr="00981405">
        <w:t xml:space="preserve"> </w:t>
      </w:r>
      <w:r w:rsidRPr="00981405">
        <w:t>result,</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basis</w:t>
      </w:r>
      <w:r w:rsidR="00190923" w:rsidRPr="00981405">
        <w:t xml:space="preserve"> </w:t>
      </w:r>
      <w:r w:rsidRPr="00981405">
        <w:t>for</w:t>
      </w:r>
      <w:r w:rsidR="00190923" w:rsidRPr="00981405">
        <w:t xml:space="preserve"> </w:t>
      </w:r>
      <w:r w:rsidRPr="00981405">
        <w:t>concluding</w:t>
      </w:r>
      <w:r w:rsidR="00190923" w:rsidRPr="00981405">
        <w:t xml:space="preserve"> </w:t>
      </w:r>
      <w:r w:rsidRPr="00981405">
        <w:t>that</w:t>
      </w:r>
      <w:r w:rsidR="00190923" w:rsidRPr="00981405">
        <w:t xml:space="preserve"> </w:t>
      </w:r>
      <w:r w:rsidRPr="00981405">
        <w:t>there</w:t>
      </w:r>
      <w:r w:rsidR="00190923" w:rsidRPr="00981405">
        <w:t xml:space="preserve"> </w:t>
      </w:r>
      <w:r w:rsidRPr="00981405">
        <w:t>will</w:t>
      </w:r>
      <w:r w:rsidR="00190923" w:rsidRPr="00981405">
        <w:t xml:space="preserve"> </w:t>
      </w:r>
      <w:r w:rsidRPr="00981405">
        <w:t>be</w:t>
      </w:r>
      <w:r w:rsidR="00190923" w:rsidRPr="00981405">
        <w:t xml:space="preserve"> </w:t>
      </w:r>
      <w:r w:rsidRPr="00981405">
        <w:t>a</w:t>
      </w:r>
      <w:r w:rsidR="00190923" w:rsidRPr="00981405">
        <w:t xml:space="preserve"> </w:t>
      </w:r>
      <w:r w:rsidRPr="00981405">
        <w:t>single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applicable</w:t>
      </w:r>
      <w:r w:rsidR="00190923" w:rsidRPr="00981405">
        <w:t xml:space="preserve"> </w:t>
      </w:r>
      <w:r w:rsidRPr="00981405">
        <w:t>across</w:t>
      </w:r>
      <w:r w:rsidR="00190923" w:rsidRPr="00981405">
        <w:t xml:space="preserve"> </w:t>
      </w:r>
      <w:r w:rsidRPr="00981405">
        <w:t>all</w:t>
      </w:r>
      <w:r w:rsidR="00190923" w:rsidRPr="00981405">
        <w:t xml:space="preserve"> </w:t>
      </w:r>
      <w:r w:rsidRPr="00981405">
        <w:t>investment</w:t>
      </w:r>
      <w:r w:rsidR="00190923" w:rsidRPr="00981405">
        <w:t xml:space="preserve"> </w:t>
      </w:r>
      <w:r w:rsidRPr="00981405">
        <w:t>agreements.</w:t>
      </w:r>
    </w:p>
    <w:p w:rsidR="00BF6F4D" w:rsidRPr="00D97463" w:rsidRDefault="00BF6F4D" w:rsidP="00D97463">
      <w:pPr>
        <w:pStyle w:val="SingleTxt"/>
        <w:spacing w:after="0" w:line="120" w:lineRule="exact"/>
        <w:rPr>
          <w:sz w:val="10"/>
        </w:rPr>
      </w:pPr>
    </w:p>
    <w:p w:rsidR="00BF6F4D" w:rsidRPr="00D97463" w:rsidRDefault="00BF6F4D" w:rsidP="00D97463">
      <w:pPr>
        <w:pStyle w:val="SingleTxt"/>
        <w:spacing w:after="0" w:line="120" w:lineRule="exact"/>
        <w:rPr>
          <w:sz w:val="10"/>
        </w:rPr>
      </w:pPr>
    </w:p>
    <w:p w:rsidR="00397032" w:rsidRPr="00D97463" w:rsidRDefault="00397032" w:rsidP="00D97463">
      <w:pPr>
        <w:pStyle w:val="H1"/>
        <w:ind w:right="1260"/>
      </w:pPr>
      <w:bookmarkStart w:id="289" w:name="_Toc293434181"/>
      <w:bookmarkStart w:id="290" w:name="_Toc294353694"/>
      <w:r w:rsidRPr="00D97463">
        <w:tab/>
      </w:r>
      <w:bookmarkStart w:id="291" w:name="_Toc427938194"/>
      <w:r w:rsidRPr="00D97463">
        <w:t>B.</w:t>
      </w:r>
      <w:r w:rsidR="00190923" w:rsidRPr="00D97463">
        <w:t xml:space="preserve"> </w:t>
      </w:r>
      <w:r w:rsidRPr="00D97463">
        <w:tab/>
        <w:t>Investment</w:t>
      </w:r>
      <w:r w:rsidR="00190923" w:rsidRPr="00D97463">
        <w:t xml:space="preserve"> </w:t>
      </w:r>
      <w:r w:rsidRPr="00D97463">
        <w:t>dispute</w:t>
      </w:r>
      <w:r w:rsidR="00190923" w:rsidRPr="00D97463">
        <w:t xml:space="preserve"> </w:t>
      </w:r>
      <w:r w:rsidRPr="00D97463">
        <w:t>settlement</w:t>
      </w:r>
      <w:r w:rsidR="00190923" w:rsidRPr="00D97463">
        <w:t xml:space="preserve"> </w:t>
      </w:r>
      <w:r w:rsidRPr="00D97463">
        <w:t>arbitration</w:t>
      </w:r>
      <w:r w:rsidR="00190923" w:rsidRPr="00D97463">
        <w:t xml:space="preserve"> </w:t>
      </w:r>
      <w:r w:rsidRPr="00D97463">
        <w:t>as</w:t>
      </w:r>
      <w:r w:rsidR="00190923" w:rsidRPr="00D97463">
        <w:t xml:space="preserve"> </w:t>
      </w:r>
      <w:r w:rsidR="00B92E2C" w:rsidRPr="00D97463">
        <w:t>“</w:t>
      </w:r>
      <w:r w:rsidRPr="00D97463">
        <w:t>mixed</w:t>
      </w:r>
      <w:r w:rsidR="00190923" w:rsidRPr="00D97463">
        <w:t xml:space="preserve"> </w:t>
      </w:r>
      <w:r w:rsidRPr="00D97463">
        <w:t>arbitration</w:t>
      </w:r>
      <w:bookmarkEnd w:id="289"/>
      <w:bookmarkEnd w:id="290"/>
      <w:bookmarkEnd w:id="291"/>
      <w:r w:rsidR="00B92E2C" w:rsidRPr="00D97463">
        <w:t>”</w:t>
      </w:r>
    </w:p>
    <w:p w:rsidR="00397032" w:rsidRPr="00D97463" w:rsidRDefault="00397032" w:rsidP="00D97463">
      <w:pPr>
        <w:pStyle w:val="SingleTxt"/>
        <w:spacing w:after="0" w:line="120" w:lineRule="exact"/>
        <w:rPr>
          <w:sz w:val="10"/>
        </w:rPr>
      </w:pPr>
    </w:p>
    <w:p w:rsidR="00BF6F4D" w:rsidRPr="00D97463" w:rsidRDefault="00BF6F4D" w:rsidP="00D97463">
      <w:pPr>
        <w:pStyle w:val="SingleTxt"/>
        <w:spacing w:after="0" w:line="120" w:lineRule="exact"/>
        <w:rPr>
          <w:sz w:val="10"/>
        </w:rPr>
      </w:pPr>
    </w:p>
    <w:p w:rsidR="00397032" w:rsidRPr="00981405" w:rsidRDefault="00397032" w:rsidP="00D97463">
      <w:pPr>
        <w:pStyle w:val="SingleTxt"/>
      </w:pPr>
      <w:r w:rsidRPr="00981405">
        <w:t>150.</w:t>
      </w:r>
      <w:r w:rsidRPr="00981405">
        <w:tab/>
        <w:t>In</w:t>
      </w:r>
      <w:r w:rsidR="00190923" w:rsidRPr="00981405">
        <w:t xml:space="preserve"> </w:t>
      </w:r>
      <w:r w:rsidRPr="00981405">
        <w:t>1978,</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envisaged</w:t>
      </w:r>
      <w:r w:rsidR="00190923" w:rsidRPr="00981405">
        <w:t xml:space="preserve"> </w:t>
      </w:r>
      <w:r w:rsidRPr="00981405">
        <w:t>that</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could</w:t>
      </w:r>
      <w:r w:rsidR="00190923" w:rsidRPr="00981405">
        <w:t xml:space="preserve"> </w:t>
      </w:r>
      <w:r w:rsidRPr="00981405">
        <w:t>not</w:t>
      </w:r>
      <w:r w:rsidR="00190923" w:rsidRPr="00981405">
        <w:t xml:space="preserve"> </w:t>
      </w:r>
      <w:r w:rsidRPr="00981405">
        <w:t>only</w:t>
      </w:r>
      <w:r w:rsidR="00190923" w:rsidRPr="00981405">
        <w:t xml:space="preserve"> </w:t>
      </w:r>
      <w:r w:rsidRPr="00981405">
        <w:t>be</w:t>
      </w:r>
      <w:r w:rsidR="00190923" w:rsidRPr="00981405">
        <w:t xml:space="preserve"> </w:t>
      </w:r>
      <w:r w:rsidRPr="00981405">
        <w:t>the</w:t>
      </w:r>
      <w:r w:rsidR="00190923" w:rsidRPr="00981405">
        <w:t xml:space="preserve"> </w:t>
      </w:r>
      <w:r w:rsidRPr="00981405">
        <w:t>State</w:t>
      </w:r>
      <w:r w:rsidR="00190923" w:rsidRPr="00981405">
        <w:t xml:space="preserve"> </w:t>
      </w:r>
      <w:r w:rsidRPr="00981405">
        <w:t>that</w:t>
      </w:r>
      <w:r w:rsidR="00190923" w:rsidRPr="00981405">
        <w:t xml:space="preserve"> </w:t>
      </w:r>
      <w:r w:rsidRPr="00981405">
        <w:t>was</w:t>
      </w:r>
      <w:r w:rsidR="00190923" w:rsidRPr="00981405">
        <w:t xml:space="preserve"> </w:t>
      </w:r>
      <w:r w:rsidRPr="00981405">
        <w:t>party</w:t>
      </w:r>
      <w:r w:rsidR="00190923" w:rsidRPr="00981405">
        <w:t xml:space="preserve"> </w:t>
      </w:r>
      <w:r w:rsidRPr="00981405">
        <w:t>to</w:t>
      </w:r>
      <w:r w:rsidR="00190923" w:rsidRPr="00981405">
        <w:t xml:space="preserve"> </w:t>
      </w:r>
      <w:r w:rsidRPr="00981405">
        <w:t>the</w:t>
      </w:r>
      <w:r w:rsidR="00190923" w:rsidRPr="00981405">
        <w:t xml:space="preserve"> </w:t>
      </w:r>
      <w:r w:rsidRPr="00981405">
        <w:t>agreement</w:t>
      </w:r>
      <w:r w:rsidR="00190923" w:rsidRPr="00981405">
        <w:t xml:space="preserve"> </w:t>
      </w:r>
      <w:r w:rsidRPr="00981405">
        <w:t>containing</w:t>
      </w:r>
      <w:r w:rsidR="00190923" w:rsidRPr="00981405">
        <w:t xml:space="preserve"> </w:t>
      </w:r>
      <w:r w:rsidRPr="00981405">
        <w:t>that</w:t>
      </w:r>
      <w:r w:rsidR="00190923" w:rsidRPr="00981405">
        <w:t xml:space="preserve"> </w:t>
      </w:r>
      <w:r w:rsidRPr="00981405">
        <w:t>provision,</w:t>
      </w:r>
      <w:r w:rsidR="00190923" w:rsidRPr="00981405">
        <w:t xml:space="preserve"> </w:t>
      </w:r>
      <w:r w:rsidRPr="00981405">
        <w:t>but</w:t>
      </w:r>
      <w:r w:rsidR="00190923" w:rsidRPr="00981405">
        <w:t xml:space="preserve"> </w:t>
      </w:r>
      <w:r w:rsidRPr="00981405">
        <w:t>could</w:t>
      </w:r>
      <w:r w:rsidR="00190923" w:rsidRPr="00981405">
        <w:t xml:space="preserve"> </w:t>
      </w:r>
      <w:r w:rsidRPr="00981405">
        <w:t>also</w:t>
      </w:r>
      <w:r w:rsidR="00190923" w:rsidRPr="00981405">
        <w:t xml:space="preserve"> </w:t>
      </w:r>
      <w:r w:rsidRPr="00981405">
        <w:t>be</w:t>
      </w:r>
      <w:r w:rsidR="00190923" w:rsidRPr="00981405">
        <w:t xml:space="preserve"> </w:t>
      </w:r>
      <w:r w:rsidR="00B92E2C" w:rsidRPr="00981405">
        <w:t>“</w:t>
      </w:r>
      <w:r w:rsidRPr="00981405">
        <w:t>persons</w:t>
      </w:r>
      <w:r w:rsidR="00190923" w:rsidRPr="00981405">
        <w:t xml:space="preserve"> </w:t>
      </w:r>
      <w:r w:rsidRPr="00981405">
        <w:t>and</w:t>
      </w:r>
      <w:r w:rsidR="00190923" w:rsidRPr="00981405">
        <w:t xml:space="preserve"> </w:t>
      </w:r>
      <w:r w:rsidRPr="00981405">
        <w:t>things</w:t>
      </w:r>
      <w:r w:rsidR="00190923" w:rsidRPr="00981405">
        <w:t xml:space="preserve"> </w:t>
      </w:r>
      <w:r w:rsidRPr="00981405">
        <w:t>in</w:t>
      </w:r>
      <w:r w:rsidR="00190923" w:rsidRPr="00981405">
        <w:t xml:space="preserve"> </w:t>
      </w:r>
      <w:r w:rsidRPr="00981405">
        <w:t>a</w:t>
      </w:r>
      <w:r w:rsidR="00190923" w:rsidRPr="00981405">
        <w:t xml:space="preserve"> </w:t>
      </w:r>
      <w:r w:rsidRPr="00981405">
        <w:t>determined</w:t>
      </w:r>
      <w:r w:rsidR="00190923" w:rsidRPr="00981405">
        <w:t xml:space="preserve"> </w:t>
      </w:r>
      <w:r w:rsidRPr="00981405">
        <w:t>relationship</w:t>
      </w:r>
      <w:r w:rsidR="00190923" w:rsidRPr="00981405">
        <w:t xml:space="preserve"> </w:t>
      </w:r>
      <w:r w:rsidRPr="00981405">
        <w:t>with</w:t>
      </w:r>
      <w:r w:rsidR="00190923" w:rsidRPr="00981405">
        <w:t xml:space="preserve"> </w:t>
      </w:r>
      <w:r w:rsidRPr="00981405">
        <w:t>that</w:t>
      </w:r>
      <w:r w:rsidR="00190923" w:rsidRPr="00981405">
        <w:t xml:space="preserve"> </w:t>
      </w:r>
      <w:r w:rsidRPr="00981405">
        <w:t>State.</w:t>
      </w:r>
      <w:r w:rsidR="00B92E2C" w:rsidRPr="00981405">
        <w:t>”</w:t>
      </w:r>
      <w:r w:rsidRPr="00981405">
        <w:rPr>
          <w:rStyle w:val="FootnoteReference"/>
        </w:rPr>
        <w:footnoteReference w:id="568"/>
      </w:r>
      <w:r w:rsidR="00190923" w:rsidRPr="00981405">
        <w:t xml:space="preserve"> </w:t>
      </w:r>
      <w:r w:rsidRPr="00981405">
        <w:t>Under</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States</w:t>
      </w:r>
      <w:r w:rsidR="00190923" w:rsidRPr="00981405">
        <w:t xml:space="preserve"> </w:t>
      </w:r>
      <w:r w:rsidRPr="00981405">
        <w:t>generally</w:t>
      </w:r>
      <w:r w:rsidR="00190923" w:rsidRPr="00981405">
        <w:t xml:space="preserve"> </w:t>
      </w:r>
      <w:r w:rsidRPr="00981405">
        <w:t>offer</w:t>
      </w:r>
      <w:r w:rsidR="00190923" w:rsidRPr="00981405">
        <w:t xml:space="preserve"> </w:t>
      </w:r>
      <w:r w:rsidRPr="00981405">
        <w:t>MFN</w:t>
      </w:r>
      <w:r w:rsidR="00190923" w:rsidRPr="00981405">
        <w:t xml:space="preserve"> </w:t>
      </w:r>
      <w:r w:rsidRPr="00981405">
        <w:t>treatment</w:t>
      </w:r>
      <w:r w:rsidR="00190923" w:rsidRPr="00981405">
        <w:t xml:space="preserve"> </w:t>
      </w:r>
      <w:r w:rsidRPr="00981405">
        <w:t>not</w:t>
      </w:r>
      <w:r w:rsidR="00190923" w:rsidRPr="00981405">
        <w:t xml:space="preserve"> </w:t>
      </w:r>
      <w:r w:rsidRPr="00981405">
        <w:t>just</w:t>
      </w:r>
      <w:r w:rsidR="00190923" w:rsidRPr="00981405">
        <w:t xml:space="preserve"> </w:t>
      </w:r>
      <w:r w:rsidRPr="00981405">
        <w:t>to</w:t>
      </w:r>
      <w:r w:rsidR="00190923" w:rsidRPr="00981405">
        <w:t xml:space="preserve"> </w:t>
      </w:r>
      <w:r w:rsidRPr="00981405">
        <w:t>the</w:t>
      </w:r>
      <w:r w:rsidR="00190923" w:rsidRPr="00981405">
        <w:t xml:space="preserve"> </w:t>
      </w:r>
      <w:r w:rsidRPr="00981405">
        <w:t>other</w:t>
      </w:r>
      <w:r w:rsidR="00190923" w:rsidRPr="00981405">
        <w:t xml:space="preserve"> </w:t>
      </w:r>
      <w:r w:rsidRPr="00981405">
        <w:t>State,</w:t>
      </w:r>
      <w:r w:rsidR="00190923" w:rsidRPr="00981405">
        <w:t xml:space="preserve"> </w:t>
      </w:r>
      <w:r w:rsidRPr="00981405">
        <w:t>but</w:t>
      </w:r>
      <w:r w:rsidR="00190923" w:rsidRPr="00981405">
        <w:t xml:space="preserve"> </w:t>
      </w:r>
      <w:r w:rsidRPr="00981405">
        <w:t>also</w:t>
      </w:r>
      <w:r w:rsidR="00190923" w:rsidRPr="00981405">
        <w:t xml:space="preserve"> </w:t>
      </w:r>
      <w:r w:rsidRPr="00981405">
        <w:t>to</w:t>
      </w:r>
      <w:r w:rsidR="00190923" w:rsidRPr="00981405">
        <w:t xml:space="preserve"> </w:t>
      </w:r>
      <w:r w:rsidRPr="00981405">
        <w:t>investors</w:t>
      </w:r>
      <w:r w:rsidR="00190923" w:rsidRPr="00981405">
        <w:t xml:space="preserve"> </w:t>
      </w:r>
      <w:r w:rsidRPr="00981405">
        <w:t>or</w:t>
      </w:r>
      <w:r w:rsidR="00190923" w:rsidRPr="00981405">
        <w:t xml:space="preserve"> </w:t>
      </w:r>
      <w:r w:rsidRPr="00981405">
        <w:t>investments</w:t>
      </w:r>
      <w:r w:rsidR="00190923" w:rsidRPr="00981405">
        <w:t xml:space="preserve"> </w:t>
      </w:r>
      <w:r w:rsidRPr="00981405">
        <w:t>of</w:t>
      </w:r>
      <w:r w:rsidR="00190923" w:rsidRPr="00981405">
        <w:t xml:space="preserve"> </w:t>
      </w:r>
      <w:r w:rsidRPr="00981405">
        <w:t>that</w:t>
      </w:r>
      <w:r w:rsidR="00190923" w:rsidRPr="00981405">
        <w:t xml:space="preserve"> </w:t>
      </w:r>
      <w:r w:rsidRPr="00981405">
        <w:t>other</w:t>
      </w:r>
      <w:r w:rsidR="00190923" w:rsidRPr="00981405">
        <w:t xml:space="preserve"> </w:t>
      </w:r>
      <w:r w:rsidRPr="00981405">
        <w:t>State.</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at</w:t>
      </w:r>
      <w:r w:rsidR="00190923" w:rsidRPr="00981405">
        <w:t xml:space="preserve"> </w:t>
      </w:r>
      <w:r w:rsidRPr="00981405">
        <w:t>that</w:t>
      </w:r>
      <w:r w:rsidR="00190923" w:rsidRPr="00981405">
        <w:t xml:space="preserve"> </w:t>
      </w:r>
      <w:r w:rsidRPr="00981405">
        <w:t>time</w:t>
      </w:r>
      <w:r w:rsidR="00190923" w:rsidRPr="00981405">
        <w:t xml:space="preserve"> </w:t>
      </w:r>
      <w:r w:rsidRPr="00981405">
        <w:t>declined</w:t>
      </w:r>
      <w:r w:rsidR="00190923" w:rsidRPr="00981405">
        <w:t xml:space="preserve"> </w:t>
      </w:r>
      <w:r w:rsidRPr="00981405">
        <w:t>to</w:t>
      </w:r>
      <w:r w:rsidR="00190923" w:rsidRPr="00981405">
        <w:t xml:space="preserve"> </w:t>
      </w:r>
      <w:r w:rsidRPr="00981405">
        <w:t>consider</w:t>
      </w:r>
      <w:r w:rsidR="00190923" w:rsidRPr="00981405">
        <w:t xml:space="preserve"> </w:t>
      </w:r>
      <w:r w:rsidRPr="00981405">
        <w:t>further</w:t>
      </w:r>
      <w:r w:rsidR="00190923" w:rsidRPr="00981405">
        <w:t xml:space="preserve"> </w:t>
      </w:r>
      <w:r w:rsidRPr="00981405">
        <w:t>the</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being</w:t>
      </w:r>
      <w:r w:rsidR="00190923" w:rsidRPr="00981405">
        <w:t xml:space="preserve"> </w:t>
      </w:r>
      <w:r w:rsidRPr="00981405">
        <w:t>a</w:t>
      </w:r>
      <w:r w:rsidR="00190923" w:rsidRPr="00981405">
        <w:t xml:space="preserve"> </w:t>
      </w:r>
      <w:r w:rsidRPr="00981405">
        <w:t>person,</w:t>
      </w:r>
      <w:r w:rsidR="00190923" w:rsidRPr="00981405">
        <w:t xml:space="preserve"> </w:t>
      </w:r>
      <w:r w:rsidRPr="00981405">
        <w:t>taking</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since</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did</w:t>
      </w:r>
      <w:r w:rsidR="00190923" w:rsidRPr="00981405">
        <w:t xml:space="preserve"> </w:t>
      </w:r>
      <w:r w:rsidRPr="00981405">
        <w:t>not</w:t>
      </w:r>
      <w:r w:rsidR="00190923" w:rsidRPr="00981405">
        <w:t xml:space="preserve"> </w:t>
      </w:r>
      <w:r w:rsidRPr="00981405">
        <w:t>deal</w:t>
      </w:r>
      <w:r w:rsidR="00190923" w:rsidRPr="00981405">
        <w:t xml:space="preserve"> </w:t>
      </w:r>
      <w:r w:rsidRPr="00981405">
        <w:t>with</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treaties</w:t>
      </w:r>
      <w:r w:rsidR="00190923" w:rsidRPr="00981405">
        <w:t xml:space="preserve"> </w:t>
      </w:r>
      <w:r w:rsidRPr="00981405">
        <w:t>to</w:t>
      </w:r>
      <w:r w:rsidR="00190923" w:rsidRPr="00981405">
        <w:t xml:space="preserve"> </w:t>
      </w:r>
      <w:r w:rsidRPr="00981405">
        <w:t>individuals,</w:t>
      </w:r>
      <w:r w:rsidR="00190923" w:rsidRPr="00981405">
        <w:t xml:space="preserve"> </w:t>
      </w:r>
      <w:r w:rsidRPr="00981405">
        <w:t>it</w:t>
      </w:r>
      <w:r w:rsidR="00190923" w:rsidRPr="00981405">
        <w:t xml:space="preserve"> </w:t>
      </w:r>
      <w:r w:rsidRPr="00981405">
        <w:t>would</w:t>
      </w:r>
      <w:r w:rsidR="00190923" w:rsidRPr="00981405">
        <w:t xml:space="preserve"> </w:t>
      </w:r>
      <w:r w:rsidRPr="00981405">
        <w:t>not</w:t>
      </w:r>
      <w:r w:rsidR="00190923" w:rsidRPr="00981405">
        <w:t xml:space="preserve"> </w:t>
      </w:r>
      <w:r w:rsidRPr="00981405">
        <w:t>pursue</w:t>
      </w:r>
      <w:r w:rsidR="00190923" w:rsidRPr="00981405">
        <w:t xml:space="preserve"> </w:t>
      </w:r>
      <w:r w:rsidRPr="00981405">
        <w:t>that</w:t>
      </w:r>
      <w:r w:rsidR="00190923" w:rsidRPr="00981405">
        <w:t xml:space="preserve"> </w:t>
      </w:r>
      <w:r w:rsidRPr="00981405">
        <w:t>question.</w:t>
      </w:r>
    </w:p>
    <w:p w:rsidR="00397032" w:rsidRPr="00981405" w:rsidRDefault="00397032" w:rsidP="00D97463">
      <w:pPr>
        <w:pStyle w:val="SingleTxt"/>
      </w:pPr>
      <w:r w:rsidRPr="00981405">
        <w:t>151.</w:t>
      </w:r>
      <w:r w:rsidRPr="00981405">
        <w:tab/>
        <w:t>In</w:t>
      </w:r>
      <w:r w:rsidR="00190923" w:rsidRPr="00981405">
        <w:t xml:space="preserve"> </w:t>
      </w:r>
      <w:r w:rsidRPr="00981405">
        <w:t>practical</w:t>
      </w:r>
      <w:r w:rsidR="00190923" w:rsidRPr="00981405">
        <w:t xml:space="preserve"> </w:t>
      </w:r>
      <w:r w:rsidRPr="00981405">
        <w:t>terms,</w:t>
      </w:r>
      <w:r w:rsidR="00190923" w:rsidRPr="00981405">
        <w:t xml:space="preserve"> </w:t>
      </w:r>
      <w:r w:rsidRPr="00981405">
        <w:t>however,</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were</w:t>
      </w:r>
      <w:r w:rsidR="00190923" w:rsidRPr="00981405">
        <w:t xml:space="preserve"> </w:t>
      </w:r>
      <w:r w:rsidRPr="00981405">
        <w:t>elaborated</w:t>
      </w:r>
      <w:r w:rsidR="00190923" w:rsidRPr="00981405">
        <w:t xml:space="preserve"> </w:t>
      </w:r>
      <w:r w:rsidRPr="00981405">
        <w:t>there</w:t>
      </w:r>
      <w:r w:rsidR="00190923" w:rsidRPr="00981405">
        <w:t xml:space="preserve"> </w:t>
      </w:r>
      <w:r w:rsidRPr="00981405">
        <w:t>was</w:t>
      </w:r>
      <w:r w:rsidR="00190923" w:rsidRPr="00981405">
        <w:t xml:space="preserve"> </w:t>
      </w:r>
      <w:r w:rsidRPr="00981405">
        <w:t>very</w:t>
      </w:r>
      <w:r w:rsidR="00190923" w:rsidRPr="00981405">
        <w:t xml:space="preserve"> </w:t>
      </w:r>
      <w:r w:rsidRPr="00981405">
        <w:t>little</w:t>
      </w:r>
      <w:r w:rsidR="00190923" w:rsidRPr="00981405">
        <w:t xml:space="preserve"> </w:t>
      </w:r>
      <w:r w:rsidRPr="00981405">
        <w:t>practice</w:t>
      </w:r>
      <w:r w:rsidR="00190923" w:rsidRPr="00981405">
        <w:t xml:space="preserve"> </w:t>
      </w:r>
      <w:r w:rsidRPr="00981405">
        <w:t>to</w:t>
      </w:r>
      <w:r w:rsidR="00190923" w:rsidRPr="00981405">
        <w:t xml:space="preserve"> </w:t>
      </w:r>
      <w:r w:rsidRPr="00981405">
        <w:t>consider</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individuals</w:t>
      </w:r>
      <w:r w:rsidR="00190923" w:rsidRPr="00981405">
        <w:t xml:space="preserve"> </w:t>
      </w:r>
      <w:r w:rsidRPr="00981405">
        <w:t>as</w:t>
      </w:r>
      <w:r w:rsidR="00190923" w:rsidRPr="00981405">
        <w:t xml:space="preserve"> </w:t>
      </w:r>
      <w:r w:rsidRPr="00981405">
        <w:t>beneficiaries.</w:t>
      </w:r>
      <w:r w:rsidR="00190923" w:rsidRPr="00981405">
        <w:t xml:space="preserve"> </w:t>
      </w:r>
      <w:r w:rsidRPr="00981405">
        <w:t>Enforcement</w:t>
      </w:r>
      <w:r w:rsidR="00190923" w:rsidRPr="00981405">
        <w:t xml:space="preserve"> </w:t>
      </w:r>
      <w:r w:rsidRPr="00981405">
        <w:t>of</w:t>
      </w:r>
      <w:r w:rsidR="00190923" w:rsidRPr="00981405">
        <w:t xml:space="preserve"> </w:t>
      </w:r>
      <w:r w:rsidRPr="00981405">
        <w:t>the</w:t>
      </w:r>
      <w:r w:rsidR="00190923" w:rsidRPr="00981405">
        <w:t xml:space="preserve"> </w:t>
      </w:r>
      <w:r w:rsidRPr="00981405">
        <w:t>obligation</w:t>
      </w:r>
      <w:r w:rsidR="00190923" w:rsidRPr="00981405">
        <w:t xml:space="preserve"> </w:t>
      </w:r>
      <w:r w:rsidRPr="00981405">
        <w:t>to</w:t>
      </w:r>
      <w:r w:rsidR="00190923" w:rsidRPr="00981405">
        <w:t xml:space="preserve"> </w:t>
      </w:r>
      <w:r w:rsidRPr="00981405">
        <w:t>provide</w:t>
      </w:r>
      <w:r w:rsidR="00190923" w:rsidRPr="00981405">
        <w:t xml:space="preserve"> </w:t>
      </w:r>
      <w:r w:rsidRPr="00981405">
        <w:t>MFN</w:t>
      </w:r>
      <w:r w:rsidR="00190923" w:rsidRPr="00981405">
        <w:t xml:space="preserve"> </w:t>
      </w:r>
      <w:r w:rsidRPr="00981405">
        <w:t>treatment</w:t>
      </w:r>
      <w:r w:rsidR="00190923" w:rsidRPr="00981405">
        <w:t xml:space="preserve"> </w:t>
      </w:r>
      <w:r w:rsidRPr="00981405">
        <w:t>against</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190923" w:rsidRPr="00981405">
        <w:t xml:space="preserve"> </w:t>
      </w:r>
      <w:r w:rsidRPr="00981405">
        <w:t>lay</w:t>
      </w:r>
      <w:r w:rsidR="00190923" w:rsidRPr="00981405">
        <w:t xml:space="preserve"> </w:t>
      </w:r>
      <w:r w:rsidRPr="00981405">
        <w:t>with</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State.</w:t>
      </w:r>
      <w:r w:rsidR="00190923" w:rsidRPr="00981405">
        <w:t xml:space="preserve"> </w:t>
      </w:r>
      <w:r w:rsidRPr="00981405">
        <w:t>Failure</w:t>
      </w:r>
      <w:r w:rsidR="00190923" w:rsidRPr="00981405">
        <w:t xml:space="preserve"> </w:t>
      </w:r>
      <w:r w:rsidRPr="00981405">
        <w:t>to</w:t>
      </w:r>
      <w:r w:rsidR="00190923" w:rsidRPr="00981405">
        <w:t xml:space="preserve"> </w:t>
      </w:r>
      <w:r w:rsidRPr="00981405">
        <w:t>provide</w:t>
      </w:r>
      <w:r w:rsidR="00190923" w:rsidRPr="00981405">
        <w:t xml:space="preserve"> </w:t>
      </w:r>
      <w:r w:rsidRPr="00981405">
        <w:t>MFN</w:t>
      </w:r>
      <w:r w:rsidR="00190923" w:rsidRPr="00981405">
        <w:t xml:space="preserve"> </w:t>
      </w:r>
      <w:r w:rsidRPr="00981405">
        <w:t>treatment</w:t>
      </w:r>
      <w:r w:rsidR="00190923" w:rsidRPr="00981405">
        <w:t xml:space="preserve"> </w:t>
      </w:r>
      <w:r w:rsidRPr="00981405">
        <w:t>would</w:t>
      </w:r>
      <w:r w:rsidR="00190923" w:rsidRPr="00981405">
        <w:t xml:space="preserve"> </w:t>
      </w:r>
      <w:r w:rsidRPr="00981405">
        <w:t>be</w:t>
      </w:r>
      <w:r w:rsidR="00190923" w:rsidRPr="00981405">
        <w:t xml:space="preserve"> </w:t>
      </w:r>
      <w:r w:rsidRPr="00981405">
        <w:t>a</w:t>
      </w:r>
      <w:r w:rsidR="00190923" w:rsidRPr="00981405">
        <w:t xml:space="preserve"> </w:t>
      </w:r>
      <w:r w:rsidRPr="00981405">
        <w:t>treaty</w:t>
      </w:r>
      <w:r w:rsidR="00190923" w:rsidRPr="00981405">
        <w:t xml:space="preserve"> </w:t>
      </w:r>
      <w:r w:rsidRPr="00981405">
        <w:t>breach</w:t>
      </w:r>
      <w:r w:rsidR="00190923" w:rsidRPr="00981405">
        <w:t xml:space="preserve"> </w:t>
      </w:r>
      <w:r w:rsidRPr="00981405">
        <w:t>and,</w:t>
      </w:r>
      <w:r w:rsidR="00190923" w:rsidRPr="00981405">
        <w:t xml:space="preserve"> </w:t>
      </w:r>
      <w:r w:rsidRPr="00981405">
        <w:t>provided</w:t>
      </w:r>
      <w:r w:rsidR="00190923" w:rsidRPr="00981405">
        <w:t xml:space="preserve"> </w:t>
      </w:r>
      <w:r w:rsidRPr="00981405">
        <w:t>there</w:t>
      </w:r>
      <w:r w:rsidR="00190923" w:rsidRPr="00981405">
        <w:t xml:space="preserve"> </w:t>
      </w:r>
      <w:r w:rsidRPr="00981405">
        <w:t>was</w:t>
      </w:r>
      <w:r w:rsidR="00190923" w:rsidRPr="00981405">
        <w:t xml:space="preserve"> </w:t>
      </w:r>
      <w:r w:rsidRPr="00981405">
        <w:t>a</w:t>
      </w:r>
      <w:r w:rsidR="00190923" w:rsidRPr="00981405">
        <w:t xml:space="preserve"> </w:t>
      </w:r>
      <w:r w:rsidRPr="00981405">
        <w:t>forum</w:t>
      </w:r>
      <w:r w:rsidR="00190923" w:rsidRPr="00981405">
        <w:t xml:space="preserve"> </w:t>
      </w:r>
      <w:r w:rsidRPr="00981405">
        <w:t>in</w:t>
      </w:r>
      <w:r w:rsidR="00190923" w:rsidRPr="00981405">
        <w:t xml:space="preserve"> </w:t>
      </w:r>
      <w:r w:rsidRPr="00981405">
        <w:t>which</w:t>
      </w:r>
      <w:r w:rsidR="00190923" w:rsidRPr="00981405">
        <w:t xml:space="preserve"> </w:t>
      </w:r>
      <w:r w:rsidRPr="00981405">
        <w:t>to</w:t>
      </w:r>
      <w:r w:rsidR="00190923" w:rsidRPr="00981405">
        <w:t xml:space="preserve"> </w:t>
      </w:r>
      <w:r w:rsidRPr="00981405">
        <w:t>do</w:t>
      </w:r>
      <w:r w:rsidR="00190923" w:rsidRPr="00981405">
        <w:t xml:space="preserve"> </w:t>
      </w:r>
      <w:r w:rsidRPr="00981405">
        <w:t>so,</w:t>
      </w:r>
      <w:r w:rsidR="00190923" w:rsidRPr="00981405">
        <w:t xml:space="preserve"> </w:t>
      </w:r>
      <w:r w:rsidRPr="00981405">
        <w:t>a</w:t>
      </w:r>
      <w:r w:rsidR="00190923" w:rsidRPr="00981405">
        <w:t xml:space="preserve"> </w:t>
      </w:r>
      <w:r w:rsidRPr="00981405">
        <w:t>state-to-state</w:t>
      </w:r>
      <w:r w:rsidR="00190923" w:rsidRPr="00981405">
        <w:t xml:space="preserve"> </w:t>
      </w:r>
      <w:r w:rsidRPr="00981405">
        <w:t>claim</w:t>
      </w:r>
      <w:r w:rsidR="00190923" w:rsidRPr="00981405">
        <w:t xml:space="preserve"> </w:t>
      </w:r>
      <w:r w:rsidRPr="00981405">
        <w:t>could</w:t>
      </w:r>
      <w:r w:rsidR="00190923" w:rsidRPr="00981405">
        <w:t xml:space="preserve"> </w:t>
      </w:r>
      <w:r w:rsidRPr="00981405">
        <w:t>be</w:t>
      </w:r>
      <w:r w:rsidR="00190923" w:rsidRPr="00981405">
        <w:t xml:space="preserve"> </w:t>
      </w:r>
      <w:r w:rsidRPr="00981405">
        <w:t>brought.</w:t>
      </w:r>
      <w:r w:rsidR="00190923" w:rsidRPr="00981405">
        <w:t xml:space="preserve"> </w:t>
      </w:r>
      <w:r w:rsidRPr="00981405">
        <w:t>There</w:t>
      </w:r>
      <w:r w:rsidR="00190923" w:rsidRPr="00981405">
        <w:t xml:space="preserve"> </w:t>
      </w:r>
      <w:r w:rsidRPr="00981405">
        <w:t>was</w:t>
      </w:r>
      <w:r w:rsidR="00190923" w:rsidRPr="00981405">
        <w:t xml:space="preserve"> </w:t>
      </w:r>
      <w:r w:rsidRPr="00981405">
        <w:t>no</w:t>
      </w:r>
      <w:r w:rsidR="00190923" w:rsidRPr="00981405">
        <w:t xml:space="preserve"> </w:t>
      </w:r>
      <w:r w:rsidRPr="00981405">
        <w:t>international</w:t>
      </w:r>
      <w:r w:rsidR="00190923" w:rsidRPr="00981405">
        <w:t xml:space="preserve"> </w:t>
      </w:r>
      <w:r w:rsidRPr="00981405">
        <w:t>forum</w:t>
      </w:r>
      <w:r w:rsidR="00190923" w:rsidRPr="00981405">
        <w:t xml:space="preserve"> </w:t>
      </w:r>
      <w:r w:rsidRPr="00981405">
        <w:t>for</w:t>
      </w:r>
      <w:r w:rsidR="00190923" w:rsidRPr="00981405">
        <w:t xml:space="preserve"> </w:t>
      </w:r>
      <w:r w:rsidRPr="00981405">
        <w:t>access</w:t>
      </w:r>
      <w:r w:rsidR="00190923" w:rsidRPr="00981405">
        <w:t xml:space="preserve"> </w:t>
      </w:r>
      <w:r w:rsidRPr="00981405">
        <w:t>by</w:t>
      </w:r>
      <w:r w:rsidR="00190923" w:rsidRPr="00981405">
        <w:t xml:space="preserve"> </w:t>
      </w:r>
      <w:r w:rsidRPr="00981405">
        <w:t>an</w:t>
      </w:r>
      <w:r w:rsidR="00190923" w:rsidRPr="00981405">
        <w:t xml:space="preserve"> </w:t>
      </w:r>
      <w:r w:rsidRPr="00981405">
        <w:t>investor</w:t>
      </w:r>
      <w:r w:rsidR="00190923" w:rsidRPr="00981405">
        <w:t xml:space="preserve"> </w:t>
      </w:r>
      <w:r w:rsidRPr="00981405">
        <w:t>against</w:t>
      </w:r>
      <w:r w:rsidR="00190923" w:rsidRPr="00981405">
        <w:t xml:space="preserve"> </w:t>
      </w:r>
      <w:r w:rsidRPr="00981405">
        <w:t>a</w:t>
      </w:r>
      <w:r w:rsidR="00190923" w:rsidRPr="00981405">
        <w:t xml:space="preserve"> </w:t>
      </w:r>
      <w:r w:rsidRPr="00981405">
        <w:t>foreign</w:t>
      </w:r>
      <w:r w:rsidR="00190923" w:rsidRPr="00981405">
        <w:t xml:space="preserve"> </w:t>
      </w:r>
      <w:r w:rsidRPr="00981405">
        <w:t>State,</w:t>
      </w:r>
      <w:r w:rsidR="00190923" w:rsidRPr="00981405">
        <w:t xml:space="preserve"> </w:t>
      </w:r>
      <w:r w:rsidRPr="00981405">
        <w:t>although</w:t>
      </w:r>
      <w:r w:rsidR="00190923" w:rsidRPr="00981405">
        <w:t xml:space="preserve"> </w:t>
      </w:r>
      <w:r w:rsidRPr="00981405">
        <w:t>an</w:t>
      </w:r>
      <w:r w:rsidR="00190923" w:rsidRPr="00981405">
        <w:t xml:space="preserve"> </w:t>
      </w:r>
      <w:r w:rsidRPr="00981405">
        <w:t>investor</w:t>
      </w:r>
      <w:r w:rsidR="00190923" w:rsidRPr="00981405">
        <w:t xml:space="preserve"> </w:t>
      </w:r>
      <w:r w:rsidRPr="00981405">
        <w:t>might</w:t>
      </w:r>
      <w:r w:rsidR="00190923" w:rsidRPr="00981405">
        <w:t xml:space="preserve"> </w:t>
      </w:r>
      <w:r w:rsidRPr="00981405">
        <w:t>well</w:t>
      </w:r>
      <w:r w:rsidR="00190923" w:rsidRPr="00981405">
        <w:t xml:space="preserve"> </w:t>
      </w:r>
      <w:r w:rsidRPr="00981405">
        <w:t>have</w:t>
      </w:r>
      <w:r w:rsidR="00190923" w:rsidRPr="00981405">
        <w:t xml:space="preserve"> </w:t>
      </w:r>
      <w:r w:rsidRPr="00981405">
        <w:t>pursued</w:t>
      </w:r>
      <w:r w:rsidR="00190923" w:rsidRPr="00981405">
        <w:t xml:space="preserve"> </w:t>
      </w:r>
      <w:r w:rsidRPr="00981405">
        <w:t>a</w:t>
      </w:r>
      <w:r w:rsidR="00190923" w:rsidRPr="00981405">
        <w:t xml:space="preserve"> </w:t>
      </w:r>
      <w:r w:rsidRPr="00981405">
        <w:t>claim</w:t>
      </w:r>
      <w:r w:rsidR="00190923" w:rsidRPr="00981405">
        <w:t xml:space="preserve"> </w:t>
      </w:r>
      <w:r w:rsidRPr="00981405">
        <w:t>in</w:t>
      </w:r>
      <w:r w:rsidR="00190923" w:rsidRPr="00981405">
        <w:t xml:space="preserve"> </w:t>
      </w:r>
      <w:r w:rsidRPr="00981405">
        <w:t>the</w:t>
      </w:r>
      <w:r w:rsidR="00190923" w:rsidRPr="00981405">
        <w:t xml:space="preserve"> </w:t>
      </w:r>
      <w:r w:rsidRPr="00981405">
        <w:t>domestic</w:t>
      </w:r>
      <w:r w:rsidR="00190923" w:rsidRPr="00981405">
        <w:t xml:space="preserve"> </w:t>
      </w:r>
      <w:r w:rsidRPr="00981405">
        <w:t>courts</w:t>
      </w:r>
      <w:r w:rsidR="00190923" w:rsidRPr="00981405">
        <w:t xml:space="preserve"> </w:t>
      </w:r>
      <w:r w:rsidRPr="00981405">
        <w:t>of</w:t>
      </w:r>
      <w:r w:rsidR="00190923" w:rsidRPr="00981405">
        <w:t xml:space="preserve"> </w:t>
      </w:r>
      <w:r w:rsidRPr="00981405">
        <w:t>that</w:t>
      </w:r>
      <w:r w:rsidR="00190923" w:rsidRPr="00981405">
        <w:t xml:space="preserve"> </w:t>
      </w:r>
      <w:r w:rsidRPr="00981405">
        <w:t>State</w:t>
      </w:r>
      <w:r w:rsidR="00190923" w:rsidRPr="00981405">
        <w:t xml:space="preserve"> </w:t>
      </w:r>
      <w:r w:rsidRPr="00981405">
        <w:t>if</w:t>
      </w:r>
      <w:r w:rsidR="00190923" w:rsidRPr="00981405">
        <w:t xml:space="preserve"> </w:t>
      </w:r>
      <w:r w:rsidRPr="00981405">
        <w:t>the</w:t>
      </w:r>
      <w:r w:rsidR="00190923" w:rsidRPr="00981405">
        <w:t xml:space="preserve"> </w:t>
      </w:r>
      <w:r w:rsidRPr="00981405">
        <w:t>treaty</w:t>
      </w:r>
      <w:r w:rsidR="00190923" w:rsidRPr="00981405">
        <w:t xml:space="preserve"> </w:t>
      </w:r>
      <w:r w:rsidRPr="00981405">
        <w:t>obligations</w:t>
      </w:r>
      <w:r w:rsidR="00190923" w:rsidRPr="00981405">
        <w:t xml:space="preserve"> </w:t>
      </w:r>
      <w:r w:rsidRPr="00981405">
        <w:t>had</w:t>
      </w:r>
      <w:r w:rsidR="00190923" w:rsidRPr="00981405">
        <w:t xml:space="preserve"> </w:t>
      </w:r>
      <w:r w:rsidRPr="00981405">
        <w:t>been</w:t>
      </w:r>
      <w:r w:rsidR="00190923" w:rsidRPr="00981405">
        <w:t xml:space="preserve"> </w:t>
      </w:r>
      <w:r w:rsidRPr="00981405">
        <w:t>made</w:t>
      </w:r>
      <w:r w:rsidR="00190923" w:rsidRPr="00981405">
        <w:t xml:space="preserve"> </w:t>
      </w:r>
      <w:r w:rsidRPr="00981405">
        <w:t>part</w:t>
      </w:r>
      <w:r w:rsidR="00190923" w:rsidRPr="00981405">
        <w:t xml:space="preserve"> </w:t>
      </w:r>
      <w:r w:rsidRPr="00981405">
        <w:t>of</w:t>
      </w:r>
      <w:r w:rsidR="00190923" w:rsidRPr="00981405">
        <w:t xml:space="preserve"> </w:t>
      </w:r>
      <w:r w:rsidRPr="00981405">
        <w:t>domestic</w:t>
      </w:r>
      <w:r w:rsidR="00190923" w:rsidRPr="00981405">
        <w:t xml:space="preserve"> </w:t>
      </w:r>
      <w:r w:rsidRPr="00981405">
        <w:t>law,</w:t>
      </w:r>
      <w:r w:rsidR="00190923" w:rsidRPr="00981405">
        <w:t xml:space="preserve"> </w:t>
      </w:r>
      <w:r w:rsidRPr="00981405">
        <w:t>or</w:t>
      </w:r>
      <w:r w:rsidR="00190923" w:rsidRPr="00981405">
        <w:t xml:space="preserve"> </w:t>
      </w:r>
      <w:r w:rsidRPr="00981405">
        <w:t>where</w:t>
      </w:r>
      <w:r w:rsidR="00190923" w:rsidRPr="00981405">
        <w:t xml:space="preserve"> </w:t>
      </w:r>
      <w:r w:rsidRPr="00981405">
        <w:t>there</w:t>
      </w:r>
      <w:r w:rsidR="00190923" w:rsidRPr="00981405">
        <w:t xml:space="preserve"> </w:t>
      </w:r>
      <w:r w:rsidRPr="00981405">
        <w:t>was</w:t>
      </w:r>
      <w:r w:rsidR="00190923" w:rsidRPr="00981405">
        <w:t xml:space="preserve"> </w:t>
      </w:r>
      <w:r w:rsidRPr="00981405">
        <w:t>an</w:t>
      </w:r>
      <w:r w:rsidR="00190923" w:rsidRPr="00981405">
        <w:t xml:space="preserve"> </w:t>
      </w:r>
      <w:r w:rsidRPr="00981405">
        <w:t>independent</w:t>
      </w:r>
      <w:r w:rsidR="00190923" w:rsidRPr="00981405">
        <w:t xml:space="preserve"> </w:t>
      </w:r>
      <w:r w:rsidRPr="00981405">
        <w:t>right</w:t>
      </w:r>
      <w:r w:rsidR="00190923" w:rsidRPr="00981405">
        <w:t xml:space="preserve"> </w:t>
      </w:r>
      <w:r w:rsidRPr="00981405">
        <w:t>of</w:t>
      </w:r>
      <w:r w:rsidR="00190923" w:rsidRPr="00981405">
        <w:t xml:space="preserve"> </w:t>
      </w:r>
      <w:r w:rsidRPr="00981405">
        <w:t>action</w:t>
      </w:r>
      <w:r w:rsidR="00190923" w:rsidRPr="00981405">
        <w:t xml:space="preserve"> </w:t>
      </w:r>
      <w:r w:rsidRPr="00981405">
        <w:t>under</w:t>
      </w:r>
      <w:r w:rsidR="00190923" w:rsidRPr="00981405">
        <w:t xml:space="preserve"> </w:t>
      </w:r>
      <w:r w:rsidRPr="00981405">
        <w:t>domestic</w:t>
      </w:r>
      <w:r w:rsidR="00190923" w:rsidRPr="00981405">
        <w:t xml:space="preserve"> </w:t>
      </w:r>
      <w:r w:rsidRPr="00981405">
        <w:t>law.</w:t>
      </w:r>
      <w:r w:rsidR="00190923" w:rsidRPr="00981405">
        <w:t xml:space="preserve"> </w:t>
      </w:r>
      <w:r w:rsidRPr="00981405">
        <w:t>In</w:t>
      </w:r>
      <w:r w:rsidR="00190923" w:rsidRPr="00981405">
        <w:t xml:space="preserve"> </w:t>
      </w:r>
      <w:r w:rsidRPr="00981405">
        <w:t>such</w:t>
      </w:r>
      <w:r w:rsidR="00190923" w:rsidRPr="00981405">
        <w:t xml:space="preserve"> </w:t>
      </w:r>
      <w:r w:rsidRPr="00981405">
        <w:t>situations,</w:t>
      </w:r>
      <w:r w:rsidR="00190923" w:rsidRPr="00981405">
        <w:t xml:space="preserve"> </w:t>
      </w:r>
      <w:r w:rsidRPr="00981405">
        <w:t>a</w:t>
      </w:r>
      <w:r w:rsidR="00190923" w:rsidRPr="00981405">
        <w:t xml:space="preserve"> </w:t>
      </w:r>
      <w:r w:rsidRPr="00981405">
        <w:t>claim</w:t>
      </w:r>
      <w:r w:rsidR="00190923" w:rsidRPr="00981405">
        <w:t xml:space="preserve"> </w:t>
      </w:r>
      <w:r w:rsidRPr="00981405">
        <w:t>brought</w:t>
      </w:r>
      <w:r w:rsidR="00190923" w:rsidRPr="00981405">
        <w:t xml:space="preserve"> </w:t>
      </w:r>
      <w:r w:rsidRPr="00981405">
        <w:t>against</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190923" w:rsidRPr="00981405">
        <w:t xml:space="preserve"> </w:t>
      </w:r>
      <w:r w:rsidRPr="00981405">
        <w:t>in</w:t>
      </w:r>
      <w:r w:rsidR="00190923" w:rsidRPr="00981405">
        <w:t xml:space="preserve"> </w:t>
      </w:r>
      <w:r w:rsidRPr="00981405">
        <w:t>its</w:t>
      </w:r>
      <w:r w:rsidR="00190923" w:rsidRPr="00981405">
        <w:t xml:space="preserve"> </w:t>
      </w:r>
      <w:r w:rsidRPr="00981405">
        <w:t>domestic</w:t>
      </w:r>
      <w:r w:rsidR="00190923" w:rsidRPr="00981405">
        <w:t xml:space="preserve"> </w:t>
      </w:r>
      <w:r w:rsidRPr="00981405">
        <w:t>court</w:t>
      </w:r>
      <w:r w:rsidR="00190923" w:rsidRPr="00981405">
        <w:t xml:space="preserve"> </w:t>
      </w:r>
      <w:r w:rsidRPr="00981405">
        <w:t>would</w:t>
      </w:r>
      <w:r w:rsidR="00190923" w:rsidRPr="00981405">
        <w:t xml:space="preserve"> </w:t>
      </w:r>
      <w:r w:rsidRPr="00981405">
        <w:t>be</w:t>
      </w:r>
      <w:r w:rsidR="00190923" w:rsidRPr="00981405">
        <w:t xml:space="preserve"> </w:t>
      </w:r>
      <w:r w:rsidRPr="00981405">
        <w:t>based</w:t>
      </w:r>
      <w:r w:rsidR="00190923" w:rsidRPr="00981405">
        <w:t xml:space="preserve"> </w:t>
      </w:r>
      <w:r w:rsidRPr="00981405">
        <w:t>on</w:t>
      </w:r>
      <w:r w:rsidR="00190923" w:rsidRPr="00981405">
        <w:t xml:space="preserve"> </w:t>
      </w:r>
      <w:r w:rsidRPr="00981405">
        <w:t>a</w:t>
      </w:r>
      <w:r w:rsidR="00190923" w:rsidRPr="00981405">
        <w:t xml:space="preserve"> </w:t>
      </w:r>
      <w:r w:rsidRPr="00981405">
        <w:t>right</w:t>
      </w:r>
      <w:r w:rsidR="00190923" w:rsidRPr="00981405">
        <w:t xml:space="preserve"> </w:t>
      </w:r>
      <w:r w:rsidRPr="00981405">
        <w:t>derived</w:t>
      </w:r>
      <w:r w:rsidR="00190923" w:rsidRPr="00981405">
        <w:t xml:space="preserve"> </w:t>
      </w:r>
      <w:r w:rsidRPr="00981405">
        <w:t>not</w:t>
      </w:r>
      <w:r w:rsidR="00190923" w:rsidRPr="00981405">
        <w:t xml:space="preserve"> </w:t>
      </w:r>
      <w:r w:rsidRPr="00981405">
        <w:t>from</w:t>
      </w:r>
      <w:r w:rsidR="00190923" w:rsidRPr="00981405">
        <w:t xml:space="preserve"> </w:t>
      </w:r>
      <w:r w:rsidRPr="00981405">
        <w:t>the</w:t>
      </w:r>
      <w:r w:rsidR="00190923" w:rsidRPr="00981405">
        <w:t xml:space="preserve"> </w:t>
      </w:r>
      <w:r w:rsidRPr="00981405">
        <w:t>treaty</w:t>
      </w:r>
      <w:r w:rsidR="00190923" w:rsidRPr="00981405">
        <w:t xml:space="preserve"> </w:t>
      </w:r>
      <w:r w:rsidRPr="00981405">
        <w:t>but</w:t>
      </w:r>
      <w:r w:rsidR="00190923" w:rsidRPr="00981405">
        <w:t xml:space="preserve"> </w:t>
      </w:r>
      <w:r w:rsidRPr="00981405">
        <w:t>from</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B92E2C" w:rsidRPr="00981405">
        <w:t>’</w:t>
      </w:r>
      <w:r w:rsidRPr="00981405">
        <w:t>s</w:t>
      </w:r>
      <w:r w:rsidR="00190923" w:rsidRPr="00981405">
        <w:t xml:space="preserve"> </w:t>
      </w:r>
      <w:r w:rsidRPr="00981405">
        <w:t>domestic</w:t>
      </w:r>
      <w:r w:rsidR="00190923" w:rsidRPr="00981405">
        <w:t xml:space="preserve"> </w:t>
      </w:r>
      <w:r w:rsidRPr="00981405">
        <w:t>law.</w:t>
      </w:r>
    </w:p>
    <w:p w:rsidR="00397032" w:rsidRPr="00981405" w:rsidRDefault="00397032" w:rsidP="00D97463">
      <w:pPr>
        <w:pStyle w:val="SingleTxt"/>
      </w:pPr>
      <w:r w:rsidRPr="00981405">
        <w:t>152.</w:t>
      </w:r>
      <w:r w:rsidRPr="00981405">
        <w:tab/>
        <w:t>The</w:t>
      </w:r>
      <w:r w:rsidR="00190923" w:rsidRPr="00981405">
        <w:t xml:space="preserve"> </w:t>
      </w:r>
      <w:r w:rsidRPr="00981405">
        <w:t>advent</w:t>
      </w:r>
      <w:r w:rsidR="00190923" w:rsidRPr="00981405">
        <w:t xml:space="preserve"> </w:t>
      </w:r>
      <w:r w:rsidRPr="00981405">
        <w:t>of</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has</w:t>
      </w:r>
      <w:r w:rsidR="00190923" w:rsidRPr="00981405">
        <w:t xml:space="preserve"> </w:t>
      </w:r>
      <w:r w:rsidRPr="00981405">
        <w:t>brought</w:t>
      </w:r>
      <w:r w:rsidR="00190923" w:rsidRPr="00981405">
        <w:t xml:space="preserve"> </w:t>
      </w:r>
      <w:r w:rsidRPr="00981405">
        <w:t>about</w:t>
      </w:r>
      <w:r w:rsidR="00190923" w:rsidRPr="00981405">
        <w:t xml:space="preserve"> </w:t>
      </w:r>
      <w:r w:rsidRPr="00981405">
        <w:t>a</w:t>
      </w:r>
      <w:r w:rsidR="00190923" w:rsidRPr="00981405">
        <w:t xml:space="preserve"> </w:t>
      </w:r>
      <w:r w:rsidRPr="00981405">
        <w:t>major</w:t>
      </w:r>
      <w:r w:rsidR="00190923" w:rsidRPr="00981405">
        <w:t xml:space="preserve"> </w:t>
      </w:r>
      <w:r w:rsidRPr="00981405">
        <w:t>change</w:t>
      </w:r>
      <w:r w:rsidR="00190923" w:rsidRPr="00981405">
        <w:t xml:space="preserve"> </w:t>
      </w:r>
      <w:r w:rsidRPr="00981405">
        <w:t>in</w:t>
      </w:r>
      <w:r w:rsidR="00190923" w:rsidRPr="00981405">
        <w:t xml:space="preserve"> </w:t>
      </w:r>
      <w:r w:rsidRPr="00981405">
        <w:t>this</w:t>
      </w:r>
      <w:r w:rsidR="00190923" w:rsidRPr="00981405">
        <w:t xml:space="preserve"> </w:t>
      </w:r>
      <w:r w:rsidRPr="00981405">
        <w:t>respect,</w:t>
      </w:r>
      <w:r w:rsidR="00190923" w:rsidRPr="00981405">
        <w:t xml:space="preserve"> </w:t>
      </w:r>
      <w:r w:rsidRPr="00981405">
        <w:t>allowing</w:t>
      </w:r>
      <w:r w:rsidR="00190923" w:rsidRPr="00981405">
        <w:t xml:space="preserve"> </w:t>
      </w:r>
      <w:r w:rsidRPr="00981405">
        <w:t>the</w:t>
      </w:r>
      <w:r w:rsidR="00190923" w:rsidRPr="00981405">
        <w:t xml:space="preserve"> </w:t>
      </w:r>
      <w:r w:rsidRPr="00981405">
        <w:t>investor</w:t>
      </w:r>
      <w:r w:rsidR="00190923" w:rsidRPr="00981405">
        <w:t xml:space="preserve"> </w:t>
      </w:r>
      <w:r w:rsidRPr="00981405">
        <w:t>to</w:t>
      </w:r>
      <w:r w:rsidR="00190923" w:rsidRPr="00981405">
        <w:t xml:space="preserve"> </w:t>
      </w:r>
      <w:r w:rsidRPr="00981405">
        <w:t>bring</w:t>
      </w:r>
      <w:r w:rsidR="00190923" w:rsidRPr="00981405">
        <w:t xml:space="preserve"> </w:t>
      </w:r>
      <w:r w:rsidRPr="00981405">
        <w:t>a</w:t>
      </w:r>
      <w:r w:rsidR="00190923" w:rsidRPr="00981405">
        <w:t xml:space="preserve"> </w:t>
      </w:r>
      <w:r w:rsidRPr="00981405">
        <w:t>claim</w:t>
      </w:r>
      <w:r w:rsidR="00190923" w:rsidRPr="00981405">
        <w:t xml:space="preserve"> </w:t>
      </w:r>
      <w:r w:rsidRPr="00981405">
        <w:t>independently</w:t>
      </w:r>
      <w:r w:rsidR="00190923" w:rsidRPr="00981405">
        <w:t xml:space="preserve"> </w:t>
      </w:r>
      <w:r w:rsidRPr="00981405">
        <w:t>of</w:t>
      </w:r>
      <w:r w:rsidR="00190923" w:rsidRPr="00981405">
        <w:t xml:space="preserve"> </w:t>
      </w:r>
      <w:r w:rsidRPr="00981405">
        <w:t>its</w:t>
      </w:r>
      <w:r w:rsidR="00190923" w:rsidRPr="00981405">
        <w:t xml:space="preserve"> </w:t>
      </w:r>
      <w:r w:rsidRPr="00981405">
        <w:t>State,</w:t>
      </w:r>
      <w:r w:rsidR="00190923" w:rsidRPr="00981405">
        <w:t xml:space="preserve"> </w:t>
      </w:r>
      <w:r w:rsidRPr="00981405">
        <w:t>directly</w:t>
      </w:r>
      <w:r w:rsidR="00190923" w:rsidRPr="00981405">
        <w:t xml:space="preserve"> </w:t>
      </w:r>
      <w:r w:rsidRPr="00981405">
        <w:t>against</w:t>
      </w:r>
      <w:r w:rsidR="00190923" w:rsidRPr="00981405">
        <w:t xml:space="preserve"> </w:t>
      </w:r>
      <w:r w:rsidRPr="00981405">
        <w:t>the</w:t>
      </w:r>
      <w:r w:rsidR="00190923" w:rsidRPr="00981405">
        <w:t xml:space="preserve"> </w:t>
      </w:r>
      <w:r w:rsidRPr="00981405">
        <w:t>granting</w:t>
      </w:r>
      <w:r w:rsidR="00190923" w:rsidRPr="00981405">
        <w:t xml:space="preserve"> </w:t>
      </w:r>
      <w:r w:rsidRPr="00981405">
        <w:t>State,</w:t>
      </w:r>
      <w:r w:rsidR="00190923" w:rsidRPr="00981405">
        <w:t xml:space="preserve"> </w:t>
      </w:r>
      <w:r w:rsidRPr="00981405">
        <w:t>in</w:t>
      </w:r>
      <w:r w:rsidR="00190923" w:rsidRPr="00981405">
        <w:t xml:space="preserve"> </w:t>
      </w:r>
      <w:r w:rsidRPr="00981405">
        <w:t>a</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mechanism</w:t>
      </w:r>
      <w:r w:rsidR="00190923" w:rsidRPr="00981405">
        <w:t xml:space="preserve"> </w:t>
      </w:r>
      <w:r w:rsidRPr="00981405">
        <w:t>created</w:t>
      </w:r>
      <w:r w:rsidR="00190923" w:rsidRPr="00981405">
        <w:t xml:space="preserve"> </w:t>
      </w:r>
      <w:r w:rsidRPr="00981405">
        <w:t>by</w:t>
      </w:r>
      <w:r w:rsidR="00190923" w:rsidRPr="00981405">
        <w:t xml:space="preserve"> </w:t>
      </w:r>
      <w:r w:rsidRPr="00981405">
        <w:t>the</w:t>
      </w:r>
      <w:r w:rsidR="00190923" w:rsidRPr="00981405">
        <w:t xml:space="preserve"> </w:t>
      </w:r>
      <w:r w:rsidRPr="00981405">
        <w:lastRenderedPageBreak/>
        <w:t>parties</w:t>
      </w:r>
      <w:r w:rsidR="00190923" w:rsidRPr="00981405">
        <w:t xml:space="preserve"> </w:t>
      </w:r>
      <w:r w:rsidRPr="00981405">
        <w:t>in</w:t>
      </w:r>
      <w:r w:rsidR="00190923" w:rsidRPr="00981405">
        <w:t xml:space="preserve"> </w:t>
      </w:r>
      <w:r w:rsidRPr="00981405">
        <w:t>the</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The</w:t>
      </w:r>
      <w:r w:rsidR="00190923" w:rsidRPr="00981405">
        <w:t xml:space="preserve"> </w:t>
      </w:r>
      <w:r w:rsidRPr="00981405">
        <w:t>result</w:t>
      </w:r>
      <w:r w:rsidR="00190923" w:rsidRPr="00981405">
        <w:t xml:space="preserve"> </w:t>
      </w:r>
      <w:r w:rsidRPr="00981405">
        <w:t>has</w:t>
      </w:r>
      <w:r w:rsidR="00190923" w:rsidRPr="00981405">
        <w:t xml:space="preserve"> </w:t>
      </w:r>
      <w:r w:rsidRPr="00981405">
        <w:t>been</w:t>
      </w:r>
      <w:r w:rsidR="00190923" w:rsidRPr="00981405">
        <w:t xml:space="preserve"> </w:t>
      </w:r>
      <w:r w:rsidRPr="00981405">
        <w:t>that</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produced</w:t>
      </w:r>
      <w:r w:rsidR="00190923" w:rsidRPr="00981405">
        <w:t xml:space="preserve"> </w:t>
      </w:r>
      <w:r w:rsidRPr="00981405">
        <w:t>a</w:t>
      </w:r>
      <w:r w:rsidR="00190923" w:rsidRPr="00981405">
        <w:t xml:space="preserve"> </w:t>
      </w:r>
      <w:r w:rsidRPr="00981405">
        <w:t>substantial</w:t>
      </w:r>
      <w:r w:rsidR="00190923" w:rsidRPr="00981405">
        <w:t xml:space="preserve"> </w:t>
      </w:r>
      <w:r w:rsidRPr="00981405">
        <w:t>jurisprudence</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in</w:t>
      </w:r>
      <w:r w:rsidR="00190923" w:rsidRPr="00981405">
        <w:t xml:space="preserve"> </w:t>
      </w:r>
      <w:r w:rsidRPr="00981405">
        <w:t>particular</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p>
    <w:p w:rsidR="00397032" w:rsidRPr="00981405" w:rsidRDefault="00397032" w:rsidP="00D97463">
      <w:pPr>
        <w:pStyle w:val="SingleTxt"/>
      </w:pPr>
      <w:r w:rsidRPr="00981405">
        <w:t>153.</w:t>
      </w:r>
      <w:r w:rsidRPr="00981405">
        <w:tab/>
        <w:t>However,</w:t>
      </w:r>
      <w:r w:rsidR="00190923" w:rsidRPr="00981405">
        <w:t xml:space="preserve"> </w:t>
      </w:r>
      <w:r w:rsidRPr="00981405">
        <w:t>the</w:t>
      </w:r>
      <w:r w:rsidR="00190923" w:rsidRPr="00981405">
        <w:t xml:space="preserve"> </w:t>
      </w:r>
      <w:r w:rsidRPr="00981405">
        <w:t>mixed</w:t>
      </w:r>
      <w:r w:rsidR="00190923" w:rsidRPr="00981405">
        <w:t xml:space="preserve"> </w:t>
      </w:r>
      <w:r w:rsidRPr="00981405">
        <w:t>nature</w:t>
      </w:r>
      <w:r w:rsidR="00190923" w:rsidRPr="00981405">
        <w:t xml:space="preserve"> </w:t>
      </w:r>
      <w:r w:rsidRPr="00981405">
        <w:t>of</w:t>
      </w:r>
      <w:r w:rsidR="00190923" w:rsidRPr="00981405">
        <w:t xml:space="preserve"> </w:t>
      </w:r>
      <w:r w:rsidRPr="00981405">
        <w:t>investor-state</w:t>
      </w:r>
      <w:r w:rsidR="00190923" w:rsidRPr="00981405">
        <w:t xml:space="preserve"> </w:t>
      </w:r>
      <w:r w:rsidRPr="00981405">
        <w:t>arbitration</w:t>
      </w:r>
      <w:r w:rsidR="00190923" w:rsidRPr="00981405">
        <w:t xml:space="preserve"> </w:t>
      </w:r>
      <w:r w:rsidRPr="00981405">
        <w:t>poses</w:t>
      </w:r>
      <w:r w:rsidR="00190923" w:rsidRPr="00981405">
        <w:t xml:space="preserve"> </w:t>
      </w:r>
      <w:r w:rsidRPr="00981405">
        <w:t>particular</w:t>
      </w:r>
      <w:r w:rsidR="00190923" w:rsidRPr="00981405">
        <w:t xml:space="preserve"> </w:t>
      </w:r>
      <w:r w:rsidRPr="00981405">
        <w:t>challenges</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is</w:t>
      </w:r>
      <w:r w:rsidR="00190923" w:rsidRPr="00981405">
        <w:t xml:space="preserve"> </w:t>
      </w:r>
      <w:r w:rsidRPr="00981405">
        <w:t>between</w:t>
      </w:r>
      <w:r w:rsidR="00190923" w:rsidRPr="00981405">
        <w:t xml:space="preserve"> </w:t>
      </w:r>
      <w:r w:rsidRPr="00981405">
        <w:t>States</w:t>
      </w:r>
      <w:r w:rsidR="00190923" w:rsidRPr="00981405">
        <w:t xml:space="preserve"> </w:t>
      </w:r>
      <w:r w:rsidRPr="00981405">
        <w:t>and</w:t>
      </w:r>
      <w:r w:rsidR="00190923" w:rsidRPr="00981405">
        <w:t xml:space="preserve"> </w:t>
      </w:r>
      <w:r w:rsidRPr="00981405">
        <w:t>thus</w:t>
      </w:r>
      <w:r w:rsidR="00190923" w:rsidRPr="00981405">
        <w:t xml:space="preserve"> </w:t>
      </w:r>
      <w:r w:rsidRPr="00981405">
        <w:t>is</w:t>
      </w:r>
      <w:r w:rsidR="00190923" w:rsidRPr="00981405">
        <w:t xml:space="preserve"> </w:t>
      </w:r>
      <w:r w:rsidRPr="00981405">
        <w:t>a</w:t>
      </w:r>
      <w:r w:rsidR="00190923" w:rsidRPr="00981405">
        <w:t xml:space="preserve"> </w:t>
      </w:r>
      <w:r w:rsidRPr="00981405">
        <w:t>treaty.</w:t>
      </w:r>
      <w:r w:rsidR="00190923" w:rsidRPr="00981405">
        <w:t xml:space="preserve"> </w:t>
      </w:r>
      <w:r w:rsidRPr="00981405">
        <w:t>But</w:t>
      </w:r>
      <w:r w:rsidR="00190923" w:rsidRPr="00981405">
        <w:t xml:space="preserve"> </w:t>
      </w:r>
      <w:r w:rsidRPr="00981405">
        <w:t>the</w:t>
      </w:r>
      <w:r w:rsidR="00190923" w:rsidRPr="00981405">
        <w:t xml:space="preserve"> </w:t>
      </w:r>
      <w:r w:rsidRPr="00981405">
        <w:t>forum</w:t>
      </w:r>
      <w:r w:rsidR="00190923" w:rsidRPr="00981405">
        <w:t xml:space="preserve"> </w:t>
      </w:r>
      <w:r w:rsidRPr="00981405">
        <w:t>in</w:t>
      </w:r>
      <w:r w:rsidR="00190923" w:rsidRPr="00981405">
        <w:t xml:space="preserve"> </w:t>
      </w:r>
      <w:r w:rsidRPr="00981405">
        <w:t>which</w:t>
      </w:r>
      <w:r w:rsidR="00190923" w:rsidRPr="00981405">
        <w:t xml:space="preserve"> </w:t>
      </w:r>
      <w:r w:rsidRPr="00981405">
        <w:t>it</w:t>
      </w:r>
      <w:r w:rsidR="00190923" w:rsidRPr="00981405">
        <w:t xml:space="preserve"> </w:t>
      </w:r>
      <w:r w:rsidRPr="00981405">
        <w:t>is</w:t>
      </w:r>
      <w:r w:rsidR="00190923" w:rsidRPr="00981405">
        <w:t xml:space="preserve"> </w:t>
      </w:r>
      <w:r w:rsidRPr="00981405">
        <w:t>being</w:t>
      </w:r>
      <w:r w:rsidR="00190923" w:rsidRPr="00981405">
        <w:t xml:space="preserve"> </w:t>
      </w:r>
      <w:r w:rsidRPr="00981405">
        <w:t>interpreted</w:t>
      </w:r>
      <w:r w:rsidR="00190923" w:rsidRPr="00981405">
        <w:t xml:space="preserve"> </w:t>
      </w:r>
      <w:r w:rsidRPr="00981405">
        <w:t>bears</w:t>
      </w:r>
      <w:r w:rsidR="00190923" w:rsidRPr="00981405">
        <w:t xml:space="preserve"> </w:t>
      </w:r>
      <w:r w:rsidRPr="00981405">
        <w:t>some</w:t>
      </w:r>
      <w:r w:rsidR="00190923" w:rsidRPr="00981405">
        <w:t xml:space="preserve"> </w:t>
      </w:r>
      <w:r w:rsidRPr="00981405">
        <w:t>analogy</w:t>
      </w:r>
      <w:r w:rsidR="00190923" w:rsidRPr="00981405">
        <w:t xml:space="preserve"> </w:t>
      </w:r>
      <w:r w:rsidRPr="00981405">
        <w:t>with</w:t>
      </w:r>
      <w:r w:rsidR="00190923" w:rsidRPr="00981405">
        <w:t xml:space="preserve"> </w:t>
      </w:r>
      <w:r w:rsidRPr="00981405">
        <w:t>commercial</w:t>
      </w:r>
      <w:r w:rsidR="00190923" w:rsidRPr="00981405">
        <w:t xml:space="preserve"> </w:t>
      </w:r>
      <w:r w:rsidRPr="00981405">
        <w:t>arbitration,</w:t>
      </w:r>
      <w:r w:rsidR="00190923" w:rsidRPr="00981405">
        <w:t xml:space="preserve"> </w:t>
      </w:r>
      <w:r w:rsidRPr="00981405">
        <w:t>which</w:t>
      </w:r>
      <w:r w:rsidR="00190923" w:rsidRPr="00981405">
        <w:t xml:space="preserve"> </w:t>
      </w:r>
      <w:r w:rsidRPr="00981405">
        <w:t>historically</w:t>
      </w:r>
      <w:r w:rsidR="00190923" w:rsidRPr="00981405">
        <w:t xml:space="preserve"> </w:t>
      </w:r>
      <w:r w:rsidRPr="00981405">
        <w:t>is</w:t>
      </w:r>
      <w:r w:rsidR="00190923" w:rsidRPr="00981405">
        <w:t xml:space="preserve"> </w:t>
      </w:r>
      <w:r w:rsidRPr="00981405">
        <w:t>a</w:t>
      </w:r>
      <w:r w:rsidR="00190923" w:rsidRPr="00981405">
        <w:t xml:space="preserve"> </w:t>
      </w:r>
      <w:r w:rsidRPr="00981405">
        <w:t>private</w:t>
      </w:r>
      <w:r w:rsidR="00190923" w:rsidRPr="00981405">
        <w:t xml:space="preserve"> </w:t>
      </w:r>
      <w:r w:rsidRPr="00981405">
        <w:t>rather</w:t>
      </w:r>
      <w:r w:rsidR="00190923" w:rsidRPr="00981405">
        <w:t xml:space="preserve"> </w:t>
      </w:r>
      <w:r w:rsidRPr="00981405">
        <w:t>than</w:t>
      </w:r>
      <w:r w:rsidR="00190923" w:rsidRPr="00981405">
        <w:t xml:space="preserve"> </w:t>
      </w:r>
      <w:r w:rsidRPr="00981405">
        <w:t>a</w:t>
      </w:r>
      <w:r w:rsidR="00190923" w:rsidRPr="00981405">
        <w:t xml:space="preserve"> </w:t>
      </w:r>
      <w:r w:rsidRPr="00981405">
        <w:t>public</w:t>
      </w:r>
      <w:r w:rsidR="00190923" w:rsidRPr="00981405">
        <w:t xml:space="preserve"> </w:t>
      </w:r>
      <w:r w:rsidRPr="00981405">
        <w:t>law</w:t>
      </w:r>
      <w:r w:rsidR="00190923" w:rsidRPr="00981405">
        <w:t xml:space="preserve"> </w:t>
      </w:r>
      <w:r w:rsidRPr="00981405">
        <w:t>institution.</w:t>
      </w:r>
      <w:r w:rsidR="00190923" w:rsidRPr="00981405">
        <w:t xml:space="preserve"> </w:t>
      </w:r>
      <w:r w:rsidRPr="00981405">
        <w:t>Thus,</w:t>
      </w:r>
      <w:r w:rsidR="00190923" w:rsidRPr="00981405">
        <w:t xml:space="preserve"> </w:t>
      </w:r>
      <w:r w:rsidRPr="00981405">
        <w:t>whether</w:t>
      </w:r>
      <w:r w:rsidR="00190923" w:rsidRPr="00981405">
        <w:t xml:space="preserve"> </w:t>
      </w:r>
      <w:r w:rsidRPr="00981405">
        <w:t>an</w:t>
      </w:r>
      <w:r w:rsidR="00190923" w:rsidRPr="00981405">
        <w:t xml:space="preserve"> </w:t>
      </w:r>
      <w:r w:rsidRPr="00981405">
        <w:t>interpreter</w:t>
      </w:r>
      <w:r w:rsidR="00190923" w:rsidRPr="00981405">
        <w:t xml:space="preserve"> </w:t>
      </w:r>
      <w:r w:rsidRPr="00981405">
        <w:t>views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as</w:t>
      </w:r>
      <w:r w:rsidR="00190923" w:rsidRPr="00981405">
        <w:t xml:space="preserve"> </w:t>
      </w:r>
      <w:r w:rsidRPr="00981405">
        <w:t>an</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instrument</w:t>
      </w:r>
      <w:r w:rsidR="00190923" w:rsidRPr="00981405">
        <w:t xml:space="preserve"> </w:t>
      </w:r>
      <w:r w:rsidRPr="00981405">
        <w:t>rather</w:t>
      </w:r>
      <w:r w:rsidR="00190923" w:rsidRPr="00981405">
        <w:t xml:space="preserve"> </w:t>
      </w:r>
      <w:r w:rsidRPr="00981405">
        <w:t>than</w:t>
      </w:r>
      <w:r w:rsidR="00190923" w:rsidRPr="00981405">
        <w:t xml:space="preserve"> </w:t>
      </w:r>
      <w:r w:rsidRPr="00981405">
        <w:t>as</w:t>
      </w:r>
      <w:r w:rsidR="00190923" w:rsidRPr="00981405">
        <w:t xml:space="preserve"> </w:t>
      </w:r>
      <w:r w:rsidRPr="00981405">
        <w:t>a</w:t>
      </w:r>
      <w:r w:rsidR="00190923" w:rsidRPr="00981405">
        <w:t xml:space="preserve"> </w:t>
      </w:r>
      <w:r w:rsidRPr="00981405">
        <w:t>contractual</w:t>
      </w:r>
      <w:r w:rsidR="00190923" w:rsidRPr="00981405">
        <w:t xml:space="preserve"> </w:t>
      </w:r>
      <w:r w:rsidRPr="00981405">
        <w:t>arrangement</w:t>
      </w:r>
      <w:r w:rsidR="00190923" w:rsidRPr="00981405">
        <w:t xml:space="preserve"> </w:t>
      </w:r>
      <w:r w:rsidRPr="00981405">
        <w:t>may</w:t>
      </w:r>
      <w:r w:rsidR="00190923" w:rsidRPr="00981405">
        <w:t xml:space="preserve"> </w:t>
      </w:r>
      <w:r w:rsidRPr="00981405">
        <w:t>have</w:t>
      </w:r>
      <w:r w:rsidR="00190923" w:rsidRPr="00981405">
        <w:t xml:space="preserve"> </w:t>
      </w:r>
      <w:r w:rsidRPr="00981405">
        <w:t>an</w:t>
      </w:r>
      <w:r w:rsidR="00190923" w:rsidRPr="00981405">
        <w:t xml:space="preserve"> </w:t>
      </w:r>
      <w:r w:rsidRPr="00981405">
        <w:t>impact</w:t>
      </w:r>
      <w:r w:rsidR="00190923" w:rsidRPr="00981405">
        <w:t xml:space="preserve"> </w:t>
      </w:r>
      <w:r w:rsidRPr="00981405">
        <w:t>on</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will</w:t>
      </w:r>
      <w:r w:rsidR="00190923" w:rsidRPr="00981405">
        <w:t xml:space="preserve"> </w:t>
      </w:r>
      <w:r w:rsidRPr="00981405">
        <w:t>be</w:t>
      </w:r>
      <w:r w:rsidR="00190923" w:rsidRPr="00981405">
        <w:t xml:space="preserve"> </w:t>
      </w:r>
      <w:r w:rsidRPr="00981405">
        <w:t>interpreted.</w:t>
      </w:r>
    </w:p>
    <w:p w:rsidR="00397032" w:rsidRPr="00981405" w:rsidRDefault="00397032" w:rsidP="00E477DA">
      <w:pPr>
        <w:pStyle w:val="SingleTxt"/>
      </w:pPr>
      <w:r w:rsidRPr="00981405">
        <w:t>154.</w:t>
      </w:r>
      <w:r w:rsidRPr="00981405">
        <w:tab/>
        <w:t>Questions</w:t>
      </w:r>
      <w:r w:rsidR="00190923" w:rsidRPr="00981405">
        <w:t xml:space="preserve"> </w:t>
      </w:r>
      <w:r w:rsidRPr="00981405">
        <w:t>can</w:t>
      </w:r>
      <w:r w:rsidR="00190923" w:rsidRPr="00981405">
        <w:t xml:space="preserve"> </w:t>
      </w:r>
      <w:r w:rsidRPr="00981405">
        <w:t>be</w:t>
      </w:r>
      <w:r w:rsidR="00190923" w:rsidRPr="00981405">
        <w:t xml:space="preserve"> </w:t>
      </w:r>
      <w:r w:rsidRPr="00981405">
        <w:t>raised</w:t>
      </w:r>
      <w:r w:rsidR="00190923" w:rsidRPr="00981405">
        <w:t xml:space="preserve"> </w:t>
      </w:r>
      <w:r w:rsidRPr="00981405">
        <w:t>about</w:t>
      </w:r>
      <w:r w:rsidR="00190923" w:rsidRPr="00981405">
        <w:t xml:space="preserve"> </w:t>
      </w:r>
      <w:r w:rsidRPr="00981405">
        <w:t>the</w:t>
      </w:r>
      <w:r w:rsidR="00190923" w:rsidRPr="00981405">
        <w:t xml:space="preserve"> </w:t>
      </w:r>
      <w:r w:rsidRPr="00981405">
        <w:t>status</w:t>
      </w:r>
      <w:r w:rsidR="00190923" w:rsidRPr="00981405">
        <w:t xml:space="preserve"> </w:t>
      </w:r>
      <w:r w:rsidRPr="00981405">
        <w:t>of</w:t>
      </w:r>
      <w:r w:rsidR="00190923" w:rsidRPr="00981405">
        <w:t xml:space="preserve"> </w:t>
      </w:r>
      <w:r w:rsidRPr="00981405">
        <w:t>tribunals</w:t>
      </w:r>
      <w:r w:rsidR="00190923" w:rsidRPr="00981405">
        <w:t xml:space="preserve"> </w:t>
      </w:r>
      <w:r w:rsidRPr="00981405">
        <w:t>involved</w:t>
      </w:r>
      <w:r w:rsidR="00190923" w:rsidRPr="00981405">
        <w:t xml:space="preserve"> </w:t>
      </w:r>
      <w:r w:rsidRPr="00981405">
        <w:t>in</w:t>
      </w:r>
      <w:r w:rsidR="00190923" w:rsidRPr="00981405">
        <w:t xml:space="preserve"> </w:t>
      </w:r>
      <w:r w:rsidR="00B92E2C" w:rsidRPr="00981405">
        <w:t>“</w:t>
      </w:r>
      <w:r w:rsidRPr="00981405">
        <w:t>mixed</w:t>
      </w:r>
      <w:r w:rsidR="00B92E2C" w:rsidRPr="00981405">
        <w:t>”</w:t>
      </w:r>
      <w:r w:rsidR="00190923" w:rsidRPr="00981405">
        <w:t xml:space="preserve"> </w:t>
      </w:r>
      <w:r w:rsidRPr="00981405">
        <w:t>arbitration</w:t>
      </w:r>
      <w:r w:rsidR="00190923" w:rsidRPr="00981405">
        <w:t xml:space="preserve"> </w:t>
      </w:r>
      <w:r w:rsidRPr="00981405">
        <w:t>and</w:t>
      </w:r>
      <w:r w:rsidR="00190923" w:rsidRPr="00981405">
        <w:t xml:space="preserve"> </w:t>
      </w:r>
      <w:r w:rsidRPr="00981405">
        <w:t>of</w:t>
      </w:r>
      <w:r w:rsidR="00190923" w:rsidRPr="00981405">
        <w:t xml:space="preserve"> </w:t>
      </w:r>
      <w:r w:rsidRPr="00981405">
        <w:t>the</w:t>
      </w:r>
      <w:r w:rsidR="00190923" w:rsidRPr="00981405">
        <w:t xml:space="preserve"> </w:t>
      </w:r>
      <w:r w:rsidRPr="00981405">
        <w:t>product</w:t>
      </w:r>
      <w:r w:rsidR="00190923" w:rsidRPr="00981405">
        <w:t xml:space="preserve"> </w:t>
      </w:r>
      <w:r w:rsidRPr="00981405">
        <w:t>of</w:t>
      </w:r>
      <w:r w:rsidR="00190923" w:rsidRPr="00981405">
        <w:t xml:space="preserve"> </w:t>
      </w:r>
      <w:r w:rsidRPr="00981405">
        <w:t>their</w:t>
      </w:r>
      <w:r w:rsidR="00190923" w:rsidRPr="00981405">
        <w:t xml:space="preserve"> </w:t>
      </w:r>
      <w:r w:rsidRPr="00981405">
        <w:t>work.</w:t>
      </w:r>
      <w:r w:rsidR="00190923" w:rsidRPr="00981405">
        <w:t xml:space="preserve"> </w:t>
      </w:r>
      <w:r w:rsidRPr="00981405">
        <w:t>These</w:t>
      </w:r>
      <w:r w:rsidR="00190923" w:rsidRPr="00981405">
        <w:t xml:space="preserve"> </w:t>
      </w:r>
      <w:r w:rsidRPr="00981405">
        <w:t>tribunals</w:t>
      </w:r>
      <w:r w:rsidR="00190923" w:rsidRPr="00981405">
        <w:t xml:space="preserve"> </w:t>
      </w:r>
      <w:r w:rsidRPr="00981405">
        <w:t>are</w:t>
      </w:r>
      <w:r w:rsidR="00190923" w:rsidRPr="00981405">
        <w:t xml:space="preserve"> </w:t>
      </w:r>
      <w:r w:rsidR="00B92E2C" w:rsidRPr="00981405">
        <w:t>“</w:t>
      </w:r>
      <w:r w:rsidRPr="00981405">
        <w:t>mixed</w:t>
      </w:r>
      <w:r w:rsidR="00B92E2C" w:rsidRPr="00981405">
        <w:t>”</w:t>
      </w:r>
      <w:r w:rsidR="00190923" w:rsidRPr="00981405">
        <w:t xml:space="preserve"> </w:t>
      </w:r>
      <w:r w:rsidRPr="00981405">
        <w:t>in</w:t>
      </w:r>
      <w:r w:rsidR="00190923" w:rsidRPr="00981405">
        <w:t xml:space="preserve"> </w:t>
      </w:r>
      <w:r w:rsidRPr="00981405">
        <w:t>the</w:t>
      </w:r>
      <w:r w:rsidR="00190923" w:rsidRPr="00981405">
        <w:t xml:space="preserve"> </w:t>
      </w:r>
      <w:r w:rsidRPr="00981405">
        <w:t>sense</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are</w:t>
      </w:r>
      <w:r w:rsidR="00190923" w:rsidRPr="00981405">
        <w:t xml:space="preserve"> </w:t>
      </w:r>
      <w:r w:rsidRPr="00981405">
        <w:t>not</w:t>
      </w:r>
      <w:r w:rsidR="00190923" w:rsidRPr="00981405">
        <w:t xml:space="preserve"> </w:t>
      </w:r>
      <w:r w:rsidRPr="00981405">
        <w:t>of</w:t>
      </w:r>
      <w:r w:rsidR="00190923" w:rsidRPr="00981405">
        <w:t xml:space="preserve"> </w:t>
      </w:r>
      <w:r w:rsidRPr="00981405">
        <w:t>equal</w:t>
      </w:r>
      <w:r w:rsidR="00190923" w:rsidRPr="00981405">
        <w:t xml:space="preserve"> </w:t>
      </w:r>
      <w:r w:rsidRPr="00981405">
        <w:t>status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w:t>
      </w:r>
      <w:r w:rsidR="00190923" w:rsidRPr="00981405">
        <w:t xml:space="preserve"> </w:t>
      </w:r>
      <w:r w:rsidRPr="00981405">
        <w:t>the</w:t>
      </w:r>
      <w:r w:rsidR="00190923" w:rsidRPr="00981405">
        <w:t xml:space="preserve"> </w:t>
      </w:r>
      <w:r w:rsidRPr="00981405">
        <w:t>days</w:t>
      </w:r>
      <w:r w:rsidR="00190923" w:rsidRPr="00981405">
        <w:t xml:space="preserve"> </w:t>
      </w:r>
      <w:r w:rsidRPr="00981405">
        <w:t>of</w:t>
      </w:r>
      <w:r w:rsidR="00190923" w:rsidRPr="00981405">
        <w:t xml:space="preserve"> </w:t>
      </w:r>
      <w:r w:rsidRPr="00981405">
        <w:t>concession</w:t>
      </w:r>
      <w:r w:rsidR="00190923" w:rsidRPr="00981405">
        <w:t xml:space="preserve"> </w:t>
      </w:r>
      <w:r w:rsidRPr="00981405">
        <w:t>agreements,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itself</w:t>
      </w:r>
      <w:r w:rsidR="00190923" w:rsidRPr="00981405">
        <w:t xml:space="preserve"> </w:t>
      </w:r>
      <w:r w:rsidRPr="00981405">
        <w:t>was</w:t>
      </w:r>
      <w:r w:rsidR="00190923" w:rsidRPr="00981405">
        <w:t xml:space="preserve"> </w:t>
      </w:r>
      <w:r w:rsidRPr="00981405">
        <w:t>between</w:t>
      </w:r>
      <w:r w:rsidR="00190923" w:rsidRPr="00981405">
        <w:t xml:space="preserve"> </w:t>
      </w:r>
      <w:r w:rsidRPr="00981405">
        <w:t>a</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entity,</w:t>
      </w:r>
      <w:r w:rsidR="00190923" w:rsidRPr="00981405">
        <w:t xml:space="preserve"> </w:t>
      </w:r>
      <w:r w:rsidRPr="00981405">
        <w:t>the</w:t>
      </w:r>
      <w:r w:rsidR="00190923" w:rsidRPr="00981405">
        <w:t xml:space="preserve"> </w:t>
      </w:r>
      <w:r w:rsidRPr="00981405">
        <w:t>State,</w:t>
      </w:r>
      <w:r w:rsidR="00190923" w:rsidRPr="00981405">
        <w:t xml:space="preserve"> </w:t>
      </w:r>
      <w:r w:rsidRPr="00981405">
        <w:t>and</w:t>
      </w:r>
      <w:r w:rsidR="00190923" w:rsidRPr="00981405">
        <w:t xml:space="preserve"> </w:t>
      </w:r>
      <w:r w:rsidRPr="00981405">
        <w:t>a</w:t>
      </w:r>
      <w:r w:rsidR="00190923" w:rsidRPr="00981405">
        <w:t xml:space="preserve"> </w:t>
      </w:r>
      <w:r w:rsidRPr="00981405">
        <w:t>private</w:t>
      </w:r>
      <w:r w:rsidR="00190923" w:rsidRPr="00981405">
        <w:t xml:space="preserve"> </w:t>
      </w:r>
      <w:r w:rsidRPr="00981405">
        <w:t>law</w:t>
      </w:r>
      <w:r w:rsidR="00190923" w:rsidRPr="00981405">
        <w:t xml:space="preserve"> </w:t>
      </w:r>
      <w:r w:rsidRPr="00981405">
        <w:t>entity,</w:t>
      </w:r>
      <w:r w:rsidR="00190923" w:rsidRPr="00981405">
        <w:t xml:space="preserve"> </w:t>
      </w:r>
      <w:r w:rsidRPr="00981405">
        <w:t>the</w:t>
      </w:r>
      <w:r w:rsidR="00190923" w:rsidRPr="00981405">
        <w:t xml:space="preserve"> </w:t>
      </w:r>
      <w:r w:rsidRPr="00981405">
        <w:t>person</w:t>
      </w:r>
      <w:r w:rsidR="00190923" w:rsidRPr="00981405">
        <w:t xml:space="preserve"> </w:t>
      </w:r>
      <w:r w:rsidRPr="00981405">
        <w:t>or</w:t>
      </w:r>
      <w:r w:rsidR="00190923" w:rsidRPr="00981405">
        <w:t xml:space="preserve"> </w:t>
      </w:r>
      <w:r w:rsidRPr="00981405">
        <w:t>company</w:t>
      </w:r>
      <w:r w:rsidR="00190923" w:rsidRPr="00981405">
        <w:t xml:space="preserve"> </w:t>
      </w:r>
      <w:r w:rsidRPr="00981405">
        <w:t>with</w:t>
      </w:r>
      <w:r w:rsidR="00190923" w:rsidRPr="00981405">
        <w:t xml:space="preserve"> </w:t>
      </w:r>
      <w:r w:rsidRPr="00981405">
        <w:t>whom</w:t>
      </w:r>
      <w:r w:rsidR="00190923" w:rsidRPr="00981405">
        <w:t xml:space="preserve"> </w:t>
      </w:r>
      <w:r w:rsidRPr="00981405">
        <w:t>the</w:t>
      </w:r>
      <w:r w:rsidR="00190923" w:rsidRPr="00981405">
        <w:t xml:space="preserve"> </w:t>
      </w:r>
      <w:r w:rsidRPr="00981405">
        <w:t>agreement</w:t>
      </w:r>
      <w:r w:rsidR="00190923" w:rsidRPr="00981405">
        <w:t xml:space="preserve"> </w:t>
      </w:r>
      <w:r w:rsidRPr="00981405">
        <w:t>was</w:t>
      </w:r>
      <w:r w:rsidR="00190923" w:rsidRPr="00981405">
        <w:t xml:space="preserve"> </w:t>
      </w:r>
      <w:r w:rsidRPr="00981405">
        <w:t>entered</w:t>
      </w:r>
      <w:r w:rsidR="00190923" w:rsidRPr="00981405">
        <w:t xml:space="preserve"> </w:t>
      </w:r>
      <w:r w:rsidRPr="00981405">
        <w:t>into.</w:t>
      </w:r>
      <w:r w:rsidR="00190923" w:rsidRPr="00981405">
        <w:t xml:space="preserve"> </w:t>
      </w:r>
      <w:r w:rsidRPr="00981405">
        <w:t>An</w:t>
      </w:r>
      <w:r w:rsidR="00190923" w:rsidRPr="00981405">
        <w:t xml:space="preserve"> </w:t>
      </w:r>
      <w:r w:rsidRPr="00981405">
        <w:t>initial</w:t>
      </w:r>
      <w:r w:rsidR="00190923" w:rsidRPr="00981405">
        <w:t xml:space="preserve"> </w:t>
      </w:r>
      <w:r w:rsidRPr="00981405">
        <w:t>concern</w:t>
      </w:r>
      <w:r w:rsidR="00190923" w:rsidRPr="00981405">
        <w:t xml:space="preserve"> </w:t>
      </w:r>
      <w:r w:rsidRPr="00981405">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was</w:t>
      </w:r>
      <w:r w:rsidR="00190923" w:rsidRPr="00981405">
        <w:t xml:space="preserve"> </w:t>
      </w:r>
      <w:r w:rsidRPr="00981405">
        <w:t>whether</w:t>
      </w:r>
      <w:r w:rsidR="00190923" w:rsidRPr="00981405">
        <w:t xml:space="preserve"> </w:t>
      </w:r>
      <w:r w:rsidRPr="00981405">
        <w:t>such</w:t>
      </w:r>
      <w:r w:rsidR="00190923" w:rsidRPr="00981405">
        <w:t xml:space="preserve"> </w:t>
      </w:r>
      <w:r w:rsidRPr="00981405">
        <w:t>agreements,</w:t>
      </w:r>
      <w:r w:rsidR="00190923" w:rsidRPr="00981405">
        <w:t xml:space="preserve"> </w:t>
      </w:r>
      <w:r w:rsidRPr="00981405">
        <w:t>where</w:t>
      </w:r>
      <w:r w:rsidR="00190923" w:rsidRPr="00981405">
        <w:t xml:space="preserve"> </w:t>
      </w:r>
      <w:r w:rsidRPr="00981405">
        <w:t>only</w:t>
      </w:r>
      <w:r w:rsidR="00190923" w:rsidRPr="00981405">
        <w:t xml:space="preserve"> </w:t>
      </w:r>
      <w:r w:rsidRPr="00981405">
        <w:t>one</w:t>
      </w:r>
      <w:r w:rsidR="00190923" w:rsidRPr="00981405">
        <w:t xml:space="preserve"> </w:t>
      </w:r>
      <w:r w:rsidRPr="00981405">
        <w:t>party</w:t>
      </w:r>
      <w:r w:rsidR="00190923" w:rsidRPr="00981405">
        <w:t xml:space="preserve"> </w:t>
      </w:r>
      <w:r w:rsidRPr="00981405">
        <w:t>was</w:t>
      </w:r>
      <w:r w:rsidR="00190923" w:rsidRPr="00981405">
        <w:t xml:space="preserve"> </w:t>
      </w:r>
      <w:r w:rsidRPr="00981405">
        <w:t>a</w:t>
      </w:r>
      <w:r w:rsidR="00190923" w:rsidRPr="00981405">
        <w:t xml:space="preserve"> </w:t>
      </w:r>
      <w:r w:rsidRPr="00981405">
        <w:t>subject</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were</w:t>
      </w:r>
      <w:r w:rsidR="00190923" w:rsidRPr="00981405">
        <w:t xml:space="preserve"> </w:t>
      </w:r>
      <w:r w:rsidRPr="00981405">
        <w:t>subject</w:t>
      </w:r>
      <w:r w:rsidR="00190923" w:rsidRPr="00981405">
        <w:t xml:space="preserve"> </w:t>
      </w:r>
      <w:r w:rsidRPr="00981405">
        <w:t>to</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or</w:t>
      </w:r>
      <w:r w:rsidR="00190923" w:rsidRPr="00981405">
        <w:t xml:space="preserve"> </w:t>
      </w:r>
      <w:r w:rsidRPr="00981405">
        <w:t>domestic</w:t>
      </w:r>
      <w:r w:rsidR="00190923" w:rsidRPr="00981405">
        <w:t xml:space="preserve"> </w:t>
      </w:r>
      <w:r w:rsidRPr="00981405">
        <w:t>law,</w:t>
      </w:r>
      <w:r w:rsidR="00190923" w:rsidRPr="00981405">
        <w:t xml:space="preserve"> </w:t>
      </w:r>
      <w:r w:rsidRPr="00981405">
        <w:t>and</w:t>
      </w:r>
      <w:r w:rsidR="00190923" w:rsidRPr="00981405">
        <w:t xml:space="preserve"> </w:t>
      </w:r>
      <w:r w:rsidRPr="00981405">
        <w:t>the</w:t>
      </w:r>
      <w:r w:rsidR="00190923" w:rsidRPr="00981405">
        <w:t xml:space="preserve"> </w:t>
      </w:r>
      <w:r w:rsidRPr="00981405">
        <w:t>concepts</w:t>
      </w:r>
      <w:r w:rsidR="00190923" w:rsidRPr="00981405">
        <w:t xml:space="preserve"> </w:t>
      </w:r>
      <w:r w:rsidRPr="00981405">
        <w:t>of</w:t>
      </w:r>
      <w:r w:rsidR="00190923" w:rsidRPr="00981405">
        <w:t xml:space="preserve"> </w:t>
      </w:r>
      <w:r w:rsidRPr="00981405">
        <w:t>transnational</w:t>
      </w:r>
      <w:r w:rsidR="00190923" w:rsidRPr="00981405">
        <w:t xml:space="preserve"> </w:t>
      </w:r>
      <w:r w:rsidRPr="00981405">
        <w:t>law</w:t>
      </w:r>
      <w:r w:rsidR="00190923" w:rsidRPr="00981405">
        <w:t xml:space="preserve"> </w:t>
      </w:r>
      <w:r w:rsidRPr="00981405">
        <w:t>and</w:t>
      </w:r>
      <w:r w:rsidR="00190923" w:rsidRPr="00981405">
        <w:t xml:space="preserve"> </w:t>
      </w:r>
      <w:r w:rsidRPr="00981405">
        <w:t>quasi-international</w:t>
      </w:r>
      <w:r w:rsidR="00190923" w:rsidRPr="00981405">
        <w:t xml:space="preserve"> </w:t>
      </w:r>
      <w:r w:rsidRPr="00981405">
        <w:t>law</w:t>
      </w:r>
      <w:r w:rsidR="00190923" w:rsidRPr="00981405">
        <w:t xml:space="preserve"> </w:t>
      </w:r>
      <w:r w:rsidRPr="00981405">
        <w:t>were</w:t>
      </w:r>
      <w:r w:rsidR="00190923" w:rsidRPr="00981405">
        <w:t xml:space="preserve"> </w:t>
      </w:r>
      <w:r w:rsidRPr="00981405">
        <w:t>debated.</w:t>
      </w:r>
    </w:p>
    <w:p w:rsidR="00397032" w:rsidRPr="00981405" w:rsidRDefault="00397032" w:rsidP="00D97463">
      <w:pPr>
        <w:pStyle w:val="SingleTxt"/>
      </w:pPr>
      <w:r w:rsidRPr="00981405">
        <w:t>155.</w:t>
      </w:r>
      <w:r w:rsidRPr="00981405">
        <w:tab/>
        <w:t>Investment</w:t>
      </w:r>
      <w:r w:rsidR="00190923" w:rsidRPr="00981405">
        <w:t xml:space="preserve"> </w:t>
      </w:r>
      <w:r w:rsidRPr="00981405">
        <w:t>agreements</w:t>
      </w:r>
      <w:r w:rsidR="00190923" w:rsidRPr="00981405">
        <w:t xml:space="preserve"> </w:t>
      </w:r>
      <w:r w:rsidRPr="00981405">
        <w:t>avoid</w:t>
      </w:r>
      <w:r w:rsidR="00190923" w:rsidRPr="00981405">
        <w:t xml:space="preserve"> </w:t>
      </w:r>
      <w:r w:rsidRPr="00981405">
        <w:t>this</w:t>
      </w:r>
      <w:r w:rsidR="00190923" w:rsidRPr="00981405">
        <w:t xml:space="preserve"> </w:t>
      </w:r>
      <w:r w:rsidRPr="00981405">
        <w:t>problem</w:t>
      </w:r>
      <w:r w:rsidR="00190923" w:rsidRPr="00981405">
        <w:t xml:space="preserve"> </w:t>
      </w:r>
      <w:r w:rsidRPr="00981405">
        <w:t>because</w:t>
      </w:r>
      <w:r w:rsidR="00190923" w:rsidRPr="00981405">
        <w:t xml:space="preserve"> </w:t>
      </w:r>
      <w:r w:rsidRPr="00981405">
        <w:t>they</w:t>
      </w:r>
      <w:r w:rsidR="00190923" w:rsidRPr="00981405">
        <w:t xml:space="preserve"> </w:t>
      </w:r>
      <w:r w:rsidRPr="00981405">
        <w:t>are</w:t>
      </w:r>
      <w:r w:rsidR="00190923" w:rsidRPr="00981405">
        <w:t xml:space="preserve"> </w:t>
      </w:r>
      <w:r w:rsidRPr="00981405">
        <w:t>clearly</w:t>
      </w:r>
      <w:r w:rsidR="00190923" w:rsidRPr="00981405">
        <w:t xml:space="preserve"> </w:t>
      </w:r>
      <w:r w:rsidRPr="00981405">
        <w:t>treaties.</w:t>
      </w:r>
      <w:r w:rsidR="00190923" w:rsidRPr="00981405">
        <w:t xml:space="preserve"> </w:t>
      </w:r>
      <w:r w:rsidRPr="00981405">
        <w:t>Nonetheless,</w:t>
      </w:r>
      <w:r w:rsidR="00190923" w:rsidRPr="00981405">
        <w:t xml:space="preserve"> </w:t>
      </w:r>
      <w:r w:rsidRPr="00981405">
        <w:t>a</w:t>
      </w:r>
      <w:r w:rsidR="00190923" w:rsidRPr="00981405">
        <w:t xml:space="preserve"> </w:t>
      </w:r>
      <w:r w:rsidRPr="00981405">
        <w:t>dispute</w:t>
      </w:r>
      <w:r w:rsidR="00190923" w:rsidRPr="00981405">
        <w:t xml:space="preserve"> </w:t>
      </w:r>
      <w:r w:rsidRPr="00981405">
        <w:t>under</w:t>
      </w:r>
      <w:r w:rsidR="00190923" w:rsidRPr="00981405">
        <w:t xml:space="preserve"> </w:t>
      </w:r>
      <w:r w:rsidRPr="00981405">
        <w:t>an</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w:t>
      </w:r>
      <w:r w:rsidR="00190923" w:rsidRPr="00981405">
        <w:t xml:space="preserve"> </w:t>
      </w:r>
      <w:r w:rsidRPr="00981405">
        <w:t>remains</w:t>
      </w:r>
      <w:r w:rsidR="00190923" w:rsidRPr="00981405">
        <w:t xml:space="preserve"> </w:t>
      </w:r>
      <w:r w:rsidRPr="00981405">
        <w:t>a</w:t>
      </w:r>
      <w:r w:rsidR="00190923" w:rsidRPr="00981405">
        <w:t xml:space="preserve"> </w:t>
      </w:r>
      <w:r w:rsidRPr="00981405">
        <w:t>dispute</w:t>
      </w:r>
      <w:r w:rsidR="00190923" w:rsidRPr="00981405">
        <w:t xml:space="preserve"> </w:t>
      </w:r>
      <w:r w:rsidRPr="00981405">
        <w:t>between</w:t>
      </w:r>
      <w:r w:rsidR="00190923" w:rsidRPr="00981405">
        <w:t xml:space="preserve"> </w:t>
      </w:r>
      <w:r w:rsidRPr="00981405">
        <w:t>parties</w:t>
      </w:r>
      <w:r w:rsidR="00190923" w:rsidRPr="00981405">
        <w:t xml:space="preserve"> </w:t>
      </w:r>
      <w:r w:rsidRPr="00981405">
        <w:t>of</w:t>
      </w:r>
      <w:r w:rsidR="00190923" w:rsidRPr="00981405">
        <w:t xml:space="preserve"> </w:t>
      </w:r>
      <w:r w:rsidRPr="00981405">
        <w:t>different</w:t>
      </w:r>
      <w:r w:rsidR="00190923" w:rsidRPr="00981405">
        <w:t xml:space="preserve"> </w:t>
      </w:r>
      <w:r w:rsidRPr="00981405">
        <w:t>status</w:t>
      </w:r>
      <w:r w:rsidR="00190923" w:rsidRPr="00981405">
        <w:t xml:space="preserve"> </w:t>
      </w:r>
      <w:r w:rsidRPr="00981405">
        <w:t>under</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Thus,</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said</w:t>
      </w:r>
      <w:r w:rsidR="00190923" w:rsidRPr="00981405">
        <w:t xml:space="preserve"> </w:t>
      </w:r>
      <w:r w:rsidRPr="00981405">
        <w:t>that</w:t>
      </w:r>
      <w:r w:rsidR="00190923" w:rsidRPr="00981405">
        <w:t xml:space="preserve"> </w:t>
      </w:r>
      <w:r w:rsidRPr="00981405">
        <w:t>an</w:t>
      </w:r>
      <w:r w:rsidR="00190923" w:rsidRPr="00981405">
        <w:t xml:space="preserve"> </w:t>
      </w:r>
      <w:r w:rsidRPr="00981405">
        <w:t>arbitrator</w:t>
      </w:r>
      <w:r w:rsidR="00190923" w:rsidRPr="00981405">
        <w:t xml:space="preserve"> </w:t>
      </w:r>
      <w:r w:rsidRPr="00981405">
        <w:t>in</w:t>
      </w:r>
      <w:r w:rsidR="00190923" w:rsidRPr="00981405">
        <w:t xml:space="preserve"> </w:t>
      </w:r>
      <w:r w:rsidRPr="00981405">
        <w:t>a</w:t>
      </w:r>
      <w:r w:rsidR="00190923" w:rsidRPr="00981405">
        <w:t xml:space="preserve"> </w:t>
      </w:r>
      <w:r w:rsidRPr="00981405">
        <w:t>mixed</w:t>
      </w:r>
      <w:r w:rsidR="00190923" w:rsidRPr="00981405">
        <w:t xml:space="preserve"> </w:t>
      </w:r>
      <w:r w:rsidRPr="00981405">
        <w:t>arbitration</w:t>
      </w:r>
      <w:r w:rsidR="00190923" w:rsidRPr="00981405">
        <w:t xml:space="preserve"> </w:t>
      </w:r>
      <w:r w:rsidRPr="00981405">
        <w:t>dealing</w:t>
      </w:r>
      <w:r w:rsidR="00190923" w:rsidRPr="00981405">
        <w:t xml:space="preserve"> </w:t>
      </w:r>
      <w:r w:rsidRPr="00981405">
        <w:t>with</w:t>
      </w:r>
      <w:r w:rsidR="00190923" w:rsidRPr="00981405">
        <w:t xml:space="preserve"> </w:t>
      </w:r>
      <w:r w:rsidRPr="00981405">
        <w:t>a</w:t>
      </w:r>
      <w:r w:rsidR="00190923" w:rsidRPr="00981405">
        <w:t xml:space="preserve"> </w:t>
      </w:r>
      <w:r w:rsidRPr="00981405">
        <w:t>claim</w:t>
      </w:r>
      <w:r w:rsidR="00190923" w:rsidRPr="00981405">
        <w:t xml:space="preserve"> </w:t>
      </w:r>
      <w:r w:rsidRPr="00981405">
        <w:t>by</w:t>
      </w:r>
      <w:r w:rsidR="00190923" w:rsidRPr="00981405">
        <w:t xml:space="preserve"> </w:t>
      </w:r>
      <w:r w:rsidRPr="00981405">
        <w:t>a</w:t>
      </w:r>
      <w:r w:rsidR="00190923" w:rsidRPr="00981405">
        <w:t xml:space="preserve"> </w:t>
      </w:r>
      <w:r w:rsidRPr="00981405">
        <w:t>private</w:t>
      </w:r>
      <w:r w:rsidR="00190923" w:rsidRPr="00981405">
        <w:t xml:space="preserve"> </w:t>
      </w:r>
      <w:r w:rsidRPr="00981405">
        <w:t>litigant,</w:t>
      </w:r>
      <w:r w:rsidR="00190923" w:rsidRPr="00981405">
        <w:t xml:space="preserve"> </w:t>
      </w:r>
      <w:r w:rsidRPr="00981405">
        <w:t>in</w:t>
      </w:r>
      <w:r w:rsidR="00190923" w:rsidRPr="00981405">
        <w:t xml:space="preserve"> </w:t>
      </w:r>
      <w:r w:rsidRPr="00981405">
        <w:t>what</w:t>
      </w:r>
      <w:r w:rsidR="00190923" w:rsidRPr="00981405">
        <w:t xml:space="preserve"> </w:t>
      </w:r>
      <w:r w:rsidRPr="00981405">
        <w:t>might</w:t>
      </w:r>
      <w:r w:rsidR="00190923" w:rsidRPr="00981405">
        <w:t xml:space="preserve"> </w:t>
      </w:r>
      <w:r w:rsidRPr="00981405">
        <w:t>otherwise</w:t>
      </w:r>
      <w:r w:rsidR="00190923" w:rsidRPr="00981405">
        <w:t xml:space="preserve"> </w:t>
      </w:r>
      <w:r w:rsidRPr="00981405">
        <w:t>be</w:t>
      </w:r>
      <w:r w:rsidR="00190923" w:rsidRPr="00981405">
        <w:t xml:space="preserve"> </w:t>
      </w:r>
      <w:r w:rsidRPr="00981405">
        <w:t>seen</w:t>
      </w:r>
      <w:r w:rsidR="00190923" w:rsidRPr="00981405">
        <w:t xml:space="preserve"> </w:t>
      </w:r>
      <w:r w:rsidRPr="00981405">
        <w:t>as</w:t>
      </w:r>
      <w:r w:rsidR="00190923" w:rsidRPr="00981405">
        <w:t xml:space="preserve"> </w:t>
      </w:r>
      <w:r w:rsidRPr="00981405">
        <w:t>a</w:t>
      </w:r>
      <w:r w:rsidR="00190923" w:rsidRPr="00981405">
        <w:t xml:space="preserve"> </w:t>
      </w:r>
      <w:r w:rsidRPr="00981405">
        <w:t>domestic</w:t>
      </w:r>
      <w:r w:rsidR="00190923" w:rsidRPr="00981405">
        <w:t xml:space="preserve"> </w:t>
      </w:r>
      <w:r w:rsidRPr="00981405">
        <w:t>claim,</w:t>
      </w:r>
      <w:r w:rsidR="00190923" w:rsidRPr="00981405">
        <w:t xml:space="preserve"> </w:t>
      </w:r>
      <w:r w:rsidRPr="00981405">
        <w:t>has</w:t>
      </w:r>
      <w:r w:rsidR="00190923" w:rsidRPr="00981405">
        <w:t xml:space="preserve"> </w:t>
      </w:r>
      <w:r w:rsidRPr="00981405">
        <w:t>a</w:t>
      </w:r>
      <w:r w:rsidR="00190923" w:rsidRPr="00981405">
        <w:t xml:space="preserve"> </w:t>
      </w:r>
      <w:r w:rsidRPr="00981405">
        <w:t>mission</w:t>
      </w:r>
      <w:r w:rsidR="00190923" w:rsidRPr="00981405">
        <w:t xml:space="preserve"> </w:t>
      </w:r>
      <w:r w:rsidRPr="00981405">
        <w:t>and</w:t>
      </w:r>
      <w:r w:rsidR="00190923" w:rsidRPr="00981405">
        <w:t xml:space="preserve"> </w:t>
      </w:r>
      <w:r w:rsidRPr="00981405">
        <w:t>function</w:t>
      </w:r>
      <w:r w:rsidR="00190923" w:rsidRPr="00981405">
        <w:t xml:space="preserve"> </w:t>
      </w:r>
      <w:r w:rsidRPr="00981405">
        <w:t>not</w:t>
      </w:r>
      <w:r w:rsidR="00190923" w:rsidRPr="00981405">
        <w:t xml:space="preserve"> </w:t>
      </w:r>
      <w:r w:rsidRPr="00981405">
        <w:t>dissimilar</w:t>
      </w:r>
      <w:r w:rsidR="00190923" w:rsidRPr="00981405">
        <w:t xml:space="preserve"> </w:t>
      </w:r>
      <w:r w:rsidRPr="00981405">
        <w:t>from</w:t>
      </w:r>
      <w:r w:rsidR="00190923" w:rsidRPr="00981405">
        <w:t xml:space="preserve"> </w:t>
      </w:r>
      <w:r w:rsidRPr="00981405">
        <w:t>that</w:t>
      </w:r>
      <w:r w:rsidR="00190923" w:rsidRPr="00981405">
        <w:t xml:space="preserve"> </w:t>
      </w:r>
      <w:r w:rsidRPr="00981405">
        <w:t>of</w:t>
      </w:r>
      <w:r w:rsidR="00190923" w:rsidRPr="00981405">
        <w:t xml:space="preserve"> </w:t>
      </w:r>
      <w:r w:rsidRPr="00981405">
        <w:t>a</w:t>
      </w:r>
      <w:r w:rsidR="00190923" w:rsidRPr="00981405">
        <w:t xml:space="preserve"> </w:t>
      </w:r>
      <w:r w:rsidRPr="00981405">
        <w:t>domestic</w:t>
      </w:r>
      <w:r w:rsidR="00190923" w:rsidRPr="00981405">
        <w:t xml:space="preserve"> </w:t>
      </w:r>
      <w:r w:rsidRPr="00981405">
        <w:t>judge.</w:t>
      </w:r>
      <w:r w:rsidRPr="00981405">
        <w:rPr>
          <w:rStyle w:val="FootnoteReference"/>
        </w:rPr>
        <w:footnoteReference w:id="569"/>
      </w:r>
      <w:r w:rsidR="00190923" w:rsidRPr="00981405">
        <w:t xml:space="preserve"> </w:t>
      </w:r>
      <w:r w:rsidRPr="00981405">
        <w:t>In</w:t>
      </w:r>
      <w:r w:rsidR="00190923" w:rsidRPr="00981405">
        <w:t xml:space="preserve"> </w:t>
      </w:r>
      <w:r w:rsidRPr="00981405">
        <w:t>that</w:t>
      </w:r>
      <w:r w:rsidR="00190923" w:rsidRPr="00981405">
        <w:t xml:space="preserve"> </w:t>
      </w:r>
      <w:r w:rsidRPr="00981405">
        <w:t>sense,</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might</w:t>
      </w:r>
      <w:r w:rsidR="00190923" w:rsidRPr="00981405">
        <w:t xml:space="preserve"> </w:t>
      </w:r>
      <w:r w:rsidRPr="00981405">
        <w:t>be</w:t>
      </w:r>
      <w:r w:rsidR="00190923" w:rsidRPr="00981405">
        <w:t xml:space="preserve"> </w:t>
      </w:r>
      <w:r w:rsidRPr="00981405">
        <w:t>seen</w:t>
      </w:r>
      <w:r w:rsidR="00190923" w:rsidRPr="00981405">
        <w:t xml:space="preserve"> </w:t>
      </w:r>
      <w:r w:rsidRPr="00981405">
        <w:t>as</w:t>
      </w:r>
      <w:r w:rsidR="00190923" w:rsidRPr="00981405">
        <w:t xml:space="preserve"> </w:t>
      </w:r>
      <w:r w:rsidRPr="00981405">
        <w:t>an</w:t>
      </w:r>
      <w:r w:rsidR="00190923" w:rsidRPr="00981405">
        <w:t xml:space="preserve"> </w:t>
      </w:r>
      <w:r w:rsidRPr="00981405">
        <w:t>alternative</w:t>
      </w:r>
      <w:r w:rsidR="00190923" w:rsidRPr="00981405">
        <w:t xml:space="preserve"> </w:t>
      </w:r>
      <w:r w:rsidRPr="00981405">
        <w:t>to</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a</w:t>
      </w:r>
      <w:r w:rsidR="00190923" w:rsidRPr="00981405">
        <w:t xml:space="preserve"> </w:t>
      </w:r>
      <w:r w:rsidRPr="00981405">
        <w:t>point</w:t>
      </w:r>
      <w:r w:rsidR="00190923" w:rsidRPr="00981405">
        <w:t xml:space="preserve"> </w:t>
      </w:r>
      <w:r w:rsidRPr="00981405">
        <w:t>that</w:t>
      </w:r>
      <w:r w:rsidR="00190923" w:rsidRPr="00981405">
        <w:t xml:space="preserve"> </w:t>
      </w:r>
      <w:r w:rsidRPr="00981405">
        <w:t>is</w:t>
      </w:r>
      <w:r w:rsidR="00190923" w:rsidRPr="00981405">
        <w:t xml:space="preserve"> </w:t>
      </w:r>
      <w:r w:rsidRPr="00981405">
        <w:t>reinforced</w:t>
      </w:r>
      <w:r w:rsidR="00190923" w:rsidRPr="00981405">
        <w:t xml:space="preserve"> </w:t>
      </w:r>
      <w:r w:rsidRPr="00981405">
        <w:t>by</w:t>
      </w:r>
      <w:r w:rsidR="00190923" w:rsidRPr="00981405">
        <w:t xml:space="preserve"> </w:t>
      </w:r>
      <w:r w:rsidRPr="00981405">
        <w:t>the</w:t>
      </w:r>
      <w:r w:rsidR="00190923" w:rsidRPr="00981405">
        <w:t xml:space="preserve"> </w:t>
      </w:r>
      <w:r w:rsidRPr="00981405">
        <w:t>common</w:t>
      </w:r>
      <w:r w:rsidR="00190923" w:rsidRPr="00981405">
        <w:t xml:space="preserve"> </w:t>
      </w:r>
      <w:r w:rsidR="00B92E2C" w:rsidRPr="00981405">
        <w:t>“</w:t>
      </w:r>
      <w:r w:rsidRPr="00981405">
        <w:t>fork</w:t>
      </w:r>
      <w:r w:rsidR="00190923" w:rsidRPr="00981405">
        <w:t xml:space="preserve"> </w:t>
      </w:r>
      <w:r w:rsidRPr="00981405">
        <w:t>in</w:t>
      </w:r>
      <w:r w:rsidR="00190923" w:rsidRPr="00981405">
        <w:t xml:space="preserve"> </w:t>
      </w:r>
      <w:r w:rsidRPr="00981405">
        <w:t>the</w:t>
      </w:r>
      <w:r w:rsidR="00190923" w:rsidRPr="00981405">
        <w:t xml:space="preserve"> </w:t>
      </w:r>
      <w:r w:rsidRPr="00981405">
        <w:t>road</w:t>
      </w:r>
      <w:r w:rsidR="00B92E2C" w:rsidRPr="00981405">
        <w:t>”</w:t>
      </w:r>
      <w:r w:rsidR="00190923" w:rsidRPr="00981405">
        <w:t xml:space="preserve"> </w:t>
      </w:r>
      <w:r w:rsidRPr="00981405">
        <w:t>provisions</w:t>
      </w:r>
      <w:r w:rsidR="00190923" w:rsidRPr="00981405">
        <w:t xml:space="preserve"> </w:t>
      </w:r>
      <w:r w:rsidRPr="00981405">
        <w:t>in</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where</w:t>
      </w:r>
      <w:r w:rsidR="00190923" w:rsidRPr="00981405">
        <w:t xml:space="preserve"> </w:t>
      </w:r>
      <w:r w:rsidRPr="00981405">
        <w:t>a</w:t>
      </w:r>
      <w:r w:rsidR="00190923" w:rsidRPr="00981405">
        <w:t xml:space="preserve"> </w:t>
      </w:r>
      <w:r w:rsidRPr="00981405">
        <w:t>claimant</w:t>
      </w:r>
      <w:r w:rsidR="00190923" w:rsidRPr="00981405">
        <w:t xml:space="preserve"> </w:t>
      </w:r>
      <w:r w:rsidRPr="00981405">
        <w:t>investor</w:t>
      </w:r>
      <w:r w:rsidR="00190923" w:rsidRPr="00981405">
        <w:t xml:space="preserve"> </w:t>
      </w:r>
      <w:r w:rsidRPr="00981405">
        <w:t>is</w:t>
      </w:r>
      <w:r w:rsidR="00190923" w:rsidRPr="00981405">
        <w:t xml:space="preserve"> </w:t>
      </w:r>
      <w:r w:rsidRPr="00981405">
        <w:t>required</w:t>
      </w:r>
      <w:r w:rsidR="00190923" w:rsidRPr="00981405">
        <w:t xml:space="preserve"> </w:t>
      </w:r>
      <w:r w:rsidRPr="00981405">
        <w:t>at</w:t>
      </w:r>
      <w:r w:rsidR="00190923" w:rsidRPr="00981405">
        <w:t xml:space="preserve"> </w:t>
      </w:r>
      <w:r w:rsidRPr="00981405">
        <w:t>a</w:t>
      </w:r>
      <w:r w:rsidR="00190923" w:rsidRPr="00981405">
        <w:t xml:space="preserve"> </w:t>
      </w:r>
      <w:r w:rsidRPr="00981405">
        <w:t>certain</w:t>
      </w:r>
      <w:r w:rsidR="00190923" w:rsidRPr="00981405">
        <w:t xml:space="preserve"> </w:t>
      </w:r>
      <w:r w:rsidRPr="00981405">
        <w:t>point</w:t>
      </w:r>
      <w:r w:rsidR="00190923" w:rsidRPr="00981405">
        <w:t xml:space="preserve"> </w:t>
      </w:r>
      <w:r w:rsidRPr="00981405">
        <w:t>to</w:t>
      </w:r>
      <w:r w:rsidR="00190923" w:rsidRPr="00981405">
        <w:t xml:space="preserve"> </w:t>
      </w:r>
      <w:r w:rsidRPr="00981405">
        <w:t>choose</w:t>
      </w:r>
      <w:r w:rsidR="00190923" w:rsidRPr="00981405">
        <w:t xml:space="preserve"> </w:t>
      </w:r>
      <w:r w:rsidRPr="00981405">
        <w:t>between</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or</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p>
    <w:p w:rsidR="00397032" w:rsidRPr="00981405" w:rsidRDefault="00397032" w:rsidP="00D97463">
      <w:pPr>
        <w:pStyle w:val="SingleTxt"/>
      </w:pPr>
      <w:r w:rsidRPr="00981405">
        <w:t>156.</w:t>
      </w:r>
      <w:r w:rsidRPr="00981405">
        <w:tab/>
        <w:t>However,</w:t>
      </w:r>
      <w:r w:rsidR="00190923" w:rsidRPr="00981405">
        <w:t xml:space="preserve"> </w:t>
      </w:r>
      <w:r w:rsidRPr="00981405">
        <w:t>a</w:t>
      </w:r>
      <w:r w:rsidR="00190923" w:rsidRPr="00981405">
        <w:t xml:space="preserve"> </w:t>
      </w:r>
      <w:r w:rsidRPr="00981405">
        <w:t>tribunal</w:t>
      </w:r>
      <w:r w:rsidR="00190923" w:rsidRPr="00981405">
        <w:t xml:space="preserve"> </w:t>
      </w:r>
      <w:r w:rsidRPr="00981405">
        <w:t>hearing</w:t>
      </w:r>
      <w:r w:rsidR="00190923" w:rsidRPr="00981405">
        <w:t xml:space="preserve"> </w:t>
      </w:r>
      <w:r w:rsidRPr="00981405">
        <w:t>such</w:t>
      </w:r>
      <w:r w:rsidR="00190923" w:rsidRPr="00981405">
        <w:t xml:space="preserve"> </w:t>
      </w:r>
      <w:r w:rsidRPr="00981405">
        <w:t>a</w:t>
      </w:r>
      <w:r w:rsidR="00190923" w:rsidRPr="00981405">
        <w:t xml:space="preserve"> </w:t>
      </w:r>
      <w:r w:rsidRPr="00981405">
        <w:t>dispute,</w:t>
      </w:r>
      <w:r w:rsidR="00190923" w:rsidRPr="00981405">
        <w:t xml:space="preserve"> </w:t>
      </w:r>
      <w:r w:rsidRPr="00981405">
        <w:t>which</w:t>
      </w:r>
      <w:r w:rsidR="00190923" w:rsidRPr="00981405">
        <w:t xml:space="preserve"> </w:t>
      </w:r>
      <w:r w:rsidRPr="00981405">
        <w:t>is</w:t>
      </w:r>
      <w:r w:rsidR="00190923" w:rsidRPr="00981405">
        <w:t xml:space="preserve"> </w:t>
      </w:r>
      <w:r w:rsidRPr="00981405">
        <w:t>a</w:t>
      </w:r>
      <w:r w:rsidR="00190923" w:rsidRPr="00981405">
        <w:t xml:space="preserve"> </w:t>
      </w:r>
      <w:r w:rsidRPr="00981405">
        <w:t>tribunal</w:t>
      </w:r>
      <w:r w:rsidR="00190923" w:rsidRPr="00981405">
        <w:t xml:space="preserve"> </w:t>
      </w:r>
      <w:r w:rsidRPr="00981405">
        <w:t>established</w:t>
      </w:r>
      <w:r w:rsidR="00190923" w:rsidRPr="00981405">
        <w:t xml:space="preserve"> </w:t>
      </w:r>
      <w:r w:rsidRPr="00981405">
        <w:t>under</w:t>
      </w:r>
      <w:r w:rsidR="00190923" w:rsidRPr="00981405">
        <w:t xml:space="preserve"> </w:t>
      </w:r>
      <w:r w:rsidRPr="00981405">
        <w:t>a</w:t>
      </w:r>
      <w:r w:rsidR="00190923" w:rsidRPr="00981405">
        <w:t xml:space="preserve"> </w:t>
      </w:r>
      <w:r w:rsidRPr="00981405">
        <w:t>mechanism</w:t>
      </w:r>
      <w:r w:rsidR="00190923" w:rsidRPr="00981405">
        <w:t xml:space="preserve"> </w:t>
      </w:r>
      <w:r w:rsidRPr="00981405">
        <w:t>agreed</w:t>
      </w:r>
      <w:r w:rsidR="00190923" w:rsidRPr="00981405">
        <w:t xml:space="preserve"> </w:t>
      </w:r>
      <w:r w:rsidRPr="00981405">
        <w:t>to</w:t>
      </w:r>
      <w:r w:rsidR="00190923" w:rsidRPr="00981405">
        <w:t xml:space="preserve"> </w:t>
      </w:r>
      <w:r w:rsidRPr="00981405">
        <w:t>by</w:t>
      </w:r>
      <w:r w:rsidR="00190923" w:rsidRPr="00981405">
        <w:t xml:space="preserve"> </w:t>
      </w:r>
      <w:r w:rsidRPr="00981405">
        <w:t>States,</w:t>
      </w:r>
      <w:r w:rsidR="00190923" w:rsidRPr="00981405">
        <w:t xml:space="preserve"> </w:t>
      </w:r>
      <w:r w:rsidRPr="00981405">
        <w:t>has</w:t>
      </w:r>
      <w:r w:rsidR="00190923" w:rsidRPr="00981405">
        <w:t xml:space="preserve"> </w:t>
      </w:r>
      <w:r w:rsidRPr="00981405">
        <w:t>to</w:t>
      </w:r>
      <w:r w:rsidR="00190923" w:rsidRPr="00981405">
        <w:t xml:space="preserve"> </w:t>
      </w:r>
      <w:r w:rsidRPr="00981405">
        <w:t>interpret</w:t>
      </w:r>
      <w:r w:rsidR="00190923" w:rsidRPr="00981405">
        <w:t xml:space="preserve"> </w:t>
      </w:r>
      <w:r w:rsidRPr="00981405">
        <w:t>and</w:t>
      </w:r>
      <w:r w:rsidR="00190923" w:rsidRPr="00981405">
        <w:t xml:space="preserve"> </w:t>
      </w:r>
      <w:r w:rsidRPr="00981405">
        <w:t>apply</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It</w:t>
      </w:r>
      <w:r w:rsidR="00190923" w:rsidRPr="00981405">
        <w:t xml:space="preserve"> </w:t>
      </w:r>
      <w:r w:rsidRPr="00981405">
        <w:t>is</w:t>
      </w:r>
      <w:r w:rsidR="00190923" w:rsidRPr="00981405">
        <w:t xml:space="preserve"> </w:t>
      </w:r>
      <w:r w:rsidRPr="00981405">
        <w:t>not</w:t>
      </w:r>
      <w:r w:rsidR="00190923" w:rsidRPr="00981405">
        <w:t xml:space="preserve"> </w:t>
      </w:r>
      <w:r w:rsidRPr="00981405">
        <w:t>usually</w:t>
      </w:r>
      <w:r w:rsidR="00190923" w:rsidRPr="00981405">
        <w:t xml:space="preserve"> </w:t>
      </w:r>
      <w:r w:rsidRPr="00981405">
        <w:t>applying</w:t>
      </w:r>
      <w:r w:rsidR="00190923" w:rsidRPr="00981405">
        <w:t xml:space="preserve"> </w:t>
      </w:r>
      <w:r w:rsidRPr="00981405">
        <w:t>provisions</w:t>
      </w:r>
      <w:r w:rsidR="00190923" w:rsidRPr="00981405">
        <w:t xml:space="preserve"> </w:t>
      </w:r>
      <w:r w:rsidRPr="00981405">
        <w:t>of</w:t>
      </w:r>
      <w:r w:rsidR="00190923" w:rsidRPr="00981405">
        <w:t xml:space="preserve"> </w:t>
      </w:r>
      <w:r w:rsidRPr="00981405">
        <w:t>domestic</w:t>
      </w:r>
      <w:r w:rsidR="00190923" w:rsidRPr="00981405">
        <w:t xml:space="preserve"> </w:t>
      </w:r>
      <w:r w:rsidRPr="00981405">
        <w:t>law</w:t>
      </w:r>
      <w:r w:rsidR="00190923" w:rsidRPr="00981405">
        <w:t xml:space="preserve"> </w:t>
      </w:r>
      <w:r w:rsidRPr="00981405">
        <w:t>although</w:t>
      </w:r>
      <w:r w:rsidR="00190923" w:rsidRPr="00981405">
        <w:t xml:space="preserve"> </w:t>
      </w:r>
      <w:r w:rsidRPr="00981405">
        <w:t>in</w:t>
      </w:r>
      <w:r w:rsidR="00190923" w:rsidRPr="00981405">
        <w:t xml:space="preserve"> </w:t>
      </w:r>
      <w:r w:rsidRPr="00981405">
        <w:t>some</w:t>
      </w:r>
      <w:r w:rsidR="00190923" w:rsidRPr="00981405">
        <w:t xml:space="preserve"> </w:t>
      </w:r>
      <w:r w:rsidRPr="00981405">
        <w:t>cases</w:t>
      </w:r>
      <w:r w:rsidR="00190923" w:rsidRPr="00981405">
        <w:t xml:space="preserve"> </w:t>
      </w:r>
      <w:r w:rsidRPr="00981405">
        <w:t>the</w:t>
      </w:r>
      <w:r w:rsidR="00190923" w:rsidRPr="00981405">
        <w:t xml:space="preserve"> </w:t>
      </w:r>
      <w:r w:rsidRPr="00981405">
        <w:t>treaty</w:t>
      </w:r>
      <w:r w:rsidR="00190923" w:rsidRPr="00981405">
        <w:t xml:space="preserve"> </w:t>
      </w:r>
      <w:r w:rsidRPr="00981405">
        <w:t>may</w:t>
      </w:r>
      <w:r w:rsidR="00190923" w:rsidRPr="00981405">
        <w:t xml:space="preserve"> </w:t>
      </w:r>
      <w:r w:rsidRPr="00981405">
        <w:t>call</w:t>
      </w:r>
      <w:r w:rsidR="00190923" w:rsidRPr="00981405">
        <w:t xml:space="preserve"> </w:t>
      </w:r>
      <w:r w:rsidRPr="00981405">
        <w:t>for</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domestic</w:t>
      </w:r>
      <w:r w:rsidR="00190923" w:rsidRPr="00981405">
        <w:t xml:space="preserve"> </w:t>
      </w:r>
      <w:r w:rsidRPr="00981405">
        <w:t>law.</w:t>
      </w:r>
      <w:r w:rsidR="00190923" w:rsidRPr="00981405">
        <w:t xml:space="preserve"> </w:t>
      </w:r>
      <w:r w:rsidRPr="00981405">
        <w:t>Moreover,</w:t>
      </w:r>
      <w:r w:rsidR="00190923" w:rsidRPr="00981405">
        <w:t xml:space="preserve"> </w:t>
      </w:r>
      <w:r w:rsidRPr="00981405">
        <w:t>if</w:t>
      </w:r>
      <w:r w:rsidR="00190923" w:rsidRPr="00981405">
        <w:t xml:space="preserve"> </w:t>
      </w:r>
      <w:r w:rsidRPr="00981405">
        <w:t>the</w:t>
      </w:r>
      <w:r w:rsidR="00190923" w:rsidRPr="00981405">
        <w:t xml:space="preserve"> </w:t>
      </w:r>
      <w:r w:rsidRPr="00981405">
        <w:t>tribunal</w:t>
      </w:r>
      <w:r w:rsidR="00190923" w:rsidRPr="00981405">
        <w:t xml:space="preserve"> </w:t>
      </w:r>
      <w:r w:rsidRPr="00981405">
        <w:t>is</w:t>
      </w:r>
      <w:r w:rsidR="00190923" w:rsidRPr="00981405">
        <w:t xml:space="preserve"> </w:t>
      </w:r>
      <w:r w:rsidRPr="00981405">
        <w:t>established</w:t>
      </w:r>
      <w:r w:rsidR="00190923" w:rsidRPr="00981405">
        <w:t xml:space="preserve"> </w:t>
      </w:r>
      <w:r w:rsidRPr="00981405">
        <w:t>under</w:t>
      </w:r>
      <w:r w:rsidR="00190923" w:rsidRPr="00981405">
        <w:t xml:space="preserve"> </w:t>
      </w:r>
      <w:r w:rsidRPr="00981405">
        <w:t>ICSID</w:t>
      </w:r>
      <w:r w:rsidR="00190923" w:rsidRPr="00981405">
        <w:t xml:space="preserve"> </w:t>
      </w:r>
      <w:r w:rsidRPr="00981405">
        <w:t>it</w:t>
      </w:r>
      <w:r w:rsidR="00190923" w:rsidRPr="00981405">
        <w:t xml:space="preserve"> </w:t>
      </w:r>
      <w:r w:rsidRPr="00981405">
        <w:t>is</w:t>
      </w:r>
      <w:r w:rsidR="00190923" w:rsidRPr="00981405">
        <w:t xml:space="preserve"> </w:t>
      </w:r>
      <w:r w:rsidRPr="00981405">
        <w:t>specifically</w:t>
      </w:r>
      <w:r w:rsidR="00190923" w:rsidRPr="00981405">
        <w:t xml:space="preserve"> </w:t>
      </w:r>
      <w:r w:rsidRPr="00981405">
        <w:t>mandated</w:t>
      </w:r>
      <w:r w:rsidR="00190923" w:rsidRPr="00981405">
        <w:t xml:space="preserve"> </w:t>
      </w:r>
      <w:r w:rsidRPr="00981405">
        <w:t>to</w:t>
      </w:r>
      <w:r w:rsidR="00190923" w:rsidRPr="00981405">
        <w:t xml:space="preserve"> </w:t>
      </w:r>
      <w:r w:rsidRPr="00981405">
        <w:t>apply</w:t>
      </w:r>
      <w:r w:rsidR="00190923" w:rsidRPr="00981405">
        <w:t xml:space="preserve"> </w:t>
      </w:r>
      <w:r w:rsidR="00B92E2C" w:rsidRPr="00981405">
        <w:t>“</w:t>
      </w:r>
      <w:r w:rsidRPr="00981405">
        <w:t>such</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as</w:t>
      </w:r>
      <w:r w:rsidR="00190923" w:rsidRPr="00981405">
        <w:t xml:space="preserve"> </w:t>
      </w:r>
      <w:r w:rsidRPr="00981405">
        <w:t>may</w:t>
      </w:r>
      <w:r w:rsidR="00190923" w:rsidRPr="00981405">
        <w:t xml:space="preserve"> </w:t>
      </w:r>
      <w:r w:rsidRPr="00981405">
        <w:t>be</w:t>
      </w:r>
      <w:r w:rsidR="00190923" w:rsidRPr="00981405">
        <w:t xml:space="preserve"> </w:t>
      </w:r>
      <w:r w:rsidRPr="00981405">
        <w:t>applicable.</w:t>
      </w:r>
      <w:r w:rsidR="00B92E2C" w:rsidRPr="00981405">
        <w:t>”</w:t>
      </w:r>
      <w:r w:rsidRPr="00981405">
        <w:rPr>
          <w:rStyle w:val="FootnoteReference"/>
        </w:rPr>
        <w:footnoteReference w:id="570"/>
      </w:r>
    </w:p>
    <w:p w:rsidR="00397032" w:rsidRPr="00981405" w:rsidRDefault="00397032" w:rsidP="00D97463">
      <w:pPr>
        <w:pStyle w:val="SingleTxt"/>
      </w:pPr>
      <w:r w:rsidRPr="00981405">
        <w:t>157.</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00B92E2C" w:rsidRPr="00981405">
        <w:t>“</w:t>
      </w:r>
      <w:r w:rsidRPr="00981405">
        <w:t>mixed</w:t>
      </w:r>
      <w:r w:rsidR="00B92E2C" w:rsidRPr="00981405">
        <w:t>”</w:t>
      </w:r>
      <w:r w:rsidR="00190923" w:rsidRPr="00981405">
        <w:t xml:space="preserve"> </w:t>
      </w:r>
      <w:r w:rsidRPr="00981405">
        <w:t>nature</w:t>
      </w:r>
      <w:r w:rsidR="00190923" w:rsidRPr="00981405">
        <w:t xml:space="preserve"> </w:t>
      </w:r>
      <w:r w:rsidRPr="00981405">
        <w:t>of</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arbitration</w:t>
      </w:r>
      <w:r w:rsidR="00190923" w:rsidRPr="00981405">
        <w:t xml:space="preserve"> </w:t>
      </w:r>
      <w:r w:rsidRPr="00981405">
        <w:t>does</w:t>
      </w:r>
      <w:r w:rsidR="00190923" w:rsidRPr="00981405">
        <w:t xml:space="preserve"> </w:t>
      </w:r>
      <w:r w:rsidRPr="00981405">
        <w:t>not</w:t>
      </w:r>
      <w:r w:rsidR="00190923" w:rsidRPr="00981405">
        <w:t xml:space="preserve"> </w:t>
      </w:r>
      <w:r w:rsidRPr="00981405">
        <w:t>justify</w:t>
      </w:r>
      <w:r w:rsidR="00190923" w:rsidRPr="00981405">
        <w:t xml:space="preserve"> </w:t>
      </w:r>
      <w:r w:rsidRPr="00981405">
        <w:t>a</w:t>
      </w:r>
      <w:r w:rsidR="00190923" w:rsidRPr="00981405">
        <w:t xml:space="preserve"> </w:t>
      </w:r>
      <w:r w:rsidRPr="00981405">
        <w:t>different</w:t>
      </w:r>
      <w:r w:rsidR="00190923" w:rsidRPr="00981405">
        <w:t xml:space="preserve"> </w:t>
      </w:r>
      <w:r w:rsidRPr="00981405">
        <w:t>approach</w:t>
      </w:r>
      <w:r w:rsidR="00190923" w:rsidRPr="00981405">
        <w:t xml:space="preserve"> </w:t>
      </w:r>
      <w:r w:rsidRPr="00981405">
        <w:t>to</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on</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when</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being</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investment</w:t>
      </w:r>
      <w:r w:rsidR="00190923" w:rsidRPr="00981405">
        <w:t xml:space="preserve"> </w:t>
      </w:r>
      <w:r w:rsidRPr="00981405">
        <w:t>agreement</w:t>
      </w:r>
      <w:r w:rsidR="00190923" w:rsidRPr="00981405">
        <w:t xml:space="preserve"> </w:t>
      </w:r>
      <w:r w:rsidRPr="00981405">
        <w:t>is</w:t>
      </w:r>
      <w:r w:rsidR="00190923" w:rsidRPr="00981405">
        <w:t xml:space="preserve"> </w:t>
      </w:r>
      <w:r w:rsidRPr="00981405">
        <w:t>a</w:t>
      </w:r>
      <w:r w:rsidR="00190923" w:rsidRPr="00981405">
        <w:t xml:space="preserve"> </w:t>
      </w:r>
      <w:r w:rsidRPr="00981405">
        <w:t>treaty</w:t>
      </w:r>
      <w:r w:rsidR="00190923" w:rsidRPr="00981405">
        <w:t xml:space="preserve"> </w:t>
      </w:r>
      <w:r w:rsidRPr="00981405">
        <w:t>whose</w:t>
      </w:r>
      <w:r w:rsidR="00190923" w:rsidRPr="00981405">
        <w:t xml:space="preserve"> </w:t>
      </w:r>
      <w:r w:rsidRPr="00981405">
        <w:t>provisions</w:t>
      </w:r>
      <w:r w:rsidR="00190923" w:rsidRPr="00981405">
        <w:t xml:space="preserve"> </w:t>
      </w:r>
      <w:r w:rsidRPr="00981405">
        <w:t>have</w:t>
      </w:r>
      <w:r w:rsidR="00190923" w:rsidRPr="00981405">
        <w:t xml:space="preserve"> </w:t>
      </w:r>
      <w:r w:rsidRPr="00981405">
        <w:t>been</w:t>
      </w:r>
      <w:r w:rsidR="00190923" w:rsidRPr="00981405">
        <w:t xml:space="preserve"> </w:t>
      </w:r>
      <w:r w:rsidRPr="00981405">
        <w:t>agreed</w:t>
      </w:r>
      <w:r w:rsidR="00190923" w:rsidRPr="00981405">
        <w:t xml:space="preserve"> </w:t>
      </w:r>
      <w:r w:rsidRPr="00981405">
        <w:t>to</w:t>
      </w:r>
      <w:r w:rsidR="00190923" w:rsidRPr="00981405">
        <w:t xml:space="preserve"> </w:t>
      </w:r>
      <w:r w:rsidRPr="00981405">
        <w:t>by</w:t>
      </w:r>
      <w:r w:rsidR="00190923" w:rsidRPr="00981405">
        <w:t xml:space="preserve"> </w:t>
      </w:r>
      <w:r w:rsidRPr="00981405">
        <w:t>States.</w:t>
      </w:r>
      <w:r w:rsidR="00190923" w:rsidRPr="00981405">
        <w:t xml:space="preserve"> </w:t>
      </w:r>
      <w:r w:rsidRPr="00981405">
        <w:t>The</w:t>
      </w:r>
      <w:r w:rsidR="00190923" w:rsidRPr="00981405">
        <w:t xml:space="preserve"> </w:t>
      </w:r>
      <w:r w:rsidRPr="00981405">
        <w:t>individual</w:t>
      </w:r>
      <w:r w:rsidR="00190923" w:rsidRPr="00981405">
        <w:t xml:space="preserve"> </w:t>
      </w:r>
      <w:r w:rsidRPr="00981405">
        <w:t>investor</w:t>
      </w:r>
      <w:r w:rsidR="00190923" w:rsidRPr="00981405">
        <w:t xml:space="preserve"> </w:t>
      </w:r>
      <w:r w:rsidRPr="00981405">
        <w:t>had</w:t>
      </w:r>
      <w:r w:rsidR="00190923" w:rsidRPr="00981405">
        <w:t xml:space="preserve"> </w:t>
      </w:r>
      <w:r w:rsidRPr="00981405">
        <w:t>no</w:t>
      </w:r>
      <w:r w:rsidR="00190923" w:rsidRPr="00981405">
        <w:t xml:space="preserve"> </w:t>
      </w:r>
      <w:r w:rsidRPr="00981405">
        <w:t>role</w:t>
      </w:r>
      <w:r w:rsidR="00190923" w:rsidRPr="00981405">
        <w:t xml:space="preserve"> </w:t>
      </w:r>
      <w:r w:rsidRPr="00981405">
        <w:t>in</w:t>
      </w:r>
      <w:r w:rsidR="00190923" w:rsidRPr="00981405">
        <w:t xml:space="preserve"> </w:t>
      </w:r>
      <w:r w:rsidRPr="00981405">
        <w:t>the</w:t>
      </w:r>
      <w:r w:rsidR="00190923" w:rsidRPr="00981405">
        <w:t xml:space="preserve"> </w:t>
      </w:r>
      <w:r w:rsidRPr="00981405">
        <w:t>creation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obligations;</w:t>
      </w:r>
      <w:r w:rsidR="00190923" w:rsidRPr="00981405">
        <w:t xml:space="preserve"> </w:t>
      </w:r>
      <w:r w:rsidRPr="00981405">
        <w:t>it</w:t>
      </w:r>
      <w:r w:rsidR="00190923" w:rsidRPr="00981405">
        <w:t xml:space="preserve"> </w:t>
      </w:r>
      <w:r w:rsidRPr="00981405">
        <w:t>simply</w:t>
      </w:r>
      <w:r w:rsidR="00190923" w:rsidRPr="00981405">
        <w:t xml:space="preserve"> </w:t>
      </w:r>
      <w:r w:rsidRPr="00981405">
        <w:t>has</w:t>
      </w:r>
      <w:r w:rsidR="00190923" w:rsidRPr="00981405">
        <w:t xml:space="preserve"> </w:t>
      </w:r>
      <w:r w:rsidRPr="00981405">
        <w:t>a</w:t>
      </w:r>
      <w:r w:rsidR="00190923" w:rsidRPr="00981405">
        <w:t xml:space="preserve"> </w:t>
      </w:r>
      <w:r w:rsidRPr="00981405">
        <w:t>right</w:t>
      </w:r>
      <w:r w:rsidR="00190923" w:rsidRPr="00981405">
        <w:t xml:space="preserve"> </w:t>
      </w:r>
      <w:r w:rsidRPr="00981405">
        <w:t>to</w:t>
      </w:r>
      <w:r w:rsidR="00190923" w:rsidRPr="00981405">
        <w:t xml:space="preserve"> </w:t>
      </w:r>
      <w:r w:rsidRPr="00981405">
        <w:t>bring</w:t>
      </w:r>
      <w:r w:rsidR="00190923" w:rsidRPr="00981405">
        <w:t xml:space="preserve"> </w:t>
      </w:r>
      <w:r w:rsidRPr="00981405">
        <w:t>a</w:t>
      </w:r>
      <w:r w:rsidR="00190923" w:rsidRPr="00981405">
        <w:t xml:space="preserve"> </w:t>
      </w:r>
      <w:r w:rsidRPr="00981405">
        <w:t>claim</w:t>
      </w:r>
      <w:r w:rsidR="00190923" w:rsidRPr="00981405">
        <w:t xml:space="preserve"> </w:t>
      </w:r>
      <w:r w:rsidRPr="00981405">
        <w:t>under</w:t>
      </w:r>
      <w:r w:rsidR="00190923" w:rsidRPr="00981405">
        <w:t xml:space="preserve"> </w:t>
      </w:r>
      <w:r w:rsidRPr="00981405">
        <w:t>the</w:t>
      </w:r>
      <w:r w:rsidR="00190923" w:rsidRPr="00981405">
        <w:t xml:space="preserve"> </w:t>
      </w:r>
      <w:r w:rsidRPr="00981405">
        <w:t>treaty.</w:t>
      </w:r>
      <w:r w:rsidR="00190923" w:rsidRPr="00981405">
        <w:t xml:space="preserve"> </w:t>
      </w:r>
      <w:r w:rsidRPr="00981405">
        <w:t>As</w:t>
      </w:r>
      <w:r w:rsidR="00190923" w:rsidRPr="00981405">
        <w:t xml:space="preserve"> </w:t>
      </w:r>
      <w:r w:rsidRPr="00981405">
        <w:t>a</w:t>
      </w:r>
      <w:r w:rsidR="00190923" w:rsidRPr="00981405">
        <w:t xml:space="preserve"> </w:t>
      </w:r>
      <w:r w:rsidRPr="00981405">
        <w:t>treaty</w:t>
      </w:r>
      <w:r w:rsidR="00190923" w:rsidRPr="00981405">
        <w:t xml:space="preserve"> </w:t>
      </w:r>
      <w:r w:rsidRPr="00981405">
        <w:t>it</w:t>
      </w:r>
      <w:r w:rsidR="00190923" w:rsidRPr="00981405">
        <w:t xml:space="preserve"> </w:t>
      </w:r>
      <w:r w:rsidRPr="00981405">
        <w:t>must</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accepted</w:t>
      </w:r>
      <w:r w:rsidR="00190923" w:rsidRPr="00981405">
        <w:t xml:space="preserve"> </w:t>
      </w:r>
      <w:r w:rsidRPr="00981405">
        <w:t>rules</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governing</w:t>
      </w:r>
      <w:r w:rsidR="00190923" w:rsidRPr="00981405">
        <w:t xml:space="preserve"> </w:t>
      </w:r>
      <w:r w:rsidRPr="00981405">
        <w:t>treaty</w:t>
      </w:r>
      <w:r w:rsidR="00190923" w:rsidRPr="00981405">
        <w:t xml:space="preserve"> </w:t>
      </w:r>
      <w:r w:rsidRPr="00981405">
        <w:t>interpretation.</w:t>
      </w:r>
    </w:p>
    <w:p w:rsidR="00397032" w:rsidRPr="00D97463" w:rsidRDefault="00397032" w:rsidP="00D97463">
      <w:pPr>
        <w:pStyle w:val="SingleTxt"/>
        <w:keepNext/>
        <w:keepLines/>
        <w:spacing w:after="0" w:line="120" w:lineRule="exact"/>
        <w:rPr>
          <w:sz w:val="10"/>
        </w:rPr>
      </w:pPr>
    </w:p>
    <w:p w:rsidR="00BF6F4D" w:rsidRPr="00D97463" w:rsidRDefault="00BF6F4D" w:rsidP="00D97463">
      <w:pPr>
        <w:pStyle w:val="SingleTxt"/>
        <w:keepNext/>
        <w:keepLines/>
        <w:spacing w:after="0" w:line="120" w:lineRule="exact"/>
        <w:rPr>
          <w:sz w:val="10"/>
        </w:rPr>
      </w:pPr>
    </w:p>
    <w:p w:rsidR="00397032" w:rsidRPr="00D97463" w:rsidRDefault="00397032" w:rsidP="00D97463">
      <w:pPr>
        <w:pStyle w:val="H1"/>
        <w:ind w:right="1260"/>
      </w:pPr>
      <w:bookmarkStart w:id="292" w:name="_Toc294353695"/>
      <w:r w:rsidRPr="00D97463">
        <w:tab/>
      </w:r>
      <w:bookmarkStart w:id="293" w:name="_Toc427938195"/>
      <w:r w:rsidRPr="00D97463">
        <w:t>C.</w:t>
      </w:r>
      <w:r w:rsidRPr="00D97463">
        <w:tab/>
        <w:t>The</w:t>
      </w:r>
      <w:r w:rsidR="00190923" w:rsidRPr="00D97463">
        <w:t xml:space="preserve"> </w:t>
      </w:r>
      <w:r w:rsidRPr="00D97463">
        <w:t>contemporary</w:t>
      </w:r>
      <w:r w:rsidR="00190923" w:rsidRPr="00D97463">
        <w:t xml:space="preserve"> </w:t>
      </w:r>
      <w:r w:rsidRPr="00D97463">
        <w:t>relevance</w:t>
      </w:r>
      <w:r w:rsidR="00190923" w:rsidRPr="00D97463">
        <w:t xml:space="preserve"> </w:t>
      </w:r>
      <w:r w:rsidRPr="00D97463">
        <w:t>of</w:t>
      </w:r>
      <w:r w:rsidR="00190923" w:rsidRPr="00D97463">
        <w:t xml:space="preserve"> </w:t>
      </w:r>
      <w:r w:rsidRPr="00D97463">
        <w:t>the</w:t>
      </w:r>
      <w:r w:rsidR="00190923" w:rsidRPr="00D97463">
        <w:t xml:space="preserve"> </w:t>
      </w:r>
      <w:r w:rsidRPr="00D97463">
        <w:t>1978</w:t>
      </w:r>
      <w:r w:rsidR="00190923" w:rsidRPr="00D97463">
        <w:t xml:space="preserve"> </w:t>
      </w:r>
      <w:r w:rsidRPr="00D97463">
        <w:t>draft</w:t>
      </w:r>
      <w:r w:rsidR="00190923" w:rsidRPr="00D97463">
        <w:t xml:space="preserve"> </w:t>
      </w:r>
      <w:r w:rsidRPr="00D97463">
        <w:t>articles</w:t>
      </w:r>
      <w:r w:rsidR="00190923" w:rsidRPr="00D97463">
        <w:t xml:space="preserve"> </w:t>
      </w:r>
      <w:r w:rsidRPr="00D97463">
        <w:t>to</w:t>
      </w:r>
      <w:r w:rsidR="00190923" w:rsidRPr="00D97463">
        <w:t xml:space="preserve"> </w:t>
      </w:r>
      <w:r w:rsidRPr="00D97463">
        <w:t>the</w:t>
      </w:r>
      <w:r w:rsidR="00190923" w:rsidRPr="00D97463">
        <w:t xml:space="preserve"> </w:t>
      </w:r>
      <w:r w:rsidRPr="00D97463">
        <w:t>interpretation</w:t>
      </w:r>
      <w:r w:rsidR="00190923" w:rsidRPr="00D97463">
        <w:t xml:space="preserve"> </w:t>
      </w:r>
      <w:r w:rsidRPr="00D97463">
        <w:t>of</w:t>
      </w:r>
      <w:r w:rsidR="00190923" w:rsidRPr="00D97463">
        <w:t xml:space="preserve"> </w:t>
      </w:r>
      <w:r w:rsidRPr="00D97463">
        <w:t>MFN</w:t>
      </w:r>
      <w:r w:rsidR="00190923" w:rsidRPr="00D97463">
        <w:t xml:space="preserve"> </w:t>
      </w:r>
      <w:r w:rsidRPr="00D97463">
        <w:t>provisions</w:t>
      </w:r>
      <w:bookmarkEnd w:id="292"/>
      <w:bookmarkEnd w:id="293"/>
    </w:p>
    <w:p w:rsidR="00397032" w:rsidRPr="00D97463" w:rsidRDefault="00397032" w:rsidP="00D97463">
      <w:pPr>
        <w:pStyle w:val="SingleTxt"/>
        <w:keepNext/>
        <w:keepLines/>
        <w:spacing w:after="0" w:line="120" w:lineRule="exact"/>
        <w:rPr>
          <w:sz w:val="10"/>
        </w:rPr>
      </w:pPr>
    </w:p>
    <w:p w:rsidR="00BF6F4D" w:rsidRPr="00D97463" w:rsidRDefault="00BF6F4D" w:rsidP="00D97463">
      <w:pPr>
        <w:pStyle w:val="SingleTxt"/>
        <w:keepNext/>
        <w:keepLines/>
        <w:spacing w:after="0" w:line="120" w:lineRule="exact"/>
        <w:rPr>
          <w:sz w:val="10"/>
        </w:rPr>
      </w:pPr>
    </w:p>
    <w:p w:rsidR="00397032" w:rsidRPr="00981405" w:rsidRDefault="00397032" w:rsidP="00D97463">
      <w:pPr>
        <w:pStyle w:val="SingleTxt"/>
        <w:keepNext/>
        <w:keepLines/>
      </w:pPr>
      <w:r w:rsidRPr="00981405">
        <w:t>158.</w:t>
      </w:r>
      <w:r w:rsidRPr="00981405">
        <w:tab/>
        <w:t>As</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noted</w:t>
      </w:r>
      <w:r w:rsidR="00190923" w:rsidRPr="00981405">
        <w:t xml:space="preserve"> </w:t>
      </w:r>
      <w:r w:rsidRPr="00981405">
        <w:t>earlier,</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contemplated</w:t>
      </w:r>
      <w:r w:rsidR="00190923" w:rsidRPr="00981405">
        <w:t xml:space="preserve"> </w:t>
      </w:r>
      <w:r w:rsidRPr="00981405">
        <w:t>that</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might</w:t>
      </w:r>
      <w:r w:rsidR="00190923" w:rsidRPr="00981405">
        <w:t xml:space="preserve"> </w:t>
      </w:r>
      <w:r w:rsidRPr="00981405">
        <w:t>be</w:t>
      </w:r>
      <w:r w:rsidR="00190923" w:rsidRPr="00981405">
        <w:t xml:space="preserve"> </w:t>
      </w:r>
      <w:r w:rsidRPr="00981405">
        <w:t>an</w:t>
      </w:r>
      <w:r w:rsidR="00190923" w:rsidRPr="00981405">
        <w:t xml:space="preserve"> </w:t>
      </w:r>
      <w:r w:rsidRPr="00981405">
        <w:t>individual</w:t>
      </w:r>
      <w:r w:rsidR="00190923" w:rsidRPr="00981405">
        <w:t xml:space="preserve"> </w:t>
      </w:r>
      <w:r w:rsidRPr="00981405">
        <w:t>or</w:t>
      </w:r>
      <w:r w:rsidR="00190923" w:rsidRPr="00981405">
        <w:t xml:space="preserve"> </w:t>
      </w:r>
      <w:r w:rsidRPr="00981405">
        <w:t>an</w:t>
      </w:r>
      <w:r w:rsidR="00190923" w:rsidRPr="00981405">
        <w:t xml:space="preserve"> </w:t>
      </w:r>
      <w:r w:rsidRPr="00981405">
        <w:t>entity</w:t>
      </w:r>
      <w:r w:rsidR="00190923" w:rsidRPr="00981405">
        <w:t xml:space="preserve"> </w:t>
      </w:r>
      <w:r w:rsidR="00B92E2C" w:rsidRPr="00981405">
        <w:t>“</w:t>
      </w:r>
      <w:r w:rsidRPr="00981405">
        <w:t>in</w:t>
      </w:r>
      <w:r w:rsidR="00190923" w:rsidRPr="00981405">
        <w:t xml:space="preserve"> </w:t>
      </w:r>
      <w:r w:rsidRPr="00981405">
        <w:t>a</w:t>
      </w:r>
      <w:r w:rsidR="00190923" w:rsidRPr="00981405">
        <w:t xml:space="preserve"> </w:t>
      </w:r>
      <w:r w:rsidRPr="00981405">
        <w:t>determined</w:t>
      </w:r>
      <w:r w:rsidR="00190923" w:rsidRPr="00981405">
        <w:t xml:space="preserve"> </w:t>
      </w:r>
      <w:r w:rsidRPr="00981405">
        <w:t>relationship</w:t>
      </w:r>
      <w:r w:rsidR="00B92E2C" w:rsidRPr="00981405">
        <w:t>”</w:t>
      </w:r>
      <w:r w:rsidR="00190923" w:rsidRPr="00981405">
        <w:t xml:space="preserve"> </w:t>
      </w:r>
      <w:r w:rsidRPr="00981405">
        <w:t>with</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State.</w:t>
      </w:r>
      <w:r w:rsidR="00190923" w:rsidRPr="00981405">
        <w:t xml:space="preserve"> </w:t>
      </w:r>
      <w:r w:rsidRPr="00981405">
        <w:t>But</w:t>
      </w:r>
      <w:r w:rsidR="00190923" w:rsidRPr="00981405">
        <w:t xml:space="preserve"> </w:t>
      </w:r>
      <w:r w:rsidRPr="00981405">
        <w:t>it</w:t>
      </w:r>
      <w:r w:rsidR="00190923" w:rsidRPr="00981405">
        <w:t xml:space="preserve"> </w:t>
      </w:r>
      <w:r w:rsidRPr="00981405">
        <w:t>did</w:t>
      </w:r>
      <w:r w:rsidR="00190923" w:rsidRPr="00981405">
        <w:t xml:space="preserve"> </w:t>
      </w:r>
      <w:r w:rsidRPr="00981405">
        <w:t>not</w:t>
      </w:r>
      <w:r w:rsidR="00190923" w:rsidRPr="00981405">
        <w:t xml:space="preserve"> </w:t>
      </w:r>
      <w:r w:rsidRPr="00981405">
        <w:t>consider</w:t>
      </w:r>
      <w:r w:rsidR="00190923" w:rsidRPr="00981405">
        <w:t xml:space="preserve"> </w:t>
      </w:r>
      <w:r w:rsidRPr="00981405">
        <w:t>the</w:t>
      </w:r>
      <w:r w:rsidR="00190923" w:rsidRPr="00981405">
        <w:t xml:space="preserve"> </w:t>
      </w:r>
      <w:r w:rsidRPr="00981405">
        <w:t>implications</w:t>
      </w:r>
      <w:r w:rsidR="00190923" w:rsidRPr="00981405">
        <w:t xml:space="preserve"> </w:t>
      </w:r>
      <w:r w:rsidRPr="00981405">
        <w:t>of</w:t>
      </w:r>
      <w:r w:rsidR="00190923" w:rsidRPr="00981405">
        <w:t xml:space="preserve"> </w:t>
      </w:r>
      <w:r w:rsidRPr="00981405">
        <w:t>this</w:t>
      </w:r>
      <w:r w:rsidR="00190923" w:rsidRPr="00981405">
        <w:t xml:space="preserve"> </w:t>
      </w:r>
      <w:r w:rsidRPr="00981405">
        <w:t>since</w:t>
      </w:r>
      <w:r w:rsidR="00190923" w:rsidRPr="00981405">
        <w:t xml:space="preserve"> </w:t>
      </w:r>
      <w:r w:rsidRPr="00981405">
        <w:t>it</w:t>
      </w:r>
      <w:r w:rsidR="00190923" w:rsidRPr="00981405">
        <w:t xml:space="preserve"> </w:t>
      </w:r>
      <w:r w:rsidRPr="00981405">
        <w:t>regarded</w:t>
      </w:r>
      <w:r w:rsidR="00190923" w:rsidRPr="00981405">
        <w:t xml:space="preserve"> </w:t>
      </w:r>
      <w:r w:rsidRPr="00981405">
        <w:t>the</w:t>
      </w:r>
      <w:r w:rsidR="00190923" w:rsidRPr="00981405">
        <w:t xml:space="preserve"> </w:t>
      </w:r>
      <w:r w:rsidRPr="00981405">
        <w:t>rights</w:t>
      </w:r>
      <w:r w:rsidR="00190923" w:rsidRPr="00981405">
        <w:t xml:space="preserve"> </w:t>
      </w:r>
      <w:r w:rsidRPr="00981405">
        <w:t>of</w:t>
      </w:r>
      <w:r w:rsidR="00190923" w:rsidRPr="00981405">
        <w:t xml:space="preserve"> </w:t>
      </w:r>
      <w:r w:rsidRPr="00981405">
        <w:t>individuals</w:t>
      </w:r>
      <w:r w:rsidR="00190923" w:rsidRPr="00981405">
        <w:t xml:space="preserve"> </w:t>
      </w:r>
      <w:r w:rsidRPr="00981405">
        <w:t>to</w:t>
      </w:r>
      <w:r w:rsidR="00190923" w:rsidRPr="00981405">
        <w:t xml:space="preserve"> </w:t>
      </w:r>
      <w:r w:rsidRPr="00981405">
        <w:t>be</w:t>
      </w:r>
      <w:r w:rsidR="00190923" w:rsidRPr="00981405">
        <w:t xml:space="preserve"> </w:t>
      </w:r>
      <w:r w:rsidRPr="00981405">
        <w:t>outside</w:t>
      </w:r>
      <w:r w:rsidR="00190923" w:rsidRPr="00981405">
        <w:t xml:space="preserve"> </w:t>
      </w:r>
      <w:r w:rsidRPr="00981405">
        <w:t>its</w:t>
      </w:r>
      <w:r w:rsidR="00190923" w:rsidRPr="00981405">
        <w:t xml:space="preserve"> </w:t>
      </w:r>
      <w:r w:rsidRPr="00981405">
        <w:t>mandate.</w:t>
      </w:r>
      <w:r w:rsidR="00190923" w:rsidRPr="00981405">
        <w:t xml:space="preserve"> </w:t>
      </w:r>
      <w:r w:rsidRPr="00981405">
        <w:t>Nonetheless,</w:t>
      </w:r>
      <w:r w:rsidR="00190923" w:rsidRPr="00981405">
        <w:t xml:space="preserve"> </w:t>
      </w:r>
      <w:r w:rsidRPr="00981405">
        <w:t>the</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are</w:t>
      </w:r>
      <w:r w:rsidR="00190923" w:rsidRPr="00981405">
        <w:t xml:space="preserve"> </w:t>
      </w:r>
      <w:r w:rsidRPr="00981405">
        <w:t>frequently</w:t>
      </w:r>
      <w:r w:rsidR="00190923" w:rsidRPr="00981405">
        <w:t xml:space="preserve"> </w:t>
      </w:r>
      <w:r w:rsidRPr="00981405">
        <w:t>referred</w:t>
      </w:r>
      <w:r w:rsidR="00190923" w:rsidRPr="00981405">
        <w:t xml:space="preserve"> </w:t>
      </w:r>
      <w:r w:rsidRPr="00981405">
        <w:t>to</w:t>
      </w:r>
      <w:r w:rsidR="00190923" w:rsidRPr="00981405">
        <w:t xml:space="preserve"> </w:t>
      </w:r>
      <w:r w:rsidRPr="00981405">
        <w:t>by</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tribunals</w:t>
      </w:r>
      <w:r w:rsidR="00190923" w:rsidRPr="00981405">
        <w:t xml:space="preserve"> </w:t>
      </w:r>
      <w:r w:rsidRPr="00981405">
        <w:t>as</w:t>
      </w:r>
      <w:r w:rsidR="00190923" w:rsidRPr="00981405">
        <w:t xml:space="preserve"> </w:t>
      </w:r>
      <w:r w:rsidRPr="00981405">
        <w:t>setting</w:t>
      </w:r>
      <w:r w:rsidR="00190923" w:rsidRPr="00981405">
        <w:t xml:space="preserve"> </w:t>
      </w:r>
      <w:r w:rsidRPr="00981405">
        <w:t>out</w:t>
      </w:r>
      <w:r w:rsidR="00190923" w:rsidRPr="00981405">
        <w:t xml:space="preserve"> </w:t>
      </w:r>
      <w:r w:rsidRPr="00981405">
        <w:t>the</w:t>
      </w:r>
      <w:r w:rsidR="00190923" w:rsidRPr="00981405">
        <w:t xml:space="preserve"> </w:t>
      </w:r>
      <w:r w:rsidRPr="00981405">
        <w:t>basic</w:t>
      </w:r>
      <w:r w:rsidR="00190923" w:rsidRPr="00981405">
        <w:t xml:space="preserve"> </w:t>
      </w:r>
      <w:r w:rsidRPr="00981405">
        <w:t>law</w:t>
      </w:r>
      <w:r w:rsidR="00190923" w:rsidRPr="00981405">
        <w:t xml:space="preserve"> </w:t>
      </w:r>
      <w:r w:rsidRPr="00981405">
        <w:t>on</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00BF6F4D" w:rsidRPr="00981405">
        <w:rPr>
          <w:i/>
          <w:iCs/>
        </w:rPr>
        <w:t>ejusdem generis</w:t>
      </w:r>
      <w:r w:rsidR="00190923" w:rsidRPr="00981405">
        <w:t xml:space="preserve"> </w:t>
      </w:r>
      <w:r w:rsidRPr="00981405">
        <w:t>principle.</w:t>
      </w:r>
    </w:p>
    <w:p w:rsidR="00397032" w:rsidRPr="00981405" w:rsidRDefault="00397032" w:rsidP="00D97463">
      <w:pPr>
        <w:pStyle w:val="SingleTxt"/>
      </w:pPr>
      <w:r w:rsidRPr="00981405">
        <w:t>159.</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noted,</w:t>
      </w:r>
      <w:r w:rsidR="00190923" w:rsidRPr="00981405">
        <w:t xml:space="preserve"> </w:t>
      </w:r>
      <w:r w:rsidRPr="00981405">
        <w:t>however,</w:t>
      </w:r>
      <w:r w:rsidR="00190923" w:rsidRPr="00981405">
        <w:t xml:space="preserve"> </w:t>
      </w:r>
      <w:r w:rsidRPr="00981405">
        <w:t>that</w:t>
      </w:r>
      <w:r w:rsidR="00190923" w:rsidRPr="00981405">
        <w:t xml:space="preserve"> </w:t>
      </w:r>
      <w:r w:rsidRPr="00981405">
        <w:t>while</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provide</w:t>
      </w:r>
      <w:r w:rsidR="00190923" w:rsidRPr="00981405">
        <w:t xml:space="preserve"> </w:t>
      </w:r>
      <w:r w:rsidRPr="00981405">
        <w:t>the</w:t>
      </w:r>
      <w:r w:rsidR="00190923" w:rsidRPr="00981405">
        <w:t xml:space="preserve"> </w:t>
      </w:r>
      <w:r w:rsidRPr="00981405">
        <w:t>core</w:t>
      </w:r>
      <w:r w:rsidR="00190923" w:rsidRPr="00981405">
        <w:t xml:space="preserve"> </w:t>
      </w:r>
      <w:r w:rsidRPr="00981405">
        <w:t>law</w:t>
      </w:r>
      <w:r w:rsidR="00190923" w:rsidRPr="00981405">
        <w:t xml:space="preserve"> </w:t>
      </w:r>
      <w:r w:rsidRPr="00981405">
        <w:t>on</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and</w:t>
      </w:r>
      <w:r w:rsidR="00190923" w:rsidRPr="00981405">
        <w:t xml:space="preserve"> </w:t>
      </w:r>
      <w:r w:rsidRPr="00981405">
        <w:t>meaning</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and</w:t>
      </w:r>
      <w:r w:rsidR="00190923" w:rsidRPr="00981405">
        <w:t xml:space="preserve"> </w:t>
      </w:r>
      <w:r w:rsidRPr="00981405">
        <w:t>MFN</w:t>
      </w:r>
      <w:r w:rsidR="00190923" w:rsidRPr="00981405">
        <w:t xml:space="preserve"> </w:t>
      </w:r>
      <w:r w:rsidRPr="00981405">
        <w:t>treatment,</w:t>
      </w:r>
      <w:r w:rsidR="00190923" w:rsidRPr="00981405">
        <w:t xml:space="preserve"> </w:t>
      </w:r>
      <w:r w:rsidRPr="00981405">
        <w:t>and</w:t>
      </w:r>
      <w:r w:rsidR="00190923" w:rsidRPr="00981405">
        <w:t xml:space="preserve"> </w:t>
      </w:r>
      <w:r w:rsidRPr="00981405">
        <w:t>lay</w:t>
      </w:r>
      <w:r w:rsidR="00190923" w:rsidRPr="00981405">
        <w:t xml:space="preserve"> </w:t>
      </w:r>
      <w:r w:rsidRPr="00981405">
        <w:t>down</w:t>
      </w:r>
      <w:r w:rsidR="00190923" w:rsidRPr="00981405">
        <w:t xml:space="preserve"> </w:t>
      </w:r>
      <w:r w:rsidRPr="00981405">
        <w:t>basic</w:t>
      </w:r>
      <w:r w:rsidR="00190923" w:rsidRPr="00981405">
        <w:t xml:space="preserve"> </w:t>
      </w:r>
      <w:r w:rsidRPr="00981405">
        <w:t>principles,</w:t>
      </w:r>
      <w:r w:rsidR="00190923" w:rsidRPr="00981405">
        <w:t xml:space="preserve"> </w:t>
      </w:r>
      <w:r w:rsidRPr="00981405">
        <w:t>they</w:t>
      </w:r>
      <w:r w:rsidR="00190923" w:rsidRPr="00981405">
        <w:t xml:space="preserve"> </w:t>
      </w:r>
      <w:r w:rsidRPr="00981405">
        <w:t>do</w:t>
      </w:r>
      <w:r w:rsidR="00190923" w:rsidRPr="00981405">
        <w:t xml:space="preserve"> </w:t>
      </w:r>
      <w:r w:rsidRPr="00981405">
        <w:t>not</w:t>
      </w:r>
      <w:r w:rsidR="00190923" w:rsidRPr="00981405">
        <w:t xml:space="preserve"> </w:t>
      </w:r>
      <w:r w:rsidRPr="00981405">
        <w:t>provide</w:t>
      </w:r>
      <w:r w:rsidR="00190923" w:rsidRPr="00981405">
        <w:t xml:space="preserve"> </w:t>
      </w:r>
      <w:r w:rsidRPr="00981405">
        <w:t>guidance</w:t>
      </w:r>
      <w:r w:rsidR="00190923" w:rsidRPr="00981405">
        <w:t xml:space="preserve"> </w:t>
      </w:r>
      <w:r w:rsidRPr="00981405">
        <w:t>on</w:t>
      </w:r>
      <w:r w:rsidR="00190923" w:rsidRPr="00981405">
        <w:t xml:space="preserve"> </w:t>
      </w:r>
      <w:r w:rsidRPr="00981405">
        <w:t>specific</w:t>
      </w:r>
      <w:r w:rsidR="00190923" w:rsidRPr="00981405">
        <w:t xml:space="preserve"> </w:t>
      </w:r>
      <w:r w:rsidRPr="00981405">
        <w:t>questions</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that</w:t>
      </w:r>
      <w:r w:rsidR="00190923" w:rsidRPr="00981405">
        <w:t xml:space="preserve"> </w:t>
      </w:r>
      <w:r w:rsidRPr="00981405">
        <w:t>can</w:t>
      </w:r>
      <w:r w:rsidR="00190923" w:rsidRPr="00981405">
        <w:t xml:space="preserve"> </w:t>
      </w:r>
      <w:r w:rsidRPr="00981405">
        <w:t>arise</w:t>
      </w:r>
      <w:r w:rsidR="00190923" w:rsidRPr="00981405">
        <w:t xml:space="preserve"> </w:t>
      </w:r>
      <w:r w:rsidRPr="00981405">
        <w:t>under</w:t>
      </w:r>
      <w:r w:rsidR="00190923" w:rsidRPr="00981405">
        <w:t xml:space="preserve"> </w:t>
      </w:r>
      <w:r w:rsidRPr="00981405">
        <w:t>the</w:t>
      </w:r>
      <w:r w:rsidR="00190923" w:rsidRPr="00981405">
        <w:t xml:space="preserve"> </w:t>
      </w:r>
      <w:r w:rsidRPr="00981405">
        <w:t>terms</w:t>
      </w:r>
      <w:r w:rsidR="00190923" w:rsidRPr="00981405">
        <w:t xml:space="preserve"> </w:t>
      </w:r>
      <w:r w:rsidRPr="00981405">
        <w:t>actually</w:t>
      </w:r>
      <w:r w:rsidR="00190923" w:rsidRPr="00981405">
        <w:t xml:space="preserve"> </w:t>
      </w:r>
      <w:r w:rsidRPr="00981405">
        <w:t>used</w:t>
      </w:r>
      <w:r w:rsidR="00190923" w:rsidRPr="00981405">
        <w:t xml:space="preserve"> </w:t>
      </w:r>
      <w:r w:rsidRPr="00981405">
        <w:t>in</w:t>
      </w:r>
      <w:r w:rsidR="00190923" w:rsidRPr="00981405">
        <w:t xml:space="preserve"> </w:t>
      </w:r>
      <w:r w:rsidRPr="00981405">
        <w:t>a</w:t>
      </w:r>
      <w:r w:rsidR="00190923" w:rsidRPr="00981405">
        <w:t xml:space="preserve"> </w:t>
      </w:r>
      <w:r w:rsidRPr="00981405">
        <w:t>particular</w:t>
      </w:r>
      <w:r w:rsidR="00190923" w:rsidRPr="00981405">
        <w:t xml:space="preserve"> </w:t>
      </w:r>
      <w:r w:rsidRPr="00981405">
        <w:t>treaty.</w:t>
      </w:r>
      <w:r w:rsidR="00190923" w:rsidRPr="00981405">
        <w:t xml:space="preserve"> </w:t>
      </w:r>
      <w:r w:rsidRPr="00981405">
        <w:t>The</w:t>
      </w:r>
      <w:r w:rsidR="00190923" w:rsidRPr="00981405">
        <w:t xml:space="preserve"> </w:t>
      </w:r>
      <w:r w:rsidRPr="00981405">
        <w:t>issue</w:t>
      </w:r>
      <w:r w:rsidR="00190923" w:rsidRPr="00981405">
        <w:t xml:space="preserve"> </w:t>
      </w:r>
      <w:r w:rsidRPr="00981405">
        <w:t>whether</w:t>
      </w:r>
      <w:r w:rsidR="00190923" w:rsidRPr="00981405">
        <w:t xml:space="preserve"> </w:t>
      </w:r>
      <w:r w:rsidRPr="00981405">
        <w:t>a</w:t>
      </w:r>
      <w:r w:rsidR="00190923" w:rsidRPr="00981405">
        <w:t xml:space="preserve"> </w:t>
      </w:r>
      <w:r w:rsidRPr="00981405">
        <w:t>procedural</w:t>
      </w:r>
      <w:r w:rsidR="00190923" w:rsidRPr="00981405">
        <w:t xml:space="preserve"> </w:t>
      </w:r>
      <w:r w:rsidRPr="00981405">
        <w:t>provision</w:t>
      </w:r>
      <w:r w:rsidR="00190923" w:rsidRPr="00981405">
        <w:t xml:space="preserve"> </w:t>
      </w:r>
      <w:r w:rsidRPr="00981405">
        <w:t>relating</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can</w:t>
      </w:r>
      <w:r w:rsidR="00190923" w:rsidRPr="00981405">
        <w:t xml:space="preserve"> </w:t>
      </w:r>
      <w:r w:rsidRPr="00981405">
        <w:t>be</w:t>
      </w:r>
      <w:r w:rsidR="00190923" w:rsidRPr="00981405">
        <w:t xml:space="preserve"> </w:t>
      </w:r>
      <w:r w:rsidRPr="00981405">
        <w:t>modified</w:t>
      </w:r>
      <w:r w:rsidR="00190923" w:rsidRPr="00981405">
        <w:t xml:space="preserve"> </w:t>
      </w:r>
      <w:r w:rsidRPr="00981405">
        <w:t>on</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is</w:t>
      </w:r>
      <w:r w:rsidR="00190923" w:rsidRPr="00981405">
        <w:t xml:space="preserve"> </w:t>
      </w:r>
      <w:r w:rsidRPr="00981405">
        <w:t>not</w:t>
      </w:r>
      <w:r w:rsidR="00190923" w:rsidRPr="00981405">
        <w:t xml:space="preserve"> </w:t>
      </w:r>
      <w:r w:rsidRPr="00981405">
        <w:t>answered,</w:t>
      </w:r>
      <w:r w:rsidR="00190923" w:rsidRPr="00981405">
        <w:t xml:space="preserve"> </w:t>
      </w:r>
      <w:r w:rsidRPr="00981405">
        <w:t>at</w:t>
      </w:r>
      <w:r w:rsidR="00190923" w:rsidRPr="00981405">
        <w:t xml:space="preserve"> </w:t>
      </w:r>
      <w:r w:rsidRPr="00981405">
        <w:t>least</w:t>
      </w:r>
      <w:r w:rsidR="00190923" w:rsidRPr="00981405">
        <w:t xml:space="preserve"> </w:t>
      </w:r>
      <w:r w:rsidRPr="00981405">
        <w:t>not</w:t>
      </w:r>
      <w:r w:rsidR="00190923" w:rsidRPr="00981405">
        <w:t xml:space="preserve"> </w:t>
      </w:r>
      <w:r w:rsidRPr="00981405">
        <w:t>directly,</w:t>
      </w:r>
      <w:r w:rsidR="00190923" w:rsidRPr="00981405">
        <w:t xml:space="preserve"> </w:t>
      </w:r>
      <w:r w:rsidRPr="00981405">
        <w:t>by</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p>
    <w:p w:rsidR="00397032" w:rsidRPr="00981405" w:rsidRDefault="00397032" w:rsidP="00D97463">
      <w:pPr>
        <w:pStyle w:val="SingleTxt"/>
      </w:pPr>
      <w:r w:rsidRPr="00981405">
        <w:t>160.</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considers</w:t>
      </w:r>
      <w:r w:rsidR="00190923" w:rsidRPr="00981405">
        <w:t xml:space="preserve"> </w:t>
      </w:r>
      <w:r w:rsidRPr="00981405">
        <w:t>that,</w:t>
      </w:r>
      <w:r w:rsidR="00190923" w:rsidRPr="00981405">
        <w:t xml:space="preserve"> </w:t>
      </w:r>
      <w:r w:rsidRPr="00981405">
        <w:t>having</w:t>
      </w:r>
      <w:r w:rsidR="00190923" w:rsidRPr="00981405">
        <w:t xml:space="preserve"> </w:t>
      </w:r>
      <w:r w:rsidRPr="00981405">
        <w:t>never</w:t>
      </w:r>
      <w:r w:rsidR="00190923" w:rsidRPr="00981405">
        <w:t xml:space="preserve"> </w:t>
      </w:r>
      <w:r w:rsidRPr="00981405">
        <w:t>been</w:t>
      </w:r>
      <w:r w:rsidR="00190923" w:rsidRPr="00981405">
        <w:t xml:space="preserve"> </w:t>
      </w:r>
      <w:r w:rsidRPr="00981405">
        <w:t>challenged</w:t>
      </w:r>
      <w:r w:rsidR="00190923" w:rsidRPr="00981405">
        <w:t xml:space="preserve"> </w:t>
      </w:r>
      <w:r w:rsidRPr="00981405">
        <w:t>and</w:t>
      </w:r>
      <w:r w:rsidR="00190923" w:rsidRPr="00981405">
        <w:t xml:space="preserve"> </w:t>
      </w:r>
      <w:r w:rsidRPr="00981405">
        <w:t>having</w:t>
      </w:r>
      <w:r w:rsidR="00190923" w:rsidRPr="00981405">
        <w:t xml:space="preserve"> </w:t>
      </w:r>
      <w:r w:rsidRPr="00981405">
        <w:t>been</w:t>
      </w:r>
      <w:r w:rsidR="00190923" w:rsidRPr="00981405">
        <w:t xml:space="preserve"> </w:t>
      </w:r>
      <w:r w:rsidRPr="00981405">
        <w:t>frequently</w:t>
      </w:r>
      <w:r w:rsidR="00190923" w:rsidRPr="00981405">
        <w:t xml:space="preserve"> </w:t>
      </w:r>
      <w:r w:rsidRPr="00981405">
        <w:t>applied,</w:t>
      </w:r>
      <w:r w:rsidR="00190923" w:rsidRPr="00981405">
        <w:t xml:space="preserve"> </w:t>
      </w:r>
      <w:r w:rsidRPr="00981405">
        <w:t>the</w:t>
      </w:r>
      <w:r w:rsidR="00190923" w:rsidRPr="00981405">
        <w:t xml:space="preserve"> </w:t>
      </w:r>
      <w:r w:rsidRPr="00981405">
        <w:t>core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Pr="00981405">
        <w:rPr>
          <w:rStyle w:val="FootnoteReference"/>
        </w:rPr>
        <w:footnoteReference w:id="571"/>
      </w:r>
      <w:r w:rsidR="00190923" w:rsidRPr="00981405">
        <w:t xml:space="preserve"> </w:t>
      </w:r>
      <w:r w:rsidRPr="00981405">
        <w:t>remain</w:t>
      </w:r>
      <w:r w:rsidR="00190923" w:rsidRPr="00981405">
        <w:t xml:space="preserve"> </w:t>
      </w:r>
      <w:r w:rsidRPr="00981405">
        <w:t>as</w:t>
      </w:r>
      <w:r w:rsidR="00190923" w:rsidRPr="00981405">
        <w:t xml:space="preserve"> </w:t>
      </w:r>
      <w:r w:rsidRPr="00981405">
        <w:t>an</w:t>
      </w:r>
      <w:r w:rsidR="00190923" w:rsidRPr="00981405">
        <w:t xml:space="preserve"> </w:t>
      </w:r>
      <w:r w:rsidRPr="00981405">
        <w:t>important</w:t>
      </w:r>
      <w:r w:rsidR="00190923" w:rsidRPr="00981405">
        <w:t xml:space="preserve"> </w:t>
      </w:r>
      <w:r w:rsidRPr="00981405">
        <w:t>source</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when</w:t>
      </w:r>
      <w:r w:rsidR="00190923" w:rsidRPr="00981405">
        <w:t xml:space="preserve"> </w:t>
      </w:r>
      <w:r w:rsidRPr="00981405">
        <w:t>considering</w:t>
      </w:r>
      <w:r w:rsidR="00190923" w:rsidRPr="00981405">
        <w:t xml:space="preserve"> </w:t>
      </w:r>
      <w:r w:rsidRPr="00981405">
        <w:t>the</w:t>
      </w:r>
      <w:r w:rsidR="00190923" w:rsidRPr="00981405">
        <w:t xml:space="preserve"> </w:t>
      </w:r>
      <w:r w:rsidRPr="00981405">
        <w:t>definition,</w:t>
      </w:r>
      <w:r w:rsidR="00190923" w:rsidRPr="00981405">
        <w:t xml:space="preserve"> </w:t>
      </w:r>
      <w:r w:rsidRPr="00981405">
        <w:t>scope</w:t>
      </w:r>
      <w:r w:rsidR="00190923" w:rsidRPr="00981405">
        <w:t xml:space="preserve"> </w:t>
      </w:r>
      <w:r w:rsidRPr="00981405">
        <w:t>and</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p>
    <w:p w:rsidR="00BF6F4D" w:rsidRPr="00D97463" w:rsidRDefault="00BF6F4D" w:rsidP="00D97463">
      <w:pPr>
        <w:pStyle w:val="SingleTxt"/>
        <w:spacing w:after="0" w:line="120" w:lineRule="exact"/>
        <w:rPr>
          <w:sz w:val="10"/>
        </w:rPr>
      </w:pPr>
    </w:p>
    <w:p w:rsidR="00BF6F4D" w:rsidRPr="00D97463" w:rsidRDefault="00BF6F4D" w:rsidP="00D97463">
      <w:pPr>
        <w:pStyle w:val="SingleTxt"/>
        <w:spacing w:after="0" w:line="120" w:lineRule="exact"/>
        <w:rPr>
          <w:sz w:val="10"/>
        </w:rPr>
      </w:pPr>
    </w:p>
    <w:p w:rsidR="00397032" w:rsidRPr="00D97463" w:rsidRDefault="00397032" w:rsidP="00D97463">
      <w:pPr>
        <w:pStyle w:val="HCh"/>
        <w:ind w:left="1267" w:right="1260" w:hanging="1267"/>
      </w:pPr>
      <w:bookmarkStart w:id="294" w:name="_Toc293434183"/>
      <w:bookmarkStart w:id="295" w:name="_Toc294353696"/>
      <w:r w:rsidRPr="00D97463">
        <w:tab/>
      </w:r>
      <w:r w:rsidRPr="00D97463">
        <w:tab/>
      </w:r>
      <w:bookmarkStart w:id="296" w:name="_Toc427938196"/>
      <w:r w:rsidRPr="00D97463">
        <w:t>Part</w:t>
      </w:r>
      <w:r w:rsidR="00190923" w:rsidRPr="00D97463">
        <w:t xml:space="preserve"> </w:t>
      </w:r>
      <w:r w:rsidRPr="00D97463">
        <w:t>IV</w:t>
      </w:r>
      <w:r w:rsidR="00BF6F4D" w:rsidRPr="00D97463">
        <w:br/>
      </w:r>
      <w:r w:rsidRPr="00D97463">
        <w:t>Guidance</w:t>
      </w:r>
      <w:r w:rsidR="00190923" w:rsidRPr="00D97463">
        <w:t xml:space="preserve"> </w:t>
      </w:r>
      <w:r w:rsidRPr="00D97463">
        <w:t>on</w:t>
      </w:r>
      <w:r w:rsidR="00190923" w:rsidRPr="00D97463">
        <w:t xml:space="preserve"> </w:t>
      </w:r>
      <w:r w:rsidRPr="00D97463">
        <w:t>the</w:t>
      </w:r>
      <w:r w:rsidR="00190923" w:rsidRPr="00D97463">
        <w:t xml:space="preserve"> </w:t>
      </w:r>
      <w:r w:rsidRPr="00D97463">
        <w:t>interpretation</w:t>
      </w:r>
      <w:r w:rsidR="00190923" w:rsidRPr="00D97463">
        <w:t xml:space="preserve"> </w:t>
      </w:r>
      <w:r w:rsidRPr="00D97463">
        <w:t>of</w:t>
      </w:r>
      <w:r w:rsidR="00190923" w:rsidRPr="00D97463">
        <w:t xml:space="preserve"> </w:t>
      </w:r>
      <w:r w:rsidRPr="00D97463">
        <w:t>MFN</w:t>
      </w:r>
      <w:bookmarkEnd w:id="294"/>
      <w:r w:rsidR="00190923" w:rsidRPr="00D97463">
        <w:t xml:space="preserve"> </w:t>
      </w:r>
      <w:r w:rsidRPr="00D97463">
        <w:t>clauses</w:t>
      </w:r>
      <w:bookmarkEnd w:id="295"/>
      <w:bookmarkEnd w:id="296"/>
    </w:p>
    <w:p w:rsidR="00397032" w:rsidRPr="00D97463" w:rsidRDefault="00397032" w:rsidP="00D97463">
      <w:pPr>
        <w:pStyle w:val="SingleTxt"/>
        <w:spacing w:after="0" w:line="120" w:lineRule="exact"/>
        <w:rPr>
          <w:sz w:val="10"/>
        </w:rPr>
      </w:pPr>
    </w:p>
    <w:p w:rsidR="00BF6F4D" w:rsidRPr="00D97463" w:rsidRDefault="00BF6F4D" w:rsidP="00D97463">
      <w:pPr>
        <w:pStyle w:val="SingleTxt"/>
        <w:spacing w:after="0" w:line="120" w:lineRule="exact"/>
        <w:rPr>
          <w:sz w:val="10"/>
        </w:rPr>
      </w:pPr>
    </w:p>
    <w:p w:rsidR="00397032" w:rsidRPr="00981405" w:rsidRDefault="00397032" w:rsidP="00D97463">
      <w:pPr>
        <w:pStyle w:val="SingleTxt"/>
      </w:pPr>
      <w:r w:rsidRPr="00981405">
        <w:t>161.</w:t>
      </w:r>
      <w:r w:rsidR="00190923" w:rsidRPr="00981405">
        <w:t xml:space="preserve"> </w:t>
      </w:r>
      <w:r w:rsidRPr="00981405">
        <w:tab/>
        <w:t>This</w:t>
      </w:r>
      <w:r w:rsidR="00190923" w:rsidRPr="00981405">
        <w:t xml:space="preserve"> </w:t>
      </w:r>
      <w:r w:rsidRPr="00981405">
        <w:t>Part</w:t>
      </w:r>
      <w:r w:rsidR="00190923" w:rsidRPr="00981405">
        <w:t xml:space="preserve"> </w:t>
      </w:r>
      <w:r w:rsidRPr="00981405">
        <w:t>sets</w:t>
      </w:r>
      <w:r w:rsidR="00190923" w:rsidRPr="00981405">
        <w:t xml:space="preserve"> </w:t>
      </w:r>
      <w:r w:rsidRPr="00981405">
        <w:t>out</w:t>
      </w:r>
      <w:r w:rsidR="00190923" w:rsidRPr="00981405">
        <w:t xml:space="preserve"> </w:t>
      </w:r>
      <w:r w:rsidRPr="00981405">
        <w:t>a</w:t>
      </w:r>
      <w:r w:rsidR="00190923" w:rsidRPr="00981405">
        <w:t xml:space="preserve"> </w:t>
      </w:r>
      <w:r w:rsidRPr="00981405">
        <w:t>framework</w:t>
      </w:r>
      <w:r w:rsidR="00190923" w:rsidRPr="00981405">
        <w:t xml:space="preserve"> </w:t>
      </w:r>
      <w:r w:rsidRPr="00981405">
        <w:t>for</w:t>
      </w:r>
      <w:r w:rsidR="00190923" w:rsidRPr="00981405">
        <w:t xml:space="preserve"> </w:t>
      </w:r>
      <w:r w:rsidRPr="00981405">
        <w:t>the</w:t>
      </w:r>
      <w:r w:rsidR="00190923" w:rsidRPr="00981405">
        <w:t xml:space="preserve"> </w:t>
      </w:r>
      <w:r w:rsidRPr="00981405">
        <w:t>proper</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rules</w:t>
      </w:r>
      <w:r w:rsidR="00190923" w:rsidRPr="00981405">
        <w:t xml:space="preserve"> </w:t>
      </w:r>
      <w:r w:rsidRPr="00981405">
        <w:t>and</w:t>
      </w:r>
      <w:r w:rsidR="00190923" w:rsidRPr="00981405">
        <w:t xml:space="preserve"> </w:t>
      </w:r>
      <w:r w:rsidRPr="00981405">
        <w:t>principles</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to</w:t>
      </w:r>
      <w:r w:rsidR="00190923" w:rsidRPr="00981405">
        <w:t xml:space="preserve"> </w:t>
      </w:r>
      <w:r w:rsidRPr="00981405">
        <w:t>MFN</w:t>
      </w:r>
      <w:r w:rsidR="00190923" w:rsidRPr="00981405">
        <w:t xml:space="preserve"> </w:t>
      </w:r>
      <w:r w:rsidRPr="00981405">
        <w:t>clauses.</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concluded</w:t>
      </w:r>
      <w:r w:rsidR="00190923" w:rsidRPr="00981405">
        <w:t xml:space="preserve"> </w:t>
      </w:r>
      <w:r w:rsidRPr="00981405">
        <w:t>from</w:t>
      </w:r>
      <w:r w:rsidR="00190923" w:rsidRPr="00981405">
        <w:t xml:space="preserve"> </w:t>
      </w:r>
      <w:r w:rsidRPr="00981405">
        <w:t>its</w:t>
      </w:r>
      <w:r w:rsidR="00190923" w:rsidRPr="00981405">
        <w:t xml:space="preserve"> </w:t>
      </w:r>
      <w:r w:rsidRPr="00981405">
        <w:t>earlier</w:t>
      </w:r>
      <w:r w:rsidR="00190923" w:rsidRPr="00981405">
        <w:t xml:space="preserve"> </w:t>
      </w:r>
      <w:r w:rsidRPr="00981405">
        <w:t>analysis</w:t>
      </w:r>
      <w:r w:rsidR="00190923" w:rsidRPr="00981405">
        <w:t xml:space="preserve"> </w:t>
      </w:r>
      <w:r w:rsidRPr="00981405">
        <w:t>that</w:t>
      </w:r>
      <w:r w:rsidR="00190923" w:rsidRPr="00981405">
        <w:t xml:space="preserve"> </w:t>
      </w:r>
      <w:r w:rsidRPr="00981405">
        <w:t>there</w:t>
      </w:r>
      <w:r w:rsidR="00190923" w:rsidRPr="00981405">
        <w:t xml:space="preserve"> </w:t>
      </w:r>
      <w:r w:rsidRPr="00981405">
        <w:t>are</w:t>
      </w:r>
      <w:r w:rsidR="00190923" w:rsidRPr="00981405">
        <w:t xml:space="preserve"> </w:t>
      </w:r>
      <w:r w:rsidRPr="00981405">
        <w:t>three</w:t>
      </w:r>
      <w:r w:rsidR="00190923" w:rsidRPr="00981405">
        <w:t xml:space="preserve"> </w:t>
      </w:r>
      <w:r w:rsidRPr="00981405">
        <w:t>central</w:t>
      </w:r>
      <w:r w:rsidR="00190923" w:rsidRPr="00981405">
        <w:t xml:space="preserve"> </w:t>
      </w:r>
      <w:r w:rsidRPr="00981405">
        <w:t>questions</w:t>
      </w:r>
      <w:r w:rsidR="00190923" w:rsidRPr="00981405">
        <w:t xml:space="preserve"> </w:t>
      </w:r>
      <w:r w:rsidRPr="00981405">
        <w:t>regarding</w:t>
      </w:r>
      <w:r w:rsidR="00190923" w:rsidRPr="00981405">
        <w:t xml:space="preserve"> </w:t>
      </w:r>
      <w:r w:rsidRPr="00981405">
        <w:t>the</w:t>
      </w:r>
      <w:r w:rsidR="00190923" w:rsidRPr="00981405">
        <w:t xml:space="preserve"> </w:t>
      </w:r>
      <w:r w:rsidRPr="00981405">
        <w:t>way</w:t>
      </w:r>
      <w:r w:rsidR="00190923" w:rsidRPr="00981405">
        <w:t xml:space="preserve"> </w:t>
      </w:r>
      <w:r w:rsidRPr="00981405">
        <w:t>in</w:t>
      </w:r>
      <w:r w:rsidR="00190923" w:rsidRPr="00981405">
        <w:t xml:space="preserve"> </w:t>
      </w:r>
      <w:r w:rsidRPr="00981405">
        <w:t>which</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approached</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First,</w:t>
      </w:r>
      <w:r w:rsidR="00190923" w:rsidRPr="00981405">
        <w:t xml:space="preserve"> </w:t>
      </w:r>
      <w:r w:rsidRPr="00981405">
        <w:t>are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principle</w:t>
      </w:r>
      <w:r w:rsidR="00190923" w:rsidRPr="00981405">
        <w:t xml:space="preserve"> </w:t>
      </w:r>
      <w:r w:rsidRPr="00981405">
        <w:t>capable</w:t>
      </w:r>
      <w:r w:rsidR="00190923" w:rsidRPr="00981405">
        <w:t xml:space="preserve"> </w:t>
      </w:r>
      <w:r w:rsidRPr="00981405">
        <w:t>of</w:t>
      </w:r>
      <w:r w:rsidR="00190923" w:rsidRPr="00981405">
        <w:t xml:space="preserve"> </w:t>
      </w:r>
      <w:r w:rsidRPr="00981405">
        <w:t>applying</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BITs?</w:t>
      </w:r>
      <w:r w:rsidR="00190923" w:rsidRPr="00981405">
        <w:t xml:space="preserve"> </w:t>
      </w:r>
      <w:r w:rsidRPr="00981405">
        <w:t>Second,</w:t>
      </w:r>
      <w:r w:rsidR="00190923" w:rsidRPr="00981405">
        <w:t xml:space="preserve"> </w:t>
      </w:r>
      <w:r w:rsidRPr="00981405">
        <w:t>is</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tribunal</w:t>
      </w:r>
      <w:r w:rsidR="00190923" w:rsidRPr="00981405">
        <w:t xml:space="preserve"> </w:t>
      </w:r>
      <w:r w:rsidRPr="00981405">
        <w:t>affected</w:t>
      </w:r>
      <w:r w:rsidR="00190923" w:rsidRPr="00981405">
        <w:t xml:space="preserve"> </w:t>
      </w:r>
      <w:r w:rsidRPr="00981405">
        <w:t>by</w:t>
      </w:r>
      <w:r w:rsidR="00190923" w:rsidRPr="00981405">
        <w:t xml:space="preserve"> </w:t>
      </w:r>
      <w:r w:rsidRPr="00981405">
        <w:t>conditions</w:t>
      </w:r>
      <w:r w:rsidR="00190923" w:rsidRPr="00981405">
        <w:t xml:space="preserve"> </w:t>
      </w:r>
      <w:r w:rsidRPr="00981405">
        <w:t>in</w:t>
      </w:r>
      <w:r w:rsidR="00190923" w:rsidRPr="00981405">
        <w:t xml:space="preserve"> </w:t>
      </w:r>
      <w:r w:rsidRPr="00981405">
        <w:t>BITs</w:t>
      </w:r>
      <w:r w:rsidR="00190923" w:rsidRPr="00981405">
        <w:t xml:space="preserve"> </w:t>
      </w:r>
      <w:r w:rsidRPr="00981405">
        <w:t>regarding</w:t>
      </w:r>
      <w:r w:rsidR="00190923" w:rsidRPr="00981405">
        <w:t xml:space="preserve"> </w:t>
      </w:r>
      <w:r w:rsidRPr="00981405">
        <w:t>which</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may</w:t>
      </w:r>
      <w:r w:rsidR="00190923" w:rsidRPr="00981405">
        <w:t xml:space="preserve"> </w:t>
      </w:r>
      <w:r w:rsidRPr="00981405">
        <w:t>be</w:t>
      </w:r>
      <w:r w:rsidR="00190923" w:rsidRPr="00981405">
        <w:t xml:space="preserve"> </w:t>
      </w:r>
      <w:r w:rsidRPr="00981405">
        <w:t>invoked</w:t>
      </w:r>
      <w:r w:rsidR="00190923" w:rsidRPr="00981405">
        <w:t xml:space="preserve"> </w:t>
      </w:r>
      <w:r w:rsidRPr="00981405">
        <w:t>by</w:t>
      </w:r>
      <w:r w:rsidR="00190923" w:rsidRPr="00981405">
        <w:t xml:space="preserve"> </w:t>
      </w:r>
      <w:r w:rsidRPr="00981405">
        <w:t>investors?</w:t>
      </w:r>
      <w:r w:rsidR="00190923" w:rsidRPr="00981405">
        <w:t xml:space="preserve"> </w:t>
      </w:r>
      <w:r w:rsidRPr="00981405">
        <w:t>Third,</w:t>
      </w:r>
      <w:r w:rsidR="00190923" w:rsidRPr="00981405">
        <w:t xml:space="preserve"> </w:t>
      </w:r>
      <w:r w:rsidRPr="00981405">
        <w:t>in</w:t>
      </w:r>
      <w:r w:rsidR="00190923" w:rsidRPr="00981405">
        <w:t xml:space="preserve"> </w:t>
      </w:r>
      <w:r w:rsidRPr="00981405">
        <w:t>determining</w:t>
      </w:r>
      <w:r w:rsidR="00190923" w:rsidRPr="00981405">
        <w:t xml:space="preserve"> </w:t>
      </w:r>
      <w:r w:rsidRPr="00981405">
        <w:t>whether</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a</w:t>
      </w:r>
      <w:r w:rsidR="00190923" w:rsidRPr="00981405">
        <w:t xml:space="preserve"> </w:t>
      </w:r>
      <w:r w:rsidRPr="00981405">
        <w:t>BIT</w:t>
      </w:r>
      <w:r w:rsidR="00190923" w:rsidRPr="00981405">
        <w:t xml:space="preserve"> </w:t>
      </w:r>
      <w:r w:rsidRPr="00981405">
        <w:t>applies</w:t>
      </w:r>
      <w:r w:rsidR="00190923" w:rsidRPr="00981405">
        <w:t xml:space="preserve"> </w:t>
      </w:r>
      <w:r w:rsidRPr="00981405">
        <w:t>to</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invoking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what</w:t>
      </w:r>
      <w:r w:rsidR="00190923" w:rsidRPr="00981405">
        <w:t xml:space="preserve"> </w:t>
      </w:r>
      <w:r w:rsidRPr="00981405">
        <w:t>factors</w:t>
      </w:r>
      <w:r w:rsidR="00190923" w:rsidRPr="00981405">
        <w:t xml:space="preserve"> </w:t>
      </w:r>
      <w:r w:rsidRPr="00981405">
        <w:t>are</w:t>
      </w:r>
      <w:r w:rsidR="00190923" w:rsidRPr="00981405">
        <w:t xml:space="preserve"> </w:t>
      </w:r>
      <w:r w:rsidRPr="00981405">
        <w:t>relevant</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interpretative</w:t>
      </w:r>
      <w:r w:rsidR="00190923" w:rsidRPr="00981405">
        <w:t xml:space="preserve"> </w:t>
      </w:r>
      <w:r w:rsidRPr="00981405">
        <w:t>process?</w:t>
      </w:r>
      <w:r w:rsidR="00190923" w:rsidRPr="00981405">
        <w:t xml:space="preserve"> </w:t>
      </w:r>
      <w:r w:rsidRPr="00981405">
        <w:t>These</w:t>
      </w:r>
      <w:r w:rsidR="00190923" w:rsidRPr="00981405">
        <w:t xml:space="preserve"> </w:t>
      </w:r>
      <w:r w:rsidRPr="00981405">
        <w:t>issues</w:t>
      </w:r>
      <w:r w:rsidR="00190923" w:rsidRPr="00981405">
        <w:t xml:space="preserve"> </w:t>
      </w:r>
      <w:r w:rsidRPr="00981405">
        <w:t>are</w:t>
      </w:r>
      <w:r w:rsidR="00190923" w:rsidRPr="00981405">
        <w:t xml:space="preserve"> </w:t>
      </w:r>
      <w:r w:rsidRPr="00981405">
        <w:t>taken</w:t>
      </w:r>
      <w:r w:rsidR="00190923" w:rsidRPr="00981405">
        <w:t xml:space="preserve"> </w:t>
      </w:r>
      <w:r w:rsidRPr="00981405">
        <w:t>up</w:t>
      </w:r>
      <w:r w:rsidR="00190923" w:rsidRPr="00981405">
        <w:t xml:space="preserve"> </w:t>
      </w:r>
      <w:r w:rsidRPr="00981405">
        <w:t>in</w:t>
      </w:r>
      <w:r w:rsidR="00190923" w:rsidRPr="00981405">
        <w:t xml:space="preserve"> </w:t>
      </w:r>
      <w:r w:rsidRPr="00981405">
        <w:t>turn</w:t>
      </w:r>
      <w:r w:rsidR="00190923" w:rsidRPr="00981405">
        <w:t xml:space="preserve"> </w:t>
      </w:r>
      <w:r w:rsidRPr="00981405">
        <w:t>in</w:t>
      </w:r>
      <w:r w:rsidR="00190923" w:rsidRPr="00981405">
        <w:t xml:space="preserve"> </w:t>
      </w:r>
      <w:r w:rsidRPr="00981405">
        <w:t>the</w:t>
      </w:r>
      <w:r w:rsidR="00190923" w:rsidRPr="00981405">
        <w:t xml:space="preserve"> </w:t>
      </w:r>
      <w:r w:rsidRPr="00981405">
        <w:t>sections</w:t>
      </w:r>
      <w:r w:rsidR="00190923" w:rsidRPr="00981405">
        <w:t xml:space="preserve"> </w:t>
      </w:r>
      <w:r w:rsidRPr="00981405">
        <w:t>below.</w:t>
      </w:r>
      <w:r w:rsidR="00190923" w:rsidRPr="00981405">
        <w:t xml:space="preserve"> </w:t>
      </w:r>
    </w:p>
    <w:p w:rsidR="00397032" w:rsidRPr="00D97463" w:rsidRDefault="00397032" w:rsidP="00D97463">
      <w:pPr>
        <w:pStyle w:val="SingleTxt"/>
        <w:spacing w:after="0" w:line="120" w:lineRule="exact"/>
        <w:rPr>
          <w:sz w:val="10"/>
        </w:rPr>
      </w:pPr>
    </w:p>
    <w:p w:rsidR="00E50095" w:rsidRPr="00D97463" w:rsidRDefault="00E50095" w:rsidP="00D97463">
      <w:pPr>
        <w:pStyle w:val="SingleTxt"/>
        <w:spacing w:after="0" w:line="120" w:lineRule="exact"/>
        <w:rPr>
          <w:sz w:val="10"/>
        </w:rPr>
      </w:pPr>
    </w:p>
    <w:p w:rsidR="00397032" w:rsidRPr="00D97463" w:rsidRDefault="00397032" w:rsidP="00D97463">
      <w:pPr>
        <w:pStyle w:val="H1"/>
        <w:ind w:right="1260"/>
      </w:pPr>
      <w:bookmarkStart w:id="297" w:name="_Toc293434184"/>
      <w:bookmarkStart w:id="298" w:name="_Toc294353697"/>
      <w:r w:rsidRPr="00D97463">
        <w:tab/>
      </w:r>
      <w:bookmarkStart w:id="299" w:name="_Toc427938197"/>
      <w:r w:rsidRPr="00D97463">
        <w:t>A.</w:t>
      </w:r>
      <w:r w:rsidRPr="00D97463">
        <w:tab/>
        <w:t>MFN</w:t>
      </w:r>
      <w:r w:rsidR="00190923" w:rsidRPr="00D97463">
        <w:t xml:space="preserve"> </w:t>
      </w:r>
      <w:r w:rsidRPr="00D97463">
        <w:t>provisions</w:t>
      </w:r>
      <w:r w:rsidR="00190923" w:rsidRPr="00D97463">
        <w:t xml:space="preserve"> </w:t>
      </w:r>
      <w:r w:rsidRPr="00D97463">
        <w:t>are</w:t>
      </w:r>
      <w:r w:rsidR="00190923" w:rsidRPr="00D97463">
        <w:t xml:space="preserve"> </w:t>
      </w:r>
      <w:r w:rsidRPr="00D97463">
        <w:t>capable</w:t>
      </w:r>
      <w:r w:rsidR="00190923" w:rsidRPr="00D97463">
        <w:t xml:space="preserve"> </w:t>
      </w:r>
      <w:r w:rsidRPr="00D97463">
        <w:t>in</w:t>
      </w:r>
      <w:r w:rsidR="00190923" w:rsidRPr="00D97463">
        <w:t xml:space="preserve"> </w:t>
      </w:r>
      <w:r w:rsidRPr="00D97463">
        <w:t>principle</w:t>
      </w:r>
      <w:r w:rsidR="00190923" w:rsidRPr="00D97463">
        <w:t xml:space="preserve"> </w:t>
      </w:r>
      <w:r w:rsidRPr="00D97463">
        <w:t>of</w:t>
      </w:r>
      <w:r w:rsidR="00190923" w:rsidRPr="00D97463">
        <w:t xml:space="preserve"> </w:t>
      </w:r>
      <w:r w:rsidRPr="00D97463">
        <w:t>applying</w:t>
      </w:r>
      <w:r w:rsidR="00190923" w:rsidRPr="00D97463">
        <w:t xml:space="preserve"> </w:t>
      </w:r>
      <w:r w:rsidRPr="00D97463">
        <w:t>to</w:t>
      </w:r>
      <w:r w:rsidR="00190923" w:rsidRPr="00D97463">
        <w:t xml:space="preserve"> </w:t>
      </w:r>
      <w:r w:rsidRPr="00D97463">
        <w:t>the</w:t>
      </w:r>
      <w:r w:rsidR="00190923" w:rsidRPr="00D97463">
        <w:t xml:space="preserve"> </w:t>
      </w:r>
      <w:r w:rsidRPr="00D97463">
        <w:t>dispute</w:t>
      </w:r>
      <w:r w:rsidR="00190923" w:rsidRPr="00D97463">
        <w:t xml:space="preserve"> </w:t>
      </w:r>
      <w:r w:rsidRPr="00D97463">
        <w:t>settlement</w:t>
      </w:r>
      <w:r w:rsidR="00190923" w:rsidRPr="00D97463">
        <w:t xml:space="preserve"> </w:t>
      </w:r>
      <w:r w:rsidRPr="00D97463">
        <w:t>provisions</w:t>
      </w:r>
      <w:r w:rsidR="00190923" w:rsidRPr="00D97463">
        <w:t xml:space="preserve"> </w:t>
      </w:r>
      <w:r w:rsidRPr="00D97463">
        <w:t>of</w:t>
      </w:r>
      <w:r w:rsidR="00190923" w:rsidRPr="00D97463">
        <w:t xml:space="preserve"> </w:t>
      </w:r>
      <w:r w:rsidRPr="00D97463">
        <w:t>BITs</w:t>
      </w:r>
      <w:bookmarkEnd w:id="297"/>
      <w:bookmarkEnd w:id="298"/>
      <w:bookmarkEnd w:id="299"/>
    </w:p>
    <w:p w:rsidR="00397032" w:rsidRPr="00D97463" w:rsidRDefault="00397032" w:rsidP="00D97463">
      <w:pPr>
        <w:pStyle w:val="SingleTxt"/>
        <w:spacing w:after="0" w:line="120" w:lineRule="exact"/>
        <w:rPr>
          <w:sz w:val="10"/>
        </w:rPr>
      </w:pPr>
    </w:p>
    <w:p w:rsidR="00E50095" w:rsidRPr="00D97463" w:rsidRDefault="00E50095" w:rsidP="00D97463">
      <w:pPr>
        <w:pStyle w:val="SingleTxt"/>
        <w:spacing w:after="0" w:line="120" w:lineRule="exact"/>
        <w:rPr>
          <w:sz w:val="10"/>
        </w:rPr>
      </w:pPr>
    </w:p>
    <w:p w:rsidR="00397032" w:rsidRPr="00981405" w:rsidRDefault="00397032" w:rsidP="00D97463">
      <w:pPr>
        <w:pStyle w:val="SingleTxt"/>
      </w:pPr>
      <w:r w:rsidRPr="00981405">
        <w:t>162.</w:t>
      </w:r>
      <w:r w:rsidRPr="00981405">
        <w:tab/>
        <w:t>Although</w:t>
      </w:r>
      <w:r w:rsidR="00190923" w:rsidRPr="00981405">
        <w:t xml:space="preserve"> </w:t>
      </w:r>
      <w:r w:rsidRPr="00981405">
        <w:t>controversial</w:t>
      </w:r>
      <w:r w:rsidR="00190923" w:rsidRPr="00981405">
        <w:t xml:space="preserve"> </w:t>
      </w:r>
      <w:r w:rsidRPr="00981405">
        <w:t>in</w:t>
      </w:r>
      <w:r w:rsidR="00190923" w:rsidRPr="00981405">
        <w:t xml:space="preserve"> </w:t>
      </w:r>
      <w:r w:rsidRPr="00981405">
        <w:t>some</w:t>
      </w:r>
      <w:r w:rsidR="00190923" w:rsidRPr="00981405">
        <w:t xml:space="preserve"> </w:t>
      </w:r>
      <w:r w:rsidRPr="00981405">
        <w:t>of</w:t>
      </w:r>
      <w:r w:rsidR="00190923" w:rsidRPr="00981405">
        <w:t xml:space="preserve"> </w:t>
      </w:r>
      <w:r w:rsidRPr="00981405">
        <w:t>the</w:t>
      </w:r>
      <w:r w:rsidR="00190923" w:rsidRPr="00981405">
        <w:t xml:space="preserve"> </w:t>
      </w:r>
      <w:r w:rsidRPr="00981405">
        <w:t>earlier</w:t>
      </w:r>
      <w:r w:rsidR="00190923" w:rsidRPr="00981405">
        <w:t xml:space="preserve"> </w:t>
      </w:r>
      <w:r w:rsidRPr="00981405">
        <w:t>decisions</w:t>
      </w:r>
      <w:r w:rsidR="00190923" w:rsidRPr="00981405">
        <w:t xml:space="preserve"> </w:t>
      </w:r>
      <w:r w:rsidRPr="00981405">
        <w:t>of</w:t>
      </w:r>
      <w:r w:rsidR="00190923" w:rsidRPr="00981405">
        <w:t xml:space="preserve"> </w:t>
      </w:r>
      <w:r w:rsidRPr="00981405">
        <w:t>tribunals,</w:t>
      </w:r>
      <w:r w:rsidR="00190923" w:rsidRPr="00981405">
        <w:t xml:space="preserve"> </w:t>
      </w:r>
      <w:r w:rsidRPr="00981405">
        <w:t>there</w:t>
      </w:r>
      <w:r w:rsidR="00190923" w:rsidRPr="00981405">
        <w:t xml:space="preserve"> </w:t>
      </w:r>
      <w:r w:rsidRPr="00981405">
        <w:t>is</w:t>
      </w:r>
      <w:r w:rsidR="00190923" w:rsidRPr="00981405">
        <w:t xml:space="preserve"> </w:t>
      </w:r>
      <w:r w:rsidRPr="00981405">
        <w:t>little</w:t>
      </w:r>
      <w:r w:rsidR="00190923" w:rsidRPr="00981405">
        <w:t xml:space="preserve"> </w:t>
      </w:r>
      <w:r w:rsidRPr="00981405">
        <w:t>doubt</w:t>
      </w:r>
      <w:r w:rsidR="00190923" w:rsidRPr="00981405">
        <w:t xml:space="preserve"> </w:t>
      </w:r>
      <w:r w:rsidRPr="00981405">
        <w:t>that</w:t>
      </w:r>
      <w:r w:rsidR="00190923" w:rsidRPr="00981405">
        <w:t xml:space="preserve"> </w:t>
      </w:r>
      <w:r w:rsidRPr="00981405">
        <w:t>in</w:t>
      </w:r>
      <w:r w:rsidR="00190923" w:rsidRPr="00981405">
        <w:t xml:space="preserve"> </w:t>
      </w:r>
      <w:r w:rsidRPr="00981405">
        <w:t>principle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capable</w:t>
      </w:r>
      <w:r w:rsidR="00190923" w:rsidRPr="00981405">
        <w:t xml:space="preserve"> </w:t>
      </w:r>
      <w:r w:rsidRPr="00981405">
        <w:t>of</w:t>
      </w:r>
      <w:r w:rsidR="00190923" w:rsidRPr="00981405">
        <w:t xml:space="preserve"> </w:t>
      </w:r>
      <w:r w:rsidRPr="00981405">
        <w:t>applying</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BITs.</w:t>
      </w:r>
      <w:r w:rsidR="00190923" w:rsidRPr="00981405">
        <w:t xml:space="preserve"> </w:t>
      </w:r>
      <w:r w:rsidRPr="00981405">
        <w:t>This</w:t>
      </w:r>
      <w:r w:rsidR="00190923" w:rsidRPr="00981405">
        <w:t xml:space="preserve"> </w:t>
      </w:r>
      <w:r w:rsidRPr="00981405">
        <w:t>is</w:t>
      </w:r>
      <w:r w:rsidR="00190923" w:rsidRPr="00981405">
        <w:t xml:space="preserve"> </w:t>
      </w:r>
      <w:r w:rsidRPr="00981405">
        <w:t>so</w:t>
      </w:r>
      <w:r w:rsidR="00190923" w:rsidRPr="00981405">
        <w:t xml:space="preserve"> </w:t>
      </w:r>
      <w:r w:rsidRPr="00981405">
        <w:t>notwithstanding</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the</w:t>
      </w:r>
      <w:r w:rsidR="00190923" w:rsidRPr="00981405">
        <w:t xml:space="preserve"> </w:t>
      </w:r>
      <w:r w:rsidRPr="00981405">
        <w:t>proposition</w:t>
      </w:r>
      <w:r w:rsidR="00190923" w:rsidRPr="00981405">
        <w:t xml:space="preserve"> </w:t>
      </w:r>
      <w:r w:rsidRPr="00981405">
        <w:t>may</w:t>
      </w:r>
      <w:r w:rsidR="00190923" w:rsidRPr="00981405">
        <w:t xml:space="preserve"> </w:t>
      </w:r>
      <w:r w:rsidRPr="00981405">
        <w:t>have</w:t>
      </w:r>
      <w:r w:rsidR="00190923" w:rsidRPr="00981405">
        <w:t xml:space="preserve"> </w:t>
      </w:r>
      <w:r w:rsidRPr="00981405">
        <w:t>been</w:t>
      </w:r>
      <w:r w:rsidR="00190923" w:rsidRPr="00981405">
        <w:t xml:space="preserve"> </w:t>
      </w:r>
      <w:r w:rsidRPr="00981405">
        <w:t>based</w:t>
      </w:r>
      <w:r w:rsidR="00190923" w:rsidRPr="00981405">
        <w:t xml:space="preserve"> </w:t>
      </w:r>
      <w:r w:rsidRPr="00981405">
        <w:t>initially</w:t>
      </w:r>
      <w:r w:rsidR="00190923" w:rsidRPr="00981405">
        <w:t xml:space="preserve"> </w:t>
      </w:r>
      <w:r w:rsidRPr="00981405">
        <w:t>on</w:t>
      </w:r>
      <w:r w:rsidR="00190923" w:rsidRPr="00981405">
        <w:t xml:space="preserve"> </w:t>
      </w:r>
      <w:r w:rsidRPr="00981405">
        <w:t>a</w:t>
      </w:r>
      <w:r w:rsidR="00190923" w:rsidRPr="00981405">
        <w:t xml:space="preserve"> </w:t>
      </w:r>
      <w:r w:rsidRPr="00981405">
        <w:t>misinterpretation</w:t>
      </w:r>
      <w:r w:rsidR="00190923" w:rsidRPr="00981405">
        <w:t xml:space="preserve"> </w:t>
      </w:r>
      <w:r w:rsidRPr="00981405">
        <w:t>of</w:t>
      </w:r>
      <w:r w:rsidR="00190923" w:rsidRPr="00981405">
        <w:t xml:space="preserve"> </w:t>
      </w:r>
      <w:r w:rsidRPr="00981405">
        <w:t>what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of</w:t>
      </w:r>
      <w:r w:rsidR="00190923" w:rsidRPr="00981405">
        <w:t xml:space="preserve"> </w:t>
      </w:r>
      <w:r w:rsidRPr="00981405">
        <w:t>Arbitration</w:t>
      </w:r>
      <w:r w:rsidR="00190923" w:rsidRPr="00981405">
        <w:t xml:space="preserve"> </w:t>
      </w:r>
      <w:r w:rsidRPr="00981405">
        <w:t>in</w:t>
      </w:r>
      <w:r w:rsidR="00190923" w:rsidRPr="00981405">
        <w:t xml:space="preserve"> </w:t>
      </w:r>
      <w:r w:rsidRPr="00D97463">
        <w:rPr>
          <w:i/>
          <w:iCs/>
        </w:rPr>
        <w:t>Ambatielos</w:t>
      </w:r>
      <w:r w:rsidR="00190923" w:rsidRPr="00981405">
        <w:t xml:space="preserve"> </w:t>
      </w:r>
      <w:r w:rsidRPr="00981405">
        <w:t>meant</w:t>
      </w:r>
      <w:r w:rsidR="00190923" w:rsidRPr="00981405">
        <w:t xml:space="preserve"> </w:t>
      </w:r>
      <w:r w:rsidRPr="00981405">
        <w:t>when</w:t>
      </w:r>
      <w:r w:rsidR="00190923" w:rsidRPr="00981405">
        <w:t xml:space="preserve"> </w:t>
      </w:r>
      <w:r w:rsidRPr="00981405">
        <w:t>it</w:t>
      </w:r>
      <w:r w:rsidR="00190923" w:rsidRPr="00981405">
        <w:t xml:space="preserve"> </w:t>
      </w:r>
      <w:r w:rsidRPr="00981405">
        <w:t>referred</w:t>
      </w:r>
      <w:r w:rsidR="00190923" w:rsidRPr="00981405">
        <w:t xml:space="preserve"> </w:t>
      </w:r>
      <w:r w:rsidRPr="00981405">
        <w:t>to</w:t>
      </w:r>
      <w:r w:rsidR="00190923" w:rsidRPr="00981405">
        <w:t xml:space="preserve"> </w:t>
      </w:r>
      <w:r w:rsidR="00B92E2C" w:rsidRPr="00981405">
        <w:t>“</w:t>
      </w:r>
      <w:r w:rsidRPr="00981405">
        <w:t>the</w:t>
      </w:r>
      <w:r w:rsidR="00190923" w:rsidRPr="00981405">
        <w:t xml:space="preserve"> </w:t>
      </w:r>
      <w:r w:rsidRPr="00981405">
        <w:t>administration</w:t>
      </w:r>
      <w:r w:rsidR="00190923" w:rsidRPr="00981405">
        <w:t xml:space="preserve"> </w:t>
      </w:r>
      <w:r w:rsidRPr="00981405">
        <w:t>of</w:t>
      </w:r>
      <w:r w:rsidR="00190923" w:rsidRPr="00981405">
        <w:t xml:space="preserve"> </w:t>
      </w:r>
      <w:r w:rsidRPr="00981405">
        <w:t>justice</w:t>
      </w:r>
      <w:r w:rsidR="00B92E2C" w:rsidRPr="00981405">
        <w:t>”</w:t>
      </w:r>
      <w:r w:rsidR="00190923" w:rsidRPr="00981405">
        <w:t xml:space="preserve"> </w:t>
      </w:r>
      <w:r w:rsidRPr="00981405">
        <w:t>being</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that</w:t>
      </w:r>
      <w:r w:rsidR="00190923" w:rsidRPr="00981405">
        <w:t xml:space="preserve"> </w:t>
      </w:r>
      <w:r w:rsidRPr="00981405">
        <w:t>referred</w:t>
      </w:r>
      <w:r w:rsidR="00190923" w:rsidRPr="00981405">
        <w:t xml:space="preserve"> </w:t>
      </w:r>
      <w:r w:rsidRPr="00981405">
        <w:t>to</w:t>
      </w:r>
      <w:r w:rsidR="00190923" w:rsidRPr="00981405">
        <w:t xml:space="preserve"> </w:t>
      </w:r>
      <w:r w:rsidR="00B92E2C" w:rsidRPr="00981405">
        <w:t>“</w:t>
      </w:r>
      <w:r w:rsidRPr="00981405">
        <w:t>all</w:t>
      </w:r>
      <w:r w:rsidR="00190923" w:rsidRPr="00981405">
        <w:t xml:space="preserve"> </w:t>
      </w:r>
      <w:r w:rsidRPr="00981405">
        <w:t>matters</w:t>
      </w:r>
      <w:r w:rsidR="00190923" w:rsidRPr="00981405">
        <w:t xml:space="preserve"> </w:t>
      </w:r>
      <w:r w:rsidRPr="00981405">
        <w:t>relating</w:t>
      </w:r>
      <w:r w:rsidR="00190923" w:rsidRPr="00981405">
        <w:t xml:space="preserve"> </w:t>
      </w:r>
      <w:r w:rsidRPr="00981405">
        <w:t>to</w:t>
      </w:r>
      <w:r w:rsidR="00190923" w:rsidRPr="00981405">
        <w:t xml:space="preserve"> </w:t>
      </w:r>
      <w:r w:rsidRPr="00981405">
        <w:t>commerce</w:t>
      </w:r>
      <w:r w:rsidR="00190923" w:rsidRPr="00981405">
        <w:t xml:space="preserve"> </w:t>
      </w:r>
      <w:r w:rsidRPr="00981405">
        <w:t>and</w:t>
      </w:r>
      <w:r w:rsidR="00190923" w:rsidRPr="00981405">
        <w:t xml:space="preserve"> </w:t>
      </w:r>
      <w:r w:rsidRPr="00981405">
        <w:t>navigation.</w:t>
      </w:r>
      <w:r w:rsidR="00B92E2C" w:rsidRPr="00981405">
        <w:t>”</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there</w:t>
      </w:r>
      <w:r w:rsidR="00190923" w:rsidRPr="00981405">
        <w:t xml:space="preserve"> </w:t>
      </w:r>
      <w:r w:rsidRPr="00981405">
        <w:t>was</w:t>
      </w:r>
      <w:r w:rsidR="00190923" w:rsidRPr="00981405">
        <w:t xml:space="preserve"> </w:t>
      </w:r>
      <w:r w:rsidRPr="00981405">
        <w:t>referring</w:t>
      </w:r>
      <w:r w:rsidR="00190923" w:rsidRPr="00981405">
        <w:t xml:space="preserve"> </w:t>
      </w:r>
      <w:r w:rsidRPr="00981405">
        <w:t>to</w:t>
      </w:r>
      <w:r w:rsidR="00190923" w:rsidRPr="00981405">
        <w:t xml:space="preserve"> </w:t>
      </w:r>
      <w:r w:rsidRPr="00981405">
        <w:t>access</w:t>
      </w:r>
      <w:r w:rsidR="00190923" w:rsidRPr="00981405">
        <w:t xml:space="preserve"> </w:t>
      </w:r>
      <w:r w:rsidRPr="00981405">
        <w:t>to</w:t>
      </w:r>
      <w:r w:rsidR="00190923" w:rsidRPr="00981405">
        <w:t xml:space="preserve"> </w:t>
      </w:r>
      <w:r w:rsidRPr="00981405">
        <w:t>the</w:t>
      </w:r>
      <w:r w:rsidR="00190923" w:rsidRPr="00981405">
        <w:t xml:space="preserve"> </w:t>
      </w:r>
      <w:r w:rsidRPr="00981405">
        <w:t>courts</w:t>
      </w:r>
      <w:r w:rsidR="00190923" w:rsidRPr="00981405">
        <w:t xml:space="preserve"> </w:t>
      </w:r>
      <w:r w:rsidRPr="00981405">
        <w:t>of</w:t>
      </w:r>
      <w:r w:rsidR="00190923" w:rsidRPr="00981405">
        <w:t xml:space="preserve"> </w:t>
      </w:r>
      <w:r w:rsidRPr="00981405">
        <w:t>the</w:t>
      </w:r>
      <w:r w:rsidR="00190923" w:rsidRPr="00981405">
        <w:t xml:space="preserve"> </w:t>
      </w:r>
      <w:r w:rsidRPr="00981405">
        <w:t>United</w:t>
      </w:r>
      <w:r w:rsidR="00190923" w:rsidRPr="00981405">
        <w:t xml:space="preserve"> </w:t>
      </w:r>
      <w:r w:rsidRPr="00981405">
        <w:t>Kingdom</w:t>
      </w:r>
      <w:r w:rsidR="00190923" w:rsidRPr="00981405">
        <w:t xml:space="preserve"> </w:t>
      </w:r>
      <w:r w:rsidRPr="00981405">
        <w:t>for</w:t>
      </w:r>
      <w:r w:rsidR="00190923" w:rsidRPr="00981405">
        <w:t xml:space="preserve"> </w:t>
      </w:r>
      <w:r w:rsidRPr="00981405">
        <w:t>enforcing</w:t>
      </w:r>
      <w:r w:rsidR="00190923" w:rsidRPr="00981405">
        <w:t xml:space="preserve"> </w:t>
      </w:r>
      <w:r w:rsidRPr="00981405">
        <w:t>substantive</w:t>
      </w:r>
      <w:r w:rsidR="00190923" w:rsidRPr="00981405">
        <w:t xml:space="preserve"> </w:t>
      </w:r>
      <w:r w:rsidRPr="00981405">
        <w:t>rights</w:t>
      </w:r>
      <w:r w:rsidR="00190923" w:rsidRPr="00981405">
        <w:t xml:space="preserve"> </w:t>
      </w:r>
      <w:r w:rsidRPr="00981405">
        <w:t>and</w:t>
      </w:r>
      <w:r w:rsidR="00190923" w:rsidRPr="00981405">
        <w:t xml:space="preserve"> </w:t>
      </w:r>
      <w:r w:rsidRPr="00981405">
        <w:t>not</w:t>
      </w:r>
      <w:r w:rsidR="00190923" w:rsidRPr="00981405">
        <w:t xml:space="preserve"> </w:t>
      </w:r>
      <w:r w:rsidRPr="00981405">
        <w:t>to</w:t>
      </w:r>
      <w:r w:rsidR="00190923" w:rsidRPr="00981405">
        <w:t xml:space="preserve"> </w:t>
      </w:r>
      <w:r w:rsidRPr="00981405">
        <w:t>a</w:t>
      </w:r>
      <w:r w:rsidR="00190923" w:rsidRPr="00981405">
        <w:t xml:space="preserve"> </w:t>
      </w:r>
      <w:r w:rsidRPr="00981405">
        <w:t>right</w:t>
      </w:r>
      <w:r w:rsidR="00190923" w:rsidRPr="00981405">
        <w:t xml:space="preserve"> </w:t>
      </w:r>
      <w:r w:rsidRPr="00981405">
        <w:t>to</w:t>
      </w:r>
      <w:r w:rsidR="00190923" w:rsidRPr="00981405">
        <w:t xml:space="preserve"> </w:t>
      </w:r>
      <w:r w:rsidRPr="00981405">
        <w:t>alter</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under</w:t>
      </w:r>
      <w:r w:rsidR="00190923" w:rsidRPr="00981405">
        <w:t xml:space="preserve"> </w:t>
      </w:r>
      <w:r w:rsidRPr="00981405">
        <w:t>which</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may</w:t>
      </w:r>
      <w:r w:rsidR="00190923" w:rsidRPr="00981405">
        <w:t xml:space="preserve"> </w:t>
      </w:r>
      <w:r w:rsidRPr="00981405">
        <w:t>be</w:t>
      </w:r>
      <w:r w:rsidR="00190923" w:rsidRPr="00981405">
        <w:t xml:space="preserve"> </w:t>
      </w:r>
      <w:r w:rsidRPr="00981405">
        <w:t>invoked.</w:t>
      </w:r>
      <w:r w:rsidR="00190923" w:rsidRPr="00981405">
        <w:t xml:space="preserve"> </w:t>
      </w:r>
      <w:r w:rsidRPr="00981405">
        <w:t>But</w:t>
      </w:r>
      <w:r w:rsidR="00190923" w:rsidRPr="00981405">
        <w:t xml:space="preserve"> </w:t>
      </w:r>
      <w:r w:rsidRPr="00981405">
        <w:t>that</w:t>
      </w:r>
      <w:r w:rsidR="00190923" w:rsidRPr="00981405">
        <w:t xml:space="preserve"> </w:t>
      </w:r>
      <w:r w:rsidRPr="00981405">
        <w:t>seems</w:t>
      </w:r>
      <w:r w:rsidR="00190923" w:rsidRPr="00981405">
        <w:t xml:space="preserve"> </w:t>
      </w:r>
      <w:r w:rsidRPr="00981405">
        <w:t>of</w:t>
      </w:r>
      <w:r w:rsidR="00190923" w:rsidRPr="00981405">
        <w:t xml:space="preserve"> </w:t>
      </w:r>
      <w:r w:rsidRPr="00981405">
        <w:lastRenderedPageBreak/>
        <w:t>little</w:t>
      </w:r>
      <w:r w:rsidR="00190923" w:rsidRPr="00981405">
        <w:t xml:space="preserve"> </w:t>
      </w:r>
      <w:r w:rsidRPr="00981405">
        <w:t>import</w:t>
      </w:r>
      <w:r w:rsidR="00190923" w:rsidRPr="00981405">
        <w:t xml:space="preserve"> </w:t>
      </w:r>
      <w:r w:rsidRPr="00981405">
        <w:t>now.</w:t>
      </w:r>
      <w:r w:rsidR="00190923" w:rsidRPr="00981405">
        <w:t xml:space="preserve"> </w:t>
      </w:r>
      <w:r w:rsidRPr="00981405">
        <w:t>The</w:t>
      </w:r>
      <w:r w:rsidR="00190923" w:rsidRPr="00981405">
        <w:t xml:space="preserve"> </w:t>
      </w:r>
      <w:r w:rsidRPr="00981405">
        <w:t>point</w:t>
      </w:r>
      <w:r w:rsidR="00190923" w:rsidRPr="00981405">
        <w:t xml:space="preserve"> </w:t>
      </w:r>
      <w:r w:rsidRPr="00981405">
        <w:t>is</w:t>
      </w:r>
      <w:r w:rsidR="00190923" w:rsidRPr="00981405">
        <w:t xml:space="preserve"> </w:t>
      </w:r>
      <w:r w:rsidRPr="00981405">
        <w:t>essentially</w:t>
      </w:r>
      <w:r w:rsidR="00190923" w:rsidRPr="00981405">
        <w:t xml:space="preserve"> </w:t>
      </w:r>
      <w:r w:rsidRPr="00981405">
        <w:t>one</w:t>
      </w:r>
      <w:r w:rsidR="00190923" w:rsidRPr="00981405">
        <w:t xml:space="preserve"> </w:t>
      </w:r>
      <w:r w:rsidRPr="00981405">
        <w:t>of</w:t>
      </w:r>
      <w:r w:rsidR="00190923" w:rsidRPr="00981405">
        <w:t xml:space="preserve"> </w:t>
      </w:r>
      <w:r w:rsidRPr="00981405">
        <w:t>party</w:t>
      </w:r>
      <w:r w:rsidR="00190923" w:rsidRPr="00981405">
        <w:t xml:space="preserve"> </w:t>
      </w:r>
      <w:r w:rsidRPr="00981405">
        <w:t>autonomy;</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a</w:t>
      </w:r>
      <w:r w:rsidR="00190923" w:rsidRPr="00981405">
        <w:t xml:space="preserve"> </w:t>
      </w:r>
      <w:r w:rsidRPr="00981405">
        <w:t>BIT</w:t>
      </w:r>
      <w:r w:rsidR="00190923" w:rsidRPr="00981405">
        <w:t xml:space="preserve"> </w:t>
      </w:r>
      <w:r w:rsidRPr="00981405">
        <w:t>can,</w:t>
      </w:r>
      <w:r w:rsidR="00190923" w:rsidRPr="00981405">
        <w:t xml:space="preserve"> </w:t>
      </w:r>
      <w:r w:rsidRPr="00981405">
        <w:t>if</w:t>
      </w:r>
      <w:r w:rsidR="00190923" w:rsidRPr="00981405">
        <w:t xml:space="preserve"> </w:t>
      </w:r>
      <w:r w:rsidRPr="00981405">
        <w:t>they</w:t>
      </w:r>
      <w:r w:rsidR="00190923" w:rsidRPr="00981405">
        <w:t xml:space="preserve"> </w:t>
      </w:r>
      <w:r w:rsidRPr="00981405">
        <w:t>wish,</w:t>
      </w:r>
      <w:r w:rsidR="00190923" w:rsidRPr="00981405">
        <w:t xml:space="preserve"> </w:t>
      </w:r>
      <w:r w:rsidRPr="00981405">
        <w:t>include</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coverage</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in</w:t>
      </w:r>
      <w:r w:rsidR="00190923" w:rsidRPr="00981405">
        <w:t xml:space="preserve"> </w:t>
      </w:r>
      <w:r w:rsidRPr="00981405">
        <w:t>each</w:t>
      </w:r>
      <w:r w:rsidR="00190923" w:rsidRPr="00981405">
        <w:t xml:space="preserve"> </w:t>
      </w:r>
      <w:r w:rsidRPr="00981405">
        <w:t>case</w:t>
      </w:r>
      <w:r w:rsidR="00190923" w:rsidRPr="00981405">
        <w:t xml:space="preserve"> </w:t>
      </w:r>
      <w:r w:rsidRPr="00981405">
        <w:t>is</w:t>
      </w:r>
      <w:r w:rsidR="00190923" w:rsidRPr="00981405">
        <w:t xml:space="preserve"> </w:t>
      </w:r>
      <w:r w:rsidRPr="00981405">
        <w:t>whether</w:t>
      </w:r>
      <w:r w:rsidR="00190923" w:rsidRPr="00981405">
        <w:t xml:space="preserve"> </w:t>
      </w:r>
      <w:r w:rsidRPr="00981405">
        <w:t>they</w:t>
      </w:r>
      <w:r w:rsidR="00190923" w:rsidRPr="00981405">
        <w:t xml:space="preserve"> </w:t>
      </w:r>
      <w:r w:rsidRPr="00981405">
        <w:t>have</w:t>
      </w:r>
      <w:r w:rsidR="00190923" w:rsidRPr="00981405">
        <w:t xml:space="preserve"> </w:t>
      </w:r>
      <w:r w:rsidRPr="00981405">
        <w:t>done</w:t>
      </w:r>
      <w:r w:rsidR="00190923" w:rsidRPr="00981405">
        <w:t xml:space="preserve"> </w:t>
      </w:r>
      <w:r w:rsidRPr="00981405">
        <w:t>so.</w:t>
      </w:r>
    </w:p>
    <w:p w:rsidR="00397032" w:rsidRPr="00981405" w:rsidRDefault="00397032" w:rsidP="00D97463">
      <w:pPr>
        <w:pStyle w:val="SingleTxt"/>
      </w:pPr>
      <w:r w:rsidRPr="00981405">
        <w:t>163.</w:t>
      </w:r>
      <w:r w:rsidRPr="00981405">
        <w:tab/>
        <w:t>In</w:t>
      </w:r>
      <w:r w:rsidR="00190923" w:rsidRPr="00981405">
        <w:t xml:space="preserve"> </w:t>
      </w:r>
      <w:r w:rsidRPr="00981405">
        <w:t>this</w:t>
      </w:r>
      <w:r w:rsidR="00190923" w:rsidRPr="00981405">
        <w:t xml:space="preserve"> </w:t>
      </w:r>
      <w:r w:rsidRPr="00981405">
        <w:t>sense,</w:t>
      </w:r>
      <w:r w:rsidR="00190923" w:rsidRPr="00981405">
        <w:t xml:space="preserve"> </w:t>
      </w:r>
      <w:r w:rsidRPr="00981405">
        <w:t>the</w:t>
      </w:r>
      <w:r w:rsidR="00190923" w:rsidRPr="00981405">
        <w:t xml:space="preserve"> </w:t>
      </w:r>
      <w:r w:rsidRPr="00981405">
        <w:t>question</w:t>
      </w:r>
      <w:r w:rsidR="00190923" w:rsidRPr="00981405">
        <w:t xml:space="preserve"> </w:t>
      </w:r>
      <w:r w:rsidRPr="00981405">
        <w:t>is</w:t>
      </w:r>
      <w:r w:rsidR="00190923" w:rsidRPr="00981405">
        <w:t xml:space="preserve"> </w:t>
      </w:r>
      <w:r w:rsidRPr="00981405">
        <w:t>truly</w:t>
      </w:r>
      <w:r w:rsidR="00190923" w:rsidRPr="00981405">
        <w:t xml:space="preserve"> </w:t>
      </w:r>
      <w:r w:rsidRPr="00981405">
        <w:t>one</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that</w:t>
      </w:r>
      <w:r w:rsidR="00190923" w:rsidRPr="00981405">
        <w:t xml:space="preserve"> </w:t>
      </w:r>
      <w:r w:rsidRPr="00981405">
        <w:t>can</w:t>
      </w:r>
      <w:r w:rsidR="00190923" w:rsidRPr="00981405">
        <w:t xml:space="preserve"> </w:t>
      </w:r>
      <w:r w:rsidRPr="00981405">
        <w:t>be</w:t>
      </w:r>
      <w:r w:rsidR="00190923" w:rsidRPr="00981405">
        <w:t xml:space="preserve"> </w:t>
      </w:r>
      <w:r w:rsidRPr="00981405">
        <w:t>answered</w:t>
      </w:r>
      <w:r w:rsidR="00190923" w:rsidRPr="00981405">
        <w:t xml:space="preserve"> </w:t>
      </w:r>
      <w:r w:rsidRPr="00981405">
        <w:t>only</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each</w:t>
      </w:r>
      <w:r w:rsidR="00190923" w:rsidRPr="00981405">
        <w:t xml:space="preserve"> </w:t>
      </w:r>
      <w:r w:rsidRPr="00981405">
        <w:t>particular</w:t>
      </w:r>
      <w:r w:rsidR="00190923" w:rsidRPr="00981405">
        <w:t xml:space="preserve"> </w:t>
      </w:r>
      <w:r w:rsidRPr="00981405">
        <w:t>case.</w:t>
      </w:r>
      <w:r w:rsidR="00190923" w:rsidRPr="00981405">
        <w:t xml:space="preserve"> </w:t>
      </w:r>
      <w:r w:rsidRPr="00981405">
        <w:t>Where</w:t>
      </w:r>
      <w:r w:rsidR="00190923" w:rsidRPr="00981405">
        <w:t xml:space="preserve"> </w:t>
      </w:r>
      <w:r w:rsidRPr="00981405">
        <w:t>the</w:t>
      </w:r>
      <w:r w:rsidR="00190923" w:rsidRPr="00981405">
        <w:t xml:space="preserve"> </w:t>
      </w:r>
      <w:r w:rsidRPr="00981405">
        <w:t>parties</w:t>
      </w:r>
      <w:r w:rsidR="00190923" w:rsidRPr="00981405">
        <w:t xml:space="preserve"> </w:t>
      </w:r>
      <w:r w:rsidRPr="00981405">
        <w:t>have</w:t>
      </w:r>
      <w:r w:rsidR="00190923" w:rsidRPr="00981405">
        <w:t xml:space="preserve"> </w:t>
      </w:r>
      <w:r w:rsidRPr="00981405">
        <w:t>explicitly</w:t>
      </w:r>
      <w:r w:rsidR="00190923" w:rsidRPr="00981405">
        <w:t xml:space="preserve"> </w:t>
      </w:r>
      <w:r w:rsidRPr="00981405">
        <w:t>included</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within</w:t>
      </w:r>
      <w:r w:rsidR="00190923" w:rsidRPr="00981405">
        <w:t xml:space="preserve"> </w:t>
      </w:r>
      <w:r w:rsidRPr="00981405">
        <w:t>the</w:t>
      </w:r>
      <w:r w:rsidR="00190923" w:rsidRPr="00981405">
        <w:t xml:space="preserve"> </w:t>
      </w:r>
      <w:r w:rsidRPr="00981405">
        <w:t>framework</w:t>
      </w:r>
      <w:r w:rsidR="00190923" w:rsidRPr="00981405">
        <w:t xml:space="preserve"> </w:t>
      </w:r>
      <w:r w:rsidRPr="00981405">
        <w:t>of</w:t>
      </w:r>
      <w:r w:rsidR="00190923" w:rsidRPr="00981405">
        <w:t xml:space="preserve"> </w:t>
      </w:r>
      <w:r w:rsidRPr="00981405">
        <w:t>their</w:t>
      </w:r>
      <w:r w:rsidR="00190923" w:rsidRPr="00981405">
        <w:t xml:space="preserve"> </w:t>
      </w:r>
      <w:r w:rsidRPr="00981405">
        <w:t>MFN</w:t>
      </w:r>
      <w:r w:rsidR="00190923" w:rsidRPr="00981405">
        <w:t xml:space="preserve"> </w:t>
      </w:r>
      <w:r w:rsidRPr="00981405">
        <w:t>provision,</w:t>
      </w:r>
      <w:r w:rsidRPr="00981405">
        <w:rPr>
          <w:rStyle w:val="FootnoteReference"/>
        </w:rPr>
        <w:footnoteReference w:id="572"/>
      </w:r>
      <w:r w:rsidR="00190923" w:rsidRPr="00981405">
        <w:t xml:space="preserve"> </w:t>
      </w:r>
      <w:r w:rsidRPr="00981405">
        <w:t>then</w:t>
      </w:r>
      <w:r w:rsidR="00190923" w:rsidRPr="00981405">
        <w:t xml:space="preserve"> </w:t>
      </w:r>
      <w:r w:rsidRPr="00981405">
        <w:t>no</w:t>
      </w:r>
      <w:r w:rsidR="00190923" w:rsidRPr="00981405">
        <w:t xml:space="preserve"> </w:t>
      </w:r>
      <w:r w:rsidRPr="00981405">
        <w:t>difficulty</w:t>
      </w:r>
      <w:r w:rsidR="00190923" w:rsidRPr="00981405">
        <w:t xml:space="preserve"> </w:t>
      </w:r>
      <w:r w:rsidRPr="00981405">
        <w:t>arises.</w:t>
      </w:r>
      <w:r w:rsidR="00190923" w:rsidRPr="00981405">
        <w:t xml:space="preserve"> </w:t>
      </w:r>
      <w:r w:rsidRPr="00981405">
        <w:t>Equally,</w:t>
      </w:r>
      <w:r w:rsidR="00190923" w:rsidRPr="00981405">
        <w:t xml:space="preserve"> </w:t>
      </w:r>
      <w:r w:rsidRPr="00981405">
        <w:t>where</w:t>
      </w:r>
      <w:r w:rsidR="00190923" w:rsidRPr="00981405">
        <w:t xml:space="preserve"> </w:t>
      </w:r>
      <w:r w:rsidRPr="00981405">
        <w:t>the</w:t>
      </w:r>
      <w:r w:rsidR="00190923" w:rsidRPr="00981405">
        <w:t xml:space="preserve"> </w:t>
      </w:r>
      <w:r w:rsidRPr="00981405">
        <w:t>parties</w:t>
      </w:r>
      <w:r w:rsidR="00190923" w:rsidRPr="00981405">
        <w:t xml:space="preserve"> </w:t>
      </w:r>
      <w:r w:rsidRPr="00981405">
        <w:t>have</w:t>
      </w:r>
      <w:r w:rsidR="00190923" w:rsidRPr="00981405">
        <w:t xml:space="preserve"> </w:t>
      </w:r>
      <w:r w:rsidRPr="00981405">
        <w:t>explicitly</w:t>
      </w:r>
      <w:r w:rsidR="00190923" w:rsidRPr="00981405">
        <w:t xml:space="preserve"> </w:t>
      </w:r>
      <w:r w:rsidRPr="00981405">
        <w:t>excluded</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to</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no</w:t>
      </w:r>
      <w:r w:rsidR="00190923" w:rsidRPr="00981405">
        <w:t xml:space="preserve"> </w:t>
      </w:r>
      <w:r w:rsidRPr="00981405">
        <w:t>difficulty</w:t>
      </w:r>
      <w:r w:rsidR="00190923" w:rsidRPr="00981405">
        <w:t xml:space="preserve"> </w:t>
      </w:r>
      <w:r w:rsidRPr="00981405">
        <w:t>arises.</w:t>
      </w:r>
      <w:r w:rsidR="00190923" w:rsidRPr="00981405">
        <w:t xml:space="preserve"> </w:t>
      </w:r>
      <w:r w:rsidRPr="00981405">
        <w:t>But</w:t>
      </w:r>
      <w:r w:rsidR="00190923" w:rsidRPr="00981405">
        <w:t xml:space="preserve"> </w:t>
      </w:r>
      <w:r w:rsidRPr="00981405">
        <w:t>the</w:t>
      </w:r>
      <w:r w:rsidR="00190923" w:rsidRPr="00981405">
        <w:t xml:space="preserve"> </w:t>
      </w:r>
      <w:r w:rsidRPr="00981405">
        <w:t>vast</w:t>
      </w:r>
      <w:r w:rsidR="00190923" w:rsidRPr="00981405">
        <w:t xml:space="preserve"> </w:t>
      </w:r>
      <w:r w:rsidRPr="00981405">
        <w:t>majority</w:t>
      </w:r>
      <w:r w:rsidR="00190923" w:rsidRPr="00981405">
        <w:t xml:space="preserve"> </w:t>
      </w:r>
      <w:r w:rsidRPr="00981405">
        <w:t>of</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existing</w:t>
      </w:r>
      <w:r w:rsidR="00190923" w:rsidRPr="00981405">
        <w:t xml:space="preserve"> </w:t>
      </w:r>
      <w:r w:rsidRPr="00981405">
        <w:t>BITs</w:t>
      </w:r>
      <w:r w:rsidR="00190923" w:rsidRPr="00981405">
        <w:t xml:space="preserve"> </w:t>
      </w:r>
      <w:r w:rsidRPr="00981405">
        <w:t>are</w:t>
      </w:r>
      <w:r w:rsidR="00190923" w:rsidRPr="00981405">
        <w:t xml:space="preserve"> </w:t>
      </w:r>
      <w:r w:rsidRPr="00981405">
        <w:t>not</w:t>
      </w:r>
      <w:r w:rsidR="00190923" w:rsidRPr="00981405">
        <w:t xml:space="preserve"> </w:t>
      </w:r>
      <w:r w:rsidRPr="00981405">
        <w:t>explicit</w:t>
      </w:r>
      <w:r w:rsidR="00190923" w:rsidRPr="00981405">
        <w:t xml:space="preserve"> </w:t>
      </w:r>
      <w:r w:rsidRPr="00981405">
        <w:t>on</w:t>
      </w:r>
      <w:r w:rsidR="00190923" w:rsidRPr="00981405">
        <w:t xml:space="preserve"> </w:t>
      </w:r>
      <w:r w:rsidRPr="00981405">
        <w:t>this</w:t>
      </w:r>
      <w:r w:rsidR="00190923" w:rsidRPr="00981405">
        <w:t xml:space="preserve"> </w:t>
      </w:r>
      <w:r w:rsidRPr="00981405">
        <w:t>point</w:t>
      </w:r>
      <w:r w:rsidR="00190923" w:rsidRPr="00981405">
        <w:t xml:space="preserve"> </w:t>
      </w:r>
      <w:r w:rsidRPr="00981405">
        <w:t>and</w:t>
      </w:r>
      <w:r w:rsidR="00190923" w:rsidRPr="00981405">
        <w:t xml:space="preserve"> </w:t>
      </w:r>
      <w:r w:rsidRPr="00981405">
        <w:t>thus</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how</w:t>
      </w:r>
      <w:r w:rsidR="00190923" w:rsidRPr="00981405">
        <w:t xml:space="preserve"> </w:t>
      </w:r>
      <w:r w:rsidRPr="00981405">
        <w:t>such</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will</w:t>
      </w:r>
      <w:r w:rsidR="00190923" w:rsidRPr="00981405">
        <w:t xml:space="preserve"> </w:t>
      </w:r>
      <w:r w:rsidRPr="00981405">
        <w:t>arise</w:t>
      </w:r>
      <w:r w:rsidR="00190923" w:rsidRPr="00981405">
        <w:t xml:space="preserve"> </w:t>
      </w:r>
      <w:r w:rsidRPr="00981405">
        <w:t>in</w:t>
      </w:r>
      <w:r w:rsidR="00190923" w:rsidRPr="00981405">
        <w:t xml:space="preserve"> </w:t>
      </w:r>
      <w:r w:rsidRPr="00981405">
        <w:t>each</w:t>
      </w:r>
      <w:r w:rsidR="00190923" w:rsidRPr="00981405">
        <w:t xml:space="preserve"> </w:t>
      </w:r>
      <w:r w:rsidRPr="00981405">
        <w:t>case.</w:t>
      </w:r>
      <w:r w:rsidR="00190923" w:rsidRPr="00981405">
        <w:t xml:space="preserve"> </w:t>
      </w:r>
      <w:r w:rsidRPr="00981405">
        <w:t>At</w:t>
      </w:r>
      <w:r w:rsidR="00190923" w:rsidRPr="00981405">
        <w:t xml:space="preserve"> </w:t>
      </w:r>
      <w:r w:rsidRPr="00981405">
        <w:t>the</w:t>
      </w:r>
      <w:r w:rsidR="00190923" w:rsidRPr="00981405">
        <w:t xml:space="preserve"> </w:t>
      </w:r>
      <w:r w:rsidRPr="00981405">
        <w:t>very</w:t>
      </w:r>
      <w:r w:rsidR="00190923" w:rsidRPr="00981405">
        <w:t xml:space="preserve"> </w:t>
      </w:r>
      <w:r w:rsidRPr="00981405">
        <w:t>minimum,</w:t>
      </w:r>
      <w:r w:rsidR="00190923" w:rsidRPr="00981405">
        <w:t xml:space="preserve"> </w:t>
      </w:r>
      <w:r w:rsidRPr="00981405">
        <w:t>however,</w:t>
      </w:r>
      <w:r w:rsidR="00190923" w:rsidRPr="00981405">
        <w:t xml:space="preserve"> </w:t>
      </w:r>
      <w:r w:rsidRPr="00981405">
        <w:t>it</w:t>
      </w:r>
      <w:r w:rsidR="00190923" w:rsidRPr="00981405">
        <w:t xml:space="preserve"> </w:t>
      </w:r>
      <w:r w:rsidRPr="00981405">
        <w:t>can</w:t>
      </w:r>
      <w:r w:rsidR="00190923" w:rsidRPr="00981405">
        <w:t xml:space="preserve"> </w:t>
      </w:r>
      <w:r w:rsidRPr="00981405">
        <w:t>be</w:t>
      </w:r>
      <w:r w:rsidR="00190923" w:rsidRPr="00981405">
        <w:t xml:space="preserve"> </w:t>
      </w:r>
      <w:r w:rsidRPr="00981405">
        <w:t>said</w:t>
      </w:r>
      <w:r w:rsidR="00190923" w:rsidRPr="00981405">
        <w:t xml:space="preserve"> </w:t>
      </w:r>
      <w:r w:rsidRPr="00981405">
        <w:t>that</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need</w:t>
      </w:r>
      <w:r w:rsidR="00190923" w:rsidRPr="00981405">
        <w:t xml:space="preserve"> </w:t>
      </w:r>
      <w:r w:rsidRPr="00981405">
        <w:t>for</w:t>
      </w:r>
      <w:r w:rsidR="00190923" w:rsidRPr="00981405">
        <w:t xml:space="preserve"> </w:t>
      </w:r>
      <w:r w:rsidRPr="00981405">
        <w:t>tribunals</w:t>
      </w:r>
      <w:r w:rsidR="00190923" w:rsidRPr="00981405">
        <w:t xml:space="preserve"> </w:t>
      </w:r>
      <w:r w:rsidRPr="00981405">
        <w:t>interpreting</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BITs</w:t>
      </w:r>
      <w:r w:rsidR="00190923" w:rsidRPr="00981405">
        <w:t xml:space="preserve"> </w:t>
      </w:r>
      <w:r w:rsidRPr="00981405">
        <w:t>to</w:t>
      </w:r>
      <w:r w:rsidR="00190923" w:rsidRPr="00981405">
        <w:t xml:space="preserve"> </w:t>
      </w:r>
      <w:r w:rsidRPr="00981405">
        <w:t>engage</w:t>
      </w:r>
      <w:r w:rsidR="00190923" w:rsidRPr="00981405">
        <w:t xml:space="preserve"> </w:t>
      </w:r>
      <w:r w:rsidRPr="00981405">
        <w:t>in</w:t>
      </w:r>
      <w:r w:rsidR="00190923" w:rsidRPr="00981405">
        <w:t xml:space="preserve"> </w:t>
      </w:r>
      <w:r w:rsidRPr="00981405">
        <w:t>any</w:t>
      </w:r>
      <w:r w:rsidR="00190923" w:rsidRPr="00981405">
        <w:t xml:space="preserve"> </w:t>
      </w:r>
      <w:r w:rsidRPr="00981405">
        <w:t>enquiry</w:t>
      </w:r>
      <w:r w:rsidR="00190923" w:rsidRPr="00981405">
        <w:t xml:space="preserve"> </w:t>
      </w:r>
      <w:r w:rsidRPr="00981405">
        <w:t>into</w:t>
      </w:r>
      <w:r w:rsidR="00190923" w:rsidRPr="00981405">
        <w:t xml:space="preserve"> </w:t>
      </w:r>
      <w:r w:rsidRPr="00981405">
        <w:t>whether</w:t>
      </w:r>
      <w:r w:rsidR="00190923" w:rsidRPr="00981405">
        <w:t xml:space="preserve"> </w:t>
      </w:r>
      <w:r w:rsidRPr="00981405">
        <w:t>such</w:t>
      </w:r>
      <w:r w:rsidR="00190923" w:rsidRPr="00981405">
        <w:t xml:space="preserve"> </w:t>
      </w:r>
      <w:r w:rsidRPr="00981405">
        <w:t>provisions</w:t>
      </w:r>
      <w:r w:rsidR="00190923" w:rsidRPr="00981405">
        <w:t xml:space="preserve"> </w:t>
      </w:r>
      <w:r w:rsidRPr="00981405">
        <w:t>may</w:t>
      </w:r>
      <w:r w:rsidR="00190923" w:rsidRPr="00981405">
        <w:t xml:space="preserve"> </w:t>
      </w:r>
      <w:r w:rsidRPr="00981405">
        <w:t>in</w:t>
      </w:r>
      <w:r w:rsidR="00190923" w:rsidRPr="00981405">
        <w:t xml:space="preserve"> </w:t>
      </w:r>
      <w:r w:rsidRPr="00981405">
        <w:t>principle</w:t>
      </w:r>
      <w:r w:rsidR="00190923" w:rsidRPr="00981405">
        <w:t xml:space="preserve"> </w:t>
      </w:r>
      <w:r w:rsidRPr="00981405">
        <w:t>be</w:t>
      </w:r>
      <w:r w:rsidR="00190923" w:rsidRPr="00981405">
        <w:t xml:space="preserve"> </w:t>
      </w:r>
      <w:r w:rsidRPr="00981405">
        <w:t>applicable</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p>
    <w:p w:rsidR="00E50095" w:rsidRPr="00D97463" w:rsidRDefault="00E50095" w:rsidP="00D97463">
      <w:pPr>
        <w:pStyle w:val="SingleTxt"/>
        <w:spacing w:after="0" w:line="120" w:lineRule="exact"/>
        <w:rPr>
          <w:sz w:val="10"/>
        </w:rPr>
      </w:pPr>
    </w:p>
    <w:p w:rsidR="00E50095" w:rsidRPr="00D97463" w:rsidRDefault="00E50095" w:rsidP="00D97463">
      <w:pPr>
        <w:pStyle w:val="SingleTxt"/>
        <w:spacing w:after="0" w:line="120" w:lineRule="exact"/>
        <w:rPr>
          <w:sz w:val="10"/>
        </w:rPr>
      </w:pPr>
    </w:p>
    <w:p w:rsidR="00397032" w:rsidRPr="00D97463" w:rsidRDefault="00397032" w:rsidP="00D97463">
      <w:pPr>
        <w:pStyle w:val="H1"/>
        <w:ind w:right="1260"/>
      </w:pPr>
      <w:bookmarkStart w:id="300" w:name="_Toc293434185"/>
      <w:bookmarkStart w:id="301" w:name="_Toc294353698"/>
      <w:r w:rsidRPr="00D97463">
        <w:tab/>
      </w:r>
      <w:bookmarkStart w:id="302" w:name="_Toc427938198"/>
      <w:r w:rsidRPr="00D97463">
        <w:t>B.</w:t>
      </w:r>
      <w:r w:rsidRPr="00D97463">
        <w:tab/>
        <w:t>Conditions</w:t>
      </w:r>
      <w:r w:rsidR="00190923" w:rsidRPr="00D97463">
        <w:t xml:space="preserve"> </w:t>
      </w:r>
      <w:r w:rsidRPr="00D97463">
        <w:t>relating</w:t>
      </w:r>
      <w:r w:rsidR="00190923" w:rsidRPr="00D97463">
        <w:t xml:space="preserve"> </w:t>
      </w:r>
      <w:r w:rsidRPr="00D97463">
        <w:t>to</w:t>
      </w:r>
      <w:r w:rsidR="00190923" w:rsidRPr="00D97463">
        <w:t xml:space="preserve"> </w:t>
      </w:r>
      <w:r w:rsidRPr="00D97463">
        <w:t>dispute</w:t>
      </w:r>
      <w:r w:rsidR="00190923" w:rsidRPr="00D97463">
        <w:t xml:space="preserve"> </w:t>
      </w:r>
      <w:r w:rsidRPr="00D97463">
        <w:t>settlement</w:t>
      </w:r>
      <w:r w:rsidR="00190923" w:rsidRPr="00D97463">
        <w:t xml:space="preserve"> </w:t>
      </w:r>
      <w:r w:rsidRPr="00D97463">
        <w:t>and</w:t>
      </w:r>
      <w:r w:rsidR="00190923" w:rsidRPr="00D97463">
        <w:t xml:space="preserve"> </w:t>
      </w:r>
      <w:r w:rsidRPr="00D97463">
        <w:t>a</w:t>
      </w:r>
      <w:r w:rsidR="00190923" w:rsidRPr="00D97463">
        <w:t xml:space="preserve"> </w:t>
      </w:r>
      <w:r w:rsidRPr="00D97463">
        <w:t>tribunal</w:t>
      </w:r>
      <w:r w:rsidR="00B92E2C" w:rsidRPr="00D97463">
        <w:t>’</w:t>
      </w:r>
      <w:r w:rsidRPr="00D97463">
        <w:t>s</w:t>
      </w:r>
      <w:r w:rsidR="00190923" w:rsidRPr="00D97463">
        <w:t xml:space="preserve"> </w:t>
      </w:r>
      <w:r w:rsidRPr="00D97463">
        <w:t>jurisdiction</w:t>
      </w:r>
      <w:bookmarkEnd w:id="300"/>
      <w:bookmarkEnd w:id="301"/>
      <w:bookmarkEnd w:id="302"/>
      <w:r w:rsidR="00190923" w:rsidRPr="00D97463">
        <w:t xml:space="preserve"> </w:t>
      </w:r>
    </w:p>
    <w:p w:rsidR="00397032" w:rsidRPr="00D97463" w:rsidRDefault="00397032" w:rsidP="00D97463">
      <w:pPr>
        <w:pStyle w:val="SingleTxt"/>
        <w:spacing w:after="0" w:line="120" w:lineRule="exact"/>
        <w:rPr>
          <w:sz w:val="10"/>
        </w:rPr>
      </w:pPr>
    </w:p>
    <w:p w:rsidR="00E50095" w:rsidRPr="00D97463" w:rsidRDefault="00E50095" w:rsidP="00D97463">
      <w:pPr>
        <w:pStyle w:val="SingleTxt"/>
        <w:spacing w:after="0" w:line="120" w:lineRule="exact"/>
        <w:rPr>
          <w:sz w:val="10"/>
        </w:rPr>
      </w:pPr>
    </w:p>
    <w:p w:rsidR="00397032" w:rsidRPr="00981405" w:rsidRDefault="00397032" w:rsidP="00D97463">
      <w:pPr>
        <w:pStyle w:val="SingleTxt"/>
      </w:pPr>
      <w:r w:rsidRPr="00981405">
        <w:t>164.</w:t>
      </w:r>
      <w:r w:rsidRPr="00981405">
        <w:tab/>
        <w:t>Accepting,</w:t>
      </w:r>
      <w:r w:rsidR="00190923" w:rsidRPr="00981405">
        <w:t xml:space="preserve"> </w:t>
      </w:r>
      <w:r w:rsidRPr="00981405">
        <w:t>however,</w:t>
      </w:r>
      <w:r w:rsidR="00190923" w:rsidRPr="00981405">
        <w:t xml:space="preserve"> </w:t>
      </w:r>
      <w:r w:rsidRPr="00981405">
        <w:t>that</w:t>
      </w:r>
      <w:r w:rsidR="00190923" w:rsidRPr="00981405">
        <w:t xml:space="preserve"> </w:t>
      </w:r>
      <w:r w:rsidRPr="00981405">
        <w:t>the</w:t>
      </w:r>
      <w:r w:rsidR="00190923" w:rsidRPr="00981405">
        <w:t xml:space="preserve"> </w:t>
      </w:r>
      <w:r w:rsidRPr="00981405">
        <w:t>issue</w:t>
      </w:r>
      <w:r w:rsidR="00190923" w:rsidRPr="00981405">
        <w:t xml:space="preserve"> </w:t>
      </w:r>
      <w:r w:rsidRPr="00981405">
        <w:t>is</w:t>
      </w:r>
      <w:r w:rsidR="00190923" w:rsidRPr="00981405">
        <w:t xml:space="preserve"> </w:t>
      </w:r>
      <w:r w:rsidRPr="00981405">
        <w:t>one</w:t>
      </w:r>
      <w:r w:rsidR="00190923" w:rsidRPr="00981405">
        <w:t xml:space="preserve"> </w:t>
      </w:r>
      <w:r w:rsidRPr="00981405">
        <w:t>of</w:t>
      </w:r>
      <w:r w:rsidR="00190923" w:rsidRPr="00981405">
        <w:t xml:space="preserve"> </w:t>
      </w:r>
      <w:r w:rsidRPr="00981405">
        <w:t>interpretation,</w:t>
      </w:r>
      <w:r w:rsidR="00190923" w:rsidRPr="00981405">
        <w:t xml:space="preserve"> </w:t>
      </w:r>
      <w:r w:rsidRPr="00981405">
        <w:t>the</w:t>
      </w:r>
      <w:r w:rsidR="00190923" w:rsidRPr="00981405">
        <w:t xml:space="preserve"> </w:t>
      </w:r>
      <w:r w:rsidRPr="00981405">
        <w:t>question</w:t>
      </w:r>
      <w:r w:rsidR="00190923" w:rsidRPr="00981405">
        <w:t xml:space="preserve"> </w:t>
      </w:r>
      <w:r w:rsidRPr="00981405">
        <w:t>arises</w:t>
      </w:r>
      <w:r w:rsidR="00190923" w:rsidRPr="00981405">
        <w:t xml:space="preserve"> </w:t>
      </w:r>
      <w:r w:rsidRPr="00981405">
        <w:t>whether</w:t>
      </w:r>
      <w:r w:rsidR="00190923" w:rsidRPr="00981405">
        <w:t xml:space="preserve"> </w:t>
      </w:r>
      <w:r w:rsidRPr="00981405">
        <w:t>there</w:t>
      </w:r>
      <w:r w:rsidR="00190923" w:rsidRPr="00981405">
        <w:t xml:space="preserve"> </w:t>
      </w:r>
      <w:r w:rsidRPr="00981405">
        <w:t>is</w:t>
      </w:r>
      <w:r w:rsidR="00190923" w:rsidRPr="00981405">
        <w:t xml:space="preserve"> </w:t>
      </w:r>
      <w:r w:rsidRPr="00981405">
        <w:t>anything</w:t>
      </w:r>
      <w:r w:rsidR="00190923" w:rsidRPr="00981405">
        <w:t xml:space="preserve"> </w:t>
      </w:r>
      <w:r w:rsidRPr="00981405">
        <w:t>in</w:t>
      </w:r>
      <w:r w:rsidR="00190923" w:rsidRPr="00981405">
        <w:t xml:space="preserve"> </w:t>
      </w:r>
      <w:r w:rsidRPr="00981405">
        <w:t>the</w:t>
      </w:r>
      <w:r w:rsidR="00190923" w:rsidRPr="00981405">
        <w:t xml:space="preserve"> </w:t>
      </w:r>
      <w:r w:rsidRPr="00981405">
        <w:t>character</w:t>
      </w:r>
      <w:r w:rsidR="00190923" w:rsidRPr="00981405">
        <w:t xml:space="preserve"> </w:t>
      </w:r>
      <w:r w:rsidRPr="00981405">
        <w:t>of</w:t>
      </w:r>
      <w:r w:rsidR="00190923" w:rsidRPr="00981405">
        <w:t xml:space="preserve"> </w:t>
      </w:r>
      <w:r w:rsidRPr="00981405">
        <w:t>either</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or</w:t>
      </w:r>
      <w:r w:rsidR="00190923" w:rsidRPr="00981405">
        <w:t xml:space="preserve"> </w:t>
      </w:r>
      <w:r w:rsidRPr="00981405">
        <w:t>provisions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investor</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that</w:t>
      </w:r>
      <w:r w:rsidR="00190923" w:rsidRPr="00981405">
        <w:t xml:space="preserve"> </w:t>
      </w:r>
      <w:r w:rsidRPr="00981405">
        <w:t>might</w:t>
      </w:r>
      <w:r w:rsidR="00190923" w:rsidRPr="00981405">
        <w:t xml:space="preserve"> </w:t>
      </w:r>
      <w:r w:rsidRPr="00981405">
        <w:t>be</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interpretative</w:t>
      </w:r>
      <w:r w:rsidR="00190923" w:rsidRPr="00981405">
        <w:t xml:space="preserve"> </w:t>
      </w:r>
      <w:r w:rsidRPr="00981405">
        <w:t>process.</w:t>
      </w:r>
      <w:r w:rsidR="00190923" w:rsidRPr="00981405">
        <w:t xml:space="preserve"> </w:t>
      </w:r>
      <w:r w:rsidRPr="00981405">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such</w:t>
      </w:r>
      <w:r w:rsidR="00190923" w:rsidRPr="00981405">
        <w:t xml:space="preserve"> </w:t>
      </w:r>
      <w:r w:rsidRPr="00981405">
        <w:t>matters</w:t>
      </w:r>
      <w:r w:rsidR="00190923" w:rsidRPr="00981405">
        <w:t xml:space="preserve"> </w:t>
      </w:r>
      <w:r w:rsidRPr="00981405">
        <w:t>go</w:t>
      </w:r>
      <w:r w:rsidR="00190923" w:rsidRPr="00981405">
        <w:t xml:space="preserve"> </w:t>
      </w:r>
      <w:r w:rsidRPr="00981405">
        <w:t>to</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a</w:t>
      </w:r>
      <w:r w:rsidR="00190923" w:rsidRPr="00981405">
        <w:t xml:space="preserve"> </w:t>
      </w:r>
      <w:r w:rsidRPr="00981405">
        <w:t>tribunal</w:t>
      </w:r>
      <w:r w:rsidR="00190923" w:rsidRPr="00981405">
        <w:t xml:space="preserve"> </w:t>
      </w:r>
      <w:r w:rsidRPr="00981405">
        <w:t>retains</w:t>
      </w:r>
      <w:r w:rsidR="00190923" w:rsidRPr="00981405">
        <w:t xml:space="preserve"> </w:t>
      </w:r>
      <w:r w:rsidRPr="00981405">
        <w:t>relevance.</w:t>
      </w:r>
      <w:r w:rsidR="00190923" w:rsidRPr="00981405">
        <w:t xml:space="preserve"> </w:t>
      </w:r>
      <w:r w:rsidRPr="00981405">
        <w:t>There</w:t>
      </w:r>
      <w:r w:rsidR="00190923" w:rsidRPr="00981405">
        <w:t xml:space="preserve"> </w:t>
      </w:r>
      <w:r w:rsidRPr="00981405">
        <w:t>are</w:t>
      </w:r>
      <w:r w:rsidR="00190923" w:rsidRPr="00981405">
        <w:t xml:space="preserve"> </w:t>
      </w:r>
      <w:r w:rsidRPr="00981405">
        <w:t>certain</w:t>
      </w:r>
      <w:r w:rsidR="00190923" w:rsidRPr="00981405">
        <w:t xml:space="preserve"> </w:t>
      </w:r>
      <w:r w:rsidRPr="00981405">
        <w:t>parameters</w:t>
      </w:r>
      <w:r w:rsidR="00190923" w:rsidRPr="00981405">
        <w:t xml:space="preserve"> </w:t>
      </w:r>
      <w:r w:rsidRPr="00981405">
        <w:t>(</w:t>
      </w:r>
      <w:r w:rsidRPr="00981405">
        <w:rPr>
          <w:i/>
          <w:iCs/>
        </w:rPr>
        <w:t>ratione</w:t>
      </w:r>
      <w:r w:rsidR="00190923" w:rsidRPr="00981405">
        <w:rPr>
          <w:i/>
          <w:iCs/>
        </w:rPr>
        <w:t xml:space="preserve"> </w:t>
      </w:r>
      <w:r w:rsidRPr="00981405">
        <w:rPr>
          <w:i/>
          <w:iCs/>
        </w:rPr>
        <w:t>materiae</w:t>
      </w:r>
      <w:r w:rsidRPr="00981405">
        <w:t>,</w:t>
      </w:r>
      <w:r w:rsidR="00190923" w:rsidRPr="00981405">
        <w:t xml:space="preserve"> </w:t>
      </w:r>
      <w:r w:rsidR="00B247C2" w:rsidRPr="00981405">
        <w:rPr>
          <w:i/>
          <w:iCs/>
        </w:rPr>
        <w:t>ratione</w:t>
      </w:r>
      <w:r w:rsidR="00190923" w:rsidRPr="00981405">
        <w:rPr>
          <w:i/>
          <w:iCs/>
        </w:rPr>
        <w:t xml:space="preserve"> </w:t>
      </w:r>
      <w:r w:rsidR="00B247C2" w:rsidRPr="00981405">
        <w:rPr>
          <w:i/>
          <w:iCs/>
        </w:rPr>
        <w:t>personae</w:t>
      </w:r>
      <w:r w:rsidRPr="00981405">
        <w:t>,</w:t>
      </w:r>
      <w:r w:rsidR="00190923" w:rsidRPr="00981405">
        <w:t xml:space="preserve"> </w:t>
      </w:r>
      <w:r w:rsidR="001C3185" w:rsidRPr="00981405">
        <w:rPr>
          <w:i/>
          <w:iCs/>
        </w:rPr>
        <w:t>ratione temporis</w:t>
      </w:r>
      <w:r w:rsidR="00E50095" w:rsidRPr="00D97463">
        <w:t>,</w:t>
      </w:r>
      <w:r w:rsidR="00E50095" w:rsidRPr="00981405">
        <w:rPr>
          <w:i/>
          <w:iCs/>
        </w:rPr>
        <w:t xml:space="preserve"> </w:t>
      </w:r>
      <w:r w:rsidRPr="00981405">
        <w:t>etc</w:t>
      </w:r>
      <w:r w:rsidR="00E50095" w:rsidRPr="00981405">
        <w:t>.</w:t>
      </w:r>
      <w:r w:rsidRPr="00981405">
        <w:t>)</w:t>
      </w:r>
      <w:r w:rsidR="00190923" w:rsidRPr="00981405">
        <w:t xml:space="preserve"> </w:t>
      </w:r>
      <w:r w:rsidRPr="00981405">
        <w:t>within</w:t>
      </w:r>
      <w:r w:rsidR="00190923" w:rsidRPr="00981405">
        <w:t xml:space="preserve"> </w:t>
      </w:r>
      <w:r w:rsidRPr="00981405">
        <w:t>which</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must</w:t>
      </w:r>
      <w:r w:rsidR="00190923" w:rsidRPr="00981405">
        <w:t xml:space="preserve"> </w:t>
      </w:r>
      <w:r w:rsidRPr="00981405">
        <w:t>operate,</w:t>
      </w:r>
      <w:r w:rsidRPr="00981405">
        <w:rPr>
          <w:rStyle w:val="FootnoteReference"/>
        </w:rPr>
        <w:footnoteReference w:id="573"/>
      </w:r>
      <w:r w:rsidR="00190923" w:rsidRPr="00981405">
        <w:t xml:space="preserve"> </w:t>
      </w:r>
      <w:r w:rsidRPr="00981405">
        <w:t>and</w:t>
      </w:r>
      <w:r w:rsidR="00190923" w:rsidRPr="00981405">
        <w:t xml:space="preserve"> </w:t>
      </w:r>
      <w:r w:rsidRPr="00981405">
        <w:t>thus</w:t>
      </w:r>
      <w:r w:rsidR="00190923" w:rsidRPr="00981405">
        <w:t xml:space="preserve"> </w:t>
      </w:r>
      <w:r w:rsidRPr="00981405">
        <w:t>the</w:t>
      </w:r>
      <w:r w:rsidR="00190923" w:rsidRPr="00981405">
        <w:t xml:space="preserve"> </w:t>
      </w:r>
      <w:r w:rsidRPr="00981405">
        <w:t>question</w:t>
      </w:r>
      <w:r w:rsidR="00190923" w:rsidRPr="00981405">
        <w:t xml:space="preserve"> </w:t>
      </w:r>
      <w:r w:rsidRPr="00981405">
        <w:t>becomes</w:t>
      </w:r>
      <w:r w:rsidR="00190923" w:rsidRPr="00981405">
        <w:t xml:space="preserve"> </w:t>
      </w:r>
      <w:r w:rsidRPr="00981405">
        <w:t>whether</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are</w:t>
      </w:r>
      <w:r w:rsidR="00190923" w:rsidRPr="00981405">
        <w:t xml:space="preserve"> </w:t>
      </w:r>
      <w:r w:rsidRPr="00981405">
        <w:t>themselves</w:t>
      </w:r>
      <w:r w:rsidR="00190923" w:rsidRPr="00981405">
        <w:t xml:space="preserve"> </w:t>
      </w:r>
      <w:r w:rsidRPr="00981405">
        <w:t>a</w:t>
      </w:r>
      <w:r w:rsidR="00190923" w:rsidRPr="00981405">
        <w:t xml:space="preserve"> </w:t>
      </w:r>
      <w:r w:rsidRPr="00981405">
        <w:t>relevant</w:t>
      </w:r>
      <w:r w:rsidR="00190923" w:rsidRPr="00981405">
        <w:t xml:space="preserve"> </w:t>
      </w:r>
      <w:r w:rsidRPr="00981405">
        <w:t>parameter.</w:t>
      </w:r>
    </w:p>
    <w:p w:rsidR="00397032" w:rsidRPr="00981405" w:rsidRDefault="00397032" w:rsidP="00D97463">
      <w:pPr>
        <w:pStyle w:val="SingleTxt"/>
      </w:pPr>
      <w:r w:rsidRPr="00981405">
        <w:t>165.</w:t>
      </w:r>
      <w:r w:rsidRPr="00981405">
        <w:tab/>
        <w:t>The</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cannot</w:t>
      </w:r>
      <w:r w:rsidR="00190923" w:rsidRPr="00981405">
        <w:t xml:space="preserve"> </w:t>
      </w:r>
      <w:r w:rsidRPr="00981405">
        <w:t>be</w:t>
      </w:r>
      <w:r w:rsidR="00190923" w:rsidRPr="00981405">
        <w:t xml:space="preserve"> </w:t>
      </w:r>
      <w:r w:rsidRPr="00981405">
        <w:t>completely</w:t>
      </w:r>
      <w:r w:rsidR="00190923" w:rsidRPr="00981405">
        <w:t xml:space="preserve"> </w:t>
      </w:r>
      <w:r w:rsidRPr="00981405">
        <w:t>open-ended.</w:t>
      </w:r>
      <w:r w:rsidR="00190923" w:rsidRPr="00981405">
        <w:t xml:space="preserve"> </w:t>
      </w:r>
      <w:r w:rsidRPr="00981405">
        <w:t>As</w:t>
      </w:r>
      <w:r w:rsidR="00190923" w:rsidRPr="00981405">
        <w:t xml:space="preserve"> </w:t>
      </w:r>
      <w:r w:rsidRPr="00981405">
        <w:t>draft</w:t>
      </w:r>
      <w:r w:rsidR="00190923" w:rsidRPr="00981405">
        <w:t xml:space="preserve"> </w:t>
      </w:r>
      <w:r w:rsidRPr="00981405">
        <w:t>article</w:t>
      </w:r>
      <w:r w:rsidR="00190923" w:rsidRPr="00981405">
        <w:t xml:space="preserve"> </w:t>
      </w:r>
      <w:r w:rsidRPr="00981405">
        <w:t>14</w:t>
      </w:r>
      <w:r w:rsidR="00190923" w:rsidRPr="00981405">
        <w:t xml:space="preserve"> </w:t>
      </w:r>
      <w:r w:rsidRPr="00981405">
        <w:t>of</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provides:</w:t>
      </w:r>
    </w:p>
    <w:p w:rsidR="00397032" w:rsidRPr="00981405" w:rsidRDefault="00B92E2C" w:rsidP="00D97463">
      <w:pPr>
        <w:pStyle w:val="SingleTxt"/>
        <w:ind w:left="1742"/>
      </w:pPr>
      <w:r w:rsidRPr="00981405">
        <w:t>“</w:t>
      </w:r>
      <w:r w:rsidR="00397032" w:rsidRPr="00981405">
        <w:t>The</w:t>
      </w:r>
      <w:r w:rsidR="00190923" w:rsidRPr="00981405">
        <w:t xml:space="preserve"> </w:t>
      </w:r>
      <w:r w:rsidR="00397032" w:rsidRPr="00981405">
        <w:t>exercise</w:t>
      </w:r>
      <w:r w:rsidR="00190923" w:rsidRPr="00981405">
        <w:t xml:space="preserve"> </w:t>
      </w:r>
      <w:r w:rsidR="00397032" w:rsidRPr="00981405">
        <w:t>of</w:t>
      </w:r>
      <w:r w:rsidR="00190923" w:rsidRPr="00981405">
        <w:t xml:space="preserve"> </w:t>
      </w:r>
      <w:r w:rsidR="00397032" w:rsidRPr="00981405">
        <w:t>rights</w:t>
      </w:r>
      <w:r w:rsidR="00190923" w:rsidRPr="00981405">
        <w:t xml:space="preserve"> </w:t>
      </w:r>
      <w:r w:rsidR="00397032" w:rsidRPr="00981405">
        <w:t>arising</w:t>
      </w:r>
      <w:r w:rsidR="00190923" w:rsidRPr="00981405">
        <w:t xml:space="preserve"> </w:t>
      </w:r>
      <w:r w:rsidR="00397032" w:rsidRPr="00981405">
        <w:t>under</w:t>
      </w:r>
      <w:r w:rsidR="00190923" w:rsidRPr="00981405">
        <w:t xml:space="preserve"> </w:t>
      </w:r>
      <w:r w:rsidR="00397032" w:rsidRPr="00981405">
        <w:t>a</w:t>
      </w:r>
      <w:r w:rsidR="00190923" w:rsidRPr="00981405">
        <w:t xml:space="preserve"> </w:t>
      </w:r>
      <w:r w:rsidR="00397032" w:rsidRPr="00981405">
        <w:t>most-favoured-nation</w:t>
      </w:r>
      <w:r w:rsidR="00190923" w:rsidRPr="00981405">
        <w:t xml:space="preserve"> </w:t>
      </w:r>
      <w:r w:rsidR="00397032" w:rsidRPr="00981405">
        <w:t>clause</w:t>
      </w:r>
      <w:r w:rsidR="00190923" w:rsidRPr="00981405">
        <w:t xml:space="preserve"> </w:t>
      </w:r>
      <w:r w:rsidR="00397032" w:rsidRPr="00981405">
        <w:t>for</w:t>
      </w:r>
      <w:r w:rsidR="00190923" w:rsidRPr="00981405">
        <w:t xml:space="preserve"> </w:t>
      </w:r>
      <w:r w:rsidR="00397032" w:rsidRPr="00981405">
        <w:t>the</w:t>
      </w:r>
      <w:r w:rsidR="00190923" w:rsidRPr="00981405">
        <w:t xml:space="preserve"> </w:t>
      </w:r>
      <w:r w:rsidR="00397032" w:rsidRPr="00981405">
        <w:t>beneficiary</w:t>
      </w:r>
      <w:r w:rsidR="00190923" w:rsidRPr="00981405">
        <w:t xml:space="preserve"> </w:t>
      </w:r>
      <w:r w:rsidR="00397032" w:rsidRPr="00981405">
        <w:t>State</w:t>
      </w:r>
      <w:r w:rsidR="00190923" w:rsidRPr="00981405">
        <w:t xml:space="preserve"> </w:t>
      </w:r>
      <w:r w:rsidR="00397032" w:rsidRPr="00981405">
        <w:t>or</w:t>
      </w:r>
      <w:r w:rsidR="00190923" w:rsidRPr="00981405">
        <w:t xml:space="preserve"> </w:t>
      </w:r>
      <w:r w:rsidR="00397032" w:rsidRPr="00981405">
        <w:t>persons</w:t>
      </w:r>
      <w:r w:rsidR="00190923" w:rsidRPr="00981405">
        <w:t xml:space="preserve"> </w:t>
      </w:r>
      <w:r w:rsidR="00397032" w:rsidRPr="00981405">
        <w:t>or</w:t>
      </w:r>
      <w:r w:rsidR="00190923" w:rsidRPr="00981405">
        <w:t xml:space="preserve"> </w:t>
      </w:r>
      <w:r w:rsidR="00397032" w:rsidRPr="00981405">
        <w:t>things</w:t>
      </w:r>
      <w:r w:rsidR="00190923" w:rsidRPr="00981405">
        <w:t xml:space="preserve"> </w:t>
      </w:r>
      <w:r w:rsidR="00397032" w:rsidRPr="00981405">
        <w:t>in</w:t>
      </w:r>
      <w:r w:rsidR="00190923" w:rsidRPr="00981405">
        <w:t xml:space="preserve"> </w:t>
      </w:r>
      <w:r w:rsidR="00397032" w:rsidRPr="00981405">
        <w:t>a</w:t>
      </w:r>
      <w:r w:rsidR="00190923" w:rsidRPr="00981405">
        <w:t xml:space="preserve"> </w:t>
      </w:r>
      <w:r w:rsidR="00397032" w:rsidRPr="00981405">
        <w:t>determined</w:t>
      </w:r>
      <w:r w:rsidR="00190923" w:rsidRPr="00981405">
        <w:t xml:space="preserve"> </w:t>
      </w:r>
      <w:r w:rsidR="00397032" w:rsidRPr="00981405">
        <w:t>relationship</w:t>
      </w:r>
      <w:r w:rsidR="00190923" w:rsidRPr="00981405">
        <w:t xml:space="preserve"> </w:t>
      </w:r>
      <w:r w:rsidR="00397032" w:rsidRPr="00981405">
        <w:t>with</w:t>
      </w:r>
      <w:r w:rsidR="00190923" w:rsidRPr="00981405">
        <w:t xml:space="preserve"> </w:t>
      </w:r>
      <w:r w:rsidR="00397032" w:rsidRPr="00981405">
        <w:t>that</w:t>
      </w:r>
      <w:r w:rsidR="00190923" w:rsidRPr="00981405">
        <w:t xml:space="preserve"> </w:t>
      </w:r>
      <w:r w:rsidR="00397032" w:rsidRPr="00981405">
        <w:t>State</w:t>
      </w:r>
      <w:r w:rsidR="00190923" w:rsidRPr="00981405">
        <w:t xml:space="preserve"> </w:t>
      </w:r>
      <w:r w:rsidR="00397032" w:rsidRPr="00981405">
        <w:t>is</w:t>
      </w:r>
      <w:r w:rsidR="00190923" w:rsidRPr="00981405">
        <w:t xml:space="preserve"> </w:t>
      </w:r>
      <w:r w:rsidR="00397032" w:rsidRPr="00981405">
        <w:t>subject</w:t>
      </w:r>
      <w:r w:rsidR="00190923" w:rsidRPr="00981405">
        <w:t xml:space="preserve"> </w:t>
      </w:r>
      <w:r w:rsidR="00397032" w:rsidRPr="00981405">
        <w:t>to</w:t>
      </w:r>
      <w:r w:rsidR="00190923" w:rsidRPr="00981405">
        <w:t xml:space="preserve"> </w:t>
      </w:r>
      <w:r w:rsidR="00397032" w:rsidRPr="00981405">
        <w:t>compliance</w:t>
      </w:r>
      <w:r w:rsidR="00190923" w:rsidRPr="00981405">
        <w:t xml:space="preserve"> </w:t>
      </w:r>
      <w:r w:rsidR="00397032" w:rsidRPr="00981405">
        <w:t>with</w:t>
      </w:r>
      <w:r w:rsidR="00190923" w:rsidRPr="00981405">
        <w:t xml:space="preserve"> </w:t>
      </w:r>
      <w:r w:rsidR="00397032" w:rsidRPr="00981405">
        <w:t>the</w:t>
      </w:r>
      <w:r w:rsidR="00190923" w:rsidRPr="00981405">
        <w:t xml:space="preserve"> </w:t>
      </w:r>
      <w:r w:rsidR="00397032" w:rsidRPr="00981405">
        <w:t>relevant</w:t>
      </w:r>
      <w:r w:rsidR="00190923" w:rsidRPr="00981405">
        <w:t xml:space="preserve"> </w:t>
      </w:r>
      <w:r w:rsidR="00397032" w:rsidRPr="00981405">
        <w:t>terms</w:t>
      </w:r>
      <w:r w:rsidR="00190923" w:rsidRPr="00981405">
        <w:t xml:space="preserve"> </w:t>
      </w:r>
      <w:r w:rsidR="00397032" w:rsidRPr="00981405">
        <w:t>and</w:t>
      </w:r>
      <w:r w:rsidR="00190923" w:rsidRPr="00981405">
        <w:t xml:space="preserve"> </w:t>
      </w:r>
      <w:r w:rsidR="00397032" w:rsidRPr="00981405">
        <w:t>conditions</w:t>
      </w:r>
      <w:r w:rsidR="00190923" w:rsidRPr="00981405">
        <w:t xml:space="preserve"> </w:t>
      </w:r>
      <w:r w:rsidR="00397032" w:rsidRPr="00981405">
        <w:t>laid</w:t>
      </w:r>
      <w:r w:rsidR="00190923" w:rsidRPr="00981405">
        <w:t xml:space="preserve"> </w:t>
      </w:r>
      <w:r w:rsidR="00397032" w:rsidRPr="00981405">
        <w:t>down</w:t>
      </w:r>
      <w:r w:rsidR="00190923" w:rsidRPr="00981405">
        <w:t xml:space="preserve"> </w:t>
      </w:r>
      <w:r w:rsidR="00397032" w:rsidRPr="00981405">
        <w:t>in</w:t>
      </w:r>
      <w:r w:rsidR="00190923" w:rsidRPr="00981405">
        <w:t xml:space="preserve"> </w:t>
      </w:r>
      <w:r w:rsidR="00397032" w:rsidRPr="00981405">
        <w:t>the</w:t>
      </w:r>
      <w:r w:rsidR="00190923" w:rsidRPr="00981405">
        <w:t xml:space="preserve"> </w:t>
      </w:r>
      <w:r w:rsidR="00397032" w:rsidRPr="00981405">
        <w:t>treaty</w:t>
      </w:r>
      <w:r w:rsidR="00190923" w:rsidRPr="00981405">
        <w:t xml:space="preserve"> </w:t>
      </w:r>
      <w:r w:rsidR="00397032" w:rsidRPr="00981405">
        <w:t>containing</w:t>
      </w:r>
      <w:r w:rsidR="00190923" w:rsidRPr="00981405">
        <w:t xml:space="preserve"> </w:t>
      </w:r>
      <w:r w:rsidR="00397032" w:rsidRPr="00981405">
        <w:t>the</w:t>
      </w:r>
      <w:r w:rsidR="00190923" w:rsidRPr="00981405">
        <w:t xml:space="preserve"> </w:t>
      </w:r>
      <w:r w:rsidR="00397032" w:rsidRPr="00981405">
        <w:t>clause</w:t>
      </w:r>
      <w:r w:rsidR="00190923" w:rsidRPr="00981405">
        <w:t xml:space="preserve"> </w:t>
      </w:r>
      <w:r w:rsidR="00397032" w:rsidRPr="00981405">
        <w:t>or</w:t>
      </w:r>
      <w:r w:rsidR="00190923" w:rsidRPr="00981405">
        <w:t xml:space="preserve"> </w:t>
      </w:r>
      <w:r w:rsidR="00397032" w:rsidRPr="00981405">
        <w:t>otherwise</w:t>
      </w:r>
      <w:r w:rsidR="00190923" w:rsidRPr="00981405">
        <w:t xml:space="preserve"> </w:t>
      </w:r>
      <w:r w:rsidR="00397032" w:rsidRPr="00981405">
        <w:t>agreed</w:t>
      </w:r>
      <w:r w:rsidR="00190923" w:rsidRPr="00981405">
        <w:t xml:space="preserve"> </w:t>
      </w:r>
      <w:r w:rsidR="00397032" w:rsidRPr="00981405">
        <w:t>between</w:t>
      </w:r>
      <w:r w:rsidR="00190923" w:rsidRPr="00981405">
        <w:t xml:space="preserve"> </w:t>
      </w:r>
      <w:r w:rsidR="00397032" w:rsidRPr="00981405">
        <w:t>the</w:t>
      </w:r>
      <w:r w:rsidR="00190923" w:rsidRPr="00981405">
        <w:t xml:space="preserve"> </w:t>
      </w:r>
      <w:r w:rsidR="00397032" w:rsidRPr="00981405">
        <w:t>granting</w:t>
      </w:r>
      <w:r w:rsidR="00190923" w:rsidRPr="00981405">
        <w:t xml:space="preserve"> </w:t>
      </w:r>
      <w:r w:rsidR="00397032" w:rsidRPr="00981405">
        <w:t>State</w:t>
      </w:r>
      <w:r w:rsidR="00190923" w:rsidRPr="00981405">
        <w:t xml:space="preserve"> </w:t>
      </w:r>
      <w:r w:rsidR="00397032" w:rsidRPr="00981405">
        <w:t>and</w:t>
      </w:r>
      <w:r w:rsidR="00190923" w:rsidRPr="00981405">
        <w:t xml:space="preserve"> </w:t>
      </w:r>
      <w:r w:rsidR="00397032" w:rsidRPr="00981405">
        <w:t>the</w:t>
      </w:r>
      <w:r w:rsidR="00190923" w:rsidRPr="00981405">
        <w:t xml:space="preserve"> </w:t>
      </w:r>
      <w:r w:rsidR="00397032" w:rsidRPr="00981405">
        <w:t>beneficiary</w:t>
      </w:r>
      <w:r w:rsidR="00190923" w:rsidRPr="00981405">
        <w:t xml:space="preserve"> </w:t>
      </w:r>
      <w:r w:rsidR="00397032" w:rsidRPr="00981405">
        <w:t>State.</w:t>
      </w:r>
      <w:r w:rsidRPr="00981405">
        <w:t>”</w:t>
      </w:r>
    </w:p>
    <w:p w:rsidR="00397032" w:rsidRPr="00981405" w:rsidRDefault="00397032" w:rsidP="00D97463">
      <w:pPr>
        <w:pStyle w:val="SingleTxt"/>
      </w:pPr>
      <w:r w:rsidRPr="00981405">
        <w:t>166.</w:t>
      </w:r>
      <w:r w:rsidRPr="00981405">
        <w:tab/>
        <w:t>There</w:t>
      </w:r>
      <w:r w:rsidR="00190923" w:rsidRPr="00981405">
        <w:t xml:space="preserve"> </w:t>
      </w:r>
      <w:r w:rsidRPr="00981405">
        <w:t>is</w:t>
      </w:r>
      <w:r w:rsidR="00190923" w:rsidRPr="00981405">
        <w:t xml:space="preserve"> </w:t>
      </w:r>
      <w:r w:rsidRPr="00981405">
        <w:t>no</w:t>
      </w:r>
      <w:r w:rsidR="00190923" w:rsidRPr="00981405">
        <w:t xml:space="preserve"> </w:t>
      </w:r>
      <w:r w:rsidRPr="00981405">
        <w:t>doubt</w:t>
      </w:r>
      <w:r w:rsidR="00190923" w:rsidRPr="00981405">
        <w:t xml:space="preserve"> </w:t>
      </w:r>
      <w:r w:rsidRPr="00981405">
        <w:t>that</w:t>
      </w:r>
      <w:r w:rsidR="00190923" w:rsidRPr="00981405">
        <w:t xml:space="preserve"> </w:t>
      </w:r>
      <w:r w:rsidRPr="00981405">
        <w:t>if</w:t>
      </w:r>
      <w:r w:rsidR="00190923" w:rsidRPr="00981405">
        <w:t xml:space="preserve"> </w:t>
      </w:r>
      <w:r w:rsidRPr="00981405">
        <w:t>a</w:t>
      </w:r>
      <w:r w:rsidR="00190923" w:rsidRPr="00981405">
        <w:t xml:space="preserve"> </w:t>
      </w:r>
      <w:r w:rsidRPr="00981405">
        <w:t>State</w:t>
      </w:r>
      <w:r w:rsidR="00190923" w:rsidRPr="00981405">
        <w:t xml:space="preserve"> </w:t>
      </w:r>
      <w:r w:rsidRPr="00981405">
        <w:t>has</w:t>
      </w:r>
      <w:r w:rsidR="00190923" w:rsidRPr="00981405">
        <w:t xml:space="preserve"> </w:t>
      </w:r>
      <w:r w:rsidRPr="00981405">
        <w:t>consented</w:t>
      </w:r>
      <w:r w:rsidR="00190923" w:rsidRPr="00981405">
        <w:t xml:space="preserve"> </w:t>
      </w:r>
      <w:r w:rsidRPr="00981405">
        <w:t>in</w:t>
      </w:r>
      <w:r w:rsidR="00190923" w:rsidRPr="00981405">
        <w:t xml:space="preserve"> </w:t>
      </w:r>
      <w:r w:rsidRPr="00981405">
        <w:t>a</w:t>
      </w:r>
      <w:r w:rsidR="00190923" w:rsidRPr="00981405">
        <w:t xml:space="preserve"> </w:t>
      </w:r>
      <w:r w:rsidRPr="00981405">
        <w:t>BIT</w:t>
      </w:r>
      <w:r w:rsidR="00190923" w:rsidRPr="00981405">
        <w:t xml:space="preserve"> </w:t>
      </w:r>
      <w:r w:rsidRPr="00981405">
        <w:t>to</w:t>
      </w:r>
      <w:r w:rsidR="00190923" w:rsidRPr="00981405">
        <w:t xml:space="preserve"> </w:t>
      </w:r>
      <w:r w:rsidRPr="00981405">
        <w:t>recognize</w:t>
      </w:r>
      <w:r w:rsidR="00190923" w:rsidRPr="00981405">
        <w:t xml:space="preserve"> </w:t>
      </w:r>
      <w:r w:rsidRPr="00981405">
        <w:t>certain</w:t>
      </w:r>
      <w:r w:rsidR="00190923" w:rsidRPr="00981405">
        <w:t xml:space="preserve"> </w:t>
      </w:r>
      <w:r w:rsidRPr="00981405">
        <w:t>categories</w:t>
      </w:r>
      <w:r w:rsidR="00190923" w:rsidRPr="00981405">
        <w:t xml:space="preserve"> </w:t>
      </w:r>
      <w:r w:rsidRPr="00981405">
        <w:t>of</w:t>
      </w:r>
      <w:r w:rsidR="00190923" w:rsidRPr="00981405">
        <w:t xml:space="preserve"> </w:t>
      </w:r>
      <w:r w:rsidRPr="00981405">
        <w:t>persons</w:t>
      </w:r>
      <w:r w:rsidR="00190923" w:rsidRPr="00981405">
        <w:t xml:space="preserve"> </w:t>
      </w:r>
      <w:r w:rsidRPr="00981405">
        <w:t>as</w:t>
      </w:r>
      <w:r w:rsidR="00190923" w:rsidRPr="00981405">
        <w:t xml:space="preserve"> </w:t>
      </w:r>
      <w:r w:rsidRPr="00981405">
        <w:t>investors,</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cannot</w:t>
      </w:r>
      <w:r w:rsidR="00190923" w:rsidRPr="00981405">
        <w:t xml:space="preserve"> </w:t>
      </w:r>
      <w:r w:rsidRPr="00981405">
        <w:t>be</w:t>
      </w:r>
      <w:r w:rsidR="00190923" w:rsidRPr="00981405">
        <w:t xml:space="preserve"> </w:t>
      </w:r>
      <w:r w:rsidRPr="00981405">
        <w:t>invoked</w:t>
      </w:r>
      <w:r w:rsidR="00190923" w:rsidRPr="00981405">
        <w:t xml:space="preserve"> </w:t>
      </w:r>
      <w:r w:rsidRPr="00981405">
        <w:t>to</w:t>
      </w:r>
      <w:r w:rsidR="00190923" w:rsidRPr="00981405">
        <w:t xml:space="preserve"> </w:t>
      </w:r>
      <w:r w:rsidRPr="00981405">
        <w:t>change</w:t>
      </w:r>
      <w:r w:rsidR="00190923" w:rsidRPr="00981405">
        <w:t xml:space="preserve"> </w:t>
      </w:r>
      <w:r w:rsidRPr="00981405">
        <w:t>those</w:t>
      </w:r>
      <w:r w:rsidR="00190923" w:rsidRPr="00981405">
        <w:t xml:space="preserve"> </w:t>
      </w:r>
      <w:r w:rsidRPr="00981405">
        <w:t>categories.</w:t>
      </w:r>
      <w:r w:rsidRPr="00981405">
        <w:rPr>
          <w:rStyle w:val="FootnoteReference"/>
        </w:rPr>
        <w:footnoteReference w:id="574"/>
      </w:r>
      <w:r w:rsidR="00190923" w:rsidRPr="00981405">
        <w:t xml:space="preserve"> </w:t>
      </w:r>
      <w:r w:rsidRPr="00981405">
        <w:t>A</w:t>
      </w:r>
      <w:r w:rsidR="00190923" w:rsidRPr="00981405">
        <w:t xml:space="preserve"> </w:t>
      </w:r>
      <w:r w:rsidRPr="00981405">
        <w:t>tribunal</w:t>
      </w:r>
      <w:r w:rsidR="00190923" w:rsidRPr="00981405">
        <w:t xml:space="preserve"> </w:t>
      </w:r>
      <w:r w:rsidRPr="00981405">
        <w:t>set</w:t>
      </w:r>
      <w:r w:rsidR="00190923" w:rsidRPr="00981405">
        <w:t xml:space="preserve"> </w:t>
      </w:r>
      <w:r w:rsidRPr="00981405">
        <w:t>up</w:t>
      </w:r>
      <w:r w:rsidR="00190923" w:rsidRPr="00981405">
        <w:t xml:space="preserve"> </w:t>
      </w:r>
      <w:r w:rsidRPr="00981405">
        <w:t>under</w:t>
      </w:r>
      <w:r w:rsidR="00190923" w:rsidRPr="00981405">
        <w:t xml:space="preserve"> </w:t>
      </w:r>
      <w:r w:rsidRPr="00981405">
        <w:t>the</w:t>
      </w:r>
      <w:r w:rsidR="00190923" w:rsidRPr="00981405">
        <w:t xml:space="preserve"> </w:t>
      </w:r>
      <w:r w:rsidRPr="00981405">
        <w:t>BIT</w:t>
      </w:r>
      <w:r w:rsidR="00190923" w:rsidRPr="00981405">
        <w:t xml:space="preserve"> </w:t>
      </w:r>
      <w:r w:rsidRPr="00981405">
        <w:t>simply</w:t>
      </w:r>
      <w:r w:rsidR="00190923" w:rsidRPr="00981405">
        <w:t xml:space="preserve"> </w:t>
      </w:r>
      <w:r w:rsidRPr="00981405">
        <w:t>has</w:t>
      </w:r>
      <w:r w:rsidR="00190923" w:rsidRPr="00981405">
        <w:t xml:space="preserve"> </w:t>
      </w:r>
      <w:r w:rsidRPr="00981405">
        <w:t>no</w:t>
      </w:r>
      <w:r w:rsidR="00190923" w:rsidRPr="00981405">
        <w:t xml:space="preserve"> </w:t>
      </w:r>
      <w:r w:rsidRPr="00981405">
        <w:t>jurisdiction</w:t>
      </w:r>
      <w:r w:rsidR="00190923" w:rsidRPr="00981405">
        <w:t xml:space="preserve"> </w:t>
      </w:r>
      <w:r w:rsidRPr="00981405">
        <w:t>to</w:t>
      </w:r>
      <w:r w:rsidR="00190923" w:rsidRPr="00981405">
        <w:t xml:space="preserve"> </w:t>
      </w:r>
      <w:r w:rsidRPr="00981405">
        <w:t>adjudicate</w:t>
      </w:r>
      <w:r w:rsidR="00190923" w:rsidRPr="00981405">
        <w:t xml:space="preserve"> </w:t>
      </w:r>
      <w:r w:rsidRPr="00981405">
        <w:t>on</w:t>
      </w:r>
      <w:r w:rsidR="00190923" w:rsidRPr="00981405">
        <w:t xml:space="preserve"> </w:t>
      </w:r>
      <w:r w:rsidRPr="00981405">
        <w:t>rights</w:t>
      </w:r>
      <w:r w:rsidR="00190923" w:rsidRPr="00981405">
        <w:t xml:space="preserve"> </w:t>
      </w:r>
      <w:r w:rsidRPr="00981405">
        <w:t>in</w:t>
      </w:r>
      <w:r w:rsidR="00190923" w:rsidRPr="00981405">
        <w:t xml:space="preserve"> </w:t>
      </w:r>
      <w:r w:rsidRPr="00981405">
        <w:t>respect</w:t>
      </w:r>
      <w:r w:rsidR="00190923" w:rsidRPr="00981405">
        <w:t xml:space="preserve"> </w:t>
      </w:r>
      <w:r w:rsidRPr="00981405">
        <w:t>of</w:t>
      </w:r>
      <w:r w:rsidR="00190923" w:rsidRPr="00981405">
        <w:t xml:space="preserve"> </w:t>
      </w:r>
      <w:r w:rsidRPr="00981405">
        <w:t>an</w:t>
      </w:r>
      <w:r w:rsidR="00190923" w:rsidRPr="00981405">
        <w:t xml:space="preserve"> </w:t>
      </w:r>
      <w:r w:rsidRPr="00981405">
        <w:t>entity</w:t>
      </w:r>
      <w:r w:rsidR="00190923" w:rsidRPr="00981405">
        <w:t xml:space="preserve"> </w:t>
      </w:r>
      <w:r w:rsidRPr="00981405">
        <w:t>that</w:t>
      </w:r>
      <w:r w:rsidR="00190923" w:rsidRPr="00981405">
        <w:t xml:space="preserve"> </w:t>
      </w:r>
      <w:r w:rsidRPr="00981405">
        <w:t>does</w:t>
      </w:r>
      <w:r w:rsidR="00190923" w:rsidRPr="00981405">
        <w:t xml:space="preserve"> </w:t>
      </w:r>
      <w:r w:rsidRPr="00981405">
        <w:t>not</w:t>
      </w:r>
      <w:r w:rsidR="00190923" w:rsidRPr="00981405">
        <w:t xml:space="preserve"> </w:t>
      </w:r>
      <w:r w:rsidRPr="00981405">
        <w:t>constitute</w:t>
      </w:r>
      <w:r w:rsidR="00190923" w:rsidRPr="00981405">
        <w:t xml:space="preserve"> </w:t>
      </w:r>
      <w:r w:rsidRPr="00981405">
        <w:t>an</w:t>
      </w:r>
      <w:r w:rsidR="00190923" w:rsidRPr="00981405">
        <w:t xml:space="preserve"> </w:t>
      </w:r>
      <w:r w:rsidRPr="00981405">
        <w:t>investor.</w:t>
      </w:r>
      <w:r w:rsidR="00190923" w:rsidRPr="00981405">
        <w:t xml:space="preserve"> </w:t>
      </w:r>
      <w:r w:rsidRPr="00981405">
        <w:t>The</w:t>
      </w:r>
      <w:r w:rsidR="00190923" w:rsidRPr="00981405">
        <w:t xml:space="preserve"> </w:t>
      </w:r>
      <w:r w:rsidRPr="00981405">
        <w:t>question</w:t>
      </w:r>
      <w:r w:rsidR="00190923" w:rsidRPr="00981405">
        <w:t xml:space="preserve"> </w:t>
      </w:r>
      <w:r w:rsidRPr="00981405">
        <w:t>is</w:t>
      </w:r>
      <w:r w:rsidR="00190923" w:rsidRPr="00981405">
        <w:t xml:space="preserve"> </w:t>
      </w:r>
      <w:r w:rsidRPr="00981405">
        <w:t>whether</w:t>
      </w:r>
      <w:r w:rsidR="00190923" w:rsidRPr="00981405">
        <w:t xml:space="preserve"> </w:t>
      </w:r>
      <w:r w:rsidRPr="00981405">
        <w:t>a</w:t>
      </w:r>
      <w:r w:rsidR="00190923" w:rsidRPr="00981405">
        <w:t xml:space="preserve"> </w:t>
      </w:r>
      <w:r w:rsidRPr="00981405">
        <w:t>limitation</w:t>
      </w:r>
      <w:r w:rsidR="00190923" w:rsidRPr="00981405">
        <w:t xml:space="preserve"> </w:t>
      </w:r>
      <w:r w:rsidRPr="00981405">
        <w:t>on</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such</w:t>
      </w:r>
      <w:r w:rsidR="00190923" w:rsidRPr="00981405">
        <w:t xml:space="preserve"> </w:t>
      </w:r>
      <w:r w:rsidRPr="00981405">
        <w:t>as</w:t>
      </w:r>
      <w:r w:rsidR="00190923" w:rsidRPr="00981405">
        <w:t xml:space="preserve"> </w:t>
      </w:r>
      <w:r w:rsidRPr="00981405">
        <w:t>an</w:t>
      </w:r>
      <w:r w:rsidR="00190923" w:rsidRPr="00981405">
        <w:t xml:space="preserve"> </w:t>
      </w:r>
      <w:r w:rsidRPr="00981405">
        <w:t>18-month</w:t>
      </w:r>
      <w:r w:rsidR="00190923" w:rsidRPr="00981405">
        <w:t xml:space="preserve"> </w:t>
      </w:r>
      <w:r w:rsidRPr="00981405">
        <w:t>domestic</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is</w:t>
      </w:r>
      <w:r w:rsidR="00190923" w:rsidRPr="00981405">
        <w:t xml:space="preserve"> </w:t>
      </w:r>
      <w:r w:rsidRPr="00981405">
        <w:t>a</w:t>
      </w:r>
      <w:r w:rsidR="00190923" w:rsidRPr="00981405">
        <w:t xml:space="preserve"> </w:t>
      </w:r>
      <w:r w:rsidRPr="00981405">
        <w:t>similar</w:t>
      </w:r>
      <w:r w:rsidR="00190923" w:rsidRPr="00981405">
        <w:t xml:space="preserve"> </w:t>
      </w:r>
      <w:r w:rsidRPr="00981405">
        <w:t>jurisdictional</w:t>
      </w:r>
      <w:r w:rsidR="00190923" w:rsidRPr="00981405">
        <w:t xml:space="preserve"> </w:t>
      </w:r>
      <w:r w:rsidRPr="00981405">
        <w:t>limitation</w:t>
      </w:r>
      <w:r w:rsidR="00190923" w:rsidRPr="00981405">
        <w:t xml:space="preserve"> </w:t>
      </w:r>
      <w:r w:rsidRPr="00981405">
        <w:t>applicable</w:t>
      </w:r>
      <w:r w:rsidR="00190923" w:rsidRPr="00981405">
        <w:t xml:space="preserve"> </w:t>
      </w:r>
      <w:r w:rsidRPr="00981405">
        <w:t>to</w:t>
      </w:r>
      <w:r w:rsidR="00190923" w:rsidRPr="00981405">
        <w:t xml:space="preserve"> </w:t>
      </w:r>
      <w:r w:rsidRPr="00981405">
        <w:t>qualified</w:t>
      </w:r>
      <w:r w:rsidR="00190923" w:rsidRPr="00981405">
        <w:t xml:space="preserve"> </w:t>
      </w:r>
      <w:r w:rsidRPr="00981405">
        <w:t>investors.</w:t>
      </w:r>
      <w:r w:rsidR="00190923" w:rsidRPr="00981405">
        <w:t xml:space="preserve"> </w:t>
      </w:r>
    </w:p>
    <w:p w:rsidR="00397032" w:rsidRPr="00981405" w:rsidRDefault="00397032" w:rsidP="00D97463">
      <w:pPr>
        <w:pStyle w:val="SingleTxt"/>
      </w:pPr>
      <w:r w:rsidRPr="00981405">
        <w:t>167.</w:t>
      </w:r>
      <w:r w:rsidRPr="00981405">
        <w:tab/>
        <w:t>An</w:t>
      </w:r>
      <w:r w:rsidR="00190923" w:rsidRPr="00981405">
        <w:t xml:space="preserve"> </w:t>
      </w:r>
      <w:r w:rsidRPr="00981405">
        <w:t>answer</w:t>
      </w:r>
      <w:r w:rsidR="00190923" w:rsidRPr="00981405">
        <w:t xml:space="preserve"> </w:t>
      </w:r>
      <w:r w:rsidRPr="00981405">
        <w:t>to</w:t>
      </w:r>
      <w:r w:rsidR="00190923" w:rsidRPr="00981405">
        <w:t xml:space="preserve"> </w:t>
      </w:r>
      <w:r w:rsidRPr="00981405">
        <w:t>this</w:t>
      </w:r>
      <w:r w:rsidR="00190923" w:rsidRPr="00981405">
        <w:t xml:space="preserve"> </w:t>
      </w:r>
      <w:r w:rsidRPr="00981405">
        <w:t>depends,</w:t>
      </w:r>
      <w:r w:rsidR="00190923" w:rsidRPr="00981405">
        <w:t xml:space="preserve"> </w:t>
      </w:r>
      <w:r w:rsidRPr="00981405">
        <w:t>in</w:t>
      </w:r>
      <w:r w:rsidR="00190923" w:rsidRPr="00981405">
        <w:t xml:space="preserve"> </w:t>
      </w:r>
      <w:r w:rsidRPr="00981405">
        <w:t>part,</w:t>
      </w:r>
      <w:r w:rsidR="00190923" w:rsidRPr="00981405">
        <w:t xml:space="preserve"> </w:t>
      </w:r>
      <w:r w:rsidRPr="00981405">
        <w:t>on</w:t>
      </w:r>
      <w:r w:rsidR="00190923" w:rsidRPr="00981405">
        <w:t xml:space="preserve"> </w:t>
      </w:r>
      <w:r w:rsidRPr="00981405">
        <w:t>whether</w:t>
      </w:r>
      <w:r w:rsidR="00190923" w:rsidRPr="00981405">
        <w:t xml:space="preserve"> </w:t>
      </w:r>
      <w:r w:rsidRPr="00981405">
        <w:t>this</w:t>
      </w:r>
      <w:r w:rsidR="00190923" w:rsidRPr="00981405">
        <w:t xml:space="preserve"> </w:t>
      </w:r>
      <w:r w:rsidRPr="00981405">
        <w:t>is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jurisdiction</w:t>
      </w:r>
      <w:r w:rsidR="00190923" w:rsidRPr="00981405">
        <w:t xml:space="preserve"> </w:t>
      </w:r>
      <w:r w:rsidRPr="00981405">
        <w:t>or</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admissibility.</w:t>
      </w:r>
      <w:r w:rsidR="00190923" w:rsidRPr="00981405">
        <w:t xml:space="preserve"> </w:t>
      </w:r>
      <w:r w:rsidRPr="00981405">
        <w:t>The</w:t>
      </w:r>
      <w:r w:rsidR="00190923" w:rsidRPr="00981405">
        <w:t xml:space="preserve"> </w:t>
      </w:r>
      <w:r w:rsidRPr="00981405">
        <w:t>distinction</w:t>
      </w:r>
      <w:r w:rsidR="00190923" w:rsidRPr="00981405">
        <w:t xml:space="preserve"> </w:t>
      </w:r>
      <w:r w:rsidRPr="00981405">
        <w:t>between</w:t>
      </w:r>
      <w:r w:rsidR="00190923" w:rsidRPr="00981405">
        <w:t xml:space="preserve"> </w:t>
      </w:r>
      <w:r w:rsidRPr="00981405">
        <w:t>jurisdiction</w:t>
      </w:r>
      <w:r w:rsidR="00190923" w:rsidRPr="00981405">
        <w:t xml:space="preserve"> </w:t>
      </w:r>
      <w:r w:rsidRPr="00981405">
        <w:t>and</w:t>
      </w:r>
      <w:r w:rsidR="00190923" w:rsidRPr="00981405">
        <w:t xml:space="preserve"> </w:t>
      </w:r>
      <w:r w:rsidRPr="00981405">
        <w:t>admissibility</w:t>
      </w:r>
      <w:r w:rsidR="00190923" w:rsidRPr="00981405">
        <w:t xml:space="preserve"> </w:t>
      </w:r>
      <w:r w:rsidRPr="00981405">
        <w:t>is</w:t>
      </w:r>
      <w:r w:rsidR="00190923" w:rsidRPr="00981405">
        <w:t xml:space="preserve"> </w:t>
      </w:r>
      <w:r w:rsidRPr="00981405">
        <w:t>not</w:t>
      </w:r>
      <w:r w:rsidR="00190923" w:rsidRPr="00981405">
        <w:t xml:space="preserve"> </w:t>
      </w:r>
      <w:r w:rsidRPr="00981405">
        <w:t>always</w:t>
      </w:r>
      <w:r w:rsidR="00190923" w:rsidRPr="00981405">
        <w:t xml:space="preserve"> </w:t>
      </w:r>
      <w:r w:rsidRPr="00981405">
        <w:t>clear</w:t>
      </w:r>
      <w:r w:rsidR="00190923" w:rsidRPr="00981405">
        <w:t xml:space="preserve"> </w:t>
      </w:r>
      <w:r w:rsidRPr="00981405">
        <w:t>and</w:t>
      </w:r>
      <w:r w:rsidR="00190923" w:rsidRPr="00981405">
        <w:t xml:space="preserve"> </w:t>
      </w:r>
      <w:r w:rsidRPr="00981405">
        <w:t>the</w:t>
      </w:r>
      <w:r w:rsidR="00190923" w:rsidRPr="00981405">
        <w:t xml:space="preserve"> </w:t>
      </w:r>
      <w:r w:rsidRPr="00981405">
        <w:t>terms</w:t>
      </w:r>
      <w:r w:rsidR="00190923" w:rsidRPr="00981405">
        <w:t xml:space="preserve"> </w:t>
      </w:r>
      <w:r w:rsidRPr="00981405">
        <w:t>are</w:t>
      </w:r>
      <w:r w:rsidR="00190923" w:rsidRPr="00981405">
        <w:t xml:space="preserve"> </w:t>
      </w:r>
      <w:r w:rsidRPr="00981405">
        <w:t>sometimes</w:t>
      </w:r>
      <w:r w:rsidR="00190923" w:rsidRPr="00981405">
        <w:t xml:space="preserve"> </w:t>
      </w:r>
      <w:r w:rsidRPr="00981405">
        <w:t>used</w:t>
      </w:r>
      <w:r w:rsidR="00190923" w:rsidRPr="00981405">
        <w:t xml:space="preserve"> </w:t>
      </w:r>
      <w:r w:rsidRPr="00981405">
        <w:t>interchangeably.</w:t>
      </w:r>
      <w:r w:rsidRPr="00981405">
        <w:rPr>
          <w:rStyle w:val="FootnoteReference"/>
        </w:rPr>
        <w:footnoteReference w:id="575"/>
      </w:r>
      <w:r w:rsidR="00190923" w:rsidRPr="00981405">
        <w:t xml:space="preserve"> </w:t>
      </w:r>
      <w:r w:rsidRPr="00981405">
        <w:t>However,</w:t>
      </w:r>
      <w:r w:rsidR="00190923" w:rsidRPr="00981405">
        <w:t xml:space="preserve"> </w:t>
      </w:r>
      <w:r w:rsidRPr="00981405">
        <w:t>the</w:t>
      </w:r>
      <w:r w:rsidR="00190923" w:rsidRPr="00981405">
        <w:t xml:space="preserve"> </w:t>
      </w:r>
      <w:r w:rsidRPr="00981405">
        <w:lastRenderedPageBreak/>
        <w:t>distinction</w:t>
      </w:r>
      <w:r w:rsidR="00190923" w:rsidRPr="00981405">
        <w:t xml:space="preserve"> </w:t>
      </w:r>
      <w:r w:rsidRPr="00981405">
        <w:t>between</w:t>
      </w:r>
      <w:r w:rsidR="00190923" w:rsidRPr="00981405">
        <w:t xml:space="preserve"> </w:t>
      </w:r>
      <w:r w:rsidRPr="00981405">
        <w:t>objections</w:t>
      </w:r>
      <w:r w:rsidR="00190923" w:rsidRPr="00981405">
        <w:t xml:space="preserve"> </w:t>
      </w:r>
      <w:r w:rsidRPr="00981405">
        <w:t>that</w:t>
      </w:r>
      <w:r w:rsidR="00190923" w:rsidRPr="00981405">
        <w:t xml:space="preserve"> </w:t>
      </w:r>
      <w:r w:rsidRPr="00981405">
        <w:t>are</w:t>
      </w:r>
      <w:r w:rsidR="00190923" w:rsidRPr="00981405">
        <w:t xml:space="preserve"> </w:t>
      </w:r>
      <w:r w:rsidRPr="00981405">
        <w:t>directed</w:t>
      </w:r>
      <w:r w:rsidR="00190923" w:rsidRPr="00981405">
        <w:t xml:space="preserve"> </w:t>
      </w:r>
      <w:r w:rsidRPr="00981405">
        <w:t>at</w:t>
      </w:r>
      <w:r w:rsidR="00190923" w:rsidRPr="00981405">
        <w:t xml:space="preserve"> </w:t>
      </w:r>
      <w:r w:rsidRPr="00981405">
        <w:t>the</w:t>
      </w:r>
      <w:r w:rsidR="00190923" w:rsidRPr="00981405">
        <w:t xml:space="preserve"> </w:t>
      </w:r>
      <w:r w:rsidRPr="00981405">
        <w:t>tribunal</w:t>
      </w:r>
      <w:r w:rsidR="00190923" w:rsidRPr="00981405">
        <w:t xml:space="preserve"> </w:t>
      </w:r>
      <w:r w:rsidRPr="00981405">
        <w:t>and</w:t>
      </w:r>
      <w:r w:rsidR="00190923" w:rsidRPr="00981405">
        <w:t xml:space="preserve"> </w:t>
      </w:r>
      <w:r w:rsidRPr="00981405">
        <w:t>objections</w:t>
      </w:r>
      <w:r w:rsidR="00190923" w:rsidRPr="00981405">
        <w:t xml:space="preserve"> </w:t>
      </w:r>
      <w:r w:rsidRPr="00981405">
        <w:t>that</w:t>
      </w:r>
      <w:r w:rsidR="00190923" w:rsidRPr="00981405">
        <w:t xml:space="preserve"> </w:t>
      </w:r>
      <w:r w:rsidRPr="00981405">
        <w:t>are</w:t>
      </w:r>
      <w:r w:rsidR="00190923" w:rsidRPr="00981405">
        <w:t xml:space="preserve"> </w:t>
      </w:r>
      <w:r w:rsidRPr="00981405">
        <w:t>directed</w:t>
      </w:r>
      <w:r w:rsidR="00190923" w:rsidRPr="00981405">
        <w:t xml:space="preserve"> </w:t>
      </w:r>
      <w:r w:rsidRPr="00981405">
        <w:t>at</w:t>
      </w:r>
      <w:r w:rsidR="00190923" w:rsidRPr="00981405">
        <w:t xml:space="preserve"> </w:t>
      </w:r>
      <w:r w:rsidRPr="00981405">
        <w:t>the</w:t>
      </w:r>
      <w:r w:rsidR="00190923" w:rsidRPr="00981405">
        <w:t xml:space="preserve"> </w:t>
      </w:r>
      <w:r w:rsidRPr="00981405">
        <w:t>claim</w:t>
      </w:r>
      <w:r w:rsidR="00190923" w:rsidRPr="00981405">
        <w:t xml:space="preserve"> </w:t>
      </w:r>
      <w:r w:rsidRPr="00981405">
        <w:t>is</w:t>
      </w:r>
      <w:r w:rsidR="00190923" w:rsidRPr="00981405">
        <w:t xml:space="preserve"> </w:t>
      </w:r>
      <w:r w:rsidRPr="00981405">
        <w:t>said</w:t>
      </w:r>
      <w:r w:rsidR="00190923" w:rsidRPr="00981405">
        <w:t xml:space="preserve"> </w:t>
      </w:r>
      <w:r w:rsidRPr="00981405">
        <w:t>to</w:t>
      </w:r>
      <w:r w:rsidR="00190923" w:rsidRPr="00981405">
        <w:t xml:space="preserve"> </w:t>
      </w:r>
      <w:r w:rsidRPr="00981405">
        <w:t>be</w:t>
      </w:r>
      <w:r w:rsidR="00190923" w:rsidRPr="00981405">
        <w:t xml:space="preserve"> </w:t>
      </w:r>
      <w:r w:rsidRPr="00981405">
        <w:t>the</w:t>
      </w:r>
      <w:r w:rsidR="00190923" w:rsidRPr="00981405">
        <w:t xml:space="preserve"> </w:t>
      </w:r>
      <w:r w:rsidRPr="00981405">
        <w:t>basis</w:t>
      </w:r>
      <w:r w:rsidR="00190923" w:rsidRPr="00981405">
        <w:t xml:space="preserve"> </w:t>
      </w:r>
      <w:r w:rsidRPr="00981405">
        <w:t>of</w:t>
      </w:r>
      <w:r w:rsidR="00190923" w:rsidRPr="00981405">
        <w:t xml:space="preserve"> </w:t>
      </w:r>
      <w:r w:rsidRPr="00981405">
        <w:t>the</w:t>
      </w:r>
      <w:r w:rsidR="00190923" w:rsidRPr="00981405">
        <w:t xml:space="preserve"> </w:t>
      </w:r>
      <w:r w:rsidRPr="00981405">
        <w:t>distinction.</w:t>
      </w:r>
      <w:r w:rsidRPr="00981405">
        <w:rPr>
          <w:rStyle w:val="FootnoteReference"/>
        </w:rPr>
        <w:footnoteReference w:id="576"/>
      </w:r>
      <w:r w:rsidR="00190923" w:rsidRPr="00981405">
        <w:t xml:space="preserve"> </w:t>
      </w:r>
    </w:p>
    <w:p w:rsidR="00397032" w:rsidRPr="00981405" w:rsidRDefault="00397032" w:rsidP="00D97463">
      <w:pPr>
        <w:pStyle w:val="SingleTxt"/>
      </w:pPr>
      <w:r w:rsidRPr="00981405">
        <w:t>168.</w:t>
      </w:r>
      <w:r w:rsidRPr="00981405">
        <w:tab/>
        <w:t>On</w:t>
      </w:r>
      <w:r w:rsidR="00190923" w:rsidRPr="00981405">
        <w:t xml:space="preserve"> </w:t>
      </w:r>
      <w:r w:rsidRPr="00981405">
        <w:t>this</w:t>
      </w:r>
      <w:r w:rsidR="00190923" w:rsidRPr="00981405">
        <w:t xml:space="preserve"> </w:t>
      </w:r>
      <w:r w:rsidRPr="00981405">
        <w:t>basis,</w:t>
      </w:r>
      <w:r w:rsidR="00190923" w:rsidRPr="00981405">
        <w:t xml:space="preserve"> </w:t>
      </w:r>
      <w:r w:rsidRPr="00981405">
        <w:t>one</w:t>
      </w:r>
      <w:r w:rsidR="00190923" w:rsidRPr="00981405">
        <w:t xml:space="preserve"> </w:t>
      </w:r>
      <w:r w:rsidRPr="00981405">
        <w:t>might</w:t>
      </w:r>
      <w:r w:rsidR="00190923" w:rsidRPr="00981405">
        <w:t xml:space="preserve"> </w:t>
      </w:r>
      <w:r w:rsidRPr="00981405">
        <w:t>argue</w:t>
      </w:r>
      <w:r w:rsidR="00190923" w:rsidRPr="00981405">
        <w:t xml:space="preserve"> </w:t>
      </w:r>
      <w:r w:rsidRPr="00981405">
        <w:t>that</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being</w:t>
      </w:r>
      <w:r w:rsidR="00190923" w:rsidRPr="00981405">
        <w:t xml:space="preserve"> </w:t>
      </w:r>
      <w:r w:rsidRPr="00981405">
        <w:t>a</w:t>
      </w:r>
      <w:r w:rsidR="00190923" w:rsidRPr="00981405">
        <w:t xml:space="preserve"> </w:t>
      </w:r>
      <w:r w:rsidRPr="00981405">
        <w:t>condition</w:t>
      </w:r>
      <w:r w:rsidR="00190923" w:rsidRPr="00981405">
        <w:t xml:space="preserve"> </w:t>
      </w:r>
      <w:r w:rsidRPr="00981405">
        <w:t>that</w:t>
      </w:r>
      <w:r w:rsidR="00190923" w:rsidRPr="00981405">
        <w:t xml:space="preserve"> </w:t>
      </w:r>
      <w:r w:rsidRPr="00981405">
        <w:t>determines</w:t>
      </w:r>
      <w:r w:rsidR="00190923" w:rsidRPr="00981405">
        <w:t xml:space="preserve"> </w:t>
      </w:r>
      <w:r w:rsidRPr="00981405">
        <w:t>whether</w:t>
      </w:r>
      <w:r w:rsidR="00190923" w:rsidRPr="00981405">
        <w:t xml:space="preserve"> </w:t>
      </w:r>
      <w:r w:rsidRPr="00981405">
        <w:t>a</w:t>
      </w:r>
      <w:r w:rsidR="00190923" w:rsidRPr="00981405">
        <w:t xml:space="preserve"> </w:t>
      </w:r>
      <w:r w:rsidRPr="00981405">
        <w:t>claim</w:t>
      </w:r>
      <w:r w:rsidR="00190923" w:rsidRPr="00981405">
        <w:t xml:space="preserve"> </w:t>
      </w:r>
      <w:r w:rsidRPr="00981405">
        <w:t>can</w:t>
      </w:r>
      <w:r w:rsidR="00190923" w:rsidRPr="00981405">
        <w:t xml:space="preserve"> </w:t>
      </w:r>
      <w:r w:rsidRPr="00981405">
        <w:t>be</w:t>
      </w:r>
      <w:r w:rsidR="00190923" w:rsidRPr="00981405">
        <w:t xml:space="preserve"> </w:t>
      </w:r>
      <w:r w:rsidRPr="00981405">
        <w:t>brought</w:t>
      </w:r>
      <w:r w:rsidR="00190923" w:rsidRPr="00981405">
        <w:t xml:space="preserve"> </w:t>
      </w:r>
      <w:r w:rsidRPr="00981405">
        <w:t>at</w:t>
      </w:r>
      <w:r w:rsidR="00190923" w:rsidRPr="00981405">
        <w:t xml:space="preserve"> </w:t>
      </w:r>
      <w:r w:rsidRPr="00981405">
        <w:t>all</w:t>
      </w:r>
      <w:r w:rsidR="00190923" w:rsidRPr="00981405">
        <w:t xml:space="preserve"> </w:t>
      </w:r>
      <w:r w:rsidRPr="00981405">
        <w:t>by</w:t>
      </w:r>
      <w:r w:rsidR="00190923" w:rsidRPr="00981405">
        <w:t xml:space="preserve"> </w:t>
      </w:r>
      <w:r w:rsidRPr="00981405">
        <w:t>the</w:t>
      </w:r>
      <w:r w:rsidR="00190923" w:rsidRPr="00981405">
        <w:t xml:space="preserve"> </w:t>
      </w:r>
      <w:r w:rsidRPr="00981405">
        <w:t>investor</w:t>
      </w:r>
      <w:r w:rsidR="00190923" w:rsidRPr="00981405">
        <w:t xml:space="preserve"> </w:t>
      </w:r>
      <w:r w:rsidRPr="00981405">
        <w:t>goes</w:t>
      </w:r>
      <w:r w:rsidR="00190923" w:rsidRPr="00981405">
        <w:t xml:space="preserve"> </w:t>
      </w:r>
      <w:r w:rsidRPr="00981405">
        <w:t>to</w:t>
      </w:r>
      <w:r w:rsidR="00190923" w:rsidRPr="00981405">
        <w:t xml:space="preserve"> </w:t>
      </w:r>
      <w:r w:rsidRPr="00981405">
        <w:t>the</w:t>
      </w:r>
      <w:r w:rsidR="00190923" w:rsidRPr="00981405">
        <w:t xml:space="preserve"> </w:t>
      </w:r>
      <w:r w:rsidRPr="00981405">
        <w:t>jurisdiction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00E50095" w:rsidRPr="00981405">
        <w:t>—</w:t>
      </w:r>
      <w:r w:rsidR="00190923" w:rsidRPr="00981405">
        <w:t xml:space="preserve"> </w:t>
      </w:r>
      <w:r w:rsidRPr="00981405">
        <w:t>it</w:t>
      </w:r>
      <w:r w:rsidR="00190923" w:rsidRPr="00981405">
        <w:t xml:space="preserve"> </w:t>
      </w:r>
      <w:r w:rsidRPr="00981405">
        <w:t>is</w:t>
      </w:r>
      <w:r w:rsidR="00190923" w:rsidRPr="00981405">
        <w:t xml:space="preserve"> </w:t>
      </w:r>
      <w:r w:rsidRPr="00981405">
        <w:t>not</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the</w:t>
      </w:r>
      <w:r w:rsidR="00190923" w:rsidRPr="00981405">
        <w:t xml:space="preserve"> </w:t>
      </w:r>
      <w:r w:rsidRPr="00981405">
        <w:t>particular</w:t>
      </w:r>
      <w:r w:rsidR="00190923" w:rsidRPr="00981405">
        <w:t xml:space="preserve"> </w:t>
      </w:r>
      <w:r w:rsidRPr="00981405">
        <w:t>claim</w:t>
      </w:r>
      <w:r w:rsidR="00190923" w:rsidRPr="00981405">
        <w:t xml:space="preserve"> </w:t>
      </w:r>
      <w:r w:rsidRPr="00981405">
        <w:t>that</w:t>
      </w:r>
      <w:r w:rsidR="00190923" w:rsidRPr="00981405">
        <w:t xml:space="preserve"> </w:t>
      </w:r>
      <w:r w:rsidRPr="00981405">
        <w:t>is</w:t>
      </w:r>
      <w:r w:rsidR="00190923" w:rsidRPr="00981405">
        <w:t xml:space="preserve"> </w:t>
      </w:r>
      <w:r w:rsidRPr="00981405">
        <w:t>being</w:t>
      </w:r>
      <w:r w:rsidR="00190923" w:rsidRPr="00981405">
        <w:t xml:space="preserve"> </w:t>
      </w:r>
      <w:r w:rsidRPr="00981405">
        <w:t>made</w:t>
      </w:r>
      <w:r w:rsidR="00190923" w:rsidRPr="00981405">
        <w:t xml:space="preserve"> </w:t>
      </w:r>
      <w:r w:rsidRPr="00981405">
        <w:t>by</w:t>
      </w:r>
      <w:r w:rsidR="00190923" w:rsidRPr="00981405">
        <w:t xml:space="preserve"> </w:t>
      </w:r>
      <w:r w:rsidRPr="00981405">
        <w:t>the</w:t>
      </w:r>
      <w:r w:rsidR="00190923" w:rsidRPr="00981405">
        <w:t xml:space="preserve"> </w:t>
      </w:r>
      <w:r w:rsidRPr="00981405">
        <w:t>investor;</w:t>
      </w:r>
      <w:r w:rsidR="00190923" w:rsidRPr="00981405">
        <w:t xml:space="preserve"> </w:t>
      </w:r>
      <w:r w:rsidRPr="00981405">
        <w:t>no</w:t>
      </w:r>
      <w:r w:rsidR="00190923" w:rsidRPr="00981405">
        <w:t xml:space="preserve"> </w:t>
      </w:r>
      <w:r w:rsidRPr="00981405">
        <w:t>claim</w:t>
      </w:r>
      <w:r w:rsidR="00190923" w:rsidRPr="00981405">
        <w:t xml:space="preserve"> </w:t>
      </w:r>
      <w:r w:rsidRPr="00981405">
        <w:t>can</w:t>
      </w:r>
      <w:r w:rsidR="00190923" w:rsidRPr="00981405">
        <w:t xml:space="preserve"> </w:t>
      </w:r>
      <w:r w:rsidRPr="00981405">
        <w:t>be</w:t>
      </w:r>
      <w:r w:rsidR="00190923" w:rsidRPr="00981405">
        <w:t xml:space="preserve"> </w:t>
      </w:r>
      <w:r w:rsidRPr="00981405">
        <w:t>made</w:t>
      </w:r>
      <w:r w:rsidR="00190923" w:rsidRPr="00981405">
        <w:t xml:space="preserve"> </w:t>
      </w:r>
      <w:r w:rsidRPr="00981405">
        <w:t>by</w:t>
      </w:r>
      <w:r w:rsidR="00190923" w:rsidRPr="00981405">
        <w:t xml:space="preserve"> </w:t>
      </w:r>
      <w:r w:rsidRPr="00981405">
        <w:t>that</w:t>
      </w:r>
      <w:r w:rsidR="00190923" w:rsidRPr="00981405">
        <w:t xml:space="preserve"> </w:t>
      </w:r>
      <w:r w:rsidRPr="00981405">
        <w:t>investor</w:t>
      </w:r>
      <w:r w:rsidR="00190923" w:rsidRPr="00981405">
        <w:t xml:space="preserve"> </w:t>
      </w:r>
      <w:r w:rsidRPr="00981405">
        <w:t>unless</w:t>
      </w:r>
      <w:r w:rsidR="00190923" w:rsidRPr="00981405">
        <w:t xml:space="preserve"> </w:t>
      </w:r>
      <w:r w:rsidRPr="00981405">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has</w:t>
      </w:r>
      <w:r w:rsidR="00190923" w:rsidRPr="00981405">
        <w:t xml:space="preserve"> </w:t>
      </w:r>
      <w:r w:rsidRPr="00981405">
        <w:t>been</w:t>
      </w:r>
      <w:r w:rsidR="00190923" w:rsidRPr="00981405">
        <w:t xml:space="preserve"> </w:t>
      </w:r>
      <w:r w:rsidRPr="00981405">
        <w:t>met.</w:t>
      </w:r>
      <w:r w:rsidR="00190923" w:rsidRPr="00981405">
        <w:t xml:space="preserve"> </w:t>
      </w:r>
    </w:p>
    <w:p w:rsidR="00397032" w:rsidRPr="00981405" w:rsidRDefault="00397032" w:rsidP="00D97463">
      <w:pPr>
        <w:pStyle w:val="SingleTxt"/>
      </w:pPr>
      <w:r w:rsidRPr="00981405">
        <w:t>169.</w:t>
      </w:r>
      <w:r w:rsidRPr="00981405">
        <w:tab/>
        <w:t>In</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B92E2C" w:rsidRPr="00981405">
        <w:t>’</w:t>
      </w:r>
      <w:r w:rsidRPr="00981405">
        <w:t>s</w:t>
      </w:r>
      <w:r w:rsidR="00190923" w:rsidRPr="00981405">
        <w:t xml:space="preserve"> </w:t>
      </w:r>
      <w:r w:rsidRPr="00981405">
        <w:t>view,</w:t>
      </w:r>
      <w:r w:rsidR="00190923" w:rsidRPr="00981405">
        <w:t xml:space="preserve"> </w:t>
      </w:r>
      <w:r w:rsidRPr="00981405">
        <w:t>these</w:t>
      </w:r>
      <w:r w:rsidR="00190923" w:rsidRPr="00981405">
        <w:t xml:space="preserve"> </w:t>
      </w:r>
      <w:r w:rsidRPr="00981405">
        <w:t>competing</w:t>
      </w:r>
      <w:r w:rsidR="00190923" w:rsidRPr="00981405">
        <w:t xml:space="preserve"> </w:t>
      </w:r>
      <w:r w:rsidRPr="00981405">
        <w:t>approaches</w:t>
      </w:r>
      <w:r w:rsidR="00190923" w:rsidRPr="00981405">
        <w:t xml:space="preserve"> </w:t>
      </w:r>
      <w:r w:rsidRPr="00981405">
        <w:t>reflect</w:t>
      </w:r>
      <w:r w:rsidR="00190923" w:rsidRPr="00981405">
        <w:t xml:space="preserve"> </w:t>
      </w:r>
      <w:r w:rsidRPr="00981405">
        <w:t>what</w:t>
      </w:r>
      <w:r w:rsidR="00190923" w:rsidRPr="00981405">
        <w:t xml:space="preserve"> </w:t>
      </w:r>
      <w:r w:rsidRPr="00981405">
        <w:t>was</w:t>
      </w:r>
      <w:r w:rsidR="00190923" w:rsidRPr="00981405">
        <w:t xml:space="preserve"> </w:t>
      </w:r>
      <w:r w:rsidRPr="00981405">
        <w:t>earlier</w:t>
      </w:r>
      <w:r w:rsidR="00190923" w:rsidRPr="00981405">
        <w:t xml:space="preserve"> </w:t>
      </w:r>
      <w:r w:rsidRPr="00981405">
        <w:t>mentioned</w:t>
      </w:r>
      <w:r w:rsidR="00190923" w:rsidRPr="00981405">
        <w:t xml:space="preserve"> </w:t>
      </w:r>
      <w:r w:rsidR="00E50095" w:rsidRPr="00981405">
        <w:t>—</w:t>
      </w:r>
      <w:r w:rsidR="00190923" w:rsidRPr="00981405">
        <w:t xml:space="preserve"> </w:t>
      </w:r>
      <w:r w:rsidRPr="00981405">
        <w:t>a</w:t>
      </w:r>
      <w:r w:rsidR="00190923" w:rsidRPr="00981405">
        <w:t xml:space="preserve"> </w:t>
      </w:r>
      <w:r w:rsidRPr="00981405">
        <w:t>difference</w:t>
      </w:r>
      <w:r w:rsidR="00190923" w:rsidRPr="00981405">
        <w:t xml:space="preserve"> </w:t>
      </w:r>
      <w:r w:rsidRPr="00981405">
        <w:t>between</w:t>
      </w:r>
      <w:r w:rsidR="00190923" w:rsidRPr="00981405">
        <w:t xml:space="preserve"> </w:t>
      </w:r>
      <w:r w:rsidRPr="00981405">
        <w:t>those</w:t>
      </w:r>
      <w:r w:rsidR="00190923" w:rsidRPr="00981405">
        <w:t xml:space="preserve"> </w:t>
      </w:r>
      <w:r w:rsidRPr="00981405">
        <w:t>who</w:t>
      </w:r>
      <w:r w:rsidR="00190923" w:rsidRPr="00981405">
        <w:t xml:space="preserve"> </w:t>
      </w:r>
      <w:r w:rsidRPr="00981405">
        <w:t>regard</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as</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instruments,</w:t>
      </w:r>
      <w:r w:rsidR="00190923" w:rsidRPr="00981405">
        <w:t xml:space="preserve"> </w:t>
      </w:r>
      <w:r w:rsidRPr="00981405">
        <w:t>and</w:t>
      </w:r>
      <w:r w:rsidR="00190923" w:rsidRPr="00981405">
        <w:t xml:space="preserve"> </w:t>
      </w:r>
      <w:r w:rsidRPr="00981405">
        <w:t>those</w:t>
      </w:r>
      <w:r w:rsidR="00190923" w:rsidRPr="00981405">
        <w:t xml:space="preserve"> </w:t>
      </w:r>
      <w:r w:rsidRPr="00981405">
        <w:t>who</w:t>
      </w:r>
      <w:r w:rsidR="00190923" w:rsidRPr="00981405">
        <w:t xml:space="preserve"> </w:t>
      </w:r>
      <w:r w:rsidRPr="00981405">
        <w:t>regard</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as</w:t>
      </w:r>
      <w:r w:rsidR="00190923" w:rsidRPr="00981405">
        <w:t xml:space="preserve"> </w:t>
      </w:r>
      <w:r w:rsidRPr="00981405">
        <w:t>being</w:t>
      </w:r>
      <w:r w:rsidR="00190923" w:rsidRPr="00981405">
        <w:t xml:space="preserve"> </w:t>
      </w:r>
      <w:r w:rsidRPr="00981405">
        <w:t>more</w:t>
      </w:r>
      <w:r w:rsidR="00190923" w:rsidRPr="00981405">
        <w:t xml:space="preserve"> </w:t>
      </w:r>
      <w:r w:rsidRPr="00981405">
        <w:t>of</w:t>
      </w:r>
      <w:r w:rsidR="00190923" w:rsidRPr="00981405">
        <w:t xml:space="preserve"> </w:t>
      </w:r>
      <w:r w:rsidRPr="00981405">
        <w:t>a</w:t>
      </w:r>
      <w:r w:rsidR="00190923" w:rsidRPr="00981405">
        <w:t xml:space="preserve"> </w:t>
      </w:r>
      <w:r w:rsidRPr="00981405">
        <w:t>private</w:t>
      </w:r>
      <w:r w:rsidR="00190923" w:rsidRPr="00981405">
        <w:t xml:space="preserve"> </w:t>
      </w:r>
      <w:r w:rsidRPr="00981405">
        <w:t>law</w:t>
      </w:r>
      <w:r w:rsidR="00190923" w:rsidRPr="00981405">
        <w:t xml:space="preserve"> </w:t>
      </w:r>
      <w:r w:rsidRPr="00981405">
        <w:t>nature</w:t>
      </w:r>
      <w:r w:rsidR="00190923" w:rsidRPr="00981405">
        <w:t xml:space="preserve"> </w:t>
      </w:r>
      <w:r w:rsidRPr="00981405">
        <w:t>akin</w:t>
      </w:r>
      <w:r w:rsidR="00190923" w:rsidRPr="00981405">
        <w:t xml:space="preserve"> </w:t>
      </w:r>
      <w:r w:rsidRPr="00981405">
        <w:t>to</w:t>
      </w:r>
      <w:r w:rsidR="00190923" w:rsidRPr="00981405">
        <w:t xml:space="preserve"> </w:t>
      </w:r>
      <w:r w:rsidRPr="00981405">
        <w:t>contractual</w:t>
      </w:r>
      <w:r w:rsidR="00190923" w:rsidRPr="00981405">
        <w:t xml:space="preserve"> </w:t>
      </w:r>
      <w:r w:rsidRPr="00981405">
        <w:t>arrangements.</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the</w:t>
      </w:r>
      <w:r w:rsidR="00190923" w:rsidRPr="00981405">
        <w:t xml:space="preserve"> </w:t>
      </w:r>
      <w:r w:rsidRPr="00981405">
        <w:t>former,</w:t>
      </w:r>
      <w:r w:rsidR="00190923" w:rsidRPr="00981405">
        <w:t xml:space="preserve"> </w:t>
      </w:r>
      <w:r w:rsidRPr="00981405">
        <w:t>jurisdiction</w:t>
      </w:r>
      <w:r w:rsidR="00190923" w:rsidRPr="00981405">
        <w:t xml:space="preserve"> </w:t>
      </w:r>
      <w:r w:rsidRPr="00981405">
        <w:t>and</w:t>
      </w:r>
      <w:r w:rsidR="00190923" w:rsidRPr="00981405">
        <w:t xml:space="preserve"> </w:t>
      </w:r>
      <w:r w:rsidRPr="00981405">
        <w:t>consent</w:t>
      </w:r>
      <w:r w:rsidR="00190923" w:rsidRPr="00981405">
        <w:t xml:space="preserve"> </w:t>
      </w:r>
      <w:r w:rsidRPr="00981405">
        <w:t>to</w:t>
      </w:r>
      <w:r w:rsidR="00190923" w:rsidRPr="00981405">
        <w:t xml:space="preserve"> </w:t>
      </w:r>
      <w:r w:rsidRPr="00981405">
        <w:t>arbitrate</w:t>
      </w:r>
      <w:r w:rsidR="00190923" w:rsidRPr="00981405">
        <w:t xml:space="preserve"> </w:t>
      </w:r>
      <w:r w:rsidRPr="00981405">
        <w:t>are</w:t>
      </w:r>
      <w:r w:rsidR="00190923" w:rsidRPr="00981405">
        <w:t xml:space="preserve"> </w:t>
      </w:r>
      <w:r w:rsidRPr="00981405">
        <w:t>matters</w:t>
      </w:r>
      <w:r w:rsidR="00190923" w:rsidRPr="00981405">
        <w:t xml:space="preserve"> </w:t>
      </w:r>
      <w:r w:rsidRPr="00981405">
        <w:t>of</w:t>
      </w:r>
      <w:r w:rsidR="00190923" w:rsidRPr="00981405">
        <w:t xml:space="preserve"> </w:t>
      </w:r>
      <w:r w:rsidRPr="00981405">
        <w:t>keen</w:t>
      </w:r>
      <w:r w:rsidR="00190923" w:rsidRPr="00981405">
        <w:t xml:space="preserve"> </w:t>
      </w:r>
      <w:r w:rsidRPr="00981405">
        <w:t>State</w:t>
      </w:r>
      <w:r w:rsidR="00190923" w:rsidRPr="00981405">
        <w:t xml:space="preserve"> </w:t>
      </w:r>
      <w:r w:rsidRPr="00981405">
        <w:t>interest,</w:t>
      </w:r>
      <w:r w:rsidR="00190923" w:rsidRPr="00981405">
        <w:t xml:space="preserve"> </w:t>
      </w:r>
      <w:r w:rsidRPr="00981405">
        <w:t>whereas</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the</w:t>
      </w:r>
      <w:r w:rsidR="00190923" w:rsidRPr="00981405">
        <w:t xml:space="preserve"> </w:t>
      </w:r>
      <w:r w:rsidRPr="00981405">
        <w:t>latter</w:t>
      </w:r>
      <w:r w:rsidR="00190923" w:rsidRPr="00981405">
        <w:t xml:space="preserve"> </w:t>
      </w:r>
      <w:r w:rsidRPr="00981405">
        <w:t>the</w:t>
      </w:r>
      <w:r w:rsidR="00190923" w:rsidRPr="00981405">
        <w:t xml:space="preserve"> </w:t>
      </w:r>
      <w:r w:rsidRPr="00981405">
        <w:t>question</w:t>
      </w:r>
      <w:r w:rsidR="00190923" w:rsidRPr="00981405">
        <w:t xml:space="preserve"> </w:t>
      </w:r>
      <w:r w:rsidRPr="00981405">
        <w:t>is</w:t>
      </w:r>
      <w:r w:rsidR="00190923" w:rsidRPr="00981405">
        <w:t xml:space="preserve"> </w:t>
      </w:r>
      <w:r w:rsidRPr="00981405">
        <w:t>simply</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Pr="00981405">
        <w:t>the</w:t>
      </w:r>
      <w:r w:rsidR="00190923" w:rsidRPr="00981405">
        <w:t xml:space="preserve"> </w:t>
      </w:r>
      <w:r w:rsidRPr="00981405">
        <w:t>term</w:t>
      </w:r>
      <w:r w:rsidR="00190923" w:rsidRPr="00981405">
        <w:t xml:space="preserve"> </w:t>
      </w:r>
      <w:r w:rsidR="00B92E2C" w:rsidRPr="00981405">
        <w:t>“</w:t>
      </w:r>
      <w:r w:rsidRPr="00981405">
        <w:t>treatment</w:t>
      </w:r>
      <w:r w:rsidR="00B92E2C" w:rsidRPr="00981405">
        <w:t>”</w:t>
      </w:r>
      <w:r w:rsidR="00190923" w:rsidRPr="00981405">
        <w:t xml:space="preserve"> </w:t>
      </w:r>
      <w:r w:rsidRPr="00981405">
        <w:t>or</w:t>
      </w:r>
      <w:r w:rsidR="00190923" w:rsidRPr="00981405">
        <w:t xml:space="preserve"> </w:t>
      </w:r>
      <w:r w:rsidRPr="00981405">
        <w:t>other</w:t>
      </w:r>
      <w:r w:rsidR="00190923" w:rsidRPr="00981405">
        <w:t xml:space="preserve"> </w:t>
      </w:r>
      <w:r w:rsidRPr="00981405">
        <w:t>such</w:t>
      </w:r>
      <w:r w:rsidR="00190923" w:rsidRPr="00981405">
        <w:t xml:space="preserve"> </w:t>
      </w:r>
      <w:r w:rsidRPr="00981405">
        <w:t>language</w:t>
      </w:r>
      <w:r w:rsidR="00190923" w:rsidRPr="00981405">
        <w:t xml:space="preserve"> </w:t>
      </w:r>
      <w:r w:rsidRPr="00981405">
        <w:t>which</w:t>
      </w:r>
      <w:r w:rsidR="00190923" w:rsidRPr="00981405">
        <w:t xml:space="preserve"> </w:t>
      </w:r>
      <w:r w:rsidRPr="00981405">
        <w:t>stipulates</w:t>
      </w:r>
      <w:r w:rsidR="00190923" w:rsidRPr="00981405">
        <w:t xml:space="preserve"> </w:t>
      </w:r>
      <w:r w:rsidRPr="00981405">
        <w:t>the</w:t>
      </w:r>
      <w:r w:rsidR="00190923" w:rsidRPr="00981405">
        <w:t xml:space="preserve"> </w:t>
      </w:r>
      <w:r w:rsidRPr="00981405">
        <w:t>entitlement</w:t>
      </w:r>
      <w:r w:rsidR="00190923" w:rsidRPr="00981405">
        <w:t xml:space="preserve"> </w:t>
      </w:r>
      <w:r w:rsidRPr="00981405">
        <w:t>of</w:t>
      </w:r>
      <w:r w:rsidR="00190923" w:rsidRPr="00981405">
        <w:t xml:space="preserve"> </w:t>
      </w:r>
      <w:r w:rsidRPr="00981405">
        <w:t>the</w:t>
      </w:r>
      <w:r w:rsidR="00190923" w:rsidRPr="00981405">
        <w:t xml:space="preserve"> </w:t>
      </w:r>
      <w:r w:rsidRPr="00981405">
        <w:t>beneficiary.</w:t>
      </w:r>
    </w:p>
    <w:p w:rsidR="00397032" w:rsidRPr="00981405" w:rsidRDefault="00397032" w:rsidP="00D97463">
      <w:pPr>
        <w:pStyle w:val="SingleTxt"/>
      </w:pPr>
      <w:r w:rsidRPr="00981405">
        <w:t>170.</w:t>
      </w:r>
      <w:r w:rsidRPr="00981405">
        <w:tab/>
        <w:t>The</w:t>
      </w:r>
      <w:r w:rsidR="00190923" w:rsidRPr="00981405">
        <w:t xml:space="preserve"> </w:t>
      </w:r>
      <w:r w:rsidRPr="00981405">
        <w:t>practical</w:t>
      </w:r>
      <w:r w:rsidR="00190923" w:rsidRPr="00981405">
        <w:t xml:space="preserve"> </w:t>
      </w:r>
      <w:r w:rsidRPr="00981405">
        <w:t>consequence</w:t>
      </w:r>
      <w:r w:rsidR="00190923" w:rsidRPr="00981405">
        <w:t xml:space="preserve"> </w:t>
      </w:r>
      <w:r w:rsidRPr="00981405">
        <w:t>of</w:t>
      </w:r>
      <w:r w:rsidR="00190923" w:rsidRPr="00981405">
        <w:t xml:space="preserve"> </w:t>
      </w:r>
      <w:r w:rsidRPr="00981405">
        <w:t>these</w:t>
      </w:r>
      <w:r w:rsidR="00190923" w:rsidRPr="00981405">
        <w:t xml:space="preserve"> </w:t>
      </w:r>
      <w:r w:rsidRPr="00981405">
        <w:t>different</w:t>
      </w:r>
      <w:r w:rsidR="00190923" w:rsidRPr="00981405">
        <w:t xml:space="preserve"> </w:t>
      </w:r>
      <w:r w:rsidRPr="00981405">
        <w:t>approaches</w:t>
      </w:r>
      <w:r w:rsidR="00190923" w:rsidRPr="00981405">
        <w:t xml:space="preserve"> </w:t>
      </w:r>
      <w:r w:rsidRPr="00981405">
        <w:t>is</w:t>
      </w:r>
      <w:r w:rsidR="00190923" w:rsidRPr="00981405">
        <w:t xml:space="preserve"> </w:t>
      </w:r>
      <w:r w:rsidRPr="00981405">
        <w:t>that</w:t>
      </w:r>
      <w:r w:rsidR="00190923" w:rsidRPr="00981405">
        <w:t xml:space="preserve"> </w:t>
      </w:r>
      <w:r w:rsidRPr="00981405">
        <w:t>those</w:t>
      </w:r>
      <w:r w:rsidR="00190923" w:rsidRPr="00981405">
        <w:t xml:space="preserve"> </w:t>
      </w:r>
      <w:r w:rsidRPr="00981405">
        <w:t>who</w:t>
      </w:r>
      <w:r w:rsidR="00190923" w:rsidRPr="00981405">
        <w:t xml:space="preserve"> </w:t>
      </w:r>
      <w:r w:rsidRPr="00981405">
        <w:t>focus</w:t>
      </w:r>
      <w:r w:rsidR="00190923" w:rsidRPr="00981405">
        <w:t xml:space="preserve"> </w:t>
      </w:r>
      <w:r w:rsidRPr="00981405">
        <w:t>on</w:t>
      </w:r>
      <w:r w:rsidR="00190923" w:rsidRPr="00981405">
        <w:t xml:space="preserve"> </w:t>
      </w:r>
      <w:r w:rsidRPr="00981405">
        <w:t>the</w:t>
      </w:r>
      <w:r w:rsidR="00190923" w:rsidRPr="00981405">
        <w:t xml:space="preserve"> </w:t>
      </w:r>
      <w:r w:rsidRPr="00981405">
        <w:t>public</w:t>
      </w:r>
      <w:r w:rsidR="00190923" w:rsidRPr="00981405">
        <w:t xml:space="preserve"> </w:t>
      </w:r>
      <w:r w:rsidRPr="00981405">
        <w:t>international</w:t>
      </w:r>
      <w:r w:rsidR="00190923" w:rsidRPr="00981405">
        <w:t xml:space="preserve"> </w:t>
      </w:r>
      <w:r w:rsidRPr="00981405">
        <w:t>law</w:t>
      </w:r>
      <w:r w:rsidR="00190923" w:rsidRPr="00981405">
        <w:t xml:space="preserve"> </w:t>
      </w:r>
      <w:r w:rsidRPr="00981405">
        <w:t>aspect</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are</w:t>
      </w:r>
      <w:r w:rsidR="00190923" w:rsidRPr="00981405">
        <w:t xml:space="preserve"> </w:t>
      </w:r>
      <w:r w:rsidRPr="00981405">
        <w:t>inclined</w:t>
      </w:r>
      <w:r w:rsidR="00190923" w:rsidRPr="00981405">
        <w:t xml:space="preserve"> </w:t>
      </w:r>
      <w:r w:rsidRPr="00981405">
        <w:t>to</w:t>
      </w:r>
      <w:r w:rsidR="00190923" w:rsidRPr="00981405">
        <w:t xml:space="preserve"> </w:t>
      </w:r>
      <w:r w:rsidRPr="00981405">
        <w:t>see</w:t>
      </w:r>
      <w:r w:rsidR="00190923" w:rsidRPr="00981405">
        <w:t xml:space="preserve"> </w:t>
      </w:r>
      <w:r w:rsidRPr="00981405">
        <w:t>an</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as</w:t>
      </w:r>
      <w:r w:rsidR="00190923" w:rsidRPr="00981405">
        <w:t xml:space="preserve"> </w:t>
      </w:r>
      <w:r w:rsidRPr="00981405">
        <w:t>akin</w:t>
      </w:r>
      <w:r w:rsidR="00190923" w:rsidRPr="00981405">
        <w:t xml:space="preserve"> </w:t>
      </w:r>
      <w:r w:rsidRPr="00981405">
        <w:t>to</w:t>
      </w:r>
      <w:r w:rsidR="00190923" w:rsidRPr="00981405">
        <w:t xml:space="preserve"> </w:t>
      </w:r>
      <w:r w:rsidRPr="00981405">
        <w:t>an</w:t>
      </w:r>
      <w:r w:rsidR="00190923" w:rsidRPr="00981405">
        <w:t xml:space="preserve"> </w:t>
      </w:r>
      <w:r w:rsidRPr="00981405">
        <w:t>exhaustion</w:t>
      </w:r>
      <w:r w:rsidR="00190923" w:rsidRPr="00981405">
        <w:t xml:space="preserve"> </w:t>
      </w:r>
      <w:r w:rsidRPr="00981405">
        <w:t>of</w:t>
      </w:r>
      <w:r w:rsidR="00190923" w:rsidRPr="00981405">
        <w:t xml:space="preserve"> </w:t>
      </w:r>
      <w:r w:rsidRPr="00981405">
        <w:t>local</w:t>
      </w:r>
      <w:r w:rsidR="00190923" w:rsidRPr="00981405">
        <w:t xml:space="preserve"> </w:t>
      </w:r>
      <w:r w:rsidRPr="00981405">
        <w:t>remedies</w:t>
      </w:r>
      <w:r w:rsidR="00190923" w:rsidRPr="00981405">
        <w:t xml:space="preserve"> </w:t>
      </w:r>
      <w:r w:rsidRPr="00981405">
        <w:t>rule.</w:t>
      </w:r>
      <w:r w:rsidR="00190923" w:rsidRPr="00981405">
        <w:t xml:space="preserve"> </w:t>
      </w:r>
      <w:r w:rsidRPr="00981405">
        <w:t>Those</w:t>
      </w:r>
      <w:r w:rsidR="00190923" w:rsidRPr="00981405">
        <w:t xml:space="preserve"> </w:t>
      </w:r>
      <w:r w:rsidRPr="00981405">
        <w:t>who</w:t>
      </w:r>
      <w:r w:rsidR="00190923" w:rsidRPr="00981405">
        <w:t xml:space="preserve"> </w:t>
      </w:r>
      <w:r w:rsidRPr="00981405">
        <w:t>see</w:t>
      </w:r>
      <w:r w:rsidR="00190923" w:rsidRPr="00981405">
        <w:t xml:space="preserve"> </w:t>
      </w:r>
      <w:r w:rsidRPr="00981405">
        <w:t>such</w:t>
      </w:r>
      <w:r w:rsidR="00190923" w:rsidRPr="00981405">
        <w:t xml:space="preserve"> </w:t>
      </w:r>
      <w:r w:rsidRPr="00981405">
        <w:t>agreements</w:t>
      </w:r>
      <w:r w:rsidR="00190923" w:rsidRPr="00981405">
        <w:t xml:space="preserve"> </w:t>
      </w:r>
      <w:r w:rsidRPr="00981405">
        <w:t>more</w:t>
      </w:r>
      <w:r w:rsidR="00190923" w:rsidRPr="00981405">
        <w:t xml:space="preserve"> </w:t>
      </w:r>
      <w:r w:rsidRPr="00981405">
        <w:t>in</w:t>
      </w:r>
      <w:r w:rsidR="00190923" w:rsidRPr="00981405">
        <w:t xml:space="preserve"> </w:t>
      </w:r>
      <w:r w:rsidRPr="00981405">
        <w:t>private</w:t>
      </w:r>
      <w:r w:rsidR="00190923" w:rsidRPr="00981405">
        <w:t xml:space="preserve"> </w:t>
      </w:r>
      <w:r w:rsidRPr="00981405">
        <w:t>or</w:t>
      </w:r>
      <w:r w:rsidR="00190923" w:rsidRPr="00981405">
        <w:t xml:space="preserve"> </w:t>
      </w:r>
      <w:r w:rsidRPr="00981405">
        <w:t>commercial</w:t>
      </w:r>
      <w:r w:rsidR="00190923" w:rsidRPr="00981405">
        <w:t xml:space="preserve"> </w:t>
      </w:r>
      <w:r w:rsidRPr="00981405">
        <w:t>arbitration</w:t>
      </w:r>
      <w:r w:rsidR="00190923" w:rsidRPr="00981405">
        <w:t xml:space="preserve"> </w:t>
      </w:r>
      <w:r w:rsidRPr="00981405">
        <w:t>terms</w:t>
      </w:r>
      <w:r w:rsidR="00190923" w:rsidRPr="00981405">
        <w:t xml:space="preserve"> </w:t>
      </w:r>
      <w:r w:rsidRPr="00981405">
        <w:t>are</w:t>
      </w:r>
      <w:r w:rsidR="00190923" w:rsidRPr="00981405">
        <w:t xml:space="preserve"> </w:t>
      </w:r>
      <w:r w:rsidRPr="00981405">
        <w:t>likely</w:t>
      </w:r>
      <w:r w:rsidR="00190923" w:rsidRPr="00981405">
        <w:t xml:space="preserve"> </w:t>
      </w:r>
      <w:r w:rsidRPr="00981405">
        <w:t>to</w:t>
      </w:r>
      <w:r w:rsidR="00190923" w:rsidRPr="00981405">
        <w:t xml:space="preserve"> </w:t>
      </w:r>
      <w:r w:rsidRPr="00981405">
        <w:t>see</w:t>
      </w:r>
      <w:r w:rsidR="00190923" w:rsidRPr="00981405">
        <w:t xml:space="preserve"> </w:t>
      </w:r>
      <w:r w:rsidRPr="00981405">
        <w:t>it</w:t>
      </w:r>
      <w:r w:rsidR="00190923" w:rsidRPr="00981405">
        <w:t xml:space="preserve"> </w:t>
      </w:r>
      <w:r w:rsidRPr="00981405">
        <w:t>as</w:t>
      </w:r>
      <w:r w:rsidR="00190923" w:rsidRPr="00981405">
        <w:t xml:space="preserve"> </w:t>
      </w:r>
      <w:r w:rsidRPr="00981405">
        <w:t>a</w:t>
      </w:r>
      <w:r w:rsidR="00190923" w:rsidRPr="00981405">
        <w:t xml:space="preserve"> </w:t>
      </w:r>
      <w:r w:rsidRPr="00981405">
        <w:t>delaying</w:t>
      </w:r>
      <w:r w:rsidR="00190923" w:rsidRPr="00981405">
        <w:t xml:space="preserve"> </w:t>
      </w:r>
      <w:r w:rsidRPr="00981405">
        <w:t>provision</w:t>
      </w:r>
      <w:r w:rsidR="00190923" w:rsidRPr="00981405">
        <w:t xml:space="preserve"> </w:t>
      </w:r>
      <w:r w:rsidRPr="00981405">
        <w:t>which</w:t>
      </w:r>
      <w:r w:rsidR="00190923" w:rsidRPr="00981405">
        <w:t xml:space="preserve"> </w:t>
      </w:r>
      <w:r w:rsidRPr="00981405">
        <w:t>has</w:t>
      </w:r>
      <w:r w:rsidR="00190923" w:rsidRPr="00981405">
        <w:t xml:space="preserve"> </w:t>
      </w:r>
      <w:r w:rsidRPr="00981405">
        <w:t>the</w:t>
      </w:r>
      <w:r w:rsidR="00190923" w:rsidRPr="00981405">
        <w:t xml:space="preserve"> </w:t>
      </w:r>
      <w:r w:rsidRPr="00981405">
        <w:t>effect</w:t>
      </w:r>
      <w:r w:rsidR="00190923" w:rsidRPr="00981405">
        <w:t xml:space="preserve"> </w:t>
      </w:r>
      <w:r w:rsidRPr="00981405">
        <w:t>of</w:t>
      </w:r>
      <w:r w:rsidR="00190923" w:rsidRPr="00981405">
        <w:t xml:space="preserve"> </w:t>
      </w:r>
      <w:r w:rsidRPr="00981405">
        <w:t>postponing</w:t>
      </w:r>
      <w:r w:rsidR="00190923" w:rsidRPr="00981405">
        <w:t xml:space="preserve"> </w:t>
      </w:r>
      <w:r w:rsidRPr="00981405">
        <w:t>an</w:t>
      </w:r>
      <w:r w:rsidR="00190923" w:rsidRPr="00981405">
        <w:t xml:space="preserve"> </w:t>
      </w:r>
      <w:r w:rsidRPr="00981405">
        <w:t>investor</w:t>
      </w:r>
      <w:r w:rsidR="00B92E2C" w:rsidRPr="00981405">
        <w:t>’</w:t>
      </w:r>
      <w:r w:rsidRPr="00981405">
        <w:t>s</w:t>
      </w:r>
      <w:r w:rsidR="00190923" w:rsidRPr="00981405">
        <w:t xml:space="preserve"> </w:t>
      </w:r>
      <w:r w:rsidRPr="00981405">
        <w:t>right</w:t>
      </w:r>
      <w:r w:rsidR="00190923" w:rsidRPr="00981405">
        <w:t xml:space="preserve"> </w:t>
      </w:r>
      <w:r w:rsidRPr="00981405">
        <w:t>to</w:t>
      </w:r>
      <w:r w:rsidR="00190923" w:rsidRPr="00981405">
        <w:t xml:space="preserve"> </w:t>
      </w:r>
      <w:r w:rsidRPr="00981405">
        <w:t>bring</w:t>
      </w:r>
      <w:r w:rsidR="00190923" w:rsidRPr="00981405">
        <w:t xml:space="preserve"> </w:t>
      </w:r>
      <w:r w:rsidRPr="00981405">
        <w:t>a</w:t>
      </w:r>
      <w:r w:rsidR="00190923" w:rsidRPr="00981405">
        <w:t xml:space="preserve"> </w:t>
      </w:r>
      <w:r w:rsidRPr="00981405">
        <w:t>claim,</w:t>
      </w:r>
      <w:r w:rsidR="00190923" w:rsidRPr="00981405">
        <w:t xml:space="preserve"> </w:t>
      </w:r>
      <w:r w:rsidRPr="00981405">
        <w:t>and</w:t>
      </w:r>
      <w:r w:rsidR="00190923" w:rsidRPr="00981405">
        <w:t xml:space="preserve"> </w:t>
      </w:r>
      <w:r w:rsidRPr="00981405">
        <w:t>hence</w:t>
      </w:r>
      <w:r w:rsidR="00190923" w:rsidRPr="00981405">
        <w:t xml:space="preserve"> </w:t>
      </w:r>
      <w:r w:rsidRPr="00981405">
        <w:t>contrary</w:t>
      </w:r>
      <w:r w:rsidR="00190923" w:rsidRPr="00981405">
        <w:t xml:space="preserve"> </w:t>
      </w:r>
      <w:r w:rsidRPr="00981405">
        <w:t>to</w:t>
      </w:r>
      <w:r w:rsidR="00190923" w:rsidRPr="00981405">
        <w:t xml:space="preserve"> </w:t>
      </w:r>
      <w:r w:rsidRPr="00981405">
        <w:t>the</w:t>
      </w:r>
      <w:r w:rsidR="00190923" w:rsidRPr="00981405">
        <w:t xml:space="preserve"> </w:t>
      </w:r>
      <w:r w:rsidRPr="00981405">
        <w:t>overall</w:t>
      </w:r>
      <w:r w:rsidR="00190923" w:rsidRPr="00981405">
        <w:t xml:space="preserve"> </w:t>
      </w:r>
      <w:r w:rsidRPr="00981405">
        <w:t>objective</w:t>
      </w:r>
      <w:r w:rsidR="00190923" w:rsidRPr="00981405">
        <w:t xml:space="preserve"> </w:t>
      </w:r>
      <w:r w:rsidRPr="00981405">
        <w:t>of</w:t>
      </w:r>
      <w:r w:rsidR="00190923" w:rsidRPr="00981405">
        <w:t xml:space="preserve"> </w:t>
      </w:r>
      <w:r w:rsidRPr="00981405">
        <w:t>a</w:t>
      </w:r>
      <w:r w:rsidR="00190923" w:rsidRPr="00981405">
        <w:t xml:space="preserve"> </w:t>
      </w:r>
      <w:r w:rsidRPr="00981405">
        <w:t>BIT</w:t>
      </w:r>
      <w:r w:rsidR="00190923" w:rsidRPr="00981405">
        <w:t xml:space="preserve"> </w:t>
      </w:r>
      <w:r w:rsidRPr="00981405">
        <w:t>of</w:t>
      </w:r>
      <w:r w:rsidR="00190923" w:rsidRPr="00981405">
        <w:t xml:space="preserve"> </w:t>
      </w:r>
      <w:r w:rsidRPr="00981405">
        <w:t>creating</w:t>
      </w:r>
      <w:r w:rsidR="00190923" w:rsidRPr="00981405">
        <w:t xml:space="preserve"> </w:t>
      </w:r>
      <w:r w:rsidRPr="00981405">
        <w:t>favourable</w:t>
      </w:r>
      <w:r w:rsidR="00190923" w:rsidRPr="00981405">
        <w:t xml:space="preserve"> </w:t>
      </w:r>
      <w:r w:rsidRPr="00981405">
        <w:t>conditions</w:t>
      </w:r>
      <w:r w:rsidR="00190923" w:rsidRPr="00981405">
        <w:t xml:space="preserve"> </w:t>
      </w:r>
      <w:r w:rsidRPr="00981405">
        <w:t>for</w:t>
      </w:r>
      <w:r w:rsidR="00190923" w:rsidRPr="00981405">
        <w:t xml:space="preserve"> </w:t>
      </w:r>
      <w:r w:rsidRPr="00981405">
        <w:t>investment.</w:t>
      </w:r>
      <w:r w:rsidR="00190923" w:rsidRPr="00981405">
        <w:t xml:space="preserve"> </w:t>
      </w:r>
    </w:p>
    <w:p w:rsidR="00397032" w:rsidRPr="00981405" w:rsidRDefault="00397032" w:rsidP="00D97463">
      <w:pPr>
        <w:pStyle w:val="SingleTxt"/>
      </w:pPr>
      <w:r w:rsidRPr="00981405">
        <w:t>171.</w:t>
      </w:r>
      <w:r w:rsidRPr="00981405">
        <w:tab/>
        <w:t>The</w:t>
      </w:r>
      <w:r w:rsidR="00190923" w:rsidRPr="00981405">
        <w:t xml:space="preserve"> </w:t>
      </w:r>
      <w:r w:rsidRPr="00981405">
        <w:t>common</w:t>
      </w:r>
      <w:r w:rsidR="00190923" w:rsidRPr="00981405">
        <w:t xml:space="preserve"> </w:t>
      </w:r>
      <w:r w:rsidRPr="00981405">
        <w:t>feature</w:t>
      </w:r>
      <w:r w:rsidR="00190923" w:rsidRPr="00981405">
        <w:t xml:space="preserve"> </w:t>
      </w:r>
      <w:r w:rsidRPr="00981405">
        <w:t>of</w:t>
      </w:r>
      <w:r w:rsidR="00190923" w:rsidRPr="00981405">
        <w:t xml:space="preserve"> </w:t>
      </w:r>
      <w:r w:rsidRPr="00981405">
        <w:t>the</w:t>
      </w:r>
      <w:r w:rsidR="00190923" w:rsidRPr="00981405">
        <w:t xml:space="preserve"> </w:t>
      </w:r>
      <w:r w:rsidR="00B92E2C" w:rsidRPr="00981405">
        <w:t>“</w:t>
      </w:r>
      <w:r w:rsidRPr="00981405">
        <w:t>jurisdictional</w:t>
      </w:r>
      <w:r w:rsidR="00B92E2C" w:rsidRPr="00981405">
        <w:t>”</w:t>
      </w:r>
      <w:r w:rsidR="00190923" w:rsidRPr="00981405">
        <w:t xml:space="preserve"> </w:t>
      </w:r>
      <w:r w:rsidRPr="00981405">
        <w:t>approaches</w:t>
      </w:r>
      <w:r w:rsidR="00190923" w:rsidRPr="00981405">
        <w:t xml:space="preserve"> </w:t>
      </w:r>
      <w:r w:rsidRPr="00981405">
        <w:t>is</w:t>
      </w:r>
      <w:r w:rsidR="00190923" w:rsidRPr="00981405">
        <w:t xml:space="preserve"> </w:t>
      </w:r>
      <w:r w:rsidRPr="00981405">
        <w:t>that</w:t>
      </w:r>
      <w:r w:rsidR="00190923" w:rsidRPr="00981405">
        <w:t xml:space="preserve"> </w:t>
      </w:r>
      <w:r w:rsidRPr="00981405">
        <w:t>unless</w:t>
      </w:r>
      <w:r w:rsidR="00190923" w:rsidRPr="00981405">
        <w:t xml:space="preserve"> </w:t>
      </w:r>
      <w:r w:rsidRPr="00981405">
        <w:t>clearly</w:t>
      </w:r>
      <w:r w:rsidR="00190923" w:rsidRPr="00981405">
        <w:t xml:space="preserve"> </w:t>
      </w:r>
      <w:r w:rsidRPr="00981405">
        <w:t>worded,</w:t>
      </w:r>
      <w:r w:rsidR="00190923" w:rsidRPr="00981405">
        <w:t xml:space="preserve"> </w:t>
      </w:r>
      <w:r w:rsidRPr="00981405">
        <w:t>or</w:t>
      </w:r>
      <w:r w:rsidR="00190923" w:rsidRPr="00981405">
        <w:t xml:space="preserve"> </w:t>
      </w:r>
      <w:r w:rsidRPr="00981405">
        <w:t>there</w:t>
      </w:r>
      <w:r w:rsidR="00190923" w:rsidRPr="00981405">
        <w:t xml:space="preserve"> </w:t>
      </w:r>
      <w:r w:rsidRPr="00981405">
        <w:t>are</w:t>
      </w:r>
      <w:r w:rsidR="00190923" w:rsidRPr="00981405">
        <w:t xml:space="preserve"> </w:t>
      </w:r>
      <w:r w:rsidRPr="00981405">
        <w:t>particular</w:t>
      </w:r>
      <w:r w:rsidR="00190923" w:rsidRPr="00981405">
        <w:t xml:space="preserve"> </w:t>
      </w:r>
      <w:r w:rsidRPr="00981405">
        <w:t>contextual</w:t>
      </w:r>
      <w:r w:rsidR="00190923" w:rsidRPr="00981405">
        <w:t xml:space="preserve"> </w:t>
      </w:r>
      <w:r w:rsidRPr="00981405">
        <w:t>circumstances,</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cannot</w:t>
      </w:r>
      <w:r w:rsidR="00190923" w:rsidRPr="00981405">
        <w:t xml:space="preserve"> </w:t>
      </w:r>
      <w:r w:rsidRPr="00981405">
        <w:t>alter</w:t>
      </w:r>
      <w:r w:rsidR="00190923" w:rsidRPr="00981405">
        <w:t xml:space="preserve"> </w:t>
      </w:r>
      <w:r w:rsidRPr="00981405">
        <w:t>the</w:t>
      </w:r>
      <w:r w:rsidR="00190923" w:rsidRPr="00981405">
        <w:t xml:space="preserve"> </w:t>
      </w:r>
      <w:r w:rsidRPr="00981405">
        <w:t>conditions</w:t>
      </w:r>
      <w:r w:rsidR="00190923" w:rsidRPr="00981405">
        <w:t xml:space="preserve"> </w:t>
      </w:r>
      <w:r w:rsidRPr="00981405">
        <w:t>of</w:t>
      </w:r>
      <w:r w:rsidR="00190923" w:rsidRPr="00981405">
        <w:t xml:space="preserve"> </w:t>
      </w:r>
      <w:r w:rsidRPr="00981405">
        <w:t>access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It</w:t>
      </w:r>
      <w:r w:rsidR="00190923" w:rsidRPr="00981405">
        <w:t xml:space="preserve"> </w:t>
      </w:r>
      <w:r w:rsidRPr="00981405">
        <w:t>is</w:t>
      </w:r>
      <w:r w:rsidR="00190923" w:rsidRPr="00981405">
        <w:t xml:space="preserve"> </w:t>
      </w:r>
      <w:r w:rsidRPr="00981405">
        <w:t>always</w:t>
      </w:r>
      <w:r w:rsidR="00190923" w:rsidRPr="00981405">
        <w:t xml:space="preserve"> </w:t>
      </w:r>
      <w:r w:rsidRPr="00981405">
        <w:t>a</w:t>
      </w:r>
      <w:r w:rsidR="00190923" w:rsidRPr="00981405">
        <w:t xml:space="preserve"> </w:t>
      </w:r>
      <w:r w:rsidRPr="00981405">
        <w:t>matter</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but</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that</w:t>
      </w:r>
      <w:r w:rsidR="00190923" w:rsidRPr="00981405">
        <w:t xml:space="preserve"> </w:t>
      </w:r>
      <w:r w:rsidRPr="00981405">
        <w:t>starts</w:t>
      </w:r>
      <w:r w:rsidR="00190923" w:rsidRPr="00981405">
        <w:t xml:space="preserve"> </w:t>
      </w:r>
      <w:r w:rsidRPr="00981405">
        <w:t>from</w:t>
      </w:r>
      <w:r w:rsidR="00190923" w:rsidRPr="00981405">
        <w:t xml:space="preserve"> </w:t>
      </w:r>
      <w:r w:rsidRPr="00981405">
        <w:t>an</w:t>
      </w:r>
      <w:r w:rsidR="00190923" w:rsidRPr="00981405">
        <w:t xml:space="preserve"> </w:t>
      </w:r>
      <w:r w:rsidRPr="00981405">
        <w:t>initial</w:t>
      </w:r>
      <w:r w:rsidR="00190923" w:rsidRPr="00981405">
        <w:t xml:space="preserve"> </w:t>
      </w:r>
      <w:r w:rsidRPr="00981405">
        <w:t>assumption</w:t>
      </w:r>
      <w:r w:rsidR="00190923" w:rsidRPr="00981405">
        <w:t xml:space="preserve"> </w:t>
      </w:r>
      <w:r w:rsidRPr="00981405">
        <w:t>that</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does</w:t>
      </w:r>
      <w:r w:rsidR="00190923" w:rsidRPr="00981405">
        <w:t xml:space="preserve"> </w:t>
      </w:r>
      <w:r w:rsidRPr="00981405">
        <w:t>not</w:t>
      </w:r>
      <w:r w:rsidR="00190923" w:rsidRPr="00981405">
        <w:t xml:space="preserve"> </w:t>
      </w:r>
      <w:r w:rsidRPr="00981405">
        <w:t>automatically</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BIT.</w:t>
      </w:r>
      <w:r w:rsidR="00190923" w:rsidRPr="00981405">
        <w:t xml:space="preserve"> </w:t>
      </w:r>
      <w:r w:rsidRPr="00981405">
        <w:t>And</w:t>
      </w:r>
      <w:r w:rsidR="00190923" w:rsidRPr="00981405">
        <w:t xml:space="preserve"> </w:t>
      </w:r>
      <w:r w:rsidRPr="00981405">
        <w:t>this</w:t>
      </w:r>
      <w:r w:rsidR="00190923" w:rsidRPr="00981405">
        <w:t xml:space="preserve"> </w:t>
      </w:r>
      <w:r w:rsidRPr="00981405">
        <w:t>stands</w:t>
      </w:r>
      <w:r w:rsidR="00190923" w:rsidRPr="00981405">
        <w:t xml:space="preserve"> </w:t>
      </w:r>
      <w:r w:rsidRPr="00981405">
        <w:t>in</w:t>
      </w:r>
      <w:r w:rsidR="00190923" w:rsidRPr="00981405">
        <w:t xml:space="preserve"> </w:t>
      </w:r>
      <w:r w:rsidRPr="00981405">
        <w:t>contrast</w:t>
      </w:r>
      <w:r w:rsidR="00190923" w:rsidRPr="00981405">
        <w:t xml:space="preserve"> </w:t>
      </w:r>
      <w:r w:rsidRPr="00981405">
        <w:t>to</w:t>
      </w:r>
      <w:r w:rsidR="00190923" w:rsidRPr="00981405">
        <w:t xml:space="preserve"> </w:t>
      </w:r>
      <w:r w:rsidRPr="00981405">
        <w:t>the</w:t>
      </w:r>
      <w:r w:rsidR="00190923" w:rsidRPr="00981405">
        <w:t xml:space="preserve"> </w:t>
      </w:r>
      <w:r w:rsidRPr="00981405">
        <w:t>starting</w:t>
      </w:r>
      <w:r w:rsidR="00190923" w:rsidRPr="00981405">
        <w:t xml:space="preserve"> </w:t>
      </w:r>
      <w:r w:rsidRPr="00981405">
        <w:t>assumptions</w:t>
      </w:r>
      <w:r w:rsidR="00190923" w:rsidRPr="00981405">
        <w:t xml:space="preserve"> </w:t>
      </w:r>
      <w:r w:rsidRPr="00981405">
        <w:t>of</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tribunals</w:t>
      </w:r>
      <w:r w:rsidR="00190923" w:rsidRPr="00981405">
        <w:t xml:space="preserve"> </w:t>
      </w:r>
      <w:r w:rsidRPr="00981405">
        <w:t>that</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on</w:t>
      </w:r>
      <w:r w:rsidR="00190923" w:rsidRPr="00981405">
        <w:t xml:space="preserve"> </w:t>
      </w:r>
      <w:r w:rsidRPr="00981405">
        <w:t>their</w:t>
      </w:r>
      <w:r w:rsidR="00190923" w:rsidRPr="00981405">
        <w:t xml:space="preserve"> </w:t>
      </w:r>
      <w:r w:rsidRPr="00981405">
        <w:t>face</w:t>
      </w:r>
      <w:r w:rsidR="00190923" w:rsidRPr="00981405">
        <w:t xml:space="preserve"> </w:t>
      </w:r>
      <w:r w:rsidRPr="00981405">
        <w:t>apply</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because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is</w:t>
      </w:r>
      <w:r w:rsidR="00190923" w:rsidRPr="00981405">
        <w:t xml:space="preserve"> </w:t>
      </w:r>
      <w:r w:rsidRPr="00981405">
        <w:t>part</w:t>
      </w:r>
      <w:r w:rsidR="00190923" w:rsidRPr="00981405">
        <w:t xml:space="preserve"> </w:t>
      </w:r>
      <w:r w:rsidRPr="00981405">
        <w:t>of</w:t>
      </w:r>
      <w:r w:rsidR="00190923" w:rsidRPr="00981405">
        <w:t xml:space="preserve"> </w:t>
      </w:r>
      <w:r w:rsidRPr="00981405">
        <w:t>the</w:t>
      </w:r>
      <w:r w:rsidR="00190923" w:rsidRPr="00981405">
        <w:t xml:space="preserve"> </w:t>
      </w:r>
      <w:r w:rsidRPr="00981405">
        <w:t>protections</w:t>
      </w:r>
      <w:r w:rsidR="00190923" w:rsidRPr="00981405">
        <w:t xml:space="preserve"> </w:t>
      </w:r>
      <w:r w:rsidRPr="00981405">
        <w:t>provided</w:t>
      </w:r>
      <w:r w:rsidR="00190923" w:rsidRPr="00981405">
        <w:t xml:space="preserve"> </w:t>
      </w:r>
      <w:r w:rsidRPr="00981405">
        <w:t>in</w:t>
      </w:r>
      <w:r w:rsidR="00190923" w:rsidRPr="00981405">
        <w:t xml:space="preserve"> </w:t>
      </w:r>
      <w:r w:rsidRPr="00981405">
        <w:t>a</w:t>
      </w:r>
      <w:r w:rsidR="00190923" w:rsidRPr="00981405">
        <w:t xml:space="preserve"> </w:t>
      </w:r>
      <w:r w:rsidRPr="00981405">
        <w:t>BIT.</w:t>
      </w:r>
      <w:r w:rsidR="00190923" w:rsidRPr="00981405">
        <w:t xml:space="preserve"> </w:t>
      </w:r>
      <w:r w:rsidRPr="00981405">
        <w:t>Under</w:t>
      </w:r>
      <w:r w:rsidR="00190923" w:rsidRPr="00981405">
        <w:t xml:space="preserve"> </w:t>
      </w:r>
      <w:r w:rsidRPr="00981405">
        <w:t>that</w:t>
      </w:r>
      <w:r w:rsidR="00190923" w:rsidRPr="00981405">
        <w:t xml:space="preserve"> </w:t>
      </w:r>
      <w:r w:rsidRPr="00981405">
        <w:t>approach,</w:t>
      </w:r>
      <w:r w:rsidR="00190923" w:rsidRPr="00981405">
        <w:t xml:space="preserve"> </w:t>
      </w:r>
      <w:r w:rsidRPr="00981405">
        <w:t>MFN</w:t>
      </w:r>
      <w:r w:rsidR="00190923" w:rsidRPr="00981405">
        <w:t xml:space="preserve"> </w:t>
      </w:r>
      <w:r w:rsidRPr="00981405">
        <w:t>applies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unless</w:t>
      </w:r>
      <w:r w:rsidR="00190923" w:rsidRPr="00981405">
        <w:t xml:space="preserve"> </w:t>
      </w:r>
      <w:r w:rsidRPr="00981405">
        <w:t>it</w:t>
      </w:r>
      <w:r w:rsidR="00190923" w:rsidRPr="00981405">
        <w:t xml:space="preserve"> </w:t>
      </w:r>
      <w:r w:rsidRPr="00981405">
        <w:t>can</w:t>
      </w:r>
      <w:r w:rsidR="00190923" w:rsidRPr="00981405">
        <w:t xml:space="preserve"> </w:t>
      </w:r>
      <w:r w:rsidRPr="00981405">
        <w:t>be</w:t>
      </w:r>
      <w:r w:rsidR="00190923" w:rsidRPr="00981405">
        <w:t xml:space="preserve"> </w:t>
      </w:r>
      <w:r w:rsidRPr="00981405">
        <w:t>shown</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BIT</w:t>
      </w:r>
      <w:r w:rsidR="00190923" w:rsidRPr="00981405">
        <w:t xml:space="preserve"> </w:t>
      </w:r>
      <w:r w:rsidRPr="00981405">
        <w:t>did</w:t>
      </w:r>
      <w:r w:rsidR="00190923" w:rsidRPr="00981405">
        <w:t xml:space="preserve"> </w:t>
      </w:r>
      <w:r w:rsidRPr="00981405">
        <w:t>not</w:t>
      </w:r>
      <w:r w:rsidR="00190923" w:rsidRPr="00981405">
        <w:t xml:space="preserve"> </w:t>
      </w:r>
      <w:r w:rsidRPr="00981405">
        <w:t>intend</w:t>
      </w:r>
      <w:r w:rsidR="00190923" w:rsidRPr="00981405">
        <w:t xml:space="preserve"> </w:t>
      </w:r>
      <w:r w:rsidRPr="00981405">
        <w:t>that</w:t>
      </w:r>
      <w:r w:rsidR="00190923" w:rsidRPr="00981405">
        <w:t xml:space="preserve"> </w:t>
      </w:r>
      <w:r w:rsidRPr="00981405">
        <w:t>it</w:t>
      </w:r>
      <w:r w:rsidR="00190923" w:rsidRPr="00981405">
        <w:t xml:space="preserve"> </w:t>
      </w:r>
      <w:r w:rsidRPr="00981405">
        <w:t>would</w:t>
      </w:r>
      <w:r w:rsidR="00190923" w:rsidRPr="00981405">
        <w:t xml:space="preserve"> </w:t>
      </w:r>
      <w:r w:rsidRPr="00981405">
        <w:t>so</w:t>
      </w:r>
      <w:r w:rsidR="00190923" w:rsidRPr="00981405">
        <w:t xml:space="preserve"> </w:t>
      </w:r>
      <w:r w:rsidRPr="00981405">
        <w:t>apply.</w:t>
      </w:r>
      <w:r w:rsidR="00190923" w:rsidRPr="00981405">
        <w:t xml:space="preserve"> </w:t>
      </w:r>
    </w:p>
    <w:p w:rsidR="00397032" w:rsidRPr="00981405" w:rsidRDefault="00397032" w:rsidP="00D97463">
      <w:pPr>
        <w:pStyle w:val="SingleTxt"/>
      </w:pPr>
      <w:r w:rsidRPr="00981405">
        <w:t>172.</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has</w:t>
      </w:r>
      <w:r w:rsidR="00190923" w:rsidRPr="00981405">
        <w:t xml:space="preserve"> </w:t>
      </w:r>
      <w:r w:rsidRPr="00981405">
        <w:t>taken</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this</w:t>
      </w:r>
      <w:r w:rsidR="00190923" w:rsidRPr="00981405">
        <w:t xml:space="preserve"> </w:t>
      </w:r>
      <w:r w:rsidRPr="00981405">
        <w:t>partly</w:t>
      </w:r>
      <w:r w:rsidR="00190923" w:rsidRPr="00981405">
        <w:t xml:space="preserve"> </w:t>
      </w:r>
      <w:r w:rsidRPr="00981405">
        <w:t>conceptual</w:t>
      </w:r>
      <w:r w:rsidR="00190923" w:rsidRPr="00981405">
        <w:t xml:space="preserve"> </w:t>
      </w:r>
      <w:r w:rsidRPr="00981405">
        <w:t>debate</w:t>
      </w:r>
      <w:r w:rsidR="00190923" w:rsidRPr="00981405">
        <w:t xml:space="preserve"> </w:t>
      </w:r>
      <w:r w:rsidRPr="00981405">
        <w:t>about</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and</w:t>
      </w:r>
      <w:r w:rsidR="00190923" w:rsidRPr="00981405">
        <w:t xml:space="preserve"> </w:t>
      </w:r>
      <w:r w:rsidRPr="00981405">
        <w:t>the</w:t>
      </w:r>
      <w:r w:rsidR="00190923" w:rsidRPr="00981405">
        <w:t xml:space="preserve"> </w:t>
      </w:r>
      <w:r w:rsidRPr="00981405">
        <w:t>assumptions</w:t>
      </w:r>
      <w:r w:rsidR="00190923" w:rsidRPr="00981405">
        <w:t xml:space="preserve"> </w:t>
      </w:r>
      <w:r w:rsidRPr="00981405">
        <w:t>that</w:t>
      </w:r>
      <w:r w:rsidR="00190923" w:rsidRPr="00981405">
        <w:t xml:space="preserve"> </w:t>
      </w:r>
      <w:r w:rsidRPr="00981405">
        <w:t>it</w:t>
      </w:r>
      <w:r w:rsidR="00190923" w:rsidRPr="00981405">
        <w:t xml:space="preserve"> </w:t>
      </w:r>
      <w:r w:rsidRPr="00981405">
        <w:t>leads</w:t>
      </w:r>
      <w:r w:rsidR="00190923" w:rsidRPr="00981405">
        <w:t xml:space="preserve"> </w:t>
      </w:r>
      <w:r w:rsidRPr="00981405">
        <w:t>to</w:t>
      </w:r>
      <w:r w:rsidR="00190923" w:rsidRPr="00981405">
        <w:t xml:space="preserve"> </w:t>
      </w:r>
      <w:r w:rsidRPr="00981405">
        <w:t>about</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those</w:t>
      </w:r>
      <w:r w:rsidR="00190923" w:rsidRPr="00981405">
        <w:t xml:space="preserve"> </w:t>
      </w:r>
      <w:r w:rsidRPr="00981405">
        <w:t>agreements</w:t>
      </w:r>
      <w:r w:rsidR="00190923" w:rsidRPr="00981405">
        <w:t xml:space="preserve"> </w:t>
      </w:r>
      <w:r w:rsidRPr="00981405">
        <w:t>is</w:t>
      </w:r>
      <w:r w:rsidR="00190923" w:rsidRPr="00981405">
        <w:t xml:space="preserve"> </w:t>
      </w:r>
      <w:r w:rsidRPr="00981405">
        <w:t>not</w:t>
      </w:r>
      <w:r w:rsidR="00190923" w:rsidRPr="00981405">
        <w:t xml:space="preserve"> </w:t>
      </w:r>
      <w:r w:rsidRPr="00981405">
        <w:t>something</w:t>
      </w:r>
      <w:r w:rsidR="00190923" w:rsidRPr="00981405">
        <w:t xml:space="preserve"> </w:t>
      </w:r>
      <w:r w:rsidRPr="00981405">
        <w:t>on</w:t>
      </w:r>
      <w:r w:rsidR="00190923" w:rsidRPr="00981405">
        <w:t xml:space="preserve"> </w:t>
      </w:r>
      <w:r w:rsidRPr="00981405">
        <w:t>which</w:t>
      </w:r>
      <w:r w:rsidR="00190923" w:rsidRPr="00981405">
        <w:t xml:space="preserve"> </w:t>
      </w:r>
      <w:r w:rsidRPr="00981405">
        <w:t>a</w:t>
      </w:r>
      <w:r w:rsidR="00190923" w:rsidRPr="00981405">
        <w:t xml:space="preserve"> </w:t>
      </w:r>
      <w:r w:rsidRPr="00981405">
        <w:t>definitive</w:t>
      </w:r>
      <w:r w:rsidR="00190923" w:rsidRPr="00981405">
        <w:t xml:space="preserve"> </w:t>
      </w:r>
      <w:r w:rsidRPr="00981405">
        <w:t>solution</w:t>
      </w:r>
      <w:r w:rsidR="00190923" w:rsidRPr="00981405">
        <w:t xml:space="preserve"> </w:t>
      </w:r>
      <w:r w:rsidRPr="00981405">
        <w:t>can</w:t>
      </w:r>
      <w:r w:rsidR="00190923" w:rsidRPr="00981405">
        <w:t xml:space="preserve"> </w:t>
      </w:r>
      <w:r w:rsidRPr="00981405">
        <w:t>be</w:t>
      </w:r>
      <w:r w:rsidR="00190923" w:rsidRPr="00981405">
        <w:t xml:space="preserve"> </w:t>
      </w:r>
      <w:r w:rsidRPr="00981405">
        <w:t>offered.</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have</w:t>
      </w:r>
      <w:r w:rsidR="00190923" w:rsidRPr="00981405">
        <w:t xml:space="preserve"> </w:t>
      </w:r>
      <w:r w:rsidRPr="00981405">
        <w:t>elements</w:t>
      </w:r>
      <w:r w:rsidR="00190923" w:rsidRPr="00981405">
        <w:t xml:space="preserve"> </w:t>
      </w:r>
      <w:r w:rsidRPr="00981405">
        <w:t>of</w:t>
      </w:r>
      <w:r w:rsidR="00190923" w:rsidRPr="00981405">
        <w:t xml:space="preserve"> </w:t>
      </w:r>
      <w:r w:rsidRPr="00981405">
        <w:t>both</w:t>
      </w:r>
      <w:r w:rsidR="00190923" w:rsidRPr="00981405">
        <w:t xml:space="preserve"> </w:t>
      </w:r>
      <w:r w:rsidRPr="00981405">
        <w:t>a</w:t>
      </w:r>
      <w:r w:rsidR="00190923" w:rsidRPr="00981405">
        <w:t xml:space="preserve"> </w:t>
      </w:r>
      <w:r w:rsidRPr="00981405">
        <w:t>public</w:t>
      </w:r>
      <w:r w:rsidR="00190923" w:rsidRPr="00981405">
        <w:t xml:space="preserve"> </w:t>
      </w:r>
      <w:r w:rsidRPr="00981405">
        <w:t>and</w:t>
      </w:r>
      <w:r w:rsidR="00190923" w:rsidRPr="00981405">
        <w:t xml:space="preserve"> </w:t>
      </w:r>
      <w:r w:rsidRPr="00981405">
        <w:t>a</w:t>
      </w:r>
      <w:r w:rsidR="00190923" w:rsidRPr="00981405">
        <w:t xml:space="preserve"> </w:t>
      </w:r>
      <w:r w:rsidRPr="00981405">
        <w:t>private</w:t>
      </w:r>
      <w:r w:rsidR="00190923" w:rsidRPr="00981405">
        <w:t xml:space="preserve"> </w:t>
      </w:r>
      <w:r w:rsidRPr="00981405">
        <w:t>nature.</w:t>
      </w:r>
      <w:r w:rsidR="00190923" w:rsidRPr="00981405">
        <w:t xml:space="preserve"> </w:t>
      </w:r>
      <w:r w:rsidRPr="00981405">
        <w:t>The</w:t>
      </w:r>
      <w:r w:rsidR="00190923" w:rsidRPr="00981405">
        <w:t xml:space="preserve"> </w:t>
      </w:r>
      <w:r w:rsidRPr="00981405">
        <w:t>inability</w:t>
      </w:r>
      <w:r w:rsidR="00190923" w:rsidRPr="00981405">
        <w:t xml:space="preserve"> </w:t>
      </w:r>
      <w:r w:rsidRPr="00981405">
        <w:t>to</w:t>
      </w:r>
      <w:r w:rsidR="00190923" w:rsidRPr="00981405">
        <w:t xml:space="preserve"> </w:t>
      </w:r>
      <w:r w:rsidRPr="00981405">
        <w:t>have</w:t>
      </w:r>
      <w:r w:rsidR="00190923" w:rsidRPr="00981405">
        <w:t xml:space="preserve"> </w:t>
      </w:r>
      <w:r w:rsidRPr="00981405">
        <w:t>a</w:t>
      </w:r>
      <w:r w:rsidR="00190923" w:rsidRPr="00981405">
        <w:t xml:space="preserve"> </w:t>
      </w:r>
      <w:r w:rsidRPr="00981405">
        <w:t>formal</w:t>
      </w:r>
      <w:r w:rsidR="00190923" w:rsidRPr="00981405">
        <w:t xml:space="preserve"> </w:t>
      </w:r>
      <w:r w:rsidRPr="00981405">
        <w:t>definitive</w:t>
      </w:r>
      <w:r w:rsidR="00190923" w:rsidRPr="00981405">
        <w:t xml:space="preserve"> </w:t>
      </w:r>
      <w:r w:rsidRPr="00981405">
        <w:t>answer</w:t>
      </w:r>
      <w:r w:rsidR="00190923" w:rsidRPr="00981405">
        <w:t xml:space="preserve"> </w:t>
      </w:r>
      <w:r w:rsidRPr="00981405">
        <w:t>is</w:t>
      </w:r>
      <w:r w:rsidR="00190923" w:rsidRPr="00981405">
        <w:t xml:space="preserve"> </w:t>
      </w:r>
      <w:r w:rsidRPr="00981405">
        <w:t>the</w:t>
      </w:r>
      <w:r w:rsidR="00190923" w:rsidRPr="00981405">
        <w:t xml:space="preserve"> </w:t>
      </w:r>
      <w:r w:rsidRPr="00981405">
        <w:t>consequence</w:t>
      </w:r>
      <w:r w:rsidR="00190923" w:rsidRPr="00981405">
        <w:t xml:space="preserve"> </w:t>
      </w:r>
      <w:r w:rsidRPr="00981405">
        <w:t>of</w:t>
      </w:r>
      <w:r w:rsidR="00190923" w:rsidRPr="00981405">
        <w:t xml:space="preserve"> </w:t>
      </w:r>
      <w:r w:rsidRPr="00981405">
        <w:t>having</w:t>
      </w:r>
      <w:r w:rsidR="00190923" w:rsidRPr="00981405">
        <w:t xml:space="preserve"> </w:t>
      </w:r>
      <w:r w:rsidRPr="00981405">
        <w:t>the</w:t>
      </w:r>
      <w:r w:rsidR="00190923" w:rsidRPr="00981405">
        <w:t xml:space="preserve"> </w:t>
      </w:r>
      <w:r w:rsidRPr="00981405">
        <w:t>matter</w:t>
      </w:r>
      <w:r w:rsidR="00190923" w:rsidRPr="00981405">
        <w:t xml:space="preserve"> </w:t>
      </w:r>
      <w:r w:rsidRPr="00981405">
        <w:t>dealt</w:t>
      </w:r>
      <w:r w:rsidR="00190923" w:rsidRPr="00981405">
        <w:t xml:space="preserve"> </w:t>
      </w:r>
      <w:r w:rsidRPr="00981405">
        <w:t>with</w:t>
      </w:r>
      <w:r w:rsidR="00190923" w:rsidRPr="00981405">
        <w:t xml:space="preserve"> </w:t>
      </w:r>
      <w:r w:rsidRPr="00981405">
        <w:t>through</w:t>
      </w:r>
      <w:r w:rsidR="00190923" w:rsidRPr="00981405">
        <w:t xml:space="preserve"> </w:t>
      </w:r>
      <w:r w:rsidRPr="00981405">
        <w:t>a</w:t>
      </w:r>
      <w:r w:rsidR="00190923" w:rsidRPr="00981405">
        <w:t xml:space="preserve"> </w:t>
      </w:r>
      <w:r w:rsidR="00B92E2C" w:rsidRPr="00981405">
        <w:t>“</w:t>
      </w:r>
      <w:r w:rsidRPr="00981405">
        <w:t>mixed</w:t>
      </w:r>
      <w:r w:rsidR="00B92E2C" w:rsidRPr="00981405">
        <w:t>”</w:t>
      </w:r>
      <w:r w:rsidR="00190923" w:rsidRPr="00981405">
        <w:t xml:space="preserve"> </w:t>
      </w:r>
      <w:r w:rsidRPr="00981405">
        <w:t>arbitration</w:t>
      </w:r>
      <w:r w:rsidR="00190923" w:rsidRPr="00981405">
        <w:t xml:space="preserve"> </w:t>
      </w:r>
      <w:r w:rsidRPr="00981405">
        <w:t>with</w:t>
      </w:r>
      <w:r w:rsidR="00190923" w:rsidRPr="00981405">
        <w:t xml:space="preserve"> </w:t>
      </w:r>
      <w:r w:rsidR="00B92E2C" w:rsidRPr="00981405">
        <w:t>“</w:t>
      </w:r>
      <w:r w:rsidR="00E50095" w:rsidRPr="00981405">
        <w:rPr>
          <w:i/>
          <w:iCs/>
        </w:rPr>
        <w:t>ad hoc</w:t>
      </w:r>
      <w:r w:rsidR="00B92E2C" w:rsidRPr="00981405">
        <w:t>”</w:t>
      </w:r>
      <w:r w:rsidR="00190923" w:rsidRPr="00981405">
        <w:t xml:space="preserve"> </w:t>
      </w:r>
      <w:r w:rsidRPr="00981405">
        <w:t>arbitrators.</w:t>
      </w:r>
      <w:r w:rsidR="00190923" w:rsidRPr="00981405">
        <w:t xml:space="preserve"> </w:t>
      </w:r>
      <w:r w:rsidRPr="00981405">
        <w:t>In</w:t>
      </w:r>
      <w:r w:rsidR="00190923" w:rsidRPr="00981405">
        <w:t xml:space="preserve"> </w:t>
      </w:r>
      <w:r w:rsidRPr="00981405">
        <w:t>a</w:t>
      </w:r>
      <w:r w:rsidR="00190923" w:rsidRPr="00981405">
        <w:t xml:space="preserve"> </w:t>
      </w:r>
      <w:r w:rsidR="00B92E2C" w:rsidRPr="00981405">
        <w:t>“</w:t>
      </w:r>
      <w:r w:rsidRPr="00981405">
        <w:t>closed</w:t>
      </w:r>
      <w:r w:rsidR="00B92E2C" w:rsidRPr="00981405">
        <w:t>”</w:t>
      </w:r>
      <w:r w:rsidR="00190923" w:rsidRPr="00981405">
        <w:t xml:space="preserve"> </w:t>
      </w:r>
      <w:r w:rsidRPr="00981405">
        <w:t>system,</w:t>
      </w:r>
      <w:r w:rsidR="00190923" w:rsidRPr="00981405">
        <w:t xml:space="preserve"> </w:t>
      </w:r>
      <w:r w:rsidRPr="00981405">
        <w:t>such</w:t>
      </w:r>
      <w:r w:rsidR="00190923" w:rsidRPr="00981405">
        <w:t xml:space="preserve"> </w:t>
      </w:r>
      <w:r w:rsidRPr="00981405">
        <w:t>as</w:t>
      </w:r>
      <w:r w:rsidR="00190923" w:rsidRPr="00981405">
        <w:t xml:space="preserve"> </w:t>
      </w:r>
      <w:r w:rsidRPr="00981405">
        <w:t>the</w:t>
      </w:r>
      <w:r w:rsidR="00190923" w:rsidRPr="00981405">
        <w:t xml:space="preserve"> </w:t>
      </w:r>
      <w:r w:rsidRPr="00981405">
        <w:t>WTO,</w:t>
      </w:r>
      <w:r w:rsidR="00190923" w:rsidRPr="00981405">
        <w:t xml:space="preserve"> </w:t>
      </w:r>
      <w:r w:rsidRPr="00981405">
        <w:t>an</w:t>
      </w:r>
      <w:r w:rsidR="00190923" w:rsidRPr="00981405">
        <w:t xml:space="preserve"> </w:t>
      </w:r>
      <w:r w:rsidRPr="00981405">
        <w:t>appellate</w:t>
      </w:r>
      <w:r w:rsidR="00190923" w:rsidRPr="00981405">
        <w:t xml:space="preserve"> </w:t>
      </w:r>
      <w:r w:rsidRPr="00981405">
        <w:t>tribunal</w:t>
      </w:r>
      <w:r w:rsidR="00190923" w:rsidRPr="00981405">
        <w:t xml:space="preserve"> </w:t>
      </w:r>
      <w:r w:rsidRPr="00981405">
        <w:t>could</w:t>
      </w:r>
      <w:r w:rsidR="00190923" w:rsidRPr="00981405">
        <w:t xml:space="preserve"> </w:t>
      </w:r>
      <w:r w:rsidRPr="00981405">
        <w:t>resolve</w:t>
      </w:r>
      <w:r w:rsidR="00190923" w:rsidRPr="00981405">
        <w:t xml:space="preserve"> </w:t>
      </w:r>
      <w:r w:rsidRPr="00981405">
        <w:t>the</w:t>
      </w:r>
      <w:r w:rsidR="00190923" w:rsidRPr="00981405">
        <w:t xml:space="preserve"> </w:t>
      </w:r>
      <w:r w:rsidRPr="00981405">
        <w:t>matter</w:t>
      </w:r>
      <w:r w:rsidR="00190923" w:rsidRPr="00981405">
        <w:t xml:space="preserve"> </w:t>
      </w:r>
      <w:r w:rsidRPr="00981405">
        <w:t>and,</w:t>
      </w:r>
      <w:r w:rsidR="00190923" w:rsidRPr="00981405">
        <w:t xml:space="preserve"> </w:t>
      </w:r>
      <w:r w:rsidRPr="00981405">
        <w:t>right</w:t>
      </w:r>
      <w:r w:rsidR="00190923" w:rsidRPr="00981405">
        <w:t xml:space="preserve"> </w:t>
      </w:r>
      <w:r w:rsidRPr="00981405">
        <w:t>or</w:t>
      </w:r>
      <w:r w:rsidR="00190923" w:rsidRPr="00981405">
        <w:t xml:space="preserve"> </w:t>
      </w:r>
      <w:r w:rsidRPr="00981405">
        <w:t>wrong,</w:t>
      </w:r>
      <w:r w:rsidR="00190923" w:rsidRPr="00981405">
        <w:t xml:space="preserve"> </w:t>
      </w:r>
      <w:r w:rsidRPr="00981405">
        <w:t>it</w:t>
      </w:r>
      <w:r w:rsidR="00190923" w:rsidRPr="00981405">
        <w:t xml:space="preserve"> </w:t>
      </w:r>
      <w:r w:rsidRPr="00981405">
        <w:t>would</w:t>
      </w:r>
      <w:r w:rsidR="00190923" w:rsidRPr="00981405">
        <w:t xml:space="preserve"> </w:t>
      </w:r>
      <w:r w:rsidRPr="00981405">
        <w:t>be</w:t>
      </w:r>
      <w:r w:rsidR="00190923" w:rsidRPr="00981405">
        <w:t xml:space="preserve"> </w:t>
      </w:r>
      <w:r w:rsidRPr="00981405">
        <w:t>the</w:t>
      </w:r>
      <w:r w:rsidR="00190923" w:rsidRPr="00981405">
        <w:t xml:space="preserve"> </w:t>
      </w:r>
      <w:r w:rsidRPr="00981405">
        <w:t>answer</w:t>
      </w:r>
      <w:r w:rsidR="00190923" w:rsidRPr="00981405">
        <w:t xml:space="preserve"> </w:t>
      </w:r>
      <w:r w:rsidRPr="00981405">
        <w:t>for</w:t>
      </w:r>
      <w:r w:rsidR="00190923" w:rsidRPr="00981405">
        <w:t xml:space="preserve"> </w:t>
      </w:r>
      <w:r w:rsidRPr="00981405">
        <w:t>all</w:t>
      </w:r>
      <w:r w:rsidR="00190923" w:rsidRPr="00981405">
        <w:t xml:space="preserve"> </w:t>
      </w:r>
      <w:r w:rsidRPr="00981405">
        <w:t>cases</w:t>
      </w:r>
      <w:r w:rsidR="00190923" w:rsidRPr="00981405">
        <w:t xml:space="preserve"> </w:t>
      </w:r>
      <w:r w:rsidRPr="00981405">
        <w:t>within</w:t>
      </w:r>
      <w:r w:rsidR="00190923" w:rsidRPr="00981405">
        <w:t xml:space="preserve"> </w:t>
      </w:r>
      <w:r w:rsidRPr="00981405">
        <w:t>the</w:t>
      </w:r>
      <w:r w:rsidR="00190923" w:rsidRPr="00981405">
        <w:t xml:space="preserve"> </w:t>
      </w:r>
      <w:r w:rsidRPr="00981405">
        <w:t>system.</w:t>
      </w:r>
      <w:r w:rsidR="00190923" w:rsidRPr="00981405">
        <w:t xml:space="preserve"> </w:t>
      </w:r>
      <w:r w:rsidRPr="00981405">
        <w:t>That</w:t>
      </w:r>
      <w:r w:rsidR="00190923" w:rsidRPr="00981405">
        <w:t xml:space="preserve"> </w:t>
      </w:r>
      <w:r w:rsidRPr="00981405">
        <w:t>opportunity</w:t>
      </w:r>
      <w:r w:rsidR="00190923" w:rsidRPr="00981405">
        <w:t xml:space="preserve"> </w:t>
      </w:r>
      <w:r w:rsidRPr="00981405">
        <w:t>is</w:t>
      </w:r>
      <w:r w:rsidR="00190923" w:rsidRPr="00981405">
        <w:t xml:space="preserve"> </w:t>
      </w:r>
      <w:r w:rsidRPr="00981405">
        <w:t>not</w:t>
      </w:r>
      <w:r w:rsidR="00190923" w:rsidRPr="00981405">
        <w:t xml:space="preserve"> </w:t>
      </w:r>
      <w:r w:rsidRPr="00981405">
        <w:t>available</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investor-state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Nor,</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is</w:t>
      </w:r>
      <w:r w:rsidR="00190923" w:rsidRPr="00981405">
        <w:t xml:space="preserve"> </w:t>
      </w:r>
      <w:r w:rsidRPr="00981405">
        <w:t>it</w:t>
      </w:r>
      <w:r w:rsidR="00190923" w:rsidRPr="00981405">
        <w:t xml:space="preserve"> </w:t>
      </w:r>
      <w:r w:rsidRPr="00981405">
        <w:t>appropriate</w:t>
      </w:r>
      <w:r w:rsidR="00190923" w:rsidRPr="00981405">
        <w:t xml:space="preserve"> </w:t>
      </w:r>
      <w:r w:rsidRPr="00981405">
        <w:t>for</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to</w:t>
      </w:r>
      <w:r w:rsidR="00190923" w:rsidRPr="00981405">
        <w:t xml:space="preserve"> </w:t>
      </w:r>
      <w:r w:rsidRPr="00981405">
        <w:t>play</w:t>
      </w:r>
      <w:r w:rsidR="00190923" w:rsidRPr="00981405">
        <w:t xml:space="preserve"> </w:t>
      </w:r>
      <w:r w:rsidRPr="00981405">
        <w:t>such</w:t>
      </w:r>
      <w:r w:rsidR="00190923" w:rsidRPr="00981405">
        <w:t xml:space="preserve"> </w:t>
      </w:r>
      <w:r w:rsidRPr="00981405">
        <w:t>a</w:t>
      </w:r>
      <w:r w:rsidR="00190923" w:rsidRPr="00981405">
        <w:t xml:space="preserve"> </w:t>
      </w:r>
      <w:r w:rsidRPr="00981405">
        <w:t>role.</w:t>
      </w:r>
    </w:p>
    <w:p w:rsidR="00397032" w:rsidRPr="00981405" w:rsidRDefault="00397032" w:rsidP="00D97463">
      <w:pPr>
        <w:pStyle w:val="SingleTxt"/>
      </w:pPr>
      <w:r w:rsidRPr="00981405">
        <w:t>173.</w:t>
      </w:r>
      <w:r w:rsidRPr="00981405">
        <w:tab/>
      </w:r>
      <w:r w:rsidR="00190923" w:rsidRPr="00981405">
        <w:t xml:space="preserve"> </w:t>
      </w:r>
      <w:r w:rsidRPr="00981405">
        <w:t>However,</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observes</w:t>
      </w:r>
      <w:r w:rsidR="00190923" w:rsidRPr="00981405">
        <w:t xml:space="preserve"> </w:t>
      </w:r>
      <w:r w:rsidRPr="00981405">
        <w:t>that</w:t>
      </w:r>
      <w:r w:rsidR="00190923" w:rsidRPr="00981405">
        <w:t xml:space="preserve"> </w:t>
      </w:r>
      <w:r w:rsidRPr="00981405">
        <w:t>conclusions</w:t>
      </w:r>
      <w:r w:rsidR="00190923" w:rsidRPr="00981405">
        <w:t xml:space="preserve"> </w:t>
      </w:r>
      <w:r w:rsidRPr="00981405">
        <w:t>about</w:t>
      </w:r>
      <w:r w:rsidR="00190923" w:rsidRPr="00981405">
        <w:t xml:space="preserve"> </w:t>
      </w:r>
      <w:r w:rsidRPr="00981405">
        <w:t>the</w:t>
      </w:r>
      <w:r w:rsidR="00190923" w:rsidRPr="00981405">
        <w:t xml:space="preserve"> </w:t>
      </w:r>
      <w:r w:rsidRPr="00981405">
        <w:t>applicability</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should</w:t>
      </w:r>
      <w:r w:rsidR="00190923" w:rsidRPr="00981405">
        <w:t xml:space="preserve"> </w:t>
      </w:r>
      <w:r w:rsidRPr="00981405">
        <w:t>be</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and</w:t>
      </w:r>
      <w:r w:rsidR="00190923" w:rsidRPr="00981405">
        <w:t xml:space="preserve"> </w:t>
      </w:r>
      <w:r w:rsidRPr="00981405">
        <w:t>analysis</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in</w:t>
      </w:r>
      <w:r w:rsidR="00190923" w:rsidRPr="00981405">
        <w:t xml:space="preserve"> </w:t>
      </w:r>
      <w:r w:rsidRPr="00981405">
        <w:t>question</w:t>
      </w:r>
      <w:r w:rsidR="00190923" w:rsidRPr="00981405">
        <w:t xml:space="preserve"> </w:t>
      </w:r>
      <w:r w:rsidRPr="00981405">
        <w:t>and</w:t>
      </w:r>
      <w:r w:rsidR="00190923" w:rsidRPr="00981405">
        <w:t xml:space="preserve"> </w:t>
      </w:r>
      <w:r w:rsidRPr="00981405">
        <w:t>not</w:t>
      </w:r>
      <w:r w:rsidR="00190923" w:rsidRPr="00981405">
        <w:t xml:space="preserve"> </w:t>
      </w:r>
      <w:r w:rsidRPr="00981405">
        <w:t>on</w:t>
      </w:r>
      <w:r w:rsidR="00190923" w:rsidRPr="00981405">
        <w:t xml:space="preserve"> </w:t>
      </w:r>
      <w:r w:rsidRPr="00981405">
        <w:t>assumptions</w:t>
      </w:r>
      <w:r w:rsidR="00190923" w:rsidRPr="00981405">
        <w:t xml:space="preserve"> </w:t>
      </w:r>
      <w:r w:rsidRPr="00981405">
        <w:t>about</w:t>
      </w:r>
      <w:r w:rsidR="00190923" w:rsidRPr="00981405">
        <w:t xml:space="preserve"> </w:t>
      </w:r>
      <w:r w:rsidRPr="00981405">
        <w:t>the</w:t>
      </w:r>
      <w:r w:rsidR="00190923" w:rsidRPr="00981405">
        <w:t xml:space="preserve"> </w:t>
      </w:r>
      <w:r w:rsidRPr="00981405">
        <w:t>nature</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or</w:t>
      </w:r>
      <w:r w:rsidR="00190923" w:rsidRPr="00981405">
        <w:t xml:space="preserve"> </w:t>
      </w:r>
      <w:r w:rsidRPr="00981405">
        <w:t>of</w:t>
      </w:r>
      <w:r w:rsidR="00190923" w:rsidRPr="00981405">
        <w:t xml:space="preserve"> </w:t>
      </w:r>
      <w:r w:rsidRPr="00981405">
        <w:t>the</w:t>
      </w:r>
      <w:r w:rsidR="00190923" w:rsidRPr="00981405">
        <w:t xml:space="preserve"> </w:t>
      </w:r>
      <w:r w:rsidRPr="00981405">
        <w:t>rights</w:t>
      </w:r>
      <w:r w:rsidR="00190923" w:rsidRPr="00981405">
        <w:t xml:space="preserve"> </w:t>
      </w:r>
      <w:r w:rsidRPr="00981405">
        <w:t>that</w:t>
      </w:r>
      <w:r w:rsidR="00190923" w:rsidRPr="00981405">
        <w:t xml:space="preserve"> </w:t>
      </w:r>
      <w:r w:rsidRPr="00981405">
        <w:t>are</w:t>
      </w:r>
      <w:r w:rsidR="00190923" w:rsidRPr="00981405">
        <w:t xml:space="preserve"> </w:t>
      </w:r>
      <w:r w:rsidRPr="00981405">
        <w:t>granted</w:t>
      </w:r>
      <w:r w:rsidR="00190923" w:rsidRPr="00981405">
        <w:t xml:space="preserve"> </w:t>
      </w:r>
      <w:r w:rsidRPr="00981405">
        <w:t>under</w:t>
      </w:r>
      <w:r w:rsidR="00190923" w:rsidRPr="00981405">
        <w:t xml:space="preserve"> </w:t>
      </w:r>
      <w:r w:rsidRPr="00981405">
        <w:t>them.</w:t>
      </w:r>
    </w:p>
    <w:p w:rsidR="00E50095" w:rsidRPr="00981405" w:rsidRDefault="00E50095" w:rsidP="00D97463">
      <w:pPr>
        <w:pStyle w:val="SingleTxt"/>
      </w:pPr>
      <w:bookmarkStart w:id="303" w:name="_Toc293434186"/>
      <w:bookmarkStart w:id="304" w:name="_Toc294353699"/>
    </w:p>
    <w:p w:rsidR="00E50095" w:rsidRPr="00D97463" w:rsidRDefault="00E50095" w:rsidP="00D97463">
      <w:pPr>
        <w:pStyle w:val="SingleTxt"/>
        <w:spacing w:after="0" w:line="120" w:lineRule="exact"/>
        <w:rPr>
          <w:sz w:val="10"/>
        </w:rPr>
      </w:pPr>
    </w:p>
    <w:p w:rsidR="00E50095" w:rsidRPr="00D97463" w:rsidRDefault="00E50095" w:rsidP="00D97463">
      <w:pPr>
        <w:pStyle w:val="SingleTxt"/>
        <w:spacing w:after="0" w:line="120" w:lineRule="exact"/>
        <w:rPr>
          <w:sz w:val="10"/>
        </w:rPr>
      </w:pPr>
    </w:p>
    <w:p w:rsidR="00397032" w:rsidRPr="00D97463" w:rsidRDefault="00397032" w:rsidP="00D97463">
      <w:pPr>
        <w:pStyle w:val="H1"/>
        <w:ind w:right="1260"/>
      </w:pPr>
      <w:r w:rsidRPr="00D97463">
        <w:tab/>
      </w:r>
      <w:bookmarkStart w:id="305" w:name="_Toc427938199"/>
      <w:r w:rsidRPr="00D97463">
        <w:t>C.</w:t>
      </w:r>
      <w:r w:rsidRPr="00D97463">
        <w:tab/>
        <w:t>Relevant</w:t>
      </w:r>
      <w:r w:rsidR="00190923" w:rsidRPr="00D97463">
        <w:t xml:space="preserve"> </w:t>
      </w:r>
      <w:r w:rsidRPr="00D97463">
        <w:t>factors</w:t>
      </w:r>
      <w:r w:rsidR="00190923" w:rsidRPr="00D97463">
        <w:t xml:space="preserve"> </w:t>
      </w:r>
      <w:r w:rsidRPr="00D97463">
        <w:t>in</w:t>
      </w:r>
      <w:r w:rsidR="00190923" w:rsidRPr="00D97463">
        <w:t xml:space="preserve"> </w:t>
      </w:r>
      <w:r w:rsidRPr="00D97463">
        <w:t>determining</w:t>
      </w:r>
      <w:r w:rsidR="00190923" w:rsidRPr="00D97463">
        <w:t xml:space="preserve"> </w:t>
      </w:r>
      <w:r w:rsidRPr="00D97463">
        <w:t>whether</w:t>
      </w:r>
      <w:r w:rsidR="00190923" w:rsidRPr="00D97463">
        <w:t xml:space="preserve"> </w:t>
      </w:r>
      <w:r w:rsidRPr="00D97463">
        <w:t>an</w:t>
      </w:r>
      <w:r w:rsidR="00190923" w:rsidRPr="00D97463">
        <w:t xml:space="preserve"> </w:t>
      </w:r>
      <w:r w:rsidRPr="00D97463">
        <w:t>MFN</w:t>
      </w:r>
      <w:r w:rsidR="00190923" w:rsidRPr="00D97463">
        <w:t xml:space="preserve"> </w:t>
      </w:r>
      <w:r w:rsidRPr="00D97463">
        <w:t>provision</w:t>
      </w:r>
      <w:r w:rsidR="00190923" w:rsidRPr="00D97463">
        <w:t xml:space="preserve"> </w:t>
      </w:r>
      <w:r w:rsidRPr="00D97463">
        <w:t>applies</w:t>
      </w:r>
      <w:r w:rsidR="00190923" w:rsidRPr="00D97463">
        <w:t xml:space="preserve"> </w:t>
      </w:r>
      <w:r w:rsidRPr="00D97463">
        <w:t>to</w:t>
      </w:r>
      <w:r w:rsidR="00190923" w:rsidRPr="00D97463">
        <w:t xml:space="preserve"> </w:t>
      </w:r>
      <w:r w:rsidRPr="00D97463">
        <w:t>the</w:t>
      </w:r>
      <w:r w:rsidR="00190923" w:rsidRPr="00D97463">
        <w:t xml:space="preserve"> </w:t>
      </w:r>
      <w:r w:rsidRPr="00D97463">
        <w:t>conditions</w:t>
      </w:r>
      <w:r w:rsidR="00190923" w:rsidRPr="00D97463">
        <w:t xml:space="preserve"> </w:t>
      </w:r>
      <w:r w:rsidRPr="00D97463">
        <w:t>for</w:t>
      </w:r>
      <w:r w:rsidR="00190923" w:rsidRPr="00D97463">
        <w:t xml:space="preserve"> </w:t>
      </w:r>
      <w:r w:rsidRPr="00D97463">
        <w:t>invoking</w:t>
      </w:r>
      <w:r w:rsidR="00190923" w:rsidRPr="00D97463">
        <w:t xml:space="preserve"> </w:t>
      </w:r>
      <w:r w:rsidRPr="00D97463">
        <w:t>dispute</w:t>
      </w:r>
      <w:r w:rsidR="00190923" w:rsidRPr="00D97463">
        <w:t xml:space="preserve"> </w:t>
      </w:r>
      <w:r w:rsidRPr="00D97463">
        <w:t>settlement</w:t>
      </w:r>
      <w:bookmarkEnd w:id="303"/>
      <w:bookmarkEnd w:id="304"/>
      <w:bookmarkEnd w:id="305"/>
    </w:p>
    <w:p w:rsidR="00397032" w:rsidRPr="00D97463" w:rsidRDefault="00397032" w:rsidP="00D97463">
      <w:pPr>
        <w:pStyle w:val="SingleTxt"/>
        <w:spacing w:after="0" w:line="120" w:lineRule="exact"/>
        <w:rPr>
          <w:sz w:val="10"/>
        </w:rPr>
      </w:pPr>
    </w:p>
    <w:p w:rsidR="00E50095" w:rsidRPr="00D97463" w:rsidRDefault="00E50095" w:rsidP="00D97463">
      <w:pPr>
        <w:pStyle w:val="SingleTxt"/>
        <w:spacing w:after="0" w:line="120" w:lineRule="exact"/>
        <w:rPr>
          <w:sz w:val="10"/>
        </w:rPr>
      </w:pPr>
    </w:p>
    <w:p w:rsidR="00397032" w:rsidRPr="00981405" w:rsidRDefault="00397032" w:rsidP="00D97463">
      <w:pPr>
        <w:pStyle w:val="SingleTxt"/>
      </w:pPr>
      <w:r w:rsidRPr="00981405">
        <w:t>174.</w:t>
      </w:r>
      <w:r w:rsidRPr="00981405">
        <w:tab/>
        <w:t>Since</w:t>
      </w:r>
      <w:r w:rsidR="00190923" w:rsidRPr="00981405">
        <w:t xml:space="preserve"> </w:t>
      </w:r>
      <w:r w:rsidRPr="00981405">
        <w:t>BITs</w:t>
      </w:r>
      <w:r w:rsidR="00190923" w:rsidRPr="00981405">
        <w:t xml:space="preserve"> </w:t>
      </w:r>
      <w:r w:rsidRPr="00981405">
        <w:t>are</w:t>
      </w:r>
      <w:r w:rsidR="00190923" w:rsidRPr="00981405">
        <w:t xml:space="preserve"> </w:t>
      </w:r>
      <w:r w:rsidRPr="00981405">
        <w:t>international</w:t>
      </w:r>
      <w:r w:rsidR="00190923" w:rsidRPr="00981405">
        <w:t xml:space="preserve"> </w:t>
      </w:r>
      <w:r w:rsidRPr="00981405">
        <w:t>agreements,</w:t>
      </w:r>
      <w:r w:rsidR="00190923" w:rsidRPr="00981405">
        <w:t xml:space="preserve"> </w:t>
      </w:r>
      <w:r w:rsidRPr="00981405">
        <w:t>the</w:t>
      </w:r>
      <w:r w:rsidR="00190923" w:rsidRPr="00981405">
        <w:t xml:space="preserve"> </w:t>
      </w:r>
      <w:r w:rsidRPr="00981405">
        <w:t>rules</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articles</w:t>
      </w:r>
      <w:r w:rsidR="00190923" w:rsidRPr="00981405">
        <w:t xml:space="preserve"> </w:t>
      </w:r>
      <w:r w:rsidRPr="00981405">
        <w:t>31-32</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are</w:t>
      </w:r>
      <w:r w:rsidR="00190923" w:rsidRPr="00981405">
        <w:t xml:space="preserve"> </w:t>
      </w:r>
      <w:r w:rsidRPr="00981405">
        <w:t>applicable</w:t>
      </w:r>
      <w:r w:rsidR="00190923" w:rsidRPr="00981405">
        <w:t xml:space="preserve"> </w:t>
      </w:r>
      <w:r w:rsidRPr="00981405">
        <w:t>to</w:t>
      </w:r>
      <w:r w:rsidR="00190923" w:rsidRPr="00981405">
        <w:t xml:space="preserve"> </w:t>
      </w:r>
      <w:r w:rsidRPr="00981405">
        <w:t>their</w:t>
      </w:r>
      <w:r w:rsidR="00190923" w:rsidRPr="00981405">
        <w:t xml:space="preserve"> </w:t>
      </w:r>
      <w:r w:rsidRPr="00981405">
        <w:t>interpretation.</w:t>
      </w:r>
      <w:r w:rsidRPr="00981405">
        <w:rPr>
          <w:rStyle w:val="FootnoteReference"/>
        </w:rPr>
        <w:footnoteReference w:id="577"/>
      </w:r>
      <w:r w:rsidR="00190923" w:rsidRPr="00981405">
        <w:t xml:space="preserve"> </w:t>
      </w:r>
      <w:r w:rsidRPr="00981405">
        <w:t>The</w:t>
      </w:r>
      <w:r w:rsidR="00190923" w:rsidRPr="00981405">
        <w:t xml:space="preserve"> </w:t>
      </w:r>
      <w:r w:rsidRPr="00981405">
        <w:t>general</w:t>
      </w:r>
      <w:r w:rsidR="00190923" w:rsidRPr="00981405">
        <w:t xml:space="preserve"> </w:t>
      </w:r>
      <w:r w:rsidRPr="00981405">
        <w:t>rule</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is</w:t>
      </w:r>
      <w:r w:rsidR="00190923" w:rsidRPr="00981405">
        <w:t xml:space="preserve"> </w:t>
      </w:r>
      <w:r w:rsidRPr="00981405">
        <w:t>set</w:t>
      </w:r>
      <w:r w:rsidR="00190923" w:rsidRPr="00981405">
        <w:t xml:space="preserve"> </w:t>
      </w:r>
      <w:r w:rsidRPr="00981405">
        <w:t>out</w:t>
      </w:r>
      <w:r w:rsidR="00190923" w:rsidRPr="00981405">
        <w:t xml:space="preserve"> </w:t>
      </w:r>
      <w:r w:rsidRPr="00981405">
        <w:t>in</w:t>
      </w:r>
      <w:r w:rsidR="00190923" w:rsidRPr="00981405">
        <w:t xml:space="preserve"> </w:t>
      </w:r>
      <w:r w:rsidRPr="00981405">
        <w:t>article</w:t>
      </w:r>
      <w:r w:rsidR="00190923" w:rsidRPr="00981405">
        <w:t xml:space="preserve"> </w:t>
      </w:r>
      <w:r w:rsidRPr="00981405">
        <w:t>31</w:t>
      </w:r>
      <w:r w:rsidR="00190923" w:rsidRPr="00981405">
        <w:t xml:space="preserve"> </w:t>
      </w:r>
      <w:r w:rsidRPr="00981405">
        <w:t>of</w:t>
      </w:r>
      <w:r w:rsidR="00190923" w:rsidRPr="00981405">
        <w:t xml:space="preserve"> </w:t>
      </w:r>
      <w:r w:rsidRPr="00981405">
        <w:t>the</w:t>
      </w:r>
      <w:r w:rsidR="00190923" w:rsidRPr="00981405">
        <w:t xml:space="preserve"> </w:t>
      </w:r>
      <w:r w:rsidRPr="00981405">
        <w:t>VCLT,</w:t>
      </w:r>
      <w:r w:rsidR="00190923" w:rsidRPr="00981405">
        <w:t xml:space="preserve"> </w:t>
      </w:r>
      <w:r w:rsidRPr="00981405">
        <w:t>paragraph</w:t>
      </w:r>
      <w:r w:rsidR="00190923" w:rsidRPr="00981405">
        <w:t xml:space="preserve"> </w:t>
      </w:r>
      <w:r w:rsidRPr="00981405">
        <w:t>(1)</w:t>
      </w:r>
      <w:r w:rsidR="00190923" w:rsidRPr="00981405">
        <w:t xml:space="preserve"> </w:t>
      </w:r>
      <w:r w:rsidRPr="00981405">
        <w:t>of</w:t>
      </w:r>
      <w:r w:rsidR="00190923" w:rsidRPr="00981405">
        <w:t xml:space="preserve"> </w:t>
      </w:r>
      <w:r w:rsidRPr="00981405">
        <w:t>which</w:t>
      </w:r>
      <w:r w:rsidR="00190923" w:rsidRPr="00981405">
        <w:t xml:space="preserve"> </w:t>
      </w:r>
      <w:r w:rsidRPr="00981405">
        <w:t>provides</w:t>
      </w:r>
      <w:r w:rsidR="00190923" w:rsidRPr="00981405">
        <w:t xml:space="preserve"> </w:t>
      </w:r>
      <w:r w:rsidRPr="00981405">
        <w:t>that</w:t>
      </w:r>
      <w:r w:rsidR="00190923" w:rsidRPr="00981405">
        <w:t xml:space="preserve"> </w:t>
      </w:r>
      <w:r w:rsidRPr="00981405">
        <w:t>treaties</w:t>
      </w:r>
      <w:r w:rsidR="00190923" w:rsidRPr="00981405">
        <w:t xml:space="preserve"> </w:t>
      </w:r>
      <w:r w:rsidR="00B92E2C" w:rsidRPr="00981405">
        <w:t>“</w:t>
      </w:r>
      <w:r w:rsidRPr="00981405">
        <w:t>shall</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good</w:t>
      </w:r>
      <w:r w:rsidR="00190923" w:rsidRPr="00981405">
        <w:t xml:space="preserve"> </w:t>
      </w:r>
      <w:r w:rsidRPr="00981405">
        <w:t>faith</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w:t>
      </w:r>
      <w:r w:rsidR="00190923" w:rsidRPr="00981405">
        <w:t xml:space="preserve"> </w:t>
      </w:r>
      <w:r w:rsidRPr="00981405">
        <w:t>ordinary</w:t>
      </w:r>
      <w:r w:rsidR="00190923" w:rsidRPr="00981405">
        <w:t xml:space="preserve"> </w:t>
      </w:r>
      <w:r w:rsidRPr="00981405">
        <w:t>meaning</w:t>
      </w:r>
      <w:r w:rsidR="00190923" w:rsidRPr="00981405">
        <w:t xml:space="preserve"> </w:t>
      </w:r>
      <w:r w:rsidRPr="00981405">
        <w:t>of</w:t>
      </w:r>
      <w:r w:rsidR="00190923" w:rsidRPr="00981405">
        <w:t xml:space="preserve"> </w:t>
      </w:r>
      <w:r w:rsidRPr="00981405">
        <w:t>the</w:t>
      </w:r>
      <w:r w:rsidR="00190923" w:rsidRPr="00981405">
        <w:t xml:space="preserve"> </w:t>
      </w:r>
      <w:r w:rsidRPr="00981405">
        <w:t>terms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981405">
        <w:t>their</w:t>
      </w:r>
      <w:r w:rsidR="00190923" w:rsidRPr="00981405">
        <w:t xml:space="preserve"> </w:t>
      </w:r>
      <w:r w:rsidRPr="00981405">
        <w:t>context</w:t>
      </w:r>
      <w:r w:rsidR="00190923" w:rsidRPr="00981405">
        <w:t xml:space="preserve"> </w:t>
      </w:r>
      <w:r w:rsidRPr="00981405">
        <w:t>and</w:t>
      </w:r>
      <w:r w:rsidR="00190923" w:rsidRPr="00981405">
        <w:t xml:space="preserve"> </w:t>
      </w:r>
      <w:r w:rsidRPr="00981405">
        <w:t>in</w:t>
      </w:r>
      <w:r w:rsidR="00190923" w:rsidRPr="00981405">
        <w:t xml:space="preserve"> </w:t>
      </w:r>
      <w:r w:rsidRPr="00981405">
        <w:t>the</w:t>
      </w:r>
      <w:r w:rsidR="00190923" w:rsidRPr="00981405">
        <w:t xml:space="preserve"> </w:t>
      </w:r>
      <w:r w:rsidRPr="00981405">
        <w:t>light</w:t>
      </w:r>
      <w:r w:rsidR="00190923" w:rsidRPr="00981405">
        <w:t xml:space="preserve"> </w:t>
      </w:r>
      <w:r w:rsidRPr="00981405">
        <w:t>of</w:t>
      </w:r>
      <w:r w:rsidR="00190923" w:rsidRPr="00981405">
        <w:t xml:space="preserve"> </w:t>
      </w:r>
      <w:r w:rsidRPr="00981405">
        <w:t>its</w:t>
      </w:r>
      <w:r w:rsidR="00190923" w:rsidRPr="00981405">
        <w:t xml:space="preserve"> </w:t>
      </w:r>
      <w:r w:rsidRPr="00981405">
        <w:t>object</w:t>
      </w:r>
      <w:r w:rsidR="00190923" w:rsidRPr="00981405">
        <w:t xml:space="preserve"> </w:t>
      </w:r>
      <w:r w:rsidRPr="00981405">
        <w:t>and</w:t>
      </w:r>
      <w:r w:rsidR="00190923" w:rsidRPr="00981405">
        <w:t xml:space="preserve"> </w:t>
      </w:r>
      <w:r w:rsidRPr="00981405">
        <w:t>purpose.</w:t>
      </w:r>
      <w:r w:rsidR="00B92E2C" w:rsidRPr="00981405">
        <w:t>”</w:t>
      </w:r>
      <w:r w:rsidRPr="00981405">
        <w:rPr>
          <w:rStyle w:val="FootnoteReference"/>
        </w:rPr>
        <w:footnoteReference w:id="578"/>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said</w:t>
      </w:r>
      <w:r w:rsidR="00190923" w:rsidRPr="00981405">
        <w:t xml:space="preserve"> </w:t>
      </w:r>
      <w:r w:rsidRPr="00981405">
        <w:t>that</w:t>
      </w:r>
      <w:r w:rsidR="00190923" w:rsidRPr="00981405">
        <w:t xml:space="preserve"> </w:t>
      </w:r>
      <w:r w:rsidRPr="00981405">
        <w:t>this</w:t>
      </w:r>
      <w:r w:rsidR="00190923" w:rsidRPr="00981405">
        <w:t xml:space="preserve"> </w:t>
      </w:r>
      <w:r w:rsidRPr="00981405">
        <w:t>formula</w:t>
      </w:r>
      <w:r w:rsidR="00190923" w:rsidRPr="00981405">
        <w:t xml:space="preserve"> </w:t>
      </w:r>
      <w:r w:rsidRPr="00981405">
        <w:t>was</w:t>
      </w:r>
      <w:r w:rsidR="00190923" w:rsidRPr="00981405">
        <w:t xml:space="preserve"> </w:t>
      </w:r>
      <w:r w:rsidR="00B92E2C" w:rsidRPr="00981405">
        <w:t>“</w:t>
      </w:r>
      <w:r w:rsidRPr="00981405">
        <w:t>clearly</w:t>
      </w:r>
      <w:r w:rsidR="00190923" w:rsidRPr="00981405">
        <w:t xml:space="preserve"> </w:t>
      </w:r>
      <w:r w:rsidRPr="00981405">
        <w:t>based</w:t>
      </w:r>
      <w:r w:rsidR="00190923" w:rsidRPr="00981405">
        <w:t xml:space="preserve"> </w:t>
      </w:r>
      <w:r w:rsidRPr="00981405">
        <w:t>on</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must</w:t>
      </w:r>
      <w:r w:rsidR="00190923" w:rsidRPr="00981405">
        <w:t xml:space="preserve"> </w:t>
      </w:r>
      <w:r w:rsidRPr="00981405">
        <w:t>be</w:t>
      </w:r>
      <w:r w:rsidR="00190923" w:rsidRPr="00981405">
        <w:t xml:space="preserve"> </w:t>
      </w:r>
      <w:r w:rsidRPr="00981405">
        <w:t>presumed</w:t>
      </w:r>
      <w:r w:rsidR="00190923" w:rsidRPr="00981405">
        <w:t xml:space="preserve"> </w:t>
      </w:r>
      <w:r w:rsidRPr="00981405">
        <w:t>to</w:t>
      </w:r>
      <w:r w:rsidR="00190923" w:rsidRPr="00981405">
        <w:t xml:space="preserve"> </w:t>
      </w:r>
      <w:r w:rsidRPr="00981405">
        <w:t>be</w:t>
      </w:r>
      <w:r w:rsidR="00190923" w:rsidRPr="00981405">
        <w:t xml:space="preserve"> </w:t>
      </w:r>
      <w:r w:rsidRPr="00981405">
        <w:t>the</w:t>
      </w:r>
      <w:r w:rsidR="00190923" w:rsidRPr="00981405">
        <w:t xml:space="preserve"> </w:t>
      </w:r>
      <w:r w:rsidRPr="00981405">
        <w:t>authentic</w:t>
      </w:r>
      <w:r w:rsidR="00190923" w:rsidRPr="00981405">
        <w:t xml:space="preserve"> </w:t>
      </w:r>
      <w:r w:rsidRPr="00981405">
        <w:t>expression</w:t>
      </w:r>
      <w:r w:rsidR="00190923" w:rsidRPr="00981405">
        <w:t xml:space="preserve"> </w:t>
      </w:r>
      <w:r w:rsidRPr="00981405">
        <w:t>of</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B92E2C" w:rsidRPr="00981405">
        <w:t>”</w:t>
      </w:r>
      <w:r w:rsidRPr="00981405">
        <w:rPr>
          <w:rStyle w:val="FootnoteReference"/>
        </w:rPr>
        <w:footnoteReference w:id="579"/>
      </w:r>
      <w:r w:rsidR="00190923" w:rsidRPr="00981405">
        <w:t xml:space="preserve"> </w:t>
      </w:r>
    </w:p>
    <w:p w:rsidR="00397032" w:rsidRPr="00981405" w:rsidRDefault="00397032" w:rsidP="00D97463">
      <w:pPr>
        <w:pStyle w:val="SingleTxt"/>
      </w:pPr>
      <w:r w:rsidRPr="00981405">
        <w:t>175.</w:t>
      </w:r>
      <w:r w:rsidRPr="00981405">
        <w:tab/>
        <w:t>It</w:t>
      </w:r>
      <w:r w:rsidR="00190923" w:rsidRPr="00981405">
        <w:t xml:space="preserve"> </w:t>
      </w:r>
      <w:r w:rsidRPr="00981405">
        <w:t>is</w:t>
      </w:r>
      <w:r w:rsidR="00190923" w:rsidRPr="00981405">
        <w:t xml:space="preserve"> </w:t>
      </w:r>
      <w:r w:rsidRPr="00981405">
        <w:t>a</w:t>
      </w:r>
      <w:r w:rsidR="00190923" w:rsidRPr="00981405">
        <w:t xml:space="preserve"> </w:t>
      </w:r>
      <w:r w:rsidRPr="00981405">
        <w:t>common</w:t>
      </w:r>
      <w:r w:rsidR="00190923" w:rsidRPr="00981405">
        <w:t xml:space="preserve"> </w:t>
      </w:r>
      <w:r w:rsidRPr="00981405">
        <w:t>position</w:t>
      </w:r>
      <w:r w:rsidR="00190923" w:rsidRPr="00981405">
        <w:t xml:space="preserve"> </w:t>
      </w:r>
      <w:r w:rsidRPr="00981405">
        <w:t>taken</w:t>
      </w:r>
      <w:r w:rsidR="00190923" w:rsidRPr="00981405">
        <w:t xml:space="preserve"> </w:t>
      </w:r>
      <w:r w:rsidRPr="00981405">
        <w:t>in</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that</w:t>
      </w:r>
      <w:r w:rsidR="00190923" w:rsidRPr="00981405">
        <w:t xml:space="preserve"> </w:t>
      </w:r>
      <w:r w:rsidRPr="00981405">
        <w:t>the</w:t>
      </w:r>
      <w:r w:rsidR="00190923" w:rsidRPr="00981405">
        <w:t xml:space="preserve"> </w:t>
      </w:r>
      <w:r w:rsidRPr="00981405">
        <w:t>VCLT</w:t>
      </w:r>
      <w:r w:rsidR="00190923" w:rsidRPr="00981405">
        <w:t xml:space="preserve"> </w:t>
      </w:r>
      <w:r w:rsidRPr="00981405">
        <w:t>rules</w:t>
      </w:r>
      <w:r w:rsidR="00190923" w:rsidRPr="00981405">
        <w:t xml:space="preserve"> </w:t>
      </w:r>
      <w:r w:rsidRPr="00981405">
        <w:t>provide</w:t>
      </w:r>
      <w:r w:rsidR="00190923" w:rsidRPr="00981405">
        <w:t xml:space="preserve"> </w:t>
      </w:r>
      <w:r w:rsidRPr="00981405">
        <w:t>the</w:t>
      </w:r>
      <w:r w:rsidR="00190923" w:rsidRPr="00981405">
        <w:t xml:space="preserve"> </w:t>
      </w:r>
      <w:r w:rsidRPr="00981405">
        <w:t>correct</w:t>
      </w:r>
      <w:r w:rsidR="00190923" w:rsidRPr="00981405">
        <w:t xml:space="preserve"> </w:t>
      </w:r>
      <w:r w:rsidRPr="00981405">
        <w:t>legal</w:t>
      </w:r>
      <w:r w:rsidR="00190923" w:rsidRPr="00981405">
        <w:t xml:space="preserve"> </w:t>
      </w:r>
      <w:r w:rsidRPr="00981405">
        <w:t>framework</w:t>
      </w:r>
      <w:r w:rsidR="00190923" w:rsidRPr="00981405">
        <w:t xml:space="preserve"> </w:t>
      </w:r>
      <w:r w:rsidRPr="00981405">
        <w:t>for</w:t>
      </w:r>
      <w:r w:rsidR="00190923" w:rsidRPr="00981405">
        <w:t xml:space="preserve"> </w:t>
      </w:r>
      <w:r w:rsidRPr="00981405">
        <w:t>interpreting</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Yet</w:t>
      </w:r>
      <w:r w:rsidR="00190923" w:rsidRPr="00981405">
        <w:t xml:space="preserve"> </w:t>
      </w:r>
      <w:r w:rsidRPr="00981405">
        <w:t>within</w:t>
      </w:r>
      <w:r w:rsidR="00190923" w:rsidRPr="00981405">
        <w:t xml:space="preserve"> </w:t>
      </w:r>
      <w:r w:rsidRPr="00981405">
        <w:t>this</w:t>
      </w:r>
      <w:r w:rsidR="00190923" w:rsidRPr="00981405">
        <w:t xml:space="preserve"> </w:t>
      </w:r>
      <w:r w:rsidRPr="00981405">
        <w:t>common</w:t>
      </w:r>
      <w:r w:rsidR="00190923" w:rsidRPr="00981405">
        <w:t xml:space="preserve"> </w:t>
      </w:r>
      <w:r w:rsidRPr="00981405">
        <w:t>framework</w:t>
      </w:r>
      <w:r w:rsidR="00190923" w:rsidRPr="00981405">
        <w:t xml:space="preserve"> </w:t>
      </w:r>
      <w:r w:rsidRPr="00981405">
        <w:t>there</w:t>
      </w:r>
      <w:r w:rsidR="00190923" w:rsidRPr="00981405">
        <w:t xml:space="preserve"> </w:t>
      </w:r>
      <w:r w:rsidRPr="00981405">
        <w:t>are</w:t>
      </w:r>
      <w:r w:rsidR="00190923" w:rsidRPr="00981405">
        <w:t xml:space="preserve"> </w:t>
      </w:r>
      <w:r w:rsidRPr="00981405">
        <w:t>divergences</w:t>
      </w:r>
      <w:r w:rsidR="00190923" w:rsidRPr="00981405">
        <w:t xml:space="preserve"> </w:t>
      </w:r>
      <w:r w:rsidRPr="00981405">
        <w:t>of</w:t>
      </w:r>
      <w:r w:rsidR="00190923" w:rsidRPr="00981405">
        <w:t xml:space="preserve"> </w:t>
      </w:r>
      <w:r w:rsidRPr="00981405">
        <w:t>approach.</w:t>
      </w:r>
      <w:r w:rsidR="00190923" w:rsidRPr="00981405">
        <w:t xml:space="preserve"> </w:t>
      </w:r>
      <w:r w:rsidRPr="00981405">
        <w:t>Earlier</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identified</w:t>
      </w:r>
      <w:r w:rsidR="00190923" w:rsidRPr="00981405">
        <w:t xml:space="preserve"> </w:t>
      </w:r>
      <w:r w:rsidRPr="00981405">
        <w:t>various</w:t>
      </w:r>
      <w:r w:rsidR="00190923" w:rsidRPr="00981405">
        <w:t xml:space="preserve"> </w:t>
      </w:r>
      <w:r w:rsidRPr="00981405">
        <w:t>factors</w:t>
      </w:r>
      <w:r w:rsidR="00190923" w:rsidRPr="00981405">
        <w:t xml:space="preserve"> </w:t>
      </w:r>
      <w:r w:rsidRPr="00981405">
        <w:t>that</w:t>
      </w:r>
      <w:r w:rsidR="00190923" w:rsidRPr="00981405">
        <w:t xml:space="preserve"> </w:t>
      </w:r>
      <w:r w:rsidRPr="00981405">
        <w:t>have</w:t>
      </w:r>
      <w:r w:rsidR="00190923" w:rsidRPr="00981405">
        <w:t xml:space="preserve"> </w:t>
      </w:r>
      <w:r w:rsidRPr="00981405">
        <w:t>appeared</w:t>
      </w:r>
      <w:r w:rsidR="00190923" w:rsidRPr="00981405">
        <w:t xml:space="preserve"> </w:t>
      </w:r>
      <w:r w:rsidRPr="00981405">
        <w:t>to</w:t>
      </w:r>
      <w:r w:rsidR="00190923" w:rsidRPr="00981405">
        <w:t xml:space="preserve"> </w:t>
      </w:r>
      <w:r w:rsidRPr="00981405">
        <w:t>influence</w:t>
      </w:r>
      <w:r w:rsidR="00190923" w:rsidRPr="00981405">
        <w:t xml:space="preserve"> </w:t>
      </w:r>
      <w:r w:rsidRPr="00981405">
        <w:t>tribunals</w:t>
      </w:r>
      <w:r w:rsidR="00190923" w:rsidRPr="00981405">
        <w:t xml:space="preserve"> </w:t>
      </w:r>
      <w:r w:rsidRPr="00981405">
        <w:t>in</w:t>
      </w:r>
      <w:r w:rsidR="00190923" w:rsidRPr="00981405">
        <w:t xml:space="preserve"> </w:t>
      </w:r>
      <w:r w:rsidRPr="00981405">
        <w:t>interpreting</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the</w:t>
      </w:r>
      <w:r w:rsidR="00190923" w:rsidRPr="00981405">
        <w:t xml:space="preserve"> </w:t>
      </w:r>
      <w:r w:rsidRPr="00981405">
        <w:t>following</w:t>
      </w:r>
      <w:r w:rsidR="00190923" w:rsidRPr="00981405">
        <w:t xml:space="preserve"> </w:t>
      </w:r>
      <w:r w:rsidRPr="00981405">
        <w:t>paragraphs</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reviews</w:t>
      </w:r>
      <w:r w:rsidR="00190923" w:rsidRPr="00981405">
        <w:t xml:space="preserve"> </w:t>
      </w:r>
      <w:r w:rsidRPr="00981405">
        <w:t>some</w:t>
      </w:r>
      <w:r w:rsidR="00190923" w:rsidRPr="00981405">
        <w:t xml:space="preserve"> </w:t>
      </w:r>
      <w:r w:rsidRPr="00981405">
        <w:t>of</w:t>
      </w:r>
      <w:r w:rsidR="00190923" w:rsidRPr="00981405">
        <w:t xml:space="preserve"> </w:t>
      </w:r>
      <w:r w:rsidRPr="00981405">
        <w:t>these</w:t>
      </w:r>
      <w:r w:rsidR="00190923" w:rsidRPr="00981405">
        <w:t xml:space="preserve"> </w:t>
      </w:r>
      <w:r w:rsidRPr="00981405">
        <w:t>factors.</w:t>
      </w:r>
    </w:p>
    <w:p w:rsidR="00E50095" w:rsidRPr="00D97463" w:rsidRDefault="00E50095" w:rsidP="00D97463">
      <w:pPr>
        <w:pStyle w:val="SingleTxt"/>
        <w:spacing w:after="0" w:line="120" w:lineRule="exact"/>
        <w:rPr>
          <w:sz w:val="10"/>
        </w:rPr>
      </w:pPr>
      <w:bookmarkStart w:id="306" w:name="_Toc293434187"/>
      <w:bookmarkStart w:id="307" w:name="_Toc294353700"/>
    </w:p>
    <w:p w:rsidR="00397032" w:rsidRPr="00D97463" w:rsidRDefault="00397032" w:rsidP="00D97463">
      <w:pPr>
        <w:pStyle w:val="H23"/>
        <w:ind w:right="1260"/>
      </w:pPr>
      <w:r w:rsidRPr="00D97463">
        <w:tab/>
      </w:r>
      <w:bookmarkStart w:id="308" w:name="_Toc427938200"/>
      <w:r w:rsidRPr="00D97463">
        <w:t>1.</w:t>
      </w:r>
      <w:r w:rsidRPr="00D97463">
        <w:tab/>
        <w:t>The</w:t>
      </w:r>
      <w:r w:rsidR="00190923" w:rsidRPr="00D97463">
        <w:t xml:space="preserve"> </w:t>
      </w:r>
      <w:r w:rsidRPr="00D97463">
        <w:t>principle</w:t>
      </w:r>
      <w:r w:rsidR="00190923" w:rsidRPr="00D97463">
        <w:t xml:space="preserve"> </w:t>
      </w:r>
      <w:r w:rsidRPr="00D97463">
        <w:t>of</w:t>
      </w:r>
      <w:r w:rsidR="00190923" w:rsidRPr="00D97463">
        <w:t xml:space="preserve"> </w:t>
      </w:r>
      <w:r w:rsidRPr="00D97463">
        <w:t>contemporaneity</w:t>
      </w:r>
      <w:bookmarkEnd w:id="306"/>
      <w:bookmarkEnd w:id="307"/>
      <w:bookmarkEnd w:id="308"/>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176.</w:t>
      </w:r>
      <w:r w:rsidRPr="00981405">
        <w:tab/>
        <w:t>The</w:t>
      </w:r>
      <w:r w:rsidR="00190923" w:rsidRPr="00981405">
        <w:t xml:space="preserve"> </w:t>
      </w:r>
      <w:r w:rsidRPr="00981405">
        <w:t>principle</w:t>
      </w:r>
      <w:r w:rsidR="00190923" w:rsidRPr="00981405">
        <w:t xml:space="preserve"> </w:t>
      </w:r>
      <w:r w:rsidRPr="00981405">
        <w:t>of</w:t>
      </w:r>
      <w:r w:rsidR="00190923" w:rsidRPr="00981405">
        <w:t xml:space="preserve"> </w:t>
      </w:r>
      <w:r w:rsidRPr="00981405">
        <w:t>contemporaneity,</w:t>
      </w:r>
      <w:r w:rsidR="00190923" w:rsidRPr="00981405">
        <w:t xml:space="preserve"> </w:t>
      </w:r>
      <w:r w:rsidRPr="00981405">
        <w:t>relied</w:t>
      </w:r>
      <w:r w:rsidR="00190923" w:rsidRPr="00981405">
        <w:t xml:space="preserve"> </w:t>
      </w:r>
      <w:r w:rsidRPr="00981405">
        <w:t>on</w:t>
      </w:r>
      <w:r w:rsidR="00190923" w:rsidRPr="00981405">
        <w:t xml:space="preserve"> </w:t>
      </w:r>
      <w:r w:rsidRPr="00981405">
        <w:t>explicitly</w:t>
      </w:r>
      <w:r w:rsidR="00190923" w:rsidRPr="00981405">
        <w:t xml:space="preserve"> </w:t>
      </w:r>
      <w:r w:rsidRPr="00981405">
        <w:t>by</w:t>
      </w:r>
      <w:r w:rsidR="00190923" w:rsidRPr="00981405">
        <w:t xml:space="preserve"> </w:t>
      </w:r>
      <w:r w:rsidRPr="00981405">
        <w:t>the</w:t>
      </w:r>
      <w:r w:rsidR="00190923" w:rsidRPr="00981405">
        <w:t xml:space="preserve"> </w:t>
      </w:r>
      <w:r w:rsidRPr="00981405">
        <w:t>tribunals</w:t>
      </w:r>
      <w:r w:rsidR="00190923" w:rsidRPr="00981405">
        <w:t xml:space="preserve"> </w:t>
      </w:r>
      <w:r w:rsidRPr="00981405">
        <w:t>in</w:t>
      </w:r>
      <w:r w:rsidR="00190923" w:rsidRPr="00981405">
        <w:t xml:space="preserve"> </w:t>
      </w:r>
      <w:r w:rsidRPr="00D97463">
        <w:rPr>
          <w:i/>
          <w:iCs/>
        </w:rPr>
        <w:t>ICS</w:t>
      </w:r>
      <w:r w:rsidR="00190923" w:rsidRPr="00981405">
        <w:t xml:space="preserve"> </w:t>
      </w:r>
      <w:r w:rsidRPr="00981405">
        <w:t>and</w:t>
      </w:r>
      <w:r w:rsidR="00190923" w:rsidRPr="00981405">
        <w:t xml:space="preserve"> </w:t>
      </w:r>
      <w:r w:rsidRPr="00D97463">
        <w:rPr>
          <w:i/>
          <w:iCs/>
        </w:rPr>
        <w:t>Daimler</w:t>
      </w:r>
      <w:r w:rsidRPr="00981405">
        <w:t>,</w:t>
      </w:r>
      <w:r w:rsidR="00190923" w:rsidRPr="00981405">
        <w:t xml:space="preserve"> </w:t>
      </w:r>
      <w:r w:rsidRPr="00981405">
        <w:t>and</w:t>
      </w:r>
      <w:r w:rsidR="00190923" w:rsidRPr="00981405">
        <w:t xml:space="preserve"> </w:t>
      </w:r>
      <w:r w:rsidRPr="00981405">
        <w:t>implicitly</w:t>
      </w:r>
      <w:r w:rsidR="00190923" w:rsidRPr="00981405">
        <w:t xml:space="preserve"> </w:t>
      </w:r>
      <w:r w:rsidRPr="00981405">
        <w:t>in</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some</w:t>
      </w:r>
      <w:r w:rsidR="00190923" w:rsidRPr="00981405">
        <w:t xml:space="preserve"> </w:t>
      </w:r>
      <w:r w:rsidRPr="00981405">
        <w:t>other</w:t>
      </w:r>
      <w:r w:rsidR="00190923" w:rsidRPr="00981405">
        <w:t xml:space="preserve"> </w:t>
      </w:r>
      <w:r w:rsidRPr="00981405">
        <w:t>tribunals,</w:t>
      </w:r>
      <w:r w:rsidRPr="00981405">
        <w:rPr>
          <w:rStyle w:val="FootnoteReference"/>
        </w:rPr>
        <w:footnoteReference w:id="580"/>
      </w:r>
      <w:r w:rsidR="00190923" w:rsidRPr="00981405">
        <w:t xml:space="preserve"> </w:t>
      </w:r>
      <w:r w:rsidRPr="00981405">
        <w:t>is</w:t>
      </w:r>
      <w:r w:rsidR="00190923" w:rsidRPr="00981405">
        <w:t xml:space="preserve"> </w:t>
      </w:r>
      <w:r w:rsidRPr="00981405">
        <w:t>not</w:t>
      </w:r>
      <w:r w:rsidR="00190923" w:rsidRPr="00981405">
        <w:t xml:space="preserve"> </w:t>
      </w:r>
      <w:r w:rsidRPr="00981405">
        <w:t>found</w:t>
      </w:r>
      <w:r w:rsidR="00190923" w:rsidRPr="00981405">
        <w:t xml:space="preserve"> </w:t>
      </w:r>
      <w:r w:rsidRPr="00981405">
        <w:t>specifically</w:t>
      </w:r>
      <w:r w:rsidR="00190923" w:rsidRPr="00981405">
        <w:t xml:space="preserve"> </w:t>
      </w:r>
      <w:r w:rsidRPr="00981405">
        <w:t>in</w:t>
      </w:r>
      <w:r w:rsidR="00190923" w:rsidRPr="00981405">
        <w:t xml:space="preserve"> </w:t>
      </w:r>
      <w:r w:rsidRPr="00981405">
        <w:t>the</w:t>
      </w:r>
      <w:r w:rsidR="00190923" w:rsidRPr="00981405">
        <w:t xml:space="preserve"> </w:t>
      </w:r>
      <w:r w:rsidRPr="00981405">
        <w:t>VCLT</w:t>
      </w:r>
      <w:r w:rsidR="00190923" w:rsidRPr="00981405">
        <w:t xml:space="preserve"> </w:t>
      </w:r>
      <w:r w:rsidRPr="00981405">
        <w:t>rules.</w:t>
      </w:r>
      <w:r w:rsidR="00190923" w:rsidRPr="00981405">
        <w:t xml:space="preserve"> </w:t>
      </w:r>
      <w:r w:rsidRPr="00981405">
        <w:t>Yet,</w:t>
      </w:r>
      <w:r w:rsidR="00190923" w:rsidRPr="00981405">
        <w:t xml:space="preserve"> </w:t>
      </w:r>
      <w:r w:rsidRPr="00981405">
        <w:t>it</w:t>
      </w:r>
      <w:r w:rsidR="00190923" w:rsidRPr="00981405">
        <w:t xml:space="preserve"> </w:t>
      </w:r>
      <w:r w:rsidRPr="00981405">
        <w:t>has</w:t>
      </w:r>
      <w:r w:rsidR="00190923" w:rsidRPr="00981405">
        <w:t xml:space="preserve"> </w:t>
      </w:r>
      <w:r w:rsidRPr="00981405">
        <w:t>been</w:t>
      </w:r>
      <w:r w:rsidR="00190923" w:rsidRPr="00981405">
        <w:t xml:space="preserve"> </w:t>
      </w:r>
      <w:r w:rsidRPr="00981405">
        <w:t>adverted</w:t>
      </w:r>
      <w:r w:rsidR="00190923" w:rsidRPr="00981405">
        <w:t xml:space="preserve"> </w:t>
      </w:r>
      <w:r w:rsidRPr="00981405">
        <w:t>to</w:t>
      </w:r>
      <w:r w:rsidR="00190923" w:rsidRPr="00981405">
        <w:t xml:space="preserve"> </w:t>
      </w:r>
      <w:r w:rsidRPr="00981405">
        <w:t>directly</w:t>
      </w:r>
      <w:r w:rsidR="00190923" w:rsidRPr="00981405">
        <w:t xml:space="preserve"> </w:t>
      </w:r>
      <w:r w:rsidRPr="00981405">
        <w:t>and</w:t>
      </w:r>
      <w:r w:rsidR="00190923" w:rsidRPr="00981405">
        <w:t xml:space="preserve"> </w:t>
      </w:r>
      <w:r w:rsidRPr="00981405">
        <w:t>indirectly</w:t>
      </w:r>
      <w:r w:rsidR="00190923" w:rsidRPr="00981405">
        <w:t xml:space="preserve"> </w:t>
      </w:r>
      <w:r w:rsidRPr="00981405">
        <w:t>by</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and</w:t>
      </w:r>
      <w:r w:rsidR="00190923" w:rsidRPr="00981405">
        <w:t xml:space="preserve"> </w:t>
      </w:r>
      <w:r w:rsidRPr="00981405">
        <w:t>by</w:t>
      </w:r>
      <w:r w:rsidR="00190923" w:rsidRPr="00981405">
        <w:t xml:space="preserve"> </w:t>
      </w:r>
      <w:r w:rsidRPr="00981405">
        <w:t>international</w:t>
      </w:r>
      <w:r w:rsidR="00190923" w:rsidRPr="00981405">
        <w:t xml:space="preserve"> </w:t>
      </w:r>
      <w:r w:rsidRPr="00981405">
        <w:t>tribunals.</w:t>
      </w:r>
      <w:r w:rsidR="00190923" w:rsidRPr="00981405">
        <w:t xml:space="preserve"> </w:t>
      </w:r>
      <w:r w:rsidRPr="00981405">
        <w:t>In</w:t>
      </w:r>
      <w:r w:rsidR="00190923" w:rsidRPr="00981405">
        <w:t xml:space="preserve"> </w:t>
      </w:r>
      <w:r w:rsidRPr="00D97463">
        <w:rPr>
          <w:i/>
          <w:iCs/>
        </w:rPr>
        <w:t>Legal</w:t>
      </w:r>
      <w:r w:rsidR="00190923" w:rsidRPr="00D97463">
        <w:rPr>
          <w:i/>
          <w:iCs/>
        </w:rPr>
        <w:t xml:space="preserve"> </w:t>
      </w:r>
      <w:r w:rsidRPr="00D97463">
        <w:rPr>
          <w:i/>
          <w:iCs/>
        </w:rPr>
        <w:t>Consequences</w:t>
      </w:r>
      <w:r w:rsidR="00190923" w:rsidRPr="00D97463">
        <w:rPr>
          <w:i/>
          <w:iCs/>
        </w:rPr>
        <w:t xml:space="preserve"> </w:t>
      </w:r>
      <w:r w:rsidRPr="00D97463">
        <w:rPr>
          <w:i/>
          <w:iCs/>
        </w:rPr>
        <w:t>for</w:t>
      </w:r>
      <w:r w:rsidR="00190923" w:rsidRPr="00D97463">
        <w:rPr>
          <w:i/>
          <w:iCs/>
        </w:rPr>
        <w:t xml:space="preserve"> </w:t>
      </w:r>
      <w:r w:rsidRPr="00D97463">
        <w:rPr>
          <w:i/>
          <w:iCs/>
        </w:rPr>
        <w:t>States</w:t>
      </w:r>
      <w:r w:rsidR="00190923" w:rsidRPr="00D97463">
        <w:rPr>
          <w:i/>
          <w:iCs/>
        </w:rPr>
        <w:t xml:space="preserve"> </w:t>
      </w:r>
      <w:r w:rsidRPr="00D97463">
        <w:rPr>
          <w:i/>
          <w:iCs/>
        </w:rPr>
        <w:t>of</w:t>
      </w:r>
      <w:r w:rsidR="00190923" w:rsidRPr="00D97463">
        <w:rPr>
          <w:i/>
          <w:iCs/>
        </w:rPr>
        <w:t xml:space="preserve"> </w:t>
      </w:r>
      <w:r w:rsidRPr="00D97463">
        <w:rPr>
          <w:i/>
          <w:iCs/>
        </w:rPr>
        <w:t>the</w:t>
      </w:r>
      <w:r w:rsidR="00190923" w:rsidRPr="00D97463">
        <w:rPr>
          <w:i/>
          <w:iCs/>
        </w:rPr>
        <w:t xml:space="preserve"> </w:t>
      </w:r>
      <w:r w:rsidRPr="00D97463">
        <w:rPr>
          <w:i/>
          <w:iCs/>
        </w:rPr>
        <w:t>Continued</w:t>
      </w:r>
      <w:r w:rsidR="00190923" w:rsidRPr="00D97463">
        <w:rPr>
          <w:i/>
          <w:iCs/>
        </w:rPr>
        <w:t xml:space="preserve"> </w:t>
      </w:r>
      <w:r w:rsidRPr="00D97463">
        <w:rPr>
          <w:i/>
          <w:iCs/>
        </w:rPr>
        <w:t>Presence</w:t>
      </w:r>
      <w:r w:rsidR="00190923" w:rsidRPr="00D97463">
        <w:rPr>
          <w:i/>
          <w:iCs/>
        </w:rPr>
        <w:t xml:space="preserve"> </w:t>
      </w:r>
      <w:r w:rsidRPr="00D97463">
        <w:rPr>
          <w:i/>
          <w:iCs/>
        </w:rPr>
        <w:t>of</w:t>
      </w:r>
      <w:r w:rsidR="00190923" w:rsidRPr="00D97463">
        <w:rPr>
          <w:i/>
          <w:iCs/>
        </w:rPr>
        <w:t xml:space="preserve"> </w:t>
      </w:r>
      <w:r w:rsidRPr="00D97463">
        <w:rPr>
          <w:i/>
          <w:iCs/>
        </w:rPr>
        <w:t>South</w:t>
      </w:r>
      <w:r w:rsidR="00190923" w:rsidRPr="00D97463">
        <w:rPr>
          <w:i/>
          <w:iCs/>
        </w:rPr>
        <w:t xml:space="preserve"> </w:t>
      </w:r>
      <w:r w:rsidRPr="00D97463">
        <w:rPr>
          <w:i/>
          <w:iCs/>
        </w:rPr>
        <w:t>Africa</w:t>
      </w:r>
      <w:r w:rsidR="00190923" w:rsidRPr="00D97463">
        <w:rPr>
          <w:i/>
          <w:iCs/>
        </w:rPr>
        <w:t xml:space="preserve"> </w:t>
      </w:r>
      <w:r w:rsidRPr="00D97463">
        <w:rPr>
          <w:i/>
          <w:iCs/>
        </w:rPr>
        <w:t>in</w:t>
      </w:r>
      <w:r w:rsidR="00190923" w:rsidRPr="00D97463">
        <w:rPr>
          <w:i/>
          <w:iCs/>
        </w:rPr>
        <w:t xml:space="preserve"> </w:t>
      </w:r>
      <w:r w:rsidRPr="00D97463">
        <w:rPr>
          <w:i/>
          <w:iCs/>
        </w:rPr>
        <w:t>Namibia</w:t>
      </w:r>
      <w:r w:rsidRPr="00981405">
        <w:t>,</w:t>
      </w:r>
      <w:r w:rsidR="00190923" w:rsidRPr="00981405">
        <w:t xml:space="preserve"> </w:t>
      </w:r>
      <w:r w:rsidRPr="00981405">
        <w:t>the</w:t>
      </w:r>
      <w:r w:rsidR="00190923" w:rsidRPr="00981405">
        <w:t xml:space="preserve"> </w:t>
      </w:r>
      <w:r w:rsidRPr="00981405">
        <w:t>Court</w:t>
      </w:r>
      <w:r w:rsidR="00190923" w:rsidRPr="00981405">
        <w:t xml:space="preserve"> </w:t>
      </w:r>
      <w:r w:rsidRPr="00981405">
        <w:t>referred</w:t>
      </w:r>
      <w:r w:rsidR="00190923" w:rsidRPr="00981405">
        <w:t xml:space="preserve"> </w:t>
      </w:r>
      <w:r w:rsidRPr="00981405">
        <w:t>to</w:t>
      </w:r>
      <w:r w:rsidR="00190923" w:rsidRPr="00981405">
        <w:t xml:space="preserve"> </w:t>
      </w:r>
      <w:r w:rsidRPr="00981405">
        <w:t>the</w:t>
      </w:r>
      <w:r w:rsidR="00190923" w:rsidRPr="00981405">
        <w:t xml:space="preserve"> </w:t>
      </w:r>
      <w:r w:rsidR="00B92E2C" w:rsidRPr="00981405">
        <w:t>“</w:t>
      </w:r>
      <w:r w:rsidRPr="00981405">
        <w:t>primary</w:t>
      </w:r>
      <w:r w:rsidR="00190923" w:rsidRPr="00981405">
        <w:t xml:space="preserve"> </w:t>
      </w:r>
      <w:r w:rsidRPr="00981405">
        <w:t>necessity</w:t>
      </w:r>
      <w:r w:rsidR="00190923" w:rsidRPr="00981405">
        <w:t xml:space="preserve"> </w:t>
      </w:r>
      <w:r w:rsidRPr="00981405">
        <w:t>of</w:t>
      </w:r>
      <w:r w:rsidR="00190923" w:rsidRPr="00981405">
        <w:t xml:space="preserve"> </w:t>
      </w:r>
      <w:r w:rsidRPr="00981405">
        <w:t>interpreting</w:t>
      </w:r>
      <w:r w:rsidR="00190923" w:rsidRPr="00981405">
        <w:t xml:space="preserve"> </w:t>
      </w:r>
      <w:r w:rsidRPr="00981405">
        <w:t>an</w:t>
      </w:r>
      <w:r w:rsidR="00190923" w:rsidRPr="00981405">
        <w:t xml:space="preserve"> </w:t>
      </w:r>
      <w:r w:rsidRPr="00981405">
        <w:t>instrument</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the</w:t>
      </w:r>
      <w:r w:rsidR="00190923" w:rsidRPr="00981405">
        <w:t xml:space="preserve"> </w:t>
      </w:r>
      <w:r w:rsidRPr="00981405">
        <w:t>intentions</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of</w:t>
      </w:r>
      <w:r w:rsidR="00190923" w:rsidRPr="00981405">
        <w:t xml:space="preserve"> </w:t>
      </w:r>
      <w:r w:rsidRPr="00981405">
        <w:t>its</w:t>
      </w:r>
      <w:r w:rsidR="00190923" w:rsidRPr="00981405">
        <w:t xml:space="preserve"> </w:t>
      </w:r>
      <w:r w:rsidRPr="00981405">
        <w:t>conclusion.</w:t>
      </w:r>
      <w:r w:rsidR="00B92E2C" w:rsidRPr="00981405">
        <w:t>”</w:t>
      </w:r>
      <w:r w:rsidRPr="00981405">
        <w:rPr>
          <w:rStyle w:val="FootnoteReference"/>
        </w:rPr>
        <w:footnoteReference w:id="581"/>
      </w:r>
      <w:r w:rsidR="00190923" w:rsidRPr="00981405">
        <w:t xml:space="preserve"> </w:t>
      </w:r>
      <w:r w:rsidRPr="00981405">
        <w:t>The</w:t>
      </w:r>
      <w:r w:rsidR="00190923" w:rsidRPr="00981405">
        <w:t xml:space="preserve"> </w:t>
      </w:r>
      <w:r w:rsidRPr="00981405">
        <w:t>Eritrea-Ethiopia</w:t>
      </w:r>
      <w:r w:rsidR="00190923" w:rsidRPr="00981405">
        <w:t xml:space="preserve"> </w:t>
      </w:r>
      <w:r w:rsidRPr="00981405">
        <w:t>Boundary</w:t>
      </w:r>
      <w:r w:rsidR="00190923" w:rsidRPr="00981405">
        <w:t xml:space="preserve"> </w:t>
      </w:r>
      <w:r w:rsidRPr="00981405">
        <w:t>Commission</w:t>
      </w:r>
      <w:r w:rsidR="00190923" w:rsidRPr="00981405">
        <w:t xml:space="preserve"> </w:t>
      </w:r>
      <w:r w:rsidRPr="00981405">
        <w:t>also</w:t>
      </w:r>
      <w:r w:rsidR="00190923" w:rsidRPr="00981405">
        <w:t xml:space="preserve"> </w:t>
      </w:r>
      <w:r w:rsidRPr="00981405">
        <w:t>endorsed</w:t>
      </w:r>
      <w:r w:rsidR="00190923" w:rsidRPr="00981405">
        <w:t xml:space="preserve"> </w:t>
      </w:r>
      <w:r w:rsidRPr="00981405">
        <w:t>what</w:t>
      </w:r>
      <w:r w:rsidR="00190923" w:rsidRPr="00981405">
        <w:t xml:space="preserve"> </w:t>
      </w:r>
      <w:r w:rsidRPr="00981405">
        <w:t>it</w:t>
      </w:r>
      <w:r w:rsidR="00190923" w:rsidRPr="00981405">
        <w:t xml:space="preserve"> </w:t>
      </w:r>
      <w:r w:rsidRPr="00981405">
        <w:t>referred</w:t>
      </w:r>
      <w:r w:rsidR="00190923" w:rsidRPr="00981405">
        <w:t xml:space="preserve"> </w:t>
      </w:r>
      <w:r w:rsidRPr="00981405">
        <w:t>to</w:t>
      </w:r>
      <w:r w:rsidR="00190923" w:rsidRPr="00981405">
        <w:t xml:space="preserve"> </w:t>
      </w:r>
      <w:r w:rsidRPr="00981405">
        <w:t>as</w:t>
      </w:r>
      <w:r w:rsidR="00190923" w:rsidRPr="00981405">
        <w:t xml:space="preserve"> </w:t>
      </w:r>
      <w:r w:rsidR="00B92E2C" w:rsidRPr="00981405">
        <w:t>“</w:t>
      </w:r>
      <w:r w:rsidRPr="00981405">
        <w:t>the</w:t>
      </w:r>
      <w:r w:rsidR="00190923" w:rsidRPr="00981405">
        <w:t xml:space="preserve"> </w:t>
      </w:r>
      <w:r w:rsidRPr="00981405">
        <w:t>doctrine</w:t>
      </w:r>
      <w:r w:rsidR="00190923" w:rsidRPr="00981405">
        <w:t xml:space="preserve"> </w:t>
      </w:r>
      <w:r w:rsidRPr="00981405">
        <w:t>of</w:t>
      </w:r>
      <w:r w:rsidR="00190923" w:rsidRPr="00981405">
        <w:t xml:space="preserve"> </w:t>
      </w:r>
      <w:r w:rsidR="00B92E2C" w:rsidRPr="00981405">
        <w:t>‘</w:t>
      </w:r>
      <w:r w:rsidRPr="00981405">
        <w:t>contemporaneity</w:t>
      </w:r>
      <w:r w:rsidR="00B92E2C" w:rsidRPr="00981405">
        <w:t>’</w:t>
      </w:r>
      <w:r w:rsidRPr="00981405">
        <w:t>.</w:t>
      </w:r>
      <w:r w:rsidR="00B92E2C" w:rsidRPr="00981405">
        <w:t>”</w:t>
      </w:r>
      <w:r w:rsidRPr="00981405">
        <w:rPr>
          <w:rStyle w:val="FootnoteReference"/>
        </w:rPr>
        <w:footnoteReference w:id="582"/>
      </w:r>
    </w:p>
    <w:p w:rsidR="00397032" w:rsidRPr="00981405" w:rsidRDefault="00397032" w:rsidP="00D97463">
      <w:pPr>
        <w:pStyle w:val="SingleTxt"/>
      </w:pPr>
      <w:r w:rsidRPr="00981405">
        <w:t>177.</w:t>
      </w:r>
      <w:r w:rsidRPr="00981405">
        <w:tab/>
        <w:t>At</w:t>
      </w:r>
      <w:r w:rsidR="00190923" w:rsidRPr="00981405">
        <w:t xml:space="preserve"> </w:t>
      </w:r>
      <w:r w:rsidRPr="00981405">
        <w:t>the</w:t>
      </w:r>
      <w:r w:rsidR="00190923" w:rsidRPr="00981405">
        <w:t xml:space="preserve"> </w:t>
      </w:r>
      <w:r w:rsidRPr="00981405">
        <w:t>same</w:t>
      </w:r>
      <w:r w:rsidR="00190923" w:rsidRPr="00981405">
        <w:t xml:space="preserve"> </w:t>
      </w:r>
      <w:r w:rsidRPr="00981405">
        <w:t>time,</w:t>
      </w:r>
      <w:r w:rsidR="00190923" w:rsidRPr="00981405">
        <w:t xml:space="preserve"> </w:t>
      </w:r>
      <w:r w:rsidRPr="00981405">
        <w:t>in</w:t>
      </w:r>
      <w:r w:rsidR="00190923" w:rsidRPr="00981405">
        <w:t xml:space="preserve"> </w:t>
      </w:r>
      <w:r w:rsidRPr="00D97463">
        <w:rPr>
          <w:i/>
          <w:iCs/>
        </w:rPr>
        <w:t>Dispute</w:t>
      </w:r>
      <w:r w:rsidR="00190923" w:rsidRPr="00D97463">
        <w:rPr>
          <w:i/>
          <w:iCs/>
        </w:rPr>
        <w:t xml:space="preserve"> </w:t>
      </w:r>
      <w:r w:rsidRPr="00D97463">
        <w:rPr>
          <w:i/>
          <w:iCs/>
        </w:rPr>
        <w:t>regarding</w:t>
      </w:r>
      <w:r w:rsidR="00190923" w:rsidRPr="00D97463">
        <w:rPr>
          <w:i/>
          <w:iCs/>
        </w:rPr>
        <w:t xml:space="preserve"> </w:t>
      </w:r>
      <w:r w:rsidRPr="00D97463">
        <w:rPr>
          <w:i/>
          <w:iCs/>
        </w:rPr>
        <w:t>navigational</w:t>
      </w:r>
      <w:r w:rsidR="00190923" w:rsidRPr="00D97463">
        <w:rPr>
          <w:i/>
          <w:iCs/>
        </w:rPr>
        <w:t xml:space="preserve"> </w:t>
      </w:r>
      <w:r w:rsidRPr="00D97463">
        <w:rPr>
          <w:i/>
          <w:iCs/>
        </w:rPr>
        <w:t>and</w:t>
      </w:r>
      <w:r w:rsidR="00190923" w:rsidRPr="00D97463">
        <w:rPr>
          <w:i/>
          <w:iCs/>
        </w:rPr>
        <w:t xml:space="preserve"> </w:t>
      </w:r>
      <w:r w:rsidRPr="00D97463">
        <w:rPr>
          <w:i/>
          <w:iCs/>
        </w:rPr>
        <w:t>related</w:t>
      </w:r>
      <w:r w:rsidR="00190923" w:rsidRPr="00D97463">
        <w:rPr>
          <w:i/>
          <w:iCs/>
        </w:rPr>
        <w:t xml:space="preserve"> </w:t>
      </w:r>
      <w:r w:rsidRPr="00D97463">
        <w:rPr>
          <w:i/>
          <w:iCs/>
        </w:rPr>
        <w:t>rights</w:t>
      </w:r>
      <w:r w:rsidR="00190923" w:rsidRPr="00D97463">
        <w:rPr>
          <w:i/>
          <w:iCs/>
        </w:rPr>
        <w:t xml:space="preserve"> </w:t>
      </w:r>
      <w:r w:rsidRPr="00D97463">
        <w:rPr>
          <w:i/>
          <w:iCs/>
        </w:rPr>
        <w:t>(Costa</w:t>
      </w:r>
      <w:r w:rsidR="00190923" w:rsidRPr="00D97463">
        <w:rPr>
          <w:i/>
          <w:iCs/>
        </w:rPr>
        <w:t xml:space="preserve"> </w:t>
      </w:r>
      <w:r w:rsidRPr="00D97463">
        <w:rPr>
          <w:i/>
          <w:iCs/>
        </w:rPr>
        <w:t>Rica</w:t>
      </w:r>
      <w:r w:rsidR="00190923" w:rsidRPr="00D97463">
        <w:rPr>
          <w:i/>
          <w:iCs/>
        </w:rPr>
        <w:t xml:space="preserve"> </w:t>
      </w:r>
      <w:r w:rsidRPr="00D97463">
        <w:rPr>
          <w:i/>
          <w:iCs/>
        </w:rPr>
        <w:t>v.</w:t>
      </w:r>
      <w:r w:rsidR="00190923" w:rsidRPr="00D97463">
        <w:rPr>
          <w:i/>
          <w:iCs/>
        </w:rPr>
        <w:t xml:space="preserve"> </w:t>
      </w:r>
      <w:r w:rsidRPr="00D97463">
        <w:rPr>
          <w:i/>
          <w:iCs/>
        </w:rPr>
        <w:t>Nicaragua)</w:t>
      </w:r>
      <w:r w:rsidR="00190923" w:rsidRPr="00981405">
        <w:t xml:space="preserve"> </w:t>
      </w:r>
      <w:r w:rsidRPr="00981405">
        <w:t>the</w:t>
      </w:r>
      <w:r w:rsidR="00190923" w:rsidRPr="00981405">
        <w:t xml:space="preserve"> </w:t>
      </w:r>
      <w:r w:rsidRPr="00981405">
        <w:t>International</w:t>
      </w:r>
      <w:r w:rsidR="00190923" w:rsidRPr="00981405">
        <w:t xml:space="preserve"> </w:t>
      </w:r>
      <w:r w:rsidRPr="00981405">
        <w:t>Court</w:t>
      </w:r>
      <w:r w:rsidR="00190923" w:rsidRPr="00981405">
        <w:t xml:space="preserve"> </w:t>
      </w:r>
      <w:r w:rsidRPr="00981405">
        <w:t>of</w:t>
      </w:r>
      <w:r w:rsidR="00190923" w:rsidRPr="00981405">
        <w:t xml:space="preserve"> </w:t>
      </w:r>
      <w:r w:rsidRPr="00981405">
        <w:t>Justice</w:t>
      </w:r>
      <w:r w:rsidR="00190923" w:rsidRPr="00981405">
        <w:t xml:space="preserve"> </w:t>
      </w:r>
      <w:r w:rsidRPr="00981405">
        <w:t>has</w:t>
      </w:r>
      <w:r w:rsidR="00190923" w:rsidRPr="00981405">
        <w:t xml:space="preserve"> </w:t>
      </w:r>
      <w:r w:rsidRPr="00981405">
        <w:t>stated,</w:t>
      </w:r>
      <w:r w:rsidR="00190923" w:rsidRPr="00981405">
        <w:t xml:space="preserve"> </w:t>
      </w:r>
      <w:r w:rsidRPr="00981405">
        <w:t>that</w:t>
      </w:r>
      <w:r w:rsidR="00190923" w:rsidRPr="00981405">
        <w:t xml:space="preserve"> </w:t>
      </w:r>
      <w:r w:rsidR="00B92E2C" w:rsidRPr="00981405">
        <w:t>“</w:t>
      </w:r>
      <w:r w:rsidRPr="00981405">
        <w:t>[t]his</w:t>
      </w:r>
      <w:r w:rsidR="00190923" w:rsidRPr="00981405">
        <w:t xml:space="preserve"> </w:t>
      </w:r>
      <w:r w:rsidRPr="00981405">
        <w:t>does</w:t>
      </w:r>
      <w:r w:rsidR="00190923" w:rsidRPr="00981405">
        <w:t xml:space="preserve"> </w:t>
      </w:r>
      <w:r w:rsidRPr="00981405">
        <w:t>not</w:t>
      </w:r>
      <w:r w:rsidR="00190923" w:rsidRPr="00981405">
        <w:t xml:space="preserve"> </w:t>
      </w:r>
      <w:r w:rsidRPr="00981405">
        <w:t>however</w:t>
      </w:r>
      <w:r w:rsidR="00190923" w:rsidRPr="00981405">
        <w:t xml:space="preserve"> </w:t>
      </w:r>
      <w:r w:rsidRPr="00981405">
        <w:t>signify</w:t>
      </w:r>
      <w:r w:rsidR="00190923" w:rsidRPr="00981405">
        <w:t xml:space="preserve"> </w:t>
      </w:r>
      <w:r w:rsidRPr="00981405">
        <w:t>that,</w:t>
      </w:r>
      <w:r w:rsidR="00190923" w:rsidRPr="00981405">
        <w:t xml:space="preserve"> </w:t>
      </w:r>
      <w:r w:rsidRPr="00981405">
        <w:t>where</w:t>
      </w:r>
      <w:r w:rsidR="00190923" w:rsidRPr="00981405">
        <w:t xml:space="preserve"> </w:t>
      </w:r>
      <w:r w:rsidRPr="00981405">
        <w:t>a</w:t>
      </w:r>
      <w:r w:rsidR="00190923" w:rsidRPr="00981405">
        <w:t xml:space="preserve"> </w:t>
      </w:r>
      <w:r w:rsidRPr="00981405">
        <w:t>term</w:t>
      </w:r>
      <w:r w:rsidR="00B92E2C" w:rsidRPr="00981405">
        <w:t>’</w:t>
      </w:r>
      <w:r w:rsidRPr="00981405">
        <w:t>s</w:t>
      </w:r>
      <w:r w:rsidR="00190923" w:rsidRPr="00981405">
        <w:t xml:space="preserve"> </w:t>
      </w:r>
      <w:r w:rsidRPr="00981405">
        <w:t>meaning</w:t>
      </w:r>
      <w:r w:rsidR="00190923" w:rsidRPr="00981405">
        <w:t xml:space="preserve"> </w:t>
      </w:r>
      <w:r w:rsidRPr="00981405">
        <w:t>is</w:t>
      </w:r>
      <w:r w:rsidR="00190923" w:rsidRPr="00981405">
        <w:t xml:space="preserve"> </w:t>
      </w:r>
      <w:r w:rsidRPr="00981405">
        <w:t>no</w:t>
      </w:r>
      <w:r w:rsidR="00190923" w:rsidRPr="00981405">
        <w:t xml:space="preserve"> </w:t>
      </w:r>
      <w:r w:rsidRPr="00981405">
        <w:t>longer</w:t>
      </w:r>
      <w:r w:rsidR="00190923" w:rsidRPr="00981405">
        <w:t xml:space="preserve"> </w:t>
      </w:r>
      <w:r w:rsidRPr="00981405">
        <w:t>the</w:t>
      </w:r>
      <w:r w:rsidR="00190923" w:rsidRPr="00981405">
        <w:t xml:space="preserve"> </w:t>
      </w:r>
      <w:r w:rsidRPr="00981405">
        <w:t>same</w:t>
      </w:r>
      <w:r w:rsidR="00190923" w:rsidRPr="00981405">
        <w:t xml:space="preserve"> </w:t>
      </w:r>
      <w:r w:rsidRPr="00981405">
        <w:t>as</w:t>
      </w:r>
      <w:r w:rsidR="00190923" w:rsidRPr="00981405">
        <w:t xml:space="preserve"> </w:t>
      </w:r>
      <w:r w:rsidRPr="00981405">
        <w:t>it</w:t>
      </w:r>
      <w:r w:rsidR="00190923" w:rsidRPr="00981405">
        <w:t xml:space="preserve"> </w:t>
      </w:r>
      <w:r w:rsidRPr="00981405">
        <w:t>was</w:t>
      </w:r>
      <w:r w:rsidR="00190923" w:rsidRPr="00981405">
        <w:t xml:space="preserve"> </w:t>
      </w:r>
      <w:r w:rsidRPr="00981405">
        <w:t>at</w:t>
      </w:r>
      <w:r w:rsidR="00190923" w:rsidRPr="00981405">
        <w:t xml:space="preserve"> </w:t>
      </w:r>
      <w:r w:rsidRPr="00981405">
        <w:t>the</w:t>
      </w:r>
      <w:r w:rsidR="00190923" w:rsidRPr="00981405">
        <w:t xml:space="preserve"> </w:t>
      </w:r>
      <w:r w:rsidRPr="00981405">
        <w:t>date</w:t>
      </w:r>
      <w:r w:rsidR="00190923" w:rsidRPr="00981405">
        <w:t xml:space="preserve"> </w:t>
      </w:r>
      <w:r w:rsidRPr="00981405">
        <w:t>of</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no</w:t>
      </w:r>
      <w:r w:rsidR="00190923" w:rsidRPr="00981405">
        <w:t xml:space="preserve"> </w:t>
      </w:r>
      <w:r w:rsidRPr="00981405">
        <w:t>account</w:t>
      </w:r>
      <w:r w:rsidR="00190923" w:rsidRPr="00981405">
        <w:t xml:space="preserve"> </w:t>
      </w:r>
      <w:r w:rsidRPr="00981405">
        <w:t>should</w:t>
      </w:r>
      <w:r w:rsidR="00190923" w:rsidRPr="00981405">
        <w:t xml:space="preserve"> </w:t>
      </w:r>
      <w:r w:rsidRPr="00981405">
        <w:t>ever</w:t>
      </w:r>
      <w:r w:rsidR="00190923" w:rsidRPr="00981405">
        <w:t xml:space="preserve"> </w:t>
      </w:r>
      <w:r w:rsidRPr="00981405">
        <w:t>be</w:t>
      </w:r>
      <w:r w:rsidR="00190923" w:rsidRPr="00981405">
        <w:t xml:space="preserve"> </w:t>
      </w:r>
      <w:r w:rsidRPr="00981405">
        <w:t>taken</w:t>
      </w:r>
      <w:r w:rsidR="00190923" w:rsidRPr="00981405">
        <w:t xml:space="preserve"> </w:t>
      </w:r>
      <w:r w:rsidRPr="00981405">
        <w:t>of</w:t>
      </w:r>
      <w:r w:rsidR="00190923" w:rsidRPr="00981405">
        <w:t xml:space="preserve"> </w:t>
      </w:r>
      <w:r w:rsidRPr="00981405">
        <w:t>its</w:t>
      </w:r>
      <w:r w:rsidR="00190923" w:rsidRPr="00981405">
        <w:t xml:space="preserve"> </w:t>
      </w:r>
      <w:r w:rsidRPr="00981405">
        <w:t>meaning</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when</w:t>
      </w:r>
      <w:r w:rsidR="00190923" w:rsidRPr="00981405">
        <w:t xml:space="preserve"> </w:t>
      </w:r>
      <w:r w:rsidRPr="00981405">
        <w:t>the</w:t>
      </w:r>
      <w:r w:rsidR="00190923" w:rsidRPr="00981405">
        <w:t xml:space="preserve"> </w:t>
      </w:r>
      <w:r w:rsidRPr="00981405">
        <w:t>treaty</w:t>
      </w:r>
      <w:r w:rsidR="00190923" w:rsidRPr="00981405">
        <w:t xml:space="preserve"> </w:t>
      </w:r>
      <w:r w:rsidRPr="00981405">
        <w:t>is</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for</w:t>
      </w:r>
      <w:r w:rsidR="00190923" w:rsidRPr="00981405">
        <w:t xml:space="preserve"> </w:t>
      </w:r>
      <w:r w:rsidRPr="00981405">
        <w:t>the</w:t>
      </w:r>
      <w:r w:rsidR="00190923" w:rsidRPr="00981405">
        <w:t xml:space="preserve"> </w:t>
      </w:r>
      <w:r w:rsidRPr="00981405">
        <w:t>purpose</w:t>
      </w:r>
      <w:r w:rsidR="00190923" w:rsidRPr="00981405">
        <w:t xml:space="preserve"> </w:t>
      </w:r>
      <w:r w:rsidRPr="00981405">
        <w:t>of</w:t>
      </w:r>
      <w:r w:rsidR="00190923" w:rsidRPr="00981405">
        <w:t xml:space="preserve"> </w:t>
      </w:r>
      <w:r w:rsidRPr="00981405">
        <w:t>applying</w:t>
      </w:r>
      <w:r w:rsidR="00190923" w:rsidRPr="00981405">
        <w:t xml:space="preserve"> </w:t>
      </w:r>
      <w:r w:rsidRPr="00981405">
        <w:t>it.</w:t>
      </w:r>
      <w:r w:rsidR="00B92E2C" w:rsidRPr="00981405">
        <w:t>”</w:t>
      </w:r>
      <w:r w:rsidRPr="00981405">
        <w:rPr>
          <w:rStyle w:val="FootnoteReference"/>
        </w:rPr>
        <w:footnoteReference w:id="583"/>
      </w:r>
      <w:r w:rsidR="00190923" w:rsidRPr="00981405">
        <w:t xml:space="preserve"> </w:t>
      </w:r>
      <w:r w:rsidRPr="00981405">
        <w:t>According</w:t>
      </w:r>
      <w:r w:rsidR="00190923" w:rsidRPr="00981405">
        <w:t xml:space="preserve"> </w:t>
      </w:r>
      <w:r w:rsidRPr="00981405">
        <w:t>to</w:t>
      </w:r>
      <w:r w:rsidR="00190923" w:rsidRPr="00981405">
        <w:t xml:space="preserve"> </w:t>
      </w:r>
      <w:r w:rsidRPr="00981405">
        <w:t>the</w:t>
      </w:r>
      <w:r w:rsidR="00190923" w:rsidRPr="00981405">
        <w:t xml:space="preserve"> </w:t>
      </w:r>
      <w:r w:rsidRPr="00981405">
        <w:t>Court</w:t>
      </w:r>
      <w:r w:rsidR="00190923" w:rsidRPr="00981405">
        <w:t xml:space="preserve"> </w:t>
      </w:r>
      <w:r w:rsidRPr="00981405">
        <w:t>this</w:t>
      </w:r>
      <w:r w:rsidR="00190923" w:rsidRPr="00981405">
        <w:t xml:space="preserve"> </w:t>
      </w:r>
      <w:r w:rsidRPr="00981405">
        <w:t>is</w:t>
      </w:r>
      <w:r w:rsidR="00190923" w:rsidRPr="00981405">
        <w:t xml:space="preserve"> </w:t>
      </w:r>
      <w:r w:rsidRPr="00981405">
        <w:t>true,</w:t>
      </w:r>
      <w:r w:rsidR="00190923" w:rsidRPr="00981405">
        <w:t xml:space="preserve"> </w:t>
      </w:r>
      <w:r w:rsidRPr="00981405">
        <w:t>in</w:t>
      </w:r>
      <w:r w:rsidR="00190923" w:rsidRPr="00981405">
        <w:t xml:space="preserve"> </w:t>
      </w:r>
      <w:r w:rsidRPr="00981405">
        <w:t>particular,</w:t>
      </w:r>
      <w:r w:rsidR="00190923" w:rsidRPr="00981405">
        <w:t xml:space="preserve"> </w:t>
      </w:r>
      <w:r w:rsidRPr="00981405">
        <w:t>in</w:t>
      </w:r>
      <w:r w:rsidR="00190923" w:rsidRPr="00981405">
        <w:t xml:space="preserve"> </w:t>
      </w:r>
      <w:r w:rsidR="00B92E2C" w:rsidRPr="00981405">
        <w:t>“</w:t>
      </w:r>
      <w:r w:rsidRPr="00981405">
        <w:t>situations</w:t>
      </w:r>
      <w:r w:rsidR="00190923" w:rsidRPr="00981405">
        <w:t xml:space="preserve"> </w:t>
      </w:r>
      <w:r w:rsidRPr="00981405">
        <w:t>in</w:t>
      </w:r>
      <w:r w:rsidR="00190923" w:rsidRPr="00981405">
        <w:t xml:space="preserve"> </w:t>
      </w:r>
      <w:r w:rsidRPr="00981405">
        <w:t>which</w:t>
      </w:r>
      <w:r w:rsidR="00190923" w:rsidRPr="00981405">
        <w:t xml:space="preserve"> </w:t>
      </w:r>
      <w:r w:rsidRPr="00981405">
        <w:t>the</w:t>
      </w:r>
      <w:r w:rsidR="00190923" w:rsidRPr="00981405">
        <w:t xml:space="preserve"> </w:t>
      </w:r>
      <w:r w:rsidRPr="00981405">
        <w:t>parties</w:t>
      </w:r>
      <w:r w:rsidR="00B92E2C" w:rsidRPr="00981405">
        <w:t>’</w:t>
      </w:r>
      <w:r w:rsidR="00190923" w:rsidRPr="00981405">
        <w:t xml:space="preserve"> </w:t>
      </w:r>
      <w:r w:rsidRPr="00981405">
        <w:t>intent</w:t>
      </w:r>
      <w:r w:rsidR="00190923" w:rsidRPr="00981405">
        <w:t xml:space="preserve"> </w:t>
      </w:r>
      <w:r w:rsidRPr="00981405">
        <w:t>upon</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was,</w:t>
      </w:r>
      <w:r w:rsidR="00190923" w:rsidRPr="00981405">
        <w:t xml:space="preserve"> </w:t>
      </w:r>
      <w:r w:rsidRPr="00981405">
        <w:t>or</w:t>
      </w:r>
      <w:r w:rsidR="00190923" w:rsidRPr="00981405">
        <w:t xml:space="preserve"> </w:t>
      </w:r>
      <w:r w:rsidRPr="00981405">
        <w:t>may</w:t>
      </w:r>
      <w:r w:rsidR="00190923" w:rsidRPr="00981405">
        <w:t xml:space="preserve"> </w:t>
      </w:r>
      <w:r w:rsidRPr="00981405">
        <w:t>be</w:t>
      </w:r>
      <w:r w:rsidR="00190923" w:rsidRPr="00981405">
        <w:t xml:space="preserve"> </w:t>
      </w:r>
      <w:r w:rsidRPr="00981405">
        <w:t>presumed</w:t>
      </w:r>
      <w:r w:rsidR="00190923" w:rsidRPr="00981405">
        <w:t xml:space="preserve"> </w:t>
      </w:r>
      <w:r w:rsidRPr="00981405">
        <w:t>to</w:t>
      </w:r>
      <w:r w:rsidR="00190923" w:rsidRPr="00981405">
        <w:t xml:space="preserve"> </w:t>
      </w:r>
      <w:r w:rsidRPr="00981405">
        <w:t>have</w:t>
      </w:r>
      <w:r w:rsidR="00190923" w:rsidRPr="00981405">
        <w:t xml:space="preserve"> </w:t>
      </w:r>
      <w:r w:rsidRPr="00981405">
        <w:t>been,</w:t>
      </w:r>
      <w:r w:rsidR="00190923" w:rsidRPr="00981405">
        <w:t xml:space="preserve"> </w:t>
      </w:r>
      <w:r w:rsidRPr="00981405">
        <w:t>to</w:t>
      </w:r>
      <w:r w:rsidR="00190923" w:rsidRPr="00981405">
        <w:t xml:space="preserve"> </w:t>
      </w:r>
      <w:r w:rsidRPr="00981405">
        <w:t>give</w:t>
      </w:r>
      <w:r w:rsidR="00190923" w:rsidRPr="00981405">
        <w:t xml:space="preserve"> </w:t>
      </w:r>
      <w:r w:rsidRPr="00981405">
        <w:t>the</w:t>
      </w:r>
      <w:r w:rsidR="00190923" w:rsidRPr="00981405">
        <w:t xml:space="preserve"> </w:t>
      </w:r>
      <w:r w:rsidRPr="00981405">
        <w:t>terms</w:t>
      </w:r>
      <w:r w:rsidR="00190923" w:rsidRPr="00981405">
        <w:t xml:space="preserve"> </w:t>
      </w:r>
      <w:r w:rsidRPr="00981405">
        <w:t>used</w:t>
      </w:r>
      <w:r w:rsidR="00190923" w:rsidRPr="00981405">
        <w:t xml:space="preserve"> </w:t>
      </w:r>
      <w:r w:rsidR="00E50095" w:rsidRPr="00981405">
        <w:t>—</w:t>
      </w:r>
      <w:r w:rsidR="00190923" w:rsidRPr="00981405">
        <w:t xml:space="preserve"> </w:t>
      </w:r>
      <w:r w:rsidRPr="00981405">
        <w:t>or</w:t>
      </w:r>
      <w:r w:rsidR="00190923" w:rsidRPr="00981405">
        <w:t xml:space="preserve"> </w:t>
      </w:r>
      <w:r w:rsidRPr="00981405">
        <w:t>some</w:t>
      </w:r>
      <w:r w:rsidR="00190923" w:rsidRPr="00981405">
        <w:t xml:space="preserve"> </w:t>
      </w:r>
      <w:r w:rsidRPr="00981405">
        <w:t>of</w:t>
      </w:r>
      <w:r w:rsidR="00190923" w:rsidRPr="00981405">
        <w:t xml:space="preserve"> </w:t>
      </w:r>
      <w:r w:rsidRPr="00981405">
        <w:t>them</w:t>
      </w:r>
      <w:r w:rsidR="00190923" w:rsidRPr="00981405">
        <w:t xml:space="preserve"> </w:t>
      </w:r>
      <w:r w:rsidR="00E50095" w:rsidRPr="00981405">
        <w:t>—</w:t>
      </w:r>
      <w:r w:rsidR="00190923" w:rsidRPr="00981405">
        <w:t xml:space="preserve"> </w:t>
      </w:r>
      <w:r w:rsidRPr="00981405">
        <w:t>a</w:t>
      </w:r>
      <w:r w:rsidR="00190923" w:rsidRPr="00981405">
        <w:t xml:space="preserve"> </w:t>
      </w:r>
      <w:r w:rsidRPr="00981405">
        <w:t>meaning</w:t>
      </w:r>
      <w:r w:rsidR="00190923" w:rsidRPr="00981405">
        <w:t xml:space="preserve"> </w:t>
      </w:r>
      <w:r w:rsidRPr="00981405">
        <w:t>or</w:t>
      </w:r>
      <w:r w:rsidR="00190923" w:rsidRPr="00981405">
        <w:t xml:space="preserve"> </w:t>
      </w:r>
      <w:r w:rsidRPr="00981405">
        <w:t>content</w:t>
      </w:r>
      <w:r w:rsidR="00190923" w:rsidRPr="00981405">
        <w:t xml:space="preserve"> </w:t>
      </w:r>
      <w:r w:rsidRPr="00981405">
        <w:t>capable</w:t>
      </w:r>
      <w:r w:rsidR="00190923" w:rsidRPr="00981405">
        <w:t xml:space="preserve"> </w:t>
      </w:r>
      <w:r w:rsidRPr="00981405">
        <w:t>of</w:t>
      </w:r>
      <w:r w:rsidR="00190923" w:rsidRPr="00981405">
        <w:t xml:space="preserve"> </w:t>
      </w:r>
      <w:r w:rsidRPr="00981405">
        <w:t>evolving,</w:t>
      </w:r>
      <w:r w:rsidR="00190923" w:rsidRPr="00981405">
        <w:t xml:space="preserve"> </w:t>
      </w:r>
      <w:r w:rsidRPr="00981405">
        <w:t>not</w:t>
      </w:r>
      <w:r w:rsidR="00190923" w:rsidRPr="00981405">
        <w:t xml:space="preserve"> </w:t>
      </w:r>
      <w:r w:rsidRPr="00981405">
        <w:t>one</w:t>
      </w:r>
      <w:r w:rsidR="00190923" w:rsidRPr="00981405">
        <w:t xml:space="preserve"> </w:t>
      </w:r>
      <w:r w:rsidRPr="00981405">
        <w:t>fixed</w:t>
      </w:r>
      <w:r w:rsidR="00190923" w:rsidRPr="00981405">
        <w:t xml:space="preserve"> </w:t>
      </w:r>
      <w:r w:rsidRPr="00981405">
        <w:t>once</w:t>
      </w:r>
      <w:r w:rsidR="00190923" w:rsidRPr="00981405">
        <w:t xml:space="preserve"> </w:t>
      </w:r>
      <w:r w:rsidRPr="00981405">
        <w:t>and</w:t>
      </w:r>
      <w:r w:rsidR="00190923" w:rsidRPr="00981405">
        <w:t xml:space="preserve"> </w:t>
      </w:r>
      <w:r w:rsidRPr="00981405">
        <w:t>for</w:t>
      </w:r>
      <w:r w:rsidR="00190923" w:rsidRPr="00981405">
        <w:t xml:space="preserve"> </w:t>
      </w:r>
      <w:r w:rsidRPr="00981405">
        <w:t>all,</w:t>
      </w:r>
      <w:r w:rsidR="00190923" w:rsidRPr="00981405">
        <w:t xml:space="preserve"> </w:t>
      </w:r>
      <w:r w:rsidRPr="00981405">
        <w:t>so</w:t>
      </w:r>
      <w:r w:rsidR="00190923" w:rsidRPr="00981405">
        <w:t xml:space="preserve"> </w:t>
      </w:r>
      <w:r w:rsidRPr="00981405">
        <w:t>as</w:t>
      </w:r>
      <w:r w:rsidR="00190923" w:rsidRPr="00981405">
        <w:t xml:space="preserve"> </w:t>
      </w:r>
      <w:r w:rsidRPr="00981405">
        <w:t>to</w:t>
      </w:r>
      <w:r w:rsidR="00190923" w:rsidRPr="00981405">
        <w:t xml:space="preserve"> </w:t>
      </w:r>
      <w:r w:rsidRPr="00981405">
        <w:t>make</w:t>
      </w:r>
      <w:r w:rsidR="00190923" w:rsidRPr="00981405">
        <w:t xml:space="preserve"> </w:t>
      </w:r>
      <w:r w:rsidRPr="00981405">
        <w:t>allowance</w:t>
      </w:r>
      <w:r w:rsidR="00190923" w:rsidRPr="00981405">
        <w:t xml:space="preserve"> </w:t>
      </w:r>
      <w:r w:rsidRPr="00981405">
        <w:t>for,</w:t>
      </w:r>
      <w:r w:rsidR="00190923" w:rsidRPr="00981405">
        <w:t xml:space="preserve"> </w:t>
      </w:r>
      <w:r w:rsidRPr="00981405">
        <w:t>among</w:t>
      </w:r>
      <w:r w:rsidR="00190923" w:rsidRPr="00981405">
        <w:t xml:space="preserve"> </w:t>
      </w:r>
      <w:r w:rsidRPr="00981405">
        <w:t>other</w:t>
      </w:r>
      <w:r w:rsidR="00190923" w:rsidRPr="00981405">
        <w:t xml:space="preserve"> </w:t>
      </w:r>
      <w:r w:rsidRPr="00981405">
        <w:t>things,</w:t>
      </w:r>
      <w:r w:rsidR="00190923" w:rsidRPr="00981405">
        <w:t xml:space="preserve"> </w:t>
      </w:r>
      <w:r w:rsidRPr="00981405">
        <w:t>developments</w:t>
      </w:r>
      <w:r w:rsidR="00190923" w:rsidRPr="00981405">
        <w:t xml:space="preserve"> </w:t>
      </w:r>
      <w:r w:rsidRPr="00981405">
        <w:t>in</w:t>
      </w:r>
      <w:r w:rsidR="00190923" w:rsidRPr="00981405">
        <w:t xml:space="preserve"> </w:t>
      </w:r>
      <w:r w:rsidRPr="00981405">
        <w:t>international</w:t>
      </w:r>
      <w:r w:rsidR="00190923" w:rsidRPr="00981405">
        <w:t xml:space="preserve"> </w:t>
      </w:r>
      <w:r w:rsidRPr="00981405">
        <w:t>law</w:t>
      </w:r>
      <w:r w:rsidR="00B92E2C" w:rsidRPr="00981405">
        <w:t>”</w:t>
      </w:r>
      <w:r w:rsidRPr="00981405">
        <w:t>.</w:t>
      </w:r>
      <w:r w:rsidRPr="00981405">
        <w:rPr>
          <w:rStyle w:val="FootnoteReference"/>
        </w:rPr>
        <w:footnoteReference w:id="584"/>
      </w:r>
    </w:p>
    <w:p w:rsidR="00397032" w:rsidRPr="00981405" w:rsidRDefault="00397032" w:rsidP="00D97463">
      <w:pPr>
        <w:pStyle w:val="SingleTxt"/>
      </w:pPr>
      <w:r w:rsidRPr="00981405">
        <w:lastRenderedPageBreak/>
        <w:t>178.</w:t>
      </w:r>
      <w:r w:rsidRPr="00981405">
        <w:tab/>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whether</w:t>
      </w:r>
      <w:r w:rsidR="00190923" w:rsidRPr="00981405">
        <w:t xml:space="preserve"> </w:t>
      </w:r>
      <w:r w:rsidRPr="00981405">
        <w:t>an</w:t>
      </w:r>
      <w:r w:rsidR="00190923" w:rsidRPr="00981405">
        <w:t xml:space="preserve"> </w:t>
      </w:r>
      <w:r w:rsidRPr="00981405">
        <w:t>evolutionary</w:t>
      </w:r>
      <w:r w:rsidR="00190923" w:rsidRPr="00981405">
        <w:t xml:space="preserve"> </w:t>
      </w:r>
      <w:r w:rsidRPr="00981405">
        <w:t>(evolutive)</w:t>
      </w:r>
      <w:r w:rsidR="00190923" w:rsidRPr="00981405">
        <w:t xml:space="preserve"> </w:t>
      </w:r>
      <w:r w:rsidRPr="00981405">
        <w:t>interpretation</w:t>
      </w:r>
      <w:r w:rsidR="00190923" w:rsidRPr="00981405">
        <w:t xml:space="preserve"> </w:t>
      </w:r>
      <w:r w:rsidRPr="00981405">
        <w:t>is</w:t>
      </w:r>
      <w:r w:rsidR="00190923" w:rsidRPr="00981405">
        <w:t xml:space="preserve"> </w:t>
      </w:r>
      <w:r w:rsidRPr="00981405">
        <w:t>appropriate</w:t>
      </w:r>
      <w:r w:rsidR="00190923" w:rsidRPr="00981405">
        <w:t xml:space="preserve"> </w:t>
      </w:r>
      <w:r w:rsidRPr="00981405">
        <w:t>in</w:t>
      </w:r>
      <w:r w:rsidR="00190923" w:rsidRPr="00981405">
        <w:t xml:space="preserve"> </w:t>
      </w:r>
      <w:r w:rsidRPr="00981405">
        <w:t>any</w:t>
      </w:r>
      <w:r w:rsidR="00190923" w:rsidRPr="00981405">
        <w:t xml:space="preserve"> </w:t>
      </w:r>
      <w:r w:rsidRPr="00981405">
        <w:t>given</w:t>
      </w:r>
      <w:r w:rsidR="00190923" w:rsidRPr="00981405">
        <w:t xml:space="preserve"> </w:t>
      </w:r>
      <w:r w:rsidRPr="00981405">
        <w:t>case</w:t>
      </w:r>
      <w:r w:rsidR="00190923" w:rsidRPr="00981405">
        <w:t xml:space="preserve"> </w:t>
      </w:r>
      <w:r w:rsidRPr="00981405">
        <w:t>will</w:t>
      </w:r>
      <w:r w:rsidR="00190923" w:rsidRPr="00981405">
        <w:t xml:space="preserve"> </w:t>
      </w:r>
      <w:r w:rsidRPr="00981405">
        <w:t>depend</w:t>
      </w:r>
      <w:r w:rsidR="00190923" w:rsidRPr="00981405">
        <w:t xml:space="preserve"> </w:t>
      </w:r>
      <w:r w:rsidRPr="00981405">
        <w:t>on</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factors,</w:t>
      </w:r>
      <w:r w:rsidR="00190923" w:rsidRPr="00981405">
        <w:t xml:space="preserve"> </w:t>
      </w:r>
      <w:r w:rsidRPr="00981405">
        <w:t>including</w:t>
      </w:r>
      <w:r w:rsidR="00190923" w:rsidRPr="00981405">
        <w:t xml:space="preserve"> </w:t>
      </w:r>
      <w:r w:rsidRPr="00981405">
        <w:t>the</w:t>
      </w:r>
      <w:r w:rsidR="00190923" w:rsidRPr="00981405">
        <w:t xml:space="preserve"> </w:t>
      </w:r>
      <w:r w:rsidRPr="00981405">
        <w:t>intention</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that</w:t>
      </w:r>
      <w:r w:rsidR="00190923" w:rsidRPr="00981405">
        <w:t xml:space="preserve"> </w:t>
      </w:r>
      <w:r w:rsidRPr="00981405">
        <w:t>the</w:t>
      </w:r>
      <w:r w:rsidR="00190923" w:rsidRPr="00981405">
        <w:t xml:space="preserve"> </w:t>
      </w:r>
      <w:r w:rsidRPr="00981405">
        <w:t>term</w:t>
      </w:r>
      <w:r w:rsidR="00190923" w:rsidRPr="00981405">
        <w:t xml:space="preserve"> </w:t>
      </w:r>
      <w:r w:rsidRPr="00981405">
        <w:t>in</w:t>
      </w:r>
      <w:r w:rsidR="00190923" w:rsidRPr="00981405">
        <w:t xml:space="preserve"> </w:t>
      </w:r>
      <w:r w:rsidRPr="00981405">
        <w:t>question</w:t>
      </w:r>
      <w:r w:rsidR="00190923" w:rsidRPr="00981405">
        <w:t xml:space="preserve"> </w:t>
      </w:r>
      <w:r w:rsidRPr="00981405">
        <w:t>was</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in</w:t>
      </w:r>
      <w:r w:rsidR="00190923" w:rsidRPr="00981405">
        <w:t xml:space="preserve"> </w:t>
      </w:r>
      <w:r w:rsidRPr="00981405">
        <w:t>an</w:t>
      </w:r>
      <w:r w:rsidR="00190923" w:rsidRPr="00981405">
        <w:t xml:space="preserve"> </w:t>
      </w:r>
      <w:r w:rsidRPr="00981405">
        <w:t>evolutionary</w:t>
      </w:r>
      <w:r w:rsidR="00190923" w:rsidRPr="00981405">
        <w:t xml:space="preserve"> </w:t>
      </w:r>
      <w:r w:rsidRPr="00981405">
        <w:t>(evolutive)</w:t>
      </w:r>
      <w:r w:rsidR="00190923" w:rsidRPr="00981405">
        <w:t xml:space="preserve"> </w:t>
      </w:r>
      <w:r w:rsidRPr="00981405">
        <w:t>way,</w:t>
      </w:r>
      <w:r w:rsidRPr="00981405">
        <w:rPr>
          <w:rStyle w:val="FootnoteReference"/>
        </w:rPr>
        <w:footnoteReference w:id="585"/>
      </w:r>
      <w:r w:rsidR="00190923" w:rsidRPr="00981405">
        <w:t xml:space="preserve"> </w:t>
      </w:r>
      <w:r w:rsidRPr="00981405">
        <w:t>the</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and</w:t>
      </w:r>
      <w:r w:rsidR="00190923" w:rsidRPr="00981405">
        <w:t xml:space="preserve"> </w:t>
      </w:r>
      <w:r w:rsidRPr="00981405">
        <w:t>the</w:t>
      </w:r>
      <w:r w:rsidR="00190923" w:rsidRPr="00981405">
        <w:t xml:space="preserve"> </w:t>
      </w:r>
      <w:r w:rsidRPr="00981405">
        <w:t>way</w:t>
      </w:r>
      <w:r w:rsidR="00190923" w:rsidRPr="00981405">
        <w:t xml:space="preserve"> </w:t>
      </w:r>
      <w:r w:rsidRPr="00981405">
        <w:t>they</w:t>
      </w:r>
      <w:r w:rsidR="00190923" w:rsidRPr="00981405">
        <w:t xml:space="preserve"> </w:t>
      </w:r>
      <w:r w:rsidRPr="00981405">
        <w:t>themselves</w:t>
      </w:r>
      <w:r w:rsidR="00190923" w:rsidRPr="00981405">
        <w:t xml:space="preserve"> </w:t>
      </w:r>
      <w:r w:rsidRPr="00981405">
        <w:t>have</w:t>
      </w:r>
      <w:r w:rsidR="00190923" w:rsidRPr="00981405">
        <w:t xml:space="preserve"> </w:t>
      </w:r>
      <w:r w:rsidRPr="00981405">
        <w:t>interpreted</w:t>
      </w:r>
      <w:r w:rsidR="00190923" w:rsidRPr="00981405">
        <w:t xml:space="preserve"> </w:t>
      </w:r>
      <w:r w:rsidRPr="00981405">
        <w:t>and</w:t>
      </w:r>
      <w:r w:rsidR="00190923" w:rsidRPr="00981405">
        <w:t xml:space="preserve"> </w:t>
      </w:r>
      <w:r w:rsidRPr="00981405">
        <w:t>applied</w:t>
      </w:r>
      <w:r w:rsidR="00190923" w:rsidRPr="00981405">
        <w:t xml:space="preserve"> </w:t>
      </w:r>
      <w:r w:rsidRPr="00981405">
        <w:t>their</w:t>
      </w:r>
      <w:r w:rsidR="00190923" w:rsidRPr="00981405">
        <w:t xml:space="preserve"> </w:t>
      </w:r>
      <w:r w:rsidRPr="00981405">
        <w:t>agreement.</w:t>
      </w:r>
      <w:r w:rsidR="00190923" w:rsidRPr="00981405">
        <w:t xml:space="preserve"> </w:t>
      </w:r>
      <w:r w:rsidRPr="00981405">
        <w:t>The</w:t>
      </w:r>
      <w:r w:rsidR="00190923" w:rsidRPr="00981405">
        <w:t xml:space="preserve"> </w:t>
      </w:r>
      <w:r w:rsidRPr="00981405">
        <w:t>approach</w:t>
      </w:r>
      <w:r w:rsidR="00190923" w:rsidRPr="00981405">
        <w:t xml:space="preserve"> </w:t>
      </w:r>
      <w:r w:rsidRPr="00981405">
        <w:t>of</w:t>
      </w:r>
      <w:r w:rsidR="00190923" w:rsidRPr="00981405">
        <w:t xml:space="preserve"> </w:t>
      </w:r>
      <w:r w:rsidRPr="00981405">
        <w:t>the</w:t>
      </w:r>
      <w:r w:rsidR="00190923" w:rsidRPr="00981405">
        <w:t xml:space="preserve"> </w:t>
      </w:r>
      <w:r w:rsidRPr="00981405">
        <w:t>ICS</w:t>
      </w:r>
      <w:r w:rsidR="00190923" w:rsidRPr="00981405">
        <w:t xml:space="preserve"> </w:t>
      </w:r>
      <w:r w:rsidRPr="00981405">
        <w:t>tribunal</w:t>
      </w:r>
      <w:r w:rsidR="00190923" w:rsidRPr="00981405">
        <w:t xml:space="preserve"> </w:t>
      </w:r>
      <w:r w:rsidRPr="00981405">
        <w:t>in</w:t>
      </w:r>
      <w:r w:rsidR="00190923" w:rsidRPr="00981405">
        <w:t xml:space="preserve"> </w:t>
      </w:r>
      <w:r w:rsidRPr="00981405">
        <w:t>seeking</w:t>
      </w:r>
      <w:r w:rsidR="00190923" w:rsidRPr="00981405">
        <w:t xml:space="preserve"> </w:t>
      </w:r>
      <w:r w:rsidRPr="00981405">
        <w:t>to</w:t>
      </w:r>
      <w:r w:rsidR="00190923" w:rsidRPr="00981405">
        <w:t xml:space="preserve"> </w:t>
      </w:r>
      <w:r w:rsidRPr="00981405">
        <w:t>ascertain</w:t>
      </w:r>
      <w:r w:rsidR="00190923" w:rsidRPr="00981405">
        <w:t xml:space="preserve"> </w:t>
      </w:r>
      <w:r w:rsidRPr="00981405">
        <w:t>the</w:t>
      </w:r>
      <w:r w:rsidR="00190923" w:rsidRPr="00981405">
        <w:t xml:space="preserve"> </w:t>
      </w:r>
      <w:r w:rsidRPr="00981405">
        <w:t>meaning</w:t>
      </w:r>
      <w:r w:rsidR="00190923" w:rsidRPr="00981405">
        <w:t xml:space="preserve"> </w:t>
      </w:r>
      <w:r w:rsidRPr="00981405">
        <w:t>of</w:t>
      </w:r>
      <w:r w:rsidR="00190923" w:rsidRPr="00981405">
        <w:t xml:space="preserve"> </w:t>
      </w:r>
      <w:r w:rsidR="00B92E2C" w:rsidRPr="00981405">
        <w:t>“</w:t>
      </w:r>
      <w:r w:rsidRPr="00981405">
        <w:t>treatment</w:t>
      </w:r>
      <w:r w:rsidR="00B92E2C" w:rsidRPr="00981405">
        <w:t>”</w:t>
      </w:r>
      <w:r w:rsidR="00190923" w:rsidRPr="00981405">
        <w:t xml:space="preserve"> </w:t>
      </w:r>
      <w:r w:rsidRPr="00981405">
        <w:t>to</w:t>
      </w:r>
      <w:r w:rsidR="00190923" w:rsidRPr="00981405">
        <w:t xml:space="preserve"> </w:t>
      </w:r>
      <w:r w:rsidRPr="00981405">
        <w:t>which</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applied,</w:t>
      </w:r>
      <w:r w:rsidR="00190923" w:rsidRPr="00981405">
        <w:t xml:space="preserve"> </w:t>
      </w:r>
      <w:r w:rsidRPr="00981405">
        <w:t>by</w:t>
      </w:r>
      <w:r w:rsidR="00190923" w:rsidRPr="00981405">
        <w:t xml:space="preserve"> </w:t>
      </w:r>
      <w:r w:rsidRPr="00981405">
        <w:t>looking</w:t>
      </w:r>
      <w:r w:rsidR="00190923" w:rsidRPr="00981405">
        <w:t xml:space="preserve"> </w:t>
      </w:r>
      <w:r w:rsidRPr="00981405">
        <w:t>at</w:t>
      </w:r>
      <w:r w:rsidR="00190923" w:rsidRPr="00981405">
        <w:t xml:space="preserve"> </w:t>
      </w:r>
      <w:r w:rsidRPr="00981405">
        <w:t>how</w:t>
      </w:r>
      <w:r w:rsidR="00190923" w:rsidRPr="00981405">
        <w:t xml:space="preserve"> </w:t>
      </w:r>
      <w:r w:rsidRPr="00981405">
        <w:t>the</w:t>
      </w:r>
      <w:r w:rsidR="00190923" w:rsidRPr="00981405">
        <w:t xml:space="preserve"> </w:t>
      </w:r>
      <w:r w:rsidRPr="00981405">
        <w:t>term</w:t>
      </w:r>
      <w:r w:rsidR="00190923" w:rsidRPr="00981405">
        <w:t xml:space="preserve"> </w:t>
      </w:r>
      <w:r w:rsidRPr="00981405">
        <w:t>would</w:t>
      </w:r>
      <w:r w:rsidR="00190923" w:rsidRPr="00981405">
        <w:t xml:space="preserve"> </w:t>
      </w:r>
      <w:r w:rsidRPr="00981405">
        <w:t>have</w:t>
      </w:r>
      <w:r w:rsidR="00190923" w:rsidRPr="00981405">
        <w:t xml:space="preserve"> </w:t>
      </w:r>
      <w:r w:rsidRPr="00981405">
        <w:t>been</w:t>
      </w:r>
      <w:r w:rsidR="00190923" w:rsidRPr="00981405">
        <w:t xml:space="preserve"> </w:t>
      </w:r>
      <w:r w:rsidRPr="00981405">
        <w:t>understood</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the</w:t>
      </w:r>
      <w:r w:rsidR="00190923" w:rsidRPr="00981405">
        <w:t xml:space="preserve"> </w:t>
      </w:r>
      <w:r w:rsidRPr="00981405">
        <w:t>UK-Argentina</w:t>
      </w:r>
      <w:r w:rsidR="00190923" w:rsidRPr="00981405">
        <w:t xml:space="preserve"> </w:t>
      </w:r>
      <w:r w:rsidRPr="00981405">
        <w:t>BIT</w:t>
      </w:r>
      <w:r w:rsidR="00190923" w:rsidRPr="00981405">
        <w:t xml:space="preserve"> </w:t>
      </w:r>
      <w:r w:rsidRPr="00981405">
        <w:t>was</w:t>
      </w:r>
      <w:r w:rsidR="00190923" w:rsidRPr="00981405">
        <w:t xml:space="preserve"> </w:t>
      </w:r>
      <w:r w:rsidRPr="00981405">
        <w:t>entered</w:t>
      </w:r>
      <w:r w:rsidR="00190923" w:rsidRPr="00981405">
        <w:t xml:space="preserve"> </w:t>
      </w:r>
      <w:r w:rsidRPr="00981405">
        <w:t>into,</w:t>
      </w:r>
      <w:r w:rsidR="00190923" w:rsidRPr="00981405">
        <w:t xml:space="preserve"> </w:t>
      </w:r>
      <w:r w:rsidRPr="00981405">
        <w:t>provides</w:t>
      </w:r>
      <w:r w:rsidR="00190923" w:rsidRPr="00981405">
        <w:t xml:space="preserve"> </w:t>
      </w:r>
      <w:r w:rsidRPr="00981405">
        <w:t>important</w:t>
      </w:r>
      <w:r w:rsidR="00190923" w:rsidRPr="00981405">
        <w:t xml:space="preserve"> </w:t>
      </w:r>
      <w:r w:rsidRPr="00981405">
        <w:t>guidance</w:t>
      </w:r>
      <w:r w:rsidR="00190923" w:rsidRPr="00981405">
        <w:t xml:space="preserve"> </w:t>
      </w:r>
      <w:r w:rsidRPr="00981405">
        <w:t>for</w:t>
      </w:r>
      <w:r w:rsidR="00190923" w:rsidRPr="00981405">
        <w:t xml:space="preserve"> </w:t>
      </w:r>
      <w:r w:rsidRPr="00981405">
        <w:t>interpretation</w:t>
      </w:r>
      <w:r w:rsidR="00190923" w:rsidRPr="00981405">
        <w:t xml:space="preserve"> </w:t>
      </w:r>
      <w:r w:rsidRPr="00981405">
        <w:t>but</w:t>
      </w:r>
      <w:r w:rsidR="00190923" w:rsidRPr="00981405">
        <w:t xml:space="preserve"> </w:t>
      </w:r>
      <w:r w:rsidRPr="00981405">
        <w:t>it</w:t>
      </w:r>
      <w:r w:rsidR="00190923" w:rsidRPr="00981405">
        <w:t xml:space="preserve"> </w:t>
      </w:r>
      <w:r w:rsidRPr="00981405">
        <w:t>cannot</w:t>
      </w:r>
      <w:r w:rsidR="00190923" w:rsidRPr="00981405">
        <w:t xml:space="preserve"> </w:t>
      </w:r>
      <w:r w:rsidRPr="00981405">
        <w:t>be</w:t>
      </w:r>
      <w:r w:rsidR="00190923" w:rsidRPr="00981405">
        <w:t xml:space="preserve"> </w:t>
      </w:r>
      <w:r w:rsidRPr="00981405">
        <w:t>regarded</w:t>
      </w:r>
      <w:r w:rsidR="00190923" w:rsidRPr="00981405">
        <w:t xml:space="preserve"> </w:t>
      </w:r>
      <w:r w:rsidRPr="00981405">
        <w:t>as</w:t>
      </w:r>
      <w:r w:rsidR="00190923" w:rsidRPr="00981405">
        <w:t xml:space="preserve"> </w:t>
      </w:r>
      <w:r w:rsidRPr="00981405">
        <w:t>necessarily</w:t>
      </w:r>
      <w:r w:rsidR="00190923" w:rsidRPr="00981405">
        <w:t xml:space="preserve"> </w:t>
      </w:r>
      <w:r w:rsidRPr="00981405">
        <w:t>definitive.</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bookmarkStart w:id="309" w:name="_Toc293434188"/>
      <w:bookmarkStart w:id="310" w:name="_Toc294353701"/>
      <w:r w:rsidRPr="00D97463">
        <w:tab/>
      </w:r>
      <w:bookmarkStart w:id="311" w:name="_Toc427938201"/>
      <w:r w:rsidRPr="00D97463">
        <w:t>2.</w:t>
      </w:r>
      <w:r w:rsidRPr="00D97463">
        <w:tab/>
        <w:t>The</w:t>
      </w:r>
      <w:r w:rsidR="00190923" w:rsidRPr="00D97463">
        <w:t xml:space="preserve"> </w:t>
      </w:r>
      <w:r w:rsidRPr="00D97463">
        <w:t>relevance</w:t>
      </w:r>
      <w:r w:rsidR="00190923" w:rsidRPr="00D97463">
        <w:t xml:space="preserve"> </w:t>
      </w:r>
      <w:r w:rsidRPr="00D97463">
        <w:t>of</w:t>
      </w:r>
      <w:r w:rsidR="00190923" w:rsidRPr="00D97463">
        <w:t xml:space="preserve"> </w:t>
      </w:r>
      <w:r w:rsidRPr="00D97463">
        <w:t>preparatory</w:t>
      </w:r>
      <w:r w:rsidR="00190923" w:rsidRPr="00D97463">
        <w:t xml:space="preserve"> </w:t>
      </w:r>
      <w:r w:rsidRPr="00D97463">
        <w:t>work</w:t>
      </w:r>
      <w:bookmarkEnd w:id="309"/>
      <w:bookmarkEnd w:id="310"/>
      <w:bookmarkEnd w:id="311"/>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179.</w:t>
      </w:r>
      <w:r w:rsidRPr="00981405">
        <w:tab/>
        <w:t>In</w:t>
      </w:r>
      <w:r w:rsidR="00190923" w:rsidRPr="00981405">
        <w:t xml:space="preserve"> </w:t>
      </w:r>
      <w:r w:rsidRPr="00981405">
        <w:t>a</w:t>
      </w:r>
      <w:r w:rsidR="00190923" w:rsidRPr="00981405">
        <w:t xml:space="preserve"> </w:t>
      </w:r>
      <w:r w:rsidRPr="00981405">
        <w:t>sense,</w:t>
      </w:r>
      <w:r w:rsidR="00190923" w:rsidRPr="00981405">
        <w:t xml:space="preserve"> </w:t>
      </w:r>
      <w:r w:rsidRPr="00981405">
        <w:t>reference</w:t>
      </w:r>
      <w:r w:rsidR="00190923" w:rsidRPr="00981405">
        <w:t xml:space="preserve"> </w:t>
      </w:r>
      <w:r w:rsidRPr="00981405">
        <w:t>to</w:t>
      </w:r>
      <w:r w:rsidR="00190923" w:rsidRPr="00981405">
        <w:t xml:space="preserve"> </w:t>
      </w:r>
      <w:r w:rsidRPr="00981405">
        <w:t>preparatory</w:t>
      </w:r>
      <w:r w:rsidR="00190923" w:rsidRPr="00981405">
        <w:t xml:space="preserve"> </w:t>
      </w:r>
      <w:r w:rsidRPr="00981405">
        <w:t>work</w:t>
      </w:r>
      <w:r w:rsidR="00190923" w:rsidRPr="00981405">
        <w:t xml:space="preserve"> </w:t>
      </w:r>
      <w:r w:rsidRPr="00981405">
        <w:t>is</w:t>
      </w:r>
      <w:r w:rsidR="00190923" w:rsidRPr="00981405">
        <w:t xml:space="preserve"> </w:t>
      </w:r>
      <w:r w:rsidRPr="00981405">
        <w:t>an</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contemporaneity</w:t>
      </w:r>
      <w:r w:rsidR="00190923" w:rsidRPr="00981405">
        <w:t xml:space="preserve"> </w:t>
      </w:r>
      <w:r w:rsidRPr="00981405">
        <w:t>principle,</w:t>
      </w:r>
      <w:r w:rsidR="00190923" w:rsidRPr="00981405">
        <w:t xml:space="preserve"> </w:t>
      </w:r>
      <w:r w:rsidRPr="00981405">
        <w:t>since</w:t>
      </w:r>
      <w:r w:rsidR="00190923" w:rsidRPr="00981405">
        <w:t xml:space="preserve"> </w:t>
      </w:r>
      <w:r w:rsidRPr="00981405">
        <w:t>it</w:t>
      </w:r>
      <w:r w:rsidR="00190923" w:rsidRPr="00981405">
        <w:t xml:space="preserve"> </w:t>
      </w:r>
      <w:r w:rsidRPr="00981405">
        <w:t>is</w:t>
      </w:r>
      <w:r w:rsidR="00190923" w:rsidRPr="00981405">
        <w:t xml:space="preserve"> </w:t>
      </w:r>
      <w:r w:rsidRPr="00981405">
        <w:t>an</w:t>
      </w:r>
      <w:r w:rsidR="00190923" w:rsidRPr="00981405">
        <w:t xml:space="preserve"> </w:t>
      </w:r>
      <w:r w:rsidRPr="00981405">
        <w:t>effort</w:t>
      </w:r>
      <w:r w:rsidR="00190923" w:rsidRPr="00981405">
        <w:t xml:space="preserve"> </w:t>
      </w:r>
      <w:r w:rsidRPr="00981405">
        <w:t>to</w:t>
      </w:r>
      <w:r w:rsidR="00190923" w:rsidRPr="00981405">
        <w:t xml:space="preserve"> </w:t>
      </w:r>
      <w:r w:rsidRPr="00981405">
        <w:t>determine</w:t>
      </w:r>
      <w:r w:rsidR="00190923" w:rsidRPr="00981405">
        <w:t xml:space="preserve"> </w:t>
      </w:r>
      <w:r w:rsidRPr="00981405">
        <w:t>the</w:t>
      </w:r>
      <w:r w:rsidR="00190923" w:rsidRPr="00981405">
        <w:t xml:space="preserve"> </w:t>
      </w:r>
      <w:r w:rsidRPr="00981405">
        <w:t>intent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at</w:t>
      </w:r>
      <w:r w:rsidR="00190923" w:rsidRPr="00981405">
        <w:t xml:space="preserve"> </w:t>
      </w:r>
      <w:r w:rsidRPr="00981405">
        <w:t>the</w:t>
      </w:r>
      <w:r w:rsidR="00190923" w:rsidRPr="00981405">
        <w:t xml:space="preserve"> </w:t>
      </w:r>
      <w:r w:rsidRPr="00981405">
        <w:t>time</w:t>
      </w:r>
      <w:r w:rsidR="00190923" w:rsidRPr="00981405">
        <w:t xml:space="preserve"> </w:t>
      </w:r>
      <w:r w:rsidRPr="00981405">
        <w:t>of</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the</w:t>
      </w:r>
      <w:r w:rsidR="00190923" w:rsidRPr="00981405">
        <w:t xml:space="preserve"> </w:t>
      </w:r>
      <w:r w:rsidRPr="00981405">
        <w:t>agreement.</w:t>
      </w:r>
      <w:r w:rsidRPr="00981405">
        <w:rPr>
          <w:rStyle w:val="FootnoteReference"/>
        </w:rPr>
        <w:footnoteReference w:id="586"/>
      </w:r>
      <w:r w:rsidR="00190923" w:rsidRPr="00981405">
        <w:t xml:space="preserve"> </w:t>
      </w:r>
      <w:r w:rsidRPr="00981405">
        <w:t>Recourse</w:t>
      </w:r>
      <w:r w:rsidR="00190923" w:rsidRPr="00981405">
        <w:t xml:space="preserve"> </w:t>
      </w:r>
      <w:r w:rsidRPr="00981405">
        <w:t>to</w:t>
      </w:r>
      <w:r w:rsidR="00190923" w:rsidRPr="00981405">
        <w:t xml:space="preserve"> </w:t>
      </w:r>
      <w:r w:rsidRPr="00981405">
        <w:t>preparatory</w:t>
      </w:r>
      <w:r w:rsidR="00190923" w:rsidRPr="00981405">
        <w:t xml:space="preserve"> </w:t>
      </w:r>
      <w:r w:rsidRPr="00981405">
        <w:t>work</w:t>
      </w:r>
      <w:r w:rsidR="00190923" w:rsidRPr="00981405">
        <w:t xml:space="preserve"> </w:t>
      </w:r>
      <w:r w:rsidRPr="00981405">
        <w:t>is</w:t>
      </w:r>
      <w:r w:rsidR="00190923" w:rsidRPr="00981405">
        <w:t xml:space="preserve"> </w:t>
      </w:r>
      <w:r w:rsidRPr="00981405">
        <w:t>not</w:t>
      </w:r>
      <w:r w:rsidR="00190923" w:rsidRPr="00981405">
        <w:t xml:space="preserve"> </w:t>
      </w:r>
      <w:r w:rsidRPr="00981405">
        <w:t>frequent</w:t>
      </w:r>
      <w:r w:rsidR="00190923" w:rsidRPr="00981405">
        <w:t xml:space="preserve"> </w:t>
      </w:r>
      <w:r w:rsidRPr="00981405">
        <w:t>in</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tribunals</w:t>
      </w:r>
      <w:r w:rsidR="00190923" w:rsidRPr="00981405">
        <w:t xml:space="preserve"> </w:t>
      </w:r>
      <w:r w:rsidRPr="00981405">
        <w:t>interpreting</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perhaps</w:t>
      </w:r>
      <w:r w:rsidR="00190923" w:rsidRPr="00981405">
        <w:t xml:space="preserve"> </w:t>
      </w:r>
      <w:r w:rsidRPr="00981405">
        <w:t>because</w:t>
      </w:r>
      <w:r w:rsidR="00190923" w:rsidRPr="00981405">
        <w:t xml:space="preserve"> </w:t>
      </w:r>
      <w:r w:rsidRPr="00981405">
        <w:t>such</w:t>
      </w:r>
      <w:r w:rsidR="00190923" w:rsidRPr="00981405">
        <w:t xml:space="preserve"> </w:t>
      </w:r>
      <w:r w:rsidRPr="00981405">
        <w:t>material</w:t>
      </w:r>
      <w:r w:rsidR="00190923" w:rsidRPr="00981405">
        <w:t xml:space="preserve"> </w:t>
      </w:r>
      <w:r w:rsidRPr="00981405">
        <w:t>is</w:t>
      </w:r>
      <w:r w:rsidR="00190923" w:rsidRPr="00981405">
        <w:t xml:space="preserve"> </w:t>
      </w:r>
      <w:r w:rsidRPr="00981405">
        <w:t>often</w:t>
      </w:r>
      <w:r w:rsidR="00190923" w:rsidRPr="00981405">
        <w:t xml:space="preserve"> </w:t>
      </w:r>
      <w:r w:rsidRPr="00981405">
        <w:t>not</w:t>
      </w:r>
      <w:r w:rsidR="00190923" w:rsidRPr="00981405">
        <w:t xml:space="preserve"> </w:t>
      </w:r>
      <w:r w:rsidRPr="00981405">
        <w:t>readily</w:t>
      </w:r>
      <w:r w:rsidR="00190923" w:rsidRPr="00981405">
        <w:t xml:space="preserve"> </w:t>
      </w:r>
      <w:r w:rsidRPr="00981405">
        <w:t>available.</w:t>
      </w:r>
      <w:r w:rsidRPr="00981405">
        <w:rPr>
          <w:rStyle w:val="FootnoteReference"/>
        </w:rPr>
        <w:footnoteReference w:id="587"/>
      </w:r>
      <w:r w:rsidR="00190923" w:rsidRPr="00981405">
        <w:t xml:space="preserve"> </w:t>
      </w:r>
      <w:r w:rsidRPr="00981405">
        <w:t>However,</w:t>
      </w:r>
      <w:r w:rsidR="00190923" w:rsidRPr="00981405">
        <w:t xml:space="preserve"> </w:t>
      </w:r>
      <w:r w:rsidRPr="00981405">
        <w:t>in</w:t>
      </w:r>
      <w:r w:rsidR="00190923" w:rsidRPr="00981405">
        <w:t xml:space="preserve"> </w:t>
      </w:r>
      <w:r w:rsidRPr="00D97463">
        <w:rPr>
          <w:i/>
          <w:iCs/>
        </w:rPr>
        <w:t>Austrian</w:t>
      </w:r>
      <w:r w:rsidR="00190923" w:rsidRPr="00D97463">
        <w:rPr>
          <w:i/>
          <w:iCs/>
        </w:rPr>
        <w:t xml:space="preserve"> </w:t>
      </w:r>
      <w:r w:rsidRPr="00D97463">
        <w:rPr>
          <w:i/>
          <w:iCs/>
        </w:rPr>
        <w:t>Airlines</w:t>
      </w:r>
      <w:r w:rsidRPr="00981405">
        <w:t>,</w:t>
      </w:r>
      <w:r w:rsidR="00190923" w:rsidRPr="00981405">
        <w:t xml:space="preserve"> </w:t>
      </w:r>
      <w:r w:rsidRPr="00981405">
        <w:t>the</w:t>
      </w:r>
      <w:r w:rsidR="00190923" w:rsidRPr="00981405">
        <w:t xml:space="preserve"> </w:t>
      </w:r>
      <w:r w:rsidRPr="00981405">
        <w:t>tribunal</w:t>
      </w:r>
      <w:r w:rsidR="00190923" w:rsidRPr="00981405">
        <w:t xml:space="preserve"> </w:t>
      </w:r>
      <w:r w:rsidRPr="00981405">
        <w:t>looked</w:t>
      </w:r>
      <w:r w:rsidR="00190923" w:rsidRPr="00981405">
        <w:t xml:space="preserve"> </w:t>
      </w:r>
      <w:r w:rsidRPr="00981405">
        <w:t>at</w:t>
      </w:r>
      <w:r w:rsidR="00190923" w:rsidRPr="00981405">
        <w:t xml:space="preserve"> </w:t>
      </w:r>
      <w:r w:rsidRPr="00981405">
        <w:t>successive</w:t>
      </w:r>
      <w:r w:rsidR="00190923" w:rsidRPr="00981405">
        <w:t xml:space="preserve"> </w:t>
      </w:r>
      <w:r w:rsidRPr="00981405">
        <w:t>drafts</w:t>
      </w:r>
      <w:r w:rsidR="00190923" w:rsidRPr="00981405">
        <w:t xml:space="preserve"> </w:t>
      </w:r>
      <w:r w:rsidRPr="00981405">
        <w:t>of</w:t>
      </w:r>
      <w:r w:rsidR="00190923" w:rsidRPr="00981405">
        <w:t xml:space="preserve"> </w:t>
      </w:r>
      <w:r w:rsidRPr="00981405">
        <w:t>clauses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which</w:t>
      </w:r>
      <w:r w:rsidR="00190923" w:rsidRPr="00981405">
        <w:t xml:space="preserve"> </w:t>
      </w:r>
      <w:r w:rsidRPr="00981405">
        <w:t>indicated</w:t>
      </w:r>
      <w:r w:rsidR="00190923" w:rsidRPr="00981405">
        <w:t xml:space="preserve"> </w:t>
      </w:r>
      <w:r w:rsidRPr="00981405">
        <w:t>a</w:t>
      </w:r>
      <w:r w:rsidR="00190923" w:rsidRPr="00981405">
        <w:t xml:space="preserve"> </w:t>
      </w:r>
      <w:r w:rsidRPr="00981405">
        <w:t>successive</w:t>
      </w:r>
      <w:r w:rsidR="00190923" w:rsidRPr="00981405">
        <w:t xml:space="preserve"> </w:t>
      </w:r>
      <w:r w:rsidRPr="00981405">
        <w:t>narrowing</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arbitration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order</w:t>
      </w:r>
      <w:r w:rsidR="00190923" w:rsidRPr="00981405">
        <w:t xml:space="preserve"> </w:t>
      </w:r>
      <w:r w:rsidRPr="00981405">
        <w:t>to</w:t>
      </w:r>
      <w:r w:rsidR="00190923" w:rsidRPr="00981405">
        <w:t xml:space="preserve"> </w:t>
      </w:r>
      <w:r w:rsidRPr="00981405">
        <w:t>confirm</w:t>
      </w:r>
      <w:r w:rsidR="00190923" w:rsidRPr="00981405">
        <w:t xml:space="preserve"> </w:t>
      </w:r>
      <w:r w:rsidRPr="00981405">
        <w:t>a</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intended</w:t>
      </w:r>
      <w:r w:rsidR="00190923" w:rsidRPr="00981405">
        <w:t xml:space="preserve"> </w:t>
      </w:r>
      <w:r w:rsidRPr="00981405">
        <w:t>to</w:t>
      </w:r>
      <w:r w:rsidR="00190923" w:rsidRPr="00981405">
        <w:t xml:space="preserve"> </w:t>
      </w:r>
      <w:r w:rsidRPr="00981405">
        <w:t>limit</w:t>
      </w:r>
      <w:r w:rsidR="00190923" w:rsidRPr="00981405">
        <w:t xml:space="preserve"> </w:t>
      </w:r>
      <w:r w:rsidRPr="00981405">
        <w:t>arbitration</w:t>
      </w:r>
      <w:r w:rsidR="00190923" w:rsidRPr="00981405">
        <w:t xml:space="preserve"> </w:t>
      </w:r>
      <w:r w:rsidRPr="00981405">
        <w:t>under</w:t>
      </w:r>
      <w:r w:rsidR="00190923" w:rsidRPr="00981405">
        <w:t xml:space="preserve"> </w:t>
      </w:r>
      <w:r w:rsidRPr="00981405">
        <w:t>that</w:t>
      </w:r>
      <w:r w:rsidR="00190923" w:rsidRPr="00981405">
        <w:t xml:space="preserve"> </w:t>
      </w:r>
      <w:r w:rsidRPr="00981405">
        <w:t>agreement</w:t>
      </w:r>
      <w:r w:rsidR="00190923" w:rsidRPr="00981405">
        <w:t xml:space="preserve"> </w:t>
      </w:r>
      <w:r w:rsidRPr="00981405">
        <w:t>to</w:t>
      </w:r>
      <w:r w:rsidR="00190923" w:rsidRPr="00981405">
        <w:t xml:space="preserve"> </w:t>
      </w:r>
      <w:r w:rsidRPr="00981405">
        <w:t>certain</w:t>
      </w:r>
      <w:r w:rsidR="00190923" w:rsidRPr="00981405">
        <w:t xml:space="preserve"> </w:t>
      </w:r>
      <w:r w:rsidRPr="00981405">
        <w:t>specified</w:t>
      </w:r>
      <w:r w:rsidR="00190923" w:rsidRPr="00981405">
        <w:t xml:space="preserve"> </w:t>
      </w:r>
      <w:r w:rsidRPr="00981405">
        <w:t>matters.</w:t>
      </w:r>
      <w:r w:rsidRPr="00981405">
        <w:rPr>
          <w:rStyle w:val="FootnoteReference"/>
        </w:rPr>
        <w:footnoteReference w:id="588"/>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this</w:t>
      </w:r>
      <w:r w:rsidR="00190923" w:rsidRPr="00981405">
        <w:t xml:space="preserve"> </w:t>
      </w:r>
      <w:r w:rsidRPr="00981405">
        <w:t>provides</w:t>
      </w:r>
      <w:r w:rsidR="00190923" w:rsidRPr="00981405">
        <w:t xml:space="preserve"> </w:t>
      </w:r>
      <w:r w:rsidRPr="00981405">
        <w:t>an</w:t>
      </w:r>
      <w:r w:rsidR="00190923" w:rsidRPr="00981405">
        <w:t xml:space="preserve"> </w:t>
      </w:r>
      <w:r w:rsidRPr="00981405">
        <w:t>important</w:t>
      </w:r>
      <w:r w:rsidR="00190923" w:rsidRPr="00981405">
        <w:t xml:space="preserve"> </w:t>
      </w:r>
      <w:r w:rsidRPr="00981405">
        <w:t>illustration</w:t>
      </w:r>
      <w:r w:rsidR="00190923" w:rsidRPr="00981405">
        <w:t xml:space="preserve"> </w:t>
      </w:r>
      <w:r w:rsidRPr="00981405">
        <w:t>of</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preparatory</w:t>
      </w:r>
      <w:r w:rsidR="00190923" w:rsidRPr="00981405">
        <w:t xml:space="preserve"> </w:t>
      </w:r>
      <w:r w:rsidRPr="00981405">
        <w:t>work.</w:t>
      </w:r>
    </w:p>
    <w:p w:rsidR="00E50095" w:rsidRPr="00D97463" w:rsidRDefault="00E50095" w:rsidP="00D97463">
      <w:pPr>
        <w:pStyle w:val="SingleTxt"/>
        <w:spacing w:after="0" w:line="120" w:lineRule="exact"/>
        <w:rPr>
          <w:sz w:val="10"/>
        </w:rPr>
      </w:pPr>
    </w:p>
    <w:p w:rsidR="00397032" w:rsidRPr="00D97463" w:rsidRDefault="00397032" w:rsidP="00D97463">
      <w:pPr>
        <w:pStyle w:val="H23"/>
        <w:ind w:right="1260"/>
      </w:pPr>
      <w:bookmarkStart w:id="312" w:name="_Toc293434189"/>
      <w:bookmarkStart w:id="313" w:name="_Toc294353702"/>
      <w:r w:rsidRPr="00D97463">
        <w:tab/>
      </w:r>
      <w:bookmarkStart w:id="314" w:name="_Toc427938202"/>
      <w:r w:rsidRPr="00D97463">
        <w:t>3.</w:t>
      </w:r>
      <w:r w:rsidRPr="00D97463">
        <w:tab/>
        <w:t>The</w:t>
      </w:r>
      <w:r w:rsidR="00190923" w:rsidRPr="00D97463">
        <w:t xml:space="preserve"> </w:t>
      </w:r>
      <w:r w:rsidRPr="00D97463">
        <w:t>treaty</w:t>
      </w:r>
      <w:r w:rsidR="00190923" w:rsidRPr="00D97463">
        <w:t xml:space="preserve"> </w:t>
      </w:r>
      <w:r w:rsidRPr="00D97463">
        <w:t>practice</w:t>
      </w:r>
      <w:r w:rsidR="00190923" w:rsidRPr="00D97463">
        <w:t xml:space="preserve"> </w:t>
      </w:r>
      <w:r w:rsidRPr="00D97463">
        <w:t>of</w:t>
      </w:r>
      <w:r w:rsidR="00190923" w:rsidRPr="00D97463">
        <w:t xml:space="preserve"> </w:t>
      </w:r>
      <w:r w:rsidRPr="00D97463">
        <w:t>the</w:t>
      </w:r>
      <w:r w:rsidR="00190923" w:rsidRPr="00D97463">
        <w:t xml:space="preserve"> </w:t>
      </w:r>
      <w:r w:rsidRPr="00D97463">
        <w:t>parties</w:t>
      </w:r>
      <w:bookmarkEnd w:id="312"/>
      <w:bookmarkEnd w:id="313"/>
      <w:bookmarkEnd w:id="31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180.</w:t>
      </w:r>
      <w:r w:rsidRPr="00981405">
        <w:tab/>
        <w:t>Contemporary</w:t>
      </w:r>
      <w:r w:rsidR="00190923" w:rsidRPr="00981405">
        <w:t xml:space="preserve"> </w:t>
      </w:r>
      <w:r w:rsidRPr="00981405">
        <w:t>or</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is</w:t>
      </w:r>
      <w:r w:rsidR="00190923" w:rsidRPr="00981405">
        <w:t xml:space="preserve"> </w:t>
      </w:r>
      <w:r w:rsidRPr="00981405">
        <w:t>clearly</w:t>
      </w:r>
      <w:r w:rsidR="00190923" w:rsidRPr="00981405">
        <w:t xml:space="preserve"> </w:t>
      </w:r>
      <w:r w:rsidRPr="00981405">
        <w:t>relevant</w:t>
      </w:r>
      <w:r w:rsidR="00190923" w:rsidRPr="00981405">
        <w:t xml:space="preserve"> </w:t>
      </w:r>
      <w:r w:rsidRPr="00981405">
        <w:t>to</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provisions</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However,</w:t>
      </w:r>
      <w:r w:rsidR="00190923" w:rsidRPr="00981405">
        <w:t xml:space="preserve"> </w:t>
      </w:r>
      <w:r w:rsidRPr="00981405">
        <w:t>under</w:t>
      </w:r>
      <w:r w:rsidR="00190923" w:rsidRPr="00981405">
        <w:t xml:space="preserve"> </w:t>
      </w:r>
      <w:r w:rsidRPr="00981405">
        <w:t>VCLT</w:t>
      </w:r>
      <w:r w:rsidR="00190923" w:rsidRPr="00981405">
        <w:t xml:space="preserve"> </w:t>
      </w:r>
      <w:r w:rsidRPr="00981405">
        <w:t>article</w:t>
      </w:r>
      <w:r w:rsidR="00190923" w:rsidRPr="00981405">
        <w:t xml:space="preserve"> </w:t>
      </w:r>
      <w:r w:rsidRPr="00981405">
        <w:t>31(2)</w:t>
      </w:r>
      <w:r w:rsidR="00190923" w:rsidRPr="00981405">
        <w:t xml:space="preserve"> </w:t>
      </w:r>
      <w:r w:rsidRPr="00981405">
        <w:t>and</w:t>
      </w:r>
      <w:r w:rsidR="00190923" w:rsidRPr="00981405">
        <w:t xml:space="preserve"> </w:t>
      </w:r>
      <w:r w:rsidRPr="00981405">
        <w:t>(3)</w:t>
      </w:r>
      <w:r w:rsidR="00190923" w:rsidRPr="00981405">
        <w:t xml:space="preserve"> </w:t>
      </w:r>
      <w:r w:rsidRPr="00981405">
        <w:t>relevant</w:t>
      </w:r>
      <w:r w:rsidR="00190923" w:rsidRPr="00981405">
        <w:t xml:space="preserve"> </w:t>
      </w:r>
      <w:r w:rsidRPr="00981405">
        <w:t>practice</w:t>
      </w:r>
      <w:r w:rsidR="00190923" w:rsidRPr="00981405">
        <w:t xml:space="preserve"> </w:t>
      </w:r>
      <w:r w:rsidRPr="00981405">
        <w:t>is</w:t>
      </w:r>
      <w:r w:rsidR="00190923" w:rsidRPr="00981405">
        <w:t xml:space="preserve"> </w:t>
      </w:r>
      <w:r w:rsidRPr="00981405">
        <w:t>limited</w:t>
      </w:r>
      <w:r w:rsidR="00190923" w:rsidRPr="00981405">
        <w:t xml:space="preserve"> </w:t>
      </w:r>
      <w:r w:rsidRPr="00981405">
        <w:t>to:</w:t>
      </w:r>
      <w:r w:rsidR="00190923" w:rsidRPr="00981405">
        <w:t xml:space="preserve"> </w:t>
      </w:r>
      <w:r w:rsidRPr="00981405">
        <w:t>agreements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entered</w:t>
      </w:r>
      <w:r w:rsidR="00190923" w:rsidRPr="00981405">
        <w:t xml:space="preserve"> </w:t>
      </w:r>
      <w:r w:rsidRPr="00981405">
        <w:t>into</w:t>
      </w:r>
      <w:r w:rsidR="00190923" w:rsidRPr="00981405">
        <w:t xml:space="preserve"> </w:t>
      </w:r>
      <w:r w:rsidRPr="00981405">
        <w:t>by</w:t>
      </w:r>
      <w:r w:rsidR="00190923" w:rsidRPr="00981405">
        <w:t xml:space="preserve"> </w:t>
      </w:r>
      <w:r w:rsidRPr="00981405">
        <w:t>all</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instruments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concluded</w:t>
      </w:r>
      <w:r w:rsidR="00190923" w:rsidRPr="00981405">
        <w:t xml:space="preserve"> </w:t>
      </w:r>
      <w:r w:rsidRPr="00981405">
        <w:t>by</w:t>
      </w:r>
      <w:r w:rsidR="00190923" w:rsidRPr="00981405">
        <w:t xml:space="preserve"> </w:t>
      </w:r>
      <w:r w:rsidRPr="00981405">
        <w:t>one</w:t>
      </w:r>
      <w:r w:rsidR="00190923" w:rsidRPr="00981405">
        <w:t xml:space="preserve"> </w:t>
      </w:r>
      <w:r w:rsidRPr="00981405">
        <w:t>party</w:t>
      </w:r>
      <w:r w:rsidR="00190923" w:rsidRPr="00981405">
        <w:t xml:space="preserve"> </w:t>
      </w:r>
      <w:r w:rsidRPr="00981405">
        <w:t>and</w:t>
      </w:r>
      <w:r w:rsidR="00190923" w:rsidRPr="00981405">
        <w:t xml:space="preserve"> </w:t>
      </w:r>
      <w:r w:rsidRPr="00981405">
        <w:t>accepted</w:t>
      </w:r>
      <w:r w:rsidR="00190923" w:rsidRPr="00981405">
        <w:t xml:space="preserve"> </w:t>
      </w:r>
      <w:r w:rsidRPr="00981405">
        <w:t>by</w:t>
      </w:r>
      <w:r w:rsidR="00190923" w:rsidRPr="00981405">
        <w:t xml:space="preserve"> </w:t>
      </w:r>
      <w:r w:rsidRPr="00981405">
        <w:t>the</w:t>
      </w:r>
      <w:r w:rsidR="00190923" w:rsidRPr="00981405">
        <w:t xml:space="preserve"> </w:t>
      </w:r>
      <w:r w:rsidRPr="00981405">
        <w:t>others;</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and</w:t>
      </w:r>
      <w:r w:rsidR="00190923" w:rsidRPr="00981405">
        <w:t xml:space="preserve"> </w:t>
      </w:r>
      <w:r w:rsidRPr="00981405">
        <w:t>subsequent</w:t>
      </w:r>
      <w:r w:rsidR="00190923" w:rsidRPr="00981405">
        <w:t xml:space="preserve"> </w:t>
      </w:r>
      <w:r w:rsidRPr="00981405">
        <w:t>practice</w:t>
      </w:r>
      <w:r w:rsidR="00190923" w:rsidRPr="00981405">
        <w:t xml:space="preserve"> </w:t>
      </w:r>
      <w:r w:rsidRPr="00981405">
        <w:t>that</w:t>
      </w:r>
      <w:r w:rsidR="00190923" w:rsidRPr="00981405">
        <w:t xml:space="preserve"> </w:t>
      </w:r>
      <w:r w:rsidRPr="00981405">
        <w:t>establishes</w:t>
      </w:r>
      <w:r w:rsidR="00190923" w:rsidRPr="00981405">
        <w:t xml:space="preserve"> </w:t>
      </w:r>
      <w:r w:rsidRPr="00981405">
        <w:t>the</w:t>
      </w:r>
      <w:r w:rsidR="00190923" w:rsidRPr="00981405">
        <w:t xml:space="preserve"> </w:t>
      </w:r>
      <w:r w:rsidRPr="00981405">
        <w:t>agreement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Pr="00981405">
        <w:rPr>
          <w:rStyle w:val="FootnoteReference"/>
        </w:rPr>
        <w:footnoteReference w:id="589"/>
      </w:r>
      <w:r w:rsidR="00190923" w:rsidRPr="00981405">
        <w:t xml:space="preserve"> </w:t>
      </w:r>
      <w:r w:rsidRPr="00981405">
        <w:t>Thus,</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rely</w:t>
      </w:r>
      <w:r w:rsidR="00190923" w:rsidRPr="00981405">
        <w:t xml:space="preserve"> </w:t>
      </w:r>
      <w:r w:rsidRPr="00981405">
        <w:t>on</w:t>
      </w:r>
      <w:r w:rsidR="00190923" w:rsidRPr="00981405">
        <w:t xml:space="preserve"> </w:t>
      </w:r>
      <w:r w:rsidRPr="00981405">
        <w:t>such</w:t>
      </w:r>
      <w:r w:rsidR="00190923" w:rsidRPr="00981405">
        <w:t xml:space="preserve"> </w:t>
      </w:r>
      <w:r w:rsidRPr="00981405">
        <w:t>material</w:t>
      </w:r>
      <w:r w:rsidR="00190923" w:rsidRPr="00981405">
        <w:t xml:space="preserve"> </w:t>
      </w:r>
      <w:r w:rsidRPr="00981405">
        <w:t>they</w:t>
      </w:r>
      <w:r w:rsidR="00190923" w:rsidRPr="00981405">
        <w:t xml:space="preserve"> </w:t>
      </w:r>
      <w:r w:rsidRPr="00981405">
        <w:t>are</w:t>
      </w:r>
      <w:r w:rsidR="00190923" w:rsidRPr="00981405">
        <w:t xml:space="preserve"> </w:t>
      </w:r>
      <w:r w:rsidRPr="00981405">
        <w:t>clearly</w:t>
      </w:r>
      <w:r w:rsidR="00190923" w:rsidRPr="00981405">
        <w:t xml:space="preserve"> </w:t>
      </w:r>
      <w:r w:rsidRPr="00981405">
        <w:t>acting</w:t>
      </w:r>
      <w:r w:rsidR="00190923" w:rsidRPr="00981405">
        <w:t xml:space="preserve"> </w:t>
      </w:r>
      <w:r w:rsidRPr="00981405">
        <w:t>in</w:t>
      </w:r>
      <w:r w:rsidR="00190923" w:rsidRPr="00981405">
        <w:t xml:space="preserve"> </w:t>
      </w:r>
      <w:r w:rsidRPr="00981405">
        <w:t>accordance</w:t>
      </w:r>
      <w:r w:rsidR="00190923" w:rsidRPr="00981405">
        <w:t xml:space="preserve"> </w:t>
      </w:r>
      <w:r w:rsidRPr="00981405">
        <w:t>with</w:t>
      </w:r>
      <w:r w:rsidR="00190923" w:rsidRPr="00981405">
        <w:t xml:space="preserve"> </w:t>
      </w:r>
      <w:r w:rsidRPr="00981405">
        <w:t>relevant</w:t>
      </w:r>
      <w:r w:rsidR="00190923" w:rsidRPr="00981405">
        <w:t xml:space="preserve"> </w:t>
      </w:r>
      <w:r w:rsidRPr="00981405">
        <w:t>interpretative</w:t>
      </w:r>
      <w:r w:rsidR="00190923" w:rsidRPr="00981405">
        <w:t xml:space="preserve"> </w:t>
      </w:r>
      <w:r w:rsidRPr="00981405">
        <w:t>material.</w:t>
      </w:r>
    </w:p>
    <w:p w:rsidR="00397032" w:rsidRPr="00981405" w:rsidRDefault="00397032" w:rsidP="00D97463">
      <w:pPr>
        <w:pStyle w:val="SingleTxt"/>
      </w:pPr>
      <w:r w:rsidRPr="00981405">
        <w:t>181.</w:t>
      </w:r>
      <w:r w:rsidRPr="00981405">
        <w:tab/>
        <w:t>However,</w:t>
      </w:r>
      <w:r w:rsidR="00190923" w:rsidRPr="00981405">
        <w:t xml:space="preserve"> </w:t>
      </w:r>
      <w:r w:rsidRPr="00981405">
        <w:t>most</w:t>
      </w:r>
      <w:r w:rsidR="00190923" w:rsidRPr="00981405">
        <w:t xml:space="preserve"> </w:t>
      </w:r>
      <w:r w:rsidRPr="00981405">
        <w:t>BITs</w:t>
      </w:r>
      <w:r w:rsidR="00190923" w:rsidRPr="00981405">
        <w:t xml:space="preserve"> </w:t>
      </w:r>
      <w:r w:rsidRPr="00981405">
        <w:t>stand</w:t>
      </w:r>
      <w:r w:rsidR="00190923" w:rsidRPr="00981405">
        <w:t xml:space="preserve"> </w:t>
      </w:r>
      <w:r w:rsidRPr="00981405">
        <w:t>alone</w:t>
      </w:r>
      <w:r w:rsidR="00190923" w:rsidRPr="00981405">
        <w:t xml:space="preserve"> </w:t>
      </w:r>
      <w:r w:rsidRPr="00981405">
        <w:t>as</w:t>
      </w:r>
      <w:r w:rsidR="00190923" w:rsidRPr="00981405">
        <w:t xml:space="preserve"> </w:t>
      </w:r>
      <w:r w:rsidRPr="00981405">
        <w:t>agreements</w:t>
      </w:r>
      <w:r w:rsidR="00190923" w:rsidRPr="00981405">
        <w:t xml:space="preserve"> </w:t>
      </w:r>
      <w:r w:rsidRPr="00981405">
        <w:t>between</w:t>
      </w:r>
      <w:r w:rsidR="00190923" w:rsidRPr="00981405">
        <w:t xml:space="preserve"> </w:t>
      </w:r>
      <w:r w:rsidRPr="00981405">
        <w:t>two</w:t>
      </w:r>
      <w:r w:rsidR="00190923" w:rsidRPr="00981405">
        <w:t xml:space="preserve"> </w:t>
      </w:r>
      <w:r w:rsidRPr="00981405">
        <w:t>States</w:t>
      </w:r>
      <w:r w:rsidR="00190923" w:rsidRPr="00981405">
        <w:t xml:space="preserve"> </w:t>
      </w:r>
      <w:r w:rsidRPr="00981405">
        <w:t>unaccompanied</w:t>
      </w:r>
      <w:r w:rsidR="00190923" w:rsidRPr="00981405">
        <w:t xml:space="preserve"> </w:t>
      </w:r>
      <w:r w:rsidRPr="00981405">
        <w:t>by</w:t>
      </w:r>
      <w:r w:rsidR="00190923" w:rsidRPr="00981405">
        <w:t xml:space="preserve"> </w:t>
      </w:r>
      <w:r w:rsidRPr="00981405">
        <w:t>contemporaneous</w:t>
      </w:r>
      <w:r w:rsidR="00190923" w:rsidRPr="00981405">
        <w:t xml:space="preserve"> </w:t>
      </w:r>
      <w:r w:rsidRPr="00981405">
        <w:t>or</w:t>
      </w:r>
      <w:r w:rsidR="00190923" w:rsidRPr="00981405">
        <w:t xml:space="preserve"> </w:t>
      </w:r>
      <w:r w:rsidRPr="00981405">
        <w:t>subsequent</w:t>
      </w:r>
      <w:r w:rsidR="00190923" w:rsidRPr="00981405">
        <w:t xml:space="preserve"> </w:t>
      </w:r>
      <w:r w:rsidRPr="00981405">
        <w:t>agreements</w:t>
      </w:r>
      <w:r w:rsidR="00190923" w:rsidRPr="00981405">
        <w:t xml:space="preserve"> </w:t>
      </w:r>
      <w:r w:rsidRPr="00981405">
        <w:t>or</w:t>
      </w:r>
      <w:r w:rsidR="00190923" w:rsidRPr="00981405">
        <w:t xml:space="preserve"> </w:t>
      </w:r>
      <w:r w:rsidRPr="00981405">
        <w:t>practice</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BIT.</w:t>
      </w:r>
      <w:r w:rsidRPr="00981405">
        <w:rPr>
          <w:rStyle w:val="FootnoteReference"/>
        </w:rPr>
        <w:footnoteReference w:id="590"/>
      </w:r>
      <w:r w:rsidR="00190923" w:rsidRPr="00981405">
        <w:t xml:space="preserve"> </w:t>
      </w:r>
      <w:r w:rsidRPr="00981405">
        <w:t>Thus,</w:t>
      </w:r>
      <w:r w:rsidR="00190923" w:rsidRPr="00981405">
        <w:t xml:space="preserve"> </w:t>
      </w:r>
      <w:r w:rsidRPr="00981405">
        <w:t>what</w:t>
      </w:r>
      <w:r w:rsidR="00190923" w:rsidRPr="00981405">
        <w:t xml:space="preserve"> </w:t>
      </w:r>
      <w:r w:rsidRPr="00981405">
        <w:t>tribunals</w:t>
      </w:r>
      <w:r w:rsidR="00190923" w:rsidRPr="00981405">
        <w:t xml:space="preserve"> </w:t>
      </w:r>
      <w:r w:rsidRPr="00981405">
        <w:t>often</w:t>
      </w:r>
      <w:r w:rsidR="00190923" w:rsidRPr="00981405">
        <w:t xml:space="preserve"> </w:t>
      </w:r>
      <w:r w:rsidRPr="00981405">
        <w:t>refer</w:t>
      </w:r>
      <w:r w:rsidR="00190923" w:rsidRPr="00981405">
        <w:t xml:space="preserve"> </w:t>
      </w:r>
      <w:r w:rsidRPr="00981405">
        <w:t>to</w:t>
      </w:r>
      <w:r w:rsidR="00190923" w:rsidRPr="00981405">
        <w:t xml:space="preserve"> </w:t>
      </w:r>
      <w:r w:rsidRPr="00981405">
        <w:t>are</w:t>
      </w:r>
      <w:r w:rsidR="00190923" w:rsidRPr="00981405">
        <w:t xml:space="preserve"> </w:t>
      </w:r>
      <w:r w:rsidRPr="00981405">
        <w:t>agreements</w:t>
      </w:r>
      <w:r w:rsidR="00190923" w:rsidRPr="00981405">
        <w:t xml:space="preserve"> </w:t>
      </w:r>
      <w:r w:rsidRPr="00981405">
        <w:t>by</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BIT</w:t>
      </w:r>
      <w:r w:rsidR="00190923" w:rsidRPr="00981405">
        <w:t xml:space="preserve"> </w:t>
      </w:r>
      <w:r w:rsidRPr="00981405">
        <w:t>with</w:t>
      </w:r>
      <w:r w:rsidR="00190923" w:rsidRPr="00981405">
        <w:t xml:space="preserve"> </w:t>
      </w:r>
      <w:r w:rsidRPr="00981405">
        <w:t>third</w:t>
      </w:r>
      <w:r w:rsidR="00190923" w:rsidRPr="00981405">
        <w:t xml:space="preserve"> </w:t>
      </w:r>
      <w:r w:rsidRPr="00981405">
        <w:t>States.</w:t>
      </w:r>
      <w:r w:rsidRPr="00981405">
        <w:rPr>
          <w:rStyle w:val="FootnoteReference"/>
        </w:rPr>
        <w:footnoteReference w:id="591"/>
      </w:r>
      <w:r w:rsidR="00190923" w:rsidRPr="00981405">
        <w:t xml:space="preserve"> </w:t>
      </w:r>
      <w:r w:rsidRPr="00981405">
        <w:t>One</w:t>
      </w:r>
      <w:r w:rsidR="00190923" w:rsidRPr="00981405">
        <w:t xml:space="preserve"> </w:t>
      </w:r>
      <w:r w:rsidRPr="00981405">
        <w:t>tribunal</w:t>
      </w:r>
      <w:r w:rsidR="00190923" w:rsidRPr="00981405">
        <w:t xml:space="preserve"> </w:t>
      </w:r>
      <w:r w:rsidRPr="00981405">
        <w:t>has</w:t>
      </w:r>
      <w:r w:rsidR="00190923" w:rsidRPr="00981405">
        <w:t xml:space="preserve"> </w:t>
      </w:r>
      <w:r w:rsidRPr="00981405">
        <w:t>taken</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treaties</w:t>
      </w:r>
      <w:r w:rsidR="00190923" w:rsidRPr="00981405">
        <w:t xml:space="preserve"> </w:t>
      </w:r>
      <w:r w:rsidRPr="00981405">
        <w:lastRenderedPageBreak/>
        <w:t>with</w:t>
      </w:r>
      <w:r w:rsidR="00190923" w:rsidRPr="00981405">
        <w:t xml:space="preserve"> </w:t>
      </w:r>
      <w:r w:rsidRPr="00981405">
        <w:t>third</w:t>
      </w:r>
      <w:r w:rsidR="00190923" w:rsidRPr="00981405">
        <w:t xml:space="preserve"> </w:t>
      </w:r>
      <w:r w:rsidRPr="00981405">
        <w:t>States</w:t>
      </w:r>
      <w:r w:rsidR="00190923" w:rsidRPr="00981405">
        <w:t xml:space="preserve"> </w:t>
      </w:r>
      <w:r w:rsidRPr="00981405">
        <w:t>were</w:t>
      </w:r>
      <w:r w:rsidR="00190923" w:rsidRPr="00981405">
        <w:t xml:space="preserve"> </w:t>
      </w:r>
      <w:r w:rsidRPr="00981405">
        <w:t>not</w:t>
      </w:r>
      <w:r w:rsidR="00190923" w:rsidRPr="00981405">
        <w:t xml:space="preserve"> </w:t>
      </w:r>
      <w:r w:rsidRPr="00981405">
        <w:t>relevant</w:t>
      </w:r>
      <w:r w:rsidR="00190923" w:rsidRPr="00981405">
        <w:t xml:space="preserve"> </w:t>
      </w:r>
      <w:r w:rsidRPr="00981405">
        <w:t>because</w:t>
      </w:r>
      <w:r w:rsidR="00190923" w:rsidRPr="00981405">
        <w:t xml:space="preserve"> </w:t>
      </w:r>
      <w:r w:rsidRPr="00981405">
        <w:t>it</w:t>
      </w:r>
      <w:r w:rsidR="00190923" w:rsidRPr="00981405">
        <w:t xml:space="preserve"> </w:t>
      </w:r>
      <w:r w:rsidRPr="00981405">
        <w:t>was</w:t>
      </w:r>
      <w:r w:rsidR="00190923" w:rsidRPr="00981405">
        <w:t xml:space="preserve"> </w:t>
      </w:r>
      <w:r w:rsidRPr="00981405">
        <w:t>the</w:t>
      </w:r>
      <w:r w:rsidR="00190923" w:rsidRPr="00981405">
        <w:t xml:space="preserve"> </w:t>
      </w:r>
      <w:r w:rsidRPr="00981405">
        <w:t>text</w:t>
      </w:r>
      <w:r w:rsidR="00190923" w:rsidRPr="00981405">
        <w:t xml:space="preserve"> </w:t>
      </w:r>
      <w:r w:rsidRPr="00981405">
        <w:t>of</w:t>
      </w:r>
      <w:r w:rsidR="00190923" w:rsidRPr="00981405">
        <w:t xml:space="preserve"> </w:t>
      </w:r>
      <w:r w:rsidRPr="00981405">
        <w:t>the</w:t>
      </w:r>
      <w:r w:rsidR="00190923" w:rsidRPr="00981405">
        <w:t xml:space="preserve"> </w:t>
      </w:r>
      <w:r w:rsidRPr="00981405">
        <w:t>BIT</w:t>
      </w:r>
      <w:r w:rsidR="00190923" w:rsidRPr="00981405">
        <w:t xml:space="preserve"> </w:t>
      </w:r>
      <w:r w:rsidRPr="00981405">
        <w:t>before</w:t>
      </w:r>
      <w:r w:rsidR="00190923" w:rsidRPr="00981405">
        <w:t xml:space="preserve"> </w:t>
      </w:r>
      <w:r w:rsidRPr="00981405">
        <w:t>it</w:t>
      </w:r>
      <w:r w:rsidR="00190923" w:rsidRPr="00981405">
        <w:t xml:space="preserve"> </w:t>
      </w:r>
      <w:r w:rsidRPr="00981405">
        <w:t>that</w:t>
      </w:r>
      <w:r w:rsidR="00190923" w:rsidRPr="00981405">
        <w:t xml:space="preserve"> </w:t>
      </w:r>
      <w:r w:rsidRPr="00981405">
        <w:t>had</w:t>
      </w:r>
      <w:r w:rsidR="00190923" w:rsidRPr="00981405">
        <w:t xml:space="preserve"> </w:t>
      </w:r>
      <w:r w:rsidRPr="00981405">
        <w:t>to</w:t>
      </w:r>
      <w:r w:rsidR="00190923" w:rsidRPr="00981405">
        <w:t xml:space="preserve"> </w:t>
      </w:r>
      <w:r w:rsidRPr="00981405">
        <w:t>be</w:t>
      </w:r>
      <w:r w:rsidR="00190923" w:rsidRPr="00981405">
        <w:t xml:space="preserve"> </w:t>
      </w:r>
      <w:r w:rsidRPr="00981405">
        <w:t>interpreted.</w:t>
      </w:r>
      <w:r w:rsidRPr="00981405">
        <w:rPr>
          <w:rStyle w:val="FootnoteReference"/>
        </w:rPr>
        <w:footnoteReference w:id="592"/>
      </w:r>
    </w:p>
    <w:p w:rsidR="00397032" w:rsidRPr="00981405" w:rsidRDefault="00397032" w:rsidP="00D97463">
      <w:pPr>
        <w:pStyle w:val="SingleTxt"/>
      </w:pPr>
      <w:r w:rsidRPr="00981405">
        <w:t>182.</w:t>
      </w:r>
      <w:r w:rsidR="00190923" w:rsidRPr="00981405">
        <w:t xml:space="preserve"> </w:t>
      </w:r>
      <w:r w:rsidRPr="00981405">
        <w:t>The</w:t>
      </w:r>
      <w:r w:rsidR="00190923" w:rsidRPr="00981405">
        <w:t xml:space="preserve"> </w:t>
      </w:r>
      <w:r w:rsidRPr="00981405">
        <w:t>actions</w:t>
      </w:r>
      <w:r w:rsidR="00190923" w:rsidRPr="00981405">
        <w:t xml:space="preserve"> </w:t>
      </w:r>
      <w:r w:rsidRPr="00981405">
        <w:t>of</w:t>
      </w:r>
      <w:r w:rsidR="00190923" w:rsidRPr="00981405">
        <w:t xml:space="preserve"> </w:t>
      </w:r>
      <w:r w:rsidRPr="00981405">
        <w:t>one</w:t>
      </w:r>
      <w:r w:rsidR="00190923" w:rsidRPr="00981405">
        <w:t xml:space="preserve"> </w:t>
      </w:r>
      <w:r w:rsidRPr="00981405">
        <w:t>State</w:t>
      </w:r>
      <w:r w:rsidR="00190923" w:rsidRPr="00981405">
        <w:t xml:space="preserve"> </w:t>
      </w:r>
      <w:r w:rsidRPr="00981405">
        <w:t>party</w:t>
      </w:r>
      <w:r w:rsidR="00190923" w:rsidRPr="00981405">
        <w:t xml:space="preserve"> </w:t>
      </w:r>
      <w:r w:rsidRPr="00981405">
        <w:t>to</w:t>
      </w:r>
      <w:r w:rsidR="00190923" w:rsidRPr="00981405">
        <w:t xml:space="preserve"> </w:t>
      </w:r>
      <w:r w:rsidRPr="00981405">
        <w:t>a</w:t>
      </w:r>
      <w:r w:rsidR="00190923" w:rsidRPr="00981405">
        <w:t xml:space="preserve"> </w:t>
      </w:r>
      <w:r w:rsidRPr="00981405">
        <w:t>BIT</w:t>
      </w:r>
      <w:r w:rsidR="00190923" w:rsidRPr="00981405">
        <w:t xml:space="preserve"> </w:t>
      </w:r>
      <w:r w:rsidRPr="00981405">
        <w:t>that</w:t>
      </w:r>
      <w:r w:rsidR="00190923" w:rsidRPr="00981405">
        <w:t xml:space="preserve"> </w:t>
      </w:r>
      <w:r w:rsidRPr="00981405">
        <w:t>do</w:t>
      </w:r>
      <w:r w:rsidR="00190923" w:rsidRPr="00981405">
        <w:t xml:space="preserve"> </w:t>
      </w:r>
      <w:r w:rsidRPr="00981405">
        <w:t>not</w:t>
      </w:r>
      <w:r w:rsidR="00190923" w:rsidRPr="00981405">
        <w:t xml:space="preserve"> </w:t>
      </w:r>
      <w:r w:rsidRPr="00981405">
        <w:t>involve</w:t>
      </w:r>
      <w:r w:rsidR="00190923" w:rsidRPr="00981405">
        <w:t xml:space="preserve"> </w:t>
      </w:r>
      <w:r w:rsidRPr="00981405">
        <w:t>the</w:t>
      </w:r>
      <w:r w:rsidR="00190923" w:rsidRPr="00981405">
        <w:t xml:space="preserve"> </w:t>
      </w:r>
      <w:r w:rsidRPr="00981405">
        <w:t>other</w:t>
      </w:r>
      <w:r w:rsidR="00190923" w:rsidRPr="00981405">
        <w:t xml:space="preserve"> </w:t>
      </w:r>
      <w:r w:rsidRPr="00981405">
        <w:t>State</w:t>
      </w:r>
      <w:r w:rsidR="00190923" w:rsidRPr="00981405">
        <w:t xml:space="preserve"> </w:t>
      </w:r>
      <w:r w:rsidRPr="00981405">
        <w:t>party</w:t>
      </w:r>
      <w:r w:rsidR="00190923" w:rsidRPr="00981405">
        <w:t xml:space="preserve"> </w:t>
      </w:r>
      <w:r w:rsidRPr="00981405">
        <w:t>might</w:t>
      </w:r>
      <w:r w:rsidR="00190923" w:rsidRPr="00981405">
        <w:t xml:space="preserve"> </w:t>
      </w:r>
      <w:r w:rsidRPr="00981405">
        <w:t>have</w:t>
      </w:r>
      <w:r w:rsidR="00190923" w:rsidRPr="00981405">
        <w:t xml:space="preserve"> </w:t>
      </w:r>
      <w:r w:rsidRPr="00981405">
        <w:t>some</w:t>
      </w:r>
      <w:r w:rsidR="00190923" w:rsidRPr="00981405">
        <w:t xml:space="preserve"> </w:t>
      </w:r>
      <w:r w:rsidRPr="00981405">
        <w:t>contextual</w:t>
      </w:r>
      <w:r w:rsidR="00190923" w:rsidRPr="00981405">
        <w:t xml:space="preserve"> </w:t>
      </w:r>
      <w:r w:rsidRPr="00981405">
        <w:t>relevance</w:t>
      </w:r>
      <w:r w:rsidR="00190923" w:rsidRPr="00981405">
        <w:t xml:space="preserve"> </w:t>
      </w:r>
      <w:r w:rsidRPr="00981405">
        <w:t>by</w:t>
      </w:r>
      <w:r w:rsidR="00190923" w:rsidRPr="00981405">
        <w:t xml:space="preserve"> </w:t>
      </w:r>
      <w:r w:rsidRPr="00981405">
        <w:t>demonstrating</w:t>
      </w:r>
      <w:r w:rsidR="00190923" w:rsidRPr="00981405">
        <w:t xml:space="preserve"> </w:t>
      </w:r>
      <w:r w:rsidRPr="00981405">
        <w:t>the</w:t>
      </w:r>
      <w:r w:rsidR="00190923" w:rsidRPr="00981405">
        <w:t xml:space="preserve"> </w:t>
      </w:r>
      <w:r w:rsidRPr="00981405">
        <w:t>attitude</w:t>
      </w:r>
      <w:r w:rsidR="00190923" w:rsidRPr="00981405">
        <w:t xml:space="preserve"> </w:t>
      </w:r>
      <w:r w:rsidRPr="00981405">
        <w:t>of</w:t>
      </w:r>
      <w:r w:rsidR="00190923" w:rsidRPr="00981405">
        <w:t xml:space="preserve"> </w:t>
      </w:r>
      <w:r w:rsidRPr="00981405">
        <w:t>one</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However,</w:t>
      </w:r>
      <w:r w:rsidR="00190923" w:rsidRPr="00981405">
        <w:t xml:space="preserve"> </w:t>
      </w:r>
      <w:r w:rsidRPr="00981405">
        <w:t>such</w:t>
      </w:r>
      <w:r w:rsidR="00190923" w:rsidRPr="00981405">
        <w:t xml:space="preserve"> </w:t>
      </w:r>
      <w:r w:rsidRPr="00981405">
        <w:t>actions</w:t>
      </w:r>
      <w:r w:rsidR="00190923" w:rsidRPr="00981405">
        <w:t xml:space="preserve"> </w:t>
      </w:r>
      <w:r w:rsidRPr="00981405">
        <w:t>do</w:t>
      </w:r>
      <w:r w:rsidR="00190923" w:rsidRPr="00981405">
        <w:t xml:space="preserve"> </w:t>
      </w:r>
      <w:r w:rsidRPr="00981405">
        <w:t>not</w:t>
      </w:r>
      <w:r w:rsidR="00190923" w:rsidRPr="00981405">
        <w:t xml:space="preserve"> </w:t>
      </w:r>
      <w:r w:rsidRPr="00981405">
        <w:t>fall</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31(3)(b)</w:t>
      </w:r>
      <w:r w:rsidR="00190923" w:rsidRPr="00981405">
        <w:t xml:space="preserve"> </w:t>
      </w:r>
      <w:r w:rsidRPr="00981405">
        <w:t>of</w:t>
      </w:r>
      <w:r w:rsidR="00190923" w:rsidRPr="00981405">
        <w:t xml:space="preserve"> </w:t>
      </w:r>
      <w:r w:rsidRPr="00981405">
        <w:t>the</w:t>
      </w:r>
      <w:r w:rsidR="00190923" w:rsidRPr="00981405">
        <w:t xml:space="preserve"> </w:t>
      </w:r>
      <w:r w:rsidRPr="00981405">
        <w:t>Vienna</w:t>
      </w:r>
      <w:r w:rsidR="00190923" w:rsidRPr="00981405">
        <w:t xml:space="preserve"> </w:t>
      </w:r>
      <w:r w:rsidRPr="00981405">
        <w:t>Convention,</w:t>
      </w:r>
      <w:r w:rsidR="00190923" w:rsidRPr="00981405">
        <w:t xml:space="preserve"> </w:t>
      </w:r>
      <w:r w:rsidRPr="00981405">
        <w:t>which</w:t>
      </w:r>
      <w:r w:rsidR="00190923" w:rsidRPr="00981405">
        <w:t xml:space="preserve"> </w:t>
      </w:r>
      <w:r w:rsidRPr="00981405">
        <w:t>considers</w:t>
      </w:r>
      <w:r w:rsidR="00190923" w:rsidRPr="00981405">
        <w:t xml:space="preserve"> </w:t>
      </w:r>
      <w:r w:rsidRPr="00981405">
        <w:t>the</w:t>
      </w:r>
      <w:r w:rsidR="00190923" w:rsidRPr="00981405">
        <w:t xml:space="preserve"> </w:t>
      </w:r>
      <w:r w:rsidRPr="00981405">
        <w:t>common</w:t>
      </w:r>
      <w:r w:rsidR="00190923" w:rsidRPr="00981405">
        <w:t xml:space="preserve"> </w:t>
      </w:r>
      <w:r w:rsidRPr="00981405">
        <w:t>intent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but</w:t>
      </w:r>
      <w:r w:rsidR="00190923" w:rsidRPr="00981405">
        <w:t xml:space="preserve"> </w:t>
      </w:r>
      <w:r w:rsidRPr="00981405">
        <w:t>may</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under</w:t>
      </w:r>
      <w:r w:rsidR="00190923" w:rsidRPr="00981405">
        <w:t xml:space="preserve"> </w:t>
      </w:r>
      <w:r w:rsidRPr="00981405">
        <w:t>article</w:t>
      </w:r>
      <w:r w:rsidR="00190923" w:rsidRPr="00981405">
        <w:t xml:space="preserve"> </w:t>
      </w:r>
      <w:r w:rsidRPr="00981405">
        <w:t>32.</w:t>
      </w:r>
      <w:r w:rsidRPr="00981405">
        <w:rPr>
          <w:rStyle w:val="FootnoteReference"/>
        </w:rPr>
        <w:footnoteReference w:id="593"/>
      </w:r>
      <w:r w:rsidR="00190923" w:rsidRPr="00981405">
        <w:t xml:space="preserve"> </w:t>
      </w:r>
    </w:p>
    <w:p w:rsidR="00397032" w:rsidRPr="00981405" w:rsidRDefault="00397032" w:rsidP="00D97463">
      <w:pPr>
        <w:pStyle w:val="SingleTxt"/>
      </w:pPr>
      <w:r w:rsidRPr="00981405">
        <w:t>183.</w:t>
      </w:r>
      <w:r w:rsidRPr="00981405">
        <w:tab/>
        <w:t>The</w:t>
      </w:r>
      <w:r w:rsidR="00190923" w:rsidRPr="00981405">
        <w:t xml:space="preserve"> </w:t>
      </w:r>
      <w:r w:rsidRPr="00981405">
        <w:t>question,</w:t>
      </w:r>
      <w:r w:rsidR="00190923" w:rsidRPr="00981405">
        <w:t xml:space="preserve"> </w:t>
      </w:r>
      <w:r w:rsidRPr="00981405">
        <w:t>however,</w:t>
      </w:r>
      <w:r w:rsidR="00190923" w:rsidRPr="00981405">
        <w:t xml:space="preserve"> </w:t>
      </w:r>
      <w:r w:rsidRPr="00981405">
        <w:t>is</w:t>
      </w:r>
      <w:r w:rsidR="00190923" w:rsidRPr="00981405">
        <w:t xml:space="preserve"> </w:t>
      </w:r>
      <w:r w:rsidRPr="00981405">
        <w:t>whether</w:t>
      </w:r>
      <w:r w:rsidR="00190923" w:rsidRPr="00981405">
        <w:t xml:space="preserve"> </w:t>
      </w:r>
      <w:r w:rsidRPr="00981405">
        <w:t>there</w:t>
      </w:r>
      <w:r w:rsidR="00190923" w:rsidRPr="00981405">
        <w:t xml:space="preserve"> </w:t>
      </w:r>
      <w:r w:rsidRPr="00981405">
        <w:t>is</w:t>
      </w:r>
      <w:r w:rsidR="00190923" w:rsidRPr="00981405">
        <w:t xml:space="preserve"> </w:t>
      </w:r>
      <w:r w:rsidRPr="00981405">
        <w:t>any</w:t>
      </w:r>
      <w:r w:rsidR="00190923" w:rsidRPr="00981405">
        <w:t xml:space="preserve"> </w:t>
      </w:r>
      <w:r w:rsidRPr="00981405">
        <w:t>other</w:t>
      </w:r>
      <w:r w:rsidR="00190923" w:rsidRPr="00981405">
        <w:t xml:space="preserve"> </w:t>
      </w:r>
      <w:r w:rsidRPr="00981405">
        <w:t>basis</w:t>
      </w:r>
      <w:r w:rsidR="00190923" w:rsidRPr="00981405">
        <w:t xml:space="preserve"> </w:t>
      </w:r>
      <w:r w:rsidRPr="00981405">
        <w:t>on</w:t>
      </w:r>
      <w:r w:rsidR="00190923" w:rsidRPr="00981405">
        <w:t xml:space="preserve"> </w:t>
      </w:r>
      <w:r w:rsidRPr="00981405">
        <w:t>which</w:t>
      </w:r>
      <w:r w:rsidR="00190923" w:rsidRPr="00981405">
        <w:t xml:space="preserve"> </w:t>
      </w:r>
      <w:r w:rsidRPr="00981405">
        <w:t>the</w:t>
      </w:r>
      <w:r w:rsidR="00190923" w:rsidRPr="00981405">
        <w:t xml:space="preserve"> </w:t>
      </w:r>
      <w:r w:rsidRPr="00981405">
        <w:t>treaty-making</w:t>
      </w:r>
      <w:r w:rsidR="00190923" w:rsidRPr="00981405">
        <w:t xml:space="preserve"> </w:t>
      </w:r>
      <w:r w:rsidRPr="00981405">
        <w:t>practice</w:t>
      </w:r>
      <w:r w:rsidR="00190923" w:rsidRPr="00981405">
        <w:t xml:space="preserve"> </w:t>
      </w:r>
      <w:r w:rsidRPr="00981405">
        <w:t>of</w:t>
      </w:r>
      <w:r w:rsidR="00190923" w:rsidRPr="00981405">
        <w:t xml:space="preserve"> </w:t>
      </w:r>
      <w:r w:rsidRPr="00981405">
        <w:t>one</w:t>
      </w:r>
      <w:r w:rsidR="00190923" w:rsidRPr="00981405">
        <w:t xml:space="preserve"> </w:t>
      </w:r>
      <w:r w:rsidRPr="00981405">
        <w:t>party</w:t>
      </w:r>
      <w:r w:rsidR="00190923" w:rsidRPr="00981405">
        <w:t xml:space="preserve"> </w:t>
      </w:r>
      <w:r w:rsidRPr="00981405">
        <w:t>alone</w:t>
      </w:r>
      <w:r w:rsidR="00190923" w:rsidRPr="00981405">
        <w:t xml:space="preserve"> </w:t>
      </w:r>
      <w:r w:rsidRPr="00981405">
        <w:t>can</w:t>
      </w:r>
      <w:r w:rsidR="00190923" w:rsidRPr="00981405">
        <w:t xml:space="preserve"> </w:t>
      </w:r>
      <w:r w:rsidRPr="00981405">
        <w:t>be</w:t>
      </w:r>
      <w:r w:rsidR="00190923" w:rsidRPr="00981405">
        <w:t xml:space="preserve"> </w:t>
      </w:r>
      <w:r w:rsidRPr="00981405">
        <w:t>relevant.</w:t>
      </w:r>
      <w:r w:rsidR="00190923" w:rsidRPr="00981405">
        <w:t xml:space="preserve"> </w:t>
      </w:r>
      <w:r w:rsidRPr="00981405">
        <w:t>In</w:t>
      </w:r>
      <w:r w:rsidR="00190923" w:rsidRPr="00981405">
        <w:t xml:space="preserve"> </w:t>
      </w:r>
      <w:r w:rsidRPr="00D97463">
        <w:rPr>
          <w:i/>
          <w:iCs/>
        </w:rPr>
        <w:t>ICS</w:t>
      </w:r>
      <w:r w:rsidR="00190923" w:rsidRPr="00D97463">
        <w:rPr>
          <w:i/>
          <w:iCs/>
        </w:rPr>
        <w:t xml:space="preserve"> </w:t>
      </w:r>
      <w:r w:rsidRPr="00981405">
        <w:t>the</w:t>
      </w:r>
      <w:r w:rsidR="00190923" w:rsidRPr="00981405">
        <w:t xml:space="preserve"> </w:t>
      </w:r>
      <w:r w:rsidRPr="00981405">
        <w:t>tribunal</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the</w:t>
      </w:r>
      <w:r w:rsidR="00190923" w:rsidRPr="00981405">
        <w:t xml:space="preserve"> </w:t>
      </w:r>
      <w:r w:rsidRPr="00981405">
        <w:t>treaty</w:t>
      </w:r>
      <w:r w:rsidR="00190923" w:rsidRPr="00981405">
        <w:t xml:space="preserve"> </w:t>
      </w:r>
      <w:r w:rsidRPr="00981405">
        <w:t>making</w:t>
      </w:r>
      <w:r w:rsidR="00190923" w:rsidRPr="00981405">
        <w:t xml:space="preserve"> </w:t>
      </w:r>
      <w:r w:rsidRPr="00981405">
        <w:t>practice</w:t>
      </w:r>
      <w:r w:rsidR="00190923" w:rsidRPr="00981405">
        <w:t xml:space="preserve"> </w:t>
      </w:r>
      <w:r w:rsidRPr="00981405">
        <w:t>of</w:t>
      </w:r>
      <w:r w:rsidR="00190923" w:rsidRPr="00981405">
        <w:t xml:space="preserve"> </w:t>
      </w:r>
      <w:r w:rsidRPr="00981405">
        <w:t>one</w:t>
      </w:r>
      <w:r w:rsidR="00190923" w:rsidRPr="00981405">
        <w:t xml:space="preserve"> </w:t>
      </w:r>
      <w:r w:rsidRPr="00981405">
        <w:t>party</w:t>
      </w:r>
      <w:r w:rsidR="00190923" w:rsidRPr="00981405">
        <w:t xml:space="preserve"> </w:t>
      </w:r>
      <w:r w:rsidRPr="00981405">
        <w:t>alone</w:t>
      </w:r>
      <w:r w:rsidR="00190923" w:rsidRPr="00981405">
        <w:t xml:space="preserve"> </w:t>
      </w:r>
      <w:r w:rsidRPr="00981405">
        <w:t>was</w:t>
      </w:r>
      <w:r w:rsidR="00190923" w:rsidRPr="00981405">
        <w:t xml:space="preserve"> </w:t>
      </w:r>
      <w:r w:rsidRPr="00981405">
        <w:t>not</w:t>
      </w:r>
      <w:r w:rsidR="00190923" w:rsidRPr="00981405">
        <w:t xml:space="preserve"> </w:t>
      </w:r>
      <w:r w:rsidRPr="00981405">
        <w:t>relevant.</w:t>
      </w:r>
      <w:r w:rsidR="00190923" w:rsidRPr="00981405">
        <w:t xml:space="preserve"> </w:t>
      </w:r>
      <w:r w:rsidRPr="00981405">
        <w:t>However,</w:t>
      </w:r>
      <w:r w:rsidR="00190923" w:rsidRPr="00981405">
        <w:t xml:space="preserve"> </w:t>
      </w:r>
      <w:r w:rsidRPr="00981405">
        <w:t>it</w:t>
      </w:r>
      <w:r w:rsidR="00190923" w:rsidRPr="00981405">
        <w:t xml:space="preserve"> </w:t>
      </w:r>
      <w:r w:rsidRPr="00981405">
        <w:t>did</w:t>
      </w:r>
      <w:r w:rsidR="00190923" w:rsidRPr="00981405">
        <w:t xml:space="preserve"> </w:t>
      </w:r>
      <w:r w:rsidRPr="00981405">
        <w:t>regard</w:t>
      </w:r>
      <w:r w:rsidR="00190923" w:rsidRPr="00981405">
        <w:t xml:space="preserve"> </w:t>
      </w:r>
      <w:r w:rsidRPr="00981405">
        <w:t>as</w:t>
      </w:r>
      <w:r w:rsidR="00190923" w:rsidRPr="00981405">
        <w:t xml:space="preserve"> </w:t>
      </w:r>
      <w:r w:rsidRPr="00981405">
        <w:t>relevant</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a</w:t>
      </w:r>
      <w:r w:rsidR="00190923" w:rsidRPr="00981405">
        <w:t xml:space="preserve"> </w:t>
      </w:r>
      <w:r w:rsidRPr="00981405">
        <w:t>State</w:t>
      </w:r>
      <w:r w:rsidR="00190923" w:rsidRPr="00981405">
        <w:t xml:space="preserve"> </w:t>
      </w:r>
      <w:r w:rsidRPr="00981405">
        <w:t>had</w:t>
      </w:r>
      <w:r w:rsidR="00190923" w:rsidRPr="00981405">
        <w:t xml:space="preserve"> </w:t>
      </w:r>
      <w:r w:rsidRPr="00981405">
        <w:t>continued</w:t>
      </w:r>
      <w:r w:rsidR="00190923" w:rsidRPr="00981405">
        <w:t xml:space="preserve"> </w:t>
      </w:r>
      <w:r w:rsidRPr="00981405">
        <w:t>to</w:t>
      </w:r>
      <w:r w:rsidR="00190923" w:rsidRPr="00981405">
        <w:t xml:space="preserve"> </w:t>
      </w:r>
      <w:r w:rsidRPr="00981405">
        <w:t>include</w:t>
      </w:r>
      <w:r w:rsidR="00190923" w:rsidRPr="00981405">
        <w:t xml:space="preserve"> </w:t>
      </w:r>
      <w:r w:rsidRPr="00981405">
        <w:t>an</w:t>
      </w:r>
      <w:r w:rsidR="00190923" w:rsidRPr="00981405">
        <w:t xml:space="preserve"> </w:t>
      </w:r>
      <w:r w:rsidRPr="00981405">
        <w:t>18-month</w:t>
      </w:r>
      <w:r w:rsidR="00190923" w:rsidRPr="00981405">
        <w:t xml:space="preserve"> </w:t>
      </w:r>
      <w:r w:rsidRPr="00981405">
        <w:t>requirement</w:t>
      </w:r>
      <w:r w:rsidR="00190923" w:rsidRPr="00981405">
        <w:t xml:space="preserve"> </w:t>
      </w:r>
      <w:r w:rsidRPr="00981405">
        <w:t>in</w:t>
      </w:r>
      <w:r w:rsidR="00190923" w:rsidRPr="00981405">
        <w:t xml:space="preserve"> </w:t>
      </w:r>
      <w:r w:rsidRPr="00981405">
        <w:t>subsequent</w:t>
      </w:r>
      <w:r w:rsidR="00190923" w:rsidRPr="00981405">
        <w:t xml:space="preserve"> </w:t>
      </w:r>
      <w:r w:rsidRPr="00981405">
        <w:t>BITs.</w:t>
      </w:r>
      <w:r w:rsidR="00190923" w:rsidRPr="00981405">
        <w:t xml:space="preserve"> </w:t>
      </w:r>
      <w:r w:rsidRPr="00981405">
        <w:t>The</w:t>
      </w:r>
      <w:r w:rsidR="00190923" w:rsidRPr="00981405">
        <w:t xml:space="preserve"> </w:t>
      </w:r>
      <w:r w:rsidRPr="00981405">
        <w:t>tribunal</w:t>
      </w:r>
      <w:r w:rsidR="00190923" w:rsidRPr="00981405">
        <w:t xml:space="preserve"> </w:t>
      </w:r>
      <w:r w:rsidRPr="00981405">
        <w:t>considered</w:t>
      </w:r>
      <w:r w:rsidR="00190923" w:rsidRPr="00981405">
        <w:t xml:space="preserve"> </w:t>
      </w:r>
      <w:r w:rsidRPr="00981405">
        <w:t>that</w:t>
      </w:r>
      <w:r w:rsidR="00190923" w:rsidRPr="00981405">
        <w:t xml:space="preserve"> </w:t>
      </w:r>
      <w:r w:rsidRPr="00981405">
        <w:t>the</w:t>
      </w:r>
      <w:r w:rsidR="00190923" w:rsidRPr="00981405">
        <w:t xml:space="preserve"> </w:t>
      </w:r>
      <w:r w:rsidRPr="00981405">
        <w:t>State</w:t>
      </w:r>
      <w:r w:rsidR="00190923" w:rsidRPr="00981405">
        <w:t xml:space="preserve"> </w:t>
      </w:r>
      <w:r w:rsidRPr="00981405">
        <w:t>was</w:t>
      </w:r>
      <w:r w:rsidR="00190923" w:rsidRPr="00981405">
        <w:t xml:space="preserve"> </w:t>
      </w:r>
      <w:r w:rsidRPr="00981405">
        <w:t>unlikely</w:t>
      </w:r>
      <w:r w:rsidR="00190923" w:rsidRPr="00981405">
        <w:t xml:space="preserve"> </w:t>
      </w:r>
      <w:r w:rsidRPr="00981405">
        <w:t>to</w:t>
      </w:r>
      <w:r w:rsidR="00190923" w:rsidRPr="00981405">
        <w:t xml:space="preserve"> </w:t>
      </w:r>
      <w:r w:rsidRPr="00981405">
        <w:t>be</w:t>
      </w:r>
      <w:r w:rsidR="00190923" w:rsidRPr="00981405">
        <w:t xml:space="preserve"> </w:t>
      </w:r>
      <w:r w:rsidRPr="00981405">
        <w:t>insisting</w:t>
      </w:r>
      <w:r w:rsidR="00190923" w:rsidRPr="00981405">
        <w:t xml:space="preserve"> </w:t>
      </w:r>
      <w:r w:rsidRPr="00981405">
        <w:t>on</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of</w:t>
      </w:r>
      <w:r w:rsidR="00190923" w:rsidRPr="00981405">
        <w:t xml:space="preserve"> </w:t>
      </w:r>
      <w:r w:rsidRPr="00981405">
        <w:t>a</w:t>
      </w:r>
      <w:r w:rsidR="00190923" w:rsidRPr="00981405">
        <w:t xml:space="preserve"> </w:t>
      </w:r>
      <w:r w:rsidRPr="00981405">
        <w:t>provision</w:t>
      </w:r>
      <w:r w:rsidR="00190923" w:rsidRPr="00981405">
        <w:t xml:space="preserve"> </w:t>
      </w:r>
      <w:r w:rsidRPr="00981405">
        <w:t>that</w:t>
      </w:r>
      <w:r w:rsidR="00190923" w:rsidRPr="00981405">
        <w:t xml:space="preserve"> </w:t>
      </w:r>
      <w:r w:rsidRPr="00981405">
        <w:t>it</w:t>
      </w:r>
      <w:r w:rsidR="00190923" w:rsidRPr="00981405">
        <w:t xml:space="preserve"> </w:t>
      </w:r>
      <w:r w:rsidRPr="00981405">
        <w:t>knew</w:t>
      </w:r>
      <w:r w:rsidR="00190923" w:rsidRPr="00981405">
        <w:t xml:space="preserve"> </w:t>
      </w:r>
      <w:r w:rsidRPr="00981405">
        <w:t>would</w:t>
      </w:r>
      <w:r w:rsidR="00190923" w:rsidRPr="00981405">
        <w:t xml:space="preserve"> </w:t>
      </w:r>
      <w:r w:rsidRPr="00981405">
        <w:t>be</w:t>
      </w:r>
      <w:r w:rsidR="00190923" w:rsidRPr="00981405">
        <w:t xml:space="preserve"> </w:t>
      </w:r>
      <w:r w:rsidRPr="00981405">
        <w:t>devoid</w:t>
      </w:r>
      <w:r w:rsidR="00190923" w:rsidRPr="00981405">
        <w:t xml:space="preserve"> </w:t>
      </w:r>
      <w:r w:rsidRPr="00981405">
        <w:t>of</w:t>
      </w:r>
      <w:r w:rsidR="00190923" w:rsidRPr="00981405">
        <w:t xml:space="preserve"> </w:t>
      </w:r>
      <w:r w:rsidRPr="00981405">
        <w:t>any</w:t>
      </w:r>
      <w:r w:rsidR="00190923" w:rsidRPr="00981405">
        <w:t xml:space="preserve"> </w:t>
      </w:r>
      <w:r w:rsidRPr="00D97463">
        <w:rPr>
          <w:i/>
          <w:iCs/>
        </w:rPr>
        <w:t>effet</w:t>
      </w:r>
      <w:r w:rsidR="00190923" w:rsidRPr="00D97463">
        <w:rPr>
          <w:i/>
          <w:iCs/>
        </w:rPr>
        <w:t xml:space="preserve"> </w:t>
      </w:r>
      <w:r w:rsidRPr="00D97463">
        <w:rPr>
          <w:i/>
          <w:iCs/>
        </w:rPr>
        <w:t>utile</w:t>
      </w:r>
      <w:r w:rsidR="00190923" w:rsidRPr="00981405">
        <w:t xml:space="preserve"> </w:t>
      </w:r>
      <w:r w:rsidRPr="00981405">
        <w:t>because</w:t>
      </w:r>
      <w:r w:rsidR="00190923" w:rsidRPr="00981405">
        <w:t xml:space="preserve"> </w:t>
      </w:r>
      <w:r w:rsidRPr="00981405">
        <w:t>of</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Pr="00981405">
        <w:rPr>
          <w:rStyle w:val="FootnoteReference"/>
        </w:rPr>
        <w:footnoteReference w:id="594"/>
      </w:r>
      <w:r w:rsidR="00190923" w:rsidRPr="00981405">
        <w:t xml:space="preserve"> </w:t>
      </w:r>
      <w:r w:rsidRPr="00981405">
        <w:t>This</w:t>
      </w:r>
      <w:r w:rsidR="00190923" w:rsidRPr="00981405">
        <w:t xml:space="preserve"> </w:t>
      </w:r>
      <w:r w:rsidRPr="00981405">
        <w:t>illustrates</w:t>
      </w:r>
      <w:r w:rsidR="00190923" w:rsidRPr="00981405">
        <w:t xml:space="preserve"> </w:t>
      </w:r>
      <w:r w:rsidRPr="00981405">
        <w:t>the</w:t>
      </w:r>
      <w:r w:rsidR="00190923" w:rsidRPr="00981405">
        <w:t xml:space="preserve"> </w:t>
      </w:r>
      <w:r w:rsidRPr="00981405">
        <w:t>potential,</w:t>
      </w:r>
      <w:r w:rsidR="00190923" w:rsidRPr="00981405">
        <w:t xml:space="preserve"> </w:t>
      </w:r>
      <w:r w:rsidRPr="00981405">
        <w:t>albeit</w:t>
      </w:r>
      <w:r w:rsidR="00190923" w:rsidRPr="00981405">
        <w:t xml:space="preserve"> </w:t>
      </w:r>
      <w:r w:rsidRPr="00981405">
        <w:t>limited,</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981405">
        <w:t>practice</w:t>
      </w:r>
      <w:r w:rsidR="00190923" w:rsidRPr="00981405">
        <w:t xml:space="preserve"> </w:t>
      </w:r>
      <w:r w:rsidRPr="00981405">
        <w:t>of</w:t>
      </w:r>
      <w:r w:rsidR="00190923" w:rsidRPr="00981405">
        <w:t xml:space="preserve"> </w:t>
      </w:r>
      <w:r w:rsidRPr="00981405">
        <w:t>one</w:t>
      </w:r>
      <w:r w:rsidR="00190923" w:rsidRPr="00981405">
        <w:t xml:space="preserve"> </w:t>
      </w:r>
      <w:r w:rsidRPr="00981405">
        <w:t>party.</w:t>
      </w:r>
    </w:p>
    <w:p w:rsidR="00E50095" w:rsidRPr="00D97463" w:rsidRDefault="00E50095" w:rsidP="00D97463">
      <w:pPr>
        <w:pStyle w:val="SingleTxt"/>
        <w:spacing w:after="0" w:line="120" w:lineRule="exact"/>
        <w:rPr>
          <w:sz w:val="10"/>
        </w:rPr>
      </w:pPr>
    </w:p>
    <w:p w:rsidR="00397032" w:rsidRPr="00D97463" w:rsidRDefault="00397032" w:rsidP="00D97463">
      <w:pPr>
        <w:pStyle w:val="H23"/>
        <w:ind w:right="1260"/>
      </w:pPr>
      <w:bookmarkStart w:id="315" w:name="_Toc293434190"/>
      <w:bookmarkStart w:id="316" w:name="_Toc294353703"/>
      <w:r w:rsidRPr="00D97463">
        <w:tab/>
      </w:r>
      <w:bookmarkStart w:id="317" w:name="_Toc427938203"/>
      <w:r w:rsidRPr="00D97463">
        <w:t>4.</w:t>
      </w:r>
      <w:r w:rsidRPr="00D97463">
        <w:tab/>
        <w:t>The</w:t>
      </w:r>
      <w:r w:rsidR="00190923" w:rsidRPr="00D97463">
        <w:t xml:space="preserve"> </w:t>
      </w:r>
      <w:r w:rsidRPr="00D97463">
        <w:t>meaning</w:t>
      </w:r>
      <w:r w:rsidR="00190923" w:rsidRPr="00D97463">
        <w:t xml:space="preserve"> </w:t>
      </w:r>
      <w:r w:rsidRPr="00D97463">
        <w:t>of</w:t>
      </w:r>
      <w:r w:rsidR="00190923" w:rsidRPr="00D97463">
        <w:t xml:space="preserve"> </w:t>
      </w:r>
      <w:r w:rsidRPr="00D97463">
        <w:t>context</w:t>
      </w:r>
      <w:bookmarkEnd w:id="315"/>
      <w:bookmarkEnd w:id="316"/>
      <w:bookmarkEnd w:id="31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184.</w:t>
      </w:r>
      <w:r w:rsidRPr="00981405">
        <w:tab/>
        <w:t>The</w:t>
      </w:r>
      <w:r w:rsidR="00190923" w:rsidRPr="00981405">
        <w:t xml:space="preserve"> </w:t>
      </w:r>
      <w:r w:rsidRPr="00981405">
        <w:t>term</w:t>
      </w:r>
      <w:r w:rsidR="00190923" w:rsidRPr="00981405">
        <w:t xml:space="preserve"> </w:t>
      </w:r>
      <w:r w:rsidR="00B92E2C" w:rsidRPr="00981405">
        <w:t>“</w:t>
      </w:r>
      <w:r w:rsidRPr="00981405">
        <w:t>in</w:t>
      </w:r>
      <w:r w:rsidR="00190923" w:rsidRPr="00981405">
        <w:t xml:space="preserve"> </w:t>
      </w:r>
      <w:r w:rsidRPr="00981405">
        <w:t>their</w:t>
      </w:r>
      <w:r w:rsidR="00190923" w:rsidRPr="00981405">
        <w:t xml:space="preserve"> </w:t>
      </w:r>
      <w:r w:rsidRPr="00981405">
        <w:t>context</w:t>
      </w:r>
      <w:r w:rsidR="00B92E2C" w:rsidRPr="00981405">
        <w:t>”</w:t>
      </w:r>
      <w:r w:rsidR="00190923" w:rsidRPr="00981405">
        <w:t xml:space="preserve"> </w:t>
      </w:r>
      <w:r w:rsidRPr="00981405">
        <w:t>in</w:t>
      </w:r>
      <w:r w:rsidR="00190923" w:rsidRPr="00981405">
        <w:t xml:space="preserve"> </w:t>
      </w:r>
      <w:r w:rsidRPr="00981405">
        <w:t>article</w:t>
      </w:r>
      <w:r w:rsidR="00190923" w:rsidRPr="00981405">
        <w:t xml:space="preserve"> </w:t>
      </w:r>
      <w:r w:rsidRPr="00981405">
        <w:t>31</w:t>
      </w:r>
      <w:r w:rsidR="00190923" w:rsidRPr="00981405">
        <w:t xml:space="preserve"> </w:t>
      </w:r>
      <w:r w:rsidRPr="00981405">
        <w:t>is</w:t>
      </w:r>
      <w:r w:rsidR="00190923" w:rsidRPr="00981405">
        <w:t xml:space="preserve"> </w:t>
      </w:r>
      <w:r w:rsidRPr="00981405">
        <w:t>capable</w:t>
      </w:r>
      <w:r w:rsidR="00190923" w:rsidRPr="00981405">
        <w:t xml:space="preserve"> </w:t>
      </w:r>
      <w:r w:rsidRPr="00981405">
        <w:t>of</w:t>
      </w:r>
      <w:r w:rsidR="00190923" w:rsidRPr="00981405">
        <w:t xml:space="preserve"> </w:t>
      </w:r>
      <w:r w:rsidRPr="00981405">
        <w:t>having</w:t>
      </w:r>
      <w:r w:rsidR="00190923" w:rsidRPr="00981405">
        <w:t xml:space="preserve"> </w:t>
      </w:r>
      <w:r w:rsidRPr="00981405">
        <w:t>a</w:t>
      </w:r>
      <w:r w:rsidR="00190923" w:rsidRPr="00981405">
        <w:t xml:space="preserve"> </w:t>
      </w:r>
      <w:r w:rsidRPr="00981405">
        <w:t>broad</w:t>
      </w:r>
      <w:r w:rsidR="00190923" w:rsidRPr="00981405">
        <w:t xml:space="preserve"> </w:t>
      </w:r>
      <w:r w:rsidRPr="00981405">
        <w:t>meaning.</w:t>
      </w:r>
      <w:r w:rsidR="00190923" w:rsidRPr="00981405">
        <w:t xml:space="preserve"> </w:t>
      </w:r>
      <w:r w:rsidRPr="00981405">
        <w:t>It</w:t>
      </w:r>
      <w:r w:rsidR="00190923" w:rsidRPr="00981405">
        <w:t xml:space="preserve"> </w:t>
      </w:r>
      <w:r w:rsidRPr="00981405">
        <w:t>includes,</w:t>
      </w:r>
      <w:r w:rsidR="00190923" w:rsidRPr="00981405">
        <w:t xml:space="preserve"> </w:t>
      </w:r>
      <w:r w:rsidRPr="00981405">
        <w:t>by</w:t>
      </w:r>
      <w:r w:rsidR="00190923" w:rsidRPr="00981405">
        <w:t xml:space="preserve"> </w:t>
      </w:r>
      <w:r w:rsidRPr="00981405">
        <w:t>virtue</w:t>
      </w:r>
      <w:r w:rsidR="00190923" w:rsidRPr="00981405">
        <w:t xml:space="preserve"> </w:t>
      </w:r>
      <w:r w:rsidRPr="00981405">
        <w:t>of</w:t>
      </w:r>
      <w:r w:rsidR="00190923" w:rsidRPr="00981405">
        <w:t xml:space="preserve"> </w:t>
      </w:r>
      <w:r w:rsidRPr="00981405">
        <w:t>article</w:t>
      </w:r>
      <w:r w:rsidR="00190923" w:rsidRPr="00981405">
        <w:t xml:space="preserve"> </w:t>
      </w:r>
      <w:r w:rsidRPr="00981405">
        <w:t>31(2)</w:t>
      </w:r>
      <w:r w:rsidR="00190923" w:rsidRPr="00981405">
        <w:t xml:space="preserve"> </w:t>
      </w:r>
      <w:r w:rsidRPr="00981405">
        <w:t>the</w:t>
      </w:r>
      <w:r w:rsidR="00190923" w:rsidRPr="00981405">
        <w:t xml:space="preserve"> </w:t>
      </w:r>
      <w:r w:rsidRPr="00981405">
        <w:t>terms</w:t>
      </w:r>
      <w:r w:rsidR="00190923" w:rsidRPr="00981405">
        <w:t xml:space="preserve"> </w:t>
      </w:r>
      <w:r w:rsidRPr="00981405">
        <w:t>of</w:t>
      </w:r>
      <w:r w:rsidR="00190923" w:rsidRPr="00981405">
        <w:t xml:space="preserve"> </w:t>
      </w:r>
      <w:r w:rsidRPr="00981405">
        <w:t>the</w:t>
      </w:r>
      <w:r w:rsidR="00190923" w:rsidRPr="00981405">
        <w:t xml:space="preserve"> </w:t>
      </w:r>
      <w:r w:rsidRPr="00981405">
        <w:t>treaty</w:t>
      </w:r>
      <w:r w:rsidR="00190923" w:rsidRPr="00981405">
        <w:t xml:space="preserve"> </w:t>
      </w:r>
      <w:r w:rsidRPr="00981405">
        <w:t>itself,</w:t>
      </w:r>
      <w:r w:rsidR="00190923" w:rsidRPr="00981405">
        <w:t xml:space="preserve"> </w:t>
      </w:r>
      <w:r w:rsidRPr="00981405">
        <w:t>the</w:t>
      </w:r>
      <w:r w:rsidR="00190923" w:rsidRPr="00981405">
        <w:t xml:space="preserve"> </w:t>
      </w:r>
      <w:r w:rsidRPr="00981405">
        <w:t>preamble</w:t>
      </w:r>
      <w:r w:rsidR="00190923" w:rsidRPr="00981405">
        <w:t xml:space="preserve"> </w:t>
      </w:r>
      <w:r w:rsidRPr="00981405">
        <w:t>and</w:t>
      </w:r>
      <w:r w:rsidR="00190923" w:rsidRPr="00981405">
        <w:t xml:space="preserve"> </w:t>
      </w:r>
      <w:r w:rsidRPr="00981405">
        <w:t>annexes,</w:t>
      </w:r>
      <w:r w:rsidR="00190923" w:rsidRPr="00981405">
        <w:t xml:space="preserve"> </w:t>
      </w:r>
      <w:r w:rsidRPr="00981405">
        <w:t>as</w:t>
      </w:r>
      <w:r w:rsidR="00190923" w:rsidRPr="00981405">
        <w:t xml:space="preserve"> </w:t>
      </w:r>
      <w:r w:rsidRPr="00981405">
        <w:t>well</w:t>
      </w:r>
      <w:r w:rsidR="00190923" w:rsidRPr="00981405">
        <w:t xml:space="preserve"> </w:t>
      </w:r>
      <w:r w:rsidRPr="00981405">
        <w:t>as</w:t>
      </w:r>
      <w:r w:rsidR="00190923" w:rsidRPr="00981405">
        <w:t xml:space="preserve"> </w:t>
      </w:r>
      <w:r w:rsidRPr="00981405">
        <w:t>agreements</w:t>
      </w:r>
      <w:r w:rsidR="00190923" w:rsidRPr="00981405">
        <w:t xml:space="preserve"> </w:t>
      </w:r>
      <w:r w:rsidRPr="00981405">
        <w:t>between</w:t>
      </w:r>
      <w:r w:rsidR="00190923" w:rsidRPr="00981405">
        <w:t xml:space="preserve"> </w:t>
      </w:r>
      <w:r w:rsidRPr="00981405">
        <w:t>the</w:t>
      </w:r>
      <w:r w:rsidR="00190923" w:rsidRPr="00981405">
        <w:t xml:space="preserve"> </w:t>
      </w:r>
      <w:r w:rsidRPr="00981405">
        <w:t>parties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in</w:t>
      </w:r>
      <w:r w:rsidR="00190923" w:rsidRPr="00981405">
        <w:t xml:space="preserve"> </w:t>
      </w:r>
      <w:r w:rsidRPr="00981405">
        <w:t>connection</w:t>
      </w:r>
      <w:r w:rsidR="00190923" w:rsidRPr="00981405">
        <w:t xml:space="preserve"> </w:t>
      </w:r>
      <w:r w:rsidRPr="00981405">
        <w:t>with</w:t>
      </w:r>
      <w:r w:rsidR="00190923" w:rsidRPr="00981405">
        <w:t xml:space="preserve"> </w:t>
      </w:r>
      <w:r w:rsidRPr="00981405">
        <w:t>its</w:t>
      </w:r>
      <w:r w:rsidR="00190923" w:rsidRPr="00981405">
        <w:t xml:space="preserve"> </w:t>
      </w:r>
      <w:r w:rsidRPr="00981405">
        <w:t>conclusion,</w:t>
      </w:r>
      <w:r w:rsidR="00190923" w:rsidRPr="00981405">
        <w:t xml:space="preserve"> </w:t>
      </w:r>
      <w:r w:rsidRPr="00981405">
        <w:t>and</w:t>
      </w:r>
      <w:r w:rsidR="00190923" w:rsidRPr="00981405">
        <w:t xml:space="preserve"> </w:t>
      </w:r>
      <w:r w:rsidRPr="00981405">
        <w:t>instruments</w:t>
      </w:r>
      <w:r w:rsidR="00190923" w:rsidRPr="00981405">
        <w:t xml:space="preserve"> </w:t>
      </w:r>
      <w:r w:rsidRPr="00981405">
        <w:t>relating</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r w:rsidR="00190923" w:rsidRPr="00981405">
        <w:t xml:space="preserve"> </w:t>
      </w:r>
      <w:r w:rsidRPr="00981405">
        <w:t>made</w:t>
      </w:r>
      <w:r w:rsidR="00190923" w:rsidRPr="00981405">
        <w:t xml:space="preserve"> </w:t>
      </w:r>
      <w:r w:rsidRPr="00981405">
        <w:t>by</w:t>
      </w:r>
      <w:r w:rsidR="00190923" w:rsidRPr="00981405">
        <w:t xml:space="preserve"> </w:t>
      </w:r>
      <w:r w:rsidRPr="00981405">
        <w:t>one</w:t>
      </w:r>
      <w:r w:rsidR="00190923" w:rsidRPr="00981405">
        <w:t xml:space="preserve"> </w:t>
      </w:r>
      <w:r w:rsidRPr="00981405">
        <w:t>party</w:t>
      </w:r>
      <w:r w:rsidR="00190923" w:rsidRPr="00981405">
        <w:t xml:space="preserve"> </w:t>
      </w:r>
      <w:r w:rsidRPr="00981405">
        <w:t>and</w:t>
      </w:r>
      <w:r w:rsidR="00190923" w:rsidRPr="00981405">
        <w:t xml:space="preserve"> </w:t>
      </w:r>
      <w:r w:rsidRPr="00981405">
        <w:t>accepted</w:t>
      </w:r>
      <w:r w:rsidR="00190923" w:rsidRPr="00981405">
        <w:t xml:space="preserve"> </w:t>
      </w:r>
      <w:r w:rsidRPr="00981405">
        <w:t>by</w:t>
      </w:r>
      <w:r w:rsidR="00190923" w:rsidRPr="00981405">
        <w:t xml:space="preserve"> </w:t>
      </w:r>
      <w:r w:rsidRPr="00981405">
        <w:t>the</w:t>
      </w:r>
      <w:r w:rsidR="00190923" w:rsidRPr="00981405">
        <w:t xml:space="preserve"> </w:t>
      </w:r>
      <w:r w:rsidRPr="00981405">
        <w:t>other</w:t>
      </w:r>
      <w:r w:rsidR="00190923" w:rsidRPr="00981405">
        <w:t xml:space="preserve"> </w:t>
      </w:r>
      <w:r w:rsidRPr="00981405">
        <w:t>party</w:t>
      </w:r>
      <w:r w:rsidR="00190923" w:rsidRPr="00981405">
        <w:t xml:space="preserve"> </w:t>
      </w:r>
      <w:r w:rsidRPr="00981405">
        <w:t>as</w:t>
      </w:r>
      <w:r w:rsidR="00190923" w:rsidRPr="00981405">
        <w:t xml:space="preserve"> </w:t>
      </w:r>
      <w:r w:rsidRPr="00981405">
        <w:t>an</w:t>
      </w:r>
      <w:r w:rsidR="00190923" w:rsidRPr="00981405">
        <w:t xml:space="preserve"> </w:t>
      </w:r>
      <w:r w:rsidRPr="00981405">
        <w:t>instrument</w:t>
      </w:r>
      <w:r w:rsidR="00190923" w:rsidRPr="00981405">
        <w:t xml:space="preserve"> </w:t>
      </w:r>
      <w:r w:rsidRPr="00981405">
        <w:t>related</w:t>
      </w:r>
      <w:r w:rsidR="00190923" w:rsidRPr="00981405">
        <w:t xml:space="preserve"> </w:t>
      </w:r>
      <w:r w:rsidRPr="00981405">
        <w:t>to</w:t>
      </w:r>
      <w:r w:rsidR="00190923" w:rsidRPr="00981405">
        <w:t xml:space="preserve"> </w:t>
      </w:r>
      <w:r w:rsidRPr="00981405">
        <w:t>the</w:t>
      </w:r>
      <w:r w:rsidR="00190923" w:rsidRPr="00981405">
        <w:t xml:space="preserve"> </w:t>
      </w:r>
      <w:r w:rsidRPr="00981405">
        <w:t>treaty.</w:t>
      </w:r>
    </w:p>
    <w:p w:rsidR="00397032" w:rsidRPr="00981405" w:rsidRDefault="00397032" w:rsidP="00D97463">
      <w:pPr>
        <w:pStyle w:val="SingleTxt"/>
      </w:pPr>
      <w:r w:rsidRPr="00981405">
        <w:t>185.</w:t>
      </w:r>
      <w:r w:rsidRPr="00981405">
        <w:tab/>
        <w:t>Two</w:t>
      </w:r>
      <w:r w:rsidR="00190923" w:rsidRPr="00981405">
        <w:t xml:space="preserve"> </w:t>
      </w:r>
      <w:r w:rsidRPr="00981405">
        <w:t>particular</w:t>
      </w:r>
      <w:r w:rsidR="00190923" w:rsidRPr="00981405">
        <w:t xml:space="preserve"> </w:t>
      </w:r>
      <w:r w:rsidRPr="00981405">
        <w:t>questions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context</w:t>
      </w:r>
      <w:r w:rsidR="00190923" w:rsidRPr="00981405">
        <w:t xml:space="preserve"> </w:t>
      </w:r>
      <w:r w:rsidRPr="00981405">
        <w:t>arise</w:t>
      </w:r>
      <w:r w:rsidR="00190923" w:rsidRPr="00981405">
        <w:t xml:space="preserve"> </w:t>
      </w:r>
      <w:r w:rsidRPr="00981405">
        <w:t>out</w:t>
      </w:r>
      <w:r w:rsidR="00190923" w:rsidRPr="00981405">
        <w:t xml:space="preserve"> </w:t>
      </w:r>
      <w:r w:rsidRPr="00981405">
        <w:t>of</w:t>
      </w:r>
      <w:r w:rsidR="00190923" w:rsidRPr="00981405">
        <w:t xml:space="preserve"> </w:t>
      </w:r>
      <w:r w:rsidRPr="00981405">
        <w:t>the</w:t>
      </w:r>
      <w:r w:rsidR="00190923" w:rsidRPr="00981405">
        <w:t xml:space="preserve"> </w:t>
      </w:r>
      <w:r w:rsidRPr="00981405">
        <w:t>decisions</w:t>
      </w:r>
      <w:r w:rsidR="00190923" w:rsidRPr="00981405">
        <w:t xml:space="preserve"> </w:t>
      </w:r>
      <w:r w:rsidRPr="00981405">
        <w:t>of</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First,</w:t>
      </w:r>
      <w:r w:rsidR="00190923" w:rsidRPr="00981405">
        <w:t xml:space="preserve"> </w:t>
      </w:r>
      <w:r w:rsidRPr="00981405">
        <w:t>can</w:t>
      </w:r>
      <w:r w:rsidR="00190923" w:rsidRPr="00981405">
        <w:t xml:space="preserve"> </w:t>
      </w:r>
      <w:r w:rsidRPr="00981405">
        <w:t>a</w:t>
      </w:r>
      <w:r w:rsidR="00190923" w:rsidRPr="00981405">
        <w:t xml:space="preserve"> </w:t>
      </w:r>
      <w:r w:rsidRPr="00981405">
        <w:t>specific</w:t>
      </w:r>
      <w:r w:rsidR="00190923" w:rsidRPr="00981405">
        <w:t xml:space="preserve"> </w:t>
      </w:r>
      <w:r w:rsidRPr="00981405">
        <w:t>provision</w:t>
      </w:r>
      <w:r w:rsidR="00190923" w:rsidRPr="00981405">
        <w:t xml:space="preserve"> </w:t>
      </w:r>
      <w:r w:rsidRPr="00981405">
        <w:t>in</w:t>
      </w:r>
      <w:r w:rsidR="00190923" w:rsidRPr="00981405">
        <w:t xml:space="preserve"> </w:t>
      </w:r>
      <w:r w:rsidRPr="00981405">
        <w:t>a</w:t>
      </w:r>
      <w:r w:rsidR="00190923" w:rsidRPr="00981405">
        <w:t xml:space="preserve"> </w:t>
      </w:r>
      <w:r w:rsidRPr="00981405">
        <w:t>BIT</w:t>
      </w:r>
      <w:r w:rsidR="00190923" w:rsidRPr="00981405">
        <w:t xml:space="preserve"> </w:t>
      </w:r>
      <w:r w:rsidRPr="00981405">
        <w:t>be</w:t>
      </w:r>
      <w:r w:rsidR="00190923" w:rsidRPr="00981405">
        <w:t xml:space="preserve"> </w:t>
      </w:r>
      <w:r w:rsidRPr="00981405">
        <w:t>overridden</w:t>
      </w:r>
      <w:r w:rsidR="00190923" w:rsidRPr="00981405">
        <w:t xml:space="preserve"> </w:t>
      </w:r>
      <w:r w:rsidRPr="00981405">
        <w:t>by</w:t>
      </w:r>
      <w:r w:rsidR="00190923" w:rsidRPr="00981405">
        <w:t xml:space="preserve"> </w:t>
      </w:r>
      <w:r w:rsidRPr="00981405">
        <w:t>a</w:t>
      </w:r>
      <w:r w:rsidR="00190923" w:rsidRPr="00981405">
        <w:t xml:space="preserve"> </w:t>
      </w:r>
      <w:r w:rsidRPr="00981405">
        <w:t>more</w:t>
      </w:r>
      <w:r w:rsidR="00190923" w:rsidRPr="00981405">
        <w:t xml:space="preserve"> </w:t>
      </w:r>
      <w:r w:rsidRPr="00981405">
        <w:t>generally</w:t>
      </w:r>
      <w:r w:rsidR="00190923" w:rsidRPr="00981405">
        <w:t xml:space="preserve"> </w:t>
      </w:r>
      <w:r w:rsidRPr="00981405">
        <w:t>worded</w:t>
      </w:r>
      <w:r w:rsidR="00190923" w:rsidRPr="00981405">
        <w:t xml:space="preserve"> </w:t>
      </w:r>
      <w:r w:rsidRPr="00981405">
        <w:t>MFN</w:t>
      </w:r>
      <w:r w:rsidR="00190923" w:rsidRPr="00981405">
        <w:t xml:space="preserve"> </w:t>
      </w:r>
      <w:r w:rsidRPr="00981405">
        <w:t>provision?</w:t>
      </w:r>
      <w:r w:rsidR="00190923" w:rsidRPr="00981405">
        <w:t xml:space="preserve"> </w:t>
      </w:r>
      <w:r w:rsidRPr="00981405">
        <w:t>Second,</w:t>
      </w:r>
      <w:r w:rsidR="00190923" w:rsidRPr="00981405">
        <w:t xml:space="preserve"> </w:t>
      </w:r>
      <w:r w:rsidRPr="00981405">
        <w:t>what</w:t>
      </w:r>
      <w:r w:rsidR="00190923" w:rsidRPr="00981405">
        <w:t xml:space="preserve"> </w:t>
      </w:r>
      <w:r w:rsidRPr="00981405">
        <w:t>is</w:t>
      </w:r>
      <w:r w:rsidR="00190923" w:rsidRPr="00981405">
        <w:t xml:space="preserve"> </w:t>
      </w:r>
      <w:r w:rsidRPr="00981405">
        <w:t>the</w:t>
      </w:r>
      <w:r w:rsidR="00190923" w:rsidRPr="00981405">
        <w:t xml:space="preserve"> </w:t>
      </w:r>
      <w:r w:rsidRPr="00981405">
        <w:t>relevance</w:t>
      </w:r>
      <w:r w:rsidR="00190923" w:rsidRPr="00981405">
        <w:t xml:space="preserve"> </w:t>
      </w:r>
      <w:r w:rsidRPr="00981405">
        <w:t>of</w:t>
      </w:r>
      <w:r w:rsidR="00190923" w:rsidRPr="00981405">
        <w:t xml:space="preserve"> </w:t>
      </w:r>
      <w:r w:rsidRPr="00981405">
        <w:t>the</w:t>
      </w:r>
      <w:r w:rsidR="00190923" w:rsidRPr="00981405">
        <w:t xml:space="preserve"> </w:t>
      </w:r>
      <w:r w:rsidRPr="00981405">
        <w:t>fact</w:t>
      </w:r>
      <w:r w:rsidR="00190923" w:rsidRPr="00981405">
        <w:t xml:space="preserve"> </w:t>
      </w:r>
      <w:r w:rsidRPr="00981405">
        <w:t>that</w:t>
      </w:r>
      <w:r w:rsidR="00190923" w:rsidRPr="00981405">
        <w:t xml:space="preserve"> </w:t>
      </w:r>
      <w:r w:rsidRPr="00981405">
        <w:t>a</w:t>
      </w:r>
      <w:r w:rsidR="00190923" w:rsidRPr="00981405">
        <w:t xml:space="preserve"> </w:t>
      </w:r>
      <w:r w:rsidRPr="00981405">
        <w:t>BIT</w:t>
      </w:r>
      <w:r w:rsidR="00190923" w:rsidRPr="00981405">
        <w:t xml:space="preserve"> </w:t>
      </w:r>
      <w:r w:rsidRPr="00981405">
        <w:t>lists</w:t>
      </w:r>
      <w:r w:rsidR="00190923" w:rsidRPr="00981405">
        <w:t xml:space="preserve"> </w:t>
      </w:r>
      <w:r w:rsidRPr="00981405">
        <w:t>specific</w:t>
      </w:r>
      <w:r w:rsidR="00190923" w:rsidRPr="00981405">
        <w:t xml:space="preserve"> </w:t>
      </w:r>
      <w:r w:rsidRPr="00981405">
        <w:t>exclusions</w:t>
      </w:r>
      <w:r w:rsidR="00190923" w:rsidRPr="00981405">
        <w:t xml:space="preserve"> </w:t>
      </w:r>
      <w:r w:rsidRPr="00981405">
        <w:t>to</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principle?</w:t>
      </w:r>
      <w:r w:rsidR="00190923" w:rsidRPr="00981405">
        <w:t xml:space="preserve"> </w:t>
      </w:r>
      <w:r w:rsidRPr="00981405">
        <w:t>Does</w:t>
      </w:r>
      <w:r w:rsidR="00190923" w:rsidRPr="00981405">
        <w:t xml:space="preserve"> </w:t>
      </w:r>
      <w:r w:rsidRPr="00981405">
        <w:t>that</w:t>
      </w:r>
      <w:r w:rsidR="00190923" w:rsidRPr="00981405">
        <w:t xml:space="preserve"> </w:t>
      </w:r>
      <w:r w:rsidRPr="00981405">
        <w:t>exclude</w:t>
      </w:r>
      <w:r w:rsidR="00190923" w:rsidRPr="00981405">
        <w:t xml:space="preserve"> </w:t>
      </w:r>
      <w:r w:rsidRPr="00981405">
        <w:t>other,</w:t>
      </w:r>
      <w:r w:rsidR="00190923" w:rsidRPr="00981405">
        <w:t xml:space="preserve"> </w:t>
      </w:r>
      <w:r w:rsidRPr="00981405">
        <w:t>non-listed</w:t>
      </w:r>
      <w:r w:rsidR="00190923" w:rsidRPr="00981405">
        <w:t xml:space="preserve"> </w:t>
      </w:r>
      <w:r w:rsidRPr="00981405">
        <w:t>exceptions</w:t>
      </w:r>
      <w:r w:rsidR="00190923" w:rsidRPr="00981405">
        <w:t xml:space="preserve"> </w:t>
      </w:r>
      <w:r w:rsidRPr="00981405">
        <w:t>to</w:t>
      </w:r>
      <w:r w:rsidR="00190923" w:rsidRPr="00981405">
        <w:t xml:space="preserve"> </w:t>
      </w:r>
      <w:r w:rsidRPr="00981405">
        <w:t>MFN</w:t>
      </w:r>
      <w:r w:rsidR="00190923" w:rsidRPr="00981405">
        <w:t xml:space="preserve"> </w:t>
      </w:r>
      <w:r w:rsidRPr="00981405">
        <w:t>treatment?</w:t>
      </w:r>
    </w:p>
    <w:p w:rsidR="00E50095" w:rsidRPr="00D97463" w:rsidRDefault="00E50095" w:rsidP="00D97463">
      <w:pPr>
        <w:pStyle w:val="SingleTxt"/>
        <w:spacing w:after="0" w:line="120" w:lineRule="exact"/>
        <w:rPr>
          <w:sz w:val="10"/>
        </w:rPr>
      </w:pPr>
      <w:bookmarkStart w:id="318" w:name="_Toc293434191"/>
      <w:bookmarkStart w:id="319" w:name="_Toc294353704"/>
    </w:p>
    <w:p w:rsidR="00397032" w:rsidRPr="00D97463" w:rsidRDefault="00397032" w:rsidP="00D97463">
      <w:pPr>
        <w:pStyle w:val="H4"/>
        <w:ind w:right="1260"/>
      </w:pPr>
      <w:r w:rsidRPr="00D97463">
        <w:tab/>
      </w:r>
      <w:bookmarkStart w:id="320" w:name="_Toc427938204"/>
      <w:r w:rsidRPr="00D97463">
        <w:t>(a)</w:t>
      </w:r>
      <w:r w:rsidRPr="00D97463">
        <w:tab/>
        <w:t>The</w:t>
      </w:r>
      <w:r w:rsidR="00190923" w:rsidRPr="00D97463">
        <w:t xml:space="preserve"> </w:t>
      </w:r>
      <w:r w:rsidRPr="00D97463">
        <w:t>balance</w:t>
      </w:r>
      <w:r w:rsidR="00190923" w:rsidRPr="00D97463">
        <w:t xml:space="preserve"> </w:t>
      </w:r>
      <w:r w:rsidRPr="00D97463">
        <w:t>between</w:t>
      </w:r>
      <w:r w:rsidR="00190923" w:rsidRPr="00D97463">
        <w:t xml:space="preserve"> </w:t>
      </w:r>
      <w:r w:rsidRPr="00D97463">
        <w:t>specific</w:t>
      </w:r>
      <w:r w:rsidR="00190923" w:rsidRPr="00D97463">
        <w:t xml:space="preserve"> </w:t>
      </w:r>
      <w:r w:rsidRPr="00D97463">
        <w:t>and</w:t>
      </w:r>
      <w:r w:rsidR="00190923" w:rsidRPr="00D97463">
        <w:t xml:space="preserve"> </w:t>
      </w:r>
      <w:r w:rsidRPr="00D97463">
        <w:t>general</w:t>
      </w:r>
      <w:bookmarkEnd w:id="318"/>
      <w:r w:rsidR="00190923" w:rsidRPr="00D97463">
        <w:t xml:space="preserve"> </w:t>
      </w:r>
      <w:r w:rsidRPr="00D97463">
        <w:t>provisions</w:t>
      </w:r>
      <w:bookmarkEnd w:id="319"/>
      <w:bookmarkEnd w:id="320"/>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186.</w:t>
      </w:r>
      <w:r w:rsidRPr="00981405">
        <w:tab/>
        <w:t>In</w:t>
      </w:r>
      <w:r w:rsidR="00190923" w:rsidRPr="00981405">
        <w:t xml:space="preserve"> </w:t>
      </w:r>
      <w:r w:rsidRPr="00981405">
        <w:t>some</w:t>
      </w:r>
      <w:r w:rsidR="00190923" w:rsidRPr="00981405">
        <w:t xml:space="preserve"> </w:t>
      </w:r>
      <w:r w:rsidRPr="00981405">
        <w:t>decisions</w:t>
      </w:r>
      <w:r w:rsidR="00190923" w:rsidRPr="00981405">
        <w:t xml:space="preserve"> </w:t>
      </w:r>
      <w:r w:rsidRPr="00981405">
        <w:t>arbitrators</w:t>
      </w:r>
      <w:r w:rsidR="00190923" w:rsidRPr="00981405">
        <w:t xml:space="preserve"> </w:t>
      </w:r>
      <w:r w:rsidRPr="00981405">
        <w:t>have</w:t>
      </w:r>
      <w:r w:rsidR="00190923" w:rsidRPr="00981405">
        <w:t xml:space="preserve"> </w:t>
      </w:r>
      <w:r w:rsidRPr="00981405">
        <w:t>sought</w:t>
      </w:r>
      <w:r w:rsidR="00190923" w:rsidRPr="00981405">
        <w:t xml:space="preserve"> </w:t>
      </w:r>
      <w:r w:rsidRPr="00981405">
        <w:t>to</w:t>
      </w:r>
      <w:r w:rsidR="00190923" w:rsidRPr="00981405">
        <w:t xml:space="preserve"> </w:t>
      </w:r>
      <w:r w:rsidRPr="00981405">
        <w:t>weigh</w:t>
      </w:r>
      <w:r w:rsidR="00190923" w:rsidRPr="00981405">
        <w:t xml:space="preserve"> </w:t>
      </w:r>
      <w:r w:rsidRPr="00981405">
        <w:t>the</w:t>
      </w:r>
      <w:r w:rsidR="00190923" w:rsidRPr="00981405">
        <w:t xml:space="preserve"> </w:t>
      </w:r>
      <w:r w:rsidRPr="00981405">
        <w:t>specific</w:t>
      </w:r>
      <w:r w:rsidR="00190923" w:rsidRPr="00981405">
        <w:t xml:space="preserve"> </w:t>
      </w:r>
      <w:r w:rsidRPr="00981405">
        <w:t>provision</w:t>
      </w:r>
      <w:r w:rsidR="00190923" w:rsidRPr="00981405">
        <w:t xml:space="preserve"> </w:t>
      </w:r>
      <w:r w:rsidRPr="00981405">
        <w:t>of</w:t>
      </w:r>
      <w:r w:rsidR="00190923" w:rsidRPr="00981405">
        <w:t xml:space="preserve"> </w:t>
      </w:r>
      <w:r w:rsidRPr="00981405">
        <w:t>a</w:t>
      </w:r>
      <w:r w:rsidR="00190923" w:rsidRPr="00981405">
        <w:t xml:space="preserve"> </w:t>
      </w:r>
      <w:r w:rsidRPr="00981405">
        <w:t>treaty,</w:t>
      </w:r>
      <w:r w:rsidR="00190923" w:rsidRPr="00981405">
        <w:t xml:space="preserve"> </w:t>
      </w:r>
      <w:r w:rsidRPr="00981405">
        <w:t>dealing</w:t>
      </w:r>
      <w:r w:rsidR="00190923" w:rsidRPr="00981405">
        <w:t xml:space="preserve"> </w:t>
      </w:r>
      <w:r w:rsidRPr="00981405">
        <w:t>with</w:t>
      </w:r>
      <w:r w:rsidR="00190923" w:rsidRPr="00981405">
        <w:t xml:space="preserve"> </w:t>
      </w:r>
      <w:r w:rsidRPr="00981405">
        <w:t>the</w:t>
      </w:r>
      <w:r w:rsidR="00190923" w:rsidRPr="00981405">
        <w:t xml:space="preserve"> </w:t>
      </w:r>
      <w:r w:rsidRPr="00981405">
        <w:t>circumstances</w:t>
      </w:r>
      <w:r w:rsidR="00190923" w:rsidRPr="00981405">
        <w:t xml:space="preserve"> </w:t>
      </w:r>
      <w:r w:rsidRPr="00981405">
        <w:t>under</w:t>
      </w:r>
      <w:r w:rsidR="00190923" w:rsidRPr="00981405">
        <w:t xml:space="preserve"> </w:t>
      </w:r>
      <w:r w:rsidRPr="00981405">
        <w:t>which</w:t>
      </w:r>
      <w:r w:rsidR="00190923" w:rsidRPr="00981405">
        <w:t xml:space="preserve"> </w:t>
      </w:r>
      <w:r w:rsidRPr="00981405">
        <w:t>an</w:t>
      </w:r>
      <w:r w:rsidR="00190923" w:rsidRPr="00981405">
        <w:t xml:space="preserve"> </w:t>
      </w:r>
      <w:r w:rsidRPr="00981405">
        <w:t>investor</w:t>
      </w:r>
      <w:r w:rsidR="00190923" w:rsidRPr="00981405">
        <w:t xml:space="preserve"> </w:t>
      </w:r>
      <w:r w:rsidRPr="00981405">
        <w:t>can</w:t>
      </w:r>
      <w:r w:rsidR="00190923" w:rsidRPr="00981405">
        <w:t xml:space="preserve"> </w:t>
      </w:r>
      <w:r w:rsidRPr="00981405">
        <w:t>invoke</w:t>
      </w:r>
      <w:r w:rsidR="00190923" w:rsidRPr="00981405">
        <w:t xml:space="preserve"> </w:t>
      </w:r>
      <w:r w:rsidRPr="00981405">
        <w:t>investor-state</w:t>
      </w:r>
      <w:r w:rsidR="00190923" w:rsidRPr="00981405">
        <w:t xml:space="preserve"> </w:t>
      </w:r>
      <w:r w:rsidRPr="00981405">
        <w:t>arbitration,</w:t>
      </w:r>
      <w:r w:rsidR="00190923" w:rsidRPr="00981405">
        <w:t xml:space="preserve"> </w:t>
      </w:r>
      <w:r w:rsidRPr="00981405">
        <w:t>with</w:t>
      </w:r>
      <w:r w:rsidR="00190923" w:rsidRPr="00981405">
        <w:t xml:space="preserve"> </w:t>
      </w:r>
      <w:r w:rsidRPr="00981405">
        <w:t>the</w:t>
      </w:r>
      <w:r w:rsidR="00190923" w:rsidRPr="00981405">
        <w:t xml:space="preserve"> </w:t>
      </w:r>
      <w:r w:rsidRPr="00981405">
        <w:t>general</w:t>
      </w:r>
      <w:r w:rsidR="00190923" w:rsidRPr="00981405">
        <w:t xml:space="preserve"> </w:t>
      </w:r>
      <w:r w:rsidRPr="00981405">
        <w:t>provision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drawn</w:t>
      </w:r>
      <w:r w:rsidR="00190923" w:rsidRPr="00981405">
        <w:t xml:space="preserve"> </w:t>
      </w:r>
      <w:r w:rsidRPr="00981405">
        <w:t>is</w:t>
      </w:r>
      <w:r w:rsidR="00190923" w:rsidRPr="00981405">
        <w:t xml:space="preserve"> </w:t>
      </w:r>
      <w:r w:rsidRPr="00981405">
        <w:t>that</w:t>
      </w:r>
      <w:r w:rsidR="00190923" w:rsidRPr="00981405">
        <w:t xml:space="preserve"> </w:t>
      </w:r>
      <w:r w:rsidRPr="00981405">
        <w:t>a</w:t>
      </w:r>
      <w:r w:rsidR="00190923" w:rsidRPr="00981405">
        <w:t xml:space="preserve"> </w:t>
      </w:r>
      <w:r w:rsidRPr="00981405">
        <w:t>specific</w:t>
      </w:r>
      <w:r w:rsidR="00190923" w:rsidRPr="00981405">
        <w:t xml:space="preserve"> </w:t>
      </w:r>
      <w:r w:rsidRPr="00981405">
        <w:t>statement</w:t>
      </w:r>
      <w:r w:rsidR="00190923" w:rsidRPr="00981405">
        <w:t xml:space="preserve"> </w:t>
      </w:r>
      <w:r w:rsidRPr="00981405">
        <w:t>concerning</w:t>
      </w:r>
      <w:r w:rsidR="00190923" w:rsidRPr="00981405">
        <w:t xml:space="preserve"> </w:t>
      </w:r>
      <w:r w:rsidRPr="00981405">
        <w:t>treatment</w:t>
      </w:r>
      <w:r w:rsidR="00190923" w:rsidRPr="00981405">
        <w:t xml:space="preserve"> </w:t>
      </w:r>
      <w:r w:rsidRPr="00981405">
        <w:t>afforded</w:t>
      </w:r>
      <w:r w:rsidR="00190923" w:rsidRPr="00981405">
        <w:t xml:space="preserve"> </w:t>
      </w:r>
      <w:r w:rsidRPr="00981405">
        <w:t>under</w:t>
      </w:r>
      <w:r w:rsidR="00190923" w:rsidRPr="00981405">
        <w:t xml:space="preserve"> </w:t>
      </w:r>
      <w:r w:rsidRPr="00981405">
        <w:t>a</w:t>
      </w:r>
      <w:r w:rsidR="00190923" w:rsidRPr="00981405">
        <w:t xml:space="preserve"> </w:t>
      </w:r>
      <w:r w:rsidRPr="00981405">
        <w:t>treaty,</w:t>
      </w:r>
      <w:r w:rsidR="00190923" w:rsidRPr="00981405">
        <w:t xml:space="preserve"> </w:t>
      </w:r>
      <w:r w:rsidRPr="00981405">
        <w:t>such</w:t>
      </w:r>
      <w:r w:rsidR="00190923" w:rsidRPr="00981405">
        <w:t xml:space="preserve"> </w:t>
      </w:r>
      <w:r w:rsidRPr="00981405">
        <w:t>as</w:t>
      </w:r>
      <w:r w:rsidR="00190923" w:rsidRPr="00981405">
        <w:t xml:space="preserve"> </w:t>
      </w:r>
      <w:r w:rsidRPr="00981405">
        <w:t>a</w:t>
      </w:r>
      <w:r w:rsidR="00190923" w:rsidRPr="00981405">
        <w:t xml:space="preserve"> </w:t>
      </w:r>
      <w:r w:rsidRPr="00981405">
        <w:t>condition</w:t>
      </w:r>
      <w:r w:rsidR="00190923" w:rsidRPr="00981405">
        <w:t xml:space="preserve"> </w:t>
      </w:r>
      <w:r w:rsidRPr="00981405">
        <w:t>that</w:t>
      </w:r>
      <w:r w:rsidR="00190923" w:rsidRPr="00981405">
        <w:t xml:space="preserve"> </w:t>
      </w:r>
      <w:r w:rsidRPr="00981405">
        <w:t>has</w:t>
      </w:r>
      <w:r w:rsidR="00190923" w:rsidRPr="00981405">
        <w:t xml:space="preserve"> </w:t>
      </w:r>
      <w:r w:rsidRPr="00981405">
        <w:t>to</w:t>
      </w:r>
      <w:r w:rsidR="00190923" w:rsidRPr="00981405">
        <w:t xml:space="preserve"> </w:t>
      </w:r>
      <w:r w:rsidRPr="00981405">
        <w:t>be</w:t>
      </w:r>
      <w:r w:rsidR="00190923" w:rsidRPr="00981405">
        <w:t xml:space="preserve"> </w:t>
      </w:r>
      <w:r w:rsidRPr="00981405">
        <w:t>met</w:t>
      </w:r>
      <w:r w:rsidR="00190923" w:rsidRPr="00981405">
        <w:t xml:space="preserve"> </w:t>
      </w:r>
      <w:r w:rsidRPr="00981405">
        <w:t>before</w:t>
      </w:r>
      <w:r w:rsidR="00190923" w:rsidRPr="00981405">
        <w:t xml:space="preserve"> </w:t>
      </w:r>
      <w:r w:rsidRPr="00981405">
        <w:t>invoking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cannot</w:t>
      </w:r>
      <w:r w:rsidR="00190923" w:rsidRPr="00981405">
        <w:t xml:space="preserve"> </w:t>
      </w:r>
      <w:r w:rsidRPr="00981405">
        <w:t>be</w:t>
      </w:r>
      <w:r w:rsidR="00190923" w:rsidRPr="00981405">
        <w:t xml:space="preserve"> </w:t>
      </w:r>
      <w:r w:rsidRPr="00981405">
        <w:t>overridden</w:t>
      </w:r>
      <w:r w:rsidR="00190923" w:rsidRPr="00981405">
        <w:t xml:space="preserve"> </w:t>
      </w:r>
      <w:r w:rsidRPr="00981405">
        <w:t>by</w:t>
      </w:r>
      <w:r w:rsidR="00190923" w:rsidRPr="00981405">
        <w:t xml:space="preserve"> </w:t>
      </w:r>
      <w:r w:rsidRPr="00981405">
        <w:t>a</w:t>
      </w:r>
      <w:r w:rsidR="00190923" w:rsidRPr="00981405">
        <w:t xml:space="preserve"> </w:t>
      </w:r>
      <w:r w:rsidRPr="00981405">
        <w:t>general</w:t>
      </w:r>
      <w:r w:rsidR="00190923" w:rsidRPr="00981405">
        <w:t xml:space="preserve"> </w:t>
      </w:r>
      <w:r w:rsidRPr="00981405">
        <w:t>statement</w:t>
      </w:r>
      <w:r w:rsidR="00190923" w:rsidRPr="00981405">
        <w:t xml:space="preserve"> </w:t>
      </w:r>
      <w:r w:rsidRPr="00981405">
        <w:t>applicable</w:t>
      </w:r>
      <w:r w:rsidR="00190923" w:rsidRPr="00981405">
        <w:t xml:space="preserve"> </w:t>
      </w:r>
      <w:r w:rsidRPr="00981405">
        <w:t>to</w:t>
      </w:r>
      <w:r w:rsidR="00190923" w:rsidRPr="00981405">
        <w:t xml:space="preserve"> </w:t>
      </w:r>
      <w:r w:rsidR="00B92E2C" w:rsidRPr="00981405">
        <w:t>“</w:t>
      </w:r>
      <w:r w:rsidRPr="00981405">
        <w:t>all</w:t>
      </w:r>
      <w:r w:rsidR="00190923" w:rsidRPr="00981405">
        <w:t xml:space="preserve"> </w:t>
      </w:r>
      <w:r w:rsidRPr="00981405">
        <w:t>treatment</w:t>
      </w:r>
      <w:r w:rsidR="00B92E2C" w:rsidRPr="00981405">
        <w:t>”</w:t>
      </w:r>
      <w:r w:rsidR="00190923" w:rsidRPr="00981405">
        <w:t xml:space="preserve"> </w:t>
      </w:r>
      <w:r w:rsidRPr="00981405">
        <w:t>as</w:t>
      </w:r>
      <w:r w:rsidR="00190923" w:rsidRPr="00981405">
        <w:t xml:space="preserve"> </w:t>
      </w:r>
      <w:r w:rsidRPr="00981405">
        <w:t>found</w:t>
      </w:r>
      <w:r w:rsidR="00190923" w:rsidRPr="00981405">
        <w:t xml:space="preserve"> </w:t>
      </w:r>
      <w:r w:rsidRPr="00981405">
        <w:t>in</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As</w:t>
      </w:r>
      <w:r w:rsidR="00190923" w:rsidRPr="00981405">
        <w:t xml:space="preserve"> </w:t>
      </w:r>
      <w:r w:rsidRPr="00981405">
        <w:t>the</w:t>
      </w:r>
      <w:r w:rsidR="00190923" w:rsidRPr="00981405">
        <w:t xml:space="preserve"> </w:t>
      </w:r>
      <w:r w:rsidRPr="00981405">
        <w:t>Commission</w:t>
      </w:r>
      <w:r w:rsidR="00190923" w:rsidRPr="00981405">
        <w:t xml:space="preserve"> </w:t>
      </w:r>
      <w:r w:rsidRPr="00981405">
        <w:t>noted</w:t>
      </w:r>
      <w:r w:rsidR="00190923" w:rsidRPr="00981405">
        <w:t xml:space="preserve"> </w:t>
      </w:r>
      <w:r w:rsidRPr="00981405">
        <w:t>in</w:t>
      </w:r>
      <w:r w:rsidR="00190923" w:rsidRPr="00981405">
        <w:t xml:space="preserve"> </w:t>
      </w:r>
      <w:r w:rsidRPr="00981405">
        <w:t>its</w:t>
      </w:r>
      <w:r w:rsidR="00190923" w:rsidRPr="00981405">
        <w:t xml:space="preserve"> </w:t>
      </w:r>
      <w:r w:rsidRPr="00981405">
        <w:t>report</w:t>
      </w:r>
      <w:r w:rsidR="00190923" w:rsidRPr="00981405">
        <w:t xml:space="preserve"> </w:t>
      </w:r>
      <w:r w:rsidRPr="00981405">
        <w:t>on</w:t>
      </w:r>
      <w:r w:rsidR="00190923" w:rsidRPr="00981405">
        <w:t xml:space="preserve"> </w:t>
      </w:r>
      <w:r w:rsidRPr="00981405">
        <w:t>fragmentation,</w:t>
      </w:r>
      <w:r w:rsidR="00190923" w:rsidRPr="00981405">
        <w:t xml:space="preserve"> </w:t>
      </w:r>
      <w:r w:rsidRPr="00981405">
        <w:t>the</w:t>
      </w:r>
      <w:r w:rsidR="00190923" w:rsidRPr="00981405">
        <w:t xml:space="preserve"> </w:t>
      </w:r>
      <w:r w:rsidRPr="00981405">
        <w:rPr>
          <w:rFonts w:eastAsia="SimSun"/>
        </w:rPr>
        <w:t>principle</w:t>
      </w:r>
      <w:r w:rsidR="00190923" w:rsidRPr="00981405">
        <w:rPr>
          <w:rFonts w:eastAsia="SimSun"/>
        </w:rPr>
        <w:t xml:space="preserve"> </w:t>
      </w:r>
      <w:r w:rsidR="00590FA7" w:rsidRPr="00981405">
        <w:rPr>
          <w:rFonts w:eastAsia="SimSun"/>
          <w:i/>
          <w:iCs/>
        </w:rPr>
        <w:t>lex</w:t>
      </w:r>
      <w:r w:rsidR="00190923" w:rsidRPr="00981405">
        <w:rPr>
          <w:rFonts w:eastAsia="SimSun"/>
          <w:i/>
          <w:iCs/>
        </w:rPr>
        <w:t xml:space="preserve"> </w:t>
      </w:r>
      <w:r w:rsidR="00590FA7" w:rsidRPr="00981405">
        <w:rPr>
          <w:rFonts w:eastAsia="SimSun"/>
          <w:i/>
          <w:iCs/>
        </w:rPr>
        <w:t>specialis</w:t>
      </w:r>
      <w:r w:rsidR="00190923" w:rsidRPr="00981405">
        <w:rPr>
          <w:rFonts w:eastAsia="SimSun"/>
        </w:rPr>
        <w:t xml:space="preserve"> </w:t>
      </w:r>
      <w:r w:rsidRPr="00D97463">
        <w:rPr>
          <w:rFonts w:eastAsia="SimSun"/>
          <w:i/>
          <w:iCs/>
        </w:rPr>
        <w:t>derogat</w:t>
      </w:r>
      <w:r w:rsidR="00190923" w:rsidRPr="00D97463">
        <w:rPr>
          <w:rFonts w:eastAsia="SimSun"/>
          <w:i/>
          <w:iCs/>
        </w:rPr>
        <w:t xml:space="preserve"> </w:t>
      </w:r>
      <w:r w:rsidRPr="00D97463">
        <w:rPr>
          <w:rFonts w:eastAsia="SimSun"/>
          <w:i/>
          <w:iCs/>
        </w:rPr>
        <w:t>legi</w:t>
      </w:r>
      <w:r w:rsidR="00190923" w:rsidRPr="00D97463">
        <w:rPr>
          <w:rFonts w:eastAsia="SimSun"/>
          <w:i/>
          <w:iCs/>
        </w:rPr>
        <w:t xml:space="preserve"> </w:t>
      </w:r>
      <w:r w:rsidRPr="00D97463">
        <w:rPr>
          <w:rFonts w:eastAsia="SimSun"/>
          <w:i/>
          <w:iCs/>
        </w:rPr>
        <w:t>generali</w:t>
      </w:r>
      <w:r w:rsidR="00190923" w:rsidRPr="00981405">
        <w:t xml:space="preserve"> </w:t>
      </w:r>
      <w:r w:rsidRPr="00981405">
        <w:t>is</w:t>
      </w:r>
      <w:r w:rsidR="00190923" w:rsidRPr="00981405">
        <w:t xml:space="preserve"> </w:t>
      </w:r>
      <w:r w:rsidRPr="00981405">
        <w:t>generally</w:t>
      </w:r>
      <w:r w:rsidR="00190923" w:rsidRPr="00981405">
        <w:t xml:space="preserve"> </w:t>
      </w:r>
      <w:r w:rsidRPr="00981405">
        <w:t>accepted</w:t>
      </w:r>
      <w:r w:rsidR="00190923" w:rsidRPr="00981405">
        <w:t xml:space="preserve"> </w:t>
      </w:r>
      <w:r w:rsidRPr="00981405">
        <w:t>as</w:t>
      </w:r>
      <w:r w:rsidR="00190923" w:rsidRPr="00981405">
        <w:t xml:space="preserve"> </w:t>
      </w:r>
      <w:r w:rsidRPr="00981405">
        <w:t>a</w:t>
      </w:r>
      <w:r w:rsidR="00190923" w:rsidRPr="00981405">
        <w:t xml:space="preserve"> </w:t>
      </w:r>
      <w:r w:rsidRPr="00981405">
        <w:t>principle</w:t>
      </w:r>
      <w:r w:rsidR="00190923" w:rsidRPr="00981405">
        <w:t xml:space="preserve"> </w:t>
      </w:r>
      <w:r w:rsidRPr="00981405">
        <w:t>of</w:t>
      </w:r>
      <w:r w:rsidR="00190923" w:rsidRPr="00981405">
        <w:t xml:space="preserve"> </w:t>
      </w:r>
      <w:r w:rsidRPr="00981405">
        <w:t>treaty</w:t>
      </w:r>
      <w:r w:rsidR="00190923" w:rsidRPr="00981405">
        <w:t xml:space="preserve"> </w:t>
      </w:r>
      <w:r w:rsidRPr="00981405">
        <w:t>interpretation.</w:t>
      </w:r>
      <w:r w:rsidRPr="00981405">
        <w:rPr>
          <w:rStyle w:val="FootnoteReference"/>
        </w:rPr>
        <w:footnoteReference w:id="595"/>
      </w:r>
      <w:r w:rsidR="00190923" w:rsidRPr="00981405">
        <w:t xml:space="preserve"> </w:t>
      </w:r>
      <w:r w:rsidRPr="00981405">
        <w:t>However,</w:t>
      </w:r>
      <w:r w:rsidR="00190923" w:rsidRPr="00981405">
        <w:t xml:space="preserve"> </w:t>
      </w:r>
      <w:r w:rsidRPr="00981405">
        <w:t>its</w:t>
      </w:r>
      <w:r w:rsidR="00190923" w:rsidRPr="00981405">
        <w:t xml:space="preserve"> </w:t>
      </w:r>
      <w:r w:rsidRPr="00981405">
        <w:t>relevance</w:t>
      </w:r>
      <w:r w:rsidR="00190923" w:rsidRPr="00981405">
        <w:t xml:space="preserve"> </w:t>
      </w:r>
      <w:r w:rsidRPr="00981405">
        <w:t>in</w:t>
      </w:r>
      <w:r w:rsidR="00190923" w:rsidRPr="00981405">
        <w:t xml:space="preserve"> </w:t>
      </w:r>
      <w:r w:rsidRPr="00981405">
        <w:t>the</w:t>
      </w:r>
      <w:r w:rsidR="00190923" w:rsidRPr="00981405">
        <w:t xml:space="preserve"> </w:t>
      </w:r>
      <w:r w:rsidRPr="00981405">
        <w:t>context</w:t>
      </w:r>
      <w:r w:rsidR="00190923" w:rsidRPr="00981405">
        <w:t xml:space="preserve"> </w:t>
      </w:r>
      <w:r w:rsidRPr="00981405">
        <w:t>of</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may</w:t>
      </w:r>
      <w:r w:rsidR="00190923" w:rsidRPr="00981405">
        <w:t xml:space="preserve"> </w:t>
      </w:r>
      <w:r w:rsidRPr="00981405">
        <w:t>be</w:t>
      </w:r>
      <w:r w:rsidR="00190923" w:rsidRPr="00981405">
        <w:t xml:space="preserve"> </w:t>
      </w:r>
      <w:r w:rsidRPr="00981405">
        <w:t>limited.</w:t>
      </w:r>
    </w:p>
    <w:p w:rsidR="00397032" w:rsidRPr="00981405" w:rsidRDefault="00397032" w:rsidP="00D97463">
      <w:pPr>
        <w:pStyle w:val="SingleTxt"/>
      </w:pPr>
      <w:r w:rsidRPr="00981405">
        <w:t>187.</w:t>
      </w:r>
      <w:r w:rsidRPr="00981405">
        <w:tab/>
        <w:t>By</w:t>
      </w:r>
      <w:r w:rsidR="00190923" w:rsidRPr="00981405">
        <w:t xml:space="preserve"> </w:t>
      </w:r>
      <w:r w:rsidRPr="00981405">
        <w:t>its</w:t>
      </w:r>
      <w:r w:rsidR="00190923" w:rsidRPr="00981405">
        <w:t xml:space="preserve"> </w:t>
      </w:r>
      <w:r w:rsidRPr="00981405">
        <w:t>very</w:t>
      </w:r>
      <w:r w:rsidR="00190923" w:rsidRPr="00981405">
        <w:t xml:space="preserve"> </w:t>
      </w:r>
      <w:r w:rsidRPr="00981405">
        <w:t>nature,</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promises</w:t>
      </w:r>
      <w:r w:rsidR="00190923" w:rsidRPr="00981405">
        <w:t xml:space="preserve"> </w:t>
      </w:r>
      <w:r w:rsidRPr="00981405">
        <w:t>something</w:t>
      </w:r>
      <w:r w:rsidR="00190923" w:rsidRPr="00981405">
        <w:t xml:space="preserve"> </w:t>
      </w:r>
      <w:r w:rsidRPr="00981405">
        <w:t>better</w:t>
      </w:r>
      <w:r w:rsidR="00190923" w:rsidRPr="00981405">
        <w:t xml:space="preserve"> </w:t>
      </w:r>
      <w:r w:rsidRPr="00981405">
        <w:t>than</w:t>
      </w:r>
      <w:r w:rsidR="00190923" w:rsidRPr="00981405">
        <w:t xml:space="preserve"> </w:t>
      </w:r>
      <w:r w:rsidRPr="00981405">
        <w:t>what</w:t>
      </w:r>
      <w:r w:rsidR="00190923" w:rsidRPr="00981405">
        <w:t xml:space="preserve"> </w:t>
      </w:r>
      <w:r w:rsidRPr="00981405">
        <w:t>is</w:t>
      </w:r>
      <w:r w:rsidR="00190923" w:rsidRPr="00981405">
        <w:t xml:space="preserve"> </w:t>
      </w:r>
      <w:r w:rsidRPr="00981405">
        <w:t>provided</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r w:rsidR="00190923" w:rsidRPr="00981405">
        <w:t xml:space="preserve"> </w:t>
      </w:r>
      <w:r w:rsidRPr="00981405">
        <w:t>so</w:t>
      </w:r>
      <w:r w:rsidR="00190923" w:rsidRPr="00981405">
        <w:t xml:space="preserve"> </w:t>
      </w:r>
      <w:r w:rsidRPr="00981405">
        <w:t>that</w:t>
      </w:r>
      <w:r w:rsidR="00190923" w:rsidRPr="00981405">
        <w:t xml:space="preserve"> </w:t>
      </w:r>
      <w:r w:rsidRPr="00981405">
        <w:t>the</w:t>
      </w:r>
      <w:r w:rsidR="00190923" w:rsidRPr="00981405">
        <w:t xml:space="preserve"> </w:t>
      </w:r>
      <w:r w:rsidRPr="00981405">
        <w:t>mere</w:t>
      </w:r>
      <w:r w:rsidR="00190923" w:rsidRPr="00981405">
        <w:t xml:space="preserve"> </w:t>
      </w:r>
      <w:r w:rsidRPr="00981405">
        <w:t>fact</w:t>
      </w:r>
      <w:r w:rsidR="00190923" w:rsidRPr="00981405">
        <w:t xml:space="preserve"> </w:t>
      </w:r>
      <w:r w:rsidRPr="00981405">
        <w:t>that</w:t>
      </w:r>
      <w:r w:rsidR="00190923" w:rsidRPr="00981405">
        <w:t xml:space="preserve"> </w:t>
      </w:r>
      <w:r w:rsidRPr="00981405">
        <w:t>there</w:t>
      </w:r>
      <w:r w:rsidR="00190923" w:rsidRPr="00981405">
        <w:t xml:space="preserve"> </w:t>
      </w:r>
      <w:r w:rsidRPr="00981405">
        <w:t>is</w:t>
      </w:r>
      <w:r w:rsidR="00190923" w:rsidRPr="00981405">
        <w:t xml:space="preserve"> </w:t>
      </w:r>
      <w:r w:rsidRPr="00981405">
        <w:t>a</w:t>
      </w:r>
      <w:r w:rsidR="00190923" w:rsidRPr="00981405">
        <w:t xml:space="preserve"> </w:t>
      </w:r>
      <w:r w:rsidRPr="00981405">
        <w:t>specific</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itself</w:t>
      </w:r>
      <w:r w:rsidR="00190923" w:rsidRPr="00981405">
        <w:t xml:space="preserve"> </w:t>
      </w:r>
      <w:r w:rsidRPr="00981405">
        <w:t>cannot</w:t>
      </w:r>
      <w:r w:rsidR="00190923" w:rsidRPr="00981405">
        <w:t xml:space="preserve"> </w:t>
      </w:r>
      <w:r w:rsidRPr="00981405">
        <w:t>be</w:t>
      </w:r>
      <w:r w:rsidR="00190923" w:rsidRPr="00981405">
        <w:t xml:space="preserve"> </w:t>
      </w:r>
      <w:r w:rsidRPr="00981405">
        <w:t>conclusive</w:t>
      </w:r>
      <w:r w:rsidR="00190923" w:rsidRPr="00981405">
        <w:t xml:space="preserve"> </w:t>
      </w:r>
      <w:r w:rsidRPr="00981405">
        <w:t>on</w:t>
      </w:r>
      <w:r w:rsidR="00190923" w:rsidRPr="00981405">
        <w:t xml:space="preserve"> </w:t>
      </w:r>
      <w:r w:rsidRPr="00981405">
        <w:t>whether</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can</w:t>
      </w:r>
      <w:r w:rsidR="00190923" w:rsidRPr="00981405">
        <w:t xml:space="preserve"> </w:t>
      </w:r>
      <w:r w:rsidRPr="00981405">
        <w:t>provide</w:t>
      </w:r>
      <w:r w:rsidR="00190923" w:rsidRPr="00981405">
        <w:t xml:space="preserve"> </w:t>
      </w:r>
      <w:r w:rsidRPr="00981405">
        <w:lastRenderedPageBreak/>
        <w:t>better</w:t>
      </w:r>
      <w:r w:rsidR="00190923" w:rsidRPr="00981405">
        <w:t xml:space="preserve"> </w:t>
      </w:r>
      <w:r w:rsidRPr="00981405">
        <w:t>treatment</w:t>
      </w:r>
      <w:r w:rsidR="00190923" w:rsidRPr="00981405">
        <w:t xml:space="preserve"> </w:t>
      </w:r>
      <w:r w:rsidRPr="00981405">
        <w:t>than</w:t>
      </w:r>
      <w:r w:rsidR="00190923" w:rsidRPr="00981405">
        <w:t xml:space="preserve"> </w:t>
      </w:r>
      <w:r w:rsidRPr="00981405">
        <w:t>what</w:t>
      </w:r>
      <w:r w:rsidR="00190923" w:rsidRPr="00981405">
        <w:t xml:space="preserve"> </w:t>
      </w:r>
      <w:r w:rsidRPr="00981405">
        <w:t>is</w:t>
      </w:r>
      <w:r w:rsidR="00190923" w:rsidRPr="00981405">
        <w:t xml:space="preserve"> </w:t>
      </w:r>
      <w:r w:rsidRPr="00981405">
        <w:t>already</w:t>
      </w:r>
      <w:r w:rsidR="00190923" w:rsidRPr="00981405">
        <w:t xml:space="preserve"> </w:t>
      </w:r>
      <w:r w:rsidRPr="00981405">
        <w:t>provided</w:t>
      </w:r>
      <w:r w:rsidR="00190923" w:rsidRPr="00981405">
        <w:t xml:space="preserve"> </w:t>
      </w:r>
      <w:r w:rsidRPr="00981405">
        <w:t>for</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Of</w:t>
      </w:r>
      <w:r w:rsidR="00190923" w:rsidRPr="00981405">
        <w:t xml:space="preserve"> </w:t>
      </w:r>
      <w:r w:rsidRPr="00981405">
        <w:t>course,</w:t>
      </w:r>
      <w:r w:rsidR="00190923" w:rsidRPr="00981405">
        <w:t xml:space="preserve"> </w:t>
      </w:r>
      <w:r w:rsidRPr="00981405">
        <w:t>if</w:t>
      </w:r>
      <w:r w:rsidR="00190923" w:rsidRPr="00981405">
        <w:t xml:space="preserve"> </w:t>
      </w:r>
      <w:r w:rsidRPr="00981405">
        <w:t>there</w:t>
      </w:r>
      <w:r w:rsidR="00190923" w:rsidRPr="00981405">
        <w:t xml:space="preserve"> </w:t>
      </w:r>
      <w:r w:rsidRPr="00981405">
        <w:t>is</w:t>
      </w:r>
      <w:r w:rsidR="00190923" w:rsidRPr="00981405">
        <w:t xml:space="preserve"> </w:t>
      </w:r>
      <w:r w:rsidRPr="00981405">
        <w:t>independent</w:t>
      </w:r>
      <w:r w:rsidR="00190923" w:rsidRPr="00981405">
        <w:t xml:space="preserve"> </w:t>
      </w:r>
      <w:r w:rsidRPr="00981405">
        <w:t>interpretative</w:t>
      </w:r>
      <w:r w:rsidR="00190923" w:rsidRPr="00981405">
        <w:t xml:space="preserve"> </w:t>
      </w:r>
      <w:r w:rsidRPr="00981405">
        <w:t>evidence</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r w:rsidR="00190923" w:rsidRPr="00981405">
        <w:t xml:space="preserve"> </w:t>
      </w:r>
      <w:r w:rsidRPr="00981405">
        <w:t>to</w:t>
      </w:r>
      <w:r w:rsidR="00190923" w:rsidRPr="00981405">
        <w:t xml:space="preserve"> </w:t>
      </w:r>
      <w:r w:rsidRPr="00981405">
        <w:t>show</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intended</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not</w:t>
      </w:r>
      <w:r w:rsidR="00190923" w:rsidRPr="00981405">
        <w:t xml:space="preserve"> </w:t>
      </w:r>
      <w:r w:rsidRPr="00981405">
        <w:t>to</w:t>
      </w:r>
      <w:r w:rsidR="00190923" w:rsidRPr="00981405">
        <w:t xml:space="preserve"> </w:t>
      </w:r>
      <w:r w:rsidRPr="00981405">
        <w:t>apply</w:t>
      </w:r>
      <w:r w:rsidR="00190923" w:rsidRPr="00981405">
        <w:t xml:space="preserve"> </w:t>
      </w:r>
      <w:r w:rsidRPr="00981405">
        <w:t>to</w:t>
      </w:r>
      <w:r w:rsidR="00190923" w:rsidRPr="00981405">
        <w:t xml:space="preserve"> </w:t>
      </w:r>
      <w:r w:rsidRPr="00981405">
        <w:t>the</w:t>
      </w:r>
      <w:r w:rsidR="00190923" w:rsidRPr="00981405">
        <w:t xml:space="preserve"> </w:t>
      </w:r>
      <w:r w:rsidRPr="00981405">
        <w:t>specific</w:t>
      </w:r>
      <w:r w:rsidR="00190923" w:rsidRPr="00981405">
        <w:t xml:space="preserve"> </w:t>
      </w:r>
      <w:r w:rsidRPr="00981405">
        <w:t>provision</w:t>
      </w:r>
      <w:r w:rsidR="00190923" w:rsidRPr="00981405">
        <w:t xml:space="preserve"> </w:t>
      </w:r>
      <w:r w:rsidRPr="00981405">
        <w:t>in</w:t>
      </w:r>
      <w:r w:rsidR="00190923" w:rsidRPr="00981405">
        <w:t xml:space="preserve"> </w:t>
      </w:r>
      <w:r w:rsidRPr="00981405">
        <w:t>question,</w:t>
      </w:r>
      <w:r w:rsidR="00190923" w:rsidRPr="00981405">
        <w:t xml:space="preserve"> </w:t>
      </w:r>
      <w:r w:rsidRPr="00981405">
        <w:t>then</w:t>
      </w:r>
      <w:r w:rsidR="00190923" w:rsidRPr="00981405">
        <w:t xml:space="preserve"> </w:t>
      </w:r>
      <w:r w:rsidRPr="00981405">
        <w:t>that</w:t>
      </w:r>
      <w:r w:rsidR="00190923" w:rsidRPr="00981405">
        <w:t xml:space="preserve"> </w:t>
      </w:r>
      <w:r w:rsidRPr="00981405">
        <w:t>is</w:t>
      </w:r>
      <w:r w:rsidR="00190923" w:rsidRPr="00981405">
        <w:t xml:space="preserve"> </w:t>
      </w:r>
      <w:r w:rsidRPr="00981405">
        <w:t>a</w:t>
      </w:r>
      <w:r w:rsidR="00190923" w:rsidRPr="00981405">
        <w:t xml:space="preserve"> </w:t>
      </w:r>
      <w:r w:rsidRPr="00981405">
        <w:t>different</w:t>
      </w:r>
      <w:r w:rsidR="00190923" w:rsidRPr="00981405">
        <w:t xml:space="preserve"> </w:t>
      </w:r>
      <w:r w:rsidRPr="00981405">
        <w:t>matter.</w:t>
      </w:r>
      <w:r w:rsidR="00190923" w:rsidRPr="00981405">
        <w:t xml:space="preserve"> </w:t>
      </w:r>
      <w:r w:rsidRPr="00981405">
        <w:t>But,</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a</w:t>
      </w:r>
      <w:r w:rsidR="00190923" w:rsidRPr="00981405">
        <w:t xml:space="preserve"> </w:t>
      </w:r>
      <w:r w:rsidRPr="00981405">
        <w:t>presumption</w:t>
      </w:r>
      <w:r w:rsidR="00190923" w:rsidRPr="00981405">
        <w:t xml:space="preserve"> </w:t>
      </w:r>
      <w:r w:rsidRPr="00981405">
        <w:t>that</w:t>
      </w:r>
      <w:r w:rsidR="00190923" w:rsidRPr="00981405">
        <w:t xml:space="preserve"> </w:t>
      </w:r>
      <w:r w:rsidRPr="00981405">
        <w:t>the</w:t>
      </w:r>
      <w:r w:rsidR="00190923" w:rsidRPr="00981405">
        <w:t xml:space="preserve"> </w:t>
      </w:r>
      <w:r w:rsidRPr="00981405">
        <w:t>specific</w:t>
      </w:r>
      <w:r w:rsidR="00190923" w:rsidRPr="00981405">
        <w:t xml:space="preserve"> </w:t>
      </w:r>
      <w:r w:rsidRPr="00981405">
        <w:t>overrides</w:t>
      </w:r>
      <w:r w:rsidR="00190923" w:rsidRPr="00981405">
        <w:t xml:space="preserve"> </w:t>
      </w:r>
      <w:r w:rsidRPr="00981405">
        <w:t>the</w:t>
      </w:r>
      <w:r w:rsidR="00190923" w:rsidRPr="00981405">
        <w:t xml:space="preserve"> </w:t>
      </w:r>
      <w:r w:rsidRPr="00981405">
        <w:t>general</w:t>
      </w:r>
      <w:r w:rsidR="00190923" w:rsidRPr="00981405">
        <w:t xml:space="preserve"> </w:t>
      </w:r>
      <w:r w:rsidRPr="00981405">
        <w:t>is</w:t>
      </w:r>
      <w:r w:rsidR="00190923" w:rsidRPr="00981405">
        <w:t xml:space="preserve"> </w:t>
      </w:r>
      <w:r w:rsidRPr="00981405">
        <w:t>simply</w:t>
      </w:r>
      <w:r w:rsidR="00190923" w:rsidRPr="00981405">
        <w:t xml:space="preserve"> </w:t>
      </w:r>
      <w:r w:rsidRPr="00981405">
        <w:t>inconclusive</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p>
    <w:p w:rsidR="00397032" w:rsidRPr="00D97463" w:rsidRDefault="00397032" w:rsidP="00D97463">
      <w:pPr>
        <w:pStyle w:val="SingleTxt"/>
        <w:spacing w:after="0" w:line="120" w:lineRule="exact"/>
        <w:rPr>
          <w:sz w:val="10"/>
        </w:rPr>
      </w:pPr>
    </w:p>
    <w:p w:rsidR="00397032" w:rsidRPr="00D97463" w:rsidRDefault="00397032" w:rsidP="00D97463">
      <w:pPr>
        <w:pStyle w:val="H4"/>
        <w:ind w:right="1260"/>
      </w:pPr>
      <w:r w:rsidRPr="00D97463">
        <w:tab/>
      </w:r>
      <w:bookmarkStart w:id="321" w:name="_Toc293434192"/>
      <w:bookmarkStart w:id="322" w:name="_Toc294353705"/>
      <w:bookmarkStart w:id="323" w:name="_Toc427938205"/>
      <w:r w:rsidRPr="00D97463">
        <w:t>(b)</w:t>
      </w:r>
      <w:r w:rsidRPr="00D97463">
        <w:tab/>
        <w:t>The</w:t>
      </w:r>
      <w:r w:rsidR="00190923" w:rsidRPr="00D97463">
        <w:t xml:space="preserve"> </w:t>
      </w:r>
      <w:r w:rsidRPr="00D97463">
        <w:t>expressio</w:t>
      </w:r>
      <w:r w:rsidR="00190923" w:rsidRPr="00D97463">
        <w:t xml:space="preserve"> </w:t>
      </w:r>
      <w:r w:rsidRPr="00D97463">
        <w:t>unius</w:t>
      </w:r>
      <w:r w:rsidR="00190923" w:rsidRPr="00D97463">
        <w:t xml:space="preserve"> </w:t>
      </w:r>
      <w:r w:rsidRPr="00D97463">
        <w:t>principle</w:t>
      </w:r>
      <w:bookmarkEnd w:id="321"/>
      <w:bookmarkEnd w:id="322"/>
      <w:bookmarkEnd w:id="323"/>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188.</w:t>
      </w:r>
      <w:r w:rsidRPr="00981405">
        <w:tab/>
        <w:t>The</w:t>
      </w:r>
      <w:r w:rsidR="00190923" w:rsidRPr="00981405">
        <w:t xml:space="preserve"> </w:t>
      </w:r>
      <w:r w:rsidRPr="00981405">
        <w:t>principle</w:t>
      </w:r>
      <w:r w:rsidR="00190923" w:rsidRPr="00981405">
        <w:t xml:space="preserve"> </w:t>
      </w:r>
      <w:r w:rsidRPr="00D97463">
        <w:rPr>
          <w:i/>
          <w:iCs/>
        </w:rPr>
        <w:t>expressio</w:t>
      </w:r>
      <w:r w:rsidR="00190923" w:rsidRPr="00D97463">
        <w:rPr>
          <w:i/>
          <w:iCs/>
        </w:rPr>
        <w:t xml:space="preserve"> </w:t>
      </w:r>
      <w:r w:rsidRPr="00D97463">
        <w:rPr>
          <w:i/>
          <w:iCs/>
        </w:rPr>
        <w:t>unius</w:t>
      </w:r>
      <w:r w:rsidR="00190923" w:rsidRPr="00D97463">
        <w:rPr>
          <w:i/>
          <w:iCs/>
        </w:rPr>
        <w:t xml:space="preserve"> </w:t>
      </w:r>
      <w:r w:rsidRPr="00D97463">
        <w:rPr>
          <w:i/>
          <w:iCs/>
        </w:rPr>
        <w:t>est</w:t>
      </w:r>
      <w:r w:rsidR="00190923" w:rsidRPr="00D97463">
        <w:rPr>
          <w:i/>
          <w:iCs/>
        </w:rPr>
        <w:t xml:space="preserve"> </w:t>
      </w:r>
      <w:r w:rsidRPr="00D97463">
        <w:rPr>
          <w:i/>
          <w:iCs/>
        </w:rPr>
        <w:t>exclusio</w:t>
      </w:r>
      <w:r w:rsidR="00190923" w:rsidRPr="00D97463">
        <w:rPr>
          <w:i/>
          <w:iCs/>
        </w:rPr>
        <w:t xml:space="preserve"> </w:t>
      </w:r>
      <w:r w:rsidRPr="00D97463">
        <w:rPr>
          <w:i/>
          <w:iCs/>
        </w:rPr>
        <w:t>alterius</w:t>
      </w:r>
      <w:r w:rsidR="00190923" w:rsidRPr="00981405">
        <w:t xml:space="preserve"> </w:t>
      </w:r>
      <w:r w:rsidRPr="00981405">
        <w:t>has</w:t>
      </w:r>
      <w:r w:rsidR="00190923" w:rsidRPr="00981405">
        <w:t xml:space="preserve"> </w:t>
      </w:r>
      <w:r w:rsidRPr="00981405">
        <w:t>often</w:t>
      </w:r>
      <w:r w:rsidR="00190923" w:rsidRPr="00981405">
        <w:t xml:space="preserve"> </w:t>
      </w:r>
      <w:r w:rsidRPr="00981405">
        <w:t>been</w:t>
      </w:r>
      <w:r w:rsidR="00190923" w:rsidRPr="00981405">
        <w:t xml:space="preserve"> </w:t>
      </w:r>
      <w:r w:rsidRPr="00981405">
        <w:t>cited,</w:t>
      </w:r>
      <w:r w:rsidR="00190923" w:rsidRPr="00981405">
        <w:t xml:space="preserve"> </w:t>
      </w:r>
      <w:r w:rsidRPr="00981405">
        <w:t>particularly</w:t>
      </w:r>
      <w:r w:rsidR="00190923" w:rsidRPr="00981405">
        <w:t xml:space="preserve"> </w:t>
      </w:r>
      <w:r w:rsidRPr="00981405">
        <w:t>in</w:t>
      </w:r>
      <w:r w:rsidR="00190923" w:rsidRPr="00981405">
        <w:t xml:space="preserve"> </w:t>
      </w:r>
      <w:r w:rsidRPr="00981405">
        <w:t>relation</w:t>
      </w:r>
      <w:r w:rsidR="00190923" w:rsidRPr="00981405">
        <w:t xml:space="preserve"> </w:t>
      </w:r>
      <w:r w:rsidRPr="00981405">
        <w:t>to</w:t>
      </w:r>
      <w:r w:rsidR="00190923" w:rsidRPr="00981405">
        <w:t xml:space="preserve"> </w:t>
      </w:r>
      <w:r w:rsidRPr="00981405">
        <w:t>express</w:t>
      </w:r>
      <w:r w:rsidR="00190923" w:rsidRPr="00981405">
        <w:t xml:space="preserve"> </w:t>
      </w:r>
      <w:r w:rsidRPr="00981405">
        <w:t>exclusions</w:t>
      </w:r>
      <w:r w:rsidR="00190923" w:rsidRPr="00981405">
        <w:t xml:space="preserve"> </w:t>
      </w:r>
      <w:r w:rsidRPr="00981405">
        <w:t>from</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The</w:t>
      </w:r>
      <w:r w:rsidR="00190923" w:rsidRPr="00981405">
        <w:t xml:space="preserve"> </w:t>
      </w:r>
      <w:r w:rsidRPr="00981405">
        <w:t>argument</w:t>
      </w:r>
      <w:r w:rsidR="00190923" w:rsidRPr="00981405">
        <w:t xml:space="preserve"> </w:t>
      </w:r>
      <w:r w:rsidRPr="00981405">
        <w:t>goes</w:t>
      </w:r>
      <w:r w:rsidR="00190923" w:rsidRPr="00981405">
        <w:t xml:space="preserve"> </w:t>
      </w:r>
      <w:r w:rsidRPr="00981405">
        <w:t>that</w:t>
      </w:r>
      <w:r w:rsidR="00190923" w:rsidRPr="00981405">
        <w:t xml:space="preserve"> </w:t>
      </w:r>
      <w:r w:rsidRPr="00981405">
        <w:t>where</w:t>
      </w:r>
      <w:r w:rsidR="00190923" w:rsidRPr="00981405">
        <w:t xml:space="preserve"> </w:t>
      </w:r>
      <w:r w:rsidRPr="00981405">
        <w:t>the</w:t>
      </w:r>
      <w:r w:rsidR="00190923" w:rsidRPr="00981405">
        <w:t xml:space="preserve"> </w:t>
      </w:r>
      <w:r w:rsidRPr="00981405">
        <w:t>BIT</w:t>
      </w:r>
      <w:r w:rsidR="00190923" w:rsidRPr="00981405">
        <w:t xml:space="preserve"> </w:t>
      </w:r>
      <w:r w:rsidRPr="00981405">
        <w:t>contains</w:t>
      </w:r>
      <w:r w:rsidR="00190923" w:rsidRPr="00981405">
        <w:t xml:space="preserve"> </w:t>
      </w:r>
      <w:r w:rsidRPr="00981405">
        <w:t>express</w:t>
      </w:r>
      <w:r w:rsidR="00190923" w:rsidRPr="00981405">
        <w:t xml:space="preserve"> </w:t>
      </w:r>
      <w:r w:rsidRPr="00981405">
        <w:t>exceptions</w:t>
      </w:r>
      <w:r w:rsidR="00190923" w:rsidRPr="00981405">
        <w:t xml:space="preserve"> </w:t>
      </w:r>
      <w:r w:rsidRPr="00981405">
        <w:t>to</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those</w:t>
      </w:r>
      <w:r w:rsidR="00190923" w:rsidRPr="00981405">
        <w:t xml:space="preserve"> </w:t>
      </w:r>
      <w:r w:rsidRPr="00981405">
        <w:t>exceptions</w:t>
      </w:r>
      <w:r w:rsidR="00190923" w:rsidRPr="00981405">
        <w:t xml:space="preserve"> </w:t>
      </w:r>
      <w:r w:rsidRPr="00981405">
        <w:t>exclude</w:t>
      </w:r>
      <w:r w:rsidR="00190923" w:rsidRPr="00981405">
        <w:t xml:space="preserve"> </w:t>
      </w:r>
      <w:r w:rsidRPr="00981405">
        <w:t>other</w:t>
      </w:r>
      <w:r w:rsidR="00190923" w:rsidRPr="00981405">
        <w:t xml:space="preserve"> </w:t>
      </w:r>
      <w:r w:rsidRPr="00981405">
        <w:t>non-designated</w:t>
      </w:r>
      <w:r w:rsidR="00190923" w:rsidRPr="00981405">
        <w:t xml:space="preserve"> </w:t>
      </w:r>
      <w:r w:rsidRPr="00981405">
        <w:t>exceptions.</w:t>
      </w:r>
      <w:r w:rsidRPr="00981405">
        <w:rPr>
          <w:rStyle w:val="FootnoteReference"/>
        </w:rPr>
        <w:footnoteReference w:id="596"/>
      </w:r>
      <w:r w:rsidR="00190923" w:rsidRPr="00981405">
        <w:t xml:space="preserve"> </w:t>
      </w:r>
      <w:r w:rsidRPr="00981405">
        <w:t>Thus,</w:t>
      </w:r>
      <w:r w:rsidR="00190923" w:rsidRPr="00981405">
        <w:t xml:space="preserve"> </w:t>
      </w:r>
      <w:r w:rsidRPr="00981405">
        <w:t>failure</w:t>
      </w:r>
      <w:r w:rsidR="00190923" w:rsidRPr="00981405">
        <w:t xml:space="preserve"> </w:t>
      </w:r>
      <w:r w:rsidRPr="00981405">
        <w:t>to</w:t>
      </w:r>
      <w:r w:rsidR="00190923" w:rsidRPr="00981405">
        <w:t xml:space="preserve"> </w:t>
      </w:r>
      <w:r w:rsidRPr="00981405">
        <w:t>include</w:t>
      </w:r>
      <w:r w:rsidR="00190923" w:rsidRPr="00981405">
        <w:t xml:space="preserve"> </w:t>
      </w:r>
      <w:r w:rsidRPr="00981405">
        <w:t>any</w:t>
      </w:r>
      <w:r w:rsidR="00190923" w:rsidRPr="00981405">
        <w:t xml:space="preserve"> </w:t>
      </w:r>
      <w:r w:rsidRPr="00981405">
        <w:t>reference</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amongst</w:t>
      </w:r>
      <w:r w:rsidR="00190923" w:rsidRPr="00981405">
        <w:t xml:space="preserve"> </w:t>
      </w:r>
      <w:r w:rsidRPr="00981405">
        <w:t>those</w:t>
      </w:r>
      <w:r w:rsidR="00190923" w:rsidRPr="00981405">
        <w:t xml:space="preserve"> </w:t>
      </w:r>
      <w:r w:rsidRPr="00981405">
        <w:t>matters</w:t>
      </w:r>
      <w:r w:rsidR="00190923" w:rsidRPr="00981405">
        <w:t xml:space="preserve"> </w:t>
      </w:r>
      <w:r w:rsidRPr="00981405">
        <w:t>excluded</w:t>
      </w:r>
      <w:r w:rsidR="00190923" w:rsidRPr="00981405">
        <w:t xml:space="preserve"> </w:t>
      </w:r>
      <w:r w:rsidRPr="00981405">
        <w:t>from</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implies</w:t>
      </w:r>
      <w:r w:rsidR="00190923" w:rsidRPr="00981405">
        <w:t xml:space="preserve"> </w:t>
      </w:r>
      <w:r w:rsidRPr="00981405">
        <w:t>that</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covers</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However,</w:t>
      </w:r>
      <w:r w:rsidR="00190923" w:rsidRPr="00981405">
        <w:t xml:space="preserve"> </w:t>
      </w:r>
      <w:r w:rsidRPr="00981405">
        <w:t>as</w:t>
      </w:r>
      <w:r w:rsidR="00190923" w:rsidRPr="00981405">
        <w:t xml:space="preserve"> </w:t>
      </w:r>
      <w:r w:rsidRPr="00981405">
        <w:t>noted</w:t>
      </w:r>
      <w:r w:rsidR="00190923" w:rsidRPr="00981405">
        <w:t xml:space="preserve"> </w:t>
      </w:r>
      <w:r w:rsidRPr="00981405">
        <w:t>by</w:t>
      </w:r>
      <w:r w:rsidR="00190923" w:rsidRPr="00981405">
        <w:t xml:space="preserve"> </w:t>
      </w:r>
      <w:r w:rsidRPr="00981405">
        <w:t>some</w:t>
      </w:r>
      <w:r w:rsidR="00190923" w:rsidRPr="00981405">
        <w:t xml:space="preserve"> </w:t>
      </w:r>
      <w:r w:rsidRPr="00981405">
        <w:t>authors,</w:t>
      </w:r>
      <w:r w:rsidR="00190923" w:rsidRPr="00981405">
        <w:t xml:space="preserve"> </w:t>
      </w:r>
      <w:r w:rsidRPr="00981405">
        <w:t>the</w:t>
      </w:r>
      <w:r w:rsidR="00190923" w:rsidRPr="00981405">
        <w:t xml:space="preserve"> </w:t>
      </w:r>
      <w:r w:rsidRPr="00D97463">
        <w:rPr>
          <w:i/>
          <w:iCs/>
        </w:rPr>
        <w:t>expressio</w:t>
      </w:r>
      <w:r w:rsidR="00190923" w:rsidRPr="00D97463">
        <w:rPr>
          <w:i/>
          <w:iCs/>
        </w:rPr>
        <w:t xml:space="preserve"> </w:t>
      </w:r>
      <w:r w:rsidRPr="00D97463">
        <w:rPr>
          <w:i/>
          <w:iCs/>
        </w:rPr>
        <w:t>unius</w:t>
      </w:r>
      <w:r w:rsidR="00190923" w:rsidRPr="00981405">
        <w:t xml:space="preserve"> </w:t>
      </w:r>
      <w:r w:rsidRPr="00981405">
        <w:t>principle</w:t>
      </w:r>
      <w:r w:rsidR="00190923" w:rsidRPr="00981405">
        <w:t xml:space="preserve"> </w:t>
      </w:r>
      <w:r w:rsidRPr="00981405">
        <w:t>is</w:t>
      </w:r>
      <w:r w:rsidR="00190923" w:rsidRPr="00981405">
        <w:t xml:space="preserve"> </w:t>
      </w:r>
      <w:r w:rsidRPr="00981405">
        <w:t>at</w:t>
      </w:r>
      <w:r w:rsidR="00190923" w:rsidRPr="00981405">
        <w:t xml:space="preserve"> </w:t>
      </w:r>
      <w:r w:rsidRPr="00981405">
        <w:t>best</w:t>
      </w:r>
      <w:r w:rsidR="00190923" w:rsidRPr="00981405">
        <w:t xml:space="preserve"> </w:t>
      </w:r>
      <w:r w:rsidRPr="00981405">
        <w:t>a</w:t>
      </w:r>
      <w:r w:rsidR="00190923" w:rsidRPr="00981405">
        <w:t xml:space="preserve"> </w:t>
      </w:r>
      <w:r w:rsidRPr="00981405">
        <w:t>presumption</w:t>
      </w:r>
      <w:r w:rsidR="00190923" w:rsidRPr="00981405">
        <w:t xml:space="preserve"> </w:t>
      </w:r>
      <w:r w:rsidRPr="00981405">
        <w:t>and</w:t>
      </w:r>
      <w:r w:rsidR="00190923" w:rsidRPr="00981405">
        <w:t xml:space="preserve"> </w:t>
      </w:r>
      <w:r w:rsidRPr="00981405">
        <w:t>should</w:t>
      </w:r>
      <w:r w:rsidR="00190923" w:rsidRPr="00981405">
        <w:t xml:space="preserve"> </w:t>
      </w:r>
      <w:r w:rsidRPr="00981405">
        <w:t>not</w:t>
      </w:r>
      <w:r w:rsidR="00190923" w:rsidRPr="00981405">
        <w:t xml:space="preserve"> </w:t>
      </w:r>
      <w:r w:rsidRPr="00981405">
        <w:t>be</w:t>
      </w:r>
      <w:r w:rsidR="00190923" w:rsidRPr="00981405">
        <w:t xml:space="preserve"> </w:t>
      </w:r>
      <w:r w:rsidRPr="00981405">
        <w:t>treated</w:t>
      </w:r>
      <w:r w:rsidR="00190923" w:rsidRPr="00981405">
        <w:t xml:space="preserve"> </w:t>
      </w:r>
      <w:r w:rsidRPr="00981405">
        <w:t>as</w:t>
      </w:r>
      <w:r w:rsidR="00190923" w:rsidRPr="00981405">
        <w:t xml:space="preserve"> </w:t>
      </w:r>
      <w:r w:rsidRPr="00981405">
        <w:t>a</w:t>
      </w:r>
      <w:r w:rsidR="00190923" w:rsidRPr="00981405">
        <w:t xml:space="preserve"> </w:t>
      </w:r>
      <w:r w:rsidRPr="00981405">
        <w:t>definitive</w:t>
      </w:r>
      <w:r w:rsidR="00190923" w:rsidRPr="00981405">
        <w:t xml:space="preserve"> </w:t>
      </w:r>
      <w:r w:rsidRPr="00981405">
        <w:t>answer</w:t>
      </w:r>
      <w:r w:rsidR="00190923" w:rsidRPr="00981405">
        <w:t xml:space="preserve"> </w:t>
      </w:r>
      <w:r w:rsidRPr="00981405">
        <w:t>to</w:t>
      </w:r>
      <w:r w:rsidR="00190923" w:rsidRPr="00981405">
        <w:t xml:space="preserve"> </w:t>
      </w:r>
      <w:r w:rsidRPr="00981405">
        <w:t>the</w:t>
      </w:r>
      <w:r w:rsidR="00190923" w:rsidRPr="00981405">
        <w:t xml:space="preserve"> </w:t>
      </w:r>
      <w:r w:rsidRPr="00981405">
        <w:t>question.</w:t>
      </w:r>
      <w:r w:rsidRPr="00981405">
        <w:rPr>
          <w:rStyle w:val="FootnoteReference"/>
        </w:rPr>
        <w:footnoteReference w:id="597"/>
      </w:r>
      <w:r w:rsidR="00190923" w:rsidRPr="00981405">
        <w:t xml:space="preserve"> </w:t>
      </w:r>
      <w:r w:rsidRPr="00981405">
        <w:t>It</w:t>
      </w:r>
      <w:r w:rsidR="00190923" w:rsidRPr="00981405">
        <w:t xml:space="preserve"> </w:t>
      </w:r>
      <w:r w:rsidRPr="00981405">
        <w:t>is</w:t>
      </w:r>
      <w:r w:rsidR="00190923" w:rsidRPr="00981405">
        <w:t xml:space="preserve"> </w:t>
      </w:r>
      <w:r w:rsidRPr="00981405">
        <w:t>a</w:t>
      </w:r>
      <w:r w:rsidR="00190923" w:rsidRPr="00981405">
        <w:t xml:space="preserve"> </w:t>
      </w:r>
      <w:r w:rsidRPr="00981405">
        <w:t>factor</w:t>
      </w:r>
      <w:r w:rsidR="00190923" w:rsidRPr="00981405">
        <w:t xml:space="preserve"> </w:t>
      </w:r>
      <w:r w:rsidRPr="00981405">
        <w:t>to</w:t>
      </w:r>
      <w:r w:rsidR="00190923" w:rsidRPr="00981405">
        <w:t xml:space="preserve"> </w:t>
      </w:r>
      <w:r w:rsidRPr="00981405">
        <w:t>consider</w:t>
      </w:r>
      <w:r w:rsidR="00190923" w:rsidRPr="00981405">
        <w:t xml:space="preserve"> </w:t>
      </w:r>
      <w:r w:rsidRPr="00981405">
        <w:t>and</w:t>
      </w:r>
      <w:r w:rsidR="00190923" w:rsidRPr="00981405">
        <w:t xml:space="preserve"> </w:t>
      </w:r>
      <w:r w:rsidRPr="00981405">
        <w:t>nothing</w:t>
      </w:r>
      <w:r w:rsidR="00190923" w:rsidRPr="00981405">
        <w:t xml:space="preserve"> </w:t>
      </w:r>
      <w:r w:rsidRPr="00981405">
        <w:t>more.</w:t>
      </w:r>
      <w:r w:rsidR="00190923" w:rsidRPr="00981405">
        <w:t xml:space="preserve"> </w:t>
      </w:r>
      <w:r w:rsidRPr="00981405">
        <w:t>Further,</w:t>
      </w:r>
      <w:r w:rsidR="00190923" w:rsidRPr="00981405">
        <w:t xml:space="preserve"> </w:t>
      </w:r>
      <w:r w:rsidRPr="00981405">
        <w:t>as</w:t>
      </w:r>
      <w:r w:rsidR="00190923" w:rsidRPr="00981405">
        <w:t xml:space="preserve"> </w:t>
      </w:r>
      <w:r w:rsidRPr="00981405">
        <w:t>the</w:t>
      </w:r>
      <w:r w:rsidR="00190923" w:rsidRPr="00981405">
        <w:t xml:space="preserve"> </w:t>
      </w:r>
      <w:r w:rsidRPr="00981405">
        <w:t>tribunal</w:t>
      </w:r>
      <w:r w:rsidR="00190923" w:rsidRPr="00981405">
        <w:t xml:space="preserve"> </w:t>
      </w:r>
      <w:r w:rsidRPr="00981405">
        <w:t>in</w:t>
      </w:r>
      <w:r w:rsidR="00190923" w:rsidRPr="00981405">
        <w:t xml:space="preserve"> </w:t>
      </w:r>
      <w:r w:rsidRPr="00D97463">
        <w:rPr>
          <w:i/>
          <w:iCs/>
        </w:rPr>
        <w:t>ICS</w:t>
      </w:r>
      <w:r w:rsidR="00190923" w:rsidRPr="00981405">
        <w:t xml:space="preserve"> </w:t>
      </w:r>
      <w:r w:rsidRPr="00981405">
        <w:t>pointed</w:t>
      </w:r>
      <w:r w:rsidR="00190923" w:rsidRPr="00981405">
        <w:t xml:space="preserve"> </w:t>
      </w:r>
      <w:r w:rsidRPr="00981405">
        <w:t>out,</w:t>
      </w:r>
      <w:r w:rsidR="00190923" w:rsidRPr="00981405">
        <w:t xml:space="preserve"> </w:t>
      </w:r>
      <w:r w:rsidRPr="00981405">
        <w:t>it</w:t>
      </w:r>
      <w:r w:rsidR="00190923" w:rsidRPr="00981405">
        <w:t xml:space="preserve"> </w:t>
      </w:r>
      <w:r w:rsidRPr="00981405">
        <w:t>may</w:t>
      </w:r>
      <w:r w:rsidR="00190923" w:rsidRPr="00981405">
        <w:t xml:space="preserve"> </w:t>
      </w:r>
      <w:r w:rsidRPr="00981405">
        <w:t>lead</w:t>
      </w:r>
      <w:r w:rsidR="00190923" w:rsidRPr="00981405">
        <w:t xml:space="preserve"> </w:t>
      </w:r>
      <w:r w:rsidRPr="00981405">
        <w:t>to</w:t>
      </w:r>
      <w:r w:rsidR="00190923" w:rsidRPr="00981405">
        <w:t xml:space="preserve"> </w:t>
      </w:r>
      <w:r w:rsidRPr="00981405">
        <w:t>the</w:t>
      </w:r>
      <w:r w:rsidR="00190923" w:rsidRPr="00981405">
        <w:t xml:space="preserve"> </w:t>
      </w:r>
      <w:r w:rsidRPr="00981405">
        <w:t>opposite</w:t>
      </w:r>
      <w:r w:rsidR="00190923" w:rsidRPr="00981405">
        <w:t xml:space="preserve"> </w:t>
      </w:r>
      <w:r w:rsidRPr="00981405">
        <w:t>conclusion.</w:t>
      </w:r>
      <w:r w:rsidR="00190923" w:rsidRPr="00981405">
        <w:t xml:space="preserve"> </w:t>
      </w:r>
      <w:r w:rsidRPr="00981405">
        <w:t>If</w:t>
      </w:r>
      <w:r w:rsidR="00190923" w:rsidRPr="00981405">
        <w:t xml:space="preserve"> </w:t>
      </w:r>
      <w:r w:rsidRPr="00981405">
        <w:t>only</w:t>
      </w:r>
      <w:r w:rsidR="00190923" w:rsidRPr="00981405">
        <w:t xml:space="preserve"> </w:t>
      </w:r>
      <w:r w:rsidRPr="00981405">
        <w:t>exceptions</w:t>
      </w:r>
      <w:r w:rsidR="00190923" w:rsidRPr="00981405">
        <w:t xml:space="preserve"> </w:t>
      </w:r>
      <w:r w:rsidRPr="00981405">
        <w:t>relating</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treatment</w:t>
      </w:r>
      <w:r w:rsidR="00190923" w:rsidRPr="00981405">
        <w:t xml:space="preserve"> </w:t>
      </w:r>
      <w:r w:rsidRPr="00981405">
        <w:t>are</w:t>
      </w:r>
      <w:r w:rsidR="00190923" w:rsidRPr="00981405">
        <w:t xml:space="preserve"> </w:t>
      </w:r>
      <w:r w:rsidRPr="00981405">
        <w:t>listed,</w:t>
      </w:r>
      <w:r w:rsidR="00190923" w:rsidRPr="00981405">
        <w:t xml:space="preserve"> </w:t>
      </w:r>
      <w:r w:rsidRPr="00981405">
        <w:t>that</w:t>
      </w:r>
      <w:r w:rsidR="00190923" w:rsidRPr="00981405">
        <w:t xml:space="preserve"> </w:t>
      </w:r>
      <w:r w:rsidRPr="00981405">
        <w:t>may</w:t>
      </w:r>
      <w:r w:rsidR="00190923" w:rsidRPr="00981405">
        <w:t xml:space="preserve"> </w:t>
      </w:r>
      <w:r w:rsidRPr="00981405">
        <w:t>imply</w:t>
      </w:r>
      <w:r w:rsidR="00190923" w:rsidRPr="00981405">
        <w:t xml:space="preserve"> </w:t>
      </w:r>
      <w:r w:rsidRPr="00981405">
        <w:t>that</w:t>
      </w:r>
      <w:r w:rsidR="00190923" w:rsidRPr="00981405">
        <w:t xml:space="preserve"> </w:t>
      </w:r>
      <w:r w:rsidRPr="00981405">
        <w:t>the</w:t>
      </w:r>
      <w:r w:rsidR="00190923" w:rsidRPr="00981405">
        <w:t xml:space="preserve"> </w:t>
      </w:r>
      <w:r w:rsidRPr="00981405">
        <w:t>parties</w:t>
      </w:r>
      <w:r w:rsidR="00190923" w:rsidRPr="00981405">
        <w:t xml:space="preserve"> </w:t>
      </w:r>
      <w:r w:rsidRPr="00981405">
        <w:t>did</w:t>
      </w:r>
      <w:r w:rsidR="00190923" w:rsidRPr="00981405">
        <w:t xml:space="preserve"> </w:t>
      </w:r>
      <w:r w:rsidRPr="00981405">
        <w:t>not</w:t>
      </w:r>
      <w:r w:rsidR="00190923" w:rsidRPr="00981405">
        <w:t xml:space="preserve"> </w:t>
      </w:r>
      <w:r w:rsidRPr="00981405">
        <w:t>believe</w:t>
      </w:r>
      <w:r w:rsidR="00190923" w:rsidRPr="00981405">
        <w:t xml:space="preserve"> </w:t>
      </w:r>
      <w:r w:rsidRPr="00981405">
        <w:t>MFN</w:t>
      </w:r>
      <w:r w:rsidR="00190923" w:rsidRPr="00981405">
        <w:t xml:space="preserve"> </w:t>
      </w:r>
      <w:r w:rsidRPr="00981405">
        <w:t>to</w:t>
      </w:r>
      <w:r w:rsidR="00190923" w:rsidRPr="00981405">
        <w:t xml:space="preserve"> </w:t>
      </w:r>
      <w:r w:rsidRPr="00981405">
        <w:t>be</w:t>
      </w:r>
      <w:r w:rsidR="00190923" w:rsidRPr="00981405">
        <w:t xml:space="preserve"> </w:t>
      </w:r>
      <w:r w:rsidRPr="00981405">
        <w:t>relevant</w:t>
      </w:r>
      <w:r w:rsidR="00190923" w:rsidRPr="00981405">
        <w:t xml:space="preserve"> </w:t>
      </w:r>
      <w:r w:rsidRPr="00981405">
        <w:t>to</w:t>
      </w:r>
      <w:r w:rsidR="00190923" w:rsidRPr="00981405">
        <w:t xml:space="preserve"> </w:t>
      </w:r>
      <w:r w:rsidRPr="00981405">
        <w:t>procedural</w:t>
      </w:r>
      <w:r w:rsidR="00190923" w:rsidRPr="00981405">
        <w:t xml:space="preserve"> </w:t>
      </w:r>
      <w:r w:rsidRPr="00981405">
        <w:t>or</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matters.</w:t>
      </w:r>
      <w:r w:rsidRPr="00981405">
        <w:rPr>
          <w:rStyle w:val="FootnoteReference"/>
        </w:rPr>
        <w:footnoteReference w:id="598"/>
      </w:r>
      <w:r w:rsidR="00190923" w:rsidRPr="00981405">
        <w:t xml:space="preserve"> </w:t>
      </w:r>
      <w:r w:rsidRPr="00981405">
        <w:t>Accordingly,</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took</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while</w:t>
      </w:r>
      <w:r w:rsidR="00190923" w:rsidRPr="00981405">
        <w:t xml:space="preserve"> </w:t>
      </w:r>
      <w:r w:rsidRPr="00981405">
        <w:t>the</w:t>
      </w:r>
      <w:r w:rsidR="00190923" w:rsidRPr="00981405">
        <w:t xml:space="preserve"> </w:t>
      </w:r>
      <w:r w:rsidRPr="00981405">
        <w:t>expressio</w:t>
      </w:r>
      <w:r w:rsidR="00190923" w:rsidRPr="00981405">
        <w:t xml:space="preserve"> </w:t>
      </w:r>
      <w:r w:rsidRPr="00981405">
        <w:t>unius</w:t>
      </w:r>
      <w:r w:rsidR="00190923" w:rsidRPr="00981405">
        <w:t xml:space="preserve"> </w:t>
      </w:r>
      <w:r w:rsidRPr="00981405">
        <w:t>principle</w:t>
      </w:r>
      <w:r w:rsidR="00190923" w:rsidRPr="00981405">
        <w:t xml:space="preserve"> </w:t>
      </w:r>
      <w:r w:rsidRPr="00981405">
        <w:t>is</w:t>
      </w:r>
      <w:r w:rsidR="00190923" w:rsidRPr="00981405">
        <w:t xml:space="preserve"> </w:t>
      </w:r>
      <w:r w:rsidRPr="00981405">
        <w:t>a</w:t>
      </w:r>
      <w:r w:rsidR="00190923" w:rsidRPr="00981405">
        <w:t xml:space="preserve"> </w:t>
      </w:r>
      <w:r w:rsidRPr="00981405">
        <w:t>factor</w:t>
      </w:r>
      <w:r w:rsidR="00190923" w:rsidRPr="00981405">
        <w:t xml:space="preserve"> </w:t>
      </w:r>
      <w:r w:rsidRPr="00981405">
        <w:t>to</w:t>
      </w:r>
      <w:r w:rsidR="00190923" w:rsidRPr="00981405">
        <w:t xml:space="preserve"> </w:t>
      </w:r>
      <w:r w:rsidRPr="00981405">
        <w:t>be</w:t>
      </w:r>
      <w:r w:rsidR="00190923" w:rsidRPr="00981405">
        <w:t xml:space="preserve"> </w:t>
      </w:r>
      <w:r w:rsidRPr="00981405">
        <w:t>taken</w:t>
      </w:r>
      <w:r w:rsidR="00190923" w:rsidRPr="00981405">
        <w:t xml:space="preserve"> </w:t>
      </w:r>
      <w:r w:rsidRPr="00981405">
        <w:t>into</w:t>
      </w:r>
      <w:r w:rsidR="00190923" w:rsidRPr="00981405">
        <w:t xml:space="preserve"> </w:t>
      </w:r>
      <w:r w:rsidRPr="00981405">
        <w:t>account,</w:t>
      </w:r>
      <w:r w:rsidR="00190923" w:rsidRPr="00981405">
        <w:t xml:space="preserve"> </w:t>
      </w:r>
      <w:r w:rsidRPr="00981405">
        <w:t>it</w:t>
      </w:r>
      <w:r w:rsidR="00190923" w:rsidRPr="00981405">
        <w:t xml:space="preserve"> </w:t>
      </w:r>
      <w:r w:rsidRPr="00981405">
        <w:t>cannot</w:t>
      </w:r>
      <w:r w:rsidR="00190923" w:rsidRPr="00981405">
        <w:t xml:space="preserve"> </w:t>
      </w:r>
      <w:r w:rsidRPr="00981405">
        <w:t>be</w:t>
      </w:r>
      <w:r w:rsidR="00190923" w:rsidRPr="00981405">
        <w:t xml:space="preserve"> </w:t>
      </w:r>
      <w:r w:rsidRPr="00981405">
        <w:t>regarded</w:t>
      </w:r>
      <w:r w:rsidR="00190923" w:rsidRPr="00981405">
        <w:t xml:space="preserve"> </w:t>
      </w:r>
      <w:r w:rsidRPr="00981405">
        <w:t>as</w:t>
      </w:r>
      <w:r w:rsidR="00190923" w:rsidRPr="00981405">
        <w:t xml:space="preserve"> </w:t>
      </w:r>
      <w:r w:rsidRPr="00981405">
        <w:t>a</w:t>
      </w:r>
      <w:r w:rsidR="00190923" w:rsidRPr="00981405">
        <w:t xml:space="preserve"> </w:t>
      </w:r>
      <w:r w:rsidRPr="00981405">
        <w:t>decisive</w:t>
      </w:r>
      <w:r w:rsidR="00190923" w:rsidRPr="00981405">
        <w:t xml:space="preserve"> </w:t>
      </w:r>
      <w:r w:rsidRPr="00981405">
        <w:t>factor</w:t>
      </w:r>
      <w:r w:rsidR="00A00224">
        <w:t>.</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bookmarkStart w:id="324" w:name="_Toc293434193"/>
      <w:bookmarkStart w:id="325" w:name="_Toc294353706"/>
      <w:r w:rsidRPr="00D97463">
        <w:tab/>
      </w:r>
      <w:bookmarkStart w:id="326" w:name="_Toc427938206"/>
      <w:r w:rsidRPr="00D97463">
        <w:t>5.</w:t>
      </w:r>
      <w:r w:rsidRPr="00D97463">
        <w:tab/>
        <w:t>The</w:t>
      </w:r>
      <w:r w:rsidR="00190923" w:rsidRPr="00D97463">
        <w:t xml:space="preserve"> </w:t>
      </w:r>
      <w:r w:rsidRPr="00D97463">
        <w:t>relevance</w:t>
      </w:r>
      <w:r w:rsidR="00190923" w:rsidRPr="00D97463">
        <w:t xml:space="preserve"> </w:t>
      </w:r>
      <w:r w:rsidRPr="00D97463">
        <w:t>of</w:t>
      </w:r>
      <w:r w:rsidR="00190923" w:rsidRPr="00D97463">
        <w:t xml:space="preserve"> </w:t>
      </w:r>
      <w:r w:rsidRPr="00D97463">
        <w:t>the</w:t>
      </w:r>
      <w:r w:rsidR="00190923" w:rsidRPr="00D97463">
        <w:t xml:space="preserve"> </w:t>
      </w:r>
      <w:r w:rsidRPr="00D97463">
        <w:t>content</w:t>
      </w:r>
      <w:r w:rsidR="00190923" w:rsidRPr="00D97463">
        <w:t xml:space="preserve"> </w:t>
      </w:r>
      <w:r w:rsidRPr="00D97463">
        <w:t>of</w:t>
      </w:r>
      <w:r w:rsidR="00190923" w:rsidRPr="00D97463">
        <w:t xml:space="preserve"> </w:t>
      </w:r>
      <w:r w:rsidRPr="00D97463">
        <w:t>the</w:t>
      </w:r>
      <w:r w:rsidR="00190923" w:rsidRPr="00D97463">
        <w:t xml:space="preserve"> </w:t>
      </w:r>
      <w:r w:rsidRPr="00D97463">
        <w:t>provision</w:t>
      </w:r>
      <w:r w:rsidR="00190923" w:rsidRPr="00D97463">
        <w:t xml:space="preserve"> </w:t>
      </w:r>
      <w:r w:rsidRPr="00D97463">
        <w:t>sought</w:t>
      </w:r>
      <w:r w:rsidR="00190923" w:rsidRPr="00D97463">
        <w:t xml:space="preserve"> </w:t>
      </w:r>
      <w:r w:rsidRPr="00D97463">
        <w:t>to</w:t>
      </w:r>
      <w:r w:rsidR="00190923" w:rsidRPr="00D97463">
        <w:t xml:space="preserve"> </w:t>
      </w:r>
      <w:r w:rsidRPr="00D97463">
        <w:t>be</w:t>
      </w:r>
      <w:r w:rsidR="00190923" w:rsidRPr="00D97463">
        <w:t xml:space="preserve"> </w:t>
      </w:r>
      <w:r w:rsidRPr="00D97463">
        <w:t>replaced</w:t>
      </w:r>
      <w:bookmarkEnd w:id="324"/>
      <w:bookmarkEnd w:id="325"/>
      <w:bookmarkEnd w:id="326"/>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189.</w:t>
      </w:r>
      <w:r w:rsidRPr="00981405">
        <w:tab/>
        <w:t>The</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has</w:t>
      </w:r>
      <w:r w:rsidR="00190923" w:rsidRPr="00981405">
        <w:t xml:space="preserve"> </w:t>
      </w:r>
      <w:r w:rsidRPr="00981405">
        <w:t>been</w:t>
      </w:r>
      <w:r w:rsidR="00190923" w:rsidRPr="00981405">
        <w:t xml:space="preserve"> </w:t>
      </w:r>
      <w:r w:rsidRPr="00981405">
        <w:t>seen</w:t>
      </w:r>
      <w:r w:rsidR="00190923" w:rsidRPr="00981405">
        <w:t xml:space="preserve"> </w:t>
      </w:r>
      <w:r w:rsidRPr="00981405">
        <w:t>by</w:t>
      </w:r>
      <w:r w:rsidR="00190923" w:rsidRPr="00981405">
        <w:t xml:space="preserve"> </w:t>
      </w:r>
      <w:r w:rsidRPr="00981405">
        <w:t>some</w:t>
      </w:r>
      <w:r w:rsidR="00190923" w:rsidRPr="00981405">
        <w:t xml:space="preserve"> </w:t>
      </w:r>
      <w:r w:rsidRPr="00981405">
        <w:t>tribunals</w:t>
      </w:r>
      <w:r w:rsidR="00190923" w:rsidRPr="00981405">
        <w:t xml:space="preserve"> </w:t>
      </w:r>
      <w:r w:rsidRPr="00981405">
        <w:t>as</w:t>
      </w:r>
      <w:r w:rsidR="00190923" w:rsidRPr="00981405">
        <w:t xml:space="preserve"> </w:t>
      </w:r>
      <w:r w:rsidRPr="00981405">
        <w:t>imposing</w:t>
      </w:r>
      <w:r w:rsidR="00190923" w:rsidRPr="00981405">
        <w:t xml:space="preserve"> </w:t>
      </w:r>
      <w:r w:rsidRPr="00981405">
        <w:t>an</w:t>
      </w:r>
      <w:r w:rsidR="00190923" w:rsidRPr="00981405">
        <w:t xml:space="preserve"> </w:t>
      </w:r>
      <w:r w:rsidRPr="00981405">
        <w:t>unnecessary</w:t>
      </w:r>
      <w:r w:rsidR="00190923" w:rsidRPr="00981405">
        <w:t xml:space="preserve"> </w:t>
      </w:r>
      <w:r w:rsidRPr="00981405">
        <w:t>hurdle</w:t>
      </w:r>
      <w:r w:rsidR="00190923" w:rsidRPr="00981405">
        <w:t xml:space="preserve"> </w:t>
      </w:r>
      <w:r w:rsidRPr="00981405">
        <w:t>for</w:t>
      </w:r>
      <w:r w:rsidR="00190923" w:rsidRPr="00981405">
        <w:t xml:space="preserve"> </w:t>
      </w:r>
      <w:r w:rsidRPr="00981405">
        <w:t>an</w:t>
      </w:r>
      <w:r w:rsidR="00190923" w:rsidRPr="00981405">
        <w:t xml:space="preserve"> </w:t>
      </w:r>
      <w:r w:rsidRPr="00981405">
        <w:t>investor</w:t>
      </w:r>
      <w:r w:rsidR="00190923" w:rsidRPr="00981405">
        <w:t xml:space="preserve"> </w:t>
      </w:r>
      <w:r w:rsidRPr="00981405">
        <w:t>seeking</w:t>
      </w:r>
      <w:r w:rsidR="00190923" w:rsidRPr="00981405">
        <w:t xml:space="preserve"> </w:t>
      </w:r>
      <w:r w:rsidRPr="00981405">
        <w:t>to</w:t>
      </w:r>
      <w:r w:rsidR="00190923" w:rsidRPr="00981405">
        <w:t xml:space="preserve"> </w:t>
      </w:r>
      <w:r w:rsidRPr="00981405">
        <w:t>enforce</w:t>
      </w:r>
      <w:r w:rsidR="00190923" w:rsidRPr="00981405">
        <w:t xml:space="preserve"> </w:t>
      </w:r>
      <w:r w:rsidRPr="00981405">
        <w:t>its</w:t>
      </w:r>
      <w:r w:rsidR="00190923" w:rsidRPr="00981405">
        <w:t xml:space="preserve"> </w:t>
      </w:r>
      <w:r w:rsidRPr="00981405">
        <w:t>rights</w:t>
      </w:r>
      <w:r w:rsidR="00190923" w:rsidRPr="00981405">
        <w:t xml:space="preserve"> </w:t>
      </w:r>
      <w:r w:rsidRPr="00981405">
        <w:t>through</w:t>
      </w:r>
      <w:r w:rsidR="00190923" w:rsidRPr="00981405">
        <w:t xml:space="preserve"> </w:t>
      </w:r>
      <w:r w:rsidRPr="00981405">
        <w:t>the</w:t>
      </w:r>
      <w:r w:rsidR="00190923" w:rsidRPr="00981405">
        <w:t xml:space="preserve"> </w:t>
      </w:r>
      <w:r w:rsidRPr="00981405">
        <w:t>invocation</w:t>
      </w:r>
      <w:r w:rsidR="00190923" w:rsidRPr="00981405">
        <w:t xml:space="preserve"> </w:t>
      </w:r>
      <w:r w:rsidRPr="00981405">
        <w:t>of</w:t>
      </w:r>
      <w:r w:rsidR="00190923" w:rsidRPr="00981405">
        <w:t xml:space="preserve"> </w:t>
      </w:r>
      <w:r w:rsidRPr="00981405">
        <w:t>the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w:t>
      </w:r>
      <w:r w:rsidR="00190923" w:rsidRPr="00981405">
        <w:t xml:space="preserve"> </w:t>
      </w:r>
      <w:r w:rsidRPr="00981405">
        <w:t>of</w:t>
      </w:r>
      <w:r w:rsidR="00190923" w:rsidRPr="00981405">
        <w:t xml:space="preserve"> </w:t>
      </w:r>
      <w:r w:rsidRPr="00981405">
        <w:t>a</w:t>
      </w:r>
      <w:r w:rsidR="00190923" w:rsidRPr="00981405">
        <w:t xml:space="preserve"> </w:t>
      </w:r>
      <w:r w:rsidRPr="00981405">
        <w:t>BIT</w:t>
      </w:r>
      <w:r w:rsidR="00190923" w:rsidRPr="00981405">
        <w:t xml:space="preserve"> </w:t>
      </w:r>
      <w:r w:rsidRPr="00981405">
        <w:t>and</w:t>
      </w:r>
      <w:r w:rsidR="00190923" w:rsidRPr="00981405">
        <w:t xml:space="preserve"> </w:t>
      </w:r>
      <w:r w:rsidRPr="00981405">
        <w:t>contrary</w:t>
      </w:r>
      <w:r w:rsidR="00190923" w:rsidRPr="00981405">
        <w:t xml:space="preserve"> </w:t>
      </w:r>
      <w:r w:rsidRPr="00981405">
        <w:t>to</w:t>
      </w:r>
      <w:r w:rsidR="00190923" w:rsidRPr="00981405">
        <w:t xml:space="preserve"> </w:t>
      </w:r>
      <w:r w:rsidRPr="00981405">
        <w:t>the</w:t>
      </w:r>
      <w:r w:rsidR="00190923" w:rsidRPr="00981405">
        <w:t xml:space="preserve"> </w:t>
      </w:r>
      <w:r w:rsidRPr="00981405">
        <w:t>general</w:t>
      </w:r>
      <w:r w:rsidR="00190923" w:rsidRPr="00981405">
        <w:t xml:space="preserve"> </w:t>
      </w:r>
      <w:r w:rsidRPr="00981405">
        <w:t>objective</w:t>
      </w:r>
      <w:r w:rsidR="00190923" w:rsidRPr="00981405">
        <w:t xml:space="preserve"> </w:t>
      </w:r>
      <w:r w:rsidRPr="00981405">
        <w:t>of</w:t>
      </w:r>
      <w:r w:rsidR="00190923" w:rsidRPr="00981405">
        <w:t xml:space="preserve"> </w:t>
      </w:r>
      <w:r w:rsidRPr="00981405">
        <w:t>a</w:t>
      </w:r>
      <w:r w:rsidR="00190923" w:rsidRPr="00981405">
        <w:t xml:space="preserve"> </w:t>
      </w:r>
      <w:r w:rsidRPr="00981405">
        <w:t>BIT</w:t>
      </w:r>
      <w:r w:rsidR="00190923" w:rsidRPr="00981405">
        <w:t xml:space="preserve"> </w:t>
      </w:r>
      <w:r w:rsidRPr="00981405">
        <w:t>in</w:t>
      </w:r>
      <w:r w:rsidR="00190923" w:rsidRPr="00981405">
        <w:t xml:space="preserve"> </w:t>
      </w:r>
      <w:r w:rsidRPr="00981405">
        <w:t>promoting</w:t>
      </w:r>
      <w:r w:rsidR="00190923" w:rsidRPr="00981405">
        <w:t xml:space="preserve"> </w:t>
      </w:r>
      <w:r w:rsidRPr="00981405">
        <w:t>and</w:t>
      </w:r>
      <w:r w:rsidR="00190923" w:rsidRPr="00981405">
        <w:t xml:space="preserve"> </w:t>
      </w:r>
      <w:r w:rsidRPr="00981405">
        <w:t>facilitating</w:t>
      </w:r>
      <w:r w:rsidR="00190923" w:rsidRPr="00981405">
        <w:t xml:space="preserve"> </w:t>
      </w:r>
      <w:r w:rsidRPr="00981405">
        <w:t>investment.</w:t>
      </w:r>
      <w:r w:rsidR="00190923" w:rsidRPr="00981405">
        <w:t xml:space="preserve"> </w:t>
      </w:r>
      <w:r w:rsidRPr="00981405">
        <w:t>However,</w:t>
      </w:r>
      <w:r w:rsidR="00190923" w:rsidRPr="00981405">
        <w:t xml:space="preserve"> </w:t>
      </w:r>
      <w:r w:rsidRPr="00981405">
        <w:t>as</w:t>
      </w:r>
      <w:r w:rsidR="00190923" w:rsidRPr="00981405">
        <w:t xml:space="preserve"> </w:t>
      </w:r>
      <w:r w:rsidRPr="00981405">
        <w:t>other</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pointed</w:t>
      </w:r>
      <w:r w:rsidR="00190923" w:rsidRPr="00981405">
        <w:t xml:space="preserve"> </w:t>
      </w:r>
      <w:r w:rsidRPr="00981405">
        <w:t>out,</w:t>
      </w:r>
      <w:r w:rsidR="00190923" w:rsidRPr="00981405">
        <w:t xml:space="preserve"> </w:t>
      </w:r>
      <w:r w:rsidRPr="00981405">
        <w:t>such</w:t>
      </w:r>
      <w:r w:rsidR="00190923" w:rsidRPr="00981405">
        <w:t xml:space="preserve"> </w:t>
      </w:r>
      <w:r w:rsidRPr="00981405">
        <w:t>a</w:t>
      </w:r>
      <w:r w:rsidR="00190923" w:rsidRPr="00981405">
        <w:t xml:space="preserve"> </w:t>
      </w:r>
      <w:r w:rsidRPr="00981405">
        <w:t>provision</w:t>
      </w:r>
      <w:r w:rsidR="00190923" w:rsidRPr="00981405">
        <w:t xml:space="preserve"> </w:t>
      </w:r>
      <w:r w:rsidRPr="00981405">
        <w:t>is</w:t>
      </w:r>
      <w:r w:rsidR="00190923" w:rsidRPr="00981405">
        <w:t xml:space="preserve"> </w:t>
      </w:r>
      <w:r w:rsidRPr="00981405">
        <w:t>a</w:t>
      </w:r>
      <w:r w:rsidR="00190923" w:rsidRPr="00981405">
        <w:t xml:space="preserve"> </w:t>
      </w:r>
      <w:r w:rsidRPr="00981405">
        <w:t>variation</w:t>
      </w:r>
      <w:r w:rsidR="00190923" w:rsidRPr="00981405">
        <w:t xml:space="preserve"> </w:t>
      </w:r>
      <w:r w:rsidRPr="00981405">
        <w:t>of</w:t>
      </w:r>
      <w:r w:rsidR="00190923" w:rsidRPr="00981405">
        <w:t xml:space="preserve"> </w:t>
      </w:r>
      <w:r w:rsidRPr="00981405">
        <w:t>an</w:t>
      </w:r>
      <w:r w:rsidR="00190923" w:rsidRPr="00981405">
        <w:t xml:space="preserve"> </w:t>
      </w:r>
      <w:r w:rsidRPr="00981405">
        <w:t>exhaustion</w:t>
      </w:r>
      <w:r w:rsidR="00190923" w:rsidRPr="00981405">
        <w:t xml:space="preserve"> </w:t>
      </w:r>
      <w:r w:rsidRPr="00981405">
        <w:t>of</w:t>
      </w:r>
      <w:r w:rsidR="00190923" w:rsidRPr="00981405">
        <w:t xml:space="preserve"> </w:t>
      </w:r>
      <w:r w:rsidRPr="00981405">
        <w:t>local</w:t>
      </w:r>
      <w:r w:rsidR="00190923" w:rsidRPr="00981405">
        <w:t xml:space="preserve"> </w:t>
      </w:r>
      <w:r w:rsidRPr="00981405">
        <w:t>remedies</w:t>
      </w:r>
      <w:r w:rsidR="00190923" w:rsidRPr="00981405">
        <w:t xml:space="preserve"> </w:t>
      </w:r>
      <w:r w:rsidRPr="00981405">
        <w:t>rule</w:t>
      </w:r>
      <w:r w:rsidR="00190923" w:rsidRPr="00981405">
        <w:t xml:space="preserve"> </w:t>
      </w:r>
      <w:r w:rsidRPr="00981405">
        <w:t>and</w:t>
      </w:r>
      <w:r w:rsidR="00190923" w:rsidRPr="00981405">
        <w:t xml:space="preserve"> </w:t>
      </w:r>
      <w:r w:rsidRPr="00981405">
        <w:t>has</w:t>
      </w:r>
      <w:r w:rsidR="00190923" w:rsidRPr="00981405">
        <w:t xml:space="preserve"> </w:t>
      </w:r>
      <w:r w:rsidRPr="00981405">
        <w:t>its</w:t>
      </w:r>
      <w:r w:rsidR="00190923" w:rsidRPr="00981405">
        <w:t xml:space="preserve"> </w:t>
      </w:r>
      <w:r w:rsidRPr="00981405">
        <w:t>own</w:t>
      </w:r>
      <w:r w:rsidR="00190923" w:rsidRPr="00981405">
        <w:t xml:space="preserve"> </w:t>
      </w:r>
      <w:r w:rsidRPr="00981405">
        <w:t>rationale.</w:t>
      </w:r>
      <w:r w:rsidR="00190923" w:rsidRPr="00981405">
        <w:t xml:space="preserve"> </w:t>
      </w:r>
      <w:r w:rsidRPr="00981405">
        <w:t>To</w:t>
      </w:r>
      <w:r w:rsidR="00190923" w:rsidRPr="00981405">
        <w:t xml:space="preserve"> </w:t>
      </w:r>
      <w:r w:rsidRPr="00981405">
        <w:t>the</w:t>
      </w:r>
      <w:r w:rsidR="00190923" w:rsidRPr="00981405">
        <w:t xml:space="preserve"> </w:t>
      </w:r>
      <w:r w:rsidRPr="00981405">
        <w:t>extent</w:t>
      </w:r>
      <w:r w:rsidR="00190923" w:rsidRPr="00981405">
        <w:t xml:space="preserve"> </w:t>
      </w:r>
      <w:r w:rsidRPr="00981405">
        <w:t>that</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been</w:t>
      </w:r>
      <w:r w:rsidR="00190923" w:rsidRPr="00981405">
        <w:t xml:space="preserve"> </w:t>
      </w:r>
      <w:r w:rsidRPr="00981405">
        <w:t>influenced</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by</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Pr="00981405">
        <w:t>the</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that</w:t>
      </w:r>
      <w:r w:rsidR="00190923" w:rsidRPr="00981405">
        <w:t xml:space="preserve"> </w:t>
      </w:r>
      <w:r w:rsidRPr="00981405">
        <w:t>is</w:t>
      </w:r>
      <w:r w:rsidR="00190923" w:rsidRPr="00981405">
        <w:t xml:space="preserve"> </w:t>
      </w:r>
      <w:r w:rsidRPr="00981405">
        <w:t>being</w:t>
      </w:r>
      <w:r w:rsidR="00190923" w:rsidRPr="00981405">
        <w:t xml:space="preserve"> </w:t>
      </w:r>
      <w:r w:rsidRPr="00981405">
        <w:t>affected</w:t>
      </w:r>
      <w:r w:rsidR="00190923" w:rsidRPr="00981405">
        <w:t xml:space="preserve"> </w:t>
      </w:r>
      <w:r w:rsidRPr="00981405">
        <w:t>by</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has</w:t>
      </w:r>
      <w:r w:rsidR="00190923" w:rsidRPr="00981405">
        <w:t xml:space="preserve"> </w:t>
      </w:r>
      <w:r w:rsidRPr="00981405">
        <w:t>difficulty</w:t>
      </w:r>
      <w:r w:rsidR="00190923" w:rsidRPr="00981405">
        <w:t xml:space="preserve"> </w:t>
      </w:r>
      <w:r w:rsidRPr="00981405">
        <w:t>in</w:t>
      </w:r>
      <w:r w:rsidR="00190923" w:rsidRPr="00981405">
        <w:t xml:space="preserve"> </w:t>
      </w:r>
      <w:r w:rsidRPr="00981405">
        <w:t>seeing</w:t>
      </w:r>
      <w:r w:rsidR="00190923" w:rsidRPr="00981405">
        <w:t xml:space="preserve"> </w:t>
      </w:r>
      <w:r w:rsidRPr="00981405">
        <w:t>how</w:t>
      </w:r>
      <w:r w:rsidR="00190923" w:rsidRPr="00981405">
        <w:t xml:space="preserve"> </w:t>
      </w:r>
      <w:r w:rsidRPr="00981405">
        <w:t>such</w:t>
      </w:r>
      <w:r w:rsidR="00190923" w:rsidRPr="00981405">
        <w:t xml:space="preserve"> </w:t>
      </w:r>
      <w:r w:rsidRPr="00981405">
        <w:t>a</w:t>
      </w:r>
      <w:r w:rsidR="00190923" w:rsidRPr="00981405">
        <w:t xml:space="preserve"> </w:t>
      </w:r>
      <w:r w:rsidRPr="00981405">
        <w:t>consideration</w:t>
      </w:r>
      <w:r w:rsidR="00190923" w:rsidRPr="00981405">
        <w:t xml:space="preserve"> </w:t>
      </w:r>
      <w:r w:rsidRPr="00981405">
        <w:t>can</w:t>
      </w:r>
      <w:r w:rsidR="00190923" w:rsidRPr="00981405">
        <w:t xml:space="preserve"> </w:t>
      </w:r>
      <w:r w:rsidRPr="00981405">
        <w:t>be</w:t>
      </w:r>
      <w:r w:rsidR="00190923" w:rsidRPr="00981405">
        <w:t xml:space="preserve"> </w:t>
      </w:r>
      <w:r w:rsidRPr="00981405">
        <w:t>justified</w:t>
      </w:r>
      <w:r w:rsidR="00190923" w:rsidRPr="00981405">
        <w:t xml:space="preserve"> </w:t>
      </w:r>
      <w:r w:rsidRPr="00981405">
        <w:t>under</w:t>
      </w:r>
      <w:r w:rsidR="00190923" w:rsidRPr="00981405">
        <w:t xml:space="preserve"> </w:t>
      </w:r>
      <w:r w:rsidRPr="00981405">
        <w:t>the</w:t>
      </w:r>
      <w:r w:rsidR="00190923" w:rsidRPr="00981405">
        <w:t xml:space="preserve"> </w:t>
      </w:r>
      <w:r w:rsidRPr="00981405">
        <w:t>rules</w:t>
      </w:r>
      <w:r w:rsidR="00190923" w:rsidRPr="00981405">
        <w:t xml:space="preserve"> </w:t>
      </w:r>
      <w:r w:rsidRPr="00981405">
        <w:t>on</w:t>
      </w:r>
      <w:r w:rsidR="00190923" w:rsidRPr="00981405">
        <w:t xml:space="preserve"> </w:t>
      </w:r>
      <w:r w:rsidRPr="00981405">
        <w:t>treaty</w:t>
      </w:r>
      <w:r w:rsidR="00190923" w:rsidRPr="00981405">
        <w:t xml:space="preserve"> </w:t>
      </w:r>
      <w:r w:rsidRPr="00981405">
        <w:t>interpretation.</w:t>
      </w:r>
      <w:r w:rsidR="00190923" w:rsidRPr="00981405">
        <w:t xml:space="preserve"> </w:t>
      </w:r>
    </w:p>
    <w:p w:rsidR="00397032" w:rsidRPr="00981405" w:rsidRDefault="00397032" w:rsidP="00D97463">
      <w:pPr>
        <w:pStyle w:val="SingleTxt"/>
      </w:pPr>
      <w:r w:rsidRPr="00981405">
        <w:t>190.</w:t>
      </w:r>
      <w:r w:rsidRPr="00981405">
        <w:tab/>
        <w:t>The</w:t>
      </w:r>
      <w:r w:rsidR="00190923" w:rsidRPr="00981405">
        <w:t xml:space="preserve"> </w:t>
      </w:r>
      <w:r w:rsidRPr="00981405">
        <w:t>policy</w:t>
      </w:r>
      <w:r w:rsidR="00190923" w:rsidRPr="00981405">
        <w:t xml:space="preserve"> </w:t>
      </w:r>
      <w:r w:rsidRPr="00981405">
        <w:t>decision</w:t>
      </w:r>
      <w:r w:rsidR="00190923" w:rsidRPr="00981405">
        <w:t xml:space="preserve"> </w:t>
      </w:r>
      <w:r w:rsidRPr="00981405">
        <w:t>whether</w:t>
      </w:r>
      <w:r w:rsidR="00190923" w:rsidRPr="00981405">
        <w:t xml:space="preserve"> </w:t>
      </w:r>
      <w:r w:rsidRPr="00981405">
        <w:t>to</w:t>
      </w:r>
      <w:r w:rsidR="00190923" w:rsidRPr="00981405">
        <w:t xml:space="preserve"> </w:t>
      </w:r>
      <w:r w:rsidRPr="00981405">
        <w:t>include</w:t>
      </w:r>
      <w:r w:rsidR="00190923" w:rsidRPr="00981405">
        <w:t xml:space="preserve"> </w:t>
      </w:r>
      <w:r w:rsidRPr="00981405">
        <w:t>a</w:t>
      </w:r>
      <w:r w:rsidR="00190923" w:rsidRPr="00981405">
        <w:t xml:space="preserve"> </w:t>
      </w:r>
      <w:r w:rsidRPr="00981405">
        <w:t>particular</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their</w:t>
      </w:r>
      <w:r w:rsidR="00190923" w:rsidRPr="00981405">
        <w:t xml:space="preserve"> </w:t>
      </w:r>
      <w:r w:rsidRPr="00981405">
        <w:t>BIT</w:t>
      </w:r>
      <w:r w:rsidR="00190923" w:rsidRPr="00981405">
        <w:t xml:space="preserve"> </w:t>
      </w:r>
      <w:r w:rsidRPr="00981405">
        <w:t>is</w:t>
      </w:r>
      <w:r w:rsidR="00190923" w:rsidRPr="00981405">
        <w:t xml:space="preserve"> </w:t>
      </w:r>
      <w:r w:rsidRPr="00981405">
        <w:t>for</w:t>
      </w:r>
      <w:r w:rsidR="00190923" w:rsidRPr="00981405">
        <w:t xml:space="preserve"> </w:t>
      </w:r>
      <w:r w:rsidRPr="00981405">
        <w:t>the</w:t>
      </w:r>
      <w:r w:rsidR="00190923" w:rsidRPr="00981405">
        <w:t xml:space="preserve"> </w:t>
      </w:r>
      <w:r w:rsidRPr="00981405">
        <w:t>parties</w:t>
      </w:r>
      <w:r w:rsidR="00190923" w:rsidRPr="00981405">
        <w:t xml:space="preserve"> </w:t>
      </w:r>
      <w:r w:rsidRPr="00981405">
        <w:t>and</w:t>
      </w:r>
      <w:r w:rsidR="00190923" w:rsidRPr="00981405">
        <w:t xml:space="preserve"> </w:t>
      </w:r>
      <w:r w:rsidRPr="00981405">
        <w:t>not</w:t>
      </w:r>
      <w:r w:rsidR="00190923" w:rsidRPr="00981405">
        <w:t xml:space="preserve"> </w:t>
      </w:r>
      <w:r w:rsidRPr="00981405">
        <w:t>something</w:t>
      </w:r>
      <w:r w:rsidR="00190923" w:rsidRPr="00981405">
        <w:t xml:space="preserve"> </w:t>
      </w:r>
      <w:r w:rsidRPr="00981405">
        <w:t>that</w:t>
      </w:r>
      <w:r w:rsidR="00190923" w:rsidRPr="00981405">
        <w:t xml:space="preserve"> </w:t>
      </w:r>
      <w:r w:rsidRPr="00981405">
        <w:t>can</w:t>
      </w:r>
      <w:r w:rsidR="00190923" w:rsidRPr="00981405">
        <w:t xml:space="preserve"> </w:t>
      </w:r>
      <w:r w:rsidRPr="00981405">
        <w:t>be</w:t>
      </w:r>
      <w:r w:rsidR="00190923" w:rsidRPr="00981405">
        <w:t xml:space="preserve"> </w:t>
      </w:r>
      <w:r w:rsidRPr="00981405">
        <w:t>second-guessed</w:t>
      </w:r>
      <w:r w:rsidR="00190923" w:rsidRPr="00981405">
        <w:t xml:space="preserve"> </w:t>
      </w:r>
      <w:r w:rsidRPr="00981405">
        <w:t>by</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tribunals.</w:t>
      </w:r>
      <w:r w:rsidR="00190923" w:rsidRPr="00981405">
        <w:t xml:space="preserve"> </w:t>
      </w:r>
      <w:r w:rsidRPr="00981405">
        <w:t>The</w:t>
      </w:r>
      <w:r w:rsidR="00190923" w:rsidRPr="00981405">
        <w:t xml:space="preserve"> </w:t>
      </w:r>
      <w:r w:rsidRPr="00981405">
        <w:t>function</w:t>
      </w:r>
      <w:r w:rsidR="00190923" w:rsidRPr="00981405">
        <w:t xml:space="preserve"> </w:t>
      </w:r>
      <w:r w:rsidRPr="00981405">
        <w:t>of</w:t>
      </w:r>
      <w:r w:rsidR="00190923" w:rsidRPr="00981405">
        <w:t xml:space="preserve"> </w:t>
      </w:r>
      <w:r w:rsidRPr="00981405">
        <w:t>the</w:t>
      </w:r>
      <w:r w:rsidR="00190923" w:rsidRPr="00981405">
        <w:t xml:space="preserve"> </w:t>
      </w:r>
      <w:r w:rsidRPr="00981405">
        <w:t>tribunal</w:t>
      </w:r>
      <w:r w:rsidR="00190923" w:rsidRPr="00981405">
        <w:t xml:space="preserve"> </w:t>
      </w:r>
      <w:r w:rsidRPr="00981405">
        <w:t>is</w:t>
      </w:r>
      <w:r w:rsidR="00190923" w:rsidRPr="00981405">
        <w:t xml:space="preserve"> </w:t>
      </w:r>
      <w:r w:rsidRPr="00981405">
        <w:t>to</w:t>
      </w:r>
      <w:r w:rsidR="00190923" w:rsidRPr="00981405">
        <w:t xml:space="preserve"> </w:t>
      </w:r>
      <w:r w:rsidRPr="00981405">
        <w:t>ascertain</w:t>
      </w:r>
      <w:r w:rsidR="00190923" w:rsidRPr="00981405">
        <w:t xml:space="preserve"> </w:t>
      </w:r>
      <w:r w:rsidRPr="00981405">
        <w:t>the</w:t>
      </w:r>
      <w:r w:rsidR="00190923" w:rsidRPr="00981405">
        <w:t xml:space="preserve"> </w:t>
      </w:r>
      <w:r w:rsidRPr="00981405">
        <w:t>meaning</w:t>
      </w:r>
      <w:r w:rsidR="00190923" w:rsidRPr="00981405">
        <w:t xml:space="preserve"> </w:t>
      </w:r>
      <w:r w:rsidRPr="00981405">
        <w:t>and</w:t>
      </w:r>
      <w:r w:rsidR="00190923" w:rsidRPr="00981405">
        <w:t xml:space="preserve"> </w:t>
      </w:r>
      <w:r w:rsidRPr="00981405">
        <w:t>the</w:t>
      </w:r>
      <w:r w:rsidR="00190923" w:rsidRPr="00981405">
        <w:t xml:space="preserve"> </w:t>
      </w:r>
      <w:r w:rsidRPr="00981405">
        <w:t>intent</w:t>
      </w:r>
      <w:r w:rsidR="00190923" w:rsidRPr="00981405">
        <w:t xml:space="preserve"> </w:t>
      </w:r>
      <w:r w:rsidRPr="00981405">
        <w:t>of</w:t>
      </w:r>
      <w:r w:rsidR="00190923" w:rsidRPr="00981405">
        <w:t xml:space="preserve"> </w:t>
      </w:r>
      <w:r w:rsidRPr="00981405">
        <w:t>the</w:t>
      </w:r>
      <w:r w:rsidR="00190923" w:rsidRPr="00981405">
        <w:t xml:space="preserve"> </w:t>
      </w:r>
      <w:r w:rsidRPr="00981405">
        <w:t>parties,</w:t>
      </w:r>
      <w:r w:rsidR="00190923" w:rsidRPr="00981405">
        <w:t xml:space="preserve"> </w:t>
      </w:r>
      <w:r w:rsidRPr="00981405">
        <w:t>not</w:t>
      </w:r>
      <w:r w:rsidR="00190923" w:rsidRPr="00981405">
        <w:t xml:space="preserve"> </w:t>
      </w:r>
      <w:r w:rsidRPr="00981405">
        <w:t>to</w:t>
      </w:r>
      <w:r w:rsidR="00190923" w:rsidRPr="00981405">
        <w:t xml:space="preserve"> </w:t>
      </w:r>
      <w:r w:rsidRPr="00981405">
        <w:t>query</w:t>
      </w:r>
      <w:r w:rsidR="00190923" w:rsidRPr="00981405">
        <w:t xml:space="preserve"> </w:t>
      </w:r>
      <w:r w:rsidRPr="00981405">
        <w:t>their</w:t>
      </w:r>
      <w:r w:rsidR="00190923" w:rsidRPr="00981405">
        <w:t xml:space="preserve"> </w:t>
      </w:r>
      <w:r w:rsidRPr="00981405">
        <w:t>policy</w:t>
      </w:r>
      <w:r w:rsidR="00190923" w:rsidRPr="00981405">
        <w:t xml:space="preserve"> </w:t>
      </w:r>
      <w:r w:rsidRPr="00981405">
        <w:t>choices.</w:t>
      </w:r>
      <w:r w:rsidR="00190923" w:rsidRPr="00981405">
        <w:t xml:space="preserve"> </w:t>
      </w:r>
      <w:r w:rsidRPr="00981405">
        <w:t>On</w:t>
      </w:r>
      <w:r w:rsidR="00190923" w:rsidRPr="00981405">
        <w:t xml:space="preserve"> </w:t>
      </w:r>
      <w:r w:rsidRPr="00981405">
        <w:t>that</w:t>
      </w:r>
      <w:r w:rsidR="00190923" w:rsidRPr="00981405">
        <w:t xml:space="preserve"> </w:t>
      </w:r>
      <w:r w:rsidRPr="00981405">
        <w:t>basis,</w:t>
      </w:r>
      <w:r w:rsidR="00190923" w:rsidRPr="00981405">
        <w:t xml:space="preserve"> </w:t>
      </w:r>
      <w:r w:rsidRPr="00981405">
        <w:t>the</w:t>
      </w:r>
      <w:r w:rsidR="00190923" w:rsidRPr="00981405">
        <w:t xml:space="preserve"> </w:t>
      </w:r>
      <w:r w:rsidRPr="00981405">
        <w:t>content</w:t>
      </w:r>
      <w:r w:rsidR="00190923" w:rsidRPr="00981405">
        <w:t xml:space="preserve"> </w:t>
      </w:r>
      <w:r w:rsidRPr="00981405">
        <w:t>of</w:t>
      </w:r>
      <w:r w:rsidR="00190923" w:rsidRPr="00981405">
        <w:t xml:space="preserve"> </w:t>
      </w:r>
      <w:r w:rsidRPr="00981405">
        <w:t>a</w:t>
      </w:r>
      <w:r w:rsidR="00190923" w:rsidRPr="00981405">
        <w:t xml:space="preserve"> </w:t>
      </w:r>
      <w:r w:rsidRPr="00981405">
        <w:t>provision</w:t>
      </w:r>
      <w:r w:rsidR="00190923" w:rsidRPr="00981405">
        <w:t xml:space="preserve"> </w:t>
      </w:r>
      <w:r w:rsidRPr="00981405">
        <w:t>that</w:t>
      </w:r>
      <w:r w:rsidR="00190923" w:rsidRPr="00981405">
        <w:t xml:space="preserve"> </w:t>
      </w:r>
      <w:r w:rsidRPr="00981405">
        <w:t>is</w:t>
      </w:r>
      <w:r w:rsidR="00190923" w:rsidRPr="00981405">
        <w:t xml:space="preserve"> </w:t>
      </w:r>
      <w:r w:rsidRPr="00981405">
        <w:t>being</w:t>
      </w:r>
      <w:r w:rsidR="00190923" w:rsidRPr="00981405">
        <w:t xml:space="preserve"> </w:t>
      </w:r>
      <w:r w:rsidRPr="00981405">
        <w:t>bypassed</w:t>
      </w:r>
      <w:r w:rsidR="00190923" w:rsidRPr="00981405">
        <w:t xml:space="preserve"> </w:t>
      </w:r>
      <w:r w:rsidRPr="00981405">
        <w:t>by</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is,</w:t>
      </w:r>
      <w:r w:rsidR="00190923" w:rsidRPr="00981405">
        <w:t xml:space="preserve"> </w:t>
      </w:r>
      <w:r w:rsidRPr="00981405">
        <w:t>in</w:t>
      </w:r>
      <w:r w:rsidR="00190923" w:rsidRPr="00981405">
        <w:t xml:space="preserve"> </w:t>
      </w:r>
      <w:r w:rsidRPr="00981405">
        <w:t>the</w:t>
      </w:r>
      <w:r w:rsidR="00190923" w:rsidRPr="00981405">
        <w:t xml:space="preserve"> </w:t>
      </w:r>
      <w:r w:rsidRPr="00981405">
        <w:t>view</w:t>
      </w:r>
      <w:r w:rsidR="00190923" w:rsidRPr="00981405">
        <w:t xml:space="preserve"> </w:t>
      </w:r>
      <w:r w:rsidRPr="00981405">
        <w:t>of</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irrelevant</w:t>
      </w:r>
      <w:r w:rsidR="00190923" w:rsidRPr="00981405">
        <w:t xml:space="preserve"> </w:t>
      </w:r>
      <w:r w:rsidRPr="00981405">
        <w:t>as</w:t>
      </w:r>
      <w:r w:rsidR="00190923" w:rsidRPr="00981405">
        <w:t xml:space="preserve"> </w:t>
      </w:r>
      <w:r w:rsidRPr="00981405">
        <w:t>far</w:t>
      </w:r>
      <w:r w:rsidR="00190923" w:rsidRPr="00981405">
        <w:t xml:space="preserve"> </w:t>
      </w:r>
      <w:r w:rsidRPr="00981405">
        <w:t>as</w:t>
      </w:r>
      <w:r w:rsidR="00190923" w:rsidRPr="00981405">
        <w:t xml:space="preserve"> </w:t>
      </w:r>
      <w:r w:rsidRPr="00981405">
        <w:t>treaty</w:t>
      </w:r>
      <w:r w:rsidR="00190923" w:rsidRPr="00981405">
        <w:t xml:space="preserve"> </w:t>
      </w:r>
      <w:r w:rsidRPr="00981405">
        <w:t>interpretation</w:t>
      </w:r>
      <w:r w:rsidR="00190923" w:rsidRPr="00981405">
        <w:t xml:space="preserve"> </w:t>
      </w:r>
      <w:r w:rsidRPr="00981405">
        <w:t>is</w:t>
      </w:r>
      <w:r w:rsidR="00190923" w:rsidRPr="00981405">
        <w:t xml:space="preserve"> </w:t>
      </w:r>
      <w:r w:rsidRPr="00981405">
        <w:t>concerned.</w:t>
      </w:r>
    </w:p>
    <w:p w:rsidR="00397032" w:rsidRPr="00D97463" w:rsidRDefault="00397032" w:rsidP="00D97463">
      <w:pPr>
        <w:pStyle w:val="SingleTxt"/>
        <w:spacing w:after="0" w:line="120" w:lineRule="exact"/>
        <w:rPr>
          <w:sz w:val="10"/>
        </w:rPr>
      </w:pPr>
    </w:p>
    <w:p w:rsidR="00397032" w:rsidRPr="00D97463" w:rsidRDefault="00397032" w:rsidP="00D97463">
      <w:pPr>
        <w:pStyle w:val="H23"/>
        <w:ind w:right="1260"/>
      </w:pPr>
      <w:bookmarkStart w:id="327" w:name="_Toc293434194"/>
      <w:bookmarkStart w:id="328" w:name="_Toc294353707"/>
      <w:r w:rsidRPr="00D97463">
        <w:tab/>
      </w:r>
      <w:bookmarkStart w:id="329" w:name="_Toc427938207"/>
      <w:r w:rsidRPr="00D97463">
        <w:t>6.</w:t>
      </w:r>
      <w:r w:rsidRPr="00D97463">
        <w:tab/>
        <w:t>The</w:t>
      </w:r>
      <w:r w:rsidR="00190923" w:rsidRPr="00D97463">
        <w:t xml:space="preserve"> </w:t>
      </w:r>
      <w:r w:rsidRPr="00D97463">
        <w:t>interpretation</w:t>
      </w:r>
      <w:r w:rsidR="00190923" w:rsidRPr="00D97463">
        <w:t xml:space="preserve"> </w:t>
      </w:r>
      <w:r w:rsidRPr="00D97463">
        <w:t>of</w:t>
      </w:r>
      <w:r w:rsidR="00190923" w:rsidRPr="00D97463">
        <w:t xml:space="preserve"> </w:t>
      </w:r>
      <w:r w:rsidRPr="00D97463">
        <w:t>the</w:t>
      </w:r>
      <w:r w:rsidR="00190923" w:rsidRPr="00D97463">
        <w:t xml:space="preserve"> </w:t>
      </w:r>
      <w:r w:rsidRPr="00D97463">
        <w:t>provision</w:t>
      </w:r>
      <w:r w:rsidR="00190923" w:rsidRPr="00D97463">
        <w:t xml:space="preserve"> </w:t>
      </w:r>
      <w:r w:rsidRPr="00D97463">
        <w:t>sought</w:t>
      </w:r>
      <w:r w:rsidR="00190923" w:rsidRPr="00D97463">
        <w:t xml:space="preserve"> </w:t>
      </w:r>
      <w:r w:rsidRPr="00D97463">
        <w:t>to</w:t>
      </w:r>
      <w:r w:rsidR="00190923" w:rsidRPr="00D97463">
        <w:t xml:space="preserve"> </w:t>
      </w:r>
      <w:r w:rsidRPr="00D97463">
        <w:t>be</w:t>
      </w:r>
      <w:r w:rsidR="00190923" w:rsidRPr="00D97463">
        <w:t xml:space="preserve"> </w:t>
      </w:r>
      <w:r w:rsidRPr="00D97463">
        <w:t>included</w:t>
      </w:r>
      <w:bookmarkEnd w:id="327"/>
      <w:bookmarkEnd w:id="328"/>
      <w:bookmarkEnd w:id="329"/>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191.</w:t>
      </w:r>
      <w:r w:rsidRPr="00981405">
        <w:tab/>
        <w:t>The</w:t>
      </w:r>
      <w:r w:rsidR="00190923" w:rsidRPr="00981405">
        <w:t xml:space="preserve"> </w:t>
      </w:r>
      <w:r w:rsidRPr="00981405">
        <w:t>central</w:t>
      </w:r>
      <w:r w:rsidR="00190923" w:rsidRPr="00981405">
        <w:t xml:space="preserve"> </w:t>
      </w:r>
      <w:r w:rsidRPr="00981405">
        <w:t>question</w:t>
      </w:r>
      <w:r w:rsidR="00190923" w:rsidRPr="00981405">
        <w:t xml:space="preserve"> </w:t>
      </w:r>
      <w:r w:rsidRPr="00981405">
        <w:t>of</w:t>
      </w:r>
      <w:r w:rsidR="00190923" w:rsidRPr="00981405">
        <w:t xml:space="preserve"> </w:t>
      </w:r>
      <w:r w:rsidRPr="00981405">
        <w:t>the</w:t>
      </w:r>
      <w:r w:rsidR="00190923" w:rsidRPr="00981405">
        <w:t xml:space="preserve"> </w:t>
      </w:r>
      <w:r w:rsidRPr="00981405">
        <w:t>scope</w:t>
      </w:r>
      <w:r w:rsidR="00190923" w:rsidRPr="00981405">
        <w:t xml:space="preserve"> </w:t>
      </w:r>
      <w:r w:rsidRPr="00981405">
        <w:t>or</w:t>
      </w:r>
      <w:r w:rsidR="00190923" w:rsidRPr="00981405">
        <w:t xml:space="preserve"> </w:t>
      </w:r>
      <w:r w:rsidRPr="00981405">
        <w:t>extent</w:t>
      </w:r>
      <w:r w:rsidR="00190923" w:rsidRPr="00981405">
        <w:t xml:space="preserve"> </w:t>
      </w:r>
      <w:r w:rsidRPr="00981405">
        <w:t>of</w:t>
      </w:r>
      <w:r w:rsidR="00190923" w:rsidRPr="00981405">
        <w:t xml:space="preserve"> </w:t>
      </w:r>
      <w:r w:rsidRPr="00981405">
        <w:t>the</w:t>
      </w:r>
      <w:r w:rsidR="00190923" w:rsidRPr="00981405">
        <w:t xml:space="preserve"> </w:t>
      </w:r>
      <w:r w:rsidRPr="00981405">
        <w:t>benefit</w:t>
      </w:r>
      <w:r w:rsidR="00190923" w:rsidRPr="00981405">
        <w:t xml:space="preserve"> </w:t>
      </w:r>
      <w:r w:rsidRPr="00981405">
        <w:t>that</w:t>
      </w:r>
      <w:r w:rsidR="00190923" w:rsidRPr="00981405">
        <w:t xml:space="preserve"> </w:t>
      </w:r>
      <w:r w:rsidRPr="00981405">
        <w:t>can</w:t>
      </w:r>
      <w:r w:rsidR="00190923" w:rsidRPr="00981405">
        <w:t xml:space="preserve"> </w:t>
      </w:r>
      <w:r w:rsidRPr="00981405">
        <w:t>be</w:t>
      </w:r>
      <w:r w:rsidR="00190923" w:rsidRPr="00981405">
        <w:t xml:space="preserve"> </w:t>
      </w:r>
      <w:r w:rsidRPr="00981405">
        <w:t>obtained</w:t>
      </w:r>
      <w:r w:rsidR="00190923" w:rsidRPr="00981405">
        <w:t xml:space="preserve"> </w:t>
      </w:r>
      <w:r w:rsidRPr="00981405">
        <w:t>from</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by</w:t>
      </w:r>
      <w:r w:rsidR="00190923" w:rsidRPr="00981405">
        <w:t xml:space="preserve"> </w:t>
      </w:r>
      <w:r w:rsidRPr="00981405">
        <w:t>operation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raises</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00BF6F4D" w:rsidRPr="00981405">
        <w:rPr>
          <w:i/>
          <w:iCs/>
        </w:rPr>
        <w:t>ejusdem generis</w:t>
      </w:r>
      <w:r w:rsidR="00190923" w:rsidRPr="00981405">
        <w:t xml:space="preserve"> </w:t>
      </w:r>
      <w:r w:rsidRPr="00981405">
        <w:t>principle.</w:t>
      </w:r>
      <w:r w:rsidR="00190923" w:rsidRPr="00981405">
        <w:t xml:space="preserve"> </w:t>
      </w:r>
      <w:r w:rsidRPr="00981405">
        <w:t>It</w:t>
      </w:r>
      <w:r w:rsidR="00190923" w:rsidRPr="00981405">
        <w:t xml:space="preserve"> </w:t>
      </w:r>
      <w:r w:rsidRPr="00981405">
        <w:t>is</w:t>
      </w:r>
      <w:r w:rsidR="00190923" w:rsidRPr="00981405">
        <w:t xml:space="preserve"> </w:t>
      </w:r>
      <w:r w:rsidRPr="00981405">
        <w:t>clear</w:t>
      </w:r>
      <w:r w:rsidR="00190923" w:rsidRPr="00981405">
        <w:t xml:space="preserve"> </w:t>
      </w:r>
      <w:r w:rsidRPr="00981405">
        <w:t>that</w:t>
      </w:r>
      <w:r w:rsidR="00190923" w:rsidRPr="00981405">
        <w:t xml:space="preserve"> </w:t>
      </w:r>
      <w:r w:rsidRPr="00981405">
        <w:t>if</w:t>
      </w:r>
      <w:r w:rsidR="00190923" w:rsidRPr="00981405">
        <w:t xml:space="preserve"> </w:t>
      </w:r>
      <w:r w:rsidRPr="00981405">
        <w:t>the</w:t>
      </w:r>
      <w:r w:rsidR="00190923" w:rsidRPr="00981405">
        <w:t xml:space="preserve"> </w:t>
      </w:r>
      <w:r w:rsidRPr="00981405">
        <w:t>subject</w:t>
      </w:r>
      <w:r w:rsidR="00190923" w:rsidRPr="00981405">
        <w:t xml:space="preserve"> </w:t>
      </w:r>
      <w:r w:rsidRPr="00981405">
        <w:t>matter</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00190923" w:rsidRPr="00981405">
        <w:t xml:space="preserve"> </w:t>
      </w:r>
      <w:r w:rsidRPr="00981405">
        <w:t>in</w:t>
      </w:r>
      <w:r w:rsidR="00190923" w:rsidRPr="00981405">
        <w:t xml:space="preserve"> </w:t>
      </w:r>
      <w:r w:rsidRPr="00981405">
        <w:t>the</w:t>
      </w:r>
      <w:r w:rsidR="00190923" w:rsidRPr="00981405">
        <w:t xml:space="preserve"> </w:t>
      </w:r>
      <w:r w:rsidRPr="00981405">
        <w:t>basic</w:t>
      </w:r>
      <w:r w:rsidR="00190923" w:rsidRPr="00981405">
        <w:t xml:space="preserve"> </w:t>
      </w:r>
      <w:r w:rsidRPr="00981405">
        <w:t>treaty</w:t>
      </w:r>
      <w:r w:rsidR="00190923" w:rsidRPr="00981405">
        <w:t xml:space="preserve"> </w:t>
      </w:r>
      <w:r w:rsidRPr="00981405">
        <w:t>is</w:t>
      </w:r>
      <w:r w:rsidR="00190923" w:rsidRPr="00981405">
        <w:t xml:space="preserve"> </w:t>
      </w:r>
      <w:r w:rsidRPr="00981405">
        <w:t>limited</w:t>
      </w:r>
      <w:r w:rsidR="00190923" w:rsidRPr="00981405">
        <w:t xml:space="preserve"> </w:t>
      </w:r>
      <w:r w:rsidRPr="00981405">
        <w:t>to</w:t>
      </w:r>
      <w:r w:rsidR="00190923" w:rsidRPr="00981405">
        <w:t xml:space="preserve"> </w:t>
      </w:r>
      <w:r w:rsidRPr="00981405">
        <w:t>substantive</w:t>
      </w:r>
      <w:r w:rsidR="00190923" w:rsidRPr="00981405">
        <w:t xml:space="preserve"> </w:t>
      </w:r>
      <w:r w:rsidRPr="00981405">
        <w:t>matters,</w:t>
      </w:r>
      <w:r w:rsidR="00190923" w:rsidRPr="00981405">
        <w:t xml:space="preserve"> </w:t>
      </w:r>
      <w:r w:rsidRPr="00981405">
        <w:t>then</w:t>
      </w:r>
      <w:r w:rsidR="00190923" w:rsidRPr="00981405">
        <w:t xml:space="preserve"> </w:t>
      </w:r>
      <w:r w:rsidRPr="00981405">
        <w:t>the</w:t>
      </w:r>
      <w:r w:rsidR="00190923" w:rsidRPr="00981405">
        <w:t xml:space="preserve"> </w:t>
      </w:r>
      <w:r w:rsidRPr="00981405">
        <w:t>provision</w:t>
      </w:r>
      <w:r w:rsidR="00190923" w:rsidRPr="00981405">
        <w:t xml:space="preserve"> </w:t>
      </w:r>
      <w:r w:rsidRPr="00981405">
        <w:t>cannot</w:t>
      </w:r>
      <w:r w:rsidR="00190923" w:rsidRPr="00981405">
        <w:t xml:space="preserve"> </w:t>
      </w:r>
      <w:r w:rsidRPr="00981405">
        <w:t>be</w:t>
      </w:r>
      <w:r w:rsidR="00190923" w:rsidRPr="00981405">
        <w:t xml:space="preserve"> </w:t>
      </w:r>
      <w:r w:rsidRPr="00981405">
        <w:t>used</w:t>
      </w:r>
      <w:r w:rsidR="00190923" w:rsidRPr="00981405">
        <w:t xml:space="preserve"> </w:t>
      </w:r>
      <w:r w:rsidRPr="00981405">
        <w:t>to</w:t>
      </w:r>
      <w:r w:rsidR="00190923" w:rsidRPr="00981405">
        <w:t xml:space="preserve"> </w:t>
      </w:r>
      <w:r w:rsidRPr="00981405">
        <w:t>obtain</w:t>
      </w:r>
      <w:r w:rsidR="00190923" w:rsidRPr="00981405">
        <w:t xml:space="preserve"> </w:t>
      </w:r>
      <w:r w:rsidRPr="00981405">
        <w:t>the</w:t>
      </w:r>
      <w:r w:rsidR="00190923" w:rsidRPr="00981405">
        <w:t xml:space="preserve"> </w:t>
      </w:r>
      <w:r w:rsidRPr="00981405">
        <w:t>benefit</w:t>
      </w:r>
      <w:r w:rsidR="00190923" w:rsidRPr="00981405">
        <w:t xml:space="preserve"> </w:t>
      </w:r>
      <w:r w:rsidRPr="00981405">
        <w:t>of</w:t>
      </w:r>
      <w:r w:rsidR="00190923" w:rsidRPr="00981405">
        <w:t xml:space="preserve"> </w:t>
      </w:r>
      <w:r w:rsidRPr="00981405">
        <w:t>procedural</w:t>
      </w:r>
      <w:r w:rsidR="00190923" w:rsidRPr="00981405">
        <w:t xml:space="preserve"> </w:t>
      </w:r>
      <w:r w:rsidRPr="00981405">
        <w:t>rights</w:t>
      </w:r>
      <w:r w:rsidR="00190923" w:rsidRPr="00981405">
        <w:t xml:space="preserve"> </w:t>
      </w:r>
      <w:r w:rsidRPr="00981405">
        <w:t>under</w:t>
      </w:r>
      <w:r w:rsidR="00190923" w:rsidRPr="00981405">
        <w:t xml:space="preserve"> </w:t>
      </w:r>
      <w:r w:rsidRPr="00981405">
        <w:t>the</w:t>
      </w:r>
      <w:r w:rsidR="00190923" w:rsidRPr="00981405">
        <w:t xml:space="preserve"> </w:t>
      </w:r>
      <w:r w:rsidRPr="00981405">
        <w:t>third</w:t>
      </w:r>
      <w:r w:rsidR="00190923" w:rsidRPr="00981405">
        <w:t xml:space="preserve"> </w:t>
      </w:r>
      <w:r w:rsidRPr="00981405">
        <w:t>party</w:t>
      </w:r>
      <w:r w:rsidR="00190923" w:rsidRPr="00981405">
        <w:t xml:space="preserve"> </w:t>
      </w:r>
      <w:r w:rsidRPr="00981405">
        <w:t>treaty.</w:t>
      </w:r>
      <w:r w:rsidR="00190923" w:rsidRPr="00981405">
        <w:t xml:space="preserve"> </w:t>
      </w:r>
      <w:r w:rsidRPr="00981405">
        <w:t>The</w:t>
      </w:r>
      <w:r w:rsidR="00190923" w:rsidRPr="00981405">
        <w:t xml:space="preserve"> </w:t>
      </w:r>
      <w:r w:rsidRPr="00981405">
        <w:t>more</w:t>
      </w:r>
      <w:r w:rsidR="00190923" w:rsidRPr="00981405">
        <w:t xml:space="preserve"> </w:t>
      </w:r>
      <w:r w:rsidRPr="00981405">
        <w:t>difficult</w:t>
      </w:r>
      <w:r w:rsidR="00190923" w:rsidRPr="00981405">
        <w:t xml:space="preserve"> </w:t>
      </w:r>
      <w:r w:rsidRPr="00981405">
        <w:lastRenderedPageBreak/>
        <w:t>question</w:t>
      </w:r>
      <w:r w:rsidR="00190923" w:rsidRPr="00981405">
        <w:t xml:space="preserve"> </w:t>
      </w:r>
      <w:r w:rsidRPr="00981405">
        <w:t>is</w:t>
      </w:r>
      <w:r w:rsidR="00190923" w:rsidRPr="00981405">
        <w:t xml:space="preserve"> </w:t>
      </w:r>
      <w:r w:rsidRPr="00981405">
        <w:t>whether</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r w:rsidR="00190923" w:rsidRPr="00981405">
        <w:t xml:space="preserve"> </w:t>
      </w:r>
      <w:r w:rsidRPr="00981405">
        <w:t>that</w:t>
      </w:r>
      <w:r w:rsidR="00190923" w:rsidRPr="00981405">
        <w:t xml:space="preserve"> </w:t>
      </w:r>
      <w:r w:rsidRPr="00981405">
        <w:t>does</w:t>
      </w:r>
      <w:r w:rsidR="00190923" w:rsidRPr="00981405">
        <w:t xml:space="preserve"> </w:t>
      </w:r>
      <w:r w:rsidRPr="00981405">
        <w:t>relate</w:t>
      </w:r>
      <w:r w:rsidR="00190923" w:rsidRPr="00981405">
        <w:t xml:space="preserve"> </w:t>
      </w:r>
      <w:r w:rsidRPr="00981405">
        <w:t>to</w:t>
      </w:r>
      <w:r w:rsidR="00190923" w:rsidRPr="00981405">
        <w:t xml:space="preserve"> </w:t>
      </w:r>
      <w:r w:rsidRPr="00981405">
        <w:t>procedural</w:t>
      </w:r>
      <w:r w:rsidR="00190923" w:rsidRPr="00981405">
        <w:t xml:space="preserve"> </w:t>
      </w:r>
      <w:r w:rsidRPr="00981405">
        <w:t>provisions</w:t>
      </w:r>
      <w:r w:rsidR="00190923" w:rsidRPr="00981405">
        <w:t xml:space="preserve"> </w:t>
      </w:r>
      <w:r w:rsidRPr="00981405">
        <w:t>may</w:t>
      </w:r>
      <w:r w:rsidR="00190923" w:rsidRPr="00981405">
        <w:t xml:space="preserve"> </w:t>
      </w:r>
      <w:r w:rsidRPr="00981405">
        <w:t>pick</w:t>
      </w:r>
      <w:r w:rsidR="00190923" w:rsidRPr="00981405">
        <w:t xml:space="preserve"> </w:t>
      </w:r>
      <w:r w:rsidRPr="00981405">
        <w:t>and</w:t>
      </w:r>
      <w:r w:rsidR="00190923" w:rsidRPr="00981405">
        <w:t xml:space="preserve"> </w:t>
      </w:r>
      <w:r w:rsidRPr="00981405">
        <w:t>choose</w:t>
      </w:r>
      <w:r w:rsidR="00190923" w:rsidRPr="00981405">
        <w:t xml:space="preserve"> </w:t>
      </w:r>
      <w:r w:rsidRPr="00981405">
        <w:t>which</w:t>
      </w:r>
      <w:r w:rsidR="00190923" w:rsidRPr="00981405">
        <w:t xml:space="preserve"> </w:t>
      </w:r>
      <w:r w:rsidRPr="00981405">
        <w:t>procedural</w:t>
      </w:r>
      <w:r w:rsidR="00190923" w:rsidRPr="00981405">
        <w:t xml:space="preserve"> </w:t>
      </w:r>
      <w:r w:rsidRPr="00981405">
        <w:t>benefits</w:t>
      </w:r>
      <w:r w:rsidR="00190923" w:rsidRPr="00981405">
        <w:t xml:space="preserve"> </w:t>
      </w:r>
      <w:r w:rsidRPr="00981405">
        <w:t>can</w:t>
      </w:r>
      <w:r w:rsidR="00190923" w:rsidRPr="00981405">
        <w:t xml:space="preserve"> </w:t>
      </w:r>
      <w:r w:rsidRPr="00981405">
        <w:t>be</w:t>
      </w:r>
      <w:r w:rsidR="00190923" w:rsidRPr="00981405">
        <w:t xml:space="preserve"> </w:t>
      </w:r>
      <w:r w:rsidRPr="00981405">
        <w:t>relied</w:t>
      </w:r>
      <w:r w:rsidR="00190923" w:rsidRPr="00981405">
        <w:t xml:space="preserve"> </w:t>
      </w:r>
      <w:r w:rsidRPr="00981405">
        <w:t>on.</w:t>
      </w:r>
    </w:p>
    <w:p w:rsidR="00397032" w:rsidRPr="00981405" w:rsidRDefault="00397032" w:rsidP="00D97463">
      <w:pPr>
        <w:pStyle w:val="SingleTxt"/>
      </w:pPr>
      <w:r w:rsidRPr="00981405">
        <w:t>192.</w:t>
      </w:r>
      <w:r w:rsidRPr="00981405">
        <w:tab/>
        <w:t>In</w:t>
      </w:r>
      <w:r w:rsidR="00190923" w:rsidRPr="00981405">
        <w:t xml:space="preserve"> </w:t>
      </w:r>
      <w:r w:rsidRPr="00981405">
        <w:t>this</w:t>
      </w:r>
      <w:r w:rsidR="00190923" w:rsidRPr="00981405">
        <w:t xml:space="preserve"> </w:t>
      </w:r>
      <w:r w:rsidRPr="00981405">
        <w:t>regard,</w:t>
      </w:r>
      <w:r w:rsidR="00190923" w:rsidRPr="00981405">
        <w:t xml:space="preserve"> </w:t>
      </w:r>
      <w:r w:rsidRPr="00981405">
        <w:t>while</w:t>
      </w:r>
      <w:r w:rsidR="00190923" w:rsidRPr="00981405">
        <w:t xml:space="preserve"> </w:t>
      </w:r>
      <w:r w:rsidRPr="00981405">
        <w:t>the</w:t>
      </w:r>
      <w:r w:rsidR="00190923" w:rsidRPr="00981405">
        <w:t xml:space="preserve"> </w:t>
      </w:r>
      <w:r w:rsidRPr="00981405">
        <w:t>1978</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provide</w:t>
      </w:r>
      <w:r w:rsidR="00190923" w:rsidRPr="00981405">
        <w:t xml:space="preserve"> </w:t>
      </w:r>
      <w:r w:rsidRPr="00981405">
        <w:t>a</w:t>
      </w:r>
      <w:r w:rsidR="00190923" w:rsidRPr="00981405">
        <w:t xml:space="preserve"> </w:t>
      </w:r>
      <w:r w:rsidRPr="00981405">
        <w:t>general</w:t>
      </w:r>
      <w:r w:rsidR="00190923" w:rsidRPr="00981405">
        <w:t xml:space="preserve"> </w:t>
      </w:r>
      <w:r w:rsidRPr="00981405">
        <w:t>answer,</w:t>
      </w:r>
      <w:r w:rsidR="00190923" w:rsidRPr="00981405">
        <w:t xml:space="preserve"> </w:t>
      </w:r>
      <w:r w:rsidRPr="00981405">
        <w:t>they</w:t>
      </w:r>
      <w:r w:rsidR="00190923" w:rsidRPr="00981405">
        <w:t xml:space="preserve"> </w:t>
      </w:r>
      <w:r w:rsidRPr="00981405">
        <w:t>are</w:t>
      </w:r>
      <w:r w:rsidR="00190923" w:rsidRPr="00981405">
        <w:t xml:space="preserve"> </w:t>
      </w:r>
      <w:r w:rsidRPr="00981405">
        <w:t>not</w:t>
      </w:r>
      <w:r w:rsidR="00190923" w:rsidRPr="00981405">
        <w:t xml:space="preserve"> </w:t>
      </w:r>
      <w:r w:rsidRPr="00981405">
        <w:t>specific</w:t>
      </w:r>
      <w:r w:rsidR="00190923" w:rsidRPr="00981405">
        <w:t xml:space="preserve"> </w:t>
      </w:r>
      <w:r w:rsidRPr="00981405">
        <w:t>enough</w:t>
      </w:r>
      <w:r w:rsidR="00190923" w:rsidRPr="00981405">
        <w:t xml:space="preserve"> </w:t>
      </w:r>
      <w:r w:rsidRPr="00981405">
        <w:t>to</w:t>
      </w:r>
      <w:r w:rsidR="00190923" w:rsidRPr="00981405">
        <w:t xml:space="preserve"> </w:t>
      </w:r>
      <w:r w:rsidRPr="00981405">
        <w:t>assist</w:t>
      </w:r>
      <w:r w:rsidR="00190923" w:rsidRPr="00981405">
        <w:t xml:space="preserve"> </w:t>
      </w:r>
      <w:r w:rsidRPr="00981405">
        <w:t>in</w:t>
      </w:r>
      <w:r w:rsidR="00190923" w:rsidRPr="00981405">
        <w:t xml:space="preserve"> </w:t>
      </w:r>
      <w:r w:rsidRPr="00981405">
        <w:t>resolving</w:t>
      </w:r>
      <w:r w:rsidR="00190923" w:rsidRPr="00981405">
        <w:t xml:space="preserve"> </w:t>
      </w:r>
      <w:r w:rsidRPr="00981405">
        <w:t>the</w:t>
      </w:r>
      <w:r w:rsidR="00190923" w:rsidRPr="00981405">
        <w:t xml:space="preserve"> </w:t>
      </w:r>
      <w:r w:rsidRPr="00981405">
        <w:t>actual</w:t>
      </w:r>
      <w:r w:rsidR="00190923" w:rsidRPr="00981405">
        <w:t xml:space="preserve"> </w:t>
      </w:r>
      <w:r w:rsidRPr="00981405">
        <w:t>problem</w:t>
      </w:r>
      <w:r w:rsidR="00190923" w:rsidRPr="00981405">
        <w:t xml:space="preserve"> </w:t>
      </w:r>
      <w:r w:rsidRPr="00981405">
        <w:t>that</w:t>
      </w:r>
      <w:r w:rsidR="00190923" w:rsidRPr="00981405">
        <w:t xml:space="preserve"> </w:t>
      </w:r>
      <w:r w:rsidRPr="00981405">
        <w:t>arises</w:t>
      </w:r>
      <w:r w:rsidR="00190923" w:rsidRPr="00981405">
        <w:t xml:space="preserve"> </w:t>
      </w:r>
      <w:r w:rsidRPr="00981405">
        <w:t>in</w:t>
      </w:r>
      <w:r w:rsidR="00190923" w:rsidRPr="00981405">
        <w:t xml:space="preserve"> </w:t>
      </w:r>
      <w:r w:rsidRPr="00981405">
        <w:t>the</w:t>
      </w:r>
      <w:r w:rsidR="00190923" w:rsidRPr="00981405">
        <w:t xml:space="preserve"> </w:t>
      </w:r>
      <w:r w:rsidRPr="00981405">
        <w:t>investment</w:t>
      </w:r>
      <w:r w:rsidR="00190923" w:rsidRPr="00981405">
        <w:t xml:space="preserve"> </w:t>
      </w:r>
      <w:r w:rsidRPr="00981405">
        <w:t>treaty</w:t>
      </w:r>
      <w:r w:rsidR="00190923" w:rsidRPr="00981405">
        <w:t xml:space="preserve"> </w:t>
      </w:r>
      <w:r w:rsidRPr="00981405">
        <w:t>context.</w:t>
      </w:r>
      <w:r w:rsidR="00190923" w:rsidRPr="00981405">
        <w:t xml:space="preserve"> </w:t>
      </w:r>
      <w:r w:rsidRPr="00981405">
        <w:t>Draft</w:t>
      </w:r>
      <w:r w:rsidR="00190923" w:rsidRPr="00981405">
        <w:t xml:space="preserve"> </w:t>
      </w:r>
      <w:r w:rsidRPr="00981405">
        <w:t>articles</w:t>
      </w:r>
      <w:r w:rsidR="00190923" w:rsidRPr="00981405">
        <w:t xml:space="preserve"> </w:t>
      </w:r>
      <w:r w:rsidRPr="00981405">
        <w:t>9</w:t>
      </w:r>
      <w:r w:rsidR="00190923" w:rsidRPr="00981405">
        <w:t xml:space="preserve"> </w:t>
      </w:r>
      <w:r w:rsidRPr="00981405">
        <w:t>and</w:t>
      </w:r>
      <w:r w:rsidR="00190923" w:rsidRPr="00981405">
        <w:t xml:space="preserve"> </w:t>
      </w:r>
      <w:r w:rsidRPr="00981405">
        <w:t>10</w:t>
      </w:r>
      <w:r w:rsidR="00190923" w:rsidRPr="00981405">
        <w:t xml:space="preserve"> </w:t>
      </w:r>
      <w:r w:rsidRPr="00981405">
        <w:t>refer</w:t>
      </w:r>
      <w:r w:rsidR="00190923" w:rsidRPr="00981405">
        <w:t xml:space="preserve"> </w:t>
      </w:r>
      <w:r w:rsidRPr="00981405">
        <w:t>to</w:t>
      </w:r>
      <w:r w:rsidR="00190923" w:rsidRPr="00981405">
        <w:t xml:space="preserve"> </w:t>
      </w:r>
      <w:r w:rsidRPr="00981405">
        <w:t>the</w:t>
      </w:r>
      <w:r w:rsidR="00190923" w:rsidRPr="00981405">
        <w:t xml:space="preserve"> </w:t>
      </w:r>
      <w:r w:rsidRPr="00981405">
        <w:t>beneficiary</w:t>
      </w:r>
      <w:r w:rsidR="00190923" w:rsidRPr="00981405">
        <w:t xml:space="preserve"> </w:t>
      </w:r>
      <w:r w:rsidRPr="00981405">
        <w:t>State</w:t>
      </w:r>
      <w:r w:rsidR="00190923" w:rsidRPr="00981405">
        <w:t xml:space="preserve"> </w:t>
      </w:r>
      <w:r w:rsidRPr="00981405">
        <w:t>being</w:t>
      </w:r>
      <w:r w:rsidR="00190923" w:rsidRPr="00981405">
        <w:t xml:space="preserve"> </w:t>
      </w:r>
      <w:r w:rsidRPr="00981405">
        <w:t>entitled</w:t>
      </w:r>
      <w:r w:rsidR="00190923" w:rsidRPr="00981405">
        <w:t xml:space="preserve"> </w:t>
      </w:r>
      <w:r w:rsidRPr="00981405">
        <w:t>to</w:t>
      </w:r>
      <w:r w:rsidR="00190923" w:rsidRPr="00981405">
        <w:t xml:space="preserve"> </w:t>
      </w:r>
      <w:r w:rsidRPr="00981405">
        <w:t>rights</w:t>
      </w:r>
      <w:r w:rsidR="00190923" w:rsidRPr="00981405">
        <w:t xml:space="preserve"> </w:t>
      </w:r>
      <w:r w:rsidRPr="00981405">
        <w:t>or</w:t>
      </w:r>
      <w:r w:rsidR="00190923" w:rsidRPr="00981405">
        <w:t xml:space="preserve"> </w:t>
      </w:r>
      <w:r w:rsidRPr="00981405">
        <w:t>treatment</w:t>
      </w:r>
      <w:r w:rsidR="00190923" w:rsidRPr="00981405">
        <w:t xml:space="preserve"> </w:t>
      </w:r>
      <w:r w:rsidR="00B92E2C" w:rsidRPr="00981405">
        <w:t>“</w:t>
      </w:r>
      <w:r w:rsidRPr="00981405">
        <w:t>within</w:t>
      </w:r>
      <w:r w:rsidR="00190923" w:rsidRPr="00981405">
        <w:t xml:space="preserve"> </w:t>
      </w:r>
      <w:r w:rsidRPr="00981405">
        <w:t>the</w:t>
      </w:r>
      <w:r w:rsidR="00190923" w:rsidRPr="00981405">
        <w:t xml:space="preserve"> </w:t>
      </w:r>
      <w:r w:rsidRPr="00981405">
        <w:t>limits</w:t>
      </w:r>
      <w:r w:rsidR="00190923" w:rsidRPr="00981405">
        <w:t xml:space="preserve"> </w:t>
      </w:r>
      <w:r w:rsidRPr="00981405">
        <w:t>of</w:t>
      </w:r>
      <w:r w:rsidR="00190923" w:rsidRPr="00981405">
        <w:t xml:space="preserve"> </w:t>
      </w:r>
      <w:r w:rsidRPr="00981405">
        <w:t>the</w:t>
      </w:r>
      <w:r w:rsidR="00190923" w:rsidRPr="00981405">
        <w:t xml:space="preserve"> </w:t>
      </w:r>
      <w:r w:rsidRPr="00981405">
        <w:t>subject-matter</w:t>
      </w:r>
      <w:r w:rsidR="00190923" w:rsidRPr="00981405">
        <w:t xml:space="preserve"> </w:t>
      </w:r>
      <w:r w:rsidRPr="00981405">
        <w:t>of</w:t>
      </w:r>
      <w:r w:rsidR="00190923" w:rsidRPr="00981405">
        <w:t xml:space="preserve"> </w:t>
      </w:r>
      <w:r w:rsidRPr="00981405">
        <w:t>the</w:t>
      </w:r>
      <w:r w:rsidR="00190923" w:rsidRPr="00981405">
        <w:t xml:space="preserve"> </w:t>
      </w:r>
      <w:r w:rsidRPr="00981405">
        <w:t>clause.</w:t>
      </w:r>
      <w:r w:rsidR="00B92E2C" w:rsidRPr="00981405">
        <w:t>”</w:t>
      </w:r>
      <w:r w:rsidR="00190923" w:rsidRPr="00981405">
        <w:t xml:space="preserve"> </w:t>
      </w:r>
      <w:r w:rsidRPr="00981405">
        <w:t>The</w:t>
      </w:r>
      <w:r w:rsidR="00190923" w:rsidRPr="00981405">
        <w:t xml:space="preserve"> </w:t>
      </w:r>
      <w:r w:rsidRPr="00981405">
        <w:t>commentary</w:t>
      </w:r>
      <w:r w:rsidR="00190923" w:rsidRPr="00981405">
        <w:t xml:space="preserve"> </w:t>
      </w:r>
      <w:r w:rsidRPr="00981405">
        <w:t>goes</w:t>
      </w:r>
      <w:r w:rsidR="00190923" w:rsidRPr="00981405">
        <w:t xml:space="preserve"> </w:t>
      </w:r>
      <w:r w:rsidRPr="00981405">
        <w:t>on</w:t>
      </w:r>
      <w:r w:rsidR="00190923" w:rsidRPr="00981405">
        <w:t xml:space="preserve"> </w:t>
      </w:r>
      <w:r w:rsidRPr="00981405">
        <w:t>to</w:t>
      </w:r>
      <w:r w:rsidR="00190923" w:rsidRPr="00981405">
        <w:t xml:space="preserve"> </w:t>
      </w:r>
      <w:r w:rsidRPr="00981405">
        <w:t>suggest</w:t>
      </w:r>
      <w:r w:rsidR="00190923" w:rsidRPr="00981405">
        <w:t xml:space="preserve"> </w:t>
      </w:r>
      <w:r w:rsidRPr="00981405">
        <w:t>that</w:t>
      </w:r>
      <w:r w:rsidR="00190923" w:rsidRPr="00981405">
        <w:t xml:space="preserve"> </w:t>
      </w:r>
      <w:r w:rsidRPr="00981405">
        <w:t>the</w:t>
      </w:r>
      <w:r w:rsidR="00190923" w:rsidRPr="00981405">
        <w:t xml:space="preserve"> </w:t>
      </w:r>
      <w:r w:rsidRPr="00981405">
        <w:t>phrase</w:t>
      </w:r>
      <w:r w:rsidR="00190923" w:rsidRPr="00981405">
        <w:t xml:space="preserve"> </w:t>
      </w:r>
      <w:r w:rsidR="00B92E2C" w:rsidRPr="00981405">
        <w:t>“</w:t>
      </w:r>
      <w:r w:rsidRPr="00981405">
        <w:t>within</w:t>
      </w:r>
      <w:r w:rsidR="00190923" w:rsidRPr="00981405">
        <w:t xml:space="preserve"> </w:t>
      </w:r>
      <w:r w:rsidRPr="00981405">
        <w:t>the</w:t>
      </w:r>
      <w:r w:rsidR="00190923" w:rsidRPr="00981405">
        <w:t xml:space="preserve"> </w:t>
      </w:r>
      <w:r w:rsidRPr="00981405">
        <w:t>limits</w:t>
      </w:r>
      <w:r w:rsidR="00190923" w:rsidRPr="00981405">
        <w:t xml:space="preserve"> </w:t>
      </w:r>
      <w:r w:rsidRPr="00981405">
        <w:t>of</w:t>
      </w:r>
      <w:r w:rsidR="00190923" w:rsidRPr="00981405">
        <w:t xml:space="preserve"> </w:t>
      </w:r>
      <w:r w:rsidRPr="00981405">
        <w:t>the</w:t>
      </w:r>
      <w:r w:rsidR="00190923" w:rsidRPr="00981405">
        <w:t xml:space="preserve"> </w:t>
      </w:r>
      <w:r w:rsidRPr="00981405">
        <w:t>subject-matter</w:t>
      </w:r>
      <w:r w:rsidR="00190923" w:rsidRPr="00981405">
        <w:t xml:space="preserve"> </w:t>
      </w:r>
      <w:r w:rsidRPr="00981405">
        <w:t>of</w:t>
      </w:r>
      <w:r w:rsidR="00190923" w:rsidRPr="00981405">
        <w:t xml:space="preserve"> </w:t>
      </w:r>
      <w:r w:rsidRPr="00981405">
        <w:t>the</w:t>
      </w:r>
      <w:r w:rsidR="00190923" w:rsidRPr="00981405">
        <w:t xml:space="preserve"> </w:t>
      </w:r>
      <w:r w:rsidRPr="00981405">
        <w:t>clause</w:t>
      </w:r>
      <w:r w:rsidR="00B92E2C" w:rsidRPr="00981405">
        <w:t>”</w:t>
      </w:r>
      <w:r w:rsidR="00190923" w:rsidRPr="00981405">
        <w:t xml:space="preserve"> </w:t>
      </w:r>
      <w:r w:rsidRPr="00981405">
        <w:t>contains</w:t>
      </w:r>
      <w:r w:rsidR="00190923" w:rsidRPr="00981405">
        <w:t xml:space="preserve"> </w:t>
      </w:r>
      <w:r w:rsidRPr="00981405">
        <w:t>an</w:t>
      </w:r>
      <w:r w:rsidR="00190923" w:rsidRPr="00981405">
        <w:t xml:space="preserve"> </w:t>
      </w:r>
      <w:r w:rsidRPr="00981405">
        <w:t>implicit</w:t>
      </w:r>
      <w:r w:rsidR="00190923" w:rsidRPr="00981405">
        <w:t xml:space="preserve"> </w:t>
      </w:r>
      <w:r w:rsidRPr="00981405">
        <w:t>reference</w:t>
      </w:r>
      <w:r w:rsidR="00190923" w:rsidRPr="00981405">
        <w:t xml:space="preserve"> </w:t>
      </w:r>
      <w:r w:rsidRPr="00981405">
        <w:t>to</w:t>
      </w:r>
      <w:r w:rsidR="00190923" w:rsidRPr="00981405">
        <w:t xml:space="preserve"> </w:t>
      </w:r>
      <w:r w:rsidRPr="00981405">
        <w:t>a</w:t>
      </w:r>
      <w:r w:rsidR="00190923" w:rsidRPr="00981405">
        <w:t xml:space="preserve"> </w:t>
      </w:r>
      <w:r w:rsidRPr="00981405">
        <w:t>concept</w:t>
      </w:r>
      <w:r w:rsidR="00190923" w:rsidRPr="00981405">
        <w:t xml:space="preserve"> </w:t>
      </w:r>
      <w:r w:rsidRPr="00981405">
        <w:t>of</w:t>
      </w:r>
      <w:r w:rsidR="00190923" w:rsidRPr="00981405">
        <w:t xml:space="preserve"> </w:t>
      </w:r>
      <w:r w:rsidRPr="00981405">
        <w:t>likeness.</w:t>
      </w:r>
      <w:r w:rsidRPr="00981405">
        <w:rPr>
          <w:rStyle w:val="FootnoteReference"/>
        </w:rPr>
        <w:footnoteReference w:id="599"/>
      </w:r>
      <w:r w:rsidR="00190923" w:rsidRPr="00981405">
        <w:t xml:space="preserve"> </w:t>
      </w:r>
      <w:r w:rsidRPr="00981405">
        <w:t>However,</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yet</w:t>
      </w:r>
      <w:r w:rsidR="00190923" w:rsidRPr="00981405">
        <w:t xml:space="preserve"> </w:t>
      </w:r>
      <w:r w:rsidRPr="00981405">
        <w:t>to</w:t>
      </w:r>
      <w:r w:rsidR="00190923" w:rsidRPr="00981405">
        <w:t xml:space="preserve"> </w:t>
      </w:r>
      <w:r w:rsidRPr="00981405">
        <w:t>develop</w:t>
      </w:r>
      <w:r w:rsidR="00190923" w:rsidRPr="00981405">
        <w:t xml:space="preserve"> </w:t>
      </w:r>
      <w:r w:rsidRPr="00981405">
        <w:t>any</w:t>
      </w:r>
      <w:r w:rsidR="00190923" w:rsidRPr="00981405">
        <w:t xml:space="preserve"> </w:t>
      </w:r>
      <w:r w:rsidRPr="00981405">
        <w:t>jurisprudence</w:t>
      </w:r>
      <w:r w:rsidR="00190923" w:rsidRPr="00981405">
        <w:t xml:space="preserve"> </w:t>
      </w:r>
      <w:r w:rsidRPr="00981405">
        <w:t>on</w:t>
      </w:r>
      <w:r w:rsidR="00190923" w:rsidRPr="00981405">
        <w:t xml:space="preserve"> </w:t>
      </w:r>
      <w:r w:rsidRPr="00981405">
        <w:t>the</w:t>
      </w:r>
      <w:r w:rsidR="00190923" w:rsidRPr="00981405">
        <w:t xml:space="preserve"> </w:t>
      </w:r>
      <w:r w:rsidRPr="00981405">
        <w:t>notion</w:t>
      </w:r>
      <w:r w:rsidR="00190923" w:rsidRPr="00981405">
        <w:t xml:space="preserve"> </w:t>
      </w:r>
      <w:r w:rsidRPr="00981405">
        <w:t>of</w:t>
      </w:r>
      <w:r w:rsidR="00190923" w:rsidRPr="00981405">
        <w:t xml:space="preserve"> </w:t>
      </w:r>
      <w:r w:rsidRPr="00981405">
        <w:t>likeness.</w:t>
      </w:r>
      <w:r w:rsidR="00190923" w:rsidRPr="00981405">
        <w:t xml:space="preserve"> </w:t>
      </w:r>
      <w:r w:rsidRPr="00981405">
        <w:t>There</w:t>
      </w:r>
      <w:r w:rsidR="00190923" w:rsidRPr="00981405">
        <w:t xml:space="preserve"> </w:t>
      </w:r>
      <w:r w:rsidRPr="00981405">
        <w:t>is</w:t>
      </w:r>
      <w:r w:rsidR="00190923" w:rsidRPr="00981405">
        <w:t xml:space="preserve"> </w:t>
      </w:r>
      <w:r w:rsidRPr="00981405">
        <w:t>no</w:t>
      </w:r>
      <w:r w:rsidR="00190923" w:rsidRPr="00981405">
        <w:t xml:space="preserve"> </w:t>
      </w:r>
      <w:r w:rsidRPr="00981405">
        <w:t>common</w:t>
      </w:r>
      <w:r w:rsidR="00190923" w:rsidRPr="00981405">
        <w:t xml:space="preserve"> </w:t>
      </w:r>
      <w:r w:rsidRPr="00981405">
        <w:t>understanding,</w:t>
      </w:r>
      <w:r w:rsidR="00190923" w:rsidRPr="00981405">
        <w:t xml:space="preserve"> </w:t>
      </w:r>
      <w:r w:rsidRPr="00981405">
        <w:t>to</w:t>
      </w:r>
      <w:r w:rsidR="00190923" w:rsidRPr="00981405">
        <w:t xml:space="preserve"> </w:t>
      </w:r>
      <w:r w:rsidRPr="00981405">
        <w:t>take</w:t>
      </w:r>
      <w:r w:rsidR="00190923" w:rsidRPr="00981405">
        <w:t xml:space="preserve"> </w:t>
      </w:r>
      <w:r w:rsidRPr="00981405">
        <w:t>the</w:t>
      </w:r>
      <w:r w:rsidR="00190923" w:rsidRPr="00981405">
        <w:t xml:space="preserve"> </w:t>
      </w:r>
      <w:r w:rsidRPr="00981405">
        <w:t>earlier</w:t>
      </w:r>
      <w:r w:rsidR="00190923" w:rsidRPr="00981405">
        <w:t xml:space="preserve"> </w:t>
      </w:r>
      <w:r w:rsidRPr="00981405">
        <w:t>example,</w:t>
      </w:r>
      <w:r w:rsidR="00190923" w:rsidRPr="00981405">
        <w:t xml:space="preserve"> </w:t>
      </w:r>
      <w:r w:rsidRPr="00981405">
        <w:t>on</w:t>
      </w:r>
      <w:r w:rsidR="00190923" w:rsidRPr="00981405">
        <w:t xml:space="preserve"> </w:t>
      </w:r>
      <w:r w:rsidRPr="00981405">
        <w:t>whether</w:t>
      </w:r>
      <w:r w:rsidR="00190923" w:rsidRPr="00981405">
        <w:t xml:space="preserve"> </w:t>
      </w:r>
      <w:r w:rsidRPr="00981405">
        <w:t>an</w:t>
      </w:r>
      <w:r w:rsidR="00190923" w:rsidRPr="00981405">
        <w:t xml:space="preserve"> </w:t>
      </w:r>
      <w:r w:rsidRPr="00981405">
        <w:t>18-month</w:t>
      </w:r>
      <w:r w:rsidR="00190923" w:rsidRPr="00981405">
        <w:t xml:space="preserve"> </w:t>
      </w:r>
      <w:r w:rsidRPr="00981405">
        <w:t>litigation</w:t>
      </w:r>
      <w:r w:rsidR="00190923" w:rsidRPr="00981405">
        <w:t xml:space="preserve"> </w:t>
      </w:r>
      <w:r w:rsidRPr="00981405">
        <w:t>requirement</w:t>
      </w:r>
      <w:r w:rsidR="00190923" w:rsidRPr="00981405">
        <w:t xml:space="preserve"> </w:t>
      </w:r>
      <w:r w:rsidRPr="00981405">
        <w:t>with</w:t>
      </w:r>
      <w:r w:rsidR="00190923" w:rsidRPr="00981405">
        <w:t xml:space="preserve"> </w:t>
      </w:r>
      <w:r w:rsidRPr="00981405">
        <w:t>no</w:t>
      </w:r>
      <w:r w:rsidR="00190923" w:rsidRPr="00981405">
        <w:t xml:space="preserve"> </w:t>
      </w:r>
      <w:r w:rsidRPr="00981405">
        <w:t>fork</w:t>
      </w:r>
      <w:r w:rsidR="00190923" w:rsidRPr="00981405">
        <w:t xml:space="preserve"> </w:t>
      </w:r>
      <w:r w:rsidRPr="00981405">
        <w:t>in</w:t>
      </w:r>
      <w:r w:rsidR="00190923" w:rsidRPr="00981405">
        <w:t xml:space="preserve"> </w:t>
      </w:r>
      <w:r w:rsidRPr="00981405">
        <w:t>the</w:t>
      </w:r>
      <w:r w:rsidR="00190923" w:rsidRPr="00981405">
        <w:t xml:space="preserve"> </w:t>
      </w:r>
      <w:r w:rsidRPr="00981405">
        <w:t>road</w:t>
      </w:r>
      <w:r w:rsidR="00190923" w:rsidRPr="00981405">
        <w:t xml:space="preserve"> </w:t>
      </w:r>
      <w:r w:rsidRPr="00981405">
        <w:t>provision</w:t>
      </w:r>
      <w:r w:rsidR="00190923" w:rsidRPr="00981405">
        <w:t xml:space="preserve"> </w:t>
      </w:r>
      <w:r w:rsidRPr="00981405">
        <w:t>is</w:t>
      </w:r>
      <w:r w:rsidR="00190923" w:rsidRPr="00981405">
        <w:t xml:space="preserve"> </w:t>
      </w:r>
      <w:r w:rsidRPr="00981405">
        <w:t>more</w:t>
      </w:r>
      <w:r w:rsidR="00190923" w:rsidRPr="00981405">
        <w:t xml:space="preserve"> </w:t>
      </w:r>
      <w:r w:rsidRPr="00981405">
        <w:t>or</w:t>
      </w:r>
      <w:r w:rsidR="00190923" w:rsidRPr="00981405">
        <w:t xml:space="preserve"> </w:t>
      </w:r>
      <w:r w:rsidRPr="00981405">
        <w:t>less</w:t>
      </w:r>
      <w:r w:rsidR="00190923" w:rsidRPr="00981405">
        <w:t xml:space="preserve"> </w:t>
      </w:r>
      <w:r w:rsidRPr="00981405">
        <w:t>favourable</w:t>
      </w:r>
      <w:r w:rsidR="00190923" w:rsidRPr="00981405">
        <w:t xml:space="preserve"> </w:t>
      </w:r>
      <w:r w:rsidRPr="00981405">
        <w:t>than</w:t>
      </w:r>
      <w:r w:rsidR="00190923" w:rsidRPr="00981405">
        <w:t xml:space="preserve"> </w:t>
      </w:r>
      <w:r w:rsidRPr="00981405">
        <w:t>direct</w:t>
      </w:r>
      <w:r w:rsidR="00190923" w:rsidRPr="00981405">
        <w:t xml:space="preserve"> </w:t>
      </w:r>
      <w:r w:rsidRPr="00981405">
        <w:t>access</w:t>
      </w:r>
      <w:r w:rsidR="00190923" w:rsidRPr="00981405">
        <w:t xml:space="preserve"> </w:t>
      </w:r>
      <w:r w:rsidRPr="00981405">
        <w:t>to</w:t>
      </w:r>
      <w:r w:rsidR="00190923" w:rsidRPr="00981405">
        <w:t xml:space="preserve"> </w:t>
      </w:r>
      <w:r w:rsidRPr="00981405">
        <w:t>investor-state</w:t>
      </w:r>
      <w:r w:rsidR="00190923" w:rsidRPr="00981405">
        <w:t xml:space="preserve"> </w:t>
      </w:r>
      <w:r w:rsidRPr="00981405">
        <w:t>arbitration</w:t>
      </w:r>
      <w:r w:rsidR="00190923" w:rsidRPr="00981405">
        <w:t xml:space="preserve"> </w:t>
      </w:r>
      <w:r w:rsidRPr="00981405">
        <w:t>with</w:t>
      </w:r>
      <w:r w:rsidR="00190923" w:rsidRPr="00981405">
        <w:t xml:space="preserve"> </w:t>
      </w:r>
      <w:r w:rsidRPr="00981405">
        <w:t>a</w:t>
      </w:r>
      <w:r w:rsidR="00190923" w:rsidRPr="00981405">
        <w:t xml:space="preserve"> </w:t>
      </w:r>
      <w:r w:rsidRPr="00981405">
        <w:t>fork</w:t>
      </w:r>
      <w:r w:rsidR="00190923" w:rsidRPr="00981405">
        <w:t xml:space="preserve"> </w:t>
      </w:r>
      <w:r w:rsidRPr="00981405">
        <w:t>in</w:t>
      </w:r>
      <w:r w:rsidR="00190923" w:rsidRPr="00981405">
        <w:t xml:space="preserve"> </w:t>
      </w:r>
      <w:r w:rsidRPr="00981405">
        <w:t>the</w:t>
      </w:r>
      <w:r w:rsidR="00190923" w:rsidRPr="00981405">
        <w:t xml:space="preserve"> </w:t>
      </w:r>
      <w:r w:rsidRPr="00981405">
        <w:t>road</w:t>
      </w:r>
      <w:r w:rsidR="00190923" w:rsidRPr="00981405">
        <w:t xml:space="preserve"> </w:t>
      </w:r>
      <w:r w:rsidRPr="00981405">
        <w:t>stipulation</w:t>
      </w:r>
      <w:r w:rsidR="00190923" w:rsidRPr="00981405">
        <w:t xml:space="preserve"> </w:t>
      </w:r>
      <w:r w:rsidRPr="00981405">
        <w:t>attached.</w:t>
      </w:r>
    </w:p>
    <w:p w:rsidR="00397032" w:rsidRPr="00981405" w:rsidRDefault="00397032" w:rsidP="00D97463">
      <w:pPr>
        <w:pStyle w:val="SingleTxt"/>
      </w:pPr>
      <w:r w:rsidRPr="00981405">
        <w:t>193.</w:t>
      </w:r>
      <w:r w:rsidRPr="00981405">
        <w:tab/>
        <w:t>In</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B92E2C" w:rsidRPr="00981405">
        <w:t>’</w:t>
      </w:r>
      <w:r w:rsidRPr="00981405">
        <w:t>s</w:t>
      </w:r>
      <w:r w:rsidR="00190923" w:rsidRPr="00981405">
        <w:t xml:space="preserve"> </w:t>
      </w:r>
      <w:r w:rsidRPr="00981405">
        <w:t>view</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what</w:t>
      </w:r>
      <w:r w:rsidR="00190923" w:rsidRPr="00981405">
        <w:t xml:space="preserve"> </w:t>
      </w:r>
      <w:r w:rsidRPr="00981405">
        <w:t>constitutes</w:t>
      </w:r>
      <w:r w:rsidR="00190923" w:rsidRPr="00981405">
        <w:t xml:space="preserve"> </w:t>
      </w:r>
      <w:r w:rsidRPr="00981405">
        <w:t>less</w:t>
      </w:r>
      <w:r w:rsidR="00190923" w:rsidRPr="00981405">
        <w:t xml:space="preserve"> </w:t>
      </w:r>
      <w:r w:rsidRPr="00981405">
        <w:t>favourable</w:t>
      </w:r>
      <w:r w:rsidR="00190923" w:rsidRPr="00981405">
        <w:t xml:space="preserve"> </w:t>
      </w:r>
      <w:r w:rsidRPr="00981405">
        <w:t>treatment</w:t>
      </w:r>
      <w:r w:rsidR="00190923" w:rsidRPr="00981405">
        <w:t xml:space="preserve"> </w:t>
      </w:r>
      <w:r w:rsidRPr="00981405">
        <w:t>can</w:t>
      </w:r>
      <w:r w:rsidR="00190923" w:rsidRPr="00981405">
        <w:t xml:space="preserve"> </w:t>
      </w:r>
      <w:r w:rsidRPr="00981405">
        <w:t>only</w:t>
      </w:r>
      <w:r w:rsidR="00190923" w:rsidRPr="00981405">
        <w:t xml:space="preserve"> </w:t>
      </w:r>
      <w:r w:rsidRPr="00981405">
        <w:t>be</w:t>
      </w:r>
      <w:r w:rsidR="00190923" w:rsidRPr="00981405">
        <w:t xml:space="preserve"> </w:t>
      </w:r>
      <w:r w:rsidRPr="00981405">
        <w:t>answered</w:t>
      </w:r>
      <w:r w:rsidR="00190923" w:rsidRPr="00981405">
        <w:t xml:space="preserve"> </w:t>
      </w:r>
      <w:r w:rsidRPr="00981405">
        <w:t>on</w:t>
      </w:r>
      <w:r w:rsidR="00190923" w:rsidRPr="00981405">
        <w:t xml:space="preserve"> </w:t>
      </w:r>
      <w:r w:rsidRPr="00981405">
        <w:t>a</w:t>
      </w:r>
      <w:r w:rsidR="00190923" w:rsidRPr="00981405">
        <w:t xml:space="preserve"> </w:t>
      </w:r>
      <w:r w:rsidRPr="00981405">
        <w:t>case-by-case</w:t>
      </w:r>
      <w:r w:rsidR="00190923" w:rsidRPr="00981405">
        <w:t xml:space="preserve"> </w:t>
      </w:r>
      <w:r w:rsidRPr="00981405">
        <w:t>analysis.</w:t>
      </w:r>
      <w:r w:rsidR="00190923" w:rsidRPr="00981405">
        <w:t xml:space="preserve"> </w:t>
      </w:r>
      <w:r w:rsidRPr="00981405">
        <w:t>At</w:t>
      </w:r>
      <w:r w:rsidR="00190923" w:rsidRPr="00981405">
        <w:t xml:space="preserve"> </w:t>
      </w:r>
      <w:r w:rsidRPr="00981405">
        <w:t>the</w:t>
      </w:r>
      <w:r w:rsidR="00190923" w:rsidRPr="00981405">
        <w:t xml:space="preserve"> </w:t>
      </w:r>
      <w:r w:rsidRPr="00981405">
        <w:t>very</w:t>
      </w:r>
      <w:r w:rsidR="00190923" w:rsidRPr="00981405">
        <w:t xml:space="preserve"> </w:t>
      </w:r>
      <w:r w:rsidRPr="00981405">
        <w:t>least</w:t>
      </w:r>
      <w:r w:rsidR="00190923" w:rsidRPr="00981405">
        <w:t xml:space="preserve"> </w:t>
      </w:r>
      <w:r w:rsidRPr="00981405">
        <w:t>it</w:t>
      </w:r>
      <w:r w:rsidR="00190923" w:rsidRPr="00981405">
        <w:t xml:space="preserve"> </w:t>
      </w:r>
      <w:r w:rsidRPr="00981405">
        <w:t>is</w:t>
      </w:r>
      <w:r w:rsidR="00190923" w:rsidRPr="00981405">
        <w:t xml:space="preserve"> </w:t>
      </w:r>
      <w:r w:rsidRPr="00981405">
        <w:t>a</w:t>
      </w:r>
      <w:r w:rsidR="00190923" w:rsidRPr="00981405">
        <w:t xml:space="preserve"> </w:t>
      </w:r>
      <w:r w:rsidRPr="00981405">
        <w:t>matter</w:t>
      </w:r>
      <w:r w:rsidR="00190923" w:rsidRPr="00981405">
        <w:t xml:space="preserve"> </w:t>
      </w:r>
      <w:r w:rsidRPr="00981405">
        <w:t>that</w:t>
      </w:r>
      <w:r w:rsidR="00190923" w:rsidRPr="00981405">
        <w:t xml:space="preserve"> </w:t>
      </w:r>
      <w:r w:rsidRPr="00981405">
        <w:t>has</w:t>
      </w:r>
      <w:r w:rsidR="00190923" w:rsidRPr="00981405">
        <w:t xml:space="preserve"> </w:t>
      </w:r>
      <w:r w:rsidRPr="00981405">
        <w:t>to</w:t>
      </w:r>
      <w:r w:rsidR="00190923" w:rsidRPr="00981405">
        <w:t xml:space="preserve"> </w:t>
      </w:r>
      <w:r w:rsidRPr="00981405">
        <w:t>be</w:t>
      </w:r>
      <w:r w:rsidR="00190923" w:rsidRPr="00981405">
        <w:t xml:space="preserve"> </w:t>
      </w:r>
      <w:r w:rsidRPr="00981405">
        <w:t>addressed</w:t>
      </w:r>
      <w:r w:rsidR="00190923" w:rsidRPr="00981405">
        <w:t xml:space="preserve"> </w:t>
      </w:r>
      <w:r w:rsidRPr="00981405">
        <w:t>in</w:t>
      </w:r>
      <w:r w:rsidR="00190923" w:rsidRPr="00981405">
        <w:t xml:space="preserve"> </w:t>
      </w:r>
      <w:r w:rsidRPr="00981405">
        <w:t>any</w:t>
      </w:r>
      <w:r w:rsidR="00190923" w:rsidRPr="00981405">
        <w:t xml:space="preserve"> </w:t>
      </w:r>
      <w:r w:rsidRPr="00981405">
        <w:t>interpretation</w:t>
      </w:r>
      <w:r w:rsidR="00190923" w:rsidRPr="00981405">
        <w:t xml:space="preserve"> </w:t>
      </w:r>
      <w:r w:rsidRPr="00981405">
        <w:t>or</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an</w:t>
      </w:r>
      <w:r w:rsidR="00190923" w:rsidRPr="00981405">
        <w:t xml:space="preserve"> </w:t>
      </w:r>
      <w:r w:rsidRPr="00981405">
        <w:t>MFN</w:t>
      </w:r>
      <w:r w:rsidR="00190923" w:rsidRPr="00981405">
        <w:t xml:space="preserve"> </w:t>
      </w:r>
      <w:r w:rsidRPr="00981405">
        <w:t>provision.</w:t>
      </w:r>
    </w:p>
    <w:p w:rsidR="004176F2" w:rsidRPr="00D97463" w:rsidRDefault="004176F2" w:rsidP="00D97463">
      <w:pPr>
        <w:pStyle w:val="SingleTxt"/>
        <w:spacing w:after="0" w:line="120" w:lineRule="exact"/>
        <w:rPr>
          <w:sz w:val="10"/>
        </w:rPr>
      </w:pPr>
    </w:p>
    <w:p w:rsidR="004176F2" w:rsidRPr="00D97463" w:rsidRDefault="004176F2" w:rsidP="00D97463">
      <w:pPr>
        <w:pStyle w:val="SingleTxt"/>
        <w:spacing w:after="0" w:line="120" w:lineRule="exact"/>
        <w:rPr>
          <w:sz w:val="10"/>
        </w:rPr>
      </w:pPr>
    </w:p>
    <w:p w:rsidR="00397032" w:rsidRPr="00D97463" w:rsidRDefault="00397032" w:rsidP="00D97463">
      <w:pPr>
        <w:pStyle w:val="H1"/>
        <w:ind w:right="1260"/>
      </w:pPr>
      <w:bookmarkStart w:id="330" w:name="_Toc293434195"/>
      <w:bookmarkStart w:id="331" w:name="_Toc294353708"/>
      <w:r w:rsidRPr="00D97463">
        <w:tab/>
        <w:t>D.</w:t>
      </w:r>
      <w:r w:rsidRPr="00D97463">
        <w:tab/>
      </w:r>
      <w:bookmarkEnd w:id="330"/>
      <w:r w:rsidRPr="00D97463">
        <w:t>Consequences</w:t>
      </w:r>
      <w:r w:rsidR="00190923" w:rsidRPr="00D97463">
        <w:t xml:space="preserve"> </w:t>
      </w:r>
      <w:r w:rsidRPr="00D97463">
        <w:t>of</w:t>
      </w:r>
      <w:r w:rsidR="00190923" w:rsidRPr="00D97463">
        <w:t xml:space="preserve"> </w:t>
      </w:r>
      <w:r w:rsidRPr="00D97463">
        <w:t>various</w:t>
      </w:r>
      <w:r w:rsidR="00190923" w:rsidRPr="00D97463">
        <w:t xml:space="preserve"> </w:t>
      </w:r>
      <w:r w:rsidRPr="00D97463">
        <w:t>model</w:t>
      </w:r>
      <w:r w:rsidR="00190923" w:rsidRPr="00D97463">
        <w:t xml:space="preserve"> </w:t>
      </w:r>
      <w:r w:rsidRPr="00D97463">
        <w:t>MFN</w:t>
      </w:r>
      <w:r w:rsidR="00190923" w:rsidRPr="00D97463">
        <w:t xml:space="preserve"> </w:t>
      </w:r>
      <w:r w:rsidRPr="00D97463">
        <w:t>clauses</w:t>
      </w:r>
      <w:bookmarkEnd w:id="331"/>
    </w:p>
    <w:p w:rsidR="004176F2" w:rsidRPr="00D97463" w:rsidRDefault="004176F2" w:rsidP="00D97463">
      <w:pPr>
        <w:pStyle w:val="SingleTxt"/>
        <w:spacing w:after="0" w:line="120" w:lineRule="exact"/>
        <w:rPr>
          <w:sz w:val="10"/>
        </w:rPr>
      </w:pPr>
    </w:p>
    <w:p w:rsidR="004176F2" w:rsidRPr="00D97463" w:rsidRDefault="004176F2" w:rsidP="00D97463">
      <w:pPr>
        <w:pStyle w:val="SingleTxt"/>
        <w:spacing w:after="0" w:line="120" w:lineRule="exact"/>
        <w:rPr>
          <w:sz w:val="10"/>
        </w:rPr>
      </w:pPr>
    </w:p>
    <w:p w:rsidR="00397032" w:rsidRPr="00981405" w:rsidRDefault="00397032" w:rsidP="00D97463">
      <w:pPr>
        <w:pStyle w:val="SingleTxt"/>
      </w:pPr>
      <w:r w:rsidRPr="00981405">
        <w:t>194.</w:t>
      </w:r>
      <w:r w:rsidRPr="00981405">
        <w:tab/>
        <w:t>Although</w:t>
      </w:r>
      <w:r w:rsidR="00190923" w:rsidRPr="00981405">
        <w:t xml:space="preserve"> </w:t>
      </w:r>
      <w:r w:rsidRPr="00981405">
        <w:t>at</w:t>
      </w:r>
      <w:r w:rsidR="00190923" w:rsidRPr="00981405">
        <w:t xml:space="preserve"> </w:t>
      </w:r>
      <w:r w:rsidRPr="00981405">
        <w:t>the</w:t>
      </w:r>
      <w:r w:rsidR="00190923" w:rsidRPr="00981405">
        <w:t xml:space="preserve"> </w:t>
      </w:r>
      <w:r w:rsidRPr="00981405">
        <w:t>outset</w:t>
      </w:r>
      <w:r w:rsidR="00190923" w:rsidRPr="00981405">
        <w:t xml:space="preserve"> </w:t>
      </w:r>
      <w:r w:rsidRPr="00981405">
        <w:t>of</w:t>
      </w:r>
      <w:r w:rsidR="00190923" w:rsidRPr="00981405">
        <w:t xml:space="preserve"> </w:t>
      </w:r>
      <w:r w:rsidRPr="00981405">
        <w:t>its</w:t>
      </w:r>
      <w:r w:rsidR="00190923" w:rsidRPr="00981405">
        <w:t xml:space="preserve"> </w:t>
      </w:r>
      <w:r w:rsidRPr="00981405">
        <w:t>work</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considered</w:t>
      </w:r>
      <w:r w:rsidR="00190923" w:rsidRPr="00981405">
        <w:t xml:space="preserve"> </w:t>
      </w:r>
      <w:r w:rsidRPr="00981405">
        <w:t>the</w:t>
      </w:r>
      <w:r w:rsidR="00190923" w:rsidRPr="00981405">
        <w:t xml:space="preserve"> </w:t>
      </w:r>
      <w:r w:rsidRPr="00981405">
        <w:t>possibility</w:t>
      </w:r>
      <w:r w:rsidR="00190923" w:rsidRPr="00981405">
        <w:t xml:space="preserve"> </w:t>
      </w:r>
      <w:r w:rsidRPr="00981405">
        <w:t>of</w:t>
      </w:r>
      <w:r w:rsidR="00190923" w:rsidRPr="00981405">
        <w:t xml:space="preserve"> </w:t>
      </w:r>
      <w:r w:rsidRPr="00981405">
        <w:t>drafting</w:t>
      </w:r>
      <w:r w:rsidR="00190923" w:rsidRPr="00981405">
        <w:t xml:space="preserve"> </w:t>
      </w:r>
      <w:r w:rsidRPr="00981405">
        <w:t>model</w:t>
      </w:r>
      <w:r w:rsidR="00190923" w:rsidRPr="00981405">
        <w:t xml:space="preserve"> </w:t>
      </w:r>
      <w:r w:rsidRPr="00981405">
        <w:t>MFN</w:t>
      </w:r>
      <w:r w:rsidR="00190923" w:rsidRPr="00981405">
        <w:t xml:space="preserve"> </w:t>
      </w:r>
      <w:r w:rsidRPr="00981405">
        <w:t>clauses</w:t>
      </w:r>
      <w:r w:rsidR="00190923" w:rsidRPr="00981405">
        <w:t xml:space="preserve"> </w:t>
      </w:r>
      <w:r w:rsidRPr="00981405">
        <w:t>itself,</w:t>
      </w:r>
      <w:r w:rsidR="00190923" w:rsidRPr="00981405">
        <w:t xml:space="preserve"> </w:t>
      </w:r>
      <w:r w:rsidRPr="00981405">
        <w:t>it</w:t>
      </w:r>
      <w:r w:rsidR="00190923" w:rsidRPr="00981405">
        <w:t xml:space="preserve"> </w:t>
      </w:r>
      <w:r w:rsidRPr="00981405">
        <w:t>came</w:t>
      </w:r>
      <w:r w:rsidR="00190923" w:rsidRPr="00981405">
        <w:t xml:space="preserve"> </w:t>
      </w:r>
      <w:r w:rsidRPr="00981405">
        <w:t>to</w:t>
      </w:r>
      <w:r w:rsidR="00190923" w:rsidRPr="00981405">
        <w:t xml:space="preserve"> </w:t>
      </w:r>
      <w:r w:rsidRPr="00981405">
        <w:t>the</w:t>
      </w:r>
      <w:r w:rsidR="00190923" w:rsidRPr="00981405">
        <w:t xml:space="preserve"> </w:t>
      </w:r>
      <w:r w:rsidRPr="00981405">
        <w:t>conclusion</w:t>
      </w:r>
      <w:r w:rsidR="00190923" w:rsidRPr="00981405">
        <w:t xml:space="preserve"> </w:t>
      </w:r>
      <w:r w:rsidRPr="00981405">
        <w:t>that</w:t>
      </w:r>
      <w:r w:rsidR="00190923" w:rsidRPr="00981405">
        <w:t xml:space="preserve"> </w:t>
      </w:r>
      <w:r w:rsidRPr="00981405">
        <w:t>this</w:t>
      </w:r>
      <w:r w:rsidR="00190923" w:rsidRPr="00981405">
        <w:t xml:space="preserve"> </w:t>
      </w:r>
      <w:r w:rsidRPr="00981405">
        <w:t>would</w:t>
      </w:r>
      <w:r w:rsidR="00190923" w:rsidRPr="00981405">
        <w:t xml:space="preserve"> </w:t>
      </w:r>
      <w:r w:rsidRPr="00981405">
        <w:t>not</w:t>
      </w:r>
      <w:r w:rsidR="00190923" w:rsidRPr="00981405">
        <w:t xml:space="preserve"> </w:t>
      </w:r>
      <w:r w:rsidRPr="00981405">
        <w:t>be</w:t>
      </w:r>
      <w:r w:rsidR="00190923" w:rsidRPr="00981405">
        <w:t xml:space="preserve"> </w:t>
      </w:r>
      <w:r w:rsidRPr="00981405">
        <w:t>a</w:t>
      </w:r>
      <w:r w:rsidR="00190923" w:rsidRPr="00981405">
        <w:t xml:space="preserve"> </w:t>
      </w:r>
      <w:r w:rsidRPr="00981405">
        <w:t>useful</w:t>
      </w:r>
      <w:r w:rsidR="00190923" w:rsidRPr="00981405">
        <w:t xml:space="preserve"> </w:t>
      </w:r>
      <w:r w:rsidRPr="00981405">
        <w:t>exercise.</w:t>
      </w:r>
      <w:r w:rsidR="00190923" w:rsidRPr="00981405">
        <w:t xml:space="preserve"> </w:t>
      </w:r>
      <w:r w:rsidRPr="00981405">
        <w:t>There</w:t>
      </w:r>
      <w:r w:rsidR="00190923" w:rsidRPr="00981405">
        <w:t xml:space="preserve"> </w:t>
      </w:r>
      <w:r w:rsidRPr="00981405">
        <w:t>is</w:t>
      </w:r>
      <w:r w:rsidR="00190923" w:rsidRPr="00981405">
        <w:t xml:space="preserve"> </w:t>
      </w:r>
      <w:r w:rsidRPr="00981405">
        <w:t>a</w:t>
      </w:r>
      <w:r w:rsidR="00190923" w:rsidRPr="00981405">
        <w:t xml:space="preserve"> </w:t>
      </w:r>
      <w:r w:rsidRPr="00981405">
        <w:t>vast</w:t>
      </w:r>
      <w:r w:rsidR="00190923" w:rsidRPr="00981405">
        <w:t xml:space="preserve"> </w:t>
      </w:r>
      <w:r w:rsidRPr="00981405">
        <w:t>number</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already</w:t>
      </w:r>
      <w:r w:rsidR="00190923" w:rsidRPr="00981405">
        <w:t xml:space="preserve"> </w:t>
      </w:r>
      <w:r w:rsidRPr="00981405">
        <w:t>included</w:t>
      </w:r>
      <w:r w:rsidR="00190923" w:rsidRPr="00981405">
        <w:t xml:space="preserve"> </w:t>
      </w:r>
      <w:r w:rsidRPr="00981405">
        <w:t>by</w:t>
      </w:r>
      <w:r w:rsidR="00190923" w:rsidRPr="00981405">
        <w:t xml:space="preserve"> </w:t>
      </w:r>
      <w:r w:rsidRPr="00981405">
        <w:t>States</w:t>
      </w:r>
      <w:r w:rsidR="00190923" w:rsidRPr="00981405">
        <w:t xml:space="preserve"> </w:t>
      </w:r>
      <w:r w:rsidRPr="00981405">
        <w:t>in</w:t>
      </w:r>
      <w:r w:rsidR="00190923" w:rsidRPr="00981405">
        <w:t xml:space="preserve"> </w:t>
      </w:r>
      <w:r w:rsidRPr="00981405">
        <w:t>their</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can</w:t>
      </w:r>
      <w:r w:rsidR="00190923" w:rsidRPr="00981405">
        <w:t xml:space="preserve"> </w:t>
      </w:r>
      <w:r w:rsidRPr="00981405">
        <w:t>provide</w:t>
      </w:r>
      <w:r w:rsidR="00190923" w:rsidRPr="00981405">
        <w:t xml:space="preserve"> </w:t>
      </w:r>
      <w:r w:rsidRPr="00981405">
        <w:t>models</w:t>
      </w:r>
      <w:r w:rsidR="00190923" w:rsidRPr="00981405">
        <w:t xml:space="preserve"> </w:t>
      </w:r>
      <w:r w:rsidRPr="00981405">
        <w:t>for</w:t>
      </w:r>
      <w:r w:rsidR="00190923" w:rsidRPr="00981405">
        <w:t xml:space="preserve"> </w:t>
      </w:r>
      <w:r w:rsidRPr="00981405">
        <w:t>future</w:t>
      </w:r>
      <w:r w:rsidR="00190923" w:rsidRPr="00981405">
        <w:t xml:space="preserve"> </w:t>
      </w:r>
      <w:r w:rsidRPr="00981405">
        <w:t>agreements.</w:t>
      </w:r>
      <w:r w:rsidR="00190923" w:rsidRPr="00981405">
        <w:t xml:space="preserve"> </w:t>
      </w:r>
      <w:r w:rsidRPr="00981405">
        <w:t>What</w:t>
      </w:r>
      <w:r w:rsidR="00190923" w:rsidRPr="00981405">
        <w:t xml:space="preserve"> </w:t>
      </w:r>
      <w:r w:rsidRPr="00981405">
        <w:t>is</w:t>
      </w:r>
      <w:r w:rsidR="00190923" w:rsidRPr="00981405">
        <w:t xml:space="preserve"> </w:t>
      </w:r>
      <w:r w:rsidRPr="00981405">
        <w:t>more</w:t>
      </w:r>
      <w:r w:rsidR="00190923" w:rsidRPr="00981405">
        <w:t xml:space="preserve"> </w:t>
      </w:r>
      <w:r w:rsidRPr="00981405">
        <w:t>important</w:t>
      </w:r>
      <w:r w:rsidR="00190923" w:rsidRPr="00981405">
        <w:t xml:space="preserve"> </w:t>
      </w:r>
      <w:r w:rsidRPr="00981405">
        <w:t>is</w:t>
      </w:r>
      <w:r w:rsidR="00190923" w:rsidRPr="00981405">
        <w:t xml:space="preserve"> </w:t>
      </w:r>
      <w:r w:rsidRPr="00981405">
        <w:t>to</w:t>
      </w:r>
      <w:r w:rsidR="00190923" w:rsidRPr="00981405">
        <w:t xml:space="preserve"> </w:t>
      </w:r>
      <w:r w:rsidRPr="00981405">
        <w:t>understand</w:t>
      </w:r>
      <w:r w:rsidR="00190923" w:rsidRPr="00981405">
        <w:t xml:space="preserve"> </w:t>
      </w:r>
      <w:r w:rsidRPr="00981405">
        <w:t>the</w:t>
      </w:r>
      <w:r w:rsidR="00190923" w:rsidRPr="00981405">
        <w:t xml:space="preserve"> </w:t>
      </w:r>
      <w:r w:rsidRPr="00981405">
        <w:t>consequences</w:t>
      </w:r>
      <w:r w:rsidR="00190923" w:rsidRPr="00981405">
        <w:t xml:space="preserve"> </w:t>
      </w:r>
      <w:r w:rsidRPr="00981405">
        <w:t>that</w:t>
      </w:r>
      <w:r w:rsidR="00190923" w:rsidRPr="00981405">
        <w:t xml:space="preserve"> </w:t>
      </w:r>
      <w:r w:rsidRPr="00981405">
        <w:t>may</w:t>
      </w:r>
      <w:r w:rsidR="00190923" w:rsidRPr="00981405">
        <w:t xml:space="preserve"> </w:t>
      </w:r>
      <w:r w:rsidRPr="00981405">
        <w:t>attach</w:t>
      </w:r>
      <w:r w:rsidR="00190923" w:rsidRPr="00981405">
        <w:t xml:space="preserve"> </w:t>
      </w:r>
      <w:r w:rsidRPr="00981405">
        <w:t>to</w:t>
      </w:r>
      <w:r w:rsidR="00190923" w:rsidRPr="00981405">
        <w:t xml:space="preserve"> </w:t>
      </w:r>
      <w:r w:rsidRPr="00981405">
        <w:t>particular</w:t>
      </w:r>
      <w:r w:rsidR="00190923" w:rsidRPr="00981405">
        <w:t xml:space="preserve"> </w:t>
      </w:r>
      <w:r w:rsidRPr="00981405">
        <w:t>wording.</w:t>
      </w:r>
      <w:r w:rsidR="00190923" w:rsidRPr="00981405">
        <w:t xml:space="preserve"> </w:t>
      </w:r>
    </w:p>
    <w:p w:rsidR="004176F2" w:rsidRPr="00D97463" w:rsidRDefault="004176F2" w:rsidP="00D97463">
      <w:pPr>
        <w:pStyle w:val="SingleTxt"/>
        <w:spacing w:after="0" w:line="120" w:lineRule="exact"/>
        <w:rPr>
          <w:sz w:val="10"/>
        </w:rPr>
      </w:pPr>
    </w:p>
    <w:p w:rsidR="00397032" w:rsidRPr="00D97463" w:rsidRDefault="00397032" w:rsidP="00D97463">
      <w:pPr>
        <w:pStyle w:val="H23"/>
        <w:ind w:right="1260"/>
      </w:pPr>
      <w:r w:rsidRPr="00D97463">
        <w:tab/>
      </w:r>
      <w:bookmarkStart w:id="332" w:name="_Toc293434196"/>
      <w:bookmarkStart w:id="333" w:name="_Toc294353709"/>
      <w:bookmarkStart w:id="334" w:name="_Toc427938208"/>
      <w:r w:rsidRPr="00D97463">
        <w:t>1.</w:t>
      </w:r>
      <w:r w:rsidRPr="00D97463">
        <w:tab/>
        <w:t>Clauses</w:t>
      </w:r>
      <w:r w:rsidR="00190923" w:rsidRPr="00D97463">
        <w:t xml:space="preserve"> </w:t>
      </w:r>
      <w:r w:rsidRPr="00D97463">
        <w:t>in</w:t>
      </w:r>
      <w:r w:rsidR="00190923" w:rsidRPr="00D97463">
        <w:t xml:space="preserve"> </w:t>
      </w:r>
      <w:r w:rsidRPr="00D97463">
        <w:t>agreements</w:t>
      </w:r>
      <w:r w:rsidR="00190923" w:rsidRPr="00D97463">
        <w:t xml:space="preserve"> </w:t>
      </w:r>
      <w:r w:rsidRPr="00D97463">
        <w:t>existing</w:t>
      </w:r>
      <w:r w:rsidR="00190923" w:rsidRPr="00D97463">
        <w:t xml:space="preserve"> </w:t>
      </w:r>
      <w:r w:rsidRPr="00D97463">
        <w:t>at</w:t>
      </w:r>
      <w:r w:rsidR="00190923" w:rsidRPr="00D97463">
        <w:t xml:space="preserve"> </w:t>
      </w:r>
      <w:r w:rsidRPr="00D97463">
        <w:t>the</w:t>
      </w:r>
      <w:r w:rsidR="00190923" w:rsidRPr="00D97463">
        <w:t xml:space="preserve"> </w:t>
      </w:r>
      <w:r w:rsidRPr="00D97463">
        <w:t>time</w:t>
      </w:r>
      <w:r w:rsidR="00190923" w:rsidRPr="00D97463">
        <w:t xml:space="preserve"> </w:t>
      </w:r>
      <w:r w:rsidRPr="00D97463">
        <w:t>of</w:t>
      </w:r>
      <w:r w:rsidR="00190923" w:rsidRPr="00D97463">
        <w:t xml:space="preserve"> </w:t>
      </w:r>
      <w:r w:rsidRPr="00D97463">
        <w:t>the</w:t>
      </w:r>
      <w:r w:rsidR="00190923" w:rsidRPr="00D97463">
        <w:t xml:space="preserve"> </w:t>
      </w:r>
      <w:r w:rsidRPr="00D97463">
        <w:rPr>
          <w:i/>
          <w:iCs/>
        </w:rPr>
        <w:t>Maffezini</w:t>
      </w:r>
      <w:r w:rsidR="00190923" w:rsidRPr="00D97463">
        <w:t xml:space="preserve"> </w:t>
      </w:r>
      <w:r w:rsidRPr="00D97463">
        <w:t>decision</w:t>
      </w:r>
      <w:bookmarkEnd w:id="332"/>
      <w:bookmarkEnd w:id="333"/>
      <w:bookmarkEnd w:id="334"/>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195.</w:t>
      </w:r>
      <w:r w:rsidRPr="00981405">
        <w:tab/>
        <w:t>Aside</w:t>
      </w:r>
      <w:r w:rsidR="00190923" w:rsidRPr="00981405">
        <w:t xml:space="preserve"> </w:t>
      </w:r>
      <w:r w:rsidRPr="00981405">
        <w:t>from</w:t>
      </w:r>
      <w:r w:rsidR="00190923" w:rsidRPr="00981405">
        <w:t xml:space="preserve"> </w:t>
      </w:r>
      <w:r w:rsidRPr="00981405">
        <w:t>the</w:t>
      </w:r>
      <w:r w:rsidR="00190923" w:rsidRPr="00981405">
        <w:t xml:space="preserve"> </w:t>
      </w:r>
      <w:r w:rsidRPr="00981405">
        <w:t>different</w:t>
      </w:r>
      <w:r w:rsidR="00190923" w:rsidRPr="00981405">
        <w:t xml:space="preserve"> </w:t>
      </w:r>
      <w:r w:rsidRPr="00981405">
        <w:t>interpretative</w:t>
      </w:r>
      <w:r w:rsidR="00190923" w:rsidRPr="00981405">
        <w:t xml:space="preserve"> </w:t>
      </w:r>
      <w:r w:rsidRPr="00981405">
        <w:t>approaches</w:t>
      </w:r>
      <w:r w:rsidR="00190923" w:rsidRPr="00981405">
        <w:t xml:space="preserve"> </w:t>
      </w:r>
      <w:r w:rsidRPr="00981405">
        <w:t>already</w:t>
      </w:r>
      <w:r w:rsidR="00190923" w:rsidRPr="00981405">
        <w:t xml:space="preserve"> </w:t>
      </w:r>
      <w:r w:rsidRPr="00981405">
        <w:t>identified,</w:t>
      </w:r>
      <w:r w:rsidR="00190923" w:rsidRPr="00981405">
        <w:t xml:space="preserve"> </w:t>
      </w:r>
      <w:r w:rsidRPr="00981405">
        <w:t>there</w:t>
      </w:r>
      <w:r w:rsidR="00190923" w:rsidRPr="00981405">
        <w:t xml:space="preserve"> </w:t>
      </w:r>
      <w:r w:rsidRPr="00981405">
        <w:t>appears</w:t>
      </w:r>
      <w:r w:rsidR="00190923" w:rsidRPr="00981405">
        <w:t xml:space="preserve"> </w:t>
      </w:r>
      <w:r w:rsidRPr="00981405">
        <w:t>to</w:t>
      </w:r>
      <w:r w:rsidR="00190923" w:rsidRPr="00981405">
        <w:t xml:space="preserve"> </w:t>
      </w:r>
      <w:r w:rsidRPr="00981405">
        <w:t>be</w:t>
      </w:r>
      <w:r w:rsidR="00190923" w:rsidRPr="00981405">
        <w:t xml:space="preserve"> </w:t>
      </w:r>
      <w:r w:rsidRPr="00981405">
        <w:t>a</w:t>
      </w:r>
      <w:r w:rsidR="00190923" w:rsidRPr="00981405">
        <w:t xml:space="preserve"> </w:t>
      </w:r>
      <w:r w:rsidRPr="00981405">
        <w:t>certain</w:t>
      </w:r>
      <w:r w:rsidR="00190923" w:rsidRPr="00981405">
        <w:t xml:space="preserve"> </w:t>
      </w:r>
      <w:r w:rsidRPr="00981405">
        <w:t>commonality</w:t>
      </w:r>
      <w:r w:rsidR="00190923" w:rsidRPr="00981405">
        <w:t xml:space="preserve"> </w:t>
      </w:r>
      <w:r w:rsidRPr="00981405">
        <w:t>in</w:t>
      </w:r>
      <w:r w:rsidR="00190923" w:rsidRPr="00981405">
        <w:t xml:space="preserve"> </w:t>
      </w:r>
      <w:r w:rsidRPr="00981405">
        <w:t>the</w:t>
      </w:r>
      <w:r w:rsidR="00190923" w:rsidRPr="00981405">
        <w:t xml:space="preserve"> </w:t>
      </w:r>
      <w:r w:rsidRPr="00981405">
        <w:t>interpretation</w:t>
      </w:r>
      <w:r w:rsidR="00190923" w:rsidRPr="00981405">
        <w:t xml:space="preserve"> </w:t>
      </w:r>
      <w:r w:rsidRPr="00981405">
        <w:t>of</w:t>
      </w:r>
      <w:r w:rsidR="00190923" w:rsidRPr="00981405">
        <w:t xml:space="preserve"> </w:t>
      </w:r>
      <w:r w:rsidRPr="00981405">
        <w:t>certain</w:t>
      </w:r>
      <w:r w:rsidR="00190923" w:rsidRPr="00981405">
        <w:t xml:space="preserve"> </w:t>
      </w:r>
      <w:r w:rsidRPr="00981405">
        <w:t>types</w:t>
      </w:r>
      <w:r w:rsidR="00190923" w:rsidRPr="00981405">
        <w:t xml:space="preserve"> </w:t>
      </w:r>
      <w:r w:rsidRPr="00981405">
        <w:t>of</w:t>
      </w:r>
      <w:r w:rsidR="00190923" w:rsidRPr="00981405">
        <w:t xml:space="preserve"> </w:t>
      </w:r>
      <w:r w:rsidRPr="00981405">
        <w:t>wording</w:t>
      </w:r>
      <w:r w:rsidR="00190923" w:rsidRPr="00981405">
        <w:t xml:space="preserve"> </w:t>
      </w:r>
      <w:r w:rsidRPr="00981405">
        <w:t>in</w:t>
      </w:r>
      <w:r w:rsidR="00190923" w:rsidRPr="00981405">
        <w:t xml:space="preserve"> </w:t>
      </w:r>
      <w:r w:rsidRPr="00981405">
        <w:t>MFN</w:t>
      </w:r>
      <w:r w:rsidR="00190923" w:rsidRPr="00981405">
        <w:t xml:space="preserve"> </w:t>
      </w:r>
      <w:r w:rsidRPr="00981405">
        <w:t>clauses.</w:t>
      </w:r>
      <w:r w:rsidR="00190923" w:rsidRPr="00981405">
        <w:t xml:space="preserve"> </w:t>
      </w:r>
    </w:p>
    <w:p w:rsidR="00397032" w:rsidRPr="00981405" w:rsidRDefault="00397032" w:rsidP="00D97463">
      <w:pPr>
        <w:pStyle w:val="SingleTxt"/>
      </w:pPr>
      <w:r w:rsidRPr="00981405">
        <w:t>196.</w:t>
      </w:r>
      <w:r w:rsidRPr="00981405">
        <w:tab/>
        <w:t>First,</w:t>
      </w:r>
      <w:r w:rsidR="00190923" w:rsidRPr="00981405">
        <w:t xml:space="preserve"> </w:t>
      </w:r>
      <w:r w:rsidRPr="00981405">
        <w:t>where</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provides</w:t>
      </w:r>
      <w:r w:rsidR="00190923" w:rsidRPr="00981405">
        <w:t xml:space="preserve"> </w:t>
      </w:r>
      <w:r w:rsidRPr="00981405">
        <w:t>simply</w:t>
      </w:r>
      <w:r w:rsidR="00190923" w:rsidRPr="00981405">
        <w:t xml:space="preserve"> </w:t>
      </w:r>
      <w:r w:rsidRPr="00981405">
        <w:t>for</w:t>
      </w:r>
      <w:r w:rsidR="00190923" w:rsidRPr="00981405">
        <w:t xml:space="preserve"> </w:t>
      </w:r>
      <w:r w:rsidR="00B92E2C" w:rsidRPr="00981405">
        <w:t>“</w:t>
      </w:r>
      <w:r w:rsidRPr="00981405">
        <w:t>treatment</w:t>
      </w:r>
      <w:r w:rsidR="00190923" w:rsidRPr="00981405">
        <w:t xml:space="preserve"> </w:t>
      </w:r>
      <w:r w:rsidRPr="00981405">
        <w:t>no</w:t>
      </w:r>
      <w:r w:rsidR="00190923" w:rsidRPr="00981405">
        <w:t xml:space="preserve"> </w:t>
      </w:r>
      <w:r w:rsidRPr="00981405">
        <w:t>less</w:t>
      </w:r>
      <w:r w:rsidR="00190923" w:rsidRPr="00981405">
        <w:t xml:space="preserve"> </w:t>
      </w:r>
      <w:r w:rsidRPr="00981405">
        <w:t>favourable</w:t>
      </w:r>
      <w:r w:rsidR="00B92E2C" w:rsidRPr="00981405">
        <w:t>”</w:t>
      </w:r>
      <w:r w:rsidR="00190923" w:rsidRPr="00981405">
        <w:t xml:space="preserve"> </w:t>
      </w:r>
      <w:r w:rsidRPr="00981405">
        <w:t>without</w:t>
      </w:r>
      <w:r w:rsidR="00190923" w:rsidRPr="00981405">
        <w:t xml:space="preserve"> </w:t>
      </w:r>
      <w:r w:rsidRPr="00981405">
        <w:t>any</w:t>
      </w:r>
      <w:r w:rsidR="00190923" w:rsidRPr="00981405">
        <w:t xml:space="preserve"> </w:t>
      </w:r>
      <w:r w:rsidRPr="00981405">
        <w:t>qualification</w:t>
      </w:r>
      <w:r w:rsidR="00190923" w:rsidRPr="00981405">
        <w:t xml:space="preserve"> </w:t>
      </w:r>
      <w:r w:rsidRPr="00981405">
        <w:t>that</w:t>
      </w:r>
      <w:r w:rsidR="00190923" w:rsidRPr="00981405">
        <w:t xml:space="preserve"> </w:t>
      </w:r>
      <w:r w:rsidRPr="00981405">
        <w:t>arguably</w:t>
      </w:r>
      <w:r w:rsidR="00190923" w:rsidRPr="00981405">
        <w:t xml:space="preserve"> </w:t>
      </w:r>
      <w:r w:rsidRPr="00981405">
        <w:t>expands</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treatment</w:t>
      </w:r>
      <w:r w:rsidR="00190923" w:rsidRPr="00981405">
        <w:t xml:space="preserve"> </w:t>
      </w:r>
      <w:r w:rsidRPr="00981405">
        <w:t>to</w:t>
      </w:r>
      <w:r w:rsidR="00190923" w:rsidRPr="00981405">
        <w:t xml:space="preserve"> </w:t>
      </w:r>
      <w:r w:rsidRPr="00981405">
        <w:t>be</w:t>
      </w:r>
      <w:r w:rsidR="00190923" w:rsidRPr="00981405">
        <w:t xml:space="preserve"> </w:t>
      </w:r>
      <w:r w:rsidRPr="00981405">
        <w:t>accorded,</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invariably</w:t>
      </w:r>
      <w:r w:rsidR="00190923" w:rsidRPr="00981405">
        <w:t xml:space="preserve"> </w:t>
      </w:r>
      <w:r w:rsidRPr="00981405">
        <w:t>refused</w:t>
      </w:r>
      <w:r w:rsidR="00190923" w:rsidRPr="00981405">
        <w:t xml:space="preserve"> </w:t>
      </w:r>
      <w:r w:rsidRPr="00981405">
        <w:t>to</w:t>
      </w:r>
      <w:r w:rsidR="00190923" w:rsidRPr="00981405">
        <w:t xml:space="preserve"> </w:t>
      </w:r>
      <w:r w:rsidRPr="00981405">
        <w:t>interpret</w:t>
      </w:r>
      <w:r w:rsidR="00190923" w:rsidRPr="00981405">
        <w:t xml:space="preserve"> </w:t>
      </w:r>
      <w:r w:rsidRPr="00981405">
        <w:t>such</w:t>
      </w:r>
      <w:r w:rsidR="00190923" w:rsidRPr="00981405">
        <w:t xml:space="preserve"> </w:t>
      </w:r>
      <w:r w:rsidRPr="00981405">
        <w:t>a</w:t>
      </w:r>
      <w:r w:rsidR="00190923" w:rsidRPr="00981405">
        <w:t xml:space="preserve"> </w:t>
      </w:r>
      <w:r w:rsidRPr="00981405">
        <w:t>provision</w:t>
      </w:r>
      <w:r w:rsidR="00190923" w:rsidRPr="00981405">
        <w:t xml:space="preserve"> </w:t>
      </w:r>
      <w:r w:rsidRPr="00981405">
        <w:t>as</w:t>
      </w:r>
      <w:r w:rsidR="00190923" w:rsidRPr="00981405">
        <w:t xml:space="preserve"> </w:t>
      </w:r>
      <w:r w:rsidRPr="00981405">
        <w:t>including</w:t>
      </w:r>
      <w:r w:rsidR="00190923" w:rsidRPr="00981405">
        <w:t xml:space="preserve"> </w:t>
      </w:r>
      <w:r w:rsidRPr="00981405">
        <w:t>dispute</w:t>
      </w:r>
      <w:r w:rsidR="00190923" w:rsidRPr="00981405">
        <w:t xml:space="preserve"> </w:t>
      </w:r>
      <w:r w:rsidRPr="00981405">
        <w:t>settlement.</w:t>
      </w:r>
    </w:p>
    <w:p w:rsidR="00397032" w:rsidRPr="00981405" w:rsidRDefault="00397032" w:rsidP="00D97463">
      <w:pPr>
        <w:pStyle w:val="SingleTxt"/>
      </w:pPr>
      <w:r w:rsidRPr="00981405">
        <w:t>197.</w:t>
      </w:r>
      <w:r w:rsidRPr="00981405">
        <w:tab/>
        <w:t>Second,</w:t>
      </w:r>
      <w:r w:rsidR="00190923" w:rsidRPr="00981405">
        <w:t xml:space="preserve"> </w:t>
      </w:r>
      <w:r w:rsidRPr="00981405">
        <w:t>where</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contains</w:t>
      </w:r>
      <w:r w:rsidR="00190923" w:rsidRPr="00981405">
        <w:t xml:space="preserve"> </w:t>
      </w:r>
      <w:r w:rsidRPr="00981405">
        <w:t>clauses</w:t>
      </w:r>
      <w:r w:rsidR="00190923" w:rsidRPr="00981405">
        <w:t xml:space="preserve"> </w:t>
      </w:r>
      <w:r w:rsidRPr="00981405">
        <w:t>that</w:t>
      </w:r>
      <w:r w:rsidR="00190923" w:rsidRPr="00981405">
        <w:t xml:space="preserve"> </w:t>
      </w:r>
      <w:r w:rsidRPr="00981405">
        <w:t>refer</w:t>
      </w:r>
      <w:r w:rsidR="00190923" w:rsidRPr="00981405">
        <w:t xml:space="preserve"> </w:t>
      </w:r>
      <w:r w:rsidRPr="00981405">
        <w:t>to</w:t>
      </w:r>
      <w:r w:rsidR="00190923" w:rsidRPr="00981405">
        <w:t xml:space="preserve"> </w:t>
      </w:r>
      <w:r w:rsidR="00B92E2C" w:rsidRPr="00981405">
        <w:t>“</w:t>
      </w:r>
      <w:r w:rsidRPr="00981405">
        <w:t>all</w:t>
      </w:r>
      <w:r w:rsidR="00190923" w:rsidRPr="00981405">
        <w:t xml:space="preserve"> </w:t>
      </w:r>
      <w:r w:rsidRPr="00981405">
        <w:t>treatment</w:t>
      </w:r>
      <w:r w:rsidR="00B92E2C" w:rsidRPr="00981405">
        <w:t>”</w:t>
      </w:r>
      <w:r w:rsidR="00190923" w:rsidRPr="00981405">
        <w:t xml:space="preserve"> </w:t>
      </w:r>
      <w:r w:rsidRPr="00981405">
        <w:t>or</w:t>
      </w:r>
      <w:r w:rsidR="00190923" w:rsidRPr="00981405">
        <w:t xml:space="preserve"> </w:t>
      </w:r>
      <w:r w:rsidR="00B92E2C" w:rsidRPr="00981405">
        <w:t>“</w:t>
      </w:r>
      <w:r w:rsidRPr="00981405">
        <w:t>all</w:t>
      </w:r>
      <w:r w:rsidR="00190923" w:rsidRPr="00981405">
        <w:t xml:space="preserve"> </w:t>
      </w:r>
      <w:r w:rsidRPr="00981405">
        <w:t>matters</w:t>
      </w:r>
      <w:r w:rsidR="00B92E2C" w:rsidRPr="00981405">
        <w:t>”</w:t>
      </w:r>
      <w:r w:rsidR="00190923" w:rsidRPr="00981405">
        <w:t xml:space="preserve"> </w:t>
      </w:r>
      <w:r w:rsidRPr="00981405">
        <w:t>governed</w:t>
      </w:r>
      <w:r w:rsidR="00190923" w:rsidRPr="00981405">
        <w:t xml:space="preserve"> </w:t>
      </w:r>
      <w:r w:rsidRPr="00981405">
        <w:t>by</w:t>
      </w:r>
      <w:r w:rsidR="00190923" w:rsidRPr="00981405">
        <w:t xml:space="preserve"> </w:t>
      </w:r>
      <w:r w:rsidRPr="00981405">
        <w:t>the</w:t>
      </w:r>
      <w:r w:rsidR="00190923" w:rsidRPr="00981405">
        <w:t xml:space="preserve"> </w:t>
      </w:r>
      <w:r w:rsidRPr="00981405">
        <w:t>treaty,</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tended</w:t>
      </w:r>
      <w:r w:rsidR="00190923" w:rsidRPr="00981405">
        <w:t xml:space="preserve"> </w:t>
      </w:r>
      <w:r w:rsidRPr="00981405">
        <w:t>to</w:t>
      </w:r>
      <w:r w:rsidR="00190923" w:rsidRPr="00981405">
        <w:t xml:space="preserve"> </w:t>
      </w:r>
      <w:r w:rsidRPr="00981405">
        <w:t>accord</w:t>
      </w:r>
      <w:r w:rsidR="00190923" w:rsidRPr="00981405">
        <w:t xml:space="preserve"> </w:t>
      </w:r>
      <w:r w:rsidRPr="00981405">
        <w:t>a</w:t>
      </w:r>
      <w:r w:rsidR="00190923" w:rsidRPr="00981405">
        <w:t xml:space="preserve"> </w:t>
      </w:r>
      <w:r w:rsidRPr="00981405">
        <w:t>broad</w:t>
      </w:r>
      <w:r w:rsidR="00190923" w:rsidRPr="00981405">
        <w:t xml:space="preserve"> </w:t>
      </w:r>
      <w:r w:rsidRPr="00981405">
        <w:t>interpretation</w:t>
      </w:r>
      <w:r w:rsidR="00190923" w:rsidRPr="00981405">
        <w:t xml:space="preserve"> </w:t>
      </w:r>
      <w:r w:rsidRPr="00981405">
        <w:t>to</w:t>
      </w:r>
      <w:r w:rsidR="00190923" w:rsidRPr="00981405">
        <w:t xml:space="preserve"> </w:t>
      </w:r>
      <w:r w:rsidRPr="00981405">
        <w:t>these</w:t>
      </w:r>
      <w:r w:rsidR="00190923" w:rsidRPr="00981405">
        <w:t xml:space="preserve"> </w:t>
      </w:r>
      <w:r w:rsidRPr="00981405">
        <w:t>clauses,</w:t>
      </w:r>
      <w:r w:rsidR="00190923" w:rsidRPr="00981405">
        <w:t xml:space="preserve"> </w:t>
      </w:r>
      <w:r w:rsidRPr="00981405">
        <w:t>and</w:t>
      </w:r>
      <w:r w:rsidR="00190923" w:rsidRPr="00981405">
        <w:t xml:space="preserve"> </w:t>
      </w:r>
      <w:r w:rsidRPr="00981405">
        <w:t>to</w:t>
      </w:r>
      <w:r w:rsidR="00190923" w:rsidRPr="00981405">
        <w:t xml:space="preserve"> </w:t>
      </w:r>
      <w:r w:rsidRPr="00981405">
        <w:t>find</w:t>
      </w:r>
      <w:r w:rsidR="00190923" w:rsidRPr="00981405">
        <w:t xml:space="preserve"> </w:t>
      </w:r>
      <w:r w:rsidRPr="00981405">
        <w:t>that</w:t>
      </w:r>
      <w:r w:rsidR="00190923" w:rsidRPr="00981405">
        <w:t xml:space="preserve"> </w:t>
      </w:r>
      <w:r w:rsidRPr="00981405">
        <w:t>they</w:t>
      </w:r>
      <w:r w:rsidR="00190923" w:rsidRPr="00981405">
        <w:t xml:space="preserve"> </w:t>
      </w:r>
      <w:r w:rsidRPr="00981405">
        <w:t>apply</w:t>
      </w:r>
      <w:r w:rsidR="00190923" w:rsidRPr="00981405">
        <w:t xml:space="preserve"> </w:t>
      </w:r>
      <w:r w:rsidRPr="00981405">
        <w:t>to</w:t>
      </w:r>
      <w:r w:rsidR="00190923" w:rsidRPr="00981405">
        <w:t xml:space="preserve"> </w:t>
      </w:r>
      <w:r w:rsidRPr="00981405">
        <w:t>dispute</w:t>
      </w:r>
      <w:r w:rsidR="00190923" w:rsidRPr="00981405">
        <w:t xml:space="preserve"> </w:t>
      </w:r>
      <w:r w:rsidRPr="00981405">
        <w:t>resolution</w:t>
      </w:r>
      <w:r w:rsidR="00190923" w:rsidRPr="00981405">
        <w:t xml:space="preserve"> </w:t>
      </w:r>
      <w:r w:rsidRPr="00981405">
        <w:t>provisions.</w:t>
      </w:r>
      <w:r w:rsidR="00190923" w:rsidRPr="00981405">
        <w:t xml:space="preserve"> </w:t>
      </w:r>
      <w:r w:rsidRPr="00981405">
        <w:t>In</w:t>
      </w:r>
      <w:r w:rsidR="00190923" w:rsidRPr="00981405">
        <w:t xml:space="preserve"> </w:t>
      </w:r>
      <w:r w:rsidRPr="00981405">
        <w:t>only</w:t>
      </w:r>
      <w:r w:rsidR="00190923" w:rsidRPr="00981405">
        <w:t xml:space="preserve"> </w:t>
      </w:r>
      <w:r w:rsidRPr="00981405">
        <w:t>one</w:t>
      </w:r>
      <w:r w:rsidR="00190923" w:rsidRPr="00981405">
        <w:t xml:space="preserve"> </w:t>
      </w:r>
      <w:r w:rsidRPr="00981405">
        <w:t>case</w:t>
      </w:r>
      <w:r w:rsidR="00190923" w:rsidRPr="00981405">
        <w:t xml:space="preserve"> </w:t>
      </w:r>
      <w:r w:rsidRPr="00981405">
        <w:t>has</w:t>
      </w:r>
      <w:r w:rsidR="00190923" w:rsidRPr="00981405">
        <w:t xml:space="preserve"> </w:t>
      </w:r>
      <w:r w:rsidRPr="00981405">
        <w:t>a</w:t>
      </w:r>
      <w:r w:rsidR="00190923" w:rsidRPr="00981405">
        <w:t xml:space="preserve"> </w:t>
      </w:r>
      <w:r w:rsidRPr="00981405">
        <w:t>broadly</w:t>
      </w:r>
      <w:r w:rsidR="00190923" w:rsidRPr="00981405">
        <w:t xml:space="preserve"> </w:t>
      </w:r>
      <w:r w:rsidRPr="00981405">
        <w:t>worded</w:t>
      </w:r>
      <w:r w:rsidR="00190923" w:rsidRPr="00981405">
        <w:t xml:space="preserve"> </w:t>
      </w:r>
      <w:r w:rsidRPr="00981405">
        <w:t>clause</w:t>
      </w:r>
      <w:r w:rsidR="00190923" w:rsidRPr="00981405">
        <w:t xml:space="preserve"> </w:t>
      </w:r>
      <w:r w:rsidRPr="00981405">
        <w:t>not</w:t>
      </w:r>
      <w:r w:rsidR="00190923" w:rsidRPr="00981405">
        <w:t xml:space="preserve"> </w:t>
      </w:r>
      <w:r w:rsidRPr="00981405">
        <w:t>been</w:t>
      </w:r>
      <w:r w:rsidR="00190923" w:rsidRPr="00981405">
        <w:t xml:space="preserve"> </w:t>
      </w:r>
      <w:r w:rsidRPr="00981405">
        <w:t>treated</w:t>
      </w:r>
      <w:r w:rsidR="00190923" w:rsidRPr="00981405">
        <w:t xml:space="preserve"> </w:t>
      </w:r>
      <w:r w:rsidRPr="00981405">
        <w:t>as</w:t>
      </w:r>
      <w:r w:rsidR="00190923" w:rsidRPr="00981405">
        <w:t xml:space="preserve"> </w:t>
      </w:r>
      <w:r w:rsidRPr="00981405">
        <w:t>applying</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Pr="00981405">
        <w:rPr>
          <w:rStyle w:val="FootnoteReference"/>
        </w:rPr>
        <w:footnoteReference w:id="600"/>
      </w:r>
    </w:p>
    <w:p w:rsidR="00397032" w:rsidRPr="00981405" w:rsidRDefault="00397032" w:rsidP="00D97463">
      <w:pPr>
        <w:pStyle w:val="SingleTxt"/>
      </w:pPr>
      <w:r w:rsidRPr="00981405">
        <w:t>198.</w:t>
      </w:r>
      <w:r w:rsidRPr="00981405">
        <w:tab/>
        <w:t>Third,</w:t>
      </w:r>
      <w:r w:rsidR="00190923" w:rsidRPr="00981405">
        <w:t xml:space="preserve"> </w:t>
      </w:r>
      <w:r w:rsidRPr="00981405">
        <w:t>where</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qualifies</w:t>
      </w:r>
      <w:r w:rsidR="00190923" w:rsidRPr="00981405">
        <w:t xml:space="preserve"> </w:t>
      </w:r>
      <w:r w:rsidRPr="00981405">
        <w:t>the</w:t>
      </w:r>
      <w:r w:rsidR="00190923" w:rsidRPr="00981405">
        <w:t xml:space="preserve"> </w:t>
      </w:r>
      <w:r w:rsidRPr="00981405">
        <w:t>treatment</w:t>
      </w:r>
      <w:r w:rsidR="00190923" w:rsidRPr="00981405">
        <w:t xml:space="preserve"> </w:t>
      </w:r>
      <w:r w:rsidRPr="00981405">
        <w:t>to</w:t>
      </w:r>
      <w:r w:rsidR="00190923" w:rsidRPr="00981405">
        <w:t xml:space="preserve"> </w:t>
      </w:r>
      <w:r w:rsidRPr="00981405">
        <w:t>be</w:t>
      </w:r>
      <w:r w:rsidR="00190923" w:rsidRPr="00981405">
        <w:t xml:space="preserve"> </w:t>
      </w:r>
      <w:r w:rsidRPr="00981405">
        <w:t>received</w:t>
      </w:r>
      <w:r w:rsidR="00190923" w:rsidRPr="00981405">
        <w:t xml:space="preserve"> </w:t>
      </w:r>
      <w:r w:rsidRPr="00981405">
        <w:t>by</w:t>
      </w:r>
      <w:r w:rsidR="00190923" w:rsidRPr="00981405">
        <w:t xml:space="preserve"> </w:t>
      </w:r>
      <w:r w:rsidRPr="00981405">
        <w:t>reference</w:t>
      </w:r>
      <w:r w:rsidR="00190923" w:rsidRPr="00981405">
        <w:t xml:space="preserve"> </w:t>
      </w:r>
      <w:r w:rsidRPr="00981405">
        <w:t>to</w:t>
      </w:r>
      <w:r w:rsidR="00190923" w:rsidRPr="00981405">
        <w:t xml:space="preserve"> </w:t>
      </w:r>
      <w:r w:rsidR="00B92E2C" w:rsidRPr="00981405">
        <w:t>“</w:t>
      </w:r>
      <w:r w:rsidRPr="00981405">
        <w:t>use</w:t>
      </w:r>
      <w:r w:rsidR="00B92E2C" w:rsidRPr="00981405">
        <w:t>”</w:t>
      </w:r>
      <w:r w:rsidRPr="00981405">
        <w:t>,</w:t>
      </w:r>
      <w:r w:rsidR="00190923" w:rsidRPr="00981405">
        <w:t xml:space="preserve"> </w:t>
      </w:r>
      <w:r w:rsidR="00B92E2C" w:rsidRPr="00981405">
        <w:t>“</w:t>
      </w:r>
      <w:r w:rsidRPr="00981405">
        <w:t>management</w:t>
      </w:r>
      <w:r w:rsidR="00B92E2C" w:rsidRPr="00981405">
        <w:t>”</w:t>
      </w:r>
      <w:r w:rsidRPr="00981405">
        <w:t>,</w:t>
      </w:r>
      <w:r w:rsidR="00190923" w:rsidRPr="00981405">
        <w:t xml:space="preserve"> </w:t>
      </w:r>
      <w:r w:rsidR="00B92E2C" w:rsidRPr="00981405">
        <w:t>“</w:t>
      </w:r>
      <w:r w:rsidRPr="00981405">
        <w:t>maintenance</w:t>
      </w:r>
      <w:r w:rsidR="00B92E2C" w:rsidRPr="00981405">
        <w:t>”</w:t>
      </w:r>
      <w:r w:rsidRPr="00981405">
        <w:t>,</w:t>
      </w:r>
      <w:r w:rsidR="00190923" w:rsidRPr="00981405">
        <w:t xml:space="preserve"> </w:t>
      </w:r>
      <w:r w:rsidR="00B92E2C" w:rsidRPr="00981405">
        <w:t>“</w:t>
      </w:r>
      <w:r w:rsidRPr="00981405">
        <w:t>enjoyment</w:t>
      </w:r>
      <w:r w:rsidR="00B92E2C" w:rsidRPr="00981405">
        <w:t>”</w:t>
      </w:r>
      <w:r w:rsidRPr="00981405">
        <w:t>,</w:t>
      </w:r>
      <w:r w:rsidR="00190923" w:rsidRPr="00981405">
        <w:t xml:space="preserve"> </w:t>
      </w:r>
      <w:r w:rsidR="00B92E2C" w:rsidRPr="00981405">
        <w:t>“</w:t>
      </w:r>
      <w:r w:rsidRPr="00981405">
        <w:t>disposal</w:t>
      </w:r>
      <w:r w:rsidR="00B92E2C" w:rsidRPr="00981405">
        <w:t>”</w:t>
      </w:r>
      <w:r w:rsidRPr="00981405">
        <w:t>,</w:t>
      </w:r>
      <w:r w:rsidR="00190923" w:rsidRPr="00981405">
        <w:t xml:space="preserve"> </w:t>
      </w:r>
      <w:r w:rsidRPr="00981405">
        <w:t>and</w:t>
      </w:r>
      <w:r w:rsidR="00190923" w:rsidRPr="00981405">
        <w:t xml:space="preserve"> </w:t>
      </w:r>
      <w:r w:rsidR="00B92E2C" w:rsidRPr="00981405">
        <w:t>“</w:t>
      </w:r>
      <w:r w:rsidRPr="00981405">
        <w:t>utilization</w:t>
      </w:r>
      <w:r w:rsidR="00B92E2C" w:rsidRPr="00981405">
        <w:t>”</w:t>
      </w:r>
      <w:r w:rsidRPr="00981405">
        <w:t>,</w:t>
      </w:r>
      <w:r w:rsidR="00190923" w:rsidRPr="00981405">
        <w:t xml:space="preserve"> </w:t>
      </w:r>
      <w:r w:rsidRPr="00981405">
        <w:t>a</w:t>
      </w:r>
      <w:r w:rsidR="00190923" w:rsidRPr="00981405">
        <w:t xml:space="preserve"> </w:t>
      </w:r>
      <w:r w:rsidRPr="00981405">
        <w:t>majority</w:t>
      </w:r>
      <w:r w:rsidR="00190923" w:rsidRPr="00981405">
        <w:t xml:space="preserve"> </w:t>
      </w:r>
      <w:r w:rsidRPr="00981405">
        <w:t>of</w:t>
      </w:r>
      <w:r w:rsidR="00190923" w:rsidRPr="00981405">
        <w:t xml:space="preserve"> </w:t>
      </w:r>
      <w:r w:rsidRPr="00981405">
        <w:t>tribunals</w:t>
      </w:r>
      <w:r w:rsidR="00190923" w:rsidRPr="00981405">
        <w:t xml:space="preserve"> </w:t>
      </w:r>
      <w:r w:rsidRPr="00981405">
        <w:t>have</w:t>
      </w:r>
      <w:r w:rsidR="00190923" w:rsidRPr="00981405">
        <w:t xml:space="preserve"> </w:t>
      </w:r>
      <w:r w:rsidRPr="00981405">
        <w:t>found</w:t>
      </w:r>
      <w:r w:rsidR="00190923" w:rsidRPr="00981405">
        <w:t xml:space="preserve"> </w:t>
      </w:r>
      <w:r w:rsidRPr="00981405">
        <w:t>that</w:t>
      </w:r>
      <w:r w:rsidR="00190923" w:rsidRPr="00981405">
        <w:t xml:space="preserve"> </w:t>
      </w:r>
      <w:r w:rsidRPr="00981405">
        <w:t>such</w:t>
      </w:r>
      <w:r w:rsidR="00190923" w:rsidRPr="00981405">
        <w:t xml:space="preserve"> </w:t>
      </w:r>
      <w:r w:rsidRPr="00981405">
        <w:t>clauses</w:t>
      </w:r>
      <w:r w:rsidR="00190923" w:rsidRPr="00981405">
        <w:t xml:space="preserve"> </w:t>
      </w:r>
      <w:r w:rsidRPr="00981405">
        <w:t>are</w:t>
      </w:r>
      <w:r w:rsidR="00190923" w:rsidRPr="00981405">
        <w:t xml:space="preserve"> </w:t>
      </w:r>
      <w:r w:rsidRPr="00981405">
        <w:t>broad</w:t>
      </w:r>
      <w:r w:rsidR="00190923" w:rsidRPr="00981405">
        <w:t xml:space="preserve"> </w:t>
      </w:r>
      <w:r w:rsidRPr="00981405">
        <w:t>enough</w:t>
      </w:r>
      <w:r w:rsidR="00190923" w:rsidRPr="00981405">
        <w:t xml:space="preserve"> </w:t>
      </w:r>
      <w:r w:rsidRPr="00981405">
        <w:t>to</w:t>
      </w:r>
      <w:r w:rsidR="00190923" w:rsidRPr="00981405">
        <w:t xml:space="preserve"> </w:t>
      </w:r>
      <w:r w:rsidRPr="00981405">
        <w:t>include</w:t>
      </w:r>
      <w:r w:rsidR="00190923" w:rsidRPr="00981405">
        <w:t xml:space="preserve"> </w:t>
      </w:r>
      <w:r w:rsidRPr="00981405">
        <w:t>dispute</w:t>
      </w:r>
      <w:r w:rsidR="00190923" w:rsidRPr="00981405">
        <w:t xml:space="preserve"> </w:t>
      </w:r>
      <w:r w:rsidRPr="00981405">
        <w:t>resolution</w:t>
      </w:r>
      <w:r w:rsidR="00190923" w:rsidRPr="00981405">
        <w:t xml:space="preserve"> </w:t>
      </w:r>
      <w:r w:rsidRPr="00981405">
        <w:t>provisions.</w:t>
      </w:r>
    </w:p>
    <w:p w:rsidR="00397032" w:rsidRPr="00981405" w:rsidRDefault="00397032" w:rsidP="00D97463">
      <w:pPr>
        <w:pStyle w:val="SingleTxt"/>
      </w:pPr>
      <w:r w:rsidRPr="00981405">
        <w:t>199.</w:t>
      </w:r>
      <w:r w:rsidRPr="00981405">
        <w:tab/>
        <w:t>Fourth,</w:t>
      </w:r>
      <w:r w:rsidR="00190923" w:rsidRPr="00981405">
        <w:t xml:space="preserve"> </w:t>
      </w:r>
      <w:r w:rsidRPr="00981405">
        <w:t>in</w:t>
      </w:r>
      <w:r w:rsidR="00190923" w:rsidRPr="00981405">
        <w:t xml:space="preserve"> </w:t>
      </w:r>
      <w:r w:rsidRPr="00981405">
        <w:t>the</w:t>
      </w:r>
      <w:r w:rsidR="00190923" w:rsidRPr="00981405">
        <w:t xml:space="preserve"> </w:t>
      </w:r>
      <w:r w:rsidRPr="00981405">
        <w:t>two</w:t>
      </w:r>
      <w:r w:rsidR="00190923" w:rsidRPr="00981405">
        <w:t xml:space="preserve"> </w:t>
      </w:r>
      <w:r w:rsidRPr="00981405">
        <w:t>cases</w:t>
      </w:r>
      <w:r w:rsidR="00190923" w:rsidRPr="00981405">
        <w:t xml:space="preserve"> </w:t>
      </w:r>
      <w:r w:rsidRPr="00981405">
        <w:t>which</w:t>
      </w:r>
      <w:r w:rsidR="00190923" w:rsidRPr="00981405">
        <w:t xml:space="preserve"> </w:t>
      </w:r>
      <w:r w:rsidRPr="00981405">
        <w:t>link</w:t>
      </w:r>
      <w:r w:rsidR="00190923" w:rsidRPr="00981405">
        <w:t xml:space="preserve"> </w:t>
      </w:r>
      <w:r w:rsidRPr="00981405">
        <w:t>MFN</w:t>
      </w:r>
      <w:r w:rsidR="00190923" w:rsidRPr="00981405">
        <w:t xml:space="preserve"> </w:t>
      </w:r>
      <w:r w:rsidRPr="00981405">
        <w:t>directly</w:t>
      </w:r>
      <w:r w:rsidR="00190923" w:rsidRPr="00981405">
        <w:t xml:space="preserve"> </w:t>
      </w:r>
      <w:r w:rsidRPr="00981405">
        <w:t>to</w:t>
      </w:r>
      <w:r w:rsidR="00190923" w:rsidRPr="00981405">
        <w:t xml:space="preserve"> </w:t>
      </w:r>
      <w:r w:rsidRPr="00981405">
        <w:t>fair</w:t>
      </w:r>
      <w:r w:rsidR="00190923" w:rsidRPr="00981405">
        <w:t xml:space="preserve"> </w:t>
      </w:r>
      <w:r w:rsidRPr="00981405">
        <w:t>and</w:t>
      </w:r>
      <w:r w:rsidR="00190923" w:rsidRPr="00981405">
        <w:t xml:space="preserve"> </w:t>
      </w:r>
      <w:r w:rsidRPr="00981405">
        <w:t>equitable</w:t>
      </w:r>
      <w:r w:rsidR="00190923" w:rsidRPr="00981405">
        <w:t xml:space="preserve"> </w:t>
      </w:r>
      <w:r w:rsidRPr="00981405">
        <w:t>treatment,</w:t>
      </w:r>
      <w:r w:rsidR="00190923" w:rsidRPr="00981405">
        <w:t xml:space="preserve"> </w:t>
      </w:r>
      <w:r w:rsidRPr="00981405">
        <w:t>neither</w:t>
      </w:r>
      <w:r w:rsidR="00190923" w:rsidRPr="00981405">
        <w:t xml:space="preserve"> </w:t>
      </w:r>
      <w:r w:rsidRPr="00981405">
        <w:t>tribunal</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clause</w:t>
      </w:r>
      <w:r w:rsidR="00190923" w:rsidRPr="00981405">
        <w:t xml:space="preserve"> </w:t>
      </w:r>
      <w:r w:rsidRPr="00981405">
        <w:t>covers</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p>
    <w:p w:rsidR="00397032" w:rsidRPr="00981405" w:rsidRDefault="00397032" w:rsidP="00D97463">
      <w:pPr>
        <w:pStyle w:val="SingleTxt"/>
      </w:pPr>
      <w:r w:rsidRPr="00981405">
        <w:lastRenderedPageBreak/>
        <w:t>200.</w:t>
      </w:r>
      <w:r w:rsidRPr="00981405">
        <w:tab/>
        <w:t>Fifth,</w:t>
      </w:r>
      <w:r w:rsidR="00190923" w:rsidRPr="00981405">
        <w:t xml:space="preserve"> </w:t>
      </w:r>
      <w:r w:rsidRPr="00981405">
        <w:t>in</w:t>
      </w:r>
      <w:r w:rsidR="00190923" w:rsidRPr="00981405">
        <w:t xml:space="preserve"> </w:t>
      </w:r>
      <w:r w:rsidRPr="00981405">
        <w:t>the</w:t>
      </w:r>
      <w:r w:rsidR="00190923" w:rsidRPr="00981405">
        <w:t xml:space="preserve"> </w:t>
      </w:r>
      <w:r w:rsidRPr="00981405">
        <w:t>cases</w:t>
      </w:r>
      <w:r w:rsidR="00190923" w:rsidRPr="00981405">
        <w:t xml:space="preserve"> </w:t>
      </w:r>
      <w:r w:rsidRPr="00981405">
        <w:t>where</w:t>
      </w:r>
      <w:r w:rsidR="00190923" w:rsidRPr="00981405">
        <w:t xml:space="preserve"> </w:t>
      </w:r>
      <w:r w:rsidRPr="00981405">
        <w:t>a</w:t>
      </w:r>
      <w:r w:rsidR="00190923" w:rsidRPr="00981405">
        <w:t xml:space="preserve"> </w:t>
      </w:r>
      <w:r w:rsidRPr="00981405">
        <w:t>territorial</w:t>
      </w:r>
      <w:r w:rsidR="00190923" w:rsidRPr="00981405">
        <w:t xml:space="preserve"> </w:t>
      </w:r>
      <w:r w:rsidRPr="00981405">
        <w:t>limitation</w:t>
      </w:r>
      <w:r w:rsidR="00190923" w:rsidRPr="00981405">
        <w:t xml:space="preserve"> </w:t>
      </w:r>
      <w:r w:rsidRPr="00981405">
        <w:t>has</w:t>
      </w:r>
      <w:r w:rsidR="00190923" w:rsidRPr="00981405">
        <w:t xml:space="preserve"> </w:t>
      </w:r>
      <w:r w:rsidRPr="00981405">
        <w:t>been</w:t>
      </w:r>
      <w:r w:rsidR="00190923" w:rsidRPr="00981405">
        <w:t xml:space="preserve"> </w:t>
      </w:r>
      <w:r w:rsidRPr="00981405">
        <w:t>placed</w:t>
      </w:r>
      <w:r w:rsidR="00190923" w:rsidRPr="00981405">
        <w:t xml:space="preserve"> </w:t>
      </w:r>
      <w:r w:rsidRPr="00981405">
        <w:t>on</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00190923" w:rsidRPr="00981405">
        <w:t xml:space="preserve"> </w:t>
      </w:r>
      <w:r w:rsidRPr="00981405">
        <w:t>the</w:t>
      </w:r>
      <w:r w:rsidR="00190923" w:rsidRPr="00981405">
        <w:t xml:space="preserve"> </w:t>
      </w:r>
      <w:r w:rsidRPr="00981405">
        <w:t>result</w:t>
      </w:r>
      <w:r w:rsidR="00190923" w:rsidRPr="00981405">
        <w:t xml:space="preserve"> </w:t>
      </w:r>
      <w:r w:rsidRPr="00981405">
        <w:t>has</w:t>
      </w:r>
      <w:r w:rsidR="00190923" w:rsidRPr="00981405">
        <w:t xml:space="preserve"> </w:t>
      </w:r>
      <w:r w:rsidRPr="00981405">
        <w:t>been</w:t>
      </w:r>
      <w:r w:rsidR="00190923" w:rsidRPr="00981405">
        <w:t xml:space="preserve"> </w:t>
      </w:r>
      <w:r w:rsidRPr="00981405">
        <w:t>mixed.</w:t>
      </w:r>
      <w:r w:rsidR="00190923" w:rsidRPr="00981405">
        <w:t xml:space="preserve"> </w:t>
      </w:r>
      <w:r w:rsidRPr="00981405">
        <w:t>Some</w:t>
      </w:r>
      <w:r w:rsidR="00190923" w:rsidRPr="00981405">
        <w:t xml:space="preserve"> </w:t>
      </w:r>
      <w:r w:rsidRPr="00981405">
        <w:t>cases</w:t>
      </w:r>
      <w:r w:rsidR="00190923" w:rsidRPr="00981405">
        <w:t xml:space="preserve"> </w:t>
      </w:r>
      <w:r w:rsidRPr="00981405">
        <w:t>have</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territorial</w:t>
      </w:r>
      <w:r w:rsidR="00190923" w:rsidRPr="00981405">
        <w:t xml:space="preserve"> </w:t>
      </w:r>
      <w:r w:rsidRPr="00981405">
        <w:t>limitation</w:t>
      </w:r>
      <w:r w:rsidR="00190923" w:rsidRPr="00981405">
        <w:t xml:space="preserve"> </w:t>
      </w:r>
      <w:r w:rsidRPr="00981405">
        <w:t>is</w:t>
      </w:r>
      <w:r w:rsidR="00190923" w:rsidRPr="00981405">
        <w:t xml:space="preserve"> </w:t>
      </w:r>
      <w:r w:rsidRPr="00981405">
        <w:t>irrelevant</w:t>
      </w:r>
      <w:r w:rsidR="00190923" w:rsidRPr="00981405">
        <w:t xml:space="preserve"> </w:t>
      </w:r>
      <w:r w:rsidRPr="00981405">
        <w:t>to</w:t>
      </w:r>
      <w:r w:rsidR="00190923" w:rsidRPr="00981405">
        <w:t xml:space="preserve"> </w:t>
      </w:r>
      <w:r w:rsidRPr="00981405">
        <w:t>deciding</w:t>
      </w:r>
      <w:r w:rsidR="00190923" w:rsidRPr="00981405">
        <w:t xml:space="preserve"> </w:t>
      </w:r>
      <w:r w:rsidRPr="00981405">
        <w:t>whether</w:t>
      </w:r>
      <w:r w:rsidR="00190923" w:rsidRPr="00981405">
        <w:t xml:space="preserve"> </w:t>
      </w:r>
      <w:r w:rsidRPr="00981405">
        <w:t>dispute</w:t>
      </w:r>
      <w:r w:rsidR="00190923" w:rsidRPr="00981405">
        <w:t xml:space="preserve"> </w:t>
      </w:r>
      <w:r w:rsidRPr="00981405">
        <w:t>resolution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concerned,</w:t>
      </w:r>
      <w:r w:rsidRPr="00981405">
        <w:rPr>
          <w:rStyle w:val="FootnoteReference"/>
        </w:rPr>
        <w:footnoteReference w:id="601"/>
      </w:r>
      <w:r w:rsidR="00190923" w:rsidRPr="00981405">
        <w:t xml:space="preserve"> </w:t>
      </w:r>
      <w:r w:rsidRPr="00981405">
        <w:t>while</w:t>
      </w:r>
      <w:r w:rsidR="00190923" w:rsidRPr="00981405">
        <w:t xml:space="preserve"> </w:t>
      </w:r>
      <w:r w:rsidRPr="00981405">
        <w:t>others</w:t>
      </w:r>
      <w:r w:rsidR="00190923" w:rsidRPr="00981405">
        <w:t xml:space="preserve"> </w:t>
      </w:r>
      <w:r w:rsidRPr="00981405">
        <w:t>have</w:t>
      </w:r>
      <w:r w:rsidR="00190923" w:rsidRPr="00981405">
        <w:t xml:space="preserve"> </w:t>
      </w:r>
      <w:r w:rsidRPr="00981405">
        <w:t>held</w:t>
      </w:r>
      <w:r w:rsidR="00190923" w:rsidRPr="00981405">
        <w:t xml:space="preserve"> </w:t>
      </w:r>
      <w:r w:rsidRPr="00981405">
        <w:t>that</w:t>
      </w:r>
      <w:r w:rsidR="00190923" w:rsidRPr="00981405">
        <w:t xml:space="preserve"> </w:t>
      </w:r>
      <w:r w:rsidRPr="00981405">
        <w:t>a</w:t>
      </w:r>
      <w:r w:rsidR="00190923" w:rsidRPr="00981405">
        <w:t xml:space="preserve"> </w:t>
      </w:r>
      <w:r w:rsidRPr="00981405">
        <w:t>territorial</w:t>
      </w:r>
      <w:r w:rsidR="00190923" w:rsidRPr="00981405">
        <w:t xml:space="preserve"> </w:t>
      </w:r>
      <w:r w:rsidRPr="00981405">
        <w:t>limitation</w:t>
      </w:r>
      <w:r w:rsidR="00190923" w:rsidRPr="00981405">
        <w:t xml:space="preserve"> </w:t>
      </w:r>
      <w:r w:rsidRPr="00981405">
        <w:t>clause</w:t>
      </w:r>
      <w:r w:rsidR="00190923" w:rsidRPr="00981405">
        <w:t xml:space="preserve"> </w:t>
      </w:r>
      <w:r w:rsidRPr="00981405">
        <w:t>prevents</w:t>
      </w:r>
      <w:r w:rsidR="00190923" w:rsidRPr="00981405">
        <w:t xml:space="preserve"> </w:t>
      </w:r>
      <w:r w:rsidRPr="00981405">
        <w:t>the</w:t>
      </w:r>
      <w:r w:rsidR="00190923" w:rsidRPr="00981405">
        <w:t xml:space="preserve"> </w:t>
      </w:r>
      <w:r w:rsidRPr="00981405">
        <w:t>inclusion</w:t>
      </w:r>
      <w:r w:rsidR="00190923" w:rsidRPr="00981405">
        <w:t xml:space="preserve"> </w:t>
      </w:r>
      <w:r w:rsidRPr="00981405">
        <w:t>of</w:t>
      </w:r>
      <w:r w:rsidR="00190923" w:rsidRPr="00981405">
        <w:t xml:space="preserve"> </w:t>
      </w:r>
      <w:r w:rsidRPr="00981405">
        <w:t>international</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within</w:t>
      </w:r>
      <w:r w:rsidR="00190923" w:rsidRPr="00981405">
        <w:t xml:space="preserve"> </w:t>
      </w:r>
      <w:r w:rsidRPr="00981405">
        <w:t>an</w:t>
      </w:r>
      <w:r w:rsidR="00190923" w:rsidRPr="00981405">
        <w:t xml:space="preserve"> </w:t>
      </w:r>
      <w:r w:rsidRPr="00981405">
        <w:t>MFN</w:t>
      </w:r>
      <w:r w:rsidR="00190923" w:rsidRPr="00981405">
        <w:t xml:space="preserve"> </w:t>
      </w:r>
      <w:r w:rsidRPr="00981405">
        <w:t>clause.</w:t>
      </w:r>
      <w:r w:rsidRPr="00981405">
        <w:rPr>
          <w:rStyle w:val="FootnoteReference"/>
        </w:rPr>
        <w:footnoteReference w:id="602"/>
      </w:r>
    </w:p>
    <w:p w:rsidR="00397032" w:rsidRPr="00981405" w:rsidRDefault="00397032" w:rsidP="00D97463">
      <w:pPr>
        <w:pStyle w:val="SingleTxt"/>
      </w:pPr>
      <w:r w:rsidRPr="00981405">
        <w:t>201.</w:t>
      </w:r>
      <w:r w:rsidRPr="00981405">
        <w:tab/>
        <w:t>Sixth,</w:t>
      </w:r>
      <w:r w:rsidR="00190923" w:rsidRPr="00981405">
        <w:t xml:space="preserve"> </w:t>
      </w:r>
      <w:r w:rsidRPr="00981405">
        <w:t>in</w:t>
      </w:r>
      <w:r w:rsidR="00190923" w:rsidRPr="00981405">
        <w:t xml:space="preserve"> </w:t>
      </w:r>
      <w:r w:rsidRPr="00981405">
        <w:t>no</w:t>
      </w:r>
      <w:r w:rsidR="00190923" w:rsidRPr="00981405">
        <w:t xml:space="preserve"> </w:t>
      </w:r>
      <w:r w:rsidRPr="00981405">
        <w:t>case</w:t>
      </w:r>
      <w:r w:rsidR="00190923" w:rsidRPr="00981405">
        <w:t xml:space="preserve"> </w:t>
      </w:r>
      <w:r w:rsidRPr="00981405">
        <w:t>where</w:t>
      </w:r>
      <w:r w:rsidR="00190923" w:rsidRPr="00981405">
        <w:t xml:space="preserve"> </w:t>
      </w:r>
      <w:r w:rsidRPr="00981405">
        <w:t>MFN</w:t>
      </w:r>
      <w:r w:rsidR="00190923" w:rsidRPr="00981405">
        <w:t xml:space="preserve"> </w:t>
      </w:r>
      <w:r w:rsidRPr="00981405">
        <w:t>clauses</w:t>
      </w:r>
      <w:r w:rsidR="00190923" w:rsidRPr="00981405">
        <w:t xml:space="preserve"> </w:t>
      </w:r>
      <w:r w:rsidRPr="00981405">
        <w:t>limit</w:t>
      </w:r>
      <w:r w:rsidR="00190923" w:rsidRPr="00981405">
        <w:t xml:space="preserve"> </w:t>
      </w:r>
      <w:r w:rsidRPr="00981405">
        <w:t>their</w:t>
      </w:r>
      <w:r w:rsidR="00190923" w:rsidRPr="00981405">
        <w:t xml:space="preserve"> </w:t>
      </w:r>
      <w:r w:rsidRPr="00981405">
        <w:t>application</w:t>
      </w:r>
      <w:r w:rsidR="00190923" w:rsidRPr="00981405">
        <w:t xml:space="preserve"> </w:t>
      </w:r>
      <w:r w:rsidRPr="00981405">
        <w:t>to</w:t>
      </w:r>
      <w:r w:rsidR="00190923" w:rsidRPr="00981405">
        <w:t xml:space="preserve"> </w:t>
      </w:r>
      <w:r w:rsidRPr="00981405">
        <w:t>investors</w:t>
      </w:r>
      <w:r w:rsidR="00190923" w:rsidRPr="00981405">
        <w:t xml:space="preserve"> </w:t>
      </w:r>
      <w:r w:rsidRPr="00981405">
        <w:t>or</w:t>
      </w:r>
      <w:r w:rsidR="00190923" w:rsidRPr="00981405">
        <w:t xml:space="preserve"> </w:t>
      </w:r>
      <w:r w:rsidRPr="00981405">
        <w:t>investments</w:t>
      </w:r>
      <w:r w:rsidR="00190923" w:rsidRPr="00981405">
        <w:t xml:space="preserve"> </w:t>
      </w:r>
      <w:r w:rsidR="00B92E2C" w:rsidRPr="00981405">
        <w:t>“</w:t>
      </w:r>
      <w:r w:rsidRPr="00981405">
        <w:t>in</w:t>
      </w:r>
      <w:r w:rsidR="00190923" w:rsidRPr="00981405">
        <w:t xml:space="preserve"> </w:t>
      </w:r>
      <w:r w:rsidRPr="00981405">
        <w:t>like</w:t>
      </w:r>
      <w:r w:rsidR="00190923" w:rsidRPr="00981405">
        <w:t xml:space="preserve"> </w:t>
      </w:r>
      <w:r w:rsidRPr="00981405">
        <w:t>circumstances</w:t>
      </w:r>
      <w:r w:rsidR="00B92E2C" w:rsidRPr="00981405">
        <w:t>”</w:t>
      </w:r>
      <w:r w:rsidR="00190923" w:rsidRPr="00981405">
        <w:t xml:space="preserve"> </w:t>
      </w:r>
      <w:r w:rsidRPr="00981405">
        <w:t>or</w:t>
      </w:r>
      <w:r w:rsidR="00190923" w:rsidRPr="00981405">
        <w:t xml:space="preserve"> </w:t>
      </w:r>
      <w:r w:rsidR="00B92E2C" w:rsidRPr="00981405">
        <w:t>“</w:t>
      </w:r>
      <w:r w:rsidRPr="00981405">
        <w:t>in</w:t>
      </w:r>
      <w:r w:rsidR="00190923" w:rsidRPr="00981405">
        <w:t xml:space="preserve"> </w:t>
      </w:r>
      <w:r w:rsidRPr="00981405">
        <w:t>similar</w:t>
      </w:r>
      <w:r w:rsidR="00190923" w:rsidRPr="00981405">
        <w:t xml:space="preserve"> </w:t>
      </w:r>
      <w:r w:rsidRPr="00981405">
        <w:t>situations</w:t>
      </w:r>
      <w:r w:rsidR="00B92E2C" w:rsidRPr="00981405">
        <w:t>”</w:t>
      </w:r>
      <w:r w:rsidR="00190923" w:rsidRPr="00981405">
        <w:t xml:space="preserve"> </w:t>
      </w:r>
      <w:r w:rsidRPr="00981405">
        <w:t>has</w:t>
      </w:r>
      <w:r w:rsidR="00190923" w:rsidRPr="00981405">
        <w:t xml:space="preserve"> </w:t>
      </w:r>
      <w:r w:rsidRPr="00981405">
        <w:t>a</w:t>
      </w:r>
      <w:r w:rsidR="00190923" w:rsidRPr="00981405">
        <w:t xml:space="preserve"> </w:t>
      </w:r>
      <w:r w:rsidRPr="00981405">
        <w:t>tribunal</w:t>
      </w:r>
      <w:r w:rsidR="00190923" w:rsidRPr="00981405">
        <w:t xml:space="preserve"> </w:t>
      </w:r>
      <w:r w:rsidRPr="00981405">
        <w:t>treated</w:t>
      </w:r>
      <w:r w:rsidR="00190923" w:rsidRPr="00981405">
        <w:t xml:space="preserve"> </w:t>
      </w:r>
      <w:r w:rsidRPr="00981405">
        <w:t>as</w:t>
      </w:r>
      <w:r w:rsidR="00190923" w:rsidRPr="00981405">
        <w:t xml:space="preserve"> </w:t>
      </w:r>
      <w:r w:rsidRPr="00981405">
        <w:t>relevant</w:t>
      </w:r>
      <w:r w:rsidR="00190923" w:rsidRPr="00981405">
        <w:t xml:space="preserve"> </w:t>
      </w:r>
      <w:r w:rsidRPr="00981405">
        <w:t>the</w:t>
      </w:r>
      <w:r w:rsidR="00190923" w:rsidRPr="00981405">
        <w:t xml:space="preserve"> </w:t>
      </w:r>
      <w:r w:rsidRPr="00981405">
        <w:t>question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the</w:t>
      </w:r>
      <w:r w:rsidR="00190923" w:rsidRPr="00981405">
        <w:t xml:space="preserve"> </w:t>
      </w:r>
      <w:r w:rsidRPr="00981405">
        <w:t>clause</w:t>
      </w:r>
      <w:r w:rsidR="00190923" w:rsidRPr="00981405">
        <w:t xml:space="preserve"> </w:t>
      </w:r>
      <w:r w:rsidRPr="00981405">
        <w:t>applies</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p>
    <w:p w:rsidR="00397032" w:rsidRPr="00981405" w:rsidRDefault="00397032" w:rsidP="00D97463">
      <w:pPr>
        <w:pStyle w:val="SingleTxt"/>
      </w:pPr>
      <w:r w:rsidRPr="00981405">
        <w:t>202.</w:t>
      </w:r>
      <w:r w:rsidRPr="00981405">
        <w:tab/>
        <w:t>Such</w:t>
      </w:r>
      <w:r w:rsidR="00190923" w:rsidRPr="00981405">
        <w:t xml:space="preserve"> </w:t>
      </w:r>
      <w:r w:rsidRPr="00981405">
        <w:t>an</w:t>
      </w:r>
      <w:r w:rsidR="00190923" w:rsidRPr="00981405">
        <w:t xml:space="preserve"> </w:t>
      </w:r>
      <w:r w:rsidRPr="00981405">
        <w:t>analysis</w:t>
      </w:r>
      <w:r w:rsidR="00190923" w:rsidRPr="00981405">
        <w:t xml:space="preserve"> </w:t>
      </w:r>
      <w:r w:rsidRPr="00981405">
        <w:t>indicates</w:t>
      </w:r>
      <w:r w:rsidR="00190923" w:rsidRPr="00981405">
        <w:t xml:space="preserve"> </w:t>
      </w:r>
      <w:r w:rsidRPr="00981405">
        <w:t>past</w:t>
      </w:r>
      <w:r w:rsidR="00190923" w:rsidRPr="00981405">
        <w:t xml:space="preserve"> </w:t>
      </w:r>
      <w:r w:rsidRPr="00981405">
        <w:t>practice,</w:t>
      </w:r>
      <w:r w:rsidR="00190923" w:rsidRPr="00981405">
        <w:t xml:space="preserve"> </w:t>
      </w:r>
      <w:r w:rsidRPr="00981405">
        <w:t>and</w:t>
      </w:r>
      <w:r w:rsidR="00190923" w:rsidRPr="00981405">
        <w:t xml:space="preserve"> </w:t>
      </w:r>
      <w:r w:rsidRPr="00981405">
        <w:t>does</w:t>
      </w:r>
      <w:r w:rsidR="00190923" w:rsidRPr="00981405">
        <w:t xml:space="preserve"> </w:t>
      </w:r>
      <w:r w:rsidRPr="00981405">
        <w:t>not</w:t>
      </w:r>
      <w:r w:rsidR="00190923" w:rsidRPr="00981405">
        <w:t xml:space="preserve"> </w:t>
      </w:r>
      <w:r w:rsidRPr="00981405">
        <w:t>constitute</w:t>
      </w:r>
      <w:r w:rsidR="00190923" w:rsidRPr="00981405">
        <w:t xml:space="preserve"> </w:t>
      </w:r>
      <w:r w:rsidRPr="00981405">
        <w:t>a</w:t>
      </w:r>
      <w:r w:rsidR="00190923" w:rsidRPr="00981405">
        <w:t xml:space="preserve"> </w:t>
      </w:r>
      <w:r w:rsidRPr="00981405">
        <w:t>statement</w:t>
      </w:r>
      <w:r w:rsidR="00190923" w:rsidRPr="00981405">
        <w:t xml:space="preserve"> </w:t>
      </w:r>
      <w:r w:rsidRPr="00981405">
        <w:t>about</w:t>
      </w:r>
      <w:r w:rsidR="00190923" w:rsidRPr="00981405">
        <w:t xml:space="preserve"> </w:t>
      </w:r>
      <w:r w:rsidRPr="00981405">
        <w:t>how</w:t>
      </w:r>
      <w:r w:rsidR="00190923" w:rsidRPr="00981405">
        <w:t xml:space="preserve"> </w:t>
      </w:r>
      <w:r w:rsidRPr="00981405">
        <w:t>cases</w:t>
      </w:r>
      <w:r w:rsidR="00190923" w:rsidRPr="00981405">
        <w:t xml:space="preserve"> </w:t>
      </w:r>
      <w:r w:rsidRPr="00981405">
        <w:t>will</w:t>
      </w:r>
      <w:r w:rsidR="00190923" w:rsidRPr="00981405">
        <w:t xml:space="preserve"> </w:t>
      </w:r>
      <w:r w:rsidRPr="00981405">
        <w:t>be</w:t>
      </w:r>
      <w:r w:rsidR="00190923" w:rsidRPr="00981405">
        <w:t xml:space="preserve"> </w:t>
      </w:r>
      <w:r w:rsidRPr="00981405">
        <w:t>decided</w:t>
      </w:r>
      <w:r w:rsidR="00190923" w:rsidRPr="00981405">
        <w:t xml:space="preserve"> </w:t>
      </w:r>
      <w:r w:rsidRPr="00981405">
        <w:t>in</w:t>
      </w:r>
      <w:r w:rsidR="00190923" w:rsidRPr="00981405">
        <w:t xml:space="preserve"> </w:t>
      </w:r>
      <w:r w:rsidRPr="00981405">
        <w:t>the</w:t>
      </w:r>
      <w:r w:rsidR="00190923" w:rsidRPr="00981405">
        <w:t xml:space="preserve"> </w:t>
      </w:r>
      <w:r w:rsidRPr="00981405">
        <w:t>future.</w:t>
      </w:r>
      <w:r w:rsidR="00190923" w:rsidRPr="00981405">
        <w:t xml:space="preserve"> </w:t>
      </w:r>
      <w:r w:rsidRPr="00981405">
        <w:t>Since</w:t>
      </w:r>
      <w:r w:rsidR="00190923" w:rsidRPr="00981405">
        <w:t xml:space="preserve"> </w:t>
      </w:r>
      <w:r w:rsidRPr="00981405">
        <w:t>investment</w:t>
      </w:r>
      <w:r w:rsidR="00190923" w:rsidRPr="00981405">
        <w:t xml:space="preserve"> </w:t>
      </w:r>
      <w:r w:rsidRPr="00981405">
        <w:t>tribunals</w:t>
      </w:r>
      <w:r w:rsidR="00190923" w:rsidRPr="00981405">
        <w:t xml:space="preserve"> </w:t>
      </w:r>
      <w:r w:rsidRPr="00981405">
        <w:t>are</w:t>
      </w:r>
      <w:r w:rsidR="00190923" w:rsidRPr="00981405">
        <w:t xml:space="preserve"> </w:t>
      </w:r>
      <w:r w:rsidR="00B41600" w:rsidRPr="00981405">
        <w:rPr>
          <w:i/>
          <w:iCs/>
        </w:rPr>
        <w:t>ad</w:t>
      </w:r>
      <w:r w:rsidR="00190923" w:rsidRPr="00981405">
        <w:rPr>
          <w:i/>
          <w:iCs/>
        </w:rPr>
        <w:t xml:space="preserve"> </w:t>
      </w:r>
      <w:r w:rsidR="00B41600" w:rsidRPr="00981405">
        <w:rPr>
          <w:i/>
          <w:iCs/>
        </w:rPr>
        <w:t>hoc</w:t>
      </w:r>
      <w:r w:rsidR="00190923" w:rsidRPr="00981405">
        <w:rPr>
          <w:i/>
          <w:iCs/>
        </w:rPr>
        <w:t xml:space="preserve"> </w:t>
      </w:r>
      <w:r w:rsidRPr="00981405">
        <w:t>bodies</w:t>
      </w:r>
      <w:r w:rsidR="00190923" w:rsidRPr="00981405">
        <w:t xml:space="preserve"> </w:t>
      </w:r>
      <w:r w:rsidRPr="00981405">
        <w:t>and</w:t>
      </w:r>
      <w:r w:rsidR="00190923" w:rsidRPr="00981405">
        <w:t xml:space="preserve"> </w:t>
      </w:r>
      <w:r w:rsidRPr="00981405">
        <w:t>since</w:t>
      </w:r>
      <w:r w:rsidR="00190923" w:rsidRPr="00981405">
        <w:t xml:space="preserve"> </w:t>
      </w:r>
      <w:r w:rsidRPr="00981405">
        <w:t>the</w:t>
      </w:r>
      <w:r w:rsidR="00190923" w:rsidRPr="00981405">
        <w:t xml:space="preserve"> </w:t>
      </w:r>
      <w:r w:rsidRPr="00981405">
        <w:t>exact</w:t>
      </w:r>
      <w:r w:rsidR="00190923" w:rsidRPr="00981405">
        <w:t xml:space="preserve"> </w:t>
      </w:r>
      <w:r w:rsidRPr="00981405">
        <w:t>provisions</w:t>
      </w:r>
      <w:r w:rsidR="00190923" w:rsidRPr="00981405">
        <w:t xml:space="preserve"> </w:t>
      </w:r>
      <w:r w:rsidRPr="00981405">
        <w:t>and</w:t>
      </w:r>
      <w:r w:rsidR="00190923" w:rsidRPr="00981405">
        <w:t xml:space="preserve"> </w:t>
      </w:r>
      <w:r w:rsidRPr="00981405">
        <w:t>context</w:t>
      </w:r>
      <w:r w:rsidR="00190923" w:rsidRPr="00981405">
        <w:t xml:space="preserve"> </w:t>
      </w:r>
      <w:r w:rsidRPr="00981405">
        <w:t>of</w:t>
      </w:r>
      <w:r w:rsidR="00190923" w:rsidRPr="00981405">
        <w:t xml:space="preserve"> </w:t>
      </w:r>
      <w:r w:rsidRPr="00981405">
        <w:t>MFN</w:t>
      </w:r>
      <w:r w:rsidR="00190923" w:rsidRPr="00981405">
        <w:t xml:space="preserve"> </w:t>
      </w:r>
      <w:r w:rsidRPr="00981405">
        <w:t>clauses</w:t>
      </w:r>
      <w:r w:rsidR="00190923" w:rsidRPr="00981405">
        <w:t xml:space="preserve"> </w:t>
      </w:r>
      <w:r w:rsidRPr="00981405">
        <w:t>vary,</w:t>
      </w:r>
      <w:r w:rsidR="00190923" w:rsidRPr="00981405">
        <w:t xml:space="preserve"> </w:t>
      </w:r>
      <w:r w:rsidRPr="00981405">
        <w:t>it</w:t>
      </w:r>
      <w:r w:rsidR="00190923" w:rsidRPr="00981405">
        <w:t xml:space="preserve"> </w:t>
      </w:r>
      <w:r w:rsidRPr="00981405">
        <w:t>is</w:t>
      </w:r>
      <w:r w:rsidR="00190923" w:rsidRPr="00981405">
        <w:t xml:space="preserve"> </w:t>
      </w:r>
      <w:r w:rsidRPr="00981405">
        <w:t>impossible</w:t>
      </w:r>
      <w:r w:rsidR="00190923" w:rsidRPr="00981405">
        <w:t xml:space="preserve"> </w:t>
      </w:r>
      <w:r w:rsidRPr="00981405">
        <w:t>to</w:t>
      </w:r>
      <w:r w:rsidR="00190923" w:rsidRPr="00981405">
        <w:t xml:space="preserve"> </w:t>
      </w:r>
      <w:r w:rsidRPr="00981405">
        <w:t>tell</w:t>
      </w:r>
      <w:r w:rsidR="00190923" w:rsidRPr="00981405">
        <w:t xml:space="preserve"> </w:t>
      </w:r>
      <w:r w:rsidRPr="00981405">
        <w:t>in</w:t>
      </w:r>
      <w:r w:rsidR="00190923" w:rsidRPr="00981405">
        <w:t xml:space="preserve"> </w:t>
      </w:r>
      <w:r w:rsidRPr="00981405">
        <w:t>advance</w:t>
      </w:r>
      <w:r w:rsidR="00190923" w:rsidRPr="00981405">
        <w:t xml:space="preserve"> </w:t>
      </w:r>
      <w:r w:rsidRPr="00981405">
        <w:t>how</w:t>
      </w:r>
      <w:r w:rsidR="00190923" w:rsidRPr="00981405">
        <w:t xml:space="preserve"> </w:t>
      </w:r>
      <w:r w:rsidRPr="00981405">
        <w:t>the</w:t>
      </w:r>
      <w:r w:rsidR="00190923" w:rsidRPr="00981405">
        <w:t xml:space="preserve"> </w:t>
      </w:r>
      <w:r w:rsidRPr="00981405">
        <w:t>members</w:t>
      </w:r>
      <w:r w:rsidR="00190923" w:rsidRPr="00981405">
        <w:t xml:space="preserve"> </w:t>
      </w:r>
      <w:r w:rsidRPr="00981405">
        <w:t>of</w:t>
      </w:r>
      <w:r w:rsidR="00190923" w:rsidRPr="00981405">
        <w:t xml:space="preserve"> </w:t>
      </w:r>
      <w:r w:rsidRPr="00981405">
        <w:t>tribunals</w:t>
      </w:r>
      <w:r w:rsidR="00190923" w:rsidRPr="00981405">
        <w:t xml:space="preserve"> </w:t>
      </w:r>
      <w:r w:rsidRPr="00981405">
        <w:t>will</w:t>
      </w:r>
      <w:r w:rsidR="00190923" w:rsidRPr="00981405">
        <w:t xml:space="preserve"> </w:t>
      </w:r>
      <w:r w:rsidRPr="00981405">
        <w:t>decide,</w:t>
      </w:r>
      <w:r w:rsidR="00190923" w:rsidRPr="00981405">
        <w:t xml:space="preserve"> </w:t>
      </w:r>
      <w:r w:rsidRPr="00981405">
        <w:t>even</w:t>
      </w:r>
      <w:r w:rsidR="00190923" w:rsidRPr="00981405">
        <w:t xml:space="preserve"> </w:t>
      </w:r>
      <w:r w:rsidRPr="00981405">
        <w:t>if</w:t>
      </w:r>
      <w:r w:rsidR="00190923" w:rsidRPr="00981405">
        <w:t xml:space="preserve"> </w:t>
      </w:r>
      <w:r w:rsidRPr="00981405">
        <w:t>some</w:t>
      </w:r>
      <w:r w:rsidR="00190923" w:rsidRPr="00981405">
        <w:t xml:space="preserve"> </w:t>
      </w:r>
      <w:r w:rsidRPr="00981405">
        <w:t>or</w:t>
      </w:r>
      <w:r w:rsidR="00190923" w:rsidRPr="00981405">
        <w:t xml:space="preserve"> </w:t>
      </w:r>
      <w:r w:rsidRPr="00981405">
        <w:t>all</w:t>
      </w:r>
      <w:r w:rsidR="00190923" w:rsidRPr="00981405">
        <w:t xml:space="preserve"> </w:t>
      </w:r>
      <w:r w:rsidRPr="00981405">
        <w:t>of</w:t>
      </w:r>
      <w:r w:rsidR="00190923" w:rsidRPr="00981405">
        <w:t xml:space="preserve"> </w:t>
      </w:r>
      <w:r w:rsidRPr="00981405">
        <w:t>the</w:t>
      </w:r>
      <w:r w:rsidR="00190923" w:rsidRPr="00981405">
        <w:t xml:space="preserve"> </w:t>
      </w:r>
      <w:r w:rsidRPr="00981405">
        <w:t>individuals</w:t>
      </w:r>
      <w:r w:rsidR="00190923" w:rsidRPr="00981405">
        <w:t xml:space="preserve"> </w:t>
      </w:r>
      <w:r w:rsidRPr="00981405">
        <w:t>have</w:t>
      </w:r>
      <w:r w:rsidR="00190923" w:rsidRPr="00981405">
        <w:t xml:space="preserve"> </w:t>
      </w:r>
      <w:r w:rsidRPr="00981405">
        <w:t>already</w:t>
      </w:r>
      <w:r w:rsidR="00190923" w:rsidRPr="00981405">
        <w:t xml:space="preserve"> </w:t>
      </w:r>
      <w:r w:rsidRPr="00981405">
        <w:t>decided</w:t>
      </w:r>
      <w:r w:rsidR="00190923" w:rsidRPr="00981405">
        <w:t xml:space="preserve"> </w:t>
      </w:r>
      <w:r w:rsidRPr="00981405">
        <w:t>cases</w:t>
      </w:r>
      <w:r w:rsidR="00190923" w:rsidRPr="00981405">
        <w:t xml:space="preserve"> </w:t>
      </w:r>
      <w:r w:rsidRPr="00981405">
        <w:t>involving</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However,</w:t>
      </w:r>
      <w:r w:rsidR="00190923" w:rsidRPr="00981405">
        <w:t xml:space="preserve"> </w:t>
      </w:r>
      <w:r w:rsidRPr="00981405">
        <w:t>where</w:t>
      </w:r>
      <w:r w:rsidR="00190923" w:rsidRPr="00981405">
        <w:t xml:space="preserve"> </w:t>
      </w:r>
      <w:r w:rsidRPr="00981405">
        <w:t>MFN</w:t>
      </w:r>
      <w:r w:rsidR="00190923" w:rsidRPr="00981405">
        <w:t xml:space="preserve"> </w:t>
      </w:r>
      <w:r w:rsidRPr="00981405">
        <w:t>clauses</w:t>
      </w:r>
      <w:r w:rsidR="00190923" w:rsidRPr="00981405">
        <w:t xml:space="preserve"> </w:t>
      </w:r>
      <w:r w:rsidRPr="00981405">
        <w:t>are</w:t>
      </w:r>
      <w:r w:rsidR="00190923" w:rsidRPr="00981405">
        <w:t xml:space="preserve"> </w:t>
      </w:r>
      <w:r w:rsidRPr="00981405">
        <w:t>capable</w:t>
      </w:r>
      <w:r w:rsidR="00190923" w:rsidRPr="00981405">
        <w:t xml:space="preserve"> </w:t>
      </w:r>
      <w:r w:rsidRPr="00981405">
        <w:t>of</w:t>
      </w:r>
      <w:r w:rsidR="00190923" w:rsidRPr="00981405">
        <w:t xml:space="preserve"> </w:t>
      </w:r>
      <w:r w:rsidRPr="00981405">
        <w:t>a</w:t>
      </w:r>
      <w:r w:rsidR="00190923" w:rsidRPr="00981405">
        <w:t xml:space="preserve"> </w:t>
      </w:r>
      <w:r w:rsidRPr="00981405">
        <w:t>broader</w:t>
      </w:r>
      <w:r w:rsidR="00190923" w:rsidRPr="00981405">
        <w:t xml:space="preserve"> </w:t>
      </w:r>
      <w:r w:rsidRPr="00981405">
        <w:t>interpretation,</w:t>
      </w:r>
      <w:r w:rsidR="00190923" w:rsidRPr="00981405">
        <w:t xml:space="preserve"> </w:t>
      </w:r>
      <w:r w:rsidRPr="00981405">
        <w:t>it</w:t>
      </w:r>
      <w:r w:rsidR="00190923" w:rsidRPr="00981405">
        <w:t xml:space="preserve"> </w:t>
      </w:r>
      <w:r w:rsidRPr="00981405">
        <w:t>appears</w:t>
      </w:r>
      <w:r w:rsidR="00190923" w:rsidRPr="00981405">
        <w:t xml:space="preserve"> </w:t>
      </w:r>
      <w:r w:rsidRPr="00981405">
        <w:t>that</w:t>
      </w:r>
      <w:r w:rsidR="00190923" w:rsidRPr="00981405">
        <w:t xml:space="preserve"> </w:t>
      </w:r>
      <w:r w:rsidRPr="00981405">
        <w:t>tribunals</w:t>
      </w:r>
      <w:r w:rsidR="00190923" w:rsidRPr="00981405">
        <w:t xml:space="preserve"> </w:t>
      </w:r>
      <w:r w:rsidRPr="00981405">
        <w:t>are</w:t>
      </w:r>
      <w:r w:rsidR="00190923" w:rsidRPr="00981405">
        <w:t xml:space="preserve"> </w:t>
      </w:r>
      <w:r w:rsidRPr="00981405">
        <w:t>more</w:t>
      </w:r>
      <w:r w:rsidR="00190923" w:rsidRPr="00981405">
        <w:t xml:space="preserve"> </w:t>
      </w:r>
      <w:r w:rsidRPr="00981405">
        <w:t>inclined</w:t>
      </w:r>
      <w:r w:rsidR="00190923" w:rsidRPr="00981405">
        <w:t xml:space="preserve"> </w:t>
      </w:r>
      <w:r w:rsidRPr="00981405">
        <w:t>to</w:t>
      </w:r>
      <w:r w:rsidR="00190923" w:rsidRPr="00981405">
        <w:t xml:space="preserve"> </w:t>
      </w:r>
      <w:r w:rsidRPr="00981405">
        <w:t>treat</w:t>
      </w:r>
      <w:r w:rsidR="00190923" w:rsidRPr="00981405">
        <w:t xml:space="preserve"> </w:t>
      </w:r>
      <w:r w:rsidRPr="00981405">
        <w:t>them</w:t>
      </w:r>
      <w:r w:rsidR="00190923" w:rsidRPr="00981405">
        <w:t xml:space="preserve"> </w:t>
      </w:r>
      <w:r w:rsidRPr="00981405">
        <w:t>as</w:t>
      </w:r>
      <w:r w:rsidR="00190923" w:rsidRPr="00981405">
        <w:t xml:space="preserve"> </w:t>
      </w:r>
      <w:r w:rsidRPr="00981405">
        <w:t>applying</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In</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B92E2C" w:rsidRPr="00981405">
        <w:t>’</w:t>
      </w:r>
      <w:r w:rsidRPr="00981405">
        <w:t>s</w:t>
      </w:r>
      <w:r w:rsidR="00190923" w:rsidRPr="00981405">
        <w:t xml:space="preserve"> </w:t>
      </w:r>
      <w:r w:rsidRPr="00981405">
        <w:t>view,</w:t>
      </w:r>
      <w:r w:rsidR="00190923" w:rsidRPr="00981405">
        <w:t xml:space="preserve"> </w:t>
      </w:r>
      <w:r w:rsidRPr="00981405">
        <w:t>this</w:t>
      </w:r>
      <w:r w:rsidR="00190923" w:rsidRPr="00981405">
        <w:t xml:space="preserve"> </w:t>
      </w:r>
      <w:r w:rsidRPr="00981405">
        <w:t>provides</w:t>
      </w:r>
      <w:r w:rsidR="00190923" w:rsidRPr="00981405">
        <w:t xml:space="preserve"> </w:t>
      </w:r>
      <w:r w:rsidRPr="00981405">
        <w:t>preliminary</w:t>
      </w:r>
      <w:r w:rsidR="00190923" w:rsidRPr="00981405">
        <w:t xml:space="preserve"> </w:t>
      </w:r>
      <w:r w:rsidRPr="00981405">
        <w:t>guidance</w:t>
      </w:r>
      <w:r w:rsidR="00190923" w:rsidRPr="00981405">
        <w:t xml:space="preserve"> </w:t>
      </w:r>
      <w:r w:rsidRPr="00981405">
        <w:t>to</w:t>
      </w:r>
      <w:r w:rsidR="00190923" w:rsidRPr="00981405">
        <w:t xml:space="preserve"> </w:t>
      </w:r>
      <w:r w:rsidRPr="00981405">
        <w:t>States</w:t>
      </w:r>
      <w:r w:rsidR="00190923" w:rsidRPr="00981405">
        <w:t xml:space="preserve"> </w:t>
      </w:r>
      <w:r w:rsidRPr="00981405">
        <w:t>on</w:t>
      </w:r>
      <w:r w:rsidR="00190923" w:rsidRPr="00981405">
        <w:t xml:space="preserve"> </w:t>
      </w:r>
      <w:r w:rsidRPr="00981405">
        <w:t>how</w:t>
      </w:r>
      <w:r w:rsidR="00190923" w:rsidRPr="00981405">
        <w:t xml:space="preserve"> </w:t>
      </w:r>
      <w:r w:rsidRPr="00981405">
        <w:t>particular</w:t>
      </w:r>
      <w:r w:rsidR="00190923" w:rsidRPr="00981405">
        <w:t xml:space="preserve"> </w:t>
      </w:r>
      <w:r w:rsidRPr="00981405">
        <w:t>wording</w:t>
      </w:r>
      <w:r w:rsidR="00190923" w:rsidRPr="00981405">
        <w:t xml:space="preserve"> </w:t>
      </w:r>
      <w:r w:rsidRPr="00981405">
        <w:t>might</w:t>
      </w:r>
      <w:r w:rsidR="00190923" w:rsidRPr="00981405">
        <w:t xml:space="preserve"> </w:t>
      </w:r>
      <w:r w:rsidRPr="00981405">
        <w:t>be</w:t>
      </w:r>
      <w:r w:rsidR="00190923" w:rsidRPr="00981405">
        <w:t xml:space="preserve"> </w:t>
      </w:r>
      <w:r w:rsidRPr="00981405">
        <w:t>treated</w:t>
      </w:r>
      <w:r w:rsidR="00190923" w:rsidRPr="00981405">
        <w:t xml:space="preserve"> </w:t>
      </w:r>
      <w:r w:rsidRPr="00981405">
        <w:t>by</w:t>
      </w:r>
      <w:r w:rsidR="00190923" w:rsidRPr="00981405">
        <w:t xml:space="preserve"> </w:t>
      </w:r>
      <w:r w:rsidRPr="00981405">
        <w:t>tribunals.</w:t>
      </w:r>
    </w:p>
    <w:p w:rsidR="004176F2" w:rsidRPr="00D97463" w:rsidRDefault="004176F2" w:rsidP="00D97463">
      <w:pPr>
        <w:pStyle w:val="SingleTxt"/>
        <w:spacing w:after="0" w:line="120" w:lineRule="exact"/>
        <w:rPr>
          <w:sz w:val="10"/>
        </w:rPr>
      </w:pPr>
    </w:p>
    <w:p w:rsidR="00397032" w:rsidRPr="00D97463" w:rsidRDefault="00397032" w:rsidP="00D97463">
      <w:pPr>
        <w:pStyle w:val="H23"/>
        <w:ind w:right="1260"/>
      </w:pPr>
      <w:r w:rsidRPr="00D97463">
        <w:tab/>
      </w:r>
      <w:bookmarkStart w:id="335" w:name="_Toc293434197"/>
      <w:bookmarkStart w:id="336" w:name="_Toc294353710"/>
      <w:bookmarkStart w:id="337" w:name="_Toc427938209"/>
      <w:r w:rsidRPr="00D97463">
        <w:t>2.</w:t>
      </w:r>
      <w:r w:rsidRPr="00D97463">
        <w:tab/>
        <w:t>Clauses</w:t>
      </w:r>
      <w:r w:rsidR="00190923" w:rsidRPr="00D97463">
        <w:t xml:space="preserve"> </w:t>
      </w:r>
      <w:r w:rsidRPr="00D97463">
        <w:t>in</w:t>
      </w:r>
      <w:r w:rsidR="00190923" w:rsidRPr="00D97463">
        <w:t xml:space="preserve"> </w:t>
      </w:r>
      <w:r w:rsidRPr="00D97463">
        <w:t>agreements</w:t>
      </w:r>
      <w:r w:rsidR="00190923" w:rsidRPr="00D97463">
        <w:t xml:space="preserve"> </w:t>
      </w:r>
      <w:r w:rsidRPr="00D97463">
        <w:t>entered</w:t>
      </w:r>
      <w:r w:rsidR="00190923" w:rsidRPr="00D97463">
        <w:t xml:space="preserve"> </w:t>
      </w:r>
      <w:r w:rsidRPr="00D97463">
        <w:t>into</w:t>
      </w:r>
      <w:r w:rsidR="00190923" w:rsidRPr="00D97463">
        <w:t xml:space="preserve"> </w:t>
      </w:r>
      <w:r w:rsidRPr="00D97463">
        <w:t>since</w:t>
      </w:r>
      <w:r w:rsidR="00190923" w:rsidRPr="00D97463">
        <w:t xml:space="preserve"> </w:t>
      </w:r>
      <w:r w:rsidRPr="00D97463">
        <w:t>the</w:t>
      </w:r>
      <w:r w:rsidR="00190923" w:rsidRPr="00D97463">
        <w:t xml:space="preserve"> </w:t>
      </w:r>
      <w:r w:rsidR="004176F2" w:rsidRPr="00D97463">
        <w:rPr>
          <w:i/>
          <w:iCs/>
        </w:rPr>
        <w:t xml:space="preserve">Maffezini </w:t>
      </w:r>
      <w:r w:rsidRPr="00D97463">
        <w:t>decision</w:t>
      </w:r>
      <w:bookmarkEnd w:id="335"/>
      <w:bookmarkEnd w:id="336"/>
      <w:bookmarkEnd w:id="337"/>
    </w:p>
    <w:p w:rsidR="00397032" w:rsidRPr="00D97463" w:rsidRDefault="00397032" w:rsidP="00D97463">
      <w:pPr>
        <w:pStyle w:val="SingleTxt"/>
        <w:spacing w:after="0" w:line="120" w:lineRule="exact"/>
        <w:rPr>
          <w:sz w:val="10"/>
        </w:rPr>
      </w:pPr>
    </w:p>
    <w:p w:rsidR="00397032" w:rsidRPr="00981405" w:rsidRDefault="00397032" w:rsidP="00D97463">
      <w:pPr>
        <w:pStyle w:val="SingleTxt"/>
      </w:pPr>
      <w:r w:rsidRPr="00981405">
        <w:t>203.</w:t>
      </w:r>
      <w:r w:rsidRPr="00981405">
        <w:tab/>
        <w:t>Since</w:t>
      </w:r>
      <w:r w:rsidR="00190923" w:rsidRPr="00981405">
        <w:t xml:space="preserve"> </w:t>
      </w:r>
      <w:r w:rsidRPr="00981405">
        <w:t>the</w:t>
      </w:r>
      <w:r w:rsidR="00190923" w:rsidRPr="00981405">
        <w:t xml:space="preserve"> </w:t>
      </w:r>
      <w:r w:rsidR="004176F2" w:rsidRPr="00981405">
        <w:rPr>
          <w:i/>
          <w:iCs/>
        </w:rPr>
        <w:t xml:space="preserve">Maffezini </w:t>
      </w:r>
      <w:r w:rsidRPr="00981405">
        <w:t>decision,</w:t>
      </w:r>
      <w:r w:rsidR="00190923" w:rsidRPr="00981405">
        <w:t xml:space="preserve"> </w:t>
      </w:r>
      <w:r w:rsidRPr="00981405">
        <w:t>there</w:t>
      </w:r>
      <w:r w:rsidR="00190923" w:rsidRPr="00981405">
        <w:t xml:space="preserve"> </w:t>
      </w:r>
      <w:r w:rsidRPr="00981405">
        <w:t>have</w:t>
      </w:r>
      <w:r w:rsidR="00190923" w:rsidRPr="00981405">
        <w:t xml:space="preserve"> </w:t>
      </w:r>
      <w:r w:rsidRPr="00981405">
        <w:t>been</w:t>
      </w:r>
      <w:r w:rsidR="00190923" w:rsidRPr="00981405">
        <w:t xml:space="preserve"> </w:t>
      </w:r>
      <w:r w:rsidRPr="00981405">
        <w:t>a</w:t>
      </w:r>
      <w:r w:rsidR="00190923" w:rsidRPr="00981405">
        <w:t xml:space="preserve"> </w:t>
      </w:r>
      <w:r w:rsidRPr="00981405">
        <w:t>number</w:t>
      </w:r>
      <w:r w:rsidR="00190923" w:rsidRPr="00981405">
        <w:t xml:space="preserve"> </w:t>
      </w:r>
      <w:r w:rsidRPr="00981405">
        <w:t>of</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entered</w:t>
      </w:r>
      <w:r w:rsidR="00190923" w:rsidRPr="00981405">
        <w:t xml:space="preserve"> </w:t>
      </w:r>
      <w:r w:rsidRPr="00981405">
        <w:t>into</w:t>
      </w:r>
      <w:r w:rsidR="00190923" w:rsidRPr="00981405">
        <w:t xml:space="preserve"> </w:t>
      </w:r>
      <w:r w:rsidRPr="00981405">
        <w:t>which</w:t>
      </w:r>
      <w:r w:rsidR="00190923" w:rsidRPr="00981405">
        <w:t xml:space="preserve"> </w:t>
      </w:r>
      <w:r w:rsidRPr="00981405">
        <w:t>include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Generally,</w:t>
      </w:r>
      <w:r w:rsidR="00190923" w:rsidRPr="00981405">
        <w:t xml:space="preserve"> </w:t>
      </w:r>
      <w:r w:rsidRPr="00981405">
        <w:t>they</w:t>
      </w:r>
      <w:r w:rsidR="00190923" w:rsidRPr="00981405">
        <w:t xml:space="preserve"> </w:t>
      </w:r>
      <w:r w:rsidRPr="00981405">
        <w:t>fall</w:t>
      </w:r>
      <w:r w:rsidR="00190923" w:rsidRPr="00981405">
        <w:t xml:space="preserve"> </w:t>
      </w:r>
      <w:r w:rsidRPr="00981405">
        <w:t>into</w:t>
      </w:r>
      <w:r w:rsidR="00190923" w:rsidRPr="00981405">
        <w:t xml:space="preserve"> </w:t>
      </w:r>
      <w:r w:rsidRPr="00981405">
        <w:t>three</w:t>
      </w:r>
      <w:r w:rsidR="00190923" w:rsidRPr="00981405">
        <w:t xml:space="preserve"> </w:t>
      </w:r>
      <w:r w:rsidRPr="00981405">
        <w:t>categories.</w:t>
      </w:r>
    </w:p>
    <w:p w:rsidR="00397032" w:rsidRPr="00981405" w:rsidRDefault="00397032" w:rsidP="00D97463">
      <w:pPr>
        <w:pStyle w:val="SingleTxt"/>
      </w:pPr>
      <w:r w:rsidRPr="00981405">
        <w:t>204.</w:t>
      </w:r>
      <w:r w:rsidRPr="00981405">
        <w:tab/>
        <w:t>First,</w:t>
      </w:r>
      <w:r w:rsidR="00190923" w:rsidRPr="00981405">
        <w:t xml:space="preserve"> </w:t>
      </w:r>
      <w:r w:rsidRPr="00981405">
        <w:t>there</w:t>
      </w:r>
      <w:r w:rsidR="00190923" w:rsidRPr="00981405">
        <w:t xml:space="preserve"> </w:t>
      </w:r>
      <w:r w:rsidRPr="00981405">
        <w:t>are</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expressly</w:t>
      </w:r>
      <w:r w:rsidR="00190923" w:rsidRPr="00981405">
        <w:t xml:space="preserve"> </w:t>
      </w:r>
      <w:r w:rsidRPr="00981405">
        <w:t>exclude</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D97463">
        <w:rPr>
          <w:i/>
          <w:iCs/>
        </w:rPr>
        <w:t>Maffezini</w:t>
      </w:r>
      <w:r w:rsidRPr="00981405">
        <w:t>.</w:t>
      </w:r>
      <w:r w:rsidR="00190923" w:rsidRPr="00981405">
        <w:t xml:space="preserve"> </w:t>
      </w:r>
      <w:r w:rsidRPr="00981405">
        <w:t>This</w:t>
      </w:r>
      <w:r w:rsidR="00190923" w:rsidRPr="00981405">
        <w:t xml:space="preserve"> </w:t>
      </w:r>
      <w:r w:rsidRPr="00981405">
        <w:t>may</w:t>
      </w:r>
      <w:r w:rsidR="00190923" w:rsidRPr="00981405">
        <w:t xml:space="preserve"> </w:t>
      </w:r>
      <w:r w:rsidRPr="00981405">
        <w:t>be</w:t>
      </w:r>
      <w:r w:rsidR="00190923" w:rsidRPr="00981405">
        <w:t xml:space="preserve"> </w:t>
      </w:r>
      <w:r w:rsidRPr="00981405">
        <w:t>done</w:t>
      </w:r>
      <w:r w:rsidR="00190923" w:rsidRPr="00981405">
        <w:t xml:space="preserve"> </w:t>
      </w:r>
      <w:r w:rsidRPr="00981405">
        <w:t>by</w:t>
      </w:r>
      <w:r w:rsidR="00190923" w:rsidRPr="00981405">
        <w:t xml:space="preserve"> </w:t>
      </w:r>
      <w:r w:rsidRPr="00981405">
        <w:t>express</w:t>
      </w:r>
      <w:r w:rsidR="00190923" w:rsidRPr="00981405">
        <w:t xml:space="preserve"> </w:t>
      </w:r>
      <w:r w:rsidRPr="00981405">
        <w:t>reference</w:t>
      </w:r>
      <w:r w:rsidR="00190923" w:rsidRPr="00981405">
        <w:t xml:space="preserve"> </w:t>
      </w:r>
      <w:r w:rsidRPr="00981405">
        <w:t>to</w:t>
      </w:r>
      <w:r w:rsidR="00190923" w:rsidRPr="00981405">
        <w:t xml:space="preserve"> </w:t>
      </w:r>
      <w:r w:rsidRPr="00981405">
        <w:t>the</w:t>
      </w:r>
      <w:r w:rsidR="00190923" w:rsidRPr="00981405">
        <w:t xml:space="preserve"> </w:t>
      </w:r>
      <w:r w:rsidRPr="00981405">
        <w:t>decision,</w:t>
      </w:r>
      <w:r w:rsidRPr="00981405">
        <w:rPr>
          <w:rStyle w:val="FootnoteReference"/>
        </w:rPr>
        <w:footnoteReference w:id="603"/>
      </w:r>
      <w:r w:rsidR="00190923" w:rsidRPr="00981405">
        <w:t xml:space="preserve"> </w:t>
      </w:r>
      <w:r w:rsidRPr="00981405">
        <w:t>or</w:t>
      </w:r>
      <w:r w:rsidR="00190923" w:rsidRPr="00981405">
        <w:t xml:space="preserve"> </w:t>
      </w:r>
      <w:r w:rsidRPr="00981405">
        <w:t>by</w:t>
      </w:r>
      <w:r w:rsidR="00190923" w:rsidRPr="00981405">
        <w:t xml:space="preserve"> </w:t>
      </w:r>
      <w:r w:rsidRPr="00981405">
        <w:t>providing</w:t>
      </w:r>
      <w:r w:rsidR="00190923" w:rsidRPr="00981405">
        <w:t xml:space="preserve"> </w:t>
      </w:r>
      <w:r w:rsidRPr="00981405">
        <w:t>that</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do</w:t>
      </w:r>
      <w:r w:rsidR="00190923" w:rsidRPr="00981405">
        <w:t xml:space="preserve"> </w:t>
      </w:r>
      <w:r w:rsidRPr="00981405">
        <w:t>not</w:t>
      </w:r>
      <w:r w:rsidR="00190923" w:rsidRPr="00981405">
        <w:t xml:space="preserve"> </w:t>
      </w:r>
      <w:r w:rsidRPr="00981405">
        <w:t>fall</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provision.</w:t>
      </w:r>
      <w:r w:rsidRPr="00981405">
        <w:rPr>
          <w:rStyle w:val="FootnoteReference"/>
        </w:rPr>
        <w:footnoteReference w:id="604"/>
      </w:r>
      <w:r w:rsidR="00190923" w:rsidRPr="00981405">
        <w:t xml:space="preserve"> </w:t>
      </w:r>
      <w:r w:rsidRPr="00981405">
        <w:t>It</w:t>
      </w:r>
      <w:r w:rsidR="00190923" w:rsidRPr="00981405">
        <w:t xml:space="preserve"> </w:t>
      </w:r>
      <w:r w:rsidRPr="00981405">
        <w:t>generally</w:t>
      </w:r>
      <w:r w:rsidR="00190923" w:rsidRPr="00981405">
        <w:t xml:space="preserve"> </w:t>
      </w:r>
      <w:r w:rsidRPr="00981405">
        <w:t>does</w:t>
      </w:r>
      <w:r w:rsidR="00190923" w:rsidRPr="00981405">
        <w:t xml:space="preserve"> </w:t>
      </w:r>
      <w:r w:rsidRPr="00981405">
        <w:t>not</w:t>
      </w:r>
      <w:r w:rsidR="00190923" w:rsidRPr="00981405">
        <w:t xml:space="preserve"> </w:t>
      </w:r>
      <w:r w:rsidRPr="00981405">
        <w:t>seem</w:t>
      </w:r>
      <w:r w:rsidR="00190923" w:rsidRPr="00981405">
        <w:t xml:space="preserve"> </w:t>
      </w:r>
      <w:r w:rsidRPr="00981405">
        <w:t>to</w:t>
      </w:r>
      <w:r w:rsidR="00190923" w:rsidRPr="00981405">
        <w:t xml:space="preserve"> </w:t>
      </w:r>
      <w:r w:rsidRPr="00981405">
        <w:t>be</w:t>
      </w:r>
      <w:r w:rsidR="00190923" w:rsidRPr="00981405">
        <w:t xml:space="preserve"> </w:t>
      </w:r>
      <w:r w:rsidRPr="00981405">
        <w:t>done</w:t>
      </w:r>
      <w:r w:rsidR="00190923" w:rsidRPr="00981405">
        <w:t xml:space="preserve"> </w:t>
      </w:r>
      <w:r w:rsidRPr="00981405">
        <w:t>by</w:t>
      </w:r>
      <w:r w:rsidR="00190923" w:rsidRPr="00981405">
        <w:t xml:space="preserve"> </w:t>
      </w:r>
      <w:r w:rsidRPr="00981405">
        <w:t>including</w:t>
      </w:r>
      <w:r w:rsidR="00190923" w:rsidRPr="00981405">
        <w:t xml:space="preserve"> </w:t>
      </w:r>
      <w:r w:rsidRPr="00981405">
        <w:t>it</w:t>
      </w:r>
      <w:r w:rsidR="00190923" w:rsidRPr="00981405">
        <w:t xml:space="preserve"> </w:t>
      </w:r>
      <w:r w:rsidRPr="00981405">
        <w:t>in</w:t>
      </w:r>
      <w:r w:rsidR="00190923" w:rsidRPr="00981405">
        <w:t xml:space="preserve"> </w:t>
      </w:r>
      <w:r w:rsidRPr="00981405">
        <w:t>the</w:t>
      </w:r>
      <w:r w:rsidR="00190923" w:rsidRPr="00981405">
        <w:t xml:space="preserve"> </w:t>
      </w:r>
      <w:r w:rsidRPr="00981405">
        <w:t>list</w:t>
      </w:r>
      <w:r w:rsidR="00190923" w:rsidRPr="00981405">
        <w:t xml:space="preserve"> </w:t>
      </w:r>
      <w:r w:rsidRPr="00981405">
        <w:t>of</w:t>
      </w:r>
      <w:r w:rsidR="00190923" w:rsidRPr="00981405">
        <w:t xml:space="preserve"> </w:t>
      </w:r>
      <w:r w:rsidRPr="00981405">
        <w:t>the</w:t>
      </w:r>
      <w:r w:rsidR="00190923" w:rsidRPr="00981405">
        <w:t xml:space="preserve"> </w:t>
      </w:r>
      <w:r w:rsidRPr="00981405">
        <w:t>exceptions</w:t>
      </w:r>
      <w:r w:rsidR="00190923" w:rsidRPr="00981405">
        <w:t xml:space="preserve"> </w:t>
      </w:r>
      <w:r w:rsidRPr="00981405">
        <w:t>to</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p>
    <w:p w:rsidR="00397032" w:rsidRPr="00981405" w:rsidRDefault="00397032" w:rsidP="00D97463">
      <w:pPr>
        <w:pStyle w:val="SingleTxt"/>
      </w:pPr>
      <w:r w:rsidRPr="00981405">
        <w:t>205.</w:t>
      </w:r>
      <w:r w:rsidRPr="00981405">
        <w:tab/>
        <w:t>Second,</w:t>
      </w:r>
      <w:r w:rsidR="00190923" w:rsidRPr="00981405">
        <w:t xml:space="preserve"> </w:t>
      </w:r>
      <w:r w:rsidRPr="00981405">
        <w:t>there</w:t>
      </w:r>
      <w:r w:rsidR="00190923" w:rsidRPr="00981405">
        <w:t xml:space="preserve"> </w:t>
      </w:r>
      <w:r w:rsidRPr="00981405">
        <w:t>are</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expressly</w:t>
      </w:r>
      <w:r w:rsidR="00190923" w:rsidRPr="00981405">
        <w:t xml:space="preserve"> </w:t>
      </w:r>
      <w:r w:rsidRPr="00981405">
        <w:t>include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Pr="00981405">
        <w:rPr>
          <w:rStyle w:val="FootnoteReference"/>
        </w:rPr>
        <w:footnoteReference w:id="605"/>
      </w:r>
      <w:r w:rsidR="00190923" w:rsidRPr="00981405">
        <w:t xml:space="preserve"> </w:t>
      </w:r>
    </w:p>
    <w:p w:rsidR="00397032" w:rsidRPr="00981405" w:rsidRDefault="00397032" w:rsidP="00D97463">
      <w:pPr>
        <w:pStyle w:val="SingleTxt"/>
      </w:pPr>
      <w:r w:rsidRPr="00981405">
        <w:t>206.</w:t>
      </w:r>
      <w:r w:rsidRPr="00981405">
        <w:tab/>
        <w:t>Third,</w:t>
      </w:r>
      <w:r w:rsidR="00190923" w:rsidRPr="00981405">
        <w:t xml:space="preserve"> </w:t>
      </w:r>
      <w:r w:rsidRPr="00981405">
        <w:t>there</w:t>
      </w:r>
      <w:r w:rsidR="00190923" w:rsidRPr="00981405">
        <w:t xml:space="preserve"> </w:t>
      </w:r>
      <w:r w:rsidRPr="00981405">
        <w:t>are</w:t>
      </w:r>
      <w:r w:rsidR="00190923" w:rsidRPr="00981405">
        <w:t xml:space="preserve"> </w:t>
      </w:r>
      <w:r w:rsidRPr="00981405">
        <w:t>those</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make</w:t>
      </w:r>
      <w:r w:rsidR="00190923" w:rsidRPr="00981405">
        <w:t xml:space="preserve"> </w:t>
      </w:r>
      <w:r w:rsidRPr="00981405">
        <w:t>no</w:t>
      </w:r>
      <w:r w:rsidR="00190923" w:rsidRPr="00981405">
        <w:t xml:space="preserve"> </w:t>
      </w:r>
      <w:r w:rsidRPr="00981405">
        <w:t>mention</w:t>
      </w:r>
      <w:r w:rsidR="00190923" w:rsidRPr="00981405">
        <w:t xml:space="preserve"> </w:t>
      </w:r>
      <w:r w:rsidRPr="00981405">
        <w:t>of</w:t>
      </w:r>
      <w:r w:rsidR="00190923" w:rsidRPr="00981405">
        <w:t xml:space="preserve"> </w:t>
      </w:r>
      <w:r w:rsidRPr="00981405">
        <w:t>whether</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included</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Some</w:t>
      </w:r>
      <w:r w:rsidR="00190923" w:rsidRPr="00981405">
        <w:t xml:space="preserve"> </w:t>
      </w:r>
      <w:r w:rsidRPr="00981405">
        <w:t>define</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the</w:t>
      </w:r>
      <w:r w:rsidR="00190923" w:rsidRPr="00981405">
        <w:t xml:space="preserve"> </w:t>
      </w:r>
      <w:r w:rsidRPr="00981405">
        <w:t>MFN</w:t>
      </w:r>
      <w:r w:rsidR="00190923" w:rsidRPr="00981405">
        <w:t xml:space="preserve"> </w:t>
      </w:r>
      <w:r w:rsidRPr="00981405">
        <w:t>clause</w:t>
      </w:r>
      <w:r w:rsidR="00190923" w:rsidRPr="00981405">
        <w:t xml:space="preserve"> </w:t>
      </w:r>
      <w:r w:rsidRPr="00981405">
        <w:t>as</w:t>
      </w:r>
      <w:r w:rsidR="00190923" w:rsidRPr="00981405">
        <w:t xml:space="preserve"> </w:t>
      </w:r>
      <w:r w:rsidRPr="00981405">
        <w:t>applying</w:t>
      </w:r>
      <w:r w:rsidR="00190923" w:rsidRPr="00981405">
        <w:t xml:space="preserve"> </w:t>
      </w:r>
      <w:r w:rsidR="00B92E2C" w:rsidRPr="00981405">
        <w:t>“</w:t>
      </w:r>
      <w:r w:rsidRPr="00981405">
        <w:t>to</w:t>
      </w:r>
      <w:r w:rsidR="00190923" w:rsidRPr="00981405">
        <w:t xml:space="preserve"> </w:t>
      </w:r>
      <w:r w:rsidRPr="00981405">
        <w:t>the</w:t>
      </w:r>
      <w:r w:rsidR="00190923" w:rsidRPr="00981405">
        <w:t xml:space="preserve"> </w:t>
      </w:r>
      <w:r w:rsidRPr="00981405">
        <w:t>establishment,</w:t>
      </w:r>
      <w:r w:rsidR="00190923" w:rsidRPr="00981405">
        <w:t xml:space="preserve"> </w:t>
      </w:r>
      <w:r w:rsidRPr="00981405">
        <w:t>acquisition,</w:t>
      </w:r>
      <w:r w:rsidR="00190923" w:rsidRPr="00981405">
        <w:t xml:space="preserve"> </w:t>
      </w:r>
      <w:r w:rsidRPr="00981405">
        <w:t>expansion,</w:t>
      </w:r>
      <w:r w:rsidR="00190923" w:rsidRPr="00981405">
        <w:t xml:space="preserve"> </w:t>
      </w:r>
      <w:r w:rsidRPr="00981405">
        <w:t>management,</w:t>
      </w:r>
      <w:r w:rsidR="00190923" w:rsidRPr="00981405">
        <w:t xml:space="preserve"> </w:t>
      </w:r>
      <w:r w:rsidRPr="00981405">
        <w:t>conduct,</w:t>
      </w:r>
      <w:r w:rsidR="00190923" w:rsidRPr="00981405">
        <w:t xml:space="preserve"> </w:t>
      </w:r>
      <w:r w:rsidRPr="00981405">
        <w:t>operation</w:t>
      </w:r>
      <w:r w:rsidR="00190923" w:rsidRPr="00981405">
        <w:t xml:space="preserve"> </w:t>
      </w:r>
      <w:r w:rsidRPr="00981405">
        <w:t>and</w:t>
      </w:r>
      <w:r w:rsidR="00190923" w:rsidRPr="00981405">
        <w:t xml:space="preserve"> </w:t>
      </w:r>
      <w:r w:rsidRPr="00981405">
        <w:t>sale</w:t>
      </w:r>
      <w:r w:rsidR="00190923" w:rsidRPr="00981405">
        <w:t xml:space="preserve"> </w:t>
      </w:r>
      <w:r w:rsidRPr="00981405">
        <w:t>or</w:t>
      </w:r>
      <w:r w:rsidR="00190923" w:rsidRPr="00981405">
        <w:t xml:space="preserve"> </w:t>
      </w:r>
      <w:r w:rsidRPr="00981405">
        <w:t>other</w:t>
      </w:r>
      <w:r w:rsidR="00190923" w:rsidRPr="00981405">
        <w:t xml:space="preserve"> </w:t>
      </w:r>
      <w:r w:rsidRPr="00981405">
        <w:t>disposition</w:t>
      </w:r>
      <w:r w:rsidR="00190923" w:rsidRPr="00981405">
        <w:t xml:space="preserve"> </w:t>
      </w:r>
      <w:r w:rsidRPr="00981405">
        <w:t>of</w:t>
      </w:r>
      <w:r w:rsidR="00190923" w:rsidRPr="00981405">
        <w:t xml:space="preserve"> </w:t>
      </w:r>
      <w:r w:rsidRPr="00981405">
        <w:t>investments</w:t>
      </w:r>
      <w:r w:rsidR="00190923" w:rsidRPr="00981405">
        <w:t xml:space="preserve"> </w:t>
      </w:r>
      <w:r w:rsidRPr="00981405">
        <w:t>in</w:t>
      </w:r>
      <w:r w:rsidR="00190923" w:rsidRPr="00981405">
        <w:t xml:space="preserve"> </w:t>
      </w:r>
      <w:r w:rsidRPr="00981405">
        <w:t>its</w:t>
      </w:r>
      <w:r w:rsidR="00190923" w:rsidRPr="00981405">
        <w:t xml:space="preserve"> </w:t>
      </w:r>
      <w:r w:rsidRPr="00981405">
        <w:t>territory.</w:t>
      </w:r>
      <w:r w:rsidR="00B92E2C" w:rsidRPr="00981405">
        <w:t>”</w:t>
      </w:r>
      <w:r w:rsidR="00190923" w:rsidRPr="00981405">
        <w:t xml:space="preserve"> </w:t>
      </w:r>
      <w:r w:rsidRPr="00981405">
        <w:t>However,</w:t>
      </w:r>
      <w:r w:rsidR="00190923" w:rsidRPr="00981405">
        <w:t xml:space="preserve"> </w:t>
      </w:r>
      <w:r w:rsidRPr="00981405">
        <w:t>as</w:t>
      </w:r>
      <w:r w:rsidR="00190923" w:rsidRPr="00981405">
        <w:t xml:space="preserve"> </w:t>
      </w:r>
      <w:r w:rsidRPr="00981405">
        <w:t>noted</w:t>
      </w:r>
      <w:r w:rsidR="00190923" w:rsidRPr="00981405">
        <w:t xml:space="preserve"> </w:t>
      </w:r>
      <w:r w:rsidRPr="00981405">
        <w:t>earlier,</w:t>
      </w:r>
      <w:r w:rsidR="00190923" w:rsidRPr="00981405">
        <w:t xml:space="preserve"> </w:t>
      </w:r>
      <w:r w:rsidRPr="00981405">
        <w:t>such</w:t>
      </w:r>
      <w:r w:rsidR="00190923" w:rsidRPr="00981405">
        <w:t xml:space="preserve"> </w:t>
      </w:r>
      <w:r w:rsidRPr="00981405">
        <w:t>a</w:t>
      </w:r>
      <w:r w:rsidR="00190923" w:rsidRPr="00981405">
        <w:t xml:space="preserve"> </w:t>
      </w:r>
      <w:r w:rsidRPr="00981405">
        <w:t>provision</w:t>
      </w:r>
      <w:r w:rsidR="00190923" w:rsidRPr="00981405">
        <w:t xml:space="preserve"> </w:t>
      </w:r>
      <w:r w:rsidRPr="00981405">
        <w:t>has</w:t>
      </w:r>
      <w:r w:rsidR="00190923" w:rsidRPr="00981405">
        <w:t xml:space="preserve"> </w:t>
      </w:r>
      <w:r w:rsidRPr="00981405">
        <w:t>been</w:t>
      </w:r>
      <w:r w:rsidR="00190923" w:rsidRPr="00981405">
        <w:t xml:space="preserve"> </w:t>
      </w:r>
      <w:r w:rsidRPr="00981405">
        <w:t>interpreted</w:t>
      </w:r>
      <w:r w:rsidR="00190923" w:rsidRPr="00981405">
        <w:t xml:space="preserve"> </w:t>
      </w:r>
      <w:r w:rsidRPr="00981405">
        <w:t>by</w:t>
      </w:r>
      <w:r w:rsidR="00190923" w:rsidRPr="00981405">
        <w:t xml:space="preserve"> </w:t>
      </w:r>
      <w:r w:rsidRPr="00981405">
        <w:t>some</w:t>
      </w:r>
      <w:r w:rsidR="00190923" w:rsidRPr="00981405">
        <w:t xml:space="preserve"> </w:t>
      </w:r>
      <w:r w:rsidRPr="00981405">
        <w:t>tribunals</w:t>
      </w:r>
      <w:r w:rsidR="00190923" w:rsidRPr="00981405">
        <w:t xml:space="preserve"> </w:t>
      </w:r>
      <w:r w:rsidRPr="00981405">
        <w:t>as</w:t>
      </w:r>
      <w:r w:rsidR="00190923" w:rsidRPr="00981405">
        <w:t xml:space="preserve"> </w:t>
      </w:r>
      <w:r w:rsidRPr="00981405">
        <w:t>not</w:t>
      </w:r>
      <w:r w:rsidR="00190923" w:rsidRPr="00981405">
        <w:t xml:space="preserve"> </w:t>
      </w:r>
      <w:r w:rsidRPr="00981405">
        <w:t>including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and</w:t>
      </w:r>
      <w:r w:rsidR="00190923" w:rsidRPr="00981405">
        <w:t xml:space="preserve"> </w:t>
      </w:r>
      <w:r w:rsidRPr="00981405">
        <w:t>by</w:t>
      </w:r>
      <w:r w:rsidR="00190923" w:rsidRPr="00981405">
        <w:t xml:space="preserve"> </w:t>
      </w:r>
      <w:r w:rsidRPr="00981405">
        <w:t>other</w:t>
      </w:r>
      <w:r w:rsidR="00190923" w:rsidRPr="00981405">
        <w:t xml:space="preserve"> </w:t>
      </w:r>
      <w:r w:rsidRPr="00981405">
        <w:t>tribunals</w:t>
      </w:r>
      <w:r w:rsidR="00190923" w:rsidRPr="00981405">
        <w:t xml:space="preserve"> </w:t>
      </w:r>
      <w:r w:rsidRPr="00981405">
        <w:t>as</w:t>
      </w:r>
      <w:r w:rsidR="00190923" w:rsidRPr="00981405">
        <w:t xml:space="preserve"> </w:t>
      </w:r>
      <w:r w:rsidRPr="00981405">
        <w:t>including</w:t>
      </w:r>
      <w:r w:rsidR="00190923" w:rsidRPr="00981405">
        <w:t xml:space="preserve"> </w:t>
      </w:r>
      <w:r w:rsidRPr="00981405">
        <w:t>them.</w:t>
      </w:r>
      <w:r w:rsidR="00190923" w:rsidRPr="00981405">
        <w:t xml:space="preserve"> </w:t>
      </w:r>
    </w:p>
    <w:p w:rsidR="00397032" w:rsidRPr="00981405" w:rsidRDefault="00397032" w:rsidP="00D97463">
      <w:pPr>
        <w:pStyle w:val="SingleTxt"/>
      </w:pPr>
      <w:r w:rsidRPr="00981405">
        <w:t>207.</w:t>
      </w:r>
      <w:r w:rsidRPr="00981405">
        <w:tab/>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has</w:t>
      </w:r>
      <w:r w:rsidR="00190923" w:rsidRPr="00981405">
        <w:t xml:space="preserve"> </w:t>
      </w:r>
      <w:r w:rsidRPr="00981405">
        <w:t>noted</w:t>
      </w:r>
      <w:r w:rsidR="00190923" w:rsidRPr="00981405">
        <w:t xml:space="preserve"> </w:t>
      </w:r>
      <w:r w:rsidRPr="00981405">
        <w:t>that</w:t>
      </w:r>
      <w:r w:rsidR="00190923" w:rsidRPr="00981405">
        <w:t xml:space="preserve"> </w:t>
      </w:r>
      <w:r w:rsidRPr="00981405">
        <w:t>the</w:t>
      </w:r>
      <w:r w:rsidR="00190923" w:rsidRPr="00981405">
        <w:t xml:space="preserve"> </w:t>
      </w:r>
      <w:r w:rsidRPr="00981405">
        <w:t>issue</w:t>
      </w:r>
      <w:r w:rsidR="00190923" w:rsidRPr="00981405">
        <w:t xml:space="preserve"> </w:t>
      </w:r>
      <w:r w:rsidRPr="00981405">
        <w:t>of</w:t>
      </w:r>
      <w:r w:rsidR="00190923" w:rsidRPr="00981405">
        <w:t xml:space="preserve"> </w:t>
      </w:r>
      <w:r w:rsidRPr="00981405">
        <w:t>MFN</w:t>
      </w:r>
      <w:r w:rsidR="00190923" w:rsidRPr="00981405">
        <w:t xml:space="preserve"> </w:t>
      </w:r>
      <w:r w:rsidRPr="00981405">
        <w:t>and</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has</w:t>
      </w:r>
      <w:r w:rsidR="00190923" w:rsidRPr="00981405">
        <w:t xml:space="preserve"> </w:t>
      </w:r>
      <w:r w:rsidRPr="00981405">
        <w:t>not</w:t>
      </w:r>
      <w:r w:rsidR="00190923" w:rsidRPr="00981405">
        <w:t xml:space="preserve"> </w:t>
      </w:r>
      <w:r w:rsidRPr="00981405">
        <w:t>motivated</w:t>
      </w:r>
      <w:r w:rsidR="00190923" w:rsidRPr="00981405">
        <w:t xml:space="preserve"> </w:t>
      </w:r>
      <w:r w:rsidRPr="00981405">
        <w:t>States</w:t>
      </w:r>
      <w:r w:rsidR="00190923" w:rsidRPr="00981405">
        <w:t xml:space="preserve"> </w:t>
      </w:r>
      <w:r w:rsidRPr="00981405">
        <w:t>to</w:t>
      </w:r>
      <w:r w:rsidR="00190923" w:rsidRPr="00981405">
        <w:t xml:space="preserve"> </w:t>
      </w:r>
      <w:r w:rsidRPr="00981405">
        <w:t>clarify</w:t>
      </w:r>
      <w:r w:rsidR="00190923" w:rsidRPr="00981405">
        <w:t xml:space="preserve"> </w:t>
      </w:r>
      <w:r w:rsidRPr="00981405">
        <w:t>the</w:t>
      </w:r>
      <w:r w:rsidR="00190923" w:rsidRPr="00981405">
        <w:t xml:space="preserve"> </w:t>
      </w:r>
      <w:r w:rsidRPr="00981405">
        <w:t>language</w:t>
      </w:r>
      <w:r w:rsidR="00190923" w:rsidRPr="00981405">
        <w:t xml:space="preserve"> </w:t>
      </w:r>
      <w:r w:rsidRPr="00981405">
        <w:t>of</w:t>
      </w:r>
      <w:r w:rsidR="00190923" w:rsidRPr="00981405">
        <w:t xml:space="preserve"> </w:t>
      </w:r>
      <w:r w:rsidRPr="00981405">
        <w:t>existing</w:t>
      </w:r>
      <w:r w:rsidR="00190923" w:rsidRPr="00981405">
        <w:t xml:space="preserve"> </w:t>
      </w:r>
      <w:r w:rsidRPr="00981405">
        <w:t>agreements</w:t>
      </w:r>
      <w:r w:rsidR="00190923" w:rsidRPr="00981405">
        <w:t xml:space="preserve"> </w:t>
      </w:r>
      <w:r w:rsidRPr="00981405">
        <w:t>to</w:t>
      </w:r>
      <w:r w:rsidR="00190923" w:rsidRPr="00981405">
        <w:t xml:space="preserve"> </w:t>
      </w:r>
      <w:r w:rsidRPr="00981405">
        <w:t>exclude</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nor</w:t>
      </w:r>
      <w:r w:rsidR="00190923" w:rsidRPr="00981405">
        <w:t xml:space="preserve"> </w:t>
      </w:r>
      <w:r w:rsidRPr="00981405">
        <w:t>to</w:t>
      </w:r>
      <w:r w:rsidR="00190923" w:rsidRPr="00981405">
        <w:t xml:space="preserve"> </w:t>
      </w:r>
      <w:r w:rsidRPr="00981405">
        <w:t>negotiate</w:t>
      </w:r>
      <w:r w:rsidR="00190923" w:rsidRPr="00981405">
        <w:t xml:space="preserve"> </w:t>
      </w:r>
      <w:r w:rsidRPr="00981405">
        <w:t>new</w:t>
      </w:r>
      <w:r w:rsidR="00190923" w:rsidRPr="00981405">
        <w:t xml:space="preserve"> </w:t>
      </w:r>
      <w:r w:rsidRPr="00981405">
        <w:t>agreements</w:t>
      </w:r>
      <w:r w:rsidR="00190923" w:rsidRPr="00981405">
        <w:t xml:space="preserve"> </w:t>
      </w:r>
      <w:r w:rsidRPr="00981405">
        <w:t>that</w:t>
      </w:r>
      <w:r w:rsidR="00190923" w:rsidRPr="00981405">
        <w:t xml:space="preserve"> </w:t>
      </w:r>
      <w:r w:rsidRPr="00981405">
        <w:t>exclude</w:t>
      </w:r>
      <w:r w:rsidR="00190923" w:rsidRPr="00981405">
        <w:t xml:space="preserve"> </w:t>
      </w:r>
      <w:r w:rsidRPr="00981405">
        <w:t>its</w:t>
      </w:r>
      <w:r w:rsidR="00190923" w:rsidRPr="00981405">
        <w:t xml:space="preserve"> </w:t>
      </w:r>
      <w:r w:rsidRPr="00981405">
        <w:lastRenderedPageBreak/>
        <w:t>application.</w:t>
      </w:r>
      <w:r w:rsidR="00190923" w:rsidRPr="00981405">
        <w:t xml:space="preserve"> </w:t>
      </w:r>
      <w:r w:rsidRPr="00981405">
        <w:t>In</w:t>
      </w:r>
      <w:r w:rsidR="00190923" w:rsidRPr="00981405">
        <w:t xml:space="preserve"> </w:t>
      </w:r>
      <w:r w:rsidRPr="00981405">
        <w:t>fact</w:t>
      </w:r>
      <w:r w:rsidR="00190923" w:rsidRPr="00981405">
        <w:t xml:space="preserve"> </w:t>
      </w:r>
      <w:r w:rsidRPr="00981405">
        <w:t>most</w:t>
      </w:r>
      <w:r w:rsidR="00190923" w:rsidRPr="00981405">
        <w:t xml:space="preserve"> </w:t>
      </w:r>
      <w:r w:rsidRPr="00981405">
        <w:t>new</w:t>
      </w:r>
      <w:r w:rsidR="00190923" w:rsidRPr="00981405">
        <w:t xml:space="preserve"> </w:t>
      </w:r>
      <w:r w:rsidRPr="00981405">
        <w:t>agreements</w:t>
      </w:r>
      <w:r w:rsidR="00190923" w:rsidRPr="00981405">
        <w:t xml:space="preserve"> </w:t>
      </w:r>
      <w:r w:rsidRPr="00981405">
        <w:t>tend</w:t>
      </w:r>
      <w:r w:rsidR="00190923" w:rsidRPr="00981405">
        <w:t xml:space="preserve"> </w:t>
      </w:r>
      <w:r w:rsidRPr="00981405">
        <w:t>to</w:t>
      </w:r>
      <w:r w:rsidR="00190923" w:rsidRPr="00981405">
        <w:t xml:space="preserve"> </w:t>
      </w:r>
      <w:r w:rsidRPr="00981405">
        <w:t>ignore</w:t>
      </w:r>
      <w:r w:rsidR="00190923" w:rsidRPr="00981405">
        <w:t xml:space="preserve"> </w:t>
      </w:r>
      <w:r w:rsidRPr="00981405">
        <w:t>the</w:t>
      </w:r>
      <w:r w:rsidR="00190923" w:rsidRPr="00981405">
        <w:t xml:space="preserve"> </w:t>
      </w:r>
      <w:r w:rsidRPr="00981405">
        <w:t>issue.</w:t>
      </w:r>
      <w:r w:rsidR="00190923" w:rsidRPr="00981405">
        <w:t xml:space="preserve"> </w:t>
      </w:r>
      <w:r w:rsidRPr="00981405">
        <w:t>There</w:t>
      </w:r>
      <w:r w:rsidR="00190923" w:rsidRPr="00981405">
        <w:t xml:space="preserve"> </w:t>
      </w:r>
      <w:r w:rsidRPr="00981405">
        <w:t>are</w:t>
      </w:r>
      <w:r w:rsidR="00190923" w:rsidRPr="00981405">
        <w:t xml:space="preserve"> </w:t>
      </w:r>
      <w:r w:rsidRPr="00981405">
        <w:t>at</w:t>
      </w:r>
      <w:r w:rsidR="00190923" w:rsidRPr="00981405">
        <w:t xml:space="preserve"> </w:t>
      </w:r>
      <w:r w:rsidRPr="00981405">
        <w:t>least</w:t>
      </w:r>
      <w:r w:rsidR="00190923" w:rsidRPr="00981405">
        <w:t xml:space="preserve"> </w:t>
      </w:r>
      <w:r w:rsidRPr="00981405">
        <w:t>three</w:t>
      </w:r>
      <w:r w:rsidR="00190923" w:rsidRPr="00981405">
        <w:t xml:space="preserve"> </w:t>
      </w:r>
      <w:r w:rsidRPr="00981405">
        <w:t>possible</w:t>
      </w:r>
      <w:r w:rsidR="00190923" w:rsidRPr="00981405">
        <w:t xml:space="preserve"> </w:t>
      </w:r>
      <w:r w:rsidRPr="00981405">
        <w:t>explanations</w:t>
      </w:r>
      <w:r w:rsidR="00190923" w:rsidRPr="00981405">
        <w:t xml:space="preserve"> </w:t>
      </w:r>
      <w:r w:rsidRPr="00981405">
        <w:t>for</w:t>
      </w:r>
      <w:r w:rsidR="00190923" w:rsidRPr="00981405">
        <w:t xml:space="preserve"> </w:t>
      </w:r>
      <w:r w:rsidRPr="00981405">
        <w:t>this.</w:t>
      </w:r>
    </w:p>
    <w:p w:rsidR="00397032" w:rsidRPr="00981405" w:rsidRDefault="00397032" w:rsidP="00D97463">
      <w:pPr>
        <w:pStyle w:val="SingleTxt"/>
      </w:pPr>
      <w:r w:rsidRPr="00981405">
        <w:t>208.</w:t>
      </w:r>
      <w:r w:rsidRPr="00981405">
        <w:tab/>
        <w:t>First,</w:t>
      </w:r>
      <w:r w:rsidR="00190923" w:rsidRPr="00981405">
        <w:t xml:space="preserve"> </w:t>
      </w:r>
      <w:r w:rsidRPr="00981405">
        <w:t>renegotiating</w:t>
      </w:r>
      <w:r w:rsidR="00190923" w:rsidRPr="00981405">
        <w:t xml:space="preserve"> </w:t>
      </w:r>
      <w:r w:rsidRPr="00981405">
        <w:t>existing</w:t>
      </w:r>
      <w:r w:rsidR="00190923" w:rsidRPr="00981405">
        <w:t xml:space="preserve"> </w:t>
      </w:r>
      <w:r w:rsidRPr="00981405">
        <w:t>agreements</w:t>
      </w:r>
      <w:r w:rsidR="00190923" w:rsidRPr="00981405">
        <w:t xml:space="preserve"> </w:t>
      </w:r>
      <w:r w:rsidRPr="00981405">
        <w:t>is</w:t>
      </w:r>
      <w:r w:rsidR="00190923" w:rsidRPr="00981405">
        <w:t xml:space="preserve"> </w:t>
      </w:r>
      <w:r w:rsidRPr="00981405">
        <w:t>a</w:t>
      </w:r>
      <w:r w:rsidR="00190923" w:rsidRPr="00981405">
        <w:t xml:space="preserve"> </w:t>
      </w:r>
      <w:r w:rsidRPr="00981405">
        <w:t>long</w:t>
      </w:r>
      <w:r w:rsidR="00190923" w:rsidRPr="00981405">
        <w:t xml:space="preserve"> </w:t>
      </w:r>
      <w:r w:rsidRPr="00981405">
        <w:t>and</w:t>
      </w:r>
      <w:r w:rsidR="00190923" w:rsidRPr="00981405">
        <w:t xml:space="preserve"> </w:t>
      </w:r>
      <w:r w:rsidRPr="00981405">
        <w:t>complex</w:t>
      </w:r>
      <w:r w:rsidR="00190923" w:rsidRPr="00981405">
        <w:t xml:space="preserve"> </w:t>
      </w:r>
      <w:r w:rsidRPr="00981405">
        <w:t>process</w:t>
      </w:r>
      <w:r w:rsidR="00190923" w:rsidRPr="00981405">
        <w:t xml:space="preserve"> </w:t>
      </w:r>
      <w:r w:rsidRPr="00981405">
        <w:t>and</w:t>
      </w:r>
      <w:r w:rsidR="00190923" w:rsidRPr="00981405">
        <w:t xml:space="preserve"> </w:t>
      </w:r>
      <w:r w:rsidRPr="00981405">
        <w:t>States</w:t>
      </w:r>
      <w:r w:rsidR="00190923" w:rsidRPr="00981405">
        <w:t xml:space="preserve"> </w:t>
      </w:r>
      <w:r w:rsidRPr="00981405">
        <w:t>may</w:t>
      </w:r>
      <w:r w:rsidR="00190923" w:rsidRPr="00981405">
        <w:t xml:space="preserve"> </w:t>
      </w:r>
      <w:r w:rsidRPr="00981405">
        <w:t>not</w:t>
      </w:r>
      <w:r w:rsidR="00190923" w:rsidRPr="00981405">
        <w:t xml:space="preserve"> </w:t>
      </w:r>
      <w:r w:rsidRPr="00981405">
        <w:t>place</w:t>
      </w:r>
      <w:r w:rsidR="00190923" w:rsidRPr="00981405">
        <w:t xml:space="preserve"> </w:t>
      </w:r>
      <w:r w:rsidRPr="00981405">
        <w:t>a</w:t>
      </w:r>
      <w:r w:rsidR="00190923" w:rsidRPr="00981405">
        <w:t xml:space="preserve"> </w:t>
      </w:r>
      <w:r w:rsidRPr="00981405">
        <w:t>high</w:t>
      </w:r>
      <w:r w:rsidR="00190923" w:rsidRPr="00981405">
        <w:t xml:space="preserve"> </w:t>
      </w:r>
      <w:r w:rsidRPr="00981405">
        <w:t>priority</w:t>
      </w:r>
      <w:r w:rsidR="00190923" w:rsidRPr="00981405">
        <w:t xml:space="preserve"> </w:t>
      </w:r>
      <w:r w:rsidRPr="00981405">
        <w:t>on</w:t>
      </w:r>
      <w:r w:rsidR="00190923" w:rsidRPr="00981405">
        <w:t xml:space="preserve"> </w:t>
      </w:r>
      <w:r w:rsidRPr="00981405">
        <w:t>this</w:t>
      </w:r>
      <w:r w:rsidR="00190923" w:rsidRPr="00981405">
        <w:t xml:space="preserve"> </w:t>
      </w:r>
      <w:r w:rsidRPr="00981405">
        <w:t>in</w:t>
      </w:r>
      <w:r w:rsidR="00190923" w:rsidRPr="00981405">
        <w:t xml:space="preserve"> </w:t>
      </w:r>
      <w:r w:rsidRPr="00981405">
        <w:t>their</w:t>
      </w:r>
      <w:r w:rsidR="00190923" w:rsidRPr="00981405">
        <w:t xml:space="preserve"> </w:t>
      </w:r>
      <w:r w:rsidRPr="00981405">
        <w:t>treaty-making</w:t>
      </w:r>
      <w:r w:rsidR="00190923" w:rsidRPr="00981405">
        <w:t xml:space="preserve"> </w:t>
      </w:r>
      <w:r w:rsidRPr="00981405">
        <w:t>agenda</w:t>
      </w:r>
      <w:r w:rsidR="00190923" w:rsidRPr="00981405">
        <w:t xml:space="preserve"> </w:t>
      </w:r>
      <w:r w:rsidRPr="00981405">
        <w:t>or</w:t>
      </w:r>
      <w:r w:rsidR="00190923" w:rsidRPr="00981405">
        <w:t xml:space="preserve"> </w:t>
      </w:r>
      <w:r w:rsidRPr="00981405">
        <w:t>may</w:t>
      </w:r>
      <w:r w:rsidR="00190923" w:rsidRPr="00981405">
        <w:t xml:space="preserve"> </w:t>
      </w:r>
      <w:r w:rsidRPr="00981405">
        <w:t>be</w:t>
      </w:r>
      <w:r w:rsidR="00190923" w:rsidRPr="00981405">
        <w:t xml:space="preserve"> </w:t>
      </w:r>
      <w:r w:rsidRPr="00981405">
        <w:t>concerned</w:t>
      </w:r>
      <w:r w:rsidR="00190923" w:rsidRPr="00981405">
        <w:t xml:space="preserve"> </w:t>
      </w:r>
      <w:r w:rsidRPr="00981405">
        <w:t>with</w:t>
      </w:r>
      <w:r w:rsidR="00190923" w:rsidRPr="00981405">
        <w:t xml:space="preserve"> </w:t>
      </w:r>
      <w:r w:rsidRPr="00981405">
        <w:t>reopening</w:t>
      </w:r>
      <w:r w:rsidR="00190923" w:rsidRPr="00981405">
        <w:t xml:space="preserve"> </w:t>
      </w:r>
      <w:r w:rsidRPr="00981405">
        <w:t>other</w:t>
      </w:r>
      <w:r w:rsidR="00190923" w:rsidRPr="00981405">
        <w:t xml:space="preserve"> </w:t>
      </w:r>
      <w:r w:rsidRPr="00981405">
        <w:t>issues</w:t>
      </w:r>
      <w:r w:rsidR="00190923" w:rsidRPr="00981405">
        <w:t xml:space="preserve"> </w:t>
      </w:r>
      <w:r w:rsidRPr="00981405">
        <w:t>in</w:t>
      </w:r>
      <w:r w:rsidR="00190923" w:rsidRPr="00981405">
        <w:t xml:space="preserve"> </w:t>
      </w:r>
      <w:r w:rsidRPr="00981405">
        <w:t>the</w:t>
      </w:r>
      <w:r w:rsidR="00190923" w:rsidRPr="00981405">
        <w:t xml:space="preserve"> </w:t>
      </w:r>
      <w:r w:rsidRPr="00981405">
        <w:t>treaty.</w:t>
      </w:r>
    </w:p>
    <w:p w:rsidR="00397032" w:rsidRPr="00981405" w:rsidRDefault="00397032" w:rsidP="00D97463">
      <w:pPr>
        <w:pStyle w:val="SingleTxt"/>
      </w:pPr>
      <w:r w:rsidRPr="00981405">
        <w:t>209.</w:t>
      </w:r>
      <w:r w:rsidRPr="00981405">
        <w:tab/>
        <w:t>Second,</w:t>
      </w:r>
      <w:r w:rsidR="00190923" w:rsidRPr="00981405">
        <w:t xml:space="preserve"> </w:t>
      </w:r>
      <w:r w:rsidRPr="00981405">
        <w:t>States</w:t>
      </w:r>
      <w:r w:rsidR="00190923" w:rsidRPr="00981405">
        <w:t xml:space="preserve"> </w:t>
      </w:r>
      <w:r w:rsidRPr="00981405">
        <w:t>may</w:t>
      </w:r>
      <w:r w:rsidR="00190923" w:rsidRPr="00981405">
        <w:t xml:space="preserve"> </w:t>
      </w:r>
      <w:r w:rsidRPr="00981405">
        <w:t>be</w:t>
      </w:r>
      <w:r w:rsidR="00190923" w:rsidRPr="00981405">
        <w:t xml:space="preserve"> </w:t>
      </w:r>
      <w:r w:rsidRPr="00981405">
        <w:t>concerned</w:t>
      </w:r>
      <w:r w:rsidR="00190923" w:rsidRPr="00981405">
        <w:t xml:space="preserve"> </w:t>
      </w:r>
      <w:r w:rsidRPr="00981405">
        <w:t>that</w:t>
      </w:r>
      <w:r w:rsidR="00190923" w:rsidRPr="00981405">
        <w:t xml:space="preserve"> </w:t>
      </w:r>
      <w:r w:rsidRPr="00981405">
        <w:t>changing</w:t>
      </w:r>
      <w:r w:rsidR="00190923" w:rsidRPr="00981405">
        <w:t xml:space="preserve"> </w:t>
      </w:r>
      <w:r w:rsidRPr="00981405">
        <w:t>the</w:t>
      </w:r>
      <w:r w:rsidR="00190923" w:rsidRPr="00981405">
        <w:t xml:space="preserve"> </w:t>
      </w:r>
      <w:r w:rsidRPr="00981405">
        <w:t>wording</w:t>
      </w:r>
      <w:r w:rsidR="00190923" w:rsidRPr="00981405">
        <w:t xml:space="preserve"> </w:t>
      </w:r>
      <w:r w:rsidRPr="00981405">
        <w:t>of</w:t>
      </w:r>
      <w:r w:rsidR="00190923" w:rsidRPr="00981405">
        <w:t xml:space="preserve"> </w:t>
      </w:r>
      <w:r w:rsidRPr="00981405">
        <w:t>their</w:t>
      </w:r>
      <w:r w:rsidR="00190923" w:rsidRPr="00981405">
        <w:t xml:space="preserve"> </w:t>
      </w:r>
      <w:r w:rsidRPr="00981405">
        <w:t>new</w:t>
      </w:r>
      <w:r w:rsidR="00190923" w:rsidRPr="00981405">
        <w:t xml:space="preserve"> </w:t>
      </w:r>
      <w:r w:rsidRPr="00981405">
        <w:t>agreements</w:t>
      </w:r>
      <w:r w:rsidR="00190923" w:rsidRPr="00981405">
        <w:t xml:space="preserve"> </w:t>
      </w:r>
      <w:r w:rsidRPr="00981405">
        <w:t>to</w:t>
      </w:r>
      <w:r w:rsidR="00190923" w:rsidRPr="00981405">
        <w:t xml:space="preserve"> </w:t>
      </w:r>
      <w:r w:rsidRPr="00981405">
        <w:t>prevent</w:t>
      </w:r>
      <w:r w:rsidR="00190923" w:rsidRPr="00981405">
        <w:t xml:space="preserve"> </w:t>
      </w:r>
      <w:r w:rsidRPr="00981405">
        <w:t>the</w:t>
      </w:r>
      <w:r w:rsidR="00190923" w:rsidRPr="00981405">
        <w:t xml:space="preserve"> </w:t>
      </w:r>
      <w:r w:rsidRPr="00981405">
        <w:t>application</w:t>
      </w:r>
      <w:r w:rsidR="00190923" w:rsidRPr="00981405">
        <w:t xml:space="preserve"> </w:t>
      </w:r>
      <w:r w:rsidRPr="00981405">
        <w:t>of</w:t>
      </w:r>
      <w:r w:rsidR="00190923" w:rsidRPr="00981405">
        <w:t xml:space="preserve"> </w:t>
      </w:r>
      <w:r w:rsidRPr="00981405">
        <w:t>MFN</w:t>
      </w:r>
      <w:r w:rsidR="00190923" w:rsidRPr="00981405">
        <w:t xml:space="preserve"> </w:t>
      </w:r>
      <w:r w:rsidRPr="00981405">
        <w:t>treatment</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will</w:t>
      </w:r>
      <w:r w:rsidR="00190923" w:rsidRPr="00981405">
        <w:t xml:space="preserve"> </w:t>
      </w:r>
      <w:r w:rsidRPr="00981405">
        <w:t>be</w:t>
      </w:r>
      <w:r w:rsidR="00190923" w:rsidRPr="00981405">
        <w:t xml:space="preserve"> </w:t>
      </w:r>
      <w:r w:rsidRPr="00981405">
        <w:t>taken</w:t>
      </w:r>
      <w:r w:rsidR="00190923" w:rsidRPr="00981405">
        <w:t xml:space="preserve"> </w:t>
      </w:r>
      <w:r w:rsidRPr="00981405">
        <w:t>by</w:t>
      </w:r>
      <w:r w:rsidR="00190923" w:rsidRPr="00981405">
        <w:t xml:space="preserve"> </w:t>
      </w:r>
      <w:r w:rsidRPr="00981405">
        <w:t>tribunals</w:t>
      </w:r>
      <w:r w:rsidR="00190923" w:rsidRPr="00981405">
        <w:t xml:space="preserve"> </w:t>
      </w:r>
      <w:r w:rsidRPr="00981405">
        <w:t>as</w:t>
      </w:r>
      <w:r w:rsidR="00190923" w:rsidRPr="00981405">
        <w:t xml:space="preserve"> </w:t>
      </w:r>
      <w:r w:rsidRPr="00981405">
        <w:t>an</w:t>
      </w:r>
      <w:r w:rsidR="00190923" w:rsidRPr="00981405">
        <w:t xml:space="preserve"> </w:t>
      </w:r>
      <w:r w:rsidRPr="00981405">
        <w:t>indication</w:t>
      </w:r>
      <w:r w:rsidR="00190923" w:rsidRPr="00981405">
        <w:t xml:space="preserve"> </w:t>
      </w:r>
      <w:r w:rsidRPr="00981405">
        <w:t>that</w:t>
      </w:r>
      <w:r w:rsidR="00190923" w:rsidRPr="00981405">
        <w:t xml:space="preserve"> </w:t>
      </w:r>
      <w:r w:rsidRPr="00981405">
        <w:t>their</w:t>
      </w:r>
      <w:r w:rsidR="00190923" w:rsidRPr="00981405">
        <w:t xml:space="preserve"> </w:t>
      </w:r>
      <w:r w:rsidRPr="00981405">
        <w:t>existing</w:t>
      </w:r>
      <w:r w:rsidR="00190923" w:rsidRPr="00981405">
        <w:t xml:space="preserve"> </w:t>
      </w:r>
      <w:r w:rsidRPr="00981405">
        <w:t>agreements</w:t>
      </w:r>
      <w:r w:rsidR="00190923" w:rsidRPr="00981405">
        <w:t xml:space="preserve"> </w:t>
      </w:r>
      <w:r w:rsidRPr="00981405">
        <w:t>do</w:t>
      </w:r>
      <w:r w:rsidR="00190923" w:rsidRPr="00981405">
        <w:t xml:space="preserve"> </w:t>
      </w:r>
      <w:r w:rsidRPr="00981405">
        <w:t>cover</w:t>
      </w:r>
      <w:r w:rsidR="00190923" w:rsidRPr="00981405">
        <w:t xml:space="preserve"> </w:t>
      </w:r>
      <w:r w:rsidRPr="00981405">
        <w:t>dispute</w:t>
      </w:r>
      <w:r w:rsidR="00190923" w:rsidRPr="00981405">
        <w:t xml:space="preserve"> </w:t>
      </w:r>
      <w:r w:rsidRPr="00981405">
        <w:t>settlement.</w:t>
      </w:r>
    </w:p>
    <w:p w:rsidR="00397032" w:rsidRPr="00981405" w:rsidRDefault="00397032" w:rsidP="00D97463">
      <w:pPr>
        <w:pStyle w:val="SingleTxt"/>
      </w:pPr>
      <w:r w:rsidRPr="00981405">
        <w:t>210.</w:t>
      </w:r>
      <w:r w:rsidRPr="00981405">
        <w:tab/>
        <w:t>Third,</w:t>
      </w:r>
      <w:r w:rsidR="00190923" w:rsidRPr="00981405">
        <w:t xml:space="preserve"> </w:t>
      </w:r>
      <w:r w:rsidRPr="00981405">
        <w:t>States</w:t>
      </w:r>
      <w:r w:rsidR="00190923" w:rsidRPr="00981405">
        <w:t xml:space="preserve"> </w:t>
      </w:r>
      <w:r w:rsidRPr="00981405">
        <w:t>may</w:t>
      </w:r>
      <w:r w:rsidR="00190923" w:rsidRPr="00981405">
        <w:t xml:space="preserve"> </w:t>
      </w:r>
      <w:r w:rsidRPr="00981405">
        <w:t>take</w:t>
      </w:r>
      <w:r w:rsidR="00190923" w:rsidRPr="00981405">
        <w:t xml:space="preserve"> </w:t>
      </w:r>
      <w:r w:rsidRPr="00981405">
        <w:t>the</w:t>
      </w:r>
      <w:r w:rsidR="00190923" w:rsidRPr="00981405">
        <w:t xml:space="preserve"> </w:t>
      </w:r>
      <w:r w:rsidRPr="00981405">
        <w:t>view</w:t>
      </w:r>
      <w:r w:rsidR="00190923" w:rsidRPr="00981405">
        <w:t xml:space="preserve"> </w:t>
      </w:r>
      <w:r w:rsidRPr="00981405">
        <w:t>that</w:t>
      </w:r>
      <w:r w:rsidR="00190923" w:rsidRPr="00981405">
        <w:t xml:space="preserve"> </w:t>
      </w:r>
      <w:r w:rsidRPr="00981405">
        <w:t>in</w:t>
      </w:r>
      <w:r w:rsidR="00190923" w:rsidRPr="00981405">
        <w:t xml:space="preserve"> </w:t>
      </w:r>
      <w:r w:rsidRPr="00981405">
        <w:t>practice,</w:t>
      </w:r>
      <w:r w:rsidR="00190923" w:rsidRPr="00981405">
        <w:t xml:space="preserve"> </w:t>
      </w:r>
      <w:r w:rsidRPr="00981405">
        <w:t>as</w:t>
      </w:r>
      <w:r w:rsidR="00190923" w:rsidRPr="00981405">
        <w:t xml:space="preserve"> </w:t>
      </w:r>
      <w:r w:rsidRPr="00981405">
        <w:t>indicated</w:t>
      </w:r>
      <w:r w:rsidR="00190923" w:rsidRPr="00981405">
        <w:t xml:space="preserve"> </w:t>
      </w:r>
      <w:r w:rsidRPr="00981405">
        <w:t>above,</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have</w:t>
      </w:r>
      <w:r w:rsidR="00190923" w:rsidRPr="00981405">
        <w:t xml:space="preserve"> </w:t>
      </w:r>
      <w:r w:rsidRPr="00981405">
        <w:t>been</w:t>
      </w:r>
      <w:r w:rsidR="00190923" w:rsidRPr="00981405">
        <w:t xml:space="preserve"> </w:t>
      </w:r>
      <w:r w:rsidRPr="00981405">
        <w:t>applied</w:t>
      </w:r>
      <w:r w:rsidR="00190923" w:rsidRPr="00981405">
        <w:t xml:space="preserve"> </w:t>
      </w:r>
      <w:r w:rsidRPr="00981405">
        <w:t>to</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only</w:t>
      </w:r>
      <w:r w:rsidR="00190923" w:rsidRPr="00981405">
        <w:t xml:space="preserve"> </w:t>
      </w:r>
      <w:r w:rsidRPr="00981405">
        <w:t>in</w:t>
      </w:r>
      <w:r w:rsidR="00190923" w:rsidRPr="00981405">
        <w:t xml:space="preserve"> </w:t>
      </w:r>
      <w:r w:rsidRPr="00981405">
        <w:t>the</w:t>
      </w:r>
      <w:r w:rsidR="00190923" w:rsidRPr="00981405">
        <w:t xml:space="preserve"> </w:t>
      </w:r>
      <w:r w:rsidRPr="00981405">
        <w:t>case</w:t>
      </w:r>
      <w:r w:rsidR="00190923" w:rsidRPr="00981405">
        <w:t xml:space="preserve"> </w:t>
      </w:r>
      <w:r w:rsidRPr="00981405">
        <w:t>of</w:t>
      </w:r>
      <w:r w:rsidR="00190923" w:rsidRPr="00981405">
        <w:t xml:space="preserve"> </w:t>
      </w:r>
      <w:r w:rsidRPr="00981405">
        <w:t>broadly-worded</w:t>
      </w:r>
      <w:r w:rsidR="00190923" w:rsidRPr="00981405">
        <w:t xml:space="preserve"> </w:t>
      </w:r>
      <w:r w:rsidRPr="00981405">
        <w:t>MFN</w:t>
      </w:r>
      <w:r w:rsidR="00190923" w:rsidRPr="00981405">
        <w:t xml:space="preserve"> </w:t>
      </w:r>
      <w:r w:rsidRPr="00981405">
        <w:t>clauses</w:t>
      </w:r>
      <w:r w:rsidR="00190923" w:rsidRPr="00981405">
        <w:t xml:space="preserve"> </w:t>
      </w:r>
      <w:r w:rsidRPr="00981405">
        <w:t>and</w:t>
      </w:r>
      <w:r w:rsidR="00190923" w:rsidRPr="00981405">
        <w:t xml:space="preserve"> </w:t>
      </w:r>
      <w:r w:rsidRPr="00981405">
        <w:t>that</w:t>
      </w:r>
      <w:r w:rsidR="00190923" w:rsidRPr="00981405">
        <w:t xml:space="preserve"> </w:t>
      </w:r>
      <w:r w:rsidRPr="00981405">
        <w:t>their</w:t>
      </w:r>
      <w:r w:rsidR="00190923" w:rsidRPr="00981405">
        <w:t xml:space="preserve"> </w:t>
      </w:r>
      <w:r w:rsidRPr="00981405">
        <w:t>MFN</w:t>
      </w:r>
      <w:r w:rsidR="00190923" w:rsidRPr="00981405">
        <w:t xml:space="preserve"> </w:t>
      </w:r>
      <w:r w:rsidRPr="00981405">
        <w:t>provisions</w:t>
      </w:r>
      <w:r w:rsidR="00190923" w:rsidRPr="00981405">
        <w:t xml:space="preserve"> </w:t>
      </w:r>
      <w:r w:rsidRPr="00981405">
        <w:t>are</w:t>
      </w:r>
      <w:r w:rsidR="00190923" w:rsidRPr="00981405">
        <w:t xml:space="preserve"> </w:t>
      </w:r>
      <w:r w:rsidRPr="00981405">
        <w:t>not</w:t>
      </w:r>
      <w:r w:rsidR="00190923" w:rsidRPr="00981405">
        <w:t xml:space="preserve"> </w:t>
      </w:r>
      <w:r w:rsidRPr="00981405">
        <w:t>broadly-worded.</w:t>
      </w:r>
    </w:p>
    <w:p w:rsidR="00397032" w:rsidRPr="00981405" w:rsidRDefault="00397032" w:rsidP="00D97463">
      <w:pPr>
        <w:pStyle w:val="SingleTxt"/>
      </w:pPr>
      <w:r w:rsidRPr="00981405">
        <w:t>211.</w:t>
      </w:r>
      <w:r w:rsidRPr="00981405">
        <w:tab/>
        <w:t>In</w:t>
      </w:r>
      <w:r w:rsidR="00190923" w:rsidRPr="00981405">
        <w:t xml:space="preserve"> </w:t>
      </w:r>
      <w:r w:rsidRPr="00981405">
        <w:t>any</w:t>
      </w:r>
      <w:r w:rsidR="00190923" w:rsidRPr="00981405">
        <w:t xml:space="preserve"> </w:t>
      </w:r>
      <w:r w:rsidRPr="00981405">
        <w:t>event,</w:t>
      </w:r>
      <w:r w:rsidR="00190923" w:rsidRPr="00981405">
        <w:t xml:space="preserve"> </w:t>
      </w:r>
      <w:r w:rsidRPr="00981405">
        <w:t>the</w:t>
      </w:r>
      <w:r w:rsidR="00190923" w:rsidRPr="00981405">
        <w:t xml:space="preserve"> </w:t>
      </w:r>
      <w:r w:rsidRPr="00981405">
        <w:t>Study</w:t>
      </w:r>
      <w:r w:rsidR="00190923" w:rsidRPr="00981405">
        <w:t xml:space="preserve"> </w:t>
      </w:r>
      <w:r w:rsidRPr="00981405">
        <w:t>Group</w:t>
      </w:r>
      <w:r w:rsidR="00190923" w:rsidRPr="00981405">
        <w:t xml:space="preserve"> </w:t>
      </w:r>
      <w:r w:rsidRPr="00981405">
        <w:t>concluded</w:t>
      </w:r>
      <w:r w:rsidR="00190923" w:rsidRPr="00981405">
        <w:t xml:space="preserve"> </w:t>
      </w:r>
      <w:r w:rsidRPr="00981405">
        <w:t>that</w:t>
      </w:r>
      <w:r w:rsidR="00190923" w:rsidRPr="00981405">
        <w:t xml:space="preserve"> </w:t>
      </w:r>
      <w:r w:rsidRPr="00981405">
        <w:t>the</w:t>
      </w:r>
      <w:r w:rsidR="00190923" w:rsidRPr="00981405">
        <w:t xml:space="preserve"> </w:t>
      </w:r>
      <w:r w:rsidRPr="00981405">
        <w:t>guidance</w:t>
      </w:r>
      <w:r w:rsidR="00190923" w:rsidRPr="00981405">
        <w:t xml:space="preserve"> </w:t>
      </w:r>
      <w:r w:rsidRPr="00981405">
        <w:t>provided</w:t>
      </w:r>
      <w:r w:rsidR="00190923" w:rsidRPr="00981405">
        <w:t xml:space="preserve"> </w:t>
      </w:r>
      <w:r w:rsidRPr="00981405">
        <w:t>here</w:t>
      </w:r>
      <w:r w:rsidR="00190923" w:rsidRPr="00981405">
        <w:t xml:space="preserve"> </w:t>
      </w:r>
      <w:r w:rsidRPr="00981405">
        <w:t>of</w:t>
      </w:r>
      <w:r w:rsidR="00190923" w:rsidRPr="00981405">
        <w:t xml:space="preserve"> </w:t>
      </w:r>
      <w:r w:rsidRPr="00981405">
        <w:t>wording</w:t>
      </w:r>
      <w:r w:rsidR="00190923" w:rsidRPr="00981405">
        <w:t xml:space="preserve"> </w:t>
      </w:r>
      <w:r w:rsidRPr="00981405">
        <w:t>that</w:t>
      </w:r>
      <w:r w:rsidR="00190923" w:rsidRPr="00981405">
        <w:t xml:space="preserve"> </w:t>
      </w:r>
      <w:r w:rsidRPr="00981405">
        <w:t>may</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as</w:t>
      </w:r>
      <w:r w:rsidR="00190923" w:rsidRPr="00981405">
        <w:t xml:space="preserve"> </w:t>
      </w:r>
      <w:r w:rsidRPr="00981405">
        <w:t>incorporating</w:t>
      </w:r>
      <w:r w:rsidR="00190923" w:rsidRPr="00981405">
        <w:t xml:space="preserve"> </w:t>
      </w:r>
      <w:r w:rsidRPr="00981405">
        <w:t>dispute</w:t>
      </w:r>
      <w:r w:rsidR="00190923" w:rsidRPr="00981405">
        <w:t xml:space="preserve"> </w:t>
      </w:r>
      <w:r w:rsidRPr="00981405">
        <w:t>settlement</w:t>
      </w:r>
      <w:r w:rsidR="00190923" w:rsidRPr="00981405">
        <w:t xml:space="preserve"> </w:t>
      </w:r>
      <w:r w:rsidRPr="00981405">
        <w:t>provisions</w:t>
      </w:r>
      <w:r w:rsidR="00190923" w:rsidRPr="00981405">
        <w:t xml:space="preserve"> </w:t>
      </w:r>
      <w:r w:rsidRPr="00981405">
        <w:t>within</w:t>
      </w:r>
      <w:r w:rsidR="00190923" w:rsidRPr="00981405">
        <w:t xml:space="preserve"> </w:t>
      </w:r>
      <w:r w:rsidRPr="00981405">
        <w:t>the</w:t>
      </w:r>
      <w:r w:rsidR="00190923" w:rsidRPr="00981405">
        <w:t xml:space="preserve"> </w:t>
      </w:r>
      <w:r w:rsidRPr="00981405">
        <w:t>scope</w:t>
      </w:r>
      <w:r w:rsidR="00190923" w:rsidRPr="00981405">
        <w:t xml:space="preserve"> </w:t>
      </w:r>
      <w:r w:rsidRPr="00981405">
        <w:t>of</w:t>
      </w:r>
      <w:r w:rsidR="00190923" w:rsidRPr="00981405">
        <w:t xml:space="preserve"> </w:t>
      </w:r>
      <w:r w:rsidRPr="00981405">
        <w:t>MFN,</w:t>
      </w:r>
      <w:r w:rsidR="00190923" w:rsidRPr="00981405">
        <w:t xml:space="preserve"> </w:t>
      </w:r>
      <w:r w:rsidRPr="00981405">
        <w:t>and</w:t>
      </w:r>
      <w:r w:rsidR="00190923" w:rsidRPr="00981405">
        <w:t xml:space="preserve"> </w:t>
      </w:r>
      <w:r w:rsidRPr="00981405">
        <w:t>examples</w:t>
      </w:r>
      <w:r w:rsidR="00190923" w:rsidRPr="00981405">
        <w:t xml:space="preserve"> </w:t>
      </w:r>
      <w:r w:rsidRPr="00981405">
        <w:t>of</w:t>
      </w:r>
      <w:r w:rsidR="00190923" w:rsidRPr="00981405">
        <w:t xml:space="preserve"> </w:t>
      </w:r>
      <w:r w:rsidRPr="00981405">
        <w:t>agreements</w:t>
      </w:r>
      <w:r w:rsidR="00190923" w:rsidRPr="00981405">
        <w:t xml:space="preserve"> </w:t>
      </w:r>
      <w:r w:rsidRPr="00981405">
        <w:t>where</w:t>
      </w:r>
      <w:r w:rsidR="00190923" w:rsidRPr="00981405">
        <w:t xml:space="preserve"> </w:t>
      </w:r>
      <w:r w:rsidRPr="00981405">
        <w:t>governments</w:t>
      </w:r>
      <w:r w:rsidR="00190923" w:rsidRPr="00981405">
        <w:t xml:space="preserve"> </w:t>
      </w:r>
      <w:r w:rsidRPr="00981405">
        <w:t>have</w:t>
      </w:r>
      <w:r w:rsidR="00190923" w:rsidRPr="00981405">
        <w:t xml:space="preserve"> </w:t>
      </w:r>
      <w:r w:rsidRPr="00981405">
        <w:t>explicitly</w:t>
      </w:r>
      <w:r w:rsidR="00190923" w:rsidRPr="00981405">
        <w:t xml:space="preserve"> </w:t>
      </w:r>
      <w:r w:rsidRPr="00981405">
        <w:t>excluded</w:t>
      </w:r>
      <w:r w:rsidR="00190923" w:rsidRPr="00981405">
        <w:t xml:space="preserve"> </w:t>
      </w:r>
      <w:r w:rsidRPr="00981405">
        <w:t>it,</w:t>
      </w:r>
      <w:r w:rsidR="00190923" w:rsidRPr="00981405">
        <w:t xml:space="preserve"> </w:t>
      </w:r>
      <w:r w:rsidRPr="00981405">
        <w:t>might</w:t>
      </w:r>
      <w:r w:rsidR="00190923" w:rsidRPr="00981405">
        <w:t xml:space="preserve"> </w:t>
      </w:r>
      <w:r w:rsidRPr="00981405">
        <w:t>be</w:t>
      </w:r>
      <w:r w:rsidR="00190923" w:rsidRPr="00981405">
        <w:t xml:space="preserve"> </w:t>
      </w:r>
      <w:r w:rsidRPr="00981405">
        <w:t>of</w:t>
      </w:r>
      <w:r w:rsidR="00190923" w:rsidRPr="00981405">
        <w:t xml:space="preserve"> </w:t>
      </w:r>
      <w:r w:rsidRPr="00981405">
        <w:t>assistance</w:t>
      </w:r>
      <w:r w:rsidR="00190923" w:rsidRPr="00981405">
        <w:t xml:space="preserve"> </w:t>
      </w:r>
      <w:r w:rsidRPr="00981405">
        <w:t>to</w:t>
      </w:r>
      <w:r w:rsidR="00190923" w:rsidRPr="00981405">
        <w:t xml:space="preserve"> </w:t>
      </w:r>
      <w:r w:rsidRPr="00981405">
        <w:t>States</w:t>
      </w:r>
      <w:r w:rsidR="00190923" w:rsidRPr="00981405">
        <w:t xml:space="preserve"> </w:t>
      </w:r>
      <w:r w:rsidRPr="00981405">
        <w:t>in</w:t>
      </w:r>
      <w:r w:rsidR="00190923" w:rsidRPr="00981405">
        <w:t xml:space="preserve"> </w:t>
      </w:r>
      <w:r w:rsidRPr="00981405">
        <w:t>considering</w:t>
      </w:r>
      <w:r w:rsidR="00190923" w:rsidRPr="00981405">
        <w:t xml:space="preserve"> </w:t>
      </w:r>
      <w:r w:rsidRPr="00981405">
        <w:t>how</w:t>
      </w:r>
      <w:r w:rsidR="00190923" w:rsidRPr="00981405">
        <w:t xml:space="preserve"> </w:t>
      </w:r>
      <w:r w:rsidRPr="00981405">
        <w:t>their</w:t>
      </w:r>
      <w:r w:rsidR="00190923" w:rsidRPr="00981405">
        <w:t xml:space="preserve"> </w:t>
      </w:r>
      <w:r w:rsidRPr="00981405">
        <w:t>investment</w:t>
      </w:r>
      <w:r w:rsidR="00190923" w:rsidRPr="00981405">
        <w:t xml:space="preserve"> </w:t>
      </w:r>
      <w:r w:rsidRPr="00981405">
        <w:t>agreements</w:t>
      </w:r>
      <w:r w:rsidR="00190923" w:rsidRPr="00981405">
        <w:t xml:space="preserve"> </w:t>
      </w:r>
      <w:r w:rsidRPr="00981405">
        <w:t>might</w:t>
      </w:r>
      <w:r w:rsidR="00190923" w:rsidRPr="00981405">
        <w:t xml:space="preserve"> </w:t>
      </w:r>
      <w:r w:rsidRPr="00981405">
        <w:t>be</w:t>
      </w:r>
      <w:r w:rsidR="00190923" w:rsidRPr="00981405">
        <w:t xml:space="preserve"> </w:t>
      </w:r>
      <w:r w:rsidRPr="00981405">
        <w:t>interpreted</w:t>
      </w:r>
      <w:r w:rsidR="00190923" w:rsidRPr="00981405">
        <w:t xml:space="preserve"> </w:t>
      </w:r>
      <w:r w:rsidRPr="00981405">
        <w:t>and</w:t>
      </w:r>
      <w:r w:rsidR="00190923" w:rsidRPr="00981405">
        <w:t xml:space="preserve"> </w:t>
      </w:r>
      <w:r w:rsidRPr="00981405">
        <w:t>what</w:t>
      </w:r>
      <w:r w:rsidR="00190923" w:rsidRPr="00981405">
        <w:t xml:space="preserve"> </w:t>
      </w:r>
      <w:r w:rsidRPr="00981405">
        <w:t>they</w:t>
      </w:r>
      <w:r w:rsidR="00190923" w:rsidRPr="00981405">
        <w:t xml:space="preserve"> </w:t>
      </w:r>
      <w:r w:rsidRPr="00981405">
        <w:t>might</w:t>
      </w:r>
      <w:r w:rsidR="00190923" w:rsidRPr="00981405">
        <w:t xml:space="preserve"> </w:t>
      </w:r>
      <w:r w:rsidRPr="00981405">
        <w:t>take</w:t>
      </w:r>
      <w:r w:rsidR="00190923" w:rsidRPr="00981405">
        <w:t xml:space="preserve"> </w:t>
      </w:r>
      <w:r w:rsidRPr="00981405">
        <w:t>into</w:t>
      </w:r>
      <w:r w:rsidR="00190923" w:rsidRPr="00981405">
        <w:t xml:space="preserve"> </w:t>
      </w:r>
      <w:r w:rsidRPr="00981405">
        <w:t>account</w:t>
      </w:r>
      <w:r w:rsidR="00190923" w:rsidRPr="00981405">
        <w:t xml:space="preserve"> </w:t>
      </w:r>
      <w:r w:rsidRPr="00981405">
        <w:t>in</w:t>
      </w:r>
      <w:r w:rsidR="00190923" w:rsidRPr="00981405">
        <w:t xml:space="preserve"> </w:t>
      </w:r>
      <w:r w:rsidRPr="00981405">
        <w:t>negotiating</w:t>
      </w:r>
      <w:r w:rsidR="00190923" w:rsidRPr="00981405">
        <w:t xml:space="preserve"> </w:t>
      </w:r>
      <w:r w:rsidRPr="00981405">
        <w:t>new</w:t>
      </w:r>
      <w:r w:rsidR="00190923" w:rsidRPr="00981405">
        <w:t xml:space="preserve"> </w:t>
      </w:r>
      <w:r w:rsidRPr="00981405">
        <w:t>agreements.</w:t>
      </w:r>
      <w:r w:rsidR="00190923" w:rsidRPr="00981405">
        <w:t xml:space="preserve"> </w:t>
      </w:r>
    </w:p>
    <w:p w:rsidR="00397032" w:rsidRPr="00D97463" w:rsidRDefault="00397032" w:rsidP="00D97463">
      <w:pPr>
        <w:pStyle w:val="SingleTxt"/>
        <w:spacing w:after="0" w:line="120" w:lineRule="exact"/>
        <w:rPr>
          <w:sz w:val="10"/>
        </w:rPr>
      </w:pPr>
    </w:p>
    <w:p w:rsidR="004176F2" w:rsidRPr="00D97463" w:rsidRDefault="004176F2" w:rsidP="00D97463">
      <w:pPr>
        <w:pStyle w:val="SingleTxt"/>
        <w:spacing w:after="0" w:line="120" w:lineRule="exact"/>
        <w:rPr>
          <w:sz w:val="10"/>
        </w:rPr>
      </w:pPr>
    </w:p>
    <w:p w:rsidR="00397032" w:rsidRPr="00D97463" w:rsidRDefault="00397032" w:rsidP="00D97463">
      <w:pPr>
        <w:pStyle w:val="HCh"/>
        <w:ind w:left="1267" w:right="1260" w:hanging="1267"/>
      </w:pPr>
      <w:bookmarkStart w:id="338" w:name="_Toc293434198"/>
      <w:bookmarkStart w:id="339" w:name="_Toc294353711"/>
      <w:r w:rsidRPr="00D97463">
        <w:tab/>
      </w:r>
      <w:r w:rsidRPr="00D97463">
        <w:tab/>
      </w:r>
      <w:bookmarkStart w:id="340" w:name="_Toc427938210"/>
      <w:r w:rsidRPr="00D97463">
        <w:t>Part</w:t>
      </w:r>
      <w:r w:rsidR="00190923" w:rsidRPr="00D97463">
        <w:t xml:space="preserve"> </w:t>
      </w:r>
      <w:r w:rsidRPr="00D97463">
        <w:t>V</w:t>
      </w:r>
      <w:r w:rsidR="004176F2" w:rsidRPr="00D97463">
        <w:br/>
      </w:r>
      <w:r w:rsidRPr="00D97463">
        <w:t>Summary</w:t>
      </w:r>
      <w:r w:rsidR="00190923" w:rsidRPr="00D97463">
        <w:t xml:space="preserve"> </w:t>
      </w:r>
      <w:r w:rsidRPr="00D97463">
        <w:t>of</w:t>
      </w:r>
      <w:r w:rsidR="00190923" w:rsidRPr="00D97463">
        <w:t xml:space="preserve"> </w:t>
      </w:r>
      <w:r w:rsidRPr="00D97463">
        <w:t>Conclusions</w:t>
      </w:r>
      <w:bookmarkEnd w:id="338"/>
      <w:bookmarkEnd w:id="339"/>
      <w:bookmarkEnd w:id="340"/>
    </w:p>
    <w:p w:rsidR="004176F2" w:rsidRPr="00D97463" w:rsidRDefault="004176F2" w:rsidP="00D97463">
      <w:pPr>
        <w:pStyle w:val="SingleTxt"/>
        <w:spacing w:after="0" w:line="120" w:lineRule="exact"/>
        <w:rPr>
          <w:rFonts w:eastAsia="SimSun"/>
          <w:sz w:val="10"/>
        </w:rPr>
      </w:pPr>
    </w:p>
    <w:p w:rsidR="004176F2" w:rsidRPr="00D97463" w:rsidRDefault="004176F2" w:rsidP="00D97463">
      <w:pPr>
        <w:pStyle w:val="SingleTxt"/>
        <w:spacing w:after="0" w:line="120" w:lineRule="exact"/>
        <w:rPr>
          <w:rFonts w:eastAsia="SimSun"/>
          <w:sz w:val="10"/>
        </w:rPr>
      </w:pPr>
    </w:p>
    <w:p w:rsidR="00397032" w:rsidRPr="00981405" w:rsidRDefault="00397032" w:rsidP="00D97463">
      <w:pPr>
        <w:pStyle w:val="SingleTxt"/>
        <w:rPr>
          <w:rFonts w:eastAsia="SimSun"/>
        </w:rPr>
      </w:pPr>
      <w:r w:rsidRPr="00981405">
        <w:rPr>
          <w:rFonts w:eastAsia="SimSun"/>
        </w:rPr>
        <w:t>212.</w:t>
      </w:r>
      <w:r w:rsidRPr="00981405">
        <w:rPr>
          <w:rFonts w:eastAsia="SimSun"/>
        </w:rPr>
        <w:tab/>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remain</w:t>
      </w:r>
      <w:r w:rsidR="00190923" w:rsidRPr="00981405">
        <w:rPr>
          <w:rFonts w:eastAsia="SimSun"/>
        </w:rPr>
        <w:t xml:space="preserve"> </w:t>
      </w:r>
      <w:r w:rsidRPr="00981405">
        <w:rPr>
          <w:rFonts w:eastAsia="SimSun"/>
        </w:rPr>
        <w:t>unchanged</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character</w:t>
      </w:r>
      <w:r w:rsidR="00190923" w:rsidRPr="00981405">
        <w:rPr>
          <w:rFonts w:eastAsia="SimSun"/>
        </w:rPr>
        <w:t xml:space="preserve"> </w:t>
      </w:r>
      <w:r w:rsidRPr="00981405">
        <w:rPr>
          <w:rFonts w:eastAsia="SimSun"/>
        </w:rPr>
        <w:t>from</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time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were</w:t>
      </w:r>
      <w:r w:rsidR="00190923" w:rsidRPr="00981405">
        <w:rPr>
          <w:rFonts w:eastAsia="SimSun"/>
        </w:rPr>
        <w:t xml:space="preserve"> </w:t>
      </w:r>
      <w:r w:rsidRPr="00981405">
        <w:rPr>
          <w:rFonts w:eastAsia="SimSun"/>
        </w:rPr>
        <w:t>concluded.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core</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1978</w:t>
      </w:r>
      <w:r w:rsidR="00190923" w:rsidRPr="00981405">
        <w:rPr>
          <w:rFonts w:eastAsia="SimSun"/>
        </w:rPr>
        <w:t xml:space="preserve"> </w:t>
      </w:r>
      <w:r w:rsidRPr="00981405">
        <w:rPr>
          <w:rFonts w:eastAsia="SimSun"/>
        </w:rPr>
        <w:t>draft</w:t>
      </w:r>
      <w:r w:rsidR="00190923" w:rsidRPr="00981405">
        <w:rPr>
          <w:rFonts w:eastAsia="SimSun"/>
        </w:rPr>
        <w:t xml:space="preserve"> </w:t>
      </w:r>
      <w:r w:rsidRPr="00981405">
        <w:rPr>
          <w:rFonts w:eastAsia="SimSun"/>
        </w:rPr>
        <w:t>articles</w:t>
      </w:r>
      <w:r w:rsidR="00190923" w:rsidRPr="00981405">
        <w:rPr>
          <w:rFonts w:eastAsia="SimSun"/>
        </w:rPr>
        <w:t xml:space="preserve"> </w:t>
      </w:r>
      <w:r w:rsidRPr="00981405">
        <w:rPr>
          <w:rFonts w:eastAsia="SimSun"/>
        </w:rPr>
        <w:t>continue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basis</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today.</w:t>
      </w:r>
      <w:r w:rsidR="00190923" w:rsidRPr="00981405">
        <w:rPr>
          <w:rFonts w:eastAsia="SimSun"/>
        </w:rPr>
        <w:t xml:space="preserve"> </w:t>
      </w:r>
      <w:r w:rsidRPr="00981405">
        <w:rPr>
          <w:rFonts w:eastAsia="SimSun"/>
        </w:rPr>
        <w:t>However,</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do</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provide</w:t>
      </w:r>
      <w:r w:rsidR="00190923" w:rsidRPr="00981405">
        <w:rPr>
          <w:rFonts w:eastAsia="SimSun"/>
        </w:rPr>
        <w:t xml:space="preserve"> </w:t>
      </w:r>
      <w:r w:rsidRPr="00981405">
        <w:rPr>
          <w:rFonts w:eastAsia="SimSun"/>
        </w:rPr>
        <w:t>answers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all</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issues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arise</w:t>
      </w:r>
      <w:r w:rsidR="00190923" w:rsidRPr="00981405">
        <w:rPr>
          <w:rFonts w:eastAsia="SimSun"/>
        </w:rPr>
        <w:t xml:space="preserve"> </w:t>
      </w:r>
      <w:r w:rsidRPr="00981405">
        <w:rPr>
          <w:rFonts w:eastAsia="SimSun"/>
        </w:rPr>
        <w:t>with</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p>
    <w:p w:rsidR="00397032" w:rsidRPr="00981405" w:rsidRDefault="00397032" w:rsidP="00D97463">
      <w:pPr>
        <w:pStyle w:val="SingleTxt"/>
        <w:rPr>
          <w:rFonts w:eastAsia="SimSun"/>
        </w:rPr>
      </w:pPr>
      <w:r w:rsidRPr="00981405">
        <w:rPr>
          <w:rFonts w:eastAsia="SimSun"/>
        </w:rPr>
        <w:t>213.</w:t>
      </w:r>
      <w:r w:rsidRPr="00981405">
        <w:rPr>
          <w:rFonts w:eastAsia="SimSun"/>
        </w:rPr>
        <w:tab/>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undertaken</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basis</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rules</w:t>
      </w:r>
      <w:r w:rsidR="00190923" w:rsidRPr="00981405">
        <w:rPr>
          <w:rFonts w:eastAsia="SimSun"/>
        </w:rPr>
        <w:t xml:space="preserve"> </w:t>
      </w:r>
      <w:r w:rsidRPr="00981405">
        <w:rPr>
          <w:rFonts w:eastAsia="SimSun"/>
        </w:rPr>
        <w:t>for</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treaties</w:t>
      </w:r>
      <w:r w:rsidR="00190923" w:rsidRPr="00981405">
        <w:rPr>
          <w:rFonts w:eastAsia="SimSun"/>
        </w:rPr>
        <w:t xml:space="preserve"> </w:t>
      </w:r>
      <w:r w:rsidRPr="00981405">
        <w:rPr>
          <w:rFonts w:eastAsia="SimSun"/>
        </w:rPr>
        <w:t>as</w:t>
      </w:r>
      <w:r w:rsidR="00190923" w:rsidRPr="00981405">
        <w:rPr>
          <w:rFonts w:eastAsia="SimSun"/>
        </w:rPr>
        <w:t xml:space="preserve"> </w:t>
      </w:r>
      <w:r w:rsidRPr="00981405">
        <w:rPr>
          <w:rFonts w:eastAsia="SimSun"/>
        </w:rPr>
        <w:t>set</w:t>
      </w:r>
      <w:r w:rsidR="00190923" w:rsidRPr="00981405">
        <w:rPr>
          <w:rFonts w:eastAsia="SimSun"/>
        </w:rPr>
        <w:t xml:space="preserve"> </w:t>
      </w:r>
      <w:r w:rsidRPr="00981405">
        <w:rPr>
          <w:rFonts w:eastAsia="SimSun"/>
        </w:rPr>
        <w:t>out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VCLT.</w:t>
      </w:r>
    </w:p>
    <w:p w:rsidR="00397032" w:rsidRPr="00981405" w:rsidRDefault="00397032" w:rsidP="00D97463">
      <w:pPr>
        <w:pStyle w:val="SingleTxt"/>
        <w:rPr>
          <w:rFonts w:eastAsia="SimSun"/>
        </w:rPr>
      </w:pPr>
      <w:r w:rsidRPr="00981405">
        <w:rPr>
          <w:rFonts w:eastAsia="SimSun"/>
        </w:rPr>
        <w:t>214.</w:t>
      </w:r>
      <w:r w:rsidRPr="00981405">
        <w:rPr>
          <w:rFonts w:eastAsia="SimSun"/>
        </w:rPr>
        <w:tab/>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central</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issue</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respect</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relates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clause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00BF6F4D" w:rsidRPr="00981405">
        <w:rPr>
          <w:rFonts w:eastAsia="SimSun"/>
          <w:i/>
          <w:iCs/>
        </w:rPr>
        <w:t>ejusdem generis</w:t>
      </w:r>
      <w:r w:rsidR="00190923" w:rsidRPr="00981405">
        <w:rPr>
          <w:rFonts w:eastAsia="SimSun"/>
        </w:rPr>
        <w:t xml:space="preserve"> </w:t>
      </w:r>
      <w:r w:rsidRPr="00981405">
        <w:rPr>
          <w:rFonts w:eastAsia="SimSun"/>
        </w:rPr>
        <w:t>principle.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scope</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nature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benefit</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obtained</w:t>
      </w:r>
      <w:r w:rsidR="00190923" w:rsidRPr="00981405">
        <w:rPr>
          <w:rFonts w:eastAsia="SimSun"/>
        </w:rPr>
        <w:t xml:space="preserve"> </w:t>
      </w:r>
      <w:r w:rsidRPr="00981405">
        <w:rPr>
          <w:rFonts w:eastAsia="SimSun"/>
        </w:rPr>
        <w:t>under</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depends</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itself.</w:t>
      </w:r>
    </w:p>
    <w:p w:rsidR="00397032" w:rsidRPr="00981405" w:rsidRDefault="00397032" w:rsidP="00D97463">
      <w:pPr>
        <w:pStyle w:val="SingleTxt"/>
        <w:rPr>
          <w:rFonts w:eastAsia="SimSun"/>
        </w:rPr>
      </w:pPr>
      <w:r w:rsidRPr="00981405">
        <w:rPr>
          <w:rFonts w:eastAsia="SimSun"/>
        </w:rPr>
        <w:t>215.</w:t>
      </w:r>
      <w:r w:rsidRPr="00981405">
        <w:rPr>
          <w:rFonts w:eastAsia="SimSun"/>
        </w:rPr>
        <w:tab/>
        <w:t>The</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settlement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treaty</w:t>
      </w:r>
      <w:r w:rsidR="00190923" w:rsidRPr="00981405">
        <w:rPr>
          <w:rFonts w:eastAsia="SimSun"/>
        </w:rPr>
        <w:t xml:space="preserve"> </w:t>
      </w:r>
      <w:r w:rsidRPr="00981405">
        <w:rPr>
          <w:rFonts w:eastAsia="SimSun"/>
        </w:rPr>
        <w:t>arbitration,</w:t>
      </w:r>
      <w:r w:rsidR="00190923" w:rsidRPr="00981405">
        <w:rPr>
          <w:rFonts w:eastAsia="SimSun"/>
        </w:rPr>
        <w:t xml:space="preserve"> </w:t>
      </w:r>
      <w:r w:rsidRPr="00981405">
        <w:rPr>
          <w:rFonts w:eastAsia="SimSun"/>
        </w:rPr>
        <w:t>rather</w:t>
      </w:r>
      <w:r w:rsidR="00190923" w:rsidRPr="00981405">
        <w:rPr>
          <w:rFonts w:eastAsia="SimSun"/>
        </w:rPr>
        <w:t xml:space="preserve"> </w:t>
      </w:r>
      <w:r w:rsidRPr="00981405">
        <w:rPr>
          <w:rFonts w:eastAsia="SimSun"/>
        </w:rPr>
        <w:t>than</w:t>
      </w:r>
      <w:r w:rsidR="00190923" w:rsidRPr="00981405">
        <w:rPr>
          <w:rFonts w:eastAsia="SimSun"/>
        </w:rPr>
        <w:t xml:space="preserve"> </w:t>
      </w:r>
      <w:r w:rsidRPr="00981405">
        <w:rPr>
          <w:rFonts w:eastAsia="SimSun"/>
        </w:rPr>
        <w:t>limiting</w:t>
      </w:r>
      <w:r w:rsidR="00190923" w:rsidRPr="00981405">
        <w:rPr>
          <w:rFonts w:eastAsia="SimSun"/>
        </w:rPr>
        <w:t xml:space="preserve"> </w:t>
      </w:r>
      <w:r w:rsidRPr="00981405">
        <w:rPr>
          <w:rFonts w:eastAsia="SimSun"/>
        </w:rPr>
        <w:t>them</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substantive</w:t>
      </w:r>
      <w:r w:rsidR="00190923" w:rsidRPr="00981405">
        <w:rPr>
          <w:rFonts w:eastAsia="SimSun"/>
        </w:rPr>
        <w:t xml:space="preserve"> </w:t>
      </w:r>
      <w:r w:rsidRPr="00981405">
        <w:rPr>
          <w:rFonts w:eastAsia="SimSun"/>
        </w:rPr>
        <w:t>obligations,</w:t>
      </w:r>
      <w:r w:rsidR="00190923" w:rsidRPr="00981405">
        <w:rPr>
          <w:rFonts w:eastAsia="SimSun"/>
        </w:rPr>
        <w:t xml:space="preserve"> </w:t>
      </w:r>
      <w:r w:rsidRPr="00981405">
        <w:rPr>
          <w:rFonts w:eastAsia="SimSun"/>
        </w:rPr>
        <w:t>brought</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new</w:t>
      </w:r>
      <w:r w:rsidR="00190923" w:rsidRPr="00981405">
        <w:rPr>
          <w:rFonts w:eastAsia="SimSun"/>
        </w:rPr>
        <w:t xml:space="preserve"> </w:t>
      </w:r>
      <w:r w:rsidRPr="00981405">
        <w:rPr>
          <w:rFonts w:eastAsia="SimSun"/>
        </w:rPr>
        <w:t>dimension</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thinking</w:t>
      </w:r>
      <w:r w:rsidR="00190923" w:rsidRPr="00981405">
        <w:rPr>
          <w:rFonts w:eastAsia="SimSun"/>
        </w:rPr>
        <w:t xml:space="preserve"> </w:t>
      </w:r>
      <w:r w:rsidRPr="00981405">
        <w:rPr>
          <w:rFonts w:eastAsia="SimSun"/>
        </w:rPr>
        <w:t>about</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perhaps</w:t>
      </w:r>
      <w:r w:rsidR="00190923" w:rsidRPr="00981405">
        <w:rPr>
          <w:rFonts w:eastAsia="SimSun"/>
        </w:rPr>
        <w:t xml:space="preserve"> </w:t>
      </w:r>
      <w:r w:rsidRPr="00981405">
        <w:rPr>
          <w:rFonts w:eastAsia="SimSun"/>
        </w:rPr>
        <w:t>consequences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had</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been</w:t>
      </w:r>
      <w:r w:rsidR="00190923" w:rsidRPr="00981405">
        <w:rPr>
          <w:rFonts w:eastAsia="SimSun"/>
        </w:rPr>
        <w:t xml:space="preserve"> </w:t>
      </w:r>
      <w:r w:rsidRPr="00981405">
        <w:rPr>
          <w:rFonts w:eastAsia="SimSun"/>
        </w:rPr>
        <w:t>foreseen</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parties</w:t>
      </w:r>
      <w:r w:rsidR="00190923" w:rsidRPr="00981405">
        <w:rPr>
          <w:rFonts w:eastAsia="SimSun"/>
        </w:rPr>
        <w:t xml:space="preserve"> </w:t>
      </w:r>
      <w:r w:rsidRPr="00981405">
        <w:rPr>
          <w:rFonts w:eastAsia="SimSun"/>
        </w:rPr>
        <w:t>when</w:t>
      </w:r>
      <w:r w:rsidR="00190923" w:rsidRPr="00981405">
        <w:rPr>
          <w:rFonts w:eastAsia="SimSun"/>
        </w:rPr>
        <w:t xml:space="preserve"> </w:t>
      </w:r>
      <w:r w:rsidRPr="00981405">
        <w:rPr>
          <w:rFonts w:eastAsia="SimSun"/>
        </w:rPr>
        <w:t>they</w:t>
      </w:r>
      <w:r w:rsidR="00190923" w:rsidRPr="00981405">
        <w:rPr>
          <w:rFonts w:eastAsia="SimSun"/>
        </w:rPr>
        <w:t xml:space="preserve"> </w:t>
      </w:r>
      <w:r w:rsidRPr="00981405">
        <w:rPr>
          <w:rFonts w:eastAsia="SimSun"/>
        </w:rPr>
        <w:t>negotiated</w:t>
      </w:r>
      <w:r w:rsidR="00190923" w:rsidRPr="00981405">
        <w:rPr>
          <w:rFonts w:eastAsia="SimSun"/>
        </w:rPr>
        <w:t xml:space="preserve"> </w:t>
      </w:r>
      <w:r w:rsidRPr="00981405">
        <w:rPr>
          <w:rFonts w:eastAsia="SimSun"/>
        </w:rPr>
        <w:t>their</w:t>
      </w:r>
      <w:r w:rsidR="00190923" w:rsidRPr="00981405">
        <w:rPr>
          <w:rFonts w:eastAsia="SimSun"/>
        </w:rPr>
        <w:t xml:space="preserve"> </w:t>
      </w:r>
      <w:r w:rsidRPr="00981405">
        <w:rPr>
          <w:rFonts w:eastAsia="SimSun"/>
        </w:rPr>
        <w:t>investment</w:t>
      </w:r>
      <w:r w:rsidR="00190923" w:rsidRPr="00981405">
        <w:rPr>
          <w:rFonts w:eastAsia="SimSun"/>
        </w:rPr>
        <w:t xml:space="preserve"> </w:t>
      </w:r>
      <w:r w:rsidRPr="00981405">
        <w:rPr>
          <w:rFonts w:eastAsia="SimSun"/>
        </w:rPr>
        <w:t>agreements.</w:t>
      </w:r>
      <w:r w:rsidR="00190923" w:rsidRPr="00981405">
        <w:rPr>
          <w:rFonts w:eastAsia="SimSun"/>
        </w:rPr>
        <w:t xml:space="preserve"> </w:t>
      </w:r>
      <w:r w:rsidRPr="00981405">
        <w:rPr>
          <w:rFonts w:eastAsia="SimSun"/>
        </w:rPr>
        <w:t>Nonetheless,</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remains</w:t>
      </w:r>
      <w:r w:rsidR="00190923" w:rsidRPr="00981405">
        <w:rPr>
          <w:rFonts w:eastAsia="SimSun"/>
        </w:rPr>
        <w:t xml:space="preserve"> </w:t>
      </w:r>
      <w:r w:rsidRPr="00981405">
        <w:rPr>
          <w:rFonts w:eastAsia="SimSun"/>
        </w:rPr>
        <w:t>one</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treaty</w:t>
      </w:r>
      <w:r w:rsidR="00190923" w:rsidRPr="00981405">
        <w:rPr>
          <w:rFonts w:eastAsia="SimSun"/>
        </w:rPr>
        <w:t xml:space="preserve"> </w:t>
      </w:r>
      <w:r w:rsidRPr="00981405">
        <w:rPr>
          <w:rFonts w:eastAsia="SimSun"/>
        </w:rPr>
        <w:t>interpretation.</w:t>
      </w:r>
      <w:r w:rsidR="00190923" w:rsidRPr="00981405">
        <w:rPr>
          <w:rFonts w:eastAsia="SimSun"/>
        </w:rPr>
        <w:t xml:space="preserve"> </w:t>
      </w:r>
    </w:p>
    <w:p w:rsidR="00397032" w:rsidRPr="00981405" w:rsidRDefault="00397032" w:rsidP="00D97463">
      <w:pPr>
        <w:pStyle w:val="SingleTxt"/>
        <w:keepNext/>
        <w:keepLines/>
        <w:rPr>
          <w:rFonts w:eastAsia="SimSun"/>
        </w:rPr>
      </w:pPr>
      <w:r w:rsidRPr="00981405">
        <w:rPr>
          <w:rFonts w:eastAsia="SimSun"/>
        </w:rPr>
        <w:t>216.</w:t>
      </w:r>
      <w:r w:rsidRPr="00981405">
        <w:rPr>
          <w:rFonts w:eastAsia="SimSun"/>
        </w:rPr>
        <w:tab/>
        <w:t>Whether</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encompass</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settlement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is</w:t>
      </w:r>
      <w:r w:rsidR="00190923" w:rsidRPr="00981405">
        <w:rPr>
          <w:rFonts w:eastAsia="SimSun"/>
        </w:rPr>
        <w:t xml:space="preserve"> </w:t>
      </w:r>
      <w:r w:rsidRPr="00981405">
        <w:rPr>
          <w:rFonts w:eastAsia="SimSun"/>
        </w:rPr>
        <w:t>ultimately</w:t>
      </w:r>
      <w:r w:rsidR="00190923" w:rsidRPr="00981405">
        <w:rPr>
          <w:rFonts w:eastAsia="SimSun"/>
        </w:rPr>
        <w:t xml:space="preserve"> </w:t>
      </w:r>
      <w:r w:rsidRPr="00981405">
        <w:rPr>
          <w:rFonts w:eastAsia="SimSun"/>
        </w:rPr>
        <w:t>up</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States</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negotiate</w:t>
      </w:r>
      <w:r w:rsidR="00190923" w:rsidRPr="00981405">
        <w:rPr>
          <w:rFonts w:eastAsia="SimSun"/>
        </w:rPr>
        <w:t xml:space="preserve"> </w:t>
      </w:r>
      <w:r w:rsidRPr="00981405">
        <w:rPr>
          <w:rFonts w:eastAsia="SimSun"/>
        </w:rPr>
        <w:t>such</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Explicit</w:t>
      </w:r>
      <w:r w:rsidR="00190923" w:rsidRPr="00981405">
        <w:rPr>
          <w:rFonts w:eastAsia="SimSun"/>
        </w:rPr>
        <w:t xml:space="preserve"> </w:t>
      </w:r>
      <w:r w:rsidRPr="00981405">
        <w:rPr>
          <w:rFonts w:eastAsia="SimSun"/>
        </w:rPr>
        <w:t>language</w:t>
      </w:r>
      <w:r w:rsidR="00190923" w:rsidRPr="00981405">
        <w:rPr>
          <w:rFonts w:eastAsia="SimSun"/>
        </w:rPr>
        <w:t xml:space="preserve"> </w:t>
      </w:r>
      <w:r w:rsidRPr="00981405">
        <w:rPr>
          <w:rFonts w:eastAsia="SimSun"/>
        </w:rPr>
        <w:t>can</w:t>
      </w:r>
      <w:r w:rsidR="00190923" w:rsidRPr="00981405">
        <w:rPr>
          <w:rFonts w:eastAsia="SimSun"/>
        </w:rPr>
        <w:t xml:space="preserve"> </w:t>
      </w:r>
      <w:r w:rsidRPr="00981405">
        <w:rPr>
          <w:rFonts w:eastAsia="SimSun"/>
        </w:rPr>
        <w:t>ensure</w:t>
      </w:r>
      <w:r w:rsidR="00190923" w:rsidRPr="00981405">
        <w:rPr>
          <w:rFonts w:eastAsia="SimSun"/>
        </w:rPr>
        <w:t xml:space="preserve"> </w:t>
      </w:r>
      <w:r w:rsidRPr="00981405">
        <w:rPr>
          <w:rFonts w:eastAsia="SimSun"/>
        </w:rPr>
        <w:t>that</w:t>
      </w:r>
      <w:r w:rsidR="00190923" w:rsidRPr="00981405">
        <w:rPr>
          <w:rFonts w:eastAsia="SimSun"/>
        </w:rPr>
        <w:t xml:space="preserve"> </w:t>
      </w:r>
      <w:r w:rsidRPr="00981405">
        <w:rPr>
          <w:rFonts w:eastAsia="SimSun"/>
        </w:rPr>
        <w:t>an</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w:t>
      </w:r>
      <w:r w:rsidR="00190923" w:rsidRPr="00981405">
        <w:rPr>
          <w:rFonts w:eastAsia="SimSun"/>
        </w:rPr>
        <w:t xml:space="preserve"> </w:t>
      </w:r>
      <w:r w:rsidRPr="00981405">
        <w:rPr>
          <w:rFonts w:eastAsia="SimSun"/>
        </w:rPr>
        <w:t>does</w:t>
      </w:r>
      <w:r w:rsidR="00190923" w:rsidRPr="00981405">
        <w:rPr>
          <w:rFonts w:eastAsia="SimSun"/>
        </w:rPr>
        <w:t xml:space="preserve"> </w:t>
      </w:r>
      <w:r w:rsidRPr="00981405">
        <w:rPr>
          <w:rFonts w:eastAsia="SimSun"/>
        </w:rPr>
        <w:t>or</w:t>
      </w:r>
      <w:r w:rsidR="00190923" w:rsidRPr="00981405">
        <w:rPr>
          <w:rFonts w:eastAsia="SimSun"/>
        </w:rPr>
        <w:t xml:space="preserve"> </w:t>
      </w:r>
      <w:r w:rsidRPr="00981405">
        <w:rPr>
          <w:rFonts w:eastAsia="SimSun"/>
        </w:rPr>
        <w:t>does</w:t>
      </w:r>
      <w:r w:rsidR="00190923" w:rsidRPr="00981405">
        <w:rPr>
          <w:rFonts w:eastAsia="SimSun"/>
        </w:rPr>
        <w:t xml:space="preserve"> </w:t>
      </w:r>
      <w:r w:rsidRPr="00981405">
        <w:rPr>
          <w:rFonts w:eastAsia="SimSun"/>
        </w:rPr>
        <w:t>not</w:t>
      </w:r>
      <w:r w:rsidR="00190923" w:rsidRPr="00981405">
        <w:rPr>
          <w:rFonts w:eastAsia="SimSun"/>
        </w:rPr>
        <w:t xml:space="preserve"> </w:t>
      </w:r>
      <w:r w:rsidRPr="00981405">
        <w:rPr>
          <w:rFonts w:eastAsia="SimSun"/>
        </w:rPr>
        <w:t>apply</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settlement</w:t>
      </w:r>
      <w:r w:rsidR="00190923" w:rsidRPr="00981405">
        <w:rPr>
          <w:rFonts w:eastAsia="SimSun"/>
        </w:rPr>
        <w:t xml:space="preserve"> </w:t>
      </w:r>
      <w:r w:rsidRPr="00981405">
        <w:rPr>
          <w:rFonts w:eastAsia="SimSun"/>
        </w:rPr>
        <w:t>provisions.</w:t>
      </w:r>
      <w:r w:rsidR="00190923" w:rsidRPr="00981405">
        <w:rPr>
          <w:rFonts w:eastAsia="SimSun"/>
        </w:rPr>
        <w:t xml:space="preserve"> </w:t>
      </w:r>
      <w:r w:rsidRPr="00981405">
        <w:rPr>
          <w:rFonts w:eastAsia="SimSun"/>
        </w:rPr>
        <w:t>Otherwise</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matter</w:t>
      </w:r>
      <w:r w:rsidR="00190923" w:rsidRPr="00981405">
        <w:rPr>
          <w:rFonts w:eastAsia="SimSun"/>
        </w:rPr>
        <w:t xml:space="preserve"> </w:t>
      </w:r>
      <w:r w:rsidRPr="00981405">
        <w:rPr>
          <w:rFonts w:eastAsia="SimSun"/>
        </w:rPr>
        <w:t>will</w:t>
      </w:r>
      <w:r w:rsidR="00190923" w:rsidRPr="00981405">
        <w:rPr>
          <w:rFonts w:eastAsia="SimSun"/>
        </w:rPr>
        <w:t xml:space="preserve"> </w:t>
      </w:r>
      <w:r w:rsidRPr="00981405">
        <w:rPr>
          <w:rFonts w:eastAsia="SimSun"/>
        </w:rPr>
        <w:t>be</w:t>
      </w:r>
      <w:r w:rsidR="00190923" w:rsidRPr="00981405">
        <w:rPr>
          <w:rFonts w:eastAsia="SimSun"/>
        </w:rPr>
        <w:t xml:space="preserve"> </w:t>
      </w:r>
      <w:r w:rsidRPr="00981405">
        <w:rPr>
          <w:rFonts w:eastAsia="SimSun"/>
        </w:rPr>
        <w:t>left</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dispute</w:t>
      </w:r>
      <w:r w:rsidR="00190923" w:rsidRPr="00981405">
        <w:rPr>
          <w:rFonts w:eastAsia="SimSun"/>
        </w:rPr>
        <w:t xml:space="preserve"> </w:t>
      </w:r>
      <w:r w:rsidRPr="00981405">
        <w:rPr>
          <w:rFonts w:eastAsia="SimSun"/>
        </w:rPr>
        <w:t>settlement</w:t>
      </w:r>
      <w:r w:rsidR="00190923" w:rsidRPr="00981405">
        <w:rPr>
          <w:rFonts w:eastAsia="SimSun"/>
        </w:rPr>
        <w:t xml:space="preserve"> </w:t>
      </w:r>
      <w:r w:rsidRPr="00981405">
        <w:rPr>
          <w:rFonts w:eastAsia="SimSun"/>
        </w:rPr>
        <w:t>tribunals</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interpret</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clauses</w:t>
      </w:r>
      <w:r w:rsidR="00190923" w:rsidRPr="00981405">
        <w:rPr>
          <w:rFonts w:eastAsia="SimSun"/>
        </w:rPr>
        <w:t xml:space="preserve"> </w:t>
      </w:r>
      <w:r w:rsidRPr="00981405">
        <w:rPr>
          <w:rFonts w:eastAsia="SimSun"/>
        </w:rPr>
        <w:t>on</w:t>
      </w:r>
      <w:r w:rsidR="00190923" w:rsidRPr="00981405">
        <w:rPr>
          <w:rFonts w:eastAsia="SimSun"/>
        </w:rPr>
        <w:t xml:space="preserve"> </w:t>
      </w:r>
      <w:r w:rsidRPr="00981405">
        <w:rPr>
          <w:rFonts w:eastAsia="SimSun"/>
        </w:rPr>
        <w:t>a</w:t>
      </w:r>
      <w:r w:rsidR="00190923" w:rsidRPr="00981405">
        <w:rPr>
          <w:rFonts w:eastAsia="SimSun"/>
        </w:rPr>
        <w:t xml:space="preserve"> </w:t>
      </w:r>
      <w:r w:rsidRPr="00981405">
        <w:rPr>
          <w:rFonts w:eastAsia="SimSun"/>
        </w:rPr>
        <w:t>case-by-case</w:t>
      </w:r>
      <w:r w:rsidR="00190923" w:rsidRPr="00981405">
        <w:rPr>
          <w:rFonts w:eastAsia="SimSun"/>
        </w:rPr>
        <w:t xml:space="preserve"> </w:t>
      </w:r>
      <w:r w:rsidRPr="00981405">
        <w:rPr>
          <w:rFonts w:eastAsia="SimSun"/>
        </w:rPr>
        <w:t>basis.</w:t>
      </w:r>
    </w:p>
    <w:p w:rsidR="0013110A" w:rsidRPr="00981405" w:rsidRDefault="0013110A">
      <w:pPr>
        <w:suppressAutoHyphens w:val="0"/>
        <w:spacing w:line="240" w:lineRule="auto"/>
        <w:rPr>
          <w:rFonts w:eastAsia="SimSun"/>
        </w:rPr>
      </w:pPr>
      <w:r w:rsidRPr="00981405">
        <w:rPr>
          <w:rFonts w:eastAsia="SimSun"/>
        </w:rPr>
        <w:br w:type="page"/>
      </w:r>
    </w:p>
    <w:p w:rsidR="00397032" w:rsidRPr="00981405" w:rsidRDefault="00397032" w:rsidP="00D97463">
      <w:pPr>
        <w:pStyle w:val="SingleTxt"/>
        <w:keepNext/>
        <w:keepLines/>
        <w:rPr>
          <w:rFonts w:eastAsia="SimSun"/>
        </w:rPr>
      </w:pPr>
      <w:r w:rsidRPr="00981405">
        <w:rPr>
          <w:rFonts w:eastAsia="SimSun"/>
        </w:rPr>
        <w:lastRenderedPageBreak/>
        <w:t>217.</w:t>
      </w:r>
      <w:r w:rsidRPr="00981405">
        <w:rPr>
          <w:rFonts w:eastAsia="SimSun"/>
        </w:rPr>
        <w:tab/>
        <w:t>The</w:t>
      </w:r>
      <w:r w:rsidR="00190923" w:rsidRPr="00981405">
        <w:rPr>
          <w:rFonts w:eastAsia="SimSun"/>
        </w:rPr>
        <w:t xml:space="preserve"> </w:t>
      </w:r>
      <w:r w:rsidRPr="00981405">
        <w:rPr>
          <w:rFonts w:eastAsia="SimSun"/>
        </w:rPr>
        <w:t>interpretative</w:t>
      </w:r>
      <w:r w:rsidR="00190923" w:rsidRPr="00981405">
        <w:rPr>
          <w:rFonts w:eastAsia="SimSun"/>
        </w:rPr>
        <w:t xml:space="preserve"> </w:t>
      </w:r>
      <w:r w:rsidRPr="00981405">
        <w:rPr>
          <w:rFonts w:eastAsia="SimSun"/>
        </w:rPr>
        <w:t>techniques</w:t>
      </w:r>
      <w:r w:rsidR="00190923" w:rsidRPr="00981405">
        <w:rPr>
          <w:rFonts w:eastAsia="SimSun"/>
        </w:rPr>
        <w:t xml:space="preserve"> </w:t>
      </w:r>
      <w:r w:rsidRPr="00981405">
        <w:rPr>
          <w:rFonts w:eastAsia="SimSun"/>
        </w:rPr>
        <w:t>reviewed</w:t>
      </w:r>
      <w:r w:rsidR="00190923" w:rsidRPr="00981405">
        <w:rPr>
          <w:rFonts w:eastAsia="SimSun"/>
        </w:rPr>
        <w:t xml:space="preserve"> </w:t>
      </w:r>
      <w:r w:rsidRPr="00981405">
        <w:rPr>
          <w:rFonts w:eastAsia="SimSun"/>
        </w:rPr>
        <w:t>by</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Study</w:t>
      </w:r>
      <w:r w:rsidR="00190923" w:rsidRPr="00981405">
        <w:rPr>
          <w:rFonts w:eastAsia="SimSun"/>
        </w:rPr>
        <w:t xml:space="preserve"> </w:t>
      </w:r>
      <w:r w:rsidRPr="00981405">
        <w:rPr>
          <w:rFonts w:eastAsia="SimSun"/>
        </w:rPr>
        <w:t>Group</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this</w:t>
      </w:r>
      <w:r w:rsidR="00190923" w:rsidRPr="00981405">
        <w:rPr>
          <w:rFonts w:eastAsia="SimSun"/>
        </w:rPr>
        <w:t xml:space="preserve"> </w:t>
      </w:r>
      <w:r w:rsidRPr="00981405">
        <w:rPr>
          <w:rFonts w:eastAsia="SimSun"/>
        </w:rPr>
        <w:t>report</w:t>
      </w:r>
      <w:r w:rsidR="00190923" w:rsidRPr="00981405">
        <w:rPr>
          <w:rFonts w:eastAsia="SimSun"/>
        </w:rPr>
        <w:t xml:space="preserve"> </w:t>
      </w:r>
      <w:r w:rsidRPr="00981405">
        <w:rPr>
          <w:rFonts w:eastAsia="SimSun"/>
        </w:rPr>
        <w:t>are</w:t>
      </w:r>
      <w:r w:rsidR="00190923" w:rsidRPr="00981405">
        <w:rPr>
          <w:rFonts w:eastAsia="SimSun"/>
        </w:rPr>
        <w:t xml:space="preserve"> </w:t>
      </w:r>
      <w:r w:rsidRPr="00981405">
        <w:rPr>
          <w:rFonts w:eastAsia="SimSun"/>
        </w:rPr>
        <w:t>designed</w:t>
      </w:r>
      <w:r w:rsidR="00190923" w:rsidRPr="00981405">
        <w:rPr>
          <w:rFonts w:eastAsia="SimSun"/>
        </w:rPr>
        <w:t xml:space="preserve"> </w:t>
      </w:r>
      <w:r w:rsidRPr="00981405">
        <w:rPr>
          <w:rFonts w:eastAsia="SimSun"/>
        </w:rPr>
        <w:t>to</w:t>
      </w:r>
      <w:r w:rsidR="00190923" w:rsidRPr="00981405">
        <w:rPr>
          <w:rFonts w:eastAsia="SimSun"/>
        </w:rPr>
        <w:t xml:space="preserve"> </w:t>
      </w:r>
      <w:r w:rsidRPr="00981405">
        <w:rPr>
          <w:rFonts w:eastAsia="SimSun"/>
        </w:rPr>
        <w:t>assist</w:t>
      </w:r>
      <w:r w:rsidR="00190923" w:rsidRPr="00981405">
        <w:rPr>
          <w:rFonts w:eastAsia="SimSun"/>
        </w:rPr>
        <w:t xml:space="preserve"> </w:t>
      </w:r>
      <w:r w:rsidRPr="00981405">
        <w:rPr>
          <w:rFonts w:eastAsia="SimSun"/>
        </w:rPr>
        <w:t>in</w:t>
      </w:r>
      <w:r w:rsidR="00190923" w:rsidRPr="00981405">
        <w:rPr>
          <w:rFonts w:eastAsia="SimSun"/>
        </w:rPr>
        <w:t xml:space="preserve"> </w:t>
      </w:r>
      <w:r w:rsidRPr="00981405">
        <w:rPr>
          <w:rFonts w:eastAsia="SimSun"/>
        </w:rPr>
        <w:t>the</w:t>
      </w:r>
      <w:r w:rsidR="00190923" w:rsidRPr="00981405">
        <w:rPr>
          <w:rFonts w:eastAsia="SimSun"/>
        </w:rPr>
        <w:t xml:space="preserve"> </w:t>
      </w:r>
      <w:r w:rsidRPr="00981405">
        <w:rPr>
          <w:rFonts w:eastAsia="SimSun"/>
        </w:rPr>
        <w:t>interpretation</w:t>
      </w:r>
      <w:r w:rsidR="00190923" w:rsidRPr="00981405">
        <w:rPr>
          <w:rFonts w:eastAsia="SimSun"/>
        </w:rPr>
        <w:t xml:space="preserve"> </w:t>
      </w:r>
      <w:r w:rsidRPr="00981405">
        <w:rPr>
          <w:rFonts w:eastAsia="SimSun"/>
        </w:rPr>
        <w:t>and</w:t>
      </w:r>
      <w:r w:rsidR="00190923" w:rsidRPr="00981405">
        <w:rPr>
          <w:rFonts w:eastAsia="SimSun"/>
        </w:rPr>
        <w:t xml:space="preserve"> </w:t>
      </w:r>
      <w:r w:rsidRPr="00981405">
        <w:rPr>
          <w:rFonts w:eastAsia="SimSun"/>
        </w:rPr>
        <w:t>application</w:t>
      </w:r>
      <w:r w:rsidR="00190923" w:rsidRPr="00981405">
        <w:rPr>
          <w:rFonts w:eastAsia="SimSun"/>
        </w:rPr>
        <w:t xml:space="preserve"> </w:t>
      </w:r>
      <w:r w:rsidRPr="00981405">
        <w:rPr>
          <w:rFonts w:eastAsia="SimSun"/>
        </w:rPr>
        <w:t>of</w:t>
      </w:r>
      <w:r w:rsidR="00190923" w:rsidRPr="00981405">
        <w:rPr>
          <w:rFonts w:eastAsia="SimSun"/>
        </w:rPr>
        <w:t xml:space="preserve"> </w:t>
      </w:r>
      <w:r w:rsidRPr="00981405">
        <w:rPr>
          <w:rFonts w:eastAsia="SimSun"/>
        </w:rPr>
        <w:t>MFN</w:t>
      </w:r>
      <w:r w:rsidR="00190923" w:rsidRPr="00981405">
        <w:rPr>
          <w:rFonts w:eastAsia="SimSun"/>
        </w:rPr>
        <w:t xml:space="preserve"> </w:t>
      </w:r>
      <w:r w:rsidRPr="00981405">
        <w:rPr>
          <w:rFonts w:eastAsia="SimSun"/>
        </w:rPr>
        <w:t>provisions.</w:t>
      </w:r>
    </w:p>
    <w:p w:rsidR="00DA71E2" w:rsidRPr="00D97463" w:rsidRDefault="00DA71E2" w:rsidP="004D2F3B">
      <w:pPr>
        <w:keepNext/>
        <w:keepLines/>
        <w:framePr w:w="4320" w:h="520" w:hSpace="180" w:vSpace="288" w:wrap="around" w:vAnchor="page" w:hAnchor="margin" w:x="1" w:y="13321"/>
        <w:spacing w:before="80" w:line="210" w:lineRule="auto"/>
        <w:rPr>
          <w:rFonts w:ascii="Barcode 3 of 9 by request" w:hAnsi="Barcode 3 of 9 by request"/>
          <w:w w:val="100"/>
          <w:sz w:val="24"/>
        </w:rPr>
      </w:pPr>
      <w:r w:rsidRPr="00D97463">
        <w:fldChar w:fldCharType="begin"/>
      </w:r>
      <w:r w:rsidRPr="00981405">
        <w:instrText xml:space="preserve"> DOCVARIABLE "jobn" \* MERGEFORMAT </w:instrText>
      </w:r>
      <w:r w:rsidRPr="00D97463">
        <w:fldChar w:fldCharType="separate"/>
      </w:r>
      <w:r w:rsidR="00EF153A">
        <w:t>GE.15-13770 (E)</w:t>
      </w:r>
      <w:r w:rsidRPr="00D97463">
        <w:fldChar w:fldCharType="end"/>
      </w:r>
      <w:r w:rsidRPr="00981405">
        <w:t xml:space="preserve">    200815</w:t>
      </w:r>
      <w:r w:rsidR="00A00224">
        <w:t xml:space="preserve">    </w:t>
      </w:r>
      <w:r w:rsidR="004D2F3B">
        <w:t>09</w:t>
      </w:r>
      <w:bookmarkStart w:id="341" w:name="_GoBack"/>
      <w:bookmarkEnd w:id="341"/>
      <w:r w:rsidR="006A07EA">
        <w:t>0915</w:t>
      </w:r>
      <w:r w:rsidRPr="00981405">
        <w:br/>
      </w:r>
      <w:r w:rsidRPr="00D97463">
        <w:rPr>
          <w:rFonts w:ascii="Barcode 3 of 9 by request" w:hAnsi="Barcode 3 of 9 by request"/>
          <w:w w:val="100"/>
          <w:sz w:val="24"/>
        </w:rPr>
        <w:fldChar w:fldCharType="begin"/>
      </w:r>
      <w:r w:rsidRPr="00981405">
        <w:rPr>
          <w:rFonts w:ascii="Barcode 3 of 9 by request" w:hAnsi="Barcode 3 of 9 by request"/>
          <w:w w:val="100"/>
          <w:sz w:val="24"/>
        </w:rPr>
        <w:instrText xml:space="preserve"> DOCVARIABLE "barcode" \* MERGEFORMAT </w:instrText>
      </w:r>
      <w:r w:rsidRPr="00D97463">
        <w:rPr>
          <w:rFonts w:ascii="Barcode 3 of 9 by request" w:hAnsi="Barcode 3 of 9 by request"/>
          <w:w w:val="100"/>
          <w:sz w:val="24"/>
        </w:rPr>
        <w:fldChar w:fldCharType="separate"/>
      </w:r>
      <w:r w:rsidR="00EF153A">
        <w:rPr>
          <w:rFonts w:ascii="Barcode 3 of 9 by request" w:hAnsi="Barcode 3 of 9 by request"/>
          <w:w w:val="100"/>
          <w:sz w:val="24"/>
        </w:rPr>
        <w:t>*1513770*</w:t>
      </w:r>
      <w:r w:rsidRPr="00D97463">
        <w:rPr>
          <w:rFonts w:ascii="Barcode 3 of 9 by request" w:hAnsi="Barcode 3 of 9 by request"/>
          <w:w w:val="100"/>
          <w:sz w:val="24"/>
        </w:rPr>
        <w:fldChar w:fldCharType="end"/>
      </w:r>
    </w:p>
    <w:p w:rsidR="00DA71E2" w:rsidRPr="00981405" w:rsidRDefault="00DA71E2" w:rsidP="00D97463">
      <w:pPr>
        <w:keepNext/>
        <w:keepLines/>
        <w:framePr w:w="1757" w:h="374" w:hSpace="180" w:wrap="around" w:vAnchor="page" w:hAnchor="page" w:x="9173" w:y="13436"/>
        <w:spacing w:line="240" w:lineRule="auto"/>
      </w:pPr>
      <w:r w:rsidRPr="00D97463">
        <w:rPr>
          <w:noProof/>
        </w:rPr>
        <w:drawing>
          <wp:inline distT="0" distB="0" distL="0" distR="0" wp14:anchorId="31759F76" wp14:editId="087337C7">
            <wp:extent cx="929642" cy="231648"/>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929642" cy="231648"/>
                    </a:xfrm>
                    <a:prstGeom prst="rect">
                      <a:avLst/>
                    </a:prstGeom>
                  </pic:spPr>
                </pic:pic>
              </a:graphicData>
            </a:graphic>
          </wp:inline>
        </w:drawing>
      </w:r>
    </w:p>
    <w:p w:rsidR="004E5608" w:rsidRPr="00981405" w:rsidRDefault="00747C00" w:rsidP="00D97463">
      <w:pPr>
        <w:pStyle w:val="SingleTxt"/>
        <w:keepNext/>
        <w:keepLines/>
      </w:pPr>
      <w:r w:rsidRPr="00D97463">
        <w:rPr>
          <w:rFonts w:eastAsia="SimSun"/>
          <w:noProof/>
          <w:w w:val="100"/>
        </w:rPr>
        <mc:AlternateContent>
          <mc:Choice Requires="wps">
            <w:drawing>
              <wp:anchor distT="0" distB="0" distL="114300" distR="114300" simplePos="0" relativeHeight="251659264" behindDoc="0" locked="0" layoutInCell="1" allowOverlap="1" wp14:anchorId="0876C834" wp14:editId="4FEB2850">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4E5608" w:rsidRPr="00981405" w:rsidSect="00D97463">
      <w:footnotePr>
        <w:numRestart w:val="eachSect"/>
      </w:footnotePr>
      <w:endnotePr>
        <w:numFmt w:val="decimal"/>
      </w:endnotePr>
      <w:type w:val="oddPage"/>
      <w:pgSz w:w="11909" w:h="16834" w:code="1"/>
      <w:pgMar w:top="1742" w:right="936" w:bottom="1898" w:left="936" w:header="576" w:footer="1030" w:gutter="0"/>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1T17:22:00Z" w:initials="Start">
    <w:p w:rsidR="00A3158E" w:rsidRDefault="00A3158E">
      <w:r>
        <w:fldChar w:fldCharType="begin"/>
      </w:r>
      <w:r>
        <w:instrText xml:space="preserve"> PAGE \# "'Page: '#'</w:instrText>
      </w:r>
      <w:r>
        <w:br/>
        <w:instrText xml:space="preserve">'" </w:instrText>
      </w:r>
      <w:r>
        <w:fldChar w:fldCharType="end"/>
      </w:r>
      <w:r>
        <w:annotationRef/>
      </w:r>
      <w:r>
        <w:t>&lt;&lt;ODS JOB NO&gt;&gt;N15E&lt;&lt;ODS JOB NO&gt;&gt;</w:t>
      </w:r>
    </w:p>
    <w:p w:rsidR="00A3158E" w:rsidRDefault="00A3158E">
      <w:r>
        <w:t>&lt;&lt;ODS DOC SYMBOL1&gt;&gt;A/70/10&lt;&lt;ODS DOC SYMBOL1&gt;&gt;</w:t>
      </w:r>
    </w:p>
    <w:p w:rsidR="00A3158E" w:rsidRDefault="00A3158E">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8E" w:rsidRDefault="00A3158E">
      <w:r>
        <w:separator/>
      </w:r>
    </w:p>
  </w:endnote>
  <w:endnote w:type="continuationSeparator" w:id="0">
    <w:p w:rsidR="00A3158E" w:rsidRDefault="00A3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有澤楷書">
    <w:altName w:val="MS Mincho"/>
    <w:charset w:val="80"/>
    <w:family w:val="auto"/>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SoeiKakugothicUB">
    <w:altName w:val="HG創英角ｺﾞｼｯｸUB"/>
    <w:charset w:val="80"/>
    <w:family w:val="auto"/>
    <w:pitch w:val="variable"/>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8E" w:rsidRDefault="00A3158E">
    <w:pPr>
      <w:pStyle w:val="Footer"/>
    </w:pPr>
  </w:p>
  <w:p w:rsidR="00A3158E" w:rsidRDefault="00A31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859"/>
      <w:gridCol w:w="5127"/>
    </w:tblGrid>
    <w:tr w:rsidR="00A3158E" w:rsidTr="004E5608">
      <w:tc>
        <w:tcPr>
          <w:tcW w:w="3859" w:type="dxa"/>
          <w:shd w:val="clear" w:color="auto" w:fill="auto"/>
        </w:tcPr>
        <w:p w:rsidR="00A3158E" w:rsidRDefault="00A3158E">
          <w:pPr>
            <w:pStyle w:val="Footer"/>
          </w:pPr>
          <w:r>
            <w:rPr>
              <w:lang w:val="en-GB"/>
            </w:rPr>
            <w:drawing>
              <wp:anchor distT="0" distB="0" distL="114300" distR="114300" simplePos="0" relativeHeight="251658240" behindDoc="0" locked="0" layoutInCell="1" allowOverlap="1" wp14:anchorId="6F6E26CD" wp14:editId="6FD36CBF">
                <wp:simplePos x="0" y="0"/>
                <wp:positionH relativeFrom="column">
                  <wp:posOffset>5659755</wp:posOffset>
                </wp:positionH>
                <wp:positionV relativeFrom="paragraph">
                  <wp:posOffset>-447675</wp:posOffset>
                </wp:positionV>
                <wp:extent cx="694690" cy="694690"/>
                <wp:effectExtent l="0" t="0" r="0" b="0"/>
                <wp:wrapNone/>
                <wp:docPr id="3" name="Picture 3" descr="http://undocs.org/m2/QRCode2.ashx?DS=A/7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c>
      <w:tc>
        <w:tcPr>
          <w:tcW w:w="5127" w:type="dxa"/>
          <w:shd w:val="clear" w:color="auto" w:fill="auto"/>
        </w:tcPr>
        <w:p w:rsidR="00A3158E" w:rsidRDefault="00A3158E" w:rsidP="004E5608">
          <w:pPr>
            <w:pStyle w:val="Footer"/>
            <w:jc w:val="right"/>
          </w:pPr>
          <w:r>
            <w:rPr>
              <w:lang w:val="en-GB"/>
            </w:rPr>
            <w:drawing>
              <wp:inline distT="0" distB="0" distL="0" distR="0" wp14:anchorId="1CFFD958" wp14:editId="1E41C57C">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3158E" w:rsidRDefault="00A3158E" w:rsidP="004E5608">
    <w:pPr>
      <w:pStyle w:val="Foote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126"/>
      <w:gridCol w:w="5127"/>
    </w:tblGrid>
    <w:tr w:rsidR="00A3158E" w:rsidRPr="004E5608" w:rsidTr="004E5608">
      <w:tc>
        <w:tcPr>
          <w:tcW w:w="5126" w:type="dxa"/>
          <w:shd w:val="clear" w:color="auto" w:fill="auto"/>
        </w:tcPr>
        <w:p w:rsidR="00A3158E" w:rsidRPr="004E5608" w:rsidRDefault="00A3158E" w:rsidP="004E5608">
          <w:pPr>
            <w:pStyle w:val="Footer"/>
            <w:rPr>
              <w:w w:val="103"/>
            </w:rPr>
          </w:pPr>
          <w:r>
            <w:rPr>
              <w:w w:val="103"/>
            </w:rPr>
            <w:fldChar w:fldCharType="begin"/>
          </w:r>
          <w:r>
            <w:rPr>
              <w:w w:val="103"/>
            </w:rPr>
            <w:instrText xml:space="preserve"> PAGE  \* Arabic  \* MERGEFORMAT </w:instrText>
          </w:r>
          <w:r>
            <w:rPr>
              <w:w w:val="103"/>
            </w:rPr>
            <w:fldChar w:fldCharType="separate"/>
          </w:r>
          <w:r w:rsidR="00EF153A">
            <w:rPr>
              <w:w w:val="103"/>
            </w:rPr>
            <w:t>191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F153A">
            <w:rPr>
              <w:w w:val="103"/>
            </w:rPr>
            <w:t>191</w:t>
          </w:r>
          <w:r>
            <w:rPr>
              <w:w w:val="103"/>
            </w:rPr>
            <w:fldChar w:fldCharType="end"/>
          </w:r>
        </w:p>
      </w:tc>
      <w:tc>
        <w:tcPr>
          <w:tcW w:w="5127" w:type="dxa"/>
          <w:shd w:val="clear" w:color="auto" w:fill="auto"/>
        </w:tcPr>
        <w:p w:rsidR="00A3158E" w:rsidRPr="004E5608" w:rsidRDefault="00A3158E" w:rsidP="004E560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F153A">
            <w:rPr>
              <w:b w:val="0"/>
              <w:w w:val="103"/>
              <w:sz w:val="14"/>
            </w:rPr>
            <w:t>GE.15-13770</w:t>
          </w:r>
          <w:r>
            <w:rPr>
              <w:b w:val="0"/>
              <w:w w:val="103"/>
              <w:sz w:val="14"/>
            </w:rPr>
            <w:fldChar w:fldCharType="end"/>
          </w:r>
        </w:p>
      </w:tc>
    </w:tr>
  </w:tbl>
  <w:p w:rsidR="00A3158E" w:rsidRDefault="00A315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3158E" w:rsidRPr="004E5608" w:rsidTr="004E5608">
      <w:trPr>
        <w:jc w:val="center"/>
      </w:trPr>
      <w:tc>
        <w:tcPr>
          <w:tcW w:w="5126" w:type="dxa"/>
          <w:shd w:val="clear" w:color="auto" w:fill="auto"/>
        </w:tcPr>
        <w:p w:rsidR="00A3158E" w:rsidRPr="004E5608" w:rsidRDefault="00A3158E" w:rsidP="004E560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F153A">
            <w:rPr>
              <w:b w:val="0"/>
              <w:w w:val="103"/>
              <w:sz w:val="14"/>
            </w:rPr>
            <w:t>GE.15-13770</w:t>
          </w:r>
          <w:r>
            <w:rPr>
              <w:b w:val="0"/>
              <w:w w:val="103"/>
              <w:sz w:val="14"/>
            </w:rPr>
            <w:fldChar w:fldCharType="end"/>
          </w:r>
        </w:p>
      </w:tc>
      <w:tc>
        <w:tcPr>
          <w:tcW w:w="5127" w:type="dxa"/>
          <w:shd w:val="clear" w:color="auto" w:fill="auto"/>
        </w:tcPr>
        <w:p w:rsidR="00A3158E" w:rsidRPr="004E5608" w:rsidRDefault="00A3158E" w:rsidP="004E560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F153A">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F153A">
            <w:rPr>
              <w:w w:val="103"/>
            </w:rPr>
            <w:t>191</w:t>
          </w:r>
          <w:r>
            <w:rPr>
              <w:w w:val="103"/>
            </w:rPr>
            <w:fldChar w:fldCharType="end"/>
          </w:r>
        </w:p>
      </w:tc>
    </w:tr>
  </w:tbl>
  <w:p w:rsidR="00A3158E" w:rsidRDefault="00A315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126"/>
      <w:gridCol w:w="5127"/>
    </w:tblGrid>
    <w:tr w:rsidR="00A3158E" w:rsidRPr="004E5608" w:rsidTr="004E5608">
      <w:tc>
        <w:tcPr>
          <w:tcW w:w="5126" w:type="dxa"/>
          <w:shd w:val="clear" w:color="auto" w:fill="auto"/>
        </w:tcPr>
        <w:p w:rsidR="00A3158E" w:rsidRPr="004E5608" w:rsidRDefault="00A3158E" w:rsidP="004E5608">
          <w:pPr>
            <w:pStyle w:val="Footer"/>
            <w:rPr>
              <w:w w:val="103"/>
            </w:rPr>
          </w:pPr>
          <w:r>
            <w:rPr>
              <w:w w:val="103"/>
            </w:rPr>
            <w:fldChar w:fldCharType="begin"/>
          </w:r>
          <w:r>
            <w:rPr>
              <w:w w:val="103"/>
            </w:rPr>
            <w:instrText xml:space="preserve"> PAGE  \* Arabic  \* MERGEFORMAT </w:instrText>
          </w:r>
          <w:r>
            <w:rPr>
              <w:w w:val="103"/>
            </w:rPr>
            <w:fldChar w:fldCharType="separate"/>
          </w:r>
          <w:r w:rsidR="00EF153A">
            <w:rPr>
              <w:w w:val="103"/>
            </w:rPr>
            <w:t>190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F153A">
            <w:rPr>
              <w:w w:val="103"/>
            </w:rPr>
            <w:t>191</w:t>
          </w:r>
          <w:r>
            <w:rPr>
              <w:w w:val="103"/>
            </w:rPr>
            <w:fldChar w:fldCharType="end"/>
          </w:r>
        </w:p>
      </w:tc>
      <w:tc>
        <w:tcPr>
          <w:tcW w:w="5127" w:type="dxa"/>
          <w:shd w:val="clear" w:color="auto" w:fill="auto"/>
        </w:tcPr>
        <w:p w:rsidR="00A3158E" w:rsidRPr="004E5608" w:rsidRDefault="00A3158E" w:rsidP="004E560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F153A">
            <w:rPr>
              <w:b w:val="0"/>
              <w:w w:val="103"/>
              <w:sz w:val="14"/>
            </w:rPr>
            <w:t>GE.15-13770</w:t>
          </w:r>
          <w:r>
            <w:rPr>
              <w:b w:val="0"/>
              <w:w w:val="103"/>
              <w:sz w:val="14"/>
            </w:rPr>
            <w:fldChar w:fldCharType="end"/>
          </w:r>
        </w:p>
      </w:tc>
    </w:tr>
  </w:tbl>
  <w:p w:rsidR="00A3158E" w:rsidRDefault="00A315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A3158E" w:rsidRPr="004E5608" w:rsidTr="004E5608">
      <w:trPr>
        <w:jc w:val="center"/>
      </w:trPr>
      <w:tc>
        <w:tcPr>
          <w:tcW w:w="5126" w:type="dxa"/>
          <w:shd w:val="clear" w:color="auto" w:fill="auto"/>
        </w:tcPr>
        <w:p w:rsidR="00A3158E" w:rsidRPr="004E5608" w:rsidRDefault="00A3158E" w:rsidP="004E560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F153A">
            <w:rPr>
              <w:b w:val="0"/>
              <w:w w:val="103"/>
              <w:sz w:val="14"/>
            </w:rPr>
            <w:t>GE.15-13770</w:t>
          </w:r>
          <w:r>
            <w:rPr>
              <w:b w:val="0"/>
              <w:w w:val="103"/>
              <w:sz w:val="14"/>
            </w:rPr>
            <w:fldChar w:fldCharType="end"/>
          </w:r>
        </w:p>
      </w:tc>
      <w:tc>
        <w:tcPr>
          <w:tcW w:w="5127" w:type="dxa"/>
          <w:shd w:val="clear" w:color="auto" w:fill="auto"/>
        </w:tcPr>
        <w:p w:rsidR="00A3158E" w:rsidRPr="004E5608" w:rsidRDefault="00A3158E" w:rsidP="004E560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F153A">
            <w:rPr>
              <w:w w:val="103"/>
            </w:rPr>
            <w:t>191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F153A">
            <w:rPr>
              <w:w w:val="103"/>
            </w:rPr>
            <w:t>191</w:t>
          </w:r>
          <w:r>
            <w:rPr>
              <w:w w:val="103"/>
            </w:rPr>
            <w:fldChar w:fldCharType="end"/>
          </w:r>
        </w:p>
      </w:tc>
    </w:tr>
  </w:tbl>
  <w:p w:rsidR="00A3158E" w:rsidRDefault="00A31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8E" w:rsidRPr="00D97463" w:rsidRDefault="00A3158E" w:rsidP="00D97463">
      <w:pPr>
        <w:spacing w:after="80"/>
        <w:ind w:left="792"/>
        <w:rPr>
          <w:b/>
          <w:sz w:val="16"/>
        </w:rPr>
      </w:pPr>
      <w:r w:rsidRPr="00D97463">
        <w:rPr>
          <w:b/>
          <w:sz w:val="16"/>
        </w:rPr>
        <w:t>__________________</w:t>
      </w:r>
    </w:p>
  </w:footnote>
  <w:footnote w:type="continuationSeparator" w:id="0">
    <w:p w:rsidR="00A3158E" w:rsidRPr="00D97463" w:rsidRDefault="00A3158E" w:rsidP="00D97463">
      <w:pPr>
        <w:spacing w:after="80"/>
        <w:ind w:left="792"/>
        <w:rPr>
          <w:b/>
          <w:sz w:val="16"/>
        </w:rPr>
      </w:pPr>
      <w:r w:rsidRPr="00D97463">
        <w:rPr>
          <w:b/>
          <w:sz w:val="16"/>
        </w:rPr>
        <w:t>__________________</w:t>
      </w:r>
    </w:p>
  </w:footnote>
  <w:footnote w:id="1">
    <w:p w:rsidR="00A3158E" w:rsidRPr="00981405" w:rsidRDefault="00A3158E" w:rsidP="00D97463">
      <w:pPr>
        <w:pStyle w:val="FootnoteText"/>
        <w:ind w:right="1260"/>
      </w:pPr>
      <w:r w:rsidRPr="00981405">
        <w:tab/>
      </w:r>
      <w:r w:rsidRPr="00981405">
        <w:rPr>
          <w:rStyle w:val="FootnoteReference"/>
        </w:rPr>
        <w:footnoteRef/>
      </w:r>
      <w:r w:rsidRPr="00981405">
        <w:tab/>
        <w:t>See para. 3 below.</w:t>
      </w:r>
    </w:p>
  </w:footnote>
  <w:footnote w:id="2">
    <w:p w:rsidR="00A3158E" w:rsidRPr="00D97463" w:rsidRDefault="00A3158E" w:rsidP="00D97463">
      <w:pPr>
        <w:pStyle w:val="FootnoteText"/>
        <w:ind w:right="1260"/>
      </w:pPr>
      <w:r w:rsidRPr="00D97463">
        <w:rPr>
          <w:sz w:val="20"/>
        </w:rPr>
        <w:tab/>
      </w:r>
      <w:r w:rsidRPr="00D97463">
        <w:rPr>
          <w:rStyle w:val="FootnoteReference"/>
          <w:rFonts w:eastAsia="SimSun"/>
          <w:bCs/>
          <w:kern w:val="0"/>
        </w:rPr>
        <w:footnoteRef/>
      </w:r>
      <w:r w:rsidRPr="00D97463">
        <w:tab/>
        <w:t>Mr. L. Caflisch, Mr. E. Candioti, Mr. M. Kamto, Mr. B.H. Niehaus, Mr. E. Petrič and Mr. N. Wisnumurti</w:t>
      </w:r>
      <w:r w:rsidRPr="00D97463">
        <w:rPr>
          <w:w w:val="100"/>
        </w:rPr>
        <w:t>.</w:t>
      </w:r>
    </w:p>
  </w:footnote>
  <w:footnote w:id="3">
    <w:p w:rsidR="00A3158E" w:rsidRPr="00D97463" w:rsidRDefault="00A3158E" w:rsidP="00D97463">
      <w:pPr>
        <w:pStyle w:val="FootnoteText"/>
        <w:ind w:right="1260"/>
      </w:pPr>
      <w:r w:rsidRPr="00D97463">
        <w:tab/>
      </w:r>
      <w:r w:rsidRPr="00D97463">
        <w:rPr>
          <w:rStyle w:val="FootnoteReference"/>
        </w:rPr>
        <w:footnoteRef/>
      </w:r>
      <w:r w:rsidRPr="00D97463">
        <w:tab/>
        <w:t>Ms. C. Escobar Hernández, Mr. J.M. Gómez-Robledo, Ms. M. G. Jacobsson, Mr. S. Murase, Mr. S.D. Murphy, Mr. G. Nolte, Mr. D.D. Tladi, Mr. E. Valencia-Ospina and Mr. M. Wood.</w:t>
      </w:r>
    </w:p>
  </w:footnote>
  <w:footnote w:id="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 Sixty-ninth Session, Supplement No. 10</w:t>
      </w:r>
      <w:r w:rsidRPr="00D97463">
        <w:t xml:space="preserve"> (</w:t>
      </w:r>
      <w:hyperlink r:id="rId1" w:history="1">
        <w:r w:rsidRPr="00D97463">
          <w:rPr>
            <w:rStyle w:val="Hyperlink"/>
          </w:rPr>
          <w:t>A/69/10</w:t>
        </w:r>
      </w:hyperlink>
      <w:r w:rsidRPr="00D97463">
        <w:t>), para. 27.</w:t>
      </w:r>
    </w:p>
  </w:footnote>
  <w:footnote w:id="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paras. 29-30.</w:t>
      </w:r>
    </w:p>
  </w:footnote>
  <w:footnote w:id="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para. 34.</w:t>
      </w:r>
    </w:p>
  </w:footnote>
  <w:footnote w:id="7">
    <w:p w:rsidR="00A3158E" w:rsidRPr="00D97463" w:rsidRDefault="00A3158E" w:rsidP="00D97463">
      <w:pPr>
        <w:pStyle w:val="FootnoteText"/>
        <w:ind w:right="1260"/>
      </w:pPr>
      <w:r w:rsidRPr="00D97463">
        <w:tab/>
      </w:r>
      <w:r w:rsidRPr="00D97463">
        <w:rPr>
          <w:rStyle w:val="FootnoteReference"/>
        </w:rPr>
        <w:footnoteRef/>
      </w:r>
      <w:r w:rsidRPr="00D97463">
        <w:tab/>
        <w:t>At its 2997th meeting, on 8 August 2008 (</w:t>
      </w:r>
      <w:r w:rsidRPr="00D97463">
        <w:rPr>
          <w:i/>
          <w:iCs/>
        </w:rPr>
        <w:t xml:space="preserve">Official Records of the General Assembly, Sixty-third Session, Supplement No. 10 </w:t>
      </w:r>
      <w:r w:rsidRPr="00D97463">
        <w:t>(</w:t>
      </w:r>
      <w:hyperlink r:id="rId2" w:history="1">
        <w:r w:rsidRPr="00D97463">
          <w:rPr>
            <w:rStyle w:val="Hyperlink"/>
          </w:rPr>
          <w:t>A/63/10</w:t>
        </w:r>
      </w:hyperlink>
      <w:r w:rsidRPr="00D97463">
        <w:t xml:space="preserve">), para. 354). For the syllabus of the topic, see </w:t>
      </w:r>
      <w:r w:rsidRPr="00D97463">
        <w:rPr>
          <w:i/>
          <w:iCs/>
        </w:rPr>
        <w:t>ibid.</w:t>
      </w:r>
      <w:r w:rsidRPr="00D97463">
        <w:t>, annex B. The General Assembly, in paragraph 6 of its resolution 63/123 of 11 December 2008, took note of the decision.</w:t>
      </w:r>
    </w:p>
  </w:footnote>
  <w:footnote w:id="8">
    <w:p w:rsidR="00A3158E" w:rsidRPr="00D97463" w:rsidRDefault="00A3158E" w:rsidP="00D97463">
      <w:pPr>
        <w:pStyle w:val="FootnoteText"/>
        <w:ind w:right="1260"/>
      </w:pPr>
      <w:r w:rsidRPr="00D97463">
        <w:tab/>
      </w:r>
      <w:r w:rsidRPr="00D97463">
        <w:rPr>
          <w:rStyle w:val="FootnoteReference"/>
        </w:rPr>
        <w:footnoteRef/>
      </w:r>
      <w:r w:rsidRPr="00D97463">
        <w:tab/>
        <w:t>At its 3029th meeting, on 31 July 2009, the Commission took note of the oral report of the Co-Chairmen of the Study Group on The Most-Favoured-Nation clause (</w:t>
      </w:r>
      <w:r w:rsidRPr="00D97463">
        <w:rPr>
          <w:i/>
          <w:iCs/>
        </w:rPr>
        <w:t>ibid.</w:t>
      </w:r>
      <w:r w:rsidRPr="00D97463">
        <w:t xml:space="preserve">, </w:t>
      </w:r>
      <w:r w:rsidRPr="00D97463">
        <w:rPr>
          <w:i/>
          <w:iCs/>
        </w:rPr>
        <w:t>Sixty-fourth Session, Supplement No. 10</w:t>
      </w:r>
      <w:r w:rsidRPr="00D97463">
        <w:t xml:space="preserve"> (</w:t>
      </w:r>
      <w:hyperlink r:id="rId3" w:history="1">
        <w:r w:rsidRPr="00D97463">
          <w:rPr>
            <w:rStyle w:val="Hyperlink"/>
          </w:rPr>
          <w:t>A/64/10</w:t>
        </w:r>
      </w:hyperlink>
      <w:r w:rsidRPr="00D97463">
        <w:t xml:space="preserve">), paras. 211-216). The Study Group considered, </w:t>
      </w:r>
      <w:r w:rsidRPr="00D97463">
        <w:rPr>
          <w:i/>
          <w:iCs/>
        </w:rPr>
        <w:t>inter alia</w:t>
      </w:r>
      <w:r w:rsidRPr="00D97463">
        <w:t>, a framework that would serve as a road map for future work and agreed on a work schedule involving the preparation of papers intended to shed additional light on questions concerning, in particular, the scope of MFN clauses and their interpretation and application.</w:t>
      </w:r>
    </w:p>
  </w:footnote>
  <w:footnote w:id="9">
    <w:p w:rsidR="00A3158E" w:rsidRPr="00D97463" w:rsidRDefault="00A3158E" w:rsidP="00D97463">
      <w:pPr>
        <w:pStyle w:val="FootnoteText"/>
        <w:ind w:right="1260"/>
      </w:pPr>
      <w:r w:rsidRPr="00D97463">
        <w:tab/>
      </w:r>
      <w:r w:rsidRPr="00D97463">
        <w:rPr>
          <w:rStyle w:val="FootnoteReference"/>
        </w:rPr>
        <w:footnoteRef/>
      </w:r>
      <w:r w:rsidRPr="00D97463">
        <w:tab/>
        <w:t>At its 3071st meeting, on 30 July 2010, the Commission took note of the oral report of the Co- Chairmen of the Study Group (</w:t>
      </w:r>
      <w:r w:rsidRPr="00D97463">
        <w:rPr>
          <w:i/>
          <w:iCs/>
        </w:rPr>
        <w:t>ibid.</w:t>
      </w:r>
      <w:r w:rsidRPr="00D97463">
        <w:t xml:space="preserve">, </w:t>
      </w:r>
      <w:r w:rsidRPr="00D97463">
        <w:rPr>
          <w:i/>
          <w:iCs/>
        </w:rPr>
        <w:t>Sixty-fifth Session, Supplement No. 10</w:t>
      </w:r>
      <w:r w:rsidRPr="00D97463">
        <w:t xml:space="preserve"> (</w:t>
      </w:r>
      <w:hyperlink r:id="rId4" w:history="1">
        <w:r w:rsidRPr="00D97463">
          <w:rPr>
            <w:rStyle w:val="Hyperlink"/>
          </w:rPr>
          <w:t>A/65/10</w:t>
        </w:r>
      </w:hyperlink>
      <w:r w:rsidRPr="00D97463">
        <w:t>), paras. 359- 373). The Study Group considered and reviewed the various papers prepared on the basis of the 2009 framework to serve as a road map of future work, and agreed upon a programme of work for 2010. At its 3119th meeting, on 8 August 2011, the Commission took note of the oral report of the Co-Chairmen of the Study Group (</w:t>
      </w:r>
      <w:r w:rsidRPr="00D97463">
        <w:rPr>
          <w:i/>
          <w:iCs/>
        </w:rPr>
        <w:t>ibid.</w:t>
      </w:r>
      <w:r w:rsidRPr="00D97463">
        <w:t xml:space="preserve">, </w:t>
      </w:r>
      <w:r w:rsidRPr="00D97463">
        <w:rPr>
          <w:i/>
          <w:iCs/>
        </w:rPr>
        <w:t>Sixty-sixth Session, Supplement No. 10</w:t>
      </w:r>
      <w:r w:rsidRPr="00D97463">
        <w:t xml:space="preserve"> (</w:t>
      </w:r>
      <w:hyperlink r:id="rId5" w:history="1">
        <w:r w:rsidRPr="00D97463">
          <w:rPr>
            <w:rStyle w:val="Hyperlink"/>
          </w:rPr>
          <w:t>A/66/10</w:t>
        </w:r>
      </w:hyperlink>
      <w:r w:rsidRPr="00D97463">
        <w:t>), paras. 349-363). The Study Group considered and reviewed additional papers prepared on the basis of the 2009 framework.</w:t>
      </w:r>
    </w:p>
  </w:footnote>
  <w:footnote w:id="10">
    <w:p w:rsidR="00A3158E" w:rsidRPr="00D97463" w:rsidRDefault="00A3158E" w:rsidP="00D97463">
      <w:pPr>
        <w:pStyle w:val="FootnoteText"/>
        <w:ind w:right="1260"/>
        <w:rPr>
          <w:sz w:val="24"/>
          <w:szCs w:val="24"/>
        </w:rPr>
      </w:pPr>
      <w:r w:rsidRPr="00D97463">
        <w:tab/>
      </w:r>
      <w:r w:rsidRPr="00D97463">
        <w:rPr>
          <w:rStyle w:val="FootnoteReference"/>
        </w:rPr>
        <w:footnoteRef/>
      </w:r>
      <w:r w:rsidRPr="00D97463">
        <w:tab/>
        <w:t>At its 3151st meeting, on 27 July 2012, the Commission took note of the oral report of the Chairman of the Study Group (</w:t>
      </w:r>
      <w:r w:rsidRPr="00D97463">
        <w:rPr>
          <w:i/>
          <w:iCs/>
        </w:rPr>
        <w:t>ibid.</w:t>
      </w:r>
      <w:r w:rsidRPr="00D97463">
        <w:t xml:space="preserve">, </w:t>
      </w:r>
      <w:r w:rsidRPr="00D97463">
        <w:rPr>
          <w:i/>
          <w:iCs/>
        </w:rPr>
        <w:t xml:space="preserve">Sixty-seventh Session, Supplement </w:t>
      </w:r>
      <w:r w:rsidRPr="00D97463">
        <w:rPr>
          <w:i/>
        </w:rPr>
        <w:t>No</w:t>
      </w:r>
      <w:r w:rsidRPr="00D97463">
        <w:rPr>
          <w:i/>
          <w:iCs/>
        </w:rPr>
        <w:t xml:space="preserve">. 10 </w:t>
      </w:r>
      <w:r w:rsidRPr="00D97463">
        <w:t>(</w:t>
      </w:r>
      <w:hyperlink r:id="rId6" w:history="1">
        <w:r w:rsidRPr="00D97463">
          <w:rPr>
            <w:rStyle w:val="Hyperlink"/>
          </w:rPr>
          <w:t>A/67/10</w:t>
        </w:r>
      </w:hyperlink>
      <w:r w:rsidRPr="00D97463">
        <w:t>), paras. 245-265). The Study Group considered and reviewed additional papers prepared on the basis of the 2009 framework. At its 3189th meeting, on 31 July 2013, the Commission took note of the report of the Study Group</w:t>
      </w:r>
      <w:r w:rsidRPr="00D97463">
        <w:rPr>
          <w:i/>
          <w:iCs/>
        </w:rPr>
        <w:t xml:space="preserve"> </w:t>
      </w:r>
      <w:r w:rsidRPr="00D97463">
        <w:rPr>
          <w:iCs/>
        </w:rPr>
        <w:t>(</w:t>
      </w:r>
      <w:r w:rsidRPr="00D97463">
        <w:rPr>
          <w:i/>
          <w:iCs/>
        </w:rPr>
        <w:t>ibid.</w:t>
      </w:r>
      <w:r w:rsidRPr="00D97463">
        <w:t xml:space="preserve">, </w:t>
      </w:r>
      <w:r w:rsidRPr="00D97463">
        <w:rPr>
          <w:i/>
          <w:iCs/>
        </w:rPr>
        <w:t xml:space="preserve">Sixty-eighth Session, Supplement </w:t>
      </w:r>
      <w:r w:rsidRPr="00D97463">
        <w:rPr>
          <w:i/>
        </w:rPr>
        <w:t>No</w:t>
      </w:r>
      <w:r w:rsidRPr="00D97463">
        <w:rPr>
          <w:i/>
          <w:iCs/>
        </w:rPr>
        <w:t xml:space="preserve">. 10 </w:t>
      </w:r>
      <w:r w:rsidRPr="00D97463">
        <w:t>(</w:t>
      </w:r>
      <w:hyperlink r:id="rId7" w:history="1">
        <w:r w:rsidRPr="00D97463">
          <w:rPr>
            <w:rStyle w:val="Hyperlink"/>
          </w:rPr>
          <w:t>A/68/10</w:t>
        </w:r>
      </w:hyperlink>
      <w:r w:rsidRPr="00D97463">
        <w:t>), paras. 154-164). The Study Group continued to consider and review additional papers. It also examined contemporary practice and jurisprudence relevant to the interpretation of MFN clauses. At its 3231st meeting, on 25 July 2014, the Commission took note of the oral report on the work of the Study Group</w:t>
      </w:r>
      <w:r w:rsidRPr="00D97463">
        <w:rPr>
          <w:iCs/>
        </w:rPr>
        <w:t xml:space="preserve"> (</w:t>
      </w:r>
      <w:r w:rsidRPr="00D97463">
        <w:rPr>
          <w:i/>
          <w:iCs/>
        </w:rPr>
        <w:t>ibid.</w:t>
      </w:r>
      <w:r w:rsidRPr="00D97463">
        <w:t xml:space="preserve">, </w:t>
      </w:r>
      <w:r w:rsidRPr="00D97463">
        <w:rPr>
          <w:i/>
          <w:iCs/>
        </w:rPr>
        <w:t xml:space="preserve">Sixty-ninth Session, Supplement </w:t>
      </w:r>
      <w:r w:rsidRPr="00D97463">
        <w:rPr>
          <w:i/>
        </w:rPr>
        <w:t>No</w:t>
      </w:r>
      <w:r w:rsidRPr="00D97463">
        <w:rPr>
          <w:i/>
          <w:iCs/>
        </w:rPr>
        <w:t xml:space="preserve">. 10 </w:t>
      </w:r>
      <w:r w:rsidRPr="00D97463">
        <w:t>(</w:t>
      </w:r>
      <w:hyperlink r:id="rId8" w:history="1">
        <w:r w:rsidRPr="00D97463">
          <w:rPr>
            <w:rStyle w:val="Hyperlink"/>
          </w:rPr>
          <w:t>A/69/10</w:t>
        </w:r>
      </w:hyperlink>
      <w:r w:rsidRPr="00D97463">
        <w:t>), paras. 254-262). The Study Group undertook a substantive and technical review of the draft final report with a view to preparing a new draft to be agreed on by the Study Group.</w:t>
      </w:r>
    </w:p>
  </w:footnote>
  <w:footnote w:id="1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Emilio Agustin Maffezini v. Kingdom of Spain</w:t>
      </w:r>
      <w:r w:rsidRPr="00D97463">
        <w:t xml:space="preserve">, Decision of the Tribunal on Objections to Jurisdiction, ICSID Case No. ARB 97/7 (25 January 2000), </w:t>
      </w:r>
      <w:r w:rsidRPr="00D97463">
        <w:rPr>
          <w:i/>
        </w:rPr>
        <w:t>ICSID Reports</w:t>
      </w:r>
      <w:r w:rsidRPr="00D97463">
        <w:t>, vol. 5, p. 396.</w:t>
      </w:r>
    </w:p>
  </w:footnote>
  <w:footnote w:id="12">
    <w:p w:rsidR="00A3158E" w:rsidRPr="00D97463" w:rsidRDefault="00A3158E" w:rsidP="00D97463">
      <w:pPr>
        <w:pStyle w:val="FootnoteText"/>
        <w:ind w:right="1260"/>
      </w:pPr>
      <w:r w:rsidRPr="00D97463">
        <w:tab/>
      </w:r>
      <w:r w:rsidRPr="00D97463">
        <w:rPr>
          <w:rStyle w:val="FootnoteReference"/>
        </w:rPr>
        <w:footnoteRef/>
      </w:r>
      <w:r w:rsidRPr="00D97463">
        <w:tab/>
        <w:t>At its 3197th meeting, on 9 August 2013</w:t>
      </w:r>
      <w:r w:rsidRPr="00D97463">
        <w:rPr>
          <w:i/>
          <w:iCs/>
        </w:rPr>
        <w:t xml:space="preserve"> </w:t>
      </w:r>
      <w:r w:rsidRPr="00D97463">
        <w:rPr>
          <w:iCs/>
        </w:rPr>
        <w:t>(</w:t>
      </w:r>
      <w:r w:rsidRPr="00D97463">
        <w:rPr>
          <w:i/>
          <w:iCs/>
        </w:rPr>
        <w:t xml:space="preserve">Official Records of the General Assembly, Sixty-eighth Session, Supplement No. 10 </w:t>
      </w:r>
      <w:r w:rsidRPr="00D97463">
        <w:t>(</w:t>
      </w:r>
      <w:hyperlink r:id="rId9" w:history="1">
        <w:r w:rsidRPr="00D97463">
          <w:rPr>
            <w:rStyle w:val="Hyperlink"/>
          </w:rPr>
          <w:t>A/68/10</w:t>
        </w:r>
      </w:hyperlink>
      <w:r w:rsidRPr="00D97463">
        <w:t>)), para. 168. The Commission included the topic in its programme on the understanding that: “(a) Work on the topic will proceed in a manner so as not to interfere with relevant political negotiations, including on climate change, ozone depletion, and long-range transboundary air pollution. The topic will not deal with, but is also without prejudice to, questions such as: liability of States and their nationals, the polluter-pays principle, the precautionary principle, common but differentiated responsibilities, and the transfer of funds and technology to developing countries, including intellectual property rights; (b) The topic will also not deal with specific substances, such as black carbon, tropospheric ozone, and other dual-impact substances, which are the subject of negotiations among States. The project will not seek to ‘fill’ gaps in the treaty regimes; (c) Questions relating to outer space, including its delimitation, are not part of the topic; (d) The outcome of the work on the topic will be draft guidelines that do not seek to impose on current treaty regimes legal rules or legal principles not already contained therein. The Special Rapporteur’s reports would be based on such understanding.” The General Assembly, in paragraph 6 of its resolution 68/112 of 16 December 2013, took note of the decision of the Commission to include the topic in its programme of work. The topic had been included in the long-term programme of work of the Commission during its sixty-third session (2011), on the basis of the proposal contained in annex B to the report of the Commission</w:t>
      </w:r>
      <w:r w:rsidRPr="00D97463">
        <w:rPr>
          <w:i/>
          <w:iCs/>
        </w:rPr>
        <w:t xml:space="preserve"> </w:t>
      </w:r>
      <w:r w:rsidRPr="00D97463">
        <w:rPr>
          <w:iCs/>
        </w:rPr>
        <w:t>(</w:t>
      </w:r>
      <w:r w:rsidRPr="00D97463">
        <w:rPr>
          <w:i/>
          <w:iCs/>
        </w:rPr>
        <w:t xml:space="preserve">Official Records of the General Assembly, Sixty-sixth Session, Supplement No. 10 </w:t>
      </w:r>
      <w:r w:rsidRPr="00D97463">
        <w:t>(</w:t>
      </w:r>
      <w:hyperlink r:id="rId10" w:history="1">
        <w:r w:rsidRPr="00D97463">
          <w:rPr>
            <w:rStyle w:val="Hyperlink"/>
          </w:rPr>
          <w:t>A/66/10</w:t>
        </w:r>
      </w:hyperlink>
      <w:r w:rsidRPr="00D97463">
        <w:t>), para. 365).</w:t>
      </w:r>
    </w:p>
  </w:footnote>
  <w:footnote w:id="13">
    <w:p w:rsidR="00A3158E" w:rsidRPr="00D97463" w:rsidRDefault="00A3158E" w:rsidP="00D97463">
      <w:pPr>
        <w:pStyle w:val="FootnoteText"/>
        <w:ind w:right="1260"/>
      </w:pPr>
      <w:r w:rsidRPr="00D97463">
        <w:tab/>
      </w:r>
      <w:r w:rsidRPr="00D97463">
        <w:rPr>
          <w:rStyle w:val="FootnoteReference"/>
        </w:rPr>
        <w:footnoteRef/>
      </w:r>
      <w:r w:rsidRPr="00D97463">
        <w:tab/>
        <w:t xml:space="preserve">First report on the protection of the atmosphere (Document </w:t>
      </w:r>
      <w:hyperlink r:id="rId11" w:history="1">
        <w:r w:rsidRPr="00D97463">
          <w:rPr>
            <w:rStyle w:val="Hyperlink"/>
          </w:rPr>
          <w:t>A/CN.4/667</w:t>
        </w:r>
      </w:hyperlink>
      <w:r w:rsidRPr="00D97463">
        <w:t>).</w:t>
      </w:r>
    </w:p>
  </w:footnote>
  <w:footnote w:id="14">
    <w:p w:rsidR="00A3158E" w:rsidRPr="00D97463" w:rsidRDefault="00A3158E" w:rsidP="00D97463">
      <w:pPr>
        <w:pStyle w:val="FootnoteText"/>
        <w:spacing w:after="60"/>
        <w:ind w:right="1260"/>
      </w:pPr>
      <w:r w:rsidRPr="00D97463">
        <w:tab/>
      </w:r>
      <w:r w:rsidRPr="00D97463">
        <w:rPr>
          <w:rStyle w:val="FootnoteReference"/>
        </w:rPr>
        <w:footnoteRef/>
      </w:r>
      <w:r w:rsidRPr="00D97463">
        <w:t xml:space="preserve"> </w:t>
      </w:r>
      <w:r w:rsidRPr="00D97463">
        <w:tab/>
        <w:t xml:space="preserve">The text of the draft guidelines, as proposed by the Special Rapporteur in his report, read as follows (see section C.2, below, for the text of the draft guidelines and preambular paragraphs, as well as commentaries thereto, provisionally adopted by the Commission at the present session): </w:t>
      </w:r>
    </w:p>
    <w:p w:rsidR="00A3158E" w:rsidRPr="00D97463" w:rsidRDefault="00A3158E" w:rsidP="00D97463">
      <w:pPr>
        <w:pStyle w:val="IndentFootnot"/>
      </w:pPr>
      <w:r w:rsidRPr="00D97463">
        <w:t>“</w:t>
      </w:r>
      <w:r w:rsidRPr="00D97463">
        <w:rPr>
          <w:b/>
          <w:bCs/>
        </w:rPr>
        <w:t>Draft guideline 1</w:t>
      </w:r>
      <w:r w:rsidRPr="00D97463">
        <w:rPr>
          <w:b/>
          <w:bCs/>
        </w:rPr>
        <w:br/>
        <w:t>Use of terms</w:t>
      </w:r>
    </w:p>
    <w:p w:rsidR="00A3158E" w:rsidRPr="00D97463" w:rsidRDefault="00A3158E" w:rsidP="00D97463">
      <w:pPr>
        <w:pStyle w:val="IndentFootnot"/>
      </w:pPr>
      <w:r>
        <w:tab/>
      </w:r>
      <w:r w:rsidRPr="00D97463">
        <w:t>For the purposes of the present draft guidelines,</w:t>
      </w:r>
    </w:p>
    <w:p w:rsidR="00A3158E" w:rsidRPr="00D97463" w:rsidRDefault="00A3158E" w:rsidP="00D97463">
      <w:pPr>
        <w:pStyle w:val="IndentFootnot"/>
      </w:pPr>
      <w:r w:rsidRPr="00D97463">
        <w:tab/>
        <w:t xml:space="preserve">(a) </w:t>
      </w:r>
      <w:r w:rsidRPr="00D97463">
        <w:tab/>
        <w:t>‘Atmosphere’ means the envelope of gases surrounding the Earth, within which the transport and dispersion of degrading substances occurs.</w:t>
      </w:r>
    </w:p>
    <w:p w:rsidR="00A3158E" w:rsidRPr="00D97463" w:rsidRDefault="00A3158E" w:rsidP="00D97463">
      <w:pPr>
        <w:pStyle w:val="IndentFootnot"/>
      </w:pPr>
      <w:r w:rsidRPr="00D97463">
        <w:tab/>
        <w:t xml:space="preserve">(b) </w:t>
      </w:r>
      <w:r w:rsidRPr="00D97463">
        <w:tab/>
        <w:t>‘Air pollution’ means the introduction by human activities, directly or indirectly, of substances or energy into the atmosphere resulting in deleterious effects on human life and health and the Earth’s natural environment.</w:t>
      </w:r>
    </w:p>
    <w:p w:rsidR="00A3158E" w:rsidRPr="00D97463" w:rsidRDefault="00A3158E" w:rsidP="00D97463">
      <w:pPr>
        <w:pStyle w:val="IndentFootnot"/>
      </w:pPr>
      <w:r w:rsidRPr="00D97463">
        <w:tab/>
        <w:t xml:space="preserve">(c) </w:t>
      </w:r>
      <w:r w:rsidRPr="00D97463">
        <w:tab/>
        <w:t>‘Atmospheric degradation’ includes air pollution, stratospheric ozone depletion, climate change and any other alterations of atmospheric conditions resulting in significant adverse effects to human life and health and the Earth’s natural environment.</w:t>
      </w:r>
    </w:p>
    <w:p w:rsidR="00A3158E" w:rsidRPr="00D97463" w:rsidRDefault="00A3158E" w:rsidP="00D97463">
      <w:pPr>
        <w:pStyle w:val="IndentFootnot"/>
      </w:pPr>
      <w:r w:rsidRPr="00D97463">
        <w:t>[Definition of other terms will be proposed at later stages.]</w:t>
      </w:r>
    </w:p>
    <w:p w:rsidR="00A3158E" w:rsidRPr="00D97463" w:rsidRDefault="00A3158E" w:rsidP="00D97463">
      <w:pPr>
        <w:pStyle w:val="IndentFootnot"/>
        <w:rPr>
          <w:b/>
          <w:bCs/>
        </w:rPr>
      </w:pPr>
      <w:r w:rsidRPr="00D97463">
        <w:rPr>
          <w:b/>
          <w:bCs/>
        </w:rPr>
        <w:t>Draft guideline 2</w:t>
      </w:r>
      <w:r w:rsidRPr="00D97463">
        <w:rPr>
          <w:b/>
          <w:bCs/>
        </w:rPr>
        <w:br/>
        <w:t>Scope of the guidelines</w:t>
      </w:r>
    </w:p>
    <w:p w:rsidR="00A3158E" w:rsidRPr="00D97463" w:rsidRDefault="00A3158E" w:rsidP="00D97463">
      <w:pPr>
        <w:pStyle w:val="IndentFootnot"/>
      </w:pPr>
      <w:r w:rsidRPr="00D97463">
        <w:tab/>
        <w:t xml:space="preserve">(a) </w:t>
      </w:r>
      <w:r w:rsidRPr="00D97463">
        <w:tab/>
        <w:t>The present draft guidelines address human activities that directly or indirectly introduce deleterious substances or energy into the atmosphere or alter the composition of the atmosphere, and that have or are likely to have significant adverse effects on human life and health and the Earth’s natural environment.</w:t>
      </w:r>
    </w:p>
    <w:p w:rsidR="00A3158E" w:rsidRPr="00D97463" w:rsidRDefault="00A3158E" w:rsidP="00D97463">
      <w:pPr>
        <w:pStyle w:val="IndentFootnot"/>
      </w:pPr>
      <w:r w:rsidRPr="00D97463">
        <w:tab/>
        <w:t xml:space="preserve">(b) </w:t>
      </w:r>
      <w:r w:rsidRPr="00D97463">
        <w:tab/>
        <w:t>The present draft guidelines refer to the basic principles relating to the protection of the atmosphere as well as to their interrelationship with other relevant fields of international law.</w:t>
      </w:r>
    </w:p>
    <w:p w:rsidR="00A3158E" w:rsidRPr="00D97463" w:rsidRDefault="00A3158E" w:rsidP="00D97463">
      <w:pPr>
        <w:pStyle w:val="IndentFootnot"/>
      </w:pPr>
      <w:r w:rsidRPr="00D97463">
        <w:tab/>
        <w:t xml:space="preserve">(c) </w:t>
      </w:r>
      <w:r w:rsidRPr="00D97463">
        <w:tab/>
        <w:t>Nothing in the present draft guidelines is intended to affect the legal status of airspace under applicable international law.</w:t>
      </w:r>
    </w:p>
    <w:p w:rsidR="00A3158E" w:rsidRPr="00D97463" w:rsidRDefault="00A3158E" w:rsidP="00D97463">
      <w:pPr>
        <w:pStyle w:val="IndentFootnot"/>
        <w:rPr>
          <w:b/>
          <w:bCs/>
        </w:rPr>
      </w:pPr>
      <w:r w:rsidRPr="00D97463">
        <w:rPr>
          <w:b/>
          <w:bCs/>
        </w:rPr>
        <w:t xml:space="preserve">Part II </w:t>
      </w:r>
      <w:r w:rsidRPr="00D97463">
        <w:rPr>
          <w:b/>
          <w:bCs/>
        </w:rPr>
        <w:br/>
        <w:t>General principles</w:t>
      </w:r>
    </w:p>
    <w:p w:rsidR="00A3158E" w:rsidRPr="00D97463" w:rsidRDefault="00A3158E" w:rsidP="00D97463">
      <w:pPr>
        <w:pStyle w:val="IndentFootnot"/>
        <w:rPr>
          <w:b/>
          <w:bCs/>
        </w:rPr>
      </w:pPr>
      <w:r w:rsidRPr="00D97463">
        <w:rPr>
          <w:b/>
          <w:bCs/>
        </w:rPr>
        <w:t>Draft guideline 3</w:t>
      </w:r>
      <w:r w:rsidRPr="00D97463">
        <w:rPr>
          <w:b/>
          <w:bCs/>
        </w:rPr>
        <w:br/>
        <w:t>Common concern of humankind</w:t>
      </w:r>
    </w:p>
    <w:p w:rsidR="00A3158E" w:rsidRPr="00D97463" w:rsidRDefault="00A3158E" w:rsidP="00D97463">
      <w:pPr>
        <w:pStyle w:val="IndentFootnot"/>
      </w:pPr>
      <w:r w:rsidRPr="00D97463">
        <w:tab/>
        <w:t>The atmosphere is a natural resource essential for sustaining life on Earth, human health and welfare, and aquatic and terrestrial ecosystems, and hence the degradation of atmospheric conditions is a common concern of humankind.</w:t>
      </w:r>
    </w:p>
    <w:p w:rsidR="00A3158E" w:rsidRPr="00D97463" w:rsidRDefault="00A3158E" w:rsidP="00D97463">
      <w:pPr>
        <w:pStyle w:val="IndentFootnot"/>
        <w:rPr>
          <w:b/>
          <w:bCs/>
        </w:rPr>
      </w:pPr>
      <w:r w:rsidRPr="00D97463">
        <w:rPr>
          <w:b/>
          <w:bCs/>
        </w:rPr>
        <w:t>Draft guideline 4</w:t>
      </w:r>
      <w:r w:rsidRPr="00D97463">
        <w:rPr>
          <w:b/>
          <w:bCs/>
        </w:rPr>
        <w:br/>
        <w:t xml:space="preserve">General obligation of States to protect the atmosphere </w:t>
      </w:r>
    </w:p>
    <w:p w:rsidR="00A3158E" w:rsidRPr="00D97463" w:rsidRDefault="00A3158E" w:rsidP="00D97463">
      <w:pPr>
        <w:pStyle w:val="IndentFootnot"/>
      </w:pPr>
      <w:r w:rsidRPr="00D97463">
        <w:tab/>
        <w:t>States have the obligation to protect the atmosphere.</w:t>
      </w:r>
    </w:p>
    <w:p w:rsidR="00A3158E" w:rsidRPr="00D97463" w:rsidRDefault="00A3158E" w:rsidP="00D97463">
      <w:pPr>
        <w:pStyle w:val="IndentFootnot"/>
        <w:rPr>
          <w:b/>
          <w:bCs/>
        </w:rPr>
      </w:pPr>
      <w:r w:rsidRPr="00D97463">
        <w:rPr>
          <w:b/>
          <w:bCs/>
        </w:rPr>
        <w:t>Draft guideline 5</w:t>
      </w:r>
      <w:r w:rsidRPr="00D97463">
        <w:rPr>
          <w:b/>
          <w:bCs/>
        </w:rPr>
        <w:br/>
        <w:t>International cooperation</w:t>
      </w:r>
    </w:p>
    <w:p w:rsidR="00A3158E" w:rsidRPr="00D97463" w:rsidRDefault="00A3158E" w:rsidP="00D97463">
      <w:pPr>
        <w:pStyle w:val="IndentFootnot"/>
      </w:pPr>
      <w:r w:rsidRPr="00D97463">
        <w:tab/>
        <w:t xml:space="preserve">(a) </w:t>
      </w:r>
      <w:r w:rsidRPr="00D97463">
        <w:tab/>
        <w:t>States have the obligation to cooperate with each other and with relevant international organizations in good faith for the protection of the atmosphere.</w:t>
      </w:r>
    </w:p>
    <w:p w:rsidR="00A3158E" w:rsidRPr="00D97463" w:rsidRDefault="00A3158E" w:rsidP="00D97463">
      <w:pPr>
        <w:pStyle w:val="IndentFootnot"/>
      </w:pPr>
      <w:r w:rsidRPr="00D97463">
        <w:tab/>
        <w:t>(b)</w:t>
      </w:r>
      <w:r>
        <w:t xml:space="preserve"> </w:t>
      </w:r>
      <w:r>
        <w:tab/>
      </w:r>
      <w:r w:rsidRPr="00D97463">
        <w:t>States are encouraged to cooperate in further enhancing scientific knowledge relating to the causes and impacts of atmospheric degradation. Cooperation could include exchange of information and joint monitoring.”</w:t>
      </w:r>
    </w:p>
  </w:footnote>
  <w:footnote w:id="15">
    <w:p w:rsidR="00A3158E" w:rsidRPr="00D97463" w:rsidRDefault="00A3158E" w:rsidP="00D97463">
      <w:pPr>
        <w:pStyle w:val="FootnoteText"/>
        <w:ind w:right="1260"/>
      </w:pPr>
      <w:r w:rsidRPr="00D97463">
        <w:tab/>
      </w:r>
      <w:r w:rsidRPr="00D97463">
        <w:rPr>
          <w:rStyle w:val="FootnoteReference"/>
        </w:rPr>
        <w:footnoteRef/>
      </w:r>
      <w:r w:rsidRPr="00D97463">
        <w:tab/>
        <w:t>The dialogue with scientists on the protection of the atmosphere, was chaired by Mr. Shinya Murase, Special Rapporteur. Prof. Øystein Hov (President, Commission of Atmospheric Sciences, WMO); Prof. Peringe Grennfelt (Chair of the Working Group on Effects, Convention on Long-Range Transboundary Air Pollution); Mr. Masa Nagai (Deputy Director, Division of Environmental Law and Conventions, UNEP); Mr. Christian Blondin (Director Cabinet and External Relation Department, WMO); Ms. Albena Karadjova (Secretary of CLRTAP) and Ms. Jacqueline McGlade (Chief Scientist and Director, Division of Early Warning and Assessment, UNEP) made presentations. This was followed by a question and answer session.</w:t>
      </w:r>
    </w:p>
  </w:footnote>
  <w:footnote w:id="1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w:t>
      </w:r>
      <w:r w:rsidRPr="00D97463">
        <w:rPr>
          <w:i/>
          <w:iCs/>
        </w:rPr>
        <w:t>supra</w:t>
      </w:r>
      <w:r w:rsidRPr="00D97463">
        <w:t xml:space="preserve"> note 14 above for the text of draft guideline 4, as proposed by the Special Rapporteur.</w:t>
      </w:r>
    </w:p>
  </w:footnote>
  <w:footnote w:id="1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The terminology and location of this paragraph, which derives from paragraph 168 of the report of the International Law Commission on the work of its sixty-fifth session (</w:t>
      </w:r>
      <w:r w:rsidRPr="00D97463">
        <w:rPr>
          <w:i/>
          <w:iCs/>
        </w:rPr>
        <w:t xml:space="preserve">Official Records of the General Assembly, Sixty-eighth Session, Supplement </w:t>
      </w:r>
      <w:r w:rsidRPr="00D97463">
        <w:rPr>
          <w:i/>
        </w:rPr>
        <w:t>No</w:t>
      </w:r>
      <w:r w:rsidRPr="00D97463">
        <w:rPr>
          <w:i/>
          <w:iCs/>
        </w:rPr>
        <w:t xml:space="preserve">. 10 </w:t>
      </w:r>
      <w:r w:rsidRPr="00D97463">
        <w:t>(</w:t>
      </w:r>
      <w:hyperlink r:id="rId12" w:history="1">
        <w:r w:rsidRPr="00D97463">
          <w:rPr>
            <w:rStyle w:val="Hyperlink"/>
          </w:rPr>
          <w:t>A/68/10</w:t>
        </w:r>
      </w:hyperlink>
      <w:r w:rsidRPr="00D97463">
        <w:t>), para. 168), will be revisited at a later stage in the Commission’s work on this topic.</w:t>
      </w:r>
    </w:p>
  </w:footnote>
  <w:footnote w:id="1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The alternative formulations in brackets will be subject to further consideration.</w:t>
      </w:r>
    </w:p>
  </w:footnote>
  <w:footnote w:id="19">
    <w:p w:rsidR="00A3158E" w:rsidRPr="00D97463" w:rsidRDefault="00A3158E" w:rsidP="00D97463">
      <w:pPr>
        <w:pStyle w:val="FootnoteText"/>
        <w:ind w:right="1260"/>
      </w:pPr>
      <w:r w:rsidRPr="00D97463">
        <w:tab/>
      </w:r>
      <w:r w:rsidRPr="00D97463">
        <w:rPr>
          <w:rStyle w:val="FootnoteReference"/>
        </w:rPr>
        <w:footnoteRef/>
      </w:r>
      <w:r w:rsidRPr="00D97463">
        <w:tab/>
        <w:t>The terminology and location of this paragraph, which derives from paragraph 168 of the report of the International Law Commission on the work of its sixty-fifth session (</w:t>
      </w:r>
      <w:r w:rsidRPr="00D97463">
        <w:rPr>
          <w:i/>
          <w:iCs/>
        </w:rPr>
        <w:t xml:space="preserve">Official Records of the General Assembly, Sixty-eighth Session, Supplement </w:t>
      </w:r>
      <w:r w:rsidRPr="00D97463">
        <w:rPr>
          <w:i/>
        </w:rPr>
        <w:t>No</w:t>
      </w:r>
      <w:r w:rsidRPr="00D97463">
        <w:rPr>
          <w:i/>
          <w:iCs/>
        </w:rPr>
        <w:t xml:space="preserve">. 10 </w:t>
      </w:r>
      <w:r w:rsidRPr="00D97463">
        <w:t>(</w:t>
      </w:r>
      <w:hyperlink r:id="rId13" w:history="1">
        <w:r w:rsidRPr="00D97463">
          <w:rPr>
            <w:rStyle w:val="Hyperlink"/>
          </w:rPr>
          <w:t>A/68/10</w:t>
        </w:r>
      </w:hyperlink>
      <w:r w:rsidRPr="00D97463">
        <w:t>), para. 168), will be revisited at a later stage in the Commission’s work on this topic.</w:t>
      </w:r>
    </w:p>
  </w:footnote>
  <w:footnote w:id="2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In the past, the Commission has generally presented to the General Assembly an outcome of its work without a draft preamble, leaving its elaboration to States. However, there have also been precedents during which the Commission has prepared such preambles. This was the case, for instance, with respect to the two draft conventions on the elimination of future statelessness (1954), </w:t>
      </w:r>
      <w:r w:rsidRPr="00D97463">
        <w:rPr>
          <w:i/>
        </w:rPr>
        <w:t>Yearbook … 1954</w:t>
      </w:r>
      <w:r w:rsidRPr="00D97463">
        <w:t xml:space="preserve">, vol. II, para. 25; on the reduction of the future statelessness (1954), </w:t>
      </w:r>
      <w:r w:rsidRPr="00D97463">
        <w:rPr>
          <w:i/>
        </w:rPr>
        <w:t>Yearbook … 1954</w:t>
      </w:r>
      <w:r w:rsidRPr="00D97463">
        <w:t xml:space="preserve">, vol. II, para. 25; the model rules on arbitral procedures (1958), </w:t>
      </w:r>
      <w:r w:rsidRPr="00D97463">
        <w:rPr>
          <w:i/>
          <w:iCs/>
        </w:rPr>
        <w:t>Yearbook …</w:t>
      </w:r>
      <w:r w:rsidRPr="00D97463">
        <w:t xml:space="preserve"> </w:t>
      </w:r>
      <w:r w:rsidRPr="00D97463">
        <w:rPr>
          <w:i/>
          <w:iCs/>
        </w:rPr>
        <w:t>1958</w:t>
      </w:r>
      <w:r w:rsidRPr="00D97463">
        <w:t xml:space="preserve">, vol. II, para. 22 (the preamble reflected fundamental rules for an undertaking to arbitrate); the draft articles on the nationality of natural persons in relation to the succession of States (1999), </w:t>
      </w:r>
      <w:r w:rsidRPr="00D97463">
        <w:rPr>
          <w:i/>
        </w:rPr>
        <w:t>Yearbook …, 1999</w:t>
      </w:r>
      <w:r w:rsidRPr="00D97463">
        <w:t xml:space="preserve">, vol. II, Part Two, para. 47 (reproduced in General Assembly resolution 55/153, annex, of 12 December 2000); the draft articles on prevention of transboundary harm from hazardous activities (2001), </w:t>
      </w:r>
      <w:r w:rsidRPr="00D97463">
        <w:rPr>
          <w:i/>
        </w:rPr>
        <w:t>Yearbook …, 2001</w:t>
      </w:r>
      <w:r w:rsidRPr="00D97463">
        <w:t xml:space="preserve">, vol. II, Part Two, para. 97 (reproduced in General Assembly resolution 62/68, annex, of 6 December 2007); the guiding principles applicable to unilateral declarations of States capable of creating legal obligations (2006), </w:t>
      </w:r>
      <w:r w:rsidRPr="00D97463">
        <w:rPr>
          <w:i/>
        </w:rPr>
        <w:t>Yearbook … 2006</w:t>
      </w:r>
      <w:r w:rsidRPr="00D97463">
        <w:t xml:space="preserve">, vol. II, Part Two, para. 176; the draft principles on the allocation of loss in the case of transboundary harm arising out of hazardous activities (2006), </w:t>
      </w:r>
      <w:r w:rsidRPr="00D97463">
        <w:rPr>
          <w:i/>
          <w:iCs/>
        </w:rPr>
        <w:t>Yearbook … 2006</w:t>
      </w:r>
      <w:r w:rsidRPr="00D97463">
        <w:t xml:space="preserve">, vol. II, Part Two, para. 66 (reproduced in General Assembly resolution 61/36, annex, of 6 December 2006); and the draft articles on the law of transboundary aquifers (2008), </w:t>
      </w:r>
      <w:r w:rsidRPr="00D97463">
        <w:rPr>
          <w:i/>
        </w:rPr>
        <w:t>Official Records of the General Assembly, Sixty-third Session, Supplement No. 10</w:t>
      </w:r>
      <w:r w:rsidRPr="00D97463">
        <w:t xml:space="preserve"> (</w:t>
      </w:r>
      <w:hyperlink r:id="rId14" w:history="1">
        <w:r w:rsidRPr="00D97463">
          <w:rPr>
            <w:rStyle w:val="Hyperlink"/>
          </w:rPr>
          <w:t>A/63/10</w:t>
        </w:r>
      </w:hyperlink>
      <w:r w:rsidRPr="00D97463">
        <w:t>), paras. 53 and 54.</w:t>
      </w:r>
    </w:p>
  </w:footnote>
  <w:footnote w:id="21">
    <w:p w:rsidR="00A3158E" w:rsidRPr="00D97463" w:rsidRDefault="00A3158E" w:rsidP="00D97463">
      <w:pPr>
        <w:pStyle w:val="FootnoteText"/>
        <w:ind w:right="1260"/>
        <w:rPr>
          <w:rFonts w:eastAsia="有澤楷書"/>
        </w:rPr>
      </w:pPr>
      <w:r w:rsidRPr="00D97463">
        <w:tab/>
      </w:r>
      <w:r w:rsidRPr="00D97463">
        <w:rPr>
          <w:rStyle w:val="FootnoteReference"/>
        </w:rPr>
        <w:footnoteRef/>
      </w:r>
      <w:r w:rsidRPr="00D97463">
        <w:tab/>
        <w:t xml:space="preserve">The inclusion of “atmospheric resources” among “other natural resources” by the former United Nations Committee on Natural Resources was first mentioned in the Committee’s report on its first session (New York, 10 March 1971), section 4 (“other natural resources”), para. 94 (d). </w:t>
      </w:r>
      <w:r w:rsidRPr="00D97463">
        <w:rPr>
          <w:color w:val="000000"/>
        </w:rPr>
        <w:t>The work of the Committee (later United Nations Committee on Energy and Natural Resources for Development) was subsequently transferred to the Commission on Sustainable Development.</w:t>
      </w:r>
    </w:p>
  </w:footnote>
  <w:footnote w:id="22">
    <w:p w:rsidR="00A3158E" w:rsidRPr="00D97463" w:rsidRDefault="00A3158E" w:rsidP="00D97463">
      <w:pPr>
        <w:pStyle w:val="FootnoteText"/>
        <w:ind w:right="1260"/>
      </w:pPr>
      <w:r w:rsidRPr="00D97463">
        <w:tab/>
      </w:r>
      <w:r w:rsidRPr="00D97463">
        <w:rPr>
          <w:rStyle w:val="FootnoteReference"/>
        </w:rPr>
        <w:footnoteRef/>
      </w:r>
      <w:r w:rsidRPr="00D97463">
        <w:tab/>
        <w:t xml:space="preserve">“The natural resources of the earth including the air … must be safeguarded for the benefit of present and future generations through careful planning or management, as appropriate” (Declaration of the United Nations Conference on the Human Environment, UN Doc. </w:t>
      </w:r>
      <w:hyperlink r:id="rId15" w:history="1">
        <w:r w:rsidRPr="00D97463">
          <w:rPr>
            <w:rStyle w:val="Hyperlink"/>
          </w:rPr>
          <w:t>A/CONF.48/14/Rev.1</w:t>
        </w:r>
      </w:hyperlink>
      <w:r w:rsidRPr="00D97463">
        <w:rPr>
          <w:rStyle w:val="Hyperlink"/>
        </w:rPr>
        <w:t>,</w:t>
      </w:r>
      <w:r w:rsidRPr="00D97463">
        <w:t xml:space="preserve"> 16 June 1972, Principle 2).</w:t>
      </w:r>
    </w:p>
  </w:footnote>
  <w:footnote w:id="23">
    <w:p w:rsidR="00A3158E" w:rsidRPr="00D97463" w:rsidRDefault="00A3158E" w:rsidP="00D97463">
      <w:pPr>
        <w:pStyle w:val="FootnoteText"/>
        <w:ind w:right="1260"/>
      </w:pPr>
      <w:r w:rsidRPr="00D97463">
        <w:tab/>
      </w:r>
      <w:r w:rsidRPr="00D97463">
        <w:rPr>
          <w:rStyle w:val="FootnoteReference"/>
        </w:rPr>
        <w:footnoteRef/>
      </w:r>
      <w:r w:rsidRPr="00D97463">
        <w:tab/>
        <w:t>“… atmospheric resources that are utilized by man, shall be managed to achieve and maintain optimum sustainable productivity, …” (World Charter for Nature, GA Res 37/7 of 28 October 1982, General Principles, para. 4).</w:t>
      </w:r>
    </w:p>
  </w:footnote>
  <w:footnote w:id="24">
    <w:p w:rsidR="00A3158E" w:rsidRPr="00D97463" w:rsidRDefault="00A3158E" w:rsidP="00D97463">
      <w:pPr>
        <w:pStyle w:val="FootnoteText"/>
        <w:ind w:right="1260"/>
      </w:pPr>
      <w:r w:rsidRPr="00D97463">
        <w:tab/>
      </w:r>
      <w:r w:rsidRPr="00D97463">
        <w:rPr>
          <w:rStyle w:val="FootnoteReference"/>
        </w:rPr>
        <w:footnoteRef/>
      </w:r>
      <w:r w:rsidRPr="00D97463">
        <w:tab/>
        <w:t xml:space="preserve">The WTO Panel and Appellate Body recognized in the </w:t>
      </w:r>
      <w:r w:rsidRPr="00D97463">
        <w:rPr>
          <w:i/>
        </w:rPr>
        <w:t>Gasoline</w:t>
      </w:r>
      <w:r w:rsidRPr="00D97463">
        <w:t xml:space="preserve"> case of 1996 that clean air was an “exhaustible natural resource” that could be “depleted.” </w:t>
      </w:r>
      <w:r w:rsidRPr="00D97463">
        <w:rPr>
          <w:i/>
        </w:rPr>
        <w:t>United States-Standards for Reformulated and Conventional Gasoline</w:t>
      </w:r>
      <w:r w:rsidRPr="00D97463">
        <w:t xml:space="preserve"> (1996), Report of the Appellate Body: WT/DS2/AB/R (1996).</w:t>
      </w:r>
    </w:p>
  </w:footnote>
  <w:footnote w:id="25">
    <w:p w:rsidR="00A3158E" w:rsidRPr="00D97463" w:rsidRDefault="00A3158E" w:rsidP="00D97463">
      <w:pPr>
        <w:pStyle w:val="FootnoteText"/>
        <w:ind w:right="1260"/>
        <w:rPr>
          <w:shd w:val="pct15" w:color="auto" w:fill="FFFFFF"/>
        </w:rPr>
      </w:pPr>
      <w:r w:rsidRPr="00D97463">
        <w:tab/>
      </w:r>
      <w:r w:rsidRPr="00D97463">
        <w:rPr>
          <w:rStyle w:val="FootnoteReference"/>
        </w:rPr>
        <w:footnoteRef/>
      </w:r>
      <w:r w:rsidRPr="00D97463">
        <w:tab/>
        <w:t xml:space="preserve">See the 2001 Stockholm Convention on Persistent Organic Pollutants, United Nations, </w:t>
      </w:r>
      <w:r w:rsidRPr="00D97463">
        <w:rPr>
          <w:i/>
          <w:iCs/>
        </w:rPr>
        <w:t>Treaty Series</w:t>
      </w:r>
      <w:r w:rsidRPr="00D97463">
        <w:t xml:space="preserve">, vol. 2256, p. 119 (noting in the preamble that “persistent organic pollutants, … are transported through air … across international boundaries and deposited far from their place of release, where they accumulate in terrestrial and aquatic ecosystems”). The 2012 amendment of the Gothenburg Protocol to the 1979 </w:t>
      </w:r>
      <w:r w:rsidRPr="00D97463">
        <w:rPr>
          <w:bCs/>
        </w:rPr>
        <w:t>Convention on Long-range Transboundary Air Pollution to Abate Acidification, Eutrophication and Ground-level Ozone</w:t>
      </w:r>
      <w:r w:rsidRPr="00D97463">
        <w:t xml:space="preserve"> (United Nations, </w:t>
      </w:r>
      <w:r w:rsidRPr="00D97463">
        <w:rPr>
          <w:i/>
          <w:iCs/>
        </w:rPr>
        <w:t>Treaty Series</w:t>
      </w:r>
      <w:r w:rsidRPr="00D97463">
        <w:t>, vol. 2319, p.</w:t>
      </w:r>
      <w:r>
        <w:t xml:space="preserve"> </w:t>
      </w:r>
      <w:r w:rsidRPr="00D97463">
        <w:t>81) indicates in the third preambular paragraph: “Concerned … that emitted [chemical substances] are transported in the atmosphere over long distance and may have adverse transboundary effects.” The 2013 Minamata Convention on Mercury (adopted on 10 October 2013 at Kumamoto (Japan) on the occasion of the Conference of Plenipotentiaries on the Minamata Convention on Mercury held from 7 to 11 October 2013, text available at: &lt;https://treaties.un.org/doc/Treaties/2013/10/</w:t>
      </w:r>
      <w:r>
        <w:t xml:space="preserve"> </w:t>
      </w:r>
      <w:r w:rsidRPr="00D97463">
        <w:t xml:space="preserve">20131010%2011-16%20AM/CTC-XXVII-17.pdf&gt;), recognizes mercury as “a chemical of global concern owing to its long-range atmospheric transport” (first preambular para.); See, J.S. Fuglesvedt, K.P. Shine, T. Berntsen, J. Cook, D.S. Lee, A. Stenke, R.B. Skeie, G.J. M Velders, I.A. Waitz, “Transport impacts on atmosphere and climate: metrics,” </w:t>
      </w:r>
      <w:r w:rsidRPr="00D97463">
        <w:rPr>
          <w:i/>
        </w:rPr>
        <w:t>Atmospheric Environment</w:t>
      </w:r>
      <w:r w:rsidRPr="00D97463">
        <w:t xml:space="preserve">, vol. 44:37 (2010), pp. 4648-4677; D.J. Wuebbles, H. Lei and J.-T Lin, “Inter-continental transport of aerosols and photochemical oxidants from Asia and its consequences,” </w:t>
      </w:r>
      <w:r w:rsidRPr="00D97463">
        <w:rPr>
          <w:i/>
        </w:rPr>
        <w:t>Environmental Pollution</w:t>
      </w:r>
      <w:r w:rsidRPr="00D97463">
        <w:t xml:space="preserve">, vol. 150 (2007), pp. 65-84; J.-T Lin, X.-Z Liang and D.J. Wuebbles, “Effects of inter-continental transport on surface ozone over the United States: Present and future assessment with a global model,” </w:t>
      </w:r>
      <w:r w:rsidRPr="00D97463">
        <w:rPr>
          <w:i/>
        </w:rPr>
        <w:t>Geophysical Research Letters</w:t>
      </w:r>
      <w:r w:rsidRPr="00D97463">
        <w:t xml:space="preserve">, vol. 35 (2008), L02805. </w:t>
      </w:r>
    </w:p>
  </w:footnote>
  <w:footnote w:id="26">
    <w:p w:rsidR="00A3158E" w:rsidRPr="00D97463" w:rsidRDefault="00A3158E" w:rsidP="00D97463">
      <w:pPr>
        <w:pStyle w:val="FootnoteText"/>
        <w:ind w:right="1260"/>
      </w:pPr>
      <w:r w:rsidRPr="00D97463">
        <w:tab/>
      </w:r>
      <w:r w:rsidRPr="00D97463">
        <w:rPr>
          <w:rStyle w:val="FootnoteReference"/>
        </w:rPr>
        <w:footnoteRef/>
      </w:r>
      <w:r w:rsidRPr="00D97463">
        <w:tab/>
        <w:t xml:space="preserve">Several of these pollution threats to the Arctic environment have been identified, such as persistent organic pollutants (POPs) and mercury, which originate mainly from sources outside the region. These pollutants end up in the Arctic from southern industrial regions of Europe and other continents </w:t>
      </w:r>
      <w:r w:rsidRPr="00D97463">
        <w:rPr>
          <w:i/>
          <w:iCs/>
        </w:rPr>
        <w:t>via</w:t>
      </w:r>
      <w:r w:rsidRPr="00D97463">
        <w:t xml:space="preserve"> prevailing northerly winds and ocean circulation. See Timo Koivurova, Paula Kankaanpää and Adam Stepien, “Innovative Environmental Protection: Lessons from the Arctic,” </w:t>
      </w:r>
      <w:r w:rsidRPr="00D97463">
        <w:rPr>
          <w:i/>
        </w:rPr>
        <w:t>Journal of Environmental Law</w:t>
      </w:r>
      <w:r w:rsidRPr="00D97463">
        <w:t>, vol. 27, (2015), pp. 1-27, at p. 13; Available at: &lt;http://jel.oxford</w:t>
      </w:r>
      <w:r>
        <w:t xml:space="preserve"> </w:t>
      </w:r>
      <w:r w:rsidRPr="00D97463">
        <w:t>journals.org/content/early/015/02/13/jel.equ037.full.pdf?keytype=ref&amp;ijkey=BjgzEgqY2lZXodu&gt;.</w:t>
      </w:r>
    </w:p>
  </w:footnote>
  <w:footnote w:id="27">
    <w:p w:rsidR="00A3158E" w:rsidRPr="00D97463" w:rsidRDefault="00A3158E" w:rsidP="00D97463">
      <w:pPr>
        <w:pStyle w:val="FootnoteText"/>
        <w:ind w:right="1260"/>
      </w:pPr>
      <w:r w:rsidRPr="00D97463">
        <w:rPr>
          <w:rFonts w:eastAsia="PMingLiU"/>
          <w:lang w:eastAsia="zh-TW"/>
        </w:rPr>
        <w:tab/>
      </w:r>
      <w:r w:rsidRPr="00D97463">
        <w:rPr>
          <w:rStyle w:val="FootnoteReference"/>
        </w:rPr>
        <w:footnoteRef/>
      </w:r>
      <w:r w:rsidRPr="00D97463">
        <w:rPr>
          <w:rFonts w:eastAsia="PMingLiU"/>
          <w:lang w:eastAsia="zh-TW"/>
        </w:rPr>
        <w:tab/>
        <w:t>P</w:t>
      </w:r>
      <w:r w:rsidRPr="00D97463">
        <w:t xml:space="preserve">aragraph 1 of the preamble to the 1992 United Nations Framework Convention on Climate Change (UNFCCC) (United Nations, </w:t>
      </w:r>
      <w:r w:rsidRPr="00D97463">
        <w:rPr>
          <w:i/>
          <w:iCs/>
        </w:rPr>
        <w:t xml:space="preserve">Treaty Series </w:t>
      </w:r>
      <w:r w:rsidRPr="00D97463">
        <w:t xml:space="preserve">, vol. 1771, p. 107) acknowledges that “change in the Earth’s climate and its adverse effects are a common concern of humankind.” Likewise, the preamble to the 1992 Convention on Biological Diversity (United Nations, </w:t>
      </w:r>
      <w:r w:rsidRPr="00D97463">
        <w:rPr>
          <w:i/>
          <w:iCs/>
        </w:rPr>
        <w:t>Treaty Series</w:t>
      </w:r>
      <w:r w:rsidRPr="00D97463">
        <w:t xml:space="preserve">, vol. 1760, p. 79) </w:t>
      </w:r>
      <w:r w:rsidRPr="00D97463">
        <w:rPr>
          <w:rFonts w:eastAsia="PMingLiU"/>
          <w:lang w:eastAsia="zh-TW"/>
        </w:rPr>
        <w:t>shows parties to be</w:t>
      </w:r>
      <w:r w:rsidRPr="00D97463">
        <w:t xml:space="preserve"> “[c]onscious … of the importance of biological diversity for evolution and for maintaining life sustaining systems of the biosphere,” (para, 2) </w:t>
      </w:r>
      <w:r w:rsidRPr="00D97463">
        <w:rPr>
          <w:rFonts w:eastAsia="PMingLiU"/>
          <w:lang w:eastAsia="zh-TW"/>
        </w:rPr>
        <w:t xml:space="preserve">and </w:t>
      </w:r>
      <w:r w:rsidRPr="00D97463">
        <w:t xml:space="preserve">affirms that “the conservation of biological diversity is a common concern of humankind” (para. 3). The 1994 Convention to Combat Desertification in Those Countries Experiencing Drought and/or Desertification, Particularly in Africa (United Nations, </w:t>
      </w:r>
      <w:r w:rsidRPr="00D97463">
        <w:rPr>
          <w:i/>
          <w:iCs/>
        </w:rPr>
        <w:t xml:space="preserve">Treaty Series </w:t>
      </w:r>
      <w:r w:rsidRPr="00D97463">
        <w:t xml:space="preserve">, vol. 1954, p. 3) adopted </w:t>
      </w:r>
      <w:r w:rsidRPr="00D97463">
        <w:rPr>
          <w:rFonts w:eastAsia="PMingLiU"/>
          <w:lang w:eastAsia="zh-TW"/>
        </w:rPr>
        <w:t>phrases similar</w:t>
      </w:r>
      <w:r w:rsidRPr="00D97463">
        <w:t xml:space="preserve"> to common concern in its preamble</w:t>
      </w:r>
      <w:r w:rsidRPr="00D97463">
        <w:rPr>
          <w:rFonts w:eastAsia="PMingLiU"/>
          <w:lang w:eastAsia="zh-TW"/>
        </w:rPr>
        <w:t xml:space="preserve">, including </w:t>
      </w:r>
      <w:r w:rsidRPr="00D97463">
        <w:t>“the centre of concerns”, “the urgent concern of the international community” and “problems of global dimension” for combatting desertification and dr</w:t>
      </w:r>
      <w:r w:rsidRPr="00D97463">
        <w:rPr>
          <w:rFonts w:eastAsia="PMingLiU"/>
          <w:lang w:eastAsia="zh-TW"/>
        </w:rPr>
        <w:t>o</w:t>
      </w:r>
      <w:r w:rsidRPr="00D97463">
        <w:t xml:space="preserve">ught. Other instruments such as the Minamata Convention on Mercury, the Stockholm Convention on Persistent Organic Pollutants and the Gothenburg Protocol to the 1979 LRTAP Convention employ similar concepts to the common concern. See, Alan E. Boyle, “International Law and the Protection of the Global Atmosphere: Concepts, Categories and Principles,” Robin Churchill and David Freestone, eds., </w:t>
      </w:r>
      <w:r w:rsidRPr="00D97463">
        <w:rPr>
          <w:i/>
        </w:rPr>
        <w:t>International Law and Global Climate Change</w:t>
      </w:r>
      <w:r w:rsidRPr="00D97463">
        <w:t xml:space="preserve">, (Leiden: Kluwer Academic Publishing, 1991), pp. 11-12; Duncan French, “Common Concern, Common Heritage and Other Global(-ising) Concepts: Rhetorical Devices, Legal Principles or a Fundamental Challenge?”, p. 13; Alexander Kiss, “The Common Concern of Mankind”, </w:t>
      </w:r>
      <w:r w:rsidRPr="00D97463">
        <w:rPr>
          <w:i/>
        </w:rPr>
        <w:t>Environmental Policy and Law</w:t>
      </w:r>
      <w:r w:rsidRPr="00D97463">
        <w:t xml:space="preserve">, vol. 27, (1997), p. 246; A.A. Cançado-Trindade and D.J. Attard, “The Implication of the “Common Concern of Mankind” Concept on Global Environmental Issues”, in Toru Iwama, ed., </w:t>
      </w:r>
      <w:r w:rsidRPr="00D97463">
        <w:rPr>
          <w:i/>
        </w:rPr>
        <w:t>Policies and Laws on Global Warming: International and Comparative Analysis</w:t>
      </w:r>
      <w:r w:rsidRPr="00D97463">
        <w:t xml:space="preserve"> (Tokyo: Environmental Research Center, 1991), pp. 7-13; Jutta Brunnée, “Common Areas, Common Heritage, and Common Concern”, </w:t>
      </w:r>
      <w:r w:rsidRPr="00D97463">
        <w:rPr>
          <w:i/>
        </w:rPr>
        <w:t>The Oxford Handbook of International Environmental Law</w:t>
      </w:r>
      <w:r w:rsidRPr="00D97463">
        <w:t xml:space="preserve">, Daniel Bodansky, Jutta Brunnee and Helen Hey, eds.,(Oxford: Oxford University Press, 2007), pp. 565-566. See also Charlotte Kreuter-Kirchhoff, “Atmosphere, International Protection”, </w:t>
      </w:r>
      <w:r w:rsidRPr="00D97463">
        <w:rPr>
          <w:i/>
        </w:rPr>
        <w:t>Max Planck Encyclopedia of Public International Law</w:t>
      </w:r>
      <w:r w:rsidRPr="00D97463">
        <w:t>, vol. I, Rüdiger Wolfrum, ed., (Oxford: Oxford University Press, 2012), pp. 737-744 (the atmosphere as a “common concern of mankind”).</w:t>
      </w:r>
    </w:p>
  </w:footnote>
  <w:footnote w:id="28">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Yearbook … 1997</w:t>
      </w:r>
      <w:r w:rsidRPr="00D97463">
        <w:t xml:space="preserve">, vol. II, Part II, para. 238; </w:t>
      </w:r>
      <w:r w:rsidRPr="00D97463">
        <w:rPr>
          <w:i/>
        </w:rPr>
        <w:t>Yearbook … 1998</w:t>
      </w:r>
      <w:r w:rsidRPr="00D97463">
        <w:t xml:space="preserve">, vol. II, Part II, para. 553. See also </w:t>
      </w:r>
      <w:r w:rsidRPr="00D97463">
        <w:rPr>
          <w:i/>
          <w:iCs/>
        </w:rPr>
        <w:t xml:space="preserve">Official Records of the General Assembly, Sixty-ninth Session, Supplement No. 10 </w:t>
      </w:r>
      <w:r w:rsidRPr="00D97463">
        <w:t>(</w:t>
      </w:r>
      <w:hyperlink r:id="rId16" w:history="1">
        <w:r w:rsidRPr="00D97463">
          <w:t>A/69/10</w:t>
        </w:r>
      </w:hyperlink>
      <w:r w:rsidRPr="00D97463">
        <w:t>), para. 269. The Commission has agreed that it should not restrict itself to traditional topics, but could also consider those that reflect new developments in international law and pressing concerns of the international community as a whole.</w:t>
      </w:r>
    </w:p>
  </w:footnote>
  <w:footnote w:id="29">
    <w:p w:rsidR="00A3158E" w:rsidRPr="00D97463" w:rsidRDefault="00A3158E" w:rsidP="00D97463">
      <w:pPr>
        <w:pStyle w:val="FootnoteText"/>
        <w:ind w:right="1260"/>
      </w:pPr>
      <w:r w:rsidRPr="00D97463">
        <w:tab/>
      </w:r>
      <w:r w:rsidRPr="00D97463">
        <w:rPr>
          <w:rStyle w:val="FootnoteReference"/>
        </w:rPr>
        <w:footnoteRef/>
      </w:r>
      <w:r w:rsidRPr="00D97463">
        <w:tab/>
        <w:t xml:space="preserve">See also </w:t>
      </w:r>
      <w:r w:rsidRPr="00D97463">
        <w:rPr>
          <w:i/>
          <w:iCs/>
        </w:rPr>
        <w:t>Official Records of the General Assembly, Sixty-eighth Session, Supplement No. 10</w:t>
      </w:r>
      <w:r w:rsidRPr="00D97463">
        <w:t xml:space="preserve"> (</w:t>
      </w:r>
      <w:hyperlink r:id="rId17" w:history="1">
        <w:r w:rsidRPr="00D97463">
          <w:t>A/68/10</w:t>
        </w:r>
      </w:hyperlink>
      <w:r w:rsidRPr="00D97463">
        <w:t>), para. 168.</w:t>
      </w:r>
    </w:p>
  </w:footnote>
  <w:footnote w:id="30">
    <w:p w:rsidR="00A3158E" w:rsidRPr="00D97463" w:rsidRDefault="00A3158E" w:rsidP="00D97463">
      <w:pPr>
        <w:pStyle w:val="FootnoteText"/>
        <w:ind w:right="1260"/>
      </w:pPr>
      <w:r w:rsidRPr="00D97463">
        <w:tab/>
      </w:r>
      <w:r w:rsidRPr="00D97463">
        <w:rPr>
          <w:rStyle w:val="FootnoteReference"/>
        </w:rPr>
        <w:footnoteRef/>
      </w:r>
      <w:r w:rsidRPr="00D97463">
        <w:tab/>
        <w:t>5th Assessment Report, Working Group III, Annex I. IPCC, Climate Change 2014, available at: &lt;http://www.ipcc.ch/pdf/assessment-report/ar5/wg3/ ipcc_wg3_ar5_annex-i.pdf&gt;.</w:t>
      </w:r>
    </w:p>
  </w:footnote>
  <w:footnote w:id="31">
    <w:p w:rsidR="00A3158E" w:rsidRPr="00D97463" w:rsidRDefault="00A3158E" w:rsidP="00D97463">
      <w:pPr>
        <w:pStyle w:val="FootnoteText"/>
        <w:ind w:right="1260"/>
      </w:pPr>
      <w:r w:rsidRPr="00D97463">
        <w:tab/>
      </w:r>
      <w:r w:rsidRPr="00D97463">
        <w:rPr>
          <w:rStyle w:val="FootnoteReference"/>
        </w:rPr>
        <w:footnoteRef/>
      </w:r>
      <w:r w:rsidRPr="00D97463">
        <w:tab/>
        <w:t>The American Meteorology Society defines the “atmospheric shell” (also called atmospheric layer or atmospheric region) as “any one of a number of strata or ‘layers’ of the earth’s atmosphere” (available at: &lt;http://amsglossary.allenpress.com/glossary/search?id=atmospheric-shell1&gt;).</w:t>
      </w:r>
    </w:p>
  </w:footnote>
  <w:footnote w:id="32">
    <w:p w:rsidR="00A3158E" w:rsidRPr="00D97463" w:rsidRDefault="00A3158E" w:rsidP="00D97463">
      <w:pPr>
        <w:pStyle w:val="FootnoteText"/>
        <w:ind w:right="1260"/>
      </w:pPr>
      <w:r w:rsidRPr="00D97463">
        <w:tab/>
      </w:r>
      <w:r w:rsidRPr="00D97463">
        <w:rPr>
          <w:rStyle w:val="FootnoteReference"/>
        </w:rPr>
        <w:footnoteRef/>
      </w:r>
      <w:r w:rsidRPr="00D97463">
        <w:tab/>
        <w:t xml:space="preserve">Physically, water vapour, which accounts for roughly 0.25 per cent of the mass of the atmosphere, is a highly variable constituent. In atmospheric science, “because of the large variability of water vapor concentrations in air, it is customary to list the percentages of the various constituents in relation to dry air”. Ozone concentrations are also highly variable. Over 0.1 ppmv (parts per million by volume) of ozone concentration in the atmosphere is considered hazardous to human beings. See John M. Wallace and Peter V. Hobbs, </w:t>
      </w:r>
      <w:r w:rsidRPr="00D97463">
        <w:rPr>
          <w:i/>
        </w:rPr>
        <w:t>Atmospheric Science: An Introductory Survey</w:t>
      </w:r>
      <w:r w:rsidRPr="00D97463">
        <w:t>, 2nd ed. (Boston, Elsevier Academic Press, 2006), p. 8.</w:t>
      </w:r>
    </w:p>
  </w:footnote>
  <w:footnote w:id="3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34">
    <w:p w:rsidR="00A3158E" w:rsidRPr="00D97463" w:rsidRDefault="00A3158E" w:rsidP="00D97463">
      <w:pPr>
        <w:pStyle w:val="FootnoteText"/>
        <w:ind w:right="1260"/>
      </w:pPr>
      <w:r w:rsidRPr="00D97463">
        <w:tab/>
      </w:r>
      <w:r w:rsidRPr="00D97463">
        <w:rPr>
          <w:rStyle w:val="FootnoteReference"/>
        </w:rPr>
        <w:footnoteRef/>
      </w:r>
      <w:r w:rsidRPr="00D97463">
        <w:tab/>
        <w:t>The American Meteorological Society defines the “lower atmosphere” as “generally and quite loosely, that part of the atmosphere in which most weather phenomena occur (i.e., the troposphere and lower stratosphere); hence used in contrast to the common meaning for the upper atmosphere” (available at: &lt;http://amsglossary.allenpress.com/glossary/search?p=1&amp;query=lower+</w:t>
      </w:r>
      <w:r w:rsidRPr="00D97463">
        <w:br/>
        <w:t>atmosphere&amp;submit=Search&gt;). The “upper atmosphere” is defined as residual, that is “the general term applied to the atmosphere above the troposphere” (available at &lt;http://amsglossary.</w:t>
      </w:r>
      <w:r w:rsidRPr="00D97463">
        <w:br/>
        <w:t>allenpress.com/glossary/search?p=1&amp;query=upper+atmosphere&amp;submit=Search&gt;).</w:t>
      </w:r>
    </w:p>
  </w:footnote>
  <w:footnote w:id="35">
    <w:p w:rsidR="00A3158E" w:rsidRPr="00D97463" w:rsidRDefault="00A3158E" w:rsidP="00D97463">
      <w:pPr>
        <w:pStyle w:val="FootnoteText"/>
        <w:ind w:right="1260"/>
      </w:pPr>
      <w:r w:rsidRPr="00D97463">
        <w:tab/>
      </w:r>
      <w:r w:rsidRPr="00D97463">
        <w:rPr>
          <w:rStyle w:val="FootnoteReference"/>
        </w:rPr>
        <w:footnoteRef/>
      </w:r>
      <w:r w:rsidRPr="00D97463">
        <w:tab/>
        <w:t xml:space="preserve">The thickness of the troposphere is not the same everywhere; it depends on the latitude and the season. The top of the troposphere lies at an altitude of about 17 km at the equator, although it is lower at the poles. On average, the height of the outer boundary of the troposphere is about 12 km. See Edward J. Tarbuck, Frederick K. Lutgens and Dennis Tasa, </w:t>
      </w:r>
      <w:r w:rsidRPr="00D97463">
        <w:rPr>
          <w:i/>
        </w:rPr>
        <w:t>Earth Science</w:t>
      </w:r>
      <w:r w:rsidRPr="00D97463">
        <w:t>, 13th ed. (Pearson, 2011), p. 466.</w:t>
      </w:r>
    </w:p>
  </w:footnote>
  <w:footnote w:id="36">
    <w:p w:rsidR="00A3158E" w:rsidRPr="00D97463" w:rsidRDefault="00A3158E" w:rsidP="00D97463">
      <w:pPr>
        <w:pStyle w:val="FootnoteText"/>
        <w:ind w:right="1260"/>
      </w:pPr>
      <w:r w:rsidRPr="00D97463">
        <w:tab/>
      </w:r>
      <w:r w:rsidRPr="00D97463">
        <w:rPr>
          <w:rStyle w:val="FootnoteReference"/>
        </w:rPr>
        <w:footnoteRef/>
      </w:r>
      <w:r w:rsidRPr="00D97463">
        <w:tab/>
        <w:t>Strictly, the temperature of the stratosphere remains constant to a height of about 20-35 km and then begins a gradual increase.</w:t>
      </w:r>
    </w:p>
  </w:footnote>
  <w:footnote w:id="37">
    <w:p w:rsidR="00A3158E" w:rsidRPr="00D97463" w:rsidRDefault="00A3158E" w:rsidP="00D97463">
      <w:pPr>
        <w:pStyle w:val="FootnoteText"/>
        <w:ind w:right="1260"/>
      </w:pPr>
      <w:r w:rsidRPr="00D97463">
        <w:tab/>
      </w:r>
      <w:r w:rsidRPr="00D97463">
        <w:rPr>
          <w:rStyle w:val="FootnoteReference"/>
        </w:rPr>
        <w:footnoteRef/>
      </w:r>
      <w:r w:rsidRPr="00D97463">
        <w:tab/>
        <w:t xml:space="preserve">See Tarbuck, Lutgens and Tasa, </w:t>
      </w:r>
      <w:r w:rsidRPr="00D97463">
        <w:rPr>
          <w:i/>
          <w:iCs/>
        </w:rPr>
        <w:t>supra</w:t>
      </w:r>
      <w:r w:rsidRPr="00D97463">
        <w:t xml:space="preserve"> note 35, p. 467.</w:t>
      </w:r>
    </w:p>
  </w:footnote>
  <w:footnote w:id="38">
    <w:p w:rsidR="00A3158E" w:rsidRPr="00D97463" w:rsidRDefault="00A3158E" w:rsidP="00D97463">
      <w:pPr>
        <w:pStyle w:val="FootnoteText"/>
        <w:ind w:right="1260"/>
      </w:pPr>
      <w:r w:rsidRPr="00D97463">
        <w:tab/>
      </w:r>
      <w:r w:rsidRPr="00D97463">
        <w:rPr>
          <w:rStyle w:val="FootnoteReference"/>
        </w:rPr>
        <w:footnoteRef/>
      </w:r>
      <w:r w:rsidRPr="00D97463">
        <w:tab/>
        <w:t>See above para. (3) of the commentary to the preamble.</w:t>
      </w:r>
    </w:p>
  </w:footnote>
  <w:footnote w:id="39">
    <w:p w:rsidR="00A3158E" w:rsidRPr="00D97463" w:rsidRDefault="00A3158E" w:rsidP="00D97463">
      <w:pPr>
        <w:pStyle w:val="FootnoteText"/>
        <w:ind w:right="1260"/>
      </w:pPr>
      <w:r w:rsidRPr="00D97463">
        <w:tab/>
      </w:r>
      <w:r w:rsidRPr="00D97463">
        <w:rPr>
          <w:rStyle w:val="FootnoteReference"/>
        </w:rPr>
        <w:footnoteRef/>
      </w:r>
      <w:r w:rsidRPr="00D97463">
        <w:tab/>
        <w:t>For instance, article 1, paragraph 1 of the Cairo resolution (1987) of the Institute of International Law (</w:t>
      </w:r>
      <w:r w:rsidRPr="00D97463">
        <w:rPr>
          <w:i/>
          <w:iCs/>
        </w:rPr>
        <w:t>Institut de droit international</w:t>
      </w:r>
      <w:r w:rsidRPr="00D97463">
        <w:t xml:space="preserve">) on “Transboundary Air Pollution” provides that “[f]or the purpose of this Resolution, ‘pollution’ means any physical, chemical or biological </w:t>
      </w:r>
      <w:r w:rsidRPr="00D97463">
        <w:rPr>
          <w:i/>
        </w:rPr>
        <w:t xml:space="preserve">alteration in the composition </w:t>
      </w:r>
      <w:r w:rsidRPr="00D97463">
        <w:t>or quality of the atmosphere which results directly or indirectly from human action or omission and produces injurious or deleterious effects in the environment of other States or of areas beyond the limits of national jurisdiction.” (emphasis added). Available at &lt;http://www.idi-iil.org/idiE/resolutionsE/1987_caire_03_en.PDF&gt;.</w:t>
      </w:r>
    </w:p>
  </w:footnote>
  <w:footnote w:id="40">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w:t>
      </w:r>
      <w:r w:rsidRPr="00D97463">
        <w:rPr>
          <w:i/>
          <w:iCs/>
        </w:rPr>
        <w:t xml:space="preserve">Treaty Series </w:t>
      </w:r>
      <w:r w:rsidRPr="00D97463">
        <w:t>, vol. 1302, p. 217. The formulation of LRTAP article 1(a) goes back to the definition of pollution by the Council of the Organisation for Economic Cooperation and Development (OECD) in its Recommendation C(74)224 on “Principles concerning Transfrontier Pollution”, of 14 November 1974 (</w:t>
      </w:r>
      <w:r w:rsidRPr="00D97463">
        <w:rPr>
          <w:i/>
          <w:iCs/>
        </w:rPr>
        <w:t>International Legal Materials</w:t>
      </w:r>
      <w:r w:rsidRPr="00D97463">
        <w:t xml:space="preserve">, vol. 14, p. 242), which reads as follows: “For the purpose of these principles, pollution means the introduction by man, directly or indirectly, of substances or energy into the environment resulting in deleterious effects of such a nature as to endanger human health, harm living resources and ecosystems, and impair or interfere with amenities and other legitimate uses of the environment”. See H. van Edig (ed.), </w:t>
      </w:r>
      <w:r w:rsidRPr="00D97463">
        <w:rPr>
          <w:i/>
          <w:iCs/>
        </w:rPr>
        <w:t xml:space="preserve">Legal Aspects of Transfrontier Pollution </w:t>
      </w:r>
      <w:r w:rsidRPr="00D97463">
        <w:t xml:space="preserve">(Paris: OECD, 1977), p. 13; see also Patricia Birnie, Alan Boyle, Catherine Redgwell, </w:t>
      </w:r>
      <w:r w:rsidRPr="00D97463">
        <w:rPr>
          <w:i/>
        </w:rPr>
        <w:t>International Law and the Environment</w:t>
      </w:r>
      <w:r w:rsidRPr="00D97463">
        <w:t xml:space="preserve"> (Oxford: Oxford University Press, 2009), pp. 188-189; A. Kiss and D. Shelton, </w:t>
      </w:r>
      <w:r w:rsidRPr="00D97463">
        <w:rPr>
          <w:i/>
          <w:iCs/>
        </w:rPr>
        <w:t>International Environmental Law</w:t>
      </w:r>
      <w:r w:rsidRPr="00D97463">
        <w:t xml:space="preserve"> (London: Graham &amp; Trotman, 1991), p. 117 (definition of pollution: “also forms of energy such as noise, vibrations, heat, radiation are included”).</w:t>
      </w:r>
    </w:p>
  </w:footnote>
  <w:footnote w:id="41">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w:t>
      </w:r>
      <w:r w:rsidRPr="00D97463">
        <w:rPr>
          <w:i/>
          <w:iCs/>
        </w:rPr>
        <w:t xml:space="preserve">Treaty Series, </w:t>
      </w:r>
      <w:r w:rsidRPr="00D97463">
        <w:t>vol. 1833, p. 3.</w:t>
      </w:r>
    </w:p>
  </w:footnote>
  <w:footnote w:id="42">
    <w:p w:rsidR="00A3158E" w:rsidRPr="00D97463" w:rsidRDefault="00A3158E" w:rsidP="00D97463">
      <w:pPr>
        <w:pStyle w:val="FootnoteText"/>
        <w:ind w:right="1260"/>
      </w:pPr>
      <w:r w:rsidRPr="00D97463">
        <w:tab/>
      </w:r>
      <w:r w:rsidRPr="00D97463">
        <w:rPr>
          <w:rStyle w:val="FootnoteReference"/>
        </w:rPr>
        <w:footnoteRef/>
      </w:r>
      <w:r w:rsidRPr="00D97463">
        <w:tab/>
        <w:t>Art. 212 of the UNCLOS provides for an obligation to prevent airborne pollution of the sea, and to that extent, the definition of “pollution” in this Convention is relevant to atmospheric pollution.</w:t>
      </w:r>
    </w:p>
  </w:footnote>
  <w:footnote w:id="43">
    <w:p w:rsidR="00A3158E" w:rsidRPr="00D97463" w:rsidRDefault="00A3158E" w:rsidP="00D97463">
      <w:pPr>
        <w:pStyle w:val="FootnoteText"/>
        <w:ind w:right="1260"/>
      </w:pPr>
      <w:r w:rsidRPr="00D97463">
        <w:tab/>
      </w:r>
      <w:r w:rsidRPr="00D97463">
        <w:rPr>
          <w:rStyle w:val="FootnoteReference"/>
        </w:rPr>
        <w:footnoteRef/>
      </w:r>
      <w:r w:rsidRPr="00D97463">
        <w:tab/>
        <w:t xml:space="preserve">With regard to heat, see WMO/IGAC Report: Impact of Megacities on Air Pollution and Climate, GAW Report No. 205, WMO, (September 2012); David Simon and Hayley Leck, “Urban Adaptation to Climate/Environmental Change: Governance, Policy and Planning”, Special Issue, </w:t>
      </w:r>
      <w:r w:rsidRPr="00D97463">
        <w:rPr>
          <w:i/>
        </w:rPr>
        <w:t>Urban Climate</w:t>
      </w:r>
      <w:r w:rsidRPr="00D97463">
        <w:t xml:space="preserve">, vol. 7, (2014) pp 1-134; John A. Arnfield, “Two decades of urban climate research: a review of turbulence, exchanges of energy and water, and the urban heat island”, </w:t>
      </w:r>
      <w:r w:rsidRPr="00D97463">
        <w:rPr>
          <w:i/>
        </w:rPr>
        <w:t>International Journal of Climatology,</w:t>
      </w:r>
      <w:r w:rsidRPr="00D97463">
        <w:t xml:space="preserve"> vol. 23, pp.</w:t>
      </w:r>
      <w:r>
        <w:t xml:space="preserve"> </w:t>
      </w:r>
      <w:r w:rsidRPr="00D97463">
        <w:t xml:space="preserve">1-26; Lisa Gartland, </w:t>
      </w:r>
      <w:r w:rsidRPr="00D97463">
        <w:rPr>
          <w:i/>
        </w:rPr>
        <w:t>Heat Islands: Understanding and Mitigating Heat in Urban Areas</w:t>
      </w:r>
      <w:r w:rsidRPr="00D97463">
        <w:t xml:space="preserve">, (London: Earthscan, 2008); See in general, Brian Stone Jr., </w:t>
      </w:r>
      <w:r w:rsidRPr="00D97463">
        <w:rPr>
          <w:i/>
        </w:rPr>
        <w:t>The City and the Changing Climate: Climate Change in the Places We Live</w:t>
      </w:r>
      <w:r w:rsidRPr="00D97463">
        <w:t xml:space="preserve">, (Cambridge, MA: Cambridge University Press, 2012). Regarding light pollution, see Catherine Rich and Travis Longcore, eds., </w:t>
      </w:r>
      <w:r w:rsidRPr="00D97463">
        <w:rPr>
          <w:i/>
        </w:rPr>
        <w:t>Ecological Consequences of Artificial Night Lighting</w:t>
      </w:r>
      <w:r w:rsidRPr="00D97463">
        <w:t xml:space="preserve">, (Washington DC: Island Press, 2006); Pierantonio Cinzano and Fabio Falchi, “The propagation of light pollution in the atmosphere”, </w:t>
      </w:r>
      <w:r w:rsidRPr="00D97463">
        <w:rPr>
          <w:i/>
        </w:rPr>
        <w:t>Monthly Notices of the Royal Astronomic Society</w:t>
      </w:r>
      <w:r w:rsidRPr="00D97463">
        <w:t xml:space="preserve">, vol. 427 (2012), pp. 3337-3357; Fereshteh Bashiri and Che Rosmani Che Hassan, “Light pollution and its effects on the environment”, </w:t>
      </w:r>
      <w:r w:rsidRPr="00D97463">
        <w:rPr>
          <w:i/>
        </w:rPr>
        <w:t>International Journal of Fundamental Physical Sciences</w:t>
      </w:r>
      <w:r w:rsidRPr="00D97463">
        <w:t xml:space="preserve">, vol. 4 (2014), pp. 8-12. </w:t>
      </w:r>
      <w:r w:rsidRPr="00D97463">
        <w:rPr>
          <w:rFonts w:eastAsia="HGSoeiKakugothicUB"/>
        </w:rPr>
        <w:t xml:space="preserve">Regarding acoustic/noise pollution, see e.g. Annex 16 of the 1944 Convention on International Civil Aviation (United Nations, </w:t>
      </w:r>
      <w:r w:rsidRPr="00D97463">
        <w:rPr>
          <w:rFonts w:eastAsia="HGSoeiKakugothicUB"/>
          <w:i/>
          <w:iCs/>
        </w:rPr>
        <w:t>Treaty Series</w:t>
      </w:r>
      <w:r w:rsidRPr="00D97463">
        <w:rPr>
          <w:rFonts w:eastAsia="HGSoeiKakugothicUB"/>
        </w:rPr>
        <w:t xml:space="preserve">, vol. 15, p. 295), vol. I: </w:t>
      </w:r>
      <w:r w:rsidRPr="00D97463">
        <w:rPr>
          <w:rFonts w:eastAsia="HGSoeiKakugothicUB"/>
          <w:i/>
          <w:iCs/>
        </w:rPr>
        <w:t>Aircraft Noise</w:t>
      </w:r>
      <w:r w:rsidRPr="00D97463">
        <w:rPr>
          <w:rFonts w:eastAsia="HGSoeiKakugothicUB"/>
        </w:rPr>
        <w:t xml:space="preserve">, 5th edn. 2008; see P. Davies and J. Goh, “Air Transport and the Environment: Regulating Aircraft Noise”, </w:t>
      </w:r>
      <w:r w:rsidRPr="00D97463">
        <w:rPr>
          <w:rFonts w:eastAsia="HGSoeiKakugothicUB"/>
          <w:i/>
          <w:iCs/>
        </w:rPr>
        <w:t>Air and Space Law</w:t>
      </w:r>
      <w:r w:rsidRPr="00D97463">
        <w:rPr>
          <w:rFonts w:eastAsia="HGSoeiKakugothicUB"/>
        </w:rPr>
        <w:t xml:space="preserve">, vol. 18 (1993), pp. 123-135. </w:t>
      </w:r>
      <w:r w:rsidRPr="00D97463">
        <w:t xml:space="preserve">Concerning radioactive emissions, </w:t>
      </w:r>
      <w:r w:rsidRPr="00D97463">
        <w:rPr>
          <w:rFonts w:eastAsia="MS UI Gothic"/>
          <w:color w:val="000000"/>
        </w:rPr>
        <w:t xml:space="preserve">see Dietrich Rauschning, “Legal Problems of Continuous and Instantaneous Long-Distance Air Pollution: Interim Report”, </w:t>
      </w:r>
      <w:r w:rsidRPr="00D97463">
        <w:rPr>
          <w:rFonts w:eastAsia="MS UI Gothic"/>
          <w:i/>
          <w:color w:val="000000"/>
        </w:rPr>
        <w:t xml:space="preserve">Report of the Sixty-Second Conference of the International Law Association </w:t>
      </w:r>
      <w:r w:rsidRPr="00D97463">
        <w:rPr>
          <w:rFonts w:eastAsia="MS UI Gothic"/>
          <w:color w:val="000000"/>
        </w:rPr>
        <w:t xml:space="preserve">(Seoul, 1986), pp. 198-223, at 219; and IAEA, </w:t>
      </w:r>
      <w:r w:rsidRPr="00D97463">
        <w:rPr>
          <w:rFonts w:eastAsia="MS UI Gothic"/>
          <w:i/>
          <w:color w:val="000000"/>
        </w:rPr>
        <w:t xml:space="preserve">Environmental Consequences of the Chernobyl Accident and their Remediation: Twenty Years of Experience, Report of the Chernobyl Forum </w:t>
      </w:r>
      <w:r w:rsidRPr="00D97463">
        <w:t>Expert Group ‘Environment’ (Radiological Assessment Report Series), IAEA, April 2006, STI/PUB/1239.</w:t>
      </w:r>
      <w:r w:rsidRPr="00D97463">
        <w:rPr>
          <w:u w:val="single"/>
        </w:rPr>
        <w:t xml:space="preserve"> </w:t>
      </w:r>
      <w:r w:rsidRPr="00D97463">
        <w:t xml:space="preserve">See also United Nations Scientific Committee on the Effects of Atomic Radiation 2013 Report to the General Assembly, Scientific Annex A: Levels and effects of radiation exposure due to the nuclear accident after the 2011 great east-Japan earthquake and tsunami, 2014, UN Publication Sales No. E14.IX.1, available at &lt;http://www.unscear.org/docs/reports/2013/13-85418_Report_2013_Annex.A.pdf&gt;. This is without prejudice to the peaceful uses of nuclear energy in relation to climate change in particular (see </w:t>
      </w:r>
      <w:r w:rsidRPr="00D97463">
        <w:rPr>
          <w:i/>
        </w:rPr>
        <w:t>Climate Change and Nuclear Power</w:t>
      </w:r>
      <w:r w:rsidRPr="00D97463">
        <w:t>, IAEA (2014), p. 7).</w:t>
      </w:r>
    </w:p>
  </w:footnote>
  <w:footnote w:id="44">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w:t>
      </w:r>
      <w:r w:rsidRPr="00D97463">
        <w:rPr>
          <w:i/>
          <w:iCs/>
        </w:rPr>
        <w:t xml:space="preserve">Treaty Series </w:t>
      </w:r>
      <w:r w:rsidRPr="00D97463">
        <w:t>, vol. 1513, p. 293.</w:t>
      </w:r>
    </w:p>
  </w:footnote>
  <w:footnote w:id="45">
    <w:p w:rsidR="00A3158E" w:rsidRPr="00D97463" w:rsidRDefault="00A3158E" w:rsidP="00D97463">
      <w:pPr>
        <w:pStyle w:val="FootnoteText"/>
        <w:ind w:right="1260"/>
      </w:pPr>
      <w:r w:rsidRPr="00D97463">
        <w:tab/>
      </w:r>
      <w:r w:rsidRPr="00D97463">
        <w:rPr>
          <w:rStyle w:val="FootnoteReference"/>
        </w:rPr>
        <w:footnoteRef/>
      </w:r>
      <w:r w:rsidRPr="00D97463">
        <w:tab/>
        <w:t>See for example art.</w:t>
      </w:r>
      <w:r>
        <w:t xml:space="preserve"> </w:t>
      </w:r>
      <w:r w:rsidRPr="00D97463">
        <w:t xml:space="preserve">7 of the Convention on the Law of the Non-navigational Uses of International Watercourses (1997); draft article1 of the draft articles on prevention of transboundary harm from hazardous activities (2001) (General Assembly resolution 62/68, annex); draft principle 2 of the </w:t>
      </w:r>
      <w:r w:rsidRPr="00D97463">
        <w:rPr>
          <w:bCs/>
        </w:rPr>
        <w:t>draft principles on the allocation of loss in the case of transboundary harm arising out of hazardous activities (2006) (</w:t>
      </w:r>
      <w:r w:rsidRPr="00D97463">
        <w:t>General Assembly resolution</w:t>
      </w:r>
      <w:r w:rsidRPr="00D97463">
        <w:rPr>
          <w:bCs/>
        </w:rPr>
        <w:t xml:space="preserve"> 61/36, annex);</w:t>
      </w:r>
      <w:r w:rsidRPr="00D97463">
        <w:rPr>
          <w:b/>
          <w:bCs/>
        </w:rPr>
        <w:t xml:space="preserve"> </w:t>
      </w:r>
      <w:r w:rsidRPr="00D97463">
        <w:t>draft article 6 of the draft articles on the law of transboundary aquifers (2008) (General Assembly resolution 63/124, annex).</w:t>
      </w:r>
    </w:p>
  </w:footnote>
  <w:footnote w:id="4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Para. (4) of the commentary to draft article 2 of the </w:t>
      </w:r>
      <w:r w:rsidRPr="00D97463">
        <w:rPr>
          <w:iCs/>
        </w:rPr>
        <w:t>draft articles on</w:t>
      </w:r>
      <w:r w:rsidRPr="00D97463">
        <w:t xml:space="preserve"> Prevention of transboundary harm from hazardous activities, 2001, </w:t>
      </w:r>
      <w:r w:rsidRPr="00D97463">
        <w:rPr>
          <w:i/>
        </w:rPr>
        <w:t>Yearbook … 2001</w:t>
      </w:r>
      <w:r w:rsidRPr="00D97463">
        <w:t>, Vol. II (Part Two), p.</w:t>
      </w:r>
      <w:r>
        <w:t xml:space="preserve"> </w:t>
      </w:r>
      <w:r w:rsidRPr="00D97463">
        <w:t>152, at para. 98.</w:t>
      </w:r>
    </w:p>
  </w:footnote>
  <w:footnote w:id="47">
    <w:p w:rsidR="00A3158E" w:rsidRPr="00D97463" w:rsidRDefault="00A3158E" w:rsidP="00D97463">
      <w:pPr>
        <w:pStyle w:val="FootnoteText"/>
        <w:ind w:right="1260"/>
      </w:pPr>
      <w:r w:rsidRPr="00D97463">
        <w:tab/>
      </w:r>
      <w:r w:rsidRPr="00D97463">
        <w:rPr>
          <w:rStyle w:val="FootnoteReference"/>
        </w:rPr>
        <w:footnoteRef/>
      </w:r>
      <w:r w:rsidRPr="00D97463">
        <w:tab/>
        <w:t xml:space="preserve">See, for example, the commentary to the draft articles on prevention of transboundary harm from hazardous activities, (Commentary to article 2, paras. 4 and 7). See also the commentary to the </w:t>
      </w:r>
      <w:r w:rsidRPr="00D97463">
        <w:rPr>
          <w:bCs/>
        </w:rPr>
        <w:t>draft principles on the allocation of loss in the case of transboundary harm arising out of hazardous activities (Commentary to draft principle 2, paras. 1 to 3).</w:t>
      </w:r>
    </w:p>
  </w:footnote>
  <w:footnote w:id="48">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w:t>
      </w:r>
      <w:r w:rsidRPr="00D97463">
        <w:rPr>
          <w:i/>
          <w:iCs/>
        </w:rPr>
        <w:t xml:space="preserve">Treaty Series </w:t>
      </w:r>
      <w:r w:rsidRPr="00D97463">
        <w:t>, vol. 1513, p. 293.</w:t>
      </w:r>
    </w:p>
  </w:footnote>
  <w:footnote w:id="49">
    <w:p w:rsidR="00A3158E" w:rsidRPr="00D97463" w:rsidRDefault="00A3158E" w:rsidP="00D97463">
      <w:pPr>
        <w:pStyle w:val="FootnoteText"/>
        <w:ind w:right="1260"/>
      </w:pPr>
      <w:r w:rsidRPr="00D97463">
        <w:tab/>
      </w:r>
      <w:r w:rsidRPr="00D97463">
        <w:rPr>
          <w:rStyle w:val="FootnoteReference"/>
        </w:rPr>
        <w:footnoteRef/>
      </w:r>
      <w:r w:rsidRPr="00D97463">
        <w:tab/>
        <w:t>See generally, IPCC</w:t>
      </w:r>
      <w:r w:rsidRPr="00D97463">
        <w:rPr>
          <w:color w:val="000000"/>
        </w:rPr>
        <w:t xml:space="preserve"> </w:t>
      </w:r>
      <w:r w:rsidRPr="00D97463">
        <w:rPr>
          <w:i/>
        </w:rPr>
        <w:t xml:space="preserve">Climate Change 2013: The Physical Science Basis”, Summary for Policy makers, </w:t>
      </w:r>
      <w:r w:rsidRPr="00D97463">
        <w:t>available at: &lt;http://www.ipcc.ch/pdf/assessment-report/ar5/wg1/WG1AR5_Summary Volume_FINAL.pdf&gt;.</w:t>
      </w:r>
    </w:p>
  </w:footnote>
  <w:footnote w:id="5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5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52">
    <w:p w:rsidR="00A3158E" w:rsidRPr="00D97463" w:rsidRDefault="00A3158E" w:rsidP="00D97463">
      <w:pPr>
        <w:pStyle w:val="FootnoteText"/>
        <w:ind w:right="1260"/>
      </w:pPr>
      <w:r w:rsidRPr="00D97463">
        <w:tab/>
      </w:r>
      <w:r w:rsidRPr="00D97463">
        <w:rPr>
          <w:rStyle w:val="FootnoteReference"/>
        </w:rPr>
        <w:footnoteRef/>
      </w:r>
      <w:r w:rsidRPr="00D97463">
        <w:tab/>
        <w:t xml:space="preserve">Birnie, Boyle, Redgwell, </w:t>
      </w:r>
      <w:r w:rsidRPr="00D97463">
        <w:rPr>
          <w:i/>
          <w:iCs/>
        </w:rPr>
        <w:t xml:space="preserve">supra </w:t>
      </w:r>
      <w:r w:rsidRPr="00D97463">
        <w:t>note 40, p. 342.</w:t>
      </w:r>
    </w:p>
  </w:footnote>
  <w:footnote w:id="53">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r>
      <w:r w:rsidRPr="00D97463">
        <w:rPr>
          <w:i/>
          <w:iCs/>
        </w:rPr>
        <w:t>Ibid.</w:t>
      </w:r>
      <w:r w:rsidRPr="00D97463">
        <w:t>, p. 336. The linkages between climate change and ozone depletion are addressed in the preamble as well as in Article 4 of the UNFCCC. The linkage between transboundary atmospheric pollution and climate change is addressed in the preamble and article 2, paragraph 1 of the 2012 amendment of the Gothenburg Protocol.</w:t>
      </w:r>
    </w:p>
  </w:footnote>
  <w:footnote w:id="5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5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 Sixty-eighth Session, Supplement 10</w:t>
      </w:r>
      <w:r w:rsidRPr="00D97463">
        <w:t xml:space="preserve"> (</w:t>
      </w:r>
      <w:hyperlink r:id="rId18" w:history="1">
        <w:r w:rsidRPr="00D97463">
          <w:t>A/68/10</w:t>
        </w:r>
      </w:hyperlink>
      <w:r w:rsidRPr="00D97463">
        <w:t>), para. 168.</w:t>
      </w:r>
    </w:p>
  </w:footnote>
  <w:footnote w:id="56">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w:t>
      </w:r>
      <w:r w:rsidRPr="00D97463">
        <w:rPr>
          <w:i/>
        </w:rPr>
        <w:t>Treaty Series</w:t>
      </w:r>
      <w:r w:rsidRPr="00D97463">
        <w:t>, vol. 15, p. 295.</w:t>
      </w:r>
    </w:p>
  </w:footnote>
  <w:footnote w:id="57">
    <w:p w:rsidR="00A3158E" w:rsidRPr="00D97463" w:rsidRDefault="00A3158E" w:rsidP="00D97463">
      <w:pPr>
        <w:pStyle w:val="FootnoteText"/>
        <w:ind w:right="1260"/>
      </w:pPr>
      <w:r w:rsidRPr="00D97463">
        <w:tab/>
      </w:r>
      <w:r w:rsidRPr="00D97463">
        <w:rPr>
          <w:rStyle w:val="FootnoteReference"/>
        </w:rPr>
        <w:footnoteRef/>
      </w:r>
      <w:r w:rsidRPr="00D97463">
        <w:tab/>
        <w:t xml:space="preserve">See article 2, paragraph 2, of the United Nations Convention on the Law of the Sea (Montego Bay, 10 December 1982), which provides that “…sovereignty extends to the air space over the territorial sea as well as to its bed and subsoil.”(United Nations, </w:t>
      </w:r>
      <w:r w:rsidRPr="00D97463">
        <w:rPr>
          <w:i/>
          <w:iCs/>
        </w:rPr>
        <w:t>Treaty Series</w:t>
      </w:r>
      <w:r w:rsidRPr="00D97463">
        <w:t>, vol. 1833, p. 3).</w:t>
      </w:r>
    </w:p>
  </w:footnote>
  <w:footnote w:id="58">
    <w:p w:rsidR="00A3158E" w:rsidRPr="00D97463" w:rsidRDefault="00A3158E" w:rsidP="00D97463">
      <w:pPr>
        <w:pStyle w:val="FootnoteText"/>
        <w:ind w:right="1260"/>
      </w:pPr>
      <w:r w:rsidRPr="00D97463">
        <w:tab/>
      </w:r>
      <w:r w:rsidRPr="00D97463">
        <w:rPr>
          <w:rStyle w:val="FootnoteReference"/>
        </w:rPr>
        <w:footnoteRef/>
      </w:r>
      <w:r w:rsidRPr="00D97463">
        <w:tab/>
        <w:t xml:space="preserve">See generally Birnie, Boyle, Redgwell, </w:t>
      </w:r>
      <w:r w:rsidRPr="00D97463">
        <w:rPr>
          <w:i/>
          <w:iCs/>
        </w:rPr>
        <w:t xml:space="preserve">supra </w:t>
      </w:r>
      <w:r w:rsidRPr="00D97463">
        <w:t>note 40, chap. 6.</w:t>
      </w:r>
    </w:p>
  </w:footnote>
  <w:footnote w:id="59">
    <w:p w:rsidR="00A3158E" w:rsidRPr="00D97463" w:rsidRDefault="00A3158E" w:rsidP="00D97463">
      <w:pPr>
        <w:pStyle w:val="FootnoteText"/>
        <w:ind w:right="1260"/>
      </w:pPr>
      <w:r w:rsidRPr="00D97463">
        <w:tab/>
      </w:r>
      <w:r w:rsidRPr="00D97463">
        <w:rPr>
          <w:rStyle w:val="FootnoteReference"/>
        </w:rPr>
        <w:footnoteRef/>
      </w:r>
      <w:r w:rsidRPr="00D97463">
        <w:tab/>
        <w:t>Tarbuck, Lutgens and Tasa,</w:t>
      </w:r>
      <w:r w:rsidRPr="00D97463">
        <w:rPr>
          <w:i/>
          <w:iCs/>
        </w:rPr>
        <w:t xml:space="preserve"> supra </w:t>
      </w:r>
      <w:r w:rsidRPr="00D97463">
        <w:t>note 35, pp. 465 and 466.</w:t>
      </w:r>
    </w:p>
  </w:footnote>
  <w:footnote w:id="60">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w:t>
      </w:r>
      <w:r w:rsidRPr="00D97463">
        <w:rPr>
          <w:i/>
          <w:iCs/>
        </w:rPr>
        <w:t>Treaty Series</w:t>
      </w:r>
      <w:r w:rsidRPr="00D97463">
        <w:t>, vol. 610, p. 205.</w:t>
      </w:r>
    </w:p>
  </w:footnote>
  <w:footnote w:id="61">
    <w:p w:rsidR="00A3158E" w:rsidRPr="00D97463" w:rsidRDefault="00A3158E" w:rsidP="00D97463">
      <w:pPr>
        <w:pStyle w:val="FootnoteText"/>
        <w:ind w:right="1260"/>
      </w:pPr>
      <w:r w:rsidRPr="00D97463">
        <w:tab/>
      </w:r>
      <w:r w:rsidRPr="00D97463">
        <w:rPr>
          <w:rStyle w:val="FootnoteReference"/>
        </w:rPr>
        <w:footnoteRef/>
      </w:r>
      <w:r w:rsidRPr="00D97463">
        <w:tab/>
        <w:t>See generally, Bhupendra Jasani</w:t>
      </w:r>
      <w:r w:rsidRPr="00D97463">
        <w:rPr>
          <w:bCs/>
        </w:rPr>
        <w:t xml:space="preserve"> (ed), </w:t>
      </w:r>
      <w:r w:rsidRPr="00D97463">
        <w:rPr>
          <w:bCs/>
          <w:i/>
        </w:rPr>
        <w:t>Peaceful and Non-Peaceful uses of Space: Problems of Definition for the Prevention of an Arms Race,</w:t>
      </w:r>
      <w:r w:rsidRPr="00D97463">
        <w:t xml:space="preserve"> United Nations Institute for Disarmament Research, (New York, Philadelphia, Washington DC, London, Taylor and Francis, 1991), especially Chap. 2 and 3.</w:t>
      </w:r>
    </w:p>
  </w:footnote>
  <w:footnote w:id="62">
    <w:p w:rsidR="00A3158E" w:rsidRPr="00D97463" w:rsidRDefault="00A3158E" w:rsidP="00D97463">
      <w:pPr>
        <w:pStyle w:val="FootnoteText"/>
        <w:ind w:right="1260"/>
      </w:pPr>
      <w:r w:rsidRPr="00D97463">
        <w:tab/>
      </w:r>
      <w:r w:rsidRPr="00D97463">
        <w:rPr>
          <w:rStyle w:val="FootnoteReference"/>
        </w:rPr>
        <w:footnoteRef/>
      </w:r>
      <w:r w:rsidRPr="00D97463">
        <w:tab/>
        <w:t xml:space="preserve">W. Friedmann, </w:t>
      </w:r>
      <w:r w:rsidRPr="00D97463">
        <w:rPr>
          <w:i/>
        </w:rPr>
        <w:t>The Changing Structure of International Law</w:t>
      </w:r>
      <w:r w:rsidRPr="00D97463">
        <w:t xml:space="preserve"> (London: Stevens &amp; Sons, 1964), pp. 60-71; Charles Leben, “The Changing Structure of International Law Revisited by Way of Introduction”, </w:t>
      </w:r>
      <w:r w:rsidRPr="00D97463">
        <w:rPr>
          <w:i/>
        </w:rPr>
        <w:t>European Journal of International Law,</w:t>
      </w:r>
      <w:r w:rsidRPr="00D97463">
        <w:t xml:space="preserve"> vol. 3 (1997), pp. 399-408. See also, Jost Delbrück, “The International Obligation to Cooperate — An Empty Shell or a Hard Law Principle of International Law? — A Critical Look at a Much Debated Paradigm of Modern International Law”, H. P. Hestermeyer, </w:t>
      </w:r>
      <w:r w:rsidRPr="00D97463">
        <w:rPr>
          <w:i/>
        </w:rPr>
        <w:t>et al.</w:t>
      </w:r>
      <w:r w:rsidRPr="00D97463">
        <w:t xml:space="preserve">, eds., </w:t>
      </w:r>
      <w:r w:rsidRPr="00D97463">
        <w:rPr>
          <w:i/>
        </w:rPr>
        <w:t>Coexistence, Cooperation and Solidarity</w:t>
      </w:r>
      <w:r w:rsidRPr="00D97463">
        <w:t xml:space="preserve"> (Liber Amicorum Rüdiger Wolfrum), vol. 1 (Leiden: Martinus Njihoff, 2012), pp. 3-16.</w:t>
      </w:r>
    </w:p>
  </w:footnote>
  <w:footnote w:id="63">
    <w:p w:rsidR="00A3158E" w:rsidRPr="00D97463" w:rsidRDefault="00A3158E" w:rsidP="00D97463">
      <w:pPr>
        <w:pStyle w:val="FootnoteText"/>
        <w:ind w:right="1260"/>
      </w:pPr>
      <w:r w:rsidRPr="00D97463">
        <w:tab/>
      </w:r>
      <w:r w:rsidRPr="00D97463">
        <w:rPr>
          <w:rStyle w:val="FootnoteReference"/>
        </w:rPr>
        <w:footnoteRef/>
      </w:r>
      <w:r w:rsidRPr="00D97463">
        <w:tab/>
        <w:t xml:space="preserve">Bruno Simma, “From Bilateralism to Community Interests in International Law”, The Hague Academy of International Law, </w:t>
      </w:r>
      <w:r w:rsidRPr="00D97463">
        <w:rPr>
          <w:i/>
          <w:iCs/>
        </w:rPr>
        <w:t>Recueil des cours</w:t>
      </w:r>
      <w:r w:rsidRPr="00D97463">
        <w:t xml:space="preserve">, vol. 250, 1994, pp. 217-384; Naoya Okuwaki, “On Compliance with the Obligation to Cooperate: New Developments of ‘International Law for Cooperation’”, in Jun’ichi Eto, ed., </w:t>
      </w:r>
      <w:r w:rsidRPr="00D97463">
        <w:rPr>
          <w:i/>
        </w:rPr>
        <w:t>Aspects of International Law Studies</w:t>
      </w:r>
      <w:r w:rsidRPr="00D97463">
        <w:t xml:space="preserve"> (Festschrift for Shinya Murase) (Tokyo: Shinzansha, 2015), pp. 5-46, at pp. 16-17 (in Japanese).</w:t>
      </w:r>
    </w:p>
  </w:footnote>
  <w:footnote w:id="64">
    <w:p w:rsidR="00A3158E" w:rsidRPr="00D97463" w:rsidRDefault="00A3158E" w:rsidP="00D97463">
      <w:pPr>
        <w:pStyle w:val="FootnoteText"/>
        <w:keepNext/>
        <w:spacing w:after="60"/>
        <w:ind w:right="1260"/>
      </w:pPr>
      <w:r w:rsidRPr="00D97463">
        <w:tab/>
      </w:r>
      <w:r w:rsidRPr="00D97463">
        <w:rPr>
          <w:rStyle w:val="FootnoteReference"/>
        </w:rPr>
        <w:footnoteRef/>
      </w:r>
      <w:r w:rsidRPr="00D97463">
        <w:tab/>
        <w:t>Principle 24 of the Stockholm Declaration states:</w:t>
      </w:r>
    </w:p>
    <w:p w:rsidR="00A3158E" w:rsidRPr="00D97463" w:rsidRDefault="00A3158E" w:rsidP="00D97463">
      <w:pPr>
        <w:pStyle w:val="IndentFootnot"/>
      </w:pPr>
      <w:r w:rsidRPr="00D97463">
        <w:t>“International matters concerning the protection and improvement of the environment should be handled in a cooperative spirit by all countries, big or small, on an equal footing. Cooperation through multilateral or bilateral arrangements or other appropriate means is essential to effectively control, prevent, reduce and eliminate adverse environmental effects resulting from activities conducted in all spheres, in such a way that due account is taken of the sovereignty and interests of all States.”</w:t>
      </w:r>
    </w:p>
    <w:p w:rsidR="00A3158E" w:rsidRPr="00D97463" w:rsidRDefault="00A3158E" w:rsidP="00D97463">
      <w:pPr>
        <w:pStyle w:val="FootnoteText"/>
        <w:spacing w:after="60"/>
        <w:ind w:right="1260"/>
      </w:pPr>
      <w:r w:rsidRPr="00D97463">
        <w:rPr>
          <w:i/>
          <w:iCs/>
        </w:rPr>
        <w:tab/>
      </w:r>
      <w:r w:rsidRPr="00D97463">
        <w:rPr>
          <w:i/>
          <w:iCs/>
        </w:rPr>
        <w:tab/>
        <w:t>Report of the United Nations Conference on the Human Environment</w:t>
      </w:r>
      <w:r w:rsidRPr="00D97463">
        <w:t>, United Nations Doc.</w:t>
      </w:r>
      <w:r>
        <w:t xml:space="preserve"> </w:t>
      </w:r>
      <w:hyperlink r:id="rId19" w:history="1">
        <w:r w:rsidRPr="00D97463">
          <w:rPr>
            <w:rStyle w:val="Hyperlink"/>
          </w:rPr>
          <w:t>A/CONF.48/14</w:t>
        </w:r>
      </w:hyperlink>
      <w:r w:rsidRPr="00D97463">
        <w:t>, at 2 and Corr.1 (1972).</w:t>
      </w:r>
    </w:p>
    <w:p w:rsidR="00A3158E" w:rsidRPr="00D97463" w:rsidRDefault="00A3158E" w:rsidP="00D97463">
      <w:pPr>
        <w:pStyle w:val="FootnoteText"/>
        <w:spacing w:after="60"/>
        <w:ind w:right="1260"/>
      </w:pPr>
      <w:r w:rsidRPr="00D97463">
        <w:tab/>
      </w:r>
      <w:r w:rsidRPr="00D97463">
        <w:tab/>
        <w:t>Principle 24 of the Rio Declaration states:</w:t>
      </w:r>
    </w:p>
    <w:p w:rsidR="00A3158E" w:rsidRPr="00D97463" w:rsidRDefault="00A3158E" w:rsidP="00D97463">
      <w:pPr>
        <w:pStyle w:val="IndentFootnot"/>
      </w:pPr>
      <w:r w:rsidRPr="00D97463">
        <w:t xml:space="preserve"> “States and people shall cooperate in good faith and in a spirit of partnership in the fulfilment of the principles embodied in this Declaration and in the further development of international law in the field of sustainable development.”</w:t>
      </w:r>
    </w:p>
    <w:p w:rsidR="00A3158E" w:rsidRPr="00D97463" w:rsidRDefault="00A3158E" w:rsidP="00D97463">
      <w:pPr>
        <w:pStyle w:val="FootnoteText"/>
        <w:ind w:right="1260"/>
      </w:pPr>
      <w:r w:rsidRPr="00D97463">
        <w:tab/>
      </w:r>
      <w:r w:rsidRPr="00D97463">
        <w:tab/>
      </w:r>
      <w:r w:rsidRPr="00D97463">
        <w:rPr>
          <w:i/>
        </w:rPr>
        <w:t>Report of the United Nations Conference on the Human Environment</w:t>
      </w:r>
      <w:r w:rsidRPr="00D97463">
        <w:t>, Stockholm, 5-16 June 1972 (United Nations publication, Sales No. E.73.II.A.14 and corrigendum), chap. I.</w:t>
      </w:r>
    </w:p>
  </w:footnote>
  <w:footnote w:id="6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Pulp Mills on the River Uruguay (Argentina v. Uruguay)</w:t>
      </w:r>
      <w:r w:rsidRPr="00D97463">
        <w:t>,</w:t>
      </w:r>
      <w:r w:rsidRPr="00D97463">
        <w:rPr>
          <w:i/>
          <w:iCs/>
        </w:rPr>
        <w:t xml:space="preserve"> Judgment, I.C.J. Reports 2010</w:t>
      </w:r>
      <w:r w:rsidRPr="00D97463">
        <w:t>, p. 49, para. 77.</w:t>
      </w:r>
    </w:p>
  </w:footnote>
  <w:footnote w:id="6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See also section 2 of Part XII of the United Nations Convention on the Law of the Sea (Montego Bay, 10 December 1982), which provides for “Global and Regional Cooperation”, setting out “Cooperation on global or regional basis” (Art. 19</w:t>
      </w:r>
      <w:r>
        <w:t>7</w:t>
      </w:r>
      <w:r w:rsidRPr="00D97463">
        <w:t xml:space="preserve">), “Notification of imminent or actual damage” (Art. 198), “Contingency plans against pollution” (Art. 199), “Studies, research programmes and exchange of information and data” (art. 200) and “Scientific criteria for regulations” (Art. 201). Section 2 of Part XIII on Marine Scientific Research of the UNCLOS provides for “International Cooperation”, setting out “Promotion of international cooperation” (Art. 242), “Creation of favourable conditions” (art. 243) and “Publication and dissemination of information and knowledge” (Art. 244) (United Nations, </w:t>
      </w:r>
      <w:r w:rsidRPr="00D97463">
        <w:rPr>
          <w:i/>
          <w:iCs/>
        </w:rPr>
        <w:t>Treaty Series</w:t>
      </w:r>
      <w:r w:rsidRPr="00D97463">
        <w:t>, vol. 1833, p. 3).</w:t>
      </w:r>
    </w:p>
  </w:footnote>
  <w:footnote w:id="67">
    <w:p w:rsidR="00A3158E" w:rsidRPr="00D97463" w:rsidRDefault="00A3158E" w:rsidP="00D97463">
      <w:pPr>
        <w:pStyle w:val="FootnoteText"/>
        <w:ind w:right="1260"/>
      </w:pPr>
      <w:r w:rsidRPr="00D97463">
        <w:tab/>
      </w:r>
      <w:r w:rsidRPr="00D97463">
        <w:rPr>
          <w:rStyle w:val="FootnoteReference"/>
        </w:rPr>
        <w:footnoteRef/>
      </w:r>
      <w:r w:rsidRPr="00D97463">
        <w:tab/>
        <w:t xml:space="preserve"> Draft article 8 provides that “</w:t>
      </w:r>
      <w:r w:rsidRPr="00D97463">
        <w:rPr>
          <w:b/>
          <w:bCs/>
        </w:rPr>
        <w:t>[</w:t>
      </w:r>
      <w:r w:rsidRPr="00D97463">
        <w:t>i]n accordance with the present draft articles, States shall, as appropriate, cooperate among themselves, and with the United Nations and other competent intergovernmental organizations, the International Federation of Red Cross and Red Crescent Societies and the International Committee of the Red Cross, and with relevant non-governmental organizations”.</w:t>
      </w:r>
    </w:p>
  </w:footnote>
  <w:footnote w:id="68">
    <w:p w:rsidR="00A3158E" w:rsidRPr="00D97463" w:rsidRDefault="00A3158E" w:rsidP="00D97463">
      <w:pPr>
        <w:pStyle w:val="FootnoteText"/>
        <w:ind w:right="1260"/>
      </w:pPr>
      <w:r w:rsidRPr="00D97463">
        <w:tab/>
      </w:r>
      <w:r w:rsidRPr="00D97463">
        <w:rPr>
          <w:rStyle w:val="FootnoteReference"/>
        </w:rPr>
        <w:footnoteRef/>
      </w:r>
      <w:r w:rsidRPr="00D97463">
        <w:tab/>
        <w:t>Eleven countries — Burundi, Democratic Republic of Congo, Djibouti, Eritrea, Ethiopia, Kenya, Rwanda, Somalia, Sudan, Tanzania, Uganda — agreed to this framework agreement, available at: &lt;http://www.unep.org/urban_environment/PDFs/EABAQ2008-AirPollutionAgreement.pdf&gt;.</w:t>
      </w:r>
    </w:p>
  </w:footnote>
  <w:footnote w:id="69">
    <w:p w:rsidR="00A3158E" w:rsidRPr="00D97463" w:rsidRDefault="00A3158E" w:rsidP="00D97463">
      <w:pPr>
        <w:pStyle w:val="FootnoteText"/>
        <w:ind w:right="1260"/>
      </w:pPr>
      <w:r w:rsidRPr="00D97463">
        <w:tab/>
      </w:r>
      <w:r w:rsidRPr="00D97463">
        <w:rPr>
          <w:rStyle w:val="FootnoteReference"/>
        </w:rPr>
        <w:footnoteRef/>
      </w:r>
      <w:r w:rsidRPr="00D97463">
        <w:tab/>
        <w:t>Twenty-one countries — Angola, Benin, Burkina Faso, Cameroon, Cape Verde, Chad, Congo Brazzaville, Côte d’Ivoire, Democratic Republic of Congo, Equatorial Guinea, Gambia, Ghana, Guinea, Guinea Bissau, Liberia, Mali, Niger, Nigeria, Senegal, Sierra Leone and Togo — agreed to this agreement, available at: &lt;http://www.unep.org/urban_environment/PDFs/BAQ09</w:t>
      </w:r>
      <w:r w:rsidRPr="00D97463">
        <w:br/>
        <w:t>_AgreementEn.Pdf&gt;.</w:t>
      </w:r>
    </w:p>
  </w:footnote>
  <w:footnote w:id="70">
    <w:p w:rsidR="00A3158E" w:rsidRPr="00D97463" w:rsidRDefault="00A3158E" w:rsidP="00D97463">
      <w:pPr>
        <w:pStyle w:val="FootnoteText"/>
        <w:ind w:right="1260"/>
      </w:pPr>
      <w:r w:rsidRPr="00D97463">
        <w:tab/>
      </w:r>
      <w:r w:rsidRPr="00D97463">
        <w:rPr>
          <w:rStyle w:val="FootnoteReference"/>
        </w:rPr>
        <w:footnoteRef/>
      </w:r>
      <w:r w:rsidRPr="00D97463">
        <w:tab/>
        <w:t>At its 3132nd meeting, on 22 May 2012 (</w:t>
      </w:r>
      <w:r w:rsidRPr="00D97463">
        <w:rPr>
          <w:i/>
        </w:rPr>
        <w:t>Official Records of the General Assembly, Sixty-seventh Session, Supplement No. 10</w:t>
      </w:r>
      <w:r w:rsidRPr="00D97463">
        <w:t xml:space="preserve"> (</w:t>
      </w:r>
      <w:hyperlink r:id="rId20" w:history="1">
        <w:r w:rsidRPr="00D97463">
          <w:rPr>
            <w:rStyle w:val="Hyperlink"/>
          </w:rPr>
          <w:t>A/67/10</w:t>
        </w:r>
      </w:hyperlink>
      <w:r w:rsidRPr="00D97463">
        <w:t>), para. 157). The General Assembly, in paragraph 7 of its resolution 67/92 of 14 December 2012, noted with appreciation the decision of the Commission to include the topic in its programme of work. The topic had been included in the long-term programme of work of the Commission during its sixty-third session (2011), on the basis of the proposal contained in annex A to the report of the Commission (</w:t>
      </w:r>
      <w:r w:rsidRPr="00D97463">
        <w:rPr>
          <w:i/>
        </w:rPr>
        <w:t xml:space="preserve">Official Records of the General Assembly, Sixty-sixth Session, Supplement No. 10 </w:t>
      </w:r>
      <w:r w:rsidRPr="00D97463">
        <w:t>(</w:t>
      </w:r>
      <w:hyperlink r:id="rId21" w:history="1">
        <w:r w:rsidRPr="00D97463">
          <w:rPr>
            <w:rStyle w:val="Hyperlink"/>
          </w:rPr>
          <w:t>A/66/10</w:t>
        </w:r>
      </w:hyperlink>
      <w:r w:rsidRPr="00D97463">
        <w:t>), pp. 305-314).</w:t>
      </w:r>
    </w:p>
  </w:footnote>
  <w:footnote w:id="7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 Sixty-seventh Session, Supplement No. 10</w:t>
      </w:r>
      <w:r w:rsidRPr="00D97463">
        <w:t xml:space="preserve"> (</w:t>
      </w:r>
      <w:hyperlink r:id="rId22" w:history="1">
        <w:r w:rsidRPr="00D97463">
          <w:rPr>
            <w:rStyle w:val="Hyperlink"/>
          </w:rPr>
          <w:t>A/67/10</w:t>
        </w:r>
      </w:hyperlink>
      <w:r w:rsidRPr="00D97463">
        <w:t>), paras. 157-202.</w:t>
      </w:r>
    </w:p>
  </w:footnote>
  <w:footnote w:id="7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para. 159.</w:t>
      </w:r>
    </w:p>
  </w:footnote>
  <w:footnote w:id="7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 Sixty-eighth Session, Supplement No. 10</w:t>
      </w:r>
      <w:r w:rsidRPr="00D97463">
        <w:t xml:space="preserve"> (</w:t>
      </w:r>
      <w:hyperlink r:id="rId23" w:history="1">
        <w:r w:rsidRPr="00D97463">
          <w:rPr>
            <w:rStyle w:val="Hyperlink"/>
          </w:rPr>
          <w:t>A/68/10</w:t>
        </w:r>
      </w:hyperlink>
      <w:r w:rsidRPr="00D97463">
        <w:t>), para. 64.</w:t>
      </w:r>
    </w:p>
  </w:footnote>
  <w:footnote w:id="7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 Sixty-ninth Session, Supplement No. 10</w:t>
      </w:r>
      <w:r w:rsidRPr="00D97463">
        <w:t xml:space="preserve"> (</w:t>
      </w:r>
      <w:hyperlink r:id="rId24" w:history="1">
        <w:r w:rsidRPr="00D97463">
          <w:rPr>
            <w:rStyle w:val="Hyperlink"/>
          </w:rPr>
          <w:t>A/69/10</w:t>
        </w:r>
      </w:hyperlink>
      <w:r w:rsidRPr="00D97463">
        <w:t>), para. 135.</w:t>
      </w:r>
    </w:p>
  </w:footnote>
  <w:footnote w:id="75">
    <w:p w:rsidR="00A3158E" w:rsidRPr="00D97463" w:rsidRDefault="00A3158E" w:rsidP="00D97463">
      <w:pPr>
        <w:pStyle w:val="FootnoteText"/>
        <w:keepNext/>
        <w:keepLines/>
        <w:spacing w:after="60"/>
        <w:ind w:right="1260"/>
      </w:pPr>
      <w:r w:rsidRPr="00D97463">
        <w:tab/>
      </w:r>
      <w:r w:rsidRPr="00D97463">
        <w:rPr>
          <w:rStyle w:val="FootnoteReference"/>
        </w:rPr>
        <w:footnoteRef/>
      </w:r>
      <w:r w:rsidRPr="00D97463">
        <w:t xml:space="preserve"> </w:t>
      </w:r>
      <w:r w:rsidRPr="00D97463">
        <w:tab/>
        <w:t>The text of the draft conclusions proposed by the Special Rapporteur in his third report (</w:t>
      </w:r>
      <w:hyperlink r:id="rId25" w:history="1">
        <w:r w:rsidRPr="00D97463">
          <w:rPr>
            <w:rStyle w:val="Hyperlink"/>
          </w:rPr>
          <w:t>A/CN.4/682</w:t>
        </w:r>
      </w:hyperlink>
      <w:r w:rsidRPr="00D97463">
        <w:t>) read as follows:</w:t>
      </w:r>
    </w:p>
    <w:p w:rsidR="00A3158E" w:rsidRPr="00D97463" w:rsidRDefault="00A3158E" w:rsidP="00D97463">
      <w:pPr>
        <w:pStyle w:val="IndentFootnot"/>
        <w:rPr>
          <w:b/>
          <w:bCs/>
        </w:rPr>
      </w:pPr>
      <w:r w:rsidRPr="00D97463">
        <w:rPr>
          <w:b/>
          <w:bCs/>
        </w:rPr>
        <w:t>Draft conclusion 3 [4]</w:t>
      </w:r>
      <w:r>
        <w:rPr>
          <w:b/>
          <w:bCs/>
        </w:rPr>
        <w:br/>
      </w:r>
      <w:r w:rsidRPr="00D97463">
        <w:rPr>
          <w:b/>
          <w:bCs/>
          <w:i/>
          <w:iCs/>
        </w:rPr>
        <w:t>Assessment of evidence for the two elements</w:t>
      </w:r>
    </w:p>
    <w:p w:rsidR="00A3158E" w:rsidRPr="00D97463" w:rsidRDefault="00A3158E" w:rsidP="00D97463">
      <w:pPr>
        <w:pStyle w:val="IndentFootnot"/>
      </w:pPr>
      <w:r w:rsidRPr="00D97463">
        <w:t>….</w:t>
      </w:r>
    </w:p>
    <w:p w:rsidR="00A3158E" w:rsidRPr="00D97463" w:rsidRDefault="00A3158E" w:rsidP="00D97463">
      <w:pPr>
        <w:pStyle w:val="IndentFootnot"/>
      </w:pPr>
      <w:r w:rsidRPr="00D97463">
        <w:t>2.</w:t>
      </w:r>
      <w:r w:rsidRPr="00D97463">
        <w:tab/>
        <w:t>Each element is to be separately ascertained. This generally requires an assessment of specific evidence for each element.</w:t>
      </w:r>
    </w:p>
    <w:p w:rsidR="00A3158E" w:rsidRPr="00D97463" w:rsidRDefault="00A3158E" w:rsidP="00D97463">
      <w:pPr>
        <w:pStyle w:val="IndentFootnot"/>
        <w:rPr>
          <w:b/>
          <w:bCs/>
          <w:i/>
          <w:iCs/>
        </w:rPr>
      </w:pPr>
      <w:r w:rsidRPr="00D97463">
        <w:rPr>
          <w:b/>
          <w:bCs/>
        </w:rPr>
        <w:t>Draft conclusion 4 [5]</w:t>
      </w:r>
      <w:r>
        <w:rPr>
          <w:b/>
          <w:bCs/>
        </w:rPr>
        <w:br/>
      </w:r>
      <w:r w:rsidRPr="00D97463">
        <w:rPr>
          <w:b/>
          <w:bCs/>
          <w:i/>
          <w:iCs/>
        </w:rPr>
        <w:t>Requirement of practice</w:t>
      </w:r>
    </w:p>
    <w:p w:rsidR="00A3158E" w:rsidRPr="00D97463" w:rsidRDefault="00A3158E" w:rsidP="00D97463">
      <w:pPr>
        <w:pStyle w:val="IndentFootnot"/>
      </w:pPr>
      <w:r w:rsidRPr="00D97463">
        <w:t>….</w:t>
      </w:r>
    </w:p>
    <w:p w:rsidR="00A3158E" w:rsidRPr="00D97463" w:rsidRDefault="00A3158E" w:rsidP="00D97463">
      <w:pPr>
        <w:pStyle w:val="IndentFootnot"/>
      </w:pPr>
      <w:r w:rsidRPr="00D97463">
        <w:t>3.</w:t>
      </w:r>
      <w:r w:rsidRPr="00D97463">
        <w:tab/>
        <w:t>Conduct by other non-State actors is not practice for the purposes of formation or identification of customary international law.</w:t>
      </w:r>
    </w:p>
    <w:p w:rsidR="00A3158E" w:rsidRPr="00D97463" w:rsidRDefault="00A3158E" w:rsidP="00D97463">
      <w:pPr>
        <w:pStyle w:val="IndentFootnot"/>
        <w:rPr>
          <w:b/>
          <w:bCs/>
          <w:i/>
          <w:iCs/>
        </w:rPr>
      </w:pPr>
      <w:r w:rsidRPr="00D97463">
        <w:rPr>
          <w:b/>
          <w:bCs/>
        </w:rPr>
        <w:t xml:space="preserve">Draft conclusion 11 </w:t>
      </w:r>
      <w:r>
        <w:rPr>
          <w:b/>
          <w:bCs/>
        </w:rPr>
        <w:br/>
      </w:r>
      <w:r w:rsidRPr="00D97463">
        <w:rPr>
          <w:b/>
          <w:bCs/>
          <w:i/>
          <w:iCs/>
        </w:rPr>
        <w:t>Evidence of acceptance as law</w:t>
      </w:r>
    </w:p>
    <w:p w:rsidR="00A3158E" w:rsidRPr="00D97463" w:rsidRDefault="00A3158E" w:rsidP="00D97463">
      <w:pPr>
        <w:pStyle w:val="IndentFootnot"/>
      </w:pPr>
      <w:r w:rsidRPr="00D97463">
        <w:t>....</w:t>
      </w:r>
    </w:p>
    <w:p w:rsidR="00A3158E" w:rsidRPr="00D97463" w:rsidRDefault="00A3158E" w:rsidP="00D97463">
      <w:pPr>
        <w:pStyle w:val="IndentFootnot"/>
      </w:pPr>
      <w:r w:rsidRPr="00D97463">
        <w:t>3.</w:t>
      </w:r>
      <w:r w:rsidRPr="00D97463">
        <w:tab/>
        <w:t>Inaction may also serve as evidence of acceptance as law, provided that the circumstances call for some reaction.</w:t>
      </w:r>
    </w:p>
    <w:p w:rsidR="00A3158E" w:rsidRPr="00D97463" w:rsidRDefault="00A3158E" w:rsidP="00D97463">
      <w:pPr>
        <w:pStyle w:val="IndentFootnot"/>
        <w:rPr>
          <w:b/>
          <w:bCs/>
        </w:rPr>
      </w:pPr>
      <w:r w:rsidRPr="00D97463">
        <w:rPr>
          <w:b/>
          <w:bCs/>
        </w:rPr>
        <w:t>Part five</w:t>
      </w:r>
      <w:r>
        <w:rPr>
          <w:b/>
          <w:bCs/>
        </w:rPr>
        <w:br/>
      </w:r>
      <w:r w:rsidRPr="00D97463">
        <w:rPr>
          <w:b/>
          <w:bCs/>
        </w:rPr>
        <w:t>Particular forms of practice and evidence</w:t>
      </w:r>
    </w:p>
    <w:p w:rsidR="00A3158E" w:rsidRPr="00D97463" w:rsidRDefault="00A3158E" w:rsidP="00D97463">
      <w:pPr>
        <w:pStyle w:val="IndentFootnot"/>
        <w:rPr>
          <w:b/>
          <w:bCs/>
          <w:i/>
          <w:iCs/>
        </w:rPr>
      </w:pPr>
      <w:r w:rsidRPr="00D97463">
        <w:rPr>
          <w:b/>
          <w:bCs/>
        </w:rPr>
        <w:t>Draft conclusion 12</w:t>
      </w:r>
      <w:r>
        <w:rPr>
          <w:b/>
          <w:bCs/>
        </w:rPr>
        <w:br/>
      </w:r>
      <w:r w:rsidRPr="00D97463">
        <w:rPr>
          <w:b/>
          <w:bCs/>
          <w:i/>
          <w:iCs/>
        </w:rPr>
        <w:t>Treaties</w:t>
      </w:r>
    </w:p>
    <w:p w:rsidR="00A3158E" w:rsidRPr="00D97463" w:rsidRDefault="00A3158E" w:rsidP="00D97463">
      <w:pPr>
        <w:pStyle w:val="IndentFootnot"/>
      </w:pPr>
      <w:r w:rsidRPr="00D97463">
        <w:tab/>
        <w:t xml:space="preserve">A treaty provision may reflect or come to reflect a rule of customary international law if it is established that the provision in question: </w:t>
      </w:r>
    </w:p>
    <w:p w:rsidR="00A3158E" w:rsidRPr="00D97463" w:rsidRDefault="00A3158E" w:rsidP="00D97463">
      <w:pPr>
        <w:pStyle w:val="IndentFootnot"/>
      </w:pPr>
      <w:r w:rsidRPr="00D97463">
        <w:tab/>
        <w:t>(a)</w:t>
      </w:r>
      <w:r w:rsidRPr="00D97463">
        <w:tab/>
        <w:t>at the time when the treaty was concluded, codifies an existing rule of customary international law;</w:t>
      </w:r>
    </w:p>
    <w:p w:rsidR="00A3158E" w:rsidRPr="00D97463" w:rsidRDefault="00A3158E" w:rsidP="00D97463">
      <w:pPr>
        <w:pStyle w:val="IndentFootnot"/>
      </w:pPr>
      <w:r w:rsidRPr="00D97463">
        <w:tab/>
        <w:t>(b)</w:t>
      </w:r>
      <w:r w:rsidRPr="00D97463">
        <w:tab/>
        <w:t xml:space="preserve">has led to the crystallization of an emerging rule of customary international law; or </w:t>
      </w:r>
    </w:p>
    <w:p w:rsidR="00A3158E" w:rsidRPr="00D97463" w:rsidRDefault="00A3158E" w:rsidP="00D97463">
      <w:pPr>
        <w:pStyle w:val="IndentFootnot"/>
      </w:pPr>
      <w:r w:rsidRPr="00D97463">
        <w:tab/>
        <w:t>(c)</w:t>
      </w:r>
      <w:r w:rsidRPr="00D97463">
        <w:tab/>
        <w:t>has generated a new rule of customary international law, by giving rise to a general practice accepted as law.</w:t>
      </w:r>
    </w:p>
    <w:p w:rsidR="00A3158E" w:rsidRPr="00D97463" w:rsidRDefault="00A3158E" w:rsidP="00D97463">
      <w:pPr>
        <w:pStyle w:val="IndentFootnot"/>
        <w:rPr>
          <w:b/>
          <w:bCs/>
        </w:rPr>
      </w:pPr>
      <w:r w:rsidRPr="00D97463">
        <w:rPr>
          <w:b/>
          <w:bCs/>
        </w:rPr>
        <w:t>Draft conclusion 13</w:t>
      </w:r>
      <w:r>
        <w:rPr>
          <w:b/>
          <w:bCs/>
        </w:rPr>
        <w:br/>
      </w:r>
      <w:r w:rsidRPr="00D97463">
        <w:rPr>
          <w:b/>
          <w:bCs/>
          <w:i/>
          <w:iCs/>
        </w:rPr>
        <w:t>Resolutions of international organizations and conferences</w:t>
      </w:r>
    </w:p>
    <w:p w:rsidR="00A3158E" w:rsidRPr="00D97463" w:rsidRDefault="00A3158E" w:rsidP="00D97463">
      <w:pPr>
        <w:pStyle w:val="IndentFootnot"/>
      </w:pPr>
      <w:r>
        <w:tab/>
      </w:r>
      <w:r w:rsidRPr="00D97463">
        <w:t>Resolutions adopted by international organizations or at international conferences may, in some circumstances, be evidence of customary international law or contribute to its development; they cannot, in and of themselves, constitute it.</w:t>
      </w:r>
    </w:p>
    <w:p w:rsidR="00A3158E" w:rsidRPr="00D97463" w:rsidRDefault="00A3158E" w:rsidP="00D97463">
      <w:pPr>
        <w:pStyle w:val="IndentFootnot"/>
        <w:rPr>
          <w:b/>
          <w:bCs/>
        </w:rPr>
      </w:pPr>
      <w:r w:rsidRPr="00D97463">
        <w:rPr>
          <w:b/>
          <w:bCs/>
        </w:rPr>
        <w:t xml:space="preserve">Draft conclusion 14 </w:t>
      </w:r>
      <w:r>
        <w:rPr>
          <w:b/>
          <w:bCs/>
        </w:rPr>
        <w:br/>
      </w:r>
      <w:r w:rsidRPr="00D97463">
        <w:rPr>
          <w:b/>
          <w:bCs/>
          <w:i/>
          <w:iCs/>
        </w:rPr>
        <w:t>Judicial decisions and writings</w:t>
      </w:r>
    </w:p>
    <w:p w:rsidR="00A3158E" w:rsidRPr="00D97463" w:rsidRDefault="00A3158E" w:rsidP="00D97463">
      <w:pPr>
        <w:pStyle w:val="IndentFootnot"/>
      </w:pPr>
      <w:r>
        <w:tab/>
      </w:r>
      <w:r w:rsidRPr="00D97463">
        <w:t>Judicial decisions and writings may serve as subsidiary means for the identification of rules of customary international law.</w:t>
      </w:r>
    </w:p>
    <w:p w:rsidR="00A3158E" w:rsidRPr="00D97463" w:rsidRDefault="00A3158E" w:rsidP="00D97463">
      <w:pPr>
        <w:pStyle w:val="IndentFootnot"/>
        <w:rPr>
          <w:b/>
          <w:bCs/>
        </w:rPr>
      </w:pPr>
      <w:r w:rsidRPr="00D97463">
        <w:rPr>
          <w:b/>
          <w:bCs/>
        </w:rPr>
        <w:t>Part six</w:t>
      </w:r>
      <w:r>
        <w:rPr>
          <w:b/>
          <w:bCs/>
        </w:rPr>
        <w:br/>
      </w:r>
      <w:r w:rsidRPr="00D97463">
        <w:rPr>
          <w:b/>
          <w:bCs/>
        </w:rPr>
        <w:t>Exceptions to the general application of rules of customary international law</w:t>
      </w:r>
    </w:p>
    <w:p w:rsidR="00A3158E" w:rsidRPr="00D97463" w:rsidRDefault="00A3158E" w:rsidP="00D97463">
      <w:pPr>
        <w:pStyle w:val="IndentFootnot"/>
        <w:rPr>
          <w:b/>
          <w:bCs/>
        </w:rPr>
      </w:pPr>
      <w:r w:rsidRPr="00D97463">
        <w:rPr>
          <w:b/>
          <w:bCs/>
        </w:rPr>
        <w:t>Draft conclusion 15</w:t>
      </w:r>
      <w:r>
        <w:rPr>
          <w:b/>
          <w:bCs/>
        </w:rPr>
        <w:br/>
      </w:r>
      <w:r w:rsidRPr="00D97463">
        <w:rPr>
          <w:b/>
          <w:bCs/>
          <w:i/>
          <w:iCs/>
        </w:rPr>
        <w:t>Particular custom</w:t>
      </w:r>
    </w:p>
    <w:p w:rsidR="00A3158E" w:rsidRPr="00D97463" w:rsidRDefault="00A3158E" w:rsidP="00D97463">
      <w:pPr>
        <w:pStyle w:val="IndentFootnot"/>
      </w:pPr>
      <w:r w:rsidRPr="00D97463">
        <w:t>1.</w:t>
      </w:r>
      <w:r w:rsidRPr="00D97463">
        <w:tab/>
        <w:t>A particular custom is a rule of customary international law that may only be invoked by and against certain States.</w:t>
      </w:r>
    </w:p>
    <w:p w:rsidR="00A3158E" w:rsidRPr="00D97463" w:rsidRDefault="00A3158E" w:rsidP="00D97463">
      <w:pPr>
        <w:pStyle w:val="IndentFootnot"/>
      </w:pPr>
      <w:r w:rsidRPr="00D97463">
        <w:t>2.</w:t>
      </w:r>
      <w:r w:rsidRPr="00D97463">
        <w:tab/>
        <w:t>To determine the existence of a particular custom and its content, it is necessary to ascertain whether there is a general practice among the States concerned that is accepted by each of them as law (</w:t>
      </w:r>
      <w:r w:rsidRPr="00D97463">
        <w:rPr>
          <w:i/>
        </w:rPr>
        <w:t>opinio juris</w:t>
      </w:r>
      <w:r w:rsidRPr="00D97463">
        <w:t>).</w:t>
      </w:r>
    </w:p>
    <w:p w:rsidR="00A3158E" w:rsidRPr="00D97463" w:rsidRDefault="00A3158E" w:rsidP="00D97463">
      <w:pPr>
        <w:pStyle w:val="IndentFootnot"/>
        <w:keepNext/>
        <w:rPr>
          <w:b/>
          <w:bCs/>
        </w:rPr>
      </w:pPr>
      <w:r w:rsidRPr="00D97463">
        <w:rPr>
          <w:b/>
          <w:bCs/>
        </w:rPr>
        <w:t>Draft conclusion 16</w:t>
      </w:r>
      <w:r>
        <w:rPr>
          <w:b/>
          <w:bCs/>
        </w:rPr>
        <w:br/>
      </w:r>
      <w:r w:rsidRPr="00D97463">
        <w:rPr>
          <w:b/>
          <w:bCs/>
        </w:rPr>
        <w:t>Persistent objector</w:t>
      </w:r>
    </w:p>
    <w:p w:rsidR="00A3158E" w:rsidRPr="00D97463" w:rsidRDefault="00A3158E" w:rsidP="00D97463">
      <w:pPr>
        <w:pStyle w:val="IndentFootnot"/>
        <w:keepNext/>
        <w:spacing w:after="0"/>
      </w:pPr>
      <w:r w:rsidRPr="00D97463">
        <w:tab/>
        <w:t>A State that has persistently objected to a new rule of customary international law while that rule was in the process of formation is not bound by the rule for so long as it maintains its objection.</w:t>
      </w:r>
    </w:p>
  </w:footnote>
  <w:footnote w:id="7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statement of the Chairman of the Drafting Committee, the annex to which contains the 16 draft conclusions provisionally adopted by the Drafting Committee, is available on the website of the Commission located at: </w:t>
      </w:r>
      <w:r w:rsidRPr="00D97463">
        <w:rPr>
          <w:sz w:val="22"/>
        </w:rPr>
        <w:t>&lt;</w:t>
      </w:r>
      <w:r w:rsidRPr="00D97463">
        <w:t>http://legal.un.org/ilc</w:t>
      </w:r>
      <w:r w:rsidRPr="00D97463">
        <w:rPr>
          <w:sz w:val="22"/>
        </w:rPr>
        <w:t>&gt;</w:t>
      </w:r>
      <w:r w:rsidRPr="00D97463">
        <w:t>.</w:t>
      </w:r>
    </w:p>
  </w:footnote>
  <w:footnote w:id="7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 Sixty-eighth Session, Supplement No. 10</w:t>
      </w:r>
      <w:r w:rsidRPr="00D97463">
        <w:t xml:space="preserve"> (</w:t>
      </w:r>
      <w:hyperlink r:id="rId26" w:history="1">
        <w:r w:rsidRPr="00D97463">
          <w:rPr>
            <w:rStyle w:val="Hyperlink"/>
          </w:rPr>
          <w:t>A/68/10</w:t>
        </w:r>
      </w:hyperlink>
      <w:r w:rsidRPr="00D97463">
        <w:t xml:space="preserve">), paras. 169-170. </w:t>
      </w:r>
    </w:p>
  </w:footnote>
  <w:footnote w:id="7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annex B. </w:t>
      </w:r>
    </w:p>
  </w:footnote>
  <w:footnote w:id="7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Sixty-ninth Session, Supplement No. 10</w:t>
      </w:r>
      <w:r w:rsidRPr="00D97463">
        <w:t xml:space="preserve"> (</w:t>
      </w:r>
      <w:hyperlink r:id="rId27" w:history="1">
        <w:r w:rsidRPr="00D97463">
          <w:rPr>
            <w:rStyle w:val="Hyperlink"/>
          </w:rPr>
          <w:t>A/69/10</w:t>
        </w:r>
      </w:hyperlink>
      <w:r w:rsidRPr="00D97463">
        <w:t>), para. 266.</w:t>
      </w:r>
    </w:p>
  </w:footnote>
  <w:footnote w:id="8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the Provisional Summary Records of the 3254th to 3258th meetings (Documents </w:t>
      </w:r>
      <w:hyperlink r:id="rId28" w:history="1">
        <w:r w:rsidRPr="00D97463">
          <w:rPr>
            <w:rStyle w:val="Hyperlink"/>
          </w:rPr>
          <w:t>A/CN.4/SR.3254</w:t>
        </w:r>
      </w:hyperlink>
      <w:r w:rsidRPr="00D97463">
        <w:t xml:space="preserve">, </w:t>
      </w:r>
      <w:hyperlink r:id="rId29" w:history="1">
        <w:r w:rsidRPr="00D97463">
          <w:rPr>
            <w:rStyle w:val="Hyperlink"/>
          </w:rPr>
          <w:t>A/CN.4/SR.3255</w:t>
        </w:r>
      </w:hyperlink>
      <w:r w:rsidRPr="00D97463">
        <w:t xml:space="preserve">, </w:t>
      </w:r>
      <w:hyperlink r:id="rId30" w:history="1">
        <w:r w:rsidRPr="00D97463">
          <w:rPr>
            <w:rStyle w:val="Hyperlink"/>
          </w:rPr>
          <w:t>A/CN.4/SR.3256</w:t>
        </w:r>
      </w:hyperlink>
      <w:r w:rsidRPr="00D97463">
        <w:t xml:space="preserve">, </w:t>
      </w:r>
      <w:hyperlink r:id="rId31" w:history="1">
        <w:r w:rsidRPr="00D97463">
          <w:rPr>
            <w:rStyle w:val="Hyperlink"/>
          </w:rPr>
          <w:t>A/CN.4/SR.3257</w:t>
        </w:r>
      </w:hyperlink>
      <w:r w:rsidRPr="00D97463">
        <w:t xml:space="preserve">, and </w:t>
      </w:r>
      <w:hyperlink r:id="rId32" w:history="1">
        <w:r w:rsidRPr="00D97463">
          <w:rPr>
            <w:rStyle w:val="Hyperlink"/>
          </w:rPr>
          <w:t>A/CN.4/SR.3258</w:t>
        </w:r>
      </w:hyperlink>
      <w:r w:rsidRPr="00D97463">
        <w:t>).</w:t>
      </w:r>
    </w:p>
  </w:footnote>
  <w:footnote w:id="81">
    <w:p w:rsidR="00A3158E" w:rsidRPr="00D97463" w:rsidRDefault="00A3158E" w:rsidP="00D97463">
      <w:pPr>
        <w:pStyle w:val="FootnoteText"/>
        <w:ind w:right="1260"/>
      </w:pPr>
      <w:r w:rsidRPr="00D97463">
        <w:tab/>
      </w:r>
      <w:r w:rsidRPr="00D97463">
        <w:rPr>
          <w:rStyle w:val="FootnoteReference"/>
        </w:rPr>
        <w:footnoteRef/>
      </w:r>
      <w:r w:rsidRPr="00D97463">
        <w:tab/>
        <w:t xml:space="preserve">See the First report on crimes against humanity, document </w:t>
      </w:r>
      <w:hyperlink r:id="rId33" w:history="1">
        <w:r w:rsidRPr="00D97463">
          <w:rPr>
            <w:rStyle w:val="Hyperlink"/>
          </w:rPr>
          <w:t>A/CN.4/680</w:t>
        </w:r>
      </w:hyperlink>
      <w:r w:rsidRPr="00D97463">
        <w:t xml:space="preserve"> (draft article 1 “Prevention and punishment of crimes against humanity” and draft article 2 “Definition of crimes against humanity”).</w:t>
      </w:r>
    </w:p>
  </w:footnote>
  <w:footnote w:id="82">
    <w:p w:rsidR="00A3158E" w:rsidRPr="00D97463" w:rsidRDefault="00A3158E" w:rsidP="00D97463">
      <w:pPr>
        <w:pStyle w:val="FootnoteText"/>
        <w:ind w:right="1260"/>
      </w:pPr>
      <w:r w:rsidRPr="00D97463">
        <w:tab/>
      </w:r>
      <w:r w:rsidRPr="00D97463">
        <w:rPr>
          <w:rStyle w:val="FootnoteReference"/>
        </w:rPr>
        <w:footnoteRef/>
      </w:r>
      <w:r w:rsidRPr="00D97463">
        <w:tab/>
        <w:t>This issue was raised during the Commission’s debate in plenary of the Special Rapporteur’s first report in May 2015 and was also discussed during of a visit to the Commission by the High Commissioner for Human Rights in July 2015.</w:t>
      </w:r>
    </w:p>
  </w:footnote>
  <w:footnote w:id="83">
    <w:p w:rsidR="00A3158E" w:rsidRPr="00D97463" w:rsidRDefault="00A3158E" w:rsidP="00D97463">
      <w:pPr>
        <w:pStyle w:val="FootnoteText"/>
        <w:ind w:right="1260"/>
      </w:pPr>
      <w:r w:rsidRPr="00D97463">
        <w:tab/>
      </w:r>
      <w:r w:rsidRPr="00D97463">
        <w:rPr>
          <w:rStyle w:val="FootnoteReference"/>
        </w:rPr>
        <w:footnoteRef/>
      </w:r>
      <w:r w:rsidRPr="00D97463">
        <w:tab/>
        <w:t>The placement of this paragraph will be addressed at a further stage.</w:t>
      </w:r>
    </w:p>
  </w:footnote>
  <w:footnote w:id="84">
    <w:p w:rsidR="00A3158E" w:rsidRPr="00D97463" w:rsidRDefault="00A3158E" w:rsidP="00D97463">
      <w:pPr>
        <w:pStyle w:val="FootnoteText"/>
        <w:ind w:right="1260"/>
      </w:pPr>
      <w:r w:rsidRPr="00D97463">
        <w:tab/>
      </w:r>
      <w:r w:rsidRPr="00D97463">
        <w:rPr>
          <w:rStyle w:val="FootnoteReference"/>
        </w:rPr>
        <w:footnoteRef/>
      </w:r>
      <w:r w:rsidRPr="00D97463">
        <w:tab/>
        <w:t xml:space="preserve">Rome Statute of the International Criminal Court, done at Rome on 17 July 1998, United Nations, </w:t>
      </w:r>
      <w:r w:rsidRPr="00D97463">
        <w:rPr>
          <w:i/>
        </w:rPr>
        <w:t>Treaty Series</w:t>
      </w:r>
      <w:r w:rsidRPr="00D97463">
        <w:t>, vol. 2187, p. 3 (hereinafter “Rome Statute”).</w:t>
      </w:r>
    </w:p>
  </w:footnote>
  <w:footnote w:id="85">
    <w:p w:rsidR="00A3158E" w:rsidRPr="00D97463" w:rsidRDefault="00A3158E" w:rsidP="00D97463">
      <w:pPr>
        <w:pStyle w:val="FootnoteText"/>
        <w:ind w:right="1260"/>
      </w:pPr>
      <w:r w:rsidRPr="00D97463">
        <w:tab/>
      </w:r>
      <w:r w:rsidRPr="00D97463">
        <w:rPr>
          <w:rStyle w:val="FootnoteReference"/>
        </w:rPr>
        <w:footnoteRef/>
      </w:r>
      <w:r w:rsidRPr="00D97463">
        <w:tab/>
        <w:t xml:space="preserve">Agreement for the prosecution and punishment of the major war criminals of the European Axis, and Charter of the International Military Tribunal, art. 6 (c), done at London on 8 August 1945, United Nations, </w:t>
      </w:r>
      <w:r w:rsidRPr="00D97463">
        <w:rPr>
          <w:i/>
        </w:rPr>
        <w:t>Treaty Series</w:t>
      </w:r>
      <w:r w:rsidRPr="00D97463">
        <w:t xml:space="preserve">, vol. 82, p. 279 (hereinafter “Nürnberg Charter”). </w:t>
      </w:r>
    </w:p>
  </w:footnote>
  <w:footnote w:id="8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Judgment of 30 September 1946, International Military Tribunal, in Trial of the Major War Criminals Before the International Military Tribunal</w:t>
      </w:r>
      <w:r w:rsidRPr="00D97463">
        <w:t>, vol. 22 (1947), p. 466.</w:t>
      </w:r>
    </w:p>
  </w:footnote>
  <w:footnote w:id="87">
    <w:p w:rsidR="00A3158E" w:rsidRPr="00D97463" w:rsidRDefault="00A3158E" w:rsidP="00D97463">
      <w:pPr>
        <w:pStyle w:val="FootnoteText"/>
        <w:ind w:right="1260"/>
      </w:pPr>
      <w:r w:rsidRPr="00D97463">
        <w:tab/>
      </w:r>
      <w:r w:rsidRPr="00D97463">
        <w:rPr>
          <w:rStyle w:val="FootnoteReference"/>
        </w:rPr>
        <w:footnoteRef/>
      </w:r>
      <w:r w:rsidRPr="00D97463">
        <w:tab/>
        <w:t>Charter of the International Military Tribunal for the Far East, art. 5 (c), done at Tokyo on 19 January 1946 (as amended 26 April 1946), 4 Bevans 20. No persons, however, were convicted of this crime by that tribunal.</w:t>
      </w:r>
    </w:p>
  </w:footnote>
  <w:footnote w:id="8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Affirmation of the Principles of International Law Recognized by the Charter of the Nürnberg Tribunal</w:t>
      </w:r>
      <w:r w:rsidRPr="00D97463">
        <w:t>, General Assembly resolution 95 (I) of 11 December 1946.</w:t>
      </w:r>
    </w:p>
  </w:footnote>
  <w:footnote w:id="8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Formulation of the Principles Recognized in the Charter of the Nürnberg Tribunal and the Judgment of the Tribunal</w:t>
      </w:r>
      <w:r w:rsidRPr="00D97463">
        <w:t>, General Assembly resolution 177 (II) of 21 November 1947.</w:t>
      </w:r>
    </w:p>
  </w:footnote>
  <w:footnote w:id="9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Yearbook … 1950</w:t>
      </w:r>
      <w:r w:rsidRPr="00D97463">
        <w:t>, vol. II, p. 376, para. 109 (Principle VI).</w:t>
      </w:r>
    </w:p>
  </w:footnote>
  <w:footnote w:id="9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1954</w:t>
      </w:r>
      <w:r w:rsidRPr="00D97463">
        <w:t>, vol. II, p. 150 at art. 1.</w:t>
      </w:r>
    </w:p>
  </w:footnote>
  <w:footnote w:id="92">
    <w:p w:rsidR="00A3158E" w:rsidRPr="00D97463" w:rsidRDefault="00A3158E" w:rsidP="00D97463">
      <w:pPr>
        <w:pStyle w:val="FootnoteText"/>
        <w:ind w:right="1260"/>
      </w:pPr>
      <w:r w:rsidRPr="00D97463">
        <w:tab/>
      </w:r>
      <w:r w:rsidRPr="00D97463">
        <w:rPr>
          <w:rStyle w:val="FootnoteReference"/>
        </w:rPr>
        <w:footnoteRef/>
      </w:r>
      <w:r w:rsidRPr="00D97463">
        <w:tab/>
        <w:t xml:space="preserve">Nürnberg Charter,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_Ref295829819 \h  \* MERGEFORMAT </w:instrText>
      </w:r>
      <w:r w:rsidRPr="00D97463">
        <w:fldChar w:fldCharType="separate"/>
      </w:r>
      <w:r w:rsidR="00EF153A">
        <w:t>85</w:t>
      </w:r>
      <w:r w:rsidRPr="00D97463">
        <w:fldChar w:fldCharType="end"/>
      </w:r>
      <w:r w:rsidRPr="00D97463">
        <w:t>, at art. 6 (c).</w:t>
      </w:r>
    </w:p>
  </w:footnote>
  <w:footnote w:id="9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1996</w:t>
      </w:r>
      <w:r w:rsidRPr="00D97463">
        <w:t>, vol. II (Part Two),</w:t>
      </w:r>
      <w:r w:rsidRPr="00D97463">
        <w:rPr>
          <w:i/>
        </w:rPr>
        <w:t xml:space="preserve"> </w:t>
      </w:r>
      <w:r w:rsidRPr="00D97463">
        <w:t>p. 17 at para. 50 (art. 1). The 1996 Draft Code contained five categories of crimes, one of which was crimes against humanity.</w:t>
      </w:r>
    </w:p>
  </w:footnote>
  <w:footnote w:id="9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2001</w:t>
      </w:r>
      <w:r w:rsidRPr="00D97463">
        <w:t xml:space="preserve">, vol. II (Part Two), p. 85 at (5) (commentary on draft article 26 of the draft articles on responsibility of States for internationally wrongful acts) (maintaining that those “peremptory norms that are clearly accepted and recognized include the prohibitions of ... crimes against humanity ...”); see also Study Group of the International Law Commission, </w:t>
      </w:r>
      <w:r w:rsidRPr="00D97463">
        <w:rPr>
          <w:i/>
        </w:rPr>
        <w:t>Fragmentation of International Law: Difficulties Arising from the Diversification and Expansion of International Law</w:t>
      </w:r>
      <w:r w:rsidRPr="00D97463">
        <w:t xml:space="preserve">, document </w:t>
      </w:r>
      <w:hyperlink r:id="rId34" w:history="1">
        <w:r w:rsidRPr="00D97463">
          <w:rPr>
            <w:rStyle w:val="Hyperlink"/>
          </w:rPr>
          <w:t>A/CN.4/L.682</w:t>
        </w:r>
      </w:hyperlink>
      <w:r w:rsidRPr="00D97463">
        <w:t xml:space="preserve">, para. 374 (13 April 2006), as corrected by document </w:t>
      </w:r>
      <w:hyperlink r:id="rId35" w:history="1">
        <w:r w:rsidRPr="00D97463">
          <w:rPr>
            <w:rStyle w:val="Hyperlink"/>
          </w:rPr>
          <w:t>A/CN.4/L.682/Corr.1</w:t>
        </w:r>
      </w:hyperlink>
      <w:r w:rsidRPr="00D97463">
        <w:t xml:space="preserve"> (11 August 2006) (identifying crimes against humanity as one of the “most frequently cited candidates for the status of </w:t>
      </w:r>
      <w:r w:rsidRPr="00D97463">
        <w:rPr>
          <w:i/>
        </w:rPr>
        <w:t>jus cogens</w:t>
      </w:r>
      <w:r w:rsidRPr="00D97463">
        <w:t>”).</w:t>
      </w:r>
    </w:p>
  </w:footnote>
  <w:footnote w:id="95">
    <w:p w:rsidR="00A3158E" w:rsidRPr="00D97463" w:rsidRDefault="00A3158E" w:rsidP="00D97463">
      <w:pPr>
        <w:pStyle w:val="FootnoteText"/>
        <w:ind w:right="1260"/>
      </w:pPr>
      <w:r w:rsidRPr="00D97463">
        <w:tab/>
      </w:r>
      <w:r w:rsidRPr="00D97463">
        <w:rPr>
          <w:rStyle w:val="FootnoteReference"/>
        </w:rPr>
        <w:footnoteRef/>
      </w:r>
      <w:r w:rsidRPr="00D97463">
        <w:tab/>
        <w:t xml:space="preserve">Protocol Rectifying Discrepancy in Text of Charter, done at Berlin on 6 October 1945, in </w:t>
      </w:r>
      <w:r w:rsidRPr="00D97463">
        <w:rPr>
          <w:i/>
          <w:iCs/>
        </w:rPr>
        <w:t>Trial of the Major War Criminals Before the International Military Tribunal</w:t>
      </w:r>
      <w:r w:rsidRPr="00D97463">
        <w:t xml:space="preserve">, vol. 1 (1947), at pp. 17-18 (hereinafter “Berlin Protocol”). The Berlin Protocol replaced a semi-colon after “during the war” with a comma, so as to harmonize the English and French texts with the Russian text. </w:t>
      </w:r>
      <w:r w:rsidRPr="00D97463">
        <w:rPr>
          <w:i/>
          <w:iCs/>
        </w:rPr>
        <w:t>Ibid.</w:t>
      </w:r>
      <w:r w:rsidRPr="00D97463">
        <w:t>, p. 17. The effect of doing so was to link the first part of the provision to the latter part of the provision (“in connection with any crime within the jurisdiction of the Tribunal”) and hence to the existence of an international armed conflict.</w:t>
      </w:r>
    </w:p>
  </w:footnote>
  <w:footnote w:id="96">
    <w:p w:rsidR="00A3158E" w:rsidRPr="00D97463" w:rsidRDefault="00A3158E" w:rsidP="00D97463">
      <w:pPr>
        <w:pStyle w:val="FootnoteText"/>
        <w:ind w:right="1260"/>
      </w:pPr>
      <w:r w:rsidRPr="00D97463">
        <w:tab/>
      </w:r>
      <w:r w:rsidRPr="00D97463">
        <w:rPr>
          <w:rStyle w:val="FootnoteReference"/>
        </w:rPr>
        <w:footnoteRef/>
      </w:r>
      <w:r w:rsidRPr="00D97463">
        <w:tab/>
        <w:t xml:space="preserve">See United Nations War Crimes Commission, </w:t>
      </w:r>
      <w:r w:rsidRPr="00D97463">
        <w:rPr>
          <w:i/>
          <w:iCs/>
        </w:rPr>
        <w:t>History of the United Nations War Crimes Commission and the Development of the Laws of War</w:t>
      </w:r>
      <w:r w:rsidRPr="00D97463">
        <w:t xml:space="preserve"> (His Majesty’s Stationery Office, 1948), p. 179 (“Only crimes which either by their magnitude and savagery or by their large number or by the fact that a similar pattern was applied at different times and places, endangered the international community or shocked the conscience of mankind, warranted intervention by States other than that on whose territory the crimes had been committed, or whose subjects had become their victims.”).</w:t>
      </w:r>
    </w:p>
  </w:footnote>
  <w:footnote w:id="97">
    <w:p w:rsidR="00A3158E" w:rsidRPr="00D97463" w:rsidRDefault="00A3158E" w:rsidP="00D97463">
      <w:pPr>
        <w:pStyle w:val="FootnoteText"/>
        <w:ind w:right="1260"/>
      </w:pPr>
      <w:r w:rsidRPr="00D97463">
        <w:tab/>
      </w:r>
      <w:r w:rsidRPr="00D97463">
        <w:rPr>
          <w:rStyle w:val="FootnoteReference"/>
        </w:rPr>
        <w:footnoteRef/>
      </w:r>
      <w:r w:rsidRPr="00D97463">
        <w:tab/>
        <w:t xml:space="preserve">See, e.g., </w:t>
      </w:r>
      <w:r w:rsidRPr="00D97463">
        <w:rPr>
          <w:i/>
          <w:iCs/>
        </w:rPr>
        <w:t>Prosecutor v. Kupreškić et al.</w:t>
      </w:r>
      <w:r w:rsidRPr="00D97463">
        <w:t xml:space="preserve">, Judgment, Trial Chamber, Case No. IT-95-16-T, 14 January 2000, para. 576 (noting the tenuous link between the crimes against humanity committed by Baldur von Schirach and the other crimes within the IMT’s jurisdiction) (hereinafter </w:t>
      </w:r>
      <w:r w:rsidRPr="00D97463">
        <w:rPr>
          <w:i/>
          <w:iCs/>
        </w:rPr>
        <w:t>Kupreškić</w:t>
      </w:r>
      <w:r w:rsidRPr="00D97463">
        <w:rPr>
          <w:i/>
        </w:rPr>
        <w:t xml:space="preserve"> 2000</w:t>
      </w:r>
      <w:r w:rsidRPr="00D97463">
        <w:t>).</w:t>
      </w:r>
    </w:p>
  </w:footnote>
  <w:footnote w:id="9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1950</w:t>
      </w:r>
      <w:r w:rsidRPr="00D97463">
        <w:t>, vol. II,</w:t>
      </w:r>
      <w:r w:rsidRPr="00D97463">
        <w:rPr>
          <w:i/>
        </w:rPr>
        <w:t xml:space="preserve"> </w:t>
      </w:r>
      <w:r w:rsidRPr="00D97463">
        <w:t>p. 377 at para. 119.</w:t>
      </w:r>
    </w:p>
  </w:footnote>
  <w:footnote w:id="9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para. 123.</w:t>
      </w:r>
    </w:p>
  </w:footnote>
  <w:footnote w:id="10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para. 124.</w:t>
      </w:r>
    </w:p>
  </w:footnote>
  <w:footnote w:id="101">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on the non-applicability of statutory limitations to war crimes and crimes against humanity, done at New York on 26 November 1968, United Nations, </w:t>
      </w:r>
      <w:r w:rsidRPr="00D97463">
        <w:rPr>
          <w:i/>
        </w:rPr>
        <w:t>Treaty Series</w:t>
      </w:r>
      <w:r w:rsidRPr="00D97463">
        <w:t xml:space="preserve">, vol. 754, p. 73. As of August 2015, there are 55 States Parties to this Convention. For a regional convention of a similar nature, see European Convention on the Non-Applicability of Statutory Limitation to Crimes against Humanity and War Crimes, done at Strasbourg on 25 January 1974, Council of Europe, </w:t>
      </w:r>
      <w:r w:rsidRPr="00D97463">
        <w:rPr>
          <w:i/>
        </w:rPr>
        <w:t>Treaty Series</w:t>
      </w:r>
      <w:r w:rsidRPr="00D97463">
        <w:t>, No. 82. As of August 2015, there are eight States Parties to this Convention.</w:t>
      </w:r>
    </w:p>
  </w:footnote>
  <w:footnote w:id="10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Statute of the International Criminal Tribunal for the former Yugoslavia</w:t>
      </w:r>
      <w:r w:rsidRPr="00D97463">
        <w:t xml:space="preserve">, Security Council resolution 827 (1993) of 25 May 1993, document </w:t>
      </w:r>
      <w:hyperlink r:id="rId36" w:history="1">
        <w:r w:rsidRPr="00D97463">
          <w:rPr>
            <w:rStyle w:val="Hyperlink"/>
          </w:rPr>
          <w:t>S/RES/827</w:t>
        </w:r>
      </w:hyperlink>
      <w:r w:rsidRPr="00D97463">
        <w:t>, art. 5 (hereinafter “</w:t>
      </w:r>
      <w:r w:rsidRPr="00D97463">
        <w:rPr>
          <w:i/>
        </w:rPr>
        <w:t>Statute of the ICTY</w:t>
      </w:r>
      <w:r w:rsidRPr="00D97463">
        <w:t>”).</w:t>
      </w:r>
    </w:p>
  </w:footnote>
  <w:footnote w:id="10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Prosecutor v. Tadić</w:t>
      </w:r>
      <w:r w:rsidRPr="00D97463">
        <w:t xml:space="preserve">, </w:t>
      </w:r>
      <w:r w:rsidRPr="00D97463">
        <w:rPr>
          <w:i/>
          <w:iCs/>
        </w:rPr>
        <w:t>Decision on the Defence Motion for Interlocutory Appeal on Jurisdiction</w:t>
      </w:r>
      <w:r w:rsidRPr="00D97463">
        <w:t>, Appeals Chamber, Case No. IT-94-1-AR72, 2 October 1995, para. 140.</w:t>
      </w:r>
    </w:p>
  </w:footnote>
  <w:footnote w:id="10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105">
    <w:p w:rsidR="00A3158E" w:rsidRPr="00D97463" w:rsidRDefault="00A3158E" w:rsidP="00D97463">
      <w:pPr>
        <w:pStyle w:val="FootnoteText"/>
        <w:ind w:right="1260"/>
      </w:pPr>
      <w:r w:rsidRPr="00D97463">
        <w:tab/>
      </w:r>
      <w:r w:rsidRPr="00D97463">
        <w:rPr>
          <w:rStyle w:val="FootnoteReference"/>
        </w:rPr>
        <w:footnoteRef/>
      </w:r>
      <w:r w:rsidRPr="00D97463">
        <w:tab/>
        <w:t xml:space="preserve">See, e.g., </w:t>
      </w:r>
      <w:r w:rsidRPr="00D97463">
        <w:rPr>
          <w:i/>
          <w:iCs/>
        </w:rPr>
        <w:t>Prosecutor v. Kordić &amp; Čerkez</w:t>
      </w:r>
      <w:r w:rsidRPr="00D97463">
        <w:t>, Judgment, Trial Chamber,</w:t>
      </w:r>
      <w:r w:rsidRPr="00D97463">
        <w:rPr>
          <w:i/>
        </w:rPr>
        <w:t xml:space="preserve"> </w:t>
      </w:r>
      <w:r w:rsidRPr="00D97463">
        <w:t>Case No. IT-95-14/2-T, 26 February 2001, para. 33 (hereinafter “</w:t>
      </w:r>
      <w:r w:rsidRPr="00D97463">
        <w:rPr>
          <w:i/>
        </w:rPr>
        <w:t>Kordić 2001”</w:t>
      </w:r>
      <w:r w:rsidRPr="00D97463">
        <w:t xml:space="preserve">); </w:t>
      </w:r>
      <w:r w:rsidRPr="00D97463">
        <w:rPr>
          <w:i/>
          <w:iCs/>
        </w:rPr>
        <w:t>Prosecutor v. Tadić</w:t>
      </w:r>
      <w:r w:rsidRPr="00D97463">
        <w:t>, Judgment, Appeals Chamber,</w:t>
      </w:r>
      <w:r w:rsidRPr="00D97463">
        <w:rPr>
          <w:i/>
        </w:rPr>
        <w:t xml:space="preserve"> </w:t>
      </w:r>
      <w:r w:rsidRPr="00D97463">
        <w:t>Case No. IT-94-1-A, 15 July 1999, paras. 249-251) (hereinafter “</w:t>
      </w:r>
      <w:r w:rsidRPr="00D97463">
        <w:rPr>
          <w:i/>
        </w:rPr>
        <w:t>Tadi</w:t>
      </w:r>
      <w:r w:rsidRPr="00D97463">
        <w:rPr>
          <w:i/>
          <w:iCs/>
        </w:rPr>
        <w:t>ć</w:t>
      </w:r>
      <w:r w:rsidRPr="00D97463">
        <w:rPr>
          <w:i/>
        </w:rPr>
        <w:t xml:space="preserve"> 1999”</w:t>
      </w:r>
      <w:r w:rsidRPr="00D97463">
        <w:t xml:space="preserve">) (“[T]he armed conflict requirement is satisfied by proof that </w:t>
      </w:r>
      <w:r w:rsidRPr="00D97463">
        <w:rPr>
          <w:i/>
        </w:rPr>
        <w:t>there was</w:t>
      </w:r>
      <w:r w:rsidRPr="00D97463">
        <w:t xml:space="preserve"> an armed conflict; that is all that the Statute requires, and in so doing, it requires more than does customary international law.”).</w:t>
      </w:r>
    </w:p>
  </w:footnote>
  <w:footnote w:id="10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Statute of the International Criminal Tribunal for Rwanda</w:t>
      </w:r>
      <w:r w:rsidRPr="00D97463">
        <w:t xml:space="preserve">, Security Council resolution 955 (1994) of 8 November 1994, document </w:t>
      </w:r>
      <w:hyperlink r:id="rId37" w:history="1">
        <w:r w:rsidRPr="00D97463">
          <w:rPr>
            <w:rStyle w:val="Hyperlink"/>
          </w:rPr>
          <w:t>S/RES/955</w:t>
        </w:r>
      </w:hyperlink>
      <w:r w:rsidRPr="00D97463">
        <w:t>, annex, article 3 (hereinafter “</w:t>
      </w:r>
      <w:r w:rsidRPr="00D97463">
        <w:rPr>
          <w:i/>
        </w:rPr>
        <w:t>Statute of the ICTR</w:t>
      </w:r>
      <w:r w:rsidRPr="00D97463">
        <w:t xml:space="preserve">”); see </w:t>
      </w:r>
      <w:r w:rsidRPr="00D97463">
        <w:rPr>
          <w:i/>
        </w:rPr>
        <w:t xml:space="preserve">Semanza v. Prosecutor, </w:t>
      </w:r>
      <w:r w:rsidRPr="00D97463">
        <w:t>Judgment, Appeals Chamber,</w:t>
      </w:r>
      <w:r w:rsidRPr="00D97463">
        <w:rPr>
          <w:i/>
        </w:rPr>
        <w:t xml:space="preserve"> </w:t>
      </w:r>
      <w:r w:rsidRPr="00D97463">
        <w:t>Case No. ICTR-97-20-A, 20 May 2005, para. 269 (“... contrary to Article 5 of the ICTY Statute, Article 3 of the ICTR Statute does not require that the crimes be committed in the context of an armed conflict. This is an important distinction.”).</w:t>
      </w:r>
    </w:p>
  </w:footnote>
  <w:footnote w:id="107">
    <w:p w:rsidR="00A3158E" w:rsidRPr="00D97463" w:rsidRDefault="00A3158E" w:rsidP="00D97463">
      <w:pPr>
        <w:pStyle w:val="FootnoteText"/>
        <w:ind w:right="1260"/>
      </w:pPr>
      <w:r w:rsidRPr="00D97463">
        <w:tab/>
      </w:r>
      <w:r w:rsidRPr="00D97463">
        <w:rPr>
          <w:rStyle w:val="FootnoteReference"/>
        </w:rPr>
        <w:footnoteRef/>
      </w:r>
      <w:r w:rsidRPr="00D97463">
        <w:tab/>
        <w:t xml:space="preserve">Nürnberg Charter, </w:t>
      </w:r>
      <w:r w:rsidRPr="00D97463">
        <w:rPr>
          <w:i/>
          <w:iCs/>
        </w:rPr>
        <w:t>supra</w:t>
      </w:r>
      <w:r w:rsidRPr="00D97463">
        <w:t xml:space="preserve"> note </w:t>
      </w:r>
      <w:r w:rsidRPr="00D97463">
        <w:fldChar w:fldCharType="begin"/>
      </w:r>
      <w:r w:rsidRPr="00D97463">
        <w:instrText xml:space="preserve"> NOTEREF _Ref295829819 \h  \* MERGEFORMAT </w:instrText>
      </w:r>
      <w:r w:rsidRPr="00D97463">
        <w:fldChar w:fldCharType="separate"/>
      </w:r>
      <w:r w:rsidR="00EF153A">
        <w:t>85</w:t>
      </w:r>
      <w:r w:rsidRPr="00D97463">
        <w:fldChar w:fldCharType="end"/>
      </w:r>
      <w:r w:rsidRPr="00D97463">
        <w:t>, at article 6 (c).</w:t>
      </w:r>
    </w:p>
  </w:footnote>
  <w:footnote w:id="10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Yearbook … 1950</w:t>
      </w:r>
      <w:r w:rsidRPr="00D97463">
        <w:t>, vol. II, p. 377 at para. 119.</w:t>
      </w:r>
    </w:p>
  </w:footnote>
  <w:footnote w:id="10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Yearbook … 1954</w:t>
      </w:r>
      <w:r w:rsidRPr="00D97463">
        <w:t>, vol. II, p. 150 at para. 49 (art. 2 (11)).</w:t>
      </w:r>
    </w:p>
  </w:footnote>
  <w:footnote w:id="110">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Statute of the ICTY</w:t>
      </w:r>
      <w:r w:rsidRPr="00D97463">
        <w:t xml:space="preserve">, </w:t>
      </w:r>
      <w:r w:rsidRPr="00D97463">
        <w:rPr>
          <w:i/>
          <w:iCs/>
        </w:rPr>
        <w:t>supra</w:t>
      </w:r>
      <w:r w:rsidRPr="00D97463">
        <w:t xml:space="preserve"> note </w:t>
      </w:r>
      <w:r w:rsidRPr="00D97463">
        <w:fldChar w:fldCharType="begin"/>
      </w:r>
      <w:r w:rsidRPr="00D97463">
        <w:instrText xml:space="preserve"> NOTEREF _Ref295892362 \h  \* MERGEFORMAT </w:instrText>
      </w:r>
      <w:r w:rsidRPr="00D97463">
        <w:fldChar w:fldCharType="separate"/>
      </w:r>
      <w:r w:rsidR="00EF153A">
        <w:t>102</w:t>
      </w:r>
      <w:r w:rsidRPr="00D97463">
        <w:fldChar w:fldCharType="end"/>
      </w:r>
      <w:r w:rsidRPr="00D97463">
        <w:t>, at art. 5.</w:t>
      </w:r>
    </w:p>
  </w:footnote>
  <w:footnote w:id="111">
    <w:p w:rsidR="00A3158E" w:rsidRPr="00D97463" w:rsidRDefault="00A3158E" w:rsidP="00D97463">
      <w:pPr>
        <w:pStyle w:val="FootnoteText"/>
        <w:ind w:right="1260"/>
      </w:pPr>
      <w:r w:rsidRPr="00D97463">
        <w:tab/>
      </w:r>
      <w:r w:rsidRPr="00D97463">
        <w:rPr>
          <w:rStyle w:val="FootnoteReference"/>
        </w:rPr>
        <w:footnoteRef/>
      </w:r>
      <w:r w:rsidRPr="00D97463">
        <w:tab/>
        <w:t xml:space="preserve">Security Council, Report of the Secretary-General Pursuant to Paragraph 2 of Security Council Resolution 808 (1993), document </w:t>
      </w:r>
      <w:hyperlink r:id="rId38" w:history="1">
        <w:r w:rsidRPr="00D97463">
          <w:rPr>
            <w:rStyle w:val="Hyperlink"/>
          </w:rPr>
          <w:t>S/25704</w:t>
        </w:r>
      </w:hyperlink>
      <w:r w:rsidRPr="00D97463">
        <w:t>, p. 13 at para. 48.</w:t>
      </w:r>
    </w:p>
  </w:footnote>
  <w:footnote w:id="11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Statute of the ICTR</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_Ref295892756 \h  \* MERGEFORMAT </w:instrText>
      </w:r>
      <w:r w:rsidRPr="00D97463">
        <w:fldChar w:fldCharType="separate"/>
      </w:r>
      <w:r w:rsidR="00EF153A">
        <w:t>106</w:t>
      </w:r>
      <w:r w:rsidRPr="00D97463">
        <w:fldChar w:fldCharType="end"/>
      </w:r>
      <w:r w:rsidRPr="00D97463">
        <w:t>, Annex, article 3.</w:t>
      </w:r>
    </w:p>
  </w:footnote>
  <w:footnote w:id="11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1996</w:t>
      </w:r>
      <w:r w:rsidRPr="00D97463">
        <w:t xml:space="preserve">, vol. II (Part Two), p. 47 at article 18. </w:t>
      </w:r>
    </w:p>
  </w:footnote>
  <w:footnote w:id="114">
    <w:p w:rsidR="00A3158E" w:rsidRPr="00D97463" w:rsidRDefault="00A3158E" w:rsidP="00D97463">
      <w:pPr>
        <w:pStyle w:val="FootnoteText"/>
        <w:ind w:right="1260"/>
      </w:pPr>
      <w:r w:rsidRPr="00D97463">
        <w:tab/>
      </w:r>
      <w:r w:rsidRPr="00D97463">
        <w:rPr>
          <w:rStyle w:val="FootnoteReference"/>
        </w:rPr>
        <w:footnoteRef/>
      </w:r>
      <w:r w:rsidRPr="00D97463">
        <w:tab/>
        <w:t xml:space="preserve">See, e.g., Agreement Between the United Nations and the Government of Sierra Leone on the Establishment of a Special Court for Sierra Leone (with Statute), done at Freetown on 16 January 2002, United Nations, </w:t>
      </w:r>
      <w:r w:rsidRPr="00D97463">
        <w:rPr>
          <w:i/>
        </w:rPr>
        <w:t>Treaty Series</w:t>
      </w:r>
      <w:r w:rsidRPr="00D97463">
        <w:t>, vol. 2178, p. 137 at p. 145; “The Law on the Establishment of Extraordinary Chambers in the Courts of Cambodia for the Prosecution of Crimes Committed During the Period of Democratic Kampuchea,” art. 5, 27 October 2004, located at &lt;http://www.eccc.gov.kh/sites/default/files/legal-documents/KR_Law_as_amended_ 27_Oct_2004_Eng.pdf&gt; (last visited 22 June 2015).</w:t>
      </w:r>
    </w:p>
  </w:footnote>
  <w:footnote w:id="11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Cs/>
        </w:rPr>
        <w:t>Rome Statute</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_Ref295828966 \h  \* MERGEFORMAT </w:instrText>
      </w:r>
      <w:r w:rsidRPr="00D97463">
        <w:fldChar w:fldCharType="separate"/>
      </w:r>
      <w:r w:rsidR="00EF153A">
        <w:t>84</w:t>
      </w:r>
      <w:r w:rsidRPr="00D97463">
        <w:fldChar w:fldCharType="end"/>
      </w:r>
      <w:r w:rsidRPr="00D97463">
        <w:t>.</w:t>
      </w:r>
    </w:p>
  </w:footnote>
  <w:footnote w:id="11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p>
  </w:footnote>
  <w:footnote w:id="11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p>
  </w:footnote>
  <w:footnote w:id="11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11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w:t>
      </w:r>
      <w:r w:rsidRPr="00D97463">
        <w:rPr>
          <w:i/>
          <w:iCs/>
        </w:rPr>
        <w:t>ibid.</w:t>
      </w:r>
      <w:r w:rsidRPr="00D97463">
        <w:t>, art. 7, para. 1 (h).</w:t>
      </w:r>
    </w:p>
  </w:footnote>
  <w:footnote w:id="120">
    <w:p w:rsidR="00A3158E" w:rsidRPr="00D97463" w:rsidRDefault="00A3158E" w:rsidP="00D97463">
      <w:pPr>
        <w:pStyle w:val="FootnoteText"/>
        <w:ind w:right="1260"/>
      </w:pPr>
      <w:r w:rsidRPr="00D97463">
        <w:tab/>
      </w:r>
      <w:r w:rsidRPr="00D97463">
        <w:rPr>
          <w:rStyle w:val="FootnoteReference"/>
        </w:rPr>
        <w:footnoteRef/>
      </w:r>
      <w:r w:rsidRPr="00D97463">
        <w:tab/>
        <w:t xml:space="preserve">Unlike the English version, the French version of article 3 of the ICTR Statute used a conjunctive formulation (“généralisée et systématique”). In the </w:t>
      </w:r>
      <w:r w:rsidRPr="00D97463">
        <w:rPr>
          <w:i/>
        </w:rPr>
        <w:t>Akayesu</w:t>
      </w:r>
      <w:r w:rsidRPr="00D97463">
        <w:t xml:space="preserve"> case, the Trial Chamber indicated: “In the original French version of the Statute, these requirements were worded cumulatively ... , thereby significantly increasing the threshold for application of this provision. Since Customary International Law requires only that the attack be either widespread or systematic, there are sufficient reasons to assume that the French version suffers from an error in translation.” </w:t>
      </w:r>
      <w:r w:rsidRPr="00D97463">
        <w:rPr>
          <w:i/>
        </w:rPr>
        <w:t xml:space="preserve">Prosecutor v. Jean-Paul Akayesu, </w:t>
      </w:r>
      <w:r w:rsidRPr="00D97463">
        <w:t>Judgment, Trial Chamber I,</w:t>
      </w:r>
      <w:r w:rsidRPr="00D97463">
        <w:rPr>
          <w:i/>
        </w:rPr>
        <w:t xml:space="preserve"> </w:t>
      </w:r>
      <w:r w:rsidRPr="00D97463">
        <w:t>Case No. ICTR-96-4-T, 2 September 1998, para. 579, n. 144 (hereinafter “</w:t>
      </w:r>
      <w:r w:rsidRPr="00D97463">
        <w:rPr>
          <w:i/>
        </w:rPr>
        <w:t>Akayesu 1998</w:t>
      </w:r>
      <w:r w:rsidRPr="00D97463">
        <w:rPr>
          <w:iCs/>
        </w:rPr>
        <w:t>”</w:t>
      </w:r>
      <w:r w:rsidRPr="00D97463">
        <w:t>).</w:t>
      </w:r>
    </w:p>
  </w:footnote>
  <w:footnote w:id="12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Blaškić</w:t>
      </w:r>
      <w:r w:rsidRPr="00D97463">
        <w:t>, Judgment, Trial Chamber, Case No. IT-95-14-T, 3 March 2000, para. 202 (hereinafter “</w:t>
      </w:r>
      <w:r w:rsidRPr="00D97463">
        <w:rPr>
          <w:i/>
        </w:rPr>
        <w:t>Blaškić 2000</w:t>
      </w:r>
      <w:r w:rsidRPr="00D97463">
        <w:rPr>
          <w:iCs/>
        </w:rPr>
        <w:t>”</w:t>
      </w:r>
      <w:r w:rsidRPr="00D97463">
        <w:t xml:space="preserve">); </w:t>
      </w:r>
      <w:r w:rsidRPr="00D97463">
        <w:rPr>
          <w:i/>
        </w:rPr>
        <w:t>Prosecutor v. Tadić, Opinion and Judgment, Trial Chamber</w:t>
      </w:r>
      <w:r w:rsidRPr="00D97463">
        <w:rPr>
          <w:iCs/>
        </w:rPr>
        <w:t>, Case No. IT-94-1-T, 7 May 1997, para. 648 (hereinafter “</w:t>
      </w:r>
      <w:r w:rsidRPr="00D97463">
        <w:rPr>
          <w:i/>
        </w:rPr>
        <w:t>Tadić 1997</w:t>
      </w:r>
      <w:r w:rsidRPr="00D97463">
        <w:rPr>
          <w:iCs/>
        </w:rPr>
        <w:t>”</w:t>
      </w:r>
      <w:r w:rsidRPr="00D97463">
        <w:rPr>
          <w:i/>
        </w:rPr>
        <w:t>).</w:t>
      </w:r>
    </w:p>
  </w:footnote>
  <w:footnote w:id="122">
    <w:p w:rsidR="00A3158E" w:rsidRPr="00D97463" w:rsidRDefault="00A3158E" w:rsidP="00D97463">
      <w:pPr>
        <w:pStyle w:val="FootnoteText"/>
        <w:ind w:right="1260"/>
        <w:rPr>
          <w:i/>
        </w:rPr>
      </w:pPr>
      <w:r w:rsidRPr="00D97463">
        <w:tab/>
      </w:r>
      <w:r w:rsidRPr="00D97463">
        <w:rPr>
          <w:rStyle w:val="FootnoteReference"/>
        </w:rPr>
        <w:footnoteRef/>
      </w:r>
      <w:r w:rsidRPr="00D97463">
        <w:tab/>
        <w:t>See, e.g.,</w:t>
      </w:r>
      <w:r w:rsidRPr="00D97463">
        <w:rPr>
          <w:i/>
        </w:rPr>
        <w:t xml:space="preserve"> Prosecutor v. Mrkšić,</w:t>
      </w:r>
      <w:r w:rsidRPr="00D97463">
        <w:t xml:space="preserve"> Judgment, Trial Chamber II, Case No. IT-95-13/1-T, 27 September 2007, para. 437 (hereinafter “</w:t>
      </w:r>
      <w:r w:rsidRPr="00D97463">
        <w:rPr>
          <w:i/>
        </w:rPr>
        <w:t>Mrkšić 2007”</w:t>
      </w:r>
      <w:r w:rsidRPr="00D97463">
        <w:t xml:space="preserve">) (“[T]he attack must be widespread or systematic, the requirement being disjunctive rather than cumulative.”); </w:t>
      </w:r>
      <w:r w:rsidRPr="00D97463">
        <w:rPr>
          <w:i/>
        </w:rPr>
        <w:t>Prosecutor v. Kayishema</w:t>
      </w:r>
      <w:r w:rsidRPr="00D97463">
        <w:t>, Judgment, Trial Chamber,</w:t>
      </w:r>
      <w:r w:rsidRPr="00D97463">
        <w:rPr>
          <w:i/>
        </w:rPr>
        <w:t xml:space="preserve"> </w:t>
      </w:r>
      <w:r w:rsidRPr="00D97463">
        <w:t xml:space="preserve">Case No. ICTR-95-1-T, 21 May 1999, para. 123 (hereinafter </w:t>
      </w:r>
      <w:r w:rsidRPr="00D97463">
        <w:rPr>
          <w:i/>
        </w:rPr>
        <w:t>Kayishema 1999)</w:t>
      </w:r>
      <w:r w:rsidRPr="00D97463">
        <w:t xml:space="preserve"> (“The attack must contain one of the alternative conditions of being widespread or systematic.”);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xml:space="preserve">, at para. 579; </w:t>
      </w:r>
      <w:r w:rsidRPr="00D97463">
        <w:rPr>
          <w:i/>
        </w:rPr>
        <w:t>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648 (“[E]ither a finding of widespreadness ... or systematicity ... fulfills this requirement.”).</w:t>
      </w:r>
    </w:p>
  </w:footnote>
  <w:footnote w:id="123">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Yearbook … 1996</w:t>
      </w:r>
      <w:r w:rsidRPr="00D97463">
        <w:t>, vol. II (Part Two),</w:t>
      </w:r>
      <w:r w:rsidRPr="00D97463">
        <w:rPr>
          <w:i/>
        </w:rPr>
        <w:t xml:space="preserve"> </w:t>
      </w:r>
      <w:r w:rsidRPr="00D97463">
        <w:t xml:space="preserve">p. 47. See also </w:t>
      </w:r>
      <w:r w:rsidRPr="00D97463">
        <w:rPr>
          <w:i/>
        </w:rPr>
        <w:t>Official Records of the General Assembly, Fiftieth Session</w:t>
      </w:r>
      <w:r w:rsidRPr="00D97463">
        <w:t>, Supplement No. 22 (</w:t>
      </w:r>
      <w:hyperlink r:id="rId39" w:history="1">
        <w:r w:rsidRPr="00D97463">
          <w:rPr>
            <w:rStyle w:val="Hyperlink"/>
          </w:rPr>
          <w:t>A/50/22</w:t>
        </w:r>
      </w:hyperlink>
      <w:r w:rsidRPr="00D97463">
        <w:t xml:space="preserve">), para. 78 (Report of the Ad Hoc Committee on the Establishment of a Permanent International Criminal Court) (“[E]lements that should be reflected in the definition of crimes against humanity included ... [that] the crimes usually involved a widespread </w:t>
      </w:r>
      <w:r w:rsidRPr="00D97463">
        <w:rPr>
          <w:i/>
        </w:rPr>
        <w:t>or</w:t>
      </w:r>
      <w:r w:rsidRPr="00D97463">
        <w:t xml:space="preserve"> systematic attack”) (emphasis added); </w:t>
      </w:r>
      <w:r w:rsidRPr="00D97463">
        <w:rPr>
          <w:i/>
        </w:rPr>
        <w:t>Yearbook … 1995</w:t>
      </w:r>
      <w:r w:rsidRPr="00D97463">
        <w:t xml:space="preserve">, vol. II (Part Two), p. 25 at para. 90 (“the concepts of ‘systematic’ and ‘massive’ violations were complementary elements of the crimes concerned”); </w:t>
      </w:r>
      <w:r w:rsidRPr="00D97463">
        <w:rPr>
          <w:i/>
        </w:rPr>
        <w:t>Yearbook … 1994</w:t>
      </w:r>
      <w:r w:rsidRPr="00D97463">
        <w:t xml:space="preserve">, vol. II (Part Two), p. 40 (“the definition of crimes against humanity encompasses inhumane acts of a very serious character involving widespread </w:t>
      </w:r>
      <w:r w:rsidRPr="00D97463">
        <w:rPr>
          <w:i/>
        </w:rPr>
        <w:t>or</w:t>
      </w:r>
      <w:r w:rsidRPr="00D97463">
        <w:t xml:space="preserve"> systematic violations”); </w:t>
      </w:r>
      <w:r w:rsidRPr="00D97463">
        <w:rPr>
          <w:i/>
        </w:rPr>
        <w:t>Yearbook … 1991</w:t>
      </w:r>
      <w:r w:rsidRPr="00D97463">
        <w:t>, vol. II</w:t>
      </w:r>
      <w:r w:rsidRPr="00D97463">
        <w:rPr>
          <w:i/>
        </w:rPr>
        <w:t xml:space="preserve"> </w:t>
      </w:r>
      <w:r w:rsidRPr="00D97463">
        <w:t>(Part Two), p. 103 (“Either one of these aspects — systematic or mass scale — in any of the acts enumerated ... is enough for the offence to have taken place.”).</w:t>
      </w:r>
    </w:p>
  </w:footnote>
  <w:footnote w:id="124">
    <w:p w:rsidR="00A3158E" w:rsidRPr="00D97463" w:rsidRDefault="00A3158E" w:rsidP="00D97463">
      <w:pPr>
        <w:pStyle w:val="FootnoteText"/>
        <w:ind w:right="1260"/>
      </w:pPr>
      <w:r w:rsidRPr="00D97463">
        <w:tab/>
      </w:r>
      <w:r w:rsidRPr="00D97463">
        <w:rPr>
          <w:rStyle w:val="FootnoteReference"/>
        </w:rPr>
        <w:footnoteRef/>
      </w:r>
      <w:r w:rsidRPr="00D97463">
        <w:tab/>
        <w:t xml:space="preserve">See United Nations, Diplomatic Conference of Plenipotentiaries on the Establishment of an International Criminal Court, document </w:t>
      </w:r>
      <w:hyperlink r:id="rId40" w:history="1">
        <w:r w:rsidRPr="00D97463">
          <w:rPr>
            <w:rStyle w:val="Hyperlink"/>
          </w:rPr>
          <w:t>A/CONF/183/13 (Vol. II)</w:t>
        </w:r>
      </w:hyperlink>
      <w:r w:rsidRPr="00D97463">
        <w:t xml:space="preserve">, p. 148 (India); </w:t>
      </w:r>
      <w:r w:rsidRPr="00D97463">
        <w:rPr>
          <w:i/>
          <w:iCs/>
        </w:rPr>
        <w:t>ibid.</w:t>
      </w:r>
      <w:r w:rsidRPr="00D97463">
        <w:t xml:space="preserve">, p. 150 (United Kingdom of Great Britain and Northern Ireland, France); </w:t>
      </w:r>
      <w:r w:rsidRPr="00D97463">
        <w:rPr>
          <w:i/>
          <w:iCs/>
        </w:rPr>
        <w:t>ibid.</w:t>
      </w:r>
      <w:r w:rsidRPr="00D97463">
        <w:t xml:space="preserve">, p. 151 (Thailand, Egypt); </w:t>
      </w:r>
      <w:r w:rsidRPr="00D97463">
        <w:rPr>
          <w:i/>
          <w:iCs/>
        </w:rPr>
        <w:t>ibid.</w:t>
      </w:r>
      <w:r w:rsidRPr="00D97463">
        <w:t xml:space="preserve">, p. 152 (Islamic Republic of Iran); </w:t>
      </w:r>
      <w:r w:rsidRPr="00D97463">
        <w:rPr>
          <w:i/>
          <w:iCs/>
        </w:rPr>
        <w:t>ibid.</w:t>
      </w:r>
      <w:r w:rsidRPr="00D97463">
        <w:t xml:space="preserve">, p. 154 (Turkey); </w:t>
      </w:r>
      <w:r w:rsidRPr="00D97463">
        <w:rPr>
          <w:i/>
          <w:iCs/>
        </w:rPr>
        <w:t>ibid.</w:t>
      </w:r>
      <w:r w:rsidRPr="00D97463">
        <w:t xml:space="preserve">, p. 155 (Russian Federation); </w:t>
      </w:r>
      <w:r w:rsidRPr="00D97463">
        <w:rPr>
          <w:i/>
          <w:iCs/>
        </w:rPr>
        <w:t>ibid.</w:t>
      </w:r>
      <w:r w:rsidRPr="00D97463">
        <w:t>, p. 156 (Japan).</w:t>
      </w:r>
    </w:p>
  </w:footnote>
  <w:footnote w:id="125">
    <w:p w:rsidR="00A3158E" w:rsidRPr="00D97463" w:rsidRDefault="00A3158E" w:rsidP="00D97463">
      <w:pPr>
        <w:pStyle w:val="FootnoteText"/>
        <w:ind w:right="1260"/>
      </w:pPr>
      <w:r w:rsidRPr="00D97463">
        <w:tab/>
      </w:r>
      <w:r w:rsidRPr="00D97463">
        <w:rPr>
          <w:rStyle w:val="FootnoteReference"/>
        </w:rPr>
        <w:footnoteRef/>
      </w:r>
      <w:r w:rsidRPr="00D97463">
        <w:tab/>
        <w:t xml:space="preserve">Case law of the ICC has affirmed that the </w:t>
      </w:r>
      <w:r w:rsidRPr="00D97463">
        <w:rPr>
          <w:rFonts w:eastAsia="Batang"/>
        </w:rPr>
        <w:t>conditions of “widespread” and “systematic” in Rome Statute Article 7 are disjunctive</w:t>
      </w:r>
      <w:r w:rsidRPr="00D97463">
        <w:t xml:space="preserve">. See </w:t>
      </w:r>
      <w:r w:rsidRPr="00D97463">
        <w:rPr>
          <w:i/>
        </w:rPr>
        <w:t>Situation in the Republic of Kenya,</w:t>
      </w:r>
      <w:r w:rsidRPr="00D97463">
        <w:t xml:space="preserve"> Decision Pursuant to Article 15 of the Rome Statute on the Authorization of an Investigation into the Situation in the Republic of Kenya, Pre-Trial Chamber II,</w:t>
      </w:r>
      <w:r w:rsidRPr="00D97463">
        <w:rPr>
          <w:i/>
        </w:rPr>
        <w:t xml:space="preserve"> </w:t>
      </w:r>
      <w:r w:rsidRPr="00D97463">
        <w:t>ICC-01/09, 31 March 2010, para. 94 (hereinafter “</w:t>
      </w:r>
      <w:r w:rsidRPr="00D97463">
        <w:rPr>
          <w:i/>
        </w:rPr>
        <w:t>Kenya Authorization Decision 2010”</w:t>
      </w:r>
      <w:r w:rsidRPr="00D97463">
        <w:t xml:space="preserve">); see also </w:t>
      </w:r>
      <w:r w:rsidRPr="00D97463">
        <w:rPr>
          <w:i/>
        </w:rPr>
        <w:t>Prosecutor v. Jean-Pierre Bemba Gombo</w:t>
      </w:r>
      <w:r w:rsidRPr="00D97463">
        <w:t>, Decision Pursuant to Article 61(7)(a) and (b) of the Rome Statute on the Charges, Pre-Trial Chamber II</w:t>
      </w:r>
      <w:r w:rsidRPr="00D97463">
        <w:rPr>
          <w:i/>
        </w:rPr>
        <w:t xml:space="preserve">, </w:t>
      </w:r>
      <w:r w:rsidRPr="00D97463">
        <w:t>ICC-01/05-01/08, 15 June 2009, para. 82 (hereinafter “</w:t>
      </w:r>
      <w:r w:rsidRPr="00D97463">
        <w:rPr>
          <w:i/>
        </w:rPr>
        <w:t>Bemba 2009</w:t>
      </w:r>
      <w:r w:rsidRPr="00D97463">
        <w:rPr>
          <w:iCs/>
        </w:rPr>
        <w:t>”</w:t>
      </w:r>
      <w:r w:rsidRPr="00D97463">
        <w:t>).</w:t>
      </w:r>
    </w:p>
  </w:footnote>
  <w:footnote w:id="12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Kunarac</w:t>
      </w:r>
      <w:r w:rsidRPr="00D97463">
        <w:t>, Judgment, Trial Chamber,</w:t>
      </w:r>
      <w:r w:rsidRPr="00D97463">
        <w:rPr>
          <w:i/>
        </w:rPr>
        <w:t xml:space="preserve"> </w:t>
      </w:r>
      <w:r w:rsidRPr="00D97463">
        <w:t>Case No. IT-96-23-T, 22 February 2001, at para. 428 (hereinafter “</w:t>
      </w:r>
      <w:r w:rsidRPr="00D97463">
        <w:rPr>
          <w:i/>
        </w:rPr>
        <w:t>Kunarac 2001”</w:t>
      </w:r>
      <w:r w:rsidRPr="00D97463">
        <w:t xml:space="preserve">); see </w:t>
      </w:r>
      <w:r w:rsidRPr="00D97463">
        <w:rPr>
          <w:i/>
        </w:rPr>
        <w:t>Prosecutor v. Katanga</w:t>
      </w:r>
      <w:r w:rsidRPr="00D97463">
        <w:t>, Judgment, Trial Chamber II,</w:t>
      </w:r>
      <w:r w:rsidRPr="00D97463">
        <w:rPr>
          <w:i/>
        </w:rPr>
        <w:t xml:space="preserve"> </w:t>
      </w:r>
      <w:r w:rsidRPr="00D97463">
        <w:t xml:space="preserve">ICC-01/04-01/07, 7 March 2014, para. 1123 (hereinafter </w:t>
      </w:r>
      <w:r w:rsidRPr="00D97463">
        <w:rPr>
          <w:i/>
        </w:rPr>
        <w:t>Katanga 2014</w:t>
      </w:r>
      <w:r w:rsidRPr="00D97463">
        <w:t xml:space="preserve">); </w:t>
      </w:r>
      <w:r w:rsidRPr="00D97463">
        <w:rPr>
          <w:i/>
        </w:rPr>
        <w:t>Prosecutor v. Katanga</w:t>
      </w:r>
      <w:r w:rsidRPr="00D97463">
        <w:t>, Decision on the Confirmation of Charges, Pre-Trial Chamber I,</w:t>
      </w:r>
      <w:r w:rsidRPr="00D97463">
        <w:rPr>
          <w:i/>
        </w:rPr>
        <w:t xml:space="preserve"> </w:t>
      </w:r>
      <w:r w:rsidRPr="00D97463">
        <w:t>ICC-01/04-01/07, 26 September 2008, para. 394 (hereinafter “</w:t>
      </w:r>
      <w:r w:rsidRPr="00D97463">
        <w:rPr>
          <w:i/>
        </w:rPr>
        <w:t>Katanga 2008”)</w:t>
      </w:r>
      <w:r w:rsidRPr="00D97463">
        <w:t xml:space="preserve">; </w:t>
      </w:r>
      <w:r w:rsidRPr="00D97463">
        <w:rPr>
          <w:i/>
        </w:rPr>
        <w:t>Prosecutor v. Blagojević &amp; Jokić</w:t>
      </w:r>
      <w:r w:rsidRPr="00D97463">
        <w:t>, Judgment, Trial Chamber I,</w:t>
      </w:r>
      <w:r w:rsidRPr="00D97463">
        <w:rPr>
          <w:i/>
        </w:rPr>
        <w:t xml:space="preserve"> </w:t>
      </w:r>
      <w:r w:rsidRPr="00D97463">
        <w:t xml:space="preserve">Case No. IT-02-60-T, 17 January 2005, paras. 545-46; </w:t>
      </w:r>
      <w:r w:rsidRPr="00D97463">
        <w:rPr>
          <w:i/>
        </w:rPr>
        <w:t>Prosecutor v. Kordić &amp; Čerkez</w:t>
      </w:r>
      <w:r w:rsidRPr="00D97463">
        <w:t>, Judgment, Appeals Chamber, Case No. IT-95-14/2-A, 17 December 2004, para. 94 (hereinafter “</w:t>
      </w:r>
      <w:r w:rsidRPr="00D97463">
        <w:rPr>
          <w:i/>
        </w:rPr>
        <w:t>Kordić 2004</w:t>
      </w:r>
      <w:r w:rsidRPr="00D97463">
        <w:rPr>
          <w:iCs/>
        </w:rPr>
        <w:t>”</w:t>
      </w:r>
      <w:r w:rsidRPr="00D97463">
        <w:t>).</w:t>
      </w:r>
    </w:p>
  </w:footnote>
  <w:footnote w:id="12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Bemba 2009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83; </w:t>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123;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xml:space="preserve">, at para. 580; </w:t>
      </w:r>
      <w:r w:rsidRPr="00D97463">
        <w:rPr>
          <w:i/>
        </w:rPr>
        <w:t>Yearbook … 1996</w:t>
      </w:r>
      <w:r w:rsidRPr="00D97463">
        <w:t xml:space="preserve">, vol. II (Part Two), p. 47 at art. 18 (using the phrase “on a large scale” instead of widespread); see also </w:t>
      </w:r>
      <w:r w:rsidRPr="00D97463">
        <w:rPr>
          <w:i/>
        </w:rPr>
        <w:t>Mrkšić 2007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at para. 437 (“‘[W]idespread’ refers to the large scale nature of the attack and the number of victims.”).</w:t>
      </w:r>
      <w:r w:rsidRPr="00D97463">
        <w:rPr>
          <w:color w:val="000000"/>
        </w:rPr>
        <w:t xml:space="preserve"> </w:t>
      </w:r>
      <w:r w:rsidRPr="00D97463">
        <w:t xml:space="preserve">In </w:t>
      </w:r>
      <w:r w:rsidRPr="00D97463">
        <w:rPr>
          <w:i/>
        </w:rPr>
        <w:t>Prosecutor v. Ntaganda</w:t>
      </w:r>
      <w:r w:rsidRPr="00D97463">
        <w:t>, Decision Pursuant to Article 61(7)(a) and (b) of the Rome Statute on the Charges of the Prosecutor Against Bosco Ntaganda, Pre-Trial Chamber II,</w:t>
      </w:r>
      <w:r w:rsidRPr="00D97463">
        <w:rPr>
          <w:i/>
        </w:rPr>
        <w:t xml:space="preserve"> </w:t>
      </w:r>
      <w:r w:rsidRPr="00D97463">
        <w:t>ICC-01/04-02/06, 9 June 2014, para. 24 (hereinafter “</w:t>
      </w:r>
      <w:r w:rsidRPr="00D97463">
        <w:rPr>
          <w:i/>
        </w:rPr>
        <w:t>Ntaganda 2014”</w:t>
      </w:r>
      <w:r w:rsidRPr="00D97463">
        <w:t>), the Chamber found that the attack against the civilian population was widespread “as it resulted in a large number of civilian victims.”</w:t>
      </w:r>
    </w:p>
  </w:footnote>
  <w:footnote w:id="128">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rPr>
        <w:t>Prosecutor v. Ntaganda</w:t>
      </w:r>
      <w:r w:rsidRPr="00D97463">
        <w:t>, Decision on the Prosecutor’s Application under Article 58, Pre-Trial Chamber II,</w:t>
      </w:r>
      <w:r w:rsidRPr="00D97463">
        <w:rPr>
          <w:i/>
        </w:rPr>
        <w:t xml:space="preserve"> </w:t>
      </w:r>
      <w:r w:rsidRPr="00D97463">
        <w:t>ICC-01/04-02/06, 13 July 2012, para. 19 (hereinafter “</w:t>
      </w:r>
      <w:r w:rsidRPr="00D97463">
        <w:rPr>
          <w:i/>
        </w:rPr>
        <w:t>Ntaganda 2012”</w:t>
      </w:r>
      <w:r w:rsidRPr="00D97463">
        <w:t xml:space="preserve">); </w:t>
      </w:r>
      <w:r w:rsidRPr="00D97463">
        <w:rPr>
          <w:i/>
        </w:rPr>
        <w:t>Prosecutor v. Harun</w:t>
      </w:r>
      <w:r w:rsidRPr="00D97463">
        <w:t>, Decision on the Prosecution Application under Article 58(7) of the Statute, Pre-Trial Chamber I,</w:t>
      </w:r>
      <w:r w:rsidRPr="00D97463">
        <w:rPr>
          <w:i/>
        </w:rPr>
        <w:t xml:space="preserve"> </w:t>
      </w:r>
      <w:r w:rsidRPr="00D97463">
        <w:t xml:space="preserve">ICC-02/05-01/07, 27 April 2007, para. 62 (hereinafter </w:t>
      </w:r>
      <w:r w:rsidRPr="00D97463">
        <w:rPr>
          <w:i/>
        </w:rPr>
        <w:t>Harun 2007</w:t>
      </w:r>
      <w:r w:rsidRPr="00D97463">
        <w:t xml:space="preserve">); see also </w:t>
      </w:r>
      <w:r w:rsidRPr="00D97463">
        <w:rPr>
          <w:i/>
        </w:rPr>
        <w:t>Prosecutor v. Rutaganda</w:t>
      </w:r>
      <w:r w:rsidRPr="00D97463">
        <w:t>, Judgment, Trial Chamber I,</w:t>
      </w:r>
      <w:r w:rsidRPr="00D97463">
        <w:rPr>
          <w:i/>
        </w:rPr>
        <w:t xml:space="preserve"> </w:t>
      </w:r>
      <w:r w:rsidRPr="00D97463">
        <w:t>Case No. ICTR-96-3-T, 6 December 1999, paras. 67-69;</w:t>
      </w:r>
      <w:r w:rsidRPr="00D97463">
        <w:rPr>
          <w:i/>
        </w:rPr>
        <w:t xml:space="preserve"> Kayishema 1999</w:t>
      </w:r>
      <w:r w:rsidRPr="00D97463">
        <w:t>,</w:t>
      </w:r>
      <w:r w:rsidRPr="00D97463">
        <w:rPr>
          <w:i/>
        </w:rPr>
        <w:t xml:space="preserve"> </w:t>
      </w:r>
      <w:r w:rsidRPr="00D97463">
        <w:rPr>
          <w:i/>
          <w:iCs/>
        </w:rPr>
        <w:t>supra</w:t>
      </w:r>
      <w:r w:rsidRPr="00D97463">
        <w:t xml:space="preserve"> 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w:t>
      </w:r>
      <w:r w:rsidRPr="00D97463">
        <w:rPr>
          <w:i/>
        </w:rPr>
        <w:t xml:space="preserve"> </w:t>
      </w:r>
      <w:r w:rsidRPr="00D97463">
        <w:t xml:space="preserve">at paras. 122-123; </w:t>
      </w:r>
      <w:r w:rsidRPr="00D97463">
        <w:rPr>
          <w:i/>
        </w:rPr>
        <w:t>Yearbook … 1996</w:t>
      </w:r>
      <w:r w:rsidRPr="00D97463">
        <w:t xml:space="preserve">, vol. II (Part Two), p. 47; </w:t>
      </w:r>
      <w:r w:rsidRPr="00D97463">
        <w:rPr>
          <w:i/>
        </w:rPr>
        <w:t>Yearbook … 1991</w:t>
      </w:r>
      <w:r w:rsidRPr="00D97463">
        <w:t>, vol. II (Part Two), p. 103.</w:t>
      </w:r>
    </w:p>
  </w:footnote>
  <w:footnote w:id="129">
    <w:p w:rsidR="00A3158E" w:rsidRPr="00D97463" w:rsidRDefault="00A3158E" w:rsidP="00D97463">
      <w:pPr>
        <w:pStyle w:val="FootnoteText"/>
        <w:ind w:right="1260"/>
      </w:pPr>
      <w:r w:rsidRPr="00D97463">
        <w:tab/>
      </w:r>
      <w:r w:rsidRPr="00D97463">
        <w:rPr>
          <w:rStyle w:val="FootnoteReference"/>
        </w:rPr>
        <w:footnoteRef/>
      </w:r>
      <w:r w:rsidRPr="00D97463">
        <w:rPr>
          <w:lang w:val="es-ES"/>
        </w:rPr>
        <w:tab/>
      </w:r>
      <w:r w:rsidRPr="00D97463">
        <w:rPr>
          <w:i/>
          <w:lang w:val="es-ES"/>
        </w:rPr>
        <w:t>Kupreškić</w:t>
      </w:r>
      <w:r w:rsidRPr="00D97463">
        <w:rPr>
          <w:lang w:val="es-ES"/>
        </w:rPr>
        <w:t xml:space="preserve"> </w:t>
      </w:r>
      <w:r w:rsidRPr="00D97463">
        <w:rPr>
          <w:i/>
          <w:lang w:val="es-ES"/>
        </w:rPr>
        <w:t>2000</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_Ref295834131 \h  \* MERGEFORMAT </w:instrText>
      </w:r>
      <w:r w:rsidRPr="00D97463">
        <w:fldChar w:fldCharType="separate"/>
      </w:r>
      <w:r w:rsidR="00EF153A">
        <w:rPr>
          <w:lang w:val="es-ES"/>
        </w:rPr>
        <w:t>97</w:t>
      </w:r>
      <w:r w:rsidRPr="00D97463">
        <w:fldChar w:fldCharType="end"/>
      </w:r>
      <w:r w:rsidRPr="00D97463">
        <w:rPr>
          <w:lang w:val="es-ES"/>
        </w:rPr>
        <w:t xml:space="preserve">, at para. 550; </w:t>
      </w:r>
      <w:r w:rsidRPr="00D97463">
        <w:rPr>
          <w:i/>
          <w:lang w:val="es-ES"/>
        </w:rPr>
        <w:t>Tadić 1997</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_Ref295894839 \h  \* MERGEFORMAT </w:instrText>
      </w:r>
      <w:r w:rsidRPr="00D97463">
        <w:fldChar w:fldCharType="separate"/>
      </w:r>
      <w:r w:rsidR="00EF153A">
        <w:rPr>
          <w:lang w:val="es-ES"/>
        </w:rPr>
        <w:t>121</w:t>
      </w:r>
      <w:r w:rsidRPr="00D97463">
        <w:fldChar w:fldCharType="end"/>
      </w:r>
      <w:r w:rsidRPr="00D97463">
        <w:rPr>
          <w:lang w:val="es-ES"/>
        </w:rPr>
        <w:t xml:space="preserve">, at para. </w:t>
      </w:r>
      <w:r w:rsidRPr="00D97463">
        <w:t>649.</w:t>
      </w:r>
    </w:p>
  </w:footnote>
  <w:footnote w:id="130">
    <w:p w:rsidR="00A3158E" w:rsidRPr="00D97463" w:rsidRDefault="00A3158E" w:rsidP="00D97463">
      <w:pPr>
        <w:pStyle w:val="FootnoteText"/>
        <w:ind w:right="1260"/>
      </w:pPr>
      <w:r w:rsidRPr="00D97463">
        <w:tab/>
      </w:r>
      <w:r w:rsidRPr="00D97463">
        <w:rPr>
          <w:rStyle w:val="FootnoteReference"/>
        </w:rPr>
        <w:footnoteRef/>
      </w:r>
      <w:r w:rsidRPr="00D97463">
        <w:tab/>
        <w:t xml:space="preserve">See, e.g., </w:t>
      </w:r>
      <w:r w:rsidRPr="00D97463">
        <w:rPr>
          <w:i/>
        </w:rPr>
        <w:t>Ntaganda 2012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_Ref295902455 \h  \* MERGEFORMAT </w:instrText>
      </w:r>
      <w:r w:rsidRPr="00D97463">
        <w:fldChar w:fldCharType="separate"/>
      </w:r>
      <w:r w:rsidR="00EF153A">
        <w:t>128</w:t>
      </w:r>
      <w:r w:rsidRPr="00D97463">
        <w:fldChar w:fldCharType="end"/>
      </w:r>
      <w:r w:rsidRPr="00D97463">
        <w:t xml:space="preserve">, at para. 30; </w:t>
      </w:r>
      <w:r w:rsidRPr="00D97463">
        <w:rPr>
          <w:i/>
        </w:rPr>
        <w:t>Prosecutor v. Ruto</w:t>
      </w:r>
      <w:r w:rsidRPr="00D97463">
        <w:t>, Decision on the Confirmation of Charges Pursuant to Article 61 (7) (a) and (b) of the Rome Statute, Pre-Trial Chamber II,</w:t>
      </w:r>
      <w:r w:rsidRPr="00D97463">
        <w:rPr>
          <w:i/>
        </w:rPr>
        <w:t xml:space="preserve"> </w:t>
      </w:r>
      <w:r w:rsidRPr="00D97463">
        <w:t>ICC-01/09-01/11, 23 January 2012, para. 177 (hereinafter “</w:t>
      </w:r>
      <w:r w:rsidRPr="00D97463">
        <w:rPr>
          <w:i/>
        </w:rPr>
        <w:t>Ruto 2012</w:t>
      </w:r>
      <w:r w:rsidRPr="00D97463">
        <w:rPr>
          <w:iCs/>
        </w:rPr>
        <w:t>”</w:t>
      </w:r>
      <w:r w:rsidRPr="00D97463">
        <w:t>).</w:t>
      </w:r>
    </w:p>
  </w:footnote>
  <w:footnote w:id="13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Bemba 2009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paras. 117-24.</w:t>
      </w:r>
    </w:p>
  </w:footnote>
  <w:footnote w:id="13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Kordić 2004</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w:t>
      </w:r>
      <w:r w:rsidRPr="00D97463">
        <w:rPr>
          <w:i/>
        </w:rPr>
        <w:t xml:space="preserve"> </w:t>
      </w:r>
      <w:r w:rsidRPr="00D97463">
        <w:t xml:space="preserve">at para. 94; </w:t>
      </w:r>
      <w:r w:rsidRPr="00D97463">
        <w:rPr>
          <w:i/>
        </w:rPr>
        <w:t>Blaškić 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206.</w:t>
      </w:r>
    </w:p>
  </w:footnote>
  <w:footnote w:id="13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Kenya Authorization Decision 2010</w:t>
      </w:r>
      <w:r w:rsidRPr="00D97463">
        <w:t>,</w:t>
      </w:r>
      <w:r w:rsidRPr="00D97463">
        <w:rPr>
          <w:i/>
        </w:rPr>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paras. 95-96.</w:t>
      </w:r>
    </w:p>
  </w:footnote>
  <w:footnote w:id="134">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Yearbook … 1996</w:t>
      </w:r>
      <w:r w:rsidRPr="00D97463">
        <w:t>, vol. II (Part Two), p. 47; see also</w:t>
      </w:r>
      <w:r w:rsidRPr="00D97463">
        <w:rPr>
          <w:i/>
        </w:rPr>
        <w:t xml:space="preserve"> Bemba 2009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 83 (finding that widespread “entails an attack carried out over a large geographical area or an attack in a small geographical area directed against a large number of civilians”).</w:t>
      </w:r>
    </w:p>
  </w:footnote>
  <w:footnote w:id="135">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rPr>
        <w:t>Yearbook … 1996</w:t>
      </w:r>
      <w:r w:rsidRPr="00D97463">
        <w:t>, vol. II (Part Two), p. 47</w:t>
      </w:r>
      <w:r w:rsidRPr="00D97463">
        <w:rPr>
          <w:i/>
        </w:rPr>
        <w:t>; Yearbook … 1991</w:t>
      </w:r>
      <w:r w:rsidRPr="00D97463">
        <w:t>, vol. II (Part Two), p. 103.</w:t>
      </w:r>
    </w:p>
  </w:footnote>
  <w:footnote w:id="13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Mrkšić 2007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437; </w:t>
      </w:r>
      <w:r w:rsidRPr="00D97463">
        <w:rPr>
          <w:i/>
        </w:rPr>
        <w:t>Kunarac</w:t>
      </w:r>
      <w:r w:rsidRPr="00D97463">
        <w:t xml:space="preserve"> </w:t>
      </w:r>
      <w:r w:rsidRPr="00D97463">
        <w:rPr>
          <w:i/>
        </w:rPr>
        <w:t>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429.</w:t>
      </w:r>
    </w:p>
  </w:footnote>
  <w:footnote w:id="137">
    <w:p w:rsidR="00A3158E" w:rsidRPr="00D97463" w:rsidRDefault="00A3158E" w:rsidP="00D97463">
      <w:pPr>
        <w:pStyle w:val="FootnoteText"/>
        <w:ind w:right="1260"/>
      </w:pPr>
      <w:r w:rsidRPr="00D97463">
        <w:tab/>
      </w:r>
      <w:r w:rsidRPr="00D97463">
        <w:rPr>
          <w:rStyle w:val="FootnoteReference"/>
        </w:rPr>
        <w:footnoteRef/>
      </w:r>
      <w:r w:rsidRPr="00D97463">
        <w:tab/>
        <w:t>See, e.g.,</w:t>
      </w:r>
      <w:r w:rsidRPr="00D97463">
        <w:rPr>
          <w:i/>
        </w:rPr>
        <w:t xml:space="preserve"> Tadić 1997</w:t>
      </w:r>
      <w:r w:rsidRPr="00D97463">
        <w:t>,</w:t>
      </w:r>
      <w:r w:rsidRPr="00D97463">
        <w:rPr>
          <w:i/>
        </w:rPr>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648.</w:t>
      </w:r>
    </w:p>
  </w:footnote>
  <w:footnote w:id="138">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Prosecutor</w:t>
      </w:r>
      <w:r w:rsidRPr="00D97463">
        <w:t xml:space="preserve"> </w:t>
      </w:r>
      <w:r w:rsidRPr="00D97463">
        <w:rPr>
          <w:i/>
        </w:rPr>
        <w:t>v. Kunarac</w:t>
      </w:r>
      <w:r w:rsidRPr="00D97463">
        <w:t xml:space="preserve">, </w:t>
      </w:r>
      <w:r w:rsidRPr="00D97463">
        <w:rPr>
          <w:i/>
        </w:rPr>
        <w:t>Judgment</w:t>
      </w:r>
      <w:r w:rsidRPr="00D97463">
        <w:t xml:space="preserve">, </w:t>
      </w:r>
      <w:r w:rsidRPr="00D97463">
        <w:rPr>
          <w:i/>
        </w:rPr>
        <w:t>Appeals Chamber</w:t>
      </w:r>
      <w:r w:rsidRPr="00D97463">
        <w:t>,</w:t>
      </w:r>
      <w:r w:rsidRPr="00D97463">
        <w:rPr>
          <w:i/>
        </w:rPr>
        <w:t xml:space="preserve"> </w:t>
      </w:r>
      <w:r w:rsidRPr="00D97463">
        <w:t>Case No. IT-96-23/1-A, 12 June 2002, para. 94 (hereinafter “</w:t>
      </w:r>
      <w:r w:rsidRPr="00D97463">
        <w:rPr>
          <w:i/>
        </w:rPr>
        <w:t>Kunarac 2002</w:t>
      </w:r>
      <w:r w:rsidRPr="00D97463">
        <w:t>”).</w:t>
      </w:r>
    </w:p>
  </w:footnote>
  <w:footnote w:id="13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123;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at para. 580.</w:t>
      </w:r>
    </w:p>
  </w:footnote>
  <w:footnote w:id="140">
    <w:p w:rsidR="00A3158E" w:rsidRPr="00D97463" w:rsidRDefault="00A3158E" w:rsidP="00D97463">
      <w:pPr>
        <w:pStyle w:val="FootnoteText"/>
        <w:ind w:right="1260"/>
        <w:rPr>
          <w:lang w:val="es-ES"/>
        </w:rPr>
      </w:pPr>
      <w:r w:rsidRPr="00D97463">
        <w:tab/>
      </w:r>
      <w:r w:rsidRPr="00D97463">
        <w:rPr>
          <w:rStyle w:val="FootnoteReference"/>
        </w:rPr>
        <w:footnoteRef/>
      </w:r>
      <w:r w:rsidRPr="00D97463">
        <w:tab/>
      </w:r>
      <w:r w:rsidRPr="00D97463">
        <w:rPr>
          <w:i/>
        </w:rPr>
        <w:t>Harun 2007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_Ref295902455 \h  \* MERGEFORMAT </w:instrText>
      </w:r>
      <w:r w:rsidRPr="00D97463">
        <w:fldChar w:fldCharType="separate"/>
      </w:r>
      <w:r w:rsidR="00EF153A">
        <w:t>128</w:t>
      </w:r>
      <w:r w:rsidRPr="00D97463">
        <w:fldChar w:fldCharType="end"/>
      </w:r>
      <w:r w:rsidRPr="00D97463">
        <w:t xml:space="preserve">, at para. 62 (citing to </w:t>
      </w:r>
      <w:r w:rsidRPr="00D97463">
        <w:rPr>
          <w:i/>
        </w:rPr>
        <w:t>Kordić 2004</w:t>
      </w:r>
      <w:r w:rsidRPr="00D97463">
        <w:t xml:space="preserve">, </w:t>
      </w:r>
      <w:r w:rsidRPr="00D97463">
        <w:rPr>
          <w:i/>
          <w:iCs/>
        </w:rPr>
        <w:t>supra</w:t>
      </w:r>
      <w:r w:rsidRPr="00D97463">
        <w:t xml:space="preserve"> note </w:t>
      </w:r>
      <w:r w:rsidRPr="00D97463">
        <w:fldChar w:fldCharType="begin"/>
      </w:r>
      <w:r w:rsidRPr="00D97463">
        <w:instrText xml:space="preserve"> NOTEREF _Ref295902455 \h  \* MERGEFORMAT </w:instrText>
      </w:r>
      <w:r w:rsidRPr="00D97463">
        <w:fldChar w:fldCharType="separate"/>
      </w:r>
      <w:r w:rsidR="00EF153A">
        <w:t>128</w:t>
      </w:r>
      <w:r w:rsidRPr="00D97463">
        <w:fldChar w:fldCharType="end"/>
      </w:r>
      <w:r w:rsidRPr="00D97463">
        <w:t>26,</w:t>
      </w:r>
      <w:r w:rsidRPr="00D97463">
        <w:rPr>
          <w:i/>
        </w:rPr>
        <w:t xml:space="preserve"> </w:t>
      </w:r>
      <w:r w:rsidRPr="00D97463">
        <w:t xml:space="preserve">at para. 94, which in turn cites to </w:t>
      </w:r>
      <w:r w:rsidRPr="00D97463">
        <w:rPr>
          <w:i/>
        </w:rPr>
        <w:t>Kunarac</w:t>
      </w:r>
      <w:r w:rsidRPr="00D97463">
        <w:t xml:space="preserve"> </w:t>
      </w:r>
      <w:r w:rsidRPr="00D97463">
        <w:rPr>
          <w:i/>
        </w:rPr>
        <w:t>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429); see also </w:t>
      </w:r>
      <w:r w:rsidRPr="00D97463">
        <w:rPr>
          <w:i/>
        </w:rPr>
        <w:t>Ruto 2012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_Ref295904108 \h  \* MERGEFORMAT </w:instrText>
      </w:r>
      <w:r w:rsidRPr="00D97463">
        <w:fldChar w:fldCharType="separate"/>
      </w:r>
      <w:r w:rsidR="00EF153A">
        <w:t>130</w:t>
      </w:r>
      <w:r w:rsidRPr="00D97463">
        <w:fldChar w:fldCharType="end"/>
      </w:r>
      <w:r w:rsidRPr="00D97463">
        <w:t xml:space="preserve">, at para. 179; </w:t>
      </w:r>
      <w:r w:rsidRPr="00D97463">
        <w:rPr>
          <w:i/>
        </w:rPr>
        <w:t>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w:t>
      </w:r>
      <w:r w:rsidRPr="00D97463">
        <w:rPr>
          <w:lang w:val="es-ES"/>
        </w:rPr>
        <w:t xml:space="preserve">96; </w:t>
      </w:r>
      <w:r w:rsidRPr="00D97463">
        <w:rPr>
          <w:i/>
          <w:lang w:val="es-ES"/>
        </w:rPr>
        <w:t>Katanga 2008</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394.</w:t>
      </w:r>
    </w:p>
  </w:footnote>
  <w:footnote w:id="141">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 2008</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397.</w:t>
      </w:r>
    </w:p>
  </w:footnote>
  <w:footnote w:id="142">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Ntaganda 2012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_Ref295902455 \h  \* MERGEFORMAT </w:instrText>
      </w:r>
      <w:r w:rsidRPr="00D97463">
        <w:fldChar w:fldCharType="separate"/>
      </w:r>
      <w:r w:rsidR="00EF153A">
        <w:rPr>
          <w:lang w:val="es-ES"/>
        </w:rPr>
        <w:t>128</w:t>
      </w:r>
      <w:r w:rsidRPr="00D97463">
        <w:fldChar w:fldCharType="end"/>
      </w:r>
      <w:r w:rsidRPr="00D97463">
        <w:rPr>
          <w:lang w:val="es-ES"/>
        </w:rPr>
        <w:t xml:space="preserve">, at para. 31; see also </w:t>
      </w:r>
      <w:r w:rsidRPr="00D97463">
        <w:rPr>
          <w:i/>
          <w:lang w:val="es-ES"/>
        </w:rPr>
        <w:t>Ruto 2012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_Ref295904108 \h  \* MERGEFORMAT </w:instrText>
      </w:r>
      <w:r w:rsidRPr="00D97463">
        <w:fldChar w:fldCharType="separate"/>
      </w:r>
      <w:r w:rsidR="00EF153A">
        <w:rPr>
          <w:lang w:val="es-ES"/>
        </w:rPr>
        <w:t>130</w:t>
      </w:r>
      <w:r w:rsidRPr="00D97463">
        <w:fldChar w:fldCharType="end"/>
      </w:r>
      <w:r w:rsidRPr="00D97463">
        <w:rPr>
          <w:lang w:val="es-ES"/>
        </w:rPr>
        <w:t>, at para. 179.</w:t>
      </w:r>
    </w:p>
  </w:footnote>
  <w:footnote w:id="143">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ab/>
      </w:r>
      <w:r w:rsidRPr="00D97463">
        <w:rPr>
          <w:i/>
          <w:lang w:val="es-ES"/>
        </w:rPr>
        <w:t>Ntaganda 2014</w:t>
      </w:r>
      <w:r w:rsidRPr="00D97463">
        <w:rPr>
          <w:lang w:val="es-ES"/>
        </w:rPr>
        <w:t xml:space="preserve">, </w:t>
      </w:r>
      <w:r w:rsidRPr="00D97463">
        <w:rPr>
          <w:i/>
          <w:iCs/>
          <w:lang w:val="es-ES"/>
        </w:rPr>
        <w:t>supra</w:t>
      </w:r>
      <w:r w:rsidRPr="00D97463">
        <w:rPr>
          <w:lang w:val="es-ES"/>
        </w:rPr>
        <w:t xml:space="preserve"> note </w:t>
      </w:r>
      <w:r w:rsidRPr="00D97463">
        <w:fldChar w:fldCharType="begin"/>
      </w:r>
      <w:r w:rsidRPr="00D97463">
        <w:rPr>
          <w:lang w:val="es-ES"/>
        </w:rPr>
        <w:instrText xml:space="preserve"> NOTEREF _Ref339979171 \h  \* MERGEFORMAT </w:instrText>
      </w:r>
      <w:r w:rsidRPr="00D97463">
        <w:fldChar w:fldCharType="separate"/>
      </w:r>
      <w:r w:rsidR="00EF153A">
        <w:rPr>
          <w:lang w:val="es-ES"/>
        </w:rPr>
        <w:t>127</w:t>
      </w:r>
      <w:r w:rsidRPr="00D97463">
        <w:fldChar w:fldCharType="end"/>
      </w:r>
      <w:r w:rsidRPr="00D97463">
        <w:rPr>
          <w:lang w:val="es-ES"/>
        </w:rPr>
        <w:t xml:space="preserve">, para. </w:t>
      </w:r>
      <w:r w:rsidRPr="00D97463">
        <w:t>24.</w:t>
      </w:r>
    </w:p>
  </w:footnote>
  <w:footnote w:id="14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Gbagbo</w:t>
      </w:r>
      <w:r w:rsidRPr="00D97463">
        <w:t>, Decision on the Confirmation of Charges against Laurent Gbagbo, Pre-Trial Chamber II, ICC-02/11-01/11, 12 June 2014, para. 225 (hereinafter “</w:t>
      </w:r>
      <w:r w:rsidRPr="00D97463">
        <w:rPr>
          <w:i/>
        </w:rPr>
        <w:t>Gbagbo 2014</w:t>
      </w:r>
      <w:r w:rsidRPr="00D97463">
        <w:rPr>
          <w:iCs/>
        </w:rPr>
        <w:t>”</w:t>
      </w:r>
      <w:r w:rsidRPr="00D97463">
        <w:t xml:space="preserve">). </w:t>
      </w:r>
    </w:p>
  </w:footnote>
  <w:footnote w:id="145">
    <w:p w:rsidR="00A3158E" w:rsidRPr="00D97463" w:rsidRDefault="00A3158E" w:rsidP="00D97463">
      <w:pPr>
        <w:pStyle w:val="FootnoteText"/>
        <w:ind w:right="1260"/>
      </w:pPr>
      <w:r w:rsidRPr="00D97463">
        <w:tab/>
      </w:r>
      <w:r w:rsidRPr="00D97463">
        <w:rPr>
          <w:rStyle w:val="FootnoteReference"/>
        </w:rPr>
        <w:footnoteRef/>
      </w:r>
      <w:r w:rsidRPr="00D97463">
        <w:tab/>
        <w:t xml:space="preserve">Rome Statute,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_Ref295828966 \h  \* MERGEFORMAT </w:instrText>
      </w:r>
      <w:r w:rsidRPr="00D97463">
        <w:fldChar w:fldCharType="separate"/>
      </w:r>
      <w:r w:rsidR="00EF153A">
        <w:t>84</w:t>
      </w:r>
      <w:r w:rsidRPr="00D97463">
        <w:fldChar w:fldCharType="end"/>
      </w:r>
      <w:r w:rsidRPr="00D97463">
        <w:t xml:space="preserve">; see also International Criminal Court, </w:t>
      </w:r>
      <w:r w:rsidRPr="00D97463">
        <w:rPr>
          <w:i/>
        </w:rPr>
        <w:t>Elements of Crimes</w:t>
      </w:r>
      <w:r w:rsidRPr="00D97463">
        <w:t xml:space="preserve">, document </w:t>
      </w:r>
      <w:hyperlink r:id="rId41" w:history="1">
        <w:r w:rsidRPr="00D97463">
          <w:rPr>
            <w:rStyle w:val="Hyperlink"/>
          </w:rPr>
          <w:t>PCNICC/2000/1/Add.2</w:t>
        </w:r>
      </w:hyperlink>
      <w:r w:rsidRPr="00D97463">
        <w:t xml:space="preserve">, p. 5 (hereinafter ICC, </w:t>
      </w:r>
      <w:r w:rsidRPr="00D97463">
        <w:rPr>
          <w:i/>
        </w:rPr>
        <w:t>Elements of Crimes</w:t>
      </w:r>
      <w:r w:rsidRPr="00D97463">
        <w:t>).</w:t>
      </w:r>
    </w:p>
  </w:footnote>
  <w:footnote w:id="146">
    <w:p w:rsidR="00A3158E" w:rsidRPr="00D97463" w:rsidRDefault="00A3158E" w:rsidP="00D97463">
      <w:pPr>
        <w:pStyle w:val="FootnoteText"/>
        <w:ind w:right="1260"/>
      </w:pPr>
      <w:r w:rsidRPr="00D97463">
        <w:tab/>
      </w:r>
      <w:r w:rsidRPr="00D97463">
        <w:rPr>
          <w:rStyle w:val="FootnoteReference"/>
        </w:rPr>
        <w:footnoteRef/>
      </w:r>
      <w:r w:rsidRPr="00D97463">
        <w:tab/>
        <w:t xml:space="preserve">See, e.g., </w:t>
      </w:r>
      <w:r w:rsidRPr="00D97463">
        <w:rPr>
          <w:i/>
        </w:rPr>
        <w:t>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421 (“The expression ‘directed against’ specifies that in the context of a crime against humanity the civilian population is the primary object of the attack.”).</w:t>
      </w:r>
    </w:p>
  </w:footnote>
  <w:footnote w:id="147">
    <w:p w:rsidR="00A3158E" w:rsidRPr="00D97463" w:rsidRDefault="00A3158E" w:rsidP="00D97463">
      <w:pPr>
        <w:pStyle w:val="FootnoteText"/>
        <w:ind w:right="1260"/>
        <w:rPr>
          <w:lang w:val="es-ES"/>
        </w:rPr>
      </w:pPr>
      <w:r w:rsidRPr="00D97463">
        <w:tab/>
      </w:r>
      <w:r w:rsidRPr="00D97463">
        <w:rPr>
          <w:rStyle w:val="FootnoteReference"/>
        </w:rPr>
        <w:footnoteRef/>
      </w:r>
      <w:r w:rsidRPr="00D97463">
        <w:tab/>
      </w:r>
      <w:r w:rsidRPr="00D97463">
        <w:rPr>
          <w:i/>
        </w:rPr>
        <w:t>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w:t>
      </w:r>
      <w:r w:rsidRPr="00D97463">
        <w:rPr>
          <w:lang w:val="es-ES"/>
        </w:rPr>
        <w:t xml:space="preserve">82; </w:t>
      </w:r>
      <w:r w:rsidRPr="00D97463">
        <w:rPr>
          <w:i/>
          <w:lang w:val="es-ES"/>
        </w:rPr>
        <w:t>Bemba 2009</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_Ref295898872 \h  \* MERGEFORMAT </w:instrText>
      </w:r>
      <w:r w:rsidRPr="00D97463">
        <w:fldChar w:fldCharType="separate"/>
      </w:r>
      <w:r w:rsidR="00EF153A">
        <w:rPr>
          <w:lang w:val="es-ES"/>
        </w:rPr>
        <w:t>125</w:t>
      </w:r>
      <w:r w:rsidRPr="00D97463">
        <w:fldChar w:fldCharType="end"/>
      </w:r>
      <w:r w:rsidRPr="00D97463">
        <w:rPr>
          <w:lang w:val="es-ES"/>
        </w:rPr>
        <w:t>, at para. 76.</w:t>
      </w:r>
    </w:p>
  </w:footnote>
  <w:footnote w:id="148">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 2014</w:t>
      </w:r>
      <w:r w:rsidRPr="00D97463">
        <w:rPr>
          <w:lang w:val="es-ES"/>
        </w:rPr>
        <w:t xml:space="preserve">, </w:t>
      </w:r>
      <w:r w:rsidRPr="00D97463">
        <w:rPr>
          <w:i/>
          <w:iCs/>
          <w:lang w:val="es-ES"/>
        </w:rPr>
        <w:t>supra</w:t>
      </w:r>
      <w:r w:rsidRPr="00D97463">
        <w:rPr>
          <w:lang w:val="es-ES"/>
        </w:rPr>
        <w:t xml:space="preserve"> 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xml:space="preserve">, para. 1104. </w:t>
      </w:r>
    </w:p>
  </w:footnote>
  <w:footnote w:id="149">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Bemba 2009</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_Ref295898872 \h  \* MERGEFORMAT </w:instrText>
      </w:r>
      <w:r w:rsidRPr="00D97463">
        <w:fldChar w:fldCharType="separate"/>
      </w:r>
      <w:r w:rsidR="00EF153A">
        <w:rPr>
          <w:lang w:val="es-ES"/>
        </w:rPr>
        <w:t>125</w:t>
      </w:r>
      <w:r w:rsidRPr="00D97463">
        <w:fldChar w:fldCharType="end"/>
      </w:r>
      <w:r w:rsidRPr="00D97463">
        <w:rPr>
          <w:lang w:val="es-ES"/>
        </w:rPr>
        <w:t xml:space="preserve">, at para. 94; see also </w:t>
      </w:r>
      <w:r w:rsidRPr="00D97463">
        <w:rPr>
          <w:i/>
          <w:lang w:val="es-ES"/>
        </w:rPr>
        <w:t>Ntaganda 2012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_Ref295902455 \h  \* MERGEFORMAT </w:instrText>
      </w:r>
      <w:r w:rsidRPr="00D97463">
        <w:fldChar w:fldCharType="separate"/>
      </w:r>
      <w:r w:rsidR="00EF153A">
        <w:rPr>
          <w:lang w:val="es-ES"/>
        </w:rPr>
        <w:t>128</w:t>
      </w:r>
      <w:r w:rsidRPr="00D97463">
        <w:fldChar w:fldCharType="end"/>
      </w:r>
      <w:r w:rsidRPr="00D97463">
        <w:rPr>
          <w:lang w:val="es-ES"/>
        </w:rPr>
        <w:t xml:space="preserve">, at paras. 20-21. </w:t>
      </w:r>
    </w:p>
  </w:footnote>
  <w:footnote w:id="150">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Bemba</w:t>
      </w:r>
      <w:r w:rsidRPr="00D97463">
        <w:rPr>
          <w:lang w:val="es-ES"/>
        </w:rPr>
        <w:t xml:space="preserve"> </w:t>
      </w:r>
      <w:r w:rsidRPr="00D97463">
        <w:rPr>
          <w:i/>
          <w:iCs/>
          <w:lang w:val="es-ES"/>
        </w:rPr>
        <w:t>2009</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_Ref295898872 \h  \* MERGEFORMAT </w:instrText>
      </w:r>
      <w:r w:rsidRPr="00D97463">
        <w:fldChar w:fldCharType="separate"/>
      </w:r>
      <w:r w:rsidR="00EF153A">
        <w:rPr>
          <w:lang w:val="es-ES"/>
        </w:rPr>
        <w:t>125</w:t>
      </w:r>
      <w:r w:rsidRPr="00D97463">
        <w:fldChar w:fldCharType="end"/>
      </w:r>
      <w:r w:rsidRPr="00D97463">
        <w:rPr>
          <w:lang w:val="es-ES"/>
        </w:rPr>
        <w:t>, at para. 94</w:t>
      </w:r>
      <w:r w:rsidRPr="00D97463">
        <w:rPr>
          <w:i/>
          <w:lang w:val="es-ES"/>
        </w:rPr>
        <w:t>.</w:t>
      </w:r>
    </w:p>
  </w:footnote>
  <w:footnote w:id="151">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 paras. 95-98.</w:t>
      </w:r>
    </w:p>
  </w:footnote>
  <w:footnote w:id="152">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ab/>
        <w:t xml:space="preserve">See, e.g., </w:t>
      </w:r>
      <w:r w:rsidRPr="00D97463">
        <w:rPr>
          <w:i/>
          <w:lang w:val="es-ES"/>
        </w:rPr>
        <w:t>Blaškić 2000</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_Ref295894839 \h  \* MERGEFORMAT </w:instrText>
      </w:r>
      <w:r w:rsidRPr="00D97463">
        <w:fldChar w:fldCharType="separate"/>
      </w:r>
      <w:r w:rsidR="00EF153A">
        <w:rPr>
          <w:lang w:val="es-ES"/>
        </w:rPr>
        <w:t>121</w:t>
      </w:r>
      <w:r w:rsidRPr="00D97463">
        <w:fldChar w:fldCharType="end"/>
      </w:r>
      <w:r w:rsidRPr="00D97463">
        <w:rPr>
          <w:lang w:val="es-ES"/>
        </w:rPr>
        <w:t xml:space="preserve">, at para. </w:t>
      </w:r>
      <w:r w:rsidRPr="00D97463">
        <w:t>208, n. 401.</w:t>
      </w:r>
    </w:p>
  </w:footnote>
  <w:footnote w:id="15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Kunarac</w:t>
      </w:r>
      <w:r w:rsidRPr="00D97463">
        <w:t xml:space="preserve"> </w:t>
      </w:r>
      <w:r w:rsidRPr="00D97463">
        <w:rPr>
          <w:i/>
        </w:rPr>
        <w:t>2002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_Ref422733118 \h  \* MERGEFORMAT </w:instrText>
      </w:r>
      <w:r w:rsidRPr="00D97463">
        <w:fldChar w:fldCharType="separate"/>
      </w:r>
      <w:r w:rsidR="00EF153A">
        <w:t>138</w:t>
      </w:r>
      <w:r w:rsidRPr="00D97463">
        <w:fldChar w:fldCharType="end"/>
      </w:r>
      <w:r w:rsidRPr="00D97463">
        <w:t>, at para. 103.</w:t>
      </w:r>
    </w:p>
  </w:footnote>
  <w:footnote w:id="154">
    <w:p w:rsidR="00A3158E" w:rsidRPr="00D97463" w:rsidRDefault="00A3158E" w:rsidP="00D97463">
      <w:pPr>
        <w:pStyle w:val="FootnoteText"/>
        <w:ind w:right="1260"/>
        <w:rPr>
          <w:lang w:val="es-ES"/>
        </w:rPr>
      </w:pPr>
      <w:r w:rsidRPr="00D97463">
        <w:tab/>
      </w:r>
      <w:r w:rsidRPr="00D97463">
        <w:rPr>
          <w:rStyle w:val="FootnoteReference"/>
        </w:rPr>
        <w:footnoteRef/>
      </w:r>
      <w:r w:rsidRPr="00D97463">
        <w:tab/>
        <w:t xml:space="preserve">See, e.g., </w:t>
      </w:r>
      <w:r w:rsidRPr="00D97463">
        <w:rPr>
          <w:i/>
        </w:rPr>
        <w:t>Mrkšić 2007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442; </w:t>
      </w:r>
      <w:r w:rsidRPr="00D97463">
        <w:rPr>
          <w:i/>
        </w:rPr>
        <w:t>Kupreškić</w:t>
      </w:r>
      <w:r w:rsidRPr="00D97463">
        <w:t xml:space="preserve"> </w:t>
      </w:r>
      <w:r w:rsidRPr="00D97463">
        <w:rPr>
          <w:i/>
        </w:rPr>
        <w:t>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_Ref295834131 \h  \* MERGEFORMAT </w:instrText>
      </w:r>
      <w:r w:rsidRPr="00D97463">
        <w:fldChar w:fldCharType="separate"/>
      </w:r>
      <w:r w:rsidR="00EF153A">
        <w:t>97</w:t>
      </w:r>
      <w:r w:rsidRPr="00D97463">
        <w:fldChar w:fldCharType="end"/>
      </w:r>
      <w:r w:rsidRPr="00D97463">
        <w:t xml:space="preserve">, at para. 547 (“[A] wide definition of ‘civilian’ and ‘population’ is intended. This is warranted first of all by the object and purpose of the general principles and rules of humanitarian law, in particular by the rules prohibiting crimes against humanity.”); </w:t>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w:t>
      </w:r>
      <w:r w:rsidRPr="00D97463">
        <w:rPr>
          <w:lang w:val="es-ES"/>
        </w:rPr>
        <w:t xml:space="preserve">127; </w:t>
      </w:r>
      <w:r w:rsidRPr="00D97463">
        <w:rPr>
          <w:i/>
          <w:lang w:val="es-ES"/>
        </w:rPr>
        <w:t>Tadić 1997</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_Ref295894839 \h  \* MERGEFORMAT </w:instrText>
      </w:r>
      <w:r w:rsidRPr="00D97463">
        <w:fldChar w:fldCharType="separate"/>
      </w:r>
      <w:r w:rsidR="00EF153A">
        <w:rPr>
          <w:lang w:val="es-ES"/>
        </w:rPr>
        <w:t>121</w:t>
      </w:r>
      <w:r w:rsidRPr="00D97463">
        <w:fldChar w:fldCharType="end"/>
      </w:r>
      <w:r w:rsidRPr="00D97463">
        <w:rPr>
          <w:lang w:val="es-ES"/>
        </w:rPr>
        <w:t>, at para. 643.</w:t>
      </w:r>
    </w:p>
  </w:footnote>
  <w:footnote w:id="155">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ab/>
      </w:r>
      <w:r w:rsidRPr="00D97463">
        <w:rPr>
          <w:i/>
          <w:lang w:val="es-ES"/>
        </w:rPr>
        <w:t>Katanga 2008</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xml:space="preserve">, at para. </w:t>
      </w:r>
      <w:r w:rsidRPr="00D97463">
        <w:t xml:space="preserve">399 (quoting </w:t>
      </w:r>
      <w:r w:rsidRPr="00D97463">
        <w:rPr>
          <w:i/>
        </w:rPr>
        <w:t>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635);</w:t>
      </w:r>
      <w:r w:rsidRPr="00D97463">
        <w:rPr>
          <w:color w:val="000000"/>
        </w:rPr>
        <w:t xml:space="preserve"> s</w:t>
      </w:r>
      <w:r w:rsidRPr="00D97463">
        <w:t xml:space="preserve">ee also </w:t>
      </w:r>
      <w:r w:rsidRPr="00D97463">
        <w:rPr>
          <w:i/>
        </w:rPr>
        <w:t>Katanga 2014</w:t>
      </w:r>
      <w:r w:rsidRPr="00D97463">
        <w:t xml:space="preserve">, </w:t>
      </w:r>
      <w:r w:rsidRPr="00D97463">
        <w:rPr>
          <w:i/>
          <w:iCs/>
        </w:rPr>
        <w:t>supra</w:t>
      </w:r>
      <w:r w:rsidRPr="00D97463">
        <w:t xml:space="preserve"> 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1103.</w:t>
      </w:r>
    </w:p>
  </w:footnote>
  <w:footnote w:id="156">
    <w:p w:rsidR="00A3158E" w:rsidRPr="00D97463" w:rsidRDefault="00A3158E" w:rsidP="00D97463">
      <w:pPr>
        <w:pStyle w:val="FootnoteText"/>
        <w:ind w:right="1260"/>
      </w:pPr>
      <w:r w:rsidRPr="00D97463">
        <w:tab/>
      </w:r>
      <w:r w:rsidRPr="00D97463">
        <w:rPr>
          <w:rStyle w:val="FootnoteReference"/>
        </w:rPr>
        <w:footnoteRef/>
      </w:r>
      <w:r w:rsidRPr="00D97463">
        <w:tab/>
        <w:t>See, e.g.,</w:t>
      </w:r>
      <w:r w:rsidRPr="00D97463">
        <w:rPr>
          <w:i/>
        </w:rPr>
        <w:t xml:space="preserve"> 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423.</w:t>
      </w:r>
    </w:p>
  </w:footnote>
  <w:footnote w:id="157">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Ruto 2012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_Ref295904108 \h  \* MERGEFORMAT </w:instrText>
      </w:r>
      <w:r w:rsidRPr="00D97463">
        <w:fldChar w:fldCharType="separate"/>
      </w:r>
      <w:r w:rsidR="00EF153A">
        <w:t>130</w:t>
      </w:r>
      <w:r w:rsidRPr="00D97463">
        <w:fldChar w:fldCharType="end"/>
      </w:r>
      <w:r w:rsidRPr="00D97463">
        <w:t>, at para. 164.</w:t>
      </w:r>
    </w:p>
  </w:footnote>
  <w:footnote w:id="158">
    <w:p w:rsidR="00A3158E" w:rsidRPr="00D97463" w:rsidRDefault="00A3158E" w:rsidP="00D97463">
      <w:pPr>
        <w:pStyle w:val="FootnoteText"/>
        <w:ind w:right="1260"/>
      </w:pPr>
      <w:r w:rsidRPr="00D97463">
        <w:tab/>
      </w:r>
      <w:r w:rsidRPr="00D97463">
        <w:rPr>
          <w:rStyle w:val="FootnoteReference"/>
        </w:rPr>
        <w:footnoteRef/>
      </w:r>
      <w:r w:rsidRPr="00D97463">
        <w:tab/>
        <w:t xml:space="preserve">See, e.g., </w:t>
      </w:r>
      <w:r w:rsidRPr="00D97463">
        <w:rPr>
          <w:i/>
        </w:rPr>
        <w:t>Katanga 2014</w:t>
      </w:r>
      <w:r w:rsidRPr="00D97463">
        <w:t xml:space="preserve">, </w:t>
      </w:r>
      <w:r w:rsidRPr="00D97463">
        <w:rPr>
          <w:i/>
          <w:iCs/>
        </w:rPr>
        <w:t>supra</w:t>
      </w:r>
      <w:r w:rsidRPr="00D97463">
        <w:t xml:space="preserve"> 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1105 (holding that the population targeted “must be primarily composed of civilians” and that the “presence of non-civilians in its midst has therefore no effect on its status of civilian population”); </w:t>
      </w:r>
      <w:r w:rsidRPr="00D97463">
        <w:rPr>
          <w:i/>
        </w:rPr>
        <w:t>Mrkšić 2007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442; </w:t>
      </w:r>
      <w:r w:rsidRPr="00D97463">
        <w:rPr>
          <w:i/>
        </w:rPr>
        <w:t>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425 (“the presence of certain non-civilians in its midst does not change the character of the population”); </w:t>
      </w:r>
      <w:r w:rsidRPr="00D97463">
        <w:rPr>
          <w:i/>
        </w:rPr>
        <w:t>Kordić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_Ref387105579 \h  \* MERGEFORMAT </w:instrText>
      </w:r>
      <w:r w:rsidRPr="00D97463">
        <w:fldChar w:fldCharType="separate"/>
      </w:r>
      <w:r w:rsidR="00EF153A">
        <w:t>105</w:t>
      </w:r>
      <w:r w:rsidRPr="00D97463">
        <w:fldChar w:fldCharType="end"/>
      </w:r>
      <w:r w:rsidRPr="00D97463">
        <w:t xml:space="preserve">, at para. 180; </w:t>
      </w:r>
      <w:r w:rsidRPr="00D97463">
        <w:rPr>
          <w:i/>
        </w:rPr>
        <w:t>Blaškić 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xml:space="preserve">, at para. 214 (“the presence of soldiers within an intentionally targeted civilian population does not alter the civilian nature of that population”); </w:t>
      </w:r>
      <w:r w:rsidRPr="00D97463">
        <w:rPr>
          <w:i/>
        </w:rPr>
        <w:t>Kupreškić 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_Ref295834131 \h  \* MERGEFORMAT </w:instrText>
      </w:r>
      <w:r w:rsidRPr="00D97463">
        <w:fldChar w:fldCharType="separate"/>
      </w:r>
      <w:r w:rsidR="00EF153A">
        <w:t>97</w:t>
      </w:r>
      <w:r w:rsidRPr="00D97463">
        <w:fldChar w:fldCharType="end"/>
      </w:r>
      <w:r w:rsidRPr="00D97463">
        <w:t xml:space="preserve">, at para. 549 (“the presence of those actively involved in the conflict should not prevent the characterization of a population as civilian”); </w:t>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128;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xml:space="preserve">, at para. 582 (“Where there are certain individuals within the civilian population who do not come within the definition of civilians, this does not deprive the population of its civilian character.”); </w:t>
      </w:r>
      <w:r w:rsidRPr="00D97463">
        <w:rPr>
          <w:i/>
        </w:rPr>
        <w:t>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638.</w:t>
      </w:r>
    </w:p>
  </w:footnote>
  <w:footnote w:id="159">
    <w:p w:rsidR="00A3158E" w:rsidRPr="00D97463" w:rsidRDefault="00A3158E" w:rsidP="00D97463">
      <w:pPr>
        <w:pStyle w:val="FootnoteText"/>
        <w:ind w:right="1260"/>
      </w:pPr>
      <w:r w:rsidRPr="00D97463">
        <w:tab/>
      </w:r>
      <w:r w:rsidRPr="00D97463">
        <w:rPr>
          <w:rStyle w:val="FootnoteReference"/>
        </w:rPr>
        <w:footnoteRef/>
      </w:r>
      <w:r w:rsidRPr="00D97463">
        <w:tab/>
        <w:t xml:space="preserve">Protocol Additional to the Geneva Conventions of 12 August 1949, and Relating to the Protection of Victims of International Armed Conflicts (Protocol I), art. 50(3), done at Geneva on 8 June 1977, United Nations, </w:t>
      </w:r>
      <w:r w:rsidRPr="00D97463">
        <w:rPr>
          <w:i/>
        </w:rPr>
        <w:t>Treaty Series</w:t>
      </w:r>
      <w:r w:rsidRPr="00D97463">
        <w:t>, vol. 1125, p. 3.</w:t>
      </w:r>
    </w:p>
  </w:footnote>
  <w:footnote w:id="16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127 (referring to “all persons </w:t>
      </w:r>
      <w:r w:rsidRPr="00D97463">
        <w:rPr>
          <w:i/>
        </w:rPr>
        <w:t>except</w:t>
      </w:r>
      <w:r w:rsidRPr="00D97463">
        <w:t xml:space="preserve"> those who have the duty to maintain public order and have the legitimate means to exercise force. Non-civilians would include, for example, members of the FAR, the RPF, the police and the Gendarmerie Nationale”).</w:t>
      </w:r>
    </w:p>
  </w:footnote>
  <w:footnote w:id="16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Blaškić 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xml:space="preserve">, at para. 214 (“[T]he specific situation of the victim at the moment the crimes were committed, rather than his status, must be taken into account in determining his standing as a civilian.”); see also </w:t>
      </w:r>
      <w:r w:rsidRPr="00D97463">
        <w:rPr>
          <w:i/>
        </w:rPr>
        <w:t>Kordić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_Ref387105579 \h  \* MERGEFORMAT </w:instrText>
      </w:r>
      <w:r w:rsidRPr="00D97463">
        <w:fldChar w:fldCharType="separate"/>
      </w:r>
      <w:r w:rsidR="00EF153A">
        <w:t>105</w:t>
      </w:r>
      <w:r w:rsidRPr="00D97463">
        <w:fldChar w:fldCharType="end"/>
      </w:r>
      <w:r w:rsidRPr="00D97463">
        <w:t xml:space="preserve">, at para. 180 (“[I]ndividuals who at one time performed acts of resistance may in certain circumstances be victims of a crime against humanity.”);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xml:space="preserve">, at para. 582 (finding that civilian population includes “members of the armed forces who laid down their arms and those persons placed </w:t>
      </w:r>
      <w:r w:rsidRPr="00D97463">
        <w:rPr>
          <w:i/>
        </w:rPr>
        <w:t>hors de combat</w:t>
      </w:r>
      <w:r w:rsidRPr="00D97463">
        <w:t>”).</w:t>
      </w:r>
    </w:p>
  </w:footnote>
  <w:footnote w:id="16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426.</w:t>
      </w:r>
    </w:p>
  </w:footnote>
  <w:footnote w:id="163">
    <w:p w:rsidR="00A3158E" w:rsidRPr="00D97463" w:rsidRDefault="00A3158E" w:rsidP="00D97463">
      <w:pPr>
        <w:pStyle w:val="FootnoteText"/>
        <w:ind w:right="1260"/>
      </w:pPr>
      <w:r w:rsidRPr="00D97463">
        <w:tab/>
      </w:r>
      <w:r w:rsidRPr="00D97463">
        <w:rPr>
          <w:rStyle w:val="FootnoteReference"/>
        </w:rPr>
        <w:footnoteRef/>
      </w:r>
      <w:r w:rsidRPr="00D97463">
        <w:tab/>
        <w:t>See</w:t>
      </w:r>
      <w:r w:rsidRPr="00D97463">
        <w:rPr>
          <w:i/>
        </w:rPr>
        <w:t xml:space="preserve"> 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w:t>
      </w:r>
      <w:r w:rsidRPr="00D97463">
        <w:rPr>
          <w:lang w:val="es-ES"/>
        </w:rPr>
        <w:t>82;</w:t>
      </w:r>
      <w:r w:rsidRPr="00D97463">
        <w:rPr>
          <w:i/>
          <w:lang w:val="es-ES"/>
        </w:rPr>
        <w:t xml:space="preserve"> Bemba 2009</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_Ref295898872 \h  \* MERGEFORMAT </w:instrText>
      </w:r>
      <w:r w:rsidRPr="00D97463">
        <w:fldChar w:fldCharType="separate"/>
      </w:r>
      <w:r w:rsidR="00EF153A">
        <w:rPr>
          <w:lang w:val="es-ES"/>
        </w:rPr>
        <w:t>125</w:t>
      </w:r>
      <w:r w:rsidRPr="00D97463">
        <w:fldChar w:fldCharType="end"/>
      </w:r>
      <w:r w:rsidRPr="00D97463">
        <w:rPr>
          <w:lang w:val="es-ES"/>
        </w:rPr>
        <w:t>, at para. 77;</w:t>
      </w:r>
      <w:r w:rsidRPr="00D97463">
        <w:rPr>
          <w:i/>
          <w:lang w:val="es-ES"/>
        </w:rPr>
        <w:t xml:space="preserve"> Kunarac 2001</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xml:space="preserve">, at para. </w:t>
      </w:r>
      <w:r w:rsidRPr="00D97463">
        <w:t>424;</w:t>
      </w:r>
      <w:r w:rsidRPr="00D97463">
        <w:rPr>
          <w:i/>
        </w:rPr>
        <w:t xml:space="preserve"> 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xml:space="preserve">, at para. 644; see also </w:t>
      </w:r>
      <w:r w:rsidRPr="00D97463">
        <w:rPr>
          <w:i/>
        </w:rPr>
        <w:t>Yearbook … 1994</w:t>
      </w:r>
      <w:r w:rsidRPr="00D97463">
        <w:t xml:space="preserve">, vol. II (Part Two), p. 40 (defining crimes against humanity as “inhumane acts of a very serious character involving widespread or systematic violations aimed at the civilian population </w:t>
      </w:r>
      <w:r w:rsidRPr="00D97463">
        <w:rPr>
          <w:i/>
        </w:rPr>
        <w:t>in whole or in part</w:t>
      </w:r>
      <w:r w:rsidRPr="00D97463">
        <w:t>”) (emphasis added).</w:t>
      </w:r>
    </w:p>
  </w:footnote>
  <w:footnote w:id="164">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rPr>
        <w:t>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644.</w:t>
      </w:r>
    </w:p>
  </w:footnote>
  <w:footnote w:id="16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Gotovina</w:t>
      </w:r>
      <w:r w:rsidRPr="00D97463">
        <w:t>, Judgment, Trial Chamber I,</w:t>
      </w:r>
      <w:r w:rsidRPr="00D97463">
        <w:rPr>
          <w:i/>
        </w:rPr>
        <w:t xml:space="preserve"> </w:t>
      </w:r>
      <w:r w:rsidRPr="00D97463">
        <w:t>Case No. IT-06-90-T, 15 April 2011, para. 1704.</w:t>
      </w:r>
    </w:p>
  </w:footnote>
  <w:footnote w:id="16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81; </w:t>
      </w:r>
      <w:r w:rsidRPr="00D97463">
        <w:rPr>
          <w:i/>
        </w:rPr>
        <w:t>Bemba 2009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 77.</w:t>
      </w:r>
    </w:p>
  </w:footnote>
  <w:footnote w:id="167">
    <w:p w:rsidR="00A3158E" w:rsidRPr="00D97463" w:rsidRDefault="00A3158E" w:rsidP="00D97463">
      <w:pPr>
        <w:pStyle w:val="FootnoteText"/>
        <w:ind w:right="1260"/>
      </w:pPr>
      <w:r w:rsidRPr="00D97463">
        <w:tab/>
      </w:r>
      <w:r w:rsidRPr="00D97463">
        <w:rPr>
          <w:rStyle w:val="FootnoteReference"/>
        </w:rPr>
        <w:footnoteRef/>
      </w:r>
      <w:r w:rsidRPr="00D97463">
        <w:tab/>
        <w:t>See, e.g.,</w:t>
      </w:r>
      <w:r w:rsidRPr="00D97463">
        <w:rPr>
          <w:i/>
        </w:rPr>
        <w:t xml:space="preserve"> 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415 (defining attack as “a course of conduct involving the commission of acts of violence”); </w:t>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122 (defining attack as the “event in which the enumerated crimes must form part”);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at para. 581 (“The concept of attack may be defined as a unlawful act of the kind enumerated [in the Statute]. An attack may also be non violent in nature, like imposing a system of apartheid ... or exerting pressure on the population to act in a particular manner ...”).</w:t>
      </w:r>
    </w:p>
  </w:footnote>
  <w:footnote w:id="168">
    <w:p w:rsidR="00A3158E" w:rsidRPr="00D97463" w:rsidRDefault="00A3158E" w:rsidP="00D97463">
      <w:pPr>
        <w:pStyle w:val="FootnoteText"/>
        <w:ind w:right="1260"/>
      </w:pPr>
      <w:r w:rsidRPr="00D97463">
        <w:tab/>
      </w:r>
      <w:r w:rsidRPr="00D97463">
        <w:rPr>
          <w:rStyle w:val="FootnoteReference"/>
        </w:rPr>
        <w:footnoteRef/>
      </w:r>
      <w:r w:rsidRPr="00D97463">
        <w:tab/>
        <w:t xml:space="preserve">See ICC, </w:t>
      </w:r>
      <w:r w:rsidRPr="00D97463">
        <w:rPr>
          <w:i/>
        </w:rPr>
        <w:t>Elements of Crimes</w:t>
      </w:r>
      <w:r w:rsidRPr="00D97463">
        <w:t xml:space="preserve">, </w:t>
      </w:r>
      <w:r w:rsidRPr="00D97463">
        <w:rPr>
          <w:i/>
          <w:iCs/>
        </w:rPr>
        <w:t>supra</w:t>
      </w:r>
      <w:r w:rsidRPr="00D97463">
        <w:t xml:space="preserve"> note </w:t>
      </w:r>
      <w:r w:rsidRPr="00D97463">
        <w:fldChar w:fldCharType="begin"/>
      </w:r>
      <w:r w:rsidRPr="00D97463">
        <w:instrText xml:space="preserve"> NOTEREF _Ref295905192 \h  \* MERGEFORMAT </w:instrText>
      </w:r>
      <w:r w:rsidRPr="00D97463">
        <w:fldChar w:fldCharType="separate"/>
      </w:r>
      <w:r w:rsidR="00EF153A">
        <w:t>145</w:t>
      </w:r>
      <w:r w:rsidRPr="00D97463">
        <w:fldChar w:fldCharType="end"/>
      </w:r>
      <w:r w:rsidRPr="00D97463">
        <w:t>, at p. 5.</w:t>
      </w:r>
    </w:p>
  </w:footnote>
  <w:footnote w:id="169">
    <w:p w:rsidR="00A3158E" w:rsidRPr="00D97463" w:rsidRDefault="00A3158E" w:rsidP="00D97463">
      <w:pPr>
        <w:pStyle w:val="FootnoteText"/>
        <w:ind w:right="1260"/>
      </w:pPr>
      <w:r w:rsidRPr="00D97463">
        <w:tab/>
      </w:r>
      <w:r w:rsidRPr="00D97463">
        <w:rPr>
          <w:rStyle w:val="FootnoteReference"/>
        </w:rPr>
        <w:footnoteRef/>
      </w:r>
      <w:r w:rsidRPr="00D97463">
        <w:rPr>
          <w:lang w:val="es-ES"/>
        </w:rPr>
        <w:tab/>
      </w:r>
      <w:r w:rsidRPr="00D97463">
        <w:rPr>
          <w:i/>
          <w:lang w:val="es-ES"/>
        </w:rPr>
        <w:t>Katanga 2014</w:t>
      </w:r>
      <w:r w:rsidRPr="00D97463">
        <w:rPr>
          <w:lang w:val="es-ES"/>
        </w:rPr>
        <w:t xml:space="preserve">, </w:t>
      </w:r>
      <w:r w:rsidRPr="00D97463">
        <w:rPr>
          <w:i/>
          <w:iCs/>
          <w:lang w:val="es-ES"/>
        </w:rPr>
        <w:t>supra</w:t>
      </w:r>
      <w:r w:rsidRPr="00D97463">
        <w:rPr>
          <w:lang w:val="es-ES"/>
        </w:rPr>
        <w:t xml:space="preserve"> 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xml:space="preserve">, at para. </w:t>
      </w:r>
      <w:r w:rsidRPr="00D97463">
        <w:t>1101.</w:t>
      </w:r>
    </w:p>
  </w:footnote>
  <w:footnote w:id="170">
    <w:p w:rsidR="00A3158E" w:rsidRPr="00D97463" w:rsidRDefault="00A3158E" w:rsidP="00D97463">
      <w:pPr>
        <w:pStyle w:val="FootnoteText"/>
        <w:ind w:right="1260"/>
      </w:pPr>
      <w:r w:rsidRPr="00D97463">
        <w:tab/>
      </w:r>
      <w:r w:rsidRPr="00D97463">
        <w:rPr>
          <w:rStyle w:val="FootnoteReference"/>
        </w:rPr>
        <w:footnoteRef/>
      </w:r>
      <w:r w:rsidRPr="00D97463">
        <w:tab/>
        <w:t xml:space="preserve">Article 6 (c) of the Nürnberg Charter contains no explicit reference to a plan or policy. The Nürnberg Judgment, however, did use a “policy” descriptor when discussing article 6 (c) in the context of the concept of the “attack” as a whole. See </w:t>
      </w:r>
      <w:r w:rsidRPr="00D97463">
        <w:rPr>
          <w:i/>
        </w:rPr>
        <w:t>Judgment of 30 September 1946</w:t>
      </w:r>
      <w:r w:rsidRPr="00D97463">
        <w:t xml:space="preserve">, </w:t>
      </w:r>
      <w:r w:rsidRPr="00D97463">
        <w:rPr>
          <w:i/>
          <w:iCs/>
        </w:rPr>
        <w:t>supra</w:t>
      </w:r>
      <w:r w:rsidRPr="00D97463">
        <w:t xml:space="preserve"> note </w:t>
      </w:r>
      <w:r w:rsidRPr="00D97463">
        <w:fldChar w:fldCharType="begin"/>
      </w:r>
      <w:r w:rsidRPr="00D97463">
        <w:instrText xml:space="preserve"> NOTEREF _Ref422813423 \h  \* MERGEFORMAT </w:instrText>
      </w:r>
      <w:r w:rsidRPr="00D97463">
        <w:fldChar w:fldCharType="separate"/>
      </w:r>
      <w:r w:rsidR="00EF153A">
        <w:t>86</w:t>
      </w:r>
      <w:r w:rsidRPr="00D97463">
        <w:fldChar w:fldCharType="end"/>
      </w:r>
      <w:r w:rsidRPr="00D97463">
        <w:t xml:space="preserve">, at p. 493 (“The policy of terror was certainly carried out on a vast scale, and in many cases was organized and systematic. The policy of persecution, repression and murder of civilians in Germany before the war of 1939, who were likely to be hostile to the Government, was most ruthlessly carried out.”) </w:t>
      </w:r>
      <w:r w:rsidRPr="00D97463">
        <w:rPr>
          <w:rFonts w:eastAsia="Batang"/>
        </w:rPr>
        <w:t>Article II (1) (c) of Control Council Law No. 10 also contains no reference to a plan or policy in its definition of crimes against humanity.</w:t>
      </w:r>
    </w:p>
  </w:footnote>
  <w:footnote w:id="171">
    <w:p w:rsidR="00A3158E" w:rsidRPr="00D97463" w:rsidRDefault="00A3158E" w:rsidP="00D97463">
      <w:pPr>
        <w:pStyle w:val="FootnoteText"/>
        <w:ind w:right="1260"/>
      </w:pPr>
      <w:r w:rsidRPr="00D97463">
        <w:tab/>
      </w:r>
      <w:r w:rsidRPr="00D97463">
        <w:rPr>
          <w:rStyle w:val="FootnoteReference"/>
        </w:rPr>
        <w:footnoteRef/>
      </w:r>
      <w:r w:rsidRPr="00D97463">
        <w:tab/>
        <w:t xml:space="preserve">The ICTY Appeals Chamber determined that there was no policy element on crimes against humanity in customary international law, see </w:t>
      </w:r>
      <w:r w:rsidRPr="00D97463">
        <w:rPr>
          <w:i/>
        </w:rPr>
        <w:t>Kunarac</w:t>
      </w:r>
      <w:r w:rsidRPr="00D97463">
        <w:t xml:space="preserve"> </w:t>
      </w:r>
      <w:r w:rsidRPr="00D97463">
        <w:rPr>
          <w:i/>
        </w:rPr>
        <w:t>2002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_Ref422733118 \h  \* MERGEFORMAT </w:instrText>
      </w:r>
      <w:r w:rsidRPr="00D97463">
        <w:fldChar w:fldCharType="separate"/>
      </w:r>
      <w:r w:rsidR="00EF153A">
        <w:t>138</w:t>
      </w:r>
      <w:r w:rsidRPr="00D97463">
        <w:fldChar w:fldCharType="end"/>
      </w:r>
      <w:r w:rsidRPr="00D97463">
        <w:t>, at para. 98 (</w:t>
      </w:r>
      <w:r w:rsidRPr="00D97463">
        <w:rPr>
          <w:rFonts w:eastAsia="Batang"/>
        </w:rPr>
        <w:t xml:space="preserve">“There was nothing in the Statute or in customary </w:t>
      </w:r>
      <w:r w:rsidRPr="00D97463">
        <w:t>international</w:t>
      </w:r>
      <w:r w:rsidRPr="00D97463">
        <w:rPr>
          <w:rFonts w:eastAsia="Batang"/>
        </w:rPr>
        <w:t xml:space="preserve"> law at the time of the alleged acts which required proof of the existence of a plan or policy to commit these crimes.”</w:t>
      </w:r>
      <w:r w:rsidRPr="00D97463">
        <w:t>), although that position has been criticized in writings.</w:t>
      </w:r>
    </w:p>
  </w:footnote>
  <w:footnote w:id="172">
    <w:p w:rsidR="00A3158E" w:rsidRPr="00D97463" w:rsidRDefault="00A3158E" w:rsidP="00D97463">
      <w:pPr>
        <w:pStyle w:val="FootnoteText"/>
        <w:ind w:right="1260"/>
      </w:pPr>
      <w:r w:rsidRPr="00D97463">
        <w:tab/>
      </w:r>
      <w:r w:rsidRPr="00D97463">
        <w:rPr>
          <w:rStyle w:val="FootnoteReference"/>
        </w:rPr>
        <w:footnoteRef/>
      </w:r>
      <w:r w:rsidRPr="00D97463">
        <w:rPr>
          <w:lang w:val="es-ES"/>
        </w:rPr>
        <w:tab/>
      </w:r>
      <w:r w:rsidRPr="00D97463">
        <w:rPr>
          <w:rFonts w:eastAsia="Batang"/>
          <w:i/>
          <w:iCs/>
          <w:lang w:val="es-ES"/>
        </w:rPr>
        <w:t>Tadić 1997</w:t>
      </w:r>
      <w:r w:rsidRPr="00D97463">
        <w:rPr>
          <w:rFonts w:eastAsia="Batang"/>
          <w:lang w:val="es-ES"/>
        </w:rPr>
        <w:t xml:space="preserve">, </w:t>
      </w:r>
      <w:r w:rsidRPr="00D97463">
        <w:rPr>
          <w:rFonts w:eastAsia="Batang"/>
          <w:i/>
          <w:iCs/>
          <w:lang w:val="es-ES"/>
        </w:rPr>
        <w:t>supra</w:t>
      </w:r>
      <w:r w:rsidRPr="00D97463">
        <w:rPr>
          <w:rFonts w:eastAsia="Batang"/>
          <w:lang w:val="es-ES"/>
        </w:rPr>
        <w:t xml:space="preserve"> </w:t>
      </w:r>
      <w:r w:rsidRPr="00D97463">
        <w:rPr>
          <w:lang w:val="es-ES"/>
        </w:rPr>
        <w:t>note</w:t>
      </w:r>
      <w:r w:rsidRPr="00D97463">
        <w:rPr>
          <w:rFonts w:eastAsia="Batang"/>
          <w:lang w:val="es-ES"/>
        </w:rPr>
        <w:t xml:space="preserve"> </w:t>
      </w:r>
      <w:r w:rsidRPr="00D97463">
        <w:rPr>
          <w:shd w:val="clear" w:color="auto" w:fill="FFFFFF"/>
        </w:rPr>
        <w:fldChar w:fldCharType="begin"/>
      </w:r>
      <w:r w:rsidRPr="00D97463">
        <w:rPr>
          <w:shd w:val="clear" w:color="auto" w:fill="FFFFFF"/>
          <w:lang w:val="es-ES"/>
        </w:rPr>
        <w:instrText xml:space="preserve"> NOTEREF _Ref295894839 \h  \* MERGEFORMAT </w:instrText>
      </w:r>
      <w:r w:rsidRPr="00D97463">
        <w:rPr>
          <w:shd w:val="clear" w:color="auto" w:fill="FFFFFF"/>
        </w:rPr>
      </w:r>
      <w:r w:rsidRPr="00D97463">
        <w:rPr>
          <w:shd w:val="clear" w:color="auto" w:fill="FFFFFF"/>
        </w:rPr>
        <w:fldChar w:fldCharType="separate"/>
      </w:r>
      <w:r w:rsidR="00EF153A">
        <w:rPr>
          <w:shd w:val="clear" w:color="auto" w:fill="FFFFFF"/>
          <w:lang w:val="es-ES"/>
        </w:rPr>
        <w:t>121</w:t>
      </w:r>
      <w:r w:rsidRPr="00D97463">
        <w:rPr>
          <w:shd w:val="clear" w:color="auto" w:fill="FFFFFF"/>
        </w:rPr>
        <w:fldChar w:fldCharType="end"/>
      </w:r>
      <w:r w:rsidRPr="00D97463">
        <w:rPr>
          <w:rFonts w:eastAsia="Batang"/>
          <w:lang w:val="es-ES"/>
        </w:rPr>
        <w:t>, at p</w:t>
      </w:r>
      <w:r w:rsidRPr="00D97463">
        <w:rPr>
          <w:lang w:val="es-ES"/>
        </w:rPr>
        <w:t xml:space="preserve">aras. </w:t>
      </w:r>
      <w:r w:rsidRPr="00D97463">
        <w:t>644, 653-655 and 626.</w:t>
      </w:r>
    </w:p>
  </w:footnote>
  <w:footnote w:id="173">
    <w:p w:rsidR="00A3158E" w:rsidRPr="00D97463" w:rsidRDefault="00A3158E" w:rsidP="00D97463">
      <w:pPr>
        <w:pStyle w:val="FootnoteText"/>
        <w:ind w:right="1260"/>
      </w:pPr>
      <w:r w:rsidRPr="00D97463">
        <w:tab/>
      </w:r>
      <w:r w:rsidRPr="00D97463">
        <w:rPr>
          <w:rStyle w:val="FootnoteReference"/>
        </w:rPr>
        <w:footnoteRef/>
      </w:r>
      <w:r w:rsidRPr="00D97463">
        <w:rPr>
          <w:i/>
          <w:iCs/>
        </w:rPr>
        <w:tab/>
      </w:r>
      <w:r w:rsidRPr="00D97463">
        <w:rPr>
          <w:rFonts w:eastAsia="Batang"/>
          <w:i/>
          <w:iCs/>
        </w:rPr>
        <w:t>Ibid</w:t>
      </w:r>
      <w:r w:rsidRPr="00D97463">
        <w:rPr>
          <w:rFonts w:eastAsia="Batang"/>
        </w:rPr>
        <w:t>., para. 653.</w:t>
      </w:r>
      <w:r w:rsidRPr="00D97463">
        <w:rPr>
          <w:shd w:val="clear" w:color="auto" w:fill="FFFFFF"/>
        </w:rPr>
        <w:t xml:space="preserve"> </w:t>
      </w:r>
    </w:p>
  </w:footnote>
  <w:footnote w:id="17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para. 655 (citing to </w:t>
      </w:r>
      <w:r w:rsidRPr="00D97463">
        <w:rPr>
          <w:i/>
          <w:iCs/>
        </w:rPr>
        <w:t>Prosecutor v. Nikolić, Review of Indictment Pursuant to Rule 61 of the Rules of Procedure and Evidence, Trial Chamber</w:t>
      </w:r>
      <w:r w:rsidRPr="00D97463">
        <w:t>, Case No. IT-94-2-R61, 20 October 1995, para. 26).</w:t>
      </w:r>
    </w:p>
  </w:footnote>
  <w:footnote w:id="175">
    <w:p w:rsidR="00A3158E" w:rsidRPr="00D97463" w:rsidRDefault="00A3158E" w:rsidP="00D97463">
      <w:pPr>
        <w:pStyle w:val="FootnoteText"/>
        <w:ind w:right="1260"/>
        <w:rPr>
          <w:i/>
        </w:rPr>
      </w:pPr>
      <w:r w:rsidRPr="00D97463">
        <w:tab/>
      </w:r>
      <w:r w:rsidRPr="00D97463">
        <w:rPr>
          <w:rStyle w:val="FootnoteReference"/>
        </w:rPr>
        <w:footnoteRef/>
      </w:r>
      <w:r w:rsidRPr="00D97463">
        <w:tab/>
        <w:t xml:space="preserve">See, e.g., </w:t>
      </w:r>
      <w:r w:rsidRPr="00D97463">
        <w:rPr>
          <w:i/>
        </w:rPr>
        <w:t>Kunarac 2002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_Ref422733118 \h  \* MERGEFORMAT </w:instrText>
      </w:r>
      <w:r w:rsidRPr="00D97463">
        <w:fldChar w:fldCharType="separate"/>
      </w:r>
      <w:r w:rsidR="00EF153A">
        <w:t>138</w:t>
      </w:r>
      <w:r w:rsidRPr="00D97463">
        <w:fldChar w:fldCharType="end"/>
      </w:r>
      <w:r w:rsidRPr="00D97463">
        <w:t xml:space="preserve">, at para. 98; </w:t>
      </w:r>
      <w:r w:rsidRPr="00D97463">
        <w:rPr>
          <w:i/>
        </w:rPr>
        <w:t>Kordić</w:t>
      </w:r>
      <w:r w:rsidRPr="00D97463">
        <w:t xml:space="preserve"> </w:t>
      </w:r>
      <w:r w:rsidRPr="00D97463">
        <w:rPr>
          <w:i/>
        </w:rPr>
        <w:t>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_Ref387105579 \h  \* MERGEFORMAT </w:instrText>
      </w:r>
      <w:r w:rsidRPr="00D97463">
        <w:fldChar w:fldCharType="separate"/>
      </w:r>
      <w:r w:rsidR="00EF153A">
        <w:t>105</w:t>
      </w:r>
      <w:r w:rsidRPr="00D97463">
        <w:fldChar w:fldCharType="end"/>
      </w:r>
      <w:r w:rsidRPr="00D97463">
        <w:t xml:space="preserve">, at para. 182 (finding that “the existence of a plan or policy should better be regarded as indicative of the systematic character of offences charged as crimes against humanity”); </w:t>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xml:space="preserve">, at para. 124 (“For an act of mass victimisation to be a crime against humanity, it must include a policy element. Either of the requirements of widespread or systematic are enough to exclude acts not committed as part of a broader policy or plan.”); </w:t>
      </w:r>
      <w:r w:rsidRPr="00D97463">
        <w:rPr>
          <w:i/>
        </w:rPr>
        <w:t>Akayesu 1998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_Ref295894171 \h  \* MERGEFORMAT </w:instrText>
      </w:r>
      <w:r w:rsidRPr="00D97463">
        <w:fldChar w:fldCharType="separate"/>
      </w:r>
      <w:r w:rsidR="00EF153A">
        <w:t>120</w:t>
      </w:r>
      <w:r w:rsidRPr="00D97463">
        <w:fldChar w:fldCharType="end"/>
      </w:r>
      <w:r w:rsidRPr="00D97463">
        <w:t>, at para. 580.</w:t>
      </w:r>
    </w:p>
  </w:footnote>
  <w:footnote w:id="17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1954</w:t>
      </w:r>
      <w:r w:rsidRPr="00D97463">
        <w:t>,</w:t>
      </w:r>
      <w:r w:rsidRPr="00D97463">
        <w:rPr>
          <w:i/>
        </w:rPr>
        <w:t xml:space="preserve"> </w:t>
      </w:r>
      <w:r w:rsidRPr="00D97463">
        <w:t>vol. II, p. 150 (emphasis added).</w:t>
      </w:r>
    </w:p>
  </w:footnote>
  <w:footnote w:id="17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17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1996</w:t>
      </w:r>
      <w:r w:rsidRPr="00D97463">
        <w:rPr>
          <w:iCs/>
        </w:rPr>
        <w:t xml:space="preserve">, </w:t>
      </w:r>
      <w:r w:rsidRPr="00D97463">
        <w:t>vol. II (Part Two), p. 47 (emphasis added).</w:t>
      </w:r>
    </w:p>
  </w:footnote>
  <w:footnote w:id="17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In explaining its inclusion of the policy requirement, the Commission noted: “It would be extremely difficult for a single individual acting alone to commit the inhumane acts as envisaged in article 18.”</w:t>
      </w:r>
    </w:p>
  </w:footnote>
  <w:footnote w:id="180">
    <w:p w:rsidR="00A3158E" w:rsidRPr="00D97463" w:rsidRDefault="00A3158E" w:rsidP="00D97463">
      <w:pPr>
        <w:pStyle w:val="FootnoteText"/>
        <w:ind w:right="1260"/>
      </w:pPr>
      <w:r w:rsidRPr="00D97463">
        <w:tab/>
      </w:r>
      <w:r w:rsidRPr="00D97463">
        <w:rPr>
          <w:rStyle w:val="FootnoteReference"/>
        </w:rPr>
        <w:footnoteRef/>
      </w:r>
      <w:r w:rsidRPr="00D97463">
        <w:tab/>
        <w:t xml:space="preserve">ICC, </w:t>
      </w:r>
      <w:r w:rsidRPr="00D97463">
        <w:rPr>
          <w:i/>
        </w:rPr>
        <w:t>Elements of Crimes</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_Ref295905192 \h  \* MERGEFORMAT </w:instrText>
      </w:r>
      <w:r w:rsidRPr="00D97463">
        <w:fldChar w:fldCharType="separate"/>
      </w:r>
      <w:r w:rsidR="00EF153A">
        <w:t>145</w:t>
      </w:r>
      <w:r w:rsidRPr="00D97463">
        <w:fldChar w:fldCharType="end"/>
      </w:r>
      <w:r w:rsidRPr="00D97463">
        <w:t>, at p. 5.</w:t>
      </w:r>
    </w:p>
  </w:footnote>
  <w:footnote w:id="181">
    <w:p w:rsidR="00A3158E" w:rsidRPr="00D97463" w:rsidRDefault="00A3158E" w:rsidP="00D97463">
      <w:pPr>
        <w:pStyle w:val="FootnoteText"/>
        <w:ind w:right="1260"/>
        <w:rPr>
          <w:lang w:val="es-ES"/>
        </w:rPr>
      </w:pPr>
      <w:r w:rsidRPr="00D97463">
        <w:tab/>
      </w:r>
      <w:r w:rsidRPr="00D97463">
        <w:rPr>
          <w:rStyle w:val="FootnoteReference"/>
        </w:rPr>
        <w:footnoteRef/>
      </w:r>
      <w:r w:rsidRPr="00D97463">
        <w:tab/>
      </w:r>
      <w:r w:rsidRPr="00D97463">
        <w:rPr>
          <w:i/>
          <w:iCs/>
        </w:rPr>
        <w:t>Ibid.</w:t>
      </w:r>
      <w:r w:rsidRPr="00D97463">
        <w:rPr>
          <w:i/>
        </w:rPr>
        <w:t xml:space="preserve"> </w:t>
      </w:r>
      <w:r w:rsidRPr="00D97463">
        <w:t>Other precedents also emphasize that deliberate failure to act can satisfy the policy element.</w:t>
      </w:r>
      <w:r w:rsidRPr="00D97463">
        <w:rPr>
          <w:i/>
        </w:rPr>
        <w:t xml:space="preserve"> </w:t>
      </w:r>
      <w:r w:rsidRPr="00D97463">
        <w:t xml:space="preserve">See </w:t>
      </w:r>
      <w:r w:rsidRPr="00D97463">
        <w:rPr>
          <w:i/>
        </w:rPr>
        <w:t>Kupreškić 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_Ref295834131 \h  \* MERGEFORMAT </w:instrText>
      </w:r>
      <w:r w:rsidRPr="00D97463">
        <w:fldChar w:fldCharType="separate"/>
      </w:r>
      <w:r w:rsidR="00EF153A">
        <w:t>97</w:t>
      </w:r>
      <w:r w:rsidRPr="00D97463">
        <w:fldChar w:fldCharType="end"/>
      </w:r>
      <w:r w:rsidRPr="00D97463">
        <w:t xml:space="preserve">, at paras. 554-55 (“approved,” “condoned,” “explicit or implicit approval”); </w:t>
      </w:r>
      <w:r w:rsidRPr="00D97463">
        <w:rPr>
          <w:i/>
        </w:rPr>
        <w:t>Yearbook … 1954</w:t>
      </w:r>
      <w:r w:rsidRPr="00D97463">
        <w:t>, vol. II, p. 150 (art. 2(11))</w:t>
      </w:r>
      <w:r w:rsidRPr="00D97463">
        <w:rPr>
          <w:i/>
        </w:rPr>
        <w:t xml:space="preserve"> </w:t>
      </w:r>
      <w:r w:rsidRPr="00D97463">
        <w:t xml:space="preserve">(“toleration”); Security Council, Report of the Commission of Experts Established Pursuant to Security Council resolution 780 (1992), document </w:t>
      </w:r>
      <w:hyperlink r:id="rId42" w:history="1">
        <w:r w:rsidRPr="00D97463">
          <w:rPr>
            <w:rStyle w:val="Hyperlink"/>
          </w:rPr>
          <w:t>S/1994/674</w:t>
        </w:r>
      </w:hyperlink>
      <w:r w:rsidRPr="00D97463">
        <w:t xml:space="preserve">, para. </w:t>
      </w:r>
      <w:r w:rsidRPr="00D97463">
        <w:rPr>
          <w:lang w:val="es-ES"/>
        </w:rPr>
        <w:t>85.</w:t>
      </w:r>
    </w:p>
  </w:footnote>
  <w:footnote w:id="182">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t xml:space="preserve">See, e.g., </w:t>
      </w:r>
      <w:r w:rsidRPr="00D97463">
        <w:rPr>
          <w:i/>
          <w:lang w:val="es-ES"/>
        </w:rPr>
        <w:t>Ntaganda 2012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_Ref295902455 \h  \* MERGEFORMAT </w:instrText>
      </w:r>
      <w:r w:rsidRPr="00D97463">
        <w:fldChar w:fldCharType="separate"/>
      </w:r>
      <w:r w:rsidR="00EF153A">
        <w:rPr>
          <w:lang w:val="es-ES"/>
        </w:rPr>
        <w:t>128</w:t>
      </w:r>
      <w:r w:rsidRPr="00D97463">
        <w:fldChar w:fldCharType="end"/>
      </w:r>
      <w:r w:rsidRPr="00D97463">
        <w:rPr>
          <w:lang w:val="es-ES"/>
        </w:rPr>
        <w:t xml:space="preserve">, at para. 24; </w:t>
      </w:r>
      <w:r w:rsidRPr="00D97463">
        <w:rPr>
          <w:i/>
          <w:lang w:val="es-ES"/>
        </w:rPr>
        <w:t>Bemba 2009</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_Ref295898872 \h  \* MERGEFORMAT </w:instrText>
      </w:r>
      <w:r w:rsidRPr="00D97463">
        <w:fldChar w:fldCharType="separate"/>
      </w:r>
      <w:r w:rsidR="00EF153A">
        <w:rPr>
          <w:lang w:val="es-ES"/>
        </w:rPr>
        <w:t>125</w:t>
      </w:r>
      <w:r w:rsidRPr="00D97463">
        <w:fldChar w:fldCharType="end"/>
      </w:r>
      <w:r w:rsidRPr="00D97463">
        <w:rPr>
          <w:lang w:val="es-ES"/>
        </w:rPr>
        <w:t xml:space="preserve">, at para. 81; </w:t>
      </w:r>
      <w:r w:rsidRPr="00D97463">
        <w:rPr>
          <w:i/>
          <w:lang w:val="es-ES"/>
        </w:rPr>
        <w:t>Katanga 2008</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396.</w:t>
      </w:r>
    </w:p>
  </w:footnote>
  <w:footnote w:id="183">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 2014</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1112; see also</w:t>
      </w:r>
      <w:r w:rsidRPr="00D97463">
        <w:rPr>
          <w:i/>
          <w:lang w:val="es-ES"/>
        </w:rPr>
        <w:t xml:space="preserve"> ibíd</w:t>
      </w:r>
      <w:r w:rsidRPr="00D97463">
        <w:rPr>
          <w:lang w:val="es-ES"/>
        </w:rPr>
        <w:t xml:space="preserve">., para. 1101; </w:t>
      </w:r>
      <w:r w:rsidRPr="00D97463">
        <w:rPr>
          <w:i/>
          <w:lang w:val="es-ES"/>
        </w:rPr>
        <w:t>Gbagbo 2014</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_Ref422420873 \h  \* MERGEFORMAT </w:instrText>
      </w:r>
      <w:r w:rsidRPr="00D97463">
        <w:fldChar w:fldCharType="separate"/>
      </w:r>
      <w:r w:rsidR="00EF153A">
        <w:rPr>
          <w:lang w:val="es-ES"/>
        </w:rPr>
        <w:t>144</w:t>
      </w:r>
      <w:r w:rsidRPr="00D97463">
        <w:fldChar w:fldCharType="end"/>
      </w:r>
      <w:r w:rsidRPr="00D97463">
        <w:rPr>
          <w:lang w:val="es-ES"/>
        </w:rPr>
        <w:t>, at para. 208.</w:t>
      </w:r>
    </w:p>
  </w:footnote>
  <w:footnote w:id="184">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 2014</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paras. 1111-13.</w:t>
      </w:r>
    </w:p>
  </w:footnote>
  <w:footnote w:id="185">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 para. 1113.</w:t>
      </w:r>
    </w:p>
  </w:footnote>
  <w:footnote w:id="186">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 paras. 1108-1109 and 1113.</w:t>
      </w:r>
    </w:p>
  </w:footnote>
  <w:footnote w:id="187">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tab/>
      </w:r>
      <w:r w:rsidRPr="00D97463">
        <w:rPr>
          <w:i/>
          <w:iCs/>
        </w:rPr>
        <w:t>Ibid.</w:t>
      </w:r>
      <w:r w:rsidRPr="00D97463">
        <w:t xml:space="preserve">, para. 1109; see also </w:t>
      </w:r>
      <w:r w:rsidRPr="00D97463">
        <w:rPr>
          <w:i/>
        </w:rPr>
        <w:t>Gbagbo 2014</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_Ref422420873 \h  \* MERGEFORMAT </w:instrText>
      </w:r>
      <w:r w:rsidRPr="00D97463">
        <w:fldChar w:fldCharType="separate"/>
      </w:r>
      <w:r w:rsidR="00EF153A">
        <w:t>144</w:t>
      </w:r>
      <w:r w:rsidRPr="00D97463">
        <w:fldChar w:fldCharType="end"/>
      </w:r>
      <w:r w:rsidRPr="00D97463">
        <w:t xml:space="preserve">, at paras. </w:t>
      </w:r>
      <w:r w:rsidRPr="00D97463">
        <w:rPr>
          <w:lang w:val="es-ES"/>
        </w:rPr>
        <w:t>211-212, and 215.</w:t>
      </w:r>
    </w:p>
  </w:footnote>
  <w:footnote w:id="188">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 2014</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1110.</w:t>
      </w:r>
    </w:p>
  </w:footnote>
  <w:footnote w:id="189">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rFonts w:eastAsia="Batang"/>
          <w:i/>
          <w:lang w:val="es-ES"/>
        </w:rPr>
        <w:t>Gbagbo</w:t>
      </w:r>
      <w:r w:rsidRPr="00D97463">
        <w:rPr>
          <w:i/>
          <w:lang w:val="es-ES"/>
        </w:rPr>
        <w:t xml:space="preserve"> 2014</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_Ref422420873 \h  \* MERGEFORMAT </w:instrText>
      </w:r>
      <w:r w:rsidRPr="00D97463">
        <w:fldChar w:fldCharType="separate"/>
      </w:r>
      <w:r w:rsidR="00EF153A">
        <w:rPr>
          <w:lang w:val="es-ES"/>
        </w:rPr>
        <w:t>144</w:t>
      </w:r>
      <w:r w:rsidRPr="00D97463">
        <w:fldChar w:fldCharType="end"/>
      </w:r>
      <w:r w:rsidRPr="00D97463">
        <w:rPr>
          <w:lang w:val="es-ES"/>
        </w:rPr>
        <w:t>, at paras. 208 and 216.</w:t>
      </w:r>
    </w:p>
  </w:footnote>
  <w:footnote w:id="190">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 para. 216.</w:t>
      </w:r>
    </w:p>
  </w:footnote>
  <w:footnote w:id="191">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rFonts w:eastAsia="Batang"/>
          <w:i/>
          <w:iCs/>
          <w:lang w:val="es-ES"/>
        </w:rPr>
        <w:t>Ibid.</w:t>
      </w:r>
      <w:r w:rsidRPr="00D97463">
        <w:rPr>
          <w:lang w:val="es-ES"/>
        </w:rPr>
        <w:t>, para. 217.</w:t>
      </w:r>
    </w:p>
  </w:footnote>
  <w:footnote w:id="192">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 para. 215.</w:t>
      </w:r>
    </w:p>
  </w:footnote>
  <w:footnote w:id="193">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ab/>
      </w:r>
      <w:r w:rsidRPr="00D97463">
        <w:rPr>
          <w:rFonts w:eastAsia="Batang"/>
          <w:i/>
          <w:iCs/>
          <w:lang w:val="es-ES"/>
        </w:rPr>
        <w:t>Ibid.</w:t>
      </w:r>
      <w:r w:rsidRPr="00D97463">
        <w:rPr>
          <w:lang w:val="es-ES"/>
        </w:rPr>
        <w:t xml:space="preserve">, para. </w:t>
      </w:r>
      <w:r w:rsidRPr="00D97463">
        <w:t>214 (footnotes omitted).</w:t>
      </w:r>
    </w:p>
  </w:footnote>
  <w:footnote w:id="19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Bemba 2009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 115.</w:t>
      </w:r>
    </w:p>
  </w:footnote>
  <w:footnote w:id="19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 89.</w:t>
      </w:r>
    </w:p>
  </w:footnote>
  <w:footnote w:id="19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19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Katanga 2008</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396 (citing to ICTY and ICTR case law, as well as the Commission’s 1991 Draft Code of crimes against the Peace and Security of Mankind, </w:t>
      </w:r>
      <w:r w:rsidRPr="00D97463">
        <w:rPr>
          <w:i/>
        </w:rPr>
        <w:t>Yearbook … 1991</w:t>
      </w:r>
      <w:r w:rsidRPr="00D97463">
        <w:t xml:space="preserve">, vol. II (Part Two), p. 103); see also </w:t>
      </w:r>
      <w:r w:rsidRPr="00D97463">
        <w:rPr>
          <w:i/>
        </w:rPr>
        <w:t>Bemba 2009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at para. 81.</w:t>
      </w:r>
    </w:p>
  </w:footnote>
  <w:footnote w:id="19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Katanga 2014</w:t>
      </w:r>
      <w:r w:rsidRPr="00D97463">
        <w:t xml:space="preserve">, </w:t>
      </w:r>
      <w:r w:rsidRPr="00D97463">
        <w:rPr>
          <w:i/>
          <w:iCs/>
        </w:rPr>
        <w:t>supra</w:t>
      </w:r>
      <w:r w:rsidRPr="00D97463">
        <w:t xml:space="preserve"> 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1119.</w:t>
      </w:r>
    </w:p>
  </w:footnote>
  <w:footnote w:id="19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90. This understanding was similarly adopted by the Trial Chamber in </w:t>
      </w:r>
      <w:r w:rsidRPr="00D97463">
        <w:rPr>
          <w:i/>
        </w:rPr>
        <w:t>Katanga</w:t>
      </w:r>
      <w:r w:rsidRPr="00D97463">
        <w:t xml:space="preserve">, which stated: “That the attack must further be characterised as widespread or systematic does not, however, mean that the organisation that promotes or encourages it must be structured so as to assume the characteristics of a State.” </w:t>
      </w:r>
      <w:r w:rsidRPr="00D97463">
        <w:rPr>
          <w:i/>
        </w:rPr>
        <w:t>Katanga 2014</w:t>
      </w:r>
      <w:r w:rsidRPr="00D97463">
        <w:t xml:space="preserve">, </w:t>
      </w:r>
      <w:r w:rsidRPr="00D97463">
        <w:rPr>
          <w:i/>
          <w:iCs/>
        </w:rPr>
        <w:t>supra</w:t>
      </w:r>
      <w:r w:rsidRPr="00D97463">
        <w:t xml:space="preserve"> 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1120. The Trial Chamber also found that “the ‘general practice accepted as law’... adverts to crimes against humanity committed by States and organisations that are not specifically defined as requiring quasi-State characteristics.” </w:t>
      </w:r>
      <w:r w:rsidRPr="00D97463">
        <w:rPr>
          <w:i/>
          <w:iCs/>
        </w:rPr>
        <w:t>Ibid.</w:t>
      </w:r>
      <w:r w:rsidRPr="00D97463">
        <w:t>, para. 1121.</w:t>
      </w:r>
    </w:p>
  </w:footnote>
  <w:footnote w:id="20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Ruto 2012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_Ref295904108 \h  \* MERGEFORMAT </w:instrText>
      </w:r>
      <w:r w:rsidRPr="00D97463">
        <w:fldChar w:fldCharType="separate"/>
      </w:r>
      <w:r w:rsidR="00EF153A">
        <w:t>130</w:t>
      </w:r>
      <w:r w:rsidRPr="00D97463">
        <w:fldChar w:fldCharType="end"/>
      </w:r>
      <w:r w:rsidRPr="00D97463">
        <w:t xml:space="preserve">, at para. 185; see also </w:t>
      </w:r>
      <w:r w:rsidRPr="00D97463">
        <w:rPr>
          <w:i/>
        </w:rPr>
        <w:t>Kenya Authorization Decision 2010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_Ref295898872 \h  \* MERGEFORMAT </w:instrText>
      </w:r>
      <w:r w:rsidRPr="00D97463">
        <w:fldChar w:fldCharType="separate"/>
      </w:r>
      <w:r w:rsidR="00EF153A">
        <w:t>125</w:t>
      </w:r>
      <w:r w:rsidRPr="00D97463">
        <w:fldChar w:fldCharType="end"/>
      </w:r>
      <w:r w:rsidRPr="00D97463">
        <w:t xml:space="preserve">, at para. 93; </w:t>
      </w:r>
      <w:r w:rsidRPr="00D97463">
        <w:rPr>
          <w:i/>
        </w:rPr>
        <w:t xml:space="preserve">Situation in the Republic of Côte d’Ivoire, </w:t>
      </w:r>
      <w:r w:rsidRPr="00D97463">
        <w:t>Corrigendum to “Decision Pursuant to Article 15 of the Rome Statute on the Authorisation of an Investigation into the Situation in the Republic of Côte d’Ivoire”, Pre-Trial Chamber III, ICC-02/11, 15 November 2011, paras. 45-46.</w:t>
      </w:r>
    </w:p>
  </w:footnote>
  <w:footnote w:id="201">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Yearbook … 1991</w:t>
      </w:r>
      <w:r w:rsidRPr="00D97463">
        <w:t>, vol. II (Part Two), pp. 103-104.</w:t>
      </w:r>
    </w:p>
  </w:footnote>
  <w:footnote w:id="202">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Yearbook … 1996</w:t>
      </w:r>
      <w:r w:rsidRPr="00D97463">
        <w:t>, vol. II (Part Two), p. 47 (article 18) (emphasis added).</w:t>
      </w:r>
    </w:p>
  </w:footnote>
  <w:footnote w:id="20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20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Tadić 1997</w:t>
      </w:r>
      <w:r w:rsidRPr="00D97463">
        <w:t>,</w:t>
      </w:r>
      <w:r w:rsidRPr="00D97463">
        <w:rPr>
          <w:i/>
        </w:rPr>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654. For further discussion of non-State perpetrators, see</w:t>
      </w:r>
      <w:r w:rsidRPr="00D97463">
        <w:rPr>
          <w:i/>
        </w:rPr>
        <w:t xml:space="preserve"> </w:t>
      </w:r>
      <w:r w:rsidRPr="00D97463">
        <w:rPr>
          <w:i/>
          <w:iCs/>
        </w:rPr>
        <w:t>ibid.</w:t>
      </w:r>
      <w:r w:rsidRPr="00D97463">
        <w:t>, para. 655.</w:t>
      </w:r>
    </w:p>
  </w:footnote>
  <w:footnote w:id="20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Limaj et al</w:t>
      </w:r>
      <w:r w:rsidRPr="00D97463">
        <w:t xml:space="preserve">., Judgment, Trial Chamber II, Case No. IT-03-66-T, 30 November 2005, paras. 212-213. </w:t>
      </w:r>
    </w:p>
  </w:footnote>
  <w:footnote w:id="20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Ntaganda 2012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_Ref295902455 \h  \* MERGEFORMAT </w:instrText>
      </w:r>
      <w:r w:rsidRPr="00D97463">
        <w:fldChar w:fldCharType="separate"/>
      </w:r>
      <w:r w:rsidR="00EF153A">
        <w:t>128</w:t>
      </w:r>
      <w:r w:rsidRPr="00D97463">
        <w:fldChar w:fldCharType="end"/>
      </w:r>
      <w:r w:rsidRPr="00D97463">
        <w:t>, at para. 22.</w:t>
      </w:r>
    </w:p>
  </w:footnote>
  <w:footnote w:id="20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Mbarushimana</w:t>
      </w:r>
      <w:r w:rsidRPr="00D97463">
        <w:t>, Decision on the confirmation of charges, Pre-Trial Chamber I, ICC-01/04-01/10, 16 December 2011, para. 2.</w:t>
      </w:r>
    </w:p>
  </w:footnote>
  <w:footnote w:id="20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Situation in Uganda</w:t>
      </w:r>
      <w:r w:rsidRPr="00D97463">
        <w:t>, Warrant of Arrest for Joseph Kony Issued on 8 July 2005 as Amended on 27 September 2005, Pre-Trial Chamber II, ICC-02/04-01/05, 27 September 2005, para. 5.</w:t>
      </w:r>
    </w:p>
  </w:footnote>
  <w:footnote w:id="20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para. 7.</w:t>
      </w:r>
    </w:p>
  </w:footnote>
  <w:footnote w:id="21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Ruto 2012</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_Ref295904108 \h  \* MERGEFORMAT </w:instrText>
      </w:r>
      <w:r w:rsidRPr="00D97463">
        <w:fldChar w:fldCharType="separate"/>
      </w:r>
      <w:r w:rsidR="00EF153A">
        <w:t>130</w:t>
      </w:r>
      <w:r w:rsidRPr="00D97463">
        <w:fldChar w:fldCharType="end"/>
      </w:r>
      <w:r w:rsidRPr="00D97463">
        <w:t>, at para. 182.</w:t>
      </w:r>
    </w:p>
  </w:footnote>
  <w:footnote w:id="21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Prosecutor v. Muthaura et al</w:t>
      </w:r>
      <w:r w:rsidRPr="00D97463">
        <w:t>., Decision on the Confirmation of Charges Pursuant to Article 61 (7) (a) and (b) of the Rome Statute, Pre-Trial Chamber II,</w:t>
      </w:r>
      <w:r w:rsidRPr="00D97463">
        <w:rPr>
          <w:i/>
        </w:rPr>
        <w:t xml:space="preserve"> </w:t>
      </w:r>
      <w:r w:rsidRPr="00D97463">
        <w:t>ICC-01/09-02/11, 23 January 2012, para. 102.</w:t>
      </w:r>
    </w:p>
  </w:footnote>
  <w:footnote w:id="212">
    <w:p w:rsidR="00A3158E" w:rsidRPr="00D97463" w:rsidRDefault="00A3158E" w:rsidP="00D97463">
      <w:pPr>
        <w:pStyle w:val="FootnoteText"/>
        <w:ind w:right="1260"/>
      </w:pPr>
      <w:r w:rsidRPr="00D97463">
        <w:tab/>
      </w:r>
      <w:r w:rsidRPr="00D97463">
        <w:rPr>
          <w:rStyle w:val="FootnoteReference"/>
        </w:rPr>
        <w:footnoteRef/>
      </w:r>
      <w:r w:rsidRPr="00D97463">
        <w:tab/>
        <w:t>See, e.g.,</w:t>
      </w:r>
      <w:r w:rsidRPr="00D97463">
        <w:rPr>
          <w:i/>
        </w:rPr>
        <w:t xml:space="preserve"> 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xml:space="preserve">, at para. 418; </w:t>
      </w:r>
      <w:r w:rsidRPr="00D97463">
        <w:rPr>
          <w:i/>
        </w:rPr>
        <w:t>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at para. 133.</w:t>
      </w:r>
    </w:p>
  </w:footnote>
  <w:footnote w:id="213">
    <w:p w:rsidR="00A3158E" w:rsidRPr="00D97463" w:rsidRDefault="00A3158E" w:rsidP="00D97463">
      <w:pPr>
        <w:pStyle w:val="FootnoteText"/>
        <w:ind w:right="1260"/>
      </w:pPr>
      <w:r w:rsidRPr="00D97463">
        <w:tab/>
      </w:r>
      <w:r w:rsidRPr="00D97463">
        <w:rPr>
          <w:rStyle w:val="FootnoteReference"/>
        </w:rPr>
        <w:footnoteRef/>
      </w:r>
      <w:r w:rsidRPr="00D97463">
        <w:tab/>
        <w:t xml:space="preserve">ICC, </w:t>
      </w:r>
      <w:r w:rsidRPr="00D97463">
        <w:rPr>
          <w:i/>
        </w:rPr>
        <w:t>Elements of Crimes</w:t>
      </w:r>
      <w:r w:rsidRPr="00D97463">
        <w:t>,</w:t>
      </w:r>
      <w:r w:rsidRPr="00D97463">
        <w:rPr>
          <w:i/>
        </w:rPr>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_Ref295905192 \h  \* MERGEFORMAT </w:instrText>
      </w:r>
      <w:r w:rsidRPr="00D97463">
        <w:fldChar w:fldCharType="separate"/>
      </w:r>
      <w:r w:rsidR="00EF153A">
        <w:t>145</w:t>
      </w:r>
      <w:r w:rsidRPr="00D97463">
        <w:fldChar w:fldCharType="end"/>
      </w:r>
      <w:r w:rsidRPr="00D97463">
        <w:t>,</w:t>
      </w:r>
      <w:r w:rsidRPr="00D97463">
        <w:rPr>
          <w:i/>
        </w:rPr>
        <w:t xml:space="preserve"> </w:t>
      </w:r>
      <w:r w:rsidRPr="00D97463">
        <w:t>at p. 5.</w:t>
      </w:r>
    </w:p>
  </w:footnote>
  <w:footnote w:id="21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rFonts w:eastAsia="Batang"/>
          <w:i/>
        </w:rPr>
        <w:t>Gbagbo</w:t>
      </w:r>
      <w:r w:rsidRPr="00D97463">
        <w:rPr>
          <w:i/>
        </w:rPr>
        <w:t xml:space="preserve"> 2014</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_Ref422420873 \h  \* MERGEFORMAT </w:instrText>
      </w:r>
      <w:r w:rsidRPr="00D97463">
        <w:fldChar w:fldCharType="separate"/>
      </w:r>
      <w:r w:rsidR="00EF153A">
        <w:t>144</w:t>
      </w:r>
      <w:r w:rsidRPr="00D97463">
        <w:fldChar w:fldCharType="end"/>
      </w:r>
      <w:r w:rsidRPr="00D97463">
        <w:t>, at para. 214.</w:t>
      </w:r>
    </w:p>
  </w:footnote>
  <w:footnote w:id="21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Kunarac 2001</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_Ref295900108 \h  \* MERGEFORMAT </w:instrText>
      </w:r>
      <w:r w:rsidRPr="00D97463">
        <w:fldChar w:fldCharType="separate"/>
      </w:r>
      <w:r w:rsidR="00EF153A">
        <w:t>126</w:t>
      </w:r>
      <w:r w:rsidRPr="00D97463">
        <w:fldChar w:fldCharType="end"/>
      </w:r>
      <w:r w:rsidRPr="00D97463">
        <w:t>, at para. 434 (finding that the knowledge requirement “does not entail knowledge of the details of the attack”).</w:t>
      </w:r>
    </w:p>
  </w:footnote>
  <w:footnote w:id="216">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rPr>
        <w:t>Blaškić 2000</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xml:space="preserve">, at para. 259 (finding that knowledge of the broader context of the attack may be surmised from a number of facts, including “the nature of the crimes committed and the degree to which they are common knowledge”); </w:t>
      </w:r>
      <w:r w:rsidRPr="00D97463">
        <w:rPr>
          <w:i/>
        </w:rPr>
        <w:t>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657 (“While knowledge is thus required, it is examined on an objective level and factually can be implied from the circumstances.”); see also</w:t>
      </w:r>
      <w:r w:rsidRPr="00D97463">
        <w:rPr>
          <w:i/>
        </w:rPr>
        <w:t xml:space="preserve"> Kayishema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at para. 134 (finding that “actual or constructive knowledge of the broader context of the attack” is sufficient).</w:t>
      </w:r>
    </w:p>
  </w:footnote>
  <w:footnote w:id="217">
    <w:p w:rsidR="00A3158E" w:rsidRPr="00D97463" w:rsidRDefault="00A3158E" w:rsidP="00D97463">
      <w:pPr>
        <w:pStyle w:val="FootnoteText"/>
        <w:ind w:right="1260"/>
        <w:rPr>
          <w:lang w:val="es-ES"/>
        </w:rPr>
      </w:pPr>
      <w:r w:rsidRPr="00D97463">
        <w:tab/>
      </w:r>
      <w:r w:rsidRPr="00D97463">
        <w:rPr>
          <w:rStyle w:val="FootnoteReference"/>
        </w:rPr>
        <w:footnoteRef/>
      </w:r>
      <w:r w:rsidRPr="00D97463">
        <w:rPr>
          <w:lang w:val="es-ES"/>
        </w:rPr>
        <w:tab/>
      </w:r>
      <w:r w:rsidRPr="00D97463">
        <w:rPr>
          <w:i/>
          <w:lang w:val="es-ES"/>
        </w:rPr>
        <w:t>Bemba 2009</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_Ref295898872 \h  \* MERGEFORMAT </w:instrText>
      </w:r>
      <w:r w:rsidRPr="00D97463">
        <w:fldChar w:fldCharType="separate"/>
      </w:r>
      <w:r w:rsidR="00EF153A">
        <w:rPr>
          <w:lang w:val="es-ES"/>
        </w:rPr>
        <w:t>125</w:t>
      </w:r>
      <w:r w:rsidRPr="00D97463">
        <w:fldChar w:fldCharType="end"/>
      </w:r>
      <w:r w:rsidRPr="00D97463">
        <w:rPr>
          <w:lang w:val="es-ES"/>
        </w:rPr>
        <w:t>, at para. 126.</w:t>
      </w:r>
    </w:p>
  </w:footnote>
  <w:footnote w:id="218">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 2008</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402.</w:t>
      </w:r>
    </w:p>
  </w:footnote>
  <w:footnote w:id="219">
    <w:p w:rsidR="00A3158E" w:rsidRPr="00D97463" w:rsidRDefault="00A3158E" w:rsidP="00D97463">
      <w:pPr>
        <w:pStyle w:val="FootnoteText"/>
        <w:ind w:right="1260"/>
        <w:rPr>
          <w:i/>
          <w:lang w:val="es-ES"/>
        </w:rPr>
      </w:pPr>
      <w:r w:rsidRPr="00D97463">
        <w:rPr>
          <w:lang w:val="es-ES"/>
        </w:rPr>
        <w:tab/>
      </w:r>
      <w:r w:rsidRPr="00D97463">
        <w:rPr>
          <w:rStyle w:val="FootnoteReference"/>
        </w:rPr>
        <w:footnoteRef/>
      </w:r>
      <w:r w:rsidRPr="00D97463">
        <w:rPr>
          <w:lang w:val="es-ES"/>
        </w:rPr>
        <w:tab/>
        <w:t>See, e.g.,</w:t>
      </w:r>
      <w:r w:rsidRPr="00D97463">
        <w:rPr>
          <w:i/>
          <w:lang w:val="es-ES"/>
        </w:rPr>
        <w:t xml:space="preserve"> Kunarac</w:t>
      </w:r>
      <w:r w:rsidRPr="00D97463">
        <w:rPr>
          <w:lang w:val="es-ES"/>
        </w:rPr>
        <w:t xml:space="preserve"> </w:t>
      </w:r>
      <w:r w:rsidRPr="00D97463">
        <w:rPr>
          <w:i/>
          <w:lang w:val="es-ES"/>
        </w:rPr>
        <w:t>2002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_Ref422733118 \h  \* MERGEFORMAT </w:instrText>
      </w:r>
      <w:r w:rsidRPr="00D97463">
        <w:fldChar w:fldCharType="separate"/>
      </w:r>
      <w:r w:rsidR="00EF153A">
        <w:rPr>
          <w:lang w:val="es-ES"/>
        </w:rPr>
        <w:t>138</w:t>
      </w:r>
      <w:r w:rsidRPr="00D97463">
        <w:fldChar w:fldCharType="end"/>
      </w:r>
      <w:r w:rsidRPr="00D97463">
        <w:rPr>
          <w:lang w:val="es-ES"/>
        </w:rPr>
        <w:t xml:space="preserve">, at para. 103; </w:t>
      </w:r>
      <w:r w:rsidRPr="00D97463">
        <w:rPr>
          <w:i/>
          <w:lang w:val="es-ES"/>
        </w:rPr>
        <w:t>Kupreškić 2000</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_Ref295834131 \h  \* MERGEFORMAT </w:instrText>
      </w:r>
      <w:r w:rsidRPr="00D97463">
        <w:fldChar w:fldCharType="separate"/>
      </w:r>
      <w:r w:rsidR="00EF153A">
        <w:rPr>
          <w:lang w:val="es-ES"/>
        </w:rPr>
        <w:t>97</w:t>
      </w:r>
      <w:r w:rsidRPr="00D97463">
        <w:fldChar w:fldCharType="end"/>
      </w:r>
      <w:r w:rsidRPr="00D97463">
        <w:rPr>
          <w:lang w:val="es-ES"/>
        </w:rPr>
        <w:t>, at para. 558.</w:t>
      </w:r>
    </w:p>
  </w:footnote>
  <w:footnote w:id="220">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Kunarac</w:t>
      </w:r>
      <w:r w:rsidRPr="00D97463">
        <w:rPr>
          <w:lang w:val="es-ES"/>
        </w:rPr>
        <w:t xml:space="preserve"> </w:t>
      </w:r>
      <w:r w:rsidRPr="00D97463">
        <w:rPr>
          <w:i/>
          <w:lang w:val="es-ES"/>
        </w:rPr>
        <w:t>2002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_Ref422733118 \h  \* MERGEFORMAT </w:instrText>
      </w:r>
      <w:r w:rsidRPr="00D97463">
        <w:fldChar w:fldCharType="separate"/>
      </w:r>
      <w:r w:rsidR="00EF153A">
        <w:rPr>
          <w:lang w:val="es-ES"/>
        </w:rPr>
        <w:t>138</w:t>
      </w:r>
      <w:r w:rsidRPr="00D97463">
        <w:fldChar w:fldCharType="end"/>
      </w:r>
      <w:r w:rsidRPr="00D97463">
        <w:rPr>
          <w:lang w:val="es-ES"/>
        </w:rPr>
        <w:t xml:space="preserve">, at para. 103. </w:t>
      </w:r>
    </w:p>
  </w:footnote>
  <w:footnote w:id="221">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t>See, e.g.,</w:t>
      </w:r>
      <w:r w:rsidRPr="00D97463">
        <w:rPr>
          <w:i/>
          <w:lang w:val="es-ES"/>
        </w:rPr>
        <w:t xml:space="preserve"> Kunarac 2001</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592.</w:t>
      </w:r>
    </w:p>
  </w:footnote>
  <w:footnote w:id="222">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p>
  </w:footnote>
  <w:footnote w:id="223">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lang w:val="es-ES"/>
        </w:rPr>
        <w:t>Katanga</w:t>
      </w:r>
      <w:r w:rsidRPr="00D97463">
        <w:rPr>
          <w:lang w:val="es-ES"/>
        </w:rPr>
        <w:t xml:space="preserve"> </w:t>
      </w:r>
      <w:r w:rsidRPr="00D97463">
        <w:rPr>
          <w:i/>
          <w:lang w:val="es-ES"/>
        </w:rPr>
        <w:t>2014</w:t>
      </w:r>
      <w:r w:rsidRPr="00D97463">
        <w:rPr>
          <w:lang w:val="es-ES"/>
        </w:rPr>
        <w:t xml:space="preserve">, </w:t>
      </w:r>
      <w:r w:rsidRPr="00D97463">
        <w:rPr>
          <w:i/>
          <w:iCs/>
          <w:lang w:val="es-ES"/>
        </w:rPr>
        <w:t>supra</w:t>
      </w:r>
      <w:r w:rsidRPr="00D97463">
        <w:rPr>
          <w:lang w:val="es-ES"/>
        </w:rPr>
        <w:t xml:space="preserve"> note </w:t>
      </w:r>
      <w:r w:rsidRPr="00D97463">
        <w:fldChar w:fldCharType="begin"/>
      </w:r>
      <w:r w:rsidRPr="00D97463">
        <w:rPr>
          <w:lang w:val="es-ES"/>
        </w:rPr>
        <w:instrText xml:space="preserve"> NOTEREF _Ref295900108 \h  \* MERGEFORMAT </w:instrText>
      </w:r>
      <w:r w:rsidRPr="00D97463">
        <w:fldChar w:fldCharType="separate"/>
      </w:r>
      <w:r w:rsidR="00EF153A">
        <w:rPr>
          <w:lang w:val="es-ES"/>
        </w:rPr>
        <w:t>126</w:t>
      </w:r>
      <w:r w:rsidRPr="00D97463">
        <w:fldChar w:fldCharType="end"/>
      </w:r>
      <w:r w:rsidRPr="00D97463">
        <w:rPr>
          <w:lang w:val="es-ES"/>
        </w:rPr>
        <w:t>, at para. 1125.</w:t>
      </w:r>
    </w:p>
  </w:footnote>
  <w:footnote w:id="224">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ab/>
        <w:t xml:space="preserve">See, e.g., </w:t>
      </w:r>
      <w:r w:rsidRPr="00D97463">
        <w:rPr>
          <w:i/>
          <w:lang w:val="es-ES"/>
        </w:rPr>
        <w:t>Kunarac</w:t>
      </w:r>
      <w:r w:rsidRPr="00D97463">
        <w:rPr>
          <w:lang w:val="es-ES"/>
        </w:rPr>
        <w:t xml:space="preserve"> </w:t>
      </w:r>
      <w:r w:rsidRPr="00D97463">
        <w:rPr>
          <w:i/>
          <w:lang w:val="es-ES"/>
        </w:rPr>
        <w:t>2002</w:t>
      </w:r>
      <w:r w:rsidRPr="00D97463">
        <w:rPr>
          <w:lang w:val="es-ES"/>
        </w:rPr>
        <w:t xml:space="preserve">,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_Ref422733118 \h  \* MERGEFORMAT </w:instrText>
      </w:r>
      <w:r w:rsidRPr="00D97463">
        <w:fldChar w:fldCharType="separate"/>
      </w:r>
      <w:r w:rsidR="00EF153A">
        <w:rPr>
          <w:lang w:val="es-ES"/>
        </w:rPr>
        <w:t>138</w:t>
      </w:r>
      <w:r w:rsidRPr="00D97463">
        <w:fldChar w:fldCharType="end"/>
      </w:r>
      <w:r w:rsidRPr="00D97463">
        <w:rPr>
          <w:lang w:val="es-ES"/>
        </w:rPr>
        <w:t xml:space="preserve">, at para. </w:t>
      </w:r>
      <w:r w:rsidRPr="00D97463">
        <w:t xml:space="preserve">100; </w:t>
      </w:r>
      <w:r w:rsidRPr="00D97463">
        <w:rPr>
          <w:i/>
        </w:rPr>
        <w:t>Tadić 1997</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_Ref295894839 \h  \* MERGEFORMAT </w:instrText>
      </w:r>
      <w:r w:rsidRPr="00D97463">
        <w:fldChar w:fldCharType="separate"/>
      </w:r>
      <w:r w:rsidR="00EF153A">
        <w:t>121</w:t>
      </w:r>
      <w:r w:rsidRPr="00D97463">
        <w:fldChar w:fldCharType="end"/>
      </w:r>
      <w:r w:rsidRPr="00D97463">
        <w:t>, at para. 649.</w:t>
      </w:r>
    </w:p>
  </w:footnote>
  <w:footnote w:id="225">
    <w:p w:rsidR="00A3158E" w:rsidRPr="00D97463" w:rsidRDefault="00A3158E" w:rsidP="00D97463">
      <w:pPr>
        <w:pStyle w:val="FootnoteText"/>
        <w:ind w:right="1260"/>
      </w:pPr>
      <w:r w:rsidRPr="00D97463">
        <w:tab/>
      </w:r>
      <w:r w:rsidRPr="00D97463">
        <w:rPr>
          <w:rStyle w:val="FootnoteReference"/>
        </w:rPr>
        <w:footnoteRef/>
      </w:r>
      <w:r w:rsidRPr="00D97463">
        <w:tab/>
        <w:t>See, e.g.,</w:t>
      </w:r>
      <w:r w:rsidRPr="00D97463">
        <w:rPr>
          <w:i/>
        </w:rPr>
        <w:t xml:space="preserve"> Prosecutor v. Mrkšić et al., </w:t>
      </w:r>
      <w:r w:rsidRPr="00D97463">
        <w:t>Judgment, Appeals Chamber,</w:t>
      </w:r>
      <w:r w:rsidRPr="00D97463">
        <w:rPr>
          <w:i/>
        </w:rPr>
        <w:t xml:space="preserve"> </w:t>
      </w:r>
      <w:r w:rsidRPr="00D97463">
        <w:t xml:space="preserve">Case No. IT-95-13/1-A, 5 May 2009, para. 41; </w:t>
      </w:r>
      <w:r w:rsidRPr="00D97463">
        <w:rPr>
          <w:i/>
        </w:rPr>
        <w:t>Prosecutor v. Naletillić</w:t>
      </w:r>
      <w:r w:rsidRPr="00D97463">
        <w:t xml:space="preserve">, Judgment, Trial Chamber, Case No. IT-98-34-T, 31 March 2003, para. 234; </w:t>
      </w:r>
      <w:r w:rsidRPr="00D97463">
        <w:rPr>
          <w:i/>
        </w:rPr>
        <w:t>Mrkšić 2007</w:t>
      </w:r>
      <w:r w:rsidRPr="00D97463">
        <w:t xml:space="preserve">, </w:t>
      </w:r>
      <w:r w:rsidRPr="00D97463">
        <w:rPr>
          <w:i/>
          <w:iCs/>
        </w:rPr>
        <w:t>supra</w:t>
      </w:r>
      <w:r w:rsidRPr="00D97463">
        <w:t xml:space="preserve"> note </w:t>
      </w:r>
      <w:r w:rsidRPr="00D97463">
        <w:fldChar w:fldCharType="begin"/>
      </w:r>
      <w:r w:rsidRPr="00D97463">
        <w:instrText xml:space="preserve"> NOTEREF _Ref216086757 \h  \* MERGEFORMAT </w:instrText>
      </w:r>
      <w:r w:rsidRPr="00D97463">
        <w:fldChar w:fldCharType="separate"/>
      </w:r>
      <w:r w:rsidR="00EF153A">
        <w:t>122</w:t>
      </w:r>
      <w:r w:rsidRPr="00D97463">
        <w:fldChar w:fldCharType="end"/>
      </w:r>
      <w:r w:rsidRPr="00D97463">
        <w:t>, at para. 438;</w:t>
      </w:r>
      <w:r w:rsidRPr="00D97463">
        <w:rPr>
          <w:i/>
        </w:rPr>
        <w:t xml:space="preserve"> Tadić 1999</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_Ref387105579 \h  \* MERGEFORMAT </w:instrText>
      </w:r>
      <w:r w:rsidRPr="00D97463">
        <w:fldChar w:fldCharType="separate"/>
      </w:r>
      <w:r w:rsidR="00EF153A">
        <w:t>105</w:t>
      </w:r>
      <w:r w:rsidRPr="00D97463">
        <w:fldChar w:fldCharType="end"/>
      </w:r>
      <w:r w:rsidRPr="00D97463">
        <w:t>, at para. 249.</w:t>
      </w:r>
    </w:p>
  </w:footnote>
  <w:footnote w:id="226">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Against Torture and Other Cruel, Inhuman or Degrading Treatment or Punishment, done at New York on 10 December 1984, United Nations, </w:t>
      </w:r>
      <w:r w:rsidRPr="00D97463">
        <w:rPr>
          <w:i/>
        </w:rPr>
        <w:t>Treaty Series</w:t>
      </w:r>
      <w:r w:rsidRPr="00D97463">
        <w:t>, vol. 1465, p. 85 (hereinafter “Convention Against Torture”).</w:t>
      </w:r>
    </w:p>
  </w:footnote>
  <w:footnote w:id="22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Declaration on the Protection of All Persons from Enforced Disappearance</w:t>
      </w:r>
      <w:r w:rsidRPr="00D97463">
        <w:t xml:space="preserve">, General Assembly resolution 47/133 of 18 December 1992, document </w:t>
      </w:r>
      <w:hyperlink r:id="rId43" w:history="1">
        <w:r w:rsidRPr="00D97463">
          <w:rPr>
            <w:rStyle w:val="Hyperlink"/>
          </w:rPr>
          <w:t>A/RES/47/133</w:t>
        </w:r>
      </w:hyperlink>
      <w:r w:rsidRPr="00D97463">
        <w:t>.</w:t>
      </w:r>
    </w:p>
  </w:footnote>
  <w:footnote w:id="228">
    <w:p w:rsidR="00A3158E" w:rsidRPr="00D97463" w:rsidRDefault="00A3158E" w:rsidP="00D97463">
      <w:pPr>
        <w:pStyle w:val="FootnoteText"/>
        <w:ind w:right="1260"/>
      </w:pPr>
      <w:r w:rsidRPr="00D97463">
        <w:tab/>
      </w:r>
      <w:r w:rsidRPr="00D97463">
        <w:rPr>
          <w:rStyle w:val="FootnoteReference"/>
        </w:rPr>
        <w:footnoteRef/>
      </w:r>
      <w:r w:rsidRPr="00D97463">
        <w:tab/>
        <w:t xml:space="preserve">Inter-American Convention on Forced Disappearance of Persons, done at Belém do Pará on 9 June 1994, OAS Doc. OEA/Ser.P/AG/doc 3114/94. </w:t>
      </w:r>
    </w:p>
  </w:footnote>
  <w:footnote w:id="229">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Convention for the Protection of All Persons from Enforced Disappearance, done at New York on 20 December 2006, United Nations, </w:t>
      </w:r>
      <w:r w:rsidRPr="00D97463">
        <w:rPr>
          <w:i/>
        </w:rPr>
        <w:t>Treaty Series</w:t>
      </w:r>
      <w:r w:rsidRPr="00D97463">
        <w:t>, vol. 2716, p. 3 (hereinafter Enforced Disappearance Convention).</w:t>
      </w:r>
    </w:p>
  </w:footnote>
  <w:footnote w:id="230">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on the Prevention and Punishment of the Crime of Genocide, done at Paris on 9 December 1948, United Nations, </w:t>
      </w:r>
      <w:r w:rsidRPr="00D97463">
        <w:rPr>
          <w:i/>
        </w:rPr>
        <w:t>Treaty Series</w:t>
      </w:r>
      <w:r w:rsidRPr="00D97463">
        <w:t xml:space="preserve">, vol. 78, p. 277. </w:t>
      </w:r>
    </w:p>
  </w:footnote>
  <w:footnote w:id="231">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for the Suppression of Unlawful Acts Against the Safety of Civil Aviation, done at Montreal on 23 September 1971, United Nations, </w:t>
      </w:r>
      <w:r w:rsidRPr="00D97463">
        <w:rPr>
          <w:i/>
        </w:rPr>
        <w:t>Treaty Series</w:t>
      </w:r>
      <w:r w:rsidRPr="00D97463">
        <w:t>, vol. 974, p. 178.</w:t>
      </w:r>
      <w:r w:rsidRPr="00D97463">
        <w:rPr>
          <w:i/>
        </w:rPr>
        <w:t xml:space="preserve"> </w:t>
      </w:r>
      <w:r w:rsidRPr="00D97463">
        <w:t>Article 10 (1) provides: “Contracting States shall, in accordance with international and national law, endeavour to take all practicable measures for the purpose of preventing the offences mentioned in Article 1.”</w:t>
      </w:r>
    </w:p>
  </w:footnote>
  <w:footnote w:id="232">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on the Prevention and Punishment of Crimes Against Internationally Protected Persons, including Diplomatic Agents, done at New York on 14 December 1973, United Nations, </w:t>
      </w:r>
      <w:r w:rsidRPr="00D97463">
        <w:rPr>
          <w:i/>
        </w:rPr>
        <w:t>Treaty Series</w:t>
      </w:r>
      <w:r w:rsidRPr="00D97463">
        <w:t>, vol. 1035, p. 167. Article 4 (1) provides: “States Parties shall cooperate in the prevention of the crimes set forth in article 2, particularly by: (a) taking all practicable measures to prevent preparations in their respective territories for the commission of those crimes within or outside their territories ... .”</w:t>
      </w:r>
    </w:p>
  </w:footnote>
  <w:footnote w:id="233">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Convention on the Suppression and Punishment of the Crime of Apartheid, done at New York on 30 November 1973, United Nations, </w:t>
      </w:r>
      <w:r w:rsidRPr="00D97463">
        <w:rPr>
          <w:i/>
        </w:rPr>
        <w:t>Treaty Series</w:t>
      </w:r>
      <w:r w:rsidRPr="00D97463">
        <w:t>, vol. 1015, p. 243. Article IV (a) provides: “The States Parties to the present Convention undertake ... [t]o adopt any legislative or other measures necessary to suppress as well as to prevent any encouragement of the crime of apartheid and similar segregationist policies or their manifestations and to punish persons guilty of that crime ... .”</w:t>
      </w:r>
    </w:p>
  </w:footnote>
  <w:footnote w:id="234">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Convention Against the Taking of Hostages, done at New York on 17 December 1979, United Nations, </w:t>
      </w:r>
      <w:r w:rsidRPr="00D97463">
        <w:rPr>
          <w:i/>
        </w:rPr>
        <w:t>Treaty Series</w:t>
      </w:r>
      <w:r w:rsidRPr="00D97463">
        <w:t>, vol. 1316, p. 205. Article 4 (1) provides: “States Parties shall co-operate in the prevention of the offences set forth in article 1, particularly by: taking all practicable measures to prevent preparations in their respective territories for the commission of ... offences ... including measures to prohibit in their territories illegal activities of persons, groups and organizations that encourage, instigate, organize or engage in the perpetration of acts of taking of hostages.”</w:t>
      </w:r>
    </w:p>
  </w:footnote>
  <w:footnote w:id="235">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Against Torture, </w:t>
      </w:r>
      <w:r w:rsidRPr="00D97463">
        <w:rPr>
          <w:i/>
          <w:iCs/>
        </w:rPr>
        <w:t>supra</w:t>
      </w:r>
      <w:r w:rsidRPr="00D97463">
        <w:t xml:space="preserve"> note </w:t>
      </w:r>
      <w:r w:rsidRPr="00D97463">
        <w:fldChar w:fldCharType="begin"/>
      </w:r>
      <w:r w:rsidRPr="00D97463">
        <w:instrText xml:space="preserve"> NOTEREF _Ref295981371 \h  \* MERGEFORMAT </w:instrText>
      </w:r>
      <w:r w:rsidRPr="00D97463">
        <w:fldChar w:fldCharType="separate"/>
      </w:r>
      <w:r w:rsidR="00EF153A">
        <w:t>226</w:t>
      </w:r>
      <w:r w:rsidRPr="00D97463">
        <w:fldChar w:fldCharType="end"/>
      </w:r>
      <w:r w:rsidRPr="00D97463">
        <w:t>. Article 2(1) provides: “Each State Party shall take effective legislative, administrative, judicial or other measures to prevent acts of torture in any territory under its jurisdiction.”</w:t>
      </w:r>
    </w:p>
  </w:footnote>
  <w:footnote w:id="236">
    <w:p w:rsidR="00A3158E" w:rsidRPr="00D97463" w:rsidRDefault="00A3158E" w:rsidP="00D97463">
      <w:pPr>
        <w:pStyle w:val="FootnoteText"/>
        <w:ind w:right="1260"/>
      </w:pPr>
      <w:r w:rsidRPr="00D97463">
        <w:tab/>
      </w:r>
      <w:r w:rsidRPr="00D97463">
        <w:rPr>
          <w:rStyle w:val="FootnoteReference"/>
        </w:rPr>
        <w:footnoteRef/>
      </w:r>
      <w:r w:rsidRPr="00D97463">
        <w:tab/>
        <w:t xml:space="preserve">Inter-American Convention to Prevent and Punish Torture, done at Cartagena de Indias on 9 December 1985, Organization of American States, </w:t>
      </w:r>
      <w:r w:rsidRPr="00D97463">
        <w:rPr>
          <w:i/>
        </w:rPr>
        <w:t>Treaty Series</w:t>
      </w:r>
      <w:r w:rsidRPr="00D97463">
        <w:t>, No. 67. Article 1 provides: “The State Parties undertake to prevent and punish torture in accordance with the terms of this Convention.” Article 6 provides: “The States Parties likewise shall take effective measures to prevent and punish other cruel, inhuman, or degrading treatment or punishment within their jurisdiction.”</w:t>
      </w:r>
    </w:p>
  </w:footnote>
  <w:footnote w:id="237">
    <w:p w:rsidR="00A3158E" w:rsidRPr="00D97463" w:rsidRDefault="00A3158E" w:rsidP="00D97463">
      <w:pPr>
        <w:pStyle w:val="FootnoteText"/>
        <w:ind w:right="1260"/>
      </w:pPr>
      <w:r w:rsidRPr="00D97463">
        <w:tab/>
      </w:r>
      <w:r w:rsidRPr="00D97463">
        <w:rPr>
          <w:rStyle w:val="FootnoteReference"/>
        </w:rPr>
        <w:footnoteRef/>
      </w:r>
      <w:r w:rsidRPr="00D97463">
        <w:tab/>
        <w:t xml:space="preserve">Inter-American Convention on Forced Disappearance of Persons, </w:t>
      </w:r>
      <w:r w:rsidRPr="00D97463">
        <w:rPr>
          <w:i/>
          <w:iCs/>
        </w:rPr>
        <w:t>supra</w:t>
      </w:r>
      <w:r w:rsidRPr="00D97463">
        <w:t xml:space="preserve"> note </w:t>
      </w:r>
      <w:r w:rsidRPr="00D97463">
        <w:fldChar w:fldCharType="begin"/>
      </w:r>
      <w:r w:rsidRPr="00D97463">
        <w:instrText xml:space="preserve"> NOTEREF _Ref295981561 \h  \* MERGEFORMAT </w:instrText>
      </w:r>
      <w:r w:rsidRPr="00D97463">
        <w:fldChar w:fldCharType="separate"/>
      </w:r>
      <w:r w:rsidR="00EF153A">
        <w:t>228</w:t>
      </w:r>
      <w:r w:rsidRPr="00D97463">
        <w:fldChar w:fldCharType="end"/>
      </w:r>
      <w:r w:rsidRPr="00D97463">
        <w:t>. Article 1 (c)-(d) provides: “The States Parties to this Convention undertake ... [t]o cooperate with one another in helping to prevent, punish, and eliminate the forced disappearance of persons; [t]o take legislative, administrative, judicial, and any other measures necessary to comply with the commitments undertaken in this Convention.”</w:t>
      </w:r>
    </w:p>
  </w:footnote>
  <w:footnote w:id="238">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on the Safety of United Nations and Associated Personnel, done at New York on 9 December 1994, United Nations, </w:t>
      </w:r>
      <w:r w:rsidRPr="00D97463">
        <w:rPr>
          <w:i/>
        </w:rPr>
        <w:t>Treaty Series</w:t>
      </w:r>
      <w:r w:rsidRPr="00D97463">
        <w:t xml:space="preserve">, vol. 2051, p. 363. Article 11 provides: “States Parties shall cooperate in the prevention of the crimes set out in article 9, particularly by: (a) Taking all practicable measures to prevent preparations in their respective territories for the commission of those crimes within or outside their territories; and (b) Exchanging information in accordance with their national law and coordinating the taking of administrative and other measures as appropriate to prevent the commission of those crimes.” </w:t>
      </w:r>
    </w:p>
  </w:footnote>
  <w:footnote w:id="239">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Convention for the Suppression of Terrorist Bombings, done at New York on 15 December 1997, United Nations, </w:t>
      </w:r>
      <w:r w:rsidRPr="00D97463">
        <w:rPr>
          <w:i/>
        </w:rPr>
        <w:t>Treaty Series</w:t>
      </w:r>
      <w:r w:rsidRPr="00D97463">
        <w:t>, vol. 2149, p. 256. Article 15(a) provides: “States Parties shall cooperate in the prevention of the offences set forth in article 2 ...”</w:t>
      </w:r>
      <w:r>
        <w:t>.</w:t>
      </w:r>
    </w:p>
  </w:footnote>
  <w:footnote w:id="240">
    <w:p w:rsidR="00A3158E" w:rsidRPr="00D97463" w:rsidRDefault="00A3158E" w:rsidP="00D97463">
      <w:pPr>
        <w:pStyle w:val="FootnoteText"/>
        <w:ind w:right="1260"/>
      </w:pPr>
      <w:r w:rsidRPr="00D97463">
        <w:tab/>
      </w:r>
      <w:r w:rsidRPr="00D97463">
        <w:rPr>
          <w:rStyle w:val="FootnoteReference"/>
        </w:rPr>
        <w:footnoteRef/>
      </w:r>
      <w:r w:rsidRPr="00D97463">
        <w:tab/>
        <w:t xml:space="preserve">United Nations Convention against Transnational Organized Crime, done at New York on 15 November 2000, United Nations, </w:t>
      </w:r>
      <w:r w:rsidRPr="00D97463">
        <w:rPr>
          <w:i/>
        </w:rPr>
        <w:t>Treaty Series</w:t>
      </w:r>
      <w:r w:rsidRPr="00D97463">
        <w:t>, vol. 2225, p. 209. Article 9 (1) provides: “In addition to the measures set forth in article 8 of this Convention, each State Party shall, to the extent appropriate and consistent with its legal system, adopt legislative, administrative or other effective measures to promote integrity and to prevent, detect and punish the corruption of public officials.” Article 9 (2) provides: “Each State Party shall take measures to ensure effective action by its authorities in the prevention, detection and punishment of the corruption of public officials, including providing such authorities with adequate independence to deter the exertion of inappropriate influence on their actions.” Article 29 (1): “Each State Party shall, to the extent necessary, initiate, develop or improve specific training programmes for its law enforcement personnel, including prosecutors, investigating magistrates and customs personnel, and other personnel charged with the prevention, detection and control of the offences covered by this Convention.” Article 31 (1) provides: “States Parties shall endeavour to develop and evaluate national projects and to establish and promote best practices and policies aimed at the prevention of transnational organized crime.”</w:t>
      </w:r>
    </w:p>
  </w:footnote>
  <w:footnote w:id="241">
    <w:p w:rsidR="00A3158E" w:rsidRPr="00D97463" w:rsidRDefault="00A3158E" w:rsidP="00D97463">
      <w:pPr>
        <w:pStyle w:val="FootnoteText"/>
        <w:ind w:right="1260"/>
      </w:pPr>
      <w:r w:rsidRPr="00D97463">
        <w:tab/>
      </w:r>
      <w:r w:rsidRPr="00D97463">
        <w:rPr>
          <w:rStyle w:val="FootnoteReference"/>
        </w:rPr>
        <w:footnoteRef/>
      </w:r>
      <w:r w:rsidRPr="00D97463">
        <w:tab/>
        <w:t xml:space="preserve">Protocol to Prevent, Suppress and Punish Trafficking in Persons, Especially Women and Children, supplementing the United Nations Convention Against Transnational Organized Crime, done at New York on 15 November 2000, United Nations, </w:t>
      </w:r>
      <w:r w:rsidRPr="00D97463">
        <w:rPr>
          <w:i/>
        </w:rPr>
        <w:t>Treaty Series</w:t>
      </w:r>
      <w:r w:rsidRPr="00D97463">
        <w:t>, vol. 2237, p. 319. Article 9 (1) provides: “States Parties shall establish comprehensive policies, programmes and other measures: (a) To prevent and combat trafficking in persons; and (b) To protect victims of trafficking in persons, especially women and children, from revictimization.”</w:t>
      </w:r>
    </w:p>
  </w:footnote>
  <w:footnote w:id="242">
    <w:p w:rsidR="00A3158E" w:rsidRPr="00D97463" w:rsidRDefault="00A3158E" w:rsidP="00D97463">
      <w:pPr>
        <w:pStyle w:val="FootnoteText"/>
        <w:ind w:right="1260"/>
      </w:pPr>
      <w:r w:rsidRPr="00D97463">
        <w:tab/>
      </w:r>
      <w:r w:rsidRPr="00D97463">
        <w:rPr>
          <w:rStyle w:val="FootnoteReference"/>
        </w:rPr>
        <w:footnoteRef/>
      </w:r>
      <w:r w:rsidRPr="00D97463">
        <w:tab/>
        <w:t xml:space="preserve">Optional Protocol to the Convention Against Torture and Other Cruel, Inhuman or Degrading Treatment or Punishment, done at New York on 18 December 2002, United Nations, </w:t>
      </w:r>
      <w:r w:rsidRPr="00D97463">
        <w:rPr>
          <w:i/>
        </w:rPr>
        <w:t>Treaty Series</w:t>
      </w:r>
      <w:r w:rsidRPr="00D97463">
        <w:t>, vol. 2375, p. 237. The preamble provides: “Recalling that the effective prevention of torture and other cruel, inhuman or degrading treatment or punishment requires education and a combination of various legislative, administrative, judicial and other measures.” Article 3 provides: “Each State party shall set up, designate or maintain at the domestic level one or several visiting bodies for the prevention of torture and other cruel, inhuman or degrading treatment or punishment ... .”</w:t>
      </w:r>
    </w:p>
  </w:footnote>
  <w:footnote w:id="243">
    <w:p w:rsidR="00A3158E" w:rsidRPr="00D97463" w:rsidRDefault="00A3158E" w:rsidP="00D97463">
      <w:pPr>
        <w:pStyle w:val="FootnoteText"/>
        <w:ind w:right="1260"/>
      </w:pPr>
      <w:r w:rsidRPr="00D97463">
        <w:tab/>
      </w:r>
      <w:r w:rsidRPr="00D97463">
        <w:rPr>
          <w:rStyle w:val="FootnoteReference"/>
        </w:rPr>
        <w:footnoteRef/>
      </w:r>
      <w:r w:rsidRPr="00D97463">
        <w:tab/>
        <w:t xml:space="preserve">Enforced Disappearance Convention,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_Ref295982514 \h  \* MERGEFORMAT </w:instrText>
      </w:r>
      <w:r w:rsidRPr="00D97463">
        <w:fldChar w:fldCharType="separate"/>
      </w:r>
      <w:r w:rsidR="00EF153A">
        <w:t>229</w:t>
      </w:r>
      <w:r w:rsidRPr="00D97463">
        <w:fldChar w:fldCharType="end"/>
      </w:r>
      <w:r w:rsidRPr="00D97463">
        <w:t>. The preamble provides: “Determined to prevent enforced disappearances and to combat impunity for the crime of enforced disappearance.” Article 23 provides: “1. Each State Party shall ensure that the training of law enforcement personnel, civil or military, medical personnel, public officials and other persons who may be involved in the custody or treatment of any person deprived of liberty includes the necessary education and information regarding the relevant provisions of this Convention, in order to: (a) Prevent the involvement of such officials in enforced disappearances; (b) Emphasize the importance of prevention and investigations in relation to enforced disappearances; (c) Ensure that the urgent need to resolve cases of enforced disappearance is recognized. 2. Each State Party shall ensure that orders or instructions prescribing, authorizing or encouraging enforced disappearance are prohibited. Each State Party shall guarantee that a person who refuses to obey such an order will not be punished. 3. Each State Party shall take the necessary measures to ensure that the persons referred to in paragraph 1 of this article who have reason to believe that an enforced disappearance has occurred or is planned report the matter to their superiors and, where necessary, to the appropriate authorities or bodies vested with powers of review or remedy.”</w:t>
      </w:r>
    </w:p>
  </w:footnote>
  <w:footnote w:id="244">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Convention on the Elimination of All Forms of Racial Discrimination, done at New York on 7 March 1966, United Nations, </w:t>
      </w:r>
      <w:r w:rsidRPr="00D97463">
        <w:rPr>
          <w:i/>
        </w:rPr>
        <w:t>Treaty Series</w:t>
      </w:r>
      <w:r w:rsidRPr="00D97463">
        <w:t>, vol. 660, p. 195. Article 3 provides: “States Parties particularly condemn racial segregation and apartheid and undertake to prevent, prohibit and eradicate all practices of this nature in territories under their jurisdiction.”</w:t>
      </w:r>
    </w:p>
  </w:footnote>
  <w:footnote w:id="245">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on the Elimination of All Forms of Discrimination against Women, done at New York on 18 December 1979, United Nations, </w:t>
      </w:r>
      <w:r w:rsidRPr="00D97463">
        <w:rPr>
          <w:i/>
        </w:rPr>
        <w:t>Treaty Series</w:t>
      </w:r>
      <w:r w:rsidRPr="00D97463">
        <w:t>, vol. 1249, p. 13. Article 2 provides: “States Parties condemn discrimination against women in all its forms, agree to pursue by all appropriate means and without delay a policy of eliminating discrimination against women.” Article 3 provides: “States Parties shall take in all ﬁelds, in particular in the political, social, economic and cultural ﬁelds, all appropriate measures, including legislation, to ensure the full development and advancement of women, for the purpose of guaranteeing them the exercise and enjoyment of human rights and fundamental freedoms on a basis of equality with men.”</w:t>
      </w:r>
    </w:p>
  </w:footnote>
  <w:footnote w:id="246">
    <w:p w:rsidR="00A3158E" w:rsidRPr="00D97463" w:rsidRDefault="00A3158E" w:rsidP="00D97463">
      <w:pPr>
        <w:pStyle w:val="FootnoteText"/>
        <w:ind w:right="1260"/>
      </w:pPr>
      <w:r w:rsidRPr="00D97463">
        <w:tab/>
      </w:r>
      <w:r w:rsidRPr="00D97463">
        <w:rPr>
          <w:rStyle w:val="FootnoteReference"/>
        </w:rPr>
        <w:footnoteRef/>
      </w:r>
      <w:r w:rsidRPr="00D97463">
        <w:tab/>
        <w:t xml:space="preserve">Council of Europe Convention on preventing and combating violence against women and domestic violence, done at Istanbul on 5 November 2011, Council of Europe, </w:t>
      </w:r>
      <w:r w:rsidRPr="00D97463">
        <w:rPr>
          <w:i/>
        </w:rPr>
        <w:t>Treaty Series</w:t>
      </w:r>
      <w:r w:rsidRPr="00D97463">
        <w:t>, No. 210. Article 4 (2) provides: “Parties condemn all forms of discrimination against women and take, without delay, the necessary legislative and other measures to prevent it, in particular by: embodying in their national constitutions or other appropriate legislation the principle of equality between women and men and ensuring the practical realisation of this principle; prohibiting discrimination against women, including through the use of sanctions, where appropriate; abolishing laws and practices which discriminate against women.”</w:t>
      </w:r>
    </w:p>
  </w:footnote>
  <w:footnote w:id="247">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Covenant on Civil and Political Rights, done at New York on 16 December 1966, United Nations, </w:t>
      </w:r>
      <w:r w:rsidRPr="00D97463">
        <w:rPr>
          <w:i/>
        </w:rPr>
        <w:t>Treaty Series</w:t>
      </w:r>
      <w:r w:rsidRPr="00D97463">
        <w:t>, vol. 999, p. 171. Article 2 (2):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footnote>
  <w:footnote w:id="248">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on the Rights of the Child, done at New York on 20 November 1989, United Nations, </w:t>
      </w:r>
      <w:r w:rsidRPr="00D97463">
        <w:rPr>
          <w:i/>
        </w:rPr>
        <w:t>Treaty Series</w:t>
      </w:r>
      <w:r w:rsidRPr="00D97463">
        <w:t>, vol. 1577, p. 3. Article 4 provides: “States Parties shall undertake all appropriate legislative, administrative, and other measures for the implementation of the rights recognized in the present Convention.”</w:t>
      </w:r>
    </w:p>
  </w:footnote>
  <w:footnote w:id="24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Application of the Convention on the Prevention and Punishment of the Crime of Genocide (Bosnia and Herzegovina v. Serbia and Montenegro)</w:t>
      </w:r>
      <w:r w:rsidRPr="00D97463">
        <w:t xml:space="preserve">, </w:t>
      </w:r>
      <w:r w:rsidRPr="00D97463">
        <w:rPr>
          <w:i/>
          <w:iCs/>
        </w:rPr>
        <w:t>Judgment, I.C.J. Reports 2007</w:t>
      </w:r>
      <w:r w:rsidRPr="00D97463">
        <w:t>, p. 219 at para. 426 (hereinafter “</w:t>
      </w:r>
      <w:r w:rsidRPr="00D97463">
        <w:rPr>
          <w:i/>
          <w:iCs/>
        </w:rPr>
        <w:t>Bosnia and Herzegovina v. Serbia and Montenegro</w:t>
      </w:r>
      <w:r w:rsidRPr="00D97463">
        <w:t>”).</w:t>
      </w:r>
    </w:p>
  </w:footnote>
  <w:footnote w:id="25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para. 425.</w:t>
      </w:r>
    </w:p>
  </w:footnote>
  <w:footnote w:id="25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 220 at para. 427.</w:t>
      </w:r>
    </w:p>
  </w:footnote>
  <w:footnote w:id="25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Application of the Convention on the Prevention and Punishment of the Crime of Genocide (Bosnia and Herzegovina v. Yugoslavia (Serbia and Montenegro))</w:t>
      </w:r>
      <w:r w:rsidRPr="00D97463">
        <w:t xml:space="preserve">, </w:t>
      </w:r>
      <w:r w:rsidRPr="00D97463">
        <w:rPr>
          <w:i/>
          <w:iCs/>
        </w:rPr>
        <w:t>Provisional Measures</w:t>
      </w:r>
      <w:r w:rsidRPr="00D97463">
        <w:t xml:space="preserve">, </w:t>
      </w:r>
      <w:r w:rsidRPr="00D97463">
        <w:rPr>
          <w:i/>
          <w:iCs/>
        </w:rPr>
        <w:t>Order, I.C.J. Reports 1993</w:t>
      </w:r>
      <w:r w:rsidRPr="00D97463">
        <w:t>, p. 22 at para. 45.</w:t>
      </w:r>
    </w:p>
  </w:footnote>
  <w:footnote w:id="25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 xml:space="preserve">Bosnia and Herzegovina </w:t>
      </w:r>
      <w:r w:rsidRPr="00D97463">
        <w:rPr>
          <w:i/>
          <w:iCs/>
        </w:rPr>
        <w:t>v.</w:t>
      </w:r>
      <w:r w:rsidRPr="00D97463">
        <w:rPr>
          <w:i/>
        </w:rPr>
        <w:t xml:space="preserve"> Serbia and Montenegro</w:t>
      </w:r>
      <w:r w:rsidRPr="00D97463">
        <w:t xml:space="preserve">, </w:t>
      </w:r>
      <w:r w:rsidRPr="00D97463">
        <w:rPr>
          <w:i/>
          <w:iCs/>
        </w:rPr>
        <w:t>supra</w:t>
      </w:r>
      <w:r w:rsidRPr="00D97463">
        <w:t xml:space="preserve"> note </w:t>
      </w:r>
      <w:r w:rsidRPr="00D97463">
        <w:fldChar w:fldCharType="begin"/>
      </w:r>
      <w:r w:rsidRPr="00D97463">
        <w:instrText xml:space="preserve"> NOTEREF _Ref295984475 \h  \* MERGEFORMAT </w:instrText>
      </w:r>
      <w:r w:rsidRPr="00D97463">
        <w:fldChar w:fldCharType="separate"/>
      </w:r>
      <w:r w:rsidR="00EF153A">
        <w:t>249</w:t>
      </w:r>
      <w:r w:rsidRPr="00D97463">
        <w:fldChar w:fldCharType="end"/>
      </w:r>
      <w:r w:rsidRPr="00D97463">
        <w:t>, p. 111 at para. 162.</w:t>
      </w:r>
    </w:p>
  </w:footnote>
  <w:footnote w:id="25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 221 at para. 430.</w:t>
      </w:r>
    </w:p>
  </w:footnote>
  <w:footnote w:id="25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w:t>
      </w:r>
      <w:r w:rsidRPr="00D97463">
        <w:rPr>
          <w:i/>
        </w:rPr>
        <w:t xml:space="preserve"> </w:t>
      </w:r>
      <w:r w:rsidRPr="00D97463">
        <w:t>p. 113 at para. 166.</w:t>
      </w:r>
    </w:p>
  </w:footnote>
  <w:footnote w:id="25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 113 at para. 166.</w:t>
      </w:r>
    </w:p>
  </w:footnote>
  <w:footnote w:id="25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 120 at para. 183.</w:t>
      </w:r>
    </w:p>
  </w:footnote>
  <w:footnote w:id="25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p. 114 at para. 167 (finding that international responsibility is “quite different in nature from criminal responsibility”). </w:t>
      </w:r>
    </w:p>
  </w:footnote>
  <w:footnote w:id="259">
    <w:p w:rsidR="00A3158E" w:rsidRPr="00D97463" w:rsidRDefault="00A3158E" w:rsidP="00D97463">
      <w:pPr>
        <w:pStyle w:val="FootnoteText"/>
        <w:ind w:right="1260"/>
      </w:pPr>
      <w:r w:rsidRPr="00D97463">
        <w:rPr>
          <w:i/>
        </w:rPr>
        <w:tab/>
      </w:r>
      <w:r w:rsidRPr="00D97463">
        <w:rPr>
          <w:rStyle w:val="FootnoteReference"/>
        </w:rPr>
        <w:footnoteRef/>
      </w:r>
      <w:r w:rsidRPr="00D97463">
        <w:rPr>
          <w:i/>
        </w:rPr>
        <w:tab/>
        <w:t>Yearbook … 1998</w:t>
      </w:r>
      <w:r w:rsidRPr="00D97463">
        <w:t>, Vol. II (Part Two), p. 65 at para. 248 (finding that the Genocide Convention “did not envisage State crime or the criminal responsibility of States in its article IX concerning State responsibility”).</w:t>
      </w:r>
    </w:p>
  </w:footnote>
  <w:footnote w:id="26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 … 2001</w:t>
      </w:r>
      <w:r w:rsidRPr="00D97463">
        <w:t>, Vol. II (Part. Two), p. 142 (para. 3 of the Commentary to article 58).</w:t>
      </w:r>
    </w:p>
  </w:footnote>
  <w:footnote w:id="26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 xml:space="preserve">Bosnia and Herzegovina </w:t>
      </w:r>
      <w:r w:rsidRPr="00D97463">
        <w:rPr>
          <w:i/>
          <w:iCs/>
        </w:rPr>
        <w:t>v.</w:t>
      </w:r>
      <w:r w:rsidRPr="00D97463">
        <w:rPr>
          <w:i/>
        </w:rPr>
        <w:t xml:space="preserve"> Serbia and Montenegro</w:t>
      </w:r>
      <w:r w:rsidRPr="00D97463">
        <w:t xml:space="preserve">, </w:t>
      </w:r>
      <w:r w:rsidRPr="00D97463">
        <w:rPr>
          <w:i/>
          <w:iCs/>
        </w:rPr>
        <w:t>supra</w:t>
      </w:r>
      <w:r w:rsidRPr="00D97463">
        <w:t xml:space="preserve"> note </w:t>
      </w:r>
      <w:r w:rsidRPr="00D97463">
        <w:fldChar w:fldCharType="begin"/>
      </w:r>
      <w:r w:rsidRPr="00D97463">
        <w:instrText xml:space="preserve"> NOTEREF _Ref295984475 \h  \* MERGEFORMAT </w:instrText>
      </w:r>
      <w:r w:rsidRPr="00D97463">
        <w:fldChar w:fldCharType="separate"/>
      </w:r>
      <w:r w:rsidR="00EF153A">
        <w:t>249</w:t>
      </w:r>
      <w:r w:rsidRPr="00D97463">
        <w:fldChar w:fldCharType="end"/>
      </w:r>
      <w:r w:rsidRPr="00D97463">
        <w:t>, p. 113 at para. 166.</w:t>
      </w:r>
    </w:p>
  </w:footnote>
  <w:footnote w:id="26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 221 at para. 430.</w:t>
      </w:r>
    </w:p>
  </w:footnote>
  <w:footnote w:id="26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26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p. 221 at para. 431; see </w:t>
      </w:r>
      <w:r w:rsidRPr="00D97463">
        <w:rPr>
          <w:i/>
        </w:rPr>
        <w:t>Yearbook … 2001</w:t>
      </w:r>
      <w:r w:rsidRPr="00D97463">
        <w:t>, vol. II (Part Two),</w:t>
      </w:r>
      <w:r w:rsidRPr="00D97463">
        <w:rPr>
          <w:i/>
        </w:rPr>
        <w:t xml:space="preserve"> </w:t>
      </w:r>
      <w:r w:rsidRPr="00D97463">
        <w:t>p. 27 (</w:t>
      </w:r>
      <w:r w:rsidRPr="00D97463">
        <w:rPr>
          <w:i/>
        </w:rPr>
        <w:t>Draft articles on responsibility of States for internationally wrongful acts</w:t>
      </w:r>
      <w:r w:rsidRPr="00D97463">
        <w:t>, art. 13 (3): “The breach of an international obligation requiring a State to prevent a given event occurs when the event occurs ...”).</w:t>
      </w:r>
    </w:p>
  </w:footnote>
  <w:footnote w:id="265">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Against Torture,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_Ref295981371 \h  \* MERGEFORMAT </w:instrText>
      </w:r>
      <w:r w:rsidRPr="00D97463">
        <w:fldChar w:fldCharType="separate"/>
      </w:r>
      <w:r w:rsidR="00EF153A">
        <w:t>226</w:t>
      </w:r>
      <w:r w:rsidRPr="00D97463">
        <w:fldChar w:fldCharType="end"/>
      </w:r>
      <w:r w:rsidRPr="00D97463">
        <w:t xml:space="preserve">, at art. 2 (1). </w:t>
      </w:r>
    </w:p>
  </w:footnote>
  <w:footnote w:id="266">
    <w:p w:rsidR="00A3158E" w:rsidRPr="00D97463" w:rsidRDefault="00A3158E" w:rsidP="00D97463">
      <w:pPr>
        <w:pStyle w:val="FootnoteText"/>
        <w:ind w:right="1260"/>
      </w:pPr>
      <w:r w:rsidRPr="00D97463">
        <w:tab/>
      </w:r>
      <w:r w:rsidRPr="00D97463">
        <w:rPr>
          <w:rStyle w:val="FootnoteReference"/>
        </w:rPr>
        <w:footnoteRef/>
      </w:r>
      <w:r w:rsidRPr="00D97463">
        <w:tab/>
        <w:t>See Committee Against Torture, General Comment No. 2, para. 4 (</w:t>
      </w:r>
      <w:hyperlink r:id="rId44" w:history="1">
        <w:r w:rsidRPr="00D97463">
          <w:rPr>
            <w:rStyle w:val="Hyperlink"/>
          </w:rPr>
          <w:t>CAT/C/GC/2/CRP.1/Rev.4</w:t>
        </w:r>
      </w:hyperlink>
      <w:r w:rsidRPr="00D97463">
        <w:t xml:space="preserve">) (2007). </w:t>
      </w:r>
    </w:p>
  </w:footnote>
  <w:footnote w:id="267">
    <w:p w:rsidR="00A3158E" w:rsidRPr="00D97463" w:rsidRDefault="00A3158E" w:rsidP="00D97463">
      <w:pPr>
        <w:pStyle w:val="FootnoteText"/>
        <w:ind w:right="1260"/>
        <w:rPr>
          <w:lang w:val="es-ES"/>
        </w:rPr>
      </w:pPr>
      <w:r w:rsidRPr="00D97463">
        <w:tab/>
      </w:r>
      <w:r w:rsidRPr="00D97463">
        <w:rPr>
          <w:rStyle w:val="FootnoteReference"/>
        </w:rPr>
        <w:footnoteRef/>
      </w:r>
      <w:r w:rsidRPr="00D97463">
        <w:rPr>
          <w:lang w:val="es-ES"/>
        </w:rPr>
        <w:tab/>
        <w:t xml:space="preserve">Document </w:t>
      </w:r>
      <w:hyperlink r:id="rId45" w:history="1">
        <w:r w:rsidRPr="00D97463">
          <w:rPr>
            <w:rStyle w:val="Hyperlink"/>
            <w:lang w:val="es-ES"/>
          </w:rPr>
          <w:t>A/HRC/28/L.25</w:t>
        </w:r>
      </w:hyperlink>
      <w:r w:rsidRPr="00D97463">
        <w:rPr>
          <w:lang w:val="es-ES"/>
        </w:rPr>
        <w:t xml:space="preserve"> (23 March 2015).</w:t>
      </w:r>
    </w:p>
  </w:footnote>
  <w:footnote w:id="268">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w:t>
      </w:r>
      <w:r w:rsidRPr="00D97463">
        <w:rPr>
          <w:i/>
          <w:lang w:val="es-ES"/>
        </w:rPr>
        <w:t xml:space="preserve"> </w:t>
      </w:r>
      <w:r w:rsidRPr="00D97463">
        <w:rPr>
          <w:lang w:val="es-ES"/>
        </w:rPr>
        <w:t>para. 2.</w:t>
      </w:r>
    </w:p>
  </w:footnote>
  <w:footnote w:id="269">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ab/>
      </w:r>
      <w:r w:rsidRPr="00D97463">
        <w:rPr>
          <w:i/>
          <w:iCs/>
          <w:lang w:val="es-ES"/>
        </w:rPr>
        <w:t>Ibid.</w:t>
      </w:r>
      <w:r w:rsidRPr="00D97463">
        <w:rPr>
          <w:lang w:val="es-ES"/>
        </w:rPr>
        <w:t>,</w:t>
      </w:r>
      <w:r w:rsidRPr="00D97463">
        <w:rPr>
          <w:i/>
          <w:lang w:val="es-ES"/>
        </w:rPr>
        <w:t xml:space="preserve"> </w:t>
      </w:r>
      <w:r w:rsidRPr="00D97463">
        <w:rPr>
          <w:lang w:val="es-ES"/>
        </w:rPr>
        <w:t xml:space="preserve">para. </w:t>
      </w:r>
      <w:r w:rsidRPr="00D97463">
        <w:t>3.</w:t>
      </w:r>
    </w:p>
  </w:footnote>
  <w:footnote w:id="27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w:t>
      </w:r>
      <w:r w:rsidRPr="00D97463">
        <w:rPr>
          <w:i/>
        </w:rPr>
        <w:t xml:space="preserve"> </w:t>
      </w:r>
      <w:r w:rsidRPr="00D97463">
        <w:t xml:space="preserve">para. 4. </w:t>
      </w:r>
    </w:p>
  </w:footnote>
  <w:footnote w:id="271">
    <w:p w:rsidR="00A3158E" w:rsidRPr="00D97463" w:rsidRDefault="00A3158E" w:rsidP="00D97463">
      <w:pPr>
        <w:pStyle w:val="FootnoteText"/>
        <w:ind w:right="1260"/>
      </w:pPr>
      <w:r w:rsidRPr="00D97463">
        <w:tab/>
      </w:r>
      <w:r w:rsidRPr="00D97463">
        <w:rPr>
          <w:rStyle w:val="FootnoteReference"/>
        </w:rPr>
        <w:footnoteRef/>
      </w:r>
      <w:r w:rsidRPr="00D97463">
        <w:tab/>
        <w:t xml:space="preserve">European Convention for the Protection of Human Rights and Fundamental Freedoms, done at Rome on 4 November 1950, United Nations, </w:t>
      </w:r>
      <w:r w:rsidRPr="00D97463">
        <w:rPr>
          <w:i/>
        </w:rPr>
        <w:t>Treaty Series</w:t>
      </w:r>
      <w:r w:rsidRPr="00D97463">
        <w:t>, vol.</w:t>
      </w:r>
      <w:r w:rsidRPr="00D97463">
        <w:rPr>
          <w:i/>
        </w:rPr>
        <w:t xml:space="preserve"> </w:t>
      </w:r>
      <w:r w:rsidRPr="00D97463">
        <w:t>213, p. 221.</w:t>
      </w:r>
    </w:p>
  </w:footnote>
  <w:footnote w:id="27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Makaratzis v. Greece</w:t>
      </w:r>
      <w:r w:rsidRPr="00D97463">
        <w:t xml:space="preserve">, Judgment (Merits and Just Satisfaction), Reports of Judgment and Decisions 2004-XI, ECHR, Grand Chamber, Application No. 50385/99, 20 December 2004, para. 57; see </w:t>
      </w:r>
      <w:r w:rsidRPr="00D97463">
        <w:rPr>
          <w:i/>
        </w:rPr>
        <w:t>Kiliç v. Turkey</w:t>
      </w:r>
      <w:r w:rsidRPr="00D97463">
        <w:t>, Judgment (Merits and Just Satisfaction), Reports of Judgments and Decisions 2000-III, ECHR, Chamber, Application No. 22492/93, 28 March 2000, para. 62 (finding that article 2, paragraph 1, obliged a State Party not only to refrain from the intentional and unlawful taking of life, but also to take appropriate steps within its domestic legal system to safeguard the lives of those within its jurisdiction).</w:t>
      </w:r>
    </w:p>
  </w:footnote>
  <w:footnote w:id="27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Mahmut Kaya v. Turkey</w:t>
      </w:r>
      <w:r w:rsidRPr="00D97463">
        <w:t xml:space="preserve">, Judgment (Merits and Just Satisfaction), Reports of Judgments and Decisions 2000-III, ECHR, Chamber, Application No. 22535/93, 28 March 2000, para. 86 (“Bearing in mind the difficulties in policing modern societies, the unpredictability of human conduct and the operational choices which must be made in terms of priorities and resources, the positive obligation [of article 2, paragraph 1,] must be interpreted in a way which does not impose an impossible or disproportionate burden on the authorities.”); see also </w:t>
      </w:r>
      <w:r w:rsidRPr="00D97463">
        <w:rPr>
          <w:i/>
        </w:rPr>
        <w:t>Kerimova and others v. Russia</w:t>
      </w:r>
      <w:r w:rsidRPr="00D97463">
        <w:t xml:space="preserve">, Judgment (Merits and Just Satisfaction), ECHR, Chamber, Applications Nos. 17170/04, 20792/04, 22448/04, 23360/04, 5681/05, and 5684/05, 3 May 2011 (final 15 September 2011), para. 246; </w:t>
      </w:r>
      <w:r w:rsidRPr="00D97463">
        <w:rPr>
          <w:i/>
        </w:rPr>
        <w:t>Osman v. United Kingdom</w:t>
      </w:r>
      <w:r w:rsidRPr="00D97463">
        <w:t>, Judgment (Merits and Just Satisfaction), Reports 1998-VIII, ECHR, Grand Chamber, Application No. 87/1997/871/1083, 28 October 1998, para. 116.</w:t>
      </w:r>
    </w:p>
  </w:footnote>
  <w:footnote w:id="274">
    <w:p w:rsidR="00A3158E" w:rsidRPr="00D97463" w:rsidRDefault="00A3158E" w:rsidP="00D97463">
      <w:pPr>
        <w:pStyle w:val="FootnoteText"/>
        <w:ind w:right="1260"/>
      </w:pPr>
      <w:r w:rsidRPr="00D97463">
        <w:tab/>
      </w:r>
      <w:r w:rsidRPr="00D97463">
        <w:rPr>
          <w:rStyle w:val="FootnoteReference"/>
        </w:rPr>
        <w:footnoteRef/>
      </w:r>
      <w:r w:rsidRPr="00D97463">
        <w:tab/>
        <w:t xml:space="preserve">American Convention on Human Rights, done at San Jose on 22 November 1969, Organization of American States, </w:t>
      </w:r>
      <w:r w:rsidRPr="00D97463">
        <w:rPr>
          <w:i/>
        </w:rPr>
        <w:t>Treaty Series</w:t>
      </w:r>
      <w:r w:rsidRPr="00D97463">
        <w:t>, No. 36.</w:t>
      </w:r>
    </w:p>
  </w:footnote>
  <w:footnote w:id="275">
    <w:p w:rsidR="00A3158E" w:rsidRPr="00D97463" w:rsidRDefault="00A3158E" w:rsidP="00D97463">
      <w:pPr>
        <w:pStyle w:val="FootnoteText"/>
        <w:ind w:right="1260"/>
      </w:pPr>
      <w:r w:rsidRPr="00D97463">
        <w:tab/>
      </w:r>
      <w:r w:rsidRPr="00D97463">
        <w:rPr>
          <w:rStyle w:val="FootnoteReference"/>
        </w:rPr>
        <w:footnoteRef/>
      </w:r>
      <w:r w:rsidRPr="00D97463">
        <w:tab/>
        <w:t xml:space="preserve">Article 1 (1) reads: The States Parties to this Convention undertake to respect the rights and freedoms recognized herein and to ensure to all persons subject to their jurisdiction the free and full exercise of those rights and freedoms, without any discrimination ... .” It is noted that Article 1 of the African Charter on Human and People’s Rights provides that the States Parties “shall recognise the rights, duties and freedoms enshrined in the Charter and shall undertake to adopt legislative or other measures to give effect to them (United Nations, </w:t>
      </w:r>
      <w:r w:rsidRPr="00D97463">
        <w:rPr>
          <w:i/>
        </w:rPr>
        <w:t>Treaty Series</w:t>
      </w:r>
      <w:r w:rsidRPr="00D97463">
        <w:t xml:space="preserve">, vol. 1520, p. 217). </w:t>
      </w:r>
    </w:p>
  </w:footnote>
  <w:footnote w:id="276">
    <w:p w:rsidR="00A3158E" w:rsidRPr="00D97463" w:rsidRDefault="00A3158E" w:rsidP="00D97463">
      <w:pPr>
        <w:pStyle w:val="FootnoteText"/>
        <w:ind w:right="1260"/>
      </w:pPr>
      <w:r w:rsidRPr="00D97463">
        <w:tab/>
      </w:r>
      <w:r w:rsidRPr="00D97463">
        <w:rPr>
          <w:rStyle w:val="FootnoteReference"/>
        </w:rPr>
        <w:footnoteRef/>
      </w:r>
      <w:r w:rsidRPr="00D97463">
        <w:rPr>
          <w:lang w:val="es-ES"/>
        </w:rPr>
        <w:tab/>
      </w:r>
      <w:r w:rsidRPr="00D97463">
        <w:rPr>
          <w:i/>
          <w:lang w:val="es-ES"/>
        </w:rPr>
        <w:t>Velasquez Rodríguez v. Honduras</w:t>
      </w:r>
      <w:r w:rsidRPr="00D97463">
        <w:rPr>
          <w:lang w:val="es-ES"/>
        </w:rPr>
        <w:t xml:space="preserve">, </w:t>
      </w:r>
      <w:r w:rsidRPr="00D97463">
        <w:rPr>
          <w:i/>
          <w:lang w:val="es-ES"/>
        </w:rPr>
        <w:t xml:space="preserve">Judgment </w:t>
      </w:r>
      <w:r w:rsidRPr="00D97463">
        <w:rPr>
          <w:lang w:val="es-ES"/>
        </w:rPr>
        <w:t>(Merits),</w:t>
      </w:r>
      <w:r w:rsidRPr="00D97463">
        <w:rPr>
          <w:i/>
          <w:lang w:val="es-ES"/>
        </w:rPr>
        <w:t xml:space="preserve"> </w:t>
      </w:r>
      <w:r w:rsidRPr="00D97463">
        <w:rPr>
          <w:lang w:val="es-ES"/>
        </w:rPr>
        <w:t xml:space="preserve">4 Inter-Am. </w:t>
      </w:r>
      <w:r w:rsidRPr="00D97463">
        <w:t xml:space="preserve">CHR (ser. C), No. 4, 29 July 1988, para. 175; see also </w:t>
      </w:r>
      <w:r w:rsidRPr="00D97463">
        <w:rPr>
          <w:i/>
        </w:rPr>
        <w:t>Gómez-Paquiyauri Brothers v. Peru</w:t>
      </w:r>
      <w:r w:rsidRPr="00D97463">
        <w:t xml:space="preserve">, </w:t>
      </w:r>
      <w:r w:rsidRPr="00D97463">
        <w:rPr>
          <w:i/>
        </w:rPr>
        <w:t xml:space="preserve">Judgment </w:t>
      </w:r>
      <w:r w:rsidRPr="00D97463">
        <w:t>(Merits, Reparations and Costs),</w:t>
      </w:r>
      <w:r w:rsidRPr="00D97463">
        <w:rPr>
          <w:i/>
        </w:rPr>
        <w:t xml:space="preserve"> </w:t>
      </w:r>
      <w:r w:rsidRPr="00D97463">
        <w:t xml:space="preserve">Inter-Am. CHR (ser. C), No. 110, Inter-m. CHR, 8 July 2004, para. 155; </w:t>
      </w:r>
      <w:r w:rsidRPr="00D97463">
        <w:rPr>
          <w:i/>
        </w:rPr>
        <w:t>Juan Humberto Sánchez v. Honduras</w:t>
      </w:r>
      <w:r w:rsidRPr="00D97463">
        <w:t xml:space="preserve">, </w:t>
      </w:r>
      <w:r w:rsidRPr="00D97463">
        <w:rPr>
          <w:i/>
        </w:rPr>
        <w:t>Judgment</w:t>
      </w:r>
      <w:r w:rsidRPr="00D97463">
        <w:t>,</w:t>
      </w:r>
      <w:r w:rsidRPr="00D97463">
        <w:rPr>
          <w:i/>
        </w:rPr>
        <w:t xml:space="preserve"> </w:t>
      </w:r>
      <w:r w:rsidRPr="00D97463">
        <w:t>(Preliminary Objection, Merits, Reparations and Costs), Inter-Am. CHR (ser. C) No. 99, , 7 June 2003, paras. 137, 142.</w:t>
      </w:r>
    </w:p>
  </w:footnote>
  <w:footnote w:id="27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bCs/>
          <w:i/>
        </w:rPr>
        <w:t>Tibi v. Ecuador</w:t>
      </w:r>
      <w:r w:rsidRPr="00D97463">
        <w:rPr>
          <w:bCs/>
        </w:rPr>
        <w:t xml:space="preserve">, </w:t>
      </w:r>
      <w:r w:rsidRPr="00D97463">
        <w:rPr>
          <w:bCs/>
          <w:i/>
        </w:rPr>
        <w:t>Judgment</w:t>
      </w:r>
      <w:r w:rsidRPr="00D97463">
        <w:rPr>
          <w:bCs/>
        </w:rPr>
        <w:t>,</w:t>
      </w:r>
      <w:r w:rsidRPr="00D97463">
        <w:rPr>
          <w:rStyle w:val="FootnoteReference"/>
          <w:b/>
        </w:rPr>
        <w:t xml:space="preserve"> </w:t>
      </w:r>
      <w:r w:rsidRPr="00D97463">
        <w:t>(Preliminary Objections, Merits, Reparations and Costs),</w:t>
      </w:r>
      <w:r w:rsidRPr="00D97463">
        <w:rPr>
          <w:bCs/>
          <w:i/>
        </w:rPr>
        <w:t xml:space="preserve"> </w:t>
      </w:r>
      <w:r w:rsidRPr="00D97463">
        <w:rPr>
          <w:bCs/>
        </w:rPr>
        <w:t>Inter-Am. CHR (ser. C) No. 114, 7 September 2004, para.</w:t>
      </w:r>
      <w:r w:rsidRPr="00D97463">
        <w:t xml:space="preserve"> </w:t>
      </w:r>
      <w:r w:rsidRPr="00D97463">
        <w:rPr>
          <w:bCs/>
        </w:rPr>
        <w:t>159; see also</w:t>
      </w:r>
      <w:r w:rsidRPr="00D97463">
        <w:rPr>
          <w:i/>
        </w:rPr>
        <w:t xml:space="preserve"> Gómez-Paquiyauri Brothers v. Peru</w:t>
      </w:r>
      <w:r w:rsidRPr="00D97463">
        <w:t xml:space="preserv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_Ref295994182 \h  \* MERGEFORMAT </w:instrText>
      </w:r>
      <w:r w:rsidRPr="00D97463">
        <w:fldChar w:fldCharType="separate"/>
      </w:r>
      <w:r w:rsidR="00EF153A">
        <w:t>276</w:t>
      </w:r>
      <w:r w:rsidRPr="00D97463">
        <w:fldChar w:fldCharType="end"/>
      </w:r>
      <w:r w:rsidRPr="00D97463">
        <w:t>, at para. 155.</w:t>
      </w:r>
    </w:p>
  </w:footnote>
  <w:footnote w:id="278">
    <w:p w:rsidR="00A3158E" w:rsidRPr="00D97463" w:rsidRDefault="00A3158E" w:rsidP="00D97463">
      <w:pPr>
        <w:pStyle w:val="FootnoteText"/>
        <w:ind w:right="1260"/>
      </w:pPr>
      <w:r w:rsidRPr="00D97463">
        <w:tab/>
      </w:r>
      <w:r w:rsidRPr="00D97463">
        <w:rPr>
          <w:rStyle w:val="FootnoteReference"/>
        </w:rPr>
        <w:footnoteRef/>
      </w:r>
      <w:r w:rsidRPr="00D97463">
        <w:tab/>
        <w:t>For comparable measures with respect to prevention of specific types of human rights violations, see Committee on the Elimination of Discrimination against Women, General Recommendation No. 6, paras. 1-2 (</w:t>
      </w:r>
      <w:hyperlink r:id="rId46" w:history="1">
        <w:r w:rsidRPr="00D97463">
          <w:rPr>
            <w:rStyle w:val="Hyperlink"/>
          </w:rPr>
          <w:t>A/43/38</w:t>
        </w:r>
      </w:hyperlink>
      <w:r w:rsidRPr="00D97463">
        <w:t>) (1988); Committee on the Elimination of Discrimination against Women, General Recommendation No. 15 (</w:t>
      </w:r>
      <w:hyperlink r:id="rId47" w:history="1">
        <w:r w:rsidRPr="00D97463">
          <w:rPr>
            <w:rStyle w:val="Hyperlink"/>
          </w:rPr>
          <w:t>A/45/38</w:t>
        </w:r>
      </w:hyperlink>
      <w:r w:rsidRPr="00D97463">
        <w:t>) (1990); Committee on the Elimination of Discrimination against Women, General Recommendation No. 19, para. 9 (</w:t>
      </w:r>
      <w:hyperlink r:id="rId48" w:history="1">
        <w:r w:rsidRPr="00D97463">
          <w:rPr>
            <w:rStyle w:val="Hyperlink"/>
          </w:rPr>
          <w:t>A/47/38</w:t>
        </w:r>
      </w:hyperlink>
      <w:r w:rsidRPr="00D97463">
        <w:t>) (1992); Committee on the Rights of the Child, General Comment No. 5, para. 9 (</w:t>
      </w:r>
      <w:hyperlink r:id="rId49" w:history="1">
        <w:r w:rsidRPr="00D97463">
          <w:rPr>
            <w:rStyle w:val="Hyperlink"/>
          </w:rPr>
          <w:t>CRC/GC/2003/5</w:t>
        </w:r>
      </w:hyperlink>
      <w:r w:rsidRPr="00D97463">
        <w:t>) (2003); Human Rights Committee, General Comment 31 (</w:t>
      </w:r>
      <w:hyperlink r:id="rId50" w:history="1">
        <w:r w:rsidRPr="00D97463">
          <w:rPr>
            <w:rStyle w:val="Hyperlink"/>
          </w:rPr>
          <w:t>CCPR/C/Rev.1/Add.13</w:t>
        </w:r>
      </w:hyperlink>
      <w:r w:rsidRPr="00D97463">
        <w:t>) (2004); Committee on the Rights of the Child, General Comment No. 6, paras. 50-63 (</w:t>
      </w:r>
      <w:hyperlink r:id="rId51" w:history="1">
        <w:r w:rsidRPr="00D97463">
          <w:rPr>
            <w:rStyle w:val="Hyperlink"/>
          </w:rPr>
          <w:t>CRC/GC/2005/6</w:t>
        </w:r>
      </w:hyperlink>
      <w:r w:rsidRPr="00D97463">
        <w:t>) (2005); Committee on the Elimination of Racial Discrimination, General Recommendation 31, para. 5 (</w:t>
      </w:r>
      <w:hyperlink r:id="rId52" w:history="1">
        <w:r w:rsidRPr="00D97463">
          <w:rPr>
            <w:rStyle w:val="Hyperlink"/>
          </w:rPr>
          <w:t>CERD/C/GC/31/Rev.4</w:t>
        </w:r>
      </w:hyperlink>
      <w:r w:rsidRPr="00D97463">
        <w:t xml:space="preserve">) (2005); see also </w:t>
      </w:r>
      <w:r w:rsidRPr="00D97463">
        <w:rPr>
          <w:i/>
        </w:rPr>
        <w:t>Basic Principles and Guidelines on the Right to a Remedy and Reparation for Victims of Gross Violations of International Human Rights Law and Serious Violations of International Humanitarian Law</w:t>
      </w:r>
      <w:r w:rsidRPr="00D97463">
        <w:t xml:space="preserve">, General Assembly resolution 60/147 of 16 December 2005, annex, document </w:t>
      </w:r>
      <w:hyperlink r:id="rId53" w:history="1">
        <w:r w:rsidRPr="00D97463">
          <w:rPr>
            <w:rStyle w:val="Hyperlink"/>
          </w:rPr>
          <w:t>A/RES/60/147</w:t>
        </w:r>
      </w:hyperlink>
      <w:r w:rsidRPr="00D97463">
        <w:t xml:space="preserve">, para. 3 (a) (“The obligation to respect, ensure respect for and implement international human rights law and international humanitarian law as provided for under the respective bodies of law, includes, </w:t>
      </w:r>
      <w:r w:rsidRPr="00D97463">
        <w:rPr>
          <w:i/>
        </w:rPr>
        <w:t>inter alia</w:t>
      </w:r>
      <w:r w:rsidRPr="00D97463">
        <w:t>, the duty to ... [t]ake appropriate legislative and administrative and other appropriate measures to prevent violations.”).</w:t>
      </w:r>
    </w:p>
  </w:footnote>
  <w:footnote w:id="27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Yearbook … 2001</w:t>
      </w:r>
      <w:r w:rsidRPr="00D97463">
        <w:t>, vol. II (Part Two), pp. 150-51 at paras. (7)-(12) (commentary to draft article 1 of the Draft articles on the Prevention of Transboundary Harm from Hazardous Activities).</w:t>
      </w:r>
    </w:p>
  </w:footnote>
  <w:footnote w:id="28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p. 151 at para. (12) (citing to </w:t>
      </w:r>
      <w:r w:rsidRPr="00D97463">
        <w:rPr>
          <w:i/>
          <w:iCs/>
        </w:rPr>
        <w:t>Legal Consequences for States of the Continued Presence of South Africa in Namibia (South West Africa) notwithstanding Security Council Resolution 276 (1970), Advisory Opinion, I.C.J. Reports 1971</w:t>
      </w:r>
      <w:r w:rsidRPr="00D97463">
        <w:t xml:space="preserve">, p. 16, p. 54 at para. 118); see also </w:t>
      </w:r>
      <w:r w:rsidRPr="00D97463">
        <w:rPr>
          <w:i/>
          <w:iCs/>
        </w:rPr>
        <w:t>Yearbook … 2006</w:t>
      </w:r>
      <w:r w:rsidRPr="00D97463">
        <w:t xml:space="preserve">, vol. II (Part Two), p. 70 at para. (25) (commentary to draft principle 2 of the Draft Principles on the Allocation of Loss in the Case of Transboundary Harm Arising out of Hazardous Activities); </w:t>
      </w:r>
      <w:r w:rsidRPr="00D97463">
        <w:rPr>
          <w:i/>
          <w:iCs/>
        </w:rPr>
        <w:t>Legality of the Threat or Use of Nuclear Weapons, Advisory Opinion, I.C.J. Reports 1996</w:t>
      </w:r>
      <w:r w:rsidRPr="00D97463">
        <w:t>, p. 226, p. 242 at para. 29 (referring to the general obligation of States to ensure that activities within their “jurisdiction and control” respect the environment of other States or of areas beyond national control).</w:t>
      </w:r>
    </w:p>
  </w:footnote>
  <w:footnote w:id="281">
    <w:p w:rsidR="00A3158E" w:rsidRPr="00D97463" w:rsidRDefault="00A3158E" w:rsidP="00D97463">
      <w:pPr>
        <w:pStyle w:val="FootnoteText"/>
        <w:ind w:right="1260"/>
      </w:pPr>
      <w:r w:rsidRPr="00D97463">
        <w:tab/>
      </w:r>
      <w:r w:rsidRPr="00D97463">
        <w:rPr>
          <w:rStyle w:val="FootnoteReference"/>
        </w:rPr>
        <w:footnoteRef/>
      </w:r>
      <w:r w:rsidRPr="00D97463">
        <w:tab/>
        <w:t>Charter of the United Nations, done at San Francisco on 26 June 1945.</w:t>
      </w:r>
    </w:p>
  </w:footnote>
  <w:footnote w:id="28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Principles of International Cooperation in the Detection, Arrest, Extradition and Punishment of Persons Guilty of War Crimes and Crimes Against Humanity</w:t>
      </w:r>
      <w:r w:rsidRPr="00D97463">
        <w:t>, General Assembly resolution 3074 (XXVIII) of 3 December 1973, para. 3.</w:t>
      </w:r>
    </w:p>
  </w:footnote>
  <w:footnote w:id="283">
    <w:p w:rsidR="00A3158E" w:rsidRPr="00D97463" w:rsidRDefault="00A3158E" w:rsidP="00D97463">
      <w:pPr>
        <w:pStyle w:val="FootnoteText"/>
        <w:ind w:right="1260"/>
      </w:pPr>
      <w:r w:rsidRPr="00D97463">
        <w:tab/>
      </w:r>
      <w:r w:rsidRPr="00D97463">
        <w:rPr>
          <w:rStyle w:val="FootnoteReference"/>
        </w:rPr>
        <w:footnoteRef/>
      </w:r>
      <w:r w:rsidRPr="00D97463">
        <w:tab/>
        <w:t xml:space="preserve">Convention Against Torture,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_Ref295981371 \h  \* MERGEFORMAT </w:instrText>
      </w:r>
      <w:r w:rsidRPr="00D97463">
        <w:fldChar w:fldCharType="separate"/>
      </w:r>
      <w:r w:rsidR="00EF153A">
        <w:t>226</w:t>
      </w:r>
      <w:r w:rsidRPr="00D97463">
        <w:fldChar w:fldCharType="end"/>
      </w:r>
      <w:r w:rsidRPr="00D97463">
        <w:t>. Article 2 (2) provides: “No exceptional circumstances whatsoever, whether a state of war or a threat of war, internal political instability or any other public emergency, may be invoked as a justification of torture.”</w:t>
      </w:r>
    </w:p>
  </w:footnote>
  <w:footnote w:id="284">
    <w:p w:rsidR="00A3158E" w:rsidRPr="00D97463" w:rsidRDefault="00A3158E" w:rsidP="00D97463">
      <w:pPr>
        <w:pStyle w:val="FootnoteText"/>
        <w:ind w:right="1260"/>
      </w:pPr>
      <w:r w:rsidRPr="00D97463">
        <w:tab/>
      </w:r>
      <w:r w:rsidRPr="00D97463">
        <w:rPr>
          <w:rStyle w:val="FootnoteReference"/>
        </w:rPr>
        <w:footnoteRef/>
      </w:r>
      <w:r w:rsidRPr="00D97463">
        <w:tab/>
        <w:t xml:space="preserve">Enforced Disappearance Convention,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_Ref295982514 \h  \* MERGEFORMAT </w:instrText>
      </w:r>
      <w:r w:rsidRPr="00D97463">
        <w:fldChar w:fldCharType="separate"/>
      </w:r>
      <w:r w:rsidR="00EF153A">
        <w:t>229</w:t>
      </w:r>
      <w:r w:rsidRPr="00D97463">
        <w:fldChar w:fldCharType="end"/>
      </w:r>
      <w:r w:rsidRPr="00D97463">
        <w:t>. Article 1 (2) provides: “No exceptional circumstances whatsoever, whether a state of war or a threat of war, internal political instability or any other public emergency, may be invoked as a justification for enforced disappearance.”</w:t>
      </w:r>
    </w:p>
  </w:footnote>
  <w:footnote w:id="285">
    <w:p w:rsidR="00A3158E" w:rsidRPr="00D97463" w:rsidRDefault="00A3158E" w:rsidP="00D97463">
      <w:pPr>
        <w:pStyle w:val="FootnoteText"/>
        <w:ind w:right="1260"/>
      </w:pPr>
      <w:r w:rsidRPr="00D97463">
        <w:tab/>
      </w:r>
      <w:r w:rsidRPr="00D97463">
        <w:rPr>
          <w:rStyle w:val="FootnoteReference"/>
        </w:rPr>
        <w:footnoteRef/>
      </w:r>
      <w:r w:rsidRPr="00D97463">
        <w:tab/>
        <w:t xml:space="preserve">Inter-American Convention to Prevent and Punish Torture, </w:t>
      </w:r>
      <w:r w:rsidRPr="00D97463">
        <w:rPr>
          <w:i/>
          <w:iCs/>
        </w:rPr>
        <w:t>supra</w:t>
      </w:r>
      <w:r w:rsidRPr="00D97463">
        <w:rPr>
          <w:i/>
        </w:rPr>
        <w:t xml:space="preserve"> </w:t>
      </w:r>
      <w:r w:rsidRPr="00D97463">
        <w:t xml:space="preserve">note </w:t>
      </w:r>
      <w:r w:rsidRPr="00D97463">
        <w:fldChar w:fldCharType="begin"/>
      </w:r>
      <w:r w:rsidRPr="00D97463">
        <w:instrText xml:space="preserve"> NOTEREF _Ref295995968 \h  \* MERGEFORMAT </w:instrText>
      </w:r>
      <w:r w:rsidRPr="00D97463">
        <w:fldChar w:fldCharType="separate"/>
      </w:r>
      <w:r w:rsidR="00EF153A">
        <w:t>236</w:t>
      </w:r>
      <w:r w:rsidRPr="00D97463">
        <w:fldChar w:fldCharType="end"/>
      </w:r>
      <w:r w:rsidRPr="00D97463">
        <w:t>. Article 5 provides: “The existence of circumstances such as a state of war, threat of war, state of siege or of emergency, domestic disturbance or strife, suspension of constitutional guarantees, domestic political instability, or other public emergencies or disasters shall not be invoked or admitted as justification for the crime of torture.”</w:t>
      </w:r>
    </w:p>
  </w:footnote>
  <w:footnote w:id="286">
    <w:p w:rsidR="00A3158E" w:rsidRPr="00D97463" w:rsidRDefault="00A3158E" w:rsidP="00D97463">
      <w:pPr>
        <w:pStyle w:val="FootnoteText"/>
        <w:ind w:right="1260"/>
      </w:pPr>
      <w:r w:rsidRPr="00D97463">
        <w:tab/>
      </w:r>
      <w:r w:rsidRPr="00D97463">
        <w:rPr>
          <w:rStyle w:val="FootnoteReference"/>
        </w:rPr>
        <w:footnoteRef/>
      </w:r>
      <w:r w:rsidRPr="00D97463">
        <w:tab/>
        <w:t xml:space="preserve">At its 2997th meeting, on 8 August 2008. See </w:t>
      </w:r>
      <w:r w:rsidRPr="00D97463">
        <w:rPr>
          <w:i/>
          <w:iCs/>
        </w:rPr>
        <w:t xml:space="preserve">Official Records of the General Assembly, Sixty-third Session, Supplement No. 10 </w:t>
      </w:r>
      <w:r w:rsidRPr="00D97463">
        <w:t>(</w:t>
      </w:r>
      <w:hyperlink r:id="rId54" w:history="1">
        <w:r w:rsidRPr="00D97463">
          <w:rPr>
            <w:rStyle w:val="Hyperlink"/>
          </w:rPr>
          <w:t>A/63/10</w:t>
        </w:r>
      </w:hyperlink>
      <w:r w:rsidRPr="00D97463">
        <w:t xml:space="preserve">), para. 353. For the syllabus of the topic, see </w:t>
      </w:r>
      <w:r w:rsidRPr="00D97463">
        <w:rPr>
          <w:i/>
          <w:iCs/>
        </w:rPr>
        <w:t>ibid.</w:t>
      </w:r>
      <w:r w:rsidRPr="00D97463">
        <w:t>, annex A. The General Assembly, in paragraph 6 of resolution 63/123 of 11 December 2008, took note of the decision.</w:t>
      </w:r>
    </w:p>
  </w:footnote>
  <w:footnote w:id="287">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Official Records of the General Assembly, Sixty-fourth Session, Supplement No. 10</w:t>
      </w:r>
      <w:r w:rsidRPr="00D97463">
        <w:t xml:space="preserve"> (</w:t>
      </w:r>
      <w:hyperlink r:id="rId55" w:history="1">
        <w:r w:rsidRPr="00D97463">
          <w:rPr>
            <w:rStyle w:val="Hyperlink"/>
          </w:rPr>
          <w:t>A/64/10</w:t>
        </w:r>
      </w:hyperlink>
      <w:r w:rsidRPr="00D97463">
        <w:t>), paras. 220-226.</w:t>
      </w:r>
    </w:p>
  </w:footnote>
  <w:footnote w:id="28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 xml:space="preserve">Sixty-fifth Session, Supplement No. </w:t>
      </w:r>
      <w:r>
        <w:rPr>
          <w:i/>
          <w:iCs/>
        </w:rPr>
        <w:t xml:space="preserve">10 </w:t>
      </w:r>
      <w:r w:rsidRPr="00D97463">
        <w:t>(</w:t>
      </w:r>
      <w:hyperlink r:id="rId56" w:history="1">
        <w:r w:rsidRPr="00D97463">
          <w:rPr>
            <w:rStyle w:val="Hyperlink"/>
          </w:rPr>
          <w:t>A/65/10</w:t>
        </w:r>
      </w:hyperlink>
      <w:r w:rsidRPr="00D97463">
        <w:t xml:space="preserve">), paras. 344-354; and </w:t>
      </w:r>
      <w:r w:rsidRPr="00D97463">
        <w:rPr>
          <w:i/>
          <w:iCs/>
        </w:rPr>
        <w:t>ibid.</w:t>
      </w:r>
      <w:r w:rsidRPr="00D97463">
        <w:t xml:space="preserve">, </w:t>
      </w:r>
      <w:r>
        <w:rPr>
          <w:i/>
          <w:iCs/>
        </w:rPr>
        <w:t xml:space="preserve">Sixty-sixth Session, Supplement No. 10 </w:t>
      </w:r>
      <w:r w:rsidRPr="00D97463">
        <w:t>(</w:t>
      </w:r>
      <w:hyperlink r:id="rId57" w:history="1">
        <w:r w:rsidRPr="00D97463">
          <w:rPr>
            <w:rStyle w:val="Hyperlink"/>
          </w:rPr>
          <w:t>A/66/10</w:t>
        </w:r>
      </w:hyperlink>
      <w:r w:rsidRPr="00D97463">
        <w:t>), para. 337.</w:t>
      </w:r>
    </w:p>
  </w:footnote>
  <w:footnote w:id="28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Sixty-sixth Session, Supplement No.</w:t>
      </w:r>
      <w:r>
        <w:rPr>
          <w:i/>
          <w:iCs/>
        </w:rPr>
        <w:t xml:space="preserve"> 10 </w:t>
      </w:r>
      <w:r w:rsidRPr="00D97463">
        <w:t>(</w:t>
      </w:r>
      <w:hyperlink r:id="rId58" w:history="1">
        <w:r w:rsidRPr="00D97463">
          <w:rPr>
            <w:rStyle w:val="Hyperlink"/>
          </w:rPr>
          <w:t>A/66/10</w:t>
        </w:r>
      </w:hyperlink>
      <w:r w:rsidRPr="00D97463">
        <w:t xml:space="preserve">), paras. 338-341; and </w:t>
      </w:r>
      <w:r w:rsidRPr="00D97463">
        <w:rPr>
          <w:i/>
          <w:iCs/>
        </w:rPr>
        <w:t>Sixty-seventh Session, Supplement No. 10</w:t>
      </w:r>
      <w:r w:rsidRPr="00D97463">
        <w:t xml:space="preserve"> (</w:t>
      </w:r>
      <w:hyperlink r:id="rId59" w:history="1">
        <w:r w:rsidRPr="00D97463">
          <w:rPr>
            <w:rStyle w:val="Hyperlink"/>
          </w:rPr>
          <w:t>A/67/10</w:t>
        </w:r>
      </w:hyperlink>
      <w:r w:rsidRPr="00D97463">
        <w:t>), paras. 230-231.</w:t>
      </w:r>
    </w:p>
  </w:footnote>
  <w:footnote w:id="29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 xml:space="preserve">Sixty-seventh Session, Supplement No. 10 </w:t>
      </w:r>
      <w:r w:rsidRPr="00D97463">
        <w:t>(</w:t>
      </w:r>
      <w:hyperlink r:id="rId60" w:history="1">
        <w:r w:rsidRPr="00D97463">
          <w:rPr>
            <w:rStyle w:val="Hyperlink"/>
          </w:rPr>
          <w:t>A/67/10</w:t>
        </w:r>
      </w:hyperlink>
      <w:r w:rsidRPr="00D97463">
        <w:t>), paras. 232-234. At the sixty-third session (2011), the Chairman of the Study Group presented nine preliminary conclusions, reformulated in the light of the discussions in the Study Group (</w:t>
      </w:r>
      <w:r w:rsidRPr="00D97463">
        <w:rPr>
          <w:i/>
          <w:iCs/>
        </w:rPr>
        <w:t xml:space="preserve">ibid., Sixty-sixth Session, Supplement No. 10 </w:t>
      </w:r>
      <w:r w:rsidRPr="00D97463">
        <w:t>(</w:t>
      </w:r>
      <w:hyperlink r:id="rId61" w:history="1">
        <w:r w:rsidRPr="00D97463">
          <w:rPr>
            <w:rStyle w:val="Hyperlink"/>
          </w:rPr>
          <w:t>A/66/10</w:t>
        </w:r>
      </w:hyperlink>
      <w:r w:rsidRPr="00D97463">
        <w:t>), para. 344). At the sixty-fourth session (2012), the Chairman presented the text of six additional preliminary conclusions, also reformulated in the light of the discussions in the Study Group (</w:t>
      </w:r>
      <w:r w:rsidRPr="00D97463">
        <w:rPr>
          <w:i/>
          <w:iCs/>
        </w:rPr>
        <w:t xml:space="preserve">ibid., Sixty-seventh Session, Supplement No. 10 </w:t>
      </w:r>
      <w:r w:rsidRPr="00D97463">
        <w:t>(</w:t>
      </w:r>
      <w:hyperlink r:id="rId62" w:history="1">
        <w:r w:rsidRPr="00D97463">
          <w:rPr>
            <w:rStyle w:val="Hyperlink"/>
          </w:rPr>
          <w:t>A/67/10</w:t>
        </w:r>
      </w:hyperlink>
      <w:r w:rsidRPr="00D97463">
        <w:t>), para. 240). The Study Group also discussed the format in which the further work on the topic should proceed and the possible outcome of the work. A number of suggestions were formulated by the Chairman and agreed upon by the Study Group (</w:t>
      </w:r>
      <w:r w:rsidRPr="00D97463">
        <w:rPr>
          <w:i/>
          <w:iCs/>
        </w:rPr>
        <w:t>ibid.</w:t>
      </w:r>
      <w:r w:rsidRPr="00D97463">
        <w:t>, paras. 235-239).</w:t>
      </w:r>
    </w:p>
  </w:footnote>
  <w:footnote w:id="29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Sixty-seventh Session, Supplement No. 10</w:t>
      </w:r>
      <w:r w:rsidRPr="00D97463">
        <w:t xml:space="preserve"> (</w:t>
      </w:r>
      <w:hyperlink r:id="rId63" w:history="1">
        <w:r w:rsidRPr="00D97463">
          <w:rPr>
            <w:rStyle w:val="Hyperlink"/>
          </w:rPr>
          <w:t>A/67/10</w:t>
        </w:r>
      </w:hyperlink>
      <w:r w:rsidRPr="00D97463">
        <w:t>), paras. 226 and 239.</w:t>
      </w:r>
    </w:p>
  </w:footnote>
  <w:footnote w:id="29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para. 227.</w:t>
      </w:r>
    </w:p>
  </w:footnote>
  <w:footnote w:id="29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 xml:space="preserve">Ibid., Sixty-eighth Session, Supplement No. 10 </w:t>
      </w:r>
      <w:r w:rsidRPr="00D97463">
        <w:t>(</w:t>
      </w:r>
      <w:hyperlink r:id="rId64" w:history="1">
        <w:r w:rsidRPr="00D97463">
          <w:rPr>
            <w:rStyle w:val="Hyperlink"/>
          </w:rPr>
          <w:t>A/68/10</w:t>
        </w:r>
      </w:hyperlink>
      <w:r w:rsidRPr="00D97463">
        <w:t xml:space="preserve">), paras. 33 to 39. The Commission provisionally adopted draft conclusion 1 (General rule and means of treaty interpretation); draft conclusion 2 (Subsequent agreements and subsequent practice as authentic means of interpretation); draft conclusion 3 (Interpretation of treaty terms as capable of evolving over time); draft conclusion 4 (Definition of subsequent agreement and subsequent practice); and draft conclusion 5 (Attribution of subsequent practice). </w:t>
      </w:r>
    </w:p>
  </w:footnote>
  <w:footnote w:id="29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rPr>
          <w:i/>
        </w:rPr>
        <w:t xml:space="preserve">, Sixty-ninth Session, Supplement No. 10 </w:t>
      </w:r>
      <w:r w:rsidRPr="00D97463">
        <w:t>(</w:t>
      </w:r>
      <w:hyperlink r:id="rId65" w:history="1">
        <w:r w:rsidRPr="00D97463">
          <w:rPr>
            <w:rStyle w:val="Hyperlink"/>
          </w:rPr>
          <w:t>A/69/10</w:t>
        </w:r>
      </w:hyperlink>
      <w:r w:rsidRPr="00D97463">
        <w:t>), paras. 70 to 76. The Commission provisionally adopted draft conclusion 6 (Identification of subsequent agreements and subsequent practice); draft conclusion 7 (Possible effects of subsequent agreements and subsequent practice in interpretation); draft conclusion 8 (Weight of subsequent agreements and subsequent practice as a means of interpretation); draft conclusion 9 (Agreement of the parties regarding the interpretation of a treaty); and draft conclusion 10 (Decisions adopted within the framework of a Conference of States Parties).</w:t>
      </w:r>
    </w:p>
  </w:footnote>
  <w:footnote w:id="295">
    <w:p w:rsidR="00A3158E" w:rsidRPr="00D97463" w:rsidRDefault="00A3158E" w:rsidP="00D97463">
      <w:pPr>
        <w:pStyle w:val="FootnoteText"/>
        <w:ind w:right="1260"/>
      </w:pPr>
      <w:r w:rsidRPr="00D97463">
        <w:tab/>
      </w:r>
      <w:r w:rsidRPr="00D97463">
        <w:rPr>
          <w:rStyle w:val="FootnoteReference"/>
        </w:rPr>
        <w:footnoteRef/>
      </w:r>
      <w:r w:rsidRPr="00D97463">
        <w:tab/>
        <w:t xml:space="preserve">For the commentaries to draft conclusions 1 to 5, see </w:t>
      </w:r>
      <w:r w:rsidRPr="00D97463">
        <w:rPr>
          <w:i/>
          <w:iCs/>
        </w:rPr>
        <w:t xml:space="preserve">Official Records of the General Assembly, Sixty-eighth Session, Supplement No. 10 </w:t>
      </w:r>
      <w:r w:rsidRPr="00D97463">
        <w:t>(</w:t>
      </w:r>
      <w:hyperlink r:id="rId66" w:history="1">
        <w:r w:rsidRPr="00D97463">
          <w:rPr>
            <w:rStyle w:val="Hyperlink"/>
          </w:rPr>
          <w:t>A/68/10</w:t>
        </w:r>
      </w:hyperlink>
      <w:r w:rsidRPr="00D97463">
        <w:t xml:space="preserve">), para. 39. For the commentaries to draft conclusions 6 to 10, see </w:t>
      </w:r>
      <w:r w:rsidRPr="00D97463">
        <w:rPr>
          <w:i/>
          <w:iCs/>
        </w:rPr>
        <w:t xml:space="preserve">Official Records of the General Assembly, Sixty-ninth Session, Supplement No. 10 </w:t>
      </w:r>
      <w:r w:rsidRPr="00D97463">
        <w:t>(</w:t>
      </w:r>
      <w:hyperlink r:id="rId67" w:history="1">
        <w:r w:rsidRPr="00D97463">
          <w:rPr>
            <w:rStyle w:val="Hyperlink"/>
          </w:rPr>
          <w:t>A/69/10</w:t>
        </w:r>
      </w:hyperlink>
      <w:r w:rsidRPr="00D97463">
        <w:t>), para. 76.</w:t>
      </w:r>
    </w:p>
  </w:footnote>
  <w:footnote w:id="296">
    <w:p w:rsidR="00A3158E" w:rsidRPr="00D97463" w:rsidRDefault="00A3158E" w:rsidP="00D97463">
      <w:pPr>
        <w:pStyle w:val="FootnoteText"/>
        <w:ind w:right="1260"/>
      </w:pPr>
      <w:r w:rsidRPr="00D97463">
        <w:tab/>
      </w:r>
      <w:r w:rsidRPr="00D97463">
        <w:rPr>
          <w:rStyle w:val="FootnoteReference"/>
        </w:rPr>
        <w:footnoteRef/>
      </w:r>
      <w:r w:rsidRPr="00D97463">
        <w:tab/>
        <w:t xml:space="preserve">See also the parallel provision of article 5 of the Vienna Convention on the Law of Treaties between States and International Organizations or between International Organizations of 21 March 1986, </w:t>
      </w:r>
      <w:hyperlink r:id="rId68" w:history="1">
        <w:r w:rsidRPr="00D97463">
          <w:rPr>
            <w:rStyle w:val="Hyperlink"/>
          </w:rPr>
          <w:t>A/CONF.129/15</w:t>
        </w:r>
      </w:hyperlink>
      <w:r w:rsidRPr="00D97463">
        <w:t>.</w:t>
      </w:r>
    </w:p>
  </w:footnote>
  <w:footnote w:id="297">
    <w:p w:rsidR="00A3158E" w:rsidRPr="00D97463" w:rsidRDefault="00A3158E" w:rsidP="00D97463">
      <w:pPr>
        <w:pStyle w:val="FootnoteText"/>
        <w:ind w:right="1260"/>
      </w:pPr>
      <w:r w:rsidRPr="00D97463">
        <w:tab/>
      </w:r>
      <w:r w:rsidRPr="00D97463">
        <w:rPr>
          <w:rStyle w:val="FootnoteReference"/>
        </w:rPr>
        <w:footnoteRef/>
      </w:r>
      <w:r w:rsidRPr="00D97463">
        <w:tab/>
        <w:t xml:space="preserve">Article 20 (3) of the Vienna Convention requires the acceptance, by the competent organ of the organization, of reservations relating to its constituent instrument. Twelfth report on reservations to treaties, </w:t>
      </w:r>
      <w:r w:rsidRPr="00D97463">
        <w:rPr>
          <w:i/>
        </w:rPr>
        <w:t xml:space="preserve">Yearbook … </w:t>
      </w:r>
      <w:r w:rsidRPr="00D97463">
        <w:rPr>
          <w:i/>
          <w:iCs/>
        </w:rPr>
        <w:t>2007</w:t>
      </w:r>
      <w:r w:rsidRPr="00D97463">
        <w:t xml:space="preserve">, vol. II (Part One), p. 47, paras. 75-77, document </w:t>
      </w:r>
      <w:hyperlink r:id="rId69" w:history="1">
        <w:r w:rsidRPr="00D97463">
          <w:rPr>
            <w:rStyle w:val="Hyperlink"/>
          </w:rPr>
          <w:t>A/CN.4/584;</w:t>
        </w:r>
      </w:hyperlink>
      <w:r w:rsidRPr="00D97463">
        <w:t xml:space="preserve"> </w:t>
      </w:r>
      <w:r w:rsidRPr="00D97463">
        <w:rPr>
          <w:bCs/>
        </w:rPr>
        <w:t xml:space="preserve">S. </w:t>
      </w:r>
      <w:r w:rsidRPr="00D97463">
        <w:t xml:space="preserve">Rosenne, </w:t>
      </w:r>
      <w:r w:rsidRPr="00D97463">
        <w:rPr>
          <w:i/>
        </w:rPr>
        <w:t>Developments in the Law of Treaties 1945-1986</w:t>
      </w:r>
      <w:r w:rsidRPr="00D97463">
        <w:t xml:space="preserve"> (Cambridge, Cambridge University Press, 1989), p. 204.</w:t>
      </w:r>
    </w:p>
  </w:footnote>
  <w:footnote w:id="29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Yearbook … 1966</w:t>
      </w:r>
      <w:r w:rsidRPr="00D97463">
        <w:t xml:space="preserve">, vol. II, p. 191; K. Schmalenbach, “Art. 5”, in </w:t>
      </w:r>
      <w:r w:rsidRPr="00D97463">
        <w:rPr>
          <w:i/>
          <w:iCs/>
        </w:rPr>
        <w:t>Vienna Convention on the Law of Treaties - A Commentary</w:t>
      </w:r>
      <w:r w:rsidRPr="00D97463">
        <w:t>, O. Dörr and K. Schmalenbach, eds., Heidelberg, Springer, 2012, p. 89, para. 1.</w:t>
      </w:r>
    </w:p>
  </w:footnote>
  <w:footnote w:id="299">
    <w:p w:rsidR="00A3158E" w:rsidRPr="00D97463" w:rsidRDefault="00A3158E" w:rsidP="00D97463">
      <w:pPr>
        <w:pStyle w:val="FootnoteText"/>
        <w:ind w:right="1260"/>
      </w:pPr>
      <w:r w:rsidRPr="00D97463">
        <w:tab/>
      </w:r>
      <w:r w:rsidRPr="00D97463">
        <w:rPr>
          <w:rStyle w:val="FootnoteReference"/>
        </w:rPr>
        <w:footnoteRef/>
      </w:r>
      <w:r w:rsidRPr="00D97463">
        <w:tab/>
        <w:t xml:space="preserve">See e.g. articles 16; 19 (a) and (b); 20 (1), (3), (4) and (5); 22; 24 (3); 25 (2); 44 (1); 55; 58 (2); 70 (1); 72 (1); 77 (1) of the Vienna Convention on the Law of Treaties, 1969 (United Nations, </w:t>
      </w:r>
      <w:r w:rsidRPr="00D97463">
        <w:rPr>
          <w:i/>
          <w:iCs/>
        </w:rPr>
        <w:t>Treaty Series</w:t>
      </w:r>
      <w:r w:rsidRPr="00D97463">
        <w:t>, vol. 1155, p. 331).</w:t>
      </w:r>
    </w:p>
  </w:footnote>
  <w:footnote w:id="300">
    <w:p w:rsidR="00A3158E" w:rsidRPr="00D97463" w:rsidRDefault="00A3158E" w:rsidP="00D97463">
      <w:pPr>
        <w:pStyle w:val="FootnoteText"/>
        <w:ind w:right="1260"/>
      </w:pPr>
      <w:r w:rsidRPr="00D97463">
        <w:tab/>
      </w:r>
      <w:r w:rsidRPr="00D97463">
        <w:rPr>
          <w:rStyle w:val="FootnoteReference"/>
        </w:rPr>
        <w:footnoteRef/>
      </w:r>
      <w:r w:rsidRPr="00D97463">
        <w:tab/>
        <w:t>The latter category is addressed by the Vienna Convention on the Law of Treaties between States and International Organizations or between International Organizations (</w:t>
      </w:r>
      <w:hyperlink r:id="rId70" w:history="1">
        <w:r w:rsidRPr="00D97463">
          <w:rPr>
            <w:rStyle w:val="Hyperlink"/>
          </w:rPr>
          <w:t>A/CONF.129/15</w:t>
        </w:r>
      </w:hyperlink>
      <w:r w:rsidRPr="00D97463">
        <w:t>).</w:t>
      </w:r>
    </w:p>
  </w:footnote>
  <w:footnote w:id="30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Accordance with International Law of the Unilateral Declaration of Independence in Respect of Kosovo, Advisory Opinion, I.C.J. Reports 2010</w:t>
      </w:r>
      <w:r w:rsidRPr="00D97463">
        <w:rPr>
          <w:iCs/>
        </w:rPr>
        <w:t>,</w:t>
      </w:r>
      <w:r w:rsidRPr="00D97463">
        <w:t xml:space="preserve"> p. 403, at p. 442, para. 94 (“While the rules on treaty interpretation embodied in articles 31 and 32 of the Vienna Convention on the Law of Treaties may provide guidance, differences between Security Council resolutions and treaties mean that the interpretation of Security Council resolutions also require that other factors be taken into account.”); see also H. Thirlway, “The Law and Procedure of the International Court of Justice 1960-1989, Part Eight”, </w:t>
      </w:r>
      <w:r w:rsidRPr="00D97463">
        <w:rPr>
          <w:i/>
          <w:iCs/>
        </w:rPr>
        <w:t>British Yearbook of International Law</w:t>
      </w:r>
      <w:r w:rsidRPr="00D97463">
        <w:t xml:space="preserve">, vol. 67 (1996), p. 1, at p. 29; M.C. Wood, “The Interpretation of Security Council Resolutions”, </w:t>
      </w:r>
      <w:r w:rsidRPr="00D97463">
        <w:rPr>
          <w:i/>
          <w:iCs/>
        </w:rPr>
        <w:t>Max Planck Yearbook of United Nations Law</w:t>
      </w:r>
      <w:r w:rsidRPr="00D97463">
        <w:t xml:space="preserve">, vol. 2 (1998), p. 73, at p. 85; R. Gardiner, </w:t>
      </w:r>
      <w:r w:rsidRPr="00D97463">
        <w:rPr>
          <w:i/>
          <w:iCs/>
        </w:rPr>
        <w:t>Treaty Interpretation</w:t>
      </w:r>
      <w:r w:rsidRPr="00D97463">
        <w:t xml:space="preserve"> (Oxford, Oxford University Press, 2</w:t>
      </w:r>
      <w:r w:rsidRPr="00D97463">
        <w:rPr>
          <w:vertAlign w:val="superscript"/>
        </w:rPr>
        <w:t>nd</w:t>
      </w:r>
      <w:r w:rsidRPr="00D97463">
        <w:t xml:space="preserve"> ed. 2015), p. 127. </w:t>
      </w:r>
    </w:p>
  </w:footnote>
  <w:footnote w:id="30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Request for Interpretation of the Judgment of 15 June 1962 in the Case concerning the Temple of Preah Vihear</w:t>
      </w:r>
      <w:r w:rsidRPr="00D97463">
        <w:t xml:space="preserve"> (</w:t>
      </w:r>
      <w:r w:rsidRPr="00D97463">
        <w:rPr>
          <w:i/>
          <w:iCs/>
        </w:rPr>
        <w:t>Cambodia v.</w:t>
      </w:r>
      <w:r>
        <w:rPr>
          <w:i/>
          <w:iCs/>
        </w:rPr>
        <w:t xml:space="preserve"> </w:t>
      </w:r>
      <w:r w:rsidRPr="00D97463">
        <w:rPr>
          <w:i/>
          <w:iCs/>
        </w:rPr>
        <w:t>Thailand</w:t>
      </w:r>
      <w:r w:rsidRPr="00D97463">
        <w:t>) (</w:t>
      </w:r>
      <w:r w:rsidRPr="00D97463">
        <w:rPr>
          <w:i/>
          <w:iCs/>
        </w:rPr>
        <w:t>Cambodia v. Thailand</w:t>
      </w:r>
      <w:r w:rsidRPr="00D97463">
        <w:t xml:space="preserve">), </w:t>
      </w:r>
      <w:r w:rsidRPr="00D97463">
        <w:rPr>
          <w:i/>
          <w:iCs/>
        </w:rPr>
        <w:t>Judgment, I.C.J. Reports 2013</w:t>
      </w:r>
      <w:r w:rsidRPr="00D97463">
        <w:t>, p. 281, at p. 307, para. 75 (“A judgment of the Court cannot be equated to a treaty, an instrument which derives its binding force and content from the consent of the contracting States and the interpretation of which may be affected by the subsequent conduct of those States, as provided by the principle stated in article 31, paragraph 3 (b), of the 1969 Vienna Convention on the Law of Treaties.”).</w:t>
      </w:r>
    </w:p>
  </w:footnote>
  <w:footnote w:id="303">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Regina v. Secretary of State for the Environment</w:t>
      </w:r>
      <w:r w:rsidRPr="00D97463">
        <w:t xml:space="preserve">, </w:t>
      </w:r>
      <w:r w:rsidRPr="00D97463">
        <w:rPr>
          <w:i/>
          <w:iCs/>
        </w:rPr>
        <w:t>Transport and the Regions ex parte Alconbury (Developments Limited and others)</w:t>
      </w:r>
      <w:r w:rsidRPr="00D97463">
        <w:t xml:space="preserve"> [2001] UKHL 231; </w:t>
      </w:r>
      <w:r w:rsidRPr="00D97463">
        <w:rPr>
          <w:i/>
          <w:iCs/>
        </w:rPr>
        <w:t>Regina v. Special Adjudicator ex parte</w:t>
      </w:r>
      <w:r w:rsidRPr="00D97463">
        <w:t xml:space="preserve"> </w:t>
      </w:r>
      <w:r w:rsidRPr="00D97463">
        <w:rPr>
          <w:i/>
          <w:iCs/>
        </w:rPr>
        <w:t>Ullah</w:t>
      </w:r>
      <w:r w:rsidRPr="00D97463">
        <w:t xml:space="preserve">; </w:t>
      </w:r>
      <w:r w:rsidRPr="00D97463">
        <w:rPr>
          <w:i/>
          <w:iCs/>
        </w:rPr>
        <w:t xml:space="preserve">Do (FC) v. Immigration Appeal Tribunal </w:t>
      </w:r>
      <w:r w:rsidRPr="00D97463">
        <w:t xml:space="preserve">[2004] UKHL 26 [20] (Lord Bingham); </w:t>
      </w:r>
      <w:r w:rsidRPr="00D97463">
        <w:rPr>
          <w:i/>
          <w:iCs/>
        </w:rPr>
        <w:t>Regina (On The Application of Animal Defenders International) v. Secretary of State For Culture, Media and Sport</w:t>
      </w:r>
      <w:r w:rsidRPr="00D97463">
        <w:t xml:space="preserve"> [2008] UKHL 15.</w:t>
      </w:r>
    </w:p>
  </w:footnote>
  <w:footnote w:id="304">
    <w:p w:rsidR="00A3158E" w:rsidRPr="00D97463" w:rsidRDefault="00A3158E" w:rsidP="00D97463">
      <w:pPr>
        <w:pStyle w:val="FootnoteText"/>
        <w:ind w:right="1260"/>
      </w:pPr>
      <w:r w:rsidRPr="00D97463">
        <w:tab/>
      </w:r>
      <w:r w:rsidRPr="00D97463">
        <w:rPr>
          <w:rStyle w:val="FootnoteReference"/>
        </w:rPr>
        <w:footnoteRef/>
      </w:r>
      <w:r w:rsidRPr="00D97463">
        <w:tab/>
        <w:t>Such jurisprudence may be a means for the determination of rules of law as indicated, in particular, by article 38, paragraph (1) (d), of the Statute of the International Court of Justice of 26 June 1945.</w:t>
      </w:r>
    </w:p>
  </w:footnote>
  <w:footnote w:id="305">
    <w:p w:rsidR="00A3158E" w:rsidRPr="00D97463" w:rsidRDefault="00A3158E" w:rsidP="00D97463">
      <w:pPr>
        <w:pStyle w:val="FootnoteText"/>
        <w:ind w:right="1260"/>
      </w:pPr>
      <w:r w:rsidRPr="00D97463">
        <w:tab/>
      </w:r>
      <w:r w:rsidRPr="00D97463">
        <w:rPr>
          <w:rStyle w:val="FootnoteReference"/>
        </w:rPr>
        <w:footnoteRef/>
      </w:r>
      <w:r w:rsidRPr="00D97463">
        <w:tab/>
        <w:t xml:space="preserve">Gardiner, </w:t>
      </w:r>
      <w:r w:rsidRPr="00D97463">
        <w:rPr>
          <w:i/>
          <w:iCs/>
        </w:rPr>
        <w:t>supra</w:t>
      </w:r>
      <w:r w:rsidRPr="00D97463">
        <w:rPr>
          <w:i/>
        </w:rPr>
        <w:t xml:space="preserve"> </w:t>
      </w:r>
      <w:r w:rsidRPr="00D97463">
        <w:t xml:space="preserve">note </w:t>
      </w:r>
      <w:r w:rsidRPr="00D97463">
        <w:fldChar w:fldCharType="begin"/>
      </w:r>
      <w:r w:rsidRPr="00D97463">
        <w:instrText xml:space="preserve"> NOTEREF _Ref423338220 \h  \* MERGEFORMAT </w:instrText>
      </w:r>
      <w:r w:rsidRPr="00D97463">
        <w:fldChar w:fldCharType="separate"/>
      </w:r>
      <w:r w:rsidR="00EF153A">
        <w:t>301</w:t>
      </w:r>
      <w:r w:rsidRPr="00D97463">
        <w:fldChar w:fldCharType="end"/>
      </w:r>
      <w:r w:rsidRPr="00D97463">
        <w:t>, pp. 281-82.</w:t>
      </w:r>
    </w:p>
  </w:footnote>
  <w:footnote w:id="30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Legality of the Use by a State of Nuclear Weapons in Armed Conflict, Advisory Opinion, I.C.J. Reports 1996</w:t>
      </w:r>
      <w:r w:rsidRPr="00D97463">
        <w:t>, p. 66, at p. 74, para. 19.</w:t>
      </w:r>
    </w:p>
  </w:footnote>
  <w:footnote w:id="30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Certain Expenses of the United Nations (Article 17, paragraph 2, of the Charter), Advisory Opinion, I.C.J. Reports 1962</w:t>
      </w:r>
      <w:r w:rsidRPr="00D97463">
        <w:t>, p. 151, at p. 157.</w:t>
      </w:r>
    </w:p>
  </w:footnote>
  <w:footnote w:id="30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Legality of the Use by a State of Nuclear Weapons in Armed Conflict, Advisory Opinion, I.C.J. Reports 1996</w:t>
      </w:r>
      <w:r w:rsidRPr="00D97463">
        <w:rPr>
          <w:iCs/>
        </w:rPr>
        <w:t>,</w:t>
      </w:r>
      <w:r w:rsidRPr="00D97463">
        <w:t xml:space="preserve"> p. 66, at p. 75, para. 19.</w:t>
      </w:r>
    </w:p>
  </w:footnote>
  <w:footnote w:id="30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31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311">
    <w:p w:rsidR="00A3158E" w:rsidRPr="00D97463" w:rsidRDefault="00A3158E" w:rsidP="00D97463">
      <w:pPr>
        <w:pStyle w:val="FootnoteText"/>
        <w:ind w:right="1260"/>
      </w:pPr>
      <w:r w:rsidRPr="00D97463">
        <w:tab/>
      </w:r>
      <w:r w:rsidRPr="00D97463">
        <w:rPr>
          <w:rStyle w:val="FootnoteReference"/>
        </w:rPr>
        <w:footnoteRef/>
      </w:r>
      <w:r w:rsidRPr="00D97463">
        <w:tab/>
        <w:t>See Art. 17</w:t>
      </w:r>
      <w:bookmarkStart w:id="105" w:name="3._convention_and_statutes_relating_to_t"/>
      <w:bookmarkEnd w:id="105"/>
      <w:r w:rsidRPr="00D97463">
        <w:t xml:space="preserve"> Convention and Statute relating to the Development of the Chad Basin (Treaty of Fort-Lamy von 1964), </w:t>
      </w:r>
      <w:r w:rsidRPr="00D97463">
        <w:rPr>
          <w:i/>
        </w:rPr>
        <w:t>Heidelberg Journal of International Law</w:t>
      </w:r>
      <w:r w:rsidRPr="00D97463">
        <w:t xml:space="preserve">, vol. 34 (1974), at p. 80; generally: P.H. Sand, “Development of International Water Law in the Lake Chad Basin”, </w:t>
      </w:r>
      <w:r w:rsidRPr="00D97463">
        <w:rPr>
          <w:i/>
          <w:iCs/>
        </w:rPr>
        <w:t>ibid.</w:t>
      </w:r>
      <w:r w:rsidRPr="00D97463">
        <w:t>, pp. 52-76.</w:t>
      </w:r>
    </w:p>
  </w:footnote>
  <w:footnote w:id="31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Land and Maritime Boundary between Cameroon and Nigeria (Cameroon v. Nigeria), Preliminary Objections</w:t>
      </w:r>
      <w:r w:rsidRPr="00D97463">
        <w:t>,</w:t>
      </w:r>
      <w:r w:rsidRPr="00D97463">
        <w:rPr>
          <w:i/>
          <w:iCs/>
        </w:rPr>
        <w:t xml:space="preserve"> Judgment, I.C.J. Reports 1998</w:t>
      </w:r>
      <w:r w:rsidRPr="00D97463">
        <w:t>, p. 275, at p. 305, para. 65.</w:t>
      </w:r>
    </w:p>
  </w:footnote>
  <w:footnote w:id="31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at pp. 306-307, para. 67.</w:t>
      </w:r>
    </w:p>
  </w:footnote>
  <w:footnote w:id="31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Whaling in the Antarctic (Australia v. Japan: New Zealand intervening),International Court of Justice,</w:t>
      </w:r>
      <w:r w:rsidRPr="00D97463">
        <w:t xml:space="preserve"> </w:t>
      </w:r>
      <w:r w:rsidRPr="00D97463">
        <w:rPr>
          <w:i/>
        </w:rPr>
        <w:t>Judgment of 31 March 2014</w:t>
      </w:r>
      <w:r w:rsidRPr="00D97463">
        <w:t>, para. 46, available at &lt;</w:t>
      </w:r>
      <w:hyperlink r:id="rId71" w:history="1">
        <w:r w:rsidRPr="00D97463">
          <w:t>http://www.icj-cij.org/docket/files/148/18136.pdf</w:t>
        </w:r>
      </w:hyperlink>
      <w:r w:rsidRPr="00D97463">
        <w:t xml:space="preserve">&gt;; see also </w:t>
      </w:r>
      <w:r w:rsidRPr="00D97463">
        <w:rPr>
          <w:i/>
        </w:rPr>
        <w:t>infra</w:t>
      </w:r>
      <w:r w:rsidRPr="00D97463">
        <w:t xml:space="preserve"> note </w:t>
      </w:r>
      <w:r w:rsidRPr="00D97463">
        <w:fldChar w:fldCharType="begin"/>
      </w:r>
      <w:r w:rsidRPr="00D97463">
        <w:instrText xml:space="preserve"> NOTEREF _Ref424057905 \h  \* MERGEFORMAT </w:instrText>
      </w:r>
      <w:r w:rsidRPr="00D97463">
        <w:fldChar w:fldCharType="separate"/>
      </w:r>
      <w:r w:rsidR="00EF153A">
        <w:t>341</w:t>
      </w:r>
      <w:r w:rsidRPr="00D97463">
        <w:fldChar w:fldCharType="end"/>
      </w:r>
      <w:r w:rsidRPr="00D97463">
        <w:t xml:space="preserve"> and accompanying text.</w:t>
      </w:r>
    </w:p>
  </w:footnote>
  <w:footnote w:id="315">
    <w:p w:rsidR="00A3158E" w:rsidRPr="00D97463" w:rsidRDefault="00A3158E" w:rsidP="00D97463">
      <w:pPr>
        <w:pStyle w:val="FootnoteText"/>
        <w:ind w:right="1260"/>
      </w:pPr>
      <w:r w:rsidRPr="00D97463">
        <w:tab/>
      </w:r>
      <w:r w:rsidRPr="00D97463">
        <w:rPr>
          <w:rStyle w:val="FootnoteReference"/>
        </w:rPr>
        <w:footnoteRef/>
      </w:r>
      <w:r w:rsidRPr="00D97463">
        <w:tab/>
        <w:t>See articles 39-41 of the Vienna Convention.</w:t>
      </w:r>
    </w:p>
  </w:footnote>
  <w:footnote w:id="31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See Madrid European Council, Conclusions of the Presidency, European Union Bulletin, No. 12 (1995), p. 10 at I.A.I.</w:t>
      </w:r>
    </w:p>
  </w:footnote>
  <w:footnote w:id="31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318">
    <w:p w:rsidR="00A3158E" w:rsidRPr="00D97463" w:rsidRDefault="00A3158E" w:rsidP="00D97463">
      <w:pPr>
        <w:pStyle w:val="FootnoteText"/>
        <w:ind w:right="1260"/>
      </w:pPr>
      <w:r w:rsidRPr="00D97463">
        <w:tab/>
      </w:r>
      <w:r w:rsidRPr="00D97463">
        <w:rPr>
          <w:rStyle w:val="FootnoteReference"/>
        </w:rPr>
        <w:footnoteRef/>
      </w:r>
      <w:r w:rsidRPr="00D97463">
        <w:tab/>
        <w:t>See A. Aust</w:t>
      </w:r>
      <w:r w:rsidRPr="00D97463">
        <w:rPr>
          <w:i/>
        </w:rPr>
        <w:t>, Modern Treaty Law and Practice</w:t>
      </w:r>
      <w:r w:rsidRPr="00D97463">
        <w:t xml:space="preserve">, 3rd ed. (Cambridge, Cambridge University Press, 2013), p. 215; G. Hafner, “Subsequent Agreements and Practice: Between Interpretation, Informal Modification and Formal Amendment”, in </w:t>
      </w:r>
      <w:r w:rsidRPr="00D97463">
        <w:rPr>
          <w:i/>
        </w:rPr>
        <w:t>Treaties and Subsequent Practice</w:t>
      </w:r>
      <w:r w:rsidRPr="00D97463">
        <w:t>, G.</w:t>
      </w:r>
      <w:r w:rsidRPr="00D97463">
        <w:rPr>
          <w:i/>
        </w:rPr>
        <w:t xml:space="preserve"> </w:t>
      </w:r>
      <w:r w:rsidRPr="00D97463">
        <w:t>Nolte, ed. (Oxford, Oxford University Press, 2013), p. 105, at pp. 109-110.</w:t>
      </w:r>
    </w:p>
  </w:footnote>
  <w:footnote w:id="319">
    <w:p w:rsidR="00A3158E" w:rsidRPr="00D97463" w:rsidRDefault="00A3158E" w:rsidP="00D97463">
      <w:pPr>
        <w:pStyle w:val="FootnoteText"/>
        <w:ind w:right="1260"/>
      </w:pPr>
      <w:r w:rsidRPr="00D97463">
        <w:tab/>
      </w:r>
      <w:r w:rsidRPr="00D97463">
        <w:rPr>
          <w:rStyle w:val="FootnoteReference"/>
        </w:rPr>
        <w:footnoteRef/>
      </w:r>
      <w:r w:rsidRPr="00D97463">
        <w:tab/>
        <w:t xml:space="preserve">P.C.G. Kapteyn and P. VerLoren van Themaat, </w:t>
      </w:r>
      <w:r w:rsidRPr="00D97463">
        <w:rPr>
          <w:i/>
        </w:rPr>
        <w:t xml:space="preserve">Introduction to the Law of the European </w:t>
      </w:r>
      <w:r w:rsidRPr="00D97463">
        <w:rPr>
          <w:i/>
          <w:iCs/>
        </w:rPr>
        <w:t>Communities</w:t>
      </w:r>
      <w:r w:rsidRPr="00D97463">
        <w:t>, 3rd ed. (London, Kluwer Law International, 1998), pp. 340-343.</w:t>
      </w:r>
    </w:p>
  </w:footnote>
  <w:footnote w:id="320">
    <w:p w:rsidR="00A3158E" w:rsidRPr="00D97463" w:rsidRDefault="00A3158E" w:rsidP="00D97463">
      <w:pPr>
        <w:pStyle w:val="FootnoteText"/>
        <w:ind w:right="1260"/>
      </w:pPr>
      <w:r w:rsidRPr="00D97463">
        <w:tab/>
      </w:r>
      <w:r w:rsidRPr="00D97463">
        <w:rPr>
          <w:rStyle w:val="FootnoteReference"/>
        </w:rPr>
        <w:footnoteRef/>
      </w:r>
      <w:r w:rsidRPr="00D97463">
        <w:tab/>
        <w:t xml:space="preserve">Case C-181/91 and C-248/91, </w:t>
      </w:r>
      <w:r w:rsidRPr="00D97463">
        <w:rPr>
          <w:i/>
        </w:rPr>
        <w:t xml:space="preserve">Parliament v. Council and Commission </w:t>
      </w:r>
      <w:r w:rsidRPr="00D97463">
        <w:t>[1993], ECR I-3713, para 12.</w:t>
      </w:r>
    </w:p>
  </w:footnote>
  <w:footnote w:id="321">
    <w:p w:rsidR="00A3158E" w:rsidRPr="00D97463" w:rsidRDefault="00A3158E" w:rsidP="00D97463">
      <w:pPr>
        <w:pStyle w:val="FootnoteText"/>
        <w:ind w:right="1260"/>
      </w:pPr>
      <w:r w:rsidRPr="00D97463">
        <w:tab/>
      </w:r>
      <w:r w:rsidRPr="00D97463">
        <w:rPr>
          <w:rStyle w:val="FootnoteReference"/>
        </w:rPr>
        <w:footnoteRef/>
      </w:r>
      <w:r w:rsidRPr="00D97463">
        <w:rPr>
          <w:rStyle w:val="FootnoteReference"/>
          <w:spacing w:val="5"/>
        </w:rPr>
        <w:tab/>
      </w:r>
      <w:r w:rsidRPr="00D97463">
        <w:rPr>
          <w:i/>
          <w:iCs/>
        </w:rPr>
        <w:t>Ibid.</w:t>
      </w:r>
      <w:r w:rsidRPr="00D97463">
        <w:t>, para. 14.</w:t>
      </w:r>
    </w:p>
  </w:footnote>
  <w:footnote w:id="322">
    <w:p w:rsidR="00A3158E" w:rsidRPr="00D97463" w:rsidRDefault="00A3158E" w:rsidP="00D97463">
      <w:pPr>
        <w:pStyle w:val="FootnoteText"/>
        <w:ind w:right="1260"/>
      </w:pPr>
      <w:r w:rsidRPr="00D97463">
        <w:tab/>
      </w:r>
      <w:r w:rsidRPr="00D97463">
        <w:rPr>
          <w:rStyle w:val="FootnoteReference"/>
        </w:rPr>
        <w:footnoteRef/>
      </w:r>
      <w:r w:rsidRPr="00D97463">
        <w:tab/>
        <w:t xml:space="preserve">See draft conclusions 1 (4) and 4 (3), Report of the International Law Commission on its sixty-fifth session, </w:t>
      </w:r>
      <w:r w:rsidRPr="00D97463">
        <w:rPr>
          <w:i/>
        </w:rPr>
        <w:t xml:space="preserve">Official Records of the General Assembly, Sixty-eighth Session, Supplement No. 10 </w:t>
      </w:r>
      <w:r w:rsidRPr="00D97463">
        <w:t>(</w:t>
      </w:r>
      <w:hyperlink r:id="rId72" w:history="1">
        <w:r w:rsidRPr="00D97463">
          <w:rPr>
            <w:rStyle w:val="Hyperlink"/>
          </w:rPr>
          <w:t>A/68/10</w:t>
        </w:r>
      </w:hyperlink>
      <w:r w:rsidRPr="00D97463">
        <w:t>), Chapter IV, pp. 11-12; pp. 16-17, para. 10; pp. 37-41, paras. 22-36.</w:t>
      </w:r>
    </w:p>
  </w:footnote>
  <w:footnote w:id="323">
    <w:p w:rsidR="00A3158E" w:rsidRPr="00D97463" w:rsidRDefault="00A3158E" w:rsidP="00D97463">
      <w:pPr>
        <w:pStyle w:val="FootnoteText"/>
        <w:ind w:right="1260"/>
      </w:pPr>
      <w:r w:rsidRPr="00D97463">
        <w:tab/>
      </w:r>
      <w:r w:rsidRPr="00D97463">
        <w:rPr>
          <w:rStyle w:val="FootnoteReference"/>
        </w:rPr>
        <w:footnoteRef/>
      </w:r>
      <w:r w:rsidRPr="00D97463">
        <w:tab/>
        <w:t xml:space="preserve">This is true, for example, for the Convention on International Civil Aviation (Chicago Convention) (United Nations, </w:t>
      </w:r>
      <w:r w:rsidRPr="00D97463">
        <w:rPr>
          <w:i/>
        </w:rPr>
        <w:t>Treaty Series</w:t>
      </w:r>
      <w:r w:rsidRPr="00D97463">
        <w:t xml:space="preserve">, vol. 15, p. 295) signed at Chicago on 7 December 1944; P.P.C. Haanappel, “Bilateral Air Transport Agreements — 1913-1980”, </w:t>
      </w:r>
      <w:r w:rsidRPr="00D97463">
        <w:rPr>
          <w:i/>
        </w:rPr>
        <w:t>The International Trade Law Journal</w:t>
      </w:r>
      <w:r w:rsidRPr="00D97463">
        <w:t xml:space="preserve">, vol. 5 (1980), p. 241, at pp. 241-267; L. Tomas, “Air Transport Agreements, Regulation of Liability”, in </w:t>
      </w:r>
      <w:r w:rsidRPr="00D97463">
        <w:rPr>
          <w:i/>
          <w:iCs/>
        </w:rPr>
        <w:t>Max Planck Encyclopedia of Public International Law</w:t>
      </w:r>
      <w:r w:rsidRPr="00D97463">
        <w:t xml:space="preserve"> (located at &lt;http://www.mpepil.com&gt;); B.F. Havel, </w:t>
      </w:r>
      <w:r w:rsidRPr="00D97463">
        <w:rPr>
          <w:i/>
        </w:rPr>
        <w:t>Beyond Open Skies, A New Regime for International Aviation</w:t>
      </w:r>
      <w:r w:rsidRPr="00D97463">
        <w:t xml:space="preserve"> (Alphen aan den Rijn, Kluwer Law International, 2009), p. 10. </w:t>
      </w:r>
    </w:p>
  </w:footnote>
  <w:footnote w:id="324">
    <w:p w:rsidR="00A3158E" w:rsidRPr="00D97463" w:rsidRDefault="00A3158E" w:rsidP="00D97463">
      <w:pPr>
        <w:pStyle w:val="FootnoteText"/>
        <w:ind w:right="1260"/>
      </w:pPr>
      <w:r w:rsidRPr="00D97463">
        <w:tab/>
      </w:r>
      <w:r w:rsidRPr="00D97463">
        <w:rPr>
          <w:rStyle w:val="FootnoteReference"/>
        </w:rPr>
        <w:footnoteRef/>
      </w:r>
      <w:r w:rsidRPr="00D97463">
        <w:tab/>
        <w:t xml:space="preserve">R. Higgins, “The Development of International Law by the Political Organs of the United Nations”, </w:t>
      </w:r>
      <w:r w:rsidRPr="00D97463">
        <w:rPr>
          <w:i/>
        </w:rPr>
        <w:t>ASIL Proceedings 59th Annual Meeting</w:t>
      </w:r>
      <w:r w:rsidRPr="00D97463">
        <w:t xml:space="preserve"> (1965), p. 116, at p. 119; the practice of an international organization, in addition to arising from, or being expressed in, an agreement or the practice of the parties themselves under paragraph 2, may also be a means of interpretation in itself under paragraph 3 (see below at paras. (25)-(35)).</w:t>
      </w:r>
    </w:p>
  </w:footnote>
  <w:footnote w:id="32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Legality of the Use by a State of Nuclear Weapons in Armed Conflict, Advisory Opinion, I.C.J. Reports 1996</w:t>
      </w:r>
      <w:r w:rsidRPr="00D97463">
        <w:t>, p. 66, at p. 81, para. 27.</w:t>
      </w:r>
    </w:p>
  </w:footnote>
  <w:footnote w:id="326">
    <w:p w:rsidR="00A3158E" w:rsidRPr="00D97463" w:rsidRDefault="00A3158E" w:rsidP="00D97463">
      <w:pPr>
        <w:pStyle w:val="FootnoteText"/>
        <w:ind w:right="1260"/>
      </w:pPr>
      <w:r w:rsidRPr="00D97463">
        <w:tab/>
      </w:r>
      <w:r w:rsidRPr="00D97463">
        <w:rPr>
          <w:rStyle w:val="FootnoteReference"/>
        </w:rPr>
        <w:footnoteRef/>
      </w:r>
      <w:r w:rsidRPr="00D97463">
        <w:tab/>
        <w:t xml:space="preserve">The Permanent Court of International Justice had adopted this approach in its </w:t>
      </w:r>
      <w:r w:rsidRPr="00D97463">
        <w:rPr>
          <w:i/>
          <w:iCs/>
        </w:rPr>
        <w:t>Competence of the International Labour Organization to regulate, incidentally, the personal Work of the Employer, Advisory Opinion, 1926, P.C.I.J. Series B No. 13</w:t>
      </w:r>
      <w:r w:rsidRPr="00D97463">
        <w:t xml:space="preserve">, at pp. 19-20; see S. Engel, “‘Living’ International Constitutions and the World Court (the Subsequent Practice of International Organs under their Constituent Instruments)”, </w:t>
      </w:r>
      <w:r w:rsidRPr="00D97463">
        <w:rPr>
          <w:i/>
          <w:iCs/>
        </w:rPr>
        <w:t>International and Comparative Law Quarterly</w:t>
      </w:r>
      <w:r w:rsidRPr="00D97463">
        <w:t>, vol. 16 (1967), p. 865, at p. 871.</w:t>
      </w:r>
    </w:p>
  </w:footnote>
  <w:footnote w:id="327">
    <w:p w:rsidR="00A3158E" w:rsidRPr="00D97463" w:rsidRDefault="00A3158E" w:rsidP="00D97463">
      <w:pPr>
        <w:pStyle w:val="FootnoteText"/>
        <w:ind w:right="1260"/>
      </w:pPr>
      <w:r w:rsidRPr="00D97463">
        <w:tab/>
      </w:r>
      <w:r w:rsidRPr="00D97463">
        <w:rPr>
          <w:rStyle w:val="FootnoteReference"/>
        </w:rPr>
        <w:footnoteRef/>
      </w:r>
      <w:r w:rsidRPr="00D97463">
        <w:tab/>
        <w:t xml:space="preserve">WTO, Appellate Body Report, </w:t>
      </w:r>
      <w:r w:rsidRPr="00D97463">
        <w:rPr>
          <w:i/>
          <w:iCs/>
        </w:rPr>
        <w:t>United States — Measures Affecting the Production and Sale of Clove Cigarettes</w:t>
      </w:r>
      <w:r w:rsidRPr="00D97463">
        <w:t>, WT/DS406/AB/R, 4 April 2012, para. 262.</w:t>
      </w:r>
    </w:p>
  </w:footnote>
  <w:footnote w:id="32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rPr>
          <w:i/>
        </w:rPr>
        <w:t xml:space="preserve"> </w:t>
      </w:r>
      <w:r w:rsidRPr="00D97463">
        <w:t>(footnotes omitted); Although the Doha Ministerial Decision does not concern a provision of the WTO Agreement itself, it concerns an annex to that Agreement (the “TBT Agreement”) which is an “integral part” of the Agreement establishing the WTO (article 2 (2) WTO Agreement).</w:t>
      </w:r>
    </w:p>
  </w:footnote>
  <w:footnote w:id="32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Military and Paramilitary Activities in and against Nicaragua (Nicaragua v. United States of America), Merits, Judgment, I.C.J. Reports 1986</w:t>
      </w:r>
      <w:r w:rsidRPr="00D97463">
        <w:t xml:space="preserve">, p. 14, at p. 100, para. 188: “The effect of consent to the text of such resolutions cannot be understood as merely that of a ‘reiteration or elucidation’ of the treaty commitment undertaken in the Charter. On the contrary, it may be understood as an acceptance of the validity of the rule or set of rules declared by the resolution by themselves”. This statement, whose primary purpose is to explain the possible role of General Assembly resolutions for the formation of customary law, also recognizes the treaty-related point that such resolutions may serve to express the agreement, or the positions, of the parties regarding a certain interpretation of the UN Charter as a treaty (“elucidation”); similarly: </w:t>
      </w:r>
      <w:r w:rsidRPr="00D97463">
        <w:rPr>
          <w:i/>
          <w:iCs/>
        </w:rPr>
        <w:t>Accordance with International Law of the Unilateral Declaration of Independence in Respect of Kosovo, Advisory Opinion, I.C.J. Reports 2010</w:t>
      </w:r>
      <w:r w:rsidRPr="00D97463">
        <w:rPr>
          <w:iCs/>
        </w:rPr>
        <w:t>,</w:t>
      </w:r>
      <w:r w:rsidRPr="00D97463">
        <w:t xml:space="preserve"> p. 403, at p. 437, para. 80; in this sense, for example, L. B. Sohn, “The UN System as Authoritative Interpreter of its Law”, in </w:t>
      </w:r>
      <w:r w:rsidRPr="00D97463">
        <w:rPr>
          <w:i/>
          <w:iCs/>
        </w:rPr>
        <w:t>United Nations Legal Order</w:t>
      </w:r>
      <w:r w:rsidRPr="00D97463">
        <w:t xml:space="preserve">, vol. 1, O. Schachter and C.C. Joyner, eds. (Cambridge, American Society of International Law/Cambridge University Press, 1995), p. 169, at pp. 176-177 (noting in regard to the </w:t>
      </w:r>
      <w:r w:rsidRPr="00D97463">
        <w:rPr>
          <w:i/>
          <w:iCs/>
        </w:rPr>
        <w:t>Nicaragua</w:t>
      </w:r>
      <w:r w:rsidRPr="00D97463">
        <w:t xml:space="preserve"> case that “[t]he Court accepted the Friendly Relations Declaration as an authentic interpretation of the Charter”). </w:t>
      </w:r>
    </w:p>
  </w:footnote>
  <w:footnote w:id="330">
    <w:p w:rsidR="00A3158E" w:rsidRPr="00D97463" w:rsidRDefault="00A3158E" w:rsidP="00D97463">
      <w:pPr>
        <w:pStyle w:val="FootnoteText"/>
        <w:ind w:right="1260"/>
      </w:pPr>
      <w:r w:rsidRPr="00D97463">
        <w:tab/>
      </w:r>
      <w:r w:rsidRPr="00D97463">
        <w:rPr>
          <w:rStyle w:val="FootnoteReference"/>
        </w:rPr>
        <w:footnoteRef/>
      </w:r>
      <w:r w:rsidRPr="00D97463">
        <w:tab/>
        <w:t xml:space="preserve">H.G. Schermers and N.M. Blokker, </w:t>
      </w:r>
      <w:r w:rsidRPr="00D97463">
        <w:rPr>
          <w:i/>
        </w:rPr>
        <w:t>International Institutional Law</w:t>
      </w:r>
      <w:r w:rsidRPr="00D97463">
        <w:t xml:space="preserve">, 5th ed. (Leiden/Boston, Martinus Nijhoff, 2011), p. 854 (referring to interpretations by the Assembly of the Oil Pollution Compensation Fund regarding the constituent instruments of the Fund); M. Cogen, “Membership, Associate Membership and Pre-Accession Arrangements of CERN, ESO, ESA, and EUMETSAT”, </w:t>
      </w:r>
      <w:r w:rsidRPr="00D97463">
        <w:rPr>
          <w:i/>
        </w:rPr>
        <w:t>International Organizations Law Review</w:t>
      </w:r>
      <w:r w:rsidRPr="00D97463">
        <w:t xml:space="preserve">, vol. 9 (2012), p. 145, at 157-158 (referring to a unanimously adopted decision of the CERN Council of 17 June 2010 interpreting the admission criteria established in the CERN Convention as a subsequent agreement under article 31 (3) (a)). </w:t>
      </w:r>
    </w:p>
  </w:footnote>
  <w:footnote w:id="331">
    <w:p w:rsidR="00A3158E" w:rsidRPr="00D97463" w:rsidRDefault="00A3158E" w:rsidP="00D97463">
      <w:pPr>
        <w:pStyle w:val="FootnoteText"/>
        <w:ind w:right="1260"/>
      </w:pPr>
      <w:r w:rsidRPr="00D97463">
        <w:tab/>
      </w:r>
      <w:r w:rsidRPr="00D97463">
        <w:rPr>
          <w:rStyle w:val="FootnoteReference"/>
        </w:rPr>
        <w:footnoteRef/>
      </w:r>
      <w:r w:rsidRPr="00D97463">
        <w:tab/>
        <w:t xml:space="preserve">See E. Jimémez de Aréchega, “International Law in the Past Third of a Century”, </w:t>
      </w:r>
      <w:r w:rsidRPr="00D97463">
        <w:rPr>
          <w:i/>
        </w:rPr>
        <w:t>Recueil des Cours,</w:t>
      </w:r>
      <w:r w:rsidRPr="00D97463">
        <w:t xml:space="preserve"> vol. 159 (1978), p.</w:t>
      </w:r>
      <w:r w:rsidRPr="00D97463">
        <w:rPr>
          <w:i/>
        </w:rPr>
        <w:t xml:space="preserve"> </w:t>
      </w:r>
      <w:r w:rsidRPr="00D97463">
        <w:t xml:space="preserve">32 (stating in relation to the Friendly Relations Declaration that “[t]his Resolution […] constitutes an authoritative expression of the views held by the totality of the parties to the Charter as to these basic principles and certain corollaries resulting from them. In the light of these circumstances, it seems difficult to deny the legal weight and authority of the Declaration both as a resolution recognising what the Members themselves believe constitute existing rules of customary law and as an interpretation of the Charter by the subsequent agreement and the subsequent practice of all its members”); O. Schachter, “General Course in Public International Law”, </w:t>
      </w:r>
      <w:r w:rsidRPr="00D97463">
        <w:rPr>
          <w:i/>
        </w:rPr>
        <w:t xml:space="preserve">Recueil des Cours, </w:t>
      </w:r>
      <w:r w:rsidRPr="00D97463">
        <w:t xml:space="preserve">vol. 178 (1982), p. 113 (“The law-declaring resolutions that construed and ‘concretized’ the principles of the Charter — whether as general rules or in regard to particular cases — may be regarded as authentic interpretation by the parties of their existing treaty obligations. To that extent they were interpretation, and agreed by all Member States, they fitted comfortably into an established source of law”); P. Kunig, “United Nations Charter, Interpretation of”, in </w:t>
      </w:r>
      <w:r w:rsidRPr="00D97463">
        <w:rPr>
          <w:i/>
        </w:rPr>
        <w:t xml:space="preserve">Max Planck Encyclopedia of Public International Law, </w:t>
      </w:r>
      <w:r w:rsidRPr="00D97463">
        <w:t xml:space="preserve">vol. X, R. Wolfrum, ed. (Oxford, Oxford University Press, 2012), p. 273, at 275 (stating that, “[i]f passed by consensus, they [i.e. General Assembly resolutions] are able to play a major role in the […] interpretation of the UN Charter”); Aust, </w:t>
      </w:r>
      <w:r w:rsidRPr="00D97463">
        <w:rPr>
          <w:i/>
          <w:iCs/>
        </w:rPr>
        <w:t>supra</w:t>
      </w:r>
      <w:r w:rsidRPr="00D97463">
        <w:t xml:space="preserve"> note </w:t>
      </w:r>
      <w:r w:rsidRPr="00D97463">
        <w:fldChar w:fldCharType="begin"/>
      </w:r>
      <w:r w:rsidRPr="00D97463">
        <w:instrText xml:space="preserve"> NOTEREF _Ref423341817 \h  \* MERGEFORMAT </w:instrText>
      </w:r>
      <w:r w:rsidRPr="00D97463">
        <w:fldChar w:fldCharType="separate"/>
      </w:r>
      <w:r w:rsidR="00EF153A">
        <w:t>318</w:t>
      </w:r>
      <w:r w:rsidRPr="00D97463">
        <w:fldChar w:fldCharType="end"/>
      </w:r>
      <w:r w:rsidRPr="00D97463">
        <w:t>, p. 213 (mentioning that General Assembly resolution 51/210 (“Measures to eliminate international terrorism”) can be seen as a subsequent agreement about the interpretation of the UN Charter). All resolutions to which the writers are referring to have been adopted by consensus.</w:t>
      </w:r>
    </w:p>
  </w:footnote>
  <w:footnote w:id="332">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supra</w:t>
      </w:r>
      <w:r w:rsidRPr="00D97463">
        <w:rPr>
          <w:i/>
        </w:rPr>
        <w:t xml:space="preserve"> </w:t>
      </w:r>
      <w:r w:rsidRPr="00D97463">
        <w:t>note</w:t>
      </w:r>
      <w:r w:rsidRPr="00D97463">
        <w:rPr>
          <w:i/>
        </w:rPr>
        <w:t xml:space="preserve"> </w:t>
      </w:r>
      <w:r w:rsidRPr="00D97463">
        <w:fldChar w:fldCharType="begin"/>
      </w:r>
      <w:r w:rsidRPr="00D97463">
        <w:instrText xml:space="preserve"> NOTEREF _Ref423449811 \h  \* MERGEFORMAT </w:instrText>
      </w:r>
      <w:r w:rsidRPr="00D97463">
        <w:fldChar w:fldCharType="separate"/>
      </w:r>
      <w:r w:rsidR="00EF153A">
        <w:t>327</w:t>
      </w:r>
      <w:r w:rsidRPr="00D97463">
        <w:fldChar w:fldCharType="end"/>
      </w:r>
      <w:r w:rsidRPr="00D97463">
        <w:t xml:space="preserve">, para. 265. </w:t>
      </w:r>
    </w:p>
  </w:footnote>
  <w:footnote w:id="333">
    <w:p w:rsidR="00A3158E" w:rsidRPr="00D97463" w:rsidRDefault="00A3158E" w:rsidP="00D97463">
      <w:pPr>
        <w:pStyle w:val="FootnoteText"/>
        <w:ind w:right="1260"/>
      </w:pPr>
      <w:r w:rsidRPr="00D97463">
        <w:tab/>
      </w:r>
      <w:r w:rsidRPr="00D97463">
        <w:rPr>
          <w:rStyle w:val="FootnoteReference"/>
        </w:rPr>
        <w:footnoteRef/>
      </w:r>
      <w:r w:rsidRPr="00D97463">
        <w:tab/>
        <w:t xml:space="preserve">Y. Bonzon, </w:t>
      </w:r>
      <w:r w:rsidRPr="00D97463">
        <w:rPr>
          <w:i/>
        </w:rPr>
        <w:t>Public Participation and Legitimacy in the WTO</w:t>
      </w:r>
      <w:r w:rsidRPr="00D97463">
        <w:t xml:space="preserve"> (Cambridge, Cambridge University Press, 2014), pp. 114-115.</w:t>
      </w:r>
    </w:p>
  </w:footnote>
  <w:footnote w:id="33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 Consequences for States of the Continued Presence of South Africa in Namibia (South West Africa) Notwithstanding Security Council Resolution 276 (1970), Advisory Opinion, I.C.J. Reports 1971</w:t>
      </w:r>
      <w:r w:rsidRPr="00D97463">
        <w:t>, p. 16, at p. 22.</w:t>
      </w:r>
    </w:p>
  </w:footnote>
  <w:footnote w:id="335">
    <w:p w:rsidR="00A3158E" w:rsidRPr="00D97463" w:rsidRDefault="00A3158E" w:rsidP="00D97463">
      <w:pPr>
        <w:pStyle w:val="FootnoteText"/>
        <w:ind w:right="1260"/>
      </w:pPr>
      <w:r w:rsidRPr="00D97463">
        <w:tab/>
      </w:r>
      <w:r w:rsidRPr="00D97463">
        <w:rPr>
          <w:rStyle w:val="FootnoteReference"/>
        </w:rPr>
        <w:footnoteRef/>
      </w:r>
      <w:r w:rsidRPr="00D97463">
        <w:tab/>
        <w:t xml:space="preserve">H. Thirlway, “The Law and Procedure of the International Court of Justice 1960-1989, Part Two”, </w:t>
      </w:r>
      <w:r w:rsidRPr="00D97463">
        <w:rPr>
          <w:i/>
        </w:rPr>
        <w:t>British Yearbook of International Law</w:t>
      </w:r>
      <w:r w:rsidRPr="00D97463">
        <w:t>, vol. 61 (1990), p. 61, at 76-77 (mentioning that “[t]he Court’s reference to the practice as being ‘of’ the Organization is presumably intended to refer, not to a practice followed by the Organization as an entity in its relations with other subjects of international law, but rather a practice followed, approved or respected throughout the Organization. Seen in this light, the practice is […] rather a recognition by the other members of the Security Council at the relevant moment, and indeed by all member States by tacit acceptance, of the validity of such resolutions”).</w:t>
      </w:r>
    </w:p>
  </w:footnote>
  <w:footnote w:id="33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 Consequences of the Construction of a Wall in the Occupied Palestinian Territory, Advisory Opinion, I.C.J. Reports 2004</w:t>
      </w:r>
      <w:r w:rsidRPr="00D97463">
        <w:t>, p. 136, at p. 149-150.</w:t>
      </w:r>
    </w:p>
  </w:footnote>
  <w:footnote w:id="33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at p. 150. </w:t>
      </w:r>
    </w:p>
  </w:footnote>
  <w:footnote w:id="338">
    <w:p w:rsidR="00A3158E" w:rsidRPr="00D97463" w:rsidRDefault="00A3158E" w:rsidP="00D97463">
      <w:pPr>
        <w:pStyle w:val="FootnoteText"/>
        <w:ind w:right="1260"/>
      </w:pPr>
      <w:r w:rsidRPr="00D97463">
        <w:tab/>
      </w:r>
      <w:r w:rsidRPr="00D97463">
        <w:rPr>
          <w:rStyle w:val="FootnoteReference"/>
        </w:rPr>
        <w:footnoteRef/>
      </w:r>
      <w:r w:rsidRPr="00D97463">
        <w:tab/>
        <w:t xml:space="preserve">See Commentaries to Draft Conclusion 9, para. 2, second sentence, Report of the International Law Commission on its sixty-sixth session, </w:t>
      </w:r>
      <w:r w:rsidRPr="00D97463">
        <w:rPr>
          <w:i/>
        </w:rPr>
        <w:t xml:space="preserve">Official Records of the General Assembly, Sixty-ninth Session, Supplement No. 10 </w:t>
      </w:r>
      <w:r w:rsidRPr="00D97463">
        <w:t>(</w:t>
      </w:r>
      <w:hyperlink r:id="rId73" w:history="1">
        <w:r w:rsidRPr="00D97463">
          <w:rPr>
            <w:rStyle w:val="Hyperlink"/>
          </w:rPr>
          <w:t>A/69/10</w:t>
        </w:r>
      </w:hyperlink>
      <w:r w:rsidRPr="00D97463">
        <w:t xml:space="preserve">), Chapter VII, pp. 201-205, paras. 13-24; M.E. Villiger, </w:t>
      </w:r>
      <w:r w:rsidRPr="00D97463">
        <w:rPr>
          <w:i/>
        </w:rPr>
        <w:t>Commentary on the 1969 Vienna Convention on the Law of Treaties</w:t>
      </w:r>
      <w:r w:rsidRPr="00D97463">
        <w:t xml:space="preserve"> (Martinus Nijhoff Publishers, 2009), pp. 431-432, para. 22; J. Arato, “Treaty Interpretation and Constitutional Transformation”, </w:t>
      </w:r>
      <w:r w:rsidRPr="00D97463">
        <w:rPr>
          <w:i/>
        </w:rPr>
        <w:t>Yale Journal of International Law</w:t>
      </w:r>
      <w:r w:rsidRPr="00D97463">
        <w:t xml:space="preserve">, vol. 38 (2013), p. 289, at p. 322. </w:t>
      </w:r>
    </w:p>
  </w:footnote>
  <w:footnote w:id="339">
    <w:p w:rsidR="00A3158E" w:rsidRPr="00D97463" w:rsidRDefault="00A3158E" w:rsidP="00D97463">
      <w:pPr>
        <w:pStyle w:val="FootnoteText"/>
        <w:ind w:right="1260"/>
        <w:rPr>
          <w:lang w:val="es-ES"/>
        </w:rPr>
      </w:pPr>
      <w:r w:rsidRPr="00D97463">
        <w:tab/>
      </w:r>
      <w:r w:rsidRPr="00D97463">
        <w:rPr>
          <w:rStyle w:val="FootnoteReference"/>
        </w:rPr>
        <w:footnoteRef/>
      </w:r>
      <w:r w:rsidRPr="00D97463">
        <w:rPr>
          <w:lang w:val="es-ES"/>
        </w:rPr>
        <w:tab/>
        <w:t xml:space="preserve">Gardiner,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_Ref423338220 \h  \* MERGEFORMAT </w:instrText>
      </w:r>
      <w:r w:rsidRPr="00D97463">
        <w:fldChar w:fldCharType="separate"/>
      </w:r>
      <w:r w:rsidR="00EF153A">
        <w:rPr>
          <w:lang w:val="es-ES"/>
        </w:rPr>
        <w:t>301</w:t>
      </w:r>
      <w:r w:rsidRPr="00D97463">
        <w:fldChar w:fldCharType="end"/>
      </w:r>
      <w:r w:rsidRPr="00D97463">
        <w:rPr>
          <w:lang w:val="es-ES"/>
        </w:rPr>
        <w:t>, p. 281.</w:t>
      </w:r>
    </w:p>
  </w:footnote>
  <w:footnote w:id="340">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ab/>
      </w:r>
      <w:r w:rsidRPr="00D97463">
        <w:rPr>
          <w:i/>
          <w:iCs/>
          <w:lang w:val="es-ES"/>
        </w:rPr>
        <w:t>Ibid.</w:t>
      </w:r>
    </w:p>
  </w:footnote>
  <w:footnote w:id="341">
    <w:p w:rsidR="00A3158E" w:rsidRPr="00D97463" w:rsidRDefault="00A3158E" w:rsidP="00D97463">
      <w:pPr>
        <w:pStyle w:val="FootnoteText"/>
        <w:ind w:right="1260"/>
      </w:pPr>
      <w:r w:rsidRPr="00D97463">
        <w:rPr>
          <w:lang w:val="es-ES"/>
        </w:rPr>
        <w:tab/>
      </w:r>
      <w:r w:rsidRPr="00D97463">
        <w:rPr>
          <w:rStyle w:val="FootnoteReference"/>
        </w:rPr>
        <w:footnoteRef/>
      </w:r>
      <w:r w:rsidRPr="00D97463">
        <w:tab/>
        <w:t xml:space="preserve">S. Schiele, </w:t>
      </w:r>
      <w:r w:rsidRPr="00D97463">
        <w:rPr>
          <w:i/>
          <w:iCs/>
        </w:rPr>
        <w:t xml:space="preserve">Evolution of International Environmental Regimes: The Case of Climate Change </w:t>
      </w:r>
      <w:r w:rsidRPr="00D97463">
        <w:t xml:space="preserve">(Cambridge, Cambridge University Press, 2014), pp. 37-38; A. Gillespie, </w:t>
      </w:r>
      <w:r w:rsidRPr="00D97463">
        <w:rPr>
          <w:i/>
          <w:iCs/>
        </w:rPr>
        <w:t>Whaling Diplomacy: Defining Issues in International Environmental Law</w:t>
      </w:r>
      <w:r w:rsidRPr="00D97463">
        <w:t xml:space="preserve"> (Cheltenham, Edward Elgar, 2005), p. 411.</w:t>
      </w:r>
    </w:p>
  </w:footnote>
  <w:footnote w:id="34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 xml:space="preserve">Whaling in the Antarctic (Australia v. Japan: New Zealand intervening), </w:t>
      </w:r>
      <w:r w:rsidRPr="00D97463">
        <w:t>International Court of Justice, Judgment of 31 March 2014, para. 46, available at &lt;</w:t>
      </w:r>
      <w:hyperlink r:id="rId74" w:history="1">
        <w:r w:rsidRPr="00D97463">
          <w:t>http://www.icj-cij.org/docket/files/148/18136.pdf</w:t>
        </w:r>
      </w:hyperlink>
      <w:r w:rsidRPr="00D97463">
        <w:t xml:space="preserve">&gt;. </w:t>
      </w:r>
    </w:p>
  </w:footnote>
  <w:footnote w:id="34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para. 83. </w:t>
      </w:r>
    </w:p>
  </w:footnote>
  <w:footnote w:id="344">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rPr>
        <w:t>Legal Consequences of the Construction of a Wall in the Occupied Palestinian Territory</w:t>
      </w:r>
      <w:r w:rsidRPr="00D97463">
        <w:t xml:space="preserve">, </w:t>
      </w:r>
      <w:r w:rsidRPr="00D97463">
        <w:rPr>
          <w:i/>
        </w:rPr>
        <w:t>Advisory Opinion, I.C.J. Reports 2004</w:t>
      </w:r>
      <w:r w:rsidRPr="00D97463">
        <w:t xml:space="preserve">, p. 136, at p. 149 (referring to General Assembly resolution 1600 (XV) of 15 April 1961, UN Doc. </w:t>
      </w:r>
      <w:hyperlink r:id="rId75" w:history="1">
        <w:r w:rsidRPr="00D97463">
          <w:rPr>
            <w:rStyle w:val="Hyperlink"/>
          </w:rPr>
          <w:t>A/RES/1600</w:t>
        </w:r>
      </w:hyperlink>
      <w:r w:rsidRPr="00D97463">
        <w:t xml:space="preserve"> (adopted with 60 votes in favor, 23 abstentions, and 16 votes against, including the USSR and other States of the “East bloc”); General Assembly resolution 1913 (XVIII) of 13 December 1963, U.N. Doc. </w:t>
      </w:r>
      <w:hyperlink r:id="rId76" w:history="1">
        <w:r w:rsidRPr="00D97463">
          <w:rPr>
            <w:rStyle w:val="Hyperlink"/>
          </w:rPr>
          <w:t>A/RES/1913</w:t>
        </w:r>
      </w:hyperlink>
      <w:r w:rsidRPr="00D97463">
        <w:t xml:space="preserve"> (adopted by 91 affirmative votes over 2 negative votes of Spain and Portugal).</w:t>
      </w:r>
    </w:p>
  </w:footnote>
  <w:footnote w:id="34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Legality of the Use by a State of Nuclear Weapons in Armed Conflict, Advisory Opinion, I.C.J. Reports 1996</w:t>
      </w:r>
      <w:r w:rsidRPr="00D97463">
        <w:rPr>
          <w:iCs/>
        </w:rPr>
        <w:t>,</w:t>
      </w:r>
      <w:r w:rsidRPr="00D97463">
        <w:t xml:space="preserve"> p. 66, at p. 74; See also D. Simon, </w:t>
      </w:r>
      <w:r w:rsidRPr="00D97463">
        <w:rPr>
          <w:i/>
          <w:iCs/>
        </w:rPr>
        <w:t>L’interprétation judiciaire des traités d’organisations internationales</w:t>
      </w:r>
      <w:r w:rsidRPr="00D97463">
        <w:t>, Paris, Pedone, 1981, pp. 379-384.</w:t>
      </w:r>
    </w:p>
  </w:footnote>
  <w:footnote w:id="346">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Competence of the General Assembly regarding Admission to the United Nations, Advisory Opinion, I.C.J. Reports 1950</w:t>
      </w:r>
      <w:r w:rsidRPr="00D97463">
        <w:t>, p. 4, at p. 9.</w:t>
      </w:r>
    </w:p>
  </w:footnote>
  <w:footnote w:id="34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Applicability of Article VI, Section 22, of the Convention on the Privileges and Immunities of the United Nations, Advisory Opinion, I.C.J. Reports 198</w:t>
      </w:r>
      <w:r w:rsidRPr="00D97463">
        <w:t>9, p. 177, at p. 194, para. 48.</w:t>
      </w:r>
    </w:p>
  </w:footnote>
  <w:footnote w:id="34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Constitution of the Maritime Safety Committee of the Inter-Governmental Maritime Consultative Organization, Advisory Opinion, I.C.J. Reports 1960</w:t>
      </w:r>
      <w:r w:rsidRPr="00D97463">
        <w:t>, p. 150, at p. 169.</w:t>
      </w:r>
    </w:p>
  </w:footnote>
  <w:footnote w:id="34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Certain Expenses of the United Nations (Article 17, paragraph 2, of the Charter), Advisory Opinion, I.C.J. Reports 1962</w:t>
      </w:r>
      <w:r w:rsidRPr="00D97463">
        <w:t>, p. 151, at p. 168.</w:t>
      </w:r>
    </w:p>
  </w:footnote>
  <w:footnote w:id="350">
    <w:p w:rsidR="00A3158E" w:rsidRPr="00D97463" w:rsidRDefault="00A3158E" w:rsidP="00D97463">
      <w:pPr>
        <w:pStyle w:val="FootnoteText"/>
        <w:ind w:right="1260"/>
      </w:pPr>
      <w:r w:rsidRPr="00D97463">
        <w:tab/>
      </w:r>
      <w:r w:rsidRPr="00D97463">
        <w:rPr>
          <w:rStyle w:val="FootnoteReference"/>
        </w:rPr>
        <w:footnoteRef/>
      </w:r>
      <w:r w:rsidRPr="00D97463">
        <w:tab/>
        <w:t xml:space="preserve">J. Klabbers, </w:t>
      </w:r>
      <w:r w:rsidRPr="00D97463">
        <w:rPr>
          <w:i/>
          <w:iCs/>
        </w:rPr>
        <w:t>An Introduction to Institutional Law</w:t>
      </w:r>
      <w:r w:rsidRPr="00D97463">
        <w:t xml:space="preserve">, 2nd ed. (Cambridge, Cambridge University Press, 2009), p. 90; C.F. Amerasinghe, </w:t>
      </w:r>
      <w:r w:rsidRPr="00D97463">
        <w:rPr>
          <w:i/>
          <w:iCs/>
        </w:rPr>
        <w:t>Principles of the Institutional Law of International Organizations</w:t>
      </w:r>
      <w:r w:rsidRPr="00D97463">
        <w:t xml:space="preserve">, 2nd ed. (Cambridge, Cambridge University Press, 2005), p. 25; J. E. Alvarez, </w:t>
      </w:r>
      <w:r w:rsidRPr="00D97463">
        <w:rPr>
          <w:i/>
          <w:iCs/>
        </w:rPr>
        <w:t>International</w:t>
      </w:r>
      <w:r w:rsidRPr="00D97463">
        <w:t xml:space="preserve"> </w:t>
      </w:r>
      <w:r w:rsidRPr="00D97463">
        <w:rPr>
          <w:i/>
          <w:iCs/>
        </w:rPr>
        <w:t>Organizations as Law-Makers</w:t>
      </w:r>
      <w:r w:rsidRPr="00D97463">
        <w:t xml:space="preserve"> (Oxford, Oxford University Press, 2006), p. 80; Rosenne, </w:t>
      </w:r>
      <w:r w:rsidRPr="00D97463">
        <w:rPr>
          <w:i/>
          <w:iCs/>
        </w:rPr>
        <w:t>supra</w:t>
      </w:r>
      <w:r w:rsidRPr="00D97463">
        <w:t xml:space="preserve"> note 297, pp. 224-225.</w:t>
      </w:r>
    </w:p>
  </w:footnote>
  <w:footnote w:id="351">
    <w:p w:rsidR="00A3158E" w:rsidRPr="00D97463" w:rsidRDefault="00A3158E" w:rsidP="00D97463">
      <w:pPr>
        <w:pStyle w:val="FootnoteText"/>
        <w:ind w:right="1260"/>
      </w:pPr>
      <w:r w:rsidRPr="00D97463">
        <w:tab/>
      </w:r>
      <w:r w:rsidRPr="00D97463">
        <w:rPr>
          <w:rStyle w:val="FootnoteReference"/>
        </w:rPr>
        <w:footnoteRef/>
      </w:r>
      <w:r w:rsidRPr="00D97463">
        <w:tab/>
        <w:t>E. Lauterpacht, “The Development of the Law of International Organizations by the Decisions of International Tribunals</w:t>
      </w:r>
      <w:r w:rsidRPr="00D97463">
        <w:rPr>
          <w:i/>
        </w:rPr>
        <w:t>”,</w:t>
      </w:r>
      <w:r w:rsidRPr="00D97463">
        <w:t xml:space="preserve"> </w:t>
      </w:r>
      <w:r w:rsidRPr="00D97463">
        <w:rPr>
          <w:i/>
        </w:rPr>
        <w:t>Recueil des Cours</w:t>
      </w:r>
      <w:r w:rsidRPr="00D97463">
        <w:t xml:space="preserve">, vol. 152 (1976), p. 377, at p. 460; N. M. Blokker, “Beyond ‘Dili’: On the Powers and Practice of International Organizations”, in </w:t>
      </w:r>
      <w:r w:rsidRPr="00D97463">
        <w:rPr>
          <w:i/>
        </w:rPr>
        <w:t>State, Sovereignty, and International Governance</w:t>
      </w:r>
      <w:r w:rsidRPr="00D97463">
        <w:t>, G. Kreijen, ed.</w:t>
      </w:r>
      <w:r w:rsidRPr="00D97463">
        <w:rPr>
          <w:i/>
        </w:rPr>
        <w:t xml:space="preserve"> </w:t>
      </w:r>
      <w:r w:rsidRPr="00D97463">
        <w:t>(Oxford, Oxford University Press, 2002), pp. 312-318.</w:t>
      </w:r>
    </w:p>
  </w:footnote>
  <w:footnote w:id="352">
    <w:p w:rsidR="00A3158E" w:rsidRPr="00D97463" w:rsidRDefault="00A3158E" w:rsidP="00D97463">
      <w:pPr>
        <w:pStyle w:val="FootnoteText"/>
        <w:ind w:right="1260"/>
      </w:pPr>
      <w:r w:rsidRPr="00D97463">
        <w:tab/>
      </w:r>
      <w:r w:rsidRPr="00D97463">
        <w:rPr>
          <w:rStyle w:val="FootnoteReference"/>
        </w:rPr>
        <w:footnoteRef/>
      </w:r>
      <w:r w:rsidRPr="00D97463">
        <w:tab/>
        <w:t xml:space="preserve">C. Brölmann, “Specialized Rules of Treaty Interpretation: International Organizations”, in </w:t>
      </w:r>
      <w:r w:rsidRPr="00D97463">
        <w:rPr>
          <w:i/>
        </w:rPr>
        <w:t>The Oxford Guide to Treaties</w:t>
      </w:r>
      <w:r w:rsidRPr="00D97463">
        <w:t xml:space="preserve">, D. Hollis, ed. (Oxford, Oxford University Press, 2012), pp. 520-521; S. Kadelbach, “The Interpretation of the Charter”, in </w:t>
      </w:r>
      <w:r w:rsidRPr="00D97463">
        <w:rPr>
          <w:i/>
        </w:rPr>
        <w:t>The Charter of the United Nations: A Commentary</w:t>
      </w:r>
      <w:r w:rsidRPr="00D97463">
        <w:t xml:space="preserve">, B. Simma </w:t>
      </w:r>
      <w:r w:rsidRPr="00D97463">
        <w:rPr>
          <w:i/>
        </w:rPr>
        <w:t>et al.</w:t>
      </w:r>
      <w:r w:rsidRPr="00D97463">
        <w:t xml:space="preserve">, eds. 3rd ed. (Oxford, Oxford University Press, 2012), p. 71, at p. 80; Gardiner, </w:t>
      </w:r>
      <w:r w:rsidRPr="00D97463">
        <w:rPr>
          <w:i/>
          <w:iCs/>
        </w:rPr>
        <w:t>supra</w:t>
      </w:r>
      <w:r w:rsidRPr="00D97463">
        <w:t xml:space="preserve"> note </w:t>
      </w:r>
      <w:r w:rsidRPr="00D97463">
        <w:fldChar w:fldCharType="begin"/>
      </w:r>
      <w:r w:rsidRPr="00D97463">
        <w:instrText xml:space="preserve"> NOTEREF _Ref423338220 \h  \* MERGEFORMAT </w:instrText>
      </w:r>
      <w:r w:rsidRPr="00D97463">
        <w:fldChar w:fldCharType="separate"/>
      </w:r>
      <w:r w:rsidR="00EF153A">
        <w:t>301</w:t>
      </w:r>
      <w:r w:rsidRPr="00D97463">
        <w:fldChar w:fldCharType="end"/>
      </w:r>
      <w:r w:rsidRPr="00D97463">
        <w:t>, pp. 127 and 281.</w:t>
      </w:r>
    </w:p>
  </w:footnote>
  <w:footnote w:id="353">
    <w:p w:rsidR="00A3158E" w:rsidRPr="00D97463" w:rsidRDefault="00A3158E" w:rsidP="00D97463">
      <w:pPr>
        <w:pStyle w:val="FootnoteText"/>
        <w:ind w:right="1260"/>
      </w:pPr>
      <w:r w:rsidRPr="00D97463">
        <w:tab/>
      </w:r>
      <w:r w:rsidRPr="00D97463">
        <w:rPr>
          <w:rStyle w:val="FootnoteReference"/>
        </w:rPr>
        <w:footnoteRef/>
      </w:r>
      <w:r w:rsidRPr="00D97463">
        <w:tab/>
        <w:t xml:space="preserve">Gardiner, </w:t>
      </w:r>
      <w:r w:rsidRPr="00D97463">
        <w:rPr>
          <w:i/>
          <w:iCs/>
        </w:rPr>
        <w:t>supra</w:t>
      </w:r>
      <w:r w:rsidRPr="00D97463">
        <w:t xml:space="preserve"> note </w:t>
      </w:r>
      <w:r w:rsidRPr="00D97463">
        <w:fldChar w:fldCharType="begin"/>
      </w:r>
      <w:r w:rsidRPr="00D97463">
        <w:instrText xml:space="preserve"> NOTEREF _Ref423338220 \h  \* MERGEFORMAT </w:instrText>
      </w:r>
      <w:r w:rsidRPr="00D97463">
        <w:fldChar w:fldCharType="separate"/>
      </w:r>
      <w:r w:rsidR="00EF153A">
        <w:t>301</w:t>
      </w:r>
      <w:r w:rsidRPr="00D97463">
        <w:fldChar w:fldCharType="end"/>
      </w:r>
      <w:r w:rsidRPr="00D97463">
        <w:t xml:space="preserve">, p. 282; Schermers and Blokker, </w:t>
      </w:r>
      <w:r w:rsidRPr="00D97463">
        <w:rPr>
          <w:i/>
          <w:iCs/>
        </w:rPr>
        <w:t>supra</w:t>
      </w:r>
      <w:r w:rsidRPr="00D97463">
        <w:t xml:space="preserve"> note </w:t>
      </w:r>
      <w:r w:rsidRPr="00D97463">
        <w:fldChar w:fldCharType="begin"/>
      </w:r>
      <w:r w:rsidRPr="00D97463">
        <w:instrText xml:space="preserve"> NOTEREF _Ref424551138 \h  \* MERGEFORMAT </w:instrText>
      </w:r>
      <w:r w:rsidRPr="00D97463">
        <w:fldChar w:fldCharType="separate"/>
      </w:r>
      <w:r w:rsidR="00EF153A">
        <w:t>330</w:t>
      </w:r>
      <w:r w:rsidRPr="00D97463">
        <w:fldChar w:fldCharType="end"/>
      </w:r>
      <w:r w:rsidRPr="00D97463">
        <w:t xml:space="preserve">, p. 844; J. Crawford, </w:t>
      </w:r>
      <w:r w:rsidRPr="00D97463">
        <w:rPr>
          <w:i/>
        </w:rPr>
        <w:t>Brownlie’s Principles of Public International Law</w:t>
      </w:r>
      <w:r w:rsidRPr="00D97463">
        <w:t xml:space="preserve">, 8th ed. (Oxford, Oxford University Press, 2012), p. 187; Klabbers, </w:t>
      </w:r>
      <w:r w:rsidRPr="00D97463">
        <w:rPr>
          <w:i/>
          <w:iCs/>
        </w:rPr>
        <w:t>supra</w:t>
      </w:r>
      <w:r w:rsidRPr="00D97463">
        <w:t xml:space="preserve"> note </w:t>
      </w:r>
      <w:r w:rsidRPr="00D97463">
        <w:fldChar w:fldCharType="begin"/>
      </w:r>
      <w:r w:rsidRPr="00D97463">
        <w:instrText xml:space="preserve"> NOTEREF _Ref424552219 \h  \* MERGEFORMAT </w:instrText>
      </w:r>
      <w:r w:rsidRPr="00D97463">
        <w:fldChar w:fldCharType="separate"/>
      </w:r>
      <w:r w:rsidR="00EF153A">
        <w:t>350</w:t>
      </w:r>
      <w:r w:rsidRPr="00D97463">
        <w:fldChar w:fldCharType="end"/>
      </w:r>
      <w:r w:rsidRPr="00D97463">
        <w:t xml:space="preserve">, pp. 89-90; see also </w:t>
      </w:r>
      <w:r w:rsidRPr="00D97463">
        <w:rPr>
          <w:i/>
        </w:rPr>
        <w:t xml:space="preserve">Partial Award on the Lawfulness of the Recall of the Privately Held Shares on 8 January 2001 and the Applicable Standards for Valuation of those Shares, </w:t>
      </w:r>
      <w:r w:rsidRPr="00D97463">
        <w:t>22 November 2002, UNRIAA, vol. XXIII, p. 183, at p. 224, para. 145.</w:t>
      </w:r>
    </w:p>
  </w:footnote>
  <w:footnote w:id="354">
    <w:p w:rsidR="00A3158E" w:rsidRPr="00D97463" w:rsidRDefault="00A3158E" w:rsidP="00D97463">
      <w:pPr>
        <w:pStyle w:val="FootnoteText"/>
        <w:ind w:right="1260"/>
      </w:pPr>
      <w:r w:rsidRPr="00D97463">
        <w:tab/>
      </w:r>
      <w:r w:rsidRPr="00D97463">
        <w:rPr>
          <w:rStyle w:val="FootnoteReference"/>
        </w:rPr>
        <w:footnoteRef/>
      </w:r>
      <w:r w:rsidRPr="00D97463">
        <w:tab/>
        <w:t xml:space="preserve">The Commission may revisit the definition of “other subsequent practice” in draft conclusions 1 (4) and 4 (3) in order to clarify whether the practice of an international organization as such should be classified within this category which, so far, is limited to the practice of Parties; see Report of the International Law Commission on its sixty-fifth session, </w:t>
      </w:r>
      <w:r w:rsidRPr="00D97463">
        <w:rPr>
          <w:i/>
        </w:rPr>
        <w:t xml:space="preserve">Official Records of the General Assembly, Sixty-eighth Session, Supplement No. 10 </w:t>
      </w:r>
      <w:r w:rsidRPr="00D97463">
        <w:t>(</w:t>
      </w:r>
      <w:hyperlink r:id="rId77" w:history="1">
        <w:r w:rsidRPr="00D97463">
          <w:rPr>
            <w:rStyle w:val="Hyperlink"/>
          </w:rPr>
          <w:t>A/68/10</w:t>
        </w:r>
      </w:hyperlink>
      <w:r w:rsidRPr="00D97463">
        <w:t>), Chapter IV, pp. 11-12.</w:t>
      </w:r>
    </w:p>
  </w:footnote>
  <w:footnote w:id="35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 xml:space="preserve">Supra </w:t>
      </w:r>
      <w:r w:rsidRPr="00D97463">
        <w:t xml:space="preserve">note </w:t>
      </w:r>
      <w:r w:rsidRPr="00D97463">
        <w:fldChar w:fldCharType="begin"/>
      </w:r>
      <w:r w:rsidRPr="00D97463">
        <w:instrText xml:space="preserve"> NOTEREF _Ref424132194 \h  \* MERGEFORMAT </w:instrText>
      </w:r>
      <w:r w:rsidRPr="00D97463">
        <w:fldChar w:fldCharType="separate"/>
      </w:r>
      <w:r w:rsidR="00EF153A">
        <w:t>344</w:t>
      </w:r>
      <w:r w:rsidRPr="00D97463">
        <w:fldChar w:fldCharType="end"/>
      </w:r>
      <w:r w:rsidRPr="00D97463">
        <w:t>.</w:t>
      </w:r>
    </w:p>
  </w:footnote>
  <w:footnote w:id="356">
    <w:p w:rsidR="00A3158E" w:rsidRPr="00D97463" w:rsidRDefault="00A3158E" w:rsidP="00D97463">
      <w:pPr>
        <w:pStyle w:val="FootnoteText"/>
        <w:ind w:right="1260"/>
      </w:pPr>
      <w:r w:rsidRPr="00D97463">
        <w:tab/>
      </w:r>
      <w:r w:rsidRPr="00D97463">
        <w:rPr>
          <w:rStyle w:val="FootnoteReference"/>
        </w:rPr>
        <w:footnoteRef/>
      </w:r>
      <w:r w:rsidRPr="00D97463">
        <w:tab/>
        <w:t xml:space="preserve">The International Court of Justice used the expression “purposes and functions as specified or implied in its constituent documents and developed in practice”, </w:t>
      </w:r>
      <w:r w:rsidRPr="00D97463">
        <w:rPr>
          <w:i/>
        </w:rPr>
        <w:t>Reparations for Injuries Suffered in the Service of the United Nations, Advisory Opinion</w:t>
      </w:r>
      <w:r w:rsidRPr="00D97463">
        <w:t xml:space="preserve">, </w:t>
      </w:r>
      <w:r w:rsidRPr="00D97463">
        <w:rPr>
          <w:i/>
        </w:rPr>
        <w:t>I.C.J. Reports 1949</w:t>
      </w:r>
      <w:r w:rsidRPr="00D97463">
        <w:t>, p. 174, at p. 180.</w:t>
      </w:r>
    </w:p>
  </w:footnote>
  <w:footnote w:id="357">
    <w:p w:rsidR="00A3158E" w:rsidRPr="00D97463" w:rsidRDefault="00A3158E" w:rsidP="00D97463">
      <w:pPr>
        <w:pStyle w:val="FootnoteText"/>
        <w:ind w:right="1260"/>
      </w:pPr>
      <w:r w:rsidRPr="00D97463">
        <w:tab/>
      </w:r>
      <w:r w:rsidRPr="00D97463">
        <w:rPr>
          <w:rStyle w:val="FootnoteReference"/>
        </w:rPr>
        <w:footnoteRef/>
      </w:r>
      <w:r w:rsidRPr="00D97463">
        <w:tab/>
        <w:t xml:space="preserve">Report of the International Law Commission on its sixty-fifth session, </w:t>
      </w:r>
      <w:r w:rsidRPr="00D97463">
        <w:rPr>
          <w:i/>
        </w:rPr>
        <w:t xml:space="preserve">Official Records of the General Assembly, Sixty-eighth Session, Supplement No. 10 </w:t>
      </w:r>
      <w:r w:rsidRPr="00D97463">
        <w:t>(</w:t>
      </w:r>
      <w:hyperlink r:id="rId78" w:history="1">
        <w:r w:rsidRPr="00D97463">
          <w:rPr>
            <w:rStyle w:val="Hyperlink"/>
          </w:rPr>
          <w:t>A/68/10</w:t>
        </w:r>
      </w:hyperlink>
      <w:r w:rsidRPr="00D97463">
        <w:t xml:space="preserve">), Chapter IV, p. 19, footnote 58; see in particular, </w:t>
      </w:r>
      <w:r w:rsidRPr="00D97463">
        <w:rPr>
          <w:i/>
        </w:rPr>
        <w:t xml:space="preserve">Land and Maritime Boundary between Cameroon and Nigeria (Cameroon </w:t>
      </w:r>
      <w:r w:rsidRPr="00D97463">
        <w:rPr>
          <w:i/>
          <w:iCs/>
        </w:rPr>
        <w:t>v.</w:t>
      </w:r>
      <w:r w:rsidRPr="00D97463">
        <w:t xml:space="preserve"> </w:t>
      </w:r>
      <w:r w:rsidRPr="00D97463">
        <w:rPr>
          <w:i/>
        </w:rPr>
        <w:t>Nigeria</w:t>
      </w:r>
      <w:r w:rsidRPr="00D97463">
        <w:t xml:space="preserve">), </w:t>
      </w:r>
      <w:r w:rsidRPr="00D97463">
        <w:rPr>
          <w:i/>
        </w:rPr>
        <w:t>Preliminary Objections, Judgment, I.C.J. Reports 1998</w:t>
      </w:r>
      <w:r w:rsidRPr="00D97463">
        <w:t>, p. 275, at pp. 306-307, para. 67.</w:t>
      </w:r>
    </w:p>
  </w:footnote>
  <w:footnote w:id="358">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Voting Procedure on Questions Relating to Reports and Petitions Concerning the Territory of South-West Africa, Advisory Opinion, Separate Opinion of Judge Lauterpacht, I.C.J. Reports 1955</w:t>
      </w:r>
      <w:r w:rsidRPr="00D97463">
        <w:t>, p. 67, at p. 106 (“A proper interpretation of a constitutional instrument must take into account not only the formal letter of the original instrument, but also its operation in actual practice and in the light of the revealed tendencies in the life of the Organization”).</w:t>
      </w:r>
    </w:p>
  </w:footnote>
  <w:footnote w:id="359">
    <w:p w:rsidR="00A3158E" w:rsidRPr="00D97463" w:rsidRDefault="00A3158E" w:rsidP="00D97463">
      <w:pPr>
        <w:pStyle w:val="FootnoteText"/>
        <w:ind w:right="1260"/>
      </w:pPr>
      <w:r w:rsidRPr="00D97463">
        <w:tab/>
      </w:r>
      <w:r w:rsidRPr="00D97463">
        <w:rPr>
          <w:rStyle w:val="FootnoteReference"/>
        </w:rPr>
        <w:footnoteRef/>
      </w:r>
      <w:r w:rsidRPr="00D97463">
        <w:tab/>
        <w:t xml:space="preserve">Commentators are debating whether the specific institutional character of certain international organizations, in combination with the principles and values which are enshrined in their constituent instruments, could also yield a “constitutional” interpretation of such instruments which receives inspiration from national constitutional law, see e.g. J.E. Alvarez, “Constitutional Interpretation in International Organizations”, in </w:t>
      </w:r>
      <w:r w:rsidRPr="00D97463">
        <w:rPr>
          <w:i/>
          <w:iCs/>
        </w:rPr>
        <w:t>The Legitimacy of International Organizations</w:t>
      </w:r>
      <w:r w:rsidRPr="00D97463">
        <w:t xml:space="preserve"> J.-M. Coicaud and V. Heiskanen, eds. (Tokyo, United Nations University Press, 2001), pp. 104-154;. A. Peters, « L’acte constitutif de l’organisation internationale », </w:t>
      </w:r>
      <w:r w:rsidRPr="00D97463">
        <w:rPr>
          <w:i/>
        </w:rPr>
        <w:t xml:space="preserve">in </w:t>
      </w:r>
      <w:r w:rsidRPr="00D97463">
        <w:t xml:space="preserve">E. Lagrange, J.-M. Sorel (dir.), </w:t>
      </w:r>
      <w:r w:rsidRPr="00D97463">
        <w:rPr>
          <w:i/>
        </w:rPr>
        <w:t xml:space="preserve">Droit des organisations internationales </w:t>
      </w:r>
      <w:r w:rsidRPr="00D97463">
        <w:t xml:space="preserve">(Paris, LGDJ, 2013), pp. 216-218 ; </w:t>
      </w:r>
      <w:r w:rsidRPr="00D97463">
        <w:rPr>
          <w:color w:val="000000"/>
        </w:rPr>
        <w:t xml:space="preserve">M. Wood, “‘Constitutionalization’ of International Law: A Sceptical Voice”, in K. H. Kaikabad, M Bohlinder (eds.), </w:t>
      </w:r>
      <w:r w:rsidRPr="00D97463">
        <w:rPr>
          <w:bCs/>
          <w:i/>
          <w:color w:val="000000"/>
        </w:rPr>
        <w:t>International Law and Power: Perspectives on Legal Order and Justice</w:t>
      </w:r>
      <w:r w:rsidRPr="00D97463">
        <w:rPr>
          <w:bCs/>
          <w:color w:val="000000"/>
        </w:rPr>
        <w:t xml:space="preserve">. </w:t>
      </w:r>
      <w:r w:rsidRPr="00D97463">
        <w:rPr>
          <w:bCs/>
          <w:i/>
          <w:color w:val="000000"/>
        </w:rPr>
        <w:t xml:space="preserve">Essays in Honour of Colin Warbrick, </w:t>
      </w:r>
      <w:r w:rsidRPr="00D97463">
        <w:rPr>
          <w:bCs/>
          <w:color w:val="000000"/>
        </w:rPr>
        <w:t>(Leiden/Boston, Brill/Nijhoff,</w:t>
      </w:r>
      <w:r w:rsidRPr="00D97463">
        <w:rPr>
          <w:color w:val="000000"/>
        </w:rPr>
        <w:t xml:space="preserve"> 2009), pp. 85-97.</w:t>
      </w:r>
    </w:p>
  </w:footnote>
  <w:footnote w:id="36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Legal consequences for States of the continued presence of South Africa in Namibia (South West Africa) notwithstanding Security Council resolution 276 (1970), Advisory Opinion, I.C.J. Reports 1971</w:t>
      </w:r>
      <w:r w:rsidRPr="00D97463">
        <w:t xml:space="preserve">, pp. 31-32, para. 53; See also draft conclusion 3, Report of the International Law Commission on its sixty-fifth session, </w:t>
      </w:r>
      <w:r w:rsidRPr="00D97463">
        <w:rPr>
          <w:i/>
          <w:iCs/>
        </w:rPr>
        <w:t>Official Records of the General Assembly, Sixty-eighth Session, Supplement No. 10</w:t>
      </w:r>
      <w:r w:rsidRPr="00D97463">
        <w:t xml:space="preserve"> (</w:t>
      </w:r>
      <w:hyperlink r:id="rId79" w:history="1">
        <w:r w:rsidRPr="00D97463">
          <w:rPr>
            <w:rStyle w:val="Hyperlink"/>
          </w:rPr>
          <w:t>A/68/10</w:t>
        </w:r>
      </w:hyperlink>
      <w:r w:rsidRPr="00D97463">
        <w:t xml:space="preserve">), Chapter IV, pp. 12 and 24-30; O. Dörr, “Art. 31 General rule of interpretation”, in </w:t>
      </w:r>
      <w:r w:rsidRPr="00D97463">
        <w:rPr>
          <w:i/>
          <w:iCs/>
        </w:rPr>
        <w:t>Vienna Convention on the Law of Treaties — A Commentary</w:t>
      </w:r>
      <w:r w:rsidRPr="00D97463">
        <w:t xml:space="preserve">, O. Dörr and K. Schmalenbach, eds. (Heidelberg, Springer, 2012), p. 537, para. 31; Schmalenbach, </w:t>
      </w:r>
      <w:r w:rsidRPr="00D97463">
        <w:rPr>
          <w:i/>
          <w:iCs/>
        </w:rPr>
        <w:t>supra</w:t>
      </w:r>
      <w:r w:rsidRPr="00D97463">
        <w:t xml:space="preserve"> note 298, p. 92, para. 7. </w:t>
      </w:r>
    </w:p>
  </w:footnote>
  <w:footnote w:id="361">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supra</w:t>
      </w:r>
      <w:r w:rsidRPr="00D97463">
        <w:t>, para. (21).</w:t>
      </w:r>
    </w:p>
  </w:footnote>
  <w:footnote w:id="36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Certain Expenses of the United Nations (Article 17, paragraph 2, of the Charter), Advisory Opinion, I.C.J. Reports 1962</w:t>
      </w:r>
      <w:r w:rsidRPr="00D97463">
        <w:t>, p. 151, at p. 168 (“But when the Organization takes action which warrants the assertion that it was appropriate for the fulfilment of one of the stated purposes of the United Nations, the presumption is that such action is not ultra vires the Organization.”).</w:t>
      </w:r>
    </w:p>
  </w:footnote>
  <w:footnote w:id="363">
    <w:p w:rsidR="00A3158E" w:rsidRPr="00D97463" w:rsidRDefault="00A3158E" w:rsidP="00D97463">
      <w:pPr>
        <w:pStyle w:val="FootnoteText"/>
        <w:ind w:right="1260"/>
      </w:pPr>
      <w:r w:rsidRPr="00D97463">
        <w:tab/>
      </w:r>
      <w:r w:rsidRPr="00D97463">
        <w:rPr>
          <w:rStyle w:val="FootnoteReference"/>
        </w:rPr>
        <w:footnoteRef/>
      </w:r>
      <w:r w:rsidRPr="00D97463">
        <w:tab/>
        <w:t xml:space="preserve">Report of the International Law Commission on its sixty-fifth session, </w:t>
      </w:r>
      <w:r w:rsidRPr="00D97463">
        <w:rPr>
          <w:i/>
        </w:rPr>
        <w:t xml:space="preserve">Official Records of the General Assembly, Sixty-eighth Session, Supplement No. 10 </w:t>
      </w:r>
      <w:r w:rsidRPr="00D97463">
        <w:t>(</w:t>
      </w:r>
      <w:hyperlink r:id="rId80" w:history="1">
        <w:r w:rsidRPr="00D97463">
          <w:rPr>
            <w:rStyle w:val="Hyperlink"/>
          </w:rPr>
          <w:t>A/68/10</w:t>
        </w:r>
      </w:hyperlink>
      <w:r w:rsidRPr="00D97463">
        <w:t xml:space="preserve">), Chapter IV, p. 45, para. 14. The Commission may, however, eventually revisit the formulation of draft conclusion 5 in the light of draft conclusion 11 in order to clarify their relationship, See also </w:t>
      </w:r>
      <w:r w:rsidRPr="00D97463">
        <w:rPr>
          <w:i/>
          <w:iCs/>
        </w:rPr>
        <w:t>supra</w:t>
      </w:r>
      <w:r w:rsidRPr="00D97463">
        <w:t>,</w:t>
      </w:r>
      <w:r>
        <w:t xml:space="preserve"> </w:t>
      </w:r>
      <w:r w:rsidRPr="00D97463">
        <w:t>note 354.</w:t>
      </w:r>
    </w:p>
  </w:footnote>
  <w:footnote w:id="364">
    <w:p w:rsidR="00A3158E" w:rsidRPr="00D97463" w:rsidRDefault="00A3158E" w:rsidP="00D97463">
      <w:pPr>
        <w:pStyle w:val="FootnoteText"/>
        <w:ind w:right="1260"/>
      </w:pPr>
      <w:r w:rsidRPr="00D97463">
        <w:tab/>
      </w:r>
      <w:r w:rsidRPr="00D97463">
        <w:rPr>
          <w:rStyle w:val="FootnoteReference"/>
        </w:rPr>
        <w:footnoteRef/>
      </w:r>
      <w:r w:rsidRPr="00D97463">
        <w:tab/>
        <w:t xml:space="preserve">Draft articles on the responsibility of international organizations, General commentary, para. 7 (Report of the International Law Commission on its sixty-third session, </w:t>
      </w:r>
      <w:r w:rsidRPr="00D97463">
        <w:rPr>
          <w:i/>
        </w:rPr>
        <w:t xml:space="preserve">Official Records of the General Assembly, Sixty-sixth Session, Supplement No. 10 </w:t>
      </w:r>
      <w:r w:rsidRPr="00D97463">
        <w:t>(</w:t>
      </w:r>
      <w:hyperlink r:id="rId81" w:history="1">
        <w:r w:rsidRPr="00D97463">
          <w:rPr>
            <w:rStyle w:val="Hyperlink"/>
          </w:rPr>
          <w:t>A/66/10</w:t>
        </w:r>
      </w:hyperlink>
      <w:r w:rsidRPr="00D97463">
        <w:t xml:space="preserve">), Chapter V, p. 70, para. 88). </w:t>
      </w:r>
    </w:p>
  </w:footnote>
  <w:footnote w:id="365">
    <w:p w:rsidR="00A3158E" w:rsidRPr="00D97463" w:rsidRDefault="00A3158E" w:rsidP="00D97463">
      <w:pPr>
        <w:pStyle w:val="FootnoteText"/>
        <w:ind w:right="1260"/>
      </w:pPr>
      <w:r w:rsidRPr="00D97463">
        <w:tab/>
      </w:r>
      <w:r w:rsidRPr="00D97463">
        <w:rPr>
          <w:rStyle w:val="FootnoteReference"/>
        </w:rPr>
        <w:footnoteRef/>
      </w:r>
      <w:r w:rsidRPr="00D97463">
        <w:tab/>
        <w:t xml:space="preserve">See, for example, Klabbers, </w:t>
      </w:r>
      <w:r w:rsidRPr="00D97463">
        <w:rPr>
          <w:i/>
          <w:iCs/>
        </w:rPr>
        <w:t>supra</w:t>
      </w:r>
      <w:r w:rsidRPr="00D97463">
        <w:rPr>
          <w:i/>
        </w:rPr>
        <w:t xml:space="preserve"> </w:t>
      </w:r>
      <w:r w:rsidRPr="00D97463">
        <w:t xml:space="preserve">note </w:t>
      </w:r>
      <w:r w:rsidRPr="00D97463">
        <w:fldChar w:fldCharType="begin"/>
      </w:r>
      <w:r w:rsidRPr="00D97463">
        <w:instrText xml:space="preserve"> NOTEREF _Ref424552219 \h  \* MERGEFORMAT </w:instrText>
      </w:r>
      <w:r w:rsidRPr="00D97463">
        <w:fldChar w:fldCharType="separate"/>
      </w:r>
      <w:r w:rsidR="00EF153A">
        <w:t>350</w:t>
      </w:r>
      <w:r w:rsidRPr="00D97463">
        <w:fldChar w:fldCharType="end"/>
      </w:r>
      <w:r w:rsidRPr="00D97463">
        <w:t xml:space="preserve">, p. 88; Schmalenbach, </w:t>
      </w:r>
      <w:r w:rsidRPr="00D97463">
        <w:rPr>
          <w:i/>
          <w:iCs/>
        </w:rPr>
        <w:t>supra</w:t>
      </w:r>
      <w:r w:rsidRPr="00D97463">
        <w:t xml:space="preserve"> note 298, p. 89, para. </w:t>
      </w:r>
      <w:r w:rsidRPr="00D97463">
        <w:rPr>
          <w:lang w:val="es-ES"/>
        </w:rPr>
        <w:t xml:space="preserve">1 and p. 96, para. 15; Brölmann, </w:t>
      </w:r>
      <w:r w:rsidRPr="00D97463">
        <w:rPr>
          <w:i/>
          <w:iCs/>
          <w:lang w:val="es-ES"/>
        </w:rPr>
        <w:t>supra</w:t>
      </w:r>
      <w:r w:rsidRPr="00D97463">
        <w:rPr>
          <w:i/>
          <w:lang w:val="es-ES"/>
        </w:rPr>
        <w:t xml:space="preserve"> </w:t>
      </w:r>
      <w:r w:rsidRPr="00D97463">
        <w:rPr>
          <w:lang w:val="es-ES"/>
        </w:rPr>
        <w:t xml:space="preserve">note </w:t>
      </w:r>
      <w:r w:rsidRPr="00D97463">
        <w:fldChar w:fldCharType="begin"/>
      </w:r>
      <w:r w:rsidRPr="00D97463">
        <w:rPr>
          <w:lang w:val="es-ES"/>
        </w:rPr>
        <w:instrText xml:space="preserve"> NOTEREF _Ref423356804 \h  \* MERGEFORMAT </w:instrText>
      </w:r>
      <w:r w:rsidRPr="00D97463">
        <w:fldChar w:fldCharType="separate"/>
      </w:r>
      <w:r w:rsidR="00EF153A">
        <w:rPr>
          <w:lang w:val="es-ES"/>
        </w:rPr>
        <w:t>352</w:t>
      </w:r>
      <w:r w:rsidRPr="00D97463">
        <w:fldChar w:fldCharType="end"/>
      </w:r>
      <w:r w:rsidRPr="00D97463">
        <w:rPr>
          <w:lang w:val="es-ES"/>
        </w:rPr>
        <w:t xml:space="preserve">, p. 522; Dörr, </w:t>
      </w:r>
      <w:r w:rsidRPr="00D97463">
        <w:rPr>
          <w:i/>
          <w:iCs/>
          <w:lang w:val="es-ES"/>
        </w:rPr>
        <w:t>supra</w:t>
      </w:r>
      <w:r w:rsidRPr="00D97463">
        <w:rPr>
          <w:lang w:val="es-ES"/>
        </w:rPr>
        <w:t xml:space="preserve"> note </w:t>
      </w:r>
      <w:r w:rsidRPr="00D97463">
        <w:fldChar w:fldCharType="begin"/>
      </w:r>
      <w:r w:rsidRPr="00D97463">
        <w:rPr>
          <w:lang w:val="es-ES"/>
        </w:rPr>
        <w:instrText xml:space="preserve"> NOTEREF _Ref423356862 \h  \* MERGEFORMAT </w:instrText>
      </w:r>
      <w:r w:rsidRPr="00D97463">
        <w:fldChar w:fldCharType="separate"/>
      </w:r>
      <w:r w:rsidR="00EF153A">
        <w:rPr>
          <w:lang w:val="es-ES"/>
        </w:rPr>
        <w:t>360</w:t>
      </w:r>
      <w:r w:rsidRPr="00D97463">
        <w:fldChar w:fldCharType="end"/>
      </w:r>
      <w:r w:rsidRPr="00D97463">
        <w:rPr>
          <w:lang w:val="es-ES"/>
        </w:rPr>
        <w:t xml:space="preserve">, p. 538, para. </w:t>
      </w:r>
      <w:r w:rsidRPr="00D97463">
        <w:t xml:space="preserve">32. </w:t>
      </w:r>
    </w:p>
  </w:footnote>
  <w:footnote w:id="366">
    <w:p w:rsidR="00A3158E" w:rsidRPr="00D97463" w:rsidRDefault="00A3158E" w:rsidP="00D97463">
      <w:pPr>
        <w:pStyle w:val="FootnoteText"/>
        <w:ind w:right="1260"/>
      </w:pPr>
      <w:r w:rsidRPr="00D97463">
        <w:tab/>
      </w:r>
      <w:r w:rsidRPr="00D97463">
        <w:rPr>
          <w:rStyle w:val="FootnoteReference"/>
        </w:rPr>
        <w:footnoteRef/>
      </w:r>
      <w:r w:rsidRPr="00D97463">
        <w:tab/>
        <w:t xml:space="preserve">WTO, Appellate Body Report, </w:t>
      </w:r>
      <w:r w:rsidRPr="00D97463">
        <w:rPr>
          <w:i/>
          <w:iCs/>
        </w:rPr>
        <w:t>United States — Measures Affecting the Production and Sale of Clove Cigarettes</w:t>
      </w:r>
      <w:r w:rsidRPr="00D97463">
        <w:t>, WT/DS406/AB/R, 4 April 2012, paras. 252-257.</w:t>
      </w:r>
    </w:p>
  </w:footnote>
  <w:footnote w:id="367">
    <w:p w:rsidR="00A3158E" w:rsidRPr="00D97463" w:rsidRDefault="00A3158E" w:rsidP="00D97463">
      <w:pPr>
        <w:pStyle w:val="FootnoteText"/>
        <w:ind w:right="1260"/>
      </w:pPr>
      <w:r w:rsidRPr="00D97463">
        <w:tab/>
      </w:r>
      <w:r w:rsidRPr="00D97463">
        <w:rPr>
          <w:rStyle w:val="FootnoteReference"/>
        </w:rPr>
        <w:footnoteRef/>
      </w:r>
      <w:r w:rsidRPr="00D97463">
        <w:tab/>
        <w:t xml:space="preserve">Most so-called interpretation clauses determine which organ is competent authoritatively to interpret the treaty, or certain of its provisions, but do not formulate specific rules “on” interpretation itself, see C. Fernández de Casadevante y Romani, </w:t>
      </w:r>
      <w:r w:rsidRPr="00D97463">
        <w:rPr>
          <w:i/>
        </w:rPr>
        <w:t>Sovereignty and Interpretation of International Norms</w:t>
      </w:r>
      <w:r w:rsidRPr="00D97463">
        <w:t xml:space="preserve"> (Berlin/Heidelberg, Springer, 2007), pp. 26-27; Dörr, </w:t>
      </w:r>
      <w:r w:rsidRPr="00D97463">
        <w:rPr>
          <w:i/>
          <w:iCs/>
        </w:rPr>
        <w:t>supra</w:t>
      </w:r>
      <w:r w:rsidRPr="00D97463">
        <w:t xml:space="preserve"> note </w:t>
      </w:r>
      <w:r w:rsidRPr="00D97463">
        <w:fldChar w:fldCharType="begin"/>
      </w:r>
      <w:r w:rsidRPr="00D97463">
        <w:instrText xml:space="preserve"> NOTEREF _Ref423356862 \h  \* MERGEFORMAT </w:instrText>
      </w:r>
      <w:r w:rsidRPr="00D97463">
        <w:fldChar w:fldCharType="separate"/>
      </w:r>
      <w:r w:rsidR="00EF153A">
        <w:t>360</w:t>
      </w:r>
      <w:r w:rsidRPr="00D97463">
        <w:fldChar w:fldCharType="end"/>
      </w:r>
      <w:r w:rsidRPr="00D97463">
        <w:t>, p. 537, para. 32.</w:t>
      </w:r>
    </w:p>
  </w:footnote>
  <w:footnote w:id="368">
    <w:p w:rsidR="00A3158E" w:rsidRPr="00D97463" w:rsidRDefault="00A3158E" w:rsidP="00D97463">
      <w:pPr>
        <w:pStyle w:val="FootnoteText"/>
        <w:ind w:right="1260"/>
      </w:pPr>
      <w:r w:rsidRPr="00D97463">
        <w:tab/>
      </w:r>
      <w:r w:rsidRPr="00D97463">
        <w:rPr>
          <w:rStyle w:val="FootnoteReference"/>
        </w:rPr>
        <w:footnoteRef/>
      </w:r>
      <w:r w:rsidRPr="00D97463">
        <w:tab/>
        <w:t xml:space="preserve">See Vienna Convention on the Law of Treaties Between States and International Organizations or Between International Organizations, Art. 2 (j); and the International Law Commission’s Draft articles on the responsibility of international organizations, Art. 2 (b), Report of the International Law Commission on its sixty-third session, </w:t>
      </w:r>
      <w:r w:rsidRPr="00D97463">
        <w:rPr>
          <w:i/>
        </w:rPr>
        <w:t xml:space="preserve">Official Records of the General Assembly, Sixty-sixth Session, Supplement No. 10 </w:t>
      </w:r>
      <w:r w:rsidRPr="00D97463">
        <w:t>(</w:t>
      </w:r>
      <w:hyperlink r:id="rId82" w:history="1">
        <w:r w:rsidRPr="00D97463">
          <w:rPr>
            <w:rStyle w:val="Hyperlink"/>
          </w:rPr>
          <w:t>A/66/10</w:t>
        </w:r>
      </w:hyperlink>
      <w:r w:rsidRPr="00D97463">
        <w:t xml:space="preserve">), Chapter V, 54; C. Peters, “Subsequent practice and established practice of international organizations”, </w:t>
      </w:r>
      <w:r w:rsidRPr="00D97463">
        <w:rPr>
          <w:i/>
        </w:rPr>
        <w:t>Göttingen Journal of International Law</w:t>
      </w:r>
      <w:r w:rsidRPr="00D97463">
        <w:t>, vol. 3 (2011), pp. 617-642.</w:t>
      </w:r>
    </w:p>
  </w:footnote>
  <w:footnote w:id="369">
    <w:p w:rsidR="00A3158E" w:rsidRPr="00D97463" w:rsidRDefault="00A3158E" w:rsidP="00D97463">
      <w:pPr>
        <w:pStyle w:val="FootnoteText"/>
        <w:ind w:right="1260"/>
      </w:pPr>
      <w:r w:rsidRPr="00D97463">
        <w:tab/>
      </w:r>
      <w:r w:rsidRPr="00D97463">
        <w:rPr>
          <w:rStyle w:val="FootnoteReference"/>
        </w:rPr>
        <w:footnoteRef/>
      </w:r>
      <w:r w:rsidRPr="00D97463">
        <w:tab/>
        <w:t xml:space="preserve">Report of the International Law Commission on its thirty-fourth session, </w:t>
      </w:r>
      <w:r w:rsidRPr="00D97463">
        <w:rPr>
          <w:i/>
        </w:rPr>
        <w:t xml:space="preserve">Official Records of the General Assembly, Thirty-Seventh Session, Supplement No. 10 </w:t>
      </w:r>
      <w:r w:rsidRPr="00D97463">
        <w:t>(</w:t>
      </w:r>
      <w:hyperlink r:id="rId83" w:history="1">
        <w:r w:rsidRPr="00D97463">
          <w:rPr>
            <w:rStyle w:val="Hyperlink"/>
          </w:rPr>
          <w:t>A/37/10</w:t>
        </w:r>
      </w:hyperlink>
      <w:r w:rsidRPr="00D97463">
        <w:t xml:space="preserve">), Commentary to art. 2 (1) (j), Chapter II, p. 21, para. 25. </w:t>
      </w:r>
    </w:p>
  </w:footnote>
  <w:footnote w:id="370">
    <w:p w:rsidR="00A3158E" w:rsidRPr="00D97463" w:rsidRDefault="00A3158E" w:rsidP="00D97463">
      <w:pPr>
        <w:pStyle w:val="FootnoteText"/>
        <w:ind w:right="1260"/>
      </w:pPr>
      <w:r w:rsidRPr="00D97463">
        <w:tab/>
      </w:r>
      <w:r w:rsidRPr="00D97463">
        <w:rPr>
          <w:rStyle w:val="FootnoteReference"/>
        </w:rPr>
        <w:footnoteRef/>
      </w:r>
      <w:r w:rsidRPr="00D97463">
        <w:tab/>
        <w:t xml:space="preserve">Report of the International Law Commission on its sixty-third session, </w:t>
      </w:r>
      <w:r w:rsidRPr="00D97463">
        <w:rPr>
          <w:i/>
        </w:rPr>
        <w:t xml:space="preserve">Official Records of the General Assembly, Sixty-sixth Session, Supplement No. 10 </w:t>
      </w:r>
      <w:r w:rsidRPr="00D97463">
        <w:t>(</w:t>
      </w:r>
      <w:hyperlink r:id="rId84" w:history="1">
        <w:r w:rsidRPr="00D97463">
          <w:rPr>
            <w:rStyle w:val="Hyperlink"/>
          </w:rPr>
          <w:t>A/66/10</w:t>
        </w:r>
      </w:hyperlink>
      <w:r w:rsidRPr="00D97463">
        <w:t>), Chapter V, p. 52.</w:t>
      </w:r>
    </w:p>
  </w:footnote>
  <w:footnote w:id="371">
    <w:p w:rsidR="00A3158E" w:rsidRPr="00D97463" w:rsidRDefault="00A3158E" w:rsidP="00D97463">
      <w:pPr>
        <w:pStyle w:val="FootnoteText"/>
        <w:ind w:right="1260"/>
      </w:pPr>
      <w:r w:rsidRPr="00D97463">
        <w:tab/>
      </w:r>
      <w:r w:rsidRPr="00D97463">
        <w:rPr>
          <w:rStyle w:val="FootnoteReference"/>
        </w:rPr>
        <w:footnoteRef/>
      </w:r>
      <w:r w:rsidRPr="00D97463">
        <w:tab/>
        <w:t xml:space="preserve">Higgins, </w:t>
      </w:r>
      <w:r w:rsidRPr="00D97463">
        <w:rPr>
          <w:i/>
          <w:iCs/>
        </w:rPr>
        <w:t>supra</w:t>
      </w:r>
      <w:r w:rsidRPr="00D97463">
        <w:rPr>
          <w:i/>
        </w:rPr>
        <w:t xml:space="preserve"> </w:t>
      </w:r>
      <w:r w:rsidRPr="00D97463">
        <w:t xml:space="preserve">note </w:t>
      </w:r>
      <w:r w:rsidRPr="00D97463">
        <w:fldChar w:fldCharType="begin"/>
      </w:r>
      <w:r w:rsidRPr="00D97463">
        <w:instrText xml:space="preserve"> NOTEREF _Ref423362192 \h  \* MERGEFORMAT </w:instrText>
      </w:r>
      <w:r w:rsidRPr="00D97463">
        <w:fldChar w:fldCharType="separate"/>
      </w:r>
      <w:r w:rsidR="00EF153A">
        <w:t>324</w:t>
      </w:r>
      <w:r w:rsidRPr="00D97463">
        <w:fldChar w:fldCharType="end"/>
      </w:r>
      <w:r w:rsidRPr="00D97463">
        <w:t xml:space="preserve">, at p. 121 (“aspects of treaty interpretation and customary practice in this field merge very closely”); Peters, </w:t>
      </w:r>
      <w:r w:rsidRPr="00D97463">
        <w:rPr>
          <w:i/>
          <w:iCs/>
        </w:rPr>
        <w:t>supra</w:t>
      </w:r>
      <w:r w:rsidRPr="00D97463">
        <w:t xml:space="preserve"> note </w:t>
      </w:r>
      <w:r w:rsidRPr="00D97463">
        <w:fldChar w:fldCharType="begin"/>
      </w:r>
      <w:r w:rsidRPr="00D97463">
        <w:instrText xml:space="preserve"> NOTEREF _Ref415779726 \h  \* MERGEFORMAT </w:instrText>
      </w:r>
      <w:r w:rsidRPr="00D97463">
        <w:fldChar w:fldCharType="separate"/>
      </w:r>
      <w:r w:rsidR="00EF153A">
        <w:t>368</w:t>
      </w:r>
      <w:r w:rsidRPr="00D97463">
        <w:fldChar w:fldCharType="end"/>
      </w:r>
      <w:r w:rsidRPr="00D97463">
        <w:t>, at p. 631 (“should be considered a kind of customary international law of the organization”); it is not persuasive to limit the “established practice of the organization” to so-called internal rules since, according to the Commission, “there would have been problems in referring to the ‘internal’ law of an organization, for while it has an internal aspect, this law also has in other respects an international aspect”, Report of the International Law Commission on its thirty-fourth session</w:t>
      </w:r>
      <w:r w:rsidRPr="00D97463">
        <w:rPr>
          <w:i/>
        </w:rPr>
        <w:t xml:space="preserve">, Official Records of the General Assembly, Thirty-seventh Session, Supplement No. 10 </w:t>
      </w:r>
      <w:r w:rsidRPr="00D97463">
        <w:t>(</w:t>
      </w:r>
      <w:hyperlink r:id="rId85" w:history="1">
        <w:r w:rsidRPr="00D97463">
          <w:rPr>
            <w:rStyle w:val="Hyperlink"/>
          </w:rPr>
          <w:t>A/37/10</w:t>
        </w:r>
      </w:hyperlink>
      <w:r w:rsidRPr="00D97463">
        <w:t xml:space="preserve">), Commentary to Art. 2 (1) (j), Chapter II, p. 21, para. 25; Schermers and Blokker, </w:t>
      </w:r>
      <w:r w:rsidRPr="00D97463">
        <w:rPr>
          <w:i/>
          <w:iCs/>
        </w:rPr>
        <w:t>supra</w:t>
      </w:r>
      <w:r w:rsidRPr="00D97463">
        <w:t xml:space="preserve"> note </w:t>
      </w:r>
      <w:r w:rsidRPr="00D97463">
        <w:fldChar w:fldCharType="begin"/>
      </w:r>
      <w:r w:rsidRPr="00D97463">
        <w:instrText xml:space="preserve"> NOTEREF _Ref424551138 \h  \* MERGEFORMAT </w:instrText>
      </w:r>
      <w:r w:rsidRPr="00D97463">
        <w:fldChar w:fldCharType="separate"/>
      </w:r>
      <w:r w:rsidR="00EF153A">
        <w:t>330</w:t>
      </w:r>
      <w:r w:rsidRPr="00D97463">
        <w:fldChar w:fldCharType="end"/>
      </w:r>
      <w:r w:rsidRPr="00D97463">
        <w:t xml:space="preserve">, at p. 766; but see C. Ahlborn, The Rules of International Organizations and the Law of International Responsibility, </w:t>
      </w:r>
      <w:r w:rsidRPr="00D97463">
        <w:rPr>
          <w:i/>
        </w:rPr>
        <w:t>International Organizations Law Review</w:t>
      </w:r>
      <w:r w:rsidRPr="00D97463">
        <w:t>, vol. 8 (2011), 397, at. pp. 424-428.</w:t>
      </w:r>
    </w:p>
  </w:footnote>
  <w:footnote w:id="372">
    <w:p w:rsidR="00A3158E" w:rsidRPr="00D97463" w:rsidRDefault="00A3158E" w:rsidP="00D97463">
      <w:pPr>
        <w:pStyle w:val="FootnoteText"/>
        <w:ind w:right="1260"/>
      </w:pPr>
      <w:r w:rsidRPr="00D97463">
        <w:tab/>
      </w:r>
      <w:r w:rsidRPr="00D97463">
        <w:rPr>
          <w:rStyle w:val="FootnoteReference"/>
        </w:rPr>
        <w:footnoteRef/>
      </w:r>
      <w:r w:rsidRPr="00D97463">
        <w:tab/>
        <w:t xml:space="preserve">Blokker, </w:t>
      </w:r>
      <w:r w:rsidRPr="00D97463">
        <w:rPr>
          <w:i/>
          <w:iCs/>
        </w:rPr>
        <w:t>supra</w:t>
      </w:r>
      <w:r w:rsidRPr="00D97463">
        <w:t xml:space="preserve"> note </w:t>
      </w:r>
      <w:r w:rsidRPr="00D97463">
        <w:fldChar w:fldCharType="begin"/>
      </w:r>
      <w:r w:rsidRPr="00D97463">
        <w:instrText xml:space="preserve"> NOTEREF _Ref424552297 \h  \* MERGEFORMAT </w:instrText>
      </w:r>
      <w:r w:rsidRPr="00D97463">
        <w:fldChar w:fldCharType="separate"/>
      </w:r>
      <w:r w:rsidR="00EF153A">
        <w:t>351</w:t>
      </w:r>
      <w:r w:rsidRPr="00D97463">
        <w:fldChar w:fldCharType="end"/>
      </w:r>
      <w:r w:rsidRPr="00D97463">
        <w:t>, p. 312.</w:t>
      </w:r>
    </w:p>
  </w:footnote>
  <w:footnote w:id="373">
    <w:p w:rsidR="00A3158E" w:rsidRPr="00D97463" w:rsidRDefault="00A3158E" w:rsidP="00D97463">
      <w:pPr>
        <w:pStyle w:val="FootnoteText"/>
        <w:ind w:right="1260"/>
      </w:pPr>
      <w:r w:rsidRPr="00D97463">
        <w:tab/>
      </w:r>
      <w:r w:rsidRPr="00D97463">
        <w:rPr>
          <w:rStyle w:val="FootnoteReference"/>
        </w:rPr>
        <w:footnoteRef/>
      </w:r>
      <w:r w:rsidRPr="00D97463">
        <w:tab/>
        <w:t xml:space="preserve">Lauterpacht, </w:t>
      </w:r>
      <w:r w:rsidRPr="00D97463">
        <w:rPr>
          <w:i/>
          <w:iCs/>
        </w:rPr>
        <w:t>supra</w:t>
      </w:r>
      <w:r w:rsidRPr="00D97463">
        <w:t xml:space="preserve"> note </w:t>
      </w:r>
      <w:r w:rsidRPr="00D97463">
        <w:fldChar w:fldCharType="begin"/>
      </w:r>
      <w:r w:rsidRPr="00D97463">
        <w:instrText xml:space="preserve"> NOTEREF _Ref424552297 \h  \* MERGEFORMAT </w:instrText>
      </w:r>
      <w:r w:rsidRPr="00D97463">
        <w:fldChar w:fldCharType="separate"/>
      </w:r>
      <w:r w:rsidR="00EF153A">
        <w:t>351</w:t>
      </w:r>
      <w:r w:rsidRPr="00D97463">
        <w:fldChar w:fldCharType="end"/>
      </w:r>
      <w:r w:rsidRPr="00D97463">
        <w:t xml:space="preserve">, p. 464 (“consent of the general body of membership”); Higgins, </w:t>
      </w:r>
      <w:r w:rsidRPr="00D97463">
        <w:rPr>
          <w:i/>
          <w:iCs/>
        </w:rPr>
        <w:t>supra</w:t>
      </w:r>
      <w:r w:rsidRPr="00D97463">
        <w:t xml:space="preserve"> note </w:t>
      </w:r>
      <w:r w:rsidRPr="00D97463">
        <w:fldChar w:fldCharType="begin"/>
      </w:r>
      <w:r w:rsidRPr="00D97463">
        <w:instrText xml:space="preserve"> NOTEREF _Ref423362192 \h  \* MERGEFORMAT </w:instrText>
      </w:r>
      <w:r w:rsidRPr="00D97463">
        <w:fldChar w:fldCharType="separate"/>
      </w:r>
      <w:r w:rsidR="00EF153A">
        <w:t>324</w:t>
      </w:r>
      <w:r w:rsidRPr="00D97463">
        <w:fldChar w:fldCharType="end"/>
      </w:r>
      <w:r w:rsidRPr="00D97463">
        <w:t xml:space="preserve">, p. 121 (“[t]he degree of length and acquiescence need here perhaps to be less marked than elsewhere, because the U.N. organs undoubtedly have initial authority to make such decisions [regarding their own jurisdiction and competence]”); Peters, </w:t>
      </w:r>
      <w:r w:rsidRPr="00D97463">
        <w:rPr>
          <w:i/>
          <w:iCs/>
        </w:rPr>
        <w:t>supra</w:t>
      </w:r>
      <w:r w:rsidRPr="00D97463">
        <w:t xml:space="preserve"> note </w:t>
      </w:r>
      <w:r w:rsidRPr="00D97463">
        <w:fldChar w:fldCharType="begin"/>
      </w:r>
      <w:r w:rsidRPr="00D97463">
        <w:instrText xml:space="preserve"> NOTEREF _Ref415779726 \h  \* MERGEFORMAT </w:instrText>
      </w:r>
      <w:r w:rsidRPr="00D97463">
        <w:fldChar w:fldCharType="separate"/>
      </w:r>
      <w:r w:rsidR="00EF153A">
        <w:t>368</w:t>
      </w:r>
      <w:r w:rsidRPr="00D97463">
        <w:fldChar w:fldCharType="end"/>
      </w:r>
      <w:r w:rsidRPr="00D97463">
        <w:t>, pp. 633-641.</w:t>
      </w:r>
    </w:p>
  </w:footnote>
  <w:footnote w:id="374">
    <w:p w:rsidR="00A3158E" w:rsidRPr="00D97463" w:rsidRDefault="00A3158E" w:rsidP="00D97463">
      <w:pPr>
        <w:pStyle w:val="FootnoteText"/>
        <w:ind w:right="1260"/>
      </w:pPr>
      <w:r w:rsidRPr="00D97463">
        <w:rPr>
          <w:sz w:val="24"/>
          <w:szCs w:val="24"/>
        </w:rPr>
        <w:tab/>
      </w:r>
      <w:r w:rsidRPr="00D97463">
        <w:rPr>
          <w:rStyle w:val="FootnoteReference"/>
        </w:rPr>
        <w:footnoteRef/>
      </w:r>
      <w:r w:rsidRPr="00D97463">
        <w:rPr>
          <w:sz w:val="24"/>
          <w:szCs w:val="24"/>
        </w:rPr>
        <w:tab/>
      </w:r>
      <w:r w:rsidRPr="00D97463">
        <w:t xml:space="preserve">The decision was made at the 3171st meeting of the Commission, on 28 May 2013. </w:t>
      </w:r>
      <w:r w:rsidRPr="00D97463">
        <w:rPr>
          <w:i/>
          <w:iCs/>
        </w:rPr>
        <w:t>Official Records of the General Assembly, Sixty-eighth session Supplement No. 10</w:t>
      </w:r>
      <w:r w:rsidRPr="00D97463">
        <w:t xml:space="preserve"> (</w:t>
      </w:r>
      <w:hyperlink r:id="rId86" w:history="1">
        <w:r w:rsidRPr="00D97463">
          <w:rPr>
            <w:rStyle w:val="Hyperlink"/>
          </w:rPr>
          <w:t>A/68/10</w:t>
        </w:r>
      </w:hyperlink>
      <w:r w:rsidRPr="00D97463">
        <w:t xml:space="preserve">), para. 167. For the syllabus of the topic, see </w:t>
      </w:r>
      <w:r w:rsidRPr="00D97463">
        <w:rPr>
          <w:i/>
          <w:iCs/>
        </w:rPr>
        <w:t>ibid.</w:t>
      </w:r>
      <w:r w:rsidRPr="00D97463">
        <w:t xml:space="preserve">, </w:t>
      </w:r>
      <w:r w:rsidRPr="00D97463">
        <w:rPr>
          <w:i/>
          <w:iCs/>
        </w:rPr>
        <w:t>Sixty-sixth session Supplement No. 10</w:t>
      </w:r>
      <w:r w:rsidRPr="00D97463">
        <w:t xml:space="preserve"> (</w:t>
      </w:r>
      <w:hyperlink r:id="rId87" w:history="1">
        <w:r w:rsidRPr="00D97463">
          <w:rPr>
            <w:rStyle w:val="Hyperlink"/>
          </w:rPr>
          <w:t>A/66/10</w:t>
        </w:r>
      </w:hyperlink>
      <w:r w:rsidRPr="00D97463">
        <w:t>), annex E.</w:t>
      </w:r>
    </w:p>
  </w:footnote>
  <w:footnote w:id="375">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Sixty-ninth session, Supplement No. 10</w:t>
      </w:r>
      <w:r w:rsidRPr="00D97463">
        <w:t xml:space="preserve"> (</w:t>
      </w:r>
      <w:hyperlink r:id="rId88" w:history="1">
        <w:r w:rsidRPr="00D97463">
          <w:rPr>
            <w:rStyle w:val="Hyperlink"/>
          </w:rPr>
          <w:t>A/69/10</w:t>
        </w:r>
      </w:hyperlink>
      <w:r w:rsidRPr="00D97463">
        <w:t>), paras. 186-222.</w:t>
      </w:r>
    </w:p>
  </w:footnote>
  <w:footnote w:id="376">
    <w:p w:rsidR="00A3158E" w:rsidRPr="00D97463" w:rsidRDefault="00A3158E" w:rsidP="00D97463">
      <w:pPr>
        <w:pStyle w:val="FootnoteText"/>
        <w:spacing w:after="60"/>
        <w:ind w:right="1260"/>
      </w:pPr>
      <w:r w:rsidRPr="00D97463">
        <w:tab/>
      </w:r>
      <w:r w:rsidRPr="00D97463">
        <w:rPr>
          <w:rStyle w:val="FootnoteReference"/>
        </w:rPr>
        <w:footnoteRef/>
      </w:r>
      <w:r w:rsidRPr="00D97463">
        <w:tab/>
        <w:t>The text proposed by the Special Rapporteur, in her second report (</w:t>
      </w:r>
      <w:hyperlink r:id="rId89" w:history="1">
        <w:r w:rsidRPr="00D97463">
          <w:rPr>
            <w:rStyle w:val="Hyperlink"/>
          </w:rPr>
          <w:t>A/CN.4/685</w:t>
        </w:r>
      </w:hyperlink>
      <w:r w:rsidRPr="00D97463">
        <w:t xml:space="preserve">), read as follows: </w:t>
      </w:r>
    </w:p>
    <w:p w:rsidR="00A3158E" w:rsidRPr="00D97463" w:rsidRDefault="00A3158E" w:rsidP="00D97463">
      <w:pPr>
        <w:pStyle w:val="IndentFootnot"/>
        <w:rPr>
          <w:b/>
          <w:bCs/>
        </w:rPr>
      </w:pPr>
      <w:r w:rsidRPr="00D97463">
        <w:t>“</w:t>
      </w:r>
      <w:r w:rsidRPr="00D97463">
        <w:rPr>
          <w:b/>
          <w:bCs/>
        </w:rPr>
        <w:t>Preamble</w:t>
      </w:r>
    </w:p>
    <w:p w:rsidR="00A3158E" w:rsidRPr="00D97463" w:rsidRDefault="00A3158E" w:rsidP="00D97463">
      <w:pPr>
        <w:pStyle w:val="IndentFootnot"/>
        <w:rPr>
          <w:b/>
          <w:bCs/>
        </w:rPr>
      </w:pPr>
      <w:r w:rsidRPr="00D97463">
        <w:rPr>
          <w:b/>
          <w:bCs/>
        </w:rPr>
        <w:t>Scope of the principles</w:t>
      </w:r>
    </w:p>
    <w:p w:rsidR="00A3158E" w:rsidRPr="00D97463" w:rsidRDefault="00A3158E" w:rsidP="00D97463">
      <w:pPr>
        <w:pStyle w:val="IndentFootnot"/>
      </w:pPr>
      <w:r w:rsidRPr="00D97463">
        <w:tab/>
        <w:t>The present principles apply to the protection of the environment in relation to armed conflicts.</w:t>
      </w:r>
    </w:p>
    <w:p w:rsidR="00A3158E" w:rsidRPr="00D97463" w:rsidRDefault="00A3158E" w:rsidP="00D97463">
      <w:pPr>
        <w:pStyle w:val="IndentFootnot"/>
        <w:rPr>
          <w:b/>
          <w:bCs/>
        </w:rPr>
      </w:pPr>
      <w:r w:rsidRPr="00D97463">
        <w:rPr>
          <w:b/>
          <w:bCs/>
        </w:rPr>
        <w:t>Purpose</w:t>
      </w:r>
    </w:p>
    <w:p w:rsidR="00A3158E" w:rsidRPr="00D97463" w:rsidRDefault="00A3158E" w:rsidP="00D97463">
      <w:pPr>
        <w:pStyle w:val="IndentFootnot"/>
      </w:pPr>
      <w:r>
        <w:tab/>
      </w:r>
      <w:r w:rsidRPr="00D97463">
        <w:t>These principles are aimed at enhancing the protection of the environment in relation to armed conflicts through preventive and restorative measures. They also are aimed at minimizing collateral damage to the environment during armed conflict.</w:t>
      </w:r>
    </w:p>
    <w:p w:rsidR="00A3158E" w:rsidRPr="00D97463" w:rsidRDefault="00A3158E" w:rsidP="00D97463">
      <w:pPr>
        <w:pStyle w:val="IndentFootnot"/>
        <w:rPr>
          <w:b/>
          <w:bCs/>
        </w:rPr>
      </w:pPr>
      <w:r w:rsidRPr="00D97463">
        <w:rPr>
          <w:b/>
          <w:bCs/>
        </w:rPr>
        <w:t>Use of terms</w:t>
      </w:r>
    </w:p>
    <w:p w:rsidR="00A3158E" w:rsidRPr="00D97463" w:rsidRDefault="00A3158E" w:rsidP="00D97463">
      <w:pPr>
        <w:pStyle w:val="IndentFootnot"/>
        <w:rPr>
          <w:b/>
          <w:bCs/>
        </w:rPr>
      </w:pPr>
      <w:r w:rsidRPr="00D97463">
        <w:rPr>
          <w:b/>
          <w:bCs/>
        </w:rPr>
        <w:t>For the purposes of the present principles</w:t>
      </w:r>
    </w:p>
    <w:p w:rsidR="00A3158E" w:rsidRPr="00D97463" w:rsidRDefault="00A3158E" w:rsidP="00D97463">
      <w:pPr>
        <w:pStyle w:val="IndentFootnot"/>
      </w:pPr>
      <w:r w:rsidRPr="00D97463">
        <w:tab/>
        <w:t>(a)</w:t>
      </w:r>
      <w:r w:rsidRPr="00D97463">
        <w:tab/>
        <w:t>‘armed conflict’ means a situation in which there is resort to armed force between States or protracted resort to armed force between governmental authorities and organized armed groups or between such groups within a State;</w:t>
      </w:r>
    </w:p>
    <w:p w:rsidR="00A3158E" w:rsidRPr="00D97463" w:rsidRDefault="00A3158E" w:rsidP="00D97463">
      <w:pPr>
        <w:pStyle w:val="IndentFootnot"/>
      </w:pPr>
      <w:r w:rsidRPr="00D97463">
        <w:tab/>
        <w:t>(b)</w:t>
      </w:r>
      <w:r w:rsidRPr="00D97463">
        <w:tab/>
        <w:t>‘environment’ includes natural resources, both abiotic and biotic, such as air, water, soil, fauna and flora and the interaction between the same factors, and the characteristics of the landscape.</w:t>
      </w:r>
    </w:p>
    <w:p w:rsidR="00A3158E" w:rsidRPr="00D97463" w:rsidRDefault="00A3158E" w:rsidP="00D97463">
      <w:pPr>
        <w:pStyle w:val="IndentFootnot"/>
        <w:rPr>
          <w:b/>
          <w:bCs/>
        </w:rPr>
      </w:pPr>
      <w:r w:rsidRPr="00D97463">
        <w:rPr>
          <w:b/>
          <w:bCs/>
        </w:rPr>
        <w:t xml:space="preserve">Principle 1 </w:t>
      </w:r>
    </w:p>
    <w:p w:rsidR="00A3158E" w:rsidRPr="00D97463" w:rsidRDefault="00A3158E" w:rsidP="00D97463">
      <w:pPr>
        <w:pStyle w:val="IndentFootnot"/>
      </w:pPr>
      <w:r w:rsidRPr="00D97463">
        <w:tab/>
        <w:t>The natural environment is civilian in nature and may not be the object of an attack, unless and until portions of it become a military objective. It shall be respected and protected, consistent with applicable international law and, in particular, international humanitarian law.</w:t>
      </w:r>
      <w:r w:rsidRPr="00D97463">
        <w:tab/>
      </w:r>
    </w:p>
    <w:p w:rsidR="00A3158E" w:rsidRPr="00D97463" w:rsidRDefault="00A3158E" w:rsidP="00D97463">
      <w:pPr>
        <w:pStyle w:val="IndentFootnot"/>
        <w:rPr>
          <w:b/>
          <w:bCs/>
        </w:rPr>
      </w:pPr>
      <w:r w:rsidRPr="00D97463">
        <w:rPr>
          <w:b/>
          <w:bCs/>
        </w:rPr>
        <w:t xml:space="preserve">Principle 2 </w:t>
      </w:r>
    </w:p>
    <w:p w:rsidR="00A3158E" w:rsidRPr="00D97463" w:rsidRDefault="00A3158E" w:rsidP="00D97463">
      <w:pPr>
        <w:pStyle w:val="IndentFootnot"/>
      </w:pPr>
      <w:r w:rsidRPr="00D97463">
        <w:tab/>
        <w:t>During an armed conflict, fundamental principles and rules of international humanitarian law, including the principles of precautions in attack, distinction and proportionality and the rules on military necessity, shall be applied in a manner so as to enhance the strongest possible protection of the environment.</w:t>
      </w:r>
    </w:p>
    <w:p w:rsidR="00A3158E" w:rsidRPr="00D97463" w:rsidRDefault="00A3158E" w:rsidP="00D97463">
      <w:pPr>
        <w:pStyle w:val="IndentFootnot"/>
        <w:rPr>
          <w:b/>
          <w:bCs/>
        </w:rPr>
      </w:pPr>
      <w:r w:rsidRPr="00D97463">
        <w:rPr>
          <w:b/>
          <w:bCs/>
        </w:rPr>
        <w:t xml:space="preserve">Principle 3 </w:t>
      </w:r>
    </w:p>
    <w:p w:rsidR="00A3158E" w:rsidRPr="00D97463" w:rsidRDefault="00A3158E" w:rsidP="00D97463">
      <w:pPr>
        <w:pStyle w:val="IndentFootnot"/>
      </w:pPr>
      <w:r w:rsidRPr="00D97463">
        <w:tab/>
        <w:t>Environmental considerations must be taken into account when assessing what is necessary and proportionate in the pursuit of lawful military objectives.</w:t>
      </w:r>
    </w:p>
    <w:p w:rsidR="00A3158E" w:rsidRPr="00D97463" w:rsidRDefault="00A3158E" w:rsidP="00D97463">
      <w:pPr>
        <w:pStyle w:val="IndentFootnot"/>
        <w:rPr>
          <w:b/>
          <w:bCs/>
        </w:rPr>
      </w:pPr>
      <w:r w:rsidRPr="00D97463">
        <w:rPr>
          <w:b/>
          <w:bCs/>
        </w:rPr>
        <w:t xml:space="preserve">Principle 4 </w:t>
      </w:r>
    </w:p>
    <w:p w:rsidR="00A3158E" w:rsidRPr="00D97463" w:rsidRDefault="00A3158E" w:rsidP="00D97463">
      <w:pPr>
        <w:pStyle w:val="IndentFootnot"/>
      </w:pPr>
      <w:r w:rsidRPr="00D97463">
        <w:tab/>
        <w:t>Attacks against the natural environment by way of reprisals are prohibited.</w:t>
      </w:r>
    </w:p>
    <w:p w:rsidR="00A3158E" w:rsidRPr="00D97463" w:rsidRDefault="00A3158E" w:rsidP="00D97463">
      <w:pPr>
        <w:pStyle w:val="IndentFootnot"/>
        <w:rPr>
          <w:b/>
          <w:bCs/>
        </w:rPr>
      </w:pPr>
      <w:r w:rsidRPr="00D97463">
        <w:rPr>
          <w:b/>
          <w:bCs/>
        </w:rPr>
        <w:t xml:space="preserve">Principle 5 </w:t>
      </w:r>
    </w:p>
    <w:p w:rsidR="00A3158E" w:rsidRPr="00D97463" w:rsidRDefault="00A3158E" w:rsidP="00D97463">
      <w:pPr>
        <w:pStyle w:val="IndentFootnot"/>
        <w:spacing w:after="0"/>
      </w:pPr>
      <w:r w:rsidRPr="00D97463">
        <w:tab/>
        <w:t>States should designate areas of major ecological importance as demilitarized zones before the commencement of an armed conflict, or at least at its outset.”</w:t>
      </w:r>
    </w:p>
  </w:footnote>
  <w:footnote w:id="37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The statement of the Chairman of the Drafting Committee is available on the website of the Commission, located at &lt;http://legal.un.org/ilc&gt;.</w:t>
      </w:r>
    </w:p>
  </w:footnote>
  <w:footnote w:id="378">
    <w:p w:rsidR="00A3158E" w:rsidRPr="00D97463" w:rsidRDefault="00A3158E" w:rsidP="00D97463">
      <w:pPr>
        <w:pStyle w:val="FootnoteText"/>
        <w:spacing w:after="60"/>
        <w:ind w:right="1260"/>
      </w:pPr>
      <w:r w:rsidRPr="00D97463">
        <w:tab/>
      </w:r>
      <w:r w:rsidRPr="00D97463">
        <w:rPr>
          <w:rStyle w:val="FootnoteReference"/>
        </w:rPr>
        <w:footnoteRef/>
      </w:r>
      <w:r w:rsidRPr="00D97463">
        <w:t xml:space="preserve"> </w:t>
      </w:r>
      <w:r w:rsidRPr="00D97463">
        <w:tab/>
        <w:t>The text provisionally adopted by the Drafting Committee read as follows:</w:t>
      </w:r>
    </w:p>
    <w:p w:rsidR="00A3158E" w:rsidRPr="00D97463" w:rsidRDefault="00A3158E" w:rsidP="00D97463">
      <w:pPr>
        <w:pStyle w:val="IndentFootnot"/>
        <w:rPr>
          <w:b/>
          <w:bCs/>
        </w:rPr>
      </w:pPr>
      <w:r w:rsidRPr="00D97463">
        <w:t>“</w:t>
      </w:r>
      <w:r w:rsidRPr="00D97463">
        <w:rPr>
          <w:b/>
          <w:bCs/>
        </w:rPr>
        <w:t>Introduction</w:t>
      </w:r>
    </w:p>
    <w:p w:rsidR="00A3158E" w:rsidRPr="00D97463" w:rsidRDefault="00A3158E" w:rsidP="00D97463">
      <w:pPr>
        <w:pStyle w:val="IndentFootnot"/>
        <w:rPr>
          <w:b/>
          <w:bCs/>
        </w:rPr>
      </w:pPr>
      <w:r w:rsidRPr="00D97463">
        <w:rPr>
          <w:b/>
          <w:bCs/>
        </w:rPr>
        <w:t>Scope</w:t>
      </w:r>
    </w:p>
    <w:p w:rsidR="00A3158E" w:rsidRPr="00D97463" w:rsidRDefault="00A3158E" w:rsidP="00D97463">
      <w:pPr>
        <w:pStyle w:val="IndentFootnot"/>
      </w:pPr>
      <w:r>
        <w:tab/>
      </w:r>
      <w:r w:rsidRPr="00D97463">
        <w:t>The present draft principles apply to the protection of the environment before, during or after an armed conflict.</w:t>
      </w:r>
    </w:p>
    <w:p w:rsidR="00A3158E" w:rsidRPr="00D97463" w:rsidRDefault="00A3158E" w:rsidP="00D97463">
      <w:pPr>
        <w:pStyle w:val="IndentFootnot"/>
        <w:rPr>
          <w:b/>
          <w:bCs/>
        </w:rPr>
      </w:pPr>
      <w:r w:rsidRPr="00D97463">
        <w:rPr>
          <w:b/>
          <w:bCs/>
        </w:rPr>
        <w:t>Purpose</w:t>
      </w:r>
    </w:p>
    <w:p w:rsidR="00A3158E" w:rsidRPr="00D97463" w:rsidRDefault="00A3158E" w:rsidP="00D97463">
      <w:pPr>
        <w:pStyle w:val="IndentFootnot"/>
      </w:pPr>
      <w:r w:rsidRPr="00D97463">
        <w:tab/>
        <w:t>The present draft principles are aimed at enhancing the protection of the environment in relation to armed conflict, including through preventive measures for minimizing damage to the environment during armed conflict and through remedial measures.</w:t>
      </w:r>
    </w:p>
    <w:p w:rsidR="00A3158E" w:rsidRPr="00D97463" w:rsidRDefault="00A3158E" w:rsidP="00D97463">
      <w:pPr>
        <w:pStyle w:val="IndentFootnot"/>
        <w:rPr>
          <w:b/>
          <w:bCs/>
        </w:rPr>
      </w:pPr>
      <w:r w:rsidRPr="00D97463">
        <w:rPr>
          <w:b/>
          <w:bCs/>
        </w:rPr>
        <w:t>Part One</w:t>
      </w:r>
      <w:r>
        <w:rPr>
          <w:b/>
          <w:bCs/>
        </w:rPr>
        <w:br/>
      </w:r>
      <w:r w:rsidRPr="00D97463">
        <w:rPr>
          <w:b/>
          <w:bCs/>
        </w:rPr>
        <w:t>Preventive measures</w:t>
      </w:r>
    </w:p>
    <w:p w:rsidR="00A3158E" w:rsidRPr="00D97463" w:rsidRDefault="00A3158E" w:rsidP="00D97463">
      <w:pPr>
        <w:pStyle w:val="IndentFootnot"/>
        <w:rPr>
          <w:b/>
          <w:bCs/>
        </w:rPr>
      </w:pPr>
      <w:r w:rsidRPr="00D97463">
        <w:rPr>
          <w:b/>
          <w:bCs/>
        </w:rPr>
        <w:t>Draft principle I-(x)</w:t>
      </w:r>
      <w:r>
        <w:rPr>
          <w:b/>
          <w:bCs/>
        </w:rPr>
        <w:br/>
      </w:r>
      <w:r w:rsidRPr="00D97463">
        <w:rPr>
          <w:b/>
          <w:bCs/>
        </w:rPr>
        <w:t>Designation of protected zones</w:t>
      </w:r>
    </w:p>
    <w:p w:rsidR="00A3158E" w:rsidRPr="00D97463" w:rsidRDefault="00A3158E" w:rsidP="00D97463">
      <w:pPr>
        <w:pStyle w:val="IndentFootnot"/>
      </w:pPr>
      <w:r w:rsidRPr="00D97463">
        <w:tab/>
        <w:t>States should designate, by agreement or otherwise, areas of major environmental and cultural importance as protected zones.</w:t>
      </w:r>
    </w:p>
    <w:p w:rsidR="00A3158E" w:rsidRPr="00D97463" w:rsidRDefault="00A3158E" w:rsidP="00D97463">
      <w:pPr>
        <w:pStyle w:val="IndentFootnot"/>
        <w:rPr>
          <w:b/>
          <w:bCs/>
        </w:rPr>
      </w:pPr>
      <w:r w:rsidRPr="00D97463">
        <w:rPr>
          <w:b/>
          <w:bCs/>
        </w:rPr>
        <w:t>Part Two</w:t>
      </w:r>
      <w:r>
        <w:rPr>
          <w:b/>
          <w:bCs/>
        </w:rPr>
        <w:br/>
      </w:r>
      <w:r w:rsidRPr="00D97463">
        <w:rPr>
          <w:b/>
          <w:bCs/>
        </w:rPr>
        <w:t>Draft principles applicable during armed conflict</w:t>
      </w:r>
    </w:p>
    <w:p w:rsidR="00A3158E" w:rsidRPr="00D97463" w:rsidRDefault="00A3158E" w:rsidP="00D97463">
      <w:pPr>
        <w:pStyle w:val="IndentFootnot"/>
        <w:rPr>
          <w:b/>
          <w:bCs/>
        </w:rPr>
      </w:pPr>
      <w:r w:rsidRPr="00D97463">
        <w:rPr>
          <w:b/>
          <w:bCs/>
        </w:rPr>
        <w:t>Draft principle II-1</w:t>
      </w:r>
      <w:r>
        <w:rPr>
          <w:b/>
          <w:bCs/>
        </w:rPr>
        <w:br/>
      </w:r>
      <w:r w:rsidRPr="00D97463">
        <w:rPr>
          <w:b/>
          <w:bCs/>
        </w:rPr>
        <w:t xml:space="preserve">General protection of the </w:t>
      </w:r>
      <w:r>
        <w:rPr>
          <w:b/>
          <w:bCs/>
        </w:rPr>
        <w:t xml:space="preserve">[natural] </w:t>
      </w:r>
      <w:r w:rsidRPr="00D97463">
        <w:rPr>
          <w:b/>
          <w:bCs/>
        </w:rPr>
        <w:t>environment during armed conflict</w:t>
      </w:r>
    </w:p>
    <w:p w:rsidR="00A3158E" w:rsidRPr="00D97463" w:rsidRDefault="00A3158E" w:rsidP="00D97463">
      <w:pPr>
        <w:pStyle w:val="IndentFootnot"/>
      </w:pPr>
      <w:r w:rsidRPr="00D97463">
        <w:t>1.</w:t>
      </w:r>
      <w:r w:rsidRPr="00D97463">
        <w:tab/>
        <w:t xml:space="preserve">The </w:t>
      </w:r>
      <w:r>
        <w:t xml:space="preserve">[natural] </w:t>
      </w:r>
      <w:r w:rsidRPr="00D97463">
        <w:t>environment shall be respected and protected in accordance with applicable international law and, in particular, the law of armed conflict.</w:t>
      </w:r>
    </w:p>
    <w:p w:rsidR="00A3158E" w:rsidRPr="00D97463" w:rsidRDefault="00A3158E" w:rsidP="00D97463">
      <w:pPr>
        <w:pStyle w:val="IndentFootnot"/>
      </w:pPr>
      <w:r w:rsidRPr="00D97463">
        <w:t>2.</w:t>
      </w:r>
      <w:r w:rsidRPr="00D97463">
        <w:tab/>
        <w:t>Care shall be taken to protect the [natural] environment against widespread, long-term and severe damage.</w:t>
      </w:r>
    </w:p>
    <w:p w:rsidR="00A3158E" w:rsidRDefault="00A3158E" w:rsidP="00D97463">
      <w:pPr>
        <w:pStyle w:val="IndentFootnot"/>
      </w:pPr>
      <w:r w:rsidRPr="00D97463">
        <w:t>3.</w:t>
      </w:r>
      <w:r w:rsidRPr="00D97463">
        <w:tab/>
        <w:t>No part of the [natural] environment may be attacked, unless it has become a military objective.</w:t>
      </w:r>
    </w:p>
    <w:p w:rsidR="00A3158E" w:rsidRPr="00727679" w:rsidRDefault="00A3158E">
      <w:pPr>
        <w:pStyle w:val="IndentFootnot"/>
        <w:rPr>
          <w:b/>
          <w:bCs/>
        </w:rPr>
      </w:pPr>
      <w:r w:rsidRPr="00727679">
        <w:rPr>
          <w:b/>
          <w:bCs/>
        </w:rPr>
        <w:t>Draft principle II-2</w:t>
      </w:r>
      <w:r>
        <w:rPr>
          <w:b/>
          <w:bCs/>
        </w:rPr>
        <w:br/>
      </w:r>
      <w:r w:rsidRPr="00727679">
        <w:rPr>
          <w:b/>
          <w:bCs/>
        </w:rPr>
        <w:t>Application of the law of armed conflict to the environment</w:t>
      </w:r>
    </w:p>
    <w:p w:rsidR="00A3158E" w:rsidRPr="00D97463" w:rsidRDefault="00A3158E" w:rsidP="00D97463">
      <w:pPr>
        <w:pStyle w:val="IndentFootnot"/>
      </w:pPr>
      <w:r w:rsidRPr="00727679">
        <w:tab/>
        <w:t>The law of armed conflict, including the principles and rules on distinction, proportionality, military necessity and precautions in attack, shall be applied to the [natural] environment, with a view to its protection.</w:t>
      </w:r>
    </w:p>
    <w:p w:rsidR="00A3158E" w:rsidRPr="00D97463" w:rsidRDefault="00A3158E" w:rsidP="00D97463">
      <w:pPr>
        <w:pStyle w:val="IndentFootnot"/>
        <w:rPr>
          <w:b/>
          <w:bCs/>
        </w:rPr>
      </w:pPr>
      <w:r w:rsidRPr="00D97463">
        <w:rPr>
          <w:b/>
          <w:bCs/>
        </w:rPr>
        <w:t>Draft principle II-3</w:t>
      </w:r>
      <w:r>
        <w:rPr>
          <w:b/>
          <w:bCs/>
        </w:rPr>
        <w:br/>
      </w:r>
      <w:r w:rsidRPr="00D97463">
        <w:rPr>
          <w:b/>
          <w:bCs/>
        </w:rPr>
        <w:t>Environmental considerations</w:t>
      </w:r>
    </w:p>
    <w:p w:rsidR="00A3158E" w:rsidRPr="00D97463" w:rsidRDefault="00A3158E" w:rsidP="00D97463">
      <w:pPr>
        <w:pStyle w:val="IndentFootnot"/>
      </w:pPr>
      <w:r w:rsidRPr="00D97463">
        <w:tab/>
        <w:t>Environmental considerations shall be taken into account when applying the principle of proportionality and the rules on military necessity.</w:t>
      </w:r>
    </w:p>
    <w:p w:rsidR="00A3158E" w:rsidRPr="00D97463" w:rsidRDefault="00A3158E" w:rsidP="00D97463">
      <w:pPr>
        <w:pStyle w:val="IndentFootnot"/>
        <w:keepNext/>
        <w:rPr>
          <w:b/>
          <w:bCs/>
        </w:rPr>
      </w:pPr>
      <w:r w:rsidRPr="00D97463">
        <w:rPr>
          <w:b/>
          <w:bCs/>
        </w:rPr>
        <w:t>Draft principle II-4</w:t>
      </w:r>
      <w:r>
        <w:rPr>
          <w:b/>
          <w:bCs/>
        </w:rPr>
        <w:br/>
      </w:r>
      <w:r w:rsidRPr="00D97463">
        <w:rPr>
          <w:b/>
          <w:bCs/>
        </w:rPr>
        <w:t>Prohibition of reprisals</w:t>
      </w:r>
    </w:p>
    <w:p w:rsidR="00A3158E" w:rsidRPr="00D97463" w:rsidRDefault="00A3158E" w:rsidP="00D97463">
      <w:pPr>
        <w:pStyle w:val="IndentFootnot"/>
        <w:keepNext/>
      </w:pPr>
      <w:r w:rsidRPr="00D97463">
        <w:tab/>
        <w:t>Attacks against the [natural] environment by way of reprisals are prohibited.</w:t>
      </w:r>
    </w:p>
    <w:p w:rsidR="00A3158E" w:rsidRPr="00D97463" w:rsidRDefault="00A3158E" w:rsidP="00D97463">
      <w:pPr>
        <w:pStyle w:val="IndentFootnot"/>
        <w:keepNext/>
        <w:rPr>
          <w:b/>
          <w:bCs/>
        </w:rPr>
      </w:pPr>
      <w:r w:rsidRPr="00D97463">
        <w:rPr>
          <w:b/>
          <w:bCs/>
        </w:rPr>
        <w:t>Principle II-5</w:t>
      </w:r>
      <w:r>
        <w:rPr>
          <w:b/>
          <w:bCs/>
        </w:rPr>
        <w:br/>
      </w:r>
      <w:r w:rsidRPr="00D97463">
        <w:rPr>
          <w:b/>
          <w:bCs/>
        </w:rPr>
        <w:t>Protected zones</w:t>
      </w:r>
    </w:p>
    <w:p w:rsidR="00A3158E" w:rsidRPr="00D97463" w:rsidRDefault="00A3158E" w:rsidP="00D97463">
      <w:pPr>
        <w:pStyle w:val="IndentFootnot"/>
        <w:keepNext/>
      </w:pPr>
      <w:r w:rsidRPr="00D97463">
        <w:tab/>
        <w:t>An area of major environmental and cultural importance designated by agreement as a protected zone shall be protected against any attack, as long as it does not contain a military objective.”</w:t>
      </w:r>
    </w:p>
  </w:footnote>
  <w:footnote w:id="379">
    <w:p w:rsidR="00A3158E" w:rsidRPr="00D97463" w:rsidRDefault="00A3158E" w:rsidP="00D97463">
      <w:pPr>
        <w:pStyle w:val="FootnoteText"/>
        <w:ind w:right="1260"/>
      </w:pPr>
      <w:r w:rsidRPr="00D97463">
        <w:rPr>
          <w:sz w:val="24"/>
        </w:rPr>
        <w:tab/>
      </w:r>
      <w:r w:rsidRPr="00D97463">
        <w:rPr>
          <w:rStyle w:val="FootnoteReference"/>
        </w:rPr>
        <w:footnoteRef/>
      </w:r>
      <w:r w:rsidRPr="00D97463">
        <w:rPr>
          <w:sz w:val="24"/>
        </w:rPr>
        <w:tab/>
      </w:r>
      <w:r w:rsidRPr="00D97463">
        <w:t xml:space="preserve">United Nations, </w:t>
      </w:r>
      <w:r w:rsidRPr="00D97463">
        <w:rPr>
          <w:i/>
          <w:iCs/>
        </w:rPr>
        <w:t>Treaty Series</w:t>
      </w:r>
      <w:r w:rsidRPr="00D97463">
        <w:t>, vol. 1108, p. 151.</w:t>
      </w:r>
    </w:p>
  </w:footnote>
  <w:footnote w:id="380">
    <w:p w:rsidR="00A3158E" w:rsidRPr="00D97463" w:rsidRDefault="00A3158E" w:rsidP="00D97463">
      <w:pPr>
        <w:pStyle w:val="FootnoteText"/>
        <w:ind w:right="1260"/>
      </w:pPr>
      <w:r w:rsidRPr="00D97463">
        <w:rPr>
          <w:sz w:val="24"/>
          <w:szCs w:val="24"/>
        </w:rPr>
        <w:tab/>
      </w:r>
      <w:r w:rsidRPr="00D97463">
        <w:rPr>
          <w:rStyle w:val="FootnoteReference"/>
        </w:rPr>
        <w:footnoteRef/>
      </w:r>
      <w:r w:rsidRPr="00D97463">
        <w:rPr>
          <w:sz w:val="24"/>
          <w:szCs w:val="24"/>
        </w:rPr>
        <w:tab/>
      </w:r>
      <w:r w:rsidRPr="00D97463">
        <w:rPr>
          <w:i/>
          <w:iCs/>
        </w:rPr>
        <w:t>Legality of the Threat or Use of Nuclear Weapons, Advisory Opinion, I.C.J. Reports 1996</w:t>
      </w:r>
      <w:r w:rsidRPr="00D97463">
        <w:t>, p. 226.</w:t>
      </w:r>
    </w:p>
  </w:footnote>
  <w:footnote w:id="381">
    <w:p w:rsidR="00A3158E" w:rsidRPr="00D97463" w:rsidRDefault="00A3158E" w:rsidP="00D97463">
      <w:pPr>
        <w:pStyle w:val="FootnoteText"/>
        <w:ind w:right="1260"/>
      </w:pPr>
      <w:r w:rsidRPr="00D97463">
        <w:tab/>
      </w:r>
      <w:r w:rsidRPr="00D97463">
        <w:rPr>
          <w:rStyle w:val="FootnoteReference"/>
        </w:rPr>
        <w:footnoteRef/>
      </w:r>
      <w:r w:rsidRPr="00D97463">
        <w:tab/>
        <w:t xml:space="preserve">Jean-Marie Henckaerts and Louise Doswald-Beck (eds.), Customary International Humanitarian Law, vols. I and II (Cambridge, Cambridge University Press, 2005). </w:t>
      </w:r>
    </w:p>
  </w:footnote>
  <w:footnote w:id="382">
    <w:p w:rsidR="00A3158E" w:rsidRPr="00D97463" w:rsidRDefault="00A3158E" w:rsidP="00D97463">
      <w:pPr>
        <w:pStyle w:val="FootnoteText"/>
        <w:ind w:right="1260"/>
      </w:pPr>
      <w:r w:rsidRPr="00D97463">
        <w:tab/>
      </w:r>
      <w:r w:rsidRPr="00D97463">
        <w:rPr>
          <w:rStyle w:val="FootnoteReference"/>
        </w:rPr>
        <w:footnoteRef/>
      </w:r>
      <w:r w:rsidRPr="00D97463">
        <w:tab/>
        <w:t>At its 2940th meeting, on 20 July 2007 (</w:t>
      </w:r>
      <w:r w:rsidRPr="00D97463">
        <w:rPr>
          <w:i/>
          <w:iCs/>
        </w:rPr>
        <w:t xml:space="preserve">Official Records of the General Assembly, Sixty-second Session, Supplement No. 10 </w:t>
      </w:r>
      <w:r w:rsidRPr="00D97463">
        <w:t>(</w:t>
      </w:r>
      <w:hyperlink r:id="rId90" w:history="1">
        <w:r w:rsidRPr="00D97463">
          <w:rPr>
            <w:rStyle w:val="Hyperlink"/>
          </w:rPr>
          <w:t>A/62/10</w:t>
        </w:r>
      </w:hyperlink>
      <w:r w:rsidRPr="00D97463">
        <w:t>), para. 376). The General Assembly, in paragraph 7 of its resolution 62/66 of 6 December 2007, took note of the decision of the Commission to include the topic in its programme of work. The topic had been included in the long-term programme of work of the Commission during its fifty-eighth session (2006), on the basis of the proposal contained in annex A of the report of the Commission (</w:t>
      </w:r>
      <w:r w:rsidRPr="00D97463">
        <w:rPr>
          <w:i/>
          <w:iCs/>
        </w:rPr>
        <w:t xml:space="preserve">Official Records of the General Assembly, Sixty-first Session, Supplement No. 10 </w:t>
      </w:r>
      <w:r w:rsidRPr="00D97463">
        <w:t>(</w:t>
      </w:r>
      <w:hyperlink r:id="rId91" w:history="1">
        <w:r w:rsidRPr="00D97463">
          <w:rPr>
            <w:rStyle w:val="Hyperlink"/>
          </w:rPr>
          <w:t>A/61/10</w:t>
        </w:r>
      </w:hyperlink>
      <w:r w:rsidRPr="00D97463">
        <w:t>), para. 257).</w:t>
      </w:r>
    </w:p>
  </w:footnote>
  <w:footnote w:id="38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r w:rsidRPr="00D97463">
        <w:t xml:space="preserve">, </w:t>
      </w:r>
      <w:r w:rsidRPr="00D97463">
        <w:rPr>
          <w:i/>
          <w:iCs/>
        </w:rPr>
        <w:t>Sixty-second Session</w:t>
      </w:r>
      <w:r w:rsidRPr="00D97463">
        <w:t xml:space="preserve">, </w:t>
      </w:r>
      <w:r w:rsidRPr="00D97463">
        <w:rPr>
          <w:i/>
          <w:iCs/>
        </w:rPr>
        <w:t xml:space="preserve">Supplement No. 10 </w:t>
      </w:r>
      <w:r w:rsidRPr="00D97463">
        <w:t>(</w:t>
      </w:r>
      <w:hyperlink r:id="rId92" w:history="1">
        <w:r w:rsidRPr="00D97463">
          <w:rPr>
            <w:rStyle w:val="Hyperlink"/>
          </w:rPr>
          <w:t>A/62/10</w:t>
        </w:r>
      </w:hyperlink>
      <w:r w:rsidRPr="00D97463">
        <w:t xml:space="preserve">), para. 386. For the memorandum prepared by the Secretariat, see </w:t>
      </w:r>
      <w:hyperlink r:id="rId93" w:history="1">
        <w:r w:rsidRPr="00D97463">
          <w:rPr>
            <w:rStyle w:val="Hyperlink"/>
          </w:rPr>
          <w:t>A/CN.4/596</w:t>
        </w:r>
      </w:hyperlink>
      <w:r w:rsidRPr="00D97463">
        <w:t xml:space="preserve"> and </w:t>
      </w:r>
      <w:hyperlink r:id="rId94" w:history="1">
        <w:r w:rsidRPr="00D97463">
          <w:rPr>
            <w:rStyle w:val="Hyperlink"/>
          </w:rPr>
          <w:t>Corr.1</w:t>
        </w:r>
      </w:hyperlink>
      <w:r w:rsidRPr="00D97463">
        <w:t>.</w:t>
      </w:r>
    </w:p>
  </w:footnote>
  <w:footnote w:id="384">
    <w:p w:rsidR="00A3158E" w:rsidRPr="00D97463" w:rsidRDefault="00A3158E" w:rsidP="00D97463">
      <w:pPr>
        <w:pStyle w:val="FootnoteText"/>
        <w:ind w:right="1260"/>
      </w:pPr>
      <w:r w:rsidRPr="00D97463">
        <w:tab/>
      </w:r>
      <w:r w:rsidRPr="00D97463">
        <w:rPr>
          <w:rStyle w:val="FootnoteReference"/>
        </w:rPr>
        <w:footnoteRef/>
      </w:r>
      <w:r w:rsidRPr="00D97463">
        <w:tab/>
      </w:r>
      <w:hyperlink r:id="rId95" w:history="1">
        <w:r w:rsidRPr="00D97463">
          <w:rPr>
            <w:rStyle w:val="Hyperlink"/>
          </w:rPr>
          <w:t>A/CN.4/601</w:t>
        </w:r>
      </w:hyperlink>
      <w:r w:rsidRPr="00D97463">
        <w:t xml:space="preserve"> (preliminary report); </w:t>
      </w:r>
      <w:hyperlink r:id="rId96" w:history="1">
        <w:r w:rsidRPr="00D97463">
          <w:rPr>
            <w:rStyle w:val="Hyperlink"/>
          </w:rPr>
          <w:t>A/CN.4/631</w:t>
        </w:r>
      </w:hyperlink>
      <w:r w:rsidRPr="00D97463">
        <w:t xml:space="preserve"> (second report); and </w:t>
      </w:r>
      <w:hyperlink r:id="rId97" w:history="1">
        <w:r w:rsidRPr="00D97463">
          <w:rPr>
            <w:rStyle w:val="Hyperlink"/>
          </w:rPr>
          <w:t>A/CN.4/646</w:t>
        </w:r>
      </w:hyperlink>
      <w:r w:rsidRPr="00D97463">
        <w:t xml:space="preserve"> (third report).</w:t>
      </w:r>
    </w:p>
  </w:footnote>
  <w:footnote w:id="385">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Official Records of the General Assembly, Sixty-fourth Session, Supplement No. 10</w:t>
      </w:r>
      <w:r w:rsidRPr="00D97463">
        <w:t xml:space="preserve"> (</w:t>
      </w:r>
      <w:hyperlink r:id="rId98" w:history="1">
        <w:r w:rsidRPr="00D97463">
          <w:rPr>
            <w:rStyle w:val="Hyperlink"/>
          </w:rPr>
          <w:t>A/64/10</w:t>
        </w:r>
      </w:hyperlink>
      <w:r w:rsidRPr="00D97463">
        <w:t xml:space="preserve">), para. 207; and </w:t>
      </w:r>
      <w:r w:rsidRPr="00D97463">
        <w:rPr>
          <w:i/>
          <w:iCs/>
        </w:rPr>
        <w:t>ibid.</w:t>
      </w:r>
      <w:r w:rsidRPr="00D97463">
        <w:t xml:space="preserve">, </w:t>
      </w:r>
      <w:r>
        <w:rPr>
          <w:i/>
          <w:iCs/>
        </w:rPr>
        <w:t xml:space="preserve">Sixty-fifth Session, Supplement No. 10 </w:t>
      </w:r>
      <w:r w:rsidRPr="00D97463">
        <w:t>(</w:t>
      </w:r>
      <w:hyperlink r:id="rId99" w:history="1">
        <w:r w:rsidRPr="00D97463">
          <w:rPr>
            <w:rStyle w:val="Hyperlink"/>
          </w:rPr>
          <w:t>A/65/10</w:t>
        </w:r>
      </w:hyperlink>
      <w:r w:rsidRPr="00D97463">
        <w:t>), para. 343.</w:t>
      </w:r>
    </w:p>
  </w:footnote>
  <w:footnote w:id="386">
    <w:p w:rsidR="00A3158E" w:rsidRPr="00D97463" w:rsidRDefault="00A3158E" w:rsidP="00D97463">
      <w:pPr>
        <w:pStyle w:val="FootnoteText"/>
        <w:ind w:right="1260"/>
      </w:pPr>
      <w:r w:rsidRPr="00D97463">
        <w:tab/>
      </w:r>
      <w:r w:rsidRPr="00D97463">
        <w:rPr>
          <w:rStyle w:val="FootnoteReference"/>
        </w:rPr>
        <w:footnoteRef/>
      </w:r>
      <w:r w:rsidRPr="00D97463">
        <w:tab/>
      </w:r>
      <w:hyperlink r:id="rId100" w:history="1">
        <w:r w:rsidRPr="00D97463">
          <w:rPr>
            <w:rStyle w:val="Hyperlink"/>
          </w:rPr>
          <w:t>A/CN.4/654</w:t>
        </w:r>
      </w:hyperlink>
      <w:r w:rsidRPr="00D97463">
        <w:t xml:space="preserve"> (preliminary report); </w:t>
      </w:r>
      <w:hyperlink r:id="rId101" w:history="1">
        <w:r w:rsidRPr="00D97463">
          <w:rPr>
            <w:rStyle w:val="Hyperlink"/>
          </w:rPr>
          <w:t>A/CN.4/661</w:t>
        </w:r>
      </w:hyperlink>
      <w:r w:rsidRPr="00D97463">
        <w:t xml:space="preserve"> (second report) and </w:t>
      </w:r>
      <w:hyperlink r:id="rId102" w:history="1">
        <w:r w:rsidRPr="00D97463">
          <w:rPr>
            <w:rStyle w:val="Hyperlink"/>
          </w:rPr>
          <w:t>A/CN.4/673</w:t>
        </w:r>
      </w:hyperlink>
      <w:r w:rsidRPr="00D97463">
        <w:t xml:space="preserve"> and </w:t>
      </w:r>
      <w:hyperlink r:id="rId103" w:history="1">
        <w:r w:rsidRPr="00D97463">
          <w:rPr>
            <w:rStyle w:val="Hyperlink"/>
          </w:rPr>
          <w:t>Corr.1</w:t>
        </w:r>
      </w:hyperlink>
      <w:r w:rsidRPr="00D97463">
        <w:t xml:space="preserve"> (third report).</w:t>
      </w:r>
    </w:p>
  </w:footnote>
  <w:footnote w:id="387">
    <w:p w:rsidR="00A3158E" w:rsidRPr="00D97463" w:rsidRDefault="00A3158E" w:rsidP="00D97463">
      <w:pPr>
        <w:pStyle w:val="FootnoteText"/>
        <w:ind w:right="1260"/>
      </w:pPr>
      <w:r w:rsidRPr="00D97463">
        <w:rPr>
          <w:i/>
          <w:iCs/>
        </w:rPr>
        <w:tab/>
      </w:r>
      <w:r w:rsidRPr="00D97463">
        <w:rPr>
          <w:rStyle w:val="FootnoteReference"/>
        </w:rPr>
        <w:footnoteRef/>
      </w:r>
      <w:r w:rsidRPr="00D97463">
        <w:rPr>
          <w:i/>
          <w:iCs/>
        </w:rPr>
        <w:tab/>
        <w:t>Official Records of the General Assembly, Sixty-eighth Session, Supplement No. 10</w:t>
      </w:r>
      <w:r w:rsidRPr="00D97463">
        <w:t xml:space="preserve"> (</w:t>
      </w:r>
      <w:hyperlink r:id="rId104" w:history="1">
        <w:r w:rsidRPr="00D97463">
          <w:rPr>
            <w:rStyle w:val="Hyperlink"/>
          </w:rPr>
          <w:t>A/68/10</w:t>
        </w:r>
      </w:hyperlink>
      <w:r w:rsidRPr="00D97463">
        <w:t xml:space="preserve">), paras. 48 and 49. At its 3174th meeting, on 7 June 2013, the Commission received the report of the Drafting Committee and provisionally adopted draft articles 1, 3 and 4 and at its 3193rd to 3196th meetings, on 6 and 7 August 2013, it adopted the commentaries thereto. </w:t>
      </w:r>
      <w:r w:rsidRPr="00D97463">
        <w:rPr>
          <w:i/>
          <w:iCs/>
        </w:rPr>
        <w:t>Official Records of the General Assembly, Sixty-ninth Session, Supplement No. 10</w:t>
      </w:r>
      <w:r w:rsidRPr="00D97463">
        <w:t xml:space="preserve"> (</w:t>
      </w:r>
      <w:hyperlink r:id="rId105" w:history="1">
        <w:r w:rsidRPr="00D97463">
          <w:rPr>
            <w:rStyle w:val="Hyperlink"/>
          </w:rPr>
          <w:t>A/69/10</w:t>
        </w:r>
      </w:hyperlink>
      <w:r w:rsidRPr="00D97463">
        <w:t>), paras. 48 and 49. At its 3231st meeting, on 25 July 2014, the Commission received the report of the Drafting Committee and provisionally adopted draft articles 2 (e) and 5 and at its 3240th to 3242nd meetings, on 6 and 7 August 2014, it adopted the commentaries thereto.</w:t>
      </w:r>
    </w:p>
  </w:footnote>
  <w:footnote w:id="388">
    <w:p w:rsidR="00A3158E" w:rsidRPr="00D97463" w:rsidRDefault="00A3158E" w:rsidP="00D97463">
      <w:pPr>
        <w:pStyle w:val="FootnoteText"/>
        <w:spacing w:after="60"/>
        <w:ind w:right="1260"/>
      </w:pPr>
      <w:r w:rsidRPr="00D97463">
        <w:tab/>
      </w:r>
      <w:r w:rsidRPr="00D97463">
        <w:rPr>
          <w:rStyle w:val="FootnoteReference"/>
        </w:rPr>
        <w:footnoteRef/>
      </w:r>
      <w:r w:rsidRPr="00D97463">
        <w:tab/>
        <w:t>The text proposed by the Special Rapporteur in her fourth report, as corrected, read as follows:</w:t>
      </w:r>
    </w:p>
    <w:p w:rsidR="00A3158E" w:rsidRPr="00D97463" w:rsidRDefault="00A3158E" w:rsidP="00D97463">
      <w:pPr>
        <w:pStyle w:val="IndentFootnot"/>
      </w:pPr>
      <w:r w:rsidRPr="00D97463">
        <w:t>“</w:t>
      </w:r>
      <w:r w:rsidRPr="00D97463">
        <w:rPr>
          <w:b/>
          <w:bCs/>
        </w:rPr>
        <w:t>Draft article 2</w:t>
      </w:r>
      <w:r w:rsidRPr="00D97463">
        <w:rPr>
          <w:b/>
          <w:bCs/>
        </w:rPr>
        <w:br/>
        <w:t>Definitions</w:t>
      </w:r>
    </w:p>
    <w:p w:rsidR="00A3158E" w:rsidRPr="00D97463" w:rsidRDefault="00A3158E" w:rsidP="00D97463">
      <w:pPr>
        <w:pStyle w:val="IndentFootnot"/>
      </w:pPr>
      <w:r>
        <w:tab/>
      </w:r>
      <w:r w:rsidRPr="00D97463">
        <w:t>For the purposes of the present draft articles:</w:t>
      </w:r>
    </w:p>
    <w:p w:rsidR="00A3158E" w:rsidRPr="00D97463" w:rsidRDefault="00A3158E" w:rsidP="00D97463">
      <w:pPr>
        <w:pStyle w:val="IndentFootnot"/>
      </w:pPr>
      <w:r w:rsidRPr="00D97463">
        <w:tab/>
        <w:t>(f)</w:t>
      </w:r>
      <w:r w:rsidRPr="00D97463">
        <w:tab/>
        <w:t xml:space="preserve">An </w:t>
      </w:r>
      <w:r>
        <w:t>‘</w:t>
      </w:r>
      <w:r w:rsidRPr="00D97463">
        <w:t>act performed in an official capacity</w:t>
      </w:r>
      <w:r>
        <w:t>’</w:t>
      </w:r>
      <w:r w:rsidRPr="00D97463">
        <w:t xml:space="preserve"> means an act performed by a State official exercising elements of the governmental authority that, by its nature, constitutes a crime in respect of which the forum State could exercise its criminal jurisdiction.</w:t>
      </w:r>
    </w:p>
    <w:p w:rsidR="00A3158E" w:rsidRPr="00D97463" w:rsidRDefault="00A3158E" w:rsidP="00D97463">
      <w:pPr>
        <w:pStyle w:val="IndentFootnot"/>
        <w:rPr>
          <w:b/>
          <w:bCs/>
        </w:rPr>
      </w:pPr>
      <w:r w:rsidRPr="00D97463">
        <w:rPr>
          <w:b/>
          <w:bCs/>
        </w:rPr>
        <w:t>Draft article 6</w:t>
      </w:r>
      <w:r w:rsidRPr="00D97463">
        <w:rPr>
          <w:b/>
          <w:bCs/>
        </w:rPr>
        <w:br/>
        <w:t xml:space="preserve">Scope of immunity </w:t>
      </w:r>
      <w:r w:rsidRPr="00D97463">
        <w:rPr>
          <w:b/>
          <w:bCs/>
          <w:i/>
          <w:iCs/>
        </w:rPr>
        <w:t>ratione materiae</w:t>
      </w:r>
    </w:p>
    <w:p w:rsidR="00A3158E" w:rsidRPr="00D97463" w:rsidRDefault="00A3158E" w:rsidP="00D97463">
      <w:pPr>
        <w:pStyle w:val="IndentFootnot"/>
      </w:pPr>
      <w:r w:rsidRPr="00D97463">
        <w:t>1.</w:t>
      </w:r>
      <w:r w:rsidRPr="00D97463">
        <w:tab/>
        <w:t xml:space="preserve">State officials, acting as such, enjoy immunity </w:t>
      </w:r>
      <w:r w:rsidRPr="00D97463">
        <w:rPr>
          <w:i/>
          <w:iCs/>
        </w:rPr>
        <w:t>ratione materiae</w:t>
      </w:r>
      <w:r w:rsidRPr="00D97463">
        <w:t>, both while they are in office and after their term of office has ended.</w:t>
      </w:r>
    </w:p>
    <w:p w:rsidR="00A3158E" w:rsidRPr="00D97463" w:rsidRDefault="00A3158E" w:rsidP="00D97463">
      <w:pPr>
        <w:pStyle w:val="IndentFootnot"/>
      </w:pPr>
      <w:r w:rsidRPr="00D97463">
        <w:t>2.</w:t>
      </w:r>
      <w:r w:rsidRPr="00D97463">
        <w:tab/>
        <w:t xml:space="preserve">Such immunity </w:t>
      </w:r>
      <w:r w:rsidRPr="00D97463">
        <w:rPr>
          <w:i/>
          <w:iCs/>
        </w:rPr>
        <w:t>ratione materiae</w:t>
      </w:r>
      <w:r w:rsidRPr="00D97463">
        <w:t xml:space="preserve"> only covers acts performed in an official capacity by State officials during their term of office.</w:t>
      </w:r>
    </w:p>
    <w:p w:rsidR="00A3158E" w:rsidRPr="00D97463" w:rsidRDefault="00A3158E" w:rsidP="00D97463">
      <w:pPr>
        <w:pStyle w:val="IndentFootnot"/>
        <w:spacing w:after="0"/>
      </w:pPr>
      <w:r w:rsidRPr="00D97463">
        <w:t>3.</w:t>
      </w:r>
      <w:r w:rsidRPr="00D97463">
        <w:tab/>
        <w:t xml:space="preserve">Immunity </w:t>
      </w:r>
      <w:r w:rsidRPr="00D97463">
        <w:rPr>
          <w:i/>
          <w:iCs/>
        </w:rPr>
        <w:t>ratione materiae</w:t>
      </w:r>
      <w:r w:rsidRPr="00D97463">
        <w:t xml:space="preserve"> applies to former Heads of State, former Heads of Government and former Ministers for Foreign Affairs, under the conditions set out in paragraphs 1 and 2 of this draft article.”</w:t>
      </w:r>
    </w:p>
  </w:footnote>
  <w:footnote w:id="38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The statement of the Chairman of the Drafting Committee is available on the website of the Commission, located at &lt;http://legal.un.org/ilc&gt;.</w:t>
      </w:r>
    </w:p>
  </w:footnote>
  <w:footnote w:id="390">
    <w:p w:rsidR="00A3158E" w:rsidRPr="00D97463" w:rsidRDefault="00A3158E" w:rsidP="00D97463">
      <w:pPr>
        <w:pStyle w:val="FootnoteText"/>
        <w:spacing w:after="60"/>
        <w:ind w:right="1260"/>
      </w:pPr>
      <w:r w:rsidRPr="00D97463">
        <w:tab/>
      </w:r>
      <w:r w:rsidRPr="00D97463">
        <w:rPr>
          <w:rStyle w:val="FootnoteReference"/>
        </w:rPr>
        <w:footnoteRef/>
      </w:r>
      <w:r w:rsidRPr="00D97463">
        <w:t xml:space="preserve"> </w:t>
      </w:r>
      <w:r w:rsidRPr="00D97463">
        <w:tab/>
        <w:t>The text provisionally adopted by the Drafting Committee read as follows:</w:t>
      </w:r>
    </w:p>
    <w:p w:rsidR="00A3158E" w:rsidRPr="00D97463" w:rsidRDefault="00A3158E" w:rsidP="00D97463">
      <w:pPr>
        <w:pStyle w:val="IndentFootnot"/>
      </w:pPr>
      <w:r w:rsidRPr="00D97463">
        <w:t>“</w:t>
      </w:r>
      <w:r w:rsidRPr="00D97463">
        <w:rPr>
          <w:b/>
          <w:bCs/>
        </w:rPr>
        <w:t>Draft article 2</w:t>
      </w:r>
      <w:r w:rsidRPr="00D97463">
        <w:rPr>
          <w:b/>
          <w:bCs/>
        </w:rPr>
        <w:br/>
        <w:t>Definitions</w:t>
      </w:r>
    </w:p>
    <w:p w:rsidR="00A3158E" w:rsidRPr="00D97463" w:rsidRDefault="00A3158E" w:rsidP="00D97463">
      <w:pPr>
        <w:pStyle w:val="IndentFootnot"/>
      </w:pPr>
      <w:r>
        <w:tab/>
      </w:r>
      <w:r w:rsidRPr="00D97463">
        <w:t xml:space="preserve">For the purposes of the present draft articles: </w:t>
      </w:r>
    </w:p>
    <w:p w:rsidR="00A3158E" w:rsidRPr="00D97463" w:rsidRDefault="00A3158E" w:rsidP="00D97463">
      <w:pPr>
        <w:pStyle w:val="IndentFootnot"/>
      </w:pPr>
      <w:r w:rsidRPr="00D97463">
        <w:t>...</w:t>
      </w:r>
    </w:p>
    <w:p w:rsidR="00A3158E" w:rsidRPr="00D97463" w:rsidRDefault="00A3158E" w:rsidP="00D97463">
      <w:pPr>
        <w:pStyle w:val="IndentFootnot"/>
      </w:pPr>
      <w:r w:rsidRPr="00D97463">
        <w:tab/>
        <w:t xml:space="preserve">(f) </w:t>
      </w:r>
      <w:r w:rsidRPr="00D97463">
        <w:tab/>
        <w:t xml:space="preserve">An </w:t>
      </w:r>
      <w:r>
        <w:t>‘</w:t>
      </w:r>
      <w:r w:rsidRPr="00D97463">
        <w:t>act performed in an official capacity</w:t>
      </w:r>
      <w:r>
        <w:t>’</w:t>
      </w:r>
      <w:r w:rsidRPr="00D97463">
        <w:t xml:space="preserve"> means any act performed by a State official in the exercise of State authority.</w:t>
      </w:r>
    </w:p>
    <w:p w:rsidR="00A3158E" w:rsidRPr="00D97463" w:rsidRDefault="00A3158E" w:rsidP="00D97463">
      <w:pPr>
        <w:pStyle w:val="IndentFootnot"/>
        <w:rPr>
          <w:b/>
          <w:bCs/>
        </w:rPr>
      </w:pPr>
      <w:r w:rsidRPr="00D97463">
        <w:rPr>
          <w:b/>
          <w:bCs/>
        </w:rPr>
        <w:t>Draft article 6</w:t>
      </w:r>
      <w:r w:rsidRPr="00D97463">
        <w:rPr>
          <w:b/>
          <w:bCs/>
        </w:rPr>
        <w:br/>
        <w:t xml:space="preserve">Scope of immunity </w:t>
      </w:r>
      <w:r w:rsidRPr="00D97463">
        <w:rPr>
          <w:b/>
          <w:bCs/>
          <w:i/>
        </w:rPr>
        <w:t>ratione materiae</w:t>
      </w:r>
    </w:p>
    <w:p w:rsidR="00A3158E" w:rsidRPr="00D97463" w:rsidRDefault="00A3158E" w:rsidP="00D97463">
      <w:pPr>
        <w:pStyle w:val="IndentFootnot"/>
      </w:pPr>
      <w:r w:rsidRPr="00D97463">
        <w:t>1.</w:t>
      </w:r>
      <w:r w:rsidRPr="00D97463">
        <w:tab/>
        <w:t xml:space="preserve">State officials enjoy immunity </w:t>
      </w:r>
      <w:r w:rsidRPr="00D97463">
        <w:rPr>
          <w:i/>
          <w:iCs/>
        </w:rPr>
        <w:t>ratione materiae</w:t>
      </w:r>
      <w:r w:rsidRPr="00D97463">
        <w:t xml:space="preserve"> only with respect to acts performed in an official capacity.</w:t>
      </w:r>
    </w:p>
    <w:p w:rsidR="00A3158E" w:rsidRPr="00D97463" w:rsidRDefault="00A3158E" w:rsidP="00D97463">
      <w:pPr>
        <w:pStyle w:val="IndentFootnot"/>
      </w:pPr>
      <w:r w:rsidRPr="00D97463">
        <w:t>2.</w:t>
      </w:r>
      <w:r w:rsidRPr="00D97463">
        <w:tab/>
        <w:t xml:space="preserve">Immunity </w:t>
      </w:r>
      <w:r w:rsidRPr="00D97463">
        <w:rPr>
          <w:i/>
        </w:rPr>
        <w:t>ratione materiae</w:t>
      </w:r>
      <w:r w:rsidRPr="00D97463">
        <w:t xml:space="preserve"> with respect to acts performed in an official capacity continues to subsist after the individuals concerned have ceased to be State officials.</w:t>
      </w:r>
    </w:p>
    <w:p w:rsidR="00A3158E" w:rsidRPr="00D97463" w:rsidRDefault="00A3158E" w:rsidP="00D97463">
      <w:pPr>
        <w:pStyle w:val="IndentFootnot"/>
      </w:pPr>
      <w:r w:rsidRPr="00D97463">
        <w:t>3.</w:t>
      </w:r>
      <w:r w:rsidRPr="00D97463">
        <w:tab/>
        <w:t>Individuals who enjoyed immunity ratione personae in accordance with draft article 4, whose term of office has come to an end, continue to enjoy immunity with respect to acts performed in an official capacity during such term of office.”</w:t>
      </w:r>
    </w:p>
  </w:footnote>
  <w:footnote w:id="391">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Arrest Warrant of 11 April 2000 (Democratic Republic of the Congo v. Belgium)</w:t>
      </w:r>
      <w:r w:rsidRPr="00D97463">
        <w:t xml:space="preserve">, Judgment, </w:t>
      </w:r>
      <w:r w:rsidRPr="00D97463">
        <w:rPr>
          <w:i/>
          <w:iCs/>
        </w:rPr>
        <w:t>I.C.J. Reports 2002</w:t>
      </w:r>
      <w:r w:rsidRPr="00D97463">
        <w:t>, p. 3.</w:t>
      </w:r>
    </w:p>
  </w:footnote>
  <w:footnote w:id="39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Certain Questions of Mutual Assistance in Criminal Matters (Djibouti v. France)</w:t>
      </w:r>
      <w:r w:rsidRPr="00D97463">
        <w:t xml:space="preserve">, Judgment, </w:t>
      </w:r>
      <w:r w:rsidRPr="00D97463">
        <w:rPr>
          <w:i/>
          <w:iCs/>
        </w:rPr>
        <w:t>I.C.J. Reports 2008</w:t>
      </w:r>
      <w:r w:rsidRPr="00D97463">
        <w:t>, p. 177.</w:t>
      </w:r>
    </w:p>
  </w:footnote>
  <w:footnote w:id="393">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Arrest Warrant of 11 April 2000 (Democratic Republic of the Congo v. Belgium)</w:t>
      </w:r>
      <w:r w:rsidRPr="00D97463">
        <w:t>, Judgment,</w:t>
      </w:r>
      <w:r w:rsidRPr="00D97463">
        <w:rPr>
          <w:i/>
          <w:iCs/>
        </w:rPr>
        <w:t xml:space="preserve"> I.C.J. Reports 2002</w:t>
      </w:r>
      <w:r w:rsidRPr="00D97463">
        <w:t>, p.</w:t>
      </w:r>
      <w:r>
        <w:t xml:space="preserve"> </w:t>
      </w:r>
      <w:r w:rsidRPr="00D97463">
        <w:t>2, at p. 89, para. 85.</w:t>
      </w:r>
    </w:p>
  </w:footnote>
  <w:footnote w:id="394">
    <w:p w:rsidR="00A3158E" w:rsidRPr="00D97463" w:rsidRDefault="00A3158E" w:rsidP="00D97463">
      <w:pPr>
        <w:pStyle w:val="FootnoteText"/>
        <w:spacing w:after="60"/>
        <w:ind w:right="1260"/>
      </w:pPr>
      <w:r w:rsidRPr="00D97463">
        <w:tab/>
      </w:r>
      <w:r w:rsidRPr="00D97463">
        <w:rPr>
          <w:rStyle w:val="FootnoteReference"/>
        </w:rPr>
        <w:footnoteRef/>
      </w:r>
      <w:r w:rsidRPr="00D97463">
        <w:t xml:space="preserve"> </w:t>
      </w:r>
      <w:r w:rsidRPr="00D97463">
        <w:tab/>
        <w:t>The text proposed by the Special Rapporteur read as follows:</w:t>
      </w:r>
    </w:p>
    <w:p w:rsidR="00A3158E" w:rsidRPr="00D97463" w:rsidRDefault="00A3158E" w:rsidP="00D97463">
      <w:pPr>
        <w:pStyle w:val="IndentFootnot"/>
        <w:rPr>
          <w:b/>
          <w:bCs/>
        </w:rPr>
      </w:pPr>
      <w:r w:rsidRPr="00D97463">
        <w:rPr>
          <w:b/>
          <w:bCs/>
        </w:rPr>
        <w:t>Draft guideline 1</w:t>
      </w:r>
    </w:p>
    <w:p w:rsidR="00A3158E" w:rsidRPr="00D97463" w:rsidRDefault="00A3158E" w:rsidP="00D97463">
      <w:pPr>
        <w:pStyle w:val="IndentFootnot"/>
      </w:pPr>
      <w:r w:rsidRPr="00D97463">
        <w:tab/>
        <w:t>States and international organizations may provisionally apply a treaty, or parts thereof, when the treaty itself so provides, or when they have in some other manner so agreed, provided that the internal law of the States or the rules of the international organizations do not prohibit such provisional application.</w:t>
      </w:r>
    </w:p>
    <w:p w:rsidR="00A3158E" w:rsidRPr="00D97463" w:rsidRDefault="00A3158E" w:rsidP="00D97463">
      <w:pPr>
        <w:pStyle w:val="IndentFootnot"/>
        <w:rPr>
          <w:b/>
          <w:bCs/>
        </w:rPr>
      </w:pPr>
      <w:r w:rsidRPr="00D97463">
        <w:rPr>
          <w:b/>
          <w:bCs/>
        </w:rPr>
        <w:t>Draft guideline 2</w:t>
      </w:r>
    </w:p>
    <w:p w:rsidR="00A3158E" w:rsidRPr="00D97463" w:rsidRDefault="00A3158E" w:rsidP="00D97463">
      <w:pPr>
        <w:pStyle w:val="IndentFootnot"/>
      </w:pPr>
      <w:r w:rsidRPr="00D97463">
        <w:tab/>
        <w:t>The agreement for the provisional application of a treaty, or parts thereof, may be derived from the terms of the treaty, or may be established by means of a separate agreement, or by other means such as a resolution adopted by an international conference, or by any other arrangement between the States or international organizations.</w:t>
      </w:r>
    </w:p>
    <w:p w:rsidR="00A3158E" w:rsidRPr="00D97463" w:rsidRDefault="00A3158E" w:rsidP="00D97463">
      <w:pPr>
        <w:pStyle w:val="IndentFootnot"/>
        <w:rPr>
          <w:b/>
          <w:bCs/>
        </w:rPr>
      </w:pPr>
      <w:r w:rsidRPr="00D97463">
        <w:rPr>
          <w:b/>
          <w:bCs/>
        </w:rPr>
        <w:t>Draft guideline 3</w:t>
      </w:r>
    </w:p>
    <w:p w:rsidR="00A3158E" w:rsidRPr="00D97463" w:rsidRDefault="00A3158E" w:rsidP="00D97463">
      <w:pPr>
        <w:pStyle w:val="IndentFootnot"/>
      </w:pPr>
      <w:r w:rsidRPr="00D97463">
        <w:tab/>
        <w:t>A treaty may be provisionally applied as from the time of signature, ratification, accession or acceptance, or as from any other time agreed by the States or international organizations, having regard to the terms of the treaty or the terms agreed by the negotiating States or negotiating international organizations.</w:t>
      </w:r>
    </w:p>
    <w:p w:rsidR="00A3158E" w:rsidRPr="00D97463" w:rsidRDefault="00A3158E" w:rsidP="00D97463">
      <w:pPr>
        <w:pStyle w:val="IndentFootnot"/>
        <w:rPr>
          <w:b/>
          <w:bCs/>
        </w:rPr>
      </w:pPr>
      <w:r w:rsidRPr="00D97463">
        <w:rPr>
          <w:b/>
          <w:bCs/>
        </w:rPr>
        <w:t>Draft guideline 4</w:t>
      </w:r>
    </w:p>
    <w:p w:rsidR="00A3158E" w:rsidRPr="00D97463" w:rsidRDefault="00A3158E" w:rsidP="00D97463">
      <w:pPr>
        <w:pStyle w:val="IndentFootnot"/>
      </w:pPr>
      <w:r w:rsidRPr="00D97463">
        <w:tab/>
        <w:t>The provisional application of a treaty has legal effects.</w:t>
      </w:r>
    </w:p>
    <w:p w:rsidR="00A3158E" w:rsidRPr="00D97463" w:rsidRDefault="00A3158E" w:rsidP="00D97463">
      <w:pPr>
        <w:pStyle w:val="IndentFootnot"/>
        <w:rPr>
          <w:b/>
          <w:bCs/>
        </w:rPr>
      </w:pPr>
      <w:r w:rsidRPr="00D97463">
        <w:rPr>
          <w:b/>
          <w:bCs/>
        </w:rPr>
        <w:t>Draft guideline 5</w:t>
      </w:r>
    </w:p>
    <w:p w:rsidR="00A3158E" w:rsidRPr="00D97463" w:rsidRDefault="00A3158E" w:rsidP="00D97463">
      <w:pPr>
        <w:pStyle w:val="IndentFootnot"/>
      </w:pPr>
      <w:r w:rsidRPr="00D97463">
        <w:tab/>
        <w:t>The obligations deriving from the provisional application of a treaty, or parts thereof, continue to apply until: (i) the treaty enters into force; or (ii) the provisional application is terminated pursuant to article 25, paragraph 2, of the Vienna Convention on the Law of Treaties or the Vienna Convention on the Law of Treaties between States and International Organizations or between International Organizations, as appropriate.</w:t>
      </w:r>
    </w:p>
    <w:p w:rsidR="00A3158E" w:rsidRPr="00D97463" w:rsidRDefault="00A3158E" w:rsidP="00D97463">
      <w:pPr>
        <w:pStyle w:val="IndentFootnot"/>
        <w:rPr>
          <w:b/>
          <w:bCs/>
        </w:rPr>
      </w:pPr>
      <w:r w:rsidRPr="00D97463">
        <w:rPr>
          <w:b/>
          <w:bCs/>
        </w:rPr>
        <w:t>Draft guideline 6</w:t>
      </w:r>
    </w:p>
    <w:p w:rsidR="00A3158E" w:rsidRPr="00D97463" w:rsidRDefault="00A3158E" w:rsidP="00D97463">
      <w:pPr>
        <w:pStyle w:val="IndentFootnot"/>
        <w:spacing w:after="0"/>
      </w:pPr>
      <w:r w:rsidRPr="00D97463">
        <w:tab/>
        <w:t>The breach of an obligation deriving from the provisional application of a treaty, or parts thereof, engages the international responsibility of the State or international organization.</w:t>
      </w:r>
    </w:p>
  </w:footnote>
  <w:footnote w:id="39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Located at &lt;http://legal.un.org/ilc&gt;.</w:t>
      </w:r>
    </w:p>
  </w:footnote>
  <w:footnote w:id="396">
    <w:p w:rsidR="00A3158E" w:rsidRPr="00D97463" w:rsidRDefault="00A3158E" w:rsidP="00D97463">
      <w:pPr>
        <w:pStyle w:val="FootnoteText"/>
        <w:ind w:right="1260"/>
        <w:rPr>
          <w:lang w:eastAsia="en-GB"/>
        </w:rPr>
      </w:pPr>
      <w:r w:rsidRPr="00D97463">
        <w:rPr>
          <w:bCs/>
        </w:rPr>
        <w:tab/>
      </w:r>
      <w:r w:rsidRPr="00D97463">
        <w:rPr>
          <w:rStyle w:val="FootnoteReference"/>
        </w:rPr>
        <w:footnoteRef/>
      </w:r>
      <w:r w:rsidRPr="00D97463">
        <w:rPr>
          <w:bCs/>
        </w:rPr>
        <w:tab/>
        <w:t>The Planning Group was composed of:</w:t>
      </w:r>
      <w:r w:rsidRPr="00D97463">
        <w:t xml:space="preserve"> </w:t>
      </w:r>
      <w:r w:rsidRPr="00D97463">
        <w:rPr>
          <w:lang w:eastAsia="en-GB"/>
        </w:rPr>
        <w:t>Mr. A. S. Wako (Chairman), Mr. L. Caflisch, Mr. P. Comissário Afonso, Mr. A. El-Murtadi Suleiman Gouider, Ms. C. Escobar Hernández, Mr. M. Forteau, Mr. H.A. Hassouna, Mr. M.D. Hmoud, Mr. H. Huang, Ms. M.G. Jacobsson, Mr. K. Kittichaisaree, Mr. A. Laraba, Mr. D.M. McRae, Mr. S. Murase, Mr. S.D. Murphy, Mr. B.H. Niehaus, Mr. G. Nolte, Mr. K.G. Park, Mr. E. Petrič, Mr. P. Šturma, Mr. D.D. Tladi, Mr. N. Wisnumurti, Mr. M. Wood, and Mr. M. Vázquez-Bermúdez (</w:t>
      </w:r>
      <w:r w:rsidRPr="00D97463">
        <w:rPr>
          <w:i/>
          <w:lang w:eastAsia="en-GB"/>
        </w:rPr>
        <w:t>ex officio)</w:t>
      </w:r>
      <w:r w:rsidRPr="00D97463">
        <w:rPr>
          <w:lang w:eastAsia="en-GB"/>
        </w:rPr>
        <w:t xml:space="preserve">. </w:t>
      </w:r>
    </w:p>
  </w:footnote>
  <w:footnote w:id="397">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Official Records of the General Assembly</w:t>
      </w:r>
      <w:r w:rsidRPr="00D97463">
        <w:t>,</w:t>
      </w:r>
      <w:r w:rsidRPr="00D97463">
        <w:rPr>
          <w:i/>
          <w:iCs/>
          <w:sz w:val="18"/>
          <w:szCs w:val="18"/>
          <w:lang w:eastAsia="en-GB"/>
        </w:rPr>
        <w:t xml:space="preserve"> </w:t>
      </w:r>
      <w:r w:rsidRPr="00D97463">
        <w:rPr>
          <w:i/>
          <w:iCs/>
        </w:rPr>
        <w:t>Sixty-fourth Session</w:t>
      </w:r>
      <w:r w:rsidRPr="00D97463">
        <w:t xml:space="preserve">, </w:t>
      </w:r>
      <w:r w:rsidRPr="00D97463">
        <w:rPr>
          <w:i/>
          <w:iCs/>
        </w:rPr>
        <w:t xml:space="preserve">Supplement No. 10 </w:t>
      </w:r>
      <w:r w:rsidRPr="00D97463">
        <w:t>(</w:t>
      </w:r>
      <w:hyperlink r:id="rId106" w:history="1">
        <w:r w:rsidRPr="00D97463">
          <w:rPr>
            <w:rStyle w:val="Hyperlink"/>
          </w:rPr>
          <w:t>A/64/10</w:t>
        </w:r>
      </w:hyperlink>
      <w:r w:rsidRPr="00D97463">
        <w:t xml:space="preserve">), para. 231; </w:t>
      </w:r>
      <w:r w:rsidRPr="00D97463">
        <w:rPr>
          <w:i/>
          <w:iCs/>
        </w:rPr>
        <w:t>ibid.</w:t>
      </w:r>
      <w:r w:rsidRPr="00D97463">
        <w:t xml:space="preserve">, </w:t>
      </w:r>
      <w:r w:rsidRPr="00D97463">
        <w:rPr>
          <w:i/>
          <w:iCs/>
        </w:rPr>
        <w:t xml:space="preserve">Sixty fifth Session, Supplement No. 10 </w:t>
      </w:r>
      <w:r w:rsidRPr="00D97463">
        <w:t>(</w:t>
      </w:r>
      <w:hyperlink r:id="rId107" w:history="1">
        <w:r w:rsidRPr="00D97463">
          <w:rPr>
            <w:rStyle w:val="Hyperlink"/>
          </w:rPr>
          <w:t>A/65/10</w:t>
        </w:r>
      </w:hyperlink>
      <w:r w:rsidRPr="00D97463">
        <w:t xml:space="preserve">), paras. 390 to 393; </w:t>
      </w:r>
      <w:r w:rsidRPr="00D97463">
        <w:rPr>
          <w:i/>
          <w:iCs/>
        </w:rPr>
        <w:t>ibid.</w:t>
      </w:r>
      <w:r w:rsidRPr="00D97463">
        <w:t xml:space="preserve">, </w:t>
      </w:r>
      <w:r w:rsidRPr="00D97463">
        <w:rPr>
          <w:i/>
          <w:iCs/>
        </w:rPr>
        <w:t>Sixty-sixth Session, Supplement No.</w:t>
      </w:r>
      <w:r>
        <w:rPr>
          <w:i/>
          <w:iCs/>
        </w:rPr>
        <w:t xml:space="preserve"> </w:t>
      </w:r>
      <w:r w:rsidRPr="00D97463">
        <w:rPr>
          <w:i/>
          <w:iCs/>
        </w:rPr>
        <w:t xml:space="preserve">10 </w:t>
      </w:r>
      <w:r w:rsidRPr="00D97463">
        <w:t>(</w:t>
      </w:r>
      <w:hyperlink r:id="rId108" w:history="1">
        <w:r w:rsidRPr="00D97463">
          <w:rPr>
            <w:rStyle w:val="Hyperlink"/>
          </w:rPr>
          <w:t>A/66/10</w:t>
        </w:r>
      </w:hyperlink>
      <w:r w:rsidRPr="00D97463">
        <w:t xml:space="preserve">), paras. 392 to 398; </w:t>
      </w:r>
      <w:r w:rsidRPr="00D97463">
        <w:rPr>
          <w:i/>
          <w:iCs/>
        </w:rPr>
        <w:t>ibid.</w:t>
      </w:r>
      <w:r w:rsidRPr="00D97463">
        <w:t xml:space="preserve">, </w:t>
      </w:r>
      <w:r w:rsidRPr="00D97463">
        <w:rPr>
          <w:i/>
          <w:iCs/>
        </w:rPr>
        <w:t>Sixty-seventh Session</w:t>
      </w:r>
      <w:r w:rsidRPr="00D97463">
        <w:t xml:space="preserve">, </w:t>
      </w:r>
      <w:r w:rsidRPr="00D97463">
        <w:rPr>
          <w:i/>
          <w:iCs/>
        </w:rPr>
        <w:t xml:space="preserve">Supplement No. 10 </w:t>
      </w:r>
      <w:r w:rsidRPr="00D97463">
        <w:t>(</w:t>
      </w:r>
      <w:hyperlink r:id="rId109" w:history="1">
        <w:r w:rsidRPr="00D97463">
          <w:rPr>
            <w:rStyle w:val="Hyperlink"/>
          </w:rPr>
          <w:t>A/67/10</w:t>
        </w:r>
      </w:hyperlink>
      <w:r w:rsidRPr="00D97463">
        <w:t xml:space="preserve">), paras. 274 to 279; </w:t>
      </w:r>
      <w:r w:rsidRPr="00D97463">
        <w:rPr>
          <w:i/>
          <w:iCs/>
        </w:rPr>
        <w:t>ibid.</w:t>
      </w:r>
      <w:r w:rsidRPr="00D97463">
        <w:t xml:space="preserve">, </w:t>
      </w:r>
      <w:r w:rsidRPr="00D97463">
        <w:rPr>
          <w:i/>
          <w:iCs/>
        </w:rPr>
        <w:t>Sixty-eighth Session</w:t>
      </w:r>
      <w:r w:rsidRPr="00D97463">
        <w:t xml:space="preserve">, </w:t>
      </w:r>
      <w:r w:rsidRPr="00D97463">
        <w:rPr>
          <w:i/>
          <w:iCs/>
        </w:rPr>
        <w:t xml:space="preserve">Supplement No. 10 </w:t>
      </w:r>
      <w:r w:rsidRPr="00D97463">
        <w:t>(</w:t>
      </w:r>
      <w:hyperlink r:id="rId110" w:history="1">
        <w:r w:rsidRPr="00D97463">
          <w:rPr>
            <w:rStyle w:val="Hyperlink"/>
          </w:rPr>
          <w:t>A/68/10</w:t>
        </w:r>
      </w:hyperlink>
      <w:r w:rsidRPr="00D97463">
        <w:t>), paras. 171 to 179;</w:t>
      </w:r>
      <w:r w:rsidRPr="00D97463">
        <w:rPr>
          <w:i/>
          <w:iCs/>
        </w:rPr>
        <w:t xml:space="preserve"> ibid.</w:t>
      </w:r>
      <w:r w:rsidRPr="00D97463">
        <w:t xml:space="preserve">, </w:t>
      </w:r>
      <w:r w:rsidRPr="00D97463">
        <w:rPr>
          <w:i/>
          <w:iCs/>
        </w:rPr>
        <w:t>Sixty-ninth Session</w:t>
      </w:r>
      <w:r w:rsidRPr="00D97463">
        <w:t xml:space="preserve">, </w:t>
      </w:r>
      <w:r w:rsidRPr="00D97463">
        <w:rPr>
          <w:i/>
          <w:iCs/>
        </w:rPr>
        <w:t xml:space="preserve">Supplement No. 10 </w:t>
      </w:r>
      <w:r w:rsidRPr="00D97463">
        <w:t>(</w:t>
      </w:r>
      <w:hyperlink r:id="rId111" w:history="1">
        <w:r w:rsidRPr="00D97463">
          <w:rPr>
            <w:rStyle w:val="Hyperlink"/>
          </w:rPr>
          <w:t>A/69/10</w:t>
        </w:r>
      </w:hyperlink>
      <w:r w:rsidRPr="00D97463">
        <w:t>), paras. 273-280.</w:t>
      </w:r>
    </w:p>
  </w:footnote>
  <w:footnote w:id="39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General Assembly resolution 67/1 of 30 November 2012 (“Declaration of the High-level Meeting of the General Assembly on the Rule of Law at the National and International Levels”), document </w:t>
      </w:r>
      <w:hyperlink r:id="rId112" w:history="1">
        <w:r w:rsidRPr="00D97463">
          <w:rPr>
            <w:rStyle w:val="Hyperlink"/>
          </w:rPr>
          <w:t>A/RES/67/1</w:t>
        </w:r>
      </w:hyperlink>
      <w:r w:rsidRPr="00D97463">
        <w:t>, para. 41.</w:t>
      </w:r>
    </w:p>
  </w:footnote>
  <w:footnote w:id="39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Report of the Secretary-General on Measuring the effectiveness of the support provided by the United Nations system for the promotion of the rule of law in conflict and post-conflict situations, </w:t>
      </w:r>
      <w:hyperlink r:id="rId113" w:history="1">
        <w:r w:rsidRPr="00D97463">
          <w:rPr>
            <w:rStyle w:val="Hyperlink"/>
          </w:rPr>
          <w:t>S/2013/341</w:t>
        </w:r>
      </w:hyperlink>
      <w:r w:rsidRPr="00D97463">
        <w:t>, 11 June 2013, para. 70.</w:t>
      </w:r>
    </w:p>
  </w:footnote>
  <w:footnote w:id="40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General Assembly resolution 69/123 of 10 December 2014, para. 20.</w:t>
      </w:r>
    </w:p>
  </w:footnote>
  <w:footnote w:id="401">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Official Records of the General Assembly, Fifty-seventh Session, Supplement 10</w:t>
      </w:r>
      <w:r w:rsidRPr="00D97463">
        <w:t xml:space="preserve"> (</w:t>
      </w:r>
      <w:hyperlink r:id="rId114" w:history="1">
        <w:r w:rsidRPr="00D97463">
          <w:rPr>
            <w:rStyle w:val="Hyperlink"/>
          </w:rPr>
          <w:t>A/57/10</w:t>
        </w:r>
      </w:hyperlink>
      <w:r w:rsidRPr="00D97463">
        <w:t xml:space="preserve">), paras. 525-531; </w:t>
      </w:r>
      <w:r w:rsidRPr="00D97463">
        <w:rPr>
          <w:i/>
          <w:iCs/>
        </w:rPr>
        <w:t>ibid.</w:t>
      </w:r>
      <w:r w:rsidRPr="00D97463">
        <w:t xml:space="preserve">, </w:t>
      </w:r>
      <w:r w:rsidRPr="00D97463">
        <w:rPr>
          <w:i/>
          <w:iCs/>
        </w:rPr>
        <w:t>Fifty-eighth Session, Supplement 10</w:t>
      </w:r>
      <w:r w:rsidRPr="00D97463">
        <w:t xml:space="preserve"> (</w:t>
      </w:r>
      <w:hyperlink r:id="rId115" w:history="1">
        <w:r w:rsidRPr="00D97463">
          <w:rPr>
            <w:rStyle w:val="Hyperlink"/>
          </w:rPr>
          <w:t>A/58/10</w:t>
        </w:r>
      </w:hyperlink>
      <w:r w:rsidRPr="00D97463">
        <w:t xml:space="preserve">), para. 447; </w:t>
      </w:r>
      <w:r w:rsidRPr="00D97463">
        <w:rPr>
          <w:i/>
          <w:iCs/>
        </w:rPr>
        <w:t>ibid.</w:t>
      </w:r>
      <w:r w:rsidRPr="00D97463">
        <w:t xml:space="preserve">, </w:t>
      </w:r>
      <w:r w:rsidRPr="00D97463">
        <w:rPr>
          <w:i/>
          <w:iCs/>
        </w:rPr>
        <w:t>Fifty-ninth Session, Supplement 10</w:t>
      </w:r>
      <w:r w:rsidRPr="00D97463">
        <w:t xml:space="preserve"> (</w:t>
      </w:r>
      <w:hyperlink r:id="rId116" w:history="1">
        <w:r w:rsidRPr="00D97463">
          <w:rPr>
            <w:rStyle w:val="Hyperlink"/>
          </w:rPr>
          <w:t>A/59/10</w:t>
        </w:r>
      </w:hyperlink>
      <w:r w:rsidRPr="00D97463">
        <w:t xml:space="preserve">), para. 369; </w:t>
      </w:r>
      <w:r w:rsidRPr="00D97463">
        <w:rPr>
          <w:i/>
          <w:iCs/>
        </w:rPr>
        <w:t>ibid.</w:t>
      </w:r>
      <w:r w:rsidRPr="00D97463">
        <w:t xml:space="preserve">, </w:t>
      </w:r>
      <w:r w:rsidRPr="00D97463">
        <w:rPr>
          <w:i/>
          <w:iCs/>
        </w:rPr>
        <w:t>Sixtieth Session, Supplement 10</w:t>
      </w:r>
      <w:r w:rsidRPr="00D97463">
        <w:t xml:space="preserve"> (</w:t>
      </w:r>
      <w:hyperlink r:id="rId117" w:history="1">
        <w:r w:rsidRPr="00D97463">
          <w:rPr>
            <w:rStyle w:val="Hyperlink"/>
          </w:rPr>
          <w:t>A/60/10</w:t>
        </w:r>
      </w:hyperlink>
      <w:r w:rsidRPr="00D97463">
        <w:t xml:space="preserve">), para. 501; </w:t>
      </w:r>
      <w:r w:rsidRPr="00D97463">
        <w:rPr>
          <w:i/>
          <w:iCs/>
        </w:rPr>
        <w:t>ibid.</w:t>
      </w:r>
      <w:r w:rsidRPr="00D97463">
        <w:t xml:space="preserve">, </w:t>
      </w:r>
      <w:r w:rsidRPr="00D97463">
        <w:rPr>
          <w:i/>
          <w:iCs/>
        </w:rPr>
        <w:t>Sixty-first Session, Supplement 10</w:t>
      </w:r>
      <w:r w:rsidRPr="00D97463">
        <w:t xml:space="preserve"> (</w:t>
      </w:r>
      <w:hyperlink r:id="rId118" w:history="1">
        <w:r w:rsidRPr="00D97463">
          <w:rPr>
            <w:rStyle w:val="Hyperlink"/>
          </w:rPr>
          <w:t>A/61/10</w:t>
        </w:r>
      </w:hyperlink>
      <w:r w:rsidRPr="00D97463">
        <w:t xml:space="preserve">), para. 269; </w:t>
      </w:r>
      <w:r w:rsidRPr="00D97463">
        <w:rPr>
          <w:i/>
          <w:iCs/>
        </w:rPr>
        <w:t>ibid.</w:t>
      </w:r>
      <w:r w:rsidRPr="00D97463">
        <w:t xml:space="preserve">, </w:t>
      </w:r>
      <w:r w:rsidRPr="00D97463">
        <w:rPr>
          <w:i/>
          <w:iCs/>
        </w:rPr>
        <w:t>Sixty-second Session, Supplement 10</w:t>
      </w:r>
      <w:r w:rsidRPr="00D97463">
        <w:t xml:space="preserve"> (</w:t>
      </w:r>
      <w:hyperlink r:id="rId119" w:history="1">
        <w:r w:rsidRPr="00D97463">
          <w:rPr>
            <w:rStyle w:val="Hyperlink"/>
          </w:rPr>
          <w:t>A/62/10</w:t>
        </w:r>
      </w:hyperlink>
      <w:r w:rsidRPr="00D97463">
        <w:t xml:space="preserve">), para. 379; </w:t>
      </w:r>
      <w:r w:rsidRPr="00D97463">
        <w:rPr>
          <w:i/>
          <w:iCs/>
        </w:rPr>
        <w:t>ibid.</w:t>
      </w:r>
      <w:r w:rsidRPr="00D97463">
        <w:t xml:space="preserve">, </w:t>
      </w:r>
      <w:r w:rsidRPr="00D97463">
        <w:rPr>
          <w:i/>
          <w:iCs/>
        </w:rPr>
        <w:t>Sixty-third Session, Supplement 10</w:t>
      </w:r>
      <w:r w:rsidRPr="00D97463">
        <w:t xml:space="preserve"> (</w:t>
      </w:r>
      <w:hyperlink r:id="rId120" w:history="1">
        <w:r w:rsidRPr="00D97463">
          <w:rPr>
            <w:rStyle w:val="Hyperlink"/>
          </w:rPr>
          <w:t>A/63/10</w:t>
        </w:r>
      </w:hyperlink>
      <w:r w:rsidRPr="00D97463">
        <w:t xml:space="preserve">), para. 358; </w:t>
      </w:r>
      <w:r w:rsidRPr="00D97463">
        <w:rPr>
          <w:i/>
          <w:iCs/>
        </w:rPr>
        <w:t>ibid.</w:t>
      </w:r>
      <w:r w:rsidRPr="00D97463">
        <w:t xml:space="preserve">, </w:t>
      </w:r>
      <w:r w:rsidRPr="00D97463">
        <w:rPr>
          <w:i/>
          <w:iCs/>
        </w:rPr>
        <w:t>Sixty-fourth Session, Supplement 10</w:t>
      </w:r>
      <w:r w:rsidRPr="00D97463">
        <w:t xml:space="preserve"> (</w:t>
      </w:r>
      <w:hyperlink r:id="rId121" w:history="1">
        <w:r w:rsidRPr="00D97463">
          <w:rPr>
            <w:rStyle w:val="Hyperlink"/>
          </w:rPr>
          <w:t>A/64/10</w:t>
        </w:r>
      </w:hyperlink>
      <w:r w:rsidRPr="00D97463">
        <w:t xml:space="preserve">), para. 240; </w:t>
      </w:r>
      <w:r w:rsidRPr="00D97463">
        <w:rPr>
          <w:i/>
          <w:iCs/>
        </w:rPr>
        <w:t>ibid.</w:t>
      </w:r>
      <w:r w:rsidRPr="00D97463">
        <w:t xml:space="preserve">, </w:t>
      </w:r>
      <w:r>
        <w:rPr>
          <w:i/>
          <w:iCs/>
        </w:rPr>
        <w:t xml:space="preserve">Sixty-fifth Session, Supplement No. 10 </w:t>
      </w:r>
      <w:r w:rsidRPr="00D97463">
        <w:t>(</w:t>
      </w:r>
      <w:hyperlink r:id="rId122" w:history="1">
        <w:r w:rsidRPr="00D97463">
          <w:rPr>
            <w:rStyle w:val="Hyperlink"/>
          </w:rPr>
          <w:t>A/65/10</w:t>
        </w:r>
      </w:hyperlink>
      <w:r w:rsidRPr="00D97463">
        <w:t xml:space="preserve">), para. 396, and </w:t>
      </w:r>
      <w:r w:rsidRPr="00D97463">
        <w:rPr>
          <w:i/>
          <w:iCs/>
        </w:rPr>
        <w:t>ibid.</w:t>
      </w:r>
      <w:r w:rsidRPr="00D97463">
        <w:t xml:space="preserve">, </w:t>
      </w:r>
      <w:r w:rsidRPr="00D97463">
        <w:rPr>
          <w:i/>
          <w:iCs/>
        </w:rPr>
        <w:t>Sixty-sixth Session, Supplement No.</w:t>
      </w:r>
      <w:r>
        <w:rPr>
          <w:i/>
          <w:iCs/>
        </w:rPr>
        <w:t xml:space="preserve"> </w:t>
      </w:r>
      <w:r w:rsidRPr="00D97463">
        <w:rPr>
          <w:i/>
          <w:iCs/>
        </w:rPr>
        <w:t>10</w:t>
      </w:r>
      <w:r w:rsidRPr="00D97463">
        <w:t xml:space="preserve"> (</w:t>
      </w:r>
      <w:hyperlink r:id="rId123" w:history="1">
        <w:r w:rsidRPr="00D97463">
          <w:rPr>
            <w:rStyle w:val="Hyperlink"/>
          </w:rPr>
          <w:t>A/66/10</w:t>
        </w:r>
      </w:hyperlink>
      <w:r w:rsidRPr="00D97463">
        <w:t xml:space="preserve">), para. 399; </w:t>
      </w:r>
      <w:r w:rsidRPr="00D97463">
        <w:rPr>
          <w:i/>
          <w:iCs/>
        </w:rPr>
        <w:t>ibid.</w:t>
      </w:r>
      <w:r w:rsidRPr="00D97463">
        <w:t xml:space="preserve">, </w:t>
      </w:r>
      <w:r w:rsidRPr="00D97463">
        <w:rPr>
          <w:i/>
          <w:iCs/>
        </w:rPr>
        <w:t>Sixty-seventh Session, Supplement 10</w:t>
      </w:r>
      <w:r w:rsidRPr="00D97463">
        <w:t xml:space="preserve"> (</w:t>
      </w:r>
      <w:hyperlink r:id="rId124" w:history="1">
        <w:r w:rsidRPr="00D97463">
          <w:rPr>
            <w:rStyle w:val="Hyperlink"/>
          </w:rPr>
          <w:t>A/67/10</w:t>
        </w:r>
      </w:hyperlink>
      <w:r w:rsidRPr="00D97463">
        <w:t xml:space="preserve">), para. 280; </w:t>
      </w:r>
      <w:r w:rsidRPr="00D97463">
        <w:rPr>
          <w:i/>
          <w:iCs/>
        </w:rPr>
        <w:t>ibid.</w:t>
      </w:r>
      <w:r w:rsidRPr="00D97463">
        <w:t xml:space="preserve">, </w:t>
      </w:r>
      <w:r w:rsidRPr="00D97463">
        <w:rPr>
          <w:i/>
          <w:iCs/>
        </w:rPr>
        <w:t>Sixty-eighth Session, Supplement 10</w:t>
      </w:r>
      <w:r w:rsidRPr="00D97463">
        <w:t xml:space="preserve"> (</w:t>
      </w:r>
      <w:hyperlink r:id="rId125" w:history="1">
        <w:r w:rsidRPr="00D97463">
          <w:rPr>
            <w:rStyle w:val="Hyperlink"/>
          </w:rPr>
          <w:t>A/68/10</w:t>
        </w:r>
      </w:hyperlink>
      <w:r w:rsidRPr="00D97463">
        <w:t xml:space="preserve">), para. 181; and </w:t>
      </w:r>
      <w:r w:rsidRPr="00D97463">
        <w:rPr>
          <w:i/>
          <w:iCs/>
        </w:rPr>
        <w:t>Sixty-ninth Session, Supplement 10</w:t>
      </w:r>
      <w:r w:rsidRPr="00D97463">
        <w:t xml:space="preserve"> (</w:t>
      </w:r>
      <w:hyperlink r:id="rId126" w:history="1">
        <w:r w:rsidRPr="00D97463">
          <w:rPr>
            <w:rStyle w:val="Hyperlink"/>
          </w:rPr>
          <w:t>A/69/10</w:t>
        </w:r>
      </w:hyperlink>
      <w:r w:rsidRPr="00D97463">
        <w:t xml:space="preserve">), para. 281. </w:t>
      </w:r>
    </w:p>
  </w:footnote>
  <w:footnote w:id="402">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iCs/>
        </w:rPr>
        <w:t>Official Records of the General Assembly, Sixty-second Session, Supplement No. 10</w:t>
      </w:r>
      <w:r w:rsidRPr="00D97463">
        <w:t xml:space="preserve"> (</w:t>
      </w:r>
      <w:hyperlink r:id="rId127" w:history="1">
        <w:r w:rsidRPr="00D97463">
          <w:rPr>
            <w:rStyle w:val="Hyperlink"/>
          </w:rPr>
          <w:t>A/62/10</w:t>
        </w:r>
      </w:hyperlink>
      <w:r w:rsidRPr="00D97463">
        <w:t xml:space="preserve">), paras. 387-395. See also </w:t>
      </w:r>
      <w:r w:rsidRPr="00D97463">
        <w:rPr>
          <w:i/>
          <w:iCs/>
        </w:rPr>
        <w:t>ibid.</w:t>
      </w:r>
      <w:r w:rsidRPr="00D97463">
        <w:t xml:space="preserve">, </w:t>
      </w:r>
      <w:r w:rsidRPr="00D97463">
        <w:rPr>
          <w:i/>
          <w:iCs/>
        </w:rPr>
        <w:t>Sixty-eighth Session, Supplement No. 10</w:t>
      </w:r>
      <w:r w:rsidRPr="00D97463">
        <w:t xml:space="preserve"> (</w:t>
      </w:r>
      <w:hyperlink r:id="rId128" w:history="1">
        <w:r w:rsidRPr="00D97463">
          <w:rPr>
            <w:rStyle w:val="Hyperlink"/>
          </w:rPr>
          <w:t>A/68/10</w:t>
        </w:r>
      </w:hyperlink>
      <w:r w:rsidRPr="00D97463">
        <w:t>), para. 185.</w:t>
      </w:r>
    </w:p>
  </w:footnote>
  <w:footnote w:id="403">
    <w:p w:rsidR="00A3158E" w:rsidRPr="00D97463" w:rsidRDefault="00A3158E" w:rsidP="00D97463">
      <w:pPr>
        <w:pStyle w:val="FootnoteText"/>
        <w:ind w:right="1260"/>
      </w:pPr>
      <w:r w:rsidRPr="00D97463">
        <w:tab/>
      </w:r>
      <w:r w:rsidRPr="00D97463">
        <w:rPr>
          <w:rStyle w:val="FootnoteReference"/>
        </w:rPr>
        <w:footnoteRef/>
      </w:r>
      <w:r w:rsidRPr="00D97463">
        <w:tab/>
        <w:t>Located at &lt;http://legal.un.org//ilc&gt;.</w:t>
      </w:r>
    </w:p>
  </w:footnote>
  <w:footnote w:id="404">
    <w:p w:rsidR="00A3158E" w:rsidRPr="00D97463" w:rsidRDefault="00A3158E" w:rsidP="00D97463">
      <w:pPr>
        <w:pStyle w:val="FootnoteText"/>
        <w:ind w:right="1260"/>
      </w:pPr>
      <w:r w:rsidRPr="00D97463">
        <w:tab/>
      </w:r>
      <w:r w:rsidRPr="00D97463">
        <w:rPr>
          <w:rStyle w:val="FootnoteReference"/>
        </w:rPr>
        <w:footnoteRef/>
      </w:r>
      <w:r w:rsidRPr="00D97463">
        <w:tab/>
        <w:t>Generally accessible through: &lt;</w:t>
      </w:r>
      <w:hyperlink r:id="rId129" w:history="1">
        <w:r w:rsidRPr="00D97463">
          <w:t>http://www.un.org/law/lindex.htm</w:t>
        </w:r>
      </w:hyperlink>
      <w:r w:rsidRPr="00D97463">
        <w:t>&gt;.</w:t>
      </w:r>
    </w:p>
  </w:footnote>
  <w:footnote w:id="405">
    <w:p w:rsidR="00A3158E" w:rsidRPr="00D97463" w:rsidRDefault="00A3158E" w:rsidP="00D97463">
      <w:pPr>
        <w:pStyle w:val="FootnoteText"/>
        <w:ind w:right="1260"/>
      </w:pPr>
      <w:r w:rsidRPr="00D97463">
        <w:tab/>
      </w:r>
      <w:r w:rsidRPr="00D97463">
        <w:rPr>
          <w:rStyle w:val="FootnoteReference"/>
        </w:rPr>
        <w:footnoteRef/>
      </w:r>
      <w:r w:rsidRPr="00D97463">
        <w:tab/>
        <w:t>This statement is recorded in the summary record of that meeting.</w:t>
      </w:r>
    </w:p>
  </w:footnote>
  <w:footnote w:id="406">
    <w:p w:rsidR="00A3158E" w:rsidRPr="00D97463" w:rsidRDefault="00A3158E" w:rsidP="00D97463">
      <w:pPr>
        <w:pStyle w:val="FootnoteText"/>
        <w:ind w:right="1260"/>
        <w:rPr>
          <w:i/>
          <w:iCs/>
        </w:rPr>
      </w:pPr>
      <w:r w:rsidRPr="00D97463">
        <w:tab/>
      </w:r>
      <w:r w:rsidRPr="00D97463">
        <w:rPr>
          <w:rStyle w:val="FootnoteReference"/>
        </w:rPr>
        <w:footnoteRef/>
      </w:r>
      <w:r w:rsidRPr="00D97463">
        <w:tab/>
      </w:r>
      <w:r w:rsidRPr="00D97463">
        <w:rPr>
          <w:i/>
          <w:iCs/>
        </w:rPr>
        <w:t>Ibid.</w:t>
      </w:r>
    </w:p>
  </w:footnote>
  <w:footnote w:id="407">
    <w:p w:rsidR="00A3158E" w:rsidRPr="00D97463" w:rsidRDefault="00A3158E" w:rsidP="00D97463">
      <w:pPr>
        <w:pStyle w:val="FootnoteText"/>
        <w:ind w:right="1260"/>
        <w:rPr>
          <w:i/>
          <w:iCs/>
        </w:rPr>
      </w:pPr>
      <w:r w:rsidRPr="00D97463">
        <w:tab/>
      </w:r>
      <w:r w:rsidRPr="00D97463">
        <w:rPr>
          <w:rStyle w:val="FootnoteReference"/>
        </w:rPr>
        <w:footnoteRef/>
      </w:r>
      <w:r w:rsidRPr="00D97463">
        <w:tab/>
      </w:r>
      <w:r w:rsidRPr="00D97463">
        <w:rPr>
          <w:i/>
          <w:iCs/>
        </w:rPr>
        <w:t>Ibid.</w:t>
      </w:r>
    </w:p>
  </w:footnote>
  <w:footnote w:id="40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409">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410">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Ibid.</w:t>
      </w:r>
    </w:p>
  </w:footnote>
  <w:footnote w:id="411">
    <w:p w:rsidR="00A3158E" w:rsidRPr="00D97463" w:rsidRDefault="00A3158E" w:rsidP="00D97463">
      <w:pPr>
        <w:pStyle w:val="FootnoteText"/>
        <w:ind w:right="1260"/>
      </w:pPr>
      <w:r w:rsidRPr="00D97463">
        <w:tab/>
      </w:r>
      <w:r w:rsidRPr="00D97463">
        <w:rPr>
          <w:rStyle w:val="FootnoteReference"/>
        </w:rPr>
        <w:footnoteRef/>
      </w:r>
      <w:r w:rsidRPr="00D97463">
        <w:tab/>
        <w:t>Statements were made by Ms. Christine Beerli, Vice President of the ICRC, Mr. Narinder Singh, Chairman of the Commission. Presentations were made on “Subsequent Agreements and Subsequent Practice in relation to the Interpretation of Treaties”, by Mr</w:t>
      </w:r>
      <w:r>
        <w:t>.</w:t>
      </w:r>
      <w:r w:rsidRPr="00D97463">
        <w:t xml:space="preserve"> Georg Nolte and “Crimes against Humanity” by Mr</w:t>
      </w:r>
      <w:r>
        <w:t>.</w:t>
      </w:r>
      <w:r w:rsidRPr="00D97463">
        <w:t xml:space="preserve"> Sean D. Murphy, “</w:t>
      </w:r>
      <w:r w:rsidRPr="00D97463">
        <w:rPr>
          <w:color w:val="000000"/>
        </w:rPr>
        <w:t>Preparations for the 32nd International Conference of the Red Cross and Red Crescent Movement”, by</w:t>
      </w:r>
      <w:r w:rsidRPr="00D97463">
        <w:rPr>
          <w:rFonts w:ascii="Arial" w:hAnsi="Arial" w:cs="Arial"/>
        </w:rPr>
        <w:t xml:space="preserve"> </w:t>
      </w:r>
      <w:r w:rsidRPr="00D97463">
        <w:rPr>
          <w:color w:val="000000"/>
        </w:rPr>
        <w:t>Dr. Knut Doermann, Chief Legal Officer and Head of the ICRC Legal Division and “Updating the ICRC Commentaries on the Geneva Conventions and Additional Protocols”, by Dr</w:t>
      </w:r>
      <w:r>
        <w:rPr>
          <w:color w:val="000000"/>
        </w:rPr>
        <w:t>.</w:t>
      </w:r>
      <w:r w:rsidRPr="00D97463">
        <w:rPr>
          <w:color w:val="000000"/>
        </w:rPr>
        <w:t xml:space="preserve"> Jean-Marie Henckaerts, Head of the Commentaries Update Project, ICRC</w:t>
      </w:r>
      <w:r w:rsidRPr="00D97463">
        <w:t>.</w:t>
      </w:r>
    </w:p>
  </w:footnote>
  <w:footnote w:id="412">
    <w:p w:rsidR="00A3158E" w:rsidRPr="00D97463" w:rsidRDefault="00A3158E" w:rsidP="00D97463">
      <w:pPr>
        <w:pStyle w:val="FootnoteText"/>
        <w:ind w:right="1260"/>
        <w:rPr>
          <w:lang w:eastAsia="fr-FR"/>
        </w:rPr>
      </w:pPr>
      <w:r w:rsidRPr="00D97463">
        <w:rPr>
          <w:sz w:val="24"/>
          <w:szCs w:val="24"/>
        </w:rPr>
        <w:tab/>
      </w:r>
      <w:r w:rsidRPr="00D97463">
        <w:rPr>
          <w:rStyle w:val="FootnoteReference"/>
        </w:rPr>
        <w:footnoteRef/>
      </w:r>
      <w:r w:rsidRPr="00D97463">
        <w:rPr>
          <w:sz w:val="24"/>
          <w:szCs w:val="24"/>
        </w:rPr>
        <w:tab/>
      </w:r>
      <w:r w:rsidRPr="00D97463">
        <w:t xml:space="preserve">The following persons participated in the Seminar: </w:t>
      </w:r>
      <w:r w:rsidRPr="00D97463">
        <w:rPr>
          <w:lang w:eastAsia="fr-FR"/>
        </w:rPr>
        <w:t xml:space="preserve">Ms. Kakanang Amaranand (Thailand), Mr. Hamedi Camara (Mauritania), Eleen A. Cañas Vargas (Costa Rica), Francis W. Changara (Zimbabwe), Namgay Dorji (Bhutan), Fatoumata P. Doumbouya (Guinea), Pilar Eugenio (Argentina), Soaad Hossam (Egypt), Gedeon Jean (Haiti), Akino Kowashi (Japan), Gift Kweka (Tanzania), Lucia Leontiev (Moldova), Matilda Mendy (Gambia), Momchil Milanov (Bulgaria), Quyen T.H. Nguyen (Viet Nam), Elinathan Ohiomoba (United States of America), Francisco J. Pascual Vives (Spain), Ye Joon Rim (Republic of Korea), Matteo Sarzo (Italy), Cornelius V.N. Scholtz (South Africa), Darcel G. Smith-Williamson (Bahamas), Luka M. Tomazic (Slovenia), Shuxi Yin (China), Franz J. Zubieta (Bolivia (Plurinational State of)). </w:t>
      </w:r>
      <w:r w:rsidRPr="00D97463">
        <w:t>The Selection Committee, chaired by Mr. Makane Moïse</w:t>
      </w:r>
      <w:r w:rsidRPr="00D97463">
        <w:rPr>
          <w:i/>
          <w:iCs/>
        </w:rPr>
        <w:t xml:space="preserve"> </w:t>
      </w:r>
      <w:r w:rsidRPr="00D97463">
        <w:t>Mbengue, Professor of International Law at the University of Geneva, met on 7 April 2015 and selected 25 candidates out of 102 applications. One selected candidate could not attend the Seminar.</w:t>
      </w:r>
    </w:p>
  </w:footnote>
  <w:footnote w:id="41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terms “MFN clause” and “MFN provision” are used interchangeably in this report. </w:t>
      </w:r>
    </w:p>
  </w:footnote>
  <w:footnote w:id="41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Some members of the Study Group felt that it would be appropriate to undertake a revision of the 1978 draft articles.</w:t>
      </w:r>
    </w:p>
  </w:footnote>
  <w:footnote w:id="41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lang w:bidi="en-US"/>
        </w:rPr>
        <w:t>Yearbook … 1978</w:t>
      </w:r>
      <w:r w:rsidRPr="00D97463">
        <w:rPr>
          <w:lang w:bidi="en-US"/>
        </w:rPr>
        <w:t>, vol. II (Part Two), pp. 16-72.</w:t>
      </w:r>
    </w:p>
  </w:footnote>
  <w:footnote w:id="41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Official Records of the General Assembly, Sixty-third Session, Supplement No. 10</w:t>
      </w:r>
      <w:r w:rsidRPr="00D97463">
        <w:t xml:space="preserve"> (</w:t>
      </w:r>
      <w:hyperlink r:id="rId130" w:history="1">
        <w:r w:rsidRPr="00D97463">
          <w:rPr>
            <w:rStyle w:val="Hyperlink"/>
            <w:lang w:bidi="en-US"/>
          </w:rPr>
          <w:t>A/63/10</w:t>
        </w:r>
      </w:hyperlink>
      <w:r w:rsidRPr="00D97463">
        <w:rPr>
          <w:lang w:bidi="en-US"/>
        </w:rPr>
        <w:t xml:space="preserve">), paras. 351-352. See also </w:t>
      </w:r>
      <w:r w:rsidRPr="00D97463">
        <w:rPr>
          <w:i/>
          <w:iCs/>
          <w:lang w:bidi="en-US"/>
        </w:rPr>
        <w:t>ibid.</w:t>
      </w:r>
      <w:r w:rsidRPr="00D97463">
        <w:rPr>
          <w:lang w:bidi="en-US"/>
        </w:rPr>
        <w:t xml:space="preserve">, </w:t>
      </w:r>
      <w:r w:rsidRPr="00D97463">
        <w:rPr>
          <w:i/>
          <w:lang w:bidi="en-US"/>
        </w:rPr>
        <w:t>Sixty-fourth Session</w:t>
      </w:r>
      <w:r w:rsidRPr="00D97463">
        <w:rPr>
          <w:i/>
        </w:rPr>
        <w:t xml:space="preserve"> Supplement No. 10 </w:t>
      </w:r>
      <w:r w:rsidRPr="00D97463">
        <w:t>(</w:t>
      </w:r>
      <w:hyperlink r:id="rId131" w:history="1">
        <w:r w:rsidRPr="00D97463">
          <w:rPr>
            <w:rStyle w:val="Hyperlink"/>
            <w:lang w:bidi="en-US"/>
          </w:rPr>
          <w:t>A/64/10</w:t>
        </w:r>
      </w:hyperlink>
      <w:r w:rsidRPr="00D97463">
        <w:rPr>
          <w:lang w:bidi="en-US"/>
        </w:rPr>
        <w:t xml:space="preserve">), paras. 211-216; </w:t>
      </w:r>
      <w:r w:rsidRPr="00D97463">
        <w:rPr>
          <w:i/>
          <w:iCs/>
          <w:lang w:bidi="en-US"/>
        </w:rPr>
        <w:t>ibid.</w:t>
      </w:r>
      <w:r w:rsidRPr="00D97463">
        <w:rPr>
          <w:lang w:bidi="en-US"/>
        </w:rPr>
        <w:t xml:space="preserve">, </w:t>
      </w:r>
      <w:r w:rsidRPr="00D97463">
        <w:rPr>
          <w:i/>
          <w:lang w:bidi="en-US"/>
        </w:rPr>
        <w:t>Sixty-fifth Session</w:t>
      </w:r>
      <w:r w:rsidRPr="00D97463">
        <w:rPr>
          <w:i/>
        </w:rPr>
        <w:t xml:space="preserve"> Supplement No. 10 </w:t>
      </w:r>
      <w:r w:rsidRPr="00D97463">
        <w:t>(</w:t>
      </w:r>
      <w:hyperlink r:id="rId132" w:history="1">
        <w:r w:rsidRPr="00D97463">
          <w:rPr>
            <w:rStyle w:val="Hyperlink"/>
            <w:lang w:bidi="en-US"/>
          </w:rPr>
          <w:t>A/65/10</w:t>
        </w:r>
      </w:hyperlink>
      <w:r w:rsidRPr="00D97463">
        <w:rPr>
          <w:lang w:bidi="en-US"/>
        </w:rPr>
        <w:t xml:space="preserve">), paras. 359-373; </w:t>
      </w:r>
      <w:r w:rsidRPr="00D97463">
        <w:rPr>
          <w:i/>
          <w:iCs/>
          <w:lang w:bidi="en-US"/>
        </w:rPr>
        <w:t>ibid.</w:t>
      </w:r>
      <w:r w:rsidRPr="00D97463">
        <w:rPr>
          <w:lang w:bidi="en-US"/>
        </w:rPr>
        <w:t xml:space="preserve">, </w:t>
      </w:r>
      <w:r w:rsidRPr="00D97463">
        <w:rPr>
          <w:i/>
          <w:lang w:bidi="en-US"/>
        </w:rPr>
        <w:t>Sixty-sixth Session, Supplement No. 10</w:t>
      </w:r>
      <w:r w:rsidRPr="00D97463">
        <w:rPr>
          <w:iCs/>
          <w:lang w:bidi="en-US"/>
        </w:rPr>
        <w:t xml:space="preserve"> </w:t>
      </w:r>
      <w:r w:rsidRPr="00D97463">
        <w:rPr>
          <w:lang w:bidi="en-US"/>
        </w:rPr>
        <w:t>(</w:t>
      </w:r>
      <w:hyperlink r:id="rId133" w:history="1">
        <w:r w:rsidRPr="00D97463">
          <w:rPr>
            <w:rStyle w:val="Hyperlink"/>
            <w:lang w:bidi="en-US"/>
          </w:rPr>
          <w:t>A/66/10</w:t>
        </w:r>
      </w:hyperlink>
      <w:r w:rsidRPr="00D97463">
        <w:rPr>
          <w:lang w:bidi="en-US"/>
        </w:rPr>
        <w:t>), paras. 349-363.</w:t>
      </w:r>
    </w:p>
  </w:footnote>
  <w:footnote w:id="41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xml:space="preserve">, </w:t>
      </w:r>
      <w:r w:rsidRPr="00D97463">
        <w:rPr>
          <w:i/>
          <w:iCs/>
          <w:lang w:bidi="en-US"/>
        </w:rPr>
        <w:t>Sixty-fourth Session</w:t>
      </w:r>
      <w:r w:rsidRPr="00D97463">
        <w:rPr>
          <w:i/>
          <w:iCs/>
        </w:rPr>
        <w:t xml:space="preserve"> Supplement No. 10</w:t>
      </w:r>
      <w:r w:rsidRPr="00D97463">
        <w:t xml:space="preserve"> (</w:t>
      </w:r>
      <w:hyperlink r:id="rId134" w:history="1">
        <w:r w:rsidRPr="00D97463">
          <w:rPr>
            <w:rStyle w:val="Hyperlink"/>
            <w:lang w:bidi="en-US"/>
          </w:rPr>
          <w:t>A/64/10</w:t>
        </w:r>
      </w:hyperlink>
      <w:r w:rsidRPr="00D97463">
        <w:rPr>
          <w:lang w:bidi="en-US"/>
        </w:rPr>
        <w:t>), para. 216.</w:t>
      </w:r>
    </w:p>
  </w:footnote>
  <w:footnote w:id="41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Study Group considered working papers on the following: (a) Review of the 1978 Draft Articles of the MFN Clause (Mr. Shinya Murase); (b) MFN in the GATT and the WTO (Mr. D.M. McRae); (c) The Most-Favoured-Nation Clause and the </w:t>
      </w:r>
      <w:r w:rsidRPr="00D97463">
        <w:rPr>
          <w:i/>
          <w:iCs/>
        </w:rPr>
        <w:t xml:space="preserve">Maffezini case </w:t>
      </w:r>
      <w:r w:rsidRPr="00D97463">
        <w:t xml:space="preserve">(Mr. A.R. Perera); (d) The Work of OECD on MFN (Mr. M.D. Hmoud); (e) The Work of UNCTAD on MFN (Mr. S.C. Vasciannie); (f) The Interpretation and application of MFN clauses in investment agreements (Mr. D.M. McRae); (g) The Interpretation of MFN Clauses by Investment Tribunals (Mr. D.M. McRae) (this working paper was a restructured version of the working paper, “Interpretation and Application of MFN Clauses in Investment Agreements”); (h) The Effect of the Mixed Nature of Investment Tribunals on the Application of MFN Clauses to Procedural Provisions (Mr. M. Forteau); (i) A BIT on Mixed Tribunals: Legal Character of Investment Dispute Settlements (Mr. S. Murase); and (j) Survey of MFN language and Maffezini-related Jurisprudence (Mr. M.D. Hmoud). The Study Group also had before it: (a) A </w:t>
      </w:r>
      <w:r w:rsidRPr="00D97463">
        <w:rPr>
          <w:i/>
          <w:iCs/>
        </w:rPr>
        <w:t xml:space="preserve">Catalogue of MFN provisions </w:t>
      </w:r>
      <w:r w:rsidRPr="00D97463">
        <w:t>(prepared Mr. D.M. McRae and Mr. A.R. Perera); (b) an informal document, in tabular form, identifying the arbitrators and counsel in investment cases involving MFN clauses, together with the type of MFN provision that was being interpreted; (c) an informal working paper on Model MFN clauses post-</w:t>
      </w:r>
      <w:r w:rsidRPr="00D97463">
        <w:rPr>
          <w:i/>
          <w:iCs/>
        </w:rPr>
        <w:t>Maffezini</w:t>
      </w:r>
      <w:r w:rsidRPr="00D97463">
        <w:t xml:space="preserve">, examining the various ways in which States have reacted to the </w:t>
      </w:r>
      <w:r w:rsidRPr="00D97463">
        <w:rPr>
          <w:i/>
          <w:iCs/>
        </w:rPr>
        <w:t xml:space="preserve">Maffezini </w:t>
      </w:r>
      <w:r w:rsidRPr="00D97463">
        <w:t>case; (d) an informal working paper providing an overview of MFN-type language in Headquarters Agreements conferring on representatives of States to the organization the same privileges and immunities granted to diplomats in the host State; (e) an informal working paper on MFN clauses in Diplomatic treaties; (f) an informal working paper on Navigation Agreements and the MFN clause; (g) an informal working paper on “Bilateral Taxation Treaties and the MFN clause”.</w:t>
      </w:r>
    </w:p>
  </w:footnote>
  <w:footnote w:id="41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e.g.: </w:t>
      </w:r>
      <w:hyperlink r:id="rId135" w:history="1">
        <w:r w:rsidRPr="00D97463">
          <w:rPr>
            <w:rStyle w:val="Hyperlink"/>
          </w:rPr>
          <w:t>A/C.6/65/SR.25</w:t>
        </w:r>
      </w:hyperlink>
      <w:r w:rsidRPr="00D97463">
        <w:t>, at para. 75 (</w:t>
      </w:r>
      <w:r w:rsidRPr="00D97463">
        <w:rPr>
          <w:lang w:eastAsia="en-GB"/>
        </w:rPr>
        <w:t xml:space="preserve">Portugal); </w:t>
      </w:r>
      <w:hyperlink r:id="rId136" w:history="1">
        <w:r w:rsidRPr="00D97463">
          <w:rPr>
            <w:rStyle w:val="Hyperlink"/>
            <w:lang w:eastAsia="en-GB"/>
          </w:rPr>
          <w:t>A</w:t>
        </w:r>
        <w:r w:rsidRPr="00D97463">
          <w:rPr>
            <w:rStyle w:val="Hyperlink"/>
          </w:rPr>
          <w:t>/C.6/66/SR.27</w:t>
        </w:r>
      </w:hyperlink>
      <w:r w:rsidRPr="00D97463">
        <w:t>, at para. 49 (I</w:t>
      </w:r>
      <w:r w:rsidRPr="00D97463">
        <w:rPr>
          <w:lang w:eastAsia="en-GB"/>
        </w:rPr>
        <w:t xml:space="preserve">ran (Islamic Republic of)); </w:t>
      </w:r>
      <w:hyperlink r:id="rId137" w:history="1">
        <w:r w:rsidRPr="00D97463">
          <w:rPr>
            <w:rStyle w:val="Hyperlink"/>
            <w:lang w:eastAsia="en-GB"/>
          </w:rPr>
          <w:t>A/C.6/67/SR.23</w:t>
        </w:r>
      </w:hyperlink>
      <w:r w:rsidRPr="00D97463">
        <w:rPr>
          <w:lang w:eastAsia="en-GB"/>
        </w:rPr>
        <w:t xml:space="preserve">, at para. 27 (Iran (Islamic Republic of)). </w:t>
      </w:r>
    </w:p>
  </w:footnote>
  <w:footnote w:id="42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e.g.: </w:t>
      </w:r>
      <w:hyperlink r:id="rId138" w:history="1">
        <w:r w:rsidRPr="00D97463">
          <w:rPr>
            <w:rStyle w:val="Hyperlink"/>
          </w:rPr>
          <w:t>A/C.6/64/SR.23</w:t>
        </w:r>
      </w:hyperlink>
      <w:r w:rsidRPr="00D97463">
        <w:t xml:space="preserve">, at para. 52 (United States of America); </w:t>
      </w:r>
      <w:hyperlink r:id="rId139" w:history="1">
        <w:r w:rsidRPr="00D97463">
          <w:rPr>
            <w:rStyle w:val="Hyperlink"/>
          </w:rPr>
          <w:t>A/C.6/64/SR.23</w:t>
        </w:r>
      </w:hyperlink>
      <w:r w:rsidRPr="00D97463">
        <w:t>, para.</w:t>
      </w:r>
      <w:r>
        <w:t xml:space="preserve"> </w:t>
      </w:r>
      <w:r w:rsidRPr="00D97463">
        <w:t xml:space="preserve">31 (Japan); </w:t>
      </w:r>
      <w:hyperlink r:id="rId140" w:history="1">
        <w:r w:rsidRPr="00D97463">
          <w:rPr>
            <w:rStyle w:val="Hyperlink"/>
          </w:rPr>
          <w:t>A/C.6/65/SR.26</w:t>
        </w:r>
      </w:hyperlink>
      <w:r w:rsidRPr="00D97463">
        <w:t xml:space="preserve">, at para. 17 (United States of America); </w:t>
      </w:r>
      <w:hyperlink r:id="rId141" w:history="1">
        <w:r w:rsidRPr="00D97463">
          <w:rPr>
            <w:rStyle w:val="Hyperlink"/>
          </w:rPr>
          <w:t>A/C.6/66/SR.27</w:t>
        </w:r>
      </w:hyperlink>
      <w:r w:rsidRPr="00D97463">
        <w:t xml:space="preserve">, at para. 94 (United States of America); </w:t>
      </w:r>
      <w:hyperlink r:id="rId142" w:history="1">
        <w:r w:rsidRPr="00D97463">
          <w:rPr>
            <w:rStyle w:val="Hyperlink"/>
          </w:rPr>
          <w:t>A/C.6/67/SR.21</w:t>
        </w:r>
      </w:hyperlink>
      <w:r w:rsidRPr="00D97463">
        <w:t>, at para. 103 (United States of America).</w:t>
      </w:r>
    </w:p>
  </w:footnote>
  <w:footnote w:id="42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e.g.: </w:t>
      </w:r>
      <w:hyperlink r:id="rId143" w:history="1">
        <w:r w:rsidRPr="00D97463">
          <w:rPr>
            <w:rStyle w:val="Hyperlink"/>
          </w:rPr>
          <w:t>A/C.6/64/SR.23</w:t>
        </w:r>
      </w:hyperlink>
      <w:r w:rsidRPr="00D97463">
        <w:t xml:space="preserve">, at para. 52 (United States of America); </w:t>
      </w:r>
      <w:hyperlink r:id="rId144" w:history="1">
        <w:r w:rsidRPr="00D97463">
          <w:rPr>
            <w:rStyle w:val="Hyperlink"/>
          </w:rPr>
          <w:t>A/C.6/65/SR.25</w:t>
        </w:r>
      </w:hyperlink>
      <w:r w:rsidRPr="00D97463">
        <w:t>, at para. 82 (</w:t>
      </w:r>
      <w:r w:rsidRPr="00D97463">
        <w:rPr>
          <w:lang w:eastAsia="en-GB"/>
        </w:rPr>
        <w:t xml:space="preserve">United Kingdom); </w:t>
      </w:r>
      <w:hyperlink r:id="rId145" w:history="1">
        <w:r w:rsidRPr="00D97463">
          <w:rPr>
            <w:rStyle w:val="Hyperlink"/>
          </w:rPr>
          <w:t>A/C.6/65/SR.26</w:t>
        </w:r>
      </w:hyperlink>
      <w:r w:rsidRPr="00D97463">
        <w:t xml:space="preserve">, at para. 17 (United States of America); </w:t>
      </w:r>
      <w:hyperlink r:id="rId146" w:history="1">
        <w:r w:rsidRPr="00D97463">
          <w:rPr>
            <w:rStyle w:val="Hyperlink"/>
          </w:rPr>
          <w:t>A/C.6/69/SR.25</w:t>
        </w:r>
      </w:hyperlink>
      <w:r w:rsidRPr="00D97463">
        <w:t>, at</w:t>
      </w:r>
      <w:r w:rsidRPr="00D97463">
        <w:rPr>
          <w:position w:val="-4"/>
        </w:rPr>
        <w:t xml:space="preserve"> </w:t>
      </w:r>
      <w:r w:rsidRPr="00D97463">
        <w:t xml:space="preserve">para. 115 (Austria); </w:t>
      </w:r>
      <w:hyperlink r:id="rId147" w:history="1">
        <w:r w:rsidRPr="00D97463">
          <w:rPr>
            <w:rStyle w:val="Hyperlink"/>
          </w:rPr>
          <w:t>A/C.6/69/SR.26</w:t>
        </w:r>
      </w:hyperlink>
      <w:r w:rsidRPr="00D97463">
        <w:t xml:space="preserve">, at para. 18 (United Kingdom); </w:t>
      </w:r>
      <w:hyperlink r:id="rId148" w:history="1">
        <w:r w:rsidRPr="00D97463">
          <w:rPr>
            <w:rStyle w:val="Hyperlink"/>
          </w:rPr>
          <w:t>A/C.6/69/SR.27</w:t>
        </w:r>
      </w:hyperlink>
      <w:r w:rsidRPr="00D97463">
        <w:t xml:space="preserve">, at para. 26 (United States of America). </w:t>
      </w:r>
    </w:p>
  </w:footnote>
  <w:footnote w:id="42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e.g.: </w:t>
      </w:r>
      <w:hyperlink r:id="rId149" w:history="1">
        <w:r w:rsidRPr="00D97463">
          <w:rPr>
            <w:rStyle w:val="Hyperlink"/>
          </w:rPr>
          <w:t>A/C.6/64/SR.18</w:t>
        </w:r>
      </w:hyperlink>
      <w:r w:rsidRPr="00D97463">
        <w:t xml:space="preserve">, at para. 66 (Hungary); </w:t>
      </w:r>
      <w:hyperlink r:id="rId150" w:history="1">
        <w:r w:rsidRPr="00D97463">
          <w:rPr>
            <w:rStyle w:val="Hyperlink"/>
          </w:rPr>
          <w:t>A/C.6/64/SR.22</w:t>
        </w:r>
      </w:hyperlink>
      <w:r w:rsidRPr="00D97463">
        <w:t>, at para.</w:t>
      </w:r>
      <w:r>
        <w:t xml:space="preserve"> </w:t>
      </w:r>
      <w:r w:rsidRPr="00D97463">
        <w:t xml:space="preserve">75 (New Zealand); </w:t>
      </w:r>
      <w:hyperlink r:id="rId151" w:history="1">
        <w:r w:rsidRPr="00D97463">
          <w:rPr>
            <w:rStyle w:val="Hyperlink"/>
          </w:rPr>
          <w:t>A/C.6/65/SR.26</w:t>
        </w:r>
      </w:hyperlink>
      <w:r w:rsidRPr="00D97463">
        <w:t xml:space="preserve">, at para. 45 (Sri Lanka); </w:t>
      </w:r>
      <w:hyperlink r:id="rId152" w:history="1">
        <w:r w:rsidRPr="00D97463">
          <w:rPr>
            <w:rStyle w:val="Hyperlink"/>
          </w:rPr>
          <w:t>A/C.6/66/SR.27</w:t>
        </w:r>
      </w:hyperlink>
      <w:r w:rsidRPr="00D97463">
        <w:t xml:space="preserve">, at para. 28 (Sri Lanka); </w:t>
      </w:r>
      <w:hyperlink r:id="rId153" w:history="1">
        <w:r w:rsidRPr="00D97463">
          <w:rPr>
            <w:rStyle w:val="Hyperlink"/>
          </w:rPr>
          <w:t>A/C.6/66/SR.27</w:t>
        </w:r>
      </w:hyperlink>
      <w:r w:rsidRPr="00D97463">
        <w:t xml:space="preserve">, at para. 69 (Russian Federation); </w:t>
      </w:r>
      <w:hyperlink r:id="rId154" w:history="1">
        <w:r w:rsidRPr="00D97463">
          <w:rPr>
            <w:rStyle w:val="Hyperlink"/>
          </w:rPr>
          <w:t>A/C.6/66/SR.27</w:t>
        </w:r>
      </w:hyperlink>
      <w:r w:rsidRPr="00D97463">
        <w:t xml:space="preserve">, at para. 78 (Portugal); </w:t>
      </w:r>
      <w:hyperlink r:id="rId155" w:history="1">
        <w:r w:rsidRPr="00D97463">
          <w:rPr>
            <w:rStyle w:val="Hyperlink"/>
          </w:rPr>
          <w:t>A/C.6/66/SR.27</w:t>
        </w:r>
      </w:hyperlink>
      <w:r w:rsidRPr="00D97463">
        <w:t xml:space="preserve">, at para. 89 (Viet Nam); </w:t>
      </w:r>
      <w:hyperlink r:id="rId156" w:history="1">
        <w:r w:rsidRPr="00D97463">
          <w:rPr>
            <w:rStyle w:val="Hyperlink"/>
          </w:rPr>
          <w:t>A/C.6/66/SR.28</w:t>
        </w:r>
      </w:hyperlink>
      <w:r w:rsidRPr="00D97463">
        <w:t xml:space="preserve">, at para. 21 (Canada); </w:t>
      </w:r>
      <w:hyperlink r:id="rId157" w:history="1">
        <w:r w:rsidRPr="00D97463">
          <w:rPr>
            <w:rStyle w:val="Hyperlink"/>
          </w:rPr>
          <w:t>A/C.6/67/SR.20</w:t>
        </w:r>
      </w:hyperlink>
      <w:r w:rsidRPr="00D97463">
        <w:t xml:space="preserve">, at para. 109 (Canada); </w:t>
      </w:r>
      <w:hyperlink r:id="rId158" w:history="1">
        <w:r w:rsidRPr="00D97463">
          <w:rPr>
            <w:rStyle w:val="Hyperlink"/>
          </w:rPr>
          <w:t>A/C.6/69/SR.25</w:t>
        </w:r>
      </w:hyperlink>
      <w:r w:rsidRPr="00D97463">
        <w:t xml:space="preserve">, at para. 21 (Viet Nam); </w:t>
      </w:r>
      <w:hyperlink r:id="rId159" w:history="1">
        <w:r w:rsidRPr="00D97463">
          <w:rPr>
            <w:rStyle w:val="Hyperlink"/>
          </w:rPr>
          <w:t>A/C.6/69/SR.26</w:t>
        </w:r>
      </w:hyperlink>
      <w:r w:rsidRPr="00D97463">
        <w:t xml:space="preserve">, at para. 69 (Singapore); </w:t>
      </w:r>
      <w:hyperlink r:id="rId160" w:history="1">
        <w:r w:rsidRPr="00D97463">
          <w:rPr>
            <w:rStyle w:val="Hyperlink"/>
          </w:rPr>
          <w:t>A/C.6/69/SR.26</w:t>
        </w:r>
      </w:hyperlink>
      <w:r w:rsidRPr="00D97463">
        <w:t xml:space="preserve">, at para. 73 (Australia); </w:t>
      </w:r>
      <w:hyperlink r:id="rId161" w:history="1">
        <w:r w:rsidRPr="00D97463">
          <w:rPr>
            <w:rStyle w:val="Hyperlink"/>
          </w:rPr>
          <w:t>A/C.6/69/SR.27</w:t>
        </w:r>
      </w:hyperlink>
      <w:r w:rsidRPr="00D97463">
        <w:t>, at para. 76 (Republic of Korea).</w:t>
      </w:r>
    </w:p>
  </w:footnote>
  <w:footnote w:id="423">
    <w:p w:rsidR="00A3158E" w:rsidRPr="00D97463" w:rsidRDefault="00A3158E" w:rsidP="00D97463">
      <w:pPr>
        <w:pStyle w:val="FootnoteText"/>
        <w:ind w:right="1260"/>
        <w:rPr>
          <w:rFonts w:eastAsia="MS Mincho"/>
          <w:lang w:eastAsia="ja-JP"/>
        </w:rPr>
      </w:pPr>
      <w:r w:rsidRPr="00D97463">
        <w:tab/>
      </w:r>
      <w:r w:rsidRPr="00D97463">
        <w:rPr>
          <w:rStyle w:val="FootnoteReference"/>
        </w:rPr>
        <w:footnoteRef/>
      </w:r>
      <w:r w:rsidRPr="00D97463">
        <w:t xml:space="preserve"> </w:t>
      </w:r>
      <w:r w:rsidRPr="00D97463">
        <w:tab/>
        <w:t xml:space="preserve">United Nations, </w:t>
      </w:r>
      <w:r w:rsidRPr="00D97463">
        <w:rPr>
          <w:i/>
          <w:iCs/>
        </w:rPr>
        <w:t xml:space="preserve">The Work of the International Law Commission, </w:t>
      </w:r>
      <w:r w:rsidRPr="00D97463">
        <w:rPr>
          <w:iCs/>
        </w:rPr>
        <w:t>Eighth ed., vol. 1,</w:t>
      </w:r>
      <w:r w:rsidRPr="00D97463">
        <w:rPr>
          <w:i/>
          <w:iCs/>
        </w:rPr>
        <w:t xml:space="preserve"> </w:t>
      </w:r>
      <w:r w:rsidRPr="00D97463">
        <w:rPr>
          <w:iCs/>
        </w:rPr>
        <w:t>(</w:t>
      </w:r>
      <w:r w:rsidRPr="00D97463">
        <w:t xml:space="preserve">2012), U.N. Sales No. E.12.V.2 (ISBN 978-92-1-133720-4), </w:t>
      </w:r>
      <w:r w:rsidRPr="00D97463">
        <w:rPr>
          <w:rFonts w:eastAsia="MS Mincho"/>
          <w:lang w:eastAsia="ja-JP"/>
        </w:rPr>
        <w:t>p.</w:t>
      </w:r>
      <w:r>
        <w:rPr>
          <w:rFonts w:eastAsia="MS Mincho"/>
          <w:lang w:eastAsia="ja-JP"/>
        </w:rPr>
        <w:t xml:space="preserve"> </w:t>
      </w:r>
      <w:r w:rsidRPr="00D97463">
        <w:rPr>
          <w:rFonts w:eastAsia="MS Mincho"/>
          <w:lang w:eastAsia="ja-JP"/>
        </w:rPr>
        <w:t>171.</w:t>
      </w:r>
    </w:p>
  </w:footnote>
  <w:footnote w:id="424">
    <w:p w:rsidR="00A3158E" w:rsidRPr="00D97463" w:rsidRDefault="00A3158E" w:rsidP="00D97463">
      <w:pPr>
        <w:pStyle w:val="FootnoteText"/>
        <w:ind w:right="1260"/>
        <w:rPr>
          <w:lang w:eastAsia="ja-JP"/>
        </w:rPr>
      </w:pPr>
      <w:r w:rsidRPr="00D97463">
        <w:rPr>
          <w:lang w:eastAsia="ja-JP"/>
        </w:rPr>
        <w:tab/>
      </w:r>
      <w:r w:rsidRPr="00D97463">
        <w:rPr>
          <w:rStyle w:val="FootnoteReference"/>
        </w:rPr>
        <w:footnoteRef/>
      </w:r>
      <w:r w:rsidRPr="00D97463">
        <w:rPr>
          <w:lang w:eastAsia="ja-JP"/>
        </w:rPr>
        <w:t xml:space="preserve"> </w:t>
      </w:r>
      <w:r w:rsidRPr="00D97463">
        <w:rPr>
          <w:lang w:eastAsia="ja-JP"/>
        </w:rPr>
        <w:tab/>
      </w:r>
      <w:r w:rsidRPr="00D97463">
        <w:rPr>
          <w:i/>
          <w:lang w:eastAsia="ja-JP"/>
        </w:rPr>
        <w:t>Ibid</w:t>
      </w:r>
      <w:r w:rsidRPr="00D97463">
        <w:rPr>
          <w:lang w:eastAsia="ja-JP"/>
        </w:rPr>
        <w:t>, p.</w:t>
      </w:r>
      <w:r>
        <w:rPr>
          <w:lang w:eastAsia="ja-JP"/>
        </w:rPr>
        <w:t xml:space="preserve"> </w:t>
      </w:r>
      <w:r w:rsidRPr="00D97463">
        <w:rPr>
          <w:lang w:eastAsia="ja-JP"/>
        </w:rPr>
        <w:t>172.</w:t>
      </w:r>
    </w:p>
  </w:footnote>
  <w:footnote w:id="425">
    <w:p w:rsidR="00A3158E" w:rsidRPr="00D97463" w:rsidRDefault="00A3158E" w:rsidP="00D97463">
      <w:pPr>
        <w:pStyle w:val="FootnoteText"/>
        <w:ind w:right="1260"/>
        <w:rPr>
          <w:rFonts w:eastAsia="MS Mincho"/>
          <w:lang w:eastAsia="ja-JP"/>
        </w:rPr>
      </w:pPr>
      <w:r w:rsidRPr="00D97463">
        <w:tab/>
      </w:r>
      <w:r w:rsidRPr="00D97463">
        <w:rPr>
          <w:rStyle w:val="FootnoteReference"/>
        </w:rPr>
        <w:footnoteRef/>
      </w:r>
      <w:r w:rsidRPr="00D97463">
        <w:t xml:space="preserve"> </w:t>
      </w:r>
      <w:r w:rsidRPr="00D97463">
        <w:tab/>
      </w:r>
      <w:r w:rsidRPr="00D97463">
        <w:rPr>
          <w:rFonts w:eastAsia="MS Mincho"/>
          <w:lang w:eastAsia="ja-JP"/>
        </w:rPr>
        <w:t xml:space="preserve">Shinya Murase, </w:t>
      </w:r>
      <w:r w:rsidRPr="00D97463">
        <w:rPr>
          <w:rFonts w:eastAsia="MS Mincho"/>
          <w:i/>
          <w:lang w:eastAsia="ja-JP"/>
        </w:rPr>
        <w:t>Kokusaiho no Keizaiteki Kiso</w:t>
      </w:r>
      <w:r w:rsidRPr="00D97463">
        <w:rPr>
          <w:rFonts w:eastAsia="MS Mincho"/>
          <w:lang w:eastAsia="ja-JP"/>
        </w:rPr>
        <w:t xml:space="preserve"> (Tokyo: Yuhikaku, 2001), pp. 14-201 [in Japanese]; Shinya Murase</w:t>
      </w:r>
      <w:r w:rsidRPr="00D97463">
        <w:t xml:space="preserve">, “The Most-Favored-Nation Treatment in Japan’s Treaty Practice 1854-1905”, </w:t>
      </w:r>
      <w:r w:rsidRPr="00D97463">
        <w:rPr>
          <w:i/>
          <w:iCs/>
        </w:rPr>
        <w:t>American Journal of International Law,</w:t>
      </w:r>
      <w:r w:rsidRPr="00D97463">
        <w:t xml:space="preserve"> vol.</w:t>
      </w:r>
      <w:r>
        <w:t xml:space="preserve"> </w:t>
      </w:r>
      <w:r w:rsidRPr="00D97463">
        <w:t>70 (1976), pp. 273-297</w:t>
      </w:r>
      <w:r w:rsidRPr="00D97463">
        <w:rPr>
          <w:rFonts w:eastAsia="MS Mincho"/>
          <w:lang w:eastAsia="ja-JP"/>
        </w:rPr>
        <w:t>.</w:t>
      </w:r>
    </w:p>
  </w:footnote>
  <w:footnote w:id="42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for example, draft art. 5 of the 1978 draft articles, </w:t>
      </w:r>
      <w:r w:rsidRPr="00D97463">
        <w:rPr>
          <w:rFonts w:eastAsia="MS Mincho"/>
          <w:i/>
          <w:lang w:eastAsia="ja-JP"/>
        </w:rPr>
        <w:t>Yearbook</w:t>
      </w:r>
      <w:r>
        <w:rPr>
          <w:rFonts w:eastAsia="MS Mincho"/>
          <w:i/>
          <w:lang w:eastAsia="ja-JP"/>
        </w:rPr>
        <w:t xml:space="preserve"> </w:t>
      </w:r>
      <w:r w:rsidRPr="00D97463">
        <w:rPr>
          <w:rFonts w:eastAsia="MS Mincho"/>
          <w:i/>
          <w:lang w:eastAsia="ja-JP"/>
        </w:rPr>
        <w:t>…</w:t>
      </w:r>
      <w:r>
        <w:rPr>
          <w:rFonts w:eastAsia="MS Mincho"/>
          <w:i/>
          <w:lang w:eastAsia="ja-JP"/>
        </w:rPr>
        <w:t xml:space="preserve"> </w:t>
      </w:r>
      <w:r w:rsidRPr="00D97463">
        <w:rPr>
          <w:rFonts w:eastAsia="MS Mincho"/>
          <w:i/>
          <w:lang w:eastAsia="ja-JP"/>
        </w:rPr>
        <w:t>1978</w:t>
      </w:r>
      <w:r w:rsidRPr="00D97463">
        <w:rPr>
          <w:rFonts w:eastAsia="MS Mincho"/>
          <w:lang w:eastAsia="ja-JP"/>
        </w:rPr>
        <w:t>, vol. II, Part Two, p. 21.</w:t>
      </w:r>
    </w:p>
  </w:footnote>
  <w:footnote w:id="427">
    <w:p w:rsidR="00A3158E" w:rsidRPr="00D97463" w:rsidRDefault="00A3158E" w:rsidP="00D97463">
      <w:pPr>
        <w:pStyle w:val="FootnoteText"/>
        <w:ind w:right="1260"/>
        <w:rPr>
          <w:lang w:eastAsia="ja-JP"/>
        </w:rPr>
      </w:pPr>
      <w:r w:rsidRPr="00D97463">
        <w:tab/>
      </w:r>
      <w:r w:rsidRPr="00D97463">
        <w:rPr>
          <w:rStyle w:val="FootnoteReference"/>
        </w:rPr>
        <w:footnoteRef/>
      </w:r>
      <w:r w:rsidRPr="00D97463">
        <w:t xml:space="preserve"> </w:t>
      </w:r>
      <w:r w:rsidRPr="00D97463">
        <w:tab/>
      </w:r>
      <w:r w:rsidRPr="00D97463">
        <w:rPr>
          <w:lang w:eastAsia="ja-JP"/>
        </w:rPr>
        <w:t xml:space="preserve">This difficulty was pointed out by the comment of Luxembourg on the draft articles on first reading as follows: “Questions arise concerning the scope of the formula … in which reference is made to ‘persons’ or ‘things’ in a ‘determined relationship’ with a given State. To what persons does it refer? While the situation may be clear enough in the case of physical persons, it is much less so in the case of economic enterprises, whether or not corporate bodies. Does the reference to ‘things’ apply only to material objects or also to intangible goods such as the performance of services or commercial, industrial or intellectual property rights? Finally, what should be understood by the words ‘determined relationship’ with a State, especially in the case of economic enterprises or intangible goods?” </w:t>
      </w:r>
      <w:r w:rsidRPr="00D97463">
        <w:rPr>
          <w:i/>
          <w:iCs/>
          <w:lang w:eastAsia="ja-JP"/>
        </w:rPr>
        <w:t>Ibid.</w:t>
      </w:r>
      <w:r w:rsidRPr="00D97463">
        <w:rPr>
          <w:i/>
          <w:lang w:eastAsia="ja-JP"/>
        </w:rPr>
        <w:t xml:space="preserve">, </w:t>
      </w:r>
      <w:r w:rsidRPr="00D97463">
        <w:rPr>
          <w:lang w:eastAsia="ja-JP"/>
        </w:rPr>
        <w:t>p. 167.</w:t>
      </w:r>
    </w:p>
  </w:footnote>
  <w:footnote w:id="42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lang w:bidi="en-US"/>
        </w:rPr>
        <w:t>Ibid.</w:t>
      </w:r>
      <w:r w:rsidRPr="00D97463">
        <w:rPr>
          <w:lang w:bidi="en-US"/>
        </w:rPr>
        <w:t>, pp. 24-25 (</w:t>
      </w:r>
      <w:r w:rsidRPr="00D97463">
        <w:t>draft arts. 7 and 8).</w:t>
      </w:r>
    </w:p>
  </w:footnote>
  <w:footnote w:id="429">
    <w:p w:rsidR="00A3158E" w:rsidRPr="00D97463" w:rsidRDefault="00A3158E" w:rsidP="00D97463">
      <w:pPr>
        <w:pStyle w:val="FootnoteText"/>
        <w:ind w:right="1260"/>
        <w:rPr>
          <w:lang w:eastAsia="ja-JP"/>
        </w:rPr>
      </w:pPr>
      <w:r w:rsidRPr="00D97463">
        <w:tab/>
      </w:r>
      <w:r w:rsidRPr="00D97463">
        <w:rPr>
          <w:rStyle w:val="FootnoteReference"/>
        </w:rPr>
        <w:footnoteRef/>
      </w:r>
      <w:r w:rsidRPr="00D97463">
        <w:t xml:space="preserve"> </w:t>
      </w:r>
      <w:r w:rsidRPr="00D97463">
        <w:tab/>
      </w:r>
      <w:r w:rsidRPr="00D97463">
        <w:rPr>
          <w:i/>
          <w:iCs/>
          <w:lang w:eastAsia="ja-JP"/>
        </w:rPr>
        <w:t>Anglo-Iranian Oil Co. case (United Kingdom v. Iran), Preliminary Objection, Judgment, I.C.J. Reports 1952</w:t>
      </w:r>
      <w:r w:rsidRPr="00D97463">
        <w:rPr>
          <w:lang w:eastAsia="ja-JP"/>
        </w:rPr>
        <w:t>, pp.</w:t>
      </w:r>
      <w:r>
        <w:rPr>
          <w:lang w:eastAsia="ja-JP"/>
        </w:rPr>
        <w:t xml:space="preserve"> </w:t>
      </w:r>
      <w:r w:rsidRPr="00D97463">
        <w:rPr>
          <w:lang w:eastAsia="ja-JP"/>
        </w:rPr>
        <w:t xml:space="preserve">109-110. </w:t>
      </w:r>
    </w:p>
  </w:footnote>
  <w:footnote w:id="43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lang w:bidi="en-US"/>
        </w:rPr>
        <w:t>Yearbook</w:t>
      </w:r>
      <w:r>
        <w:rPr>
          <w:i/>
          <w:iCs/>
          <w:lang w:bidi="en-US"/>
        </w:rPr>
        <w:t xml:space="preserve"> </w:t>
      </w:r>
      <w:r w:rsidRPr="00D97463">
        <w:rPr>
          <w:i/>
          <w:iCs/>
          <w:lang w:bidi="en-US"/>
        </w:rPr>
        <w:t>…</w:t>
      </w:r>
      <w:r>
        <w:rPr>
          <w:i/>
          <w:iCs/>
          <w:lang w:bidi="en-US"/>
        </w:rPr>
        <w:t xml:space="preserve"> </w:t>
      </w:r>
      <w:r w:rsidRPr="00D97463">
        <w:rPr>
          <w:i/>
          <w:iCs/>
          <w:lang w:bidi="en-US"/>
        </w:rPr>
        <w:t>1978</w:t>
      </w:r>
      <w:r w:rsidRPr="00D97463">
        <w:rPr>
          <w:lang w:bidi="en-US"/>
        </w:rPr>
        <w:t xml:space="preserve">, </w:t>
      </w:r>
      <w:r w:rsidRPr="00D97463">
        <w:rPr>
          <w:rFonts w:eastAsia="MS Mincho"/>
          <w:lang w:eastAsia="ja-JP"/>
        </w:rPr>
        <w:t>vol. II, Part Two,</w:t>
      </w:r>
      <w:r w:rsidRPr="00D97463">
        <w:rPr>
          <w:lang w:bidi="en-US"/>
        </w:rPr>
        <w:t xml:space="preserve"> p. 27 (</w:t>
      </w:r>
      <w:r w:rsidRPr="00D97463">
        <w:t>see especially draft art.</w:t>
      </w:r>
      <w:r>
        <w:t xml:space="preserve"> </w:t>
      </w:r>
      <w:r w:rsidRPr="00D97463">
        <w:t>10(2)).</w:t>
      </w:r>
    </w:p>
  </w:footnote>
  <w:footnote w:id="43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hyperlink r:id="rId162" w:history="1">
        <w:r w:rsidRPr="00D97463">
          <w:rPr>
            <w:rStyle w:val="Hyperlink"/>
          </w:rPr>
          <w:t>A/C.6/33/SR.37</w:t>
        </w:r>
      </w:hyperlink>
      <w:r w:rsidRPr="00D97463">
        <w:t xml:space="preserve"> at para. 52 (Canada).</w:t>
      </w:r>
    </w:p>
  </w:footnote>
  <w:footnote w:id="43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hyperlink r:id="rId163" w:history="1">
        <w:r w:rsidRPr="00D97463">
          <w:rPr>
            <w:rStyle w:val="Hyperlink"/>
          </w:rPr>
          <w:t>A/C.6/33/SR.46</w:t>
        </w:r>
      </w:hyperlink>
      <w:r w:rsidRPr="00D97463">
        <w:t xml:space="preserve"> at para. 2 (Denmark); </w:t>
      </w:r>
      <w:hyperlink r:id="rId164" w:history="1">
        <w:r w:rsidRPr="00D97463">
          <w:rPr>
            <w:rStyle w:val="Hyperlink"/>
          </w:rPr>
          <w:t>A/C.6/33/SR.37</w:t>
        </w:r>
      </w:hyperlink>
      <w:r w:rsidRPr="00D97463">
        <w:t xml:space="preserve"> at para. 11 (United Kingdom). </w:t>
      </w:r>
    </w:p>
  </w:footnote>
  <w:footnote w:id="433">
    <w:p w:rsidR="00A3158E" w:rsidRPr="00D97463" w:rsidRDefault="00A3158E" w:rsidP="00A3158E">
      <w:pPr>
        <w:pStyle w:val="FootnoteText"/>
        <w:ind w:right="1260"/>
        <w:rPr>
          <w:lang w:eastAsia="ja-JP"/>
        </w:rPr>
      </w:pPr>
      <w:r w:rsidRPr="00D97463">
        <w:rPr>
          <w:lang w:eastAsia="ja-JP"/>
        </w:rPr>
        <w:tab/>
      </w:r>
      <w:r w:rsidRPr="00D97463">
        <w:rPr>
          <w:rStyle w:val="FootnoteReference"/>
        </w:rPr>
        <w:footnoteRef/>
      </w:r>
      <w:r w:rsidRPr="00D97463">
        <w:rPr>
          <w:lang w:eastAsia="ja-JP"/>
        </w:rPr>
        <w:tab/>
      </w:r>
      <w:hyperlink r:id="rId165" w:history="1">
        <w:r w:rsidRPr="00D97463">
          <w:rPr>
            <w:rStyle w:val="Hyperlink"/>
            <w:lang w:eastAsia="ja-JP"/>
          </w:rPr>
          <w:t>A/C.6/33/SR.37</w:t>
        </w:r>
      </w:hyperlink>
      <w:r w:rsidRPr="00D97463">
        <w:rPr>
          <w:lang w:eastAsia="ja-JP"/>
        </w:rPr>
        <w:t xml:space="preserve"> at para. </w:t>
      </w:r>
      <w:r w:rsidRPr="00D97463">
        <w:rPr>
          <w:lang w:val="es-ES" w:eastAsia="ja-JP"/>
        </w:rPr>
        <w:t xml:space="preserve">24 (Liberia); </w:t>
      </w:r>
      <w:hyperlink r:id="rId166" w:history="1">
        <w:r w:rsidRPr="00A3158E">
          <w:rPr>
            <w:rStyle w:val="Hyperlink"/>
            <w:rFonts w:eastAsia="Calibri"/>
            <w:bCs/>
            <w:lang w:val="es-ES"/>
          </w:rPr>
          <w:t>A/C.6/33/SR.41</w:t>
        </w:r>
      </w:hyperlink>
      <w:r w:rsidRPr="00A3158E">
        <w:rPr>
          <w:rFonts w:eastAsia="Calibri"/>
          <w:bCs/>
          <w:lang w:val="es-ES"/>
        </w:rPr>
        <w:t xml:space="preserve"> at para. 43 (Ecuador); </w:t>
      </w:r>
      <w:hyperlink r:id="rId167" w:history="1">
        <w:r w:rsidRPr="00A3158E">
          <w:rPr>
            <w:rStyle w:val="Hyperlink"/>
            <w:rFonts w:eastAsia="Calibri"/>
            <w:bCs/>
            <w:lang w:val="es-ES"/>
          </w:rPr>
          <w:t>A/C.6/33/SR.43</w:t>
        </w:r>
      </w:hyperlink>
      <w:r w:rsidRPr="00D97463">
        <w:rPr>
          <w:rFonts w:eastAsia="Calibri"/>
          <w:bCs/>
          <w:lang w:val="es-ES"/>
        </w:rPr>
        <w:t xml:space="preserve"> at para. </w:t>
      </w:r>
      <w:r w:rsidRPr="00D97463">
        <w:rPr>
          <w:rFonts w:eastAsia="Calibri"/>
          <w:bCs/>
        </w:rPr>
        <w:t xml:space="preserve">23 (Ghana); </w:t>
      </w:r>
      <w:hyperlink r:id="rId168" w:history="1">
        <w:r w:rsidRPr="00A3158E">
          <w:rPr>
            <w:rStyle w:val="Hyperlink"/>
            <w:rFonts w:eastAsia="Calibri"/>
            <w:bCs/>
          </w:rPr>
          <w:t>A/C.6/33/SR.45</w:t>
        </w:r>
      </w:hyperlink>
      <w:r w:rsidRPr="00D97463">
        <w:rPr>
          <w:rFonts w:eastAsia="Calibri"/>
          <w:bCs/>
        </w:rPr>
        <w:t xml:space="preserve"> at paras. 21-26 (Swaziland). </w:t>
      </w:r>
      <w:r w:rsidRPr="00D97463">
        <w:rPr>
          <w:lang w:eastAsia="ja-JP"/>
        </w:rPr>
        <w:t xml:space="preserve">The European Economic Community thought the draft articles should have dealt explicitly with relations between States of differing economic status: </w:t>
      </w:r>
      <w:hyperlink r:id="rId169" w:history="1">
        <w:r w:rsidRPr="00D97463">
          <w:rPr>
            <w:rStyle w:val="Hyperlink"/>
            <w:lang w:eastAsia="ja-JP"/>
          </w:rPr>
          <w:t>A/C.6/33/SR.32</w:t>
        </w:r>
      </w:hyperlink>
      <w:r w:rsidRPr="00D97463">
        <w:rPr>
          <w:lang w:eastAsia="ja-JP"/>
        </w:rPr>
        <w:t xml:space="preserve"> at paras. 6-7, 16-17 (EEC). See also </w:t>
      </w:r>
      <w:hyperlink r:id="rId170" w:history="1">
        <w:r w:rsidRPr="00A3158E">
          <w:rPr>
            <w:rStyle w:val="Hyperlink"/>
            <w:rFonts w:eastAsia="Calibri"/>
            <w:bCs/>
          </w:rPr>
          <w:t>A/C.6/33/SR.39</w:t>
        </w:r>
      </w:hyperlink>
      <w:r w:rsidRPr="00D97463">
        <w:rPr>
          <w:rFonts w:eastAsia="Calibri"/>
          <w:bCs/>
        </w:rPr>
        <w:t xml:space="preserve"> at para. 24 (Belgium).</w:t>
      </w:r>
    </w:p>
  </w:footnote>
  <w:footnote w:id="434">
    <w:p w:rsidR="00A3158E" w:rsidRPr="00D97463" w:rsidRDefault="00A3158E" w:rsidP="00A3158E">
      <w:pPr>
        <w:pStyle w:val="FootnoteText"/>
        <w:ind w:right="1260"/>
      </w:pPr>
      <w:r w:rsidRPr="00D97463">
        <w:tab/>
      </w:r>
      <w:r w:rsidRPr="00D97463">
        <w:rPr>
          <w:rStyle w:val="FootnoteReference"/>
        </w:rPr>
        <w:footnoteRef/>
      </w:r>
      <w:r w:rsidRPr="00D97463">
        <w:t xml:space="preserve"> </w:t>
      </w:r>
      <w:r w:rsidRPr="00D97463">
        <w:tab/>
      </w:r>
      <w:hyperlink r:id="rId171" w:history="1">
        <w:r w:rsidRPr="00D97463">
          <w:rPr>
            <w:rStyle w:val="Hyperlink"/>
            <w:lang w:eastAsia="ja-JP"/>
          </w:rPr>
          <w:t>A/C.6/33/SR.32</w:t>
        </w:r>
      </w:hyperlink>
      <w:r w:rsidRPr="00D97463">
        <w:rPr>
          <w:lang w:eastAsia="ja-JP"/>
        </w:rPr>
        <w:t xml:space="preserve"> at para. 20 (Jamaica); </w:t>
      </w:r>
      <w:hyperlink r:id="rId172" w:history="1">
        <w:r w:rsidRPr="00A3158E">
          <w:rPr>
            <w:rStyle w:val="Hyperlink"/>
            <w:rFonts w:eastAsia="Calibri"/>
            <w:bCs/>
          </w:rPr>
          <w:t>A/C.6/33/SR.42</w:t>
        </w:r>
      </w:hyperlink>
      <w:r w:rsidRPr="00D97463">
        <w:rPr>
          <w:rFonts w:eastAsia="Calibri"/>
          <w:bCs/>
        </w:rPr>
        <w:t xml:space="preserve"> at para. 30 (Bangladesh).</w:t>
      </w:r>
    </w:p>
  </w:footnote>
  <w:footnote w:id="435">
    <w:p w:rsidR="00A3158E" w:rsidRPr="003B04C4" w:rsidRDefault="00A3158E" w:rsidP="00A3158E">
      <w:pPr>
        <w:pStyle w:val="FootnoteText"/>
        <w:ind w:right="1260"/>
        <w:rPr>
          <w:lang w:eastAsia="ja-JP"/>
        </w:rPr>
      </w:pPr>
      <w:r w:rsidRPr="00D97463">
        <w:rPr>
          <w:lang w:eastAsia="ja-JP"/>
        </w:rPr>
        <w:tab/>
      </w:r>
      <w:r w:rsidRPr="00D97463">
        <w:rPr>
          <w:rStyle w:val="FootnoteReference"/>
        </w:rPr>
        <w:footnoteRef/>
      </w:r>
      <w:r w:rsidRPr="00D97463">
        <w:rPr>
          <w:lang w:eastAsia="ja-JP"/>
        </w:rPr>
        <w:tab/>
      </w:r>
      <w:hyperlink r:id="rId173" w:history="1">
        <w:r w:rsidRPr="003B04C4">
          <w:rPr>
            <w:rStyle w:val="Hyperlink"/>
            <w:lang w:eastAsia="ja-JP"/>
          </w:rPr>
          <w:t>A/C.6/33/SR.37</w:t>
        </w:r>
      </w:hyperlink>
      <w:r w:rsidRPr="003B04C4">
        <w:rPr>
          <w:lang w:eastAsia="ja-JP"/>
        </w:rPr>
        <w:t xml:space="preserve"> at para. 42 (Chile); </w:t>
      </w:r>
      <w:hyperlink r:id="rId174" w:history="1">
        <w:r w:rsidRPr="003B04C4">
          <w:rPr>
            <w:rStyle w:val="Hyperlink"/>
            <w:rFonts w:eastAsia="Calibri"/>
            <w:bCs/>
          </w:rPr>
          <w:t>A/C.6/33/SR.43</w:t>
        </w:r>
      </w:hyperlink>
      <w:r w:rsidRPr="003B04C4">
        <w:rPr>
          <w:rFonts w:eastAsia="Calibri"/>
          <w:bCs/>
        </w:rPr>
        <w:t xml:space="preserve"> at para. 39 (Guyana). </w:t>
      </w:r>
      <w:r w:rsidRPr="003B04C4">
        <w:rPr>
          <w:lang w:eastAsia="ja-JP"/>
        </w:rPr>
        <w:t xml:space="preserve">Several States called for better legal definition of “developed” and “developing” States: </w:t>
      </w:r>
      <w:hyperlink r:id="rId175" w:history="1">
        <w:r w:rsidRPr="003B04C4">
          <w:rPr>
            <w:rStyle w:val="Hyperlink"/>
            <w:rFonts w:eastAsia="Calibri"/>
            <w:bCs/>
          </w:rPr>
          <w:t>A/C.6/33/SR.39</w:t>
        </w:r>
      </w:hyperlink>
      <w:r w:rsidRPr="003B04C4">
        <w:rPr>
          <w:rFonts w:eastAsia="Calibri"/>
          <w:bCs/>
        </w:rPr>
        <w:t xml:space="preserve"> at para. 27 (Belgium); </w:t>
      </w:r>
      <w:hyperlink r:id="rId176" w:history="1">
        <w:r w:rsidRPr="003B04C4">
          <w:rPr>
            <w:rStyle w:val="Hyperlink"/>
            <w:rFonts w:eastAsia="Calibri"/>
            <w:bCs/>
          </w:rPr>
          <w:t>A/C.6/33/SR.40</w:t>
        </w:r>
      </w:hyperlink>
      <w:r w:rsidRPr="003B04C4">
        <w:rPr>
          <w:rFonts w:eastAsia="Calibri"/>
          <w:bCs/>
        </w:rPr>
        <w:t xml:space="preserve"> at para. 5 (United States of America). </w:t>
      </w:r>
    </w:p>
  </w:footnote>
  <w:footnote w:id="436">
    <w:p w:rsidR="00A3158E" w:rsidRPr="003B04C4" w:rsidRDefault="00A3158E" w:rsidP="00A3158E">
      <w:pPr>
        <w:pStyle w:val="FootnoteText"/>
        <w:ind w:right="1260"/>
      </w:pPr>
      <w:r w:rsidRPr="003B04C4">
        <w:tab/>
      </w:r>
      <w:r w:rsidRPr="003B04C4">
        <w:rPr>
          <w:rStyle w:val="FootnoteReference"/>
        </w:rPr>
        <w:footnoteRef/>
      </w:r>
      <w:r w:rsidRPr="003B04C4">
        <w:t xml:space="preserve"> </w:t>
      </w:r>
      <w:r w:rsidRPr="003B04C4">
        <w:tab/>
      </w:r>
      <w:hyperlink r:id="rId177" w:history="1">
        <w:r w:rsidRPr="003B04C4">
          <w:rPr>
            <w:rStyle w:val="Hyperlink"/>
          </w:rPr>
          <w:t>A/C.6/33/SR.33</w:t>
        </w:r>
      </w:hyperlink>
      <w:r w:rsidRPr="003B04C4">
        <w:t xml:space="preserve"> at para. 28 (Federal Republic of Germany); </w:t>
      </w:r>
      <w:hyperlink r:id="rId178" w:history="1">
        <w:r w:rsidRPr="003B04C4">
          <w:rPr>
            <w:rStyle w:val="Hyperlink"/>
            <w:lang w:eastAsia="ja-JP"/>
          </w:rPr>
          <w:t>A/C.6/33/SR.37</w:t>
        </w:r>
      </w:hyperlink>
      <w:r w:rsidRPr="003B04C4">
        <w:rPr>
          <w:lang w:eastAsia="ja-JP"/>
        </w:rPr>
        <w:t xml:space="preserve"> at para. 33 (Romania); </w:t>
      </w:r>
      <w:hyperlink r:id="rId179" w:history="1">
        <w:r w:rsidRPr="003B04C4">
          <w:rPr>
            <w:rStyle w:val="Hyperlink"/>
          </w:rPr>
          <w:t>A/C.6/33/SR.40</w:t>
        </w:r>
      </w:hyperlink>
      <w:r w:rsidRPr="003B04C4">
        <w:t xml:space="preserve"> at para. 63 (Syria); </w:t>
      </w:r>
      <w:hyperlink r:id="rId180" w:history="1">
        <w:r w:rsidRPr="003B04C4">
          <w:rPr>
            <w:rStyle w:val="Hyperlink"/>
          </w:rPr>
          <w:t>A/C.6/33/SR.41</w:t>
        </w:r>
      </w:hyperlink>
      <w:r w:rsidRPr="003B04C4">
        <w:t xml:space="preserve"> at para. 60 (Libyan Arab Jamahiriya). Italy was disappointed that scope of the draft articles did not include supra-national bodies: </w:t>
      </w:r>
      <w:hyperlink r:id="rId181" w:history="1">
        <w:r w:rsidRPr="003B04C4">
          <w:rPr>
            <w:rStyle w:val="Hyperlink"/>
          </w:rPr>
          <w:t>A/C.6/33/SR.44</w:t>
        </w:r>
      </w:hyperlink>
      <w:r w:rsidRPr="003B04C4">
        <w:t xml:space="preserve"> at para. 9 (Italy).</w:t>
      </w:r>
    </w:p>
  </w:footnote>
  <w:footnote w:id="437">
    <w:p w:rsidR="00A3158E" w:rsidRPr="00D97463" w:rsidRDefault="00A3158E" w:rsidP="003B04C4">
      <w:pPr>
        <w:pStyle w:val="FootnoteText"/>
        <w:ind w:right="1260"/>
      </w:pPr>
      <w:r w:rsidRPr="003B04C4">
        <w:tab/>
      </w:r>
      <w:r w:rsidRPr="003B04C4">
        <w:rPr>
          <w:rStyle w:val="FootnoteReference"/>
        </w:rPr>
        <w:footnoteRef/>
      </w:r>
      <w:r w:rsidRPr="003B04C4">
        <w:t xml:space="preserve"> </w:t>
      </w:r>
      <w:r w:rsidRPr="003B04C4">
        <w:tab/>
      </w:r>
      <w:hyperlink r:id="rId182" w:history="1">
        <w:r w:rsidRPr="003B04C4">
          <w:rPr>
            <w:rStyle w:val="Hyperlink"/>
          </w:rPr>
          <w:t>A/C.6/33/SR.31</w:t>
        </w:r>
      </w:hyperlink>
      <w:r w:rsidRPr="003B04C4">
        <w:t xml:space="preserve"> at para. 5 (Netherlands); </w:t>
      </w:r>
      <w:hyperlink r:id="rId183" w:history="1">
        <w:r w:rsidRPr="003B04C4">
          <w:rPr>
            <w:rStyle w:val="Hyperlink"/>
          </w:rPr>
          <w:t>A/C.6/33/SR.33</w:t>
        </w:r>
      </w:hyperlink>
      <w:r w:rsidRPr="003B04C4">
        <w:t xml:space="preserve"> at para. 2 (Denmark); </w:t>
      </w:r>
      <w:hyperlink r:id="rId184" w:history="1">
        <w:r w:rsidRPr="003B04C4">
          <w:rPr>
            <w:rStyle w:val="Hyperlink"/>
          </w:rPr>
          <w:t>A/C.6/33/SR.36</w:t>
        </w:r>
      </w:hyperlink>
      <w:r w:rsidRPr="003B04C4">
        <w:t xml:space="preserve"> at paras. 2-3 (Sweden); </w:t>
      </w:r>
      <w:hyperlink r:id="rId185" w:history="1">
        <w:r w:rsidRPr="003B04C4">
          <w:rPr>
            <w:rStyle w:val="Hyperlink"/>
          </w:rPr>
          <w:t>A/C.6/33/SR.37</w:t>
        </w:r>
      </w:hyperlink>
      <w:r w:rsidRPr="003B04C4">
        <w:t xml:space="preserve"> at para. 2 (Austria); </w:t>
      </w:r>
      <w:hyperlink r:id="rId186" w:history="1">
        <w:r w:rsidRPr="003B04C4">
          <w:rPr>
            <w:rStyle w:val="Hyperlink"/>
          </w:rPr>
          <w:t>A/C.6/33/SR.37</w:t>
        </w:r>
      </w:hyperlink>
      <w:r w:rsidRPr="003B04C4">
        <w:t xml:space="preserve"> at para. 10 (United Kingdom); </w:t>
      </w:r>
      <w:hyperlink r:id="rId187" w:history="1">
        <w:r w:rsidRPr="003B04C4">
          <w:rPr>
            <w:rStyle w:val="Hyperlink"/>
          </w:rPr>
          <w:t>A/C.6/33/SR.39</w:t>
        </w:r>
      </w:hyperlink>
      <w:r w:rsidRPr="003B04C4">
        <w:t xml:space="preserve"> at para. 10 (Greece); </w:t>
      </w:r>
      <w:hyperlink r:id="rId188" w:history="1">
        <w:r w:rsidRPr="003B04C4">
          <w:rPr>
            <w:rStyle w:val="Hyperlink"/>
          </w:rPr>
          <w:t>A/C.6/33/SR.39</w:t>
        </w:r>
      </w:hyperlink>
      <w:r w:rsidRPr="003B04C4">
        <w:t xml:space="preserve"> at para. 25 (Belgium); </w:t>
      </w:r>
      <w:hyperlink r:id="rId189" w:history="1">
        <w:r w:rsidRPr="003B04C4">
          <w:rPr>
            <w:rStyle w:val="Hyperlink"/>
          </w:rPr>
          <w:t>A/C.6/33/SR.39</w:t>
        </w:r>
      </w:hyperlink>
      <w:r w:rsidRPr="003B04C4">
        <w:t xml:space="preserve"> at para. </w:t>
      </w:r>
      <w:r w:rsidRPr="00B95605">
        <w:rPr>
          <w:lang w:val="es-ES"/>
        </w:rPr>
        <w:t xml:space="preserve">48 (Colombia); </w:t>
      </w:r>
      <w:hyperlink r:id="rId190" w:history="1">
        <w:r w:rsidRPr="00B95605">
          <w:rPr>
            <w:rStyle w:val="Hyperlink"/>
            <w:lang w:val="es-ES"/>
          </w:rPr>
          <w:t>A/C.6/33/SR.40</w:t>
        </w:r>
      </w:hyperlink>
      <w:r w:rsidRPr="00B95605">
        <w:rPr>
          <w:lang w:val="es-ES"/>
        </w:rPr>
        <w:t xml:space="preserve"> at para. 52 (Zambia); </w:t>
      </w:r>
      <w:hyperlink r:id="rId191" w:history="1">
        <w:r w:rsidRPr="00B95605">
          <w:rPr>
            <w:rStyle w:val="Hyperlink"/>
            <w:lang w:val="es-ES"/>
          </w:rPr>
          <w:t>A/C.6/33/SR.41</w:t>
        </w:r>
      </w:hyperlink>
      <w:r w:rsidRPr="00B95605">
        <w:rPr>
          <w:lang w:val="es-ES"/>
        </w:rPr>
        <w:t xml:space="preserve"> at para. </w:t>
      </w:r>
      <w:r w:rsidRPr="003B04C4">
        <w:t xml:space="preserve">11 (Turkey); </w:t>
      </w:r>
      <w:hyperlink r:id="rId192" w:history="1">
        <w:r w:rsidRPr="003B04C4">
          <w:rPr>
            <w:rStyle w:val="Hyperlink"/>
          </w:rPr>
          <w:t>A/C.6/33/SR.42</w:t>
        </w:r>
      </w:hyperlink>
      <w:r w:rsidRPr="003B04C4">
        <w:t xml:space="preserve"> at para. 6 (Ireland); </w:t>
      </w:r>
      <w:hyperlink r:id="rId193" w:history="1">
        <w:r w:rsidRPr="003B04C4">
          <w:rPr>
            <w:rStyle w:val="Hyperlink"/>
          </w:rPr>
          <w:t>A/C.6/33/SR.42</w:t>
        </w:r>
      </w:hyperlink>
      <w:r w:rsidRPr="003B04C4">
        <w:t xml:space="preserve"> at para. 39 (Nigeria); </w:t>
      </w:r>
      <w:hyperlink r:id="rId194" w:history="1">
        <w:r w:rsidRPr="003B04C4">
          <w:rPr>
            <w:rStyle w:val="Hyperlink"/>
          </w:rPr>
          <w:t>A/C.6/33/SR.42</w:t>
        </w:r>
      </w:hyperlink>
      <w:r w:rsidRPr="003B04C4">
        <w:t xml:space="preserve"> at para. 43 (Peru); </w:t>
      </w:r>
      <w:hyperlink r:id="rId195" w:history="1">
        <w:r w:rsidRPr="003B04C4">
          <w:rPr>
            <w:rStyle w:val="Hyperlink"/>
          </w:rPr>
          <w:t>A/C.6/33/SR.43</w:t>
        </w:r>
      </w:hyperlink>
      <w:r w:rsidRPr="003B04C4">
        <w:t xml:space="preserve"> at para. 11 (Venezuela); </w:t>
      </w:r>
      <w:hyperlink r:id="rId196" w:history="1">
        <w:r w:rsidRPr="003B04C4">
          <w:rPr>
            <w:rStyle w:val="Hyperlink"/>
          </w:rPr>
          <w:t>A/C.6/33/SR.43</w:t>
        </w:r>
      </w:hyperlink>
      <w:r w:rsidRPr="003B04C4">
        <w:t xml:space="preserve"> at para. 30 (Uruguay); </w:t>
      </w:r>
      <w:hyperlink r:id="rId197" w:history="1">
        <w:r w:rsidR="00E12936" w:rsidRPr="003B04C4">
          <w:rPr>
            <w:rStyle w:val="Hyperlink"/>
          </w:rPr>
          <w:t>A/C.6/33/SR.44</w:t>
        </w:r>
      </w:hyperlink>
      <w:r w:rsidRPr="003B04C4">
        <w:t xml:space="preserve"> at para. 13 (Italy); </w:t>
      </w:r>
      <w:hyperlink r:id="rId198" w:history="1">
        <w:r w:rsidR="003B04C4" w:rsidRPr="003B04C4">
          <w:rPr>
            <w:rStyle w:val="Hyperlink"/>
          </w:rPr>
          <w:t>A/C.6/33/SR.44</w:t>
        </w:r>
      </w:hyperlink>
      <w:r w:rsidRPr="003B04C4">
        <w:t xml:space="preserve"> at para. 20 (Egypt); </w:t>
      </w:r>
      <w:hyperlink r:id="rId199" w:history="1">
        <w:r w:rsidR="003B04C4" w:rsidRPr="003B04C4">
          <w:rPr>
            <w:rStyle w:val="Hyperlink"/>
          </w:rPr>
          <w:t>A/C.6/33/SR.45</w:t>
        </w:r>
      </w:hyperlink>
      <w:r w:rsidRPr="003B04C4">
        <w:t xml:space="preserve"> at para. 27 (Swaziland); </w:t>
      </w:r>
      <w:hyperlink r:id="rId200" w:history="1">
        <w:r w:rsidR="003B04C4" w:rsidRPr="003B04C4">
          <w:rPr>
            <w:rStyle w:val="Hyperlink"/>
          </w:rPr>
          <w:t>A/C.6/33/SR.46</w:t>
        </w:r>
      </w:hyperlink>
      <w:r w:rsidRPr="003B04C4">
        <w:t xml:space="preserve"> at para. 2 (summary by International Law Commission Chairman).</w:t>
      </w:r>
    </w:p>
  </w:footnote>
  <w:footnote w:id="43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hyperlink r:id="rId201" w:history="1">
        <w:r w:rsidRPr="00D97463">
          <w:rPr>
            <w:rStyle w:val="Hyperlink"/>
            <w:lang w:eastAsia="ja-JP"/>
          </w:rPr>
          <w:t>A/C.6/33/SR.32</w:t>
        </w:r>
      </w:hyperlink>
      <w:r w:rsidRPr="00D97463">
        <w:rPr>
          <w:lang w:eastAsia="ja-JP"/>
        </w:rPr>
        <w:t xml:space="preserve"> at paras. 8-12 (European Economic Community). See also </w:t>
      </w:r>
      <w:hyperlink r:id="rId202" w:history="1">
        <w:r w:rsidRPr="00D97463">
          <w:rPr>
            <w:rStyle w:val="Hyperlink"/>
          </w:rPr>
          <w:t>A/C.6/33/SR.31</w:t>
        </w:r>
      </w:hyperlink>
      <w:r w:rsidRPr="00D97463">
        <w:t xml:space="preserve"> at para. 4 (Netherlands): “The most glaring deficiency of the final draft was that it still largely ignored the modern development of regional economic co-operation and its impact on the application of the most favoured nation clause.”</w:t>
      </w:r>
    </w:p>
  </w:footnote>
  <w:footnote w:id="439">
    <w:p w:rsidR="00A3158E" w:rsidRPr="00D97463" w:rsidRDefault="00A3158E" w:rsidP="00D97463">
      <w:pPr>
        <w:pStyle w:val="FootnoteText"/>
        <w:ind w:right="1260"/>
        <w:rPr>
          <w:rFonts w:eastAsia="MS Mincho"/>
          <w:lang w:eastAsia="ja-JP"/>
        </w:rPr>
      </w:pPr>
      <w:r w:rsidRPr="00D97463">
        <w:tab/>
      </w:r>
      <w:r w:rsidRPr="00D97463">
        <w:rPr>
          <w:rStyle w:val="FootnoteReference"/>
        </w:rPr>
        <w:footnoteRef/>
      </w:r>
      <w:r w:rsidRPr="00D97463">
        <w:t xml:space="preserve"> </w:t>
      </w:r>
      <w:r w:rsidRPr="00D97463">
        <w:tab/>
      </w:r>
      <w:r w:rsidRPr="00D97463">
        <w:rPr>
          <w:lang w:eastAsia="ja-JP"/>
        </w:rPr>
        <w:t xml:space="preserve">General Assembly, Decision 46/416 of 9 December 1991. </w:t>
      </w:r>
    </w:p>
  </w:footnote>
  <w:footnote w:id="44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Vienna Convention on Diplomatic Relations, done at Vienna on 18 April 1961, United Nations, </w:t>
      </w:r>
      <w:r w:rsidRPr="00D97463">
        <w:rPr>
          <w:i/>
        </w:rPr>
        <w:t xml:space="preserve">Treaty Series, </w:t>
      </w:r>
      <w:r w:rsidRPr="00D97463">
        <w:t xml:space="preserve">vol. 500, p. 95 and Vienna Convention on Consular Relations done at Vienna on 24 April 1963, United Nations, </w:t>
      </w:r>
      <w:r w:rsidRPr="00D97463">
        <w:rPr>
          <w:i/>
        </w:rPr>
        <w:t xml:space="preserve">Treaty Series, </w:t>
      </w:r>
      <w:r w:rsidRPr="00D97463">
        <w:t>vol. 596, p. 261.</w:t>
      </w:r>
    </w:p>
  </w:footnote>
  <w:footnote w:id="441">
    <w:p w:rsidR="00A3158E" w:rsidRPr="00D97463" w:rsidRDefault="00A3158E" w:rsidP="00D97463">
      <w:pPr>
        <w:pStyle w:val="FootnoteText"/>
        <w:ind w:right="1260"/>
        <w:rPr>
          <w:rFonts w:ascii="Times" w:hAnsi="Times"/>
        </w:rPr>
      </w:pPr>
      <w:r w:rsidRPr="00D97463">
        <w:tab/>
      </w:r>
      <w:r w:rsidRPr="00D97463">
        <w:rPr>
          <w:rStyle w:val="FootnoteReference"/>
        </w:rPr>
        <w:footnoteRef/>
      </w:r>
      <w:r w:rsidRPr="00D97463">
        <w:t xml:space="preserve"> </w:t>
      </w:r>
      <w:r w:rsidRPr="00D97463">
        <w:tab/>
        <w:t xml:space="preserve">Agreement Between the United Nations and the United States Regarding the Headquarters of the United Nations, done at Lake Success on 26 June 1947, United Nations, </w:t>
      </w:r>
      <w:r w:rsidRPr="00D97463">
        <w:rPr>
          <w:i/>
        </w:rPr>
        <w:t>Treaty Series,</w:t>
      </w:r>
      <w:r w:rsidRPr="00D97463">
        <w:t xml:space="preserve"> vol. 11, No. 147, p. 11 at art V </w:t>
      </w:r>
      <w:r w:rsidRPr="00D97463">
        <w:rPr>
          <w:rFonts w:ascii="Lucida Grande" w:hAnsi="Lucida Grande" w:cs="Lucida Grande"/>
          <w:szCs w:val="22"/>
        </w:rPr>
        <w:t>§</w:t>
      </w:r>
      <w:r w:rsidRPr="00D97463">
        <w:t>15(4); Agreement Between the Government of Australia and the Government of the United Mexican States for the Avoidance of Double Taxation and the Prevention of Fiscal Evasion with Respect to Taxes on Income, done at Mexico City on 9 September 2002, Australian Treaty Series vol. 4 (2004), available at &lt;http://www.austlii.edu.au/au/other/dfat/treaties/2004/4.html&gt;.</w:t>
      </w:r>
    </w:p>
  </w:footnote>
  <w:footnote w:id="44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Stephan W. Schill, “W(h)ither Fragmentation? On the Literature and Sociology of International Investment Law”</w:t>
      </w:r>
      <w:r w:rsidRPr="00D97463">
        <w:rPr>
          <w:i/>
        </w:rPr>
        <w:t xml:space="preserve">, European Journal of International Law, </w:t>
      </w:r>
      <w:r w:rsidRPr="00D97463">
        <w:t>vol. 22 (2011), pp. 875-908</w:t>
      </w:r>
      <w:r w:rsidRPr="00D97463">
        <w:rPr>
          <w:i/>
        </w:rPr>
        <w:t>.</w:t>
      </w:r>
    </w:p>
  </w:footnote>
  <w:footnote w:id="443">
    <w:p w:rsidR="00A3158E" w:rsidRPr="00D97463" w:rsidRDefault="00A3158E" w:rsidP="00D97463">
      <w:pPr>
        <w:pStyle w:val="FootnoteText"/>
        <w:ind w:right="1260"/>
      </w:pPr>
      <w:r w:rsidRPr="00D97463">
        <w:rPr>
          <w:vertAlign w:val="superscript"/>
        </w:rPr>
        <w:tab/>
      </w:r>
      <w:r w:rsidRPr="00D97463">
        <w:rPr>
          <w:rStyle w:val="FootnoteReference"/>
        </w:rPr>
        <w:footnoteRef/>
      </w:r>
      <w:r w:rsidRPr="00D97463">
        <w:rPr>
          <w:vertAlign w:val="superscript"/>
        </w:rPr>
        <w:t xml:space="preserve"> </w:t>
      </w:r>
      <w:r w:rsidRPr="00D97463">
        <w:rPr>
          <w:vertAlign w:val="superscript"/>
        </w:rPr>
        <w:tab/>
      </w:r>
      <w:r w:rsidRPr="00D97463">
        <w:t xml:space="preserve">UNCTAD, </w:t>
      </w:r>
      <w:r w:rsidRPr="00D97463">
        <w:rPr>
          <w:i/>
        </w:rPr>
        <w:t>International Investment Instruments: A Compendium</w:t>
      </w:r>
      <w:r w:rsidRPr="00D97463">
        <w:t>, UNCTAD/DITE/4 vol. XIII, available at &lt;http://unctad.org/en/pages/PublicationArchive.aspx?publicationid=410&gt;. Volumes VI, VII, VIII, IX and X are also available in electronic form.</w:t>
      </w:r>
    </w:p>
  </w:footnote>
  <w:footnote w:id="44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UNCTAD, “Investment Policy Hub” website located at &lt;http://investmentpolicyhub.unctad.org/IIA&gt;.</w:t>
      </w:r>
    </w:p>
  </w:footnote>
  <w:footnote w:id="44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OECD, </w:t>
      </w:r>
      <w:r w:rsidRPr="00D97463">
        <w:rPr>
          <w:i/>
        </w:rPr>
        <w:t>OECD Codes of Liberalisation: Users Guide 2008</w:t>
      </w:r>
      <w:r w:rsidRPr="00D97463">
        <w:t xml:space="preserve"> (online: OECD, 2007) at p. 11, available at &lt;http://www.oecd.org/investment/investment-policy/38072327.pdf&gt;.</w:t>
      </w:r>
    </w:p>
  </w:footnote>
  <w:footnote w:id="44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at art. 3.</w:t>
      </w:r>
    </w:p>
  </w:footnote>
  <w:footnote w:id="447">
    <w:p w:rsidR="00A3158E" w:rsidRPr="00D97463" w:rsidRDefault="00A3158E" w:rsidP="00D97463">
      <w:pPr>
        <w:pStyle w:val="FootnoteText"/>
        <w:ind w:right="1260"/>
      </w:pPr>
      <w:r w:rsidRPr="00D97463">
        <w:tab/>
      </w:r>
      <w:r w:rsidRPr="00D97463">
        <w:rPr>
          <w:rStyle w:val="FootnoteReference"/>
        </w:rPr>
        <w:footnoteRef/>
      </w:r>
      <w:r w:rsidRPr="00D97463">
        <w:tab/>
        <w:t xml:space="preserve">OECD Negotiating Group on the Multilateral Agreement on Investment, The Multilateral Agreement On Investment Draft Consolidated Text, 22 April 1998, OECD document DAFFE/MAI(98)7/REV1. </w:t>
      </w:r>
    </w:p>
  </w:footnote>
  <w:footnote w:id="44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xml:space="preserve">, p. 13. </w:t>
      </w:r>
    </w:p>
  </w:footnote>
  <w:footnote w:id="44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Commission did not rule out the possibility that an MFN provision could be found elsewhere than in a treaty. </w:t>
      </w:r>
      <w:r w:rsidRPr="00D97463">
        <w:rPr>
          <w:i/>
          <w:iCs/>
          <w:lang w:bidi="en-US"/>
        </w:rPr>
        <w:t>Yearbook</w:t>
      </w:r>
      <w:r>
        <w:rPr>
          <w:i/>
          <w:iCs/>
          <w:lang w:bidi="en-US"/>
        </w:rPr>
        <w:t xml:space="preserve"> </w:t>
      </w:r>
      <w:r w:rsidRPr="00D97463">
        <w:rPr>
          <w:i/>
          <w:iCs/>
          <w:lang w:bidi="en-US"/>
        </w:rPr>
        <w:t>…</w:t>
      </w:r>
      <w:r>
        <w:rPr>
          <w:i/>
          <w:iCs/>
          <w:lang w:bidi="en-US"/>
        </w:rPr>
        <w:t xml:space="preserve"> </w:t>
      </w:r>
      <w:r w:rsidRPr="00D97463">
        <w:rPr>
          <w:i/>
          <w:iCs/>
          <w:lang w:bidi="en-US"/>
        </w:rPr>
        <w:t>1978</w:t>
      </w:r>
      <w:r w:rsidRPr="00D97463">
        <w:rPr>
          <w:lang w:bidi="en-US"/>
        </w:rPr>
        <w:t xml:space="preserve">, p. 16 (draft article 1). </w:t>
      </w:r>
    </w:p>
  </w:footnote>
  <w:footnote w:id="45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 21 (draft art. 5).</w:t>
      </w:r>
    </w:p>
  </w:footnote>
  <w:footnote w:id="45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45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 27 (draft art. 9).</w:t>
      </w:r>
    </w:p>
  </w:footnote>
  <w:footnote w:id="45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xml:space="preserve"> (draft art.</w:t>
      </w:r>
      <w:r>
        <w:t xml:space="preserve"> </w:t>
      </w:r>
      <w:r w:rsidRPr="00D97463">
        <w:t>10(2)).</w:t>
      </w:r>
    </w:p>
  </w:footnote>
  <w:footnote w:id="454">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rPr>
        <w:t>Yearbook</w:t>
      </w:r>
      <w:r>
        <w:rPr>
          <w:i/>
        </w:rPr>
        <w:t xml:space="preserve"> </w:t>
      </w:r>
      <w:r w:rsidRPr="00D97463">
        <w:rPr>
          <w:i/>
        </w:rPr>
        <w:t>…</w:t>
      </w:r>
      <w:r>
        <w:rPr>
          <w:i/>
        </w:rPr>
        <w:t xml:space="preserve"> </w:t>
      </w:r>
      <w:r w:rsidRPr="00D97463">
        <w:rPr>
          <w:i/>
        </w:rPr>
        <w:t>1968</w:t>
      </w:r>
      <w:r w:rsidRPr="00D97463">
        <w:t xml:space="preserve">, vol. II, p. 165, document </w:t>
      </w:r>
      <w:hyperlink r:id="rId203" w:history="1">
        <w:r w:rsidRPr="00D97463">
          <w:rPr>
            <w:rStyle w:val="Hyperlink"/>
          </w:rPr>
          <w:t>A/CN.4/L.127</w:t>
        </w:r>
      </w:hyperlink>
      <w:r w:rsidRPr="00D97463">
        <w:t xml:space="preserve">. </w:t>
      </w:r>
    </w:p>
  </w:footnote>
  <w:footnote w:id="45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John Jackson, </w:t>
      </w:r>
      <w:r w:rsidRPr="00D97463">
        <w:rPr>
          <w:i/>
          <w:iCs/>
        </w:rPr>
        <w:t>The World Trading System: Law and Policy of International Economic Relations</w:t>
      </w:r>
      <w:r w:rsidRPr="00D97463">
        <w:t xml:space="preserve">, 2nd edition (Cambridge: MIT Press, 1997), at Chapter 2. </w:t>
      </w:r>
    </w:p>
  </w:footnote>
  <w:footnote w:id="45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WTO Appellate Body Report, </w:t>
      </w:r>
      <w:r w:rsidRPr="00D97463">
        <w:rPr>
          <w:i/>
          <w:iCs/>
        </w:rPr>
        <w:t>Canada — Certain Measures Affecting The Automotive Industry</w:t>
      </w:r>
      <w:r w:rsidRPr="00D97463">
        <w:t xml:space="preserve">, WTO document WT/DS139/AB/R (31 May 2000). See also WTO Appellate Body Report, </w:t>
      </w:r>
      <w:r w:rsidRPr="00D97463">
        <w:rPr>
          <w:i/>
          <w:iCs/>
        </w:rPr>
        <w:t>European Communities — Conditions for the Granting of Tariff Preferences to Developing Countries</w:t>
      </w:r>
      <w:r w:rsidRPr="00D97463">
        <w:t>, WTO document WT/DS246/AB/R (adopted 20 April 2004), at para. 101.</w:t>
      </w:r>
    </w:p>
  </w:footnote>
  <w:footnote w:id="45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The Future of the WTO: Addressing Institutional Challenges in the new Millennium,</w:t>
      </w:r>
      <w:r w:rsidRPr="00D97463">
        <w:t xml:space="preserve"> Report of the Consultative Board to the Director-General Supachai Panitchpakdi (Geneva: WTO, 2004) at paras. 88-102 (“Sutherland Report”).</w:t>
      </w:r>
    </w:p>
  </w:footnote>
  <w:footnote w:id="45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bCs/>
        </w:rPr>
        <w:t>Nicholas</w:t>
      </w:r>
      <w:r w:rsidRPr="00D97463">
        <w:t xml:space="preserve"> DiMascio, </w:t>
      </w:r>
      <w:r w:rsidRPr="00D97463">
        <w:rPr>
          <w:bCs/>
        </w:rPr>
        <w:t xml:space="preserve">Joost </w:t>
      </w:r>
      <w:r w:rsidRPr="00D97463">
        <w:t xml:space="preserve">Pauwelyn, “Nondiscrimination in Trade and Investment Treaties: Worlds Apart or Two Sides of the Same Coin?”, </w:t>
      </w:r>
      <w:r w:rsidRPr="00D97463">
        <w:rPr>
          <w:i/>
          <w:iCs/>
        </w:rPr>
        <w:t>American Journal of International Law</w:t>
      </w:r>
      <w:r w:rsidRPr="00D97463">
        <w:t>, vol. 102 (2008), pp. 48-89.</w:t>
      </w:r>
      <w:r w:rsidRPr="00D97463">
        <w:rPr>
          <w:shd w:val="clear" w:color="auto" w:fill="FFFFFF"/>
        </w:rPr>
        <w:t xml:space="preserve"> </w:t>
      </w:r>
    </w:p>
  </w:footnote>
  <w:footnote w:id="45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General Agreement on Tariffs and Trade 1994, 15 April 1994, United Nations, </w:t>
      </w:r>
      <w:r w:rsidRPr="00D97463">
        <w:rPr>
          <w:i/>
          <w:iCs/>
        </w:rPr>
        <w:t>Treaty Series</w:t>
      </w:r>
      <w:r w:rsidRPr="00D97463">
        <w:t xml:space="preserve">, vol. 1867, p. 187 at arts. II; III(4); IV; V(2), (5) and (6); IX(1), XIII(1); XVII(1); and XX(j). </w:t>
      </w:r>
    </w:p>
  </w:footnote>
  <w:footnote w:id="46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General Agreement on Trade in Services, 15 April 1994, United Nations, </w:t>
      </w:r>
      <w:r w:rsidRPr="00D97463">
        <w:rPr>
          <w:i/>
        </w:rPr>
        <w:t>Treaty Series</w:t>
      </w:r>
      <w:r w:rsidRPr="00D97463">
        <w:t xml:space="preserve"> vol.</w:t>
      </w:r>
      <w:r>
        <w:t xml:space="preserve"> </w:t>
      </w:r>
      <w:r w:rsidRPr="00D97463">
        <w:t xml:space="preserve">1869, p. 183 at </w:t>
      </w:r>
      <w:r w:rsidRPr="00D97463">
        <w:rPr>
          <w:lang w:eastAsia="ja-JP"/>
        </w:rPr>
        <w:t xml:space="preserve">Article II. </w:t>
      </w:r>
    </w:p>
  </w:footnote>
  <w:footnote w:id="46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WTO Appellate Body Report, </w:t>
      </w:r>
      <w:r w:rsidRPr="00D97463">
        <w:rPr>
          <w:i/>
        </w:rPr>
        <w:t>European Communities — Regime for the Importation, Sale and Distribution of Bananas</w:t>
      </w:r>
      <w:r w:rsidRPr="00D97463">
        <w:t>, WT/DS27/AB/R (adopted 25 September 1997) at para. 231.</w:t>
      </w:r>
    </w:p>
  </w:footnote>
  <w:footnote w:id="46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Canada — Certain Measures Affecting The Automotive Industry</w:t>
      </w:r>
      <w:r w:rsidRPr="00D97463">
        <w:t xml:space="preserve">, </w:t>
      </w:r>
      <w:r w:rsidRPr="00D97463">
        <w:rPr>
          <w:szCs w:val="18"/>
          <w:lang w:eastAsia="ja-JP"/>
        </w:rPr>
        <w:t>WT/DS139/AB/R (adopted</w:t>
      </w:r>
      <w:r w:rsidRPr="00D97463">
        <w:rPr>
          <w:szCs w:val="18"/>
        </w:rPr>
        <w:t xml:space="preserve"> 19 June 2000) at para. 79</w:t>
      </w:r>
      <w:r w:rsidRPr="00D97463">
        <w:t>.</w:t>
      </w:r>
    </w:p>
  </w:footnote>
  <w:footnote w:id="46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GATT, at art. XXIV. Customs unions and free trade areas are becoming of even greater importance with the proliferation of regional trade agreements.</w:t>
      </w:r>
    </w:p>
  </w:footnote>
  <w:footnote w:id="46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for example: WTO Appellate Body Report, </w:t>
      </w:r>
      <w:r w:rsidRPr="00D97463">
        <w:rPr>
          <w:i/>
        </w:rPr>
        <w:t>United States — Import Prohibition Of Certain Shrimp And Shrimp Products</w:t>
      </w:r>
      <w:r w:rsidRPr="00D97463">
        <w:t xml:space="preserve">, WTO document WT/DS58/AB/R (12 October 1998). </w:t>
      </w:r>
    </w:p>
  </w:footnote>
  <w:footnote w:id="46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GATS, art. 1 (2) (d).</w:t>
      </w:r>
    </w:p>
  </w:footnote>
  <w:footnote w:id="46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Done at Vienna on 23 May 1969, United Nations, </w:t>
      </w:r>
      <w:r w:rsidRPr="00D97463">
        <w:rPr>
          <w:i/>
        </w:rPr>
        <w:t>Treaty Series</w:t>
      </w:r>
      <w:r w:rsidRPr="00D97463">
        <w:t>, vol. 189, p. 150.</w:t>
      </w:r>
    </w:p>
  </w:footnote>
  <w:footnote w:id="46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term “regional agreements” also includes agreements referred to as regional economic integration agreements, association agreements and customs unions. </w:t>
      </w:r>
    </w:p>
  </w:footnote>
  <w:footnote w:id="46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Free trade Agreement between the European Union and its Member States, of the one part, and the Republic of Korea, of the other part, </w:t>
      </w:r>
      <w:r w:rsidRPr="00D97463">
        <w:rPr>
          <w:i/>
        </w:rPr>
        <w:t>Official Journal of the European Union</w:t>
      </w:r>
      <w:r w:rsidRPr="00D97463">
        <w:t xml:space="preserve"> L127 vol. 54 (14 May 2011), p. 9 at art. 2.5; Agreement establishing an association between the European Community and its Member States, of the one part, and the Republic of Chile, of the other part, </w:t>
      </w:r>
      <w:r w:rsidRPr="00D97463">
        <w:rPr>
          <w:i/>
        </w:rPr>
        <w:t>Official Journal of the European Union</w:t>
      </w:r>
      <w:r w:rsidRPr="00D97463">
        <w:t xml:space="preserve"> L352 vol. 45 (30 December 2002), p. 19 at art. 60(4).</w:t>
      </w:r>
    </w:p>
  </w:footnote>
  <w:footnote w:id="46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North American Free Trade Agreement, </w:t>
      </w:r>
      <w:r w:rsidRPr="00D97463">
        <w:rPr>
          <w:i/>
          <w:iCs/>
        </w:rPr>
        <w:t>International Legal Materials</w:t>
      </w:r>
      <w:r w:rsidRPr="00D97463">
        <w:t xml:space="preserve"> vol. 32 (1993), pp. 289 and 605 at Chap.</w:t>
      </w:r>
      <w:r>
        <w:t xml:space="preserve"> </w:t>
      </w:r>
      <w:r w:rsidRPr="00D97463">
        <w:t>11, art.</w:t>
      </w:r>
      <w:r>
        <w:t xml:space="preserve"> </w:t>
      </w:r>
      <w:r w:rsidRPr="00D97463">
        <w:t>1103 (investment), art.</w:t>
      </w:r>
      <w:r>
        <w:t xml:space="preserve"> </w:t>
      </w:r>
      <w:r w:rsidRPr="00D97463">
        <w:t>1203 (services), and art.</w:t>
      </w:r>
      <w:r>
        <w:t xml:space="preserve"> </w:t>
      </w:r>
      <w:r w:rsidRPr="00D97463">
        <w:t>1406 (financial services).</w:t>
      </w:r>
    </w:p>
  </w:footnote>
  <w:footnote w:id="47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Agreement between the Republic of Austria and the Czech and Slovak Federal Republic Concerning the Promotion and Protection of Investments, done in Vienna on 15 October 1990, United Nations, </w:t>
      </w:r>
      <w:r w:rsidRPr="00D97463">
        <w:rPr>
          <w:i/>
        </w:rPr>
        <w:t>Treaty Series,</w:t>
      </w:r>
      <w:r w:rsidRPr="00D97463">
        <w:t xml:space="preserve"> vol. 1653, p. 127 at art.</w:t>
      </w:r>
      <w:r>
        <w:t xml:space="preserve"> </w:t>
      </w:r>
      <w:r w:rsidRPr="00D97463">
        <w:t xml:space="preserve">3(1). </w:t>
      </w:r>
    </w:p>
  </w:footnote>
  <w:footnote w:id="47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Agreement between the Government of the United Kingdom of Great Britain and Northern Ireland and the Government of the Republic of Argentina for the promotion and protection of investments, done in London on 11 December 1990, at art.</w:t>
      </w:r>
      <w:r>
        <w:t xml:space="preserve"> </w:t>
      </w:r>
      <w:r w:rsidRPr="00D97463">
        <w:t>3(1), available at &lt;http://investmentpolicyhub.unctad.org/Download/TreatyFile/126&gt;.</w:t>
      </w:r>
    </w:p>
  </w:footnote>
  <w:footnote w:id="47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Agreement between the Government of the Republic of Peru and the Government of the People’s Republic of China concerning the encouragement and reciprocal protection of investments, done in Beijing on 9 June 1994, at arts.</w:t>
      </w:r>
      <w:r>
        <w:t xml:space="preserve"> </w:t>
      </w:r>
      <w:r w:rsidRPr="00D97463">
        <w:t>3(1), 3(2), available at &lt;http://investmentpolicyhub.unctad.org/IIA/country/42/treaty/954&gt;.</w:t>
      </w:r>
    </w:p>
  </w:footnote>
  <w:footnote w:id="47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Agreement on the reciprocal promotion and protection of investments, done at Buenos Aries on 3 October 1991, United Nations, </w:t>
      </w:r>
      <w:r w:rsidRPr="00D97463">
        <w:rPr>
          <w:i/>
        </w:rPr>
        <w:t>Treaty Series,</w:t>
      </w:r>
      <w:r w:rsidRPr="00D97463">
        <w:t xml:space="preserve"> vol. 1699, p. 187. </w:t>
      </w:r>
    </w:p>
  </w:footnote>
  <w:footnote w:id="47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NAFTA provides for MFN treatment in respect of “the establishment, acquisition, expansion, management, conduct, operation and sale or other disposition of investments.” NAFTA, art.</w:t>
      </w:r>
      <w:r>
        <w:t xml:space="preserve"> </w:t>
      </w:r>
      <w:r w:rsidRPr="00D97463">
        <w:t>1103.</w:t>
      </w:r>
    </w:p>
  </w:footnote>
  <w:footnote w:id="47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47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47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Agreement between the Republic of Turkey and Turkmenistan concerning the reciprocal promotion and protection of investments, done at Ashgabat on 2 May 1992, at art. II, available at &lt;http://investorstatelawguide.com/documents/documents/BIT-0335%20-%20Turkey%20-%20Turkmenistan%20(1992)%20[English].pdf&gt;. </w:t>
      </w:r>
    </w:p>
  </w:footnote>
  <w:footnote w:id="47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Agreement between the Government of the Hashemite Kingdom of Jordan and the Government of the Italian Republic on the promotion and protection of investments, done at Amman on 21 July 1996, available at &lt;http://investmentpolicyhub.unctad.org/Download/TreatyFile/1681&gt;.</w:t>
      </w:r>
    </w:p>
  </w:footnote>
  <w:footnote w:id="479">
    <w:p w:rsidR="00A3158E" w:rsidRPr="00D97463" w:rsidRDefault="00A3158E" w:rsidP="00D97463">
      <w:pPr>
        <w:pStyle w:val="FootnoteText"/>
        <w:ind w:right="1260"/>
        <w:rPr>
          <w:lang w:eastAsia="en-CA"/>
        </w:rPr>
      </w:pPr>
      <w:r w:rsidRPr="00D97463">
        <w:tab/>
      </w:r>
      <w:r w:rsidRPr="00D97463">
        <w:rPr>
          <w:rStyle w:val="FootnoteReference"/>
        </w:rPr>
        <w:footnoteRef/>
      </w:r>
      <w:r w:rsidRPr="00D97463">
        <w:t xml:space="preserve"> </w:t>
      </w:r>
      <w:r w:rsidRPr="00D97463">
        <w:tab/>
        <w:t>Agreement between the Government of the United Kingdom of Great Britain and Northern Ireland and the Government of the Republic of Argentina for the promotion and protection of investments, done in London on 11 December 1990, at article 7, available at &lt;http://investmentpolicyhub.</w:t>
      </w:r>
      <w:r>
        <w:t xml:space="preserve"> </w:t>
      </w:r>
      <w:r w:rsidRPr="00D97463">
        <w:t xml:space="preserve">unctad.org/Download/TreatyFile/126&gt;. See OECD, “Most Favoured Nation Treatment in International Law” </w:t>
      </w:r>
      <w:r w:rsidRPr="00D97463">
        <w:rPr>
          <w:i/>
        </w:rPr>
        <w:t>OECD Working Papers on International Investment,</w:t>
      </w:r>
      <w:r w:rsidRPr="00D97463">
        <w:t xml:space="preserve"> vol. 2 (2004), p. 5. </w:t>
      </w:r>
    </w:p>
  </w:footnote>
  <w:footnote w:id="48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paras. 174-193 </w:t>
      </w:r>
      <w:r w:rsidRPr="00D97463">
        <w:rPr>
          <w:i/>
        </w:rPr>
        <w:t>infra</w:t>
      </w:r>
      <w:r w:rsidRPr="00D97463">
        <w:t>.</w:t>
      </w:r>
    </w:p>
  </w:footnote>
  <w:footnote w:id="48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Energy Charter Treaty (Annex 1 To The Final Act Of The European Energy Charter Conference), done at Lisbon on 17 December 1994, United Nations, </w:t>
      </w:r>
      <w:r w:rsidRPr="00D97463">
        <w:rPr>
          <w:i/>
        </w:rPr>
        <w:t>Treaty Series</w:t>
      </w:r>
      <w:r w:rsidRPr="00D97463">
        <w:t>, vol. 2080, p. 95 at art.</w:t>
      </w:r>
      <w:r>
        <w:t xml:space="preserve"> </w:t>
      </w:r>
      <w:r w:rsidRPr="00D97463">
        <w:t>10(7).</w:t>
      </w:r>
    </w:p>
  </w:footnote>
  <w:footnote w:id="482">
    <w:p w:rsidR="00A3158E" w:rsidRPr="00D97463" w:rsidRDefault="00A3158E" w:rsidP="00D97463">
      <w:pPr>
        <w:pStyle w:val="FootnoteText"/>
        <w:ind w:right="1260"/>
      </w:pPr>
      <w:r w:rsidRPr="00D97463">
        <w:rPr>
          <w:i/>
          <w:iCs/>
        </w:rPr>
        <w:tab/>
      </w:r>
      <w:r w:rsidRPr="00D97463">
        <w:rPr>
          <w:rStyle w:val="FootnoteReference"/>
        </w:rPr>
        <w:footnoteRef/>
      </w:r>
      <w:r w:rsidRPr="00D97463">
        <w:rPr>
          <w:i/>
          <w:iCs/>
        </w:rPr>
        <w:tab/>
        <w:t>Salini Costruttori S.p.A. and Italstrade S.p.A. v. Kingdom of Morocco</w:t>
      </w:r>
      <w:r w:rsidRPr="00D97463">
        <w:t xml:space="preserve">, Decision on Jurisdiction, ICSID Case No. ARB/00/4, para. 52; and more recently, </w:t>
      </w:r>
      <w:r w:rsidRPr="00D97463">
        <w:rPr>
          <w:i/>
        </w:rPr>
        <w:t>Standard Chartered Bank v. United Republic of Tanzania</w:t>
      </w:r>
      <w:r w:rsidRPr="00D97463">
        <w:t>, Award, ICSID Case No. ARB/10/12, November 2, 2012.</w:t>
      </w:r>
    </w:p>
  </w:footnote>
  <w:footnote w:id="48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commentary to draft art. 5, </w:t>
      </w:r>
      <w:r w:rsidRPr="00D97463">
        <w:rPr>
          <w:i/>
          <w:iCs/>
          <w:lang w:bidi="en-US"/>
        </w:rPr>
        <w:t>Yearbook…1978</w:t>
      </w:r>
      <w:r w:rsidRPr="00D97463">
        <w:rPr>
          <w:lang w:bidi="en-US"/>
        </w:rPr>
        <w:t xml:space="preserve">, vol. II (Part Two), p. 21. </w:t>
      </w:r>
    </w:p>
  </w:footnote>
  <w:footnote w:id="48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Todd Weiler, </w:t>
      </w:r>
      <w:r w:rsidRPr="00D97463">
        <w:rPr>
          <w:i/>
          <w:iCs/>
        </w:rPr>
        <w:t>The Interpretation Of International Investment Law: Equality, Discrimination, and Minimum Standards Of Treatment In Historical Context</w:t>
      </w:r>
      <w:r w:rsidRPr="00D97463">
        <w:t xml:space="preserve"> (Leiden: Martinus Nijhoff Publishers, 2013), pp. 415-416.</w:t>
      </w:r>
    </w:p>
  </w:footnote>
  <w:footnote w:id="48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DiMascio and Pauwelyn. </w:t>
      </w:r>
    </w:p>
  </w:footnote>
  <w:footnote w:id="48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lang w:bidi="en-US"/>
        </w:rPr>
        <w:t>Yearbook…1978</w:t>
      </w:r>
      <w:r w:rsidRPr="00D97463">
        <w:rPr>
          <w:lang w:bidi="en-US"/>
        </w:rPr>
        <w:t>, vol. II (Part Two), p. 51 (d</w:t>
      </w:r>
      <w:r w:rsidRPr="00D97463">
        <w:t>raft art. 19).</w:t>
      </w:r>
    </w:p>
  </w:footnote>
  <w:footnote w:id="48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 27 (text of draft article 9).</w:t>
      </w:r>
    </w:p>
  </w:footnote>
  <w:footnote w:id="48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xml:space="preserve"> (commentary to draft arts. 9 and 10). </w:t>
      </w:r>
    </w:p>
  </w:footnote>
  <w:footnote w:id="48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The Ambatielios Claim (Greece v. United Kingdom of Great Britain and Northern Ireland), United Nations Reports of International Arbitral Awards</w:t>
      </w:r>
      <w:r w:rsidRPr="00D97463">
        <w:t>, vol. XII, p. 83.</w:t>
      </w:r>
    </w:p>
  </w:footnote>
  <w:footnote w:id="49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 107.</w:t>
      </w:r>
    </w:p>
  </w:footnote>
  <w:footnote w:id="49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Emilio Agustin Maffezini v. Kingdom of Spain</w:t>
      </w:r>
      <w:r w:rsidRPr="00D97463">
        <w:t xml:space="preserve">, Decision of the Tribunal on Objections to Jurisdiction, ICSID Case No. ARB 97/7 (25 January 2000), </w:t>
      </w:r>
      <w:r w:rsidRPr="00D97463">
        <w:rPr>
          <w:i/>
        </w:rPr>
        <w:t>ICSID Reports</w:t>
      </w:r>
      <w:r w:rsidRPr="00D97463">
        <w:t>, vol. 5, p. 396.</w:t>
      </w:r>
    </w:p>
  </w:footnote>
  <w:footnote w:id="49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para. 39.</w:t>
      </w:r>
    </w:p>
  </w:footnote>
  <w:footnote w:id="493">
    <w:p w:rsidR="00A3158E" w:rsidRPr="00D97463" w:rsidRDefault="00A3158E" w:rsidP="00D97463">
      <w:pPr>
        <w:pStyle w:val="FootnoteText"/>
        <w:ind w:right="1260"/>
        <w:rPr>
          <w:lang w:val="es-ES"/>
        </w:rPr>
      </w:pPr>
      <w:r w:rsidRPr="00D97463">
        <w:tab/>
      </w:r>
      <w:r w:rsidRPr="00D97463">
        <w:rPr>
          <w:rStyle w:val="FootnoteReference"/>
        </w:rPr>
        <w:footnoteRef/>
      </w:r>
      <w:r w:rsidRPr="00D97463">
        <w:t xml:space="preserve"> </w:t>
      </w:r>
      <w:r w:rsidRPr="00D97463">
        <w:tab/>
        <w:t xml:space="preserve">Agreement on the reciprocal promotion and protection of investments, done at Buenos Aries on 3 October 1991, United Nations, </w:t>
      </w:r>
      <w:r w:rsidRPr="00D97463">
        <w:rPr>
          <w:i/>
        </w:rPr>
        <w:t>Treaty Series,</w:t>
      </w:r>
      <w:r w:rsidRPr="00D97463">
        <w:t xml:space="preserve"> vol. 1699, p. 187 at art. </w:t>
      </w:r>
      <w:r w:rsidRPr="00D97463">
        <w:rPr>
          <w:lang w:val="es-ES"/>
        </w:rPr>
        <w:t xml:space="preserve">IV. </w:t>
      </w:r>
    </w:p>
  </w:footnote>
  <w:footnote w:id="494">
    <w:p w:rsidR="00A3158E" w:rsidRPr="00D97463" w:rsidRDefault="00A3158E" w:rsidP="00D97463">
      <w:pPr>
        <w:pStyle w:val="FootnoteText"/>
        <w:ind w:right="1260"/>
        <w:rPr>
          <w:lang w:val="es-ES" w:eastAsia="en-CA"/>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Maffezini</w:t>
      </w:r>
      <w:r w:rsidRPr="00D97463">
        <w:rPr>
          <w:lang w:val="es-ES"/>
        </w:rPr>
        <w:t>, para</w:t>
      </w:r>
      <w:r>
        <w:rPr>
          <w:lang w:val="es-ES"/>
        </w:rPr>
        <w:t>.</w:t>
      </w:r>
      <w:r w:rsidRPr="00D97463">
        <w:rPr>
          <w:lang w:val="es-ES"/>
        </w:rPr>
        <w:t xml:space="preserve"> 49. </w:t>
      </w:r>
    </w:p>
  </w:footnote>
  <w:footnote w:id="495">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Ambatielios</w:t>
      </w:r>
      <w:r w:rsidRPr="00D97463">
        <w:rPr>
          <w:lang w:val="es-ES"/>
        </w:rPr>
        <w:t xml:space="preserve">, p. 107. </w:t>
      </w:r>
    </w:p>
  </w:footnote>
  <w:footnote w:id="496">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i/>
          <w:iCs/>
          <w:lang w:val="es-ES"/>
        </w:rPr>
        <w:tab/>
        <w:t>Maffezini</w:t>
      </w:r>
      <w:r w:rsidRPr="00D97463">
        <w:rPr>
          <w:lang w:val="es-ES"/>
        </w:rPr>
        <w:t>, para. 56.</w:t>
      </w:r>
    </w:p>
  </w:footnote>
  <w:footnote w:id="497">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Ibid.</w:t>
      </w:r>
      <w:r w:rsidRPr="00D97463">
        <w:rPr>
          <w:lang w:val="es-ES"/>
        </w:rPr>
        <w:t xml:space="preserve">, para. 62. </w:t>
      </w:r>
    </w:p>
  </w:footnote>
  <w:footnote w:id="498">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Ibid.</w:t>
      </w:r>
      <w:r w:rsidRPr="00D97463">
        <w:rPr>
          <w:lang w:val="es-ES"/>
        </w:rPr>
        <w:t xml:space="preserve">, para. </w:t>
      </w:r>
      <w:r w:rsidRPr="00D97463">
        <w:t>63.</w:t>
      </w:r>
    </w:p>
  </w:footnote>
  <w:footnote w:id="499">
    <w:p w:rsidR="00A3158E" w:rsidRPr="00D97463" w:rsidRDefault="00A3158E" w:rsidP="00D97463">
      <w:pPr>
        <w:pStyle w:val="FootnoteText"/>
        <w:ind w:right="1260"/>
        <w:rPr>
          <w:i/>
        </w:rPr>
      </w:pPr>
      <w:r w:rsidRPr="00D97463">
        <w:tab/>
      </w:r>
      <w:r w:rsidRPr="00D97463">
        <w:rPr>
          <w:rStyle w:val="FootnoteReference"/>
        </w:rPr>
        <w:footnoteRef/>
      </w:r>
      <w:r w:rsidRPr="00D97463">
        <w:t xml:space="preserve"> </w:t>
      </w:r>
      <w:r w:rsidRPr="00D97463">
        <w:tab/>
      </w:r>
      <w:r w:rsidRPr="00D97463">
        <w:rPr>
          <w:i/>
          <w:iCs/>
        </w:rPr>
        <w:t>Ibid.</w:t>
      </w:r>
      <w:r w:rsidRPr="00D97463">
        <w:t>, para. 62</w:t>
      </w:r>
      <w:r w:rsidRPr="00D97463">
        <w:rPr>
          <w:i/>
        </w:rPr>
        <w:t>.</w:t>
      </w:r>
    </w:p>
  </w:footnote>
  <w:footnote w:id="50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at para. 63.</w:t>
      </w:r>
    </w:p>
  </w:footnote>
  <w:footnote w:id="50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50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Salini</w:t>
      </w:r>
      <w:r w:rsidRPr="00D97463">
        <w:t xml:space="preserve">; </w:t>
      </w:r>
      <w:r w:rsidRPr="00D97463">
        <w:rPr>
          <w:i/>
          <w:iCs/>
        </w:rPr>
        <w:t>Siemens A.G. v. The Argentine Republic</w:t>
      </w:r>
      <w:r w:rsidRPr="00D97463">
        <w:t>, Decision on Jurisdiction, ICSID Case No. ARB/02/8 (3 August 2004) (Argentina-Germany BIT), available at &lt;http://www.italaw.com/</w:t>
      </w:r>
      <w:r>
        <w:t xml:space="preserve"> </w:t>
      </w:r>
      <w:r w:rsidRPr="00D97463">
        <w:t>sites/default/files/case-documents/ita0788.pdf&gt;.</w:t>
      </w:r>
    </w:p>
  </w:footnote>
  <w:footnote w:id="503">
    <w:p w:rsidR="00A3158E" w:rsidRPr="00D97463" w:rsidRDefault="00A3158E" w:rsidP="00D97463">
      <w:pPr>
        <w:pStyle w:val="FootnoteText"/>
        <w:ind w:right="1260"/>
        <w:rPr>
          <w:lang w:val="es-ES"/>
        </w:rPr>
      </w:pPr>
      <w:r w:rsidRPr="00D97463">
        <w:tab/>
      </w:r>
      <w:r w:rsidRPr="00D97463">
        <w:rPr>
          <w:rStyle w:val="FootnoteReference"/>
        </w:rPr>
        <w:footnoteRef/>
      </w:r>
      <w:r w:rsidRPr="00D97463">
        <w:rPr>
          <w:lang w:val="es-ES"/>
        </w:rPr>
        <w:t xml:space="preserve"> </w:t>
      </w:r>
      <w:r w:rsidRPr="00D97463">
        <w:rPr>
          <w:lang w:val="es-ES"/>
        </w:rPr>
        <w:tab/>
      </w:r>
      <w:r w:rsidRPr="00D97463">
        <w:rPr>
          <w:i/>
          <w:lang w:val="es-ES"/>
        </w:rPr>
        <w:t>Maffezini</w:t>
      </w:r>
      <w:r w:rsidRPr="00D97463">
        <w:rPr>
          <w:lang w:val="es-ES"/>
        </w:rPr>
        <w:t>, para. 46.</w:t>
      </w:r>
    </w:p>
  </w:footnote>
  <w:footnote w:id="504">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Ibid.</w:t>
      </w:r>
      <w:r w:rsidRPr="00D97463">
        <w:rPr>
          <w:i/>
          <w:lang w:val="es-ES"/>
        </w:rPr>
        <w:t>,</w:t>
      </w:r>
      <w:r>
        <w:rPr>
          <w:i/>
          <w:lang w:val="es-ES"/>
        </w:rPr>
        <w:t xml:space="preserve"> </w:t>
      </w:r>
      <w:r w:rsidRPr="00D97463">
        <w:rPr>
          <w:lang w:val="es-ES"/>
        </w:rPr>
        <w:t>para. 56.</w:t>
      </w:r>
    </w:p>
  </w:footnote>
  <w:footnote w:id="505">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Ibid.</w:t>
      </w:r>
      <w:r w:rsidRPr="00D97463">
        <w:rPr>
          <w:lang w:val="es-ES"/>
        </w:rPr>
        <w:t xml:space="preserve">, para. </w:t>
      </w:r>
      <w:r w:rsidRPr="00D97463">
        <w:t>54.</w:t>
      </w:r>
    </w:p>
  </w:footnote>
  <w:footnote w:id="50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Siemens</w:t>
      </w:r>
      <w:r w:rsidRPr="00D97463">
        <w:t>, para. 102.</w:t>
      </w:r>
    </w:p>
  </w:footnote>
  <w:footnote w:id="50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AWG Group Ltd. v. The Argentine Republic</w:t>
      </w:r>
      <w:r w:rsidRPr="00D97463">
        <w:t xml:space="preserve">, Decision on Jurisdiction, UNCITRAL (3 August 2006), para. 59 (Argentina-UK BIT) available at &lt;http://www.italaw.com/cases/106&gt;. See also </w:t>
      </w:r>
      <w:r w:rsidRPr="00D97463">
        <w:rPr>
          <w:i/>
        </w:rPr>
        <w:t xml:space="preserve">National Grid, plc v. </w:t>
      </w:r>
      <w:r w:rsidRPr="00D97463">
        <w:rPr>
          <w:i/>
          <w:iCs/>
        </w:rPr>
        <w:t>The Argentine Republic</w:t>
      </w:r>
      <w:r w:rsidRPr="00D97463">
        <w:t>, Decision on Jurisdiction, UNCITRAL (20 June 2006), para. 89 (Argentina-UK BIT) available at &lt;http://www.italaw.com/cases/732&gt;;</w:t>
      </w:r>
      <w:r w:rsidRPr="00D97463">
        <w:rPr>
          <w:i/>
        </w:rPr>
        <w:t xml:space="preserve"> Gas Natural SDG, S.A. v. </w:t>
      </w:r>
      <w:r w:rsidRPr="00D97463">
        <w:rPr>
          <w:i/>
          <w:iCs/>
        </w:rPr>
        <w:t>The Argentine Republic</w:t>
      </w:r>
      <w:r w:rsidRPr="00D97463">
        <w:t xml:space="preserve">, Decision on Jurisdiction, ICSID Case No. ARB/03/10 (17 June 2005), para. 29 (Argentina-Spain BIT) available at &lt;http://www.italaw.com/documents/GasNaturalSDG-DecisiononPreliminaryQuestionsonJurisdiction.pdf&gt;; </w:t>
      </w:r>
      <w:r w:rsidRPr="00D97463">
        <w:rPr>
          <w:i/>
        </w:rPr>
        <w:t xml:space="preserve">RosInvest Co. UK Ltd. v. The Russian Federation, </w:t>
      </w:r>
      <w:r w:rsidRPr="00D97463">
        <w:t xml:space="preserve">Award on Jurisdiction, SCC Case No. V079/2005 (1 October 2007), paras. 131-132 (UK-USSR BIT) available at &lt;http://www.italaw.com/sites/default/files/case-documents/ita0719.pdf&gt;; </w:t>
      </w:r>
      <w:r w:rsidRPr="00D97463">
        <w:rPr>
          <w:i/>
          <w:iCs/>
        </w:rPr>
        <w:t>Renta 4 S.V.S.A, Ahorro Corporación Emergentes F.I., Ahorro Corporación Eurofondo F.I., Rovime Inversiones SICAV S.A., Quasar de Valors SICAV S.A., Orgor de Valores SICAV S.A., GBI 9000 SICAV S.A. v. The Russian Federation</w:t>
      </w:r>
      <w:r w:rsidRPr="00D97463">
        <w:t>, Award on Preliminary Objections, SCC No. 24/2007 (20 March 2009), para. 100 (Spain/Russia BIT) available at &lt;http://www.italaw.com/sites/default/files/case-documents/ita1075.pdf&gt;;</w:t>
      </w:r>
      <w:r w:rsidRPr="00D97463">
        <w:rPr>
          <w:i/>
        </w:rPr>
        <w:t xml:space="preserve"> </w:t>
      </w:r>
      <w:r w:rsidRPr="00D97463">
        <w:rPr>
          <w:i/>
          <w:iCs/>
        </w:rPr>
        <w:t>Austrian Airlines v. The Slovak Republic</w:t>
      </w:r>
      <w:r w:rsidRPr="00D97463">
        <w:t xml:space="preserve">, </w:t>
      </w:r>
      <w:r w:rsidRPr="00D97463">
        <w:rPr>
          <w:i/>
          <w:iCs/>
        </w:rPr>
        <w:t>final award</w:t>
      </w:r>
      <w:r w:rsidRPr="00D97463">
        <w:t>, UNCITRAL (9 October 2009), para. 124 (Austria-Czech/Slovak Republic BIT) available at &lt;http://www.italaw.com/cases/103&gt;.</w:t>
      </w:r>
    </w:p>
  </w:footnote>
  <w:footnote w:id="50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Salini</w:t>
      </w:r>
      <w:r w:rsidRPr="00D97463">
        <w:t xml:space="preserve">, para. 112; see also </w:t>
      </w:r>
      <w:r w:rsidRPr="00D97463">
        <w:rPr>
          <w:i/>
          <w:iCs/>
        </w:rPr>
        <w:t>Vladimir Berschader and Moïse Berschader v. The Russian Federation</w:t>
      </w:r>
      <w:r w:rsidRPr="00D97463">
        <w:t>, SCC Case No. 080/2004 (21 April 2006), para. 175 (Belgium/Luxembourg-USSR BIT).</w:t>
      </w:r>
    </w:p>
  </w:footnote>
  <w:footnote w:id="50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Salini</w:t>
      </w:r>
      <w:r w:rsidRPr="00D97463">
        <w:t xml:space="preserve">, para. 106. </w:t>
      </w:r>
      <w:r w:rsidRPr="00D97463">
        <w:rPr>
          <w:i/>
          <w:iCs/>
        </w:rPr>
        <w:t>Ambatielos (Greece v. United Kingdom), Merits: Obligation to Arbitrate,</w:t>
      </w:r>
      <w:r w:rsidRPr="00D97463">
        <w:rPr>
          <w:bCs/>
          <w:i/>
          <w:iCs/>
          <w:color w:val="333333"/>
          <w:shd w:val="clear" w:color="auto" w:fill="FFFFFF"/>
        </w:rPr>
        <w:t xml:space="preserve"> </w:t>
      </w:r>
      <w:r w:rsidRPr="00D97463">
        <w:rPr>
          <w:i/>
          <w:iCs/>
        </w:rPr>
        <w:t>Judgment, I.C.J. Reports 1953</w:t>
      </w:r>
      <w:r w:rsidRPr="00D97463">
        <w:t xml:space="preserve">, p. 10. </w:t>
      </w:r>
    </w:p>
  </w:footnote>
  <w:footnote w:id="51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rPr>
          <w:i/>
        </w:rPr>
        <w:t xml:space="preserve">, </w:t>
      </w:r>
      <w:r w:rsidRPr="00D97463">
        <w:t>at paras. 111-112.</w:t>
      </w:r>
    </w:p>
  </w:footnote>
  <w:footnote w:id="511">
    <w:p w:rsidR="00A3158E" w:rsidRPr="00D97463" w:rsidRDefault="00A3158E" w:rsidP="00D97463">
      <w:pPr>
        <w:pStyle w:val="FootnoteText"/>
        <w:ind w:right="1260"/>
      </w:pPr>
      <w:r w:rsidRPr="00D97463">
        <w:tab/>
      </w:r>
      <w:r w:rsidRPr="00D97463">
        <w:rPr>
          <w:rStyle w:val="FootnoteReference"/>
        </w:rPr>
        <w:footnoteRef/>
      </w:r>
      <w:r w:rsidRPr="00D97463">
        <w:tab/>
        <w:t xml:space="preserve">Emphasis in original. </w:t>
      </w:r>
      <w:r w:rsidRPr="00D97463">
        <w:rPr>
          <w:i/>
        </w:rPr>
        <w:t>Telenor Mobile Communications A.S. v. Hungary,</w:t>
      </w:r>
      <w:r w:rsidRPr="00D97463">
        <w:t xml:space="preserve"> ICSID Case No. ARB/04/15 (13 September 2006), para. 92 (Norway-Hungary BIT).</w:t>
      </w:r>
    </w:p>
  </w:footnote>
  <w:footnote w:id="51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Renta</w:t>
      </w:r>
      <w:r w:rsidRPr="00D97463">
        <w:t xml:space="preserve">, para. 100; </w:t>
      </w:r>
      <w:r w:rsidRPr="00D97463">
        <w:rPr>
          <w:i/>
        </w:rPr>
        <w:t>Austrian Airlines</w:t>
      </w:r>
      <w:r w:rsidRPr="00D97463">
        <w:t xml:space="preserve">; </w:t>
      </w:r>
      <w:r w:rsidRPr="00D97463">
        <w:rPr>
          <w:i/>
        </w:rPr>
        <w:t xml:space="preserve">ICS Inspection and Control Services Limited (United Kingdom) v. Republic of Argentina, </w:t>
      </w:r>
      <w:r w:rsidRPr="00D97463">
        <w:t>Award on Jurisdiction, UNCITRAL, PCA Case No. 2010-9 (10 February 2012), (UK/Argentina BIT).</w:t>
      </w:r>
    </w:p>
  </w:footnote>
  <w:footnote w:id="513">
    <w:p w:rsidR="00A3158E" w:rsidRPr="00D97463" w:rsidRDefault="00A3158E" w:rsidP="00D97463">
      <w:pPr>
        <w:pStyle w:val="FootnoteText"/>
        <w:ind w:right="1260"/>
        <w:rPr>
          <w:lang w:val="es-ES"/>
        </w:rPr>
      </w:pPr>
      <w:r w:rsidRPr="00D97463">
        <w:tab/>
      </w:r>
      <w:r w:rsidRPr="00D97463">
        <w:rPr>
          <w:rStyle w:val="FootnoteReference"/>
        </w:rPr>
        <w:footnoteRef/>
      </w:r>
      <w:r w:rsidRPr="00D97463">
        <w:t xml:space="preserve"> </w:t>
      </w:r>
      <w:r w:rsidRPr="00D97463">
        <w:tab/>
      </w:r>
      <w:r w:rsidRPr="00D97463">
        <w:rPr>
          <w:i/>
        </w:rPr>
        <w:t>Plama Consortium Limited v. Republic of Bulgaria</w:t>
      </w:r>
      <w:r w:rsidRPr="00D97463">
        <w:t xml:space="preserve">, Decision on Jurisdiction, ICSID Case No. </w:t>
      </w:r>
      <w:r w:rsidRPr="00D97463">
        <w:rPr>
          <w:lang w:val="es-ES"/>
        </w:rPr>
        <w:t>ARB/03/24 (8 February 2005), para. 198 (Cyprus-Bulgaria BIT).</w:t>
      </w:r>
    </w:p>
  </w:footnote>
  <w:footnote w:id="514">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Ibid.</w:t>
      </w:r>
      <w:r w:rsidRPr="00D97463">
        <w:rPr>
          <w:i/>
          <w:lang w:val="es-ES"/>
        </w:rPr>
        <w:t xml:space="preserve">, </w:t>
      </w:r>
      <w:r w:rsidRPr="00D97463">
        <w:rPr>
          <w:lang w:val="es-ES"/>
        </w:rPr>
        <w:t>at para. 204.</w:t>
      </w:r>
    </w:p>
  </w:footnote>
  <w:footnote w:id="515">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 xml:space="preserve">Telenor, </w:t>
      </w:r>
      <w:r w:rsidRPr="00D97463">
        <w:rPr>
          <w:lang w:val="es-ES"/>
        </w:rPr>
        <w:t xml:space="preserve">para. </w:t>
      </w:r>
      <w:r w:rsidRPr="00D97463">
        <w:t>91.</w:t>
      </w:r>
    </w:p>
  </w:footnote>
  <w:footnote w:id="51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Wintershall Aktiengesellschaft v. Argentine Republic</w:t>
      </w:r>
      <w:r w:rsidRPr="00D97463">
        <w:t xml:space="preserve">, Award, ICSID Case No. ARB/04/14 (8 December 2008), para. 167 (Argentina-Germany BIT). The </w:t>
      </w:r>
      <w:r w:rsidRPr="00D97463">
        <w:rPr>
          <w:lang w:bidi="en-US"/>
        </w:rPr>
        <w:t>tribunal took the view that procedural provisions could not be included within the scope of an MFN provision unless “</w:t>
      </w:r>
      <w:r w:rsidRPr="00D97463">
        <w:rPr>
          <w:iCs/>
        </w:rPr>
        <w:t>the MFN Clause in the basic treaty clearly and unambiguously indicates that it should be so interpreted: which is not so in the present case.”</w:t>
      </w:r>
    </w:p>
  </w:footnote>
  <w:footnote w:id="517">
    <w:p w:rsidR="00A3158E" w:rsidRPr="00D97463" w:rsidRDefault="00A3158E" w:rsidP="00D97463">
      <w:pPr>
        <w:pStyle w:val="FootnoteText"/>
        <w:ind w:right="1260"/>
      </w:pPr>
      <w:r w:rsidRPr="00D97463">
        <w:tab/>
      </w:r>
      <w:r w:rsidRPr="00D97463">
        <w:rPr>
          <w:rStyle w:val="FootnoteReference"/>
        </w:rPr>
        <w:footnoteRef/>
      </w:r>
      <w:r w:rsidRPr="00D97463">
        <w:rPr>
          <w:lang w:val="es-ES"/>
        </w:rPr>
        <w:t xml:space="preserve"> </w:t>
      </w:r>
      <w:r w:rsidRPr="00D97463">
        <w:rPr>
          <w:lang w:val="es-ES"/>
        </w:rPr>
        <w:tab/>
      </w:r>
      <w:r w:rsidRPr="00D97463">
        <w:rPr>
          <w:i/>
          <w:iCs/>
          <w:lang w:val="es-ES"/>
        </w:rPr>
        <w:t>Suez, Sociedad General de Aguas de Barcelona S.A., and InterAguas Servicios Integrales del Agua S.A. v. The Argentine Republic</w:t>
      </w:r>
      <w:r w:rsidRPr="00D97463">
        <w:rPr>
          <w:lang w:val="es-ES"/>
        </w:rPr>
        <w:t xml:space="preserve">, Decision on Jurisdiction, ICSID Case No. </w:t>
      </w:r>
      <w:r w:rsidRPr="00D97463">
        <w:t>ARB/03/17 (16 May 2006), para. 64 (France-Argentina and Spain-Argentina BITs).</w:t>
      </w:r>
    </w:p>
  </w:footnote>
  <w:footnote w:id="51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Austrian Airlines</w:t>
      </w:r>
      <w:r w:rsidRPr="00D97463">
        <w:t xml:space="preserve">, para. 95. The tribunal also placed reliance on the statement in the separate opinion of Judge Higgins in the </w:t>
      </w:r>
      <w:r w:rsidRPr="00D97463">
        <w:rPr>
          <w:i/>
        </w:rPr>
        <w:t>Oil Platforms</w:t>
      </w:r>
      <w:r w:rsidRPr="00D97463">
        <w:t xml:space="preserve"> case that there is no support in the jurisprudence of the PCIJ or the ICJ for a restrictive approach to the interpretation of compromissory clauses, and in fact no policy of being either liberal or strict in their interpretation: </w:t>
      </w:r>
      <w:r w:rsidRPr="00D97463">
        <w:rPr>
          <w:i/>
        </w:rPr>
        <w:t>Oil Platforms (Islamic Republic of Iran v. United States of America) Preliminary Objections</w:t>
      </w:r>
      <w:r w:rsidRPr="00D97463">
        <w:t xml:space="preserve">, Judgment of 12 December 1996, Separate Opinion by Judge Higgins, </w:t>
      </w:r>
      <w:r w:rsidRPr="00D97463">
        <w:rPr>
          <w:i/>
        </w:rPr>
        <w:t>I.C.J. Reports 1996</w:t>
      </w:r>
      <w:r w:rsidRPr="00D97463">
        <w:t xml:space="preserve">, p. 857 at para. 35, cited in </w:t>
      </w:r>
      <w:r w:rsidRPr="00D97463">
        <w:rPr>
          <w:i/>
        </w:rPr>
        <w:t>Austrian Airlines</w:t>
      </w:r>
      <w:r w:rsidRPr="00D97463">
        <w:t xml:space="preserve"> at para. 120. </w:t>
      </w:r>
    </w:p>
  </w:footnote>
  <w:footnote w:id="519">
    <w:p w:rsidR="00A3158E" w:rsidRPr="00D97463" w:rsidRDefault="00A3158E" w:rsidP="00D97463">
      <w:pPr>
        <w:pStyle w:val="FootnoteText"/>
        <w:ind w:right="1260"/>
        <w:rPr>
          <w:lang w:eastAsia="en-CA"/>
        </w:rPr>
      </w:pPr>
      <w:r w:rsidRPr="00D97463">
        <w:tab/>
      </w:r>
      <w:r w:rsidRPr="00D97463">
        <w:rPr>
          <w:rStyle w:val="FootnoteReference"/>
        </w:rPr>
        <w:footnoteRef/>
      </w:r>
      <w:r w:rsidRPr="00D97463">
        <w:t xml:space="preserve"> </w:t>
      </w:r>
      <w:r w:rsidRPr="00D97463">
        <w:tab/>
        <w:t xml:space="preserve">Campbell MacLachlan, Laurence Shore and Matthew Weiniger, </w:t>
      </w:r>
      <w:r w:rsidRPr="00D97463">
        <w:rPr>
          <w:i/>
        </w:rPr>
        <w:t>International Investment Arbitration: Substantive Principles</w:t>
      </w:r>
      <w:r w:rsidRPr="00D97463">
        <w:t xml:space="preserve"> (Oxford: Oxford University Press. 2008), para. 7.168.</w:t>
      </w:r>
    </w:p>
  </w:footnote>
  <w:footnote w:id="52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rPr>
          <w:i/>
          <w:iCs/>
        </w:rPr>
        <w:tab/>
        <w:t>ICS v. Argentina</w:t>
      </w:r>
      <w:r w:rsidRPr="00D97463">
        <w:t xml:space="preserve">, paras. 281-2. </w:t>
      </w:r>
    </w:p>
  </w:footnote>
  <w:footnote w:id="52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Impregilo S.p.A. v. Argentine Republic</w:t>
      </w:r>
      <w:r w:rsidRPr="00D97463">
        <w:t>, Concurring and Dissenting Opinion of Professor Brigitte Stern, ICSID Case No. ARB/07/17 (21 June 2011).</w:t>
      </w:r>
    </w:p>
  </w:footnote>
  <w:footnote w:id="52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52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Indeed, this position seems to have been accepted by the tribunal in </w:t>
      </w:r>
      <w:r w:rsidRPr="00D97463">
        <w:rPr>
          <w:i/>
        </w:rPr>
        <w:t>HICEE B.V. v. The Slovak Republic,</w:t>
      </w:r>
      <w:r w:rsidRPr="00D97463">
        <w:t xml:space="preserve"> Partial Award, UNCITRAL, PCA Case No. 2009-11 (23 May 2011),</w:t>
      </w:r>
      <w:r w:rsidRPr="00D97463">
        <w:rPr>
          <w:b/>
        </w:rPr>
        <w:t xml:space="preserve"> </w:t>
      </w:r>
      <w:r w:rsidRPr="00D97463">
        <w:t>para. 149 (Netherlands/Czech and Slovak Republic BIT).</w:t>
      </w:r>
    </w:p>
  </w:footnote>
  <w:footnote w:id="52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Dissenting Opinion of arbitrator Christopher Thomas in </w:t>
      </w:r>
      <w:r w:rsidRPr="00D97463">
        <w:rPr>
          <w:i/>
        </w:rPr>
        <w:t xml:space="preserve">Hochtief AG v. The Argentine Republic, </w:t>
      </w:r>
      <w:r w:rsidRPr="00D97463">
        <w:t xml:space="preserve">Decision on Jurisdiction, ICSID Case No. ARB/07/31 (24 October 2011), (Germany/Argentina BIT). </w:t>
      </w:r>
    </w:p>
  </w:footnote>
  <w:footnote w:id="52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Armed Activities on the Territory of the Congo (New Application: 2002)</w:t>
      </w:r>
      <w:r w:rsidRPr="00D97463">
        <w:t xml:space="preserve"> (</w:t>
      </w:r>
      <w:r w:rsidRPr="00D97463">
        <w:rPr>
          <w:i/>
          <w:iCs/>
        </w:rPr>
        <w:t>Democratic Republic of the Congo v. Rwanda</w:t>
      </w:r>
      <w:r w:rsidRPr="00D97463">
        <w:t xml:space="preserve">), </w:t>
      </w:r>
      <w:r w:rsidRPr="00D97463">
        <w:rPr>
          <w:i/>
        </w:rPr>
        <w:t>Judgment, I.C.J. Reports 2006</w:t>
      </w:r>
      <w:r w:rsidRPr="00D97463">
        <w:t xml:space="preserve">, p. 6 at para. 88. </w:t>
      </w:r>
    </w:p>
  </w:footnote>
  <w:footnote w:id="52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ICS v. Argentina</w:t>
      </w:r>
      <w:r w:rsidRPr="00D97463">
        <w:t>, para. 258.</w:t>
      </w:r>
    </w:p>
  </w:footnote>
  <w:footnote w:id="52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rPr>
          <w:i/>
        </w:rPr>
        <w:t>,</w:t>
      </w:r>
      <w:r w:rsidRPr="00D97463">
        <w:t xml:space="preserve"> at para. 362.</w:t>
      </w:r>
    </w:p>
  </w:footnote>
  <w:footnote w:id="52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rPr>
          <w:i/>
        </w:rPr>
        <w:t>,</w:t>
      </w:r>
      <w:r w:rsidRPr="00D97463">
        <w:t xml:space="preserve"> at para. 289.</w:t>
      </w:r>
    </w:p>
  </w:footnote>
  <w:footnote w:id="52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r w:rsidRPr="00D97463">
        <w:t xml:space="preserve">, at para. 326. The tribunal accepted that domestic dispute settlement was covered by the MFN provision since it took place within the territory of the host State. </w:t>
      </w:r>
    </w:p>
  </w:footnote>
  <w:footnote w:id="53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 xml:space="preserve">Daimler Financial Services AG v. Argentine Republic, </w:t>
      </w:r>
      <w:r w:rsidRPr="00D97463">
        <w:t>Award, ICSID Case No. ARB/05/1, 22 August 2012. The decision was by majority with one arbitrator dissenting.</w:t>
      </w:r>
    </w:p>
  </w:footnote>
  <w:footnote w:id="53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Kılıç İnşaat İthalat İhracat Sanayi ve Ticaret Anonim Şirketi v. Turkmenistan</w:t>
      </w:r>
      <w:r w:rsidRPr="00D97463">
        <w:t xml:space="preserve">, Decision on Article VII.2 of the Turkey-Turkmenistan Bilateral Investment Treaty, ICSID Case No. ARB/10/1, 2 July 2013, available at &lt; http://www.italaw.com/sites/default/files/case-documents/italaw1515_0.pdf&gt;. </w:t>
      </w:r>
    </w:p>
  </w:footnote>
  <w:footnote w:id="53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ST-AD GmbH v. Republic of Bulgaria</w:t>
      </w:r>
      <w:r w:rsidRPr="00D97463">
        <w:t xml:space="preserve">, Award on Jurisdiction, UNCITRAL PCA Case No. 2011-06, 18 July 2013. </w:t>
      </w:r>
    </w:p>
  </w:footnote>
  <w:footnote w:id="53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Hochtief</w:t>
      </w:r>
      <w:r w:rsidRPr="00D97463">
        <w:t xml:space="preserve"> (majority opinion). </w:t>
      </w:r>
    </w:p>
  </w:footnote>
  <w:footnote w:id="53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53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lang w:eastAsia="ja-JP"/>
        </w:rPr>
        <w:t>Teinver S.A., Transportes de Cercanías S.A. and Autobuses Urbanos del Sur S.A. v. The Argentine Republic</w:t>
      </w:r>
      <w:r w:rsidRPr="00D97463">
        <w:rPr>
          <w:lang w:eastAsia="ja-JP"/>
        </w:rPr>
        <w:t>, Decision on Jurisdiction, ICSID Case No. ARB/09/01, December 21, 2012.</w:t>
      </w:r>
    </w:p>
  </w:footnote>
  <w:footnote w:id="536">
    <w:p w:rsidR="00A3158E" w:rsidRPr="00D97463" w:rsidRDefault="00A3158E" w:rsidP="00D97463">
      <w:pPr>
        <w:pStyle w:val="FootnoteText"/>
        <w:ind w:right="1260"/>
        <w:rPr>
          <w:lang w:eastAsia="ja-JP"/>
        </w:rPr>
      </w:pPr>
      <w:r w:rsidRPr="00D97463">
        <w:tab/>
      </w:r>
      <w:r w:rsidRPr="00D97463">
        <w:rPr>
          <w:rStyle w:val="FootnoteReference"/>
        </w:rPr>
        <w:footnoteRef/>
      </w:r>
      <w:r w:rsidRPr="00D97463">
        <w:t xml:space="preserve"> </w:t>
      </w:r>
      <w:r w:rsidRPr="00D97463">
        <w:tab/>
      </w:r>
      <w:r w:rsidRPr="00D97463">
        <w:rPr>
          <w:lang w:eastAsia="ja-JP"/>
        </w:rPr>
        <w:t xml:space="preserve">UNCTAD Series on International Investment Agreements vol. II, </w:t>
      </w:r>
      <w:r w:rsidRPr="00D97463">
        <w:rPr>
          <w:i/>
          <w:lang w:eastAsia="ja-JP"/>
        </w:rPr>
        <w:t>Most Favoured-Nation Treatment</w:t>
      </w:r>
      <w:r w:rsidRPr="00D97463">
        <w:rPr>
          <w:lang w:eastAsia="ja-JP"/>
        </w:rPr>
        <w:t xml:space="preserve">, 24 January 2011, document UNCTAD/DIAE/IA/2010/1, at pp. 66-67. </w:t>
      </w:r>
    </w:p>
  </w:footnote>
  <w:footnote w:id="537">
    <w:p w:rsidR="00A3158E" w:rsidRPr="00D97463" w:rsidRDefault="00A3158E" w:rsidP="00D97463">
      <w:pPr>
        <w:pStyle w:val="FootnoteText"/>
        <w:ind w:right="1260"/>
      </w:pPr>
      <w:r w:rsidRPr="00D97463">
        <w:tab/>
      </w:r>
      <w:r w:rsidRPr="00D97463">
        <w:rPr>
          <w:rStyle w:val="FootnoteReference"/>
        </w:rPr>
        <w:footnoteRef/>
      </w:r>
      <w:r w:rsidRPr="00D97463">
        <w:rPr>
          <w:lang w:val="es-ES"/>
        </w:rPr>
        <w:t xml:space="preserve"> </w:t>
      </w:r>
      <w:r w:rsidRPr="00D97463">
        <w:rPr>
          <w:lang w:val="es-ES"/>
        </w:rPr>
        <w:tab/>
      </w:r>
      <w:r w:rsidRPr="00D97463">
        <w:rPr>
          <w:i/>
          <w:lang w:val="es-ES"/>
        </w:rPr>
        <w:t xml:space="preserve">RosInvest, </w:t>
      </w:r>
      <w:r w:rsidRPr="00D97463">
        <w:rPr>
          <w:lang w:val="es-ES"/>
        </w:rPr>
        <w:t xml:space="preserve">para. 131. </w:t>
      </w:r>
      <w:r w:rsidRPr="00D97463">
        <w:rPr>
          <w:lang w:val="es-ES" w:bidi="en-US"/>
        </w:rPr>
        <w:t xml:space="preserve">In </w:t>
      </w:r>
      <w:r w:rsidRPr="00D97463">
        <w:rPr>
          <w:i/>
          <w:lang w:val="es-ES" w:bidi="en-US"/>
        </w:rPr>
        <w:t>Renta</w:t>
      </w:r>
      <w:r w:rsidRPr="00D97463">
        <w:rPr>
          <w:lang w:val="es-ES"/>
        </w:rPr>
        <w:t xml:space="preserve">, para. </w:t>
      </w:r>
      <w:r w:rsidRPr="00D97463">
        <w:t>92, t</w:t>
      </w:r>
      <w:r w:rsidRPr="00D97463">
        <w:rPr>
          <w:lang w:bidi="en-US"/>
        </w:rPr>
        <w:t>he tribunal stated “the extension of commitments is in the very nature of MFN clauses.”</w:t>
      </w:r>
    </w:p>
  </w:footnote>
  <w:footnote w:id="53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CME</w:t>
      </w:r>
      <w:r w:rsidRPr="00D97463">
        <w:t xml:space="preserve"> </w:t>
      </w:r>
      <w:r w:rsidRPr="00D97463">
        <w:rPr>
          <w:i/>
          <w:iCs/>
        </w:rPr>
        <w:t>Czech Republic B.V. v. The Czech Republic</w:t>
      </w:r>
      <w:r w:rsidRPr="00D97463">
        <w:t>, Separate Opinion on the Issues at the Quantum phases, UNCITRAL (14 March 2003), para. 11 (Netherlands-Czech Republic BIT) available at &lt;http://italaw.com/cases/documents/282&gt;.</w:t>
      </w:r>
    </w:p>
  </w:footnote>
  <w:footnote w:id="539">
    <w:p w:rsidR="00A3158E" w:rsidRPr="00D97463" w:rsidRDefault="00A3158E" w:rsidP="00D97463">
      <w:pPr>
        <w:pStyle w:val="FootnoteText"/>
        <w:ind w:right="1260"/>
        <w:rPr>
          <w:lang w:val="es-ES"/>
        </w:rPr>
      </w:pPr>
      <w:r w:rsidRPr="00D97463">
        <w:tab/>
      </w:r>
      <w:r w:rsidRPr="00D97463">
        <w:rPr>
          <w:rStyle w:val="FootnoteReference"/>
        </w:rPr>
        <w:footnoteRef/>
      </w:r>
      <w:r w:rsidRPr="00D97463">
        <w:rPr>
          <w:lang w:val="es-ES"/>
        </w:rPr>
        <w:t xml:space="preserve"> </w:t>
      </w:r>
      <w:r w:rsidRPr="00D97463">
        <w:rPr>
          <w:lang w:val="es-ES"/>
        </w:rPr>
        <w:tab/>
      </w:r>
      <w:r w:rsidRPr="00D97463">
        <w:rPr>
          <w:i/>
          <w:iCs/>
          <w:lang w:val="es-ES"/>
        </w:rPr>
        <w:t>Austrian Airlines</w:t>
      </w:r>
      <w:r w:rsidRPr="00D97463">
        <w:rPr>
          <w:lang w:val="es-ES"/>
        </w:rPr>
        <w:t>, para. 137.</w:t>
      </w:r>
    </w:p>
  </w:footnote>
  <w:footnote w:id="540">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Berschader</w:t>
      </w:r>
      <w:r w:rsidRPr="00D97463">
        <w:rPr>
          <w:lang w:val="es-ES"/>
        </w:rPr>
        <w:t xml:space="preserve">, para. </w:t>
      </w:r>
      <w:r w:rsidRPr="00D97463">
        <w:t>192.</w:t>
      </w:r>
    </w:p>
  </w:footnote>
  <w:footnote w:id="54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rPr>
          <w:i/>
          <w:iCs/>
        </w:rPr>
        <w:tab/>
        <w:t>Austrian Airlines</w:t>
      </w:r>
      <w:r w:rsidRPr="00D97463">
        <w:t>, para. 135.</w:t>
      </w:r>
    </w:p>
  </w:footnote>
  <w:footnote w:id="542">
    <w:p w:rsidR="00A3158E" w:rsidRPr="00D97463" w:rsidRDefault="00A3158E" w:rsidP="00D97463">
      <w:pPr>
        <w:pStyle w:val="FootnoteText"/>
        <w:ind w:right="1260"/>
        <w:rPr>
          <w:lang w:val="es-ES"/>
        </w:rPr>
      </w:pPr>
      <w:r w:rsidRPr="00D97463">
        <w:tab/>
      </w:r>
      <w:r w:rsidRPr="00D97463">
        <w:rPr>
          <w:rStyle w:val="FootnoteReference"/>
        </w:rPr>
        <w:footnoteRef/>
      </w:r>
      <w:r w:rsidRPr="00D97463">
        <w:t xml:space="preserve"> </w:t>
      </w:r>
      <w:r w:rsidRPr="00D97463">
        <w:tab/>
      </w:r>
      <w:r w:rsidRPr="00D97463">
        <w:rPr>
          <w:i/>
          <w:iCs/>
        </w:rPr>
        <w:t>Señor Tza Yap Shum v. The Republic of Peru</w:t>
      </w:r>
      <w:r w:rsidRPr="00D97463">
        <w:t xml:space="preserve">, Decision on Jurisdiction and Competence (Spanish), ICSID Case No. </w:t>
      </w:r>
      <w:r w:rsidRPr="00D97463">
        <w:rPr>
          <w:lang w:val="es-ES"/>
        </w:rPr>
        <w:t xml:space="preserve">ARB/07/6 (19 June 2009) at para. 220 (Peru-China BIT). </w:t>
      </w:r>
    </w:p>
  </w:footnote>
  <w:footnote w:id="543">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Maffezini</w:t>
      </w:r>
      <w:r w:rsidRPr="00D97463">
        <w:rPr>
          <w:lang w:val="es-ES"/>
        </w:rPr>
        <w:t>, para. 57.</w:t>
      </w:r>
    </w:p>
  </w:footnote>
  <w:footnote w:id="544">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 xml:space="preserve">Telenor, </w:t>
      </w:r>
      <w:r w:rsidRPr="00D97463">
        <w:rPr>
          <w:lang w:val="es-ES"/>
        </w:rPr>
        <w:t>paras</w:t>
      </w:r>
      <w:r>
        <w:rPr>
          <w:lang w:val="es-ES"/>
        </w:rPr>
        <w:t>.</w:t>
      </w:r>
      <w:r w:rsidRPr="00D97463">
        <w:rPr>
          <w:lang w:val="es-ES"/>
        </w:rPr>
        <w:t xml:space="preserve"> 96-97. </w:t>
      </w:r>
    </w:p>
  </w:footnote>
  <w:footnote w:id="545">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Austrian Airlines</w:t>
      </w:r>
      <w:r w:rsidRPr="00D97463">
        <w:rPr>
          <w:lang w:val="es-ES"/>
        </w:rPr>
        <w:t>, para. 134.</w:t>
      </w:r>
    </w:p>
  </w:footnote>
  <w:footnote w:id="546">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Renta</w:t>
      </w:r>
      <w:r w:rsidRPr="00D97463">
        <w:rPr>
          <w:lang w:val="es-ES"/>
        </w:rPr>
        <w:t xml:space="preserve">, para. 120. </w:t>
      </w:r>
    </w:p>
  </w:footnote>
  <w:footnote w:id="547">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 xml:space="preserve">Plama, </w:t>
      </w:r>
      <w:r w:rsidRPr="00D97463">
        <w:rPr>
          <w:lang w:val="es-ES"/>
        </w:rPr>
        <w:t>para. 195.</w:t>
      </w:r>
    </w:p>
  </w:footnote>
  <w:footnote w:id="548">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ICS v. Argentina</w:t>
      </w:r>
      <w:r w:rsidRPr="00D97463">
        <w:rPr>
          <w:lang w:val="es-ES"/>
        </w:rPr>
        <w:t xml:space="preserve">, para. </w:t>
      </w:r>
      <w:r w:rsidRPr="00D97463">
        <w:t>289.</w:t>
      </w:r>
    </w:p>
  </w:footnote>
  <w:footnote w:id="54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 xml:space="preserve">Plama, </w:t>
      </w:r>
      <w:r w:rsidRPr="00D97463">
        <w:t>para. 224. However, it is not clear why the 18-month domestic litigation provision was regarded as nonsensical. It provided an opportunity for the matter to be resolved in the domestic courts — a limited form of exhaustion of local remedies requirement with a guarantee that the investor could not be delayed beyond 18 months.</w:t>
      </w:r>
    </w:p>
  </w:footnote>
  <w:footnote w:id="55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The majority in </w:t>
      </w:r>
      <w:r w:rsidRPr="00D97463">
        <w:rPr>
          <w:i/>
        </w:rPr>
        <w:t>Abaclat</w:t>
      </w:r>
      <w:r w:rsidRPr="00D97463">
        <w:t xml:space="preserve"> did not deal with an MFN claim. However, the tribunal did deal with the 18-month litigation requirement under the heading of “Admissibility of the Claim.” </w:t>
      </w:r>
      <w:r w:rsidRPr="00D97463">
        <w:rPr>
          <w:i/>
        </w:rPr>
        <w:t>Abaclat and Others v. Argentine Republic</w:t>
      </w:r>
      <w:r w:rsidRPr="00D97463">
        <w:t xml:space="preserve"> </w:t>
      </w:r>
      <w:r w:rsidRPr="00D97463">
        <w:rPr>
          <w:i/>
        </w:rPr>
        <w:t xml:space="preserve">(Case formerly known as Giovanna a Beccara and Others), </w:t>
      </w:r>
      <w:r w:rsidRPr="00D97463">
        <w:t>Decision on Jurisdiction and Admissibility, ICSID Case No. ARB/07/5 (4 August 2011), (Italy-Argentina BIT). The contrary view was expressed in the dissent of arbitrator Georges Abi-Saab, at paras 31-33.</w:t>
      </w:r>
    </w:p>
  </w:footnote>
  <w:footnote w:id="55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Furthermore, the </w:t>
      </w:r>
      <w:r w:rsidRPr="00D97463">
        <w:rPr>
          <w:i/>
        </w:rPr>
        <w:t>ICS</w:t>
      </w:r>
      <w:r w:rsidRPr="00D97463">
        <w:t xml:space="preserve"> tribunal said, there was no proof before it that could lead it to the conclusion that the Argentine courts would be ineffective in dealing with the matter. </w:t>
      </w:r>
      <w:r w:rsidRPr="00D97463">
        <w:rPr>
          <w:i/>
        </w:rPr>
        <w:t>ICS v. Argentina</w:t>
      </w:r>
      <w:r w:rsidRPr="00D97463">
        <w:t xml:space="preserve">, paras. 267-269. See also the dissenting opinion of arbitrator J. Christopher Thomas in </w:t>
      </w:r>
      <w:r w:rsidRPr="00D97463">
        <w:rPr>
          <w:i/>
        </w:rPr>
        <w:t>Hochtief</w:t>
      </w:r>
      <w:r w:rsidRPr="00D97463">
        <w:t xml:space="preserve">. </w:t>
      </w:r>
    </w:p>
  </w:footnote>
  <w:footnote w:id="55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Garanti Kos LLP</w:t>
      </w:r>
      <w:r w:rsidRPr="00D97463">
        <w:t xml:space="preserve"> </w:t>
      </w:r>
      <w:r w:rsidRPr="00D97463">
        <w:rPr>
          <w:i/>
          <w:iCs/>
        </w:rPr>
        <w:t>v.</w:t>
      </w:r>
      <w:r w:rsidRPr="00D97463">
        <w:t xml:space="preserve"> </w:t>
      </w:r>
      <w:r w:rsidRPr="00D97463">
        <w:rPr>
          <w:i/>
        </w:rPr>
        <w:t>Turkmenistan</w:t>
      </w:r>
      <w:r w:rsidRPr="00D97463">
        <w:t xml:space="preserve">, Decision on the Objection to Jurisdiction, 3 July 2013, </w:t>
      </w:r>
      <w:r w:rsidRPr="00D97463">
        <w:rPr>
          <w:lang w:eastAsia="ja-JP"/>
        </w:rPr>
        <w:t>ICSID Case No. ARB/11/20, the decision was by majority. Arbitrator Laurence Boisson de Chazournes attached a dissenting view.</w:t>
      </w:r>
    </w:p>
  </w:footnote>
  <w:footnote w:id="55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 xml:space="preserve">Renta, </w:t>
      </w:r>
      <w:r w:rsidRPr="00D97463">
        <w:t>paras</w:t>
      </w:r>
      <w:r>
        <w:t>.</w:t>
      </w:r>
      <w:r w:rsidRPr="00D97463">
        <w:t xml:space="preserve"> 105-119.</w:t>
      </w:r>
    </w:p>
  </w:footnote>
  <w:footnote w:id="55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Austrian Airlines</w:t>
      </w:r>
      <w:r w:rsidRPr="00D97463">
        <w:t>, paras</w:t>
      </w:r>
      <w:r>
        <w:t>.</w:t>
      </w:r>
      <w:r w:rsidRPr="00D97463">
        <w:t xml:space="preserve"> 138-139.</w:t>
      </w:r>
    </w:p>
  </w:footnote>
  <w:footnote w:id="555">
    <w:p w:rsidR="00A3158E" w:rsidRPr="00D97463" w:rsidRDefault="00A3158E" w:rsidP="00D97463">
      <w:pPr>
        <w:pStyle w:val="FootnoteText"/>
        <w:ind w:right="1260"/>
      </w:pPr>
      <w:r w:rsidRPr="00D97463">
        <w:rPr>
          <w:i/>
        </w:rPr>
        <w:tab/>
      </w:r>
      <w:r w:rsidRPr="00D97463">
        <w:rPr>
          <w:rStyle w:val="FootnoteReference"/>
        </w:rPr>
        <w:footnoteRef/>
      </w:r>
      <w:r w:rsidRPr="00D97463">
        <w:rPr>
          <w:i/>
        </w:rPr>
        <w:t xml:space="preserve"> </w:t>
      </w:r>
      <w:r w:rsidRPr="00D97463">
        <w:rPr>
          <w:i/>
        </w:rPr>
        <w:tab/>
        <w:t>MTD Equity Sdn. Bhd. and MTD Chile S.A. v. Republic of Chile</w:t>
      </w:r>
      <w:r w:rsidRPr="00D97463">
        <w:t xml:space="preserve">, Award, ICSID Case No. ARB/01/7, 25 May 2004, available at &lt;http:/www.italaw.com/documents/MTD-Award_000.pdf&gt;. </w:t>
      </w:r>
    </w:p>
  </w:footnote>
  <w:footnote w:id="55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 xml:space="preserve">Rumeli Telekom A.S. and Telsim Mobil Telekomunikasyon Hizmetleri A.S. v. Kazakhstan, </w:t>
      </w:r>
      <w:r w:rsidRPr="00D97463">
        <w:t xml:space="preserve">Award, ICSID Case No. ARB/05/16 (29 July 2008), at paras. 581-587, 591-605 (Turkey-Kazakhstan BIT), available at &lt; http://www.italaw.com/sites/default/files/case-documents/ita0728.pdf&gt;. </w:t>
      </w:r>
    </w:p>
  </w:footnote>
  <w:footnote w:id="55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 xml:space="preserve">Bayindir Insaat Turizm Ticaret Ve Sanayi A.S. v. Islamic Republic of Pakistan, </w:t>
      </w:r>
      <w:r w:rsidRPr="00D97463">
        <w:t xml:space="preserve">Award, ICSID Case No. ARB/03/29 (27 August 2009), at para. 153 (Turkey-Pakistan BIT), available at &lt;http://www.italaw.com/documents/Bayandiraward.pdf&gt;. </w:t>
      </w:r>
    </w:p>
  </w:footnote>
  <w:footnote w:id="558">
    <w:p w:rsidR="00A3158E" w:rsidRPr="00D97463" w:rsidRDefault="00A3158E" w:rsidP="00D97463">
      <w:pPr>
        <w:pStyle w:val="FootnoteText"/>
        <w:ind w:right="1260"/>
        <w:rPr>
          <w:lang w:val="es-ES"/>
        </w:rPr>
      </w:pPr>
      <w:r w:rsidRPr="00D97463">
        <w:tab/>
      </w:r>
      <w:r w:rsidRPr="00D97463">
        <w:rPr>
          <w:rStyle w:val="FootnoteReference"/>
        </w:rPr>
        <w:footnoteRef/>
      </w:r>
      <w:r w:rsidRPr="00D97463">
        <w:rPr>
          <w:lang w:val="es-ES"/>
        </w:rPr>
        <w:t xml:space="preserve"> </w:t>
      </w:r>
      <w:r w:rsidRPr="00D97463">
        <w:rPr>
          <w:lang w:val="es-ES"/>
        </w:rPr>
        <w:tab/>
      </w:r>
      <w:r w:rsidRPr="00D97463">
        <w:rPr>
          <w:i/>
          <w:lang w:val="es-ES"/>
        </w:rPr>
        <w:t>CME</w:t>
      </w:r>
      <w:r w:rsidRPr="00D97463">
        <w:rPr>
          <w:lang w:val="es-ES"/>
        </w:rPr>
        <w:t>, para. 500.</w:t>
      </w:r>
      <w:r w:rsidRPr="00D97463">
        <w:rPr>
          <w:i/>
          <w:lang w:val="es-ES"/>
        </w:rPr>
        <w:t xml:space="preserve"> </w:t>
      </w:r>
    </w:p>
  </w:footnote>
  <w:footnote w:id="559">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Impregilo</w:t>
      </w:r>
      <w:r w:rsidRPr="00D97463">
        <w:rPr>
          <w:lang w:val="es-ES"/>
        </w:rPr>
        <w:t>, para. 108.</w:t>
      </w:r>
    </w:p>
  </w:footnote>
  <w:footnote w:id="560">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Ibid.</w:t>
      </w:r>
      <w:r w:rsidRPr="00D97463">
        <w:rPr>
          <w:lang w:val="es-ES"/>
        </w:rPr>
        <w:t>; see also Hochtief.</w:t>
      </w:r>
    </w:p>
  </w:footnote>
  <w:footnote w:id="561">
    <w:p w:rsidR="00A3158E" w:rsidRPr="00D97463" w:rsidRDefault="00A3158E" w:rsidP="00D97463">
      <w:pPr>
        <w:pStyle w:val="FootnoteText"/>
        <w:ind w:right="1260"/>
        <w:rPr>
          <w:lang w:val="es-ES"/>
        </w:rPr>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lang w:val="es-ES"/>
        </w:rPr>
        <w:t>ICS v. Argentina</w:t>
      </w:r>
      <w:r w:rsidRPr="00D97463">
        <w:rPr>
          <w:lang w:val="es-ES"/>
        </w:rPr>
        <w:t>, paras. 318-325.</w:t>
      </w:r>
    </w:p>
  </w:footnote>
  <w:footnote w:id="562">
    <w:p w:rsidR="00A3158E" w:rsidRPr="00D97463" w:rsidRDefault="00A3158E" w:rsidP="00D97463">
      <w:pPr>
        <w:pStyle w:val="FootnoteText"/>
        <w:ind w:right="1260"/>
      </w:pPr>
      <w:r w:rsidRPr="00D97463">
        <w:rPr>
          <w:lang w:val="es-ES"/>
        </w:rPr>
        <w:tab/>
      </w:r>
      <w:r w:rsidRPr="00D97463">
        <w:rPr>
          <w:rStyle w:val="FootnoteReference"/>
        </w:rPr>
        <w:footnoteRef/>
      </w:r>
      <w:r w:rsidRPr="00D97463">
        <w:rPr>
          <w:lang w:val="es-ES"/>
        </w:rPr>
        <w:t xml:space="preserve"> </w:t>
      </w:r>
      <w:r w:rsidRPr="00D97463">
        <w:rPr>
          <w:lang w:val="es-ES"/>
        </w:rPr>
        <w:tab/>
      </w:r>
      <w:r w:rsidRPr="00D97463">
        <w:rPr>
          <w:i/>
          <w:iCs/>
          <w:lang w:val="es-ES"/>
        </w:rPr>
        <w:t>Garanti Kos</w:t>
      </w:r>
      <w:r w:rsidRPr="00D97463">
        <w:rPr>
          <w:lang w:val="es-ES"/>
        </w:rPr>
        <w:t xml:space="preserve">, para. </w:t>
      </w:r>
      <w:r w:rsidRPr="00D97463">
        <w:t>92.</w:t>
      </w:r>
    </w:p>
  </w:footnote>
  <w:footnote w:id="563">
    <w:p w:rsidR="00A3158E" w:rsidRPr="00D97463" w:rsidRDefault="00A3158E" w:rsidP="00D97463">
      <w:pPr>
        <w:pStyle w:val="FootnoteText"/>
        <w:ind w:right="1260"/>
        <w:rPr>
          <w:rStyle w:val="FootnoteReference"/>
        </w:rPr>
      </w:pPr>
      <w:r w:rsidRPr="00D97463">
        <w:tab/>
      </w:r>
      <w:r w:rsidRPr="00D97463">
        <w:rPr>
          <w:rStyle w:val="FootnoteReference"/>
        </w:rPr>
        <w:footnoteRef/>
      </w:r>
      <w:r w:rsidRPr="00D97463">
        <w:t xml:space="preserve"> </w:t>
      </w:r>
      <w:r w:rsidRPr="00D97463">
        <w:tab/>
      </w:r>
      <w:r w:rsidRPr="00D97463">
        <w:rPr>
          <w:i/>
        </w:rPr>
        <w:t>Ibid</w:t>
      </w:r>
      <w:r w:rsidRPr="00D97463">
        <w:t>, paras</w:t>
      </w:r>
      <w:r>
        <w:t>.</w:t>
      </w:r>
      <w:r w:rsidRPr="00D97463">
        <w:t xml:space="preserve"> 94-97.</w:t>
      </w:r>
      <w:r w:rsidRPr="00D97463">
        <w:rPr>
          <w:rStyle w:val="FootnoteReference"/>
        </w:rPr>
        <w:t xml:space="preserve"> </w:t>
      </w:r>
    </w:p>
  </w:footnote>
  <w:footnote w:id="564">
    <w:p w:rsidR="00A3158E" w:rsidRPr="00D97463" w:rsidRDefault="00A3158E" w:rsidP="00D97463">
      <w:pPr>
        <w:pStyle w:val="FootnoteText"/>
        <w:ind w:right="1260"/>
      </w:pPr>
      <w:r w:rsidRPr="00D97463">
        <w:tab/>
      </w:r>
      <w:r w:rsidRPr="00D97463">
        <w:rPr>
          <w:rStyle w:val="FootnoteReference"/>
        </w:rPr>
        <w:footnoteRef/>
      </w:r>
      <w:r w:rsidRPr="00D97463">
        <w:tab/>
        <w:t xml:space="preserve">See paras. 88-90. </w:t>
      </w:r>
    </w:p>
  </w:footnote>
  <w:footnote w:id="565">
    <w:p w:rsidR="00A3158E" w:rsidRPr="00D97463" w:rsidRDefault="00A3158E" w:rsidP="00D97463">
      <w:pPr>
        <w:pStyle w:val="FootnoteText"/>
        <w:ind w:right="1260"/>
      </w:pPr>
      <w:r w:rsidRPr="00D97463">
        <w:tab/>
      </w:r>
      <w:r w:rsidRPr="00D97463">
        <w:rPr>
          <w:rStyle w:val="FootnoteReference"/>
        </w:rPr>
        <w:footnoteRef/>
      </w:r>
      <w:r w:rsidRPr="00D97463">
        <w:tab/>
        <w:t xml:space="preserve"> Jeswald W. Salacuse and Nicholas P. Sullivan, “Do BIT’s Really Work? An Evaluation of Bilateral </w:t>
      </w:r>
      <w:r w:rsidRPr="00D97463">
        <w:br/>
        <w:t xml:space="preserve">Investment Treaties and Their Grand Bargain” </w:t>
      </w:r>
      <w:r w:rsidRPr="00D97463">
        <w:rPr>
          <w:i/>
        </w:rPr>
        <w:t xml:space="preserve">Harvard International Law Journal, </w:t>
      </w:r>
      <w:r w:rsidRPr="00D97463">
        <w:t>vol. 46 (2005), p.</w:t>
      </w:r>
      <w:r>
        <w:t xml:space="preserve"> </w:t>
      </w:r>
      <w:r w:rsidRPr="00D97463">
        <w:t>67 at 78.</w:t>
      </w:r>
    </w:p>
  </w:footnote>
  <w:footnote w:id="56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hyperlink r:id="rId204" w:history="1">
        <w:r w:rsidRPr="00D97463">
          <w:rPr>
            <w:rStyle w:val="Hyperlink"/>
            <w:lang w:eastAsia="en-GB"/>
          </w:rPr>
          <w:t>A/C.6/65/SR.25</w:t>
        </w:r>
      </w:hyperlink>
      <w:r w:rsidRPr="00D97463">
        <w:rPr>
          <w:lang w:eastAsia="en-GB"/>
        </w:rPr>
        <w:t xml:space="preserve">, at paras. 75-76 (Portugal); </w:t>
      </w:r>
      <w:hyperlink r:id="rId205" w:history="1">
        <w:r w:rsidRPr="00D97463">
          <w:rPr>
            <w:rStyle w:val="Hyperlink"/>
            <w:lang w:eastAsia="en-GB"/>
          </w:rPr>
          <w:t>A/C.6/66/SR.27</w:t>
        </w:r>
      </w:hyperlink>
      <w:r w:rsidRPr="00D97463">
        <w:rPr>
          <w:lang w:eastAsia="en-GB"/>
        </w:rPr>
        <w:t xml:space="preserve"> at para. 49 (Iran (Islamic Republic of)); </w:t>
      </w:r>
      <w:hyperlink r:id="rId206" w:history="1">
        <w:r w:rsidRPr="00D97463">
          <w:rPr>
            <w:rStyle w:val="Hyperlink"/>
            <w:lang w:eastAsia="en-GB"/>
          </w:rPr>
          <w:t>A/C.6/66/SR.27</w:t>
        </w:r>
      </w:hyperlink>
      <w:r w:rsidRPr="00D97463">
        <w:rPr>
          <w:lang w:eastAsia="en-GB"/>
        </w:rPr>
        <w:t xml:space="preserve">, at para. 78 (Portugal); </w:t>
      </w:r>
      <w:hyperlink r:id="rId207" w:history="1">
        <w:r w:rsidRPr="00D97463">
          <w:rPr>
            <w:rStyle w:val="Hyperlink"/>
            <w:lang w:eastAsia="en-GB"/>
          </w:rPr>
          <w:t>A/C.6/66/SR.28</w:t>
        </w:r>
      </w:hyperlink>
      <w:r w:rsidRPr="00D97463">
        <w:rPr>
          <w:lang w:eastAsia="en-GB"/>
        </w:rPr>
        <w:t xml:space="preserve"> (United Kingdom); </w:t>
      </w:r>
      <w:hyperlink r:id="rId208" w:history="1">
        <w:r w:rsidRPr="00D97463">
          <w:rPr>
            <w:rStyle w:val="Hyperlink"/>
            <w:lang w:eastAsia="en-GB"/>
          </w:rPr>
          <w:t>A/C.6/67/SR.23</w:t>
        </w:r>
      </w:hyperlink>
      <w:r w:rsidRPr="00D97463">
        <w:rPr>
          <w:lang w:eastAsia="en-GB"/>
        </w:rPr>
        <w:t xml:space="preserve"> (Iran (Islamic Republic of)). </w:t>
      </w:r>
    </w:p>
  </w:footnote>
  <w:footnote w:id="56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hyperlink r:id="rId209" w:history="1">
        <w:r w:rsidRPr="00D97463">
          <w:rPr>
            <w:rStyle w:val="Hyperlink"/>
            <w:lang w:eastAsia="en-GB"/>
          </w:rPr>
          <w:t>A/C.6/65/SR.26</w:t>
        </w:r>
      </w:hyperlink>
      <w:r w:rsidRPr="00D97463">
        <w:rPr>
          <w:lang w:eastAsia="en-GB"/>
        </w:rPr>
        <w:t xml:space="preserve">, at para. 17 (United States of America); </w:t>
      </w:r>
      <w:hyperlink r:id="rId210" w:history="1">
        <w:r w:rsidRPr="00D97463">
          <w:rPr>
            <w:rStyle w:val="Hyperlink"/>
            <w:lang w:eastAsia="en-GB"/>
          </w:rPr>
          <w:t>A/C.6/66/SR.27</w:t>
        </w:r>
      </w:hyperlink>
      <w:r w:rsidRPr="00D97463">
        <w:rPr>
          <w:lang w:eastAsia="en-GB"/>
        </w:rPr>
        <w:t>, at para. 94 (United States of America).</w:t>
      </w:r>
    </w:p>
  </w:footnote>
  <w:footnote w:id="568">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rFonts w:eastAsia="MS Mincho"/>
          <w:i/>
          <w:lang w:eastAsia="ja-JP"/>
        </w:rPr>
        <w:t>Yearbook…1978</w:t>
      </w:r>
      <w:r w:rsidRPr="00D97463">
        <w:rPr>
          <w:rFonts w:eastAsia="MS Mincho"/>
          <w:lang w:eastAsia="ja-JP"/>
        </w:rPr>
        <w:t>,</w:t>
      </w:r>
      <w:r w:rsidRPr="00D97463">
        <w:rPr>
          <w:lang w:bidi="en-US"/>
        </w:rPr>
        <w:t xml:space="preserve"> vol. II (Part Two),</w:t>
      </w:r>
      <w:r w:rsidRPr="00D97463">
        <w:rPr>
          <w:rFonts w:eastAsia="MS Mincho"/>
          <w:lang w:eastAsia="ja-JP"/>
        </w:rPr>
        <w:t xml:space="preserve"> p. 21 (draft a</w:t>
      </w:r>
      <w:r w:rsidRPr="00D97463">
        <w:t>rt. 5).</w:t>
      </w:r>
    </w:p>
  </w:footnote>
  <w:footnote w:id="56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On the overlap between public and private aspects of international arbitration, see: </w:t>
      </w:r>
      <w:r w:rsidRPr="00D97463">
        <w:rPr>
          <w:color w:val="32322F"/>
        </w:rPr>
        <w:t xml:space="preserve">Gus Van Harten, </w:t>
      </w:r>
      <w:r w:rsidRPr="00D97463">
        <w:rPr>
          <w:i/>
        </w:rPr>
        <w:t>Investment Treaty Arbitration and Public Law</w:t>
      </w:r>
      <w:r w:rsidRPr="00D97463">
        <w:t xml:space="preserve"> (Oxford: Oxford University Press, 2007), chap. 3.</w:t>
      </w:r>
      <w:r w:rsidRPr="00D97463">
        <w:rPr>
          <w:color w:val="32322F"/>
          <w:shd w:val="clear" w:color="auto" w:fill="FFFFFF"/>
        </w:rPr>
        <w:t xml:space="preserve"> </w:t>
      </w:r>
    </w:p>
  </w:footnote>
  <w:footnote w:id="57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Convention on the settlement of investment disputes between States and nationals of other States, done at Washington on 18 March 1965, United Nations </w:t>
      </w:r>
      <w:r w:rsidRPr="00D97463">
        <w:rPr>
          <w:i/>
        </w:rPr>
        <w:t>Treaty Series,</w:t>
      </w:r>
      <w:r w:rsidRPr="00D97463">
        <w:t xml:space="preserve"> vol. 575, p. 159 at art.</w:t>
      </w:r>
      <w:r>
        <w:t xml:space="preserve"> </w:t>
      </w:r>
      <w:r w:rsidRPr="00D97463">
        <w:t>42.</w:t>
      </w:r>
    </w:p>
  </w:footnote>
  <w:footnote w:id="57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especially arts 1-14, </w:t>
      </w:r>
      <w:r w:rsidRPr="00D97463">
        <w:rPr>
          <w:rFonts w:eastAsia="MS Mincho"/>
          <w:i/>
          <w:lang w:eastAsia="ja-JP"/>
        </w:rPr>
        <w:t>Yearbook</w:t>
      </w:r>
      <w:r>
        <w:rPr>
          <w:rFonts w:eastAsia="MS Mincho"/>
          <w:i/>
          <w:lang w:eastAsia="ja-JP"/>
        </w:rPr>
        <w:t xml:space="preserve"> </w:t>
      </w:r>
      <w:r w:rsidRPr="00D97463">
        <w:rPr>
          <w:rFonts w:eastAsia="MS Mincho"/>
          <w:i/>
          <w:lang w:eastAsia="ja-JP"/>
        </w:rPr>
        <w:t>…</w:t>
      </w:r>
      <w:r>
        <w:rPr>
          <w:rFonts w:eastAsia="MS Mincho"/>
          <w:i/>
          <w:lang w:eastAsia="ja-JP"/>
        </w:rPr>
        <w:t xml:space="preserve"> </w:t>
      </w:r>
      <w:r w:rsidRPr="00D97463">
        <w:rPr>
          <w:rFonts w:eastAsia="MS Mincho"/>
          <w:i/>
          <w:lang w:eastAsia="ja-JP"/>
        </w:rPr>
        <w:t>1978</w:t>
      </w:r>
      <w:r w:rsidRPr="00D97463">
        <w:rPr>
          <w:rFonts w:eastAsia="MS Mincho"/>
          <w:lang w:eastAsia="ja-JP"/>
        </w:rPr>
        <w:t xml:space="preserve">, </w:t>
      </w:r>
      <w:r w:rsidRPr="00D97463">
        <w:rPr>
          <w:lang w:bidi="en-US"/>
        </w:rPr>
        <w:t>vol. II (Part Two)</w:t>
      </w:r>
      <w:r w:rsidRPr="00D97463">
        <w:rPr>
          <w:rFonts w:eastAsia="MS Mincho"/>
          <w:lang w:eastAsia="ja-JP"/>
        </w:rPr>
        <w:t xml:space="preserve">, </w:t>
      </w:r>
      <w:r w:rsidRPr="00D97463">
        <w:t xml:space="preserve">pp. 16-39. </w:t>
      </w:r>
    </w:p>
  </w:footnote>
  <w:footnote w:id="57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United Kingdom Model BIT, 2008, available at &lt;http://investmentpolicyhub.unctad.org/</w:t>
      </w:r>
      <w:r>
        <w:t xml:space="preserve"> </w:t>
      </w:r>
      <w:r w:rsidRPr="00D97463">
        <w:t>Download/TreatyFile/2847&gt;.</w:t>
      </w:r>
    </w:p>
  </w:footnote>
  <w:footnote w:id="57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See also para</w:t>
      </w:r>
      <w:r>
        <w:t>.</w:t>
      </w:r>
      <w:r w:rsidRPr="00D97463">
        <w:t xml:space="preserve"> 105 above. </w:t>
      </w:r>
    </w:p>
  </w:footnote>
  <w:footnote w:id="574">
    <w:p w:rsidR="00A3158E" w:rsidRPr="00D97463" w:rsidRDefault="00A3158E" w:rsidP="00D97463">
      <w:pPr>
        <w:pStyle w:val="FootnoteText"/>
        <w:ind w:right="1260"/>
      </w:pPr>
      <w:r w:rsidRPr="00D97463">
        <w:tab/>
      </w:r>
      <w:r w:rsidRPr="00D97463">
        <w:rPr>
          <w:rStyle w:val="FootnoteReference"/>
        </w:rPr>
        <w:footnoteRef/>
      </w:r>
      <w:r w:rsidRPr="00D97463">
        <w:tab/>
        <w:t xml:space="preserve">See </w:t>
      </w:r>
      <w:r w:rsidRPr="00D97463">
        <w:rPr>
          <w:i/>
        </w:rPr>
        <w:t>HICEE</w:t>
      </w:r>
      <w:r w:rsidRPr="00D97463">
        <w:t>, para.</w:t>
      </w:r>
      <w:r>
        <w:t xml:space="preserve"> </w:t>
      </w:r>
      <w:r w:rsidRPr="00D97463">
        <w:t xml:space="preserve">149. </w:t>
      </w:r>
    </w:p>
  </w:footnote>
  <w:footnote w:id="575">
    <w:p w:rsidR="00A3158E" w:rsidRPr="00D97463" w:rsidRDefault="00A3158E" w:rsidP="00D97463">
      <w:pPr>
        <w:pStyle w:val="FootnoteText"/>
        <w:ind w:right="1260"/>
      </w:pPr>
      <w:r w:rsidRPr="00D97463">
        <w:tab/>
      </w:r>
      <w:r w:rsidRPr="00D97463">
        <w:rPr>
          <w:rStyle w:val="FootnoteReference"/>
        </w:rPr>
        <w:footnoteRef/>
      </w:r>
      <w:r w:rsidRPr="00D97463">
        <w:tab/>
        <w:t xml:space="preserve">See generally: Shabtai Rosenne, </w:t>
      </w:r>
      <w:r w:rsidRPr="00D97463">
        <w:rPr>
          <w:i/>
        </w:rPr>
        <w:t xml:space="preserve">The Law and Practice of the International Court, 1920-2005, </w:t>
      </w:r>
      <w:r w:rsidRPr="00D97463">
        <w:t xml:space="preserve">4th ed (Leiden: Martinus Nijhoff Publishers, 2006) at pp. 505-586. </w:t>
      </w:r>
    </w:p>
  </w:footnote>
  <w:footnote w:id="576">
    <w:p w:rsidR="00A3158E" w:rsidRPr="00D97463" w:rsidRDefault="00A3158E" w:rsidP="00D97463">
      <w:pPr>
        <w:pStyle w:val="FootnoteText"/>
        <w:ind w:right="1260"/>
      </w:pPr>
      <w:r w:rsidRPr="00D97463">
        <w:tab/>
      </w:r>
      <w:r w:rsidRPr="00D97463">
        <w:rPr>
          <w:rStyle w:val="FootnoteReference"/>
        </w:rPr>
        <w:footnoteRef/>
      </w:r>
      <w:r w:rsidRPr="00D97463">
        <w:tab/>
        <w:t>Jan Paulsson, “</w:t>
      </w:r>
      <w:r w:rsidRPr="00D97463">
        <w:rPr>
          <w:iCs/>
        </w:rPr>
        <w:t>Jurisdiction and Admissibility”</w:t>
      </w:r>
      <w:r w:rsidRPr="00D97463">
        <w:rPr>
          <w:i/>
          <w:iCs/>
        </w:rPr>
        <w:t xml:space="preserve"> </w:t>
      </w:r>
      <w:r w:rsidRPr="00D97463">
        <w:t xml:space="preserve">in Gerald Aksen, Karl-Heinz Böckstiegel, Michael J. Mustill, Paolo Michele Patocchi, and Anne Marie Whitesell (eds), </w:t>
      </w:r>
      <w:r w:rsidRPr="00D97463">
        <w:rPr>
          <w:i/>
        </w:rPr>
        <w:t>Global Reflections on International Law, Commerce and Dispute Resolution, Liber Amicorum in Honour of Robert Briner</w:t>
      </w:r>
      <w:r w:rsidRPr="00D97463">
        <w:t xml:space="preserve"> (Paris: ICC Publishing, 2005) p. 601 at p. 616.</w:t>
      </w:r>
    </w:p>
  </w:footnote>
  <w:footnote w:id="57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These provisions on interpretation are generally taken to reflect customary international law.</w:t>
      </w:r>
    </w:p>
  </w:footnote>
  <w:footnote w:id="57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Yearbook</w:t>
      </w:r>
      <w:r w:rsidRPr="00D97463">
        <w:t xml:space="preserve"> …</w:t>
      </w:r>
      <w:r>
        <w:t xml:space="preserve"> </w:t>
      </w:r>
      <w:r w:rsidRPr="00D97463">
        <w:rPr>
          <w:i/>
          <w:iCs/>
        </w:rPr>
        <w:t>1966,</w:t>
      </w:r>
      <w:r w:rsidRPr="00D97463">
        <w:t xml:space="preserve"> vol. II p. 220, at para. 11.</w:t>
      </w:r>
    </w:p>
  </w:footnote>
  <w:footnote w:id="579">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Ian Sinclair, </w:t>
      </w:r>
      <w:r w:rsidRPr="00D97463">
        <w:rPr>
          <w:i/>
        </w:rPr>
        <w:t>The Vienna Convention on the Law of Treaties</w:t>
      </w:r>
      <w:r w:rsidRPr="00D97463">
        <w:t>, 2nd ed (Manchester: Manchester University Press, 1984) at p. 115.</w:t>
      </w:r>
    </w:p>
  </w:footnote>
  <w:footnote w:id="580">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Plama</w:t>
      </w:r>
      <w:r w:rsidRPr="00D97463">
        <w:t>, para. 197.</w:t>
      </w:r>
    </w:p>
  </w:footnote>
  <w:footnote w:id="581">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Legal consequences for States of the continued presence of South Africa in Namibia (South West Africa) notwithstanding Security Council Resolution 276 (1970), Advisory Opinion, I.C.J. Reports</w:t>
      </w:r>
      <w:r w:rsidRPr="00D97463">
        <w:t xml:space="preserve"> </w:t>
      </w:r>
      <w:r w:rsidRPr="00D97463">
        <w:rPr>
          <w:i/>
          <w:iCs/>
        </w:rPr>
        <w:t>1971</w:t>
      </w:r>
      <w:r w:rsidRPr="00D97463">
        <w:t>, p.</w:t>
      </w:r>
      <w:r>
        <w:t xml:space="preserve"> </w:t>
      </w:r>
      <w:r w:rsidRPr="00D97463">
        <w:t>16 at p. 30, para. 53.</w:t>
      </w:r>
    </w:p>
  </w:footnote>
  <w:footnote w:id="582">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Decision Regarding the Delimitation of the Border between the State of Eritrea and the Federal Democratic Republic of Ethiopia</w:t>
      </w:r>
      <w:r w:rsidRPr="00D97463">
        <w:t xml:space="preserve">, (13 April 2002) UNRIAA vol. XXV, pp. 83-195 at para. 3.5. </w:t>
      </w:r>
    </w:p>
  </w:footnote>
  <w:footnote w:id="583">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Dispute regarding Navigational and Related Rights (Costa Rica v. Nicaragua), Judgment, I.C.J. Reports 2009</w:t>
      </w:r>
      <w:r w:rsidRPr="00D97463">
        <w:t>, p. 213, at p. 242, para. 64.</w:t>
      </w:r>
    </w:p>
  </w:footnote>
  <w:footnote w:id="58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Ibid.</w:t>
      </w:r>
    </w:p>
  </w:footnote>
  <w:footnote w:id="585">
    <w:p w:rsidR="00A3158E" w:rsidRPr="00D97463" w:rsidRDefault="00A3158E" w:rsidP="00D97463">
      <w:pPr>
        <w:pStyle w:val="FootnoteText"/>
        <w:ind w:right="1260"/>
      </w:pPr>
      <w:r w:rsidRPr="00D97463">
        <w:tab/>
      </w:r>
      <w:r w:rsidRPr="00D97463">
        <w:rPr>
          <w:rStyle w:val="FootnoteReference"/>
        </w:rPr>
        <w:footnoteRef/>
      </w:r>
      <w:r w:rsidRPr="00D97463">
        <w:tab/>
        <w:t xml:space="preserve">International Law Commission, Subsequent agreements and subsequent practice in relation to the interpretation of treaties, doc. </w:t>
      </w:r>
      <w:hyperlink r:id="rId211" w:history="1">
        <w:r w:rsidRPr="00D97463">
          <w:rPr>
            <w:rStyle w:val="Hyperlink"/>
          </w:rPr>
          <w:t>A/CN.4/L.813</w:t>
        </w:r>
      </w:hyperlink>
      <w:r w:rsidRPr="00D97463">
        <w:t xml:space="preserve">, at draft conclusion 3. See also the continuance of this document in: International Law Commission, Subsequent agreements and subsequent practice in relation to the interpretation of treaties, doc. </w:t>
      </w:r>
      <w:hyperlink r:id="rId212" w:history="1">
        <w:r w:rsidRPr="00D97463">
          <w:rPr>
            <w:rStyle w:val="Hyperlink"/>
          </w:rPr>
          <w:t>A/CN.4/L.833</w:t>
        </w:r>
      </w:hyperlink>
      <w:r w:rsidRPr="00D97463">
        <w:t xml:space="preserve">. See also </w:t>
      </w:r>
      <w:r w:rsidRPr="00D97463">
        <w:rPr>
          <w:i/>
        </w:rPr>
        <w:t>Official Records of the General Assembly, Sixty-eighth Session, Supplement 10</w:t>
      </w:r>
      <w:r w:rsidRPr="00D97463">
        <w:t xml:space="preserve"> (</w:t>
      </w:r>
      <w:hyperlink r:id="rId213" w:history="1">
        <w:r w:rsidRPr="00D97463">
          <w:rPr>
            <w:rStyle w:val="Hyperlink"/>
          </w:rPr>
          <w:t>A/68/10</w:t>
        </w:r>
      </w:hyperlink>
      <w:r w:rsidRPr="00D97463">
        <w:t>), chap. IV.</w:t>
      </w:r>
    </w:p>
  </w:footnote>
  <w:footnote w:id="586">
    <w:p w:rsidR="00A3158E" w:rsidRPr="00D97463" w:rsidRDefault="00A3158E" w:rsidP="00D97463">
      <w:pPr>
        <w:pStyle w:val="FootnoteText"/>
        <w:ind w:right="1260"/>
      </w:pPr>
      <w:r w:rsidRPr="00D97463">
        <w:tab/>
      </w:r>
      <w:r w:rsidRPr="00D97463">
        <w:rPr>
          <w:rStyle w:val="FootnoteReference"/>
        </w:rPr>
        <w:footnoteRef/>
      </w:r>
      <w:r w:rsidRPr="00D97463">
        <w:tab/>
        <w:t>VCLT art. 32 provides, “Recourse may be had to supplementary means of interpretation, including the preparatory work of the treaty…”</w:t>
      </w:r>
      <w:r>
        <w:t>.</w:t>
      </w:r>
      <w:r w:rsidRPr="00D97463">
        <w:t xml:space="preserve"> </w:t>
      </w:r>
    </w:p>
  </w:footnote>
  <w:footnote w:id="587">
    <w:p w:rsidR="00A3158E" w:rsidRPr="00D97463" w:rsidRDefault="00A3158E" w:rsidP="00D97463">
      <w:pPr>
        <w:pStyle w:val="FootnoteText"/>
        <w:ind w:right="1260"/>
      </w:pPr>
      <w:r w:rsidRPr="00D97463">
        <w:tab/>
      </w:r>
      <w:r w:rsidRPr="00D97463">
        <w:rPr>
          <w:rStyle w:val="FootnoteReference"/>
        </w:rPr>
        <w:footnoteRef/>
      </w:r>
      <w:r w:rsidRPr="00D97463">
        <w:rPr>
          <w:lang w:val="es-ES"/>
        </w:rPr>
        <w:tab/>
        <w:t xml:space="preserve">The tribunal in </w:t>
      </w:r>
      <w:r w:rsidRPr="00D97463">
        <w:rPr>
          <w:i/>
          <w:lang w:val="es-ES"/>
        </w:rPr>
        <w:t>Plama</w:t>
      </w:r>
      <w:r w:rsidRPr="00D97463">
        <w:rPr>
          <w:lang w:val="es-ES"/>
        </w:rPr>
        <w:t xml:space="preserve">, para. </w:t>
      </w:r>
      <w:r w:rsidRPr="00D97463">
        <w:t xml:space="preserve">196, noted that the parties had failed to produce any </w:t>
      </w:r>
      <w:r w:rsidRPr="00D97463">
        <w:rPr>
          <w:i/>
        </w:rPr>
        <w:t>travaux preparatoires</w:t>
      </w:r>
      <w:r w:rsidRPr="00D97463">
        <w:t>.</w:t>
      </w:r>
    </w:p>
  </w:footnote>
  <w:footnote w:id="58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iCs/>
        </w:rPr>
        <w:t>Austrian Airlines</w:t>
      </w:r>
      <w:r w:rsidRPr="00D97463">
        <w:t>, para. 137.</w:t>
      </w:r>
    </w:p>
  </w:footnote>
  <w:footnote w:id="589">
    <w:p w:rsidR="00A3158E" w:rsidRPr="00D97463" w:rsidRDefault="00A3158E" w:rsidP="00D97463">
      <w:pPr>
        <w:pStyle w:val="FootnoteText"/>
        <w:ind w:right="1260"/>
      </w:pPr>
      <w:r w:rsidRPr="00D97463">
        <w:tab/>
      </w:r>
      <w:r w:rsidRPr="00D97463">
        <w:rPr>
          <w:rStyle w:val="FootnoteReference"/>
        </w:rPr>
        <w:footnoteRef/>
      </w:r>
      <w:r w:rsidRPr="00D97463">
        <w:tab/>
        <w:t>International Law Commission, Subsequent agreements and subsequent practice in relation to the interpretation of treaties, doc.</w:t>
      </w:r>
      <w:r>
        <w:t xml:space="preserve"> </w:t>
      </w:r>
      <w:hyperlink r:id="rId214" w:history="1">
        <w:r w:rsidRPr="00D97463">
          <w:rPr>
            <w:rStyle w:val="Hyperlink"/>
          </w:rPr>
          <w:t>A/CN.4/L.813</w:t>
        </w:r>
      </w:hyperlink>
      <w:r w:rsidRPr="00D97463">
        <w:t xml:space="preserve"> [part 1], and </w:t>
      </w:r>
      <w:hyperlink r:id="rId215" w:history="1">
        <w:r w:rsidRPr="00D97463">
          <w:rPr>
            <w:rStyle w:val="Hyperlink"/>
          </w:rPr>
          <w:t>A/CN.4/L.833</w:t>
        </w:r>
      </w:hyperlink>
      <w:r w:rsidRPr="00D97463">
        <w:t xml:space="preserve"> [part 2]. See especially draft conclusion 7. See also </w:t>
      </w:r>
      <w:r w:rsidRPr="00D97463">
        <w:rPr>
          <w:i/>
        </w:rPr>
        <w:t>Official Records of the General Assembly, Sixty-ninth Session, Supplement 10</w:t>
      </w:r>
      <w:r w:rsidRPr="00D97463">
        <w:t xml:space="preserve"> (</w:t>
      </w:r>
      <w:hyperlink r:id="rId216" w:history="1">
        <w:r w:rsidRPr="00D97463">
          <w:rPr>
            <w:rStyle w:val="Hyperlink"/>
          </w:rPr>
          <w:t>A/69/10</w:t>
        </w:r>
      </w:hyperlink>
      <w:r w:rsidRPr="00D97463">
        <w:t>), chap. VII.</w:t>
      </w:r>
    </w:p>
  </w:footnote>
  <w:footnote w:id="590">
    <w:p w:rsidR="00A3158E" w:rsidRPr="00D97463" w:rsidRDefault="00A3158E" w:rsidP="00D97463">
      <w:pPr>
        <w:pStyle w:val="FootnoteText"/>
        <w:ind w:right="1260"/>
      </w:pPr>
      <w:r w:rsidRPr="00D97463">
        <w:tab/>
      </w:r>
      <w:r w:rsidRPr="00D97463">
        <w:rPr>
          <w:rStyle w:val="FootnoteReference"/>
        </w:rPr>
        <w:footnoteRef/>
      </w:r>
      <w:r w:rsidRPr="00D97463">
        <w:tab/>
        <w:t>Under NAFTA however, the parties do have the power under the treaty to issue “authoritative interpretations” which are then binding on tribunals. See NAFTA, at art.</w:t>
      </w:r>
      <w:r>
        <w:t xml:space="preserve"> </w:t>
      </w:r>
      <w:r w:rsidRPr="00D97463">
        <w:t>1131(2).</w:t>
      </w:r>
    </w:p>
  </w:footnote>
  <w:footnote w:id="591">
    <w:p w:rsidR="00A3158E" w:rsidRPr="00D97463" w:rsidRDefault="00A3158E" w:rsidP="00D97463">
      <w:pPr>
        <w:pStyle w:val="FootnoteText"/>
        <w:ind w:right="1260"/>
      </w:pPr>
      <w:r w:rsidRPr="00D97463">
        <w:tab/>
      </w:r>
      <w:r w:rsidRPr="00D97463">
        <w:rPr>
          <w:rStyle w:val="FootnoteReference"/>
        </w:rPr>
        <w:footnoteRef/>
      </w:r>
      <w:r w:rsidRPr="00D97463">
        <w:tab/>
        <w:t xml:space="preserve">In </w:t>
      </w:r>
      <w:r w:rsidRPr="00D97463">
        <w:rPr>
          <w:i/>
        </w:rPr>
        <w:t>Plama</w:t>
      </w:r>
      <w:r w:rsidRPr="00D97463">
        <w:t xml:space="preserve"> the tribunal said: “</w:t>
      </w:r>
      <w:r w:rsidRPr="00D97463">
        <w:rPr>
          <w:lang w:bidi="en-US"/>
        </w:rPr>
        <w:t xml:space="preserve">It is true that treaties between one of the Contracting Parties and third States may be taken into account for the purpose of clarifying the meaning of a treaty’s text at the time it was entered into.” </w:t>
      </w:r>
      <w:r w:rsidRPr="00D97463">
        <w:rPr>
          <w:i/>
        </w:rPr>
        <w:t xml:space="preserve">Plama, </w:t>
      </w:r>
      <w:r w:rsidRPr="00D97463">
        <w:t>para. 195.</w:t>
      </w:r>
    </w:p>
  </w:footnote>
  <w:footnote w:id="592">
    <w:p w:rsidR="00A3158E" w:rsidRPr="00D97463" w:rsidRDefault="00A3158E" w:rsidP="00D97463">
      <w:pPr>
        <w:pStyle w:val="FootnoteText"/>
        <w:ind w:right="1260"/>
      </w:pPr>
      <w:r w:rsidRPr="00D97463">
        <w:tab/>
      </w:r>
      <w:r w:rsidRPr="00D97463">
        <w:rPr>
          <w:rStyle w:val="FootnoteReference"/>
        </w:rPr>
        <w:footnoteRef/>
      </w:r>
      <w:r w:rsidRPr="00D97463">
        <w:tab/>
      </w:r>
      <w:r w:rsidRPr="00D97463">
        <w:rPr>
          <w:i/>
          <w:iCs/>
        </w:rPr>
        <w:t>Renta</w:t>
      </w:r>
      <w:r w:rsidRPr="00D97463">
        <w:t>.</w:t>
      </w:r>
    </w:p>
  </w:footnote>
  <w:footnote w:id="593">
    <w:p w:rsidR="00A3158E" w:rsidRPr="00D97463" w:rsidRDefault="00A3158E" w:rsidP="00D97463">
      <w:pPr>
        <w:pStyle w:val="FootnoteText"/>
        <w:ind w:right="1260"/>
      </w:pPr>
      <w:r w:rsidRPr="00D97463">
        <w:tab/>
      </w:r>
      <w:r w:rsidRPr="00D97463">
        <w:rPr>
          <w:rStyle w:val="FootnoteReference"/>
        </w:rPr>
        <w:footnoteRef/>
      </w:r>
      <w:r w:rsidRPr="00D97463">
        <w:tab/>
        <w:t xml:space="preserve">See in particular, International Law Commission, Subsequent agreements and subsequent practice in relation to the interpretation of treaties, see draft conclusions 1 (4) and 4 (3), including the accompanying commentaries, </w:t>
      </w:r>
      <w:r w:rsidRPr="00D97463">
        <w:rPr>
          <w:i/>
          <w:iCs/>
        </w:rPr>
        <w:t>Official Records of the General Assembly, Sixty-eighth session, Supplement 10</w:t>
      </w:r>
      <w:r w:rsidRPr="00D97463">
        <w:t xml:space="preserve"> (</w:t>
      </w:r>
      <w:hyperlink r:id="rId217" w:history="1">
        <w:r w:rsidRPr="00D97463">
          <w:rPr>
            <w:rStyle w:val="Hyperlink"/>
          </w:rPr>
          <w:t>A/68/10</w:t>
        </w:r>
      </w:hyperlink>
      <w:r w:rsidRPr="00D97463">
        <w:t>), paras. 38 and 39.</w:t>
      </w:r>
    </w:p>
  </w:footnote>
  <w:footnote w:id="594">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ICS v. Argentina</w:t>
      </w:r>
      <w:r w:rsidRPr="00D97463">
        <w:t xml:space="preserve">, paras. 314-315. </w:t>
      </w:r>
    </w:p>
  </w:footnote>
  <w:footnote w:id="595">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lang w:eastAsia="ja-JP"/>
        </w:rPr>
        <w:t xml:space="preserve">Conclusions of the work of the Study Group on the Fragmentation of international law: Difficulties arising from the diversification and expansion of international law, </w:t>
      </w:r>
      <w:r w:rsidRPr="00D97463">
        <w:rPr>
          <w:i/>
          <w:iCs/>
          <w:lang w:eastAsia="ja-JP"/>
        </w:rPr>
        <w:t>Yearbook</w:t>
      </w:r>
      <w:r>
        <w:rPr>
          <w:i/>
          <w:iCs/>
          <w:lang w:eastAsia="ja-JP"/>
        </w:rPr>
        <w:t xml:space="preserve"> </w:t>
      </w:r>
      <w:r w:rsidRPr="00D97463">
        <w:rPr>
          <w:i/>
          <w:iCs/>
          <w:lang w:eastAsia="ja-JP"/>
        </w:rPr>
        <w:t>… 2006</w:t>
      </w:r>
      <w:r w:rsidRPr="00D97463">
        <w:rPr>
          <w:lang w:eastAsia="ja-JP"/>
        </w:rPr>
        <w:t>, vol. II, Part Two, at conclusion 5.</w:t>
      </w:r>
    </w:p>
  </w:footnote>
  <w:footnote w:id="596">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See Separate Opinion of Charles N. Brower in </w:t>
      </w:r>
      <w:r w:rsidRPr="00D97463">
        <w:rPr>
          <w:i/>
        </w:rPr>
        <w:t>Austrian Airlines</w:t>
      </w:r>
      <w:r w:rsidRPr="00D97463">
        <w:t>.</w:t>
      </w:r>
    </w:p>
  </w:footnote>
  <w:footnote w:id="597">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t xml:space="preserve">Anthony Aust, </w:t>
      </w:r>
      <w:r w:rsidRPr="00D97463">
        <w:rPr>
          <w:i/>
        </w:rPr>
        <w:t>Modern Treaty Law and Practice</w:t>
      </w:r>
      <w:r w:rsidRPr="00D97463">
        <w:t>, 2nd ed (Cambridge: Cambridge University Press, 2007), pp. 248-249.</w:t>
      </w:r>
    </w:p>
  </w:footnote>
  <w:footnote w:id="598">
    <w:p w:rsidR="00A3158E" w:rsidRPr="00D97463" w:rsidRDefault="00A3158E" w:rsidP="00D97463">
      <w:pPr>
        <w:pStyle w:val="FootnoteText"/>
        <w:ind w:right="1260"/>
      </w:pPr>
      <w:r w:rsidRPr="00D97463">
        <w:tab/>
      </w:r>
      <w:r w:rsidRPr="00D97463">
        <w:rPr>
          <w:rStyle w:val="FootnoteReference"/>
        </w:rPr>
        <w:footnoteRef/>
      </w:r>
      <w:r w:rsidRPr="00D97463">
        <w:t xml:space="preserve"> </w:t>
      </w:r>
      <w:r w:rsidRPr="00D97463">
        <w:tab/>
      </w:r>
      <w:r w:rsidRPr="00D97463">
        <w:rPr>
          <w:i/>
        </w:rPr>
        <w:t>ICS v. Argentina</w:t>
      </w:r>
      <w:r w:rsidRPr="00D97463">
        <w:t>, paras. 315-317.</w:t>
      </w:r>
    </w:p>
  </w:footnote>
  <w:footnote w:id="599">
    <w:p w:rsidR="00A3158E" w:rsidRPr="00D97463" w:rsidRDefault="00A3158E" w:rsidP="00D97463">
      <w:pPr>
        <w:pStyle w:val="FootnoteText"/>
        <w:ind w:right="1260"/>
        <w:rPr>
          <w:lang w:val="fr-CH"/>
        </w:rPr>
      </w:pPr>
      <w:r w:rsidRPr="00D97463">
        <w:tab/>
      </w:r>
      <w:r w:rsidRPr="00D97463">
        <w:rPr>
          <w:rStyle w:val="FootnoteReference"/>
        </w:rPr>
        <w:footnoteRef/>
      </w:r>
      <w:r w:rsidRPr="00D97463">
        <w:t xml:space="preserve"> </w:t>
      </w:r>
      <w:r w:rsidRPr="00D97463">
        <w:tab/>
      </w:r>
      <w:r w:rsidRPr="00D97463">
        <w:rPr>
          <w:i/>
          <w:lang w:eastAsia="ja-JP"/>
        </w:rPr>
        <w:t>Yearbook</w:t>
      </w:r>
      <w:r>
        <w:rPr>
          <w:i/>
          <w:lang w:eastAsia="ja-JP"/>
        </w:rPr>
        <w:t xml:space="preserve"> </w:t>
      </w:r>
      <w:r w:rsidRPr="00D97463">
        <w:rPr>
          <w:i/>
          <w:lang w:eastAsia="ja-JP"/>
        </w:rPr>
        <w:t>…</w:t>
      </w:r>
      <w:r>
        <w:rPr>
          <w:i/>
          <w:lang w:eastAsia="ja-JP"/>
        </w:rPr>
        <w:t xml:space="preserve"> </w:t>
      </w:r>
      <w:r w:rsidRPr="00D97463">
        <w:rPr>
          <w:i/>
          <w:lang w:eastAsia="ja-JP"/>
        </w:rPr>
        <w:t>1978</w:t>
      </w:r>
      <w:r w:rsidRPr="00D97463">
        <w:rPr>
          <w:lang w:eastAsia="ja-JP"/>
        </w:rPr>
        <w:t xml:space="preserve">, </w:t>
      </w:r>
      <w:r w:rsidRPr="00D97463">
        <w:rPr>
          <w:lang w:bidi="en-US"/>
        </w:rPr>
        <w:t xml:space="preserve">vol. II (Part Two), </w:t>
      </w:r>
      <w:r w:rsidRPr="00D97463">
        <w:rPr>
          <w:lang w:eastAsia="ja-JP"/>
        </w:rPr>
        <w:t xml:space="preserve">pp. 33 at paras. </w:t>
      </w:r>
      <w:r w:rsidRPr="00D97463">
        <w:rPr>
          <w:lang w:val="fr-CH" w:eastAsia="ja-JP"/>
        </w:rPr>
        <w:t xml:space="preserve">25-26. </w:t>
      </w:r>
    </w:p>
  </w:footnote>
  <w:footnote w:id="600">
    <w:p w:rsidR="00A3158E" w:rsidRPr="00D97463" w:rsidRDefault="00A3158E" w:rsidP="00D97463">
      <w:pPr>
        <w:pStyle w:val="FootnoteText"/>
        <w:ind w:right="1260"/>
        <w:rPr>
          <w:lang w:val="fr-CH"/>
        </w:rPr>
      </w:pPr>
      <w:r w:rsidRPr="00D97463">
        <w:rPr>
          <w:lang w:val="fr-CH"/>
        </w:rPr>
        <w:tab/>
      </w:r>
      <w:r w:rsidRPr="00D97463">
        <w:rPr>
          <w:rStyle w:val="FootnoteReference"/>
        </w:rPr>
        <w:footnoteRef/>
      </w:r>
      <w:r w:rsidRPr="00D97463">
        <w:rPr>
          <w:lang w:val="fr-CH"/>
        </w:rPr>
        <w:t xml:space="preserve"> </w:t>
      </w:r>
      <w:r w:rsidRPr="00D97463">
        <w:rPr>
          <w:lang w:val="fr-CH"/>
        </w:rPr>
        <w:tab/>
      </w:r>
      <w:r w:rsidRPr="00D97463">
        <w:rPr>
          <w:i/>
          <w:iCs/>
          <w:lang w:val="fr-CH"/>
        </w:rPr>
        <w:t>Berchsader</w:t>
      </w:r>
      <w:r w:rsidRPr="00D97463">
        <w:rPr>
          <w:lang w:val="fr-CH"/>
        </w:rPr>
        <w:t xml:space="preserve">. </w:t>
      </w:r>
    </w:p>
  </w:footnote>
  <w:footnote w:id="601">
    <w:p w:rsidR="00A3158E" w:rsidRPr="00D97463" w:rsidRDefault="00A3158E" w:rsidP="00D97463">
      <w:pPr>
        <w:pStyle w:val="FootnoteText"/>
        <w:ind w:right="1260"/>
        <w:rPr>
          <w:highlight w:val="yellow"/>
          <w:lang w:val="fr-CH"/>
        </w:rPr>
      </w:pPr>
      <w:r w:rsidRPr="00D97463">
        <w:rPr>
          <w:lang w:val="fr-CH"/>
        </w:rPr>
        <w:tab/>
      </w:r>
      <w:r w:rsidRPr="00D97463">
        <w:rPr>
          <w:rStyle w:val="FootnoteReference"/>
        </w:rPr>
        <w:footnoteRef/>
      </w:r>
      <w:r w:rsidRPr="00D97463">
        <w:rPr>
          <w:lang w:val="fr-CH"/>
        </w:rPr>
        <w:t xml:space="preserve"> </w:t>
      </w:r>
      <w:r w:rsidRPr="00D97463">
        <w:rPr>
          <w:lang w:val="fr-CH"/>
        </w:rPr>
        <w:tab/>
      </w:r>
      <w:r w:rsidRPr="00D97463">
        <w:rPr>
          <w:i/>
          <w:lang w:val="fr-CH"/>
        </w:rPr>
        <w:t>Maffezini</w:t>
      </w:r>
      <w:r w:rsidRPr="00D97463">
        <w:rPr>
          <w:lang w:val="fr-CH"/>
        </w:rPr>
        <w:t xml:space="preserve">, para. 61; </w:t>
      </w:r>
      <w:r w:rsidRPr="00D97463">
        <w:rPr>
          <w:i/>
          <w:lang w:val="fr-CH"/>
        </w:rPr>
        <w:t>Hochtief</w:t>
      </w:r>
      <w:r w:rsidRPr="00D97463">
        <w:rPr>
          <w:lang w:val="fr-CH"/>
        </w:rPr>
        <w:t xml:space="preserve">, paras. 107-111 (majority). </w:t>
      </w:r>
    </w:p>
  </w:footnote>
  <w:footnote w:id="602">
    <w:p w:rsidR="00A3158E" w:rsidRPr="00D97463" w:rsidRDefault="00A3158E" w:rsidP="00D97463">
      <w:pPr>
        <w:pStyle w:val="FootnoteText"/>
        <w:ind w:right="1260"/>
        <w:rPr>
          <w:lang w:val="fr-CH"/>
        </w:rPr>
      </w:pPr>
      <w:r w:rsidRPr="00D97463">
        <w:rPr>
          <w:lang w:val="fr-CH"/>
        </w:rPr>
        <w:tab/>
      </w:r>
      <w:r w:rsidRPr="00D97463">
        <w:rPr>
          <w:rStyle w:val="FootnoteReference"/>
        </w:rPr>
        <w:footnoteRef/>
      </w:r>
      <w:r w:rsidRPr="00D97463">
        <w:rPr>
          <w:lang w:val="fr-CH"/>
        </w:rPr>
        <w:t xml:space="preserve"> </w:t>
      </w:r>
      <w:r w:rsidRPr="00D97463">
        <w:rPr>
          <w:lang w:val="fr-CH"/>
        </w:rPr>
        <w:tab/>
      </w:r>
      <w:r w:rsidRPr="00D97463">
        <w:rPr>
          <w:i/>
          <w:lang w:val="fr-CH"/>
        </w:rPr>
        <w:t>ICS v. Argentina</w:t>
      </w:r>
      <w:r w:rsidRPr="00D97463">
        <w:rPr>
          <w:lang w:val="fr-CH"/>
        </w:rPr>
        <w:t xml:space="preserve">, paras. 296, 305-308; </w:t>
      </w:r>
      <w:r w:rsidRPr="00D97463">
        <w:rPr>
          <w:i/>
          <w:lang w:val="fr-CH"/>
        </w:rPr>
        <w:t>Daimler</w:t>
      </w:r>
      <w:r w:rsidRPr="00D97463">
        <w:rPr>
          <w:lang w:val="fr-CH"/>
        </w:rPr>
        <w:t>, paras. 225-231, 236 (majority).</w:t>
      </w:r>
    </w:p>
  </w:footnote>
  <w:footnote w:id="603">
    <w:p w:rsidR="00A3158E" w:rsidRPr="00D97463" w:rsidRDefault="00A3158E" w:rsidP="00D97463">
      <w:pPr>
        <w:pStyle w:val="FootnoteText"/>
        <w:ind w:right="1260"/>
      </w:pPr>
      <w:r w:rsidRPr="00D97463">
        <w:rPr>
          <w:lang w:val="fr-CH"/>
        </w:rPr>
        <w:tab/>
      </w:r>
      <w:r w:rsidRPr="00D97463">
        <w:rPr>
          <w:rStyle w:val="FootnoteReference"/>
        </w:rPr>
        <w:footnoteRef/>
      </w:r>
      <w:r w:rsidRPr="00D97463">
        <w:t xml:space="preserve"> </w:t>
      </w:r>
      <w:r w:rsidRPr="00D97463">
        <w:tab/>
        <w:t>Draft Central American free trade agreement (28 January 2004), available at &lt;http://www.sice.</w:t>
      </w:r>
      <w:r>
        <w:t xml:space="preserve"> </w:t>
      </w:r>
      <w:r w:rsidRPr="00D97463">
        <w:t>oas.org/TPD/USA_CAFTA/Jan28draft/CAFTAind_e.asp&gt;.</w:t>
      </w:r>
    </w:p>
  </w:footnote>
  <w:footnote w:id="604">
    <w:p w:rsidR="00A3158E" w:rsidRPr="00D97463" w:rsidRDefault="00A3158E" w:rsidP="00D97463">
      <w:pPr>
        <w:pStyle w:val="FootnoteText"/>
        <w:ind w:right="1260"/>
        <w:rPr>
          <w:lang w:eastAsia="en-CA"/>
        </w:rPr>
      </w:pPr>
      <w:r w:rsidRPr="00D97463">
        <w:tab/>
      </w:r>
      <w:r w:rsidRPr="00D97463">
        <w:rPr>
          <w:rStyle w:val="FootnoteReference"/>
        </w:rPr>
        <w:footnoteRef/>
      </w:r>
      <w:r w:rsidRPr="00D97463">
        <w:t xml:space="preserve"> </w:t>
      </w:r>
      <w:r w:rsidRPr="00D97463">
        <w:tab/>
        <w:t>Agreement between the Republic of Colombia and the Swiss Confederation on the promotion and reciprocal protection of investments, done in Berne on 17 May 2006, available at &lt;http://investment</w:t>
      </w:r>
      <w:r>
        <w:t xml:space="preserve"> </w:t>
      </w:r>
      <w:r w:rsidRPr="00D97463">
        <w:t xml:space="preserve">policyhub.unctad.org/IIA/country/45/treaty/1008&gt;. </w:t>
      </w:r>
    </w:p>
  </w:footnote>
  <w:footnote w:id="605">
    <w:p w:rsidR="00A3158E" w:rsidRPr="00D97463" w:rsidRDefault="00A3158E" w:rsidP="00D97463">
      <w:pPr>
        <w:pStyle w:val="FootnoteText"/>
        <w:ind w:right="1260"/>
        <w:rPr>
          <w:lang w:eastAsia="en-CA"/>
        </w:rPr>
      </w:pPr>
      <w:r w:rsidRPr="00D97463">
        <w:tab/>
      </w:r>
      <w:r w:rsidRPr="00D97463">
        <w:rPr>
          <w:rStyle w:val="FootnoteReference"/>
        </w:rPr>
        <w:footnoteRef/>
      </w:r>
      <w:r w:rsidRPr="00D97463">
        <w:t xml:space="preserve"> </w:t>
      </w:r>
      <w:r w:rsidRPr="00D97463">
        <w:tab/>
        <w:t>Agreement between Japan and the United Mexican States for the strengthening of the economic partnership, done at Mexico City on 17 September 2004, available at &lt;</w:t>
      </w:r>
      <w:hyperlink r:id="rId218" w:history="1">
        <w:r w:rsidRPr="00D97463">
          <w:rPr>
            <w:rStyle w:val="Hyperlink"/>
          </w:rPr>
          <w:t>http://www.sice.oas.org/</w:t>
        </w:r>
        <w:r w:rsidRPr="00E32683">
          <w:rPr>
            <w:rStyle w:val="Hyperlink"/>
          </w:rPr>
          <w:t xml:space="preserve"> </w:t>
        </w:r>
        <w:r w:rsidRPr="00D97463">
          <w:rPr>
            <w:rStyle w:val="Hyperlink"/>
          </w:rPr>
          <w:t>Trade/MEX_JPN_e/agreement.pdf</w:t>
        </w:r>
      </w:hyperlink>
      <w:r w:rsidRPr="00D97463">
        <w:t>&gt;; The United Kingdom has not changed its Model BIT, which applies MFN to dispute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10008"/>
    </w:tblGrid>
    <w:tr w:rsidR="00A3158E" w:rsidRPr="004E5608" w:rsidTr="004E5608">
      <w:trPr>
        <w:trHeight w:hRule="exact" w:val="1008"/>
      </w:trPr>
      <w:tc>
        <w:tcPr>
          <w:tcW w:w="10008" w:type="dxa"/>
          <w:tcBorders>
            <w:bottom w:val="nil"/>
          </w:tcBorders>
          <w:shd w:val="clear" w:color="auto" w:fill="auto"/>
          <w:vAlign w:val="bottom"/>
        </w:tcPr>
        <w:p w:rsidR="00A3158E" w:rsidRPr="004E5608" w:rsidRDefault="00A3158E" w:rsidP="004E5608">
          <w:pPr>
            <w:pStyle w:val="Header"/>
            <w:spacing w:after="80"/>
            <w:jc w:val="right"/>
            <w:rPr>
              <w:b/>
            </w:rPr>
          </w:pPr>
        </w:p>
      </w:tc>
    </w:tr>
  </w:tbl>
  <w:p w:rsidR="00A3158E" w:rsidRDefault="00A31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A3158E" w:rsidRPr="004E5608" w:rsidTr="004E5608">
      <w:trPr>
        <w:trHeight w:hRule="exact" w:val="1008"/>
      </w:trPr>
      <w:tc>
        <w:tcPr>
          <w:tcW w:w="9850" w:type="dxa"/>
          <w:shd w:val="clear" w:color="auto" w:fill="auto"/>
          <w:vAlign w:val="bottom"/>
        </w:tcPr>
        <w:p w:rsidR="00A3158E" w:rsidRPr="004E5608" w:rsidRDefault="00A3158E" w:rsidP="004E5608">
          <w:pPr>
            <w:pStyle w:val="Header"/>
            <w:spacing w:after="80"/>
            <w:rPr>
              <w:b/>
            </w:rPr>
          </w:pPr>
        </w:p>
      </w:tc>
    </w:tr>
  </w:tbl>
  <w:p w:rsidR="00A3158E" w:rsidRDefault="00A31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10008"/>
    </w:tblGrid>
    <w:tr w:rsidR="00A3158E" w:rsidRPr="004E5608" w:rsidTr="004E5608">
      <w:trPr>
        <w:trHeight w:hRule="exact" w:val="1008"/>
      </w:trPr>
      <w:tc>
        <w:tcPr>
          <w:tcW w:w="10008" w:type="dxa"/>
          <w:shd w:val="clear" w:color="auto" w:fill="auto"/>
          <w:vAlign w:val="bottom"/>
        </w:tcPr>
        <w:p w:rsidR="00A3158E" w:rsidRPr="004E5608" w:rsidRDefault="00A3158E" w:rsidP="004E5608">
          <w:pPr>
            <w:pStyle w:val="Header"/>
            <w:spacing w:after="80"/>
            <w:jc w:val="right"/>
            <w:rPr>
              <w:b/>
            </w:rPr>
          </w:pPr>
        </w:p>
      </w:tc>
    </w:tr>
  </w:tbl>
  <w:p w:rsidR="00A3158E" w:rsidRDefault="00A315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3158E" w:rsidTr="004E5608">
      <w:trPr>
        <w:trHeight w:hRule="exact" w:val="864"/>
        <w:jc w:val="center"/>
      </w:trPr>
      <w:tc>
        <w:tcPr>
          <w:tcW w:w="4882" w:type="dxa"/>
          <w:shd w:val="clear" w:color="auto" w:fill="auto"/>
          <w:vAlign w:val="bottom"/>
        </w:tcPr>
        <w:p w:rsidR="00A3158E" w:rsidRPr="004E5608" w:rsidRDefault="00A3158E" w:rsidP="004E5608">
          <w:pPr>
            <w:pStyle w:val="Header"/>
            <w:spacing w:after="80"/>
            <w:rPr>
              <w:b/>
            </w:rPr>
          </w:pPr>
          <w:r>
            <w:rPr>
              <w:b/>
            </w:rPr>
            <w:fldChar w:fldCharType="begin"/>
          </w:r>
          <w:r>
            <w:rPr>
              <w:b/>
            </w:rPr>
            <w:instrText xml:space="preserve"> DOCVARIABLE "sss1" \* MERGEFORMAT </w:instrText>
          </w:r>
          <w:r>
            <w:rPr>
              <w:b/>
            </w:rPr>
            <w:fldChar w:fldCharType="separate"/>
          </w:r>
          <w:r w:rsidR="00EF153A">
            <w:rPr>
              <w:b/>
            </w:rPr>
            <w:t>A/70/10</w:t>
          </w:r>
          <w:r>
            <w:rPr>
              <w:b/>
            </w:rPr>
            <w:fldChar w:fldCharType="end"/>
          </w:r>
        </w:p>
      </w:tc>
      <w:tc>
        <w:tcPr>
          <w:tcW w:w="5127" w:type="dxa"/>
          <w:shd w:val="clear" w:color="auto" w:fill="auto"/>
          <w:vAlign w:val="bottom"/>
        </w:tcPr>
        <w:p w:rsidR="00A3158E" w:rsidRDefault="00A3158E" w:rsidP="004E5608">
          <w:pPr>
            <w:pStyle w:val="Header"/>
          </w:pPr>
        </w:p>
      </w:tc>
    </w:tr>
  </w:tbl>
  <w:p w:rsidR="00A3158E" w:rsidRPr="004E5608" w:rsidRDefault="00A3158E" w:rsidP="004E56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3158E" w:rsidTr="004E5608">
      <w:trPr>
        <w:trHeight w:hRule="exact" w:val="864"/>
        <w:jc w:val="center"/>
      </w:trPr>
      <w:tc>
        <w:tcPr>
          <w:tcW w:w="4882" w:type="dxa"/>
          <w:shd w:val="clear" w:color="auto" w:fill="auto"/>
          <w:vAlign w:val="bottom"/>
        </w:tcPr>
        <w:p w:rsidR="00A3158E" w:rsidRDefault="00A3158E" w:rsidP="004E5608">
          <w:pPr>
            <w:pStyle w:val="Header"/>
          </w:pPr>
        </w:p>
      </w:tc>
      <w:tc>
        <w:tcPr>
          <w:tcW w:w="5127" w:type="dxa"/>
          <w:shd w:val="clear" w:color="auto" w:fill="auto"/>
          <w:vAlign w:val="bottom"/>
        </w:tcPr>
        <w:p w:rsidR="00A3158E" w:rsidRPr="004E5608" w:rsidRDefault="00A3158E" w:rsidP="004E5608">
          <w:pPr>
            <w:pStyle w:val="Header"/>
            <w:spacing w:after="80"/>
            <w:jc w:val="right"/>
            <w:rPr>
              <w:b/>
            </w:rPr>
          </w:pPr>
          <w:r>
            <w:rPr>
              <w:b/>
            </w:rPr>
            <w:fldChar w:fldCharType="begin"/>
          </w:r>
          <w:r>
            <w:rPr>
              <w:b/>
            </w:rPr>
            <w:instrText xml:space="preserve"> DOCVARIABLE "sss1" \* MERGEFORMAT </w:instrText>
          </w:r>
          <w:r>
            <w:rPr>
              <w:b/>
            </w:rPr>
            <w:fldChar w:fldCharType="separate"/>
          </w:r>
          <w:r w:rsidR="00EF153A">
            <w:rPr>
              <w:b/>
            </w:rPr>
            <w:t>A/70/10</w:t>
          </w:r>
          <w:r>
            <w:rPr>
              <w:b/>
            </w:rPr>
            <w:fldChar w:fldCharType="end"/>
          </w:r>
        </w:p>
      </w:tc>
    </w:tr>
  </w:tbl>
  <w:p w:rsidR="00A3158E" w:rsidRPr="004E5608" w:rsidRDefault="00A3158E" w:rsidP="004E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E1C4A"/>
    <w:multiLevelType w:val="multilevel"/>
    <w:tmpl w:val="075A895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0B7F27F8"/>
    <w:multiLevelType w:val="multilevel"/>
    <w:tmpl w:val="5A7E062C"/>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AD4E85"/>
    <w:multiLevelType w:val="multilevel"/>
    <w:tmpl w:val="90F8DC9E"/>
    <w:name w:val="TOC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8">
    <w:nsid w:val="4132559C"/>
    <w:multiLevelType w:val="multilevel"/>
    <w:tmpl w:val="EF46F34C"/>
    <w:lvl w:ilvl="0">
      <w:start w:val="1"/>
      <w:numFmt w:val="upperRoman"/>
      <w:lvlText w:val="%1."/>
      <w:lvlJc w:val="right"/>
      <w:pPr>
        <w:tabs>
          <w:tab w:val="num" w:pos="1641"/>
        </w:tabs>
        <w:ind w:left="1641" w:hanging="216"/>
      </w:pPr>
      <w:rPr>
        <w:rFonts w:hint="default"/>
      </w:rPr>
    </w:lvl>
    <w:lvl w:ilvl="1">
      <w:start w:val="1"/>
      <w:numFmt w:val="upperLetter"/>
      <w:lvlText w:val="%2."/>
      <w:lvlJc w:val="left"/>
      <w:pPr>
        <w:tabs>
          <w:tab w:val="num" w:pos="2073"/>
        </w:tabs>
        <w:ind w:left="2073" w:hanging="432"/>
      </w:pPr>
      <w:rPr>
        <w:rFonts w:hint="default"/>
      </w:rPr>
    </w:lvl>
    <w:lvl w:ilvl="2">
      <w:start w:val="1"/>
      <w:numFmt w:val="decimal"/>
      <w:lvlText w:val="%3."/>
      <w:lvlJc w:val="left"/>
      <w:pPr>
        <w:tabs>
          <w:tab w:val="num" w:pos="2505"/>
        </w:tabs>
        <w:ind w:left="2505" w:hanging="432"/>
      </w:pPr>
      <w:rPr>
        <w:rFonts w:hint="default"/>
      </w:rPr>
    </w:lvl>
    <w:lvl w:ilvl="3">
      <w:start w:val="1"/>
      <w:numFmt w:val="lowerLetter"/>
      <w:lvlText w:val="(%4)"/>
      <w:lvlJc w:val="left"/>
      <w:pPr>
        <w:tabs>
          <w:tab w:val="num" w:pos="2937"/>
        </w:tabs>
        <w:ind w:left="2937" w:hanging="432"/>
      </w:pPr>
      <w:rPr>
        <w:rFonts w:hint="default"/>
        <w:b w:val="0"/>
        <w:i/>
      </w:rPr>
    </w:lvl>
    <w:lvl w:ilvl="4">
      <w:start w:val="1"/>
      <w:numFmt w:val="lowerRoman"/>
      <w:lvlText w:val="(%5)"/>
      <w:lvlJc w:val="left"/>
      <w:pPr>
        <w:tabs>
          <w:tab w:val="num" w:pos="3369"/>
        </w:tabs>
        <w:ind w:left="3369" w:hanging="432"/>
      </w:pPr>
      <w:rPr>
        <w:rFonts w:hint="default"/>
        <w:b w:val="0"/>
        <w:i/>
      </w:rPr>
    </w:lvl>
    <w:lvl w:ilvl="5">
      <w:start w:val="1"/>
      <w:numFmt w:val="decimal"/>
      <w:lvlText w:val="%6."/>
      <w:lvlJc w:val="left"/>
      <w:pPr>
        <w:tabs>
          <w:tab w:val="num" w:pos="3801"/>
        </w:tabs>
        <w:ind w:left="3801" w:hanging="432"/>
      </w:pPr>
      <w:rPr>
        <w:rFonts w:hint="default"/>
      </w:rPr>
    </w:lvl>
    <w:lvl w:ilvl="6">
      <w:start w:val="1"/>
      <w:numFmt w:val="none"/>
      <w:suff w:val="nothing"/>
      <w:lvlText w:val=""/>
      <w:lvlJc w:val="left"/>
      <w:pPr>
        <w:ind w:left="345" w:firstLine="0"/>
      </w:pPr>
      <w:rPr>
        <w:rFonts w:hint="default"/>
      </w:rPr>
    </w:lvl>
    <w:lvl w:ilvl="7">
      <w:start w:val="1"/>
      <w:numFmt w:val="none"/>
      <w:suff w:val="nothing"/>
      <w:lvlText w:val=""/>
      <w:lvlJc w:val="left"/>
      <w:pPr>
        <w:ind w:left="345" w:firstLine="0"/>
      </w:pPr>
      <w:rPr>
        <w:rFonts w:hint="default"/>
      </w:rPr>
    </w:lvl>
    <w:lvl w:ilvl="8">
      <w:start w:val="1"/>
      <w:numFmt w:val="none"/>
      <w:suff w:val="nothing"/>
      <w:lvlText w:val=""/>
      <w:lvlJc w:val="left"/>
      <w:pPr>
        <w:ind w:left="345" w:firstLine="0"/>
      </w:pPr>
      <w:rPr>
        <w:rFonts w:hint="default"/>
      </w:rPr>
    </w:lvl>
  </w:abstractNum>
  <w:abstractNum w:abstractNumId="9">
    <w:nsid w:val="44D558AE"/>
    <w:multiLevelType w:val="multilevel"/>
    <w:tmpl w:val="EF46F34C"/>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b w:val="0"/>
        <w:i/>
      </w:rPr>
    </w:lvl>
    <w:lvl w:ilvl="4">
      <w:start w:val="1"/>
      <w:numFmt w:val="lowerRoman"/>
      <w:lvlText w:val="(%5)"/>
      <w:lvlJc w:val="left"/>
      <w:pPr>
        <w:tabs>
          <w:tab w:val="num" w:pos="3024"/>
        </w:tabs>
        <w:ind w:left="3024" w:hanging="432"/>
      </w:pPr>
      <w:rPr>
        <w:rFonts w:hint="default"/>
        <w:b w:val="0"/>
        <w:i/>
      </w:rPr>
    </w:lvl>
    <w:lvl w:ilvl="5">
      <w:start w:val="1"/>
      <w:numFmt w:val="decimal"/>
      <w:lvlText w:val="%6."/>
      <w:lvlJc w:val="left"/>
      <w:pPr>
        <w:tabs>
          <w:tab w:val="num" w:pos="3456"/>
        </w:tabs>
        <w:ind w:left="3456" w:hanging="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4ECC3EBA"/>
    <w:multiLevelType w:val="multilevel"/>
    <w:tmpl w:val="75FCAA3E"/>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90BC6"/>
    <w:multiLevelType w:val="multilevel"/>
    <w:tmpl w:val="EF46F34C"/>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b w:val="0"/>
        <w:i/>
      </w:rPr>
    </w:lvl>
    <w:lvl w:ilvl="4">
      <w:start w:val="1"/>
      <w:numFmt w:val="lowerRoman"/>
      <w:lvlText w:val="(%5)"/>
      <w:lvlJc w:val="left"/>
      <w:pPr>
        <w:tabs>
          <w:tab w:val="num" w:pos="3024"/>
        </w:tabs>
        <w:ind w:left="3024" w:hanging="432"/>
      </w:pPr>
      <w:rPr>
        <w:rFonts w:hint="default"/>
        <w:b w:val="0"/>
        <w:i/>
      </w:rPr>
    </w:lvl>
    <w:lvl w:ilvl="5">
      <w:start w:val="1"/>
      <w:numFmt w:val="decimal"/>
      <w:lvlText w:val="%6."/>
      <w:lvlJc w:val="left"/>
      <w:pPr>
        <w:tabs>
          <w:tab w:val="num" w:pos="3456"/>
        </w:tabs>
        <w:ind w:left="3456" w:hanging="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4">
    <w:nsid w:val="6C0D0DEF"/>
    <w:multiLevelType w:val="multilevel"/>
    <w:tmpl w:val="EF46F34C"/>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b w:val="0"/>
        <w:i/>
      </w:rPr>
    </w:lvl>
    <w:lvl w:ilvl="4">
      <w:start w:val="1"/>
      <w:numFmt w:val="lowerRoman"/>
      <w:lvlText w:val="(%5)"/>
      <w:lvlJc w:val="left"/>
      <w:pPr>
        <w:tabs>
          <w:tab w:val="num" w:pos="3024"/>
        </w:tabs>
        <w:ind w:left="3024" w:hanging="432"/>
      </w:pPr>
      <w:rPr>
        <w:rFonts w:hint="default"/>
        <w:b w:val="0"/>
        <w:i/>
      </w:rPr>
    </w:lvl>
    <w:lvl w:ilvl="5">
      <w:start w:val="1"/>
      <w:numFmt w:val="decimal"/>
      <w:lvlText w:val="%6."/>
      <w:lvlJc w:val="left"/>
      <w:pPr>
        <w:tabs>
          <w:tab w:val="num" w:pos="3456"/>
        </w:tabs>
        <w:ind w:left="3456" w:hanging="43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3"/>
  </w:num>
  <w:num w:numId="3">
    <w:abstractNumId w:val="7"/>
  </w:num>
  <w:num w:numId="4">
    <w:abstractNumId w:val="1"/>
  </w:num>
  <w:num w:numId="5">
    <w:abstractNumId w:val="5"/>
  </w:num>
  <w:num w:numId="6">
    <w:abstractNumId w:val="2"/>
  </w:num>
  <w:num w:numId="7">
    <w:abstractNumId w:val="10"/>
  </w:num>
  <w:num w:numId="8">
    <w:abstractNumId w:val="3"/>
  </w:num>
  <w:num w:numId="9">
    <w:abstractNumId w:val="0"/>
  </w:num>
  <w:num w:numId="10">
    <w:abstractNumId w:val="11"/>
  </w:num>
  <w:num w:numId="11">
    <w:abstractNumId w:val="15"/>
  </w:num>
  <w:num w:numId="12">
    <w:abstractNumId w:val="13"/>
  </w:num>
  <w:num w:numId="13">
    <w:abstractNumId w:val="6"/>
  </w:num>
  <w:num w:numId="14">
    <w:abstractNumId w:val="7"/>
  </w:num>
  <w:num w:numId="15">
    <w:abstractNumId w:val="4"/>
  </w:num>
  <w:num w:numId="16">
    <w:abstractNumId w:val="14"/>
  </w:num>
  <w:num w:numId="17">
    <w:abstractNumId w:val="9"/>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593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70*"/>
    <w:docVar w:name="CreationDt" w:val="20/08/2015 14:34:54"/>
    <w:docVar w:name="DocCategory" w:val="Supplements"/>
    <w:docVar w:name="DocType" w:val="Final"/>
    <w:docVar w:name="DutyStation" w:val="Geneva"/>
    <w:docVar w:name="FooterJN" w:val="GE.15-13770"/>
    <w:docVar w:name="jobn" w:val="GE.15-13770 (E)"/>
    <w:docVar w:name="jobnDT" w:val="GE.15-13770 (E)   200815"/>
    <w:docVar w:name="jobnDTDT" w:val="GE. 15-13770 (E)   200815   200815"/>
    <w:docVar w:name="JobNo" w:val="GE.1513770E"/>
    <w:docVar w:name="JobNo2" w:val="15E"/>
    <w:docVar w:name="LocalDrive" w:val="0"/>
    <w:docVar w:name="OandT" w:val="CEB"/>
    <w:docVar w:name="PaperSize" w:val="A4"/>
    <w:docVar w:name="sss1" w:val="A/70/10"/>
    <w:docVar w:name="sss2" w:val="-"/>
    <w:docVar w:name="Symbol1" w:val="A/70/10"/>
    <w:docVar w:name="Symbol2" w:val="-"/>
  </w:docVars>
  <w:rsids>
    <w:rsidRoot w:val="00F1485E"/>
    <w:rsid w:val="0000301C"/>
    <w:rsid w:val="000044BD"/>
    <w:rsid w:val="00010CB2"/>
    <w:rsid w:val="00011F66"/>
    <w:rsid w:val="000137FE"/>
    <w:rsid w:val="00013C9F"/>
    <w:rsid w:val="00014295"/>
    <w:rsid w:val="0001793F"/>
    <w:rsid w:val="00020D6A"/>
    <w:rsid w:val="00021540"/>
    <w:rsid w:val="00022096"/>
    <w:rsid w:val="00023BDE"/>
    <w:rsid w:val="000243C1"/>
    <w:rsid w:val="00024B08"/>
    <w:rsid w:val="00024E5A"/>
    <w:rsid w:val="00025848"/>
    <w:rsid w:val="000308AA"/>
    <w:rsid w:val="00032100"/>
    <w:rsid w:val="0003242E"/>
    <w:rsid w:val="00034259"/>
    <w:rsid w:val="00041CAB"/>
    <w:rsid w:val="000509B8"/>
    <w:rsid w:val="000516C3"/>
    <w:rsid w:val="00051981"/>
    <w:rsid w:val="00051D6F"/>
    <w:rsid w:val="00052182"/>
    <w:rsid w:val="000542AB"/>
    <w:rsid w:val="0005437A"/>
    <w:rsid w:val="00054828"/>
    <w:rsid w:val="00057F15"/>
    <w:rsid w:val="00057FD3"/>
    <w:rsid w:val="00060FB4"/>
    <w:rsid w:val="000614A2"/>
    <w:rsid w:val="00062E0F"/>
    <w:rsid w:val="000633F0"/>
    <w:rsid w:val="00071781"/>
    <w:rsid w:val="00071C92"/>
    <w:rsid w:val="00073B00"/>
    <w:rsid w:val="00076459"/>
    <w:rsid w:val="0007729C"/>
    <w:rsid w:val="00077C68"/>
    <w:rsid w:val="00077DB0"/>
    <w:rsid w:val="00080953"/>
    <w:rsid w:val="00081CC0"/>
    <w:rsid w:val="000865DE"/>
    <w:rsid w:val="000867C4"/>
    <w:rsid w:val="000873DA"/>
    <w:rsid w:val="00090753"/>
    <w:rsid w:val="0009142F"/>
    <w:rsid w:val="000930EA"/>
    <w:rsid w:val="0009377B"/>
    <w:rsid w:val="00095653"/>
    <w:rsid w:val="00096611"/>
    <w:rsid w:val="000A0900"/>
    <w:rsid w:val="000A1401"/>
    <w:rsid w:val="000B1175"/>
    <w:rsid w:val="000B2AB1"/>
    <w:rsid w:val="000B6F32"/>
    <w:rsid w:val="000B7349"/>
    <w:rsid w:val="000C30BC"/>
    <w:rsid w:val="000C49BE"/>
    <w:rsid w:val="000C59AB"/>
    <w:rsid w:val="000C676D"/>
    <w:rsid w:val="000E3E97"/>
    <w:rsid w:val="000E454F"/>
    <w:rsid w:val="000E4DB4"/>
    <w:rsid w:val="000E578F"/>
    <w:rsid w:val="000E6736"/>
    <w:rsid w:val="000E7174"/>
    <w:rsid w:val="000E7902"/>
    <w:rsid w:val="000F0681"/>
    <w:rsid w:val="000F1CED"/>
    <w:rsid w:val="000F5752"/>
    <w:rsid w:val="000F6381"/>
    <w:rsid w:val="000F6E1A"/>
    <w:rsid w:val="00100B22"/>
    <w:rsid w:val="001048C4"/>
    <w:rsid w:val="00104C2F"/>
    <w:rsid w:val="00105A83"/>
    <w:rsid w:val="00105C9B"/>
    <w:rsid w:val="00107D5F"/>
    <w:rsid w:val="001115D1"/>
    <w:rsid w:val="00111F5A"/>
    <w:rsid w:val="0011241F"/>
    <w:rsid w:val="00112598"/>
    <w:rsid w:val="00113764"/>
    <w:rsid w:val="00114F9E"/>
    <w:rsid w:val="0011565A"/>
    <w:rsid w:val="00115690"/>
    <w:rsid w:val="0012032E"/>
    <w:rsid w:val="001208CF"/>
    <w:rsid w:val="001223CB"/>
    <w:rsid w:val="0012313A"/>
    <w:rsid w:val="0012652C"/>
    <w:rsid w:val="0013110A"/>
    <w:rsid w:val="00132F77"/>
    <w:rsid w:val="00135DA1"/>
    <w:rsid w:val="00136ECF"/>
    <w:rsid w:val="001431BC"/>
    <w:rsid w:val="00146E4B"/>
    <w:rsid w:val="001505B6"/>
    <w:rsid w:val="00152C51"/>
    <w:rsid w:val="001531AF"/>
    <w:rsid w:val="00154A7D"/>
    <w:rsid w:val="001634C7"/>
    <w:rsid w:val="00163673"/>
    <w:rsid w:val="00164BCE"/>
    <w:rsid w:val="00164D53"/>
    <w:rsid w:val="001652E9"/>
    <w:rsid w:val="001653FB"/>
    <w:rsid w:val="0017380E"/>
    <w:rsid w:val="001745C0"/>
    <w:rsid w:val="00175D06"/>
    <w:rsid w:val="001801E4"/>
    <w:rsid w:val="001809B5"/>
    <w:rsid w:val="00182B15"/>
    <w:rsid w:val="00184193"/>
    <w:rsid w:val="00187A2B"/>
    <w:rsid w:val="00190923"/>
    <w:rsid w:val="001917A6"/>
    <w:rsid w:val="00191E88"/>
    <w:rsid w:val="0019245C"/>
    <w:rsid w:val="00192845"/>
    <w:rsid w:val="001936F0"/>
    <w:rsid w:val="001947AD"/>
    <w:rsid w:val="00196A75"/>
    <w:rsid w:val="00196A9E"/>
    <w:rsid w:val="00197346"/>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3185"/>
    <w:rsid w:val="001C5625"/>
    <w:rsid w:val="001C7E54"/>
    <w:rsid w:val="001D1F8D"/>
    <w:rsid w:val="001D24C6"/>
    <w:rsid w:val="001D4790"/>
    <w:rsid w:val="001D7216"/>
    <w:rsid w:val="001E06EC"/>
    <w:rsid w:val="001E077C"/>
    <w:rsid w:val="001E0B55"/>
    <w:rsid w:val="001E1A94"/>
    <w:rsid w:val="001E4D56"/>
    <w:rsid w:val="001E5AE9"/>
    <w:rsid w:val="001E6CDB"/>
    <w:rsid w:val="001F17C9"/>
    <w:rsid w:val="001F184C"/>
    <w:rsid w:val="001F2BDA"/>
    <w:rsid w:val="001F2E45"/>
    <w:rsid w:val="001F5923"/>
    <w:rsid w:val="001F5FE7"/>
    <w:rsid w:val="001F670D"/>
    <w:rsid w:val="001F6818"/>
    <w:rsid w:val="001F6E66"/>
    <w:rsid w:val="001F78BC"/>
    <w:rsid w:val="001F7C50"/>
    <w:rsid w:val="001F7CCF"/>
    <w:rsid w:val="00202627"/>
    <w:rsid w:val="00203422"/>
    <w:rsid w:val="00203A1A"/>
    <w:rsid w:val="00204053"/>
    <w:rsid w:val="00210D7F"/>
    <w:rsid w:val="00211BFD"/>
    <w:rsid w:val="00211F3F"/>
    <w:rsid w:val="00213104"/>
    <w:rsid w:val="002141E3"/>
    <w:rsid w:val="002179A1"/>
    <w:rsid w:val="00217D97"/>
    <w:rsid w:val="00221536"/>
    <w:rsid w:val="00221573"/>
    <w:rsid w:val="00222D9B"/>
    <w:rsid w:val="00223E81"/>
    <w:rsid w:val="00225B63"/>
    <w:rsid w:val="00231836"/>
    <w:rsid w:val="00232F19"/>
    <w:rsid w:val="002339E2"/>
    <w:rsid w:val="002346A6"/>
    <w:rsid w:val="00234C5B"/>
    <w:rsid w:val="00236DA6"/>
    <w:rsid w:val="00236E6D"/>
    <w:rsid w:val="002422F7"/>
    <w:rsid w:val="00243655"/>
    <w:rsid w:val="002453F5"/>
    <w:rsid w:val="00247E83"/>
    <w:rsid w:val="002508E9"/>
    <w:rsid w:val="00251A44"/>
    <w:rsid w:val="00253D26"/>
    <w:rsid w:val="00254277"/>
    <w:rsid w:val="002549C4"/>
    <w:rsid w:val="00255264"/>
    <w:rsid w:val="00256A49"/>
    <w:rsid w:val="0025759D"/>
    <w:rsid w:val="00260557"/>
    <w:rsid w:val="00261D48"/>
    <w:rsid w:val="00261FDB"/>
    <w:rsid w:val="00263608"/>
    <w:rsid w:val="00264279"/>
    <w:rsid w:val="00264A75"/>
    <w:rsid w:val="002665CB"/>
    <w:rsid w:val="002713B7"/>
    <w:rsid w:val="00272399"/>
    <w:rsid w:val="0027290F"/>
    <w:rsid w:val="0027399B"/>
    <w:rsid w:val="002741C3"/>
    <w:rsid w:val="00274209"/>
    <w:rsid w:val="00274B66"/>
    <w:rsid w:val="00275106"/>
    <w:rsid w:val="00275598"/>
    <w:rsid w:val="00276B79"/>
    <w:rsid w:val="00281885"/>
    <w:rsid w:val="00282F8D"/>
    <w:rsid w:val="00284AF2"/>
    <w:rsid w:val="002877DA"/>
    <w:rsid w:val="00287926"/>
    <w:rsid w:val="00287D43"/>
    <w:rsid w:val="002901C3"/>
    <w:rsid w:val="00290C42"/>
    <w:rsid w:val="00293013"/>
    <w:rsid w:val="00293C47"/>
    <w:rsid w:val="00294980"/>
    <w:rsid w:val="00296E6C"/>
    <w:rsid w:val="002A2A24"/>
    <w:rsid w:val="002A5739"/>
    <w:rsid w:val="002A5D97"/>
    <w:rsid w:val="002A5DBE"/>
    <w:rsid w:val="002B0DEC"/>
    <w:rsid w:val="002B210B"/>
    <w:rsid w:val="002B4B8E"/>
    <w:rsid w:val="002B649C"/>
    <w:rsid w:val="002B67EC"/>
    <w:rsid w:val="002B77DF"/>
    <w:rsid w:val="002C0552"/>
    <w:rsid w:val="002C12A1"/>
    <w:rsid w:val="002C171C"/>
    <w:rsid w:val="002C3AE4"/>
    <w:rsid w:val="002C69A3"/>
    <w:rsid w:val="002D0A3F"/>
    <w:rsid w:val="002D1607"/>
    <w:rsid w:val="002D1AB7"/>
    <w:rsid w:val="002D20B7"/>
    <w:rsid w:val="002D25CC"/>
    <w:rsid w:val="002D4228"/>
    <w:rsid w:val="002D4776"/>
    <w:rsid w:val="002E0010"/>
    <w:rsid w:val="002E1C17"/>
    <w:rsid w:val="002E25D1"/>
    <w:rsid w:val="002E2C89"/>
    <w:rsid w:val="002E3DBB"/>
    <w:rsid w:val="002E6574"/>
    <w:rsid w:val="002F0531"/>
    <w:rsid w:val="002F0533"/>
    <w:rsid w:val="002F0B79"/>
    <w:rsid w:val="002F41F1"/>
    <w:rsid w:val="002F5FAC"/>
    <w:rsid w:val="002F65A0"/>
    <w:rsid w:val="002F7170"/>
    <w:rsid w:val="00300297"/>
    <w:rsid w:val="00303242"/>
    <w:rsid w:val="00312D4B"/>
    <w:rsid w:val="00313364"/>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2A7"/>
    <w:rsid w:val="003345CC"/>
    <w:rsid w:val="00341AF8"/>
    <w:rsid w:val="00343E74"/>
    <w:rsid w:val="003466DC"/>
    <w:rsid w:val="003471DC"/>
    <w:rsid w:val="00347DD3"/>
    <w:rsid w:val="00350876"/>
    <w:rsid w:val="00357AA1"/>
    <w:rsid w:val="00365017"/>
    <w:rsid w:val="003769DF"/>
    <w:rsid w:val="0037751B"/>
    <w:rsid w:val="0037786A"/>
    <w:rsid w:val="00380425"/>
    <w:rsid w:val="00383922"/>
    <w:rsid w:val="00386D89"/>
    <w:rsid w:val="00387FE0"/>
    <w:rsid w:val="0039024C"/>
    <w:rsid w:val="003928D1"/>
    <w:rsid w:val="00392946"/>
    <w:rsid w:val="00395DFD"/>
    <w:rsid w:val="00397032"/>
    <w:rsid w:val="00397F04"/>
    <w:rsid w:val="003A09C3"/>
    <w:rsid w:val="003A24A5"/>
    <w:rsid w:val="003A5087"/>
    <w:rsid w:val="003A6E7D"/>
    <w:rsid w:val="003B04C4"/>
    <w:rsid w:val="003B0DE7"/>
    <w:rsid w:val="003B102B"/>
    <w:rsid w:val="003C05E2"/>
    <w:rsid w:val="003C0D55"/>
    <w:rsid w:val="003C3A7D"/>
    <w:rsid w:val="003C42F4"/>
    <w:rsid w:val="003C43F7"/>
    <w:rsid w:val="003D5797"/>
    <w:rsid w:val="003D7161"/>
    <w:rsid w:val="003D7F08"/>
    <w:rsid w:val="003E0D98"/>
    <w:rsid w:val="003E5EB1"/>
    <w:rsid w:val="003E7000"/>
    <w:rsid w:val="003E72BD"/>
    <w:rsid w:val="003E78BF"/>
    <w:rsid w:val="003F07B8"/>
    <w:rsid w:val="003F1E2B"/>
    <w:rsid w:val="003F4261"/>
    <w:rsid w:val="003F49AB"/>
    <w:rsid w:val="003F4EDB"/>
    <w:rsid w:val="003F52CF"/>
    <w:rsid w:val="003F7EC3"/>
    <w:rsid w:val="00401E19"/>
    <w:rsid w:val="0040560E"/>
    <w:rsid w:val="00405629"/>
    <w:rsid w:val="0040677F"/>
    <w:rsid w:val="00407301"/>
    <w:rsid w:val="00410A02"/>
    <w:rsid w:val="00410AB6"/>
    <w:rsid w:val="004125C5"/>
    <w:rsid w:val="00412ACF"/>
    <w:rsid w:val="0041494A"/>
    <w:rsid w:val="00414F44"/>
    <w:rsid w:val="0041500E"/>
    <w:rsid w:val="00417309"/>
    <w:rsid w:val="004176F2"/>
    <w:rsid w:val="00425E49"/>
    <w:rsid w:val="00434183"/>
    <w:rsid w:val="00436FEA"/>
    <w:rsid w:val="004411C5"/>
    <w:rsid w:val="00441580"/>
    <w:rsid w:val="00441EF4"/>
    <w:rsid w:val="004423AB"/>
    <w:rsid w:val="00443A4A"/>
    <w:rsid w:val="00444725"/>
    <w:rsid w:val="004472AD"/>
    <w:rsid w:val="00450C51"/>
    <w:rsid w:val="0045397A"/>
    <w:rsid w:val="00453E64"/>
    <w:rsid w:val="00455CD0"/>
    <w:rsid w:val="00457ADA"/>
    <w:rsid w:val="004677E2"/>
    <w:rsid w:val="00470EE0"/>
    <w:rsid w:val="00475672"/>
    <w:rsid w:val="0047572C"/>
    <w:rsid w:val="004769B2"/>
    <w:rsid w:val="004774B3"/>
    <w:rsid w:val="00477F9F"/>
    <w:rsid w:val="00480EB2"/>
    <w:rsid w:val="004818A0"/>
    <w:rsid w:val="004831A5"/>
    <w:rsid w:val="00485B77"/>
    <w:rsid w:val="00487D0A"/>
    <w:rsid w:val="004907C3"/>
    <w:rsid w:val="00492648"/>
    <w:rsid w:val="0049383F"/>
    <w:rsid w:val="00494C70"/>
    <w:rsid w:val="00495BC6"/>
    <w:rsid w:val="00496B26"/>
    <w:rsid w:val="00497787"/>
    <w:rsid w:val="00497BF5"/>
    <w:rsid w:val="004A06AE"/>
    <w:rsid w:val="004A36EA"/>
    <w:rsid w:val="004A492C"/>
    <w:rsid w:val="004A5068"/>
    <w:rsid w:val="004A635B"/>
    <w:rsid w:val="004A6F00"/>
    <w:rsid w:val="004B1595"/>
    <w:rsid w:val="004B3D85"/>
    <w:rsid w:val="004B6AB6"/>
    <w:rsid w:val="004B732D"/>
    <w:rsid w:val="004C0A4B"/>
    <w:rsid w:val="004C17D1"/>
    <w:rsid w:val="004C259E"/>
    <w:rsid w:val="004C599F"/>
    <w:rsid w:val="004C72E0"/>
    <w:rsid w:val="004C75ED"/>
    <w:rsid w:val="004C7A38"/>
    <w:rsid w:val="004C7E05"/>
    <w:rsid w:val="004D0839"/>
    <w:rsid w:val="004D0C85"/>
    <w:rsid w:val="004D2970"/>
    <w:rsid w:val="004D2F3B"/>
    <w:rsid w:val="004D3027"/>
    <w:rsid w:val="004D580C"/>
    <w:rsid w:val="004D5846"/>
    <w:rsid w:val="004D74BC"/>
    <w:rsid w:val="004D7A08"/>
    <w:rsid w:val="004E5608"/>
    <w:rsid w:val="004E669B"/>
    <w:rsid w:val="004F0853"/>
    <w:rsid w:val="004F09C3"/>
    <w:rsid w:val="004F1019"/>
    <w:rsid w:val="004F269C"/>
    <w:rsid w:val="004F2B25"/>
    <w:rsid w:val="004F4085"/>
    <w:rsid w:val="004F4AA8"/>
    <w:rsid w:val="004F71A8"/>
    <w:rsid w:val="00502499"/>
    <w:rsid w:val="00510E81"/>
    <w:rsid w:val="00511E5A"/>
    <w:rsid w:val="00514854"/>
    <w:rsid w:val="00516D15"/>
    <w:rsid w:val="005200EA"/>
    <w:rsid w:val="00524607"/>
    <w:rsid w:val="005300F6"/>
    <w:rsid w:val="00530F1C"/>
    <w:rsid w:val="00534D74"/>
    <w:rsid w:val="00537D2B"/>
    <w:rsid w:val="00541089"/>
    <w:rsid w:val="00542A9C"/>
    <w:rsid w:val="00542FE7"/>
    <w:rsid w:val="0054347D"/>
    <w:rsid w:val="00543905"/>
    <w:rsid w:val="00543927"/>
    <w:rsid w:val="00546F5D"/>
    <w:rsid w:val="005513EE"/>
    <w:rsid w:val="0055474C"/>
    <w:rsid w:val="00554C0B"/>
    <w:rsid w:val="00554CEC"/>
    <w:rsid w:val="00556788"/>
    <w:rsid w:val="00556945"/>
    <w:rsid w:val="0055753C"/>
    <w:rsid w:val="00560735"/>
    <w:rsid w:val="005607F2"/>
    <w:rsid w:val="005619C0"/>
    <w:rsid w:val="00566B69"/>
    <w:rsid w:val="00567F84"/>
    <w:rsid w:val="005709A1"/>
    <w:rsid w:val="005716C4"/>
    <w:rsid w:val="005729BA"/>
    <w:rsid w:val="0057512C"/>
    <w:rsid w:val="005827E6"/>
    <w:rsid w:val="00583963"/>
    <w:rsid w:val="00586761"/>
    <w:rsid w:val="00586902"/>
    <w:rsid w:val="00586986"/>
    <w:rsid w:val="00590FA7"/>
    <w:rsid w:val="00591C19"/>
    <w:rsid w:val="00594A53"/>
    <w:rsid w:val="00595BC5"/>
    <w:rsid w:val="00595FBF"/>
    <w:rsid w:val="005A05EB"/>
    <w:rsid w:val="005A1973"/>
    <w:rsid w:val="005A3D90"/>
    <w:rsid w:val="005A72AA"/>
    <w:rsid w:val="005B0B96"/>
    <w:rsid w:val="005B426E"/>
    <w:rsid w:val="005B500B"/>
    <w:rsid w:val="005B6B7F"/>
    <w:rsid w:val="005C2441"/>
    <w:rsid w:val="005C394D"/>
    <w:rsid w:val="005C4E25"/>
    <w:rsid w:val="005C5A80"/>
    <w:rsid w:val="005C5D78"/>
    <w:rsid w:val="005C639D"/>
    <w:rsid w:val="005C76B7"/>
    <w:rsid w:val="005D0BE5"/>
    <w:rsid w:val="005D1801"/>
    <w:rsid w:val="005D3D41"/>
    <w:rsid w:val="005D7A0E"/>
    <w:rsid w:val="005E0744"/>
    <w:rsid w:val="005E0C30"/>
    <w:rsid w:val="005E125B"/>
    <w:rsid w:val="005E360C"/>
    <w:rsid w:val="005E3A3B"/>
    <w:rsid w:val="005F03CA"/>
    <w:rsid w:val="005F0641"/>
    <w:rsid w:val="005F443D"/>
    <w:rsid w:val="005F5764"/>
    <w:rsid w:val="005F6860"/>
    <w:rsid w:val="00600132"/>
    <w:rsid w:val="0060024E"/>
    <w:rsid w:val="00601E37"/>
    <w:rsid w:val="0060256A"/>
    <w:rsid w:val="006031CD"/>
    <w:rsid w:val="006034E2"/>
    <w:rsid w:val="006035F9"/>
    <w:rsid w:val="0060441D"/>
    <w:rsid w:val="00604ABD"/>
    <w:rsid w:val="00604E50"/>
    <w:rsid w:val="00605495"/>
    <w:rsid w:val="00610819"/>
    <w:rsid w:val="00610AC8"/>
    <w:rsid w:val="0061160A"/>
    <w:rsid w:val="006165A5"/>
    <w:rsid w:val="00617904"/>
    <w:rsid w:val="006208E6"/>
    <w:rsid w:val="0062207B"/>
    <w:rsid w:val="006242A5"/>
    <w:rsid w:val="006246A9"/>
    <w:rsid w:val="00624B15"/>
    <w:rsid w:val="0062527E"/>
    <w:rsid w:val="006300B5"/>
    <w:rsid w:val="006300C2"/>
    <w:rsid w:val="00634617"/>
    <w:rsid w:val="00634FA8"/>
    <w:rsid w:val="00635451"/>
    <w:rsid w:val="006365D0"/>
    <w:rsid w:val="006402EC"/>
    <w:rsid w:val="0064046C"/>
    <w:rsid w:val="006415B9"/>
    <w:rsid w:val="00645A2F"/>
    <w:rsid w:val="00647F62"/>
    <w:rsid w:val="00647F6D"/>
    <w:rsid w:val="006520C7"/>
    <w:rsid w:val="0065341F"/>
    <w:rsid w:val="00653B25"/>
    <w:rsid w:val="00655DC6"/>
    <w:rsid w:val="00655F4D"/>
    <w:rsid w:val="00656459"/>
    <w:rsid w:val="0066134F"/>
    <w:rsid w:val="0066368E"/>
    <w:rsid w:val="00663C43"/>
    <w:rsid w:val="006644A9"/>
    <w:rsid w:val="00665391"/>
    <w:rsid w:val="0067014A"/>
    <w:rsid w:val="00673A86"/>
    <w:rsid w:val="00673CC9"/>
    <w:rsid w:val="00673D70"/>
    <w:rsid w:val="00677C8D"/>
    <w:rsid w:val="006845F9"/>
    <w:rsid w:val="00685137"/>
    <w:rsid w:val="006904DC"/>
    <w:rsid w:val="00694DAB"/>
    <w:rsid w:val="006964B0"/>
    <w:rsid w:val="00696C4F"/>
    <w:rsid w:val="00696DA0"/>
    <w:rsid w:val="0069758C"/>
    <w:rsid w:val="00697BF8"/>
    <w:rsid w:val="006A012D"/>
    <w:rsid w:val="006A07EA"/>
    <w:rsid w:val="006A188B"/>
    <w:rsid w:val="006A24FF"/>
    <w:rsid w:val="006A33A3"/>
    <w:rsid w:val="006A39AB"/>
    <w:rsid w:val="006A45EA"/>
    <w:rsid w:val="006A630B"/>
    <w:rsid w:val="006A7C03"/>
    <w:rsid w:val="006B2F19"/>
    <w:rsid w:val="006B4FAA"/>
    <w:rsid w:val="006B513C"/>
    <w:rsid w:val="006B6458"/>
    <w:rsid w:val="006B64BF"/>
    <w:rsid w:val="006B6CD0"/>
    <w:rsid w:val="006B6EDE"/>
    <w:rsid w:val="006C3723"/>
    <w:rsid w:val="006C465B"/>
    <w:rsid w:val="006C4C17"/>
    <w:rsid w:val="006C7E5F"/>
    <w:rsid w:val="006D0C8A"/>
    <w:rsid w:val="006D1A32"/>
    <w:rsid w:val="006D42DA"/>
    <w:rsid w:val="006D74B5"/>
    <w:rsid w:val="006D766E"/>
    <w:rsid w:val="006E0E18"/>
    <w:rsid w:val="006E38C1"/>
    <w:rsid w:val="006E5457"/>
    <w:rsid w:val="006F40EA"/>
    <w:rsid w:val="006F6266"/>
    <w:rsid w:val="007004CC"/>
    <w:rsid w:val="00702C5A"/>
    <w:rsid w:val="00704652"/>
    <w:rsid w:val="00704B79"/>
    <w:rsid w:val="00710880"/>
    <w:rsid w:val="007108C3"/>
    <w:rsid w:val="007153AB"/>
    <w:rsid w:val="00716FBE"/>
    <w:rsid w:val="00717723"/>
    <w:rsid w:val="007222CF"/>
    <w:rsid w:val="0072272F"/>
    <w:rsid w:val="00724074"/>
    <w:rsid w:val="00730B23"/>
    <w:rsid w:val="00731357"/>
    <w:rsid w:val="00734332"/>
    <w:rsid w:val="0073504D"/>
    <w:rsid w:val="007417DD"/>
    <w:rsid w:val="007444A3"/>
    <w:rsid w:val="00744F35"/>
    <w:rsid w:val="00747C00"/>
    <w:rsid w:val="00751AE8"/>
    <w:rsid w:val="00753D40"/>
    <w:rsid w:val="007608D8"/>
    <w:rsid w:val="00761C88"/>
    <w:rsid w:val="00762A8D"/>
    <w:rsid w:val="0076370D"/>
    <w:rsid w:val="0076482E"/>
    <w:rsid w:val="007657A1"/>
    <w:rsid w:val="007666F4"/>
    <w:rsid w:val="007669B0"/>
    <w:rsid w:val="00767A54"/>
    <w:rsid w:val="0077038F"/>
    <w:rsid w:val="007772CC"/>
    <w:rsid w:val="0078007F"/>
    <w:rsid w:val="00780BE7"/>
    <w:rsid w:val="00783F24"/>
    <w:rsid w:val="0078480B"/>
    <w:rsid w:val="007868C4"/>
    <w:rsid w:val="00787D22"/>
    <w:rsid w:val="00792C8E"/>
    <w:rsid w:val="007932C1"/>
    <w:rsid w:val="0079386A"/>
    <w:rsid w:val="00795305"/>
    <w:rsid w:val="00796A8E"/>
    <w:rsid w:val="007A196D"/>
    <w:rsid w:val="007A4518"/>
    <w:rsid w:val="007A4F17"/>
    <w:rsid w:val="007A4F77"/>
    <w:rsid w:val="007A5254"/>
    <w:rsid w:val="007A6F6C"/>
    <w:rsid w:val="007A78A7"/>
    <w:rsid w:val="007A7921"/>
    <w:rsid w:val="007B3AC6"/>
    <w:rsid w:val="007B5ECA"/>
    <w:rsid w:val="007B6885"/>
    <w:rsid w:val="007C17A7"/>
    <w:rsid w:val="007C29F7"/>
    <w:rsid w:val="007C3EEC"/>
    <w:rsid w:val="007C5499"/>
    <w:rsid w:val="007C5AD3"/>
    <w:rsid w:val="007C78B7"/>
    <w:rsid w:val="007D24C4"/>
    <w:rsid w:val="007D2E6A"/>
    <w:rsid w:val="007D586B"/>
    <w:rsid w:val="007D5E0A"/>
    <w:rsid w:val="007D7C7B"/>
    <w:rsid w:val="007E18FA"/>
    <w:rsid w:val="007E304E"/>
    <w:rsid w:val="007E3D89"/>
    <w:rsid w:val="007E46AE"/>
    <w:rsid w:val="007E5210"/>
    <w:rsid w:val="007E7AFA"/>
    <w:rsid w:val="007F23CE"/>
    <w:rsid w:val="007F258C"/>
    <w:rsid w:val="007F3C8D"/>
    <w:rsid w:val="007F4A1D"/>
    <w:rsid w:val="007F5F1E"/>
    <w:rsid w:val="007F621D"/>
    <w:rsid w:val="007F6537"/>
    <w:rsid w:val="00802C43"/>
    <w:rsid w:val="0080697C"/>
    <w:rsid w:val="00810F2C"/>
    <w:rsid w:val="008134C8"/>
    <w:rsid w:val="00816CF9"/>
    <w:rsid w:val="00817A2B"/>
    <w:rsid w:val="00826ECD"/>
    <w:rsid w:val="00835605"/>
    <w:rsid w:val="00835A0F"/>
    <w:rsid w:val="00836679"/>
    <w:rsid w:val="00837F18"/>
    <w:rsid w:val="008446CE"/>
    <w:rsid w:val="00844846"/>
    <w:rsid w:val="008470B8"/>
    <w:rsid w:val="0084786F"/>
    <w:rsid w:val="0085025D"/>
    <w:rsid w:val="00852178"/>
    <w:rsid w:val="00853FF3"/>
    <w:rsid w:val="0085451D"/>
    <w:rsid w:val="00854EC8"/>
    <w:rsid w:val="008603B4"/>
    <w:rsid w:val="00861579"/>
    <w:rsid w:val="00861CF6"/>
    <w:rsid w:val="008640BE"/>
    <w:rsid w:val="008642D7"/>
    <w:rsid w:val="0086531E"/>
    <w:rsid w:val="00865C17"/>
    <w:rsid w:val="00867748"/>
    <w:rsid w:val="00870BAC"/>
    <w:rsid w:val="00872D3A"/>
    <w:rsid w:val="00874731"/>
    <w:rsid w:val="008748B6"/>
    <w:rsid w:val="00875AA2"/>
    <w:rsid w:val="00875D2D"/>
    <w:rsid w:val="00876D5E"/>
    <w:rsid w:val="0088069E"/>
    <w:rsid w:val="00880CB5"/>
    <w:rsid w:val="008822A8"/>
    <w:rsid w:val="00882652"/>
    <w:rsid w:val="00884D77"/>
    <w:rsid w:val="008858E6"/>
    <w:rsid w:val="00885F41"/>
    <w:rsid w:val="008915FF"/>
    <w:rsid w:val="00895AA1"/>
    <w:rsid w:val="00896C72"/>
    <w:rsid w:val="008971FD"/>
    <w:rsid w:val="008976D5"/>
    <w:rsid w:val="008A71B7"/>
    <w:rsid w:val="008A7260"/>
    <w:rsid w:val="008A7B66"/>
    <w:rsid w:val="008B026E"/>
    <w:rsid w:val="008B22EF"/>
    <w:rsid w:val="008B38BA"/>
    <w:rsid w:val="008B3D2F"/>
    <w:rsid w:val="008B4249"/>
    <w:rsid w:val="008C0422"/>
    <w:rsid w:val="008C04D4"/>
    <w:rsid w:val="008C394A"/>
    <w:rsid w:val="008C3A79"/>
    <w:rsid w:val="008C3E90"/>
    <w:rsid w:val="008C4CE3"/>
    <w:rsid w:val="008C6B4B"/>
    <w:rsid w:val="008C7168"/>
    <w:rsid w:val="008D006F"/>
    <w:rsid w:val="008D1040"/>
    <w:rsid w:val="008D2798"/>
    <w:rsid w:val="008D4335"/>
    <w:rsid w:val="008E0A8C"/>
    <w:rsid w:val="008E1387"/>
    <w:rsid w:val="008E2435"/>
    <w:rsid w:val="008E2700"/>
    <w:rsid w:val="008E4C20"/>
    <w:rsid w:val="008F3AD2"/>
    <w:rsid w:val="008F78FD"/>
    <w:rsid w:val="00902473"/>
    <w:rsid w:val="00902D37"/>
    <w:rsid w:val="00902F4F"/>
    <w:rsid w:val="00902F7B"/>
    <w:rsid w:val="00905226"/>
    <w:rsid w:val="00907FB7"/>
    <w:rsid w:val="009117E9"/>
    <w:rsid w:val="00913843"/>
    <w:rsid w:val="00914CC1"/>
    <w:rsid w:val="009154A1"/>
    <w:rsid w:val="00915FA5"/>
    <w:rsid w:val="00916539"/>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EA7"/>
    <w:rsid w:val="00936F56"/>
    <w:rsid w:val="00940A1A"/>
    <w:rsid w:val="00941A7C"/>
    <w:rsid w:val="00941EDA"/>
    <w:rsid w:val="00944FB6"/>
    <w:rsid w:val="00945C9B"/>
    <w:rsid w:val="00947B76"/>
    <w:rsid w:val="00951308"/>
    <w:rsid w:val="00952A4F"/>
    <w:rsid w:val="00954097"/>
    <w:rsid w:val="00955C4C"/>
    <w:rsid w:val="009567F0"/>
    <w:rsid w:val="00956D53"/>
    <w:rsid w:val="00956E53"/>
    <w:rsid w:val="00961D71"/>
    <w:rsid w:val="00961E03"/>
    <w:rsid w:val="00963A67"/>
    <w:rsid w:val="009642DF"/>
    <w:rsid w:val="00966166"/>
    <w:rsid w:val="00966914"/>
    <w:rsid w:val="00966C76"/>
    <w:rsid w:val="00972A6B"/>
    <w:rsid w:val="00974073"/>
    <w:rsid w:val="00976852"/>
    <w:rsid w:val="00981405"/>
    <w:rsid w:val="009824C8"/>
    <w:rsid w:val="00986111"/>
    <w:rsid w:val="00987852"/>
    <w:rsid w:val="00993204"/>
    <w:rsid w:val="00993D85"/>
    <w:rsid w:val="009946BE"/>
    <w:rsid w:val="009956B4"/>
    <w:rsid w:val="0099600D"/>
    <w:rsid w:val="00997C03"/>
    <w:rsid w:val="009A08DF"/>
    <w:rsid w:val="009A64C4"/>
    <w:rsid w:val="009A7DED"/>
    <w:rsid w:val="009B0CFA"/>
    <w:rsid w:val="009C1CD7"/>
    <w:rsid w:val="009C20D0"/>
    <w:rsid w:val="009C219D"/>
    <w:rsid w:val="009C4614"/>
    <w:rsid w:val="009C7D16"/>
    <w:rsid w:val="009D23EF"/>
    <w:rsid w:val="009D3A01"/>
    <w:rsid w:val="009D5ECA"/>
    <w:rsid w:val="009D6159"/>
    <w:rsid w:val="009D7F7A"/>
    <w:rsid w:val="009E1D8F"/>
    <w:rsid w:val="009E1EC0"/>
    <w:rsid w:val="009E2D53"/>
    <w:rsid w:val="009E6835"/>
    <w:rsid w:val="009E6C4F"/>
    <w:rsid w:val="009E70E6"/>
    <w:rsid w:val="009E7736"/>
    <w:rsid w:val="009F0EFA"/>
    <w:rsid w:val="009F11CF"/>
    <w:rsid w:val="009F1279"/>
    <w:rsid w:val="009F2C4D"/>
    <w:rsid w:val="009F68B5"/>
    <w:rsid w:val="009F75F1"/>
    <w:rsid w:val="009F76A0"/>
    <w:rsid w:val="009F79AF"/>
    <w:rsid w:val="00A00224"/>
    <w:rsid w:val="00A0449E"/>
    <w:rsid w:val="00A05B1C"/>
    <w:rsid w:val="00A07847"/>
    <w:rsid w:val="00A12857"/>
    <w:rsid w:val="00A1394F"/>
    <w:rsid w:val="00A16DCD"/>
    <w:rsid w:val="00A224BA"/>
    <w:rsid w:val="00A24811"/>
    <w:rsid w:val="00A251C7"/>
    <w:rsid w:val="00A25D6E"/>
    <w:rsid w:val="00A2656D"/>
    <w:rsid w:val="00A26996"/>
    <w:rsid w:val="00A274FC"/>
    <w:rsid w:val="00A309AC"/>
    <w:rsid w:val="00A3158E"/>
    <w:rsid w:val="00A33C7F"/>
    <w:rsid w:val="00A35945"/>
    <w:rsid w:val="00A35C59"/>
    <w:rsid w:val="00A4014F"/>
    <w:rsid w:val="00A42868"/>
    <w:rsid w:val="00A4417C"/>
    <w:rsid w:val="00A44A1E"/>
    <w:rsid w:val="00A4565A"/>
    <w:rsid w:val="00A476F6"/>
    <w:rsid w:val="00A50ED5"/>
    <w:rsid w:val="00A52CCD"/>
    <w:rsid w:val="00A543BB"/>
    <w:rsid w:val="00A545B2"/>
    <w:rsid w:val="00A554A0"/>
    <w:rsid w:val="00A56356"/>
    <w:rsid w:val="00A5745C"/>
    <w:rsid w:val="00A62943"/>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4604"/>
    <w:rsid w:val="00A850B7"/>
    <w:rsid w:val="00A8663A"/>
    <w:rsid w:val="00A869B2"/>
    <w:rsid w:val="00A90C30"/>
    <w:rsid w:val="00AA4BEA"/>
    <w:rsid w:val="00AA5215"/>
    <w:rsid w:val="00AA7474"/>
    <w:rsid w:val="00AB222F"/>
    <w:rsid w:val="00AB2280"/>
    <w:rsid w:val="00AB546D"/>
    <w:rsid w:val="00AB72B7"/>
    <w:rsid w:val="00AC1F01"/>
    <w:rsid w:val="00AC2D77"/>
    <w:rsid w:val="00AC3BFA"/>
    <w:rsid w:val="00AC6D46"/>
    <w:rsid w:val="00AD4831"/>
    <w:rsid w:val="00AD4C00"/>
    <w:rsid w:val="00AD4D03"/>
    <w:rsid w:val="00AD64D8"/>
    <w:rsid w:val="00AD7301"/>
    <w:rsid w:val="00AE00C7"/>
    <w:rsid w:val="00AE1D5D"/>
    <w:rsid w:val="00AE3E85"/>
    <w:rsid w:val="00AE4336"/>
    <w:rsid w:val="00AE6470"/>
    <w:rsid w:val="00AE6AFF"/>
    <w:rsid w:val="00AE7590"/>
    <w:rsid w:val="00AF0A9D"/>
    <w:rsid w:val="00AF3300"/>
    <w:rsid w:val="00AF4913"/>
    <w:rsid w:val="00AF59AC"/>
    <w:rsid w:val="00AF6C82"/>
    <w:rsid w:val="00AF7784"/>
    <w:rsid w:val="00B10B5D"/>
    <w:rsid w:val="00B11A17"/>
    <w:rsid w:val="00B12370"/>
    <w:rsid w:val="00B1359B"/>
    <w:rsid w:val="00B13D70"/>
    <w:rsid w:val="00B150ED"/>
    <w:rsid w:val="00B152B3"/>
    <w:rsid w:val="00B16B46"/>
    <w:rsid w:val="00B170A3"/>
    <w:rsid w:val="00B247C2"/>
    <w:rsid w:val="00B24A17"/>
    <w:rsid w:val="00B25FD4"/>
    <w:rsid w:val="00B27C06"/>
    <w:rsid w:val="00B308A5"/>
    <w:rsid w:val="00B377FF"/>
    <w:rsid w:val="00B37801"/>
    <w:rsid w:val="00B37A0A"/>
    <w:rsid w:val="00B41600"/>
    <w:rsid w:val="00B434BE"/>
    <w:rsid w:val="00B44C9A"/>
    <w:rsid w:val="00B4752D"/>
    <w:rsid w:val="00B518D4"/>
    <w:rsid w:val="00B51E41"/>
    <w:rsid w:val="00B52F52"/>
    <w:rsid w:val="00B53945"/>
    <w:rsid w:val="00B54B9F"/>
    <w:rsid w:val="00B61B0D"/>
    <w:rsid w:val="00B62AD9"/>
    <w:rsid w:val="00B62DB0"/>
    <w:rsid w:val="00B63FF7"/>
    <w:rsid w:val="00B64723"/>
    <w:rsid w:val="00B6608A"/>
    <w:rsid w:val="00B67B92"/>
    <w:rsid w:val="00B703C6"/>
    <w:rsid w:val="00B704AF"/>
    <w:rsid w:val="00B72250"/>
    <w:rsid w:val="00B74417"/>
    <w:rsid w:val="00B76E81"/>
    <w:rsid w:val="00B8044B"/>
    <w:rsid w:val="00B81452"/>
    <w:rsid w:val="00B8270B"/>
    <w:rsid w:val="00B82AC7"/>
    <w:rsid w:val="00B85869"/>
    <w:rsid w:val="00B8709A"/>
    <w:rsid w:val="00B92E2C"/>
    <w:rsid w:val="00B93C4E"/>
    <w:rsid w:val="00B93E9A"/>
    <w:rsid w:val="00B95605"/>
    <w:rsid w:val="00BA0548"/>
    <w:rsid w:val="00BA07D8"/>
    <w:rsid w:val="00BA0F90"/>
    <w:rsid w:val="00BA12B3"/>
    <w:rsid w:val="00BA2239"/>
    <w:rsid w:val="00BA2886"/>
    <w:rsid w:val="00BA4E0D"/>
    <w:rsid w:val="00BA76AF"/>
    <w:rsid w:val="00BB1AD4"/>
    <w:rsid w:val="00BB3145"/>
    <w:rsid w:val="00BB369E"/>
    <w:rsid w:val="00BB62F6"/>
    <w:rsid w:val="00BB7ACC"/>
    <w:rsid w:val="00BC2DFF"/>
    <w:rsid w:val="00BC41F2"/>
    <w:rsid w:val="00BC44EE"/>
    <w:rsid w:val="00BD0908"/>
    <w:rsid w:val="00BD0DCE"/>
    <w:rsid w:val="00BD2782"/>
    <w:rsid w:val="00BD3228"/>
    <w:rsid w:val="00BD33F2"/>
    <w:rsid w:val="00BD54BF"/>
    <w:rsid w:val="00BD7175"/>
    <w:rsid w:val="00BD73AE"/>
    <w:rsid w:val="00BE0DC8"/>
    <w:rsid w:val="00BE376C"/>
    <w:rsid w:val="00BE79D1"/>
    <w:rsid w:val="00BF13A7"/>
    <w:rsid w:val="00BF1D0D"/>
    <w:rsid w:val="00BF3958"/>
    <w:rsid w:val="00BF4169"/>
    <w:rsid w:val="00BF472E"/>
    <w:rsid w:val="00BF6F4D"/>
    <w:rsid w:val="00BF7146"/>
    <w:rsid w:val="00BF7DFA"/>
    <w:rsid w:val="00C012CA"/>
    <w:rsid w:val="00C033CD"/>
    <w:rsid w:val="00C03CD1"/>
    <w:rsid w:val="00C06943"/>
    <w:rsid w:val="00C07058"/>
    <w:rsid w:val="00C11584"/>
    <w:rsid w:val="00C12789"/>
    <w:rsid w:val="00C15933"/>
    <w:rsid w:val="00C167E7"/>
    <w:rsid w:val="00C20B4C"/>
    <w:rsid w:val="00C20CC5"/>
    <w:rsid w:val="00C2494E"/>
    <w:rsid w:val="00C24D28"/>
    <w:rsid w:val="00C27D47"/>
    <w:rsid w:val="00C307BD"/>
    <w:rsid w:val="00C33DA4"/>
    <w:rsid w:val="00C35789"/>
    <w:rsid w:val="00C35F07"/>
    <w:rsid w:val="00C42166"/>
    <w:rsid w:val="00C421CA"/>
    <w:rsid w:val="00C433B8"/>
    <w:rsid w:val="00C439A1"/>
    <w:rsid w:val="00C4446E"/>
    <w:rsid w:val="00C45C6A"/>
    <w:rsid w:val="00C463AE"/>
    <w:rsid w:val="00C51E36"/>
    <w:rsid w:val="00C604D0"/>
    <w:rsid w:val="00C61226"/>
    <w:rsid w:val="00C643AB"/>
    <w:rsid w:val="00C64C5A"/>
    <w:rsid w:val="00C65EDC"/>
    <w:rsid w:val="00C72EF9"/>
    <w:rsid w:val="00C819A4"/>
    <w:rsid w:val="00C8247E"/>
    <w:rsid w:val="00C83786"/>
    <w:rsid w:val="00C84B2D"/>
    <w:rsid w:val="00C85CCE"/>
    <w:rsid w:val="00C870AF"/>
    <w:rsid w:val="00C903D3"/>
    <w:rsid w:val="00C91877"/>
    <w:rsid w:val="00C91CCF"/>
    <w:rsid w:val="00C926AF"/>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3C21"/>
    <w:rsid w:val="00CF08B0"/>
    <w:rsid w:val="00CF2576"/>
    <w:rsid w:val="00CF2B13"/>
    <w:rsid w:val="00CF4EFD"/>
    <w:rsid w:val="00CF5802"/>
    <w:rsid w:val="00CF734C"/>
    <w:rsid w:val="00D048A7"/>
    <w:rsid w:val="00D05C08"/>
    <w:rsid w:val="00D11E0B"/>
    <w:rsid w:val="00D13BFB"/>
    <w:rsid w:val="00D151CD"/>
    <w:rsid w:val="00D20003"/>
    <w:rsid w:val="00D22ADD"/>
    <w:rsid w:val="00D244DC"/>
    <w:rsid w:val="00D269E0"/>
    <w:rsid w:val="00D379B4"/>
    <w:rsid w:val="00D40316"/>
    <w:rsid w:val="00D413BF"/>
    <w:rsid w:val="00D426B1"/>
    <w:rsid w:val="00D42D47"/>
    <w:rsid w:val="00D43BD4"/>
    <w:rsid w:val="00D44348"/>
    <w:rsid w:val="00D44AD6"/>
    <w:rsid w:val="00D46137"/>
    <w:rsid w:val="00D513B3"/>
    <w:rsid w:val="00D5404C"/>
    <w:rsid w:val="00D54736"/>
    <w:rsid w:val="00D54B65"/>
    <w:rsid w:val="00D60660"/>
    <w:rsid w:val="00D703FE"/>
    <w:rsid w:val="00D7165F"/>
    <w:rsid w:val="00D750EB"/>
    <w:rsid w:val="00D77AFE"/>
    <w:rsid w:val="00D77BBA"/>
    <w:rsid w:val="00D84F53"/>
    <w:rsid w:val="00D86EAE"/>
    <w:rsid w:val="00D90B08"/>
    <w:rsid w:val="00D92A24"/>
    <w:rsid w:val="00D936C9"/>
    <w:rsid w:val="00D93DF9"/>
    <w:rsid w:val="00D94AF5"/>
    <w:rsid w:val="00D94FA8"/>
    <w:rsid w:val="00D95312"/>
    <w:rsid w:val="00D97463"/>
    <w:rsid w:val="00DA26DF"/>
    <w:rsid w:val="00DA2FC4"/>
    <w:rsid w:val="00DA58BE"/>
    <w:rsid w:val="00DA6EC8"/>
    <w:rsid w:val="00DA71E2"/>
    <w:rsid w:val="00DA7E22"/>
    <w:rsid w:val="00DB0521"/>
    <w:rsid w:val="00DB32C6"/>
    <w:rsid w:val="00DB537B"/>
    <w:rsid w:val="00DB5DB6"/>
    <w:rsid w:val="00DC15F1"/>
    <w:rsid w:val="00DC220C"/>
    <w:rsid w:val="00DC294B"/>
    <w:rsid w:val="00DD0473"/>
    <w:rsid w:val="00DD0B1F"/>
    <w:rsid w:val="00DD1B2C"/>
    <w:rsid w:val="00DD281C"/>
    <w:rsid w:val="00DD53BD"/>
    <w:rsid w:val="00DE0C29"/>
    <w:rsid w:val="00DE2F75"/>
    <w:rsid w:val="00DE618E"/>
    <w:rsid w:val="00DF27DD"/>
    <w:rsid w:val="00E01601"/>
    <w:rsid w:val="00E02BE4"/>
    <w:rsid w:val="00E049B4"/>
    <w:rsid w:val="00E0514B"/>
    <w:rsid w:val="00E05A3F"/>
    <w:rsid w:val="00E05FB1"/>
    <w:rsid w:val="00E06DAD"/>
    <w:rsid w:val="00E103B0"/>
    <w:rsid w:val="00E1107B"/>
    <w:rsid w:val="00E12936"/>
    <w:rsid w:val="00E14542"/>
    <w:rsid w:val="00E147DD"/>
    <w:rsid w:val="00E15ACA"/>
    <w:rsid w:val="00E2569F"/>
    <w:rsid w:val="00E26E2E"/>
    <w:rsid w:val="00E33FE5"/>
    <w:rsid w:val="00E34A2A"/>
    <w:rsid w:val="00E35AF0"/>
    <w:rsid w:val="00E362B3"/>
    <w:rsid w:val="00E37EE7"/>
    <w:rsid w:val="00E422E3"/>
    <w:rsid w:val="00E43688"/>
    <w:rsid w:val="00E4452B"/>
    <w:rsid w:val="00E45616"/>
    <w:rsid w:val="00E456C6"/>
    <w:rsid w:val="00E47526"/>
    <w:rsid w:val="00E477DA"/>
    <w:rsid w:val="00E47B5C"/>
    <w:rsid w:val="00E50095"/>
    <w:rsid w:val="00E5289B"/>
    <w:rsid w:val="00E535FA"/>
    <w:rsid w:val="00E537AA"/>
    <w:rsid w:val="00E55F78"/>
    <w:rsid w:val="00E56BA7"/>
    <w:rsid w:val="00E5771D"/>
    <w:rsid w:val="00E60187"/>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4566"/>
    <w:rsid w:val="00E94860"/>
    <w:rsid w:val="00E9714F"/>
    <w:rsid w:val="00EA19C9"/>
    <w:rsid w:val="00EA4033"/>
    <w:rsid w:val="00EA63A7"/>
    <w:rsid w:val="00EA659F"/>
    <w:rsid w:val="00EA739D"/>
    <w:rsid w:val="00EB02E2"/>
    <w:rsid w:val="00EB1E10"/>
    <w:rsid w:val="00EB4B23"/>
    <w:rsid w:val="00EB6BEB"/>
    <w:rsid w:val="00EB6D37"/>
    <w:rsid w:val="00EB7547"/>
    <w:rsid w:val="00EB7684"/>
    <w:rsid w:val="00EC008D"/>
    <w:rsid w:val="00EC0FD6"/>
    <w:rsid w:val="00EC22C4"/>
    <w:rsid w:val="00EC2B23"/>
    <w:rsid w:val="00EC4A17"/>
    <w:rsid w:val="00EC6DDE"/>
    <w:rsid w:val="00EC744D"/>
    <w:rsid w:val="00ED10BE"/>
    <w:rsid w:val="00ED1D3A"/>
    <w:rsid w:val="00ED256B"/>
    <w:rsid w:val="00ED44D2"/>
    <w:rsid w:val="00ED6A59"/>
    <w:rsid w:val="00EE0440"/>
    <w:rsid w:val="00EE08E8"/>
    <w:rsid w:val="00EE6196"/>
    <w:rsid w:val="00EE77A2"/>
    <w:rsid w:val="00EF0867"/>
    <w:rsid w:val="00EF153A"/>
    <w:rsid w:val="00EF31CF"/>
    <w:rsid w:val="00EF478C"/>
    <w:rsid w:val="00EF4C0F"/>
    <w:rsid w:val="00EF5557"/>
    <w:rsid w:val="00EF63BE"/>
    <w:rsid w:val="00EF7692"/>
    <w:rsid w:val="00F03AEF"/>
    <w:rsid w:val="00F0550D"/>
    <w:rsid w:val="00F115B7"/>
    <w:rsid w:val="00F12144"/>
    <w:rsid w:val="00F12DCE"/>
    <w:rsid w:val="00F12FAD"/>
    <w:rsid w:val="00F13B57"/>
    <w:rsid w:val="00F141EC"/>
    <w:rsid w:val="00F142CB"/>
    <w:rsid w:val="00F1485E"/>
    <w:rsid w:val="00F16A17"/>
    <w:rsid w:val="00F20E96"/>
    <w:rsid w:val="00F212B3"/>
    <w:rsid w:val="00F25685"/>
    <w:rsid w:val="00F25A51"/>
    <w:rsid w:val="00F260C9"/>
    <w:rsid w:val="00F26841"/>
    <w:rsid w:val="00F272B2"/>
    <w:rsid w:val="00F27CCD"/>
    <w:rsid w:val="00F304EB"/>
    <w:rsid w:val="00F30B11"/>
    <w:rsid w:val="00F31418"/>
    <w:rsid w:val="00F32DEE"/>
    <w:rsid w:val="00F34519"/>
    <w:rsid w:val="00F35998"/>
    <w:rsid w:val="00F44C19"/>
    <w:rsid w:val="00F44F26"/>
    <w:rsid w:val="00F455C2"/>
    <w:rsid w:val="00F457C3"/>
    <w:rsid w:val="00F45C7C"/>
    <w:rsid w:val="00F47CAA"/>
    <w:rsid w:val="00F502E9"/>
    <w:rsid w:val="00F5385D"/>
    <w:rsid w:val="00F538CE"/>
    <w:rsid w:val="00F56C07"/>
    <w:rsid w:val="00F573A4"/>
    <w:rsid w:val="00F62442"/>
    <w:rsid w:val="00F65186"/>
    <w:rsid w:val="00F654F5"/>
    <w:rsid w:val="00F67904"/>
    <w:rsid w:val="00F67DD9"/>
    <w:rsid w:val="00F7009B"/>
    <w:rsid w:val="00F70C0E"/>
    <w:rsid w:val="00F7137F"/>
    <w:rsid w:val="00F724E2"/>
    <w:rsid w:val="00F73835"/>
    <w:rsid w:val="00F73A5A"/>
    <w:rsid w:val="00F742F9"/>
    <w:rsid w:val="00F7764C"/>
    <w:rsid w:val="00F819EA"/>
    <w:rsid w:val="00F82744"/>
    <w:rsid w:val="00F828C2"/>
    <w:rsid w:val="00F82F67"/>
    <w:rsid w:val="00F848B6"/>
    <w:rsid w:val="00F8507F"/>
    <w:rsid w:val="00F864B6"/>
    <w:rsid w:val="00F90544"/>
    <w:rsid w:val="00F9421B"/>
    <w:rsid w:val="00F94FF9"/>
    <w:rsid w:val="00F95D36"/>
    <w:rsid w:val="00F9791A"/>
    <w:rsid w:val="00FA02D8"/>
    <w:rsid w:val="00FA2355"/>
    <w:rsid w:val="00FA2933"/>
    <w:rsid w:val="00FB05EA"/>
    <w:rsid w:val="00FB2AE2"/>
    <w:rsid w:val="00FB6194"/>
    <w:rsid w:val="00FB6821"/>
    <w:rsid w:val="00FC18CE"/>
    <w:rsid w:val="00FC3370"/>
    <w:rsid w:val="00FC372B"/>
    <w:rsid w:val="00FC3B5B"/>
    <w:rsid w:val="00FC3C0B"/>
    <w:rsid w:val="00FC43F4"/>
    <w:rsid w:val="00FC527B"/>
    <w:rsid w:val="00FC62E0"/>
    <w:rsid w:val="00FD0195"/>
    <w:rsid w:val="00FD2584"/>
    <w:rsid w:val="00FD4657"/>
    <w:rsid w:val="00FD489F"/>
    <w:rsid w:val="00FD78CF"/>
    <w:rsid w:val="00FD7E27"/>
    <w:rsid w:val="00FE0CE3"/>
    <w:rsid w:val="00FE18BF"/>
    <w:rsid w:val="00FE49B3"/>
    <w:rsid w:val="00FE6063"/>
    <w:rsid w:val="00FE7CB2"/>
    <w:rsid w:val="00FF1414"/>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footnote reference" w:qFormat="1"/>
    <w:lsdException w:name="page number" w:uiPriority="99"/>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209"/>
    <w:pPr>
      <w:suppressAutoHyphens/>
      <w:spacing w:line="240" w:lineRule="exact"/>
    </w:pPr>
    <w:rPr>
      <w:spacing w:val="4"/>
      <w:w w:val="103"/>
      <w:kern w:val="14"/>
      <w:lang w:val="en-GB"/>
    </w:rPr>
  </w:style>
  <w:style w:type="paragraph" w:styleId="Heading1">
    <w:name w:val="heading 1"/>
    <w:aliases w:val="Table_G"/>
    <w:basedOn w:val="SingleTxtG"/>
    <w:next w:val="SingleTxtG"/>
    <w:link w:val="Heading1Char"/>
    <w:uiPriority w:val="9"/>
    <w:qFormat/>
    <w:rsid w:val="00B62AD9"/>
    <w:pPr>
      <w:spacing w:after="0" w:line="240" w:lineRule="auto"/>
      <w:ind w:right="0"/>
      <w:jc w:val="left"/>
      <w:outlineLvl w:val="0"/>
    </w:pPr>
    <w:rPr>
      <w:rFonts w:eastAsia="SimSun"/>
      <w:lang w:eastAsia="zh-CN"/>
    </w:rPr>
  </w:style>
  <w:style w:type="paragraph" w:styleId="Heading2">
    <w:name w:val="heading 2"/>
    <w:basedOn w:val="Normal"/>
    <w:next w:val="Normal"/>
    <w:link w:val="Heading2Char"/>
    <w:uiPriority w:val="9"/>
    <w:qFormat/>
    <w:rsid w:val="00B62AD9"/>
    <w:pPr>
      <w:spacing w:line="240" w:lineRule="auto"/>
      <w:outlineLvl w:val="1"/>
    </w:pPr>
    <w:rPr>
      <w:rFonts w:eastAsia="SimSun"/>
      <w:spacing w:val="0"/>
      <w:w w:val="100"/>
      <w:kern w:val="0"/>
    </w:rPr>
  </w:style>
  <w:style w:type="paragraph" w:styleId="Heading3">
    <w:name w:val="heading 3"/>
    <w:basedOn w:val="Normal"/>
    <w:next w:val="Normal"/>
    <w:link w:val="Heading3Char"/>
    <w:uiPriority w:val="9"/>
    <w:qFormat/>
    <w:rsid w:val="00B62AD9"/>
    <w:pPr>
      <w:spacing w:line="240" w:lineRule="auto"/>
      <w:outlineLvl w:val="2"/>
    </w:pPr>
    <w:rPr>
      <w:rFonts w:eastAsia="SimSun"/>
      <w:spacing w:val="0"/>
      <w:w w:val="100"/>
      <w:kern w:val="0"/>
    </w:rPr>
  </w:style>
  <w:style w:type="paragraph" w:styleId="Heading4">
    <w:name w:val="heading 4"/>
    <w:basedOn w:val="Normal"/>
    <w:next w:val="Normal"/>
    <w:link w:val="Heading4Char"/>
    <w:uiPriority w:val="9"/>
    <w:qFormat/>
    <w:rsid w:val="00B62AD9"/>
    <w:pPr>
      <w:spacing w:line="240" w:lineRule="auto"/>
      <w:outlineLvl w:val="3"/>
    </w:pPr>
    <w:rPr>
      <w:rFonts w:eastAsia="SimSun"/>
      <w:spacing w:val="0"/>
      <w:w w:val="100"/>
      <w:kern w:val="0"/>
    </w:rPr>
  </w:style>
  <w:style w:type="paragraph" w:styleId="Heading5">
    <w:name w:val="heading 5"/>
    <w:basedOn w:val="Normal"/>
    <w:next w:val="Normal"/>
    <w:link w:val="Heading5Char"/>
    <w:uiPriority w:val="9"/>
    <w:qFormat/>
    <w:rsid w:val="00B62AD9"/>
    <w:pPr>
      <w:spacing w:line="240" w:lineRule="auto"/>
      <w:outlineLvl w:val="4"/>
    </w:pPr>
    <w:rPr>
      <w:rFonts w:eastAsia="SimSun"/>
      <w:spacing w:val="0"/>
      <w:w w:val="100"/>
      <w:kern w:val="0"/>
    </w:rPr>
  </w:style>
  <w:style w:type="paragraph" w:styleId="Heading6">
    <w:name w:val="heading 6"/>
    <w:basedOn w:val="Normal"/>
    <w:next w:val="Normal"/>
    <w:link w:val="Heading6Char"/>
    <w:uiPriority w:val="9"/>
    <w:qFormat/>
    <w:rsid w:val="00B62AD9"/>
    <w:pPr>
      <w:spacing w:line="240" w:lineRule="auto"/>
      <w:outlineLvl w:val="5"/>
    </w:pPr>
    <w:rPr>
      <w:rFonts w:eastAsia="SimSun"/>
      <w:spacing w:val="0"/>
      <w:w w:val="100"/>
      <w:kern w:val="0"/>
    </w:rPr>
  </w:style>
  <w:style w:type="paragraph" w:styleId="Heading7">
    <w:name w:val="heading 7"/>
    <w:basedOn w:val="Normal"/>
    <w:next w:val="Normal"/>
    <w:link w:val="Heading7Char"/>
    <w:unhideWhenUsed/>
    <w:qFormat/>
    <w:rsid w:val="00D4613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46137"/>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D4613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2742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274209"/>
    <w:pPr>
      <w:spacing w:line="300" w:lineRule="exact"/>
      <w:ind w:left="0" w:right="0" w:firstLine="0"/>
    </w:pPr>
    <w:rPr>
      <w:spacing w:val="-2"/>
      <w:sz w:val="28"/>
    </w:rPr>
  </w:style>
  <w:style w:type="paragraph" w:customStyle="1" w:styleId="HM">
    <w:name w:val="_ H __M"/>
    <w:basedOn w:val="HCh"/>
    <w:next w:val="SingleTxt"/>
    <w:rsid w:val="00274209"/>
    <w:pPr>
      <w:spacing w:line="360" w:lineRule="exact"/>
    </w:pPr>
    <w:rPr>
      <w:spacing w:val="-3"/>
      <w:w w:val="99"/>
      <w:sz w:val="34"/>
    </w:rPr>
  </w:style>
  <w:style w:type="paragraph" w:customStyle="1" w:styleId="H23">
    <w:name w:val="_ H_2/3"/>
    <w:basedOn w:val="H1"/>
    <w:next w:val="SingleTxt"/>
    <w:rsid w:val="00274209"/>
    <w:pPr>
      <w:spacing w:line="240" w:lineRule="exact"/>
      <w:outlineLvl w:val="1"/>
    </w:pPr>
    <w:rPr>
      <w:spacing w:val="2"/>
      <w:sz w:val="20"/>
    </w:rPr>
  </w:style>
  <w:style w:type="paragraph" w:customStyle="1" w:styleId="H4">
    <w:name w:val="_ H_4"/>
    <w:basedOn w:val="Normal"/>
    <w:next w:val="SingleTxt"/>
    <w:rsid w:val="002742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2742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27420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27420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274209"/>
    <w:pPr>
      <w:spacing w:line="540" w:lineRule="exact"/>
    </w:pPr>
    <w:rPr>
      <w:spacing w:val="-8"/>
      <w:w w:val="96"/>
      <w:sz w:val="57"/>
    </w:rPr>
  </w:style>
  <w:style w:type="paragraph" w:customStyle="1" w:styleId="SS">
    <w:name w:val="__S_S"/>
    <w:basedOn w:val="HCh"/>
    <w:next w:val="Normal"/>
    <w:rsid w:val="00274209"/>
    <w:pPr>
      <w:ind w:left="1267" w:right="1267"/>
    </w:pPr>
  </w:style>
  <w:style w:type="paragraph" w:customStyle="1" w:styleId="SingleTxt">
    <w:name w:val="__Single Txt"/>
    <w:basedOn w:val="Normal"/>
    <w:rsid w:val="0027420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FootnoteReference">
    <w:name w:val="footnote reference"/>
    <w:rsid w:val="00397032"/>
    <w:rPr>
      <w:color w:val="943634" w:themeColor="accent2" w:themeShade="BF"/>
      <w:spacing w:val="-5"/>
      <w:w w:val="130"/>
      <w:position w:val="-4"/>
      <w:sz w:val="17"/>
      <w:vertAlign w:val="superscript"/>
    </w:rPr>
  </w:style>
  <w:style w:type="character" w:styleId="EndnoteReference">
    <w:name w:val="endnote reference"/>
    <w:rsid w:val="0027420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qFormat/>
    <w:rsid w:val="00D94FA8"/>
    <w:pPr>
      <w:tabs>
        <w:tab w:val="right" w:pos="1195"/>
        <w:tab w:val="left" w:pos="1267"/>
        <w:tab w:val="left" w:pos="1742"/>
        <w:tab w:val="left" w:pos="2218"/>
        <w:tab w:val="left" w:pos="2693"/>
      </w:tabs>
      <w:spacing w:line="210" w:lineRule="exact"/>
      <w:ind w:left="1267" w:right="1267" w:hanging="432"/>
    </w:pPr>
    <w:rPr>
      <w:spacing w:val="5"/>
      <w:sz w:val="17"/>
      <w:szCs w:val="17"/>
    </w:rPr>
  </w:style>
  <w:style w:type="paragraph" w:styleId="EndnoteText">
    <w:name w:val="endnote text"/>
    <w:basedOn w:val="FootnoteText"/>
    <w:link w:val="EndnoteTextChar"/>
    <w:rsid w:val="00274209"/>
  </w:style>
  <w:style w:type="paragraph" w:styleId="Footer">
    <w:name w:val="footer"/>
    <w:link w:val="FooterChar"/>
    <w:rsid w:val="00274209"/>
    <w:pPr>
      <w:tabs>
        <w:tab w:val="center" w:pos="4320"/>
        <w:tab w:val="right" w:pos="8640"/>
      </w:tabs>
    </w:pPr>
    <w:rPr>
      <w:b/>
      <w:noProof/>
      <w:sz w:val="17"/>
    </w:rPr>
  </w:style>
  <w:style w:type="paragraph" w:styleId="Header">
    <w:name w:val="header"/>
    <w:link w:val="HeaderChar"/>
    <w:rsid w:val="00274209"/>
    <w:pPr>
      <w:tabs>
        <w:tab w:val="center" w:pos="4320"/>
        <w:tab w:val="right" w:pos="8640"/>
      </w:tabs>
    </w:pPr>
    <w:rPr>
      <w:noProof/>
      <w:sz w:val="17"/>
    </w:rPr>
  </w:style>
  <w:style w:type="character" w:styleId="CommentReference">
    <w:name w:val="annotation reference"/>
    <w:rsid w:val="00274209"/>
    <w:rPr>
      <w:sz w:val="6"/>
    </w:rPr>
  </w:style>
  <w:style w:type="paragraph" w:customStyle="1" w:styleId="Committee">
    <w:name w:val="Committee"/>
    <w:basedOn w:val="H1"/>
    <w:rsid w:val="00274209"/>
    <w:pPr>
      <w:ind w:left="0" w:firstLine="0"/>
    </w:pPr>
  </w:style>
  <w:style w:type="paragraph" w:customStyle="1" w:styleId="Distribution">
    <w:name w:val="Distribution"/>
    <w:next w:val="Normal"/>
    <w:rsid w:val="00274209"/>
    <w:pPr>
      <w:spacing w:before="240"/>
    </w:pPr>
    <w:rPr>
      <w:spacing w:val="4"/>
      <w:w w:val="103"/>
      <w:kern w:val="14"/>
      <w:lang w:val="en-GB"/>
    </w:rPr>
  </w:style>
  <w:style w:type="character" w:styleId="Hyperlink">
    <w:name w:val="Hyperlink"/>
    <w:basedOn w:val="DefaultParagraphFont"/>
    <w:rsid w:val="00274209"/>
    <w:rPr>
      <w:color w:val="0000FF" w:themeColor="hyperlink"/>
      <w:u w:val="none"/>
    </w:rPr>
  </w:style>
  <w:style w:type="character" w:styleId="LineNumber">
    <w:name w:val="line number"/>
    <w:rsid w:val="00274209"/>
    <w:rPr>
      <w:sz w:val="14"/>
    </w:rPr>
  </w:style>
  <w:style w:type="paragraph" w:customStyle="1" w:styleId="Original">
    <w:name w:val="Original"/>
    <w:next w:val="Normal"/>
    <w:rsid w:val="00274209"/>
    <w:rPr>
      <w:spacing w:val="4"/>
      <w:w w:val="103"/>
      <w:kern w:val="14"/>
      <w:lang w:val="en-GB"/>
    </w:rPr>
  </w:style>
  <w:style w:type="paragraph" w:styleId="PlainText">
    <w:name w:val="Plain Text"/>
    <w:basedOn w:val="Normal"/>
    <w:link w:val="PlainTextChar"/>
    <w:rsid w:val="0027420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274209"/>
    <w:rPr>
      <w:rFonts w:ascii="Courier New" w:eastAsia="Times New Roman" w:hAnsi="Courier New"/>
      <w:lang w:eastAsia="en-GB"/>
    </w:rPr>
  </w:style>
  <w:style w:type="paragraph" w:customStyle="1" w:styleId="Publication">
    <w:name w:val="Publication"/>
    <w:next w:val="Normal"/>
    <w:rsid w:val="00274209"/>
    <w:rPr>
      <w:spacing w:val="4"/>
      <w:w w:val="103"/>
      <w:kern w:val="14"/>
      <w:lang w:val="en-GB"/>
    </w:rPr>
  </w:style>
  <w:style w:type="paragraph" w:customStyle="1" w:styleId="ReleaseDate">
    <w:name w:val="Release Date"/>
    <w:next w:val="Footer"/>
    <w:rsid w:val="00274209"/>
    <w:rPr>
      <w:spacing w:val="4"/>
      <w:w w:val="103"/>
      <w:kern w:val="14"/>
      <w:lang w:val="en-GB"/>
    </w:rPr>
  </w:style>
  <w:style w:type="paragraph" w:customStyle="1" w:styleId="Session">
    <w:name w:val="Session"/>
    <w:basedOn w:val="H23"/>
    <w:rsid w:val="00274209"/>
    <w:pPr>
      <w:ind w:left="0" w:firstLine="0"/>
    </w:pPr>
    <w:rPr>
      <w:spacing w:val="4"/>
    </w:rPr>
  </w:style>
  <w:style w:type="paragraph" w:customStyle="1" w:styleId="Small">
    <w:name w:val="Small"/>
    <w:basedOn w:val="Normal"/>
    <w:next w:val="Normal"/>
    <w:rsid w:val="00274209"/>
    <w:pPr>
      <w:tabs>
        <w:tab w:val="right" w:pos="9965"/>
      </w:tabs>
      <w:spacing w:line="210" w:lineRule="exact"/>
    </w:pPr>
    <w:rPr>
      <w:spacing w:val="5"/>
      <w:w w:val="104"/>
      <w:sz w:val="17"/>
    </w:rPr>
  </w:style>
  <w:style w:type="paragraph" w:customStyle="1" w:styleId="SmallX">
    <w:name w:val="SmallX"/>
    <w:basedOn w:val="Small"/>
    <w:next w:val="Normal"/>
    <w:rsid w:val="00274209"/>
    <w:pPr>
      <w:spacing w:line="180" w:lineRule="exact"/>
      <w:jc w:val="right"/>
    </w:pPr>
    <w:rPr>
      <w:spacing w:val="6"/>
      <w:w w:val="106"/>
      <w:sz w:val="14"/>
    </w:rPr>
  </w:style>
  <w:style w:type="paragraph" w:customStyle="1" w:styleId="Sponsors">
    <w:name w:val="Sponsors"/>
    <w:basedOn w:val="H23"/>
    <w:rsid w:val="00274209"/>
  </w:style>
  <w:style w:type="table" w:styleId="TableGrid">
    <w:name w:val="Table Grid"/>
    <w:basedOn w:val="TableNormal"/>
    <w:rsid w:val="00274209"/>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Ch"/>
    <w:rsid w:val="00274209"/>
    <w:pPr>
      <w:ind w:left="1267" w:right="1267" w:hanging="1267"/>
    </w:pPr>
  </w:style>
  <w:style w:type="paragraph" w:customStyle="1" w:styleId="Bullet1">
    <w:name w:val="Bullet 1"/>
    <w:basedOn w:val="Normal"/>
    <w:qFormat/>
    <w:rsid w:val="00274209"/>
    <w:pPr>
      <w:numPr>
        <w:numId w:val="12"/>
      </w:numPr>
      <w:spacing w:after="120" w:line="240" w:lineRule="atLeast"/>
      <w:ind w:right="1267"/>
      <w:jc w:val="both"/>
    </w:pPr>
  </w:style>
  <w:style w:type="paragraph" w:customStyle="1" w:styleId="Bullet2">
    <w:name w:val="Bullet 2"/>
    <w:basedOn w:val="Normal"/>
    <w:qFormat/>
    <w:rsid w:val="00274209"/>
    <w:pPr>
      <w:numPr>
        <w:numId w:val="13"/>
      </w:numPr>
      <w:spacing w:after="120"/>
      <w:ind w:right="1264"/>
      <w:jc w:val="both"/>
    </w:pPr>
  </w:style>
  <w:style w:type="paragraph" w:customStyle="1" w:styleId="Bullet3">
    <w:name w:val="Bullet 3"/>
    <w:basedOn w:val="SingleTxt"/>
    <w:qFormat/>
    <w:rsid w:val="00274209"/>
    <w:pPr>
      <w:numPr>
        <w:numId w:val="1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Title2">
    <w:name w:val="Title 2"/>
    <w:basedOn w:val="H1"/>
    <w:rsid w:val="00274209"/>
    <w:pPr>
      <w:ind w:left="0" w:right="0" w:firstLine="0"/>
    </w:pPr>
  </w:style>
  <w:style w:type="paragraph" w:customStyle="1" w:styleId="Type">
    <w:name w:val="Type"/>
    <w:basedOn w:val="H23"/>
    <w:autoRedefine/>
    <w:rsid w:val="00274209"/>
    <w:pPr>
      <w:ind w:left="0" w:right="576" w:firstLine="0"/>
    </w:pPr>
  </w:style>
  <w:style w:type="character" w:customStyle="1" w:styleId="FootnoteCharacters">
    <w:name w:val="Footnote Characters"/>
    <w:rsid w:val="00397032"/>
    <w:rPr>
      <w:vertAlign w:val="superscript"/>
    </w:rPr>
  </w:style>
  <w:style w:type="paragraph" w:customStyle="1" w:styleId="SingleTxtG">
    <w:name w:val="_ Single Txt_G"/>
    <w:basedOn w:val="Normal"/>
    <w:qFormat/>
    <w:rsid w:val="00D46137"/>
    <w:pPr>
      <w:spacing w:after="120" w:line="240" w:lineRule="atLeast"/>
      <w:ind w:left="1134" w:right="1134"/>
      <w:jc w:val="both"/>
    </w:pPr>
    <w:rPr>
      <w:rFonts w:eastAsia="Times New Roman"/>
      <w:spacing w:val="0"/>
      <w:w w:val="100"/>
      <w:kern w:val="0"/>
      <w:lang w:eastAsia="en-US"/>
    </w:rPr>
  </w:style>
  <w:style w:type="character" w:customStyle="1" w:styleId="Heading7Char">
    <w:name w:val="Heading 7 Char"/>
    <w:basedOn w:val="DefaultParagraphFont"/>
    <w:link w:val="Heading7"/>
    <w:rsid w:val="00D46137"/>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rsid w:val="00D46137"/>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rsid w:val="00D46137"/>
    <w:rPr>
      <w:rFonts w:asciiTheme="majorHAnsi" w:eastAsiaTheme="majorEastAsia" w:hAnsiTheme="majorHAnsi" w:cstheme="majorBidi"/>
      <w:i/>
      <w:iCs/>
      <w:color w:val="404040" w:themeColor="text1" w:themeTint="BF"/>
      <w:spacing w:val="4"/>
      <w:w w:val="103"/>
      <w:kern w:val="14"/>
      <w:lang w:val="en-GB"/>
    </w:rPr>
  </w:style>
  <w:style w:type="paragraph" w:customStyle="1" w:styleId="Bullet1G">
    <w:name w:val="_Bullet 1_G"/>
    <w:basedOn w:val="Normal"/>
    <w:rsid w:val="00685137"/>
    <w:pPr>
      <w:numPr>
        <w:numId w:val="5"/>
      </w:numPr>
      <w:spacing w:after="120" w:line="240" w:lineRule="atLeast"/>
      <w:ind w:right="1134"/>
      <w:jc w:val="both"/>
    </w:pPr>
    <w:rPr>
      <w:rFonts w:eastAsia="Times New Roman"/>
      <w:spacing w:val="0"/>
      <w:w w:val="100"/>
      <w:kern w:val="0"/>
      <w:lang w:eastAsia="en-US"/>
    </w:rPr>
  </w:style>
  <w:style w:type="character" w:customStyle="1" w:styleId="Heading1Char">
    <w:name w:val="Heading 1 Char"/>
    <w:aliases w:val="Table_G Char"/>
    <w:basedOn w:val="DefaultParagraphFont"/>
    <w:link w:val="Heading1"/>
    <w:uiPriority w:val="9"/>
    <w:rsid w:val="00B62AD9"/>
    <w:rPr>
      <w:rFonts w:eastAsia="SimSun"/>
      <w:lang w:val="en-GB"/>
    </w:rPr>
  </w:style>
  <w:style w:type="character" w:customStyle="1" w:styleId="Heading2Char">
    <w:name w:val="Heading 2 Char"/>
    <w:basedOn w:val="DefaultParagraphFont"/>
    <w:link w:val="Heading2"/>
    <w:uiPriority w:val="9"/>
    <w:rsid w:val="00B62AD9"/>
    <w:rPr>
      <w:rFonts w:eastAsia="SimSun"/>
      <w:lang w:val="en-GB"/>
    </w:rPr>
  </w:style>
  <w:style w:type="character" w:customStyle="1" w:styleId="Heading3Char">
    <w:name w:val="Heading 3 Char"/>
    <w:basedOn w:val="DefaultParagraphFont"/>
    <w:link w:val="Heading3"/>
    <w:uiPriority w:val="9"/>
    <w:rsid w:val="00B62AD9"/>
    <w:rPr>
      <w:rFonts w:eastAsia="SimSun"/>
      <w:lang w:val="en-GB"/>
    </w:rPr>
  </w:style>
  <w:style w:type="character" w:customStyle="1" w:styleId="Heading4Char">
    <w:name w:val="Heading 4 Char"/>
    <w:basedOn w:val="DefaultParagraphFont"/>
    <w:link w:val="Heading4"/>
    <w:uiPriority w:val="9"/>
    <w:rsid w:val="00B62AD9"/>
    <w:rPr>
      <w:rFonts w:eastAsia="SimSun"/>
      <w:lang w:val="en-GB"/>
    </w:rPr>
  </w:style>
  <w:style w:type="character" w:customStyle="1" w:styleId="Heading5Char">
    <w:name w:val="Heading 5 Char"/>
    <w:basedOn w:val="DefaultParagraphFont"/>
    <w:link w:val="Heading5"/>
    <w:uiPriority w:val="9"/>
    <w:rsid w:val="00B62AD9"/>
    <w:rPr>
      <w:rFonts w:eastAsia="SimSun"/>
      <w:lang w:val="en-GB"/>
    </w:rPr>
  </w:style>
  <w:style w:type="character" w:customStyle="1" w:styleId="Heading6Char">
    <w:name w:val="Heading 6 Char"/>
    <w:basedOn w:val="DefaultParagraphFont"/>
    <w:link w:val="Heading6"/>
    <w:uiPriority w:val="9"/>
    <w:rsid w:val="00B62AD9"/>
    <w:rPr>
      <w:rFonts w:eastAsia="SimSun"/>
      <w:lang w:val="en-GB"/>
    </w:rPr>
  </w:style>
  <w:style w:type="character" w:customStyle="1" w:styleId="HeaderChar">
    <w:name w:val="Header Char"/>
    <w:link w:val="Header"/>
    <w:rsid w:val="00B62AD9"/>
    <w:rPr>
      <w:noProof/>
      <w:sz w:val="17"/>
    </w:rPr>
  </w:style>
  <w:style w:type="character" w:customStyle="1" w:styleId="FooterChar">
    <w:name w:val="Footer Char"/>
    <w:link w:val="Footer"/>
    <w:rsid w:val="00B62AD9"/>
    <w:rPr>
      <w:b/>
      <w:noProof/>
      <w:sz w:val="17"/>
    </w:rPr>
  </w:style>
  <w:style w:type="paragraph" w:customStyle="1" w:styleId="HMG">
    <w:name w:val="_ H __M_G"/>
    <w:basedOn w:val="Normal"/>
    <w:next w:val="Normal"/>
    <w:rsid w:val="00B62AD9"/>
    <w:pPr>
      <w:keepNext/>
      <w:keepLines/>
      <w:tabs>
        <w:tab w:val="right" w:pos="851"/>
      </w:tabs>
      <w:spacing w:before="240" w:after="240" w:line="360" w:lineRule="exact"/>
      <w:ind w:left="1134" w:right="1134" w:hanging="1134"/>
    </w:pPr>
    <w:rPr>
      <w:rFonts w:eastAsia="Times New Roman"/>
      <w:b/>
      <w:spacing w:val="0"/>
      <w:w w:val="100"/>
      <w:kern w:val="0"/>
      <w:sz w:val="34"/>
      <w:lang w:eastAsia="en-US"/>
    </w:rPr>
  </w:style>
  <w:style w:type="paragraph" w:customStyle="1" w:styleId="HChG">
    <w:name w:val="_ H _Ch_G"/>
    <w:basedOn w:val="Normal"/>
    <w:next w:val="Normal"/>
    <w:qFormat/>
    <w:rsid w:val="00B62AD9"/>
    <w:pPr>
      <w:keepNext/>
      <w:keepLines/>
      <w:tabs>
        <w:tab w:val="right" w:pos="851"/>
      </w:tabs>
      <w:spacing w:before="360" w:after="240" w:line="300" w:lineRule="exact"/>
      <w:ind w:left="1134" w:right="1134" w:hanging="1134"/>
    </w:pPr>
    <w:rPr>
      <w:rFonts w:eastAsia="Times New Roman"/>
      <w:b/>
      <w:spacing w:val="0"/>
      <w:w w:val="100"/>
      <w:kern w:val="0"/>
      <w:sz w:val="28"/>
      <w:lang w:eastAsia="en-US"/>
    </w:rPr>
  </w:style>
  <w:style w:type="paragraph" w:customStyle="1" w:styleId="H1G">
    <w:name w:val="_ H_1_G"/>
    <w:basedOn w:val="Normal"/>
    <w:next w:val="Normal"/>
    <w:qFormat/>
    <w:rsid w:val="00B62AD9"/>
    <w:pPr>
      <w:keepNext/>
      <w:keepLines/>
      <w:tabs>
        <w:tab w:val="right" w:pos="851"/>
      </w:tabs>
      <w:spacing w:before="360" w:after="240" w:line="270" w:lineRule="exact"/>
      <w:ind w:left="1134" w:right="1134" w:hanging="1134"/>
    </w:pPr>
    <w:rPr>
      <w:rFonts w:eastAsia="Times New Roman"/>
      <w:b/>
      <w:spacing w:val="0"/>
      <w:w w:val="100"/>
      <w:kern w:val="0"/>
      <w:sz w:val="24"/>
      <w:lang w:eastAsia="en-US"/>
    </w:rPr>
  </w:style>
  <w:style w:type="paragraph" w:customStyle="1" w:styleId="H23G">
    <w:name w:val="_ H_2/3_G"/>
    <w:basedOn w:val="Normal"/>
    <w:next w:val="Normal"/>
    <w:qFormat/>
    <w:rsid w:val="00B62AD9"/>
    <w:pPr>
      <w:keepNext/>
      <w:keepLines/>
      <w:tabs>
        <w:tab w:val="right" w:pos="851"/>
      </w:tabs>
      <w:spacing w:before="240" w:after="120"/>
      <w:ind w:left="1134" w:right="1134" w:hanging="1134"/>
    </w:pPr>
    <w:rPr>
      <w:rFonts w:eastAsia="Times New Roman"/>
      <w:b/>
      <w:spacing w:val="0"/>
      <w:w w:val="100"/>
      <w:kern w:val="0"/>
      <w:lang w:eastAsia="en-US"/>
    </w:rPr>
  </w:style>
  <w:style w:type="paragraph" w:customStyle="1" w:styleId="H4G">
    <w:name w:val="_ H_4_G"/>
    <w:basedOn w:val="Normal"/>
    <w:next w:val="Normal"/>
    <w:rsid w:val="00B62AD9"/>
    <w:pPr>
      <w:keepNext/>
      <w:keepLines/>
      <w:tabs>
        <w:tab w:val="right" w:pos="851"/>
      </w:tabs>
      <w:spacing w:before="240" w:after="120"/>
      <w:ind w:left="1134" w:right="1134" w:hanging="1134"/>
    </w:pPr>
    <w:rPr>
      <w:rFonts w:eastAsia="Times New Roman"/>
      <w:i/>
      <w:spacing w:val="0"/>
      <w:w w:val="100"/>
      <w:kern w:val="0"/>
      <w:lang w:eastAsia="en-US"/>
    </w:rPr>
  </w:style>
  <w:style w:type="paragraph" w:customStyle="1" w:styleId="H56G">
    <w:name w:val="_ H_5/6_G"/>
    <w:basedOn w:val="Normal"/>
    <w:next w:val="Normal"/>
    <w:rsid w:val="00B62AD9"/>
    <w:pPr>
      <w:keepNext/>
      <w:keepLines/>
      <w:tabs>
        <w:tab w:val="right" w:pos="851"/>
      </w:tabs>
      <w:spacing w:before="240" w:after="120"/>
      <w:ind w:left="1134" w:right="1134" w:hanging="1134"/>
    </w:pPr>
    <w:rPr>
      <w:rFonts w:eastAsia="Times New Roman"/>
      <w:spacing w:val="0"/>
      <w:w w:val="100"/>
      <w:kern w:val="0"/>
      <w:lang w:eastAsia="en-US"/>
    </w:rPr>
  </w:style>
  <w:style w:type="paragraph" w:customStyle="1" w:styleId="SLG">
    <w:name w:val="__S_L_G"/>
    <w:basedOn w:val="Normal"/>
    <w:next w:val="Normal"/>
    <w:rsid w:val="00B62AD9"/>
    <w:pPr>
      <w:keepNext/>
      <w:keepLines/>
      <w:spacing w:before="240" w:after="240" w:line="580" w:lineRule="exact"/>
      <w:ind w:left="1134" w:right="1134"/>
    </w:pPr>
    <w:rPr>
      <w:rFonts w:eastAsia="Times New Roman"/>
      <w:b/>
      <w:spacing w:val="0"/>
      <w:w w:val="100"/>
      <w:kern w:val="0"/>
      <w:sz w:val="56"/>
      <w:lang w:eastAsia="en-US"/>
    </w:rPr>
  </w:style>
  <w:style w:type="paragraph" w:customStyle="1" w:styleId="SMG">
    <w:name w:val="__S_M_G"/>
    <w:basedOn w:val="Normal"/>
    <w:next w:val="Normal"/>
    <w:rsid w:val="00B62AD9"/>
    <w:pPr>
      <w:keepNext/>
      <w:keepLines/>
      <w:spacing w:before="240" w:after="240" w:line="420" w:lineRule="exact"/>
      <w:ind w:left="1134" w:right="1134"/>
    </w:pPr>
    <w:rPr>
      <w:rFonts w:eastAsia="Times New Roman"/>
      <w:b/>
      <w:spacing w:val="0"/>
      <w:w w:val="100"/>
      <w:kern w:val="0"/>
      <w:sz w:val="40"/>
      <w:lang w:eastAsia="en-US"/>
    </w:rPr>
  </w:style>
  <w:style w:type="paragraph" w:customStyle="1" w:styleId="SSG">
    <w:name w:val="__S_S_G"/>
    <w:basedOn w:val="Normal"/>
    <w:next w:val="Normal"/>
    <w:rsid w:val="00B62AD9"/>
    <w:pPr>
      <w:keepNext/>
      <w:keepLines/>
      <w:spacing w:before="240" w:after="240" w:line="300" w:lineRule="exact"/>
      <w:ind w:left="1134" w:right="1134"/>
    </w:pPr>
    <w:rPr>
      <w:rFonts w:eastAsia="Times New Roman"/>
      <w:b/>
      <w:spacing w:val="0"/>
      <w:w w:val="100"/>
      <w:kern w:val="0"/>
      <w:sz w:val="28"/>
      <w:lang w:eastAsia="en-US"/>
    </w:rPr>
  </w:style>
  <w:style w:type="paragraph" w:customStyle="1" w:styleId="XLargeG">
    <w:name w:val="__XLarge_G"/>
    <w:basedOn w:val="Normal"/>
    <w:next w:val="Normal"/>
    <w:rsid w:val="00B62AD9"/>
    <w:pPr>
      <w:keepNext/>
      <w:keepLines/>
      <w:spacing w:before="240" w:after="240" w:line="420" w:lineRule="exact"/>
      <w:ind w:left="1134" w:right="1134"/>
    </w:pPr>
    <w:rPr>
      <w:rFonts w:eastAsia="SimSun"/>
      <w:b/>
      <w:spacing w:val="0"/>
      <w:w w:val="100"/>
      <w:kern w:val="0"/>
      <w:sz w:val="40"/>
    </w:rPr>
  </w:style>
  <w:style w:type="paragraph" w:customStyle="1" w:styleId="Bullet2G">
    <w:name w:val="_Bullet 2_G"/>
    <w:basedOn w:val="Normal"/>
    <w:rsid w:val="00B62AD9"/>
    <w:pPr>
      <w:numPr>
        <w:numId w:val="8"/>
      </w:numPr>
      <w:spacing w:after="120" w:line="240" w:lineRule="atLeast"/>
      <w:ind w:right="1134"/>
      <w:jc w:val="both"/>
    </w:pPr>
    <w:rPr>
      <w:rFonts w:eastAsia="Times New Roman"/>
      <w:spacing w:val="0"/>
      <w:w w:val="100"/>
      <w:kern w:val="0"/>
      <w:lang w:eastAsia="en-US"/>
    </w:rPr>
  </w:style>
  <w:style w:type="paragraph" w:customStyle="1" w:styleId="ParaNoG">
    <w:name w:val="_ParaNo._G"/>
    <w:basedOn w:val="SingleTxtG"/>
    <w:rsid w:val="00B62AD9"/>
    <w:pPr>
      <w:numPr>
        <w:numId w:val="9"/>
      </w:numPr>
    </w:pPr>
    <w:rPr>
      <w:rFonts w:eastAsia="SimSun"/>
      <w:lang w:eastAsia="zh-CN"/>
    </w:rPr>
  </w:style>
  <w:style w:type="numbering" w:styleId="111111">
    <w:name w:val="Outline List 2"/>
    <w:basedOn w:val="NoList"/>
    <w:rsid w:val="00B62AD9"/>
    <w:pPr>
      <w:numPr>
        <w:numId w:val="10"/>
      </w:numPr>
    </w:pPr>
  </w:style>
  <w:style w:type="numbering" w:styleId="1ai">
    <w:name w:val="Outline List 1"/>
    <w:basedOn w:val="NoList"/>
    <w:rsid w:val="00B62AD9"/>
    <w:pPr>
      <w:numPr>
        <w:numId w:val="11"/>
      </w:numPr>
    </w:pPr>
  </w:style>
  <w:style w:type="character" w:customStyle="1" w:styleId="FootnoteTextChar">
    <w:name w:val="Footnote Text Char"/>
    <w:link w:val="FootnoteText"/>
    <w:rsid w:val="00D94FA8"/>
    <w:rPr>
      <w:spacing w:val="5"/>
      <w:w w:val="103"/>
      <w:kern w:val="14"/>
      <w:sz w:val="17"/>
      <w:szCs w:val="17"/>
      <w:lang w:val="en-GB"/>
    </w:rPr>
  </w:style>
  <w:style w:type="character" w:customStyle="1" w:styleId="EndnoteTextChar">
    <w:name w:val="Endnote Text Char"/>
    <w:link w:val="EndnoteText"/>
    <w:rsid w:val="00B62AD9"/>
    <w:rPr>
      <w:spacing w:val="5"/>
      <w:w w:val="103"/>
      <w:kern w:val="14"/>
      <w:sz w:val="17"/>
      <w:lang w:val="en-GB"/>
    </w:rPr>
  </w:style>
  <w:style w:type="character" w:styleId="PageNumber">
    <w:name w:val="page number"/>
    <w:aliases w:val="7_G"/>
    <w:uiPriority w:val="99"/>
    <w:rsid w:val="00B62AD9"/>
    <w:rPr>
      <w:rFonts w:ascii="Times New Roman" w:hAnsi="Times New Roman"/>
      <w:b/>
      <w:sz w:val="18"/>
    </w:rPr>
  </w:style>
  <w:style w:type="paragraph" w:customStyle="1" w:styleId="Rvision">
    <w:name w:val="Révision"/>
    <w:hidden/>
    <w:semiHidden/>
    <w:rsid w:val="00B62AD9"/>
    <w:rPr>
      <w:rFonts w:eastAsia="Times New Roman"/>
      <w:lang w:val="en-GB" w:eastAsia="en-US"/>
    </w:rPr>
  </w:style>
  <w:style w:type="paragraph" w:styleId="Revision">
    <w:name w:val="Revision"/>
    <w:hidden/>
    <w:uiPriority w:val="99"/>
    <w:semiHidden/>
    <w:rsid w:val="00B62AD9"/>
    <w:rPr>
      <w:rFonts w:eastAsia="Times New Roman"/>
      <w:color w:val="000000"/>
      <w:sz w:val="24"/>
      <w:szCs w:val="24"/>
      <w:lang w:eastAsia="en-US"/>
    </w:rPr>
  </w:style>
  <w:style w:type="paragraph" w:customStyle="1" w:styleId="IndentFootnot">
    <w:name w:val="IndentFootnot"/>
    <w:basedOn w:val="FootnoteText"/>
    <w:qFormat/>
    <w:rsid w:val="00AF4913"/>
    <w:pPr>
      <w:tabs>
        <w:tab w:val="clear" w:pos="1742"/>
        <w:tab w:val="right" w:pos="1080"/>
        <w:tab w:val="left" w:pos="1350"/>
        <w:tab w:val="left" w:pos="1800"/>
        <w:tab w:val="left" w:pos="1980"/>
      </w:tabs>
      <w:spacing w:after="60"/>
      <w:ind w:left="1526" w:firstLine="0"/>
    </w:p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spacing w:val="4"/>
      <w:w w:val="103"/>
      <w:kern w:val="14"/>
      <w:lang w:val="en-GB"/>
    </w:rPr>
  </w:style>
  <w:style w:type="paragraph" w:styleId="ListParagraph">
    <w:name w:val="List Paragraph"/>
    <w:basedOn w:val="Normal"/>
    <w:uiPriority w:val="34"/>
    <w:qFormat/>
    <w:rsid w:val="00BE376C"/>
    <w:pPr>
      <w:ind w:left="720"/>
      <w:contextualSpacing/>
    </w:pPr>
  </w:style>
  <w:style w:type="character" w:styleId="FollowedHyperlink">
    <w:name w:val="FollowedHyperlink"/>
    <w:basedOn w:val="DefaultParagraphFont"/>
    <w:uiPriority w:val="99"/>
    <w:rsid w:val="008B3D2F"/>
    <w:rPr>
      <w:color w:val="0000FF"/>
      <w:u w:val="none"/>
    </w:rPr>
  </w:style>
  <w:style w:type="paragraph" w:styleId="BalloonText">
    <w:name w:val="Balloon Text"/>
    <w:basedOn w:val="Normal"/>
    <w:link w:val="BalloonTextChar"/>
    <w:rsid w:val="00D9746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97463"/>
    <w:rPr>
      <w:rFonts w:ascii="Tahoma" w:hAnsi="Tahoma" w:cs="Tahoma"/>
      <w:spacing w:val="4"/>
      <w:w w:val="103"/>
      <w:kern w:val="14"/>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footnote reference" w:qFormat="1"/>
    <w:lsdException w:name="page number" w:uiPriority="99"/>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209"/>
    <w:pPr>
      <w:suppressAutoHyphens/>
      <w:spacing w:line="240" w:lineRule="exact"/>
    </w:pPr>
    <w:rPr>
      <w:spacing w:val="4"/>
      <w:w w:val="103"/>
      <w:kern w:val="14"/>
      <w:lang w:val="en-GB"/>
    </w:rPr>
  </w:style>
  <w:style w:type="paragraph" w:styleId="Heading1">
    <w:name w:val="heading 1"/>
    <w:aliases w:val="Table_G"/>
    <w:basedOn w:val="SingleTxtG"/>
    <w:next w:val="SingleTxtG"/>
    <w:link w:val="Heading1Char"/>
    <w:uiPriority w:val="9"/>
    <w:qFormat/>
    <w:rsid w:val="00B62AD9"/>
    <w:pPr>
      <w:spacing w:after="0" w:line="240" w:lineRule="auto"/>
      <w:ind w:right="0"/>
      <w:jc w:val="left"/>
      <w:outlineLvl w:val="0"/>
    </w:pPr>
    <w:rPr>
      <w:rFonts w:eastAsia="SimSun"/>
      <w:lang w:eastAsia="zh-CN"/>
    </w:rPr>
  </w:style>
  <w:style w:type="paragraph" w:styleId="Heading2">
    <w:name w:val="heading 2"/>
    <w:basedOn w:val="Normal"/>
    <w:next w:val="Normal"/>
    <w:link w:val="Heading2Char"/>
    <w:uiPriority w:val="9"/>
    <w:qFormat/>
    <w:rsid w:val="00B62AD9"/>
    <w:pPr>
      <w:spacing w:line="240" w:lineRule="auto"/>
      <w:outlineLvl w:val="1"/>
    </w:pPr>
    <w:rPr>
      <w:rFonts w:eastAsia="SimSun"/>
      <w:spacing w:val="0"/>
      <w:w w:val="100"/>
      <w:kern w:val="0"/>
    </w:rPr>
  </w:style>
  <w:style w:type="paragraph" w:styleId="Heading3">
    <w:name w:val="heading 3"/>
    <w:basedOn w:val="Normal"/>
    <w:next w:val="Normal"/>
    <w:link w:val="Heading3Char"/>
    <w:uiPriority w:val="9"/>
    <w:qFormat/>
    <w:rsid w:val="00B62AD9"/>
    <w:pPr>
      <w:spacing w:line="240" w:lineRule="auto"/>
      <w:outlineLvl w:val="2"/>
    </w:pPr>
    <w:rPr>
      <w:rFonts w:eastAsia="SimSun"/>
      <w:spacing w:val="0"/>
      <w:w w:val="100"/>
      <w:kern w:val="0"/>
    </w:rPr>
  </w:style>
  <w:style w:type="paragraph" w:styleId="Heading4">
    <w:name w:val="heading 4"/>
    <w:basedOn w:val="Normal"/>
    <w:next w:val="Normal"/>
    <w:link w:val="Heading4Char"/>
    <w:uiPriority w:val="9"/>
    <w:qFormat/>
    <w:rsid w:val="00B62AD9"/>
    <w:pPr>
      <w:spacing w:line="240" w:lineRule="auto"/>
      <w:outlineLvl w:val="3"/>
    </w:pPr>
    <w:rPr>
      <w:rFonts w:eastAsia="SimSun"/>
      <w:spacing w:val="0"/>
      <w:w w:val="100"/>
      <w:kern w:val="0"/>
    </w:rPr>
  </w:style>
  <w:style w:type="paragraph" w:styleId="Heading5">
    <w:name w:val="heading 5"/>
    <w:basedOn w:val="Normal"/>
    <w:next w:val="Normal"/>
    <w:link w:val="Heading5Char"/>
    <w:uiPriority w:val="9"/>
    <w:qFormat/>
    <w:rsid w:val="00B62AD9"/>
    <w:pPr>
      <w:spacing w:line="240" w:lineRule="auto"/>
      <w:outlineLvl w:val="4"/>
    </w:pPr>
    <w:rPr>
      <w:rFonts w:eastAsia="SimSun"/>
      <w:spacing w:val="0"/>
      <w:w w:val="100"/>
      <w:kern w:val="0"/>
    </w:rPr>
  </w:style>
  <w:style w:type="paragraph" w:styleId="Heading6">
    <w:name w:val="heading 6"/>
    <w:basedOn w:val="Normal"/>
    <w:next w:val="Normal"/>
    <w:link w:val="Heading6Char"/>
    <w:uiPriority w:val="9"/>
    <w:qFormat/>
    <w:rsid w:val="00B62AD9"/>
    <w:pPr>
      <w:spacing w:line="240" w:lineRule="auto"/>
      <w:outlineLvl w:val="5"/>
    </w:pPr>
    <w:rPr>
      <w:rFonts w:eastAsia="SimSun"/>
      <w:spacing w:val="0"/>
      <w:w w:val="100"/>
      <w:kern w:val="0"/>
    </w:rPr>
  </w:style>
  <w:style w:type="paragraph" w:styleId="Heading7">
    <w:name w:val="heading 7"/>
    <w:basedOn w:val="Normal"/>
    <w:next w:val="Normal"/>
    <w:link w:val="Heading7Char"/>
    <w:unhideWhenUsed/>
    <w:qFormat/>
    <w:rsid w:val="00D4613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46137"/>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D4613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2742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274209"/>
    <w:pPr>
      <w:spacing w:line="300" w:lineRule="exact"/>
      <w:ind w:left="0" w:right="0" w:firstLine="0"/>
    </w:pPr>
    <w:rPr>
      <w:spacing w:val="-2"/>
      <w:sz w:val="28"/>
    </w:rPr>
  </w:style>
  <w:style w:type="paragraph" w:customStyle="1" w:styleId="HM">
    <w:name w:val="_ H __M"/>
    <w:basedOn w:val="HCh"/>
    <w:next w:val="SingleTxt"/>
    <w:rsid w:val="00274209"/>
    <w:pPr>
      <w:spacing w:line="360" w:lineRule="exact"/>
    </w:pPr>
    <w:rPr>
      <w:spacing w:val="-3"/>
      <w:w w:val="99"/>
      <w:sz w:val="34"/>
    </w:rPr>
  </w:style>
  <w:style w:type="paragraph" w:customStyle="1" w:styleId="H23">
    <w:name w:val="_ H_2/3"/>
    <w:basedOn w:val="H1"/>
    <w:next w:val="SingleTxt"/>
    <w:rsid w:val="00274209"/>
    <w:pPr>
      <w:spacing w:line="240" w:lineRule="exact"/>
      <w:outlineLvl w:val="1"/>
    </w:pPr>
    <w:rPr>
      <w:spacing w:val="2"/>
      <w:sz w:val="20"/>
    </w:rPr>
  </w:style>
  <w:style w:type="paragraph" w:customStyle="1" w:styleId="H4">
    <w:name w:val="_ H_4"/>
    <w:basedOn w:val="Normal"/>
    <w:next w:val="SingleTxt"/>
    <w:rsid w:val="002742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2742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27420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27420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274209"/>
    <w:pPr>
      <w:spacing w:line="540" w:lineRule="exact"/>
    </w:pPr>
    <w:rPr>
      <w:spacing w:val="-8"/>
      <w:w w:val="96"/>
      <w:sz w:val="57"/>
    </w:rPr>
  </w:style>
  <w:style w:type="paragraph" w:customStyle="1" w:styleId="SS">
    <w:name w:val="__S_S"/>
    <w:basedOn w:val="HCh"/>
    <w:next w:val="Normal"/>
    <w:rsid w:val="00274209"/>
    <w:pPr>
      <w:ind w:left="1267" w:right="1267"/>
    </w:pPr>
  </w:style>
  <w:style w:type="paragraph" w:customStyle="1" w:styleId="SingleTxt">
    <w:name w:val="__Single Txt"/>
    <w:basedOn w:val="Normal"/>
    <w:rsid w:val="0027420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FootnoteReference">
    <w:name w:val="footnote reference"/>
    <w:rsid w:val="00397032"/>
    <w:rPr>
      <w:color w:val="943634" w:themeColor="accent2" w:themeShade="BF"/>
      <w:spacing w:val="-5"/>
      <w:w w:val="130"/>
      <w:position w:val="-4"/>
      <w:sz w:val="17"/>
      <w:vertAlign w:val="superscript"/>
    </w:rPr>
  </w:style>
  <w:style w:type="character" w:styleId="EndnoteReference">
    <w:name w:val="endnote reference"/>
    <w:rsid w:val="0027420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qFormat/>
    <w:rsid w:val="00D94FA8"/>
    <w:pPr>
      <w:tabs>
        <w:tab w:val="right" w:pos="1195"/>
        <w:tab w:val="left" w:pos="1267"/>
        <w:tab w:val="left" w:pos="1742"/>
        <w:tab w:val="left" w:pos="2218"/>
        <w:tab w:val="left" w:pos="2693"/>
      </w:tabs>
      <w:spacing w:line="210" w:lineRule="exact"/>
      <w:ind w:left="1267" w:right="1267" w:hanging="432"/>
    </w:pPr>
    <w:rPr>
      <w:spacing w:val="5"/>
      <w:sz w:val="17"/>
      <w:szCs w:val="17"/>
    </w:rPr>
  </w:style>
  <w:style w:type="paragraph" w:styleId="EndnoteText">
    <w:name w:val="endnote text"/>
    <w:basedOn w:val="FootnoteText"/>
    <w:link w:val="EndnoteTextChar"/>
    <w:rsid w:val="00274209"/>
  </w:style>
  <w:style w:type="paragraph" w:styleId="Footer">
    <w:name w:val="footer"/>
    <w:link w:val="FooterChar"/>
    <w:rsid w:val="00274209"/>
    <w:pPr>
      <w:tabs>
        <w:tab w:val="center" w:pos="4320"/>
        <w:tab w:val="right" w:pos="8640"/>
      </w:tabs>
    </w:pPr>
    <w:rPr>
      <w:b/>
      <w:noProof/>
      <w:sz w:val="17"/>
    </w:rPr>
  </w:style>
  <w:style w:type="paragraph" w:styleId="Header">
    <w:name w:val="header"/>
    <w:link w:val="HeaderChar"/>
    <w:rsid w:val="00274209"/>
    <w:pPr>
      <w:tabs>
        <w:tab w:val="center" w:pos="4320"/>
        <w:tab w:val="right" w:pos="8640"/>
      </w:tabs>
    </w:pPr>
    <w:rPr>
      <w:noProof/>
      <w:sz w:val="17"/>
    </w:rPr>
  </w:style>
  <w:style w:type="character" w:styleId="CommentReference">
    <w:name w:val="annotation reference"/>
    <w:rsid w:val="00274209"/>
    <w:rPr>
      <w:sz w:val="6"/>
    </w:rPr>
  </w:style>
  <w:style w:type="paragraph" w:customStyle="1" w:styleId="Committee">
    <w:name w:val="Committee"/>
    <w:basedOn w:val="H1"/>
    <w:rsid w:val="00274209"/>
    <w:pPr>
      <w:ind w:left="0" w:firstLine="0"/>
    </w:pPr>
  </w:style>
  <w:style w:type="paragraph" w:customStyle="1" w:styleId="Distribution">
    <w:name w:val="Distribution"/>
    <w:next w:val="Normal"/>
    <w:rsid w:val="00274209"/>
    <w:pPr>
      <w:spacing w:before="240"/>
    </w:pPr>
    <w:rPr>
      <w:spacing w:val="4"/>
      <w:w w:val="103"/>
      <w:kern w:val="14"/>
      <w:lang w:val="en-GB"/>
    </w:rPr>
  </w:style>
  <w:style w:type="character" w:styleId="Hyperlink">
    <w:name w:val="Hyperlink"/>
    <w:basedOn w:val="DefaultParagraphFont"/>
    <w:rsid w:val="00274209"/>
    <w:rPr>
      <w:color w:val="0000FF" w:themeColor="hyperlink"/>
      <w:u w:val="none"/>
    </w:rPr>
  </w:style>
  <w:style w:type="character" w:styleId="LineNumber">
    <w:name w:val="line number"/>
    <w:rsid w:val="00274209"/>
    <w:rPr>
      <w:sz w:val="14"/>
    </w:rPr>
  </w:style>
  <w:style w:type="paragraph" w:customStyle="1" w:styleId="Original">
    <w:name w:val="Original"/>
    <w:next w:val="Normal"/>
    <w:rsid w:val="00274209"/>
    <w:rPr>
      <w:spacing w:val="4"/>
      <w:w w:val="103"/>
      <w:kern w:val="14"/>
      <w:lang w:val="en-GB"/>
    </w:rPr>
  </w:style>
  <w:style w:type="paragraph" w:styleId="PlainText">
    <w:name w:val="Plain Text"/>
    <w:basedOn w:val="Normal"/>
    <w:link w:val="PlainTextChar"/>
    <w:rsid w:val="0027420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274209"/>
    <w:rPr>
      <w:rFonts w:ascii="Courier New" w:eastAsia="Times New Roman" w:hAnsi="Courier New"/>
      <w:lang w:eastAsia="en-GB"/>
    </w:rPr>
  </w:style>
  <w:style w:type="paragraph" w:customStyle="1" w:styleId="Publication">
    <w:name w:val="Publication"/>
    <w:next w:val="Normal"/>
    <w:rsid w:val="00274209"/>
    <w:rPr>
      <w:spacing w:val="4"/>
      <w:w w:val="103"/>
      <w:kern w:val="14"/>
      <w:lang w:val="en-GB"/>
    </w:rPr>
  </w:style>
  <w:style w:type="paragraph" w:customStyle="1" w:styleId="ReleaseDate">
    <w:name w:val="Release Date"/>
    <w:next w:val="Footer"/>
    <w:rsid w:val="00274209"/>
    <w:rPr>
      <w:spacing w:val="4"/>
      <w:w w:val="103"/>
      <w:kern w:val="14"/>
      <w:lang w:val="en-GB"/>
    </w:rPr>
  </w:style>
  <w:style w:type="paragraph" w:customStyle="1" w:styleId="Session">
    <w:name w:val="Session"/>
    <w:basedOn w:val="H23"/>
    <w:rsid w:val="00274209"/>
    <w:pPr>
      <w:ind w:left="0" w:firstLine="0"/>
    </w:pPr>
    <w:rPr>
      <w:spacing w:val="4"/>
    </w:rPr>
  </w:style>
  <w:style w:type="paragraph" w:customStyle="1" w:styleId="Small">
    <w:name w:val="Small"/>
    <w:basedOn w:val="Normal"/>
    <w:next w:val="Normal"/>
    <w:rsid w:val="00274209"/>
    <w:pPr>
      <w:tabs>
        <w:tab w:val="right" w:pos="9965"/>
      </w:tabs>
      <w:spacing w:line="210" w:lineRule="exact"/>
    </w:pPr>
    <w:rPr>
      <w:spacing w:val="5"/>
      <w:w w:val="104"/>
      <w:sz w:val="17"/>
    </w:rPr>
  </w:style>
  <w:style w:type="paragraph" w:customStyle="1" w:styleId="SmallX">
    <w:name w:val="SmallX"/>
    <w:basedOn w:val="Small"/>
    <w:next w:val="Normal"/>
    <w:rsid w:val="00274209"/>
    <w:pPr>
      <w:spacing w:line="180" w:lineRule="exact"/>
      <w:jc w:val="right"/>
    </w:pPr>
    <w:rPr>
      <w:spacing w:val="6"/>
      <w:w w:val="106"/>
      <w:sz w:val="14"/>
    </w:rPr>
  </w:style>
  <w:style w:type="paragraph" w:customStyle="1" w:styleId="Sponsors">
    <w:name w:val="Sponsors"/>
    <w:basedOn w:val="H23"/>
    <w:rsid w:val="00274209"/>
  </w:style>
  <w:style w:type="table" w:styleId="TableGrid">
    <w:name w:val="Table Grid"/>
    <w:basedOn w:val="TableNormal"/>
    <w:rsid w:val="00274209"/>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Ch"/>
    <w:rsid w:val="00274209"/>
    <w:pPr>
      <w:ind w:left="1267" w:right="1267" w:hanging="1267"/>
    </w:pPr>
  </w:style>
  <w:style w:type="paragraph" w:customStyle="1" w:styleId="Bullet1">
    <w:name w:val="Bullet 1"/>
    <w:basedOn w:val="Normal"/>
    <w:qFormat/>
    <w:rsid w:val="00274209"/>
    <w:pPr>
      <w:numPr>
        <w:numId w:val="12"/>
      </w:numPr>
      <w:spacing w:after="120" w:line="240" w:lineRule="atLeast"/>
      <w:ind w:right="1267"/>
      <w:jc w:val="both"/>
    </w:pPr>
  </w:style>
  <w:style w:type="paragraph" w:customStyle="1" w:styleId="Bullet2">
    <w:name w:val="Bullet 2"/>
    <w:basedOn w:val="Normal"/>
    <w:qFormat/>
    <w:rsid w:val="00274209"/>
    <w:pPr>
      <w:numPr>
        <w:numId w:val="13"/>
      </w:numPr>
      <w:spacing w:after="120"/>
      <w:ind w:right="1264"/>
      <w:jc w:val="both"/>
    </w:pPr>
  </w:style>
  <w:style w:type="paragraph" w:customStyle="1" w:styleId="Bullet3">
    <w:name w:val="Bullet 3"/>
    <w:basedOn w:val="SingleTxt"/>
    <w:qFormat/>
    <w:rsid w:val="00274209"/>
    <w:pPr>
      <w:numPr>
        <w:numId w:val="1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Title2">
    <w:name w:val="Title 2"/>
    <w:basedOn w:val="H1"/>
    <w:rsid w:val="00274209"/>
    <w:pPr>
      <w:ind w:left="0" w:right="0" w:firstLine="0"/>
    </w:pPr>
  </w:style>
  <w:style w:type="paragraph" w:customStyle="1" w:styleId="Type">
    <w:name w:val="Type"/>
    <w:basedOn w:val="H23"/>
    <w:autoRedefine/>
    <w:rsid w:val="00274209"/>
    <w:pPr>
      <w:ind w:left="0" w:right="576" w:firstLine="0"/>
    </w:pPr>
  </w:style>
  <w:style w:type="character" w:customStyle="1" w:styleId="FootnoteCharacters">
    <w:name w:val="Footnote Characters"/>
    <w:rsid w:val="00397032"/>
    <w:rPr>
      <w:vertAlign w:val="superscript"/>
    </w:rPr>
  </w:style>
  <w:style w:type="paragraph" w:customStyle="1" w:styleId="SingleTxtG">
    <w:name w:val="_ Single Txt_G"/>
    <w:basedOn w:val="Normal"/>
    <w:qFormat/>
    <w:rsid w:val="00D46137"/>
    <w:pPr>
      <w:spacing w:after="120" w:line="240" w:lineRule="atLeast"/>
      <w:ind w:left="1134" w:right="1134"/>
      <w:jc w:val="both"/>
    </w:pPr>
    <w:rPr>
      <w:rFonts w:eastAsia="Times New Roman"/>
      <w:spacing w:val="0"/>
      <w:w w:val="100"/>
      <w:kern w:val="0"/>
      <w:lang w:eastAsia="en-US"/>
    </w:rPr>
  </w:style>
  <w:style w:type="character" w:customStyle="1" w:styleId="Heading7Char">
    <w:name w:val="Heading 7 Char"/>
    <w:basedOn w:val="DefaultParagraphFont"/>
    <w:link w:val="Heading7"/>
    <w:rsid w:val="00D46137"/>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rsid w:val="00D46137"/>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rsid w:val="00D46137"/>
    <w:rPr>
      <w:rFonts w:asciiTheme="majorHAnsi" w:eastAsiaTheme="majorEastAsia" w:hAnsiTheme="majorHAnsi" w:cstheme="majorBidi"/>
      <w:i/>
      <w:iCs/>
      <w:color w:val="404040" w:themeColor="text1" w:themeTint="BF"/>
      <w:spacing w:val="4"/>
      <w:w w:val="103"/>
      <w:kern w:val="14"/>
      <w:lang w:val="en-GB"/>
    </w:rPr>
  </w:style>
  <w:style w:type="paragraph" w:customStyle="1" w:styleId="Bullet1G">
    <w:name w:val="_Bullet 1_G"/>
    <w:basedOn w:val="Normal"/>
    <w:rsid w:val="00685137"/>
    <w:pPr>
      <w:numPr>
        <w:numId w:val="5"/>
      </w:numPr>
      <w:spacing w:after="120" w:line="240" w:lineRule="atLeast"/>
      <w:ind w:right="1134"/>
      <w:jc w:val="both"/>
    </w:pPr>
    <w:rPr>
      <w:rFonts w:eastAsia="Times New Roman"/>
      <w:spacing w:val="0"/>
      <w:w w:val="100"/>
      <w:kern w:val="0"/>
      <w:lang w:eastAsia="en-US"/>
    </w:rPr>
  </w:style>
  <w:style w:type="character" w:customStyle="1" w:styleId="Heading1Char">
    <w:name w:val="Heading 1 Char"/>
    <w:aliases w:val="Table_G Char"/>
    <w:basedOn w:val="DefaultParagraphFont"/>
    <w:link w:val="Heading1"/>
    <w:uiPriority w:val="9"/>
    <w:rsid w:val="00B62AD9"/>
    <w:rPr>
      <w:rFonts w:eastAsia="SimSun"/>
      <w:lang w:val="en-GB"/>
    </w:rPr>
  </w:style>
  <w:style w:type="character" w:customStyle="1" w:styleId="Heading2Char">
    <w:name w:val="Heading 2 Char"/>
    <w:basedOn w:val="DefaultParagraphFont"/>
    <w:link w:val="Heading2"/>
    <w:uiPriority w:val="9"/>
    <w:rsid w:val="00B62AD9"/>
    <w:rPr>
      <w:rFonts w:eastAsia="SimSun"/>
      <w:lang w:val="en-GB"/>
    </w:rPr>
  </w:style>
  <w:style w:type="character" w:customStyle="1" w:styleId="Heading3Char">
    <w:name w:val="Heading 3 Char"/>
    <w:basedOn w:val="DefaultParagraphFont"/>
    <w:link w:val="Heading3"/>
    <w:uiPriority w:val="9"/>
    <w:rsid w:val="00B62AD9"/>
    <w:rPr>
      <w:rFonts w:eastAsia="SimSun"/>
      <w:lang w:val="en-GB"/>
    </w:rPr>
  </w:style>
  <w:style w:type="character" w:customStyle="1" w:styleId="Heading4Char">
    <w:name w:val="Heading 4 Char"/>
    <w:basedOn w:val="DefaultParagraphFont"/>
    <w:link w:val="Heading4"/>
    <w:uiPriority w:val="9"/>
    <w:rsid w:val="00B62AD9"/>
    <w:rPr>
      <w:rFonts w:eastAsia="SimSun"/>
      <w:lang w:val="en-GB"/>
    </w:rPr>
  </w:style>
  <w:style w:type="character" w:customStyle="1" w:styleId="Heading5Char">
    <w:name w:val="Heading 5 Char"/>
    <w:basedOn w:val="DefaultParagraphFont"/>
    <w:link w:val="Heading5"/>
    <w:uiPriority w:val="9"/>
    <w:rsid w:val="00B62AD9"/>
    <w:rPr>
      <w:rFonts w:eastAsia="SimSun"/>
      <w:lang w:val="en-GB"/>
    </w:rPr>
  </w:style>
  <w:style w:type="character" w:customStyle="1" w:styleId="Heading6Char">
    <w:name w:val="Heading 6 Char"/>
    <w:basedOn w:val="DefaultParagraphFont"/>
    <w:link w:val="Heading6"/>
    <w:uiPriority w:val="9"/>
    <w:rsid w:val="00B62AD9"/>
    <w:rPr>
      <w:rFonts w:eastAsia="SimSun"/>
      <w:lang w:val="en-GB"/>
    </w:rPr>
  </w:style>
  <w:style w:type="character" w:customStyle="1" w:styleId="HeaderChar">
    <w:name w:val="Header Char"/>
    <w:link w:val="Header"/>
    <w:rsid w:val="00B62AD9"/>
    <w:rPr>
      <w:noProof/>
      <w:sz w:val="17"/>
    </w:rPr>
  </w:style>
  <w:style w:type="character" w:customStyle="1" w:styleId="FooterChar">
    <w:name w:val="Footer Char"/>
    <w:link w:val="Footer"/>
    <w:rsid w:val="00B62AD9"/>
    <w:rPr>
      <w:b/>
      <w:noProof/>
      <w:sz w:val="17"/>
    </w:rPr>
  </w:style>
  <w:style w:type="paragraph" w:customStyle="1" w:styleId="HMG">
    <w:name w:val="_ H __M_G"/>
    <w:basedOn w:val="Normal"/>
    <w:next w:val="Normal"/>
    <w:rsid w:val="00B62AD9"/>
    <w:pPr>
      <w:keepNext/>
      <w:keepLines/>
      <w:tabs>
        <w:tab w:val="right" w:pos="851"/>
      </w:tabs>
      <w:spacing w:before="240" w:after="240" w:line="360" w:lineRule="exact"/>
      <w:ind w:left="1134" w:right="1134" w:hanging="1134"/>
    </w:pPr>
    <w:rPr>
      <w:rFonts w:eastAsia="Times New Roman"/>
      <w:b/>
      <w:spacing w:val="0"/>
      <w:w w:val="100"/>
      <w:kern w:val="0"/>
      <w:sz w:val="34"/>
      <w:lang w:eastAsia="en-US"/>
    </w:rPr>
  </w:style>
  <w:style w:type="paragraph" w:customStyle="1" w:styleId="HChG">
    <w:name w:val="_ H _Ch_G"/>
    <w:basedOn w:val="Normal"/>
    <w:next w:val="Normal"/>
    <w:qFormat/>
    <w:rsid w:val="00B62AD9"/>
    <w:pPr>
      <w:keepNext/>
      <w:keepLines/>
      <w:tabs>
        <w:tab w:val="right" w:pos="851"/>
      </w:tabs>
      <w:spacing w:before="360" w:after="240" w:line="300" w:lineRule="exact"/>
      <w:ind w:left="1134" w:right="1134" w:hanging="1134"/>
    </w:pPr>
    <w:rPr>
      <w:rFonts w:eastAsia="Times New Roman"/>
      <w:b/>
      <w:spacing w:val="0"/>
      <w:w w:val="100"/>
      <w:kern w:val="0"/>
      <w:sz w:val="28"/>
      <w:lang w:eastAsia="en-US"/>
    </w:rPr>
  </w:style>
  <w:style w:type="paragraph" w:customStyle="1" w:styleId="H1G">
    <w:name w:val="_ H_1_G"/>
    <w:basedOn w:val="Normal"/>
    <w:next w:val="Normal"/>
    <w:qFormat/>
    <w:rsid w:val="00B62AD9"/>
    <w:pPr>
      <w:keepNext/>
      <w:keepLines/>
      <w:tabs>
        <w:tab w:val="right" w:pos="851"/>
      </w:tabs>
      <w:spacing w:before="360" w:after="240" w:line="270" w:lineRule="exact"/>
      <w:ind w:left="1134" w:right="1134" w:hanging="1134"/>
    </w:pPr>
    <w:rPr>
      <w:rFonts w:eastAsia="Times New Roman"/>
      <w:b/>
      <w:spacing w:val="0"/>
      <w:w w:val="100"/>
      <w:kern w:val="0"/>
      <w:sz w:val="24"/>
      <w:lang w:eastAsia="en-US"/>
    </w:rPr>
  </w:style>
  <w:style w:type="paragraph" w:customStyle="1" w:styleId="H23G">
    <w:name w:val="_ H_2/3_G"/>
    <w:basedOn w:val="Normal"/>
    <w:next w:val="Normal"/>
    <w:qFormat/>
    <w:rsid w:val="00B62AD9"/>
    <w:pPr>
      <w:keepNext/>
      <w:keepLines/>
      <w:tabs>
        <w:tab w:val="right" w:pos="851"/>
      </w:tabs>
      <w:spacing w:before="240" w:after="120"/>
      <w:ind w:left="1134" w:right="1134" w:hanging="1134"/>
    </w:pPr>
    <w:rPr>
      <w:rFonts w:eastAsia="Times New Roman"/>
      <w:b/>
      <w:spacing w:val="0"/>
      <w:w w:val="100"/>
      <w:kern w:val="0"/>
      <w:lang w:eastAsia="en-US"/>
    </w:rPr>
  </w:style>
  <w:style w:type="paragraph" w:customStyle="1" w:styleId="H4G">
    <w:name w:val="_ H_4_G"/>
    <w:basedOn w:val="Normal"/>
    <w:next w:val="Normal"/>
    <w:rsid w:val="00B62AD9"/>
    <w:pPr>
      <w:keepNext/>
      <w:keepLines/>
      <w:tabs>
        <w:tab w:val="right" w:pos="851"/>
      </w:tabs>
      <w:spacing w:before="240" w:after="120"/>
      <w:ind w:left="1134" w:right="1134" w:hanging="1134"/>
    </w:pPr>
    <w:rPr>
      <w:rFonts w:eastAsia="Times New Roman"/>
      <w:i/>
      <w:spacing w:val="0"/>
      <w:w w:val="100"/>
      <w:kern w:val="0"/>
      <w:lang w:eastAsia="en-US"/>
    </w:rPr>
  </w:style>
  <w:style w:type="paragraph" w:customStyle="1" w:styleId="H56G">
    <w:name w:val="_ H_5/6_G"/>
    <w:basedOn w:val="Normal"/>
    <w:next w:val="Normal"/>
    <w:rsid w:val="00B62AD9"/>
    <w:pPr>
      <w:keepNext/>
      <w:keepLines/>
      <w:tabs>
        <w:tab w:val="right" w:pos="851"/>
      </w:tabs>
      <w:spacing w:before="240" w:after="120"/>
      <w:ind w:left="1134" w:right="1134" w:hanging="1134"/>
    </w:pPr>
    <w:rPr>
      <w:rFonts w:eastAsia="Times New Roman"/>
      <w:spacing w:val="0"/>
      <w:w w:val="100"/>
      <w:kern w:val="0"/>
      <w:lang w:eastAsia="en-US"/>
    </w:rPr>
  </w:style>
  <w:style w:type="paragraph" w:customStyle="1" w:styleId="SLG">
    <w:name w:val="__S_L_G"/>
    <w:basedOn w:val="Normal"/>
    <w:next w:val="Normal"/>
    <w:rsid w:val="00B62AD9"/>
    <w:pPr>
      <w:keepNext/>
      <w:keepLines/>
      <w:spacing w:before="240" w:after="240" w:line="580" w:lineRule="exact"/>
      <w:ind w:left="1134" w:right="1134"/>
    </w:pPr>
    <w:rPr>
      <w:rFonts w:eastAsia="Times New Roman"/>
      <w:b/>
      <w:spacing w:val="0"/>
      <w:w w:val="100"/>
      <w:kern w:val="0"/>
      <w:sz w:val="56"/>
      <w:lang w:eastAsia="en-US"/>
    </w:rPr>
  </w:style>
  <w:style w:type="paragraph" w:customStyle="1" w:styleId="SMG">
    <w:name w:val="__S_M_G"/>
    <w:basedOn w:val="Normal"/>
    <w:next w:val="Normal"/>
    <w:rsid w:val="00B62AD9"/>
    <w:pPr>
      <w:keepNext/>
      <w:keepLines/>
      <w:spacing w:before="240" w:after="240" w:line="420" w:lineRule="exact"/>
      <w:ind w:left="1134" w:right="1134"/>
    </w:pPr>
    <w:rPr>
      <w:rFonts w:eastAsia="Times New Roman"/>
      <w:b/>
      <w:spacing w:val="0"/>
      <w:w w:val="100"/>
      <w:kern w:val="0"/>
      <w:sz w:val="40"/>
      <w:lang w:eastAsia="en-US"/>
    </w:rPr>
  </w:style>
  <w:style w:type="paragraph" w:customStyle="1" w:styleId="SSG">
    <w:name w:val="__S_S_G"/>
    <w:basedOn w:val="Normal"/>
    <w:next w:val="Normal"/>
    <w:rsid w:val="00B62AD9"/>
    <w:pPr>
      <w:keepNext/>
      <w:keepLines/>
      <w:spacing w:before="240" w:after="240" w:line="300" w:lineRule="exact"/>
      <w:ind w:left="1134" w:right="1134"/>
    </w:pPr>
    <w:rPr>
      <w:rFonts w:eastAsia="Times New Roman"/>
      <w:b/>
      <w:spacing w:val="0"/>
      <w:w w:val="100"/>
      <w:kern w:val="0"/>
      <w:sz w:val="28"/>
      <w:lang w:eastAsia="en-US"/>
    </w:rPr>
  </w:style>
  <w:style w:type="paragraph" w:customStyle="1" w:styleId="XLargeG">
    <w:name w:val="__XLarge_G"/>
    <w:basedOn w:val="Normal"/>
    <w:next w:val="Normal"/>
    <w:rsid w:val="00B62AD9"/>
    <w:pPr>
      <w:keepNext/>
      <w:keepLines/>
      <w:spacing w:before="240" w:after="240" w:line="420" w:lineRule="exact"/>
      <w:ind w:left="1134" w:right="1134"/>
    </w:pPr>
    <w:rPr>
      <w:rFonts w:eastAsia="SimSun"/>
      <w:b/>
      <w:spacing w:val="0"/>
      <w:w w:val="100"/>
      <w:kern w:val="0"/>
      <w:sz w:val="40"/>
    </w:rPr>
  </w:style>
  <w:style w:type="paragraph" w:customStyle="1" w:styleId="Bullet2G">
    <w:name w:val="_Bullet 2_G"/>
    <w:basedOn w:val="Normal"/>
    <w:rsid w:val="00B62AD9"/>
    <w:pPr>
      <w:numPr>
        <w:numId w:val="8"/>
      </w:numPr>
      <w:spacing w:after="120" w:line="240" w:lineRule="atLeast"/>
      <w:ind w:right="1134"/>
      <w:jc w:val="both"/>
    </w:pPr>
    <w:rPr>
      <w:rFonts w:eastAsia="Times New Roman"/>
      <w:spacing w:val="0"/>
      <w:w w:val="100"/>
      <w:kern w:val="0"/>
      <w:lang w:eastAsia="en-US"/>
    </w:rPr>
  </w:style>
  <w:style w:type="paragraph" w:customStyle="1" w:styleId="ParaNoG">
    <w:name w:val="_ParaNo._G"/>
    <w:basedOn w:val="SingleTxtG"/>
    <w:rsid w:val="00B62AD9"/>
    <w:pPr>
      <w:numPr>
        <w:numId w:val="9"/>
      </w:numPr>
    </w:pPr>
    <w:rPr>
      <w:rFonts w:eastAsia="SimSun"/>
      <w:lang w:eastAsia="zh-CN"/>
    </w:rPr>
  </w:style>
  <w:style w:type="numbering" w:styleId="111111">
    <w:name w:val="Outline List 2"/>
    <w:basedOn w:val="NoList"/>
    <w:rsid w:val="00B62AD9"/>
    <w:pPr>
      <w:numPr>
        <w:numId w:val="10"/>
      </w:numPr>
    </w:pPr>
  </w:style>
  <w:style w:type="numbering" w:styleId="1ai">
    <w:name w:val="Outline List 1"/>
    <w:basedOn w:val="NoList"/>
    <w:rsid w:val="00B62AD9"/>
    <w:pPr>
      <w:numPr>
        <w:numId w:val="11"/>
      </w:numPr>
    </w:pPr>
  </w:style>
  <w:style w:type="character" w:customStyle="1" w:styleId="FootnoteTextChar">
    <w:name w:val="Footnote Text Char"/>
    <w:link w:val="FootnoteText"/>
    <w:rsid w:val="00D94FA8"/>
    <w:rPr>
      <w:spacing w:val="5"/>
      <w:w w:val="103"/>
      <w:kern w:val="14"/>
      <w:sz w:val="17"/>
      <w:szCs w:val="17"/>
      <w:lang w:val="en-GB"/>
    </w:rPr>
  </w:style>
  <w:style w:type="character" w:customStyle="1" w:styleId="EndnoteTextChar">
    <w:name w:val="Endnote Text Char"/>
    <w:link w:val="EndnoteText"/>
    <w:rsid w:val="00B62AD9"/>
    <w:rPr>
      <w:spacing w:val="5"/>
      <w:w w:val="103"/>
      <w:kern w:val="14"/>
      <w:sz w:val="17"/>
      <w:lang w:val="en-GB"/>
    </w:rPr>
  </w:style>
  <w:style w:type="character" w:styleId="PageNumber">
    <w:name w:val="page number"/>
    <w:aliases w:val="7_G"/>
    <w:uiPriority w:val="99"/>
    <w:rsid w:val="00B62AD9"/>
    <w:rPr>
      <w:rFonts w:ascii="Times New Roman" w:hAnsi="Times New Roman"/>
      <w:b/>
      <w:sz w:val="18"/>
    </w:rPr>
  </w:style>
  <w:style w:type="paragraph" w:customStyle="1" w:styleId="Rvision">
    <w:name w:val="Révision"/>
    <w:hidden/>
    <w:semiHidden/>
    <w:rsid w:val="00B62AD9"/>
    <w:rPr>
      <w:rFonts w:eastAsia="Times New Roman"/>
      <w:lang w:val="en-GB" w:eastAsia="en-US"/>
    </w:rPr>
  </w:style>
  <w:style w:type="paragraph" w:styleId="Revision">
    <w:name w:val="Revision"/>
    <w:hidden/>
    <w:uiPriority w:val="99"/>
    <w:semiHidden/>
    <w:rsid w:val="00B62AD9"/>
    <w:rPr>
      <w:rFonts w:eastAsia="Times New Roman"/>
      <w:color w:val="000000"/>
      <w:sz w:val="24"/>
      <w:szCs w:val="24"/>
      <w:lang w:eastAsia="en-US"/>
    </w:rPr>
  </w:style>
  <w:style w:type="paragraph" w:customStyle="1" w:styleId="IndentFootnot">
    <w:name w:val="IndentFootnot"/>
    <w:basedOn w:val="FootnoteText"/>
    <w:qFormat/>
    <w:rsid w:val="00AF4913"/>
    <w:pPr>
      <w:tabs>
        <w:tab w:val="clear" w:pos="1742"/>
        <w:tab w:val="right" w:pos="1080"/>
        <w:tab w:val="left" w:pos="1350"/>
        <w:tab w:val="left" w:pos="1800"/>
        <w:tab w:val="left" w:pos="1980"/>
      </w:tabs>
      <w:spacing w:after="60"/>
      <w:ind w:left="1526" w:firstLine="0"/>
    </w:p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spacing w:val="4"/>
      <w:w w:val="103"/>
      <w:kern w:val="14"/>
      <w:lang w:val="en-GB"/>
    </w:rPr>
  </w:style>
  <w:style w:type="paragraph" w:styleId="ListParagraph">
    <w:name w:val="List Paragraph"/>
    <w:basedOn w:val="Normal"/>
    <w:uiPriority w:val="34"/>
    <w:qFormat/>
    <w:rsid w:val="00BE376C"/>
    <w:pPr>
      <w:ind w:left="720"/>
      <w:contextualSpacing/>
    </w:pPr>
  </w:style>
  <w:style w:type="character" w:styleId="FollowedHyperlink">
    <w:name w:val="FollowedHyperlink"/>
    <w:basedOn w:val="DefaultParagraphFont"/>
    <w:uiPriority w:val="99"/>
    <w:rsid w:val="008B3D2F"/>
    <w:rPr>
      <w:color w:val="0000FF"/>
      <w:u w:val="none"/>
    </w:rPr>
  </w:style>
  <w:style w:type="paragraph" w:styleId="BalloonText">
    <w:name w:val="Balloon Text"/>
    <w:basedOn w:val="Normal"/>
    <w:link w:val="BalloonTextChar"/>
    <w:rsid w:val="00D9746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97463"/>
    <w:rPr>
      <w:rFonts w:ascii="Tahoma" w:hAnsi="Tahoma" w:cs="Tahoma"/>
      <w:spacing w:val="4"/>
      <w:w w:val="103"/>
      <w:kern w:val="14"/>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undocs.org/A/CN.4/682" TargetMode="External"/><Relationship Id="rId39" Type="http://schemas.openxmlformats.org/officeDocument/2006/relationships/hyperlink" Target="http://undocs.org/A/CN.4/653" TargetMode="External"/><Relationship Id="rId21" Type="http://schemas.openxmlformats.org/officeDocument/2006/relationships/footer" Target="footer5.xml"/><Relationship Id="rId34" Type="http://schemas.openxmlformats.org/officeDocument/2006/relationships/hyperlink" Target="http://undocs.org/A/CN.4/686" TargetMode="External"/><Relationship Id="rId42" Type="http://schemas.openxmlformats.org/officeDocument/2006/relationships/hyperlink" Target="http://undocs.org/A/CN.4/672" TargetMode="External"/><Relationship Id="rId47" Type="http://schemas.openxmlformats.org/officeDocument/2006/relationships/hyperlink" Target="http://undocs.org/A/CN.4/671" TargetMode="External"/><Relationship Id="rId50" Type="http://schemas.openxmlformats.org/officeDocument/2006/relationships/hyperlink" Target="http://undocs.org/A/CN.4/674/Corr.1" TargetMode="External"/><Relationship Id="rId55" Type="http://schemas.openxmlformats.org/officeDocument/2006/relationships/hyperlink" Target="http://undocs.org/A/CN.4/646"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undocs.org/A/CN.4/L.853" TargetMode="External"/><Relationship Id="rId41" Type="http://schemas.openxmlformats.org/officeDocument/2006/relationships/hyperlink" Target="http://undocs.org/A/CN.4/659" TargetMode="External"/><Relationship Id="rId54" Type="http://schemas.openxmlformats.org/officeDocument/2006/relationships/hyperlink" Target="http://undocs.org/A/CN.4/L.865" TargetMode="External"/><Relationship Id="rId6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undocs.org/A/CN.4/681/CORR.1" TargetMode="External"/><Relationship Id="rId32" Type="http://schemas.openxmlformats.org/officeDocument/2006/relationships/hyperlink" Target="http://undocs.org/A/CN.4/685" TargetMode="External"/><Relationship Id="rId37" Type="http://schemas.openxmlformats.org/officeDocument/2006/relationships/hyperlink" Target="http://undocs.org/A/CN.4/676" TargetMode="External"/><Relationship Id="rId40" Type="http://schemas.openxmlformats.org/officeDocument/2006/relationships/hyperlink" Target="http://undocs.org/A/CN.4/663" TargetMode="External"/><Relationship Id="rId45" Type="http://schemas.openxmlformats.org/officeDocument/2006/relationships/hyperlink" Target="http://undocs.org/A/CN.4/680" TargetMode="External"/><Relationship Id="rId53" Type="http://schemas.openxmlformats.org/officeDocument/2006/relationships/hyperlink" Target="http://undocs.org/A/CN.4/687" TargetMode="External"/><Relationship Id="rId58" Type="http://schemas.openxmlformats.org/officeDocument/2006/relationships/hyperlink" Target="http://undocs.org/A/CN.4/675"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undocs.org/A/CN.4/681" TargetMode="External"/><Relationship Id="rId28" Type="http://schemas.openxmlformats.org/officeDocument/2006/relationships/hyperlink" Target="http://undocs.org/A/CN.4/680" TargetMode="External"/><Relationship Id="rId36" Type="http://schemas.openxmlformats.org/officeDocument/2006/relationships/hyperlink" Target="http://undocs.org/A/CN.4/687" TargetMode="External"/><Relationship Id="rId49" Type="http://schemas.openxmlformats.org/officeDocument/2006/relationships/hyperlink" Target="http://undocs.org/A/CN.4/674" TargetMode="External"/><Relationship Id="rId57" Type="http://schemas.openxmlformats.org/officeDocument/2006/relationships/hyperlink" Target="http://undocs.org/A/CN.4/658" TargetMode="External"/><Relationship Id="rId61" Type="http://schemas.openxmlformats.org/officeDocument/2006/relationships/hyperlink" Target="http://undocs.org/A/63/10" TargetMode="External"/><Relationship Id="rId10" Type="http://schemas.openxmlformats.org/officeDocument/2006/relationships/image" Target="media/image1.jpg"/><Relationship Id="rId19" Type="http://schemas.openxmlformats.org/officeDocument/2006/relationships/header" Target="header4.xml"/><Relationship Id="rId31" Type="http://schemas.openxmlformats.org/officeDocument/2006/relationships/hyperlink" Target="http://undocs.org/A/CN.4/L.854" TargetMode="External"/><Relationship Id="rId44" Type="http://schemas.openxmlformats.org/officeDocument/2006/relationships/hyperlink" Target="http://undocs.org/A/CN.4/L.869" TargetMode="External"/><Relationship Id="rId52" Type="http://schemas.openxmlformats.org/officeDocument/2006/relationships/hyperlink" Target="http://undocs.org/A/CN.4/L.870" TargetMode="External"/><Relationship Id="rId60" Type="http://schemas.openxmlformats.org/officeDocument/2006/relationships/hyperlink" Target="http://undocs.org/A/CN.4/676" TargetMode="External"/><Relationship Id="rId4" Type="http://schemas.microsoft.com/office/2007/relationships/stylesWithEffects" Target="stylesWithEffects.xml"/><Relationship Id="rId9" Type="http://schemas.openxmlformats.org/officeDocument/2006/relationships/hyperlink" Target="http://undocs.org/A/70/10"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undocs.org/A/CN.4/L.869" TargetMode="External"/><Relationship Id="rId30" Type="http://schemas.openxmlformats.org/officeDocument/2006/relationships/hyperlink" Target="http://undocs.org/A/CN.4/683" TargetMode="External"/><Relationship Id="rId35" Type="http://schemas.openxmlformats.org/officeDocument/2006/relationships/hyperlink" Target="http://undocs.org/A/CN.4/L.865" TargetMode="External"/><Relationship Id="rId43" Type="http://schemas.openxmlformats.org/officeDocument/2006/relationships/hyperlink" Target="http://undocs.org/A/CN.4/682" TargetMode="External"/><Relationship Id="rId48" Type="http://schemas.openxmlformats.org/officeDocument/2006/relationships/hyperlink" Target="http://undocs.org/A/CN.4/683" TargetMode="External"/><Relationship Id="rId56" Type="http://schemas.openxmlformats.org/officeDocument/2006/relationships/hyperlink" Target="http://undocs.org/A/CN.4/664"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undocs.org/A/CN.4/685"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undocs.org/A/CN.4/L.851" TargetMode="External"/><Relationship Id="rId33" Type="http://schemas.openxmlformats.org/officeDocument/2006/relationships/hyperlink" Target="http://undocs.org/A/CN.4/L.870" TargetMode="External"/><Relationship Id="rId38" Type="http://schemas.openxmlformats.org/officeDocument/2006/relationships/hyperlink" Target="http://undocs.org/A/CN.4/681" TargetMode="External"/><Relationship Id="rId46" Type="http://schemas.openxmlformats.org/officeDocument/2006/relationships/hyperlink" Target="http://undocs.org/A/CN.4/660" TargetMode="External"/><Relationship Id="rId59" Type="http://schemas.openxmlformats.org/officeDocument/2006/relationships/hyperlink" Target="http://undocs.org/A/CN.4/687"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17" Type="http://schemas.openxmlformats.org/officeDocument/2006/relationships/hyperlink" Target="http://undocs.org/A/60/10" TargetMode="External"/><Relationship Id="rId21" Type="http://schemas.openxmlformats.org/officeDocument/2006/relationships/hyperlink" Target="http://undocs.org/A/66/10" TargetMode="External"/><Relationship Id="rId42" Type="http://schemas.openxmlformats.org/officeDocument/2006/relationships/hyperlink" Target="http://undocs.org/S/1994/674" TargetMode="External"/><Relationship Id="rId63" Type="http://schemas.openxmlformats.org/officeDocument/2006/relationships/hyperlink" Target="http://undocs.org/A/67/10" TargetMode="External"/><Relationship Id="rId84" Type="http://schemas.openxmlformats.org/officeDocument/2006/relationships/hyperlink" Target="http://undocs.org/A/66/10" TargetMode="External"/><Relationship Id="rId138" Type="http://schemas.openxmlformats.org/officeDocument/2006/relationships/hyperlink" Target="http://undocs.org/A/C.6/64/SR.23" TargetMode="External"/><Relationship Id="rId159" Type="http://schemas.openxmlformats.org/officeDocument/2006/relationships/hyperlink" Target="http://undocs.org/A/C.6/69/SR.26" TargetMode="External"/><Relationship Id="rId170" Type="http://schemas.openxmlformats.org/officeDocument/2006/relationships/hyperlink" Target="http://undocs.org/A/C.6/33/SR.39" TargetMode="External"/><Relationship Id="rId191" Type="http://schemas.openxmlformats.org/officeDocument/2006/relationships/hyperlink" Target="http://undocs.org/A/C.6/33/SR.41" TargetMode="External"/><Relationship Id="rId205" Type="http://schemas.openxmlformats.org/officeDocument/2006/relationships/hyperlink" Target="http://undocs.org/A/C.6/66/SR.27" TargetMode="External"/><Relationship Id="rId107" Type="http://schemas.openxmlformats.org/officeDocument/2006/relationships/hyperlink" Target="http://undocs.org/A/65/10" TargetMode="External"/><Relationship Id="rId11" Type="http://schemas.openxmlformats.org/officeDocument/2006/relationships/hyperlink" Target="http://undocs.org/A/CN.4/667" TargetMode="External"/><Relationship Id="rId32" Type="http://schemas.openxmlformats.org/officeDocument/2006/relationships/hyperlink" Target="http://undocs.org/A/CN.4/SR.3258" TargetMode="External"/><Relationship Id="rId53" Type="http://schemas.openxmlformats.org/officeDocument/2006/relationships/hyperlink" Target="http://undocs.org/A/RES/60/147" TargetMode="External"/><Relationship Id="rId74" Type="http://schemas.openxmlformats.org/officeDocument/2006/relationships/hyperlink" Target="http://www.icj-cij.org/docket/files/148/18136.pdf" TargetMode="External"/><Relationship Id="rId128" Type="http://schemas.openxmlformats.org/officeDocument/2006/relationships/hyperlink" Target="http://undocs.org/A/68/10" TargetMode="External"/><Relationship Id="rId149" Type="http://schemas.openxmlformats.org/officeDocument/2006/relationships/hyperlink" Target="http://undocs.org/A/C.6/64/SR.18" TargetMode="External"/><Relationship Id="rId5" Type="http://schemas.openxmlformats.org/officeDocument/2006/relationships/hyperlink" Target="http://undocs.org/A/66/10" TargetMode="External"/><Relationship Id="rId90" Type="http://schemas.openxmlformats.org/officeDocument/2006/relationships/hyperlink" Target="http://undocs.org/A/62/10" TargetMode="External"/><Relationship Id="rId95" Type="http://schemas.openxmlformats.org/officeDocument/2006/relationships/hyperlink" Target="http://undocs.org/A/CN.4/601" TargetMode="External"/><Relationship Id="rId160" Type="http://schemas.openxmlformats.org/officeDocument/2006/relationships/hyperlink" Target="http://undocs.org/A/C.6/69/SR.26" TargetMode="External"/><Relationship Id="rId165" Type="http://schemas.openxmlformats.org/officeDocument/2006/relationships/hyperlink" Target="http://undocs.org/A/C.6/33/SR.37" TargetMode="External"/><Relationship Id="rId181" Type="http://schemas.openxmlformats.org/officeDocument/2006/relationships/hyperlink" Target="http://undocs.org/A/C.6/33/SR.44" TargetMode="External"/><Relationship Id="rId186" Type="http://schemas.openxmlformats.org/officeDocument/2006/relationships/hyperlink" Target="http://undocs.org/A/C.6/33/SR.37" TargetMode="External"/><Relationship Id="rId216" Type="http://schemas.openxmlformats.org/officeDocument/2006/relationships/hyperlink" Target="http://undocs.org/A/69/10" TargetMode="External"/><Relationship Id="rId211" Type="http://schemas.openxmlformats.org/officeDocument/2006/relationships/hyperlink" Target="http://undocs.org/A/CN.4/L.813" TargetMode="External"/><Relationship Id="rId22" Type="http://schemas.openxmlformats.org/officeDocument/2006/relationships/hyperlink" Target="http://undocs.org/A/67/10" TargetMode="External"/><Relationship Id="rId27" Type="http://schemas.openxmlformats.org/officeDocument/2006/relationships/hyperlink" Target="http://undocs.org/A/69/10" TargetMode="External"/><Relationship Id="rId43" Type="http://schemas.openxmlformats.org/officeDocument/2006/relationships/hyperlink" Target="http://undocs.org/A/RES/47/133" TargetMode="External"/><Relationship Id="rId48" Type="http://schemas.openxmlformats.org/officeDocument/2006/relationships/hyperlink" Target="http://undocs.org/A/47/38" TargetMode="External"/><Relationship Id="rId64" Type="http://schemas.openxmlformats.org/officeDocument/2006/relationships/hyperlink" Target="http://undocs.org/A/68/10" TargetMode="External"/><Relationship Id="rId69" Type="http://schemas.openxmlformats.org/officeDocument/2006/relationships/hyperlink" Target="http://undocs.org/A/CN.4/584;" TargetMode="External"/><Relationship Id="rId113" Type="http://schemas.openxmlformats.org/officeDocument/2006/relationships/hyperlink" Target="http://undocs.org/S/2013/341" TargetMode="External"/><Relationship Id="rId118" Type="http://schemas.openxmlformats.org/officeDocument/2006/relationships/hyperlink" Target="http://undocs.org/A/61/10" TargetMode="External"/><Relationship Id="rId134" Type="http://schemas.openxmlformats.org/officeDocument/2006/relationships/hyperlink" Target="http://undocs.org/A/64/10" TargetMode="External"/><Relationship Id="rId139" Type="http://schemas.openxmlformats.org/officeDocument/2006/relationships/hyperlink" Target="http://undocs.org/A/C.6/64/SR.23" TargetMode="External"/><Relationship Id="rId80" Type="http://schemas.openxmlformats.org/officeDocument/2006/relationships/hyperlink" Target="http://undocs.org/A/68/10" TargetMode="External"/><Relationship Id="rId85" Type="http://schemas.openxmlformats.org/officeDocument/2006/relationships/hyperlink" Target="http://undocs.org/A/37/10" TargetMode="External"/><Relationship Id="rId150" Type="http://schemas.openxmlformats.org/officeDocument/2006/relationships/hyperlink" Target="http://undocs.org/A/C.6/64/SR.22" TargetMode="External"/><Relationship Id="rId155" Type="http://schemas.openxmlformats.org/officeDocument/2006/relationships/hyperlink" Target="http://undocs.org/A/C.6/66/SR.27" TargetMode="External"/><Relationship Id="rId171" Type="http://schemas.openxmlformats.org/officeDocument/2006/relationships/hyperlink" Target="http://undocs.org/A/C.6/33/SR.32" TargetMode="External"/><Relationship Id="rId176" Type="http://schemas.openxmlformats.org/officeDocument/2006/relationships/hyperlink" Target="http://undocs.org/A/C.6/33/SR.40" TargetMode="External"/><Relationship Id="rId192" Type="http://schemas.openxmlformats.org/officeDocument/2006/relationships/hyperlink" Target="http://undocs.org/A/C.6/33/SR.42" TargetMode="External"/><Relationship Id="rId197" Type="http://schemas.openxmlformats.org/officeDocument/2006/relationships/hyperlink" Target="http://undocs.org/A/C.6/33/SR.44" TargetMode="External"/><Relationship Id="rId206" Type="http://schemas.openxmlformats.org/officeDocument/2006/relationships/hyperlink" Target="http://undocs.org/A/C.6/66/SR.27" TargetMode="External"/><Relationship Id="rId201" Type="http://schemas.openxmlformats.org/officeDocument/2006/relationships/hyperlink" Target="http://undocs.org/A/C.6/33/SR.32" TargetMode="External"/><Relationship Id="rId12" Type="http://schemas.openxmlformats.org/officeDocument/2006/relationships/hyperlink" Target="http://undocs.org/A/68/10" TargetMode="External"/><Relationship Id="rId17" Type="http://schemas.openxmlformats.org/officeDocument/2006/relationships/hyperlink" Target="http://undocs.org/A/68/10" TargetMode="External"/><Relationship Id="rId33" Type="http://schemas.openxmlformats.org/officeDocument/2006/relationships/hyperlink" Target="http://undocs.org/A/CN.4/680" TargetMode="External"/><Relationship Id="rId38" Type="http://schemas.openxmlformats.org/officeDocument/2006/relationships/hyperlink" Target="http://undocs.org/S/25704" TargetMode="External"/><Relationship Id="rId59" Type="http://schemas.openxmlformats.org/officeDocument/2006/relationships/hyperlink" Target="http://undocs.org/A/67/10" TargetMode="External"/><Relationship Id="rId103" Type="http://schemas.openxmlformats.org/officeDocument/2006/relationships/hyperlink" Target="http://undocs.org/A/CN.4/673/Corr.1" TargetMode="External"/><Relationship Id="rId108" Type="http://schemas.openxmlformats.org/officeDocument/2006/relationships/hyperlink" Target="http://undocs.org/A/66/10" TargetMode="External"/><Relationship Id="rId124" Type="http://schemas.openxmlformats.org/officeDocument/2006/relationships/hyperlink" Target="http://undocs.org/A/67/10" TargetMode="External"/><Relationship Id="rId129" Type="http://schemas.openxmlformats.org/officeDocument/2006/relationships/hyperlink" Target="http://www.un.org/law/lindex.htm" TargetMode="External"/><Relationship Id="rId54" Type="http://schemas.openxmlformats.org/officeDocument/2006/relationships/hyperlink" Target="http://undocs.org/A/63/10" TargetMode="External"/><Relationship Id="rId70" Type="http://schemas.openxmlformats.org/officeDocument/2006/relationships/hyperlink" Target="http://undocs.org/A/CONF.129/15" TargetMode="External"/><Relationship Id="rId75" Type="http://schemas.openxmlformats.org/officeDocument/2006/relationships/hyperlink" Target="http://undocs.org/A/RES/1600" TargetMode="External"/><Relationship Id="rId91" Type="http://schemas.openxmlformats.org/officeDocument/2006/relationships/hyperlink" Target="http://undocs.org/A/61/10" TargetMode="External"/><Relationship Id="rId96" Type="http://schemas.openxmlformats.org/officeDocument/2006/relationships/hyperlink" Target="http://undocs.org/A/CN.4/631" TargetMode="External"/><Relationship Id="rId140" Type="http://schemas.openxmlformats.org/officeDocument/2006/relationships/hyperlink" Target="http://undocs.org/A/C.6/65/SR.26" TargetMode="External"/><Relationship Id="rId145" Type="http://schemas.openxmlformats.org/officeDocument/2006/relationships/hyperlink" Target="http://undocs.org/A/C.6/65/SR.26" TargetMode="External"/><Relationship Id="rId161" Type="http://schemas.openxmlformats.org/officeDocument/2006/relationships/hyperlink" Target="http://undocs.org/A/C.6/69/SR.27" TargetMode="External"/><Relationship Id="rId166" Type="http://schemas.openxmlformats.org/officeDocument/2006/relationships/hyperlink" Target="http://undocs.org/A/C.6/33/SR.41" TargetMode="External"/><Relationship Id="rId182" Type="http://schemas.openxmlformats.org/officeDocument/2006/relationships/hyperlink" Target="http://undocs.org/A/C.6/33/SR.31" TargetMode="External"/><Relationship Id="rId187" Type="http://schemas.openxmlformats.org/officeDocument/2006/relationships/hyperlink" Target="http://undocs.org/A/C.6/33/SR.39" TargetMode="External"/><Relationship Id="rId217" Type="http://schemas.openxmlformats.org/officeDocument/2006/relationships/hyperlink" Target="http://undocs.org/A/68/10" TargetMode="External"/><Relationship Id="rId1" Type="http://schemas.openxmlformats.org/officeDocument/2006/relationships/hyperlink" Target="http://undocs.org/A/69/10" TargetMode="External"/><Relationship Id="rId6" Type="http://schemas.openxmlformats.org/officeDocument/2006/relationships/hyperlink" Target="http://undocs.org/A/67/10" TargetMode="External"/><Relationship Id="rId212" Type="http://schemas.openxmlformats.org/officeDocument/2006/relationships/hyperlink" Target="http://undocs.org/A/CN.4/L.833" TargetMode="External"/><Relationship Id="rId23" Type="http://schemas.openxmlformats.org/officeDocument/2006/relationships/hyperlink" Target="http://undocs.org/A/68/10" TargetMode="External"/><Relationship Id="rId28" Type="http://schemas.openxmlformats.org/officeDocument/2006/relationships/hyperlink" Target="http://undocs.org/A/CN.4/SR.3254" TargetMode="External"/><Relationship Id="rId49" Type="http://schemas.openxmlformats.org/officeDocument/2006/relationships/hyperlink" Target="http://undocs.org/CRC/GC/2003/5" TargetMode="External"/><Relationship Id="rId114" Type="http://schemas.openxmlformats.org/officeDocument/2006/relationships/hyperlink" Target="http://undocs.org/A/57/10" TargetMode="External"/><Relationship Id="rId119" Type="http://schemas.openxmlformats.org/officeDocument/2006/relationships/hyperlink" Target="http://undocs.org/A/62/10" TargetMode="External"/><Relationship Id="rId44" Type="http://schemas.openxmlformats.org/officeDocument/2006/relationships/hyperlink" Target="http://undocs.org/CAT/C/GC/2/CRP.1/Rev.4" TargetMode="External"/><Relationship Id="rId60" Type="http://schemas.openxmlformats.org/officeDocument/2006/relationships/hyperlink" Target="http://undocs.org/A/67/10" TargetMode="External"/><Relationship Id="rId65" Type="http://schemas.openxmlformats.org/officeDocument/2006/relationships/hyperlink" Target="http://undocs.org/A/69/10" TargetMode="External"/><Relationship Id="rId81" Type="http://schemas.openxmlformats.org/officeDocument/2006/relationships/hyperlink" Target="http://undocs.org/A/66/10" TargetMode="External"/><Relationship Id="rId86" Type="http://schemas.openxmlformats.org/officeDocument/2006/relationships/hyperlink" Target="http://undocs.org/A/68/10" TargetMode="External"/><Relationship Id="rId130" Type="http://schemas.openxmlformats.org/officeDocument/2006/relationships/hyperlink" Target="http://undocs.org/A/63/10" TargetMode="External"/><Relationship Id="rId135" Type="http://schemas.openxmlformats.org/officeDocument/2006/relationships/hyperlink" Target="http://undocs.org/A/C.6/65/SR.25" TargetMode="External"/><Relationship Id="rId151" Type="http://schemas.openxmlformats.org/officeDocument/2006/relationships/hyperlink" Target="http://undocs.org/A/C.6/65/SR.26" TargetMode="External"/><Relationship Id="rId156" Type="http://schemas.openxmlformats.org/officeDocument/2006/relationships/hyperlink" Target="http://undocs.org/A/C.6/66/SR.28" TargetMode="External"/><Relationship Id="rId177" Type="http://schemas.openxmlformats.org/officeDocument/2006/relationships/hyperlink" Target="http://undocs.org/A/C.6/33/SR.33" TargetMode="External"/><Relationship Id="rId198" Type="http://schemas.openxmlformats.org/officeDocument/2006/relationships/hyperlink" Target="http://undocs.org/A/C.6/33/SR.44" TargetMode="External"/><Relationship Id="rId172" Type="http://schemas.openxmlformats.org/officeDocument/2006/relationships/hyperlink" Target="http://undocs.org/A/C.6/33/SR.42" TargetMode="External"/><Relationship Id="rId193" Type="http://schemas.openxmlformats.org/officeDocument/2006/relationships/hyperlink" Target="http://undocs.org/A/C.6/33/SR.42" TargetMode="External"/><Relationship Id="rId202" Type="http://schemas.openxmlformats.org/officeDocument/2006/relationships/hyperlink" Target="http://undocs.org/A/C.6/33/SR.31" TargetMode="External"/><Relationship Id="rId207" Type="http://schemas.openxmlformats.org/officeDocument/2006/relationships/hyperlink" Target="http://undocs.org/A/C.6/66/SR.28" TargetMode="External"/><Relationship Id="rId13" Type="http://schemas.openxmlformats.org/officeDocument/2006/relationships/hyperlink" Target="http://undocs.org/A/68/10" TargetMode="External"/><Relationship Id="rId18" Type="http://schemas.openxmlformats.org/officeDocument/2006/relationships/hyperlink" Target="http://undocs.org/A/68/10" TargetMode="External"/><Relationship Id="rId39" Type="http://schemas.openxmlformats.org/officeDocument/2006/relationships/hyperlink" Target="http://undocs.org/A/50/22" TargetMode="External"/><Relationship Id="rId109" Type="http://schemas.openxmlformats.org/officeDocument/2006/relationships/hyperlink" Target="http://undocs.org/A/67/10" TargetMode="External"/><Relationship Id="rId34" Type="http://schemas.openxmlformats.org/officeDocument/2006/relationships/hyperlink" Target="http://undocs.org/A/CN.4/L.682" TargetMode="External"/><Relationship Id="rId50" Type="http://schemas.openxmlformats.org/officeDocument/2006/relationships/hyperlink" Target="http://undocs.org/CCPR/C/Rev.1/Add.13" TargetMode="External"/><Relationship Id="rId55" Type="http://schemas.openxmlformats.org/officeDocument/2006/relationships/hyperlink" Target="http://undocs.org/A/64/10" TargetMode="External"/><Relationship Id="rId76" Type="http://schemas.openxmlformats.org/officeDocument/2006/relationships/hyperlink" Target="http://undocs.org/A/RES/1913" TargetMode="External"/><Relationship Id="rId97" Type="http://schemas.openxmlformats.org/officeDocument/2006/relationships/hyperlink" Target="http://undocs.org/A/CN.4/646" TargetMode="External"/><Relationship Id="rId104" Type="http://schemas.openxmlformats.org/officeDocument/2006/relationships/hyperlink" Target="http://undocs.org/A/68/10" TargetMode="External"/><Relationship Id="rId120" Type="http://schemas.openxmlformats.org/officeDocument/2006/relationships/hyperlink" Target="http://undocs.org/A/63/10" TargetMode="External"/><Relationship Id="rId125" Type="http://schemas.openxmlformats.org/officeDocument/2006/relationships/hyperlink" Target="http://undocs.org/A/68/10" TargetMode="External"/><Relationship Id="rId141" Type="http://schemas.openxmlformats.org/officeDocument/2006/relationships/hyperlink" Target="http://undocs.org/A/C.6/66/SR.27" TargetMode="External"/><Relationship Id="rId146" Type="http://schemas.openxmlformats.org/officeDocument/2006/relationships/hyperlink" Target="http://undocs.org/A/C.6/69/SR.25" TargetMode="External"/><Relationship Id="rId167" Type="http://schemas.openxmlformats.org/officeDocument/2006/relationships/hyperlink" Target="http://undocs.org/A/C.6/33/SR.43" TargetMode="External"/><Relationship Id="rId188" Type="http://schemas.openxmlformats.org/officeDocument/2006/relationships/hyperlink" Target="http://undocs.org/A/C.6/33/SR.39" TargetMode="External"/><Relationship Id="rId7" Type="http://schemas.openxmlformats.org/officeDocument/2006/relationships/hyperlink" Target="http://undocs.org/A/68/10" TargetMode="External"/><Relationship Id="rId71" Type="http://schemas.openxmlformats.org/officeDocument/2006/relationships/hyperlink" Target="http://www.icj-cij.org/docket/files/148/18136.pdf" TargetMode="External"/><Relationship Id="rId92" Type="http://schemas.openxmlformats.org/officeDocument/2006/relationships/hyperlink" Target="http://undocs.org/A/62/10" TargetMode="External"/><Relationship Id="rId162" Type="http://schemas.openxmlformats.org/officeDocument/2006/relationships/hyperlink" Target="http://undocs.org/A/C.6/33/SR.37" TargetMode="External"/><Relationship Id="rId183" Type="http://schemas.openxmlformats.org/officeDocument/2006/relationships/hyperlink" Target="http://undocs.org/A/C.6/33/SR.33" TargetMode="External"/><Relationship Id="rId213" Type="http://schemas.openxmlformats.org/officeDocument/2006/relationships/hyperlink" Target="http://undocs.org/A/68/10" TargetMode="External"/><Relationship Id="rId218" Type="http://schemas.openxmlformats.org/officeDocument/2006/relationships/hyperlink" Target="http://www.sice.oas.org/%20Trade/MEX_JPN_e/agreement.pdf" TargetMode="External"/><Relationship Id="rId2" Type="http://schemas.openxmlformats.org/officeDocument/2006/relationships/hyperlink" Target="http://undocs.org/A/63/10" TargetMode="External"/><Relationship Id="rId29" Type="http://schemas.openxmlformats.org/officeDocument/2006/relationships/hyperlink" Target="http://undocs.org/A/CN.4/SR.3255" TargetMode="External"/><Relationship Id="rId24" Type="http://schemas.openxmlformats.org/officeDocument/2006/relationships/hyperlink" Target="http://undocs.org/A/69/10" TargetMode="External"/><Relationship Id="rId40" Type="http://schemas.openxmlformats.org/officeDocument/2006/relationships/hyperlink" Target="http://undocs.org/A/CONF/183/13(Vol.II)" TargetMode="External"/><Relationship Id="rId45" Type="http://schemas.openxmlformats.org/officeDocument/2006/relationships/hyperlink" Target="http://undocs.org/A/HRC/28/L.25" TargetMode="External"/><Relationship Id="rId66" Type="http://schemas.openxmlformats.org/officeDocument/2006/relationships/hyperlink" Target="http://undocs.org/A/68/10" TargetMode="External"/><Relationship Id="rId87" Type="http://schemas.openxmlformats.org/officeDocument/2006/relationships/hyperlink" Target="http://undocs.org/A/66/10" TargetMode="External"/><Relationship Id="rId110" Type="http://schemas.openxmlformats.org/officeDocument/2006/relationships/hyperlink" Target="http://undocs.org/A/68/10" TargetMode="External"/><Relationship Id="rId115" Type="http://schemas.openxmlformats.org/officeDocument/2006/relationships/hyperlink" Target="http://undocs.org/A/58/10" TargetMode="External"/><Relationship Id="rId131" Type="http://schemas.openxmlformats.org/officeDocument/2006/relationships/hyperlink" Target="http://undocs.org/A/64/10" TargetMode="External"/><Relationship Id="rId136" Type="http://schemas.openxmlformats.org/officeDocument/2006/relationships/hyperlink" Target="http://undocs.org/A/C.6/66/SR.27" TargetMode="External"/><Relationship Id="rId157" Type="http://schemas.openxmlformats.org/officeDocument/2006/relationships/hyperlink" Target="http://undocs.org/A/C.6/67/SR.20" TargetMode="External"/><Relationship Id="rId178" Type="http://schemas.openxmlformats.org/officeDocument/2006/relationships/hyperlink" Target="http://undocs.org/A/C.6/33/SR.37" TargetMode="External"/><Relationship Id="rId61" Type="http://schemas.openxmlformats.org/officeDocument/2006/relationships/hyperlink" Target="http://undocs.org/A/66/10" TargetMode="External"/><Relationship Id="rId82" Type="http://schemas.openxmlformats.org/officeDocument/2006/relationships/hyperlink" Target="http://undocs.org/A/66/10" TargetMode="External"/><Relationship Id="rId152" Type="http://schemas.openxmlformats.org/officeDocument/2006/relationships/hyperlink" Target="http://undocs.org/A/C.6/66/SR.27" TargetMode="External"/><Relationship Id="rId173" Type="http://schemas.openxmlformats.org/officeDocument/2006/relationships/hyperlink" Target="http://undocs.org/A/C.6/33/SR.37" TargetMode="External"/><Relationship Id="rId194" Type="http://schemas.openxmlformats.org/officeDocument/2006/relationships/hyperlink" Target="http://undocs.org/A/C.6/33/SR.42" TargetMode="External"/><Relationship Id="rId199" Type="http://schemas.openxmlformats.org/officeDocument/2006/relationships/hyperlink" Target="http://undocs.org/A/C.6/33/SR.45" TargetMode="External"/><Relationship Id="rId203" Type="http://schemas.openxmlformats.org/officeDocument/2006/relationships/hyperlink" Target="http://undocs.org/A/CN.4/L.127" TargetMode="External"/><Relationship Id="rId208" Type="http://schemas.openxmlformats.org/officeDocument/2006/relationships/hyperlink" Target="http://undocs.org/A/C.6/67/SR.23" TargetMode="External"/><Relationship Id="rId19" Type="http://schemas.openxmlformats.org/officeDocument/2006/relationships/hyperlink" Target="http://undocs.org/A/CONF.48/14" TargetMode="External"/><Relationship Id="rId14" Type="http://schemas.openxmlformats.org/officeDocument/2006/relationships/hyperlink" Target="http://undocs.org/A/63/10" TargetMode="External"/><Relationship Id="rId30" Type="http://schemas.openxmlformats.org/officeDocument/2006/relationships/hyperlink" Target="http://undocs.org/A/CN.4/SR.3256" TargetMode="External"/><Relationship Id="rId35" Type="http://schemas.openxmlformats.org/officeDocument/2006/relationships/hyperlink" Target="http://undocs.org/A/CN.4/L.682/Corr.1" TargetMode="External"/><Relationship Id="rId56" Type="http://schemas.openxmlformats.org/officeDocument/2006/relationships/hyperlink" Target="http://undocs.org/A/65/10" TargetMode="External"/><Relationship Id="rId77" Type="http://schemas.openxmlformats.org/officeDocument/2006/relationships/hyperlink" Target="http://undocs.org/A/68/10" TargetMode="External"/><Relationship Id="rId100" Type="http://schemas.openxmlformats.org/officeDocument/2006/relationships/hyperlink" Target="http://undocs.org/A/CN.4/654" TargetMode="External"/><Relationship Id="rId105" Type="http://schemas.openxmlformats.org/officeDocument/2006/relationships/hyperlink" Target="http://undocs.org/A/69/10" TargetMode="External"/><Relationship Id="rId126" Type="http://schemas.openxmlformats.org/officeDocument/2006/relationships/hyperlink" Target="http://undocs.org/A/69/10" TargetMode="External"/><Relationship Id="rId147" Type="http://schemas.openxmlformats.org/officeDocument/2006/relationships/hyperlink" Target="http://undocs.org/A/C.6/69/SR.26" TargetMode="External"/><Relationship Id="rId168" Type="http://schemas.openxmlformats.org/officeDocument/2006/relationships/hyperlink" Target="http://undocs.org/A/C.6/33/SR.43" TargetMode="External"/><Relationship Id="rId8" Type="http://schemas.openxmlformats.org/officeDocument/2006/relationships/hyperlink" Target="http://undocs.org/A/69/10" TargetMode="External"/><Relationship Id="rId51" Type="http://schemas.openxmlformats.org/officeDocument/2006/relationships/hyperlink" Target="http://undocs.org/CRC/GC/2005/6" TargetMode="External"/><Relationship Id="rId72" Type="http://schemas.openxmlformats.org/officeDocument/2006/relationships/hyperlink" Target="http://undocs.org/A/68/10" TargetMode="External"/><Relationship Id="rId93" Type="http://schemas.openxmlformats.org/officeDocument/2006/relationships/hyperlink" Target="http://undocs.org/A/CN.4/596" TargetMode="External"/><Relationship Id="rId98" Type="http://schemas.openxmlformats.org/officeDocument/2006/relationships/hyperlink" Target="http://undocs.org/A/64/10" TargetMode="External"/><Relationship Id="rId121" Type="http://schemas.openxmlformats.org/officeDocument/2006/relationships/hyperlink" Target="http://undocs.org/A/64/10" TargetMode="External"/><Relationship Id="rId142" Type="http://schemas.openxmlformats.org/officeDocument/2006/relationships/hyperlink" Target="http://undocs.org/A/C.6/67/SR.21" TargetMode="External"/><Relationship Id="rId163" Type="http://schemas.openxmlformats.org/officeDocument/2006/relationships/hyperlink" Target="http://undocs.org/A/C.6/33/SR.46" TargetMode="External"/><Relationship Id="rId184" Type="http://schemas.openxmlformats.org/officeDocument/2006/relationships/hyperlink" Target="http://undocs.org/A/C.6/33/SR.36" TargetMode="External"/><Relationship Id="rId189" Type="http://schemas.openxmlformats.org/officeDocument/2006/relationships/hyperlink" Target="http://undocs.org/A/C.6/33/SR.39" TargetMode="External"/><Relationship Id="rId3" Type="http://schemas.openxmlformats.org/officeDocument/2006/relationships/hyperlink" Target="http://undocs.org/A/64/10" TargetMode="External"/><Relationship Id="rId214" Type="http://schemas.openxmlformats.org/officeDocument/2006/relationships/hyperlink" Target="http://undocs.org/A/CN.4/L.813" TargetMode="External"/><Relationship Id="rId25" Type="http://schemas.openxmlformats.org/officeDocument/2006/relationships/hyperlink" Target="http://undocs.org/A/CN.4/682" TargetMode="External"/><Relationship Id="rId46" Type="http://schemas.openxmlformats.org/officeDocument/2006/relationships/hyperlink" Target="http://undocs.org/A/43/38" TargetMode="External"/><Relationship Id="rId67" Type="http://schemas.openxmlformats.org/officeDocument/2006/relationships/hyperlink" Target="http://undocs.org/A/69/10" TargetMode="External"/><Relationship Id="rId116" Type="http://schemas.openxmlformats.org/officeDocument/2006/relationships/hyperlink" Target="http://undocs.org/A/59/10" TargetMode="External"/><Relationship Id="rId137" Type="http://schemas.openxmlformats.org/officeDocument/2006/relationships/hyperlink" Target="http://undocs.org/A/C.6/67/SR.23" TargetMode="External"/><Relationship Id="rId158" Type="http://schemas.openxmlformats.org/officeDocument/2006/relationships/hyperlink" Target="http://undocs.org/A/C.6/69/SR.25" TargetMode="External"/><Relationship Id="rId20" Type="http://schemas.openxmlformats.org/officeDocument/2006/relationships/hyperlink" Target="http://undocs.org/A/67/10" TargetMode="External"/><Relationship Id="rId41" Type="http://schemas.openxmlformats.org/officeDocument/2006/relationships/hyperlink" Target="http://undocs.org/PCNICC/2000/1/Add.2" TargetMode="External"/><Relationship Id="rId62" Type="http://schemas.openxmlformats.org/officeDocument/2006/relationships/hyperlink" Target="http://undocs.org/A/67/10" TargetMode="External"/><Relationship Id="rId83" Type="http://schemas.openxmlformats.org/officeDocument/2006/relationships/hyperlink" Target="http://undocs.org/A/37/10" TargetMode="External"/><Relationship Id="rId88" Type="http://schemas.openxmlformats.org/officeDocument/2006/relationships/hyperlink" Target="http://undocs.org/A/69/10" TargetMode="External"/><Relationship Id="rId111" Type="http://schemas.openxmlformats.org/officeDocument/2006/relationships/hyperlink" Target="http://undocs.org/A/69/10" TargetMode="External"/><Relationship Id="rId132" Type="http://schemas.openxmlformats.org/officeDocument/2006/relationships/hyperlink" Target="http://undocs.org/A/65/10" TargetMode="External"/><Relationship Id="rId153" Type="http://schemas.openxmlformats.org/officeDocument/2006/relationships/hyperlink" Target="http://undocs.org/A/C.6/66/SR.27" TargetMode="External"/><Relationship Id="rId174" Type="http://schemas.openxmlformats.org/officeDocument/2006/relationships/hyperlink" Target="http://undocs.org/A/C.6/33/SR.43" TargetMode="External"/><Relationship Id="rId179" Type="http://schemas.openxmlformats.org/officeDocument/2006/relationships/hyperlink" Target="http://undocs.org/A/C.6/33/SR.40" TargetMode="External"/><Relationship Id="rId195" Type="http://schemas.openxmlformats.org/officeDocument/2006/relationships/hyperlink" Target="http://undocs.org/A/C.6/33/SR.43" TargetMode="External"/><Relationship Id="rId209" Type="http://schemas.openxmlformats.org/officeDocument/2006/relationships/hyperlink" Target="http://undocs.org/A/C.6/65/SR.26" TargetMode="External"/><Relationship Id="rId190" Type="http://schemas.openxmlformats.org/officeDocument/2006/relationships/hyperlink" Target="http://undocs.org/A/C.6/33/SR.40" TargetMode="External"/><Relationship Id="rId204" Type="http://schemas.openxmlformats.org/officeDocument/2006/relationships/hyperlink" Target="http://undocs.org/A/C.6/65/SR.25" TargetMode="External"/><Relationship Id="rId15" Type="http://schemas.openxmlformats.org/officeDocument/2006/relationships/hyperlink" Target="http://undocs.org/A/CONF.48/14/Rev.1" TargetMode="External"/><Relationship Id="rId36" Type="http://schemas.openxmlformats.org/officeDocument/2006/relationships/hyperlink" Target="http://undocs.org/S/RES/827" TargetMode="External"/><Relationship Id="rId57" Type="http://schemas.openxmlformats.org/officeDocument/2006/relationships/hyperlink" Target="http://undocs.org/A/66/10" TargetMode="External"/><Relationship Id="rId106" Type="http://schemas.openxmlformats.org/officeDocument/2006/relationships/hyperlink" Target="http://undocs.org/A/64/10" TargetMode="External"/><Relationship Id="rId127" Type="http://schemas.openxmlformats.org/officeDocument/2006/relationships/hyperlink" Target="http://undocs.org/A/62/10" TargetMode="External"/><Relationship Id="rId10" Type="http://schemas.openxmlformats.org/officeDocument/2006/relationships/hyperlink" Target="http://undocs.org/A/66/10" TargetMode="External"/><Relationship Id="rId31" Type="http://schemas.openxmlformats.org/officeDocument/2006/relationships/hyperlink" Target="http://undocs.org/A/CN.4/SR.3257" TargetMode="External"/><Relationship Id="rId52" Type="http://schemas.openxmlformats.org/officeDocument/2006/relationships/hyperlink" Target="http://undocs.org/CERD/C/GC/31/Rev.4" TargetMode="External"/><Relationship Id="rId73" Type="http://schemas.openxmlformats.org/officeDocument/2006/relationships/hyperlink" Target="http://undocs.org/A/69/10" TargetMode="External"/><Relationship Id="rId78" Type="http://schemas.openxmlformats.org/officeDocument/2006/relationships/hyperlink" Target="http://undocs.org/A/68/10" TargetMode="External"/><Relationship Id="rId94" Type="http://schemas.openxmlformats.org/officeDocument/2006/relationships/hyperlink" Target="http://undocs.org/A/CN.4/596/Corr.1" TargetMode="External"/><Relationship Id="rId99" Type="http://schemas.openxmlformats.org/officeDocument/2006/relationships/hyperlink" Target="http://undocs.org/A/65/10" TargetMode="External"/><Relationship Id="rId101" Type="http://schemas.openxmlformats.org/officeDocument/2006/relationships/hyperlink" Target="http://undocs.org/A/CN.4/661" TargetMode="External"/><Relationship Id="rId122" Type="http://schemas.openxmlformats.org/officeDocument/2006/relationships/hyperlink" Target="http://undocs.org/A/65/10" TargetMode="External"/><Relationship Id="rId143" Type="http://schemas.openxmlformats.org/officeDocument/2006/relationships/hyperlink" Target="http://undocs.org/A/C.6/64/SR.23" TargetMode="External"/><Relationship Id="rId148" Type="http://schemas.openxmlformats.org/officeDocument/2006/relationships/hyperlink" Target="http://undocs.org/A/C.6/69/SR.27" TargetMode="External"/><Relationship Id="rId164" Type="http://schemas.openxmlformats.org/officeDocument/2006/relationships/hyperlink" Target="http://undocs.org/A/C.6/33/SR.37" TargetMode="External"/><Relationship Id="rId169" Type="http://schemas.openxmlformats.org/officeDocument/2006/relationships/hyperlink" Target="http://undocs.org/A/C.6/33/SR.32" TargetMode="External"/><Relationship Id="rId185" Type="http://schemas.openxmlformats.org/officeDocument/2006/relationships/hyperlink" Target="http://undocs.org/A/C.6/33/SR.37" TargetMode="External"/><Relationship Id="rId4" Type="http://schemas.openxmlformats.org/officeDocument/2006/relationships/hyperlink" Target="http://undocs.org/A/65/10" TargetMode="External"/><Relationship Id="rId9" Type="http://schemas.openxmlformats.org/officeDocument/2006/relationships/hyperlink" Target="http://undocs.org/A/68/10" TargetMode="External"/><Relationship Id="rId180" Type="http://schemas.openxmlformats.org/officeDocument/2006/relationships/hyperlink" Target="http://undocs.org/A/C.6/33/SR.41" TargetMode="External"/><Relationship Id="rId210" Type="http://schemas.openxmlformats.org/officeDocument/2006/relationships/hyperlink" Target="http://undocs.org/A/C.6/66/SR.27" TargetMode="External"/><Relationship Id="rId215" Type="http://schemas.openxmlformats.org/officeDocument/2006/relationships/hyperlink" Target="http://undocs.org/A/CN.4/L.833" TargetMode="External"/><Relationship Id="rId26" Type="http://schemas.openxmlformats.org/officeDocument/2006/relationships/hyperlink" Target="http://undocs.org/A/68/10" TargetMode="External"/><Relationship Id="rId47" Type="http://schemas.openxmlformats.org/officeDocument/2006/relationships/hyperlink" Target="http://undocs.org/A/45/38" TargetMode="External"/><Relationship Id="rId68" Type="http://schemas.openxmlformats.org/officeDocument/2006/relationships/hyperlink" Target="http://undocs.org/A/CONF.129/15" TargetMode="External"/><Relationship Id="rId89" Type="http://schemas.openxmlformats.org/officeDocument/2006/relationships/hyperlink" Target="http://undocs.org/A/CN.4/685" TargetMode="External"/><Relationship Id="rId112" Type="http://schemas.openxmlformats.org/officeDocument/2006/relationships/hyperlink" Target="http://undocs.org/A/RES/67/1" TargetMode="External"/><Relationship Id="rId133" Type="http://schemas.openxmlformats.org/officeDocument/2006/relationships/hyperlink" Target="http://undocs.org/A/66/10" TargetMode="External"/><Relationship Id="rId154" Type="http://schemas.openxmlformats.org/officeDocument/2006/relationships/hyperlink" Target="http://undocs.org/A/C.6/66/SR.27" TargetMode="External"/><Relationship Id="rId175" Type="http://schemas.openxmlformats.org/officeDocument/2006/relationships/hyperlink" Target="http://undocs.org/A/C.6/33/SR.39" TargetMode="External"/><Relationship Id="rId196" Type="http://schemas.openxmlformats.org/officeDocument/2006/relationships/hyperlink" Target="http://undocs.org/A/C.6/33/SR.43" TargetMode="External"/><Relationship Id="rId200" Type="http://schemas.openxmlformats.org/officeDocument/2006/relationships/hyperlink" Target="http://undocs.org/A/C.6/33/SR.46" TargetMode="External"/><Relationship Id="rId16" Type="http://schemas.openxmlformats.org/officeDocument/2006/relationships/hyperlink" Target="http://undocs.org/A/69/10" TargetMode="External"/><Relationship Id="rId37" Type="http://schemas.openxmlformats.org/officeDocument/2006/relationships/hyperlink" Target="http://undocs.org/S/RES/955" TargetMode="External"/><Relationship Id="rId58" Type="http://schemas.openxmlformats.org/officeDocument/2006/relationships/hyperlink" Target="http://undocs.org/A/66/10" TargetMode="External"/><Relationship Id="rId79" Type="http://schemas.openxmlformats.org/officeDocument/2006/relationships/hyperlink" Target="http://undocs.org/A/68/10" TargetMode="External"/><Relationship Id="rId102" Type="http://schemas.openxmlformats.org/officeDocument/2006/relationships/hyperlink" Target="http://undocs.org/A/CN.4/673" TargetMode="External"/><Relationship Id="rId123" Type="http://schemas.openxmlformats.org/officeDocument/2006/relationships/hyperlink" Target="http://undocs.org/A/66/10" TargetMode="External"/><Relationship Id="rId144" Type="http://schemas.openxmlformats.org/officeDocument/2006/relationships/hyperlink" Target="http://undocs.org/A/C.6/65/SR.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DDD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A078-8749-4721-8305-BD4DB009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191</Pages>
  <Words>77063</Words>
  <Characters>439263</Characters>
  <Application>Microsoft Office Word</Application>
  <DocSecurity>0</DocSecurity>
  <Lines>3660</Lines>
  <Paragraphs>1030</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515296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Brigoli</dc:creator>
  <cp:lastModifiedBy>Brigoli</cp:lastModifiedBy>
  <cp:revision>3</cp:revision>
  <cp:lastPrinted>2015-09-09T15:27:00Z</cp:lastPrinted>
  <dcterms:created xsi:type="dcterms:W3CDTF">2015-09-09T15:27:00Z</dcterms:created>
  <dcterms:modified xsi:type="dcterms:W3CDTF">2015-09-09T15:27:00Z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1513770</vt:lpwstr>
  </property>
  <property fmtid="{D5CDD505-2E9C-101B-9397-08002B2CF9AE}" pid="3" name="ODSRefJobNo">
    <vt:lpwstr>15E</vt:lpwstr>
  </property>
  <property fmtid="{D5CDD505-2E9C-101B-9397-08002B2CF9AE}" pid="4" name="Symbol1">
    <vt:lpwstr>A/70/10</vt:lpwstr>
  </property>
  <property fmtid="{D5CDD505-2E9C-101B-9397-08002B2CF9AE}" pid="5" name="Symbol2">
    <vt:lpwstr/>
  </property>
  <property fmtid="{D5CDD505-2E9C-101B-9397-08002B2CF9AE}" pid="6" name="Translator">
    <vt:lpwstr/>
  </property>
  <property fmtid="{D5CDD505-2E9C-101B-9397-08002B2CF9AE}" pid="7" name="Operator">
    <vt:lpwstr>CEB</vt:lpwstr>
  </property>
  <property fmtid="{D5CDD505-2E9C-101B-9397-08002B2CF9AE}" pid="8" name="DraftPages">
    <vt:lpwstr> </vt:lpwstr>
  </property>
  <property fmtid="{D5CDD505-2E9C-101B-9397-08002B2CF9AE}" pid="9" name="Comment">
    <vt:lpwstr/>
  </property>
</Properties>
</file>